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34.xml" ContentType="application/vnd.openxmlformats-officedocument.wordprocessingml.header+xml"/>
  <Override PartName="/word/footer43.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F516D" w14:textId="77777777" w:rsidR="000C1958" w:rsidRDefault="001E73B3">
      <w:pPr>
        <w:jc w:val="center"/>
      </w:pPr>
      <w:bookmarkStart w:id="0" w:name="_Hlk83626366"/>
      <w:r>
        <w:rPr>
          <w:noProof/>
          <w:lang w:eastAsia="en-AU"/>
        </w:rPr>
        <w:drawing>
          <wp:inline distT="0" distB="0" distL="0" distR="0" wp14:anchorId="31F74EB2" wp14:editId="7792D5E8">
            <wp:extent cx="1323975" cy="1181100"/>
            <wp:effectExtent l="19050" t="0" r="9525"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a:srcRect/>
                    <a:stretch>
                      <a:fillRect/>
                    </a:stretch>
                  </pic:blipFill>
                  <pic:spPr bwMode="auto">
                    <a:xfrm>
                      <a:off x="0" y="0"/>
                      <a:ext cx="1323975" cy="1181100"/>
                    </a:xfrm>
                    <a:prstGeom prst="rect">
                      <a:avLst/>
                    </a:prstGeom>
                    <a:noFill/>
                    <a:ln w="9525">
                      <a:noFill/>
                      <a:miter lim="800000"/>
                      <a:headEnd/>
                      <a:tailEnd/>
                    </a:ln>
                  </pic:spPr>
                </pic:pic>
              </a:graphicData>
            </a:graphic>
          </wp:inline>
        </w:drawing>
      </w:r>
    </w:p>
    <w:p w14:paraId="41E38C2D" w14:textId="77777777" w:rsidR="000C1958" w:rsidRDefault="000C1958">
      <w:pPr>
        <w:jc w:val="center"/>
        <w:rPr>
          <w:rFonts w:ascii="Arial" w:hAnsi="Arial"/>
        </w:rPr>
      </w:pPr>
      <w:r>
        <w:rPr>
          <w:rFonts w:ascii="Arial" w:hAnsi="Arial"/>
        </w:rPr>
        <w:t>Australian Capital Territory</w:t>
      </w:r>
    </w:p>
    <w:p w14:paraId="5185826C" w14:textId="33076AB6" w:rsidR="000C1958" w:rsidRDefault="00856BEE" w:rsidP="000C1958">
      <w:pPr>
        <w:pStyle w:val="Billname1"/>
      </w:pPr>
      <w:r>
        <w:fldChar w:fldCharType="begin"/>
      </w:r>
      <w:r>
        <w:instrText xml:space="preserve"> REF Citation \*charformat </w:instrText>
      </w:r>
      <w:r>
        <w:fldChar w:fldCharType="separate"/>
      </w:r>
      <w:r w:rsidR="005C5D7F">
        <w:t>Heavy Vehicle National Law (ACT)</w:t>
      </w:r>
      <w:r>
        <w:fldChar w:fldCharType="end"/>
      </w:r>
      <w:r w:rsidR="000C1958">
        <w:t xml:space="preserve">    </w:t>
      </w:r>
    </w:p>
    <w:p w14:paraId="09E94E8B" w14:textId="729ED274" w:rsidR="000C1958" w:rsidRDefault="000C1958">
      <w:pPr>
        <w:pStyle w:val="RepubNo"/>
      </w:pPr>
      <w:r>
        <w:t xml:space="preserve">Republication No </w:t>
      </w:r>
      <w:bookmarkStart w:id="1" w:name="RepubNo"/>
      <w:r w:rsidR="00EF7DDF">
        <w:t>10</w:t>
      </w:r>
      <w:bookmarkEnd w:id="1"/>
    </w:p>
    <w:p w14:paraId="5676CDC9" w14:textId="1D2FF164" w:rsidR="000C1958" w:rsidRDefault="000C1958">
      <w:pPr>
        <w:pStyle w:val="EffectiveDate"/>
      </w:pPr>
      <w:r>
        <w:t xml:space="preserve">Effective:  </w:t>
      </w:r>
      <w:bookmarkStart w:id="2" w:name="EffectiveDate"/>
      <w:r w:rsidR="00EF7DDF">
        <w:t>27 September 2021</w:t>
      </w:r>
      <w:bookmarkEnd w:id="2"/>
      <w:r w:rsidR="00AE3279">
        <w:t xml:space="preserve"> – </w:t>
      </w:r>
      <w:bookmarkStart w:id="3" w:name="EndEffDate"/>
      <w:r w:rsidR="00EF7DDF">
        <w:t>26 April 2022</w:t>
      </w:r>
      <w:bookmarkEnd w:id="3"/>
    </w:p>
    <w:p w14:paraId="26C18711" w14:textId="63501607" w:rsidR="000C1958" w:rsidRDefault="000C1958">
      <w:pPr>
        <w:pStyle w:val="CoverInForce"/>
      </w:pPr>
      <w:r>
        <w:t xml:space="preserve">Republication date: </w:t>
      </w:r>
      <w:bookmarkStart w:id="4" w:name="InForceDate"/>
      <w:r w:rsidR="00EF7DDF">
        <w:t>27 September 2021</w:t>
      </w:r>
      <w:bookmarkEnd w:id="4"/>
    </w:p>
    <w:p w14:paraId="696751FE" w14:textId="3E958A6E" w:rsidR="00414573" w:rsidRDefault="00414573" w:rsidP="00CF2202">
      <w:pPr>
        <w:pStyle w:val="CoverInForce"/>
      </w:pPr>
      <w:r>
        <w:t>La</w:t>
      </w:r>
      <w:r w:rsidR="004F334C">
        <w:t xml:space="preserve">st amendment made by </w:t>
      </w:r>
      <w:hyperlink r:id="rId8" w:tooltip="Heavy Vehicle National Law  and Other Legislation Amendment Act 2019" w:history="1">
        <w:r w:rsidR="001944BF">
          <w:rPr>
            <w:rStyle w:val="charCitHyperlinkAbbrev"/>
            <w:rFonts w:eastAsiaTheme="minorEastAsia"/>
          </w:rPr>
          <w:t>A2019-29</w:t>
        </w:r>
      </w:hyperlink>
      <w:r w:rsidR="00CF2202">
        <w:t xml:space="preserve"> (Qld)</w:t>
      </w:r>
    </w:p>
    <w:p w14:paraId="3BC16DAB" w14:textId="77777777" w:rsidR="000C1958" w:rsidRDefault="000C1958"/>
    <w:p w14:paraId="0698FE49" w14:textId="77777777" w:rsidR="000C1958" w:rsidRDefault="000C1958"/>
    <w:p w14:paraId="365FDCBC" w14:textId="77777777" w:rsidR="000C1958" w:rsidRDefault="000C1958"/>
    <w:p w14:paraId="16A3E434" w14:textId="77777777" w:rsidR="000C1958" w:rsidRDefault="000C1958"/>
    <w:p w14:paraId="28765271" w14:textId="4CD9243A" w:rsidR="00190765" w:rsidRPr="00190765" w:rsidRDefault="00190765" w:rsidP="00190765">
      <w:pPr>
        <w:pStyle w:val="PageBreak"/>
      </w:pPr>
      <w:r w:rsidRPr="00190765">
        <w:br w:type="page"/>
      </w:r>
    </w:p>
    <w:bookmarkEnd w:id="0"/>
    <w:p w14:paraId="5E4591B0" w14:textId="6145C666" w:rsidR="000C1958" w:rsidRDefault="000C1958">
      <w:pPr>
        <w:pStyle w:val="CoverHeading"/>
      </w:pPr>
      <w:r>
        <w:lastRenderedPageBreak/>
        <w:t>About this republication</w:t>
      </w:r>
    </w:p>
    <w:p w14:paraId="2DF30892" w14:textId="77777777" w:rsidR="000C1958" w:rsidRDefault="000C1958">
      <w:pPr>
        <w:pStyle w:val="CoverSubHdg"/>
      </w:pPr>
      <w:r>
        <w:t>The republished law</w:t>
      </w:r>
    </w:p>
    <w:p w14:paraId="5F9C97A3" w14:textId="40C08CCC" w:rsidR="000C1958" w:rsidRDefault="000C1958">
      <w:pPr>
        <w:pStyle w:val="CoverText"/>
      </w:pPr>
      <w:r>
        <w:t xml:space="preserve">This is a republication of the </w:t>
      </w:r>
      <w:r w:rsidR="007132B5" w:rsidRPr="00EF7DDF">
        <w:rPr>
          <w:i/>
        </w:rPr>
        <w:fldChar w:fldCharType="begin"/>
      </w:r>
      <w:r w:rsidR="007132B5" w:rsidRPr="00EF7DDF">
        <w:rPr>
          <w:i/>
        </w:rPr>
        <w:instrText xml:space="preserve"> REF citation *\charformat  \* MERGEFORMAT </w:instrText>
      </w:r>
      <w:r w:rsidR="007132B5" w:rsidRPr="00EF7DDF">
        <w:rPr>
          <w:i/>
        </w:rPr>
        <w:fldChar w:fldCharType="separate"/>
      </w:r>
      <w:r w:rsidR="005C5D7F" w:rsidRPr="005C5D7F">
        <w:rPr>
          <w:i/>
        </w:rPr>
        <w:t>Heavy Vehicle National Law (ACT)</w:t>
      </w:r>
      <w:r w:rsidR="007132B5" w:rsidRPr="00EF7DDF">
        <w:rPr>
          <w:i/>
        </w:rPr>
        <w:fldChar w:fldCharType="end"/>
      </w:r>
      <w:r>
        <w:t xml:space="preserve"> as in force on </w:t>
      </w:r>
      <w:r w:rsidR="00856BEE">
        <w:fldChar w:fldCharType="begin"/>
      </w:r>
      <w:r w:rsidR="00856BEE">
        <w:instrText xml:space="preserve"> REF InForceDate *\charformat </w:instrText>
      </w:r>
      <w:r w:rsidR="00856BEE">
        <w:fldChar w:fldCharType="separate"/>
      </w:r>
      <w:r w:rsidR="005C5D7F">
        <w:t>27 September 2021</w:t>
      </w:r>
      <w:r w:rsidR="00856BEE">
        <w:fldChar w:fldCharType="end"/>
      </w:r>
      <w:r>
        <w:rPr>
          <w:i/>
        </w:rPr>
        <w:t xml:space="preserve">.  </w:t>
      </w:r>
      <w:r>
        <w:t xml:space="preserve">It also includes any commencement, amendment, repeal or expiry affecting the republished law to </w:t>
      </w:r>
      <w:r w:rsidR="00856BEE">
        <w:fldChar w:fldCharType="begin"/>
      </w:r>
      <w:r w:rsidR="00856BEE">
        <w:instrText xml:space="preserve"> REF EffectiveDate *\charformat </w:instrText>
      </w:r>
      <w:r w:rsidR="00856BEE">
        <w:fldChar w:fldCharType="separate"/>
      </w:r>
      <w:r w:rsidR="005C5D7F">
        <w:t>27 September 2021</w:t>
      </w:r>
      <w:r w:rsidR="00856BEE">
        <w:fldChar w:fldCharType="end"/>
      </w:r>
      <w:r>
        <w:t xml:space="preserve">.  </w:t>
      </w:r>
    </w:p>
    <w:p w14:paraId="157236D0" w14:textId="77777777" w:rsidR="000C1958" w:rsidRDefault="000C1958">
      <w:pPr>
        <w:pStyle w:val="CoverText"/>
      </w:pPr>
      <w:r>
        <w:t xml:space="preserve">The legislation history and amendment history of the republished law are set out in endnotes 3 and 4. </w:t>
      </w:r>
    </w:p>
    <w:p w14:paraId="59AD80EF" w14:textId="77777777" w:rsidR="000C1958" w:rsidRDefault="000C1958">
      <w:pPr>
        <w:pStyle w:val="CoverSubHdg"/>
      </w:pPr>
      <w:r>
        <w:t>Kinds of republications</w:t>
      </w:r>
    </w:p>
    <w:p w14:paraId="70383394" w14:textId="35E636B7" w:rsidR="000C1958" w:rsidRDefault="000C1958">
      <w:pPr>
        <w:pStyle w:val="CoverText"/>
        <w:rPr>
          <w:color w:val="000000"/>
        </w:rPr>
      </w:pPr>
      <w:r>
        <w:rPr>
          <w:color w:val="000000"/>
        </w:rPr>
        <w:t xml:space="preserve">The Parliamentary Counsel’s Office prepares 2 kinds of republications of ACT laws (see the ACT legislation register at </w:t>
      </w:r>
      <w:hyperlink r:id="rId9" w:history="1">
        <w:r w:rsidR="00DB6E47" w:rsidRPr="00DB6E47">
          <w:rPr>
            <w:rStyle w:val="charCitHyperlinkAbbrev"/>
          </w:rPr>
          <w:t>www.legislation.act.gov.au</w:t>
        </w:r>
      </w:hyperlink>
      <w:r>
        <w:rPr>
          <w:color w:val="000000"/>
        </w:rPr>
        <w:t>):</w:t>
      </w:r>
    </w:p>
    <w:p w14:paraId="371F9E0A" w14:textId="5BCDE4B1" w:rsidR="000C1958" w:rsidRDefault="000C1958" w:rsidP="000E1C8B">
      <w:pPr>
        <w:pStyle w:val="CoverTextBullet"/>
      </w:pPr>
      <w:r>
        <w:t xml:space="preserve">authorised republications to which the </w:t>
      </w:r>
      <w:hyperlink r:id="rId10" w:tooltip="A2001-14" w:history="1">
        <w:r w:rsidR="00DB6E47" w:rsidRPr="00DB6E47">
          <w:rPr>
            <w:rStyle w:val="charCitHyperlinkItal"/>
          </w:rPr>
          <w:t>Legislation Act 2001</w:t>
        </w:r>
      </w:hyperlink>
      <w:r>
        <w:t xml:space="preserve"> applies</w:t>
      </w:r>
    </w:p>
    <w:p w14:paraId="52FEC76A" w14:textId="77777777" w:rsidR="000C1958" w:rsidRDefault="000C1958" w:rsidP="000E1C8B">
      <w:pPr>
        <w:pStyle w:val="CoverTextBullet"/>
      </w:pPr>
      <w:r>
        <w:t>unauthorised republications.</w:t>
      </w:r>
    </w:p>
    <w:p w14:paraId="133508EC" w14:textId="77777777" w:rsidR="000C1958" w:rsidRDefault="000C1958">
      <w:pPr>
        <w:pStyle w:val="CoverText"/>
      </w:pPr>
      <w:r>
        <w:t>The status of this republication appears on the bottom of each page.</w:t>
      </w:r>
    </w:p>
    <w:p w14:paraId="74A41049" w14:textId="77777777" w:rsidR="00582A04" w:rsidRDefault="00582A04" w:rsidP="00582A04">
      <w:pPr>
        <w:pStyle w:val="CoverSubHdg"/>
      </w:pPr>
      <w:r>
        <w:t>Uncommenced provisions and amendments</w:t>
      </w:r>
    </w:p>
    <w:p w14:paraId="5511B675" w14:textId="04CB4ED1" w:rsidR="00582A04" w:rsidRDefault="00582A04" w:rsidP="00582A04">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1" w:history="1">
        <w:r w:rsidRPr="0074598E">
          <w:rPr>
            <w:rStyle w:val="charCitHyperlinkAbbrev"/>
          </w:rPr>
          <w:t>www.legislation.act.gov.au</w:t>
        </w:r>
      </w:hyperlink>
      <w:r>
        <w:rPr>
          <w:color w:val="000000"/>
        </w:rPr>
        <w:t>). For more information, see the home page for this law on the register.</w:t>
      </w:r>
    </w:p>
    <w:p w14:paraId="23917CC0" w14:textId="77777777" w:rsidR="00FB12A2" w:rsidRPr="00912878" w:rsidRDefault="00EB7C3E">
      <w:pPr>
        <w:pStyle w:val="CoverSubHdg"/>
      </w:pPr>
      <w:r w:rsidRPr="00912878">
        <w:t>National L</w:t>
      </w:r>
      <w:r w:rsidR="00FB12A2" w:rsidRPr="00912878">
        <w:t>aw</w:t>
      </w:r>
    </w:p>
    <w:p w14:paraId="1F6B87DA" w14:textId="069B6CB7" w:rsidR="00FB12A2" w:rsidRPr="00912878" w:rsidRDefault="00EB7C3E" w:rsidP="00FB12A2">
      <w:pPr>
        <w:pStyle w:val="CoverText"/>
        <w:rPr>
          <w:color w:val="000000"/>
        </w:rPr>
      </w:pPr>
      <w:r w:rsidRPr="00912878">
        <w:rPr>
          <w:color w:val="000000"/>
        </w:rPr>
        <w:t>This L</w:t>
      </w:r>
      <w:r w:rsidR="00FB12A2" w:rsidRPr="00912878">
        <w:rPr>
          <w:color w:val="000000"/>
        </w:rPr>
        <w:t xml:space="preserve">aw is the </w:t>
      </w:r>
      <w:r w:rsidR="00362853" w:rsidRPr="00912878">
        <w:rPr>
          <w:color w:val="000000"/>
        </w:rPr>
        <w:t>Heavy Vehicle National Law (ACT)</w:t>
      </w:r>
      <w:r w:rsidR="00FB12A2" w:rsidRPr="00912878">
        <w:rPr>
          <w:color w:val="000000"/>
        </w:rPr>
        <w:t xml:space="preserve">, as in force from time to time, set out in the schedule to the </w:t>
      </w:r>
      <w:hyperlink r:id="rId12" w:tooltip="Heavy Vehicle National Law Act 2012" w:history="1">
        <w:r w:rsidR="00CF6FFA" w:rsidRPr="00CF6FFA">
          <w:rPr>
            <w:rStyle w:val="charCitHyperlinkItal"/>
          </w:rPr>
          <w:t>Heavy Vehicle National Law Act 2012</w:t>
        </w:r>
      </w:hyperlink>
      <w:r w:rsidR="00FB12A2" w:rsidRPr="00912878">
        <w:rPr>
          <w:color w:val="000000"/>
        </w:rPr>
        <w:t xml:space="preserve"> (Qld).</w:t>
      </w:r>
    </w:p>
    <w:p w14:paraId="7B476F36" w14:textId="13A65238" w:rsidR="00FB12A2" w:rsidRPr="00912878" w:rsidRDefault="00EB7C3E" w:rsidP="00FB12A2">
      <w:pPr>
        <w:pStyle w:val="CoverText"/>
        <w:rPr>
          <w:color w:val="000000"/>
        </w:rPr>
      </w:pPr>
      <w:r w:rsidRPr="00912878">
        <w:rPr>
          <w:color w:val="000000"/>
        </w:rPr>
        <w:t>This L</w:t>
      </w:r>
      <w:r w:rsidR="00FB12A2" w:rsidRPr="00912878">
        <w:rPr>
          <w:color w:val="000000"/>
        </w:rPr>
        <w:t xml:space="preserve">aw applies in the ACT as if it were part of the </w:t>
      </w:r>
      <w:hyperlink r:id="rId13" w:tooltip="A2013-51" w:history="1">
        <w:r w:rsidR="00CF6FFA" w:rsidRPr="00CF6FFA">
          <w:rPr>
            <w:rStyle w:val="charCitHyperlinkItal"/>
          </w:rPr>
          <w:t>Heavy Vehicle National Law (ACT) Act 2013</w:t>
        </w:r>
      </w:hyperlink>
      <w:r w:rsidR="00FB12A2" w:rsidRPr="00912878">
        <w:rPr>
          <w:i/>
          <w:color w:val="000000"/>
        </w:rPr>
        <w:t xml:space="preserve"> </w:t>
      </w:r>
      <w:r w:rsidR="00FB12A2" w:rsidRPr="00912878">
        <w:rPr>
          <w:color w:val="000000"/>
        </w:rPr>
        <w:t xml:space="preserve">and must be read with that Act (see that Act, s </w:t>
      </w:r>
      <w:r w:rsidR="00CB54F9" w:rsidRPr="00912878">
        <w:rPr>
          <w:color w:val="000000"/>
        </w:rPr>
        <w:t>7</w:t>
      </w:r>
      <w:r w:rsidR="00FB12A2" w:rsidRPr="00912878">
        <w:rPr>
          <w:color w:val="000000"/>
        </w:rPr>
        <w:t>).</w:t>
      </w:r>
    </w:p>
    <w:p w14:paraId="7E827395" w14:textId="6EACE87C" w:rsidR="00FB12A2" w:rsidRPr="00912878" w:rsidRDefault="00CE614B" w:rsidP="00CE614B">
      <w:pPr>
        <w:pStyle w:val="aNote"/>
        <w:ind w:left="851"/>
      </w:pPr>
      <w:r w:rsidRPr="00912878">
        <w:rPr>
          <w:i/>
        </w:rPr>
        <w:t>Note</w:t>
      </w:r>
      <w:r w:rsidRPr="00912878">
        <w:rPr>
          <w:i/>
        </w:rPr>
        <w:tab/>
      </w:r>
      <w:r w:rsidRPr="00912878">
        <w:t>Certain terri</w:t>
      </w:r>
      <w:r w:rsidR="00EB7C3E" w:rsidRPr="00912878">
        <w:t>tory laws do not apply to this L</w:t>
      </w:r>
      <w:r w:rsidRPr="00912878">
        <w:t xml:space="preserve">aw or to instruments made under it (see the </w:t>
      </w:r>
      <w:hyperlink r:id="rId14" w:tooltip="A2013-51" w:history="1">
        <w:r w:rsidR="00CF6FFA" w:rsidRPr="00CF6FFA">
          <w:rPr>
            <w:rStyle w:val="charCitHyperlinkItal"/>
          </w:rPr>
          <w:t>Heavy Vehicle National Law (ACT) Act 2013</w:t>
        </w:r>
      </w:hyperlink>
      <w:r w:rsidRPr="00912878">
        <w:t>, s 9).</w:t>
      </w:r>
    </w:p>
    <w:p w14:paraId="6D991CD4" w14:textId="77777777" w:rsidR="000C1958" w:rsidRPr="00912878" w:rsidRDefault="000C1958">
      <w:pPr>
        <w:pStyle w:val="CoverSubHdg"/>
      </w:pPr>
      <w:r w:rsidRPr="00912878">
        <w:t>Modifications</w:t>
      </w:r>
    </w:p>
    <w:p w14:paraId="25F3DB0B" w14:textId="7A5FDB73" w:rsidR="000C1958" w:rsidRPr="00912878" w:rsidRDefault="00CE614B">
      <w:pPr>
        <w:pStyle w:val="CoverText"/>
        <w:rPr>
          <w:color w:val="000000"/>
        </w:rPr>
      </w:pPr>
      <w:r w:rsidRPr="00912878">
        <w:rPr>
          <w:color w:val="000000"/>
        </w:rPr>
        <w:t>In i</w:t>
      </w:r>
      <w:r w:rsidR="00EB7C3E" w:rsidRPr="00912878">
        <w:rPr>
          <w:color w:val="000000"/>
        </w:rPr>
        <w:t>ts application in the ACT this L</w:t>
      </w:r>
      <w:r w:rsidRPr="00912878">
        <w:rPr>
          <w:color w:val="000000"/>
        </w:rPr>
        <w:t xml:space="preserve">aw is modified by the </w:t>
      </w:r>
      <w:hyperlink r:id="rId15" w:tooltip="A2013-51" w:history="1">
        <w:r w:rsidR="00CF6FFA" w:rsidRPr="00CF6FFA">
          <w:rPr>
            <w:rStyle w:val="charCitHyperlinkItal"/>
          </w:rPr>
          <w:t>Heavy Vehicle National Law (ACT) Act 2013</w:t>
        </w:r>
      </w:hyperlink>
      <w:r w:rsidRPr="00912878">
        <w:rPr>
          <w:color w:val="000000"/>
        </w:rPr>
        <w:t>.</w:t>
      </w:r>
    </w:p>
    <w:p w14:paraId="1726E960" w14:textId="77777777" w:rsidR="00CE614B" w:rsidRPr="00CE614B" w:rsidRDefault="00CE614B">
      <w:pPr>
        <w:pStyle w:val="CoverText"/>
        <w:rPr>
          <w:color w:val="000000"/>
        </w:rPr>
      </w:pPr>
      <w:r w:rsidRPr="00912878">
        <w:rPr>
          <w:color w:val="000000"/>
        </w:rPr>
        <w:t>If a provision of the republished law is affected by a current modification, the provision appears as modified and the text of the modification is shaded.</w:t>
      </w:r>
    </w:p>
    <w:p w14:paraId="0602A22E" w14:textId="77777777" w:rsidR="00982619" w:rsidRDefault="00982619">
      <w:pPr>
        <w:pStyle w:val="00SigningPage"/>
        <w:sectPr w:rsidR="00982619">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37965F91" w14:textId="77777777" w:rsidR="000C1958" w:rsidRDefault="001E73B3">
      <w:pPr>
        <w:jc w:val="center"/>
      </w:pPr>
      <w:r>
        <w:rPr>
          <w:noProof/>
          <w:lang w:eastAsia="en-AU"/>
        </w:rPr>
        <w:lastRenderedPageBreak/>
        <w:drawing>
          <wp:inline distT="0" distB="0" distL="0" distR="0" wp14:anchorId="57251DEA" wp14:editId="45F984EE">
            <wp:extent cx="1323975" cy="1181100"/>
            <wp:effectExtent l="19050" t="0" r="9525"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a:srcRect/>
                    <a:stretch>
                      <a:fillRect/>
                    </a:stretch>
                  </pic:blipFill>
                  <pic:spPr bwMode="auto">
                    <a:xfrm>
                      <a:off x="0" y="0"/>
                      <a:ext cx="1323975" cy="1181100"/>
                    </a:xfrm>
                    <a:prstGeom prst="rect">
                      <a:avLst/>
                    </a:prstGeom>
                    <a:noFill/>
                    <a:ln w="9525">
                      <a:noFill/>
                      <a:miter lim="800000"/>
                      <a:headEnd/>
                      <a:tailEnd/>
                    </a:ln>
                  </pic:spPr>
                </pic:pic>
              </a:graphicData>
            </a:graphic>
          </wp:inline>
        </w:drawing>
      </w:r>
    </w:p>
    <w:p w14:paraId="1EDD1066" w14:textId="77777777" w:rsidR="000C1958" w:rsidRDefault="000C1958">
      <w:pPr>
        <w:jc w:val="center"/>
        <w:rPr>
          <w:rFonts w:ascii="Arial" w:hAnsi="Arial"/>
        </w:rPr>
      </w:pPr>
      <w:r>
        <w:rPr>
          <w:rFonts w:ascii="Arial" w:hAnsi="Arial"/>
        </w:rPr>
        <w:t>Australian Capital Territory</w:t>
      </w:r>
    </w:p>
    <w:p w14:paraId="21CAE0EA" w14:textId="706DAB12" w:rsidR="000C1958" w:rsidRDefault="00856BEE" w:rsidP="000C1958">
      <w:pPr>
        <w:pStyle w:val="Billname"/>
      </w:pPr>
      <w:r>
        <w:fldChar w:fldCharType="begin"/>
      </w:r>
      <w:r>
        <w:instrText xml:space="preserve"> REF Citation \*charformat  \* MERGEFORMAT </w:instrText>
      </w:r>
      <w:r>
        <w:fldChar w:fldCharType="separate"/>
      </w:r>
      <w:r w:rsidR="005C5D7F">
        <w:t>Heavy Vehicle National Law (ACT)</w:t>
      </w:r>
      <w:r>
        <w:fldChar w:fldCharType="end"/>
      </w:r>
    </w:p>
    <w:p w14:paraId="7F232BE6" w14:textId="77777777" w:rsidR="000C1958" w:rsidRDefault="000C1958">
      <w:pPr>
        <w:pStyle w:val="ActNo"/>
      </w:pPr>
    </w:p>
    <w:p w14:paraId="03580DEB" w14:textId="77777777" w:rsidR="000C1958" w:rsidRDefault="000C1958">
      <w:pPr>
        <w:pStyle w:val="Placeholder"/>
      </w:pPr>
      <w:r>
        <w:rPr>
          <w:rStyle w:val="charContents"/>
          <w:sz w:val="16"/>
        </w:rPr>
        <w:t xml:space="preserve">  </w:t>
      </w:r>
      <w:r>
        <w:rPr>
          <w:rStyle w:val="charPage"/>
        </w:rPr>
        <w:t xml:space="preserve">  </w:t>
      </w:r>
    </w:p>
    <w:p w14:paraId="641AB17B" w14:textId="77777777" w:rsidR="000C1958" w:rsidRDefault="000C1958">
      <w:pPr>
        <w:pStyle w:val="N-TOCheading"/>
      </w:pPr>
      <w:r>
        <w:rPr>
          <w:rStyle w:val="charContents"/>
        </w:rPr>
        <w:t>Contents</w:t>
      </w:r>
    </w:p>
    <w:p w14:paraId="6F17B5F7" w14:textId="77777777" w:rsidR="003F5CD2" w:rsidRDefault="000C1958" w:rsidP="003F5CD2">
      <w:pPr>
        <w:pStyle w:val="N-9pt"/>
      </w:pPr>
      <w:r>
        <w:tab/>
      </w:r>
      <w:r>
        <w:rPr>
          <w:rStyle w:val="charPage"/>
        </w:rPr>
        <w:t>Page</w:t>
      </w:r>
    </w:p>
    <w:p w14:paraId="1C416104" w14:textId="6FB4AB79" w:rsidR="005E03F7" w:rsidRDefault="005E03F7">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83625350" w:history="1">
        <w:r w:rsidRPr="00D90FEA">
          <w:t>Chapter 1</w:t>
        </w:r>
        <w:r>
          <w:rPr>
            <w:rFonts w:asciiTheme="minorHAnsi" w:eastAsiaTheme="minorEastAsia" w:hAnsiTheme="minorHAnsi" w:cstheme="minorBidi"/>
            <w:b w:val="0"/>
            <w:sz w:val="22"/>
            <w:szCs w:val="22"/>
            <w:lang w:eastAsia="en-AU"/>
          </w:rPr>
          <w:tab/>
        </w:r>
        <w:r w:rsidRPr="00D90FEA">
          <w:t>Preliminary</w:t>
        </w:r>
        <w:r w:rsidRPr="005E03F7">
          <w:rPr>
            <w:vanish/>
          </w:rPr>
          <w:tab/>
        </w:r>
        <w:r w:rsidRPr="005E03F7">
          <w:rPr>
            <w:vanish/>
          </w:rPr>
          <w:fldChar w:fldCharType="begin"/>
        </w:r>
        <w:r w:rsidRPr="005E03F7">
          <w:rPr>
            <w:vanish/>
          </w:rPr>
          <w:instrText xml:space="preserve"> PAGEREF _Toc83625350 \h </w:instrText>
        </w:r>
        <w:r w:rsidRPr="005E03F7">
          <w:rPr>
            <w:vanish/>
          </w:rPr>
        </w:r>
        <w:r w:rsidRPr="005E03F7">
          <w:rPr>
            <w:vanish/>
          </w:rPr>
          <w:fldChar w:fldCharType="separate"/>
        </w:r>
        <w:r w:rsidR="005C5D7F">
          <w:rPr>
            <w:vanish/>
          </w:rPr>
          <w:t>2</w:t>
        </w:r>
        <w:r w:rsidRPr="005E03F7">
          <w:rPr>
            <w:vanish/>
          </w:rPr>
          <w:fldChar w:fldCharType="end"/>
        </w:r>
      </w:hyperlink>
    </w:p>
    <w:p w14:paraId="1333867C" w14:textId="425ACAB5" w:rsidR="005E03F7" w:rsidRDefault="00856BEE">
      <w:pPr>
        <w:pStyle w:val="TOC2"/>
        <w:rPr>
          <w:rFonts w:asciiTheme="minorHAnsi" w:eastAsiaTheme="minorEastAsia" w:hAnsiTheme="minorHAnsi" w:cstheme="minorBidi"/>
          <w:b w:val="0"/>
          <w:sz w:val="22"/>
          <w:szCs w:val="22"/>
          <w:lang w:eastAsia="en-AU"/>
        </w:rPr>
      </w:pPr>
      <w:hyperlink w:anchor="_Toc83625351" w:history="1">
        <w:r w:rsidR="005E03F7" w:rsidRPr="00D90FEA">
          <w:t>Part 1.1</w:t>
        </w:r>
        <w:r w:rsidR="005E03F7">
          <w:rPr>
            <w:rFonts w:asciiTheme="minorHAnsi" w:eastAsiaTheme="minorEastAsia" w:hAnsiTheme="minorHAnsi" w:cstheme="minorBidi"/>
            <w:b w:val="0"/>
            <w:sz w:val="22"/>
            <w:szCs w:val="22"/>
            <w:lang w:eastAsia="en-AU"/>
          </w:rPr>
          <w:tab/>
        </w:r>
        <w:r w:rsidR="005E03F7" w:rsidRPr="00D90FEA">
          <w:t>Introductory matters</w:t>
        </w:r>
        <w:r w:rsidR="005E03F7" w:rsidRPr="005E03F7">
          <w:rPr>
            <w:vanish/>
          </w:rPr>
          <w:tab/>
        </w:r>
        <w:r w:rsidR="005E03F7" w:rsidRPr="005E03F7">
          <w:rPr>
            <w:vanish/>
          </w:rPr>
          <w:fldChar w:fldCharType="begin"/>
        </w:r>
        <w:r w:rsidR="005E03F7" w:rsidRPr="005E03F7">
          <w:rPr>
            <w:vanish/>
          </w:rPr>
          <w:instrText xml:space="preserve"> PAGEREF _Toc83625351 \h </w:instrText>
        </w:r>
        <w:r w:rsidR="005E03F7" w:rsidRPr="005E03F7">
          <w:rPr>
            <w:vanish/>
          </w:rPr>
        </w:r>
        <w:r w:rsidR="005E03F7" w:rsidRPr="005E03F7">
          <w:rPr>
            <w:vanish/>
          </w:rPr>
          <w:fldChar w:fldCharType="separate"/>
        </w:r>
        <w:r w:rsidR="005C5D7F">
          <w:rPr>
            <w:vanish/>
          </w:rPr>
          <w:t>2</w:t>
        </w:r>
        <w:r w:rsidR="005E03F7" w:rsidRPr="005E03F7">
          <w:rPr>
            <w:vanish/>
          </w:rPr>
          <w:fldChar w:fldCharType="end"/>
        </w:r>
      </w:hyperlink>
    </w:p>
    <w:p w14:paraId="3ABB0715" w14:textId="1AF7225E" w:rsidR="005E03F7" w:rsidRDefault="005E03F7">
      <w:pPr>
        <w:pStyle w:val="TOC5"/>
        <w:rPr>
          <w:rFonts w:asciiTheme="minorHAnsi" w:eastAsiaTheme="minorEastAsia" w:hAnsiTheme="minorHAnsi" w:cstheme="minorBidi"/>
          <w:sz w:val="22"/>
          <w:szCs w:val="22"/>
          <w:lang w:eastAsia="en-AU"/>
        </w:rPr>
      </w:pPr>
      <w:r>
        <w:tab/>
      </w:r>
      <w:hyperlink w:anchor="_Toc83625352" w:history="1">
        <w:r w:rsidRPr="00D90FEA">
          <w:t>1</w:t>
        </w:r>
        <w:r>
          <w:rPr>
            <w:rFonts w:asciiTheme="minorHAnsi" w:eastAsiaTheme="minorEastAsia" w:hAnsiTheme="minorHAnsi" w:cstheme="minorBidi"/>
            <w:sz w:val="22"/>
            <w:szCs w:val="22"/>
            <w:lang w:eastAsia="en-AU"/>
          </w:rPr>
          <w:tab/>
        </w:r>
        <w:r w:rsidRPr="00D90FEA">
          <w:t>Short title</w:t>
        </w:r>
        <w:r>
          <w:tab/>
        </w:r>
        <w:r>
          <w:fldChar w:fldCharType="begin"/>
        </w:r>
        <w:r>
          <w:instrText xml:space="preserve"> PAGEREF _Toc83625352 \h </w:instrText>
        </w:r>
        <w:r>
          <w:fldChar w:fldCharType="separate"/>
        </w:r>
        <w:r w:rsidR="005C5D7F">
          <w:t>2</w:t>
        </w:r>
        <w:r>
          <w:fldChar w:fldCharType="end"/>
        </w:r>
      </w:hyperlink>
    </w:p>
    <w:p w14:paraId="340B87C6" w14:textId="6674002B" w:rsidR="005E03F7" w:rsidRDefault="005E03F7">
      <w:pPr>
        <w:pStyle w:val="TOC5"/>
        <w:rPr>
          <w:rFonts w:asciiTheme="minorHAnsi" w:eastAsiaTheme="minorEastAsia" w:hAnsiTheme="minorHAnsi" w:cstheme="minorBidi"/>
          <w:sz w:val="22"/>
          <w:szCs w:val="22"/>
          <w:lang w:eastAsia="en-AU"/>
        </w:rPr>
      </w:pPr>
      <w:r>
        <w:tab/>
      </w:r>
      <w:hyperlink w:anchor="_Toc83625353" w:history="1">
        <w:r w:rsidRPr="00D90FEA">
          <w:t>2</w:t>
        </w:r>
        <w:r>
          <w:rPr>
            <w:rFonts w:asciiTheme="minorHAnsi" w:eastAsiaTheme="minorEastAsia" w:hAnsiTheme="minorHAnsi" w:cstheme="minorBidi"/>
            <w:sz w:val="22"/>
            <w:szCs w:val="22"/>
            <w:lang w:eastAsia="en-AU"/>
          </w:rPr>
          <w:tab/>
        </w:r>
        <w:r w:rsidRPr="00D90FEA">
          <w:t>Commencement</w:t>
        </w:r>
        <w:r>
          <w:tab/>
        </w:r>
        <w:r>
          <w:fldChar w:fldCharType="begin"/>
        </w:r>
        <w:r>
          <w:instrText xml:space="preserve"> PAGEREF _Toc83625353 \h </w:instrText>
        </w:r>
        <w:r>
          <w:fldChar w:fldCharType="separate"/>
        </w:r>
        <w:r w:rsidR="005C5D7F">
          <w:t>2</w:t>
        </w:r>
        <w:r>
          <w:fldChar w:fldCharType="end"/>
        </w:r>
      </w:hyperlink>
    </w:p>
    <w:p w14:paraId="396473EC" w14:textId="3901A4A8" w:rsidR="005E03F7" w:rsidRDefault="005E03F7">
      <w:pPr>
        <w:pStyle w:val="TOC5"/>
        <w:rPr>
          <w:rFonts w:asciiTheme="minorHAnsi" w:eastAsiaTheme="minorEastAsia" w:hAnsiTheme="minorHAnsi" w:cstheme="minorBidi"/>
          <w:sz w:val="22"/>
          <w:szCs w:val="22"/>
          <w:lang w:eastAsia="en-AU"/>
        </w:rPr>
      </w:pPr>
      <w:r>
        <w:tab/>
      </w:r>
      <w:hyperlink w:anchor="_Toc83625354" w:history="1">
        <w:r w:rsidRPr="00D90FEA">
          <w:t>3</w:t>
        </w:r>
        <w:r>
          <w:rPr>
            <w:rFonts w:asciiTheme="minorHAnsi" w:eastAsiaTheme="minorEastAsia" w:hAnsiTheme="minorHAnsi" w:cstheme="minorBidi"/>
            <w:sz w:val="22"/>
            <w:szCs w:val="22"/>
            <w:lang w:eastAsia="en-AU"/>
          </w:rPr>
          <w:tab/>
        </w:r>
        <w:r w:rsidRPr="00D90FEA">
          <w:t>Object of Law</w:t>
        </w:r>
        <w:r>
          <w:tab/>
        </w:r>
        <w:r>
          <w:fldChar w:fldCharType="begin"/>
        </w:r>
        <w:r>
          <w:instrText xml:space="preserve"> PAGEREF _Toc83625354 \h </w:instrText>
        </w:r>
        <w:r>
          <w:fldChar w:fldCharType="separate"/>
        </w:r>
        <w:r w:rsidR="005C5D7F">
          <w:t>2</w:t>
        </w:r>
        <w:r>
          <w:fldChar w:fldCharType="end"/>
        </w:r>
      </w:hyperlink>
    </w:p>
    <w:p w14:paraId="5DBFF907" w14:textId="2B0FBE89" w:rsidR="005E03F7" w:rsidRDefault="005E03F7">
      <w:pPr>
        <w:pStyle w:val="TOC5"/>
        <w:rPr>
          <w:rFonts w:asciiTheme="minorHAnsi" w:eastAsiaTheme="minorEastAsia" w:hAnsiTheme="minorHAnsi" w:cstheme="minorBidi"/>
          <w:sz w:val="22"/>
          <w:szCs w:val="22"/>
          <w:lang w:eastAsia="en-AU"/>
        </w:rPr>
      </w:pPr>
      <w:r>
        <w:tab/>
      </w:r>
      <w:hyperlink w:anchor="_Toc83625355" w:history="1">
        <w:r w:rsidRPr="00D90FEA">
          <w:t>4</w:t>
        </w:r>
        <w:r>
          <w:rPr>
            <w:rFonts w:asciiTheme="minorHAnsi" w:eastAsiaTheme="minorEastAsia" w:hAnsiTheme="minorHAnsi" w:cstheme="minorBidi"/>
            <w:sz w:val="22"/>
            <w:szCs w:val="22"/>
            <w:lang w:eastAsia="en-AU"/>
          </w:rPr>
          <w:tab/>
        </w:r>
        <w:r w:rsidRPr="00D90FEA">
          <w:t>Regulatory framework to achieve object</w:t>
        </w:r>
        <w:r>
          <w:tab/>
        </w:r>
        <w:r>
          <w:fldChar w:fldCharType="begin"/>
        </w:r>
        <w:r>
          <w:instrText xml:space="preserve"> PAGEREF _Toc83625355 \h </w:instrText>
        </w:r>
        <w:r>
          <w:fldChar w:fldCharType="separate"/>
        </w:r>
        <w:r w:rsidR="005C5D7F">
          <w:t>2</w:t>
        </w:r>
        <w:r>
          <w:fldChar w:fldCharType="end"/>
        </w:r>
      </w:hyperlink>
    </w:p>
    <w:p w14:paraId="28C168A5" w14:textId="0EA324FC" w:rsidR="005E03F7" w:rsidRDefault="00856BEE">
      <w:pPr>
        <w:pStyle w:val="TOC2"/>
        <w:rPr>
          <w:rFonts w:asciiTheme="minorHAnsi" w:eastAsiaTheme="minorEastAsia" w:hAnsiTheme="minorHAnsi" w:cstheme="minorBidi"/>
          <w:b w:val="0"/>
          <w:sz w:val="22"/>
          <w:szCs w:val="22"/>
          <w:lang w:eastAsia="en-AU"/>
        </w:rPr>
      </w:pPr>
      <w:hyperlink w:anchor="_Toc83625356" w:history="1">
        <w:r w:rsidR="005E03F7" w:rsidRPr="00D90FEA">
          <w:t>Part 1.2</w:t>
        </w:r>
        <w:r w:rsidR="005E03F7">
          <w:rPr>
            <w:rFonts w:asciiTheme="minorHAnsi" w:eastAsiaTheme="minorEastAsia" w:hAnsiTheme="minorHAnsi" w:cstheme="minorBidi"/>
            <w:b w:val="0"/>
            <w:sz w:val="22"/>
            <w:szCs w:val="22"/>
            <w:lang w:eastAsia="en-AU"/>
          </w:rPr>
          <w:tab/>
        </w:r>
        <w:r w:rsidR="005E03F7" w:rsidRPr="00D90FEA">
          <w:t>Interpretation</w:t>
        </w:r>
        <w:r w:rsidR="005E03F7" w:rsidRPr="005E03F7">
          <w:rPr>
            <w:vanish/>
          </w:rPr>
          <w:tab/>
        </w:r>
        <w:r w:rsidR="005E03F7" w:rsidRPr="005E03F7">
          <w:rPr>
            <w:vanish/>
          </w:rPr>
          <w:fldChar w:fldCharType="begin"/>
        </w:r>
        <w:r w:rsidR="005E03F7" w:rsidRPr="005E03F7">
          <w:rPr>
            <w:vanish/>
          </w:rPr>
          <w:instrText xml:space="preserve"> PAGEREF _Toc83625356 \h </w:instrText>
        </w:r>
        <w:r w:rsidR="005E03F7" w:rsidRPr="005E03F7">
          <w:rPr>
            <w:vanish/>
          </w:rPr>
        </w:r>
        <w:r w:rsidR="005E03F7" w:rsidRPr="005E03F7">
          <w:rPr>
            <w:vanish/>
          </w:rPr>
          <w:fldChar w:fldCharType="separate"/>
        </w:r>
        <w:r w:rsidR="005C5D7F">
          <w:rPr>
            <w:vanish/>
          </w:rPr>
          <w:t>4</w:t>
        </w:r>
        <w:r w:rsidR="005E03F7" w:rsidRPr="005E03F7">
          <w:rPr>
            <w:vanish/>
          </w:rPr>
          <w:fldChar w:fldCharType="end"/>
        </w:r>
      </w:hyperlink>
    </w:p>
    <w:p w14:paraId="1ED85963" w14:textId="5E4D2AAC" w:rsidR="005E03F7" w:rsidRDefault="005E03F7">
      <w:pPr>
        <w:pStyle w:val="TOC5"/>
        <w:rPr>
          <w:rFonts w:asciiTheme="minorHAnsi" w:eastAsiaTheme="minorEastAsia" w:hAnsiTheme="minorHAnsi" w:cstheme="minorBidi"/>
          <w:sz w:val="22"/>
          <w:szCs w:val="22"/>
          <w:lang w:eastAsia="en-AU"/>
        </w:rPr>
      </w:pPr>
      <w:r>
        <w:tab/>
      </w:r>
      <w:hyperlink w:anchor="_Toc83625357" w:history="1">
        <w:r w:rsidRPr="00D90FEA">
          <w:t>5</w:t>
        </w:r>
        <w:r>
          <w:rPr>
            <w:rFonts w:asciiTheme="minorHAnsi" w:eastAsiaTheme="minorEastAsia" w:hAnsiTheme="minorHAnsi" w:cstheme="minorBidi"/>
            <w:sz w:val="22"/>
            <w:szCs w:val="22"/>
            <w:lang w:eastAsia="en-AU"/>
          </w:rPr>
          <w:tab/>
        </w:r>
        <w:r w:rsidRPr="00D90FEA">
          <w:t>Definitions</w:t>
        </w:r>
        <w:r>
          <w:tab/>
        </w:r>
        <w:r>
          <w:fldChar w:fldCharType="begin"/>
        </w:r>
        <w:r>
          <w:instrText xml:space="preserve"> PAGEREF _Toc83625357 \h </w:instrText>
        </w:r>
        <w:r>
          <w:fldChar w:fldCharType="separate"/>
        </w:r>
        <w:r w:rsidR="005C5D7F">
          <w:t>4</w:t>
        </w:r>
        <w:r>
          <w:fldChar w:fldCharType="end"/>
        </w:r>
      </w:hyperlink>
    </w:p>
    <w:p w14:paraId="6CE9DD77" w14:textId="3C6B0263" w:rsidR="005E03F7" w:rsidRDefault="005E03F7">
      <w:pPr>
        <w:pStyle w:val="TOC5"/>
        <w:rPr>
          <w:rFonts w:asciiTheme="minorHAnsi" w:eastAsiaTheme="minorEastAsia" w:hAnsiTheme="minorHAnsi" w:cstheme="minorBidi"/>
          <w:sz w:val="22"/>
          <w:szCs w:val="22"/>
          <w:lang w:eastAsia="en-AU"/>
        </w:rPr>
      </w:pPr>
      <w:r>
        <w:tab/>
      </w:r>
      <w:hyperlink w:anchor="_Toc83625358" w:history="1">
        <w:r w:rsidRPr="00D90FEA">
          <w:t>6</w:t>
        </w:r>
        <w:r>
          <w:rPr>
            <w:rFonts w:asciiTheme="minorHAnsi" w:eastAsiaTheme="minorEastAsia" w:hAnsiTheme="minorHAnsi" w:cstheme="minorBidi"/>
            <w:sz w:val="22"/>
            <w:szCs w:val="22"/>
            <w:lang w:eastAsia="en-AU"/>
          </w:rPr>
          <w:tab/>
        </w:r>
        <w:r w:rsidRPr="00D90FEA">
          <w:t xml:space="preserve">Meaning of </w:t>
        </w:r>
        <w:r w:rsidRPr="00D90FEA">
          <w:rPr>
            <w:i/>
          </w:rPr>
          <w:t>heavy vehicle</w:t>
        </w:r>
        <w:r>
          <w:tab/>
        </w:r>
        <w:r>
          <w:fldChar w:fldCharType="begin"/>
        </w:r>
        <w:r>
          <w:instrText xml:space="preserve"> PAGEREF _Toc83625358 \h </w:instrText>
        </w:r>
        <w:r>
          <w:fldChar w:fldCharType="separate"/>
        </w:r>
        <w:r w:rsidR="005C5D7F">
          <w:t>62</w:t>
        </w:r>
        <w:r>
          <w:fldChar w:fldCharType="end"/>
        </w:r>
      </w:hyperlink>
    </w:p>
    <w:p w14:paraId="62E20867" w14:textId="5554015B" w:rsidR="005E03F7" w:rsidRDefault="005E03F7">
      <w:pPr>
        <w:pStyle w:val="TOC5"/>
        <w:rPr>
          <w:rFonts w:asciiTheme="minorHAnsi" w:eastAsiaTheme="minorEastAsia" w:hAnsiTheme="minorHAnsi" w:cstheme="minorBidi"/>
          <w:sz w:val="22"/>
          <w:szCs w:val="22"/>
          <w:lang w:eastAsia="en-AU"/>
        </w:rPr>
      </w:pPr>
      <w:r>
        <w:tab/>
      </w:r>
      <w:hyperlink w:anchor="_Toc83625359" w:history="1">
        <w:r w:rsidRPr="00D90FEA">
          <w:t>7</w:t>
        </w:r>
        <w:r>
          <w:rPr>
            <w:rFonts w:asciiTheme="minorHAnsi" w:eastAsiaTheme="minorEastAsia" w:hAnsiTheme="minorHAnsi" w:cstheme="minorBidi"/>
            <w:sz w:val="22"/>
            <w:szCs w:val="22"/>
            <w:lang w:eastAsia="en-AU"/>
          </w:rPr>
          <w:tab/>
        </w:r>
        <w:r w:rsidRPr="00D90FEA">
          <w:t xml:space="preserve">Meaning of </w:t>
        </w:r>
        <w:r w:rsidRPr="00D90FEA">
          <w:rPr>
            <w:i/>
          </w:rPr>
          <w:t>fatigue-regulated heavy vehicle</w:t>
        </w:r>
        <w:r>
          <w:tab/>
        </w:r>
        <w:r>
          <w:fldChar w:fldCharType="begin"/>
        </w:r>
        <w:r>
          <w:instrText xml:space="preserve"> PAGEREF _Toc83625359 \h </w:instrText>
        </w:r>
        <w:r>
          <w:fldChar w:fldCharType="separate"/>
        </w:r>
        <w:r w:rsidR="005C5D7F">
          <w:t>63</w:t>
        </w:r>
        <w:r>
          <w:fldChar w:fldCharType="end"/>
        </w:r>
      </w:hyperlink>
    </w:p>
    <w:p w14:paraId="14694019" w14:textId="10D43F82" w:rsidR="005E03F7" w:rsidRDefault="005E03F7">
      <w:pPr>
        <w:pStyle w:val="TOC5"/>
        <w:rPr>
          <w:rFonts w:asciiTheme="minorHAnsi" w:eastAsiaTheme="minorEastAsia" w:hAnsiTheme="minorHAnsi" w:cstheme="minorBidi"/>
          <w:sz w:val="22"/>
          <w:szCs w:val="22"/>
          <w:lang w:eastAsia="en-AU"/>
        </w:rPr>
      </w:pPr>
      <w:r>
        <w:lastRenderedPageBreak/>
        <w:tab/>
      </w:r>
      <w:hyperlink w:anchor="_Toc83625360" w:history="1">
        <w:r w:rsidRPr="00D90FEA">
          <w:t>8</w:t>
        </w:r>
        <w:r>
          <w:rPr>
            <w:rFonts w:asciiTheme="minorHAnsi" w:eastAsiaTheme="minorEastAsia" w:hAnsiTheme="minorHAnsi" w:cstheme="minorBidi"/>
            <w:sz w:val="22"/>
            <w:szCs w:val="22"/>
            <w:lang w:eastAsia="en-AU"/>
          </w:rPr>
          <w:tab/>
        </w:r>
        <w:r w:rsidRPr="00D90FEA">
          <w:t xml:space="preserve">Meaning of </w:t>
        </w:r>
        <w:r w:rsidRPr="00D90FEA">
          <w:rPr>
            <w:i/>
          </w:rPr>
          <w:t>road</w:t>
        </w:r>
        <w:r w:rsidRPr="00D90FEA">
          <w:t xml:space="preserve"> and </w:t>
        </w:r>
        <w:r w:rsidRPr="00D90FEA">
          <w:rPr>
            <w:i/>
          </w:rPr>
          <w:t>road-related area</w:t>
        </w:r>
        <w:r>
          <w:tab/>
        </w:r>
        <w:r>
          <w:fldChar w:fldCharType="begin"/>
        </w:r>
        <w:r>
          <w:instrText xml:space="preserve"> PAGEREF _Toc83625360 \h </w:instrText>
        </w:r>
        <w:r>
          <w:fldChar w:fldCharType="separate"/>
        </w:r>
        <w:r w:rsidR="005C5D7F">
          <w:t>65</w:t>
        </w:r>
        <w:r>
          <w:fldChar w:fldCharType="end"/>
        </w:r>
      </w:hyperlink>
    </w:p>
    <w:p w14:paraId="24CCA90B" w14:textId="64F6ED4F" w:rsidR="005E03F7" w:rsidRDefault="005E03F7">
      <w:pPr>
        <w:pStyle w:val="TOC5"/>
        <w:rPr>
          <w:rFonts w:asciiTheme="minorHAnsi" w:eastAsiaTheme="minorEastAsia" w:hAnsiTheme="minorHAnsi" w:cstheme="minorBidi"/>
          <w:sz w:val="22"/>
          <w:szCs w:val="22"/>
          <w:lang w:eastAsia="en-AU"/>
        </w:rPr>
      </w:pPr>
      <w:r>
        <w:tab/>
      </w:r>
      <w:hyperlink w:anchor="_Toc83625361" w:history="1">
        <w:r w:rsidRPr="00D90FEA">
          <w:t>9</w:t>
        </w:r>
        <w:r>
          <w:rPr>
            <w:rFonts w:asciiTheme="minorHAnsi" w:eastAsiaTheme="minorEastAsia" w:hAnsiTheme="minorHAnsi" w:cstheme="minorBidi"/>
            <w:sz w:val="22"/>
            <w:szCs w:val="22"/>
            <w:lang w:eastAsia="en-AU"/>
          </w:rPr>
          <w:tab/>
        </w:r>
        <w:r w:rsidRPr="00D90FEA">
          <w:t xml:space="preserve">Meaning of </w:t>
        </w:r>
        <w:r w:rsidRPr="00D90FEA">
          <w:rPr>
            <w:i/>
          </w:rPr>
          <w:t>convicts</w:t>
        </w:r>
        <w:r w:rsidRPr="00D90FEA">
          <w:t xml:space="preserve"> and </w:t>
        </w:r>
        <w:r w:rsidRPr="00D90FEA">
          <w:rPr>
            <w:i/>
          </w:rPr>
          <w:t>convicted</w:t>
        </w:r>
        <w:r w:rsidRPr="00D90FEA">
          <w:t xml:space="preserve"> of an offence</w:t>
        </w:r>
        <w:r>
          <w:tab/>
        </w:r>
        <w:r>
          <w:fldChar w:fldCharType="begin"/>
        </w:r>
        <w:r>
          <w:instrText xml:space="preserve"> PAGEREF _Toc83625361 \h </w:instrText>
        </w:r>
        <w:r>
          <w:fldChar w:fldCharType="separate"/>
        </w:r>
        <w:r w:rsidR="005C5D7F">
          <w:t>66</w:t>
        </w:r>
        <w:r>
          <w:fldChar w:fldCharType="end"/>
        </w:r>
      </w:hyperlink>
    </w:p>
    <w:p w14:paraId="5A7DDA0B" w14:textId="194F45E4" w:rsidR="005E03F7" w:rsidRDefault="005E03F7">
      <w:pPr>
        <w:pStyle w:val="TOC5"/>
        <w:rPr>
          <w:rFonts w:asciiTheme="minorHAnsi" w:eastAsiaTheme="minorEastAsia" w:hAnsiTheme="minorHAnsi" w:cstheme="minorBidi"/>
          <w:sz w:val="22"/>
          <w:szCs w:val="22"/>
          <w:lang w:eastAsia="en-AU"/>
        </w:rPr>
      </w:pPr>
      <w:r>
        <w:tab/>
      </w:r>
      <w:hyperlink w:anchor="_Toc83625362" w:history="1">
        <w:r w:rsidRPr="00D90FEA">
          <w:t>10</w:t>
        </w:r>
        <w:r>
          <w:rPr>
            <w:rFonts w:asciiTheme="minorHAnsi" w:eastAsiaTheme="minorEastAsia" w:hAnsiTheme="minorHAnsi" w:cstheme="minorBidi"/>
            <w:sz w:val="22"/>
            <w:szCs w:val="22"/>
            <w:lang w:eastAsia="en-AU"/>
          </w:rPr>
          <w:tab/>
        </w:r>
        <w:r w:rsidRPr="00D90FEA">
          <w:t>Interpretation</w:t>
        </w:r>
        <w:r w:rsidRPr="00D90FEA">
          <w:rPr>
            <w:rFonts w:ascii="Helvetica" w:hAnsi="Helvetica" w:cs="Helvetica"/>
          </w:rPr>
          <w:t xml:space="preserve"> generally</w:t>
        </w:r>
        <w:r>
          <w:tab/>
        </w:r>
        <w:r>
          <w:fldChar w:fldCharType="begin"/>
        </w:r>
        <w:r>
          <w:instrText xml:space="preserve"> PAGEREF _Toc83625362 \h </w:instrText>
        </w:r>
        <w:r>
          <w:fldChar w:fldCharType="separate"/>
        </w:r>
        <w:r w:rsidR="005C5D7F">
          <w:t>66</w:t>
        </w:r>
        <w:r>
          <w:fldChar w:fldCharType="end"/>
        </w:r>
      </w:hyperlink>
    </w:p>
    <w:p w14:paraId="2922CA0A" w14:textId="4D8A813C" w:rsidR="005E03F7" w:rsidRDefault="005E03F7">
      <w:pPr>
        <w:pStyle w:val="TOC5"/>
        <w:rPr>
          <w:rFonts w:asciiTheme="minorHAnsi" w:eastAsiaTheme="minorEastAsia" w:hAnsiTheme="minorHAnsi" w:cstheme="minorBidi"/>
          <w:sz w:val="22"/>
          <w:szCs w:val="22"/>
          <w:lang w:eastAsia="en-AU"/>
        </w:rPr>
      </w:pPr>
      <w:r>
        <w:tab/>
      </w:r>
      <w:hyperlink w:anchor="_Toc83625363" w:history="1">
        <w:r w:rsidRPr="00D90FEA">
          <w:t>11</w:t>
        </w:r>
        <w:r>
          <w:rPr>
            <w:rFonts w:asciiTheme="minorHAnsi" w:eastAsiaTheme="minorEastAsia" w:hAnsiTheme="minorHAnsi" w:cstheme="minorBidi"/>
            <w:sz w:val="22"/>
            <w:szCs w:val="22"/>
            <w:lang w:eastAsia="en-AU"/>
          </w:rPr>
          <w:tab/>
        </w:r>
        <w:r w:rsidRPr="00D90FEA">
          <w:t>References</w:t>
        </w:r>
        <w:r w:rsidRPr="00D90FEA">
          <w:rPr>
            <w:rFonts w:ascii="Helvetica" w:hAnsi="Helvetica" w:cs="Helvetica"/>
          </w:rPr>
          <w:t xml:space="preserve"> to laws includes references to instruments made under laws</w:t>
        </w:r>
        <w:r>
          <w:tab/>
        </w:r>
        <w:r>
          <w:fldChar w:fldCharType="begin"/>
        </w:r>
        <w:r>
          <w:instrText xml:space="preserve"> PAGEREF _Toc83625363 \h </w:instrText>
        </w:r>
        <w:r>
          <w:fldChar w:fldCharType="separate"/>
        </w:r>
        <w:r w:rsidR="005C5D7F">
          <w:t>66</w:t>
        </w:r>
        <w:r>
          <w:fldChar w:fldCharType="end"/>
        </w:r>
      </w:hyperlink>
    </w:p>
    <w:p w14:paraId="36ADA6A5" w14:textId="31AF6D5C" w:rsidR="005E03F7" w:rsidRDefault="005E03F7">
      <w:pPr>
        <w:pStyle w:val="TOC5"/>
        <w:rPr>
          <w:rFonts w:asciiTheme="minorHAnsi" w:eastAsiaTheme="minorEastAsia" w:hAnsiTheme="minorHAnsi" w:cstheme="minorBidi"/>
          <w:sz w:val="22"/>
          <w:szCs w:val="22"/>
          <w:lang w:eastAsia="en-AU"/>
        </w:rPr>
      </w:pPr>
      <w:r>
        <w:tab/>
      </w:r>
      <w:hyperlink w:anchor="_Toc83625364" w:history="1">
        <w:r w:rsidRPr="00D90FEA">
          <w:t>12</w:t>
        </w:r>
        <w:r>
          <w:rPr>
            <w:rFonts w:asciiTheme="minorHAnsi" w:eastAsiaTheme="minorEastAsia" w:hAnsiTheme="minorHAnsi" w:cstheme="minorBidi"/>
            <w:sz w:val="22"/>
            <w:szCs w:val="22"/>
            <w:lang w:eastAsia="en-AU"/>
          </w:rPr>
          <w:tab/>
        </w:r>
        <w:r w:rsidRPr="00D90FEA">
          <w:rPr>
            <w:rFonts w:ascii="Helvetica" w:hAnsi="Helvetica" w:cs="Helvetica"/>
          </w:rPr>
          <w:t xml:space="preserve">References to this Law as applied in a participating </w:t>
        </w:r>
        <w:r w:rsidRPr="00D90FEA">
          <w:t>jurisdiction</w:t>
        </w:r>
        <w:r>
          <w:tab/>
        </w:r>
        <w:r>
          <w:fldChar w:fldCharType="begin"/>
        </w:r>
        <w:r>
          <w:instrText xml:space="preserve"> PAGEREF _Toc83625364 \h </w:instrText>
        </w:r>
        <w:r>
          <w:fldChar w:fldCharType="separate"/>
        </w:r>
        <w:r w:rsidR="005C5D7F">
          <w:t>67</w:t>
        </w:r>
        <w:r>
          <w:fldChar w:fldCharType="end"/>
        </w:r>
      </w:hyperlink>
    </w:p>
    <w:p w14:paraId="3EDEC695" w14:textId="3569FAED" w:rsidR="005E03F7" w:rsidRDefault="005E03F7">
      <w:pPr>
        <w:pStyle w:val="TOC5"/>
        <w:rPr>
          <w:rFonts w:asciiTheme="minorHAnsi" w:eastAsiaTheme="minorEastAsia" w:hAnsiTheme="minorHAnsi" w:cstheme="minorBidi"/>
          <w:sz w:val="22"/>
          <w:szCs w:val="22"/>
          <w:lang w:eastAsia="en-AU"/>
        </w:rPr>
      </w:pPr>
      <w:r>
        <w:tab/>
      </w:r>
      <w:hyperlink w:anchor="_Toc83625365" w:history="1">
        <w:r w:rsidRPr="00D90FEA">
          <w:t>13</w:t>
        </w:r>
        <w:r>
          <w:rPr>
            <w:rFonts w:asciiTheme="minorHAnsi" w:eastAsiaTheme="minorEastAsia" w:hAnsiTheme="minorHAnsi" w:cstheme="minorBidi"/>
            <w:sz w:val="22"/>
            <w:szCs w:val="22"/>
            <w:lang w:eastAsia="en-AU"/>
          </w:rPr>
          <w:tab/>
        </w:r>
        <w:r w:rsidRPr="00D90FEA">
          <w:t>References</w:t>
        </w:r>
        <w:r w:rsidRPr="00D90FEA">
          <w:rPr>
            <w:rFonts w:ascii="Helvetica" w:hAnsi="Helvetica" w:cs="Helvetica"/>
          </w:rPr>
          <w:t xml:space="preserve"> to road</w:t>
        </w:r>
        <w:r>
          <w:tab/>
        </w:r>
        <w:r>
          <w:fldChar w:fldCharType="begin"/>
        </w:r>
        <w:r>
          <w:instrText xml:space="preserve"> PAGEREF _Toc83625365 \h </w:instrText>
        </w:r>
        <w:r>
          <w:fldChar w:fldCharType="separate"/>
        </w:r>
        <w:r w:rsidR="005C5D7F">
          <w:t>67</w:t>
        </w:r>
        <w:r>
          <w:fldChar w:fldCharType="end"/>
        </w:r>
      </w:hyperlink>
    </w:p>
    <w:p w14:paraId="03751647" w14:textId="20731388" w:rsidR="005E03F7" w:rsidRDefault="005E03F7">
      <w:pPr>
        <w:pStyle w:val="TOC5"/>
        <w:rPr>
          <w:rFonts w:asciiTheme="minorHAnsi" w:eastAsiaTheme="minorEastAsia" w:hAnsiTheme="minorHAnsi" w:cstheme="minorBidi"/>
          <w:sz w:val="22"/>
          <w:szCs w:val="22"/>
          <w:lang w:eastAsia="en-AU"/>
        </w:rPr>
      </w:pPr>
      <w:r>
        <w:tab/>
      </w:r>
      <w:hyperlink w:anchor="_Toc83625366" w:history="1">
        <w:r w:rsidRPr="00D90FEA">
          <w:t>14</w:t>
        </w:r>
        <w:r>
          <w:rPr>
            <w:rFonts w:asciiTheme="minorHAnsi" w:eastAsiaTheme="minorEastAsia" w:hAnsiTheme="minorHAnsi" w:cstheme="minorBidi"/>
            <w:sz w:val="22"/>
            <w:szCs w:val="22"/>
            <w:lang w:eastAsia="en-AU"/>
          </w:rPr>
          <w:tab/>
        </w:r>
        <w:r w:rsidRPr="00D90FEA">
          <w:rPr>
            <w:lang w:eastAsia="en-AU"/>
          </w:rPr>
          <w:t>References to particular ADR versions</w:t>
        </w:r>
        <w:r>
          <w:tab/>
        </w:r>
        <w:r>
          <w:fldChar w:fldCharType="begin"/>
        </w:r>
        <w:r>
          <w:instrText xml:space="preserve"> PAGEREF _Toc83625366 \h </w:instrText>
        </w:r>
        <w:r>
          <w:fldChar w:fldCharType="separate"/>
        </w:r>
        <w:r w:rsidR="005C5D7F">
          <w:t>67</w:t>
        </w:r>
        <w:r>
          <w:fldChar w:fldCharType="end"/>
        </w:r>
      </w:hyperlink>
    </w:p>
    <w:p w14:paraId="3DE45498" w14:textId="615B5671" w:rsidR="005E03F7" w:rsidRDefault="005E03F7">
      <w:pPr>
        <w:pStyle w:val="TOC5"/>
        <w:rPr>
          <w:rFonts w:asciiTheme="minorHAnsi" w:eastAsiaTheme="minorEastAsia" w:hAnsiTheme="minorHAnsi" w:cstheme="minorBidi"/>
          <w:sz w:val="22"/>
          <w:szCs w:val="22"/>
          <w:lang w:eastAsia="en-AU"/>
        </w:rPr>
      </w:pPr>
      <w:r>
        <w:tab/>
      </w:r>
      <w:hyperlink w:anchor="_Toc83625367" w:history="1">
        <w:r w:rsidRPr="00D90FEA">
          <w:t>15</w:t>
        </w:r>
        <w:r>
          <w:rPr>
            <w:rFonts w:asciiTheme="minorHAnsi" w:eastAsiaTheme="minorEastAsia" w:hAnsiTheme="minorHAnsi" w:cstheme="minorBidi"/>
            <w:sz w:val="22"/>
            <w:szCs w:val="22"/>
            <w:lang w:eastAsia="en-AU"/>
          </w:rPr>
          <w:tab/>
        </w:r>
        <w:r w:rsidRPr="00D90FEA">
          <w:t>References</w:t>
        </w:r>
        <w:r w:rsidRPr="00D90FEA">
          <w:rPr>
            <w:rFonts w:ascii="Helvetica" w:hAnsi="Helvetica" w:cs="Helvetica"/>
          </w:rPr>
          <w:t xml:space="preserve"> to categories of heavy vehicles</w:t>
        </w:r>
        <w:r>
          <w:tab/>
        </w:r>
        <w:r>
          <w:fldChar w:fldCharType="begin"/>
        </w:r>
        <w:r>
          <w:instrText xml:space="preserve"> PAGEREF _Toc83625367 \h </w:instrText>
        </w:r>
        <w:r>
          <w:fldChar w:fldCharType="separate"/>
        </w:r>
        <w:r w:rsidR="005C5D7F">
          <w:t>68</w:t>
        </w:r>
        <w:r>
          <w:fldChar w:fldCharType="end"/>
        </w:r>
      </w:hyperlink>
    </w:p>
    <w:p w14:paraId="7B8E2AE6" w14:textId="77F6E5CC" w:rsidR="005E03F7" w:rsidRDefault="00856BEE">
      <w:pPr>
        <w:pStyle w:val="TOC2"/>
        <w:rPr>
          <w:rFonts w:asciiTheme="minorHAnsi" w:eastAsiaTheme="minorEastAsia" w:hAnsiTheme="minorHAnsi" w:cstheme="minorBidi"/>
          <w:b w:val="0"/>
          <w:sz w:val="22"/>
          <w:szCs w:val="22"/>
          <w:lang w:eastAsia="en-AU"/>
        </w:rPr>
      </w:pPr>
      <w:hyperlink w:anchor="_Toc83625368" w:history="1">
        <w:r w:rsidR="005E03F7" w:rsidRPr="00D90FEA">
          <w:t>Part 1.3</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rPr>
          <w:t>Application and operation of Law</w:t>
        </w:r>
        <w:r w:rsidR="005E03F7" w:rsidRPr="005E03F7">
          <w:rPr>
            <w:vanish/>
          </w:rPr>
          <w:tab/>
        </w:r>
        <w:r w:rsidR="005E03F7" w:rsidRPr="005E03F7">
          <w:rPr>
            <w:vanish/>
          </w:rPr>
          <w:fldChar w:fldCharType="begin"/>
        </w:r>
        <w:r w:rsidR="005E03F7" w:rsidRPr="005E03F7">
          <w:rPr>
            <w:vanish/>
          </w:rPr>
          <w:instrText xml:space="preserve"> PAGEREF _Toc83625368 \h </w:instrText>
        </w:r>
        <w:r w:rsidR="005E03F7" w:rsidRPr="005E03F7">
          <w:rPr>
            <w:vanish/>
          </w:rPr>
        </w:r>
        <w:r w:rsidR="005E03F7" w:rsidRPr="005E03F7">
          <w:rPr>
            <w:vanish/>
          </w:rPr>
          <w:fldChar w:fldCharType="separate"/>
        </w:r>
        <w:r w:rsidR="005C5D7F">
          <w:rPr>
            <w:vanish/>
          </w:rPr>
          <w:t>69</w:t>
        </w:r>
        <w:r w:rsidR="005E03F7" w:rsidRPr="005E03F7">
          <w:rPr>
            <w:vanish/>
          </w:rPr>
          <w:fldChar w:fldCharType="end"/>
        </w:r>
      </w:hyperlink>
    </w:p>
    <w:p w14:paraId="1810B809" w14:textId="19CEDCE7" w:rsidR="005E03F7" w:rsidRDefault="005E03F7">
      <w:pPr>
        <w:pStyle w:val="TOC5"/>
        <w:rPr>
          <w:rFonts w:asciiTheme="minorHAnsi" w:eastAsiaTheme="minorEastAsia" w:hAnsiTheme="minorHAnsi" w:cstheme="minorBidi"/>
          <w:sz w:val="22"/>
          <w:szCs w:val="22"/>
          <w:lang w:eastAsia="en-AU"/>
        </w:rPr>
      </w:pPr>
      <w:r>
        <w:tab/>
      </w:r>
      <w:hyperlink w:anchor="_Toc83625369" w:history="1">
        <w:r w:rsidRPr="00D90FEA">
          <w:t>16</w:t>
        </w:r>
        <w:r>
          <w:rPr>
            <w:rFonts w:asciiTheme="minorHAnsi" w:eastAsiaTheme="minorEastAsia" w:hAnsiTheme="minorHAnsi" w:cstheme="minorBidi"/>
            <w:sz w:val="22"/>
            <w:szCs w:val="22"/>
            <w:lang w:eastAsia="en-AU"/>
          </w:rPr>
          <w:tab/>
        </w:r>
        <w:r w:rsidRPr="00D90FEA">
          <w:t>Extraterritorial</w:t>
        </w:r>
        <w:r w:rsidRPr="00D90FEA">
          <w:rPr>
            <w:rFonts w:ascii="Helvetica" w:hAnsi="Helvetica" w:cs="Helvetica"/>
          </w:rPr>
          <w:t xml:space="preserve"> operation of Law</w:t>
        </w:r>
        <w:r>
          <w:tab/>
        </w:r>
        <w:r>
          <w:fldChar w:fldCharType="begin"/>
        </w:r>
        <w:r>
          <w:instrText xml:space="preserve"> PAGEREF _Toc83625369 \h </w:instrText>
        </w:r>
        <w:r>
          <w:fldChar w:fldCharType="separate"/>
        </w:r>
        <w:r w:rsidR="005C5D7F">
          <w:t>69</w:t>
        </w:r>
        <w:r>
          <w:fldChar w:fldCharType="end"/>
        </w:r>
      </w:hyperlink>
    </w:p>
    <w:p w14:paraId="5470FC1F" w14:textId="1F4F9598" w:rsidR="005E03F7" w:rsidRDefault="005E03F7">
      <w:pPr>
        <w:pStyle w:val="TOC5"/>
        <w:rPr>
          <w:rFonts w:asciiTheme="minorHAnsi" w:eastAsiaTheme="minorEastAsia" w:hAnsiTheme="minorHAnsi" w:cstheme="minorBidi"/>
          <w:sz w:val="22"/>
          <w:szCs w:val="22"/>
          <w:lang w:eastAsia="en-AU"/>
        </w:rPr>
      </w:pPr>
      <w:r>
        <w:tab/>
      </w:r>
      <w:hyperlink w:anchor="_Toc83625370" w:history="1">
        <w:r w:rsidRPr="00D90FEA">
          <w:t>17</w:t>
        </w:r>
        <w:r>
          <w:rPr>
            <w:rFonts w:asciiTheme="minorHAnsi" w:eastAsiaTheme="minorEastAsia" w:hAnsiTheme="minorHAnsi" w:cstheme="minorBidi"/>
            <w:sz w:val="22"/>
            <w:szCs w:val="22"/>
            <w:lang w:eastAsia="en-AU"/>
          </w:rPr>
          <w:tab/>
        </w:r>
        <w:r w:rsidRPr="00D90FEA">
          <w:rPr>
            <w:rFonts w:ascii="Helvetica" w:hAnsi="Helvetica" w:cs="Helvetica"/>
          </w:rPr>
          <w:t xml:space="preserve">Law </w:t>
        </w:r>
        <w:r w:rsidRPr="00D90FEA">
          <w:t>bin</w:t>
        </w:r>
        <w:r w:rsidRPr="00D90FEA">
          <w:rPr>
            <w:bCs/>
          </w:rPr>
          <w:t>d</w:t>
        </w:r>
        <w:r w:rsidRPr="00D90FEA">
          <w:t>s</w:t>
        </w:r>
        <w:r w:rsidRPr="00D90FEA">
          <w:rPr>
            <w:rFonts w:ascii="Helvetica" w:hAnsi="Helvetica" w:cs="Helvetica"/>
          </w:rPr>
          <w:t xml:space="preserve"> the State</w:t>
        </w:r>
        <w:r>
          <w:tab/>
        </w:r>
        <w:r>
          <w:fldChar w:fldCharType="begin"/>
        </w:r>
        <w:r>
          <w:instrText xml:space="preserve"> PAGEREF _Toc83625370 \h </w:instrText>
        </w:r>
        <w:r>
          <w:fldChar w:fldCharType="separate"/>
        </w:r>
        <w:r w:rsidR="005C5D7F">
          <w:t>69</w:t>
        </w:r>
        <w:r>
          <w:fldChar w:fldCharType="end"/>
        </w:r>
      </w:hyperlink>
    </w:p>
    <w:p w14:paraId="0D851CB6" w14:textId="6A93D9A0" w:rsidR="005E03F7" w:rsidRDefault="005E03F7">
      <w:pPr>
        <w:pStyle w:val="TOC5"/>
        <w:rPr>
          <w:rFonts w:asciiTheme="minorHAnsi" w:eastAsiaTheme="minorEastAsia" w:hAnsiTheme="minorHAnsi" w:cstheme="minorBidi"/>
          <w:sz w:val="22"/>
          <w:szCs w:val="22"/>
          <w:lang w:eastAsia="en-AU"/>
        </w:rPr>
      </w:pPr>
      <w:r>
        <w:tab/>
      </w:r>
      <w:hyperlink w:anchor="_Toc83625371" w:history="1">
        <w:r w:rsidRPr="00D90FEA">
          <w:t>18</w:t>
        </w:r>
        <w:r>
          <w:rPr>
            <w:rFonts w:asciiTheme="minorHAnsi" w:eastAsiaTheme="minorEastAsia" w:hAnsiTheme="minorHAnsi" w:cstheme="minorBidi"/>
            <w:sz w:val="22"/>
            <w:szCs w:val="22"/>
            <w:lang w:eastAsia="en-AU"/>
          </w:rPr>
          <w:tab/>
        </w:r>
        <w:r w:rsidRPr="00D90FEA">
          <w:t>Relationship</w:t>
        </w:r>
        <w:r w:rsidRPr="00D90FEA">
          <w:rPr>
            <w:rFonts w:ascii="Helvetica" w:hAnsi="Helvetica" w:cs="Helvetica"/>
          </w:rPr>
          <w:t xml:space="preserve"> with primary work health and safety laws</w:t>
        </w:r>
        <w:r>
          <w:tab/>
        </w:r>
        <w:r>
          <w:fldChar w:fldCharType="begin"/>
        </w:r>
        <w:r>
          <w:instrText xml:space="preserve"> PAGEREF _Toc83625371 \h </w:instrText>
        </w:r>
        <w:r>
          <w:fldChar w:fldCharType="separate"/>
        </w:r>
        <w:r w:rsidR="005C5D7F">
          <w:t>69</w:t>
        </w:r>
        <w:r>
          <w:fldChar w:fldCharType="end"/>
        </w:r>
      </w:hyperlink>
    </w:p>
    <w:p w14:paraId="46AB37BA" w14:textId="375C18B3" w:rsidR="005E03F7" w:rsidRDefault="00856BEE">
      <w:pPr>
        <w:pStyle w:val="TOC2"/>
        <w:rPr>
          <w:rFonts w:asciiTheme="minorHAnsi" w:eastAsiaTheme="minorEastAsia" w:hAnsiTheme="minorHAnsi" w:cstheme="minorBidi"/>
          <w:b w:val="0"/>
          <w:sz w:val="22"/>
          <w:szCs w:val="22"/>
          <w:lang w:eastAsia="en-AU"/>
        </w:rPr>
      </w:pPr>
      <w:hyperlink w:anchor="_Toc83625372" w:history="1">
        <w:r w:rsidR="005E03F7" w:rsidRPr="00D90FEA">
          <w:t>Part 1.4</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Performance based standards</w:t>
        </w:r>
        <w:r w:rsidR="005E03F7" w:rsidRPr="005E03F7">
          <w:rPr>
            <w:vanish/>
          </w:rPr>
          <w:tab/>
        </w:r>
        <w:r w:rsidR="005E03F7" w:rsidRPr="005E03F7">
          <w:rPr>
            <w:vanish/>
          </w:rPr>
          <w:fldChar w:fldCharType="begin"/>
        </w:r>
        <w:r w:rsidR="005E03F7" w:rsidRPr="005E03F7">
          <w:rPr>
            <w:vanish/>
          </w:rPr>
          <w:instrText xml:space="preserve"> PAGEREF _Toc83625372 \h </w:instrText>
        </w:r>
        <w:r w:rsidR="005E03F7" w:rsidRPr="005E03F7">
          <w:rPr>
            <w:vanish/>
          </w:rPr>
        </w:r>
        <w:r w:rsidR="005E03F7" w:rsidRPr="005E03F7">
          <w:rPr>
            <w:vanish/>
          </w:rPr>
          <w:fldChar w:fldCharType="separate"/>
        </w:r>
        <w:r w:rsidR="005C5D7F">
          <w:rPr>
            <w:vanish/>
          </w:rPr>
          <w:t>71</w:t>
        </w:r>
        <w:r w:rsidR="005E03F7" w:rsidRPr="005E03F7">
          <w:rPr>
            <w:vanish/>
          </w:rPr>
          <w:fldChar w:fldCharType="end"/>
        </w:r>
      </w:hyperlink>
    </w:p>
    <w:p w14:paraId="3185AA98" w14:textId="6EF20A7E" w:rsidR="005E03F7" w:rsidRDefault="005E03F7">
      <w:pPr>
        <w:pStyle w:val="TOC5"/>
        <w:rPr>
          <w:rFonts w:asciiTheme="minorHAnsi" w:eastAsiaTheme="minorEastAsia" w:hAnsiTheme="minorHAnsi" w:cstheme="minorBidi"/>
          <w:sz w:val="22"/>
          <w:szCs w:val="22"/>
          <w:lang w:eastAsia="en-AU"/>
        </w:rPr>
      </w:pPr>
      <w:r>
        <w:tab/>
      </w:r>
      <w:hyperlink w:anchor="_Toc83625373" w:history="1">
        <w:r w:rsidRPr="00D90FEA">
          <w:t>19</w:t>
        </w:r>
        <w:r>
          <w:rPr>
            <w:rFonts w:asciiTheme="minorHAnsi" w:eastAsiaTheme="minorEastAsia" w:hAnsiTheme="minorHAnsi" w:cstheme="minorBidi"/>
            <w:sz w:val="22"/>
            <w:szCs w:val="22"/>
            <w:lang w:eastAsia="en-AU"/>
          </w:rPr>
          <w:tab/>
        </w:r>
        <w:r w:rsidRPr="00D90FEA">
          <w:t>Main</w:t>
        </w:r>
        <w:r w:rsidRPr="00D90FEA">
          <w:rPr>
            <w:rFonts w:ascii="Helvetica" w:hAnsi="Helvetica" w:cs="Helvetica"/>
            <w:iCs/>
          </w:rPr>
          <w:t xml:space="preserve"> </w:t>
        </w:r>
        <w:r w:rsidRPr="00D90FEA">
          <w:t>purpose</w:t>
        </w:r>
        <w:r w:rsidRPr="00D90FEA">
          <w:rPr>
            <w:rFonts w:ascii="Helvetica" w:hAnsi="Helvetica" w:cs="Helvetica"/>
            <w:iCs/>
          </w:rPr>
          <w:t xml:space="preserve"> </w:t>
        </w:r>
        <w:r w:rsidRPr="00D90FEA">
          <w:t>of</w:t>
        </w:r>
        <w:r w:rsidRPr="00D90FEA">
          <w:rPr>
            <w:rFonts w:ascii="Helvetica" w:hAnsi="Helvetica" w:cs="Helvetica"/>
            <w:iCs/>
          </w:rPr>
          <w:t xml:space="preserve"> </w:t>
        </w:r>
        <w:r w:rsidRPr="00D90FEA">
          <w:t>this</w:t>
        </w:r>
        <w:r w:rsidRPr="00D90FEA">
          <w:rPr>
            <w:rFonts w:ascii="Helvetica" w:hAnsi="Helvetica" w:cs="Helvetica"/>
            <w:iCs/>
          </w:rPr>
          <w:t xml:space="preserve"> </w:t>
        </w:r>
        <w:r w:rsidRPr="00D90FEA">
          <w:t>Part</w:t>
        </w:r>
        <w:r>
          <w:tab/>
        </w:r>
        <w:r>
          <w:fldChar w:fldCharType="begin"/>
        </w:r>
        <w:r>
          <w:instrText xml:space="preserve"> PAGEREF _Toc83625373 \h </w:instrText>
        </w:r>
        <w:r>
          <w:fldChar w:fldCharType="separate"/>
        </w:r>
        <w:r w:rsidR="005C5D7F">
          <w:t>71</w:t>
        </w:r>
        <w:r>
          <w:fldChar w:fldCharType="end"/>
        </w:r>
      </w:hyperlink>
    </w:p>
    <w:p w14:paraId="6FEE62C1" w14:textId="5B68D39E" w:rsidR="005E03F7" w:rsidRDefault="005E03F7">
      <w:pPr>
        <w:pStyle w:val="TOC5"/>
        <w:rPr>
          <w:rFonts w:asciiTheme="minorHAnsi" w:eastAsiaTheme="minorEastAsia" w:hAnsiTheme="minorHAnsi" w:cstheme="minorBidi"/>
          <w:sz w:val="22"/>
          <w:szCs w:val="22"/>
          <w:lang w:eastAsia="en-AU"/>
        </w:rPr>
      </w:pPr>
      <w:r>
        <w:tab/>
      </w:r>
      <w:hyperlink w:anchor="_Toc83625374" w:history="1">
        <w:r w:rsidRPr="00D90FEA">
          <w:t>20</w:t>
        </w:r>
        <w:r>
          <w:rPr>
            <w:rFonts w:asciiTheme="minorHAnsi" w:eastAsiaTheme="minorEastAsia" w:hAnsiTheme="minorHAnsi" w:cstheme="minorBidi"/>
            <w:sz w:val="22"/>
            <w:szCs w:val="22"/>
            <w:lang w:eastAsia="en-AU"/>
          </w:rPr>
          <w:tab/>
        </w:r>
        <w:r w:rsidRPr="00D90FEA">
          <w:t>Notification</w:t>
        </w:r>
        <w:r w:rsidRPr="00D90FEA">
          <w:rPr>
            <w:rFonts w:ascii="Helvetica" w:hAnsi="Helvetica" w:cs="Helvetica"/>
            <w:iCs/>
          </w:rPr>
          <w:t xml:space="preserve"> </w:t>
        </w:r>
        <w:r w:rsidRPr="00D90FEA">
          <w:t>to</w:t>
        </w:r>
        <w:r w:rsidRPr="00D90FEA">
          <w:rPr>
            <w:rFonts w:ascii="Helvetica" w:hAnsi="Helvetica" w:cs="Helvetica"/>
            <w:iCs/>
          </w:rPr>
          <w:t xml:space="preserve"> </w:t>
        </w:r>
        <w:r w:rsidRPr="00D90FEA">
          <w:t>road</w:t>
        </w:r>
        <w:r w:rsidRPr="00D90FEA">
          <w:rPr>
            <w:rFonts w:ascii="Helvetica" w:hAnsi="Helvetica" w:cs="Helvetica"/>
            <w:iCs/>
          </w:rPr>
          <w:t xml:space="preserve"> </w:t>
        </w:r>
        <w:r w:rsidRPr="00D90FEA">
          <w:t>authority</w:t>
        </w:r>
        <w:r w:rsidRPr="00D90FEA">
          <w:rPr>
            <w:rFonts w:ascii="Helvetica" w:hAnsi="Helvetica" w:cs="Helvetica"/>
            <w:iCs/>
          </w:rPr>
          <w:t xml:space="preserve"> </w:t>
        </w:r>
        <w:r w:rsidRPr="00D90FEA">
          <w:t>of</w:t>
        </w:r>
        <w:r w:rsidRPr="00D90FEA">
          <w:rPr>
            <w:rFonts w:ascii="Helvetica" w:hAnsi="Helvetica" w:cs="Helvetica"/>
            <w:iCs/>
          </w:rPr>
          <w:t xml:space="preserve"> </w:t>
        </w:r>
        <w:r w:rsidRPr="00D90FEA">
          <w:t>PBS</w:t>
        </w:r>
        <w:r w:rsidRPr="00D90FEA">
          <w:rPr>
            <w:rFonts w:ascii="Helvetica" w:hAnsi="Helvetica" w:cs="Helvetica"/>
            <w:iCs/>
          </w:rPr>
          <w:t xml:space="preserve"> </w:t>
        </w:r>
        <w:r w:rsidRPr="00D90FEA">
          <w:t>design</w:t>
        </w:r>
        <w:r w:rsidRPr="00D90FEA">
          <w:rPr>
            <w:rFonts w:ascii="Helvetica" w:hAnsi="Helvetica" w:cs="Helvetica"/>
            <w:iCs/>
          </w:rPr>
          <w:t xml:space="preserve"> </w:t>
        </w:r>
        <w:r w:rsidRPr="00D90FEA">
          <w:t>approval</w:t>
        </w:r>
        <w:r>
          <w:tab/>
        </w:r>
        <w:r>
          <w:fldChar w:fldCharType="begin"/>
        </w:r>
        <w:r>
          <w:instrText xml:space="preserve"> PAGEREF _Toc83625374 \h </w:instrText>
        </w:r>
        <w:r>
          <w:fldChar w:fldCharType="separate"/>
        </w:r>
        <w:r w:rsidR="005C5D7F">
          <w:t>71</w:t>
        </w:r>
        <w:r>
          <w:fldChar w:fldCharType="end"/>
        </w:r>
      </w:hyperlink>
    </w:p>
    <w:p w14:paraId="274F88A4" w14:textId="7EAA6AB5" w:rsidR="005E03F7" w:rsidRDefault="005E03F7">
      <w:pPr>
        <w:pStyle w:val="TOC5"/>
        <w:rPr>
          <w:rFonts w:asciiTheme="minorHAnsi" w:eastAsiaTheme="minorEastAsia" w:hAnsiTheme="minorHAnsi" w:cstheme="minorBidi"/>
          <w:sz w:val="22"/>
          <w:szCs w:val="22"/>
          <w:lang w:eastAsia="en-AU"/>
        </w:rPr>
      </w:pPr>
      <w:r>
        <w:tab/>
      </w:r>
      <w:hyperlink w:anchor="_Toc83625375" w:history="1">
        <w:r w:rsidRPr="00D90FEA">
          <w:t>21</w:t>
        </w:r>
        <w:r>
          <w:rPr>
            <w:rFonts w:asciiTheme="minorHAnsi" w:eastAsiaTheme="minorEastAsia" w:hAnsiTheme="minorHAnsi" w:cstheme="minorBidi"/>
            <w:sz w:val="22"/>
            <w:szCs w:val="22"/>
            <w:lang w:eastAsia="en-AU"/>
          </w:rPr>
          <w:tab/>
        </w:r>
        <w:r w:rsidRPr="00D90FEA">
          <w:t>Notification by responsible Minister of non-application or restricted application of PBS design approval</w:t>
        </w:r>
        <w:r>
          <w:tab/>
        </w:r>
        <w:r>
          <w:fldChar w:fldCharType="begin"/>
        </w:r>
        <w:r>
          <w:instrText xml:space="preserve"> PAGEREF _Toc83625375 \h </w:instrText>
        </w:r>
        <w:r>
          <w:fldChar w:fldCharType="separate"/>
        </w:r>
        <w:r w:rsidR="005C5D7F">
          <w:t>71</w:t>
        </w:r>
        <w:r>
          <w:fldChar w:fldCharType="end"/>
        </w:r>
      </w:hyperlink>
    </w:p>
    <w:p w14:paraId="3139BF3D" w14:textId="7E3A9EB7" w:rsidR="005E03F7" w:rsidRDefault="005E03F7">
      <w:pPr>
        <w:pStyle w:val="TOC5"/>
        <w:rPr>
          <w:rFonts w:asciiTheme="minorHAnsi" w:eastAsiaTheme="minorEastAsia" w:hAnsiTheme="minorHAnsi" w:cstheme="minorBidi"/>
          <w:sz w:val="22"/>
          <w:szCs w:val="22"/>
          <w:lang w:eastAsia="en-AU"/>
        </w:rPr>
      </w:pPr>
      <w:r>
        <w:tab/>
      </w:r>
      <w:hyperlink w:anchor="_Toc83625376" w:history="1">
        <w:r w:rsidRPr="00D90FEA">
          <w:t>22</w:t>
        </w:r>
        <w:r>
          <w:rPr>
            <w:rFonts w:asciiTheme="minorHAnsi" w:eastAsiaTheme="minorEastAsia" w:hAnsiTheme="minorHAnsi" w:cstheme="minorBidi"/>
            <w:sz w:val="22"/>
            <w:szCs w:val="22"/>
            <w:lang w:eastAsia="en-AU"/>
          </w:rPr>
          <w:tab/>
        </w:r>
        <w:r w:rsidRPr="00D90FEA">
          <w:t>Application</w:t>
        </w:r>
        <w:r w:rsidRPr="00D90FEA">
          <w:rPr>
            <w:rFonts w:ascii="Helvetica" w:hAnsi="Helvetica" w:cs="Helvetica"/>
            <w:iCs/>
          </w:rPr>
          <w:t xml:space="preserve"> </w:t>
        </w:r>
        <w:r w:rsidRPr="00D90FEA">
          <w:t>for</w:t>
        </w:r>
        <w:r w:rsidRPr="00D90FEA">
          <w:rPr>
            <w:rFonts w:ascii="Helvetica" w:hAnsi="Helvetica" w:cs="Helvetica"/>
            <w:iCs/>
          </w:rPr>
          <w:t xml:space="preserve"> </w:t>
        </w:r>
        <w:r w:rsidRPr="00D90FEA">
          <w:t>PBS</w:t>
        </w:r>
        <w:r w:rsidRPr="00D90FEA">
          <w:rPr>
            <w:rFonts w:ascii="Helvetica" w:hAnsi="Helvetica" w:cs="Helvetica"/>
            <w:iCs/>
          </w:rPr>
          <w:t xml:space="preserve"> </w:t>
        </w:r>
        <w:r w:rsidRPr="00D90FEA">
          <w:t>design</w:t>
        </w:r>
        <w:r w:rsidRPr="00D90FEA">
          <w:rPr>
            <w:rFonts w:ascii="Helvetica" w:hAnsi="Helvetica" w:cs="Helvetica"/>
            <w:iCs/>
          </w:rPr>
          <w:t xml:space="preserve"> </w:t>
        </w:r>
        <w:r w:rsidRPr="00D90FEA">
          <w:t>approval</w:t>
        </w:r>
        <w:r>
          <w:tab/>
        </w:r>
        <w:r>
          <w:fldChar w:fldCharType="begin"/>
        </w:r>
        <w:r>
          <w:instrText xml:space="preserve"> PAGEREF _Toc83625376 \h </w:instrText>
        </w:r>
        <w:r>
          <w:fldChar w:fldCharType="separate"/>
        </w:r>
        <w:r w:rsidR="005C5D7F">
          <w:t>72</w:t>
        </w:r>
        <w:r>
          <w:fldChar w:fldCharType="end"/>
        </w:r>
      </w:hyperlink>
    </w:p>
    <w:p w14:paraId="0F6A61D4" w14:textId="14BAC3BB" w:rsidR="005E03F7" w:rsidRDefault="005E03F7">
      <w:pPr>
        <w:pStyle w:val="TOC5"/>
        <w:rPr>
          <w:rFonts w:asciiTheme="minorHAnsi" w:eastAsiaTheme="minorEastAsia" w:hAnsiTheme="minorHAnsi" w:cstheme="minorBidi"/>
          <w:sz w:val="22"/>
          <w:szCs w:val="22"/>
          <w:lang w:eastAsia="en-AU"/>
        </w:rPr>
      </w:pPr>
      <w:r>
        <w:tab/>
      </w:r>
      <w:hyperlink w:anchor="_Toc83625377" w:history="1">
        <w:r w:rsidRPr="00D90FEA">
          <w:t>23</w:t>
        </w:r>
        <w:r>
          <w:rPr>
            <w:rFonts w:asciiTheme="minorHAnsi" w:eastAsiaTheme="minorEastAsia" w:hAnsiTheme="minorHAnsi" w:cstheme="minorBidi"/>
            <w:sz w:val="22"/>
            <w:szCs w:val="22"/>
            <w:lang w:eastAsia="en-AU"/>
          </w:rPr>
          <w:tab/>
        </w:r>
        <w:r w:rsidRPr="00D90FEA">
          <w:t>Application for PBS vehicle approval</w:t>
        </w:r>
        <w:r>
          <w:tab/>
        </w:r>
        <w:r>
          <w:fldChar w:fldCharType="begin"/>
        </w:r>
        <w:r>
          <w:instrText xml:space="preserve"> PAGEREF _Toc83625377 \h </w:instrText>
        </w:r>
        <w:r>
          <w:fldChar w:fldCharType="separate"/>
        </w:r>
        <w:r w:rsidR="005C5D7F">
          <w:t>73</w:t>
        </w:r>
        <w:r>
          <w:fldChar w:fldCharType="end"/>
        </w:r>
      </w:hyperlink>
    </w:p>
    <w:p w14:paraId="7F37AD3F" w14:textId="5A131989" w:rsidR="005E03F7" w:rsidRDefault="005E03F7">
      <w:pPr>
        <w:pStyle w:val="TOC5"/>
        <w:rPr>
          <w:rFonts w:asciiTheme="minorHAnsi" w:eastAsiaTheme="minorEastAsia" w:hAnsiTheme="minorHAnsi" w:cstheme="minorBidi"/>
          <w:sz w:val="22"/>
          <w:szCs w:val="22"/>
          <w:lang w:eastAsia="en-AU"/>
        </w:rPr>
      </w:pPr>
      <w:r>
        <w:tab/>
      </w:r>
      <w:hyperlink w:anchor="_Toc83625378" w:history="1">
        <w:r w:rsidRPr="00D90FEA">
          <w:t>24</w:t>
        </w:r>
        <w:r>
          <w:rPr>
            <w:rFonts w:asciiTheme="minorHAnsi" w:eastAsiaTheme="minorEastAsia" w:hAnsiTheme="minorHAnsi" w:cstheme="minorBidi"/>
            <w:sz w:val="22"/>
            <w:szCs w:val="22"/>
            <w:lang w:eastAsia="en-AU"/>
          </w:rPr>
          <w:tab/>
        </w:r>
        <w:r w:rsidRPr="00D90FEA">
          <w:t>Exemption from stated vehicle standards</w:t>
        </w:r>
        <w:r>
          <w:tab/>
        </w:r>
        <w:r>
          <w:fldChar w:fldCharType="begin"/>
        </w:r>
        <w:r>
          <w:instrText xml:space="preserve"> PAGEREF _Toc83625378 \h </w:instrText>
        </w:r>
        <w:r>
          <w:fldChar w:fldCharType="separate"/>
        </w:r>
        <w:r w:rsidR="005C5D7F">
          <w:t>74</w:t>
        </w:r>
        <w:r>
          <w:fldChar w:fldCharType="end"/>
        </w:r>
      </w:hyperlink>
    </w:p>
    <w:p w14:paraId="15FE42AD" w14:textId="3507F669" w:rsidR="005E03F7" w:rsidRDefault="005E03F7">
      <w:pPr>
        <w:pStyle w:val="TOC5"/>
        <w:rPr>
          <w:rFonts w:asciiTheme="minorHAnsi" w:eastAsiaTheme="minorEastAsia" w:hAnsiTheme="minorHAnsi" w:cstheme="minorBidi"/>
          <w:sz w:val="22"/>
          <w:szCs w:val="22"/>
          <w:lang w:eastAsia="en-AU"/>
        </w:rPr>
      </w:pPr>
      <w:r>
        <w:tab/>
      </w:r>
      <w:hyperlink w:anchor="_Toc83625379" w:history="1">
        <w:r w:rsidRPr="00D90FEA">
          <w:t>25</w:t>
        </w:r>
        <w:r>
          <w:rPr>
            <w:rFonts w:asciiTheme="minorHAnsi" w:eastAsiaTheme="minorEastAsia" w:hAnsiTheme="minorHAnsi" w:cstheme="minorBidi"/>
            <w:sz w:val="22"/>
            <w:szCs w:val="22"/>
            <w:lang w:eastAsia="en-AU"/>
          </w:rPr>
          <w:tab/>
        </w:r>
        <w:r w:rsidRPr="00D90FEA">
          <w:t>Authorisation of different mass or dimension requirement</w:t>
        </w:r>
        <w:r>
          <w:tab/>
        </w:r>
        <w:r>
          <w:fldChar w:fldCharType="begin"/>
        </w:r>
        <w:r>
          <w:instrText xml:space="preserve"> PAGEREF _Toc83625379 \h </w:instrText>
        </w:r>
        <w:r>
          <w:fldChar w:fldCharType="separate"/>
        </w:r>
        <w:r w:rsidR="005C5D7F">
          <w:t>74</w:t>
        </w:r>
        <w:r>
          <w:fldChar w:fldCharType="end"/>
        </w:r>
      </w:hyperlink>
    </w:p>
    <w:p w14:paraId="565092D4" w14:textId="1611D5ED" w:rsidR="005E03F7" w:rsidRDefault="005E03F7">
      <w:pPr>
        <w:pStyle w:val="TOC5"/>
        <w:rPr>
          <w:rFonts w:asciiTheme="minorHAnsi" w:eastAsiaTheme="minorEastAsia" w:hAnsiTheme="minorHAnsi" w:cstheme="minorBidi"/>
          <w:sz w:val="22"/>
          <w:szCs w:val="22"/>
          <w:lang w:eastAsia="en-AU"/>
        </w:rPr>
      </w:pPr>
      <w:r>
        <w:tab/>
      </w:r>
      <w:hyperlink w:anchor="_Toc83625380" w:history="1">
        <w:r w:rsidRPr="00D90FEA">
          <w:t>25A</w:t>
        </w:r>
        <w:r>
          <w:rPr>
            <w:rFonts w:asciiTheme="minorHAnsi" w:eastAsiaTheme="minorEastAsia" w:hAnsiTheme="minorHAnsi" w:cstheme="minorBidi"/>
            <w:sz w:val="22"/>
            <w:szCs w:val="22"/>
            <w:lang w:eastAsia="en-AU"/>
          </w:rPr>
          <w:tab/>
        </w:r>
        <w:r w:rsidRPr="00D90FEA">
          <w:rPr>
            <w:lang w:val="en" w:eastAsia="en-AU"/>
          </w:rPr>
          <w:t>Keeping copy of PBS vehicle approval while driving</w:t>
        </w:r>
        <w:r>
          <w:tab/>
        </w:r>
        <w:r>
          <w:fldChar w:fldCharType="begin"/>
        </w:r>
        <w:r>
          <w:instrText xml:space="preserve"> PAGEREF _Toc83625380 \h </w:instrText>
        </w:r>
        <w:r>
          <w:fldChar w:fldCharType="separate"/>
        </w:r>
        <w:r w:rsidR="005C5D7F">
          <w:t>74</w:t>
        </w:r>
        <w:r>
          <w:fldChar w:fldCharType="end"/>
        </w:r>
      </w:hyperlink>
    </w:p>
    <w:p w14:paraId="6C1DC0C1" w14:textId="610B1F32" w:rsidR="005E03F7" w:rsidRDefault="005E03F7">
      <w:pPr>
        <w:pStyle w:val="TOC5"/>
        <w:rPr>
          <w:rFonts w:asciiTheme="minorHAnsi" w:eastAsiaTheme="minorEastAsia" w:hAnsiTheme="minorHAnsi" w:cstheme="minorBidi"/>
          <w:sz w:val="22"/>
          <w:szCs w:val="22"/>
          <w:lang w:eastAsia="en-AU"/>
        </w:rPr>
      </w:pPr>
      <w:r>
        <w:tab/>
      </w:r>
      <w:hyperlink w:anchor="_Toc83625381" w:history="1">
        <w:r w:rsidRPr="00D90FEA">
          <w:t>26</w:t>
        </w:r>
        <w:r>
          <w:rPr>
            <w:rFonts w:asciiTheme="minorHAnsi" w:eastAsiaTheme="minorEastAsia" w:hAnsiTheme="minorHAnsi" w:cstheme="minorBidi"/>
            <w:sz w:val="22"/>
            <w:szCs w:val="22"/>
            <w:lang w:eastAsia="en-AU"/>
          </w:rPr>
          <w:tab/>
        </w:r>
        <w:r w:rsidRPr="00D90FEA">
          <w:t>National regulations</w:t>
        </w:r>
        <w:r>
          <w:tab/>
        </w:r>
        <w:r>
          <w:fldChar w:fldCharType="begin"/>
        </w:r>
        <w:r>
          <w:instrText xml:space="preserve"> PAGEREF _Toc83625381 \h </w:instrText>
        </w:r>
        <w:r>
          <w:fldChar w:fldCharType="separate"/>
        </w:r>
        <w:r w:rsidR="005C5D7F">
          <w:t>75</w:t>
        </w:r>
        <w:r>
          <w:fldChar w:fldCharType="end"/>
        </w:r>
      </w:hyperlink>
    </w:p>
    <w:p w14:paraId="4C78A1FA" w14:textId="3A51C814" w:rsidR="005E03F7" w:rsidRDefault="00856BEE">
      <w:pPr>
        <w:pStyle w:val="TOC1"/>
        <w:rPr>
          <w:rFonts w:asciiTheme="minorHAnsi" w:eastAsiaTheme="minorEastAsia" w:hAnsiTheme="minorHAnsi" w:cstheme="minorBidi"/>
          <w:b w:val="0"/>
          <w:sz w:val="22"/>
          <w:szCs w:val="22"/>
          <w:lang w:eastAsia="en-AU"/>
        </w:rPr>
      </w:pPr>
      <w:hyperlink w:anchor="_Toc83625382" w:history="1">
        <w:r w:rsidR="005E03F7" w:rsidRPr="00D90FEA">
          <w:t>Chapter 1A</w:t>
        </w:r>
        <w:r w:rsidR="005E03F7">
          <w:rPr>
            <w:rFonts w:asciiTheme="minorHAnsi" w:eastAsiaTheme="minorEastAsia" w:hAnsiTheme="minorHAnsi" w:cstheme="minorBidi"/>
            <w:b w:val="0"/>
            <w:sz w:val="22"/>
            <w:szCs w:val="22"/>
            <w:lang w:eastAsia="en-AU"/>
          </w:rPr>
          <w:tab/>
        </w:r>
        <w:r w:rsidR="005E03F7" w:rsidRPr="00D90FEA">
          <w:rPr>
            <w:lang w:val="en" w:eastAsia="en-AU"/>
          </w:rPr>
          <w:t>Safety duties</w:t>
        </w:r>
        <w:r w:rsidR="005E03F7" w:rsidRPr="005E03F7">
          <w:rPr>
            <w:vanish/>
          </w:rPr>
          <w:tab/>
        </w:r>
        <w:r w:rsidR="005E03F7" w:rsidRPr="005E03F7">
          <w:rPr>
            <w:vanish/>
          </w:rPr>
          <w:fldChar w:fldCharType="begin"/>
        </w:r>
        <w:r w:rsidR="005E03F7" w:rsidRPr="005E03F7">
          <w:rPr>
            <w:vanish/>
          </w:rPr>
          <w:instrText xml:space="preserve"> PAGEREF _Toc83625382 \h </w:instrText>
        </w:r>
        <w:r w:rsidR="005E03F7" w:rsidRPr="005E03F7">
          <w:rPr>
            <w:vanish/>
          </w:rPr>
        </w:r>
        <w:r w:rsidR="005E03F7" w:rsidRPr="005E03F7">
          <w:rPr>
            <w:vanish/>
          </w:rPr>
          <w:fldChar w:fldCharType="separate"/>
        </w:r>
        <w:r w:rsidR="005C5D7F">
          <w:rPr>
            <w:vanish/>
          </w:rPr>
          <w:t>76</w:t>
        </w:r>
        <w:r w:rsidR="005E03F7" w:rsidRPr="005E03F7">
          <w:rPr>
            <w:vanish/>
          </w:rPr>
          <w:fldChar w:fldCharType="end"/>
        </w:r>
      </w:hyperlink>
    </w:p>
    <w:p w14:paraId="4AEAC305" w14:textId="74CB6506" w:rsidR="005E03F7" w:rsidRDefault="00856BEE">
      <w:pPr>
        <w:pStyle w:val="TOC2"/>
        <w:rPr>
          <w:rFonts w:asciiTheme="minorHAnsi" w:eastAsiaTheme="minorEastAsia" w:hAnsiTheme="minorHAnsi" w:cstheme="minorBidi"/>
          <w:b w:val="0"/>
          <w:sz w:val="22"/>
          <w:szCs w:val="22"/>
          <w:lang w:eastAsia="en-AU"/>
        </w:rPr>
      </w:pPr>
      <w:hyperlink w:anchor="_Toc83625383" w:history="1">
        <w:r w:rsidR="005E03F7" w:rsidRPr="00D90FEA">
          <w:t>Part 1A.1</w:t>
        </w:r>
        <w:r w:rsidR="005E03F7">
          <w:rPr>
            <w:rFonts w:asciiTheme="minorHAnsi" w:eastAsiaTheme="minorEastAsia" w:hAnsiTheme="minorHAnsi" w:cstheme="minorBidi"/>
            <w:b w:val="0"/>
            <w:sz w:val="22"/>
            <w:szCs w:val="22"/>
            <w:lang w:eastAsia="en-AU"/>
          </w:rPr>
          <w:tab/>
        </w:r>
        <w:r w:rsidR="005E03F7" w:rsidRPr="00D90FEA">
          <w:rPr>
            <w:lang w:val="en" w:eastAsia="en-AU"/>
          </w:rPr>
          <w:t>Principles</w:t>
        </w:r>
        <w:r w:rsidR="005E03F7" w:rsidRPr="005E03F7">
          <w:rPr>
            <w:vanish/>
          </w:rPr>
          <w:tab/>
        </w:r>
        <w:r w:rsidR="005E03F7" w:rsidRPr="005E03F7">
          <w:rPr>
            <w:vanish/>
          </w:rPr>
          <w:fldChar w:fldCharType="begin"/>
        </w:r>
        <w:r w:rsidR="005E03F7" w:rsidRPr="005E03F7">
          <w:rPr>
            <w:vanish/>
          </w:rPr>
          <w:instrText xml:space="preserve"> PAGEREF _Toc83625383 \h </w:instrText>
        </w:r>
        <w:r w:rsidR="005E03F7" w:rsidRPr="005E03F7">
          <w:rPr>
            <w:vanish/>
          </w:rPr>
        </w:r>
        <w:r w:rsidR="005E03F7" w:rsidRPr="005E03F7">
          <w:rPr>
            <w:vanish/>
          </w:rPr>
          <w:fldChar w:fldCharType="separate"/>
        </w:r>
        <w:r w:rsidR="005C5D7F">
          <w:rPr>
            <w:vanish/>
          </w:rPr>
          <w:t>76</w:t>
        </w:r>
        <w:r w:rsidR="005E03F7" w:rsidRPr="005E03F7">
          <w:rPr>
            <w:vanish/>
          </w:rPr>
          <w:fldChar w:fldCharType="end"/>
        </w:r>
      </w:hyperlink>
    </w:p>
    <w:p w14:paraId="2B48706F" w14:textId="21AC349C" w:rsidR="005E03F7" w:rsidRDefault="005E03F7">
      <w:pPr>
        <w:pStyle w:val="TOC5"/>
        <w:rPr>
          <w:rFonts w:asciiTheme="minorHAnsi" w:eastAsiaTheme="minorEastAsia" w:hAnsiTheme="minorHAnsi" w:cstheme="minorBidi"/>
          <w:sz w:val="22"/>
          <w:szCs w:val="22"/>
          <w:lang w:eastAsia="en-AU"/>
        </w:rPr>
      </w:pPr>
      <w:r>
        <w:tab/>
      </w:r>
      <w:hyperlink w:anchor="_Toc83625384" w:history="1">
        <w:r w:rsidRPr="00D90FEA">
          <w:t>26A</w:t>
        </w:r>
        <w:r>
          <w:rPr>
            <w:rFonts w:asciiTheme="minorHAnsi" w:eastAsiaTheme="minorEastAsia" w:hAnsiTheme="minorHAnsi" w:cstheme="minorBidi"/>
            <w:sz w:val="22"/>
            <w:szCs w:val="22"/>
            <w:lang w:eastAsia="en-AU"/>
          </w:rPr>
          <w:tab/>
        </w:r>
        <w:r w:rsidRPr="00D90FEA">
          <w:rPr>
            <w:lang w:val="en" w:eastAsia="en-AU"/>
          </w:rPr>
          <w:t>Principle of shared responsibility</w:t>
        </w:r>
        <w:r>
          <w:tab/>
        </w:r>
        <w:r>
          <w:fldChar w:fldCharType="begin"/>
        </w:r>
        <w:r>
          <w:instrText xml:space="preserve"> PAGEREF _Toc83625384 \h </w:instrText>
        </w:r>
        <w:r>
          <w:fldChar w:fldCharType="separate"/>
        </w:r>
        <w:r w:rsidR="005C5D7F">
          <w:t>76</w:t>
        </w:r>
        <w:r>
          <w:fldChar w:fldCharType="end"/>
        </w:r>
      </w:hyperlink>
    </w:p>
    <w:p w14:paraId="150E0F18" w14:textId="506D15EE" w:rsidR="005E03F7" w:rsidRDefault="005E03F7">
      <w:pPr>
        <w:pStyle w:val="TOC5"/>
        <w:rPr>
          <w:rFonts w:asciiTheme="minorHAnsi" w:eastAsiaTheme="minorEastAsia" w:hAnsiTheme="minorHAnsi" w:cstheme="minorBidi"/>
          <w:sz w:val="22"/>
          <w:szCs w:val="22"/>
          <w:lang w:eastAsia="en-AU"/>
        </w:rPr>
      </w:pPr>
      <w:r>
        <w:tab/>
      </w:r>
      <w:hyperlink w:anchor="_Toc83625385" w:history="1">
        <w:r w:rsidRPr="00D90FEA">
          <w:t>26B</w:t>
        </w:r>
        <w:r>
          <w:rPr>
            <w:rFonts w:asciiTheme="minorHAnsi" w:eastAsiaTheme="minorEastAsia" w:hAnsiTheme="minorHAnsi" w:cstheme="minorBidi"/>
            <w:sz w:val="22"/>
            <w:szCs w:val="22"/>
            <w:lang w:eastAsia="en-AU"/>
          </w:rPr>
          <w:tab/>
        </w:r>
        <w:r w:rsidRPr="00D90FEA">
          <w:rPr>
            <w:lang w:val="en" w:eastAsia="en-AU"/>
          </w:rPr>
          <w:t>Principles applying to duties</w:t>
        </w:r>
        <w:r>
          <w:tab/>
        </w:r>
        <w:r>
          <w:fldChar w:fldCharType="begin"/>
        </w:r>
        <w:r>
          <w:instrText xml:space="preserve"> PAGEREF _Toc83625385 \h </w:instrText>
        </w:r>
        <w:r>
          <w:fldChar w:fldCharType="separate"/>
        </w:r>
        <w:r w:rsidR="005C5D7F">
          <w:t>76</w:t>
        </w:r>
        <w:r>
          <w:fldChar w:fldCharType="end"/>
        </w:r>
      </w:hyperlink>
    </w:p>
    <w:p w14:paraId="5765CB1B" w14:textId="1537CC63" w:rsidR="005E03F7" w:rsidRDefault="00856BEE">
      <w:pPr>
        <w:pStyle w:val="TOC2"/>
        <w:rPr>
          <w:rFonts w:asciiTheme="minorHAnsi" w:eastAsiaTheme="minorEastAsia" w:hAnsiTheme="minorHAnsi" w:cstheme="minorBidi"/>
          <w:b w:val="0"/>
          <w:sz w:val="22"/>
          <w:szCs w:val="22"/>
          <w:lang w:eastAsia="en-AU"/>
        </w:rPr>
      </w:pPr>
      <w:hyperlink w:anchor="_Toc83625386" w:history="1">
        <w:r w:rsidR="005E03F7" w:rsidRPr="00D90FEA">
          <w:t>Part 1A.2</w:t>
        </w:r>
        <w:r w:rsidR="005E03F7">
          <w:rPr>
            <w:rFonts w:asciiTheme="minorHAnsi" w:eastAsiaTheme="minorEastAsia" w:hAnsiTheme="minorHAnsi" w:cstheme="minorBidi"/>
            <w:b w:val="0"/>
            <w:sz w:val="22"/>
            <w:szCs w:val="22"/>
            <w:lang w:eastAsia="en-AU"/>
          </w:rPr>
          <w:tab/>
        </w:r>
        <w:r w:rsidR="005E03F7" w:rsidRPr="00D90FEA">
          <w:rPr>
            <w:lang w:val="en" w:eastAsia="en-AU"/>
          </w:rPr>
          <w:t>Nature of duty</w:t>
        </w:r>
        <w:r w:rsidR="005E03F7" w:rsidRPr="005E03F7">
          <w:rPr>
            <w:vanish/>
          </w:rPr>
          <w:tab/>
        </w:r>
        <w:r w:rsidR="005E03F7" w:rsidRPr="005E03F7">
          <w:rPr>
            <w:vanish/>
          </w:rPr>
          <w:fldChar w:fldCharType="begin"/>
        </w:r>
        <w:r w:rsidR="005E03F7" w:rsidRPr="005E03F7">
          <w:rPr>
            <w:vanish/>
          </w:rPr>
          <w:instrText xml:space="preserve"> PAGEREF _Toc83625386 \h </w:instrText>
        </w:r>
        <w:r w:rsidR="005E03F7" w:rsidRPr="005E03F7">
          <w:rPr>
            <w:vanish/>
          </w:rPr>
        </w:r>
        <w:r w:rsidR="005E03F7" w:rsidRPr="005E03F7">
          <w:rPr>
            <w:vanish/>
          </w:rPr>
          <w:fldChar w:fldCharType="separate"/>
        </w:r>
        <w:r w:rsidR="005C5D7F">
          <w:rPr>
            <w:vanish/>
          </w:rPr>
          <w:t>78</w:t>
        </w:r>
        <w:r w:rsidR="005E03F7" w:rsidRPr="005E03F7">
          <w:rPr>
            <w:vanish/>
          </w:rPr>
          <w:fldChar w:fldCharType="end"/>
        </w:r>
      </w:hyperlink>
    </w:p>
    <w:p w14:paraId="772DBE45" w14:textId="5E668BC9" w:rsidR="005E03F7" w:rsidRDefault="005E03F7">
      <w:pPr>
        <w:pStyle w:val="TOC5"/>
        <w:rPr>
          <w:rFonts w:asciiTheme="minorHAnsi" w:eastAsiaTheme="minorEastAsia" w:hAnsiTheme="minorHAnsi" w:cstheme="minorBidi"/>
          <w:sz w:val="22"/>
          <w:szCs w:val="22"/>
          <w:lang w:eastAsia="en-AU"/>
        </w:rPr>
      </w:pPr>
      <w:r>
        <w:tab/>
      </w:r>
      <w:hyperlink w:anchor="_Toc83625387" w:history="1">
        <w:r w:rsidRPr="00D90FEA">
          <w:t>26C</w:t>
        </w:r>
        <w:r>
          <w:rPr>
            <w:rFonts w:asciiTheme="minorHAnsi" w:eastAsiaTheme="minorEastAsia" w:hAnsiTheme="minorHAnsi" w:cstheme="minorBidi"/>
            <w:sz w:val="22"/>
            <w:szCs w:val="22"/>
            <w:lang w:eastAsia="en-AU"/>
          </w:rPr>
          <w:tab/>
        </w:r>
        <w:r w:rsidRPr="00D90FEA">
          <w:rPr>
            <w:lang w:val="en" w:eastAsia="en-AU"/>
          </w:rPr>
          <w:t>Primary duty</w:t>
        </w:r>
        <w:r>
          <w:tab/>
        </w:r>
        <w:r>
          <w:fldChar w:fldCharType="begin"/>
        </w:r>
        <w:r>
          <w:instrText xml:space="preserve"> PAGEREF _Toc83625387 \h </w:instrText>
        </w:r>
        <w:r>
          <w:fldChar w:fldCharType="separate"/>
        </w:r>
        <w:r w:rsidR="005C5D7F">
          <w:t>78</w:t>
        </w:r>
        <w:r>
          <w:fldChar w:fldCharType="end"/>
        </w:r>
      </w:hyperlink>
    </w:p>
    <w:p w14:paraId="30E959C0" w14:textId="39EE5484" w:rsidR="005E03F7" w:rsidRDefault="005E03F7">
      <w:pPr>
        <w:pStyle w:val="TOC5"/>
        <w:rPr>
          <w:rFonts w:asciiTheme="minorHAnsi" w:eastAsiaTheme="minorEastAsia" w:hAnsiTheme="minorHAnsi" w:cstheme="minorBidi"/>
          <w:sz w:val="22"/>
          <w:szCs w:val="22"/>
          <w:lang w:eastAsia="en-AU"/>
        </w:rPr>
      </w:pPr>
      <w:r>
        <w:tab/>
      </w:r>
      <w:hyperlink w:anchor="_Toc83625388" w:history="1">
        <w:r w:rsidRPr="00D90FEA">
          <w:t>26D</w:t>
        </w:r>
        <w:r>
          <w:rPr>
            <w:rFonts w:asciiTheme="minorHAnsi" w:eastAsiaTheme="minorEastAsia" w:hAnsiTheme="minorHAnsi" w:cstheme="minorBidi"/>
            <w:sz w:val="22"/>
            <w:szCs w:val="22"/>
            <w:lang w:eastAsia="en-AU"/>
          </w:rPr>
          <w:tab/>
        </w:r>
        <w:r w:rsidRPr="00D90FEA">
          <w:rPr>
            <w:lang w:val="en" w:eastAsia="en-AU"/>
          </w:rPr>
          <w:t>Duty of executive of legal entity</w:t>
        </w:r>
        <w:r>
          <w:tab/>
        </w:r>
        <w:r>
          <w:fldChar w:fldCharType="begin"/>
        </w:r>
        <w:r>
          <w:instrText xml:space="preserve"> PAGEREF _Toc83625388 \h </w:instrText>
        </w:r>
        <w:r>
          <w:fldChar w:fldCharType="separate"/>
        </w:r>
        <w:r w:rsidR="005C5D7F">
          <w:t>79</w:t>
        </w:r>
        <w:r>
          <w:fldChar w:fldCharType="end"/>
        </w:r>
      </w:hyperlink>
    </w:p>
    <w:p w14:paraId="0324D7D2" w14:textId="362C1AA8" w:rsidR="005E03F7" w:rsidRDefault="005E03F7">
      <w:pPr>
        <w:pStyle w:val="TOC5"/>
        <w:rPr>
          <w:rFonts w:asciiTheme="minorHAnsi" w:eastAsiaTheme="minorEastAsia" w:hAnsiTheme="minorHAnsi" w:cstheme="minorBidi"/>
          <w:sz w:val="22"/>
          <w:szCs w:val="22"/>
          <w:lang w:eastAsia="en-AU"/>
        </w:rPr>
      </w:pPr>
      <w:r>
        <w:tab/>
      </w:r>
      <w:hyperlink w:anchor="_Toc83625389" w:history="1">
        <w:r w:rsidRPr="00D90FEA">
          <w:t>26E</w:t>
        </w:r>
        <w:r>
          <w:rPr>
            <w:rFonts w:asciiTheme="minorHAnsi" w:eastAsiaTheme="minorEastAsia" w:hAnsiTheme="minorHAnsi" w:cstheme="minorBidi"/>
            <w:sz w:val="22"/>
            <w:szCs w:val="22"/>
            <w:lang w:eastAsia="en-AU"/>
          </w:rPr>
          <w:tab/>
        </w:r>
        <w:r w:rsidRPr="00D90FEA">
          <w:rPr>
            <w:lang w:val="en" w:eastAsia="en-AU"/>
          </w:rPr>
          <w:t>Prohibited requests and contracts</w:t>
        </w:r>
        <w:r>
          <w:tab/>
        </w:r>
        <w:r>
          <w:fldChar w:fldCharType="begin"/>
        </w:r>
        <w:r>
          <w:instrText xml:space="preserve"> PAGEREF _Toc83625389 \h </w:instrText>
        </w:r>
        <w:r>
          <w:fldChar w:fldCharType="separate"/>
        </w:r>
        <w:r w:rsidR="005C5D7F">
          <w:t>80</w:t>
        </w:r>
        <w:r>
          <w:fldChar w:fldCharType="end"/>
        </w:r>
      </w:hyperlink>
    </w:p>
    <w:p w14:paraId="37784830" w14:textId="45D65DF3" w:rsidR="005E03F7" w:rsidRDefault="00856BEE">
      <w:pPr>
        <w:pStyle w:val="TOC2"/>
        <w:rPr>
          <w:rFonts w:asciiTheme="minorHAnsi" w:eastAsiaTheme="minorEastAsia" w:hAnsiTheme="minorHAnsi" w:cstheme="minorBidi"/>
          <w:b w:val="0"/>
          <w:sz w:val="22"/>
          <w:szCs w:val="22"/>
          <w:lang w:eastAsia="en-AU"/>
        </w:rPr>
      </w:pPr>
      <w:hyperlink w:anchor="_Toc83625390" w:history="1">
        <w:r w:rsidR="005E03F7" w:rsidRPr="00D90FEA">
          <w:t>Part 1A.3</w:t>
        </w:r>
        <w:r w:rsidR="005E03F7">
          <w:rPr>
            <w:rFonts w:asciiTheme="minorHAnsi" w:eastAsiaTheme="minorEastAsia" w:hAnsiTheme="minorHAnsi" w:cstheme="minorBidi"/>
            <w:b w:val="0"/>
            <w:sz w:val="22"/>
            <w:szCs w:val="22"/>
            <w:lang w:eastAsia="en-AU"/>
          </w:rPr>
          <w:tab/>
        </w:r>
        <w:r w:rsidR="005E03F7" w:rsidRPr="00D90FEA">
          <w:rPr>
            <w:lang w:val="en" w:eastAsia="en-AU"/>
          </w:rPr>
          <w:t>Failing to comply with duty</w:t>
        </w:r>
        <w:r w:rsidR="005E03F7" w:rsidRPr="005E03F7">
          <w:rPr>
            <w:vanish/>
          </w:rPr>
          <w:tab/>
        </w:r>
        <w:r w:rsidR="005E03F7" w:rsidRPr="005E03F7">
          <w:rPr>
            <w:vanish/>
          </w:rPr>
          <w:fldChar w:fldCharType="begin"/>
        </w:r>
        <w:r w:rsidR="005E03F7" w:rsidRPr="005E03F7">
          <w:rPr>
            <w:vanish/>
          </w:rPr>
          <w:instrText xml:space="preserve"> PAGEREF _Toc83625390 \h </w:instrText>
        </w:r>
        <w:r w:rsidR="005E03F7" w:rsidRPr="005E03F7">
          <w:rPr>
            <w:vanish/>
          </w:rPr>
        </w:r>
        <w:r w:rsidR="005E03F7" w:rsidRPr="005E03F7">
          <w:rPr>
            <w:vanish/>
          </w:rPr>
          <w:fldChar w:fldCharType="separate"/>
        </w:r>
        <w:r w:rsidR="005C5D7F">
          <w:rPr>
            <w:vanish/>
          </w:rPr>
          <w:t>82</w:t>
        </w:r>
        <w:r w:rsidR="005E03F7" w:rsidRPr="005E03F7">
          <w:rPr>
            <w:vanish/>
          </w:rPr>
          <w:fldChar w:fldCharType="end"/>
        </w:r>
      </w:hyperlink>
    </w:p>
    <w:p w14:paraId="1C763C6C" w14:textId="4D04454C" w:rsidR="005E03F7" w:rsidRDefault="005E03F7">
      <w:pPr>
        <w:pStyle w:val="TOC5"/>
        <w:rPr>
          <w:rFonts w:asciiTheme="minorHAnsi" w:eastAsiaTheme="minorEastAsia" w:hAnsiTheme="minorHAnsi" w:cstheme="minorBidi"/>
          <w:sz w:val="22"/>
          <w:szCs w:val="22"/>
          <w:lang w:eastAsia="en-AU"/>
        </w:rPr>
      </w:pPr>
      <w:r>
        <w:tab/>
      </w:r>
      <w:hyperlink w:anchor="_Toc83625391" w:history="1">
        <w:r w:rsidRPr="00D90FEA">
          <w:t>26F</w:t>
        </w:r>
        <w:r>
          <w:rPr>
            <w:rFonts w:asciiTheme="minorHAnsi" w:eastAsiaTheme="minorEastAsia" w:hAnsiTheme="minorHAnsi" w:cstheme="minorBidi"/>
            <w:sz w:val="22"/>
            <w:szCs w:val="22"/>
            <w:lang w:eastAsia="en-AU"/>
          </w:rPr>
          <w:tab/>
        </w:r>
        <w:r w:rsidRPr="00D90FEA">
          <w:rPr>
            <w:lang w:val="en" w:eastAsia="en-AU"/>
          </w:rPr>
          <w:t>Category 1 offence</w:t>
        </w:r>
        <w:r>
          <w:tab/>
        </w:r>
        <w:r>
          <w:fldChar w:fldCharType="begin"/>
        </w:r>
        <w:r>
          <w:instrText xml:space="preserve"> PAGEREF _Toc83625391 \h </w:instrText>
        </w:r>
        <w:r>
          <w:fldChar w:fldCharType="separate"/>
        </w:r>
        <w:r w:rsidR="005C5D7F">
          <w:t>82</w:t>
        </w:r>
        <w:r>
          <w:fldChar w:fldCharType="end"/>
        </w:r>
      </w:hyperlink>
    </w:p>
    <w:p w14:paraId="7EF8C3B0" w14:textId="60FCDC7D" w:rsidR="005E03F7" w:rsidRDefault="005E03F7">
      <w:pPr>
        <w:pStyle w:val="TOC5"/>
        <w:rPr>
          <w:rFonts w:asciiTheme="minorHAnsi" w:eastAsiaTheme="minorEastAsia" w:hAnsiTheme="minorHAnsi" w:cstheme="minorBidi"/>
          <w:sz w:val="22"/>
          <w:szCs w:val="22"/>
          <w:lang w:eastAsia="en-AU"/>
        </w:rPr>
      </w:pPr>
      <w:r>
        <w:tab/>
      </w:r>
      <w:hyperlink w:anchor="_Toc83625392" w:history="1">
        <w:r w:rsidRPr="00D90FEA">
          <w:t>26G</w:t>
        </w:r>
        <w:r>
          <w:rPr>
            <w:rFonts w:asciiTheme="minorHAnsi" w:eastAsiaTheme="minorEastAsia" w:hAnsiTheme="minorHAnsi" w:cstheme="minorBidi"/>
            <w:sz w:val="22"/>
            <w:szCs w:val="22"/>
            <w:lang w:eastAsia="en-AU"/>
          </w:rPr>
          <w:tab/>
        </w:r>
        <w:r w:rsidRPr="00D90FEA">
          <w:rPr>
            <w:lang w:val="en" w:eastAsia="en-AU"/>
          </w:rPr>
          <w:t>Category 2 offence</w:t>
        </w:r>
        <w:r>
          <w:tab/>
        </w:r>
        <w:r>
          <w:fldChar w:fldCharType="begin"/>
        </w:r>
        <w:r>
          <w:instrText xml:space="preserve"> PAGEREF _Toc83625392 \h </w:instrText>
        </w:r>
        <w:r>
          <w:fldChar w:fldCharType="separate"/>
        </w:r>
        <w:r w:rsidR="005C5D7F">
          <w:t>82</w:t>
        </w:r>
        <w:r>
          <w:fldChar w:fldCharType="end"/>
        </w:r>
      </w:hyperlink>
    </w:p>
    <w:p w14:paraId="28782994" w14:textId="013DCCBB" w:rsidR="005E03F7" w:rsidRDefault="005E03F7">
      <w:pPr>
        <w:pStyle w:val="TOC5"/>
        <w:rPr>
          <w:rFonts w:asciiTheme="minorHAnsi" w:eastAsiaTheme="minorEastAsia" w:hAnsiTheme="minorHAnsi" w:cstheme="minorBidi"/>
          <w:sz w:val="22"/>
          <w:szCs w:val="22"/>
          <w:lang w:eastAsia="en-AU"/>
        </w:rPr>
      </w:pPr>
      <w:r>
        <w:tab/>
      </w:r>
      <w:hyperlink w:anchor="_Toc83625393" w:history="1">
        <w:r w:rsidRPr="00D90FEA">
          <w:t>26H</w:t>
        </w:r>
        <w:r>
          <w:rPr>
            <w:rFonts w:asciiTheme="minorHAnsi" w:eastAsiaTheme="minorEastAsia" w:hAnsiTheme="minorHAnsi" w:cstheme="minorBidi"/>
            <w:sz w:val="22"/>
            <w:szCs w:val="22"/>
            <w:lang w:eastAsia="en-AU"/>
          </w:rPr>
          <w:tab/>
        </w:r>
        <w:r w:rsidRPr="00D90FEA">
          <w:rPr>
            <w:lang w:val="en" w:eastAsia="en-AU"/>
          </w:rPr>
          <w:t>Category 3 offence</w:t>
        </w:r>
        <w:r>
          <w:tab/>
        </w:r>
        <w:r>
          <w:fldChar w:fldCharType="begin"/>
        </w:r>
        <w:r>
          <w:instrText xml:space="preserve"> PAGEREF _Toc83625393 \h </w:instrText>
        </w:r>
        <w:r>
          <w:fldChar w:fldCharType="separate"/>
        </w:r>
        <w:r w:rsidR="005C5D7F">
          <w:t>83</w:t>
        </w:r>
        <w:r>
          <w:fldChar w:fldCharType="end"/>
        </w:r>
      </w:hyperlink>
    </w:p>
    <w:p w14:paraId="24DFE94F" w14:textId="19A196B3" w:rsidR="005E03F7" w:rsidRDefault="00856BEE">
      <w:pPr>
        <w:pStyle w:val="TOC1"/>
        <w:rPr>
          <w:rFonts w:asciiTheme="minorHAnsi" w:eastAsiaTheme="minorEastAsia" w:hAnsiTheme="minorHAnsi" w:cstheme="minorBidi"/>
          <w:b w:val="0"/>
          <w:sz w:val="22"/>
          <w:szCs w:val="22"/>
          <w:lang w:eastAsia="en-AU"/>
        </w:rPr>
      </w:pPr>
      <w:hyperlink w:anchor="_Toc83625394" w:history="1">
        <w:r w:rsidR="005E03F7" w:rsidRPr="00D90FEA">
          <w:t>Chapter 3</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Vehicle operations—standards and safety</w:t>
        </w:r>
        <w:r w:rsidR="005E03F7" w:rsidRPr="005E03F7">
          <w:rPr>
            <w:vanish/>
          </w:rPr>
          <w:tab/>
        </w:r>
        <w:r w:rsidR="005E03F7" w:rsidRPr="005E03F7">
          <w:rPr>
            <w:vanish/>
          </w:rPr>
          <w:fldChar w:fldCharType="begin"/>
        </w:r>
        <w:r w:rsidR="005E03F7" w:rsidRPr="005E03F7">
          <w:rPr>
            <w:vanish/>
          </w:rPr>
          <w:instrText xml:space="preserve"> PAGEREF _Toc83625394 \h </w:instrText>
        </w:r>
        <w:r w:rsidR="005E03F7" w:rsidRPr="005E03F7">
          <w:rPr>
            <w:vanish/>
          </w:rPr>
        </w:r>
        <w:r w:rsidR="005E03F7" w:rsidRPr="005E03F7">
          <w:rPr>
            <w:vanish/>
          </w:rPr>
          <w:fldChar w:fldCharType="separate"/>
        </w:r>
        <w:r w:rsidR="005C5D7F">
          <w:rPr>
            <w:vanish/>
          </w:rPr>
          <w:t>84</w:t>
        </w:r>
        <w:r w:rsidR="005E03F7" w:rsidRPr="005E03F7">
          <w:rPr>
            <w:vanish/>
          </w:rPr>
          <w:fldChar w:fldCharType="end"/>
        </w:r>
      </w:hyperlink>
    </w:p>
    <w:p w14:paraId="3D064DAC" w14:textId="0E711570" w:rsidR="005E03F7" w:rsidRDefault="00856BEE">
      <w:pPr>
        <w:pStyle w:val="TOC2"/>
        <w:rPr>
          <w:rFonts w:asciiTheme="minorHAnsi" w:eastAsiaTheme="minorEastAsia" w:hAnsiTheme="minorHAnsi" w:cstheme="minorBidi"/>
          <w:b w:val="0"/>
          <w:sz w:val="22"/>
          <w:szCs w:val="22"/>
          <w:lang w:eastAsia="en-AU"/>
        </w:rPr>
      </w:pPr>
      <w:hyperlink w:anchor="_Toc83625395" w:history="1">
        <w:r w:rsidR="005E03F7" w:rsidRPr="00D90FEA">
          <w:t>Part 3.1</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Preliminary</w:t>
        </w:r>
        <w:r w:rsidR="005E03F7" w:rsidRPr="005E03F7">
          <w:rPr>
            <w:vanish/>
          </w:rPr>
          <w:tab/>
        </w:r>
        <w:r w:rsidR="005E03F7" w:rsidRPr="005E03F7">
          <w:rPr>
            <w:vanish/>
          </w:rPr>
          <w:fldChar w:fldCharType="begin"/>
        </w:r>
        <w:r w:rsidR="005E03F7" w:rsidRPr="005E03F7">
          <w:rPr>
            <w:vanish/>
          </w:rPr>
          <w:instrText xml:space="preserve"> PAGEREF _Toc83625395 \h </w:instrText>
        </w:r>
        <w:r w:rsidR="005E03F7" w:rsidRPr="005E03F7">
          <w:rPr>
            <w:vanish/>
          </w:rPr>
        </w:r>
        <w:r w:rsidR="005E03F7" w:rsidRPr="005E03F7">
          <w:rPr>
            <w:vanish/>
          </w:rPr>
          <w:fldChar w:fldCharType="separate"/>
        </w:r>
        <w:r w:rsidR="005C5D7F">
          <w:rPr>
            <w:vanish/>
          </w:rPr>
          <w:t>84</w:t>
        </w:r>
        <w:r w:rsidR="005E03F7" w:rsidRPr="005E03F7">
          <w:rPr>
            <w:vanish/>
          </w:rPr>
          <w:fldChar w:fldCharType="end"/>
        </w:r>
      </w:hyperlink>
    </w:p>
    <w:p w14:paraId="35DE8E63" w14:textId="4BBE9321" w:rsidR="005E03F7" w:rsidRDefault="005E03F7">
      <w:pPr>
        <w:pStyle w:val="TOC5"/>
        <w:rPr>
          <w:rFonts w:asciiTheme="minorHAnsi" w:eastAsiaTheme="minorEastAsia" w:hAnsiTheme="minorHAnsi" w:cstheme="minorBidi"/>
          <w:sz w:val="22"/>
          <w:szCs w:val="22"/>
          <w:lang w:eastAsia="en-AU"/>
        </w:rPr>
      </w:pPr>
      <w:r>
        <w:tab/>
      </w:r>
      <w:hyperlink w:anchor="_Toc83625396" w:history="1">
        <w:r w:rsidRPr="00D90FEA">
          <w:t>58</w:t>
        </w:r>
        <w:r>
          <w:rPr>
            <w:rFonts w:asciiTheme="minorHAnsi" w:eastAsiaTheme="minorEastAsia" w:hAnsiTheme="minorHAnsi" w:cstheme="minorBidi"/>
            <w:sz w:val="22"/>
            <w:szCs w:val="22"/>
            <w:lang w:eastAsia="en-AU"/>
          </w:rPr>
          <w:tab/>
        </w:r>
        <w:r w:rsidRPr="00D90FEA">
          <w:t>Main purpose of Ch 3</w:t>
        </w:r>
        <w:r>
          <w:tab/>
        </w:r>
        <w:r>
          <w:fldChar w:fldCharType="begin"/>
        </w:r>
        <w:r>
          <w:instrText xml:space="preserve"> PAGEREF _Toc83625396 \h </w:instrText>
        </w:r>
        <w:r>
          <w:fldChar w:fldCharType="separate"/>
        </w:r>
        <w:r w:rsidR="005C5D7F">
          <w:t>84</w:t>
        </w:r>
        <w:r>
          <w:fldChar w:fldCharType="end"/>
        </w:r>
      </w:hyperlink>
    </w:p>
    <w:p w14:paraId="360929B5" w14:textId="4AF13BAF" w:rsidR="005E03F7" w:rsidRDefault="00856BEE">
      <w:pPr>
        <w:pStyle w:val="TOC2"/>
        <w:rPr>
          <w:rFonts w:asciiTheme="minorHAnsi" w:eastAsiaTheme="minorEastAsia" w:hAnsiTheme="minorHAnsi" w:cstheme="minorBidi"/>
          <w:b w:val="0"/>
          <w:sz w:val="22"/>
          <w:szCs w:val="22"/>
          <w:lang w:eastAsia="en-AU"/>
        </w:rPr>
      </w:pPr>
      <w:hyperlink w:anchor="_Toc83625397" w:history="1">
        <w:r w:rsidR="005E03F7" w:rsidRPr="00D90FEA">
          <w:t>Part 3.2</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Compliance with heavy vehicle standards</w:t>
        </w:r>
        <w:r w:rsidR="005E03F7" w:rsidRPr="005E03F7">
          <w:rPr>
            <w:vanish/>
          </w:rPr>
          <w:tab/>
        </w:r>
        <w:r w:rsidR="005E03F7" w:rsidRPr="005E03F7">
          <w:rPr>
            <w:vanish/>
          </w:rPr>
          <w:fldChar w:fldCharType="begin"/>
        </w:r>
        <w:r w:rsidR="005E03F7" w:rsidRPr="005E03F7">
          <w:rPr>
            <w:vanish/>
          </w:rPr>
          <w:instrText xml:space="preserve"> PAGEREF _Toc83625397 \h </w:instrText>
        </w:r>
        <w:r w:rsidR="005E03F7" w:rsidRPr="005E03F7">
          <w:rPr>
            <w:vanish/>
          </w:rPr>
        </w:r>
        <w:r w:rsidR="005E03F7" w:rsidRPr="005E03F7">
          <w:rPr>
            <w:vanish/>
          </w:rPr>
          <w:fldChar w:fldCharType="separate"/>
        </w:r>
        <w:r w:rsidR="005C5D7F">
          <w:rPr>
            <w:vanish/>
          </w:rPr>
          <w:t>85</w:t>
        </w:r>
        <w:r w:rsidR="005E03F7" w:rsidRPr="005E03F7">
          <w:rPr>
            <w:vanish/>
          </w:rPr>
          <w:fldChar w:fldCharType="end"/>
        </w:r>
      </w:hyperlink>
    </w:p>
    <w:p w14:paraId="1891D202" w14:textId="03862AD9" w:rsidR="005E03F7" w:rsidRDefault="00856BEE">
      <w:pPr>
        <w:pStyle w:val="TOC3"/>
        <w:rPr>
          <w:rFonts w:asciiTheme="minorHAnsi" w:eastAsiaTheme="minorEastAsia" w:hAnsiTheme="minorHAnsi" w:cstheme="minorBidi"/>
          <w:b w:val="0"/>
          <w:sz w:val="22"/>
          <w:szCs w:val="22"/>
          <w:lang w:eastAsia="en-AU"/>
        </w:rPr>
      </w:pPr>
      <w:hyperlink w:anchor="_Toc83625398" w:history="1">
        <w:r w:rsidR="005E03F7" w:rsidRPr="00D90FEA">
          <w:t>Division 1</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Requirements</w:t>
        </w:r>
        <w:r w:rsidR="005E03F7" w:rsidRPr="005E03F7">
          <w:rPr>
            <w:vanish/>
          </w:rPr>
          <w:tab/>
        </w:r>
        <w:r w:rsidR="005E03F7" w:rsidRPr="005E03F7">
          <w:rPr>
            <w:vanish/>
          </w:rPr>
          <w:fldChar w:fldCharType="begin"/>
        </w:r>
        <w:r w:rsidR="005E03F7" w:rsidRPr="005E03F7">
          <w:rPr>
            <w:vanish/>
          </w:rPr>
          <w:instrText xml:space="preserve"> PAGEREF _Toc83625398 \h </w:instrText>
        </w:r>
        <w:r w:rsidR="005E03F7" w:rsidRPr="005E03F7">
          <w:rPr>
            <w:vanish/>
          </w:rPr>
        </w:r>
        <w:r w:rsidR="005E03F7" w:rsidRPr="005E03F7">
          <w:rPr>
            <w:vanish/>
          </w:rPr>
          <w:fldChar w:fldCharType="separate"/>
        </w:r>
        <w:r w:rsidR="005C5D7F">
          <w:rPr>
            <w:vanish/>
          </w:rPr>
          <w:t>85</w:t>
        </w:r>
        <w:r w:rsidR="005E03F7" w:rsidRPr="005E03F7">
          <w:rPr>
            <w:vanish/>
          </w:rPr>
          <w:fldChar w:fldCharType="end"/>
        </w:r>
      </w:hyperlink>
    </w:p>
    <w:p w14:paraId="2D32549E" w14:textId="743F2C98" w:rsidR="005E03F7" w:rsidRDefault="005E03F7">
      <w:pPr>
        <w:pStyle w:val="TOC5"/>
        <w:rPr>
          <w:rFonts w:asciiTheme="minorHAnsi" w:eastAsiaTheme="minorEastAsia" w:hAnsiTheme="minorHAnsi" w:cstheme="minorBidi"/>
          <w:sz w:val="22"/>
          <w:szCs w:val="22"/>
          <w:lang w:eastAsia="en-AU"/>
        </w:rPr>
      </w:pPr>
      <w:r>
        <w:tab/>
      </w:r>
      <w:hyperlink w:anchor="_Toc83625399" w:history="1">
        <w:r w:rsidRPr="00D90FEA">
          <w:t>59</w:t>
        </w:r>
        <w:r>
          <w:rPr>
            <w:rFonts w:asciiTheme="minorHAnsi" w:eastAsiaTheme="minorEastAsia" w:hAnsiTheme="minorHAnsi" w:cstheme="minorBidi"/>
            <w:sz w:val="22"/>
            <w:szCs w:val="22"/>
            <w:lang w:eastAsia="en-AU"/>
          </w:rPr>
          <w:tab/>
        </w:r>
        <w:r w:rsidRPr="00D90FEA">
          <w:t>Heavy vehicle standards</w:t>
        </w:r>
        <w:r>
          <w:tab/>
        </w:r>
        <w:r>
          <w:fldChar w:fldCharType="begin"/>
        </w:r>
        <w:r>
          <w:instrText xml:space="preserve"> PAGEREF _Toc83625399 \h </w:instrText>
        </w:r>
        <w:r>
          <w:fldChar w:fldCharType="separate"/>
        </w:r>
        <w:r w:rsidR="005C5D7F">
          <w:t>85</w:t>
        </w:r>
        <w:r>
          <w:fldChar w:fldCharType="end"/>
        </w:r>
      </w:hyperlink>
    </w:p>
    <w:p w14:paraId="7EE50C95" w14:textId="60336302" w:rsidR="005E03F7" w:rsidRDefault="005E03F7">
      <w:pPr>
        <w:pStyle w:val="TOC5"/>
        <w:rPr>
          <w:rFonts w:asciiTheme="minorHAnsi" w:eastAsiaTheme="minorEastAsia" w:hAnsiTheme="minorHAnsi" w:cstheme="minorBidi"/>
          <w:sz w:val="22"/>
          <w:szCs w:val="22"/>
          <w:lang w:eastAsia="en-AU"/>
        </w:rPr>
      </w:pPr>
      <w:r>
        <w:tab/>
      </w:r>
      <w:hyperlink w:anchor="_Toc83625400" w:history="1">
        <w:r w:rsidRPr="00D90FEA">
          <w:t>60</w:t>
        </w:r>
        <w:r>
          <w:rPr>
            <w:rFonts w:asciiTheme="minorHAnsi" w:eastAsiaTheme="minorEastAsia" w:hAnsiTheme="minorHAnsi" w:cstheme="minorBidi"/>
            <w:sz w:val="22"/>
            <w:szCs w:val="22"/>
            <w:lang w:eastAsia="en-AU"/>
          </w:rPr>
          <w:tab/>
        </w:r>
        <w:r w:rsidRPr="00D90FEA">
          <w:t>Compliance with heavy vehicle standards</w:t>
        </w:r>
        <w:r>
          <w:tab/>
        </w:r>
        <w:r>
          <w:fldChar w:fldCharType="begin"/>
        </w:r>
        <w:r>
          <w:instrText xml:space="preserve"> PAGEREF _Toc83625400 \h </w:instrText>
        </w:r>
        <w:r>
          <w:fldChar w:fldCharType="separate"/>
        </w:r>
        <w:r w:rsidR="005C5D7F">
          <w:t>85</w:t>
        </w:r>
        <w:r>
          <w:fldChar w:fldCharType="end"/>
        </w:r>
      </w:hyperlink>
    </w:p>
    <w:p w14:paraId="3420B281" w14:textId="417AB00C" w:rsidR="005E03F7" w:rsidRDefault="00856BEE">
      <w:pPr>
        <w:pStyle w:val="TOC3"/>
        <w:rPr>
          <w:rFonts w:asciiTheme="minorHAnsi" w:eastAsiaTheme="minorEastAsia" w:hAnsiTheme="minorHAnsi" w:cstheme="minorBidi"/>
          <w:b w:val="0"/>
          <w:sz w:val="22"/>
          <w:szCs w:val="22"/>
          <w:lang w:eastAsia="en-AU"/>
        </w:rPr>
      </w:pPr>
      <w:hyperlink w:anchor="_Toc83625401" w:history="1">
        <w:r w:rsidR="005E03F7" w:rsidRPr="00D90FEA">
          <w:t>Division 2</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Exemptions by Commonwealth Gazette notice</w:t>
        </w:r>
        <w:r w:rsidR="005E03F7" w:rsidRPr="005E03F7">
          <w:rPr>
            <w:vanish/>
          </w:rPr>
          <w:tab/>
        </w:r>
        <w:r w:rsidR="005E03F7" w:rsidRPr="005E03F7">
          <w:rPr>
            <w:vanish/>
          </w:rPr>
          <w:fldChar w:fldCharType="begin"/>
        </w:r>
        <w:r w:rsidR="005E03F7" w:rsidRPr="005E03F7">
          <w:rPr>
            <w:vanish/>
          </w:rPr>
          <w:instrText xml:space="preserve"> PAGEREF _Toc83625401 \h </w:instrText>
        </w:r>
        <w:r w:rsidR="005E03F7" w:rsidRPr="005E03F7">
          <w:rPr>
            <w:vanish/>
          </w:rPr>
        </w:r>
        <w:r w:rsidR="005E03F7" w:rsidRPr="005E03F7">
          <w:rPr>
            <w:vanish/>
          </w:rPr>
          <w:fldChar w:fldCharType="separate"/>
        </w:r>
        <w:r w:rsidR="005C5D7F">
          <w:rPr>
            <w:vanish/>
          </w:rPr>
          <w:t>88</w:t>
        </w:r>
        <w:r w:rsidR="005E03F7" w:rsidRPr="005E03F7">
          <w:rPr>
            <w:vanish/>
          </w:rPr>
          <w:fldChar w:fldCharType="end"/>
        </w:r>
      </w:hyperlink>
    </w:p>
    <w:p w14:paraId="656CDACC" w14:textId="61770970" w:rsidR="005E03F7" w:rsidRDefault="005E03F7">
      <w:pPr>
        <w:pStyle w:val="TOC5"/>
        <w:rPr>
          <w:rFonts w:asciiTheme="minorHAnsi" w:eastAsiaTheme="minorEastAsia" w:hAnsiTheme="minorHAnsi" w:cstheme="minorBidi"/>
          <w:sz w:val="22"/>
          <w:szCs w:val="22"/>
          <w:lang w:eastAsia="en-AU"/>
        </w:rPr>
      </w:pPr>
      <w:r>
        <w:tab/>
      </w:r>
      <w:hyperlink w:anchor="_Toc83625402" w:history="1">
        <w:r w:rsidRPr="00D90FEA">
          <w:t>61</w:t>
        </w:r>
        <w:r>
          <w:rPr>
            <w:rFonts w:asciiTheme="minorHAnsi" w:eastAsiaTheme="minorEastAsia" w:hAnsiTheme="minorHAnsi" w:cstheme="minorBidi"/>
            <w:sz w:val="22"/>
            <w:szCs w:val="22"/>
            <w:lang w:eastAsia="en-AU"/>
          </w:rPr>
          <w:tab/>
        </w:r>
        <w:r w:rsidRPr="00D90FEA">
          <w:t>Regulator’s power to exempt category of heavy vehicles from compliance with heavy vehicle standard</w:t>
        </w:r>
        <w:r>
          <w:tab/>
        </w:r>
        <w:r>
          <w:fldChar w:fldCharType="begin"/>
        </w:r>
        <w:r>
          <w:instrText xml:space="preserve"> PAGEREF _Toc83625402 \h </w:instrText>
        </w:r>
        <w:r>
          <w:fldChar w:fldCharType="separate"/>
        </w:r>
        <w:r w:rsidR="005C5D7F">
          <w:t>88</w:t>
        </w:r>
        <w:r>
          <w:fldChar w:fldCharType="end"/>
        </w:r>
      </w:hyperlink>
    </w:p>
    <w:p w14:paraId="1C12BF72" w14:textId="41AD7531" w:rsidR="005E03F7" w:rsidRDefault="005E03F7">
      <w:pPr>
        <w:pStyle w:val="TOC5"/>
        <w:rPr>
          <w:rFonts w:asciiTheme="minorHAnsi" w:eastAsiaTheme="minorEastAsia" w:hAnsiTheme="minorHAnsi" w:cstheme="minorBidi"/>
          <w:sz w:val="22"/>
          <w:szCs w:val="22"/>
          <w:lang w:eastAsia="en-AU"/>
        </w:rPr>
      </w:pPr>
      <w:r>
        <w:tab/>
      </w:r>
      <w:hyperlink w:anchor="_Toc83625403" w:history="1">
        <w:r w:rsidRPr="00D90FEA">
          <w:t>62</w:t>
        </w:r>
        <w:r>
          <w:rPr>
            <w:rFonts w:asciiTheme="minorHAnsi" w:eastAsiaTheme="minorEastAsia" w:hAnsiTheme="minorHAnsi" w:cstheme="minorBidi"/>
            <w:sz w:val="22"/>
            <w:szCs w:val="22"/>
            <w:lang w:eastAsia="en-AU"/>
          </w:rPr>
          <w:tab/>
        </w:r>
        <w:r w:rsidRPr="00D90FEA">
          <w:t>Restriction on grant of vehicle standards exemption (notice)</w:t>
        </w:r>
        <w:r>
          <w:tab/>
        </w:r>
        <w:r>
          <w:fldChar w:fldCharType="begin"/>
        </w:r>
        <w:r>
          <w:instrText xml:space="preserve"> PAGEREF _Toc83625403 \h </w:instrText>
        </w:r>
        <w:r>
          <w:fldChar w:fldCharType="separate"/>
        </w:r>
        <w:r w:rsidR="005C5D7F">
          <w:t>88</w:t>
        </w:r>
        <w:r>
          <w:fldChar w:fldCharType="end"/>
        </w:r>
      </w:hyperlink>
    </w:p>
    <w:p w14:paraId="16472B25" w14:textId="3905E609" w:rsidR="005E03F7" w:rsidRDefault="005E03F7">
      <w:pPr>
        <w:pStyle w:val="TOC5"/>
        <w:rPr>
          <w:rFonts w:asciiTheme="minorHAnsi" w:eastAsiaTheme="minorEastAsia" w:hAnsiTheme="minorHAnsi" w:cstheme="minorBidi"/>
          <w:sz w:val="22"/>
          <w:szCs w:val="22"/>
          <w:lang w:eastAsia="en-AU"/>
        </w:rPr>
      </w:pPr>
      <w:r>
        <w:tab/>
      </w:r>
      <w:hyperlink w:anchor="_Toc83625404" w:history="1">
        <w:r w:rsidRPr="00D90FEA">
          <w:t>63</w:t>
        </w:r>
        <w:r>
          <w:rPr>
            <w:rFonts w:asciiTheme="minorHAnsi" w:eastAsiaTheme="minorEastAsia" w:hAnsiTheme="minorHAnsi" w:cstheme="minorBidi"/>
            <w:sz w:val="22"/>
            <w:szCs w:val="22"/>
            <w:lang w:eastAsia="en-AU"/>
          </w:rPr>
          <w:tab/>
        </w:r>
        <w:r w:rsidRPr="00D90FEA">
          <w:t>Conditions of vehicle standards exemption (notice)</w:t>
        </w:r>
        <w:r>
          <w:tab/>
        </w:r>
        <w:r>
          <w:fldChar w:fldCharType="begin"/>
        </w:r>
        <w:r>
          <w:instrText xml:space="preserve"> PAGEREF _Toc83625404 \h </w:instrText>
        </w:r>
        <w:r>
          <w:fldChar w:fldCharType="separate"/>
        </w:r>
        <w:r w:rsidR="005C5D7F">
          <w:t>89</w:t>
        </w:r>
        <w:r>
          <w:fldChar w:fldCharType="end"/>
        </w:r>
      </w:hyperlink>
    </w:p>
    <w:p w14:paraId="434EDCCB" w14:textId="27EE1ED8" w:rsidR="005E03F7" w:rsidRDefault="005E03F7">
      <w:pPr>
        <w:pStyle w:val="TOC5"/>
        <w:rPr>
          <w:rFonts w:asciiTheme="minorHAnsi" w:eastAsiaTheme="minorEastAsia" w:hAnsiTheme="minorHAnsi" w:cstheme="minorBidi"/>
          <w:sz w:val="22"/>
          <w:szCs w:val="22"/>
          <w:lang w:eastAsia="en-AU"/>
        </w:rPr>
      </w:pPr>
      <w:r>
        <w:tab/>
      </w:r>
      <w:hyperlink w:anchor="_Toc83625405" w:history="1">
        <w:r w:rsidRPr="00D90FEA">
          <w:t>64</w:t>
        </w:r>
        <w:r>
          <w:rPr>
            <w:rFonts w:asciiTheme="minorHAnsi" w:eastAsiaTheme="minorEastAsia" w:hAnsiTheme="minorHAnsi" w:cstheme="minorBidi"/>
            <w:sz w:val="22"/>
            <w:szCs w:val="22"/>
            <w:lang w:eastAsia="en-AU"/>
          </w:rPr>
          <w:tab/>
        </w:r>
        <w:r w:rsidRPr="00D90FEA">
          <w:t>Period for which vehicle standards exemption (notice) applies</w:t>
        </w:r>
        <w:r>
          <w:tab/>
        </w:r>
        <w:r>
          <w:fldChar w:fldCharType="begin"/>
        </w:r>
        <w:r>
          <w:instrText xml:space="preserve"> PAGEREF _Toc83625405 \h </w:instrText>
        </w:r>
        <w:r>
          <w:fldChar w:fldCharType="separate"/>
        </w:r>
        <w:r w:rsidR="005C5D7F">
          <w:t>90</w:t>
        </w:r>
        <w:r>
          <w:fldChar w:fldCharType="end"/>
        </w:r>
      </w:hyperlink>
    </w:p>
    <w:p w14:paraId="437933FC" w14:textId="7EECF1EA" w:rsidR="005E03F7" w:rsidRDefault="005E03F7">
      <w:pPr>
        <w:pStyle w:val="TOC5"/>
        <w:rPr>
          <w:rFonts w:asciiTheme="minorHAnsi" w:eastAsiaTheme="minorEastAsia" w:hAnsiTheme="minorHAnsi" w:cstheme="minorBidi"/>
          <w:sz w:val="22"/>
          <w:szCs w:val="22"/>
          <w:lang w:eastAsia="en-AU"/>
        </w:rPr>
      </w:pPr>
      <w:r>
        <w:tab/>
      </w:r>
      <w:hyperlink w:anchor="_Toc83625406" w:history="1">
        <w:r w:rsidRPr="00D90FEA">
          <w:t>65</w:t>
        </w:r>
        <w:r>
          <w:rPr>
            <w:rFonts w:asciiTheme="minorHAnsi" w:eastAsiaTheme="minorEastAsia" w:hAnsiTheme="minorHAnsi" w:cstheme="minorBidi"/>
            <w:sz w:val="22"/>
            <w:szCs w:val="22"/>
            <w:lang w:eastAsia="en-AU"/>
          </w:rPr>
          <w:tab/>
        </w:r>
        <w:r w:rsidRPr="00D90FEA">
          <w:t>Requirements about Commonwealth Gazette notice</w:t>
        </w:r>
        <w:r>
          <w:tab/>
        </w:r>
        <w:r>
          <w:fldChar w:fldCharType="begin"/>
        </w:r>
        <w:r>
          <w:instrText xml:space="preserve"> PAGEREF _Toc83625406 \h </w:instrText>
        </w:r>
        <w:r>
          <w:fldChar w:fldCharType="separate"/>
        </w:r>
        <w:r w:rsidR="005C5D7F">
          <w:t>90</w:t>
        </w:r>
        <w:r>
          <w:fldChar w:fldCharType="end"/>
        </w:r>
      </w:hyperlink>
    </w:p>
    <w:p w14:paraId="1BCC1507" w14:textId="7BA022FF" w:rsidR="005E03F7" w:rsidRDefault="005E03F7">
      <w:pPr>
        <w:pStyle w:val="TOC5"/>
        <w:rPr>
          <w:rFonts w:asciiTheme="minorHAnsi" w:eastAsiaTheme="minorEastAsia" w:hAnsiTheme="minorHAnsi" w:cstheme="minorBidi"/>
          <w:sz w:val="22"/>
          <w:szCs w:val="22"/>
          <w:lang w:eastAsia="en-AU"/>
        </w:rPr>
      </w:pPr>
      <w:r>
        <w:tab/>
      </w:r>
      <w:hyperlink w:anchor="_Toc83625407" w:history="1">
        <w:r w:rsidRPr="00D90FEA">
          <w:t>66</w:t>
        </w:r>
        <w:r>
          <w:rPr>
            <w:rFonts w:asciiTheme="minorHAnsi" w:eastAsiaTheme="minorEastAsia" w:hAnsiTheme="minorHAnsi" w:cstheme="minorBidi"/>
            <w:sz w:val="22"/>
            <w:szCs w:val="22"/>
            <w:lang w:eastAsia="en-AU"/>
          </w:rPr>
          <w:tab/>
        </w:r>
        <w:r w:rsidRPr="00D90FEA">
          <w:t>Amendment or cancellation of vehicle standards exemption (notice)</w:t>
        </w:r>
        <w:r>
          <w:tab/>
        </w:r>
        <w:r>
          <w:fldChar w:fldCharType="begin"/>
        </w:r>
        <w:r>
          <w:instrText xml:space="preserve"> PAGEREF _Toc83625407 \h </w:instrText>
        </w:r>
        <w:r>
          <w:fldChar w:fldCharType="separate"/>
        </w:r>
        <w:r w:rsidR="005C5D7F">
          <w:t>91</w:t>
        </w:r>
        <w:r>
          <w:fldChar w:fldCharType="end"/>
        </w:r>
      </w:hyperlink>
    </w:p>
    <w:p w14:paraId="7F4F7625" w14:textId="77640375" w:rsidR="005E03F7" w:rsidRDefault="005E03F7">
      <w:pPr>
        <w:pStyle w:val="TOC5"/>
        <w:rPr>
          <w:rFonts w:asciiTheme="minorHAnsi" w:eastAsiaTheme="minorEastAsia" w:hAnsiTheme="minorHAnsi" w:cstheme="minorBidi"/>
          <w:sz w:val="22"/>
          <w:szCs w:val="22"/>
          <w:lang w:eastAsia="en-AU"/>
        </w:rPr>
      </w:pPr>
      <w:r>
        <w:tab/>
      </w:r>
      <w:hyperlink w:anchor="_Toc83625408" w:history="1">
        <w:r w:rsidRPr="00D90FEA">
          <w:t>67</w:t>
        </w:r>
        <w:r>
          <w:rPr>
            <w:rFonts w:asciiTheme="minorHAnsi" w:eastAsiaTheme="minorEastAsia" w:hAnsiTheme="minorHAnsi" w:cstheme="minorBidi"/>
            <w:sz w:val="22"/>
            <w:szCs w:val="22"/>
            <w:lang w:eastAsia="en-AU"/>
          </w:rPr>
          <w:tab/>
        </w:r>
        <w:r w:rsidRPr="00D90FEA">
          <w:t>Immediate suspension on Regulator’s initiative</w:t>
        </w:r>
        <w:r>
          <w:tab/>
        </w:r>
        <w:r>
          <w:fldChar w:fldCharType="begin"/>
        </w:r>
        <w:r>
          <w:instrText xml:space="preserve"> PAGEREF _Toc83625408 \h </w:instrText>
        </w:r>
        <w:r>
          <w:fldChar w:fldCharType="separate"/>
        </w:r>
        <w:r w:rsidR="005C5D7F">
          <w:t>92</w:t>
        </w:r>
        <w:r>
          <w:fldChar w:fldCharType="end"/>
        </w:r>
      </w:hyperlink>
    </w:p>
    <w:p w14:paraId="26746A05" w14:textId="3813445A" w:rsidR="005E03F7" w:rsidRDefault="00856BEE">
      <w:pPr>
        <w:pStyle w:val="TOC3"/>
        <w:rPr>
          <w:rFonts w:asciiTheme="minorHAnsi" w:eastAsiaTheme="minorEastAsia" w:hAnsiTheme="minorHAnsi" w:cstheme="minorBidi"/>
          <w:b w:val="0"/>
          <w:sz w:val="22"/>
          <w:szCs w:val="22"/>
          <w:lang w:eastAsia="en-AU"/>
        </w:rPr>
      </w:pPr>
      <w:hyperlink w:anchor="_Toc83625409" w:history="1">
        <w:r w:rsidR="005E03F7" w:rsidRPr="00D90FEA">
          <w:t>Division 3</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Exemptions by permit</w:t>
        </w:r>
        <w:r w:rsidR="005E03F7" w:rsidRPr="005E03F7">
          <w:rPr>
            <w:vanish/>
          </w:rPr>
          <w:tab/>
        </w:r>
        <w:r w:rsidR="005E03F7" w:rsidRPr="005E03F7">
          <w:rPr>
            <w:vanish/>
          </w:rPr>
          <w:fldChar w:fldCharType="begin"/>
        </w:r>
        <w:r w:rsidR="005E03F7" w:rsidRPr="005E03F7">
          <w:rPr>
            <w:vanish/>
          </w:rPr>
          <w:instrText xml:space="preserve"> PAGEREF _Toc83625409 \h </w:instrText>
        </w:r>
        <w:r w:rsidR="005E03F7" w:rsidRPr="005E03F7">
          <w:rPr>
            <w:vanish/>
          </w:rPr>
        </w:r>
        <w:r w:rsidR="005E03F7" w:rsidRPr="005E03F7">
          <w:rPr>
            <w:vanish/>
          </w:rPr>
          <w:fldChar w:fldCharType="separate"/>
        </w:r>
        <w:r w:rsidR="005C5D7F">
          <w:rPr>
            <w:vanish/>
          </w:rPr>
          <w:t>93</w:t>
        </w:r>
        <w:r w:rsidR="005E03F7" w:rsidRPr="005E03F7">
          <w:rPr>
            <w:vanish/>
          </w:rPr>
          <w:fldChar w:fldCharType="end"/>
        </w:r>
      </w:hyperlink>
    </w:p>
    <w:p w14:paraId="5B140FF7" w14:textId="05F6C1EA" w:rsidR="005E03F7" w:rsidRDefault="005E03F7">
      <w:pPr>
        <w:pStyle w:val="TOC5"/>
        <w:rPr>
          <w:rFonts w:asciiTheme="minorHAnsi" w:eastAsiaTheme="minorEastAsia" w:hAnsiTheme="minorHAnsi" w:cstheme="minorBidi"/>
          <w:sz w:val="22"/>
          <w:szCs w:val="22"/>
          <w:lang w:eastAsia="en-AU"/>
        </w:rPr>
      </w:pPr>
      <w:r>
        <w:tab/>
      </w:r>
      <w:hyperlink w:anchor="_Toc83625410" w:history="1">
        <w:r w:rsidRPr="00D90FEA">
          <w:t>68</w:t>
        </w:r>
        <w:r>
          <w:rPr>
            <w:rFonts w:asciiTheme="minorHAnsi" w:eastAsiaTheme="minorEastAsia" w:hAnsiTheme="minorHAnsi" w:cstheme="minorBidi"/>
            <w:sz w:val="22"/>
            <w:szCs w:val="22"/>
            <w:lang w:eastAsia="en-AU"/>
          </w:rPr>
          <w:tab/>
        </w:r>
        <w:r w:rsidRPr="00D90FEA">
          <w:t>Regulator’s power to exempt particular heavy vehicle from compliance with heavy vehicle standard</w:t>
        </w:r>
        <w:r>
          <w:tab/>
        </w:r>
        <w:r>
          <w:fldChar w:fldCharType="begin"/>
        </w:r>
        <w:r>
          <w:instrText xml:space="preserve"> PAGEREF _Toc83625410 \h </w:instrText>
        </w:r>
        <w:r>
          <w:fldChar w:fldCharType="separate"/>
        </w:r>
        <w:r w:rsidR="005C5D7F">
          <w:t>93</w:t>
        </w:r>
        <w:r>
          <w:fldChar w:fldCharType="end"/>
        </w:r>
      </w:hyperlink>
    </w:p>
    <w:p w14:paraId="2BB561E1" w14:textId="5121FA87" w:rsidR="005E03F7" w:rsidRDefault="005E03F7">
      <w:pPr>
        <w:pStyle w:val="TOC5"/>
        <w:rPr>
          <w:rFonts w:asciiTheme="minorHAnsi" w:eastAsiaTheme="minorEastAsia" w:hAnsiTheme="minorHAnsi" w:cstheme="minorBidi"/>
          <w:sz w:val="22"/>
          <w:szCs w:val="22"/>
          <w:lang w:eastAsia="en-AU"/>
        </w:rPr>
      </w:pPr>
      <w:r>
        <w:tab/>
      </w:r>
      <w:hyperlink w:anchor="_Toc83625411" w:history="1">
        <w:r w:rsidRPr="00D90FEA">
          <w:t>69</w:t>
        </w:r>
        <w:r>
          <w:rPr>
            <w:rFonts w:asciiTheme="minorHAnsi" w:eastAsiaTheme="minorEastAsia" w:hAnsiTheme="minorHAnsi" w:cstheme="minorBidi"/>
            <w:sz w:val="22"/>
            <w:szCs w:val="22"/>
            <w:lang w:eastAsia="en-AU"/>
          </w:rPr>
          <w:tab/>
        </w:r>
        <w:r w:rsidRPr="00D90FEA">
          <w:t>Application for vehicle standards exemption (permit)</w:t>
        </w:r>
        <w:r>
          <w:tab/>
        </w:r>
        <w:r>
          <w:fldChar w:fldCharType="begin"/>
        </w:r>
        <w:r>
          <w:instrText xml:space="preserve"> PAGEREF _Toc83625411 \h </w:instrText>
        </w:r>
        <w:r>
          <w:fldChar w:fldCharType="separate"/>
        </w:r>
        <w:r w:rsidR="005C5D7F">
          <w:t>93</w:t>
        </w:r>
        <w:r>
          <w:fldChar w:fldCharType="end"/>
        </w:r>
      </w:hyperlink>
    </w:p>
    <w:p w14:paraId="6878C4D6" w14:textId="721C8DC0" w:rsidR="005E03F7" w:rsidRDefault="005E03F7">
      <w:pPr>
        <w:pStyle w:val="TOC5"/>
        <w:rPr>
          <w:rFonts w:asciiTheme="minorHAnsi" w:eastAsiaTheme="minorEastAsia" w:hAnsiTheme="minorHAnsi" w:cstheme="minorBidi"/>
          <w:sz w:val="22"/>
          <w:szCs w:val="22"/>
          <w:lang w:eastAsia="en-AU"/>
        </w:rPr>
      </w:pPr>
      <w:r>
        <w:tab/>
      </w:r>
      <w:hyperlink w:anchor="_Toc83625412" w:history="1">
        <w:r w:rsidRPr="00D90FEA">
          <w:t>70</w:t>
        </w:r>
        <w:r>
          <w:rPr>
            <w:rFonts w:asciiTheme="minorHAnsi" w:eastAsiaTheme="minorEastAsia" w:hAnsiTheme="minorHAnsi" w:cstheme="minorBidi"/>
            <w:sz w:val="22"/>
            <w:szCs w:val="22"/>
            <w:lang w:eastAsia="en-AU"/>
          </w:rPr>
          <w:tab/>
        </w:r>
        <w:r w:rsidRPr="00D90FEA">
          <w:t>Restriction on grant of vehicle standards exemption (permit)</w:t>
        </w:r>
        <w:r>
          <w:tab/>
        </w:r>
        <w:r>
          <w:fldChar w:fldCharType="begin"/>
        </w:r>
        <w:r>
          <w:instrText xml:space="preserve"> PAGEREF _Toc83625412 \h </w:instrText>
        </w:r>
        <w:r>
          <w:fldChar w:fldCharType="separate"/>
        </w:r>
        <w:r w:rsidR="005C5D7F">
          <w:t>94</w:t>
        </w:r>
        <w:r>
          <w:fldChar w:fldCharType="end"/>
        </w:r>
      </w:hyperlink>
    </w:p>
    <w:p w14:paraId="7C24263F" w14:textId="0835E699" w:rsidR="005E03F7" w:rsidRDefault="005E03F7">
      <w:pPr>
        <w:pStyle w:val="TOC5"/>
        <w:rPr>
          <w:rFonts w:asciiTheme="minorHAnsi" w:eastAsiaTheme="minorEastAsia" w:hAnsiTheme="minorHAnsi" w:cstheme="minorBidi"/>
          <w:sz w:val="22"/>
          <w:szCs w:val="22"/>
          <w:lang w:eastAsia="en-AU"/>
        </w:rPr>
      </w:pPr>
      <w:r>
        <w:lastRenderedPageBreak/>
        <w:tab/>
      </w:r>
      <w:hyperlink w:anchor="_Toc83625413" w:history="1">
        <w:r w:rsidRPr="00D90FEA">
          <w:t>71</w:t>
        </w:r>
        <w:r>
          <w:rPr>
            <w:rFonts w:asciiTheme="minorHAnsi" w:eastAsiaTheme="minorEastAsia" w:hAnsiTheme="minorHAnsi" w:cstheme="minorBidi"/>
            <w:sz w:val="22"/>
            <w:szCs w:val="22"/>
            <w:lang w:eastAsia="en-AU"/>
          </w:rPr>
          <w:tab/>
        </w:r>
        <w:r w:rsidRPr="00D90FEA">
          <w:t>Conditions of vehicle standards exemption (permit)</w:t>
        </w:r>
        <w:r>
          <w:tab/>
        </w:r>
        <w:r>
          <w:fldChar w:fldCharType="begin"/>
        </w:r>
        <w:r>
          <w:instrText xml:space="preserve"> PAGEREF _Toc83625413 \h </w:instrText>
        </w:r>
        <w:r>
          <w:fldChar w:fldCharType="separate"/>
        </w:r>
        <w:r w:rsidR="005C5D7F">
          <w:t>95</w:t>
        </w:r>
        <w:r>
          <w:fldChar w:fldCharType="end"/>
        </w:r>
      </w:hyperlink>
    </w:p>
    <w:p w14:paraId="11DC3D4B" w14:textId="17639E4F" w:rsidR="005E03F7" w:rsidRDefault="005E03F7">
      <w:pPr>
        <w:pStyle w:val="TOC5"/>
        <w:rPr>
          <w:rFonts w:asciiTheme="minorHAnsi" w:eastAsiaTheme="minorEastAsia" w:hAnsiTheme="minorHAnsi" w:cstheme="minorBidi"/>
          <w:sz w:val="22"/>
          <w:szCs w:val="22"/>
          <w:lang w:eastAsia="en-AU"/>
        </w:rPr>
      </w:pPr>
      <w:r>
        <w:tab/>
      </w:r>
      <w:hyperlink w:anchor="_Toc83625414" w:history="1">
        <w:r w:rsidRPr="00D90FEA">
          <w:t>72</w:t>
        </w:r>
        <w:r>
          <w:rPr>
            <w:rFonts w:asciiTheme="minorHAnsi" w:eastAsiaTheme="minorEastAsia" w:hAnsiTheme="minorHAnsi" w:cstheme="minorBidi"/>
            <w:sz w:val="22"/>
            <w:szCs w:val="22"/>
            <w:lang w:eastAsia="en-AU"/>
          </w:rPr>
          <w:tab/>
        </w:r>
        <w:r w:rsidRPr="00D90FEA">
          <w:t>Period for which vehicle standards exemption (permit) applies</w:t>
        </w:r>
        <w:r>
          <w:tab/>
        </w:r>
        <w:r>
          <w:fldChar w:fldCharType="begin"/>
        </w:r>
        <w:r>
          <w:instrText xml:space="preserve"> PAGEREF _Toc83625414 \h </w:instrText>
        </w:r>
        <w:r>
          <w:fldChar w:fldCharType="separate"/>
        </w:r>
        <w:r w:rsidR="005C5D7F">
          <w:t>95</w:t>
        </w:r>
        <w:r>
          <w:fldChar w:fldCharType="end"/>
        </w:r>
      </w:hyperlink>
    </w:p>
    <w:p w14:paraId="49282A35" w14:textId="38FE3E71" w:rsidR="005E03F7" w:rsidRDefault="005E03F7">
      <w:pPr>
        <w:pStyle w:val="TOC5"/>
        <w:rPr>
          <w:rFonts w:asciiTheme="minorHAnsi" w:eastAsiaTheme="minorEastAsia" w:hAnsiTheme="minorHAnsi" w:cstheme="minorBidi"/>
          <w:sz w:val="22"/>
          <w:szCs w:val="22"/>
          <w:lang w:eastAsia="en-AU"/>
        </w:rPr>
      </w:pPr>
      <w:r>
        <w:tab/>
      </w:r>
      <w:hyperlink w:anchor="_Toc83625415" w:history="1">
        <w:r w:rsidRPr="00D90FEA">
          <w:t>73</w:t>
        </w:r>
        <w:r>
          <w:rPr>
            <w:rFonts w:asciiTheme="minorHAnsi" w:eastAsiaTheme="minorEastAsia" w:hAnsiTheme="minorHAnsi" w:cstheme="minorBidi"/>
            <w:sz w:val="22"/>
            <w:szCs w:val="22"/>
            <w:lang w:eastAsia="en-AU"/>
          </w:rPr>
          <w:tab/>
        </w:r>
        <w:r w:rsidRPr="00D90FEA">
          <w:t>Permit for vehicle standards exemption (permit) etc.</w:t>
        </w:r>
        <w:r>
          <w:tab/>
        </w:r>
        <w:r>
          <w:fldChar w:fldCharType="begin"/>
        </w:r>
        <w:r>
          <w:instrText xml:space="preserve"> PAGEREF _Toc83625415 \h </w:instrText>
        </w:r>
        <w:r>
          <w:fldChar w:fldCharType="separate"/>
        </w:r>
        <w:r w:rsidR="005C5D7F">
          <w:t>95</w:t>
        </w:r>
        <w:r>
          <w:fldChar w:fldCharType="end"/>
        </w:r>
      </w:hyperlink>
    </w:p>
    <w:p w14:paraId="24E8036E" w14:textId="1A092F03" w:rsidR="005E03F7" w:rsidRDefault="005E03F7">
      <w:pPr>
        <w:pStyle w:val="TOC5"/>
        <w:rPr>
          <w:rFonts w:asciiTheme="minorHAnsi" w:eastAsiaTheme="minorEastAsia" w:hAnsiTheme="minorHAnsi" w:cstheme="minorBidi"/>
          <w:sz w:val="22"/>
          <w:szCs w:val="22"/>
          <w:lang w:eastAsia="en-AU"/>
        </w:rPr>
      </w:pPr>
      <w:r>
        <w:tab/>
      </w:r>
      <w:hyperlink w:anchor="_Toc83625416" w:history="1">
        <w:r w:rsidRPr="00D90FEA">
          <w:t>74</w:t>
        </w:r>
        <w:r>
          <w:rPr>
            <w:rFonts w:asciiTheme="minorHAnsi" w:eastAsiaTheme="minorEastAsia" w:hAnsiTheme="minorHAnsi" w:cstheme="minorBidi"/>
            <w:sz w:val="22"/>
            <w:szCs w:val="22"/>
            <w:lang w:eastAsia="en-AU"/>
          </w:rPr>
          <w:tab/>
        </w:r>
        <w:r w:rsidRPr="00D90FEA">
          <w:t>Refusal of application for vehicle standards exemption (permit)</w:t>
        </w:r>
        <w:r>
          <w:tab/>
        </w:r>
        <w:r>
          <w:fldChar w:fldCharType="begin"/>
        </w:r>
        <w:r>
          <w:instrText xml:space="preserve"> PAGEREF _Toc83625416 \h </w:instrText>
        </w:r>
        <w:r>
          <w:fldChar w:fldCharType="separate"/>
        </w:r>
        <w:r w:rsidR="005C5D7F">
          <w:t>96</w:t>
        </w:r>
        <w:r>
          <w:fldChar w:fldCharType="end"/>
        </w:r>
      </w:hyperlink>
    </w:p>
    <w:p w14:paraId="73D85412" w14:textId="2FB31163" w:rsidR="005E03F7" w:rsidRDefault="005E03F7">
      <w:pPr>
        <w:pStyle w:val="TOC5"/>
        <w:rPr>
          <w:rFonts w:asciiTheme="minorHAnsi" w:eastAsiaTheme="minorEastAsia" w:hAnsiTheme="minorHAnsi" w:cstheme="minorBidi"/>
          <w:sz w:val="22"/>
          <w:szCs w:val="22"/>
          <w:lang w:eastAsia="en-AU"/>
        </w:rPr>
      </w:pPr>
      <w:r>
        <w:tab/>
      </w:r>
      <w:hyperlink w:anchor="_Toc83625417" w:history="1">
        <w:r w:rsidRPr="00D90FEA">
          <w:t>75</w:t>
        </w:r>
        <w:r>
          <w:rPr>
            <w:rFonts w:asciiTheme="minorHAnsi" w:eastAsiaTheme="minorEastAsia" w:hAnsiTheme="minorHAnsi" w:cstheme="minorBidi"/>
            <w:sz w:val="22"/>
            <w:szCs w:val="22"/>
            <w:lang w:eastAsia="en-AU"/>
          </w:rPr>
          <w:tab/>
        </w:r>
        <w:r w:rsidRPr="00D90FEA">
          <w:t>Amendment or cancellation of vehicle standards exemption (permit) on application by permit holder</w:t>
        </w:r>
        <w:r>
          <w:tab/>
        </w:r>
        <w:r>
          <w:fldChar w:fldCharType="begin"/>
        </w:r>
        <w:r>
          <w:instrText xml:space="preserve"> PAGEREF _Toc83625417 \h </w:instrText>
        </w:r>
        <w:r>
          <w:fldChar w:fldCharType="separate"/>
        </w:r>
        <w:r w:rsidR="005C5D7F">
          <w:t>96</w:t>
        </w:r>
        <w:r>
          <w:fldChar w:fldCharType="end"/>
        </w:r>
      </w:hyperlink>
    </w:p>
    <w:p w14:paraId="4D1E30D2" w14:textId="1B3F5A48" w:rsidR="005E03F7" w:rsidRDefault="005E03F7">
      <w:pPr>
        <w:pStyle w:val="TOC5"/>
        <w:rPr>
          <w:rFonts w:asciiTheme="minorHAnsi" w:eastAsiaTheme="minorEastAsia" w:hAnsiTheme="minorHAnsi" w:cstheme="minorBidi"/>
          <w:sz w:val="22"/>
          <w:szCs w:val="22"/>
          <w:lang w:eastAsia="en-AU"/>
        </w:rPr>
      </w:pPr>
      <w:r>
        <w:tab/>
      </w:r>
      <w:hyperlink w:anchor="_Toc83625418" w:history="1">
        <w:r w:rsidRPr="00D90FEA">
          <w:t>76</w:t>
        </w:r>
        <w:r>
          <w:rPr>
            <w:rFonts w:asciiTheme="minorHAnsi" w:eastAsiaTheme="minorEastAsia" w:hAnsiTheme="minorHAnsi" w:cstheme="minorBidi"/>
            <w:sz w:val="22"/>
            <w:szCs w:val="22"/>
            <w:lang w:eastAsia="en-AU"/>
          </w:rPr>
          <w:tab/>
        </w:r>
        <w:r w:rsidRPr="00D90FEA">
          <w:t>Amendment or cancellation of vehicle standards exemption (permit) on Regulator’s initiative</w:t>
        </w:r>
        <w:r>
          <w:tab/>
        </w:r>
        <w:r>
          <w:fldChar w:fldCharType="begin"/>
        </w:r>
        <w:r>
          <w:instrText xml:space="preserve"> PAGEREF _Toc83625418 \h </w:instrText>
        </w:r>
        <w:r>
          <w:fldChar w:fldCharType="separate"/>
        </w:r>
        <w:r w:rsidR="005C5D7F">
          <w:t>97</w:t>
        </w:r>
        <w:r>
          <w:fldChar w:fldCharType="end"/>
        </w:r>
      </w:hyperlink>
    </w:p>
    <w:p w14:paraId="1A43D2EA" w14:textId="05598864" w:rsidR="005E03F7" w:rsidRDefault="005E03F7">
      <w:pPr>
        <w:pStyle w:val="TOC5"/>
        <w:rPr>
          <w:rFonts w:asciiTheme="minorHAnsi" w:eastAsiaTheme="minorEastAsia" w:hAnsiTheme="minorHAnsi" w:cstheme="minorBidi"/>
          <w:sz w:val="22"/>
          <w:szCs w:val="22"/>
          <w:lang w:eastAsia="en-AU"/>
        </w:rPr>
      </w:pPr>
      <w:r>
        <w:tab/>
      </w:r>
      <w:hyperlink w:anchor="_Toc83625419" w:history="1">
        <w:r w:rsidRPr="00D90FEA">
          <w:t>77</w:t>
        </w:r>
        <w:r>
          <w:rPr>
            <w:rFonts w:asciiTheme="minorHAnsi" w:eastAsiaTheme="minorEastAsia" w:hAnsiTheme="minorHAnsi" w:cstheme="minorBidi"/>
            <w:sz w:val="22"/>
            <w:szCs w:val="22"/>
            <w:lang w:eastAsia="en-AU"/>
          </w:rPr>
          <w:tab/>
        </w:r>
        <w:r w:rsidRPr="00D90FEA">
          <w:t>Immediate suspension on Regulator’s initiative</w:t>
        </w:r>
        <w:r>
          <w:tab/>
        </w:r>
        <w:r>
          <w:fldChar w:fldCharType="begin"/>
        </w:r>
        <w:r>
          <w:instrText xml:space="preserve"> PAGEREF _Toc83625419 \h </w:instrText>
        </w:r>
        <w:r>
          <w:fldChar w:fldCharType="separate"/>
        </w:r>
        <w:r w:rsidR="005C5D7F">
          <w:t>99</w:t>
        </w:r>
        <w:r>
          <w:fldChar w:fldCharType="end"/>
        </w:r>
      </w:hyperlink>
    </w:p>
    <w:p w14:paraId="36FF20B1" w14:textId="6B205720" w:rsidR="005E03F7" w:rsidRDefault="005E03F7">
      <w:pPr>
        <w:pStyle w:val="TOC5"/>
        <w:rPr>
          <w:rFonts w:asciiTheme="minorHAnsi" w:eastAsiaTheme="minorEastAsia" w:hAnsiTheme="minorHAnsi" w:cstheme="minorBidi"/>
          <w:sz w:val="22"/>
          <w:szCs w:val="22"/>
          <w:lang w:eastAsia="en-AU"/>
        </w:rPr>
      </w:pPr>
      <w:r>
        <w:tab/>
      </w:r>
      <w:hyperlink w:anchor="_Toc83625420" w:history="1">
        <w:r w:rsidRPr="00D90FEA">
          <w:t>78</w:t>
        </w:r>
        <w:r>
          <w:rPr>
            <w:rFonts w:asciiTheme="minorHAnsi" w:eastAsiaTheme="minorEastAsia" w:hAnsiTheme="minorHAnsi" w:cstheme="minorBidi"/>
            <w:sz w:val="22"/>
            <w:szCs w:val="22"/>
            <w:lang w:eastAsia="en-AU"/>
          </w:rPr>
          <w:tab/>
        </w:r>
        <w:r w:rsidRPr="00D90FEA">
          <w:t>Minor amendment of vehicle standards exemption (permit)</w:t>
        </w:r>
        <w:r>
          <w:tab/>
        </w:r>
        <w:r>
          <w:fldChar w:fldCharType="begin"/>
        </w:r>
        <w:r>
          <w:instrText xml:space="preserve"> PAGEREF _Toc83625420 \h </w:instrText>
        </w:r>
        <w:r>
          <w:fldChar w:fldCharType="separate"/>
        </w:r>
        <w:r w:rsidR="005C5D7F">
          <w:t>99</w:t>
        </w:r>
        <w:r>
          <w:fldChar w:fldCharType="end"/>
        </w:r>
      </w:hyperlink>
    </w:p>
    <w:p w14:paraId="7495FD4A" w14:textId="689D69B9" w:rsidR="005E03F7" w:rsidRDefault="005E03F7">
      <w:pPr>
        <w:pStyle w:val="TOC5"/>
        <w:rPr>
          <w:rFonts w:asciiTheme="minorHAnsi" w:eastAsiaTheme="minorEastAsia" w:hAnsiTheme="minorHAnsi" w:cstheme="minorBidi"/>
          <w:sz w:val="22"/>
          <w:szCs w:val="22"/>
          <w:lang w:eastAsia="en-AU"/>
        </w:rPr>
      </w:pPr>
      <w:r>
        <w:tab/>
      </w:r>
      <w:hyperlink w:anchor="_Toc83625421" w:history="1">
        <w:r w:rsidRPr="00D90FEA">
          <w:t>79</w:t>
        </w:r>
        <w:r>
          <w:rPr>
            <w:rFonts w:asciiTheme="minorHAnsi" w:eastAsiaTheme="minorEastAsia" w:hAnsiTheme="minorHAnsi" w:cstheme="minorBidi"/>
            <w:sz w:val="22"/>
            <w:szCs w:val="22"/>
            <w:lang w:eastAsia="en-AU"/>
          </w:rPr>
          <w:tab/>
        </w:r>
        <w:r w:rsidRPr="00D90FEA">
          <w:t>Return of permit</w:t>
        </w:r>
        <w:r>
          <w:tab/>
        </w:r>
        <w:r>
          <w:fldChar w:fldCharType="begin"/>
        </w:r>
        <w:r>
          <w:instrText xml:space="preserve"> PAGEREF _Toc83625421 \h </w:instrText>
        </w:r>
        <w:r>
          <w:fldChar w:fldCharType="separate"/>
        </w:r>
        <w:r w:rsidR="005C5D7F">
          <w:t>100</w:t>
        </w:r>
        <w:r>
          <w:fldChar w:fldCharType="end"/>
        </w:r>
      </w:hyperlink>
    </w:p>
    <w:p w14:paraId="3922FBAA" w14:textId="43EE4C16" w:rsidR="005E03F7" w:rsidRDefault="005E03F7">
      <w:pPr>
        <w:pStyle w:val="TOC5"/>
        <w:rPr>
          <w:rFonts w:asciiTheme="minorHAnsi" w:eastAsiaTheme="minorEastAsia" w:hAnsiTheme="minorHAnsi" w:cstheme="minorBidi"/>
          <w:sz w:val="22"/>
          <w:szCs w:val="22"/>
          <w:lang w:eastAsia="en-AU"/>
        </w:rPr>
      </w:pPr>
      <w:r>
        <w:tab/>
      </w:r>
      <w:hyperlink w:anchor="_Toc83625422" w:history="1">
        <w:r w:rsidRPr="00D90FEA">
          <w:t>80</w:t>
        </w:r>
        <w:r>
          <w:rPr>
            <w:rFonts w:asciiTheme="minorHAnsi" w:eastAsiaTheme="minorEastAsia" w:hAnsiTheme="minorHAnsi" w:cstheme="minorBidi"/>
            <w:sz w:val="22"/>
            <w:szCs w:val="22"/>
            <w:lang w:eastAsia="en-AU"/>
          </w:rPr>
          <w:tab/>
        </w:r>
        <w:r w:rsidRPr="00D90FEA">
          <w:t>Replacement of defaced etc. permit</w:t>
        </w:r>
        <w:r>
          <w:tab/>
        </w:r>
        <w:r>
          <w:fldChar w:fldCharType="begin"/>
        </w:r>
        <w:r>
          <w:instrText xml:space="preserve"> PAGEREF _Toc83625422 \h </w:instrText>
        </w:r>
        <w:r>
          <w:fldChar w:fldCharType="separate"/>
        </w:r>
        <w:r w:rsidR="005C5D7F">
          <w:t>100</w:t>
        </w:r>
        <w:r>
          <w:fldChar w:fldCharType="end"/>
        </w:r>
      </w:hyperlink>
    </w:p>
    <w:p w14:paraId="0E1D854C" w14:textId="65B798D9" w:rsidR="005E03F7" w:rsidRDefault="00856BEE">
      <w:pPr>
        <w:pStyle w:val="TOC3"/>
        <w:rPr>
          <w:rFonts w:asciiTheme="minorHAnsi" w:eastAsiaTheme="minorEastAsia" w:hAnsiTheme="minorHAnsi" w:cstheme="minorBidi"/>
          <w:b w:val="0"/>
          <w:sz w:val="22"/>
          <w:szCs w:val="22"/>
          <w:lang w:eastAsia="en-AU"/>
        </w:rPr>
      </w:pPr>
      <w:hyperlink w:anchor="_Toc83625423" w:history="1">
        <w:r w:rsidR="005E03F7" w:rsidRPr="00D90FEA">
          <w:t>Division 4</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Operating under vehicle standards exemption</w:t>
        </w:r>
        <w:r w:rsidR="005E03F7" w:rsidRPr="005E03F7">
          <w:rPr>
            <w:vanish/>
          </w:rPr>
          <w:tab/>
        </w:r>
        <w:r w:rsidR="005E03F7" w:rsidRPr="005E03F7">
          <w:rPr>
            <w:vanish/>
          </w:rPr>
          <w:fldChar w:fldCharType="begin"/>
        </w:r>
        <w:r w:rsidR="005E03F7" w:rsidRPr="005E03F7">
          <w:rPr>
            <w:vanish/>
          </w:rPr>
          <w:instrText xml:space="preserve"> PAGEREF _Toc83625423 \h </w:instrText>
        </w:r>
        <w:r w:rsidR="005E03F7" w:rsidRPr="005E03F7">
          <w:rPr>
            <w:vanish/>
          </w:rPr>
        </w:r>
        <w:r w:rsidR="005E03F7" w:rsidRPr="005E03F7">
          <w:rPr>
            <w:vanish/>
          </w:rPr>
          <w:fldChar w:fldCharType="separate"/>
        </w:r>
        <w:r w:rsidR="005C5D7F">
          <w:rPr>
            <w:vanish/>
          </w:rPr>
          <w:t>101</w:t>
        </w:r>
        <w:r w:rsidR="005E03F7" w:rsidRPr="005E03F7">
          <w:rPr>
            <w:vanish/>
          </w:rPr>
          <w:fldChar w:fldCharType="end"/>
        </w:r>
      </w:hyperlink>
    </w:p>
    <w:p w14:paraId="1D8F749A" w14:textId="7007BE8F" w:rsidR="005E03F7" w:rsidRDefault="005E03F7">
      <w:pPr>
        <w:pStyle w:val="TOC5"/>
        <w:rPr>
          <w:rFonts w:asciiTheme="minorHAnsi" w:eastAsiaTheme="minorEastAsia" w:hAnsiTheme="minorHAnsi" w:cstheme="minorBidi"/>
          <w:sz w:val="22"/>
          <w:szCs w:val="22"/>
          <w:lang w:eastAsia="en-AU"/>
        </w:rPr>
      </w:pPr>
      <w:r>
        <w:tab/>
      </w:r>
      <w:hyperlink w:anchor="_Toc83625424" w:history="1">
        <w:r w:rsidRPr="00D90FEA">
          <w:t>81</w:t>
        </w:r>
        <w:r>
          <w:rPr>
            <w:rFonts w:asciiTheme="minorHAnsi" w:eastAsiaTheme="minorEastAsia" w:hAnsiTheme="minorHAnsi" w:cstheme="minorBidi"/>
            <w:sz w:val="22"/>
            <w:szCs w:val="22"/>
            <w:lang w:eastAsia="en-AU"/>
          </w:rPr>
          <w:tab/>
        </w:r>
        <w:r w:rsidRPr="00D90FEA">
          <w:t>Contravening condition of vehicle standards exemption</w:t>
        </w:r>
        <w:r>
          <w:tab/>
        </w:r>
        <w:r>
          <w:fldChar w:fldCharType="begin"/>
        </w:r>
        <w:r>
          <w:instrText xml:space="preserve"> PAGEREF _Toc83625424 \h </w:instrText>
        </w:r>
        <w:r>
          <w:fldChar w:fldCharType="separate"/>
        </w:r>
        <w:r w:rsidR="005C5D7F">
          <w:t>101</w:t>
        </w:r>
        <w:r>
          <w:fldChar w:fldCharType="end"/>
        </w:r>
      </w:hyperlink>
    </w:p>
    <w:p w14:paraId="2378F012" w14:textId="3F06D8A2" w:rsidR="005E03F7" w:rsidRDefault="005E03F7">
      <w:pPr>
        <w:pStyle w:val="TOC5"/>
        <w:rPr>
          <w:rFonts w:asciiTheme="minorHAnsi" w:eastAsiaTheme="minorEastAsia" w:hAnsiTheme="minorHAnsi" w:cstheme="minorBidi"/>
          <w:sz w:val="22"/>
          <w:szCs w:val="22"/>
          <w:lang w:eastAsia="en-AU"/>
        </w:rPr>
      </w:pPr>
      <w:r>
        <w:tab/>
      </w:r>
      <w:hyperlink w:anchor="_Toc83625425" w:history="1">
        <w:r w:rsidRPr="00D90FEA">
          <w:t>82</w:t>
        </w:r>
        <w:r>
          <w:rPr>
            <w:rFonts w:asciiTheme="minorHAnsi" w:eastAsiaTheme="minorEastAsia" w:hAnsiTheme="minorHAnsi" w:cstheme="minorBidi"/>
            <w:sz w:val="22"/>
            <w:szCs w:val="22"/>
            <w:lang w:eastAsia="en-AU"/>
          </w:rPr>
          <w:tab/>
        </w:r>
        <w:r w:rsidRPr="00D90FEA">
          <w:t>Keeping relevant document while driving under vehicle standards exemption (notice)</w:t>
        </w:r>
        <w:r>
          <w:tab/>
        </w:r>
        <w:r>
          <w:fldChar w:fldCharType="begin"/>
        </w:r>
        <w:r>
          <w:instrText xml:space="preserve"> PAGEREF _Toc83625425 \h </w:instrText>
        </w:r>
        <w:r>
          <w:fldChar w:fldCharType="separate"/>
        </w:r>
        <w:r w:rsidR="005C5D7F">
          <w:t>102</w:t>
        </w:r>
        <w:r>
          <w:fldChar w:fldCharType="end"/>
        </w:r>
      </w:hyperlink>
    </w:p>
    <w:p w14:paraId="719E97E3" w14:textId="745B87E8" w:rsidR="005E03F7" w:rsidRDefault="005E03F7">
      <w:pPr>
        <w:pStyle w:val="TOC5"/>
        <w:rPr>
          <w:rFonts w:asciiTheme="minorHAnsi" w:eastAsiaTheme="minorEastAsia" w:hAnsiTheme="minorHAnsi" w:cstheme="minorBidi"/>
          <w:sz w:val="22"/>
          <w:szCs w:val="22"/>
          <w:lang w:eastAsia="en-AU"/>
        </w:rPr>
      </w:pPr>
      <w:r>
        <w:tab/>
      </w:r>
      <w:hyperlink w:anchor="_Toc83625426" w:history="1">
        <w:r w:rsidRPr="00D90FEA">
          <w:t>83</w:t>
        </w:r>
        <w:r>
          <w:rPr>
            <w:rFonts w:asciiTheme="minorHAnsi" w:eastAsiaTheme="minorEastAsia" w:hAnsiTheme="minorHAnsi" w:cstheme="minorBidi"/>
            <w:sz w:val="22"/>
            <w:szCs w:val="22"/>
            <w:lang w:eastAsia="en-AU"/>
          </w:rPr>
          <w:tab/>
        </w:r>
        <w:r w:rsidRPr="00D90FEA">
          <w:t>Keeping copy of permit while driving under vehicle standards exemption (permit)</w:t>
        </w:r>
        <w:r>
          <w:tab/>
        </w:r>
        <w:r>
          <w:fldChar w:fldCharType="begin"/>
        </w:r>
        <w:r>
          <w:instrText xml:space="preserve"> PAGEREF _Toc83625426 \h </w:instrText>
        </w:r>
        <w:r>
          <w:fldChar w:fldCharType="separate"/>
        </w:r>
        <w:r w:rsidR="005C5D7F">
          <w:t>103</w:t>
        </w:r>
        <w:r>
          <w:fldChar w:fldCharType="end"/>
        </w:r>
      </w:hyperlink>
    </w:p>
    <w:p w14:paraId="6C35C5E4" w14:textId="7006FB8F" w:rsidR="005E03F7" w:rsidRDefault="00856BEE">
      <w:pPr>
        <w:pStyle w:val="TOC2"/>
        <w:rPr>
          <w:rFonts w:asciiTheme="minorHAnsi" w:eastAsiaTheme="minorEastAsia" w:hAnsiTheme="minorHAnsi" w:cstheme="minorBidi"/>
          <w:b w:val="0"/>
          <w:sz w:val="22"/>
          <w:szCs w:val="22"/>
          <w:lang w:eastAsia="en-AU"/>
        </w:rPr>
      </w:pPr>
      <w:hyperlink w:anchor="_Toc83625427" w:history="1">
        <w:r w:rsidR="005E03F7" w:rsidRPr="00D90FEA">
          <w:t>Part 3.3</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Modifying heavy vehicles</w:t>
        </w:r>
        <w:r w:rsidR="005E03F7" w:rsidRPr="005E03F7">
          <w:rPr>
            <w:vanish/>
          </w:rPr>
          <w:tab/>
        </w:r>
        <w:r w:rsidR="005E03F7" w:rsidRPr="005E03F7">
          <w:rPr>
            <w:vanish/>
          </w:rPr>
          <w:fldChar w:fldCharType="begin"/>
        </w:r>
        <w:r w:rsidR="005E03F7" w:rsidRPr="005E03F7">
          <w:rPr>
            <w:vanish/>
          </w:rPr>
          <w:instrText xml:space="preserve"> PAGEREF _Toc83625427 \h </w:instrText>
        </w:r>
        <w:r w:rsidR="005E03F7" w:rsidRPr="005E03F7">
          <w:rPr>
            <w:vanish/>
          </w:rPr>
        </w:r>
        <w:r w:rsidR="005E03F7" w:rsidRPr="005E03F7">
          <w:rPr>
            <w:vanish/>
          </w:rPr>
          <w:fldChar w:fldCharType="separate"/>
        </w:r>
        <w:r w:rsidR="005C5D7F">
          <w:rPr>
            <w:vanish/>
          </w:rPr>
          <w:t>105</w:t>
        </w:r>
        <w:r w:rsidR="005E03F7" w:rsidRPr="005E03F7">
          <w:rPr>
            <w:vanish/>
          </w:rPr>
          <w:fldChar w:fldCharType="end"/>
        </w:r>
      </w:hyperlink>
    </w:p>
    <w:p w14:paraId="65F5A15B" w14:textId="18431159" w:rsidR="005E03F7" w:rsidRDefault="005E03F7">
      <w:pPr>
        <w:pStyle w:val="TOC5"/>
        <w:rPr>
          <w:rFonts w:asciiTheme="minorHAnsi" w:eastAsiaTheme="minorEastAsia" w:hAnsiTheme="minorHAnsi" w:cstheme="minorBidi"/>
          <w:sz w:val="22"/>
          <w:szCs w:val="22"/>
          <w:lang w:eastAsia="en-AU"/>
        </w:rPr>
      </w:pPr>
      <w:r>
        <w:tab/>
      </w:r>
      <w:hyperlink w:anchor="_Toc83625428" w:history="1">
        <w:r w:rsidRPr="00D90FEA">
          <w:t>84</w:t>
        </w:r>
        <w:r>
          <w:rPr>
            <w:rFonts w:asciiTheme="minorHAnsi" w:eastAsiaTheme="minorEastAsia" w:hAnsiTheme="minorHAnsi" w:cstheme="minorBidi"/>
            <w:sz w:val="22"/>
            <w:szCs w:val="22"/>
            <w:lang w:eastAsia="en-AU"/>
          </w:rPr>
          <w:tab/>
        </w:r>
        <w:r w:rsidRPr="00D90FEA">
          <w:t>Definition for Pt 3.3</w:t>
        </w:r>
        <w:r>
          <w:tab/>
        </w:r>
        <w:r>
          <w:fldChar w:fldCharType="begin"/>
        </w:r>
        <w:r>
          <w:instrText xml:space="preserve"> PAGEREF _Toc83625428 \h </w:instrText>
        </w:r>
        <w:r>
          <w:fldChar w:fldCharType="separate"/>
        </w:r>
        <w:r w:rsidR="005C5D7F">
          <w:t>105</w:t>
        </w:r>
        <w:r>
          <w:fldChar w:fldCharType="end"/>
        </w:r>
      </w:hyperlink>
    </w:p>
    <w:p w14:paraId="1B3BFEB2" w14:textId="2FA955B9" w:rsidR="005E03F7" w:rsidRDefault="005E03F7">
      <w:pPr>
        <w:pStyle w:val="TOC5"/>
        <w:rPr>
          <w:rFonts w:asciiTheme="minorHAnsi" w:eastAsiaTheme="minorEastAsia" w:hAnsiTheme="minorHAnsi" w:cstheme="minorBidi"/>
          <w:sz w:val="22"/>
          <w:szCs w:val="22"/>
          <w:lang w:eastAsia="en-AU"/>
        </w:rPr>
      </w:pPr>
      <w:r>
        <w:tab/>
      </w:r>
      <w:hyperlink w:anchor="_Toc83625429" w:history="1">
        <w:r w:rsidRPr="00D90FEA">
          <w:t>85</w:t>
        </w:r>
        <w:r>
          <w:rPr>
            <w:rFonts w:asciiTheme="minorHAnsi" w:eastAsiaTheme="minorEastAsia" w:hAnsiTheme="minorHAnsi" w:cstheme="minorBidi"/>
            <w:sz w:val="22"/>
            <w:szCs w:val="22"/>
            <w:lang w:eastAsia="en-AU"/>
          </w:rPr>
          <w:tab/>
        </w:r>
        <w:r w:rsidRPr="00D90FEA">
          <w:t>Modifying heavy vehicle requires approval</w:t>
        </w:r>
        <w:r>
          <w:tab/>
        </w:r>
        <w:r>
          <w:fldChar w:fldCharType="begin"/>
        </w:r>
        <w:r>
          <w:instrText xml:space="preserve"> PAGEREF _Toc83625429 \h </w:instrText>
        </w:r>
        <w:r>
          <w:fldChar w:fldCharType="separate"/>
        </w:r>
        <w:r w:rsidR="005C5D7F">
          <w:t>105</w:t>
        </w:r>
        <w:r>
          <w:fldChar w:fldCharType="end"/>
        </w:r>
      </w:hyperlink>
    </w:p>
    <w:p w14:paraId="67A6B5F3" w14:textId="00317BD1" w:rsidR="005E03F7" w:rsidRDefault="005E03F7">
      <w:pPr>
        <w:pStyle w:val="TOC5"/>
        <w:rPr>
          <w:rFonts w:asciiTheme="minorHAnsi" w:eastAsiaTheme="minorEastAsia" w:hAnsiTheme="minorHAnsi" w:cstheme="minorBidi"/>
          <w:sz w:val="22"/>
          <w:szCs w:val="22"/>
          <w:lang w:eastAsia="en-AU"/>
        </w:rPr>
      </w:pPr>
      <w:r>
        <w:tab/>
      </w:r>
      <w:hyperlink w:anchor="_Toc83625430" w:history="1">
        <w:r w:rsidRPr="00D90FEA">
          <w:t>86</w:t>
        </w:r>
        <w:r>
          <w:rPr>
            <w:rFonts w:asciiTheme="minorHAnsi" w:eastAsiaTheme="minorEastAsia" w:hAnsiTheme="minorHAnsi" w:cstheme="minorBidi"/>
            <w:sz w:val="22"/>
            <w:szCs w:val="22"/>
            <w:lang w:eastAsia="en-AU"/>
          </w:rPr>
          <w:tab/>
        </w:r>
        <w:r w:rsidRPr="00D90FEA">
          <w:t>Approval of modifications by approved vehicle examiners</w:t>
        </w:r>
        <w:r>
          <w:tab/>
        </w:r>
        <w:r>
          <w:fldChar w:fldCharType="begin"/>
        </w:r>
        <w:r>
          <w:instrText xml:space="preserve"> PAGEREF _Toc83625430 \h </w:instrText>
        </w:r>
        <w:r>
          <w:fldChar w:fldCharType="separate"/>
        </w:r>
        <w:r w:rsidR="005C5D7F">
          <w:t>106</w:t>
        </w:r>
        <w:r>
          <w:fldChar w:fldCharType="end"/>
        </w:r>
      </w:hyperlink>
    </w:p>
    <w:p w14:paraId="019F0977" w14:textId="4A0AF9A6" w:rsidR="005E03F7" w:rsidRDefault="005E03F7">
      <w:pPr>
        <w:pStyle w:val="TOC5"/>
        <w:rPr>
          <w:rFonts w:asciiTheme="minorHAnsi" w:eastAsiaTheme="minorEastAsia" w:hAnsiTheme="minorHAnsi" w:cstheme="minorBidi"/>
          <w:sz w:val="22"/>
          <w:szCs w:val="22"/>
          <w:lang w:eastAsia="en-AU"/>
        </w:rPr>
      </w:pPr>
      <w:r>
        <w:tab/>
      </w:r>
      <w:hyperlink w:anchor="_Toc83625431" w:history="1">
        <w:r w:rsidRPr="00D90FEA">
          <w:t>87</w:t>
        </w:r>
        <w:r>
          <w:rPr>
            <w:rFonts w:asciiTheme="minorHAnsi" w:eastAsiaTheme="minorEastAsia" w:hAnsiTheme="minorHAnsi" w:cstheme="minorBidi"/>
            <w:sz w:val="22"/>
            <w:szCs w:val="22"/>
            <w:lang w:eastAsia="en-AU"/>
          </w:rPr>
          <w:tab/>
        </w:r>
        <w:r w:rsidRPr="00D90FEA">
          <w:t>Approval of modification by Regulator</w:t>
        </w:r>
        <w:r>
          <w:tab/>
        </w:r>
        <w:r>
          <w:fldChar w:fldCharType="begin"/>
        </w:r>
        <w:r>
          <w:instrText xml:space="preserve"> PAGEREF _Toc83625431 \h </w:instrText>
        </w:r>
        <w:r>
          <w:fldChar w:fldCharType="separate"/>
        </w:r>
        <w:r w:rsidR="005C5D7F">
          <w:t>107</w:t>
        </w:r>
        <w:r>
          <w:fldChar w:fldCharType="end"/>
        </w:r>
      </w:hyperlink>
    </w:p>
    <w:p w14:paraId="4D3ADA12" w14:textId="60B153E7" w:rsidR="005E03F7" w:rsidRDefault="005E03F7">
      <w:pPr>
        <w:pStyle w:val="TOC5"/>
        <w:rPr>
          <w:rFonts w:asciiTheme="minorHAnsi" w:eastAsiaTheme="minorEastAsia" w:hAnsiTheme="minorHAnsi" w:cstheme="minorBidi"/>
          <w:sz w:val="22"/>
          <w:szCs w:val="22"/>
          <w:lang w:eastAsia="en-AU"/>
        </w:rPr>
      </w:pPr>
      <w:r>
        <w:tab/>
      </w:r>
      <w:hyperlink w:anchor="_Toc83625432" w:history="1">
        <w:r w:rsidRPr="00D90FEA">
          <w:t>87A</w:t>
        </w:r>
        <w:r>
          <w:rPr>
            <w:rFonts w:asciiTheme="minorHAnsi" w:eastAsiaTheme="minorEastAsia" w:hAnsiTheme="minorHAnsi" w:cstheme="minorBidi"/>
            <w:sz w:val="22"/>
            <w:szCs w:val="22"/>
            <w:lang w:eastAsia="en-AU"/>
          </w:rPr>
          <w:tab/>
        </w:r>
        <w:r w:rsidRPr="00D90FEA">
          <w:t>Person must not tamper with plate or label</w:t>
        </w:r>
        <w:r>
          <w:tab/>
        </w:r>
        <w:r>
          <w:fldChar w:fldCharType="begin"/>
        </w:r>
        <w:r>
          <w:instrText xml:space="preserve"> PAGEREF _Toc83625432 \h </w:instrText>
        </w:r>
        <w:r>
          <w:fldChar w:fldCharType="separate"/>
        </w:r>
        <w:r w:rsidR="005C5D7F">
          <w:t>108</w:t>
        </w:r>
        <w:r>
          <w:fldChar w:fldCharType="end"/>
        </w:r>
      </w:hyperlink>
    </w:p>
    <w:p w14:paraId="65CCB516" w14:textId="6F96F9FD" w:rsidR="005E03F7" w:rsidRDefault="005E03F7">
      <w:pPr>
        <w:pStyle w:val="TOC5"/>
        <w:rPr>
          <w:rFonts w:asciiTheme="minorHAnsi" w:eastAsiaTheme="minorEastAsia" w:hAnsiTheme="minorHAnsi" w:cstheme="minorBidi"/>
          <w:sz w:val="22"/>
          <w:szCs w:val="22"/>
          <w:lang w:eastAsia="en-AU"/>
        </w:rPr>
      </w:pPr>
      <w:r>
        <w:tab/>
      </w:r>
      <w:hyperlink w:anchor="_Toc83625433" w:history="1">
        <w:r w:rsidRPr="00D90FEA">
          <w:t>88</w:t>
        </w:r>
        <w:r>
          <w:rPr>
            <w:rFonts w:asciiTheme="minorHAnsi" w:eastAsiaTheme="minorEastAsia" w:hAnsiTheme="minorHAnsi" w:cstheme="minorBidi"/>
            <w:sz w:val="22"/>
            <w:szCs w:val="22"/>
            <w:lang w:eastAsia="en-AU"/>
          </w:rPr>
          <w:tab/>
        </w:r>
        <w:r w:rsidRPr="00D90FEA">
          <w:t>National regulations for heavy vehicle modification</w:t>
        </w:r>
        <w:r>
          <w:tab/>
        </w:r>
        <w:r>
          <w:fldChar w:fldCharType="begin"/>
        </w:r>
        <w:r>
          <w:instrText xml:space="preserve"> PAGEREF _Toc83625433 \h </w:instrText>
        </w:r>
        <w:r>
          <w:fldChar w:fldCharType="separate"/>
        </w:r>
        <w:r w:rsidR="005C5D7F">
          <w:t>109</w:t>
        </w:r>
        <w:r>
          <w:fldChar w:fldCharType="end"/>
        </w:r>
      </w:hyperlink>
    </w:p>
    <w:p w14:paraId="794BFC68" w14:textId="4C452673" w:rsidR="005E03F7" w:rsidRDefault="00856BEE">
      <w:pPr>
        <w:pStyle w:val="TOC2"/>
        <w:rPr>
          <w:rFonts w:asciiTheme="minorHAnsi" w:eastAsiaTheme="minorEastAsia" w:hAnsiTheme="minorHAnsi" w:cstheme="minorBidi"/>
          <w:b w:val="0"/>
          <w:sz w:val="22"/>
          <w:szCs w:val="22"/>
          <w:lang w:eastAsia="en-AU"/>
        </w:rPr>
      </w:pPr>
      <w:hyperlink w:anchor="_Toc83625434" w:history="1">
        <w:r w:rsidR="005E03F7" w:rsidRPr="00D90FEA">
          <w:t>Part 3.4</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Other offences</w:t>
        </w:r>
        <w:r w:rsidR="005E03F7" w:rsidRPr="005E03F7">
          <w:rPr>
            <w:vanish/>
          </w:rPr>
          <w:tab/>
        </w:r>
        <w:r w:rsidR="005E03F7" w:rsidRPr="005E03F7">
          <w:rPr>
            <w:vanish/>
          </w:rPr>
          <w:fldChar w:fldCharType="begin"/>
        </w:r>
        <w:r w:rsidR="005E03F7" w:rsidRPr="005E03F7">
          <w:rPr>
            <w:vanish/>
          </w:rPr>
          <w:instrText xml:space="preserve"> PAGEREF _Toc83625434 \h </w:instrText>
        </w:r>
        <w:r w:rsidR="005E03F7" w:rsidRPr="005E03F7">
          <w:rPr>
            <w:vanish/>
          </w:rPr>
        </w:r>
        <w:r w:rsidR="005E03F7" w:rsidRPr="005E03F7">
          <w:rPr>
            <w:vanish/>
          </w:rPr>
          <w:fldChar w:fldCharType="separate"/>
        </w:r>
        <w:r w:rsidR="005C5D7F">
          <w:rPr>
            <w:vanish/>
          </w:rPr>
          <w:t>110</w:t>
        </w:r>
        <w:r w:rsidR="005E03F7" w:rsidRPr="005E03F7">
          <w:rPr>
            <w:vanish/>
          </w:rPr>
          <w:fldChar w:fldCharType="end"/>
        </w:r>
      </w:hyperlink>
    </w:p>
    <w:p w14:paraId="731F25CD" w14:textId="17DF0394" w:rsidR="005E03F7" w:rsidRDefault="005E03F7">
      <w:pPr>
        <w:pStyle w:val="TOC5"/>
        <w:rPr>
          <w:rFonts w:asciiTheme="minorHAnsi" w:eastAsiaTheme="minorEastAsia" w:hAnsiTheme="minorHAnsi" w:cstheme="minorBidi"/>
          <w:sz w:val="22"/>
          <w:szCs w:val="22"/>
          <w:lang w:eastAsia="en-AU"/>
        </w:rPr>
      </w:pPr>
      <w:r>
        <w:tab/>
      </w:r>
      <w:hyperlink w:anchor="_Toc83625435" w:history="1">
        <w:r w:rsidRPr="00D90FEA">
          <w:t>89</w:t>
        </w:r>
        <w:r>
          <w:rPr>
            <w:rFonts w:asciiTheme="minorHAnsi" w:eastAsiaTheme="minorEastAsia" w:hAnsiTheme="minorHAnsi" w:cstheme="minorBidi"/>
            <w:sz w:val="22"/>
            <w:szCs w:val="22"/>
            <w:lang w:eastAsia="en-AU"/>
          </w:rPr>
          <w:tab/>
        </w:r>
        <w:r w:rsidRPr="00D90FEA">
          <w:t>Safety requirement</w:t>
        </w:r>
        <w:r>
          <w:tab/>
        </w:r>
        <w:r>
          <w:fldChar w:fldCharType="begin"/>
        </w:r>
        <w:r>
          <w:instrText xml:space="preserve"> PAGEREF _Toc83625435 \h </w:instrText>
        </w:r>
        <w:r>
          <w:fldChar w:fldCharType="separate"/>
        </w:r>
        <w:r w:rsidR="005C5D7F">
          <w:t>110</w:t>
        </w:r>
        <w:r>
          <w:fldChar w:fldCharType="end"/>
        </w:r>
      </w:hyperlink>
    </w:p>
    <w:p w14:paraId="0CFA2BC7" w14:textId="4002F6CE" w:rsidR="005E03F7" w:rsidRDefault="005E03F7">
      <w:pPr>
        <w:pStyle w:val="TOC5"/>
        <w:rPr>
          <w:rFonts w:asciiTheme="minorHAnsi" w:eastAsiaTheme="minorEastAsia" w:hAnsiTheme="minorHAnsi" w:cstheme="minorBidi"/>
          <w:sz w:val="22"/>
          <w:szCs w:val="22"/>
          <w:lang w:eastAsia="en-AU"/>
        </w:rPr>
      </w:pPr>
      <w:r>
        <w:tab/>
      </w:r>
      <w:hyperlink w:anchor="_Toc83625436" w:history="1">
        <w:r w:rsidRPr="00D90FEA">
          <w:t>90</w:t>
        </w:r>
        <w:r>
          <w:rPr>
            <w:rFonts w:asciiTheme="minorHAnsi" w:eastAsiaTheme="minorEastAsia" w:hAnsiTheme="minorHAnsi" w:cstheme="minorBidi"/>
            <w:sz w:val="22"/>
            <w:szCs w:val="22"/>
            <w:lang w:eastAsia="en-AU"/>
          </w:rPr>
          <w:tab/>
        </w:r>
        <w:r w:rsidRPr="00D90FEA">
          <w:t>Requirement about properly operating emission control system</w:t>
        </w:r>
        <w:r>
          <w:tab/>
        </w:r>
        <w:r>
          <w:fldChar w:fldCharType="begin"/>
        </w:r>
        <w:r>
          <w:instrText xml:space="preserve"> PAGEREF _Toc83625436 \h </w:instrText>
        </w:r>
        <w:r>
          <w:fldChar w:fldCharType="separate"/>
        </w:r>
        <w:r w:rsidR="005C5D7F">
          <w:t>110</w:t>
        </w:r>
        <w:r>
          <w:fldChar w:fldCharType="end"/>
        </w:r>
      </w:hyperlink>
    </w:p>
    <w:p w14:paraId="746E1FF8" w14:textId="1A9B7ED3" w:rsidR="005E03F7" w:rsidRDefault="005E03F7">
      <w:pPr>
        <w:pStyle w:val="TOC5"/>
        <w:rPr>
          <w:rFonts w:asciiTheme="minorHAnsi" w:eastAsiaTheme="minorEastAsia" w:hAnsiTheme="minorHAnsi" w:cstheme="minorBidi"/>
          <w:sz w:val="22"/>
          <w:szCs w:val="22"/>
          <w:lang w:eastAsia="en-AU"/>
        </w:rPr>
      </w:pPr>
      <w:r>
        <w:tab/>
      </w:r>
      <w:hyperlink w:anchor="_Toc83625437" w:history="1">
        <w:r w:rsidRPr="00D90FEA">
          <w:t>91</w:t>
        </w:r>
        <w:r>
          <w:rPr>
            <w:rFonts w:asciiTheme="minorHAnsi" w:eastAsiaTheme="minorEastAsia" w:hAnsiTheme="minorHAnsi" w:cstheme="minorBidi"/>
            <w:sz w:val="22"/>
            <w:szCs w:val="22"/>
            <w:lang w:eastAsia="en-AU"/>
          </w:rPr>
          <w:tab/>
        </w:r>
        <w:r w:rsidRPr="00D90FEA">
          <w:t>Person must not tamper with emission control system fitted to heavy vehicle</w:t>
        </w:r>
        <w:r>
          <w:tab/>
        </w:r>
        <w:r>
          <w:fldChar w:fldCharType="begin"/>
        </w:r>
        <w:r>
          <w:instrText xml:space="preserve"> PAGEREF _Toc83625437 \h </w:instrText>
        </w:r>
        <w:r>
          <w:fldChar w:fldCharType="separate"/>
        </w:r>
        <w:r w:rsidR="005C5D7F">
          <w:t>111</w:t>
        </w:r>
        <w:r>
          <w:fldChar w:fldCharType="end"/>
        </w:r>
      </w:hyperlink>
    </w:p>
    <w:p w14:paraId="3FCD7384" w14:textId="546A9842" w:rsidR="005E03F7" w:rsidRDefault="005E03F7">
      <w:pPr>
        <w:pStyle w:val="TOC5"/>
        <w:rPr>
          <w:rFonts w:asciiTheme="minorHAnsi" w:eastAsiaTheme="minorEastAsia" w:hAnsiTheme="minorHAnsi" w:cstheme="minorBidi"/>
          <w:sz w:val="22"/>
          <w:szCs w:val="22"/>
          <w:lang w:eastAsia="en-AU"/>
        </w:rPr>
      </w:pPr>
      <w:r>
        <w:tab/>
      </w:r>
      <w:hyperlink w:anchor="_Toc83625438" w:history="1">
        <w:r w:rsidRPr="00D90FEA">
          <w:t>92</w:t>
        </w:r>
        <w:r>
          <w:rPr>
            <w:rFonts w:asciiTheme="minorHAnsi" w:eastAsiaTheme="minorEastAsia" w:hAnsiTheme="minorHAnsi" w:cstheme="minorBidi"/>
            <w:sz w:val="22"/>
            <w:szCs w:val="22"/>
            <w:lang w:eastAsia="en-AU"/>
          </w:rPr>
          <w:tab/>
        </w:r>
        <w:r w:rsidRPr="00D90FEA">
          <w:t>Display of warning signs required by heavy vehicle standards on vehicles to which the requirement does not apply</w:t>
        </w:r>
        <w:r>
          <w:tab/>
        </w:r>
        <w:r>
          <w:fldChar w:fldCharType="begin"/>
        </w:r>
        <w:r>
          <w:instrText xml:space="preserve"> PAGEREF _Toc83625438 \h </w:instrText>
        </w:r>
        <w:r>
          <w:fldChar w:fldCharType="separate"/>
        </w:r>
        <w:r w:rsidR="005C5D7F">
          <w:t>113</w:t>
        </w:r>
        <w:r>
          <w:fldChar w:fldCharType="end"/>
        </w:r>
      </w:hyperlink>
    </w:p>
    <w:p w14:paraId="47D563B2" w14:textId="536AA445" w:rsidR="005E03F7" w:rsidRDefault="005E03F7">
      <w:pPr>
        <w:pStyle w:val="TOC5"/>
        <w:rPr>
          <w:rFonts w:asciiTheme="minorHAnsi" w:eastAsiaTheme="minorEastAsia" w:hAnsiTheme="minorHAnsi" w:cstheme="minorBidi"/>
          <w:sz w:val="22"/>
          <w:szCs w:val="22"/>
          <w:lang w:eastAsia="en-AU"/>
        </w:rPr>
      </w:pPr>
      <w:r>
        <w:tab/>
      </w:r>
      <w:hyperlink w:anchor="_Toc83625439" w:history="1">
        <w:r w:rsidRPr="00D90FEA">
          <w:t>93</w:t>
        </w:r>
        <w:r>
          <w:rPr>
            <w:rFonts w:asciiTheme="minorHAnsi" w:eastAsiaTheme="minorEastAsia" w:hAnsiTheme="minorHAnsi" w:cstheme="minorBidi"/>
            <w:sz w:val="22"/>
            <w:szCs w:val="22"/>
            <w:lang w:eastAsia="en-AU"/>
          </w:rPr>
          <w:tab/>
        </w:r>
        <w:r w:rsidRPr="00D90FEA">
          <w:t>Person must not tamper with speed limiter fitted to heavy vehicle</w:t>
        </w:r>
        <w:r>
          <w:tab/>
        </w:r>
        <w:r>
          <w:fldChar w:fldCharType="begin"/>
        </w:r>
        <w:r>
          <w:instrText xml:space="preserve"> PAGEREF _Toc83625439 \h </w:instrText>
        </w:r>
        <w:r>
          <w:fldChar w:fldCharType="separate"/>
        </w:r>
        <w:r w:rsidR="005C5D7F">
          <w:t>113</w:t>
        </w:r>
        <w:r>
          <w:fldChar w:fldCharType="end"/>
        </w:r>
      </w:hyperlink>
    </w:p>
    <w:p w14:paraId="605E8E36" w14:textId="34F34079" w:rsidR="005E03F7" w:rsidRDefault="00856BEE">
      <w:pPr>
        <w:pStyle w:val="TOC1"/>
        <w:rPr>
          <w:rFonts w:asciiTheme="minorHAnsi" w:eastAsiaTheme="minorEastAsia" w:hAnsiTheme="minorHAnsi" w:cstheme="minorBidi"/>
          <w:b w:val="0"/>
          <w:sz w:val="22"/>
          <w:szCs w:val="22"/>
          <w:lang w:eastAsia="en-AU"/>
        </w:rPr>
      </w:pPr>
      <w:hyperlink w:anchor="_Toc83625440" w:history="1">
        <w:r w:rsidR="005E03F7" w:rsidRPr="00D90FEA">
          <w:t>Chapter 4</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Vehicle operations—mass, dimension and loading</w:t>
        </w:r>
        <w:r w:rsidR="005E03F7" w:rsidRPr="005E03F7">
          <w:rPr>
            <w:vanish/>
          </w:rPr>
          <w:tab/>
        </w:r>
        <w:r w:rsidR="005E03F7" w:rsidRPr="005E03F7">
          <w:rPr>
            <w:vanish/>
          </w:rPr>
          <w:fldChar w:fldCharType="begin"/>
        </w:r>
        <w:r w:rsidR="005E03F7" w:rsidRPr="005E03F7">
          <w:rPr>
            <w:vanish/>
          </w:rPr>
          <w:instrText xml:space="preserve"> PAGEREF _Toc83625440 \h </w:instrText>
        </w:r>
        <w:r w:rsidR="005E03F7" w:rsidRPr="005E03F7">
          <w:rPr>
            <w:vanish/>
          </w:rPr>
        </w:r>
        <w:r w:rsidR="005E03F7" w:rsidRPr="005E03F7">
          <w:rPr>
            <w:vanish/>
          </w:rPr>
          <w:fldChar w:fldCharType="separate"/>
        </w:r>
        <w:r w:rsidR="005C5D7F">
          <w:rPr>
            <w:vanish/>
          </w:rPr>
          <w:t>116</w:t>
        </w:r>
        <w:r w:rsidR="005E03F7" w:rsidRPr="005E03F7">
          <w:rPr>
            <w:vanish/>
          </w:rPr>
          <w:fldChar w:fldCharType="end"/>
        </w:r>
      </w:hyperlink>
    </w:p>
    <w:p w14:paraId="268292B3" w14:textId="0456B811" w:rsidR="005E03F7" w:rsidRDefault="00856BEE">
      <w:pPr>
        <w:pStyle w:val="TOC2"/>
        <w:rPr>
          <w:rFonts w:asciiTheme="minorHAnsi" w:eastAsiaTheme="minorEastAsia" w:hAnsiTheme="minorHAnsi" w:cstheme="minorBidi"/>
          <w:b w:val="0"/>
          <w:sz w:val="22"/>
          <w:szCs w:val="22"/>
          <w:lang w:eastAsia="en-AU"/>
        </w:rPr>
      </w:pPr>
      <w:hyperlink w:anchor="_Toc83625441" w:history="1">
        <w:r w:rsidR="005E03F7" w:rsidRPr="00D90FEA">
          <w:t>Part 4.1</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Preliminary</w:t>
        </w:r>
        <w:r w:rsidR="005E03F7" w:rsidRPr="005E03F7">
          <w:rPr>
            <w:vanish/>
          </w:rPr>
          <w:tab/>
        </w:r>
        <w:r w:rsidR="005E03F7" w:rsidRPr="005E03F7">
          <w:rPr>
            <w:vanish/>
          </w:rPr>
          <w:fldChar w:fldCharType="begin"/>
        </w:r>
        <w:r w:rsidR="005E03F7" w:rsidRPr="005E03F7">
          <w:rPr>
            <w:vanish/>
          </w:rPr>
          <w:instrText xml:space="preserve"> PAGEREF _Toc83625441 \h </w:instrText>
        </w:r>
        <w:r w:rsidR="005E03F7" w:rsidRPr="005E03F7">
          <w:rPr>
            <w:vanish/>
          </w:rPr>
        </w:r>
        <w:r w:rsidR="005E03F7" w:rsidRPr="005E03F7">
          <w:rPr>
            <w:vanish/>
          </w:rPr>
          <w:fldChar w:fldCharType="separate"/>
        </w:r>
        <w:r w:rsidR="005C5D7F">
          <w:rPr>
            <w:vanish/>
          </w:rPr>
          <w:t>116</w:t>
        </w:r>
        <w:r w:rsidR="005E03F7" w:rsidRPr="005E03F7">
          <w:rPr>
            <w:vanish/>
          </w:rPr>
          <w:fldChar w:fldCharType="end"/>
        </w:r>
      </w:hyperlink>
    </w:p>
    <w:p w14:paraId="7A4291C6" w14:textId="2670E300" w:rsidR="005E03F7" w:rsidRDefault="005E03F7">
      <w:pPr>
        <w:pStyle w:val="TOC5"/>
        <w:rPr>
          <w:rFonts w:asciiTheme="minorHAnsi" w:eastAsiaTheme="minorEastAsia" w:hAnsiTheme="minorHAnsi" w:cstheme="minorBidi"/>
          <w:sz w:val="22"/>
          <w:szCs w:val="22"/>
          <w:lang w:eastAsia="en-AU"/>
        </w:rPr>
      </w:pPr>
      <w:r>
        <w:tab/>
      </w:r>
      <w:hyperlink w:anchor="_Toc83625442" w:history="1">
        <w:r w:rsidRPr="00D90FEA">
          <w:t>94</w:t>
        </w:r>
        <w:r>
          <w:rPr>
            <w:rFonts w:asciiTheme="minorHAnsi" w:eastAsiaTheme="minorEastAsia" w:hAnsiTheme="minorHAnsi" w:cstheme="minorBidi"/>
            <w:sz w:val="22"/>
            <w:szCs w:val="22"/>
            <w:lang w:eastAsia="en-AU"/>
          </w:rPr>
          <w:tab/>
        </w:r>
        <w:r w:rsidRPr="00D90FEA">
          <w:t>Main purposes of Ch 4</w:t>
        </w:r>
        <w:r>
          <w:tab/>
        </w:r>
        <w:r>
          <w:fldChar w:fldCharType="begin"/>
        </w:r>
        <w:r>
          <w:instrText xml:space="preserve"> PAGEREF _Toc83625442 \h </w:instrText>
        </w:r>
        <w:r>
          <w:fldChar w:fldCharType="separate"/>
        </w:r>
        <w:r w:rsidR="005C5D7F">
          <w:t>116</w:t>
        </w:r>
        <w:r>
          <w:fldChar w:fldCharType="end"/>
        </w:r>
      </w:hyperlink>
    </w:p>
    <w:p w14:paraId="66DF5456" w14:textId="5B43389F" w:rsidR="005E03F7" w:rsidRDefault="00856BEE">
      <w:pPr>
        <w:pStyle w:val="TOC2"/>
        <w:rPr>
          <w:rFonts w:asciiTheme="minorHAnsi" w:eastAsiaTheme="minorEastAsia" w:hAnsiTheme="minorHAnsi" w:cstheme="minorBidi"/>
          <w:b w:val="0"/>
          <w:sz w:val="22"/>
          <w:szCs w:val="22"/>
          <w:lang w:eastAsia="en-AU"/>
        </w:rPr>
      </w:pPr>
      <w:hyperlink w:anchor="_Toc83625443" w:history="1">
        <w:r w:rsidR="005E03F7" w:rsidRPr="00D90FEA">
          <w:t>Part 4.2</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Mass requirements</w:t>
        </w:r>
        <w:r w:rsidR="005E03F7" w:rsidRPr="005E03F7">
          <w:rPr>
            <w:vanish/>
          </w:rPr>
          <w:tab/>
        </w:r>
        <w:r w:rsidR="005E03F7" w:rsidRPr="005E03F7">
          <w:rPr>
            <w:vanish/>
          </w:rPr>
          <w:fldChar w:fldCharType="begin"/>
        </w:r>
        <w:r w:rsidR="005E03F7" w:rsidRPr="005E03F7">
          <w:rPr>
            <w:vanish/>
          </w:rPr>
          <w:instrText xml:space="preserve"> PAGEREF _Toc83625443 \h </w:instrText>
        </w:r>
        <w:r w:rsidR="005E03F7" w:rsidRPr="005E03F7">
          <w:rPr>
            <w:vanish/>
          </w:rPr>
        </w:r>
        <w:r w:rsidR="005E03F7" w:rsidRPr="005E03F7">
          <w:rPr>
            <w:vanish/>
          </w:rPr>
          <w:fldChar w:fldCharType="separate"/>
        </w:r>
        <w:r w:rsidR="005C5D7F">
          <w:rPr>
            <w:vanish/>
          </w:rPr>
          <w:t>118</w:t>
        </w:r>
        <w:r w:rsidR="005E03F7" w:rsidRPr="005E03F7">
          <w:rPr>
            <w:vanish/>
          </w:rPr>
          <w:fldChar w:fldCharType="end"/>
        </w:r>
      </w:hyperlink>
    </w:p>
    <w:p w14:paraId="20B34761" w14:textId="4536FF83" w:rsidR="005E03F7" w:rsidRDefault="00856BEE">
      <w:pPr>
        <w:pStyle w:val="TOC3"/>
        <w:rPr>
          <w:rFonts w:asciiTheme="minorHAnsi" w:eastAsiaTheme="minorEastAsia" w:hAnsiTheme="minorHAnsi" w:cstheme="minorBidi"/>
          <w:b w:val="0"/>
          <w:sz w:val="22"/>
          <w:szCs w:val="22"/>
          <w:lang w:eastAsia="en-AU"/>
        </w:rPr>
      </w:pPr>
      <w:hyperlink w:anchor="_Toc83625444" w:history="1">
        <w:r w:rsidR="005E03F7" w:rsidRPr="00D90FEA">
          <w:t>Division 1</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Requirements</w:t>
        </w:r>
        <w:r w:rsidR="005E03F7" w:rsidRPr="005E03F7">
          <w:rPr>
            <w:vanish/>
          </w:rPr>
          <w:tab/>
        </w:r>
        <w:r w:rsidR="005E03F7" w:rsidRPr="005E03F7">
          <w:rPr>
            <w:vanish/>
          </w:rPr>
          <w:fldChar w:fldCharType="begin"/>
        </w:r>
        <w:r w:rsidR="005E03F7" w:rsidRPr="005E03F7">
          <w:rPr>
            <w:vanish/>
          </w:rPr>
          <w:instrText xml:space="preserve"> PAGEREF _Toc83625444 \h </w:instrText>
        </w:r>
        <w:r w:rsidR="005E03F7" w:rsidRPr="005E03F7">
          <w:rPr>
            <w:vanish/>
          </w:rPr>
        </w:r>
        <w:r w:rsidR="005E03F7" w:rsidRPr="005E03F7">
          <w:rPr>
            <w:vanish/>
          </w:rPr>
          <w:fldChar w:fldCharType="separate"/>
        </w:r>
        <w:r w:rsidR="005C5D7F">
          <w:rPr>
            <w:vanish/>
          </w:rPr>
          <w:t>118</w:t>
        </w:r>
        <w:r w:rsidR="005E03F7" w:rsidRPr="005E03F7">
          <w:rPr>
            <w:vanish/>
          </w:rPr>
          <w:fldChar w:fldCharType="end"/>
        </w:r>
      </w:hyperlink>
    </w:p>
    <w:p w14:paraId="18C60971" w14:textId="42EDF1AF" w:rsidR="005E03F7" w:rsidRDefault="005E03F7">
      <w:pPr>
        <w:pStyle w:val="TOC5"/>
        <w:rPr>
          <w:rFonts w:asciiTheme="minorHAnsi" w:eastAsiaTheme="minorEastAsia" w:hAnsiTheme="minorHAnsi" w:cstheme="minorBidi"/>
          <w:sz w:val="22"/>
          <w:szCs w:val="22"/>
          <w:lang w:eastAsia="en-AU"/>
        </w:rPr>
      </w:pPr>
      <w:r>
        <w:tab/>
      </w:r>
      <w:hyperlink w:anchor="_Toc83625445" w:history="1">
        <w:r w:rsidRPr="00D90FEA">
          <w:t>95</w:t>
        </w:r>
        <w:r>
          <w:rPr>
            <w:rFonts w:asciiTheme="minorHAnsi" w:eastAsiaTheme="minorEastAsia" w:hAnsiTheme="minorHAnsi" w:cstheme="minorBidi"/>
            <w:sz w:val="22"/>
            <w:szCs w:val="22"/>
            <w:lang w:eastAsia="en-AU"/>
          </w:rPr>
          <w:tab/>
        </w:r>
        <w:r w:rsidRPr="00D90FEA">
          <w:rPr>
            <w:bCs/>
          </w:rPr>
          <w:t>Prescribed mass requirements</w:t>
        </w:r>
        <w:r>
          <w:tab/>
        </w:r>
        <w:r>
          <w:fldChar w:fldCharType="begin"/>
        </w:r>
        <w:r>
          <w:instrText xml:space="preserve"> PAGEREF _Toc83625445 \h </w:instrText>
        </w:r>
        <w:r>
          <w:fldChar w:fldCharType="separate"/>
        </w:r>
        <w:r w:rsidR="005C5D7F">
          <w:t>118</w:t>
        </w:r>
        <w:r>
          <w:fldChar w:fldCharType="end"/>
        </w:r>
      </w:hyperlink>
    </w:p>
    <w:p w14:paraId="0064E62F" w14:textId="1434BB22" w:rsidR="005E03F7" w:rsidRDefault="005E03F7">
      <w:pPr>
        <w:pStyle w:val="TOC5"/>
        <w:rPr>
          <w:rFonts w:asciiTheme="minorHAnsi" w:eastAsiaTheme="minorEastAsia" w:hAnsiTheme="minorHAnsi" w:cstheme="minorBidi"/>
          <w:sz w:val="22"/>
          <w:szCs w:val="22"/>
          <w:lang w:eastAsia="en-AU"/>
        </w:rPr>
      </w:pPr>
      <w:r>
        <w:tab/>
      </w:r>
      <w:hyperlink w:anchor="_Toc83625446" w:history="1">
        <w:r w:rsidRPr="00D90FEA">
          <w:t>96</w:t>
        </w:r>
        <w:r>
          <w:rPr>
            <w:rFonts w:asciiTheme="minorHAnsi" w:eastAsiaTheme="minorEastAsia" w:hAnsiTheme="minorHAnsi" w:cstheme="minorBidi"/>
            <w:sz w:val="22"/>
            <w:szCs w:val="22"/>
            <w:lang w:eastAsia="en-AU"/>
          </w:rPr>
          <w:tab/>
        </w:r>
        <w:r w:rsidRPr="00D90FEA">
          <w:t>Compliance with mass requirements</w:t>
        </w:r>
        <w:r>
          <w:tab/>
        </w:r>
        <w:r>
          <w:fldChar w:fldCharType="begin"/>
        </w:r>
        <w:r>
          <w:instrText xml:space="preserve"> PAGEREF _Toc83625446 \h </w:instrText>
        </w:r>
        <w:r>
          <w:fldChar w:fldCharType="separate"/>
        </w:r>
        <w:r w:rsidR="005C5D7F">
          <w:t>120</w:t>
        </w:r>
        <w:r>
          <w:fldChar w:fldCharType="end"/>
        </w:r>
      </w:hyperlink>
    </w:p>
    <w:p w14:paraId="39DF3A0B" w14:textId="5E834971" w:rsidR="005E03F7" w:rsidRDefault="00856BEE">
      <w:pPr>
        <w:pStyle w:val="TOC3"/>
        <w:rPr>
          <w:rFonts w:asciiTheme="minorHAnsi" w:eastAsiaTheme="minorEastAsia" w:hAnsiTheme="minorHAnsi" w:cstheme="minorBidi"/>
          <w:b w:val="0"/>
          <w:sz w:val="22"/>
          <w:szCs w:val="22"/>
          <w:lang w:eastAsia="en-AU"/>
        </w:rPr>
      </w:pPr>
      <w:hyperlink w:anchor="_Toc83625447" w:history="1">
        <w:r w:rsidR="005E03F7" w:rsidRPr="00D90FEA">
          <w:t>Division 2</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Categories of breaches of mass requirements</w:t>
        </w:r>
        <w:r w:rsidR="005E03F7" w:rsidRPr="005E03F7">
          <w:rPr>
            <w:vanish/>
          </w:rPr>
          <w:tab/>
        </w:r>
        <w:r w:rsidR="005E03F7" w:rsidRPr="005E03F7">
          <w:rPr>
            <w:vanish/>
          </w:rPr>
          <w:fldChar w:fldCharType="begin"/>
        </w:r>
        <w:r w:rsidR="005E03F7" w:rsidRPr="005E03F7">
          <w:rPr>
            <w:vanish/>
          </w:rPr>
          <w:instrText xml:space="preserve"> PAGEREF _Toc83625447 \h </w:instrText>
        </w:r>
        <w:r w:rsidR="005E03F7" w:rsidRPr="005E03F7">
          <w:rPr>
            <w:vanish/>
          </w:rPr>
        </w:r>
        <w:r w:rsidR="005E03F7" w:rsidRPr="005E03F7">
          <w:rPr>
            <w:vanish/>
          </w:rPr>
          <w:fldChar w:fldCharType="separate"/>
        </w:r>
        <w:r w:rsidR="005C5D7F">
          <w:rPr>
            <w:vanish/>
          </w:rPr>
          <w:t>121</w:t>
        </w:r>
        <w:r w:rsidR="005E03F7" w:rsidRPr="005E03F7">
          <w:rPr>
            <w:vanish/>
          </w:rPr>
          <w:fldChar w:fldCharType="end"/>
        </w:r>
      </w:hyperlink>
    </w:p>
    <w:p w14:paraId="43C28ED7" w14:textId="3F6ECC8A" w:rsidR="005E03F7" w:rsidRDefault="005E03F7">
      <w:pPr>
        <w:pStyle w:val="TOC5"/>
        <w:rPr>
          <w:rFonts w:asciiTheme="minorHAnsi" w:eastAsiaTheme="minorEastAsia" w:hAnsiTheme="minorHAnsi" w:cstheme="minorBidi"/>
          <w:sz w:val="22"/>
          <w:szCs w:val="22"/>
          <w:lang w:eastAsia="en-AU"/>
        </w:rPr>
      </w:pPr>
      <w:r>
        <w:tab/>
      </w:r>
      <w:hyperlink w:anchor="_Toc83625448" w:history="1">
        <w:r w:rsidRPr="00D90FEA">
          <w:t>97</w:t>
        </w:r>
        <w:r>
          <w:rPr>
            <w:rFonts w:asciiTheme="minorHAnsi" w:eastAsiaTheme="minorEastAsia" w:hAnsiTheme="minorHAnsi" w:cstheme="minorBidi"/>
            <w:sz w:val="22"/>
            <w:szCs w:val="22"/>
            <w:lang w:eastAsia="en-AU"/>
          </w:rPr>
          <w:tab/>
        </w:r>
        <w:r w:rsidRPr="00D90FEA">
          <w:t>Definitions for Div 2</w:t>
        </w:r>
        <w:r>
          <w:tab/>
        </w:r>
        <w:r>
          <w:fldChar w:fldCharType="begin"/>
        </w:r>
        <w:r>
          <w:instrText xml:space="preserve"> PAGEREF _Toc83625448 \h </w:instrText>
        </w:r>
        <w:r>
          <w:fldChar w:fldCharType="separate"/>
        </w:r>
        <w:r w:rsidR="005C5D7F">
          <w:t>121</w:t>
        </w:r>
        <w:r>
          <w:fldChar w:fldCharType="end"/>
        </w:r>
      </w:hyperlink>
    </w:p>
    <w:p w14:paraId="19EEA3FA" w14:textId="01A72E61" w:rsidR="005E03F7" w:rsidRDefault="005E03F7">
      <w:pPr>
        <w:pStyle w:val="TOC5"/>
        <w:rPr>
          <w:rFonts w:asciiTheme="minorHAnsi" w:eastAsiaTheme="minorEastAsia" w:hAnsiTheme="minorHAnsi" w:cstheme="minorBidi"/>
          <w:sz w:val="22"/>
          <w:szCs w:val="22"/>
          <w:lang w:eastAsia="en-AU"/>
        </w:rPr>
      </w:pPr>
      <w:r>
        <w:tab/>
      </w:r>
      <w:hyperlink w:anchor="_Toc83625449" w:history="1">
        <w:r w:rsidRPr="00D90FEA">
          <w:t>98</w:t>
        </w:r>
        <w:r>
          <w:rPr>
            <w:rFonts w:asciiTheme="minorHAnsi" w:eastAsiaTheme="minorEastAsia" w:hAnsiTheme="minorHAnsi" w:cstheme="minorBidi"/>
            <w:sz w:val="22"/>
            <w:szCs w:val="22"/>
            <w:lang w:eastAsia="en-AU"/>
          </w:rPr>
          <w:tab/>
        </w:r>
        <w:r w:rsidRPr="00D90FEA">
          <w:t>Minor risk breach</w:t>
        </w:r>
        <w:r>
          <w:tab/>
        </w:r>
        <w:r>
          <w:fldChar w:fldCharType="begin"/>
        </w:r>
        <w:r>
          <w:instrText xml:space="preserve"> PAGEREF _Toc83625449 \h </w:instrText>
        </w:r>
        <w:r>
          <w:fldChar w:fldCharType="separate"/>
        </w:r>
        <w:r w:rsidR="005C5D7F">
          <w:t>121</w:t>
        </w:r>
        <w:r>
          <w:fldChar w:fldCharType="end"/>
        </w:r>
      </w:hyperlink>
    </w:p>
    <w:p w14:paraId="73156770" w14:textId="3FF035FF" w:rsidR="005E03F7" w:rsidRDefault="005E03F7">
      <w:pPr>
        <w:pStyle w:val="TOC5"/>
        <w:rPr>
          <w:rFonts w:asciiTheme="minorHAnsi" w:eastAsiaTheme="minorEastAsia" w:hAnsiTheme="minorHAnsi" w:cstheme="minorBidi"/>
          <w:sz w:val="22"/>
          <w:szCs w:val="22"/>
          <w:lang w:eastAsia="en-AU"/>
        </w:rPr>
      </w:pPr>
      <w:r>
        <w:tab/>
      </w:r>
      <w:hyperlink w:anchor="_Toc83625450" w:history="1">
        <w:r w:rsidRPr="00D90FEA">
          <w:t>99</w:t>
        </w:r>
        <w:r>
          <w:rPr>
            <w:rFonts w:asciiTheme="minorHAnsi" w:eastAsiaTheme="minorEastAsia" w:hAnsiTheme="minorHAnsi" w:cstheme="minorBidi"/>
            <w:sz w:val="22"/>
            <w:szCs w:val="22"/>
            <w:lang w:eastAsia="en-AU"/>
          </w:rPr>
          <w:tab/>
        </w:r>
        <w:r w:rsidRPr="00D90FEA">
          <w:t>Substantial risk breach</w:t>
        </w:r>
        <w:r>
          <w:tab/>
        </w:r>
        <w:r>
          <w:fldChar w:fldCharType="begin"/>
        </w:r>
        <w:r>
          <w:instrText xml:space="preserve"> PAGEREF _Toc83625450 \h </w:instrText>
        </w:r>
        <w:r>
          <w:fldChar w:fldCharType="separate"/>
        </w:r>
        <w:r w:rsidR="005C5D7F">
          <w:t>121</w:t>
        </w:r>
        <w:r>
          <w:fldChar w:fldCharType="end"/>
        </w:r>
      </w:hyperlink>
    </w:p>
    <w:p w14:paraId="172E27AE" w14:textId="662586AC" w:rsidR="005E03F7" w:rsidRDefault="005E03F7">
      <w:pPr>
        <w:pStyle w:val="TOC5"/>
        <w:rPr>
          <w:rFonts w:asciiTheme="minorHAnsi" w:eastAsiaTheme="minorEastAsia" w:hAnsiTheme="minorHAnsi" w:cstheme="minorBidi"/>
          <w:sz w:val="22"/>
          <w:szCs w:val="22"/>
          <w:lang w:eastAsia="en-AU"/>
        </w:rPr>
      </w:pPr>
      <w:r>
        <w:tab/>
      </w:r>
      <w:hyperlink w:anchor="_Toc83625451" w:history="1">
        <w:r w:rsidRPr="00D90FEA">
          <w:t>100</w:t>
        </w:r>
        <w:r>
          <w:rPr>
            <w:rFonts w:asciiTheme="minorHAnsi" w:eastAsiaTheme="minorEastAsia" w:hAnsiTheme="minorHAnsi" w:cstheme="minorBidi"/>
            <w:sz w:val="22"/>
            <w:szCs w:val="22"/>
            <w:lang w:eastAsia="en-AU"/>
          </w:rPr>
          <w:tab/>
        </w:r>
        <w:r w:rsidRPr="00D90FEA">
          <w:t>Severe risk breach</w:t>
        </w:r>
        <w:r>
          <w:tab/>
        </w:r>
        <w:r>
          <w:fldChar w:fldCharType="begin"/>
        </w:r>
        <w:r>
          <w:instrText xml:space="preserve"> PAGEREF _Toc83625451 \h </w:instrText>
        </w:r>
        <w:r>
          <w:fldChar w:fldCharType="separate"/>
        </w:r>
        <w:r w:rsidR="005C5D7F">
          <w:t>122</w:t>
        </w:r>
        <w:r>
          <w:fldChar w:fldCharType="end"/>
        </w:r>
      </w:hyperlink>
    </w:p>
    <w:p w14:paraId="60B4F894" w14:textId="15FF9EA8" w:rsidR="005E03F7" w:rsidRDefault="00856BEE">
      <w:pPr>
        <w:pStyle w:val="TOC2"/>
        <w:rPr>
          <w:rFonts w:asciiTheme="minorHAnsi" w:eastAsiaTheme="minorEastAsia" w:hAnsiTheme="minorHAnsi" w:cstheme="minorBidi"/>
          <w:b w:val="0"/>
          <w:sz w:val="22"/>
          <w:szCs w:val="22"/>
          <w:lang w:eastAsia="en-AU"/>
        </w:rPr>
      </w:pPr>
      <w:hyperlink w:anchor="_Toc83625452" w:history="1">
        <w:r w:rsidR="005E03F7" w:rsidRPr="00D90FEA">
          <w:t>Part 4.3</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Dimension requirements</w:t>
        </w:r>
        <w:r w:rsidR="005E03F7" w:rsidRPr="005E03F7">
          <w:rPr>
            <w:vanish/>
          </w:rPr>
          <w:tab/>
        </w:r>
        <w:r w:rsidR="005E03F7" w:rsidRPr="005E03F7">
          <w:rPr>
            <w:vanish/>
          </w:rPr>
          <w:fldChar w:fldCharType="begin"/>
        </w:r>
        <w:r w:rsidR="005E03F7" w:rsidRPr="005E03F7">
          <w:rPr>
            <w:vanish/>
          </w:rPr>
          <w:instrText xml:space="preserve"> PAGEREF _Toc83625452 \h </w:instrText>
        </w:r>
        <w:r w:rsidR="005E03F7" w:rsidRPr="005E03F7">
          <w:rPr>
            <w:vanish/>
          </w:rPr>
        </w:r>
        <w:r w:rsidR="005E03F7" w:rsidRPr="005E03F7">
          <w:rPr>
            <w:vanish/>
          </w:rPr>
          <w:fldChar w:fldCharType="separate"/>
        </w:r>
        <w:r w:rsidR="005C5D7F">
          <w:rPr>
            <w:vanish/>
          </w:rPr>
          <w:t>123</w:t>
        </w:r>
        <w:r w:rsidR="005E03F7" w:rsidRPr="005E03F7">
          <w:rPr>
            <w:vanish/>
          </w:rPr>
          <w:fldChar w:fldCharType="end"/>
        </w:r>
      </w:hyperlink>
    </w:p>
    <w:p w14:paraId="19B132B7" w14:textId="5BC23FF4" w:rsidR="005E03F7" w:rsidRDefault="00856BEE">
      <w:pPr>
        <w:pStyle w:val="TOC3"/>
        <w:rPr>
          <w:rFonts w:asciiTheme="minorHAnsi" w:eastAsiaTheme="minorEastAsia" w:hAnsiTheme="minorHAnsi" w:cstheme="minorBidi"/>
          <w:b w:val="0"/>
          <w:sz w:val="22"/>
          <w:szCs w:val="22"/>
          <w:lang w:eastAsia="en-AU"/>
        </w:rPr>
      </w:pPr>
      <w:hyperlink w:anchor="_Toc83625453" w:history="1">
        <w:r w:rsidR="005E03F7" w:rsidRPr="00D90FEA">
          <w:t>Division 1</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Requirements</w:t>
        </w:r>
        <w:r w:rsidR="005E03F7" w:rsidRPr="005E03F7">
          <w:rPr>
            <w:vanish/>
          </w:rPr>
          <w:tab/>
        </w:r>
        <w:r w:rsidR="005E03F7" w:rsidRPr="005E03F7">
          <w:rPr>
            <w:vanish/>
          </w:rPr>
          <w:fldChar w:fldCharType="begin"/>
        </w:r>
        <w:r w:rsidR="005E03F7" w:rsidRPr="005E03F7">
          <w:rPr>
            <w:vanish/>
          </w:rPr>
          <w:instrText xml:space="preserve"> PAGEREF _Toc83625453 \h </w:instrText>
        </w:r>
        <w:r w:rsidR="005E03F7" w:rsidRPr="005E03F7">
          <w:rPr>
            <w:vanish/>
          </w:rPr>
        </w:r>
        <w:r w:rsidR="005E03F7" w:rsidRPr="005E03F7">
          <w:rPr>
            <w:vanish/>
          </w:rPr>
          <w:fldChar w:fldCharType="separate"/>
        </w:r>
        <w:r w:rsidR="005C5D7F">
          <w:rPr>
            <w:vanish/>
          </w:rPr>
          <w:t>123</w:t>
        </w:r>
        <w:r w:rsidR="005E03F7" w:rsidRPr="005E03F7">
          <w:rPr>
            <w:vanish/>
          </w:rPr>
          <w:fldChar w:fldCharType="end"/>
        </w:r>
      </w:hyperlink>
    </w:p>
    <w:p w14:paraId="3DF34E01" w14:textId="4518BF4F" w:rsidR="005E03F7" w:rsidRDefault="005E03F7">
      <w:pPr>
        <w:pStyle w:val="TOC5"/>
        <w:rPr>
          <w:rFonts w:asciiTheme="minorHAnsi" w:eastAsiaTheme="minorEastAsia" w:hAnsiTheme="minorHAnsi" w:cstheme="minorBidi"/>
          <w:sz w:val="22"/>
          <w:szCs w:val="22"/>
          <w:lang w:eastAsia="en-AU"/>
        </w:rPr>
      </w:pPr>
      <w:r>
        <w:tab/>
      </w:r>
      <w:hyperlink w:anchor="_Toc83625454" w:history="1">
        <w:r w:rsidRPr="00D90FEA">
          <w:t>101</w:t>
        </w:r>
        <w:r>
          <w:rPr>
            <w:rFonts w:asciiTheme="minorHAnsi" w:eastAsiaTheme="minorEastAsia" w:hAnsiTheme="minorHAnsi" w:cstheme="minorBidi"/>
            <w:sz w:val="22"/>
            <w:szCs w:val="22"/>
            <w:lang w:eastAsia="en-AU"/>
          </w:rPr>
          <w:tab/>
        </w:r>
        <w:r w:rsidRPr="00D90FEA">
          <w:t>Prescribed dimension requirements</w:t>
        </w:r>
        <w:r>
          <w:tab/>
        </w:r>
        <w:r>
          <w:fldChar w:fldCharType="begin"/>
        </w:r>
        <w:r>
          <w:instrText xml:space="preserve"> PAGEREF _Toc83625454 \h </w:instrText>
        </w:r>
        <w:r>
          <w:fldChar w:fldCharType="separate"/>
        </w:r>
        <w:r w:rsidR="005C5D7F">
          <w:t>123</w:t>
        </w:r>
        <w:r>
          <w:fldChar w:fldCharType="end"/>
        </w:r>
      </w:hyperlink>
    </w:p>
    <w:p w14:paraId="3A0446B1" w14:textId="4BA24E65" w:rsidR="005E03F7" w:rsidRDefault="005E03F7">
      <w:pPr>
        <w:pStyle w:val="TOC5"/>
        <w:rPr>
          <w:rFonts w:asciiTheme="minorHAnsi" w:eastAsiaTheme="minorEastAsia" w:hAnsiTheme="minorHAnsi" w:cstheme="minorBidi"/>
          <w:sz w:val="22"/>
          <w:szCs w:val="22"/>
          <w:lang w:eastAsia="en-AU"/>
        </w:rPr>
      </w:pPr>
      <w:r>
        <w:tab/>
      </w:r>
      <w:hyperlink w:anchor="_Toc83625455" w:history="1">
        <w:r w:rsidRPr="00D90FEA">
          <w:t>102</w:t>
        </w:r>
        <w:r>
          <w:rPr>
            <w:rFonts w:asciiTheme="minorHAnsi" w:eastAsiaTheme="minorEastAsia" w:hAnsiTheme="minorHAnsi" w:cstheme="minorBidi"/>
            <w:sz w:val="22"/>
            <w:szCs w:val="22"/>
            <w:lang w:eastAsia="en-AU"/>
          </w:rPr>
          <w:tab/>
        </w:r>
        <w:r w:rsidRPr="00D90FEA">
          <w:t>Compliance with dimension requirements</w:t>
        </w:r>
        <w:r>
          <w:tab/>
        </w:r>
        <w:r>
          <w:fldChar w:fldCharType="begin"/>
        </w:r>
        <w:r>
          <w:instrText xml:space="preserve"> PAGEREF _Toc83625455 \h </w:instrText>
        </w:r>
        <w:r>
          <w:fldChar w:fldCharType="separate"/>
        </w:r>
        <w:r w:rsidR="005C5D7F">
          <w:t>124</w:t>
        </w:r>
        <w:r>
          <w:fldChar w:fldCharType="end"/>
        </w:r>
      </w:hyperlink>
    </w:p>
    <w:p w14:paraId="5118D555" w14:textId="651D1576" w:rsidR="005E03F7" w:rsidRDefault="00856BEE">
      <w:pPr>
        <w:pStyle w:val="TOC3"/>
        <w:rPr>
          <w:rFonts w:asciiTheme="minorHAnsi" w:eastAsiaTheme="minorEastAsia" w:hAnsiTheme="minorHAnsi" w:cstheme="minorBidi"/>
          <w:b w:val="0"/>
          <w:sz w:val="22"/>
          <w:szCs w:val="22"/>
          <w:lang w:eastAsia="en-AU"/>
        </w:rPr>
      </w:pPr>
      <w:hyperlink w:anchor="_Toc83625456" w:history="1">
        <w:r w:rsidR="005E03F7" w:rsidRPr="00D90FEA">
          <w:t>Division 2</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Categories of breaches of dimension requirements</w:t>
        </w:r>
        <w:r w:rsidR="005E03F7" w:rsidRPr="005E03F7">
          <w:rPr>
            <w:vanish/>
          </w:rPr>
          <w:tab/>
        </w:r>
        <w:r w:rsidR="005E03F7" w:rsidRPr="005E03F7">
          <w:rPr>
            <w:vanish/>
          </w:rPr>
          <w:fldChar w:fldCharType="begin"/>
        </w:r>
        <w:r w:rsidR="005E03F7" w:rsidRPr="005E03F7">
          <w:rPr>
            <w:vanish/>
          </w:rPr>
          <w:instrText xml:space="preserve"> PAGEREF _Toc83625456 \h </w:instrText>
        </w:r>
        <w:r w:rsidR="005E03F7" w:rsidRPr="005E03F7">
          <w:rPr>
            <w:vanish/>
          </w:rPr>
        </w:r>
        <w:r w:rsidR="005E03F7" w:rsidRPr="005E03F7">
          <w:rPr>
            <w:vanish/>
          </w:rPr>
          <w:fldChar w:fldCharType="separate"/>
        </w:r>
        <w:r w:rsidR="005C5D7F">
          <w:rPr>
            <w:vanish/>
          </w:rPr>
          <w:t>125</w:t>
        </w:r>
        <w:r w:rsidR="005E03F7" w:rsidRPr="005E03F7">
          <w:rPr>
            <w:vanish/>
          </w:rPr>
          <w:fldChar w:fldCharType="end"/>
        </w:r>
      </w:hyperlink>
    </w:p>
    <w:p w14:paraId="40BD0056" w14:textId="70B07B4F" w:rsidR="005E03F7" w:rsidRDefault="005E03F7">
      <w:pPr>
        <w:pStyle w:val="TOC5"/>
        <w:rPr>
          <w:rFonts w:asciiTheme="minorHAnsi" w:eastAsiaTheme="minorEastAsia" w:hAnsiTheme="minorHAnsi" w:cstheme="minorBidi"/>
          <w:sz w:val="22"/>
          <w:szCs w:val="22"/>
          <w:lang w:eastAsia="en-AU"/>
        </w:rPr>
      </w:pPr>
      <w:r>
        <w:tab/>
      </w:r>
      <w:hyperlink w:anchor="_Toc83625457" w:history="1">
        <w:r w:rsidRPr="00D90FEA">
          <w:t>103</w:t>
        </w:r>
        <w:r>
          <w:rPr>
            <w:rFonts w:asciiTheme="minorHAnsi" w:eastAsiaTheme="minorEastAsia" w:hAnsiTheme="minorHAnsi" w:cstheme="minorBidi"/>
            <w:sz w:val="22"/>
            <w:szCs w:val="22"/>
            <w:lang w:eastAsia="en-AU"/>
          </w:rPr>
          <w:tab/>
        </w:r>
        <w:r w:rsidRPr="00D90FEA">
          <w:t>Application of Div 2</w:t>
        </w:r>
        <w:r>
          <w:tab/>
        </w:r>
        <w:r>
          <w:fldChar w:fldCharType="begin"/>
        </w:r>
        <w:r>
          <w:instrText xml:space="preserve"> PAGEREF _Toc83625457 \h </w:instrText>
        </w:r>
        <w:r>
          <w:fldChar w:fldCharType="separate"/>
        </w:r>
        <w:r w:rsidR="005C5D7F">
          <w:t>125</w:t>
        </w:r>
        <w:r>
          <w:fldChar w:fldCharType="end"/>
        </w:r>
      </w:hyperlink>
    </w:p>
    <w:p w14:paraId="2DC2B0A5" w14:textId="2D40C013" w:rsidR="005E03F7" w:rsidRDefault="005E03F7">
      <w:pPr>
        <w:pStyle w:val="TOC5"/>
        <w:rPr>
          <w:rFonts w:asciiTheme="minorHAnsi" w:eastAsiaTheme="minorEastAsia" w:hAnsiTheme="minorHAnsi" w:cstheme="minorBidi"/>
          <w:sz w:val="22"/>
          <w:szCs w:val="22"/>
          <w:lang w:eastAsia="en-AU"/>
        </w:rPr>
      </w:pPr>
      <w:r>
        <w:tab/>
      </w:r>
      <w:hyperlink w:anchor="_Toc83625458" w:history="1">
        <w:r w:rsidRPr="00D90FEA">
          <w:t>104</w:t>
        </w:r>
        <w:r>
          <w:rPr>
            <w:rFonts w:asciiTheme="minorHAnsi" w:eastAsiaTheme="minorEastAsia" w:hAnsiTheme="minorHAnsi" w:cstheme="minorBidi"/>
            <w:sz w:val="22"/>
            <w:szCs w:val="22"/>
            <w:lang w:eastAsia="en-AU"/>
          </w:rPr>
          <w:tab/>
        </w:r>
        <w:r w:rsidRPr="00D90FEA">
          <w:t>Definitions for Div 2</w:t>
        </w:r>
        <w:r>
          <w:tab/>
        </w:r>
        <w:r>
          <w:fldChar w:fldCharType="begin"/>
        </w:r>
        <w:r>
          <w:instrText xml:space="preserve"> PAGEREF _Toc83625458 \h </w:instrText>
        </w:r>
        <w:r>
          <w:fldChar w:fldCharType="separate"/>
        </w:r>
        <w:r w:rsidR="005C5D7F">
          <w:t>125</w:t>
        </w:r>
        <w:r>
          <w:fldChar w:fldCharType="end"/>
        </w:r>
      </w:hyperlink>
    </w:p>
    <w:p w14:paraId="20FF75C5" w14:textId="4F5F6A22" w:rsidR="005E03F7" w:rsidRDefault="005E03F7">
      <w:pPr>
        <w:pStyle w:val="TOC5"/>
        <w:rPr>
          <w:rFonts w:asciiTheme="minorHAnsi" w:eastAsiaTheme="minorEastAsia" w:hAnsiTheme="minorHAnsi" w:cstheme="minorBidi"/>
          <w:sz w:val="22"/>
          <w:szCs w:val="22"/>
          <w:lang w:eastAsia="en-AU"/>
        </w:rPr>
      </w:pPr>
      <w:r>
        <w:tab/>
      </w:r>
      <w:hyperlink w:anchor="_Toc83625459" w:history="1">
        <w:r w:rsidRPr="00D90FEA">
          <w:t>105</w:t>
        </w:r>
        <w:r>
          <w:rPr>
            <w:rFonts w:asciiTheme="minorHAnsi" w:eastAsiaTheme="minorEastAsia" w:hAnsiTheme="minorHAnsi" w:cstheme="minorBidi"/>
            <w:sz w:val="22"/>
            <w:szCs w:val="22"/>
            <w:lang w:eastAsia="en-AU"/>
          </w:rPr>
          <w:tab/>
        </w:r>
        <w:r w:rsidRPr="00D90FEA">
          <w:t>Minor risk breach</w:t>
        </w:r>
        <w:r>
          <w:tab/>
        </w:r>
        <w:r>
          <w:fldChar w:fldCharType="begin"/>
        </w:r>
        <w:r>
          <w:instrText xml:space="preserve"> PAGEREF _Toc83625459 \h </w:instrText>
        </w:r>
        <w:r>
          <w:fldChar w:fldCharType="separate"/>
        </w:r>
        <w:r w:rsidR="005C5D7F">
          <w:t>126</w:t>
        </w:r>
        <w:r>
          <w:fldChar w:fldCharType="end"/>
        </w:r>
      </w:hyperlink>
    </w:p>
    <w:p w14:paraId="0355D984" w14:textId="20CC77C8" w:rsidR="005E03F7" w:rsidRDefault="005E03F7">
      <w:pPr>
        <w:pStyle w:val="TOC5"/>
        <w:rPr>
          <w:rFonts w:asciiTheme="minorHAnsi" w:eastAsiaTheme="minorEastAsia" w:hAnsiTheme="minorHAnsi" w:cstheme="minorBidi"/>
          <w:sz w:val="22"/>
          <w:szCs w:val="22"/>
          <w:lang w:eastAsia="en-AU"/>
        </w:rPr>
      </w:pPr>
      <w:r>
        <w:tab/>
      </w:r>
      <w:hyperlink w:anchor="_Toc83625460" w:history="1">
        <w:r w:rsidRPr="00D90FEA">
          <w:t>106</w:t>
        </w:r>
        <w:r>
          <w:rPr>
            <w:rFonts w:asciiTheme="minorHAnsi" w:eastAsiaTheme="minorEastAsia" w:hAnsiTheme="minorHAnsi" w:cstheme="minorBidi"/>
            <w:sz w:val="22"/>
            <w:szCs w:val="22"/>
            <w:lang w:eastAsia="en-AU"/>
          </w:rPr>
          <w:tab/>
        </w:r>
        <w:r w:rsidRPr="00D90FEA">
          <w:t>Substantial risk breach</w:t>
        </w:r>
        <w:r>
          <w:tab/>
        </w:r>
        <w:r>
          <w:fldChar w:fldCharType="begin"/>
        </w:r>
        <w:r>
          <w:instrText xml:space="preserve"> PAGEREF _Toc83625460 \h </w:instrText>
        </w:r>
        <w:r>
          <w:fldChar w:fldCharType="separate"/>
        </w:r>
        <w:r w:rsidR="005C5D7F">
          <w:t>127</w:t>
        </w:r>
        <w:r>
          <w:fldChar w:fldCharType="end"/>
        </w:r>
      </w:hyperlink>
    </w:p>
    <w:p w14:paraId="0F86535B" w14:textId="3AA604A2" w:rsidR="005E03F7" w:rsidRDefault="005E03F7">
      <w:pPr>
        <w:pStyle w:val="TOC5"/>
        <w:rPr>
          <w:rFonts w:asciiTheme="minorHAnsi" w:eastAsiaTheme="minorEastAsia" w:hAnsiTheme="minorHAnsi" w:cstheme="minorBidi"/>
          <w:sz w:val="22"/>
          <w:szCs w:val="22"/>
          <w:lang w:eastAsia="en-AU"/>
        </w:rPr>
      </w:pPr>
      <w:r>
        <w:tab/>
      </w:r>
      <w:hyperlink w:anchor="_Toc83625461" w:history="1">
        <w:r w:rsidRPr="00D90FEA">
          <w:t>107</w:t>
        </w:r>
        <w:r>
          <w:rPr>
            <w:rFonts w:asciiTheme="minorHAnsi" w:eastAsiaTheme="minorEastAsia" w:hAnsiTheme="minorHAnsi" w:cstheme="minorBidi"/>
            <w:sz w:val="22"/>
            <w:szCs w:val="22"/>
            <w:lang w:eastAsia="en-AU"/>
          </w:rPr>
          <w:tab/>
        </w:r>
        <w:r w:rsidRPr="00D90FEA">
          <w:t>Severe risk breach</w:t>
        </w:r>
        <w:r>
          <w:tab/>
        </w:r>
        <w:r>
          <w:fldChar w:fldCharType="begin"/>
        </w:r>
        <w:r>
          <w:instrText xml:space="preserve"> PAGEREF _Toc83625461 \h </w:instrText>
        </w:r>
        <w:r>
          <w:fldChar w:fldCharType="separate"/>
        </w:r>
        <w:r w:rsidR="005C5D7F">
          <w:t>128</w:t>
        </w:r>
        <w:r>
          <w:fldChar w:fldCharType="end"/>
        </w:r>
      </w:hyperlink>
    </w:p>
    <w:p w14:paraId="2F387897" w14:textId="516B501D" w:rsidR="005E03F7" w:rsidRDefault="00856BEE">
      <w:pPr>
        <w:pStyle w:val="TOC3"/>
        <w:rPr>
          <w:rFonts w:asciiTheme="minorHAnsi" w:eastAsiaTheme="minorEastAsia" w:hAnsiTheme="minorHAnsi" w:cstheme="minorBidi"/>
          <w:b w:val="0"/>
          <w:sz w:val="22"/>
          <w:szCs w:val="22"/>
          <w:lang w:eastAsia="en-AU"/>
        </w:rPr>
      </w:pPr>
      <w:hyperlink w:anchor="_Toc83625462" w:history="1">
        <w:r w:rsidR="005E03F7" w:rsidRPr="00D90FEA">
          <w:t>Division 3</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Other provisions relating to load projections</w:t>
        </w:r>
        <w:r w:rsidR="005E03F7" w:rsidRPr="005E03F7">
          <w:rPr>
            <w:vanish/>
          </w:rPr>
          <w:tab/>
        </w:r>
        <w:r w:rsidR="005E03F7" w:rsidRPr="005E03F7">
          <w:rPr>
            <w:vanish/>
          </w:rPr>
          <w:fldChar w:fldCharType="begin"/>
        </w:r>
        <w:r w:rsidR="005E03F7" w:rsidRPr="005E03F7">
          <w:rPr>
            <w:vanish/>
          </w:rPr>
          <w:instrText xml:space="preserve"> PAGEREF _Toc83625462 \h </w:instrText>
        </w:r>
        <w:r w:rsidR="005E03F7" w:rsidRPr="005E03F7">
          <w:rPr>
            <w:vanish/>
          </w:rPr>
        </w:r>
        <w:r w:rsidR="005E03F7" w:rsidRPr="005E03F7">
          <w:rPr>
            <w:vanish/>
          </w:rPr>
          <w:fldChar w:fldCharType="separate"/>
        </w:r>
        <w:r w:rsidR="005C5D7F">
          <w:rPr>
            <w:vanish/>
          </w:rPr>
          <w:t>129</w:t>
        </w:r>
        <w:r w:rsidR="005E03F7" w:rsidRPr="005E03F7">
          <w:rPr>
            <w:vanish/>
          </w:rPr>
          <w:fldChar w:fldCharType="end"/>
        </w:r>
      </w:hyperlink>
    </w:p>
    <w:p w14:paraId="24770AFB" w14:textId="2F7E2188" w:rsidR="005E03F7" w:rsidRDefault="005E03F7">
      <w:pPr>
        <w:pStyle w:val="TOC5"/>
        <w:rPr>
          <w:rFonts w:asciiTheme="minorHAnsi" w:eastAsiaTheme="minorEastAsia" w:hAnsiTheme="minorHAnsi" w:cstheme="minorBidi"/>
          <w:sz w:val="22"/>
          <w:szCs w:val="22"/>
          <w:lang w:eastAsia="en-AU"/>
        </w:rPr>
      </w:pPr>
      <w:r>
        <w:tab/>
      </w:r>
      <w:hyperlink w:anchor="_Toc83625463" w:history="1">
        <w:r w:rsidRPr="00D90FEA">
          <w:t>108</w:t>
        </w:r>
        <w:r>
          <w:rPr>
            <w:rFonts w:asciiTheme="minorHAnsi" w:eastAsiaTheme="minorEastAsia" w:hAnsiTheme="minorHAnsi" w:cstheme="minorBidi"/>
            <w:sz w:val="22"/>
            <w:szCs w:val="22"/>
            <w:lang w:eastAsia="en-AU"/>
          </w:rPr>
          <w:tab/>
        </w:r>
        <w:r w:rsidRPr="00D90FEA">
          <w:t>Dangerous projections taken to be contravention of dimension requirement</w:t>
        </w:r>
        <w:r>
          <w:tab/>
        </w:r>
        <w:r>
          <w:fldChar w:fldCharType="begin"/>
        </w:r>
        <w:r>
          <w:instrText xml:space="preserve"> PAGEREF _Toc83625463 \h </w:instrText>
        </w:r>
        <w:r>
          <w:fldChar w:fldCharType="separate"/>
        </w:r>
        <w:r w:rsidR="005C5D7F">
          <w:t>129</w:t>
        </w:r>
        <w:r>
          <w:fldChar w:fldCharType="end"/>
        </w:r>
      </w:hyperlink>
    </w:p>
    <w:p w14:paraId="05ECF5A9" w14:textId="630510AF" w:rsidR="005E03F7" w:rsidRDefault="005E03F7">
      <w:pPr>
        <w:pStyle w:val="TOC5"/>
        <w:rPr>
          <w:rFonts w:asciiTheme="minorHAnsi" w:eastAsiaTheme="minorEastAsia" w:hAnsiTheme="minorHAnsi" w:cstheme="minorBidi"/>
          <w:sz w:val="22"/>
          <w:szCs w:val="22"/>
          <w:lang w:eastAsia="en-AU"/>
        </w:rPr>
      </w:pPr>
      <w:r>
        <w:tab/>
      </w:r>
      <w:hyperlink w:anchor="_Toc83625464" w:history="1">
        <w:r w:rsidRPr="00D90FEA">
          <w:t>109</w:t>
        </w:r>
        <w:r>
          <w:rPr>
            <w:rFonts w:asciiTheme="minorHAnsi" w:eastAsiaTheme="minorEastAsia" w:hAnsiTheme="minorHAnsi" w:cstheme="minorBidi"/>
            <w:sz w:val="22"/>
            <w:szCs w:val="22"/>
            <w:lang w:eastAsia="en-AU"/>
          </w:rPr>
          <w:tab/>
        </w:r>
        <w:r w:rsidRPr="00D90FEA">
          <w:t>Warning signals required for rear projection of loads</w:t>
        </w:r>
        <w:r>
          <w:tab/>
        </w:r>
        <w:r>
          <w:fldChar w:fldCharType="begin"/>
        </w:r>
        <w:r>
          <w:instrText xml:space="preserve"> PAGEREF _Toc83625464 \h </w:instrText>
        </w:r>
        <w:r>
          <w:fldChar w:fldCharType="separate"/>
        </w:r>
        <w:r w:rsidR="005C5D7F">
          <w:t>130</w:t>
        </w:r>
        <w:r>
          <w:fldChar w:fldCharType="end"/>
        </w:r>
      </w:hyperlink>
    </w:p>
    <w:p w14:paraId="6E9909E4" w14:textId="27BF94DE" w:rsidR="005E03F7" w:rsidRDefault="00856BEE">
      <w:pPr>
        <w:pStyle w:val="TOC2"/>
        <w:rPr>
          <w:rFonts w:asciiTheme="minorHAnsi" w:eastAsiaTheme="minorEastAsia" w:hAnsiTheme="minorHAnsi" w:cstheme="minorBidi"/>
          <w:b w:val="0"/>
          <w:sz w:val="22"/>
          <w:szCs w:val="22"/>
          <w:lang w:eastAsia="en-AU"/>
        </w:rPr>
      </w:pPr>
      <w:hyperlink w:anchor="_Toc83625465" w:history="1">
        <w:r w:rsidR="005E03F7" w:rsidRPr="00D90FEA">
          <w:t>Part 4.4</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Loading requirements</w:t>
        </w:r>
        <w:r w:rsidR="005E03F7" w:rsidRPr="005E03F7">
          <w:rPr>
            <w:vanish/>
          </w:rPr>
          <w:tab/>
        </w:r>
        <w:r w:rsidR="005E03F7" w:rsidRPr="005E03F7">
          <w:rPr>
            <w:vanish/>
          </w:rPr>
          <w:fldChar w:fldCharType="begin"/>
        </w:r>
        <w:r w:rsidR="005E03F7" w:rsidRPr="005E03F7">
          <w:rPr>
            <w:vanish/>
          </w:rPr>
          <w:instrText xml:space="preserve"> PAGEREF _Toc83625465 \h </w:instrText>
        </w:r>
        <w:r w:rsidR="005E03F7" w:rsidRPr="005E03F7">
          <w:rPr>
            <w:vanish/>
          </w:rPr>
        </w:r>
        <w:r w:rsidR="005E03F7" w:rsidRPr="005E03F7">
          <w:rPr>
            <w:vanish/>
          </w:rPr>
          <w:fldChar w:fldCharType="separate"/>
        </w:r>
        <w:r w:rsidR="005C5D7F">
          <w:rPr>
            <w:vanish/>
          </w:rPr>
          <w:t>131</w:t>
        </w:r>
        <w:r w:rsidR="005E03F7" w:rsidRPr="005E03F7">
          <w:rPr>
            <w:vanish/>
          </w:rPr>
          <w:fldChar w:fldCharType="end"/>
        </w:r>
      </w:hyperlink>
    </w:p>
    <w:p w14:paraId="001D6432" w14:textId="7A5583C8" w:rsidR="005E03F7" w:rsidRDefault="00856BEE">
      <w:pPr>
        <w:pStyle w:val="TOC3"/>
        <w:rPr>
          <w:rFonts w:asciiTheme="minorHAnsi" w:eastAsiaTheme="minorEastAsia" w:hAnsiTheme="minorHAnsi" w:cstheme="minorBidi"/>
          <w:b w:val="0"/>
          <w:sz w:val="22"/>
          <w:szCs w:val="22"/>
          <w:lang w:eastAsia="en-AU"/>
        </w:rPr>
      </w:pPr>
      <w:hyperlink w:anchor="_Toc83625466" w:history="1">
        <w:r w:rsidR="005E03F7" w:rsidRPr="00D90FEA">
          <w:t>Division 1</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Requirements</w:t>
        </w:r>
        <w:r w:rsidR="005E03F7" w:rsidRPr="005E03F7">
          <w:rPr>
            <w:vanish/>
          </w:rPr>
          <w:tab/>
        </w:r>
        <w:r w:rsidR="005E03F7" w:rsidRPr="005E03F7">
          <w:rPr>
            <w:vanish/>
          </w:rPr>
          <w:fldChar w:fldCharType="begin"/>
        </w:r>
        <w:r w:rsidR="005E03F7" w:rsidRPr="005E03F7">
          <w:rPr>
            <w:vanish/>
          </w:rPr>
          <w:instrText xml:space="preserve"> PAGEREF _Toc83625466 \h </w:instrText>
        </w:r>
        <w:r w:rsidR="005E03F7" w:rsidRPr="005E03F7">
          <w:rPr>
            <w:vanish/>
          </w:rPr>
        </w:r>
        <w:r w:rsidR="005E03F7" w:rsidRPr="005E03F7">
          <w:rPr>
            <w:vanish/>
          </w:rPr>
          <w:fldChar w:fldCharType="separate"/>
        </w:r>
        <w:r w:rsidR="005C5D7F">
          <w:rPr>
            <w:vanish/>
          </w:rPr>
          <w:t>131</w:t>
        </w:r>
        <w:r w:rsidR="005E03F7" w:rsidRPr="005E03F7">
          <w:rPr>
            <w:vanish/>
          </w:rPr>
          <w:fldChar w:fldCharType="end"/>
        </w:r>
      </w:hyperlink>
    </w:p>
    <w:p w14:paraId="02998917" w14:textId="23AE9FA3" w:rsidR="005E03F7" w:rsidRDefault="005E03F7">
      <w:pPr>
        <w:pStyle w:val="TOC5"/>
        <w:rPr>
          <w:rFonts w:asciiTheme="minorHAnsi" w:eastAsiaTheme="minorEastAsia" w:hAnsiTheme="minorHAnsi" w:cstheme="minorBidi"/>
          <w:sz w:val="22"/>
          <w:szCs w:val="22"/>
          <w:lang w:eastAsia="en-AU"/>
        </w:rPr>
      </w:pPr>
      <w:r>
        <w:tab/>
      </w:r>
      <w:hyperlink w:anchor="_Toc83625467" w:history="1">
        <w:r w:rsidRPr="00D90FEA">
          <w:t>110</w:t>
        </w:r>
        <w:r>
          <w:rPr>
            <w:rFonts w:asciiTheme="minorHAnsi" w:eastAsiaTheme="minorEastAsia" w:hAnsiTheme="minorHAnsi" w:cstheme="minorBidi"/>
            <w:sz w:val="22"/>
            <w:szCs w:val="22"/>
            <w:lang w:eastAsia="en-AU"/>
          </w:rPr>
          <w:tab/>
        </w:r>
        <w:r w:rsidRPr="00D90FEA">
          <w:t>National regulations may prescribe loading requirements</w:t>
        </w:r>
        <w:r>
          <w:tab/>
        </w:r>
        <w:r>
          <w:fldChar w:fldCharType="begin"/>
        </w:r>
        <w:r>
          <w:instrText xml:space="preserve"> PAGEREF _Toc83625467 \h </w:instrText>
        </w:r>
        <w:r>
          <w:fldChar w:fldCharType="separate"/>
        </w:r>
        <w:r w:rsidR="005C5D7F">
          <w:t>131</w:t>
        </w:r>
        <w:r>
          <w:fldChar w:fldCharType="end"/>
        </w:r>
      </w:hyperlink>
    </w:p>
    <w:p w14:paraId="572CF04D" w14:textId="2D424352" w:rsidR="005E03F7" w:rsidRDefault="005E03F7">
      <w:pPr>
        <w:pStyle w:val="TOC5"/>
        <w:rPr>
          <w:rFonts w:asciiTheme="minorHAnsi" w:eastAsiaTheme="minorEastAsia" w:hAnsiTheme="minorHAnsi" w:cstheme="minorBidi"/>
          <w:sz w:val="22"/>
          <w:szCs w:val="22"/>
          <w:lang w:eastAsia="en-AU"/>
        </w:rPr>
      </w:pPr>
      <w:r>
        <w:lastRenderedPageBreak/>
        <w:tab/>
      </w:r>
      <w:hyperlink w:anchor="_Toc83625468" w:history="1">
        <w:r w:rsidRPr="00D90FEA">
          <w:t>111</w:t>
        </w:r>
        <w:r>
          <w:rPr>
            <w:rFonts w:asciiTheme="minorHAnsi" w:eastAsiaTheme="minorEastAsia" w:hAnsiTheme="minorHAnsi" w:cstheme="minorBidi"/>
            <w:sz w:val="22"/>
            <w:szCs w:val="22"/>
            <w:lang w:eastAsia="en-AU"/>
          </w:rPr>
          <w:tab/>
        </w:r>
        <w:r w:rsidRPr="00D90FEA">
          <w:t>Compliance with loading requirements</w:t>
        </w:r>
        <w:r>
          <w:tab/>
        </w:r>
        <w:r>
          <w:fldChar w:fldCharType="begin"/>
        </w:r>
        <w:r>
          <w:instrText xml:space="preserve"> PAGEREF _Toc83625468 \h </w:instrText>
        </w:r>
        <w:r>
          <w:fldChar w:fldCharType="separate"/>
        </w:r>
        <w:r w:rsidR="005C5D7F">
          <w:t>131</w:t>
        </w:r>
        <w:r>
          <w:fldChar w:fldCharType="end"/>
        </w:r>
      </w:hyperlink>
    </w:p>
    <w:p w14:paraId="720BA3FB" w14:textId="73711E91" w:rsidR="005E03F7" w:rsidRDefault="00856BEE">
      <w:pPr>
        <w:pStyle w:val="TOC3"/>
        <w:rPr>
          <w:rFonts w:asciiTheme="minorHAnsi" w:eastAsiaTheme="minorEastAsia" w:hAnsiTheme="minorHAnsi" w:cstheme="minorBidi"/>
          <w:b w:val="0"/>
          <w:sz w:val="22"/>
          <w:szCs w:val="22"/>
          <w:lang w:eastAsia="en-AU"/>
        </w:rPr>
      </w:pPr>
      <w:hyperlink w:anchor="_Toc83625469" w:history="1">
        <w:r w:rsidR="005E03F7" w:rsidRPr="00D90FEA">
          <w:t>Division 2</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Categories of breaches of loading requirements</w:t>
        </w:r>
        <w:r w:rsidR="005E03F7" w:rsidRPr="005E03F7">
          <w:rPr>
            <w:vanish/>
          </w:rPr>
          <w:tab/>
        </w:r>
        <w:r w:rsidR="005E03F7" w:rsidRPr="005E03F7">
          <w:rPr>
            <w:vanish/>
          </w:rPr>
          <w:fldChar w:fldCharType="begin"/>
        </w:r>
        <w:r w:rsidR="005E03F7" w:rsidRPr="005E03F7">
          <w:rPr>
            <w:vanish/>
          </w:rPr>
          <w:instrText xml:space="preserve"> PAGEREF _Toc83625469 \h </w:instrText>
        </w:r>
        <w:r w:rsidR="005E03F7" w:rsidRPr="005E03F7">
          <w:rPr>
            <w:vanish/>
          </w:rPr>
        </w:r>
        <w:r w:rsidR="005E03F7" w:rsidRPr="005E03F7">
          <w:rPr>
            <w:vanish/>
          </w:rPr>
          <w:fldChar w:fldCharType="separate"/>
        </w:r>
        <w:r w:rsidR="005C5D7F">
          <w:rPr>
            <w:vanish/>
          </w:rPr>
          <w:t>131</w:t>
        </w:r>
        <w:r w:rsidR="005E03F7" w:rsidRPr="005E03F7">
          <w:rPr>
            <w:vanish/>
          </w:rPr>
          <w:fldChar w:fldCharType="end"/>
        </w:r>
      </w:hyperlink>
    </w:p>
    <w:p w14:paraId="439ED549" w14:textId="3C7F32D8" w:rsidR="005E03F7" w:rsidRDefault="005E03F7">
      <w:pPr>
        <w:pStyle w:val="TOC5"/>
        <w:rPr>
          <w:rFonts w:asciiTheme="minorHAnsi" w:eastAsiaTheme="minorEastAsia" w:hAnsiTheme="minorHAnsi" w:cstheme="minorBidi"/>
          <w:sz w:val="22"/>
          <w:szCs w:val="22"/>
          <w:lang w:eastAsia="en-AU"/>
        </w:rPr>
      </w:pPr>
      <w:r>
        <w:tab/>
      </w:r>
      <w:hyperlink w:anchor="_Toc83625470" w:history="1">
        <w:r w:rsidRPr="00D90FEA">
          <w:t>112</w:t>
        </w:r>
        <w:r>
          <w:rPr>
            <w:rFonts w:asciiTheme="minorHAnsi" w:eastAsiaTheme="minorEastAsia" w:hAnsiTheme="minorHAnsi" w:cstheme="minorBidi"/>
            <w:sz w:val="22"/>
            <w:szCs w:val="22"/>
            <w:lang w:eastAsia="en-AU"/>
          </w:rPr>
          <w:tab/>
        </w:r>
        <w:r w:rsidRPr="00D90FEA">
          <w:t>Minor risk breach</w:t>
        </w:r>
        <w:r>
          <w:tab/>
        </w:r>
        <w:r>
          <w:fldChar w:fldCharType="begin"/>
        </w:r>
        <w:r>
          <w:instrText xml:space="preserve"> PAGEREF _Toc83625470 \h </w:instrText>
        </w:r>
        <w:r>
          <w:fldChar w:fldCharType="separate"/>
        </w:r>
        <w:r w:rsidR="005C5D7F">
          <w:t>131</w:t>
        </w:r>
        <w:r>
          <w:fldChar w:fldCharType="end"/>
        </w:r>
      </w:hyperlink>
    </w:p>
    <w:p w14:paraId="3F692A29" w14:textId="4D21ED0C" w:rsidR="005E03F7" w:rsidRDefault="005E03F7">
      <w:pPr>
        <w:pStyle w:val="TOC5"/>
        <w:rPr>
          <w:rFonts w:asciiTheme="minorHAnsi" w:eastAsiaTheme="minorEastAsia" w:hAnsiTheme="minorHAnsi" w:cstheme="minorBidi"/>
          <w:sz w:val="22"/>
          <w:szCs w:val="22"/>
          <w:lang w:eastAsia="en-AU"/>
        </w:rPr>
      </w:pPr>
      <w:r>
        <w:tab/>
      </w:r>
      <w:hyperlink w:anchor="_Toc83625471" w:history="1">
        <w:r w:rsidRPr="00D90FEA">
          <w:t>113</w:t>
        </w:r>
        <w:r>
          <w:rPr>
            <w:rFonts w:asciiTheme="minorHAnsi" w:eastAsiaTheme="minorEastAsia" w:hAnsiTheme="minorHAnsi" w:cstheme="minorBidi"/>
            <w:sz w:val="22"/>
            <w:szCs w:val="22"/>
            <w:lang w:eastAsia="en-AU"/>
          </w:rPr>
          <w:tab/>
        </w:r>
        <w:r w:rsidRPr="00D90FEA">
          <w:t>Substantial risk breach</w:t>
        </w:r>
        <w:r>
          <w:tab/>
        </w:r>
        <w:r>
          <w:fldChar w:fldCharType="begin"/>
        </w:r>
        <w:r>
          <w:instrText xml:space="preserve"> PAGEREF _Toc83625471 \h </w:instrText>
        </w:r>
        <w:r>
          <w:fldChar w:fldCharType="separate"/>
        </w:r>
        <w:r w:rsidR="005C5D7F">
          <w:t>132</w:t>
        </w:r>
        <w:r>
          <w:fldChar w:fldCharType="end"/>
        </w:r>
      </w:hyperlink>
    </w:p>
    <w:p w14:paraId="40833C2A" w14:textId="3F70DFA9" w:rsidR="005E03F7" w:rsidRDefault="005E03F7">
      <w:pPr>
        <w:pStyle w:val="TOC5"/>
        <w:rPr>
          <w:rFonts w:asciiTheme="minorHAnsi" w:eastAsiaTheme="minorEastAsia" w:hAnsiTheme="minorHAnsi" w:cstheme="minorBidi"/>
          <w:sz w:val="22"/>
          <w:szCs w:val="22"/>
          <w:lang w:eastAsia="en-AU"/>
        </w:rPr>
      </w:pPr>
      <w:r>
        <w:tab/>
      </w:r>
      <w:hyperlink w:anchor="_Toc83625472" w:history="1">
        <w:r w:rsidRPr="00D90FEA">
          <w:t>114</w:t>
        </w:r>
        <w:r>
          <w:rPr>
            <w:rFonts w:asciiTheme="minorHAnsi" w:eastAsiaTheme="minorEastAsia" w:hAnsiTheme="minorHAnsi" w:cstheme="minorBidi"/>
            <w:sz w:val="22"/>
            <w:szCs w:val="22"/>
            <w:lang w:eastAsia="en-AU"/>
          </w:rPr>
          <w:tab/>
        </w:r>
        <w:r w:rsidRPr="00D90FEA">
          <w:t>Severe risk breach</w:t>
        </w:r>
        <w:r>
          <w:tab/>
        </w:r>
        <w:r>
          <w:fldChar w:fldCharType="begin"/>
        </w:r>
        <w:r>
          <w:instrText xml:space="preserve"> PAGEREF _Toc83625472 \h </w:instrText>
        </w:r>
        <w:r>
          <w:fldChar w:fldCharType="separate"/>
        </w:r>
        <w:r w:rsidR="005C5D7F">
          <w:t>133</w:t>
        </w:r>
        <w:r>
          <w:fldChar w:fldCharType="end"/>
        </w:r>
      </w:hyperlink>
    </w:p>
    <w:p w14:paraId="05A7E5DD" w14:textId="23C9CA9C" w:rsidR="005E03F7" w:rsidRDefault="00856BEE">
      <w:pPr>
        <w:pStyle w:val="TOC3"/>
        <w:rPr>
          <w:rFonts w:asciiTheme="minorHAnsi" w:eastAsiaTheme="minorEastAsia" w:hAnsiTheme="minorHAnsi" w:cstheme="minorBidi"/>
          <w:b w:val="0"/>
          <w:sz w:val="22"/>
          <w:szCs w:val="22"/>
          <w:lang w:eastAsia="en-AU"/>
        </w:rPr>
      </w:pPr>
      <w:hyperlink w:anchor="_Toc83625473" w:history="1">
        <w:r w:rsidR="005E03F7" w:rsidRPr="00D90FEA">
          <w:t>Division 3</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Evidentiary provision</w:t>
        </w:r>
        <w:r w:rsidR="005E03F7" w:rsidRPr="005E03F7">
          <w:rPr>
            <w:vanish/>
          </w:rPr>
          <w:tab/>
        </w:r>
        <w:r w:rsidR="005E03F7" w:rsidRPr="005E03F7">
          <w:rPr>
            <w:vanish/>
          </w:rPr>
          <w:fldChar w:fldCharType="begin"/>
        </w:r>
        <w:r w:rsidR="005E03F7" w:rsidRPr="005E03F7">
          <w:rPr>
            <w:vanish/>
          </w:rPr>
          <w:instrText xml:space="preserve"> PAGEREF _Toc83625473 \h </w:instrText>
        </w:r>
        <w:r w:rsidR="005E03F7" w:rsidRPr="005E03F7">
          <w:rPr>
            <w:vanish/>
          </w:rPr>
        </w:r>
        <w:r w:rsidR="005E03F7" w:rsidRPr="005E03F7">
          <w:rPr>
            <w:vanish/>
          </w:rPr>
          <w:fldChar w:fldCharType="separate"/>
        </w:r>
        <w:r w:rsidR="005C5D7F">
          <w:rPr>
            <w:vanish/>
          </w:rPr>
          <w:t>133</w:t>
        </w:r>
        <w:r w:rsidR="005E03F7" w:rsidRPr="005E03F7">
          <w:rPr>
            <w:vanish/>
          </w:rPr>
          <w:fldChar w:fldCharType="end"/>
        </w:r>
      </w:hyperlink>
    </w:p>
    <w:p w14:paraId="1529F128" w14:textId="7C5366CB" w:rsidR="005E03F7" w:rsidRDefault="005E03F7">
      <w:pPr>
        <w:pStyle w:val="TOC5"/>
        <w:rPr>
          <w:rFonts w:asciiTheme="minorHAnsi" w:eastAsiaTheme="minorEastAsia" w:hAnsiTheme="minorHAnsi" w:cstheme="minorBidi"/>
          <w:sz w:val="22"/>
          <w:szCs w:val="22"/>
          <w:lang w:eastAsia="en-AU"/>
        </w:rPr>
      </w:pPr>
      <w:r>
        <w:tab/>
      </w:r>
      <w:hyperlink w:anchor="_Toc83625474" w:history="1">
        <w:r w:rsidRPr="00D90FEA">
          <w:t>115</w:t>
        </w:r>
        <w:r>
          <w:rPr>
            <w:rFonts w:asciiTheme="minorHAnsi" w:eastAsiaTheme="minorEastAsia" w:hAnsiTheme="minorHAnsi" w:cstheme="minorBidi"/>
            <w:sz w:val="22"/>
            <w:szCs w:val="22"/>
            <w:lang w:eastAsia="en-AU"/>
          </w:rPr>
          <w:tab/>
        </w:r>
        <w:r w:rsidRPr="00D90FEA">
          <w:rPr>
            <w:lang w:val="en" w:eastAsia="en-AU"/>
          </w:rPr>
          <w:t>Proof of contravention of loading requirement</w:t>
        </w:r>
        <w:r>
          <w:tab/>
        </w:r>
        <w:r>
          <w:fldChar w:fldCharType="begin"/>
        </w:r>
        <w:r>
          <w:instrText xml:space="preserve"> PAGEREF _Toc83625474 \h </w:instrText>
        </w:r>
        <w:r>
          <w:fldChar w:fldCharType="separate"/>
        </w:r>
        <w:r w:rsidR="005C5D7F">
          <w:t>133</w:t>
        </w:r>
        <w:r>
          <w:fldChar w:fldCharType="end"/>
        </w:r>
      </w:hyperlink>
    </w:p>
    <w:p w14:paraId="051542E8" w14:textId="3FE60EE2" w:rsidR="005E03F7" w:rsidRDefault="00856BEE">
      <w:pPr>
        <w:pStyle w:val="TOC2"/>
        <w:rPr>
          <w:rFonts w:asciiTheme="minorHAnsi" w:eastAsiaTheme="minorEastAsia" w:hAnsiTheme="minorHAnsi" w:cstheme="minorBidi"/>
          <w:b w:val="0"/>
          <w:sz w:val="22"/>
          <w:szCs w:val="22"/>
          <w:lang w:eastAsia="en-AU"/>
        </w:rPr>
      </w:pPr>
      <w:hyperlink w:anchor="_Toc83625475" w:history="1">
        <w:r w:rsidR="005E03F7" w:rsidRPr="00D90FEA">
          <w:t>Part 4.5</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Exemptions for particular overmass or oversize vehicles</w:t>
        </w:r>
        <w:r w:rsidR="005E03F7" w:rsidRPr="005E03F7">
          <w:rPr>
            <w:vanish/>
          </w:rPr>
          <w:tab/>
        </w:r>
        <w:r w:rsidR="005E03F7" w:rsidRPr="005E03F7">
          <w:rPr>
            <w:vanish/>
          </w:rPr>
          <w:fldChar w:fldCharType="begin"/>
        </w:r>
        <w:r w:rsidR="005E03F7" w:rsidRPr="005E03F7">
          <w:rPr>
            <w:vanish/>
          </w:rPr>
          <w:instrText xml:space="preserve"> PAGEREF _Toc83625475 \h </w:instrText>
        </w:r>
        <w:r w:rsidR="005E03F7" w:rsidRPr="005E03F7">
          <w:rPr>
            <w:vanish/>
          </w:rPr>
        </w:r>
        <w:r w:rsidR="005E03F7" w:rsidRPr="005E03F7">
          <w:rPr>
            <w:vanish/>
          </w:rPr>
          <w:fldChar w:fldCharType="separate"/>
        </w:r>
        <w:r w:rsidR="005C5D7F">
          <w:rPr>
            <w:vanish/>
          </w:rPr>
          <w:t>134</w:t>
        </w:r>
        <w:r w:rsidR="005E03F7" w:rsidRPr="005E03F7">
          <w:rPr>
            <w:vanish/>
          </w:rPr>
          <w:fldChar w:fldCharType="end"/>
        </w:r>
      </w:hyperlink>
    </w:p>
    <w:p w14:paraId="1BB47AAD" w14:textId="180AB7EE" w:rsidR="005E03F7" w:rsidRDefault="00856BEE">
      <w:pPr>
        <w:pStyle w:val="TOC3"/>
        <w:rPr>
          <w:rFonts w:asciiTheme="minorHAnsi" w:eastAsiaTheme="minorEastAsia" w:hAnsiTheme="minorHAnsi" w:cstheme="minorBidi"/>
          <w:b w:val="0"/>
          <w:sz w:val="22"/>
          <w:szCs w:val="22"/>
          <w:lang w:eastAsia="en-AU"/>
        </w:rPr>
      </w:pPr>
      <w:hyperlink w:anchor="_Toc83625476" w:history="1">
        <w:r w:rsidR="005E03F7" w:rsidRPr="00D90FEA">
          <w:t>Division 1</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Preliminary</w:t>
        </w:r>
        <w:r w:rsidR="005E03F7" w:rsidRPr="005E03F7">
          <w:rPr>
            <w:vanish/>
          </w:rPr>
          <w:tab/>
        </w:r>
        <w:r w:rsidR="005E03F7" w:rsidRPr="005E03F7">
          <w:rPr>
            <w:vanish/>
          </w:rPr>
          <w:fldChar w:fldCharType="begin"/>
        </w:r>
        <w:r w:rsidR="005E03F7" w:rsidRPr="005E03F7">
          <w:rPr>
            <w:vanish/>
          </w:rPr>
          <w:instrText xml:space="preserve"> PAGEREF _Toc83625476 \h </w:instrText>
        </w:r>
        <w:r w:rsidR="005E03F7" w:rsidRPr="005E03F7">
          <w:rPr>
            <w:vanish/>
          </w:rPr>
        </w:r>
        <w:r w:rsidR="005E03F7" w:rsidRPr="005E03F7">
          <w:rPr>
            <w:vanish/>
          </w:rPr>
          <w:fldChar w:fldCharType="separate"/>
        </w:r>
        <w:r w:rsidR="005C5D7F">
          <w:rPr>
            <w:vanish/>
          </w:rPr>
          <w:t>134</w:t>
        </w:r>
        <w:r w:rsidR="005E03F7" w:rsidRPr="005E03F7">
          <w:rPr>
            <w:vanish/>
          </w:rPr>
          <w:fldChar w:fldCharType="end"/>
        </w:r>
      </w:hyperlink>
    </w:p>
    <w:p w14:paraId="75D301C1" w14:textId="1B082E71" w:rsidR="005E03F7" w:rsidRDefault="005E03F7">
      <w:pPr>
        <w:pStyle w:val="TOC5"/>
        <w:rPr>
          <w:rFonts w:asciiTheme="minorHAnsi" w:eastAsiaTheme="minorEastAsia" w:hAnsiTheme="minorHAnsi" w:cstheme="minorBidi"/>
          <w:sz w:val="22"/>
          <w:szCs w:val="22"/>
          <w:lang w:eastAsia="en-AU"/>
        </w:rPr>
      </w:pPr>
      <w:r>
        <w:tab/>
      </w:r>
      <w:hyperlink w:anchor="_Toc83625477" w:history="1">
        <w:r w:rsidRPr="00D90FEA">
          <w:t>116</w:t>
        </w:r>
        <w:r>
          <w:rPr>
            <w:rFonts w:asciiTheme="minorHAnsi" w:eastAsiaTheme="minorEastAsia" w:hAnsiTheme="minorHAnsi" w:cstheme="minorBidi"/>
            <w:sz w:val="22"/>
            <w:szCs w:val="22"/>
            <w:lang w:eastAsia="en-AU"/>
          </w:rPr>
          <w:tab/>
        </w:r>
        <w:r w:rsidRPr="00D90FEA">
          <w:t>Class 1 heavy vehicles and class 3 heavy vehicles</w:t>
        </w:r>
        <w:r>
          <w:tab/>
        </w:r>
        <w:r>
          <w:fldChar w:fldCharType="begin"/>
        </w:r>
        <w:r>
          <w:instrText xml:space="preserve"> PAGEREF _Toc83625477 \h </w:instrText>
        </w:r>
        <w:r>
          <w:fldChar w:fldCharType="separate"/>
        </w:r>
        <w:r w:rsidR="005C5D7F">
          <w:t>134</w:t>
        </w:r>
        <w:r>
          <w:fldChar w:fldCharType="end"/>
        </w:r>
      </w:hyperlink>
    </w:p>
    <w:p w14:paraId="3AF7512F" w14:textId="3F7847C9" w:rsidR="005E03F7" w:rsidRDefault="00856BEE">
      <w:pPr>
        <w:pStyle w:val="TOC3"/>
        <w:rPr>
          <w:rFonts w:asciiTheme="minorHAnsi" w:eastAsiaTheme="minorEastAsia" w:hAnsiTheme="minorHAnsi" w:cstheme="minorBidi"/>
          <w:b w:val="0"/>
          <w:sz w:val="22"/>
          <w:szCs w:val="22"/>
          <w:lang w:eastAsia="en-AU"/>
        </w:rPr>
      </w:pPr>
      <w:hyperlink w:anchor="_Toc83625478" w:history="1">
        <w:r w:rsidR="005E03F7" w:rsidRPr="00D90FEA">
          <w:t>Division 2</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Exemptions by Commonwealth Gazette notice</w:t>
        </w:r>
        <w:r w:rsidR="005E03F7" w:rsidRPr="005E03F7">
          <w:rPr>
            <w:vanish/>
          </w:rPr>
          <w:tab/>
        </w:r>
        <w:r w:rsidR="005E03F7" w:rsidRPr="005E03F7">
          <w:rPr>
            <w:vanish/>
          </w:rPr>
          <w:fldChar w:fldCharType="begin"/>
        </w:r>
        <w:r w:rsidR="005E03F7" w:rsidRPr="005E03F7">
          <w:rPr>
            <w:vanish/>
          </w:rPr>
          <w:instrText xml:space="preserve"> PAGEREF _Toc83625478 \h </w:instrText>
        </w:r>
        <w:r w:rsidR="005E03F7" w:rsidRPr="005E03F7">
          <w:rPr>
            <w:vanish/>
          </w:rPr>
        </w:r>
        <w:r w:rsidR="005E03F7" w:rsidRPr="005E03F7">
          <w:rPr>
            <w:vanish/>
          </w:rPr>
          <w:fldChar w:fldCharType="separate"/>
        </w:r>
        <w:r w:rsidR="005C5D7F">
          <w:rPr>
            <w:vanish/>
          </w:rPr>
          <w:t>135</w:t>
        </w:r>
        <w:r w:rsidR="005E03F7" w:rsidRPr="005E03F7">
          <w:rPr>
            <w:vanish/>
          </w:rPr>
          <w:fldChar w:fldCharType="end"/>
        </w:r>
      </w:hyperlink>
    </w:p>
    <w:p w14:paraId="3CF24C85" w14:textId="380C42FA" w:rsidR="005E03F7" w:rsidRDefault="005E03F7">
      <w:pPr>
        <w:pStyle w:val="TOC5"/>
        <w:rPr>
          <w:rFonts w:asciiTheme="minorHAnsi" w:eastAsiaTheme="minorEastAsia" w:hAnsiTheme="minorHAnsi" w:cstheme="minorBidi"/>
          <w:sz w:val="22"/>
          <w:szCs w:val="22"/>
          <w:lang w:eastAsia="en-AU"/>
        </w:rPr>
      </w:pPr>
      <w:r>
        <w:tab/>
      </w:r>
      <w:hyperlink w:anchor="_Toc83625479" w:history="1">
        <w:r w:rsidRPr="00D90FEA">
          <w:t>117</w:t>
        </w:r>
        <w:r>
          <w:rPr>
            <w:rFonts w:asciiTheme="minorHAnsi" w:eastAsiaTheme="minorEastAsia" w:hAnsiTheme="minorHAnsi" w:cstheme="minorBidi"/>
            <w:sz w:val="22"/>
            <w:szCs w:val="22"/>
            <w:lang w:eastAsia="en-AU"/>
          </w:rPr>
          <w:tab/>
        </w:r>
        <w:r w:rsidRPr="00D90FEA">
          <w:t>Regulator’s power to exempt category of class 1 or 3 heavy vehicles from compliance with mass or dimension requirement</w:t>
        </w:r>
        <w:r>
          <w:tab/>
        </w:r>
        <w:r>
          <w:fldChar w:fldCharType="begin"/>
        </w:r>
        <w:r>
          <w:instrText xml:space="preserve"> PAGEREF _Toc83625479 \h </w:instrText>
        </w:r>
        <w:r>
          <w:fldChar w:fldCharType="separate"/>
        </w:r>
        <w:r w:rsidR="005C5D7F">
          <w:t>135</w:t>
        </w:r>
        <w:r>
          <w:fldChar w:fldCharType="end"/>
        </w:r>
      </w:hyperlink>
    </w:p>
    <w:p w14:paraId="366E58FE" w14:textId="4F075949" w:rsidR="005E03F7" w:rsidRDefault="005E03F7">
      <w:pPr>
        <w:pStyle w:val="TOC5"/>
        <w:rPr>
          <w:rFonts w:asciiTheme="minorHAnsi" w:eastAsiaTheme="minorEastAsia" w:hAnsiTheme="minorHAnsi" w:cstheme="minorBidi"/>
          <w:sz w:val="22"/>
          <w:szCs w:val="22"/>
          <w:lang w:eastAsia="en-AU"/>
        </w:rPr>
      </w:pPr>
      <w:r>
        <w:tab/>
      </w:r>
      <w:hyperlink w:anchor="_Toc83625480" w:history="1">
        <w:r w:rsidRPr="00D90FEA">
          <w:t>118</w:t>
        </w:r>
        <w:r>
          <w:rPr>
            <w:rFonts w:asciiTheme="minorHAnsi" w:eastAsiaTheme="minorEastAsia" w:hAnsiTheme="minorHAnsi" w:cstheme="minorBidi"/>
            <w:sz w:val="22"/>
            <w:szCs w:val="22"/>
            <w:lang w:eastAsia="en-AU"/>
          </w:rPr>
          <w:tab/>
        </w:r>
        <w:r w:rsidRPr="00D90FEA">
          <w:t>Restriction on grant of mass or dimension exemption (notice)</w:t>
        </w:r>
        <w:r>
          <w:tab/>
        </w:r>
        <w:r>
          <w:fldChar w:fldCharType="begin"/>
        </w:r>
        <w:r>
          <w:instrText xml:space="preserve"> PAGEREF _Toc83625480 \h </w:instrText>
        </w:r>
        <w:r>
          <w:fldChar w:fldCharType="separate"/>
        </w:r>
        <w:r w:rsidR="005C5D7F">
          <w:t>136</w:t>
        </w:r>
        <w:r>
          <w:fldChar w:fldCharType="end"/>
        </w:r>
      </w:hyperlink>
    </w:p>
    <w:p w14:paraId="4258D779" w14:textId="6ED906A7" w:rsidR="005E03F7" w:rsidRDefault="005E03F7">
      <w:pPr>
        <w:pStyle w:val="TOC5"/>
        <w:rPr>
          <w:rFonts w:asciiTheme="minorHAnsi" w:eastAsiaTheme="minorEastAsia" w:hAnsiTheme="minorHAnsi" w:cstheme="minorBidi"/>
          <w:sz w:val="22"/>
          <w:szCs w:val="22"/>
          <w:lang w:eastAsia="en-AU"/>
        </w:rPr>
      </w:pPr>
      <w:r>
        <w:tab/>
      </w:r>
      <w:hyperlink w:anchor="_Toc83625481" w:history="1">
        <w:r w:rsidRPr="00D90FEA">
          <w:t>119</w:t>
        </w:r>
        <w:r>
          <w:rPr>
            <w:rFonts w:asciiTheme="minorHAnsi" w:eastAsiaTheme="minorEastAsia" w:hAnsiTheme="minorHAnsi" w:cstheme="minorBidi"/>
            <w:sz w:val="22"/>
            <w:szCs w:val="22"/>
            <w:lang w:eastAsia="en-AU"/>
          </w:rPr>
          <w:tab/>
        </w:r>
        <w:r w:rsidRPr="00D90FEA">
          <w:t>Conditions of mass or dimension exemption (notice)</w:t>
        </w:r>
        <w:r>
          <w:tab/>
        </w:r>
        <w:r>
          <w:fldChar w:fldCharType="begin"/>
        </w:r>
        <w:r>
          <w:instrText xml:space="preserve"> PAGEREF _Toc83625481 \h </w:instrText>
        </w:r>
        <w:r>
          <w:fldChar w:fldCharType="separate"/>
        </w:r>
        <w:r w:rsidR="005C5D7F">
          <w:t>136</w:t>
        </w:r>
        <w:r>
          <w:fldChar w:fldCharType="end"/>
        </w:r>
      </w:hyperlink>
    </w:p>
    <w:p w14:paraId="654F1692" w14:textId="54911E84" w:rsidR="005E03F7" w:rsidRDefault="005E03F7">
      <w:pPr>
        <w:pStyle w:val="TOC5"/>
        <w:rPr>
          <w:rFonts w:asciiTheme="minorHAnsi" w:eastAsiaTheme="minorEastAsia" w:hAnsiTheme="minorHAnsi" w:cstheme="minorBidi"/>
          <w:sz w:val="22"/>
          <w:szCs w:val="22"/>
          <w:lang w:eastAsia="en-AU"/>
        </w:rPr>
      </w:pPr>
      <w:r>
        <w:tab/>
      </w:r>
      <w:hyperlink w:anchor="_Toc83625482" w:history="1">
        <w:r w:rsidRPr="00D90FEA">
          <w:t>119A</w:t>
        </w:r>
        <w:r>
          <w:rPr>
            <w:rFonts w:asciiTheme="minorHAnsi" w:eastAsiaTheme="minorEastAsia" w:hAnsiTheme="minorHAnsi" w:cstheme="minorBidi"/>
            <w:sz w:val="22"/>
            <w:szCs w:val="22"/>
            <w:lang w:eastAsia="en-AU"/>
          </w:rPr>
          <w:tab/>
        </w:r>
        <w:r w:rsidRPr="00D90FEA">
          <w:t>Process for amending a stated map or stated list</w:t>
        </w:r>
        <w:r>
          <w:tab/>
        </w:r>
        <w:r>
          <w:fldChar w:fldCharType="begin"/>
        </w:r>
        <w:r>
          <w:instrText xml:space="preserve"> PAGEREF _Toc83625482 \h </w:instrText>
        </w:r>
        <w:r>
          <w:fldChar w:fldCharType="separate"/>
        </w:r>
        <w:r w:rsidR="005C5D7F">
          <w:t>139</w:t>
        </w:r>
        <w:r>
          <w:fldChar w:fldCharType="end"/>
        </w:r>
      </w:hyperlink>
    </w:p>
    <w:p w14:paraId="2621C22C" w14:textId="1BF977AB" w:rsidR="005E03F7" w:rsidRDefault="005E03F7">
      <w:pPr>
        <w:pStyle w:val="TOC5"/>
        <w:rPr>
          <w:rFonts w:asciiTheme="minorHAnsi" w:eastAsiaTheme="minorEastAsia" w:hAnsiTheme="minorHAnsi" w:cstheme="minorBidi"/>
          <w:sz w:val="22"/>
          <w:szCs w:val="22"/>
          <w:lang w:eastAsia="en-AU"/>
        </w:rPr>
      </w:pPr>
      <w:r>
        <w:tab/>
      </w:r>
      <w:hyperlink w:anchor="_Toc83625483" w:history="1">
        <w:r w:rsidRPr="00D90FEA">
          <w:t>120</w:t>
        </w:r>
        <w:r>
          <w:rPr>
            <w:rFonts w:asciiTheme="minorHAnsi" w:eastAsiaTheme="minorEastAsia" w:hAnsiTheme="minorHAnsi" w:cstheme="minorBidi"/>
            <w:sz w:val="22"/>
            <w:szCs w:val="22"/>
            <w:lang w:eastAsia="en-AU"/>
          </w:rPr>
          <w:tab/>
        </w:r>
        <w:r w:rsidRPr="00D90FEA">
          <w:t>Period for which mass or dimension exemption (notice) applies</w:t>
        </w:r>
        <w:r>
          <w:tab/>
        </w:r>
        <w:r>
          <w:fldChar w:fldCharType="begin"/>
        </w:r>
        <w:r>
          <w:instrText xml:space="preserve"> PAGEREF _Toc83625483 \h </w:instrText>
        </w:r>
        <w:r>
          <w:fldChar w:fldCharType="separate"/>
        </w:r>
        <w:r w:rsidR="005C5D7F">
          <w:t>140</w:t>
        </w:r>
        <w:r>
          <w:fldChar w:fldCharType="end"/>
        </w:r>
      </w:hyperlink>
    </w:p>
    <w:p w14:paraId="7822D15F" w14:textId="628E45FC" w:rsidR="005E03F7" w:rsidRDefault="005E03F7">
      <w:pPr>
        <w:pStyle w:val="TOC5"/>
        <w:rPr>
          <w:rFonts w:asciiTheme="minorHAnsi" w:eastAsiaTheme="minorEastAsia" w:hAnsiTheme="minorHAnsi" w:cstheme="minorBidi"/>
          <w:sz w:val="22"/>
          <w:szCs w:val="22"/>
          <w:lang w:eastAsia="en-AU"/>
        </w:rPr>
      </w:pPr>
      <w:r>
        <w:tab/>
      </w:r>
      <w:hyperlink w:anchor="_Toc83625484" w:history="1">
        <w:r w:rsidRPr="00D90FEA">
          <w:t>121</w:t>
        </w:r>
        <w:r>
          <w:rPr>
            <w:rFonts w:asciiTheme="minorHAnsi" w:eastAsiaTheme="minorEastAsia" w:hAnsiTheme="minorHAnsi" w:cstheme="minorBidi"/>
            <w:sz w:val="22"/>
            <w:szCs w:val="22"/>
            <w:lang w:eastAsia="en-AU"/>
          </w:rPr>
          <w:tab/>
        </w:r>
        <w:r w:rsidRPr="00D90FEA">
          <w:t>Requirements about Commonwealth Gazette notice</w:t>
        </w:r>
        <w:r>
          <w:tab/>
        </w:r>
        <w:r>
          <w:fldChar w:fldCharType="begin"/>
        </w:r>
        <w:r>
          <w:instrText xml:space="preserve"> PAGEREF _Toc83625484 \h </w:instrText>
        </w:r>
        <w:r>
          <w:fldChar w:fldCharType="separate"/>
        </w:r>
        <w:r w:rsidR="005C5D7F">
          <w:t>141</w:t>
        </w:r>
        <w:r>
          <w:fldChar w:fldCharType="end"/>
        </w:r>
      </w:hyperlink>
    </w:p>
    <w:p w14:paraId="6AC71CF9" w14:textId="6A1D407A" w:rsidR="005E03F7" w:rsidRDefault="00856BEE">
      <w:pPr>
        <w:pStyle w:val="TOC3"/>
        <w:rPr>
          <w:rFonts w:asciiTheme="minorHAnsi" w:eastAsiaTheme="minorEastAsia" w:hAnsiTheme="minorHAnsi" w:cstheme="minorBidi"/>
          <w:b w:val="0"/>
          <w:sz w:val="22"/>
          <w:szCs w:val="22"/>
          <w:lang w:eastAsia="en-AU"/>
        </w:rPr>
      </w:pPr>
      <w:hyperlink w:anchor="_Toc83625485" w:history="1">
        <w:r w:rsidR="005E03F7" w:rsidRPr="00D90FEA">
          <w:t>Division 3</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Exemptions by permit</w:t>
        </w:r>
        <w:r w:rsidR="005E03F7" w:rsidRPr="005E03F7">
          <w:rPr>
            <w:vanish/>
          </w:rPr>
          <w:tab/>
        </w:r>
        <w:r w:rsidR="005E03F7" w:rsidRPr="005E03F7">
          <w:rPr>
            <w:vanish/>
          </w:rPr>
          <w:fldChar w:fldCharType="begin"/>
        </w:r>
        <w:r w:rsidR="005E03F7" w:rsidRPr="005E03F7">
          <w:rPr>
            <w:vanish/>
          </w:rPr>
          <w:instrText xml:space="preserve"> PAGEREF _Toc83625485 \h </w:instrText>
        </w:r>
        <w:r w:rsidR="005E03F7" w:rsidRPr="005E03F7">
          <w:rPr>
            <w:vanish/>
          </w:rPr>
        </w:r>
        <w:r w:rsidR="005E03F7" w:rsidRPr="005E03F7">
          <w:rPr>
            <w:vanish/>
          </w:rPr>
          <w:fldChar w:fldCharType="separate"/>
        </w:r>
        <w:r w:rsidR="005C5D7F">
          <w:rPr>
            <w:vanish/>
          </w:rPr>
          <w:t>142</w:t>
        </w:r>
        <w:r w:rsidR="005E03F7" w:rsidRPr="005E03F7">
          <w:rPr>
            <w:vanish/>
          </w:rPr>
          <w:fldChar w:fldCharType="end"/>
        </w:r>
      </w:hyperlink>
    </w:p>
    <w:p w14:paraId="73AF7936" w14:textId="20D9037C" w:rsidR="005E03F7" w:rsidRDefault="005E03F7">
      <w:pPr>
        <w:pStyle w:val="TOC5"/>
        <w:rPr>
          <w:rFonts w:asciiTheme="minorHAnsi" w:eastAsiaTheme="minorEastAsia" w:hAnsiTheme="minorHAnsi" w:cstheme="minorBidi"/>
          <w:sz w:val="22"/>
          <w:szCs w:val="22"/>
          <w:lang w:eastAsia="en-AU"/>
        </w:rPr>
      </w:pPr>
      <w:r>
        <w:tab/>
      </w:r>
      <w:hyperlink w:anchor="_Toc83625486" w:history="1">
        <w:r w:rsidRPr="00D90FEA">
          <w:t>122</w:t>
        </w:r>
        <w:r>
          <w:rPr>
            <w:rFonts w:asciiTheme="minorHAnsi" w:eastAsiaTheme="minorEastAsia" w:hAnsiTheme="minorHAnsi" w:cstheme="minorBidi"/>
            <w:sz w:val="22"/>
            <w:szCs w:val="22"/>
            <w:lang w:eastAsia="en-AU"/>
          </w:rPr>
          <w:tab/>
        </w:r>
        <w:r w:rsidRPr="00D90FEA">
          <w:t>Regulator’s power to exempt particular class 1 or class 3 heavy vehicle from compliance with mass or dimension requirement</w:t>
        </w:r>
        <w:r>
          <w:tab/>
        </w:r>
        <w:r>
          <w:fldChar w:fldCharType="begin"/>
        </w:r>
        <w:r>
          <w:instrText xml:space="preserve"> PAGEREF _Toc83625486 \h </w:instrText>
        </w:r>
        <w:r>
          <w:fldChar w:fldCharType="separate"/>
        </w:r>
        <w:r w:rsidR="005C5D7F">
          <w:t>142</w:t>
        </w:r>
        <w:r>
          <w:fldChar w:fldCharType="end"/>
        </w:r>
      </w:hyperlink>
    </w:p>
    <w:p w14:paraId="2DC9F717" w14:textId="01EB1A83" w:rsidR="005E03F7" w:rsidRDefault="005E03F7">
      <w:pPr>
        <w:pStyle w:val="TOC5"/>
        <w:rPr>
          <w:rFonts w:asciiTheme="minorHAnsi" w:eastAsiaTheme="minorEastAsia" w:hAnsiTheme="minorHAnsi" w:cstheme="minorBidi"/>
          <w:sz w:val="22"/>
          <w:szCs w:val="22"/>
          <w:lang w:eastAsia="en-AU"/>
        </w:rPr>
      </w:pPr>
      <w:r>
        <w:tab/>
      </w:r>
      <w:hyperlink w:anchor="_Toc83625487" w:history="1">
        <w:r w:rsidRPr="00D90FEA">
          <w:t>123</w:t>
        </w:r>
        <w:r>
          <w:rPr>
            <w:rFonts w:asciiTheme="minorHAnsi" w:eastAsiaTheme="minorEastAsia" w:hAnsiTheme="minorHAnsi" w:cstheme="minorBidi"/>
            <w:sz w:val="22"/>
            <w:szCs w:val="22"/>
            <w:lang w:eastAsia="en-AU"/>
          </w:rPr>
          <w:tab/>
        </w:r>
        <w:r w:rsidRPr="00D90FEA">
          <w:t>Application for mass or dimension exemption (permit)</w:t>
        </w:r>
        <w:r>
          <w:tab/>
        </w:r>
        <w:r>
          <w:fldChar w:fldCharType="begin"/>
        </w:r>
        <w:r>
          <w:instrText xml:space="preserve"> PAGEREF _Toc83625487 \h </w:instrText>
        </w:r>
        <w:r>
          <w:fldChar w:fldCharType="separate"/>
        </w:r>
        <w:r w:rsidR="005C5D7F">
          <w:t>143</w:t>
        </w:r>
        <w:r>
          <w:fldChar w:fldCharType="end"/>
        </w:r>
      </w:hyperlink>
    </w:p>
    <w:p w14:paraId="38190B8B" w14:textId="2D187D48" w:rsidR="005E03F7" w:rsidRDefault="005E03F7">
      <w:pPr>
        <w:pStyle w:val="TOC5"/>
        <w:rPr>
          <w:rFonts w:asciiTheme="minorHAnsi" w:eastAsiaTheme="minorEastAsia" w:hAnsiTheme="minorHAnsi" w:cstheme="minorBidi"/>
          <w:sz w:val="22"/>
          <w:szCs w:val="22"/>
          <w:lang w:eastAsia="en-AU"/>
        </w:rPr>
      </w:pPr>
      <w:r>
        <w:tab/>
      </w:r>
      <w:hyperlink w:anchor="_Toc83625488" w:history="1">
        <w:r w:rsidRPr="00D90FEA">
          <w:t>124</w:t>
        </w:r>
        <w:r>
          <w:rPr>
            <w:rFonts w:asciiTheme="minorHAnsi" w:eastAsiaTheme="minorEastAsia" w:hAnsiTheme="minorHAnsi" w:cstheme="minorBidi"/>
            <w:sz w:val="22"/>
            <w:szCs w:val="22"/>
            <w:lang w:eastAsia="en-AU"/>
          </w:rPr>
          <w:tab/>
        </w:r>
        <w:r w:rsidRPr="00D90FEA">
          <w:t>Restriction on grant of mass or dimension exemption (permit)</w:t>
        </w:r>
        <w:r>
          <w:tab/>
        </w:r>
        <w:r>
          <w:fldChar w:fldCharType="begin"/>
        </w:r>
        <w:r>
          <w:instrText xml:space="preserve"> PAGEREF _Toc83625488 \h </w:instrText>
        </w:r>
        <w:r>
          <w:fldChar w:fldCharType="separate"/>
        </w:r>
        <w:r w:rsidR="005C5D7F">
          <w:t>143</w:t>
        </w:r>
        <w:r>
          <w:fldChar w:fldCharType="end"/>
        </w:r>
      </w:hyperlink>
    </w:p>
    <w:p w14:paraId="33DC9356" w14:textId="4F096A93" w:rsidR="005E03F7" w:rsidRDefault="005E03F7">
      <w:pPr>
        <w:pStyle w:val="TOC5"/>
        <w:rPr>
          <w:rFonts w:asciiTheme="minorHAnsi" w:eastAsiaTheme="minorEastAsia" w:hAnsiTheme="minorHAnsi" w:cstheme="minorBidi"/>
          <w:sz w:val="22"/>
          <w:szCs w:val="22"/>
          <w:lang w:eastAsia="en-AU"/>
        </w:rPr>
      </w:pPr>
      <w:r>
        <w:tab/>
      </w:r>
      <w:hyperlink w:anchor="_Toc83625489" w:history="1">
        <w:r w:rsidRPr="00D90FEA">
          <w:t>125</w:t>
        </w:r>
        <w:r>
          <w:rPr>
            <w:rFonts w:asciiTheme="minorHAnsi" w:eastAsiaTheme="minorEastAsia" w:hAnsiTheme="minorHAnsi" w:cstheme="minorBidi"/>
            <w:sz w:val="22"/>
            <w:szCs w:val="22"/>
            <w:lang w:eastAsia="en-AU"/>
          </w:rPr>
          <w:tab/>
        </w:r>
        <w:r w:rsidRPr="00D90FEA">
          <w:t>Conditions of mass or dimension exemption (permit)</w:t>
        </w:r>
        <w:r>
          <w:tab/>
        </w:r>
        <w:r>
          <w:fldChar w:fldCharType="begin"/>
        </w:r>
        <w:r>
          <w:instrText xml:space="preserve"> PAGEREF _Toc83625489 \h </w:instrText>
        </w:r>
        <w:r>
          <w:fldChar w:fldCharType="separate"/>
        </w:r>
        <w:r w:rsidR="005C5D7F">
          <w:t>144</w:t>
        </w:r>
        <w:r>
          <w:fldChar w:fldCharType="end"/>
        </w:r>
      </w:hyperlink>
    </w:p>
    <w:p w14:paraId="300D1ACB" w14:textId="36584203" w:rsidR="005E03F7" w:rsidRDefault="005E03F7">
      <w:pPr>
        <w:pStyle w:val="TOC5"/>
        <w:rPr>
          <w:rFonts w:asciiTheme="minorHAnsi" w:eastAsiaTheme="minorEastAsia" w:hAnsiTheme="minorHAnsi" w:cstheme="minorBidi"/>
          <w:sz w:val="22"/>
          <w:szCs w:val="22"/>
          <w:lang w:eastAsia="en-AU"/>
        </w:rPr>
      </w:pPr>
      <w:r>
        <w:tab/>
      </w:r>
      <w:hyperlink w:anchor="_Toc83625490" w:history="1">
        <w:r w:rsidRPr="00D90FEA">
          <w:t>126</w:t>
        </w:r>
        <w:r>
          <w:rPr>
            <w:rFonts w:asciiTheme="minorHAnsi" w:eastAsiaTheme="minorEastAsia" w:hAnsiTheme="minorHAnsi" w:cstheme="minorBidi"/>
            <w:sz w:val="22"/>
            <w:szCs w:val="22"/>
            <w:lang w:eastAsia="en-AU"/>
          </w:rPr>
          <w:tab/>
        </w:r>
        <w:r w:rsidRPr="00D90FEA">
          <w:t>Period for which mass or dimension exemption (permit) applies</w:t>
        </w:r>
        <w:r>
          <w:tab/>
        </w:r>
        <w:r>
          <w:fldChar w:fldCharType="begin"/>
        </w:r>
        <w:r>
          <w:instrText xml:space="preserve"> PAGEREF _Toc83625490 \h </w:instrText>
        </w:r>
        <w:r>
          <w:fldChar w:fldCharType="separate"/>
        </w:r>
        <w:r w:rsidR="005C5D7F">
          <w:t>144</w:t>
        </w:r>
        <w:r>
          <w:fldChar w:fldCharType="end"/>
        </w:r>
      </w:hyperlink>
    </w:p>
    <w:p w14:paraId="01C99B57" w14:textId="7D601FF5" w:rsidR="005E03F7" w:rsidRDefault="005E03F7">
      <w:pPr>
        <w:pStyle w:val="TOC5"/>
        <w:rPr>
          <w:rFonts w:asciiTheme="minorHAnsi" w:eastAsiaTheme="minorEastAsia" w:hAnsiTheme="minorHAnsi" w:cstheme="minorBidi"/>
          <w:sz w:val="22"/>
          <w:szCs w:val="22"/>
          <w:lang w:eastAsia="en-AU"/>
        </w:rPr>
      </w:pPr>
      <w:r>
        <w:tab/>
      </w:r>
      <w:hyperlink w:anchor="_Toc83625491" w:history="1">
        <w:r w:rsidRPr="00D90FEA">
          <w:t>127</w:t>
        </w:r>
        <w:r>
          <w:rPr>
            <w:rFonts w:asciiTheme="minorHAnsi" w:eastAsiaTheme="minorEastAsia" w:hAnsiTheme="minorHAnsi" w:cstheme="minorBidi"/>
            <w:sz w:val="22"/>
            <w:szCs w:val="22"/>
            <w:lang w:eastAsia="en-AU"/>
          </w:rPr>
          <w:tab/>
        </w:r>
        <w:r w:rsidRPr="00D90FEA">
          <w:rPr>
            <w:bCs/>
          </w:rPr>
          <w:t>Permit for mass or dimension exemption (permit) et</w:t>
        </w:r>
        <w:r w:rsidRPr="00D90FEA">
          <w:t>c.</w:t>
        </w:r>
        <w:r>
          <w:tab/>
        </w:r>
        <w:r>
          <w:fldChar w:fldCharType="begin"/>
        </w:r>
        <w:r>
          <w:instrText xml:space="preserve"> PAGEREF _Toc83625491 \h </w:instrText>
        </w:r>
        <w:r>
          <w:fldChar w:fldCharType="separate"/>
        </w:r>
        <w:r w:rsidR="005C5D7F">
          <w:t>145</w:t>
        </w:r>
        <w:r>
          <w:fldChar w:fldCharType="end"/>
        </w:r>
      </w:hyperlink>
    </w:p>
    <w:p w14:paraId="2E5917EC" w14:textId="10AA2B5E" w:rsidR="005E03F7" w:rsidRDefault="005E03F7">
      <w:pPr>
        <w:pStyle w:val="TOC5"/>
        <w:rPr>
          <w:rFonts w:asciiTheme="minorHAnsi" w:eastAsiaTheme="minorEastAsia" w:hAnsiTheme="minorHAnsi" w:cstheme="minorBidi"/>
          <w:sz w:val="22"/>
          <w:szCs w:val="22"/>
          <w:lang w:eastAsia="en-AU"/>
        </w:rPr>
      </w:pPr>
      <w:r>
        <w:tab/>
      </w:r>
      <w:hyperlink w:anchor="_Toc83625492" w:history="1">
        <w:r w:rsidRPr="00D90FEA">
          <w:t>128</w:t>
        </w:r>
        <w:r>
          <w:rPr>
            <w:rFonts w:asciiTheme="minorHAnsi" w:eastAsiaTheme="minorEastAsia" w:hAnsiTheme="minorHAnsi" w:cstheme="minorBidi"/>
            <w:sz w:val="22"/>
            <w:szCs w:val="22"/>
            <w:lang w:eastAsia="en-AU"/>
          </w:rPr>
          <w:tab/>
        </w:r>
        <w:r w:rsidRPr="00D90FEA">
          <w:t>Refusal of application for mass or dimension exemption (permit)</w:t>
        </w:r>
        <w:r>
          <w:tab/>
        </w:r>
        <w:r>
          <w:fldChar w:fldCharType="begin"/>
        </w:r>
        <w:r>
          <w:instrText xml:space="preserve"> PAGEREF _Toc83625492 \h </w:instrText>
        </w:r>
        <w:r>
          <w:fldChar w:fldCharType="separate"/>
        </w:r>
        <w:r w:rsidR="005C5D7F">
          <w:t>146</w:t>
        </w:r>
        <w:r>
          <w:fldChar w:fldCharType="end"/>
        </w:r>
      </w:hyperlink>
    </w:p>
    <w:p w14:paraId="2AF77EDF" w14:textId="22F0CF10" w:rsidR="005E03F7" w:rsidRDefault="00856BEE">
      <w:pPr>
        <w:pStyle w:val="TOC3"/>
        <w:rPr>
          <w:rFonts w:asciiTheme="minorHAnsi" w:eastAsiaTheme="minorEastAsia" w:hAnsiTheme="minorHAnsi" w:cstheme="minorBidi"/>
          <w:b w:val="0"/>
          <w:sz w:val="22"/>
          <w:szCs w:val="22"/>
          <w:lang w:eastAsia="en-AU"/>
        </w:rPr>
      </w:pPr>
      <w:hyperlink w:anchor="_Toc83625493" w:history="1">
        <w:r w:rsidR="005E03F7" w:rsidRPr="00D90FEA">
          <w:t>Division 4</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Operating under mass or dimension exemption</w:t>
        </w:r>
        <w:r w:rsidR="005E03F7" w:rsidRPr="005E03F7">
          <w:rPr>
            <w:vanish/>
          </w:rPr>
          <w:tab/>
        </w:r>
        <w:r w:rsidR="005E03F7" w:rsidRPr="005E03F7">
          <w:rPr>
            <w:vanish/>
          </w:rPr>
          <w:fldChar w:fldCharType="begin"/>
        </w:r>
        <w:r w:rsidR="005E03F7" w:rsidRPr="005E03F7">
          <w:rPr>
            <w:vanish/>
          </w:rPr>
          <w:instrText xml:space="preserve"> PAGEREF _Toc83625493 \h </w:instrText>
        </w:r>
        <w:r w:rsidR="005E03F7" w:rsidRPr="005E03F7">
          <w:rPr>
            <w:vanish/>
          </w:rPr>
        </w:r>
        <w:r w:rsidR="005E03F7" w:rsidRPr="005E03F7">
          <w:rPr>
            <w:vanish/>
          </w:rPr>
          <w:fldChar w:fldCharType="separate"/>
        </w:r>
        <w:r w:rsidR="005C5D7F">
          <w:rPr>
            <w:vanish/>
          </w:rPr>
          <w:t>146</w:t>
        </w:r>
        <w:r w:rsidR="005E03F7" w:rsidRPr="005E03F7">
          <w:rPr>
            <w:vanish/>
          </w:rPr>
          <w:fldChar w:fldCharType="end"/>
        </w:r>
      </w:hyperlink>
    </w:p>
    <w:p w14:paraId="73CAFC16" w14:textId="24955E32" w:rsidR="005E03F7" w:rsidRDefault="005E03F7">
      <w:pPr>
        <w:pStyle w:val="TOC5"/>
        <w:rPr>
          <w:rFonts w:asciiTheme="minorHAnsi" w:eastAsiaTheme="minorEastAsia" w:hAnsiTheme="minorHAnsi" w:cstheme="minorBidi"/>
          <w:sz w:val="22"/>
          <w:szCs w:val="22"/>
          <w:lang w:eastAsia="en-AU"/>
        </w:rPr>
      </w:pPr>
      <w:r>
        <w:tab/>
      </w:r>
      <w:hyperlink w:anchor="_Toc83625494" w:history="1">
        <w:r w:rsidRPr="00D90FEA">
          <w:t>129</w:t>
        </w:r>
        <w:r>
          <w:rPr>
            <w:rFonts w:asciiTheme="minorHAnsi" w:eastAsiaTheme="minorEastAsia" w:hAnsiTheme="minorHAnsi" w:cstheme="minorBidi"/>
            <w:sz w:val="22"/>
            <w:szCs w:val="22"/>
            <w:lang w:eastAsia="en-AU"/>
          </w:rPr>
          <w:tab/>
        </w:r>
        <w:r w:rsidRPr="00D90FEA">
          <w:t>Contravening condition of mass or dimension exemption generally</w:t>
        </w:r>
        <w:r>
          <w:tab/>
        </w:r>
        <w:r>
          <w:fldChar w:fldCharType="begin"/>
        </w:r>
        <w:r>
          <w:instrText xml:space="preserve"> PAGEREF _Toc83625494 \h </w:instrText>
        </w:r>
        <w:r>
          <w:fldChar w:fldCharType="separate"/>
        </w:r>
        <w:r w:rsidR="005C5D7F">
          <w:t>146</w:t>
        </w:r>
        <w:r>
          <w:fldChar w:fldCharType="end"/>
        </w:r>
      </w:hyperlink>
    </w:p>
    <w:p w14:paraId="4D35D858" w14:textId="14E8699E" w:rsidR="005E03F7" w:rsidRDefault="005E03F7">
      <w:pPr>
        <w:pStyle w:val="TOC5"/>
        <w:rPr>
          <w:rFonts w:asciiTheme="minorHAnsi" w:eastAsiaTheme="minorEastAsia" w:hAnsiTheme="minorHAnsi" w:cstheme="minorBidi"/>
          <w:sz w:val="22"/>
          <w:szCs w:val="22"/>
          <w:lang w:eastAsia="en-AU"/>
        </w:rPr>
      </w:pPr>
      <w:r>
        <w:tab/>
      </w:r>
      <w:hyperlink w:anchor="_Toc83625495" w:history="1">
        <w:r w:rsidRPr="00D90FEA">
          <w:t>130</w:t>
        </w:r>
        <w:r>
          <w:rPr>
            <w:rFonts w:asciiTheme="minorHAnsi" w:eastAsiaTheme="minorEastAsia" w:hAnsiTheme="minorHAnsi" w:cstheme="minorBidi"/>
            <w:sz w:val="22"/>
            <w:szCs w:val="22"/>
            <w:lang w:eastAsia="en-AU"/>
          </w:rPr>
          <w:tab/>
        </w:r>
        <w:r w:rsidRPr="00D90FEA">
          <w:t>Contravening condition of mass or dimension exemption relating to pilot or escort vehicle</w:t>
        </w:r>
        <w:r>
          <w:tab/>
        </w:r>
        <w:r>
          <w:fldChar w:fldCharType="begin"/>
        </w:r>
        <w:r>
          <w:instrText xml:space="preserve"> PAGEREF _Toc83625495 \h </w:instrText>
        </w:r>
        <w:r>
          <w:fldChar w:fldCharType="separate"/>
        </w:r>
        <w:r w:rsidR="005C5D7F">
          <w:t>148</w:t>
        </w:r>
        <w:r>
          <w:fldChar w:fldCharType="end"/>
        </w:r>
      </w:hyperlink>
    </w:p>
    <w:p w14:paraId="25B987A7" w14:textId="1F72018E" w:rsidR="005E03F7" w:rsidRDefault="005E03F7">
      <w:pPr>
        <w:pStyle w:val="TOC5"/>
        <w:rPr>
          <w:rFonts w:asciiTheme="minorHAnsi" w:eastAsiaTheme="minorEastAsia" w:hAnsiTheme="minorHAnsi" w:cstheme="minorBidi"/>
          <w:sz w:val="22"/>
          <w:szCs w:val="22"/>
          <w:lang w:eastAsia="en-AU"/>
        </w:rPr>
      </w:pPr>
      <w:r>
        <w:lastRenderedPageBreak/>
        <w:tab/>
      </w:r>
      <w:hyperlink w:anchor="_Toc83625496" w:history="1">
        <w:r w:rsidRPr="00D90FEA">
          <w:t>131</w:t>
        </w:r>
        <w:r>
          <w:rPr>
            <w:rFonts w:asciiTheme="minorHAnsi" w:eastAsiaTheme="minorEastAsia" w:hAnsiTheme="minorHAnsi" w:cstheme="minorBidi"/>
            <w:sz w:val="22"/>
            <w:szCs w:val="22"/>
            <w:lang w:eastAsia="en-AU"/>
          </w:rPr>
          <w:tab/>
        </w:r>
        <w:r w:rsidRPr="00D90FEA">
          <w:t>Using pilot vehicle with a heavy vehicle that contravenes certain conditions of mass or dimension exemption</w:t>
        </w:r>
        <w:r>
          <w:tab/>
        </w:r>
        <w:r>
          <w:fldChar w:fldCharType="begin"/>
        </w:r>
        <w:r>
          <w:instrText xml:space="preserve"> PAGEREF _Toc83625496 \h </w:instrText>
        </w:r>
        <w:r>
          <w:fldChar w:fldCharType="separate"/>
        </w:r>
        <w:r w:rsidR="005C5D7F">
          <w:t>148</w:t>
        </w:r>
        <w:r>
          <w:fldChar w:fldCharType="end"/>
        </w:r>
      </w:hyperlink>
    </w:p>
    <w:p w14:paraId="5995E9C8" w14:textId="43877389" w:rsidR="005E03F7" w:rsidRDefault="005E03F7">
      <w:pPr>
        <w:pStyle w:val="TOC5"/>
        <w:rPr>
          <w:rFonts w:asciiTheme="minorHAnsi" w:eastAsiaTheme="minorEastAsia" w:hAnsiTheme="minorHAnsi" w:cstheme="minorBidi"/>
          <w:sz w:val="22"/>
          <w:szCs w:val="22"/>
          <w:lang w:eastAsia="en-AU"/>
        </w:rPr>
      </w:pPr>
      <w:r>
        <w:tab/>
      </w:r>
      <w:hyperlink w:anchor="_Toc83625497" w:history="1">
        <w:r w:rsidRPr="00D90FEA">
          <w:t>132</w:t>
        </w:r>
        <w:r>
          <w:rPr>
            <w:rFonts w:asciiTheme="minorHAnsi" w:eastAsiaTheme="minorEastAsia" w:hAnsiTheme="minorHAnsi" w:cstheme="minorBidi"/>
            <w:sz w:val="22"/>
            <w:szCs w:val="22"/>
            <w:lang w:eastAsia="en-AU"/>
          </w:rPr>
          <w:tab/>
        </w:r>
        <w:r w:rsidRPr="00D90FEA">
          <w:t>Keeping relevant document while driving under mass or dimension exemption (notice)</w:t>
        </w:r>
        <w:r>
          <w:tab/>
        </w:r>
        <w:r>
          <w:fldChar w:fldCharType="begin"/>
        </w:r>
        <w:r>
          <w:instrText xml:space="preserve"> PAGEREF _Toc83625497 \h </w:instrText>
        </w:r>
        <w:r>
          <w:fldChar w:fldCharType="separate"/>
        </w:r>
        <w:r w:rsidR="005C5D7F">
          <w:t>149</w:t>
        </w:r>
        <w:r>
          <w:fldChar w:fldCharType="end"/>
        </w:r>
      </w:hyperlink>
    </w:p>
    <w:p w14:paraId="67368EDF" w14:textId="4E9ECFAA" w:rsidR="005E03F7" w:rsidRDefault="005E03F7">
      <w:pPr>
        <w:pStyle w:val="TOC5"/>
        <w:rPr>
          <w:rFonts w:asciiTheme="minorHAnsi" w:eastAsiaTheme="minorEastAsia" w:hAnsiTheme="minorHAnsi" w:cstheme="minorBidi"/>
          <w:sz w:val="22"/>
          <w:szCs w:val="22"/>
          <w:lang w:eastAsia="en-AU"/>
        </w:rPr>
      </w:pPr>
      <w:r>
        <w:tab/>
      </w:r>
      <w:hyperlink w:anchor="_Toc83625498" w:history="1">
        <w:r w:rsidRPr="00D90FEA">
          <w:t>133</w:t>
        </w:r>
        <w:r>
          <w:rPr>
            <w:rFonts w:asciiTheme="minorHAnsi" w:eastAsiaTheme="minorEastAsia" w:hAnsiTheme="minorHAnsi" w:cstheme="minorBidi"/>
            <w:sz w:val="22"/>
            <w:szCs w:val="22"/>
            <w:lang w:eastAsia="en-AU"/>
          </w:rPr>
          <w:tab/>
        </w:r>
        <w:r w:rsidRPr="00D90FEA">
          <w:t>Keeping copy of permit while driving under mass or dimension exemption (permit)</w:t>
        </w:r>
        <w:r>
          <w:tab/>
        </w:r>
        <w:r>
          <w:fldChar w:fldCharType="begin"/>
        </w:r>
        <w:r>
          <w:instrText xml:space="preserve"> PAGEREF _Toc83625498 \h </w:instrText>
        </w:r>
        <w:r>
          <w:fldChar w:fldCharType="separate"/>
        </w:r>
        <w:r w:rsidR="005C5D7F">
          <w:t>150</w:t>
        </w:r>
        <w:r>
          <w:fldChar w:fldCharType="end"/>
        </w:r>
      </w:hyperlink>
    </w:p>
    <w:p w14:paraId="3313EC76" w14:textId="4D838871" w:rsidR="005E03F7" w:rsidRDefault="00856BEE">
      <w:pPr>
        <w:pStyle w:val="TOC3"/>
        <w:rPr>
          <w:rFonts w:asciiTheme="minorHAnsi" w:eastAsiaTheme="minorEastAsia" w:hAnsiTheme="minorHAnsi" w:cstheme="minorBidi"/>
          <w:b w:val="0"/>
          <w:sz w:val="22"/>
          <w:szCs w:val="22"/>
          <w:lang w:eastAsia="en-AU"/>
        </w:rPr>
      </w:pPr>
      <w:hyperlink w:anchor="_Toc83625499" w:history="1">
        <w:r w:rsidR="005E03F7" w:rsidRPr="00D90FEA">
          <w:t>Division 5</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Other provision</w:t>
        </w:r>
        <w:r w:rsidR="005E03F7" w:rsidRPr="005E03F7">
          <w:rPr>
            <w:vanish/>
          </w:rPr>
          <w:tab/>
        </w:r>
        <w:r w:rsidR="005E03F7" w:rsidRPr="005E03F7">
          <w:rPr>
            <w:vanish/>
          </w:rPr>
          <w:fldChar w:fldCharType="begin"/>
        </w:r>
        <w:r w:rsidR="005E03F7" w:rsidRPr="005E03F7">
          <w:rPr>
            <w:vanish/>
          </w:rPr>
          <w:instrText xml:space="preserve"> PAGEREF _Toc83625499 \h </w:instrText>
        </w:r>
        <w:r w:rsidR="005E03F7" w:rsidRPr="005E03F7">
          <w:rPr>
            <w:vanish/>
          </w:rPr>
        </w:r>
        <w:r w:rsidR="005E03F7" w:rsidRPr="005E03F7">
          <w:rPr>
            <w:vanish/>
          </w:rPr>
          <w:fldChar w:fldCharType="separate"/>
        </w:r>
        <w:r w:rsidR="005C5D7F">
          <w:rPr>
            <w:vanish/>
          </w:rPr>
          <w:t>152</w:t>
        </w:r>
        <w:r w:rsidR="005E03F7" w:rsidRPr="005E03F7">
          <w:rPr>
            <w:vanish/>
          </w:rPr>
          <w:fldChar w:fldCharType="end"/>
        </w:r>
      </w:hyperlink>
    </w:p>
    <w:p w14:paraId="1E63307A" w14:textId="6F52E105" w:rsidR="005E03F7" w:rsidRDefault="005E03F7">
      <w:pPr>
        <w:pStyle w:val="TOC5"/>
        <w:rPr>
          <w:rFonts w:asciiTheme="minorHAnsi" w:eastAsiaTheme="minorEastAsia" w:hAnsiTheme="minorHAnsi" w:cstheme="minorBidi"/>
          <w:sz w:val="22"/>
          <w:szCs w:val="22"/>
          <w:lang w:eastAsia="en-AU"/>
        </w:rPr>
      </w:pPr>
      <w:r>
        <w:tab/>
      </w:r>
      <w:hyperlink w:anchor="_Toc83625500" w:history="1">
        <w:r w:rsidRPr="00D90FEA">
          <w:t>134</w:t>
        </w:r>
        <w:r>
          <w:rPr>
            <w:rFonts w:asciiTheme="minorHAnsi" w:eastAsiaTheme="minorEastAsia" w:hAnsiTheme="minorHAnsi" w:cstheme="minorBidi"/>
            <w:sz w:val="22"/>
            <w:szCs w:val="22"/>
            <w:lang w:eastAsia="en-AU"/>
          </w:rPr>
          <w:tab/>
        </w:r>
        <w:r w:rsidRPr="00D90FEA">
          <w:t>Displaying warning signs on vehicles if not required by dimension exemption</w:t>
        </w:r>
        <w:r>
          <w:tab/>
        </w:r>
        <w:r>
          <w:fldChar w:fldCharType="begin"/>
        </w:r>
        <w:r>
          <w:instrText xml:space="preserve"> PAGEREF _Toc83625500 \h </w:instrText>
        </w:r>
        <w:r>
          <w:fldChar w:fldCharType="separate"/>
        </w:r>
        <w:r w:rsidR="005C5D7F">
          <w:t>152</w:t>
        </w:r>
        <w:r>
          <w:fldChar w:fldCharType="end"/>
        </w:r>
      </w:hyperlink>
    </w:p>
    <w:p w14:paraId="5E478858" w14:textId="60E1CB53" w:rsidR="005E03F7" w:rsidRDefault="00856BEE">
      <w:pPr>
        <w:pStyle w:val="TOC2"/>
        <w:rPr>
          <w:rFonts w:asciiTheme="minorHAnsi" w:eastAsiaTheme="minorEastAsia" w:hAnsiTheme="minorHAnsi" w:cstheme="minorBidi"/>
          <w:b w:val="0"/>
          <w:sz w:val="22"/>
          <w:szCs w:val="22"/>
          <w:lang w:eastAsia="en-AU"/>
        </w:rPr>
      </w:pPr>
      <w:hyperlink w:anchor="_Toc83625501" w:history="1">
        <w:r w:rsidR="005E03F7" w:rsidRPr="00D90FEA">
          <w:t>Part 4.6</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Restricting access to roads by large vehicles that are not overmass or oversize vehicles</w:t>
        </w:r>
        <w:r w:rsidR="005E03F7" w:rsidRPr="005E03F7">
          <w:rPr>
            <w:vanish/>
          </w:rPr>
          <w:tab/>
        </w:r>
        <w:r w:rsidR="005E03F7" w:rsidRPr="005E03F7">
          <w:rPr>
            <w:vanish/>
          </w:rPr>
          <w:fldChar w:fldCharType="begin"/>
        </w:r>
        <w:r w:rsidR="005E03F7" w:rsidRPr="005E03F7">
          <w:rPr>
            <w:vanish/>
          </w:rPr>
          <w:instrText xml:space="preserve"> PAGEREF _Toc83625501 \h </w:instrText>
        </w:r>
        <w:r w:rsidR="005E03F7" w:rsidRPr="005E03F7">
          <w:rPr>
            <w:vanish/>
          </w:rPr>
        </w:r>
        <w:r w:rsidR="005E03F7" w:rsidRPr="005E03F7">
          <w:rPr>
            <w:vanish/>
          </w:rPr>
          <w:fldChar w:fldCharType="separate"/>
        </w:r>
        <w:r w:rsidR="005C5D7F">
          <w:rPr>
            <w:vanish/>
          </w:rPr>
          <w:t>153</w:t>
        </w:r>
        <w:r w:rsidR="005E03F7" w:rsidRPr="005E03F7">
          <w:rPr>
            <w:vanish/>
          </w:rPr>
          <w:fldChar w:fldCharType="end"/>
        </w:r>
      </w:hyperlink>
    </w:p>
    <w:p w14:paraId="79467181" w14:textId="39A3A491" w:rsidR="005E03F7" w:rsidRDefault="00856BEE">
      <w:pPr>
        <w:pStyle w:val="TOC3"/>
        <w:rPr>
          <w:rFonts w:asciiTheme="minorHAnsi" w:eastAsiaTheme="minorEastAsia" w:hAnsiTheme="minorHAnsi" w:cstheme="minorBidi"/>
          <w:b w:val="0"/>
          <w:sz w:val="22"/>
          <w:szCs w:val="22"/>
          <w:lang w:eastAsia="en-AU"/>
        </w:rPr>
      </w:pPr>
      <w:hyperlink w:anchor="_Toc83625502" w:history="1">
        <w:r w:rsidR="005E03F7" w:rsidRPr="00D90FEA">
          <w:t>Division 1</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Preliminary</w:t>
        </w:r>
        <w:r w:rsidR="005E03F7" w:rsidRPr="005E03F7">
          <w:rPr>
            <w:vanish/>
          </w:rPr>
          <w:tab/>
        </w:r>
        <w:r w:rsidR="005E03F7" w:rsidRPr="005E03F7">
          <w:rPr>
            <w:vanish/>
          </w:rPr>
          <w:fldChar w:fldCharType="begin"/>
        </w:r>
        <w:r w:rsidR="005E03F7" w:rsidRPr="005E03F7">
          <w:rPr>
            <w:vanish/>
          </w:rPr>
          <w:instrText xml:space="preserve"> PAGEREF _Toc83625502 \h </w:instrText>
        </w:r>
        <w:r w:rsidR="005E03F7" w:rsidRPr="005E03F7">
          <w:rPr>
            <w:vanish/>
          </w:rPr>
        </w:r>
        <w:r w:rsidR="005E03F7" w:rsidRPr="005E03F7">
          <w:rPr>
            <w:vanish/>
          </w:rPr>
          <w:fldChar w:fldCharType="separate"/>
        </w:r>
        <w:r w:rsidR="005C5D7F">
          <w:rPr>
            <w:vanish/>
          </w:rPr>
          <w:t>153</w:t>
        </w:r>
        <w:r w:rsidR="005E03F7" w:rsidRPr="005E03F7">
          <w:rPr>
            <w:vanish/>
          </w:rPr>
          <w:fldChar w:fldCharType="end"/>
        </w:r>
      </w:hyperlink>
    </w:p>
    <w:p w14:paraId="1E7D6464" w14:textId="0BAA5099" w:rsidR="005E03F7" w:rsidRDefault="005E03F7">
      <w:pPr>
        <w:pStyle w:val="TOC5"/>
        <w:rPr>
          <w:rFonts w:asciiTheme="minorHAnsi" w:eastAsiaTheme="minorEastAsia" w:hAnsiTheme="minorHAnsi" w:cstheme="minorBidi"/>
          <w:sz w:val="22"/>
          <w:szCs w:val="22"/>
          <w:lang w:eastAsia="en-AU"/>
        </w:rPr>
      </w:pPr>
      <w:r>
        <w:tab/>
      </w:r>
      <w:hyperlink w:anchor="_Toc83625503" w:history="1">
        <w:r w:rsidRPr="00D90FEA">
          <w:t>135</w:t>
        </w:r>
        <w:r>
          <w:rPr>
            <w:rFonts w:asciiTheme="minorHAnsi" w:eastAsiaTheme="minorEastAsia" w:hAnsiTheme="minorHAnsi" w:cstheme="minorBidi"/>
            <w:sz w:val="22"/>
            <w:szCs w:val="22"/>
            <w:lang w:eastAsia="en-AU"/>
          </w:rPr>
          <w:tab/>
        </w:r>
        <w:r w:rsidRPr="00D90FEA">
          <w:t>Main purpose of Pt 4.6</w:t>
        </w:r>
        <w:r>
          <w:tab/>
        </w:r>
        <w:r>
          <w:fldChar w:fldCharType="begin"/>
        </w:r>
        <w:r>
          <w:instrText xml:space="preserve"> PAGEREF _Toc83625503 \h </w:instrText>
        </w:r>
        <w:r>
          <w:fldChar w:fldCharType="separate"/>
        </w:r>
        <w:r w:rsidR="005C5D7F">
          <w:t>153</w:t>
        </w:r>
        <w:r>
          <w:fldChar w:fldCharType="end"/>
        </w:r>
      </w:hyperlink>
    </w:p>
    <w:p w14:paraId="4B8113FD" w14:textId="51034467" w:rsidR="005E03F7" w:rsidRDefault="005E03F7">
      <w:pPr>
        <w:pStyle w:val="TOC5"/>
        <w:rPr>
          <w:rFonts w:asciiTheme="minorHAnsi" w:eastAsiaTheme="minorEastAsia" w:hAnsiTheme="minorHAnsi" w:cstheme="minorBidi"/>
          <w:sz w:val="22"/>
          <w:szCs w:val="22"/>
          <w:lang w:eastAsia="en-AU"/>
        </w:rPr>
      </w:pPr>
      <w:r>
        <w:tab/>
      </w:r>
      <w:hyperlink w:anchor="_Toc83625504" w:history="1">
        <w:r w:rsidRPr="00D90FEA">
          <w:t>136</w:t>
        </w:r>
        <w:r>
          <w:rPr>
            <w:rFonts w:asciiTheme="minorHAnsi" w:eastAsiaTheme="minorEastAsia" w:hAnsiTheme="minorHAnsi" w:cstheme="minorBidi"/>
            <w:sz w:val="22"/>
            <w:szCs w:val="22"/>
            <w:lang w:eastAsia="en-AU"/>
          </w:rPr>
          <w:tab/>
        </w:r>
        <w:r w:rsidRPr="00D90FEA">
          <w:t>Class 2 heavy vehicles</w:t>
        </w:r>
        <w:r>
          <w:tab/>
        </w:r>
        <w:r>
          <w:fldChar w:fldCharType="begin"/>
        </w:r>
        <w:r>
          <w:instrText xml:space="preserve"> PAGEREF _Toc83625504 \h </w:instrText>
        </w:r>
        <w:r>
          <w:fldChar w:fldCharType="separate"/>
        </w:r>
        <w:r w:rsidR="005C5D7F">
          <w:t>153</w:t>
        </w:r>
        <w:r>
          <w:fldChar w:fldCharType="end"/>
        </w:r>
      </w:hyperlink>
    </w:p>
    <w:p w14:paraId="31E8AB93" w14:textId="67D8E698" w:rsidR="005E03F7" w:rsidRDefault="00856BEE">
      <w:pPr>
        <w:pStyle w:val="TOC3"/>
        <w:rPr>
          <w:rFonts w:asciiTheme="minorHAnsi" w:eastAsiaTheme="minorEastAsia" w:hAnsiTheme="minorHAnsi" w:cstheme="minorBidi"/>
          <w:b w:val="0"/>
          <w:sz w:val="22"/>
          <w:szCs w:val="22"/>
          <w:lang w:eastAsia="en-AU"/>
        </w:rPr>
      </w:pPr>
      <w:hyperlink w:anchor="_Toc83625505" w:history="1">
        <w:r w:rsidR="005E03F7" w:rsidRPr="00D90FEA">
          <w:t>Division 2</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Restriction</w:t>
        </w:r>
        <w:r w:rsidR="005E03F7" w:rsidRPr="005E03F7">
          <w:rPr>
            <w:vanish/>
          </w:rPr>
          <w:tab/>
        </w:r>
        <w:r w:rsidR="005E03F7" w:rsidRPr="005E03F7">
          <w:rPr>
            <w:vanish/>
          </w:rPr>
          <w:fldChar w:fldCharType="begin"/>
        </w:r>
        <w:r w:rsidR="005E03F7" w:rsidRPr="005E03F7">
          <w:rPr>
            <w:vanish/>
          </w:rPr>
          <w:instrText xml:space="preserve"> PAGEREF _Toc83625505 \h </w:instrText>
        </w:r>
        <w:r w:rsidR="005E03F7" w:rsidRPr="005E03F7">
          <w:rPr>
            <w:vanish/>
          </w:rPr>
        </w:r>
        <w:r w:rsidR="005E03F7" w:rsidRPr="005E03F7">
          <w:rPr>
            <w:vanish/>
          </w:rPr>
          <w:fldChar w:fldCharType="separate"/>
        </w:r>
        <w:r w:rsidR="005C5D7F">
          <w:rPr>
            <w:vanish/>
          </w:rPr>
          <w:t>154</w:t>
        </w:r>
        <w:r w:rsidR="005E03F7" w:rsidRPr="005E03F7">
          <w:rPr>
            <w:vanish/>
          </w:rPr>
          <w:fldChar w:fldCharType="end"/>
        </w:r>
      </w:hyperlink>
    </w:p>
    <w:p w14:paraId="460AF800" w14:textId="528C9BDB" w:rsidR="005E03F7" w:rsidRDefault="005E03F7">
      <w:pPr>
        <w:pStyle w:val="TOC5"/>
        <w:rPr>
          <w:rFonts w:asciiTheme="minorHAnsi" w:eastAsiaTheme="minorEastAsia" w:hAnsiTheme="minorHAnsi" w:cstheme="minorBidi"/>
          <w:sz w:val="22"/>
          <w:szCs w:val="22"/>
          <w:lang w:eastAsia="en-AU"/>
        </w:rPr>
      </w:pPr>
      <w:r>
        <w:tab/>
      </w:r>
      <w:hyperlink w:anchor="_Toc83625506" w:history="1">
        <w:r w:rsidRPr="00D90FEA">
          <w:t>137</w:t>
        </w:r>
        <w:r>
          <w:rPr>
            <w:rFonts w:asciiTheme="minorHAnsi" w:eastAsiaTheme="minorEastAsia" w:hAnsiTheme="minorHAnsi" w:cstheme="minorBidi"/>
            <w:sz w:val="22"/>
            <w:szCs w:val="22"/>
            <w:lang w:eastAsia="en-AU"/>
          </w:rPr>
          <w:tab/>
        </w:r>
        <w:r w:rsidRPr="00D90FEA">
          <w:t>Using class 2 heavy vehicle</w:t>
        </w:r>
        <w:r>
          <w:tab/>
        </w:r>
        <w:r>
          <w:fldChar w:fldCharType="begin"/>
        </w:r>
        <w:r>
          <w:instrText xml:space="preserve"> PAGEREF _Toc83625506 \h </w:instrText>
        </w:r>
        <w:r>
          <w:fldChar w:fldCharType="separate"/>
        </w:r>
        <w:r w:rsidR="005C5D7F">
          <w:t>154</w:t>
        </w:r>
        <w:r>
          <w:fldChar w:fldCharType="end"/>
        </w:r>
      </w:hyperlink>
    </w:p>
    <w:p w14:paraId="2DD8EA6C" w14:textId="56D765EC" w:rsidR="005E03F7" w:rsidRDefault="00856BEE">
      <w:pPr>
        <w:pStyle w:val="TOC3"/>
        <w:rPr>
          <w:rFonts w:asciiTheme="minorHAnsi" w:eastAsiaTheme="minorEastAsia" w:hAnsiTheme="minorHAnsi" w:cstheme="minorBidi"/>
          <w:b w:val="0"/>
          <w:sz w:val="22"/>
          <w:szCs w:val="22"/>
          <w:lang w:eastAsia="en-AU"/>
        </w:rPr>
      </w:pPr>
      <w:hyperlink w:anchor="_Toc83625507" w:history="1">
        <w:r w:rsidR="005E03F7" w:rsidRPr="00D90FEA">
          <w:t>Division 3</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Authorisation by Commonwealth Gazette notice</w:t>
        </w:r>
        <w:r w:rsidR="005E03F7" w:rsidRPr="005E03F7">
          <w:rPr>
            <w:vanish/>
          </w:rPr>
          <w:tab/>
        </w:r>
        <w:r w:rsidR="005E03F7" w:rsidRPr="005E03F7">
          <w:rPr>
            <w:vanish/>
          </w:rPr>
          <w:fldChar w:fldCharType="begin"/>
        </w:r>
        <w:r w:rsidR="005E03F7" w:rsidRPr="005E03F7">
          <w:rPr>
            <w:vanish/>
          </w:rPr>
          <w:instrText xml:space="preserve"> PAGEREF _Toc83625507 \h </w:instrText>
        </w:r>
        <w:r w:rsidR="005E03F7" w:rsidRPr="005E03F7">
          <w:rPr>
            <w:vanish/>
          </w:rPr>
        </w:r>
        <w:r w:rsidR="005E03F7" w:rsidRPr="005E03F7">
          <w:rPr>
            <w:vanish/>
          </w:rPr>
          <w:fldChar w:fldCharType="separate"/>
        </w:r>
        <w:r w:rsidR="005C5D7F">
          <w:rPr>
            <w:vanish/>
          </w:rPr>
          <w:t>155</w:t>
        </w:r>
        <w:r w:rsidR="005E03F7" w:rsidRPr="005E03F7">
          <w:rPr>
            <w:vanish/>
          </w:rPr>
          <w:fldChar w:fldCharType="end"/>
        </w:r>
      </w:hyperlink>
    </w:p>
    <w:p w14:paraId="75A60394" w14:textId="7CA38687" w:rsidR="005E03F7" w:rsidRDefault="005E03F7">
      <w:pPr>
        <w:pStyle w:val="TOC5"/>
        <w:rPr>
          <w:rFonts w:asciiTheme="minorHAnsi" w:eastAsiaTheme="minorEastAsia" w:hAnsiTheme="minorHAnsi" w:cstheme="minorBidi"/>
          <w:sz w:val="22"/>
          <w:szCs w:val="22"/>
          <w:lang w:eastAsia="en-AU"/>
        </w:rPr>
      </w:pPr>
      <w:r>
        <w:tab/>
      </w:r>
      <w:hyperlink w:anchor="_Toc83625508" w:history="1">
        <w:r w:rsidRPr="00D90FEA">
          <w:t>138</w:t>
        </w:r>
        <w:r>
          <w:rPr>
            <w:rFonts w:asciiTheme="minorHAnsi" w:eastAsiaTheme="minorEastAsia" w:hAnsiTheme="minorHAnsi" w:cstheme="minorBidi"/>
            <w:sz w:val="22"/>
            <w:szCs w:val="22"/>
            <w:lang w:eastAsia="en-AU"/>
          </w:rPr>
          <w:tab/>
        </w:r>
        <w:r w:rsidRPr="00D90FEA">
          <w:t>Regulator’s power to authorise use of all or stated categories of class 2 heavy vehicles</w:t>
        </w:r>
        <w:r>
          <w:tab/>
        </w:r>
        <w:r>
          <w:fldChar w:fldCharType="begin"/>
        </w:r>
        <w:r>
          <w:instrText xml:space="preserve"> PAGEREF _Toc83625508 \h </w:instrText>
        </w:r>
        <w:r>
          <w:fldChar w:fldCharType="separate"/>
        </w:r>
        <w:r w:rsidR="005C5D7F">
          <w:t>155</w:t>
        </w:r>
        <w:r>
          <w:fldChar w:fldCharType="end"/>
        </w:r>
      </w:hyperlink>
    </w:p>
    <w:p w14:paraId="7CE43681" w14:textId="2EC26156" w:rsidR="005E03F7" w:rsidRDefault="005E03F7">
      <w:pPr>
        <w:pStyle w:val="TOC5"/>
        <w:rPr>
          <w:rFonts w:asciiTheme="minorHAnsi" w:eastAsiaTheme="minorEastAsia" w:hAnsiTheme="minorHAnsi" w:cstheme="minorBidi"/>
          <w:sz w:val="22"/>
          <w:szCs w:val="22"/>
          <w:lang w:eastAsia="en-AU"/>
        </w:rPr>
      </w:pPr>
      <w:r>
        <w:tab/>
      </w:r>
      <w:hyperlink w:anchor="_Toc83625509" w:history="1">
        <w:r w:rsidRPr="00D90FEA">
          <w:t>139</w:t>
        </w:r>
        <w:r>
          <w:rPr>
            <w:rFonts w:asciiTheme="minorHAnsi" w:eastAsiaTheme="minorEastAsia" w:hAnsiTheme="minorHAnsi" w:cstheme="minorBidi"/>
            <w:sz w:val="22"/>
            <w:szCs w:val="22"/>
            <w:lang w:eastAsia="en-AU"/>
          </w:rPr>
          <w:tab/>
        </w:r>
        <w:r w:rsidRPr="00D90FEA">
          <w:t>Restriction on grant of class 2 heavy vehicle authorisation (notice)</w:t>
        </w:r>
        <w:r>
          <w:tab/>
        </w:r>
        <w:r>
          <w:fldChar w:fldCharType="begin"/>
        </w:r>
        <w:r>
          <w:instrText xml:space="preserve"> PAGEREF _Toc83625509 \h </w:instrText>
        </w:r>
        <w:r>
          <w:fldChar w:fldCharType="separate"/>
        </w:r>
        <w:r w:rsidR="005C5D7F">
          <w:t>155</w:t>
        </w:r>
        <w:r>
          <w:fldChar w:fldCharType="end"/>
        </w:r>
      </w:hyperlink>
    </w:p>
    <w:p w14:paraId="5A0BE8E0" w14:textId="73ABEAE1" w:rsidR="005E03F7" w:rsidRDefault="005E03F7">
      <w:pPr>
        <w:pStyle w:val="TOC5"/>
        <w:rPr>
          <w:rFonts w:asciiTheme="minorHAnsi" w:eastAsiaTheme="minorEastAsia" w:hAnsiTheme="minorHAnsi" w:cstheme="minorBidi"/>
          <w:sz w:val="22"/>
          <w:szCs w:val="22"/>
          <w:lang w:eastAsia="en-AU"/>
        </w:rPr>
      </w:pPr>
      <w:r>
        <w:tab/>
      </w:r>
      <w:hyperlink w:anchor="_Toc83625510" w:history="1">
        <w:r w:rsidRPr="00D90FEA">
          <w:t>140</w:t>
        </w:r>
        <w:r>
          <w:rPr>
            <w:rFonts w:asciiTheme="minorHAnsi" w:eastAsiaTheme="minorEastAsia" w:hAnsiTheme="minorHAnsi" w:cstheme="minorBidi"/>
            <w:sz w:val="22"/>
            <w:szCs w:val="22"/>
            <w:lang w:eastAsia="en-AU"/>
          </w:rPr>
          <w:tab/>
        </w:r>
        <w:r w:rsidRPr="00D90FEA">
          <w:t>Conditions of class 2 heavy vehicle authorisation (notice)</w:t>
        </w:r>
        <w:r>
          <w:tab/>
        </w:r>
        <w:r>
          <w:fldChar w:fldCharType="begin"/>
        </w:r>
        <w:r>
          <w:instrText xml:space="preserve"> PAGEREF _Toc83625510 \h </w:instrText>
        </w:r>
        <w:r>
          <w:fldChar w:fldCharType="separate"/>
        </w:r>
        <w:r w:rsidR="005C5D7F">
          <w:t>156</w:t>
        </w:r>
        <w:r>
          <w:fldChar w:fldCharType="end"/>
        </w:r>
      </w:hyperlink>
    </w:p>
    <w:p w14:paraId="15F1B684" w14:textId="1C9F5E50" w:rsidR="005E03F7" w:rsidRDefault="005E03F7">
      <w:pPr>
        <w:pStyle w:val="TOC5"/>
        <w:rPr>
          <w:rFonts w:asciiTheme="minorHAnsi" w:eastAsiaTheme="minorEastAsia" w:hAnsiTheme="minorHAnsi" w:cstheme="minorBidi"/>
          <w:sz w:val="22"/>
          <w:szCs w:val="22"/>
          <w:lang w:eastAsia="en-AU"/>
        </w:rPr>
      </w:pPr>
      <w:r>
        <w:tab/>
      </w:r>
      <w:hyperlink w:anchor="_Toc83625511" w:history="1">
        <w:r w:rsidRPr="00D90FEA">
          <w:t>141</w:t>
        </w:r>
        <w:r>
          <w:rPr>
            <w:rFonts w:asciiTheme="minorHAnsi" w:eastAsiaTheme="minorEastAsia" w:hAnsiTheme="minorHAnsi" w:cstheme="minorBidi"/>
            <w:sz w:val="22"/>
            <w:szCs w:val="22"/>
            <w:lang w:eastAsia="en-AU"/>
          </w:rPr>
          <w:tab/>
        </w:r>
        <w:r w:rsidRPr="00D90FEA">
          <w:t>Period for which class 2 heavy vehicle authorisation (notice) applies</w:t>
        </w:r>
        <w:r>
          <w:tab/>
        </w:r>
        <w:r>
          <w:fldChar w:fldCharType="begin"/>
        </w:r>
        <w:r>
          <w:instrText xml:space="preserve"> PAGEREF _Toc83625511 \h </w:instrText>
        </w:r>
        <w:r>
          <w:fldChar w:fldCharType="separate"/>
        </w:r>
        <w:r w:rsidR="005C5D7F">
          <w:t>156</w:t>
        </w:r>
        <w:r>
          <w:fldChar w:fldCharType="end"/>
        </w:r>
      </w:hyperlink>
    </w:p>
    <w:p w14:paraId="74F390F6" w14:textId="280724A5" w:rsidR="005E03F7" w:rsidRDefault="005E03F7">
      <w:pPr>
        <w:pStyle w:val="TOC5"/>
        <w:rPr>
          <w:rFonts w:asciiTheme="minorHAnsi" w:eastAsiaTheme="minorEastAsia" w:hAnsiTheme="minorHAnsi" w:cstheme="minorBidi"/>
          <w:sz w:val="22"/>
          <w:szCs w:val="22"/>
          <w:lang w:eastAsia="en-AU"/>
        </w:rPr>
      </w:pPr>
      <w:r>
        <w:tab/>
      </w:r>
      <w:hyperlink w:anchor="_Toc83625512" w:history="1">
        <w:r w:rsidRPr="00D90FEA">
          <w:t>142</w:t>
        </w:r>
        <w:r>
          <w:rPr>
            <w:rFonts w:asciiTheme="minorHAnsi" w:eastAsiaTheme="minorEastAsia" w:hAnsiTheme="minorHAnsi" w:cstheme="minorBidi"/>
            <w:sz w:val="22"/>
            <w:szCs w:val="22"/>
            <w:lang w:eastAsia="en-AU"/>
          </w:rPr>
          <w:tab/>
        </w:r>
        <w:r w:rsidRPr="00D90FEA">
          <w:t>Requirements about Commonwealth Gazette notice etc.</w:t>
        </w:r>
        <w:r>
          <w:tab/>
        </w:r>
        <w:r>
          <w:fldChar w:fldCharType="begin"/>
        </w:r>
        <w:r>
          <w:instrText xml:space="preserve"> PAGEREF _Toc83625512 \h </w:instrText>
        </w:r>
        <w:r>
          <w:fldChar w:fldCharType="separate"/>
        </w:r>
        <w:r w:rsidR="005C5D7F">
          <w:t>157</w:t>
        </w:r>
        <w:r>
          <w:fldChar w:fldCharType="end"/>
        </w:r>
      </w:hyperlink>
    </w:p>
    <w:p w14:paraId="3F0D113F" w14:textId="01A2CCE3" w:rsidR="005E03F7" w:rsidRDefault="005E03F7">
      <w:pPr>
        <w:pStyle w:val="TOC5"/>
        <w:rPr>
          <w:rFonts w:asciiTheme="minorHAnsi" w:eastAsiaTheme="minorEastAsia" w:hAnsiTheme="minorHAnsi" w:cstheme="minorBidi"/>
          <w:sz w:val="22"/>
          <w:szCs w:val="22"/>
          <w:lang w:eastAsia="en-AU"/>
        </w:rPr>
      </w:pPr>
      <w:r>
        <w:tab/>
      </w:r>
      <w:hyperlink w:anchor="_Toc83625513" w:history="1">
        <w:r w:rsidRPr="00D90FEA">
          <w:t>142A</w:t>
        </w:r>
        <w:r>
          <w:rPr>
            <w:rFonts w:asciiTheme="minorHAnsi" w:eastAsiaTheme="minorEastAsia" w:hAnsiTheme="minorHAnsi" w:cstheme="minorBidi"/>
            <w:sz w:val="22"/>
            <w:szCs w:val="22"/>
            <w:lang w:eastAsia="en-AU"/>
          </w:rPr>
          <w:tab/>
        </w:r>
        <w:r w:rsidRPr="00D90FEA">
          <w:t>Process for amending stated map or stated list</w:t>
        </w:r>
        <w:r>
          <w:tab/>
        </w:r>
        <w:r>
          <w:fldChar w:fldCharType="begin"/>
        </w:r>
        <w:r>
          <w:instrText xml:space="preserve"> PAGEREF _Toc83625513 \h </w:instrText>
        </w:r>
        <w:r>
          <w:fldChar w:fldCharType="separate"/>
        </w:r>
        <w:r w:rsidR="005C5D7F">
          <w:t>159</w:t>
        </w:r>
        <w:r>
          <w:fldChar w:fldCharType="end"/>
        </w:r>
      </w:hyperlink>
    </w:p>
    <w:p w14:paraId="735B7CAB" w14:textId="6344AC6E" w:rsidR="005E03F7" w:rsidRDefault="00856BEE">
      <w:pPr>
        <w:pStyle w:val="TOC3"/>
        <w:rPr>
          <w:rFonts w:asciiTheme="minorHAnsi" w:eastAsiaTheme="minorEastAsia" w:hAnsiTheme="minorHAnsi" w:cstheme="minorBidi"/>
          <w:b w:val="0"/>
          <w:sz w:val="22"/>
          <w:szCs w:val="22"/>
          <w:lang w:eastAsia="en-AU"/>
        </w:rPr>
      </w:pPr>
      <w:hyperlink w:anchor="_Toc83625514" w:history="1">
        <w:r w:rsidR="005E03F7" w:rsidRPr="00D90FEA">
          <w:t>Division 4</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Authorisation by permit</w:t>
        </w:r>
        <w:r w:rsidR="005E03F7" w:rsidRPr="005E03F7">
          <w:rPr>
            <w:vanish/>
          </w:rPr>
          <w:tab/>
        </w:r>
        <w:r w:rsidR="005E03F7" w:rsidRPr="005E03F7">
          <w:rPr>
            <w:vanish/>
          </w:rPr>
          <w:fldChar w:fldCharType="begin"/>
        </w:r>
        <w:r w:rsidR="005E03F7" w:rsidRPr="005E03F7">
          <w:rPr>
            <w:vanish/>
          </w:rPr>
          <w:instrText xml:space="preserve"> PAGEREF _Toc83625514 \h </w:instrText>
        </w:r>
        <w:r w:rsidR="005E03F7" w:rsidRPr="005E03F7">
          <w:rPr>
            <w:vanish/>
          </w:rPr>
        </w:r>
        <w:r w:rsidR="005E03F7" w:rsidRPr="005E03F7">
          <w:rPr>
            <w:vanish/>
          </w:rPr>
          <w:fldChar w:fldCharType="separate"/>
        </w:r>
        <w:r w:rsidR="005C5D7F">
          <w:rPr>
            <w:vanish/>
          </w:rPr>
          <w:t>160</w:t>
        </w:r>
        <w:r w:rsidR="005E03F7" w:rsidRPr="005E03F7">
          <w:rPr>
            <w:vanish/>
          </w:rPr>
          <w:fldChar w:fldCharType="end"/>
        </w:r>
      </w:hyperlink>
    </w:p>
    <w:p w14:paraId="17CAA3B6" w14:textId="7A6D8ADD" w:rsidR="005E03F7" w:rsidRDefault="005E03F7">
      <w:pPr>
        <w:pStyle w:val="TOC5"/>
        <w:rPr>
          <w:rFonts w:asciiTheme="minorHAnsi" w:eastAsiaTheme="minorEastAsia" w:hAnsiTheme="minorHAnsi" w:cstheme="minorBidi"/>
          <w:sz w:val="22"/>
          <w:szCs w:val="22"/>
          <w:lang w:eastAsia="en-AU"/>
        </w:rPr>
      </w:pPr>
      <w:r>
        <w:tab/>
      </w:r>
      <w:hyperlink w:anchor="_Toc83625515" w:history="1">
        <w:r w:rsidRPr="00D90FEA">
          <w:t>143</w:t>
        </w:r>
        <w:r>
          <w:rPr>
            <w:rFonts w:asciiTheme="minorHAnsi" w:eastAsiaTheme="minorEastAsia" w:hAnsiTheme="minorHAnsi" w:cstheme="minorBidi"/>
            <w:sz w:val="22"/>
            <w:szCs w:val="22"/>
            <w:lang w:eastAsia="en-AU"/>
          </w:rPr>
          <w:tab/>
        </w:r>
        <w:r w:rsidRPr="00D90FEA">
          <w:t>Regulator’s power to authorise use of a particular class 2 heavy vehicle</w:t>
        </w:r>
        <w:r>
          <w:tab/>
        </w:r>
        <w:r>
          <w:fldChar w:fldCharType="begin"/>
        </w:r>
        <w:r>
          <w:instrText xml:space="preserve"> PAGEREF _Toc83625515 \h </w:instrText>
        </w:r>
        <w:r>
          <w:fldChar w:fldCharType="separate"/>
        </w:r>
        <w:r w:rsidR="005C5D7F">
          <w:t>160</w:t>
        </w:r>
        <w:r>
          <w:fldChar w:fldCharType="end"/>
        </w:r>
      </w:hyperlink>
    </w:p>
    <w:p w14:paraId="53F72CB2" w14:textId="6B18E9DB" w:rsidR="005E03F7" w:rsidRDefault="005E03F7">
      <w:pPr>
        <w:pStyle w:val="TOC5"/>
        <w:rPr>
          <w:rFonts w:asciiTheme="minorHAnsi" w:eastAsiaTheme="minorEastAsia" w:hAnsiTheme="minorHAnsi" w:cstheme="minorBidi"/>
          <w:sz w:val="22"/>
          <w:szCs w:val="22"/>
          <w:lang w:eastAsia="en-AU"/>
        </w:rPr>
      </w:pPr>
      <w:r>
        <w:tab/>
      </w:r>
      <w:hyperlink w:anchor="_Toc83625516" w:history="1">
        <w:r w:rsidRPr="00D90FEA">
          <w:t>144</w:t>
        </w:r>
        <w:r>
          <w:rPr>
            <w:rFonts w:asciiTheme="minorHAnsi" w:eastAsiaTheme="minorEastAsia" w:hAnsiTheme="minorHAnsi" w:cstheme="minorBidi"/>
            <w:sz w:val="22"/>
            <w:szCs w:val="22"/>
            <w:lang w:eastAsia="en-AU"/>
          </w:rPr>
          <w:tab/>
        </w:r>
        <w:r w:rsidRPr="00D90FEA">
          <w:t>Application for class 2 heavy vehicle authorisation (permit)</w:t>
        </w:r>
        <w:r>
          <w:tab/>
        </w:r>
        <w:r>
          <w:fldChar w:fldCharType="begin"/>
        </w:r>
        <w:r>
          <w:instrText xml:space="preserve"> PAGEREF _Toc83625516 \h </w:instrText>
        </w:r>
        <w:r>
          <w:fldChar w:fldCharType="separate"/>
        </w:r>
        <w:r w:rsidR="005C5D7F">
          <w:t>161</w:t>
        </w:r>
        <w:r>
          <w:fldChar w:fldCharType="end"/>
        </w:r>
      </w:hyperlink>
    </w:p>
    <w:p w14:paraId="4C7A8F9D" w14:textId="60D5D861" w:rsidR="005E03F7" w:rsidRDefault="005E03F7">
      <w:pPr>
        <w:pStyle w:val="TOC5"/>
        <w:rPr>
          <w:rFonts w:asciiTheme="minorHAnsi" w:eastAsiaTheme="minorEastAsia" w:hAnsiTheme="minorHAnsi" w:cstheme="minorBidi"/>
          <w:sz w:val="22"/>
          <w:szCs w:val="22"/>
          <w:lang w:eastAsia="en-AU"/>
        </w:rPr>
      </w:pPr>
      <w:r>
        <w:tab/>
      </w:r>
      <w:hyperlink w:anchor="_Toc83625517" w:history="1">
        <w:r w:rsidRPr="00D90FEA">
          <w:t>145</w:t>
        </w:r>
        <w:r>
          <w:rPr>
            <w:rFonts w:asciiTheme="minorHAnsi" w:eastAsiaTheme="minorEastAsia" w:hAnsiTheme="minorHAnsi" w:cstheme="minorBidi"/>
            <w:sz w:val="22"/>
            <w:szCs w:val="22"/>
            <w:lang w:eastAsia="en-AU"/>
          </w:rPr>
          <w:tab/>
        </w:r>
        <w:r w:rsidRPr="00D90FEA">
          <w:t>Restriction on grant of class 2 heavy vehicle authorisation (permit)</w:t>
        </w:r>
        <w:r>
          <w:tab/>
        </w:r>
        <w:r>
          <w:fldChar w:fldCharType="begin"/>
        </w:r>
        <w:r>
          <w:instrText xml:space="preserve"> PAGEREF _Toc83625517 \h </w:instrText>
        </w:r>
        <w:r>
          <w:fldChar w:fldCharType="separate"/>
        </w:r>
        <w:r w:rsidR="005C5D7F">
          <w:t>161</w:t>
        </w:r>
        <w:r>
          <w:fldChar w:fldCharType="end"/>
        </w:r>
      </w:hyperlink>
    </w:p>
    <w:p w14:paraId="14E469E8" w14:textId="13244A37" w:rsidR="005E03F7" w:rsidRDefault="005E03F7">
      <w:pPr>
        <w:pStyle w:val="TOC5"/>
        <w:rPr>
          <w:rFonts w:asciiTheme="minorHAnsi" w:eastAsiaTheme="minorEastAsia" w:hAnsiTheme="minorHAnsi" w:cstheme="minorBidi"/>
          <w:sz w:val="22"/>
          <w:szCs w:val="22"/>
          <w:lang w:eastAsia="en-AU"/>
        </w:rPr>
      </w:pPr>
      <w:r>
        <w:tab/>
      </w:r>
      <w:hyperlink w:anchor="_Toc83625518" w:history="1">
        <w:r w:rsidRPr="00D90FEA">
          <w:t>146</w:t>
        </w:r>
        <w:r>
          <w:rPr>
            <w:rFonts w:asciiTheme="minorHAnsi" w:eastAsiaTheme="minorEastAsia" w:hAnsiTheme="minorHAnsi" w:cstheme="minorBidi"/>
            <w:sz w:val="22"/>
            <w:szCs w:val="22"/>
            <w:lang w:eastAsia="en-AU"/>
          </w:rPr>
          <w:tab/>
        </w:r>
        <w:r w:rsidRPr="00D90FEA">
          <w:t>Conditions of class 2 heavy vehicle authorisation (permit)</w:t>
        </w:r>
        <w:r>
          <w:tab/>
        </w:r>
        <w:r>
          <w:fldChar w:fldCharType="begin"/>
        </w:r>
        <w:r>
          <w:instrText xml:space="preserve"> PAGEREF _Toc83625518 \h </w:instrText>
        </w:r>
        <w:r>
          <w:fldChar w:fldCharType="separate"/>
        </w:r>
        <w:r w:rsidR="005C5D7F">
          <w:t>162</w:t>
        </w:r>
        <w:r>
          <w:fldChar w:fldCharType="end"/>
        </w:r>
      </w:hyperlink>
    </w:p>
    <w:p w14:paraId="19BFA407" w14:textId="072018E5" w:rsidR="005E03F7" w:rsidRDefault="005E03F7">
      <w:pPr>
        <w:pStyle w:val="TOC5"/>
        <w:rPr>
          <w:rFonts w:asciiTheme="minorHAnsi" w:eastAsiaTheme="minorEastAsia" w:hAnsiTheme="minorHAnsi" w:cstheme="minorBidi"/>
          <w:sz w:val="22"/>
          <w:szCs w:val="22"/>
          <w:lang w:eastAsia="en-AU"/>
        </w:rPr>
      </w:pPr>
      <w:r>
        <w:tab/>
      </w:r>
      <w:hyperlink w:anchor="_Toc83625519" w:history="1">
        <w:r w:rsidRPr="00D90FEA">
          <w:t>147</w:t>
        </w:r>
        <w:r>
          <w:rPr>
            <w:rFonts w:asciiTheme="minorHAnsi" w:eastAsiaTheme="minorEastAsia" w:hAnsiTheme="minorHAnsi" w:cstheme="minorBidi"/>
            <w:sz w:val="22"/>
            <w:szCs w:val="22"/>
            <w:lang w:eastAsia="en-AU"/>
          </w:rPr>
          <w:tab/>
        </w:r>
        <w:r w:rsidRPr="00D90FEA">
          <w:t>Period for which class 2 heavy vehicle authorisation (permit) applies</w:t>
        </w:r>
        <w:r>
          <w:tab/>
        </w:r>
        <w:r>
          <w:fldChar w:fldCharType="begin"/>
        </w:r>
        <w:r>
          <w:instrText xml:space="preserve"> PAGEREF _Toc83625519 \h </w:instrText>
        </w:r>
        <w:r>
          <w:fldChar w:fldCharType="separate"/>
        </w:r>
        <w:r w:rsidR="005C5D7F">
          <w:t>162</w:t>
        </w:r>
        <w:r>
          <w:fldChar w:fldCharType="end"/>
        </w:r>
      </w:hyperlink>
    </w:p>
    <w:p w14:paraId="6804639A" w14:textId="13F7FD61" w:rsidR="005E03F7" w:rsidRDefault="005E03F7">
      <w:pPr>
        <w:pStyle w:val="TOC5"/>
        <w:rPr>
          <w:rFonts w:asciiTheme="minorHAnsi" w:eastAsiaTheme="minorEastAsia" w:hAnsiTheme="minorHAnsi" w:cstheme="minorBidi"/>
          <w:sz w:val="22"/>
          <w:szCs w:val="22"/>
          <w:lang w:eastAsia="en-AU"/>
        </w:rPr>
      </w:pPr>
      <w:r>
        <w:tab/>
      </w:r>
      <w:hyperlink w:anchor="_Toc83625520" w:history="1">
        <w:r w:rsidRPr="00D90FEA">
          <w:t>148</w:t>
        </w:r>
        <w:r>
          <w:rPr>
            <w:rFonts w:asciiTheme="minorHAnsi" w:eastAsiaTheme="minorEastAsia" w:hAnsiTheme="minorHAnsi" w:cstheme="minorBidi"/>
            <w:sz w:val="22"/>
            <w:szCs w:val="22"/>
            <w:lang w:eastAsia="en-AU"/>
          </w:rPr>
          <w:tab/>
        </w:r>
        <w:r w:rsidRPr="00D90FEA">
          <w:t>Permit for class 2 heavy vehicle authorisation (permit) etc.</w:t>
        </w:r>
        <w:r>
          <w:tab/>
        </w:r>
        <w:r>
          <w:fldChar w:fldCharType="begin"/>
        </w:r>
        <w:r>
          <w:instrText xml:space="preserve"> PAGEREF _Toc83625520 \h </w:instrText>
        </w:r>
        <w:r>
          <w:fldChar w:fldCharType="separate"/>
        </w:r>
        <w:r w:rsidR="005C5D7F">
          <w:t>163</w:t>
        </w:r>
        <w:r>
          <w:fldChar w:fldCharType="end"/>
        </w:r>
      </w:hyperlink>
    </w:p>
    <w:p w14:paraId="0B6DFA98" w14:textId="00C27B35" w:rsidR="005E03F7" w:rsidRDefault="005E03F7">
      <w:pPr>
        <w:pStyle w:val="TOC5"/>
        <w:rPr>
          <w:rFonts w:asciiTheme="minorHAnsi" w:eastAsiaTheme="minorEastAsia" w:hAnsiTheme="minorHAnsi" w:cstheme="minorBidi"/>
          <w:sz w:val="22"/>
          <w:szCs w:val="22"/>
          <w:lang w:eastAsia="en-AU"/>
        </w:rPr>
      </w:pPr>
      <w:r>
        <w:tab/>
      </w:r>
      <w:hyperlink w:anchor="_Toc83625521" w:history="1">
        <w:r w:rsidRPr="00D90FEA">
          <w:t>149</w:t>
        </w:r>
        <w:r>
          <w:rPr>
            <w:rFonts w:asciiTheme="minorHAnsi" w:eastAsiaTheme="minorEastAsia" w:hAnsiTheme="minorHAnsi" w:cstheme="minorBidi"/>
            <w:sz w:val="22"/>
            <w:szCs w:val="22"/>
            <w:lang w:eastAsia="en-AU"/>
          </w:rPr>
          <w:tab/>
        </w:r>
        <w:r w:rsidRPr="00D90FEA">
          <w:t>Refusal of application for class 2 heavy vehicle authorisation (permit)</w:t>
        </w:r>
        <w:r>
          <w:tab/>
        </w:r>
        <w:r>
          <w:fldChar w:fldCharType="begin"/>
        </w:r>
        <w:r>
          <w:instrText xml:space="preserve"> PAGEREF _Toc83625521 \h </w:instrText>
        </w:r>
        <w:r>
          <w:fldChar w:fldCharType="separate"/>
        </w:r>
        <w:r w:rsidR="005C5D7F">
          <w:t>164</w:t>
        </w:r>
        <w:r>
          <w:fldChar w:fldCharType="end"/>
        </w:r>
      </w:hyperlink>
    </w:p>
    <w:p w14:paraId="15333F0F" w14:textId="22079154" w:rsidR="005E03F7" w:rsidRDefault="00856BEE">
      <w:pPr>
        <w:pStyle w:val="TOC3"/>
        <w:rPr>
          <w:rFonts w:asciiTheme="minorHAnsi" w:eastAsiaTheme="minorEastAsia" w:hAnsiTheme="minorHAnsi" w:cstheme="minorBidi"/>
          <w:b w:val="0"/>
          <w:sz w:val="22"/>
          <w:szCs w:val="22"/>
          <w:lang w:eastAsia="en-AU"/>
        </w:rPr>
      </w:pPr>
      <w:hyperlink w:anchor="_Toc83625522" w:history="1">
        <w:r w:rsidR="005E03F7" w:rsidRPr="00D90FEA">
          <w:t>Division 5</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Operating under class 2 heavy vehicle authorisation</w:t>
        </w:r>
        <w:r w:rsidR="005E03F7" w:rsidRPr="005E03F7">
          <w:rPr>
            <w:vanish/>
          </w:rPr>
          <w:tab/>
        </w:r>
        <w:r w:rsidR="005E03F7" w:rsidRPr="005E03F7">
          <w:rPr>
            <w:vanish/>
          </w:rPr>
          <w:fldChar w:fldCharType="begin"/>
        </w:r>
        <w:r w:rsidR="005E03F7" w:rsidRPr="005E03F7">
          <w:rPr>
            <w:vanish/>
          </w:rPr>
          <w:instrText xml:space="preserve"> PAGEREF _Toc83625522 \h </w:instrText>
        </w:r>
        <w:r w:rsidR="005E03F7" w:rsidRPr="005E03F7">
          <w:rPr>
            <w:vanish/>
          </w:rPr>
        </w:r>
        <w:r w:rsidR="005E03F7" w:rsidRPr="005E03F7">
          <w:rPr>
            <w:vanish/>
          </w:rPr>
          <w:fldChar w:fldCharType="separate"/>
        </w:r>
        <w:r w:rsidR="005C5D7F">
          <w:rPr>
            <w:vanish/>
          </w:rPr>
          <w:t>164</w:t>
        </w:r>
        <w:r w:rsidR="005E03F7" w:rsidRPr="005E03F7">
          <w:rPr>
            <w:vanish/>
          </w:rPr>
          <w:fldChar w:fldCharType="end"/>
        </w:r>
      </w:hyperlink>
    </w:p>
    <w:p w14:paraId="6A06F1DF" w14:textId="282AB5C1" w:rsidR="005E03F7" w:rsidRDefault="005E03F7">
      <w:pPr>
        <w:pStyle w:val="TOC5"/>
        <w:rPr>
          <w:rFonts w:asciiTheme="minorHAnsi" w:eastAsiaTheme="minorEastAsia" w:hAnsiTheme="minorHAnsi" w:cstheme="minorBidi"/>
          <w:sz w:val="22"/>
          <w:szCs w:val="22"/>
          <w:lang w:eastAsia="en-AU"/>
        </w:rPr>
      </w:pPr>
      <w:r>
        <w:tab/>
      </w:r>
      <w:hyperlink w:anchor="_Toc83625523" w:history="1">
        <w:r w:rsidRPr="00D90FEA">
          <w:t>150</w:t>
        </w:r>
        <w:r>
          <w:rPr>
            <w:rFonts w:asciiTheme="minorHAnsi" w:eastAsiaTheme="minorEastAsia" w:hAnsiTheme="minorHAnsi" w:cstheme="minorBidi"/>
            <w:sz w:val="22"/>
            <w:szCs w:val="22"/>
            <w:lang w:eastAsia="en-AU"/>
          </w:rPr>
          <w:tab/>
        </w:r>
        <w:r w:rsidRPr="00D90FEA">
          <w:t>Contravening condition of class 2 heavy vehicle authorisation</w:t>
        </w:r>
        <w:r>
          <w:tab/>
        </w:r>
        <w:r>
          <w:fldChar w:fldCharType="begin"/>
        </w:r>
        <w:r>
          <w:instrText xml:space="preserve"> PAGEREF _Toc83625523 \h </w:instrText>
        </w:r>
        <w:r>
          <w:fldChar w:fldCharType="separate"/>
        </w:r>
        <w:r w:rsidR="005C5D7F">
          <w:t>164</w:t>
        </w:r>
        <w:r>
          <w:fldChar w:fldCharType="end"/>
        </w:r>
      </w:hyperlink>
    </w:p>
    <w:p w14:paraId="2779E688" w14:textId="7A87BC96" w:rsidR="005E03F7" w:rsidRDefault="005E03F7">
      <w:pPr>
        <w:pStyle w:val="TOC5"/>
        <w:rPr>
          <w:rFonts w:asciiTheme="minorHAnsi" w:eastAsiaTheme="minorEastAsia" w:hAnsiTheme="minorHAnsi" w:cstheme="minorBidi"/>
          <w:sz w:val="22"/>
          <w:szCs w:val="22"/>
          <w:lang w:eastAsia="en-AU"/>
        </w:rPr>
      </w:pPr>
      <w:r>
        <w:tab/>
      </w:r>
      <w:hyperlink w:anchor="_Toc83625524" w:history="1">
        <w:r w:rsidRPr="00D90FEA">
          <w:t>151</w:t>
        </w:r>
        <w:r>
          <w:rPr>
            <w:rFonts w:asciiTheme="minorHAnsi" w:eastAsiaTheme="minorEastAsia" w:hAnsiTheme="minorHAnsi" w:cstheme="minorBidi"/>
            <w:sz w:val="22"/>
            <w:szCs w:val="22"/>
            <w:lang w:eastAsia="en-AU"/>
          </w:rPr>
          <w:tab/>
        </w:r>
        <w:r w:rsidRPr="00D90FEA">
          <w:t>Keeping relevant document while driving under class 2 heavy vehicle authorisation (notice)</w:t>
        </w:r>
        <w:r>
          <w:tab/>
        </w:r>
        <w:r>
          <w:fldChar w:fldCharType="begin"/>
        </w:r>
        <w:r>
          <w:instrText xml:space="preserve"> PAGEREF _Toc83625524 \h </w:instrText>
        </w:r>
        <w:r>
          <w:fldChar w:fldCharType="separate"/>
        </w:r>
        <w:r w:rsidR="005C5D7F">
          <w:t>164</w:t>
        </w:r>
        <w:r>
          <w:fldChar w:fldCharType="end"/>
        </w:r>
      </w:hyperlink>
    </w:p>
    <w:p w14:paraId="0A8DC62D" w14:textId="7426F226" w:rsidR="005E03F7" w:rsidRDefault="005E03F7">
      <w:pPr>
        <w:pStyle w:val="TOC5"/>
        <w:rPr>
          <w:rFonts w:asciiTheme="minorHAnsi" w:eastAsiaTheme="minorEastAsia" w:hAnsiTheme="minorHAnsi" w:cstheme="minorBidi"/>
          <w:sz w:val="22"/>
          <w:szCs w:val="22"/>
          <w:lang w:eastAsia="en-AU"/>
        </w:rPr>
      </w:pPr>
      <w:r>
        <w:tab/>
      </w:r>
      <w:hyperlink w:anchor="_Toc83625525" w:history="1">
        <w:r w:rsidRPr="00D90FEA">
          <w:t>152</w:t>
        </w:r>
        <w:r>
          <w:rPr>
            <w:rFonts w:asciiTheme="minorHAnsi" w:eastAsiaTheme="minorEastAsia" w:hAnsiTheme="minorHAnsi" w:cstheme="minorBidi"/>
            <w:sz w:val="22"/>
            <w:szCs w:val="22"/>
            <w:lang w:eastAsia="en-AU"/>
          </w:rPr>
          <w:tab/>
        </w:r>
        <w:r w:rsidRPr="00D90FEA">
          <w:t>Keeping copy of permit while driving under class 2 heavy vehicle authorisation (permit)</w:t>
        </w:r>
        <w:r>
          <w:tab/>
        </w:r>
        <w:r>
          <w:fldChar w:fldCharType="begin"/>
        </w:r>
        <w:r>
          <w:instrText xml:space="preserve"> PAGEREF _Toc83625525 \h </w:instrText>
        </w:r>
        <w:r>
          <w:fldChar w:fldCharType="separate"/>
        </w:r>
        <w:r w:rsidR="005C5D7F">
          <w:t>165</w:t>
        </w:r>
        <w:r>
          <w:fldChar w:fldCharType="end"/>
        </w:r>
      </w:hyperlink>
    </w:p>
    <w:p w14:paraId="7BF86CDC" w14:textId="15D89790" w:rsidR="005E03F7" w:rsidRDefault="00856BEE">
      <w:pPr>
        <w:pStyle w:val="TOC2"/>
        <w:rPr>
          <w:rFonts w:asciiTheme="minorHAnsi" w:eastAsiaTheme="minorEastAsia" w:hAnsiTheme="minorHAnsi" w:cstheme="minorBidi"/>
          <w:b w:val="0"/>
          <w:sz w:val="22"/>
          <w:szCs w:val="22"/>
          <w:lang w:eastAsia="en-AU"/>
        </w:rPr>
      </w:pPr>
      <w:hyperlink w:anchor="_Toc83625526" w:history="1">
        <w:r w:rsidR="005E03F7" w:rsidRPr="00D90FEA">
          <w:t>Part 4.6A</w:t>
        </w:r>
        <w:r w:rsidR="005E03F7">
          <w:rPr>
            <w:rFonts w:asciiTheme="minorHAnsi" w:eastAsiaTheme="minorEastAsia" w:hAnsiTheme="minorHAnsi" w:cstheme="minorBidi"/>
            <w:b w:val="0"/>
            <w:sz w:val="22"/>
            <w:szCs w:val="22"/>
            <w:lang w:eastAsia="en-AU"/>
          </w:rPr>
          <w:tab/>
        </w:r>
        <w:r w:rsidR="005E03F7" w:rsidRPr="00D90FEA">
          <w:t>Restricted access vehicles</w:t>
        </w:r>
        <w:r w:rsidR="005E03F7" w:rsidRPr="005E03F7">
          <w:rPr>
            <w:vanish/>
          </w:rPr>
          <w:tab/>
        </w:r>
        <w:r w:rsidR="005E03F7" w:rsidRPr="005E03F7">
          <w:rPr>
            <w:vanish/>
          </w:rPr>
          <w:fldChar w:fldCharType="begin"/>
        </w:r>
        <w:r w:rsidR="005E03F7" w:rsidRPr="005E03F7">
          <w:rPr>
            <w:vanish/>
          </w:rPr>
          <w:instrText xml:space="preserve"> PAGEREF _Toc83625526 \h </w:instrText>
        </w:r>
        <w:r w:rsidR="005E03F7" w:rsidRPr="005E03F7">
          <w:rPr>
            <w:vanish/>
          </w:rPr>
        </w:r>
        <w:r w:rsidR="005E03F7" w:rsidRPr="005E03F7">
          <w:rPr>
            <w:vanish/>
          </w:rPr>
          <w:fldChar w:fldCharType="separate"/>
        </w:r>
        <w:r w:rsidR="005C5D7F">
          <w:rPr>
            <w:vanish/>
          </w:rPr>
          <w:t>167</w:t>
        </w:r>
        <w:r w:rsidR="005E03F7" w:rsidRPr="005E03F7">
          <w:rPr>
            <w:vanish/>
          </w:rPr>
          <w:fldChar w:fldCharType="end"/>
        </w:r>
      </w:hyperlink>
    </w:p>
    <w:p w14:paraId="04751CD3" w14:textId="1E80B2B2" w:rsidR="005E03F7" w:rsidRDefault="005E03F7">
      <w:pPr>
        <w:pStyle w:val="TOC5"/>
        <w:rPr>
          <w:rFonts w:asciiTheme="minorHAnsi" w:eastAsiaTheme="minorEastAsia" w:hAnsiTheme="minorHAnsi" w:cstheme="minorBidi"/>
          <w:sz w:val="22"/>
          <w:szCs w:val="22"/>
          <w:lang w:eastAsia="en-AU"/>
        </w:rPr>
      </w:pPr>
      <w:r>
        <w:tab/>
      </w:r>
      <w:hyperlink w:anchor="_Toc83625527" w:history="1">
        <w:r w:rsidRPr="00D90FEA">
          <w:t>153A</w:t>
        </w:r>
        <w:r>
          <w:rPr>
            <w:rFonts w:asciiTheme="minorHAnsi" w:eastAsiaTheme="minorEastAsia" w:hAnsiTheme="minorHAnsi" w:cstheme="minorBidi"/>
            <w:sz w:val="22"/>
            <w:szCs w:val="22"/>
            <w:lang w:eastAsia="en-AU"/>
          </w:rPr>
          <w:tab/>
        </w:r>
        <w:r w:rsidRPr="00D90FEA">
          <w:t>Using restricted access vehicle</w:t>
        </w:r>
        <w:r>
          <w:tab/>
        </w:r>
        <w:r>
          <w:fldChar w:fldCharType="begin"/>
        </w:r>
        <w:r>
          <w:instrText xml:space="preserve"> PAGEREF _Toc83625527 \h </w:instrText>
        </w:r>
        <w:r>
          <w:fldChar w:fldCharType="separate"/>
        </w:r>
        <w:r w:rsidR="005C5D7F">
          <w:t>167</w:t>
        </w:r>
        <w:r>
          <w:fldChar w:fldCharType="end"/>
        </w:r>
      </w:hyperlink>
    </w:p>
    <w:p w14:paraId="1BDF8985" w14:textId="23964230" w:rsidR="005E03F7" w:rsidRDefault="00856BEE">
      <w:pPr>
        <w:pStyle w:val="TOC2"/>
        <w:rPr>
          <w:rFonts w:asciiTheme="minorHAnsi" w:eastAsiaTheme="minorEastAsia" w:hAnsiTheme="minorHAnsi" w:cstheme="minorBidi"/>
          <w:b w:val="0"/>
          <w:sz w:val="22"/>
          <w:szCs w:val="22"/>
          <w:lang w:eastAsia="en-AU"/>
        </w:rPr>
      </w:pPr>
      <w:hyperlink w:anchor="_Toc83625528" w:history="1">
        <w:r w:rsidR="005E03F7" w:rsidRPr="00D90FEA">
          <w:t>Part 4.7</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Particular provisions about mass or dimension authorities</w:t>
        </w:r>
        <w:r w:rsidR="005E03F7" w:rsidRPr="005E03F7">
          <w:rPr>
            <w:vanish/>
          </w:rPr>
          <w:tab/>
        </w:r>
        <w:r w:rsidR="005E03F7" w:rsidRPr="005E03F7">
          <w:rPr>
            <w:vanish/>
          </w:rPr>
          <w:fldChar w:fldCharType="begin"/>
        </w:r>
        <w:r w:rsidR="005E03F7" w:rsidRPr="005E03F7">
          <w:rPr>
            <w:vanish/>
          </w:rPr>
          <w:instrText xml:space="preserve"> PAGEREF _Toc83625528 \h </w:instrText>
        </w:r>
        <w:r w:rsidR="005E03F7" w:rsidRPr="005E03F7">
          <w:rPr>
            <w:vanish/>
          </w:rPr>
        </w:r>
        <w:r w:rsidR="005E03F7" w:rsidRPr="005E03F7">
          <w:rPr>
            <w:vanish/>
          </w:rPr>
          <w:fldChar w:fldCharType="separate"/>
        </w:r>
        <w:r w:rsidR="005C5D7F">
          <w:rPr>
            <w:vanish/>
          </w:rPr>
          <w:t>169</w:t>
        </w:r>
        <w:r w:rsidR="005E03F7" w:rsidRPr="005E03F7">
          <w:rPr>
            <w:vanish/>
          </w:rPr>
          <w:fldChar w:fldCharType="end"/>
        </w:r>
      </w:hyperlink>
    </w:p>
    <w:p w14:paraId="69AB7600" w14:textId="0FDCD6CF" w:rsidR="005E03F7" w:rsidRDefault="00856BEE">
      <w:pPr>
        <w:pStyle w:val="TOC3"/>
        <w:rPr>
          <w:rFonts w:asciiTheme="minorHAnsi" w:eastAsiaTheme="minorEastAsia" w:hAnsiTheme="minorHAnsi" w:cstheme="minorBidi"/>
          <w:b w:val="0"/>
          <w:sz w:val="22"/>
          <w:szCs w:val="22"/>
          <w:lang w:eastAsia="en-AU"/>
        </w:rPr>
      </w:pPr>
      <w:hyperlink w:anchor="_Toc83625529" w:history="1">
        <w:r w:rsidR="005E03F7" w:rsidRPr="00D90FEA">
          <w:t>Division 1</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Preliminary</w:t>
        </w:r>
        <w:r w:rsidR="005E03F7" w:rsidRPr="005E03F7">
          <w:rPr>
            <w:vanish/>
          </w:rPr>
          <w:tab/>
        </w:r>
        <w:r w:rsidR="005E03F7" w:rsidRPr="005E03F7">
          <w:rPr>
            <w:vanish/>
          </w:rPr>
          <w:fldChar w:fldCharType="begin"/>
        </w:r>
        <w:r w:rsidR="005E03F7" w:rsidRPr="005E03F7">
          <w:rPr>
            <w:vanish/>
          </w:rPr>
          <w:instrText xml:space="preserve"> PAGEREF _Toc83625529 \h </w:instrText>
        </w:r>
        <w:r w:rsidR="005E03F7" w:rsidRPr="005E03F7">
          <w:rPr>
            <w:vanish/>
          </w:rPr>
        </w:r>
        <w:r w:rsidR="005E03F7" w:rsidRPr="005E03F7">
          <w:rPr>
            <w:vanish/>
          </w:rPr>
          <w:fldChar w:fldCharType="separate"/>
        </w:r>
        <w:r w:rsidR="005C5D7F">
          <w:rPr>
            <w:vanish/>
          </w:rPr>
          <w:t>169</w:t>
        </w:r>
        <w:r w:rsidR="005E03F7" w:rsidRPr="005E03F7">
          <w:rPr>
            <w:vanish/>
          </w:rPr>
          <w:fldChar w:fldCharType="end"/>
        </w:r>
      </w:hyperlink>
    </w:p>
    <w:p w14:paraId="71DAD129" w14:textId="09C3C19C" w:rsidR="005E03F7" w:rsidRDefault="005E03F7">
      <w:pPr>
        <w:pStyle w:val="TOC5"/>
        <w:rPr>
          <w:rFonts w:asciiTheme="minorHAnsi" w:eastAsiaTheme="minorEastAsia" w:hAnsiTheme="minorHAnsi" w:cstheme="minorBidi"/>
          <w:sz w:val="22"/>
          <w:szCs w:val="22"/>
          <w:lang w:eastAsia="en-AU"/>
        </w:rPr>
      </w:pPr>
      <w:r>
        <w:tab/>
      </w:r>
      <w:hyperlink w:anchor="_Toc83625530" w:history="1">
        <w:r w:rsidRPr="00D90FEA">
          <w:t>154</w:t>
        </w:r>
        <w:r>
          <w:rPr>
            <w:rFonts w:asciiTheme="minorHAnsi" w:eastAsiaTheme="minorEastAsia" w:hAnsiTheme="minorHAnsi" w:cstheme="minorBidi"/>
            <w:sz w:val="22"/>
            <w:szCs w:val="22"/>
            <w:lang w:eastAsia="en-AU"/>
          </w:rPr>
          <w:tab/>
        </w:r>
        <w:r w:rsidRPr="00D90FEA">
          <w:t>Definitions for Pt 4.7</w:t>
        </w:r>
        <w:r>
          <w:tab/>
        </w:r>
        <w:r>
          <w:fldChar w:fldCharType="begin"/>
        </w:r>
        <w:r>
          <w:instrText xml:space="preserve"> PAGEREF _Toc83625530 \h </w:instrText>
        </w:r>
        <w:r>
          <w:fldChar w:fldCharType="separate"/>
        </w:r>
        <w:r w:rsidR="005C5D7F">
          <w:t>169</w:t>
        </w:r>
        <w:r>
          <w:fldChar w:fldCharType="end"/>
        </w:r>
      </w:hyperlink>
    </w:p>
    <w:p w14:paraId="72971910" w14:textId="6A250A1E" w:rsidR="005E03F7" w:rsidRDefault="00856BEE">
      <w:pPr>
        <w:pStyle w:val="TOC3"/>
        <w:rPr>
          <w:rFonts w:asciiTheme="minorHAnsi" w:eastAsiaTheme="minorEastAsia" w:hAnsiTheme="minorHAnsi" w:cstheme="minorBidi"/>
          <w:b w:val="0"/>
          <w:sz w:val="22"/>
          <w:szCs w:val="22"/>
          <w:lang w:eastAsia="en-AU"/>
        </w:rPr>
      </w:pPr>
      <w:hyperlink w:anchor="_Toc83625531" w:history="1">
        <w:r w:rsidR="005E03F7" w:rsidRPr="00D90FEA">
          <w:t>Division 2</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Obtaining consent of relevant road managers</w:t>
        </w:r>
        <w:r w:rsidR="005E03F7" w:rsidRPr="005E03F7">
          <w:rPr>
            <w:vanish/>
          </w:rPr>
          <w:tab/>
        </w:r>
        <w:r w:rsidR="005E03F7" w:rsidRPr="005E03F7">
          <w:rPr>
            <w:vanish/>
          </w:rPr>
          <w:fldChar w:fldCharType="begin"/>
        </w:r>
        <w:r w:rsidR="005E03F7" w:rsidRPr="005E03F7">
          <w:rPr>
            <w:vanish/>
          </w:rPr>
          <w:instrText xml:space="preserve"> PAGEREF _Toc83625531 \h </w:instrText>
        </w:r>
        <w:r w:rsidR="005E03F7" w:rsidRPr="005E03F7">
          <w:rPr>
            <w:vanish/>
          </w:rPr>
        </w:r>
        <w:r w:rsidR="005E03F7" w:rsidRPr="005E03F7">
          <w:rPr>
            <w:vanish/>
          </w:rPr>
          <w:fldChar w:fldCharType="separate"/>
        </w:r>
        <w:r w:rsidR="005C5D7F">
          <w:rPr>
            <w:vanish/>
          </w:rPr>
          <w:t>170</w:t>
        </w:r>
        <w:r w:rsidR="005E03F7" w:rsidRPr="005E03F7">
          <w:rPr>
            <w:vanish/>
          </w:rPr>
          <w:fldChar w:fldCharType="end"/>
        </w:r>
      </w:hyperlink>
    </w:p>
    <w:p w14:paraId="29A96EBA" w14:textId="181A8991" w:rsidR="005E03F7" w:rsidRDefault="005E03F7">
      <w:pPr>
        <w:pStyle w:val="TOC5"/>
        <w:rPr>
          <w:rFonts w:asciiTheme="minorHAnsi" w:eastAsiaTheme="minorEastAsia" w:hAnsiTheme="minorHAnsi" w:cstheme="minorBidi"/>
          <w:sz w:val="22"/>
          <w:szCs w:val="22"/>
          <w:lang w:eastAsia="en-AU"/>
        </w:rPr>
      </w:pPr>
      <w:r>
        <w:tab/>
      </w:r>
      <w:hyperlink w:anchor="_Toc83625532" w:history="1">
        <w:r w:rsidRPr="00D90FEA">
          <w:t>155</w:t>
        </w:r>
        <w:r>
          <w:rPr>
            <w:rFonts w:asciiTheme="minorHAnsi" w:eastAsiaTheme="minorEastAsia" w:hAnsiTheme="minorHAnsi" w:cstheme="minorBidi"/>
            <w:sz w:val="22"/>
            <w:szCs w:val="22"/>
            <w:lang w:eastAsia="en-AU"/>
          </w:rPr>
          <w:tab/>
        </w:r>
        <w:r w:rsidRPr="00D90FEA">
          <w:t>Application of Div 2</w:t>
        </w:r>
        <w:r>
          <w:tab/>
        </w:r>
        <w:r>
          <w:fldChar w:fldCharType="begin"/>
        </w:r>
        <w:r>
          <w:instrText xml:space="preserve"> PAGEREF _Toc83625532 \h </w:instrText>
        </w:r>
        <w:r>
          <w:fldChar w:fldCharType="separate"/>
        </w:r>
        <w:r w:rsidR="005C5D7F">
          <w:t>170</w:t>
        </w:r>
        <w:r>
          <w:fldChar w:fldCharType="end"/>
        </w:r>
      </w:hyperlink>
    </w:p>
    <w:p w14:paraId="6409AF68" w14:textId="1F782A2D" w:rsidR="005E03F7" w:rsidRDefault="005E03F7">
      <w:pPr>
        <w:pStyle w:val="TOC5"/>
        <w:rPr>
          <w:rFonts w:asciiTheme="minorHAnsi" w:eastAsiaTheme="minorEastAsia" w:hAnsiTheme="minorHAnsi" w:cstheme="minorBidi"/>
          <w:sz w:val="22"/>
          <w:szCs w:val="22"/>
          <w:lang w:eastAsia="en-AU"/>
        </w:rPr>
      </w:pPr>
      <w:r>
        <w:tab/>
      </w:r>
      <w:hyperlink w:anchor="_Toc83625533" w:history="1">
        <w:r w:rsidRPr="00D90FEA">
          <w:t>156</w:t>
        </w:r>
        <w:r>
          <w:rPr>
            <w:rFonts w:asciiTheme="minorHAnsi" w:eastAsiaTheme="minorEastAsia" w:hAnsiTheme="minorHAnsi" w:cstheme="minorBidi"/>
            <w:sz w:val="22"/>
            <w:szCs w:val="22"/>
            <w:lang w:eastAsia="en-AU"/>
          </w:rPr>
          <w:tab/>
        </w:r>
        <w:r w:rsidRPr="00D90FEA">
          <w:rPr>
            <w:lang w:val="en" w:eastAsia="en-AU"/>
          </w:rPr>
          <w:t>Period within which road manager must decide</w:t>
        </w:r>
        <w:r>
          <w:tab/>
        </w:r>
        <w:r>
          <w:fldChar w:fldCharType="begin"/>
        </w:r>
        <w:r>
          <w:instrText xml:space="preserve"> PAGEREF _Toc83625533 \h </w:instrText>
        </w:r>
        <w:r>
          <w:fldChar w:fldCharType="separate"/>
        </w:r>
        <w:r w:rsidR="005C5D7F">
          <w:t>170</w:t>
        </w:r>
        <w:r>
          <w:fldChar w:fldCharType="end"/>
        </w:r>
      </w:hyperlink>
    </w:p>
    <w:p w14:paraId="629B20D1" w14:textId="476EEADE" w:rsidR="005E03F7" w:rsidRDefault="005E03F7">
      <w:pPr>
        <w:pStyle w:val="TOC5"/>
        <w:rPr>
          <w:rFonts w:asciiTheme="minorHAnsi" w:eastAsiaTheme="minorEastAsia" w:hAnsiTheme="minorHAnsi" w:cstheme="minorBidi"/>
          <w:sz w:val="22"/>
          <w:szCs w:val="22"/>
          <w:lang w:eastAsia="en-AU"/>
        </w:rPr>
      </w:pPr>
      <w:r>
        <w:tab/>
      </w:r>
      <w:hyperlink w:anchor="_Toc83625534" w:history="1">
        <w:r w:rsidRPr="00D90FEA">
          <w:t>156A</w:t>
        </w:r>
        <w:r>
          <w:rPr>
            <w:rFonts w:asciiTheme="minorHAnsi" w:eastAsiaTheme="minorEastAsia" w:hAnsiTheme="minorHAnsi" w:cstheme="minorBidi"/>
            <w:sz w:val="22"/>
            <w:szCs w:val="22"/>
            <w:lang w:eastAsia="en-AU"/>
          </w:rPr>
          <w:tab/>
        </w:r>
        <w:r w:rsidRPr="00D90FEA">
          <w:rPr>
            <w:lang w:val="en" w:eastAsia="en-AU"/>
          </w:rPr>
          <w:t>Deciding request for consent generally</w:t>
        </w:r>
        <w:r>
          <w:tab/>
        </w:r>
        <w:r>
          <w:fldChar w:fldCharType="begin"/>
        </w:r>
        <w:r>
          <w:instrText xml:space="preserve"> PAGEREF _Toc83625534 \h </w:instrText>
        </w:r>
        <w:r>
          <w:fldChar w:fldCharType="separate"/>
        </w:r>
        <w:r w:rsidR="005C5D7F">
          <w:t>171</w:t>
        </w:r>
        <w:r>
          <w:fldChar w:fldCharType="end"/>
        </w:r>
      </w:hyperlink>
    </w:p>
    <w:p w14:paraId="7446CB50" w14:textId="4841E287" w:rsidR="005E03F7" w:rsidRDefault="005E03F7">
      <w:pPr>
        <w:pStyle w:val="TOC5"/>
        <w:rPr>
          <w:rFonts w:asciiTheme="minorHAnsi" w:eastAsiaTheme="minorEastAsia" w:hAnsiTheme="minorHAnsi" w:cstheme="minorBidi"/>
          <w:sz w:val="22"/>
          <w:szCs w:val="22"/>
          <w:lang w:eastAsia="en-AU"/>
        </w:rPr>
      </w:pPr>
      <w:r>
        <w:tab/>
      </w:r>
      <w:hyperlink w:anchor="_Toc83625535" w:history="1">
        <w:r w:rsidRPr="00D90FEA">
          <w:t>157</w:t>
        </w:r>
        <w:r>
          <w:rPr>
            <w:rFonts w:asciiTheme="minorHAnsi" w:eastAsiaTheme="minorEastAsia" w:hAnsiTheme="minorHAnsi" w:cstheme="minorBidi"/>
            <w:sz w:val="22"/>
            <w:szCs w:val="22"/>
            <w:lang w:eastAsia="en-AU"/>
          </w:rPr>
          <w:tab/>
        </w:r>
        <w:r w:rsidRPr="00D90FEA">
          <w:t>Obtaining third party’s approval for giving consent for permit</w:t>
        </w:r>
        <w:r>
          <w:tab/>
        </w:r>
        <w:r>
          <w:fldChar w:fldCharType="begin"/>
        </w:r>
        <w:r>
          <w:instrText xml:space="preserve"> PAGEREF _Toc83625535 \h </w:instrText>
        </w:r>
        <w:r>
          <w:fldChar w:fldCharType="separate"/>
        </w:r>
        <w:r w:rsidR="005C5D7F">
          <w:t>172</w:t>
        </w:r>
        <w:r>
          <w:fldChar w:fldCharType="end"/>
        </w:r>
      </w:hyperlink>
    </w:p>
    <w:p w14:paraId="5AF2B0A6" w14:textId="510B5DDB" w:rsidR="005E03F7" w:rsidRDefault="005E03F7">
      <w:pPr>
        <w:pStyle w:val="TOC5"/>
        <w:rPr>
          <w:rFonts w:asciiTheme="minorHAnsi" w:eastAsiaTheme="minorEastAsia" w:hAnsiTheme="minorHAnsi" w:cstheme="minorBidi"/>
          <w:sz w:val="22"/>
          <w:szCs w:val="22"/>
          <w:lang w:eastAsia="en-AU"/>
        </w:rPr>
      </w:pPr>
      <w:r>
        <w:tab/>
      </w:r>
      <w:hyperlink w:anchor="_Toc83625536" w:history="1">
        <w:r w:rsidRPr="00D90FEA">
          <w:t>158</w:t>
        </w:r>
        <w:r>
          <w:rPr>
            <w:rFonts w:asciiTheme="minorHAnsi" w:eastAsiaTheme="minorEastAsia" w:hAnsiTheme="minorHAnsi" w:cstheme="minorBidi"/>
            <w:sz w:val="22"/>
            <w:szCs w:val="22"/>
            <w:lang w:eastAsia="en-AU"/>
          </w:rPr>
          <w:tab/>
        </w:r>
        <w:r w:rsidRPr="00D90FEA">
          <w:t>Action pending consultation with third party</w:t>
        </w:r>
        <w:r>
          <w:tab/>
        </w:r>
        <w:r>
          <w:fldChar w:fldCharType="begin"/>
        </w:r>
        <w:r>
          <w:instrText xml:space="preserve"> PAGEREF _Toc83625536 \h </w:instrText>
        </w:r>
        <w:r>
          <w:fldChar w:fldCharType="separate"/>
        </w:r>
        <w:r w:rsidR="005C5D7F">
          <w:t>173</w:t>
        </w:r>
        <w:r>
          <w:fldChar w:fldCharType="end"/>
        </w:r>
      </w:hyperlink>
    </w:p>
    <w:p w14:paraId="2B6FC26C" w14:textId="17871F91" w:rsidR="005E03F7" w:rsidRDefault="005E03F7">
      <w:pPr>
        <w:pStyle w:val="TOC5"/>
        <w:rPr>
          <w:rFonts w:asciiTheme="minorHAnsi" w:eastAsiaTheme="minorEastAsia" w:hAnsiTheme="minorHAnsi" w:cstheme="minorBidi"/>
          <w:sz w:val="22"/>
          <w:szCs w:val="22"/>
          <w:lang w:eastAsia="en-AU"/>
        </w:rPr>
      </w:pPr>
      <w:r>
        <w:tab/>
      </w:r>
      <w:hyperlink w:anchor="_Toc83625537" w:history="1">
        <w:r w:rsidRPr="00D90FEA">
          <w:t>159</w:t>
        </w:r>
        <w:r>
          <w:rPr>
            <w:rFonts w:asciiTheme="minorHAnsi" w:eastAsiaTheme="minorEastAsia" w:hAnsiTheme="minorHAnsi" w:cstheme="minorBidi"/>
            <w:sz w:val="22"/>
            <w:szCs w:val="22"/>
            <w:lang w:eastAsia="en-AU"/>
          </w:rPr>
          <w:tab/>
        </w:r>
        <w:r w:rsidRPr="00D90FEA">
          <w:t>Deciding request for consent if route assessment required</w:t>
        </w:r>
        <w:r>
          <w:tab/>
        </w:r>
        <w:r>
          <w:fldChar w:fldCharType="begin"/>
        </w:r>
        <w:r>
          <w:instrText xml:space="preserve"> PAGEREF _Toc83625537 \h </w:instrText>
        </w:r>
        <w:r>
          <w:fldChar w:fldCharType="separate"/>
        </w:r>
        <w:r w:rsidR="005C5D7F">
          <w:t>174</w:t>
        </w:r>
        <w:r>
          <w:fldChar w:fldCharType="end"/>
        </w:r>
      </w:hyperlink>
    </w:p>
    <w:p w14:paraId="79827535" w14:textId="7DC34582" w:rsidR="005E03F7" w:rsidRDefault="005E03F7">
      <w:pPr>
        <w:pStyle w:val="TOC5"/>
        <w:rPr>
          <w:rFonts w:asciiTheme="minorHAnsi" w:eastAsiaTheme="minorEastAsia" w:hAnsiTheme="minorHAnsi" w:cstheme="minorBidi"/>
          <w:sz w:val="22"/>
          <w:szCs w:val="22"/>
          <w:lang w:eastAsia="en-AU"/>
        </w:rPr>
      </w:pPr>
      <w:r>
        <w:tab/>
      </w:r>
      <w:hyperlink w:anchor="_Toc83625538" w:history="1">
        <w:r w:rsidRPr="00D90FEA">
          <w:t>160</w:t>
        </w:r>
        <w:r>
          <w:rPr>
            <w:rFonts w:asciiTheme="minorHAnsi" w:eastAsiaTheme="minorEastAsia" w:hAnsiTheme="minorHAnsi" w:cstheme="minorBidi"/>
            <w:sz w:val="22"/>
            <w:szCs w:val="22"/>
            <w:lang w:eastAsia="en-AU"/>
          </w:rPr>
          <w:tab/>
        </w:r>
        <w:r w:rsidRPr="00D90FEA">
          <w:t>Imposition of road conditions</w:t>
        </w:r>
        <w:r>
          <w:tab/>
        </w:r>
        <w:r>
          <w:fldChar w:fldCharType="begin"/>
        </w:r>
        <w:r>
          <w:instrText xml:space="preserve"> PAGEREF _Toc83625538 \h </w:instrText>
        </w:r>
        <w:r>
          <w:fldChar w:fldCharType="separate"/>
        </w:r>
        <w:r w:rsidR="005C5D7F">
          <w:t>176</w:t>
        </w:r>
        <w:r>
          <w:fldChar w:fldCharType="end"/>
        </w:r>
      </w:hyperlink>
    </w:p>
    <w:p w14:paraId="1CD77980" w14:textId="42B23FF2" w:rsidR="005E03F7" w:rsidRDefault="005E03F7">
      <w:pPr>
        <w:pStyle w:val="TOC5"/>
        <w:rPr>
          <w:rFonts w:asciiTheme="minorHAnsi" w:eastAsiaTheme="minorEastAsia" w:hAnsiTheme="minorHAnsi" w:cstheme="minorBidi"/>
          <w:sz w:val="22"/>
          <w:szCs w:val="22"/>
          <w:lang w:eastAsia="en-AU"/>
        </w:rPr>
      </w:pPr>
      <w:r>
        <w:tab/>
      </w:r>
      <w:hyperlink w:anchor="_Toc83625539" w:history="1">
        <w:r w:rsidRPr="00D90FEA">
          <w:t>161</w:t>
        </w:r>
        <w:r>
          <w:rPr>
            <w:rFonts w:asciiTheme="minorHAnsi" w:eastAsiaTheme="minorEastAsia" w:hAnsiTheme="minorHAnsi" w:cstheme="minorBidi"/>
            <w:sz w:val="22"/>
            <w:szCs w:val="22"/>
            <w:lang w:eastAsia="en-AU"/>
          </w:rPr>
          <w:tab/>
        </w:r>
        <w:r w:rsidRPr="00D90FEA">
          <w:t>Imposition of travel conditions</w:t>
        </w:r>
        <w:r>
          <w:tab/>
        </w:r>
        <w:r>
          <w:fldChar w:fldCharType="begin"/>
        </w:r>
        <w:r>
          <w:instrText xml:space="preserve"> PAGEREF _Toc83625539 \h </w:instrText>
        </w:r>
        <w:r>
          <w:fldChar w:fldCharType="separate"/>
        </w:r>
        <w:r w:rsidR="005C5D7F">
          <w:t>177</w:t>
        </w:r>
        <w:r>
          <w:fldChar w:fldCharType="end"/>
        </w:r>
      </w:hyperlink>
    </w:p>
    <w:p w14:paraId="115CF819" w14:textId="36F3E298" w:rsidR="005E03F7" w:rsidRDefault="005E03F7">
      <w:pPr>
        <w:pStyle w:val="TOC5"/>
        <w:rPr>
          <w:rFonts w:asciiTheme="minorHAnsi" w:eastAsiaTheme="minorEastAsia" w:hAnsiTheme="minorHAnsi" w:cstheme="minorBidi"/>
          <w:sz w:val="22"/>
          <w:szCs w:val="22"/>
          <w:lang w:eastAsia="en-AU"/>
        </w:rPr>
      </w:pPr>
      <w:r>
        <w:tab/>
      </w:r>
      <w:hyperlink w:anchor="_Toc83625540" w:history="1">
        <w:r w:rsidRPr="00D90FEA">
          <w:t>162</w:t>
        </w:r>
        <w:r>
          <w:rPr>
            <w:rFonts w:asciiTheme="minorHAnsi" w:eastAsiaTheme="minorEastAsia" w:hAnsiTheme="minorHAnsi" w:cstheme="minorBidi"/>
            <w:sz w:val="22"/>
            <w:szCs w:val="22"/>
            <w:lang w:eastAsia="en-AU"/>
          </w:rPr>
          <w:tab/>
        </w:r>
        <w:r w:rsidRPr="00D90FEA">
          <w:t>Imposition of vehicle conditions</w:t>
        </w:r>
        <w:r>
          <w:tab/>
        </w:r>
        <w:r>
          <w:fldChar w:fldCharType="begin"/>
        </w:r>
        <w:r>
          <w:instrText xml:space="preserve"> PAGEREF _Toc83625540 \h </w:instrText>
        </w:r>
        <w:r>
          <w:fldChar w:fldCharType="separate"/>
        </w:r>
        <w:r w:rsidR="005C5D7F">
          <w:t>177</w:t>
        </w:r>
        <w:r>
          <w:fldChar w:fldCharType="end"/>
        </w:r>
      </w:hyperlink>
    </w:p>
    <w:p w14:paraId="36A68D55" w14:textId="25E66F8B" w:rsidR="005E03F7" w:rsidRDefault="005E03F7">
      <w:pPr>
        <w:pStyle w:val="TOC5"/>
        <w:rPr>
          <w:rFonts w:asciiTheme="minorHAnsi" w:eastAsiaTheme="minorEastAsia" w:hAnsiTheme="minorHAnsi" w:cstheme="minorBidi"/>
          <w:sz w:val="22"/>
          <w:szCs w:val="22"/>
          <w:lang w:eastAsia="en-AU"/>
        </w:rPr>
      </w:pPr>
      <w:r>
        <w:tab/>
      </w:r>
      <w:hyperlink w:anchor="_Toc83625541" w:history="1">
        <w:r w:rsidRPr="00D90FEA">
          <w:t>163</w:t>
        </w:r>
        <w:r>
          <w:rPr>
            <w:rFonts w:asciiTheme="minorHAnsi" w:eastAsiaTheme="minorEastAsia" w:hAnsiTheme="minorHAnsi" w:cstheme="minorBidi"/>
            <w:sz w:val="22"/>
            <w:szCs w:val="22"/>
            <w:lang w:eastAsia="en-AU"/>
          </w:rPr>
          <w:tab/>
        </w:r>
        <w:r w:rsidRPr="00D90FEA">
          <w:t>Obtaining consent of road authority if particular road manager refuses to give consent</w:t>
        </w:r>
        <w:r>
          <w:tab/>
        </w:r>
        <w:r>
          <w:fldChar w:fldCharType="begin"/>
        </w:r>
        <w:r>
          <w:instrText xml:space="preserve"> PAGEREF _Toc83625541 \h </w:instrText>
        </w:r>
        <w:r>
          <w:fldChar w:fldCharType="separate"/>
        </w:r>
        <w:r w:rsidR="005C5D7F">
          <w:t>178</w:t>
        </w:r>
        <w:r>
          <w:fldChar w:fldCharType="end"/>
        </w:r>
      </w:hyperlink>
    </w:p>
    <w:p w14:paraId="2E88BCD6" w14:textId="0D17AECA" w:rsidR="005E03F7" w:rsidRDefault="005E03F7">
      <w:pPr>
        <w:pStyle w:val="TOC5"/>
        <w:rPr>
          <w:rFonts w:asciiTheme="minorHAnsi" w:eastAsiaTheme="minorEastAsia" w:hAnsiTheme="minorHAnsi" w:cstheme="minorBidi"/>
          <w:sz w:val="22"/>
          <w:szCs w:val="22"/>
          <w:lang w:eastAsia="en-AU"/>
        </w:rPr>
      </w:pPr>
      <w:r>
        <w:tab/>
      </w:r>
      <w:hyperlink w:anchor="_Toc83625542" w:history="1">
        <w:r w:rsidRPr="00D90FEA">
          <w:t>166</w:t>
        </w:r>
        <w:r>
          <w:rPr>
            <w:rFonts w:asciiTheme="minorHAnsi" w:eastAsiaTheme="minorEastAsia" w:hAnsiTheme="minorHAnsi" w:cstheme="minorBidi"/>
            <w:sz w:val="22"/>
            <w:szCs w:val="22"/>
            <w:lang w:eastAsia="en-AU"/>
          </w:rPr>
          <w:tab/>
        </w:r>
        <w:r w:rsidRPr="00D90FEA">
          <w:t>Information notice for decision to refuse application because road manager did not give consent</w:t>
        </w:r>
        <w:r>
          <w:tab/>
        </w:r>
        <w:r>
          <w:fldChar w:fldCharType="begin"/>
        </w:r>
        <w:r>
          <w:instrText xml:space="preserve"> PAGEREF _Toc83625542 \h </w:instrText>
        </w:r>
        <w:r>
          <w:fldChar w:fldCharType="separate"/>
        </w:r>
        <w:r w:rsidR="005C5D7F">
          <w:t>179</w:t>
        </w:r>
        <w:r>
          <w:fldChar w:fldCharType="end"/>
        </w:r>
      </w:hyperlink>
    </w:p>
    <w:p w14:paraId="4EC1381B" w14:textId="38F78398" w:rsidR="005E03F7" w:rsidRDefault="005E03F7">
      <w:pPr>
        <w:pStyle w:val="TOC5"/>
        <w:rPr>
          <w:rFonts w:asciiTheme="minorHAnsi" w:eastAsiaTheme="minorEastAsia" w:hAnsiTheme="minorHAnsi" w:cstheme="minorBidi"/>
          <w:sz w:val="22"/>
          <w:szCs w:val="22"/>
          <w:lang w:eastAsia="en-AU"/>
        </w:rPr>
      </w:pPr>
      <w:r>
        <w:tab/>
      </w:r>
      <w:hyperlink w:anchor="_Toc83625543" w:history="1">
        <w:r w:rsidRPr="00D90FEA">
          <w:t>167</w:t>
        </w:r>
        <w:r>
          <w:rPr>
            <w:rFonts w:asciiTheme="minorHAnsi" w:eastAsiaTheme="minorEastAsia" w:hAnsiTheme="minorHAnsi" w:cstheme="minorBidi"/>
            <w:sz w:val="22"/>
            <w:szCs w:val="22"/>
            <w:lang w:eastAsia="en-AU"/>
          </w:rPr>
          <w:tab/>
        </w:r>
        <w:r w:rsidRPr="00D90FEA">
          <w:t>Expedited procedure for road manager’s consent for renewal of mass or dimension authority</w:t>
        </w:r>
        <w:r>
          <w:tab/>
        </w:r>
        <w:r>
          <w:fldChar w:fldCharType="begin"/>
        </w:r>
        <w:r>
          <w:instrText xml:space="preserve"> PAGEREF _Toc83625543 \h </w:instrText>
        </w:r>
        <w:r>
          <w:fldChar w:fldCharType="separate"/>
        </w:r>
        <w:r w:rsidR="005C5D7F">
          <w:t>180</w:t>
        </w:r>
        <w:r>
          <w:fldChar w:fldCharType="end"/>
        </w:r>
      </w:hyperlink>
    </w:p>
    <w:p w14:paraId="65923FE5" w14:textId="0D164689" w:rsidR="005E03F7" w:rsidRDefault="005E03F7">
      <w:pPr>
        <w:pStyle w:val="TOC5"/>
        <w:rPr>
          <w:rFonts w:asciiTheme="minorHAnsi" w:eastAsiaTheme="minorEastAsia" w:hAnsiTheme="minorHAnsi" w:cstheme="minorBidi"/>
          <w:sz w:val="22"/>
          <w:szCs w:val="22"/>
          <w:lang w:eastAsia="en-AU"/>
        </w:rPr>
      </w:pPr>
      <w:r>
        <w:tab/>
      </w:r>
      <w:hyperlink w:anchor="_Toc83625544" w:history="1">
        <w:r w:rsidRPr="00D90FEA">
          <w:t>168</w:t>
        </w:r>
        <w:r>
          <w:rPr>
            <w:rFonts w:asciiTheme="minorHAnsi" w:eastAsiaTheme="minorEastAsia" w:hAnsiTheme="minorHAnsi" w:cstheme="minorBidi"/>
            <w:sz w:val="22"/>
            <w:szCs w:val="22"/>
            <w:lang w:eastAsia="en-AU"/>
          </w:rPr>
          <w:tab/>
        </w:r>
        <w:r w:rsidRPr="00D90FEA">
          <w:t>Operation of section 167</w:t>
        </w:r>
        <w:r>
          <w:tab/>
        </w:r>
        <w:r>
          <w:fldChar w:fldCharType="begin"/>
        </w:r>
        <w:r>
          <w:instrText xml:space="preserve"> PAGEREF _Toc83625544 \h </w:instrText>
        </w:r>
        <w:r>
          <w:fldChar w:fldCharType="separate"/>
        </w:r>
        <w:r w:rsidR="005C5D7F">
          <w:t>181</w:t>
        </w:r>
        <w:r>
          <w:fldChar w:fldCharType="end"/>
        </w:r>
      </w:hyperlink>
    </w:p>
    <w:p w14:paraId="36AA1719" w14:textId="06A2A58F" w:rsidR="005E03F7" w:rsidRDefault="005E03F7">
      <w:pPr>
        <w:pStyle w:val="TOC5"/>
        <w:rPr>
          <w:rFonts w:asciiTheme="minorHAnsi" w:eastAsiaTheme="minorEastAsia" w:hAnsiTheme="minorHAnsi" w:cstheme="minorBidi"/>
          <w:sz w:val="22"/>
          <w:szCs w:val="22"/>
          <w:lang w:eastAsia="en-AU"/>
        </w:rPr>
      </w:pPr>
      <w:r>
        <w:tab/>
      </w:r>
      <w:hyperlink w:anchor="_Toc83625545" w:history="1">
        <w:r w:rsidRPr="00D90FEA">
          <w:t>169</w:t>
        </w:r>
        <w:r>
          <w:rPr>
            <w:rFonts w:asciiTheme="minorHAnsi" w:eastAsiaTheme="minorEastAsia" w:hAnsiTheme="minorHAnsi" w:cstheme="minorBidi"/>
            <w:sz w:val="22"/>
            <w:szCs w:val="22"/>
            <w:lang w:eastAsia="en-AU"/>
          </w:rPr>
          <w:tab/>
        </w:r>
        <w:r w:rsidRPr="00D90FEA">
          <w:t>Granting limited consent for trial purposes</w:t>
        </w:r>
        <w:r>
          <w:tab/>
        </w:r>
        <w:r>
          <w:fldChar w:fldCharType="begin"/>
        </w:r>
        <w:r>
          <w:instrText xml:space="preserve"> PAGEREF _Toc83625545 \h </w:instrText>
        </w:r>
        <w:r>
          <w:fldChar w:fldCharType="separate"/>
        </w:r>
        <w:r w:rsidR="005C5D7F">
          <w:t>181</w:t>
        </w:r>
        <w:r>
          <w:fldChar w:fldCharType="end"/>
        </w:r>
      </w:hyperlink>
    </w:p>
    <w:p w14:paraId="3644EAEE" w14:textId="3A23A881" w:rsidR="005E03F7" w:rsidRDefault="005E03F7">
      <w:pPr>
        <w:pStyle w:val="TOC5"/>
        <w:rPr>
          <w:rFonts w:asciiTheme="minorHAnsi" w:eastAsiaTheme="minorEastAsia" w:hAnsiTheme="minorHAnsi" w:cstheme="minorBidi"/>
          <w:sz w:val="22"/>
          <w:szCs w:val="22"/>
          <w:lang w:eastAsia="en-AU"/>
        </w:rPr>
      </w:pPr>
      <w:r>
        <w:tab/>
      </w:r>
      <w:hyperlink w:anchor="_Toc83625546" w:history="1">
        <w:r w:rsidRPr="00D90FEA">
          <w:t>170</w:t>
        </w:r>
        <w:r>
          <w:rPr>
            <w:rFonts w:asciiTheme="minorHAnsi" w:eastAsiaTheme="minorEastAsia" w:hAnsiTheme="minorHAnsi" w:cstheme="minorBidi"/>
            <w:sz w:val="22"/>
            <w:szCs w:val="22"/>
            <w:lang w:eastAsia="en-AU"/>
          </w:rPr>
          <w:tab/>
        </w:r>
        <w:r w:rsidRPr="00D90FEA">
          <w:t>Renewal of limited consent for trial purposes</w:t>
        </w:r>
        <w:r>
          <w:tab/>
        </w:r>
        <w:r>
          <w:fldChar w:fldCharType="begin"/>
        </w:r>
        <w:r>
          <w:instrText xml:space="preserve"> PAGEREF _Toc83625546 \h </w:instrText>
        </w:r>
        <w:r>
          <w:fldChar w:fldCharType="separate"/>
        </w:r>
        <w:r w:rsidR="005C5D7F">
          <w:t>182</w:t>
        </w:r>
        <w:r>
          <w:fldChar w:fldCharType="end"/>
        </w:r>
      </w:hyperlink>
    </w:p>
    <w:p w14:paraId="0CF585EE" w14:textId="19521E64" w:rsidR="005E03F7" w:rsidRDefault="005E03F7">
      <w:pPr>
        <w:pStyle w:val="TOC5"/>
        <w:rPr>
          <w:rFonts w:asciiTheme="minorHAnsi" w:eastAsiaTheme="minorEastAsia" w:hAnsiTheme="minorHAnsi" w:cstheme="minorBidi"/>
          <w:sz w:val="22"/>
          <w:szCs w:val="22"/>
          <w:lang w:eastAsia="en-AU"/>
        </w:rPr>
      </w:pPr>
      <w:r>
        <w:tab/>
      </w:r>
      <w:hyperlink w:anchor="_Toc83625547" w:history="1">
        <w:r w:rsidRPr="00D90FEA">
          <w:t>171</w:t>
        </w:r>
        <w:r>
          <w:rPr>
            <w:rFonts w:asciiTheme="minorHAnsi" w:eastAsiaTheme="minorEastAsia" w:hAnsiTheme="minorHAnsi" w:cstheme="minorBidi"/>
            <w:sz w:val="22"/>
            <w:szCs w:val="22"/>
            <w:lang w:eastAsia="en-AU"/>
          </w:rPr>
          <w:tab/>
        </w:r>
        <w:r w:rsidRPr="00D90FEA">
          <w:t>Period for which mass or dimension authority applies where limited consent</w:t>
        </w:r>
        <w:r>
          <w:tab/>
        </w:r>
        <w:r>
          <w:fldChar w:fldCharType="begin"/>
        </w:r>
        <w:r>
          <w:instrText xml:space="preserve"> PAGEREF _Toc83625547 \h </w:instrText>
        </w:r>
        <w:r>
          <w:fldChar w:fldCharType="separate"/>
        </w:r>
        <w:r w:rsidR="005C5D7F">
          <w:t>182</w:t>
        </w:r>
        <w:r>
          <w:fldChar w:fldCharType="end"/>
        </w:r>
      </w:hyperlink>
    </w:p>
    <w:p w14:paraId="421FAA4B" w14:textId="54C98F97" w:rsidR="005E03F7" w:rsidRDefault="005E03F7">
      <w:pPr>
        <w:pStyle w:val="TOC5"/>
        <w:rPr>
          <w:rFonts w:asciiTheme="minorHAnsi" w:eastAsiaTheme="minorEastAsia" w:hAnsiTheme="minorHAnsi" w:cstheme="minorBidi"/>
          <w:sz w:val="22"/>
          <w:szCs w:val="22"/>
          <w:lang w:eastAsia="en-AU"/>
        </w:rPr>
      </w:pPr>
      <w:r>
        <w:lastRenderedPageBreak/>
        <w:tab/>
      </w:r>
      <w:hyperlink w:anchor="_Toc83625548" w:history="1">
        <w:r w:rsidRPr="00D90FEA">
          <w:t>172</w:t>
        </w:r>
        <w:r>
          <w:rPr>
            <w:rFonts w:asciiTheme="minorHAnsi" w:eastAsiaTheme="minorEastAsia" w:hAnsiTheme="minorHAnsi" w:cstheme="minorBidi"/>
            <w:sz w:val="22"/>
            <w:szCs w:val="22"/>
            <w:lang w:eastAsia="en-AU"/>
          </w:rPr>
          <w:tab/>
        </w:r>
        <w:r w:rsidRPr="00D90FEA">
          <w:t>Requirements for statement explaining adverse decision of road manager</w:t>
        </w:r>
        <w:r>
          <w:tab/>
        </w:r>
        <w:r>
          <w:fldChar w:fldCharType="begin"/>
        </w:r>
        <w:r>
          <w:instrText xml:space="preserve"> PAGEREF _Toc83625548 \h </w:instrText>
        </w:r>
        <w:r>
          <w:fldChar w:fldCharType="separate"/>
        </w:r>
        <w:r w:rsidR="005C5D7F">
          <w:t>183</w:t>
        </w:r>
        <w:r>
          <w:fldChar w:fldCharType="end"/>
        </w:r>
      </w:hyperlink>
    </w:p>
    <w:p w14:paraId="53D4C6E0" w14:textId="7EBDD1C3" w:rsidR="005E03F7" w:rsidRDefault="00856BEE">
      <w:pPr>
        <w:pStyle w:val="TOC3"/>
        <w:rPr>
          <w:rFonts w:asciiTheme="minorHAnsi" w:eastAsiaTheme="minorEastAsia" w:hAnsiTheme="minorHAnsi" w:cstheme="minorBidi"/>
          <w:b w:val="0"/>
          <w:sz w:val="22"/>
          <w:szCs w:val="22"/>
          <w:lang w:eastAsia="en-AU"/>
        </w:rPr>
      </w:pPr>
      <w:hyperlink w:anchor="_Toc83625549" w:history="1">
        <w:r w:rsidR="005E03F7" w:rsidRPr="00D90FEA">
          <w:t>Division 3</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Amendment, cancellation or suspension of mass or dimension authority granted by Commonwealth Gazette notice</w:t>
        </w:r>
        <w:r w:rsidR="005E03F7" w:rsidRPr="005E03F7">
          <w:rPr>
            <w:vanish/>
          </w:rPr>
          <w:tab/>
        </w:r>
        <w:r w:rsidR="005E03F7" w:rsidRPr="005E03F7">
          <w:rPr>
            <w:vanish/>
          </w:rPr>
          <w:fldChar w:fldCharType="begin"/>
        </w:r>
        <w:r w:rsidR="005E03F7" w:rsidRPr="005E03F7">
          <w:rPr>
            <w:vanish/>
          </w:rPr>
          <w:instrText xml:space="preserve"> PAGEREF _Toc83625549 \h </w:instrText>
        </w:r>
        <w:r w:rsidR="005E03F7" w:rsidRPr="005E03F7">
          <w:rPr>
            <w:vanish/>
          </w:rPr>
        </w:r>
        <w:r w:rsidR="005E03F7" w:rsidRPr="005E03F7">
          <w:rPr>
            <w:vanish/>
          </w:rPr>
          <w:fldChar w:fldCharType="separate"/>
        </w:r>
        <w:r w:rsidR="005C5D7F">
          <w:rPr>
            <w:vanish/>
          </w:rPr>
          <w:t>184</w:t>
        </w:r>
        <w:r w:rsidR="005E03F7" w:rsidRPr="005E03F7">
          <w:rPr>
            <w:vanish/>
          </w:rPr>
          <w:fldChar w:fldCharType="end"/>
        </w:r>
      </w:hyperlink>
    </w:p>
    <w:p w14:paraId="24DE7218" w14:textId="090E8016" w:rsidR="005E03F7" w:rsidRDefault="005E03F7">
      <w:pPr>
        <w:pStyle w:val="TOC5"/>
        <w:rPr>
          <w:rFonts w:asciiTheme="minorHAnsi" w:eastAsiaTheme="minorEastAsia" w:hAnsiTheme="minorHAnsi" w:cstheme="minorBidi"/>
          <w:sz w:val="22"/>
          <w:szCs w:val="22"/>
          <w:lang w:eastAsia="en-AU"/>
        </w:rPr>
      </w:pPr>
      <w:r>
        <w:tab/>
      </w:r>
      <w:hyperlink w:anchor="_Toc83625550" w:history="1">
        <w:r w:rsidRPr="00D90FEA">
          <w:t>173</w:t>
        </w:r>
        <w:r>
          <w:rPr>
            <w:rFonts w:asciiTheme="minorHAnsi" w:eastAsiaTheme="minorEastAsia" w:hAnsiTheme="minorHAnsi" w:cstheme="minorBidi"/>
            <w:sz w:val="22"/>
            <w:szCs w:val="22"/>
            <w:lang w:eastAsia="en-AU"/>
          </w:rPr>
          <w:tab/>
        </w:r>
        <w:r w:rsidRPr="00D90FEA">
          <w:t>Amendment or cancellation on Regulator’s initiative</w:t>
        </w:r>
        <w:r>
          <w:tab/>
        </w:r>
        <w:r>
          <w:fldChar w:fldCharType="begin"/>
        </w:r>
        <w:r>
          <w:instrText xml:space="preserve"> PAGEREF _Toc83625550 \h </w:instrText>
        </w:r>
        <w:r>
          <w:fldChar w:fldCharType="separate"/>
        </w:r>
        <w:r w:rsidR="005C5D7F">
          <w:t>184</w:t>
        </w:r>
        <w:r>
          <w:fldChar w:fldCharType="end"/>
        </w:r>
      </w:hyperlink>
    </w:p>
    <w:p w14:paraId="04CBB9B8" w14:textId="25A978F0" w:rsidR="005E03F7" w:rsidRDefault="005E03F7">
      <w:pPr>
        <w:pStyle w:val="TOC5"/>
        <w:rPr>
          <w:rFonts w:asciiTheme="minorHAnsi" w:eastAsiaTheme="minorEastAsia" w:hAnsiTheme="minorHAnsi" w:cstheme="minorBidi"/>
          <w:sz w:val="22"/>
          <w:szCs w:val="22"/>
          <w:lang w:eastAsia="en-AU"/>
        </w:rPr>
      </w:pPr>
      <w:r>
        <w:tab/>
      </w:r>
      <w:hyperlink w:anchor="_Toc83625551" w:history="1">
        <w:r w:rsidRPr="00D90FEA">
          <w:t>174</w:t>
        </w:r>
        <w:r>
          <w:rPr>
            <w:rFonts w:asciiTheme="minorHAnsi" w:eastAsiaTheme="minorEastAsia" w:hAnsiTheme="minorHAnsi" w:cstheme="minorBidi"/>
            <w:sz w:val="22"/>
            <w:szCs w:val="22"/>
            <w:lang w:eastAsia="en-AU"/>
          </w:rPr>
          <w:tab/>
        </w:r>
        <w:r w:rsidRPr="00D90FEA">
          <w:t>Amendment or cancellation on request by relevant road manager</w:t>
        </w:r>
        <w:r>
          <w:tab/>
        </w:r>
        <w:r>
          <w:fldChar w:fldCharType="begin"/>
        </w:r>
        <w:r>
          <w:instrText xml:space="preserve"> PAGEREF _Toc83625551 \h </w:instrText>
        </w:r>
        <w:r>
          <w:fldChar w:fldCharType="separate"/>
        </w:r>
        <w:r w:rsidR="005C5D7F">
          <w:t>186</w:t>
        </w:r>
        <w:r>
          <w:fldChar w:fldCharType="end"/>
        </w:r>
      </w:hyperlink>
    </w:p>
    <w:p w14:paraId="16A087C3" w14:textId="165F4B9C" w:rsidR="005E03F7" w:rsidRDefault="005E03F7">
      <w:pPr>
        <w:pStyle w:val="TOC5"/>
        <w:rPr>
          <w:rFonts w:asciiTheme="minorHAnsi" w:eastAsiaTheme="minorEastAsia" w:hAnsiTheme="minorHAnsi" w:cstheme="minorBidi"/>
          <w:sz w:val="22"/>
          <w:szCs w:val="22"/>
          <w:lang w:eastAsia="en-AU"/>
        </w:rPr>
      </w:pPr>
      <w:r>
        <w:tab/>
      </w:r>
      <w:hyperlink w:anchor="_Toc83625552" w:history="1">
        <w:r w:rsidRPr="00D90FEA">
          <w:t>175</w:t>
        </w:r>
        <w:r>
          <w:rPr>
            <w:rFonts w:asciiTheme="minorHAnsi" w:eastAsiaTheme="minorEastAsia" w:hAnsiTheme="minorHAnsi" w:cstheme="minorBidi"/>
            <w:sz w:val="22"/>
            <w:szCs w:val="22"/>
            <w:lang w:eastAsia="en-AU"/>
          </w:rPr>
          <w:tab/>
        </w:r>
        <w:r w:rsidRPr="00D90FEA">
          <w:t>Immediate suspension</w:t>
        </w:r>
        <w:r>
          <w:tab/>
        </w:r>
        <w:r>
          <w:fldChar w:fldCharType="begin"/>
        </w:r>
        <w:r>
          <w:instrText xml:space="preserve"> PAGEREF _Toc83625552 \h </w:instrText>
        </w:r>
        <w:r>
          <w:fldChar w:fldCharType="separate"/>
        </w:r>
        <w:r w:rsidR="005C5D7F">
          <w:t>187</w:t>
        </w:r>
        <w:r>
          <w:fldChar w:fldCharType="end"/>
        </w:r>
      </w:hyperlink>
    </w:p>
    <w:p w14:paraId="2784F4FF" w14:textId="4B97923E" w:rsidR="005E03F7" w:rsidRDefault="005E03F7">
      <w:pPr>
        <w:pStyle w:val="TOC5"/>
        <w:rPr>
          <w:rFonts w:asciiTheme="minorHAnsi" w:eastAsiaTheme="minorEastAsia" w:hAnsiTheme="minorHAnsi" w:cstheme="minorBidi"/>
          <w:sz w:val="22"/>
          <w:szCs w:val="22"/>
          <w:lang w:eastAsia="en-AU"/>
        </w:rPr>
      </w:pPr>
      <w:r>
        <w:tab/>
      </w:r>
      <w:hyperlink w:anchor="_Toc83625553" w:history="1">
        <w:r w:rsidRPr="00D90FEA">
          <w:t>175A</w:t>
        </w:r>
        <w:r>
          <w:rPr>
            <w:rFonts w:asciiTheme="minorHAnsi" w:eastAsiaTheme="minorEastAsia" w:hAnsiTheme="minorHAnsi" w:cstheme="minorBidi"/>
            <w:sz w:val="22"/>
            <w:szCs w:val="22"/>
            <w:lang w:eastAsia="en-AU"/>
          </w:rPr>
          <w:tab/>
        </w:r>
        <w:r w:rsidRPr="00D90FEA">
          <w:t>Minor amendment</w:t>
        </w:r>
        <w:r>
          <w:tab/>
        </w:r>
        <w:r>
          <w:fldChar w:fldCharType="begin"/>
        </w:r>
        <w:r>
          <w:instrText xml:space="preserve"> PAGEREF _Toc83625553 \h </w:instrText>
        </w:r>
        <w:r>
          <w:fldChar w:fldCharType="separate"/>
        </w:r>
        <w:r w:rsidR="005C5D7F">
          <w:t>188</w:t>
        </w:r>
        <w:r>
          <w:fldChar w:fldCharType="end"/>
        </w:r>
      </w:hyperlink>
    </w:p>
    <w:p w14:paraId="32B7941C" w14:textId="0B99E883" w:rsidR="005E03F7" w:rsidRDefault="00856BEE">
      <w:pPr>
        <w:pStyle w:val="TOC3"/>
        <w:rPr>
          <w:rFonts w:asciiTheme="minorHAnsi" w:eastAsiaTheme="minorEastAsia" w:hAnsiTheme="minorHAnsi" w:cstheme="minorBidi"/>
          <w:b w:val="0"/>
          <w:sz w:val="22"/>
          <w:szCs w:val="22"/>
          <w:lang w:eastAsia="en-AU"/>
        </w:rPr>
      </w:pPr>
      <w:hyperlink w:anchor="_Toc83625554" w:history="1">
        <w:r w:rsidR="005E03F7" w:rsidRPr="00D90FEA">
          <w:t>Division 4</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Amendment, cancellation or suspension of mass or dimension authority granted by permit</w:t>
        </w:r>
        <w:r w:rsidR="005E03F7" w:rsidRPr="005E03F7">
          <w:rPr>
            <w:vanish/>
          </w:rPr>
          <w:tab/>
        </w:r>
        <w:r w:rsidR="005E03F7" w:rsidRPr="005E03F7">
          <w:rPr>
            <w:vanish/>
          </w:rPr>
          <w:fldChar w:fldCharType="begin"/>
        </w:r>
        <w:r w:rsidR="005E03F7" w:rsidRPr="005E03F7">
          <w:rPr>
            <w:vanish/>
          </w:rPr>
          <w:instrText xml:space="preserve"> PAGEREF _Toc83625554 \h </w:instrText>
        </w:r>
        <w:r w:rsidR="005E03F7" w:rsidRPr="005E03F7">
          <w:rPr>
            <w:vanish/>
          </w:rPr>
        </w:r>
        <w:r w:rsidR="005E03F7" w:rsidRPr="005E03F7">
          <w:rPr>
            <w:vanish/>
          </w:rPr>
          <w:fldChar w:fldCharType="separate"/>
        </w:r>
        <w:r w:rsidR="005C5D7F">
          <w:rPr>
            <w:vanish/>
          </w:rPr>
          <w:t>188</w:t>
        </w:r>
        <w:r w:rsidR="005E03F7" w:rsidRPr="005E03F7">
          <w:rPr>
            <w:vanish/>
          </w:rPr>
          <w:fldChar w:fldCharType="end"/>
        </w:r>
      </w:hyperlink>
    </w:p>
    <w:p w14:paraId="47B9B5DC" w14:textId="48260137" w:rsidR="005E03F7" w:rsidRDefault="005E03F7">
      <w:pPr>
        <w:pStyle w:val="TOC5"/>
        <w:rPr>
          <w:rFonts w:asciiTheme="minorHAnsi" w:eastAsiaTheme="minorEastAsia" w:hAnsiTheme="minorHAnsi" w:cstheme="minorBidi"/>
          <w:sz w:val="22"/>
          <w:szCs w:val="22"/>
          <w:lang w:eastAsia="en-AU"/>
        </w:rPr>
      </w:pPr>
      <w:r>
        <w:tab/>
      </w:r>
      <w:hyperlink w:anchor="_Toc83625555" w:history="1">
        <w:r w:rsidRPr="00D90FEA">
          <w:t>176</w:t>
        </w:r>
        <w:r>
          <w:rPr>
            <w:rFonts w:asciiTheme="minorHAnsi" w:eastAsiaTheme="minorEastAsia" w:hAnsiTheme="minorHAnsi" w:cstheme="minorBidi"/>
            <w:sz w:val="22"/>
            <w:szCs w:val="22"/>
            <w:lang w:eastAsia="en-AU"/>
          </w:rPr>
          <w:tab/>
        </w:r>
        <w:r w:rsidRPr="00D90FEA">
          <w:t>Amendment or cancellation on application by permit holder</w:t>
        </w:r>
        <w:r>
          <w:tab/>
        </w:r>
        <w:r>
          <w:fldChar w:fldCharType="begin"/>
        </w:r>
        <w:r>
          <w:instrText xml:space="preserve"> PAGEREF _Toc83625555 \h </w:instrText>
        </w:r>
        <w:r>
          <w:fldChar w:fldCharType="separate"/>
        </w:r>
        <w:r w:rsidR="005C5D7F">
          <w:t>188</w:t>
        </w:r>
        <w:r>
          <w:fldChar w:fldCharType="end"/>
        </w:r>
      </w:hyperlink>
    </w:p>
    <w:p w14:paraId="3A82A1E6" w14:textId="4526ABC8" w:rsidR="005E03F7" w:rsidRDefault="005E03F7">
      <w:pPr>
        <w:pStyle w:val="TOC5"/>
        <w:rPr>
          <w:rFonts w:asciiTheme="minorHAnsi" w:eastAsiaTheme="minorEastAsia" w:hAnsiTheme="minorHAnsi" w:cstheme="minorBidi"/>
          <w:sz w:val="22"/>
          <w:szCs w:val="22"/>
          <w:lang w:eastAsia="en-AU"/>
        </w:rPr>
      </w:pPr>
      <w:r>
        <w:tab/>
      </w:r>
      <w:hyperlink w:anchor="_Toc83625556" w:history="1">
        <w:r w:rsidRPr="00D90FEA">
          <w:t>177</w:t>
        </w:r>
        <w:r>
          <w:rPr>
            <w:rFonts w:asciiTheme="minorHAnsi" w:eastAsiaTheme="minorEastAsia" w:hAnsiTheme="minorHAnsi" w:cstheme="minorBidi"/>
            <w:sz w:val="22"/>
            <w:szCs w:val="22"/>
            <w:lang w:eastAsia="en-AU"/>
          </w:rPr>
          <w:tab/>
        </w:r>
        <w:r w:rsidRPr="00D90FEA">
          <w:t>Amendment or cancellation on Regulator’s initiative</w:t>
        </w:r>
        <w:r>
          <w:tab/>
        </w:r>
        <w:r>
          <w:fldChar w:fldCharType="begin"/>
        </w:r>
        <w:r>
          <w:instrText xml:space="preserve"> PAGEREF _Toc83625556 \h </w:instrText>
        </w:r>
        <w:r>
          <w:fldChar w:fldCharType="separate"/>
        </w:r>
        <w:r w:rsidR="005C5D7F">
          <w:t>190</w:t>
        </w:r>
        <w:r>
          <w:fldChar w:fldCharType="end"/>
        </w:r>
      </w:hyperlink>
    </w:p>
    <w:p w14:paraId="4089BA63" w14:textId="2895DB36" w:rsidR="005E03F7" w:rsidRDefault="005E03F7">
      <w:pPr>
        <w:pStyle w:val="TOC5"/>
        <w:rPr>
          <w:rFonts w:asciiTheme="minorHAnsi" w:eastAsiaTheme="minorEastAsia" w:hAnsiTheme="minorHAnsi" w:cstheme="minorBidi"/>
          <w:sz w:val="22"/>
          <w:szCs w:val="22"/>
          <w:lang w:eastAsia="en-AU"/>
        </w:rPr>
      </w:pPr>
      <w:r>
        <w:tab/>
      </w:r>
      <w:hyperlink w:anchor="_Toc83625557" w:history="1">
        <w:r w:rsidRPr="00D90FEA">
          <w:t>178</w:t>
        </w:r>
        <w:r>
          <w:rPr>
            <w:rFonts w:asciiTheme="minorHAnsi" w:eastAsiaTheme="minorEastAsia" w:hAnsiTheme="minorHAnsi" w:cstheme="minorBidi"/>
            <w:sz w:val="22"/>
            <w:szCs w:val="22"/>
            <w:lang w:eastAsia="en-AU"/>
          </w:rPr>
          <w:tab/>
        </w:r>
        <w:r w:rsidRPr="00D90FEA">
          <w:t>Amendment or cancellation on request by relevant road manager</w:t>
        </w:r>
        <w:r>
          <w:tab/>
        </w:r>
        <w:r>
          <w:fldChar w:fldCharType="begin"/>
        </w:r>
        <w:r>
          <w:instrText xml:space="preserve"> PAGEREF _Toc83625557 \h </w:instrText>
        </w:r>
        <w:r>
          <w:fldChar w:fldCharType="separate"/>
        </w:r>
        <w:r w:rsidR="005C5D7F">
          <w:t>192</w:t>
        </w:r>
        <w:r>
          <w:fldChar w:fldCharType="end"/>
        </w:r>
      </w:hyperlink>
    </w:p>
    <w:p w14:paraId="7EC04CE4" w14:textId="63EBCD3F" w:rsidR="005E03F7" w:rsidRDefault="005E03F7">
      <w:pPr>
        <w:pStyle w:val="TOC5"/>
        <w:rPr>
          <w:rFonts w:asciiTheme="minorHAnsi" w:eastAsiaTheme="minorEastAsia" w:hAnsiTheme="minorHAnsi" w:cstheme="minorBidi"/>
          <w:sz w:val="22"/>
          <w:szCs w:val="22"/>
          <w:lang w:eastAsia="en-AU"/>
        </w:rPr>
      </w:pPr>
      <w:r>
        <w:tab/>
      </w:r>
      <w:hyperlink w:anchor="_Toc83625558" w:history="1">
        <w:r w:rsidRPr="00D90FEA">
          <w:t>179</w:t>
        </w:r>
        <w:r>
          <w:rPr>
            <w:rFonts w:asciiTheme="minorHAnsi" w:eastAsiaTheme="minorEastAsia" w:hAnsiTheme="minorHAnsi" w:cstheme="minorBidi"/>
            <w:sz w:val="22"/>
            <w:szCs w:val="22"/>
            <w:lang w:eastAsia="en-AU"/>
          </w:rPr>
          <w:tab/>
        </w:r>
        <w:r w:rsidRPr="00D90FEA">
          <w:t>Immediate suspension</w:t>
        </w:r>
        <w:r>
          <w:tab/>
        </w:r>
        <w:r>
          <w:fldChar w:fldCharType="begin"/>
        </w:r>
        <w:r>
          <w:instrText xml:space="preserve"> PAGEREF _Toc83625558 \h </w:instrText>
        </w:r>
        <w:r>
          <w:fldChar w:fldCharType="separate"/>
        </w:r>
        <w:r w:rsidR="005C5D7F">
          <w:t>194</w:t>
        </w:r>
        <w:r>
          <w:fldChar w:fldCharType="end"/>
        </w:r>
      </w:hyperlink>
    </w:p>
    <w:p w14:paraId="3252BA5E" w14:textId="64F5E43D" w:rsidR="005E03F7" w:rsidRDefault="005E03F7">
      <w:pPr>
        <w:pStyle w:val="TOC5"/>
        <w:rPr>
          <w:rFonts w:asciiTheme="minorHAnsi" w:eastAsiaTheme="minorEastAsia" w:hAnsiTheme="minorHAnsi" w:cstheme="minorBidi"/>
          <w:sz w:val="22"/>
          <w:szCs w:val="22"/>
          <w:lang w:eastAsia="en-AU"/>
        </w:rPr>
      </w:pPr>
      <w:r>
        <w:tab/>
      </w:r>
      <w:hyperlink w:anchor="_Toc83625559" w:history="1">
        <w:r w:rsidRPr="00D90FEA">
          <w:t>180</w:t>
        </w:r>
        <w:r>
          <w:rPr>
            <w:rFonts w:asciiTheme="minorHAnsi" w:eastAsiaTheme="minorEastAsia" w:hAnsiTheme="minorHAnsi" w:cstheme="minorBidi"/>
            <w:sz w:val="22"/>
            <w:szCs w:val="22"/>
            <w:lang w:eastAsia="en-AU"/>
          </w:rPr>
          <w:tab/>
        </w:r>
        <w:r w:rsidRPr="00D90FEA">
          <w:t>Minor amendment of permit for a mass or dimension authority</w:t>
        </w:r>
        <w:r>
          <w:tab/>
        </w:r>
        <w:r>
          <w:fldChar w:fldCharType="begin"/>
        </w:r>
        <w:r>
          <w:instrText xml:space="preserve"> PAGEREF _Toc83625559 \h </w:instrText>
        </w:r>
        <w:r>
          <w:fldChar w:fldCharType="separate"/>
        </w:r>
        <w:r w:rsidR="005C5D7F">
          <w:t>194</w:t>
        </w:r>
        <w:r>
          <w:fldChar w:fldCharType="end"/>
        </w:r>
      </w:hyperlink>
    </w:p>
    <w:p w14:paraId="2AC48596" w14:textId="7C0CB368" w:rsidR="005E03F7" w:rsidRDefault="00856BEE">
      <w:pPr>
        <w:pStyle w:val="TOC3"/>
        <w:rPr>
          <w:rFonts w:asciiTheme="minorHAnsi" w:eastAsiaTheme="minorEastAsia" w:hAnsiTheme="minorHAnsi" w:cstheme="minorBidi"/>
          <w:b w:val="0"/>
          <w:sz w:val="22"/>
          <w:szCs w:val="22"/>
          <w:lang w:eastAsia="en-AU"/>
        </w:rPr>
      </w:pPr>
      <w:hyperlink w:anchor="_Toc83625560" w:history="1">
        <w:r w:rsidR="005E03F7" w:rsidRPr="00D90FEA">
          <w:t>Division 5</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Provisions about permits for mass or dimension authorities</w:t>
        </w:r>
        <w:r w:rsidR="005E03F7" w:rsidRPr="005E03F7">
          <w:rPr>
            <w:vanish/>
          </w:rPr>
          <w:tab/>
        </w:r>
        <w:r w:rsidR="005E03F7" w:rsidRPr="005E03F7">
          <w:rPr>
            <w:vanish/>
          </w:rPr>
          <w:fldChar w:fldCharType="begin"/>
        </w:r>
        <w:r w:rsidR="005E03F7" w:rsidRPr="005E03F7">
          <w:rPr>
            <w:vanish/>
          </w:rPr>
          <w:instrText xml:space="preserve"> PAGEREF _Toc83625560 \h </w:instrText>
        </w:r>
        <w:r w:rsidR="005E03F7" w:rsidRPr="005E03F7">
          <w:rPr>
            <w:vanish/>
          </w:rPr>
        </w:r>
        <w:r w:rsidR="005E03F7" w:rsidRPr="005E03F7">
          <w:rPr>
            <w:vanish/>
          </w:rPr>
          <w:fldChar w:fldCharType="separate"/>
        </w:r>
        <w:r w:rsidR="005C5D7F">
          <w:rPr>
            <w:vanish/>
          </w:rPr>
          <w:t>196</w:t>
        </w:r>
        <w:r w:rsidR="005E03F7" w:rsidRPr="005E03F7">
          <w:rPr>
            <w:vanish/>
          </w:rPr>
          <w:fldChar w:fldCharType="end"/>
        </w:r>
      </w:hyperlink>
    </w:p>
    <w:p w14:paraId="50459260" w14:textId="1FDC0C21" w:rsidR="005E03F7" w:rsidRDefault="005E03F7">
      <w:pPr>
        <w:pStyle w:val="TOC5"/>
        <w:rPr>
          <w:rFonts w:asciiTheme="minorHAnsi" w:eastAsiaTheme="minorEastAsia" w:hAnsiTheme="minorHAnsi" w:cstheme="minorBidi"/>
          <w:sz w:val="22"/>
          <w:szCs w:val="22"/>
          <w:lang w:eastAsia="en-AU"/>
        </w:rPr>
      </w:pPr>
      <w:r>
        <w:tab/>
      </w:r>
      <w:hyperlink w:anchor="_Toc83625561" w:history="1">
        <w:r w:rsidRPr="00D90FEA">
          <w:t>181</w:t>
        </w:r>
        <w:r>
          <w:rPr>
            <w:rFonts w:asciiTheme="minorHAnsi" w:eastAsiaTheme="minorEastAsia" w:hAnsiTheme="minorHAnsi" w:cstheme="minorBidi"/>
            <w:sz w:val="22"/>
            <w:szCs w:val="22"/>
            <w:lang w:eastAsia="en-AU"/>
          </w:rPr>
          <w:tab/>
        </w:r>
        <w:r w:rsidRPr="00D90FEA">
          <w:t>Return of permit</w:t>
        </w:r>
        <w:r>
          <w:tab/>
        </w:r>
        <w:r>
          <w:fldChar w:fldCharType="begin"/>
        </w:r>
        <w:r>
          <w:instrText xml:space="preserve"> PAGEREF _Toc83625561 \h </w:instrText>
        </w:r>
        <w:r>
          <w:fldChar w:fldCharType="separate"/>
        </w:r>
        <w:r w:rsidR="005C5D7F">
          <w:t>196</w:t>
        </w:r>
        <w:r>
          <w:fldChar w:fldCharType="end"/>
        </w:r>
      </w:hyperlink>
    </w:p>
    <w:p w14:paraId="180D4046" w14:textId="7E26193A" w:rsidR="005E03F7" w:rsidRDefault="005E03F7">
      <w:pPr>
        <w:pStyle w:val="TOC5"/>
        <w:rPr>
          <w:rFonts w:asciiTheme="minorHAnsi" w:eastAsiaTheme="minorEastAsia" w:hAnsiTheme="minorHAnsi" w:cstheme="minorBidi"/>
          <w:sz w:val="22"/>
          <w:szCs w:val="22"/>
          <w:lang w:eastAsia="en-AU"/>
        </w:rPr>
      </w:pPr>
      <w:r>
        <w:tab/>
      </w:r>
      <w:hyperlink w:anchor="_Toc83625562" w:history="1">
        <w:r w:rsidRPr="00D90FEA">
          <w:t>182</w:t>
        </w:r>
        <w:r>
          <w:rPr>
            <w:rFonts w:asciiTheme="minorHAnsi" w:eastAsiaTheme="minorEastAsia" w:hAnsiTheme="minorHAnsi" w:cstheme="minorBidi"/>
            <w:sz w:val="22"/>
            <w:szCs w:val="22"/>
            <w:lang w:eastAsia="en-AU"/>
          </w:rPr>
          <w:tab/>
        </w:r>
        <w:r w:rsidRPr="00D90FEA">
          <w:t>Replacement of defaced etc. permit</w:t>
        </w:r>
        <w:r>
          <w:tab/>
        </w:r>
        <w:r>
          <w:fldChar w:fldCharType="begin"/>
        </w:r>
        <w:r>
          <w:instrText xml:space="preserve"> PAGEREF _Toc83625562 \h </w:instrText>
        </w:r>
        <w:r>
          <w:fldChar w:fldCharType="separate"/>
        </w:r>
        <w:r w:rsidR="005C5D7F">
          <w:t>196</w:t>
        </w:r>
        <w:r>
          <w:fldChar w:fldCharType="end"/>
        </w:r>
      </w:hyperlink>
    </w:p>
    <w:p w14:paraId="4F677746" w14:textId="5BA39492" w:rsidR="005E03F7" w:rsidRDefault="00856BEE">
      <w:pPr>
        <w:pStyle w:val="TOC2"/>
        <w:rPr>
          <w:rFonts w:asciiTheme="minorHAnsi" w:eastAsiaTheme="minorEastAsia" w:hAnsiTheme="minorHAnsi" w:cstheme="minorBidi"/>
          <w:b w:val="0"/>
          <w:sz w:val="22"/>
          <w:szCs w:val="22"/>
          <w:lang w:eastAsia="en-AU"/>
        </w:rPr>
      </w:pPr>
      <w:hyperlink w:anchor="_Toc83625563" w:history="1">
        <w:r w:rsidR="005E03F7" w:rsidRPr="00D90FEA">
          <w:t>Part 4.9</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Other offences</w:t>
        </w:r>
        <w:r w:rsidR="005E03F7" w:rsidRPr="005E03F7">
          <w:rPr>
            <w:vanish/>
          </w:rPr>
          <w:tab/>
        </w:r>
        <w:r w:rsidR="005E03F7" w:rsidRPr="005E03F7">
          <w:rPr>
            <w:vanish/>
          </w:rPr>
          <w:fldChar w:fldCharType="begin"/>
        </w:r>
        <w:r w:rsidR="005E03F7" w:rsidRPr="005E03F7">
          <w:rPr>
            <w:vanish/>
          </w:rPr>
          <w:instrText xml:space="preserve"> PAGEREF _Toc83625563 \h </w:instrText>
        </w:r>
        <w:r w:rsidR="005E03F7" w:rsidRPr="005E03F7">
          <w:rPr>
            <w:vanish/>
          </w:rPr>
        </w:r>
        <w:r w:rsidR="005E03F7" w:rsidRPr="005E03F7">
          <w:rPr>
            <w:vanish/>
          </w:rPr>
          <w:fldChar w:fldCharType="separate"/>
        </w:r>
        <w:r w:rsidR="005C5D7F">
          <w:rPr>
            <w:vanish/>
          </w:rPr>
          <w:t>197</w:t>
        </w:r>
        <w:r w:rsidR="005E03F7" w:rsidRPr="005E03F7">
          <w:rPr>
            <w:vanish/>
          </w:rPr>
          <w:fldChar w:fldCharType="end"/>
        </w:r>
      </w:hyperlink>
    </w:p>
    <w:p w14:paraId="4F579AF6" w14:textId="1EF597A9" w:rsidR="005E03F7" w:rsidRDefault="00856BEE">
      <w:pPr>
        <w:pStyle w:val="TOC3"/>
        <w:rPr>
          <w:rFonts w:asciiTheme="minorHAnsi" w:eastAsiaTheme="minorEastAsia" w:hAnsiTheme="minorHAnsi" w:cstheme="minorBidi"/>
          <w:b w:val="0"/>
          <w:sz w:val="22"/>
          <w:szCs w:val="22"/>
          <w:lang w:eastAsia="en-AU"/>
        </w:rPr>
      </w:pPr>
      <w:hyperlink w:anchor="_Toc83625564" w:history="1">
        <w:r w:rsidR="005E03F7" w:rsidRPr="00D90FEA">
          <w:t>Division 1</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Towing restriction</w:t>
        </w:r>
        <w:r w:rsidR="005E03F7" w:rsidRPr="005E03F7">
          <w:rPr>
            <w:vanish/>
          </w:rPr>
          <w:tab/>
        </w:r>
        <w:r w:rsidR="005E03F7" w:rsidRPr="005E03F7">
          <w:rPr>
            <w:vanish/>
          </w:rPr>
          <w:fldChar w:fldCharType="begin"/>
        </w:r>
        <w:r w:rsidR="005E03F7" w:rsidRPr="005E03F7">
          <w:rPr>
            <w:vanish/>
          </w:rPr>
          <w:instrText xml:space="preserve"> PAGEREF _Toc83625564 \h </w:instrText>
        </w:r>
        <w:r w:rsidR="005E03F7" w:rsidRPr="005E03F7">
          <w:rPr>
            <w:vanish/>
          </w:rPr>
        </w:r>
        <w:r w:rsidR="005E03F7" w:rsidRPr="005E03F7">
          <w:rPr>
            <w:vanish/>
          </w:rPr>
          <w:fldChar w:fldCharType="separate"/>
        </w:r>
        <w:r w:rsidR="005C5D7F">
          <w:rPr>
            <w:vanish/>
          </w:rPr>
          <w:t>197</w:t>
        </w:r>
        <w:r w:rsidR="005E03F7" w:rsidRPr="005E03F7">
          <w:rPr>
            <w:vanish/>
          </w:rPr>
          <w:fldChar w:fldCharType="end"/>
        </w:r>
      </w:hyperlink>
    </w:p>
    <w:p w14:paraId="6EE0A3BC" w14:textId="2619BE8F" w:rsidR="005E03F7" w:rsidRDefault="005E03F7">
      <w:pPr>
        <w:pStyle w:val="TOC5"/>
        <w:rPr>
          <w:rFonts w:asciiTheme="minorHAnsi" w:eastAsiaTheme="minorEastAsia" w:hAnsiTheme="minorHAnsi" w:cstheme="minorBidi"/>
          <w:sz w:val="22"/>
          <w:szCs w:val="22"/>
          <w:lang w:eastAsia="en-AU"/>
        </w:rPr>
      </w:pPr>
      <w:r>
        <w:tab/>
      </w:r>
      <w:hyperlink w:anchor="_Toc83625565" w:history="1">
        <w:r w:rsidRPr="00D90FEA">
          <w:t>184</w:t>
        </w:r>
        <w:r>
          <w:rPr>
            <w:rFonts w:asciiTheme="minorHAnsi" w:eastAsiaTheme="minorEastAsia" w:hAnsiTheme="minorHAnsi" w:cstheme="minorBidi"/>
            <w:sz w:val="22"/>
            <w:szCs w:val="22"/>
            <w:lang w:eastAsia="en-AU"/>
          </w:rPr>
          <w:tab/>
        </w:r>
        <w:r w:rsidRPr="00D90FEA">
          <w:t>Towing restriction</w:t>
        </w:r>
        <w:r>
          <w:tab/>
        </w:r>
        <w:r>
          <w:fldChar w:fldCharType="begin"/>
        </w:r>
        <w:r>
          <w:instrText xml:space="preserve"> PAGEREF _Toc83625565 \h </w:instrText>
        </w:r>
        <w:r>
          <w:fldChar w:fldCharType="separate"/>
        </w:r>
        <w:r w:rsidR="005C5D7F">
          <w:t>197</w:t>
        </w:r>
        <w:r>
          <w:fldChar w:fldCharType="end"/>
        </w:r>
      </w:hyperlink>
    </w:p>
    <w:p w14:paraId="3AF6515E" w14:textId="016F9651" w:rsidR="005E03F7" w:rsidRDefault="00856BEE">
      <w:pPr>
        <w:pStyle w:val="TOC3"/>
        <w:rPr>
          <w:rFonts w:asciiTheme="minorHAnsi" w:eastAsiaTheme="minorEastAsia" w:hAnsiTheme="minorHAnsi" w:cstheme="minorBidi"/>
          <w:b w:val="0"/>
          <w:sz w:val="22"/>
          <w:szCs w:val="22"/>
          <w:lang w:eastAsia="en-AU"/>
        </w:rPr>
      </w:pPr>
      <w:hyperlink w:anchor="_Toc83625566" w:history="1">
        <w:r w:rsidR="005E03F7" w:rsidRPr="00D90FEA">
          <w:t xml:space="preserve">Division 2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Coupling requirements</w:t>
        </w:r>
        <w:r w:rsidR="005E03F7" w:rsidRPr="005E03F7">
          <w:rPr>
            <w:vanish/>
          </w:rPr>
          <w:tab/>
        </w:r>
        <w:r w:rsidR="005E03F7" w:rsidRPr="005E03F7">
          <w:rPr>
            <w:vanish/>
          </w:rPr>
          <w:fldChar w:fldCharType="begin"/>
        </w:r>
        <w:r w:rsidR="005E03F7" w:rsidRPr="005E03F7">
          <w:rPr>
            <w:vanish/>
          </w:rPr>
          <w:instrText xml:space="preserve"> PAGEREF _Toc83625566 \h </w:instrText>
        </w:r>
        <w:r w:rsidR="005E03F7" w:rsidRPr="005E03F7">
          <w:rPr>
            <w:vanish/>
          </w:rPr>
        </w:r>
        <w:r w:rsidR="005E03F7" w:rsidRPr="005E03F7">
          <w:rPr>
            <w:vanish/>
          </w:rPr>
          <w:fldChar w:fldCharType="separate"/>
        </w:r>
        <w:r w:rsidR="005C5D7F">
          <w:rPr>
            <w:vanish/>
          </w:rPr>
          <w:t>197</w:t>
        </w:r>
        <w:r w:rsidR="005E03F7" w:rsidRPr="005E03F7">
          <w:rPr>
            <w:vanish/>
          </w:rPr>
          <w:fldChar w:fldCharType="end"/>
        </w:r>
      </w:hyperlink>
    </w:p>
    <w:p w14:paraId="169C568C" w14:textId="6FEB62E8" w:rsidR="005E03F7" w:rsidRDefault="005E03F7">
      <w:pPr>
        <w:pStyle w:val="TOC5"/>
        <w:rPr>
          <w:rFonts w:asciiTheme="minorHAnsi" w:eastAsiaTheme="minorEastAsia" w:hAnsiTheme="minorHAnsi" w:cstheme="minorBidi"/>
          <w:sz w:val="22"/>
          <w:szCs w:val="22"/>
          <w:lang w:eastAsia="en-AU"/>
        </w:rPr>
      </w:pPr>
      <w:r>
        <w:tab/>
      </w:r>
      <w:hyperlink w:anchor="_Toc83625567" w:history="1">
        <w:r w:rsidRPr="00D90FEA">
          <w:t>185</w:t>
        </w:r>
        <w:r>
          <w:rPr>
            <w:rFonts w:asciiTheme="minorHAnsi" w:eastAsiaTheme="minorEastAsia" w:hAnsiTheme="minorHAnsi" w:cstheme="minorBidi"/>
            <w:sz w:val="22"/>
            <w:szCs w:val="22"/>
            <w:lang w:eastAsia="en-AU"/>
          </w:rPr>
          <w:tab/>
        </w:r>
        <w:r w:rsidRPr="00D90FEA">
          <w:t>Requirements about coupling trailers</w:t>
        </w:r>
        <w:r>
          <w:tab/>
        </w:r>
        <w:r>
          <w:fldChar w:fldCharType="begin"/>
        </w:r>
        <w:r>
          <w:instrText xml:space="preserve"> PAGEREF _Toc83625567 \h </w:instrText>
        </w:r>
        <w:r>
          <w:fldChar w:fldCharType="separate"/>
        </w:r>
        <w:r w:rsidR="005C5D7F">
          <w:t>197</w:t>
        </w:r>
        <w:r>
          <w:fldChar w:fldCharType="end"/>
        </w:r>
      </w:hyperlink>
    </w:p>
    <w:p w14:paraId="06B0F2B5" w14:textId="5EF2D777" w:rsidR="005E03F7" w:rsidRDefault="00856BEE">
      <w:pPr>
        <w:pStyle w:val="TOC3"/>
        <w:rPr>
          <w:rFonts w:asciiTheme="minorHAnsi" w:eastAsiaTheme="minorEastAsia" w:hAnsiTheme="minorHAnsi" w:cstheme="minorBidi"/>
          <w:b w:val="0"/>
          <w:sz w:val="22"/>
          <w:szCs w:val="22"/>
          <w:lang w:eastAsia="en-AU"/>
        </w:rPr>
      </w:pPr>
      <w:hyperlink w:anchor="_Toc83625568" w:history="1">
        <w:r w:rsidR="005E03F7" w:rsidRPr="00D90FEA">
          <w:t>Division 3</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Transport documentation</w:t>
        </w:r>
        <w:r w:rsidR="005E03F7" w:rsidRPr="005E03F7">
          <w:rPr>
            <w:vanish/>
          </w:rPr>
          <w:tab/>
        </w:r>
        <w:r w:rsidR="005E03F7" w:rsidRPr="005E03F7">
          <w:rPr>
            <w:vanish/>
          </w:rPr>
          <w:fldChar w:fldCharType="begin"/>
        </w:r>
        <w:r w:rsidR="005E03F7" w:rsidRPr="005E03F7">
          <w:rPr>
            <w:vanish/>
          </w:rPr>
          <w:instrText xml:space="preserve"> PAGEREF _Toc83625568 \h </w:instrText>
        </w:r>
        <w:r w:rsidR="005E03F7" w:rsidRPr="005E03F7">
          <w:rPr>
            <w:vanish/>
          </w:rPr>
        </w:r>
        <w:r w:rsidR="005E03F7" w:rsidRPr="005E03F7">
          <w:rPr>
            <w:vanish/>
          </w:rPr>
          <w:fldChar w:fldCharType="separate"/>
        </w:r>
        <w:r w:rsidR="005C5D7F">
          <w:rPr>
            <w:vanish/>
          </w:rPr>
          <w:t>198</w:t>
        </w:r>
        <w:r w:rsidR="005E03F7" w:rsidRPr="005E03F7">
          <w:rPr>
            <w:vanish/>
          </w:rPr>
          <w:fldChar w:fldCharType="end"/>
        </w:r>
      </w:hyperlink>
    </w:p>
    <w:p w14:paraId="4D5BC5EC" w14:textId="52882B25" w:rsidR="005E03F7" w:rsidRDefault="005E03F7">
      <w:pPr>
        <w:pStyle w:val="TOC5"/>
        <w:rPr>
          <w:rFonts w:asciiTheme="minorHAnsi" w:eastAsiaTheme="minorEastAsia" w:hAnsiTheme="minorHAnsi" w:cstheme="minorBidi"/>
          <w:sz w:val="22"/>
          <w:szCs w:val="22"/>
          <w:lang w:eastAsia="en-AU"/>
        </w:rPr>
      </w:pPr>
      <w:r>
        <w:tab/>
      </w:r>
      <w:hyperlink w:anchor="_Toc83625569" w:history="1">
        <w:r w:rsidRPr="00D90FEA">
          <w:t>186</w:t>
        </w:r>
        <w:r>
          <w:rPr>
            <w:rFonts w:asciiTheme="minorHAnsi" w:eastAsiaTheme="minorEastAsia" w:hAnsiTheme="minorHAnsi" w:cstheme="minorBidi"/>
            <w:sz w:val="22"/>
            <w:szCs w:val="22"/>
            <w:lang w:eastAsia="en-AU"/>
          </w:rPr>
          <w:tab/>
        </w:r>
        <w:r w:rsidRPr="00D90FEA">
          <w:t>False or misleading transport documentation for goods</w:t>
        </w:r>
        <w:r>
          <w:tab/>
        </w:r>
        <w:r>
          <w:fldChar w:fldCharType="begin"/>
        </w:r>
        <w:r>
          <w:instrText xml:space="preserve"> PAGEREF _Toc83625569 \h </w:instrText>
        </w:r>
        <w:r>
          <w:fldChar w:fldCharType="separate"/>
        </w:r>
        <w:r w:rsidR="005C5D7F">
          <w:t>198</w:t>
        </w:r>
        <w:r>
          <w:fldChar w:fldCharType="end"/>
        </w:r>
      </w:hyperlink>
    </w:p>
    <w:p w14:paraId="54C4C31A" w14:textId="1BFDF8FC" w:rsidR="005E03F7" w:rsidRDefault="005E03F7">
      <w:pPr>
        <w:pStyle w:val="TOC5"/>
        <w:rPr>
          <w:rFonts w:asciiTheme="minorHAnsi" w:eastAsiaTheme="minorEastAsia" w:hAnsiTheme="minorHAnsi" w:cstheme="minorBidi"/>
          <w:sz w:val="22"/>
          <w:szCs w:val="22"/>
          <w:lang w:eastAsia="en-AU"/>
        </w:rPr>
      </w:pPr>
      <w:r>
        <w:tab/>
      </w:r>
      <w:hyperlink w:anchor="_Toc83625570" w:history="1">
        <w:r w:rsidRPr="00D90FEA">
          <w:t>187</w:t>
        </w:r>
        <w:r>
          <w:rPr>
            <w:rFonts w:asciiTheme="minorHAnsi" w:eastAsiaTheme="minorEastAsia" w:hAnsiTheme="minorHAnsi" w:cstheme="minorBidi"/>
            <w:sz w:val="22"/>
            <w:szCs w:val="22"/>
            <w:lang w:eastAsia="en-AU"/>
          </w:rPr>
          <w:tab/>
        </w:r>
        <w:r w:rsidRPr="00D90FEA">
          <w:t>False or misleading information in container weight declaration</w:t>
        </w:r>
        <w:r>
          <w:tab/>
        </w:r>
        <w:r>
          <w:fldChar w:fldCharType="begin"/>
        </w:r>
        <w:r>
          <w:instrText xml:space="preserve"> PAGEREF _Toc83625570 \h </w:instrText>
        </w:r>
        <w:r>
          <w:fldChar w:fldCharType="separate"/>
        </w:r>
        <w:r w:rsidR="005C5D7F">
          <w:t>200</w:t>
        </w:r>
        <w:r>
          <w:fldChar w:fldCharType="end"/>
        </w:r>
      </w:hyperlink>
    </w:p>
    <w:p w14:paraId="1B7DAA84" w14:textId="2B91776F" w:rsidR="005E03F7" w:rsidRDefault="00856BEE">
      <w:pPr>
        <w:pStyle w:val="TOC3"/>
        <w:rPr>
          <w:rFonts w:asciiTheme="minorHAnsi" w:eastAsiaTheme="minorEastAsia" w:hAnsiTheme="minorHAnsi" w:cstheme="minorBidi"/>
          <w:b w:val="0"/>
          <w:sz w:val="22"/>
          <w:szCs w:val="22"/>
          <w:lang w:eastAsia="en-AU"/>
        </w:rPr>
      </w:pPr>
      <w:hyperlink w:anchor="_Toc83625571" w:history="1">
        <w:r w:rsidR="005E03F7" w:rsidRPr="00D90FEA">
          <w:t xml:space="preserve">Division 4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Other offences about container weight declarations</w:t>
        </w:r>
        <w:r w:rsidR="005E03F7" w:rsidRPr="005E03F7">
          <w:rPr>
            <w:vanish/>
          </w:rPr>
          <w:tab/>
        </w:r>
        <w:r w:rsidR="005E03F7" w:rsidRPr="005E03F7">
          <w:rPr>
            <w:vanish/>
          </w:rPr>
          <w:fldChar w:fldCharType="begin"/>
        </w:r>
        <w:r w:rsidR="005E03F7" w:rsidRPr="005E03F7">
          <w:rPr>
            <w:vanish/>
          </w:rPr>
          <w:instrText xml:space="preserve"> PAGEREF _Toc83625571 \h </w:instrText>
        </w:r>
        <w:r w:rsidR="005E03F7" w:rsidRPr="005E03F7">
          <w:rPr>
            <w:vanish/>
          </w:rPr>
        </w:r>
        <w:r w:rsidR="005E03F7" w:rsidRPr="005E03F7">
          <w:rPr>
            <w:vanish/>
          </w:rPr>
          <w:fldChar w:fldCharType="separate"/>
        </w:r>
        <w:r w:rsidR="005C5D7F">
          <w:rPr>
            <w:vanish/>
          </w:rPr>
          <w:t>201</w:t>
        </w:r>
        <w:r w:rsidR="005E03F7" w:rsidRPr="005E03F7">
          <w:rPr>
            <w:vanish/>
          </w:rPr>
          <w:fldChar w:fldCharType="end"/>
        </w:r>
      </w:hyperlink>
    </w:p>
    <w:p w14:paraId="3F035D46" w14:textId="3AE2D7E8" w:rsidR="005E03F7" w:rsidRDefault="005E03F7">
      <w:pPr>
        <w:pStyle w:val="TOC5"/>
        <w:rPr>
          <w:rFonts w:asciiTheme="minorHAnsi" w:eastAsiaTheme="minorEastAsia" w:hAnsiTheme="minorHAnsi" w:cstheme="minorBidi"/>
          <w:sz w:val="22"/>
          <w:szCs w:val="22"/>
          <w:lang w:eastAsia="en-AU"/>
        </w:rPr>
      </w:pPr>
      <w:r>
        <w:tab/>
      </w:r>
      <w:hyperlink w:anchor="_Toc83625572" w:history="1">
        <w:r w:rsidRPr="00D90FEA">
          <w:t>188</w:t>
        </w:r>
        <w:r>
          <w:rPr>
            <w:rFonts w:asciiTheme="minorHAnsi" w:eastAsiaTheme="minorEastAsia" w:hAnsiTheme="minorHAnsi" w:cstheme="minorBidi"/>
            <w:sz w:val="22"/>
            <w:szCs w:val="22"/>
            <w:lang w:eastAsia="en-AU"/>
          </w:rPr>
          <w:tab/>
        </w:r>
        <w:r w:rsidRPr="00D90FEA">
          <w:t>Application of Div 4</w:t>
        </w:r>
        <w:r>
          <w:tab/>
        </w:r>
        <w:r>
          <w:fldChar w:fldCharType="begin"/>
        </w:r>
        <w:r>
          <w:instrText xml:space="preserve"> PAGEREF _Toc83625572 \h </w:instrText>
        </w:r>
        <w:r>
          <w:fldChar w:fldCharType="separate"/>
        </w:r>
        <w:r w:rsidR="005C5D7F">
          <w:t>201</w:t>
        </w:r>
        <w:r>
          <w:fldChar w:fldCharType="end"/>
        </w:r>
      </w:hyperlink>
    </w:p>
    <w:p w14:paraId="7F1E1FAA" w14:textId="53F6997B" w:rsidR="005E03F7" w:rsidRDefault="005E03F7">
      <w:pPr>
        <w:pStyle w:val="TOC5"/>
        <w:rPr>
          <w:rFonts w:asciiTheme="minorHAnsi" w:eastAsiaTheme="minorEastAsia" w:hAnsiTheme="minorHAnsi" w:cstheme="minorBidi"/>
          <w:sz w:val="22"/>
          <w:szCs w:val="22"/>
          <w:lang w:eastAsia="en-AU"/>
        </w:rPr>
      </w:pPr>
      <w:r>
        <w:tab/>
      </w:r>
      <w:hyperlink w:anchor="_Toc83625573" w:history="1">
        <w:r w:rsidRPr="00D90FEA">
          <w:t>189</w:t>
        </w:r>
        <w:r>
          <w:rPr>
            <w:rFonts w:asciiTheme="minorHAnsi" w:eastAsiaTheme="minorEastAsia" w:hAnsiTheme="minorHAnsi" w:cstheme="minorBidi"/>
            <w:sz w:val="22"/>
            <w:szCs w:val="22"/>
            <w:lang w:eastAsia="en-AU"/>
          </w:rPr>
          <w:tab/>
        </w:r>
        <w:r w:rsidRPr="00D90FEA">
          <w:t xml:space="preserve">Meaning of </w:t>
        </w:r>
        <w:r w:rsidRPr="00D90FEA">
          <w:rPr>
            <w:i/>
          </w:rPr>
          <w:t>complying container weight declaration</w:t>
        </w:r>
        <w:r>
          <w:tab/>
        </w:r>
        <w:r>
          <w:fldChar w:fldCharType="begin"/>
        </w:r>
        <w:r>
          <w:instrText xml:space="preserve"> PAGEREF _Toc83625573 \h </w:instrText>
        </w:r>
        <w:r>
          <w:fldChar w:fldCharType="separate"/>
        </w:r>
        <w:r w:rsidR="005C5D7F">
          <w:t>201</w:t>
        </w:r>
        <w:r>
          <w:fldChar w:fldCharType="end"/>
        </w:r>
      </w:hyperlink>
    </w:p>
    <w:p w14:paraId="41B1C9C6" w14:textId="46065D61" w:rsidR="005E03F7" w:rsidRDefault="005E03F7">
      <w:pPr>
        <w:pStyle w:val="TOC5"/>
        <w:rPr>
          <w:rFonts w:asciiTheme="minorHAnsi" w:eastAsiaTheme="minorEastAsia" w:hAnsiTheme="minorHAnsi" w:cstheme="minorBidi"/>
          <w:sz w:val="22"/>
          <w:szCs w:val="22"/>
          <w:lang w:eastAsia="en-AU"/>
        </w:rPr>
      </w:pPr>
      <w:r>
        <w:tab/>
      </w:r>
      <w:hyperlink w:anchor="_Toc83625574" w:history="1">
        <w:r w:rsidRPr="00D90FEA">
          <w:t>190</w:t>
        </w:r>
        <w:r>
          <w:rPr>
            <w:rFonts w:asciiTheme="minorHAnsi" w:eastAsiaTheme="minorEastAsia" w:hAnsiTheme="minorHAnsi" w:cstheme="minorBidi"/>
            <w:sz w:val="22"/>
            <w:szCs w:val="22"/>
            <w:lang w:eastAsia="en-AU"/>
          </w:rPr>
          <w:tab/>
        </w:r>
        <w:r w:rsidRPr="00D90FEA">
          <w:t>Duty of responsible entity</w:t>
        </w:r>
        <w:r>
          <w:tab/>
        </w:r>
        <w:r>
          <w:fldChar w:fldCharType="begin"/>
        </w:r>
        <w:r>
          <w:instrText xml:space="preserve"> PAGEREF _Toc83625574 \h </w:instrText>
        </w:r>
        <w:r>
          <w:fldChar w:fldCharType="separate"/>
        </w:r>
        <w:r w:rsidR="005C5D7F">
          <w:t>201</w:t>
        </w:r>
        <w:r>
          <w:fldChar w:fldCharType="end"/>
        </w:r>
      </w:hyperlink>
    </w:p>
    <w:p w14:paraId="5C968513" w14:textId="53E53D00" w:rsidR="005E03F7" w:rsidRDefault="005E03F7">
      <w:pPr>
        <w:pStyle w:val="TOC5"/>
        <w:rPr>
          <w:rFonts w:asciiTheme="minorHAnsi" w:eastAsiaTheme="minorEastAsia" w:hAnsiTheme="minorHAnsi" w:cstheme="minorBidi"/>
          <w:sz w:val="22"/>
          <w:szCs w:val="22"/>
          <w:lang w:eastAsia="en-AU"/>
        </w:rPr>
      </w:pPr>
      <w:r>
        <w:tab/>
      </w:r>
      <w:hyperlink w:anchor="_Toc83625575" w:history="1">
        <w:r w:rsidRPr="00D90FEA">
          <w:t>191</w:t>
        </w:r>
        <w:r>
          <w:rPr>
            <w:rFonts w:asciiTheme="minorHAnsi" w:eastAsiaTheme="minorEastAsia" w:hAnsiTheme="minorHAnsi" w:cstheme="minorBidi"/>
            <w:sz w:val="22"/>
            <w:szCs w:val="22"/>
            <w:lang w:eastAsia="en-AU"/>
          </w:rPr>
          <w:tab/>
        </w:r>
        <w:r w:rsidRPr="00D90FEA">
          <w:t>Duty of operator</w:t>
        </w:r>
        <w:r>
          <w:tab/>
        </w:r>
        <w:r>
          <w:fldChar w:fldCharType="begin"/>
        </w:r>
        <w:r>
          <w:instrText xml:space="preserve"> PAGEREF _Toc83625575 \h </w:instrText>
        </w:r>
        <w:r>
          <w:fldChar w:fldCharType="separate"/>
        </w:r>
        <w:r w:rsidR="005C5D7F">
          <w:t>202</w:t>
        </w:r>
        <w:r>
          <w:fldChar w:fldCharType="end"/>
        </w:r>
      </w:hyperlink>
    </w:p>
    <w:p w14:paraId="157C0312" w14:textId="2C47C746" w:rsidR="005E03F7" w:rsidRDefault="005E03F7">
      <w:pPr>
        <w:pStyle w:val="TOC5"/>
        <w:rPr>
          <w:rFonts w:asciiTheme="minorHAnsi" w:eastAsiaTheme="minorEastAsia" w:hAnsiTheme="minorHAnsi" w:cstheme="minorBidi"/>
          <w:sz w:val="22"/>
          <w:szCs w:val="22"/>
          <w:lang w:eastAsia="en-AU"/>
        </w:rPr>
      </w:pPr>
      <w:r>
        <w:lastRenderedPageBreak/>
        <w:tab/>
      </w:r>
      <w:hyperlink w:anchor="_Toc83625576" w:history="1">
        <w:r w:rsidRPr="00D90FEA">
          <w:t>192</w:t>
        </w:r>
        <w:r>
          <w:rPr>
            <w:rFonts w:asciiTheme="minorHAnsi" w:eastAsiaTheme="minorEastAsia" w:hAnsiTheme="minorHAnsi" w:cstheme="minorBidi"/>
            <w:sz w:val="22"/>
            <w:szCs w:val="22"/>
            <w:lang w:eastAsia="en-AU"/>
          </w:rPr>
          <w:tab/>
        </w:r>
        <w:r w:rsidRPr="00D90FEA">
          <w:t>Duty of driver</w:t>
        </w:r>
        <w:r>
          <w:tab/>
        </w:r>
        <w:r>
          <w:fldChar w:fldCharType="begin"/>
        </w:r>
        <w:r>
          <w:instrText xml:space="preserve"> PAGEREF _Toc83625576 \h </w:instrText>
        </w:r>
        <w:r>
          <w:fldChar w:fldCharType="separate"/>
        </w:r>
        <w:r w:rsidR="005C5D7F">
          <w:t>203</w:t>
        </w:r>
        <w:r>
          <w:fldChar w:fldCharType="end"/>
        </w:r>
      </w:hyperlink>
    </w:p>
    <w:p w14:paraId="518E82DC" w14:textId="13519BAA" w:rsidR="005E03F7" w:rsidRDefault="005E03F7">
      <w:pPr>
        <w:pStyle w:val="TOC5"/>
        <w:rPr>
          <w:rFonts w:asciiTheme="minorHAnsi" w:eastAsiaTheme="minorEastAsia" w:hAnsiTheme="minorHAnsi" w:cstheme="minorBidi"/>
          <w:sz w:val="22"/>
          <w:szCs w:val="22"/>
          <w:lang w:eastAsia="en-AU"/>
        </w:rPr>
      </w:pPr>
      <w:r>
        <w:tab/>
      </w:r>
      <w:hyperlink w:anchor="_Toc83625577" w:history="1">
        <w:r w:rsidRPr="00D90FEA">
          <w:t>192A</w:t>
        </w:r>
        <w:r>
          <w:rPr>
            <w:rFonts w:asciiTheme="minorHAnsi" w:eastAsiaTheme="minorEastAsia" w:hAnsiTheme="minorHAnsi" w:cstheme="minorBidi"/>
            <w:sz w:val="22"/>
            <w:szCs w:val="22"/>
            <w:lang w:eastAsia="en-AU"/>
          </w:rPr>
          <w:tab/>
        </w:r>
        <w:r w:rsidRPr="00D90FEA">
          <w:t>Form of information in container weight declaration</w:t>
        </w:r>
        <w:r>
          <w:tab/>
        </w:r>
        <w:r>
          <w:fldChar w:fldCharType="begin"/>
        </w:r>
        <w:r>
          <w:instrText xml:space="preserve"> PAGEREF _Toc83625577 \h </w:instrText>
        </w:r>
        <w:r>
          <w:fldChar w:fldCharType="separate"/>
        </w:r>
        <w:r w:rsidR="005C5D7F">
          <w:t>204</w:t>
        </w:r>
        <w:r>
          <w:fldChar w:fldCharType="end"/>
        </w:r>
      </w:hyperlink>
    </w:p>
    <w:p w14:paraId="633F0A09" w14:textId="2A3CF312" w:rsidR="005E03F7" w:rsidRDefault="00856BEE">
      <w:pPr>
        <w:pStyle w:val="TOC3"/>
        <w:rPr>
          <w:rFonts w:asciiTheme="minorHAnsi" w:eastAsiaTheme="minorEastAsia" w:hAnsiTheme="minorHAnsi" w:cstheme="minorBidi"/>
          <w:b w:val="0"/>
          <w:sz w:val="22"/>
          <w:szCs w:val="22"/>
          <w:lang w:eastAsia="en-AU"/>
        </w:rPr>
      </w:pPr>
      <w:hyperlink w:anchor="_Toc83625578" w:history="1">
        <w:r w:rsidR="005E03F7" w:rsidRPr="00D90FEA">
          <w:t xml:space="preserve">Division 5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Other offences</w:t>
        </w:r>
        <w:r w:rsidR="005E03F7" w:rsidRPr="005E03F7">
          <w:rPr>
            <w:vanish/>
          </w:rPr>
          <w:tab/>
        </w:r>
        <w:r w:rsidR="005E03F7" w:rsidRPr="005E03F7">
          <w:rPr>
            <w:vanish/>
          </w:rPr>
          <w:fldChar w:fldCharType="begin"/>
        </w:r>
        <w:r w:rsidR="005E03F7" w:rsidRPr="005E03F7">
          <w:rPr>
            <w:vanish/>
          </w:rPr>
          <w:instrText xml:space="preserve"> PAGEREF _Toc83625578 \h </w:instrText>
        </w:r>
        <w:r w:rsidR="005E03F7" w:rsidRPr="005E03F7">
          <w:rPr>
            <w:vanish/>
          </w:rPr>
        </w:r>
        <w:r w:rsidR="005E03F7" w:rsidRPr="005E03F7">
          <w:rPr>
            <w:vanish/>
          </w:rPr>
          <w:fldChar w:fldCharType="separate"/>
        </w:r>
        <w:r w:rsidR="005C5D7F">
          <w:rPr>
            <w:vanish/>
          </w:rPr>
          <w:t>204</w:t>
        </w:r>
        <w:r w:rsidR="005E03F7" w:rsidRPr="005E03F7">
          <w:rPr>
            <w:vanish/>
          </w:rPr>
          <w:fldChar w:fldCharType="end"/>
        </w:r>
      </w:hyperlink>
    </w:p>
    <w:p w14:paraId="0470EC7D" w14:textId="28B73F5E" w:rsidR="005E03F7" w:rsidRDefault="005E03F7">
      <w:pPr>
        <w:pStyle w:val="TOC5"/>
        <w:rPr>
          <w:rFonts w:asciiTheme="minorHAnsi" w:eastAsiaTheme="minorEastAsia" w:hAnsiTheme="minorHAnsi" w:cstheme="minorBidi"/>
          <w:sz w:val="22"/>
          <w:szCs w:val="22"/>
          <w:lang w:eastAsia="en-AU"/>
        </w:rPr>
      </w:pPr>
      <w:r>
        <w:tab/>
      </w:r>
      <w:hyperlink w:anchor="_Toc83625579" w:history="1">
        <w:r w:rsidRPr="00D90FEA">
          <w:t>193</w:t>
        </w:r>
        <w:r>
          <w:rPr>
            <w:rFonts w:asciiTheme="minorHAnsi" w:eastAsiaTheme="minorEastAsia" w:hAnsiTheme="minorHAnsi" w:cstheme="minorBidi"/>
            <w:sz w:val="22"/>
            <w:szCs w:val="22"/>
            <w:lang w:eastAsia="en-AU"/>
          </w:rPr>
          <w:tab/>
        </w:r>
        <w:r w:rsidRPr="00D90FEA">
          <w:t>Weight of freight container exceeding weight stated on container or safety approval plate</w:t>
        </w:r>
        <w:r>
          <w:tab/>
        </w:r>
        <w:r>
          <w:fldChar w:fldCharType="begin"/>
        </w:r>
        <w:r>
          <w:instrText xml:space="preserve"> PAGEREF _Toc83625579 \h </w:instrText>
        </w:r>
        <w:r>
          <w:fldChar w:fldCharType="separate"/>
        </w:r>
        <w:r w:rsidR="005C5D7F">
          <w:t>204</w:t>
        </w:r>
        <w:r>
          <w:fldChar w:fldCharType="end"/>
        </w:r>
      </w:hyperlink>
    </w:p>
    <w:p w14:paraId="7B2D3C7E" w14:textId="77BBD12E" w:rsidR="005E03F7" w:rsidRDefault="00856BEE">
      <w:pPr>
        <w:pStyle w:val="TOC2"/>
        <w:rPr>
          <w:rFonts w:asciiTheme="minorHAnsi" w:eastAsiaTheme="minorEastAsia" w:hAnsiTheme="minorHAnsi" w:cstheme="minorBidi"/>
          <w:b w:val="0"/>
          <w:sz w:val="22"/>
          <w:szCs w:val="22"/>
          <w:lang w:eastAsia="en-AU"/>
        </w:rPr>
      </w:pPr>
      <w:hyperlink w:anchor="_Toc83625580" w:history="1">
        <w:r w:rsidR="005E03F7" w:rsidRPr="00D90FEA">
          <w:t xml:space="preserve">Part 4.10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Other provisions</w:t>
        </w:r>
        <w:r w:rsidR="005E03F7" w:rsidRPr="005E03F7">
          <w:rPr>
            <w:vanish/>
          </w:rPr>
          <w:tab/>
        </w:r>
        <w:r w:rsidR="005E03F7" w:rsidRPr="005E03F7">
          <w:rPr>
            <w:vanish/>
          </w:rPr>
          <w:fldChar w:fldCharType="begin"/>
        </w:r>
        <w:r w:rsidR="005E03F7" w:rsidRPr="005E03F7">
          <w:rPr>
            <w:vanish/>
          </w:rPr>
          <w:instrText xml:space="preserve"> PAGEREF _Toc83625580 \h </w:instrText>
        </w:r>
        <w:r w:rsidR="005E03F7" w:rsidRPr="005E03F7">
          <w:rPr>
            <w:vanish/>
          </w:rPr>
        </w:r>
        <w:r w:rsidR="005E03F7" w:rsidRPr="005E03F7">
          <w:rPr>
            <w:vanish/>
          </w:rPr>
          <w:fldChar w:fldCharType="separate"/>
        </w:r>
        <w:r w:rsidR="005C5D7F">
          <w:rPr>
            <w:vanish/>
          </w:rPr>
          <w:t>205</w:t>
        </w:r>
        <w:r w:rsidR="005E03F7" w:rsidRPr="005E03F7">
          <w:rPr>
            <w:vanish/>
          </w:rPr>
          <w:fldChar w:fldCharType="end"/>
        </w:r>
      </w:hyperlink>
    </w:p>
    <w:p w14:paraId="117699C0" w14:textId="3D188FDB" w:rsidR="005E03F7" w:rsidRDefault="005E03F7">
      <w:pPr>
        <w:pStyle w:val="TOC5"/>
        <w:rPr>
          <w:rFonts w:asciiTheme="minorHAnsi" w:eastAsiaTheme="minorEastAsia" w:hAnsiTheme="minorHAnsi" w:cstheme="minorBidi"/>
          <w:sz w:val="22"/>
          <w:szCs w:val="22"/>
          <w:lang w:eastAsia="en-AU"/>
        </w:rPr>
      </w:pPr>
      <w:r>
        <w:tab/>
      </w:r>
      <w:hyperlink w:anchor="_Toc83625581" w:history="1">
        <w:r w:rsidRPr="00D90FEA">
          <w:t>195</w:t>
        </w:r>
        <w:r>
          <w:rPr>
            <w:rFonts w:asciiTheme="minorHAnsi" w:eastAsiaTheme="minorEastAsia" w:hAnsiTheme="minorHAnsi" w:cstheme="minorBidi"/>
            <w:sz w:val="22"/>
            <w:szCs w:val="22"/>
            <w:lang w:eastAsia="en-AU"/>
          </w:rPr>
          <w:tab/>
        </w:r>
        <w:r w:rsidRPr="00D90FEA">
          <w:t>Conflicting mass requirements</w:t>
        </w:r>
        <w:r>
          <w:tab/>
        </w:r>
        <w:r>
          <w:fldChar w:fldCharType="begin"/>
        </w:r>
        <w:r>
          <w:instrText xml:space="preserve"> PAGEREF _Toc83625581 \h </w:instrText>
        </w:r>
        <w:r>
          <w:fldChar w:fldCharType="separate"/>
        </w:r>
        <w:r w:rsidR="005C5D7F">
          <w:t>205</w:t>
        </w:r>
        <w:r>
          <w:fldChar w:fldCharType="end"/>
        </w:r>
      </w:hyperlink>
    </w:p>
    <w:p w14:paraId="0DF5047D" w14:textId="65EDD75C" w:rsidR="005E03F7" w:rsidRDefault="005E03F7">
      <w:pPr>
        <w:pStyle w:val="TOC5"/>
        <w:rPr>
          <w:rFonts w:asciiTheme="minorHAnsi" w:eastAsiaTheme="minorEastAsia" w:hAnsiTheme="minorHAnsi" w:cstheme="minorBidi"/>
          <w:sz w:val="22"/>
          <w:szCs w:val="22"/>
          <w:lang w:eastAsia="en-AU"/>
        </w:rPr>
      </w:pPr>
      <w:r>
        <w:tab/>
      </w:r>
      <w:hyperlink w:anchor="_Toc83625582" w:history="1">
        <w:r w:rsidRPr="00D90FEA">
          <w:t>196</w:t>
        </w:r>
        <w:r>
          <w:rPr>
            <w:rFonts w:asciiTheme="minorHAnsi" w:eastAsiaTheme="minorEastAsia" w:hAnsiTheme="minorHAnsi" w:cstheme="minorBidi"/>
            <w:sz w:val="22"/>
            <w:szCs w:val="22"/>
            <w:lang w:eastAsia="en-AU"/>
          </w:rPr>
          <w:tab/>
        </w:r>
        <w:r w:rsidRPr="00D90FEA">
          <w:t>Conflicting dimension requirements</w:t>
        </w:r>
        <w:r>
          <w:tab/>
        </w:r>
        <w:r>
          <w:fldChar w:fldCharType="begin"/>
        </w:r>
        <w:r>
          <w:instrText xml:space="preserve"> PAGEREF _Toc83625582 \h </w:instrText>
        </w:r>
        <w:r>
          <w:fldChar w:fldCharType="separate"/>
        </w:r>
        <w:r w:rsidR="005C5D7F">
          <w:t>205</w:t>
        </w:r>
        <w:r>
          <w:fldChar w:fldCharType="end"/>
        </w:r>
      </w:hyperlink>
    </w:p>
    <w:p w14:paraId="0BB9E98F" w14:textId="3969506B" w:rsidR="005E03F7" w:rsidRDefault="005E03F7">
      <w:pPr>
        <w:pStyle w:val="TOC5"/>
        <w:rPr>
          <w:rFonts w:asciiTheme="minorHAnsi" w:eastAsiaTheme="minorEastAsia" w:hAnsiTheme="minorHAnsi" w:cstheme="minorBidi"/>
          <w:sz w:val="22"/>
          <w:szCs w:val="22"/>
          <w:lang w:eastAsia="en-AU"/>
        </w:rPr>
      </w:pPr>
      <w:r>
        <w:tab/>
      </w:r>
      <w:hyperlink w:anchor="_Toc83625583" w:history="1">
        <w:r w:rsidRPr="00D90FEA">
          <w:t>197</w:t>
        </w:r>
        <w:r>
          <w:rPr>
            <w:rFonts w:asciiTheme="minorHAnsi" w:eastAsiaTheme="minorEastAsia" w:hAnsiTheme="minorHAnsi" w:cstheme="minorBidi"/>
            <w:sz w:val="22"/>
            <w:szCs w:val="22"/>
            <w:lang w:eastAsia="en-AU"/>
          </w:rPr>
          <w:tab/>
        </w:r>
        <w:r w:rsidRPr="00D90FEA">
          <w:t>Exemption from compliance with particular requirements in emergency</w:t>
        </w:r>
        <w:r>
          <w:tab/>
        </w:r>
        <w:r>
          <w:fldChar w:fldCharType="begin"/>
        </w:r>
        <w:r>
          <w:instrText xml:space="preserve"> PAGEREF _Toc83625583 \h </w:instrText>
        </w:r>
        <w:r>
          <w:fldChar w:fldCharType="separate"/>
        </w:r>
        <w:r w:rsidR="005C5D7F">
          <w:t>205</w:t>
        </w:r>
        <w:r>
          <w:fldChar w:fldCharType="end"/>
        </w:r>
      </w:hyperlink>
    </w:p>
    <w:p w14:paraId="7641C4A0" w14:textId="3B4809BE" w:rsidR="005E03F7" w:rsidRDefault="005E03F7">
      <w:pPr>
        <w:pStyle w:val="TOC5"/>
        <w:rPr>
          <w:rFonts w:asciiTheme="minorHAnsi" w:eastAsiaTheme="minorEastAsia" w:hAnsiTheme="minorHAnsi" w:cstheme="minorBidi"/>
          <w:sz w:val="22"/>
          <w:szCs w:val="22"/>
          <w:lang w:eastAsia="en-AU"/>
        </w:rPr>
      </w:pPr>
      <w:r>
        <w:tab/>
      </w:r>
      <w:hyperlink w:anchor="_Toc83625584" w:history="1">
        <w:r w:rsidRPr="00D90FEA">
          <w:t>198</w:t>
        </w:r>
        <w:r>
          <w:rPr>
            <w:rFonts w:asciiTheme="minorHAnsi" w:eastAsiaTheme="minorEastAsia" w:hAnsiTheme="minorHAnsi" w:cstheme="minorBidi"/>
            <w:sz w:val="22"/>
            <w:szCs w:val="22"/>
            <w:lang w:eastAsia="en-AU"/>
          </w:rPr>
          <w:tab/>
        </w:r>
        <w:r w:rsidRPr="00D90FEA">
          <w:t>Recovery of losses arising from non-provision of container weight declaration</w:t>
        </w:r>
        <w:r>
          <w:tab/>
        </w:r>
        <w:r>
          <w:fldChar w:fldCharType="begin"/>
        </w:r>
        <w:r>
          <w:instrText xml:space="preserve"> PAGEREF _Toc83625584 \h </w:instrText>
        </w:r>
        <w:r>
          <w:fldChar w:fldCharType="separate"/>
        </w:r>
        <w:r w:rsidR="005C5D7F">
          <w:t>207</w:t>
        </w:r>
        <w:r>
          <w:fldChar w:fldCharType="end"/>
        </w:r>
      </w:hyperlink>
    </w:p>
    <w:p w14:paraId="5421185F" w14:textId="20639B2F" w:rsidR="005E03F7" w:rsidRDefault="005E03F7">
      <w:pPr>
        <w:pStyle w:val="TOC5"/>
        <w:rPr>
          <w:rFonts w:asciiTheme="minorHAnsi" w:eastAsiaTheme="minorEastAsia" w:hAnsiTheme="minorHAnsi" w:cstheme="minorBidi"/>
          <w:sz w:val="22"/>
          <w:szCs w:val="22"/>
          <w:lang w:eastAsia="en-AU"/>
        </w:rPr>
      </w:pPr>
      <w:r>
        <w:tab/>
      </w:r>
      <w:hyperlink w:anchor="_Toc83625585" w:history="1">
        <w:r w:rsidRPr="00D90FEA">
          <w:t>199</w:t>
        </w:r>
        <w:r>
          <w:rPr>
            <w:rFonts w:asciiTheme="minorHAnsi" w:eastAsiaTheme="minorEastAsia" w:hAnsiTheme="minorHAnsi" w:cstheme="minorBidi"/>
            <w:sz w:val="22"/>
            <w:szCs w:val="22"/>
            <w:lang w:eastAsia="en-AU"/>
          </w:rPr>
          <w:tab/>
        </w:r>
        <w:r w:rsidRPr="00D90FEA">
          <w:t>Recovery of losses for provision of inaccurate container weight declaration</w:t>
        </w:r>
        <w:r>
          <w:tab/>
        </w:r>
        <w:r>
          <w:fldChar w:fldCharType="begin"/>
        </w:r>
        <w:r>
          <w:instrText xml:space="preserve"> PAGEREF _Toc83625585 \h </w:instrText>
        </w:r>
        <w:r>
          <w:fldChar w:fldCharType="separate"/>
        </w:r>
        <w:r w:rsidR="005C5D7F">
          <w:t>207</w:t>
        </w:r>
        <w:r>
          <w:fldChar w:fldCharType="end"/>
        </w:r>
      </w:hyperlink>
    </w:p>
    <w:p w14:paraId="14B0E43C" w14:textId="7F28D085" w:rsidR="005E03F7" w:rsidRDefault="005E03F7">
      <w:pPr>
        <w:pStyle w:val="TOC5"/>
        <w:rPr>
          <w:rFonts w:asciiTheme="minorHAnsi" w:eastAsiaTheme="minorEastAsia" w:hAnsiTheme="minorHAnsi" w:cstheme="minorBidi"/>
          <w:sz w:val="22"/>
          <w:szCs w:val="22"/>
          <w:lang w:eastAsia="en-AU"/>
        </w:rPr>
      </w:pPr>
      <w:r>
        <w:tab/>
      </w:r>
      <w:hyperlink w:anchor="_Toc83625586" w:history="1">
        <w:r w:rsidRPr="00D90FEA">
          <w:t>200</w:t>
        </w:r>
        <w:r>
          <w:rPr>
            <w:rFonts w:asciiTheme="minorHAnsi" w:eastAsiaTheme="minorEastAsia" w:hAnsiTheme="minorHAnsi" w:cstheme="minorBidi"/>
            <w:sz w:val="22"/>
            <w:szCs w:val="22"/>
            <w:lang w:eastAsia="en-AU"/>
          </w:rPr>
          <w:tab/>
        </w:r>
        <w:r w:rsidRPr="00D90FEA">
          <w:t>Recovery by responsible entity of amount paid under s 199</w:t>
        </w:r>
        <w:r>
          <w:tab/>
        </w:r>
        <w:r>
          <w:fldChar w:fldCharType="begin"/>
        </w:r>
        <w:r>
          <w:instrText xml:space="preserve"> PAGEREF _Toc83625586 \h </w:instrText>
        </w:r>
        <w:r>
          <w:fldChar w:fldCharType="separate"/>
        </w:r>
        <w:r w:rsidR="005C5D7F">
          <w:t>209</w:t>
        </w:r>
        <w:r>
          <w:fldChar w:fldCharType="end"/>
        </w:r>
      </w:hyperlink>
    </w:p>
    <w:p w14:paraId="61307E9A" w14:textId="6AAD1BB4" w:rsidR="005E03F7" w:rsidRDefault="005E03F7">
      <w:pPr>
        <w:pStyle w:val="TOC5"/>
        <w:rPr>
          <w:rFonts w:asciiTheme="minorHAnsi" w:eastAsiaTheme="minorEastAsia" w:hAnsiTheme="minorHAnsi" w:cstheme="minorBidi"/>
          <w:sz w:val="22"/>
          <w:szCs w:val="22"/>
          <w:lang w:eastAsia="en-AU"/>
        </w:rPr>
      </w:pPr>
      <w:r>
        <w:tab/>
      </w:r>
      <w:hyperlink w:anchor="_Toc83625587" w:history="1">
        <w:r w:rsidRPr="00D90FEA">
          <w:t>201</w:t>
        </w:r>
        <w:r>
          <w:rPr>
            <w:rFonts w:asciiTheme="minorHAnsi" w:eastAsiaTheme="minorEastAsia" w:hAnsiTheme="minorHAnsi" w:cstheme="minorBidi"/>
            <w:sz w:val="22"/>
            <w:szCs w:val="22"/>
            <w:lang w:eastAsia="en-AU"/>
          </w:rPr>
          <w:tab/>
        </w:r>
        <w:r w:rsidRPr="00D90FEA">
          <w:t>Assessment of monetary value or attributable amount</w:t>
        </w:r>
        <w:r>
          <w:tab/>
        </w:r>
        <w:r>
          <w:fldChar w:fldCharType="begin"/>
        </w:r>
        <w:r>
          <w:instrText xml:space="preserve"> PAGEREF _Toc83625587 \h </w:instrText>
        </w:r>
        <w:r>
          <w:fldChar w:fldCharType="separate"/>
        </w:r>
        <w:r w:rsidR="005C5D7F">
          <w:t>210</w:t>
        </w:r>
        <w:r>
          <w:fldChar w:fldCharType="end"/>
        </w:r>
      </w:hyperlink>
    </w:p>
    <w:p w14:paraId="1C75CB9D" w14:textId="7901DD21" w:rsidR="005E03F7" w:rsidRDefault="00856BEE">
      <w:pPr>
        <w:pStyle w:val="TOC1"/>
        <w:rPr>
          <w:rFonts w:asciiTheme="minorHAnsi" w:eastAsiaTheme="minorEastAsia" w:hAnsiTheme="minorHAnsi" w:cstheme="minorBidi"/>
          <w:b w:val="0"/>
          <w:sz w:val="22"/>
          <w:szCs w:val="22"/>
          <w:lang w:eastAsia="en-AU"/>
        </w:rPr>
      </w:pPr>
      <w:hyperlink w:anchor="_Toc83625588" w:history="1">
        <w:r w:rsidR="005E03F7" w:rsidRPr="00D90FEA">
          <w:t xml:space="preserve">Chapter 6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Vehicle operations—driver fatigue</w:t>
        </w:r>
        <w:r w:rsidR="005E03F7" w:rsidRPr="005E03F7">
          <w:rPr>
            <w:vanish/>
          </w:rPr>
          <w:tab/>
        </w:r>
        <w:r w:rsidR="005E03F7" w:rsidRPr="005E03F7">
          <w:rPr>
            <w:vanish/>
          </w:rPr>
          <w:fldChar w:fldCharType="begin"/>
        </w:r>
        <w:r w:rsidR="005E03F7" w:rsidRPr="005E03F7">
          <w:rPr>
            <w:vanish/>
          </w:rPr>
          <w:instrText xml:space="preserve"> PAGEREF _Toc83625588 \h </w:instrText>
        </w:r>
        <w:r w:rsidR="005E03F7" w:rsidRPr="005E03F7">
          <w:rPr>
            <w:vanish/>
          </w:rPr>
        </w:r>
        <w:r w:rsidR="005E03F7" w:rsidRPr="005E03F7">
          <w:rPr>
            <w:vanish/>
          </w:rPr>
          <w:fldChar w:fldCharType="separate"/>
        </w:r>
        <w:r w:rsidR="005C5D7F">
          <w:rPr>
            <w:vanish/>
          </w:rPr>
          <w:t>211</w:t>
        </w:r>
        <w:r w:rsidR="005E03F7" w:rsidRPr="005E03F7">
          <w:rPr>
            <w:vanish/>
          </w:rPr>
          <w:fldChar w:fldCharType="end"/>
        </w:r>
      </w:hyperlink>
    </w:p>
    <w:p w14:paraId="6E110E90" w14:textId="27FEB619" w:rsidR="005E03F7" w:rsidRDefault="00856BEE">
      <w:pPr>
        <w:pStyle w:val="TOC2"/>
        <w:rPr>
          <w:rFonts w:asciiTheme="minorHAnsi" w:eastAsiaTheme="minorEastAsia" w:hAnsiTheme="minorHAnsi" w:cstheme="minorBidi"/>
          <w:b w:val="0"/>
          <w:sz w:val="22"/>
          <w:szCs w:val="22"/>
          <w:lang w:eastAsia="en-AU"/>
        </w:rPr>
      </w:pPr>
      <w:hyperlink w:anchor="_Toc83625589" w:history="1">
        <w:r w:rsidR="005E03F7" w:rsidRPr="00D90FEA">
          <w:t xml:space="preserve">Part 6.1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Preliminary</w:t>
        </w:r>
        <w:r w:rsidR="005E03F7" w:rsidRPr="005E03F7">
          <w:rPr>
            <w:vanish/>
          </w:rPr>
          <w:tab/>
        </w:r>
        <w:r w:rsidR="005E03F7" w:rsidRPr="005E03F7">
          <w:rPr>
            <w:vanish/>
          </w:rPr>
          <w:fldChar w:fldCharType="begin"/>
        </w:r>
        <w:r w:rsidR="005E03F7" w:rsidRPr="005E03F7">
          <w:rPr>
            <w:vanish/>
          </w:rPr>
          <w:instrText xml:space="preserve"> PAGEREF _Toc83625589 \h </w:instrText>
        </w:r>
        <w:r w:rsidR="005E03F7" w:rsidRPr="005E03F7">
          <w:rPr>
            <w:vanish/>
          </w:rPr>
        </w:r>
        <w:r w:rsidR="005E03F7" w:rsidRPr="005E03F7">
          <w:rPr>
            <w:vanish/>
          </w:rPr>
          <w:fldChar w:fldCharType="separate"/>
        </w:r>
        <w:r w:rsidR="005C5D7F">
          <w:rPr>
            <w:vanish/>
          </w:rPr>
          <w:t>211</w:t>
        </w:r>
        <w:r w:rsidR="005E03F7" w:rsidRPr="005E03F7">
          <w:rPr>
            <w:vanish/>
          </w:rPr>
          <w:fldChar w:fldCharType="end"/>
        </w:r>
      </w:hyperlink>
    </w:p>
    <w:p w14:paraId="1F68A3EC" w14:textId="4571F183" w:rsidR="005E03F7" w:rsidRDefault="005E03F7">
      <w:pPr>
        <w:pStyle w:val="TOC5"/>
        <w:rPr>
          <w:rFonts w:asciiTheme="minorHAnsi" w:eastAsiaTheme="minorEastAsia" w:hAnsiTheme="minorHAnsi" w:cstheme="minorBidi"/>
          <w:sz w:val="22"/>
          <w:szCs w:val="22"/>
          <w:lang w:eastAsia="en-AU"/>
        </w:rPr>
      </w:pPr>
      <w:r>
        <w:tab/>
      </w:r>
      <w:hyperlink w:anchor="_Toc83625590" w:history="1">
        <w:r w:rsidRPr="00D90FEA">
          <w:t>220</w:t>
        </w:r>
        <w:r>
          <w:rPr>
            <w:rFonts w:asciiTheme="minorHAnsi" w:eastAsiaTheme="minorEastAsia" w:hAnsiTheme="minorHAnsi" w:cstheme="minorBidi"/>
            <w:sz w:val="22"/>
            <w:szCs w:val="22"/>
            <w:lang w:eastAsia="en-AU"/>
          </w:rPr>
          <w:tab/>
        </w:r>
        <w:r w:rsidRPr="00D90FEA">
          <w:t>Main purpose of Ch 6</w:t>
        </w:r>
        <w:r>
          <w:tab/>
        </w:r>
        <w:r>
          <w:fldChar w:fldCharType="begin"/>
        </w:r>
        <w:r>
          <w:instrText xml:space="preserve"> PAGEREF _Toc83625590 \h </w:instrText>
        </w:r>
        <w:r>
          <w:fldChar w:fldCharType="separate"/>
        </w:r>
        <w:r w:rsidR="005C5D7F">
          <w:t>211</w:t>
        </w:r>
        <w:r>
          <w:fldChar w:fldCharType="end"/>
        </w:r>
      </w:hyperlink>
    </w:p>
    <w:p w14:paraId="0C656716" w14:textId="6172BAE7" w:rsidR="005E03F7" w:rsidRDefault="005E03F7">
      <w:pPr>
        <w:pStyle w:val="TOC5"/>
        <w:rPr>
          <w:rFonts w:asciiTheme="minorHAnsi" w:eastAsiaTheme="minorEastAsia" w:hAnsiTheme="minorHAnsi" w:cstheme="minorBidi"/>
          <w:sz w:val="22"/>
          <w:szCs w:val="22"/>
          <w:lang w:eastAsia="en-AU"/>
        </w:rPr>
      </w:pPr>
      <w:r>
        <w:tab/>
      </w:r>
      <w:hyperlink w:anchor="_Toc83625591" w:history="1">
        <w:r w:rsidRPr="00D90FEA">
          <w:t>221</w:t>
        </w:r>
        <w:r>
          <w:rPr>
            <w:rFonts w:asciiTheme="minorHAnsi" w:eastAsiaTheme="minorEastAsia" w:hAnsiTheme="minorHAnsi" w:cstheme="minorBidi"/>
            <w:sz w:val="22"/>
            <w:szCs w:val="22"/>
            <w:lang w:eastAsia="en-AU"/>
          </w:rPr>
          <w:tab/>
        </w:r>
        <w:r w:rsidRPr="00D90FEA">
          <w:t>Definitions for Ch 6</w:t>
        </w:r>
        <w:r>
          <w:tab/>
        </w:r>
        <w:r>
          <w:fldChar w:fldCharType="begin"/>
        </w:r>
        <w:r>
          <w:instrText xml:space="preserve"> PAGEREF _Toc83625591 \h </w:instrText>
        </w:r>
        <w:r>
          <w:fldChar w:fldCharType="separate"/>
        </w:r>
        <w:r w:rsidR="005C5D7F">
          <w:t>212</w:t>
        </w:r>
        <w:r>
          <w:fldChar w:fldCharType="end"/>
        </w:r>
      </w:hyperlink>
    </w:p>
    <w:p w14:paraId="29305C02" w14:textId="2BB76B83" w:rsidR="005E03F7" w:rsidRDefault="005E03F7">
      <w:pPr>
        <w:pStyle w:val="TOC5"/>
        <w:rPr>
          <w:rFonts w:asciiTheme="minorHAnsi" w:eastAsiaTheme="minorEastAsia" w:hAnsiTheme="minorHAnsi" w:cstheme="minorBidi"/>
          <w:sz w:val="22"/>
          <w:szCs w:val="22"/>
          <w:lang w:eastAsia="en-AU"/>
        </w:rPr>
      </w:pPr>
      <w:r>
        <w:tab/>
      </w:r>
      <w:hyperlink w:anchor="_Toc83625592" w:history="1">
        <w:r w:rsidRPr="00D90FEA">
          <w:t>222</w:t>
        </w:r>
        <w:r>
          <w:rPr>
            <w:rFonts w:asciiTheme="minorHAnsi" w:eastAsiaTheme="minorEastAsia" w:hAnsiTheme="minorHAnsi" w:cstheme="minorBidi"/>
            <w:sz w:val="22"/>
            <w:szCs w:val="22"/>
            <w:lang w:eastAsia="en-AU"/>
          </w:rPr>
          <w:tab/>
        </w:r>
        <w:r w:rsidRPr="00D90FEA">
          <w:t>Categories of breaches</w:t>
        </w:r>
        <w:r>
          <w:tab/>
        </w:r>
        <w:r>
          <w:fldChar w:fldCharType="begin"/>
        </w:r>
        <w:r>
          <w:instrText xml:space="preserve"> PAGEREF _Toc83625592 \h </w:instrText>
        </w:r>
        <w:r>
          <w:fldChar w:fldCharType="separate"/>
        </w:r>
        <w:r w:rsidR="005C5D7F">
          <w:t>219</w:t>
        </w:r>
        <w:r>
          <w:fldChar w:fldCharType="end"/>
        </w:r>
      </w:hyperlink>
    </w:p>
    <w:p w14:paraId="3F46883A" w14:textId="37C6C6C1" w:rsidR="005E03F7" w:rsidRDefault="00856BEE">
      <w:pPr>
        <w:pStyle w:val="TOC2"/>
        <w:rPr>
          <w:rFonts w:asciiTheme="minorHAnsi" w:eastAsiaTheme="minorEastAsia" w:hAnsiTheme="minorHAnsi" w:cstheme="minorBidi"/>
          <w:b w:val="0"/>
          <w:sz w:val="22"/>
          <w:szCs w:val="22"/>
          <w:lang w:eastAsia="en-AU"/>
        </w:rPr>
      </w:pPr>
      <w:hyperlink w:anchor="_Toc83625593" w:history="1">
        <w:r w:rsidR="005E03F7" w:rsidRPr="00D90FEA">
          <w:t xml:space="preserve">Part 6.2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Duties relating to fatigue</w:t>
        </w:r>
        <w:r w:rsidR="005E03F7" w:rsidRPr="005E03F7">
          <w:rPr>
            <w:vanish/>
          </w:rPr>
          <w:tab/>
        </w:r>
        <w:r w:rsidR="005E03F7" w:rsidRPr="005E03F7">
          <w:rPr>
            <w:vanish/>
          </w:rPr>
          <w:fldChar w:fldCharType="begin"/>
        </w:r>
        <w:r w:rsidR="005E03F7" w:rsidRPr="005E03F7">
          <w:rPr>
            <w:vanish/>
          </w:rPr>
          <w:instrText xml:space="preserve"> PAGEREF _Toc83625593 \h </w:instrText>
        </w:r>
        <w:r w:rsidR="005E03F7" w:rsidRPr="005E03F7">
          <w:rPr>
            <w:vanish/>
          </w:rPr>
        </w:r>
        <w:r w:rsidR="005E03F7" w:rsidRPr="005E03F7">
          <w:rPr>
            <w:vanish/>
          </w:rPr>
          <w:fldChar w:fldCharType="separate"/>
        </w:r>
        <w:r w:rsidR="005C5D7F">
          <w:rPr>
            <w:vanish/>
          </w:rPr>
          <w:t>220</w:t>
        </w:r>
        <w:r w:rsidR="005E03F7" w:rsidRPr="005E03F7">
          <w:rPr>
            <w:vanish/>
          </w:rPr>
          <w:fldChar w:fldCharType="end"/>
        </w:r>
      </w:hyperlink>
    </w:p>
    <w:p w14:paraId="0FE4E833" w14:textId="6FEFB7FA" w:rsidR="005E03F7" w:rsidRDefault="00856BEE">
      <w:pPr>
        <w:pStyle w:val="TOC3"/>
        <w:rPr>
          <w:rFonts w:asciiTheme="minorHAnsi" w:eastAsiaTheme="minorEastAsia" w:hAnsiTheme="minorHAnsi" w:cstheme="minorBidi"/>
          <w:b w:val="0"/>
          <w:sz w:val="22"/>
          <w:szCs w:val="22"/>
          <w:lang w:eastAsia="en-AU"/>
        </w:rPr>
      </w:pPr>
      <w:hyperlink w:anchor="_Toc83625594" w:history="1">
        <w:r w:rsidR="005E03F7" w:rsidRPr="00D90FEA">
          <w:t xml:space="preserve">Division 1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Preliminary</w:t>
        </w:r>
        <w:r w:rsidR="005E03F7" w:rsidRPr="005E03F7">
          <w:rPr>
            <w:vanish/>
          </w:rPr>
          <w:tab/>
        </w:r>
        <w:r w:rsidR="005E03F7" w:rsidRPr="005E03F7">
          <w:rPr>
            <w:vanish/>
          </w:rPr>
          <w:fldChar w:fldCharType="begin"/>
        </w:r>
        <w:r w:rsidR="005E03F7" w:rsidRPr="005E03F7">
          <w:rPr>
            <w:vanish/>
          </w:rPr>
          <w:instrText xml:space="preserve"> PAGEREF _Toc83625594 \h </w:instrText>
        </w:r>
        <w:r w:rsidR="005E03F7" w:rsidRPr="005E03F7">
          <w:rPr>
            <w:vanish/>
          </w:rPr>
        </w:r>
        <w:r w:rsidR="005E03F7" w:rsidRPr="005E03F7">
          <w:rPr>
            <w:vanish/>
          </w:rPr>
          <w:fldChar w:fldCharType="separate"/>
        </w:r>
        <w:r w:rsidR="005C5D7F">
          <w:rPr>
            <w:vanish/>
          </w:rPr>
          <w:t>220</w:t>
        </w:r>
        <w:r w:rsidR="005E03F7" w:rsidRPr="005E03F7">
          <w:rPr>
            <w:vanish/>
          </w:rPr>
          <w:fldChar w:fldCharType="end"/>
        </w:r>
      </w:hyperlink>
    </w:p>
    <w:p w14:paraId="5BAC98CF" w14:textId="60A9A4F4" w:rsidR="005E03F7" w:rsidRDefault="005E03F7">
      <w:pPr>
        <w:pStyle w:val="TOC5"/>
        <w:rPr>
          <w:rFonts w:asciiTheme="minorHAnsi" w:eastAsiaTheme="minorEastAsia" w:hAnsiTheme="minorHAnsi" w:cstheme="minorBidi"/>
          <w:sz w:val="22"/>
          <w:szCs w:val="22"/>
          <w:lang w:eastAsia="en-AU"/>
        </w:rPr>
      </w:pPr>
      <w:r>
        <w:tab/>
      </w:r>
      <w:hyperlink w:anchor="_Toc83625595" w:history="1">
        <w:r w:rsidRPr="00D90FEA">
          <w:t>223</w:t>
        </w:r>
        <w:r>
          <w:rPr>
            <w:rFonts w:asciiTheme="minorHAnsi" w:eastAsiaTheme="minorEastAsia" w:hAnsiTheme="minorHAnsi" w:cstheme="minorBidi"/>
            <w:sz w:val="22"/>
            <w:szCs w:val="22"/>
            <w:lang w:eastAsia="en-AU"/>
          </w:rPr>
          <w:tab/>
        </w:r>
        <w:r w:rsidRPr="00D90FEA">
          <w:t>What is fatigue</w:t>
        </w:r>
        <w:r>
          <w:tab/>
        </w:r>
        <w:r>
          <w:fldChar w:fldCharType="begin"/>
        </w:r>
        <w:r>
          <w:instrText xml:space="preserve"> PAGEREF _Toc83625595 \h </w:instrText>
        </w:r>
        <w:r>
          <w:fldChar w:fldCharType="separate"/>
        </w:r>
        <w:r w:rsidR="005C5D7F">
          <w:t>220</w:t>
        </w:r>
        <w:r>
          <w:fldChar w:fldCharType="end"/>
        </w:r>
      </w:hyperlink>
    </w:p>
    <w:p w14:paraId="076F2474" w14:textId="4681E6EC" w:rsidR="005E03F7" w:rsidRDefault="005E03F7">
      <w:pPr>
        <w:pStyle w:val="TOC5"/>
        <w:rPr>
          <w:rFonts w:asciiTheme="minorHAnsi" w:eastAsiaTheme="minorEastAsia" w:hAnsiTheme="minorHAnsi" w:cstheme="minorBidi"/>
          <w:sz w:val="22"/>
          <w:szCs w:val="22"/>
          <w:lang w:eastAsia="en-AU"/>
        </w:rPr>
      </w:pPr>
      <w:r>
        <w:tab/>
      </w:r>
      <w:hyperlink w:anchor="_Toc83625596" w:history="1">
        <w:r w:rsidRPr="00D90FEA">
          <w:t>224</w:t>
        </w:r>
        <w:r>
          <w:rPr>
            <w:rFonts w:asciiTheme="minorHAnsi" w:eastAsiaTheme="minorEastAsia" w:hAnsiTheme="minorHAnsi" w:cstheme="minorBidi"/>
            <w:sz w:val="22"/>
            <w:szCs w:val="22"/>
            <w:lang w:eastAsia="en-AU"/>
          </w:rPr>
          <w:tab/>
        </w:r>
        <w:r w:rsidRPr="00D90FEA">
          <w:t>Matters court may consider in deciding whether person was fatigued</w:t>
        </w:r>
        <w:r>
          <w:tab/>
        </w:r>
        <w:r>
          <w:fldChar w:fldCharType="begin"/>
        </w:r>
        <w:r>
          <w:instrText xml:space="preserve"> PAGEREF _Toc83625596 \h </w:instrText>
        </w:r>
        <w:r>
          <w:fldChar w:fldCharType="separate"/>
        </w:r>
        <w:r w:rsidR="005C5D7F">
          <w:t>220</w:t>
        </w:r>
        <w:r>
          <w:fldChar w:fldCharType="end"/>
        </w:r>
      </w:hyperlink>
    </w:p>
    <w:p w14:paraId="4DD63528" w14:textId="1171FD98" w:rsidR="005E03F7" w:rsidRDefault="005E03F7">
      <w:pPr>
        <w:pStyle w:val="TOC5"/>
        <w:rPr>
          <w:rFonts w:asciiTheme="minorHAnsi" w:eastAsiaTheme="minorEastAsia" w:hAnsiTheme="minorHAnsi" w:cstheme="minorBidi"/>
          <w:sz w:val="22"/>
          <w:szCs w:val="22"/>
          <w:lang w:eastAsia="en-AU"/>
        </w:rPr>
      </w:pPr>
      <w:r>
        <w:tab/>
      </w:r>
      <w:hyperlink w:anchor="_Toc83625597" w:history="1">
        <w:r w:rsidRPr="00D90FEA">
          <w:t>225</w:t>
        </w:r>
        <w:r>
          <w:rPr>
            <w:rFonts w:asciiTheme="minorHAnsi" w:eastAsiaTheme="minorEastAsia" w:hAnsiTheme="minorHAnsi" w:cstheme="minorBidi"/>
            <w:sz w:val="22"/>
            <w:szCs w:val="22"/>
            <w:lang w:eastAsia="en-AU"/>
          </w:rPr>
          <w:tab/>
        </w:r>
        <w:r w:rsidRPr="00D90FEA">
          <w:t>What is impaired by fatigue</w:t>
        </w:r>
        <w:r>
          <w:tab/>
        </w:r>
        <w:r>
          <w:fldChar w:fldCharType="begin"/>
        </w:r>
        <w:r>
          <w:instrText xml:space="preserve"> PAGEREF _Toc83625597 \h </w:instrText>
        </w:r>
        <w:r>
          <w:fldChar w:fldCharType="separate"/>
        </w:r>
        <w:r w:rsidR="005C5D7F">
          <w:t>221</w:t>
        </w:r>
        <w:r>
          <w:fldChar w:fldCharType="end"/>
        </w:r>
      </w:hyperlink>
    </w:p>
    <w:p w14:paraId="2DC21028" w14:textId="3B3C1508" w:rsidR="005E03F7" w:rsidRDefault="005E03F7">
      <w:pPr>
        <w:pStyle w:val="TOC5"/>
        <w:rPr>
          <w:rFonts w:asciiTheme="minorHAnsi" w:eastAsiaTheme="minorEastAsia" w:hAnsiTheme="minorHAnsi" w:cstheme="minorBidi"/>
          <w:sz w:val="22"/>
          <w:szCs w:val="22"/>
          <w:lang w:eastAsia="en-AU"/>
        </w:rPr>
      </w:pPr>
      <w:r>
        <w:tab/>
      </w:r>
      <w:hyperlink w:anchor="_Toc83625598" w:history="1">
        <w:r w:rsidRPr="00D90FEA">
          <w:t>226</w:t>
        </w:r>
        <w:r>
          <w:rPr>
            <w:rFonts w:asciiTheme="minorHAnsi" w:eastAsiaTheme="minorEastAsia" w:hAnsiTheme="minorHAnsi" w:cstheme="minorBidi"/>
            <w:sz w:val="22"/>
            <w:szCs w:val="22"/>
            <w:lang w:eastAsia="en-AU"/>
          </w:rPr>
          <w:tab/>
        </w:r>
        <w:r w:rsidRPr="00D90FEA">
          <w:t>Matters court may consider in deciding whether person was impaired by fatigue</w:t>
        </w:r>
        <w:r>
          <w:tab/>
        </w:r>
        <w:r>
          <w:fldChar w:fldCharType="begin"/>
        </w:r>
        <w:r>
          <w:instrText xml:space="preserve"> PAGEREF _Toc83625598 \h </w:instrText>
        </w:r>
        <w:r>
          <w:fldChar w:fldCharType="separate"/>
        </w:r>
        <w:r w:rsidR="005C5D7F">
          <w:t>221</w:t>
        </w:r>
        <w:r>
          <w:fldChar w:fldCharType="end"/>
        </w:r>
      </w:hyperlink>
    </w:p>
    <w:p w14:paraId="08F29318" w14:textId="1509A724" w:rsidR="005E03F7" w:rsidRDefault="00856BEE">
      <w:pPr>
        <w:pStyle w:val="TOC3"/>
        <w:rPr>
          <w:rFonts w:asciiTheme="minorHAnsi" w:eastAsiaTheme="minorEastAsia" w:hAnsiTheme="minorHAnsi" w:cstheme="minorBidi"/>
          <w:b w:val="0"/>
          <w:sz w:val="22"/>
          <w:szCs w:val="22"/>
          <w:lang w:eastAsia="en-AU"/>
        </w:rPr>
      </w:pPr>
      <w:hyperlink w:anchor="_Toc83625599" w:history="1">
        <w:r w:rsidR="005E03F7" w:rsidRPr="00D90FEA">
          <w:t>Division 2</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Duty to avoid fatigue</w:t>
        </w:r>
        <w:r w:rsidR="005E03F7" w:rsidRPr="005E03F7">
          <w:rPr>
            <w:vanish/>
          </w:rPr>
          <w:tab/>
        </w:r>
        <w:r w:rsidR="005E03F7" w:rsidRPr="005E03F7">
          <w:rPr>
            <w:vanish/>
          </w:rPr>
          <w:fldChar w:fldCharType="begin"/>
        </w:r>
        <w:r w:rsidR="005E03F7" w:rsidRPr="005E03F7">
          <w:rPr>
            <w:vanish/>
          </w:rPr>
          <w:instrText xml:space="preserve"> PAGEREF _Toc83625599 \h </w:instrText>
        </w:r>
        <w:r w:rsidR="005E03F7" w:rsidRPr="005E03F7">
          <w:rPr>
            <w:vanish/>
          </w:rPr>
        </w:r>
        <w:r w:rsidR="005E03F7" w:rsidRPr="005E03F7">
          <w:rPr>
            <w:vanish/>
          </w:rPr>
          <w:fldChar w:fldCharType="separate"/>
        </w:r>
        <w:r w:rsidR="005C5D7F">
          <w:rPr>
            <w:vanish/>
          </w:rPr>
          <w:t>222</w:t>
        </w:r>
        <w:r w:rsidR="005E03F7" w:rsidRPr="005E03F7">
          <w:rPr>
            <w:vanish/>
          </w:rPr>
          <w:fldChar w:fldCharType="end"/>
        </w:r>
      </w:hyperlink>
    </w:p>
    <w:p w14:paraId="5D01BAE9" w14:textId="01DB4DE5" w:rsidR="005E03F7" w:rsidRDefault="005E03F7">
      <w:pPr>
        <w:pStyle w:val="TOC5"/>
        <w:rPr>
          <w:rFonts w:asciiTheme="minorHAnsi" w:eastAsiaTheme="minorEastAsia" w:hAnsiTheme="minorHAnsi" w:cstheme="minorBidi"/>
          <w:sz w:val="22"/>
          <w:szCs w:val="22"/>
          <w:lang w:eastAsia="en-AU"/>
        </w:rPr>
      </w:pPr>
      <w:r>
        <w:tab/>
      </w:r>
      <w:hyperlink w:anchor="_Toc83625600" w:history="1">
        <w:r w:rsidRPr="00D90FEA">
          <w:t>228</w:t>
        </w:r>
        <w:r>
          <w:rPr>
            <w:rFonts w:asciiTheme="minorHAnsi" w:eastAsiaTheme="minorEastAsia" w:hAnsiTheme="minorHAnsi" w:cstheme="minorBidi"/>
            <w:sz w:val="22"/>
            <w:szCs w:val="22"/>
            <w:lang w:eastAsia="en-AU"/>
          </w:rPr>
          <w:tab/>
        </w:r>
        <w:r w:rsidRPr="00D90FEA">
          <w:t>Duty of driver to avoid driving while fatigued</w:t>
        </w:r>
        <w:r>
          <w:tab/>
        </w:r>
        <w:r>
          <w:fldChar w:fldCharType="begin"/>
        </w:r>
        <w:r>
          <w:instrText xml:space="preserve"> PAGEREF _Toc83625600 \h </w:instrText>
        </w:r>
        <w:r>
          <w:fldChar w:fldCharType="separate"/>
        </w:r>
        <w:r w:rsidR="005C5D7F">
          <w:t>222</w:t>
        </w:r>
        <w:r>
          <w:fldChar w:fldCharType="end"/>
        </w:r>
      </w:hyperlink>
    </w:p>
    <w:p w14:paraId="266C6984" w14:textId="035D43AC" w:rsidR="005E03F7" w:rsidRDefault="00856BEE">
      <w:pPr>
        <w:pStyle w:val="TOC2"/>
        <w:rPr>
          <w:rFonts w:asciiTheme="minorHAnsi" w:eastAsiaTheme="minorEastAsia" w:hAnsiTheme="minorHAnsi" w:cstheme="minorBidi"/>
          <w:b w:val="0"/>
          <w:sz w:val="22"/>
          <w:szCs w:val="22"/>
          <w:lang w:eastAsia="en-AU"/>
        </w:rPr>
      </w:pPr>
      <w:hyperlink w:anchor="_Toc83625601" w:history="1">
        <w:r w:rsidR="005E03F7" w:rsidRPr="00D90FEA">
          <w:t xml:space="preserve">Part 6.3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Requirements relating to work time and rest time</w:t>
        </w:r>
        <w:r w:rsidR="005E03F7" w:rsidRPr="005E03F7">
          <w:rPr>
            <w:vanish/>
          </w:rPr>
          <w:tab/>
        </w:r>
        <w:r w:rsidR="005E03F7" w:rsidRPr="005E03F7">
          <w:rPr>
            <w:vanish/>
          </w:rPr>
          <w:fldChar w:fldCharType="begin"/>
        </w:r>
        <w:r w:rsidR="005E03F7" w:rsidRPr="005E03F7">
          <w:rPr>
            <w:vanish/>
          </w:rPr>
          <w:instrText xml:space="preserve"> PAGEREF _Toc83625601 \h </w:instrText>
        </w:r>
        <w:r w:rsidR="005E03F7" w:rsidRPr="005E03F7">
          <w:rPr>
            <w:vanish/>
          </w:rPr>
        </w:r>
        <w:r w:rsidR="005E03F7" w:rsidRPr="005E03F7">
          <w:rPr>
            <w:vanish/>
          </w:rPr>
          <w:fldChar w:fldCharType="separate"/>
        </w:r>
        <w:r w:rsidR="005C5D7F">
          <w:rPr>
            <w:vanish/>
          </w:rPr>
          <w:t>224</w:t>
        </w:r>
        <w:r w:rsidR="005E03F7" w:rsidRPr="005E03F7">
          <w:rPr>
            <w:vanish/>
          </w:rPr>
          <w:fldChar w:fldCharType="end"/>
        </w:r>
      </w:hyperlink>
    </w:p>
    <w:p w14:paraId="2818C3DF" w14:textId="0371E5E0" w:rsidR="005E03F7" w:rsidRDefault="00856BEE">
      <w:pPr>
        <w:pStyle w:val="TOC3"/>
        <w:rPr>
          <w:rFonts w:asciiTheme="minorHAnsi" w:eastAsiaTheme="minorEastAsia" w:hAnsiTheme="minorHAnsi" w:cstheme="minorBidi"/>
          <w:b w:val="0"/>
          <w:sz w:val="22"/>
          <w:szCs w:val="22"/>
          <w:lang w:eastAsia="en-AU"/>
        </w:rPr>
      </w:pPr>
      <w:hyperlink w:anchor="_Toc83625602" w:history="1">
        <w:r w:rsidR="005E03F7" w:rsidRPr="00D90FEA">
          <w:t xml:space="preserve">Division 1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Preliminary</w:t>
        </w:r>
        <w:r w:rsidR="005E03F7" w:rsidRPr="005E03F7">
          <w:rPr>
            <w:vanish/>
          </w:rPr>
          <w:tab/>
        </w:r>
        <w:r w:rsidR="005E03F7" w:rsidRPr="005E03F7">
          <w:rPr>
            <w:vanish/>
          </w:rPr>
          <w:fldChar w:fldCharType="begin"/>
        </w:r>
        <w:r w:rsidR="005E03F7" w:rsidRPr="005E03F7">
          <w:rPr>
            <w:vanish/>
          </w:rPr>
          <w:instrText xml:space="preserve"> PAGEREF _Toc83625602 \h </w:instrText>
        </w:r>
        <w:r w:rsidR="005E03F7" w:rsidRPr="005E03F7">
          <w:rPr>
            <w:vanish/>
          </w:rPr>
        </w:r>
        <w:r w:rsidR="005E03F7" w:rsidRPr="005E03F7">
          <w:rPr>
            <w:vanish/>
          </w:rPr>
          <w:fldChar w:fldCharType="separate"/>
        </w:r>
        <w:r w:rsidR="005C5D7F">
          <w:rPr>
            <w:vanish/>
          </w:rPr>
          <w:t>224</w:t>
        </w:r>
        <w:r w:rsidR="005E03F7" w:rsidRPr="005E03F7">
          <w:rPr>
            <w:vanish/>
          </w:rPr>
          <w:fldChar w:fldCharType="end"/>
        </w:r>
      </w:hyperlink>
    </w:p>
    <w:p w14:paraId="591F1076" w14:textId="789A7336" w:rsidR="005E03F7" w:rsidRDefault="005E03F7">
      <w:pPr>
        <w:pStyle w:val="TOC5"/>
        <w:rPr>
          <w:rFonts w:asciiTheme="minorHAnsi" w:eastAsiaTheme="minorEastAsia" w:hAnsiTheme="minorHAnsi" w:cstheme="minorBidi"/>
          <w:sz w:val="22"/>
          <w:szCs w:val="22"/>
          <w:lang w:eastAsia="en-AU"/>
        </w:rPr>
      </w:pPr>
      <w:r>
        <w:tab/>
      </w:r>
      <w:hyperlink w:anchor="_Toc83625603" w:history="1">
        <w:r w:rsidRPr="00D90FEA">
          <w:t>243</w:t>
        </w:r>
        <w:r>
          <w:rPr>
            <w:rFonts w:asciiTheme="minorHAnsi" w:eastAsiaTheme="minorEastAsia" w:hAnsiTheme="minorHAnsi" w:cstheme="minorBidi"/>
            <w:sz w:val="22"/>
            <w:szCs w:val="22"/>
            <w:lang w:eastAsia="en-AU"/>
          </w:rPr>
          <w:tab/>
        </w:r>
        <w:r w:rsidRPr="00D90FEA">
          <w:t>What is a driver’s work and rest hours option</w:t>
        </w:r>
        <w:r>
          <w:tab/>
        </w:r>
        <w:r>
          <w:fldChar w:fldCharType="begin"/>
        </w:r>
        <w:r>
          <w:instrText xml:space="preserve"> PAGEREF _Toc83625603 \h </w:instrText>
        </w:r>
        <w:r>
          <w:fldChar w:fldCharType="separate"/>
        </w:r>
        <w:r w:rsidR="005C5D7F">
          <w:t>224</w:t>
        </w:r>
        <w:r>
          <w:fldChar w:fldCharType="end"/>
        </w:r>
      </w:hyperlink>
    </w:p>
    <w:p w14:paraId="17C75F87" w14:textId="1C64889E" w:rsidR="005E03F7" w:rsidRDefault="005E03F7">
      <w:pPr>
        <w:pStyle w:val="TOC5"/>
        <w:rPr>
          <w:rFonts w:asciiTheme="minorHAnsi" w:eastAsiaTheme="minorEastAsia" w:hAnsiTheme="minorHAnsi" w:cstheme="minorBidi"/>
          <w:sz w:val="22"/>
          <w:szCs w:val="22"/>
          <w:lang w:eastAsia="en-AU"/>
        </w:rPr>
      </w:pPr>
      <w:r>
        <w:tab/>
      </w:r>
      <w:hyperlink w:anchor="_Toc83625604" w:history="1">
        <w:r w:rsidRPr="00D90FEA">
          <w:t>244</w:t>
        </w:r>
        <w:r>
          <w:rPr>
            <w:rFonts w:asciiTheme="minorHAnsi" w:eastAsiaTheme="minorEastAsia" w:hAnsiTheme="minorHAnsi" w:cstheme="minorBidi"/>
            <w:sz w:val="22"/>
            <w:szCs w:val="22"/>
            <w:lang w:eastAsia="en-AU"/>
          </w:rPr>
          <w:tab/>
        </w:r>
        <w:r w:rsidRPr="00D90FEA">
          <w:t>Counting time spent in participating jurisdictions</w:t>
        </w:r>
        <w:r>
          <w:tab/>
        </w:r>
        <w:r>
          <w:fldChar w:fldCharType="begin"/>
        </w:r>
        <w:r>
          <w:instrText xml:space="preserve"> PAGEREF _Toc83625604 \h </w:instrText>
        </w:r>
        <w:r>
          <w:fldChar w:fldCharType="separate"/>
        </w:r>
        <w:r w:rsidR="005C5D7F">
          <w:t>225</w:t>
        </w:r>
        <w:r>
          <w:fldChar w:fldCharType="end"/>
        </w:r>
      </w:hyperlink>
    </w:p>
    <w:p w14:paraId="56A87DA8" w14:textId="4E0381CA" w:rsidR="005E03F7" w:rsidRDefault="005E03F7">
      <w:pPr>
        <w:pStyle w:val="TOC5"/>
        <w:rPr>
          <w:rFonts w:asciiTheme="minorHAnsi" w:eastAsiaTheme="minorEastAsia" w:hAnsiTheme="minorHAnsi" w:cstheme="minorBidi"/>
          <w:sz w:val="22"/>
          <w:szCs w:val="22"/>
          <w:lang w:eastAsia="en-AU"/>
        </w:rPr>
      </w:pPr>
      <w:r>
        <w:tab/>
      </w:r>
      <w:hyperlink w:anchor="_Toc83625605" w:history="1">
        <w:r w:rsidRPr="00D90FEA">
          <w:t>245</w:t>
        </w:r>
        <w:r>
          <w:rPr>
            <w:rFonts w:asciiTheme="minorHAnsi" w:eastAsiaTheme="minorEastAsia" w:hAnsiTheme="minorHAnsi" w:cstheme="minorBidi"/>
            <w:sz w:val="22"/>
            <w:szCs w:val="22"/>
            <w:lang w:eastAsia="en-AU"/>
          </w:rPr>
          <w:tab/>
        </w:r>
        <w:r w:rsidRPr="00D90FEA">
          <w:t>Counting time spent outside participating jurisdictions</w:t>
        </w:r>
        <w:r>
          <w:tab/>
        </w:r>
        <w:r>
          <w:fldChar w:fldCharType="begin"/>
        </w:r>
        <w:r>
          <w:instrText xml:space="preserve"> PAGEREF _Toc83625605 \h </w:instrText>
        </w:r>
        <w:r>
          <w:fldChar w:fldCharType="separate"/>
        </w:r>
        <w:r w:rsidR="005C5D7F">
          <w:t>225</w:t>
        </w:r>
        <w:r>
          <w:fldChar w:fldCharType="end"/>
        </w:r>
      </w:hyperlink>
    </w:p>
    <w:p w14:paraId="18E9780A" w14:textId="6DA24ECE" w:rsidR="005E03F7" w:rsidRDefault="005E03F7">
      <w:pPr>
        <w:pStyle w:val="TOC5"/>
        <w:rPr>
          <w:rFonts w:asciiTheme="minorHAnsi" w:eastAsiaTheme="minorEastAsia" w:hAnsiTheme="minorHAnsi" w:cstheme="minorBidi"/>
          <w:sz w:val="22"/>
          <w:szCs w:val="22"/>
          <w:lang w:eastAsia="en-AU"/>
        </w:rPr>
      </w:pPr>
      <w:r>
        <w:tab/>
      </w:r>
      <w:hyperlink w:anchor="_Toc83625606" w:history="1">
        <w:r w:rsidRPr="00D90FEA">
          <w:t>246</w:t>
        </w:r>
        <w:r>
          <w:rPr>
            <w:rFonts w:asciiTheme="minorHAnsi" w:eastAsiaTheme="minorEastAsia" w:hAnsiTheme="minorHAnsi" w:cstheme="minorBidi"/>
            <w:sz w:val="22"/>
            <w:szCs w:val="22"/>
            <w:lang w:eastAsia="en-AU"/>
          </w:rPr>
          <w:tab/>
        </w:r>
        <w:r w:rsidRPr="00D90FEA">
          <w:t>Counting periods of less than 15 minutes—written work diaries</w:t>
        </w:r>
        <w:r>
          <w:tab/>
        </w:r>
        <w:r>
          <w:fldChar w:fldCharType="begin"/>
        </w:r>
        <w:r>
          <w:instrText xml:space="preserve"> PAGEREF _Toc83625606 \h </w:instrText>
        </w:r>
        <w:r>
          <w:fldChar w:fldCharType="separate"/>
        </w:r>
        <w:r w:rsidR="005C5D7F">
          <w:t>225</w:t>
        </w:r>
        <w:r>
          <w:fldChar w:fldCharType="end"/>
        </w:r>
      </w:hyperlink>
    </w:p>
    <w:p w14:paraId="4FAEE196" w14:textId="532934CE" w:rsidR="005E03F7" w:rsidRDefault="005E03F7">
      <w:pPr>
        <w:pStyle w:val="TOC5"/>
        <w:rPr>
          <w:rFonts w:asciiTheme="minorHAnsi" w:eastAsiaTheme="minorEastAsia" w:hAnsiTheme="minorHAnsi" w:cstheme="minorBidi"/>
          <w:sz w:val="22"/>
          <w:szCs w:val="22"/>
          <w:lang w:eastAsia="en-AU"/>
        </w:rPr>
      </w:pPr>
      <w:r>
        <w:tab/>
      </w:r>
      <w:hyperlink w:anchor="_Toc83625607" w:history="1">
        <w:r w:rsidRPr="00D90FEA">
          <w:t>246A</w:t>
        </w:r>
        <w:r>
          <w:rPr>
            <w:rFonts w:asciiTheme="minorHAnsi" w:eastAsiaTheme="minorEastAsia" w:hAnsiTheme="minorHAnsi" w:cstheme="minorBidi"/>
            <w:sz w:val="22"/>
            <w:szCs w:val="22"/>
            <w:lang w:eastAsia="en-AU"/>
          </w:rPr>
          <w:tab/>
        </w:r>
        <w:r w:rsidRPr="00D90FEA">
          <w:rPr>
            <w:rFonts w:eastAsia="Arial"/>
          </w:rPr>
          <w:t>Counting periods of less than 15 minutes—electronic work diaries</w:t>
        </w:r>
        <w:r>
          <w:tab/>
        </w:r>
        <w:r>
          <w:fldChar w:fldCharType="begin"/>
        </w:r>
        <w:r>
          <w:instrText xml:space="preserve"> PAGEREF _Toc83625607 \h </w:instrText>
        </w:r>
        <w:r>
          <w:fldChar w:fldCharType="separate"/>
        </w:r>
        <w:r w:rsidR="005C5D7F">
          <w:t>226</w:t>
        </w:r>
        <w:r>
          <w:fldChar w:fldCharType="end"/>
        </w:r>
      </w:hyperlink>
    </w:p>
    <w:p w14:paraId="03111C0D" w14:textId="22EC8AEF" w:rsidR="005E03F7" w:rsidRDefault="005E03F7">
      <w:pPr>
        <w:pStyle w:val="TOC5"/>
        <w:rPr>
          <w:rFonts w:asciiTheme="minorHAnsi" w:eastAsiaTheme="minorEastAsia" w:hAnsiTheme="minorHAnsi" w:cstheme="minorBidi"/>
          <w:sz w:val="22"/>
          <w:szCs w:val="22"/>
          <w:lang w:eastAsia="en-AU"/>
        </w:rPr>
      </w:pPr>
      <w:r>
        <w:tab/>
      </w:r>
      <w:hyperlink w:anchor="_Toc83625608" w:history="1">
        <w:r w:rsidRPr="00D90FEA">
          <w:t>247</w:t>
        </w:r>
        <w:r>
          <w:rPr>
            <w:rFonts w:asciiTheme="minorHAnsi" w:eastAsiaTheme="minorEastAsia" w:hAnsiTheme="minorHAnsi" w:cstheme="minorBidi"/>
            <w:sz w:val="22"/>
            <w:szCs w:val="22"/>
            <w:lang w:eastAsia="en-AU"/>
          </w:rPr>
          <w:tab/>
        </w:r>
        <w:r w:rsidRPr="00D90FEA">
          <w:t>Time to be counted after rest time ends</w:t>
        </w:r>
        <w:r>
          <w:tab/>
        </w:r>
        <w:r>
          <w:fldChar w:fldCharType="begin"/>
        </w:r>
        <w:r>
          <w:instrText xml:space="preserve"> PAGEREF _Toc83625608 \h </w:instrText>
        </w:r>
        <w:r>
          <w:fldChar w:fldCharType="separate"/>
        </w:r>
        <w:r w:rsidR="005C5D7F">
          <w:t>227</w:t>
        </w:r>
        <w:r>
          <w:fldChar w:fldCharType="end"/>
        </w:r>
      </w:hyperlink>
    </w:p>
    <w:p w14:paraId="426DC90F" w14:textId="53652227" w:rsidR="005E03F7" w:rsidRDefault="005E03F7">
      <w:pPr>
        <w:pStyle w:val="TOC5"/>
        <w:rPr>
          <w:rFonts w:asciiTheme="minorHAnsi" w:eastAsiaTheme="minorEastAsia" w:hAnsiTheme="minorHAnsi" w:cstheme="minorBidi"/>
          <w:sz w:val="22"/>
          <w:szCs w:val="22"/>
          <w:lang w:eastAsia="en-AU"/>
        </w:rPr>
      </w:pPr>
      <w:r>
        <w:tab/>
      </w:r>
      <w:hyperlink w:anchor="_Toc83625609" w:history="1">
        <w:r w:rsidRPr="00D90FEA">
          <w:t>248</w:t>
        </w:r>
        <w:r>
          <w:rPr>
            <w:rFonts w:asciiTheme="minorHAnsi" w:eastAsiaTheme="minorEastAsia" w:hAnsiTheme="minorHAnsi" w:cstheme="minorBidi"/>
            <w:sz w:val="22"/>
            <w:szCs w:val="22"/>
            <w:lang w:eastAsia="en-AU"/>
          </w:rPr>
          <w:tab/>
        </w:r>
        <w:r w:rsidRPr="00D90FEA">
          <w:t>Time to be counted by reference to time zone of driver’s base</w:t>
        </w:r>
        <w:r>
          <w:tab/>
        </w:r>
        <w:r>
          <w:fldChar w:fldCharType="begin"/>
        </w:r>
        <w:r>
          <w:instrText xml:space="preserve"> PAGEREF _Toc83625609 \h </w:instrText>
        </w:r>
        <w:r>
          <w:fldChar w:fldCharType="separate"/>
        </w:r>
        <w:r w:rsidR="005C5D7F">
          <w:t>228</w:t>
        </w:r>
        <w:r>
          <w:fldChar w:fldCharType="end"/>
        </w:r>
      </w:hyperlink>
    </w:p>
    <w:p w14:paraId="08C70FFC" w14:textId="7D3E9877" w:rsidR="005E03F7" w:rsidRDefault="00856BEE">
      <w:pPr>
        <w:pStyle w:val="TOC3"/>
        <w:rPr>
          <w:rFonts w:asciiTheme="minorHAnsi" w:eastAsiaTheme="minorEastAsia" w:hAnsiTheme="minorHAnsi" w:cstheme="minorBidi"/>
          <w:b w:val="0"/>
          <w:sz w:val="22"/>
          <w:szCs w:val="22"/>
          <w:lang w:eastAsia="en-AU"/>
        </w:rPr>
      </w:pPr>
      <w:hyperlink w:anchor="_Toc83625610" w:history="1">
        <w:r w:rsidR="005E03F7" w:rsidRPr="00D90FEA">
          <w:t xml:space="preserve">Division 2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Standard work and rest arrangements</w:t>
        </w:r>
        <w:r w:rsidR="005E03F7" w:rsidRPr="005E03F7">
          <w:rPr>
            <w:vanish/>
          </w:rPr>
          <w:tab/>
        </w:r>
        <w:r w:rsidR="005E03F7" w:rsidRPr="005E03F7">
          <w:rPr>
            <w:vanish/>
          </w:rPr>
          <w:fldChar w:fldCharType="begin"/>
        </w:r>
        <w:r w:rsidR="005E03F7" w:rsidRPr="005E03F7">
          <w:rPr>
            <w:vanish/>
          </w:rPr>
          <w:instrText xml:space="preserve"> PAGEREF _Toc83625610 \h </w:instrText>
        </w:r>
        <w:r w:rsidR="005E03F7" w:rsidRPr="005E03F7">
          <w:rPr>
            <w:vanish/>
          </w:rPr>
        </w:r>
        <w:r w:rsidR="005E03F7" w:rsidRPr="005E03F7">
          <w:rPr>
            <w:vanish/>
          </w:rPr>
          <w:fldChar w:fldCharType="separate"/>
        </w:r>
        <w:r w:rsidR="005C5D7F">
          <w:rPr>
            <w:vanish/>
          </w:rPr>
          <w:t>229</w:t>
        </w:r>
        <w:r w:rsidR="005E03F7" w:rsidRPr="005E03F7">
          <w:rPr>
            <w:vanish/>
          </w:rPr>
          <w:fldChar w:fldCharType="end"/>
        </w:r>
      </w:hyperlink>
    </w:p>
    <w:p w14:paraId="57BCDE42" w14:textId="7A8DF2EB" w:rsidR="005E03F7" w:rsidRDefault="005E03F7">
      <w:pPr>
        <w:pStyle w:val="TOC5"/>
        <w:rPr>
          <w:rFonts w:asciiTheme="minorHAnsi" w:eastAsiaTheme="minorEastAsia" w:hAnsiTheme="minorHAnsi" w:cstheme="minorBidi"/>
          <w:sz w:val="22"/>
          <w:szCs w:val="22"/>
          <w:lang w:eastAsia="en-AU"/>
        </w:rPr>
      </w:pPr>
      <w:r>
        <w:tab/>
      </w:r>
      <w:hyperlink w:anchor="_Toc83625611" w:history="1">
        <w:r w:rsidRPr="00D90FEA">
          <w:t>249</w:t>
        </w:r>
        <w:r>
          <w:rPr>
            <w:rFonts w:asciiTheme="minorHAnsi" w:eastAsiaTheme="minorEastAsia" w:hAnsiTheme="minorHAnsi" w:cstheme="minorBidi"/>
            <w:sz w:val="22"/>
            <w:szCs w:val="22"/>
            <w:lang w:eastAsia="en-AU"/>
          </w:rPr>
          <w:tab/>
        </w:r>
        <w:r w:rsidRPr="00D90FEA">
          <w:t>Standard hours</w:t>
        </w:r>
        <w:r>
          <w:tab/>
        </w:r>
        <w:r>
          <w:fldChar w:fldCharType="begin"/>
        </w:r>
        <w:r>
          <w:instrText xml:space="preserve"> PAGEREF _Toc83625611 \h </w:instrText>
        </w:r>
        <w:r>
          <w:fldChar w:fldCharType="separate"/>
        </w:r>
        <w:r w:rsidR="005C5D7F">
          <w:t>229</w:t>
        </w:r>
        <w:r>
          <w:fldChar w:fldCharType="end"/>
        </w:r>
      </w:hyperlink>
    </w:p>
    <w:p w14:paraId="03A76E29" w14:textId="3DD62649" w:rsidR="005E03F7" w:rsidRDefault="005E03F7">
      <w:pPr>
        <w:pStyle w:val="TOC5"/>
        <w:rPr>
          <w:rFonts w:asciiTheme="minorHAnsi" w:eastAsiaTheme="minorEastAsia" w:hAnsiTheme="minorHAnsi" w:cstheme="minorBidi"/>
          <w:sz w:val="22"/>
          <w:szCs w:val="22"/>
          <w:lang w:eastAsia="en-AU"/>
        </w:rPr>
      </w:pPr>
      <w:r>
        <w:tab/>
      </w:r>
      <w:hyperlink w:anchor="_Toc83625612" w:history="1">
        <w:r w:rsidRPr="00D90FEA">
          <w:t>250</w:t>
        </w:r>
        <w:r>
          <w:rPr>
            <w:rFonts w:asciiTheme="minorHAnsi" w:eastAsiaTheme="minorEastAsia" w:hAnsiTheme="minorHAnsi" w:cstheme="minorBidi"/>
            <w:sz w:val="22"/>
            <w:szCs w:val="22"/>
            <w:lang w:eastAsia="en-AU"/>
          </w:rPr>
          <w:tab/>
        </w:r>
        <w:r w:rsidRPr="00D90FEA">
          <w:t>Operating under standard hours—solo drivers</w:t>
        </w:r>
        <w:r>
          <w:tab/>
        </w:r>
        <w:r>
          <w:fldChar w:fldCharType="begin"/>
        </w:r>
        <w:r>
          <w:instrText xml:space="preserve"> PAGEREF _Toc83625612 \h </w:instrText>
        </w:r>
        <w:r>
          <w:fldChar w:fldCharType="separate"/>
        </w:r>
        <w:r w:rsidR="005C5D7F">
          <w:t>229</w:t>
        </w:r>
        <w:r>
          <w:fldChar w:fldCharType="end"/>
        </w:r>
      </w:hyperlink>
    </w:p>
    <w:p w14:paraId="4939C8C0" w14:textId="417832B4" w:rsidR="005E03F7" w:rsidRDefault="005E03F7">
      <w:pPr>
        <w:pStyle w:val="TOC5"/>
        <w:rPr>
          <w:rFonts w:asciiTheme="minorHAnsi" w:eastAsiaTheme="minorEastAsia" w:hAnsiTheme="minorHAnsi" w:cstheme="minorBidi"/>
          <w:sz w:val="22"/>
          <w:szCs w:val="22"/>
          <w:lang w:eastAsia="en-AU"/>
        </w:rPr>
      </w:pPr>
      <w:r>
        <w:tab/>
      </w:r>
      <w:hyperlink w:anchor="_Toc83625613" w:history="1">
        <w:r w:rsidRPr="00D90FEA">
          <w:t>251</w:t>
        </w:r>
        <w:r>
          <w:rPr>
            <w:rFonts w:asciiTheme="minorHAnsi" w:eastAsiaTheme="minorEastAsia" w:hAnsiTheme="minorHAnsi" w:cstheme="minorBidi"/>
            <w:sz w:val="22"/>
            <w:szCs w:val="22"/>
            <w:lang w:eastAsia="en-AU"/>
          </w:rPr>
          <w:tab/>
        </w:r>
        <w:r w:rsidRPr="00D90FEA">
          <w:t>Operating under standard hours—two-up drivers</w:t>
        </w:r>
        <w:r>
          <w:tab/>
        </w:r>
        <w:r>
          <w:fldChar w:fldCharType="begin"/>
        </w:r>
        <w:r>
          <w:instrText xml:space="preserve"> PAGEREF _Toc83625613 \h </w:instrText>
        </w:r>
        <w:r>
          <w:fldChar w:fldCharType="separate"/>
        </w:r>
        <w:r w:rsidR="005C5D7F">
          <w:t>230</w:t>
        </w:r>
        <w:r>
          <w:fldChar w:fldCharType="end"/>
        </w:r>
      </w:hyperlink>
    </w:p>
    <w:p w14:paraId="48D74DE2" w14:textId="3F5FBC02" w:rsidR="005E03F7" w:rsidRDefault="005E03F7">
      <w:pPr>
        <w:pStyle w:val="TOC5"/>
        <w:rPr>
          <w:rFonts w:asciiTheme="minorHAnsi" w:eastAsiaTheme="minorEastAsia" w:hAnsiTheme="minorHAnsi" w:cstheme="minorBidi"/>
          <w:sz w:val="22"/>
          <w:szCs w:val="22"/>
          <w:lang w:eastAsia="en-AU"/>
        </w:rPr>
      </w:pPr>
      <w:r>
        <w:tab/>
      </w:r>
      <w:hyperlink w:anchor="_Toc83625614" w:history="1">
        <w:r w:rsidRPr="00D90FEA">
          <w:t>252</w:t>
        </w:r>
        <w:r>
          <w:rPr>
            <w:rFonts w:asciiTheme="minorHAnsi" w:eastAsiaTheme="minorEastAsia" w:hAnsiTheme="minorHAnsi" w:cstheme="minorBidi"/>
            <w:sz w:val="22"/>
            <w:szCs w:val="22"/>
            <w:lang w:eastAsia="en-AU"/>
          </w:rPr>
          <w:tab/>
        </w:r>
        <w:r w:rsidRPr="00D90FEA">
          <w:t>Defence relating to short rest breaks for drivers operating under standard hours</w:t>
        </w:r>
        <w:r>
          <w:tab/>
        </w:r>
        <w:r>
          <w:fldChar w:fldCharType="begin"/>
        </w:r>
        <w:r>
          <w:instrText xml:space="preserve"> PAGEREF _Toc83625614 \h </w:instrText>
        </w:r>
        <w:r>
          <w:fldChar w:fldCharType="separate"/>
        </w:r>
        <w:r w:rsidR="005C5D7F">
          <w:t>231</w:t>
        </w:r>
        <w:r>
          <w:fldChar w:fldCharType="end"/>
        </w:r>
      </w:hyperlink>
    </w:p>
    <w:p w14:paraId="06D3B2AB" w14:textId="633D38BE" w:rsidR="005E03F7" w:rsidRDefault="00856BEE">
      <w:pPr>
        <w:pStyle w:val="TOC3"/>
        <w:rPr>
          <w:rFonts w:asciiTheme="minorHAnsi" w:eastAsiaTheme="minorEastAsia" w:hAnsiTheme="minorHAnsi" w:cstheme="minorBidi"/>
          <w:b w:val="0"/>
          <w:sz w:val="22"/>
          <w:szCs w:val="22"/>
          <w:lang w:eastAsia="en-AU"/>
        </w:rPr>
      </w:pPr>
      <w:hyperlink w:anchor="_Toc83625615" w:history="1">
        <w:r w:rsidR="005E03F7" w:rsidRPr="00D90FEA">
          <w:t xml:space="preserve">Division 3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BFM work and rest arrangements</w:t>
        </w:r>
        <w:r w:rsidR="005E03F7" w:rsidRPr="005E03F7">
          <w:rPr>
            <w:vanish/>
          </w:rPr>
          <w:tab/>
        </w:r>
        <w:r w:rsidR="005E03F7" w:rsidRPr="005E03F7">
          <w:rPr>
            <w:vanish/>
          </w:rPr>
          <w:fldChar w:fldCharType="begin"/>
        </w:r>
        <w:r w:rsidR="005E03F7" w:rsidRPr="005E03F7">
          <w:rPr>
            <w:vanish/>
          </w:rPr>
          <w:instrText xml:space="preserve"> PAGEREF _Toc83625615 \h </w:instrText>
        </w:r>
        <w:r w:rsidR="005E03F7" w:rsidRPr="005E03F7">
          <w:rPr>
            <w:vanish/>
          </w:rPr>
        </w:r>
        <w:r w:rsidR="005E03F7" w:rsidRPr="005E03F7">
          <w:rPr>
            <w:vanish/>
          </w:rPr>
          <w:fldChar w:fldCharType="separate"/>
        </w:r>
        <w:r w:rsidR="005C5D7F">
          <w:rPr>
            <w:vanish/>
          </w:rPr>
          <w:t>232</w:t>
        </w:r>
        <w:r w:rsidR="005E03F7" w:rsidRPr="005E03F7">
          <w:rPr>
            <w:vanish/>
          </w:rPr>
          <w:fldChar w:fldCharType="end"/>
        </w:r>
      </w:hyperlink>
    </w:p>
    <w:p w14:paraId="0279FC41" w14:textId="7C3C4F6C" w:rsidR="005E03F7" w:rsidRDefault="005E03F7">
      <w:pPr>
        <w:pStyle w:val="TOC5"/>
        <w:rPr>
          <w:rFonts w:asciiTheme="minorHAnsi" w:eastAsiaTheme="minorEastAsia" w:hAnsiTheme="minorHAnsi" w:cstheme="minorBidi"/>
          <w:sz w:val="22"/>
          <w:szCs w:val="22"/>
          <w:lang w:eastAsia="en-AU"/>
        </w:rPr>
      </w:pPr>
      <w:r>
        <w:tab/>
      </w:r>
      <w:hyperlink w:anchor="_Toc83625616" w:history="1">
        <w:r w:rsidRPr="00D90FEA">
          <w:t>253</w:t>
        </w:r>
        <w:r>
          <w:rPr>
            <w:rFonts w:asciiTheme="minorHAnsi" w:eastAsiaTheme="minorEastAsia" w:hAnsiTheme="minorHAnsi" w:cstheme="minorBidi"/>
            <w:sz w:val="22"/>
            <w:szCs w:val="22"/>
            <w:lang w:eastAsia="en-AU"/>
          </w:rPr>
          <w:tab/>
        </w:r>
        <w:r w:rsidRPr="00D90FEA">
          <w:t>BFM hours</w:t>
        </w:r>
        <w:r>
          <w:tab/>
        </w:r>
        <w:r>
          <w:fldChar w:fldCharType="begin"/>
        </w:r>
        <w:r>
          <w:instrText xml:space="preserve"> PAGEREF _Toc83625616 \h </w:instrText>
        </w:r>
        <w:r>
          <w:fldChar w:fldCharType="separate"/>
        </w:r>
        <w:r w:rsidR="005C5D7F">
          <w:t>232</w:t>
        </w:r>
        <w:r>
          <w:fldChar w:fldCharType="end"/>
        </w:r>
      </w:hyperlink>
    </w:p>
    <w:p w14:paraId="1CCEEA96" w14:textId="6A13D000" w:rsidR="005E03F7" w:rsidRDefault="005E03F7">
      <w:pPr>
        <w:pStyle w:val="TOC5"/>
        <w:rPr>
          <w:rFonts w:asciiTheme="minorHAnsi" w:eastAsiaTheme="minorEastAsia" w:hAnsiTheme="minorHAnsi" w:cstheme="minorBidi"/>
          <w:sz w:val="22"/>
          <w:szCs w:val="22"/>
          <w:lang w:eastAsia="en-AU"/>
        </w:rPr>
      </w:pPr>
      <w:r>
        <w:tab/>
      </w:r>
      <w:hyperlink w:anchor="_Toc83625617" w:history="1">
        <w:r w:rsidRPr="00D90FEA">
          <w:t>254</w:t>
        </w:r>
        <w:r>
          <w:rPr>
            <w:rFonts w:asciiTheme="minorHAnsi" w:eastAsiaTheme="minorEastAsia" w:hAnsiTheme="minorHAnsi" w:cstheme="minorBidi"/>
            <w:sz w:val="22"/>
            <w:szCs w:val="22"/>
            <w:lang w:eastAsia="en-AU"/>
          </w:rPr>
          <w:tab/>
        </w:r>
        <w:r w:rsidRPr="00D90FEA">
          <w:t>Operating under BFM hours—solo drivers</w:t>
        </w:r>
        <w:r>
          <w:tab/>
        </w:r>
        <w:r>
          <w:fldChar w:fldCharType="begin"/>
        </w:r>
        <w:r>
          <w:instrText xml:space="preserve"> PAGEREF _Toc83625617 \h </w:instrText>
        </w:r>
        <w:r>
          <w:fldChar w:fldCharType="separate"/>
        </w:r>
        <w:r w:rsidR="005C5D7F">
          <w:t>233</w:t>
        </w:r>
        <w:r>
          <w:fldChar w:fldCharType="end"/>
        </w:r>
      </w:hyperlink>
    </w:p>
    <w:p w14:paraId="490A2CF9" w14:textId="5C356899" w:rsidR="005E03F7" w:rsidRDefault="005E03F7">
      <w:pPr>
        <w:pStyle w:val="TOC5"/>
        <w:rPr>
          <w:rFonts w:asciiTheme="minorHAnsi" w:eastAsiaTheme="minorEastAsia" w:hAnsiTheme="minorHAnsi" w:cstheme="minorBidi"/>
          <w:sz w:val="22"/>
          <w:szCs w:val="22"/>
          <w:lang w:eastAsia="en-AU"/>
        </w:rPr>
      </w:pPr>
      <w:r>
        <w:tab/>
      </w:r>
      <w:hyperlink w:anchor="_Toc83625618" w:history="1">
        <w:r w:rsidRPr="00D90FEA">
          <w:t>255</w:t>
        </w:r>
        <w:r>
          <w:rPr>
            <w:rFonts w:asciiTheme="minorHAnsi" w:eastAsiaTheme="minorEastAsia" w:hAnsiTheme="minorHAnsi" w:cstheme="minorBidi"/>
            <w:sz w:val="22"/>
            <w:szCs w:val="22"/>
            <w:lang w:eastAsia="en-AU"/>
          </w:rPr>
          <w:tab/>
        </w:r>
        <w:r w:rsidRPr="00D90FEA">
          <w:t>Defence for solo drivers operating under BFM hours relating to split rest breaks</w:t>
        </w:r>
        <w:r>
          <w:tab/>
        </w:r>
        <w:r>
          <w:fldChar w:fldCharType="begin"/>
        </w:r>
        <w:r>
          <w:instrText xml:space="preserve"> PAGEREF _Toc83625618 \h </w:instrText>
        </w:r>
        <w:r>
          <w:fldChar w:fldCharType="separate"/>
        </w:r>
        <w:r w:rsidR="005C5D7F">
          <w:t>233</w:t>
        </w:r>
        <w:r>
          <w:fldChar w:fldCharType="end"/>
        </w:r>
      </w:hyperlink>
    </w:p>
    <w:p w14:paraId="266C2AF2" w14:textId="2CD4C40E" w:rsidR="005E03F7" w:rsidRDefault="005E03F7">
      <w:pPr>
        <w:pStyle w:val="TOC5"/>
        <w:rPr>
          <w:rFonts w:asciiTheme="minorHAnsi" w:eastAsiaTheme="minorEastAsia" w:hAnsiTheme="minorHAnsi" w:cstheme="minorBidi"/>
          <w:sz w:val="22"/>
          <w:szCs w:val="22"/>
          <w:lang w:eastAsia="en-AU"/>
        </w:rPr>
      </w:pPr>
      <w:r>
        <w:tab/>
      </w:r>
      <w:hyperlink w:anchor="_Toc83625619" w:history="1">
        <w:r w:rsidRPr="00D90FEA">
          <w:t>256</w:t>
        </w:r>
        <w:r>
          <w:rPr>
            <w:rFonts w:asciiTheme="minorHAnsi" w:eastAsiaTheme="minorEastAsia" w:hAnsiTheme="minorHAnsi" w:cstheme="minorBidi"/>
            <w:sz w:val="22"/>
            <w:szCs w:val="22"/>
            <w:lang w:eastAsia="en-AU"/>
          </w:rPr>
          <w:tab/>
        </w:r>
        <w:r w:rsidRPr="00D90FEA">
          <w:t>Operating under BFM hours—two-up drivers</w:t>
        </w:r>
        <w:r>
          <w:tab/>
        </w:r>
        <w:r>
          <w:fldChar w:fldCharType="begin"/>
        </w:r>
        <w:r>
          <w:instrText xml:space="preserve"> PAGEREF _Toc83625619 \h </w:instrText>
        </w:r>
        <w:r>
          <w:fldChar w:fldCharType="separate"/>
        </w:r>
        <w:r w:rsidR="005C5D7F">
          <w:t>234</w:t>
        </w:r>
        <w:r>
          <w:fldChar w:fldCharType="end"/>
        </w:r>
      </w:hyperlink>
    </w:p>
    <w:p w14:paraId="1EB83B44" w14:textId="25C5C5D8" w:rsidR="005E03F7" w:rsidRDefault="00856BEE">
      <w:pPr>
        <w:pStyle w:val="TOC3"/>
        <w:rPr>
          <w:rFonts w:asciiTheme="minorHAnsi" w:eastAsiaTheme="minorEastAsia" w:hAnsiTheme="minorHAnsi" w:cstheme="minorBidi"/>
          <w:b w:val="0"/>
          <w:sz w:val="22"/>
          <w:szCs w:val="22"/>
          <w:lang w:eastAsia="en-AU"/>
        </w:rPr>
      </w:pPr>
      <w:hyperlink w:anchor="_Toc83625620" w:history="1">
        <w:r w:rsidR="005E03F7" w:rsidRPr="00D90FEA">
          <w:t xml:space="preserve">Division 4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AFM work and rest arrangements</w:t>
        </w:r>
        <w:r w:rsidR="005E03F7" w:rsidRPr="005E03F7">
          <w:rPr>
            <w:vanish/>
          </w:rPr>
          <w:tab/>
        </w:r>
        <w:r w:rsidR="005E03F7" w:rsidRPr="005E03F7">
          <w:rPr>
            <w:vanish/>
          </w:rPr>
          <w:fldChar w:fldCharType="begin"/>
        </w:r>
        <w:r w:rsidR="005E03F7" w:rsidRPr="005E03F7">
          <w:rPr>
            <w:vanish/>
          </w:rPr>
          <w:instrText xml:space="preserve"> PAGEREF _Toc83625620 \h </w:instrText>
        </w:r>
        <w:r w:rsidR="005E03F7" w:rsidRPr="005E03F7">
          <w:rPr>
            <w:vanish/>
          </w:rPr>
        </w:r>
        <w:r w:rsidR="005E03F7" w:rsidRPr="005E03F7">
          <w:rPr>
            <w:vanish/>
          </w:rPr>
          <w:fldChar w:fldCharType="separate"/>
        </w:r>
        <w:r w:rsidR="005C5D7F">
          <w:rPr>
            <w:vanish/>
          </w:rPr>
          <w:t>235</w:t>
        </w:r>
        <w:r w:rsidR="005E03F7" w:rsidRPr="005E03F7">
          <w:rPr>
            <w:vanish/>
          </w:rPr>
          <w:fldChar w:fldCharType="end"/>
        </w:r>
      </w:hyperlink>
    </w:p>
    <w:p w14:paraId="1CC65FC5" w14:textId="46A2D8D2" w:rsidR="005E03F7" w:rsidRDefault="005E03F7">
      <w:pPr>
        <w:pStyle w:val="TOC5"/>
        <w:rPr>
          <w:rFonts w:asciiTheme="minorHAnsi" w:eastAsiaTheme="minorEastAsia" w:hAnsiTheme="minorHAnsi" w:cstheme="minorBidi"/>
          <w:sz w:val="22"/>
          <w:szCs w:val="22"/>
          <w:lang w:eastAsia="en-AU"/>
        </w:rPr>
      </w:pPr>
      <w:r>
        <w:tab/>
      </w:r>
      <w:hyperlink w:anchor="_Toc83625621" w:history="1">
        <w:r w:rsidRPr="00D90FEA">
          <w:t>257</w:t>
        </w:r>
        <w:r>
          <w:rPr>
            <w:rFonts w:asciiTheme="minorHAnsi" w:eastAsiaTheme="minorEastAsia" w:hAnsiTheme="minorHAnsi" w:cstheme="minorBidi"/>
            <w:sz w:val="22"/>
            <w:szCs w:val="22"/>
            <w:lang w:eastAsia="en-AU"/>
          </w:rPr>
          <w:tab/>
        </w:r>
        <w:r w:rsidRPr="00D90FEA">
          <w:t>AFM hours</w:t>
        </w:r>
        <w:r>
          <w:tab/>
        </w:r>
        <w:r>
          <w:fldChar w:fldCharType="begin"/>
        </w:r>
        <w:r>
          <w:instrText xml:space="preserve"> PAGEREF _Toc83625621 \h </w:instrText>
        </w:r>
        <w:r>
          <w:fldChar w:fldCharType="separate"/>
        </w:r>
        <w:r w:rsidR="005C5D7F">
          <w:t>235</w:t>
        </w:r>
        <w:r>
          <w:fldChar w:fldCharType="end"/>
        </w:r>
      </w:hyperlink>
    </w:p>
    <w:p w14:paraId="0154C7A9" w14:textId="761ADA7C" w:rsidR="005E03F7" w:rsidRDefault="005E03F7">
      <w:pPr>
        <w:pStyle w:val="TOC5"/>
        <w:rPr>
          <w:rFonts w:asciiTheme="minorHAnsi" w:eastAsiaTheme="minorEastAsia" w:hAnsiTheme="minorHAnsi" w:cstheme="minorBidi"/>
          <w:sz w:val="22"/>
          <w:szCs w:val="22"/>
          <w:lang w:eastAsia="en-AU"/>
        </w:rPr>
      </w:pPr>
      <w:r>
        <w:tab/>
      </w:r>
      <w:hyperlink w:anchor="_Toc83625622" w:history="1">
        <w:r w:rsidRPr="00D90FEA">
          <w:t>258</w:t>
        </w:r>
        <w:r>
          <w:rPr>
            <w:rFonts w:asciiTheme="minorHAnsi" w:eastAsiaTheme="minorEastAsia" w:hAnsiTheme="minorHAnsi" w:cstheme="minorBidi"/>
            <w:sz w:val="22"/>
            <w:szCs w:val="22"/>
            <w:lang w:eastAsia="en-AU"/>
          </w:rPr>
          <w:tab/>
        </w:r>
        <w:r w:rsidRPr="00D90FEA">
          <w:t>Operating under AFM hours</w:t>
        </w:r>
        <w:r>
          <w:tab/>
        </w:r>
        <w:r>
          <w:fldChar w:fldCharType="begin"/>
        </w:r>
        <w:r>
          <w:instrText xml:space="preserve"> PAGEREF _Toc83625622 \h </w:instrText>
        </w:r>
        <w:r>
          <w:fldChar w:fldCharType="separate"/>
        </w:r>
        <w:r w:rsidR="005C5D7F">
          <w:t>235</w:t>
        </w:r>
        <w:r>
          <w:fldChar w:fldCharType="end"/>
        </w:r>
      </w:hyperlink>
    </w:p>
    <w:p w14:paraId="2C7C4FA0" w14:textId="0E0E8F5F" w:rsidR="005E03F7" w:rsidRDefault="00856BEE">
      <w:pPr>
        <w:pStyle w:val="TOC3"/>
        <w:rPr>
          <w:rFonts w:asciiTheme="minorHAnsi" w:eastAsiaTheme="minorEastAsia" w:hAnsiTheme="minorHAnsi" w:cstheme="minorBidi"/>
          <w:b w:val="0"/>
          <w:sz w:val="22"/>
          <w:szCs w:val="22"/>
          <w:lang w:eastAsia="en-AU"/>
        </w:rPr>
      </w:pPr>
      <w:hyperlink w:anchor="_Toc83625623" w:history="1">
        <w:r w:rsidR="005E03F7" w:rsidRPr="00D90FEA">
          <w:t xml:space="preserve">Division 5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Arrangements under work and rest hours exemption</w:t>
        </w:r>
        <w:r w:rsidR="005E03F7" w:rsidRPr="005E03F7">
          <w:rPr>
            <w:vanish/>
          </w:rPr>
          <w:tab/>
        </w:r>
        <w:r w:rsidR="005E03F7" w:rsidRPr="005E03F7">
          <w:rPr>
            <w:vanish/>
          </w:rPr>
          <w:fldChar w:fldCharType="begin"/>
        </w:r>
        <w:r w:rsidR="005E03F7" w:rsidRPr="005E03F7">
          <w:rPr>
            <w:vanish/>
          </w:rPr>
          <w:instrText xml:space="preserve"> PAGEREF _Toc83625623 \h </w:instrText>
        </w:r>
        <w:r w:rsidR="005E03F7" w:rsidRPr="005E03F7">
          <w:rPr>
            <w:vanish/>
          </w:rPr>
        </w:r>
        <w:r w:rsidR="005E03F7" w:rsidRPr="005E03F7">
          <w:rPr>
            <w:vanish/>
          </w:rPr>
          <w:fldChar w:fldCharType="separate"/>
        </w:r>
        <w:r w:rsidR="005C5D7F">
          <w:rPr>
            <w:vanish/>
          </w:rPr>
          <w:t>236</w:t>
        </w:r>
        <w:r w:rsidR="005E03F7" w:rsidRPr="005E03F7">
          <w:rPr>
            <w:vanish/>
          </w:rPr>
          <w:fldChar w:fldCharType="end"/>
        </w:r>
      </w:hyperlink>
    </w:p>
    <w:p w14:paraId="38076D91" w14:textId="0EF17870" w:rsidR="005E03F7" w:rsidRDefault="005E03F7">
      <w:pPr>
        <w:pStyle w:val="TOC5"/>
        <w:rPr>
          <w:rFonts w:asciiTheme="minorHAnsi" w:eastAsiaTheme="minorEastAsia" w:hAnsiTheme="minorHAnsi" w:cstheme="minorBidi"/>
          <w:sz w:val="22"/>
          <w:szCs w:val="22"/>
          <w:lang w:eastAsia="en-AU"/>
        </w:rPr>
      </w:pPr>
      <w:r>
        <w:tab/>
      </w:r>
      <w:hyperlink w:anchor="_Toc83625624" w:history="1">
        <w:r w:rsidRPr="00D90FEA">
          <w:t>259</w:t>
        </w:r>
        <w:r>
          <w:rPr>
            <w:rFonts w:asciiTheme="minorHAnsi" w:eastAsiaTheme="minorEastAsia" w:hAnsiTheme="minorHAnsi" w:cstheme="minorBidi"/>
            <w:sz w:val="22"/>
            <w:szCs w:val="22"/>
            <w:lang w:eastAsia="en-AU"/>
          </w:rPr>
          <w:tab/>
        </w:r>
        <w:r w:rsidRPr="00D90FEA">
          <w:t>Exemption hours</w:t>
        </w:r>
        <w:r>
          <w:tab/>
        </w:r>
        <w:r>
          <w:fldChar w:fldCharType="begin"/>
        </w:r>
        <w:r>
          <w:instrText xml:space="preserve"> PAGEREF _Toc83625624 \h </w:instrText>
        </w:r>
        <w:r>
          <w:fldChar w:fldCharType="separate"/>
        </w:r>
        <w:r w:rsidR="005C5D7F">
          <w:t>236</w:t>
        </w:r>
        <w:r>
          <w:fldChar w:fldCharType="end"/>
        </w:r>
      </w:hyperlink>
    </w:p>
    <w:p w14:paraId="10031AC0" w14:textId="4391686D" w:rsidR="005E03F7" w:rsidRDefault="005E03F7">
      <w:pPr>
        <w:pStyle w:val="TOC5"/>
        <w:rPr>
          <w:rFonts w:asciiTheme="minorHAnsi" w:eastAsiaTheme="minorEastAsia" w:hAnsiTheme="minorHAnsi" w:cstheme="minorBidi"/>
          <w:sz w:val="22"/>
          <w:szCs w:val="22"/>
          <w:lang w:eastAsia="en-AU"/>
        </w:rPr>
      </w:pPr>
      <w:r>
        <w:tab/>
      </w:r>
      <w:hyperlink w:anchor="_Toc83625625" w:history="1">
        <w:r w:rsidRPr="00D90FEA">
          <w:t>260</w:t>
        </w:r>
        <w:r>
          <w:rPr>
            <w:rFonts w:asciiTheme="minorHAnsi" w:eastAsiaTheme="minorEastAsia" w:hAnsiTheme="minorHAnsi" w:cstheme="minorBidi"/>
            <w:sz w:val="22"/>
            <w:szCs w:val="22"/>
            <w:lang w:eastAsia="en-AU"/>
          </w:rPr>
          <w:tab/>
        </w:r>
        <w:r w:rsidRPr="00D90FEA">
          <w:t>Operating under exemption hours</w:t>
        </w:r>
        <w:r>
          <w:tab/>
        </w:r>
        <w:r>
          <w:fldChar w:fldCharType="begin"/>
        </w:r>
        <w:r>
          <w:instrText xml:space="preserve"> PAGEREF _Toc83625625 \h </w:instrText>
        </w:r>
        <w:r>
          <w:fldChar w:fldCharType="separate"/>
        </w:r>
        <w:r w:rsidR="005C5D7F">
          <w:t>236</w:t>
        </w:r>
        <w:r>
          <w:fldChar w:fldCharType="end"/>
        </w:r>
      </w:hyperlink>
    </w:p>
    <w:p w14:paraId="6225E30F" w14:textId="4DE42593" w:rsidR="005E03F7" w:rsidRDefault="00856BEE">
      <w:pPr>
        <w:pStyle w:val="TOC3"/>
        <w:rPr>
          <w:rFonts w:asciiTheme="minorHAnsi" w:eastAsiaTheme="minorEastAsia" w:hAnsiTheme="minorHAnsi" w:cstheme="minorBidi"/>
          <w:b w:val="0"/>
          <w:sz w:val="22"/>
          <w:szCs w:val="22"/>
          <w:lang w:eastAsia="en-AU"/>
        </w:rPr>
      </w:pPr>
      <w:hyperlink w:anchor="_Toc83625626" w:history="1">
        <w:r w:rsidR="005E03F7" w:rsidRPr="00D90FEA">
          <w:t xml:space="preserve">Division 7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Changing work and rest hours option</w:t>
        </w:r>
        <w:r w:rsidR="005E03F7" w:rsidRPr="005E03F7">
          <w:rPr>
            <w:vanish/>
          </w:rPr>
          <w:tab/>
        </w:r>
        <w:r w:rsidR="005E03F7" w:rsidRPr="005E03F7">
          <w:rPr>
            <w:vanish/>
          </w:rPr>
          <w:fldChar w:fldCharType="begin"/>
        </w:r>
        <w:r w:rsidR="005E03F7" w:rsidRPr="005E03F7">
          <w:rPr>
            <w:vanish/>
          </w:rPr>
          <w:instrText xml:space="preserve"> PAGEREF _Toc83625626 \h </w:instrText>
        </w:r>
        <w:r w:rsidR="005E03F7" w:rsidRPr="005E03F7">
          <w:rPr>
            <w:vanish/>
          </w:rPr>
        </w:r>
        <w:r w:rsidR="005E03F7" w:rsidRPr="005E03F7">
          <w:rPr>
            <w:vanish/>
          </w:rPr>
          <w:fldChar w:fldCharType="separate"/>
        </w:r>
        <w:r w:rsidR="005C5D7F">
          <w:rPr>
            <w:vanish/>
          </w:rPr>
          <w:t>237</w:t>
        </w:r>
        <w:r w:rsidR="005E03F7" w:rsidRPr="005E03F7">
          <w:rPr>
            <w:vanish/>
          </w:rPr>
          <w:fldChar w:fldCharType="end"/>
        </w:r>
      </w:hyperlink>
    </w:p>
    <w:p w14:paraId="62848FD6" w14:textId="45ADB956" w:rsidR="005E03F7" w:rsidRDefault="005E03F7">
      <w:pPr>
        <w:pStyle w:val="TOC5"/>
        <w:rPr>
          <w:rFonts w:asciiTheme="minorHAnsi" w:eastAsiaTheme="minorEastAsia" w:hAnsiTheme="minorHAnsi" w:cstheme="minorBidi"/>
          <w:sz w:val="22"/>
          <w:szCs w:val="22"/>
          <w:lang w:eastAsia="en-AU"/>
        </w:rPr>
      </w:pPr>
      <w:r>
        <w:tab/>
      </w:r>
      <w:hyperlink w:anchor="_Toc83625627" w:history="1">
        <w:r w:rsidRPr="00D90FEA">
          <w:t>262</w:t>
        </w:r>
        <w:r>
          <w:rPr>
            <w:rFonts w:asciiTheme="minorHAnsi" w:eastAsiaTheme="minorEastAsia" w:hAnsiTheme="minorHAnsi" w:cstheme="minorBidi"/>
            <w:sz w:val="22"/>
            <w:szCs w:val="22"/>
            <w:lang w:eastAsia="en-AU"/>
          </w:rPr>
          <w:tab/>
        </w:r>
        <w:r w:rsidRPr="00D90FEA">
          <w:t>Changing work and rest hours option</w:t>
        </w:r>
        <w:r>
          <w:tab/>
        </w:r>
        <w:r>
          <w:fldChar w:fldCharType="begin"/>
        </w:r>
        <w:r>
          <w:instrText xml:space="preserve"> PAGEREF _Toc83625627 \h </w:instrText>
        </w:r>
        <w:r>
          <w:fldChar w:fldCharType="separate"/>
        </w:r>
        <w:r w:rsidR="005C5D7F">
          <w:t>237</w:t>
        </w:r>
        <w:r>
          <w:fldChar w:fldCharType="end"/>
        </w:r>
      </w:hyperlink>
    </w:p>
    <w:p w14:paraId="128EF955" w14:textId="33582638" w:rsidR="005E03F7" w:rsidRDefault="005E03F7">
      <w:pPr>
        <w:pStyle w:val="TOC5"/>
        <w:rPr>
          <w:rFonts w:asciiTheme="minorHAnsi" w:eastAsiaTheme="minorEastAsia" w:hAnsiTheme="minorHAnsi" w:cstheme="minorBidi"/>
          <w:sz w:val="22"/>
          <w:szCs w:val="22"/>
          <w:lang w:eastAsia="en-AU"/>
        </w:rPr>
      </w:pPr>
      <w:r>
        <w:tab/>
      </w:r>
      <w:hyperlink w:anchor="_Toc83625628" w:history="1">
        <w:r w:rsidRPr="00D90FEA">
          <w:t>263</w:t>
        </w:r>
        <w:r>
          <w:rPr>
            <w:rFonts w:asciiTheme="minorHAnsi" w:eastAsiaTheme="minorEastAsia" w:hAnsiTheme="minorHAnsi" w:cstheme="minorBidi"/>
            <w:sz w:val="22"/>
            <w:szCs w:val="22"/>
            <w:lang w:eastAsia="en-AU"/>
          </w:rPr>
          <w:tab/>
        </w:r>
        <w:r w:rsidRPr="00D90FEA">
          <w:t>Operating under new work and rest hours option after change</w:t>
        </w:r>
        <w:r>
          <w:tab/>
        </w:r>
        <w:r>
          <w:fldChar w:fldCharType="begin"/>
        </w:r>
        <w:r>
          <w:instrText xml:space="preserve"> PAGEREF _Toc83625628 \h </w:instrText>
        </w:r>
        <w:r>
          <w:fldChar w:fldCharType="separate"/>
        </w:r>
        <w:r w:rsidR="005C5D7F">
          <w:t>237</w:t>
        </w:r>
        <w:r>
          <w:fldChar w:fldCharType="end"/>
        </w:r>
      </w:hyperlink>
    </w:p>
    <w:p w14:paraId="11FFFDA2" w14:textId="43AC9903" w:rsidR="005E03F7" w:rsidRDefault="005E03F7">
      <w:pPr>
        <w:pStyle w:val="TOC5"/>
        <w:rPr>
          <w:rFonts w:asciiTheme="minorHAnsi" w:eastAsiaTheme="minorEastAsia" w:hAnsiTheme="minorHAnsi" w:cstheme="minorBidi"/>
          <w:sz w:val="22"/>
          <w:szCs w:val="22"/>
          <w:lang w:eastAsia="en-AU"/>
        </w:rPr>
      </w:pPr>
      <w:r>
        <w:tab/>
      </w:r>
      <w:hyperlink w:anchor="_Toc83625629" w:history="1">
        <w:r w:rsidRPr="00D90FEA">
          <w:t>264</w:t>
        </w:r>
        <w:r>
          <w:rPr>
            <w:rFonts w:asciiTheme="minorHAnsi" w:eastAsiaTheme="minorEastAsia" w:hAnsiTheme="minorHAnsi" w:cstheme="minorBidi"/>
            <w:sz w:val="22"/>
            <w:szCs w:val="22"/>
            <w:lang w:eastAsia="en-AU"/>
          </w:rPr>
          <w:tab/>
        </w:r>
        <w:r w:rsidRPr="00D90FEA">
          <w:t>Duty of employer, prime contractor, operator and scheduler to ensure driver compliance</w:t>
        </w:r>
        <w:r>
          <w:tab/>
        </w:r>
        <w:r>
          <w:fldChar w:fldCharType="begin"/>
        </w:r>
        <w:r>
          <w:instrText xml:space="preserve"> PAGEREF _Toc83625629 \h </w:instrText>
        </w:r>
        <w:r>
          <w:fldChar w:fldCharType="separate"/>
        </w:r>
        <w:r w:rsidR="005C5D7F">
          <w:t>238</w:t>
        </w:r>
        <w:r>
          <w:fldChar w:fldCharType="end"/>
        </w:r>
      </w:hyperlink>
    </w:p>
    <w:p w14:paraId="24B1FBD5" w14:textId="0A1E92F3" w:rsidR="005E03F7" w:rsidRDefault="00856BEE">
      <w:pPr>
        <w:pStyle w:val="TOC3"/>
        <w:rPr>
          <w:rFonts w:asciiTheme="minorHAnsi" w:eastAsiaTheme="minorEastAsia" w:hAnsiTheme="minorHAnsi" w:cstheme="minorBidi"/>
          <w:b w:val="0"/>
          <w:sz w:val="22"/>
          <w:szCs w:val="22"/>
          <w:lang w:eastAsia="en-AU"/>
        </w:rPr>
      </w:pPr>
      <w:hyperlink w:anchor="_Toc83625630" w:history="1">
        <w:r w:rsidR="005E03F7" w:rsidRPr="00D90FEA">
          <w:t xml:space="preserve">Division 8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Exemptions relating to work times and rest times</w:t>
        </w:r>
        <w:r w:rsidR="005E03F7" w:rsidRPr="005E03F7">
          <w:rPr>
            <w:vanish/>
          </w:rPr>
          <w:tab/>
        </w:r>
        <w:r w:rsidR="005E03F7" w:rsidRPr="005E03F7">
          <w:rPr>
            <w:vanish/>
          </w:rPr>
          <w:fldChar w:fldCharType="begin"/>
        </w:r>
        <w:r w:rsidR="005E03F7" w:rsidRPr="005E03F7">
          <w:rPr>
            <w:vanish/>
          </w:rPr>
          <w:instrText xml:space="preserve"> PAGEREF _Toc83625630 \h </w:instrText>
        </w:r>
        <w:r w:rsidR="005E03F7" w:rsidRPr="005E03F7">
          <w:rPr>
            <w:vanish/>
          </w:rPr>
        </w:r>
        <w:r w:rsidR="005E03F7" w:rsidRPr="005E03F7">
          <w:rPr>
            <w:vanish/>
          </w:rPr>
          <w:fldChar w:fldCharType="separate"/>
        </w:r>
        <w:r w:rsidR="005C5D7F">
          <w:rPr>
            <w:vanish/>
          </w:rPr>
          <w:t>239</w:t>
        </w:r>
        <w:r w:rsidR="005E03F7" w:rsidRPr="005E03F7">
          <w:rPr>
            <w:vanish/>
          </w:rPr>
          <w:fldChar w:fldCharType="end"/>
        </w:r>
      </w:hyperlink>
    </w:p>
    <w:p w14:paraId="5B16D4E6" w14:textId="3745C062" w:rsidR="005E03F7" w:rsidRDefault="00856BEE">
      <w:pPr>
        <w:pStyle w:val="TOC4"/>
        <w:rPr>
          <w:rFonts w:asciiTheme="minorHAnsi" w:eastAsiaTheme="minorEastAsia" w:hAnsiTheme="minorHAnsi" w:cstheme="minorBidi"/>
          <w:b w:val="0"/>
          <w:sz w:val="22"/>
          <w:szCs w:val="22"/>
          <w:lang w:eastAsia="en-AU"/>
        </w:rPr>
      </w:pPr>
      <w:hyperlink w:anchor="_Toc83625631" w:history="1">
        <w:r w:rsidR="005E03F7" w:rsidRPr="00D90FEA">
          <w:t xml:space="preserve">Subdivision 1 </w:t>
        </w:r>
        <w:r w:rsidR="005E03F7">
          <w:rPr>
            <w:rFonts w:asciiTheme="minorHAnsi" w:eastAsiaTheme="minorEastAsia" w:hAnsiTheme="minorHAnsi" w:cstheme="minorBidi"/>
            <w:b w:val="0"/>
            <w:sz w:val="22"/>
            <w:szCs w:val="22"/>
            <w:lang w:eastAsia="en-AU"/>
          </w:rPr>
          <w:tab/>
        </w:r>
        <w:r w:rsidR="005E03F7" w:rsidRPr="00D90FEA">
          <w:t>Exemption for emergency services</w:t>
        </w:r>
        <w:r w:rsidR="005E03F7" w:rsidRPr="005E03F7">
          <w:rPr>
            <w:vanish/>
          </w:rPr>
          <w:tab/>
        </w:r>
        <w:r w:rsidR="005E03F7" w:rsidRPr="005E03F7">
          <w:rPr>
            <w:vanish/>
          </w:rPr>
          <w:fldChar w:fldCharType="begin"/>
        </w:r>
        <w:r w:rsidR="005E03F7" w:rsidRPr="005E03F7">
          <w:rPr>
            <w:vanish/>
          </w:rPr>
          <w:instrText xml:space="preserve"> PAGEREF _Toc83625631 \h </w:instrText>
        </w:r>
        <w:r w:rsidR="005E03F7" w:rsidRPr="005E03F7">
          <w:rPr>
            <w:vanish/>
          </w:rPr>
        </w:r>
        <w:r w:rsidR="005E03F7" w:rsidRPr="005E03F7">
          <w:rPr>
            <w:vanish/>
          </w:rPr>
          <w:fldChar w:fldCharType="separate"/>
        </w:r>
        <w:r w:rsidR="005C5D7F">
          <w:rPr>
            <w:vanish/>
          </w:rPr>
          <w:t>239</w:t>
        </w:r>
        <w:r w:rsidR="005E03F7" w:rsidRPr="005E03F7">
          <w:rPr>
            <w:vanish/>
          </w:rPr>
          <w:fldChar w:fldCharType="end"/>
        </w:r>
      </w:hyperlink>
    </w:p>
    <w:p w14:paraId="15F25014" w14:textId="1F693E64" w:rsidR="005E03F7" w:rsidRDefault="005E03F7">
      <w:pPr>
        <w:pStyle w:val="TOC5"/>
        <w:rPr>
          <w:rFonts w:asciiTheme="minorHAnsi" w:eastAsiaTheme="minorEastAsia" w:hAnsiTheme="minorHAnsi" w:cstheme="minorBidi"/>
          <w:sz w:val="22"/>
          <w:szCs w:val="22"/>
          <w:lang w:eastAsia="en-AU"/>
        </w:rPr>
      </w:pPr>
      <w:r>
        <w:tab/>
      </w:r>
      <w:hyperlink w:anchor="_Toc83625632" w:history="1">
        <w:r w:rsidRPr="00D90FEA">
          <w:t>265</w:t>
        </w:r>
        <w:r>
          <w:rPr>
            <w:rFonts w:asciiTheme="minorHAnsi" w:eastAsiaTheme="minorEastAsia" w:hAnsiTheme="minorHAnsi" w:cstheme="minorBidi"/>
            <w:sz w:val="22"/>
            <w:szCs w:val="22"/>
            <w:lang w:eastAsia="en-AU"/>
          </w:rPr>
          <w:tab/>
        </w:r>
        <w:r w:rsidRPr="00D90FEA">
          <w:t>Emergency services exemption</w:t>
        </w:r>
        <w:r>
          <w:tab/>
        </w:r>
        <w:r>
          <w:fldChar w:fldCharType="begin"/>
        </w:r>
        <w:r>
          <w:instrText xml:space="preserve"> PAGEREF _Toc83625632 \h </w:instrText>
        </w:r>
        <w:r>
          <w:fldChar w:fldCharType="separate"/>
        </w:r>
        <w:r w:rsidR="005C5D7F">
          <w:t>239</w:t>
        </w:r>
        <w:r>
          <w:fldChar w:fldCharType="end"/>
        </w:r>
      </w:hyperlink>
    </w:p>
    <w:p w14:paraId="0BF6BE8D" w14:textId="05AA5A91" w:rsidR="005E03F7" w:rsidRDefault="00856BEE">
      <w:pPr>
        <w:pStyle w:val="TOC4"/>
        <w:rPr>
          <w:rFonts w:asciiTheme="minorHAnsi" w:eastAsiaTheme="minorEastAsia" w:hAnsiTheme="minorHAnsi" w:cstheme="minorBidi"/>
          <w:b w:val="0"/>
          <w:sz w:val="22"/>
          <w:szCs w:val="22"/>
          <w:lang w:eastAsia="en-AU"/>
        </w:rPr>
      </w:pPr>
      <w:hyperlink w:anchor="_Toc83625633" w:history="1">
        <w:r w:rsidR="005E03F7" w:rsidRPr="00D90FEA">
          <w:t xml:space="preserve">Subdivision 2 </w:t>
        </w:r>
        <w:r w:rsidR="005E03F7">
          <w:rPr>
            <w:rFonts w:asciiTheme="minorHAnsi" w:eastAsiaTheme="minorEastAsia" w:hAnsiTheme="minorHAnsi" w:cstheme="minorBidi"/>
            <w:b w:val="0"/>
            <w:sz w:val="22"/>
            <w:szCs w:val="22"/>
            <w:lang w:eastAsia="en-AU"/>
          </w:rPr>
          <w:tab/>
        </w:r>
        <w:r w:rsidR="005E03F7" w:rsidRPr="00D90FEA">
          <w:t>Exemptions by Commonwealth Gazette notice</w:t>
        </w:r>
        <w:r w:rsidR="005E03F7" w:rsidRPr="005E03F7">
          <w:rPr>
            <w:vanish/>
          </w:rPr>
          <w:tab/>
        </w:r>
        <w:r w:rsidR="005E03F7" w:rsidRPr="005E03F7">
          <w:rPr>
            <w:vanish/>
          </w:rPr>
          <w:fldChar w:fldCharType="begin"/>
        </w:r>
        <w:r w:rsidR="005E03F7" w:rsidRPr="005E03F7">
          <w:rPr>
            <w:vanish/>
          </w:rPr>
          <w:instrText xml:space="preserve"> PAGEREF _Toc83625633 \h </w:instrText>
        </w:r>
        <w:r w:rsidR="005E03F7" w:rsidRPr="005E03F7">
          <w:rPr>
            <w:vanish/>
          </w:rPr>
        </w:r>
        <w:r w:rsidR="005E03F7" w:rsidRPr="005E03F7">
          <w:rPr>
            <w:vanish/>
          </w:rPr>
          <w:fldChar w:fldCharType="separate"/>
        </w:r>
        <w:r w:rsidR="005C5D7F">
          <w:rPr>
            <w:vanish/>
          </w:rPr>
          <w:t>241</w:t>
        </w:r>
        <w:r w:rsidR="005E03F7" w:rsidRPr="005E03F7">
          <w:rPr>
            <w:vanish/>
          </w:rPr>
          <w:fldChar w:fldCharType="end"/>
        </w:r>
      </w:hyperlink>
    </w:p>
    <w:p w14:paraId="13F8CBF1" w14:textId="32364639" w:rsidR="005E03F7" w:rsidRDefault="005E03F7">
      <w:pPr>
        <w:pStyle w:val="TOC5"/>
        <w:rPr>
          <w:rFonts w:asciiTheme="minorHAnsi" w:eastAsiaTheme="minorEastAsia" w:hAnsiTheme="minorHAnsi" w:cstheme="minorBidi"/>
          <w:sz w:val="22"/>
          <w:szCs w:val="22"/>
          <w:lang w:eastAsia="en-AU"/>
        </w:rPr>
      </w:pPr>
      <w:r>
        <w:tab/>
      </w:r>
      <w:hyperlink w:anchor="_Toc83625634" w:history="1">
        <w:r w:rsidRPr="00D90FEA">
          <w:t>266</w:t>
        </w:r>
        <w:r>
          <w:rPr>
            <w:rFonts w:asciiTheme="minorHAnsi" w:eastAsiaTheme="minorEastAsia" w:hAnsiTheme="minorHAnsi" w:cstheme="minorBidi"/>
            <w:sz w:val="22"/>
            <w:szCs w:val="22"/>
            <w:lang w:eastAsia="en-AU"/>
          </w:rPr>
          <w:tab/>
        </w:r>
        <w:r w:rsidRPr="00D90FEA">
          <w:t>Regulator’s power to exempt class of drivers from particular maximum work requirements and minimum rest requirements</w:t>
        </w:r>
        <w:r>
          <w:tab/>
        </w:r>
        <w:r>
          <w:fldChar w:fldCharType="begin"/>
        </w:r>
        <w:r>
          <w:instrText xml:space="preserve"> PAGEREF _Toc83625634 \h </w:instrText>
        </w:r>
        <w:r>
          <w:fldChar w:fldCharType="separate"/>
        </w:r>
        <w:r w:rsidR="005C5D7F">
          <w:t>241</w:t>
        </w:r>
        <w:r>
          <w:fldChar w:fldCharType="end"/>
        </w:r>
      </w:hyperlink>
    </w:p>
    <w:p w14:paraId="4AB4902D" w14:textId="5D3D13A7" w:rsidR="005E03F7" w:rsidRDefault="005E03F7">
      <w:pPr>
        <w:pStyle w:val="TOC5"/>
        <w:rPr>
          <w:rFonts w:asciiTheme="minorHAnsi" w:eastAsiaTheme="minorEastAsia" w:hAnsiTheme="minorHAnsi" w:cstheme="minorBidi"/>
          <w:sz w:val="22"/>
          <w:szCs w:val="22"/>
          <w:lang w:eastAsia="en-AU"/>
        </w:rPr>
      </w:pPr>
      <w:r>
        <w:tab/>
      </w:r>
      <w:hyperlink w:anchor="_Toc83625635" w:history="1">
        <w:r w:rsidRPr="00D90FEA">
          <w:t>267</w:t>
        </w:r>
        <w:r>
          <w:rPr>
            <w:rFonts w:asciiTheme="minorHAnsi" w:eastAsiaTheme="minorEastAsia" w:hAnsiTheme="minorHAnsi" w:cstheme="minorBidi"/>
            <w:sz w:val="22"/>
            <w:szCs w:val="22"/>
            <w:lang w:eastAsia="en-AU"/>
          </w:rPr>
          <w:tab/>
        </w:r>
        <w:r w:rsidRPr="00D90FEA">
          <w:t>Restriction on grant of work and rest hours exemption (notice)</w:t>
        </w:r>
        <w:r>
          <w:tab/>
        </w:r>
        <w:r>
          <w:fldChar w:fldCharType="begin"/>
        </w:r>
        <w:r>
          <w:instrText xml:space="preserve"> PAGEREF _Toc83625635 \h </w:instrText>
        </w:r>
        <w:r>
          <w:fldChar w:fldCharType="separate"/>
        </w:r>
        <w:r w:rsidR="005C5D7F">
          <w:t>241</w:t>
        </w:r>
        <w:r>
          <w:fldChar w:fldCharType="end"/>
        </w:r>
      </w:hyperlink>
    </w:p>
    <w:p w14:paraId="0C0BEDF6" w14:textId="0ABF3D4B" w:rsidR="005E03F7" w:rsidRDefault="005E03F7">
      <w:pPr>
        <w:pStyle w:val="TOC5"/>
        <w:rPr>
          <w:rFonts w:asciiTheme="minorHAnsi" w:eastAsiaTheme="minorEastAsia" w:hAnsiTheme="minorHAnsi" w:cstheme="minorBidi"/>
          <w:sz w:val="22"/>
          <w:szCs w:val="22"/>
          <w:lang w:eastAsia="en-AU"/>
        </w:rPr>
      </w:pPr>
      <w:r>
        <w:tab/>
      </w:r>
      <w:hyperlink w:anchor="_Toc83625636" w:history="1">
        <w:r w:rsidRPr="00D90FEA">
          <w:t>268</w:t>
        </w:r>
        <w:r>
          <w:rPr>
            <w:rFonts w:asciiTheme="minorHAnsi" w:eastAsiaTheme="minorEastAsia" w:hAnsiTheme="minorHAnsi" w:cstheme="minorBidi"/>
            <w:sz w:val="22"/>
            <w:szCs w:val="22"/>
            <w:lang w:eastAsia="en-AU"/>
          </w:rPr>
          <w:tab/>
        </w:r>
        <w:r w:rsidRPr="00D90FEA">
          <w:t>Conditions of work and rest hours exemption (notice)</w:t>
        </w:r>
        <w:r>
          <w:tab/>
        </w:r>
        <w:r>
          <w:fldChar w:fldCharType="begin"/>
        </w:r>
        <w:r>
          <w:instrText xml:space="preserve"> PAGEREF _Toc83625636 \h </w:instrText>
        </w:r>
        <w:r>
          <w:fldChar w:fldCharType="separate"/>
        </w:r>
        <w:r w:rsidR="005C5D7F">
          <w:t>242</w:t>
        </w:r>
        <w:r>
          <w:fldChar w:fldCharType="end"/>
        </w:r>
      </w:hyperlink>
    </w:p>
    <w:p w14:paraId="40B4A127" w14:textId="5DD16DB9" w:rsidR="005E03F7" w:rsidRDefault="005E03F7">
      <w:pPr>
        <w:pStyle w:val="TOC5"/>
        <w:rPr>
          <w:rFonts w:asciiTheme="minorHAnsi" w:eastAsiaTheme="minorEastAsia" w:hAnsiTheme="minorHAnsi" w:cstheme="minorBidi"/>
          <w:sz w:val="22"/>
          <w:szCs w:val="22"/>
          <w:lang w:eastAsia="en-AU"/>
        </w:rPr>
      </w:pPr>
      <w:r>
        <w:tab/>
      </w:r>
      <w:hyperlink w:anchor="_Toc83625637" w:history="1">
        <w:r w:rsidRPr="00D90FEA">
          <w:t>269</w:t>
        </w:r>
        <w:r>
          <w:rPr>
            <w:rFonts w:asciiTheme="minorHAnsi" w:eastAsiaTheme="minorEastAsia" w:hAnsiTheme="minorHAnsi" w:cstheme="minorBidi"/>
            <w:sz w:val="22"/>
            <w:szCs w:val="22"/>
            <w:lang w:eastAsia="en-AU"/>
          </w:rPr>
          <w:tab/>
        </w:r>
        <w:r w:rsidRPr="00D90FEA">
          <w:t>Period for which work and rest hours exemption (notice) applies</w:t>
        </w:r>
        <w:r>
          <w:tab/>
        </w:r>
        <w:r>
          <w:fldChar w:fldCharType="begin"/>
        </w:r>
        <w:r>
          <w:instrText xml:space="preserve"> PAGEREF _Toc83625637 \h </w:instrText>
        </w:r>
        <w:r>
          <w:fldChar w:fldCharType="separate"/>
        </w:r>
        <w:r w:rsidR="005C5D7F">
          <w:t>243</w:t>
        </w:r>
        <w:r>
          <w:fldChar w:fldCharType="end"/>
        </w:r>
      </w:hyperlink>
    </w:p>
    <w:p w14:paraId="6C972424" w14:textId="76126136" w:rsidR="005E03F7" w:rsidRDefault="005E03F7">
      <w:pPr>
        <w:pStyle w:val="TOC5"/>
        <w:rPr>
          <w:rFonts w:asciiTheme="minorHAnsi" w:eastAsiaTheme="minorEastAsia" w:hAnsiTheme="minorHAnsi" w:cstheme="minorBidi"/>
          <w:sz w:val="22"/>
          <w:szCs w:val="22"/>
          <w:lang w:eastAsia="en-AU"/>
        </w:rPr>
      </w:pPr>
      <w:r>
        <w:tab/>
      </w:r>
      <w:hyperlink w:anchor="_Toc83625638" w:history="1">
        <w:r w:rsidRPr="00D90FEA">
          <w:t>270</w:t>
        </w:r>
        <w:r>
          <w:rPr>
            <w:rFonts w:asciiTheme="minorHAnsi" w:eastAsiaTheme="minorEastAsia" w:hAnsiTheme="minorHAnsi" w:cstheme="minorBidi"/>
            <w:sz w:val="22"/>
            <w:szCs w:val="22"/>
            <w:lang w:eastAsia="en-AU"/>
          </w:rPr>
          <w:tab/>
        </w:r>
        <w:r w:rsidRPr="00D90FEA">
          <w:t>Requirements about Commonwealth Gazette notice</w:t>
        </w:r>
        <w:r>
          <w:tab/>
        </w:r>
        <w:r>
          <w:fldChar w:fldCharType="begin"/>
        </w:r>
        <w:r>
          <w:instrText xml:space="preserve"> PAGEREF _Toc83625638 \h </w:instrText>
        </w:r>
        <w:r>
          <w:fldChar w:fldCharType="separate"/>
        </w:r>
        <w:r w:rsidR="005C5D7F">
          <w:t>243</w:t>
        </w:r>
        <w:r>
          <w:fldChar w:fldCharType="end"/>
        </w:r>
      </w:hyperlink>
    </w:p>
    <w:p w14:paraId="7D526426" w14:textId="051DA933" w:rsidR="005E03F7" w:rsidRDefault="005E03F7">
      <w:pPr>
        <w:pStyle w:val="TOC5"/>
        <w:rPr>
          <w:rFonts w:asciiTheme="minorHAnsi" w:eastAsiaTheme="minorEastAsia" w:hAnsiTheme="minorHAnsi" w:cstheme="minorBidi"/>
          <w:sz w:val="22"/>
          <w:szCs w:val="22"/>
          <w:lang w:eastAsia="en-AU"/>
        </w:rPr>
      </w:pPr>
      <w:r>
        <w:tab/>
      </w:r>
      <w:hyperlink w:anchor="_Toc83625639" w:history="1">
        <w:r w:rsidRPr="00D90FEA">
          <w:t>271</w:t>
        </w:r>
        <w:r>
          <w:rPr>
            <w:rFonts w:asciiTheme="minorHAnsi" w:eastAsiaTheme="minorEastAsia" w:hAnsiTheme="minorHAnsi" w:cstheme="minorBidi"/>
            <w:sz w:val="22"/>
            <w:szCs w:val="22"/>
            <w:lang w:eastAsia="en-AU"/>
          </w:rPr>
          <w:tab/>
        </w:r>
        <w:r w:rsidRPr="00D90FEA">
          <w:t>Amendment or cancellation of work and rest hours exemption (notice)</w:t>
        </w:r>
        <w:r>
          <w:tab/>
        </w:r>
        <w:r>
          <w:fldChar w:fldCharType="begin"/>
        </w:r>
        <w:r>
          <w:instrText xml:space="preserve"> PAGEREF _Toc83625639 \h </w:instrText>
        </w:r>
        <w:r>
          <w:fldChar w:fldCharType="separate"/>
        </w:r>
        <w:r w:rsidR="005C5D7F">
          <w:t>244</w:t>
        </w:r>
        <w:r>
          <w:fldChar w:fldCharType="end"/>
        </w:r>
      </w:hyperlink>
    </w:p>
    <w:p w14:paraId="5CD8F55F" w14:textId="27140A71" w:rsidR="005E03F7" w:rsidRDefault="005E03F7">
      <w:pPr>
        <w:pStyle w:val="TOC5"/>
        <w:rPr>
          <w:rFonts w:asciiTheme="minorHAnsi" w:eastAsiaTheme="minorEastAsia" w:hAnsiTheme="minorHAnsi" w:cstheme="minorBidi"/>
          <w:sz w:val="22"/>
          <w:szCs w:val="22"/>
          <w:lang w:eastAsia="en-AU"/>
        </w:rPr>
      </w:pPr>
      <w:r>
        <w:tab/>
      </w:r>
      <w:hyperlink w:anchor="_Toc83625640" w:history="1">
        <w:r w:rsidRPr="00D90FEA">
          <w:t>272</w:t>
        </w:r>
        <w:r>
          <w:rPr>
            <w:rFonts w:asciiTheme="minorHAnsi" w:eastAsiaTheme="minorEastAsia" w:hAnsiTheme="minorHAnsi" w:cstheme="minorBidi"/>
            <w:sz w:val="22"/>
            <w:szCs w:val="22"/>
            <w:lang w:eastAsia="en-AU"/>
          </w:rPr>
          <w:tab/>
        </w:r>
        <w:r w:rsidRPr="00D90FEA">
          <w:t>Immediate suspension</w:t>
        </w:r>
        <w:r>
          <w:tab/>
        </w:r>
        <w:r>
          <w:fldChar w:fldCharType="begin"/>
        </w:r>
        <w:r>
          <w:instrText xml:space="preserve"> PAGEREF _Toc83625640 \h </w:instrText>
        </w:r>
        <w:r>
          <w:fldChar w:fldCharType="separate"/>
        </w:r>
        <w:r w:rsidR="005C5D7F">
          <w:t>245</w:t>
        </w:r>
        <w:r>
          <w:fldChar w:fldCharType="end"/>
        </w:r>
      </w:hyperlink>
    </w:p>
    <w:p w14:paraId="0A4A2930" w14:textId="3D37E09F" w:rsidR="005E03F7" w:rsidRDefault="00856BEE">
      <w:pPr>
        <w:pStyle w:val="TOC4"/>
        <w:rPr>
          <w:rFonts w:asciiTheme="minorHAnsi" w:eastAsiaTheme="minorEastAsia" w:hAnsiTheme="minorHAnsi" w:cstheme="minorBidi"/>
          <w:b w:val="0"/>
          <w:sz w:val="22"/>
          <w:szCs w:val="22"/>
          <w:lang w:eastAsia="en-AU"/>
        </w:rPr>
      </w:pPr>
      <w:hyperlink w:anchor="_Toc83625641" w:history="1">
        <w:r w:rsidR="005E03F7" w:rsidRPr="00D90FEA">
          <w:t xml:space="preserve">Subdivision 3 </w:t>
        </w:r>
        <w:r w:rsidR="005E03F7">
          <w:rPr>
            <w:rFonts w:asciiTheme="minorHAnsi" w:eastAsiaTheme="minorEastAsia" w:hAnsiTheme="minorHAnsi" w:cstheme="minorBidi"/>
            <w:b w:val="0"/>
            <w:sz w:val="22"/>
            <w:szCs w:val="22"/>
            <w:lang w:eastAsia="en-AU"/>
          </w:rPr>
          <w:tab/>
        </w:r>
        <w:r w:rsidR="005E03F7" w:rsidRPr="00D90FEA">
          <w:t>Exemptions by permit</w:t>
        </w:r>
        <w:r w:rsidR="005E03F7" w:rsidRPr="005E03F7">
          <w:rPr>
            <w:vanish/>
          </w:rPr>
          <w:tab/>
        </w:r>
        <w:r w:rsidR="005E03F7" w:rsidRPr="005E03F7">
          <w:rPr>
            <w:vanish/>
          </w:rPr>
          <w:fldChar w:fldCharType="begin"/>
        </w:r>
        <w:r w:rsidR="005E03F7" w:rsidRPr="005E03F7">
          <w:rPr>
            <w:vanish/>
          </w:rPr>
          <w:instrText xml:space="preserve"> PAGEREF _Toc83625641 \h </w:instrText>
        </w:r>
        <w:r w:rsidR="005E03F7" w:rsidRPr="005E03F7">
          <w:rPr>
            <w:vanish/>
          </w:rPr>
        </w:r>
        <w:r w:rsidR="005E03F7" w:rsidRPr="005E03F7">
          <w:rPr>
            <w:vanish/>
          </w:rPr>
          <w:fldChar w:fldCharType="separate"/>
        </w:r>
        <w:r w:rsidR="005C5D7F">
          <w:rPr>
            <w:vanish/>
          </w:rPr>
          <w:t>246</w:t>
        </w:r>
        <w:r w:rsidR="005E03F7" w:rsidRPr="005E03F7">
          <w:rPr>
            <w:vanish/>
          </w:rPr>
          <w:fldChar w:fldCharType="end"/>
        </w:r>
      </w:hyperlink>
    </w:p>
    <w:p w14:paraId="5A1ACA96" w14:textId="582A157E" w:rsidR="005E03F7" w:rsidRDefault="005E03F7">
      <w:pPr>
        <w:pStyle w:val="TOC5"/>
        <w:rPr>
          <w:rFonts w:asciiTheme="minorHAnsi" w:eastAsiaTheme="minorEastAsia" w:hAnsiTheme="minorHAnsi" w:cstheme="minorBidi"/>
          <w:sz w:val="22"/>
          <w:szCs w:val="22"/>
          <w:lang w:eastAsia="en-AU"/>
        </w:rPr>
      </w:pPr>
      <w:r>
        <w:tab/>
      </w:r>
      <w:hyperlink w:anchor="_Toc83625642" w:history="1">
        <w:r w:rsidRPr="00D90FEA">
          <w:t>273</w:t>
        </w:r>
        <w:r>
          <w:rPr>
            <w:rFonts w:asciiTheme="minorHAnsi" w:eastAsiaTheme="minorEastAsia" w:hAnsiTheme="minorHAnsi" w:cstheme="minorBidi"/>
            <w:sz w:val="22"/>
            <w:szCs w:val="22"/>
            <w:lang w:eastAsia="en-AU"/>
          </w:rPr>
          <w:tab/>
        </w:r>
        <w:r w:rsidRPr="00D90FEA">
          <w:t>Regulator’s power to exempt drivers from particular maximum work requirements and minimum rest requirements</w:t>
        </w:r>
        <w:r>
          <w:tab/>
        </w:r>
        <w:r>
          <w:fldChar w:fldCharType="begin"/>
        </w:r>
        <w:r>
          <w:instrText xml:space="preserve"> PAGEREF _Toc83625642 \h </w:instrText>
        </w:r>
        <w:r>
          <w:fldChar w:fldCharType="separate"/>
        </w:r>
        <w:r w:rsidR="005C5D7F">
          <w:t>246</w:t>
        </w:r>
        <w:r>
          <w:fldChar w:fldCharType="end"/>
        </w:r>
      </w:hyperlink>
    </w:p>
    <w:p w14:paraId="50DAC684" w14:textId="50E2DB9F" w:rsidR="005E03F7" w:rsidRDefault="005E03F7">
      <w:pPr>
        <w:pStyle w:val="TOC5"/>
        <w:rPr>
          <w:rFonts w:asciiTheme="minorHAnsi" w:eastAsiaTheme="minorEastAsia" w:hAnsiTheme="minorHAnsi" w:cstheme="minorBidi"/>
          <w:sz w:val="22"/>
          <w:szCs w:val="22"/>
          <w:lang w:eastAsia="en-AU"/>
        </w:rPr>
      </w:pPr>
      <w:r>
        <w:tab/>
      </w:r>
      <w:hyperlink w:anchor="_Toc83625643" w:history="1">
        <w:r w:rsidRPr="00D90FEA">
          <w:t>274</w:t>
        </w:r>
        <w:r>
          <w:rPr>
            <w:rFonts w:asciiTheme="minorHAnsi" w:eastAsiaTheme="minorEastAsia" w:hAnsiTheme="minorHAnsi" w:cstheme="minorBidi"/>
            <w:sz w:val="22"/>
            <w:szCs w:val="22"/>
            <w:lang w:eastAsia="en-AU"/>
          </w:rPr>
          <w:tab/>
        </w:r>
        <w:r w:rsidRPr="00D90FEA">
          <w:t>Application for work and rest hours exemption (permit)</w:t>
        </w:r>
        <w:r>
          <w:tab/>
        </w:r>
        <w:r>
          <w:fldChar w:fldCharType="begin"/>
        </w:r>
        <w:r>
          <w:instrText xml:space="preserve"> PAGEREF _Toc83625643 \h </w:instrText>
        </w:r>
        <w:r>
          <w:fldChar w:fldCharType="separate"/>
        </w:r>
        <w:r w:rsidR="005C5D7F">
          <w:t>247</w:t>
        </w:r>
        <w:r>
          <w:fldChar w:fldCharType="end"/>
        </w:r>
      </w:hyperlink>
    </w:p>
    <w:p w14:paraId="73FE909D" w14:textId="3B408F18" w:rsidR="005E03F7" w:rsidRDefault="005E03F7">
      <w:pPr>
        <w:pStyle w:val="TOC5"/>
        <w:rPr>
          <w:rFonts w:asciiTheme="minorHAnsi" w:eastAsiaTheme="minorEastAsia" w:hAnsiTheme="minorHAnsi" w:cstheme="minorBidi"/>
          <w:sz w:val="22"/>
          <w:szCs w:val="22"/>
          <w:lang w:eastAsia="en-AU"/>
        </w:rPr>
      </w:pPr>
      <w:r>
        <w:tab/>
      </w:r>
      <w:hyperlink w:anchor="_Toc83625644" w:history="1">
        <w:r w:rsidRPr="00D90FEA">
          <w:t>275</w:t>
        </w:r>
        <w:r>
          <w:rPr>
            <w:rFonts w:asciiTheme="minorHAnsi" w:eastAsiaTheme="minorEastAsia" w:hAnsiTheme="minorHAnsi" w:cstheme="minorBidi"/>
            <w:sz w:val="22"/>
            <w:szCs w:val="22"/>
            <w:lang w:eastAsia="en-AU"/>
          </w:rPr>
          <w:tab/>
        </w:r>
        <w:r w:rsidRPr="00D90FEA">
          <w:t>Restriction on grant of work and rest hours exemption (permit)</w:t>
        </w:r>
        <w:r>
          <w:tab/>
        </w:r>
        <w:r>
          <w:fldChar w:fldCharType="begin"/>
        </w:r>
        <w:r>
          <w:instrText xml:space="preserve"> PAGEREF _Toc83625644 \h </w:instrText>
        </w:r>
        <w:r>
          <w:fldChar w:fldCharType="separate"/>
        </w:r>
        <w:r w:rsidR="005C5D7F">
          <w:t>248</w:t>
        </w:r>
        <w:r>
          <w:fldChar w:fldCharType="end"/>
        </w:r>
      </w:hyperlink>
    </w:p>
    <w:p w14:paraId="07FECF00" w14:textId="61DFD893" w:rsidR="005E03F7" w:rsidRDefault="005E03F7">
      <w:pPr>
        <w:pStyle w:val="TOC5"/>
        <w:rPr>
          <w:rFonts w:asciiTheme="minorHAnsi" w:eastAsiaTheme="minorEastAsia" w:hAnsiTheme="minorHAnsi" w:cstheme="minorBidi"/>
          <w:sz w:val="22"/>
          <w:szCs w:val="22"/>
          <w:lang w:eastAsia="en-AU"/>
        </w:rPr>
      </w:pPr>
      <w:r>
        <w:tab/>
      </w:r>
      <w:hyperlink w:anchor="_Toc83625645" w:history="1">
        <w:r w:rsidRPr="00D90FEA">
          <w:t>276</w:t>
        </w:r>
        <w:r>
          <w:rPr>
            <w:rFonts w:asciiTheme="minorHAnsi" w:eastAsiaTheme="minorEastAsia" w:hAnsiTheme="minorHAnsi" w:cstheme="minorBidi"/>
            <w:sz w:val="22"/>
            <w:szCs w:val="22"/>
            <w:lang w:eastAsia="en-AU"/>
          </w:rPr>
          <w:tab/>
        </w:r>
        <w:r w:rsidRPr="00D90FEA">
          <w:t>Conditions of work and rest hours exemption (permit)</w:t>
        </w:r>
        <w:r>
          <w:tab/>
        </w:r>
        <w:r>
          <w:fldChar w:fldCharType="begin"/>
        </w:r>
        <w:r>
          <w:instrText xml:space="preserve"> PAGEREF _Toc83625645 \h </w:instrText>
        </w:r>
        <w:r>
          <w:fldChar w:fldCharType="separate"/>
        </w:r>
        <w:r w:rsidR="005C5D7F">
          <w:t>249</w:t>
        </w:r>
        <w:r>
          <w:fldChar w:fldCharType="end"/>
        </w:r>
      </w:hyperlink>
    </w:p>
    <w:p w14:paraId="5557DF22" w14:textId="12FA50B5" w:rsidR="005E03F7" w:rsidRDefault="005E03F7">
      <w:pPr>
        <w:pStyle w:val="TOC5"/>
        <w:rPr>
          <w:rFonts w:asciiTheme="minorHAnsi" w:eastAsiaTheme="minorEastAsia" w:hAnsiTheme="minorHAnsi" w:cstheme="minorBidi"/>
          <w:sz w:val="22"/>
          <w:szCs w:val="22"/>
          <w:lang w:eastAsia="en-AU"/>
        </w:rPr>
      </w:pPr>
      <w:r>
        <w:tab/>
      </w:r>
      <w:hyperlink w:anchor="_Toc83625646" w:history="1">
        <w:r w:rsidRPr="00D90FEA">
          <w:t>277</w:t>
        </w:r>
        <w:r>
          <w:rPr>
            <w:rFonts w:asciiTheme="minorHAnsi" w:eastAsiaTheme="minorEastAsia" w:hAnsiTheme="minorHAnsi" w:cstheme="minorBidi"/>
            <w:sz w:val="22"/>
            <w:szCs w:val="22"/>
            <w:lang w:eastAsia="en-AU"/>
          </w:rPr>
          <w:tab/>
        </w:r>
        <w:r w:rsidRPr="00D90FEA">
          <w:t>Period for which work and rest hours exemption (permit) applies</w:t>
        </w:r>
        <w:r>
          <w:tab/>
        </w:r>
        <w:r>
          <w:fldChar w:fldCharType="begin"/>
        </w:r>
        <w:r>
          <w:instrText xml:space="preserve"> PAGEREF _Toc83625646 \h </w:instrText>
        </w:r>
        <w:r>
          <w:fldChar w:fldCharType="separate"/>
        </w:r>
        <w:r w:rsidR="005C5D7F">
          <w:t>249</w:t>
        </w:r>
        <w:r>
          <w:fldChar w:fldCharType="end"/>
        </w:r>
      </w:hyperlink>
    </w:p>
    <w:p w14:paraId="2717F4AB" w14:textId="4B9D74DC" w:rsidR="005E03F7" w:rsidRDefault="005E03F7">
      <w:pPr>
        <w:pStyle w:val="TOC5"/>
        <w:rPr>
          <w:rFonts w:asciiTheme="minorHAnsi" w:eastAsiaTheme="minorEastAsia" w:hAnsiTheme="minorHAnsi" w:cstheme="minorBidi"/>
          <w:sz w:val="22"/>
          <w:szCs w:val="22"/>
          <w:lang w:eastAsia="en-AU"/>
        </w:rPr>
      </w:pPr>
      <w:r>
        <w:tab/>
      </w:r>
      <w:hyperlink w:anchor="_Toc83625647" w:history="1">
        <w:r w:rsidRPr="00D90FEA">
          <w:t>278</w:t>
        </w:r>
        <w:r>
          <w:rPr>
            <w:rFonts w:asciiTheme="minorHAnsi" w:eastAsiaTheme="minorEastAsia" w:hAnsiTheme="minorHAnsi" w:cstheme="minorBidi"/>
            <w:sz w:val="22"/>
            <w:szCs w:val="22"/>
            <w:lang w:eastAsia="en-AU"/>
          </w:rPr>
          <w:tab/>
        </w:r>
        <w:r w:rsidRPr="00D90FEA">
          <w:t>Permit for work and rest hours exemption (permit) etc.</w:t>
        </w:r>
        <w:r>
          <w:tab/>
        </w:r>
        <w:r>
          <w:fldChar w:fldCharType="begin"/>
        </w:r>
        <w:r>
          <w:instrText xml:space="preserve"> PAGEREF _Toc83625647 \h </w:instrText>
        </w:r>
        <w:r>
          <w:fldChar w:fldCharType="separate"/>
        </w:r>
        <w:r w:rsidR="005C5D7F">
          <w:t>249</w:t>
        </w:r>
        <w:r>
          <w:fldChar w:fldCharType="end"/>
        </w:r>
      </w:hyperlink>
    </w:p>
    <w:p w14:paraId="5D120B60" w14:textId="3332434D" w:rsidR="005E03F7" w:rsidRDefault="005E03F7">
      <w:pPr>
        <w:pStyle w:val="TOC5"/>
        <w:rPr>
          <w:rFonts w:asciiTheme="minorHAnsi" w:eastAsiaTheme="minorEastAsia" w:hAnsiTheme="minorHAnsi" w:cstheme="minorBidi"/>
          <w:sz w:val="22"/>
          <w:szCs w:val="22"/>
          <w:lang w:eastAsia="en-AU"/>
        </w:rPr>
      </w:pPr>
      <w:r>
        <w:tab/>
      </w:r>
      <w:hyperlink w:anchor="_Toc83625648" w:history="1">
        <w:r w:rsidRPr="00D90FEA">
          <w:t>279</w:t>
        </w:r>
        <w:r>
          <w:rPr>
            <w:rFonts w:asciiTheme="minorHAnsi" w:eastAsiaTheme="minorEastAsia" w:hAnsiTheme="minorHAnsi" w:cstheme="minorBidi"/>
            <w:sz w:val="22"/>
            <w:szCs w:val="22"/>
            <w:lang w:eastAsia="en-AU"/>
          </w:rPr>
          <w:tab/>
        </w:r>
        <w:r w:rsidRPr="00D90FEA">
          <w:t>Refusal of application for work and rest hours exemption (permit)</w:t>
        </w:r>
        <w:r>
          <w:tab/>
        </w:r>
        <w:r>
          <w:fldChar w:fldCharType="begin"/>
        </w:r>
        <w:r>
          <w:instrText xml:space="preserve"> PAGEREF _Toc83625648 \h </w:instrText>
        </w:r>
        <w:r>
          <w:fldChar w:fldCharType="separate"/>
        </w:r>
        <w:r w:rsidR="005C5D7F">
          <w:t>251</w:t>
        </w:r>
        <w:r>
          <w:fldChar w:fldCharType="end"/>
        </w:r>
      </w:hyperlink>
    </w:p>
    <w:p w14:paraId="184B581D" w14:textId="299E2505" w:rsidR="005E03F7" w:rsidRDefault="005E03F7">
      <w:pPr>
        <w:pStyle w:val="TOC5"/>
        <w:rPr>
          <w:rFonts w:asciiTheme="minorHAnsi" w:eastAsiaTheme="minorEastAsia" w:hAnsiTheme="minorHAnsi" w:cstheme="minorBidi"/>
          <w:sz w:val="22"/>
          <w:szCs w:val="22"/>
          <w:lang w:eastAsia="en-AU"/>
        </w:rPr>
      </w:pPr>
      <w:r>
        <w:tab/>
      </w:r>
      <w:hyperlink w:anchor="_Toc83625649" w:history="1">
        <w:r w:rsidRPr="00D90FEA">
          <w:t>280</w:t>
        </w:r>
        <w:r>
          <w:rPr>
            <w:rFonts w:asciiTheme="minorHAnsi" w:eastAsiaTheme="minorEastAsia" w:hAnsiTheme="minorHAnsi" w:cstheme="minorBidi"/>
            <w:sz w:val="22"/>
            <w:szCs w:val="22"/>
            <w:lang w:eastAsia="en-AU"/>
          </w:rPr>
          <w:tab/>
        </w:r>
        <w:r w:rsidRPr="00D90FEA">
          <w:t>Amendment or cancellation of work and rest hours exemption (permit) on application by permit holder</w:t>
        </w:r>
        <w:r>
          <w:tab/>
        </w:r>
        <w:r>
          <w:fldChar w:fldCharType="begin"/>
        </w:r>
        <w:r>
          <w:instrText xml:space="preserve"> PAGEREF _Toc83625649 \h </w:instrText>
        </w:r>
        <w:r>
          <w:fldChar w:fldCharType="separate"/>
        </w:r>
        <w:r w:rsidR="005C5D7F">
          <w:t>251</w:t>
        </w:r>
        <w:r>
          <w:fldChar w:fldCharType="end"/>
        </w:r>
      </w:hyperlink>
    </w:p>
    <w:p w14:paraId="1D801C24" w14:textId="684FF3F3" w:rsidR="005E03F7" w:rsidRDefault="005E03F7">
      <w:pPr>
        <w:pStyle w:val="TOC5"/>
        <w:rPr>
          <w:rFonts w:asciiTheme="minorHAnsi" w:eastAsiaTheme="minorEastAsia" w:hAnsiTheme="minorHAnsi" w:cstheme="minorBidi"/>
          <w:sz w:val="22"/>
          <w:szCs w:val="22"/>
          <w:lang w:eastAsia="en-AU"/>
        </w:rPr>
      </w:pPr>
      <w:r>
        <w:tab/>
      </w:r>
      <w:hyperlink w:anchor="_Toc83625650" w:history="1">
        <w:r w:rsidRPr="00D90FEA">
          <w:t>281</w:t>
        </w:r>
        <w:r>
          <w:rPr>
            <w:rFonts w:asciiTheme="minorHAnsi" w:eastAsiaTheme="minorEastAsia" w:hAnsiTheme="minorHAnsi" w:cstheme="minorBidi"/>
            <w:sz w:val="22"/>
            <w:szCs w:val="22"/>
            <w:lang w:eastAsia="en-AU"/>
          </w:rPr>
          <w:tab/>
        </w:r>
        <w:r w:rsidRPr="00D90FEA">
          <w:t>Amendment or cancellation of work and rest hours exemption (permit) on Regulator’s initiative</w:t>
        </w:r>
        <w:r>
          <w:tab/>
        </w:r>
        <w:r>
          <w:fldChar w:fldCharType="begin"/>
        </w:r>
        <w:r>
          <w:instrText xml:space="preserve"> PAGEREF _Toc83625650 \h </w:instrText>
        </w:r>
        <w:r>
          <w:fldChar w:fldCharType="separate"/>
        </w:r>
        <w:r w:rsidR="005C5D7F">
          <w:t>252</w:t>
        </w:r>
        <w:r>
          <w:fldChar w:fldCharType="end"/>
        </w:r>
      </w:hyperlink>
    </w:p>
    <w:p w14:paraId="56C44F1E" w14:textId="11E69E41" w:rsidR="005E03F7" w:rsidRDefault="005E03F7">
      <w:pPr>
        <w:pStyle w:val="TOC5"/>
        <w:rPr>
          <w:rFonts w:asciiTheme="minorHAnsi" w:eastAsiaTheme="minorEastAsia" w:hAnsiTheme="minorHAnsi" w:cstheme="minorBidi"/>
          <w:sz w:val="22"/>
          <w:szCs w:val="22"/>
          <w:lang w:eastAsia="en-AU"/>
        </w:rPr>
      </w:pPr>
      <w:r>
        <w:tab/>
      </w:r>
      <w:hyperlink w:anchor="_Toc83625651" w:history="1">
        <w:r w:rsidRPr="00D90FEA">
          <w:t>282</w:t>
        </w:r>
        <w:r>
          <w:rPr>
            <w:rFonts w:asciiTheme="minorHAnsi" w:eastAsiaTheme="minorEastAsia" w:hAnsiTheme="minorHAnsi" w:cstheme="minorBidi"/>
            <w:sz w:val="22"/>
            <w:szCs w:val="22"/>
            <w:lang w:eastAsia="en-AU"/>
          </w:rPr>
          <w:tab/>
        </w:r>
        <w:r w:rsidRPr="00D90FEA">
          <w:t>Immediate suspension of work and rest hours exemption (permit)</w:t>
        </w:r>
        <w:r>
          <w:tab/>
        </w:r>
        <w:r>
          <w:fldChar w:fldCharType="begin"/>
        </w:r>
        <w:r>
          <w:instrText xml:space="preserve"> PAGEREF _Toc83625651 \h </w:instrText>
        </w:r>
        <w:r>
          <w:fldChar w:fldCharType="separate"/>
        </w:r>
        <w:r w:rsidR="005C5D7F">
          <w:t>254</w:t>
        </w:r>
        <w:r>
          <w:fldChar w:fldCharType="end"/>
        </w:r>
      </w:hyperlink>
    </w:p>
    <w:p w14:paraId="441C1B06" w14:textId="7B502FF1" w:rsidR="005E03F7" w:rsidRDefault="005E03F7">
      <w:pPr>
        <w:pStyle w:val="TOC5"/>
        <w:rPr>
          <w:rFonts w:asciiTheme="minorHAnsi" w:eastAsiaTheme="minorEastAsia" w:hAnsiTheme="minorHAnsi" w:cstheme="minorBidi"/>
          <w:sz w:val="22"/>
          <w:szCs w:val="22"/>
          <w:lang w:eastAsia="en-AU"/>
        </w:rPr>
      </w:pPr>
      <w:r>
        <w:tab/>
      </w:r>
      <w:hyperlink w:anchor="_Toc83625652" w:history="1">
        <w:r w:rsidRPr="00D90FEA">
          <w:t>283</w:t>
        </w:r>
        <w:r>
          <w:rPr>
            <w:rFonts w:asciiTheme="minorHAnsi" w:eastAsiaTheme="minorEastAsia" w:hAnsiTheme="minorHAnsi" w:cstheme="minorBidi"/>
            <w:sz w:val="22"/>
            <w:szCs w:val="22"/>
            <w:lang w:eastAsia="en-AU"/>
          </w:rPr>
          <w:tab/>
        </w:r>
        <w:r w:rsidRPr="00D90FEA">
          <w:t>Minor amendment of work and rest hours exemption (permit)</w:t>
        </w:r>
        <w:r>
          <w:tab/>
        </w:r>
        <w:r>
          <w:fldChar w:fldCharType="begin"/>
        </w:r>
        <w:r>
          <w:instrText xml:space="preserve"> PAGEREF _Toc83625652 \h </w:instrText>
        </w:r>
        <w:r>
          <w:fldChar w:fldCharType="separate"/>
        </w:r>
        <w:r w:rsidR="005C5D7F">
          <w:t>254</w:t>
        </w:r>
        <w:r>
          <w:fldChar w:fldCharType="end"/>
        </w:r>
      </w:hyperlink>
    </w:p>
    <w:p w14:paraId="054588F4" w14:textId="0BBD9316" w:rsidR="005E03F7" w:rsidRDefault="005E03F7">
      <w:pPr>
        <w:pStyle w:val="TOC5"/>
        <w:rPr>
          <w:rFonts w:asciiTheme="minorHAnsi" w:eastAsiaTheme="minorEastAsia" w:hAnsiTheme="minorHAnsi" w:cstheme="minorBidi"/>
          <w:sz w:val="22"/>
          <w:szCs w:val="22"/>
          <w:lang w:eastAsia="en-AU"/>
        </w:rPr>
      </w:pPr>
      <w:r>
        <w:tab/>
      </w:r>
      <w:hyperlink w:anchor="_Toc83625653" w:history="1">
        <w:r w:rsidRPr="00D90FEA">
          <w:t>284</w:t>
        </w:r>
        <w:r>
          <w:rPr>
            <w:rFonts w:asciiTheme="minorHAnsi" w:eastAsiaTheme="minorEastAsia" w:hAnsiTheme="minorHAnsi" w:cstheme="minorBidi"/>
            <w:sz w:val="22"/>
            <w:szCs w:val="22"/>
            <w:lang w:eastAsia="en-AU"/>
          </w:rPr>
          <w:tab/>
        </w:r>
        <w:r w:rsidRPr="00D90FEA">
          <w:t>Return of permit</w:t>
        </w:r>
        <w:r>
          <w:tab/>
        </w:r>
        <w:r>
          <w:fldChar w:fldCharType="begin"/>
        </w:r>
        <w:r>
          <w:instrText xml:space="preserve"> PAGEREF _Toc83625653 \h </w:instrText>
        </w:r>
        <w:r>
          <w:fldChar w:fldCharType="separate"/>
        </w:r>
        <w:r w:rsidR="005C5D7F">
          <w:t>255</w:t>
        </w:r>
        <w:r>
          <w:fldChar w:fldCharType="end"/>
        </w:r>
      </w:hyperlink>
    </w:p>
    <w:p w14:paraId="57A3AEF6" w14:textId="3A3BFD22" w:rsidR="005E03F7" w:rsidRDefault="005E03F7">
      <w:pPr>
        <w:pStyle w:val="TOC5"/>
        <w:rPr>
          <w:rFonts w:asciiTheme="minorHAnsi" w:eastAsiaTheme="minorEastAsia" w:hAnsiTheme="minorHAnsi" w:cstheme="minorBidi"/>
          <w:sz w:val="22"/>
          <w:szCs w:val="22"/>
          <w:lang w:eastAsia="en-AU"/>
        </w:rPr>
      </w:pPr>
      <w:r>
        <w:tab/>
      </w:r>
      <w:hyperlink w:anchor="_Toc83625654" w:history="1">
        <w:r w:rsidRPr="00D90FEA">
          <w:t>285</w:t>
        </w:r>
        <w:r>
          <w:rPr>
            <w:rFonts w:asciiTheme="minorHAnsi" w:eastAsiaTheme="minorEastAsia" w:hAnsiTheme="minorHAnsi" w:cstheme="minorBidi"/>
            <w:sz w:val="22"/>
            <w:szCs w:val="22"/>
            <w:lang w:eastAsia="en-AU"/>
          </w:rPr>
          <w:tab/>
        </w:r>
        <w:r w:rsidRPr="00D90FEA">
          <w:t>Replacement of defaced etc. permit</w:t>
        </w:r>
        <w:r>
          <w:tab/>
        </w:r>
        <w:r>
          <w:fldChar w:fldCharType="begin"/>
        </w:r>
        <w:r>
          <w:instrText xml:space="preserve"> PAGEREF _Toc83625654 \h </w:instrText>
        </w:r>
        <w:r>
          <w:fldChar w:fldCharType="separate"/>
        </w:r>
        <w:r w:rsidR="005C5D7F">
          <w:t>255</w:t>
        </w:r>
        <w:r>
          <w:fldChar w:fldCharType="end"/>
        </w:r>
      </w:hyperlink>
    </w:p>
    <w:p w14:paraId="3D7C07A8" w14:textId="5B0E16DF" w:rsidR="005E03F7" w:rsidRDefault="00856BEE">
      <w:pPr>
        <w:pStyle w:val="TOC4"/>
        <w:rPr>
          <w:rFonts w:asciiTheme="minorHAnsi" w:eastAsiaTheme="minorEastAsia" w:hAnsiTheme="minorHAnsi" w:cstheme="minorBidi"/>
          <w:b w:val="0"/>
          <w:sz w:val="22"/>
          <w:szCs w:val="22"/>
          <w:lang w:eastAsia="en-AU"/>
        </w:rPr>
      </w:pPr>
      <w:hyperlink w:anchor="_Toc83625655" w:history="1">
        <w:r w:rsidR="005E03F7" w:rsidRPr="00D90FEA">
          <w:t xml:space="preserve">Subdivision 4 </w:t>
        </w:r>
        <w:r w:rsidR="005E03F7">
          <w:rPr>
            <w:rFonts w:asciiTheme="minorHAnsi" w:eastAsiaTheme="minorEastAsia" w:hAnsiTheme="minorHAnsi" w:cstheme="minorBidi"/>
            <w:b w:val="0"/>
            <w:sz w:val="22"/>
            <w:szCs w:val="22"/>
            <w:lang w:eastAsia="en-AU"/>
          </w:rPr>
          <w:tab/>
        </w:r>
        <w:r w:rsidR="005E03F7" w:rsidRPr="00D90FEA">
          <w:t>Offences relating to operating under work and rest hours exemption etc.</w:t>
        </w:r>
        <w:r w:rsidR="005E03F7" w:rsidRPr="005E03F7">
          <w:rPr>
            <w:vanish/>
          </w:rPr>
          <w:tab/>
        </w:r>
        <w:r w:rsidR="005E03F7" w:rsidRPr="005E03F7">
          <w:rPr>
            <w:vanish/>
          </w:rPr>
          <w:fldChar w:fldCharType="begin"/>
        </w:r>
        <w:r w:rsidR="005E03F7" w:rsidRPr="005E03F7">
          <w:rPr>
            <w:vanish/>
          </w:rPr>
          <w:instrText xml:space="preserve"> PAGEREF _Toc83625655 \h </w:instrText>
        </w:r>
        <w:r w:rsidR="005E03F7" w:rsidRPr="005E03F7">
          <w:rPr>
            <w:vanish/>
          </w:rPr>
        </w:r>
        <w:r w:rsidR="005E03F7" w:rsidRPr="005E03F7">
          <w:rPr>
            <w:vanish/>
          </w:rPr>
          <w:fldChar w:fldCharType="separate"/>
        </w:r>
        <w:r w:rsidR="005C5D7F">
          <w:rPr>
            <w:vanish/>
          </w:rPr>
          <w:t>256</w:t>
        </w:r>
        <w:r w:rsidR="005E03F7" w:rsidRPr="005E03F7">
          <w:rPr>
            <w:vanish/>
          </w:rPr>
          <w:fldChar w:fldCharType="end"/>
        </w:r>
      </w:hyperlink>
    </w:p>
    <w:p w14:paraId="5A3E8E46" w14:textId="5ED5C0A7" w:rsidR="005E03F7" w:rsidRDefault="005E03F7">
      <w:pPr>
        <w:pStyle w:val="TOC5"/>
        <w:rPr>
          <w:rFonts w:asciiTheme="minorHAnsi" w:eastAsiaTheme="minorEastAsia" w:hAnsiTheme="minorHAnsi" w:cstheme="minorBidi"/>
          <w:sz w:val="22"/>
          <w:szCs w:val="22"/>
          <w:lang w:eastAsia="en-AU"/>
        </w:rPr>
      </w:pPr>
      <w:r>
        <w:tab/>
      </w:r>
      <w:hyperlink w:anchor="_Toc83625656" w:history="1">
        <w:r w:rsidRPr="00D90FEA">
          <w:t>286</w:t>
        </w:r>
        <w:r>
          <w:rPr>
            <w:rFonts w:asciiTheme="minorHAnsi" w:eastAsiaTheme="minorEastAsia" w:hAnsiTheme="minorHAnsi" w:cstheme="minorBidi"/>
            <w:sz w:val="22"/>
            <w:szCs w:val="22"/>
            <w:lang w:eastAsia="en-AU"/>
          </w:rPr>
          <w:tab/>
        </w:r>
        <w:r w:rsidRPr="00D90FEA">
          <w:t>Contravening condition of work and rest hours exemption</w:t>
        </w:r>
        <w:r>
          <w:tab/>
        </w:r>
        <w:r>
          <w:fldChar w:fldCharType="begin"/>
        </w:r>
        <w:r>
          <w:instrText xml:space="preserve"> PAGEREF _Toc83625656 \h </w:instrText>
        </w:r>
        <w:r>
          <w:fldChar w:fldCharType="separate"/>
        </w:r>
        <w:r w:rsidR="005C5D7F">
          <w:t>256</w:t>
        </w:r>
        <w:r>
          <w:fldChar w:fldCharType="end"/>
        </w:r>
      </w:hyperlink>
    </w:p>
    <w:p w14:paraId="2CE4EFE5" w14:textId="63B17EF2" w:rsidR="005E03F7" w:rsidRDefault="005E03F7">
      <w:pPr>
        <w:pStyle w:val="TOC5"/>
        <w:rPr>
          <w:rFonts w:asciiTheme="minorHAnsi" w:eastAsiaTheme="minorEastAsia" w:hAnsiTheme="minorHAnsi" w:cstheme="minorBidi"/>
          <w:sz w:val="22"/>
          <w:szCs w:val="22"/>
          <w:lang w:eastAsia="en-AU"/>
        </w:rPr>
      </w:pPr>
      <w:r>
        <w:tab/>
      </w:r>
      <w:hyperlink w:anchor="_Toc83625657" w:history="1">
        <w:r w:rsidRPr="00D90FEA">
          <w:t>287</w:t>
        </w:r>
        <w:r>
          <w:rPr>
            <w:rFonts w:asciiTheme="minorHAnsi" w:eastAsiaTheme="minorEastAsia" w:hAnsiTheme="minorHAnsi" w:cstheme="minorBidi"/>
            <w:sz w:val="22"/>
            <w:szCs w:val="22"/>
            <w:lang w:eastAsia="en-AU"/>
          </w:rPr>
          <w:tab/>
        </w:r>
        <w:r w:rsidRPr="00D90FEA">
          <w:t>Keeping relevant document while operating under work and rest hours exemption (notice)</w:t>
        </w:r>
        <w:r>
          <w:tab/>
        </w:r>
        <w:r>
          <w:fldChar w:fldCharType="begin"/>
        </w:r>
        <w:r>
          <w:instrText xml:space="preserve"> PAGEREF _Toc83625657 \h </w:instrText>
        </w:r>
        <w:r>
          <w:fldChar w:fldCharType="separate"/>
        </w:r>
        <w:r w:rsidR="005C5D7F">
          <w:t>256</w:t>
        </w:r>
        <w:r>
          <w:fldChar w:fldCharType="end"/>
        </w:r>
      </w:hyperlink>
    </w:p>
    <w:p w14:paraId="65D3DD36" w14:textId="4CA97961" w:rsidR="005E03F7" w:rsidRDefault="005E03F7">
      <w:pPr>
        <w:pStyle w:val="TOC5"/>
        <w:rPr>
          <w:rFonts w:asciiTheme="minorHAnsi" w:eastAsiaTheme="minorEastAsia" w:hAnsiTheme="minorHAnsi" w:cstheme="minorBidi"/>
          <w:sz w:val="22"/>
          <w:szCs w:val="22"/>
          <w:lang w:eastAsia="en-AU"/>
        </w:rPr>
      </w:pPr>
      <w:r>
        <w:lastRenderedPageBreak/>
        <w:tab/>
      </w:r>
      <w:hyperlink w:anchor="_Toc83625658" w:history="1">
        <w:r w:rsidRPr="00D90FEA">
          <w:t>288</w:t>
        </w:r>
        <w:r>
          <w:rPr>
            <w:rFonts w:asciiTheme="minorHAnsi" w:eastAsiaTheme="minorEastAsia" w:hAnsiTheme="minorHAnsi" w:cstheme="minorBidi"/>
            <w:sz w:val="22"/>
            <w:szCs w:val="22"/>
            <w:lang w:eastAsia="en-AU"/>
          </w:rPr>
          <w:tab/>
        </w:r>
        <w:r w:rsidRPr="00D90FEA">
          <w:t>Keeping copy of permit while driving under work and rest hours exemption (permit)</w:t>
        </w:r>
        <w:r>
          <w:tab/>
        </w:r>
        <w:r>
          <w:fldChar w:fldCharType="begin"/>
        </w:r>
        <w:r>
          <w:instrText xml:space="preserve"> PAGEREF _Toc83625658 \h </w:instrText>
        </w:r>
        <w:r>
          <w:fldChar w:fldCharType="separate"/>
        </w:r>
        <w:r w:rsidR="005C5D7F">
          <w:t>257</w:t>
        </w:r>
        <w:r>
          <w:fldChar w:fldCharType="end"/>
        </w:r>
      </w:hyperlink>
    </w:p>
    <w:p w14:paraId="0BDA433A" w14:textId="684E4C4D" w:rsidR="005E03F7" w:rsidRDefault="00856BEE">
      <w:pPr>
        <w:pStyle w:val="TOC2"/>
        <w:rPr>
          <w:rFonts w:asciiTheme="minorHAnsi" w:eastAsiaTheme="minorEastAsia" w:hAnsiTheme="minorHAnsi" w:cstheme="minorBidi"/>
          <w:b w:val="0"/>
          <w:sz w:val="22"/>
          <w:szCs w:val="22"/>
          <w:lang w:eastAsia="en-AU"/>
        </w:rPr>
      </w:pPr>
      <w:hyperlink w:anchor="_Toc83625659" w:history="1">
        <w:r w:rsidR="005E03F7" w:rsidRPr="00D90FEA">
          <w:t xml:space="preserve">Part 6.4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Requirements about record keeping</w:t>
        </w:r>
        <w:r w:rsidR="005E03F7" w:rsidRPr="005E03F7">
          <w:rPr>
            <w:vanish/>
          </w:rPr>
          <w:tab/>
        </w:r>
        <w:r w:rsidR="005E03F7" w:rsidRPr="005E03F7">
          <w:rPr>
            <w:vanish/>
          </w:rPr>
          <w:fldChar w:fldCharType="begin"/>
        </w:r>
        <w:r w:rsidR="005E03F7" w:rsidRPr="005E03F7">
          <w:rPr>
            <w:vanish/>
          </w:rPr>
          <w:instrText xml:space="preserve"> PAGEREF _Toc83625659 \h </w:instrText>
        </w:r>
        <w:r w:rsidR="005E03F7" w:rsidRPr="005E03F7">
          <w:rPr>
            <w:vanish/>
          </w:rPr>
        </w:r>
        <w:r w:rsidR="005E03F7" w:rsidRPr="005E03F7">
          <w:rPr>
            <w:vanish/>
          </w:rPr>
          <w:fldChar w:fldCharType="separate"/>
        </w:r>
        <w:r w:rsidR="005C5D7F">
          <w:rPr>
            <w:vanish/>
          </w:rPr>
          <w:t>259</w:t>
        </w:r>
        <w:r w:rsidR="005E03F7" w:rsidRPr="005E03F7">
          <w:rPr>
            <w:vanish/>
          </w:rPr>
          <w:fldChar w:fldCharType="end"/>
        </w:r>
      </w:hyperlink>
    </w:p>
    <w:p w14:paraId="4F51BD0B" w14:textId="529C34C0" w:rsidR="005E03F7" w:rsidRDefault="00856BEE">
      <w:pPr>
        <w:pStyle w:val="TOC3"/>
        <w:rPr>
          <w:rFonts w:asciiTheme="minorHAnsi" w:eastAsiaTheme="minorEastAsia" w:hAnsiTheme="minorHAnsi" w:cstheme="minorBidi"/>
          <w:b w:val="0"/>
          <w:sz w:val="22"/>
          <w:szCs w:val="22"/>
          <w:lang w:eastAsia="en-AU"/>
        </w:rPr>
      </w:pPr>
      <w:hyperlink w:anchor="_Toc83625660" w:history="1">
        <w:r w:rsidR="005E03F7" w:rsidRPr="00D90FEA">
          <w:t xml:space="preserve">Division 1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Preliminary</w:t>
        </w:r>
        <w:r w:rsidR="005E03F7" w:rsidRPr="005E03F7">
          <w:rPr>
            <w:vanish/>
          </w:rPr>
          <w:tab/>
        </w:r>
        <w:r w:rsidR="005E03F7" w:rsidRPr="005E03F7">
          <w:rPr>
            <w:vanish/>
          </w:rPr>
          <w:fldChar w:fldCharType="begin"/>
        </w:r>
        <w:r w:rsidR="005E03F7" w:rsidRPr="005E03F7">
          <w:rPr>
            <w:vanish/>
          </w:rPr>
          <w:instrText xml:space="preserve"> PAGEREF _Toc83625660 \h </w:instrText>
        </w:r>
        <w:r w:rsidR="005E03F7" w:rsidRPr="005E03F7">
          <w:rPr>
            <w:vanish/>
          </w:rPr>
        </w:r>
        <w:r w:rsidR="005E03F7" w:rsidRPr="005E03F7">
          <w:rPr>
            <w:vanish/>
          </w:rPr>
          <w:fldChar w:fldCharType="separate"/>
        </w:r>
        <w:r w:rsidR="005C5D7F">
          <w:rPr>
            <w:vanish/>
          </w:rPr>
          <w:t>259</w:t>
        </w:r>
        <w:r w:rsidR="005E03F7" w:rsidRPr="005E03F7">
          <w:rPr>
            <w:vanish/>
          </w:rPr>
          <w:fldChar w:fldCharType="end"/>
        </w:r>
      </w:hyperlink>
    </w:p>
    <w:p w14:paraId="0DCE38F3" w14:textId="15F85020" w:rsidR="005E03F7" w:rsidRDefault="005E03F7">
      <w:pPr>
        <w:pStyle w:val="TOC5"/>
        <w:rPr>
          <w:rFonts w:asciiTheme="minorHAnsi" w:eastAsiaTheme="minorEastAsia" w:hAnsiTheme="minorHAnsi" w:cstheme="minorBidi"/>
          <w:sz w:val="22"/>
          <w:szCs w:val="22"/>
          <w:lang w:eastAsia="en-AU"/>
        </w:rPr>
      </w:pPr>
      <w:r>
        <w:tab/>
      </w:r>
      <w:hyperlink w:anchor="_Toc83625661" w:history="1">
        <w:r w:rsidRPr="00D90FEA">
          <w:t>289</w:t>
        </w:r>
        <w:r>
          <w:rPr>
            <w:rFonts w:asciiTheme="minorHAnsi" w:eastAsiaTheme="minorEastAsia" w:hAnsiTheme="minorHAnsi" w:cstheme="minorBidi"/>
            <w:sz w:val="22"/>
            <w:szCs w:val="22"/>
            <w:lang w:eastAsia="en-AU"/>
          </w:rPr>
          <w:tab/>
        </w:r>
        <w:r w:rsidRPr="00D90FEA">
          <w:t>What is 100km work and 100+km work</w:t>
        </w:r>
        <w:r>
          <w:tab/>
        </w:r>
        <w:r>
          <w:fldChar w:fldCharType="begin"/>
        </w:r>
        <w:r>
          <w:instrText xml:space="preserve"> PAGEREF _Toc83625661 \h </w:instrText>
        </w:r>
        <w:r>
          <w:fldChar w:fldCharType="separate"/>
        </w:r>
        <w:r w:rsidR="005C5D7F">
          <w:t>259</w:t>
        </w:r>
        <w:r>
          <w:fldChar w:fldCharType="end"/>
        </w:r>
      </w:hyperlink>
    </w:p>
    <w:p w14:paraId="3B6B6F9C" w14:textId="4805CEC0" w:rsidR="005E03F7" w:rsidRDefault="005E03F7">
      <w:pPr>
        <w:pStyle w:val="TOC5"/>
        <w:rPr>
          <w:rFonts w:asciiTheme="minorHAnsi" w:eastAsiaTheme="minorEastAsia" w:hAnsiTheme="minorHAnsi" w:cstheme="minorBidi"/>
          <w:sz w:val="22"/>
          <w:szCs w:val="22"/>
          <w:lang w:eastAsia="en-AU"/>
        </w:rPr>
      </w:pPr>
      <w:r>
        <w:tab/>
      </w:r>
      <w:hyperlink w:anchor="_Toc83625662" w:history="1">
        <w:r w:rsidRPr="00D90FEA">
          <w:t>290</w:t>
        </w:r>
        <w:r>
          <w:rPr>
            <w:rFonts w:asciiTheme="minorHAnsi" w:eastAsiaTheme="minorEastAsia" w:hAnsiTheme="minorHAnsi" w:cstheme="minorBidi"/>
            <w:sz w:val="22"/>
            <w:szCs w:val="22"/>
            <w:lang w:eastAsia="en-AU"/>
          </w:rPr>
          <w:tab/>
        </w:r>
        <w:r w:rsidRPr="00D90FEA">
          <w:t>What is a driver’s record location</w:t>
        </w:r>
        <w:r>
          <w:tab/>
        </w:r>
        <w:r>
          <w:fldChar w:fldCharType="begin"/>
        </w:r>
        <w:r>
          <w:instrText xml:space="preserve"> PAGEREF _Toc83625662 \h </w:instrText>
        </w:r>
        <w:r>
          <w:fldChar w:fldCharType="separate"/>
        </w:r>
        <w:r w:rsidR="005C5D7F">
          <w:t>259</w:t>
        </w:r>
        <w:r>
          <w:fldChar w:fldCharType="end"/>
        </w:r>
      </w:hyperlink>
    </w:p>
    <w:p w14:paraId="23A58964" w14:textId="5F2B042A" w:rsidR="005E03F7" w:rsidRDefault="00856BEE">
      <w:pPr>
        <w:pStyle w:val="TOC3"/>
        <w:rPr>
          <w:rFonts w:asciiTheme="minorHAnsi" w:eastAsiaTheme="minorEastAsia" w:hAnsiTheme="minorHAnsi" w:cstheme="minorBidi"/>
          <w:b w:val="0"/>
          <w:sz w:val="22"/>
          <w:szCs w:val="22"/>
          <w:lang w:eastAsia="en-AU"/>
        </w:rPr>
      </w:pPr>
      <w:hyperlink w:anchor="_Toc83625663" w:history="1">
        <w:r w:rsidR="005E03F7" w:rsidRPr="00D90FEA">
          <w:t xml:space="preserve">Division 2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Work diary requirements</w:t>
        </w:r>
        <w:r w:rsidR="005E03F7" w:rsidRPr="005E03F7">
          <w:rPr>
            <w:vanish/>
          </w:rPr>
          <w:tab/>
        </w:r>
        <w:r w:rsidR="005E03F7" w:rsidRPr="005E03F7">
          <w:rPr>
            <w:vanish/>
          </w:rPr>
          <w:fldChar w:fldCharType="begin"/>
        </w:r>
        <w:r w:rsidR="005E03F7" w:rsidRPr="005E03F7">
          <w:rPr>
            <w:vanish/>
          </w:rPr>
          <w:instrText xml:space="preserve"> PAGEREF _Toc83625663 \h </w:instrText>
        </w:r>
        <w:r w:rsidR="005E03F7" w:rsidRPr="005E03F7">
          <w:rPr>
            <w:vanish/>
          </w:rPr>
        </w:r>
        <w:r w:rsidR="005E03F7" w:rsidRPr="005E03F7">
          <w:rPr>
            <w:vanish/>
          </w:rPr>
          <w:fldChar w:fldCharType="separate"/>
        </w:r>
        <w:r w:rsidR="005C5D7F">
          <w:rPr>
            <w:vanish/>
          </w:rPr>
          <w:t>260</w:t>
        </w:r>
        <w:r w:rsidR="005E03F7" w:rsidRPr="005E03F7">
          <w:rPr>
            <w:vanish/>
          </w:rPr>
          <w:fldChar w:fldCharType="end"/>
        </w:r>
      </w:hyperlink>
    </w:p>
    <w:p w14:paraId="20949360" w14:textId="17AE2D24" w:rsidR="005E03F7" w:rsidRDefault="00856BEE">
      <w:pPr>
        <w:pStyle w:val="TOC4"/>
        <w:rPr>
          <w:rFonts w:asciiTheme="minorHAnsi" w:eastAsiaTheme="minorEastAsia" w:hAnsiTheme="minorHAnsi" w:cstheme="minorBidi"/>
          <w:b w:val="0"/>
          <w:sz w:val="22"/>
          <w:szCs w:val="22"/>
          <w:lang w:eastAsia="en-AU"/>
        </w:rPr>
      </w:pPr>
      <w:hyperlink w:anchor="_Toc83625664" w:history="1">
        <w:r w:rsidR="005E03F7" w:rsidRPr="00D90FEA">
          <w:t xml:space="preserve">Subdivision 1 </w:t>
        </w:r>
        <w:r w:rsidR="005E03F7">
          <w:rPr>
            <w:rFonts w:asciiTheme="minorHAnsi" w:eastAsiaTheme="minorEastAsia" w:hAnsiTheme="minorHAnsi" w:cstheme="minorBidi"/>
            <w:b w:val="0"/>
            <w:sz w:val="22"/>
            <w:szCs w:val="22"/>
            <w:lang w:eastAsia="en-AU"/>
          </w:rPr>
          <w:tab/>
        </w:r>
        <w:r w:rsidR="005E03F7" w:rsidRPr="00D90FEA">
          <w:t>Requirement to carry work diary</w:t>
        </w:r>
        <w:r w:rsidR="005E03F7" w:rsidRPr="005E03F7">
          <w:rPr>
            <w:vanish/>
          </w:rPr>
          <w:tab/>
        </w:r>
        <w:r w:rsidR="005E03F7" w:rsidRPr="005E03F7">
          <w:rPr>
            <w:vanish/>
          </w:rPr>
          <w:fldChar w:fldCharType="begin"/>
        </w:r>
        <w:r w:rsidR="005E03F7" w:rsidRPr="005E03F7">
          <w:rPr>
            <w:vanish/>
          </w:rPr>
          <w:instrText xml:space="preserve"> PAGEREF _Toc83625664 \h </w:instrText>
        </w:r>
        <w:r w:rsidR="005E03F7" w:rsidRPr="005E03F7">
          <w:rPr>
            <w:vanish/>
          </w:rPr>
        </w:r>
        <w:r w:rsidR="005E03F7" w:rsidRPr="005E03F7">
          <w:rPr>
            <w:vanish/>
          </w:rPr>
          <w:fldChar w:fldCharType="separate"/>
        </w:r>
        <w:r w:rsidR="005C5D7F">
          <w:rPr>
            <w:vanish/>
          </w:rPr>
          <w:t>260</w:t>
        </w:r>
        <w:r w:rsidR="005E03F7" w:rsidRPr="005E03F7">
          <w:rPr>
            <w:vanish/>
          </w:rPr>
          <w:fldChar w:fldCharType="end"/>
        </w:r>
      </w:hyperlink>
    </w:p>
    <w:p w14:paraId="7EE69FBD" w14:textId="7C71AF71" w:rsidR="005E03F7" w:rsidRDefault="005E03F7">
      <w:pPr>
        <w:pStyle w:val="TOC5"/>
        <w:rPr>
          <w:rFonts w:asciiTheme="minorHAnsi" w:eastAsiaTheme="minorEastAsia" w:hAnsiTheme="minorHAnsi" w:cstheme="minorBidi"/>
          <w:sz w:val="22"/>
          <w:szCs w:val="22"/>
          <w:lang w:eastAsia="en-AU"/>
        </w:rPr>
      </w:pPr>
      <w:r>
        <w:tab/>
      </w:r>
      <w:hyperlink w:anchor="_Toc83625665" w:history="1">
        <w:r w:rsidRPr="00D90FEA">
          <w:t>291</w:t>
        </w:r>
        <w:r>
          <w:rPr>
            <w:rFonts w:asciiTheme="minorHAnsi" w:eastAsiaTheme="minorEastAsia" w:hAnsiTheme="minorHAnsi" w:cstheme="minorBidi"/>
            <w:sz w:val="22"/>
            <w:szCs w:val="22"/>
            <w:lang w:eastAsia="en-AU"/>
          </w:rPr>
          <w:tab/>
        </w:r>
        <w:r w:rsidRPr="00D90FEA">
          <w:t>Application of Sdiv 1</w:t>
        </w:r>
        <w:r>
          <w:tab/>
        </w:r>
        <w:r>
          <w:fldChar w:fldCharType="begin"/>
        </w:r>
        <w:r>
          <w:instrText xml:space="preserve"> PAGEREF _Toc83625665 \h </w:instrText>
        </w:r>
        <w:r>
          <w:fldChar w:fldCharType="separate"/>
        </w:r>
        <w:r w:rsidR="005C5D7F">
          <w:t>260</w:t>
        </w:r>
        <w:r>
          <w:fldChar w:fldCharType="end"/>
        </w:r>
      </w:hyperlink>
    </w:p>
    <w:p w14:paraId="708B1C01" w14:textId="4BA7461D" w:rsidR="005E03F7" w:rsidRDefault="005E03F7">
      <w:pPr>
        <w:pStyle w:val="TOC5"/>
        <w:rPr>
          <w:rFonts w:asciiTheme="minorHAnsi" w:eastAsiaTheme="minorEastAsia" w:hAnsiTheme="minorHAnsi" w:cstheme="minorBidi"/>
          <w:sz w:val="22"/>
          <w:szCs w:val="22"/>
          <w:lang w:eastAsia="en-AU"/>
        </w:rPr>
      </w:pPr>
      <w:r>
        <w:tab/>
      </w:r>
      <w:hyperlink w:anchor="_Toc83625666" w:history="1">
        <w:r w:rsidRPr="00D90FEA">
          <w:t>292</w:t>
        </w:r>
        <w:r>
          <w:rPr>
            <w:rFonts w:asciiTheme="minorHAnsi" w:eastAsiaTheme="minorEastAsia" w:hAnsiTheme="minorHAnsi" w:cstheme="minorBidi"/>
            <w:sz w:val="22"/>
            <w:szCs w:val="22"/>
            <w:lang w:eastAsia="en-AU"/>
          </w:rPr>
          <w:tab/>
        </w:r>
        <w:r w:rsidRPr="00D90FEA">
          <w:t xml:space="preserve">Meaning of </w:t>
        </w:r>
        <w:r w:rsidRPr="00D90FEA">
          <w:rPr>
            <w:i/>
          </w:rPr>
          <w:t>work diary</w:t>
        </w:r>
        <w:r w:rsidRPr="00D90FEA">
          <w:t xml:space="preserve"> for Sdiv 1</w:t>
        </w:r>
        <w:r>
          <w:tab/>
        </w:r>
        <w:r>
          <w:fldChar w:fldCharType="begin"/>
        </w:r>
        <w:r>
          <w:instrText xml:space="preserve"> PAGEREF _Toc83625666 \h </w:instrText>
        </w:r>
        <w:r>
          <w:fldChar w:fldCharType="separate"/>
        </w:r>
        <w:r w:rsidR="005C5D7F">
          <w:t>260</w:t>
        </w:r>
        <w:r>
          <w:fldChar w:fldCharType="end"/>
        </w:r>
      </w:hyperlink>
    </w:p>
    <w:p w14:paraId="23BE466E" w14:textId="5601C817" w:rsidR="005E03F7" w:rsidRDefault="005E03F7">
      <w:pPr>
        <w:pStyle w:val="TOC5"/>
        <w:rPr>
          <w:rFonts w:asciiTheme="minorHAnsi" w:eastAsiaTheme="minorEastAsia" w:hAnsiTheme="minorHAnsi" w:cstheme="minorBidi"/>
          <w:sz w:val="22"/>
          <w:szCs w:val="22"/>
          <w:lang w:eastAsia="en-AU"/>
        </w:rPr>
      </w:pPr>
      <w:r>
        <w:tab/>
      </w:r>
      <w:hyperlink w:anchor="_Toc83625667" w:history="1">
        <w:r w:rsidRPr="00D90FEA">
          <w:t>293</w:t>
        </w:r>
        <w:r>
          <w:rPr>
            <w:rFonts w:asciiTheme="minorHAnsi" w:eastAsiaTheme="minorEastAsia" w:hAnsiTheme="minorHAnsi" w:cstheme="minorBidi"/>
            <w:sz w:val="22"/>
            <w:szCs w:val="22"/>
            <w:lang w:eastAsia="en-AU"/>
          </w:rPr>
          <w:tab/>
        </w:r>
        <w:r w:rsidRPr="00D90FEA">
          <w:t>Driver of fatigue-regulated heavy vehicle must carry work diary</w:t>
        </w:r>
        <w:r>
          <w:tab/>
        </w:r>
        <w:r>
          <w:fldChar w:fldCharType="begin"/>
        </w:r>
        <w:r>
          <w:instrText xml:space="preserve"> PAGEREF _Toc83625667 \h </w:instrText>
        </w:r>
        <w:r>
          <w:fldChar w:fldCharType="separate"/>
        </w:r>
        <w:r w:rsidR="005C5D7F">
          <w:t>261</w:t>
        </w:r>
        <w:r>
          <w:fldChar w:fldCharType="end"/>
        </w:r>
      </w:hyperlink>
    </w:p>
    <w:p w14:paraId="55A0AB5F" w14:textId="59B06B2C" w:rsidR="005E03F7" w:rsidRDefault="00856BEE">
      <w:pPr>
        <w:pStyle w:val="TOC4"/>
        <w:rPr>
          <w:rFonts w:asciiTheme="minorHAnsi" w:eastAsiaTheme="minorEastAsia" w:hAnsiTheme="minorHAnsi" w:cstheme="minorBidi"/>
          <w:b w:val="0"/>
          <w:sz w:val="22"/>
          <w:szCs w:val="22"/>
          <w:lang w:eastAsia="en-AU"/>
        </w:rPr>
      </w:pPr>
      <w:hyperlink w:anchor="_Toc83625668" w:history="1">
        <w:r w:rsidR="005E03F7" w:rsidRPr="00D90FEA">
          <w:t xml:space="preserve">Subdivision 2 </w:t>
        </w:r>
        <w:r w:rsidR="005E03F7">
          <w:rPr>
            <w:rFonts w:asciiTheme="minorHAnsi" w:eastAsiaTheme="minorEastAsia" w:hAnsiTheme="minorHAnsi" w:cstheme="minorBidi"/>
            <w:b w:val="0"/>
            <w:sz w:val="22"/>
            <w:szCs w:val="22"/>
            <w:lang w:eastAsia="en-AU"/>
          </w:rPr>
          <w:tab/>
        </w:r>
        <w:r w:rsidR="005E03F7" w:rsidRPr="00D90FEA">
          <w:t>Information required to be included in work diary</w:t>
        </w:r>
        <w:r w:rsidR="005E03F7" w:rsidRPr="005E03F7">
          <w:rPr>
            <w:vanish/>
          </w:rPr>
          <w:tab/>
        </w:r>
        <w:r w:rsidR="005E03F7" w:rsidRPr="005E03F7">
          <w:rPr>
            <w:vanish/>
          </w:rPr>
          <w:fldChar w:fldCharType="begin"/>
        </w:r>
        <w:r w:rsidR="005E03F7" w:rsidRPr="005E03F7">
          <w:rPr>
            <w:vanish/>
          </w:rPr>
          <w:instrText xml:space="preserve"> PAGEREF _Toc83625668 \h </w:instrText>
        </w:r>
        <w:r w:rsidR="005E03F7" w:rsidRPr="005E03F7">
          <w:rPr>
            <w:vanish/>
          </w:rPr>
        </w:r>
        <w:r w:rsidR="005E03F7" w:rsidRPr="005E03F7">
          <w:rPr>
            <w:vanish/>
          </w:rPr>
          <w:fldChar w:fldCharType="separate"/>
        </w:r>
        <w:r w:rsidR="005C5D7F">
          <w:rPr>
            <w:vanish/>
          </w:rPr>
          <w:t>263</w:t>
        </w:r>
        <w:r w:rsidR="005E03F7" w:rsidRPr="005E03F7">
          <w:rPr>
            <w:vanish/>
          </w:rPr>
          <w:fldChar w:fldCharType="end"/>
        </w:r>
      </w:hyperlink>
    </w:p>
    <w:p w14:paraId="0FDB4B4F" w14:textId="0FB759BF" w:rsidR="005E03F7" w:rsidRDefault="005E03F7">
      <w:pPr>
        <w:pStyle w:val="TOC5"/>
        <w:rPr>
          <w:rFonts w:asciiTheme="minorHAnsi" w:eastAsiaTheme="minorEastAsia" w:hAnsiTheme="minorHAnsi" w:cstheme="minorBidi"/>
          <w:sz w:val="22"/>
          <w:szCs w:val="22"/>
          <w:lang w:eastAsia="en-AU"/>
        </w:rPr>
      </w:pPr>
      <w:r>
        <w:tab/>
      </w:r>
      <w:hyperlink w:anchor="_Toc83625669" w:history="1">
        <w:r w:rsidRPr="00D90FEA">
          <w:t>294</w:t>
        </w:r>
        <w:r>
          <w:rPr>
            <w:rFonts w:asciiTheme="minorHAnsi" w:eastAsiaTheme="minorEastAsia" w:hAnsiTheme="minorHAnsi" w:cstheme="minorBidi"/>
            <w:sz w:val="22"/>
            <w:szCs w:val="22"/>
            <w:lang w:eastAsia="en-AU"/>
          </w:rPr>
          <w:tab/>
        </w:r>
        <w:r w:rsidRPr="00D90FEA">
          <w:t>Purpose of and definition for Sdiv 2</w:t>
        </w:r>
        <w:r>
          <w:tab/>
        </w:r>
        <w:r>
          <w:fldChar w:fldCharType="begin"/>
        </w:r>
        <w:r>
          <w:instrText xml:space="preserve"> PAGEREF _Toc83625669 \h </w:instrText>
        </w:r>
        <w:r>
          <w:fldChar w:fldCharType="separate"/>
        </w:r>
        <w:r w:rsidR="005C5D7F">
          <w:t>263</w:t>
        </w:r>
        <w:r>
          <w:fldChar w:fldCharType="end"/>
        </w:r>
      </w:hyperlink>
    </w:p>
    <w:p w14:paraId="6AE4C979" w14:textId="47EEDE4A" w:rsidR="005E03F7" w:rsidRDefault="005E03F7">
      <w:pPr>
        <w:pStyle w:val="TOC5"/>
        <w:rPr>
          <w:rFonts w:asciiTheme="minorHAnsi" w:eastAsiaTheme="minorEastAsia" w:hAnsiTheme="minorHAnsi" w:cstheme="minorBidi"/>
          <w:sz w:val="22"/>
          <w:szCs w:val="22"/>
          <w:lang w:eastAsia="en-AU"/>
        </w:rPr>
      </w:pPr>
      <w:r>
        <w:tab/>
      </w:r>
      <w:hyperlink w:anchor="_Toc83625670" w:history="1">
        <w:r w:rsidRPr="00D90FEA">
          <w:t>295</w:t>
        </w:r>
        <w:r>
          <w:rPr>
            <w:rFonts w:asciiTheme="minorHAnsi" w:eastAsiaTheme="minorEastAsia" w:hAnsiTheme="minorHAnsi" w:cstheme="minorBidi"/>
            <w:sz w:val="22"/>
            <w:szCs w:val="22"/>
            <w:lang w:eastAsia="en-AU"/>
          </w:rPr>
          <w:tab/>
        </w:r>
        <w:r w:rsidRPr="00D90FEA">
          <w:t>National regulations for information to be included in work diary</w:t>
        </w:r>
        <w:r>
          <w:tab/>
        </w:r>
        <w:r>
          <w:fldChar w:fldCharType="begin"/>
        </w:r>
        <w:r>
          <w:instrText xml:space="preserve"> PAGEREF _Toc83625670 \h </w:instrText>
        </w:r>
        <w:r>
          <w:fldChar w:fldCharType="separate"/>
        </w:r>
        <w:r w:rsidR="005C5D7F">
          <w:t>263</w:t>
        </w:r>
        <w:r>
          <w:fldChar w:fldCharType="end"/>
        </w:r>
      </w:hyperlink>
    </w:p>
    <w:p w14:paraId="66121480" w14:textId="046D5F8A" w:rsidR="005E03F7" w:rsidRDefault="005E03F7">
      <w:pPr>
        <w:pStyle w:val="TOC5"/>
        <w:rPr>
          <w:rFonts w:asciiTheme="minorHAnsi" w:eastAsiaTheme="minorEastAsia" w:hAnsiTheme="minorHAnsi" w:cstheme="minorBidi"/>
          <w:sz w:val="22"/>
          <w:szCs w:val="22"/>
          <w:lang w:eastAsia="en-AU"/>
        </w:rPr>
      </w:pPr>
      <w:r>
        <w:tab/>
      </w:r>
      <w:hyperlink w:anchor="_Toc83625671" w:history="1">
        <w:r w:rsidRPr="00D90FEA">
          <w:t>296</w:t>
        </w:r>
        <w:r>
          <w:rPr>
            <w:rFonts w:asciiTheme="minorHAnsi" w:eastAsiaTheme="minorEastAsia" w:hAnsiTheme="minorHAnsi" w:cstheme="minorBidi"/>
            <w:sz w:val="22"/>
            <w:szCs w:val="22"/>
            <w:lang w:eastAsia="en-AU"/>
          </w:rPr>
          <w:tab/>
        </w:r>
        <w:r w:rsidRPr="00D90FEA">
          <w:t>Recording information under the national regulations—general</w:t>
        </w:r>
        <w:r>
          <w:tab/>
        </w:r>
        <w:r>
          <w:fldChar w:fldCharType="begin"/>
        </w:r>
        <w:r>
          <w:instrText xml:space="preserve"> PAGEREF _Toc83625671 \h </w:instrText>
        </w:r>
        <w:r>
          <w:fldChar w:fldCharType="separate"/>
        </w:r>
        <w:r w:rsidR="005C5D7F">
          <w:t>264</w:t>
        </w:r>
        <w:r>
          <w:fldChar w:fldCharType="end"/>
        </w:r>
      </w:hyperlink>
    </w:p>
    <w:p w14:paraId="5EA961EB" w14:textId="443C0460" w:rsidR="005E03F7" w:rsidRDefault="005E03F7">
      <w:pPr>
        <w:pStyle w:val="TOC5"/>
        <w:rPr>
          <w:rFonts w:asciiTheme="minorHAnsi" w:eastAsiaTheme="minorEastAsia" w:hAnsiTheme="minorHAnsi" w:cstheme="minorBidi"/>
          <w:sz w:val="22"/>
          <w:szCs w:val="22"/>
          <w:lang w:eastAsia="en-AU"/>
        </w:rPr>
      </w:pPr>
      <w:r>
        <w:tab/>
      </w:r>
      <w:hyperlink w:anchor="_Toc83625672" w:history="1">
        <w:r w:rsidRPr="00D90FEA">
          <w:t>297</w:t>
        </w:r>
        <w:r>
          <w:rPr>
            <w:rFonts w:asciiTheme="minorHAnsi" w:eastAsiaTheme="minorEastAsia" w:hAnsiTheme="minorHAnsi" w:cstheme="minorBidi"/>
            <w:sz w:val="22"/>
            <w:szCs w:val="22"/>
            <w:lang w:eastAsia="en-AU"/>
          </w:rPr>
          <w:tab/>
        </w:r>
        <w:r w:rsidRPr="00D90FEA">
          <w:t>Information required to be recorded immediately after starting work</w:t>
        </w:r>
        <w:r>
          <w:tab/>
        </w:r>
        <w:r>
          <w:fldChar w:fldCharType="begin"/>
        </w:r>
        <w:r>
          <w:instrText xml:space="preserve"> PAGEREF _Toc83625672 \h </w:instrText>
        </w:r>
        <w:r>
          <w:fldChar w:fldCharType="separate"/>
        </w:r>
        <w:r w:rsidR="005C5D7F">
          <w:t>265</w:t>
        </w:r>
        <w:r>
          <w:fldChar w:fldCharType="end"/>
        </w:r>
      </w:hyperlink>
    </w:p>
    <w:p w14:paraId="231E5209" w14:textId="7A6E42D3" w:rsidR="005E03F7" w:rsidRDefault="005E03F7">
      <w:pPr>
        <w:pStyle w:val="TOC5"/>
        <w:rPr>
          <w:rFonts w:asciiTheme="minorHAnsi" w:eastAsiaTheme="minorEastAsia" w:hAnsiTheme="minorHAnsi" w:cstheme="minorBidi"/>
          <w:sz w:val="22"/>
          <w:szCs w:val="22"/>
          <w:lang w:eastAsia="en-AU"/>
        </w:rPr>
      </w:pPr>
      <w:r>
        <w:tab/>
      </w:r>
      <w:hyperlink w:anchor="_Toc83625673" w:history="1">
        <w:r w:rsidRPr="00D90FEA">
          <w:t>298</w:t>
        </w:r>
        <w:r>
          <w:rPr>
            <w:rFonts w:asciiTheme="minorHAnsi" w:eastAsiaTheme="minorEastAsia" w:hAnsiTheme="minorHAnsi" w:cstheme="minorBidi"/>
            <w:sz w:val="22"/>
            <w:szCs w:val="22"/>
            <w:lang w:eastAsia="en-AU"/>
          </w:rPr>
          <w:tab/>
        </w:r>
        <w:r w:rsidRPr="00D90FEA">
          <w:t>Failing to record information about odometer reading</w:t>
        </w:r>
        <w:r>
          <w:tab/>
        </w:r>
        <w:r>
          <w:fldChar w:fldCharType="begin"/>
        </w:r>
        <w:r>
          <w:instrText xml:space="preserve"> PAGEREF _Toc83625673 \h </w:instrText>
        </w:r>
        <w:r>
          <w:fldChar w:fldCharType="separate"/>
        </w:r>
        <w:r w:rsidR="005C5D7F">
          <w:t>265</w:t>
        </w:r>
        <w:r>
          <w:fldChar w:fldCharType="end"/>
        </w:r>
      </w:hyperlink>
    </w:p>
    <w:p w14:paraId="5D3DD8B1" w14:textId="33B4B651" w:rsidR="005E03F7" w:rsidRDefault="005E03F7">
      <w:pPr>
        <w:pStyle w:val="TOC5"/>
        <w:rPr>
          <w:rFonts w:asciiTheme="minorHAnsi" w:eastAsiaTheme="minorEastAsia" w:hAnsiTheme="minorHAnsi" w:cstheme="minorBidi"/>
          <w:sz w:val="22"/>
          <w:szCs w:val="22"/>
          <w:lang w:eastAsia="en-AU"/>
        </w:rPr>
      </w:pPr>
      <w:r>
        <w:tab/>
      </w:r>
      <w:hyperlink w:anchor="_Toc83625674" w:history="1">
        <w:r w:rsidRPr="00D90FEA">
          <w:t>299</w:t>
        </w:r>
        <w:r>
          <w:rPr>
            <w:rFonts w:asciiTheme="minorHAnsi" w:eastAsiaTheme="minorEastAsia" w:hAnsiTheme="minorHAnsi" w:cstheme="minorBidi"/>
            <w:sz w:val="22"/>
            <w:szCs w:val="22"/>
            <w:lang w:eastAsia="en-AU"/>
          </w:rPr>
          <w:tab/>
        </w:r>
        <w:r w:rsidRPr="00D90FEA">
          <w:t>Two-up driver to provide details</w:t>
        </w:r>
        <w:r>
          <w:tab/>
        </w:r>
        <w:r>
          <w:fldChar w:fldCharType="begin"/>
        </w:r>
        <w:r>
          <w:instrText xml:space="preserve"> PAGEREF _Toc83625674 \h </w:instrText>
        </w:r>
        <w:r>
          <w:fldChar w:fldCharType="separate"/>
        </w:r>
        <w:r w:rsidR="005C5D7F">
          <w:t>266</w:t>
        </w:r>
        <w:r>
          <w:fldChar w:fldCharType="end"/>
        </w:r>
      </w:hyperlink>
    </w:p>
    <w:p w14:paraId="28AEEBB3" w14:textId="35E3CD6D" w:rsidR="005E03F7" w:rsidRDefault="00856BEE">
      <w:pPr>
        <w:pStyle w:val="TOC4"/>
        <w:rPr>
          <w:rFonts w:asciiTheme="minorHAnsi" w:eastAsiaTheme="minorEastAsia" w:hAnsiTheme="minorHAnsi" w:cstheme="minorBidi"/>
          <w:b w:val="0"/>
          <w:sz w:val="22"/>
          <w:szCs w:val="22"/>
          <w:lang w:eastAsia="en-AU"/>
        </w:rPr>
      </w:pPr>
      <w:hyperlink w:anchor="_Toc83625675" w:history="1">
        <w:r w:rsidR="005E03F7" w:rsidRPr="00D90FEA">
          <w:t xml:space="preserve">Subdivision 3 </w:t>
        </w:r>
        <w:r w:rsidR="005E03F7">
          <w:rPr>
            <w:rFonts w:asciiTheme="minorHAnsi" w:eastAsiaTheme="minorEastAsia" w:hAnsiTheme="minorHAnsi" w:cstheme="minorBidi"/>
            <w:b w:val="0"/>
            <w:sz w:val="22"/>
            <w:szCs w:val="22"/>
            <w:lang w:eastAsia="en-AU"/>
          </w:rPr>
          <w:tab/>
        </w:r>
        <w:r w:rsidR="005E03F7" w:rsidRPr="00D90FEA">
          <w:t>How information must be recorded in work diary</w:t>
        </w:r>
        <w:r w:rsidR="005E03F7" w:rsidRPr="005E03F7">
          <w:rPr>
            <w:vanish/>
          </w:rPr>
          <w:tab/>
        </w:r>
        <w:r w:rsidR="005E03F7" w:rsidRPr="005E03F7">
          <w:rPr>
            <w:vanish/>
          </w:rPr>
          <w:fldChar w:fldCharType="begin"/>
        </w:r>
        <w:r w:rsidR="005E03F7" w:rsidRPr="005E03F7">
          <w:rPr>
            <w:vanish/>
          </w:rPr>
          <w:instrText xml:space="preserve"> PAGEREF _Toc83625675 \h </w:instrText>
        </w:r>
        <w:r w:rsidR="005E03F7" w:rsidRPr="005E03F7">
          <w:rPr>
            <w:vanish/>
          </w:rPr>
        </w:r>
        <w:r w:rsidR="005E03F7" w:rsidRPr="005E03F7">
          <w:rPr>
            <w:vanish/>
          </w:rPr>
          <w:fldChar w:fldCharType="separate"/>
        </w:r>
        <w:r w:rsidR="005C5D7F">
          <w:rPr>
            <w:vanish/>
          </w:rPr>
          <w:t>266</w:t>
        </w:r>
        <w:r w:rsidR="005E03F7" w:rsidRPr="005E03F7">
          <w:rPr>
            <w:vanish/>
          </w:rPr>
          <w:fldChar w:fldCharType="end"/>
        </w:r>
      </w:hyperlink>
    </w:p>
    <w:p w14:paraId="5994ECFF" w14:textId="70D0ECC2" w:rsidR="005E03F7" w:rsidRDefault="005E03F7">
      <w:pPr>
        <w:pStyle w:val="TOC5"/>
        <w:rPr>
          <w:rFonts w:asciiTheme="minorHAnsi" w:eastAsiaTheme="minorEastAsia" w:hAnsiTheme="minorHAnsi" w:cstheme="minorBidi"/>
          <w:sz w:val="22"/>
          <w:szCs w:val="22"/>
          <w:lang w:eastAsia="en-AU"/>
        </w:rPr>
      </w:pPr>
      <w:r>
        <w:tab/>
      </w:r>
      <w:hyperlink w:anchor="_Toc83625676" w:history="1">
        <w:r w:rsidRPr="00D90FEA">
          <w:t>300</w:t>
        </w:r>
        <w:r>
          <w:rPr>
            <w:rFonts w:asciiTheme="minorHAnsi" w:eastAsiaTheme="minorEastAsia" w:hAnsiTheme="minorHAnsi" w:cstheme="minorBidi"/>
            <w:sz w:val="22"/>
            <w:szCs w:val="22"/>
            <w:lang w:eastAsia="en-AU"/>
          </w:rPr>
          <w:tab/>
        </w:r>
        <w:r w:rsidRPr="00D90FEA">
          <w:t>Purpose of Sdiv 3</w:t>
        </w:r>
        <w:r>
          <w:tab/>
        </w:r>
        <w:r>
          <w:fldChar w:fldCharType="begin"/>
        </w:r>
        <w:r>
          <w:instrText xml:space="preserve"> PAGEREF _Toc83625676 \h </w:instrText>
        </w:r>
        <w:r>
          <w:fldChar w:fldCharType="separate"/>
        </w:r>
        <w:r w:rsidR="005C5D7F">
          <w:t>266</w:t>
        </w:r>
        <w:r>
          <w:fldChar w:fldCharType="end"/>
        </w:r>
      </w:hyperlink>
    </w:p>
    <w:p w14:paraId="4154CA9A" w14:textId="045D62E6" w:rsidR="005E03F7" w:rsidRDefault="005E03F7">
      <w:pPr>
        <w:pStyle w:val="TOC5"/>
        <w:rPr>
          <w:rFonts w:asciiTheme="minorHAnsi" w:eastAsiaTheme="minorEastAsia" w:hAnsiTheme="minorHAnsi" w:cstheme="minorBidi"/>
          <w:sz w:val="22"/>
          <w:szCs w:val="22"/>
          <w:lang w:eastAsia="en-AU"/>
        </w:rPr>
      </w:pPr>
      <w:r>
        <w:tab/>
      </w:r>
      <w:hyperlink w:anchor="_Toc83625677" w:history="1">
        <w:r w:rsidRPr="00D90FEA">
          <w:t>301</w:t>
        </w:r>
        <w:r>
          <w:rPr>
            <w:rFonts w:asciiTheme="minorHAnsi" w:eastAsiaTheme="minorEastAsia" w:hAnsiTheme="minorHAnsi" w:cstheme="minorBidi"/>
            <w:sz w:val="22"/>
            <w:szCs w:val="22"/>
            <w:lang w:eastAsia="en-AU"/>
          </w:rPr>
          <w:tab/>
        </w:r>
        <w:r w:rsidRPr="00D90FEA">
          <w:t>Recording information in written work diary</w:t>
        </w:r>
        <w:r>
          <w:tab/>
        </w:r>
        <w:r>
          <w:fldChar w:fldCharType="begin"/>
        </w:r>
        <w:r>
          <w:instrText xml:space="preserve"> PAGEREF _Toc83625677 \h </w:instrText>
        </w:r>
        <w:r>
          <w:fldChar w:fldCharType="separate"/>
        </w:r>
        <w:r w:rsidR="005C5D7F">
          <w:t>266</w:t>
        </w:r>
        <w:r>
          <w:fldChar w:fldCharType="end"/>
        </w:r>
      </w:hyperlink>
    </w:p>
    <w:p w14:paraId="6CED5939" w14:textId="29A3A380" w:rsidR="005E03F7" w:rsidRDefault="005E03F7">
      <w:pPr>
        <w:pStyle w:val="TOC5"/>
        <w:rPr>
          <w:rFonts w:asciiTheme="minorHAnsi" w:eastAsiaTheme="minorEastAsia" w:hAnsiTheme="minorHAnsi" w:cstheme="minorBidi"/>
          <w:sz w:val="22"/>
          <w:szCs w:val="22"/>
          <w:lang w:eastAsia="en-AU"/>
        </w:rPr>
      </w:pPr>
      <w:r>
        <w:tab/>
      </w:r>
      <w:hyperlink w:anchor="_Toc83625678" w:history="1">
        <w:r w:rsidRPr="00D90FEA">
          <w:t>302</w:t>
        </w:r>
        <w:r>
          <w:rPr>
            <w:rFonts w:asciiTheme="minorHAnsi" w:eastAsiaTheme="minorEastAsia" w:hAnsiTheme="minorHAnsi" w:cstheme="minorBidi"/>
            <w:sz w:val="22"/>
            <w:szCs w:val="22"/>
            <w:lang w:eastAsia="en-AU"/>
          </w:rPr>
          <w:tab/>
        </w:r>
        <w:r w:rsidRPr="00D90FEA">
          <w:t>Recording information in electronic work diary</w:t>
        </w:r>
        <w:r>
          <w:tab/>
        </w:r>
        <w:r>
          <w:fldChar w:fldCharType="begin"/>
        </w:r>
        <w:r>
          <w:instrText xml:space="preserve"> PAGEREF _Toc83625678 \h </w:instrText>
        </w:r>
        <w:r>
          <w:fldChar w:fldCharType="separate"/>
        </w:r>
        <w:r w:rsidR="005C5D7F">
          <w:t>267</w:t>
        </w:r>
        <w:r>
          <w:fldChar w:fldCharType="end"/>
        </w:r>
      </w:hyperlink>
    </w:p>
    <w:p w14:paraId="6884D365" w14:textId="4A7B38BD" w:rsidR="005E03F7" w:rsidRDefault="005E03F7">
      <w:pPr>
        <w:pStyle w:val="TOC5"/>
        <w:rPr>
          <w:rFonts w:asciiTheme="minorHAnsi" w:eastAsiaTheme="minorEastAsia" w:hAnsiTheme="minorHAnsi" w:cstheme="minorBidi"/>
          <w:sz w:val="22"/>
          <w:szCs w:val="22"/>
          <w:lang w:eastAsia="en-AU"/>
        </w:rPr>
      </w:pPr>
      <w:r>
        <w:tab/>
      </w:r>
      <w:hyperlink w:anchor="_Toc83625679" w:history="1">
        <w:r w:rsidRPr="00D90FEA">
          <w:t>303</w:t>
        </w:r>
        <w:r>
          <w:rPr>
            <w:rFonts w:asciiTheme="minorHAnsi" w:eastAsiaTheme="minorEastAsia" w:hAnsiTheme="minorHAnsi" w:cstheme="minorBidi"/>
            <w:sz w:val="22"/>
            <w:szCs w:val="22"/>
            <w:lang w:eastAsia="en-AU"/>
          </w:rPr>
          <w:tab/>
        </w:r>
        <w:r w:rsidRPr="00D90FEA">
          <w:t>Time zone of driver’s base must be used</w:t>
        </w:r>
        <w:r>
          <w:tab/>
        </w:r>
        <w:r>
          <w:fldChar w:fldCharType="begin"/>
        </w:r>
        <w:r>
          <w:instrText xml:space="preserve"> PAGEREF _Toc83625679 \h </w:instrText>
        </w:r>
        <w:r>
          <w:fldChar w:fldCharType="separate"/>
        </w:r>
        <w:r w:rsidR="005C5D7F">
          <w:t>268</w:t>
        </w:r>
        <w:r>
          <w:fldChar w:fldCharType="end"/>
        </w:r>
      </w:hyperlink>
    </w:p>
    <w:p w14:paraId="4AAEB4EA" w14:textId="65281439" w:rsidR="005E03F7" w:rsidRDefault="00856BEE">
      <w:pPr>
        <w:pStyle w:val="TOC4"/>
        <w:rPr>
          <w:rFonts w:asciiTheme="minorHAnsi" w:eastAsiaTheme="minorEastAsia" w:hAnsiTheme="minorHAnsi" w:cstheme="minorBidi"/>
          <w:b w:val="0"/>
          <w:sz w:val="22"/>
          <w:szCs w:val="22"/>
          <w:lang w:eastAsia="en-AU"/>
        </w:rPr>
      </w:pPr>
      <w:hyperlink w:anchor="_Toc83625680" w:history="1">
        <w:r w:rsidR="005E03F7" w:rsidRPr="00D90FEA">
          <w:t xml:space="preserve">Subdivision 4 </w:t>
        </w:r>
        <w:r w:rsidR="005E03F7">
          <w:rPr>
            <w:rFonts w:asciiTheme="minorHAnsi" w:eastAsiaTheme="minorEastAsia" w:hAnsiTheme="minorHAnsi" w:cstheme="minorBidi"/>
            <w:b w:val="0"/>
            <w:sz w:val="22"/>
            <w:szCs w:val="22"/>
            <w:lang w:eastAsia="en-AU"/>
          </w:rPr>
          <w:tab/>
        </w:r>
        <w:r w:rsidR="005E03F7" w:rsidRPr="00D90FEA">
          <w:t>Requirements about work diaries that are filled up etc.</w:t>
        </w:r>
        <w:r w:rsidR="005E03F7" w:rsidRPr="005E03F7">
          <w:rPr>
            <w:vanish/>
          </w:rPr>
          <w:tab/>
        </w:r>
        <w:r w:rsidR="005E03F7" w:rsidRPr="005E03F7">
          <w:rPr>
            <w:vanish/>
          </w:rPr>
          <w:fldChar w:fldCharType="begin"/>
        </w:r>
        <w:r w:rsidR="005E03F7" w:rsidRPr="005E03F7">
          <w:rPr>
            <w:vanish/>
          </w:rPr>
          <w:instrText xml:space="preserve"> PAGEREF _Toc83625680 \h </w:instrText>
        </w:r>
        <w:r w:rsidR="005E03F7" w:rsidRPr="005E03F7">
          <w:rPr>
            <w:vanish/>
          </w:rPr>
        </w:r>
        <w:r w:rsidR="005E03F7" w:rsidRPr="005E03F7">
          <w:rPr>
            <w:vanish/>
          </w:rPr>
          <w:fldChar w:fldCharType="separate"/>
        </w:r>
        <w:r w:rsidR="005C5D7F">
          <w:rPr>
            <w:vanish/>
          </w:rPr>
          <w:t>268</w:t>
        </w:r>
        <w:r w:rsidR="005E03F7" w:rsidRPr="005E03F7">
          <w:rPr>
            <w:vanish/>
          </w:rPr>
          <w:fldChar w:fldCharType="end"/>
        </w:r>
      </w:hyperlink>
    </w:p>
    <w:p w14:paraId="2B5F4C13" w14:textId="68740369" w:rsidR="005E03F7" w:rsidRDefault="005E03F7">
      <w:pPr>
        <w:pStyle w:val="TOC5"/>
        <w:rPr>
          <w:rFonts w:asciiTheme="minorHAnsi" w:eastAsiaTheme="minorEastAsia" w:hAnsiTheme="minorHAnsi" w:cstheme="minorBidi"/>
          <w:sz w:val="22"/>
          <w:szCs w:val="22"/>
          <w:lang w:eastAsia="en-AU"/>
        </w:rPr>
      </w:pPr>
      <w:r>
        <w:tab/>
      </w:r>
      <w:hyperlink w:anchor="_Toc83625681" w:history="1">
        <w:r w:rsidRPr="00D90FEA">
          <w:t>304</w:t>
        </w:r>
        <w:r>
          <w:rPr>
            <w:rFonts w:asciiTheme="minorHAnsi" w:eastAsiaTheme="minorEastAsia" w:hAnsiTheme="minorHAnsi" w:cstheme="minorBidi"/>
            <w:sz w:val="22"/>
            <w:szCs w:val="22"/>
            <w:lang w:eastAsia="en-AU"/>
          </w:rPr>
          <w:tab/>
        </w:r>
        <w:r w:rsidRPr="00D90FEA">
          <w:t>Application of Sdiv 4</w:t>
        </w:r>
        <w:r>
          <w:tab/>
        </w:r>
        <w:r>
          <w:fldChar w:fldCharType="begin"/>
        </w:r>
        <w:r>
          <w:instrText xml:space="preserve"> PAGEREF _Toc83625681 \h </w:instrText>
        </w:r>
        <w:r>
          <w:fldChar w:fldCharType="separate"/>
        </w:r>
        <w:r w:rsidR="005C5D7F">
          <w:t>268</w:t>
        </w:r>
        <w:r>
          <w:fldChar w:fldCharType="end"/>
        </w:r>
      </w:hyperlink>
    </w:p>
    <w:p w14:paraId="01F6514B" w14:textId="55D65CBD" w:rsidR="005E03F7" w:rsidRDefault="005E03F7">
      <w:pPr>
        <w:pStyle w:val="TOC5"/>
        <w:rPr>
          <w:rFonts w:asciiTheme="minorHAnsi" w:eastAsiaTheme="minorEastAsia" w:hAnsiTheme="minorHAnsi" w:cstheme="minorBidi"/>
          <w:sz w:val="22"/>
          <w:szCs w:val="22"/>
          <w:lang w:eastAsia="en-AU"/>
        </w:rPr>
      </w:pPr>
      <w:r>
        <w:tab/>
      </w:r>
      <w:hyperlink w:anchor="_Toc83625682" w:history="1">
        <w:r w:rsidRPr="00D90FEA">
          <w:t>305</w:t>
        </w:r>
        <w:r>
          <w:rPr>
            <w:rFonts w:asciiTheme="minorHAnsi" w:eastAsiaTheme="minorEastAsia" w:hAnsiTheme="minorHAnsi" w:cstheme="minorBidi"/>
            <w:sz w:val="22"/>
            <w:szCs w:val="22"/>
            <w:lang w:eastAsia="en-AU"/>
          </w:rPr>
          <w:tab/>
        </w:r>
        <w:r w:rsidRPr="00D90FEA">
          <w:t>Driver must make supplementary records in particular circumstances</w:t>
        </w:r>
        <w:r>
          <w:tab/>
        </w:r>
        <w:r>
          <w:fldChar w:fldCharType="begin"/>
        </w:r>
        <w:r>
          <w:instrText xml:space="preserve"> PAGEREF _Toc83625682 \h </w:instrText>
        </w:r>
        <w:r>
          <w:fldChar w:fldCharType="separate"/>
        </w:r>
        <w:r w:rsidR="005C5D7F">
          <w:t>269</w:t>
        </w:r>
        <w:r>
          <w:fldChar w:fldCharType="end"/>
        </w:r>
      </w:hyperlink>
    </w:p>
    <w:p w14:paraId="61995C4C" w14:textId="1A259E54" w:rsidR="005E03F7" w:rsidRDefault="005E03F7">
      <w:pPr>
        <w:pStyle w:val="TOC5"/>
        <w:rPr>
          <w:rFonts w:asciiTheme="minorHAnsi" w:eastAsiaTheme="minorEastAsia" w:hAnsiTheme="minorHAnsi" w:cstheme="minorBidi"/>
          <w:sz w:val="22"/>
          <w:szCs w:val="22"/>
          <w:lang w:eastAsia="en-AU"/>
        </w:rPr>
      </w:pPr>
      <w:r>
        <w:tab/>
      </w:r>
      <w:hyperlink w:anchor="_Toc83625683" w:history="1">
        <w:r w:rsidRPr="00D90FEA">
          <w:t>306</w:t>
        </w:r>
        <w:r>
          <w:rPr>
            <w:rFonts w:asciiTheme="minorHAnsi" w:eastAsiaTheme="minorEastAsia" w:hAnsiTheme="minorHAnsi" w:cstheme="minorBidi"/>
            <w:sz w:val="22"/>
            <w:szCs w:val="22"/>
            <w:lang w:eastAsia="en-AU"/>
          </w:rPr>
          <w:tab/>
        </w:r>
        <w:r w:rsidRPr="00D90FEA">
          <w:t>Driver must notify Regulator if written work diary filled up etc.</w:t>
        </w:r>
        <w:r>
          <w:tab/>
        </w:r>
        <w:r>
          <w:fldChar w:fldCharType="begin"/>
        </w:r>
        <w:r>
          <w:instrText xml:space="preserve"> PAGEREF _Toc83625683 \h </w:instrText>
        </w:r>
        <w:r>
          <w:fldChar w:fldCharType="separate"/>
        </w:r>
        <w:r w:rsidR="005C5D7F">
          <w:t>271</w:t>
        </w:r>
        <w:r>
          <w:fldChar w:fldCharType="end"/>
        </w:r>
      </w:hyperlink>
    </w:p>
    <w:p w14:paraId="5376B656" w14:textId="340E1508" w:rsidR="005E03F7" w:rsidRDefault="005E03F7">
      <w:pPr>
        <w:pStyle w:val="TOC5"/>
        <w:rPr>
          <w:rFonts w:asciiTheme="minorHAnsi" w:eastAsiaTheme="minorEastAsia" w:hAnsiTheme="minorHAnsi" w:cstheme="minorBidi"/>
          <w:sz w:val="22"/>
          <w:szCs w:val="22"/>
          <w:lang w:eastAsia="en-AU"/>
        </w:rPr>
      </w:pPr>
      <w:r>
        <w:tab/>
      </w:r>
      <w:hyperlink w:anchor="_Toc83625684" w:history="1">
        <w:r w:rsidRPr="00D90FEA">
          <w:t>307</w:t>
        </w:r>
        <w:r>
          <w:rPr>
            <w:rFonts w:asciiTheme="minorHAnsi" w:eastAsiaTheme="minorEastAsia" w:hAnsiTheme="minorHAnsi" w:cstheme="minorBidi"/>
            <w:sz w:val="22"/>
            <w:szCs w:val="22"/>
            <w:lang w:eastAsia="en-AU"/>
          </w:rPr>
          <w:tab/>
        </w:r>
        <w:r w:rsidRPr="00D90FEA">
          <w:t>Driver who is record keeper must notify Regulator if electronic work diary filled up etc.</w:t>
        </w:r>
        <w:r>
          <w:tab/>
        </w:r>
        <w:r>
          <w:fldChar w:fldCharType="begin"/>
        </w:r>
        <w:r>
          <w:instrText xml:space="preserve"> PAGEREF _Toc83625684 \h </w:instrText>
        </w:r>
        <w:r>
          <w:fldChar w:fldCharType="separate"/>
        </w:r>
        <w:r w:rsidR="005C5D7F">
          <w:t>271</w:t>
        </w:r>
        <w:r>
          <w:fldChar w:fldCharType="end"/>
        </w:r>
      </w:hyperlink>
    </w:p>
    <w:p w14:paraId="0C3DF336" w14:textId="4B7A7062" w:rsidR="005E03F7" w:rsidRDefault="005E03F7">
      <w:pPr>
        <w:pStyle w:val="TOC5"/>
        <w:rPr>
          <w:rFonts w:asciiTheme="minorHAnsi" w:eastAsiaTheme="minorEastAsia" w:hAnsiTheme="minorHAnsi" w:cstheme="minorBidi"/>
          <w:sz w:val="22"/>
          <w:szCs w:val="22"/>
          <w:lang w:eastAsia="en-AU"/>
        </w:rPr>
      </w:pPr>
      <w:r>
        <w:tab/>
      </w:r>
      <w:hyperlink w:anchor="_Toc83625685" w:history="1">
        <w:r w:rsidRPr="00D90FEA">
          <w:t>308</w:t>
        </w:r>
        <w:r>
          <w:rPr>
            <w:rFonts w:asciiTheme="minorHAnsi" w:eastAsiaTheme="minorEastAsia" w:hAnsiTheme="minorHAnsi" w:cstheme="minorBidi"/>
            <w:sz w:val="22"/>
            <w:szCs w:val="22"/>
            <w:lang w:eastAsia="en-AU"/>
          </w:rPr>
          <w:tab/>
        </w:r>
        <w:r w:rsidRPr="00D90FEA">
          <w:t>What driver must do if lost or stolen written work diary found or returned</w:t>
        </w:r>
        <w:r>
          <w:tab/>
        </w:r>
        <w:r>
          <w:fldChar w:fldCharType="begin"/>
        </w:r>
        <w:r>
          <w:instrText xml:space="preserve"> PAGEREF _Toc83625685 \h </w:instrText>
        </w:r>
        <w:r>
          <w:fldChar w:fldCharType="separate"/>
        </w:r>
        <w:r w:rsidR="005C5D7F">
          <w:t>272</w:t>
        </w:r>
        <w:r>
          <w:fldChar w:fldCharType="end"/>
        </w:r>
      </w:hyperlink>
    </w:p>
    <w:p w14:paraId="3FA81CA8" w14:textId="4F6C0A49" w:rsidR="005E03F7" w:rsidRDefault="005E03F7">
      <w:pPr>
        <w:pStyle w:val="TOC5"/>
        <w:rPr>
          <w:rFonts w:asciiTheme="minorHAnsi" w:eastAsiaTheme="minorEastAsia" w:hAnsiTheme="minorHAnsi" w:cstheme="minorBidi"/>
          <w:sz w:val="22"/>
          <w:szCs w:val="22"/>
          <w:lang w:eastAsia="en-AU"/>
        </w:rPr>
      </w:pPr>
      <w:r>
        <w:tab/>
      </w:r>
      <w:hyperlink w:anchor="_Toc83625686" w:history="1">
        <w:r w:rsidRPr="00D90FEA">
          <w:t>309</w:t>
        </w:r>
        <w:r>
          <w:rPr>
            <w:rFonts w:asciiTheme="minorHAnsi" w:eastAsiaTheme="minorEastAsia" w:hAnsiTheme="minorHAnsi" w:cstheme="minorBidi"/>
            <w:sz w:val="22"/>
            <w:szCs w:val="22"/>
            <w:lang w:eastAsia="en-AU"/>
          </w:rPr>
          <w:tab/>
        </w:r>
        <w:r w:rsidRPr="00D90FEA">
          <w:t>Driver must notify record keeper if electronic work diary filled up etc.</w:t>
        </w:r>
        <w:r>
          <w:tab/>
        </w:r>
        <w:r>
          <w:fldChar w:fldCharType="begin"/>
        </w:r>
        <w:r>
          <w:instrText xml:space="preserve"> PAGEREF _Toc83625686 \h </w:instrText>
        </w:r>
        <w:r>
          <w:fldChar w:fldCharType="separate"/>
        </w:r>
        <w:r w:rsidR="005C5D7F">
          <w:t>273</w:t>
        </w:r>
        <w:r>
          <w:fldChar w:fldCharType="end"/>
        </w:r>
      </w:hyperlink>
    </w:p>
    <w:p w14:paraId="2F604228" w14:textId="39574192" w:rsidR="005E03F7" w:rsidRDefault="005E03F7">
      <w:pPr>
        <w:pStyle w:val="TOC5"/>
        <w:rPr>
          <w:rFonts w:asciiTheme="minorHAnsi" w:eastAsiaTheme="minorEastAsia" w:hAnsiTheme="minorHAnsi" w:cstheme="minorBidi"/>
          <w:sz w:val="22"/>
          <w:szCs w:val="22"/>
          <w:lang w:eastAsia="en-AU"/>
        </w:rPr>
      </w:pPr>
      <w:r>
        <w:lastRenderedPageBreak/>
        <w:tab/>
      </w:r>
      <w:hyperlink w:anchor="_Toc83625687" w:history="1">
        <w:r w:rsidRPr="00D90FEA">
          <w:t>310</w:t>
        </w:r>
        <w:r>
          <w:rPr>
            <w:rFonts w:asciiTheme="minorHAnsi" w:eastAsiaTheme="minorEastAsia" w:hAnsiTheme="minorHAnsi" w:cstheme="minorBidi"/>
            <w:sz w:val="22"/>
            <w:szCs w:val="22"/>
            <w:lang w:eastAsia="en-AU"/>
          </w:rPr>
          <w:tab/>
        </w:r>
        <w:r w:rsidRPr="00D90FEA">
          <w:t>Intelligent access program reporting entity must notify record keeper if approved electronic recording system malfunctioning</w:t>
        </w:r>
        <w:r>
          <w:tab/>
        </w:r>
        <w:r>
          <w:fldChar w:fldCharType="begin"/>
        </w:r>
        <w:r>
          <w:instrText xml:space="preserve"> PAGEREF _Toc83625687 \h </w:instrText>
        </w:r>
        <w:r>
          <w:fldChar w:fldCharType="separate"/>
        </w:r>
        <w:r w:rsidR="005C5D7F">
          <w:t>273</w:t>
        </w:r>
        <w:r>
          <w:fldChar w:fldCharType="end"/>
        </w:r>
      </w:hyperlink>
    </w:p>
    <w:p w14:paraId="1AD6CC4E" w14:textId="328C5245" w:rsidR="005E03F7" w:rsidRDefault="005E03F7">
      <w:pPr>
        <w:pStyle w:val="TOC5"/>
        <w:rPr>
          <w:rFonts w:asciiTheme="minorHAnsi" w:eastAsiaTheme="minorEastAsia" w:hAnsiTheme="minorHAnsi" w:cstheme="minorBidi"/>
          <w:sz w:val="22"/>
          <w:szCs w:val="22"/>
          <w:lang w:eastAsia="en-AU"/>
        </w:rPr>
      </w:pPr>
      <w:r>
        <w:tab/>
      </w:r>
      <w:hyperlink w:anchor="_Toc83625688" w:history="1">
        <w:r w:rsidRPr="00D90FEA">
          <w:t>311</w:t>
        </w:r>
        <w:r>
          <w:rPr>
            <w:rFonts w:asciiTheme="minorHAnsi" w:eastAsiaTheme="minorEastAsia" w:hAnsiTheme="minorHAnsi" w:cstheme="minorBidi"/>
            <w:sz w:val="22"/>
            <w:szCs w:val="22"/>
            <w:lang w:eastAsia="en-AU"/>
          </w:rPr>
          <w:tab/>
        </w:r>
        <w:r w:rsidRPr="00D90FEA">
          <w:t>What record keeper must do if electronic work diary filled up</w:t>
        </w:r>
        <w:r>
          <w:tab/>
        </w:r>
        <w:r>
          <w:fldChar w:fldCharType="begin"/>
        </w:r>
        <w:r>
          <w:instrText xml:space="preserve"> PAGEREF _Toc83625688 \h </w:instrText>
        </w:r>
        <w:r>
          <w:fldChar w:fldCharType="separate"/>
        </w:r>
        <w:r w:rsidR="005C5D7F">
          <w:t>274</w:t>
        </w:r>
        <w:r>
          <w:fldChar w:fldCharType="end"/>
        </w:r>
      </w:hyperlink>
    </w:p>
    <w:p w14:paraId="3D6882A9" w14:textId="550703A5" w:rsidR="005E03F7" w:rsidRDefault="005E03F7">
      <w:pPr>
        <w:pStyle w:val="TOC5"/>
        <w:rPr>
          <w:rFonts w:asciiTheme="minorHAnsi" w:eastAsiaTheme="minorEastAsia" w:hAnsiTheme="minorHAnsi" w:cstheme="minorBidi"/>
          <w:sz w:val="22"/>
          <w:szCs w:val="22"/>
          <w:lang w:eastAsia="en-AU"/>
        </w:rPr>
      </w:pPr>
      <w:r>
        <w:tab/>
      </w:r>
      <w:hyperlink w:anchor="_Toc83625689" w:history="1">
        <w:r w:rsidRPr="00D90FEA">
          <w:t>312</w:t>
        </w:r>
        <w:r>
          <w:rPr>
            <w:rFonts w:asciiTheme="minorHAnsi" w:eastAsiaTheme="minorEastAsia" w:hAnsiTheme="minorHAnsi" w:cstheme="minorBidi"/>
            <w:sz w:val="22"/>
            <w:szCs w:val="22"/>
            <w:lang w:eastAsia="en-AU"/>
          </w:rPr>
          <w:tab/>
        </w:r>
        <w:r w:rsidRPr="00D90FEA">
          <w:t>What record keeper must do if electronic work diary destroyed, lost or stolen</w:t>
        </w:r>
        <w:r>
          <w:tab/>
        </w:r>
        <w:r>
          <w:fldChar w:fldCharType="begin"/>
        </w:r>
        <w:r>
          <w:instrText xml:space="preserve"> PAGEREF _Toc83625689 \h </w:instrText>
        </w:r>
        <w:r>
          <w:fldChar w:fldCharType="separate"/>
        </w:r>
        <w:r w:rsidR="005C5D7F">
          <w:t>275</w:t>
        </w:r>
        <w:r>
          <w:fldChar w:fldCharType="end"/>
        </w:r>
      </w:hyperlink>
    </w:p>
    <w:p w14:paraId="6D695B51" w14:textId="7BE96FFB" w:rsidR="005E03F7" w:rsidRDefault="005E03F7">
      <w:pPr>
        <w:pStyle w:val="TOC5"/>
        <w:rPr>
          <w:rFonts w:asciiTheme="minorHAnsi" w:eastAsiaTheme="minorEastAsia" w:hAnsiTheme="minorHAnsi" w:cstheme="minorBidi"/>
          <w:sz w:val="22"/>
          <w:szCs w:val="22"/>
          <w:lang w:eastAsia="en-AU"/>
        </w:rPr>
      </w:pPr>
      <w:r>
        <w:tab/>
      </w:r>
      <w:hyperlink w:anchor="_Toc83625690" w:history="1">
        <w:r w:rsidRPr="00D90FEA">
          <w:t>313</w:t>
        </w:r>
        <w:r>
          <w:rPr>
            <w:rFonts w:asciiTheme="minorHAnsi" w:eastAsiaTheme="minorEastAsia" w:hAnsiTheme="minorHAnsi" w:cstheme="minorBidi"/>
            <w:sz w:val="22"/>
            <w:szCs w:val="22"/>
            <w:lang w:eastAsia="en-AU"/>
          </w:rPr>
          <w:tab/>
        </w:r>
        <w:r w:rsidRPr="00D90FEA">
          <w:t>What record keeper must do if electronic work diary not in working order or malfunctioning</w:t>
        </w:r>
        <w:r>
          <w:tab/>
        </w:r>
        <w:r>
          <w:fldChar w:fldCharType="begin"/>
        </w:r>
        <w:r>
          <w:instrText xml:space="preserve"> PAGEREF _Toc83625690 \h </w:instrText>
        </w:r>
        <w:r>
          <w:fldChar w:fldCharType="separate"/>
        </w:r>
        <w:r w:rsidR="005C5D7F">
          <w:t>276</w:t>
        </w:r>
        <w:r>
          <w:fldChar w:fldCharType="end"/>
        </w:r>
      </w:hyperlink>
    </w:p>
    <w:p w14:paraId="7DE12F07" w14:textId="0127D8D0" w:rsidR="005E03F7" w:rsidRDefault="00856BEE">
      <w:pPr>
        <w:pStyle w:val="TOC4"/>
        <w:rPr>
          <w:rFonts w:asciiTheme="minorHAnsi" w:eastAsiaTheme="minorEastAsia" w:hAnsiTheme="minorHAnsi" w:cstheme="minorBidi"/>
          <w:b w:val="0"/>
          <w:sz w:val="22"/>
          <w:szCs w:val="22"/>
          <w:lang w:eastAsia="en-AU"/>
        </w:rPr>
      </w:pPr>
      <w:hyperlink w:anchor="_Toc83625691" w:history="1">
        <w:r w:rsidR="005E03F7" w:rsidRPr="00D90FEA">
          <w:t xml:space="preserve">Subdivision 5 </w:t>
        </w:r>
        <w:r w:rsidR="005E03F7">
          <w:rPr>
            <w:rFonts w:asciiTheme="minorHAnsi" w:eastAsiaTheme="minorEastAsia" w:hAnsiTheme="minorHAnsi" w:cstheme="minorBidi"/>
            <w:b w:val="0"/>
            <w:sz w:val="22"/>
            <w:szCs w:val="22"/>
            <w:lang w:eastAsia="en-AU"/>
          </w:rPr>
          <w:tab/>
        </w:r>
        <w:r w:rsidR="005E03F7" w:rsidRPr="00D90FEA">
          <w:t>Use of electronic work diaries</w:t>
        </w:r>
        <w:r w:rsidR="005E03F7" w:rsidRPr="005E03F7">
          <w:rPr>
            <w:vanish/>
          </w:rPr>
          <w:tab/>
        </w:r>
        <w:r w:rsidR="005E03F7" w:rsidRPr="005E03F7">
          <w:rPr>
            <w:vanish/>
          </w:rPr>
          <w:fldChar w:fldCharType="begin"/>
        </w:r>
        <w:r w:rsidR="005E03F7" w:rsidRPr="005E03F7">
          <w:rPr>
            <w:vanish/>
          </w:rPr>
          <w:instrText xml:space="preserve"> PAGEREF _Toc83625691 \h </w:instrText>
        </w:r>
        <w:r w:rsidR="005E03F7" w:rsidRPr="005E03F7">
          <w:rPr>
            <w:vanish/>
          </w:rPr>
        </w:r>
        <w:r w:rsidR="005E03F7" w:rsidRPr="005E03F7">
          <w:rPr>
            <w:vanish/>
          </w:rPr>
          <w:fldChar w:fldCharType="separate"/>
        </w:r>
        <w:r w:rsidR="005C5D7F">
          <w:rPr>
            <w:vanish/>
          </w:rPr>
          <w:t>279</w:t>
        </w:r>
        <w:r w:rsidR="005E03F7" w:rsidRPr="005E03F7">
          <w:rPr>
            <w:vanish/>
          </w:rPr>
          <w:fldChar w:fldCharType="end"/>
        </w:r>
      </w:hyperlink>
    </w:p>
    <w:p w14:paraId="42D62271" w14:textId="14D5C0F5" w:rsidR="005E03F7" w:rsidRDefault="005E03F7">
      <w:pPr>
        <w:pStyle w:val="TOC5"/>
        <w:rPr>
          <w:rFonts w:asciiTheme="minorHAnsi" w:eastAsiaTheme="minorEastAsia" w:hAnsiTheme="minorHAnsi" w:cstheme="minorBidi"/>
          <w:sz w:val="22"/>
          <w:szCs w:val="22"/>
          <w:lang w:eastAsia="en-AU"/>
        </w:rPr>
      </w:pPr>
      <w:r>
        <w:tab/>
      </w:r>
      <w:hyperlink w:anchor="_Toc83625692" w:history="1">
        <w:r w:rsidRPr="00D90FEA">
          <w:t>314</w:t>
        </w:r>
        <w:r>
          <w:rPr>
            <w:rFonts w:asciiTheme="minorHAnsi" w:eastAsiaTheme="minorEastAsia" w:hAnsiTheme="minorHAnsi" w:cstheme="minorBidi"/>
            <w:sz w:val="22"/>
            <w:szCs w:val="22"/>
            <w:lang w:eastAsia="en-AU"/>
          </w:rPr>
          <w:tab/>
        </w:r>
        <w:r w:rsidRPr="00D90FEA">
          <w:t>How electronic work diary must be used</w:t>
        </w:r>
        <w:r>
          <w:tab/>
        </w:r>
        <w:r>
          <w:fldChar w:fldCharType="begin"/>
        </w:r>
        <w:r>
          <w:instrText xml:space="preserve"> PAGEREF _Toc83625692 \h </w:instrText>
        </w:r>
        <w:r>
          <w:fldChar w:fldCharType="separate"/>
        </w:r>
        <w:r w:rsidR="005C5D7F">
          <w:t>279</w:t>
        </w:r>
        <w:r>
          <w:fldChar w:fldCharType="end"/>
        </w:r>
      </w:hyperlink>
    </w:p>
    <w:p w14:paraId="2BF42F7B" w14:textId="7C7F6744" w:rsidR="005E03F7" w:rsidRDefault="00856BEE">
      <w:pPr>
        <w:pStyle w:val="TOC4"/>
        <w:rPr>
          <w:rFonts w:asciiTheme="minorHAnsi" w:eastAsiaTheme="minorEastAsia" w:hAnsiTheme="minorHAnsi" w:cstheme="minorBidi"/>
          <w:b w:val="0"/>
          <w:sz w:val="22"/>
          <w:szCs w:val="22"/>
          <w:lang w:eastAsia="en-AU"/>
        </w:rPr>
      </w:pPr>
      <w:hyperlink w:anchor="_Toc83625693" w:history="1">
        <w:r w:rsidR="005E03F7" w:rsidRPr="00D90FEA">
          <w:t xml:space="preserve">Subdivision 6 </w:t>
        </w:r>
        <w:r w:rsidR="005E03F7">
          <w:rPr>
            <w:rFonts w:asciiTheme="minorHAnsi" w:eastAsiaTheme="minorEastAsia" w:hAnsiTheme="minorHAnsi" w:cstheme="minorBidi"/>
            <w:b w:val="0"/>
            <w:sz w:val="22"/>
            <w:szCs w:val="22"/>
            <w:lang w:eastAsia="en-AU"/>
          </w:rPr>
          <w:tab/>
        </w:r>
        <w:r w:rsidR="005E03F7" w:rsidRPr="00D90FEA">
          <w:t>Extended liability</w:t>
        </w:r>
        <w:r w:rsidR="005E03F7" w:rsidRPr="005E03F7">
          <w:rPr>
            <w:vanish/>
          </w:rPr>
          <w:tab/>
        </w:r>
        <w:r w:rsidR="005E03F7" w:rsidRPr="005E03F7">
          <w:rPr>
            <w:vanish/>
          </w:rPr>
          <w:fldChar w:fldCharType="begin"/>
        </w:r>
        <w:r w:rsidR="005E03F7" w:rsidRPr="005E03F7">
          <w:rPr>
            <w:vanish/>
          </w:rPr>
          <w:instrText xml:space="preserve"> PAGEREF _Toc83625693 \h </w:instrText>
        </w:r>
        <w:r w:rsidR="005E03F7" w:rsidRPr="005E03F7">
          <w:rPr>
            <w:vanish/>
          </w:rPr>
        </w:r>
        <w:r w:rsidR="005E03F7" w:rsidRPr="005E03F7">
          <w:rPr>
            <w:vanish/>
          </w:rPr>
          <w:fldChar w:fldCharType="separate"/>
        </w:r>
        <w:r w:rsidR="005C5D7F">
          <w:rPr>
            <w:vanish/>
          </w:rPr>
          <w:t>280</w:t>
        </w:r>
        <w:r w:rsidR="005E03F7" w:rsidRPr="005E03F7">
          <w:rPr>
            <w:vanish/>
          </w:rPr>
          <w:fldChar w:fldCharType="end"/>
        </w:r>
      </w:hyperlink>
    </w:p>
    <w:p w14:paraId="51CE40C6" w14:textId="5877050A" w:rsidR="005E03F7" w:rsidRDefault="005E03F7">
      <w:pPr>
        <w:pStyle w:val="TOC5"/>
        <w:rPr>
          <w:rFonts w:asciiTheme="minorHAnsi" w:eastAsiaTheme="minorEastAsia" w:hAnsiTheme="minorHAnsi" w:cstheme="minorBidi"/>
          <w:sz w:val="22"/>
          <w:szCs w:val="22"/>
          <w:lang w:eastAsia="en-AU"/>
        </w:rPr>
      </w:pPr>
      <w:r>
        <w:tab/>
      </w:r>
      <w:hyperlink w:anchor="_Toc83625694" w:history="1">
        <w:r w:rsidRPr="00D90FEA">
          <w:t>315</w:t>
        </w:r>
        <w:r>
          <w:rPr>
            <w:rFonts w:asciiTheme="minorHAnsi" w:eastAsiaTheme="minorEastAsia" w:hAnsiTheme="minorHAnsi" w:cstheme="minorBidi"/>
            <w:sz w:val="22"/>
            <w:szCs w:val="22"/>
            <w:lang w:eastAsia="en-AU"/>
          </w:rPr>
          <w:tab/>
        </w:r>
        <w:r w:rsidRPr="00D90FEA">
          <w:rPr>
            <w:lang w:val="en" w:eastAsia="en-AU"/>
          </w:rPr>
          <w:t>Ensuring driver complies with Sdivs 1–4</w:t>
        </w:r>
        <w:r>
          <w:tab/>
        </w:r>
        <w:r>
          <w:fldChar w:fldCharType="begin"/>
        </w:r>
        <w:r>
          <w:instrText xml:space="preserve"> PAGEREF _Toc83625694 \h </w:instrText>
        </w:r>
        <w:r>
          <w:fldChar w:fldCharType="separate"/>
        </w:r>
        <w:r w:rsidR="005C5D7F">
          <w:t>280</w:t>
        </w:r>
        <w:r>
          <w:fldChar w:fldCharType="end"/>
        </w:r>
      </w:hyperlink>
    </w:p>
    <w:p w14:paraId="7097C385" w14:textId="270690EC" w:rsidR="005E03F7" w:rsidRDefault="00856BEE">
      <w:pPr>
        <w:pStyle w:val="TOC3"/>
        <w:rPr>
          <w:rFonts w:asciiTheme="minorHAnsi" w:eastAsiaTheme="minorEastAsia" w:hAnsiTheme="minorHAnsi" w:cstheme="minorBidi"/>
          <w:b w:val="0"/>
          <w:sz w:val="22"/>
          <w:szCs w:val="22"/>
          <w:lang w:eastAsia="en-AU"/>
        </w:rPr>
      </w:pPr>
      <w:hyperlink w:anchor="_Toc83625695" w:history="1">
        <w:r w:rsidR="005E03F7" w:rsidRPr="00D90FEA">
          <w:t xml:space="preserve">Division 3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Records relating to drivers</w:t>
        </w:r>
        <w:r w:rsidR="005E03F7" w:rsidRPr="005E03F7">
          <w:rPr>
            <w:vanish/>
          </w:rPr>
          <w:tab/>
        </w:r>
        <w:r w:rsidR="005E03F7" w:rsidRPr="005E03F7">
          <w:rPr>
            <w:vanish/>
          </w:rPr>
          <w:fldChar w:fldCharType="begin"/>
        </w:r>
        <w:r w:rsidR="005E03F7" w:rsidRPr="005E03F7">
          <w:rPr>
            <w:vanish/>
          </w:rPr>
          <w:instrText xml:space="preserve"> PAGEREF _Toc83625695 \h </w:instrText>
        </w:r>
        <w:r w:rsidR="005E03F7" w:rsidRPr="005E03F7">
          <w:rPr>
            <w:vanish/>
          </w:rPr>
        </w:r>
        <w:r w:rsidR="005E03F7" w:rsidRPr="005E03F7">
          <w:rPr>
            <w:vanish/>
          </w:rPr>
          <w:fldChar w:fldCharType="separate"/>
        </w:r>
        <w:r w:rsidR="005C5D7F">
          <w:rPr>
            <w:vanish/>
          </w:rPr>
          <w:t>281</w:t>
        </w:r>
        <w:r w:rsidR="005E03F7" w:rsidRPr="005E03F7">
          <w:rPr>
            <w:vanish/>
          </w:rPr>
          <w:fldChar w:fldCharType="end"/>
        </w:r>
      </w:hyperlink>
    </w:p>
    <w:p w14:paraId="0934AC1F" w14:textId="6ABABF63" w:rsidR="005E03F7" w:rsidRDefault="00856BEE">
      <w:pPr>
        <w:pStyle w:val="TOC4"/>
        <w:rPr>
          <w:rFonts w:asciiTheme="minorHAnsi" w:eastAsiaTheme="minorEastAsia" w:hAnsiTheme="minorHAnsi" w:cstheme="minorBidi"/>
          <w:b w:val="0"/>
          <w:sz w:val="22"/>
          <w:szCs w:val="22"/>
          <w:lang w:eastAsia="en-AU"/>
        </w:rPr>
      </w:pPr>
      <w:hyperlink w:anchor="_Toc83625696" w:history="1">
        <w:r w:rsidR="005E03F7" w:rsidRPr="00D90FEA">
          <w:t xml:space="preserve">Subdivision 1 </w:t>
        </w:r>
        <w:r w:rsidR="005E03F7">
          <w:rPr>
            <w:rFonts w:asciiTheme="minorHAnsi" w:eastAsiaTheme="minorEastAsia" w:hAnsiTheme="minorHAnsi" w:cstheme="minorBidi"/>
            <w:b w:val="0"/>
            <w:sz w:val="22"/>
            <w:szCs w:val="22"/>
            <w:lang w:eastAsia="en-AU"/>
          </w:rPr>
          <w:tab/>
        </w:r>
        <w:r w:rsidR="005E03F7" w:rsidRPr="00D90FEA">
          <w:t>Preliminary</w:t>
        </w:r>
        <w:r w:rsidR="005E03F7" w:rsidRPr="005E03F7">
          <w:rPr>
            <w:vanish/>
          </w:rPr>
          <w:tab/>
        </w:r>
        <w:r w:rsidR="005E03F7" w:rsidRPr="005E03F7">
          <w:rPr>
            <w:vanish/>
          </w:rPr>
          <w:fldChar w:fldCharType="begin"/>
        </w:r>
        <w:r w:rsidR="005E03F7" w:rsidRPr="005E03F7">
          <w:rPr>
            <w:vanish/>
          </w:rPr>
          <w:instrText xml:space="preserve"> PAGEREF _Toc83625696 \h </w:instrText>
        </w:r>
        <w:r w:rsidR="005E03F7" w:rsidRPr="005E03F7">
          <w:rPr>
            <w:vanish/>
          </w:rPr>
        </w:r>
        <w:r w:rsidR="005E03F7" w:rsidRPr="005E03F7">
          <w:rPr>
            <w:vanish/>
          </w:rPr>
          <w:fldChar w:fldCharType="separate"/>
        </w:r>
        <w:r w:rsidR="005C5D7F">
          <w:rPr>
            <w:vanish/>
          </w:rPr>
          <w:t>281</w:t>
        </w:r>
        <w:r w:rsidR="005E03F7" w:rsidRPr="005E03F7">
          <w:rPr>
            <w:vanish/>
          </w:rPr>
          <w:fldChar w:fldCharType="end"/>
        </w:r>
      </w:hyperlink>
    </w:p>
    <w:p w14:paraId="44BBDCD4" w14:textId="37238721" w:rsidR="005E03F7" w:rsidRDefault="005E03F7">
      <w:pPr>
        <w:pStyle w:val="TOC5"/>
        <w:rPr>
          <w:rFonts w:asciiTheme="minorHAnsi" w:eastAsiaTheme="minorEastAsia" w:hAnsiTheme="minorHAnsi" w:cstheme="minorBidi"/>
          <w:sz w:val="22"/>
          <w:szCs w:val="22"/>
          <w:lang w:eastAsia="en-AU"/>
        </w:rPr>
      </w:pPr>
      <w:r>
        <w:tab/>
      </w:r>
      <w:hyperlink w:anchor="_Toc83625697" w:history="1">
        <w:r w:rsidRPr="00D90FEA">
          <w:t>316</w:t>
        </w:r>
        <w:r>
          <w:rPr>
            <w:rFonts w:asciiTheme="minorHAnsi" w:eastAsiaTheme="minorEastAsia" w:hAnsiTheme="minorHAnsi" w:cstheme="minorBidi"/>
            <w:sz w:val="22"/>
            <w:szCs w:val="22"/>
            <w:lang w:eastAsia="en-AU"/>
          </w:rPr>
          <w:tab/>
        </w:r>
        <w:r w:rsidRPr="00D90FEA">
          <w:t>Application of Div 3</w:t>
        </w:r>
        <w:r>
          <w:tab/>
        </w:r>
        <w:r>
          <w:fldChar w:fldCharType="begin"/>
        </w:r>
        <w:r>
          <w:instrText xml:space="preserve"> PAGEREF _Toc83625697 \h </w:instrText>
        </w:r>
        <w:r>
          <w:fldChar w:fldCharType="separate"/>
        </w:r>
        <w:r w:rsidR="005C5D7F">
          <w:t>281</w:t>
        </w:r>
        <w:r>
          <w:fldChar w:fldCharType="end"/>
        </w:r>
      </w:hyperlink>
    </w:p>
    <w:p w14:paraId="76139A5D" w14:textId="6C94EAC5" w:rsidR="005E03F7" w:rsidRDefault="005E03F7">
      <w:pPr>
        <w:pStyle w:val="TOC5"/>
        <w:rPr>
          <w:rFonts w:asciiTheme="minorHAnsi" w:eastAsiaTheme="minorEastAsia" w:hAnsiTheme="minorHAnsi" w:cstheme="minorBidi"/>
          <w:sz w:val="22"/>
          <w:szCs w:val="22"/>
          <w:lang w:eastAsia="en-AU"/>
        </w:rPr>
      </w:pPr>
      <w:r>
        <w:tab/>
      </w:r>
      <w:hyperlink w:anchor="_Toc83625698" w:history="1">
        <w:r w:rsidRPr="00D90FEA">
          <w:t>317</w:t>
        </w:r>
        <w:r>
          <w:rPr>
            <w:rFonts w:asciiTheme="minorHAnsi" w:eastAsiaTheme="minorEastAsia" w:hAnsiTheme="minorHAnsi" w:cstheme="minorBidi"/>
            <w:sz w:val="22"/>
            <w:szCs w:val="22"/>
            <w:lang w:eastAsia="en-AU"/>
          </w:rPr>
          <w:tab/>
        </w:r>
        <w:r w:rsidRPr="00D90FEA">
          <w:t>Who is a driver’s record keeper</w:t>
        </w:r>
        <w:r>
          <w:tab/>
        </w:r>
        <w:r>
          <w:fldChar w:fldCharType="begin"/>
        </w:r>
        <w:r>
          <w:instrText xml:space="preserve"> PAGEREF _Toc83625698 \h </w:instrText>
        </w:r>
        <w:r>
          <w:fldChar w:fldCharType="separate"/>
        </w:r>
        <w:r w:rsidR="005C5D7F">
          <w:t>281</w:t>
        </w:r>
        <w:r>
          <w:fldChar w:fldCharType="end"/>
        </w:r>
      </w:hyperlink>
    </w:p>
    <w:p w14:paraId="6915CA75" w14:textId="4384CDA0" w:rsidR="005E03F7" w:rsidRDefault="00856BEE">
      <w:pPr>
        <w:pStyle w:val="TOC4"/>
        <w:rPr>
          <w:rFonts w:asciiTheme="minorHAnsi" w:eastAsiaTheme="minorEastAsia" w:hAnsiTheme="minorHAnsi" w:cstheme="minorBidi"/>
          <w:b w:val="0"/>
          <w:sz w:val="22"/>
          <w:szCs w:val="22"/>
          <w:lang w:eastAsia="en-AU"/>
        </w:rPr>
      </w:pPr>
      <w:hyperlink w:anchor="_Toc83625699" w:history="1">
        <w:r w:rsidR="005E03F7" w:rsidRPr="00D90FEA">
          <w:t xml:space="preserve">Subdivision 2 </w:t>
        </w:r>
        <w:r w:rsidR="005E03F7">
          <w:rPr>
            <w:rFonts w:asciiTheme="minorHAnsi" w:eastAsiaTheme="minorEastAsia" w:hAnsiTheme="minorHAnsi" w:cstheme="minorBidi"/>
            <w:b w:val="0"/>
            <w:sz w:val="22"/>
            <w:szCs w:val="22"/>
            <w:lang w:eastAsia="en-AU"/>
          </w:rPr>
          <w:tab/>
        </w:r>
        <w:r w:rsidR="005E03F7" w:rsidRPr="00D90FEA">
          <w:t>Record keeping obligations relating to drivers undertaking 100km work under standard hours</w:t>
        </w:r>
        <w:r w:rsidR="005E03F7" w:rsidRPr="005E03F7">
          <w:rPr>
            <w:vanish/>
          </w:rPr>
          <w:tab/>
        </w:r>
        <w:r w:rsidR="005E03F7" w:rsidRPr="005E03F7">
          <w:rPr>
            <w:vanish/>
          </w:rPr>
          <w:fldChar w:fldCharType="begin"/>
        </w:r>
        <w:r w:rsidR="005E03F7" w:rsidRPr="005E03F7">
          <w:rPr>
            <w:vanish/>
          </w:rPr>
          <w:instrText xml:space="preserve"> PAGEREF _Toc83625699 \h </w:instrText>
        </w:r>
        <w:r w:rsidR="005E03F7" w:rsidRPr="005E03F7">
          <w:rPr>
            <w:vanish/>
          </w:rPr>
        </w:r>
        <w:r w:rsidR="005E03F7" w:rsidRPr="005E03F7">
          <w:rPr>
            <w:vanish/>
          </w:rPr>
          <w:fldChar w:fldCharType="separate"/>
        </w:r>
        <w:r w:rsidR="005C5D7F">
          <w:rPr>
            <w:vanish/>
          </w:rPr>
          <w:t>282</w:t>
        </w:r>
        <w:r w:rsidR="005E03F7" w:rsidRPr="005E03F7">
          <w:rPr>
            <w:vanish/>
          </w:rPr>
          <w:fldChar w:fldCharType="end"/>
        </w:r>
      </w:hyperlink>
    </w:p>
    <w:p w14:paraId="0404E145" w14:textId="35F747DE" w:rsidR="005E03F7" w:rsidRDefault="005E03F7">
      <w:pPr>
        <w:pStyle w:val="TOC5"/>
        <w:rPr>
          <w:rFonts w:asciiTheme="minorHAnsi" w:eastAsiaTheme="minorEastAsia" w:hAnsiTheme="minorHAnsi" w:cstheme="minorBidi"/>
          <w:sz w:val="22"/>
          <w:szCs w:val="22"/>
          <w:lang w:eastAsia="en-AU"/>
        </w:rPr>
      </w:pPr>
      <w:r>
        <w:tab/>
      </w:r>
      <w:hyperlink w:anchor="_Toc83625700" w:history="1">
        <w:r w:rsidRPr="00D90FEA">
          <w:t>318</w:t>
        </w:r>
        <w:r>
          <w:rPr>
            <w:rFonts w:asciiTheme="minorHAnsi" w:eastAsiaTheme="minorEastAsia" w:hAnsiTheme="minorHAnsi" w:cstheme="minorBidi"/>
            <w:sz w:val="22"/>
            <w:szCs w:val="22"/>
            <w:lang w:eastAsia="en-AU"/>
          </w:rPr>
          <w:tab/>
        </w:r>
        <w:r w:rsidRPr="00D90FEA">
          <w:t>Application of Sdiv 2</w:t>
        </w:r>
        <w:r>
          <w:tab/>
        </w:r>
        <w:r>
          <w:fldChar w:fldCharType="begin"/>
        </w:r>
        <w:r>
          <w:instrText xml:space="preserve"> PAGEREF _Toc83625700 \h </w:instrText>
        </w:r>
        <w:r>
          <w:fldChar w:fldCharType="separate"/>
        </w:r>
        <w:r w:rsidR="005C5D7F">
          <w:t>282</w:t>
        </w:r>
        <w:r>
          <w:fldChar w:fldCharType="end"/>
        </w:r>
      </w:hyperlink>
    </w:p>
    <w:p w14:paraId="4A42C3B8" w14:textId="3C0DF82C" w:rsidR="005E03F7" w:rsidRDefault="005E03F7">
      <w:pPr>
        <w:pStyle w:val="TOC5"/>
        <w:rPr>
          <w:rFonts w:asciiTheme="minorHAnsi" w:eastAsiaTheme="minorEastAsia" w:hAnsiTheme="minorHAnsi" w:cstheme="minorBidi"/>
          <w:sz w:val="22"/>
          <w:szCs w:val="22"/>
          <w:lang w:eastAsia="en-AU"/>
        </w:rPr>
      </w:pPr>
      <w:r>
        <w:tab/>
      </w:r>
      <w:hyperlink w:anchor="_Toc83625701" w:history="1">
        <w:r w:rsidRPr="00D90FEA">
          <w:t>319</w:t>
        </w:r>
        <w:r>
          <w:rPr>
            <w:rFonts w:asciiTheme="minorHAnsi" w:eastAsiaTheme="minorEastAsia" w:hAnsiTheme="minorHAnsi" w:cstheme="minorBidi"/>
            <w:sz w:val="22"/>
            <w:szCs w:val="22"/>
            <w:lang w:eastAsia="en-AU"/>
          </w:rPr>
          <w:tab/>
        </w:r>
        <w:r w:rsidRPr="00D90FEA">
          <w:t>Records record keeper must have</w:t>
        </w:r>
        <w:r>
          <w:tab/>
        </w:r>
        <w:r>
          <w:fldChar w:fldCharType="begin"/>
        </w:r>
        <w:r>
          <w:instrText xml:space="preserve"> PAGEREF _Toc83625701 \h </w:instrText>
        </w:r>
        <w:r>
          <w:fldChar w:fldCharType="separate"/>
        </w:r>
        <w:r w:rsidR="005C5D7F">
          <w:t>282</w:t>
        </w:r>
        <w:r>
          <w:fldChar w:fldCharType="end"/>
        </w:r>
      </w:hyperlink>
    </w:p>
    <w:p w14:paraId="7E5B57C3" w14:textId="147F4159" w:rsidR="005E03F7" w:rsidRDefault="005E03F7">
      <w:pPr>
        <w:pStyle w:val="TOC5"/>
        <w:rPr>
          <w:rFonts w:asciiTheme="minorHAnsi" w:eastAsiaTheme="minorEastAsia" w:hAnsiTheme="minorHAnsi" w:cstheme="minorBidi"/>
          <w:sz w:val="22"/>
          <w:szCs w:val="22"/>
          <w:lang w:eastAsia="en-AU"/>
        </w:rPr>
      </w:pPr>
      <w:r>
        <w:tab/>
      </w:r>
      <w:hyperlink w:anchor="_Toc83625702" w:history="1">
        <w:r w:rsidRPr="00D90FEA">
          <w:t>319A</w:t>
        </w:r>
        <w:r>
          <w:rPr>
            <w:rFonts w:asciiTheme="minorHAnsi" w:eastAsiaTheme="minorEastAsia" w:hAnsiTheme="minorHAnsi" w:cstheme="minorBidi"/>
            <w:sz w:val="22"/>
            <w:szCs w:val="22"/>
            <w:lang w:eastAsia="en-AU"/>
          </w:rPr>
          <w:tab/>
        </w:r>
        <w:r w:rsidRPr="00D90FEA">
          <w:rPr>
            <w:lang w:val="en" w:eastAsia="en-AU"/>
          </w:rPr>
          <w:t>General requirements about driver recording and giving information to record keeper</w:t>
        </w:r>
        <w:r>
          <w:tab/>
        </w:r>
        <w:r>
          <w:fldChar w:fldCharType="begin"/>
        </w:r>
        <w:r>
          <w:instrText xml:space="preserve"> PAGEREF _Toc83625702 \h </w:instrText>
        </w:r>
        <w:r>
          <w:fldChar w:fldCharType="separate"/>
        </w:r>
        <w:r w:rsidR="005C5D7F">
          <w:t>284</w:t>
        </w:r>
        <w:r>
          <w:fldChar w:fldCharType="end"/>
        </w:r>
      </w:hyperlink>
    </w:p>
    <w:p w14:paraId="1142BF97" w14:textId="7368D4EF" w:rsidR="005E03F7" w:rsidRDefault="00856BEE">
      <w:pPr>
        <w:pStyle w:val="TOC4"/>
        <w:rPr>
          <w:rFonts w:asciiTheme="minorHAnsi" w:eastAsiaTheme="minorEastAsia" w:hAnsiTheme="minorHAnsi" w:cstheme="minorBidi"/>
          <w:b w:val="0"/>
          <w:sz w:val="22"/>
          <w:szCs w:val="22"/>
          <w:lang w:eastAsia="en-AU"/>
        </w:rPr>
      </w:pPr>
      <w:hyperlink w:anchor="_Toc83625703" w:history="1">
        <w:r w:rsidR="005E03F7" w:rsidRPr="00D90FEA">
          <w:t xml:space="preserve">Subdivision 3 </w:t>
        </w:r>
        <w:r w:rsidR="005E03F7">
          <w:rPr>
            <w:rFonts w:asciiTheme="minorHAnsi" w:eastAsiaTheme="minorEastAsia" w:hAnsiTheme="minorHAnsi" w:cstheme="minorBidi"/>
            <w:b w:val="0"/>
            <w:sz w:val="22"/>
            <w:szCs w:val="22"/>
            <w:lang w:eastAsia="en-AU"/>
          </w:rPr>
          <w:tab/>
        </w:r>
        <w:r w:rsidR="005E03F7" w:rsidRPr="00D90FEA">
          <w:t>Record keeping obligations relating to drivers undertaking 100+km work under standard hours or operating under BFM hours, AFM hours or exemption hours</w:t>
        </w:r>
        <w:r w:rsidR="005E03F7" w:rsidRPr="005E03F7">
          <w:rPr>
            <w:vanish/>
          </w:rPr>
          <w:tab/>
        </w:r>
        <w:r w:rsidR="005E03F7" w:rsidRPr="005E03F7">
          <w:rPr>
            <w:vanish/>
          </w:rPr>
          <w:fldChar w:fldCharType="begin"/>
        </w:r>
        <w:r w:rsidR="005E03F7" w:rsidRPr="005E03F7">
          <w:rPr>
            <w:vanish/>
          </w:rPr>
          <w:instrText xml:space="preserve"> PAGEREF _Toc83625703 \h </w:instrText>
        </w:r>
        <w:r w:rsidR="005E03F7" w:rsidRPr="005E03F7">
          <w:rPr>
            <w:vanish/>
          </w:rPr>
        </w:r>
        <w:r w:rsidR="005E03F7" w:rsidRPr="005E03F7">
          <w:rPr>
            <w:vanish/>
          </w:rPr>
          <w:fldChar w:fldCharType="separate"/>
        </w:r>
        <w:r w:rsidR="005C5D7F">
          <w:rPr>
            <w:vanish/>
          </w:rPr>
          <w:t>286</w:t>
        </w:r>
        <w:r w:rsidR="005E03F7" w:rsidRPr="005E03F7">
          <w:rPr>
            <w:vanish/>
          </w:rPr>
          <w:fldChar w:fldCharType="end"/>
        </w:r>
      </w:hyperlink>
    </w:p>
    <w:p w14:paraId="48BCBF20" w14:textId="319DF328" w:rsidR="005E03F7" w:rsidRDefault="005E03F7">
      <w:pPr>
        <w:pStyle w:val="TOC5"/>
        <w:rPr>
          <w:rFonts w:asciiTheme="minorHAnsi" w:eastAsiaTheme="minorEastAsia" w:hAnsiTheme="minorHAnsi" w:cstheme="minorBidi"/>
          <w:sz w:val="22"/>
          <w:szCs w:val="22"/>
          <w:lang w:eastAsia="en-AU"/>
        </w:rPr>
      </w:pPr>
      <w:r>
        <w:tab/>
      </w:r>
      <w:hyperlink w:anchor="_Toc83625704" w:history="1">
        <w:r w:rsidRPr="00D90FEA">
          <w:t>320</w:t>
        </w:r>
        <w:r>
          <w:rPr>
            <w:rFonts w:asciiTheme="minorHAnsi" w:eastAsiaTheme="minorEastAsia" w:hAnsiTheme="minorHAnsi" w:cstheme="minorBidi"/>
            <w:sz w:val="22"/>
            <w:szCs w:val="22"/>
            <w:lang w:eastAsia="en-AU"/>
          </w:rPr>
          <w:tab/>
        </w:r>
        <w:r w:rsidRPr="00D90FEA">
          <w:t>Application of Sdiv 3</w:t>
        </w:r>
        <w:r>
          <w:tab/>
        </w:r>
        <w:r>
          <w:fldChar w:fldCharType="begin"/>
        </w:r>
        <w:r>
          <w:instrText xml:space="preserve"> PAGEREF _Toc83625704 \h </w:instrText>
        </w:r>
        <w:r>
          <w:fldChar w:fldCharType="separate"/>
        </w:r>
        <w:r w:rsidR="005C5D7F">
          <w:t>286</w:t>
        </w:r>
        <w:r>
          <w:fldChar w:fldCharType="end"/>
        </w:r>
      </w:hyperlink>
    </w:p>
    <w:p w14:paraId="0BFCFC1B" w14:textId="4F3699AC" w:rsidR="005E03F7" w:rsidRDefault="005E03F7">
      <w:pPr>
        <w:pStyle w:val="TOC5"/>
        <w:rPr>
          <w:rFonts w:asciiTheme="minorHAnsi" w:eastAsiaTheme="minorEastAsia" w:hAnsiTheme="minorHAnsi" w:cstheme="minorBidi"/>
          <w:sz w:val="22"/>
          <w:szCs w:val="22"/>
          <w:lang w:eastAsia="en-AU"/>
        </w:rPr>
      </w:pPr>
      <w:r>
        <w:tab/>
      </w:r>
      <w:hyperlink w:anchor="_Toc83625705" w:history="1">
        <w:r w:rsidRPr="00D90FEA">
          <w:t>321</w:t>
        </w:r>
        <w:r>
          <w:rPr>
            <w:rFonts w:asciiTheme="minorHAnsi" w:eastAsiaTheme="minorEastAsia" w:hAnsiTheme="minorHAnsi" w:cstheme="minorBidi"/>
            <w:sz w:val="22"/>
            <w:szCs w:val="22"/>
            <w:lang w:eastAsia="en-AU"/>
          </w:rPr>
          <w:tab/>
        </w:r>
        <w:r w:rsidRPr="00D90FEA">
          <w:t>Records record keeper must have</w:t>
        </w:r>
        <w:r>
          <w:tab/>
        </w:r>
        <w:r>
          <w:fldChar w:fldCharType="begin"/>
        </w:r>
        <w:r>
          <w:instrText xml:space="preserve"> PAGEREF _Toc83625705 \h </w:instrText>
        </w:r>
        <w:r>
          <w:fldChar w:fldCharType="separate"/>
        </w:r>
        <w:r w:rsidR="005C5D7F">
          <w:t>286</w:t>
        </w:r>
        <w:r>
          <w:fldChar w:fldCharType="end"/>
        </w:r>
      </w:hyperlink>
    </w:p>
    <w:p w14:paraId="0360443F" w14:textId="6A13562A" w:rsidR="005E03F7" w:rsidRDefault="005E03F7">
      <w:pPr>
        <w:pStyle w:val="TOC5"/>
        <w:rPr>
          <w:rFonts w:asciiTheme="minorHAnsi" w:eastAsiaTheme="minorEastAsia" w:hAnsiTheme="minorHAnsi" w:cstheme="minorBidi"/>
          <w:sz w:val="22"/>
          <w:szCs w:val="22"/>
          <w:lang w:eastAsia="en-AU"/>
        </w:rPr>
      </w:pPr>
      <w:r>
        <w:tab/>
      </w:r>
      <w:hyperlink w:anchor="_Toc83625706" w:history="1">
        <w:r w:rsidRPr="00D90FEA">
          <w:t>322</w:t>
        </w:r>
        <w:r>
          <w:rPr>
            <w:rFonts w:asciiTheme="minorHAnsi" w:eastAsiaTheme="minorEastAsia" w:hAnsiTheme="minorHAnsi" w:cstheme="minorBidi"/>
            <w:sz w:val="22"/>
            <w:szCs w:val="22"/>
            <w:lang w:eastAsia="en-AU"/>
          </w:rPr>
          <w:tab/>
        </w:r>
        <w:r w:rsidRPr="00D90FEA">
          <w:t>General requirements about driver giving information to record keeper</w:t>
        </w:r>
        <w:r>
          <w:tab/>
        </w:r>
        <w:r>
          <w:fldChar w:fldCharType="begin"/>
        </w:r>
        <w:r>
          <w:instrText xml:space="preserve"> PAGEREF _Toc83625706 \h </w:instrText>
        </w:r>
        <w:r>
          <w:fldChar w:fldCharType="separate"/>
        </w:r>
        <w:r w:rsidR="005C5D7F">
          <w:t>288</w:t>
        </w:r>
        <w:r>
          <w:fldChar w:fldCharType="end"/>
        </w:r>
      </w:hyperlink>
    </w:p>
    <w:p w14:paraId="1F26CD5A" w14:textId="3E905F89" w:rsidR="005E03F7" w:rsidRDefault="005E03F7">
      <w:pPr>
        <w:pStyle w:val="TOC5"/>
        <w:rPr>
          <w:rFonts w:asciiTheme="minorHAnsi" w:eastAsiaTheme="minorEastAsia" w:hAnsiTheme="minorHAnsi" w:cstheme="minorBidi"/>
          <w:sz w:val="22"/>
          <w:szCs w:val="22"/>
          <w:lang w:eastAsia="en-AU"/>
        </w:rPr>
      </w:pPr>
      <w:r>
        <w:tab/>
      </w:r>
      <w:hyperlink w:anchor="_Toc83625707" w:history="1">
        <w:r w:rsidRPr="00D90FEA">
          <w:t>323</w:t>
        </w:r>
        <w:r>
          <w:rPr>
            <w:rFonts w:asciiTheme="minorHAnsi" w:eastAsiaTheme="minorEastAsia" w:hAnsiTheme="minorHAnsi" w:cstheme="minorBidi"/>
            <w:sz w:val="22"/>
            <w:szCs w:val="22"/>
            <w:lang w:eastAsia="en-AU"/>
          </w:rPr>
          <w:tab/>
        </w:r>
        <w:r w:rsidRPr="00D90FEA">
          <w:t>Requirements about driver giving information to record keeper if driver changes record keeper</w:t>
        </w:r>
        <w:r>
          <w:tab/>
        </w:r>
        <w:r>
          <w:fldChar w:fldCharType="begin"/>
        </w:r>
        <w:r>
          <w:instrText xml:space="preserve"> PAGEREF _Toc83625707 \h </w:instrText>
        </w:r>
        <w:r>
          <w:fldChar w:fldCharType="separate"/>
        </w:r>
        <w:r w:rsidR="005C5D7F">
          <w:t>289</w:t>
        </w:r>
        <w:r>
          <w:fldChar w:fldCharType="end"/>
        </w:r>
      </w:hyperlink>
    </w:p>
    <w:p w14:paraId="2EA0AC78" w14:textId="22B8E0A1" w:rsidR="005E03F7" w:rsidRDefault="005E03F7">
      <w:pPr>
        <w:pStyle w:val="TOC5"/>
        <w:rPr>
          <w:rFonts w:asciiTheme="minorHAnsi" w:eastAsiaTheme="minorEastAsia" w:hAnsiTheme="minorHAnsi" w:cstheme="minorBidi"/>
          <w:sz w:val="22"/>
          <w:szCs w:val="22"/>
          <w:lang w:eastAsia="en-AU"/>
        </w:rPr>
      </w:pPr>
      <w:r>
        <w:tab/>
      </w:r>
      <w:hyperlink w:anchor="_Toc83625708" w:history="1">
        <w:r w:rsidRPr="00D90FEA">
          <w:t>324</w:t>
        </w:r>
        <w:r>
          <w:rPr>
            <w:rFonts w:asciiTheme="minorHAnsi" w:eastAsiaTheme="minorEastAsia" w:hAnsiTheme="minorHAnsi" w:cstheme="minorBidi"/>
            <w:sz w:val="22"/>
            <w:szCs w:val="22"/>
            <w:lang w:eastAsia="en-AU"/>
          </w:rPr>
          <w:tab/>
        </w:r>
        <w:r w:rsidRPr="00D90FEA">
          <w:t>Record keeper must give information from electronic work diary</w:t>
        </w:r>
        <w:r>
          <w:tab/>
        </w:r>
        <w:r>
          <w:fldChar w:fldCharType="begin"/>
        </w:r>
        <w:r>
          <w:instrText xml:space="preserve"> PAGEREF _Toc83625708 \h </w:instrText>
        </w:r>
        <w:r>
          <w:fldChar w:fldCharType="separate"/>
        </w:r>
        <w:r w:rsidR="005C5D7F">
          <w:t>290</w:t>
        </w:r>
        <w:r>
          <w:fldChar w:fldCharType="end"/>
        </w:r>
      </w:hyperlink>
    </w:p>
    <w:p w14:paraId="650548F7" w14:textId="72BC9123" w:rsidR="005E03F7" w:rsidRDefault="005E03F7">
      <w:pPr>
        <w:pStyle w:val="TOC5"/>
        <w:rPr>
          <w:rFonts w:asciiTheme="minorHAnsi" w:eastAsiaTheme="minorEastAsia" w:hAnsiTheme="minorHAnsi" w:cstheme="minorBidi"/>
          <w:sz w:val="22"/>
          <w:szCs w:val="22"/>
          <w:lang w:eastAsia="en-AU"/>
        </w:rPr>
      </w:pPr>
      <w:r>
        <w:tab/>
      </w:r>
      <w:hyperlink w:anchor="_Toc83625709" w:history="1">
        <w:r w:rsidRPr="00D90FEA">
          <w:t>324A</w:t>
        </w:r>
        <w:r>
          <w:rPr>
            <w:rFonts w:asciiTheme="minorHAnsi" w:eastAsiaTheme="minorEastAsia" w:hAnsiTheme="minorHAnsi" w:cstheme="minorBidi"/>
            <w:sz w:val="22"/>
            <w:szCs w:val="22"/>
            <w:lang w:eastAsia="en-AU"/>
          </w:rPr>
          <w:tab/>
        </w:r>
        <w:r w:rsidRPr="00D90FEA">
          <w:t>Record keeper must give record to driver if requested</w:t>
        </w:r>
        <w:r>
          <w:tab/>
        </w:r>
        <w:r>
          <w:fldChar w:fldCharType="begin"/>
        </w:r>
        <w:r>
          <w:instrText xml:space="preserve"> PAGEREF _Toc83625709 \h </w:instrText>
        </w:r>
        <w:r>
          <w:fldChar w:fldCharType="separate"/>
        </w:r>
        <w:r w:rsidR="005C5D7F">
          <w:t>291</w:t>
        </w:r>
        <w:r>
          <w:fldChar w:fldCharType="end"/>
        </w:r>
      </w:hyperlink>
    </w:p>
    <w:p w14:paraId="16CD0F9D" w14:textId="0A44C32B" w:rsidR="005E03F7" w:rsidRDefault="00856BEE">
      <w:pPr>
        <w:pStyle w:val="TOC3"/>
        <w:rPr>
          <w:rFonts w:asciiTheme="minorHAnsi" w:eastAsiaTheme="minorEastAsia" w:hAnsiTheme="minorHAnsi" w:cstheme="minorBidi"/>
          <w:b w:val="0"/>
          <w:sz w:val="22"/>
          <w:szCs w:val="22"/>
          <w:lang w:eastAsia="en-AU"/>
        </w:rPr>
      </w:pPr>
      <w:hyperlink w:anchor="_Toc83625710" w:history="1">
        <w:r w:rsidR="005E03F7" w:rsidRPr="00D90FEA">
          <w:t xml:space="preserve">Division 4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Provisions about false representations relating to work records</w:t>
        </w:r>
        <w:r w:rsidR="005E03F7" w:rsidRPr="005E03F7">
          <w:rPr>
            <w:vanish/>
          </w:rPr>
          <w:tab/>
        </w:r>
        <w:r w:rsidR="005E03F7" w:rsidRPr="005E03F7">
          <w:rPr>
            <w:vanish/>
          </w:rPr>
          <w:fldChar w:fldCharType="begin"/>
        </w:r>
        <w:r w:rsidR="005E03F7" w:rsidRPr="005E03F7">
          <w:rPr>
            <w:vanish/>
          </w:rPr>
          <w:instrText xml:space="preserve"> PAGEREF _Toc83625710 \h </w:instrText>
        </w:r>
        <w:r w:rsidR="005E03F7" w:rsidRPr="005E03F7">
          <w:rPr>
            <w:vanish/>
          </w:rPr>
        </w:r>
        <w:r w:rsidR="005E03F7" w:rsidRPr="005E03F7">
          <w:rPr>
            <w:vanish/>
          </w:rPr>
          <w:fldChar w:fldCharType="separate"/>
        </w:r>
        <w:r w:rsidR="005C5D7F">
          <w:rPr>
            <w:vanish/>
          </w:rPr>
          <w:t>292</w:t>
        </w:r>
        <w:r w:rsidR="005E03F7" w:rsidRPr="005E03F7">
          <w:rPr>
            <w:vanish/>
          </w:rPr>
          <w:fldChar w:fldCharType="end"/>
        </w:r>
      </w:hyperlink>
    </w:p>
    <w:p w14:paraId="53DCB261" w14:textId="75992002" w:rsidR="005E03F7" w:rsidRDefault="005E03F7">
      <w:pPr>
        <w:pStyle w:val="TOC5"/>
        <w:rPr>
          <w:rFonts w:asciiTheme="minorHAnsi" w:eastAsiaTheme="minorEastAsia" w:hAnsiTheme="minorHAnsi" w:cstheme="minorBidi"/>
          <w:sz w:val="22"/>
          <w:szCs w:val="22"/>
          <w:lang w:eastAsia="en-AU"/>
        </w:rPr>
      </w:pPr>
      <w:r>
        <w:tab/>
      </w:r>
      <w:hyperlink w:anchor="_Toc83625711" w:history="1">
        <w:r w:rsidRPr="00D90FEA">
          <w:t>325</w:t>
        </w:r>
        <w:r>
          <w:rPr>
            <w:rFonts w:asciiTheme="minorHAnsi" w:eastAsiaTheme="minorEastAsia" w:hAnsiTheme="minorHAnsi" w:cstheme="minorBidi"/>
            <w:sz w:val="22"/>
            <w:szCs w:val="22"/>
            <w:lang w:eastAsia="en-AU"/>
          </w:rPr>
          <w:tab/>
        </w:r>
        <w:r w:rsidRPr="00D90FEA">
          <w:t>False or misleading entries</w:t>
        </w:r>
        <w:r>
          <w:tab/>
        </w:r>
        <w:r>
          <w:fldChar w:fldCharType="begin"/>
        </w:r>
        <w:r>
          <w:instrText xml:space="preserve"> PAGEREF _Toc83625711 \h </w:instrText>
        </w:r>
        <w:r>
          <w:fldChar w:fldCharType="separate"/>
        </w:r>
        <w:r w:rsidR="005C5D7F">
          <w:t>292</w:t>
        </w:r>
        <w:r>
          <w:fldChar w:fldCharType="end"/>
        </w:r>
      </w:hyperlink>
    </w:p>
    <w:p w14:paraId="54B423DB" w14:textId="7B62852D" w:rsidR="005E03F7" w:rsidRDefault="005E03F7">
      <w:pPr>
        <w:pStyle w:val="TOC5"/>
        <w:rPr>
          <w:rFonts w:asciiTheme="minorHAnsi" w:eastAsiaTheme="minorEastAsia" w:hAnsiTheme="minorHAnsi" w:cstheme="minorBidi"/>
          <w:sz w:val="22"/>
          <w:szCs w:val="22"/>
          <w:lang w:eastAsia="en-AU"/>
        </w:rPr>
      </w:pPr>
      <w:r>
        <w:lastRenderedPageBreak/>
        <w:tab/>
      </w:r>
      <w:hyperlink w:anchor="_Toc83625712" w:history="1">
        <w:r w:rsidRPr="00D90FEA">
          <w:t>326</w:t>
        </w:r>
        <w:r>
          <w:rPr>
            <w:rFonts w:asciiTheme="minorHAnsi" w:eastAsiaTheme="minorEastAsia" w:hAnsiTheme="minorHAnsi" w:cstheme="minorBidi"/>
            <w:sz w:val="22"/>
            <w:szCs w:val="22"/>
            <w:lang w:eastAsia="en-AU"/>
          </w:rPr>
          <w:tab/>
        </w:r>
        <w:r w:rsidRPr="00D90FEA">
          <w:t>When possessing, or recording information in, more than 1 work diary relating to the same period is prohibited</w:t>
        </w:r>
        <w:r>
          <w:tab/>
        </w:r>
        <w:r>
          <w:fldChar w:fldCharType="begin"/>
        </w:r>
        <w:r>
          <w:instrText xml:space="preserve"> PAGEREF _Toc83625712 \h </w:instrText>
        </w:r>
        <w:r>
          <w:fldChar w:fldCharType="separate"/>
        </w:r>
        <w:r w:rsidR="005C5D7F">
          <w:t>292</w:t>
        </w:r>
        <w:r>
          <w:fldChar w:fldCharType="end"/>
        </w:r>
      </w:hyperlink>
    </w:p>
    <w:p w14:paraId="1DD062A0" w14:textId="3B80E7AC" w:rsidR="005E03F7" w:rsidRDefault="005E03F7">
      <w:pPr>
        <w:pStyle w:val="TOC5"/>
        <w:rPr>
          <w:rFonts w:asciiTheme="minorHAnsi" w:eastAsiaTheme="minorEastAsia" w:hAnsiTheme="minorHAnsi" w:cstheme="minorBidi"/>
          <w:sz w:val="22"/>
          <w:szCs w:val="22"/>
          <w:lang w:eastAsia="en-AU"/>
        </w:rPr>
      </w:pPr>
      <w:r>
        <w:tab/>
      </w:r>
      <w:hyperlink w:anchor="_Toc83625713" w:history="1">
        <w:r w:rsidRPr="00D90FEA">
          <w:t>327</w:t>
        </w:r>
        <w:r>
          <w:rPr>
            <w:rFonts w:asciiTheme="minorHAnsi" w:eastAsiaTheme="minorEastAsia" w:hAnsiTheme="minorHAnsi" w:cstheme="minorBidi"/>
            <w:sz w:val="22"/>
            <w:szCs w:val="22"/>
            <w:lang w:eastAsia="en-AU"/>
          </w:rPr>
          <w:tab/>
        </w:r>
        <w:r w:rsidRPr="00D90FEA">
          <w:t>Possession of purported work records etc. prohibited</w:t>
        </w:r>
        <w:r>
          <w:tab/>
        </w:r>
        <w:r>
          <w:fldChar w:fldCharType="begin"/>
        </w:r>
        <w:r>
          <w:instrText xml:space="preserve"> PAGEREF _Toc83625713 \h </w:instrText>
        </w:r>
        <w:r>
          <w:fldChar w:fldCharType="separate"/>
        </w:r>
        <w:r w:rsidR="005C5D7F">
          <w:t>293</w:t>
        </w:r>
        <w:r>
          <w:fldChar w:fldCharType="end"/>
        </w:r>
      </w:hyperlink>
    </w:p>
    <w:p w14:paraId="5E645456" w14:textId="66EC3818" w:rsidR="005E03F7" w:rsidRDefault="005E03F7">
      <w:pPr>
        <w:pStyle w:val="TOC5"/>
        <w:rPr>
          <w:rFonts w:asciiTheme="minorHAnsi" w:eastAsiaTheme="minorEastAsia" w:hAnsiTheme="minorHAnsi" w:cstheme="minorBidi"/>
          <w:sz w:val="22"/>
          <w:szCs w:val="22"/>
          <w:lang w:eastAsia="en-AU"/>
        </w:rPr>
      </w:pPr>
      <w:r>
        <w:tab/>
      </w:r>
      <w:hyperlink w:anchor="_Toc83625714" w:history="1">
        <w:r w:rsidRPr="00D90FEA">
          <w:t>328</w:t>
        </w:r>
        <w:r>
          <w:rPr>
            <w:rFonts w:asciiTheme="minorHAnsi" w:eastAsiaTheme="minorEastAsia" w:hAnsiTheme="minorHAnsi" w:cstheme="minorBidi"/>
            <w:sz w:val="22"/>
            <w:szCs w:val="22"/>
            <w:lang w:eastAsia="en-AU"/>
          </w:rPr>
          <w:tab/>
        </w:r>
        <w:r w:rsidRPr="00D90FEA">
          <w:t>False representation about work records prohibited</w:t>
        </w:r>
        <w:r>
          <w:tab/>
        </w:r>
        <w:r>
          <w:fldChar w:fldCharType="begin"/>
        </w:r>
        <w:r>
          <w:instrText xml:space="preserve"> PAGEREF _Toc83625714 \h </w:instrText>
        </w:r>
        <w:r>
          <w:fldChar w:fldCharType="separate"/>
        </w:r>
        <w:r w:rsidR="005C5D7F">
          <w:t>293</w:t>
        </w:r>
        <w:r>
          <w:fldChar w:fldCharType="end"/>
        </w:r>
      </w:hyperlink>
    </w:p>
    <w:p w14:paraId="4A045AA2" w14:textId="2DF0CF52" w:rsidR="005E03F7" w:rsidRDefault="00856BEE">
      <w:pPr>
        <w:pStyle w:val="TOC3"/>
        <w:rPr>
          <w:rFonts w:asciiTheme="minorHAnsi" w:eastAsiaTheme="minorEastAsia" w:hAnsiTheme="minorHAnsi" w:cstheme="minorBidi"/>
          <w:b w:val="0"/>
          <w:sz w:val="22"/>
          <w:szCs w:val="22"/>
          <w:lang w:eastAsia="en-AU"/>
        </w:rPr>
      </w:pPr>
      <w:hyperlink w:anchor="_Toc83625715" w:history="1">
        <w:r w:rsidR="005E03F7" w:rsidRPr="00D90FEA">
          <w:t xml:space="preserve">Division 5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Interfering with work records</w:t>
        </w:r>
        <w:r w:rsidR="005E03F7" w:rsidRPr="005E03F7">
          <w:rPr>
            <w:vanish/>
          </w:rPr>
          <w:tab/>
        </w:r>
        <w:r w:rsidR="005E03F7" w:rsidRPr="005E03F7">
          <w:rPr>
            <w:vanish/>
          </w:rPr>
          <w:fldChar w:fldCharType="begin"/>
        </w:r>
        <w:r w:rsidR="005E03F7" w:rsidRPr="005E03F7">
          <w:rPr>
            <w:vanish/>
          </w:rPr>
          <w:instrText xml:space="preserve"> PAGEREF _Toc83625715 \h </w:instrText>
        </w:r>
        <w:r w:rsidR="005E03F7" w:rsidRPr="005E03F7">
          <w:rPr>
            <w:vanish/>
          </w:rPr>
        </w:r>
        <w:r w:rsidR="005E03F7" w:rsidRPr="005E03F7">
          <w:rPr>
            <w:vanish/>
          </w:rPr>
          <w:fldChar w:fldCharType="separate"/>
        </w:r>
        <w:r w:rsidR="005C5D7F">
          <w:rPr>
            <w:vanish/>
          </w:rPr>
          <w:t>294</w:t>
        </w:r>
        <w:r w:rsidR="005E03F7" w:rsidRPr="005E03F7">
          <w:rPr>
            <w:vanish/>
          </w:rPr>
          <w:fldChar w:fldCharType="end"/>
        </w:r>
      </w:hyperlink>
    </w:p>
    <w:p w14:paraId="2415C834" w14:textId="7F203301" w:rsidR="005E03F7" w:rsidRDefault="00856BEE">
      <w:pPr>
        <w:pStyle w:val="TOC4"/>
        <w:rPr>
          <w:rFonts w:asciiTheme="minorHAnsi" w:eastAsiaTheme="minorEastAsia" w:hAnsiTheme="minorHAnsi" w:cstheme="minorBidi"/>
          <w:b w:val="0"/>
          <w:sz w:val="22"/>
          <w:szCs w:val="22"/>
          <w:lang w:eastAsia="en-AU"/>
        </w:rPr>
      </w:pPr>
      <w:hyperlink w:anchor="_Toc83625716" w:history="1">
        <w:r w:rsidR="005E03F7" w:rsidRPr="00D90FEA">
          <w:t xml:space="preserve">Subdivision 1 </w:t>
        </w:r>
        <w:r w:rsidR="005E03F7">
          <w:rPr>
            <w:rFonts w:asciiTheme="minorHAnsi" w:eastAsiaTheme="minorEastAsia" w:hAnsiTheme="minorHAnsi" w:cstheme="minorBidi"/>
            <w:b w:val="0"/>
            <w:sz w:val="22"/>
            <w:szCs w:val="22"/>
            <w:lang w:eastAsia="en-AU"/>
          </w:rPr>
          <w:tab/>
        </w:r>
        <w:r w:rsidR="005E03F7" w:rsidRPr="00D90FEA">
          <w:t>Work records generally</w:t>
        </w:r>
        <w:r w:rsidR="005E03F7" w:rsidRPr="005E03F7">
          <w:rPr>
            <w:vanish/>
          </w:rPr>
          <w:tab/>
        </w:r>
        <w:r w:rsidR="005E03F7" w:rsidRPr="005E03F7">
          <w:rPr>
            <w:vanish/>
          </w:rPr>
          <w:fldChar w:fldCharType="begin"/>
        </w:r>
        <w:r w:rsidR="005E03F7" w:rsidRPr="005E03F7">
          <w:rPr>
            <w:vanish/>
          </w:rPr>
          <w:instrText xml:space="preserve"> PAGEREF _Toc83625716 \h </w:instrText>
        </w:r>
        <w:r w:rsidR="005E03F7" w:rsidRPr="005E03F7">
          <w:rPr>
            <w:vanish/>
          </w:rPr>
        </w:r>
        <w:r w:rsidR="005E03F7" w:rsidRPr="005E03F7">
          <w:rPr>
            <w:vanish/>
          </w:rPr>
          <w:fldChar w:fldCharType="separate"/>
        </w:r>
        <w:r w:rsidR="005C5D7F">
          <w:rPr>
            <w:vanish/>
          </w:rPr>
          <w:t>294</w:t>
        </w:r>
        <w:r w:rsidR="005E03F7" w:rsidRPr="005E03F7">
          <w:rPr>
            <w:vanish/>
          </w:rPr>
          <w:fldChar w:fldCharType="end"/>
        </w:r>
      </w:hyperlink>
    </w:p>
    <w:p w14:paraId="72AE3413" w14:textId="39B1D338" w:rsidR="005E03F7" w:rsidRDefault="005E03F7">
      <w:pPr>
        <w:pStyle w:val="TOC5"/>
        <w:rPr>
          <w:rFonts w:asciiTheme="minorHAnsi" w:eastAsiaTheme="minorEastAsia" w:hAnsiTheme="minorHAnsi" w:cstheme="minorBidi"/>
          <w:sz w:val="22"/>
          <w:szCs w:val="22"/>
          <w:lang w:eastAsia="en-AU"/>
        </w:rPr>
      </w:pPr>
      <w:r>
        <w:tab/>
      </w:r>
      <w:hyperlink w:anchor="_Toc83625717" w:history="1">
        <w:r w:rsidRPr="00D90FEA">
          <w:t>329</w:t>
        </w:r>
        <w:r>
          <w:rPr>
            <w:rFonts w:asciiTheme="minorHAnsi" w:eastAsiaTheme="minorEastAsia" w:hAnsiTheme="minorHAnsi" w:cstheme="minorBidi"/>
            <w:sz w:val="22"/>
            <w:szCs w:val="22"/>
            <w:lang w:eastAsia="en-AU"/>
          </w:rPr>
          <w:tab/>
        </w:r>
        <w:r w:rsidRPr="00D90FEA">
          <w:t>Defacing or changing work records etc. prohibited</w:t>
        </w:r>
        <w:r>
          <w:tab/>
        </w:r>
        <w:r>
          <w:fldChar w:fldCharType="begin"/>
        </w:r>
        <w:r>
          <w:instrText xml:space="preserve"> PAGEREF _Toc83625717 \h </w:instrText>
        </w:r>
        <w:r>
          <w:fldChar w:fldCharType="separate"/>
        </w:r>
        <w:r w:rsidR="005C5D7F">
          <w:t>294</w:t>
        </w:r>
        <w:r>
          <w:fldChar w:fldCharType="end"/>
        </w:r>
      </w:hyperlink>
    </w:p>
    <w:p w14:paraId="2010BE28" w14:textId="6808B1DB" w:rsidR="005E03F7" w:rsidRDefault="005E03F7">
      <w:pPr>
        <w:pStyle w:val="TOC5"/>
        <w:rPr>
          <w:rFonts w:asciiTheme="minorHAnsi" w:eastAsiaTheme="minorEastAsia" w:hAnsiTheme="minorHAnsi" w:cstheme="minorBidi"/>
          <w:sz w:val="22"/>
          <w:szCs w:val="22"/>
          <w:lang w:eastAsia="en-AU"/>
        </w:rPr>
      </w:pPr>
      <w:r>
        <w:tab/>
      </w:r>
      <w:hyperlink w:anchor="_Toc83625718" w:history="1">
        <w:r w:rsidRPr="00D90FEA">
          <w:t>330</w:t>
        </w:r>
        <w:r>
          <w:rPr>
            <w:rFonts w:asciiTheme="minorHAnsi" w:eastAsiaTheme="minorEastAsia" w:hAnsiTheme="minorHAnsi" w:cstheme="minorBidi"/>
            <w:sz w:val="22"/>
            <w:szCs w:val="22"/>
            <w:lang w:eastAsia="en-AU"/>
          </w:rPr>
          <w:tab/>
        </w:r>
        <w:r w:rsidRPr="00D90FEA">
          <w:t>Making entries in someone else’s work records prohibited</w:t>
        </w:r>
        <w:r>
          <w:tab/>
        </w:r>
        <w:r>
          <w:fldChar w:fldCharType="begin"/>
        </w:r>
        <w:r>
          <w:instrText xml:space="preserve"> PAGEREF _Toc83625718 \h </w:instrText>
        </w:r>
        <w:r>
          <w:fldChar w:fldCharType="separate"/>
        </w:r>
        <w:r w:rsidR="005C5D7F">
          <w:t>294</w:t>
        </w:r>
        <w:r>
          <w:fldChar w:fldCharType="end"/>
        </w:r>
      </w:hyperlink>
    </w:p>
    <w:p w14:paraId="3D5BC4BF" w14:textId="259E6665" w:rsidR="005E03F7" w:rsidRDefault="005E03F7">
      <w:pPr>
        <w:pStyle w:val="TOC5"/>
        <w:rPr>
          <w:rFonts w:asciiTheme="minorHAnsi" w:eastAsiaTheme="minorEastAsia" w:hAnsiTheme="minorHAnsi" w:cstheme="minorBidi"/>
          <w:sz w:val="22"/>
          <w:szCs w:val="22"/>
          <w:lang w:eastAsia="en-AU"/>
        </w:rPr>
      </w:pPr>
      <w:r>
        <w:tab/>
      </w:r>
      <w:hyperlink w:anchor="_Toc83625719" w:history="1">
        <w:r w:rsidRPr="00D90FEA">
          <w:t>331</w:t>
        </w:r>
        <w:r>
          <w:rPr>
            <w:rFonts w:asciiTheme="minorHAnsi" w:eastAsiaTheme="minorEastAsia" w:hAnsiTheme="minorHAnsi" w:cstheme="minorBidi"/>
            <w:sz w:val="22"/>
            <w:szCs w:val="22"/>
            <w:lang w:eastAsia="en-AU"/>
          </w:rPr>
          <w:tab/>
        </w:r>
        <w:r w:rsidRPr="00D90FEA">
          <w:t>Destruction of particular work records prohibited</w:t>
        </w:r>
        <w:r>
          <w:tab/>
        </w:r>
        <w:r>
          <w:fldChar w:fldCharType="begin"/>
        </w:r>
        <w:r>
          <w:instrText xml:space="preserve"> PAGEREF _Toc83625719 \h </w:instrText>
        </w:r>
        <w:r>
          <w:fldChar w:fldCharType="separate"/>
        </w:r>
        <w:r w:rsidR="005C5D7F">
          <w:t>295</w:t>
        </w:r>
        <w:r>
          <w:fldChar w:fldCharType="end"/>
        </w:r>
      </w:hyperlink>
    </w:p>
    <w:p w14:paraId="0497A06B" w14:textId="5C9155B3" w:rsidR="005E03F7" w:rsidRDefault="005E03F7">
      <w:pPr>
        <w:pStyle w:val="TOC5"/>
        <w:rPr>
          <w:rFonts w:asciiTheme="minorHAnsi" w:eastAsiaTheme="minorEastAsia" w:hAnsiTheme="minorHAnsi" w:cstheme="minorBidi"/>
          <w:sz w:val="22"/>
          <w:szCs w:val="22"/>
          <w:lang w:eastAsia="en-AU"/>
        </w:rPr>
      </w:pPr>
      <w:r>
        <w:tab/>
      </w:r>
      <w:hyperlink w:anchor="_Toc83625720" w:history="1">
        <w:r w:rsidRPr="00D90FEA">
          <w:t>332</w:t>
        </w:r>
        <w:r>
          <w:rPr>
            <w:rFonts w:asciiTheme="minorHAnsi" w:eastAsiaTheme="minorEastAsia" w:hAnsiTheme="minorHAnsi" w:cstheme="minorBidi"/>
            <w:sz w:val="22"/>
            <w:szCs w:val="22"/>
            <w:lang w:eastAsia="en-AU"/>
          </w:rPr>
          <w:tab/>
        </w:r>
        <w:r w:rsidRPr="00D90FEA">
          <w:t>Offence to remove pages from written work diary</w:t>
        </w:r>
        <w:r>
          <w:tab/>
        </w:r>
        <w:r>
          <w:fldChar w:fldCharType="begin"/>
        </w:r>
        <w:r>
          <w:instrText xml:space="preserve"> PAGEREF _Toc83625720 \h </w:instrText>
        </w:r>
        <w:r>
          <w:fldChar w:fldCharType="separate"/>
        </w:r>
        <w:r w:rsidR="005C5D7F">
          <w:t>295</w:t>
        </w:r>
        <w:r>
          <w:fldChar w:fldCharType="end"/>
        </w:r>
      </w:hyperlink>
    </w:p>
    <w:p w14:paraId="47F1D1DB" w14:textId="6F5C2D71" w:rsidR="005E03F7" w:rsidRDefault="00856BEE">
      <w:pPr>
        <w:pStyle w:val="TOC4"/>
        <w:rPr>
          <w:rFonts w:asciiTheme="minorHAnsi" w:eastAsiaTheme="minorEastAsia" w:hAnsiTheme="minorHAnsi" w:cstheme="minorBidi"/>
          <w:b w:val="0"/>
          <w:sz w:val="22"/>
          <w:szCs w:val="22"/>
          <w:lang w:eastAsia="en-AU"/>
        </w:rPr>
      </w:pPr>
      <w:hyperlink w:anchor="_Toc83625721" w:history="1">
        <w:r w:rsidR="005E03F7" w:rsidRPr="00D90FEA">
          <w:t xml:space="preserve">Subdivision 2 </w:t>
        </w:r>
        <w:r w:rsidR="005E03F7">
          <w:rPr>
            <w:rFonts w:asciiTheme="minorHAnsi" w:eastAsiaTheme="minorEastAsia" w:hAnsiTheme="minorHAnsi" w:cstheme="minorBidi"/>
            <w:b w:val="0"/>
            <w:sz w:val="22"/>
            <w:szCs w:val="22"/>
            <w:lang w:eastAsia="en-AU"/>
          </w:rPr>
          <w:tab/>
        </w:r>
        <w:r w:rsidR="005E03F7" w:rsidRPr="00D90FEA">
          <w:t>Approved electronic recording systems</w:t>
        </w:r>
        <w:r w:rsidR="005E03F7" w:rsidRPr="005E03F7">
          <w:rPr>
            <w:vanish/>
          </w:rPr>
          <w:tab/>
        </w:r>
        <w:r w:rsidR="005E03F7" w:rsidRPr="005E03F7">
          <w:rPr>
            <w:vanish/>
          </w:rPr>
          <w:fldChar w:fldCharType="begin"/>
        </w:r>
        <w:r w:rsidR="005E03F7" w:rsidRPr="005E03F7">
          <w:rPr>
            <w:vanish/>
          </w:rPr>
          <w:instrText xml:space="preserve"> PAGEREF _Toc83625721 \h </w:instrText>
        </w:r>
        <w:r w:rsidR="005E03F7" w:rsidRPr="005E03F7">
          <w:rPr>
            <w:vanish/>
          </w:rPr>
        </w:r>
        <w:r w:rsidR="005E03F7" w:rsidRPr="005E03F7">
          <w:rPr>
            <w:vanish/>
          </w:rPr>
          <w:fldChar w:fldCharType="separate"/>
        </w:r>
        <w:r w:rsidR="005C5D7F">
          <w:rPr>
            <w:vanish/>
          </w:rPr>
          <w:t>296</w:t>
        </w:r>
        <w:r w:rsidR="005E03F7" w:rsidRPr="005E03F7">
          <w:rPr>
            <w:vanish/>
          </w:rPr>
          <w:fldChar w:fldCharType="end"/>
        </w:r>
      </w:hyperlink>
    </w:p>
    <w:p w14:paraId="230CA61D" w14:textId="5B2EBC0F" w:rsidR="005E03F7" w:rsidRDefault="005E03F7">
      <w:pPr>
        <w:pStyle w:val="TOC5"/>
        <w:rPr>
          <w:rFonts w:asciiTheme="minorHAnsi" w:eastAsiaTheme="minorEastAsia" w:hAnsiTheme="minorHAnsi" w:cstheme="minorBidi"/>
          <w:sz w:val="22"/>
          <w:szCs w:val="22"/>
          <w:lang w:eastAsia="en-AU"/>
        </w:rPr>
      </w:pPr>
      <w:r>
        <w:tab/>
      </w:r>
      <w:hyperlink w:anchor="_Toc83625722" w:history="1">
        <w:r w:rsidRPr="00D90FEA">
          <w:t>333</w:t>
        </w:r>
        <w:r>
          <w:rPr>
            <w:rFonts w:asciiTheme="minorHAnsi" w:eastAsiaTheme="minorEastAsia" w:hAnsiTheme="minorHAnsi" w:cstheme="minorBidi"/>
            <w:sz w:val="22"/>
            <w:szCs w:val="22"/>
            <w:lang w:eastAsia="en-AU"/>
          </w:rPr>
          <w:tab/>
        </w:r>
        <w:r w:rsidRPr="00D90FEA">
          <w:t>Application of Sdiv 2</w:t>
        </w:r>
        <w:r>
          <w:tab/>
        </w:r>
        <w:r>
          <w:fldChar w:fldCharType="begin"/>
        </w:r>
        <w:r>
          <w:instrText xml:space="preserve"> PAGEREF _Toc83625722 \h </w:instrText>
        </w:r>
        <w:r>
          <w:fldChar w:fldCharType="separate"/>
        </w:r>
        <w:r w:rsidR="005C5D7F">
          <w:t>296</w:t>
        </w:r>
        <w:r>
          <w:fldChar w:fldCharType="end"/>
        </w:r>
      </w:hyperlink>
    </w:p>
    <w:p w14:paraId="374D5B10" w14:textId="4329955B" w:rsidR="005E03F7" w:rsidRDefault="005E03F7">
      <w:pPr>
        <w:pStyle w:val="TOC5"/>
        <w:rPr>
          <w:rFonts w:asciiTheme="minorHAnsi" w:eastAsiaTheme="minorEastAsia" w:hAnsiTheme="minorHAnsi" w:cstheme="minorBidi"/>
          <w:sz w:val="22"/>
          <w:szCs w:val="22"/>
          <w:lang w:eastAsia="en-AU"/>
        </w:rPr>
      </w:pPr>
      <w:r>
        <w:tab/>
      </w:r>
      <w:hyperlink w:anchor="_Toc83625723" w:history="1">
        <w:r w:rsidRPr="00D90FEA">
          <w:t>334</w:t>
        </w:r>
        <w:r>
          <w:rPr>
            <w:rFonts w:asciiTheme="minorHAnsi" w:eastAsiaTheme="minorEastAsia" w:hAnsiTheme="minorHAnsi" w:cstheme="minorBidi"/>
            <w:sz w:val="22"/>
            <w:szCs w:val="22"/>
            <w:lang w:eastAsia="en-AU"/>
          </w:rPr>
          <w:tab/>
        </w:r>
        <w:r w:rsidRPr="00D90FEA">
          <w:t xml:space="preserve">Meaning of </w:t>
        </w:r>
        <w:r w:rsidRPr="00D90FEA">
          <w:rPr>
            <w:i/>
          </w:rPr>
          <w:t>tamper</w:t>
        </w:r>
        <w:r>
          <w:tab/>
        </w:r>
        <w:r>
          <w:fldChar w:fldCharType="begin"/>
        </w:r>
        <w:r>
          <w:instrText xml:space="preserve"> PAGEREF _Toc83625723 \h </w:instrText>
        </w:r>
        <w:r>
          <w:fldChar w:fldCharType="separate"/>
        </w:r>
        <w:r w:rsidR="005C5D7F">
          <w:t>296</w:t>
        </w:r>
        <w:r>
          <w:fldChar w:fldCharType="end"/>
        </w:r>
      </w:hyperlink>
    </w:p>
    <w:p w14:paraId="2DAB34F4" w14:textId="043CCC4C" w:rsidR="005E03F7" w:rsidRDefault="005E03F7">
      <w:pPr>
        <w:pStyle w:val="TOC5"/>
        <w:rPr>
          <w:rFonts w:asciiTheme="minorHAnsi" w:eastAsiaTheme="minorEastAsia" w:hAnsiTheme="minorHAnsi" w:cstheme="minorBidi"/>
          <w:sz w:val="22"/>
          <w:szCs w:val="22"/>
          <w:lang w:eastAsia="en-AU"/>
        </w:rPr>
      </w:pPr>
      <w:r>
        <w:tab/>
      </w:r>
      <w:hyperlink w:anchor="_Toc83625724" w:history="1">
        <w:r w:rsidRPr="00D90FEA">
          <w:t>335</w:t>
        </w:r>
        <w:r>
          <w:rPr>
            <w:rFonts w:asciiTheme="minorHAnsi" w:eastAsiaTheme="minorEastAsia" w:hAnsiTheme="minorHAnsi" w:cstheme="minorBidi"/>
            <w:sz w:val="22"/>
            <w:szCs w:val="22"/>
            <w:lang w:eastAsia="en-AU"/>
          </w:rPr>
          <w:tab/>
        </w:r>
        <w:r w:rsidRPr="00D90FEA">
          <w:t>Person must not tamper with approved electronic recording system</w:t>
        </w:r>
        <w:r>
          <w:tab/>
        </w:r>
        <w:r>
          <w:fldChar w:fldCharType="begin"/>
        </w:r>
        <w:r>
          <w:instrText xml:space="preserve"> PAGEREF _Toc83625724 \h </w:instrText>
        </w:r>
        <w:r>
          <w:fldChar w:fldCharType="separate"/>
        </w:r>
        <w:r w:rsidR="005C5D7F">
          <w:t>297</w:t>
        </w:r>
        <w:r>
          <w:fldChar w:fldCharType="end"/>
        </w:r>
      </w:hyperlink>
    </w:p>
    <w:p w14:paraId="1C1B3AB3" w14:textId="1DC12D04" w:rsidR="005E03F7" w:rsidRDefault="005E03F7">
      <w:pPr>
        <w:pStyle w:val="TOC5"/>
        <w:rPr>
          <w:rFonts w:asciiTheme="minorHAnsi" w:eastAsiaTheme="minorEastAsia" w:hAnsiTheme="minorHAnsi" w:cstheme="minorBidi"/>
          <w:sz w:val="22"/>
          <w:szCs w:val="22"/>
          <w:lang w:eastAsia="en-AU"/>
        </w:rPr>
      </w:pPr>
      <w:r>
        <w:tab/>
      </w:r>
      <w:hyperlink w:anchor="_Toc83625725" w:history="1">
        <w:r w:rsidRPr="00D90FEA">
          <w:t>336</w:t>
        </w:r>
        <w:r>
          <w:rPr>
            <w:rFonts w:asciiTheme="minorHAnsi" w:eastAsiaTheme="minorEastAsia" w:hAnsiTheme="minorHAnsi" w:cstheme="minorBidi"/>
            <w:sz w:val="22"/>
            <w:szCs w:val="22"/>
            <w:lang w:eastAsia="en-AU"/>
          </w:rPr>
          <w:tab/>
        </w:r>
        <w:r w:rsidRPr="00D90FEA">
          <w:t>Person using approved electronic recording system must not permit tampering with it</w:t>
        </w:r>
        <w:r>
          <w:tab/>
        </w:r>
        <w:r>
          <w:fldChar w:fldCharType="begin"/>
        </w:r>
        <w:r>
          <w:instrText xml:space="preserve"> PAGEREF _Toc83625725 \h </w:instrText>
        </w:r>
        <w:r>
          <w:fldChar w:fldCharType="separate"/>
        </w:r>
        <w:r w:rsidR="005C5D7F">
          <w:t>297</w:t>
        </w:r>
        <w:r>
          <w:fldChar w:fldCharType="end"/>
        </w:r>
      </w:hyperlink>
    </w:p>
    <w:p w14:paraId="5BA7B87F" w14:textId="14A38CFA" w:rsidR="005E03F7" w:rsidRDefault="005E03F7">
      <w:pPr>
        <w:pStyle w:val="TOC5"/>
        <w:rPr>
          <w:rFonts w:asciiTheme="minorHAnsi" w:eastAsiaTheme="minorEastAsia" w:hAnsiTheme="minorHAnsi" w:cstheme="minorBidi"/>
          <w:sz w:val="22"/>
          <w:szCs w:val="22"/>
          <w:lang w:eastAsia="en-AU"/>
        </w:rPr>
      </w:pPr>
      <w:r>
        <w:tab/>
      </w:r>
      <w:hyperlink w:anchor="_Toc83625726" w:history="1">
        <w:r w:rsidRPr="00D90FEA">
          <w:t>336A</w:t>
        </w:r>
        <w:r>
          <w:rPr>
            <w:rFonts w:asciiTheme="minorHAnsi" w:eastAsiaTheme="minorEastAsia" w:hAnsiTheme="minorHAnsi" w:cstheme="minorBidi"/>
            <w:sz w:val="22"/>
            <w:szCs w:val="22"/>
            <w:lang w:eastAsia="en-AU"/>
          </w:rPr>
          <w:tab/>
        </w:r>
        <w:r w:rsidRPr="00D90FEA">
          <w:t>Reporting tampering or suspected tampering with electronic work diary</w:t>
        </w:r>
        <w:r>
          <w:tab/>
        </w:r>
        <w:r>
          <w:fldChar w:fldCharType="begin"/>
        </w:r>
        <w:r>
          <w:instrText xml:space="preserve"> PAGEREF _Toc83625726 \h </w:instrText>
        </w:r>
        <w:r>
          <w:fldChar w:fldCharType="separate"/>
        </w:r>
        <w:r w:rsidR="005C5D7F">
          <w:t>298</w:t>
        </w:r>
        <w:r>
          <w:fldChar w:fldCharType="end"/>
        </w:r>
      </w:hyperlink>
    </w:p>
    <w:p w14:paraId="4C5DC750" w14:textId="193A9A7F" w:rsidR="005E03F7" w:rsidRDefault="005E03F7">
      <w:pPr>
        <w:pStyle w:val="TOC5"/>
        <w:rPr>
          <w:rFonts w:asciiTheme="minorHAnsi" w:eastAsiaTheme="minorEastAsia" w:hAnsiTheme="minorHAnsi" w:cstheme="minorBidi"/>
          <w:sz w:val="22"/>
          <w:szCs w:val="22"/>
          <w:lang w:eastAsia="en-AU"/>
        </w:rPr>
      </w:pPr>
      <w:r>
        <w:tab/>
      </w:r>
      <w:hyperlink w:anchor="_Toc83625727" w:history="1">
        <w:r w:rsidRPr="00D90FEA">
          <w:t>337</w:t>
        </w:r>
        <w:r>
          <w:rPr>
            <w:rFonts w:asciiTheme="minorHAnsi" w:eastAsiaTheme="minorEastAsia" w:hAnsiTheme="minorHAnsi" w:cstheme="minorBidi"/>
            <w:sz w:val="22"/>
            <w:szCs w:val="22"/>
            <w:lang w:eastAsia="en-AU"/>
          </w:rPr>
          <w:tab/>
        </w:r>
        <w:r w:rsidRPr="00D90FEA">
          <w:t>Intelligent access program reporting entity must not permit tampering with approved electronic recording system</w:t>
        </w:r>
        <w:r>
          <w:tab/>
        </w:r>
        <w:r>
          <w:fldChar w:fldCharType="begin"/>
        </w:r>
        <w:r>
          <w:instrText xml:space="preserve"> PAGEREF _Toc83625727 \h </w:instrText>
        </w:r>
        <w:r>
          <w:fldChar w:fldCharType="separate"/>
        </w:r>
        <w:r w:rsidR="005C5D7F">
          <w:t>298</w:t>
        </w:r>
        <w:r>
          <w:fldChar w:fldCharType="end"/>
        </w:r>
      </w:hyperlink>
    </w:p>
    <w:p w14:paraId="44B42679" w14:textId="471F18DB" w:rsidR="005E03F7" w:rsidRDefault="00856BEE">
      <w:pPr>
        <w:pStyle w:val="TOC3"/>
        <w:rPr>
          <w:rFonts w:asciiTheme="minorHAnsi" w:eastAsiaTheme="minorEastAsia" w:hAnsiTheme="minorHAnsi" w:cstheme="minorBidi"/>
          <w:b w:val="0"/>
          <w:sz w:val="22"/>
          <w:szCs w:val="22"/>
          <w:lang w:eastAsia="en-AU"/>
        </w:rPr>
      </w:pPr>
      <w:hyperlink w:anchor="_Toc83625728" w:history="1">
        <w:r w:rsidR="005E03F7" w:rsidRPr="00D90FEA">
          <w:t xml:space="preserve">Division 6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Obtaining written work diary</w:t>
        </w:r>
        <w:r w:rsidR="005E03F7" w:rsidRPr="005E03F7">
          <w:rPr>
            <w:vanish/>
          </w:rPr>
          <w:tab/>
        </w:r>
        <w:r w:rsidR="005E03F7" w:rsidRPr="005E03F7">
          <w:rPr>
            <w:vanish/>
          </w:rPr>
          <w:fldChar w:fldCharType="begin"/>
        </w:r>
        <w:r w:rsidR="005E03F7" w:rsidRPr="005E03F7">
          <w:rPr>
            <w:vanish/>
          </w:rPr>
          <w:instrText xml:space="preserve"> PAGEREF _Toc83625728 \h </w:instrText>
        </w:r>
        <w:r w:rsidR="005E03F7" w:rsidRPr="005E03F7">
          <w:rPr>
            <w:vanish/>
          </w:rPr>
        </w:r>
        <w:r w:rsidR="005E03F7" w:rsidRPr="005E03F7">
          <w:rPr>
            <w:vanish/>
          </w:rPr>
          <w:fldChar w:fldCharType="separate"/>
        </w:r>
        <w:r w:rsidR="005C5D7F">
          <w:rPr>
            <w:vanish/>
          </w:rPr>
          <w:t>299</w:t>
        </w:r>
        <w:r w:rsidR="005E03F7" w:rsidRPr="005E03F7">
          <w:rPr>
            <w:vanish/>
          </w:rPr>
          <w:fldChar w:fldCharType="end"/>
        </w:r>
      </w:hyperlink>
    </w:p>
    <w:p w14:paraId="4E34C4B3" w14:textId="6AD0A5F2" w:rsidR="005E03F7" w:rsidRDefault="005E03F7">
      <w:pPr>
        <w:pStyle w:val="TOC5"/>
        <w:rPr>
          <w:rFonts w:asciiTheme="minorHAnsi" w:eastAsiaTheme="minorEastAsia" w:hAnsiTheme="minorHAnsi" w:cstheme="minorBidi"/>
          <w:sz w:val="22"/>
          <w:szCs w:val="22"/>
          <w:lang w:eastAsia="en-AU"/>
        </w:rPr>
      </w:pPr>
      <w:r>
        <w:tab/>
      </w:r>
      <w:hyperlink w:anchor="_Toc83625729" w:history="1">
        <w:r w:rsidRPr="00D90FEA">
          <w:t>338</w:t>
        </w:r>
        <w:r>
          <w:rPr>
            <w:rFonts w:asciiTheme="minorHAnsi" w:eastAsiaTheme="minorEastAsia" w:hAnsiTheme="minorHAnsi" w:cstheme="minorBidi"/>
            <w:sz w:val="22"/>
            <w:szCs w:val="22"/>
            <w:lang w:eastAsia="en-AU"/>
          </w:rPr>
          <w:tab/>
        </w:r>
        <w:r w:rsidRPr="00D90FEA">
          <w:t>Form of written work diary</w:t>
        </w:r>
        <w:r>
          <w:tab/>
        </w:r>
        <w:r>
          <w:fldChar w:fldCharType="begin"/>
        </w:r>
        <w:r>
          <w:instrText xml:space="preserve"> PAGEREF _Toc83625729 \h </w:instrText>
        </w:r>
        <w:r>
          <w:fldChar w:fldCharType="separate"/>
        </w:r>
        <w:r w:rsidR="005C5D7F">
          <w:t>299</w:t>
        </w:r>
        <w:r>
          <w:fldChar w:fldCharType="end"/>
        </w:r>
      </w:hyperlink>
    </w:p>
    <w:p w14:paraId="596AF193" w14:textId="315B2229" w:rsidR="005E03F7" w:rsidRDefault="005E03F7">
      <w:pPr>
        <w:pStyle w:val="TOC5"/>
        <w:rPr>
          <w:rFonts w:asciiTheme="minorHAnsi" w:eastAsiaTheme="minorEastAsia" w:hAnsiTheme="minorHAnsi" w:cstheme="minorBidi"/>
          <w:sz w:val="22"/>
          <w:szCs w:val="22"/>
          <w:lang w:eastAsia="en-AU"/>
        </w:rPr>
      </w:pPr>
      <w:r>
        <w:tab/>
      </w:r>
      <w:hyperlink w:anchor="_Toc83625730" w:history="1">
        <w:r w:rsidRPr="00D90FEA">
          <w:t>339</w:t>
        </w:r>
        <w:r>
          <w:rPr>
            <w:rFonts w:asciiTheme="minorHAnsi" w:eastAsiaTheme="minorEastAsia" w:hAnsiTheme="minorHAnsi" w:cstheme="minorBidi"/>
            <w:sz w:val="22"/>
            <w:szCs w:val="22"/>
            <w:lang w:eastAsia="en-AU"/>
          </w:rPr>
          <w:tab/>
        </w:r>
        <w:r w:rsidRPr="00D90FEA">
          <w:t>Application for written work diary</w:t>
        </w:r>
        <w:r>
          <w:tab/>
        </w:r>
        <w:r>
          <w:fldChar w:fldCharType="begin"/>
        </w:r>
        <w:r>
          <w:instrText xml:space="preserve"> PAGEREF _Toc83625730 \h </w:instrText>
        </w:r>
        <w:r>
          <w:fldChar w:fldCharType="separate"/>
        </w:r>
        <w:r w:rsidR="005C5D7F">
          <w:t>299</w:t>
        </w:r>
        <w:r>
          <w:fldChar w:fldCharType="end"/>
        </w:r>
      </w:hyperlink>
    </w:p>
    <w:p w14:paraId="76C2797A" w14:textId="79DC8DD2" w:rsidR="005E03F7" w:rsidRDefault="005E03F7">
      <w:pPr>
        <w:pStyle w:val="TOC5"/>
        <w:rPr>
          <w:rFonts w:asciiTheme="minorHAnsi" w:eastAsiaTheme="minorEastAsia" w:hAnsiTheme="minorHAnsi" w:cstheme="minorBidi"/>
          <w:sz w:val="22"/>
          <w:szCs w:val="22"/>
          <w:lang w:eastAsia="en-AU"/>
        </w:rPr>
      </w:pPr>
      <w:r>
        <w:tab/>
      </w:r>
      <w:hyperlink w:anchor="_Toc83625731" w:history="1">
        <w:r w:rsidRPr="00D90FEA">
          <w:t>340</w:t>
        </w:r>
        <w:r>
          <w:rPr>
            <w:rFonts w:asciiTheme="minorHAnsi" w:eastAsiaTheme="minorEastAsia" w:hAnsiTheme="minorHAnsi" w:cstheme="minorBidi"/>
            <w:sz w:val="22"/>
            <w:szCs w:val="22"/>
            <w:lang w:eastAsia="en-AU"/>
          </w:rPr>
          <w:tab/>
        </w:r>
        <w:r w:rsidRPr="00D90FEA">
          <w:t>Issue of written work diary</w:t>
        </w:r>
        <w:r>
          <w:tab/>
        </w:r>
        <w:r>
          <w:fldChar w:fldCharType="begin"/>
        </w:r>
        <w:r>
          <w:instrText xml:space="preserve"> PAGEREF _Toc83625731 \h </w:instrText>
        </w:r>
        <w:r>
          <w:fldChar w:fldCharType="separate"/>
        </w:r>
        <w:r w:rsidR="005C5D7F">
          <w:t>300</w:t>
        </w:r>
        <w:r>
          <w:fldChar w:fldCharType="end"/>
        </w:r>
      </w:hyperlink>
    </w:p>
    <w:p w14:paraId="1DBB3ECC" w14:textId="479C0835" w:rsidR="005E03F7" w:rsidRDefault="00856BEE">
      <w:pPr>
        <w:pStyle w:val="TOC3"/>
        <w:rPr>
          <w:rFonts w:asciiTheme="minorHAnsi" w:eastAsiaTheme="minorEastAsia" w:hAnsiTheme="minorHAnsi" w:cstheme="minorBidi"/>
          <w:b w:val="0"/>
          <w:sz w:val="22"/>
          <w:szCs w:val="22"/>
          <w:lang w:eastAsia="en-AU"/>
        </w:rPr>
      </w:pPr>
      <w:hyperlink w:anchor="_Toc83625732" w:history="1">
        <w:r w:rsidR="005E03F7" w:rsidRPr="00D90FEA">
          <w:t>Division 6A</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Requirements about records record keeper must make or keep</w:t>
        </w:r>
        <w:r w:rsidR="005E03F7" w:rsidRPr="005E03F7">
          <w:rPr>
            <w:vanish/>
          </w:rPr>
          <w:tab/>
        </w:r>
        <w:r w:rsidR="005E03F7" w:rsidRPr="005E03F7">
          <w:rPr>
            <w:vanish/>
          </w:rPr>
          <w:fldChar w:fldCharType="begin"/>
        </w:r>
        <w:r w:rsidR="005E03F7" w:rsidRPr="005E03F7">
          <w:rPr>
            <w:vanish/>
          </w:rPr>
          <w:instrText xml:space="preserve"> PAGEREF _Toc83625732 \h </w:instrText>
        </w:r>
        <w:r w:rsidR="005E03F7" w:rsidRPr="005E03F7">
          <w:rPr>
            <w:vanish/>
          </w:rPr>
        </w:r>
        <w:r w:rsidR="005E03F7" w:rsidRPr="005E03F7">
          <w:rPr>
            <w:vanish/>
          </w:rPr>
          <w:fldChar w:fldCharType="separate"/>
        </w:r>
        <w:r w:rsidR="005C5D7F">
          <w:rPr>
            <w:vanish/>
          </w:rPr>
          <w:t>301</w:t>
        </w:r>
        <w:r w:rsidR="005E03F7" w:rsidRPr="005E03F7">
          <w:rPr>
            <w:vanish/>
          </w:rPr>
          <w:fldChar w:fldCharType="end"/>
        </w:r>
      </w:hyperlink>
    </w:p>
    <w:p w14:paraId="3364ED27" w14:textId="6BF35E0F" w:rsidR="005E03F7" w:rsidRDefault="005E03F7">
      <w:pPr>
        <w:pStyle w:val="TOC5"/>
        <w:rPr>
          <w:rFonts w:asciiTheme="minorHAnsi" w:eastAsiaTheme="minorEastAsia" w:hAnsiTheme="minorHAnsi" w:cstheme="minorBidi"/>
          <w:sz w:val="22"/>
          <w:szCs w:val="22"/>
          <w:lang w:eastAsia="en-AU"/>
        </w:rPr>
      </w:pPr>
      <w:r>
        <w:tab/>
      </w:r>
      <w:hyperlink w:anchor="_Toc83625733" w:history="1">
        <w:r w:rsidRPr="00D90FEA">
          <w:t>341</w:t>
        </w:r>
        <w:r>
          <w:rPr>
            <w:rFonts w:asciiTheme="minorHAnsi" w:eastAsiaTheme="minorEastAsia" w:hAnsiTheme="minorHAnsi" w:cstheme="minorBidi"/>
            <w:sz w:val="22"/>
            <w:szCs w:val="22"/>
            <w:lang w:eastAsia="en-AU"/>
          </w:rPr>
          <w:tab/>
        </w:r>
        <w:r w:rsidRPr="00D90FEA">
          <w:t>Period for which, and way in which, records must be kept</w:t>
        </w:r>
        <w:r>
          <w:tab/>
        </w:r>
        <w:r>
          <w:fldChar w:fldCharType="begin"/>
        </w:r>
        <w:r>
          <w:instrText xml:space="preserve"> PAGEREF _Toc83625733 \h </w:instrText>
        </w:r>
        <w:r>
          <w:fldChar w:fldCharType="separate"/>
        </w:r>
        <w:r w:rsidR="005C5D7F">
          <w:t>301</w:t>
        </w:r>
        <w:r>
          <w:fldChar w:fldCharType="end"/>
        </w:r>
      </w:hyperlink>
    </w:p>
    <w:p w14:paraId="41EAD13A" w14:textId="647D3D7F" w:rsidR="005E03F7" w:rsidRDefault="00856BEE">
      <w:pPr>
        <w:pStyle w:val="TOC3"/>
        <w:rPr>
          <w:rFonts w:asciiTheme="minorHAnsi" w:eastAsiaTheme="minorEastAsia" w:hAnsiTheme="minorHAnsi" w:cstheme="minorBidi"/>
          <w:b w:val="0"/>
          <w:sz w:val="22"/>
          <w:szCs w:val="22"/>
          <w:lang w:eastAsia="en-AU"/>
        </w:rPr>
      </w:pPr>
      <w:hyperlink w:anchor="_Toc83625734" w:history="1">
        <w:r w:rsidR="005E03F7" w:rsidRPr="00D90FEA">
          <w:t xml:space="preserve">Division 7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Approval of electronic recording systems</w:t>
        </w:r>
        <w:r w:rsidR="005E03F7" w:rsidRPr="005E03F7">
          <w:rPr>
            <w:vanish/>
          </w:rPr>
          <w:tab/>
        </w:r>
        <w:r w:rsidR="005E03F7" w:rsidRPr="005E03F7">
          <w:rPr>
            <w:vanish/>
          </w:rPr>
          <w:fldChar w:fldCharType="begin"/>
        </w:r>
        <w:r w:rsidR="005E03F7" w:rsidRPr="005E03F7">
          <w:rPr>
            <w:vanish/>
          </w:rPr>
          <w:instrText xml:space="preserve"> PAGEREF _Toc83625734 \h </w:instrText>
        </w:r>
        <w:r w:rsidR="005E03F7" w:rsidRPr="005E03F7">
          <w:rPr>
            <w:vanish/>
          </w:rPr>
        </w:r>
        <w:r w:rsidR="005E03F7" w:rsidRPr="005E03F7">
          <w:rPr>
            <w:vanish/>
          </w:rPr>
          <w:fldChar w:fldCharType="separate"/>
        </w:r>
        <w:r w:rsidR="005C5D7F">
          <w:rPr>
            <w:vanish/>
          </w:rPr>
          <w:t>303</w:t>
        </w:r>
        <w:r w:rsidR="005E03F7" w:rsidRPr="005E03F7">
          <w:rPr>
            <w:vanish/>
          </w:rPr>
          <w:fldChar w:fldCharType="end"/>
        </w:r>
      </w:hyperlink>
    </w:p>
    <w:p w14:paraId="686972AA" w14:textId="5D4373C8" w:rsidR="005E03F7" w:rsidRDefault="00856BEE">
      <w:pPr>
        <w:pStyle w:val="TOC4"/>
        <w:rPr>
          <w:rFonts w:asciiTheme="minorHAnsi" w:eastAsiaTheme="minorEastAsia" w:hAnsiTheme="minorHAnsi" w:cstheme="minorBidi"/>
          <w:b w:val="0"/>
          <w:sz w:val="22"/>
          <w:szCs w:val="22"/>
          <w:lang w:eastAsia="en-AU"/>
        </w:rPr>
      </w:pPr>
      <w:hyperlink w:anchor="_Toc83625735" w:history="1">
        <w:r w:rsidR="005E03F7" w:rsidRPr="00D90FEA">
          <w:t xml:space="preserve">Subdivision 1 </w:t>
        </w:r>
        <w:r w:rsidR="005E03F7">
          <w:rPr>
            <w:rFonts w:asciiTheme="minorHAnsi" w:eastAsiaTheme="minorEastAsia" w:hAnsiTheme="minorHAnsi" w:cstheme="minorBidi"/>
            <w:b w:val="0"/>
            <w:sz w:val="22"/>
            <w:szCs w:val="22"/>
            <w:lang w:eastAsia="en-AU"/>
          </w:rPr>
          <w:tab/>
        </w:r>
        <w:r w:rsidR="005E03F7" w:rsidRPr="00D90FEA">
          <w:t>Approval of electronic recording systems</w:t>
        </w:r>
        <w:r w:rsidR="005E03F7" w:rsidRPr="005E03F7">
          <w:rPr>
            <w:vanish/>
          </w:rPr>
          <w:tab/>
        </w:r>
        <w:r w:rsidR="005E03F7" w:rsidRPr="005E03F7">
          <w:rPr>
            <w:vanish/>
          </w:rPr>
          <w:fldChar w:fldCharType="begin"/>
        </w:r>
        <w:r w:rsidR="005E03F7" w:rsidRPr="005E03F7">
          <w:rPr>
            <w:vanish/>
          </w:rPr>
          <w:instrText xml:space="preserve"> PAGEREF _Toc83625735 \h </w:instrText>
        </w:r>
        <w:r w:rsidR="005E03F7" w:rsidRPr="005E03F7">
          <w:rPr>
            <w:vanish/>
          </w:rPr>
        </w:r>
        <w:r w:rsidR="005E03F7" w:rsidRPr="005E03F7">
          <w:rPr>
            <w:vanish/>
          </w:rPr>
          <w:fldChar w:fldCharType="separate"/>
        </w:r>
        <w:r w:rsidR="005C5D7F">
          <w:rPr>
            <w:vanish/>
          </w:rPr>
          <w:t>303</w:t>
        </w:r>
        <w:r w:rsidR="005E03F7" w:rsidRPr="005E03F7">
          <w:rPr>
            <w:vanish/>
          </w:rPr>
          <w:fldChar w:fldCharType="end"/>
        </w:r>
      </w:hyperlink>
    </w:p>
    <w:p w14:paraId="3060C05F" w14:textId="632FB8BF" w:rsidR="005E03F7" w:rsidRDefault="005E03F7">
      <w:pPr>
        <w:pStyle w:val="TOC5"/>
        <w:rPr>
          <w:rFonts w:asciiTheme="minorHAnsi" w:eastAsiaTheme="minorEastAsia" w:hAnsiTheme="minorHAnsi" w:cstheme="minorBidi"/>
          <w:sz w:val="22"/>
          <w:szCs w:val="22"/>
          <w:lang w:eastAsia="en-AU"/>
        </w:rPr>
      </w:pPr>
      <w:r>
        <w:tab/>
      </w:r>
      <w:hyperlink w:anchor="_Toc83625736" w:history="1">
        <w:r w:rsidRPr="00D90FEA">
          <w:t>342</w:t>
        </w:r>
        <w:r>
          <w:rPr>
            <w:rFonts w:asciiTheme="minorHAnsi" w:eastAsiaTheme="minorEastAsia" w:hAnsiTheme="minorHAnsi" w:cstheme="minorBidi"/>
            <w:sz w:val="22"/>
            <w:szCs w:val="22"/>
            <w:lang w:eastAsia="en-AU"/>
          </w:rPr>
          <w:tab/>
        </w:r>
        <w:r w:rsidRPr="00D90FEA">
          <w:t>Application for approval of electronic recording system</w:t>
        </w:r>
        <w:r>
          <w:tab/>
        </w:r>
        <w:r>
          <w:fldChar w:fldCharType="begin"/>
        </w:r>
        <w:r>
          <w:instrText xml:space="preserve"> PAGEREF _Toc83625736 \h </w:instrText>
        </w:r>
        <w:r>
          <w:fldChar w:fldCharType="separate"/>
        </w:r>
        <w:r w:rsidR="005C5D7F">
          <w:t>303</w:t>
        </w:r>
        <w:r>
          <w:fldChar w:fldCharType="end"/>
        </w:r>
      </w:hyperlink>
    </w:p>
    <w:p w14:paraId="0AC0C379" w14:textId="5CC9DC08" w:rsidR="005E03F7" w:rsidRDefault="005E03F7">
      <w:pPr>
        <w:pStyle w:val="TOC5"/>
        <w:rPr>
          <w:rFonts w:asciiTheme="minorHAnsi" w:eastAsiaTheme="minorEastAsia" w:hAnsiTheme="minorHAnsi" w:cstheme="minorBidi"/>
          <w:sz w:val="22"/>
          <w:szCs w:val="22"/>
          <w:lang w:eastAsia="en-AU"/>
        </w:rPr>
      </w:pPr>
      <w:r>
        <w:tab/>
      </w:r>
      <w:hyperlink w:anchor="_Toc83625737" w:history="1">
        <w:r w:rsidRPr="00D90FEA">
          <w:t>343</w:t>
        </w:r>
        <w:r>
          <w:rPr>
            <w:rFonts w:asciiTheme="minorHAnsi" w:eastAsiaTheme="minorEastAsia" w:hAnsiTheme="minorHAnsi" w:cstheme="minorBidi"/>
            <w:sz w:val="22"/>
            <w:szCs w:val="22"/>
            <w:lang w:eastAsia="en-AU"/>
          </w:rPr>
          <w:tab/>
        </w:r>
        <w:r w:rsidRPr="00D90FEA">
          <w:t>Deciding application for approval</w:t>
        </w:r>
        <w:r>
          <w:tab/>
        </w:r>
        <w:r>
          <w:fldChar w:fldCharType="begin"/>
        </w:r>
        <w:r>
          <w:instrText xml:space="preserve"> PAGEREF _Toc83625737 \h </w:instrText>
        </w:r>
        <w:r>
          <w:fldChar w:fldCharType="separate"/>
        </w:r>
        <w:r w:rsidR="005C5D7F">
          <w:t>304</w:t>
        </w:r>
        <w:r>
          <w:fldChar w:fldCharType="end"/>
        </w:r>
      </w:hyperlink>
    </w:p>
    <w:p w14:paraId="2017ACF6" w14:textId="4F01C1D9" w:rsidR="005E03F7" w:rsidRDefault="005E03F7">
      <w:pPr>
        <w:pStyle w:val="TOC5"/>
        <w:rPr>
          <w:rFonts w:asciiTheme="minorHAnsi" w:eastAsiaTheme="minorEastAsia" w:hAnsiTheme="minorHAnsi" w:cstheme="minorBidi"/>
          <w:sz w:val="22"/>
          <w:szCs w:val="22"/>
          <w:lang w:eastAsia="en-AU"/>
        </w:rPr>
      </w:pPr>
      <w:r>
        <w:tab/>
      </w:r>
      <w:hyperlink w:anchor="_Toc83625738" w:history="1">
        <w:r w:rsidRPr="00D90FEA">
          <w:t>344</w:t>
        </w:r>
        <w:r>
          <w:rPr>
            <w:rFonts w:asciiTheme="minorHAnsi" w:eastAsiaTheme="minorEastAsia" w:hAnsiTheme="minorHAnsi" w:cstheme="minorBidi"/>
            <w:sz w:val="22"/>
            <w:szCs w:val="22"/>
            <w:lang w:eastAsia="en-AU"/>
          </w:rPr>
          <w:tab/>
        </w:r>
        <w:r w:rsidRPr="00D90FEA">
          <w:t>Steps after decision to grant approval</w:t>
        </w:r>
        <w:r>
          <w:tab/>
        </w:r>
        <w:r>
          <w:fldChar w:fldCharType="begin"/>
        </w:r>
        <w:r>
          <w:instrText xml:space="preserve"> PAGEREF _Toc83625738 \h </w:instrText>
        </w:r>
        <w:r>
          <w:fldChar w:fldCharType="separate"/>
        </w:r>
        <w:r w:rsidR="005C5D7F">
          <w:t>306</w:t>
        </w:r>
        <w:r>
          <w:fldChar w:fldCharType="end"/>
        </w:r>
      </w:hyperlink>
    </w:p>
    <w:p w14:paraId="47530F17" w14:textId="284569E1" w:rsidR="005E03F7" w:rsidRDefault="005E03F7">
      <w:pPr>
        <w:pStyle w:val="TOC5"/>
        <w:rPr>
          <w:rFonts w:asciiTheme="minorHAnsi" w:eastAsiaTheme="minorEastAsia" w:hAnsiTheme="minorHAnsi" w:cstheme="minorBidi"/>
          <w:sz w:val="22"/>
          <w:szCs w:val="22"/>
          <w:lang w:eastAsia="en-AU"/>
        </w:rPr>
      </w:pPr>
      <w:r>
        <w:tab/>
      </w:r>
      <w:hyperlink w:anchor="_Toc83625739" w:history="1">
        <w:r w:rsidRPr="00D90FEA">
          <w:t>345</w:t>
        </w:r>
        <w:r>
          <w:rPr>
            <w:rFonts w:asciiTheme="minorHAnsi" w:eastAsiaTheme="minorEastAsia" w:hAnsiTheme="minorHAnsi" w:cstheme="minorBidi"/>
            <w:sz w:val="22"/>
            <w:szCs w:val="22"/>
            <w:lang w:eastAsia="en-AU"/>
          </w:rPr>
          <w:tab/>
        </w:r>
        <w:r w:rsidRPr="00D90FEA">
          <w:t>Steps after decision to refuse application</w:t>
        </w:r>
        <w:r>
          <w:tab/>
        </w:r>
        <w:r>
          <w:fldChar w:fldCharType="begin"/>
        </w:r>
        <w:r>
          <w:instrText xml:space="preserve"> PAGEREF _Toc83625739 \h </w:instrText>
        </w:r>
        <w:r>
          <w:fldChar w:fldCharType="separate"/>
        </w:r>
        <w:r w:rsidR="005C5D7F">
          <w:t>306</w:t>
        </w:r>
        <w:r>
          <w:fldChar w:fldCharType="end"/>
        </w:r>
      </w:hyperlink>
    </w:p>
    <w:p w14:paraId="5876C842" w14:textId="561F28CA" w:rsidR="005E03F7" w:rsidRDefault="005E03F7">
      <w:pPr>
        <w:pStyle w:val="TOC5"/>
        <w:rPr>
          <w:rFonts w:asciiTheme="minorHAnsi" w:eastAsiaTheme="minorEastAsia" w:hAnsiTheme="minorHAnsi" w:cstheme="minorBidi"/>
          <w:sz w:val="22"/>
          <w:szCs w:val="22"/>
          <w:lang w:eastAsia="en-AU"/>
        </w:rPr>
      </w:pPr>
      <w:r>
        <w:tab/>
      </w:r>
      <w:hyperlink w:anchor="_Toc83625740" w:history="1">
        <w:r w:rsidRPr="00D90FEA">
          <w:t>346</w:t>
        </w:r>
        <w:r>
          <w:rPr>
            <w:rFonts w:asciiTheme="minorHAnsi" w:eastAsiaTheme="minorEastAsia" w:hAnsiTheme="minorHAnsi" w:cstheme="minorBidi"/>
            <w:sz w:val="22"/>
            <w:szCs w:val="22"/>
            <w:lang w:eastAsia="en-AU"/>
          </w:rPr>
          <w:tab/>
        </w:r>
        <w:r w:rsidRPr="00D90FEA">
          <w:t>Effect of approval</w:t>
        </w:r>
        <w:r>
          <w:tab/>
        </w:r>
        <w:r>
          <w:fldChar w:fldCharType="begin"/>
        </w:r>
        <w:r>
          <w:instrText xml:space="preserve"> PAGEREF _Toc83625740 \h </w:instrText>
        </w:r>
        <w:r>
          <w:fldChar w:fldCharType="separate"/>
        </w:r>
        <w:r w:rsidR="005C5D7F">
          <w:t>307</w:t>
        </w:r>
        <w:r>
          <w:fldChar w:fldCharType="end"/>
        </w:r>
      </w:hyperlink>
    </w:p>
    <w:p w14:paraId="5FED8330" w14:textId="515A552D" w:rsidR="005E03F7" w:rsidRDefault="00856BEE">
      <w:pPr>
        <w:pStyle w:val="TOC4"/>
        <w:rPr>
          <w:rFonts w:asciiTheme="minorHAnsi" w:eastAsiaTheme="minorEastAsia" w:hAnsiTheme="minorHAnsi" w:cstheme="minorBidi"/>
          <w:b w:val="0"/>
          <w:sz w:val="22"/>
          <w:szCs w:val="22"/>
          <w:lang w:eastAsia="en-AU"/>
        </w:rPr>
      </w:pPr>
      <w:hyperlink w:anchor="_Toc83625741" w:history="1">
        <w:r w:rsidR="005E03F7" w:rsidRPr="00D90FEA">
          <w:t xml:space="preserve">Subdivision 2 </w:t>
        </w:r>
        <w:r w:rsidR="005E03F7">
          <w:rPr>
            <w:rFonts w:asciiTheme="minorHAnsi" w:eastAsiaTheme="minorEastAsia" w:hAnsiTheme="minorHAnsi" w:cstheme="minorBidi"/>
            <w:b w:val="0"/>
            <w:sz w:val="22"/>
            <w:szCs w:val="22"/>
            <w:lang w:eastAsia="en-AU"/>
          </w:rPr>
          <w:tab/>
        </w:r>
        <w:r w:rsidR="005E03F7" w:rsidRPr="00D90FEA">
          <w:t>Using unapproved electronic recording system</w:t>
        </w:r>
        <w:r w:rsidR="005E03F7" w:rsidRPr="005E03F7">
          <w:rPr>
            <w:vanish/>
          </w:rPr>
          <w:tab/>
        </w:r>
        <w:r w:rsidR="005E03F7" w:rsidRPr="005E03F7">
          <w:rPr>
            <w:vanish/>
          </w:rPr>
          <w:fldChar w:fldCharType="begin"/>
        </w:r>
        <w:r w:rsidR="005E03F7" w:rsidRPr="005E03F7">
          <w:rPr>
            <w:vanish/>
          </w:rPr>
          <w:instrText xml:space="preserve"> PAGEREF _Toc83625741 \h </w:instrText>
        </w:r>
        <w:r w:rsidR="005E03F7" w:rsidRPr="005E03F7">
          <w:rPr>
            <w:vanish/>
          </w:rPr>
        </w:r>
        <w:r w:rsidR="005E03F7" w:rsidRPr="005E03F7">
          <w:rPr>
            <w:vanish/>
          </w:rPr>
          <w:fldChar w:fldCharType="separate"/>
        </w:r>
        <w:r w:rsidR="005C5D7F">
          <w:rPr>
            <w:vanish/>
          </w:rPr>
          <w:t>307</w:t>
        </w:r>
        <w:r w:rsidR="005E03F7" w:rsidRPr="005E03F7">
          <w:rPr>
            <w:vanish/>
          </w:rPr>
          <w:fldChar w:fldCharType="end"/>
        </w:r>
      </w:hyperlink>
    </w:p>
    <w:p w14:paraId="35CEA1E7" w14:textId="12100C42" w:rsidR="005E03F7" w:rsidRDefault="005E03F7">
      <w:pPr>
        <w:pStyle w:val="TOC5"/>
        <w:rPr>
          <w:rFonts w:asciiTheme="minorHAnsi" w:eastAsiaTheme="minorEastAsia" w:hAnsiTheme="minorHAnsi" w:cstheme="minorBidi"/>
          <w:sz w:val="22"/>
          <w:szCs w:val="22"/>
          <w:lang w:eastAsia="en-AU"/>
        </w:rPr>
      </w:pPr>
      <w:r>
        <w:tab/>
      </w:r>
      <w:hyperlink w:anchor="_Toc83625742" w:history="1">
        <w:r w:rsidRPr="00D90FEA">
          <w:t>347</w:t>
        </w:r>
        <w:r>
          <w:rPr>
            <w:rFonts w:asciiTheme="minorHAnsi" w:eastAsiaTheme="minorEastAsia" w:hAnsiTheme="minorHAnsi" w:cstheme="minorBidi"/>
            <w:sz w:val="22"/>
            <w:szCs w:val="22"/>
            <w:lang w:eastAsia="en-AU"/>
          </w:rPr>
          <w:tab/>
        </w:r>
        <w:r w:rsidRPr="00D90FEA">
          <w:t>Prohibition on using electronic work diary if it is not, and is not a part of, an approved electronic recording system</w:t>
        </w:r>
        <w:r>
          <w:tab/>
        </w:r>
        <w:r>
          <w:fldChar w:fldCharType="begin"/>
        </w:r>
        <w:r>
          <w:instrText xml:space="preserve"> PAGEREF _Toc83625742 \h </w:instrText>
        </w:r>
        <w:r>
          <w:fldChar w:fldCharType="separate"/>
        </w:r>
        <w:r w:rsidR="005C5D7F">
          <w:t>307</w:t>
        </w:r>
        <w:r>
          <w:fldChar w:fldCharType="end"/>
        </w:r>
      </w:hyperlink>
    </w:p>
    <w:p w14:paraId="5325F01C" w14:textId="0AB1FD59" w:rsidR="005E03F7" w:rsidRDefault="00856BEE">
      <w:pPr>
        <w:pStyle w:val="TOC4"/>
        <w:rPr>
          <w:rFonts w:asciiTheme="minorHAnsi" w:eastAsiaTheme="minorEastAsia" w:hAnsiTheme="minorHAnsi" w:cstheme="minorBidi"/>
          <w:b w:val="0"/>
          <w:sz w:val="22"/>
          <w:szCs w:val="22"/>
          <w:lang w:eastAsia="en-AU"/>
        </w:rPr>
      </w:pPr>
      <w:hyperlink w:anchor="_Toc83625743" w:history="1">
        <w:r w:rsidR="005E03F7" w:rsidRPr="00D90FEA">
          <w:t xml:space="preserve">Subdivision 3 </w:t>
        </w:r>
        <w:r w:rsidR="005E03F7">
          <w:rPr>
            <w:rFonts w:asciiTheme="minorHAnsi" w:eastAsiaTheme="minorEastAsia" w:hAnsiTheme="minorHAnsi" w:cstheme="minorBidi"/>
            <w:b w:val="0"/>
            <w:sz w:val="22"/>
            <w:szCs w:val="22"/>
            <w:lang w:eastAsia="en-AU"/>
          </w:rPr>
          <w:tab/>
        </w:r>
        <w:r w:rsidR="005E03F7" w:rsidRPr="00D90FEA">
          <w:t>Amendment or cancellation of approval</w:t>
        </w:r>
        <w:r w:rsidR="005E03F7" w:rsidRPr="005E03F7">
          <w:rPr>
            <w:vanish/>
          </w:rPr>
          <w:tab/>
        </w:r>
        <w:r w:rsidR="005E03F7" w:rsidRPr="005E03F7">
          <w:rPr>
            <w:vanish/>
          </w:rPr>
          <w:fldChar w:fldCharType="begin"/>
        </w:r>
        <w:r w:rsidR="005E03F7" w:rsidRPr="005E03F7">
          <w:rPr>
            <w:vanish/>
          </w:rPr>
          <w:instrText xml:space="preserve"> PAGEREF _Toc83625743 \h </w:instrText>
        </w:r>
        <w:r w:rsidR="005E03F7" w:rsidRPr="005E03F7">
          <w:rPr>
            <w:vanish/>
          </w:rPr>
        </w:r>
        <w:r w:rsidR="005E03F7" w:rsidRPr="005E03F7">
          <w:rPr>
            <w:vanish/>
          </w:rPr>
          <w:fldChar w:fldCharType="separate"/>
        </w:r>
        <w:r w:rsidR="005C5D7F">
          <w:rPr>
            <w:vanish/>
          </w:rPr>
          <w:t>307</w:t>
        </w:r>
        <w:r w:rsidR="005E03F7" w:rsidRPr="005E03F7">
          <w:rPr>
            <w:vanish/>
          </w:rPr>
          <w:fldChar w:fldCharType="end"/>
        </w:r>
      </w:hyperlink>
    </w:p>
    <w:p w14:paraId="7179502A" w14:textId="4BD7274F" w:rsidR="005E03F7" w:rsidRDefault="005E03F7">
      <w:pPr>
        <w:pStyle w:val="TOC5"/>
        <w:rPr>
          <w:rFonts w:asciiTheme="minorHAnsi" w:eastAsiaTheme="minorEastAsia" w:hAnsiTheme="minorHAnsi" w:cstheme="minorBidi"/>
          <w:sz w:val="22"/>
          <w:szCs w:val="22"/>
          <w:lang w:eastAsia="en-AU"/>
        </w:rPr>
      </w:pPr>
      <w:r>
        <w:tab/>
      </w:r>
      <w:hyperlink w:anchor="_Toc83625744" w:history="1">
        <w:r w:rsidRPr="00D90FEA">
          <w:t>351</w:t>
        </w:r>
        <w:r>
          <w:rPr>
            <w:rFonts w:asciiTheme="minorHAnsi" w:eastAsiaTheme="minorEastAsia" w:hAnsiTheme="minorHAnsi" w:cstheme="minorBidi"/>
            <w:sz w:val="22"/>
            <w:szCs w:val="22"/>
            <w:lang w:eastAsia="en-AU"/>
          </w:rPr>
          <w:tab/>
        </w:r>
        <w:r w:rsidRPr="00D90FEA">
          <w:t>Amendment or cancellation of approval on application</w:t>
        </w:r>
        <w:r>
          <w:tab/>
        </w:r>
        <w:r>
          <w:fldChar w:fldCharType="begin"/>
        </w:r>
        <w:r>
          <w:instrText xml:space="preserve"> PAGEREF _Toc83625744 \h </w:instrText>
        </w:r>
        <w:r>
          <w:fldChar w:fldCharType="separate"/>
        </w:r>
        <w:r w:rsidR="005C5D7F">
          <w:t>307</w:t>
        </w:r>
        <w:r>
          <w:fldChar w:fldCharType="end"/>
        </w:r>
      </w:hyperlink>
    </w:p>
    <w:p w14:paraId="56054DF9" w14:textId="3B4D5FB5" w:rsidR="005E03F7" w:rsidRDefault="005E03F7">
      <w:pPr>
        <w:pStyle w:val="TOC5"/>
        <w:rPr>
          <w:rFonts w:asciiTheme="minorHAnsi" w:eastAsiaTheme="minorEastAsia" w:hAnsiTheme="minorHAnsi" w:cstheme="minorBidi"/>
          <w:sz w:val="22"/>
          <w:szCs w:val="22"/>
          <w:lang w:eastAsia="en-AU"/>
        </w:rPr>
      </w:pPr>
      <w:r>
        <w:tab/>
      </w:r>
      <w:hyperlink w:anchor="_Toc83625745" w:history="1">
        <w:r w:rsidRPr="00D90FEA">
          <w:t>352</w:t>
        </w:r>
        <w:r>
          <w:rPr>
            <w:rFonts w:asciiTheme="minorHAnsi" w:eastAsiaTheme="minorEastAsia" w:hAnsiTheme="minorHAnsi" w:cstheme="minorBidi"/>
            <w:sz w:val="22"/>
            <w:szCs w:val="22"/>
            <w:lang w:eastAsia="en-AU"/>
          </w:rPr>
          <w:tab/>
        </w:r>
        <w:r w:rsidRPr="00D90FEA">
          <w:t>Amendment or cancellation of approval on Regulator’s initiative</w:t>
        </w:r>
        <w:r>
          <w:tab/>
        </w:r>
        <w:r>
          <w:fldChar w:fldCharType="begin"/>
        </w:r>
        <w:r>
          <w:instrText xml:space="preserve"> PAGEREF _Toc83625745 \h </w:instrText>
        </w:r>
        <w:r>
          <w:fldChar w:fldCharType="separate"/>
        </w:r>
        <w:r w:rsidR="005C5D7F">
          <w:t>309</w:t>
        </w:r>
        <w:r>
          <w:fldChar w:fldCharType="end"/>
        </w:r>
      </w:hyperlink>
    </w:p>
    <w:p w14:paraId="248D26E5" w14:textId="656A1A96" w:rsidR="005E03F7" w:rsidRDefault="005E03F7">
      <w:pPr>
        <w:pStyle w:val="TOC5"/>
        <w:rPr>
          <w:rFonts w:asciiTheme="minorHAnsi" w:eastAsiaTheme="minorEastAsia" w:hAnsiTheme="minorHAnsi" w:cstheme="minorBidi"/>
          <w:sz w:val="22"/>
          <w:szCs w:val="22"/>
          <w:lang w:eastAsia="en-AU"/>
        </w:rPr>
      </w:pPr>
      <w:r>
        <w:tab/>
      </w:r>
      <w:hyperlink w:anchor="_Toc83625746" w:history="1">
        <w:r w:rsidRPr="00D90FEA">
          <w:t>353</w:t>
        </w:r>
        <w:r>
          <w:rPr>
            <w:rFonts w:asciiTheme="minorHAnsi" w:eastAsiaTheme="minorEastAsia" w:hAnsiTheme="minorHAnsi" w:cstheme="minorBidi"/>
            <w:sz w:val="22"/>
            <w:szCs w:val="22"/>
            <w:lang w:eastAsia="en-AU"/>
          </w:rPr>
          <w:tab/>
        </w:r>
        <w:r w:rsidRPr="00D90FEA">
          <w:t>Minor amendment of approval</w:t>
        </w:r>
        <w:r>
          <w:tab/>
        </w:r>
        <w:r>
          <w:fldChar w:fldCharType="begin"/>
        </w:r>
        <w:r>
          <w:instrText xml:space="preserve"> PAGEREF _Toc83625746 \h </w:instrText>
        </w:r>
        <w:r>
          <w:fldChar w:fldCharType="separate"/>
        </w:r>
        <w:r w:rsidR="005C5D7F">
          <w:t>310</w:t>
        </w:r>
        <w:r>
          <w:fldChar w:fldCharType="end"/>
        </w:r>
      </w:hyperlink>
    </w:p>
    <w:p w14:paraId="5619E613" w14:textId="07E26F56" w:rsidR="005E03F7" w:rsidRDefault="005E03F7">
      <w:pPr>
        <w:pStyle w:val="TOC5"/>
        <w:rPr>
          <w:rFonts w:asciiTheme="minorHAnsi" w:eastAsiaTheme="minorEastAsia" w:hAnsiTheme="minorHAnsi" w:cstheme="minorBidi"/>
          <w:sz w:val="22"/>
          <w:szCs w:val="22"/>
          <w:lang w:eastAsia="en-AU"/>
        </w:rPr>
      </w:pPr>
      <w:r>
        <w:tab/>
      </w:r>
      <w:hyperlink w:anchor="_Toc83625747" w:history="1">
        <w:r w:rsidRPr="00D90FEA">
          <w:t>354</w:t>
        </w:r>
        <w:r>
          <w:rPr>
            <w:rFonts w:asciiTheme="minorHAnsi" w:eastAsiaTheme="minorEastAsia" w:hAnsiTheme="minorHAnsi" w:cstheme="minorBidi"/>
            <w:sz w:val="22"/>
            <w:szCs w:val="22"/>
            <w:lang w:eastAsia="en-AU"/>
          </w:rPr>
          <w:tab/>
        </w:r>
        <w:r w:rsidRPr="00D90FEA">
          <w:t>Requirements if approval amended</w:t>
        </w:r>
        <w:r>
          <w:tab/>
        </w:r>
        <w:r>
          <w:fldChar w:fldCharType="begin"/>
        </w:r>
        <w:r>
          <w:instrText xml:space="preserve"> PAGEREF _Toc83625747 \h </w:instrText>
        </w:r>
        <w:r>
          <w:fldChar w:fldCharType="separate"/>
        </w:r>
        <w:r w:rsidR="005C5D7F">
          <w:t>310</w:t>
        </w:r>
        <w:r>
          <w:fldChar w:fldCharType="end"/>
        </w:r>
      </w:hyperlink>
    </w:p>
    <w:p w14:paraId="3A9C3A4C" w14:textId="703DD4E3" w:rsidR="005E03F7" w:rsidRDefault="005E03F7">
      <w:pPr>
        <w:pStyle w:val="TOC5"/>
        <w:rPr>
          <w:rFonts w:asciiTheme="minorHAnsi" w:eastAsiaTheme="minorEastAsia" w:hAnsiTheme="minorHAnsi" w:cstheme="minorBidi"/>
          <w:sz w:val="22"/>
          <w:szCs w:val="22"/>
          <w:lang w:eastAsia="en-AU"/>
        </w:rPr>
      </w:pPr>
      <w:r>
        <w:tab/>
      </w:r>
      <w:hyperlink w:anchor="_Toc83625748" w:history="1">
        <w:r w:rsidRPr="00D90FEA">
          <w:t>355</w:t>
        </w:r>
        <w:r>
          <w:rPr>
            <w:rFonts w:asciiTheme="minorHAnsi" w:eastAsiaTheme="minorEastAsia" w:hAnsiTheme="minorHAnsi" w:cstheme="minorBidi"/>
            <w:sz w:val="22"/>
            <w:szCs w:val="22"/>
            <w:lang w:eastAsia="en-AU"/>
          </w:rPr>
          <w:tab/>
        </w:r>
        <w:r w:rsidRPr="00D90FEA">
          <w:t>Requirements if approval cancelled</w:t>
        </w:r>
        <w:r>
          <w:tab/>
        </w:r>
        <w:r>
          <w:fldChar w:fldCharType="begin"/>
        </w:r>
        <w:r>
          <w:instrText xml:space="preserve"> PAGEREF _Toc83625748 \h </w:instrText>
        </w:r>
        <w:r>
          <w:fldChar w:fldCharType="separate"/>
        </w:r>
        <w:r w:rsidR="005C5D7F">
          <w:t>312</w:t>
        </w:r>
        <w:r>
          <w:fldChar w:fldCharType="end"/>
        </w:r>
      </w:hyperlink>
    </w:p>
    <w:p w14:paraId="167555D2" w14:textId="681C05AF" w:rsidR="005E03F7" w:rsidRDefault="00856BEE">
      <w:pPr>
        <w:pStyle w:val="TOC3"/>
        <w:rPr>
          <w:rFonts w:asciiTheme="minorHAnsi" w:eastAsiaTheme="minorEastAsia" w:hAnsiTheme="minorHAnsi" w:cstheme="minorBidi"/>
          <w:b w:val="0"/>
          <w:sz w:val="22"/>
          <w:szCs w:val="22"/>
          <w:lang w:eastAsia="en-AU"/>
        </w:rPr>
      </w:pPr>
      <w:hyperlink w:anchor="_Toc83625749" w:history="1">
        <w:r w:rsidR="005E03F7" w:rsidRPr="00D90FEA">
          <w:t xml:space="preserve">Division 8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Exemptions from work diary requirements of Division 2</w:t>
        </w:r>
        <w:r w:rsidR="005E03F7" w:rsidRPr="005E03F7">
          <w:rPr>
            <w:vanish/>
          </w:rPr>
          <w:tab/>
        </w:r>
        <w:r w:rsidR="005E03F7" w:rsidRPr="005E03F7">
          <w:rPr>
            <w:vanish/>
          </w:rPr>
          <w:fldChar w:fldCharType="begin"/>
        </w:r>
        <w:r w:rsidR="005E03F7" w:rsidRPr="005E03F7">
          <w:rPr>
            <w:vanish/>
          </w:rPr>
          <w:instrText xml:space="preserve"> PAGEREF _Toc83625749 \h </w:instrText>
        </w:r>
        <w:r w:rsidR="005E03F7" w:rsidRPr="005E03F7">
          <w:rPr>
            <w:vanish/>
          </w:rPr>
        </w:r>
        <w:r w:rsidR="005E03F7" w:rsidRPr="005E03F7">
          <w:rPr>
            <w:vanish/>
          </w:rPr>
          <w:fldChar w:fldCharType="separate"/>
        </w:r>
        <w:r w:rsidR="005C5D7F">
          <w:rPr>
            <w:vanish/>
          </w:rPr>
          <w:t>314</w:t>
        </w:r>
        <w:r w:rsidR="005E03F7" w:rsidRPr="005E03F7">
          <w:rPr>
            <w:vanish/>
          </w:rPr>
          <w:fldChar w:fldCharType="end"/>
        </w:r>
      </w:hyperlink>
    </w:p>
    <w:p w14:paraId="2E6A1575" w14:textId="1B8E5B87" w:rsidR="005E03F7" w:rsidRDefault="00856BEE">
      <w:pPr>
        <w:pStyle w:val="TOC4"/>
        <w:rPr>
          <w:rFonts w:asciiTheme="minorHAnsi" w:eastAsiaTheme="minorEastAsia" w:hAnsiTheme="minorHAnsi" w:cstheme="minorBidi"/>
          <w:b w:val="0"/>
          <w:sz w:val="22"/>
          <w:szCs w:val="22"/>
          <w:lang w:eastAsia="en-AU"/>
        </w:rPr>
      </w:pPr>
      <w:hyperlink w:anchor="_Toc83625750" w:history="1">
        <w:r w:rsidR="005E03F7" w:rsidRPr="00D90FEA">
          <w:t xml:space="preserve">Subdivision 1 </w:t>
        </w:r>
        <w:r w:rsidR="005E03F7">
          <w:rPr>
            <w:rFonts w:asciiTheme="minorHAnsi" w:eastAsiaTheme="minorEastAsia" w:hAnsiTheme="minorHAnsi" w:cstheme="minorBidi"/>
            <w:b w:val="0"/>
            <w:sz w:val="22"/>
            <w:szCs w:val="22"/>
            <w:lang w:eastAsia="en-AU"/>
          </w:rPr>
          <w:tab/>
        </w:r>
        <w:r w:rsidR="005E03F7" w:rsidRPr="00D90FEA">
          <w:t>Exemption for emergency services</w:t>
        </w:r>
        <w:r w:rsidR="005E03F7" w:rsidRPr="005E03F7">
          <w:rPr>
            <w:vanish/>
          </w:rPr>
          <w:tab/>
        </w:r>
        <w:r w:rsidR="005E03F7" w:rsidRPr="005E03F7">
          <w:rPr>
            <w:vanish/>
          </w:rPr>
          <w:fldChar w:fldCharType="begin"/>
        </w:r>
        <w:r w:rsidR="005E03F7" w:rsidRPr="005E03F7">
          <w:rPr>
            <w:vanish/>
          </w:rPr>
          <w:instrText xml:space="preserve"> PAGEREF _Toc83625750 \h </w:instrText>
        </w:r>
        <w:r w:rsidR="005E03F7" w:rsidRPr="005E03F7">
          <w:rPr>
            <w:vanish/>
          </w:rPr>
        </w:r>
        <w:r w:rsidR="005E03F7" w:rsidRPr="005E03F7">
          <w:rPr>
            <w:vanish/>
          </w:rPr>
          <w:fldChar w:fldCharType="separate"/>
        </w:r>
        <w:r w:rsidR="005C5D7F">
          <w:rPr>
            <w:vanish/>
          </w:rPr>
          <w:t>314</w:t>
        </w:r>
        <w:r w:rsidR="005E03F7" w:rsidRPr="005E03F7">
          <w:rPr>
            <w:vanish/>
          </w:rPr>
          <w:fldChar w:fldCharType="end"/>
        </w:r>
      </w:hyperlink>
    </w:p>
    <w:p w14:paraId="36C5FDE0" w14:textId="3F15032C" w:rsidR="005E03F7" w:rsidRDefault="005E03F7">
      <w:pPr>
        <w:pStyle w:val="TOC5"/>
        <w:rPr>
          <w:rFonts w:asciiTheme="minorHAnsi" w:eastAsiaTheme="minorEastAsia" w:hAnsiTheme="minorHAnsi" w:cstheme="minorBidi"/>
          <w:sz w:val="22"/>
          <w:szCs w:val="22"/>
          <w:lang w:eastAsia="en-AU"/>
        </w:rPr>
      </w:pPr>
      <w:r>
        <w:tab/>
      </w:r>
      <w:hyperlink w:anchor="_Toc83625751" w:history="1">
        <w:r w:rsidRPr="00D90FEA">
          <w:t>356</w:t>
        </w:r>
        <w:r>
          <w:rPr>
            <w:rFonts w:asciiTheme="minorHAnsi" w:eastAsiaTheme="minorEastAsia" w:hAnsiTheme="minorHAnsi" w:cstheme="minorBidi"/>
            <w:sz w:val="22"/>
            <w:szCs w:val="22"/>
            <w:lang w:eastAsia="en-AU"/>
          </w:rPr>
          <w:tab/>
        </w:r>
        <w:r w:rsidRPr="00D90FEA">
          <w:t>Emergency services exemption</w:t>
        </w:r>
        <w:r>
          <w:tab/>
        </w:r>
        <w:r>
          <w:fldChar w:fldCharType="begin"/>
        </w:r>
        <w:r>
          <w:instrText xml:space="preserve"> PAGEREF _Toc83625751 \h </w:instrText>
        </w:r>
        <w:r>
          <w:fldChar w:fldCharType="separate"/>
        </w:r>
        <w:r w:rsidR="005C5D7F">
          <w:t>314</w:t>
        </w:r>
        <w:r>
          <w:fldChar w:fldCharType="end"/>
        </w:r>
      </w:hyperlink>
    </w:p>
    <w:p w14:paraId="64A94214" w14:textId="40C2EDC3" w:rsidR="005E03F7" w:rsidRDefault="00856BEE">
      <w:pPr>
        <w:pStyle w:val="TOC4"/>
        <w:rPr>
          <w:rFonts w:asciiTheme="minorHAnsi" w:eastAsiaTheme="minorEastAsia" w:hAnsiTheme="minorHAnsi" w:cstheme="minorBidi"/>
          <w:b w:val="0"/>
          <w:sz w:val="22"/>
          <w:szCs w:val="22"/>
          <w:lang w:eastAsia="en-AU"/>
        </w:rPr>
      </w:pPr>
      <w:hyperlink w:anchor="_Toc83625752" w:history="1">
        <w:r w:rsidR="005E03F7" w:rsidRPr="00D90FEA">
          <w:t xml:space="preserve">Subdivision 2 </w:t>
        </w:r>
        <w:r w:rsidR="005E03F7">
          <w:rPr>
            <w:rFonts w:asciiTheme="minorHAnsi" w:eastAsiaTheme="minorEastAsia" w:hAnsiTheme="minorHAnsi" w:cstheme="minorBidi"/>
            <w:b w:val="0"/>
            <w:sz w:val="22"/>
            <w:szCs w:val="22"/>
            <w:lang w:eastAsia="en-AU"/>
          </w:rPr>
          <w:tab/>
        </w:r>
        <w:r w:rsidR="005E03F7" w:rsidRPr="00D90FEA">
          <w:t>Exemptions by Commonwealth Gazette notice</w:t>
        </w:r>
        <w:r w:rsidR="005E03F7" w:rsidRPr="005E03F7">
          <w:rPr>
            <w:vanish/>
          </w:rPr>
          <w:tab/>
        </w:r>
        <w:r w:rsidR="005E03F7" w:rsidRPr="005E03F7">
          <w:rPr>
            <w:vanish/>
          </w:rPr>
          <w:fldChar w:fldCharType="begin"/>
        </w:r>
        <w:r w:rsidR="005E03F7" w:rsidRPr="005E03F7">
          <w:rPr>
            <w:vanish/>
          </w:rPr>
          <w:instrText xml:space="preserve"> PAGEREF _Toc83625752 \h </w:instrText>
        </w:r>
        <w:r w:rsidR="005E03F7" w:rsidRPr="005E03F7">
          <w:rPr>
            <w:vanish/>
          </w:rPr>
        </w:r>
        <w:r w:rsidR="005E03F7" w:rsidRPr="005E03F7">
          <w:rPr>
            <w:vanish/>
          </w:rPr>
          <w:fldChar w:fldCharType="separate"/>
        </w:r>
        <w:r w:rsidR="005C5D7F">
          <w:rPr>
            <w:vanish/>
          </w:rPr>
          <w:t>315</w:t>
        </w:r>
        <w:r w:rsidR="005E03F7" w:rsidRPr="005E03F7">
          <w:rPr>
            <w:vanish/>
          </w:rPr>
          <w:fldChar w:fldCharType="end"/>
        </w:r>
      </w:hyperlink>
    </w:p>
    <w:p w14:paraId="4C58F2F3" w14:textId="600E0E88" w:rsidR="005E03F7" w:rsidRDefault="005E03F7">
      <w:pPr>
        <w:pStyle w:val="TOC5"/>
        <w:rPr>
          <w:rFonts w:asciiTheme="minorHAnsi" w:eastAsiaTheme="minorEastAsia" w:hAnsiTheme="minorHAnsi" w:cstheme="minorBidi"/>
          <w:sz w:val="22"/>
          <w:szCs w:val="22"/>
          <w:lang w:eastAsia="en-AU"/>
        </w:rPr>
      </w:pPr>
      <w:r>
        <w:tab/>
      </w:r>
      <w:hyperlink w:anchor="_Toc83625753" w:history="1">
        <w:r w:rsidRPr="00D90FEA">
          <w:t>357</w:t>
        </w:r>
        <w:r>
          <w:rPr>
            <w:rFonts w:asciiTheme="minorHAnsi" w:eastAsiaTheme="minorEastAsia" w:hAnsiTheme="minorHAnsi" w:cstheme="minorBidi"/>
            <w:sz w:val="22"/>
            <w:szCs w:val="22"/>
            <w:lang w:eastAsia="en-AU"/>
          </w:rPr>
          <w:tab/>
        </w:r>
        <w:r w:rsidRPr="00D90FEA">
          <w:t>Regulator’s power to exempt particular drivers from work diary requirements</w:t>
        </w:r>
        <w:r>
          <w:tab/>
        </w:r>
        <w:r>
          <w:fldChar w:fldCharType="begin"/>
        </w:r>
        <w:r>
          <w:instrText xml:space="preserve"> PAGEREF _Toc83625753 \h </w:instrText>
        </w:r>
        <w:r>
          <w:fldChar w:fldCharType="separate"/>
        </w:r>
        <w:r w:rsidR="005C5D7F">
          <w:t>315</w:t>
        </w:r>
        <w:r>
          <w:fldChar w:fldCharType="end"/>
        </w:r>
      </w:hyperlink>
    </w:p>
    <w:p w14:paraId="0B6D2D85" w14:textId="73FB0D86" w:rsidR="005E03F7" w:rsidRDefault="005E03F7">
      <w:pPr>
        <w:pStyle w:val="TOC5"/>
        <w:rPr>
          <w:rFonts w:asciiTheme="minorHAnsi" w:eastAsiaTheme="minorEastAsia" w:hAnsiTheme="minorHAnsi" w:cstheme="minorBidi"/>
          <w:sz w:val="22"/>
          <w:szCs w:val="22"/>
          <w:lang w:eastAsia="en-AU"/>
        </w:rPr>
      </w:pPr>
      <w:r>
        <w:tab/>
      </w:r>
      <w:hyperlink w:anchor="_Toc83625754" w:history="1">
        <w:r w:rsidRPr="00D90FEA">
          <w:t>358</w:t>
        </w:r>
        <w:r>
          <w:rPr>
            <w:rFonts w:asciiTheme="minorHAnsi" w:eastAsiaTheme="minorEastAsia" w:hAnsiTheme="minorHAnsi" w:cstheme="minorBidi"/>
            <w:sz w:val="22"/>
            <w:szCs w:val="22"/>
            <w:lang w:eastAsia="en-AU"/>
          </w:rPr>
          <w:tab/>
        </w:r>
        <w:r w:rsidRPr="00D90FEA">
          <w:t>Restriction on grant of work diary exemption (notice)</w:t>
        </w:r>
        <w:r>
          <w:tab/>
        </w:r>
        <w:r>
          <w:fldChar w:fldCharType="begin"/>
        </w:r>
        <w:r>
          <w:instrText xml:space="preserve"> PAGEREF _Toc83625754 \h </w:instrText>
        </w:r>
        <w:r>
          <w:fldChar w:fldCharType="separate"/>
        </w:r>
        <w:r w:rsidR="005C5D7F">
          <w:t>316</w:t>
        </w:r>
        <w:r>
          <w:fldChar w:fldCharType="end"/>
        </w:r>
      </w:hyperlink>
    </w:p>
    <w:p w14:paraId="7678079A" w14:textId="2AC6F037" w:rsidR="005E03F7" w:rsidRDefault="005E03F7">
      <w:pPr>
        <w:pStyle w:val="TOC5"/>
        <w:rPr>
          <w:rFonts w:asciiTheme="minorHAnsi" w:eastAsiaTheme="minorEastAsia" w:hAnsiTheme="minorHAnsi" w:cstheme="minorBidi"/>
          <w:sz w:val="22"/>
          <w:szCs w:val="22"/>
          <w:lang w:eastAsia="en-AU"/>
        </w:rPr>
      </w:pPr>
      <w:r>
        <w:tab/>
      </w:r>
      <w:hyperlink w:anchor="_Toc83625755" w:history="1">
        <w:r w:rsidRPr="00D90FEA">
          <w:t>359</w:t>
        </w:r>
        <w:r>
          <w:rPr>
            <w:rFonts w:asciiTheme="minorHAnsi" w:eastAsiaTheme="minorEastAsia" w:hAnsiTheme="minorHAnsi" w:cstheme="minorBidi"/>
            <w:sz w:val="22"/>
            <w:szCs w:val="22"/>
            <w:lang w:eastAsia="en-AU"/>
          </w:rPr>
          <w:tab/>
        </w:r>
        <w:r w:rsidRPr="00D90FEA">
          <w:t>Conditions of work diary exemption (notice)</w:t>
        </w:r>
        <w:r>
          <w:tab/>
        </w:r>
        <w:r>
          <w:fldChar w:fldCharType="begin"/>
        </w:r>
        <w:r>
          <w:instrText xml:space="preserve"> PAGEREF _Toc83625755 \h </w:instrText>
        </w:r>
        <w:r>
          <w:fldChar w:fldCharType="separate"/>
        </w:r>
        <w:r w:rsidR="005C5D7F">
          <w:t>316</w:t>
        </w:r>
        <w:r>
          <w:fldChar w:fldCharType="end"/>
        </w:r>
      </w:hyperlink>
    </w:p>
    <w:p w14:paraId="75C8994D" w14:textId="21553750" w:rsidR="005E03F7" w:rsidRDefault="005E03F7">
      <w:pPr>
        <w:pStyle w:val="TOC5"/>
        <w:rPr>
          <w:rFonts w:asciiTheme="minorHAnsi" w:eastAsiaTheme="minorEastAsia" w:hAnsiTheme="minorHAnsi" w:cstheme="minorBidi"/>
          <w:sz w:val="22"/>
          <w:szCs w:val="22"/>
          <w:lang w:eastAsia="en-AU"/>
        </w:rPr>
      </w:pPr>
      <w:r>
        <w:tab/>
      </w:r>
      <w:hyperlink w:anchor="_Toc83625756" w:history="1">
        <w:r w:rsidRPr="00D90FEA">
          <w:t>360</w:t>
        </w:r>
        <w:r>
          <w:rPr>
            <w:rFonts w:asciiTheme="minorHAnsi" w:eastAsiaTheme="minorEastAsia" w:hAnsiTheme="minorHAnsi" w:cstheme="minorBidi"/>
            <w:sz w:val="22"/>
            <w:szCs w:val="22"/>
            <w:lang w:eastAsia="en-AU"/>
          </w:rPr>
          <w:tab/>
        </w:r>
        <w:r w:rsidRPr="00D90FEA">
          <w:t>Period for which work diary exemption (notice) applies</w:t>
        </w:r>
        <w:r>
          <w:tab/>
        </w:r>
        <w:r>
          <w:fldChar w:fldCharType="begin"/>
        </w:r>
        <w:r>
          <w:instrText xml:space="preserve"> PAGEREF _Toc83625756 \h </w:instrText>
        </w:r>
        <w:r>
          <w:fldChar w:fldCharType="separate"/>
        </w:r>
        <w:r w:rsidR="005C5D7F">
          <w:t>317</w:t>
        </w:r>
        <w:r>
          <w:fldChar w:fldCharType="end"/>
        </w:r>
      </w:hyperlink>
    </w:p>
    <w:p w14:paraId="2BAE10A4" w14:textId="45718802" w:rsidR="005E03F7" w:rsidRDefault="005E03F7">
      <w:pPr>
        <w:pStyle w:val="TOC5"/>
        <w:rPr>
          <w:rFonts w:asciiTheme="minorHAnsi" w:eastAsiaTheme="minorEastAsia" w:hAnsiTheme="minorHAnsi" w:cstheme="minorBidi"/>
          <w:sz w:val="22"/>
          <w:szCs w:val="22"/>
          <w:lang w:eastAsia="en-AU"/>
        </w:rPr>
      </w:pPr>
      <w:r>
        <w:tab/>
      </w:r>
      <w:hyperlink w:anchor="_Toc83625757" w:history="1">
        <w:r w:rsidRPr="00D90FEA">
          <w:t>361</w:t>
        </w:r>
        <w:r>
          <w:rPr>
            <w:rFonts w:asciiTheme="minorHAnsi" w:eastAsiaTheme="minorEastAsia" w:hAnsiTheme="minorHAnsi" w:cstheme="minorBidi"/>
            <w:sz w:val="22"/>
            <w:szCs w:val="22"/>
            <w:lang w:eastAsia="en-AU"/>
          </w:rPr>
          <w:tab/>
        </w:r>
        <w:r w:rsidRPr="00D90FEA">
          <w:t>Requirements about Commonwealth Gazette notice</w:t>
        </w:r>
        <w:r>
          <w:tab/>
        </w:r>
        <w:r>
          <w:fldChar w:fldCharType="begin"/>
        </w:r>
        <w:r>
          <w:instrText xml:space="preserve"> PAGEREF _Toc83625757 \h </w:instrText>
        </w:r>
        <w:r>
          <w:fldChar w:fldCharType="separate"/>
        </w:r>
        <w:r w:rsidR="005C5D7F">
          <w:t>317</w:t>
        </w:r>
        <w:r>
          <w:fldChar w:fldCharType="end"/>
        </w:r>
      </w:hyperlink>
    </w:p>
    <w:p w14:paraId="4FC12C2F" w14:textId="65D45D80" w:rsidR="005E03F7" w:rsidRDefault="005E03F7">
      <w:pPr>
        <w:pStyle w:val="TOC5"/>
        <w:rPr>
          <w:rFonts w:asciiTheme="minorHAnsi" w:eastAsiaTheme="minorEastAsia" w:hAnsiTheme="minorHAnsi" w:cstheme="minorBidi"/>
          <w:sz w:val="22"/>
          <w:szCs w:val="22"/>
          <w:lang w:eastAsia="en-AU"/>
        </w:rPr>
      </w:pPr>
      <w:r>
        <w:tab/>
      </w:r>
      <w:hyperlink w:anchor="_Toc83625758" w:history="1">
        <w:r w:rsidRPr="00D90FEA">
          <w:t>362</w:t>
        </w:r>
        <w:r>
          <w:rPr>
            <w:rFonts w:asciiTheme="minorHAnsi" w:eastAsiaTheme="minorEastAsia" w:hAnsiTheme="minorHAnsi" w:cstheme="minorBidi"/>
            <w:sz w:val="22"/>
            <w:szCs w:val="22"/>
            <w:lang w:eastAsia="en-AU"/>
          </w:rPr>
          <w:tab/>
        </w:r>
        <w:r w:rsidRPr="00D90FEA">
          <w:t>Amendment or cancellation of work diary exemption (notice)</w:t>
        </w:r>
        <w:r>
          <w:tab/>
        </w:r>
        <w:r>
          <w:fldChar w:fldCharType="begin"/>
        </w:r>
        <w:r>
          <w:instrText xml:space="preserve"> PAGEREF _Toc83625758 \h </w:instrText>
        </w:r>
        <w:r>
          <w:fldChar w:fldCharType="separate"/>
        </w:r>
        <w:r w:rsidR="005C5D7F">
          <w:t>318</w:t>
        </w:r>
        <w:r>
          <w:fldChar w:fldCharType="end"/>
        </w:r>
      </w:hyperlink>
    </w:p>
    <w:p w14:paraId="40C8E14A" w14:textId="57CBF30E" w:rsidR="005E03F7" w:rsidRDefault="00856BEE">
      <w:pPr>
        <w:pStyle w:val="TOC4"/>
        <w:rPr>
          <w:rFonts w:asciiTheme="minorHAnsi" w:eastAsiaTheme="minorEastAsia" w:hAnsiTheme="minorHAnsi" w:cstheme="minorBidi"/>
          <w:b w:val="0"/>
          <w:sz w:val="22"/>
          <w:szCs w:val="22"/>
          <w:lang w:eastAsia="en-AU"/>
        </w:rPr>
      </w:pPr>
      <w:hyperlink w:anchor="_Toc83625759" w:history="1">
        <w:r w:rsidR="005E03F7" w:rsidRPr="00D90FEA">
          <w:t xml:space="preserve">Subdivision 3 </w:t>
        </w:r>
        <w:r w:rsidR="005E03F7">
          <w:rPr>
            <w:rFonts w:asciiTheme="minorHAnsi" w:eastAsiaTheme="minorEastAsia" w:hAnsiTheme="minorHAnsi" w:cstheme="minorBidi"/>
            <w:b w:val="0"/>
            <w:sz w:val="22"/>
            <w:szCs w:val="22"/>
            <w:lang w:eastAsia="en-AU"/>
          </w:rPr>
          <w:tab/>
        </w:r>
        <w:r w:rsidR="005E03F7" w:rsidRPr="00D90FEA">
          <w:t>Exemptions by permit</w:t>
        </w:r>
        <w:r w:rsidR="005E03F7" w:rsidRPr="005E03F7">
          <w:rPr>
            <w:vanish/>
          </w:rPr>
          <w:tab/>
        </w:r>
        <w:r w:rsidR="005E03F7" w:rsidRPr="005E03F7">
          <w:rPr>
            <w:vanish/>
          </w:rPr>
          <w:fldChar w:fldCharType="begin"/>
        </w:r>
        <w:r w:rsidR="005E03F7" w:rsidRPr="005E03F7">
          <w:rPr>
            <w:vanish/>
          </w:rPr>
          <w:instrText xml:space="preserve"> PAGEREF _Toc83625759 \h </w:instrText>
        </w:r>
        <w:r w:rsidR="005E03F7" w:rsidRPr="005E03F7">
          <w:rPr>
            <w:vanish/>
          </w:rPr>
        </w:r>
        <w:r w:rsidR="005E03F7" w:rsidRPr="005E03F7">
          <w:rPr>
            <w:vanish/>
          </w:rPr>
          <w:fldChar w:fldCharType="separate"/>
        </w:r>
        <w:r w:rsidR="005C5D7F">
          <w:rPr>
            <w:vanish/>
          </w:rPr>
          <w:t>320</w:t>
        </w:r>
        <w:r w:rsidR="005E03F7" w:rsidRPr="005E03F7">
          <w:rPr>
            <w:vanish/>
          </w:rPr>
          <w:fldChar w:fldCharType="end"/>
        </w:r>
      </w:hyperlink>
    </w:p>
    <w:p w14:paraId="7577A208" w14:textId="5B2C9136" w:rsidR="005E03F7" w:rsidRDefault="005E03F7">
      <w:pPr>
        <w:pStyle w:val="TOC5"/>
        <w:rPr>
          <w:rFonts w:asciiTheme="minorHAnsi" w:eastAsiaTheme="minorEastAsia" w:hAnsiTheme="minorHAnsi" w:cstheme="minorBidi"/>
          <w:sz w:val="22"/>
          <w:szCs w:val="22"/>
          <w:lang w:eastAsia="en-AU"/>
        </w:rPr>
      </w:pPr>
      <w:r>
        <w:tab/>
      </w:r>
      <w:hyperlink w:anchor="_Toc83625760" w:history="1">
        <w:r w:rsidRPr="00D90FEA">
          <w:t>363</w:t>
        </w:r>
        <w:r>
          <w:rPr>
            <w:rFonts w:asciiTheme="minorHAnsi" w:eastAsiaTheme="minorEastAsia" w:hAnsiTheme="minorHAnsi" w:cstheme="minorBidi"/>
            <w:sz w:val="22"/>
            <w:szCs w:val="22"/>
            <w:lang w:eastAsia="en-AU"/>
          </w:rPr>
          <w:tab/>
        </w:r>
        <w:r w:rsidRPr="00D90FEA">
          <w:t>Regulator’s power to exempt driver of fatigue-regulated heavy vehicle from work diary requirement</w:t>
        </w:r>
        <w:r>
          <w:tab/>
        </w:r>
        <w:r>
          <w:fldChar w:fldCharType="begin"/>
        </w:r>
        <w:r>
          <w:instrText xml:space="preserve"> PAGEREF _Toc83625760 \h </w:instrText>
        </w:r>
        <w:r>
          <w:fldChar w:fldCharType="separate"/>
        </w:r>
        <w:r w:rsidR="005C5D7F">
          <w:t>320</w:t>
        </w:r>
        <w:r>
          <w:fldChar w:fldCharType="end"/>
        </w:r>
      </w:hyperlink>
    </w:p>
    <w:p w14:paraId="098FF80F" w14:textId="5DD5ADD5" w:rsidR="005E03F7" w:rsidRDefault="005E03F7">
      <w:pPr>
        <w:pStyle w:val="TOC5"/>
        <w:rPr>
          <w:rFonts w:asciiTheme="minorHAnsi" w:eastAsiaTheme="minorEastAsia" w:hAnsiTheme="minorHAnsi" w:cstheme="minorBidi"/>
          <w:sz w:val="22"/>
          <w:szCs w:val="22"/>
          <w:lang w:eastAsia="en-AU"/>
        </w:rPr>
      </w:pPr>
      <w:r>
        <w:tab/>
      </w:r>
      <w:hyperlink w:anchor="_Toc83625761" w:history="1">
        <w:r w:rsidRPr="00D90FEA">
          <w:t>364</w:t>
        </w:r>
        <w:r>
          <w:rPr>
            <w:rFonts w:asciiTheme="minorHAnsi" w:eastAsiaTheme="minorEastAsia" w:hAnsiTheme="minorHAnsi" w:cstheme="minorBidi"/>
            <w:sz w:val="22"/>
            <w:szCs w:val="22"/>
            <w:lang w:eastAsia="en-AU"/>
          </w:rPr>
          <w:tab/>
        </w:r>
        <w:r w:rsidRPr="00D90FEA">
          <w:t>Application for work diary exemption (permit)</w:t>
        </w:r>
        <w:r>
          <w:tab/>
        </w:r>
        <w:r>
          <w:fldChar w:fldCharType="begin"/>
        </w:r>
        <w:r>
          <w:instrText xml:space="preserve"> PAGEREF _Toc83625761 \h </w:instrText>
        </w:r>
        <w:r>
          <w:fldChar w:fldCharType="separate"/>
        </w:r>
        <w:r w:rsidR="005C5D7F">
          <w:t>320</w:t>
        </w:r>
        <w:r>
          <w:fldChar w:fldCharType="end"/>
        </w:r>
      </w:hyperlink>
    </w:p>
    <w:p w14:paraId="732C0155" w14:textId="5B53B044" w:rsidR="005E03F7" w:rsidRDefault="005E03F7">
      <w:pPr>
        <w:pStyle w:val="TOC5"/>
        <w:rPr>
          <w:rFonts w:asciiTheme="minorHAnsi" w:eastAsiaTheme="minorEastAsia" w:hAnsiTheme="minorHAnsi" w:cstheme="minorBidi"/>
          <w:sz w:val="22"/>
          <w:szCs w:val="22"/>
          <w:lang w:eastAsia="en-AU"/>
        </w:rPr>
      </w:pPr>
      <w:r>
        <w:tab/>
      </w:r>
      <w:hyperlink w:anchor="_Toc83625762" w:history="1">
        <w:r w:rsidRPr="00D90FEA">
          <w:t>365</w:t>
        </w:r>
        <w:r>
          <w:rPr>
            <w:rFonts w:asciiTheme="minorHAnsi" w:eastAsiaTheme="minorEastAsia" w:hAnsiTheme="minorHAnsi" w:cstheme="minorBidi"/>
            <w:sz w:val="22"/>
            <w:szCs w:val="22"/>
            <w:lang w:eastAsia="en-AU"/>
          </w:rPr>
          <w:tab/>
        </w:r>
        <w:r w:rsidRPr="00D90FEA">
          <w:t>Restriction on grant of work diary exemption (permit)</w:t>
        </w:r>
        <w:r>
          <w:tab/>
        </w:r>
        <w:r>
          <w:fldChar w:fldCharType="begin"/>
        </w:r>
        <w:r>
          <w:instrText xml:space="preserve"> PAGEREF _Toc83625762 \h </w:instrText>
        </w:r>
        <w:r>
          <w:fldChar w:fldCharType="separate"/>
        </w:r>
        <w:r w:rsidR="005C5D7F">
          <w:t>321</w:t>
        </w:r>
        <w:r>
          <w:fldChar w:fldCharType="end"/>
        </w:r>
      </w:hyperlink>
    </w:p>
    <w:p w14:paraId="7A3C0852" w14:textId="58119D17" w:rsidR="005E03F7" w:rsidRDefault="005E03F7">
      <w:pPr>
        <w:pStyle w:val="TOC5"/>
        <w:rPr>
          <w:rFonts w:asciiTheme="minorHAnsi" w:eastAsiaTheme="minorEastAsia" w:hAnsiTheme="minorHAnsi" w:cstheme="minorBidi"/>
          <w:sz w:val="22"/>
          <w:szCs w:val="22"/>
          <w:lang w:eastAsia="en-AU"/>
        </w:rPr>
      </w:pPr>
      <w:r>
        <w:tab/>
      </w:r>
      <w:hyperlink w:anchor="_Toc83625763" w:history="1">
        <w:r w:rsidRPr="00D90FEA">
          <w:t>366</w:t>
        </w:r>
        <w:r>
          <w:rPr>
            <w:rFonts w:asciiTheme="minorHAnsi" w:eastAsiaTheme="minorEastAsia" w:hAnsiTheme="minorHAnsi" w:cstheme="minorBidi"/>
            <w:sz w:val="22"/>
            <w:szCs w:val="22"/>
            <w:lang w:eastAsia="en-AU"/>
          </w:rPr>
          <w:tab/>
        </w:r>
        <w:r w:rsidRPr="00D90FEA">
          <w:t>Conditions of work diary exemption (permit)</w:t>
        </w:r>
        <w:r>
          <w:tab/>
        </w:r>
        <w:r>
          <w:fldChar w:fldCharType="begin"/>
        </w:r>
        <w:r>
          <w:instrText xml:space="preserve"> PAGEREF _Toc83625763 \h </w:instrText>
        </w:r>
        <w:r>
          <w:fldChar w:fldCharType="separate"/>
        </w:r>
        <w:r w:rsidR="005C5D7F">
          <w:t>322</w:t>
        </w:r>
        <w:r>
          <w:fldChar w:fldCharType="end"/>
        </w:r>
      </w:hyperlink>
    </w:p>
    <w:p w14:paraId="6C182819" w14:textId="74DAC064" w:rsidR="005E03F7" w:rsidRDefault="005E03F7">
      <w:pPr>
        <w:pStyle w:val="TOC5"/>
        <w:rPr>
          <w:rFonts w:asciiTheme="minorHAnsi" w:eastAsiaTheme="minorEastAsia" w:hAnsiTheme="minorHAnsi" w:cstheme="minorBidi"/>
          <w:sz w:val="22"/>
          <w:szCs w:val="22"/>
          <w:lang w:eastAsia="en-AU"/>
        </w:rPr>
      </w:pPr>
      <w:r>
        <w:tab/>
      </w:r>
      <w:hyperlink w:anchor="_Toc83625764" w:history="1">
        <w:r w:rsidRPr="00D90FEA">
          <w:t>367</w:t>
        </w:r>
        <w:r>
          <w:rPr>
            <w:rFonts w:asciiTheme="minorHAnsi" w:eastAsiaTheme="minorEastAsia" w:hAnsiTheme="minorHAnsi" w:cstheme="minorBidi"/>
            <w:sz w:val="22"/>
            <w:szCs w:val="22"/>
            <w:lang w:eastAsia="en-AU"/>
          </w:rPr>
          <w:tab/>
        </w:r>
        <w:r w:rsidRPr="00D90FEA">
          <w:t>Period for which work diary exemption (permit) applies</w:t>
        </w:r>
        <w:r>
          <w:tab/>
        </w:r>
        <w:r>
          <w:fldChar w:fldCharType="begin"/>
        </w:r>
        <w:r>
          <w:instrText xml:space="preserve"> PAGEREF _Toc83625764 \h </w:instrText>
        </w:r>
        <w:r>
          <w:fldChar w:fldCharType="separate"/>
        </w:r>
        <w:r w:rsidR="005C5D7F">
          <w:t>322</w:t>
        </w:r>
        <w:r>
          <w:fldChar w:fldCharType="end"/>
        </w:r>
      </w:hyperlink>
    </w:p>
    <w:p w14:paraId="75C74017" w14:textId="388980CD" w:rsidR="005E03F7" w:rsidRDefault="005E03F7">
      <w:pPr>
        <w:pStyle w:val="TOC5"/>
        <w:rPr>
          <w:rFonts w:asciiTheme="minorHAnsi" w:eastAsiaTheme="minorEastAsia" w:hAnsiTheme="minorHAnsi" w:cstheme="minorBidi"/>
          <w:sz w:val="22"/>
          <w:szCs w:val="22"/>
          <w:lang w:eastAsia="en-AU"/>
        </w:rPr>
      </w:pPr>
      <w:r>
        <w:tab/>
      </w:r>
      <w:hyperlink w:anchor="_Toc83625765" w:history="1">
        <w:r w:rsidRPr="00D90FEA">
          <w:t>368</w:t>
        </w:r>
        <w:r>
          <w:rPr>
            <w:rFonts w:asciiTheme="minorHAnsi" w:eastAsiaTheme="minorEastAsia" w:hAnsiTheme="minorHAnsi" w:cstheme="minorBidi"/>
            <w:sz w:val="22"/>
            <w:szCs w:val="22"/>
            <w:lang w:eastAsia="en-AU"/>
          </w:rPr>
          <w:tab/>
        </w:r>
        <w:r w:rsidRPr="00D90FEA">
          <w:t>Permit for work diary exemption (permit) etc.</w:t>
        </w:r>
        <w:r>
          <w:tab/>
        </w:r>
        <w:r>
          <w:fldChar w:fldCharType="begin"/>
        </w:r>
        <w:r>
          <w:instrText xml:space="preserve"> PAGEREF _Toc83625765 \h </w:instrText>
        </w:r>
        <w:r>
          <w:fldChar w:fldCharType="separate"/>
        </w:r>
        <w:r w:rsidR="005C5D7F">
          <w:t>322</w:t>
        </w:r>
        <w:r>
          <w:fldChar w:fldCharType="end"/>
        </w:r>
      </w:hyperlink>
    </w:p>
    <w:p w14:paraId="77F299AE" w14:textId="6D08EB0F" w:rsidR="005E03F7" w:rsidRDefault="005E03F7">
      <w:pPr>
        <w:pStyle w:val="TOC5"/>
        <w:rPr>
          <w:rFonts w:asciiTheme="minorHAnsi" w:eastAsiaTheme="minorEastAsia" w:hAnsiTheme="minorHAnsi" w:cstheme="minorBidi"/>
          <w:sz w:val="22"/>
          <w:szCs w:val="22"/>
          <w:lang w:eastAsia="en-AU"/>
        </w:rPr>
      </w:pPr>
      <w:r>
        <w:tab/>
      </w:r>
      <w:hyperlink w:anchor="_Toc83625766" w:history="1">
        <w:r w:rsidRPr="00D90FEA">
          <w:t>369</w:t>
        </w:r>
        <w:r>
          <w:rPr>
            <w:rFonts w:asciiTheme="minorHAnsi" w:eastAsiaTheme="minorEastAsia" w:hAnsiTheme="minorHAnsi" w:cstheme="minorBidi"/>
            <w:sz w:val="22"/>
            <w:szCs w:val="22"/>
            <w:lang w:eastAsia="en-AU"/>
          </w:rPr>
          <w:tab/>
        </w:r>
        <w:r w:rsidRPr="00D90FEA">
          <w:t>Refusal of application for work diary exemption (permit)</w:t>
        </w:r>
        <w:r>
          <w:tab/>
        </w:r>
        <w:r>
          <w:fldChar w:fldCharType="begin"/>
        </w:r>
        <w:r>
          <w:instrText xml:space="preserve"> PAGEREF _Toc83625766 \h </w:instrText>
        </w:r>
        <w:r>
          <w:fldChar w:fldCharType="separate"/>
        </w:r>
        <w:r w:rsidR="005C5D7F">
          <w:t>323</w:t>
        </w:r>
        <w:r>
          <w:fldChar w:fldCharType="end"/>
        </w:r>
      </w:hyperlink>
    </w:p>
    <w:p w14:paraId="30FE94A2" w14:textId="4D88EED2" w:rsidR="005E03F7" w:rsidRDefault="005E03F7">
      <w:pPr>
        <w:pStyle w:val="TOC5"/>
        <w:rPr>
          <w:rFonts w:asciiTheme="minorHAnsi" w:eastAsiaTheme="minorEastAsia" w:hAnsiTheme="minorHAnsi" w:cstheme="minorBidi"/>
          <w:sz w:val="22"/>
          <w:szCs w:val="22"/>
          <w:lang w:eastAsia="en-AU"/>
        </w:rPr>
      </w:pPr>
      <w:r>
        <w:tab/>
      </w:r>
      <w:hyperlink w:anchor="_Toc83625767" w:history="1">
        <w:r w:rsidRPr="00D90FEA">
          <w:t>370</w:t>
        </w:r>
        <w:r>
          <w:rPr>
            <w:rFonts w:asciiTheme="minorHAnsi" w:eastAsiaTheme="minorEastAsia" w:hAnsiTheme="minorHAnsi" w:cstheme="minorBidi"/>
            <w:sz w:val="22"/>
            <w:szCs w:val="22"/>
            <w:lang w:eastAsia="en-AU"/>
          </w:rPr>
          <w:tab/>
        </w:r>
        <w:r w:rsidRPr="00D90FEA">
          <w:t>Amendment or cancellation of work diary exemption (permit) on application by permit holder</w:t>
        </w:r>
        <w:r>
          <w:tab/>
        </w:r>
        <w:r>
          <w:fldChar w:fldCharType="begin"/>
        </w:r>
        <w:r>
          <w:instrText xml:space="preserve"> PAGEREF _Toc83625767 \h </w:instrText>
        </w:r>
        <w:r>
          <w:fldChar w:fldCharType="separate"/>
        </w:r>
        <w:r w:rsidR="005C5D7F">
          <w:t>323</w:t>
        </w:r>
        <w:r>
          <w:fldChar w:fldCharType="end"/>
        </w:r>
      </w:hyperlink>
    </w:p>
    <w:p w14:paraId="3198DE66" w14:textId="5D8E53E2" w:rsidR="005E03F7" w:rsidRDefault="005E03F7">
      <w:pPr>
        <w:pStyle w:val="TOC5"/>
        <w:rPr>
          <w:rFonts w:asciiTheme="minorHAnsi" w:eastAsiaTheme="minorEastAsia" w:hAnsiTheme="minorHAnsi" w:cstheme="minorBidi"/>
          <w:sz w:val="22"/>
          <w:szCs w:val="22"/>
          <w:lang w:eastAsia="en-AU"/>
        </w:rPr>
      </w:pPr>
      <w:r>
        <w:tab/>
      </w:r>
      <w:hyperlink w:anchor="_Toc83625768" w:history="1">
        <w:r w:rsidRPr="00D90FEA">
          <w:t>371</w:t>
        </w:r>
        <w:r>
          <w:rPr>
            <w:rFonts w:asciiTheme="minorHAnsi" w:eastAsiaTheme="minorEastAsia" w:hAnsiTheme="minorHAnsi" w:cstheme="minorBidi"/>
            <w:sz w:val="22"/>
            <w:szCs w:val="22"/>
            <w:lang w:eastAsia="en-AU"/>
          </w:rPr>
          <w:tab/>
        </w:r>
        <w:r w:rsidRPr="00D90FEA">
          <w:t>Amendment or cancellation of work diary exemption (permit) on Regulator’s initiative</w:t>
        </w:r>
        <w:r>
          <w:tab/>
        </w:r>
        <w:r>
          <w:fldChar w:fldCharType="begin"/>
        </w:r>
        <w:r>
          <w:instrText xml:space="preserve"> PAGEREF _Toc83625768 \h </w:instrText>
        </w:r>
        <w:r>
          <w:fldChar w:fldCharType="separate"/>
        </w:r>
        <w:r w:rsidR="005C5D7F">
          <w:t>325</w:t>
        </w:r>
        <w:r>
          <w:fldChar w:fldCharType="end"/>
        </w:r>
      </w:hyperlink>
    </w:p>
    <w:p w14:paraId="5098B6D6" w14:textId="37950887" w:rsidR="005E03F7" w:rsidRDefault="005E03F7">
      <w:pPr>
        <w:pStyle w:val="TOC5"/>
        <w:rPr>
          <w:rFonts w:asciiTheme="minorHAnsi" w:eastAsiaTheme="minorEastAsia" w:hAnsiTheme="minorHAnsi" w:cstheme="minorBidi"/>
          <w:sz w:val="22"/>
          <w:szCs w:val="22"/>
          <w:lang w:eastAsia="en-AU"/>
        </w:rPr>
      </w:pPr>
      <w:r>
        <w:tab/>
      </w:r>
      <w:hyperlink w:anchor="_Toc83625769" w:history="1">
        <w:r w:rsidRPr="00D90FEA">
          <w:t>372</w:t>
        </w:r>
        <w:r>
          <w:rPr>
            <w:rFonts w:asciiTheme="minorHAnsi" w:eastAsiaTheme="minorEastAsia" w:hAnsiTheme="minorHAnsi" w:cstheme="minorBidi"/>
            <w:sz w:val="22"/>
            <w:szCs w:val="22"/>
            <w:lang w:eastAsia="en-AU"/>
          </w:rPr>
          <w:tab/>
        </w:r>
        <w:r w:rsidRPr="00D90FEA">
          <w:t>Minor amendment of work diary exemption (permit)</w:t>
        </w:r>
        <w:r>
          <w:tab/>
        </w:r>
        <w:r>
          <w:fldChar w:fldCharType="begin"/>
        </w:r>
        <w:r>
          <w:instrText xml:space="preserve"> PAGEREF _Toc83625769 \h </w:instrText>
        </w:r>
        <w:r>
          <w:fldChar w:fldCharType="separate"/>
        </w:r>
        <w:r w:rsidR="005C5D7F">
          <w:t>327</w:t>
        </w:r>
        <w:r>
          <w:fldChar w:fldCharType="end"/>
        </w:r>
      </w:hyperlink>
    </w:p>
    <w:p w14:paraId="0DAB0A09" w14:textId="2BE6D889" w:rsidR="005E03F7" w:rsidRDefault="005E03F7">
      <w:pPr>
        <w:pStyle w:val="TOC5"/>
        <w:rPr>
          <w:rFonts w:asciiTheme="minorHAnsi" w:eastAsiaTheme="minorEastAsia" w:hAnsiTheme="minorHAnsi" w:cstheme="minorBidi"/>
          <w:sz w:val="22"/>
          <w:szCs w:val="22"/>
          <w:lang w:eastAsia="en-AU"/>
        </w:rPr>
      </w:pPr>
      <w:r>
        <w:lastRenderedPageBreak/>
        <w:tab/>
      </w:r>
      <w:hyperlink w:anchor="_Toc83625770" w:history="1">
        <w:r w:rsidRPr="00D90FEA">
          <w:t>373</w:t>
        </w:r>
        <w:r>
          <w:rPr>
            <w:rFonts w:asciiTheme="minorHAnsi" w:eastAsiaTheme="minorEastAsia" w:hAnsiTheme="minorHAnsi" w:cstheme="minorBidi"/>
            <w:sz w:val="22"/>
            <w:szCs w:val="22"/>
            <w:lang w:eastAsia="en-AU"/>
          </w:rPr>
          <w:tab/>
        </w:r>
        <w:r w:rsidRPr="00D90FEA">
          <w:t>Return of permit</w:t>
        </w:r>
        <w:r>
          <w:tab/>
        </w:r>
        <w:r>
          <w:fldChar w:fldCharType="begin"/>
        </w:r>
        <w:r>
          <w:instrText xml:space="preserve"> PAGEREF _Toc83625770 \h </w:instrText>
        </w:r>
        <w:r>
          <w:fldChar w:fldCharType="separate"/>
        </w:r>
        <w:r w:rsidR="005C5D7F">
          <w:t>327</w:t>
        </w:r>
        <w:r>
          <w:fldChar w:fldCharType="end"/>
        </w:r>
      </w:hyperlink>
    </w:p>
    <w:p w14:paraId="75ACAA06" w14:textId="3E688B91" w:rsidR="005E03F7" w:rsidRDefault="005E03F7">
      <w:pPr>
        <w:pStyle w:val="TOC5"/>
        <w:rPr>
          <w:rFonts w:asciiTheme="minorHAnsi" w:eastAsiaTheme="minorEastAsia" w:hAnsiTheme="minorHAnsi" w:cstheme="minorBidi"/>
          <w:sz w:val="22"/>
          <w:szCs w:val="22"/>
          <w:lang w:eastAsia="en-AU"/>
        </w:rPr>
      </w:pPr>
      <w:r>
        <w:tab/>
      </w:r>
      <w:hyperlink w:anchor="_Toc83625771" w:history="1">
        <w:r w:rsidRPr="00D90FEA">
          <w:t>374</w:t>
        </w:r>
        <w:r>
          <w:rPr>
            <w:rFonts w:asciiTheme="minorHAnsi" w:eastAsiaTheme="minorEastAsia" w:hAnsiTheme="minorHAnsi" w:cstheme="minorBidi"/>
            <w:sz w:val="22"/>
            <w:szCs w:val="22"/>
            <w:lang w:eastAsia="en-AU"/>
          </w:rPr>
          <w:tab/>
        </w:r>
        <w:r w:rsidRPr="00D90FEA">
          <w:t>Replacement of defaced etc. permit</w:t>
        </w:r>
        <w:r>
          <w:tab/>
        </w:r>
        <w:r>
          <w:fldChar w:fldCharType="begin"/>
        </w:r>
        <w:r>
          <w:instrText xml:space="preserve"> PAGEREF _Toc83625771 \h </w:instrText>
        </w:r>
        <w:r>
          <w:fldChar w:fldCharType="separate"/>
        </w:r>
        <w:r w:rsidR="005C5D7F">
          <w:t>327</w:t>
        </w:r>
        <w:r>
          <w:fldChar w:fldCharType="end"/>
        </w:r>
      </w:hyperlink>
    </w:p>
    <w:p w14:paraId="7C038F34" w14:textId="44F0FFC3" w:rsidR="005E03F7" w:rsidRDefault="00856BEE">
      <w:pPr>
        <w:pStyle w:val="TOC4"/>
        <w:rPr>
          <w:rFonts w:asciiTheme="minorHAnsi" w:eastAsiaTheme="minorEastAsia" w:hAnsiTheme="minorHAnsi" w:cstheme="minorBidi"/>
          <w:b w:val="0"/>
          <w:sz w:val="22"/>
          <w:szCs w:val="22"/>
          <w:lang w:eastAsia="en-AU"/>
        </w:rPr>
      </w:pPr>
      <w:hyperlink w:anchor="_Toc83625772" w:history="1">
        <w:r w:rsidR="005E03F7" w:rsidRPr="00D90FEA">
          <w:t xml:space="preserve">Subdivision 4 </w:t>
        </w:r>
        <w:r w:rsidR="005E03F7">
          <w:rPr>
            <w:rFonts w:asciiTheme="minorHAnsi" w:eastAsiaTheme="minorEastAsia" w:hAnsiTheme="minorHAnsi" w:cstheme="minorBidi"/>
            <w:b w:val="0"/>
            <w:sz w:val="22"/>
            <w:szCs w:val="22"/>
            <w:lang w:eastAsia="en-AU"/>
          </w:rPr>
          <w:tab/>
        </w:r>
        <w:r w:rsidR="005E03F7" w:rsidRPr="00D90FEA">
          <w:t>Operating under work diary exemption</w:t>
        </w:r>
        <w:r w:rsidR="005E03F7" w:rsidRPr="005E03F7">
          <w:rPr>
            <w:vanish/>
          </w:rPr>
          <w:tab/>
        </w:r>
        <w:r w:rsidR="005E03F7" w:rsidRPr="005E03F7">
          <w:rPr>
            <w:vanish/>
          </w:rPr>
          <w:fldChar w:fldCharType="begin"/>
        </w:r>
        <w:r w:rsidR="005E03F7" w:rsidRPr="005E03F7">
          <w:rPr>
            <w:vanish/>
          </w:rPr>
          <w:instrText xml:space="preserve"> PAGEREF _Toc83625772 \h </w:instrText>
        </w:r>
        <w:r w:rsidR="005E03F7" w:rsidRPr="005E03F7">
          <w:rPr>
            <w:vanish/>
          </w:rPr>
        </w:r>
        <w:r w:rsidR="005E03F7" w:rsidRPr="005E03F7">
          <w:rPr>
            <w:vanish/>
          </w:rPr>
          <w:fldChar w:fldCharType="separate"/>
        </w:r>
        <w:r w:rsidR="005C5D7F">
          <w:rPr>
            <w:vanish/>
          </w:rPr>
          <w:t>328</w:t>
        </w:r>
        <w:r w:rsidR="005E03F7" w:rsidRPr="005E03F7">
          <w:rPr>
            <w:vanish/>
          </w:rPr>
          <w:fldChar w:fldCharType="end"/>
        </w:r>
      </w:hyperlink>
    </w:p>
    <w:p w14:paraId="2F99B4CE" w14:textId="58D71A93" w:rsidR="005E03F7" w:rsidRDefault="005E03F7">
      <w:pPr>
        <w:pStyle w:val="TOC5"/>
        <w:rPr>
          <w:rFonts w:asciiTheme="minorHAnsi" w:eastAsiaTheme="minorEastAsia" w:hAnsiTheme="minorHAnsi" w:cstheme="minorBidi"/>
          <w:sz w:val="22"/>
          <w:szCs w:val="22"/>
          <w:lang w:eastAsia="en-AU"/>
        </w:rPr>
      </w:pPr>
      <w:r>
        <w:tab/>
      </w:r>
      <w:hyperlink w:anchor="_Toc83625773" w:history="1">
        <w:r w:rsidRPr="00D90FEA">
          <w:t>375</w:t>
        </w:r>
        <w:r>
          <w:rPr>
            <w:rFonts w:asciiTheme="minorHAnsi" w:eastAsiaTheme="minorEastAsia" w:hAnsiTheme="minorHAnsi" w:cstheme="minorBidi"/>
            <w:sz w:val="22"/>
            <w:szCs w:val="22"/>
            <w:lang w:eastAsia="en-AU"/>
          </w:rPr>
          <w:tab/>
        </w:r>
        <w:r w:rsidRPr="00D90FEA">
          <w:t>Contravening condition of work diary exemption</w:t>
        </w:r>
        <w:r>
          <w:tab/>
        </w:r>
        <w:r>
          <w:fldChar w:fldCharType="begin"/>
        </w:r>
        <w:r>
          <w:instrText xml:space="preserve"> PAGEREF _Toc83625773 \h </w:instrText>
        </w:r>
        <w:r>
          <w:fldChar w:fldCharType="separate"/>
        </w:r>
        <w:r w:rsidR="005C5D7F">
          <w:t>328</w:t>
        </w:r>
        <w:r>
          <w:fldChar w:fldCharType="end"/>
        </w:r>
      </w:hyperlink>
    </w:p>
    <w:p w14:paraId="36BA0081" w14:textId="2E5323FE" w:rsidR="005E03F7" w:rsidRDefault="005E03F7">
      <w:pPr>
        <w:pStyle w:val="TOC5"/>
        <w:rPr>
          <w:rFonts w:asciiTheme="minorHAnsi" w:eastAsiaTheme="minorEastAsia" w:hAnsiTheme="minorHAnsi" w:cstheme="minorBidi"/>
          <w:sz w:val="22"/>
          <w:szCs w:val="22"/>
          <w:lang w:eastAsia="en-AU"/>
        </w:rPr>
      </w:pPr>
      <w:r>
        <w:tab/>
      </w:r>
      <w:hyperlink w:anchor="_Toc83625774" w:history="1">
        <w:r w:rsidRPr="00D90FEA">
          <w:t>376</w:t>
        </w:r>
        <w:r>
          <w:rPr>
            <w:rFonts w:asciiTheme="minorHAnsi" w:eastAsiaTheme="minorEastAsia" w:hAnsiTheme="minorHAnsi" w:cstheme="minorBidi"/>
            <w:sz w:val="22"/>
            <w:szCs w:val="22"/>
            <w:lang w:eastAsia="en-AU"/>
          </w:rPr>
          <w:tab/>
        </w:r>
        <w:r w:rsidRPr="00D90FEA">
          <w:t>Keeping relevant document while operating under work diary exemption (notice)</w:t>
        </w:r>
        <w:r>
          <w:tab/>
        </w:r>
        <w:r>
          <w:fldChar w:fldCharType="begin"/>
        </w:r>
        <w:r>
          <w:instrText xml:space="preserve"> PAGEREF _Toc83625774 \h </w:instrText>
        </w:r>
        <w:r>
          <w:fldChar w:fldCharType="separate"/>
        </w:r>
        <w:r w:rsidR="005C5D7F">
          <w:t>328</w:t>
        </w:r>
        <w:r>
          <w:fldChar w:fldCharType="end"/>
        </w:r>
      </w:hyperlink>
    </w:p>
    <w:p w14:paraId="18B21B26" w14:textId="508883B1" w:rsidR="005E03F7" w:rsidRDefault="005E03F7">
      <w:pPr>
        <w:pStyle w:val="TOC5"/>
        <w:rPr>
          <w:rFonts w:asciiTheme="minorHAnsi" w:eastAsiaTheme="minorEastAsia" w:hAnsiTheme="minorHAnsi" w:cstheme="minorBidi"/>
          <w:sz w:val="22"/>
          <w:szCs w:val="22"/>
          <w:lang w:eastAsia="en-AU"/>
        </w:rPr>
      </w:pPr>
      <w:r>
        <w:tab/>
      </w:r>
      <w:hyperlink w:anchor="_Toc83625775" w:history="1">
        <w:r w:rsidRPr="00D90FEA">
          <w:t>377</w:t>
        </w:r>
        <w:r>
          <w:rPr>
            <w:rFonts w:asciiTheme="minorHAnsi" w:eastAsiaTheme="minorEastAsia" w:hAnsiTheme="minorHAnsi" w:cstheme="minorBidi"/>
            <w:sz w:val="22"/>
            <w:szCs w:val="22"/>
            <w:lang w:eastAsia="en-AU"/>
          </w:rPr>
          <w:tab/>
        </w:r>
        <w:r w:rsidRPr="00D90FEA">
          <w:t>Keeping permit or copy while operating under work diary exemption (permit)</w:t>
        </w:r>
        <w:r>
          <w:tab/>
        </w:r>
        <w:r>
          <w:fldChar w:fldCharType="begin"/>
        </w:r>
        <w:r>
          <w:instrText xml:space="preserve"> PAGEREF _Toc83625775 \h </w:instrText>
        </w:r>
        <w:r>
          <w:fldChar w:fldCharType="separate"/>
        </w:r>
        <w:r w:rsidR="005C5D7F">
          <w:t>329</w:t>
        </w:r>
        <w:r>
          <w:fldChar w:fldCharType="end"/>
        </w:r>
      </w:hyperlink>
    </w:p>
    <w:p w14:paraId="03C842D2" w14:textId="42AD7569" w:rsidR="005E03F7" w:rsidRDefault="00856BEE">
      <w:pPr>
        <w:pStyle w:val="TOC3"/>
        <w:rPr>
          <w:rFonts w:asciiTheme="minorHAnsi" w:eastAsiaTheme="minorEastAsia" w:hAnsiTheme="minorHAnsi" w:cstheme="minorBidi"/>
          <w:b w:val="0"/>
          <w:sz w:val="22"/>
          <w:szCs w:val="22"/>
          <w:lang w:eastAsia="en-AU"/>
        </w:rPr>
      </w:pPr>
      <w:hyperlink w:anchor="_Toc83625776" w:history="1">
        <w:r w:rsidR="005E03F7" w:rsidRPr="00D90FEA">
          <w:t xml:space="preserve">Division 8A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Exemptions from fatigue record keeping requirements of Division 3</w:t>
        </w:r>
        <w:r w:rsidR="005E03F7" w:rsidRPr="005E03F7">
          <w:rPr>
            <w:vanish/>
          </w:rPr>
          <w:tab/>
        </w:r>
        <w:r w:rsidR="005E03F7" w:rsidRPr="005E03F7">
          <w:rPr>
            <w:vanish/>
          </w:rPr>
          <w:fldChar w:fldCharType="begin"/>
        </w:r>
        <w:r w:rsidR="005E03F7" w:rsidRPr="005E03F7">
          <w:rPr>
            <w:vanish/>
          </w:rPr>
          <w:instrText xml:space="preserve"> PAGEREF _Toc83625776 \h </w:instrText>
        </w:r>
        <w:r w:rsidR="005E03F7" w:rsidRPr="005E03F7">
          <w:rPr>
            <w:vanish/>
          </w:rPr>
        </w:r>
        <w:r w:rsidR="005E03F7" w:rsidRPr="005E03F7">
          <w:rPr>
            <w:vanish/>
          </w:rPr>
          <w:fldChar w:fldCharType="separate"/>
        </w:r>
        <w:r w:rsidR="005C5D7F">
          <w:rPr>
            <w:vanish/>
          </w:rPr>
          <w:t>329</w:t>
        </w:r>
        <w:r w:rsidR="005E03F7" w:rsidRPr="005E03F7">
          <w:rPr>
            <w:vanish/>
          </w:rPr>
          <w:fldChar w:fldCharType="end"/>
        </w:r>
      </w:hyperlink>
    </w:p>
    <w:p w14:paraId="34B826BD" w14:textId="03C52E06" w:rsidR="005E03F7" w:rsidRDefault="00856BEE">
      <w:pPr>
        <w:pStyle w:val="TOC4"/>
        <w:rPr>
          <w:rFonts w:asciiTheme="minorHAnsi" w:eastAsiaTheme="minorEastAsia" w:hAnsiTheme="minorHAnsi" w:cstheme="minorBidi"/>
          <w:b w:val="0"/>
          <w:sz w:val="22"/>
          <w:szCs w:val="22"/>
          <w:lang w:eastAsia="en-AU"/>
        </w:rPr>
      </w:pPr>
      <w:hyperlink w:anchor="_Toc83625777" w:history="1">
        <w:r w:rsidR="005E03F7" w:rsidRPr="00D90FEA">
          <w:t xml:space="preserve">Subdivision 1 </w:t>
        </w:r>
        <w:r w:rsidR="005E03F7">
          <w:rPr>
            <w:rFonts w:asciiTheme="minorHAnsi" w:eastAsiaTheme="minorEastAsia" w:hAnsiTheme="minorHAnsi" w:cstheme="minorBidi"/>
            <w:b w:val="0"/>
            <w:sz w:val="22"/>
            <w:szCs w:val="22"/>
            <w:lang w:eastAsia="en-AU"/>
          </w:rPr>
          <w:tab/>
        </w:r>
        <w:r w:rsidR="005E03F7" w:rsidRPr="00D90FEA">
          <w:t>Exemptions by Commonwealth Gazette notice</w:t>
        </w:r>
        <w:r w:rsidR="005E03F7" w:rsidRPr="005E03F7">
          <w:rPr>
            <w:vanish/>
          </w:rPr>
          <w:tab/>
        </w:r>
        <w:r w:rsidR="005E03F7" w:rsidRPr="005E03F7">
          <w:rPr>
            <w:vanish/>
          </w:rPr>
          <w:fldChar w:fldCharType="begin"/>
        </w:r>
        <w:r w:rsidR="005E03F7" w:rsidRPr="005E03F7">
          <w:rPr>
            <w:vanish/>
          </w:rPr>
          <w:instrText xml:space="preserve"> PAGEREF _Toc83625777 \h </w:instrText>
        </w:r>
        <w:r w:rsidR="005E03F7" w:rsidRPr="005E03F7">
          <w:rPr>
            <w:vanish/>
          </w:rPr>
        </w:r>
        <w:r w:rsidR="005E03F7" w:rsidRPr="005E03F7">
          <w:rPr>
            <w:vanish/>
          </w:rPr>
          <w:fldChar w:fldCharType="separate"/>
        </w:r>
        <w:r w:rsidR="005C5D7F">
          <w:rPr>
            <w:vanish/>
          </w:rPr>
          <w:t>329</w:t>
        </w:r>
        <w:r w:rsidR="005E03F7" w:rsidRPr="005E03F7">
          <w:rPr>
            <w:vanish/>
          </w:rPr>
          <w:fldChar w:fldCharType="end"/>
        </w:r>
      </w:hyperlink>
    </w:p>
    <w:p w14:paraId="17B30032" w14:textId="5465E922" w:rsidR="005E03F7" w:rsidRDefault="005E03F7">
      <w:pPr>
        <w:pStyle w:val="TOC5"/>
        <w:rPr>
          <w:rFonts w:asciiTheme="minorHAnsi" w:eastAsiaTheme="minorEastAsia" w:hAnsiTheme="minorHAnsi" w:cstheme="minorBidi"/>
          <w:sz w:val="22"/>
          <w:szCs w:val="22"/>
          <w:lang w:eastAsia="en-AU"/>
        </w:rPr>
      </w:pPr>
      <w:r>
        <w:tab/>
      </w:r>
      <w:hyperlink w:anchor="_Toc83625778" w:history="1">
        <w:r w:rsidRPr="00D90FEA">
          <w:t>378</w:t>
        </w:r>
        <w:r>
          <w:rPr>
            <w:rFonts w:asciiTheme="minorHAnsi" w:eastAsiaTheme="minorEastAsia" w:hAnsiTheme="minorHAnsi" w:cstheme="minorBidi"/>
            <w:sz w:val="22"/>
            <w:szCs w:val="22"/>
            <w:lang w:eastAsia="en-AU"/>
          </w:rPr>
          <w:tab/>
        </w:r>
        <w:r w:rsidRPr="00D90FEA">
          <w:t>Regulator’s power to exempt record keepers from fatigue record keeping requirements</w:t>
        </w:r>
        <w:r>
          <w:tab/>
        </w:r>
        <w:r>
          <w:fldChar w:fldCharType="begin"/>
        </w:r>
        <w:r>
          <w:instrText xml:space="preserve"> PAGEREF _Toc83625778 \h </w:instrText>
        </w:r>
        <w:r>
          <w:fldChar w:fldCharType="separate"/>
        </w:r>
        <w:r w:rsidR="005C5D7F">
          <w:t>329</w:t>
        </w:r>
        <w:r>
          <w:fldChar w:fldCharType="end"/>
        </w:r>
      </w:hyperlink>
    </w:p>
    <w:p w14:paraId="491B4858" w14:textId="68E7D118" w:rsidR="005E03F7" w:rsidRDefault="005E03F7">
      <w:pPr>
        <w:pStyle w:val="TOC5"/>
        <w:rPr>
          <w:rFonts w:asciiTheme="minorHAnsi" w:eastAsiaTheme="minorEastAsia" w:hAnsiTheme="minorHAnsi" w:cstheme="minorBidi"/>
          <w:sz w:val="22"/>
          <w:szCs w:val="22"/>
          <w:lang w:eastAsia="en-AU"/>
        </w:rPr>
      </w:pPr>
      <w:r>
        <w:tab/>
      </w:r>
      <w:hyperlink w:anchor="_Toc83625779" w:history="1">
        <w:r w:rsidRPr="00D90FEA">
          <w:t>379</w:t>
        </w:r>
        <w:r>
          <w:rPr>
            <w:rFonts w:asciiTheme="minorHAnsi" w:eastAsiaTheme="minorEastAsia" w:hAnsiTheme="minorHAnsi" w:cstheme="minorBidi"/>
            <w:sz w:val="22"/>
            <w:szCs w:val="22"/>
            <w:lang w:eastAsia="en-AU"/>
          </w:rPr>
          <w:tab/>
        </w:r>
        <w:r w:rsidRPr="00D90FEA">
          <w:t>Conditions of fatigue record keeping exemption (notice)</w:t>
        </w:r>
        <w:r>
          <w:tab/>
        </w:r>
        <w:r>
          <w:fldChar w:fldCharType="begin"/>
        </w:r>
        <w:r>
          <w:instrText xml:space="preserve"> PAGEREF _Toc83625779 \h </w:instrText>
        </w:r>
        <w:r>
          <w:fldChar w:fldCharType="separate"/>
        </w:r>
        <w:r w:rsidR="005C5D7F">
          <w:t>330</w:t>
        </w:r>
        <w:r>
          <w:fldChar w:fldCharType="end"/>
        </w:r>
      </w:hyperlink>
    </w:p>
    <w:p w14:paraId="36B32B11" w14:textId="294924C2" w:rsidR="005E03F7" w:rsidRDefault="005E03F7">
      <w:pPr>
        <w:pStyle w:val="TOC5"/>
        <w:rPr>
          <w:rFonts w:asciiTheme="minorHAnsi" w:eastAsiaTheme="minorEastAsia" w:hAnsiTheme="minorHAnsi" w:cstheme="minorBidi"/>
          <w:sz w:val="22"/>
          <w:szCs w:val="22"/>
          <w:lang w:eastAsia="en-AU"/>
        </w:rPr>
      </w:pPr>
      <w:r>
        <w:tab/>
      </w:r>
      <w:hyperlink w:anchor="_Toc83625780" w:history="1">
        <w:r w:rsidRPr="00D90FEA">
          <w:t>380</w:t>
        </w:r>
        <w:r>
          <w:rPr>
            <w:rFonts w:asciiTheme="minorHAnsi" w:eastAsiaTheme="minorEastAsia" w:hAnsiTheme="minorHAnsi" w:cstheme="minorBidi"/>
            <w:sz w:val="22"/>
            <w:szCs w:val="22"/>
            <w:lang w:eastAsia="en-AU"/>
          </w:rPr>
          <w:tab/>
        </w:r>
        <w:r w:rsidRPr="00D90FEA">
          <w:t>Period for which fatigue record keeping exemption (notice) applies</w:t>
        </w:r>
        <w:r>
          <w:tab/>
        </w:r>
        <w:r>
          <w:fldChar w:fldCharType="begin"/>
        </w:r>
        <w:r>
          <w:instrText xml:space="preserve"> PAGEREF _Toc83625780 \h </w:instrText>
        </w:r>
        <w:r>
          <w:fldChar w:fldCharType="separate"/>
        </w:r>
        <w:r w:rsidR="005C5D7F">
          <w:t>330</w:t>
        </w:r>
        <w:r>
          <w:fldChar w:fldCharType="end"/>
        </w:r>
      </w:hyperlink>
    </w:p>
    <w:p w14:paraId="1287EF83" w14:textId="78691874" w:rsidR="005E03F7" w:rsidRDefault="005E03F7">
      <w:pPr>
        <w:pStyle w:val="TOC5"/>
        <w:rPr>
          <w:rFonts w:asciiTheme="minorHAnsi" w:eastAsiaTheme="minorEastAsia" w:hAnsiTheme="minorHAnsi" w:cstheme="minorBidi"/>
          <w:sz w:val="22"/>
          <w:szCs w:val="22"/>
          <w:lang w:eastAsia="en-AU"/>
        </w:rPr>
      </w:pPr>
      <w:r>
        <w:tab/>
      </w:r>
      <w:hyperlink w:anchor="_Toc83625781" w:history="1">
        <w:r w:rsidRPr="00D90FEA">
          <w:t>381</w:t>
        </w:r>
        <w:r>
          <w:rPr>
            <w:rFonts w:asciiTheme="minorHAnsi" w:eastAsiaTheme="minorEastAsia" w:hAnsiTheme="minorHAnsi" w:cstheme="minorBidi"/>
            <w:sz w:val="22"/>
            <w:szCs w:val="22"/>
            <w:lang w:eastAsia="en-AU"/>
          </w:rPr>
          <w:tab/>
        </w:r>
        <w:r w:rsidRPr="00D90FEA">
          <w:t>Requirements about Commonwealth Gazette notice</w:t>
        </w:r>
        <w:r>
          <w:tab/>
        </w:r>
        <w:r>
          <w:fldChar w:fldCharType="begin"/>
        </w:r>
        <w:r>
          <w:instrText xml:space="preserve"> PAGEREF _Toc83625781 \h </w:instrText>
        </w:r>
        <w:r>
          <w:fldChar w:fldCharType="separate"/>
        </w:r>
        <w:r w:rsidR="005C5D7F">
          <w:t>331</w:t>
        </w:r>
        <w:r>
          <w:fldChar w:fldCharType="end"/>
        </w:r>
      </w:hyperlink>
    </w:p>
    <w:p w14:paraId="03FC413F" w14:textId="7782AB31" w:rsidR="005E03F7" w:rsidRDefault="005E03F7">
      <w:pPr>
        <w:pStyle w:val="TOC5"/>
        <w:rPr>
          <w:rFonts w:asciiTheme="minorHAnsi" w:eastAsiaTheme="minorEastAsia" w:hAnsiTheme="minorHAnsi" w:cstheme="minorBidi"/>
          <w:sz w:val="22"/>
          <w:szCs w:val="22"/>
          <w:lang w:eastAsia="en-AU"/>
        </w:rPr>
      </w:pPr>
      <w:r>
        <w:tab/>
      </w:r>
      <w:hyperlink w:anchor="_Toc83625782" w:history="1">
        <w:r w:rsidRPr="00D90FEA">
          <w:t>382</w:t>
        </w:r>
        <w:r>
          <w:rPr>
            <w:rFonts w:asciiTheme="minorHAnsi" w:eastAsiaTheme="minorEastAsia" w:hAnsiTheme="minorHAnsi" w:cstheme="minorBidi"/>
            <w:sz w:val="22"/>
            <w:szCs w:val="22"/>
            <w:lang w:eastAsia="en-AU"/>
          </w:rPr>
          <w:tab/>
        </w:r>
        <w:r w:rsidRPr="00D90FEA">
          <w:t>Amendment or cancellation of fatigue record keeping exemption (notice)</w:t>
        </w:r>
        <w:r>
          <w:tab/>
        </w:r>
        <w:r>
          <w:fldChar w:fldCharType="begin"/>
        </w:r>
        <w:r>
          <w:instrText xml:space="preserve"> PAGEREF _Toc83625782 \h </w:instrText>
        </w:r>
        <w:r>
          <w:fldChar w:fldCharType="separate"/>
        </w:r>
        <w:r w:rsidR="005C5D7F">
          <w:t>331</w:t>
        </w:r>
        <w:r>
          <w:fldChar w:fldCharType="end"/>
        </w:r>
      </w:hyperlink>
    </w:p>
    <w:p w14:paraId="7F5FBA64" w14:textId="25F4F503" w:rsidR="005E03F7" w:rsidRDefault="00856BEE">
      <w:pPr>
        <w:pStyle w:val="TOC4"/>
        <w:rPr>
          <w:rFonts w:asciiTheme="minorHAnsi" w:eastAsiaTheme="minorEastAsia" w:hAnsiTheme="minorHAnsi" w:cstheme="minorBidi"/>
          <w:b w:val="0"/>
          <w:sz w:val="22"/>
          <w:szCs w:val="22"/>
          <w:lang w:eastAsia="en-AU"/>
        </w:rPr>
      </w:pPr>
      <w:hyperlink w:anchor="_Toc83625783" w:history="1">
        <w:r w:rsidR="005E03F7" w:rsidRPr="00D90FEA">
          <w:t xml:space="preserve">Subdivision 2 </w:t>
        </w:r>
        <w:r w:rsidR="005E03F7">
          <w:rPr>
            <w:rFonts w:asciiTheme="minorHAnsi" w:eastAsiaTheme="minorEastAsia" w:hAnsiTheme="minorHAnsi" w:cstheme="minorBidi"/>
            <w:b w:val="0"/>
            <w:sz w:val="22"/>
            <w:szCs w:val="22"/>
            <w:lang w:eastAsia="en-AU"/>
          </w:rPr>
          <w:tab/>
        </w:r>
        <w:r w:rsidR="005E03F7" w:rsidRPr="00D90FEA">
          <w:t>Exemptions by permit</w:t>
        </w:r>
        <w:r w:rsidR="005E03F7" w:rsidRPr="005E03F7">
          <w:rPr>
            <w:vanish/>
          </w:rPr>
          <w:tab/>
        </w:r>
        <w:r w:rsidR="005E03F7" w:rsidRPr="005E03F7">
          <w:rPr>
            <w:vanish/>
          </w:rPr>
          <w:fldChar w:fldCharType="begin"/>
        </w:r>
        <w:r w:rsidR="005E03F7" w:rsidRPr="005E03F7">
          <w:rPr>
            <w:vanish/>
          </w:rPr>
          <w:instrText xml:space="preserve"> PAGEREF _Toc83625783 \h </w:instrText>
        </w:r>
        <w:r w:rsidR="005E03F7" w:rsidRPr="005E03F7">
          <w:rPr>
            <w:vanish/>
          </w:rPr>
        </w:r>
        <w:r w:rsidR="005E03F7" w:rsidRPr="005E03F7">
          <w:rPr>
            <w:vanish/>
          </w:rPr>
          <w:fldChar w:fldCharType="separate"/>
        </w:r>
        <w:r w:rsidR="005C5D7F">
          <w:rPr>
            <w:vanish/>
          </w:rPr>
          <w:t>333</w:t>
        </w:r>
        <w:r w:rsidR="005E03F7" w:rsidRPr="005E03F7">
          <w:rPr>
            <w:vanish/>
          </w:rPr>
          <w:fldChar w:fldCharType="end"/>
        </w:r>
      </w:hyperlink>
    </w:p>
    <w:p w14:paraId="167E8A7D" w14:textId="1C98F3F1" w:rsidR="005E03F7" w:rsidRDefault="005E03F7">
      <w:pPr>
        <w:pStyle w:val="TOC5"/>
        <w:rPr>
          <w:rFonts w:asciiTheme="minorHAnsi" w:eastAsiaTheme="minorEastAsia" w:hAnsiTheme="minorHAnsi" w:cstheme="minorBidi"/>
          <w:sz w:val="22"/>
          <w:szCs w:val="22"/>
          <w:lang w:eastAsia="en-AU"/>
        </w:rPr>
      </w:pPr>
      <w:r>
        <w:tab/>
      </w:r>
      <w:hyperlink w:anchor="_Toc83625784" w:history="1">
        <w:r w:rsidRPr="00D90FEA">
          <w:t>383</w:t>
        </w:r>
        <w:r>
          <w:rPr>
            <w:rFonts w:asciiTheme="minorHAnsi" w:eastAsiaTheme="minorEastAsia" w:hAnsiTheme="minorHAnsi" w:cstheme="minorBidi"/>
            <w:sz w:val="22"/>
            <w:szCs w:val="22"/>
            <w:lang w:eastAsia="en-AU"/>
          </w:rPr>
          <w:tab/>
        </w:r>
        <w:r w:rsidRPr="00D90FEA">
          <w:t>Regulator’s power to exempt record keepers from fatigue record keeping requirements</w:t>
        </w:r>
        <w:r>
          <w:tab/>
        </w:r>
        <w:r>
          <w:fldChar w:fldCharType="begin"/>
        </w:r>
        <w:r>
          <w:instrText xml:space="preserve"> PAGEREF _Toc83625784 \h </w:instrText>
        </w:r>
        <w:r>
          <w:fldChar w:fldCharType="separate"/>
        </w:r>
        <w:r w:rsidR="005C5D7F">
          <w:t>333</w:t>
        </w:r>
        <w:r>
          <w:fldChar w:fldCharType="end"/>
        </w:r>
      </w:hyperlink>
    </w:p>
    <w:p w14:paraId="0F939024" w14:textId="1A648E59" w:rsidR="005E03F7" w:rsidRDefault="005E03F7">
      <w:pPr>
        <w:pStyle w:val="TOC5"/>
        <w:rPr>
          <w:rFonts w:asciiTheme="minorHAnsi" w:eastAsiaTheme="minorEastAsia" w:hAnsiTheme="minorHAnsi" w:cstheme="minorBidi"/>
          <w:sz w:val="22"/>
          <w:szCs w:val="22"/>
          <w:lang w:eastAsia="en-AU"/>
        </w:rPr>
      </w:pPr>
      <w:r>
        <w:tab/>
      </w:r>
      <w:hyperlink w:anchor="_Toc83625785" w:history="1">
        <w:r w:rsidRPr="00D90FEA">
          <w:t>384</w:t>
        </w:r>
        <w:r>
          <w:rPr>
            <w:rFonts w:asciiTheme="minorHAnsi" w:eastAsiaTheme="minorEastAsia" w:hAnsiTheme="minorHAnsi" w:cstheme="minorBidi"/>
            <w:sz w:val="22"/>
            <w:szCs w:val="22"/>
            <w:lang w:eastAsia="en-AU"/>
          </w:rPr>
          <w:tab/>
        </w:r>
        <w:r w:rsidRPr="00D90FEA">
          <w:t>Application for fatigue record keeping exemption (permit)</w:t>
        </w:r>
        <w:r>
          <w:tab/>
        </w:r>
        <w:r>
          <w:fldChar w:fldCharType="begin"/>
        </w:r>
        <w:r>
          <w:instrText xml:space="preserve"> PAGEREF _Toc83625785 \h </w:instrText>
        </w:r>
        <w:r>
          <w:fldChar w:fldCharType="separate"/>
        </w:r>
        <w:r w:rsidR="005C5D7F">
          <w:t>334</w:t>
        </w:r>
        <w:r>
          <w:fldChar w:fldCharType="end"/>
        </w:r>
      </w:hyperlink>
    </w:p>
    <w:p w14:paraId="2B0D676E" w14:textId="41B1D135" w:rsidR="005E03F7" w:rsidRDefault="005E03F7">
      <w:pPr>
        <w:pStyle w:val="TOC5"/>
        <w:rPr>
          <w:rFonts w:asciiTheme="minorHAnsi" w:eastAsiaTheme="minorEastAsia" w:hAnsiTheme="minorHAnsi" w:cstheme="minorBidi"/>
          <w:sz w:val="22"/>
          <w:szCs w:val="22"/>
          <w:lang w:eastAsia="en-AU"/>
        </w:rPr>
      </w:pPr>
      <w:r>
        <w:tab/>
      </w:r>
      <w:hyperlink w:anchor="_Toc83625786" w:history="1">
        <w:r w:rsidRPr="00D90FEA">
          <w:t>385</w:t>
        </w:r>
        <w:r>
          <w:rPr>
            <w:rFonts w:asciiTheme="minorHAnsi" w:eastAsiaTheme="minorEastAsia" w:hAnsiTheme="minorHAnsi" w:cstheme="minorBidi"/>
            <w:sz w:val="22"/>
            <w:szCs w:val="22"/>
            <w:lang w:eastAsia="en-AU"/>
          </w:rPr>
          <w:tab/>
        </w:r>
        <w:r w:rsidRPr="00D90FEA">
          <w:t>Conditions of fatigue record keeping exemption (permit)</w:t>
        </w:r>
        <w:r>
          <w:tab/>
        </w:r>
        <w:r>
          <w:fldChar w:fldCharType="begin"/>
        </w:r>
        <w:r>
          <w:instrText xml:space="preserve"> PAGEREF _Toc83625786 \h </w:instrText>
        </w:r>
        <w:r>
          <w:fldChar w:fldCharType="separate"/>
        </w:r>
        <w:r w:rsidR="005C5D7F">
          <w:t>334</w:t>
        </w:r>
        <w:r>
          <w:fldChar w:fldCharType="end"/>
        </w:r>
      </w:hyperlink>
    </w:p>
    <w:p w14:paraId="3C45C333" w14:textId="43A5F9A6" w:rsidR="005E03F7" w:rsidRDefault="005E03F7">
      <w:pPr>
        <w:pStyle w:val="TOC5"/>
        <w:rPr>
          <w:rFonts w:asciiTheme="minorHAnsi" w:eastAsiaTheme="minorEastAsia" w:hAnsiTheme="minorHAnsi" w:cstheme="minorBidi"/>
          <w:sz w:val="22"/>
          <w:szCs w:val="22"/>
          <w:lang w:eastAsia="en-AU"/>
        </w:rPr>
      </w:pPr>
      <w:r>
        <w:tab/>
      </w:r>
      <w:hyperlink w:anchor="_Toc83625787" w:history="1">
        <w:r w:rsidRPr="00D90FEA">
          <w:t>386</w:t>
        </w:r>
        <w:r>
          <w:rPr>
            <w:rFonts w:asciiTheme="minorHAnsi" w:eastAsiaTheme="minorEastAsia" w:hAnsiTheme="minorHAnsi" w:cstheme="minorBidi"/>
            <w:sz w:val="22"/>
            <w:szCs w:val="22"/>
            <w:lang w:eastAsia="en-AU"/>
          </w:rPr>
          <w:tab/>
        </w:r>
        <w:r w:rsidRPr="00D90FEA">
          <w:t>Period for which fatigue record keeping exemption (permit) applies</w:t>
        </w:r>
        <w:r>
          <w:tab/>
        </w:r>
        <w:r>
          <w:fldChar w:fldCharType="begin"/>
        </w:r>
        <w:r>
          <w:instrText xml:space="preserve"> PAGEREF _Toc83625787 \h </w:instrText>
        </w:r>
        <w:r>
          <w:fldChar w:fldCharType="separate"/>
        </w:r>
        <w:r w:rsidR="005C5D7F">
          <w:t>335</w:t>
        </w:r>
        <w:r>
          <w:fldChar w:fldCharType="end"/>
        </w:r>
      </w:hyperlink>
    </w:p>
    <w:p w14:paraId="5B5E4601" w14:textId="6EBC2691" w:rsidR="005E03F7" w:rsidRDefault="005E03F7">
      <w:pPr>
        <w:pStyle w:val="TOC5"/>
        <w:rPr>
          <w:rFonts w:asciiTheme="minorHAnsi" w:eastAsiaTheme="minorEastAsia" w:hAnsiTheme="minorHAnsi" w:cstheme="minorBidi"/>
          <w:sz w:val="22"/>
          <w:szCs w:val="22"/>
          <w:lang w:eastAsia="en-AU"/>
        </w:rPr>
      </w:pPr>
      <w:r>
        <w:tab/>
      </w:r>
      <w:hyperlink w:anchor="_Toc83625788" w:history="1">
        <w:r w:rsidRPr="00D90FEA">
          <w:t>387</w:t>
        </w:r>
        <w:r>
          <w:rPr>
            <w:rFonts w:asciiTheme="minorHAnsi" w:eastAsiaTheme="minorEastAsia" w:hAnsiTheme="minorHAnsi" w:cstheme="minorBidi"/>
            <w:sz w:val="22"/>
            <w:szCs w:val="22"/>
            <w:lang w:eastAsia="en-AU"/>
          </w:rPr>
          <w:tab/>
        </w:r>
        <w:r w:rsidRPr="00D90FEA">
          <w:t>Permit for fatigue record keeping exemption (permit) etc.</w:t>
        </w:r>
        <w:r>
          <w:tab/>
        </w:r>
        <w:r>
          <w:fldChar w:fldCharType="begin"/>
        </w:r>
        <w:r>
          <w:instrText xml:space="preserve"> PAGEREF _Toc83625788 \h </w:instrText>
        </w:r>
        <w:r>
          <w:fldChar w:fldCharType="separate"/>
        </w:r>
        <w:r w:rsidR="005C5D7F">
          <w:t>335</w:t>
        </w:r>
        <w:r>
          <w:fldChar w:fldCharType="end"/>
        </w:r>
      </w:hyperlink>
    </w:p>
    <w:p w14:paraId="4AB08355" w14:textId="28CA4854" w:rsidR="005E03F7" w:rsidRDefault="005E03F7">
      <w:pPr>
        <w:pStyle w:val="TOC5"/>
        <w:rPr>
          <w:rFonts w:asciiTheme="minorHAnsi" w:eastAsiaTheme="minorEastAsia" w:hAnsiTheme="minorHAnsi" w:cstheme="minorBidi"/>
          <w:sz w:val="22"/>
          <w:szCs w:val="22"/>
          <w:lang w:eastAsia="en-AU"/>
        </w:rPr>
      </w:pPr>
      <w:r>
        <w:tab/>
      </w:r>
      <w:hyperlink w:anchor="_Toc83625789" w:history="1">
        <w:r w:rsidRPr="00D90FEA">
          <w:t>388</w:t>
        </w:r>
        <w:r>
          <w:rPr>
            <w:rFonts w:asciiTheme="minorHAnsi" w:eastAsiaTheme="minorEastAsia" w:hAnsiTheme="minorHAnsi" w:cstheme="minorBidi"/>
            <w:sz w:val="22"/>
            <w:szCs w:val="22"/>
            <w:lang w:eastAsia="en-AU"/>
          </w:rPr>
          <w:tab/>
        </w:r>
        <w:r w:rsidRPr="00D90FEA">
          <w:t>Refusal of application for fatigue record keeping exemption (permit)</w:t>
        </w:r>
        <w:r>
          <w:tab/>
        </w:r>
        <w:r>
          <w:fldChar w:fldCharType="begin"/>
        </w:r>
        <w:r>
          <w:instrText xml:space="preserve"> PAGEREF _Toc83625789 \h </w:instrText>
        </w:r>
        <w:r>
          <w:fldChar w:fldCharType="separate"/>
        </w:r>
        <w:r w:rsidR="005C5D7F">
          <w:t>336</w:t>
        </w:r>
        <w:r>
          <w:fldChar w:fldCharType="end"/>
        </w:r>
      </w:hyperlink>
    </w:p>
    <w:p w14:paraId="70AB2E17" w14:textId="4FC8FBF8" w:rsidR="005E03F7" w:rsidRDefault="005E03F7">
      <w:pPr>
        <w:pStyle w:val="TOC5"/>
        <w:rPr>
          <w:rFonts w:asciiTheme="minorHAnsi" w:eastAsiaTheme="minorEastAsia" w:hAnsiTheme="minorHAnsi" w:cstheme="minorBidi"/>
          <w:sz w:val="22"/>
          <w:szCs w:val="22"/>
          <w:lang w:eastAsia="en-AU"/>
        </w:rPr>
      </w:pPr>
      <w:r>
        <w:tab/>
      </w:r>
      <w:hyperlink w:anchor="_Toc83625790" w:history="1">
        <w:r w:rsidRPr="00D90FEA">
          <w:t>389</w:t>
        </w:r>
        <w:r>
          <w:rPr>
            <w:rFonts w:asciiTheme="minorHAnsi" w:eastAsiaTheme="minorEastAsia" w:hAnsiTheme="minorHAnsi" w:cstheme="minorBidi"/>
            <w:sz w:val="22"/>
            <w:szCs w:val="22"/>
            <w:lang w:eastAsia="en-AU"/>
          </w:rPr>
          <w:tab/>
        </w:r>
        <w:r w:rsidRPr="00D90FEA">
          <w:t>Amendment or cancellation of fatigue record keeping exemption (permit) on application by permit holder</w:t>
        </w:r>
        <w:r>
          <w:tab/>
        </w:r>
        <w:r>
          <w:fldChar w:fldCharType="begin"/>
        </w:r>
        <w:r>
          <w:instrText xml:space="preserve"> PAGEREF _Toc83625790 \h </w:instrText>
        </w:r>
        <w:r>
          <w:fldChar w:fldCharType="separate"/>
        </w:r>
        <w:r w:rsidR="005C5D7F">
          <w:t>336</w:t>
        </w:r>
        <w:r>
          <w:fldChar w:fldCharType="end"/>
        </w:r>
      </w:hyperlink>
    </w:p>
    <w:p w14:paraId="72141CDE" w14:textId="40DE5BD7" w:rsidR="005E03F7" w:rsidRDefault="005E03F7">
      <w:pPr>
        <w:pStyle w:val="TOC5"/>
        <w:rPr>
          <w:rFonts w:asciiTheme="minorHAnsi" w:eastAsiaTheme="minorEastAsia" w:hAnsiTheme="minorHAnsi" w:cstheme="minorBidi"/>
          <w:sz w:val="22"/>
          <w:szCs w:val="22"/>
          <w:lang w:eastAsia="en-AU"/>
        </w:rPr>
      </w:pPr>
      <w:r>
        <w:tab/>
      </w:r>
      <w:hyperlink w:anchor="_Toc83625791" w:history="1">
        <w:r w:rsidRPr="00D90FEA">
          <w:t>390</w:t>
        </w:r>
        <w:r>
          <w:rPr>
            <w:rFonts w:asciiTheme="minorHAnsi" w:eastAsiaTheme="minorEastAsia" w:hAnsiTheme="minorHAnsi" w:cstheme="minorBidi"/>
            <w:sz w:val="22"/>
            <w:szCs w:val="22"/>
            <w:lang w:eastAsia="en-AU"/>
          </w:rPr>
          <w:tab/>
        </w:r>
        <w:r w:rsidRPr="00D90FEA">
          <w:t>Amendment or cancellation of fatigue record keeping exemption (permit) on Regulator’s initiative</w:t>
        </w:r>
        <w:r>
          <w:tab/>
        </w:r>
        <w:r>
          <w:fldChar w:fldCharType="begin"/>
        </w:r>
        <w:r>
          <w:instrText xml:space="preserve"> PAGEREF _Toc83625791 \h </w:instrText>
        </w:r>
        <w:r>
          <w:fldChar w:fldCharType="separate"/>
        </w:r>
        <w:r w:rsidR="005C5D7F">
          <w:t>337</w:t>
        </w:r>
        <w:r>
          <w:fldChar w:fldCharType="end"/>
        </w:r>
      </w:hyperlink>
    </w:p>
    <w:p w14:paraId="08A45BE0" w14:textId="36387ED4" w:rsidR="005E03F7" w:rsidRDefault="005E03F7">
      <w:pPr>
        <w:pStyle w:val="TOC5"/>
        <w:rPr>
          <w:rFonts w:asciiTheme="minorHAnsi" w:eastAsiaTheme="minorEastAsia" w:hAnsiTheme="minorHAnsi" w:cstheme="minorBidi"/>
          <w:sz w:val="22"/>
          <w:szCs w:val="22"/>
          <w:lang w:eastAsia="en-AU"/>
        </w:rPr>
      </w:pPr>
      <w:r>
        <w:tab/>
      </w:r>
      <w:hyperlink w:anchor="_Toc83625792" w:history="1">
        <w:r w:rsidRPr="00D90FEA">
          <w:t>391</w:t>
        </w:r>
        <w:r>
          <w:rPr>
            <w:rFonts w:asciiTheme="minorHAnsi" w:eastAsiaTheme="minorEastAsia" w:hAnsiTheme="minorHAnsi" w:cstheme="minorBidi"/>
            <w:sz w:val="22"/>
            <w:szCs w:val="22"/>
            <w:lang w:eastAsia="en-AU"/>
          </w:rPr>
          <w:tab/>
        </w:r>
        <w:r w:rsidRPr="00D90FEA">
          <w:t>Minor amendment of fatigue record keeping exemption (permit)</w:t>
        </w:r>
        <w:r>
          <w:tab/>
        </w:r>
        <w:r>
          <w:fldChar w:fldCharType="begin"/>
        </w:r>
        <w:r>
          <w:instrText xml:space="preserve"> PAGEREF _Toc83625792 \h </w:instrText>
        </w:r>
        <w:r>
          <w:fldChar w:fldCharType="separate"/>
        </w:r>
        <w:r w:rsidR="005C5D7F">
          <w:t>339</w:t>
        </w:r>
        <w:r>
          <w:fldChar w:fldCharType="end"/>
        </w:r>
      </w:hyperlink>
    </w:p>
    <w:p w14:paraId="24655128" w14:textId="1AEAF089" w:rsidR="005E03F7" w:rsidRDefault="005E03F7">
      <w:pPr>
        <w:pStyle w:val="TOC5"/>
        <w:rPr>
          <w:rFonts w:asciiTheme="minorHAnsi" w:eastAsiaTheme="minorEastAsia" w:hAnsiTheme="minorHAnsi" w:cstheme="minorBidi"/>
          <w:sz w:val="22"/>
          <w:szCs w:val="22"/>
          <w:lang w:eastAsia="en-AU"/>
        </w:rPr>
      </w:pPr>
      <w:r>
        <w:tab/>
      </w:r>
      <w:hyperlink w:anchor="_Toc83625793" w:history="1">
        <w:r w:rsidRPr="00D90FEA">
          <w:t>392</w:t>
        </w:r>
        <w:r>
          <w:rPr>
            <w:rFonts w:asciiTheme="minorHAnsi" w:eastAsiaTheme="minorEastAsia" w:hAnsiTheme="minorHAnsi" w:cstheme="minorBidi"/>
            <w:sz w:val="22"/>
            <w:szCs w:val="22"/>
            <w:lang w:eastAsia="en-AU"/>
          </w:rPr>
          <w:tab/>
        </w:r>
        <w:r w:rsidRPr="00D90FEA">
          <w:t>Return of permit</w:t>
        </w:r>
        <w:r>
          <w:tab/>
        </w:r>
        <w:r>
          <w:fldChar w:fldCharType="begin"/>
        </w:r>
        <w:r>
          <w:instrText xml:space="preserve"> PAGEREF _Toc83625793 \h </w:instrText>
        </w:r>
        <w:r>
          <w:fldChar w:fldCharType="separate"/>
        </w:r>
        <w:r w:rsidR="005C5D7F">
          <w:t>339</w:t>
        </w:r>
        <w:r>
          <w:fldChar w:fldCharType="end"/>
        </w:r>
      </w:hyperlink>
    </w:p>
    <w:p w14:paraId="5DE72885" w14:textId="1BCB16E6" w:rsidR="005E03F7" w:rsidRDefault="005E03F7">
      <w:pPr>
        <w:pStyle w:val="TOC5"/>
        <w:rPr>
          <w:rFonts w:asciiTheme="minorHAnsi" w:eastAsiaTheme="minorEastAsia" w:hAnsiTheme="minorHAnsi" w:cstheme="minorBidi"/>
          <w:sz w:val="22"/>
          <w:szCs w:val="22"/>
          <w:lang w:eastAsia="en-AU"/>
        </w:rPr>
      </w:pPr>
      <w:r>
        <w:tab/>
      </w:r>
      <w:hyperlink w:anchor="_Toc83625794" w:history="1">
        <w:r w:rsidRPr="00D90FEA">
          <w:t>393</w:t>
        </w:r>
        <w:r>
          <w:rPr>
            <w:rFonts w:asciiTheme="minorHAnsi" w:eastAsiaTheme="minorEastAsia" w:hAnsiTheme="minorHAnsi" w:cstheme="minorBidi"/>
            <w:sz w:val="22"/>
            <w:szCs w:val="22"/>
            <w:lang w:eastAsia="en-AU"/>
          </w:rPr>
          <w:tab/>
        </w:r>
        <w:r w:rsidRPr="00D90FEA">
          <w:t>Replacement of defaced etc. permit</w:t>
        </w:r>
        <w:r>
          <w:tab/>
        </w:r>
        <w:r>
          <w:fldChar w:fldCharType="begin"/>
        </w:r>
        <w:r>
          <w:instrText xml:space="preserve"> PAGEREF _Toc83625794 \h </w:instrText>
        </w:r>
        <w:r>
          <w:fldChar w:fldCharType="separate"/>
        </w:r>
        <w:r w:rsidR="005C5D7F">
          <w:t>340</w:t>
        </w:r>
        <w:r>
          <w:fldChar w:fldCharType="end"/>
        </w:r>
      </w:hyperlink>
    </w:p>
    <w:p w14:paraId="080A70FA" w14:textId="56A91BD8" w:rsidR="005E03F7" w:rsidRDefault="00856BEE">
      <w:pPr>
        <w:pStyle w:val="TOC4"/>
        <w:rPr>
          <w:rFonts w:asciiTheme="minorHAnsi" w:eastAsiaTheme="minorEastAsia" w:hAnsiTheme="minorHAnsi" w:cstheme="minorBidi"/>
          <w:b w:val="0"/>
          <w:sz w:val="22"/>
          <w:szCs w:val="22"/>
          <w:lang w:eastAsia="en-AU"/>
        </w:rPr>
      </w:pPr>
      <w:hyperlink w:anchor="_Toc83625795" w:history="1">
        <w:r w:rsidR="005E03F7" w:rsidRPr="00D90FEA">
          <w:t>Subdivision 3</w:t>
        </w:r>
        <w:r w:rsidR="005E03F7">
          <w:rPr>
            <w:rFonts w:asciiTheme="minorHAnsi" w:eastAsiaTheme="minorEastAsia" w:hAnsiTheme="minorHAnsi" w:cstheme="minorBidi"/>
            <w:b w:val="0"/>
            <w:sz w:val="22"/>
            <w:szCs w:val="22"/>
            <w:lang w:eastAsia="en-AU"/>
          </w:rPr>
          <w:tab/>
        </w:r>
        <w:r w:rsidR="005E03F7" w:rsidRPr="00D90FEA">
          <w:t>Exemptions by national regulations</w:t>
        </w:r>
        <w:r w:rsidR="005E03F7" w:rsidRPr="005E03F7">
          <w:rPr>
            <w:vanish/>
          </w:rPr>
          <w:tab/>
        </w:r>
        <w:r w:rsidR="005E03F7" w:rsidRPr="005E03F7">
          <w:rPr>
            <w:vanish/>
          </w:rPr>
          <w:fldChar w:fldCharType="begin"/>
        </w:r>
        <w:r w:rsidR="005E03F7" w:rsidRPr="005E03F7">
          <w:rPr>
            <w:vanish/>
          </w:rPr>
          <w:instrText xml:space="preserve"> PAGEREF _Toc83625795 \h </w:instrText>
        </w:r>
        <w:r w:rsidR="005E03F7" w:rsidRPr="005E03F7">
          <w:rPr>
            <w:vanish/>
          </w:rPr>
        </w:r>
        <w:r w:rsidR="005E03F7" w:rsidRPr="005E03F7">
          <w:rPr>
            <w:vanish/>
          </w:rPr>
          <w:fldChar w:fldCharType="separate"/>
        </w:r>
        <w:r w:rsidR="005C5D7F">
          <w:rPr>
            <w:vanish/>
          </w:rPr>
          <w:t>340</w:t>
        </w:r>
        <w:r w:rsidR="005E03F7" w:rsidRPr="005E03F7">
          <w:rPr>
            <w:vanish/>
          </w:rPr>
          <w:fldChar w:fldCharType="end"/>
        </w:r>
      </w:hyperlink>
    </w:p>
    <w:p w14:paraId="139CE790" w14:textId="1821AE4E" w:rsidR="005E03F7" w:rsidRDefault="005E03F7">
      <w:pPr>
        <w:pStyle w:val="TOC5"/>
        <w:rPr>
          <w:rFonts w:asciiTheme="minorHAnsi" w:eastAsiaTheme="minorEastAsia" w:hAnsiTheme="minorHAnsi" w:cstheme="minorBidi"/>
          <w:sz w:val="22"/>
          <w:szCs w:val="22"/>
          <w:lang w:eastAsia="en-AU"/>
        </w:rPr>
      </w:pPr>
      <w:r>
        <w:tab/>
      </w:r>
      <w:hyperlink w:anchor="_Toc83625796" w:history="1">
        <w:r w:rsidRPr="00D90FEA">
          <w:t>394</w:t>
        </w:r>
        <w:r>
          <w:rPr>
            <w:rFonts w:asciiTheme="minorHAnsi" w:eastAsiaTheme="minorEastAsia" w:hAnsiTheme="minorHAnsi" w:cstheme="minorBidi"/>
            <w:sz w:val="22"/>
            <w:szCs w:val="22"/>
            <w:lang w:eastAsia="en-AU"/>
          </w:rPr>
          <w:tab/>
        </w:r>
        <w:r w:rsidRPr="00D90FEA">
          <w:t>Exemptions from provisions of Division 3</w:t>
        </w:r>
        <w:r>
          <w:tab/>
        </w:r>
        <w:r>
          <w:fldChar w:fldCharType="begin"/>
        </w:r>
        <w:r>
          <w:instrText xml:space="preserve"> PAGEREF _Toc83625796 \h </w:instrText>
        </w:r>
        <w:r>
          <w:fldChar w:fldCharType="separate"/>
        </w:r>
        <w:r w:rsidR="005C5D7F">
          <w:t>340</w:t>
        </w:r>
        <w:r>
          <w:fldChar w:fldCharType="end"/>
        </w:r>
      </w:hyperlink>
    </w:p>
    <w:p w14:paraId="056C3065" w14:textId="15998B18" w:rsidR="005E03F7" w:rsidRDefault="00856BEE">
      <w:pPr>
        <w:pStyle w:val="TOC4"/>
        <w:rPr>
          <w:rFonts w:asciiTheme="minorHAnsi" w:eastAsiaTheme="minorEastAsia" w:hAnsiTheme="minorHAnsi" w:cstheme="minorBidi"/>
          <w:b w:val="0"/>
          <w:sz w:val="22"/>
          <w:szCs w:val="22"/>
          <w:lang w:eastAsia="en-AU"/>
        </w:rPr>
      </w:pPr>
      <w:hyperlink w:anchor="_Toc83625797" w:history="1">
        <w:r w:rsidR="005E03F7" w:rsidRPr="00D90FEA">
          <w:t xml:space="preserve">Subdivision 4 </w:t>
        </w:r>
        <w:r w:rsidR="005E03F7">
          <w:rPr>
            <w:rFonts w:asciiTheme="minorHAnsi" w:eastAsiaTheme="minorEastAsia" w:hAnsiTheme="minorHAnsi" w:cstheme="minorBidi"/>
            <w:b w:val="0"/>
            <w:sz w:val="22"/>
            <w:szCs w:val="22"/>
            <w:lang w:eastAsia="en-AU"/>
          </w:rPr>
          <w:tab/>
        </w:r>
        <w:r w:rsidR="005E03F7" w:rsidRPr="00D90FEA">
          <w:t>Other provisions</w:t>
        </w:r>
        <w:r w:rsidR="005E03F7" w:rsidRPr="005E03F7">
          <w:rPr>
            <w:vanish/>
          </w:rPr>
          <w:tab/>
        </w:r>
        <w:r w:rsidR="005E03F7" w:rsidRPr="005E03F7">
          <w:rPr>
            <w:vanish/>
          </w:rPr>
          <w:fldChar w:fldCharType="begin"/>
        </w:r>
        <w:r w:rsidR="005E03F7" w:rsidRPr="005E03F7">
          <w:rPr>
            <w:vanish/>
          </w:rPr>
          <w:instrText xml:space="preserve"> PAGEREF _Toc83625797 \h </w:instrText>
        </w:r>
        <w:r w:rsidR="005E03F7" w:rsidRPr="005E03F7">
          <w:rPr>
            <w:vanish/>
          </w:rPr>
        </w:r>
        <w:r w:rsidR="005E03F7" w:rsidRPr="005E03F7">
          <w:rPr>
            <w:vanish/>
          </w:rPr>
          <w:fldChar w:fldCharType="separate"/>
        </w:r>
        <w:r w:rsidR="005C5D7F">
          <w:rPr>
            <w:vanish/>
          </w:rPr>
          <w:t>341</w:t>
        </w:r>
        <w:r w:rsidR="005E03F7" w:rsidRPr="005E03F7">
          <w:rPr>
            <w:vanish/>
          </w:rPr>
          <w:fldChar w:fldCharType="end"/>
        </w:r>
      </w:hyperlink>
    </w:p>
    <w:p w14:paraId="22894532" w14:textId="5CB4FD9E" w:rsidR="005E03F7" w:rsidRDefault="005E03F7">
      <w:pPr>
        <w:pStyle w:val="TOC5"/>
        <w:rPr>
          <w:rFonts w:asciiTheme="minorHAnsi" w:eastAsiaTheme="minorEastAsia" w:hAnsiTheme="minorHAnsi" w:cstheme="minorBidi"/>
          <w:sz w:val="22"/>
          <w:szCs w:val="22"/>
          <w:lang w:eastAsia="en-AU"/>
        </w:rPr>
      </w:pPr>
      <w:r>
        <w:tab/>
      </w:r>
      <w:hyperlink w:anchor="_Toc83625798" w:history="1">
        <w:r w:rsidRPr="00D90FEA">
          <w:t>395</w:t>
        </w:r>
        <w:r>
          <w:rPr>
            <w:rFonts w:asciiTheme="minorHAnsi" w:eastAsiaTheme="minorEastAsia" w:hAnsiTheme="minorHAnsi" w:cstheme="minorBidi"/>
            <w:sz w:val="22"/>
            <w:szCs w:val="22"/>
            <w:lang w:eastAsia="en-AU"/>
          </w:rPr>
          <w:tab/>
        </w:r>
        <w:r w:rsidRPr="00D90FEA">
          <w:t>Contravening condition of fatigue record keeping exemption</w:t>
        </w:r>
        <w:r>
          <w:tab/>
        </w:r>
        <w:r>
          <w:fldChar w:fldCharType="begin"/>
        </w:r>
        <w:r>
          <w:instrText xml:space="preserve"> PAGEREF _Toc83625798 \h </w:instrText>
        </w:r>
        <w:r>
          <w:fldChar w:fldCharType="separate"/>
        </w:r>
        <w:r w:rsidR="005C5D7F">
          <w:t>341</w:t>
        </w:r>
        <w:r>
          <w:fldChar w:fldCharType="end"/>
        </w:r>
      </w:hyperlink>
    </w:p>
    <w:p w14:paraId="073052FA" w14:textId="0E128728" w:rsidR="005E03F7" w:rsidRDefault="00856BEE">
      <w:pPr>
        <w:pStyle w:val="TOC3"/>
        <w:rPr>
          <w:rFonts w:asciiTheme="minorHAnsi" w:eastAsiaTheme="minorEastAsia" w:hAnsiTheme="minorHAnsi" w:cstheme="minorBidi"/>
          <w:b w:val="0"/>
          <w:sz w:val="22"/>
          <w:szCs w:val="22"/>
          <w:lang w:eastAsia="en-AU"/>
        </w:rPr>
      </w:pPr>
      <w:hyperlink w:anchor="_Toc83625799" w:history="1">
        <w:r w:rsidR="005E03F7" w:rsidRPr="00D90FEA">
          <w:t xml:space="preserve">Division 9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Requirements about odometers</w:t>
        </w:r>
        <w:r w:rsidR="005E03F7" w:rsidRPr="005E03F7">
          <w:rPr>
            <w:vanish/>
          </w:rPr>
          <w:tab/>
        </w:r>
        <w:r w:rsidR="005E03F7" w:rsidRPr="005E03F7">
          <w:rPr>
            <w:vanish/>
          </w:rPr>
          <w:fldChar w:fldCharType="begin"/>
        </w:r>
        <w:r w:rsidR="005E03F7" w:rsidRPr="005E03F7">
          <w:rPr>
            <w:vanish/>
          </w:rPr>
          <w:instrText xml:space="preserve"> PAGEREF _Toc83625799 \h </w:instrText>
        </w:r>
        <w:r w:rsidR="005E03F7" w:rsidRPr="005E03F7">
          <w:rPr>
            <w:vanish/>
          </w:rPr>
        </w:r>
        <w:r w:rsidR="005E03F7" w:rsidRPr="005E03F7">
          <w:rPr>
            <w:vanish/>
          </w:rPr>
          <w:fldChar w:fldCharType="separate"/>
        </w:r>
        <w:r w:rsidR="005C5D7F">
          <w:rPr>
            <w:vanish/>
          </w:rPr>
          <w:t>341</w:t>
        </w:r>
        <w:r w:rsidR="005E03F7" w:rsidRPr="005E03F7">
          <w:rPr>
            <w:vanish/>
          </w:rPr>
          <w:fldChar w:fldCharType="end"/>
        </w:r>
      </w:hyperlink>
    </w:p>
    <w:p w14:paraId="63EC030E" w14:textId="7609D75A" w:rsidR="005E03F7" w:rsidRDefault="005E03F7">
      <w:pPr>
        <w:pStyle w:val="TOC5"/>
        <w:rPr>
          <w:rFonts w:asciiTheme="minorHAnsi" w:eastAsiaTheme="minorEastAsia" w:hAnsiTheme="minorHAnsi" w:cstheme="minorBidi"/>
          <w:sz w:val="22"/>
          <w:szCs w:val="22"/>
          <w:lang w:eastAsia="en-AU"/>
        </w:rPr>
      </w:pPr>
      <w:r>
        <w:tab/>
      </w:r>
      <w:hyperlink w:anchor="_Toc83625800" w:history="1">
        <w:r w:rsidRPr="00D90FEA">
          <w:t>396</w:t>
        </w:r>
        <w:r>
          <w:rPr>
            <w:rFonts w:asciiTheme="minorHAnsi" w:eastAsiaTheme="minorEastAsia" w:hAnsiTheme="minorHAnsi" w:cstheme="minorBidi"/>
            <w:sz w:val="22"/>
            <w:szCs w:val="22"/>
            <w:lang w:eastAsia="en-AU"/>
          </w:rPr>
          <w:tab/>
        </w:r>
        <w:r w:rsidRPr="00D90FEA">
          <w:t>Owner must maintain odometer</w:t>
        </w:r>
        <w:r>
          <w:tab/>
        </w:r>
        <w:r>
          <w:fldChar w:fldCharType="begin"/>
        </w:r>
        <w:r>
          <w:instrText xml:space="preserve"> PAGEREF _Toc83625800 \h </w:instrText>
        </w:r>
        <w:r>
          <w:fldChar w:fldCharType="separate"/>
        </w:r>
        <w:r w:rsidR="005C5D7F">
          <w:t>341</w:t>
        </w:r>
        <w:r>
          <w:fldChar w:fldCharType="end"/>
        </w:r>
      </w:hyperlink>
    </w:p>
    <w:p w14:paraId="703E1FCD" w14:textId="3BD93A33" w:rsidR="005E03F7" w:rsidRDefault="005E03F7">
      <w:pPr>
        <w:pStyle w:val="TOC5"/>
        <w:rPr>
          <w:rFonts w:asciiTheme="minorHAnsi" w:eastAsiaTheme="minorEastAsia" w:hAnsiTheme="minorHAnsi" w:cstheme="minorBidi"/>
          <w:sz w:val="22"/>
          <w:szCs w:val="22"/>
          <w:lang w:eastAsia="en-AU"/>
        </w:rPr>
      </w:pPr>
      <w:r>
        <w:tab/>
      </w:r>
      <w:hyperlink w:anchor="_Toc83625801" w:history="1">
        <w:r w:rsidRPr="00D90FEA">
          <w:t>397</w:t>
        </w:r>
        <w:r>
          <w:rPr>
            <w:rFonts w:asciiTheme="minorHAnsi" w:eastAsiaTheme="minorEastAsia" w:hAnsiTheme="minorHAnsi" w:cstheme="minorBidi"/>
            <w:sz w:val="22"/>
            <w:szCs w:val="22"/>
            <w:lang w:eastAsia="en-AU"/>
          </w:rPr>
          <w:tab/>
        </w:r>
        <w:r w:rsidRPr="00D90FEA">
          <w:t>Driver must report malfunctioning odometer</w:t>
        </w:r>
        <w:r>
          <w:tab/>
        </w:r>
        <w:r>
          <w:fldChar w:fldCharType="begin"/>
        </w:r>
        <w:r>
          <w:instrText xml:space="preserve"> PAGEREF _Toc83625801 \h </w:instrText>
        </w:r>
        <w:r>
          <w:fldChar w:fldCharType="separate"/>
        </w:r>
        <w:r w:rsidR="005C5D7F">
          <w:t>341</w:t>
        </w:r>
        <w:r>
          <w:fldChar w:fldCharType="end"/>
        </w:r>
      </w:hyperlink>
    </w:p>
    <w:p w14:paraId="1A56F502" w14:textId="5BB97319" w:rsidR="005E03F7" w:rsidRDefault="005E03F7">
      <w:pPr>
        <w:pStyle w:val="TOC5"/>
        <w:rPr>
          <w:rFonts w:asciiTheme="minorHAnsi" w:eastAsiaTheme="minorEastAsia" w:hAnsiTheme="minorHAnsi" w:cstheme="minorBidi"/>
          <w:sz w:val="22"/>
          <w:szCs w:val="22"/>
          <w:lang w:eastAsia="en-AU"/>
        </w:rPr>
      </w:pPr>
      <w:r>
        <w:tab/>
      </w:r>
      <w:hyperlink w:anchor="_Toc83625802" w:history="1">
        <w:r w:rsidRPr="00D90FEA">
          <w:t>398</w:t>
        </w:r>
        <w:r>
          <w:rPr>
            <w:rFonts w:asciiTheme="minorHAnsi" w:eastAsiaTheme="minorEastAsia" w:hAnsiTheme="minorHAnsi" w:cstheme="minorBidi"/>
            <w:sz w:val="22"/>
            <w:szCs w:val="22"/>
            <w:lang w:eastAsia="en-AU"/>
          </w:rPr>
          <w:tab/>
        </w:r>
        <w:r w:rsidRPr="00D90FEA">
          <w:t>What owner must do if odometer malfunctioning</w:t>
        </w:r>
        <w:r>
          <w:tab/>
        </w:r>
        <w:r>
          <w:fldChar w:fldCharType="begin"/>
        </w:r>
        <w:r>
          <w:instrText xml:space="preserve"> PAGEREF _Toc83625802 \h </w:instrText>
        </w:r>
        <w:r>
          <w:fldChar w:fldCharType="separate"/>
        </w:r>
        <w:r w:rsidR="005C5D7F">
          <w:t>342</w:t>
        </w:r>
        <w:r>
          <w:fldChar w:fldCharType="end"/>
        </w:r>
      </w:hyperlink>
    </w:p>
    <w:p w14:paraId="1502192F" w14:textId="709A8461" w:rsidR="005E03F7" w:rsidRDefault="005E03F7">
      <w:pPr>
        <w:pStyle w:val="TOC5"/>
        <w:rPr>
          <w:rFonts w:asciiTheme="minorHAnsi" w:eastAsiaTheme="minorEastAsia" w:hAnsiTheme="minorHAnsi" w:cstheme="minorBidi"/>
          <w:sz w:val="22"/>
          <w:szCs w:val="22"/>
          <w:lang w:eastAsia="en-AU"/>
        </w:rPr>
      </w:pPr>
      <w:r>
        <w:tab/>
      </w:r>
      <w:hyperlink w:anchor="_Toc83625803" w:history="1">
        <w:r w:rsidRPr="00D90FEA">
          <w:t>399</w:t>
        </w:r>
        <w:r>
          <w:rPr>
            <w:rFonts w:asciiTheme="minorHAnsi" w:eastAsiaTheme="minorEastAsia" w:hAnsiTheme="minorHAnsi" w:cstheme="minorBidi"/>
            <w:sz w:val="22"/>
            <w:szCs w:val="22"/>
            <w:lang w:eastAsia="en-AU"/>
          </w:rPr>
          <w:tab/>
        </w:r>
        <w:r w:rsidRPr="00D90FEA">
          <w:t>What employer or operator must do if odometer malfunctioning</w:t>
        </w:r>
        <w:r>
          <w:tab/>
        </w:r>
        <w:r>
          <w:fldChar w:fldCharType="begin"/>
        </w:r>
        <w:r>
          <w:instrText xml:space="preserve"> PAGEREF _Toc83625803 \h </w:instrText>
        </w:r>
        <w:r>
          <w:fldChar w:fldCharType="separate"/>
        </w:r>
        <w:r w:rsidR="005C5D7F">
          <w:t>342</w:t>
        </w:r>
        <w:r>
          <w:fldChar w:fldCharType="end"/>
        </w:r>
      </w:hyperlink>
    </w:p>
    <w:p w14:paraId="0C8CD02F" w14:textId="756A2154" w:rsidR="005E03F7" w:rsidRDefault="00856BEE">
      <w:pPr>
        <w:pStyle w:val="TOC1"/>
        <w:rPr>
          <w:rFonts w:asciiTheme="minorHAnsi" w:eastAsiaTheme="minorEastAsia" w:hAnsiTheme="minorHAnsi" w:cstheme="minorBidi"/>
          <w:b w:val="0"/>
          <w:sz w:val="22"/>
          <w:szCs w:val="22"/>
          <w:lang w:eastAsia="en-AU"/>
        </w:rPr>
      </w:pPr>
      <w:hyperlink w:anchor="_Toc83625804" w:history="1">
        <w:r w:rsidR="005E03F7" w:rsidRPr="00D90FEA">
          <w:t xml:space="preserve">Chapter 7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Intelligent Access Program</w:t>
        </w:r>
        <w:r w:rsidR="005E03F7" w:rsidRPr="005E03F7">
          <w:rPr>
            <w:vanish/>
          </w:rPr>
          <w:tab/>
        </w:r>
        <w:r w:rsidR="005E03F7" w:rsidRPr="005E03F7">
          <w:rPr>
            <w:vanish/>
          </w:rPr>
          <w:fldChar w:fldCharType="begin"/>
        </w:r>
        <w:r w:rsidR="005E03F7" w:rsidRPr="005E03F7">
          <w:rPr>
            <w:vanish/>
          </w:rPr>
          <w:instrText xml:space="preserve"> PAGEREF _Toc83625804 \h </w:instrText>
        </w:r>
        <w:r w:rsidR="005E03F7" w:rsidRPr="005E03F7">
          <w:rPr>
            <w:vanish/>
          </w:rPr>
        </w:r>
        <w:r w:rsidR="005E03F7" w:rsidRPr="005E03F7">
          <w:rPr>
            <w:vanish/>
          </w:rPr>
          <w:fldChar w:fldCharType="separate"/>
        </w:r>
        <w:r w:rsidR="005C5D7F">
          <w:rPr>
            <w:vanish/>
          </w:rPr>
          <w:t>343</w:t>
        </w:r>
        <w:r w:rsidR="005E03F7" w:rsidRPr="005E03F7">
          <w:rPr>
            <w:vanish/>
          </w:rPr>
          <w:fldChar w:fldCharType="end"/>
        </w:r>
      </w:hyperlink>
    </w:p>
    <w:p w14:paraId="111B3FB8" w14:textId="2966ECED" w:rsidR="005E03F7" w:rsidRDefault="00856BEE">
      <w:pPr>
        <w:pStyle w:val="TOC2"/>
        <w:rPr>
          <w:rFonts w:asciiTheme="minorHAnsi" w:eastAsiaTheme="minorEastAsia" w:hAnsiTheme="minorHAnsi" w:cstheme="minorBidi"/>
          <w:b w:val="0"/>
          <w:sz w:val="22"/>
          <w:szCs w:val="22"/>
          <w:lang w:eastAsia="en-AU"/>
        </w:rPr>
      </w:pPr>
      <w:hyperlink w:anchor="_Toc83625805" w:history="1">
        <w:r w:rsidR="005E03F7" w:rsidRPr="00D90FEA">
          <w:t xml:space="preserve">Part 7.1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Preliminary</w:t>
        </w:r>
        <w:r w:rsidR="005E03F7" w:rsidRPr="005E03F7">
          <w:rPr>
            <w:vanish/>
          </w:rPr>
          <w:tab/>
        </w:r>
        <w:r w:rsidR="005E03F7" w:rsidRPr="005E03F7">
          <w:rPr>
            <w:vanish/>
          </w:rPr>
          <w:fldChar w:fldCharType="begin"/>
        </w:r>
        <w:r w:rsidR="005E03F7" w:rsidRPr="005E03F7">
          <w:rPr>
            <w:vanish/>
          </w:rPr>
          <w:instrText xml:space="preserve"> PAGEREF _Toc83625805 \h </w:instrText>
        </w:r>
        <w:r w:rsidR="005E03F7" w:rsidRPr="005E03F7">
          <w:rPr>
            <w:vanish/>
          </w:rPr>
        </w:r>
        <w:r w:rsidR="005E03F7" w:rsidRPr="005E03F7">
          <w:rPr>
            <w:vanish/>
          </w:rPr>
          <w:fldChar w:fldCharType="separate"/>
        </w:r>
        <w:r w:rsidR="005C5D7F">
          <w:rPr>
            <w:vanish/>
          </w:rPr>
          <w:t>343</w:t>
        </w:r>
        <w:r w:rsidR="005E03F7" w:rsidRPr="005E03F7">
          <w:rPr>
            <w:vanish/>
          </w:rPr>
          <w:fldChar w:fldCharType="end"/>
        </w:r>
      </w:hyperlink>
    </w:p>
    <w:p w14:paraId="5D682280" w14:textId="3E986054" w:rsidR="005E03F7" w:rsidRDefault="005E03F7">
      <w:pPr>
        <w:pStyle w:val="TOC5"/>
        <w:rPr>
          <w:rFonts w:asciiTheme="minorHAnsi" w:eastAsiaTheme="minorEastAsia" w:hAnsiTheme="minorHAnsi" w:cstheme="minorBidi"/>
          <w:sz w:val="22"/>
          <w:szCs w:val="22"/>
          <w:lang w:eastAsia="en-AU"/>
        </w:rPr>
      </w:pPr>
      <w:r>
        <w:tab/>
      </w:r>
      <w:hyperlink w:anchor="_Toc83625806" w:history="1">
        <w:r w:rsidRPr="00D90FEA">
          <w:t>400</w:t>
        </w:r>
        <w:r>
          <w:rPr>
            <w:rFonts w:asciiTheme="minorHAnsi" w:eastAsiaTheme="minorEastAsia" w:hAnsiTheme="minorHAnsi" w:cstheme="minorBidi"/>
            <w:sz w:val="22"/>
            <w:szCs w:val="22"/>
            <w:lang w:eastAsia="en-AU"/>
          </w:rPr>
          <w:tab/>
        </w:r>
        <w:r w:rsidRPr="00D90FEA">
          <w:t>Main purposes of Ch 7</w:t>
        </w:r>
        <w:r>
          <w:tab/>
        </w:r>
        <w:r>
          <w:fldChar w:fldCharType="begin"/>
        </w:r>
        <w:r>
          <w:instrText xml:space="preserve"> PAGEREF _Toc83625806 \h </w:instrText>
        </w:r>
        <w:r>
          <w:fldChar w:fldCharType="separate"/>
        </w:r>
        <w:r w:rsidR="005C5D7F">
          <w:t>343</w:t>
        </w:r>
        <w:r>
          <w:fldChar w:fldCharType="end"/>
        </w:r>
      </w:hyperlink>
    </w:p>
    <w:p w14:paraId="7F006C3A" w14:textId="14C09363" w:rsidR="005E03F7" w:rsidRDefault="005E03F7">
      <w:pPr>
        <w:pStyle w:val="TOC5"/>
        <w:rPr>
          <w:rFonts w:asciiTheme="minorHAnsi" w:eastAsiaTheme="minorEastAsia" w:hAnsiTheme="minorHAnsi" w:cstheme="minorBidi"/>
          <w:sz w:val="22"/>
          <w:szCs w:val="22"/>
          <w:lang w:eastAsia="en-AU"/>
        </w:rPr>
      </w:pPr>
      <w:r>
        <w:tab/>
      </w:r>
      <w:hyperlink w:anchor="_Toc83625807" w:history="1">
        <w:r w:rsidRPr="00D90FEA">
          <w:t>401</w:t>
        </w:r>
        <w:r>
          <w:rPr>
            <w:rFonts w:asciiTheme="minorHAnsi" w:eastAsiaTheme="minorEastAsia" w:hAnsiTheme="minorHAnsi" w:cstheme="minorBidi"/>
            <w:sz w:val="22"/>
            <w:szCs w:val="22"/>
            <w:lang w:eastAsia="en-AU"/>
          </w:rPr>
          <w:tab/>
        </w:r>
        <w:r w:rsidRPr="00D90FEA">
          <w:t>What the Intelligent Access Program is</w:t>
        </w:r>
        <w:r>
          <w:tab/>
        </w:r>
        <w:r>
          <w:fldChar w:fldCharType="begin"/>
        </w:r>
        <w:r>
          <w:instrText xml:space="preserve"> PAGEREF _Toc83625807 \h </w:instrText>
        </w:r>
        <w:r>
          <w:fldChar w:fldCharType="separate"/>
        </w:r>
        <w:r w:rsidR="005C5D7F">
          <w:t>344</w:t>
        </w:r>
        <w:r>
          <w:fldChar w:fldCharType="end"/>
        </w:r>
      </w:hyperlink>
    </w:p>
    <w:p w14:paraId="4E44E435" w14:textId="65B24732" w:rsidR="005E03F7" w:rsidRDefault="005E03F7">
      <w:pPr>
        <w:pStyle w:val="TOC5"/>
        <w:rPr>
          <w:rFonts w:asciiTheme="minorHAnsi" w:eastAsiaTheme="minorEastAsia" w:hAnsiTheme="minorHAnsi" w:cstheme="minorBidi"/>
          <w:sz w:val="22"/>
          <w:szCs w:val="22"/>
          <w:lang w:eastAsia="en-AU"/>
        </w:rPr>
      </w:pPr>
      <w:r>
        <w:tab/>
      </w:r>
      <w:hyperlink w:anchor="_Toc83625808" w:history="1">
        <w:r w:rsidRPr="00D90FEA">
          <w:t>402</w:t>
        </w:r>
        <w:r>
          <w:rPr>
            <w:rFonts w:asciiTheme="minorHAnsi" w:eastAsiaTheme="minorEastAsia" w:hAnsiTheme="minorHAnsi" w:cstheme="minorBidi"/>
            <w:sz w:val="22"/>
            <w:szCs w:val="22"/>
            <w:lang w:eastAsia="en-AU"/>
          </w:rPr>
          <w:tab/>
        </w:r>
        <w:r w:rsidRPr="00D90FEA">
          <w:t>Application of Ch 7</w:t>
        </w:r>
        <w:r>
          <w:tab/>
        </w:r>
        <w:r>
          <w:fldChar w:fldCharType="begin"/>
        </w:r>
        <w:r>
          <w:instrText xml:space="preserve"> PAGEREF _Toc83625808 \h </w:instrText>
        </w:r>
        <w:r>
          <w:fldChar w:fldCharType="separate"/>
        </w:r>
        <w:r w:rsidR="005C5D7F">
          <w:t>344</w:t>
        </w:r>
        <w:r>
          <w:fldChar w:fldCharType="end"/>
        </w:r>
      </w:hyperlink>
    </w:p>
    <w:p w14:paraId="43F397E6" w14:textId="2D517799" w:rsidR="005E03F7" w:rsidRDefault="005E03F7">
      <w:pPr>
        <w:pStyle w:val="TOC5"/>
        <w:rPr>
          <w:rFonts w:asciiTheme="minorHAnsi" w:eastAsiaTheme="minorEastAsia" w:hAnsiTheme="minorHAnsi" w:cstheme="minorBidi"/>
          <w:sz w:val="22"/>
          <w:szCs w:val="22"/>
          <w:lang w:eastAsia="en-AU"/>
        </w:rPr>
      </w:pPr>
      <w:r>
        <w:tab/>
      </w:r>
      <w:hyperlink w:anchor="_Toc83625809" w:history="1">
        <w:r w:rsidRPr="00D90FEA">
          <w:t>403</w:t>
        </w:r>
        <w:r>
          <w:rPr>
            <w:rFonts w:asciiTheme="minorHAnsi" w:eastAsiaTheme="minorEastAsia" w:hAnsiTheme="minorHAnsi" w:cstheme="minorBidi"/>
            <w:sz w:val="22"/>
            <w:szCs w:val="22"/>
            <w:lang w:eastAsia="en-AU"/>
          </w:rPr>
          <w:tab/>
        </w:r>
        <w:r w:rsidRPr="00D90FEA">
          <w:t>Definitions for Ch 7</w:t>
        </w:r>
        <w:r>
          <w:tab/>
        </w:r>
        <w:r>
          <w:fldChar w:fldCharType="begin"/>
        </w:r>
        <w:r>
          <w:instrText xml:space="preserve"> PAGEREF _Toc83625809 \h </w:instrText>
        </w:r>
        <w:r>
          <w:fldChar w:fldCharType="separate"/>
        </w:r>
        <w:r w:rsidR="005C5D7F">
          <w:t>346</w:t>
        </w:r>
        <w:r>
          <w:fldChar w:fldCharType="end"/>
        </w:r>
      </w:hyperlink>
    </w:p>
    <w:p w14:paraId="731739CE" w14:textId="15946C3B" w:rsidR="005E03F7" w:rsidRDefault="00856BEE">
      <w:pPr>
        <w:pStyle w:val="TOC2"/>
        <w:rPr>
          <w:rFonts w:asciiTheme="minorHAnsi" w:eastAsiaTheme="minorEastAsia" w:hAnsiTheme="minorHAnsi" w:cstheme="minorBidi"/>
          <w:b w:val="0"/>
          <w:sz w:val="22"/>
          <w:szCs w:val="22"/>
          <w:lang w:eastAsia="en-AU"/>
        </w:rPr>
      </w:pPr>
      <w:hyperlink w:anchor="_Toc83625810" w:history="1">
        <w:r w:rsidR="005E03F7" w:rsidRPr="00D90FEA">
          <w:t xml:space="preserve">Part 7.2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Duties and obligations of operators of intelligent access program vehicles</w:t>
        </w:r>
        <w:r w:rsidR="005E03F7" w:rsidRPr="005E03F7">
          <w:rPr>
            <w:vanish/>
          </w:rPr>
          <w:tab/>
        </w:r>
        <w:r w:rsidR="005E03F7" w:rsidRPr="005E03F7">
          <w:rPr>
            <w:vanish/>
          </w:rPr>
          <w:fldChar w:fldCharType="begin"/>
        </w:r>
        <w:r w:rsidR="005E03F7" w:rsidRPr="005E03F7">
          <w:rPr>
            <w:vanish/>
          </w:rPr>
          <w:instrText xml:space="preserve"> PAGEREF _Toc83625810 \h </w:instrText>
        </w:r>
        <w:r w:rsidR="005E03F7" w:rsidRPr="005E03F7">
          <w:rPr>
            <w:vanish/>
          </w:rPr>
        </w:r>
        <w:r w:rsidR="005E03F7" w:rsidRPr="005E03F7">
          <w:rPr>
            <w:vanish/>
          </w:rPr>
          <w:fldChar w:fldCharType="separate"/>
        </w:r>
        <w:r w:rsidR="005C5D7F">
          <w:rPr>
            <w:vanish/>
          </w:rPr>
          <w:t>350</w:t>
        </w:r>
        <w:r w:rsidR="005E03F7" w:rsidRPr="005E03F7">
          <w:rPr>
            <w:vanish/>
          </w:rPr>
          <w:fldChar w:fldCharType="end"/>
        </w:r>
      </w:hyperlink>
    </w:p>
    <w:p w14:paraId="5D117936" w14:textId="00E260A8" w:rsidR="005E03F7" w:rsidRDefault="005E03F7">
      <w:pPr>
        <w:pStyle w:val="TOC5"/>
        <w:rPr>
          <w:rFonts w:asciiTheme="minorHAnsi" w:eastAsiaTheme="minorEastAsia" w:hAnsiTheme="minorHAnsi" w:cstheme="minorBidi"/>
          <w:sz w:val="22"/>
          <w:szCs w:val="22"/>
          <w:lang w:eastAsia="en-AU"/>
        </w:rPr>
      </w:pPr>
      <w:r>
        <w:tab/>
      </w:r>
      <w:hyperlink w:anchor="_Toc83625811" w:history="1">
        <w:r w:rsidRPr="00D90FEA">
          <w:t>404</w:t>
        </w:r>
        <w:r>
          <w:rPr>
            <w:rFonts w:asciiTheme="minorHAnsi" w:eastAsiaTheme="minorEastAsia" w:hAnsiTheme="minorHAnsi" w:cstheme="minorBidi"/>
            <w:sz w:val="22"/>
            <w:szCs w:val="22"/>
            <w:lang w:eastAsia="en-AU"/>
          </w:rPr>
          <w:tab/>
        </w:r>
        <w:r w:rsidRPr="00D90FEA">
          <w:t>Offence to give false or misleading information to intelligent access program  service provider</w:t>
        </w:r>
        <w:r>
          <w:tab/>
        </w:r>
        <w:r>
          <w:fldChar w:fldCharType="begin"/>
        </w:r>
        <w:r>
          <w:instrText xml:space="preserve"> PAGEREF _Toc83625811 \h </w:instrText>
        </w:r>
        <w:r>
          <w:fldChar w:fldCharType="separate"/>
        </w:r>
        <w:r w:rsidR="005C5D7F">
          <w:t>350</w:t>
        </w:r>
        <w:r>
          <w:fldChar w:fldCharType="end"/>
        </w:r>
      </w:hyperlink>
    </w:p>
    <w:p w14:paraId="026403AF" w14:textId="13DD0410" w:rsidR="005E03F7" w:rsidRDefault="005E03F7">
      <w:pPr>
        <w:pStyle w:val="TOC5"/>
        <w:rPr>
          <w:rFonts w:asciiTheme="minorHAnsi" w:eastAsiaTheme="minorEastAsia" w:hAnsiTheme="minorHAnsi" w:cstheme="minorBidi"/>
          <w:sz w:val="22"/>
          <w:szCs w:val="22"/>
          <w:lang w:eastAsia="en-AU"/>
        </w:rPr>
      </w:pPr>
      <w:r>
        <w:tab/>
      </w:r>
      <w:hyperlink w:anchor="_Toc83625812" w:history="1">
        <w:r w:rsidRPr="00D90FEA">
          <w:t>405</w:t>
        </w:r>
        <w:r>
          <w:rPr>
            <w:rFonts w:asciiTheme="minorHAnsi" w:eastAsiaTheme="minorEastAsia" w:hAnsiTheme="minorHAnsi" w:cstheme="minorBidi"/>
            <w:sz w:val="22"/>
            <w:szCs w:val="22"/>
            <w:lang w:eastAsia="en-AU"/>
          </w:rPr>
          <w:tab/>
        </w:r>
        <w:r w:rsidRPr="00D90FEA">
          <w:t>Advising vehicle driver of collection of information by intelligent access program service provider</w:t>
        </w:r>
        <w:r>
          <w:tab/>
        </w:r>
        <w:r>
          <w:fldChar w:fldCharType="begin"/>
        </w:r>
        <w:r>
          <w:instrText xml:space="preserve"> PAGEREF _Toc83625812 \h </w:instrText>
        </w:r>
        <w:r>
          <w:fldChar w:fldCharType="separate"/>
        </w:r>
        <w:r w:rsidR="005C5D7F">
          <w:t>351</w:t>
        </w:r>
        <w:r>
          <w:fldChar w:fldCharType="end"/>
        </w:r>
      </w:hyperlink>
    </w:p>
    <w:p w14:paraId="51EDF5BD" w14:textId="66F89097" w:rsidR="005E03F7" w:rsidRDefault="005E03F7">
      <w:pPr>
        <w:pStyle w:val="TOC5"/>
        <w:rPr>
          <w:rFonts w:asciiTheme="minorHAnsi" w:eastAsiaTheme="minorEastAsia" w:hAnsiTheme="minorHAnsi" w:cstheme="minorBidi"/>
          <w:sz w:val="22"/>
          <w:szCs w:val="22"/>
          <w:lang w:eastAsia="en-AU"/>
        </w:rPr>
      </w:pPr>
      <w:r>
        <w:tab/>
      </w:r>
      <w:hyperlink w:anchor="_Toc83625813" w:history="1">
        <w:r w:rsidRPr="00D90FEA">
          <w:t>406</w:t>
        </w:r>
        <w:r>
          <w:rPr>
            <w:rFonts w:asciiTheme="minorHAnsi" w:eastAsiaTheme="minorEastAsia" w:hAnsiTheme="minorHAnsi" w:cstheme="minorBidi"/>
            <w:sz w:val="22"/>
            <w:szCs w:val="22"/>
            <w:lang w:eastAsia="en-AU"/>
          </w:rPr>
          <w:tab/>
        </w:r>
        <w:r w:rsidRPr="00D90FEA">
          <w:t>Reporting system malfunctions to Regulator</w:t>
        </w:r>
        <w:r>
          <w:tab/>
        </w:r>
        <w:r>
          <w:fldChar w:fldCharType="begin"/>
        </w:r>
        <w:r>
          <w:instrText xml:space="preserve"> PAGEREF _Toc83625813 \h </w:instrText>
        </w:r>
        <w:r>
          <w:fldChar w:fldCharType="separate"/>
        </w:r>
        <w:r w:rsidR="005C5D7F">
          <w:t>353</w:t>
        </w:r>
        <w:r>
          <w:fldChar w:fldCharType="end"/>
        </w:r>
      </w:hyperlink>
    </w:p>
    <w:p w14:paraId="30F93119" w14:textId="35D9A386" w:rsidR="005E03F7" w:rsidRDefault="005E03F7">
      <w:pPr>
        <w:pStyle w:val="TOC5"/>
        <w:rPr>
          <w:rFonts w:asciiTheme="minorHAnsi" w:eastAsiaTheme="minorEastAsia" w:hAnsiTheme="minorHAnsi" w:cstheme="minorBidi"/>
          <w:sz w:val="22"/>
          <w:szCs w:val="22"/>
          <w:lang w:eastAsia="en-AU"/>
        </w:rPr>
      </w:pPr>
      <w:r>
        <w:tab/>
      </w:r>
      <w:hyperlink w:anchor="_Toc83625814" w:history="1">
        <w:r w:rsidRPr="00D90FEA">
          <w:t>407</w:t>
        </w:r>
        <w:r>
          <w:rPr>
            <w:rFonts w:asciiTheme="minorHAnsi" w:eastAsiaTheme="minorEastAsia" w:hAnsiTheme="minorHAnsi" w:cstheme="minorBidi"/>
            <w:sz w:val="22"/>
            <w:szCs w:val="22"/>
            <w:lang w:eastAsia="en-AU"/>
          </w:rPr>
          <w:tab/>
        </w:r>
        <w:r w:rsidRPr="00D90FEA">
          <w:t>Advising driver of driver’s obligations about reporting system malfunctions</w:t>
        </w:r>
        <w:r>
          <w:tab/>
        </w:r>
        <w:r>
          <w:fldChar w:fldCharType="begin"/>
        </w:r>
        <w:r>
          <w:instrText xml:space="preserve"> PAGEREF _Toc83625814 \h </w:instrText>
        </w:r>
        <w:r>
          <w:fldChar w:fldCharType="separate"/>
        </w:r>
        <w:r w:rsidR="005C5D7F">
          <w:t>354</w:t>
        </w:r>
        <w:r>
          <w:fldChar w:fldCharType="end"/>
        </w:r>
      </w:hyperlink>
    </w:p>
    <w:p w14:paraId="62DD69F7" w14:textId="4BC398B1" w:rsidR="005E03F7" w:rsidRDefault="00856BEE">
      <w:pPr>
        <w:pStyle w:val="TOC2"/>
        <w:rPr>
          <w:rFonts w:asciiTheme="minorHAnsi" w:eastAsiaTheme="minorEastAsia" w:hAnsiTheme="minorHAnsi" w:cstheme="minorBidi"/>
          <w:b w:val="0"/>
          <w:sz w:val="22"/>
          <w:szCs w:val="22"/>
          <w:lang w:eastAsia="en-AU"/>
        </w:rPr>
      </w:pPr>
      <w:hyperlink w:anchor="_Toc83625815" w:history="1">
        <w:r w:rsidR="005E03F7" w:rsidRPr="00D90FEA">
          <w:t xml:space="preserve">Part 7.3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Obligations of drivers of intelligent access program vehicles</w:t>
        </w:r>
        <w:r w:rsidR="005E03F7" w:rsidRPr="005E03F7">
          <w:rPr>
            <w:vanish/>
          </w:rPr>
          <w:tab/>
        </w:r>
        <w:r w:rsidR="005E03F7" w:rsidRPr="005E03F7">
          <w:rPr>
            <w:vanish/>
          </w:rPr>
          <w:fldChar w:fldCharType="begin"/>
        </w:r>
        <w:r w:rsidR="005E03F7" w:rsidRPr="005E03F7">
          <w:rPr>
            <w:vanish/>
          </w:rPr>
          <w:instrText xml:space="preserve"> PAGEREF _Toc83625815 \h </w:instrText>
        </w:r>
        <w:r w:rsidR="005E03F7" w:rsidRPr="005E03F7">
          <w:rPr>
            <w:vanish/>
          </w:rPr>
        </w:r>
        <w:r w:rsidR="005E03F7" w:rsidRPr="005E03F7">
          <w:rPr>
            <w:vanish/>
          </w:rPr>
          <w:fldChar w:fldCharType="separate"/>
        </w:r>
        <w:r w:rsidR="005C5D7F">
          <w:rPr>
            <w:vanish/>
          </w:rPr>
          <w:t>355</w:t>
        </w:r>
        <w:r w:rsidR="005E03F7" w:rsidRPr="005E03F7">
          <w:rPr>
            <w:vanish/>
          </w:rPr>
          <w:fldChar w:fldCharType="end"/>
        </w:r>
      </w:hyperlink>
    </w:p>
    <w:p w14:paraId="6337196C" w14:textId="7D5F428D" w:rsidR="005E03F7" w:rsidRDefault="005E03F7">
      <w:pPr>
        <w:pStyle w:val="TOC5"/>
        <w:rPr>
          <w:rFonts w:asciiTheme="minorHAnsi" w:eastAsiaTheme="minorEastAsia" w:hAnsiTheme="minorHAnsi" w:cstheme="minorBidi"/>
          <w:sz w:val="22"/>
          <w:szCs w:val="22"/>
          <w:lang w:eastAsia="en-AU"/>
        </w:rPr>
      </w:pPr>
      <w:r>
        <w:tab/>
      </w:r>
      <w:hyperlink w:anchor="_Toc83625816" w:history="1">
        <w:r w:rsidRPr="00D90FEA">
          <w:t>408</w:t>
        </w:r>
        <w:r>
          <w:rPr>
            <w:rFonts w:asciiTheme="minorHAnsi" w:eastAsiaTheme="minorEastAsia" w:hAnsiTheme="minorHAnsi" w:cstheme="minorBidi"/>
            <w:sz w:val="22"/>
            <w:szCs w:val="22"/>
            <w:lang w:eastAsia="en-AU"/>
          </w:rPr>
          <w:tab/>
        </w:r>
        <w:r w:rsidRPr="00D90FEA">
          <w:t>Reporting system malfunctions to operator</w:t>
        </w:r>
        <w:r>
          <w:tab/>
        </w:r>
        <w:r>
          <w:fldChar w:fldCharType="begin"/>
        </w:r>
        <w:r>
          <w:instrText xml:space="preserve"> PAGEREF _Toc83625816 \h </w:instrText>
        </w:r>
        <w:r>
          <w:fldChar w:fldCharType="separate"/>
        </w:r>
        <w:r w:rsidR="005C5D7F">
          <w:t>355</w:t>
        </w:r>
        <w:r>
          <w:fldChar w:fldCharType="end"/>
        </w:r>
      </w:hyperlink>
    </w:p>
    <w:p w14:paraId="53D72544" w14:textId="512C4465" w:rsidR="005E03F7" w:rsidRDefault="00856BEE">
      <w:pPr>
        <w:pStyle w:val="TOC2"/>
        <w:rPr>
          <w:rFonts w:asciiTheme="minorHAnsi" w:eastAsiaTheme="minorEastAsia" w:hAnsiTheme="minorHAnsi" w:cstheme="minorBidi"/>
          <w:b w:val="0"/>
          <w:sz w:val="22"/>
          <w:szCs w:val="22"/>
          <w:lang w:eastAsia="en-AU"/>
        </w:rPr>
      </w:pPr>
      <w:hyperlink w:anchor="_Toc83625817" w:history="1">
        <w:r w:rsidR="005E03F7" w:rsidRPr="00D90FEA">
          <w:t xml:space="preserve">Part 7.4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Powers, duties and obligations of intelligent access program service providers</w:t>
        </w:r>
        <w:r w:rsidR="005E03F7" w:rsidRPr="005E03F7">
          <w:rPr>
            <w:vanish/>
          </w:rPr>
          <w:tab/>
        </w:r>
        <w:r w:rsidR="005E03F7" w:rsidRPr="005E03F7">
          <w:rPr>
            <w:vanish/>
          </w:rPr>
          <w:fldChar w:fldCharType="begin"/>
        </w:r>
        <w:r w:rsidR="005E03F7" w:rsidRPr="005E03F7">
          <w:rPr>
            <w:vanish/>
          </w:rPr>
          <w:instrText xml:space="preserve"> PAGEREF _Toc83625817 \h </w:instrText>
        </w:r>
        <w:r w:rsidR="005E03F7" w:rsidRPr="005E03F7">
          <w:rPr>
            <w:vanish/>
          </w:rPr>
        </w:r>
        <w:r w:rsidR="005E03F7" w:rsidRPr="005E03F7">
          <w:rPr>
            <w:vanish/>
          </w:rPr>
          <w:fldChar w:fldCharType="separate"/>
        </w:r>
        <w:r w:rsidR="005C5D7F">
          <w:rPr>
            <w:vanish/>
          </w:rPr>
          <w:t>357</w:t>
        </w:r>
        <w:r w:rsidR="005E03F7" w:rsidRPr="005E03F7">
          <w:rPr>
            <w:vanish/>
          </w:rPr>
          <w:fldChar w:fldCharType="end"/>
        </w:r>
      </w:hyperlink>
    </w:p>
    <w:p w14:paraId="7FBD8428" w14:textId="47A818F1" w:rsidR="005E03F7" w:rsidRDefault="005E03F7">
      <w:pPr>
        <w:pStyle w:val="TOC5"/>
        <w:rPr>
          <w:rFonts w:asciiTheme="minorHAnsi" w:eastAsiaTheme="minorEastAsia" w:hAnsiTheme="minorHAnsi" w:cstheme="minorBidi"/>
          <w:sz w:val="22"/>
          <w:szCs w:val="22"/>
          <w:lang w:eastAsia="en-AU"/>
        </w:rPr>
      </w:pPr>
      <w:r>
        <w:tab/>
      </w:r>
      <w:hyperlink w:anchor="_Toc83625818" w:history="1">
        <w:r w:rsidRPr="00D90FEA">
          <w:t>409</w:t>
        </w:r>
        <w:r>
          <w:rPr>
            <w:rFonts w:asciiTheme="minorHAnsi" w:eastAsiaTheme="minorEastAsia" w:hAnsiTheme="minorHAnsi" w:cstheme="minorBidi"/>
            <w:sz w:val="22"/>
            <w:szCs w:val="22"/>
            <w:lang w:eastAsia="en-AU"/>
          </w:rPr>
          <w:tab/>
        </w:r>
        <w:r w:rsidRPr="00D90FEA">
          <w:t>Powers to collect and hold intelligent access program information</w:t>
        </w:r>
        <w:r>
          <w:tab/>
        </w:r>
        <w:r>
          <w:fldChar w:fldCharType="begin"/>
        </w:r>
        <w:r>
          <w:instrText xml:space="preserve"> PAGEREF _Toc83625818 \h </w:instrText>
        </w:r>
        <w:r>
          <w:fldChar w:fldCharType="separate"/>
        </w:r>
        <w:r w:rsidR="005C5D7F">
          <w:t>357</w:t>
        </w:r>
        <w:r>
          <w:fldChar w:fldCharType="end"/>
        </w:r>
      </w:hyperlink>
    </w:p>
    <w:p w14:paraId="2483E64C" w14:textId="1FE0DFBF" w:rsidR="005E03F7" w:rsidRDefault="005E03F7">
      <w:pPr>
        <w:pStyle w:val="TOC5"/>
        <w:rPr>
          <w:rFonts w:asciiTheme="minorHAnsi" w:eastAsiaTheme="minorEastAsia" w:hAnsiTheme="minorHAnsi" w:cstheme="minorBidi"/>
          <w:sz w:val="22"/>
          <w:szCs w:val="22"/>
          <w:lang w:eastAsia="en-AU"/>
        </w:rPr>
      </w:pPr>
      <w:r>
        <w:tab/>
      </w:r>
      <w:hyperlink w:anchor="_Toc83625819" w:history="1">
        <w:r w:rsidRPr="00D90FEA">
          <w:t>410</w:t>
        </w:r>
        <w:r>
          <w:rPr>
            <w:rFonts w:asciiTheme="minorHAnsi" w:eastAsiaTheme="minorEastAsia" w:hAnsiTheme="minorHAnsi" w:cstheme="minorBidi"/>
            <w:sz w:val="22"/>
            <w:szCs w:val="22"/>
            <w:lang w:eastAsia="en-AU"/>
          </w:rPr>
          <w:tab/>
        </w:r>
        <w:r w:rsidRPr="00D90FEA">
          <w:t>Collecting intelligent access program information</w:t>
        </w:r>
        <w:r>
          <w:tab/>
        </w:r>
        <w:r>
          <w:fldChar w:fldCharType="begin"/>
        </w:r>
        <w:r>
          <w:instrText xml:space="preserve"> PAGEREF _Toc83625819 \h </w:instrText>
        </w:r>
        <w:r>
          <w:fldChar w:fldCharType="separate"/>
        </w:r>
        <w:r w:rsidR="005C5D7F">
          <w:t>357</w:t>
        </w:r>
        <w:r>
          <w:fldChar w:fldCharType="end"/>
        </w:r>
      </w:hyperlink>
    </w:p>
    <w:p w14:paraId="7326BD82" w14:textId="08FEFA72" w:rsidR="005E03F7" w:rsidRDefault="005E03F7">
      <w:pPr>
        <w:pStyle w:val="TOC5"/>
        <w:rPr>
          <w:rFonts w:asciiTheme="minorHAnsi" w:eastAsiaTheme="minorEastAsia" w:hAnsiTheme="minorHAnsi" w:cstheme="minorBidi"/>
          <w:sz w:val="22"/>
          <w:szCs w:val="22"/>
          <w:lang w:eastAsia="en-AU"/>
        </w:rPr>
      </w:pPr>
      <w:r>
        <w:lastRenderedPageBreak/>
        <w:tab/>
      </w:r>
      <w:hyperlink w:anchor="_Toc83625820" w:history="1">
        <w:r w:rsidRPr="00D90FEA">
          <w:t>411</w:t>
        </w:r>
        <w:r>
          <w:rPr>
            <w:rFonts w:asciiTheme="minorHAnsi" w:eastAsiaTheme="minorEastAsia" w:hAnsiTheme="minorHAnsi" w:cstheme="minorBidi"/>
            <w:sz w:val="22"/>
            <w:szCs w:val="22"/>
            <w:lang w:eastAsia="en-AU"/>
          </w:rPr>
          <w:tab/>
        </w:r>
        <w:r w:rsidRPr="00D90FEA">
          <w:t>Keeping records of intelligent access program information collected</w:t>
        </w:r>
        <w:r>
          <w:tab/>
        </w:r>
        <w:r>
          <w:fldChar w:fldCharType="begin"/>
        </w:r>
        <w:r>
          <w:instrText xml:space="preserve"> PAGEREF _Toc83625820 \h </w:instrText>
        </w:r>
        <w:r>
          <w:fldChar w:fldCharType="separate"/>
        </w:r>
        <w:r w:rsidR="005C5D7F">
          <w:t>358</w:t>
        </w:r>
        <w:r>
          <w:fldChar w:fldCharType="end"/>
        </w:r>
      </w:hyperlink>
    </w:p>
    <w:p w14:paraId="30412481" w14:textId="6451D661" w:rsidR="005E03F7" w:rsidRDefault="005E03F7">
      <w:pPr>
        <w:pStyle w:val="TOC5"/>
        <w:rPr>
          <w:rFonts w:asciiTheme="minorHAnsi" w:eastAsiaTheme="minorEastAsia" w:hAnsiTheme="minorHAnsi" w:cstheme="minorBidi"/>
          <w:sz w:val="22"/>
          <w:szCs w:val="22"/>
          <w:lang w:eastAsia="en-AU"/>
        </w:rPr>
      </w:pPr>
      <w:r>
        <w:tab/>
      </w:r>
      <w:hyperlink w:anchor="_Toc83625821" w:history="1">
        <w:r w:rsidRPr="00D90FEA">
          <w:t>412</w:t>
        </w:r>
        <w:r>
          <w:rPr>
            <w:rFonts w:asciiTheme="minorHAnsi" w:eastAsiaTheme="minorEastAsia" w:hAnsiTheme="minorHAnsi" w:cstheme="minorBidi"/>
            <w:sz w:val="22"/>
            <w:szCs w:val="22"/>
            <w:lang w:eastAsia="en-AU"/>
          </w:rPr>
          <w:tab/>
        </w:r>
        <w:r w:rsidRPr="00D90FEA">
          <w:t>Protecting intelligent access program information</w:t>
        </w:r>
        <w:r>
          <w:tab/>
        </w:r>
        <w:r>
          <w:fldChar w:fldCharType="begin"/>
        </w:r>
        <w:r>
          <w:instrText xml:space="preserve"> PAGEREF _Toc83625821 \h </w:instrText>
        </w:r>
        <w:r>
          <w:fldChar w:fldCharType="separate"/>
        </w:r>
        <w:r w:rsidR="005C5D7F">
          <w:t>358</w:t>
        </w:r>
        <w:r>
          <w:fldChar w:fldCharType="end"/>
        </w:r>
      </w:hyperlink>
    </w:p>
    <w:p w14:paraId="4E224181" w14:textId="5AFA3F0A" w:rsidR="005E03F7" w:rsidRDefault="005E03F7">
      <w:pPr>
        <w:pStyle w:val="TOC5"/>
        <w:rPr>
          <w:rFonts w:asciiTheme="minorHAnsi" w:eastAsiaTheme="minorEastAsia" w:hAnsiTheme="minorHAnsi" w:cstheme="minorBidi"/>
          <w:sz w:val="22"/>
          <w:szCs w:val="22"/>
          <w:lang w:eastAsia="en-AU"/>
        </w:rPr>
      </w:pPr>
      <w:r>
        <w:tab/>
      </w:r>
      <w:hyperlink w:anchor="_Toc83625822" w:history="1">
        <w:r w:rsidRPr="00D90FEA">
          <w:t>413</w:t>
        </w:r>
        <w:r>
          <w:rPr>
            <w:rFonts w:asciiTheme="minorHAnsi" w:eastAsiaTheme="minorEastAsia" w:hAnsiTheme="minorHAnsi" w:cstheme="minorBidi"/>
            <w:sz w:val="22"/>
            <w:szCs w:val="22"/>
            <w:lang w:eastAsia="en-AU"/>
          </w:rPr>
          <w:tab/>
        </w:r>
        <w:r w:rsidRPr="00D90FEA">
          <w:t>Making individuals aware of personal information held</w:t>
        </w:r>
        <w:r>
          <w:tab/>
        </w:r>
        <w:r>
          <w:fldChar w:fldCharType="begin"/>
        </w:r>
        <w:r>
          <w:instrText xml:space="preserve"> PAGEREF _Toc83625822 \h </w:instrText>
        </w:r>
        <w:r>
          <w:fldChar w:fldCharType="separate"/>
        </w:r>
        <w:r w:rsidR="005C5D7F">
          <w:t>358</w:t>
        </w:r>
        <w:r>
          <w:fldChar w:fldCharType="end"/>
        </w:r>
      </w:hyperlink>
    </w:p>
    <w:p w14:paraId="1337C722" w14:textId="46317B1A" w:rsidR="005E03F7" w:rsidRDefault="005E03F7">
      <w:pPr>
        <w:pStyle w:val="TOC5"/>
        <w:rPr>
          <w:rFonts w:asciiTheme="minorHAnsi" w:eastAsiaTheme="minorEastAsia" w:hAnsiTheme="minorHAnsi" w:cstheme="minorBidi"/>
          <w:sz w:val="22"/>
          <w:szCs w:val="22"/>
          <w:lang w:eastAsia="en-AU"/>
        </w:rPr>
      </w:pPr>
      <w:r>
        <w:tab/>
      </w:r>
      <w:hyperlink w:anchor="_Toc83625823" w:history="1">
        <w:r w:rsidRPr="00D90FEA">
          <w:t>414</w:t>
        </w:r>
        <w:r>
          <w:rPr>
            <w:rFonts w:asciiTheme="minorHAnsi" w:eastAsiaTheme="minorEastAsia" w:hAnsiTheme="minorHAnsi" w:cstheme="minorBidi"/>
            <w:sz w:val="22"/>
            <w:szCs w:val="22"/>
            <w:lang w:eastAsia="en-AU"/>
          </w:rPr>
          <w:tab/>
        </w:r>
        <w:r w:rsidRPr="00D90FEA">
          <w:t>Giving individuals access to their personal information</w:t>
        </w:r>
        <w:r>
          <w:tab/>
        </w:r>
        <w:r>
          <w:fldChar w:fldCharType="begin"/>
        </w:r>
        <w:r>
          <w:instrText xml:space="preserve"> PAGEREF _Toc83625823 \h </w:instrText>
        </w:r>
        <w:r>
          <w:fldChar w:fldCharType="separate"/>
        </w:r>
        <w:r w:rsidR="005C5D7F">
          <w:t>359</w:t>
        </w:r>
        <w:r>
          <w:fldChar w:fldCharType="end"/>
        </w:r>
      </w:hyperlink>
    </w:p>
    <w:p w14:paraId="5DDF31F3" w14:textId="0F8CBB50" w:rsidR="005E03F7" w:rsidRDefault="005E03F7">
      <w:pPr>
        <w:pStyle w:val="TOC5"/>
        <w:rPr>
          <w:rFonts w:asciiTheme="minorHAnsi" w:eastAsiaTheme="minorEastAsia" w:hAnsiTheme="minorHAnsi" w:cstheme="minorBidi"/>
          <w:sz w:val="22"/>
          <w:szCs w:val="22"/>
          <w:lang w:eastAsia="en-AU"/>
        </w:rPr>
      </w:pPr>
      <w:r>
        <w:tab/>
      </w:r>
      <w:hyperlink w:anchor="_Toc83625824" w:history="1">
        <w:r w:rsidRPr="00D90FEA">
          <w:t>415</w:t>
        </w:r>
        <w:r>
          <w:rPr>
            <w:rFonts w:asciiTheme="minorHAnsi" w:eastAsiaTheme="minorEastAsia" w:hAnsiTheme="minorHAnsi" w:cstheme="minorBidi"/>
            <w:sz w:val="22"/>
            <w:szCs w:val="22"/>
            <w:lang w:eastAsia="en-AU"/>
          </w:rPr>
          <w:tab/>
        </w:r>
        <w:r w:rsidRPr="00D90FEA">
          <w:t>Correcting errors etc.</w:t>
        </w:r>
        <w:r>
          <w:tab/>
        </w:r>
        <w:r>
          <w:fldChar w:fldCharType="begin"/>
        </w:r>
        <w:r>
          <w:instrText xml:space="preserve"> PAGEREF _Toc83625824 \h </w:instrText>
        </w:r>
        <w:r>
          <w:fldChar w:fldCharType="separate"/>
        </w:r>
        <w:r w:rsidR="005C5D7F">
          <w:t>360</w:t>
        </w:r>
        <w:r>
          <w:fldChar w:fldCharType="end"/>
        </w:r>
      </w:hyperlink>
    </w:p>
    <w:p w14:paraId="568C25DF" w14:textId="473E4F40" w:rsidR="005E03F7" w:rsidRDefault="005E03F7">
      <w:pPr>
        <w:pStyle w:val="TOC5"/>
        <w:rPr>
          <w:rFonts w:asciiTheme="minorHAnsi" w:eastAsiaTheme="minorEastAsia" w:hAnsiTheme="minorHAnsi" w:cstheme="minorBidi"/>
          <w:sz w:val="22"/>
          <w:szCs w:val="22"/>
          <w:lang w:eastAsia="en-AU"/>
        </w:rPr>
      </w:pPr>
      <w:r>
        <w:tab/>
      </w:r>
      <w:hyperlink w:anchor="_Toc83625825" w:history="1">
        <w:r w:rsidRPr="00D90FEA">
          <w:t>416</w:t>
        </w:r>
        <w:r>
          <w:rPr>
            <w:rFonts w:asciiTheme="minorHAnsi" w:eastAsiaTheme="minorEastAsia" w:hAnsiTheme="minorHAnsi" w:cstheme="minorBidi"/>
            <w:sz w:val="22"/>
            <w:szCs w:val="22"/>
            <w:lang w:eastAsia="en-AU"/>
          </w:rPr>
          <w:tab/>
        </w:r>
        <w:r w:rsidRPr="00D90FEA">
          <w:t>General restriction on use and disclosure of intelligent access program information</w:t>
        </w:r>
        <w:r>
          <w:tab/>
        </w:r>
        <w:r>
          <w:fldChar w:fldCharType="begin"/>
        </w:r>
        <w:r>
          <w:instrText xml:space="preserve"> PAGEREF _Toc83625825 \h </w:instrText>
        </w:r>
        <w:r>
          <w:fldChar w:fldCharType="separate"/>
        </w:r>
        <w:r w:rsidR="005C5D7F">
          <w:t>360</w:t>
        </w:r>
        <w:r>
          <w:fldChar w:fldCharType="end"/>
        </w:r>
      </w:hyperlink>
    </w:p>
    <w:p w14:paraId="5995B9BF" w14:textId="123241F9" w:rsidR="005E03F7" w:rsidRDefault="005E03F7">
      <w:pPr>
        <w:pStyle w:val="TOC5"/>
        <w:rPr>
          <w:rFonts w:asciiTheme="minorHAnsi" w:eastAsiaTheme="minorEastAsia" w:hAnsiTheme="minorHAnsi" w:cstheme="minorBidi"/>
          <w:sz w:val="22"/>
          <w:szCs w:val="22"/>
          <w:lang w:eastAsia="en-AU"/>
        </w:rPr>
      </w:pPr>
      <w:r>
        <w:tab/>
      </w:r>
      <w:hyperlink w:anchor="_Toc83625826" w:history="1">
        <w:r w:rsidRPr="00D90FEA">
          <w:t>417</w:t>
        </w:r>
        <w:r>
          <w:rPr>
            <w:rFonts w:asciiTheme="minorHAnsi" w:eastAsiaTheme="minorEastAsia" w:hAnsiTheme="minorHAnsi" w:cstheme="minorBidi"/>
            <w:sz w:val="22"/>
            <w:szCs w:val="22"/>
            <w:lang w:eastAsia="en-AU"/>
          </w:rPr>
          <w:tab/>
        </w:r>
        <w:r w:rsidRPr="00D90FEA">
          <w:t>Giving intelligent access program auditor access to records</w:t>
        </w:r>
        <w:r>
          <w:tab/>
        </w:r>
        <w:r>
          <w:fldChar w:fldCharType="begin"/>
        </w:r>
        <w:r>
          <w:instrText xml:space="preserve"> PAGEREF _Toc83625826 \h </w:instrText>
        </w:r>
        <w:r>
          <w:fldChar w:fldCharType="separate"/>
        </w:r>
        <w:r w:rsidR="005C5D7F">
          <w:t>361</w:t>
        </w:r>
        <w:r>
          <w:fldChar w:fldCharType="end"/>
        </w:r>
      </w:hyperlink>
    </w:p>
    <w:p w14:paraId="6003B724" w14:textId="0B696AA4" w:rsidR="005E03F7" w:rsidRDefault="005E03F7">
      <w:pPr>
        <w:pStyle w:val="TOC5"/>
        <w:rPr>
          <w:rFonts w:asciiTheme="minorHAnsi" w:eastAsiaTheme="minorEastAsia" w:hAnsiTheme="minorHAnsi" w:cstheme="minorBidi"/>
          <w:sz w:val="22"/>
          <w:szCs w:val="22"/>
          <w:lang w:eastAsia="en-AU"/>
        </w:rPr>
      </w:pPr>
      <w:r>
        <w:tab/>
      </w:r>
      <w:hyperlink w:anchor="_Toc83625827" w:history="1">
        <w:r w:rsidRPr="00D90FEA">
          <w:t>418</w:t>
        </w:r>
        <w:r>
          <w:rPr>
            <w:rFonts w:asciiTheme="minorHAnsi" w:eastAsiaTheme="minorEastAsia" w:hAnsiTheme="minorHAnsi" w:cstheme="minorBidi"/>
            <w:sz w:val="22"/>
            <w:szCs w:val="22"/>
            <w:lang w:eastAsia="en-AU"/>
          </w:rPr>
          <w:tab/>
        </w:r>
        <w:r w:rsidRPr="00D90FEA">
          <w:t>Powers to use and disclose intelligent access program information</w:t>
        </w:r>
        <w:r>
          <w:tab/>
        </w:r>
        <w:r>
          <w:fldChar w:fldCharType="begin"/>
        </w:r>
        <w:r>
          <w:instrText xml:space="preserve"> PAGEREF _Toc83625827 \h </w:instrText>
        </w:r>
        <w:r>
          <w:fldChar w:fldCharType="separate"/>
        </w:r>
        <w:r w:rsidR="005C5D7F">
          <w:t>361</w:t>
        </w:r>
        <w:r>
          <w:fldChar w:fldCharType="end"/>
        </w:r>
      </w:hyperlink>
    </w:p>
    <w:p w14:paraId="0995C95B" w14:textId="52E1ED5F" w:rsidR="005E03F7" w:rsidRDefault="005E03F7">
      <w:pPr>
        <w:pStyle w:val="TOC5"/>
        <w:rPr>
          <w:rFonts w:asciiTheme="minorHAnsi" w:eastAsiaTheme="minorEastAsia" w:hAnsiTheme="minorHAnsi" w:cstheme="minorBidi"/>
          <w:sz w:val="22"/>
          <w:szCs w:val="22"/>
          <w:lang w:eastAsia="en-AU"/>
        </w:rPr>
      </w:pPr>
      <w:r>
        <w:tab/>
      </w:r>
      <w:hyperlink w:anchor="_Toc83625828" w:history="1">
        <w:r w:rsidRPr="00D90FEA">
          <w:t>419</w:t>
        </w:r>
        <w:r>
          <w:rPr>
            <w:rFonts w:asciiTheme="minorHAnsi" w:eastAsiaTheme="minorEastAsia" w:hAnsiTheme="minorHAnsi" w:cstheme="minorBidi"/>
            <w:sz w:val="22"/>
            <w:szCs w:val="22"/>
            <w:lang w:eastAsia="en-AU"/>
          </w:rPr>
          <w:tab/>
        </w:r>
        <w:r w:rsidRPr="00D90FEA">
          <w:t>Keeping record of use or disclosure of intelligent access program information</w:t>
        </w:r>
        <w:r>
          <w:tab/>
        </w:r>
        <w:r>
          <w:fldChar w:fldCharType="begin"/>
        </w:r>
        <w:r>
          <w:instrText xml:space="preserve"> PAGEREF _Toc83625828 \h </w:instrText>
        </w:r>
        <w:r>
          <w:fldChar w:fldCharType="separate"/>
        </w:r>
        <w:r w:rsidR="005C5D7F">
          <w:t>363</w:t>
        </w:r>
        <w:r>
          <w:fldChar w:fldCharType="end"/>
        </w:r>
      </w:hyperlink>
    </w:p>
    <w:p w14:paraId="525A6367" w14:textId="4DE62FFF" w:rsidR="005E03F7" w:rsidRDefault="005E03F7">
      <w:pPr>
        <w:pStyle w:val="TOC5"/>
        <w:rPr>
          <w:rFonts w:asciiTheme="minorHAnsi" w:eastAsiaTheme="minorEastAsia" w:hAnsiTheme="minorHAnsi" w:cstheme="minorBidi"/>
          <w:sz w:val="22"/>
          <w:szCs w:val="22"/>
          <w:lang w:eastAsia="en-AU"/>
        </w:rPr>
      </w:pPr>
      <w:r>
        <w:tab/>
      </w:r>
      <w:hyperlink w:anchor="_Toc83625829" w:history="1">
        <w:r w:rsidRPr="00D90FEA">
          <w:t>420</w:t>
        </w:r>
        <w:r>
          <w:rPr>
            <w:rFonts w:asciiTheme="minorHAnsi" w:eastAsiaTheme="minorEastAsia" w:hAnsiTheme="minorHAnsi" w:cstheme="minorBidi"/>
            <w:sz w:val="22"/>
            <w:szCs w:val="22"/>
            <w:lang w:eastAsia="en-AU"/>
          </w:rPr>
          <w:tab/>
        </w:r>
        <w:r w:rsidRPr="00D90FEA">
          <w:t>Keeping noncompliance report etc.</w:t>
        </w:r>
        <w:r>
          <w:tab/>
        </w:r>
        <w:r>
          <w:fldChar w:fldCharType="begin"/>
        </w:r>
        <w:r>
          <w:instrText xml:space="preserve"> PAGEREF _Toc83625829 \h </w:instrText>
        </w:r>
        <w:r>
          <w:fldChar w:fldCharType="separate"/>
        </w:r>
        <w:r w:rsidR="005C5D7F">
          <w:t>364</w:t>
        </w:r>
        <w:r>
          <w:fldChar w:fldCharType="end"/>
        </w:r>
      </w:hyperlink>
    </w:p>
    <w:p w14:paraId="70A43ADC" w14:textId="4BC6A5E2" w:rsidR="005E03F7" w:rsidRDefault="005E03F7">
      <w:pPr>
        <w:pStyle w:val="TOC5"/>
        <w:rPr>
          <w:rFonts w:asciiTheme="minorHAnsi" w:eastAsiaTheme="minorEastAsia" w:hAnsiTheme="minorHAnsi" w:cstheme="minorBidi"/>
          <w:sz w:val="22"/>
          <w:szCs w:val="22"/>
          <w:lang w:eastAsia="en-AU"/>
        </w:rPr>
      </w:pPr>
      <w:r>
        <w:tab/>
      </w:r>
      <w:hyperlink w:anchor="_Toc83625830" w:history="1">
        <w:r w:rsidRPr="00D90FEA">
          <w:t>421</w:t>
        </w:r>
        <w:r>
          <w:rPr>
            <w:rFonts w:asciiTheme="minorHAnsi" w:eastAsiaTheme="minorEastAsia" w:hAnsiTheme="minorHAnsi" w:cstheme="minorBidi"/>
            <w:sz w:val="22"/>
            <w:szCs w:val="22"/>
            <w:lang w:eastAsia="en-AU"/>
          </w:rPr>
          <w:tab/>
        </w:r>
        <w:r w:rsidRPr="00D90FEA">
          <w:t>Destroying intelligent access program information etc.</w:t>
        </w:r>
        <w:r>
          <w:tab/>
        </w:r>
        <w:r>
          <w:fldChar w:fldCharType="begin"/>
        </w:r>
        <w:r>
          <w:instrText xml:space="preserve"> PAGEREF _Toc83625830 \h </w:instrText>
        </w:r>
        <w:r>
          <w:fldChar w:fldCharType="separate"/>
        </w:r>
        <w:r w:rsidR="005C5D7F">
          <w:t>364</w:t>
        </w:r>
        <w:r>
          <w:fldChar w:fldCharType="end"/>
        </w:r>
      </w:hyperlink>
    </w:p>
    <w:p w14:paraId="6772FEF5" w14:textId="3485DF23" w:rsidR="005E03F7" w:rsidRDefault="005E03F7">
      <w:pPr>
        <w:pStyle w:val="TOC5"/>
        <w:rPr>
          <w:rFonts w:asciiTheme="minorHAnsi" w:eastAsiaTheme="minorEastAsia" w:hAnsiTheme="minorHAnsi" w:cstheme="minorBidi"/>
          <w:sz w:val="22"/>
          <w:szCs w:val="22"/>
          <w:lang w:eastAsia="en-AU"/>
        </w:rPr>
      </w:pPr>
      <w:r>
        <w:tab/>
      </w:r>
      <w:hyperlink w:anchor="_Toc83625831" w:history="1">
        <w:r w:rsidRPr="00D90FEA">
          <w:t>422</w:t>
        </w:r>
        <w:r>
          <w:rPr>
            <w:rFonts w:asciiTheme="minorHAnsi" w:eastAsiaTheme="minorEastAsia" w:hAnsiTheme="minorHAnsi" w:cstheme="minorBidi"/>
            <w:sz w:val="22"/>
            <w:szCs w:val="22"/>
            <w:lang w:eastAsia="en-AU"/>
          </w:rPr>
          <w:tab/>
        </w:r>
        <w:r w:rsidRPr="00D90FEA">
          <w:t>Reporting relevant contraventions to Regulator</w:t>
        </w:r>
        <w:r>
          <w:tab/>
        </w:r>
        <w:r>
          <w:fldChar w:fldCharType="begin"/>
        </w:r>
        <w:r>
          <w:instrText xml:space="preserve"> PAGEREF _Toc83625831 \h </w:instrText>
        </w:r>
        <w:r>
          <w:fldChar w:fldCharType="separate"/>
        </w:r>
        <w:r w:rsidR="005C5D7F">
          <w:t>365</w:t>
        </w:r>
        <w:r>
          <w:fldChar w:fldCharType="end"/>
        </w:r>
      </w:hyperlink>
    </w:p>
    <w:p w14:paraId="41ABF2B7" w14:textId="690C388E" w:rsidR="005E03F7" w:rsidRDefault="005E03F7">
      <w:pPr>
        <w:pStyle w:val="TOC5"/>
        <w:rPr>
          <w:rFonts w:asciiTheme="minorHAnsi" w:eastAsiaTheme="minorEastAsia" w:hAnsiTheme="minorHAnsi" w:cstheme="minorBidi"/>
          <w:sz w:val="22"/>
          <w:szCs w:val="22"/>
          <w:lang w:eastAsia="en-AU"/>
        </w:rPr>
      </w:pPr>
      <w:r>
        <w:tab/>
      </w:r>
      <w:hyperlink w:anchor="_Toc83625832" w:history="1">
        <w:r w:rsidRPr="00D90FEA">
          <w:t>423</w:t>
        </w:r>
        <w:r>
          <w:rPr>
            <w:rFonts w:asciiTheme="minorHAnsi" w:eastAsiaTheme="minorEastAsia" w:hAnsiTheme="minorHAnsi" w:cstheme="minorBidi"/>
            <w:sz w:val="22"/>
            <w:szCs w:val="22"/>
            <w:lang w:eastAsia="en-AU"/>
          </w:rPr>
          <w:tab/>
        </w:r>
        <w:r w:rsidRPr="00D90FEA">
          <w:t>Reporting tampering or suspected tampering with approved intelligent transport system</w:t>
        </w:r>
        <w:r>
          <w:tab/>
        </w:r>
        <w:r>
          <w:fldChar w:fldCharType="begin"/>
        </w:r>
        <w:r>
          <w:instrText xml:space="preserve"> PAGEREF _Toc83625832 \h </w:instrText>
        </w:r>
        <w:r>
          <w:fldChar w:fldCharType="separate"/>
        </w:r>
        <w:r w:rsidR="005C5D7F">
          <w:t>365</w:t>
        </w:r>
        <w:r>
          <w:fldChar w:fldCharType="end"/>
        </w:r>
      </w:hyperlink>
    </w:p>
    <w:p w14:paraId="7C8B3E07" w14:textId="287F3F5A" w:rsidR="005E03F7" w:rsidRDefault="005E03F7">
      <w:pPr>
        <w:pStyle w:val="TOC5"/>
        <w:rPr>
          <w:rFonts w:asciiTheme="minorHAnsi" w:eastAsiaTheme="minorEastAsia" w:hAnsiTheme="minorHAnsi" w:cstheme="minorBidi"/>
          <w:sz w:val="22"/>
          <w:szCs w:val="22"/>
          <w:lang w:eastAsia="en-AU"/>
        </w:rPr>
      </w:pPr>
      <w:r>
        <w:tab/>
      </w:r>
      <w:hyperlink w:anchor="_Toc83625833" w:history="1">
        <w:r w:rsidRPr="00D90FEA">
          <w:t>424</w:t>
        </w:r>
        <w:r>
          <w:rPr>
            <w:rFonts w:asciiTheme="minorHAnsi" w:eastAsiaTheme="minorEastAsia" w:hAnsiTheme="minorHAnsi" w:cstheme="minorBidi"/>
            <w:sz w:val="22"/>
            <w:szCs w:val="22"/>
            <w:lang w:eastAsia="en-AU"/>
          </w:rPr>
          <w:tab/>
        </w:r>
        <w:r w:rsidRPr="00D90FEA">
          <w:t>Restriction on disclosing information about tampering or suspected tampering with approved intelligent transport system</w:t>
        </w:r>
        <w:r>
          <w:tab/>
        </w:r>
        <w:r>
          <w:fldChar w:fldCharType="begin"/>
        </w:r>
        <w:r>
          <w:instrText xml:space="preserve"> PAGEREF _Toc83625833 \h </w:instrText>
        </w:r>
        <w:r>
          <w:fldChar w:fldCharType="separate"/>
        </w:r>
        <w:r w:rsidR="005C5D7F">
          <w:t>367</w:t>
        </w:r>
        <w:r>
          <w:fldChar w:fldCharType="end"/>
        </w:r>
      </w:hyperlink>
    </w:p>
    <w:p w14:paraId="04D793CC" w14:textId="1B3F67D6" w:rsidR="005E03F7" w:rsidRDefault="00856BEE">
      <w:pPr>
        <w:pStyle w:val="TOC2"/>
        <w:rPr>
          <w:rFonts w:asciiTheme="minorHAnsi" w:eastAsiaTheme="minorEastAsia" w:hAnsiTheme="minorHAnsi" w:cstheme="minorBidi"/>
          <w:b w:val="0"/>
          <w:sz w:val="22"/>
          <w:szCs w:val="22"/>
          <w:lang w:eastAsia="en-AU"/>
        </w:rPr>
      </w:pPr>
      <w:hyperlink w:anchor="_Toc83625834" w:history="1">
        <w:r w:rsidR="005E03F7" w:rsidRPr="00D90FEA">
          <w:t xml:space="preserve">Part 7.5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Functions, powers, duties and obligations of TCA</w:t>
        </w:r>
        <w:r w:rsidR="005E03F7" w:rsidRPr="005E03F7">
          <w:rPr>
            <w:vanish/>
          </w:rPr>
          <w:tab/>
        </w:r>
        <w:r w:rsidR="005E03F7" w:rsidRPr="005E03F7">
          <w:rPr>
            <w:vanish/>
          </w:rPr>
          <w:fldChar w:fldCharType="begin"/>
        </w:r>
        <w:r w:rsidR="005E03F7" w:rsidRPr="005E03F7">
          <w:rPr>
            <w:vanish/>
          </w:rPr>
          <w:instrText xml:space="preserve"> PAGEREF _Toc83625834 \h </w:instrText>
        </w:r>
        <w:r w:rsidR="005E03F7" w:rsidRPr="005E03F7">
          <w:rPr>
            <w:vanish/>
          </w:rPr>
        </w:r>
        <w:r w:rsidR="005E03F7" w:rsidRPr="005E03F7">
          <w:rPr>
            <w:vanish/>
          </w:rPr>
          <w:fldChar w:fldCharType="separate"/>
        </w:r>
        <w:r w:rsidR="005C5D7F">
          <w:rPr>
            <w:vanish/>
          </w:rPr>
          <w:t>369</w:t>
        </w:r>
        <w:r w:rsidR="005E03F7" w:rsidRPr="005E03F7">
          <w:rPr>
            <w:vanish/>
          </w:rPr>
          <w:fldChar w:fldCharType="end"/>
        </w:r>
      </w:hyperlink>
    </w:p>
    <w:p w14:paraId="5D4DB952" w14:textId="406872D6" w:rsidR="005E03F7" w:rsidRDefault="005E03F7">
      <w:pPr>
        <w:pStyle w:val="TOC5"/>
        <w:rPr>
          <w:rFonts w:asciiTheme="minorHAnsi" w:eastAsiaTheme="minorEastAsia" w:hAnsiTheme="minorHAnsi" w:cstheme="minorBidi"/>
          <w:sz w:val="22"/>
          <w:szCs w:val="22"/>
          <w:lang w:eastAsia="en-AU"/>
        </w:rPr>
      </w:pPr>
      <w:r>
        <w:tab/>
      </w:r>
      <w:hyperlink w:anchor="_Toc83625835" w:history="1">
        <w:r w:rsidRPr="00D90FEA">
          <w:t>425</w:t>
        </w:r>
        <w:r>
          <w:rPr>
            <w:rFonts w:asciiTheme="minorHAnsi" w:eastAsiaTheme="minorEastAsia" w:hAnsiTheme="minorHAnsi" w:cstheme="minorBidi"/>
            <w:sz w:val="22"/>
            <w:szCs w:val="22"/>
            <w:lang w:eastAsia="en-AU"/>
          </w:rPr>
          <w:tab/>
        </w:r>
        <w:r w:rsidRPr="00D90FEA">
          <w:t>Functions of TCA</w:t>
        </w:r>
        <w:r>
          <w:tab/>
        </w:r>
        <w:r>
          <w:fldChar w:fldCharType="begin"/>
        </w:r>
        <w:r>
          <w:instrText xml:space="preserve"> PAGEREF _Toc83625835 \h </w:instrText>
        </w:r>
        <w:r>
          <w:fldChar w:fldCharType="separate"/>
        </w:r>
        <w:r w:rsidR="005C5D7F">
          <w:t>369</w:t>
        </w:r>
        <w:r>
          <w:fldChar w:fldCharType="end"/>
        </w:r>
      </w:hyperlink>
    </w:p>
    <w:p w14:paraId="09CB722F" w14:textId="1BAE8CBB" w:rsidR="005E03F7" w:rsidRDefault="005E03F7">
      <w:pPr>
        <w:pStyle w:val="TOC5"/>
        <w:rPr>
          <w:rFonts w:asciiTheme="minorHAnsi" w:eastAsiaTheme="minorEastAsia" w:hAnsiTheme="minorHAnsi" w:cstheme="minorBidi"/>
          <w:sz w:val="22"/>
          <w:szCs w:val="22"/>
          <w:lang w:eastAsia="en-AU"/>
        </w:rPr>
      </w:pPr>
      <w:r>
        <w:tab/>
      </w:r>
      <w:hyperlink w:anchor="_Toc83625836" w:history="1">
        <w:r w:rsidRPr="00D90FEA">
          <w:t>426</w:t>
        </w:r>
        <w:r>
          <w:rPr>
            <w:rFonts w:asciiTheme="minorHAnsi" w:eastAsiaTheme="minorEastAsia" w:hAnsiTheme="minorHAnsi" w:cstheme="minorBidi"/>
            <w:sz w:val="22"/>
            <w:szCs w:val="22"/>
            <w:lang w:eastAsia="en-AU"/>
          </w:rPr>
          <w:tab/>
        </w:r>
        <w:r w:rsidRPr="00D90FEA">
          <w:t>Powers to collect and hold intelligent access program information</w:t>
        </w:r>
        <w:r>
          <w:tab/>
        </w:r>
        <w:r>
          <w:fldChar w:fldCharType="begin"/>
        </w:r>
        <w:r>
          <w:instrText xml:space="preserve"> PAGEREF _Toc83625836 \h </w:instrText>
        </w:r>
        <w:r>
          <w:fldChar w:fldCharType="separate"/>
        </w:r>
        <w:r w:rsidR="005C5D7F">
          <w:t>369</w:t>
        </w:r>
        <w:r>
          <w:fldChar w:fldCharType="end"/>
        </w:r>
      </w:hyperlink>
    </w:p>
    <w:p w14:paraId="5CE81E0F" w14:textId="6D089914" w:rsidR="005E03F7" w:rsidRDefault="005E03F7">
      <w:pPr>
        <w:pStyle w:val="TOC5"/>
        <w:rPr>
          <w:rFonts w:asciiTheme="minorHAnsi" w:eastAsiaTheme="minorEastAsia" w:hAnsiTheme="minorHAnsi" w:cstheme="minorBidi"/>
          <w:sz w:val="22"/>
          <w:szCs w:val="22"/>
          <w:lang w:eastAsia="en-AU"/>
        </w:rPr>
      </w:pPr>
      <w:r>
        <w:tab/>
      </w:r>
      <w:hyperlink w:anchor="_Toc83625837" w:history="1">
        <w:r w:rsidRPr="00D90FEA">
          <w:t>427</w:t>
        </w:r>
        <w:r>
          <w:rPr>
            <w:rFonts w:asciiTheme="minorHAnsi" w:eastAsiaTheme="minorEastAsia" w:hAnsiTheme="minorHAnsi" w:cstheme="minorBidi"/>
            <w:sz w:val="22"/>
            <w:szCs w:val="22"/>
            <w:lang w:eastAsia="en-AU"/>
          </w:rPr>
          <w:tab/>
        </w:r>
        <w:r w:rsidRPr="00D90FEA">
          <w:t>Collecting intelligent access program information</w:t>
        </w:r>
        <w:r>
          <w:tab/>
        </w:r>
        <w:r>
          <w:fldChar w:fldCharType="begin"/>
        </w:r>
        <w:r>
          <w:instrText xml:space="preserve"> PAGEREF _Toc83625837 \h </w:instrText>
        </w:r>
        <w:r>
          <w:fldChar w:fldCharType="separate"/>
        </w:r>
        <w:r w:rsidR="005C5D7F">
          <w:t>370</w:t>
        </w:r>
        <w:r>
          <w:fldChar w:fldCharType="end"/>
        </w:r>
      </w:hyperlink>
    </w:p>
    <w:p w14:paraId="4FD60D00" w14:textId="6D6290DB" w:rsidR="005E03F7" w:rsidRDefault="005E03F7">
      <w:pPr>
        <w:pStyle w:val="TOC5"/>
        <w:rPr>
          <w:rFonts w:asciiTheme="minorHAnsi" w:eastAsiaTheme="minorEastAsia" w:hAnsiTheme="minorHAnsi" w:cstheme="minorBidi"/>
          <w:sz w:val="22"/>
          <w:szCs w:val="22"/>
          <w:lang w:eastAsia="en-AU"/>
        </w:rPr>
      </w:pPr>
      <w:r>
        <w:tab/>
      </w:r>
      <w:hyperlink w:anchor="_Toc83625838" w:history="1">
        <w:r w:rsidRPr="00D90FEA">
          <w:t>428</w:t>
        </w:r>
        <w:r>
          <w:rPr>
            <w:rFonts w:asciiTheme="minorHAnsi" w:eastAsiaTheme="minorEastAsia" w:hAnsiTheme="minorHAnsi" w:cstheme="minorBidi"/>
            <w:sz w:val="22"/>
            <w:szCs w:val="22"/>
            <w:lang w:eastAsia="en-AU"/>
          </w:rPr>
          <w:tab/>
        </w:r>
        <w:r w:rsidRPr="00D90FEA">
          <w:t>Protecting intelligent access program information collected</w:t>
        </w:r>
        <w:r>
          <w:tab/>
        </w:r>
        <w:r>
          <w:fldChar w:fldCharType="begin"/>
        </w:r>
        <w:r>
          <w:instrText xml:space="preserve"> PAGEREF _Toc83625838 \h </w:instrText>
        </w:r>
        <w:r>
          <w:fldChar w:fldCharType="separate"/>
        </w:r>
        <w:r w:rsidR="005C5D7F">
          <w:t>370</w:t>
        </w:r>
        <w:r>
          <w:fldChar w:fldCharType="end"/>
        </w:r>
      </w:hyperlink>
    </w:p>
    <w:p w14:paraId="61BD93E3" w14:textId="3FCFB914" w:rsidR="005E03F7" w:rsidRDefault="005E03F7">
      <w:pPr>
        <w:pStyle w:val="TOC5"/>
        <w:rPr>
          <w:rFonts w:asciiTheme="minorHAnsi" w:eastAsiaTheme="minorEastAsia" w:hAnsiTheme="minorHAnsi" w:cstheme="minorBidi"/>
          <w:sz w:val="22"/>
          <w:szCs w:val="22"/>
          <w:lang w:eastAsia="en-AU"/>
        </w:rPr>
      </w:pPr>
      <w:r>
        <w:tab/>
      </w:r>
      <w:hyperlink w:anchor="_Toc83625839" w:history="1">
        <w:r w:rsidRPr="00D90FEA">
          <w:t>429</w:t>
        </w:r>
        <w:r>
          <w:rPr>
            <w:rFonts w:asciiTheme="minorHAnsi" w:eastAsiaTheme="minorEastAsia" w:hAnsiTheme="minorHAnsi" w:cstheme="minorBidi"/>
            <w:sz w:val="22"/>
            <w:szCs w:val="22"/>
            <w:lang w:eastAsia="en-AU"/>
          </w:rPr>
          <w:tab/>
        </w:r>
        <w:r w:rsidRPr="00D90FEA">
          <w:t>Making individuals aware of personal information held</w:t>
        </w:r>
        <w:r>
          <w:tab/>
        </w:r>
        <w:r>
          <w:fldChar w:fldCharType="begin"/>
        </w:r>
        <w:r>
          <w:instrText xml:space="preserve"> PAGEREF _Toc83625839 \h </w:instrText>
        </w:r>
        <w:r>
          <w:fldChar w:fldCharType="separate"/>
        </w:r>
        <w:r w:rsidR="005C5D7F">
          <w:t>370</w:t>
        </w:r>
        <w:r>
          <w:fldChar w:fldCharType="end"/>
        </w:r>
      </w:hyperlink>
    </w:p>
    <w:p w14:paraId="40DF51F8" w14:textId="76534A60" w:rsidR="005E03F7" w:rsidRDefault="005E03F7">
      <w:pPr>
        <w:pStyle w:val="TOC5"/>
        <w:rPr>
          <w:rFonts w:asciiTheme="minorHAnsi" w:eastAsiaTheme="minorEastAsia" w:hAnsiTheme="minorHAnsi" w:cstheme="minorBidi"/>
          <w:sz w:val="22"/>
          <w:szCs w:val="22"/>
          <w:lang w:eastAsia="en-AU"/>
        </w:rPr>
      </w:pPr>
      <w:r>
        <w:tab/>
      </w:r>
      <w:hyperlink w:anchor="_Toc83625840" w:history="1">
        <w:r w:rsidRPr="00D90FEA">
          <w:t>430</w:t>
        </w:r>
        <w:r>
          <w:rPr>
            <w:rFonts w:asciiTheme="minorHAnsi" w:eastAsiaTheme="minorEastAsia" w:hAnsiTheme="minorHAnsi" w:cstheme="minorBidi"/>
            <w:sz w:val="22"/>
            <w:szCs w:val="22"/>
            <w:lang w:eastAsia="en-AU"/>
          </w:rPr>
          <w:tab/>
        </w:r>
        <w:r w:rsidRPr="00D90FEA">
          <w:t>Giving individuals access to their personal information</w:t>
        </w:r>
        <w:r>
          <w:tab/>
        </w:r>
        <w:r>
          <w:fldChar w:fldCharType="begin"/>
        </w:r>
        <w:r>
          <w:instrText xml:space="preserve"> PAGEREF _Toc83625840 \h </w:instrText>
        </w:r>
        <w:r>
          <w:fldChar w:fldCharType="separate"/>
        </w:r>
        <w:r w:rsidR="005C5D7F">
          <w:t>371</w:t>
        </w:r>
        <w:r>
          <w:fldChar w:fldCharType="end"/>
        </w:r>
      </w:hyperlink>
    </w:p>
    <w:p w14:paraId="52585D27" w14:textId="74BC68F2" w:rsidR="005E03F7" w:rsidRDefault="005E03F7">
      <w:pPr>
        <w:pStyle w:val="TOC5"/>
        <w:rPr>
          <w:rFonts w:asciiTheme="minorHAnsi" w:eastAsiaTheme="minorEastAsia" w:hAnsiTheme="minorHAnsi" w:cstheme="minorBidi"/>
          <w:sz w:val="22"/>
          <w:szCs w:val="22"/>
          <w:lang w:eastAsia="en-AU"/>
        </w:rPr>
      </w:pPr>
      <w:r>
        <w:tab/>
      </w:r>
      <w:hyperlink w:anchor="_Toc83625841" w:history="1">
        <w:r w:rsidRPr="00D90FEA">
          <w:t>431</w:t>
        </w:r>
        <w:r>
          <w:rPr>
            <w:rFonts w:asciiTheme="minorHAnsi" w:eastAsiaTheme="minorEastAsia" w:hAnsiTheme="minorHAnsi" w:cstheme="minorBidi"/>
            <w:sz w:val="22"/>
            <w:szCs w:val="22"/>
            <w:lang w:eastAsia="en-AU"/>
          </w:rPr>
          <w:tab/>
        </w:r>
        <w:r w:rsidRPr="00D90FEA">
          <w:t>Correcting errors etc.</w:t>
        </w:r>
        <w:r>
          <w:tab/>
        </w:r>
        <w:r>
          <w:fldChar w:fldCharType="begin"/>
        </w:r>
        <w:r>
          <w:instrText xml:space="preserve"> PAGEREF _Toc83625841 \h </w:instrText>
        </w:r>
        <w:r>
          <w:fldChar w:fldCharType="separate"/>
        </w:r>
        <w:r w:rsidR="005C5D7F">
          <w:t>372</w:t>
        </w:r>
        <w:r>
          <w:fldChar w:fldCharType="end"/>
        </w:r>
      </w:hyperlink>
    </w:p>
    <w:p w14:paraId="22FA74A4" w14:textId="12D9D239" w:rsidR="005E03F7" w:rsidRDefault="005E03F7">
      <w:pPr>
        <w:pStyle w:val="TOC5"/>
        <w:rPr>
          <w:rFonts w:asciiTheme="minorHAnsi" w:eastAsiaTheme="minorEastAsia" w:hAnsiTheme="minorHAnsi" w:cstheme="minorBidi"/>
          <w:sz w:val="22"/>
          <w:szCs w:val="22"/>
          <w:lang w:eastAsia="en-AU"/>
        </w:rPr>
      </w:pPr>
      <w:r>
        <w:tab/>
      </w:r>
      <w:hyperlink w:anchor="_Toc83625842" w:history="1">
        <w:r w:rsidRPr="00D90FEA">
          <w:t>432</w:t>
        </w:r>
        <w:r>
          <w:rPr>
            <w:rFonts w:asciiTheme="minorHAnsi" w:eastAsiaTheme="minorEastAsia" w:hAnsiTheme="minorHAnsi" w:cstheme="minorBidi"/>
            <w:sz w:val="22"/>
            <w:szCs w:val="22"/>
            <w:lang w:eastAsia="en-AU"/>
          </w:rPr>
          <w:tab/>
        </w:r>
        <w:r w:rsidRPr="00D90FEA">
          <w:t>General restriction on use and disclosure of intelligent access program information</w:t>
        </w:r>
        <w:r>
          <w:tab/>
        </w:r>
        <w:r>
          <w:fldChar w:fldCharType="begin"/>
        </w:r>
        <w:r>
          <w:instrText xml:space="preserve"> PAGEREF _Toc83625842 \h </w:instrText>
        </w:r>
        <w:r>
          <w:fldChar w:fldCharType="separate"/>
        </w:r>
        <w:r w:rsidR="005C5D7F">
          <w:t>372</w:t>
        </w:r>
        <w:r>
          <w:fldChar w:fldCharType="end"/>
        </w:r>
      </w:hyperlink>
    </w:p>
    <w:p w14:paraId="7D597863" w14:textId="5D8BAB86" w:rsidR="005E03F7" w:rsidRDefault="005E03F7">
      <w:pPr>
        <w:pStyle w:val="TOC5"/>
        <w:rPr>
          <w:rFonts w:asciiTheme="minorHAnsi" w:eastAsiaTheme="minorEastAsia" w:hAnsiTheme="minorHAnsi" w:cstheme="minorBidi"/>
          <w:sz w:val="22"/>
          <w:szCs w:val="22"/>
          <w:lang w:eastAsia="en-AU"/>
        </w:rPr>
      </w:pPr>
      <w:r>
        <w:tab/>
      </w:r>
      <w:hyperlink w:anchor="_Toc83625843" w:history="1">
        <w:r w:rsidRPr="00D90FEA">
          <w:t>433</w:t>
        </w:r>
        <w:r>
          <w:rPr>
            <w:rFonts w:asciiTheme="minorHAnsi" w:eastAsiaTheme="minorEastAsia" w:hAnsiTheme="minorHAnsi" w:cstheme="minorBidi"/>
            <w:sz w:val="22"/>
            <w:szCs w:val="22"/>
            <w:lang w:eastAsia="en-AU"/>
          </w:rPr>
          <w:tab/>
        </w:r>
        <w:r w:rsidRPr="00D90FEA">
          <w:t>Powers to use and disclose intelligent access program information</w:t>
        </w:r>
        <w:r>
          <w:tab/>
        </w:r>
        <w:r>
          <w:fldChar w:fldCharType="begin"/>
        </w:r>
        <w:r>
          <w:instrText xml:space="preserve"> PAGEREF _Toc83625843 \h </w:instrText>
        </w:r>
        <w:r>
          <w:fldChar w:fldCharType="separate"/>
        </w:r>
        <w:r w:rsidR="005C5D7F">
          <w:t>373</w:t>
        </w:r>
        <w:r>
          <w:fldChar w:fldCharType="end"/>
        </w:r>
      </w:hyperlink>
    </w:p>
    <w:p w14:paraId="6C6C72BC" w14:textId="2FF05FEE" w:rsidR="005E03F7" w:rsidRDefault="005E03F7">
      <w:pPr>
        <w:pStyle w:val="TOC5"/>
        <w:rPr>
          <w:rFonts w:asciiTheme="minorHAnsi" w:eastAsiaTheme="minorEastAsia" w:hAnsiTheme="minorHAnsi" w:cstheme="minorBidi"/>
          <w:sz w:val="22"/>
          <w:szCs w:val="22"/>
          <w:lang w:eastAsia="en-AU"/>
        </w:rPr>
      </w:pPr>
      <w:r>
        <w:tab/>
      </w:r>
      <w:hyperlink w:anchor="_Toc83625844" w:history="1">
        <w:r w:rsidRPr="00D90FEA">
          <w:t>434</w:t>
        </w:r>
        <w:r>
          <w:rPr>
            <w:rFonts w:asciiTheme="minorHAnsi" w:eastAsiaTheme="minorEastAsia" w:hAnsiTheme="minorHAnsi" w:cstheme="minorBidi"/>
            <w:sz w:val="22"/>
            <w:szCs w:val="22"/>
            <w:lang w:eastAsia="en-AU"/>
          </w:rPr>
          <w:tab/>
        </w:r>
        <w:r w:rsidRPr="00D90FEA">
          <w:t>Restriction about intelligent access program information that may be used or disclosed</w:t>
        </w:r>
        <w:r>
          <w:tab/>
        </w:r>
        <w:r>
          <w:fldChar w:fldCharType="begin"/>
        </w:r>
        <w:r>
          <w:instrText xml:space="preserve"> PAGEREF _Toc83625844 \h </w:instrText>
        </w:r>
        <w:r>
          <w:fldChar w:fldCharType="separate"/>
        </w:r>
        <w:r w:rsidR="005C5D7F">
          <w:t>374</w:t>
        </w:r>
        <w:r>
          <w:fldChar w:fldCharType="end"/>
        </w:r>
      </w:hyperlink>
    </w:p>
    <w:p w14:paraId="177A9168" w14:textId="59CDBD4B" w:rsidR="005E03F7" w:rsidRDefault="005E03F7">
      <w:pPr>
        <w:pStyle w:val="TOC5"/>
        <w:rPr>
          <w:rFonts w:asciiTheme="minorHAnsi" w:eastAsiaTheme="minorEastAsia" w:hAnsiTheme="minorHAnsi" w:cstheme="minorBidi"/>
          <w:sz w:val="22"/>
          <w:szCs w:val="22"/>
          <w:lang w:eastAsia="en-AU"/>
        </w:rPr>
      </w:pPr>
      <w:r>
        <w:tab/>
      </w:r>
      <w:hyperlink w:anchor="_Toc83625845" w:history="1">
        <w:r w:rsidRPr="00D90FEA">
          <w:t>435</w:t>
        </w:r>
        <w:r>
          <w:rPr>
            <w:rFonts w:asciiTheme="minorHAnsi" w:eastAsiaTheme="minorEastAsia" w:hAnsiTheme="minorHAnsi" w:cstheme="minorBidi"/>
            <w:sz w:val="22"/>
            <w:szCs w:val="22"/>
            <w:lang w:eastAsia="en-AU"/>
          </w:rPr>
          <w:tab/>
        </w:r>
        <w:r w:rsidRPr="00D90FEA">
          <w:t>Keeping record of use or disclosure of intelligent access program information</w:t>
        </w:r>
        <w:r>
          <w:tab/>
        </w:r>
        <w:r>
          <w:fldChar w:fldCharType="begin"/>
        </w:r>
        <w:r>
          <w:instrText xml:space="preserve"> PAGEREF _Toc83625845 \h </w:instrText>
        </w:r>
        <w:r>
          <w:fldChar w:fldCharType="separate"/>
        </w:r>
        <w:r w:rsidR="005C5D7F">
          <w:t>374</w:t>
        </w:r>
        <w:r>
          <w:fldChar w:fldCharType="end"/>
        </w:r>
      </w:hyperlink>
    </w:p>
    <w:p w14:paraId="5429070A" w14:textId="301C1AF3" w:rsidR="005E03F7" w:rsidRDefault="005E03F7">
      <w:pPr>
        <w:pStyle w:val="TOC5"/>
        <w:rPr>
          <w:rFonts w:asciiTheme="minorHAnsi" w:eastAsiaTheme="minorEastAsia" w:hAnsiTheme="minorHAnsi" w:cstheme="minorBidi"/>
          <w:sz w:val="22"/>
          <w:szCs w:val="22"/>
          <w:lang w:eastAsia="en-AU"/>
        </w:rPr>
      </w:pPr>
      <w:r>
        <w:lastRenderedPageBreak/>
        <w:tab/>
      </w:r>
      <w:hyperlink w:anchor="_Toc83625846" w:history="1">
        <w:r w:rsidRPr="00D90FEA">
          <w:t>436</w:t>
        </w:r>
        <w:r>
          <w:rPr>
            <w:rFonts w:asciiTheme="minorHAnsi" w:eastAsiaTheme="minorEastAsia" w:hAnsiTheme="minorHAnsi" w:cstheme="minorBidi"/>
            <w:sz w:val="22"/>
            <w:szCs w:val="22"/>
            <w:lang w:eastAsia="en-AU"/>
          </w:rPr>
          <w:tab/>
        </w:r>
        <w:r w:rsidRPr="00D90FEA">
          <w:t>Keeping noncompliance reports</w:t>
        </w:r>
        <w:r>
          <w:tab/>
        </w:r>
        <w:r>
          <w:fldChar w:fldCharType="begin"/>
        </w:r>
        <w:r>
          <w:instrText xml:space="preserve"> PAGEREF _Toc83625846 \h </w:instrText>
        </w:r>
        <w:r>
          <w:fldChar w:fldCharType="separate"/>
        </w:r>
        <w:r w:rsidR="005C5D7F">
          <w:t>375</w:t>
        </w:r>
        <w:r>
          <w:fldChar w:fldCharType="end"/>
        </w:r>
      </w:hyperlink>
    </w:p>
    <w:p w14:paraId="44FFF6AE" w14:textId="59BF455E" w:rsidR="005E03F7" w:rsidRDefault="005E03F7">
      <w:pPr>
        <w:pStyle w:val="TOC5"/>
        <w:rPr>
          <w:rFonts w:asciiTheme="minorHAnsi" w:eastAsiaTheme="minorEastAsia" w:hAnsiTheme="minorHAnsi" w:cstheme="minorBidi"/>
          <w:sz w:val="22"/>
          <w:szCs w:val="22"/>
          <w:lang w:eastAsia="en-AU"/>
        </w:rPr>
      </w:pPr>
      <w:r>
        <w:tab/>
      </w:r>
      <w:hyperlink w:anchor="_Toc83625847" w:history="1">
        <w:r w:rsidRPr="00D90FEA">
          <w:t>437</w:t>
        </w:r>
        <w:r>
          <w:rPr>
            <w:rFonts w:asciiTheme="minorHAnsi" w:eastAsiaTheme="minorEastAsia" w:hAnsiTheme="minorHAnsi" w:cstheme="minorBidi"/>
            <w:sz w:val="22"/>
            <w:szCs w:val="22"/>
            <w:lang w:eastAsia="en-AU"/>
          </w:rPr>
          <w:tab/>
        </w:r>
        <w:r w:rsidRPr="00D90FEA">
          <w:t>Destroying intelligent access program information or removing personal information from it</w:t>
        </w:r>
        <w:r>
          <w:tab/>
        </w:r>
        <w:r>
          <w:fldChar w:fldCharType="begin"/>
        </w:r>
        <w:r>
          <w:instrText xml:space="preserve"> PAGEREF _Toc83625847 \h </w:instrText>
        </w:r>
        <w:r>
          <w:fldChar w:fldCharType="separate"/>
        </w:r>
        <w:r w:rsidR="005C5D7F">
          <w:t>375</w:t>
        </w:r>
        <w:r>
          <w:fldChar w:fldCharType="end"/>
        </w:r>
      </w:hyperlink>
    </w:p>
    <w:p w14:paraId="2AA74834" w14:textId="176FE829" w:rsidR="005E03F7" w:rsidRDefault="005E03F7">
      <w:pPr>
        <w:pStyle w:val="TOC5"/>
        <w:rPr>
          <w:rFonts w:asciiTheme="minorHAnsi" w:eastAsiaTheme="minorEastAsia" w:hAnsiTheme="minorHAnsi" w:cstheme="minorBidi"/>
          <w:sz w:val="22"/>
          <w:szCs w:val="22"/>
          <w:lang w:eastAsia="en-AU"/>
        </w:rPr>
      </w:pPr>
      <w:r>
        <w:tab/>
      </w:r>
      <w:hyperlink w:anchor="_Toc83625848" w:history="1">
        <w:r w:rsidRPr="00D90FEA">
          <w:t>438</w:t>
        </w:r>
        <w:r>
          <w:rPr>
            <w:rFonts w:asciiTheme="minorHAnsi" w:eastAsiaTheme="minorEastAsia" w:hAnsiTheme="minorHAnsi" w:cstheme="minorBidi"/>
            <w:sz w:val="22"/>
            <w:szCs w:val="22"/>
            <w:lang w:eastAsia="en-AU"/>
          </w:rPr>
          <w:tab/>
        </w:r>
        <w:r w:rsidRPr="00D90FEA">
          <w:t>Reporting tampering or suspected tampering with, or malfunction or suspected malfunction of, approved intelligent transport system to Regulator</w:t>
        </w:r>
        <w:r>
          <w:tab/>
        </w:r>
        <w:r>
          <w:fldChar w:fldCharType="begin"/>
        </w:r>
        <w:r>
          <w:instrText xml:space="preserve"> PAGEREF _Toc83625848 \h </w:instrText>
        </w:r>
        <w:r>
          <w:fldChar w:fldCharType="separate"/>
        </w:r>
        <w:r w:rsidR="005C5D7F">
          <w:t>376</w:t>
        </w:r>
        <w:r>
          <w:fldChar w:fldCharType="end"/>
        </w:r>
      </w:hyperlink>
    </w:p>
    <w:p w14:paraId="6E89C84E" w14:textId="5F3FBFA1" w:rsidR="005E03F7" w:rsidRDefault="005E03F7">
      <w:pPr>
        <w:pStyle w:val="TOC5"/>
        <w:rPr>
          <w:rFonts w:asciiTheme="minorHAnsi" w:eastAsiaTheme="minorEastAsia" w:hAnsiTheme="minorHAnsi" w:cstheme="minorBidi"/>
          <w:sz w:val="22"/>
          <w:szCs w:val="22"/>
          <w:lang w:eastAsia="en-AU"/>
        </w:rPr>
      </w:pPr>
      <w:r>
        <w:tab/>
      </w:r>
      <w:hyperlink w:anchor="_Toc83625849" w:history="1">
        <w:r w:rsidRPr="00D90FEA">
          <w:t>439</w:t>
        </w:r>
        <w:r>
          <w:rPr>
            <w:rFonts w:asciiTheme="minorHAnsi" w:eastAsiaTheme="minorEastAsia" w:hAnsiTheme="minorHAnsi" w:cstheme="minorBidi"/>
            <w:sz w:val="22"/>
            <w:szCs w:val="22"/>
            <w:lang w:eastAsia="en-AU"/>
          </w:rPr>
          <w:tab/>
        </w:r>
        <w:r w:rsidRPr="00D90FEA">
          <w:rPr>
            <w:rFonts w:ascii="Helvetica" w:hAnsi="Helvetica" w:cs="Helvetica"/>
            <w:iCs/>
          </w:rPr>
          <w:t>Restriction on disclosing information about tampering or suspected tampering with approved intelligent transport system</w:t>
        </w:r>
        <w:r>
          <w:tab/>
        </w:r>
        <w:r>
          <w:fldChar w:fldCharType="begin"/>
        </w:r>
        <w:r>
          <w:instrText xml:space="preserve"> PAGEREF _Toc83625849 \h </w:instrText>
        </w:r>
        <w:r>
          <w:fldChar w:fldCharType="separate"/>
        </w:r>
        <w:r w:rsidR="005C5D7F">
          <w:t>376</w:t>
        </w:r>
        <w:r>
          <w:fldChar w:fldCharType="end"/>
        </w:r>
      </w:hyperlink>
    </w:p>
    <w:p w14:paraId="36D65B3D" w14:textId="73596491" w:rsidR="005E03F7" w:rsidRDefault="00856BEE">
      <w:pPr>
        <w:pStyle w:val="TOC2"/>
        <w:rPr>
          <w:rFonts w:asciiTheme="minorHAnsi" w:eastAsiaTheme="minorEastAsia" w:hAnsiTheme="minorHAnsi" w:cstheme="minorBidi"/>
          <w:b w:val="0"/>
          <w:sz w:val="22"/>
          <w:szCs w:val="22"/>
          <w:lang w:eastAsia="en-AU"/>
        </w:rPr>
      </w:pPr>
      <w:hyperlink w:anchor="_Toc83625850" w:history="1">
        <w:r w:rsidR="005E03F7" w:rsidRPr="00D90FEA">
          <w:t xml:space="preserve">Part 7.6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Powers, duties and obligations of intelligent access program auditors</w:t>
        </w:r>
        <w:r w:rsidR="005E03F7" w:rsidRPr="005E03F7">
          <w:rPr>
            <w:vanish/>
          </w:rPr>
          <w:tab/>
        </w:r>
        <w:r w:rsidR="005E03F7" w:rsidRPr="005E03F7">
          <w:rPr>
            <w:vanish/>
          </w:rPr>
          <w:fldChar w:fldCharType="begin"/>
        </w:r>
        <w:r w:rsidR="005E03F7" w:rsidRPr="005E03F7">
          <w:rPr>
            <w:vanish/>
          </w:rPr>
          <w:instrText xml:space="preserve"> PAGEREF _Toc83625850 \h </w:instrText>
        </w:r>
        <w:r w:rsidR="005E03F7" w:rsidRPr="005E03F7">
          <w:rPr>
            <w:vanish/>
          </w:rPr>
        </w:r>
        <w:r w:rsidR="005E03F7" w:rsidRPr="005E03F7">
          <w:rPr>
            <w:vanish/>
          </w:rPr>
          <w:fldChar w:fldCharType="separate"/>
        </w:r>
        <w:r w:rsidR="005C5D7F">
          <w:rPr>
            <w:vanish/>
          </w:rPr>
          <w:t>378</w:t>
        </w:r>
        <w:r w:rsidR="005E03F7" w:rsidRPr="005E03F7">
          <w:rPr>
            <w:vanish/>
          </w:rPr>
          <w:fldChar w:fldCharType="end"/>
        </w:r>
      </w:hyperlink>
    </w:p>
    <w:p w14:paraId="5876F339" w14:textId="47384B07" w:rsidR="005E03F7" w:rsidRDefault="005E03F7">
      <w:pPr>
        <w:pStyle w:val="TOC5"/>
        <w:rPr>
          <w:rFonts w:asciiTheme="minorHAnsi" w:eastAsiaTheme="minorEastAsia" w:hAnsiTheme="minorHAnsi" w:cstheme="minorBidi"/>
          <w:sz w:val="22"/>
          <w:szCs w:val="22"/>
          <w:lang w:eastAsia="en-AU"/>
        </w:rPr>
      </w:pPr>
      <w:r>
        <w:tab/>
      </w:r>
      <w:hyperlink w:anchor="_Toc83625851" w:history="1">
        <w:r w:rsidRPr="00D90FEA">
          <w:t>440</w:t>
        </w:r>
        <w:r>
          <w:rPr>
            <w:rFonts w:asciiTheme="minorHAnsi" w:eastAsiaTheme="minorEastAsia" w:hAnsiTheme="minorHAnsi" w:cstheme="minorBidi"/>
            <w:sz w:val="22"/>
            <w:szCs w:val="22"/>
            <w:lang w:eastAsia="en-AU"/>
          </w:rPr>
          <w:tab/>
        </w:r>
        <w:r w:rsidRPr="00D90FEA">
          <w:rPr>
            <w:rFonts w:ascii="Helvetica" w:hAnsi="Helvetica" w:cs="Helvetica"/>
            <w:iCs/>
          </w:rPr>
          <w:t>Powers to collect and hold intelligent access program information</w:t>
        </w:r>
        <w:r>
          <w:tab/>
        </w:r>
        <w:r>
          <w:fldChar w:fldCharType="begin"/>
        </w:r>
        <w:r>
          <w:instrText xml:space="preserve"> PAGEREF _Toc83625851 \h </w:instrText>
        </w:r>
        <w:r>
          <w:fldChar w:fldCharType="separate"/>
        </w:r>
        <w:r w:rsidR="005C5D7F">
          <w:t>378</w:t>
        </w:r>
        <w:r>
          <w:fldChar w:fldCharType="end"/>
        </w:r>
      </w:hyperlink>
    </w:p>
    <w:p w14:paraId="665DB728" w14:textId="39B388EC" w:rsidR="005E03F7" w:rsidRDefault="005E03F7">
      <w:pPr>
        <w:pStyle w:val="TOC5"/>
        <w:rPr>
          <w:rFonts w:asciiTheme="minorHAnsi" w:eastAsiaTheme="minorEastAsia" w:hAnsiTheme="minorHAnsi" w:cstheme="minorBidi"/>
          <w:sz w:val="22"/>
          <w:szCs w:val="22"/>
          <w:lang w:eastAsia="en-AU"/>
        </w:rPr>
      </w:pPr>
      <w:r>
        <w:tab/>
      </w:r>
      <w:hyperlink w:anchor="_Toc83625852" w:history="1">
        <w:r w:rsidRPr="00D90FEA">
          <w:t>441</w:t>
        </w:r>
        <w:r>
          <w:rPr>
            <w:rFonts w:asciiTheme="minorHAnsi" w:eastAsiaTheme="minorEastAsia" w:hAnsiTheme="minorHAnsi" w:cstheme="minorBidi"/>
            <w:sz w:val="22"/>
            <w:szCs w:val="22"/>
            <w:lang w:eastAsia="en-AU"/>
          </w:rPr>
          <w:tab/>
        </w:r>
        <w:r w:rsidRPr="00D90FEA">
          <w:rPr>
            <w:rFonts w:ascii="Helvetica" w:hAnsi="Helvetica" w:cs="Helvetica"/>
            <w:iCs/>
          </w:rPr>
          <w:t>Collecting intelligent access program information</w:t>
        </w:r>
        <w:r>
          <w:tab/>
        </w:r>
        <w:r>
          <w:fldChar w:fldCharType="begin"/>
        </w:r>
        <w:r>
          <w:instrText xml:space="preserve"> PAGEREF _Toc83625852 \h </w:instrText>
        </w:r>
        <w:r>
          <w:fldChar w:fldCharType="separate"/>
        </w:r>
        <w:r w:rsidR="005C5D7F">
          <w:t>378</w:t>
        </w:r>
        <w:r>
          <w:fldChar w:fldCharType="end"/>
        </w:r>
      </w:hyperlink>
    </w:p>
    <w:p w14:paraId="3448777D" w14:textId="266F8399" w:rsidR="005E03F7" w:rsidRDefault="005E03F7">
      <w:pPr>
        <w:pStyle w:val="TOC5"/>
        <w:rPr>
          <w:rFonts w:asciiTheme="minorHAnsi" w:eastAsiaTheme="minorEastAsia" w:hAnsiTheme="minorHAnsi" w:cstheme="minorBidi"/>
          <w:sz w:val="22"/>
          <w:szCs w:val="22"/>
          <w:lang w:eastAsia="en-AU"/>
        </w:rPr>
      </w:pPr>
      <w:r>
        <w:tab/>
      </w:r>
      <w:hyperlink w:anchor="_Toc83625853" w:history="1">
        <w:r w:rsidRPr="00D90FEA">
          <w:t>442</w:t>
        </w:r>
        <w:r>
          <w:rPr>
            <w:rFonts w:asciiTheme="minorHAnsi" w:eastAsiaTheme="minorEastAsia" w:hAnsiTheme="minorHAnsi" w:cstheme="minorBidi"/>
            <w:sz w:val="22"/>
            <w:szCs w:val="22"/>
            <w:lang w:eastAsia="en-AU"/>
          </w:rPr>
          <w:tab/>
        </w:r>
        <w:r w:rsidRPr="00D90FEA">
          <w:rPr>
            <w:rFonts w:ascii="Helvetica" w:hAnsi="Helvetica" w:cs="Helvetica"/>
            <w:iCs/>
          </w:rPr>
          <w:t>Protecting intelligent access program information collected</w:t>
        </w:r>
        <w:r>
          <w:tab/>
        </w:r>
        <w:r>
          <w:fldChar w:fldCharType="begin"/>
        </w:r>
        <w:r>
          <w:instrText xml:space="preserve"> PAGEREF _Toc83625853 \h </w:instrText>
        </w:r>
        <w:r>
          <w:fldChar w:fldCharType="separate"/>
        </w:r>
        <w:r w:rsidR="005C5D7F">
          <w:t>379</w:t>
        </w:r>
        <w:r>
          <w:fldChar w:fldCharType="end"/>
        </w:r>
      </w:hyperlink>
    </w:p>
    <w:p w14:paraId="5B1CB6D9" w14:textId="56FA030F" w:rsidR="005E03F7" w:rsidRDefault="005E03F7">
      <w:pPr>
        <w:pStyle w:val="TOC5"/>
        <w:rPr>
          <w:rFonts w:asciiTheme="minorHAnsi" w:eastAsiaTheme="minorEastAsia" w:hAnsiTheme="minorHAnsi" w:cstheme="minorBidi"/>
          <w:sz w:val="22"/>
          <w:szCs w:val="22"/>
          <w:lang w:eastAsia="en-AU"/>
        </w:rPr>
      </w:pPr>
      <w:r>
        <w:tab/>
      </w:r>
      <w:hyperlink w:anchor="_Toc83625854" w:history="1">
        <w:r w:rsidRPr="00D90FEA">
          <w:t>443</w:t>
        </w:r>
        <w:r>
          <w:rPr>
            <w:rFonts w:asciiTheme="minorHAnsi" w:eastAsiaTheme="minorEastAsia" w:hAnsiTheme="minorHAnsi" w:cstheme="minorBidi"/>
            <w:sz w:val="22"/>
            <w:szCs w:val="22"/>
            <w:lang w:eastAsia="en-AU"/>
          </w:rPr>
          <w:tab/>
        </w:r>
        <w:r w:rsidRPr="00D90FEA">
          <w:rPr>
            <w:rFonts w:ascii="Helvetica" w:hAnsi="Helvetica" w:cs="Helvetica"/>
            <w:iCs/>
          </w:rPr>
          <w:t>Making individuals aware of personal information held</w:t>
        </w:r>
        <w:r>
          <w:tab/>
        </w:r>
        <w:r>
          <w:fldChar w:fldCharType="begin"/>
        </w:r>
        <w:r>
          <w:instrText xml:space="preserve"> PAGEREF _Toc83625854 \h </w:instrText>
        </w:r>
        <w:r>
          <w:fldChar w:fldCharType="separate"/>
        </w:r>
        <w:r w:rsidR="005C5D7F">
          <w:t>379</w:t>
        </w:r>
        <w:r>
          <w:fldChar w:fldCharType="end"/>
        </w:r>
      </w:hyperlink>
    </w:p>
    <w:p w14:paraId="779F84C3" w14:textId="283242DB" w:rsidR="005E03F7" w:rsidRDefault="005E03F7">
      <w:pPr>
        <w:pStyle w:val="TOC5"/>
        <w:rPr>
          <w:rFonts w:asciiTheme="minorHAnsi" w:eastAsiaTheme="minorEastAsia" w:hAnsiTheme="minorHAnsi" w:cstheme="minorBidi"/>
          <w:sz w:val="22"/>
          <w:szCs w:val="22"/>
          <w:lang w:eastAsia="en-AU"/>
        </w:rPr>
      </w:pPr>
      <w:r>
        <w:tab/>
      </w:r>
      <w:hyperlink w:anchor="_Toc83625855" w:history="1">
        <w:r w:rsidRPr="00D90FEA">
          <w:t>444</w:t>
        </w:r>
        <w:r>
          <w:rPr>
            <w:rFonts w:asciiTheme="minorHAnsi" w:eastAsiaTheme="minorEastAsia" w:hAnsiTheme="minorHAnsi" w:cstheme="minorBidi"/>
            <w:sz w:val="22"/>
            <w:szCs w:val="22"/>
            <w:lang w:eastAsia="en-AU"/>
          </w:rPr>
          <w:tab/>
        </w:r>
        <w:r w:rsidRPr="00D90FEA">
          <w:rPr>
            <w:rFonts w:ascii="Helvetica" w:hAnsi="Helvetica" w:cs="Helvetica"/>
            <w:iCs/>
          </w:rPr>
          <w:t>Giving individuals access to their personal information</w:t>
        </w:r>
        <w:r>
          <w:tab/>
        </w:r>
        <w:r>
          <w:fldChar w:fldCharType="begin"/>
        </w:r>
        <w:r>
          <w:instrText xml:space="preserve"> PAGEREF _Toc83625855 \h </w:instrText>
        </w:r>
        <w:r>
          <w:fldChar w:fldCharType="separate"/>
        </w:r>
        <w:r w:rsidR="005C5D7F">
          <w:t>380</w:t>
        </w:r>
        <w:r>
          <w:fldChar w:fldCharType="end"/>
        </w:r>
      </w:hyperlink>
    </w:p>
    <w:p w14:paraId="3DB51631" w14:textId="016DA447" w:rsidR="005E03F7" w:rsidRDefault="005E03F7">
      <w:pPr>
        <w:pStyle w:val="TOC5"/>
        <w:rPr>
          <w:rFonts w:asciiTheme="minorHAnsi" w:eastAsiaTheme="minorEastAsia" w:hAnsiTheme="minorHAnsi" w:cstheme="minorBidi"/>
          <w:sz w:val="22"/>
          <w:szCs w:val="22"/>
          <w:lang w:eastAsia="en-AU"/>
        </w:rPr>
      </w:pPr>
      <w:r>
        <w:tab/>
      </w:r>
      <w:hyperlink w:anchor="_Toc83625856" w:history="1">
        <w:r w:rsidRPr="00D90FEA">
          <w:t>445</w:t>
        </w:r>
        <w:r>
          <w:rPr>
            <w:rFonts w:asciiTheme="minorHAnsi" w:eastAsiaTheme="minorEastAsia" w:hAnsiTheme="minorHAnsi" w:cstheme="minorBidi"/>
            <w:sz w:val="22"/>
            <w:szCs w:val="22"/>
            <w:lang w:eastAsia="en-AU"/>
          </w:rPr>
          <w:tab/>
        </w:r>
        <w:r w:rsidRPr="00D90FEA">
          <w:rPr>
            <w:rFonts w:ascii="Helvetica" w:hAnsi="Helvetica" w:cs="Helvetica"/>
            <w:iCs/>
          </w:rPr>
          <w:t>Correcting errors etc.</w:t>
        </w:r>
        <w:r>
          <w:tab/>
        </w:r>
        <w:r>
          <w:fldChar w:fldCharType="begin"/>
        </w:r>
        <w:r>
          <w:instrText xml:space="preserve"> PAGEREF _Toc83625856 \h </w:instrText>
        </w:r>
        <w:r>
          <w:fldChar w:fldCharType="separate"/>
        </w:r>
        <w:r w:rsidR="005C5D7F">
          <w:t>380</w:t>
        </w:r>
        <w:r>
          <w:fldChar w:fldCharType="end"/>
        </w:r>
      </w:hyperlink>
    </w:p>
    <w:p w14:paraId="67211843" w14:textId="0FC7E31C" w:rsidR="005E03F7" w:rsidRDefault="005E03F7">
      <w:pPr>
        <w:pStyle w:val="TOC5"/>
        <w:rPr>
          <w:rFonts w:asciiTheme="minorHAnsi" w:eastAsiaTheme="minorEastAsia" w:hAnsiTheme="minorHAnsi" w:cstheme="minorBidi"/>
          <w:sz w:val="22"/>
          <w:szCs w:val="22"/>
          <w:lang w:eastAsia="en-AU"/>
        </w:rPr>
      </w:pPr>
      <w:r>
        <w:tab/>
      </w:r>
      <w:hyperlink w:anchor="_Toc83625857" w:history="1">
        <w:r w:rsidRPr="00D90FEA">
          <w:t>446</w:t>
        </w:r>
        <w:r>
          <w:rPr>
            <w:rFonts w:asciiTheme="minorHAnsi" w:eastAsiaTheme="minorEastAsia" w:hAnsiTheme="minorHAnsi" w:cstheme="minorBidi"/>
            <w:sz w:val="22"/>
            <w:szCs w:val="22"/>
            <w:lang w:eastAsia="en-AU"/>
          </w:rPr>
          <w:tab/>
        </w:r>
        <w:r w:rsidRPr="00D90FEA">
          <w:rPr>
            <w:rFonts w:ascii="Helvetica" w:hAnsi="Helvetica" w:cs="Helvetica"/>
            <w:iCs/>
          </w:rPr>
          <w:t>General restriction on use and disclosure of intelligent access program information</w:t>
        </w:r>
        <w:r>
          <w:tab/>
        </w:r>
        <w:r>
          <w:fldChar w:fldCharType="begin"/>
        </w:r>
        <w:r>
          <w:instrText xml:space="preserve"> PAGEREF _Toc83625857 \h </w:instrText>
        </w:r>
        <w:r>
          <w:fldChar w:fldCharType="separate"/>
        </w:r>
        <w:r w:rsidR="005C5D7F">
          <w:t>381</w:t>
        </w:r>
        <w:r>
          <w:fldChar w:fldCharType="end"/>
        </w:r>
      </w:hyperlink>
    </w:p>
    <w:p w14:paraId="7BACA099" w14:textId="70BE64D6" w:rsidR="005E03F7" w:rsidRDefault="005E03F7">
      <w:pPr>
        <w:pStyle w:val="TOC5"/>
        <w:rPr>
          <w:rFonts w:asciiTheme="minorHAnsi" w:eastAsiaTheme="minorEastAsia" w:hAnsiTheme="minorHAnsi" w:cstheme="minorBidi"/>
          <w:sz w:val="22"/>
          <w:szCs w:val="22"/>
          <w:lang w:eastAsia="en-AU"/>
        </w:rPr>
      </w:pPr>
      <w:r>
        <w:tab/>
      </w:r>
      <w:hyperlink w:anchor="_Toc83625858" w:history="1">
        <w:r w:rsidRPr="00D90FEA">
          <w:t>447</w:t>
        </w:r>
        <w:r>
          <w:rPr>
            <w:rFonts w:asciiTheme="minorHAnsi" w:eastAsiaTheme="minorEastAsia" w:hAnsiTheme="minorHAnsi" w:cstheme="minorBidi"/>
            <w:sz w:val="22"/>
            <w:szCs w:val="22"/>
            <w:lang w:eastAsia="en-AU"/>
          </w:rPr>
          <w:tab/>
        </w:r>
        <w:r w:rsidRPr="00D90FEA">
          <w:rPr>
            <w:rFonts w:ascii="Helvetica" w:hAnsi="Helvetica" w:cs="Helvetica"/>
            <w:iCs/>
          </w:rPr>
          <w:t>Powers to use and disclose intelligent access program information</w:t>
        </w:r>
        <w:r>
          <w:tab/>
        </w:r>
        <w:r>
          <w:fldChar w:fldCharType="begin"/>
        </w:r>
        <w:r>
          <w:instrText xml:space="preserve"> PAGEREF _Toc83625858 \h </w:instrText>
        </w:r>
        <w:r>
          <w:fldChar w:fldCharType="separate"/>
        </w:r>
        <w:r w:rsidR="005C5D7F">
          <w:t>381</w:t>
        </w:r>
        <w:r>
          <w:fldChar w:fldCharType="end"/>
        </w:r>
      </w:hyperlink>
    </w:p>
    <w:p w14:paraId="2899FAC1" w14:textId="01DDF340" w:rsidR="005E03F7" w:rsidRDefault="005E03F7">
      <w:pPr>
        <w:pStyle w:val="TOC5"/>
        <w:rPr>
          <w:rFonts w:asciiTheme="minorHAnsi" w:eastAsiaTheme="minorEastAsia" w:hAnsiTheme="minorHAnsi" w:cstheme="minorBidi"/>
          <w:sz w:val="22"/>
          <w:szCs w:val="22"/>
          <w:lang w:eastAsia="en-AU"/>
        </w:rPr>
      </w:pPr>
      <w:r>
        <w:tab/>
      </w:r>
      <w:hyperlink w:anchor="_Toc83625859" w:history="1">
        <w:r w:rsidRPr="00D90FEA">
          <w:t>448</w:t>
        </w:r>
        <w:r>
          <w:rPr>
            <w:rFonts w:asciiTheme="minorHAnsi" w:eastAsiaTheme="minorEastAsia" w:hAnsiTheme="minorHAnsi" w:cstheme="minorBidi"/>
            <w:sz w:val="22"/>
            <w:szCs w:val="22"/>
            <w:lang w:eastAsia="en-AU"/>
          </w:rPr>
          <w:tab/>
        </w:r>
        <w:r w:rsidRPr="00D90FEA">
          <w:rPr>
            <w:rFonts w:ascii="Helvetica" w:hAnsi="Helvetica" w:cs="Helvetica"/>
            <w:iCs/>
          </w:rPr>
          <w:t>Restriction about intelligent access program information that may be used or disclosed</w:t>
        </w:r>
        <w:r>
          <w:tab/>
        </w:r>
        <w:r>
          <w:fldChar w:fldCharType="begin"/>
        </w:r>
        <w:r>
          <w:instrText xml:space="preserve"> PAGEREF _Toc83625859 \h </w:instrText>
        </w:r>
        <w:r>
          <w:fldChar w:fldCharType="separate"/>
        </w:r>
        <w:r w:rsidR="005C5D7F">
          <w:t>382</w:t>
        </w:r>
        <w:r>
          <w:fldChar w:fldCharType="end"/>
        </w:r>
      </w:hyperlink>
    </w:p>
    <w:p w14:paraId="36358A9E" w14:textId="324E2B63" w:rsidR="005E03F7" w:rsidRDefault="005E03F7">
      <w:pPr>
        <w:pStyle w:val="TOC5"/>
        <w:rPr>
          <w:rFonts w:asciiTheme="minorHAnsi" w:eastAsiaTheme="minorEastAsia" w:hAnsiTheme="minorHAnsi" w:cstheme="minorBidi"/>
          <w:sz w:val="22"/>
          <w:szCs w:val="22"/>
          <w:lang w:eastAsia="en-AU"/>
        </w:rPr>
      </w:pPr>
      <w:r>
        <w:tab/>
      </w:r>
      <w:hyperlink w:anchor="_Toc83625860" w:history="1">
        <w:r w:rsidRPr="00D90FEA">
          <w:t>449</w:t>
        </w:r>
        <w:r>
          <w:rPr>
            <w:rFonts w:asciiTheme="minorHAnsi" w:eastAsiaTheme="minorEastAsia" w:hAnsiTheme="minorHAnsi" w:cstheme="minorBidi"/>
            <w:sz w:val="22"/>
            <w:szCs w:val="22"/>
            <w:lang w:eastAsia="en-AU"/>
          </w:rPr>
          <w:tab/>
        </w:r>
        <w:r w:rsidRPr="00D90FEA">
          <w:rPr>
            <w:rFonts w:ascii="Helvetica" w:hAnsi="Helvetica" w:cs="Helvetica"/>
            <w:iCs/>
          </w:rPr>
          <w:t>Keeping record of use or disclosure of intelligent access program information</w:t>
        </w:r>
        <w:r>
          <w:tab/>
        </w:r>
        <w:r>
          <w:fldChar w:fldCharType="begin"/>
        </w:r>
        <w:r>
          <w:instrText xml:space="preserve"> PAGEREF _Toc83625860 \h </w:instrText>
        </w:r>
        <w:r>
          <w:fldChar w:fldCharType="separate"/>
        </w:r>
        <w:r w:rsidR="005C5D7F">
          <w:t>382</w:t>
        </w:r>
        <w:r>
          <w:fldChar w:fldCharType="end"/>
        </w:r>
      </w:hyperlink>
    </w:p>
    <w:p w14:paraId="3F139455" w14:textId="01844D25" w:rsidR="005E03F7" w:rsidRDefault="005E03F7">
      <w:pPr>
        <w:pStyle w:val="TOC5"/>
        <w:rPr>
          <w:rFonts w:asciiTheme="minorHAnsi" w:eastAsiaTheme="minorEastAsia" w:hAnsiTheme="minorHAnsi" w:cstheme="minorBidi"/>
          <w:sz w:val="22"/>
          <w:szCs w:val="22"/>
          <w:lang w:eastAsia="en-AU"/>
        </w:rPr>
      </w:pPr>
      <w:r>
        <w:tab/>
      </w:r>
      <w:hyperlink w:anchor="_Toc83625861" w:history="1">
        <w:r w:rsidRPr="00D90FEA">
          <w:t>450</w:t>
        </w:r>
        <w:r>
          <w:rPr>
            <w:rFonts w:asciiTheme="minorHAnsi" w:eastAsiaTheme="minorEastAsia" w:hAnsiTheme="minorHAnsi" w:cstheme="minorBidi"/>
            <w:sz w:val="22"/>
            <w:szCs w:val="22"/>
            <w:lang w:eastAsia="en-AU"/>
          </w:rPr>
          <w:tab/>
        </w:r>
        <w:r w:rsidRPr="00D90FEA">
          <w:rPr>
            <w:rFonts w:ascii="Helvetica" w:hAnsi="Helvetica" w:cs="Helvetica"/>
            <w:iCs/>
          </w:rPr>
          <w:t>Destroying intelligent access program information or removing personal information from it</w:t>
        </w:r>
        <w:r>
          <w:tab/>
        </w:r>
        <w:r>
          <w:fldChar w:fldCharType="begin"/>
        </w:r>
        <w:r>
          <w:instrText xml:space="preserve"> PAGEREF _Toc83625861 \h </w:instrText>
        </w:r>
        <w:r>
          <w:fldChar w:fldCharType="separate"/>
        </w:r>
        <w:r w:rsidR="005C5D7F">
          <w:t>384</w:t>
        </w:r>
        <w:r>
          <w:fldChar w:fldCharType="end"/>
        </w:r>
      </w:hyperlink>
    </w:p>
    <w:p w14:paraId="6D2E5EE9" w14:textId="18656675" w:rsidR="005E03F7" w:rsidRDefault="005E03F7">
      <w:pPr>
        <w:pStyle w:val="TOC5"/>
        <w:rPr>
          <w:rFonts w:asciiTheme="minorHAnsi" w:eastAsiaTheme="minorEastAsia" w:hAnsiTheme="minorHAnsi" w:cstheme="minorBidi"/>
          <w:sz w:val="22"/>
          <w:szCs w:val="22"/>
          <w:lang w:eastAsia="en-AU"/>
        </w:rPr>
      </w:pPr>
      <w:r>
        <w:tab/>
      </w:r>
      <w:hyperlink w:anchor="_Toc83625862" w:history="1">
        <w:r w:rsidRPr="00D90FEA">
          <w:t>451</w:t>
        </w:r>
        <w:r>
          <w:rPr>
            <w:rFonts w:asciiTheme="minorHAnsi" w:eastAsiaTheme="minorEastAsia" w:hAnsiTheme="minorHAnsi" w:cstheme="minorBidi"/>
            <w:sz w:val="22"/>
            <w:szCs w:val="22"/>
            <w:lang w:eastAsia="en-AU"/>
          </w:rPr>
          <w:tab/>
        </w:r>
        <w:r w:rsidRPr="00D90FEA">
          <w:rPr>
            <w:rFonts w:ascii="Helvetica" w:hAnsi="Helvetica" w:cs="Helvetica"/>
            <w:iCs/>
          </w:rPr>
          <w:t>Reporting contraventions by intelligent access program service providers to TCA</w:t>
        </w:r>
        <w:r>
          <w:tab/>
        </w:r>
        <w:r>
          <w:fldChar w:fldCharType="begin"/>
        </w:r>
        <w:r>
          <w:instrText xml:space="preserve"> PAGEREF _Toc83625862 \h </w:instrText>
        </w:r>
        <w:r>
          <w:fldChar w:fldCharType="separate"/>
        </w:r>
        <w:r w:rsidR="005C5D7F">
          <w:t>384</w:t>
        </w:r>
        <w:r>
          <w:fldChar w:fldCharType="end"/>
        </w:r>
      </w:hyperlink>
    </w:p>
    <w:p w14:paraId="26FC0F46" w14:textId="463C928A" w:rsidR="005E03F7" w:rsidRDefault="005E03F7">
      <w:pPr>
        <w:pStyle w:val="TOC5"/>
        <w:rPr>
          <w:rFonts w:asciiTheme="minorHAnsi" w:eastAsiaTheme="minorEastAsia" w:hAnsiTheme="minorHAnsi" w:cstheme="minorBidi"/>
          <w:sz w:val="22"/>
          <w:szCs w:val="22"/>
          <w:lang w:eastAsia="en-AU"/>
        </w:rPr>
      </w:pPr>
      <w:r>
        <w:tab/>
      </w:r>
      <w:hyperlink w:anchor="_Toc83625863" w:history="1">
        <w:r w:rsidRPr="00D90FEA">
          <w:t>452</w:t>
        </w:r>
        <w:r>
          <w:rPr>
            <w:rFonts w:asciiTheme="minorHAnsi" w:eastAsiaTheme="minorEastAsia" w:hAnsiTheme="minorHAnsi" w:cstheme="minorBidi"/>
            <w:sz w:val="22"/>
            <w:szCs w:val="22"/>
            <w:lang w:eastAsia="en-AU"/>
          </w:rPr>
          <w:tab/>
        </w:r>
        <w:r w:rsidRPr="00D90FEA">
          <w:rPr>
            <w:rFonts w:ascii="Helvetica" w:hAnsi="Helvetica" w:cs="Helvetica"/>
            <w:iCs/>
          </w:rPr>
          <w:t>Reporting tampering or suspected tampering with approved intelligent transport system to Regulator or TCA</w:t>
        </w:r>
        <w:r>
          <w:tab/>
        </w:r>
        <w:r>
          <w:fldChar w:fldCharType="begin"/>
        </w:r>
        <w:r>
          <w:instrText xml:space="preserve"> PAGEREF _Toc83625863 \h </w:instrText>
        </w:r>
        <w:r>
          <w:fldChar w:fldCharType="separate"/>
        </w:r>
        <w:r w:rsidR="005C5D7F">
          <w:t>384</w:t>
        </w:r>
        <w:r>
          <w:fldChar w:fldCharType="end"/>
        </w:r>
      </w:hyperlink>
    </w:p>
    <w:p w14:paraId="2EE2C95F" w14:textId="0DFFCC4F" w:rsidR="005E03F7" w:rsidRDefault="005E03F7">
      <w:pPr>
        <w:pStyle w:val="TOC5"/>
        <w:rPr>
          <w:rFonts w:asciiTheme="minorHAnsi" w:eastAsiaTheme="minorEastAsia" w:hAnsiTheme="minorHAnsi" w:cstheme="minorBidi"/>
          <w:sz w:val="22"/>
          <w:szCs w:val="22"/>
          <w:lang w:eastAsia="en-AU"/>
        </w:rPr>
      </w:pPr>
      <w:r>
        <w:tab/>
      </w:r>
      <w:hyperlink w:anchor="_Toc83625864" w:history="1">
        <w:r w:rsidRPr="00D90FEA">
          <w:t>453</w:t>
        </w:r>
        <w:r>
          <w:rPr>
            <w:rFonts w:asciiTheme="minorHAnsi" w:eastAsiaTheme="minorEastAsia" w:hAnsiTheme="minorHAnsi" w:cstheme="minorBidi"/>
            <w:sz w:val="22"/>
            <w:szCs w:val="22"/>
            <w:lang w:eastAsia="en-AU"/>
          </w:rPr>
          <w:tab/>
        </w:r>
        <w:r w:rsidRPr="00D90FEA">
          <w:rPr>
            <w:rFonts w:ascii="Helvetica" w:hAnsi="Helvetica" w:cs="Helvetica"/>
            <w:iCs/>
          </w:rPr>
          <w:t>Restriction on disclosing information about tampering or suspected tampering with approved intelligent transport system</w:t>
        </w:r>
        <w:r>
          <w:tab/>
        </w:r>
        <w:r>
          <w:fldChar w:fldCharType="begin"/>
        </w:r>
        <w:r>
          <w:instrText xml:space="preserve"> PAGEREF _Toc83625864 \h </w:instrText>
        </w:r>
        <w:r>
          <w:fldChar w:fldCharType="separate"/>
        </w:r>
        <w:r w:rsidR="005C5D7F">
          <w:t>385</w:t>
        </w:r>
        <w:r>
          <w:fldChar w:fldCharType="end"/>
        </w:r>
      </w:hyperlink>
    </w:p>
    <w:p w14:paraId="4D540C4A" w14:textId="3EC25FC5" w:rsidR="005E03F7" w:rsidRDefault="00856BEE">
      <w:pPr>
        <w:pStyle w:val="TOC2"/>
        <w:rPr>
          <w:rFonts w:asciiTheme="minorHAnsi" w:eastAsiaTheme="minorEastAsia" w:hAnsiTheme="minorHAnsi" w:cstheme="minorBidi"/>
          <w:b w:val="0"/>
          <w:sz w:val="22"/>
          <w:szCs w:val="22"/>
          <w:lang w:eastAsia="en-AU"/>
        </w:rPr>
      </w:pPr>
      <w:hyperlink w:anchor="_Toc83625865" w:history="1">
        <w:r w:rsidR="005E03F7" w:rsidRPr="00D90FEA">
          <w:t xml:space="preserve">Part 7.7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Other provisions</w:t>
        </w:r>
        <w:r w:rsidR="005E03F7" w:rsidRPr="005E03F7">
          <w:rPr>
            <w:vanish/>
          </w:rPr>
          <w:tab/>
        </w:r>
        <w:r w:rsidR="005E03F7" w:rsidRPr="005E03F7">
          <w:rPr>
            <w:vanish/>
          </w:rPr>
          <w:fldChar w:fldCharType="begin"/>
        </w:r>
        <w:r w:rsidR="005E03F7" w:rsidRPr="005E03F7">
          <w:rPr>
            <w:vanish/>
          </w:rPr>
          <w:instrText xml:space="preserve"> PAGEREF _Toc83625865 \h </w:instrText>
        </w:r>
        <w:r w:rsidR="005E03F7" w:rsidRPr="005E03F7">
          <w:rPr>
            <w:vanish/>
          </w:rPr>
        </w:r>
        <w:r w:rsidR="005E03F7" w:rsidRPr="005E03F7">
          <w:rPr>
            <w:vanish/>
          </w:rPr>
          <w:fldChar w:fldCharType="separate"/>
        </w:r>
        <w:r w:rsidR="005C5D7F">
          <w:rPr>
            <w:vanish/>
          </w:rPr>
          <w:t>386</w:t>
        </w:r>
        <w:r w:rsidR="005E03F7" w:rsidRPr="005E03F7">
          <w:rPr>
            <w:vanish/>
          </w:rPr>
          <w:fldChar w:fldCharType="end"/>
        </w:r>
      </w:hyperlink>
    </w:p>
    <w:p w14:paraId="2C68575D" w14:textId="3B079E4E" w:rsidR="005E03F7" w:rsidRDefault="005E03F7">
      <w:pPr>
        <w:pStyle w:val="TOC5"/>
        <w:rPr>
          <w:rFonts w:asciiTheme="minorHAnsi" w:eastAsiaTheme="minorEastAsia" w:hAnsiTheme="minorHAnsi" w:cstheme="minorBidi"/>
          <w:sz w:val="22"/>
          <w:szCs w:val="22"/>
          <w:lang w:eastAsia="en-AU"/>
        </w:rPr>
      </w:pPr>
      <w:r>
        <w:tab/>
      </w:r>
      <w:hyperlink w:anchor="_Toc83625866" w:history="1">
        <w:r w:rsidRPr="00D90FEA">
          <w:t>454</w:t>
        </w:r>
        <w:r>
          <w:rPr>
            <w:rFonts w:asciiTheme="minorHAnsi" w:eastAsiaTheme="minorEastAsia" w:hAnsiTheme="minorHAnsi" w:cstheme="minorBidi"/>
            <w:sz w:val="22"/>
            <w:szCs w:val="22"/>
            <w:lang w:eastAsia="en-AU"/>
          </w:rPr>
          <w:tab/>
        </w:r>
        <w:r w:rsidRPr="00D90FEA">
          <w:rPr>
            <w:rFonts w:ascii="Helvetica" w:hAnsi="Helvetica" w:cs="Helvetica"/>
            <w:iCs/>
          </w:rPr>
          <w:t>Offence to tamper with approved intelligent transport system</w:t>
        </w:r>
        <w:r>
          <w:tab/>
        </w:r>
        <w:r>
          <w:fldChar w:fldCharType="begin"/>
        </w:r>
        <w:r>
          <w:instrText xml:space="preserve"> PAGEREF _Toc83625866 \h </w:instrText>
        </w:r>
        <w:r>
          <w:fldChar w:fldCharType="separate"/>
        </w:r>
        <w:r w:rsidR="005C5D7F">
          <w:t>386</w:t>
        </w:r>
        <w:r>
          <w:fldChar w:fldCharType="end"/>
        </w:r>
      </w:hyperlink>
    </w:p>
    <w:p w14:paraId="39EC5484" w14:textId="79F51CC1" w:rsidR="005E03F7" w:rsidRDefault="005E03F7">
      <w:pPr>
        <w:pStyle w:val="TOC5"/>
        <w:rPr>
          <w:rFonts w:asciiTheme="minorHAnsi" w:eastAsiaTheme="minorEastAsia" w:hAnsiTheme="minorHAnsi" w:cstheme="minorBidi"/>
          <w:sz w:val="22"/>
          <w:szCs w:val="22"/>
          <w:lang w:eastAsia="en-AU"/>
        </w:rPr>
      </w:pPr>
      <w:r>
        <w:tab/>
      </w:r>
      <w:hyperlink w:anchor="_Toc83625867" w:history="1">
        <w:r w:rsidRPr="00D90FEA">
          <w:t>455</w:t>
        </w:r>
        <w:r>
          <w:rPr>
            <w:rFonts w:asciiTheme="minorHAnsi" w:eastAsiaTheme="minorEastAsia" w:hAnsiTheme="minorHAnsi" w:cstheme="minorBidi"/>
            <w:sz w:val="22"/>
            <w:szCs w:val="22"/>
            <w:lang w:eastAsia="en-AU"/>
          </w:rPr>
          <w:tab/>
        </w:r>
        <w:r w:rsidRPr="00D90FEA">
          <w:rPr>
            <w:rFonts w:ascii="Helvetica" w:hAnsi="Helvetica" w:cs="Helvetica"/>
            <w:iCs/>
          </w:rPr>
          <w:t>Regulator may issue intelligent access program identifiers</w:t>
        </w:r>
        <w:r>
          <w:tab/>
        </w:r>
        <w:r>
          <w:fldChar w:fldCharType="begin"/>
        </w:r>
        <w:r>
          <w:instrText xml:space="preserve"> PAGEREF _Toc83625867 \h </w:instrText>
        </w:r>
        <w:r>
          <w:fldChar w:fldCharType="separate"/>
        </w:r>
        <w:r w:rsidR="005C5D7F">
          <w:t>387</w:t>
        </w:r>
        <w:r>
          <w:fldChar w:fldCharType="end"/>
        </w:r>
      </w:hyperlink>
    </w:p>
    <w:p w14:paraId="3A731B9A" w14:textId="03E0C802" w:rsidR="005E03F7" w:rsidRDefault="00856BEE">
      <w:pPr>
        <w:pStyle w:val="TOC1"/>
        <w:rPr>
          <w:rFonts w:asciiTheme="minorHAnsi" w:eastAsiaTheme="minorEastAsia" w:hAnsiTheme="minorHAnsi" w:cstheme="minorBidi"/>
          <w:b w:val="0"/>
          <w:sz w:val="22"/>
          <w:szCs w:val="22"/>
          <w:lang w:eastAsia="en-AU"/>
        </w:rPr>
      </w:pPr>
      <w:hyperlink w:anchor="_Toc83625868" w:history="1">
        <w:r w:rsidR="005E03F7" w:rsidRPr="00D90FEA">
          <w:t xml:space="preserve">Chapter 8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Accreditation</w:t>
        </w:r>
        <w:r w:rsidR="005E03F7" w:rsidRPr="005E03F7">
          <w:rPr>
            <w:vanish/>
          </w:rPr>
          <w:tab/>
        </w:r>
        <w:r w:rsidR="005E03F7" w:rsidRPr="005E03F7">
          <w:rPr>
            <w:vanish/>
          </w:rPr>
          <w:fldChar w:fldCharType="begin"/>
        </w:r>
        <w:r w:rsidR="005E03F7" w:rsidRPr="005E03F7">
          <w:rPr>
            <w:vanish/>
          </w:rPr>
          <w:instrText xml:space="preserve"> PAGEREF _Toc83625868 \h </w:instrText>
        </w:r>
        <w:r w:rsidR="005E03F7" w:rsidRPr="005E03F7">
          <w:rPr>
            <w:vanish/>
          </w:rPr>
        </w:r>
        <w:r w:rsidR="005E03F7" w:rsidRPr="005E03F7">
          <w:rPr>
            <w:vanish/>
          </w:rPr>
          <w:fldChar w:fldCharType="separate"/>
        </w:r>
        <w:r w:rsidR="005C5D7F">
          <w:rPr>
            <w:vanish/>
          </w:rPr>
          <w:t>388</w:t>
        </w:r>
        <w:r w:rsidR="005E03F7" w:rsidRPr="005E03F7">
          <w:rPr>
            <w:vanish/>
          </w:rPr>
          <w:fldChar w:fldCharType="end"/>
        </w:r>
      </w:hyperlink>
    </w:p>
    <w:p w14:paraId="6CF6C001" w14:textId="1FD1ADF3" w:rsidR="005E03F7" w:rsidRDefault="00856BEE">
      <w:pPr>
        <w:pStyle w:val="TOC2"/>
        <w:rPr>
          <w:rFonts w:asciiTheme="minorHAnsi" w:eastAsiaTheme="minorEastAsia" w:hAnsiTheme="minorHAnsi" w:cstheme="minorBidi"/>
          <w:b w:val="0"/>
          <w:sz w:val="22"/>
          <w:szCs w:val="22"/>
          <w:lang w:eastAsia="en-AU"/>
        </w:rPr>
      </w:pPr>
      <w:hyperlink w:anchor="_Toc83625869" w:history="1">
        <w:r w:rsidR="005E03F7" w:rsidRPr="00D90FEA">
          <w:t xml:space="preserve">Part 8.1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Preliminary</w:t>
        </w:r>
        <w:r w:rsidR="005E03F7" w:rsidRPr="005E03F7">
          <w:rPr>
            <w:vanish/>
          </w:rPr>
          <w:tab/>
        </w:r>
        <w:r w:rsidR="005E03F7" w:rsidRPr="005E03F7">
          <w:rPr>
            <w:vanish/>
          </w:rPr>
          <w:fldChar w:fldCharType="begin"/>
        </w:r>
        <w:r w:rsidR="005E03F7" w:rsidRPr="005E03F7">
          <w:rPr>
            <w:vanish/>
          </w:rPr>
          <w:instrText xml:space="preserve"> PAGEREF _Toc83625869 \h </w:instrText>
        </w:r>
        <w:r w:rsidR="005E03F7" w:rsidRPr="005E03F7">
          <w:rPr>
            <w:vanish/>
          </w:rPr>
        </w:r>
        <w:r w:rsidR="005E03F7" w:rsidRPr="005E03F7">
          <w:rPr>
            <w:vanish/>
          </w:rPr>
          <w:fldChar w:fldCharType="separate"/>
        </w:r>
        <w:r w:rsidR="005C5D7F">
          <w:rPr>
            <w:vanish/>
          </w:rPr>
          <w:t>388</w:t>
        </w:r>
        <w:r w:rsidR="005E03F7" w:rsidRPr="005E03F7">
          <w:rPr>
            <w:vanish/>
          </w:rPr>
          <w:fldChar w:fldCharType="end"/>
        </w:r>
      </w:hyperlink>
    </w:p>
    <w:p w14:paraId="5130D721" w14:textId="0A9997A1" w:rsidR="005E03F7" w:rsidRDefault="005E03F7">
      <w:pPr>
        <w:pStyle w:val="TOC5"/>
        <w:rPr>
          <w:rFonts w:asciiTheme="minorHAnsi" w:eastAsiaTheme="minorEastAsia" w:hAnsiTheme="minorHAnsi" w:cstheme="minorBidi"/>
          <w:sz w:val="22"/>
          <w:szCs w:val="22"/>
          <w:lang w:eastAsia="en-AU"/>
        </w:rPr>
      </w:pPr>
      <w:r>
        <w:tab/>
      </w:r>
      <w:hyperlink w:anchor="_Toc83625870" w:history="1">
        <w:r w:rsidRPr="00D90FEA">
          <w:t>456</w:t>
        </w:r>
        <w:r>
          <w:rPr>
            <w:rFonts w:asciiTheme="minorHAnsi" w:eastAsiaTheme="minorEastAsia" w:hAnsiTheme="minorHAnsi" w:cstheme="minorBidi"/>
            <w:sz w:val="22"/>
            <w:szCs w:val="22"/>
            <w:lang w:eastAsia="en-AU"/>
          </w:rPr>
          <w:tab/>
        </w:r>
        <w:r w:rsidRPr="00D90FEA">
          <w:rPr>
            <w:rFonts w:ascii="Helvetica" w:hAnsi="Helvetica" w:cs="Helvetica"/>
            <w:iCs/>
          </w:rPr>
          <w:t>Purpose of Ch 8</w:t>
        </w:r>
        <w:r>
          <w:tab/>
        </w:r>
        <w:r>
          <w:fldChar w:fldCharType="begin"/>
        </w:r>
        <w:r>
          <w:instrText xml:space="preserve"> PAGEREF _Toc83625870 \h </w:instrText>
        </w:r>
        <w:r>
          <w:fldChar w:fldCharType="separate"/>
        </w:r>
        <w:r w:rsidR="005C5D7F">
          <w:t>388</w:t>
        </w:r>
        <w:r>
          <w:fldChar w:fldCharType="end"/>
        </w:r>
      </w:hyperlink>
    </w:p>
    <w:p w14:paraId="59B9F510" w14:textId="1254E3C6" w:rsidR="005E03F7" w:rsidRDefault="005E03F7">
      <w:pPr>
        <w:pStyle w:val="TOC5"/>
        <w:rPr>
          <w:rFonts w:asciiTheme="minorHAnsi" w:eastAsiaTheme="minorEastAsia" w:hAnsiTheme="minorHAnsi" w:cstheme="minorBidi"/>
          <w:sz w:val="22"/>
          <w:szCs w:val="22"/>
          <w:lang w:eastAsia="en-AU"/>
        </w:rPr>
      </w:pPr>
      <w:r>
        <w:tab/>
      </w:r>
      <w:hyperlink w:anchor="_Toc83625871" w:history="1">
        <w:r w:rsidRPr="00D90FEA">
          <w:t>457</w:t>
        </w:r>
        <w:r>
          <w:rPr>
            <w:rFonts w:asciiTheme="minorHAnsi" w:eastAsiaTheme="minorEastAsia" w:hAnsiTheme="minorHAnsi" w:cstheme="minorBidi"/>
            <w:sz w:val="22"/>
            <w:szCs w:val="22"/>
            <w:lang w:eastAsia="en-AU"/>
          </w:rPr>
          <w:tab/>
        </w:r>
        <w:r w:rsidRPr="00D90FEA">
          <w:rPr>
            <w:rFonts w:ascii="Helvetica" w:hAnsi="Helvetica" w:cs="Helvetica"/>
            <w:iCs/>
          </w:rPr>
          <w:t>Definitions for Ch 8</w:t>
        </w:r>
        <w:r>
          <w:tab/>
        </w:r>
        <w:r>
          <w:fldChar w:fldCharType="begin"/>
        </w:r>
        <w:r>
          <w:instrText xml:space="preserve"> PAGEREF _Toc83625871 \h </w:instrText>
        </w:r>
        <w:r>
          <w:fldChar w:fldCharType="separate"/>
        </w:r>
        <w:r w:rsidR="005C5D7F">
          <w:t>388</w:t>
        </w:r>
        <w:r>
          <w:fldChar w:fldCharType="end"/>
        </w:r>
      </w:hyperlink>
    </w:p>
    <w:p w14:paraId="4DFB4C1D" w14:textId="4F5D2B55" w:rsidR="005E03F7" w:rsidRDefault="00856BEE">
      <w:pPr>
        <w:pStyle w:val="TOC2"/>
        <w:rPr>
          <w:rFonts w:asciiTheme="minorHAnsi" w:eastAsiaTheme="minorEastAsia" w:hAnsiTheme="minorHAnsi" w:cstheme="minorBidi"/>
          <w:b w:val="0"/>
          <w:sz w:val="22"/>
          <w:szCs w:val="22"/>
          <w:lang w:eastAsia="en-AU"/>
        </w:rPr>
      </w:pPr>
      <w:hyperlink w:anchor="_Toc83625872" w:history="1">
        <w:r w:rsidR="005E03F7" w:rsidRPr="00D90FEA">
          <w:t xml:space="preserve">Part 8.2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Grant of heavy vehicle accreditation</w:t>
        </w:r>
        <w:r w:rsidR="005E03F7" w:rsidRPr="005E03F7">
          <w:rPr>
            <w:vanish/>
          </w:rPr>
          <w:tab/>
        </w:r>
        <w:r w:rsidR="005E03F7" w:rsidRPr="005E03F7">
          <w:rPr>
            <w:vanish/>
          </w:rPr>
          <w:fldChar w:fldCharType="begin"/>
        </w:r>
        <w:r w:rsidR="005E03F7" w:rsidRPr="005E03F7">
          <w:rPr>
            <w:vanish/>
          </w:rPr>
          <w:instrText xml:space="preserve"> PAGEREF _Toc83625872 \h </w:instrText>
        </w:r>
        <w:r w:rsidR="005E03F7" w:rsidRPr="005E03F7">
          <w:rPr>
            <w:vanish/>
          </w:rPr>
        </w:r>
        <w:r w:rsidR="005E03F7" w:rsidRPr="005E03F7">
          <w:rPr>
            <w:vanish/>
          </w:rPr>
          <w:fldChar w:fldCharType="separate"/>
        </w:r>
        <w:r w:rsidR="005C5D7F">
          <w:rPr>
            <w:vanish/>
          </w:rPr>
          <w:t>393</w:t>
        </w:r>
        <w:r w:rsidR="005E03F7" w:rsidRPr="005E03F7">
          <w:rPr>
            <w:vanish/>
          </w:rPr>
          <w:fldChar w:fldCharType="end"/>
        </w:r>
      </w:hyperlink>
    </w:p>
    <w:p w14:paraId="3CA3E48E" w14:textId="63972748" w:rsidR="005E03F7" w:rsidRDefault="005E03F7">
      <w:pPr>
        <w:pStyle w:val="TOC5"/>
        <w:rPr>
          <w:rFonts w:asciiTheme="minorHAnsi" w:eastAsiaTheme="minorEastAsia" w:hAnsiTheme="minorHAnsi" w:cstheme="minorBidi"/>
          <w:sz w:val="22"/>
          <w:szCs w:val="22"/>
          <w:lang w:eastAsia="en-AU"/>
        </w:rPr>
      </w:pPr>
      <w:r>
        <w:tab/>
      </w:r>
      <w:hyperlink w:anchor="_Toc83625873" w:history="1">
        <w:r w:rsidRPr="00D90FEA">
          <w:t>458</w:t>
        </w:r>
        <w:r>
          <w:rPr>
            <w:rFonts w:asciiTheme="minorHAnsi" w:eastAsiaTheme="minorEastAsia" w:hAnsiTheme="minorHAnsi" w:cstheme="minorBidi"/>
            <w:sz w:val="22"/>
            <w:szCs w:val="22"/>
            <w:lang w:eastAsia="en-AU"/>
          </w:rPr>
          <w:tab/>
        </w:r>
        <w:r w:rsidRPr="00D90FEA">
          <w:rPr>
            <w:rFonts w:ascii="Helvetica" w:hAnsi="Helvetica" w:cs="Helvetica"/>
            <w:iCs/>
          </w:rPr>
          <w:t>Regulator’s power to grant heavy vehicle accreditation</w:t>
        </w:r>
        <w:r>
          <w:tab/>
        </w:r>
        <w:r>
          <w:fldChar w:fldCharType="begin"/>
        </w:r>
        <w:r>
          <w:instrText xml:space="preserve"> PAGEREF _Toc83625873 \h </w:instrText>
        </w:r>
        <w:r>
          <w:fldChar w:fldCharType="separate"/>
        </w:r>
        <w:r w:rsidR="005C5D7F">
          <w:t>393</w:t>
        </w:r>
        <w:r>
          <w:fldChar w:fldCharType="end"/>
        </w:r>
      </w:hyperlink>
    </w:p>
    <w:p w14:paraId="7683E443" w14:textId="0B4A8B9F" w:rsidR="005E03F7" w:rsidRDefault="005E03F7">
      <w:pPr>
        <w:pStyle w:val="TOC5"/>
        <w:rPr>
          <w:rFonts w:asciiTheme="minorHAnsi" w:eastAsiaTheme="minorEastAsia" w:hAnsiTheme="minorHAnsi" w:cstheme="minorBidi"/>
          <w:sz w:val="22"/>
          <w:szCs w:val="22"/>
          <w:lang w:eastAsia="en-AU"/>
        </w:rPr>
      </w:pPr>
      <w:r>
        <w:tab/>
      </w:r>
      <w:hyperlink w:anchor="_Toc83625874" w:history="1">
        <w:r w:rsidRPr="00D90FEA">
          <w:t>459</w:t>
        </w:r>
        <w:r>
          <w:rPr>
            <w:rFonts w:asciiTheme="minorHAnsi" w:eastAsiaTheme="minorEastAsia" w:hAnsiTheme="minorHAnsi" w:cstheme="minorBidi"/>
            <w:sz w:val="22"/>
            <w:szCs w:val="22"/>
            <w:lang w:eastAsia="en-AU"/>
          </w:rPr>
          <w:tab/>
        </w:r>
        <w:r w:rsidRPr="00D90FEA">
          <w:rPr>
            <w:rFonts w:ascii="Helvetica" w:hAnsi="Helvetica" w:cs="Helvetica"/>
            <w:iCs/>
          </w:rPr>
          <w:t>Application for heavy vehicle accreditation</w:t>
        </w:r>
        <w:r>
          <w:tab/>
        </w:r>
        <w:r>
          <w:fldChar w:fldCharType="begin"/>
        </w:r>
        <w:r>
          <w:instrText xml:space="preserve"> PAGEREF _Toc83625874 \h </w:instrText>
        </w:r>
        <w:r>
          <w:fldChar w:fldCharType="separate"/>
        </w:r>
        <w:r w:rsidR="005C5D7F">
          <w:t>393</w:t>
        </w:r>
        <w:r>
          <w:fldChar w:fldCharType="end"/>
        </w:r>
      </w:hyperlink>
    </w:p>
    <w:p w14:paraId="3CD8E5E3" w14:textId="5BDB3263" w:rsidR="005E03F7" w:rsidRDefault="005E03F7">
      <w:pPr>
        <w:pStyle w:val="TOC5"/>
        <w:rPr>
          <w:rFonts w:asciiTheme="minorHAnsi" w:eastAsiaTheme="minorEastAsia" w:hAnsiTheme="minorHAnsi" w:cstheme="minorBidi"/>
          <w:sz w:val="22"/>
          <w:szCs w:val="22"/>
          <w:lang w:eastAsia="en-AU"/>
        </w:rPr>
      </w:pPr>
      <w:r>
        <w:tab/>
      </w:r>
      <w:hyperlink w:anchor="_Toc83625875" w:history="1">
        <w:r w:rsidRPr="00D90FEA">
          <w:t>460</w:t>
        </w:r>
        <w:r>
          <w:rPr>
            <w:rFonts w:asciiTheme="minorHAnsi" w:eastAsiaTheme="minorEastAsia" w:hAnsiTheme="minorHAnsi" w:cstheme="minorBidi"/>
            <w:sz w:val="22"/>
            <w:szCs w:val="22"/>
            <w:lang w:eastAsia="en-AU"/>
          </w:rPr>
          <w:tab/>
        </w:r>
        <w:r w:rsidRPr="00D90FEA">
          <w:rPr>
            <w:rFonts w:ascii="Helvetica" w:hAnsi="Helvetica" w:cs="Helvetica"/>
            <w:iCs/>
          </w:rPr>
          <w:t>Obtaining criminal history information about applicant</w:t>
        </w:r>
        <w:r>
          <w:tab/>
        </w:r>
        <w:r>
          <w:fldChar w:fldCharType="begin"/>
        </w:r>
        <w:r>
          <w:instrText xml:space="preserve"> PAGEREF _Toc83625875 \h </w:instrText>
        </w:r>
        <w:r>
          <w:fldChar w:fldCharType="separate"/>
        </w:r>
        <w:r w:rsidR="005C5D7F">
          <w:t>395</w:t>
        </w:r>
        <w:r>
          <w:fldChar w:fldCharType="end"/>
        </w:r>
      </w:hyperlink>
    </w:p>
    <w:p w14:paraId="67F7FF91" w14:textId="4A4301ED" w:rsidR="005E03F7" w:rsidRDefault="005E03F7">
      <w:pPr>
        <w:pStyle w:val="TOC5"/>
        <w:rPr>
          <w:rFonts w:asciiTheme="minorHAnsi" w:eastAsiaTheme="minorEastAsia" w:hAnsiTheme="minorHAnsi" w:cstheme="minorBidi"/>
          <w:sz w:val="22"/>
          <w:szCs w:val="22"/>
          <w:lang w:eastAsia="en-AU"/>
        </w:rPr>
      </w:pPr>
      <w:r>
        <w:tab/>
      </w:r>
      <w:hyperlink w:anchor="_Toc83625876" w:history="1">
        <w:r w:rsidRPr="00D90FEA">
          <w:t>461</w:t>
        </w:r>
        <w:r>
          <w:rPr>
            <w:rFonts w:asciiTheme="minorHAnsi" w:eastAsiaTheme="minorEastAsia" w:hAnsiTheme="minorHAnsi" w:cstheme="minorBidi"/>
            <w:sz w:val="22"/>
            <w:szCs w:val="22"/>
            <w:lang w:eastAsia="en-AU"/>
          </w:rPr>
          <w:tab/>
        </w:r>
        <w:r w:rsidRPr="00D90FEA">
          <w:rPr>
            <w:rFonts w:ascii="Helvetica" w:hAnsi="Helvetica" w:cs="Helvetica"/>
            <w:iCs/>
          </w:rPr>
          <w:t>Restriction on grant of heavy vehicle accreditation</w:t>
        </w:r>
        <w:r>
          <w:tab/>
        </w:r>
        <w:r>
          <w:fldChar w:fldCharType="begin"/>
        </w:r>
        <w:r>
          <w:instrText xml:space="preserve"> PAGEREF _Toc83625876 \h </w:instrText>
        </w:r>
        <w:r>
          <w:fldChar w:fldCharType="separate"/>
        </w:r>
        <w:r w:rsidR="005C5D7F">
          <w:t>396</w:t>
        </w:r>
        <w:r>
          <w:fldChar w:fldCharType="end"/>
        </w:r>
      </w:hyperlink>
    </w:p>
    <w:p w14:paraId="3014502B" w14:textId="39BB0B7B" w:rsidR="005E03F7" w:rsidRDefault="005E03F7">
      <w:pPr>
        <w:pStyle w:val="TOC5"/>
        <w:rPr>
          <w:rFonts w:asciiTheme="minorHAnsi" w:eastAsiaTheme="minorEastAsia" w:hAnsiTheme="minorHAnsi" w:cstheme="minorBidi"/>
          <w:sz w:val="22"/>
          <w:szCs w:val="22"/>
          <w:lang w:eastAsia="en-AU"/>
        </w:rPr>
      </w:pPr>
      <w:r>
        <w:tab/>
      </w:r>
      <w:hyperlink w:anchor="_Toc83625877" w:history="1">
        <w:r w:rsidRPr="00D90FEA">
          <w:t>462</w:t>
        </w:r>
        <w:r>
          <w:rPr>
            <w:rFonts w:asciiTheme="minorHAnsi" w:eastAsiaTheme="minorEastAsia" w:hAnsiTheme="minorHAnsi" w:cstheme="minorBidi"/>
            <w:sz w:val="22"/>
            <w:szCs w:val="22"/>
            <w:lang w:eastAsia="en-AU"/>
          </w:rPr>
          <w:tab/>
        </w:r>
        <w:r w:rsidRPr="00D90FEA">
          <w:rPr>
            <w:rFonts w:ascii="Helvetica" w:hAnsi="Helvetica" w:cs="Helvetica"/>
            <w:iCs/>
          </w:rPr>
          <w:t>Conditions of heavy vehicle accreditation</w:t>
        </w:r>
        <w:r>
          <w:tab/>
        </w:r>
        <w:r>
          <w:fldChar w:fldCharType="begin"/>
        </w:r>
        <w:r>
          <w:instrText xml:space="preserve"> PAGEREF _Toc83625877 \h </w:instrText>
        </w:r>
        <w:r>
          <w:fldChar w:fldCharType="separate"/>
        </w:r>
        <w:r w:rsidR="005C5D7F">
          <w:t>398</w:t>
        </w:r>
        <w:r>
          <w:fldChar w:fldCharType="end"/>
        </w:r>
      </w:hyperlink>
    </w:p>
    <w:p w14:paraId="16544A14" w14:textId="4073F6E5" w:rsidR="005E03F7" w:rsidRDefault="005E03F7">
      <w:pPr>
        <w:pStyle w:val="TOC5"/>
        <w:rPr>
          <w:rFonts w:asciiTheme="minorHAnsi" w:eastAsiaTheme="minorEastAsia" w:hAnsiTheme="minorHAnsi" w:cstheme="minorBidi"/>
          <w:sz w:val="22"/>
          <w:szCs w:val="22"/>
          <w:lang w:eastAsia="en-AU"/>
        </w:rPr>
      </w:pPr>
      <w:r>
        <w:tab/>
      </w:r>
      <w:hyperlink w:anchor="_Toc83625878" w:history="1">
        <w:r w:rsidRPr="00D90FEA">
          <w:t>463</w:t>
        </w:r>
        <w:r>
          <w:rPr>
            <w:rFonts w:asciiTheme="minorHAnsi" w:eastAsiaTheme="minorEastAsia" w:hAnsiTheme="minorHAnsi" w:cstheme="minorBidi"/>
            <w:sz w:val="22"/>
            <w:szCs w:val="22"/>
            <w:lang w:eastAsia="en-AU"/>
          </w:rPr>
          <w:tab/>
        </w:r>
        <w:r w:rsidRPr="00D90FEA">
          <w:rPr>
            <w:rFonts w:ascii="Helvetica" w:hAnsi="Helvetica" w:cs="Helvetica"/>
            <w:iCs/>
          </w:rPr>
          <w:t>Period for which heavy vehicle accreditation applies</w:t>
        </w:r>
        <w:r>
          <w:tab/>
        </w:r>
        <w:r>
          <w:fldChar w:fldCharType="begin"/>
        </w:r>
        <w:r>
          <w:instrText xml:space="preserve"> PAGEREF _Toc83625878 \h </w:instrText>
        </w:r>
        <w:r>
          <w:fldChar w:fldCharType="separate"/>
        </w:r>
        <w:r w:rsidR="005C5D7F">
          <w:t>398</w:t>
        </w:r>
        <w:r>
          <w:fldChar w:fldCharType="end"/>
        </w:r>
      </w:hyperlink>
    </w:p>
    <w:p w14:paraId="3AAAAD8B" w14:textId="0BB85A2B" w:rsidR="005E03F7" w:rsidRDefault="005E03F7">
      <w:pPr>
        <w:pStyle w:val="TOC5"/>
        <w:rPr>
          <w:rFonts w:asciiTheme="minorHAnsi" w:eastAsiaTheme="minorEastAsia" w:hAnsiTheme="minorHAnsi" w:cstheme="minorBidi"/>
          <w:sz w:val="22"/>
          <w:szCs w:val="22"/>
          <w:lang w:eastAsia="en-AU"/>
        </w:rPr>
      </w:pPr>
      <w:r>
        <w:tab/>
      </w:r>
      <w:hyperlink w:anchor="_Toc83625879" w:history="1">
        <w:r w:rsidRPr="00D90FEA">
          <w:t>464</w:t>
        </w:r>
        <w:r>
          <w:rPr>
            <w:rFonts w:asciiTheme="minorHAnsi" w:eastAsiaTheme="minorEastAsia" w:hAnsiTheme="minorHAnsi" w:cstheme="minorBidi"/>
            <w:sz w:val="22"/>
            <w:szCs w:val="22"/>
            <w:lang w:eastAsia="en-AU"/>
          </w:rPr>
          <w:tab/>
        </w:r>
        <w:r w:rsidRPr="00D90FEA">
          <w:rPr>
            <w:rFonts w:ascii="Helvetica" w:hAnsi="Helvetica" w:cs="Helvetica"/>
            <w:iCs/>
          </w:rPr>
          <w:t>Accreditation certificate for heavy vehicle accreditation etc.</w:t>
        </w:r>
        <w:r>
          <w:tab/>
        </w:r>
        <w:r>
          <w:fldChar w:fldCharType="begin"/>
        </w:r>
        <w:r>
          <w:instrText xml:space="preserve"> PAGEREF _Toc83625879 \h </w:instrText>
        </w:r>
        <w:r>
          <w:fldChar w:fldCharType="separate"/>
        </w:r>
        <w:r w:rsidR="005C5D7F">
          <w:t>399</w:t>
        </w:r>
        <w:r>
          <w:fldChar w:fldCharType="end"/>
        </w:r>
      </w:hyperlink>
    </w:p>
    <w:p w14:paraId="40D083E4" w14:textId="0329DD89" w:rsidR="005E03F7" w:rsidRDefault="005E03F7">
      <w:pPr>
        <w:pStyle w:val="TOC5"/>
        <w:rPr>
          <w:rFonts w:asciiTheme="minorHAnsi" w:eastAsiaTheme="minorEastAsia" w:hAnsiTheme="minorHAnsi" w:cstheme="minorBidi"/>
          <w:sz w:val="22"/>
          <w:szCs w:val="22"/>
          <w:lang w:eastAsia="en-AU"/>
        </w:rPr>
      </w:pPr>
      <w:r>
        <w:tab/>
      </w:r>
      <w:hyperlink w:anchor="_Toc83625880" w:history="1">
        <w:r w:rsidRPr="00D90FEA">
          <w:t>465</w:t>
        </w:r>
        <w:r>
          <w:rPr>
            <w:rFonts w:asciiTheme="minorHAnsi" w:eastAsiaTheme="minorEastAsia" w:hAnsiTheme="minorHAnsi" w:cstheme="minorBidi"/>
            <w:sz w:val="22"/>
            <w:szCs w:val="22"/>
            <w:lang w:eastAsia="en-AU"/>
          </w:rPr>
          <w:tab/>
        </w:r>
        <w:r w:rsidRPr="00D90FEA">
          <w:rPr>
            <w:rFonts w:ascii="Helvetica" w:hAnsi="Helvetica" w:cs="Helvetica"/>
            <w:iCs/>
          </w:rPr>
          <w:t>Refusal of application for heavy vehicle accreditation</w:t>
        </w:r>
        <w:r>
          <w:tab/>
        </w:r>
        <w:r>
          <w:fldChar w:fldCharType="begin"/>
        </w:r>
        <w:r>
          <w:instrText xml:space="preserve"> PAGEREF _Toc83625880 \h </w:instrText>
        </w:r>
        <w:r>
          <w:fldChar w:fldCharType="separate"/>
        </w:r>
        <w:r w:rsidR="005C5D7F">
          <w:t>400</w:t>
        </w:r>
        <w:r>
          <w:fldChar w:fldCharType="end"/>
        </w:r>
      </w:hyperlink>
    </w:p>
    <w:p w14:paraId="1A6085DE" w14:textId="3B128475" w:rsidR="005E03F7" w:rsidRDefault="005E03F7">
      <w:pPr>
        <w:pStyle w:val="TOC5"/>
        <w:rPr>
          <w:rFonts w:asciiTheme="minorHAnsi" w:eastAsiaTheme="minorEastAsia" w:hAnsiTheme="minorHAnsi" w:cstheme="minorBidi"/>
          <w:sz w:val="22"/>
          <w:szCs w:val="22"/>
          <w:lang w:eastAsia="en-AU"/>
        </w:rPr>
      </w:pPr>
      <w:r>
        <w:tab/>
      </w:r>
      <w:hyperlink w:anchor="_Toc83625881" w:history="1">
        <w:r w:rsidRPr="00D90FEA">
          <w:t>466</w:t>
        </w:r>
        <w:r>
          <w:rPr>
            <w:rFonts w:asciiTheme="minorHAnsi" w:eastAsiaTheme="minorEastAsia" w:hAnsiTheme="minorHAnsi" w:cstheme="minorBidi"/>
            <w:sz w:val="22"/>
            <w:szCs w:val="22"/>
            <w:lang w:eastAsia="en-AU"/>
          </w:rPr>
          <w:tab/>
        </w:r>
        <w:r w:rsidRPr="00D90FEA">
          <w:rPr>
            <w:rFonts w:ascii="Helvetica" w:hAnsi="Helvetica" w:cs="Helvetica"/>
            <w:iCs/>
          </w:rPr>
          <w:t>Accreditation labels for maintenance management accreditation and mass management accreditation</w:t>
        </w:r>
        <w:r>
          <w:tab/>
        </w:r>
        <w:r>
          <w:fldChar w:fldCharType="begin"/>
        </w:r>
        <w:r>
          <w:instrText xml:space="preserve"> PAGEREF _Toc83625881 \h </w:instrText>
        </w:r>
        <w:r>
          <w:fldChar w:fldCharType="separate"/>
        </w:r>
        <w:r w:rsidR="005C5D7F">
          <w:t>400</w:t>
        </w:r>
        <w:r>
          <w:fldChar w:fldCharType="end"/>
        </w:r>
      </w:hyperlink>
    </w:p>
    <w:p w14:paraId="03FC466E" w14:textId="295A06B3" w:rsidR="005E03F7" w:rsidRDefault="00856BEE">
      <w:pPr>
        <w:pStyle w:val="TOC2"/>
        <w:rPr>
          <w:rFonts w:asciiTheme="minorHAnsi" w:eastAsiaTheme="minorEastAsia" w:hAnsiTheme="minorHAnsi" w:cstheme="minorBidi"/>
          <w:b w:val="0"/>
          <w:sz w:val="22"/>
          <w:szCs w:val="22"/>
          <w:lang w:eastAsia="en-AU"/>
        </w:rPr>
      </w:pPr>
      <w:hyperlink w:anchor="_Toc83625882" w:history="1">
        <w:r w:rsidR="005E03F7" w:rsidRPr="00D90FEA">
          <w:t xml:space="preserve">Part 8.3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Operating under heavy vehicle accreditation</w:t>
        </w:r>
        <w:r w:rsidR="005E03F7" w:rsidRPr="005E03F7">
          <w:rPr>
            <w:vanish/>
          </w:rPr>
          <w:tab/>
        </w:r>
        <w:r w:rsidR="005E03F7" w:rsidRPr="005E03F7">
          <w:rPr>
            <w:vanish/>
          </w:rPr>
          <w:fldChar w:fldCharType="begin"/>
        </w:r>
        <w:r w:rsidR="005E03F7" w:rsidRPr="005E03F7">
          <w:rPr>
            <w:vanish/>
          </w:rPr>
          <w:instrText xml:space="preserve"> PAGEREF _Toc83625882 \h </w:instrText>
        </w:r>
        <w:r w:rsidR="005E03F7" w:rsidRPr="005E03F7">
          <w:rPr>
            <w:vanish/>
          </w:rPr>
        </w:r>
        <w:r w:rsidR="005E03F7" w:rsidRPr="005E03F7">
          <w:rPr>
            <w:vanish/>
          </w:rPr>
          <w:fldChar w:fldCharType="separate"/>
        </w:r>
        <w:r w:rsidR="005C5D7F">
          <w:rPr>
            <w:vanish/>
          </w:rPr>
          <w:t>402</w:t>
        </w:r>
        <w:r w:rsidR="005E03F7" w:rsidRPr="005E03F7">
          <w:rPr>
            <w:vanish/>
          </w:rPr>
          <w:fldChar w:fldCharType="end"/>
        </w:r>
      </w:hyperlink>
    </w:p>
    <w:p w14:paraId="0026A6F5" w14:textId="177687F1" w:rsidR="005E03F7" w:rsidRDefault="005E03F7">
      <w:pPr>
        <w:pStyle w:val="TOC5"/>
        <w:rPr>
          <w:rFonts w:asciiTheme="minorHAnsi" w:eastAsiaTheme="minorEastAsia" w:hAnsiTheme="minorHAnsi" w:cstheme="minorBidi"/>
          <w:sz w:val="22"/>
          <w:szCs w:val="22"/>
          <w:lang w:eastAsia="en-AU"/>
        </w:rPr>
      </w:pPr>
      <w:r>
        <w:tab/>
      </w:r>
      <w:hyperlink w:anchor="_Toc83625883" w:history="1">
        <w:r w:rsidRPr="00D90FEA">
          <w:t>467</w:t>
        </w:r>
        <w:r>
          <w:rPr>
            <w:rFonts w:asciiTheme="minorHAnsi" w:eastAsiaTheme="minorEastAsia" w:hAnsiTheme="minorHAnsi" w:cstheme="minorBidi"/>
            <w:sz w:val="22"/>
            <w:szCs w:val="22"/>
            <w:lang w:eastAsia="en-AU"/>
          </w:rPr>
          <w:tab/>
        </w:r>
        <w:r w:rsidRPr="00D90FEA">
          <w:rPr>
            <w:rFonts w:ascii="Helvetica" w:hAnsi="Helvetica" w:cs="Helvetica"/>
            <w:iCs/>
          </w:rPr>
          <w:t>Compliance with conditions of BFM accreditation or AFM accreditation</w:t>
        </w:r>
        <w:r>
          <w:tab/>
        </w:r>
        <w:r>
          <w:fldChar w:fldCharType="begin"/>
        </w:r>
        <w:r>
          <w:instrText xml:space="preserve"> PAGEREF _Toc83625883 \h </w:instrText>
        </w:r>
        <w:r>
          <w:fldChar w:fldCharType="separate"/>
        </w:r>
        <w:r w:rsidR="005C5D7F">
          <w:t>402</w:t>
        </w:r>
        <w:r>
          <w:fldChar w:fldCharType="end"/>
        </w:r>
      </w:hyperlink>
    </w:p>
    <w:p w14:paraId="65DFB2EF" w14:textId="71369B1A" w:rsidR="005E03F7" w:rsidRDefault="005E03F7">
      <w:pPr>
        <w:pStyle w:val="TOC5"/>
        <w:rPr>
          <w:rFonts w:asciiTheme="minorHAnsi" w:eastAsiaTheme="minorEastAsia" w:hAnsiTheme="minorHAnsi" w:cstheme="minorBidi"/>
          <w:sz w:val="22"/>
          <w:szCs w:val="22"/>
          <w:lang w:eastAsia="en-AU"/>
        </w:rPr>
      </w:pPr>
      <w:r>
        <w:tab/>
      </w:r>
      <w:hyperlink w:anchor="_Toc83625884" w:history="1">
        <w:r w:rsidRPr="00D90FEA">
          <w:t>468</w:t>
        </w:r>
        <w:r>
          <w:rPr>
            <w:rFonts w:asciiTheme="minorHAnsi" w:eastAsiaTheme="minorEastAsia" w:hAnsiTheme="minorHAnsi" w:cstheme="minorBidi"/>
            <w:sz w:val="22"/>
            <w:szCs w:val="22"/>
            <w:lang w:eastAsia="en-AU"/>
          </w:rPr>
          <w:tab/>
        </w:r>
        <w:r w:rsidRPr="00D90FEA">
          <w:rPr>
            <w:rFonts w:ascii="Helvetica" w:hAnsi="Helvetica" w:cs="Helvetica"/>
            <w:iCs/>
          </w:rPr>
          <w:t>Driver operating under BFM accreditation or AFM accreditation must carry accreditation details</w:t>
        </w:r>
        <w:r>
          <w:tab/>
        </w:r>
        <w:r>
          <w:fldChar w:fldCharType="begin"/>
        </w:r>
        <w:r>
          <w:instrText xml:space="preserve"> PAGEREF _Toc83625884 \h </w:instrText>
        </w:r>
        <w:r>
          <w:fldChar w:fldCharType="separate"/>
        </w:r>
        <w:r w:rsidR="005C5D7F">
          <w:t>402</w:t>
        </w:r>
        <w:r>
          <w:fldChar w:fldCharType="end"/>
        </w:r>
      </w:hyperlink>
    </w:p>
    <w:p w14:paraId="51E061ED" w14:textId="7FAADCB4" w:rsidR="005E03F7" w:rsidRDefault="005E03F7">
      <w:pPr>
        <w:pStyle w:val="TOC5"/>
        <w:rPr>
          <w:rFonts w:asciiTheme="minorHAnsi" w:eastAsiaTheme="minorEastAsia" w:hAnsiTheme="minorHAnsi" w:cstheme="minorBidi"/>
          <w:sz w:val="22"/>
          <w:szCs w:val="22"/>
          <w:lang w:eastAsia="en-AU"/>
        </w:rPr>
      </w:pPr>
      <w:r>
        <w:tab/>
      </w:r>
      <w:hyperlink w:anchor="_Toc83625885" w:history="1">
        <w:r w:rsidRPr="00D90FEA">
          <w:t>469</w:t>
        </w:r>
        <w:r>
          <w:rPr>
            <w:rFonts w:asciiTheme="minorHAnsi" w:eastAsiaTheme="minorEastAsia" w:hAnsiTheme="minorHAnsi" w:cstheme="minorBidi"/>
            <w:sz w:val="22"/>
            <w:szCs w:val="22"/>
            <w:lang w:eastAsia="en-AU"/>
          </w:rPr>
          <w:tab/>
        </w:r>
        <w:r w:rsidRPr="00D90FEA">
          <w:rPr>
            <w:rFonts w:ascii="Helvetica" w:hAnsi="Helvetica" w:cs="Helvetica"/>
            <w:iCs/>
          </w:rPr>
          <w:t>Driver must return particular documents if stops operating under BFM accreditation or AFM accreditation etc.</w:t>
        </w:r>
        <w:r>
          <w:tab/>
        </w:r>
        <w:r>
          <w:fldChar w:fldCharType="begin"/>
        </w:r>
        <w:r>
          <w:instrText xml:space="preserve"> PAGEREF _Toc83625885 \h </w:instrText>
        </w:r>
        <w:r>
          <w:fldChar w:fldCharType="separate"/>
        </w:r>
        <w:r w:rsidR="005C5D7F">
          <w:t>403</w:t>
        </w:r>
        <w:r>
          <w:fldChar w:fldCharType="end"/>
        </w:r>
      </w:hyperlink>
    </w:p>
    <w:p w14:paraId="2819A6ED" w14:textId="5B5DC62E" w:rsidR="005E03F7" w:rsidRDefault="005E03F7">
      <w:pPr>
        <w:pStyle w:val="TOC5"/>
        <w:rPr>
          <w:rFonts w:asciiTheme="minorHAnsi" w:eastAsiaTheme="minorEastAsia" w:hAnsiTheme="minorHAnsi" w:cstheme="minorBidi"/>
          <w:sz w:val="22"/>
          <w:szCs w:val="22"/>
          <w:lang w:eastAsia="en-AU"/>
        </w:rPr>
      </w:pPr>
      <w:r>
        <w:tab/>
      </w:r>
      <w:hyperlink w:anchor="_Toc83625886" w:history="1">
        <w:r w:rsidRPr="00D90FEA">
          <w:t>470</w:t>
        </w:r>
        <w:r>
          <w:rPr>
            <w:rFonts w:asciiTheme="minorHAnsi" w:eastAsiaTheme="minorEastAsia" w:hAnsiTheme="minorHAnsi" w:cstheme="minorBidi"/>
            <w:sz w:val="22"/>
            <w:szCs w:val="22"/>
            <w:lang w:eastAsia="en-AU"/>
          </w:rPr>
          <w:tab/>
        </w:r>
        <w:r w:rsidRPr="00D90FEA">
          <w:rPr>
            <w:rFonts w:ascii="Helvetica" w:hAnsi="Helvetica" w:cs="Helvetica"/>
            <w:iCs/>
          </w:rPr>
          <w:t>General requirements applying to operator with heavy vehicle accreditation</w:t>
        </w:r>
        <w:r>
          <w:tab/>
        </w:r>
        <w:r>
          <w:fldChar w:fldCharType="begin"/>
        </w:r>
        <w:r>
          <w:instrText xml:space="preserve"> PAGEREF _Toc83625886 \h </w:instrText>
        </w:r>
        <w:r>
          <w:fldChar w:fldCharType="separate"/>
        </w:r>
        <w:r w:rsidR="005C5D7F">
          <w:t>404</w:t>
        </w:r>
        <w:r>
          <w:fldChar w:fldCharType="end"/>
        </w:r>
      </w:hyperlink>
    </w:p>
    <w:p w14:paraId="7B25A62A" w14:textId="630B5D07" w:rsidR="005E03F7" w:rsidRDefault="005E03F7">
      <w:pPr>
        <w:pStyle w:val="TOC5"/>
        <w:rPr>
          <w:rFonts w:asciiTheme="minorHAnsi" w:eastAsiaTheme="minorEastAsia" w:hAnsiTheme="minorHAnsi" w:cstheme="minorBidi"/>
          <w:sz w:val="22"/>
          <w:szCs w:val="22"/>
          <w:lang w:eastAsia="en-AU"/>
        </w:rPr>
      </w:pPr>
      <w:r>
        <w:tab/>
      </w:r>
      <w:hyperlink w:anchor="_Toc83625887" w:history="1">
        <w:r w:rsidRPr="00D90FEA">
          <w:t>471</w:t>
        </w:r>
        <w:r>
          <w:rPr>
            <w:rFonts w:asciiTheme="minorHAnsi" w:eastAsiaTheme="minorEastAsia" w:hAnsiTheme="minorHAnsi" w:cstheme="minorBidi"/>
            <w:sz w:val="22"/>
            <w:szCs w:val="22"/>
            <w:lang w:eastAsia="en-AU"/>
          </w:rPr>
          <w:tab/>
        </w:r>
        <w:r w:rsidRPr="00D90FEA">
          <w:rPr>
            <w:rFonts w:ascii="Helvetica" w:hAnsi="Helvetica" w:cs="Helvetica"/>
            <w:iCs/>
          </w:rPr>
          <w:t>Operator must give notice of amendment, suspension or ending of heavy vehicle accreditation</w:t>
        </w:r>
        <w:r>
          <w:tab/>
        </w:r>
        <w:r>
          <w:fldChar w:fldCharType="begin"/>
        </w:r>
        <w:r>
          <w:instrText xml:space="preserve"> PAGEREF _Toc83625887 \h </w:instrText>
        </w:r>
        <w:r>
          <w:fldChar w:fldCharType="separate"/>
        </w:r>
        <w:r w:rsidR="005C5D7F">
          <w:t>406</w:t>
        </w:r>
        <w:r>
          <w:fldChar w:fldCharType="end"/>
        </w:r>
      </w:hyperlink>
    </w:p>
    <w:p w14:paraId="6E6491D1" w14:textId="7F1B1BF6" w:rsidR="005E03F7" w:rsidRDefault="00856BEE">
      <w:pPr>
        <w:pStyle w:val="TOC2"/>
        <w:rPr>
          <w:rFonts w:asciiTheme="minorHAnsi" w:eastAsiaTheme="minorEastAsia" w:hAnsiTheme="minorHAnsi" w:cstheme="minorBidi"/>
          <w:b w:val="0"/>
          <w:sz w:val="22"/>
          <w:szCs w:val="22"/>
          <w:lang w:eastAsia="en-AU"/>
        </w:rPr>
      </w:pPr>
      <w:hyperlink w:anchor="_Toc83625888" w:history="1">
        <w:r w:rsidR="005E03F7" w:rsidRPr="00D90FEA">
          <w:t xml:space="preserve">Part 8.4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Amendment or cancellation of heavy vehicle accreditation</w:t>
        </w:r>
        <w:r w:rsidR="005E03F7" w:rsidRPr="005E03F7">
          <w:rPr>
            <w:vanish/>
          </w:rPr>
          <w:tab/>
        </w:r>
        <w:r w:rsidR="005E03F7" w:rsidRPr="005E03F7">
          <w:rPr>
            <w:vanish/>
          </w:rPr>
          <w:fldChar w:fldCharType="begin"/>
        </w:r>
        <w:r w:rsidR="005E03F7" w:rsidRPr="005E03F7">
          <w:rPr>
            <w:vanish/>
          </w:rPr>
          <w:instrText xml:space="preserve"> PAGEREF _Toc83625888 \h </w:instrText>
        </w:r>
        <w:r w:rsidR="005E03F7" w:rsidRPr="005E03F7">
          <w:rPr>
            <w:vanish/>
          </w:rPr>
        </w:r>
        <w:r w:rsidR="005E03F7" w:rsidRPr="005E03F7">
          <w:rPr>
            <w:vanish/>
          </w:rPr>
          <w:fldChar w:fldCharType="separate"/>
        </w:r>
        <w:r w:rsidR="005C5D7F">
          <w:rPr>
            <w:vanish/>
          </w:rPr>
          <w:t>407</w:t>
        </w:r>
        <w:r w:rsidR="005E03F7" w:rsidRPr="005E03F7">
          <w:rPr>
            <w:vanish/>
          </w:rPr>
          <w:fldChar w:fldCharType="end"/>
        </w:r>
      </w:hyperlink>
    </w:p>
    <w:p w14:paraId="233AE2CF" w14:textId="38105606" w:rsidR="005E03F7" w:rsidRDefault="005E03F7">
      <w:pPr>
        <w:pStyle w:val="TOC5"/>
        <w:rPr>
          <w:rFonts w:asciiTheme="minorHAnsi" w:eastAsiaTheme="minorEastAsia" w:hAnsiTheme="minorHAnsi" w:cstheme="minorBidi"/>
          <w:sz w:val="22"/>
          <w:szCs w:val="22"/>
          <w:lang w:eastAsia="en-AU"/>
        </w:rPr>
      </w:pPr>
      <w:r>
        <w:tab/>
      </w:r>
      <w:hyperlink w:anchor="_Toc83625889" w:history="1">
        <w:r w:rsidRPr="00D90FEA">
          <w:t>472</w:t>
        </w:r>
        <w:r>
          <w:rPr>
            <w:rFonts w:asciiTheme="minorHAnsi" w:eastAsiaTheme="minorEastAsia" w:hAnsiTheme="minorHAnsi" w:cstheme="minorBidi"/>
            <w:sz w:val="22"/>
            <w:szCs w:val="22"/>
            <w:lang w:eastAsia="en-AU"/>
          </w:rPr>
          <w:tab/>
        </w:r>
        <w:r w:rsidRPr="00D90FEA">
          <w:rPr>
            <w:rFonts w:ascii="Helvetica" w:hAnsi="Helvetica" w:cs="Helvetica"/>
            <w:iCs/>
          </w:rPr>
          <w:t>Amendment or cancellation of heavy vehicle accreditation on application</w:t>
        </w:r>
        <w:r>
          <w:tab/>
        </w:r>
        <w:r>
          <w:fldChar w:fldCharType="begin"/>
        </w:r>
        <w:r>
          <w:instrText xml:space="preserve"> PAGEREF _Toc83625889 \h </w:instrText>
        </w:r>
        <w:r>
          <w:fldChar w:fldCharType="separate"/>
        </w:r>
        <w:r w:rsidR="005C5D7F">
          <w:t>407</w:t>
        </w:r>
        <w:r>
          <w:fldChar w:fldCharType="end"/>
        </w:r>
      </w:hyperlink>
    </w:p>
    <w:p w14:paraId="251BD79F" w14:textId="39074E0D" w:rsidR="005E03F7" w:rsidRDefault="005E03F7">
      <w:pPr>
        <w:pStyle w:val="TOC5"/>
        <w:rPr>
          <w:rFonts w:asciiTheme="minorHAnsi" w:eastAsiaTheme="minorEastAsia" w:hAnsiTheme="minorHAnsi" w:cstheme="minorBidi"/>
          <w:sz w:val="22"/>
          <w:szCs w:val="22"/>
          <w:lang w:eastAsia="en-AU"/>
        </w:rPr>
      </w:pPr>
      <w:r>
        <w:tab/>
      </w:r>
      <w:hyperlink w:anchor="_Toc83625890" w:history="1">
        <w:r w:rsidRPr="00D90FEA">
          <w:t>473</w:t>
        </w:r>
        <w:r>
          <w:rPr>
            <w:rFonts w:asciiTheme="minorHAnsi" w:eastAsiaTheme="minorEastAsia" w:hAnsiTheme="minorHAnsi" w:cstheme="minorBidi"/>
            <w:sz w:val="22"/>
            <w:szCs w:val="22"/>
            <w:lang w:eastAsia="en-AU"/>
          </w:rPr>
          <w:tab/>
        </w:r>
        <w:r w:rsidRPr="00D90FEA">
          <w:rPr>
            <w:rFonts w:ascii="Helvetica" w:hAnsi="Helvetica" w:cs="Helvetica"/>
            <w:iCs/>
          </w:rPr>
          <w:t>Amendment, suspension or cancellation of heavy vehicle accreditation on Regulator’s initiative</w:t>
        </w:r>
        <w:r>
          <w:tab/>
        </w:r>
        <w:r>
          <w:fldChar w:fldCharType="begin"/>
        </w:r>
        <w:r>
          <w:instrText xml:space="preserve"> PAGEREF _Toc83625890 \h </w:instrText>
        </w:r>
        <w:r>
          <w:fldChar w:fldCharType="separate"/>
        </w:r>
        <w:r w:rsidR="005C5D7F">
          <w:t>408</w:t>
        </w:r>
        <w:r>
          <w:fldChar w:fldCharType="end"/>
        </w:r>
      </w:hyperlink>
    </w:p>
    <w:p w14:paraId="382BBFFC" w14:textId="3E5CFA23" w:rsidR="005E03F7" w:rsidRDefault="005E03F7">
      <w:pPr>
        <w:pStyle w:val="TOC5"/>
        <w:rPr>
          <w:rFonts w:asciiTheme="minorHAnsi" w:eastAsiaTheme="minorEastAsia" w:hAnsiTheme="minorHAnsi" w:cstheme="minorBidi"/>
          <w:sz w:val="22"/>
          <w:szCs w:val="22"/>
          <w:lang w:eastAsia="en-AU"/>
        </w:rPr>
      </w:pPr>
      <w:r>
        <w:tab/>
      </w:r>
      <w:hyperlink w:anchor="_Toc83625891" w:history="1">
        <w:r w:rsidRPr="00D90FEA">
          <w:t>474</w:t>
        </w:r>
        <w:r>
          <w:rPr>
            <w:rFonts w:asciiTheme="minorHAnsi" w:eastAsiaTheme="minorEastAsia" w:hAnsiTheme="minorHAnsi" w:cstheme="minorBidi"/>
            <w:sz w:val="22"/>
            <w:szCs w:val="22"/>
            <w:lang w:eastAsia="en-AU"/>
          </w:rPr>
          <w:tab/>
        </w:r>
        <w:r w:rsidRPr="00D90FEA">
          <w:rPr>
            <w:rFonts w:ascii="Helvetica" w:hAnsi="Helvetica" w:cs="Helvetica"/>
            <w:iCs/>
          </w:rPr>
          <w:t>Immediate suspension of heavy vehicle accreditation</w:t>
        </w:r>
        <w:r>
          <w:tab/>
        </w:r>
        <w:r>
          <w:fldChar w:fldCharType="begin"/>
        </w:r>
        <w:r>
          <w:instrText xml:space="preserve"> PAGEREF _Toc83625891 \h </w:instrText>
        </w:r>
        <w:r>
          <w:fldChar w:fldCharType="separate"/>
        </w:r>
        <w:r w:rsidR="005C5D7F">
          <w:t>410</w:t>
        </w:r>
        <w:r>
          <w:fldChar w:fldCharType="end"/>
        </w:r>
      </w:hyperlink>
    </w:p>
    <w:p w14:paraId="0170FC7E" w14:textId="0FD6EE1E" w:rsidR="005E03F7" w:rsidRDefault="005E03F7">
      <w:pPr>
        <w:pStyle w:val="TOC5"/>
        <w:rPr>
          <w:rFonts w:asciiTheme="minorHAnsi" w:eastAsiaTheme="minorEastAsia" w:hAnsiTheme="minorHAnsi" w:cstheme="minorBidi"/>
          <w:sz w:val="22"/>
          <w:szCs w:val="22"/>
          <w:lang w:eastAsia="en-AU"/>
        </w:rPr>
      </w:pPr>
      <w:r>
        <w:lastRenderedPageBreak/>
        <w:tab/>
      </w:r>
      <w:hyperlink w:anchor="_Toc83625892" w:history="1">
        <w:r w:rsidRPr="00D90FEA">
          <w:t>475</w:t>
        </w:r>
        <w:r>
          <w:rPr>
            <w:rFonts w:asciiTheme="minorHAnsi" w:eastAsiaTheme="minorEastAsia" w:hAnsiTheme="minorHAnsi" w:cstheme="minorBidi"/>
            <w:sz w:val="22"/>
            <w:szCs w:val="22"/>
            <w:lang w:eastAsia="en-AU"/>
          </w:rPr>
          <w:tab/>
        </w:r>
        <w:r w:rsidRPr="00D90FEA">
          <w:rPr>
            <w:rFonts w:ascii="Helvetica" w:hAnsi="Helvetica" w:cs="Helvetica"/>
            <w:iCs/>
          </w:rPr>
          <w:t>Minor amendment of heavy vehicle accreditation</w:t>
        </w:r>
        <w:r>
          <w:tab/>
        </w:r>
        <w:r>
          <w:fldChar w:fldCharType="begin"/>
        </w:r>
        <w:r>
          <w:instrText xml:space="preserve"> PAGEREF _Toc83625892 \h </w:instrText>
        </w:r>
        <w:r>
          <w:fldChar w:fldCharType="separate"/>
        </w:r>
        <w:r w:rsidR="005C5D7F">
          <w:t>411</w:t>
        </w:r>
        <w:r>
          <w:fldChar w:fldCharType="end"/>
        </w:r>
      </w:hyperlink>
    </w:p>
    <w:p w14:paraId="66932E5C" w14:textId="737933F6" w:rsidR="005E03F7" w:rsidRDefault="00856BEE">
      <w:pPr>
        <w:pStyle w:val="TOC2"/>
        <w:rPr>
          <w:rFonts w:asciiTheme="minorHAnsi" w:eastAsiaTheme="minorEastAsia" w:hAnsiTheme="minorHAnsi" w:cstheme="minorBidi"/>
          <w:b w:val="0"/>
          <w:sz w:val="22"/>
          <w:szCs w:val="22"/>
          <w:lang w:eastAsia="en-AU"/>
        </w:rPr>
      </w:pPr>
      <w:hyperlink w:anchor="_Toc83625893" w:history="1">
        <w:r w:rsidR="005E03F7" w:rsidRPr="00D90FEA">
          <w:t xml:space="preserve">Part 8.5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Other provisions about heavy vehicle accreditations</w:t>
        </w:r>
        <w:r w:rsidR="005E03F7" w:rsidRPr="005E03F7">
          <w:rPr>
            <w:vanish/>
          </w:rPr>
          <w:tab/>
        </w:r>
        <w:r w:rsidR="005E03F7" w:rsidRPr="005E03F7">
          <w:rPr>
            <w:vanish/>
          </w:rPr>
          <w:fldChar w:fldCharType="begin"/>
        </w:r>
        <w:r w:rsidR="005E03F7" w:rsidRPr="005E03F7">
          <w:rPr>
            <w:vanish/>
          </w:rPr>
          <w:instrText xml:space="preserve"> PAGEREF _Toc83625893 \h </w:instrText>
        </w:r>
        <w:r w:rsidR="005E03F7" w:rsidRPr="005E03F7">
          <w:rPr>
            <w:vanish/>
          </w:rPr>
        </w:r>
        <w:r w:rsidR="005E03F7" w:rsidRPr="005E03F7">
          <w:rPr>
            <w:vanish/>
          </w:rPr>
          <w:fldChar w:fldCharType="separate"/>
        </w:r>
        <w:r w:rsidR="005C5D7F">
          <w:rPr>
            <w:vanish/>
          </w:rPr>
          <w:t>412</w:t>
        </w:r>
        <w:r w:rsidR="005E03F7" w:rsidRPr="005E03F7">
          <w:rPr>
            <w:vanish/>
          </w:rPr>
          <w:fldChar w:fldCharType="end"/>
        </w:r>
      </w:hyperlink>
    </w:p>
    <w:p w14:paraId="37666F4B" w14:textId="548C9AD5" w:rsidR="005E03F7" w:rsidRDefault="005E03F7">
      <w:pPr>
        <w:pStyle w:val="TOC5"/>
        <w:rPr>
          <w:rFonts w:asciiTheme="minorHAnsi" w:eastAsiaTheme="minorEastAsia" w:hAnsiTheme="minorHAnsi" w:cstheme="minorBidi"/>
          <w:sz w:val="22"/>
          <w:szCs w:val="22"/>
          <w:lang w:eastAsia="en-AU"/>
        </w:rPr>
      </w:pPr>
      <w:r>
        <w:tab/>
      </w:r>
      <w:hyperlink w:anchor="_Toc83625894" w:history="1">
        <w:r w:rsidRPr="00D90FEA">
          <w:t>476</w:t>
        </w:r>
        <w:r>
          <w:rPr>
            <w:rFonts w:asciiTheme="minorHAnsi" w:eastAsiaTheme="minorEastAsia" w:hAnsiTheme="minorHAnsi" w:cstheme="minorBidi"/>
            <w:sz w:val="22"/>
            <w:szCs w:val="22"/>
            <w:lang w:eastAsia="en-AU"/>
          </w:rPr>
          <w:tab/>
        </w:r>
        <w:r w:rsidRPr="00D90FEA">
          <w:rPr>
            <w:rFonts w:ascii="Helvetica" w:hAnsi="Helvetica" w:cs="Helvetica"/>
            <w:iCs/>
          </w:rPr>
          <w:t>Return of accreditation certificate</w:t>
        </w:r>
        <w:r>
          <w:tab/>
        </w:r>
        <w:r>
          <w:fldChar w:fldCharType="begin"/>
        </w:r>
        <w:r>
          <w:instrText xml:space="preserve"> PAGEREF _Toc83625894 \h </w:instrText>
        </w:r>
        <w:r>
          <w:fldChar w:fldCharType="separate"/>
        </w:r>
        <w:r w:rsidR="005C5D7F">
          <w:t>412</w:t>
        </w:r>
        <w:r>
          <w:fldChar w:fldCharType="end"/>
        </w:r>
      </w:hyperlink>
    </w:p>
    <w:p w14:paraId="6FC85674" w14:textId="1024262C" w:rsidR="005E03F7" w:rsidRDefault="005E03F7">
      <w:pPr>
        <w:pStyle w:val="TOC5"/>
        <w:rPr>
          <w:rFonts w:asciiTheme="minorHAnsi" w:eastAsiaTheme="minorEastAsia" w:hAnsiTheme="minorHAnsi" w:cstheme="minorBidi"/>
          <w:sz w:val="22"/>
          <w:szCs w:val="22"/>
          <w:lang w:eastAsia="en-AU"/>
        </w:rPr>
      </w:pPr>
      <w:r>
        <w:tab/>
      </w:r>
      <w:hyperlink w:anchor="_Toc83625895" w:history="1">
        <w:r w:rsidRPr="00D90FEA">
          <w:t>477</w:t>
        </w:r>
        <w:r>
          <w:rPr>
            <w:rFonts w:asciiTheme="minorHAnsi" w:eastAsiaTheme="minorEastAsia" w:hAnsiTheme="minorHAnsi" w:cstheme="minorBidi"/>
            <w:sz w:val="22"/>
            <w:szCs w:val="22"/>
            <w:lang w:eastAsia="en-AU"/>
          </w:rPr>
          <w:tab/>
        </w:r>
        <w:r w:rsidRPr="00D90FEA">
          <w:rPr>
            <w:rFonts w:ascii="Helvetica" w:hAnsi="Helvetica" w:cs="Helvetica"/>
            <w:iCs/>
          </w:rPr>
          <w:t>Replacement of defaced etc. accreditation certificate</w:t>
        </w:r>
        <w:r>
          <w:tab/>
        </w:r>
        <w:r>
          <w:fldChar w:fldCharType="begin"/>
        </w:r>
        <w:r>
          <w:instrText xml:space="preserve"> PAGEREF _Toc83625895 \h </w:instrText>
        </w:r>
        <w:r>
          <w:fldChar w:fldCharType="separate"/>
        </w:r>
        <w:r w:rsidR="005C5D7F">
          <w:t>412</w:t>
        </w:r>
        <w:r>
          <w:fldChar w:fldCharType="end"/>
        </w:r>
      </w:hyperlink>
    </w:p>
    <w:p w14:paraId="73A9818B" w14:textId="46973308" w:rsidR="005E03F7" w:rsidRDefault="005E03F7">
      <w:pPr>
        <w:pStyle w:val="TOC5"/>
        <w:rPr>
          <w:rFonts w:asciiTheme="minorHAnsi" w:eastAsiaTheme="minorEastAsia" w:hAnsiTheme="minorHAnsi" w:cstheme="minorBidi"/>
          <w:sz w:val="22"/>
          <w:szCs w:val="22"/>
          <w:lang w:eastAsia="en-AU"/>
        </w:rPr>
      </w:pPr>
      <w:r>
        <w:tab/>
      </w:r>
      <w:hyperlink w:anchor="_Toc83625896" w:history="1">
        <w:r w:rsidRPr="00D90FEA">
          <w:t>478</w:t>
        </w:r>
        <w:r>
          <w:rPr>
            <w:rFonts w:asciiTheme="minorHAnsi" w:eastAsiaTheme="minorEastAsia" w:hAnsiTheme="minorHAnsi" w:cstheme="minorBidi"/>
            <w:sz w:val="22"/>
            <w:szCs w:val="22"/>
            <w:lang w:eastAsia="en-AU"/>
          </w:rPr>
          <w:tab/>
        </w:r>
        <w:r w:rsidRPr="00D90FEA">
          <w:rPr>
            <w:rFonts w:ascii="Helvetica" w:hAnsi="Helvetica" w:cs="Helvetica"/>
            <w:iCs/>
          </w:rPr>
          <w:t>Offences relating to auditors</w:t>
        </w:r>
        <w:r>
          <w:tab/>
        </w:r>
        <w:r>
          <w:fldChar w:fldCharType="begin"/>
        </w:r>
        <w:r>
          <w:instrText xml:space="preserve"> PAGEREF _Toc83625896 \h </w:instrText>
        </w:r>
        <w:r>
          <w:fldChar w:fldCharType="separate"/>
        </w:r>
        <w:r w:rsidR="005C5D7F">
          <w:t>413</w:t>
        </w:r>
        <w:r>
          <w:fldChar w:fldCharType="end"/>
        </w:r>
      </w:hyperlink>
    </w:p>
    <w:p w14:paraId="48DBB6CB" w14:textId="596030AC" w:rsidR="005E03F7" w:rsidRDefault="00856BEE">
      <w:pPr>
        <w:pStyle w:val="TOC1"/>
        <w:rPr>
          <w:rFonts w:asciiTheme="minorHAnsi" w:eastAsiaTheme="minorEastAsia" w:hAnsiTheme="minorHAnsi" w:cstheme="minorBidi"/>
          <w:b w:val="0"/>
          <w:sz w:val="22"/>
          <w:szCs w:val="22"/>
          <w:lang w:eastAsia="en-AU"/>
        </w:rPr>
      </w:pPr>
      <w:hyperlink w:anchor="_Toc83625897" w:history="1">
        <w:r w:rsidR="005E03F7" w:rsidRPr="00D90FEA">
          <w:t xml:space="preserve">Chapter 9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Enforcement</w:t>
        </w:r>
        <w:r w:rsidR="005E03F7" w:rsidRPr="005E03F7">
          <w:rPr>
            <w:vanish/>
          </w:rPr>
          <w:tab/>
        </w:r>
        <w:r w:rsidR="005E03F7" w:rsidRPr="005E03F7">
          <w:rPr>
            <w:vanish/>
          </w:rPr>
          <w:fldChar w:fldCharType="begin"/>
        </w:r>
        <w:r w:rsidR="005E03F7" w:rsidRPr="005E03F7">
          <w:rPr>
            <w:vanish/>
          </w:rPr>
          <w:instrText xml:space="preserve"> PAGEREF _Toc83625897 \h </w:instrText>
        </w:r>
        <w:r w:rsidR="005E03F7" w:rsidRPr="005E03F7">
          <w:rPr>
            <w:vanish/>
          </w:rPr>
        </w:r>
        <w:r w:rsidR="005E03F7" w:rsidRPr="005E03F7">
          <w:rPr>
            <w:vanish/>
          </w:rPr>
          <w:fldChar w:fldCharType="separate"/>
        </w:r>
        <w:r w:rsidR="005C5D7F">
          <w:rPr>
            <w:vanish/>
          </w:rPr>
          <w:t>414</w:t>
        </w:r>
        <w:r w:rsidR="005E03F7" w:rsidRPr="005E03F7">
          <w:rPr>
            <w:vanish/>
          </w:rPr>
          <w:fldChar w:fldCharType="end"/>
        </w:r>
      </w:hyperlink>
    </w:p>
    <w:p w14:paraId="300068FB" w14:textId="512C1272" w:rsidR="005E03F7" w:rsidRDefault="00856BEE">
      <w:pPr>
        <w:pStyle w:val="TOC2"/>
        <w:rPr>
          <w:rFonts w:asciiTheme="minorHAnsi" w:eastAsiaTheme="minorEastAsia" w:hAnsiTheme="minorHAnsi" w:cstheme="minorBidi"/>
          <w:b w:val="0"/>
          <w:sz w:val="22"/>
          <w:szCs w:val="22"/>
          <w:lang w:eastAsia="en-AU"/>
        </w:rPr>
      </w:pPr>
      <w:hyperlink w:anchor="_Toc83625898" w:history="1">
        <w:r w:rsidR="005E03F7" w:rsidRPr="00D90FEA">
          <w:t xml:space="preserve">Part 9.1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General matters about authorised officers</w:t>
        </w:r>
        <w:r w:rsidR="005E03F7" w:rsidRPr="005E03F7">
          <w:rPr>
            <w:vanish/>
          </w:rPr>
          <w:tab/>
        </w:r>
        <w:r w:rsidR="005E03F7" w:rsidRPr="005E03F7">
          <w:rPr>
            <w:vanish/>
          </w:rPr>
          <w:fldChar w:fldCharType="begin"/>
        </w:r>
        <w:r w:rsidR="005E03F7" w:rsidRPr="005E03F7">
          <w:rPr>
            <w:vanish/>
          </w:rPr>
          <w:instrText xml:space="preserve"> PAGEREF _Toc83625898 \h </w:instrText>
        </w:r>
        <w:r w:rsidR="005E03F7" w:rsidRPr="005E03F7">
          <w:rPr>
            <w:vanish/>
          </w:rPr>
        </w:r>
        <w:r w:rsidR="005E03F7" w:rsidRPr="005E03F7">
          <w:rPr>
            <w:vanish/>
          </w:rPr>
          <w:fldChar w:fldCharType="separate"/>
        </w:r>
        <w:r w:rsidR="005C5D7F">
          <w:rPr>
            <w:vanish/>
          </w:rPr>
          <w:t>414</w:t>
        </w:r>
        <w:r w:rsidR="005E03F7" w:rsidRPr="005E03F7">
          <w:rPr>
            <w:vanish/>
          </w:rPr>
          <w:fldChar w:fldCharType="end"/>
        </w:r>
      </w:hyperlink>
    </w:p>
    <w:p w14:paraId="1AC839DB" w14:textId="684F8BE3" w:rsidR="005E03F7" w:rsidRDefault="00856BEE">
      <w:pPr>
        <w:pStyle w:val="TOC3"/>
        <w:rPr>
          <w:rFonts w:asciiTheme="minorHAnsi" w:eastAsiaTheme="minorEastAsia" w:hAnsiTheme="minorHAnsi" w:cstheme="minorBidi"/>
          <w:b w:val="0"/>
          <w:sz w:val="22"/>
          <w:szCs w:val="22"/>
          <w:lang w:eastAsia="en-AU"/>
        </w:rPr>
      </w:pPr>
      <w:hyperlink w:anchor="_Toc83625899" w:history="1">
        <w:r w:rsidR="005E03F7" w:rsidRPr="00D90FEA">
          <w:t xml:space="preserve">Division 1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Functions</w:t>
        </w:r>
        <w:r w:rsidR="005E03F7" w:rsidRPr="005E03F7">
          <w:rPr>
            <w:vanish/>
          </w:rPr>
          <w:tab/>
        </w:r>
        <w:r w:rsidR="005E03F7" w:rsidRPr="005E03F7">
          <w:rPr>
            <w:vanish/>
          </w:rPr>
          <w:fldChar w:fldCharType="begin"/>
        </w:r>
        <w:r w:rsidR="005E03F7" w:rsidRPr="005E03F7">
          <w:rPr>
            <w:vanish/>
          </w:rPr>
          <w:instrText xml:space="preserve"> PAGEREF _Toc83625899 \h </w:instrText>
        </w:r>
        <w:r w:rsidR="005E03F7" w:rsidRPr="005E03F7">
          <w:rPr>
            <w:vanish/>
          </w:rPr>
        </w:r>
        <w:r w:rsidR="005E03F7" w:rsidRPr="005E03F7">
          <w:rPr>
            <w:vanish/>
          </w:rPr>
          <w:fldChar w:fldCharType="separate"/>
        </w:r>
        <w:r w:rsidR="005C5D7F">
          <w:rPr>
            <w:vanish/>
          </w:rPr>
          <w:t>414</w:t>
        </w:r>
        <w:r w:rsidR="005E03F7" w:rsidRPr="005E03F7">
          <w:rPr>
            <w:vanish/>
          </w:rPr>
          <w:fldChar w:fldCharType="end"/>
        </w:r>
      </w:hyperlink>
    </w:p>
    <w:p w14:paraId="0E6043C7" w14:textId="03B8DE04" w:rsidR="005E03F7" w:rsidRDefault="005E03F7">
      <w:pPr>
        <w:pStyle w:val="TOC5"/>
        <w:rPr>
          <w:rFonts w:asciiTheme="minorHAnsi" w:eastAsiaTheme="minorEastAsia" w:hAnsiTheme="minorHAnsi" w:cstheme="minorBidi"/>
          <w:sz w:val="22"/>
          <w:szCs w:val="22"/>
          <w:lang w:eastAsia="en-AU"/>
        </w:rPr>
      </w:pPr>
      <w:r>
        <w:tab/>
      </w:r>
      <w:hyperlink w:anchor="_Toc83625900" w:history="1">
        <w:r w:rsidRPr="00D90FEA">
          <w:t>479</w:t>
        </w:r>
        <w:r>
          <w:rPr>
            <w:rFonts w:asciiTheme="minorHAnsi" w:eastAsiaTheme="minorEastAsia" w:hAnsiTheme="minorHAnsi" w:cstheme="minorBidi"/>
            <w:sz w:val="22"/>
            <w:szCs w:val="22"/>
            <w:lang w:eastAsia="en-AU"/>
          </w:rPr>
          <w:tab/>
        </w:r>
        <w:r w:rsidRPr="00D90FEA">
          <w:rPr>
            <w:rFonts w:ascii="Helvetica" w:hAnsi="Helvetica" w:cs="Helvetica"/>
            <w:iCs/>
          </w:rPr>
          <w:t>Functions of authorised officers</w:t>
        </w:r>
        <w:r>
          <w:tab/>
        </w:r>
        <w:r>
          <w:fldChar w:fldCharType="begin"/>
        </w:r>
        <w:r>
          <w:instrText xml:space="preserve"> PAGEREF _Toc83625900 \h </w:instrText>
        </w:r>
        <w:r>
          <w:fldChar w:fldCharType="separate"/>
        </w:r>
        <w:r w:rsidR="005C5D7F">
          <w:t>414</w:t>
        </w:r>
        <w:r>
          <w:fldChar w:fldCharType="end"/>
        </w:r>
      </w:hyperlink>
    </w:p>
    <w:p w14:paraId="1E14EC22" w14:textId="6B0D570F" w:rsidR="005E03F7" w:rsidRDefault="00856BEE">
      <w:pPr>
        <w:pStyle w:val="TOC3"/>
        <w:rPr>
          <w:rFonts w:asciiTheme="minorHAnsi" w:eastAsiaTheme="minorEastAsia" w:hAnsiTheme="minorHAnsi" w:cstheme="minorBidi"/>
          <w:b w:val="0"/>
          <w:sz w:val="22"/>
          <w:szCs w:val="22"/>
          <w:lang w:eastAsia="en-AU"/>
        </w:rPr>
      </w:pPr>
      <w:hyperlink w:anchor="_Toc83625901" w:history="1">
        <w:r w:rsidR="005E03F7" w:rsidRPr="00D90FEA">
          <w:t xml:space="preserve">Division 2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Appointment</w:t>
        </w:r>
        <w:r w:rsidR="005E03F7" w:rsidRPr="005E03F7">
          <w:rPr>
            <w:vanish/>
          </w:rPr>
          <w:tab/>
        </w:r>
        <w:r w:rsidR="005E03F7" w:rsidRPr="005E03F7">
          <w:rPr>
            <w:vanish/>
          </w:rPr>
          <w:fldChar w:fldCharType="begin"/>
        </w:r>
        <w:r w:rsidR="005E03F7" w:rsidRPr="005E03F7">
          <w:rPr>
            <w:vanish/>
          </w:rPr>
          <w:instrText xml:space="preserve"> PAGEREF _Toc83625901 \h </w:instrText>
        </w:r>
        <w:r w:rsidR="005E03F7" w:rsidRPr="005E03F7">
          <w:rPr>
            <w:vanish/>
          </w:rPr>
        </w:r>
        <w:r w:rsidR="005E03F7" w:rsidRPr="005E03F7">
          <w:rPr>
            <w:vanish/>
          </w:rPr>
          <w:fldChar w:fldCharType="separate"/>
        </w:r>
        <w:r w:rsidR="005C5D7F">
          <w:rPr>
            <w:vanish/>
          </w:rPr>
          <w:t>414</w:t>
        </w:r>
        <w:r w:rsidR="005E03F7" w:rsidRPr="005E03F7">
          <w:rPr>
            <w:vanish/>
          </w:rPr>
          <w:fldChar w:fldCharType="end"/>
        </w:r>
      </w:hyperlink>
    </w:p>
    <w:p w14:paraId="23B388BA" w14:textId="03076051" w:rsidR="005E03F7" w:rsidRDefault="005E03F7">
      <w:pPr>
        <w:pStyle w:val="TOC5"/>
        <w:rPr>
          <w:rFonts w:asciiTheme="minorHAnsi" w:eastAsiaTheme="minorEastAsia" w:hAnsiTheme="minorHAnsi" w:cstheme="minorBidi"/>
          <w:sz w:val="22"/>
          <w:szCs w:val="22"/>
          <w:lang w:eastAsia="en-AU"/>
        </w:rPr>
      </w:pPr>
      <w:r>
        <w:tab/>
      </w:r>
      <w:hyperlink w:anchor="_Toc83625902" w:history="1">
        <w:r w:rsidRPr="00D90FEA">
          <w:t>480</w:t>
        </w:r>
        <w:r>
          <w:rPr>
            <w:rFonts w:asciiTheme="minorHAnsi" w:eastAsiaTheme="minorEastAsia" w:hAnsiTheme="minorHAnsi" w:cstheme="minorBidi"/>
            <w:sz w:val="22"/>
            <w:szCs w:val="22"/>
            <w:lang w:eastAsia="en-AU"/>
          </w:rPr>
          <w:tab/>
        </w:r>
        <w:r w:rsidRPr="00D90FEA">
          <w:rPr>
            <w:rFonts w:ascii="Helvetica" w:hAnsi="Helvetica" w:cs="Helvetica"/>
            <w:iCs/>
          </w:rPr>
          <w:t>Application of Div 2</w:t>
        </w:r>
        <w:r>
          <w:tab/>
        </w:r>
        <w:r>
          <w:fldChar w:fldCharType="begin"/>
        </w:r>
        <w:r>
          <w:instrText xml:space="preserve"> PAGEREF _Toc83625902 \h </w:instrText>
        </w:r>
        <w:r>
          <w:fldChar w:fldCharType="separate"/>
        </w:r>
        <w:r w:rsidR="005C5D7F">
          <w:t>414</w:t>
        </w:r>
        <w:r>
          <w:fldChar w:fldCharType="end"/>
        </w:r>
      </w:hyperlink>
    </w:p>
    <w:p w14:paraId="39912023" w14:textId="67D32418" w:rsidR="005E03F7" w:rsidRDefault="005E03F7">
      <w:pPr>
        <w:pStyle w:val="TOC5"/>
        <w:rPr>
          <w:rFonts w:asciiTheme="minorHAnsi" w:eastAsiaTheme="minorEastAsia" w:hAnsiTheme="minorHAnsi" w:cstheme="minorBidi"/>
          <w:sz w:val="22"/>
          <w:szCs w:val="22"/>
          <w:lang w:eastAsia="en-AU"/>
        </w:rPr>
      </w:pPr>
      <w:r>
        <w:tab/>
      </w:r>
      <w:hyperlink w:anchor="_Toc83625903" w:history="1">
        <w:r w:rsidRPr="00D90FEA">
          <w:t>481</w:t>
        </w:r>
        <w:r>
          <w:rPr>
            <w:rFonts w:asciiTheme="minorHAnsi" w:eastAsiaTheme="minorEastAsia" w:hAnsiTheme="minorHAnsi" w:cstheme="minorBidi"/>
            <w:sz w:val="22"/>
            <w:szCs w:val="22"/>
            <w:lang w:eastAsia="en-AU"/>
          </w:rPr>
          <w:tab/>
        </w:r>
        <w:r w:rsidRPr="00D90FEA">
          <w:rPr>
            <w:rFonts w:ascii="Helvetica" w:hAnsi="Helvetica" w:cs="Helvetica"/>
            <w:iCs/>
          </w:rPr>
          <w:t>Appointment and qualifications</w:t>
        </w:r>
        <w:r>
          <w:tab/>
        </w:r>
        <w:r>
          <w:fldChar w:fldCharType="begin"/>
        </w:r>
        <w:r>
          <w:instrText xml:space="preserve"> PAGEREF _Toc83625903 \h </w:instrText>
        </w:r>
        <w:r>
          <w:fldChar w:fldCharType="separate"/>
        </w:r>
        <w:r w:rsidR="005C5D7F">
          <w:t>414</w:t>
        </w:r>
        <w:r>
          <w:fldChar w:fldCharType="end"/>
        </w:r>
      </w:hyperlink>
    </w:p>
    <w:p w14:paraId="0F8AAD05" w14:textId="7F8B5E8B" w:rsidR="005E03F7" w:rsidRDefault="005E03F7">
      <w:pPr>
        <w:pStyle w:val="TOC5"/>
        <w:rPr>
          <w:rFonts w:asciiTheme="minorHAnsi" w:eastAsiaTheme="minorEastAsia" w:hAnsiTheme="minorHAnsi" w:cstheme="minorBidi"/>
          <w:sz w:val="22"/>
          <w:szCs w:val="22"/>
          <w:lang w:eastAsia="en-AU"/>
        </w:rPr>
      </w:pPr>
      <w:r>
        <w:tab/>
      </w:r>
      <w:hyperlink w:anchor="_Toc83625904" w:history="1">
        <w:r w:rsidRPr="00D90FEA">
          <w:t>482</w:t>
        </w:r>
        <w:r>
          <w:rPr>
            <w:rFonts w:asciiTheme="minorHAnsi" w:eastAsiaTheme="minorEastAsia" w:hAnsiTheme="minorHAnsi" w:cstheme="minorBidi"/>
            <w:sz w:val="22"/>
            <w:szCs w:val="22"/>
            <w:lang w:eastAsia="en-AU"/>
          </w:rPr>
          <w:tab/>
        </w:r>
        <w:r w:rsidRPr="00D90FEA">
          <w:rPr>
            <w:rFonts w:ascii="Helvetica" w:hAnsi="Helvetica" w:cs="Helvetica"/>
            <w:iCs/>
          </w:rPr>
          <w:t>Appointment conditions and limit on powers</w:t>
        </w:r>
        <w:r>
          <w:tab/>
        </w:r>
        <w:r>
          <w:fldChar w:fldCharType="begin"/>
        </w:r>
        <w:r>
          <w:instrText xml:space="preserve"> PAGEREF _Toc83625904 \h </w:instrText>
        </w:r>
        <w:r>
          <w:fldChar w:fldCharType="separate"/>
        </w:r>
        <w:r w:rsidR="005C5D7F">
          <w:t>415</w:t>
        </w:r>
        <w:r>
          <w:fldChar w:fldCharType="end"/>
        </w:r>
      </w:hyperlink>
    </w:p>
    <w:p w14:paraId="561C452C" w14:textId="191A7F34" w:rsidR="005E03F7" w:rsidRDefault="005E03F7">
      <w:pPr>
        <w:pStyle w:val="TOC5"/>
        <w:rPr>
          <w:rFonts w:asciiTheme="minorHAnsi" w:eastAsiaTheme="minorEastAsia" w:hAnsiTheme="minorHAnsi" w:cstheme="minorBidi"/>
          <w:sz w:val="22"/>
          <w:szCs w:val="22"/>
          <w:lang w:eastAsia="en-AU"/>
        </w:rPr>
      </w:pPr>
      <w:r>
        <w:tab/>
      </w:r>
      <w:hyperlink w:anchor="_Toc83625905" w:history="1">
        <w:r w:rsidRPr="00D90FEA">
          <w:t>483</w:t>
        </w:r>
        <w:r>
          <w:rPr>
            <w:rFonts w:asciiTheme="minorHAnsi" w:eastAsiaTheme="minorEastAsia" w:hAnsiTheme="minorHAnsi" w:cstheme="minorBidi"/>
            <w:sz w:val="22"/>
            <w:szCs w:val="22"/>
            <w:lang w:eastAsia="en-AU"/>
          </w:rPr>
          <w:tab/>
        </w:r>
        <w:r w:rsidRPr="00D90FEA">
          <w:rPr>
            <w:rFonts w:ascii="Helvetica" w:hAnsi="Helvetica" w:cs="Helvetica"/>
            <w:iCs/>
          </w:rPr>
          <w:t>When office ends</w:t>
        </w:r>
        <w:r>
          <w:tab/>
        </w:r>
        <w:r>
          <w:fldChar w:fldCharType="begin"/>
        </w:r>
        <w:r>
          <w:instrText xml:space="preserve"> PAGEREF _Toc83625905 \h </w:instrText>
        </w:r>
        <w:r>
          <w:fldChar w:fldCharType="separate"/>
        </w:r>
        <w:r w:rsidR="005C5D7F">
          <w:t>415</w:t>
        </w:r>
        <w:r>
          <w:fldChar w:fldCharType="end"/>
        </w:r>
      </w:hyperlink>
    </w:p>
    <w:p w14:paraId="15969735" w14:textId="6D48692D" w:rsidR="005E03F7" w:rsidRDefault="005E03F7">
      <w:pPr>
        <w:pStyle w:val="TOC5"/>
        <w:rPr>
          <w:rFonts w:asciiTheme="minorHAnsi" w:eastAsiaTheme="minorEastAsia" w:hAnsiTheme="minorHAnsi" w:cstheme="minorBidi"/>
          <w:sz w:val="22"/>
          <w:szCs w:val="22"/>
          <w:lang w:eastAsia="en-AU"/>
        </w:rPr>
      </w:pPr>
      <w:r>
        <w:tab/>
      </w:r>
      <w:hyperlink w:anchor="_Toc83625906" w:history="1">
        <w:r w:rsidRPr="00D90FEA">
          <w:t>484</w:t>
        </w:r>
        <w:r>
          <w:rPr>
            <w:rFonts w:asciiTheme="minorHAnsi" w:eastAsiaTheme="minorEastAsia" w:hAnsiTheme="minorHAnsi" w:cstheme="minorBidi"/>
            <w:sz w:val="22"/>
            <w:szCs w:val="22"/>
            <w:lang w:eastAsia="en-AU"/>
          </w:rPr>
          <w:tab/>
        </w:r>
        <w:r w:rsidRPr="00D90FEA">
          <w:rPr>
            <w:rFonts w:ascii="Helvetica" w:hAnsi="Helvetica" w:cs="Helvetica"/>
            <w:iCs/>
          </w:rPr>
          <w:t>Resignation</w:t>
        </w:r>
        <w:r>
          <w:tab/>
        </w:r>
        <w:r>
          <w:fldChar w:fldCharType="begin"/>
        </w:r>
        <w:r>
          <w:instrText xml:space="preserve"> PAGEREF _Toc83625906 \h </w:instrText>
        </w:r>
        <w:r>
          <w:fldChar w:fldCharType="separate"/>
        </w:r>
        <w:r w:rsidR="005C5D7F">
          <w:t>416</w:t>
        </w:r>
        <w:r>
          <w:fldChar w:fldCharType="end"/>
        </w:r>
      </w:hyperlink>
    </w:p>
    <w:p w14:paraId="4D338726" w14:textId="2A795C31" w:rsidR="005E03F7" w:rsidRDefault="00856BEE">
      <w:pPr>
        <w:pStyle w:val="TOC3"/>
        <w:rPr>
          <w:rFonts w:asciiTheme="minorHAnsi" w:eastAsiaTheme="minorEastAsia" w:hAnsiTheme="minorHAnsi" w:cstheme="minorBidi"/>
          <w:b w:val="0"/>
          <w:sz w:val="22"/>
          <w:szCs w:val="22"/>
          <w:lang w:eastAsia="en-AU"/>
        </w:rPr>
      </w:pPr>
      <w:hyperlink w:anchor="_Toc83625907" w:history="1">
        <w:r w:rsidR="005E03F7" w:rsidRPr="00D90FEA">
          <w:t xml:space="preserve">Division 3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Identity cards</w:t>
        </w:r>
        <w:r w:rsidR="005E03F7" w:rsidRPr="005E03F7">
          <w:rPr>
            <w:vanish/>
          </w:rPr>
          <w:tab/>
        </w:r>
        <w:r w:rsidR="005E03F7" w:rsidRPr="005E03F7">
          <w:rPr>
            <w:vanish/>
          </w:rPr>
          <w:fldChar w:fldCharType="begin"/>
        </w:r>
        <w:r w:rsidR="005E03F7" w:rsidRPr="005E03F7">
          <w:rPr>
            <w:vanish/>
          </w:rPr>
          <w:instrText xml:space="preserve"> PAGEREF _Toc83625907 \h </w:instrText>
        </w:r>
        <w:r w:rsidR="005E03F7" w:rsidRPr="005E03F7">
          <w:rPr>
            <w:vanish/>
          </w:rPr>
        </w:r>
        <w:r w:rsidR="005E03F7" w:rsidRPr="005E03F7">
          <w:rPr>
            <w:vanish/>
          </w:rPr>
          <w:fldChar w:fldCharType="separate"/>
        </w:r>
        <w:r w:rsidR="005C5D7F">
          <w:rPr>
            <w:vanish/>
          </w:rPr>
          <w:t>416</w:t>
        </w:r>
        <w:r w:rsidR="005E03F7" w:rsidRPr="005E03F7">
          <w:rPr>
            <w:vanish/>
          </w:rPr>
          <w:fldChar w:fldCharType="end"/>
        </w:r>
      </w:hyperlink>
    </w:p>
    <w:p w14:paraId="4CD48DCD" w14:textId="0E06C872" w:rsidR="005E03F7" w:rsidRDefault="005E03F7">
      <w:pPr>
        <w:pStyle w:val="TOC5"/>
        <w:rPr>
          <w:rFonts w:asciiTheme="minorHAnsi" w:eastAsiaTheme="minorEastAsia" w:hAnsiTheme="minorHAnsi" w:cstheme="minorBidi"/>
          <w:sz w:val="22"/>
          <w:szCs w:val="22"/>
          <w:lang w:eastAsia="en-AU"/>
        </w:rPr>
      </w:pPr>
      <w:r>
        <w:tab/>
      </w:r>
      <w:hyperlink w:anchor="_Toc83625908" w:history="1">
        <w:r w:rsidRPr="00D90FEA">
          <w:t>485</w:t>
        </w:r>
        <w:r>
          <w:rPr>
            <w:rFonts w:asciiTheme="minorHAnsi" w:eastAsiaTheme="minorEastAsia" w:hAnsiTheme="minorHAnsi" w:cstheme="minorBidi"/>
            <w:sz w:val="22"/>
            <w:szCs w:val="22"/>
            <w:lang w:eastAsia="en-AU"/>
          </w:rPr>
          <w:tab/>
        </w:r>
        <w:r w:rsidRPr="00D90FEA">
          <w:rPr>
            <w:rFonts w:ascii="Helvetica" w:hAnsi="Helvetica" w:cs="Helvetica"/>
            <w:iCs/>
          </w:rPr>
          <w:t>Application of Div 3</w:t>
        </w:r>
        <w:r>
          <w:tab/>
        </w:r>
        <w:r>
          <w:fldChar w:fldCharType="begin"/>
        </w:r>
        <w:r>
          <w:instrText xml:space="preserve"> PAGEREF _Toc83625908 \h </w:instrText>
        </w:r>
        <w:r>
          <w:fldChar w:fldCharType="separate"/>
        </w:r>
        <w:r w:rsidR="005C5D7F">
          <w:t>416</w:t>
        </w:r>
        <w:r>
          <w:fldChar w:fldCharType="end"/>
        </w:r>
      </w:hyperlink>
    </w:p>
    <w:p w14:paraId="1150D8E0" w14:textId="734EA7E9" w:rsidR="005E03F7" w:rsidRDefault="005E03F7">
      <w:pPr>
        <w:pStyle w:val="TOC5"/>
        <w:rPr>
          <w:rFonts w:asciiTheme="minorHAnsi" w:eastAsiaTheme="minorEastAsia" w:hAnsiTheme="minorHAnsi" w:cstheme="minorBidi"/>
          <w:sz w:val="22"/>
          <w:szCs w:val="22"/>
          <w:lang w:eastAsia="en-AU"/>
        </w:rPr>
      </w:pPr>
      <w:r>
        <w:tab/>
      </w:r>
      <w:hyperlink w:anchor="_Toc83625909" w:history="1">
        <w:r w:rsidRPr="00D90FEA">
          <w:t>486</w:t>
        </w:r>
        <w:r>
          <w:rPr>
            <w:rFonts w:asciiTheme="minorHAnsi" w:eastAsiaTheme="minorEastAsia" w:hAnsiTheme="minorHAnsi" w:cstheme="minorBidi"/>
            <w:sz w:val="22"/>
            <w:szCs w:val="22"/>
            <w:lang w:eastAsia="en-AU"/>
          </w:rPr>
          <w:tab/>
        </w:r>
        <w:r w:rsidRPr="00D90FEA">
          <w:rPr>
            <w:rFonts w:ascii="Helvetica" w:hAnsi="Helvetica" w:cs="Helvetica"/>
            <w:iCs/>
          </w:rPr>
          <w:t>Issue of identity card</w:t>
        </w:r>
        <w:r>
          <w:tab/>
        </w:r>
        <w:r>
          <w:fldChar w:fldCharType="begin"/>
        </w:r>
        <w:r>
          <w:instrText xml:space="preserve"> PAGEREF _Toc83625909 \h </w:instrText>
        </w:r>
        <w:r>
          <w:fldChar w:fldCharType="separate"/>
        </w:r>
        <w:r w:rsidR="005C5D7F">
          <w:t>416</w:t>
        </w:r>
        <w:r>
          <w:fldChar w:fldCharType="end"/>
        </w:r>
      </w:hyperlink>
    </w:p>
    <w:p w14:paraId="659CD653" w14:textId="67E55025" w:rsidR="005E03F7" w:rsidRDefault="005E03F7">
      <w:pPr>
        <w:pStyle w:val="TOC5"/>
        <w:rPr>
          <w:rFonts w:asciiTheme="minorHAnsi" w:eastAsiaTheme="minorEastAsia" w:hAnsiTheme="minorHAnsi" w:cstheme="minorBidi"/>
          <w:sz w:val="22"/>
          <w:szCs w:val="22"/>
          <w:lang w:eastAsia="en-AU"/>
        </w:rPr>
      </w:pPr>
      <w:r>
        <w:tab/>
      </w:r>
      <w:hyperlink w:anchor="_Toc83625910" w:history="1">
        <w:r w:rsidRPr="00D90FEA">
          <w:t>487</w:t>
        </w:r>
        <w:r>
          <w:rPr>
            <w:rFonts w:asciiTheme="minorHAnsi" w:eastAsiaTheme="minorEastAsia" w:hAnsiTheme="minorHAnsi" w:cstheme="minorBidi"/>
            <w:sz w:val="22"/>
            <w:szCs w:val="22"/>
            <w:lang w:eastAsia="en-AU"/>
          </w:rPr>
          <w:tab/>
        </w:r>
        <w:r w:rsidRPr="00D90FEA">
          <w:rPr>
            <w:rFonts w:ascii="Helvetica" w:hAnsi="Helvetica" w:cs="Helvetica"/>
            <w:iCs/>
          </w:rPr>
          <w:t>Production or display of identity card</w:t>
        </w:r>
        <w:r>
          <w:tab/>
        </w:r>
        <w:r>
          <w:fldChar w:fldCharType="begin"/>
        </w:r>
        <w:r>
          <w:instrText xml:space="preserve"> PAGEREF _Toc83625910 \h </w:instrText>
        </w:r>
        <w:r>
          <w:fldChar w:fldCharType="separate"/>
        </w:r>
        <w:r w:rsidR="005C5D7F">
          <w:t>417</w:t>
        </w:r>
        <w:r>
          <w:fldChar w:fldCharType="end"/>
        </w:r>
      </w:hyperlink>
    </w:p>
    <w:p w14:paraId="4CD71CE5" w14:textId="302B688C" w:rsidR="005E03F7" w:rsidRDefault="005E03F7">
      <w:pPr>
        <w:pStyle w:val="TOC5"/>
        <w:rPr>
          <w:rFonts w:asciiTheme="minorHAnsi" w:eastAsiaTheme="minorEastAsia" w:hAnsiTheme="minorHAnsi" w:cstheme="minorBidi"/>
          <w:sz w:val="22"/>
          <w:szCs w:val="22"/>
          <w:lang w:eastAsia="en-AU"/>
        </w:rPr>
      </w:pPr>
      <w:r>
        <w:tab/>
      </w:r>
      <w:hyperlink w:anchor="_Toc83625911" w:history="1">
        <w:r w:rsidRPr="00D90FEA">
          <w:t>488</w:t>
        </w:r>
        <w:r>
          <w:rPr>
            <w:rFonts w:asciiTheme="minorHAnsi" w:eastAsiaTheme="minorEastAsia" w:hAnsiTheme="minorHAnsi" w:cstheme="minorBidi"/>
            <w:sz w:val="22"/>
            <w:szCs w:val="22"/>
            <w:lang w:eastAsia="en-AU"/>
          </w:rPr>
          <w:tab/>
        </w:r>
        <w:r w:rsidRPr="00D90FEA">
          <w:rPr>
            <w:rFonts w:ascii="Helvetica" w:hAnsi="Helvetica" w:cs="Helvetica"/>
            <w:iCs/>
          </w:rPr>
          <w:t>Return of identity card</w:t>
        </w:r>
        <w:r>
          <w:tab/>
        </w:r>
        <w:r>
          <w:fldChar w:fldCharType="begin"/>
        </w:r>
        <w:r>
          <w:instrText xml:space="preserve"> PAGEREF _Toc83625911 \h </w:instrText>
        </w:r>
        <w:r>
          <w:fldChar w:fldCharType="separate"/>
        </w:r>
        <w:r w:rsidR="005C5D7F">
          <w:t>417</w:t>
        </w:r>
        <w:r>
          <w:fldChar w:fldCharType="end"/>
        </w:r>
      </w:hyperlink>
    </w:p>
    <w:p w14:paraId="737C68DC" w14:textId="0B409600" w:rsidR="005E03F7" w:rsidRDefault="00856BEE">
      <w:pPr>
        <w:pStyle w:val="TOC3"/>
        <w:rPr>
          <w:rFonts w:asciiTheme="minorHAnsi" w:eastAsiaTheme="minorEastAsia" w:hAnsiTheme="minorHAnsi" w:cstheme="minorBidi"/>
          <w:b w:val="0"/>
          <w:sz w:val="22"/>
          <w:szCs w:val="22"/>
          <w:lang w:eastAsia="en-AU"/>
        </w:rPr>
      </w:pPr>
      <w:hyperlink w:anchor="_Toc83625912" w:history="1">
        <w:r w:rsidR="005E03F7" w:rsidRPr="00D90FEA">
          <w:t xml:space="preserve">Division 4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Miscellaneous provisions</w:t>
        </w:r>
        <w:r w:rsidR="005E03F7" w:rsidRPr="005E03F7">
          <w:rPr>
            <w:vanish/>
          </w:rPr>
          <w:tab/>
        </w:r>
        <w:r w:rsidR="005E03F7" w:rsidRPr="005E03F7">
          <w:rPr>
            <w:vanish/>
          </w:rPr>
          <w:fldChar w:fldCharType="begin"/>
        </w:r>
        <w:r w:rsidR="005E03F7" w:rsidRPr="005E03F7">
          <w:rPr>
            <w:vanish/>
          </w:rPr>
          <w:instrText xml:space="preserve"> PAGEREF _Toc83625912 \h </w:instrText>
        </w:r>
        <w:r w:rsidR="005E03F7" w:rsidRPr="005E03F7">
          <w:rPr>
            <w:vanish/>
          </w:rPr>
        </w:r>
        <w:r w:rsidR="005E03F7" w:rsidRPr="005E03F7">
          <w:rPr>
            <w:vanish/>
          </w:rPr>
          <w:fldChar w:fldCharType="separate"/>
        </w:r>
        <w:r w:rsidR="005C5D7F">
          <w:rPr>
            <w:vanish/>
          </w:rPr>
          <w:t>418</w:t>
        </w:r>
        <w:r w:rsidR="005E03F7" w:rsidRPr="005E03F7">
          <w:rPr>
            <w:vanish/>
          </w:rPr>
          <w:fldChar w:fldCharType="end"/>
        </w:r>
      </w:hyperlink>
    </w:p>
    <w:p w14:paraId="06CFC0CD" w14:textId="7C976E4B" w:rsidR="005E03F7" w:rsidRDefault="005E03F7">
      <w:pPr>
        <w:pStyle w:val="TOC5"/>
        <w:rPr>
          <w:rFonts w:asciiTheme="minorHAnsi" w:eastAsiaTheme="minorEastAsia" w:hAnsiTheme="minorHAnsi" w:cstheme="minorBidi"/>
          <w:sz w:val="22"/>
          <w:szCs w:val="22"/>
          <w:lang w:eastAsia="en-AU"/>
        </w:rPr>
      </w:pPr>
      <w:r>
        <w:tab/>
      </w:r>
      <w:hyperlink w:anchor="_Toc83625913" w:history="1">
        <w:r w:rsidRPr="00D90FEA">
          <w:t>489</w:t>
        </w:r>
        <w:r>
          <w:rPr>
            <w:rFonts w:asciiTheme="minorHAnsi" w:eastAsiaTheme="minorEastAsia" w:hAnsiTheme="minorHAnsi" w:cstheme="minorBidi"/>
            <w:sz w:val="22"/>
            <w:szCs w:val="22"/>
            <w:lang w:eastAsia="en-AU"/>
          </w:rPr>
          <w:tab/>
        </w:r>
        <w:r w:rsidRPr="00D90FEA">
          <w:rPr>
            <w:rFonts w:ascii="Helvetica" w:hAnsi="Helvetica" w:cs="Helvetica"/>
            <w:iCs/>
          </w:rPr>
          <w:t>References to exercise of powers</w:t>
        </w:r>
        <w:r>
          <w:tab/>
        </w:r>
        <w:r>
          <w:fldChar w:fldCharType="begin"/>
        </w:r>
        <w:r>
          <w:instrText xml:space="preserve"> PAGEREF _Toc83625913 \h </w:instrText>
        </w:r>
        <w:r>
          <w:fldChar w:fldCharType="separate"/>
        </w:r>
        <w:r w:rsidR="005C5D7F">
          <w:t>418</w:t>
        </w:r>
        <w:r>
          <w:fldChar w:fldCharType="end"/>
        </w:r>
      </w:hyperlink>
    </w:p>
    <w:p w14:paraId="6B243C21" w14:textId="50B2FD3E" w:rsidR="005E03F7" w:rsidRDefault="005E03F7">
      <w:pPr>
        <w:pStyle w:val="TOC5"/>
        <w:rPr>
          <w:rFonts w:asciiTheme="minorHAnsi" w:eastAsiaTheme="minorEastAsia" w:hAnsiTheme="minorHAnsi" w:cstheme="minorBidi"/>
          <w:sz w:val="22"/>
          <w:szCs w:val="22"/>
          <w:lang w:eastAsia="en-AU"/>
        </w:rPr>
      </w:pPr>
      <w:r>
        <w:tab/>
      </w:r>
      <w:hyperlink w:anchor="_Toc83625914" w:history="1">
        <w:r w:rsidRPr="00D90FEA">
          <w:t>490</w:t>
        </w:r>
        <w:r>
          <w:rPr>
            <w:rFonts w:asciiTheme="minorHAnsi" w:eastAsiaTheme="minorEastAsia" w:hAnsiTheme="minorHAnsi" w:cstheme="minorBidi"/>
            <w:sz w:val="22"/>
            <w:szCs w:val="22"/>
            <w:lang w:eastAsia="en-AU"/>
          </w:rPr>
          <w:tab/>
        </w:r>
        <w:r w:rsidRPr="00D90FEA">
          <w:rPr>
            <w:rFonts w:ascii="Helvetica" w:hAnsi="Helvetica" w:cs="Helvetica"/>
            <w:iCs/>
          </w:rPr>
          <w:t>Reference to document includes reference to reproduction from electronic document</w:t>
        </w:r>
        <w:r>
          <w:tab/>
        </w:r>
        <w:r>
          <w:fldChar w:fldCharType="begin"/>
        </w:r>
        <w:r>
          <w:instrText xml:space="preserve"> PAGEREF _Toc83625914 \h </w:instrText>
        </w:r>
        <w:r>
          <w:fldChar w:fldCharType="separate"/>
        </w:r>
        <w:r w:rsidR="005C5D7F">
          <w:t>418</w:t>
        </w:r>
        <w:r>
          <w:fldChar w:fldCharType="end"/>
        </w:r>
      </w:hyperlink>
    </w:p>
    <w:p w14:paraId="6823BF03" w14:textId="31AA1340" w:rsidR="005E03F7" w:rsidRDefault="005E03F7">
      <w:pPr>
        <w:pStyle w:val="TOC5"/>
        <w:rPr>
          <w:rFonts w:asciiTheme="minorHAnsi" w:eastAsiaTheme="minorEastAsia" w:hAnsiTheme="minorHAnsi" w:cstheme="minorBidi"/>
          <w:sz w:val="22"/>
          <w:szCs w:val="22"/>
          <w:lang w:eastAsia="en-AU"/>
        </w:rPr>
      </w:pPr>
      <w:r>
        <w:tab/>
      </w:r>
      <w:hyperlink w:anchor="_Toc83625915" w:history="1">
        <w:r w:rsidRPr="00D90FEA">
          <w:t>491</w:t>
        </w:r>
        <w:r>
          <w:rPr>
            <w:rFonts w:asciiTheme="minorHAnsi" w:eastAsiaTheme="minorEastAsia" w:hAnsiTheme="minorHAnsi" w:cstheme="minorBidi"/>
            <w:sz w:val="22"/>
            <w:szCs w:val="22"/>
            <w:lang w:eastAsia="en-AU"/>
          </w:rPr>
          <w:tab/>
        </w:r>
        <w:r w:rsidRPr="00D90FEA">
          <w:rPr>
            <w:rFonts w:ascii="Helvetica" w:hAnsi="Helvetica" w:cs="Helvetica"/>
            <w:iCs/>
          </w:rPr>
          <w:t>Use of force against persons</w:t>
        </w:r>
        <w:r>
          <w:tab/>
        </w:r>
        <w:r>
          <w:fldChar w:fldCharType="begin"/>
        </w:r>
        <w:r>
          <w:instrText xml:space="preserve"> PAGEREF _Toc83625915 \h </w:instrText>
        </w:r>
        <w:r>
          <w:fldChar w:fldCharType="separate"/>
        </w:r>
        <w:r w:rsidR="005C5D7F">
          <w:t>418</w:t>
        </w:r>
        <w:r>
          <w:fldChar w:fldCharType="end"/>
        </w:r>
      </w:hyperlink>
    </w:p>
    <w:p w14:paraId="3E63CE33" w14:textId="63EB91E3" w:rsidR="005E03F7" w:rsidRDefault="005E03F7">
      <w:pPr>
        <w:pStyle w:val="TOC5"/>
        <w:rPr>
          <w:rFonts w:asciiTheme="minorHAnsi" w:eastAsiaTheme="minorEastAsia" w:hAnsiTheme="minorHAnsi" w:cstheme="minorBidi"/>
          <w:sz w:val="22"/>
          <w:szCs w:val="22"/>
          <w:lang w:eastAsia="en-AU"/>
        </w:rPr>
      </w:pPr>
      <w:r>
        <w:tab/>
      </w:r>
      <w:hyperlink w:anchor="_Toc83625916" w:history="1">
        <w:r w:rsidRPr="00D90FEA">
          <w:t>492</w:t>
        </w:r>
        <w:r>
          <w:rPr>
            <w:rFonts w:asciiTheme="minorHAnsi" w:eastAsiaTheme="minorEastAsia" w:hAnsiTheme="minorHAnsi" w:cstheme="minorBidi"/>
            <w:sz w:val="22"/>
            <w:szCs w:val="22"/>
            <w:lang w:eastAsia="en-AU"/>
          </w:rPr>
          <w:tab/>
        </w:r>
        <w:r w:rsidRPr="00D90FEA">
          <w:rPr>
            <w:rFonts w:ascii="Helvetica" w:hAnsi="Helvetica" w:cs="Helvetica"/>
            <w:iCs/>
          </w:rPr>
          <w:t>Use of force against property</w:t>
        </w:r>
        <w:r>
          <w:tab/>
        </w:r>
        <w:r>
          <w:fldChar w:fldCharType="begin"/>
        </w:r>
        <w:r>
          <w:instrText xml:space="preserve"> PAGEREF _Toc83625916 \h </w:instrText>
        </w:r>
        <w:r>
          <w:fldChar w:fldCharType="separate"/>
        </w:r>
        <w:r w:rsidR="005C5D7F">
          <w:t>419</w:t>
        </w:r>
        <w:r>
          <w:fldChar w:fldCharType="end"/>
        </w:r>
      </w:hyperlink>
    </w:p>
    <w:p w14:paraId="15EA5AE3" w14:textId="29D4831E" w:rsidR="005E03F7" w:rsidRDefault="005E03F7">
      <w:pPr>
        <w:pStyle w:val="TOC5"/>
        <w:rPr>
          <w:rFonts w:asciiTheme="minorHAnsi" w:eastAsiaTheme="minorEastAsia" w:hAnsiTheme="minorHAnsi" w:cstheme="minorBidi"/>
          <w:sz w:val="22"/>
          <w:szCs w:val="22"/>
          <w:lang w:eastAsia="en-AU"/>
        </w:rPr>
      </w:pPr>
      <w:r>
        <w:tab/>
      </w:r>
      <w:hyperlink w:anchor="_Toc83625917" w:history="1">
        <w:r w:rsidRPr="00D90FEA">
          <w:t>493</w:t>
        </w:r>
        <w:r>
          <w:rPr>
            <w:rFonts w:asciiTheme="minorHAnsi" w:eastAsiaTheme="minorEastAsia" w:hAnsiTheme="minorHAnsi" w:cstheme="minorBidi"/>
            <w:sz w:val="22"/>
            <w:szCs w:val="22"/>
            <w:lang w:eastAsia="en-AU"/>
          </w:rPr>
          <w:tab/>
        </w:r>
        <w:r w:rsidRPr="00D90FEA">
          <w:rPr>
            <w:rFonts w:ascii="Helvetica" w:hAnsi="Helvetica" w:cs="Helvetica"/>
            <w:iCs/>
          </w:rPr>
          <w:t>Exercise of functions in relation to light vehicles</w:t>
        </w:r>
        <w:r>
          <w:tab/>
        </w:r>
        <w:r>
          <w:fldChar w:fldCharType="begin"/>
        </w:r>
        <w:r>
          <w:instrText xml:space="preserve"> PAGEREF _Toc83625917 \h </w:instrText>
        </w:r>
        <w:r>
          <w:fldChar w:fldCharType="separate"/>
        </w:r>
        <w:r w:rsidR="005C5D7F">
          <w:t>420</w:t>
        </w:r>
        <w:r>
          <w:fldChar w:fldCharType="end"/>
        </w:r>
      </w:hyperlink>
    </w:p>
    <w:p w14:paraId="5AAD8091" w14:textId="451C9E1B" w:rsidR="005E03F7" w:rsidRDefault="00856BEE">
      <w:pPr>
        <w:pStyle w:val="TOC2"/>
        <w:rPr>
          <w:rFonts w:asciiTheme="minorHAnsi" w:eastAsiaTheme="minorEastAsia" w:hAnsiTheme="minorHAnsi" w:cstheme="minorBidi"/>
          <w:b w:val="0"/>
          <w:sz w:val="22"/>
          <w:szCs w:val="22"/>
          <w:lang w:eastAsia="en-AU"/>
        </w:rPr>
      </w:pPr>
      <w:hyperlink w:anchor="_Toc83625918" w:history="1">
        <w:r w:rsidR="005E03F7" w:rsidRPr="00D90FEA">
          <w:t xml:space="preserve">Part 9.2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Powers in relation to places</w:t>
        </w:r>
        <w:r w:rsidR="005E03F7" w:rsidRPr="005E03F7">
          <w:rPr>
            <w:vanish/>
          </w:rPr>
          <w:tab/>
        </w:r>
        <w:r w:rsidR="005E03F7" w:rsidRPr="005E03F7">
          <w:rPr>
            <w:vanish/>
          </w:rPr>
          <w:fldChar w:fldCharType="begin"/>
        </w:r>
        <w:r w:rsidR="005E03F7" w:rsidRPr="005E03F7">
          <w:rPr>
            <w:vanish/>
          </w:rPr>
          <w:instrText xml:space="preserve"> PAGEREF _Toc83625918 \h </w:instrText>
        </w:r>
        <w:r w:rsidR="005E03F7" w:rsidRPr="005E03F7">
          <w:rPr>
            <w:vanish/>
          </w:rPr>
        </w:r>
        <w:r w:rsidR="005E03F7" w:rsidRPr="005E03F7">
          <w:rPr>
            <w:vanish/>
          </w:rPr>
          <w:fldChar w:fldCharType="separate"/>
        </w:r>
        <w:r w:rsidR="005C5D7F">
          <w:rPr>
            <w:vanish/>
          </w:rPr>
          <w:t>421</w:t>
        </w:r>
        <w:r w:rsidR="005E03F7" w:rsidRPr="005E03F7">
          <w:rPr>
            <w:vanish/>
          </w:rPr>
          <w:fldChar w:fldCharType="end"/>
        </w:r>
      </w:hyperlink>
    </w:p>
    <w:p w14:paraId="4D2A2D2A" w14:textId="26FEDD6E" w:rsidR="005E03F7" w:rsidRDefault="00856BEE">
      <w:pPr>
        <w:pStyle w:val="TOC3"/>
        <w:rPr>
          <w:rFonts w:asciiTheme="minorHAnsi" w:eastAsiaTheme="minorEastAsia" w:hAnsiTheme="minorHAnsi" w:cstheme="minorBidi"/>
          <w:b w:val="0"/>
          <w:sz w:val="22"/>
          <w:szCs w:val="22"/>
          <w:lang w:eastAsia="en-AU"/>
        </w:rPr>
      </w:pPr>
      <w:hyperlink w:anchor="_Toc83625919" w:history="1">
        <w:r w:rsidR="005E03F7" w:rsidRPr="00D90FEA">
          <w:t xml:space="preserve">Division 1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Preliminary</w:t>
        </w:r>
        <w:r w:rsidR="005E03F7" w:rsidRPr="005E03F7">
          <w:rPr>
            <w:vanish/>
          </w:rPr>
          <w:tab/>
        </w:r>
        <w:r w:rsidR="005E03F7" w:rsidRPr="005E03F7">
          <w:rPr>
            <w:vanish/>
          </w:rPr>
          <w:fldChar w:fldCharType="begin"/>
        </w:r>
        <w:r w:rsidR="005E03F7" w:rsidRPr="005E03F7">
          <w:rPr>
            <w:vanish/>
          </w:rPr>
          <w:instrText xml:space="preserve"> PAGEREF _Toc83625919 \h </w:instrText>
        </w:r>
        <w:r w:rsidR="005E03F7" w:rsidRPr="005E03F7">
          <w:rPr>
            <w:vanish/>
          </w:rPr>
        </w:r>
        <w:r w:rsidR="005E03F7" w:rsidRPr="005E03F7">
          <w:rPr>
            <w:vanish/>
          </w:rPr>
          <w:fldChar w:fldCharType="separate"/>
        </w:r>
        <w:r w:rsidR="005C5D7F">
          <w:rPr>
            <w:vanish/>
          </w:rPr>
          <w:t>421</w:t>
        </w:r>
        <w:r w:rsidR="005E03F7" w:rsidRPr="005E03F7">
          <w:rPr>
            <w:vanish/>
          </w:rPr>
          <w:fldChar w:fldCharType="end"/>
        </w:r>
      </w:hyperlink>
    </w:p>
    <w:p w14:paraId="66139313" w14:textId="7630A8BB" w:rsidR="005E03F7" w:rsidRDefault="005E03F7">
      <w:pPr>
        <w:pStyle w:val="TOC5"/>
        <w:rPr>
          <w:rFonts w:asciiTheme="minorHAnsi" w:eastAsiaTheme="minorEastAsia" w:hAnsiTheme="minorHAnsi" w:cstheme="minorBidi"/>
          <w:sz w:val="22"/>
          <w:szCs w:val="22"/>
          <w:lang w:eastAsia="en-AU"/>
        </w:rPr>
      </w:pPr>
      <w:r>
        <w:tab/>
      </w:r>
      <w:hyperlink w:anchor="_Toc83625920" w:history="1">
        <w:r w:rsidRPr="00D90FEA">
          <w:t>494</w:t>
        </w:r>
        <w:r>
          <w:rPr>
            <w:rFonts w:asciiTheme="minorHAnsi" w:eastAsiaTheme="minorEastAsia" w:hAnsiTheme="minorHAnsi" w:cstheme="minorBidi"/>
            <w:sz w:val="22"/>
            <w:szCs w:val="22"/>
            <w:lang w:eastAsia="en-AU"/>
          </w:rPr>
          <w:tab/>
        </w:r>
        <w:r w:rsidRPr="00D90FEA">
          <w:rPr>
            <w:rFonts w:ascii="Helvetica" w:hAnsi="Helvetica" w:cs="Helvetica"/>
            <w:iCs/>
          </w:rPr>
          <w:t>Definitions for Pt 9.2</w:t>
        </w:r>
        <w:r>
          <w:tab/>
        </w:r>
        <w:r>
          <w:fldChar w:fldCharType="begin"/>
        </w:r>
        <w:r>
          <w:instrText xml:space="preserve"> PAGEREF _Toc83625920 \h </w:instrText>
        </w:r>
        <w:r>
          <w:fldChar w:fldCharType="separate"/>
        </w:r>
        <w:r w:rsidR="005C5D7F">
          <w:t>421</w:t>
        </w:r>
        <w:r>
          <w:fldChar w:fldCharType="end"/>
        </w:r>
      </w:hyperlink>
    </w:p>
    <w:p w14:paraId="17FE328C" w14:textId="27648BC9" w:rsidR="005E03F7" w:rsidRDefault="00856BEE">
      <w:pPr>
        <w:pStyle w:val="TOC3"/>
        <w:rPr>
          <w:rFonts w:asciiTheme="minorHAnsi" w:eastAsiaTheme="minorEastAsia" w:hAnsiTheme="minorHAnsi" w:cstheme="minorBidi"/>
          <w:b w:val="0"/>
          <w:sz w:val="22"/>
          <w:szCs w:val="22"/>
          <w:lang w:eastAsia="en-AU"/>
        </w:rPr>
      </w:pPr>
      <w:hyperlink w:anchor="_Toc83625921" w:history="1">
        <w:r w:rsidR="005E03F7" w:rsidRPr="00D90FEA">
          <w:t>Division 1A</w:t>
        </w:r>
        <w:r w:rsidR="005E03F7">
          <w:rPr>
            <w:rFonts w:asciiTheme="minorHAnsi" w:eastAsiaTheme="minorEastAsia" w:hAnsiTheme="minorHAnsi" w:cstheme="minorBidi"/>
            <w:b w:val="0"/>
            <w:sz w:val="22"/>
            <w:szCs w:val="22"/>
            <w:lang w:eastAsia="en-AU"/>
          </w:rPr>
          <w:tab/>
        </w:r>
        <w:r w:rsidR="005E03F7" w:rsidRPr="00D90FEA">
          <w:t>Entry of relevant places for advice purposes</w:t>
        </w:r>
        <w:r w:rsidR="005E03F7" w:rsidRPr="005E03F7">
          <w:rPr>
            <w:vanish/>
          </w:rPr>
          <w:tab/>
        </w:r>
        <w:r w:rsidR="005E03F7" w:rsidRPr="005E03F7">
          <w:rPr>
            <w:vanish/>
          </w:rPr>
          <w:fldChar w:fldCharType="begin"/>
        </w:r>
        <w:r w:rsidR="005E03F7" w:rsidRPr="005E03F7">
          <w:rPr>
            <w:vanish/>
          </w:rPr>
          <w:instrText xml:space="preserve"> PAGEREF _Toc83625921 \h </w:instrText>
        </w:r>
        <w:r w:rsidR="005E03F7" w:rsidRPr="005E03F7">
          <w:rPr>
            <w:vanish/>
          </w:rPr>
        </w:r>
        <w:r w:rsidR="005E03F7" w:rsidRPr="005E03F7">
          <w:rPr>
            <w:vanish/>
          </w:rPr>
          <w:fldChar w:fldCharType="separate"/>
        </w:r>
        <w:r w:rsidR="005C5D7F">
          <w:rPr>
            <w:vanish/>
          </w:rPr>
          <w:t>422</w:t>
        </w:r>
        <w:r w:rsidR="005E03F7" w:rsidRPr="005E03F7">
          <w:rPr>
            <w:vanish/>
          </w:rPr>
          <w:fldChar w:fldCharType="end"/>
        </w:r>
      </w:hyperlink>
    </w:p>
    <w:p w14:paraId="0DE5D4E4" w14:textId="1B8BE864" w:rsidR="005E03F7" w:rsidRDefault="005E03F7">
      <w:pPr>
        <w:pStyle w:val="TOC5"/>
        <w:rPr>
          <w:rFonts w:asciiTheme="minorHAnsi" w:eastAsiaTheme="minorEastAsia" w:hAnsiTheme="minorHAnsi" w:cstheme="minorBidi"/>
          <w:sz w:val="22"/>
          <w:szCs w:val="22"/>
          <w:lang w:eastAsia="en-AU"/>
        </w:rPr>
      </w:pPr>
      <w:r>
        <w:tab/>
      </w:r>
      <w:hyperlink w:anchor="_Toc83625922" w:history="1">
        <w:r w:rsidRPr="00D90FEA">
          <w:t>494A</w:t>
        </w:r>
        <w:r>
          <w:rPr>
            <w:rFonts w:asciiTheme="minorHAnsi" w:eastAsiaTheme="minorEastAsia" w:hAnsiTheme="minorHAnsi" w:cstheme="minorBidi"/>
            <w:sz w:val="22"/>
            <w:szCs w:val="22"/>
            <w:lang w:eastAsia="en-AU"/>
          </w:rPr>
          <w:tab/>
        </w:r>
        <w:r w:rsidRPr="00D90FEA">
          <w:rPr>
            <w:lang w:val="en" w:eastAsia="en-AU"/>
          </w:rPr>
          <w:t>Non-application to police officers</w:t>
        </w:r>
        <w:r>
          <w:tab/>
        </w:r>
        <w:r>
          <w:fldChar w:fldCharType="begin"/>
        </w:r>
        <w:r>
          <w:instrText xml:space="preserve"> PAGEREF _Toc83625922 \h </w:instrText>
        </w:r>
        <w:r>
          <w:fldChar w:fldCharType="separate"/>
        </w:r>
        <w:r w:rsidR="005C5D7F">
          <w:t>422</w:t>
        </w:r>
        <w:r>
          <w:fldChar w:fldCharType="end"/>
        </w:r>
      </w:hyperlink>
    </w:p>
    <w:p w14:paraId="4524F2DD" w14:textId="65FC017D" w:rsidR="005E03F7" w:rsidRDefault="005E03F7">
      <w:pPr>
        <w:pStyle w:val="TOC5"/>
        <w:rPr>
          <w:rFonts w:asciiTheme="minorHAnsi" w:eastAsiaTheme="minorEastAsia" w:hAnsiTheme="minorHAnsi" w:cstheme="minorBidi"/>
          <w:sz w:val="22"/>
          <w:szCs w:val="22"/>
          <w:lang w:eastAsia="en-AU"/>
        </w:rPr>
      </w:pPr>
      <w:r>
        <w:tab/>
      </w:r>
      <w:hyperlink w:anchor="_Toc83625923" w:history="1">
        <w:r w:rsidRPr="00D90FEA">
          <w:t>494B</w:t>
        </w:r>
        <w:r>
          <w:rPr>
            <w:rFonts w:asciiTheme="minorHAnsi" w:eastAsiaTheme="minorEastAsia" w:hAnsiTheme="minorHAnsi" w:cstheme="minorBidi"/>
            <w:sz w:val="22"/>
            <w:szCs w:val="22"/>
            <w:lang w:eastAsia="en-AU"/>
          </w:rPr>
          <w:tab/>
        </w:r>
        <w:r w:rsidRPr="00D90FEA">
          <w:rPr>
            <w:lang w:val="en" w:eastAsia="en-AU"/>
          </w:rPr>
          <w:t>Power to enter relevant place</w:t>
        </w:r>
        <w:r>
          <w:tab/>
        </w:r>
        <w:r>
          <w:fldChar w:fldCharType="begin"/>
        </w:r>
        <w:r>
          <w:instrText xml:space="preserve"> PAGEREF _Toc83625923 \h </w:instrText>
        </w:r>
        <w:r>
          <w:fldChar w:fldCharType="separate"/>
        </w:r>
        <w:r w:rsidR="005C5D7F">
          <w:t>422</w:t>
        </w:r>
        <w:r>
          <w:fldChar w:fldCharType="end"/>
        </w:r>
      </w:hyperlink>
    </w:p>
    <w:p w14:paraId="3585DF6D" w14:textId="46E09161" w:rsidR="005E03F7" w:rsidRDefault="005E03F7">
      <w:pPr>
        <w:pStyle w:val="TOC5"/>
        <w:rPr>
          <w:rFonts w:asciiTheme="minorHAnsi" w:eastAsiaTheme="minorEastAsia" w:hAnsiTheme="minorHAnsi" w:cstheme="minorBidi"/>
          <w:sz w:val="22"/>
          <w:szCs w:val="22"/>
          <w:lang w:eastAsia="en-AU"/>
        </w:rPr>
      </w:pPr>
      <w:r>
        <w:tab/>
      </w:r>
      <w:hyperlink w:anchor="_Toc83625924" w:history="1">
        <w:r w:rsidRPr="00D90FEA">
          <w:t>494C</w:t>
        </w:r>
        <w:r>
          <w:rPr>
            <w:rFonts w:asciiTheme="minorHAnsi" w:eastAsiaTheme="minorEastAsia" w:hAnsiTheme="minorHAnsi" w:cstheme="minorBidi"/>
            <w:sz w:val="22"/>
            <w:szCs w:val="22"/>
            <w:lang w:eastAsia="en-AU"/>
          </w:rPr>
          <w:tab/>
        </w:r>
        <w:r w:rsidRPr="00D90FEA">
          <w:rPr>
            <w:lang w:val="en" w:eastAsia="en-AU"/>
          </w:rPr>
          <w:t>Power after entering relevant place</w:t>
        </w:r>
        <w:r>
          <w:tab/>
        </w:r>
        <w:r>
          <w:fldChar w:fldCharType="begin"/>
        </w:r>
        <w:r>
          <w:instrText xml:space="preserve"> PAGEREF _Toc83625924 \h </w:instrText>
        </w:r>
        <w:r>
          <w:fldChar w:fldCharType="separate"/>
        </w:r>
        <w:r w:rsidR="005C5D7F">
          <w:t>422</w:t>
        </w:r>
        <w:r>
          <w:fldChar w:fldCharType="end"/>
        </w:r>
      </w:hyperlink>
    </w:p>
    <w:p w14:paraId="6BD93BF3" w14:textId="51A5DCC8" w:rsidR="005E03F7" w:rsidRDefault="00856BEE">
      <w:pPr>
        <w:pStyle w:val="TOC3"/>
        <w:rPr>
          <w:rFonts w:asciiTheme="minorHAnsi" w:eastAsiaTheme="minorEastAsia" w:hAnsiTheme="minorHAnsi" w:cstheme="minorBidi"/>
          <w:b w:val="0"/>
          <w:sz w:val="22"/>
          <w:szCs w:val="22"/>
          <w:lang w:eastAsia="en-AU"/>
        </w:rPr>
      </w:pPr>
      <w:hyperlink w:anchor="_Toc83625925" w:history="1">
        <w:r w:rsidR="005E03F7" w:rsidRPr="00D90FEA">
          <w:t xml:space="preserve">Division 2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Entry of relevant places for monitoring purposes</w:t>
        </w:r>
        <w:r w:rsidR="005E03F7" w:rsidRPr="005E03F7">
          <w:rPr>
            <w:vanish/>
          </w:rPr>
          <w:tab/>
        </w:r>
        <w:r w:rsidR="005E03F7" w:rsidRPr="005E03F7">
          <w:rPr>
            <w:vanish/>
          </w:rPr>
          <w:fldChar w:fldCharType="begin"/>
        </w:r>
        <w:r w:rsidR="005E03F7" w:rsidRPr="005E03F7">
          <w:rPr>
            <w:vanish/>
          </w:rPr>
          <w:instrText xml:space="preserve"> PAGEREF _Toc83625925 \h </w:instrText>
        </w:r>
        <w:r w:rsidR="005E03F7" w:rsidRPr="005E03F7">
          <w:rPr>
            <w:vanish/>
          </w:rPr>
        </w:r>
        <w:r w:rsidR="005E03F7" w:rsidRPr="005E03F7">
          <w:rPr>
            <w:vanish/>
          </w:rPr>
          <w:fldChar w:fldCharType="separate"/>
        </w:r>
        <w:r w:rsidR="005C5D7F">
          <w:rPr>
            <w:vanish/>
          </w:rPr>
          <w:t>422</w:t>
        </w:r>
        <w:r w:rsidR="005E03F7" w:rsidRPr="005E03F7">
          <w:rPr>
            <w:vanish/>
          </w:rPr>
          <w:fldChar w:fldCharType="end"/>
        </w:r>
      </w:hyperlink>
    </w:p>
    <w:p w14:paraId="07DDD3F0" w14:textId="31FB6190" w:rsidR="005E03F7" w:rsidRDefault="005E03F7">
      <w:pPr>
        <w:pStyle w:val="TOC5"/>
        <w:rPr>
          <w:rFonts w:asciiTheme="minorHAnsi" w:eastAsiaTheme="minorEastAsia" w:hAnsiTheme="minorHAnsi" w:cstheme="minorBidi"/>
          <w:sz w:val="22"/>
          <w:szCs w:val="22"/>
          <w:lang w:eastAsia="en-AU"/>
        </w:rPr>
      </w:pPr>
      <w:r>
        <w:tab/>
      </w:r>
      <w:hyperlink w:anchor="_Toc83625926" w:history="1">
        <w:r w:rsidRPr="00D90FEA">
          <w:t>495</w:t>
        </w:r>
        <w:r>
          <w:rPr>
            <w:rFonts w:asciiTheme="minorHAnsi" w:eastAsiaTheme="minorEastAsia" w:hAnsiTheme="minorHAnsi" w:cstheme="minorBidi"/>
            <w:sz w:val="22"/>
            <w:szCs w:val="22"/>
            <w:lang w:eastAsia="en-AU"/>
          </w:rPr>
          <w:tab/>
        </w:r>
        <w:r w:rsidRPr="00D90FEA">
          <w:rPr>
            <w:rFonts w:ascii="Helvetica" w:hAnsi="Helvetica" w:cs="Helvetica"/>
            <w:iCs/>
          </w:rPr>
          <w:t>Power to enter relevant place</w:t>
        </w:r>
        <w:r>
          <w:tab/>
        </w:r>
        <w:r>
          <w:fldChar w:fldCharType="begin"/>
        </w:r>
        <w:r>
          <w:instrText xml:space="preserve"> PAGEREF _Toc83625926 \h </w:instrText>
        </w:r>
        <w:r>
          <w:fldChar w:fldCharType="separate"/>
        </w:r>
        <w:r w:rsidR="005C5D7F">
          <w:t>422</w:t>
        </w:r>
        <w:r>
          <w:fldChar w:fldCharType="end"/>
        </w:r>
      </w:hyperlink>
    </w:p>
    <w:p w14:paraId="64185F00" w14:textId="6BCB5449" w:rsidR="005E03F7" w:rsidRDefault="005E03F7">
      <w:pPr>
        <w:pStyle w:val="TOC5"/>
        <w:rPr>
          <w:rFonts w:asciiTheme="minorHAnsi" w:eastAsiaTheme="minorEastAsia" w:hAnsiTheme="minorHAnsi" w:cstheme="minorBidi"/>
          <w:sz w:val="22"/>
          <w:szCs w:val="22"/>
          <w:lang w:eastAsia="en-AU"/>
        </w:rPr>
      </w:pPr>
      <w:r>
        <w:tab/>
      </w:r>
      <w:hyperlink w:anchor="_Toc83625927" w:history="1">
        <w:r w:rsidRPr="00D90FEA">
          <w:t>496</w:t>
        </w:r>
        <w:r>
          <w:rPr>
            <w:rFonts w:asciiTheme="minorHAnsi" w:eastAsiaTheme="minorEastAsia" w:hAnsiTheme="minorHAnsi" w:cstheme="minorBidi"/>
            <w:sz w:val="22"/>
            <w:szCs w:val="22"/>
            <w:lang w:eastAsia="en-AU"/>
          </w:rPr>
          <w:tab/>
        </w:r>
        <w:r w:rsidRPr="00D90FEA">
          <w:rPr>
            <w:rFonts w:ascii="Helvetica" w:hAnsi="Helvetica" w:cs="Helvetica"/>
            <w:iCs/>
          </w:rPr>
          <w:t>General powers after entering relevant place</w:t>
        </w:r>
        <w:r>
          <w:tab/>
        </w:r>
        <w:r>
          <w:fldChar w:fldCharType="begin"/>
        </w:r>
        <w:r>
          <w:instrText xml:space="preserve"> PAGEREF _Toc83625927 \h </w:instrText>
        </w:r>
        <w:r>
          <w:fldChar w:fldCharType="separate"/>
        </w:r>
        <w:r w:rsidR="005C5D7F">
          <w:t>423</w:t>
        </w:r>
        <w:r>
          <w:fldChar w:fldCharType="end"/>
        </w:r>
      </w:hyperlink>
    </w:p>
    <w:p w14:paraId="1601616A" w14:textId="79455800" w:rsidR="005E03F7" w:rsidRDefault="00856BEE">
      <w:pPr>
        <w:pStyle w:val="TOC3"/>
        <w:rPr>
          <w:rFonts w:asciiTheme="minorHAnsi" w:eastAsiaTheme="minorEastAsia" w:hAnsiTheme="minorHAnsi" w:cstheme="minorBidi"/>
          <w:b w:val="0"/>
          <w:sz w:val="22"/>
          <w:szCs w:val="22"/>
          <w:lang w:eastAsia="en-AU"/>
        </w:rPr>
      </w:pPr>
      <w:hyperlink w:anchor="_Toc83625928" w:history="1">
        <w:r w:rsidR="005E03F7" w:rsidRPr="00D90FEA">
          <w:t xml:space="preserve">Division 3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Entry of places for investigation purposes</w:t>
        </w:r>
        <w:r w:rsidR="005E03F7" w:rsidRPr="005E03F7">
          <w:rPr>
            <w:vanish/>
          </w:rPr>
          <w:tab/>
        </w:r>
        <w:r w:rsidR="005E03F7" w:rsidRPr="005E03F7">
          <w:rPr>
            <w:vanish/>
          </w:rPr>
          <w:fldChar w:fldCharType="begin"/>
        </w:r>
        <w:r w:rsidR="005E03F7" w:rsidRPr="005E03F7">
          <w:rPr>
            <w:vanish/>
          </w:rPr>
          <w:instrText xml:space="preserve"> PAGEREF _Toc83625928 \h </w:instrText>
        </w:r>
        <w:r w:rsidR="005E03F7" w:rsidRPr="005E03F7">
          <w:rPr>
            <w:vanish/>
          </w:rPr>
        </w:r>
        <w:r w:rsidR="005E03F7" w:rsidRPr="005E03F7">
          <w:rPr>
            <w:vanish/>
          </w:rPr>
          <w:fldChar w:fldCharType="separate"/>
        </w:r>
        <w:r w:rsidR="005C5D7F">
          <w:rPr>
            <w:vanish/>
          </w:rPr>
          <w:t>425</w:t>
        </w:r>
        <w:r w:rsidR="005E03F7" w:rsidRPr="005E03F7">
          <w:rPr>
            <w:vanish/>
          </w:rPr>
          <w:fldChar w:fldCharType="end"/>
        </w:r>
      </w:hyperlink>
    </w:p>
    <w:p w14:paraId="4E02CDE3" w14:textId="0C0630FF" w:rsidR="005E03F7" w:rsidRDefault="005E03F7">
      <w:pPr>
        <w:pStyle w:val="TOC5"/>
        <w:rPr>
          <w:rFonts w:asciiTheme="minorHAnsi" w:eastAsiaTheme="minorEastAsia" w:hAnsiTheme="minorHAnsi" w:cstheme="minorBidi"/>
          <w:sz w:val="22"/>
          <w:szCs w:val="22"/>
          <w:lang w:eastAsia="en-AU"/>
        </w:rPr>
      </w:pPr>
      <w:r>
        <w:tab/>
      </w:r>
      <w:hyperlink w:anchor="_Toc83625929" w:history="1">
        <w:r w:rsidRPr="00D90FEA">
          <w:t>497</w:t>
        </w:r>
        <w:r>
          <w:rPr>
            <w:rFonts w:asciiTheme="minorHAnsi" w:eastAsiaTheme="minorEastAsia" w:hAnsiTheme="minorHAnsi" w:cstheme="minorBidi"/>
            <w:sz w:val="22"/>
            <w:szCs w:val="22"/>
            <w:lang w:eastAsia="en-AU"/>
          </w:rPr>
          <w:tab/>
        </w:r>
        <w:r w:rsidRPr="00D90FEA">
          <w:rPr>
            <w:rFonts w:ascii="Helvetica" w:hAnsi="Helvetica" w:cs="Helvetica"/>
            <w:iCs/>
          </w:rPr>
          <w:t>General power to enter places</w:t>
        </w:r>
        <w:r>
          <w:tab/>
        </w:r>
        <w:r>
          <w:fldChar w:fldCharType="begin"/>
        </w:r>
        <w:r>
          <w:instrText xml:space="preserve"> PAGEREF _Toc83625929 \h </w:instrText>
        </w:r>
        <w:r>
          <w:fldChar w:fldCharType="separate"/>
        </w:r>
        <w:r w:rsidR="005C5D7F">
          <w:t>425</w:t>
        </w:r>
        <w:r>
          <w:fldChar w:fldCharType="end"/>
        </w:r>
      </w:hyperlink>
    </w:p>
    <w:p w14:paraId="5CA16803" w14:textId="4CEA70C7" w:rsidR="005E03F7" w:rsidRDefault="005E03F7">
      <w:pPr>
        <w:pStyle w:val="TOC5"/>
        <w:rPr>
          <w:rFonts w:asciiTheme="minorHAnsi" w:eastAsiaTheme="minorEastAsia" w:hAnsiTheme="minorHAnsi" w:cstheme="minorBidi"/>
          <w:sz w:val="22"/>
          <w:szCs w:val="22"/>
          <w:lang w:eastAsia="en-AU"/>
        </w:rPr>
      </w:pPr>
      <w:r>
        <w:tab/>
      </w:r>
      <w:hyperlink w:anchor="_Toc83625930" w:history="1">
        <w:r w:rsidRPr="00D90FEA">
          <w:t>498</w:t>
        </w:r>
        <w:r>
          <w:rPr>
            <w:rFonts w:asciiTheme="minorHAnsi" w:eastAsiaTheme="minorEastAsia" w:hAnsiTheme="minorHAnsi" w:cstheme="minorBidi"/>
            <w:sz w:val="22"/>
            <w:szCs w:val="22"/>
            <w:lang w:eastAsia="en-AU"/>
          </w:rPr>
          <w:tab/>
        </w:r>
        <w:r w:rsidRPr="00D90FEA">
          <w:rPr>
            <w:rFonts w:ascii="Helvetica" w:hAnsi="Helvetica" w:cs="Helvetica"/>
            <w:iCs/>
          </w:rPr>
          <w:t>Power to enter a place if evidence suspected to be at the place</w:t>
        </w:r>
        <w:r>
          <w:tab/>
        </w:r>
        <w:r>
          <w:fldChar w:fldCharType="begin"/>
        </w:r>
        <w:r>
          <w:instrText xml:space="preserve"> PAGEREF _Toc83625930 \h </w:instrText>
        </w:r>
        <w:r>
          <w:fldChar w:fldCharType="separate"/>
        </w:r>
        <w:r w:rsidR="005C5D7F">
          <w:t>427</w:t>
        </w:r>
        <w:r>
          <w:fldChar w:fldCharType="end"/>
        </w:r>
      </w:hyperlink>
    </w:p>
    <w:p w14:paraId="3720202B" w14:textId="1FA0F325" w:rsidR="005E03F7" w:rsidRDefault="005E03F7">
      <w:pPr>
        <w:pStyle w:val="TOC5"/>
        <w:rPr>
          <w:rFonts w:asciiTheme="minorHAnsi" w:eastAsiaTheme="minorEastAsia" w:hAnsiTheme="minorHAnsi" w:cstheme="minorBidi"/>
          <w:sz w:val="22"/>
          <w:szCs w:val="22"/>
          <w:lang w:eastAsia="en-AU"/>
        </w:rPr>
      </w:pPr>
      <w:r>
        <w:tab/>
      </w:r>
      <w:hyperlink w:anchor="_Toc83625931" w:history="1">
        <w:r w:rsidRPr="00D90FEA">
          <w:t>499</w:t>
        </w:r>
        <w:r>
          <w:rPr>
            <w:rFonts w:asciiTheme="minorHAnsi" w:eastAsiaTheme="minorEastAsia" w:hAnsiTheme="minorHAnsi" w:cstheme="minorBidi"/>
            <w:sz w:val="22"/>
            <w:szCs w:val="22"/>
            <w:lang w:eastAsia="en-AU"/>
          </w:rPr>
          <w:tab/>
        </w:r>
        <w:r w:rsidRPr="00D90FEA">
          <w:rPr>
            <w:rFonts w:ascii="Helvetica" w:hAnsi="Helvetica" w:cs="Helvetica"/>
            <w:iCs/>
          </w:rPr>
          <w:t>Power to enter particular places if incident involving death, injury or damage</w:t>
        </w:r>
        <w:r>
          <w:tab/>
        </w:r>
        <w:r>
          <w:fldChar w:fldCharType="begin"/>
        </w:r>
        <w:r>
          <w:instrText xml:space="preserve"> PAGEREF _Toc83625931 \h </w:instrText>
        </w:r>
        <w:r>
          <w:fldChar w:fldCharType="separate"/>
        </w:r>
        <w:r w:rsidR="005C5D7F">
          <w:t>428</w:t>
        </w:r>
        <w:r>
          <w:fldChar w:fldCharType="end"/>
        </w:r>
      </w:hyperlink>
    </w:p>
    <w:p w14:paraId="667EECBB" w14:textId="09C6703B" w:rsidR="005E03F7" w:rsidRDefault="005E03F7">
      <w:pPr>
        <w:pStyle w:val="TOC5"/>
        <w:rPr>
          <w:rFonts w:asciiTheme="minorHAnsi" w:eastAsiaTheme="minorEastAsia" w:hAnsiTheme="minorHAnsi" w:cstheme="minorBidi"/>
          <w:sz w:val="22"/>
          <w:szCs w:val="22"/>
          <w:lang w:eastAsia="en-AU"/>
        </w:rPr>
      </w:pPr>
      <w:r>
        <w:tab/>
      </w:r>
      <w:hyperlink w:anchor="_Toc83625932" w:history="1">
        <w:r w:rsidRPr="00D90FEA">
          <w:t>500</w:t>
        </w:r>
        <w:r>
          <w:rPr>
            <w:rFonts w:asciiTheme="minorHAnsi" w:eastAsiaTheme="minorEastAsia" w:hAnsiTheme="minorHAnsi" w:cstheme="minorBidi"/>
            <w:sz w:val="22"/>
            <w:szCs w:val="22"/>
            <w:lang w:eastAsia="en-AU"/>
          </w:rPr>
          <w:tab/>
        </w:r>
        <w:r w:rsidRPr="00D90FEA">
          <w:rPr>
            <w:rFonts w:ascii="Helvetica" w:hAnsi="Helvetica" w:cs="Helvetica"/>
            <w:iCs/>
          </w:rPr>
          <w:t>General powers after entering a place</w:t>
        </w:r>
        <w:r>
          <w:tab/>
        </w:r>
        <w:r>
          <w:fldChar w:fldCharType="begin"/>
        </w:r>
        <w:r>
          <w:instrText xml:space="preserve"> PAGEREF _Toc83625932 \h </w:instrText>
        </w:r>
        <w:r>
          <w:fldChar w:fldCharType="separate"/>
        </w:r>
        <w:r w:rsidR="005C5D7F">
          <w:t>430</w:t>
        </w:r>
        <w:r>
          <w:fldChar w:fldCharType="end"/>
        </w:r>
      </w:hyperlink>
    </w:p>
    <w:p w14:paraId="2E4CBD58" w14:textId="02F3B800" w:rsidR="005E03F7" w:rsidRDefault="00856BEE">
      <w:pPr>
        <w:pStyle w:val="TOC3"/>
        <w:rPr>
          <w:rFonts w:asciiTheme="minorHAnsi" w:eastAsiaTheme="minorEastAsia" w:hAnsiTheme="minorHAnsi" w:cstheme="minorBidi"/>
          <w:b w:val="0"/>
          <w:sz w:val="22"/>
          <w:szCs w:val="22"/>
          <w:lang w:eastAsia="en-AU"/>
        </w:rPr>
      </w:pPr>
      <w:hyperlink w:anchor="_Toc83625933" w:history="1">
        <w:r w:rsidR="005E03F7" w:rsidRPr="00D90FEA">
          <w:t xml:space="preserve">Division 4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Procedure for entry by consent</w:t>
        </w:r>
        <w:r w:rsidR="005E03F7" w:rsidRPr="005E03F7">
          <w:rPr>
            <w:vanish/>
          </w:rPr>
          <w:tab/>
        </w:r>
        <w:r w:rsidR="005E03F7" w:rsidRPr="005E03F7">
          <w:rPr>
            <w:vanish/>
          </w:rPr>
          <w:fldChar w:fldCharType="begin"/>
        </w:r>
        <w:r w:rsidR="005E03F7" w:rsidRPr="005E03F7">
          <w:rPr>
            <w:vanish/>
          </w:rPr>
          <w:instrText xml:space="preserve"> PAGEREF _Toc83625933 \h </w:instrText>
        </w:r>
        <w:r w:rsidR="005E03F7" w:rsidRPr="005E03F7">
          <w:rPr>
            <w:vanish/>
          </w:rPr>
        </w:r>
        <w:r w:rsidR="005E03F7" w:rsidRPr="005E03F7">
          <w:rPr>
            <w:vanish/>
          </w:rPr>
          <w:fldChar w:fldCharType="separate"/>
        </w:r>
        <w:r w:rsidR="005C5D7F">
          <w:rPr>
            <w:vanish/>
          </w:rPr>
          <w:t>434</w:t>
        </w:r>
        <w:r w:rsidR="005E03F7" w:rsidRPr="005E03F7">
          <w:rPr>
            <w:vanish/>
          </w:rPr>
          <w:fldChar w:fldCharType="end"/>
        </w:r>
      </w:hyperlink>
    </w:p>
    <w:p w14:paraId="510892AA" w14:textId="67BD0579" w:rsidR="005E03F7" w:rsidRDefault="005E03F7">
      <w:pPr>
        <w:pStyle w:val="TOC5"/>
        <w:rPr>
          <w:rFonts w:asciiTheme="minorHAnsi" w:eastAsiaTheme="minorEastAsia" w:hAnsiTheme="minorHAnsi" w:cstheme="minorBidi"/>
          <w:sz w:val="22"/>
          <w:szCs w:val="22"/>
          <w:lang w:eastAsia="en-AU"/>
        </w:rPr>
      </w:pPr>
      <w:r>
        <w:tab/>
      </w:r>
      <w:hyperlink w:anchor="_Toc83625934" w:history="1">
        <w:r w:rsidRPr="00D90FEA">
          <w:t>501</w:t>
        </w:r>
        <w:r>
          <w:rPr>
            <w:rFonts w:asciiTheme="minorHAnsi" w:eastAsiaTheme="minorEastAsia" w:hAnsiTheme="minorHAnsi" w:cstheme="minorBidi"/>
            <w:sz w:val="22"/>
            <w:szCs w:val="22"/>
            <w:lang w:eastAsia="en-AU"/>
          </w:rPr>
          <w:tab/>
        </w:r>
        <w:r w:rsidRPr="00D90FEA">
          <w:rPr>
            <w:rFonts w:ascii="Helvetica" w:hAnsi="Helvetica" w:cs="Helvetica"/>
            <w:iCs/>
          </w:rPr>
          <w:t>Application of Div 4</w:t>
        </w:r>
        <w:r>
          <w:tab/>
        </w:r>
        <w:r>
          <w:fldChar w:fldCharType="begin"/>
        </w:r>
        <w:r>
          <w:instrText xml:space="preserve"> PAGEREF _Toc83625934 \h </w:instrText>
        </w:r>
        <w:r>
          <w:fldChar w:fldCharType="separate"/>
        </w:r>
        <w:r w:rsidR="005C5D7F">
          <w:t>434</w:t>
        </w:r>
        <w:r>
          <w:fldChar w:fldCharType="end"/>
        </w:r>
      </w:hyperlink>
    </w:p>
    <w:p w14:paraId="50EF585A" w14:textId="1D155B51" w:rsidR="005E03F7" w:rsidRDefault="005E03F7">
      <w:pPr>
        <w:pStyle w:val="TOC5"/>
        <w:rPr>
          <w:rFonts w:asciiTheme="minorHAnsi" w:eastAsiaTheme="minorEastAsia" w:hAnsiTheme="minorHAnsi" w:cstheme="minorBidi"/>
          <w:sz w:val="22"/>
          <w:szCs w:val="22"/>
          <w:lang w:eastAsia="en-AU"/>
        </w:rPr>
      </w:pPr>
      <w:r>
        <w:tab/>
      </w:r>
      <w:hyperlink w:anchor="_Toc83625935" w:history="1">
        <w:r w:rsidRPr="00D90FEA">
          <w:t>502</w:t>
        </w:r>
        <w:r>
          <w:rPr>
            <w:rFonts w:asciiTheme="minorHAnsi" w:eastAsiaTheme="minorEastAsia" w:hAnsiTheme="minorHAnsi" w:cstheme="minorBidi"/>
            <w:sz w:val="22"/>
            <w:szCs w:val="22"/>
            <w:lang w:eastAsia="en-AU"/>
          </w:rPr>
          <w:tab/>
        </w:r>
        <w:r w:rsidRPr="00D90FEA">
          <w:rPr>
            <w:rFonts w:ascii="Helvetica" w:hAnsi="Helvetica" w:cs="Helvetica"/>
            <w:iCs/>
          </w:rPr>
          <w:t>Incidental entry to ask for access</w:t>
        </w:r>
        <w:r>
          <w:tab/>
        </w:r>
        <w:r>
          <w:fldChar w:fldCharType="begin"/>
        </w:r>
        <w:r>
          <w:instrText xml:space="preserve"> PAGEREF _Toc83625935 \h </w:instrText>
        </w:r>
        <w:r>
          <w:fldChar w:fldCharType="separate"/>
        </w:r>
        <w:r w:rsidR="005C5D7F">
          <w:t>434</w:t>
        </w:r>
        <w:r>
          <w:fldChar w:fldCharType="end"/>
        </w:r>
      </w:hyperlink>
    </w:p>
    <w:p w14:paraId="091D514F" w14:textId="4C0C5C77" w:rsidR="005E03F7" w:rsidRDefault="005E03F7">
      <w:pPr>
        <w:pStyle w:val="TOC5"/>
        <w:rPr>
          <w:rFonts w:asciiTheme="minorHAnsi" w:eastAsiaTheme="minorEastAsia" w:hAnsiTheme="minorHAnsi" w:cstheme="minorBidi"/>
          <w:sz w:val="22"/>
          <w:szCs w:val="22"/>
          <w:lang w:eastAsia="en-AU"/>
        </w:rPr>
      </w:pPr>
      <w:r>
        <w:tab/>
      </w:r>
      <w:hyperlink w:anchor="_Toc83625936" w:history="1">
        <w:r w:rsidRPr="00D90FEA">
          <w:t>503</w:t>
        </w:r>
        <w:r>
          <w:rPr>
            <w:rFonts w:asciiTheme="minorHAnsi" w:eastAsiaTheme="minorEastAsia" w:hAnsiTheme="minorHAnsi" w:cstheme="minorBidi"/>
            <w:sz w:val="22"/>
            <w:szCs w:val="22"/>
            <w:lang w:eastAsia="en-AU"/>
          </w:rPr>
          <w:tab/>
        </w:r>
        <w:r w:rsidRPr="00D90FEA">
          <w:rPr>
            <w:rFonts w:ascii="Helvetica" w:hAnsi="Helvetica" w:cs="Helvetica"/>
            <w:iCs/>
          </w:rPr>
          <w:t>Matters authorised officer must tell occupier</w:t>
        </w:r>
        <w:r>
          <w:tab/>
        </w:r>
        <w:r>
          <w:fldChar w:fldCharType="begin"/>
        </w:r>
        <w:r>
          <w:instrText xml:space="preserve"> PAGEREF _Toc83625936 \h </w:instrText>
        </w:r>
        <w:r>
          <w:fldChar w:fldCharType="separate"/>
        </w:r>
        <w:r w:rsidR="005C5D7F">
          <w:t>434</w:t>
        </w:r>
        <w:r>
          <w:fldChar w:fldCharType="end"/>
        </w:r>
      </w:hyperlink>
    </w:p>
    <w:p w14:paraId="44C50AA8" w14:textId="77C4A5F9" w:rsidR="005E03F7" w:rsidRDefault="005E03F7">
      <w:pPr>
        <w:pStyle w:val="TOC5"/>
        <w:rPr>
          <w:rFonts w:asciiTheme="minorHAnsi" w:eastAsiaTheme="minorEastAsia" w:hAnsiTheme="minorHAnsi" w:cstheme="minorBidi"/>
          <w:sz w:val="22"/>
          <w:szCs w:val="22"/>
          <w:lang w:eastAsia="en-AU"/>
        </w:rPr>
      </w:pPr>
      <w:r>
        <w:tab/>
      </w:r>
      <w:hyperlink w:anchor="_Toc83625937" w:history="1">
        <w:r w:rsidRPr="00D90FEA">
          <w:t>504</w:t>
        </w:r>
        <w:r>
          <w:rPr>
            <w:rFonts w:asciiTheme="minorHAnsi" w:eastAsiaTheme="minorEastAsia" w:hAnsiTheme="minorHAnsi" w:cstheme="minorBidi"/>
            <w:sz w:val="22"/>
            <w:szCs w:val="22"/>
            <w:lang w:eastAsia="en-AU"/>
          </w:rPr>
          <w:tab/>
        </w:r>
        <w:r w:rsidRPr="00D90FEA">
          <w:rPr>
            <w:rFonts w:ascii="Helvetica" w:hAnsi="Helvetica" w:cs="Helvetica"/>
            <w:iCs/>
          </w:rPr>
          <w:t>Consent acknowledgement</w:t>
        </w:r>
        <w:r>
          <w:tab/>
        </w:r>
        <w:r>
          <w:fldChar w:fldCharType="begin"/>
        </w:r>
        <w:r>
          <w:instrText xml:space="preserve"> PAGEREF _Toc83625937 \h </w:instrText>
        </w:r>
        <w:r>
          <w:fldChar w:fldCharType="separate"/>
        </w:r>
        <w:r w:rsidR="005C5D7F">
          <w:t>435</w:t>
        </w:r>
        <w:r>
          <w:fldChar w:fldCharType="end"/>
        </w:r>
      </w:hyperlink>
    </w:p>
    <w:p w14:paraId="5636A965" w14:textId="2C9ED21E" w:rsidR="005E03F7" w:rsidRDefault="005E03F7">
      <w:pPr>
        <w:pStyle w:val="TOC5"/>
        <w:rPr>
          <w:rFonts w:asciiTheme="minorHAnsi" w:eastAsiaTheme="minorEastAsia" w:hAnsiTheme="minorHAnsi" w:cstheme="minorBidi"/>
          <w:sz w:val="22"/>
          <w:szCs w:val="22"/>
          <w:lang w:eastAsia="en-AU"/>
        </w:rPr>
      </w:pPr>
      <w:r>
        <w:tab/>
      </w:r>
      <w:hyperlink w:anchor="_Toc83625938" w:history="1">
        <w:r w:rsidRPr="00D90FEA">
          <w:t>505</w:t>
        </w:r>
        <w:r>
          <w:rPr>
            <w:rFonts w:asciiTheme="minorHAnsi" w:eastAsiaTheme="minorEastAsia" w:hAnsiTheme="minorHAnsi" w:cstheme="minorBidi"/>
            <w:sz w:val="22"/>
            <w:szCs w:val="22"/>
            <w:lang w:eastAsia="en-AU"/>
          </w:rPr>
          <w:tab/>
        </w:r>
        <w:r w:rsidRPr="00D90FEA">
          <w:rPr>
            <w:rFonts w:ascii="Helvetica" w:hAnsi="Helvetica" w:cs="Helvetica"/>
            <w:iCs/>
          </w:rPr>
          <w:t>Procedure for entry with consent</w:t>
        </w:r>
        <w:r>
          <w:tab/>
        </w:r>
        <w:r>
          <w:fldChar w:fldCharType="begin"/>
        </w:r>
        <w:r>
          <w:instrText xml:space="preserve"> PAGEREF _Toc83625938 \h </w:instrText>
        </w:r>
        <w:r>
          <w:fldChar w:fldCharType="separate"/>
        </w:r>
        <w:r w:rsidR="005C5D7F">
          <w:t>436</w:t>
        </w:r>
        <w:r>
          <w:fldChar w:fldCharType="end"/>
        </w:r>
      </w:hyperlink>
    </w:p>
    <w:p w14:paraId="0A0D63C8" w14:textId="7077ECA8" w:rsidR="005E03F7" w:rsidRDefault="00856BEE">
      <w:pPr>
        <w:pStyle w:val="TOC3"/>
        <w:rPr>
          <w:rFonts w:asciiTheme="minorHAnsi" w:eastAsiaTheme="minorEastAsia" w:hAnsiTheme="minorHAnsi" w:cstheme="minorBidi"/>
          <w:b w:val="0"/>
          <w:sz w:val="22"/>
          <w:szCs w:val="22"/>
          <w:lang w:eastAsia="en-AU"/>
        </w:rPr>
      </w:pPr>
      <w:hyperlink w:anchor="_Toc83625939" w:history="1">
        <w:r w:rsidR="005E03F7" w:rsidRPr="00D90FEA">
          <w:t xml:space="preserve">Division 5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Entry under warrant</w:t>
        </w:r>
        <w:r w:rsidR="005E03F7" w:rsidRPr="005E03F7">
          <w:rPr>
            <w:vanish/>
          </w:rPr>
          <w:tab/>
        </w:r>
        <w:r w:rsidR="005E03F7" w:rsidRPr="005E03F7">
          <w:rPr>
            <w:vanish/>
          </w:rPr>
          <w:fldChar w:fldCharType="begin"/>
        </w:r>
        <w:r w:rsidR="005E03F7" w:rsidRPr="005E03F7">
          <w:rPr>
            <w:vanish/>
          </w:rPr>
          <w:instrText xml:space="preserve"> PAGEREF _Toc83625939 \h </w:instrText>
        </w:r>
        <w:r w:rsidR="005E03F7" w:rsidRPr="005E03F7">
          <w:rPr>
            <w:vanish/>
          </w:rPr>
        </w:r>
        <w:r w:rsidR="005E03F7" w:rsidRPr="005E03F7">
          <w:rPr>
            <w:vanish/>
          </w:rPr>
          <w:fldChar w:fldCharType="separate"/>
        </w:r>
        <w:r w:rsidR="005C5D7F">
          <w:rPr>
            <w:vanish/>
          </w:rPr>
          <w:t>437</w:t>
        </w:r>
        <w:r w:rsidR="005E03F7" w:rsidRPr="005E03F7">
          <w:rPr>
            <w:vanish/>
          </w:rPr>
          <w:fldChar w:fldCharType="end"/>
        </w:r>
      </w:hyperlink>
    </w:p>
    <w:p w14:paraId="3EB9AC33" w14:textId="134997BA" w:rsidR="005E03F7" w:rsidRDefault="005E03F7">
      <w:pPr>
        <w:pStyle w:val="TOC5"/>
        <w:rPr>
          <w:rFonts w:asciiTheme="minorHAnsi" w:eastAsiaTheme="minorEastAsia" w:hAnsiTheme="minorHAnsi" w:cstheme="minorBidi"/>
          <w:sz w:val="22"/>
          <w:szCs w:val="22"/>
          <w:lang w:eastAsia="en-AU"/>
        </w:rPr>
      </w:pPr>
      <w:r>
        <w:tab/>
      </w:r>
      <w:hyperlink w:anchor="_Toc83625940" w:history="1">
        <w:r w:rsidRPr="00D90FEA">
          <w:t>506</w:t>
        </w:r>
        <w:r>
          <w:rPr>
            <w:rFonts w:asciiTheme="minorHAnsi" w:eastAsiaTheme="minorEastAsia" w:hAnsiTheme="minorHAnsi" w:cstheme="minorBidi"/>
            <w:sz w:val="22"/>
            <w:szCs w:val="22"/>
            <w:lang w:eastAsia="en-AU"/>
          </w:rPr>
          <w:tab/>
        </w:r>
        <w:r w:rsidRPr="00D90FEA">
          <w:rPr>
            <w:rFonts w:ascii="Helvetica" w:hAnsi="Helvetica" w:cs="Helvetica"/>
            <w:iCs/>
          </w:rPr>
          <w:t>Application for warrant</w:t>
        </w:r>
        <w:r>
          <w:tab/>
        </w:r>
        <w:r>
          <w:fldChar w:fldCharType="begin"/>
        </w:r>
        <w:r>
          <w:instrText xml:space="preserve"> PAGEREF _Toc83625940 \h </w:instrText>
        </w:r>
        <w:r>
          <w:fldChar w:fldCharType="separate"/>
        </w:r>
        <w:r w:rsidR="005C5D7F">
          <w:t>437</w:t>
        </w:r>
        <w:r>
          <w:fldChar w:fldCharType="end"/>
        </w:r>
      </w:hyperlink>
    </w:p>
    <w:p w14:paraId="740FF15F" w14:textId="1B773DA6" w:rsidR="005E03F7" w:rsidRDefault="005E03F7">
      <w:pPr>
        <w:pStyle w:val="TOC5"/>
        <w:rPr>
          <w:rFonts w:asciiTheme="minorHAnsi" w:eastAsiaTheme="minorEastAsia" w:hAnsiTheme="minorHAnsi" w:cstheme="minorBidi"/>
          <w:sz w:val="22"/>
          <w:szCs w:val="22"/>
          <w:lang w:eastAsia="en-AU"/>
        </w:rPr>
      </w:pPr>
      <w:r>
        <w:tab/>
      </w:r>
      <w:hyperlink w:anchor="_Toc83625941" w:history="1">
        <w:r w:rsidRPr="00D90FEA">
          <w:t>507</w:t>
        </w:r>
        <w:r>
          <w:rPr>
            <w:rFonts w:asciiTheme="minorHAnsi" w:eastAsiaTheme="minorEastAsia" w:hAnsiTheme="minorHAnsi" w:cstheme="minorBidi"/>
            <w:sz w:val="22"/>
            <w:szCs w:val="22"/>
            <w:lang w:eastAsia="en-AU"/>
          </w:rPr>
          <w:tab/>
        </w:r>
        <w:r w:rsidRPr="00D90FEA">
          <w:rPr>
            <w:rFonts w:ascii="Helvetica" w:hAnsi="Helvetica" w:cs="Helvetica"/>
            <w:iCs/>
          </w:rPr>
          <w:t>Issue of warrant</w:t>
        </w:r>
        <w:r>
          <w:tab/>
        </w:r>
        <w:r>
          <w:fldChar w:fldCharType="begin"/>
        </w:r>
        <w:r>
          <w:instrText xml:space="preserve"> PAGEREF _Toc83625941 \h </w:instrText>
        </w:r>
        <w:r>
          <w:fldChar w:fldCharType="separate"/>
        </w:r>
        <w:r w:rsidR="005C5D7F">
          <w:t>437</w:t>
        </w:r>
        <w:r>
          <w:fldChar w:fldCharType="end"/>
        </w:r>
      </w:hyperlink>
    </w:p>
    <w:p w14:paraId="22ABC957" w14:textId="5177AB94" w:rsidR="005E03F7" w:rsidRDefault="005E03F7">
      <w:pPr>
        <w:pStyle w:val="TOC5"/>
        <w:rPr>
          <w:rFonts w:asciiTheme="minorHAnsi" w:eastAsiaTheme="minorEastAsia" w:hAnsiTheme="minorHAnsi" w:cstheme="minorBidi"/>
          <w:sz w:val="22"/>
          <w:szCs w:val="22"/>
          <w:lang w:eastAsia="en-AU"/>
        </w:rPr>
      </w:pPr>
      <w:r>
        <w:tab/>
      </w:r>
      <w:hyperlink w:anchor="_Toc83625942" w:history="1">
        <w:r w:rsidRPr="00D90FEA">
          <w:t>508</w:t>
        </w:r>
        <w:r>
          <w:rPr>
            <w:rFonts w:asciiTheme="minorHAnsi" w:eastAsiaTheme="minorEastAsia" w:hAnsiTheme="minorHAnsi" w:cstheme="minorBidi"/>
            <w:sz w:val="22"/>
            <w:szCs w:val="22"/>
            <w:lang w:eastAsia="en-AU"/>
          </w:rPr>
          <w:tab/>
        </w:r>
        <w:r w:rsidRPr="00D90FEA">
          <w:rPr>
            <w:rFonts w:ascii="Helvetica" w:hAnsi="Helvetica" w:cs="Helvetica"/>
            <w:iCs/>
          </w:rPr>
          <w:t>Application by electronic communication and duplicate warrant</w:t>
        </w:r>
        <w:r>
          <w:tab/>
        </w:r>
        <w:r>
          <w:fldChar w:fldCharType="begin"/>
        </w:r>
        <w:r>
          <w:instrText xml:space="preserve"> PAGEREF _Toc83625942 \h </w:instrText>
        </w:r>
        <w:r>
          <w:fldChar w:fldCharType="separate"/>
        </w:r>
        <w:r w:rsidR="005C5D7F">
          <w:t>438</w:t>
        </w:r>
        <w:r>
          <w:fldChar w:fldCharType="end"/>
        </w:r>
      </w:hyperlink>
    </w:p>
    <w:p w14:paraId="3357E3F3" w14:textId="6C046307" w:rsidR="005E03F7" w:rsidRDefault="005E03F7">
      <w:pPr>
        <w:pStyle w:val="TOC5"/>
        <w:rPr>
          <w:rFonts w:asciiTheme="minorHAnsi" w:eastAsiaTheme="minorEastAsia" w:hAnsiTheme="minorHAnsi" w:cstheme="minorBidi"/>
          <w:sz w:val="22"/>
          <w:szCs w:val="22"/>
          <w:lang w:eastAsia="en-AU"/>
        </w:rPr>
      </w:pPr>
      <w:r>
        <w:tab/>
      </w:r>
      <w:hyperlink w:anchor="_Toc83625943" w:history="1">
        <w:r w:rsidRPr="00D90FEA">
          <w:t>509</w:t>
        </w:r>
        <w:r>
          <w:rPr>
            <w:rFonts w:asciiTheme="minorHAnsi" w:eastAsiaTheme="minorEastAsia" w:hAnsiTheme="minorHAnsi" w:cstheme="minorBidi"/>
            <w:sz w:val="22"/>
            <w:szCs w:val="22"/>
            <w:lang w:eastAsia="en-AU"/>
          </w:rPr>
          <w:tab/>
        </w:r>
        <w:r w:rsidRPr="00D90FEA">
          <w:rPr>
            <w:rFonts w:ascii="Helvetica" w:hAnsi="Helvetica" w:cs="Helvetica"/>
            <w:iCs/>
          </w:rPr>
          <w:t>Defect in relation to a warrant</w:t>
        </w:r>
        <w:r>
          <w:tab/>
        </w:r>
        <w:r>
          <w:fldChar w:fldCharType="begin"/>
        </w:r>
        <w:r>
          <w:instrText xml:space="preserve"> PAGEREF _Toc83625943 \h </w:instrText>
        </w:r>
        <w:r>
          <w:fldChar w:fldCharType="separate"/>
        </w:r>
        <w:r w:rsidR="005C5D7F">
          <w:t>440</w:t>
        </w:r>
        <w:r>
          <w:fldChar w:fldCharType="end"/>
        </w:r>
      </w:hyperlink>
    </w:p>
    <w:p w14:paraId="4DD0B6D8" w14:textId="320B4FD2" w:rsidR="005E03F7" w:rsidRDefault="005E03F7">
      <w:pPr>
        <w:pStyle w:val="TOC5"/>
        <w:rPr>
          <w:rFonts w:asciiTheme="minorHAnsi" w:eastAsiaTheme="minorEastAsia" w:hAnsiTheme="minorHAnsi" w:cstheme="minorBidi"/>
          <w:sz w:val="22"/>
          <w:szCs w:val="22"/>
          <w:lang w:eastAsia="en-AU"/>
        </w:rPr>
      </w:pPr>
      <w:r>
        <w:tab/>
      </w:r>
      <w:hyperlink w:anchor="_Toc83625944" w:history="1">
        <w:r w:rsidRPr="00D90FEA">
          <w:t>510</w:t>
        </w:r>
        <w:r>
          <w:rPr>
            <w:rFonts w:asciiTheme="minorHAnsi" w:eastAsiaTheme="minorEastAsia" w:hAnsiTheme="minorHAnsi" w:cstheme="minorBidi"/>
            <w:sz w:val="22"/>
            <w:szCs w:val="22"/>
            <w:lang w:eastAsia="en-AU"/>
          </w:rPr>
          <w:tab/>
        </w:r>
        <w:r w:rsidRPr="00D90FEA">
          <w:rPr>
            <w:rFonts w:ascii="Helvetica" w:hAnsi="Helvetica" w:cs="Helvetica"/>
            <w:iCs/>
          </w:rPr>
          <w:t>Procedure for entry under warrant</w:t>
        </w:r>
        <w:r>
          <w:tab/>
        </w:r>
        <w:r>
          <w:fldChar w:fldCharType="begin"/>
        </w:r>
        <w:r>
          <w:instrText xml:space="preserve"> PAGEREF _Toc83625944 \h </w:instrText>
        </w:r>
        <w:r>
          <w:fldChar w:fldCharType="separate"/>
        </w:r>
        <w:r w:rsidR="005C5D7F">
          <w:t>440</w:t>
        </w:r>
        <w:r>
          <w:fldChar w:fldCharType="end"/>
        </w:r>
      </w:hyperlink>
    </w:p>
    <w:p w14:paraId="5B0366F1" w14:textId="07871181" w:rsidR="005E03F7" w:rsidRDefault="00856BEE">
      <w:pPr>
        <w:pStyle w:val="TOC2"/>
        <w:rPr>
          <w:rFonts w:asciiTheme="minorHAnsi" w:eastAsiaTheme="minorEastAsia" w:hAnsiTheme="minorHAnsi" w:cstheme="minorBidi"/>
          <w:b w:val="0"/>
          <w:sz w:val="22"/>
          <w:szCs w:val="22"/>
          <w:lang w:eastAsia="en-AU"/>
        </w:rPr>
      </w:pPr>
      <w:hyperlink w:anchor="_Toc83625945" w:history="1">
        <w:r w:rsidR="005E03F7" w:rsidRPr="00D90FEA">
          <w:t xml:space="preserve">Part 9.3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Powers in relation to heavy vehicles</w:t>
        </w:r>
        <w:r w:rsidR="005E03F7" w:rsidRPr="005E03F7">
          <w:rPr>
            <w:vanish/>
          </w:rPr>
          <w:tab/>
        </w:r>
        <w:r w:rsidR="005E03F7" w:rsidRPr="005E03F7">
          <w:rPr>
            <w:vanish/>
          </w:rPr>
          <w:fldChar w:fldCharType="begin"/>
        </w:r>
        <w:r w:rsidR="005E03F7" w:rsidRPr="005E03F7">
          <w:rPr>
            <w:vanish/>
          </w:rPr>
          <w:instrText xml:space="preserve"> PAGEREF _Toc83625945 \h </w:instrText>
        </w:r>
        <w:r w:rsidR="005E03F7" w:rsidRPr="005E03F7">
          <w:rPr>
            <w:vanish/>
          </w:rPr>
        </w:r>
        <w:r w:rsidR="005E03F7" w:rsidRPr="005E03F7">
          <w:rPr>
            <w:vanish/>
          </w:rPr>
          <w:fldChar w:fldCharType="separate"/>
        </w:r>
        <w:r w:rsidR="005C5D7F">
          <w:rPr>
            <w:vanish/>
          </w:rPr>
          <w:t>442</w:t>
        </w:r>
        <w:r w:rsidR="005E03F7" w:rsidRPr="005E03F7">
          <w:rPr>
            <w:vanish/>
          </w:rPr>
          <w:fldChar w:fldCharType="end"/>
        </w:r>
      </w:hyperlink>
    </w:p>
    <w:p w14:paraId="2C9109AA" w14:textId="252F569A" w:rsidR="005E03F7" w:rsidRDefault="00856BEE">
      <w:pPr>
        <w:pStyle w:val="TOC3"/>
        <w:rPr>
          <w:rFonts w:asciiTheme="minorHAnsi" w:eastAsiaTheme="minorEastAsia" w:hAnsiTheme="minorHAnsi" w:cstheme="minorBidi"/>
          <w:b w:val="0"/>
          <w:sz w:val="22"/>
          <w:szCs w:val="22"/>
          <w:lang w:eastAsia="en-AU"/>
        </w:rPr>
      </w:pPr>
      <w:hyperlink w:anchor="_Toc83625946" w:history="1">
        <w:r w:rsidR="005E03F7" w:rsidRPr="00D90FEA">
          <w:t xml:space="preserve">Division 1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Preliminary</w:t>
        </w:r>
        <w:r w:rsidR="005E03F7" w:rsidRPr="005E03F7">
          <w:rPr>
            <w:vanish/>
          </w:rPr>
          <w:tab/>
        </w:r>
        <w:r w:rsidR="005E03F7" w:rsidRPr="005E03F7">
          <w:rPr>
            <w:vanish/>
          </w:rPr>
          <w:fldChar w:fldCharType="begin"/>
        </w:r>
        <w:r w:rsidR="005E03F7" w:rsidRPr="005E03F7">
          <w:rPr>
            <w:vanish/>
          </w:rPr>
          <w:instrText xml:space="preserve"> PAGEREF _Toc83625946 \h </w:instrText>
        </w:r>
        <w:r w:rsidR="005E03F7" w:rsidRPr="005E03F7">
          <w:rPr>
            <w:vanish/>
          </w:rPr>
        </w:r>
        <w:r w:rsidR="005E03F7" w:rsidRPr="005E03F7">
          <w:rPr>
            <w:vanish/>
          </w:rPr>
          <w:fldChar w:fldCharType="separate"/>
        </w:r>
        <w:r w:rsidR="005C5D7F">
          <w:rPr>
            <w:vanish/>
          </w:rPr>
          <w:t>442</w:t>
        </w:r>
        <w:r w:rsidR="005E03F7" w:rsidRPr="005E03F7">
          <w:rPr>
            <w:vanish/>
          </w:rPr>
          <w:fldChar w:fldCharType="end"/>
        </w:r>
      </w:hyperlink>
    </w:p>
    <w:p w14:paraId="532C77A1" w14:textId="30F360BE" w:rsidR="005E03F7" w:rsidRDefault="005E03F7">
      <w:pPr>
        <w:pStyle w:val="TOC5"/>
        <w:rPr>
          <w:rFonts w:asciiTheme="minorHAnsi" w:eastAsiaTheme="minorEastAsia" w:hAnsiTheme="minorHAnsi" w:cstheme="minorBidi"/>
          <w:sz w:val="22"/>
          <w:szCs w:val="22"/>
          <w:lang w:eastAsia="en-AU"/>
        </w:rPr>
      </w:pPr>
      <w:r>
        <w:tab/>
      </w:r>
      <w:hyperlink w:anchor="_Toc83625947" w:history="1">
        <w:r w:rsidRPr="00D90FEA">
          <w:t>511</w:t>
        </w:r>
        <w:r>
          <w:rPr>
            <w:rFonts w:asciiTheme="minorHAnsi" w:eastAsiaTheme="minorEastAsia" w:hAnsiTheme="minorHAnsi" w:cstheme="minorBidi"/>
            <w:sz w:val="22"/>
            <w:szCs w:val="22"/>
            <w:lang w:eastAsia="en-AU"/>
          </w:rPr>
          <w:tab/>
        </w:r>
        <w:r w:rsidRPr="00D90FEA">
          <w:rPr>
            <w:rFonts w:ascii="Helvetica" w:hAnsi="Helvetica" w:cs="Helvetica"/>
            <w:iCs/>
          </w:rPr>
          <w:t>Application of Pt 9.3</w:t>
        </w:r>
        <w:r>
          <w:tab/>
        </w:r>
        <w:r>
          <w:fldChar w:fldCharType="begin"/>
        </w:r>
        <w:r>
          <w:instrText xml:space="preserve"> PAGEREF _Toc83625947 \h </w:instrText>
        </w:r>
        <w:r>
          <w:fldChar w:fldCharType="separate"/>
        </w:r>
        <w:r w:rsidR="005C5D7F">
          <w:t>442</w:t>
        </w:r>
        <w:r>
          <w:fldChar w:fldCharType="end"/>
        </w:r>
      </w:hyperlink>
    </w:p>
    <w:p w14:paraId="6BF63028" w14:textId="625926A5" w:rsidR="005E03F7" w:rsidRDefault="005E03F7">
      <w:pPr>
        <w:pStyle w:val="TOC5"/>
        <w:rPr>
          <w:rFonts w:asciiTheme="minorHAnsi" w:eastAsiaTheme="minorEastAsia" w:hAnsiTheme="minorHAnsi" w:cstheme="minorBidi"/>
          <w:sz w:val="22"/>
          <w:szCs w:val="22"/>
          <w:lang w:eastAsia="en-AU"/>
        </w:rPr>
      </w:pPr>
      <w:r>
        <w:tab/>
      </w:r>
      <w:hyperlink w:anchor="_Toc83625948" w:history="1">
        <w:r w:rsidRPr="00D90FEA">
          <w:t>512</w:t>
        </w:r>
        <w:r>
          <w:rPr>
            <w:rFonts w:asciiTheme="minorHAnsi" w:eastAsiaTheme="minorEastAsia" w:hAnsiTheme="minorHAnsi" w:cstheme="minorBidi"/>
            <w:sz w:val="22"/>
            <w:szCs w:val="22"/>
            <w:lang w:eastAsia="en-AU"/>
          </w:rPr>
          <w:tab/>
        </w:r>
        <w:r w:rsidRPr="00D90FEA">
          <w:rPr>
            <w:rFonts w:ascii="Helvetica" w:hAnsi="Helvetica" w:cs="Helvetica"/>
            <w:iCs/>
          </w:rPr>
          <w:t>Persons who are drivers for this Part</w:t>
        </w:r>
        <w:r>
          <w:tab/>
        </w:r>
        <w:r>
          <w:fldChar w:fldCharType="begin"/>
        </w:r>
        <w:r>
          <w:instrText xml:space="preserve"> PAGEREF _Toc83625948 \h </w:instrText>
        </w:r>
        <w:r>
          <w:fldChar w:fldCharType="separate"/>
        </w:r>
        <w:r w:rsidR="005C5D7F">
          <w:t>442</w:t>
        </w:r>
        <w:r>
          <w:fldChar w:fldCharType="end"/>
        </w:r>
      </w:hyperlink>
    </w:p>
    <w:p w14:paraId="5EA2521C" w14:textId="290A8431" w:rsidR="005E03F7" w:rsidRDefault="00856BEE">
      <w:pPr>
        <w:pStyle w:val="TOC3"/>
        <w:rPr>
          <w:rFonts w:asciiTheme="minorHAnsi" w:eastAsiaTheme="minorEastAsia" w:hAnsiTheme="minorHAnsi" w:cstheme="minorBidi"/>
          <w:b w:val="0"/>
          <w:sz w:val="22"/>
          <w:szCs w:val="22"/>
          <w:lang w:eastAsia="en-AU"/>
        </w:rPr>
      </w:pPr>
      <w:hyperlink w:anchor="_Toc83625949" w:history="1">
        <w:r w:rsidR="005E03F7" w:rsidRPr="00D90FEA">
          <w:t xml:space="preserve">Division 2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Stopping, not moving or not interfering with heavy vehicle etc.</w:t>
        </w:r>
        <w:r w:rsidR="005E03F7" w:rsidRPr="005E03F7">
          <w:rPr>
            <w:vanish/>
          </w:rPr>
          <w:tab/>
        </w:r>
        <w:r w:rsidR="005E03F7" w:rsidRPr="005E03F7">
          <w:rPr>
            <w:vanish/>
          </w:rPr>
          <w:fldChar w:fldCharType="begin"/>
        </w:r>
        <w:r w:rsidR="005E03F7" w:rsidRPr="005E03F7">
          <w:rPr>
            <w:vanish/>
          </w:rPr>
          <w:instrText xml:space="preserve"> PAGEREF _Toc83625949 \h </w:instrText>
        </w:r>
        <w:r w:rsidR="005E03F7" w:rsidRPr="005E03F7">
          <w:rPr>
            <w:vanish/>
          </w:rPr>
        </w:r>
        <w:r w:rsidR="005E03F7" w:rsidRPr="005E03F7">
          <w:rPr>
            <w:vanish/>
          </w:rPr>
          <w:fldChar w:fldCharType="separate"/>
        </w:r>
        <w:r w:rsidR="005C5D7F">
          <w:rPr>
            <w:vanish/>
          </w:rPr>
          <w:t>442</w:t>
        </w:r>
        <w:r w:rsidR="005E03F7" w:rsidRPr="005E03F7">
          <w:rPr>
            <w:vanish/>
          </w:rPr>
          <w:fldChar w:fldCharType="end"/>
        </w:r>
      </w:hyperlink>
    </w:p>
    <w:p w14:paraId="1434E573" w14:textId="3E9D61E2" w:rsidR="005E03F7" w:rsidRDefault="005E03F7">
      <w:pPr>
        <w:pStyle w:val="TOC5"/>
        <w:rPr>
          <w:rFonts w:asciiTheme="minorHAnsi" w:eastAsiaTheme="minorEastAsia" w:hAnsiTheme="minorHAnsi" w:cstheme="minorBidi"/>
          <w:sz w:val="22"/>
          <w:szCs w:val="22"/>
          <w:lang w:eastAsia="en-AU"/>
        </w:rPr>
      </w:pPr>
      <w:r>
        <w:tab/>
      </w:r>
      <w:hyperlink w:anchor="_Toc83625950" w:history="1">
        <w:r w:rsidRPr="00D90FEA">
          <w:t>513</w:t>
        </w:r>
        <w:r>
          <w:rPr>
            <w:rFonts w:asciiTheme="minorHAnsi" w:eastAsiaTheme="minorEastAsia" w:hAnsiTheme="minorHAnsi" w:cstheme="minorBidi"/>
            <w:sz w:val="22"/>
            <w:szCs w:val="22"/>
            <w:lang w:eastAsia="en-AU"/>
          </w:rPr>
          <w:tab/>
        </w:r>
        <w:r w:rsidRPr="00D90FEA">
          <w:rPr>
            <w:rFonts w:ascii="Helvetica" w:hAnsi="Helvetica" w:cs="Helvetica"/>
            <w:iCs/>
          </w:rPr>
          <w:t>Direction to stop heavy vehicle to enable exercise of other powers</w:t>
        </w:r>
        <w:r>
          <w:tab/>
        </w:r>
        <w:r>
          <w:fldChar w:fldCharType="begin"/>
        </w:r>
        <w:r>
          <w:instrText xml:space="preserve"> PAGEREF _Toc83625950 \h </w:instrText>
        </w:r>
        <w:r>
          <w:fldChar w:fldCharType="separate"/>
        </w:r>
        <w:r w:rsidR="005C5D7F">
          <w:t>442</w:t>
        </w:r>
        <w:r>
          <w:fldChar w:fldCharType="end"/>
        </w:r>
      </w:hyperlink>
    </w:p>
    <w:p w14:paraId="4C53281F" w14:textId="7FF33E4C" w:rsidR="005E03F7" w:rsidRDefault="005E03F7">
      <w:pPr>
        <w:pStyle w:val="TOC5"/>
        <w:rPr>
          <w:rFonts w:asciiTheme="minorHAnsi" w:eastAsiaTheme="minorEastAsia" w:hAnsiTheme="minorHAnsi" w:cstheme="minorBidi"/>
          <w:sz w:val="22"/>
          <w:szCs w:val="22"/>
          <w:lang w:eastAsia="en-AU"/>
        </w:rPr>
      </w:pPr>
      <w:r>
        <w:tab/>
      </w:r>
      <w:hyperlink w:anchor="_Toc83625951" w:history="1">
        <w:r w:rsidRPr="00D90FEA">
          <w:t>514</w:t>
        </w:r>
        <w:r>
          <w:rPr>
            <w:rFonts w:asciiTheme="minorHAnsi" w:eastAsiaTheme="minorEastAsia" w:hAnsiTheme="minorHAnsi" w:cstheme="minorBidi"/>
            <w:sz w:val="22"/>
            <w:szCs w:val="22"/>
            <w:lang w:eastAsia="en-AU"/>
          </w:rPr>
          <w:tab/>
        </w:r>
        <w:r w:rsidRPr="00D90FEA">
          <w:rPr>
            <w:rFonts w:ascii="Helvetica" w:hAnsi="Helvetica" w:cs="Helvetica"/>
            <w:iCs/>
          </w:rPr>
          <w:t>Direction not to move or interfere with heavy vehicle etc. to enable exercise of other powers</w:t>
        </w:r>
        <w:r>
          <w:tab/>
        </w:r>
        <w:r>
          <w:fldChar w:fldCharType="begin"/>
        </w:r>
        <w:r>
          <w:instrText xml:space="preserve"> PAGEREF _Toc83625951 \h </w:instrText>
        </w:r>
        <w:r>
          <w:fldChar w:fldCharType="separate"/>
        </w:r>
        <w:r w:rsidR="005C5D7F">
          <w:t>443</w:t>
        </w:r>
        <w:r>
          <w:fldChar w:fldCharType="end"/>
        </w:r>
      </w:hyperlink>
    </w:p>
    <w:p w14:paraId="2D3701B5" w14:textId="524BB404" w:rsidR="005E03F7" w:rsidRDefault="00856BEE">
      <w:pPr>
        <w:pStyle w:val="TOC3"/>
        <w:rPr>
          <w:rFonts w:asciiTheme="minorHAnsi" w:eastAsiaTheme="minorEastAsia" w:hAnsiTheme="minorHAnsi" w:cstheme="minorBidi"/>
          <w:b w:val="0"/>
          <w:sz w:val="22"/>
          <w:szCs w:val="22"/>
          <w:lang w:eastAsia="en-AU"/>
        </w:rPr>
      </w:pPr>
      <w:hyperlink w:anchor="_Toc83625952" w:history="1">
        <w:r w:rsidR="005E03F7" w:rsidRPr="00D90FEA">
          <w:t xml:space="preserve">Division 3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Moving heavy vehicle</w:t>
        </w:r>
        <w:r w:rsidR="005E03F7" w:rsidRPr="005E03F7">
          <w:rPr>
            <w:vanish/>
          </w:rPr>
          <w:tab/>
        </w:r>
        <w:r w:rsidR="005E03F7" w:rsidRPr="005E03F7">
          <w:rPr>
            <w:vanish/>
          </w:rPr>
          <w:fldChar w:fldCharType="begin"/>
        </w:r>
        <w:r w:rsidR="005E03F7" w:rsidRPr="005E03F7">
          <w:rPr>
            <w:vanish/>
          </w:rPr>
          <w:instrText xml:space="preserve"> PAGEREF _Toc83625952 \h </w:instrText>
        </w:r>
        <w:r w:rsidR="005E03F7" w:rsidRPr="005E03F7">
          <w:rPr>
            <w:vanish/>
          </w:rPr>
        </w:r>
        <w:r w:rsidR="005E03F7" w:rsidRPr="005E03F7">
          <w:rPr>
            <w:vanish/>
          </w:rPr>
          <w:fldChar w:fldCharType="separate"/>
        </w:r>
        <w:r w:rsidR="005C5D7F">
          <w:rPr>
            <w:vanish/>
          </w:rPr>
          <w:t>444</w:t>
        </w:r>
        <w:r w:rsidR="005E03F7" w:rsidRPr="005E03F7">
          <w:rPr>
            <w:vanish/>
          </w:rPr>
          <w:fldChar w:fldCharType="end"/>
        </w:r>
      </w:hyperlink>
    </w:p>
    <w:p w14:paraId="32494B6E" w14:textId="7D7C1F95" w:rsidR="005E03F7" w:rsidRDefault="005E03F7">
      <w:pPr>
        <w:pStyle w:val="TOC5"/>
        <w:rPr>
          <w:rFonts w:asciiTheme="minorHAnsi" w:eastAsiaTheme="minorEastAsia" w:hAnsiTheme="minorHAnsi" w:cstheme="minorBidi"/>
          <w:sz w:val="22"/>
          <w:szCs w:val="22"/>
          <w:lang w:eastAsia="en-AU"/>
        </w:rPr>
      </w:pPr>
      <w:r>
        <w:tab/>
      </w:r>
      <w:hyperlink w:anchor="_Toc83625953" w:history="1">
        <w:r w:rsidRPr="00D90FEA">
          <w:t>515</w:t>
        </w:r>
        <w:r>
          <w:rPr>
            <w:rFonts w:asciiTheme="minorHAnsi" w:eastAsiaTheme="minorEastAsia" w:hAnsiTheme="minorHAnsi" w:cstheme="minorBidi"/>
            <w:sz w:val="22"/>
            <w:szCs w:val="22"/>
            <w:lang w:eastAsia="en-AU"/>
          </w:rPr>
          <w:tab/>
        </w:r>
        <w:r w:rsidRPr="00D90FEA">
          <w:rPr>
            <w:rFonts w:ascii="Helvetica" w:hAnsi="Helvetica" w:cs="Helvetica"/>
            <w:iCs/>
          </w:rPr>
          <w:t>Definition for Div 3</w:t>
        </w:r>
        <w:r>
          <w:tab/>
        </w:r>
        <w:r>
          <w:fldChar w:fldCharType="begin"/>
        </w:r>
        <w:r>
          <w:instrText xml:space="preserve"> PAGEREF _Toc83625953 \h </w:instrText>
        </w:r>
        <w:r>
          <w:fldChar w:fldCharType="separate"/>
        </w:r>
        <w:r w:rsidR="005C5D7F">
          <w:t>444</w:t>
        </w:r>
        <w:r>
          <w:fldChar w:fldCharType="end"/>
        </w:r>
      </w:hyperlink>
    </w:p>
    <w:p w14:paraId="40DF8A29" w14:textId="4F597B9E" w:rsidR="005E03F7" w:rsidRDefault="005E03F7">
      <w:pPr>
        <w:pStyle w:val="TOC5"/>
        <w:rPr>
          <w:rFonts w:asciiTheme="minorHAnsi" w:eastAsiaTheme="minorEastAsia" w:hAnsiTheme="minorHAnsi" w:cstheme="minorBidi"/>
          <w:sz w:val="22"/>
          <w:szCs w:val="22"/>
          <w:lang w:eastAsia="en-AU"/>
        </w:rPr>
      </w:pPr>
      <w:r>
        <w:tab/>
      </w:r>
      <w:hyperlink w:anchor="_Toc83625954" w:history="1">
        <w:r w:rsidRPr="00D90FEA">
          <w:t>516</w:t>
        </w:r>
        <w:r>
          <w:rPr>
            <w:rFonts w:asciiTheme="minorHAnsi" w:eastAsiaTheme="minorEastAsia" w:hAnsiTheme="minorHAnsi" w:cstheme="minorBidi"/>
            <w:sz w:val="22"/>
            <w:szCs w:val="22"/>
            <w:lang w:eastAsia="en-AU"/>
          </w:rPr>
          <w:tab/>
        </w:r>
        <w:r w:rsidRPr="00D90FEA">
          <w:rPr>
            <w:rFonts w:ascii="Helvetica" w:hAnsi="Helvetica" w:cs="Helvetica"/>
            <w:iCs/>
          </w:rPr>
          <w:t>Direction to move heavy vehicle to enable exercise of other powers</w:t>
        </w:r>
        <w:r>
          <w:tab/>
        </w:r>
        <w:r>
          <w:fldChar w:fldCharType="begin"/>
        </w:r>
        <w:r>
          <w:instrText xml:space="preserve"> PAGEREF _Toc83625954 \h </w:instrText>
        </w:r>
        <w:r>
          <w:fldChar w:fldCharType="separate"/>
        </w:r>
        <w:r w:rsidR="005C5D7F">
          <w:t>444</w:t>
        </w:r>
        <w:r>
          <w:fldChar w:fldCharType="end"/>
        </w:r>
      </w:hyperlink>
    </w:p>
    <w:p w14:paraId="5AC42082" w14:textId="73660692" w:rsidR="005E03F7" w:rsidRDefault="005E03F7">
      <w:pPr>
        <w:pStyle w:val="TOC5"/>
        <w:rPr>
          <w:rFonts w:asciiTheme="minorHAnsi" w:eastAsiaTheme="minorEastAsia" w:hAnsiTheme="minorHAnsi" w:cstheme="minorBidi"/>
          <w:sz w:val="22"/>
          <w:szCs w:val="22"/>
          <w:lang w:eastAsia="en-AU"/>
        </w:rPr>
      </w:pPr>
      <w:r>
        <w:tab/>
      </w:r>
      <w:hyperlink w:anchor="_Toc83625955" w:history="1">
        <w:r w:rsidRPr="00D90FEA">
          <w:t>517</w:t>
        </w:r>
        <w:r>
          <w:rPr>
            <w:rFonts w:asciiTheme="minorHAnsi" w:eastAsiaTheme="minorEastAsia" w:hAnsiTheme="minorHAnsi" w:cstheme="minorBidi"/>
            <w:sz w:val="22"/>
            <w:szCs w:val="22"/>
            <w:lang w:eastAsia="en-AU"/>
          </w:rPr>
          <w:tab/>
        </w:r>
        <w:r w:rsidRPr="00D90FEA">
          <w:rPr>
            <w:rFonts w:ascii="Helvetica" w:hAnsi="Helvetica" w:cs="Helvetica"/>
            <w:iCs/>
          </w:rPr>
          <w:t>Direction to move heavy vehicle if causing harm etc.</w:t>
        </w:r>
        <w:r>
          <w:tab/>
        </w:r>
        <w:r>
          <w:fldChar w:fldCharType="begin"/>
        </w:r>
        <w:r>
          <w:instrText xml:space="preserve"> PAGEREF _Toc83625955 \h </w:instrText>
        </w:r>
        <w:r>
          <w:fldChar w:fldCharType="separate"/>
        </w:r>
        <w:r w:rsidR="005C5D7F">
          <w:t>445</w:t>
        </w:r>
        <w:r>
          <w:fldChar w:fldCharType="end"/>
        </w:r>
      </w:hyperlink>
    </w:p>
    <w:p w14:paraId="311FFE5C" w14:textId="6FEC0391" w:rsidR="005E03F7" w:rsidRDefault="005E03F7">
      <w:pPr>
        <w:pStyle w:val="TOC5"/>
        <w:rPr>
          <w:rFonts w:asciiTheme="minorHAnsi" w:eastAsiaTheme="minorEastAsia" w:hAnsiTheme="minorHAnsi" w:cstheme="minorBidi"/>
          <w:sz w:val="22"/>
          <w:szCs w:val="22"/>
          <w:lang w:eastAsia="en-AU"/>
        </w:rPr>
      </w:pPr>
      <w:r>
        <w:tab/>
      </w:r>
      <w:hyperlink w:anchor="_Toc83625956" w:history="1">
        <w:r w:rsidRPr="00D90FEA">
          <w:t>518</w:t>
        </w:r>
        <w:r>
          <w:rPr>
            <w:rFonts w:asciiTheme="minorHAnsi" w:eastAsiaTheme="minorEastAsia" w:hAnsiTheme="minorHAnsi" w:cstheme="minorBidi"/>
            <w:sz w:val="22"/>
            <w:szCs w:val="22"/>
            <w:lang w:eastAsia="en-AU"/>
          </w:rPr>
          <w:tab/>
        </w:r>
        <w:r w:rsidRPr="00D90FEA">
          <w:rPr>
            <w:rFonts w:ascii="Helvetica" w:hAnsi="Helvetica" w:cs="Helvetica"/>
            <w:iCs/>
          </w:rPr>
          <w:t>Moving unattended heavy vehicle on road to exercise another power</w:t>
        </w:r>
        <w:r>
          <w:tab/>
        </w:r>
        <w:r>
          <w:fldChar w:fldCharType="begin"/>
        </w:r>
        <w:r>
          <w:instrText xml:space="preserve"> PAGEREF _Toc83625956 \h </w:instrText>
        </w:r>
        <w:r>
          <w:fldChar w:fldCharType="separate"/>
        </w:r>
        <w:r w:rsidR="005C5D7F">
          <w:t>447</w:t>
        </w:r>
        <w:r>
          <w:fldChar w:fldCharType="end"/>
        </w:r>
      </w:hyperlink>
    </w:p>
    <w:p w14:paraId="336DCED0" w14:textId="43A5D36F" w:rsidR="005E03F7" w:rsidRDefault="005E03F7">
      <w:pPr>
        <w:pStyle w:val="TOC5"/>
        <w:rPr>
          <w:rFonts w:asciiTheme="minorHAnsi" w:eastAsiaTheme="minorEastAsia" w:hAnsiTheme="minorHAnsi" w:cstheme="minorBidi"/>
          <w:sz w:val="22"/>
          <w:szCs w:val="22"/>
          <w:lang w:eastAsia="en-AU"/>
        </w:rPr>
      </w:pPr>
      <w:r>
        <w:tab/>
      </w:r>
      <w:hyperlink w:anchor="_Toc83625957" w:history="1">
        <w:r w:rsidRPr="00D90FEA">
          <w:t>519</w:t>
        </w:r>
        <w:r>
          <w:rPr>
            <w:rFonts w:asciiTheme="minorHAnsi" w:eastAsiaTheme="minorEastAsia" w:hAnsiTheme="minorHAnsi" w:cstheme="minorBidi"/>
            <w:sz w:val="22"/>
            <w:szCs w:val="22"/>
            <w:lang w:eastAsia="en-AU"/>
          </w:rPr>
          <w:tab/>
        </w:r>
        <w:r w:rsidRPr="00D90FEA">
          <w:rPr>
            <w:rFonts w:ascii="Helvetica" w:hAnsi="Helvetica" w:cs="Helvetica"/>
            <w:iCs/>
          </w:rPr>
          <w:t>Moving unattended heavy vehicle on road if causing harm etc.</w:t>
        </w:r>
        <w:r>
          <w:tab/>
        </w:r>
        <w:r>
          <w:fldChar w:fldCharType="begin"/>
        </w:r>
        <w:r>
          <w:instrText xml:space="preserve"> PAGEREF _Toc83625957 \h </w:instrText>
        </w:r>
        <w:r>
          <w:fldChar w:fldCharType="separate"/>
        </w:r>
        <w:r w:rsidR="005C5D7F">
          <w:t>448</w:t>
        </w:r>
        <w:r>
          <w:fldChar w:fldCharType="end"/>
        </w:r>
      </w:hyperlink>
    </w:p>
    <w:p w14:paraId="16A3CEAB" w14:textId="4DDA95F7" w:rsidR="005E03F7" w:rsidRDefault="00856BEE">
      <w:pPr>
        <w:pStyle w:val="TOC3"/>
        <w:rPr>
          <w:rFonts w:asciiTheme="minorHAnsi" w:eastAsiaTheme="minorEastAsia" w:hAnsiTheme="minorHAnsi" w:cstheme="minorBidi"/>
          <w:b w:val="0"/>
          <w:sz w:val="22"/>
          <w:szCs w:val="22"/>
          <w:lang w:eastAsia="en-AU"/>
        </w:rPr>
      </w:pPr>
      <w:hyperlink w:anchor="_Toc83625958" w:history="1">
        <w:r w:rsidR="005E03F7" w:rsidRPr="00D90FEA">
          <w:t xml:space="preserve">Division 4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Inspecting and searching heavy vehicles</w:t>
        </w:r>
        <w:r w:rsidR="005E03F7" w:rsidRPr="005E03F7">
          <w:rPr>
            <w:vanish/>
          </w:rPr>
          <w:tab/>
        </w:r>
        <w:r w:rsidR="005E03F7" w:rsidRPr="005E03F7">
          <w:rPr>
            <w:vanish/>
          </w:rPr>
          <w:fldChar w:fldCharType="begin"/>
        </w:r>
        <w:r w:rsidR="005E03F7" w:rsidRPr="005E03F7">
          <w:rPr>
            <w:vanish/>
          </w:rPr>
          <w:instrText xml:space="preserve"> PAGEREF _Toc83625958 \h </w:instrText>
        </w:r>
        <w:r w:rsidR="005E03F7" w:rsidRPr="005E03F7">
          <w:rPr>
            <w:vanish/>
          </w:rPr>
        </w:r>
        <w:r w:rsidR="005E03F7" w:rsidRPr="005E03F7">
          <w:rPr>
            <w:vanish/>
          </w:rPr>
          <w:fldChar w:fldCharType="separate"/>
        </w:r>
        <w:r w:rsidR="005C5D7F">
          <w:rPr>
            <w:vanish/>
          </w:rPr>
          <w:t>450</w:t>
        </w:r>
        <w:r w:rsidR="005E03F7" w:rsidRPr="005E03F7">
          <w:rPr>
            <w:vanish/>
          </w:rPr>
          <w:fldChar w:fldCharType="end"/>
        </w:r>
      </w:hyperlink>
    </w:p>
    <w:p w14:paraId="253C2614" w14:textId="7FF38A16" w:rsidR="005E03F7" w:rsidRDefault="005E03F7">
      <w:pPr>
        <w:pStyle w:val="TOC5"/>
        <w:rPr>
          <w:rFonts w:asciiTheme="minorHAnsi" w:eastAsiaTheme="minorEastAsia" w:hAnsiTheme="minorHAnsi" w:cstheme="minorBidi"/>
          <w:sz w:val="22"/>
          <w:szCs w:val="22"/>
          <w:lang w:eastAsia="en-AU"/>
        </w:rPr>
      </w:pPr>
      <w:r>
        <w:tab/>
      </w:r>
      <w:hyperlink w:anchor="_Toc83625959" w:history="1">
        <w:r w:rsidRPr="00D90FEA">
          <w:t>520</w:t>
        </w:r>
        <w:r>
          <w:rPr>
            <w:rFonts w:asciiTheme="minorHAnsi" w:eastAsiaTheme="minorEastAsia" w:hAnsiTheme="minorHAnsi" w:cstheme="minorBidi"/>
            <w:sz w:val="22"/>
            <w:szCs w:val="22"/>
            <w:lang w:eastAsia="en-AU"/>
          </w:rPr>
          <w:tab/>
        </w:r>
        <w:r w:rsidRPr="00D90FEA">
          <w:rPr>
            <w:rFonts w:ascii="Helvetica" w:hAnsi="Helvetica" w:cs="Helvetica"/>
            <w:iCs/>
          </w:rPr>
          <w:t>Power to enter and inspect heavy vehicles for monitoring purposes</w:t>
        </w:r>
        <w:r>
          <w:tab/>
        </w:r>
        <w:r>
          <w:fldChar w:fldCharType="begin"/>
        </w:r>
        <w:r>
          <w:instrText xml:space="preserve"> PAGEREF _Toc83625959 \h </w:instrText>
        </w:r>
        <w:r>
          <w:fldChar w:fldCharType="separate"/>
        </w:r>
        <w:r w:rsidR="005C5D7F">
          <w:t>450</w:t>
        </w:r>
        <w:r>
          <w:fldChar w:fldCharType="end"/>
        </w:r>
      </w:hyperlink>
    </w:p>
    <w:p w14:paraId="0F8D8A56" w14:textId="513793D9" w:rsidR="005E03F7" w:rsidRDefault="005E03F7">
      <w:pPr>
        <w:pStyle w:val="TOC5"/>
        <w:rPr>
          <w:rFonts w:asciiTheme="minorHAnsi" w:eastAsiaTheme="minorEastAsia" w:hAnsiTheme="minorHAnsi" w:cstheme="minorBidi"/>
          <w:sz w:val="22"/>
          <w:szCs w:val="22"/>
          <w:lang w:eastAsia="en-AU"/>
        </w:rPr>
      </w:pPr>
      <w:r>
        <w:tab/>
      </w:r>
      <w:hyperlink w:anchor="_Toc83625960" w:history="1">
        <w:r w:rsidRPr="00D90FEA">
          <w:t>521</w:t>
        </w:r>
        <w:r>
          <w:rPr>
            <w:rFonts w:asciiTheme="minorHAnsi" w:eastAsiaTheme="minorEastAsia" w:hAnsiTheme="minorHAnsi" w:cstheme="minorBidi"/>
            <w:sz w:val="22"/>
            <w:szCs w:val="22"/>
            <w:lang w:eastAsia="en-AU"/>
          </w:rPr>
          <w:tab/>
        </w:r>
        <w:r w:rsidRPr="00D90FEA">
          <w:rPr>
            <w:rFonts w:ascii="Helvetica" w:hAnsi="Helvetica" w:cs="Helvetica"/>
            <w:iCs/>
          </w:rPr>
          <w:t>Power to enter and search heavy vehicle involved, or suspected to be involved, in an offence etc.</w:t>
        </w:r>
        <w:r>
          <w:tab/>
        </w:r>
        <w:r>
          <w:fldChar w:fldCharType="begin"/>
        </w:r>
        <w:r>
          <w:instrText xml:space="preserve"> PAGEREF _Toc83625960 \h </w:instrText>
        </w:r>
        <w:r>
          <w:fldChar w:fldCharType="separate"/>
        </w:r>
        <w:r w:rsidR="005C5D7F">
          <w:t>451</w:t>
        </w:r>
        <w:r>
          <w:fldChar w:fldCharType="end"/>
        </w:r>
      </w:hyperlink>
    </w:p>
    <w:p w14:paraId="4400BA24" w14:textId="361A771C" w:rsidR="005E03F7" w:rsidRDefault="005E03F7">
      <w:pPr>
        <w:pStyle w:val="TOC5"/>
        <w:rPr>
          <w:rFonts w:asciiTheme="minorHAnsi" w:eastAsiaTheme="minorEastAsia" w:hAnsiTheme="minorHAnsi" w:cstheme="minorBidi"/>
          <w:sz w:val="22"/>
          <w:szCs w:val="22"/>
          <w:lang w:eastAsia="en-AU"/>
        </w:rPr>
      </w:pPr>
      <w:r>
        <w:tab/>
      </w:r>
      <w:hyperlink w:anchor="_Toc83625961" w:history="1">
        <w:r w:rsidRPr="00D90FEA">
          <w:t>522</w:t>
        </w:r>
        <w:r>
          <w:rPr>
            <w:rFonts w:asciiTheme="minorHAnsi" w:eastAsiaTheme="minorEastAsia" w:hAnsiTheme="minorHAnsi" w:cstheme="minorBidi"/>
            <w:sz w:val="22"/>
            <w:szCs w:val="22"/>
            <w:lang w:eastAsia="en-AU"/>
          </w:rPr>
          <w:tab/>
        </w:r>
        <w:r w:rsidRPr="00D90FEA">
          <w:rPr>
            <w:rFonts w:ascii="Helvetica" w:hAnsi="Helvetica" w:cs="Helvetica"/>
            <w:iCs/>
          </w:rPr>
          <w:t>Power to order presentation of heavy vehicles for inspection</w:t>
        </w:r>
        <w:r>
          <w:tab/>
        </w:r>
        <w:r>
          <w:fldChar w:fldCharType="begin"/>
        </w:r>
        <w:r>
          <w:instrText xml:space="preserve"> PAGEREF _Toc83625961 \h </w:instrText>
        </w:r>
        <w:r>
          <w:fldChar w:fldCharType="separate"/>
        </w:r>
        <w:r w:rsidR="005C5D7F">
          <w:t>454</w:t>
        </w:r>
        <w:r>
          <w:fldChar w:fldCharType="end"/>
        </w:r>
      </w:hyperlink>
    </w:p>
    <w:p w14:paraId="6AF1DA0E" w14:textId="29AB0B1D" w:rsidR="005E03F7" w:rsidRDefault="00856BEE">
      <w:pPr>
        <w:pStyle w:val="TOC3"/>
        <w:rPr>
          <w:rFonts w:asciiTheme="minorHAnsi" w:eastAsiaTheme="minorEastAsia" w:hAnsiTheme="minorHAnsi" w:cstheme="minorBidi"/>
          <w:b w:val="0"/>
          <w:sz w:val="22"/>
          <w:szCs w:val="22"/>
          <w:lang w:eastAsia="en-AU"/>
        </w:rPr>
      </w:pPr>
      <w:hyperlink w:anchor="_Toc83625962" w:history="1">
        <w:r w:rsidR="005E03F7" w:rsidRPr="00D90FEA">
          <w:t xml:space="preserve">Division 5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Other powers in relation to all heavy vehicles</w:t>
        </w:r>
        <w:r w:rsidR="005E03F7" w:rsidRPr="005E03F7">
          <w:rPr>
            <w:vanish/>
          </w:rPr>
          <w:tab/>
        </w:r>
        <w:r w:rsidR="005E03F7" w:rsidRPr="005E03F7">
          <w:rPr>
            <w:vanish/>
          </w:rPr>
          <w:fldChar w:fldCharType="begin"/>
        </w:r>
        <w:r w:rsidR="005E03F7" w:rsidRPr="005E03F7">
          <w:rPr>
            <w:vanish/>
          </w:rPr>
          <w:instrText xml:space="preserve"> PAGEREF _Toc83625962 \h </w:instrText>
        </w:r>
        <w:r w:rsidR="005E03F7" w:rsidRPr="005E03F7">
          <w:rPr>
            <w:vanish/>
          </w:rPr>
        </w:r>
        <w:r w:rsidR="005E03F7" w:rsidRPr="005E03F7">
          <w:rPr>
            <w:vanish/>
          </w:rPr>
          <w:fldChar w:fldCharType="separate"/>
        </w:r>
        <w:r w:rsidR="005C5D7F">
          <w:rPr>
            <w:vanish/>
          </w:rPr>
          <w:t>456</w:t>
        </w:r>
        <w:r w:rsidR="005E03F7" w:rsidRPr="005E03F7">
          <w:rPr>
            <w:vanish/>
          </w:rPr>
          <w:fldChar w:fldCharType="end"/>
        </w:r>
      </w:hyperlink>
    </w:p>
    <w:p w14:paraId="5B474944" w14:textId="5C6941A3" w:rsidR="005E03F7" w:rsidRDefault="005E03F7">
      <w:pPr>
        <w:pStyle w:val="TOC5"/>
        <w:rPr>
          <w:rFonts w:asciiTheme="minorHAnsi" w:eastAsiaTheme="minorEastAsia" w:hAnsiTheme="minorHAnsi" w:cstheme="minorBidi"/>
          <w:sz w:val="22"/>
          <w:szCs w:val="22"/>
          <w:lang w:eastAsia="en-AU"/>
        </w:rPr>
      </w:pPr>
      <w:r>
        <w:tab/>
      </w:r>
      <w:hyperlink w:anchor="_Toc83625963" w:history="1">
        <w:r w:rsidRPr="00D90FEA">
          <w:t>523</w:t>
        </w:r>
        <w:r>
          <w:rPr>
            <w:rFonts w:asciiTheme="minorHAnsi" w:eastAsiaTheme="minorEastAsia" w:hAnsiTheme="minorHAnsi" w:cstheme="minorBidi"/>
            <w:sz w:val="22"/>
            <w:szCs w:val="22"/>
            <w:lang w:eastAsia="en-AU"/>
          </w:rPr>
          <w:tab/>
        </w:r>
        <w:r w:rsidRPr="00D90FEA">
          <w:rPr>
            <w:rFonts w:ascii="Helvetica" w:hAnsi="Helvetica" w:cs="Helvetica"/>
            <w:iCs/>
          </w:rPr>
          <w:t>Starting or stopping heavy vehicle engine</w:t>
        </w:r>
        <w:r>
          <w:tab/>
        </w:r>
        <w:r>
          <w:fldChar w:fldCharType="begin"/>
        </w:r>
        <w:r>
          <w:instrText xml:space="preserve"> PAGEREF _Toc83625963 \h </w:instrText>
        </w:r>
        <w:r>
          <w:fldChar w:fldCharType="separate"/>
        </w:r>
        <w:r w:rsidR="005C5D7F">
          <w:t>456</w:t>
        </w:r>
        <w:r>
          <w:fldChar w:fldCharType="end"/>
        </w:r>
      </w:hyperlink>
    </w:p>
    <w:p w14:paraId="58D28B0C" w14:textId="19FC0EDE" w:rsidR="005E03F7" w:rsidRDefault="005E03F7">
      <w:pPr>
        <w:pStyle w:val="TOC5"/>
        <w:rPr>
          <w:rFonts w:asciiTheme="minorHAnsi" w:eastAsiaTheme="minorEastAsia" w:hAnsiTheme="minorHAnsi" w:cstheme="minorBidi"/>
          <w:sz w:val="22"/>
          <w:szCs w:val="22"/>
          <w:lang w:eastAsia="en-AU"/>
        </w:rPr>
      </w:pPr>
      <w:r>
        <w:tab/>
      </w:r>
      <w:hyperlink w:anchor="_Toc83625964" w:history="1">
        <w:r w:rsidRPr="00D90FEA">
          <w:t>524</w:t>
        </w:r>
        <w:r>
          <w:rPr>
            <w:rFonts w:asciiTheme="minorHAnsi" w:eastAsiaTheme="minorEastAsia" w:hAnsiTheme="minorHAnsi" w:cstheme="minorBidi"/>
            <w:sz w:val="22"/>
            <w:szCs w:val="22"/>
            <w:lang w:eastAsia="en-AU"/>
          </w:rPr>
          <w:tab/>
        </w:r>
        <w:r w:rsidRPr="00D90FEA">
          <w:rPr>
            <w:rFonts w:ascii="Helvetica" w:hAnsi="Helvetica" w:cs="Helvetica"/>
            <w:iCs/>
          </w:rPr>
          <w:t>Direction to leave heavy vehicle</w:t>
        </w:r>
        <w:r>
          <w:tab/>
        </w:r>
        <w:r>
          <w:fldChar w:fldCharType="begin"/>
        </w:r>
        <w:r>
          <w:instrText xml:space="preserve"> PAGEREF _Toc83625964 \h </w:instrText>
        </w:r>
        <w:r>
          <w:fldChar w:fldCharType="separate"/>
        </w:r>
        <w:r w:rsidR="005C5D7F">
          <w:t>457</w:t>
        </w:r>
        <w:r>
          <w:fldChar w:fldCharType="end"/>
        </w:r>
      </w:hyperlink>
    </w:p>
    <w:p w14:paraId="202D20EE" w14:textId="16746009" w:rsidR="005E03F7" w:rsidRDefault="00856BEE">
      <w:pPr>
        <w:pStyle w:val="TOC3"/>
        <w:rPr>
          <w:rFonts w:asciiTheme="minorHAnsi" w:eastAsiaTheme="minorEastAsia" w:hAnsiTheme="minorHAnsi" w:cstheme="minorBidi"/>
          <w:b w:val="0"/>
          <w:sz w:val="22"/>
          <w:szCs w:val="22"/>
          <w:lang w:eastAsia="en-AU"/>
        </w:rPr>
      </w:pPr>
      <w:hyperlink w:anchor="_Toc83625965" w:history="1">
        <w:r w:rsidR="005E03F7" w:rsidRPr="00D90FEA">
          <w:t xml:space="preserve">Division 6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Further powers in relation to heavy vehicles concerning heavy vehicle standards</w:t>
        </w:r>
        <w:r w:rsidR="005E03F7" w:rsidRPr="005E03F7">
          <w:rPr>
            <w:vanish/>
          </w:rPr>
          <w:tab/>
        </w:r>
        <w:r w:rsidR="005E03F7" w:rsidRPr="005E03F7">
          <w:rPr>
            <w:vanish/>
          </w:rPr>
          <w:fldChar w:fldCharType="begin"/>
        </w:r>
        <w:r w:rsidR="005E03F7" w:rsidRPr="005E03F7">
          <w:rPr>
            <w:vanish/>
          </w:rPr>
          <w:instrText xml:space="preserve"> PAGEREF _Toc83625965 \h </w:instrText>
        </w:r>
        <w:r w:rsidR="005E03F7" w:rsidRPr="005E03F7">
          <w:rPr>
            <w:vanish/>
          </w:rPr>
        </w:r>
        <w:r w:rsidR="005E03F7" w:rsidRPr="005E03F7">
          <w:rPr>
            <w:vanish/>
          </w:rPr>
          <w:fldChar w:fldCharType="separate"/>
        </w:r>
        <w:r w:rsidR="005C5D7F">
          <w:rPr>
            <w:vanish/>
          </w:rPr>
          <w:t>458</w:t>
        </w:r>
        <w:r w:rsidR="005E03F7" w:rsidRPr="005E03F7">
          <w:rPr>
            <w:vanish/>
          </w:rPr>
          <w:fldChar w:fldCharType="end"/>
        </w:r>
      </w:hyperlink>
    </w:p>
    <w:p w14:paraId="7E550E91" w14:textId="39F83FD2" w:rsidR="005E03F7" w:rsidRDefault="005E03F7">
      <w:pPr>
        <w:pStyle w:val="TOC5"/>
        <w:rPr>
          <w:rFonts w:asciiTheme="minorHAnsi" w:eastAsiaTheme="minorEastAsia" w:hAnsiTheme="minorHAnsi" w:cstheme="minorBidi"/>
          <w:sz w:val="22"/>
          <w:szCs w:val="22"/>
          <w:lang w:eastAsia="en-AU"/>
        </w:rPr>
      </w:pPr>
      <w:r>
        <w:tab/>
      </w:r>
      <w:hyperlink w:anchor="_Toc83625966" w:history="1">
        <w:r w:rsidRPr="00D90FEA">
          <w:t>525</w:t>
        </w:r>
        <w:r>
          <w:rPr>
            <w:rFonts w:asciiTheme="minorHAnsi" w:eastAsiaTheme="minorEastAsia" w:hAnsiTheme="minorHAnsi" w:cstheme="minorBidi"/>
            <w:sz w:val="22"/>
            <w:szCs w:val="22"/>
            <w:lang w:eastAsia="en-AU"/>
          </w:rPr>
          <w:tab/>
        </w:r>
        <w:r w:rsidRPr="00D90FEA">
          <w:rPr>
            <w:rFonts w:ascii="Helvetica" w:hAnsi="Helvetica" w:cs="Helvetica"/>
            <w:iCs/>
          </w:rPr>
          <w:t>Definitions for Div 6</w:t>
        </w:r>
        <w:r>
          <w:tab/>
        </w:r>
        <w:r>
          <w:fldChar w:fldCharType="begin"/>
        </w:r>
        <w:r>
          <w:instrText xml:space="preserve"> PAGEREF _Toc83625966 \h </w:instrText>
        </w:r>
        <w:r>
          <w:fldChar w:fldCharType="separate"/>
        </w:r>
        <w:r w:rsidR="005C5D7F">
          <w:t>458</w:t>
        </w:r>
        <w:r>
          <w:fldChar w:fldCharType="end"/>
        </w:r>
      </w:hyperlink>
    </w:p>
    <w:p w14:paraId="201CD527" w14:textId="5DC051A8" w:rsidR="005E03F7" w:rsidRDefault="005E03F7">
      <w:pPr>
        <w:pStyle w:val="TOC5"/>
        <w:rPr>
          <w:rFonts w:asciiTheme="minorHAnsi" w:eastAsiaTheme="minorEastAsia" w:hAnsiTheme="minorHAnsi" w:cstheme="minorBidi"/>
          <w:sz w:val="22"/>
          <w:szCs w:val="22"/>
          <w:lang w:eastAsia="en-AU"/>
        </w:rPr>
      </w:pPr>
      <w:r>
        <w:tab/>
      </w:r>
      <w:hyperlink w:anchor="_Toc83625967" w:history="1">
        <w:r w:rsidRPr="00D90FEA">
          <w:t>526</w:t>
        </w:r>
        <w:r>
          <w:rPr>
            <w:rFonts w:asciiTheme="minorHAnsi" w:eastAsiaTheme="minorEastAsia" w:hAnsiTheme="minorHAnsi" w:cstheme="minorBidi"/>
            <w:sz w:val="22"/>
            <w:szCs w:val="22"/>
            <w:lang w:eastAsia="en-AU"/>
          </w:rPr>
          <w:tab/>
        </w:r>
        <w:r w:rsidRPr="00D90FEA">
          <w:rPr>
            <w:rFonts w:ascii="Helvetica" w:hAnsi="Helvetica" w:cs="Helvetica"/>
            <w:iCs/>
          </w:rPr>
          <w:t>Issue of vehicle defect notice</w:t>
        </w:r>
        <w:r>
          <w:tab/>
        </w:r>
        <w:r>
          <w:fldChar w:fldCharType="begin"/>
        </w:r>
        <w:r>
          <w:instrText xml:space="preserve"> PAGEREF _Toc83625967 \h </w:instrText>
        </w:r>
        <w:r>
          <w:fldChar w:fldCharType="separate"/>
        </w:r>
        <w:r w:rsidR="005C5D7F">
          <w:t>460</w:t>
        </w:r>
        <w:r>
          <w:fldChar w:fldCharType="end"/>
        </w:r>
      </w:hyperlink>
    </w:p>
    <w:p w14:paraId="0D29F20B" w14:textId="195E494E" w:rsidR="005E03F7" w:rsidRDefault="005E03F7">
      <w:pPr>
        <w:pStyle w:val="TOC5"/>
        <w:rPr>
          <w:rFonts w:asciiTheme="minorHAnsi" w:eastAsiaTheme="minorEastAsia" w:hAnsiTheme="minorHAnsi" w:cstheme="minorBidi"/>
          <w:sz w:val="22"/>
          <w:szCs w:val="22"/>
          <w:lang w:eastAsia="en-AU"/>
        </w:rPr>
      </w:pPr>
      <w:r>
        <w:tab/>
      </w:r>
      <w:hyperlink w:anchor="_Toc83625968" w:history="1">
        <w:r w:rsidRPr="00D90FEA">
          <w:t>527</w:t>
        </w:r>
        <w:r>
          <w:rPr>
            <w:rFonts w:asciiTheme="minorHAnsi" w:eastAsiaTheme="minorEastAsia" w:hAnsiTheme="minorHAnsi" w:cstheme="minorBidi"/>
            <w:sz w:val="22"/>
            <w:szCs w:val="22"/>
            <w:lang w:eastAsia="en-AU"/>
          </w:rPr>
          <w:tab/>
        </w:r>
        <w:r w:rsidRPr="00D90FEA">
          <w:rPr>
            <w:rFonts w:ascii="Helvetica" w:hAnsi="Helvetica" w:cs="Helvetica"/>
            <w:iCs/>
          </w:rPr>
          <w:t>Requirements about vehicle defect notice</w:t>
        </w:r>
        <w:r>
          <w:tab/>
        </w:r>
        <w:r>
          <w:fldChar w:fldCharType="begin"/>
        </w:r>
        <w:r>
          <w:instrText xml:space="preserve"> PAGEREF _Toc83625968 \h </w:instrText>
        </w:r>
        <w:r>
          <w:fldChar w:fldCharType="separate"/>
        </w:r>
        <w:r w:rsidR="005C5D7F">
          <w:t>461</w:t>
        </w:r>
        <w:r>
          <w:fldChar w:fldCharType="end"/>
        </w:r>
      </w:hyperlink>
    </w:p>
    <w:p w14:paraId="1D373E4E" w14:textId="5C66D7CB" w:rsidR="005E03F7" w:rsidRDefault="005E03F7">
      <w:pPr>
        <w:pStyle w:val="TOC5"/>
        <w:rPr>
          <w:rFonts w:asciiTheme="minorHAnsi" w:eastAsiaTheme="minorEastAsia" w:hAnsiTheme="minorHAnsi" w:cstheme="minorBidi"/>
          <w:sz w:val="22"/>
          <w:szCs w:val="22"/>
          <w:lang w:eastAsia="en-AU"/>
        </w:rPr>
      </w:pPr>
      <w:r>
        <w:tab/>
      </w:r>
      <w:hyperlink w:anchor="_Toc83625969" w:history="1">
        <w:r w:rsidRPr="00D90FEA">
          <w:t>528</w:t>
        </w:r>
        <w:r>
          <w:rPr>
            <w:rFonts w:asciiTheme="minorHAnsi" w:eastAsiaTheme="minorEastAsia" w:hAnsiTheme="minorHAnsi" w:cstheme="minorBidi"/>
            <w:sz w:val="22"/>
            <w:szCs w:val="22"/>
            <w:lang w:eastAsia="en-AU"/>
          </w:rPr>
          <w:tab/>
        </w:r>
        <w:r w:rsidRPr="00D90FEA">
          <w:rPr>
            <w:rFonts w:ascii="Helvetica" w:hAnsi="Helvetica" w:cs="Helvetica"/>
            <w:iCs/>
          </w:rPr>
          <w:t>Defective vehicle labels</w:t>
        </w:r>
        <w:r>
          <w:tab/>
        </w:r>
        <w:r>
          <w:fldChar w:fldCharType="begin"/>
        </w:r>
        <w:r>
          <w:instrText xml:space="preserve"> PAGEREF _Toc83625969 \h </w:instrText>
        </w:r>
        <w:r>
          <w:fldChar w:fldCharType="separate"/>
        </w:r>
        <w:r w:rsidR="005C5D7F">
          <w:t>463</w:t>
        </w:r>
        <w:r>
          <w:fldChar w:fldCharType="end"/>
        </w:r>
      </w:hyperlink>
    </w:p>
    <w:p w14:paraId="6B5DF38D" w14:textId="585059A8" w:rsidR="005E03F7" w:rsidRDefault="005E03F7">
      <w:pPr>
        <w:pStyle w:val="TOC5"/>
        <w:rPr>
          <w:rFonts w:asciiTheme="minorHAnsi" w:eastAsiaTheme="minorEastAsia" w:hAnsiTheme="minorHAnsi" w:cstheme="minorBidi"/>
          <w:sz w:val="22"/>
          <w:szCs w:val="22"/>
          <w:lang w:eastAsia="en-AU"/>
        </w:rPr>
      </w:pPr>
      <w:r>
        <w:tab/>
      </w:r>
      <w:hyperlink w:anchor="_Toc83625970" w:history="1">
        <w:r w:rsidRPr="00D90FEA">
          <w:t>528A</w:t>
        </w:r>
        <w:r>
          <w:rPr>
            <w:rFonts w:asciiTheme="minorHAnsi" w:eastAsiaTheme="minorEastAsia" w:hAnsiTheme="minorHAnsi" w:cstheme="minorBidi"/>
            <w:sz w:val="22"/>
            <w:szCs w:val="22"/>
            <w:lang w:eastAsia="en-AU"/>
          </w:rPr>
          <w:tab/>
        </w:r>
        <w:r w:rsidRPr="00D90FEA">
          <w:t>Information not included in notice or label</w:t>
        </w:r>
        <w:r>
          <w:tab/>
        </w:r>
        <w:r>
          <w:fldChar w:fldCharType="begin"/>
        </w:r>
        <w:r>
          <w:instrText xml:space="preserve"> PAGEREF _Toc83625970 \h </w:instrText>
        </w:r>
        <w:r>
          <w:fldChar w:fldCharType="separate"/>
        </w:r>
        <w:r w:rsidR="005C5D7F">
          <w:t>463</w:t>
        </w:r>
        <w:r>
          <w:fldChar w:fldCharType="end"/>
        </w:r>
      </w:hyperlink>
    </w:p>
    <w:p w14:paraId="0E55516D" w14:textId="57EB715B" w:rsidR="005E03F7" w:rsidRDefault="005E03F7">
      <w:pPr>
        <w:pStyle w:val="TOC5"/>
        <w:rPr>
          <w:rFonts w:asciiTheme="minorHAnsi" w:eastAsiaTheme="minorEastAsia" w:hAnsiTheme="minorHAnsi" w:cstheme="minorBidi"/>
          <w:sz w:val="22"/>
          <w:szCs w:val="22"/>
          <w:lang w:eastAsia="en-AU"/>
        </w:rPr>
      </w:pPr>
      <w:r>
        <w:tab/>
      </w:r>
      <w:hyperlink w:anchor="_Toc83625971" w:history="1">
        <w:r w:rsidRPr="00D90FEA">
          <w:t>529</w:t>
        </w:r>
        <w:r>
          <w:rPr>
            <w:rFonts w:asciiTheme="minorHAnsi" w:eastAsiaTheme="minorEastAsia" w:hAnsiTheme="minorHAnsi" w:cstheme="minorBidi"/>
            <w:sz w:val="22"/>
            <w:szCs w:val="22"/>
            <w:lang w:eastAsia="en-AU"/>
          </w:rPr>
          <w:tab/>
        </w:r>
        <w:r w:rsidRPr="00D90FEA">
          <w:rPr>
            <w:rFonts w:ascii="Helvetica" w:hAnsi="Helvetica" w:cs="Helvetica"/>
            <w:iCs/>
          </w:rPr>
          <w:t>Using heavy vehicles contrary to vehicle defect notice</w:t>
        </w:r>
        <w:r>
          <w:tab/>
        </w:r>
        <w:r>
          <w:fldChar w:fldCharType="begin"/>
        </w:r>
        <w:r>
          <w:instrText xml:space="preserve"> PAGEREF _Toc83625971 \h </w:instrText>
        </w:r>
        <w:r>
          <w:fldChar w:fldCharType="separate"/>
        </w:r>
        <w:r w:rsidR="005C5D7F">
          <w:t>464</w:t>
        </w:r>
        <w:r>
          <w:fldChar w:fldCharType="end"/>
        </w:r>
      </w:hyperlink>
    </w:p>
    <w:p w14:paraId="7A2176F8" w14:textId="4B162061" w:rsidR="005E03F7" w:rsidRDefault="005E03F7">
      <w:pPr>
        <w:pStyle w:val="TOC5"/>
        <w:rPr>
          <w:rFonts w:asciiTheme="minorHAnsi" w:eastAsiaTheme="minorEastAsia" w:hAnsiTheme="minorHAnsi" w:cstheme="minorBidi"/>
          <w:sz w:val="22"/>
          <w:szCs w:val="22"/>
          <w:lang w:eastAsia="en-AU"/>
        </w:rPr>
      </w:pPr>
      <w:r>
        <w:tab/>
      </w:r>
      <w:hyperlink w:anchor="_Toc83625972" w:history="1">
        <w:r w:rsidRPr="00D90FEA">
          <w:t>529AA</w:t>
        </w:r>
        <w:r>
          <w:rPr>
            <w:rFonts w:asciiTheme="minorHAnsi" w:eastAsiaTheme="minorEastAsia" w:hAnsiTheme="minorHAnsi" w:cstheme="minorBidi"/>
            <w:sz w:val="22"/>
            <w:szCs w:val="22"/>
            <w:lang w:eastAsia="en-AU"/>
          </w:rPr>
          <w:tab/>
        </w:r>
        <w:r w:rsidRPr="00D90FEA">
          <w:rPr>
            <w:lang w:val="en" w:eastAsia="en-AU"/>
          </w:rPr>
          <w:t>Permission to use vehicle the subject of a self-clearing defect notice</w:t>
        </w:r>
        <w:r>
          <w:tab/>
        </w:r>
        <w:r>
          <w:fldChar w:fldCharType="begin"/>
        </w:r>
        <w:r>
          <w:instrText xml:space="preserve"> PAGEREF _Toc83625972 \h </w:instrText>
        </w:r>
        <w:r>
          <w:fldChar w:fldCharType="separate"/>
        </w:r>
        <w:r w:rsidR="005C5D7F">
          <w:t>464</w:t>
        </w:r>
        <w:r>
          <w:fldChar w:fldCharType="end"/>
        </w:r>
      </w:hyperlink>
    </w:p>
    <w:p w14:paraId="70DE0705" w14:textId="1D8EC610" w:rsidR="005E03F7" w:rsidRDefault="005E03F7">
      <w:pPr>
        <w:pStyle w:val="TOC5"/>
        <w:rPr>
          <w:rFonts w:asciiTheme="minorHAnsi" w:eastAsiaTheme="minorEastAsia" w:hAnsiTheme="minorHAnsi" w:cstheme="minorBidi"/>
          <w:sz w:val="22"/>
          <w:szCs w:val="22"/>
          <w:lang w:eastAsia="en-AU"/>
        </w:rPr>
      </w:pPr>
      <w:r>
        <w:tab/>
      </w:r>
      <w:hyperlink w:anchor="_Toc83625973" w:history="1">
        <w:r w:rsidRPr="00D90FEA">
          <w:t>529A</w:t>
        </w:r>
        <w:r>
          <w:rPr>
            <w:rFonts w:asciiTheme="minorHAnsi" w:eastAsiaTheme="minorEastAsia" w:hAnsiTheme="minorHAnsi" w:cstheme="minorBidi"/>
            <w:sz w:val="22"/>
            <w:szCs w:val="22"/>
            <w:lang w:eastAsia="en-AU"/>
          </w:rPr>
          <w:tab/>
        </w:r>
        <w:r w:rsidRPr="00D90FEA">
          <w:rPr>
            <w:lang w:val="en" w:eastAsia="en-AU"/>
          </w:rPr>
          <w:t>Permission to use vehicle the subject of a major or minor defect notice</w:t>
        </w:r>
        <w:r>
          <w:tab/>
        </w:r>
        <w:r>
          <w:fldChar w:fldCharType="begin"/>
        </w:r>
        <w:r>
          <w:instrText xml:space="preserve"> PAGEREF _Toc83625973 \h </w:instrText>
        </w:r>
        <w:r>
          <w:fldChar w:fldCharType="separate"/>
        </w:r>
        <w:r w:rsidR="005C5D7F">
          <w:t>464</w:t>
        </w:r>
        <w:r>
          <w:fldChar w:fldCharType="end"/>
        </w:r>
      </w:hyperlink>
    </w:p>
    <w:p w14:paraId="10C03FA2" w14:textId="54D9C75B" w:rsidR="005E03F7" w:rsidRDefault="005E03F7">
      <w:pPr>
        <w:pStyle w:val="TOC5"/>
        <w:rPr>
          <w:rFonts w:asciiTheme="minorHAnsi" w:eastAsiaTheme="minorEastAsia" w:hAnsiTheme="minorHAnsi" w:cstheme="minorBidi"/>
          <w:sz w:val="22"/>
          <w:szCs w:val="22"/>
          <w:lang w:eastAsia="en-AU"/>
        </w:rPr>
      </w:pPr>
      <w:r>
        <w:tab/>
      </w:r>
      <w:hyperlink w:anchor="_Toc83625974" w:history="1">
        <w:r w:rsidRPr="00D90FEA">
          <w:t>529B</w:t>
        </w:r>
        <w:r>
          <w:rPr>
            <w:rFonts w:asciiTheme="minorHAnsi" w:eastAsiaTheme="minorEastAsia" w:hAnsiTheme="minorHAnsi" w:cstheme="minorBidi"/>
            <w:sz w:val="22"/>
            <w:szCs w:val="22"/>
            <w:lang w:eastAsia="en-AU"/>
          </w:rPr>
          <w:tab/>
        </w:r>
        <w:r w:rsidRPr="00D90FEA">
          <w:t xml:space="preserve">Permitted use of vehicle the subject of a major or minor </w:t>
        </w:r>
        <w:r w:rsidRPr="00D90FEA">
          <w:rPr>
            <w:lang w:val="en"/>
          </w:rPr>
          <w:t>defect</w:t>
        </w:r>
        <w:r w:rsidRPr="00D90FEA">
          <w:t xml:space="preserve"> notice without permission of authorised officer</w:t>
        </w:r>
        <w:r>
          <w:tab/>
        </w:r>
        <w:r>
          <w:fldChar w:fldCharType="begin"/>
        </w:r>
        <w:r>
          <w:instrText xml:space="preserve"> PAGEREF _Toc83625974 \h </w:instrText>
        </w:r>
        <w:r>
          <w:fldChar w:fldCharType="separate"/>
        </w:r>
        <w:r w:rsidR="005C5D7F">
          <w:t>466</w:t>
        </w:r>
        <w:r>
          <w:fldChar w:fldCharType="end"/>
        </w:r>
      </w:hyperlink>
    </w:p>
    <w:p w14:paraId="3A55E439" w14:textId="39BDC64B" w:rsidR="005E03F7" w:rsidRDefault="005E03F7">
      <w:pPr>
        <w:pStyle w:val="TOC5"/>
        <w:rPr>
          <w:rFonts w:asciiTheme="minorHAnsi" w:eastAsiaTheme="minorEastAsia" w:hAnsiTheme="minorHAnsi" w:cstheme="minorBidi"/>
          <w:sz w:val="22"/>
          <w:szCs w:val="22"/>
          <w:lang w:eastAsia="en-AU"/>
        </w:rPr>
      </w:pPr>
      <w:r>
        <w:tab/>
      </w:r>
      <w:hyperlink w:anchor="_Toc83625975" w:history="1">
        <w:r w:rsidRPr="00D90FEA">
          <w:t>530</w:t>
        </w:r>
        <w:r>
          <w:rPr>
            <w:rFonts w:asciiTheme="minorHAnsi" w:eastAsiaTheme="minorEastAsia" w:hAnsiTheme="minorHAnsi" w:cstheme="minorBidi"/>
            <w:sz w:val="22"/>
            <w:szCs w:val="22"/>
            <w:lang w:eastAsia="en-AU"/>
          </w:rPr>
          <w:tab/>
        </w:r>
        <w:r w:rsidRPr="00D90FEA">
          <w:rPr>
            <w:rFonts w:ascii="Helvetica" w:hAnsi="Helvetica" w:cs="Helvetica"/>
            <w:iCs/>
          </w:rPr>
          <w:t xml:space="preserve">Clearance of </w:t>
        </w:r>
        <w:r w:rsidRPr="00D90FEA">
          <w:t>major or minor defect notices</w:t>
        </w:r>
        <w:r>
          <w:tab/>
        </w:r>
        <w:r>
          <w:fldChar w:fldCharType="begin"/>
        </w:r>
        <w:r>
          <w:instrText xml:space="preserve"> PAGEREF _Toc83625975 \h </w:instrText>
        </w:r>
        <w:r>
          <w:fldChar w:fldCharType="separate"/>
        </w:r>
        <w:r w:rsidR="005C5D7F">
          <w:t>466</w:t>
        </w:r>
        <w:r>
          <w:fldChar w:fldCharType="end"/>
        </w:r>
      </w:hyperlink>
    </w:p>
    <w:p w14:paraId="0C21254B" w14:textId="1E093B3C" w:rsidR="005E03F7" w:rsidRDefault="005E03F7">
      <w:pPr>
        <w:pStyle w:val="TOC5"/>
        <w:rPr>
          <w:rFonts w:asciiTheme="minorHAnsi" w:eastAsiaTheme="minorEastAsia" w:hAnsiTheme="minorHAnsi" w:cstheme="minorBidi"/>
          <w:sz w:val="22"/>
          <w:szCs w:val="22"/>
          <w:lang w:eastAsia="en-AU"/>
        </w:rPr>
      </w:pPr>
      <w:r>
        <w:tab/>
      </w:r>
      <w:hyperlink w:anchor="_Toc83625976" w:history="1">
        <w:r w:rsidRPr="00D90FEA">
          <w:t>531</w:t>
        </w:r>
        <w:r>
          <w:rPr>
            <w:rFonts w:asciiTheme="minorHAnsi" w:eastAsiaTheme="minorEastAsia" w:hAnsiTheme="minorHAnsi" w:cstheme="minorBidi"/>
            <w:sz w:val="22"/>
            <w:szCs w:val="22"/>
            <w:lang w:eastAsia="en-AU"/>
          </w:rPr>
          <w:tab/>
        </w:r>
        <w:r w:rsidRPr="00D90FEA">
          <w:rPr>
            <w:rFonts w:ascii="Helvetica" w:hAnsi="Helvetica" w:cs="Helvetica"/>
            <w:iCs/>
          </w:rPr>
          <w:t>Amendment or withdrawal of vehicle defect notices</w:t>
        </w:r>
        <w:r>
          <w:tab/>
        </w:r>
        <w:r>
          <w:fldChar w:fldCharType="begin"/>
        </w:r>
        <w:r>
          <w:instrText xml:space="preserve"> PAGEREF _Toc83625976 \h </w:instrText>
        </w:r>
        <w:r>
          <w:fldChar w:fldCharType="separate"/>
        </w:r>
        <w:r w:rsidR="005C5D7F">
          <w:t>467</w:t>
        </w:r>
        <w:r>
          <w:fldChar w:fldCharType="end"/>
        </w:r>
      </w:hyperlink>
    </w:p>
    <w:p w14:paraId="6EA065C4" w14:textId="7C490744" w:rsidR="005E03F7" w:rsidRDefault="00856BEE">
      <w:pPr>
        <w:pStyle w:val="TOC3"/>
        <w:rPr>
          <w:rFonts w:asciiTheme="minorHAnsi" w:eastAsiaTheme="minorEastAsia" w:hAnsiTheme="minorHAnsi" w:cstheme="minorBidi"/>
          <w:b w:val="0"/>
          <w:sz w:val="22"/>
          <w:szCs w:val="22"/>
          <w:lang w:eastAsia="en-AU"/>
        </w:rPr>
      </w:pPr>
      <w:hyperlink w:anchor="_Toc83625977" w:history="1">
        <w:r w:rsidR="005E03F7" w:rsidRPr="00D90FEA">
          <w:t>Division 7</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Further powers in relation to heavy vehicles concerning mass, dimension or loading requirements</w:t>
        </w:r>
        <w:r w:rsidR="005E03F7" w:rsidRPr="005E03F7">
          <w:rPr>
            <w:vanish/>
          </w:rPr>
          <w:tab/>
        </w:r>
        <w:r w:rsidR="005E03F7" w:rsidRPr="005E03F7">
          <w:rPr>
            <w:vanish/>
          </w:rPr>
          <w:fldChar w:fldCharType="begin"/>
        </w:r>
        <w:r w:rsidR="005E03F7" w:rsidRPr="005E03F7">
          <w:rPr>
            <w:vanish/>
          </w:rPr>
          <w:instrText xml:space="preserve"> PAGEREF _Toc83625977 \h </w:instrText>
        </w:r>
        <w:r w:rsidR="005E03F7" w:rsidRPr="005E03F7">
          <w:rPr>
            <w:vanish/>
          </w:rPr>
        </w:r>
        <w:r w:rsidR="005E03F7" w:rsidRPr="005E03F7">
          <w:rPr>
            <w:vanish/>
          </w:rPr>
          <w:fldChar w:fldCharType="separate"/>
        </w:r>
        <w:r w:rsidR="005C5D7F">
          <w:rPr>
            <w:vanish/>
          </w:rPr>
          <w:t>469</w:t>
        </w:r>
        <w:r w:rsidR="005E03F7" w:rsidRPr="005E03F7">
          <w:rPr>
            <w:vanish/>
          </w:rPr>
          <w:fldChar w:fldCharType="end"/>
        </w:r>
      </w:hyperlink>
    </w:p>
    <w:p w14:paraId="1A6D00E6" w14:textId="244113F9" w:rsidR="005E03F7" w:rsidRDefault="005E03F7">
      <w:pPr>
        <w:pStyle w:val="TOC5"/>
        <w:rPr>
          <w:rFonts w:asciiTheme="minorHAnsi" w:eastAsiaTheme="minorEastAsia" w:hAnsiTheme="minorHAnsi" w:cstheme="minorBidi"/>
          <w:sz w:val="22"/>
          <w:szCs w:val="22"/>
          <w:lang w:eastAsia="en-AU"/>
        </w:rPr>
      </w:pPr>
      <w:r>
        <w:tab/>
      </w:r>
      <w:hyperlink w:anchor="_Toc83625978" w:history="1">
        <w:r w:rsidRPr="00D90FEA">
          <w:t>532</w:t>
        </w:r>
        <w:r>
          <w:rPr>
            <w:rFonts w:asciiTheme="minorHAnsi" w:eastAsiaTheme="minorEastAsia" w:hAnsiTheme="minorHAnsi" w:cstheme="minorBidi"/>
            <w:sz w:val="22"/>
            <w:szCs w:val="22"/>
            <w:lang w:eastAsia="en-AU"/>
          </w:rPr>
          <w:tab/>
        </w:r>
        <w:r w:rsidRPr="00D90FEA">
          <w:rPr>
            <w:rFonts w:ascii="Helvetica" w:hAnsi="Helvetica" w:cs="Helvetica"/>
            <w:iCs/>
          </w:rPr>
          <w:t>Application of Div 7</w:t>
        </w:r>
        <w:r>
          <w:tab/>
        </w:r>
        <w:r>
          <w:fldChar w:fldCharType="begin"/>
        </w:r>
        <w:r>
          <w:instrText xml:space="preserve"> PAGEREF _Toc83625978 \h </w:instrText>
        </w:r>
        <w:r>
          <w:fldChar w:fldCharType="separate"/>
        </w:r>
        <w:r w:rsidR="005C5D7F">
          <w:t>469</w:t>
        </w:r>
        <w:r>
          <w:fldChar w:fldCharType="end"/>
        </w:r>
      </w:hyperlink>
    </w:p>
    <w:p w14:paraId="62C83239" w14:textId="2363FED0" w:rsidR="005E03F7" w:rsidRDefault="005E03F7">
      <w:pPr>
        <w:pStyle w:val="TOC5"/>
        <w:rPr>
          <w:rFonts w:asciiTheme="minorHAnsi" w:eastAsiaTheme="minorEastAsia" w:hAnsiTheme="minorHAnsi" w:cstheme="minorBidi"/>
          <w:sz w:val="22"/>
          <w:szCs w:val="22"/>
          <w:lang w:eastAsia="en-AU"/>
        </w:rPr>
      </w:pPr>
      <w:r>
        <w:tab/>
      </w:r>
      <w:hyperlink w:anchor="_Toc83625979" w:history="1">
        <w:r w:rsidRPr="00D90FEA">
          <w:t>533</w:t>
        </w:r>
        <w:r>
          <w:rPr>
            <w:rFonts w:asciiTheme="minorHAnsi" w:eastAsiaTheme="minorEastAsia" w:hAnsiTheme="minorHAnsi" w:cstheme="minorBidi"/>
            <w:sz w:val="22"/>
            <w:szCs w:val="22"/>
            <w:lang w:eastAsia="en-AU"/>
          </w:rPr>
          <w:tab/>
        </w:r>
        <w:r w:rsidRPr="00D90FEA">
          <w:rPr>
            <w:rFonts w:ascii="Helvetica" w:hAnsi="Helvetica" w:cs="Helvetica"/>
            <w:iCs/>
          </w:rPr>
          <w:t>Powers for minor risk breach of mass, dimension or loading requirement</w:t>
        </w:r>
        <w:r>
          <w:tab/>
        </w:r>
        <w:r>
          <w:fldChar w:fldCharType="begin"/>
        </w:r>
        <w:r>
          <w:instrText xml:space="preserve"> PAGEREF _Toc83625979 \h </w:instrText>
        </w:r>
        <w:r>
          <w:fldChar w:fldCharType="separate"/>
        </w:r>
        <w:r w:rsidR="005C5D7F">
          <w:t>469</w:t>
        </w:r>
        <w:r>
          <w:fldChar w:fldCharType="end"/>
        </w:r>
      </w:hyperlink>
    </w:p>
    <w:p w14:paraId="353B972A" w14:textId="20EF951A" w:rsidR="005E03F7" w:rsidRDefault="005E03F7">
      <w:pPr>
        <w:pStyle w:val="TOC5"/>
        <w:rPr>
          <w:rFonts w:asciiTheme="minorHAnsi" w:eastAsiaTheme="minorEastAsia" w:hAnsiTheme="minorHAnsi" w:cstheme="minorBidi"/>
          <w:sz w:val="22"/>
          <w:szCs w:val="22"/>
          <w:lang w:eastAsia="en-AU"/>
        </w:rPr>
      </w:pPr>
      <w:r>
        <w:tab/>
      </w:r>
      <w:hyperlink w:anchor="_Toc83625980" w:history="1">
        <w:r w:rsidRPr="00D90FEA">
          <w:t>534</w:t>
        </w:r>
        <w:r>
          <w:rPr>
            <w:rFonts w:asciiTheme="minorHAnsi" w:eastAsiaTheme="minorEastAsia" w:hAnsiTheme="minorHAnsi" w:cstheme="minorBidi"/>
            <w:sz w:val="22"/>
            <w:szCs w:val="22"/>
            <w:lang w:eastAsia="en-AU"/>
          </w:rPr>
          <w:tab/>
        </w:r>
        <w:r w:rsidRPr="00D90FEA">
          <w:rPr>
            <w:rFonts w:ascii="Helvetica" w:hAnsi="Helvetica" w:cs="Helvetica"/>
            <w:iCs/>
          </w:rPr>
          <w:t>Powers for substantial risk breach of mass, dimension or loading requirement</w:t>
        </w:r>
        <w:r>
          <w:tab/>
        </w:r>
        <w:r>
          <w:fldChar w:fldCharType="begin"/>
        </w:r>
        <w:r>
          <w:instrText xml:space="preserve"> PAGEREF _Toc83625980 \h </w:instrText>
        </w:r>
        <w:r>
          <w:fldChar w:fldCharType="separate"/>
        </w:r>
        <w:r w:rsidR="005C5D7F">
          <w:t>471</w:t>
        </w:r>
        <w:r>
          <w:fldChar w:fldCharType="end"/>
        </w:r>
      </w:hyperlink>
    </w:p>
    <w:p w14:paraId="4A22F3A9" w14:textId="468624EC" w:rsidR="005E03F7" w:rsidRDefault="005E03F7">
      <w:pPr>
        <w:pStyle w:val="TOC5"/>
        <w:rPr>
          <w:rFonts w:asciiTheme="minorHAnsi" w:eastAsiaTheme="minorEastAsia" w:hAnsiTheme="minorHAnsi" w:cstheme="minorBidi"/>
          <w:sz w:val="22"/>
          <w:szCs w:val="22"/>
          <w:lang w:eastAsia="en-AU"/>
        </w:rPr>
      </w:pPr>
      <w:r>
        <w:tab/>
      </w:r>
      <w:hyperlink w:anchor="_Toc83625981" w:history="1">
        <w:r w:rsidRPr="00D90FEA">
          <w:t>535</w:t>
        </w:r>
        <w:r>
          <w:rPr>
            <w:rFonts w:asciiTheme="minorHAnsi" w:eastAsiaTheme="minorEastAsia" w:hAnsiTheme="minorHAnsi" w:cstheme="minorBidi"/>
            <w:sz w:val="22"/>
            <w:szCs w:val="22"/>
            <w:lang w:eastAsia="en-AU"/>
          </w:rPr>
          <w:tab/>
        </w:r>
        <w:r w:rsidRPr="00D90FEA">
          <w:rPr>
            <w:rFonts w:ascii="Helvetica" w:hAnsi="Helvetica" w:cs="Helvetica"/>
            <w:iCs/>
          </w:rPr>
          <w:t>Powers for severe risk breach of mass, dimension or loading requirement</w:t>
        </w:r>
        <w:r>
          <w:tab/>
        </w:r>
        <w:r>
          <w:fldChar w:fldCharType="begin"/>
        </w:r>
        <w:r>
          <w:instrText xml:space="preserve"> PAGEREF _Toc83625981 \h </w:instrText>
        </w:r>
        <w:r>
          <w:fldChar w:fldCharType="separate"/>
        </w:r>
        <w:r w:rsidR="005C5D7F">
          <w:t>472</w:t>
        </w:r>
        <w:r>
          <w:fldChar w:fldCharType="end"/>
        </w:r>
      </w:hyperlink>
    </w:p>
    <w:p w14:paraId="39EA6639" w14:textId="3B8035FD" w:rsidR="005E03F7" w:rsidRDefault="005E03F7">
      <w:pPr>
        <w:pStyle w:val="TOC5"/>
        <w:rPr>
          <w:rFonts w:asciiTheme="minorHAnsi" w:eastAsiaTheme="minorEastAsia" w:hAnsiTheme="minorHAnsi" w:cstheme="minorBidi"/>
          <w:sz w:val="22"/>
          <w:szCs w:val="22"/>
          <w:lang w:eastAsia="en-AU"/>
        </w:rPr>
      </w:pPr>
      <w:r>
        <w:tab/>
      </w:r>
      <w:hyperlink w:anchor="_Toc83625982" w:history="1">
        <w:r w:rsidRPr="00D90FEA">
          <w:t>536</w:t>
        </w:r>
        <w:r>
          <w:rPr>
            <w:rFonts w:asciiTheme="minorHAnsi" w:eastAsiaTheme="minorEastAsia" w:hAnsiTheme="minorHAnsi" w:cstheme="minorBidi"/>
            <w:sz w:val="22"/>
            <w:szCs w:val="22"/>
            <w:lang w:eastAsia="en-AU"/>
          </w:rPr>
          <w:tab/>
        </w:r>
        <w:r w:rsidRPr="00D90FEA">
          <w:rPr>
            <w:rFonts w:ascii="Helvetica" w:hAnsi="Helvetica" w:cs="Helvetica"/>
            <w:iCs/>
          </w:rPr>
          <w:t>Operation of direction in relation to a combination</w:t>
        </w:r>
        <w:r>
          <w:tab/>
        </w:r>
        <w:r>
          <w:fldChar w:fldCharType="begin"/>
        </w:r>
        <w:r>
          <w:instrText xml:space="preserve"> PAGEREF _Toc83625982 \h </w:instrText>
        </w:r>
        <w:r>
          <w:fldChar w:fldCharType="separate"/>
        </w:r>
        <w:r w:rsidR="005C5D7F">
          <w:t>474</w:t>
        </w:r>
        <w:r>
          <w:fldChar w:fldCharType="end"/>
        </w:r>
      </w:hyperlink>
    </w:p>
    <w:p w14:paraId="70606BA6" w14:textId="29337515" w:rsidR="005E03F7" w:rsidRDefault="00856BEE">
      <w:pPr>
        <w:pStyle w:val="TOC3"/>
        <w:rPr>
          <w:rFonts w:asciiTheme="minorHAnsi" w:eastAsiaTheme="minorEastAsia" w:hAnsiTheme="minorHAnsi" w:cstheme="minorBidi"/>
          <w:b w:val="0"/>
          <w:sz w:val="22"/>
          <w:szCs w:val="22"/>
          <w:lang w:eastAsia="en-AU"/>
        </w:rPr>
      </w:pPr>
      <w:hyperlink w:anchor="_Toc83625983" w:history="1">
        <w:r w:rsidR="005E03F7" w:rsidRPr="00D90FEA">
          <w:t xml:space="preserve">Division 8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Further powers in relation to fatigue-regulated heavy vehicles</w:t>
        </w:r>
        <w:r w:rsidR="005E03F7" w:rsidRPr="005E03F7">
          <w:rPr>
            <w:vanish/>
          </w:rPr>
          <w:tab/>
        </w:r>
        <w:r w:rsidR="005E03F7" w:rsidRPr="005E03F7">
          <w:rPr>
            <w:vanish/>
          </w:rPr>
          <w:fldChar w:fldCharType="begin"/>
        </w:r>
        <w:r w:rsidR="005E03F7" w:rsidRPr="005E03F7">
          <w:rPr>
            <w:vanish/>
          </w:rPr>
          <w:instrText xml:space="preserve"> PAGEREF _Toc83625983 \h </w:instrText>
        </w:r>
        <w:r w:rsidR="005E03F7" w:rsidRPr="005E03F7">
          <w:rPr>
            <w:vanish/>
          </w:rPr>
        </w:r>
        <w:r w:rsidR="005E03F7" w:rsidRPr="005E03F7">
          <w:rPr>
            <w:vanish/>
          </w:rPr>
          <w:fldChar w:fldCharType="separate"/>
        </w:r>
        <w:r w:rsidR="005C5D7F">
          <w:rPr>
            <w:vanish/>
          </w:rPr>
          <w:t>475</w:t>
        </w:r>
        <w:r w:rsidR="005E03F7" w:rsidRPr="005E03F7">
          <w:rPr>
            <w:vanish/>
          </w:rPr>
          <w:fldChar w:fldCharType="end"/>
        </w:r>
      </w:hyperlink>
    </w:p>
    <w:p w14:paraId="3E0EC26E" w14:textId="073BCB47" w:rsidR="005E03F7" w:rsidRDefault="005E03F7">
      <w:pPr>
        <w:pStyle w:val="TOC5"/>
        <w:rPr>
          <w:rFonts w:asciiTheme="minorHAnsi" w:eastAsiaTheme="minorEastAsia" w:hAnsiTheme="minorHAnsi" w:cstheme="minorBidi"/>
          <w:sz w:val="22"/>
          <w:szCs w:val="22"/>
          <w:lang w:eastAsia="en-AU"/>
        </w:rPr>
      </w:pPr>
      <w:r>
        <w:tab/>
      </w:r>
      <w:hyperlink w:anchor="_Toc83625984" w:history="1">
        <w:r w:rsidRPr="00D90FEA">
          <w:t>537</w:t>
        </w:r>
        <w:r>
          <w:rPr>
            <w:rFonts w:asciiTheme="minorHAnsi" w:eastAsiaTheme="minorEastAsia" w:hAnsiTheme="minorHAnsi" w:cstheme="minorBidi"/>
            <w:sz w:val="22"/>
            <w:szCs w:val="22"/>
            <w:lang w:eastAsia="en-AU"/>
          </w:rPr>
          <w:tab/>
        </w:r>
        <w:r w:rsidRPr="00D90FEA">
          <w:rPr>
            <w:rFonts w:ascii="Helvetica" w:hAnsi="Helvetica" w:cs="Helvetica"/>
            <w:iCs/>
          </w:rPr>
          <w:t>Application of Div 8</w:t>
        </w:r>
        <w:r>
          <w:tab/>
        </w:r>
        <w:r>
          <w:fldChar w:fldCharType="begin"/>
        </w:r>
        <w:r>
          <w:instrText xml:space="preserve"> PAGEREF _Toc83625984 \h </w:instrText>
        </w:r>
        <w:r>
          <w:fldChar w:fldCharType="separate"/>
        </w:r>
        <w:r w:rsidR="005C5D7F">
          <w:t>475</w:t>
        </w:r>
        <w:r>
          <w:fldChar w:fldCharType="end"/>
        </w:r>
      </w:hyperlink>
    </w:p>
    <w:p w14:paraId="5745CB01" w14:textId="7795BFD5" w:rsidR="005E03F7" w:rsidRDefault="005E03F7">
      <w:pPr>
        <w:pStyle w:val="TOC5"/>
        <w:rPr>
          <w:rFonts w:asciiTheme="minorHAnsi" w:eastAsiaTheme="minorEastAsia" w:hAnsiTheme="minorHAnsi" w:cstheme="minorBidi"/>
          <w:sz w:val="22"/>
          <w:szCs w:val="22"/>
          <w:lang w:eastAsia="en-AU"/>
        </w:rPr>
      </w:pPr>
      <w:r>
        <w:tab/>
      </w:r>
      <w:hyperlink w:anchor="_Toc83625985" w:history="1">
        <w:r w:rsidRPr="00D90FEA">
          <w:t>538</w:t>
        </w:r>
        <w:r>
          <w:rPr>
            <w:rFonts w:asciiTheme="minorHAnsi" w:eastAsiaTheme="minorEastAsia" w:hAnsiTheme="minorHAnsi" w:cstheme="minorBidi"/>
            <w:sz w:val="22"/>
            <w:szCs w:val="22"/>
            <w:lang w:eastAsia="en-AU"/>
          </w:rPr>
          <w:tab/>
        </w:r>
        <w:r w:rsidRPr="00D90FEA">
          <w:rPr>
            <w:rFonts w:ascii="Helvetica" w:hAnsi="Helvetica" w:cs="Helvetica"/>
            <w:iCs/>
          </w:rPr>
          <w:t>Requiring driver to rest for contravention of maximum work requirement</w:t>
        </w:r>
        <w:r>
          <w:tab/>
        </w:r>
        <w:r>
          <w:fldChar w:fldCharType="begin"/>
        </w:r>
        <w:r>
          <w:instrText xml:space="preserve"> PAGEREF _Toc83625985 \h </w:instrText>
        </w:r>
        <w:r>
          <w:fldChar w:fldCharType="separate"/>
        </w:r>
        <w:r w:rsidR="005C5D7F">
          <w:t>475</w:t>
        </w:r>
        <w:r>
          <w:fldChar w:fldCharType="end"/>
        </w:r>
      </w:hyperlink>
    </w:p>
    <w:p w14:paraId="2B89C56C" w14:textId="70AEF876" w:rsidR="005E03F7" w:rsidRDefault="005E03F7">
      <w:pPr>
        <w:pStyle w:val="TOC5"/>
        <w:rPr>
          <w:rFonts w:asciiTheme="minorHAnsi" w:eastAsiaTheme="minorEastAsia" w:hAnsiTheme="minorHAnsi" w:cstheme="minorBidi"/>
          <w:sz w:val="22"/>
          <w:szCs w:val="22"/>
          <w:lang w:eastAsia="en-AU"/>
        </w:rPr>
      </w:pPr>
      <w:r>
        <w:tab/>
      </w:r>
      <w:hyperlink w:anchor="_Toc83625986" w:history="1">
        <w:r w:rsidRPr="00D90FEA">
          <w:t>539</w:t>
        </w:r>
        <w:r>
          <w:rPr>
            <w:rFonts w:asciiTheme="minorHAnsi" w:eastAsiaTheme="minorEastAsia" w:hAnsiTheme="minorHAnsi" w:cstheme="minorBidi"/>
            <w:sz w:val="22"/>
            <w:szCs w:val="22"/>
            <w:lang w:eastAsia="en-AU"/>
          </w:rPr>
          <w:tab/>
        </w:r>
        <w:r w:rsidRPr="00D90FEA">
          <w:rPr>
            <w:rFonts w:ascii="Helvetica" w:hAnsi="Helvetica" w:cs="Helvetica"/>
            <w:iCs/>
          </w:rPr>
          <w:t>Requiring driver to rest for contravention of minimum rest requirement</w:t>
        </w:r>
        <w:r>
          <w:tab/>
        </w:r>
        <w:r>
          <w:fldChar w:fldCharType="begin"/>
        </w:r>
        <w:r>
          <w:instrText xml:space="preserve"> PAGEREF _Toc83625986 \h </w:instrText>
        </w:r>
        <w:r>
          <w:fldChar w:fldCharType="separate"/>
        </w:r>
        <w:r w:rsidR="005C5D7F">
          <w:t>476</w:t>
        </w:r>
        <w:r>
          <w:fldChar w:fldCharType="end"/>
        </w:r>
      </w:hyperlink>
    </w:p>
    <w:p w14:paraId="5F6794D4" w14:textId="49833E25" w:rsidR="005E03F7" w:rsidRDefault="005E03F7">
      <w:pPr>
        <w:pStyle w:val="TOC5"/>
        <w:rPr>
          <w:rFonts w:asciiTheme="minorHAnsi" w:eastAsiaTheme="minorEastAsia" w:hAnsiTheme="minorHAnsi" w:cstheme="minorBidi"/>
          <w:sz w:val="22"/>
          <w:szCs w:val="22"/>
          <w:lang w:eastAsia="en-AU"/>
        </w:rPr>
      </w:pPr>
      <w:r>
        <w:tab/>
      </w:r>
      <w:hyperlink w:anchor="_Toc83625987" w:history="1">
        <w:r w:rsidRPr="00D90FEA">
          <w:t>540</w:t>
        </w:r>
        <w:r>
          <w:rPr>
            <w:rFonts w:asciiTheme="minorHAnsi" w:eastAsiaTheme="minorEastAsia" w:hAnsiTheme="minorHAnsi" w:cstheme="minorBidi"/>
            <w:sz w:val="22"/>
            <w:szCs w:val="22"/>
            <w:lang w:eastAsia="en-AU"/>
          </w:rPr>
          <w:tab/>
        </w:r>
        <w:r w:rsidRPr="00D90FEA">
          <w:rPr>
            <w:rFonts w:ascii="Helvetica" w:hAnsi="Helvetica" w:cs="Helvetica"/>
            <w:iCs/>
          </w:rPr>
          <w:t>Requiring driver to stop working if impaired by fatigue</w:t>
        </w:r>
        <w:r>
          <w:tab/>
        </w:r>
        <w:r>
          <w:fldChar w:fldCharType="begin"/>
        </w:r>
        <w:r>
          <w:instrText xml:space="preserve"> PAGEREF _Toc83625987 \h </w:instrText>
        </w:r>
        <w:r>
          <w:fldChar w:fldCharType="separate"/>
        </w:r>
        <w:r w:rsidR="005C5D7F">
          <w:t>477</w:t>
        </w:r>
        <w:r>
          <w:fldChar w:fldCharType="end"/>
        </w:r>
      </w:hyperlink>
    </w:p>
    <w:p w14:paraId="23C565A1" w14:textId="1EF8D6C9" w:rsidR="005E03F7" w:rsidRDefault="005E03F7">
      <w:pPr>
        <w:pStyle w:val="TOC5"/>
        <w:rPr>
          <w:rFonts w:asciiTheme="minorHAnsi" w:eastAsiaTheme="minorEastAsia" w:hAnsiTheme="minorHAnsi" w:cstheme="minorBidi"/>
          <w:sz w:val="22"/>
          <w:szCs w:val="22"/>
          <w:lang w:eastAsia="en-AU"/>
        </w:rPr>
      </w:pPr>
      <w:r>
        <w:tab/>
      </w:r>
      <w:hyperlink w:anchor="_Toc83625988" w:history="1">
        <w:r w:rsidRPr="00D90FEA">
          <w:t>541</w:t>
        </w:r>
        <w:r>
          <w:rPr>
            <w:rFonts w:asciiTheme="minorHAnsi" w:eastAsiaTheme="minorEastAsia" w:hAnsiTheme="minorHAnsi" w:cstheme="minorBidi"/>
            <w:sz w:val="22"/>
            <w:szCs w:val="22"/>
            <w:lang w:eastAsia="en-AU"/>
          </w:rPr>
          <w:tab/>
        </w:r>
        <w:r w:rsidRPr="00D90FEA">
          <w:rPr>
            <w:rFonts w:ascii="Helvetica" w:hAnsi="Helvetica" w:cs="Helvetica"/>
            <w:iCs/>
          </w:rPr>
          <w:t>Requiring driver to stop working if work diary not produced or unreliable</w:t>
        </w:r>
        <w:r>
          <w:tab/>
        </w:r>
        <w:r>
          <w:fldChar w:fldCharType="begin"/>
        </w:r>
        <w:r>
          <w:instrText xml:space="preserve"> PAGEREF _Toc83625988 \h </w:instrText>
        </w:r>
        <w:r>
          <w:fldChar w:fldCharType="separate"/>
        </w:r>
        <w:r w:rsidR="005C5D7F">
          <w:t>479</w:t>
        </w:r>
        <w:r>
          <w:fldChar w:fldCharType="end"/>
        </w:r>
      </w:hyperlink>
    </w:p>
    <w:p w14:paraId="66D89871" w14:textId="780CA66D" w:rsidR="005E03F7" w:rsidRDefault="005E03F7">
      <w:pPr>
        <w:pStyle w:val="TOC5"/>
        <w:rPr>
          <w:rFonts w:asciiTheme="minorHAnsi" w:eastAsiaTheme="minorEastAsia" w:hAnsiTheme="minorHAnsi" w:cstheme="minorBidi"/>
          <w:sz w:val="22"/>
          <w:szCs w:val="22"/>
          <w:lang w:eastAsia="en-AU"/>
        </w:rPr>
      </w:pPr>
      <w:r>
        <w:tab/>
      </w:r>
      <w:hyperlink w:anchor="_Toc83625989" w:history="1">
        <w:r w:rsidRPr="00D90FEA">
          <w:t>542</w:t>
        </w:r>
        <w:r>
          <w:rPr>
            <w:rFonts w:asciiTheme="minorHAnsi" w:eastAsiaTheme="minorEastAsia" w:hAnsiTheme="minorHAnsi" w:cstheme="minorBidi"/>
            <w:sz w:val="22"/>
            <w:szCs w:val="22"/>
            <w:lang w:eastAsia="en-AU"/>
          </w:rPr>
          <w:tab/>
        </w:r>
        <w:r w:rsidRPr="00D90FEA">
          <w:rPr>
            <w:rFonts w:ascii="Helvetica" w:hAnsi="Helvetica" w:cs="Helvetica"/>
            <w:iCs/>
          </w:rPr>
          <w:t>Compliance with requirement under this Division</w:t>
        </w:r>
        <w:r>
          <w:tab/>
        </w:r>
        <w:r>
          <w:fldChar w:fldCharType="begin"/>
        </w:r>
        <w:r>
          <w:instrText xml:space="preserve"> PAGEREF _Toc83625989 \h </w:instrText>
        </w:r>
        <w:r>
          <w:fldChar w:fldCharType="separate"/>
        </w:r>
        <w:r w:rsidR="005C5D7F">
          <w:t>480</w:t>
        </w:r>
        <w:r>
          <w:fldChar w:fldCharType="end"/>
        </w:r>
      </w:hyperlink>
    </w:p>
    <w:p w14:paraId="1E5D27C8" w14:textId="43F05AC9" w:rsidR="005E03F7" w:rsidRDefault="00856BEE">
      <w:pPr>
        <w:pStyle w:val="TOC2"/>
        <w:rPr>
          <w:rFonts w:asciiTheme="minorHAnsi" w:eastAsiaTheme="minorEastAsia" w:hAnsiTheme="minorHAnsi" w:cstheme="minorBidi"/>
          <w:b w:val="0"/>
          <w:sz w:val="22"/>
          <w:szCs w:val="22"/>
          <w:lang w:eastAsia="en-AU"/>
        </w:rPr>
      </w:pPr>
      <w:hyperlink w:anchor="_Toc83625990" w:history="1">
        <w:r w:rsidR="005E03F7" w:rsidRPr="00D90FEA">
          <w:t xml:space="preserve">Part 9.4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Other powers</w:t>
        </w:r>
        <w:r w:rsidR="005E03F7" w:rsidRPr="005E03F7">
          <w:rPr>
            <w:vanish/>
          </w:rPr>
          <w:tab/>
        </w:r>
        <w:r w:rsidR="005E03F7" w:rsidRPr="005E03F7">
          <w:rPr>
            <w:vanish/>
          </w:rPr>
          <w:fldChar w:fldCharType="begin"/>
        </w:r>
        <w:r w:rsidR="005E03F7" w:rsidRPr="005E03F7">
          <w:rPr>
            <w:vanish/>
          </w:rPr>
          <w:instrText xml:space="preserve"> PAGEREF _Toc83625990 \h </w:instrText>
        </w:r>
        <w:r w:rsidR="005E03F7" w:rsidRPr="005E03F7">
          <w:rPr>
            <w:vanish/>
          </w:rPr>
        </w:r>
        <w:r w:rsidR="005E03F7" w:rsidRPr="005E03F7">
          <w:rPr>
            <w:vanish/>
          </w:rPr>
          <w:fldChar w:fldCharType="separate"/>
        </w:r>
        <w:r w:rsidR="005C5D7F">
          <w:rPr>
            <w:vanish/>
          </w:rPr>
          <w:t>481</w:t>
        </w:r>
        <w:r w:rsidR="005E03F7" w:rsidRPr="005E03F7">
          <w:rPr>
            <w:vanish/>
          </w:rPr>
          <w:fldChar w:fldCharType="end"/>
        </w:r>
      </w:hyperlink>
    </w:p>
    <w:p w14:paraId="76CBD960" w14:textId="6B587831" w:rsidR="005E03F7" w:rsidRDefault="00856BEE">
      <w:pPr>
        <w:pStyle w:val="TOC3"/>
        <w:rPr>
          <w:rFonts w:asciiTheme="minorHAnsi" w:eastAsiaTheme="minorEastAsia" w:hAnsiTheme="minorHAnsi" w:cstheme="minorBidi"/>
          <w:b w:val="0"/>
          <w:sz w:val="22"/>
          <w:szCs w:val="22"/>
          <w:lang w:eastAsia="en-AU"/>
        </w:rPr>
      </w:pPr>
      <w:hyperlink w:anchor="_Toc83625991" w:history="1">
        <w:r w:rsidR="005E03F7" w:rsidRPr="00D90FEA">
          <w:t xml:space="preserve">Division 1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Powers relating to equipment</w:t>
        </w:r>
        <w:r w:rsidR="005E03F7" w:rsidRPr="005E03F7">
          <w:rPr>
            <w:vanish/>
          </w:rPr>
          <w:tab/>
        </w:r>
        <w:r w:rsidR="005E03F7" w:rsidRPr="005E03F7">
          <w:rPr>
            <w:vanish/>
          </w:rPr>
          <w:fldChar w:fldCharType="begin"/>
        </w:r>
        <w:r w:rsidR="005E03F7" w:rsidRPr="005E03F7">
          <w:rPr>
            <w:vanish/>
          </w:rPr>
          <w:instrText xml:space="preserve"> PAGEREF _Toc83625991 \h </w:instrText>
        </w:r>
        <w:r w:rsidR="005E03F7" w:rsidRPr="005E03F7">
          <w:rPr>
            <w:vanish/>
          </w:rPr>
        </w:r>
        <w:r w:rsidR="005E03F7" w:rsidRPr="005E03F7">
          <w:rPr>
            <w:vanish/>
          </w:rPr>
          <w:fldChar w:fldCharType="separate"/>
        </w:r>
        <w:r w:rsidR="005C5D7F">
          <w:rPr>
            <w:vanish/>
          </w:rPr>
          <w:t>481</w:t>
        </w:r>
        <w:r w:rsidR="005E03F7" w:rsidRPr="005E03F7">
          <w:rPr>
            <w:vanish/>
          </w:rPr>
          <w:fldChar w:fldCharType="end"/>
        </w:r>
      </w:hyperlink>
    </w:p>
    <w:p w14:paraId="055F4126" w14:textId="270C0733" w:rsidR="005E03F7" w:rsidRDefault="005E03F7">
      <w:pPr>
        <w:pStyle w:val="TOC5"/>
        <w:rPr>
          <w:rFonts w:asciiTheme="minorHAnsi" w:eastAsiaTheme="minorEastAsia" w:hAnsiTheme="minorHAnsi" w:cstheme="minorBidi"/>
          <w:sz w:val="22"/>
          <w:szCs w:val="22"/>
          <w:lang w:eastAsia="en-AU"/>
        </w:rPr>
      </w:pPr>
      <w:r>
        <w:tab/>
      </w:r>
      <w:hyperlink w:anchor="_Toc83625992" w:history="1">
        <w:r w:rsidRPr="00D90FEA">
          <w:t>543</w:t>
        </w:r>
        <w:r>
          <w:rPr>
            <w:rFonts w:asciiTheme="minorHAnsi" w:eastAsiaTheme="minorEastAsia" w:hAnsiTheme="minorHAnsi" w:cstheme="minorBidi"/>
            <w:sz w:val="22"/>
            <w:szCs w:val="22"/>
            <w:lang w:eastAsia="en-AU"/>
          </w:rPr>
          <w:tab/>
        </w:r>
        <w:r w:rsidRPr="00D90FEA">
          <w:rPr>
            <w:rFonts w:ascii="Helvetica" w:hAnsi="Helvetica" w:cs="Helvetica"/>
            <w:iCs/>
          </w:rPr>
          <w:t>Power to use equipment to access information</w:t>
        </w:r>
        <w:r>
          <w:tab/>
        </w:r>
        <w:r>
          <w:fldChar w:fldCharType="begin"/>
        </w:r>
        <w:r>
          <w:instrText xml:space="preserve"> PAGEREF _Toc83625992 \h </w:instrText>
        </w:r>
        <w:r>
          <w:fldChar w:fldCharType="separate"/>
        </w:r>
        <w:r w:rsidR="005C5D7F">
          <w:t>481</w:t>
        </w:r>
        <w:r>
          <w:fldChar w:fldCharType="end"/>
        </w:r>
      </w:hyperlink>
    </w:p>
    <w:p w14:paraId="3252F94A" w14:textId="504A70A3" w:rsidR="005E03F7" w:rsidRDefault="005E03F7">
      <w:pPr>
        <w:pStyle w:val="TOC5"/>
        <w:rPr>
          <w:rFonts w:asciiTheme="minorHAnsi" w:eastAsiaTheme="minorEastAsia" w:hAnsiTheme="minorHAnsi" w:cstheme="minorBidi"/>
          <w:sz w:val="22"/>
          <w:szCs w:val="22"/>
          <w:lang w:eastAsia="en-AU"/>
        </w:rPr>
      </w:pPr>
      <w:r>
        <w:tab/>
      </w:r>
      <w:hyperlink w:anchor="_Toc83625993" w:history="1">
        <w:r w:rsidRPr="00D90FEA">
          <w:t>544</w:t>
        </w:r>
        <w:r>
          <w:rPr>
            <w:rFonts w:asciiTheme="minorHAnsi" w:eastAsiaTheme="minorEastAsia" w:hAnsiTheme="minorHAnsi" w:cstheme="minorBidi"/>
            <w:sz w:val="22"/>
            <w:szCs w:val="22"/>
            <w:lang w:eastAsia="en-AU"/>
          </w:rPr>
          <w:tab/>
        </w:r>
        <w:r w:rsidRPr="00D90FEA">
          <w:rPr>
            <w:rFonts w:ascii="Helvetica" w:hAnsi="Helvetica" w:cs="Helvetica"/>
            <w:iCs/>
          </w:rPr>
          <w:t>Power to use equipment to examine or process a thing</w:t>
        </w:r>
        <w:r>
          <w:tab/>
        </w:r>
        <w:r>
          <w:fldChar w:fldCharType="begin"/>
        </w:r>
        <w:r>
          <w:instrText xml:space="preserve"> PAGEREF _Toc83625993 \h </w:instrText>
        </w:r>
        <w:r>
          <w:fldChar w:fldCharType="separate"/>
        </w:r>
        <w:r w:rsidR="005C5D7F">
          <w:t>482</w:t>
        </w:r>
        <w:r>
          <w:fldChar w:fldCharType="end"/>
        </w:r>
      </w:hyperlink>
    </w:p>
    <w:p w14:paraId="34326559" w14:textId="12FFC6AE" w:rsidR="005E03F7" w:rsidRDefault="00856BEE">
      <w:pPr>
        <w:pStyle w:val="TOC3"/>
        <w:rPr>
          <w:rFonts w:asciiTheme="minorHAnsi" w:eastAsiaTheme="minorEastAsia" w:hAnsiTheme="minorHAnsi" w:cstheme="minorBidi"/>
          <w:b w:val="0"/>
          <w:sz w:val="22"/>
          <w:szCs w:val="22"/>
          <w:lang w:eastAsia="en-AU"/>
        </w:rPr>
      </w:pPr>
      <w:hyperlink w:anchor="_Toc83625994" w:history="1">
        <w:r w:rsidR="005E03F7" w:rsidRPr="00D90FEA">
          <w:t xml:space="preserve">Division 2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Seizure and embargo notices</w:t>
        </w:r>
        <w:r w:rsidR="005E03F7" w:rsidRPr="005E03F7">
          <w:rPr>
            <w:vanish/>
          </w:rPr>
          <w:tab/>
        </w:r>
        <w:r w:rsidR="005E03F7" w:rsidRPr="005E03F7">
          <w:rPr>
            <w:vanish/>
          </w:rPr>
          <w:fldChar w:fldCharType="begin"/>
        </w:r>
        <w:r w:rsidR="005E03F7" w:rsidRPr="005E03F7">
          <w:rPr>
            <w:vanish/>
          </w:rPr>
          <w:instrText xml:space="preserve"> PAGEREF _Toc83625994 \h </w:instrText>
        </w:r>
        <w:r w:rsidR="005E03F7" w:rsidRPr="005E03F7">
          <w:rPr>
            <w:vanish/>
          </w:rPr>
        </w:r>
        <w:r w:rsidR="005E03F7" w:rsidRPr="005E03F7">
          <w:rPr>
            <w:vanish/>
          </w:rPr>
          <w:fldChar w:fldCharType="separate"/>
        </w:r>
        <w:r w:rsidR="005C5D7F">
          <w:rPr>
            <w:vanish/>
          </w:rPr>
          <w:t>483</w:t>
        </w:r>
        <w:r w:rsidR="005E03F7" w:rsidRPr="005E03F7">
          <w:rPr>
            <w:vanish/>
          </w:rPr>
          <w:fldChar w:fldCharType="end"/>
        </w:r>
      </w:hyperlink>
    </w:p>
    <w:p w14:paraId="0C66DC87" w14:textId="570E7725" w:rsidR="005E03F7" w:rsidRDefault="00856BEE">
      <w:pPr>
        <w:pStyle w:val="TOC4"/>
        <w:rPr>
          <w:rFonts w:asciiTheme="minorHAnsi" w:eastAsiaTheme="minorEastAsia" w:hAnsiTheme="minorHAnsi" w:cstheme="minorBidi"/>
          <w:b w:val="0"/>
          <w:sz w:val="22"/>
          <w:szCs w:val="22"/>
          <w:lang w:eastAsia="en-AU"/>
        </w:rPr>
      </w:pPr>
      <w:hyperlink w:anchor="_Toc83625995" w:history="1">
        <w:r w:rsidR="005E03F7" w:rsidRPr="00D90FEA">
          <w:t xml:space="preserve">Subdivision 1 </w:t>
        </w:r>
        <w:r w:rsidR="005E03F7">
          <w:rPr>
            <w:rFonts w:asciiTheme="minorHAnsi" w:eastAsiaTheme="minorEastAsia" w:hAnsiTheme="minorHAnsi" w:cstheme="minorBidi"/>
            <w:b w:val="0"/>
            <w:sz w:val="22"/>
            <w:szCs w:val="22"/>
            <w:lang w:eastAsia="en-AU"/>
          </w:rPr>
          <w:tab/>
        </w:r>
        <w:r w:rsidR="005E03F7" w:rsidRPr="00D90FEA">
          <w:t>Power to seize</w:t>
        </w:r>
        <w:r w:rsidR="005E03F7" w:rsidRPr="005E03F7">
          <w:rPr>
            <w:vanish/>
          </w:rPr>
          <w:tab/>
        </w:r>
        <w:r w:rsidR="005E03F7" w:rsidRPr="005E03F7">
          <w:rPr>
            <w:vanish/>
          </w:rPr>
          <w:fldChar w:fldCharType="begin"/>
        </w:r>
        <w:r w:rsidR="005E03F7" w:rsidRPr="005E03F7">
          <w:rPr>
            <w:vanish/>
          </w:rPr>
          <w:instrText xml:space="preserve"> PAGEREF _Toc83625995 \h </w:instrText>
        </w:r>
        <w:r w:rsidR="005E03F7" w:rsidRPr="005E03F7">
          <w:rPr>
            <w:vanish/>
          </w:rPr>
        </w:r>
        <w:r w:rsidR="005E03F7" w:rsidRPr="005E03F7">
          <w:rPr>
            <w:vanish/>
          </w:rPr>
          <w:fldChar w:fldCharType="separate"/>
        </w:r>
        <w:r w:rsidR="005C5D7F">
          <w:rPr>
            <w:vanish/>
          </w:rPr>
          <w:t>483</w:t>
        </w:r>
        <w:r w:rsidR="005E03F7" w:rsidRPr="005E03F7">
          <w:rPr>
            <w:vanish/>
          </w:rPr>
          <w:fldChar w:fldCharType="end"/>
        </w:r>
      </w:hyperlink>
    </w:p>
    <w:p w14:paraId="6126EEAC" w14:textId="17DCB3B8" w:rsidR="005E03F7" w:rsidRDefault="005E03F7">
      <w:pPr>
        <w:pStyle w:val="TOC5"/>
        <w:rPr>
          <w:rFonts w:asciiTheme="minorHAnsi" w:eastAsiaTheme="minorEastAsia" w:hAnsiTheme="minorHAnsi" w:cstheme="minorBidi"/>
          <w:sz w:val="22"/>
          <w:szCs w:val="22"/>
          <w:lang w:eastAsia="en-AU"/>
        </w:rPr>
      </w:pPr>
      <w:r>
        <w:tab/>
      </w:r>
      <w:hyperlink w:anchor="_Toc83625996" w:history="1">
        <w:r w:rsidRPr="00D90FEA">
          <w:t>545</w:t>
        </w:r>
        <w:r>
          <w:rPr>
            <w:rFonts w:asciiTheme="minorHAnsi" w:eastAsiaTheme="minorEastAsia" w:hAnsiTheme="minorHAnsi" w:cstheme="minorBidi"/>
            <w:sz w:val="22"/>
            <w:szCs w:val="22"/>
            <w:lang w:eastAsia="en-AU"/>
          </w:rPr>
          <w:tab/>
        </w:r>
        <w:r w:rsidRPr="00D90FEA">
          <w:rPr>
            <w:rFonts w:ascii="Helvetica" w:hAnsi="Helvetica" w:cs="Helvetica"/>
            <w:iCs/>
          </w:rPr>
          <w:t>Seizing evidence at a place that may be entered without consent or warrant</w:t>
        </w:r>
        <w:r>
          <w:tab/>
        </w:r>
        <w:r>
          <w:fldChar w:fldCharType="begin"/>
        </w:r>
        <w:r>
          <w:instrText xml:space="preserve"> PAGEREF _Toc83625996 \h </w:instrText>
        </w:r>
        <w:r>
          <w:fldChar w:fldCharType="separate"/>
        </w:r>
        <w:r w:rsidR="005C5D7F">
          <w:t>483</w:t>
        </w:r>
        <w:r>
          <w:fldChar w:fldCharType="end"/>
        </w:r>
      </w:hyperlink>
    </w:p>
    <w:p w14:paraId="2D9F2F33" w14:textId="4D8852D9" w:rsidR="005E03F7" w:rsidRDefault="005E03F7">
      <w:pPr>
        <w:pStyle w:val="TOC5"/>
        <w:rPr>
          <w:rFonts w:asciiTheme="minorHAnsi" w:eastAsiaTheme="minorEastAsia" w:hAnsiTheme="minorHAnsi" w:cstheme="minorBidi"/>
          <w:sz w:val="22"/>
          <w:szCs w:val="22"/>
          <w:lang w:eastAsia="en-AU"/>
        </w:rPr>
      </w:pPr>
      <w:r>
        <w:tab/>
      </w:r>
      <w:hyperlink w:anchor="_Toc83625997" w:history="1">
        <w:r w:rsidRPr="00D90FEA">
          <w:t>546</w:t>
        </w:r>
        <w:r>
          <w:rPr>
            <w:rFonts w:asciiTheme="minorHAnsi" w:eastAsiaTheme="minorEastAsia" w:hAnsiTheme="minorHAnsi" w:cstheme="minorBidi"/>
            <w:sz w:val="22"/>
            <w:szCs w:val="22"/>
            <w:lang w:eastAsia="en-AU"/>
          </w:rPr>
          <w:tab/>
        </w:r>
        <w:r w:rsidRPr="00D90FEA">
          <w:rPr>
            <w:rFonts w:ascii="Helvetica" w:hAnsi="Helvetica" w:cs="Helvetica"/>
            <w:iCs/>
          </w:rPr>
          <w:t>Seizing evidence at a place that may be entered only with consent or warrant</w:t>
        </w:r>
        <w:r>
          <w:tab/>
        </w:r>
        <w:r>
          <w:fldChar w:fldCharType="begin"/>
        </w:r>
        <w:r>
          <w:instrText xml:space="preserve"> PAGEREF _Toc83625997 \h </w:instrText>
        </w:r>
        <w:r>
          <w:fldChar w:fldCharType="separate"/>
        </w:r>
        <w:r w:rsidR="005C5D7F">
          <w:t>483</w:t>
        </w:r>
        <w:r>
          <w:fldChar w:fldCharType="end"/>
        </w:r>
      </w:hyperlink>
    </w:p>
    <w:p w14:paraId="4EE294E3" w14:textId="62FADD86" w:rsidR="005E03F7" w:rsidRDefault="005E03F7">
      <w:pPr>
        <w:pStyle w:val="TOC5"/>
        <w:rPr>
          <w:rFonts w:asciiTheme="minorHAnsi" w:eastAsiaTheme="minorEastAsia" w:hAnsiTheme="minorHAnsi" w:cstheme="minorBidi"/>
          <w:sz w:val="22"/>
          <w:szCs w:val="22"/>
          <w:lang w:eastAsia="en-AU"/>
        </w:rPr>
      </w:pPr>
      <w:r>
        <w:tab/>
      </w:r>
      <w:hyperlink w:anchor="_Toc83625998" w:history="1">
        <w:r w:rsidRPr="00D90FEA">
          <w:t>547</w:t>
        </w:r>
        <w:r>
          <w:rPr>
            <w:rFonts w:asciiTheme="minorHAnsi" w:eastAsiaTheme="minorEastAsia" w:hAnsiTheme="minorHAnsi" w:cstheme="minorBidi"/>
            <w:sz w:val="22"/>
            <w:szCs w:val="22"/>
            <w:lang w:eastAsia="en-AU"/>
          </w:rPr>
          <w:tab/>
        </w:r>
        <w:r w:rsidRPr="00D90FEA">
          <w:rPr>
            <w:rFonts w:ascii="Helvetica" w:hAnsi="Helvetica" w:cs="Helvetica"/>
            <w:iCs/>
          </w:rPr>
          <w:t>Seizing evidence in a heavy vehicle entered under s 521</w:t>
        </w:r>
        <w:r>
          <w:tab/>
        </w:r>
        <w:r>
          <w:fldChar w:fldCharType="begin"/>
        </w:r>
        <w:r>
          <w:instrText xml:space="preserve"> PAGEREF _Toc83625998 \h </w:instrText>
        </w:r>
        <w:r>
          <w:fldChar w:fldCharType="separate"/>
        </w:r>
        <w:r w:rsidR="005C5D7F">
          <w:t>484</w:t>
        </w:r>
        <w:r>
          <w:fldChar w:fldCharType="end"/>
        </w:r>
      </w:hyperlink>
    </w:p>
    <w:p w14:paraId="6576AEBD" w14:textId="4A47A45F" w:rsidR="005E03F7" w:rsidRDefault="005E03F7">
      <w:pPr>
        <w:pStyle w:val="TOC5"/>
        <w:rPr>
          <w:rFonts w:asciiTheme="minorHAnsi" w:eastAsiaTheme="minorEastAsia" w:hAnsiTheme="minorHAnsi" w:cstheme="minorBidi"/>
          <w:sz w:val="22"/>
          <w:szCs w:val="22"/>
          <w:lang w:eastAsia="en-AU"/>
        </w:rPr>
      </w:pPr>
      <w:r>
        <w:tab/>
      </w:r>
      <w:hyperlink w:anchor="_Toc83625999" w:history="1">
        <w:r w:rsidRPr="00D90FEA">
          <w:t>548</w:t>
        </w:r>
        <w:r>
          <w:rPr>
            <w:rFonts w:asciiTheme="minorHAnsi" w:eastAsiaTheme="minorEastAsia" w:hAnsiTheme="minorHAnsi" w:cstheme="minorBidi"/>
            <w:sz w:val="22"/>
            <w:szCs w:val="22"/>
            <w:lang w:eastAsia="en-AU"/>
          </w:rPr>
          <w:tab/>
        </w:r>
        <w:r w:rsidRPr="00D90FEA">
          <w:rPr>
            <w:rFonts w:ascii="Helvetica" w:hAnsi="Helvetica" w:cs="Helvetica"/>
            <w:iCs/>
          </w:rPr>
          <w:t>Additional seizure power relating to information stored electronically</w:t>
        </w:r>
        <w:r>
          <w:tab/>
        </w:r>
        <w:r>
          <w:fldChar w:fldCharType="begin"/>
        </w:r>
        <w:r>
          <w:instrText xml:space="preserve"> PAGEREF _Toc83625999 \h </w:instrText>
        </w:r>
        <w:r>
          <w:fldChar w:fldCharType="separate"/>
        </w:r>
        <w:r w:rsidR="005C5D7F">
          <w:t>484</w:t>
        </w:r>
        <w:r>
          <w:fldChar w:fldCharType="end"/>
        </w:r>
      </w:hyperlink>
    </w:p>
    <w:p w14:paraId="151A868B" w14:textId="578B9DCD" w:rsidR="005E03F7" w:rsidRDefault="005E03F7">
      <w:pPr>
        <w:pStyle w:val="TOC5"/>
        <w:rPr>
          <w:rFonts w:asciiTheme="minorHAnsi" w:eastAsiaTheme="minorEastAsia" w:hAnsiTheme="minorHAnsi" w:cstheme="minorBidi"/>
          <w:sz w:val="22"/>
          <w:szCs w:val="22"/>
          <w:lang w:eastAsia="en-AU"/>
        </w:rPr>
      </w:pPr>
      <w:r>
        <w:tab/>
      </w:r>
      <w:hyperlink w:anchor="_Toc83626000" w:history="1">
        <w:r w:rsidRPr="00D90FEA">
          <w:t>549</w:t>
        </w:r>
        <w:r>
          <w:rPr>
            <w:rFonts w:asciiTheme="minorHAnsi" w:eastAsiaTheme="minorEastAsia" w:hAnsiTheme="minorHAnsi" w:cstheme="minorBidi"/>
            <w:sz w:val="22"/>
            <w:szCs w:val="22"/>
            <w:lang w:eastAsia="en-AU"/>
          </w:rPr>
          <w:tab/>
        </w:r>
        <w:r w:rsidRPr="00D90FEA">
          <w:rPr>
            <w:rFonts w:ascii="Helvetica" w:hAnsi="Helvetica" w:cs="Helvetica"/>
            <w:iCs/>
          </w:rPr>
          <w:t>Seizing thing or sample taken for examination under s 500</w:t>
        </w:r>
        <w:r>
          <w:tab/>
        </w:r>
        <w:r>
          <w:fldChar w:fldCharType="begin"/>
        </w:r>
        <w:r>
          <w:instrText xml:space="preserve"> PAGEREF _Toc83626000 \h </w:instrText>
        </w:r>
        <w:r>
          <w:fldChar w:fldCharType="separate"/>
        </w:r>
        <w:r w:rsidR="005C5D7F">
          <w:t>485</w:t>
        </w:r>
        <w:r>
          <w:fldChar w:fldCharType="end"/>
        </w:r>
      </w:hyperlink>
    </w:p>
    <w:p w14:paraId="35A83BF8" w14:textId="07B090FA" w:rsidR="005E03F7" w:rsidRDefault="005E03F7">
      <w:pPr>
        <w:pStyle w:val="TOC5"/>
        <w:rPr>
          <w:rFonts w:asciiTheme="minorHAnsi" w:eastAsiaTheme="minorEastAsia" w:hAnsiTheme="minorHAnsi" w:cstheme="minorBidi"/>
          <w:sz w:val="22"/>
          <w:szCs w:val="22"/>
          <w:lang w:eastAsia="en-AU"/>
        </w:rPr>
      </w:pPr>
      <w:r>
        <w:tab/>
      </w:r>
      <w:hyperlink w:anchor="_Toc83626001" w:history="1">
        <w:r w:rsidRPr="00D90FEA">
          <w:t>550</w:t>
        </w:r>
        <w:r>
          <w:rPr>
            <w:rFonts w:asciiTheme="minorHAnsi" w:eastAsiaTheme="minorEastAsia" w:hAnsiTheme="minorHAnsi" w:cstheme="minorBidi"/>
            <w:sz w:val="22"/>
            <w:szCs w:val="22"/>
            <w:lang w:eastAsia="en-AU"/>
          </w:rPr>
          <w:tab/>
        </w:r>
        <w:r w:rsidRPr="00D90FEA">
          <w:rPr>
            <w:rFonts w:ascii="Helvetica" w:hAnsi="Helvetica" w:cs="Helvetica"/>
            <w:iCs/>
          </w:rPr>
          <w:t>Seizure of property subject to security</w:t>
        </w:r>
        <w:r>
          <w:tab/>
        </w:r>
        <w:r>
          <w:fldChar w:fldCharType="begin"/>
        </w:r>
        <w:r>
          <w:instrText xml:space="preserve"> PAGEREF _Toc83626001 \h </w:instrText>
        </w:r>
        <w:r>
          <w:fldChar w:fldCharType="separate"/>
        </w:r>
        <w:r w:rsidR="005C5D7F">
          <w:t>485</w:t>
        </w:r>
        <w:r>
          <w:fldChar w:fldCharType="end"/>
        </w:r>
      </w:hyperlink>
    </w:p>
    <w:p w14:paraId="121158C9" w14:textId="246DD4EA" w:rsidR="005E03F7" w:rsidRDefault="005E03F7">
      <w:pPr>
        <w:pStyle w:val="TOC5"/>
        <w:rPr>
          <w:rFonts w:asciiTheme="minorHAnsi" w:eastAsiaTheme="minorEastAsia" w:hAnsiTheme="minorHAnsi" w:cstheme="minorBidi"/>
          <w:sz w:val="22"/>
          <w:szCs w:val="22"/>
          <w:lang w:eastAsia="en-AU"/>
        </w:rPr>
      </w:pPr>
      <w:r>
        <w:lastRenderedPageBreak/>
        <w:tab/>
      </w:r>
      <w:hyperlink w:anchor="_Toc83626002" w:history="1">
        <w:r w:rsidRPr="00D90FEA">
          <w:t>551</w:t>
        </w:r>
        <w:r>
          <w:rPr>
            <w:rFonts w:asciiTheme="minorHAnsi" w:eastAsiaTheme="minorEastAsia" w:hAnsiTheme="minorHAnsi" w:cstheme="minorBidi"/>
            <w:sz w:val="22"/>
            <w:szCs w:val="22"/>
            <w:lang w:eastAsia="en-AU"/>
          </w:rPr>
          <w:tab/>
        </w:r>
        <w:r w:rsidRPr="00D90FEA">
          <w:rPr>
            <w:rFonts w:ascii="Helvetica" w:hAnsi="Helvetica" w:cs="Helvetica"/>
            <w:iCs/>
          </w:rPr>
          <w:t>Seizure of number plates</w:t>
        </w:r>
        <w:r>
          <w:tab/>
        </w:r>
        <w:r>
          <w:fldChar w:fldCharType="begin"/>
        </w:r>
        <w:r>
          <w:instrText xml:space="preserve"> PAGEREF _Toc83626002 \h </w:instrText>
        </w:r>
        <w:r>
          <w:fldChar w:fldCharType="separate"/>
        </w:r>
        <w:r w:rsidR="005C5D7F">
          <w:t>485</w:t>
        </w:r>
        <w:r>
          <w:fldChar w:fldCharType="end"/>
        </w:r>
      </w:hyperlink>
    </w:p>
    <w:p w14:paraId="3E87D9A2" w14:textId="63E25CFC" w:rsidR="005E03F7" w:rsidRDefault="005E03F7">
      <w:pPr>
        <w:pStyle w:val="TOC5"/>
        <w:rPr>
          <w:rFonts w:asciiTheme="minorHAnsi" w:eastAsiaTheme="minorEastAsia" w:hAnsiTheme="minorHAnsi" w:cstheme="minorBidi"/>
          <w:sz w:val="22"/>
          <w:szCs w:val="22"/>
          <w:lang w:eastAsia="en-AU"/>
        </w:rPr>
      </w:pPr>
      <w:r>
        <w:tab/>
      </w:r>
      <w:hyperlink w:anchor="_Toc83626003" w:history="1">
        <w:r w:rsidRPr="00D90FEA">
          <w:t>552</w:t>
        </w:r>
        <w:r>
          <w:rPr>
            <w:rFonts w:asciiTheme="minorHAnsi" w:eastAsiaTheme="minorEastAsia" w:hAnsiTheme="minorHAnsi" w:cstheme="minorBidi"/>
            <w:sz w:val="22"/>
            <w:szCs w:val="22"/>
            <w:lang w:eastAsia="en-AU"/>
          </w:rPr>
          <w:tab/>
        </w:r>
        <w:r w:rsidRPr="00D90FEA">
          <w:rPr>
            <w:rFonts w:ascii="Helvetica" w:hAnsi="Helvetica" w:cs="Helvetica"/>
            <w:iCs/>
          </w:rPr>
          <w:t>Restriction on power to seize certain things</w:t>
        </w:r>
        <w:r>
          <w:tab/>
        </w:r>
        <w:r>
          <w:fldChar w:fldCharType="begin"/>
        </w:r>
        <w:r>
          <w:instrText xml:space="preserve"> PAGEREF _Toc83626003 \h </w:instrText>
        </w:r>
        <w:r>
          <w:fldChar w:fldCharType="separate"/>
        </w:r>
        <w:r w:rsidR="005C5D7F">
          <w:t>487</w:t>
        </w:r>
        <w:r>
          <w:fldChar w:fldCharType="end"/>
        </w:r>
      </w:hyperlink>
    </w:p>
    <w:p w14:paraId="7CB4E1AE" w14:textId="15949534" w:rsidR="005E03F7" w:rsidRDefault="00856BEE">
      <w:pPr>
        <w:pStyle w:val="TOC4"/>
        <w:rPr>
          <w:rFonts w:asciiTheme="minorHAnsi" w:eastAsiaTheme="minorEastAsia" w:hAnsiTheme="minorHAnsi" w:cstheme="minorBidi"/>
          <w:b w:val="0"/>
          <w:sz w:val="22"/>
          <w:szCs w:val="22"/>
          <w:lang w:eastAsia="en-AU"/>
        </w:rPr>
      </w:pPr>
      <w:hyperlink w:anchor="_Toc83626004" w:history="1">
        <w:r w:rsidR="005E03F7" w:rsidRPr="00D90FEA">
          <w:t xml:space="preserve">Subdivision 2 </w:t>
        </w:r>
        <w:r w:rsidR="005E03F7">
          <w:rPr>
            <w:rFonts w:asciiTheme="minorHAnsi" w:eastAsiaTheme="minorEastAsia" w:hAnsiTheme="minorHAnsi" w:cstheme="minorBidi"/>
            <w:b w:val="0"/>
            <w:sz w:val="22"/>
            <w:szCs w:val="22"/>
            <w:lang w:eastAsia="en-AU"/>
          </w:rPr>
          <w:tab/>
        </w:r>
        <w:r w:rsidR="005E03F7" w:rsidRPr="00D90FEA">
          <w:t>Powers to support seizure</w:t>
        </w:r>
        <w:r w:rsidR="005E03F7" w:rsidRPr="005E03F7">
          <w:rPr>
            <w:vanish/>
          </w:rPr>
          <w:tab/>
        </w:r>
        <w:r w:rsidR="005E03F7" w:rsidRPr="005E03F7">
          <w:rPr>
            <w:vanish/>
          </w:rPr>
          <w:fldChar w:fldCharType="begin"/>
        </w:r>
        <w:r w:rsidR="005E03F7" w:rsidRPr="005E03F7">
          <w:rPr>
            <w:vanish/>
          </w:rPr>
          <w:instrText xml:space="preserve"> PAGEREF _Toc83626004 \h </w:instrText>
        </w:r>
        <w:r w:rsidR="005E03F7" w:rsidRPr="005E03F7">
          <w:rPr>
            <w:vanish/>
          </w:rPr>
        </w:r>
        <w:r w:rsidR="005E03F7" w:rsidRPr="005E03F7">
          <w:rPr>
            <w:vanish/>
          </w:rPr>
          <w:fldChar w:fldCharType="separate"/>
        </w:r>
        <w:r w:rsidR="005C5D7F">
          <w:rPr>
            <w:vanish/>
          </w:rPr>
          <w:t>487</w:t>
        </w:r>
        <w:r w:rsidR="005E03F7" w:rsidRPr="005E03F7">
          <w:rPr>
            <w:vanish/>
          </w:rPr>
          <w:fldChar w:fldCharType="end"/>
        </w:r>
      </w:hyperlink>
    </w:p>
    <w:p w14:paraId="4242DB81" w14:textId="1D4BD39D" w:rsidR="005E03F7" w:rsidRDefault="005E03F7">
      <w:pPr>
        <w:pStyle w:val="TOC5"/>
        <w:rPr>
          <w:rFonts w:asciiTheme="minorHAnsi" w:eastAsiaTheme="minorEastAsia" w:hAnsiTheme="minorHAnsi" w:cstheme="minorBidi"/>
          <w:sz w:val="22"/>
          <w:szCs w:val="22"/>
          <w:lang w:eastAsia="en-AU"/>
        </w:rPr>
      </w:pPr>
      <w:r>
        <w:tab/>
      </w:r>
      <w:hyperlink w:anchor="_Toc83626005" w:history="1">
        <w:r w:rsidRPr="00D90FEA">
          <w:t>553</w:t>
        </w:r>
        <w:r>
          <w:rPr>
            <w:rFonts w:asciiTheme="minorHAnsi" w:eastAsiaTheme="minorEastAsia" w:hAnsiTheme="minorHAnsi" w:cstheme="minorBidi"/>
            <w:sz w:val="22"/>
            <w:szCs w:val="22"/>
            <w:lang w:eastAsia="en-AU"/>
          </w:rPr>
          <w:tab/>
        </w:r>
        <w:r w:rsidRPr="00D90FEA">
          <w:rPr>
            <w:rFonts w:ascii="Helvetica" w:hAnsi="Helvetica" w:cs="Helvetica"/>
            <w:iCs/>
          </w:rPr>
          <w:t>Requirement of person in control of thing to be seized</w:t>
        </w:r>
        <w:r>
          <w:tab/>
        </w:r>
        <w:r>
          <w:fldChar w:fldCharType="begin"/>
        </w:r>
        <w:r>
          <w:instrText xml:space="preserve"> PAGEREF _Toc83626005 \h </w:instrText>
        </w:r>
        <w:r>
          <w:fldChar w:fldCharType="separate"/>
        </w:r>
        <w:r w:rsidR="005C5D7F">
          <w:t>487</w:t>
        </w:r>
        <w:r>
          <w:fldChar w:fldCharType="end"/>
        </w:r>
      </w:hyperlink>
    </w:p>
    <w:p w14:paraId="19EBB11E" w14:textId="7641D14E" w:rsidR="005E03F7" w:rsidRDefault="00856BEE">
      <w:pPr>
        <w:pStyle w:val="TOC4"/>
        <w:rPr>
          <w:rFonts w:asciiTheme="minorHAnsi" w:eastAsiaTheme="minorEastAsia" w:hAnsiTheme="minorHAnsi" w:cstheme="minorBidi"/>
          <w:b w:val="0"/>
          <w:sz w:val="22"/>
          <w:szCs w:val="22"/>
          <w:lang w:eastAsia="en-AU"/>
        </w:rPr>
      </w:pPr>
      <w:hyperlink w:anchor="_Toc83626006" w:history="1">
        <w:r w:rsidR="005E03F7" w:rsidRPr="00D90FEA">
          <w:t xml:space="preserve">Subdivision 3 </w:t>
        </w:r>
        <w:r w:rsidR="005E03F7">
          <w:rPr>
            <w:rFonts w:asciiTheme="minorHAnsi" w:eastAsiaTheme="minorEastAsia" w:hAnsiTheme="minorHAnsi" w:cstheme="minorBidi"/>
            <w:b w:val="0"/>
            <w:sz w:val="22"/>
            <w:szCs w:val="22"/>
            <w:lang w:eastAsia="en-AU"/>
          </w:rPr>
          <w:tab/>
        </w:r>
        <w:r w:rsidR="005E03F7" w:rsidRPr="00D90FEA">
          <w:t>Safeguards for seized things or samples</w:t>
        </w:r>
        <w:r w:rsidR="005E03F7" w:rsidRPr="005E03F7">
          <w:rPr>
            <w:vanish/>
          </w:rPr>
          <w:tab/>
        </w:r>
        <w:r w:rsidR="005E03F7" w:rsidRPr="005E03F7">
          <w:rPr>
            <w:vanish/>
          </w:rPr>
          <w:fldChar w:fldCharType="begin"/>
        </w:r>
        <w:r w:rsidR="005E03F7" w:rsidRPr="005E03F7">
          <w:rPr>
            <w:vanish/>
          </w:rPr>
          <w:instrText xml:space="preserve"> PAGEREF _Toc83626006 \h </w:instrText>
        </w:r>
        <w:r w:rsidR="005E03F7" w:rsidRPr="005E03F7">
          <w:rPr>
            <w:vanish/>
          </w:rPr>
        </w:r>
        <w:r w:rsidR="005E03F7" w:rsidRPr="005E03F7">
          <w:rPr>
            <w:vanish/>
          </w:rPr>
          <w:fldChar w:fldCharType="separate"/>
        </w:r>
        <w:r w:rsidR="005C5D7F">
          <w:rPr>
            <w:vanish/>
          </w:rPr>
          <w:t>488</w:t>
        </w:r>
        <w:r w:rsidR="005E03F7" w:rsidRPr="005E03F7">
          <w:rPr>
            <w:vanish/>
          </w:rPr>
          <w:fldChar w:fldCharType="end"/>
        </w:r>
      </w:hyperlink>
    </w:p>
    <w:p w14:paraId="01F689CB" w14:textId="5AD5801F" w:rsidR="005E03F7" w:rsidRDefault="005E03F7">
      <w:pPr>
        <w:pStyle w:val="TOC5"/>
        <w:rPr>
          <w:rFonts w:asciiTheme="minorHAnsi" w:eastAsiaTheme="minorEastAsia" w:hAnsiTheme="minorHAnsi" w:cstheme="minorBidi"/>
          <w:sz w:val="22"/>
          <w:szCs w:val="22"/>
          <w:lang w:eastAsia="en-AU"/>
        </w:rPr>
      </w:pPr>
      <w:r>
        <w:tab/>
      </w:r>
      <w:hyperlink w:anchor="_Toc83626007" w:history="1">
        <w:r w:rsidRPr="00D90FEA">
          <w:t>554</w:t>
        </w:r>
        <w:r>
          <w:rPr>
            <w:rFonts w:asciiTheme="minorHAnsi" w:eastAsiaTheme="minorEastAsia" w:hAnsiTheme="minorHAnsi" w:cstheme="minorBidi"/>
            <w:sz w:val="22"/>
            <w:szCs w:val="22"/>
            <w:lang w:eastAsia="en-AU"/>
          </w:rPr>
          <w:tab/>
        </w:r>
        <w:r w:rsidRPr="00D90FEA">
          <w:rPr>
            <w:rFonts w:ascii="Helvetica" w:hAnsi="Helvetica" w:cs="Helvetica"/>
            <w:iCs/>
          </w:rPr>
          <w:t>Receipt for seized thing or sample</w:t>
        </w:r>
        <w:r>
          <w:tab/>
        </w:r>
        <w:r>
          <w:fldChar w:fldCharType="begin"/>
        </w:r>
        <w:r>
          <w:instrText xml:space="preserve"> PAGEREF _Toc83626007 \h </w:instrText>
        </w:r>
        <w:r>
          <w:fldChar w:fldCharType="separate"/>
        </w:r>
        <w:r w:rsidR="005C5D7F">
          <w:t>488</w:t>
        </w:r>
        <w:r>
          <w:fldChar w:fldCharType="end"/>
        </w:r>
      </w:hyperlink>
    </w:p>
    <w:p w14:paraId="6A10E591" w14:textId="22963D6D" w:rsidR="005E03F7" w:rsidRDefault="005E03F7">
      <w:pPr>
        <w:pStyle w:val="TOC5"/>
        <w:rPr>
          <w:rFonts w:asciiTheme="minorHAnsi" w:eastAsiaTheme="minorEastAsia" w:hAnsiTheme="minorHAnsi" w:cstheme="minorBidi"/>
          <w:sz w:val="22"/>
          <w:szCs w:val="22"/>
          <w:lang w:eastAsia="en-AU"/>
        </w:rPr>
      </w:pPr>
      <w:r>
        <w:tab/>
      </w:r>
      <w:hyperlink w:anchor="_Toc83626008" w:history="1">
        <w:r w:rsidRPr="00D90FEA">
          <w:t>555</w:t>
        </w:r>
        <w:r>
          <w:rPr>
            <w:rFonts w:asciiTheme="minorHAnsi" w:eastAsiaTheme="minorEastAsia" w:hAnsiTheme="minorHAnsi" w:cstheme="minorBidi"/>
            <w:sz w:val="22"/>
            <w:szCs w:val="22"/>
            <w:lang w:eastAsia="en-AU"/>
          </w:rPr>
          <w:tab/>
        </w:r>
        <w:r w:rsidRPr="00D90FEA">
          <w:rPr>
            <w:rFonts w:ascii="Helvetica" w:hAnsi="Helvetica" w:cs="Helvetica"/>
            <w:iCs/>
          </w:rPr>
          <w:t>Access to seized thing</w:t>
        </w:r>
        <w:r>
          <w:tab/>
        </w:r>
        <w:r>
          <w:fldChar w:fldCharType="begin"/>
        </w:r>
        <w:r>
          <w:instrText xml:space="preserve"> PAGEREF _Toc83626008 \h </w:instrText>
        </w:r>
        <w:r>
          <w:fldChar w:fldCharType="separate"/>
        </w:r>
        <w:r w:rsidR="005C5D7F">
          <w:t>489</w:t>
        </w:r>
        <w:r>
          <w:fldChar w:fldCharType="end"/>
        </w:r>
      </w:hyperlink>
    </w:p>
    <w:p w14:paraId="2543EE0E" w14:textId="3226A144" w:rsidR="005E03F7" w:rsidRDefault="005E03F7">
      <w:pPr>
        <w:pStyle w:val="TOC5"/>
        <w:rPr>
          <w:rFonts w:asciiTheme="minorHAnsi" w:eastAsiaTheme="minorEastAsia" w:hAnsiTheme="minorHAnsi" w:cstheme="minorBidi"/>
          <w:sz w:val="22"/>
          <w:szCs w:val="22"/>
          <w:lang w:eastAsia="en-AU"/>
        </w:rPr>
      </w:pPr>
      <w:r>
        <w:tab/>
      </w:r>
      <w:hyperlink w:anchor="_Toc83626009" w:history="1">
        <w:r w:rsidRPr="00D90FEA">
          <w:t>556</w:t>
        </w:r>
        <w:r>
          <w:rPr>
            <w:rFonts w:asciiTheme="minorHAnsi" w:eastAsiaTheme="minorEastAsia" w:hAnsiTheme="minorHAnsi" w:cstheme="minorBidi"/>
            <w:sz w:val="22"/>
            <w:szCs w:val="22"/>
            <w:lang w:eastAsia="en-AU"/>
          </w:rPr>
          <w:tab/>
        </w:r>
        <w:r w:rsidRPr="00D90FEA">
          <w:rPr>
            <w:rFonts w:ascii="Helvetica" w:hAnsi="Helvetica" w:cs="Helvetica"/>
            <w:iCs/>
          </w:rPr>
          <w:t>Return of seized things or samples</w:t>
        </w:r>
        <w:r>
          <w:tab/>
        </w:r>
        <w:r>
          <w:fldChar w:fldCharType="begin"/>
        </w:r>
        <w:r>
          <w:instrText xml:space="preserve"> PAGEREF _Toc83626009 \h </w:instrText>
        </w:r>
        <w:r>
          <w:fldChar w:fldCharType="separate"/>
        </w:r>
        <w:r w:rsidR="005C5D7F">
          <w:t>489</w:t>
        </w:r>
        <w:r>
          <w:fldChar w:fldCharType="end"/>
        </w:r>
      </w:hyperlink>
    </w:p>
    <w:p w14:paraId="3A105BAA" w14:textId="13C66150" w:rsidR="005E03F7" w:rsidRDefault="00856BEE">
      <w:pPr>
        <w:pStyle w:val="TOC4"/>
        <w:rPr>
          <w:rFonts w:asciiTheme="minorHAnsi" w:eastAsiaTheme="minorEastAsia" w:hAnsiTheme="minorHAnsi" w:cstheme="minorBidi"/>
          <w:b w:val="0"/>
          <w:sz w:val="22"/>
          <w:szCs w:val="22"/>
          <w:lang w:eastAsia="en-AU"/>
        </w:rPr>
      </w:pPr>
      <w:hyperlink w:anchor="_Toc83626010" w:history="1">
        <w:r w:rsidR="005E03F7" w:rsidRPr="00D90FEA">
          <w:t xml:space="preserve">Subdivision 4 </w:t>
        </w:r>
        <w:r w:rsidR="005E03F7">
          <w:rPr>
            <w:rFonts w:asciiTheme="minorHAnsi" w:eastAsiaTheme="minorEastAsia" w:hAnsiTheme="minorHAnsi" w:cstheme="minorBidi"/>
            <w:b w:val="0"/>
            <w:sz w:val="22"/>
            <w:szCs w:val="22"/>
            <w:lang w:eastAsia="en-AU"/>
          </w:rPr>
          <w:tab/>
        </w:r>
        <w:r w:rsidR="005E03F7" w:rsidRPr="00D90FEA">
          <w:t>Embargo notices</w:t>
        </w:r>
        <w:r w:rsidR="005E03F7" w:rsidRPr="005E03F7">
          <w:rPr>
            <w:vanish/>
          </w:rPr>
          <w:tab/>
        </w:r>
        <w:r w:rsidR="005E03F7" w:rsidRPr="005E03F7">
          <w:rPr>
            <w:vanish/>
          </w:rPr>
          <w:fldChar w:fldCharType="begin"/>
        </w:r>
        <w:r w:rsidR="005E03F7" w:rsidRPr="005E03F7">
          <w:rPr>
            <w:vanish/>
          </w:rPr>
          <w:instrText xml:space="preserve"> PAGEREF _Toc83626010 \h </w:instrText>
        </w:r>
        <w:r w:rsidR="005E03F7" w:rsidRPr="005E03F7">
          <w:rPr>
            <w:vanish/>
          </w:rPr>
        </w:r>
        <w:r w:rsidR="005E03F7" w:rsidRPr="005E03F7">
          <w:rPr>
            <w:vanish/>
          </w:rPr>
          <w:fldChar w:fldCharType="separate"/>
        </w:r>
        <w:r w:rsidR="005C5D7F">
          <w:rPr>
            <w:vanish/>
          </w:rPr>
          <w:t>491</w:t>
        </w:r>
        <w:r w:rsidR="005E03F7" w:rsidRPr="005E03F7">
          <w:rPr>
            <w:vanish/>
          </w:rPr>
          <w:fldChar w:fldCharType="end"/>
        </w:r>
      </w:hyperlink>
    </w:p>
    <w:p w14:paraId="209954AA" w14:textId="69ABC1AA" w:rsidR="005E03F7" w:rsidRDefault="005E03F7">
      <w:pPr>
        <w:pStyle w:val="TOC5"/>
        <w:rPr>
          <w:rFonts w:asciiTheme="minorHAnsi" w:eastAsiaTheme="minorEastAsia" w:hAnsiTheme="minorHAnsi" w:cstheme="minorBidi"/>
          <w:sz w:val="22"/>
          <w:szCs w:val="22"/>
          <w:lang w:eastAsia="en-AU"/>
        </w:rPr>
      </w:pPr>
      <w:r>
        <w:tab/>
      </w:r>
      <w:hyperlink w:anchor="_Toc83626011" w:history="1">
        <w:r w:rsidRPr="00D90FEA">
          <w:t>557</w:t>
        </w:r>
        <w:r>
          <w:rPr>
            <w:rFonts w:asciiTheme="minorHAnsi" w:eastAsiaTheme="minorEastAsia" w:hAnsiTheme="minorHAnsi" w:cstheme="minorBidi"/>
            <w:sz w:val="22"/>
            <w:szCs w:val="22"/>
            <w:lang w:eastAsia="en-AU"/>
          </w:rPr>
          <w:tab/>
        </w:r>
        <w:r w:rsidRPr="00D90FEA">
          <w:rPr>
            <w:rFonts w:ascii="Helvetica" w:hAnsi="Helvetica" w:cs="Helvetica"/>
            <w:iCs/>
          </w:rPr>
          <w:t>Power to issue embargo notice</w:t>
        </w:r>
        <w:r>
          <w:tab/>
        </w:r>
        <w:r>
          <w:fldChar w:fldCharType="begin"/>
        </w:r>
        <w:r>
          <w:instrText xml:space="preserve"> PAGEREF _Toc83626011 \h </w:instrText>
        </w:r>
        <w:r>
          <w:fldChar w:fldCharType="separate"/>
        </w:r>
        <w:r w:rsidR="005C5D7F">
          <w:t>491</w:t>
        </w:r>
        <w:r>
          <w:fldChar w:fldCharType="end"/>
        </w:r>
      </w:hyperlink>
    </w:p>
    <w:p w14:paraId="3551B14F" w14:textId="05164E0B" w:rsidR="005E03F7" w:rsidRDefault="005E03F7">
      <w:pPr>
        <w:pStyle w:val="TOC5"/>
        <w:rPr>
          <w:rFonts w:asciiTheme="minorHAnsi" w:eastAsiaTheme="minorEastAsia" w:hAnsiTheme="minorHAnsi" w:cstheme="minorBidi"/>
          <w:sz w:val="22"/>
          <w:szCs w:val="22"/>
          <w:lang w:eastAsia="en-AU"/>
        </w:rPr>
      </w:pPr>
      <w:r>
        <w:tab/>
      </w:r>
      <w:hyperlink w:anchor="_Toc83626012" w:history="1">
        <w:r w:rsidRPr="00D90FEA">
          <w:t>558</w:t>
        </w:r>
        <w:r>
          <w:rPr>
            <w:rFonts w:asciiTheme="minorHAnsi" w:eastAsiaTheme="minorEastAsia" w:hAnsiTheme="minorHAnsi" w:cstheme="minorBidi"/>
            <w:sz w:val="22"/>
            <w:szCs w:val="22"/>
            <w:lang w:eastAsia="en-AU"/>
          </w:rPr>
          <w:tab/>
        </w:r>
        <w:r w:rsidRPr="00D90FEA">
          <w:rPr>
            <w:rFonts w:ascii="Helvetica" w:hAnsi="Helvetica" w:cs="Helvetica"/>
            <w:iCs/>
          </w:rPr>
          <w:t>Noncompliance with embargo notice</w:t>
        </w:r>
        <w:r>
          <w:tab/>
        </w:r>
        <w:r>
          <w:fldChar w:fldCharType="begin"/>
        </w:r>
        <w:r>
          <w:instrText xml:space="preserve"> PAGEREF _Toc83626012 \h </w:instrText>
        </w:r>
        <w:r>
          <w:fldChar w:fldCharType="separate"/>
        </w:r>
        <w:r w:rsidR="005C5D7F">
          <w:t>492</w:t>
        </w:r>
        <w:r>
          <w:fldChar w:fldCharType="end"/>
        </w:r>
      </w:hyperlink>
    </w:p>
    <w:p w14:paraId="1A0BFC58" w14:textId="2C6820E2" w:rsidR="005E03F7" w:rsidRDefault="005E03F7">
      <w:pPr>
        <w:pStyle w:val="TOC5"/>
        <w:rPr>
          <w:rFonts w:asciiTheme="minorHAnsi" w:eastAsiaTheme="minorEastAsia" w:hAnsiTheme="minorHAnsi" w:cstheme="minorBidi"/>
          <w:sz w:val="22"/>
          <w:szCs w:val="22"/>
          <w:lang w:eastAsia="en-AU"/>
        </w:rPr>
      </w:pPr>
      <w:r>
        <w:tab/>
      </w:r>
      <w:hyperlink w:anchor="_Toc83626013" w:history="1">
        <w:r w:rsidRPr="00D90FEA">
          <w:t>559</w:t>
        </w:r>
        <w:r>
          <w:rPr>
            <w:rFonts w:asciiTheme="minorHAnsi" w:eastAsiaTheme="minorEastAsia" w:hAnsiTheme="minorHAnsi" w:cstheme="minorBidi"/>
            <w:sz w:val="22"/>
            <w:szCs w:val="22"/>
            <w:lang w:eastAsia="en-AU"/>
          </w:rPr>
          <w:tab/>
        </w:r>
        <w:r w:rsidRPr="00D90FEA">
          <w:rPr>
            <w:rFonts w:ascii="Helvetica" w:hAnsi="Helvetica" w:cs="Helvetica"/>
            <w:iCs/>
          </w:rPr>
          <w:t>Power to secure embargoed thing</w:t>
        </w:r>
        <w:r>
          <w:tab/>
        </w:r>
        <w:r>
          <w:fldChar w:fldCharType="begin"/>
        </w:r>
        <w:r>
          <w:instrText xml:space="preserve"> PAGEREF _Toc83626013 \h </w:instrText>
        </w:r>
        <w:r>
          <w:fldChar w:fldCharType="separate"/>
        </w:r>
        <w:r w:rsidR="005C5D7F">
          <w:t>493</w:t>
        </w:r>
        <w:r>
          <w:fldChar w:fldCharType="end"/>
        </w:r>
      </w:hyperlink>
    </w:p>
    <w:p w14:paraId="58DC6ADF" w14:textId="3AB5FE09" w:rsidR="005E03F7" w:rsidRDefault="005E03F7">
      <w:pPr>
        <w:pStyle w:val="TOC5"/>
        <w:rPr>
          <w:rFonts w:asciiTheme="minorHAnsi" w:eastAsiaTheme="minorEastAsia" w:hAnsiTheme="minorHAnsi" w:cstheme="minorBidi"/>
          <w:sz w:val="22"/>
          <w:szCs w:val="22"/>
          <w:lang w:eastAsia="en-AU"/>
        </w:rPr>
      </w:pPr>
      <w:r>
        <w:tab/>
      </w:r>
      <w:hyperlink w:anchor="_Toc83626014" w:history="1">
        <w:r w:rsidRPr="00D90FEA">
          <w:t>560</w:t>
        </w:r>
        <w:r>
          <w:rPr>
            <w:rFonts w:asciiTheme="minorHAnsi" w:eastAsiaTheme="minorEastAsia" w:hAnsiTheme="minorHAnsi" w:cstheme="minorBidi"/>
            <w:sz w:val="22"/>
            <w:szCs w:val="22"/>
            <w:lang w:eastAsia="en-AU"/>
          </w:rPr>
          <w:tab/>
        </w:r>
        <w:r w:rsidRPr="00D90FEA">
          <w:rPr>
            <w:rFonts w:ascii="Helvetica" w:hAnsi="Helvetica" w:cs="Helvetica"/>
            <w:iCs/>
          </w:rPr>
          <w:t>Withdrawal of embargo notice</w:t>
        </w:r>
        <w:r>
          <w:tab/>
        </w:r>
        <w:r>
          <w:fldChar w:fldCharType="begin"/>
        </w:r>
        <w:r>
          <w:instrText xml:space="preserve"> PAGEREF _Toc83626014 \h </w:instrText>
        </w:r>
        <w:r>
          <w:fldChar w:fldCharType="separate"/>
        </w:r>
        <w:r w:rsidR="005C5D7F">
          <w:t>495</w:t>
        </w:r>
        <w:r>
          <w:fldChar w:fldCharType="end"/>
        </w:r>
      </w:hyperlink>
    </w:p>
    <w:p w14:paraId="1AFCE1FA" w14:textId="7B0DAA94" w:rsidR="005E03F7" w:rsidRDefault="00856BEE">
      <w:pPr>
        <w:pStyle w:val="TOC3"/>
        <w:rPr>
          <w:rFonts w:asciiTheme="minorHAnsi" w:eastAsiaTheme="minorEastAsia" w:hAnsiTheme="minorHAnsi" w:cstheme="minorBidi"/>
          <w:b w:val="0"/>
          <w:sz w:val="22"/>
          <w:szCs w:val="22"/>
          <w:lang w:eastAsia="en-AU"/>
        </w:rPr>
      </w:pPr>
      <w:hyperlink w:anchor="_Toc83626015" w:history="1">
        <w:r w:rsidR="005E03F7" w:rsidRPr="00D90FEA">
          <w:t xml:space="preserve">Division 3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Forfeiture and transfers</w:t>
        </w:r>
        <w:r w:rsidR="005E03F7" w:rsidRPr="005E03F7">
          <w:rPr>
            <w:vanish/>
          </w:rPr>
          <w:tab/>
        </w:r>
        <w:r w:rsidR="005E03F7" w:rsidRPr="005E03F7">
          <w:rPr>
            <w:vanish/>
          </w:rPr>
          <w:fldChar w:fldCharType="begin"/>
        </w:r>
        <w:r w:rsidR="005E03F7" w:rsidRPr="005E03F7">
          <w:rPr>
            <w:vanish/>
          </w:rPr>
          <w:instrText xml:space="preserve"> PAGEREF _Toc83626015 \h </w:instrText>
        </w:r>
        <w:r w:rsidR="005E03F7" w:rsidRPr="005E03F7">
          <w:rPr>
            <w:vanish/>
          </w:rPr>
        </w:r>
        <w:r w:rsidR="005E03F7" w:rsidRPr="005E03F7">
          <w:rPr>
            <w:vanish/>
          </w:rPr>
          <w:fldChar w:fldCharType="separate"/>
        </w:r>
        <w:r w:rsidR="005C5D7F">
          <w:rPr>
            <w:vanish/>
          </w:rPr>
          <w:t>496</w:t>
        </w:r>
        <w:r w:rsidR="005E03F7" w:rsidRPr="005E03F7">
          <w:rPr>
            <w:vanish/>
          </w:rPr>
          <w:fldChar w:fldCharType="end"/>
        </w:r>
      </w:hyperlink>
    </w:p>
    <w:p w14:paraId="7275FC0C" w14:textId="6F5AAEE2" w:rsidR="005E03F7" w:rsidRDefault="005E03F7">
      <w:pPr>
        <w:pStyle w:val="TOC5"/>
        <w:rPr>
          <w:rFonts w:asciiTheme="minorHAnsi" w:eastAsiaTheme="minorEastAsia" w:hAnsiTheme="minorHAnsi" w:cstheme="minorBidi"/>
          <w:sz w:val="22"/>
          <w:szCs w:val="22"/>
          <w:lang w:eastAsia="en-AU"/>
        </w:rPr>
      </w:pPr>
      <w:r>
        <w:tab/>
      </w:r>
      <w:hyperlink w:anchor="_Toc83626016" w:history="1">
        <w:r w:rsidRPr="00D90FEA">
          <w:t>561</w:t>
        </w:r>
        <w:r>
          <w:rPr>
            <w:rFonts w:asciiTheme="minorHAnsi" w:eastAsiaTheme="minorEastAsia" w:hAnsiTheme="minorHAnsi" w:cstheme="minorBidi"/>
            <w:sz w:val="22"/>
            <w:szCs w:val="22"/>
            <w:lang w:eastAsia="en-AU"/>
          </w:rPr>
          <w:tab/>
        </w:r>
        <w:r w:rsidRPr="00D90FEA">
          <w:rPr>
            <w:rFonts w:ascii="Helvetica" w:hAnsi="Helvetica" w:cs="Helvetica"/>
            <w:iCs/>
          </w:rPr>
          <w:t>Power to forfeit particular things or samples</w:t>
        </w:r>
        <w:r>
          <w:tab/>
        </w:r>
        <w:r>
          <w:fldChar w:fldCharType="begin"/>
        </w:r>
        <w:r>
          <w:instrText xml:space="preserve"> PAGEREF _Toc83626016 \h </w:instrText>
        </w:r>
        <w:r>
          <w:fldChar w:fldCharType="separate"/>
        </w:r>
        <w:r w:rsidR="005C5D7F">
          <w:t>496</w:t>
        </w:r>
        <w:r>
          <w:fldChar w:fldCharType="end"/>
        </w:r>
      </w:hyperlink>
    </w:p>
    <w:p w14:paraId="33535C76" w14:textId="501BF1B3" w:rsidR="005E03F7" w:rsidRDefault="005E03F7">
      <w:pPr>
        <w:pStyle w:val="TOC5"/>
        <w:rPr>
          <w:rFonts w:asciiTheme="minorHAnsi" w:eastAsiaTheme="minorEastAsia" w:hAnsiTheme="minorHAnsi" w:cstheme="minorBidi"/>
          <w:sz w:val="22"/>
          <w:szCs w:val="22"/>
          <w:lang w:eastAsia="en-AU"/>
        </w:rPr>
      </w:pPr>
      <w:r>
        <w:tab/>
      </w:r>
      <w:hyperlink w:anchor="_Toc83626017" w:history="1">
        <w:r w:rsidRPr="00D90FEA">
          <w:t>562</w:t>
        </w:r>
        <w:r>
          <w:rPr>
            <w:rFonts w:asciiTheme="minorHAnsi" w:eastAsiaTheme="minorEastAsia" w:hAnsiTheme="minorHAnsi" w:cstheme="minorBidi"/>
            <w:sz w:val="22"/>
            <w:szCs w:val="22"/>
            <w:lang w:eastAsia="en-AU"/>
          </w:rPr>
          <w:tab/>
        </w:r>
        <w:r w:rsidRPr="00D90FEA">
          <w:rPr>
            <w:rFonts w:ascii="Helvetica" w:hAnsi="Helvetica" w:cs="Helvetica"/>
            <w:iCs/>
          </w:rPr>
          <w:t>Information notice for forfeiture decision</w:t>
        </w:r>
        <w:r>
          <w:tab/>
        </w:r>
        <w:r>
          <w:fldChar w:fldCharType="begin"/>
        </w:r>
        <w:r>
          <w:instrText xml:space="preserve"> PAGEREF _Toc83626017 \h </w:instrText>
        </w:r>
        <w:r>
          <w:fldChar w:fldCharType="separate"/>
        </w:r>
        <w:r w:rsidR="005C5D7F">
          <w:t>497</w:t>
        </w:r>
        <w:r>
          <w:fldChar w:fldCharType="end"/>
        </w:r>
      </w:hyperlink>
    </w:p>
    <w:p w14:paraId="200ED756" w14:textId="032A89BF" w:rsidR="005E03F7" w:rsidRDefault="005E03F7">
      <w:pPr>
        <w:pStyle w:val="TOC5"/>
        <w:rPr>
          <w:rFonts w:asciiTheme="minorHAnsi" w:eastAsiaTheme="minorEastAsia" w:hAnsiTheme="minorHAnsi" w:cstheme="minorBidi"/>
          <w:sz w:val="22"/>
          <w:szCs w:val="22"/>
          <w:lang w:eastAsia="en-AU"/>
        </w:rPr>
      </w:pPr>
      <w:r>
        <w:tab/>
      </w:r>
      <w:hyperlink w:anchor="_Toc83626018" w:history="1">
        <w:r w:rsidRPr="00D90FEA">
          <w:t>563</w:t>
        </w:r>
        <w:r>
          <w:rPr>
            <w:rFonts w:asciiTheme="minorHAnsi" w:eastAsiaTheme="minorEastAsia" w:hAnsiTheme="minorHAnsi" w:cstheme="minorBidi"/>
            <w:sz w:val="22"/>
            <w:szCs w:val="22"/>
            <w:lang w:eastAsia="en-AU"/>
          </w:rPr>
          <w:tab/>
        </w:r>
        <w:r w:rsidRPr="00D90FEA">
          <w:rPr>
            <w:rFonts w:ascii="Helvetica" w:hAnsi="Helvetica" w:cs="Helvetica"/>
            <w:iCs/>
          </w:rPr>
          <w:t>Forfeited or transferred thing or sample becomes property of the Regulator</w:t>
        </w:r>
        <w:r>
          <w:tab/>
        </w:r>
        <w:r>
          <w:fldChar w:fldCharType="begin"/>
        </w:r>
        <w:r>
          <w:instrText xml:space="preserve"> PAGEREF _Toc83626018 \h </w:instrText>
        </w:r>
        <w:r>
          <w:fldChar w:fldCharType="separate"/>
        </w:r>
        <w:r w:rsidR="005C5D7F">
          <w:t>498</w:t>
        </w:r>
        <w:r>
          <w:fldChar w:fldCharType="end"/>
        </w:r>
      </w:hyperlink>
    </w:p>
    <w:p w14:paraId="7467C81E" w14:textId="5E11B228" w:rsidR="005E03F7" w:rsidRDefault="005E03F7">
      <w:pPr>
        <w:pStyle w:val="TOC5"/>
        <w:rPr>
          <w:rFonts w:asciiTheme="minorHAnsi" w:eastAsiaTheme="minorEastAsia" w:hAnsiTheme="minorHAnsi" w:cstheme="minorBidi"/>
          <w:sz w:val="22"/>
          <w:szCs w:val="22"/>
          <w:lang w:eastAsia="en-AU"/>
        </w:rPr>
      </w:pPr>
      <w:r>
        <w:tab/>
      </w:r>
      <w:hyperlink w:anchor="_Toc83626019" w:history="1">
        <w:r w:rsidRPr="00D90FEA">
          <w:t>564</w:t>
        </w:r>
        <w:r>
          <w:rPr>
            <w:rFonts w:asciiTheme="minorHAnsi" w:eastAsiaTheme="minorEastAsia" w:hAnsiTheme="minorHAnsi" w:cstheme="minorBidi"/>
            <w:sz w:val="22"/>
            <w:szCs w:val="22"/>
            <w:lang w:eastAsia="en-AU"/>
          </w:rPr>
          <w:tab/>
        </w:r>
        <w:r w:rsidRPr="00D90FEA">
          <w:rPr>
            <w:rFonts w:ascii="Helvetica" w:hAnsi="Helvetica" w:cs="Helvetica"/>
            <w:iCs/>
          </w:rPr>
          <w:t>How property may be dealt with</w:t>
        </w:r>
        <w:r>
          <w:tab/>
        </w:r>
        <w:r>
          <w:fldChar w:fldCharType="begin"/>
        </w:r>
        <w:r>
          <w:instrText xml:space="preserve"> PAGEREF _Toc83626019 \h </w:instrText>
        </w:r>
        <w:r>
          <w:fldChar w:fldCharType="separate"/>
        </w:r>
        <w:r w:rsidR="005C5D7F">
          <w:t>498</w:t>
        </w:r>
        <w:r>
          <w:fldChar w:fldCharType="end"/>
        </w:r>
      </w:hyperlink>
    </w:p>
    <w:p w14:paraId="4C752AD9" w14:textId="1CBC3E7C" w:rsidR="005E03F7" w:rsidRDefault="005E03F7">
      <w:pPr>
        <w:pStyle w:val="TOC5"/>
        <w:rPr>
          <w:rFonts w:asciiTheme="minorHAnsi" w:eastAsiaTheme="minorEastAsia" w:hAnsiTheme="minorHAnsi" w:cstheme="minorBidi"/>
          <w:sz w:val="22"/>
          <w:szCs w:val="22"/>
          <w:lang w:eastAsia="en-AU"/>
        </w:rPr>
      </w:pPr>
      <w:r>
        <w:tab/>
      </w:r>
      <w:hyperlink w:anchor="_Toc83626020" w:history="1">
        <w:r w:rsidRPr="00D90FEA">
          <w:t>565</w:t>
        </w:r>
        <w:r>
          <w:rPr>
            <w:rFonts w:asciiTheme="minorHAnsi" w:eastAsiaTheme="minorEastAsia" w:hAnsiTheme="minorHAnsi" w:cstheme="minorBidi"/>
            <w:sz w:val="22"/>
            <w:szCs w:val="22"/>
            <w:lang w:eastAsia="en-AU"/>
          </w:rPr>
          <w:tab/>
        </w:r>
        <w:r w:rsidRPr="00D90FEA">
          <w:rPr>
            <w:rFonts w:ascii="Helvetica" w:hAnsi="Helvetica" w:cs="Helvetica"/>
            <w:iCs/>
          </w:rPr>
          <w:t>Third party protection</w:t>
        </w:r>
        <w:r>
          <w:tab/>
        </w:r>
        <w:r>
          <w:fldChar w:fldCharType="begin"/>
        </w:r>
        <w:r>
          <w:instrText xml:space="preserve"> PAGEREF _Toc83626020 \h </w:instrText>
        </w:r>
        <w:r>
          <w:fldChar w:fldCharType="separate"/>
        </w:r>
        <w:r w:rsidR="005C5D7F">
          <w:t>499</w:t>
        </w:r>
        <w:r>
          <w:fldChar w:fldCharType="end"/>
        </w:r>
      </w:hyperlink>
    </w:p>
    <w:p w14:paraId="45F99BBA" w14:textId="0056530F" w:rsidR="005E03F7" w:rsidRDefault="005E03F7">
      <w:pPr>
        <w:pStyle w:val="TOC5"/>
        <w:rPr>
          <w:rFonts w:asciiTheme="minorHAnsi" w:eastAsiaTheme="minorEastAsia" w:hAnsiTheme="minorHAnsi" w:cstheme="minorBidi"/>
          <w:sz w:val="22"/>
          <w:szCs w:val="22"/>
          <w:lang w:eastAsia="en-AU"/>
        </w:rPr>
      </w:pPr>
      <w:r>
        <w:tab/>
      </w:r>
      <w:hyperlink w:anchor="_Toc83626021" w:history="1">
        <w:r w:rsidRPr="00D90FEA">
          <w:t>566</w:t>
        </w:r>
        <w:r>
          <w:rPr>
            <w:rFonts w:asciiTheme="minorHAnsi" w:eastAsiaTheme="minorEastAsia" w:hAnsiTheme="minorHAnsi" w:cstheme="minorBidi"/>
            <w:sz w:val="22"/>
            <w:szCs w:val="22"/>
            <w:lang w:eastAsia="en-AU"/>
          </w:rPr>
          <w:tab/>
        </w:r>
        <w:r w:rsidRPr="00D90FEA">
          <w:rPr>
            <w:rFonts w:ascii="Helvetica" w:hAnsi="Helvetica" w:cs="Helvetica"/>
            <w:iCs/>
          </w:rPr>
          <w:t>National regulations</w:t>
        </w:r>
        <w:r>
          <w:tab/>
        </w:r>
        <w:r>
          <w:fldChar w:fldCharType="begin"/>
        </w:r>
        <w:r>
          <w:instrText xml:space="preserve"> PAGEREF _Toc83626021 \h </w:instrText>
        </w:r>
        <w:r>
          <w:fldChar w:fldCharType="separate"/>
        </w:r>
        <w:r w:rsidR="005C5D7F">
          <w:t>501</w:t>
        </w:r>
        <w:r>
          <w:fldChar w:fldCharType="end"/>
        </w:r>
      </w:hyperlink>
    </w:p>
    <w:p w14:paraId="13D800B2" w14:textId="35B2A602" w:rsidR="005E03F7" w:rsidRDefault="00856BEE">
      <w:pPr>
        <w:pStyle w:val="TOC3"/>
        <w:rPr>
          <w:rFonts w:asciiTheme="minorHAnsi" w:eastAsiaTheme="minorEastAsia" w:hAnsiTheme="minorHAnsi" w:cstheme="minorBidi"/>
          <w:b w:val="0"/>
          <w:sz w:val="22"/>
          <w:szCs w:val="22"/>
          <w:lang w:eastAsia="en-AU"/>
        </w:rPr>
      </w:pPr>
      <w:hyperlink w:anchor="_Toc83626022" w:history="1">
        <w:r w:rsidR="005E03F7" w:rsidRPr="00D90FEA">
          <w:t xml:space="preserve">Division 4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Information-gathering powers</w:t>
        </w:r>
        <w:r w:rsidR="005E03F7" w:rsidRPr="005E03F7">
          <w:rPr>
            <w:vanish/>
          </w:rPr>
          <w:tab/>
        </w:r>
        <w:r w:rsidR="005E03F7" w:rsidRPr="005E03F7">
          <w:rPr>
            <w:vanish/>
          </w:rPr>
          <w:fldChar w:fldCharType="begin"/>
        </w:r>
        <w:r w:rsidR="005E03F7" w:rsidRPr="005E03F7">
          <w:rPr>
            <w:vanish/>
          </w:rPr>
          <w:instrText xml:space="preserve"> PAGEREF _Toc83626022 \h </w:instrText>
        </w:r>
        <w:r w:rsidR="005E03F7" w:rsidRPr="005E03F7">
          <w:rPr>
            <w:vanish/>
          </w:rPr>
        </w:r>
        <w:r w:rsidR="005E03F7" w:rsidRPr="005E03F7">
          <w:rPr>
            <w:vanish/>
          </w:rPr>
          <w:fldChar w:fldCharType="separate"/>
        </w:r>
        <w:r w:rsidR="005C5D7F">
          <w:rPr>
            <w:vanish/>
          </w:rPr>
          <w:t>501</w:t>
        </w:r>
        <w:r w:rsidR="005E03F7" w:rsidRPr="005E03F7">
          <w:rPr>
            <w:vanish/>
          </w:rPr>
          <w:fldChar w:fldCharType="end"/>
        </w:r>
      </w:hyperlink>
    </w:p>
    <w:p w14:paraId="609F6323" w14:textId="22EA7E5B" w:rsidR="005E03F7" w:rsidRDefault="005E03F7">
      <w:pPr>
        <w:pStyle w:val="TOC5"/>
        <w:rPr>
          <w:rFonts w:asciiTheme="minorHAnsi" w:eastAsiaTheme="minorEastAsia" w:hAnsiTheme="minorHAnsi" w:cstheme="minorBidi"/>
          <w:sz w:val="22"/>
          <w:szCs w:val="22"/>
          <w:lang w:eastAsia="en-AU"/>
        </w:rPr>
      </w:pPr>
      <w:r>
        <w:tab/>
      </w:r>
      <w:hyperlink w:anchor="_Toc83626023" w:history="1">
        <w:r w:rsidRPr="00D90FEA">
          <w:t>567</w:t>
        </w:r>
        <w:r>
          <w:rPr>
            <w:rFonts w:asciiTheme="minorHAnsi" w:eastAsiaTheme="minorEastAsia" w:hAnsiTheme="minorHAnsi" w:cstheme="minorBidi"/>
            <w:sz w:val="22"/>
            <w:szCs w:val="22"/>
            <w:lang w:eastAsia="en-AU"/>
          </w:rPr>
          <w:tab/>
        </w:r>
        <w:r w:rsidRPr="00D90FEA">
          <w:rPr>
            <w:rFonts w:ascii="Helvetica" w:hAnsi="Helvetica" w:cs="Helvetica"/>
            <w:iCs/>
          </w:rPr>
          <w:t>Power to require name, address and date of birth</w:t>
        </w:r>
        <w:r>
          <w:tab/>
        </w:r>
        <w:r>
          <w:fldChar w:fldCharType="begin"/>
        </w:r>
        <w:r>
          <w:instrText xml:space="preserve"> PAGEREF _Toc83626023 \h </w:instrText>
        </w:r>
        <w:r>
          <w:fldChar w:fldCharType="separate"/>
        </w:r>
        <w:r w:rsidR="005C5D7F">
          <w:t>501</w:t>
        </w:r>
        <w:r>
          <w:fldChar w:fldCharType="end"/>
        </w:r>
      </w:hyperlink>
    </w:p>
    <w:p w14:paraId="5DAB1193" w14:textId="7977113E" w:rsidR="005E03F7" w:rsidRDefault="005E03F7">
      <w:pPr>
        <w:pStyle w:val="TOC5"/>
        <w:rPr>
          <w:rFonts w:asciiTheme="minorHAnsi" w:eastAsiaTheme="minorEastAsia" w:hAnsiTheme="minorHAnsi" w:cstheme="minorBidi"/>
          <w:sz w:val="22"/>
          <w:szCs w:val="22"/>
          <w:lang w:eastAsia="en-AU"/>
        </w:rPr>
      </w:pPr>
      <w:r>
        <w:tab/>
      </w:r>
      <w:hyperlink w:anchor="_Toc83626024" w:history="1">
        <w:r w:rsidRPr="00D90FEA">
          <w:t>567A</w:t>
        </w:r>
        <w:r>
          <w:rPr>
            <w:rFonts w:asciiTheme="minorHAnsi" w:eastAsiaTheme="minorEastAsia" w:hAnsiTheme="minorHAnsi" w:cstheme="minorBidi"/>
            <w:sz w:val="22"/>
            <w:szCs w:val="22"/>
            <w:lang w:eastAsia="en-AU"/>
          </w:rPr>
          <w:tab/>
        </w:r>
        <w:r w:rsidRPr="00D90FEA">
          <w:rPr>
            <w:lang w:eastAsia="en-AU"/>
          </w:rPr>
          <w:t>Power to require production of driver licence</w:t>
        </w:r>
        <w:r>
          <w:tab/>
        </w:r>
        <w:r>
          <w:fldChar w:fldCharType="begin"/>
        </w:r>
        <w:r>
          <w:instrText xml:space="preserve"> PAGEREF _Toc83626024 \h </w:instrText>
        </w:r>
        <w:r>
          <w:fldChar w:fldCharType="separate"/>
        </w:r>
        <w:r w:rsidR="005C5D7F">
          <w:t>503</w:t>
        </w:r>
        <w:r>
          <w:fldChar w:fldCharType="end"/>
        </w:r>
      </w:hyperlink>
    </w:p>
    <w:p w14:paraId="06CE28C5" w14:textId="34C8E9B7" w:rsidR="005E03F7" w:rsidRDefault="005E03F7">
      <w:pPr>
        <w:pStyle w:val="TOC5"/>
        <w:rPr>
          <w:rFonts w:asciiTheme="minorHAnsi" w:eastAsiaTheme="minorEastAsia" w:hAnsiTheme="minorHAnsi" w:cstheme="minorBidi"/>
          <w:sz w:val="22"/>
          <w:szCs w:val="22"/>
          <w:lang w:eastAsia="en-AU"/>
        </w:rPr>
      </w:pPr>
      <w:r>
        <w:tab/>
      </w:r>
      <w:hyperlink w:anchor="_Toc83626025" w:history="1">
        <w:r w:rsidRPr="00D90FEA">
          <w:t>567B</w:t>
        </w:r>
        <w:r>
          <w:rPr>
            <w:rFonts w:asciiTheme="minorHAnsi" w:eastAsiaTheme="minorEastAsia" w:hAnsiTheme="minorHAnsi" w:cstheme="minorBidi"/>
            <w:sz w:val="22"/>
            <w:szCs w:val="22"/>
            <w:lang w:eastAsia="en-AU"/>
          </w:rPr>
          <w:tab/>
        </w:r>
        <w:r w:rsidRPr="00D90FEA">
          <w:t>Power to require people to disclose identity of driver</w:t>
        </w:r>
        <w:r>
          <w:tab/>
        </w:r>
        <w:r>
          <w:fldChar w:fldCharType="begin"/>
        </w:r>
        <w:r>
          <w:instrText xml:space="preserve"> PAGEREF _Toc83626025 \h </w:instrText>
        </w:r>
        <w:r>
          <w:fldChar w:fldCharType="separate"/>
        </w:r>
        <w:r w:rsidR="005C5D7F">
          <w:t>504</w:t>
        </w:r>
        <w:r>
          <w:fldChar w:fldCharType="end"/>
        </w:r>
      </w:hyperlink>
    </w:p>
    <w:p w14:paraId="2DFEC46A" w14:textId="68DA5EE9" w:rsidR="005E03F7" w:rsidRDefault="005E03F7">
      <w:pPr>
        <w:pStyle w:val="TOC5"/>
        <w:rPr>
          <w:rFonts w:asciiTheme="minorHAnsi" w:eastAsiaTheme="minorEastAsia" w:hAnsiTheme="minorHAnsi" w:cstheme="minorBidi"/>
          <w:sz w:val="22"/>
          <w:szCs w:val="22"/>
          <w:lang w:eastAsia="en-AU"/>
        </w:rPr>
      </w:pPr>
      <w:r>
        <w:tab/>
      </w:r>
      <w:hyperlink w:anchor="_Toc83626026" w:history="1">
        <w:r w:rsidRPr="00D90FEA">
          <w:t>568</w:t>
        </w:r>
        <w:r>
          <w:rPr>
            <w:rFonts w:asciiTheme="minorHAnsi" w:eastAsiaTheme="minorEastAsia" w:hAnsiTheme="minorHAnsi" w:cstheme="minorBidi"/>
            <w:sz w:val="22"/>
            <w:szCs w:val="22"/>
            <w:lang w:eastAsia="en-AU"/>
          </w:rPr>
          <w:tab/>
        </w:r>
        <w:r w:rsidRPr="00D90FEA">
          <w:rPr>
            <w:rFonts w:ascii="Helvetica" w:hAnsi="Helvetica" w:cs="Helvetica"/>
            <w:iCs/>
          </w:rPr>
          <w:t>Power to require production of document etc. required to be in driver’s possession</w:t>
        </w:r>
        <w:r>
          <w:tab/>
        </w:r>
        <w:r>
          <w:fldChar w:fldCharType="begin"/>
        </w:r>
        <w:r>
          <w:instrText xml:space="preserve"> PAGEREF _Toc83626026 \h </w:instrText>
        </w:r>
        <w:r>
          <w:fldChar w:fldCharType="separate"/>
        </w:r>
        <w:r w:rsidR="005C5D7F">
          <w:t>505</w:t>
        </w:r>
        <w:r>
          <w:fldChar w:fldCharType="end"/>
        </w:r>
      </w:hyperlink>
    </w:p>
    <w:p w14:paraId="21C1EEDA" w14:textId="728E767A" w:rsidR="005E03F7" w:rsidRDefault="005E03F7">
      <w:pPr>
        <w:pStyle w:val="TOC5"/>
        <w:rPr>
          <w:rFonts w:asciiTheme="minorHAnsi" w:eastAsiaTheme="minorEastAsia" w:hAnsiTheme="minorHAnsi" w:cstheme="minorBidi"/>
          <w:sz w:val="22"/>
          <w:szCs w:val="22"/>
          <w:lang w:eastAsia="en-AU"/>
        </w:rPr>
      </w:pPr>
      <w:r>
        <w:tab/>
      </w:r>
      <w:hyperlink w:anchor="_Toc83626027" w:history="1">
        <w:r w:rsidRPr="00D90FEA">
          <w:t>569</w:t>
        </w:r>
        <w:r>
          <w:rPr>
            <w:rFonts w:asciiTheme="minorHAnsi" w:eastAsiaTheme="minorEastAsia" w:hAnsiTheme="minorHAnsi" w:cstheme="minorBidi"/>
            <w:sz w:val="22"/>
            <w:szCs w:val="22"/>
            <w:lang w:eastAsia="en-AU"/>
          </w:rPr>
          <w:tab/>
        </w:r>
        <w:r w:rsidRPr="00D90FEA">
          <w:rPr>
            <w:rFonts w:ascii="Helvetica" w:hAnsi="Helvetica" w:cs="Helvetica"/>
            <w:iCs/>
          </w:rPr>
          <w:t>Power to require production of documents etc. generally</w:t>
        </w:r>
        <w:r>
          <w:tab/>
        </w:r>
        <w:r>
          <w:fldChar w:fldCharType="begin"/>
        </w:r>
        <w:r>
          <w:instrText xml:space="preserve"> PAGEREF _Toc83626027 \h </w:instrText>
        </w:r>
        <w:r>
          <w:fldChar w:fldCharType="separate"/>
        </w:r>
        <w:r w:rsidR="005C5D7F">
          <w:t>508</w:t>
        </w:r>
        <w:r>
          <w:fldChar w:fldCharType="end"/>
        </w:r>
      </w:hyperlink>
    </w:p>
    <w:p w14:paraId="27F4DA98" w14:textId="1F7D7015" w:rsidR="005E03F7" w:rsidRDefault="005E03F7">
      <w:pPr>
        <w:pStyle w:val="TOC5"/>
        <w:rPr>
          <w:rFonts w:asciiTheme="minorHAnsi" w:eastAsiaTheme="minorEastAsia" w:hAnsiTheme="minorHAnsi" w:cstheme="minorBidi"/>
          <w:sz w:val="22"/>
          <w:szCs w:val="22"/>
          <w:lang w:eastAsia="en-AU"/>
        </w:rPr>
      </w:pPr>
      <w:r>
        <w:tab/>
      </w:r>
      <w:hyperlink w:anchor="_Toc83626028" w:history="1">
        <w:r w:rsidRPr="00D90FEA">
          <w:t>570</w:t>
        </w:r>
        <w:r>
          <w:rPr>
            <w:rFonts w:asciiTheme="minorHAnsi" w:eastAsiaTheme="minorEastAsia" w:hAnsiTheme="minorHAnsi" w:cstheme="minorBidi"/>
            <w:sz w:val="22"/>
            <w:szCs w:val="22"/>
            <w:lang w:eastAsia="en-AU"/>
          </w:rPr>
          <w:tab/>
        </w:r>
        <w:r w:rsidRPr="00D90FEA">
          <w:rPr>
            <w:rFonts w:ascii="Helvetica" w:hAnsi="Helvetica" w:cs="Helvetica"/>
            <w:iCs/>
          </w:rPr>
          <w:t>Power to require information about heavy vehicles</w:t>
        </w:r>
        <w:r>
          <w:tab/>
        </w:r>
        <w:r>
          <w:fldChar w:fldCharType="begin"/>
        </w:r>
        <w:r>
          <w:instrText xml:space="preserve"> PAGEREF _Toc83626028 \h </w:instrText>
        </w:r>
        <w:r>
          <w:fldChar w:fldCharType="separate"/>
        </w:r>
        <w:r w:rsidR="005C5D7F">
          <w:t>511</w:t>
        </w:r>
        <w:r>
          <w:fldChar w:fldCharType="end"/>
        </w:r>
      </w:hyperlink>
    </w:p>
    <w:p w14:paraId="7772B1F0" w14:textId="31B43BAB" w:rsidR="005E03F7" w:rsidRDefault="005E03F7">
      <w:pPr>
        <w:pStyle w:val="TOC5"/>
        <w:rPr>
          <w:rFonts w:asciiTheme="minorHAnsi" w:eastAsiaTheme="minorEastAsia" w:hAnsiTheme="minorHAnsi" w:cstheme="minorBidi"/>
          <w:sz w:val="22"/>
          <w:szCs w:val="22"/>
          <w:lang w:eastAsia="en-AU"/>
        </w:rPr>
      </w:pPr>
      <w:r>
        <w:tab/>
      </w:r>
      <w:hyperlink w:anchor="_Toc83626029" w:history="1">
        <w:r w:rsidRPr="00D90FEA">
          <w:t>570A</w:t>
        </w:r>
        <w:r>
          <w:rPr>
            <w:rFonts w:asciiTheme="minorHAnsi" w:eastAsiaTheme="minorEastAsia" w:hAnsiTheme="minorHAnsi" w:cstheme="minorBidi"/>
            <w:sz w:val="22"/>
            <w:szCs w:val="22"/>
            <w:lang w:eastAsia="en-AU"/>
          </w:rPr>
          <w:tab/>
        </w:r>
        <w:r w:rsidRPr="00D90FEA">
          <w:rPr>
            <w:lang w:val="en" w:eastAsia="en-AU"/>
          </w:rPr>
          <w:t>Requiring information</w:t>
        </w:r>
        <w:r>
          <w:tab/>
        </w:r>
        <w:r>
          <w:fldChar w:fldCharType="begin"/>
        </w:r>
        <w:r>
          <w:instrText xml:space="preserve"> PAGEREF _Toc83626029 \h </w:instrText>
        </w:r>
        <w:r>
          <w:fldChar w:fldCharType="separate"/>
        </w:r>
        <w:r w:rsidR="005C5D7F">
          <w:t>514</w:t>
        </w:r>
        <w:r>
          <w:fldChar w:fldCharType="end"/>
        </w:r>
      </w:hyperlink>
    </w:p>
    <w:p w14:paraId="06213149" w14:textId="60DB76F1" w:rsidR="005E03F7" w:rsidRDefault="00856BEE">
      <w:pPr>
        <w:pStyle w:val="TOC3"/>
        <w:rPr>
          <w:rFonts w:asciiTheme="minorHAnsi" w:eastAsiaTheme="minorEastAsia" w:hAnsiTheme="minorHAnsi" w:cstheme="minorBidi"/>
          <w:b w:val="0"/>
          <w:sz w:val="22"/>
          <w:szCs w:val="22"/>
          <w:lang w:eastAsia="en-AU"/>
        </w:rPr>
      </w:pPr>
      <w:hyperlink w:anchor="_Toc83626030" w:history="1">
        <w:r w:rsidR="005E03F7" w:rsidRPr="00D90FEA">
          <w:t xml:space="preserve">Division 5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Improvement notices</w:t>
        </w:r>
        <w:r w:rsidR="005E03F7" w:rsidRPr="005E03F7">
          <w:rPr>
            <w:vanish/>
          </w:rPr>
          <w:tab/>
        </w:r>
        <w:r w:rsidR="005E03F7" w:rsidRPr="005E03F7">
          <w:rPr>
            <w:vanish/>
          </w:rPr>
          <w:fldChar w:fldCharType="begin"/>
        </w:r>
        <w:r w:rsidR="005E03F7" w:rsidRPr="005E03F7">
          <w:rPr>
            <w:vanish/>
          </w:rPr>
          <w:instrText xml:space="preserve"> PAGEREF _Toc83626030 \h </w:instrText>
        </w:r>
        <w:r w:rsidR="005E03F7" w:rsidRPr="005E03F7">
          <w:rPr>
            <w:vanish/>
          </w:rPr>
        </w:r>
        <w:r w:rsidR="005E03F7" w:rsidRPr="005E03F7">
          <w:rPr>
            <w:vanish/>
          </w:rPr>
          <w:fldChar w:fldCharType="separate"/>
        </w:r>
        <w:r w:rsidR="005C5D7F">
          <w:rPr>
            <w:vanish/>
          </w:rPr>
          <w:t>517</w:t>
        </w:r>
        <w:r w:rsidR="005E03F7" w:rsidRPr="005E03F7">
          <w:rPr>
            <w:vanish/>
          </w:rPr>
          <w:fldChar w:fldCharType="end"/>
        </w:r>
      </w:hyperlink>
    </w:p>
    <w:p w14:paraId="426C82FA" w14:textId="544F85F5" w:rsidR="005E03F7" w:rsidRDefault="005E03F7">
      <w:pPr>
        <w:pStyle w:val="TOC5"/>
        <w:rPr>
          <w:rFonts w:asciiTheme="minorHAnsi" w:eastAsiaTheme="minorEastAsia" w:hAnsiTheme="minorHAnsi" w:cstheme="minorBidi"/>
          <w:sz w:val="22"/>
          <w:szCs w:val="22"/>
          <w:lang w:eastAsia="en-AU"/>
        </w:rPr>
      </w:pPr>
      <w:r>
        <w:tab/>
      </w:r>
      <w:hyperlink w:anchor="_Toc83626031" w:history="1">
        <w:r w:rsidRPr="00D90FEA">
          <w:t>571</w:t>
        </w:r>
        <w:r>
          <w:rPr>
            <w:rFonts w:asciiTheme="minorHAnsi" w:eastAsiaTheme="minorEastAsia" w:hAnsiTheme="minorHAnsi" w:cstheme="minorBidi"/>
            <w:sz w:val="22"/>
            <w:szCs w:val="22"/>
            <w:lang w:eastAsia="en-AU"/>
          </w:rPr>
          <w:tab/>
        </w:r>
        <w:r w:rsidRPr="00D90FEA">
          <w:rPr>
            <w:rFonts w:ascii="Helvetica" w:hAnsi="Helvetica" w:cs="Helvetica"/>
            <w:iCs/>
          </w:rPr>
          <w:t>Authorised officers to whom Division applies</w:t>
        </w:r>
        <w:r>
          <w:tab/>
        </w:r>
        <w:r>
          <w:fldChar w:fldCharType="begin"/>
        </w:r>
        <w:r>
          <w:instrText xml:space="preserve"> PAGEREF _Toc83626031 \h </w:instrText>
        </w:r>
        <w:r>
          <w:fldChar w:fldCharType="separate"/>
        </w:r>
        <w:r w:rsidR="005C5D7F">
          <w:t>517</w:t>
        </w:r>
        <w:r>
          <w:fldChar w:fldCharType="end"/>
        </w:r>
      </w:hyperlink>
    </w:p>
    <w:p w14:paraId="57E99945" w14:textId="715F723B" w:rsidR="005E03F7" w:rsidRDefault="005E03F7">
      <w:pPr>
        <w:pStyle w:val="TOC5"/>
        <w:rPr>
          <w:rFonts w:asciiTheme="minorHAnsi" w:eastAsiaTheme="minorEastAsia" w:hAnsiTheme="minorHAnsi" w:cstheme="minorBidi"/>
          <w:sz w:val="22"/>
          <w:szCs w:val="22"/>
          <w:lang w:eastAsia="en-AU"/>
        </w:rPr>
      </w:pPr>
      <w:r>
        <w:tab/>
      </w:r>
      <w:hyperlink w:anchor="_Toc83626032" w:history="1">
        <w:r w:rsidRPr="00D90FEA">
          <w:t>572</w:t>
        </w:r>
        <w:r>
          <w:rPr>
            <w:rFonts w:asciiTheme="minorHAnsi" w:eastAsiaTheme="minorEastAsia" w:hAnsiTheme="minorHAnsi" w:cstheme="minorBidi"/>
            <w:sz w:val="22"/>
            <w:szCs w:val="22"/>
            <w:lang w:eastAsia="en-AU"/>
          </w:rPr>
          <w:tab/>
        </w:r>
        <w:r w:rsidRPr="00D90FEA">
          <w:rPr>
            <w:rFonts w:ascii="Helvetica" w:hAnsi="Helvetica" w:cs="Helvetica"/>
            <w:iCs/>
          </w:rPr>
          <w:t>Improvement notices</w:t>
        </w:r>
        <w:r>
          <w:tab/>
        </w:r>
        <w:r>
          <w:fldChar w:fldCharType="begin"/>
        </w:r>
        <w:r>
          <w:instrText xml:space="preserve"> PAGEREF _Toc83626032 \h </w:instrText>
        </w:r>
        <w:r>
          <w:fldChar w:fldCharType="separate"/>
        </w:r>
        <w:r w:rsidR="005C5D7F">
          <w:t>517</w:t>
        </w:r>
        <w:r>
          <w:fldChar w:fldCharType="end"/>
        </w:r>
      </w:hyperlink>
    </w:p>
    <w:p w14:paraId="37A9CDD9" w14:textId="0E05895C" w:rsidR="005E03F7" w:rsidRDefault="005E03F7">
      <w:pPr>
        <w:pStyle w:val="TOC5"/>
        <w:rPr>
          <w:rFonts w:asciiTheme="minorHAnsi" w:eastAsiaTheme="minorEastAsia" w:hAnsiTheme="minorHAnsi" w:cstheme="minorBidi"/>
          <w:sz w:val="22"/>
          <w:szCs w:val="22"/>
          <w:lang w:eastAsia="en-AU"/>
        </w:rPr>
      </w:pPr>
      <w:r>
        <w:lastRenderedPageBreak/>
        <w:tab/>
      </w:r>
      <w:hyperlink w:anchor="_Toc83626033" w:history="1">
        <w:r w:rsidRPr="00D90FEA">
          <w:t>573</w:t>
        </w:r>
        <w:r>
          <w:rPr>
            <w:rFonts w:asciiTheme="minorHAnsi" w:eastAsiaTheme="minorEastAsia" w:hAnsiTheme="minorHAnsi" w:cstheme="minorBidi"/>
            <w:sz w:val="22"/>
            <w:szCs w:val="22"/>
            <w:lang w:eastAsia="en-AU"/>
          </w:rPr>
          <w:tab/>
        </w:r>
        <w:r w:rsidRPr="00D90FEA">
          <w:rPr>
            <w:rFonts w:ascii="Helvetica" w:hAnsi="Helvetica" w:cs="Helvetica"/>
            <w:iCs/>
          </w:rPr>
          <w:t>Contravention of improvement notice</w:t>
        </w:r>
        <w:r>
          <w:tab/>
        </w:r>
        <w:r>
          <w:fldChar w:fldCharType="begin"/>
        </w:r>
        <w:r>
          <w:instrText xml:space="preserve"> PAGEREF _Toc83626033 \h </w:instrText>
        </w:r>
        <w:r>
          <w:fldChar w:fldCharType="separate"/>
        </w:r>
        <w:r w:rsidR="005C5D7F">
          <w:t>518</w:t>
        </w:r>
        <w:r>
          <w:fldChar w:fldCharType="end"/>
        </w:r>
      </w:hyperlink>
    </w:p>
    <w:p w14:paraId="084AD940" w14:textId="26807212" w:rsidR="005E03F7" w:rsidRDefault="005E03F7">
      <w:pPr>
        <w:pStyle w:val="TOC5"/>
        <w:rPr>
          <w:rFonts w:asciiTheme="minorHAnsi" w:eastAsiaTheme="minorEastAsia" w:hAnsiTheme="minorHAnsi" w:cstheme="minorBidi"/>
          <w:sz w:val="22"/>
          <w:szCs w:val="22"/>
          <w:lang w:eastAsia="en-AU"/>
        </w:rPr>
      </w:pPr>
      <w:r>
        <w:tab/>
      </w:r>
      <w:hyperlink w:anchor="_Toc83626034" w:history="1">
        <w:r w:rsidRPr="00D90FEA">
          <w:t>574</w:t>
        </w:r>
        <w:r>
          <w:rPr>
            <w:rFonts w:asciiTheme="minorHAnsi" w:eastAsiaTheme="minorEastAsia" w:hAnsiTheme="minorHAnsi" w:cstheme="minorBidi"/>
            <w:sz w:val="22"/>
            <w:szCs w:val="22"/>
            <w:lang w:eastAsia="en-AU"/>
          </w:rPr>
          <w:tab/>
        </w:r>
        <w:r w:rsidRPr="00D90FEA">
          <w:rPr>
            <w:rFonts w:ascii="Helvetica" w:hAnsi="Helvetica" w:cs="Helvetica"/>
            <w:iCs/>
          </w:rPr>
          <w:t>Amendment of improvement notice</w:t>
        </w:r>
        <w:r>
          <w:tab/>
        </w:r>
        <w:r>
          <w:fldChar w:fldCharType="begin"/>
        </w:r>
        <w:r>
          <w:instrText xml:space="preserve"> PAGEREF _Toc83626034 \h </w:instrText>
        </w:r>
        <w:r>
          <w:fldChar w:fldCharType="separate"/>
        </w:r>
        <w:r w:rsidR="005C5D7F">
          <w:t>519</w:t>
        </w:r>
        <w:r>
          <w:fldChar w:fldCharType="end"/>
        </w:r>
      </w:hyperlink>
    </w:p>
    <w:p w14:paraId="3A7D1071" w14:textId="689A3F05" w:rsidR="005E03F7" w:rsidRDefault="005E03F7">
      <w:pPr>
        <w:pStyle w:val="TOC5"/>
        <w:rPr>
          <w:rFonts w:asciiTheme="minorHAnsi" w:eastAsiaTheme="minorEastAsia" w:hAnsiTheme="minorHAnsi" w:cstheme="minorBidi"/>
          <w:sz w:val="22"/>
          <w:szCs w:val="22"/>
          <w:lang w:eastAsia="en-AU"/>
        </w:rPr>
      </w:pPr>
      <w:r>
        <w:tab/>
      </w:r>
      <w:hyperlink w:anchor="_Toc83626035" w:history="1">
        <w:r w:rsidRPr="00D90FEA">
          <w:t>575</w:t>
        </w:r>
        <w:r>
          <w:rPr>
            <w:rFonts w:asciiTheme="minorHAnsi" w:eastAsiaTheme="minorEastAsia" w:hAnsiTheme="minorHAnsi" w:cstheme="minorBidi"/>
            <w:sz w:val="22"/>
            <w:szCs w:val="22"/>
            <w:lang w:eastAsia="en-AU"/>
          </w:rPr>
          <w:tab/>
        </w:r>
        <w:r w:rsidRPr="00D90FEA">
          <w:rPr>
            <w:rFonts w:ascii="Helvetica" w:hAnsi="Helvetica" w:cs="Helvetica"/>
            <w:iCs/>
          </w:rPr>
          <w:t>Revocation of an improvement notice</w:t>
        </w:r>
        <w:r>
          <w:tab/>
        </w:r>
        <w:r>
          <w:fldChar w:fldCharType="begin"/>
        </w:r>
        <w:r>
          <w:instrText xml:space="preserve"> PAGEREF _Toc83626035 \h </w:instrText>
        </w:r>
        <w:r>
          <w:fldChar w:fldCharType="separate"/>
        </w:r>
        <w:r w:rsidR="005C5D7F">
          <w:t>520</w:t>
        </w:r>
        <w:r>
          <w:fldChar w:fldCharType="end"/>
        </w:r>
      </w:hyperlink>
    </w:p>
    <w:p w14:paraId="6AEC8E9F" w14:textId="3A1DA6BF" w:rsidR="005E03F7" w:rsidRDefault="005E03F7">
      <w:pPr>
        <w:pStyle w:val="TOC5"/>
        <w:rPr>
          <w:rFonts w:asciiTheme="minorHAnsi" w:eastAsiaTheme="minorEastAsia" w:hAnsiTheme="minorHAnsi" w:cstheme="minorBidi"/>
          <w:sz w:val="22"/>
          <w:szCs w:val="22"/>
          <w:lang w:eastAsia="en-AU"/>
        </w:rPr>
      </w:pPr>
      <w:r>
        <w:tab/>
      </w:r>
      <w:hyperlink w:anchor="_Toc83626036" w:history="1">
        <w:r w:rsidRPr="00D90FEA">
          <w:t>576</w:t>
        </w:r>
        <w:r>
          <w:rPr>
            <w:rFonts w:asciiTheme="minorHAnsi" w:eastAsiaTheme="minorEastAsia" w:hAnsiTheme="minorHAnsi" w:cstheme="minorBidi"/>
            <w:sz w:val="22"/>
            <w:szCs w:val="22"/>
            <w:lang w:eastAsia="en-AU"/>
          </w:rPr>
          <w:tab/>
        </w:r>
        <w:r w:rsidRPr="00D90FEA">
          <w:rPr>
            <w:rFonts w:ascii="Helvetica" w:hAnsi="Helvetica" w:cs="Helvetica"/>
            <w:iCs/>
          </w:rPr>
          <w:t>Clearance certificate</w:t>
        </w:r>
        <w:r>
          <w:tab/>
        </w:r>
        <w:r>
          <w:fldChar w:fldCharType="begin"/>
        </w:r>
        <w:r>
          <w:instrText xml:space="preserve"> PAGEREF _Toc83626036 \h </w:instrText>
        </w:r>
        <w:r>
          <w:fldChar w:fldCharType="separate"/>
        </w:r>
        <w:r w:rsidR="005C5D7F">
          <w:t>520</w:t>
        </w:r>
        <w:r>
          <w:fldChar w:fldCharType="end"/>
        </w:r>
      </w:hyperlink>
    </w:p>
    <w:p w14:paraId="10286639" w14:textId="76A10348" w:rsidR="005E03F7" w:rsidRDefault="00856BEE">
      <w:pPr>
        <w:pStyle w:val="TOC3"/>
        <w:rPr>
          <w:rFonts w:asciiTheme="minorHAnsi" w:eastAsiaTheme="minorEastAsia" w:hAnsiTheme="minorHAnsi" w:cstheme="minorBidi"/>
          <w:b w:val="0"/>
          <w:sz w:val="22"/>
          <w:szCs w:val="22"/>
          <w:lang w:eastAsia="en-AU"/>
        </w:rPr>
      </w:pPr>
      <w:hyperlink w:anchor="_Toc83626037" w:history="1">
        <w:r w:rsidR="005E03F7" w:rsidRPr="00D90FEA">
          <w:t>Division 5A</w:t>
        </w:r>
        <w:r w:rsidR="005E03F7">
          <w:rPr>
            <w:rFonts w:asciiTheme="minorHAnsi" w:eastAsiaTheme="minorEastAsia" w:hAnsiTheme="minorHAnsi" w:cstheme="minorBidi"/>
            <w:b w:val="0"/>
            <w:sz w:val="22"/>
            <w:szCs w:val="22"/>
            <w:lang w:eastAsia="en-AU"/>
          </w:rPr>
          <w:tab/>
        </w:r>
        <w:r w:rsidR="005E03F7" w:rsidRPr="00D90FEA">
          <w:rPr>
            <w:lang w:val="en" w:eastAsia="en-AU"/>
          </w:rPr>
          <w:t>Prohibition notices</w:t>
        </w:r>
        <w:r w:rsidR="005E03F7" w:rsidRPr="005E03F7">
          <w:rPr>
            <w:vanish/>
          </w:rPr>
          <w:tab/>
        </w:r>
        <w:r w:rsidR="005E03F7" w:rsidRPr="005E03F7">
          <w:rPr>
            <w:vanish/>
          </w:rPr>
          <w:fldChar w:fldCharType="begin"/>
        </w:r>
        <w:r w:rsidR="005E03F7" w:rsidRPr="005E03F7">
          <w:rPr>
            <w:vanish/>
          </w:rPr>
          <w:instrText xml:space="preserve"> PAGEREF _Toc83626037 \h </w:instrText>
        </w:r>
        <w:r w:rsidR="005E03F7" w:rsidRPr="005E03F7">
          <w:rPr>
            <w:vanish/>
          </w:rPr>
        </w:r>
        <w:r w:rsidR="005E03F7" w:rsidRPr="005E03F7">
          <w:rPr>
            <w:vanish/>
          </w:rPr>
          <w:fldChar w:fldCharType="separate"/>
        </w:r>
        <w:r w:rsidR="005C5D7F">
          <w:rPr>
            <w:vanish/>
          </w:rPr>
          <w:t>521</w:t>
        </w:r>
        <w:r w:rsidR="005E03F7" w:rsidRPr="005E03F7">
          <w:rPr>
            <w:vanish/>
          </w:rPr>
          <w:fldChar w:fldCharType="end"/>
        </w:r>
      </w:hyperlink>
    </w:p>
    <w:p w14:paraId="78E640F1" w14:textId="2A7F7633" w:rsidR="005E03F7" w:rsidRDefault="005E03F7">
      <w:pPr>
        <w:pStyle w:val="TOC5"/>
        <w:rPr>
          <w:rFonts w:asciiTheme="minorHAnsi" w:eastAsiaTheme="minorEastAsia" w:hAnsiTheme="minorHAnsi" w:cstheme="minorBidi"/>
          <w:sz w:val="22"/>
          <w:szCs w:val="22"/>
          <w:lang w:eastAsia="en-AU"/>
        </w:rPr>
      </w:pPr>
      <w:r>
        <w:tab/>
      </w:r>
      <w:hyperlink w:anchor="_Toc83626038" w:history="1">
        <w:r w:rsidRPr="00D90FEA">
          <w:t>576A</w:t>
        </w:r>
        <w:r>
          <w:rPr>
            <w:rFonts w:asciiTheme="minorHAnsi" w:eastAsiaTheme="minorEastAsia" w:hAnsiTheme="minorHAnsi" w:cstheme="minorBidi"/>
            <w:sz w:val="22"/>
            <w:szCs w:val="22"/>
            <w:lang w:eastAsia="en-AU"/>
          </w:rPr>
          <w:tab/>
        </w:r>
        <w:r w:rsidRPr="00D90FEA">
          <w:rPr>
            <w:lang w:val="en" w:eastAsia="en-AU"/>
          </w:rPr>
          <w:t>Power to issue prohibition notice</w:t>
        </w:r>
        <w:r>
          <w:tab/>
        </w:r>
        <w:r>
          <w:fldChar w:fldCharType="begin"/>
        </w:r>
        <w:r>
          <w:instrText xml:space="preserve"> PAGEREF _Toc83626038 \h </w:instrText>
        </w:r>
        <w:r>
          <w:fldChar w:fldCharType="separate"/>
        </w:r>
        <w:r w:rsidR="005C5D7F">
          <w:t>521</w:t>
        </w:r>
        <w:r>
          <w:fldChar w:fldCharType="end"/>
        </w:r>
      </w:hyperlink>
    </w:p>
    <w:p w14:paraId="34564C25" w14:textId="3E8378E2" w:rsidR="005E03F7" w:rsidRDefault="005E03F7">
      <w:pPr>
        <w:pStyle w:val="TOC5"/>
        <w:rPr>
          <w:rFonts w:asciiTheme="minorHAnsi" w:eastAsiaTheme="minorEastAsia" w:hAnsiTheme="minorHAnsi" w:cstheme="minorBidi"/>
          <w:sz w:val="22"/>
          <w:szCs w:val="22"/>
          <w:lang w:eastAsia="en-AU"/>
        </w:rPr>
      </w:pPr>
      <w:r>
        <w:tab/>
      </w:r>
      <w:hyperlink w:anchor="_Toc83626039" w:history="1">
        <w:r w:rsidRPr="00D90FEA">
          <w:t>576B</w:t>
        </w:r>
        <w:r>
          <w:rPr>
            <w:rFonts w:asciiTheme="minorHAnsi" w:eastAsiaTheme="minorEastAsia" w:hAnsiTheme="minorHAnsi" w:cstheme="minorBidi"/>
            <w:sz w:val="22"/>
            <w:szCs w:val="22"/>
            <w:lang w:eastAsia="en-AU"/>
          </w:rPr>
          <w:tab/>
        </w:r>
        <w:r w:rsidRPr="00D90FEA">
          <w:rPr>
            <w:lang w:val="en" w:eastAsia="en-AU"/>
          </w:rPr>
          <w:t>Contents of prohibition notice</w:t>
        </w:r>
        <w:r>
          <w:tab/>
        </w:r>
        <w:r>
          <w:fldChar w:fldCharType="begin"/>
        </w:r>
        <w:r>
          <w:instrText xml:space="preserve"> PAGEREF _Toc83626039 \h </w:instrText>
        </w:r>
        <w:r>
          <w:fldChar w:fldCharType="separate"/>
        </w:r>
        <w:r w:rsidR="005C5D7F">
          <w:t>522</w:t>
        </w:r>
        <w:r>
          <w:fldChar w:fldCharType="end"/>
        </w:r>
      </w:hyperlink>
    </w:p>
    <w:p w14:paraId="6DB4052D" w14:textId="7F560AE7" w:rsidR="005E03F7" w:rsidRDefault="005E03F7">
      <w:pPr>
        <w:pStyle w:val="TOC5"/>
        <w:rPr>
          <w:rFonts w:asciiTheme="minorHAnsi" w:eastAsiaTheme="minorEastAsia" w:hAnsiTheme="minorHAnsi" w:cstheme="minorBidi"/>
          <w:sz w:val="22"/>
          <w:szCs w:val="22"/>
          <w:lang w:eastAsia="en-AU"/>
        </w:rPr>
      </w:pPr>
      <w:r>
        <w:tab/>
      </w:r>
      <w:hyperlink w:anchor="_Toc83626040" w:history="1">
        <w:r w:rsidRPr="00D90FEA">
          <w:t>576C</w:t>
        </w:r>
        <w:r>
          <w:rPr>
            <w:rFonts w:asciiTheme="minorHAnsi" w:eastAsiaTheme="minorEastAsia" w:hAnsiTheme="minorHAnsi" w:cstheme="minorBidi"/>
            <w:sz w:val="22"/>
            <w:szCs w:val="22"/>
            <w:lang w:eastAsia="en-AU"/>
          </w:rPr>
          <w:tab/>
        </w:r>
        <w:r w:rsidRPr="00D90FEA">
          <w:rPr>
            <w:lang w:val="en" w:eastAsia="en-AU"/>
          </w:rPr>
          <w:t>Compliance with prohibition notice</w:t>
        </w:r>
        <w:r>
          <w:tab/>
        </w:r>
        <w:r>
          <w:fldChar w:fldCharType="begin"/>
        </w:r>
        <w:r>
          <w:instrText xml:space="preserve"> PAGEREF _Toc83626040 \h </w:instrText>
        </w:r>
        <w:r>
          <w:fldChar w:fldCharType="separate"/>
        </w:r>
        <w:r w:rsidR="005C5D7F">
          <w:t>522</w:t>
        </w:r>
        <w:r>
          <w:fldChar w:fldCharType="end"/>
        </w:r>
      </w:hyperlink>
    </w:p>
    <w:p w14:paraId="2E37721B" w14:textId="6042733C" w:rsidR="005E03F7" w:rsidRDefault="00856BEE">
      <w:pPr>
        <w:pStyle w:val="TOC3"/>
        <w:rPr>
          <w:rFonts w:asciiTheme="minorHAnsi" w:eastAsiaTheme="minorEastAsia" w:hAnsiTheme="minorHAnsi" w:cstheme="minorBidi"/>
          <w:b w:val="0"/>
          <w:sz w:val="22"/>
          <w:szCs w:val="22"/>
          <w:lang w:eastAsia="en-AU"/>
        </w:rPr>
      </w:pPr>
      <w:hyperlink w:anchor="_Toc83626041" w:history="1">
        <w:r w:rsidR="005E03F7" w:rsidRPr="00D90FEA">
          <w:t>Division 5B</w:t>
        </w:r>
        <w:r w:rsidR="005E03F7">
          <w:rPr>
            <w:rFonts w:asciiTheme="minorHAnsi" w:eastAsiaTheme="minorEastAsia" w:hAnsiTheme="minorHAnsi" w:cstheme="minorBidi"/>
            <w:b w:val="0"/>
            <w:sz w:val="22"/>
            <w:szCs w:val="22"/>
            <w:lang w:eastAsia="en-AU"/>
          </w:rPr>
          <w:tab/>
        </w:r>
        <w:r w:rsidR="005E03F7" w:rsidRPr="00D90FEA">
          <w:rPr>
            <w:lang w:val="en" w:eastAsia="en-AU"/>
          </w:rPr>
          <w:t>Injunctions</w:t>
        </w:r>
        <w:r w:rsidR="005E03F7" w:rsidRPr="005E03F7">
          <w:rPr>
            <w:vanish/>
          </w:rPr>
          <w:tab/>
        </w:r>
        <w:r w:rsidR="005E03F7" w:rsidRPr="005E03F7">
          <w:rPr>
            <w:vanish/>
          </w:rPr>
          <w:fldChar w:fldCharType="begin"/>
        </w:r>
        <w:r w:rsidR="005E03F7" w:rsidRPr="005E03F7">
          <w:rPr>
            <w:vanish/>
          </w:rPr>
          <w:instrText xml:space="preserve"> PAGEREF _Toc83626041 \h </w:instrText>
        </w:r>
        <w:r w:rsidR="005E03F7" w:rsidRPr="005E03F7">
          <w:rPr>
            <w:vanish/>
          </w:rPr>
        </w:r>
        <w:r w:rsidR="005E03F7" w:rsidRPr="005E03F7">
          <w:rPr>
            <w:vanish/>
          </w:rPr>
          <w:fldChar w:fldCharType="separate"/>
        </w:r>
        <w:r w:rsidR="005C5D7F">
          <w:rPr>
            <w:vanish/>
          </w:rPr>
          <w:t>523</w:t>
        </w:r>
        <w:r w:rsidR="005E03F7" w:rsidRPr="005E03F7">
          <w:rPr>
            <w:vanish/>
          </w:rPr>
          <w:fldChar w:fldCharType="end"/>
        </w:r>
      </w:hyperlink>
    </w:p>
    <w:p w14:paraId="202138DF" w14:textId="20E2E3E3" w:rsidR="005E03F7" w:rsidRDefault="005E03F7">
      <w:pPr>
        <w:pStyle w:val="TOC5"/>
        <w:rPr>
          <w:rFonts w:asciiTheme="minorHAnsi" w:eastAsiaTheme="minorEastAsia" w:hAnsiTheme="minorHAnsi" w:cstheme="minorBidi"/>
          <w:sz w:val="22"/>
          <w:szCs w:val="22"/>
          <w:lang w:eastAsia="en-AU"/>
        </w:rPr>
      </w:pPr>
      <w:r>
        <w:tab/>
      </w:r>
      <w:hyperlink w:anchor="_Toc83626042" w:history="1">
        <w:r w:rsidRPr="00D90FEA">
          <w:t>576D</w:t>
        </w:r>
        <w:r>
          <w:rPr>
            <w:rFonts w:asciiTheme="minorHAnsi" w:eastAsiaTheme="minorEastAsia" w:hAnsiTheme="minorHAnsi" w:cstheme="minorBidi"/>
            <w:sz w:val="22"/>
            <w:szCs w:val="22"/>
            <w:lang w:eastAsia="en-AU"/>
          </w:rPr>
          <w:tab/>
        </w:r>
        <w:r w:rsidRPr="00D90FEA">
          <w:rPr>
            <w:lang w:val="en" w:eastAsia="en-AU"/>
          </w:rPr>
          <w:t>Application of Div 5B</w:t>
        </w:r>
        <w:r>
          <w:tab/>
        </w:r>
        <w:r>
          <w:fldChar w:fldCharType="begin"/>
        </w:r>
        <w:r>
          <w:instrText xml:space="preserve"> PAGEREF _Toc83626042 \h </w:instrText>
        </w:r>
        <w:r>
          <w:fldChar w:fldCharType="separate"/>
        </w:r>
        <w:r w:rsidR="005C5D7F">
          <w:t>523</w:t>
        </w:r>
        <w:r>
          <w:fldChar w:fldCharType="end"/>
        </w:r>
      </w:hyperlink>
    </w:p>
    <w:p w14:paraId="358F8C4B" w14:textId="28D83A3A" w:rsidR="005E03F7" w:rsidRDefault="005E03F7">
      <w:pPr>
        <w:pStyle w:val="TOC5"/>
        <w:rPr>
          <w:rFonts w:asciiTheme="minorHAnsi" w:eastAsiaTheme="minorEastAsia" w:hAnsiTheme="minorHAnsi" w:cstheme="minorBidi"/>
          <w:sz w:val="22"/>
          <w:szCs w:val="22"/>
          <w:lang w:eastAsia="en-AU"/>
        </w:rPr>
      </w:pPr>
      <w:r>
        <w:tab/>
      </w:r>
      <w:hyperlink w:anchor="_Toc83626043" w:history="1">
        <w:r w:rsidRPr="00D90FEA">
          <w:t>576E</w:t>
        </w:r>
        <w:r>
          <w:rPr>
            <w:rFonts w:asciiTheme="minorHAnsi" w:eastAsiaTheme="minorEastAsia" w:hAnsiTheme="minorHAnsi" w:cstheme="minorBidi"/>
            <w:sz w:val="22"/>
            <w:szCs w:val="22"/>
            <w:lang w:eastAsia="en-AU"/>
          </w:rPr>
          <w:tab/>
        </w:r>
        <w:r w:rsidRPr="00D90FEA">
          <w:rPr>
            <w:lang w:val="en" w:eastAsia="en-AU"/>
          </w:rPr>
          <w:t>Injunction for noncompliance with notice</w:t>
        </w:r>
        <w:r>
          <w:tab/>
        </w:r>
        <w:r>
          <w:fldChar w:fldCharType="begin"/>
        </w:r>
        <w:r>
          <w:instrText xml:space="preserve"> PAGEREF _Toc83626043 \h </w:instrText>
        </w:r>
        <w:r>
          <w:fldChar w:fldCharType="separate"/>
        </w:r>
        <w:r w:rsidR="005C5D7F">
          <w:t>523</w:t>
        </w:r>
        <w:r>
          <w:fldChar w:fldCharType="end"/>
        </w:r>
      </w:hyperlink>
    </w:p>
    <w:p w14:paraId="5F05E572" w14:textId="75A6394B" w:rsidR="005E03F7" w:rsidRDefault="00856BEE">
      <w:pPr>
        <w:pStyle w:val="TOC3"/>
        <w:rPr>
          <w:rFonts w:asciiTheme="minorHAnsi" w:eastAsiaTheme="minorEastAsia" w:hAnsiTheme="minorHAnsi" w:cstheme="minorBidi"/>
          <w:b w:val="0"/>
          <w:sz w:val="22"/>
          <w:szCs w:val="22"/>
          <w:lang w:eastAsia="en-AU"/>
        </w:rPr>
      </w:pPr>
      <w:hyperlink w:anchor="_Toc83626044" w:history="1">
        <w:r w:rsidR="005E03F7" w:rsidRPr="00D90FEA">
          <w:t xml:space="preserve">Division 6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Power to require reasonable help</w:t>
        </w:r>
        <w:r w:rsidR="005E03F7" w:rsidRPr="005E03F7">
          <w:rPr>
            <w:vanish/>
          </w:rPr>
          <w:tab/>
        </w:r>
        <w:r w:rsidR="005E03F7" w:rsidRPr="005E03F7">
          <w:rPr>
            <w:vanish/>
          </w:rPr>
          <w:fldChar w:fldCharType="begin"/>
        </w:r>
        <w:r w:rsidR="005E03F7" w:rsidRPr="005E03F7">
          <w:rPr>
            <w:vanish/>
          </w:rPr>
          <w:instrText xml:space="preserve"> PAGEREF _Toc83626044 \h </w:instrText>
        </w:r>
        <w:r w:rsidR="005E03F7" w:rsidRPr="005E03F7">
          <w:rPr>
            <w:vanish/>
          </w:rPr>
        </w:r>
        <w:r w:rsidR="005E03F7" w:rsidRPr="005E03F7">
          <w:rPr>
            <w:vanish/>
          </w:rPr>
          <w:fldChar w:fldCharType="separate"/>
        </w:r>
        <w:r w:rsidR="005C5D7F">
          <w:rPr>
            <w:vanish/>
          </w:rPr>
          <w:t>524</w:t>
        </w:r>
        <w:r w:rsidR="005E03F7" w:rsidRPr="005E03F7">
          <w:rPr>
            <w:vanish/>
          </w:rPr>
          <w:fldChar w:fldCharType="end"/>
        </w:r>
      </w:hyperlink>
    </w:p>
    <w:p w14:paraId="00403C35" w14:textId="642EE19E" w:rsidR="005E03F7" w:rsidRDefault="005E03F7">
      <w:pPr>
        <w:pStyle w:val="TOC5"/>
        <w:rPr>
          <w:rFonts w:asciiTheme="minorHAnsi" w:eastAsiaTheme="minorEastAsia" w:hAnsiTheme="minorHAnsi" w:cstheme="minorBidi"/>
          <w:sz w:val="22"/>
          <w:szCs w:val="22"/>
          <w:lang w:eastAsia="en-AU"/>
        </w:rPr>
      </w:pPr>
      <w:r>
        <w:tab/>
      </w:r>
      <w:hyperlink w:anchor="_Toc83626045" w:history="1">
        <w:r w:rsidRPr="00D90FEA">
          <w:t>577</w:t>
        </w:r>
        <w:r>
          <w:rPr>
            <w:rFonts w:asciiTheme="minorHAnsi" w:eastAsiaTheme="minorEastAsia" w:hAnsiTheme="minorHAnsi" w:cstheme="minorBidi"/>
            <w:sz w:val="22"/>
            <w:szCs w:val="22"/>
            <w:lang w:eastAsia="en-AU"/>
          </w:rPr>
          <w:tab/>
        </w:r>
        <w:r w:rsidRPr="00D90FEA">
          <w:rPr>
            <w:rFonts w:ascii="Helvetica" w:hAnsi="Helvetica" w:cs="Helvetica"/>
            <w:iCs/>
          </w:rPr>
          <w:t>Power to require reasonable help</w:t>
        </w:r>
        <w:r>
          <w:tab/>
        </w:r>
        <w:r>
          <w:fldChar w:fldCharType="begin"/>
        </w:r>
        <w:r>
          <w:instrText xml:space="preserve"> PAGEREF _Toc83626045 \h </w:instrText>
        </w:r>
        <w:r>
          <w:fldChar w:fldCharType="separate"/>
        </w:r>
        <w:r w:rsidR="005C5D7F">
          <w:t>524</w:t>
        </w:r>
        <w:r>
          <w:fldChar w:fldCharType="end"/>
        </w:r>
      </w:hyperlink>
    </w:p>
    <w:p w14:paraId="3B525F0C" w14:textId="49A22C00" w:rsidR="005E03F7" w:rsidRDefault="00856BEE">
      <w:pPr>
        <w:pStyle w:val="TOC2"/>
        <w:rPr>
          <w:rFonts w:asciiTheme="minorHAnsi" w:eastAsiaTheme="minorEastAsia" w:hAnsiTheme="minorHAnsi" w:cstheme="minorBidi"/>
          <w:b w:val="0"/>
          <w:sz w:val="22"/>
          <w:szCs w:val="22"/>
          <w:lang w:eastAsia="en-AU"/>
        </w:rPr>
      </w:pPr>
      <w:hyperlink w:anchor="_Toc83626046" w:history="1">
        <w:r w:rsidR="005E03F7" w:rsidRPr="00D90FEA">
          <w:t xml:space="preserve">Part 9.5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Provisions about exercise of powers</w:t>
        </w:r>
        <w:r w:rsidR="005E03F7" w:rsidRPr="005E03F7">
          <w:rPr>
            <w:vanish/>
          </w:rPr>
          <w:tab/>
        </w:r>
        <w:r w:rsidR="005E03F7" w:rsidRPr="005E03F7">
          <w:rPr>
            <w:vanish/>
          </w:rPr>
          <w:fldChar w:fldCharType="begin"/>
        </w:r>
        <w:r w:rsidR="005E03F7" w:rsidRPr="005E03F7">
          <w:rPr>
            <w:vanish/>
          </w:rPr>
          <w:instrText xml:space="preserve"> PAGEREF _Toc83626046 \h </w:instrText>
        </w:r>
        <w:r w:rsidR="005E03F7" w:rsidRPr="005E03F7">
          <w:rPr>
            <w:vanish/>
          </w:rPr>
        </w:r>
        <w:r w:rsidR="005E03F7" w:rsidRPr="005E03F7">
          <w:rPr>
            <w:vanish/>
          </w:rPr>
          <w:fldChar w:fldCharType="separate"/>
        </w:r>
        <w:r w:rsidR="005C5D7F">
          <w:rPr>
            <w:vanish/>
          </w:rPr>
          <w:t>527</w:t>
        </w:r>
        <w:r w:rsidR="005E03F7" w:rsidRPr="005E03F7">
          <w:rPr>
            <w:vanish/>
          </w:rPr>
          <w:fldChar w:fldCharType="end"/>
        </w:r>
      </w:hyperlink>
    </w:p>
    <w:p w14:paraId="62152620" w14:textId="06EFC3D1" w:rsidR="005E03F7" w:rsidRDefault="00856BEE">
      <w:pPr>
        <w:pStyle w:val="TOC3"/>
        <w:rPr>
          <w:rFonts w:asciiTheme="minorHAnsi" w:eastAsiaTheme="minorEastAsia" w:hAnsiTheme="minorHAnsi" w:cstheme="minorBidi"/>
          <w:b w:val="0"/>
          <w:sz w:val="22"/>
          <w:szCs w:val="22"/>
          <w:lang w:eastAsia="en-AU"/>
        </w:rPr>
      </w:pPr>
      <w:hyperlink w:anchor="_Toc83626047" w:history="1">
        <w:r w:rsidR="005E03F7" w:rsidRPr="00D90FEA">
          <w:t xml:space="preserve">Division 1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Damage in exercising powers</w:t>
        </w:r>
        <w:r w:rsidR="005E03F7" w:rsidRPr="005E03F7">
          <w:rPr>
            <w:vanish/>
          </w:rPr>
          <w:tab/>
        </w:r>
        <w:r w:rsidR="005E03F7" w:rsidRPr="005E03F7">
          <w:rPr>
            <w:vanish/>
          </w:rPr>
          <w:fldChar w:fldCharType="begin"/>
        </w:r>
        <w:r w:rsidR="005E03F7" w:rsidRPr="005E03F7">
          <w:rPr>
            <w:vanish/>
          </w:rPr>
          <w:instrText xml:space="preserve"> PAGEREF _Toc83626047 \h </w:instrText>
        </w:r>
        <w:r w:rsidR="005E03F7" w:rsidRPr="005E03F7">
          <w:rPr>
            <w:vanish/>
          </w:rPr>
        </w:r>
        <w:r w:rsidR="005E03F7" w:rsidRPr="005E03F7">
          <w:rPr>
            <w:vanish/>
          </w:rPr>
          <w:fldChar w:fldCharType="separate"/>
        </w:r>
        <w:r w:rsidR="005C5D7F">
          <w:rPr>
            <w:vanish/>
          </w:rPr>
          <w:t>527</w:t>
        </w:r>
        <w:r w:rsidR="005E03F7" w:rsidRPr="005E03F7">
          <w:rPr>
            <w:vanish/>
          </w:rPr>
          <w:fldChar w:fldCharType="end"/>
        </w:r>
      </w:hyperlink>
    </w:p>
    <w:p w14:paraId="60648EE3" w14:textId="42BB5DC3" w:rsidR="005E03F7" w:rsidRDefault="005E03F7">
      <w:pPr>
        <w:pStyle w:val="TOC5"/>
        <w:rPr>
          <w:rFonts w:asciiTheme="minorHAnsi" w:eastAsiaTheme="minorEastAsia" w:hAnsiTheme="minorHAnsi" w:cstheme="minorBidi"/>
          <w:sz w:val="22"/>
          <w:szCs w:val="22"/>
          <w:lang w:eastAsia="en-AU"/>
        </w:rPr>
      </w:pPr>
      <w:r>
        <w:tab/>
      </w:r>
      <w:hyperlink w:anchor="_Toc83626048" w:history="1">
        <w:r w:rsidRPr="00D90FEA">
          <w:t>578</w:t>
        </w:r>
        <w:r>
          <w:rPr>
            <w:rFonts w:asciiTheme="minorHAnsi" w:eastAsiaTheme="minorEastAsia" w:hAnsiTheme="minorHAnsi" w:cstheme="minorBidi"/>
            <w:sz w:val="22"/>
            <w:szCs w:val="22"/>
            <w:lang w:eastAsia="en-AU"/>
          </w:rPr>
          <w:tab/>
        </w:r>
        <w:r w:rsidRPr="00D90FEA">
          <w:rPr>
            <w:rFonts w:ascii="Helvetica" w:hAnsi="Helvetica" w:cs="Helvetica"/>
            <w:iCs/>
          </w:rPr>
          <w:t>Duty to minimise inconvenience or damage</w:t>
        </w:r>
        <w:r>
          <w:tab/>
        </w:r>
        <w:r>
          <w:fldChar w:fldCharType="begin"/>
        </w:r>
        <w:r>
          <w:instrText xml:space="preserve"> PAGEREF _Toc83626048 \h </w:instrText>
        </w:r>
        <w:r>
          <w:fldChar w:fldCharType="separate"/>
        </w:r>
        <w:r w:rsidR="005C5D7F">
          <w:t>527</w:t>
        </w:r>
        <w:r>
          <w:fldChar w:fldCharType="end"/>
        </w:r>
      </w:hyperlink>
    </w:p>
    <w:p w14:paraId="0CCA7E93" w14:textId="5F15D24C" w:rsidR="005E03F7" w:rsidRDefault="005E03F7">
      <w:pPr>
        <w:pStyle w:val="TOC5"/>
        <w:rPr>
          <w:rFonts w:asciiTheme="minorHAnsi" w:eastAsiaTheme="minorEastAsia" w:hAnsiTheme="minorHAnsi" w:cstheme="minorBidi"/>
          <w:sz w:val="22"/>
          <w:szCs w:val="22"/>
          <w:lang w:eastAsia="en-AU"/>
        </w:rPr>
      </w:pPr>
      <w:r>
        <w:tab/>
      </w:r>
      <w:hyperlink w:anchor="_Toc83626049" w:history="1">
        <w:r w:rsidRPr="00D90FEA">
          <w:t>579</w:t>
        </w:r>
        <w:r>
          <w:rPr>
            <w:rFonts w:asciiTheme="minorHAnsi" w:eastAsiaTheme="minorEastAsia" w:hAnsiTheme="minorHAnsi" w:cstheme="minorBidi"/>
            <w:sz w:val="22"/>
            <w:szCs w:val="22"/>
            <w:lang w:eastAsia="en-AU"/>
          </w:rPr>
          <w:tab/>
        </w:r>
        <w:r w:rsidRPr="00D90FEA">
          <w:rPr>
            <w:rFonts w:ascii="Helvetica" w:hAnsi="Helvetica" w:cs="Helvetica"/>
            <w:iCs/>
          </w:rPr>
          <w:t>Restoring damaged thing</w:t>
        </w:r>
        <w:r>
          <w:tab/>
        </w:r>
        <w:r>
          <w:fldChar w:fldCharType="begin"/>
        </w:r>
        <w:r>
          <w:instrText xml:space="preserve"> PAGEREF _Toc83626049 \h </w:instrText>
        </w:r>
        <w:r>
          <w:fldChar w:fldCharType="separate"/>
        </w:r>
        <w:r w:rsidR="005C5D7F">
          <w:t>527</w:t>
        </w:r>
        <w:r>
          <w:fldChar w:fldCharType="end"/>
        </w:r>
      </w:hyperlink>
    </w:p>
    <w:p w14:paraId="4F66744A" w14:textId="4F02E332" w:rsidR="005E03F7" w:rsidRDefault="005E03F7">
      <w:pPr>
        <w:pStyle w:val="TOC5"/>
        <w:rPr>
          <w:rFonts w:asciiTheme="minorHAnsi" w:eastAsiaTheme="minorEastAsia" w:hAnsiTheme="minorHAnsi" w:cstheme="minorBidi"/>
          <w:sz w:val="22"/>
          <w:szCs w:val="22"/>
          <w:lang w:eastAsia="en-AU"/>
        </w:rPr>
      </w:pPr>
      <w:r>
        <w:tab/>
      </w:r>
      <w:hyperlink w:anchor="_Toc83626050" w:history="1">
        <w:r w:rsidRPr="00D90FEA">
          <w:t>580</w:t>
        </w:r>
        <w:r>
          <w:rPr>
            <w:rFonts w:asciiTheme="minorHAnsi" w:eastAsiaTheme="minorEastAsia" w:hAnsiTheme="minorHAnsi" w:cstheme="minorBidi"/>
            <w:sz w:val="22"/>
            <w:szCs w:val="22"/>
            <w:lang w:eastAsia="en-AU"/>
          </w:rPr>
          <w:tab/>
        </w:r>
        <w:r w:rsidRPr="00D90FEA">
          <w:rPr>
            <w:rFonts w:ascii="Helvetica" w:hAnsi="Helvetica" w:cs="Helvetica"/>
            <w:iCs/>
          </w:rPr>
          <w:t>Notice of damage</w:t>
        </w:r>
        <w:r>
          <w:tab/>
        </w:r>
        <w:r>
          <w:fldChar w:fldCharType="begin"/>
        </w:r>
        <w:r>
          <w:instrText xml:space="preserve"> PAGEREF _Toc83626050 \h </w:instrText>
        </w:r>
        <w:r>
          <w:fldChar w:fldCharType="separate"/>
        </w:r>
        <w:r w:rsidR="005C5D7F">
          <w:t>528</w:t>
        </w:r>
        <w:r>
          <w:fldChar w:fldCharType="end"/>
        </w:r>
      </w:hyperlink>
    </w:p>
    <w:p w14:paraId="28881F23" w14:textId="63B742FC" w:rsidR="005E03F7" w:rsidRDefault="00856BEE">
      <w:pPr>
        <w:pStyle w:val="TOC3"/>
        <w:rPr>
          <w:rFonts w:asciiTheme="minorHAnsi" w:eastAsiaTheme="minorEastAsia" w:hAnsiTheme="minorHAnsi" w:cstheme="minorBidi"/>
          <w:b w:val="0"/>
          <w:sz w:val="22"/>
          <w:szCs w:val="22"/>
          <w:lang w:eastAsia="en-AU"/>
        </w:rPr>
      </w:pPr>
      <w:hyperlink w:anchor="_Toc83626051" w:history="1">
        <w:r w:rsidR="005E03F7" w:rsidRPr="00D90FEA">
          <w:t xml:space="preserve">Division 2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Compensation</w:t>
        </w:r>
        <w:r w:rsidR="005E03F7" w:rsidRPr="005E03F7">
          <w:rPr>
            <w:vanish/>
          </w:rPr>
          <w:tab/>
        </w:r>
        <w:r w:rsidR="005E03F7" w:rsidRPr="005E03F7">
          <w:rPr>
            <w:vanish/>
          </w:rPr>
          <w:fldChar w:fldCharType="begin"/>
        </w:r>
        <w:r w:rsidR="005E03F7" w:rsidRPr="005E03F7">
          <w:rPr>
            <w:vanish/>
          </w:rPr>
          <w:instrText xml:space="preserve"> PAGEREF _Toc83626051 \h </w:instrText>
        </w:r>
        <w:r w:rsidR="005E03F7" w:rsidRPr="005E03F7">
          <w:rPr>
            <w:vanish/>
          </w:rPr>
        </w:r>
        <w:r w:rsidR="005E03F7" w:rsidRPr="005E03F7">
          <w:rPr>
            <w:vanish/>
          </w:rPr>
          <w:fldChar w:fldCharType="separate"/>
        </w:r>
        <w:r w:rsidR="005C5D7F">
          <w:rPr>
            <w:vanish/>
          </w:rPr>
          <w:t>529</w:t>
        </w:r>
        <w:r w:rsidR="005E03F7" w:rsidRPr="005E03F7">
          <w:rPr>
            <w:vanish/>
          </w:rPr>
          <w:fldChar w:fldCharType="end"/>
        </w:r>
      </w:hyperlink>
    </w:p>
    <w:p w14:paraId="091F5CE8" w14:textId="3D47694C" w:rsidR="005E03F7" w:rsidRDefault="005E03F7">
      <w:pPr>
        <w:pStyle w:val="TOC5"/>
        <w:rPr>
          <w:rFonts w:asciiTheme="minorHAnsi" w:eastAsiaTheme="minorEastAsia" w:hAnsiTheme="minorHAnsi" w:cstheme="minorBidi"/>
          <w:sz w:val="22"/>
          <w:szCs w:val="22"/>
          <w:lang w:eastAsia="en-AU"/>
        </w:rPr>
      </w:pPr>
      <w:r>
        <w:tab/>
      </w:r>
      <w:hyperlink w:anchor="_Toc83626052" w:history="1">
        <w:r w:rsidRPr="00D90FEA">
          <w:t>581</w:t>
        </w:r>
        <w:r>
          <w:rPr>
            <w:rFonts w:asciiTheme="minorHAnsi" w:eastAsiaTheme="minorEastAsia" w:hAnsiTheme="minorHAnsi" w:cstheme="minorBidi"/>
            <w:sz w:val="22"/>
            <w:szCs w:val="22"/>
            <w:lang w:eastAsia="en-AU"/>
          </w:rPr>
          <w:tab/>
        </w:r>
        <w:r w:rsidRPr="00D90FEA">
          <w:rPr>
            <w:rFonts w:ascii="Helvetica" w:hAnsi="Helvetica" w:cs="Helvetica"/>
            <w:iCs/>
          </w:rPr>
          <w:t>Compensation because of exercise of powers</w:t>
        </w:r>
        <w:r>
          <w:tab/>
        </w:r>
        <w:r>
          <w:fldChar w:fldCharType="begin"/>
        </w:r>
        <w:r>
          <w:instrText xml:space="preserve"> PAGEREF _Toc83626052 \h </w:instrText>
        </w:r>
        <w:r>
          <w:fldChar w:fldCharType="separate"/>
        </w:r>
        <w:r w:rsidR="005C5D7F">
          <w:t>529</w:t>
        </w:r>
        <w:r>
          <w:fldChar w:fldCharType="end"/>
        </w:r>
      </w:hyperlink>
    </w:p>
    <w:p w14:paraId="133BE5EF" w14:textId="578866A2" w:rsidR="005E03F7" w:rsidRDefault="00856BEE">
      <w:pPr>
        <w:pStyle w:val="TOC3"/>
        <w:rPr>
          <w:rFonts w:asciiTheme="minorHAnsi" w:eastAsiaTheme="minorEastAsia" w:hAnsiTheme="minorHAnsi" w:cstheme="minorBidi"/>
          <w:b w:val="0"/>
          <w:sz w:val="22"/>
          <w:szCs w:val="22"/>
          <w:lang w:eastAsia="en-AU"/>
        </w:rPr>
      </w:pPr>
      <w:hyperlink w:anchor="_Toc83626053" w:history="1">
        <w:r w:rsidR="005E03F7" w:rsidRPr="00D90FEA">
          <w:t xml:space="preserve">Division 3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Provision about exercise of particular powers</w:t>
        </w:r>
        <w:r w:rsidR="005E03F7" w:rsidRPr="005E03F7">
          <w:rPr>
            <w:vanish/>
          </w:rPr>
          <w:tab/>
        </w:r>
        <w:r w:rsidR="005E03F7" w:rsidRPr="005E03F7">
          <w:rPr>
            <w:vanish/>
          </w:rPr>
          <w:fldChar w:fldCharType="begin"/>
        </w:r>
        <w:r w:rsidR="005E03F7" w:rsidRPr="005E03F7">
          <w:rPr>
            <w:vanish/>
          </w:rPr>
          <w:instrText xml:space="preserve"> PAGEREF _Toc83626053 \h </w:instrText>
        </w:r>
        <w:r w:rsidR="005E03F7" w:rsidRPr="005E03F7">
          <w:rPr>
            <w:vanish/>
          </w:rPr>
        </w:r>
        <w:r w:rsidR="005E03F7" w:rsidRPr="005E03F7">
          <w:rPr>
            <w:vanish/>
          </w:rPr>
          <w:fldChar w:fldCharType="separate"/>
        </w:r>
        <w:r w:rsidR="005C5D7F">
          <w:rPr>
            <w:vanish/>
          </w:rPr>
          <w:t>530</w:t>
        </w:r>
        <w:r w:rsidR="005E03F7" w:rsidRPr="005E03F7">
          <w:rPr>
            <w:vanish/>
          </w:rPr>
          <w:fldChar w:fldCharType="end"/>
        </w:r>
      </w:hyperlink>
    </w:p>
    <w:p w14:paraId="7BF0B765" w14:textId="1DDB7D96" w:rsidR="005E03F7" w:rsidRDefault="005E03F7">
      <w:pPr>
        <w:pStyle w:val="TOC5"/>
        <w:rPr>
          <w:rFonts w:asciiTheme="minorHAnsi" w:eastAsiaTheme="minorEastAsia" w:hAnsiTheme="minorHAnsi" w:cstheme="minorBidi"/>
          <w:sz w:val="22"/>
          <w:szCs w:val="22"/>
          <w:lang w:eastAsia="en-AU"/>
        </w:rPr>
      </w:pPr>
      <w:r>
        <w:tab/>
      </w:r>
      <w:hyperlink w:anchor="_Toc83626054" w:history="1">
        <w:r w:rsidRPr="00D90FEA">
          <w:t>582</w:t>
        </w:r>
        <w:r>
          <w:rPr>
            <w:rFonts w:asciiTheme="minorHAnsi" w:eastAsiaTheme="minorEastAsia" w:hAnsiTheme="minorHAnsi" w:cstheme="minorBidi"/>
            <w:sz w:val="22"/>
            <w:szCs w:val="22"/>
            <w:lang w:eastAsia="en-AU"/>
          </w:rPr>
          <w:tab/>
        </w:r>
        <w:r w:rsidRPr="00D90FEA">
          <w:rPr>
            <w:rFonts w:ascii="Helvetica" w:hAnsi="Helvetica" w:cs="Helvetica"/>
            <w:iCs/>
          </w:rPr>
          <w:t>Duty to record particular information in driver’s work diary</w:t>
        </w:r>
        <w:r>
          <w:tab/>
        </w:r>
        <w:r>
          <w:fldChar w:fldCharType="begin"/>
        </w:r>
        <w:r>
          <w:instrText xml:space="preserve"> PAGEREF _Toc83626054 \h </w:instrText>
        </w:r>
        <w:r>
          <w:fldChar w:fldCharType="separate"/>
        </w:r>
        <w:r w:rsidR="005C5D7F">
          <w:t>530</w:t>
        </w:r>
        <w:r>
          <w:fldChar w:fldCharType="end"/>
        </w:r>
      </w:hyperlink>
    </w:p>
    <w:p w14:paraId="5CB89906" w14:textId="6DD48E87" w:rsidR="005E03F7" w:rsidRDefault="00856BEE">
      <w:pPr>
        <w:pStyle w:val="TOC2"/>
        <w:rPr>
          <w:rFonts w:asciiTheme="minorHAnsi" w:eastAsiaTheme="minorEastAsia" w:hAnsiTheme="minorHAnsi" w:cstheme="minorBidi"/>
          <w:b w:val="0"/>
          <w:sz w:val="22"/>
          <w:szCs w:val="22"/>
          <w:lang w:eastAsia="en-AU"/>
        </w:rPr>
      </w:pPr>
      <w:hyperlink w:anchor="_Toc83626055" w:history="1">
        <w:r w:rsidR="005E03F7" w:rsidRPr="00D90FEA">
          <w:t xml:space="preserve">Part 9.6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Miscellaneous provisions</w:t>
        </w:r>
        <w:r w:rsidR="005E03F7" w:rsidRPr="005E03F7">
          <w:rPr>
            <w:vanish/>
          </w:rPr>
          <w:tab/>
        </w:r>
        <w:r w:rsidR="005E03F7" w:rsidRPr="005E03F7">
          <w:rPr>
            <w:vanish/>
          </w:rPr>
          <w:fldChar w:fldCharType="begin"/>
        </w:r>
        <w:r w:rsidR="005E03F7" w:rsidRPr="005E03F7">
          <w:rPr>
            <w:vanish/>
          </w:rPr>
          <w:instrText xml:space="preserve"> PAGEREF _Toc83626055 \h </w:instrText>
        </w:r>
        <w:r w:rsidR="005E03F7" w:rsidRPr="005E03F7">
          <w:rPr>
            <w:vanish/>
          </w:rPr>
        </w:r>
        <w:r w:rsidR="005E03F7" w:rsidRPr="005E03F7">
          <w:rPr>
            <w:vanish/>
          </w:rPr>
          <w:fldChar w:fldCharType="separate"/>
        </w:r>
        <w:r w:rsidR="005C5D7F">
          <w:rPr>
            <w:vanish/>
          </w:rPr>
          <w:t>532</w:t>
        </w:r>
        <w:r w:rsidR="005E03F7" w:rsidRPr="005E03F7">
          <w:rPr>
            <w:vanish/>
          </w:rPr>
          <w:fldChar w:fldCharType="end"/>
        </w:r>
      </w:hyperlink>
    </w:p>
    <w:p w14:paraId="30D3546C" w14:textId="7CF21511" w:rsidR="005E03F7" w:rsidRDefault="00856BEE">
      <w:pPr>
        <w:pStyle w:val="TOC3"/>
        <w:rPr>
          <w:rFonts w:asciiTheme="minorHAnsi" w:eastAsiaTheme="minorEastAsia" w:hAnsiTheme="minorHAnsi" w:cstheme="minorBidi"/>
          <w:b w:val="0"/>
          <w:sz w:val="22"/>
          <w:szCs w:val="22"/>
          <w:lang w:eastAsia="en-AU"/>
        </w:rPr>
      </w:pPr>
      <w:hyperlink w:anchor="_Toc83626056" w:history="1">
        <w:r w:rsidR="005E03F7" w:rsidRPr="00D90FEA">
          <w:t xml:space="preserve">Division 1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Powers of Regulator</w:t>
        </w:r>
        <w:r w:rsidR="005E03F7" w:rsidRPr="005E03F7">
          <w:rPr>
            <w:vanish/>
          </w:rPr>
          <w:tab/>
        </w:r>
        <w:r w:rsidR="005E03F7" w:rsidRPr="005E03F7">
          <w:rPr>
            <w:vanish/>
          </w:rPr>
          <w:fldChar w:fldCharType="begin"/>
        </w:r>
        <w:r w:rsidR="005E03F7" w:rsidRPr="005E03F7">
          <w:rPr>
            <w:vanish/>
          </w:rPr>
          <w:instrText xml:space="preserve"> PAGEREF _Toc83626056 \h </w:instrText>
        </w:r>
        <w:r w:rsidR="005E03F7" w:rsidRPr="005E03F7">
          <w:rPr>
            <w:vanish/>
          </w:rPr>
        </w:r>
        <w:r w:rsidR="005E03F7" w:rsidRPr="005E03F7">
          <w:rPr>
            <w:vanish/>
          </w:rPr>
          <w:fldChar w:fldCharType="separate"/>
        </w:r>
        <w:r w:rsidR="005C5D7F">
          <w:rPr>
            <w:vanish/>
          </w:rPr>
          <w:t>532</w:t>
        </w:r>
        <w:r w:rsidR="005E03F7" w:rsidRPr="005E03F7">
          <w:rPr>
            <w:vanish/>
          </w:rPr>
          <w:fldChar w:fldCharType="end"/>
        </w:r>
      </w:hyperlink>
    </w:p>
    <w:p w14:paraId="365A7386" w14:textId="60300819" w:rsidR="005E03F7" w:rsidRDefault="005E03F7">
      <w:pPr>
        <w:pStyle w:val="TOC5"/>
        <w:rPr>
          <w:rFonts w:asciiTheme="minorHAnsi" w:eastAsiaTheme="minorEastAsia" w:hAnsiTheme="minorHAnsi" w:cstheme="minorBidi"/>
          <w:sz w:val="22"/>
          <w:szCs w:val="22"/>
          <w:lang w:eastAsia="en-AU"/>
        </w:rPr>
      </w:pPr>
      <w:r>
        <w:tab/>
      </w:r>
      <w:hyperlink w:anchor="_Toc83626057" w:history="1">
        <w:r w:rsidRPr="00D90FEA">
          <w:t>583</w:t>
        </w:r>
        <w:r>
          <w:rPr>
            <w:rFonts w:asciiTheme="minorHAnsi" w:eastAsiaTheme="minorEastAsia" w:hAnsiTheme="minorHAnsi" w:cstheme="minorBidi"/>
            <w:sz w:val="22"/>
            <w:szCs w:val="22"/>
            <w:lang w:eastAsia="en-AU"/>
          </w:rPr>
          <w:tab/>
        </w:r>
        <w:r w:rsidRPr="00D90FEA">
          <w:rPr>
            <w:rFonts w:ascii="Helvetica" w:hAnsi="Helvetica" w:cs="Helvetica"/>
            <w:iCs/>
          </w:rPr>
          <w:t>Regulator may exercise powers of authorised officers</w:t>
        </w:r>
        <w:r>
          <w:tab/>
        </w:r>
        <w:r>
          <w:fldChar w:fldCharType="begin"/>
        </w:r>
        <w:r>
          <w:instrText xml:space="preserve"> PAGEREF _Toc83626057 \h </w:instrText>
        </w:r>
        <w:r>
          <w:fldChar w:fldCharType="separate"/>
        </w:r>
        <w:r w:rsidR="005C5D7F">
          <w:t>532</w:t>
        </w:r>
        <w:r>
          <w:fldChar w:fldCharType="end"/>
        </w:r>
      </w:hyperlink>
    </w:p>
    <w:p w14:paraId="470EAFAD" w14:textId="4877FE9B" w:rsidR="005E03F7" w:rsidRDefault="00856BEE">
      <w:pPr>
        <w:pStyle w:val="TOC3"/>
        <w:rPr>
          <w:rFonts w:asciiTheme="minorHAnsi" w:eastAsiaTheme="minorEastAsia" w:hAnsiTheme="minorHAnsi" w:cstheme="minorBidi"/>
          <w:b w:val="0"/>
          <w:sz w:val="22"/>
          <w:szCs w:val="22"/>
          <w:lang w:eastAsia="en-AU"/>
        </w:rPr>
      </w:pPr>
      <w:hyperlink w:anchor="_Toc83626058" w:history="1">
        <w:r w:rsidR="005E03F7" w:rsidRPr="00D90FEA">
          <w:t xml:space="preserve">Division 2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Other offences relating to authorised officers</w:t>
        </w:r>
        <w:r w:rsidR="005E03F7" w:rsidRPr="005E03F7">
          <w:rPr>
            <w:vanish/>
          </w:rPr>
          <w:tab/>
        </w:r>
        <w:r w:rsidR="005E03F7" w:rsidRPr="005E03F7">
          <w:rPr>
            <w:vanish/>
          </w:rPr>
          <w:fldChar w:fldCharType="begin"/>
        </w:r>
        <w:r w:rsidR="005E03F7" w:rsidRPr="005E03F7">
          <w:rPr>
            <w:vanish/>
          </w:rPr>
          <w:instrText xml:space="preserve"> PAGEREF _Toc83626058 \h </w:instrText>
        </w:r>
        <w:r w:rsidR="005E03F7" w:rsidRPr="005E03F7">
          <w:rPr>
            <w:vanish/>
          </w:rPr>
        </w:r>
        <w:r w:rsidR="005E03F7" w:rsidRPr="005E03F7">
          <w:rPr>
            <w:vanish/>
          </w:rPr>
          <w:fldChar w:fldCharType="separate"/>
        </w:r>
        <w:r w:rsidR="005C5D7F">
          <w:rPr>
            <w:vanish/>
          </w:rPr>
          <w:t>532</w:t>
        </w:r>
        <w:r w:rsidR="005E03F7" w:rsidRPr="005E03F7">
          <w:rPr>
            <w:vanish/>
          </w:rPr>
          <w:fldChar w:fldCharType="end"/>
        </w:r>
      </w:hyperlink>
    </w:p>
    <w:p w14:paraId="19764B14" w14:textId="5E41DBC4" w:rsidR="005E03F7" w:rsidRDefault="005E03F7">
      <w:pPr>
        <w:pStyle w:val="TOC5"/>
        <w:rPr>
          <w:rFonts w:asciiTheme="minorHAnsi" w:eastAsiaTheme="minorEastAsia" w:hAnsiTheme="minorHAnsi" w:cstheme="minorBidi"/>
          <w:sz w:val="22"/>
          <w:szCs w:val="22"/>
          <w:lang w:eastAsia="en-AU"/>
        </w:rPr>
      </w:pPr>
      <w:r>
        <w:tab/>
      </w:r>
      <w:hyperlink w:anchor="_Toc83626059" w:history="1">
        <w:r w:rsidRPr="00D90FEA">
          <w:t>584</w:t>
        </w:r>
        <w:r>
          <w:rPr>
            <w:rFonts w:asciiTheme="minorHAnsi" w:eastAsiaTheme="minorEastAsia" w:hAnsiTheme="minorHAnsi" w:cstheme="minorBidi"/>
            <w:sz w:val="22"/>
            <w:szCs w:val="22"/>
            <w:lang w:eastAsia="en-AU"/>
          </w:rPr>
          <w:tab/>
        </w:r>
        <w:r w:rsidRPr="00D90FEA">
          <w:rPr>
            <w:rFonts w:ascii="Helvetica" w:hAnsi="Helvetica" w:cs="Helvetica"/>
            <w:iCs/>
          </w:rPr>
          <w:t>Obstructing authorised officer</w:t>
        </w:r>
        <w:r>
          <w:tab/>
        </w:r>
        <w:r>
          <w:fldChar w:fldCharType="begin"/>
        </w:r>
        <w:r>
          <w:instrText xml:space="preserve"> PAGEREF _Toc83626059 \h </w:instrText>
        </w:r>
        <w:r>
          <w:fldChar w:fldCharType="separate"/>
        </w:r>
        <w:r w:rsidR="005C5D7F">
          <w:t>532</w:t>
        </w:r>
        <w:r>
          <w:fldChar w:fldCharType="end"/>
        </w:r>
      </w:hyperlink>
    </w:p>
    <w:p w14:paraId="6A2AFFD3" w14:textId="3E298CC8" w:rsidR="005E03F7" w:rsidRDefault="005E03F7">
      <w:pPr>
        <w:pStyle w:val="TOC5"/>
        <w:rPr>
          <w:rFonts w:asciiTheme="minorHAnsi" w:eastAsiaTheme="minorEastAsia" w:hAnsiTheme="minorHAnsi" w:cstheme="minorBidi"/>
          <w:sz w:val="22"/>
          <w:szCs w:val="22"/>
          <w:lang w:eastAsia="en-AU"/>
        </w:rPr>
      </w:pPr>
      <w:r>
        <w:tab/>
      </w:r>
      <w:hyperlink w:anchor="_Toc83626060" w:history="1">
        <w:r w:rsidRPr="00D90FEA">
          <w:t>585</w:t>
        </w:r>
        <w:r>
          <w:rPr>
            <w:rFonts w:asciiTheme="minorHAnsi" w:eastAsiaTheme="minorEastAsia" w:hAnsiTheme="minorHAnsi" w:cstheme="minorBidi"/>
            <w:sz w:val="22"/>
            <w:szCs w:val="22"/>
            <w:lang w:eastAsia="en-AU"/>
          </w:rPr>
          <w:tab/>
        </w:r>
        <w:r w:rsidRPr="00D90FEA">
          <w:rPr>
            <w:rFonts w:ascii="Helvetica" w:hAnsi="Helvetica" w:cs="Helvetica"/>
            <w:iCs/>
          </w:rPr>
          <w:t>Impersonating authorised officer</w:t>
        </w:r>
        <w:r>
          <w:tab/>
        </w:r>
        <w:r>
          <w:fldChar w:fldCharType="begin"/>
        </w:r>
        <w:r>
          <w:instrText xml:space="preserve"> PAGEREF _Toc83626060 \h </w:instrText>
        </w:r>
        <w:r>
          <w:fldChar w:fldCharType="separate"/>
        </w:r>
        <w:r w:rsidR="005C5D7F">
          <w:t>532</w:t>
        </w:r>
        <w:r>
          <w:fldChar w:fldCharType="end"/>
        </w:r>
      </w:hyperlink>
    </w:p>
    <w:p w14:paraId="0EA53F63" w14:textId="3EBC7DDD" w:rsidR="005E03F7" w:rsidRDefault="00856BEE">
      <w:pPr>
        <w:pStyle w:val="TOC3"/>
        <w:rPr>
          <w:rFonts w:asciiTheme="minorHAnsi" w:eastAsiaTheme="minorEastAsia" w:hAnsiTheme="minorHAnsi" w:cstheme="minorBidi"/>
          <w:b w:val="0"/>
          <w:sz w:val="22"/>
          <w:szCs w:val="22"/>
          <w:lang w:eastAsia="en-AU"/>
        </w:rPr>
      </w:pPr>
      <w:hyperlink w:anchor="_Toc83626061" w:history="1">
        <w:r w:rsidR="005E03F7" w:rsidRPr="00D90FEA">
          <w:t xml:space="preserve">Division 3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Other provisions</w:t>
        </w:r>
        <w:r w:rsidR="005E03F7" w:rsidRPr="005E03F7">
          <w:rPr>
            <w:vanish/>
          </w:rPr>
          <w:tab/>
        </w:r>
        <w:r w:rsidR="005E03F7" w:rsidRPr="005E03F7">
          <w:rPr>
            <w:vanish/>
          </w:rPr>
          <w:fldChar w:fldCharType="begin"/>
        </w:r>
        <w:r w:rsidR="005E03F7" w:rsidRPr="005E03F7">
          <w:rPr>
            <w:vanish/>
          </w:rPr>
          <w:instrText xml:space="preserve"> PAGEREF _Toc83626061 \h </w:instrText>
        </w:r>
        <w:r w:rsidR="005E03F7" w:rsidRPr="005E03F7">
          <w:rPr>
            <w:vanish/>
          </w:rPr>
        </w:r>
        <w:r w:rsidR="005E03F7" w:rsidRPr="005E03F7">
          <w:rPr>
            <w:vanish/>
          </w:rPr>
          <w:fldChar w:fldCharType="separate"/>
        </w:r>
        <w:r w:rsidR="005C5D7F">
          <w:rPr>
            <w:vanish/>
          </w:rPr>
          <w:t>533</w:t>
        </w:r>
        <w:r w:rsidR="005E03F7" w:rsidRPr="005E03F7">
          <w:rPr>
            <w:vanish/>
          </w:rPr>
          <w:fldChar w:fldCharType="end"/>
        </w:r>
      </w:hyperlink>
    </w:p>
    <w:p w14:paraId="747D647F" w14:textId="0F08BF5A" w:rsidR="005E03F7" w:rsidRDefault="005E03F7">
      <w:pPr>
        <w:pStyle w:val="TOC5"/>
        <w:rPr>
          <w:rFonts w:asciiTheme="minorHAnsi" w:eastAsiaTheme="minorEastAsia" w:hAnsiTheme="minorHAnsi" w:cstheme="minorBidi"/>
          <w:sz w:val="22"/>
          <w:szCs w:val="22"/>
          <w:lang w:eastAsia="en-AU"/>
        </w:rPr>
      </w:pPr>
      <w:r>
        <w:tab/>
      </w:r>
      <w:hyperlink w:anchor="_Toc83626062" w:history="1">
        <w:r w:rsidRPr="00D90FEA">
          <w:t>586</w:t>
        </w:r>
        <w:r>
          <w:rPr>
            <w:rFonts w:asciiTheme="minorHAnsi" w:eastAsiaTheme="minorEastAsia" w:hAnsiTheme="minorHAnsi" w:cstheme="minorBidi"/>
            <w:sz w:val="22"/>
            <w:szCs w:val="22"/>
            <w:lang w:eastAsia="en-AU"/>
          </w:rPr>
          <w:tab/>
        </w:r>
        <w:r w:rsidRPr="00D90FEA">
          <w:rPr>
            <w:rFonts w:ascii="Helvetica" w:hAnsi="Helvetica" w:cs="Helvetica"/>
            <w:iCs/>
          </w:rPr>
          <w:t>Multiple requirements</w:t>
        </w:r>
        <w:r>
          <w:tab/>
        </w:r>
        <w:r>
          <w:fldChar w:fldCharType="begin"/>
        </w:r>
        <w:r>
          <w:instrText xml:space="preserve"> PAGEREF _Toc83626062 \h </w:instrText>
        </w:r>
        <w:r>
          <w:fldChar w:fldCharType="separate"/>
        </w:r>
        <w:r w:rsidR="005C5D7F">
          <w:t>533</w:t>
        </w:r>
        <w:r>
          <w:fldChar w:fldCharType="end"/>
        </w:r>
      </w:hyperlink>
    </w:p>
    <w:p w14:paraId="09854A6F" w14:textId="1D95632E" w:rsidR="005E03F7" w:rsidRDefault="005E03F7">
      <w:pPr>
        <w:pStyle w:val="TOC5"/>
        <w:rPr>
          <w:rFonts w:asciiTheme="minorHAnsi" w:eastAsiaTheme="minorEastAsia" w:hAnsiTheme="minorHAnsi" w:cstheme="minorBidi"/>
          <w:sz w:val="22"/>
          <w:szCs w:val="22"/>
          <w:lang w:eastAsia="en-AU"/>
        </w:rPr>
      </w:pPr>
      <w:r>
        <w:tab/>
      </w:r>
      <w:hyperlink w:anchor="_Toc83626063" w:history="1">
        <w:r w:rsidRPr="00D90FEA">
          <w:t>587</w:t>
        </w:r>
        <w:r>
          <w:rPr>
            <w:rFonts w:asciiTheme="minorHAnsi" w:eastAsiaTheme="minorEastAsia" w:hAnsiTheme="minorHAnsi" w:cstheme="minorBidi"/>
            <w:sz w:val="22"/>
            <w:szCs w:val="22"/>
            <w:lang w:eastAsia="en-AU"/>
          </w:rPr>
          <w:tab/>
        </w:r>
        <w:r w:rsidRPr="00D90FEA">
          <w:rPr>
            <w:rFonts w:ascii="Helvetica" w:hAnsi="Helvetica" w:cs="Helvetica"/>
            <w:iCs/>
          </w:rPr>
          <w:t>Compliance with particular requirements</w:t>
        </w:r>
        <w:r>
          <w:tab/>
        </w:r>
        <w:r>
          <w:fldChar w:fldCharType="begin"/>
        </w:r>
        <w:r>
          <w:instrText xml:space="preserve"> PAGEREF _Toc83626063 \h </w:instrText>
        </w:r>
        <w:r>
          <w:fldChar w:fldCharType="separate"/>
        </w:r>
        <w:r w:rsidR="005C5D7F">
          <w:t>533</w:t>
        </w:r>
        <w:r>
          <w:fldChar w:fldCharType="end"/>
        </w:r>
      </w:hyperlink>
    </w:p>
    <w:p w14:paraId="5985462F" w14:textId="2E3B8446" w:rsidR="005E03F7" w:rsidRDefault="005E03F7">
      <w:pPr>
        <w:pStyle w:val="TOC5"/>
        <w:rPr>
          <w:rFonts w:asciiTheme="minorHAnsi" w:eastAsiaTheme="minorEastAsia" w:hAnsiTheme="minorHAnsi" w:cstheme="minorBidi"/>
          <w:sz w:val="22"/>
          <w:szCs w:val="22"/>
          <w:lang w:eastAsia="en-AU"/>
        </w:rPr>
      </w:pPr>
      <w:r>
        <w:lastRenderedPageBreak/>
        <w:tab/>
      </w:r>
      <w:hyperlink w:anchor="_Toc83626064" w:history="1">
        <w:r w:rsidRPr="00D90FEA">
          <w:t>588</w:t>
        </w:r>
        <w:r>
          <w:rPr>
            <w:rFonts w:asciiTheme="minorHAnsi" w:eastAsiaTheme="minorEastAsia" w:hAnsiTheme="minorHAnsi" w:cstheme="minorBidi"/>
            <w:sz w:val="22"/>
            <w:szCs w:val="22"/>
            <w:lang w:eastAsia="en-AU"/>
          </w:rPr>
          <w:tab/>
        </w:r>
        <w:r w:rsidRPr="00D90FEA">
          <w:rPr>
            <w:rFonts w:ascii="Helvetica" w:hAnsi="Helvetica" w:cs="Helvetica"/>
            <w:iCs/>
          </w:rPr>
          <w:t>Evidential immunity for individuals complying with particular requirements</w:t>
        </w:r>
        <w:r>
          <w:tab/>
        </w:r>
        <w:r>
          <w:fldChar w:fldCharType="begin"/>
        </w:r>
        <w:r>
          <w:instrText xml:space="preserve"> PAGEREF _Toc83626064 \h </w:instrText>
        </w:r>
        <w:r>
          <w:fldChar w:fldCharType="separate"/>
        </w:r>
        <w:r w:rsidR="005C5D7F">
          <w:t>534</w:t>
        </w:r>
        <w:r>
          <w:fldChar w:fldCharType="end"/>
        </w:r>
      </w:hyperlink>
    </w:p>
    <w:p w14:paraId="68E26C50" w14:textId="62FF6F83" w:rsidR="005E03F7" w:rsidRDefault="005E03F7">
      <w:pPr>
        <w:pStyle w:val="TOC5"/>
        <w:rPr>
          <w:rFonts w:asciiTheme="minorHAnsi" w:eastAsiaTheme="minorEastAsia" w:hAnsiTheme="minorHAnsi" w:cstheme="minorBidi"/>
          <w:sz w:val="22"/>
          <w:szCs w:val="22"/>
          <w:lang w:eastAsia="en-AU"/>
        </w:rPr>
      </w:pPr>
      <w:r>
        <w:tab/>
      </w:r>
      <w:hyperlink w:anchor="_Toc83626065" w:history="1">
        <w:r w:rsidRPr="00D90FEA">
          <w:t>589</w:t>
        </w:r>
        <w:r>
          <w:rPr>
            <w:rFonts w:asciiTheme="minorHAnsi" w:eastAsiaTheme="minorEastAsia" w:hAnsiTheme="minorHAnsi" w:cstheme="minorBidi"/>
            <w:sz w:val="22"/>
            <w:szCs w:val="22"/>
            <w:lang w:eastAsia="en-AU"/>
          </w:rPr>
          <w:tab/>
        </w:r>
        <w:r w:rsidRPr="00D90FEA">
          <w:rPr>
            <w:rFonts w:ascii="Helvetica" w:hAnsi="Helvetica" w:cs="Helvetica"/>
            <w:iCs/>
          </w:rPr>
          <w:t>Effect of withdrawal of consent to enter under this Chapter</w:t>
        </w:r>
        <w:r>
          <w:tab/>
        </w:r>
        <w:r>
          <w:fldChar w:fldCharType="begin"/>
        </w:r>
        <w:r>
          <w:instrText xml:space="preserve"> PAGEREF _Toc83626065 \h </w:instrText>
        </w:r>
        <w:r>
          <w:fldChar w:fldCharType="separate"/>
        </w:r>
        <w:r w:rsidR="005C5D7F">
          <w:t>534</w:t>
        </w:r>
        <w:r>
          <w:fldChar w:fldCharType="end"/>
        </w:r>
      </w:hyperlink>
    </w:p>
    <w:p w14:paraId="516220D6" w14:textId="217A84A0" w:rsidR="005E03F7" w:rsidRDefault="00856BEE">
      <w:pPr>
        <w:pStyle w:val="TOC1"/>
        <w:rPr>
          <w:rFonts w:asciiTheme="minorHAnsi" w:eastAsiaTheme="minorEastAsia" w:hAnsiTheme="minorHAnsi" w:cstheme="minorBidi"/>
          <w:b w:val="0"/>
          <w:sz w:val="22"/>
          <w:szCs w:val="22"/>
          <w:lang w:eastAsia="en-AU"/>
        </w:rPr>
      </w:pPr>
      <w:hyperlink w:anchor="_Toc83626066" w:history="1">
        <w:r w:rsidR="005E03F7" w:rsidRPr="00D90FEA">
          <w:t xml:space="preserve">Chapter 10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Sanctions and provisions about liability for offences</w:t>
        </w:r>
        <w:r w:rsidR="005E03F7" w:rsidRPr="005E03F7">
          <w:rPr>
            <w:vanish/>
          </w:rPr>
          <w:tab/>
        </w:r>
        <w:r w:rsidR="005E03F7" w:rsidRPr="005E03F7">
          <w:rPr>
            <w:vanish/>
          </w:rPr>
          <w:fldChar w:fldCharType="begin"/>
        </w:r>
        <w:r w:rsidR="005E03F7" w:rsidRPr="005E03F7">
          <w:rPr>
            <w:vanish/>
          </w:rPr>
          <w:instrText xml:space="preserve"> PAGEREF _Toc83626066 \h </w:instrText>
        </w:r>
        <w:r w:rsidR="005E03F7" w:rsidRPr="005E03F7">
          <w:rPr>
            <w:vanish/>
          </w:rPr>
        </w:r>
        <w:r w:rsidR="005E03F7" w:rsidRPr="005E03F7">
          <w:rPr>
            <w:vanish/>
          </w:rPr>
          <w:fldChar w:fldCharType="separate"/>
        </w:r>
        <w:r w:rsidR="005C5D7F">
          <w:rPr>
            <w:vanish/>
          </w:rPr>
          <w:t>535</w:t>
        </w:r>
        <w:r w:rsidR="005E03F7" w:rsidRPr="005E03F7">
          <w:rPr>
            <w:vanish/>
          </w:rPr>
          <w:fldChar w:fldCharType="end"/>
        </w:r>
      </w:hyperlink>
    </w:p>
    <w:p w14:paraId="3C92A189" w14:textId="08FBB7F7" w:rsidR="005E03F7" w:rsidRDefault="00856BEE">
      <w:pPr>
        <w:pStyle w:val="TOC2"/>
        <w:rPr>
          <w:rFonts w:asciiTheme="minorHAnsi" w:eastAsiaTheme="minorEastAsia" w:hAnsiTheme="minorHAnsi" w:cstheme="minorBidi"/>
          <w:b w:val="0"/>
          <w:sz w:val="22"/>
          <w:szCs w:val="22"/>
          <w:lang w:eastAsia="en-AU"/>
        </w:rPr>
      </w:pPr>
      <w:hyperlink w:anchor="_Toc83626067" w:history="1">
        <w:r w:rsidR="005E03F7" w:rsidRPr="00D90FEA">
          <w:t xml:space="preserve">Part 10.1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Formal warnings</w:t>
        </w:r>
        <w:r w:rsidR="005E03F7" w:rsidRPr="005E03F7">
          <w:rPr>
            <w:vanish/>
          </w:rPr>
          <w:tab/>
        </w:r>
        <w:r w:rsidR="005E03F7" w:rsidRPr="005E03F7">
          <w:rPr>
            <w:vanish/>
          </w:rPr>
          <w:fldChar w:fldCharType="begin"/>
        </w:r>
        <w:r w:rsidR="005E03F7" w:rsidRPr="005E03F7">
          <w:rPr>
            <w:vanish/>
          </w:rPr>
          <w:instrText xml:space="preserve"> PAGEREF _Toc83626067 \h </w:instrText>
        </w:r>
        <w:r w:rsidR="005E03F7" w:rsidRPr="005E03F7">
          <w:rPr>
            <w:vanish/>
          </w:rPr>
        </w:r>
        <w:r w:rsidR="005E03F7" w:rsidRPr="005E03F7">
          <w:rPr>
            <w:vanish/>
          </w:rPr>
          <w:fldChar w:fldCharType="separate"/>
        </w:r>
        <w:r w:rsidR="005C5D7F">
          <w:rPr>
            <w:vanish/>
          </w:rPr>
          <w:t>535</w:t>
        </w:r>
        <w:r w:rsidR="005E03F7" w:rsidRPr="005E03F7">
          <w:rPr>
            <w:vanish/>
          </w:rPr>
          <w:fldChar w:fldCharType="end"/>
        </w:r>
      </w:hyperlink>
    </w:p>
    <w:p w14:paraId="604BDEE8" w14:textId="5E77D037" w:rsidR="005E03F7" w:rsidRDefault="005E03F7">
      <w:pPr>
        <w:pStyle w:val="TOC5"/>
        <w:rPr>
          <w:rFonts w:asciiTheme="minorHAnsi" w:eastAsiaTheme="minorEastAsia" w:hAnsiTheme="minorHAnsi" w:cstheme="minorBidi"/>
          <w:sz w:val="22"/>
          <w:szCs w:val="22"/>
          <w:lang w:eastAsia="en-AU"/>
        </w:rPr>
      </w:pPr>
      <w:r>
        <w:tab/>
      </w:r>
      <w:hyperlink w:anchor="_Toc83626068" w:history="1">
        <w:r w:rsidRPr="00D90FEA">
          <w:t>590</w:t>
        </w:r>
        <w:r>
          <w:rPr>
            <w:rFonts w:asciiTheme="minorHAnsi" w:eastAsiaTheme="minorEastAsia" w:hAnsiTheme="minorHAnsi" w:cstheme="minorBidi"/>
            <w:sz w:val="22"/>
            <w:szCs w:val="22"/>
            <w:lang w:eastAsia="en-AU"/>
          </w:rPr>
          <w:tab/>
        </w:r>
        <w:r w:rsidRPr="00D90FEA">
          <w:rPr>
            <w:rFonts w:ascii="Helvetica" w:hAnsi="Helvetica" w:cs="Helvetica"/>
            <w:iCs/>
          </w:rPr>
          <w:t>Formal warning</w:t>
        </w:r>
        <w:r>
          <w:tab/>
        </w:r>
        <w:r>
          <w:fldChar w:fldCharType="begin"/>
        </w:r>
        <w:r>
          <w:instrText xml:space="preserve"> PAGEREF _Toc83626068 \h </w:instrText>
        </w:r>
        <w:r>
          <w:fldChar w:fldCharType="separate"/>
        </w:r>
        <w:r w:rsidR="005C5D7F">
          <w:t>535</w:t>
        </w:r>
        <w:r>
          <w:fldChar w:fldCharType="end"/>
        </w:r>
      </w:hyperlink>
    </w:p>
    <w:p w14:paraId="59B357D3" w14:textId="3B1A5F63" w:rsidR="005E03F7" w:rsidRDefault="00856BEE">
      <w:pPr>
        <w:pStyle w:val="TOC2"/>
        <w:rPr>
          <w:rFonts w:asciiTheme="minorHAnsi" w:eastAsiaTheme="minorEastAsia" w:hAnsiTheme="minorHAnsi" w:cstheme="minorBidi"/>
          <w:b w:val="0"/>
          <w:sz w:val="22"/>
          <w:szCs w:val="22"/>
          <w:lang w:eastAsia="en-AU"/>
        </w:rPr>
      </w:pPr>
      <w:hyperlink w:anchor="_Toc83626069" w:history="1">
        <w:r w:rsidR="005E03F7" w:rsidRPr="00D90FEA">
          <w:t>Part 10.1A</w:t>
        </w:r>
        <w:r w:rsidR="005E03F7">
          <w:rPr>
            <w:rFonts w:asciiTheme="minorHAnsi" w:eastAsiaTheme="minorEastAsia" w:hAnsiTheme="minorHAnsi" w:cstheme="minorBidi"/>
            <w:b w:val="0"/>
            <w:sz w:val="22"/>
            <w:szCs w:val="22"/>
            <w:lang w:eastAsia="en-AU"/>
          </w:rPr>
          <w:tab/>
        </w:r>
        <w:r w:rsidR="005E03F7" w:rsidRPr="00D90FEA">
          <w:rPr>
            <w:lang w:val="en" w:eastAsia="en-AU"/>
          </w:rPr>
          <w:t>Enforceable undertakings</w:t>
        </w:r>
        <w:r w:rsidR="005E03F7" w:rsidRPr="005E03F7">
          <w:rPr>
            <w:vanish/>
          </w:rPr>
          <w:tab/>
        </w:r>
        <w:r w:rsidR="005E03F7" w:rsidRPr="005E03F7">
          <w:rPr>
            <w:vanish/>
          </w:rPr>
          <w:fldChar w:fldCharType="begin"/>
        </w:r>
        <w:r w:rsidR="005E03F7" w:rsidRPr="005E03F7">
          <w:rPr>
            <w:vanish/>
          </w:rPr>
          <w:instrText xml:space="preserve"> PAGEREF _Toc83626069 \h </w:instrText>
        </w:r>
        <w:r w:rsidR="005E03F7" w:rsidRPr="005E03F7">
          <w:rPr>
            <w:vanish/>
          </w:rPr>
        </w:r>
        <w:r w:rsidR="005E03F7" w:rsidRPr="005E03F7">
          <w:rPr>
            <w:vanish/>
          </w:rPr>
          <w:fldChar w:fldCharType="separate"/>
        </w:r>
        <w:r w:rsidR="005C5D7F">
          <w:rPr>
            <w:vanish/>
          </w:rPr>
          <w:t>537</w:t>
        </w:r>
        <w:r w:rsidR="005E03F7" w:rsidRPr="005E03F7">
          <w:rPr>
            <w:vanish/>
          </w:rPr>
          <w:fldChar w:fldCharType="end"/>
        </w:r>
      </w:hyperlink>
    </w:p>
    <w:p w14:paraId="503D28EC" w14:textId="7C5BB8C3" w:rsidR="005E03F7" w:rsidRDefault="005E03F7">
      <w:pPr>
        <w:pStyle w:val="TOC5"/>
        <w:rPr>
          <w:rFonts w:asciiTheme="minorHAnsi" w:eastAsiaTheme="minorEastAsia" w:hAnsiTheme="minorHAnsi" w:cstheme="minorBidi"/>
          <w:sz w:val="22"/>
          <w:szCs w:val="22"/>
          <w:lang w:eastAsia="en-AU"/>
        </w:rPr>
      </w:pPr>
      <w:r>
        <w:tab/>
      </w:r>
      <w:hyperlink w:anchor="_Toc83626070" w:history="1">
        <w:r w:rsidRPr="00D90FEA">
          <w:t>590A</w:t>
        </w:r>
        <w:r>
          <w:rPr>
            <w:rFonts w:asciiTheme="minorHAnsi" w:eastAsiaTheme="minorEastAsia" w:hAnsiTheme="minorHAnsi" w:cstheme="minorBidi"/>
            <w:sz w:val="22"/>
            <w:szCs w:val="22"/>
            <w:lang w:eastAsia="en-AU"/>
          </w:rPr>
          <w:tab/>
        </w:r>
        <w:r w:rsidRPr="00D90FEA">
          <w:rPr>
            <w:lang w:val="en" w:eastAsia="en-AU"/>
          </w:rPr>
          <w:t>Accepting undertaking</w:t>
        </w:r>
        <w:r>
          <w:tab/>
        </w:r>
        <w:r>
          <w:fldChar w:fldCharType="begin"/>
        </w:r>
        <w:r>
          <w:instrText xml:space="preserve"> PAGEREF _Toc83626070 \h </w:instrText>
        </w:r>
        <w:r>
          <w:fldChar w:fldCharType="separate"/>
        </w:r>
        <w:r w:rsidR="005C5D7F">
          <w:t>537</w:t>
        </w:r>
        <w:r>
          <w:fldChar w:fldCharType="end"/>
        </w:r>
      </w:hyperlink>
    </w:p>
    <w:p w14:paraId="5557B575" w14:textId="1579EA6A" w:rsidR="005E03F7" w:rsidRDefault="005E03F7">
      <w:pPr>
        <w:pStyle w:val="TOC5"/>
        <w:rPr>
          <w:rFonts w:asciiTheme="minorHAnsi" w:eastAsiaTheme="minorEastAsia" w:hAnsiTheme="minorHAnsi" w:cstheme="minorBidi"/>
          <w:sz w:val="22"/>
          <w:szCs w:val="22"/>
          <w:lang w:eastAsia="en-AU"/>
        </w:rPr>
      </w:pPr>
      <w:r>
        <w:tab/>
      </w:r>
      <w:hyperlink w:anchor="_Toc83626071" w:history="1">
        <w:r w:rsidRPr="00D90FEA">
          <w:t>590B</w:t>
        </w:r>
        <w:r>
          <w:rPr>
            <w:rFonts w:asciiTheme="minorHAnsi" w:eastAsiaTheme="minorEastAsia" w:hAnsiTheme="minorHAnsi" w:cstheme="minorBidi"/>
            <w:sz w:val="22"/>
            <w:szCs w:val="22"/>
            <w:lang w:eastAsia="en-AU"/>
          </w:rPr>
          <w:tab/>
        </w:r>
        <w:r w:rsidRPr="00D90FEA">
          <w:rPr>
            <w:lang w:val="en" w:eastAsia="en-AU"/>
          </w:rPr>
          <w:t>Effect of undertaking</w:t>
        </w:r>
        <w:r>
          <w:tab/>
        </w:r>
        <w:r>
          <w:fldChar w:fldCharType="begin"/>
        </w:r>
        <w:r>
          <w:instrText xml:space="preserve"> PAGEREF _Toc83626071 \h </w:instrText>
        </w:r>
        <w:r>
          <w:fldChar w:fldCharType="separate"/>
        </w:r>
        <w:r w:rsidR="005C5D7F">
          <w:t>538</w:t>
        </w:r>
        <w:r>
          <w:fldChar w:fldCharType="end"/>
        </w:r>
      </w:hyperlink>
    </w:p>
    <w:p w14:paraId="20D92D89" w14:textId="4BAF0297" w:rsidR="005E03F7" w:rsidRDefault="005E03F7">
      <w:pPr>
        <w:pStyle w:val="TOC5"/>
        <w:rPr>
          <w:rFonts w:asciiTheme="minorHAnsi" w:eastAsiaTheme="minorEastAsia" w:hAnsiTheme="minorHAnsi" w:cstheme="minorBidi"/>
          <w:sz w:val="22"/>
          <w:szCs w:val="22"/>
          <w:lang w:eastAsia="en-AU"/>
        </w:rPr>
      </w:pPr>
      <w:r>
        <w:tab/>
      </w:r>
      <w:hyperlink w:anchor="_Toc83626072" w:history="1">
        <w:r w:rsidRPr="00D90FEA">
          <w:t>590C</w:t>
        </w:r>
        <w:r>
          <w:rPr>
            <w:rFonts w:asciiTheme="minorHAnsi" w:eastAsiaTheme="minorEastAsia" w:hAnsiTheme="minorHAnsi" w:cstheme="minorBidi"/>
            <w:sz w:val="22"/>
            <w:szCs w:val="22"/>
            <w:lang w:eastAsia="en-AU"/>
          </w:rPr>
          <w:tab/>
        </w:r>
        <w:r w:rsidRPr="00D90FEA">
          <w:rPr>
            <w:lang w:val="en" w:eastAsia="en-AU"/>
          </w:rPr>
          <w:t>Withdrawing or changing undertaking</w:t>
        </w:r>
        <w:r>
          <w:tab/>
        </w:r>
        <w:r>
          <w:fldChar w:fldCharType="begin"/>
        </w:r>
        <w:r>
          <w:instrText xml:space="preserve"> PAGEREF _Toc83626072 \h </w:instrText>
        </w:r>
        <w:r>
          <w:fldChar w:fldCharType="separate"/>
        </w:r>
        <w:r w:rsidR="005C5D7F">
          <w:t>539</w:t>
        </w:r>
        <w:r>
          <w:fldChar w:fldCharType="end"/>
        </w:r>
      </w:hyperlink>
    </w:p>
    <w:p w14:paraId="46B4A70D" w14:textId="79805816" w:rsidR="005E03F7" w:rsidRDefault="005E03F7">
      <w:pPr>
        <w:pStyle w:val="TOC5"/>
        <w:rPr>
          <w:rFonts w:asciiTheme="minorHAnsi" w:eastAsiaTheme="minorEastAsia" w:hAnsiTheme="minorHAnsi" w:cstheme="minorBidi"/>
          <w:sz w:val="22"/>
          <w:szCs w:val="22"/>
          <w:lang w:eastAsia="en-AU"/>
        </w:rPr>
      </w:pPr>
      <w:r>
        <w:tab/>
      </w:r>
      <w:hyperlink w:anchor="_Toc83626073" w:history="1">
        <w:r w:rsidRPr="00D90FEA">
          <w:t>590D</w:t>
        </w:r>
        <w:r>
          <w:rPr>
            <w:rFonts w:asciiTheme="minorHAnsi" w:eastAsiaTheme="minorEastAsia" w:hAnsiTheme="minorHAnsi" w:cstheme="minorBidi"/>
            <w:sz w:val="22"/>
            <w:szCs w:val="22"/>
            <w:lang w:eastAsia="en-AU"/>
          </w:rPr>
          <w:tab/>
        </w:r>
        <w:r w:rsidRPr="00D90FEA">
          <w:rPr>
            <w:lang w:val="en" w:eastAsia="en-AU"/>
          </w:rPr>
          <w:t>Contravening undertaking</w:t>
        </w:r>
        <w:r>
          <w:tab/>
        </w:r>
        <w:r>
          <w:fldChar w:fldCharType="begin"/>
        </w:r>
        <w:r>
          <w:instrText xml:space="preserve"> PAGEREF _Toc83626073 \h </w:instrText>
        </w:r>
        <w:r>
          <w:fldChar w:fldCharType="separate"/>
        </w:r>
        <w:r w:rsidR="005C5D7F">
          <w:t>539</w:t>
        </w:r>
        <w:r>
          <w:fldChar w:fldCharType="end"/>
        </w:r>
      </w:hyperlink>
    </w:p>
    <w:p w14:paraId="1B79861A" w14:textId="2794C7BB" w:rsidR="005E03F7" w:rsidRDefault="00856BEE">
      <w:pPr>
        <w:pStyle w:val="TOC2"/>
        <w:rPr>
          <w:rFonts w:asciiTheme="minorHAnsi" w:eastAsiaTheme="minorEastAsia" w:hAnsiTheme="minorHAnsi" w:cstheme="minorBidi"/>
          <w:b w:val="0"/>
          <w:sz w:val="22"/>
          <w:szCs w:val="22"/>
          <w:lang w:eastAsia="en-AU"/>
        </w:rPr>
      </w:pPr>
      <w:hyperlink w:anchor="_Toc83626074" w:history="1">
        <w:r w:rsidR="005E03F7" w:rsidRPr="00D90FEA">
          <w:t xml:space="preserve">Part 10.2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Infringement notices</w:t>
        </w:r>
        <w:r w:rsidR="005E03F7" w:rsidRPr="005E03F7">
          <w:rPr>
            <w:vanish/>
          </w:rPr>
          <w:tab/>
        </w:r>
        <w:r w:rsidR="005E03F7" w:rsidRPr="005E03F7">
          <w:rPr>
            <w:vanish/>
          </w:rPr>
          <w:fldChar w:fldCharType="begin"/>
        </w:r>
        <w:r w:rsidR="005E03F7" w:rsidRPr="005E03F7">
          <w:rPr>
            <w:vanish/>
          </w:rPr>
          <w:instrText xml:space="preserve"> PAGEREF _Toc83626074 \h </w:instrText>
        </w:r>
        <w:r w:rsidR="005E03F7" w:rsidRPr="005E03F7">
          <w:rPr>
            <w:vanish/>
          </w:rPr>
        </w:r>
        <w:r w:rsidR="005E03F7" w:rsidRPr="005E03F7">
          <w:rPr>
            <w:vanish/>
          </w:rPr>
          <w:fldChar w:fldCharType="separate"/>
        </w:r>
        <w:r w:rsidR="005C5D7F">
          <w:rPr>
            <w:vanish/>
          </w:rPr>
          <w:t>541</w:t>
        </w:r>
        <w:r w:rsidR="005E03F7" w:rsidRPr="005E03F7">
          <w:rPr>
            <w:vanish/>
          </w:rPr>
          <w:fldChar w:fldCharType="end"/>
        </w:r>
      </w:hyperlink>
    </w:p>
    <w:p w14:paraId="201A47E6" w14:textId="47C19899" w:rsidR="005E03F7" w:rsidRDefault="005E03F7">
      <w:pPr>
        <w:pStyle w:val="TOC5"/>
        <w:rPr>
          <w:rFonts w:asciiTheme="minorHAnsi" w:eastAsiaTheme="minorEastAsia" w:hAnsiTheme="minorHAnsi" w:cstheme="minorBidi"/>
          <w:sz w:val="22"/>
          <w:szCs w:val="22"/>
          <w:lang w:eastAsia="en-AU"/>
        </w:rPr>
      </w:pPr>
      <w:r>
        <w:tab/>
      </w:r>
      <w:hyperlink w:anchor="_Toc83626075" w:history="1">
        <w:r w:rsidRPr="00D90FEA">
          <w:t>591</w:t>
        </w:r>
        <w:r>
          <w:rPr>
            <w:rFonts w:asciiTheme="minorHAnsi" w:eastAsiaTheme="minorEastAsia" w:hAnsiTheme="minorHAnsi" w:cstheme="minorBidi"/>
            <w:sz w:val="22"/>
            <w:szCs w:val="22"/>
            <w:lang w:eastAsia="en-AU"/>
          </w:rPr>
          <w:tab/>
        </w:r>
        <w:r w:rsidRPr="00D90FEA">
          <w:rPr>
            <w:rFonts w:ascii="Helvetica" w:hAnsi="Helvetica" w:cs="Helvetica"/>
            <w:iCs/>
          </w:rPr>
          <w:t>Infringement notices</w:t>
        </w:r>
        <w:r>
          <w:tab/>
        </w:r>
        <w:r>
          <w:fldChar w:fldCharType="begin"/>
        </w:r>
        <w:r>
          <w:instrText xml:space="preserve"> PAGEREF _Toc83626075 \h </w:instrText>
        </w:r>
        <w:r>
          <w:fldChar w:fldCharType="separate"/>
        </w:r>
        <w:r w:rsidR="005C5D7F">
          <w:t>541</w:t>
        </w:r>
        <w:r>
          <w:fldChar w:fldCharType="end"/>
        </w:r>
      </w:hyperlink>
    </w:p>
    <w:p w14:paraId="2B44FBBA" w14:textId="58630908" w:rsidR="005E03F7" w:rsidRDefault="005E03F7">
      <w:pPr>
        <w:pStyle w:val="TOC5"/>
        <w:rPr>
          <w:rFonts w:asciiTheme="minorHAnsi" w:eastAsiaTheme="minorEastAsia" w:hAnsiTheme="minorHAnsi" w:cstheme="minorBidi"/>
          <w:sz w:val="22"/>
          <w:szCs w:val="22"/>
          <w:lang w:eastAsia="en-AU"/>
        </w:rPr>
      </w:pPr>
      <w:r>
        <w:tab/>
      </w:r>
      <w:hyperlink w:anchor="_Toc83626076" w:history="1">
        <w:r w:rsidRPr="00D90FEA">
          <w:t>592</w:t>
        </w:r>
        <w:r>
          <w:rPr>
            <w:rFonts w:asciiTheme="minorHAnsi" w:eastAsiaTheme="minorEastAsia" w:hAnsiTheme="minorHAnsi" w:cstheme="minorBidi"/>
            <w:sz w:val="22"/>
            <w:szCs w:val="22"/>
            <w:lang w:eastAsia="en-AU"/>
          </w:rPr>
          <w:tab/>
        </w:r>
        <w:r w:rsidRPr="00D90FEA">
          <w:rPr>
            <w:rFonts w:ascii="Helvetica" w:hAnsi="Helvetica" w:cs="Helvetica"/>
            <w:iCs/>
          </w:rPr>
          <w:t>Recording information about infringement penalties</w:t>
        </w:r>
        <w:r>
          <w:tab/>
        </w:r>
        <w:r>
          <w:fldChar w:fldCharType="begin"/>
        </w:r>
        <w:r>
          <w:instrText xml:space="preserve"> PAGEREF _Toc83626076 \h </w:instrText>
        </w:r>
        <w:r>
          <w:fldChar w:fldCharType="separate"/>
        </w:r>
        <w:r w:rsidR="005C5D7F">
          <w:t>541</w:t>
        </w:r>
        <w:r>
          <w:fldChar w:fldCharType="end"/>
        </w:r>
      </w:hyperlink>
    </w:p>
    <w:p w14:paraId="1079D8C1" w14:textId="3EBCA796" w:rsidR="005E03F7" w:rsidRDefault="00856BEE">
      <w:pPr>
        <w:pStyle w:val="TOC2"/>
        <w:rPr>
          <w:rFonts w:asciiTheme="minorHAnsi" w:eastAsiaTheme="minorEastAsia" w:hAnsiTheme="minorHAnsi" w:cstheme="minorBidi"/>
          <w:b w:val="0"/>
          <w:sz w:val="22"/>
          <w:szCs w:val="22"/>
          <w:lang w:eastAsia="en-AU"/>
        </w:rPr>
      </w:pPr>
      <w:hyperlink w:anchor="_Toc83626077" w:history="1">
        <w:r w:rsidR="005E03F7" w:rsidRPr="00D90FEA">
          <w:t xml:space="preserve">Part 10.3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Court sanctions</w:t>
        </w:r>
        <w:r w:rsidR="005E03F7" w:rsidRPr="005E03F7">
          <w:rPr>
            <w:vanish/>
          </w:rPr>
          <w:tab/>
        </w:r>
        <w:r w:rsidR="005E03F7" w:rsidRPr="005E03F7">
          <w:rPr>
            <w:vanish/>
          </w:rPr>
          <w:fldChar w:fldCharType="begin"/>
        </w:r>
        <w:r w:rsidR="005E03F7" w:rsidRPr="005E03F7">
          <w:rPr>
            <w:vanish/>
          </w:rPr>
          <w:instrText xml:space="preserve"> PAGEREF _Toc83626077 \h </w:instrText>
        </w:r>
        <w:r w:rsidR="005E03F7" w:rsidRPr="005E03F7">
          <w:rPr>
            <w:vanish/>
          </w:rPr>
        </w:r>
        <w:r w:rsidR="005E03F7" w:rsidRPr="005E03F7">
          <w:rPr>
            <w:vanish/>
          </w:rPr>
          <w:fldChar w:fldCharType="separate"/>
        </w:r>
        <w:r w:rsidR="005C5D7F">
          <w:rPr>
            <w:vanish/>
          </w:rPr>
          <w:t>543</w:t>
        </w:r>
        <w:r w:rsidR="005E03F7" w:rsidRPr="005E03F7">
          <w:rPr>
            <w:vanish/>
          </w:rPr>
          <w:fldChar w:fldCharType="end"/>
        </w:r>
      </w:hyperlink>
    </w:p>
    <w:p w14:paraId="2D7D10D9" w14:textId="0992FE51" w:rsidR="005E03F7" w:rsidRDefault="00856BEE">
      <w:pPr>
        <w:pStyle w:val="TOC3"/>
        <w:rPr>
          <w:rFonts w:asciiTheme="minorHAnsi" w:eastAsiaTheme="minorEastAsia" w:hAnsiTheme="minorHAnsi" w:cstheme="minorBidi"/>
          <w:b w:val="0"/>
          <w:sz w:val="22"/>
          <w:szCs w:val="22"/>
          <w:lang w:eastAsia="en-AU"/>
        </w:rPr>
      </w:pPr>
      <w:hyperlink w:anchor="_Toc83626078" w:history="1">
        <w:r w:rsidR="005E03F7" w:rsidRPr="00D90FEA">
          <w:t xml:space="preserve">Division 1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General provisions</w:t>
        </w:r>
        <w:r w:rsidR="005E03F7" w:rsidRPr="005E03F7">
          <w:rPr>
            <w:vanish/>
          </w:rPr>
          <w:tab/>
        </w:r>
        <w:r w:rsidR="005E03F7" w:rsidRPr="005E03F7">
          <w:rPr>
            <w:vanish/>
          </w:rPr>
          <w:fldChar w:fldCharType="begin"/>
        </w:r>
        <w:r w:rsidR="005E03F7" w:rsidRPr="005E03F7">
          <w:rPr>
            <w:vanish/>
          </w:rPr>
          <w:instrText xml:space="preserve"> PAGEREF _Toc83626078 \h </w:instrText>
        </w:r>
        <w:r w:rsidR="005E03F7" w:rsidRPr="005E03F7">
          <w:rPr>
            <w:vanish/>
          </w:rPr>
        </w:r>
        <w:r w:rsidR="005E03F7" w:rsidRPr="005E03F7">
          <w:rPr>
            <w:vanish/>
          </w:rPr>
          <w:fldChar w:fldCharType="separate"/>
        </w:r>
        <w:r w:rsidR="005C5D7F">
          <w:rPr>
            <w:vanish/>
          </w:rPr>
          <w:t>543</w:t>
        </w:r>
        <w:r w:rsidR="005E03F7" w:rsidRPr="005E03F7">
          <w:rPr>
            <w:vanish/>
          </w:rPr>
          <w:fldChar w:fldCharType="end"/>
        </w:r>
      </w:hyperlink>
    </w:p>
    <w:p w14:paraId="31FC192B" w14:textId="57B485B8" w:rsidR="005E03F7" w:rsidRDefault="005E03F7">
      <w:pPr>
        <w:pStyle w:val="TOC5"/>
        <w:rPr>
          <w:rFonts w:asciiTheme="minorHAnsi" w:eastAsiaTheme="minorEastAsia" w:hAnsiTheme="minorHAnsi" w:cstheme="minorBidi"/>
          <w:sz w:val="22"/>
          <w:szCs w:val="22"/>
          <w:lang w:eastAsia="en-AU"/>
        </w:rPr>
      </w:pPr>
      <w:r>
        <w:tab/>
      </w:r>
      <w:hyperlink w:anchor="_Toc83626079" w:history="1">
        <w:r w:rsidRPr="00D90FEA">
          <w:t>593</w:t>
        </w:r>
        <w:r>
          <w:rPr>
            <w:rFonts w:asciiTheme="minorHAnsi" w:eastAsiaTheme="minorEastAsia" w:hAnsiTheme="minorHAnsi" w:cstheme="minorBidi"/>
            <w:sz w:val="22"/>
            <w:szCs w:val="22"/>
            <w:lang w:eastAsia="en-AU"/>
          </w:rPr>
          <w:tab/>
        </w:r>
        <w:r w:rsidRPr="00D90FEA">
          <w:rPr>
            <w:rFonts w:ascii="Helvetica" w:hAnsi="Helvetica" w:cs="Helvetica"/>
            <w:iCs/>
          </w:rPr>
          <w:t>Penalties court may impose</w:t>
        </w:r>
        <w:r>
          <w:tab/>
        </w:r>
        <w:r>
          <w:fldChar w:fldCharType="begin"/>
        </w:r>
        <w:r>
          <w:instrText xml:space="preserve"> PAGEREF _Toc83626079 \h </w:instrText>
        </w:r>
        <w:r>
          <w:fldChar w:fldCharType="separate"/>
        </w:r>
        <w:r w:rsidR="005C5D7F">
          <w:t>543</w:t>
        </w:r>
        <w:r>
          <w:fldChar w:fldCharType="end"/>
        </w:r>
      </w:hyperlink>
    </w:p>
    <w:p w14:paraId="2F5E5346" w14:textId="65A27793" w:rsidR="005E03F7" w:rsidRDefault="005E03F7">
      <w:pPr>
        <w:pStyle w:val="TOC5"/>
        <w:rPr>
          <w:rFonts w:asciiTheme="minorHAnsi" w:eastAsiaTheme="minorEastAsia" w:hAnsiTheme="minorHAnsi" w:cstheme="minorBidi"/>
          <w:sz w:val="22"/>
          <w:szCs w:val="22"/>
          <w:lang w:eastAsia="en-AU"/>
        </w:rPr>
      </w:pPr>
      <w:r>
        <w:tab/>
      </w:r>
      <w:hyperlink w:anchor="_Toc83626080" w:history="1">
        <w:r w:rsidRPr="00D90FEA">
          <w:t>594</w:t>
        </w:r>
        <w:r>
          <w:rPr>
            <w:rFonts w:asciiTheme="minorHAnsi" w:eastAsiaTheme="minorEastAsia" w:hAnsiTheme="minorHAnsi" w:cstheme="minorBidi"/>
            <w:sz w:val="22"/>
            <w:szCs w:val="22"/>
            <w:lang w:eastAsia="en-AU"/>
          </w:rPr>
          <w:tab/>
        </w:r>
        <w:r w:rsidRPr="00D90FEA">
          <w:rPr>
            <w:rFonts w:ascii="Helvetica" w:hAnsi="Helvetica" w:cs="Helvetica"/>
            <w:iCs/>
          </w:rPr>
          <w:t>Matters court must consider when imposing sanction for noncompliance with mass, dimension or loading requirement</w:t>
        </w:r>
        <w:r>
          <w:tab/>
        </w:r>
        <w:r>
          <w:fldChar w:fldCharType="begin"/>
        </w:r>
        <w:r>
          <w:instrText xml:space="preserve"> PAGEREF _Toc83626080 \h </w:instrText>
        </w:r>
        <w:r>
          <w:fldChar w:fldCharType="separate"/>
        </w:r>
        <w:r w:rsidR="005C5D7F">
          <w:t>543</w:t>
        </w:r>
        <w:r>
          <w:fldChar w:fldCharType="end"/>
        </w:r>
      </w:hyperlink>
    </w:p>
    <w:p w14:paraId="50AD774D" w14:textId="7E6950FD" w:rsidR="005E03F7" w:rsidRDefault="005E03F7">
      <w:pPr>
        <w:pStyle w:val="TOC5"/>
        <w:rPr>
          <w:rFonts w:asciiTheme="minorHAnsi" w:eastAsiaTheme="minorEastAsia" w:hAnsiTheme="minorHAnsi" w:cstheme="minorBidi"/>
          <w:sz w:val="22"/>
          <w:szCs w:val="22"/>
          <w:lang w:eastAsia="en-AU"/>
        </w:rPr>
      </w:pPr>
      <w:r>
        <w:tab/>
      </w:r>
      <w:hyperlink w:anchor="_Toc83626081" w:history="1">
        <w:r w:rsidRPr="00D90FEA">
          <w:t>595</w:t>
        </w:r>
        <w:r>
          <w:rPr>
            <w:rFonts w:asciiTheme="minorHAnsi" w:eastAsiaTheme="minorEastAsia" w:hAnsiTheme="minorHAnsi" w:cstheme="minorBidi"/>
            <w:sz w:val="22"/>
            <w:szCs w:val="22"/>
            <w:lang w:eastAsia="en-AU"/>
          </w:rPr>
          <w:tab/>
        </w:r>
        <w:r w:rsidRPr="00D90FEA">
          <w:rPr>
            <w:rFonts w:ascii="Helvetica" w:hAnsi="Helvetica" w:cs="Helvetica"/>
            <w:iCs/>
          </w:rPr>
          <w:t>Court may treat noncompliance with mass, dimension or loading requirement as a different risk category</w:t>
        </w:r>
        <w:r>
          <w:tab/>
        </w:r>
        <w:r>
          <w:fldChar w:fldCharType="begin"/>
        </w:r>
        <w:r>
          <w:instrText xml:space="preserve"> PAGEREF _Toc83626081 \h </w:instrText>
        </w:r>
        <w:r>
          <w:fldChar w:fldCharType="separate"/>
        </w:r>
        <w:r w:rsidR="005C5D7F">
          <w:t>545</w:t>
        </w:r>
        <w:r>
          <w:fldChar w:fldCharType="end"/>
        </w:r>
      </w:hyperlink>
    </w:p>
    <w:p w14:paraId="29C69AC4" w14:textId="28B950CB" w:rsidR="005E03F7" w:rsidRDefault="00856BEE">
      <w:pPr>
        <w:pStyle w:val="TOC3"/>
        <w:rPr>
          <w:rFonts w:asciiTheme="minorHAnsi" w:eastAsiaTheme="minorEastAsia" w:hAnsiTheme="minorHAnsi" w:cstheme="minorBidi"/>
          <w:b w:val="0"/>
          <w:sz w:val="22"/>
          <w:szCs w:val="22"/>
          <w:lang w:eastAsia="en-AU"/>
        </w:rPr>
      </w:pPr>
      <w:hyperlink w:anchor="_Toc83626082" w:history="1">
        <w:r w:rsidR="005E03F7" w:rsidRPr="00D90FEA">
          <w:t xml:space="preserve">Division 2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Provisions about imposing fines</w:t>
        </w:r>
        <w:r w:rsidR="005E03F7" w:rsidRPr="005E03F7">
          <w:rPr>
            <w:vanish/>
          </w:rPr>
          <w:tab/>
        </w:r>
        <w:r w:rsidR="005E03F7" w:rsidRPr="005E03F7">
          <w:rPr>
            <w:vanish/>
          </w:rPr>
          <w:fldChar w:fldCharType="begin"/>
        </w:r>
        <w:r w:rsidR="005E03F7" w:rsidRPr="005E03F7">
          <w:rPr>
            <w:vanish/>
          </w:rPr>
          <w:instrText xml:space="preserve"> PAGEREF _Toc83626082 \h </w:instrText>
        </w:r>
        <w:r w:rsidR="005E03F7" w:rsidRPr="005E03F7">
          <w:rPr>
            <w:vanish/>
          </w:rPr>
        </w:r>
        <w:r w:rsidR="005E03F7" w:rsidRPr="005E03F7">
          <w:rPr>
            <w:vanish/>
          </w:rPr>
          <w:fldChar w:fldCharType="separate"/>
        </w:r>
        <w:r w:rsidR="005C5D7F">
          <w:rPr>
            <w:vanish/>
          </w:rPr>
          <w:t>545</w:t>
        </w:r>
        <w:r w:rsidR="005E03F7" w:rsidRPr="005E03F7">
          <w:rPr>
            <w:vanish/>
          </w:rPr>
          <w:fldChar w:fldCharType="end"/>
        </w:r>
      </w:hyperlink>
    </w:p>
    <w:p w14:paraId="432C2A38" w14:textId="6756B349" w:rsidR="005E03F7" w:rsidRDefault="005E03F7">
      <w:pPr>
        <w:pStyle w:val="TOC5"/>
        <w:rPr>
          <w:rFonts w:asciiTheme="minorHAnsi" w:eastAsiaTheme="minorEastAsia" w:hAnsiTheme="minorHAnsi" w:cstheme="minorBidi"/>
          <w:sz w:val="22"/>
          <w:szCs w:val="22"/>
          <w:lang w:eastAsia="en-AU"/>
        </w:rPr>
      </w:pPr>
      <w:r>
        <w:tab/>
      </w:r>
      <w:hyperlink w:anchor="_Toc83626083" w:history="1">
        <w:r w:rsidRPr="00D90FEA">
          <w:t>596</w:t>
        </w:r>
        <w:r>
          <w:rPr>
            <w:rFonts w:asciiTheme="minorHAnsi" w:eastAsiaTheme="minorEastAsia" w:hAnsiTheme="minorHAnsi" w:cstheme="minorBidi"/>
            <w:sz w:val="22"/>
            <w:szCs w:val="22"/>
            <w:lang w:eastAsia="en-AU"/>
          </w:rPr>
          <w:tab/>
        </w:r>
        <w:r w:rsidRPr="00D90FEA">
          <w:rPr>
            <w:rFonts w:ascii="Helvetica" w:hAnsi="Helvetica" w:cs="Helvetica"/>
            <w:iCs/>
          </w:rPr>
          <w:t>Body corporate fines under penalty provision</w:t>
        </w:r>
        <w:r>
          <w:tab/>
        </w:r>
        <w:r>
          <w:fldChar w:fldCharType="begin"/>
        </w:r>
        <w:r>
          <w:instrText xml:space="preserve"> PAGEREF _Toc83626083 \h </w:instrText>
        </w:r>
        <w:r>
          <w:fldChar w:fldCharType="separate"/>
        </w:r>
        <w:r w:rsidR="005C5D7F">
          <w:t>545</w:t>
        </w:r>
        <w:r>
          <w:fldChar w:fldCharType="end"/>
        </w:r>
      </w:hyperlink>
    </w:p>
    <w:p w14:paraId="105C7818" w14:textId="6337B159" w:rsidR="005E03F7" w:rsidRDefault="00856BEE">
      <w:pPr>
        <w:pStyle w:val="TOC3"/>
        <w:rPr>
          <w:rFonts w:asciiTheme="minorHAnsi" w:eastAsiaTheme="minorEastAsia" w:hAnsiTheme="minorHAnsi" w:cstheme="minorBidi"/>
          <w:b w:val="0"/>
          <w:sz w:val="22"/>
          <w:szCs w:val="22"/>
          <w:lang w:eastAsia="en-AU"/>
        </w:rPr>
      </w:pPr>
      <w:hyperlink w:anchor="_Toc83626084" w:history="1">
        <w:r w:rsidR="005E03F7" w:rsidRPr="00D90FEA">
          <w:t>Division 2A</w:t>
        </w:r>
        <w:r w:rsidR="005E03F7">
          <w:rPr>
            <w:rFonts w:asciiTheme="minorHAnsi" w:eastAsiaTheme="minorEastAsia" w:hAnsiTheme="minorHAnsi" w:cstheme="minorBidi"/>
            <w:b w:val="0"/>
            <w:sz w:val="22"/>
            <w:szCs w:val="22"/>
            <w:lang w:eastAsia="en-AU"/>
          </w:rPr>
          <w:tab/>
        </w:r>
        <w:r w:rsidR="005E03F7" w:rsidRPr="00D90FEA">
          <w:rPr>
            <w:lang w:val="en" w:eastAsia="en-AU"/>
          </w:rPr>
          <w:t>Injunctions</w:t>
        </w:r>
        <w:r w:rsidR="005E03F7" w:rsidRPr="005E03F7">
          <w:rPr>
            <w:vanish/>
          </w:rPr>
          <w:tab/>
        </w:r>
        <w:r w:rsidR="005E03F7" w:rsidRPr="005E03F7">
          <w:rPr>
            <w:vanish/>
          </w:rPr>
          <w:fldChar w:fldCharType="begin"/>
        </w:r>
        <w:r w:rsidR="005E03F7" w:rsidRPr="005E03F7">
          <w:rPr>
            <w:vanish/>
          </w:rPr>
          <w:instrText xml:space="preserve"> PAGEREF _Toc83626084 \h </w:instrText>
        </w:r>
        <w:r w:rsidR="005E03F7" w:rsidRPr="005E03F7">
          <w:rPr>
            <w:vanish/>
          </w:rPr>
        </w:r>
        <w:r w:rsidR="005E03F7" w:rsidRPr="005E03F7">
          <w:rPr>
            <w:vanish/>
          </w:rPr>
          <w:fldChar w:fldCharType="separate"/>
        </w:r>
        <w:r w:rsidR="005C5D7F">
          <w:rPr>
            <w:vanish/>
          </w:rPr>
          <w:t>546</w:t>
        </w:r>
        <w:r w:rsidR="005E03F7" w:rsidRPr="005E03F7">
          <w:rPr>
            <w:vanish/>
          </w:rPr>
          <w:fldChar w:fldCharType="end"/>
        </w:r>
      </w:hyperlink>
    </w:p>
    <w:p w14:paraId="4677EAB7" w14:textId="075A9F8D" w:rsidR="005E03F7" w:rsidRDefault="005E03F7">
      <w:pPr>
        <w:pStyle w:val="TOC5"/>
        <w:rPr>
          <w:rFonts w:asciiTheme="minorHAnsi" w:eastAsiaTheme="minorEastAsia" w:hAnsiTheme="minorHAnsi" w:cstheme="minorBidi"/>
          <w:sz w:val="22"/>
          <w:szCs w:val="22"/>
          <w:lang w:eastAsia="en-AU"/>
        </w:rPr>
      </w:pPr>
      <w:r>
        <w:tab/>
      </w:r>
      <w:hyperlink w:anchor="_Toc83626085" w:history="1">
        <w:r w:rsidRPr="00D90FEA">
          <w:t>596A</w:t>
        </w:r>
        <w:r>
          <w:rPr>
            <w:rFonts w:asciiTheme="minorHAnsi" w:eastAsiaTheme="minorEastAsia" w:hAnsiTheme="minorHAnsi" w:cstheme="minorBidi"/>
            <w:sz w:val="22"/>
            <w:szCs w:val="22"/>
            <w:lang w:eastAsia="en-AU"/>
          </w:rPr>
          <w:tab/>
        </w:r>
        <w:r w:rsidRPr="00D90FEA">
          <w:rPr>
            <w:lang w:val="en" w:eastAsia="en-AU"/>
          </w:rPr>
          <w:t>Injunctions</w:t>
        </w:r>
        <w:r>
          <w:tab/>
        </w:r>
        <w:r>
          <w:fldChar w:fldCharType="begin"/>
        </w:r>
        <w:r>
          <w:instrText xml:space="preserve"> PAGEREF _Toc83626085 \h </w:instrText>
        </w:r>
        <w:r>
          <w:fldChar w:fldCharType="separate"/>
        </w:r>
        <w:r w:rsidR="005C5D7F">
          <w:t>546</w:t>
        </w:r>
        <w:r>
          <w:fldChar w:fldCharType="end"/>
        </w:r>
      </w:hyperlink>
    </w:p>
    <w:p w14:paraId="01743897" w14:textId="42553DFE" w:rsidR="005E03F7" w:rsidRDefault="00856BEE">
      <w:pPr>
        <w:pStyle w:val="TOC3"/>
        <w:rPr>
          <w:rFonts w:asciiTheme="minorHAnsi" w:eastAsiaTheme="minorEastAsia" w:hAnsiTheme="minorHAnsi" w:cstheme="minorBidi"/>
          <w:b w:val="0"/>
          <w:sz w:val="22"/>
          <w:szCs w:val="22"/>
          <w:lang w:eastAsia="en-AU"/>
        </w:rPr>
      </w:pPr>
      <w:hyperlink w:anchor="_Toc83626086" w:history="1">
        <w:r w:rsidR="005E03F7" w:rsidRPr="00D90FEA">
          <w:t>Division 3</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Commercial benefits penalty orders</w:t>
        </w:r>
        <w:r w:rsidR="005E03F7" w:rsidRPr="005E03F7">
          <w:rPr>
            <w:vanish/>
          </w:rPr>
          <w:tab/>
        </w:r>
        <w:r w:rsidR="005E03F7" w:rsidRPr="005E03F7">
          <w:rPr>
            <w:vanish/>
          </w:rPr>
          <w:fldChar w:fldCharType="begin"/>
        </w:r>
        <w:r w:rsidR="005E03F7" w:rsidRPr="005E03F7">
          <w:rPr>
            <w:vanish/>
          </w:rPr>
          <w:instrText xml:space="preserve"> PAGEREF _Toc83626086 \h </w:instrText>
        </w:r>
        <w:r w:rsidR="005E03F7" w:rsidRPr="005E03F7">
          <w:rPr>
            <w:vanish/>
          </w:rPr>
        </w:r>
        <w:r w:rsidR="005E03F7" w:rsidRPr="005E03F7">
          <w:rPr>
            <w:vanish/>
          </w:rPr>
          <w:fldChar w:fldCharType="separate"/>
        </w:r>
        <w:r w:rsidR="005C5D7F">
          <w:rPr>
            <w:vanish/>
          </w:rPr>
          <w:t>546</w:t>
        </w:r>
        <w:r w:rsidR="005E03F7" w:rsidRPr="005E03F7">
          <w:rPr>
            <w:vanish/>
          </w:rPr>
          <w:fldChar w:fldCharType="end"/>
        </w:r>
      </w:hyperlink>
    </w:p>
    <w:p w14:paraId="62AB9E9E" w14:textId="46A4CB7B" w:rsidR="005E03F7" w:rsidRDefault="005E03F7">
      <w:pPr>
        <w:pStyle w:val="TOC5"/>
        <w:rPr>
          <w:rFonts w:asciiTheme="minorHAnsi" w:eastAsiaTheme="minorEastAsia" w:hAnsiTheme="minorHAnsi" w:cstheme="minorBidi"/>
          <w:sz w:val="22"/>
          <w:szCs w:val="22"/>
          <w:lang w:eastAsia="en-AU"/>
        </w:rPr>
      </w:pPr>
      <w:r>
        <w:tab/>
      </w:r>
      <w:hyperlink w:anchor="_Toc83626087" w:history="1">
        <w:r w:rsidRPr="00D90FEA">
          <w:t>597</w:t>
        </w:r>
        <w:r>
          <w:rPr>
            <w:rFonts w:asciiTheme="minorHAnsi" w:eastAsiaTheme="minorEastAsia" w:hAnsiTheme="minorHAnsi" w:cstheme="minorBidi"/>
            <w:sz w:val="22"/>
            <w:szCs w:val="22"/>
            <w:lang w:eastAsia="en-AU"/>
          </w:rPr>
          <w:tab/>
        </w:r>
        <w:r w:rsidRPr="00D90FEA">
          <w:rPr>
            <w:rFonts w:ascii="Helvetica" w:hAnsi="Helvetica" w:cs="Helvetica"/>
            <w:iCs/>
          </w:rPr>
          <w:t>Commercial benefits penalty order</w:t>
        </w:r>
        <w:r>
          <w:tab/>
        </w:r>
        <w:r>
          <w:fldChar w:fldCharType="begin"/>
        </w:r>
        <w:r>
          <w:instrText xml:space="preserve"> PAGEREF _Toc83626087 \h </w:instrText>
        </w:r>
        <w:r>
          <w:fldChar w:fldCharType="separate"/>
        </w:r>
        <w:r w:rsidR="005C5D7F">
          <w:t>546</w:t>
        </w:r>
        <w:r>
          <w:fldChar w:fldCharType="end"/>
        </w:r>
      </w:hyperlink>
    </w:p>
    <w:p w14:paraId="6CF10237" w14:textId="31EFF940" w:rsidR="005E03F7" w:rsidRDefault="00856BEE">
      <w:pPr>
        <w:pStyle w:val="TOC3"/>
        <w:rPr>
          <w:rFonts w:asciiTheme="minorHAnsi" w:eastAsiaTheme="minorEastAsia" w:hAnsiTheme="minorHAnsi" w:cstheme="minorBidi"/>
          <w:b w:val="0"/>
          <w:sz w:val="22"/>
          <w:szCs w:val="22"/>
          <w:lang w:eastAsia="en-AU"/>
        </w:rPr>
      </w:pPr>
      <w:hyperlink w:anchor="_Toc83626088" w:history="1">
        <w:r w:rsidR="005E03F7" w:rsidRPr="00D90FEA">
          <w:t xml:space="preserve">Division 4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Cancelling or suspending registration</w:t>
        </w:r>
        <w:r w:rsidR="005E03F7" w:rsidRPr="005E03F7">
          <w:rPr>
            <w:vanish/>
          </w:rPr>
          <w:tab/>
        </w:r>
        <w:r w:rsidR="005E03F7" w:rsidRPr="005E03F7">
          <w:rPr>
            <w:vanish/>
          </w:rPr>
          <w:fldChar w:fldCharType="begin"/>
        </w:r>
        <w:r w:rsidR="005E03F7" w:rsidRPr="005E03F7">
          <w:rPr>
            <w:vanish/>
          </w:rPr>
          <w:instrText xml:space="preserve"> PAGEREF _Toc83626088 \h </w:instrText>
        </w:r>
        <w:r w:rsidR="005E03F7" w:rsidRPr="005E03F7">
          <w:rPr>
            <w:vanish/>
          </w:rPr>
        </w:r>
        <w:r w:rsidR="005E03F7" w:rsidRPr="005E03F7">
          <w:rPr>
            <w:vanish/>
          </w:rPr>
          <w:fldChar w:fldCharType="separate"/>
        </w:r>
        <w:r w:rsidR="005C5D7F">
          <w:rPr>
            <w:vanish/>
          </w:rPr>
          <w:t>547</w:t>
        </w:r>
        <w:r w:rsidR="005E03F7" w:rsidRPr="005E03F7">
          <w:rPr>
            <w:vanish/>
          </w:rPr>
          <w:fldChar w:fldCharType="end"/>
        </w:r>
      </w:hyperlink>
    </w:p>
    <w:p w14:paraId="74EEF615" w14:textId="056891BD" w:rsidR="005E03F7" w:rsidRDefault="005E03F7">
      <w:pPr>
        <w:pStyle w:val="TOC5"/>
        <w:rPr>
          <w:rFonts w:asciiTheme="minorHAnsi" w:eastAsiaTheme="minorEastAsia" w:hAnsiTheme="minorHAnsi" w:cstheme="minorBidi"/>
          <w:sz w:val="22"/>
          <w:szCs w:val="22"/>
          <w:lang w:eastAsia="en-AU"/>
        </w:rPr>
      </w:pPr>
      <w:r>
        <w:tab/>
      </w:r>
      <w:hyperlink w:anchor="_Toc83626089" w:history="1">
        <w:r w:rsidRPr="00D90FEA">
          <w:t>598</w:t>
        </w:r>
        <w:r>
          <w:rPr>
            <w:rFonts w:asciiTheme="minorHAnsi" w:eastAsiaTheme="minorEastAsia" w:hAnsiTheme="minorHAnsi" w:cstheme="minorBidi"/>
            <w:sz w:val="22"/>
            <w:szCs w:val="22"/>
            <w:lang w:eastAsia="en-AU"/>
          </w:rPr>
          <w:tab/>
        </w:r>
        <w:r w:rsidRPr="00D90FEA">
          <w:rPr>
            <w:rFonts w:ascii="Helvetica" w:hAnsi="Helvetica" w:cs="Helvetica"/>
            <w:iCs/>
          </w:rPr>
          <w:t>Power to cancel or suspend vehicle registration</w:t>
        </w:r>
        <w:r>
          <w:tab/>
        </w:r>
        <w:r>
          <w:fldChar w:fldCharType="begin"/>
        </w:r>
        <w:r>
          <w:instrText xml:space="preserve"> PAGEREF _Toc83626089 \h </w:instrText>
        </w:r>
        <w:r>
          <w:fldChar w:fldCharType="separate"/>
        </w:r>
        <w:r w:rsidR="005C5D7F">
          <w:t>547</w:t>
        </w:r>
        <w:r>
          <w:fldChar w:fldCharType="end"/>
        </w:r>
      </w:hyperlink>
    </w:p>
    <w:p w14:paraId="0E637872" w14:textId="08919846" w:rsidR="005E03F7" w:rsidRDefault="00856BEE">
      <w:pPr>
        <w:pStyle w:val="TOC3"/>
        <w:rPr>
          <w:rFonts w:asciiTheme="minorHAnsi" w:eastAsiaTheme="minorEastAsia" w:hAnsiTheme="minorHAnsi" w:cstheme="minorBidi"/>
          <w:b w:val="0"/>
          <w:sz w:val="22"/>
          <w:szCs w:val="22"/>
          <w:lang w:eastAsia="en-AU"/>
        </w:rPr>
      </w:pPr>
      <w:hyperlink w:anchor="_Toc83626090" w:history="1">
        <w:r w:rsidR="005E03F7" w:rsidRPr="00D90FEA">
          <w:t>Division 4A</w:t>
        </w:r>
        <w:r w:rsidR="005E03F7">
          <w:rPr>
            <w:rFonts w:asciiTheme="minorHAnsi" w:eastAsiaTheme="minorEastAsia" w:hAnsiTheme="minorHAnsi" w:cstheme="minorBidi"/>
            <w:b w:val="0"/>
            <w:sz w:val="22"/>
            <w:szCs w:val="22"/>
            <w:lang w:eastAsia="en-AU"/>
          </w:rPr>
          <w:tab/>
        </w:r>
        <w:r w:rsidR="005E03F7" w:rsidRPr="00D90FEA">
          <w:t>Cancelling, varying or suspending driver licences or disqualifying drivers</w:t>
        </w:r>
        <w:r w:rsidR="005E03F7" w:rsidRPr="005E03F7">
          <w:rPr>
            <w:vanish/>
          </w:rPr>
          <w:tab/>
        </w:r>
        <w:r w:rsidR="005E03F7" w:rsidRPr="005E03F7">
          <w:rPr>
            <w:vanish/>
          </w:rPr>
          <w:fldChar w:fldCharType="begin"/>
        </w:r>
        <w:r w:rsidR="005E03F7" w:rsidRPr="005E03F7">
          <w:rPr>
            <w:vanish/>
          </w:rPr>
          <w:instrText xml:space="preserve"> PAGEREF _Toc83626090 \h </w:instrText>
        </w:r>
        <w:r w:rsidR="005E03F7" w:rsidRPr="005E03F7">
          <w:rPr>
            <w:vanish/>
          </w:rPr>
        </w:r>
        <w:r w:rsidR="005E03F7" w:rsidRPr="005E03F7">
          <w:rPr>
            <w:vanish/>
          </w:rPr>
          <w:fldChar w:fldCharType="separate"/>
        </w:r>
        <w:r w:rsidR="005C5D7F">
          <w:rPr>
            <w:vanish/>
          </w:rPr>
          <w:t>548</w:t>
        </w:r>
        <w:r w:rsidR="005E03F7" w:rsidRPr="005E03F7">
          <w:rPr>
            <w:vanish/>
          </w:rPr>
          <w:fldChar w:fldCharType="end"/>
        </w:r>
      </w:hyperlink>
    </w:p>
    <w:p w14:paraId="191067C9" w14:textId="24594B83" w:rsidR="005E03F7" w:rsidRDefault="005E03F7">
      <w:pPr>
        <w:pStyle w:val="TOC5"/>
        <w:rPr>
          <w:rFonts w:asciiTheme="minorHAnsi" w:eastAsiaTheme="minorEastAsia" w:hAnsiTheme="minorHAnsi" w:cstheme="minorBidi"/>
          <w:sz w:val="22"/>
          <w:szCs w:val="22"/>
          <w:lang w:eastAsia="en-AU"/>
        </w:rPr>
      </w:pPr>
      <w:r>
        <w:tab/>
      </w:r>
      <w:hyperlink w:anchor="_Toc83626091" w:history="1">
        <w:r w:rsidRPr="00D90FEA">
          <w:t>598A</w:t>
        </w:r>
        <w:r>
          <w:rPr>
            <w:rFonts w:asciiTheme="minorHAnsi" w:eastAsiaTheme="minorEastAsia" w:hAnsiTheme="minorHAnsi" w:cstheme="minorBidi"/>
            <w:sz w:val="22"/>
            <w:szCs w:val="22"/>
            <w:lang w:eastAsia="en-AU"/>
          </w:rPr>
          <w:tab/>
        </w:r>
        <w:r w:rsidRPr="00D90FEA">
          <w:t>Sanctions involving driver licences</w:t>
        </w:r>
        <w:r>
          <w:tab/>
        </w:r>
        <w:r>
          <w:fldChar w:fldCharType="begin"/>
        </w:r>
        <w:r>
          <w:instrText xml:space="preserve"> PAGEREF _Toc83626091 \h </w:instrText>
        </w:r>
        <w:r>
          <w:fldChar w:fldCharType="separate"/>
        </w:r>
        <w:r w:rsidR="005C5D7F">
          <w:t>548</w:t>
        </w:r>
        <w:r>
          <w:fldChar w:fldCharType="end"/>
        </w:r>
      </w:hyperlink>
    </w:p>
    <w:p w14:paraId="256A509B" w14:textId="6F5D84BE" w:rsidR="005E03F7" w:rsidRDefault="00856BEE">
      <w:pPr>
        <w:pStyle w:val="TOC3"/>
        <w:rPr>
          <w:rFonts w:asciiTheme="minorHAnsi" w:eastAsiaTheme="minorEastAsia" w:hAnsiTheme="minorHAnsi" w:cstheme="minorBidi"/>
          <w:b w:val="0"/>
          <w:sz w:val="22"/>
          <w:szCs w:val="22"/>
          <w:lang w:eastAsia="en-AU"/>
        </w:rPr>
      </w:pPr>
      <w:hyperlink w:anchor="_Toc83626092" w:history="1">
        <w:r w:rsidR="005E03F7" w:rsidRPr="00D90FEA">
          <w:t xml:space="preserve">Division 5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Supervisory intervention orders</w:t>
        </w:r>
        <w:r w:rsidR="005E03F7" w:rsidRPr="005E03F7">
          <w:rPr>
            <w:vanish/>
          </w:rPr>
          <w:tab/>
        </w:r>
        <w:r w:rsidR="005E03F7" w:rsidRPr="005E03F7">
          <w:rPr>
            <w:vanish/>
          </w:rPr>
          <w:fldChar w:fldCharType="begin"/>
        </w:r>
        <w:r w:rsidR="005E03F7" w:rsidRPr="005E03F7">
          <w:rPr>
            <w:vanish/>
          </w:rPr>
          <w:instrText xml:space="preserve"> PAGEREF _Toc83626092 \h </w:instrText>
        </w:r>
        <w:r w:rsidR="005E03F7" w:rsidRPr="005E03F7">
          <w:rPr>
            <w:vanish/>
          </w:rPr>
        </w:r>
        <w:r w:rsidR="005E03F7" w:rsidRPr="005E03F7">
          <w:rPr>
            <w:vanish/>
          </w:rPr>
          <w:fldChar w:fldCharType="separate"/>
        </w:r>
        <w:r w:rsidR="005C5D7F">
          <w:rPr>
            <w:vanish/>
          </w:rPr>
          <w:t>549</w:t>
        </w:r>
        <w:r w:rsidR="005E03F7" w:rsidRPr="005E03F7">
          <w:rPr>
            <w:vanish/>
          </w:rPr>
          <w:fldChar w:fldCharType="end"/>
        </w:r>
      </w:hyperlink>
    </w:p>
    <w:p w14:paraId="7AA301D4" w14:textId="2F025DA6" w:rsidR="005E03F7" w:rsidRDefault="005E03F7">
      <w:pPr>
        <w:pStyle w:val="TOC5"/>
        <w:rPr>
          <w:rFonts w:asciiTheme="minorHAnsi" w:eastAsiaTheme="minorEastAsia" w:hAnsiTheme="minorHAnsi" w:cstheme="minorBidi"/>
          <w:sz w:val="22"/>
          <w:szCs w:val="22"/>
          <w:lang w:eastAsia="en-AU"/>
        </w:rPr>
      </w:pPr>
      <w:r>
        <w:tab/>
      </w:r>
      <w:hyperlink w:anchor="_Toc83626093" w:history="1">
        <w:r w:rsidRPr="00D90FEA">
          <w:t>599</w:t>
        </w:r>
        <w:r>
          <w:rPr>
            <w:rFonts w:asciiTheme="minorHAnsi" w:eastAsiaTheme="minorEastAsia" w:hAnsiTheme="minorHAnsi" w:cstheme="minorBidi"/>
            <w:sz w:val="22"/>
            <w:szCs w:val="22"/>
            <w:lang w:eastAsia="en-AU"/>
          </w:rPr>
          <w:tab/>
        </w:r>
        <w:r w:rsidRPr="00D90FEA">
          <w:rPr>
            <w:rFonts w:ascii="Helvetica" w:hAnsi="Helvetica" w:cs="Helvetica"/>
            <w:iCs/>
          </w:rPr>
          <w:t>Application of Div 5</w:t>
        </w:r>
        <w:r>
          <w:tab/>
        </w:r>
        <w:r>
          <w:fldChar w:fldCharType="begin"/>
        </w:r>
        <w:r>
          <w:instrText xml:space="preserve"> PAGEREF _Toc83626093 \h </w:instrText>
        </w:r>
        <w:r>
          <w:fldChar w:fldCharType="separate"/>
        </w:r>
        <w:r w:rsidR="005C5D7F">
          <w:t>549</w:t>
        </w:r>
        <w:r>
          <w:fldChar w:fldCharType="end"/>
        </w:r>
      </w:hyperlink>
    </w:p>
    <w:p w14:paraId="5A8A12B5" w14:textId="3569B1D9" w:rsidR="005E03F7" w:rsidRDefault="005E03F7">
      <w:pPr>
        <w:pStyle w:val="TOC5"/>
        <w:rPr>
          <w:rFonts w:asciiTheme="minorHAnsi" w:eastAsiaTheme="minorEastAsia" w:hAnsiTheme="minorHAnsi" w:cstheme="minorBidi"/>
          <w:sz w:val="22"/>
          <w:szCs w:val="22"/>
          <w:lang w:eastAsia="en-AU"/>
        </w:rPr>
      </w:pPr>
      <w:r>
        <w:tab/>
      </w:r>
      <w:hyperlink w:anchor="_Toc83626094" w:history="1">
        <w:r w:rsidRPr="00D90FEA">
          <w:t>600</w:t>
        </w:r>
        <w:r>
          <w:rPr>
            <w:rFonts w:asciiTheme="minorHAnsi" w:eastAsiaTheme="minorEastAsia" w:hAnsiTheme="minorHAnsi" w:cstheme="minorBidi"/>
            <w:sz w:val="22"/>
            <w:szCs w:val="22"/>
            <w:lang w:eastAsia="en-AU"/>
          </w:rPr>
          <w:tab/>
        </w:r>
        <w:r w:rsidRPr="00D90FEA">
          <w:rPr>
            <w:rFonts w:ascii="Helvetica" w:hAnsi="Helvetica" w:cs="Helvetica"/>
            <w:iCs/>
          </w:rPr>
          <w:t>Court may make supervisory intervention order</w:t>
        </w:r>
        <w:r>
          <w:tab/>
        </w:r>
        <w:r>
          <w:fldChar w:fldCharType="begin"/>
        </w:r>
        <w:r>
          <w:instrText xml:space="preserve"> PAGEREF _Toc83626094 \h </w:instrText>
        </w:r>
        <w:r>
          <w:fldChar w:fldCharType="separate"/>
        </w:r>
        <w:r w:rsidR="005C5D7F">
          <w:t>549</w:t>
        </w:r>
        <w:r>
          <w:fldChar w:fldCharType="end"/>
        </w:r>
      </w:hyperlink>
    </w:p>
    <w:p w14:paraId="7DFC8AC8" w14:textId="5184817B" w:rsidR="005E03F7" w:rsidRDefault="005E03F7">
      <w:pPr>
        <w:pStyle w:val="TOC5"/>
        <w:rPr>
          <w:rFonts w:asciiTheme="minorHAnsi" w:eastAsiaTheme="minorEastAsia" w:hAnsiTheme="minorHAnsi" w:cstheme="minorBidi"/>
          <w:sz w:val="22"/>
          <w:szCs w:val="22"/>
          <w:lang w:eastAsia="en-AU"/>
        </w:rPr>
      </w:pPr>
      <w:r>
        <w:tab/>
      </w:r>
      <w:hyperlink w:anchor="_Toc83626095" w:history="1">
        <w:r w:rsidRPr="00D90FEA">
          <w:t>601</w:t>
        </w:r>
        <w:r>
          <w:rPr>
            <w:rFonts w:asciiTheme="minorHAnsi" w:eastAsiaTheme="minorEastAsia" w:hAnsiTheme="minorHAnsi" w:cstheme="minorBidi"/>
            <w:sz w:val="22"/>
            <w:szCs w:val="22"/>
            <w:lang w:eastAsia="en-AU"/>
          </w:rPr>
          <w:tab/>
        </w:r>
        <w:r w:rsidRPr="00D90FEA">
          <w:rPr>
            <w:rFonts w:ascii="Helvetica" w:hAnsi="Helvetica" w:cs="Helvetica"/>
            <w:iCs/>
          </w:rPr>
          <w:t>Limitation on making supervisory intervention order</w:t>
        </w:r>
        <w:r>
          <w:tab/>
        </w:r>
        <w:r>
          <w:fldChar w:fldCharType="begin"/>
        </w:r>
        <w:r>
          <w:instrText xml:space="preserve"> PAGEREF _Toc83626095 \h </w:instrText>
        </w:r>
        <w:r>
          <w:fldChar w:fldCharType="separate"/>
        </w:r>
        <w:r w:rsidR="005C5D7F">
          <w:t>551</w:t>
        </w:r>
        <w:r>
          <w:fldChar w:fldCharType="end"/>
        </w:r>
      </w:hyperlink>
    </w:p>
    <w:p w14:paraId="5C652379" w14:textId="70F584DA" w:rsidR="005E03F7" w:rsidRDefault="005E03F7">
      <w:pPr>
        <w:pStyle w:val="TOC5"/>
        <w:rPr>
          <w:rFonts w:asciiTheme="minorHAnsi" w:eastAsiaTheme="minorEastAsia" w:hAnsiTheme="minorHAnsi" w:cstheme="minorBidi"/>
          <w:sz w:val="22"/>
          <w:szCs w:val="22"/>
          <w:lang w:eastAsia="en-AU"/>
        </w:rPr>
      </w:pPr>
      <w:r>
        <w:tab/>
      </w:r>
      <w:hyperlink w:anchor="_Toc83626096" w:history="1">
        <w:r w:rsidRPr="00D90FEA">
          <w:t>602</w:t>
        </w:r>
        <w:r>
          <w:rPr>
            <w:rFonts w:asciiTheme="minorHAnsi" w:eastAsiaTheme="minorEastAsia" w:hAnsiTheme="minorHAnsi" w:cstheme="minorBidi"/>
            <w:sz w:val="22"/>
            <w:szCs w:val="22"/>
            <w:lang w:eastAsia="en-AU"/>
          </w:rPr>
          <w:tab/>
        </w:r>
        <w:r w:rsidRPr="00D90FEA">
          <w:rPr>
            <w:rFonts w:ascii="Helvetica" w:hAnsi="Helvetica" w:cs="Helvetica"/>
            <w:iCs/>
          </w:rPr>
          <w:t>Supervisory intervention order may suspend other sanctions</w:t>
        </w:r>
        <w:r>
          <w:tab/>
        </w:r>
        <w:r>
          <w:fldChar w:fldCharType="begin"/>
        </w:r>
        <w:r>
          <w:instrText xml:space="preserve"> PAGEREF _Toc83626096 \h </w:instrText>
        </w:r>
        <w:r>
          <w:fldChar w:fldCharType="separate"/>
        </w:r>
        <w:r w:rsidR="005C5D7F">
          <w:t>552</w:t>
        </w:r>
        <w:r>
          <w:fldChar w:fldCharType="end"/>
        </w:r>
      </w:hyperlink>
    </w:p>
    <w:p w14:paraId="2F0ECCDF" w14:textId="0630DF9A" w:rsidR="005E03F7" w:rsidRDefault="005E03F7">
      <w:pPr>
        <w:pStyle w:val="TOC5"/>
        <w:rPr>
          <w:rFonts w:asciiTheme="minorHAnsi" w:eastAsiaTheme="minorEastAsia" w:hAnsiTheme="minorHAnsi" w:cstheme="minorBidi"/>
          <w:sz w:val="22"/>
          <w:szCs w:val="22"/>
          <w:lang w:eastAsia="en-AU"/>
        </w:rPr>
      </w:pPr>
      <w:r>
        <w:tab/>
      </w:r>
      <w:hyperlink w:anchor="_Toc83626097" w:history="1">
        <w:r w:rsidRPr="00D90FEA">
          <w:t>603</w:t>
        </w:r>
        <w:r>
          <w:rPr>
            <w:rFonts w:asciiTheme="minorHAnsi" w:eastAsiaTheme="minorEastAsia" w:hAnsiTheme="minorHAnsi" w:cstheme="minorBidi"/>
            <w:sz w:val="22"/>
            <w:szCs w:val="22"/>
            <w:lang w:eastAsia="en-AU"/>
          </w:rPr>
          <w:tab/>
        </w:r>
        <w:r w:rsidRPr="00D90FEA">
          <w:rPr>
            <w:rFonts w:ascii="Helvetica" w:hAnsi="Helvetica" w:cs="Helvetica"/>
            <w:iCs/>
          </w:rPr>
          <w:t>Amendment or revocation of supervisory intervention order</w:t>
        </w:r>
        <w:r>
          <w:tab/>
        </w:r>
        <w:r>
          <w:fldChar w:fldCharType="begin"/>
        </w:r>
        <w:r>
          <w:instrText xml:space="preserve"> PAGEREF _Toc83626097 \h </w:instrText>
        </w:r>
        <w:r>
          <w:fldChar w:fldCharType="separate"/>
        </w:r>
        <w:r w:rsidR="005C5D7F">
          <w:t>552</w:t>
        </w:r>
        <w:r>
          <w:fldChar w:fldCharType="end"/>
        </w:r>
      </w:hyperlink>
    </w:p>
    <w:p w14:paraId="65D660C6" w14:textId="0B196F8C" w:rsidR="005E03F7" w:rsidRDefault="005E03F7">
      <w:pPr>
        <w:pStyle w:val="TOC5"/>
        <w:rPr>
          <w:rFonts w:asciiTheme="minorHAnsi" w:eastAsiaTheme="minorEastAsia" w:hAnsiTheme="minorHAnsi" w:cstheme="minorBidi"/>
          <w:sz w:val="22"/>
          <w:szCs w:val="22"/>
          <w:lang w:eastAsia="en-AU"/>
        </w:rPr>
      </w:pPr>
      <w:r>
        <w:tab/>
      </w:r>
      <w:hyperlink w:anchor="_Toc83626098" w:history="1">
        <w:r w:rsidRPr="00D90FEA">
          <w:t>604</w:t>
        </w:r>
        <w:r>
          <w:rPr>
            <w:rFonts w:asciiTheme="minorHAnsi" w:eastAsiaTheme="minorEastAsia" w:hAnsiTheme="minorHAnsi" w:cstheme="minorBidi"/>
            <w:sz w:val="22"/>
            <w:szCs w:val="22"/>
            <w:lang w:eastAsia="en-AU"/>
          </w:rPr>
          <w:tab/>
        </w:r>
        <w:r w:rsidRPr="00D90FEA">
          <w:rPr>
            <w:rFonts w:ascii="Helvetica" w:hAnsi="Helvetica" w:cs="Helvetica"/>
            <w:iCs/>
          </w:rPr>
          <w:t>Contravention of supervisory intervention order</w:t>
        </w:r>
        <w:r>
          <w:tab/>
        </w:r>
        <w:r>
          <w:fldChar w:fldCharType="begin"/>
        </w:r>
        <w:r>
          <w:instrText xml:space="preserve"> PAGEREF _Toc83626098 \h </w:instrText>
        </w:r>
        <w:r>
          <w:fldChar w:fldCharType="separate"/>
        </w:r>
        <w:r w:rsidR="005C5D7F">
          <w:t>552</w:t>
        </w:r>
        <w:r>
          <w:fldChar w:fldCharType="end"/>
        </w:r>
      </w:hyperlink>
    </w:p>
    <w:p w14:paraId="6C4B7CFE" w14:textId="0989D9BB" w:rsidR="005E03F7" w:rsidRDefault="005E03F7">
      <w:pPr>
        <w:pStyle w:val="TOC5"/>
        <w:rPr>
          <w:rFonts w:asciiTheme="minorHAnsi" w:eastAsiaTheme="minorEastAsia" w:hAnsiTheme="minorHAnsi" w:cstheme="minorBidi"/>
          <w:sz w:val="22"/>
          <w:szCs w:val="22"/>
          <w:lang w:eastAsia="en-AU"/>
        </w:rPr>
      </w:pPr>
      <w:r>
        <w:tab/>
      </w:r>
      <w:hyperlink w:anchor="_Toc83626099" w:history="1">
        <w:r w:rsidRPr="00D90FEA">
          <w:t>605</w:t>
        </w:r>
        <w:r>
          <w:rPr>
            <w:rFonts w:asciiTheme="minorHAnsi" w:eastAsiaTheme="minorEastAsia" w:hAnsiTheme="minorHAnsi" w:cstheme="minorBidi"/>
            <w:sz w:val="22"/>
            <w:szCs w:val="22"/>
            <w:lang w:eastAsia="en-AU"/>
          </w:rPr>
          <w:tab/>
        </w:r>
        <w:r w:rsidRPr="00D90FEA">
          <w:rPr>
            <w:rFonts w:ascii="Helvetica" w:hAnsi="Helvetica" w:cs="Helvetica"/>
            <w:iCs/>
          </w:rPr>
          <w:t>Effect of supervisory intervention order if prohibition order applies to same person</w:t>
        </w:r>
        <w:r>
          <w:tab/>
        </w:r>
        <w:r>
          <w:fldChar w:fldCharType="begin"/>
        </w:r>
        <w:r>
          <w:instrText xml:space="preserve"> PAGEREF _Toc83626099 \h </w:instrText>
        </w:r>
        <w:r>
          <w:fldChar w:fldCharType="separate"/>
        </w:r>
        <w:r w:rsidR="005C5D7F">
          <w:t>552</w:t>
        </w:r>
        <w:r>
          <w:fldChar w:fldCharType="end"/>
        </w:r>
      </w:hyperlink>
    </w:p>
    <w:p w14:paraId="27072026" w14:textId="1D7E90E8" w:rsidR="005E03F7" w:rsidRDefault="00856BEE">
      <w:pPr>
        <w:pStyle w:val="TOC3"/>
        <w:rPr>
          <w:rFonts w:asciiTheme="minorHAnsi" w:eastAsiaTheme="minorEastAsia" w:hAnsiTheme="minorHAnsi" w:cstheme="minorBidi"/>
          <w:b w:val="0"/>
          <w:sz w:val="22"/>
          <w:szCs w:val="22"/>
          <w:lang w:eastAsia="en-AU"/>
        </w:rPr>
      </w:pPr>
      <w:hyperlink w:anchor="_Toc83626100" w:history="1">
        <w:r w:rsidR="005E03F7" w:rsidRPr="00D90FEA">
          <w:t xml:space="preserve">Division 6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Prohibition orders</w:t>
        </w:r>
        <w:r w:rsidR="005E03F7" w:rsidRPr="005E03F7">
          <w:rPr>
            <w:vanish/>
          </w:rPr>
          <w:tab/>
        </w:r>
        <w:r w:rsidR="005E03F7" w:rsidRPr="005E03F7">
          <w:rPr>
            <w:vanish/>
          </w:rPr>
          <w:fldChar w:fldCharType="begin"/>
        </w:r>
        <w:r w:rsidR="005E03F7" w:rsidRPr="005E03F7">
          <w:rPr>
            <w:vanish/>
          </w:rPr>
          <w:instrText xml:space="preserve"> PAGEREF _Toc83626100 \h </w:instrText>
        </w:r>
        <w:r w:rsidR="005E03F7" w:rsidRPr="005E03F7">
          <w:rPr>
            <w:vanish/>
          </w:rPr>
        </w:r>
        <w:r w:rsidR="005E03F7" w:rsidRPr="005E03F7">
          <w:rPr>
            <w:vanish/>
          </w:rPr>
          <w:fldChar w:fldCharType="separate"/>
        </w:r>
        <w:r w:rsidR="005C5D7F">
          <w:rPr>
            <w:vanish/>
          </w:rPr>
          <w:t>553</w:t>
        </w:r>
        <w:r w:rsidR="005E03F7" w:rsidRPr="005E03F7">
          <w:rPr>
            <w:vanish/>
          </w:rPr>
          <w:fldChar w:fldCharType="end"/>
        </w:r>
      </w:hyperlink>
    </w:p>
    <w:p w14:paraId="57691FA7" w14:textId="30747A1E" w:rsidR="005E03F7" w:rsidRDefault="005E03F7">
      <w:pPr>
        <w:pStyle w:val="TOC5"/>
        <w:rPr>
          <w:rFonts w:asciiTheme="minorHAnsi" w:eastAsiaTheme="minorEastAsia" w:hAnsiTheme="minorHAnsi" w:cstheme="minorBidi"/>
          <w:sz w:val="22"/>
          <w:szCs w:val="22"/>
          <w:lang w:eastAsia="en-AU"/>
        </w:rPr>
      </w:pPr>
      <w:r>
        <w:tab/>
      </w:r>
      <w:hyperlink w:anchor="_Toc83626101" w:history="1">
        <w:r w:rsidRPr="00D90FEA">
          <w:t>606</w:t>
        </w:r>
        <w:r>
          <w:rPr>
            <w:rFonts w:asciiTheme="minorHAnsi" w:eastAsiaTheme="minorEastAsia" w:hAnsiTheme="minorHAnsi" w:cstheme="minorBidi"/>
            <w:sz w:val="22"/>
            <w:szCs w:val="22"/>
            <w:lang w:eastAsia="en-AU"/>
          </w:rPr>
          <w:tab/>
        </w:r>
        <w:r w:rsidRPr="00D90FEA">
          <w:rPr>
            <w:rFonts w:ascii="Helvetica" w:hAnsi="Helvetica" w:cs="Helvetica"/>
            <w:iCs/>
          </w:rPr>
          <w:t>Application of Div 6</w:t>
        </w:r>
        <w:r>
          <w:tab/>
        </w:r>
        <w:r>
          <w:fldChar w:fldCharType="begin"/>
        </w:r>
        <w:r>
          <w:instrText xml:space="preserve"> PAGEREF _Toc83626101 \h </w:instrText>
        </w:r>
        <w:r>
          <w:fldChar w:fldCharType="separate"/>
        </w:r>
        <w:r w:rsidR="005C5D7F">
          <w:t>553</w:t>
        </w:r>
        <w:r>
          <w:fldChar w:fldCharType="end"/>
        </w:r>
      </w:hyperlink>
    </w:p>
    <w:p w14:paraId="76F03F4D" w14:textId="720F52FA" w:rsidR="005E03F7" w:rsidRDefault="005E03F7">
      <w:pPr>
        <w:pStyle w:val="TOC5"/>
        <w:rPr>
          <w:rFonts w:asciiTheme="minorHAnsi" w:eastAsiaTheme="minorEastAsia" w:hAnsiTheme="minorHAnsi" w:cstheme="minorBidi"/>
          <w:sz w:val="22"/>
          <w:szCs w:val="22"/>
          <w:lang w:eastAsia="en-AU"/>
        </w:rPr>
      </w:pPr>
      <w:r>
        <w:tab/>
      </w:r>
      <w:hyperlink w:anchor="_Toc83626102" w:history="1">
        <w:r w:rsidRPr="00D90FEA">
          <w:t>607</w:t>
        </w:r>
        <w:r>
          <w:rPr>
            <w:rFonts w:asciiTheme="minorHAnsi" w:eastAsiaTheme="minorEastAsia" w:hAnsiTheme="minorHAnsi" w:cstheme="minorBidi"/>
            <w:sz w:val="22"/>
            <w:szCs w:val="22"/>
            <w:lang w:eastAsia="en-AU"/>
          </w:rPr>
          <w:tab/>
        </w:r>
        <w:r w:rsidRPr="00D90FEA">
          <w:rPr>
            <w:rFonts w:ascii="Helvetica" w:hAnsi="Helvetica" w:cs="Helvetica"/>
            <w:iCs/>
          </w:rPr>
          <w:t>Court may make prohibition order</w:t>
        </w:r>
        <w:r>
          <w:tab/>
        </w:r>
        <w:r>
          <w:fldChar w:fldCharType="begin"/>
        </w:r>
        <w:r>
          <w:instrText xml:space="preserve"> PAGEREF _Toc83626102 \h </w:instrText>
        </w:r>
        <w:r>
          <w:fldChar w:fldCharType="separate"/>
        </w:r>
        <w:r w:rsidR="005C5D7F">
          <w:t>553</w:t>
        </w:r>
        <w:r>
          <w:fldChar w:fldCharType="end"/>
        </w:r>
      </w:hyperlink>
    </w:p>
    <w:p w14:paraId="79B973EA" w14:textId="463283BD" w:rsidR="005E03F7" w:rsidRDefault="005E03F7">
      <w:pPr>
        <w:pStyle w:val="TOC5"/>
        <w:rPr>
          <w:rFonts w:asciiTheme="minorHAnsi" w:eastAsiaTheme="minorEastAsia" w:hAnsiTheme="minorHAnsi" w:cstheme="minorBidi"/>
          <w:sz w:val="22"/>
          <w:szCs w:val="22"/>
          <w:lang w:eastAsia="en-AU"/>
        </w:rPr>
      </w:pPr>
      <w:r>
        <w:tab/>
      </w:r>
      <w:hyperlink w:anchor="_Toc83626103" w:history="1">
        <w:r w:rsidRPr="00D90FEA">
          <w:t>608</w:t>
        </w:r>
        <w:r>
          <w:rPr>
            <w:rFonts w:asciiTheme="minorHAnsi" w:eastAsiaTheme="minorEastAsia" w:hAnsiTheme="minorHAnsi" w:cstheme="minorBidi"/>
            <w:sz w:val="22"/>
            <w:szCs w:val="22"/>
            <w:lang w:eastAsia="en-AU"/>
          </w:rPr>
          <w:tab/>
        </w:r>
        <w:r w:rsidRPr="00D90FEA">
          <w:rPr>
            <w:rFonts w:ascii="Helvetica" w:hAnsi="Helvetica" w:cs="Helvetica"/>
            <w:iCs/>
          </w:rPr>
          <w:t>Limitation on making prohibition order</w:t>
        </w:r>
        <w:r>
          <w:tab/>
        </w:r>
        <w:r>
          <w:fldChar w:fldCharType="begin"/>
        </w:r>
        <w:r>
          <w:instrText xml:space="preserve"> PAGEREF _Toc83626103 \h </w:instrText>
        </w:r>
        <w:r>
          <w:fldChar w:fldCharType="separate"/>
        </w:r>
        <w:r w:rsidR="005C5D7F">
          <w:t>553</w:t>
        </w:r>
        <w:r>
          <w:fldChar w:fldCharType="end"/>
        </w:r>
      </w:hyperlink>
    </w:p>
    <w:p w14:paraId="5AA0DD74" w14:textId="33EF68C3" w:rsidR="005E03F7" w:rsidRDefault="005E03F7">
      <w:pPr>
        <w:pStyle w:val="TOC5"/>
        <w:rPr>
          <w:rFonts w:asciiTheme="minorHAnsi" w:eastAsiaTheme="minorEastAsia" w:hAnsiTheme="minorHAnsi" w:cstheme="minorBidi"/>
          <w:sz w:val="22"/>
          <w:szCs w:val="22"/>
          <w:lang w:eastAsia="en-AU"/>
        </w:rPr>
      </w:pPr>
      <w:r>
        <w:tab/>
      </w:r>
      <w:hyperlink w:anchor="_Toc83626104" w:history="1">
        <w:r w:rsidRPr="00D90FEA">
          <w:t>609</w:t>
        </w:r>
        <w:r>
          <w:rPr>
            <w:rFonts w:asciiTheme="minorHAnsi" w:eastAsiaTheme="minorEastAsia" w:hAnsiTheme="minorHAnsi" w:cstheme="minorBidi"/>
            <w:sz w:val="22"/>
            <w:szCs w:val="22"/>
            <w:lang w:eastAsia="en-AU"/>
          </w:rPr>
          <w:tab/>
        </w:r>
        <w:r w:rsidRPr="00D90FEA">
          <w:rPr>
            <w:rFonts w:ascii="Helvetica" w:hAnsi="Helvetica" w:cs="Helvetica"/>
            <w:iCs/>
          </w:rPr>
          <w:t>Amendment or revocation of prohibition order</w:t>
        </w:r>
        <w:r>
          <w:tab/>
        </w:r>
        <w:r>
          <w:fldChar w:fldCharType="begin"/>
        </w:r>
        <w:r>
          <w:instrText xml:space="preserve"> PAGEREF _Toc83626104 \h </w:instrText>
        </w:r>
        <w:r>
          <w:fldChar w:fldCharType="separate"/>
        </w:r>
        <w:r w:rsidR="005C5D7F">
          <w:t>554</w:t>
        </w:r>
        <w:r>
          <w:fldChar w:fldCharType="end"/>
        </w:r>
      </w:hyperlink>
    </w:p>
    <w:p w14:paraId="685C984F" w14:textId="77D9E1B5" w:rsidR="005E03F7" w:rsidRDefault="005E03F7">
      <w:pPr>
        <w:pStyle w:val="TOC5"/>
        <w:rPr>
          <w:rFonts w:asciiTheme="minorHAnsi" w:eastAsiaTheme="minorEastAsia" w:hAnsiTheme="minorHAnsi" w:cstheme="minorBidi"/>
          <w:sz w:val="22"/>
          <w:szCs w:val="22"/>
          <w:lang w:eastAsia="en-AU"/>
        </w:rPr>
      </w:pPr>
      <w:r>
        <w:tab/>
      </w:r>
      <w:hyperlink w:anchor="_Toc83626105" w:history="1">
        <w:r w:rsidRPr="00D90FEA">
          <w:t>610</w:t>
        </w:r>
        <w:r>
          <w:rPr>
            <w:rFonts w:asciiTheme="minorHAnsi" w:eastAsiaTheme="minorEastAsia" w:hAnsiTheme="minorHAnsi" w:cstheme="minorBidi"/>
            <w:sz w:val="22"/>
            <w:szCs w:val="22"/>
            <w:lang w:eastAsia="en-AU"/>
          </w:rPr>
          <w:tab/>
        </w:r>
        <w:r w:rsidRPr="00D90FEA">
          <w:rPr>
            <w:rFonts w:ascii="Helvetica" w:hAnsi="Helvetica" w:cs="Helvetica"/>
            <w:iCs/>
          </w:rPr>
          <w:t>Contravention of prohibition order</w:t>
        </w:r>
        <w:r>
          <w:tab/>
        </w:r>
        <w:r>
          <w:fldChar w:fldCharType="begin"/>
        </w:r>
        <w:r>
          <w:instrText xml:space="preserve"> PAGEREF _Toc83626105 \h </w:instrText>
        </w:r>
        <w:r>
          <w:fldChar w:fldCharType="separate"/>
        </w:r>
        <w:r w:rsidR="005C5D7F">
          <w:t>554</w:t>
        </w:r>
        <w:r>
          <w:fldChar w:fldCharType="end"/>
        </w:r>
      </w:hyperlink>
    </w:p>
    <w:p w14:paraId="434C017D" w14:textId="15D386A9" w:rsidR="005E03F7" w:rsidRDefault="00856BEE">
      <w:pPr>
        <w:pStyle w:val="TOC3"/>
        <w:rPr>
          <w:rFonts w:asciiTheme="minorHAnsi" w:eastAsiaTheme="minorEastAsia" w:hAnsiTheme="minorHAnsi" w:cstheme="minorBidi"/>
          <w:b w:val="0"/>
          <w:sz w:val="22"/>
          <w:szCs w:val="22"/>
          <w:lang w:eastAsia="en-AU"/>
        </w:rPr>
      </w:pPr>
      <w:hyperlink w:anchor="_Toc83626106" w:history="1">
        <w:r w:rsidR="005E03F7" w:rsidRPr="00D90FEA">
          <w:t xml:space="preserve">Division 7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Compensation orders</w:t>
        </w:r>
        <w:r w:rsidR="005E03F7" w:rsidRPr="005E03F7">
          <w:rPr>
            <w:vanish/>
          </w:rPr>
          <w:tab/>
        </w:r>
        <w:r w:rsidR="005E03F7" w:rsidRPr="005E03F7">
          <w:rPr>
            <w:vanish/>
          </w:rPr>
          <w:fldChar w:fldCharType="begin"/>
        </w:r>
        <w:r w:rsidR="005E03F7" w:rsidRPr="005E03F7">
          <w:rPr>
            <w:vanish/>
          </w:rPr>
          <w:instrText xml:space="preserve"> PAGEREF _Toc83626106 \h </w:instrText>
        </w:r>
        <w:r w:rsidR="005E03F7" w:rsidRPr="005E03F7">
          <w:rPr>
            <w:vanish/>
          </w:rPr>
        </w:r>
        <w:r w:rsidR="005E03F7" w:rsidRPr="005E03F7">
          <w:rPr>
            <w:vanish/>
          </w:rPr>
          <w:fldChar w:fldCharType="separate"/>
        </w:r>
        <w:r w:rsidR="005C5D7F">
          <w:rPr>
            <w:vanish/>
          </w:rPr>
          <w:t>554</w:t>
        </w:r>
        <w:r w:rsidR="005E03F7" w:rsidRPr="005E03F7">
          <w:rPr>
            <w:vanish/>
          </w:rPr>
          <w:fldChar w:fldCharType="end"/>
        </w:r>
      </w:hyperlink>
    </w:p>
    <w:p w14:paraId="55E1FCBD" w14:textId="393CB42F" w:rsidR="005E03F7" w:rsidRDefault="005E03F7">
      <w:pPr>
        <w:pStyle w:val="TOC5"/>
        <w:rPr>
          <w:rFonts w:asciiTheme="minorHAnsi" w:eastAsiaTheme="minorEastAsia" w:hAnsiTheme="minorHAnsi" w:cstheme="minorBidi"/>
          <w:sz w:val="22"/>
          <w:szCs w:val="22"/>
          <w:lang w:eastAsia="en-AU"/>
        </w:rPr>
      </w:pPr>
      <w:r>
        <w:tab/>
      </w:r>
      <w:hyperlink w:anchor="_Toc83626107" w:history="1">
        <w:r w:rsidRPr="00D90FEA">
          <w:t>611</w:t>
        </w:r>
        <w:r>
          <w:rPr>
            <w:rFonts w:asciiTheme="minorHAnsi" w:eastAsiaTheme="minorEastAsia" w:hAnsiTheme="minorHAnsi" w:cstheme="minorBidi"/>
            <w:sz w:val="22"/>
            <w:szCs w:val="22"/>
            <w:lang w:eastAsia="en-AU"/>
          </w:rPr>
          <w:tab/>
        </w:r>
        <w:r w:rsidRPr="00D90FEA">
          <w:rPr>
            <w:rFonts w:ascii="Helvetica" w:hAnsi="Helvetica" w:cs="Helvetica"/>
            <w:iCs/>
          </w:rPr>
          <w:t>Court may make compensation order</w:t>
        </w:r>
        <w:r>
          <w:tab/>
        </w:r>
        <w:r>
          <w:fldChar w:fldCharType="begin"/>
        </w:r>
        <w:r>
          <w:instrText xml:space="preserve"> PAGEREF _Toc83626107 \h </w:instrText>
        </w:r>
        <w:r>
          <w:fldChar w:fldCharType="separate"/>
        </w:r>
        <w:r w:rsidR="005C5D7F">
          <w:t>554</w:t>
        </w:r>
        <w:r>
          <w:fldChar w:fldCharType="end"/>
        </w:r>
      </w:hyperlink>
    </w:p>
    <w:p w14:paraId="59A9C0D1" w14:textId="3F5DA714" w:rsidR="005E03F7" w:rsidRDefault="005E03F7">
      <w:pPr>
        <w:pStyle w:val="TOC5"/>
        <w:rPr>
          <w:rFonts w:asciiTheme="minorHAnsi" w:eastAsiaTheme="minorEastAsia" w:hAnsiTheme="minorHAnsi" w:cstheme="minorBidi"/>
          <w:sz w:val="22"/>
          <w:szCs w:val="22"/>
          <w:lang w:eastAsia="en-AU"/>
        </w:rPr>
      </w:pPr>
      <w:r>
        <w:tab/>
      </w:r>
      <w:hyperlink w:anchor="_Toc83626108" w:history="1">
        <w:r w:rsidRPr="00D90FEA">
          <w:t>612</w:t>
        </w:r>
        <w:r>
          <w:rPr>
            <w:rFonts w:asciiTheme="minorHAnsi" w:eastAsiaTheme="minorEastAsia" w:hAnsiTheme="minorHAnsi" w:cstheme="minorBidi"/>
            <w:sz w:val="22"/>
            <w:szCs w:val="22"/>
            <w:lang w:eastAsia="en-AU"/>
          </w:rPr>
          <w:tab/>
        </w:r>
        <w:r w:rsidRPr="00D90FEA">
          <w:rPr>
            <w:rFonts w:ascii="Helvetica" w:hAnsi="Helvetica" w:cs="Helvetica"/>
            <w:iCs/>
          </w:rPr>
          <w:t>Assessment of compensation</w:t>
        </w:r>
        <w:r>
          <w:tab/>
        </w:r>
        <w:r>
          <w:fldChar w:fldCharType="begin"/>
        </w:r>
        <w:r>
          <w:instrText xml:space="preserve"> PAGEREF _Toc83626108 \h </w:instrText>
        </w:r>
        <w:r>
          <w:fldChar w:fldCharType="separate"/>
        </w:r>
        <w:r w:rsidR="005C5D7F">
          <w:t>555</w:t>
        </w:r>
        <w:r>
          <w:fldChar w:fldCharType="end"/>
        </w:r>
      </w:hyperlink>
    </w:p>
    <w:p w14:paraId="6056E9D1" w14:textId="2D9A2273" w:rsidR="005E03F7" w:rsidRDefault="005E03F7">
      <w:pPr>
        <w:pStyle w:val="TOC5"/>
        <w:rPr>
          <w:rFonts w:asciiTheme="minorHAnsi" w:eastAsiaTheme="minorEastAsia" w:hAnsiTheme="minorHAnsi" w:cstheme="minorBidi"/>
          <w:sz w:val="22"/>
          <w:szCs w:val="22"/>
          <w:lang w:eastAsia="en-AU"/>
        </w:rPr>
      </w:pPr>
      <w:r>
        <w:tab/>
      </w:r>
      <w:hyperlink w:anchor="_Toc83626109" w:history="1">
        <w:r w:rsidRPr="00D90FEA">
          <w:t>613</w:t>
        </w:r>
        <w:r>
          <w:rPr>
            <w:rFonts w:asciiTheme="minorHAnsi" w:eastAsiaTheme="minorEastAsia" w:hAnsiTheme="minorHAnsi" w:cstheme="minorBidi"/>
            <w:sz w:val="22"/>
            <w:szCs w:val="22"/>
            <w:lang w:eastAsia="en-AU"/>
          </w:rPr>
          <w:tab/>
        </w:r>
        <w:r w:rsidRPr="00D90FEA">
          <w:rPr>
            <w:rFonts w:ascii="Helvetica" w:hAnsi="Helvetica" w:cs="Helvetica"/>
            <w:iCs/>
          </w:rPr>
          <w:t>Use of certificates in assessing compensation</w:t>
        </w:r>
        <w:r>
          <w:tab/>
        </w:r>
        <w:r>
          <w:fldChar w:fldCharType="begin"/>
        </w:r>
        <w:r>
          <w:instrText xml:space="preserve"> PAGEREF _Toc83626109 \h </w:instrText>
        </w:r>
        <w:r>
          <w:fldChar w:fldCharType="separate"/>
        </w:r>
        <w:r w:rsidR="005C5D7F">
          <w:t>556</w:t>
        </w:r>
        <w:r>
          <w:fldChar w:fldCharType="end"/>
        </w:r>
      </w:hyperlink>
    </w:p>
    <w:p w14:paraId="0154D33E" w14:textId="4E3D5BC1" w:rsidR="005E03F7" w:rsidRDefault="005E03F7">
      <w:pPr>
        <w:pStyle w:val="TOC5"/>
        <w:rPr>
          <w:rFonts w:asciiTheme="minorHAnsi" w:eastAsiaTheme="minorEastAsia" w:hAnsiTheme="minorHAnsi" w:cstheme="minorBidi"/>
          <w:sz w:val="22"/>
          <w:szCs w:val="22"/>
          <w:lang w:eastAsia="en-AU"/>
        </w:rPr>
      </w:pPr>
      <w:r>
        <w:tab/>
      </w:r>
      <w:hyperlink w:anchor="_Toc83626110" w:history="1">
        <w:r w:rsidRPr="00D90FEA">
          <w:t>614</w:t>
        </w:r>
        <w:r>
          <w:rPr>
            <w:rFonts w:asciiTheme="minorHAnsi" w:eastAsiaTheme="minorEastAsia" w:hAnsiTheme="minorHAnsi" w:cstheme="minorBidi"/>
            <w:sz w:val="22"/>
            <w:szCs w:val="22"/>
            <w:lang w:eastAsia="en-AU"/>
          </w:rPr>
          <w:tab/>
        </w:r>
        <w:r w:rsidRPr="00D90FEA">
          <w:rPr>
            <w:rFonts w:ascii="Helvetica" w:hAnsi="Helvetica" w:cs="Helvetica"/>
            <w:iCs/>
          </w:rPr>
          <w:t>Limits on amount of compensation</w:t>
        </w:r>
        <w:r>
          <w:tab/>
        </w:r>
        <w:r>
          <w:fldChar w:fldCharType="begin"/>
        </w:r>
        <w:r>
          <w:instrText xml:space="preserve"> PAGEREF _Toc83626110 \h </w:instrText>
        </w:r>
        <w:r>
          <w:fldChar w:fldCharType="separate"/>
        </w:r>
        <w:r w:rsidR="005C5D7F">
          <w:t>557</w:t>
        </w:r>
        <w:r>
          <w:fldChar w:fldCharType="end"/>
        </w:r>
      </w:hyperlink>
    </w:p>
    <w:p w14:paraId="2E389C9C" w14:textId="532C2C8D" w:rsidR="005E03F7" w:rsidRDefault="005E03F7">
      <w:pPr>
        <w:pStyle w:val="TOC5"/>
        <w:rPr>
          <w:rFonts w:asciiTheme="minorHAnsi" w:eastAsiaTheme="minorEastAsia" w:hAnsiTheme="minorHAnsi" w:cstheme="minorBidi"/>
          <w:sz w:val="22"/>
          <w:szCs w:val="22"/>
          <w:lang w:eastAsia="en-AU"/>
        </w:rPr>
      </w:pPr>
      <w:r>
        <w:tab/>
      </w:r>
      <w:hyperlink w:anchor="_Toc83626111" w:history="1">
        <w:r w:rsidRPr="00D90FEA">
          <w:t>615</w:t>
        </w:r>
        <w:r>
          <w:rPr>
            <w:rFonts w:asciiTheme="minorHAnsi" w:eastAsiaTheme="minorEastAsia" w:hAnsiTheme="minorHAnsi" w:cstheme="minorBidi"/>
            <w:sz w:val="22"/>
            <w:szCs w:val="22"/>
            <w:lang w:eastAsia="en-AU"/>
          </w:rPr>
          <w:tab/>
        </w:r>
        <w:r w:rsidRPr="00D90FEA">
          <w:rPr>
            <w:rFonts w:ascii="Helvetica" w:hAnsi="Helvetica" w:cs="Helvetica"/>
            <w:iCs/>
          </w:rPr>
          <w:t>Costs</w:t>
        </w:r>
        <w:r>
          <w:tab/>
        </w:r>
        <w:r>
          <w:fldChar w:fldCharType="begin"/>
        </w:r>
        <w:r>
          <w:instrText xml:space="preserve"> PAGEREF _Toc83626111 \h </w:instrText>
        </w:r>
        <w:r>
          <w:fldChar w:fldCharType="separate"/>
        </w:r>
        <w:r w:rsidR="005C5D7F">
          <w:t>558</w:t>
        </w:r>
        <w:r>
          <w:fldChar w:fldCharType="end"/>
        </w:r>
      </w:hyperlink>
    </w:p>
    <w:p w14:paraId="4CDCD128" w14:textId="6DE0DBDD" w:rsidR="005E03F7" w:rsidRDefault="005E03F7">
      <w:pPr>
        <w:pStyle w:val="TOC5"/>
        <w:rPr>
          <w:rFonts w:asciiTheme="minorHAnsi" w:eastAsiaTheme="minorEastAsia" w:hAnsiTheme="minorHAnsi" w:cstheme="minorBidi"/>
          <w:sz w:val="22"/>
          <w:szCs w:val="22"/>
          <w:lang w:eastAsia="en-AU"/>
        </w:rPr>
      </w:pPr>
      <w:r>
        <w:tab/>
      </w:r>
      <w:hyperlink w:anchor="_Toc83626112" w:history="1">
        <w:r w:rsidRPr="00D90FEA">
          <w:t>616</w:t>
        </w:r>
        <w:r>
          <w:rPr>
            <w:rFonts w:asciiTheme="minorHAnsi" w:eastAsiaTheme="minorEastAsia" w:hAnsiTheme="minorHAnsi" w:cstheme="minorBidi"/>
            <w:sz w:val="22"/>
            <w:szCs w:val="22"/>
            <w:lang w:eastAsia="en-AU"/>
          </w:rPr>
          <w:tab/>
        </w:r>
        <w:r w:rsidRPr="00D90FEA">
          <w:rPr>
            <w:rFonts w:ascii="Helvetica" w:hAnsi="Helvetica" w:cs="Helvetica"/>
            <w:iCs/>
          </w:rPr>
          <w:t>Enforcement of compensation order and costs</w:t>
        </w:r>
        <w:r>
          <w:tab/>
        </w:r>
        <w:r>
          <w:fldChar w:fldCharType="begin"/>
        </w:r>
        <w:r>
          <w:instrText xml:space="preserve"> PAGEREF _Toc83626112 \h </w:instrText>
        </w:r>
        <w:r>
          <w:fldChar w:fldCharType="separate"/>
        </w:r>
        <w:r w:rsidR="005C5D7F">
          <w:t>558</w:t>
        </w:r>
        <w:r>
          <w:fldChar w:fldCharType="end"/>
        </w:r>
      </w:hyperlink>
    </w:p>
    <w:p w14:paraId="4E50D19F" w14:textId="3D35D0F4" w:rsidR="005E03F7" w:rsidRDefault="005E03F7">
      <w:pPr>
        <w:pStyle w:val="TOC5"/>
        <w:rPr>
          <w:rFonts w:asciiTheme="minorHAnsi" w:eastAsiaTheme="minorEastAsia" w:hAnsiTheme="minorHAnsi" w:cstheme="minorBidi"/>
          <w:sz w:val="22"/>
          <w:szCs w:val="22"/>
          <w:lang w:eastAsia="en-AU"/>
        </w:rPr>
      </w:pPr>
      <w:r>
        <w:tab/>
      </w:r>
      <w:hyperlink w:anchor="_Toc83626113" w:history="1">
        <w:r w:rsidRPr="00D90FEA">
          <w:t>617</w:t>
        </w:r>
        <w:r>
          <w:rPr>
            <w:rFonts w:asciiTheme="minorHAnsi" w:eastAsiaTheme="minorEastAsia" w:hAnsiTheme="minorHAnsi" w:cstheme="minorBidi"/>
            <w:sz w:val="22"/>
            <w:szCs w:val="22"/>
            <w:lang w:eastAsia="en-AU"/>
          </w:rPr>
          <w:tab/>
        </w:r>
        <w:r w:rsidRPr="00D90FEA">
          <w:rPr>
            <w:rFonts w:ascii="Helvetica" w:hAnsi="Helvetica" w:cs="Helvetica"/>
            <w:iCs/>
          </w:rPr>
          <w:t>Relationship with orders or awards of other courts and tribunals</w:t>
        </w:r>
        <w:r>
          <w:tab/>
        </w:r>
        <w:r>
          <w:fldChar w:fldCharType="begin"/>
        </w:r>
        <w:r>
          <w:instrText xml:space="preserve"> PAGEREF _Toc83626113 \h </w:instrText>
        </w:r>
        <w:r>
          <w:fldChar w:fldCharType="separate"/>
        </w:r>
        <w:r w:rsidR="005C5D7F">
          <w:t>558</w:t>
        </w:r>
        <w:r>
          <w:fldChar w:fldCharType="end"/>
        </w:r>
      </w:hyperlink>
    </w:p>
    <w:p w14:paraId="0D869A14" w14:textId="20DC7183" w:rsidR="005E03F7" w:rsidRDefault="00856BEE">
      <w:pPr>
        <w:pStyle w:val="TOC2"/>
        <w:rPr>
          <w:rFonts w:asciiTheme="minorHAnsi" w:eastAsiaTheme="minorEastAsia" w:hAnsiTheme="minorHAnsi" w:cstheme="minorBidi"/>
          <w:b w:val="0"/>
          <w:sz w:val="22"/>
          <w:szCs w:val="22"/>
          <w:lang w:eastAsia="en-AU"/>
        </w:rPr>
      </w:pPr>
      <w:hyperlink w:anchor="_Toc83626114" w:history="1">
        <w:r w:rsidR="005E03F7" w:rsidRPr="00D90FEA">
          <w:t>Part 10.4</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Provisions about liability</w:t>
        </w:r>
        <w:r w:rsidR="005E03F7" w:rsidRPr="005E03F7">
          <w:rPr>
            <w:vanish/>
          </w:rPr>
          <w:tab/>
        </w:r>
        <w:r w:rsidR="005E03F7" w:rsidRPr="005E03F7">
          <w:rPr>
            <w:vanish/>
          </w:rPr>
          <w:fldChar w:fldCharType="begin"/>
        </w:r>
        <w:r w:rsidR="005E03F7" w:rsidRPr="005E03F7">
          <w:rPr>
            <w:vanish/>
          </w:rPr>
          <w:instrText xml:space="preserve"> PAGEREF _Toc83626114 \h </w:instrText>
        </w:r>
        <w:r w:rsidR="005E03F7" w:rsidRPr="005E03F7">
          <w:rPr>
            <w:vanish/>
          </w:rPr>
        </w:r>
        <w:r w:rsidR="005E03F7" w:rsidRPr="005E03F7">
          <w:rPr>
            <w:vanish/>
          </w:rPr>
          <w:fldChar w:fldCharType="separate"/>
        </w:r>
        <w:r w:rsidR="005C5D7F">
          <w:rPr>
            <w:vanish/>
          </w:rPr>
          <w:t>560</w:t>
        </w:r>
        <w:r w:rsidR="005E03F7" w:rsidRPr="005E03F7">
          <w:rPr>
            <w:vanish/>
          </w:rPr>
          <w:fldChar w:fldCharType="end"/>
        </w:r>
      </w:hyperlink>
    </w:p>
    <w:p w14:paraId="7FD1B885" w14:textId="46F9DB7F" w:rsidR="005E03F7" w:rsidRDefault="00856BEE">
      <w:pPr>
        <w:pStyle w:val="TOC3"/>
        <w:rPr>
          <w:rFonts w:asciiTheme="minorHAnsi" w:eastAsiaTheme="minorEastAsia" w:hAnsiTheme="minorHAnsi" w:cstheme="minorBidi"/>
          <w:b w:val="0"/>
          <w:sz w:val="22"/>
          <w:szCs w:val="22"/>
          <w:lang w:eastAsia="en-AU"/>
        </w:rPr>
      </w:pPr>
      <w:hyperlink w:anchor="_Toc83626115" w:history="1">
        <w:r w:rsidR="005E03F7" w:rsidRPr="00D90FEA">
          <w:t>Division 3</w:t>
        </w:r>
        <w:r w:rsidR="005E03F7">
          <w:rPr>
            <w:rFonts w:asciiTheme="minorHAnsi" w:eastAsiaTheme="minorEastAsia" w:hAnsiTheme="minorHAnsi" w:cstheme="minorBidi"/>
            <w:b w:val="0"/>
            <w:sz w:val="22"/>
            <w:szCs w:val="22"/>
            <w:lang w:eastAsia="en-AU"/>
          </w:rPr>
          <w:tab/>
        </w:r>
        <w:r w:rsidR="005E03F7" w:rsidRPr="00D90FEA">
          <w:rPr>
            <w:lang w:val="en"/>
          </w:rPr>
          <w:t>Defences</w:t>
        </w:r>
        <w:r w:rsidR="005E03F7" w:rsidRPr="005E03F7">
          <w:rPr>
            <w:vanish/>
          </w:rPr>
          <w:tab/>
        </w:r>
        <w:r w:rsidR="005E03F7" w:rsidRPr="005E03F7">
          <w:rPr>
            <w:vanish/>
          </w:rPr>
          <w:fldChar w:fldCharType="begin"/>
        </w:r>
        <w:r w:rsidR="005E03F7" w:rsidRPr="005E03F7">
          <w:rPr>
            <w:vanish/>
          </w:rPr>
          <w:instrText xml:space="preserve"> PAGEREF _Toc83626115 \h </w:instrText>
        </w:r>
        <w:r w:rsidR="005E03F7" w:rsidRPr="005E03F7">
          <w:rPr>
            <w:vanish/>
          </w:rPr>
        </w:r>
        <w:r w:rsidR="005E03F7" w:rsidRPr="005E03F7">
          <w:rPr>
            <w:vanish/>
          </w:rPr>
          <w:fldChar w:fldCharType="separate"/>
        </w:r>
        <w:r w:rsidR="005C5D7F">
          <w:rPr>
            <w:vanish/>
          </w:rPr>
          <w:t>560</w:t>
        </w:r>
        <w:r w:rsidR="005E03F7" w:rsidRPr="005E03F7">
          <w:rPr>
            <w:vanish/>
          </w:rPr>
          <w:fldChar w:fldCharType="end"/>
        </w:r>
      </w:hyperlink>
    </w:p>
    <w:p w14:paraId="2BA0BC8E" w14:textId="4056F171" w:rsidR="005E03F7" w:rsidRDefault="005E03F7">
      <w:pPr>
        <w:pStyle w:val="TOC5"/>
        <w:rPr>
          <w:rFonts w:asciiTheme="minorHAnsi" w:eastAsiaTheme="minorEastAsia" w:hAnsiTheme="minorHAnsi" w:cstheme="minorBidi"/>
          <w:sz w:val="22"/>
          <w:szCs w:val="22"/>
          <w:lang w:eastAsia="en-AU"/>
        </w:rPr>
      </w:pPr>
      <w:r>
        <w:tab/>
      </w:r>
      <w:hyperlink w:anchor="_Toc83626116" w:history="1">
        <w:r w:rsidRPr="00D90FEA">
          <w:t>626</w:t>
        </w:r>
        <w:r>
          <w:rPr>
            <w:rFonts w:asciiTheme="minorHAnsi" w:eastAsiaTheme="minorEastAsia" w:hAnsiTheme="minorHAnsi" w:cstheme="minorBidi"/>
            <w:sz w:val="22"/>
            <w:szCs w:val="22"/>
            <w:lang w:eastAsia="en-AU"/>
          </w:rPr>
          <w:tab/>
        </w:r>
        <w:r w:rsidRPr="00D90FEA">
          <w:rPr>
            <w:rFonts w:ascii="Helvetica" w:hAnsi="Helvetica" w:cs="Helvetica"/>
            <w:iCs/>
          </w:rPr>
          <w:t>Definition for Div 3</w:t>
        </w:r>
        <w:r>
          <w:tab/>
        </w:r>
        <w:r>
          <w:fldChar w:fldCharType="begin"/>
        </w:r>
        <w:r>
          <w:instrText xml:space="preserve"> PAGEREF _Toc83626116 \h </w:instrText>
        </w:r>
        <w:r>
          <w:fldChar w:fldCharType="separate"/>
        </w:r>
        <w:r w:rsidR="005C5D7F">
          <w:t>560</w:t>
        </w:r>
        <w:r>
          <w:fldChar w:fldCharType="end"/>
        </w:r>
      </w:hyperlink>
    </w:p>
    <w:p w14:paraId="506E5F56" w14:textId="1789933F" w:rsidR="005E03F7" w:rsidRDefault="005E03F7">
      <w:pPr>
        <w:pStyle w:val="TOC5"/>
        <w:rPr>
          <w:rFonts w:asciiTheme="minorHAnsi" w:eastAsiaTheme="minorEastAsia" w:hAnsiTheme="minorHAnsi" w:cstheme="minorBidi"/>
          <w:sz w:val="22"/>
          <w:szCs w:val="22"/>
          <w:lang w:eastAsia="en-AU"/>
        </w:rPr>
      </w:pPr>
      <w:r>
        <w:tab/>
      </w:r>
      <w:hyperlink w:anchor="_Toc83626117" w:history="1">
        <w:r w:rsidRPr="00D90FEA">
          <w:t>627</w:t>
        </w:r>
        <w:r>
          <w:rPr>
            <w:rFonts w:asciiTheme="minorHAnsi" w:eastAsiaTheme="minorEastAsia" w:hAnsiTheme="minorHAnsi" w:cstheme="minorBidi"/>
            <w:sz w:val="22"/>
            <w:szCs w:val="22"/>
            <w:lang w:eastAsia="en-AU"/>
          </w:rPr>
          <w:tab/>
        </w:r>
        <w:r w:rsidRPr="00D90FEA">
          <w:rPr>
            <w:rFonts w:ascii="Helvetica" w:hAnsi="Helvetica" w:cs="Helvetica"/>
            <w:iCs/>
          </w:rPr>
          <w:t>Defence for owner or operator of vehicle if offence committed while vehicle used by unauthorised person</w:t>
        </w:r>
        <w:r>
          <w:tab/>
        </w:r>
        <w:r>
          <w:fldChar w:fldCharType="begin"/>
        </w:r>
        <w:r>
          <w:instrText xml:space="preserve"> PAGEREF _Toc83626117 \h </w:instrText>
        </w:r>
        <w:r>
          <w:fldChar w:fldCharType="separate"/>
        </w:r>
        <w:r w:rsidR="005C5D7F">
          <w:t>560</w:t>
        </w:r>
        <w:r>
          <w:fldChar w:fldCharType="end"/>
        </w:r>
      </w:hyperlink>
    </w:p>
    <w:p w14:paraId="354C5895" w14:textId="729860A7" w:rsidR="005E03F7" w:rsidRDefault="005E03F7">
      <w:pPr>
        <w:pStyle w:val="TOC5"/>
        <w:rPr>
          <w:rFonts w:asciiTheme="minorHAnsi" w:eastAsiaTheme="minorEastAsia" w:hAnsiTheme="minorHAnsi" w:cstheme="minorBidi"/>
          <w:sz w:val="22"/>
          <w:szCs w:val="22"/>
          <w:lang w:eastAsia="en-AU"/>
        </w:rPr>
      </w:pPr>
      <w:r>
        <w:lastRenderedPageBreak/>
        <w:tab/>
      </w:r>
      <w:hyperlink w:anchor="_Toc83626118" w:history="1">
        <w:r w:rsidRPr="00D90FEA">
          <w:t>628</w:t>
        </w:r>
        <w:r>
          <w:rPr>
            <w:rFonts w:asciiTheme="minorHAnsi" w:eastAsiaTheme="minorEastAsia" w:hAnsiTheme="minorHAnsi" w:cstheme="minorBidi"/>
            <w:sz w:val="22"/>
            <w:szCs w:val="22"/>
            <w:lang w:eastAsia="en-AU"/>
          </w:rPr>
          <w:tab/>
        </w:r>
        <w:r w:rsidRPr="00D90FEA">
          <w:rPr>
            <w:rFonts w:ascii="Helvetica" w:hAnsi="Helvetica" w:cs="Helvetica"/>
            <w:iCs/>
          </w:rPr>
          <w:t>Defence for driver of vehicle subject to a deficiency</w:t>
        </w:r>
        <w:r>
          <w:tab/>
        </w:r>
        <w:r>
          <w:fldChar w:fldCharType="begin"/>
        </w:r>
        <w:r>
          <w:instrText xml:space="preserve"> PAGEREF _Toc83626118 \h </w:instrText>
        </w:r>
        <w:r>
          <w:fldChar w:fldCharType="separate"/>
        </w:r>
        <w:r w:rsidR="005C5D7F">
          <w:t>561</w:t>
        </w:r>
        <w:r>
          <w:fldChar w:fldCharType="end"/>
        </w:r>
      </w:hyperlink>
    </w:p>
    <w:p w14:paraId="4CEF2D03" w14:textId="625E036B" w:rsidR="005E03F7" w:rsidRDefault="005E03F7">
      <w:pPr>
        <w:pStyle w:val="TOC5"/>
        <w:rPr>
          <w:rFonts w:asciiTheme="minorHAnsi" w:eastAsiaTheme="minorEastAsia" w:hAnsiTheme="minorHAnsi" w:cstheme="minorBidi"/>
          <w:sz w:val="22"/>
          <w:szCs w:val="22"/>
          <w:lang w:eastAsia="en-AU"/>
        </w:rPr>
      </w:pPr>
      <w:r>
        <w:tab/>
      </w:r>
      <w:hyperlink w:anchor="_Toc83626119" w:history="1">
        <w:r w:rsidRPr="00D90FEA">
          <w:t>629</w:t>
        </w:r>
        <w:r>
          <w:rPr>
            <w:rFonts w:asciiTheme="minorHAnsi" w:eastAsiaTheme="minorEastAsia" w:hAnsiTheme="minorHAnsi" w:cstheme="minorBidi"/>
            <w:sz w:val="22"/>
            <w:szCs w:val="22"/>
            <w:lang w:eastAsia="en-AU"/>
          </w:rPr>
          <w:tab/>
        </w:r>
        <w:r w:rsidRPr="00D90FEA">
          <w:rPr>
            <w:rFonts w:ascii="Helvetica" w:hAnsi="Helvetica" w:cs="Helvetica"/>
            <w:iCs/>
          </w:rPr>
          <w:t>Defence of compliance with direction</w:t>
        </w:r>
        <w:r>
          <w:tab/>
        </w:r>
        <w:r>
          <w:fldChar w:fldCharType="begin"/>
        </w:r>
        <w:r>
          <w:instrText xml:space="preserve"> PAGEREF _Toc83626119 \h </w:instrText>
        </w:r>
        <w:r>
          <w:fldChar w:fldCharType="separate"/>
        </w:r>
        <w:r w:rsidR="005C5D7F">
          <w:t>562</w:t>
        </w:r>
        <w:r>
          <w:fldChar w:fldCharType="end"/>
        </w:r>
      </w:hyperlink>
    </w:p>
    <w:p w14:paraId="0E9EA09D" w14:textId="08C7DEBB" w:rsidR="005E03F7" w:rsidRDefault="005E03F7">
      <w:pPr>
        <w:pStyle w:val="TOC5"/>
        <w:rPr>
          <w:rFonts w:asciiTheme="minorHAnsi" w:eastAsiaTheme="minorEastAsia" w:hAnsiTheme="minorHAnsi" w:cstheme="minorBidi"/>
          <w:sz w:val="22"/>
          <w:szCs w:val="22"/>
          <w:lang w:eastAsia="en-AU"/>
        </w:rPr>
      </w:pPr>
      <w:r>
        <w:tab/>
      </w:r>
      <w:hyperlink w:anchor="_Toc83626120" w:history="1">
        <w:r w:rsidRPr="00D90FEA">
          <w:t>630</w:t>
        </w:r>
        <w:r>
          <w:rPr>
            <w:rFonts w:asciiTheme="minorHAnsi" w:eastAsiaTheme="minorEastAsia" w:hAnsiTheme="minorHAnsi" w:cstheme="minorBidi"/>
            <w:sz w:val="22"/>
            <w:szCs w:val="22"/>
            <w:lang w:eastAsia="en-AU"/>
          </w:rPr>
          <w:tab/>
        </w:r>
        <w:r w:rsidRPr="00D90FEA">
          <w:rPr>
            <w:rFonts w:ascii="Helvetica" w:hAnsi="Helvetica" w:cs="Helvetica"/>
            <w:iCs/>
          </w:rPr>
          <w:t>Sudden or extraordinary emergency</w:t>
        </w:r>
        <w:r>
          <w:tab/>
        </w:r>
        <w:r>
          <w:fldChar w:fldCharType="begin"/>
        </w:r>
        <w:r>
          <w:instrText xml:space="preserve"> PAGEREF _Toc83626120 \h </w:instrText>
        </w:r>
        <w:r>
          <w:fldChar w:fldCharType="separate"/>
        </w:r>
        <w:r w:rsidR="005C5D7F">
          <w:t>562</w:t>
        </w:r>
        <w:r>
          <w:fldChar w:fldCharType="end"/>
        </w:r>
      </w:hyperlink>
    </w:p>
    <w:p w14:paraId="76845650" w14:textId="260E320A" w:rsidR="005E03F7" w:rsidRDefault="005E03F7">
      <w:pPr>
        <w:pStyle w:val="TOC5"/>
        <w:rPr>
          <w:rFonts w:asciiTheme="minorHAnsi" w:eastAsiaTheme="minorEastAsia" w:hAnsiTheme="minorHAnsi" w:cstheme="minorBidi"/>
          <w:sz w:val="22"/>
          <w:szCs w:val="22"/>
          <w:lang w:eastAsia="en-AU"/>
        </w:rPr>
      </w:pPr>
      <w:r>
        <w:tab/>
      </w:r>
      <w:hyperlink w:anchor="_Toc83626121" w:history="1">
        <w:r w:rsidRPr="00D90FEA">
          <w:t>631</w:t>
        </w:r>
        <w:r>
          <w:rPr>
            <w:rFonts w:asciiTheme="minorHAnsi" w:eastAsiaTheme="minorEastAsia" w:hAnsiTheme="minorHAnsi" w:cstheme="minorBidi"/>
            <w:sz w:val="22"/>
            <w:szCs w:val="22"/>
            <w:lang w:eastAsia="en-AU"/>
          </w:rPr>
          <w:tab/>
        </w:r>
        <w:r w:rsidRPr="00D90FEA">
          <w:rPr>
            <w:rFonts w:ascii="Helvetica" w:hAnsi="Helvetica" w:cs="Helvetica"/>
            <w:iCs/>
          </w:rPr>
          <w:t>Lawful authority</w:t>
        </w:r>
        <w:r>
          <w:tab/>
        </w:r>
        <w:r>
          <w:fldChar w:fldCharType="begin"/>
        </w:r>
        <w:r>
          <w:instrText xml:space="preserve"> PAGEREF _Toc83626121 \h </w:instrText>
        </w:r>
        <w:r>
          <w:fldChar w:fldCharType="separate"/>
        </w:r>
        <w:r w:rsidR="005C5D7F">
          <w:t>562</w:t>
        </w:r>
        <w:r>
          <w:fldChar w:fldCharType="end"/>
        </w:r>
      </w:hyperlink>
    </w:p>
    <w:p w14:paraId="4DF02C81" w14:textId="407BF7DB" w:rsidR="005E03F7" w:rsidRDefault="00856BEE">
      <w:pPr>
        <w:pStyle w:val="TOC3"/>
        <w:rPr>
          <w:rFonts w:asciiTheme="minorHAnsi" w:eastAsiaTheme="minorEastAsia" w:hAnsiTheme="minorHAnsi" w:cstheme="minorBidi"/>
          <w:b w:val="0"/>
          <w:sz w:val="22"/>
          <w:szCs w:val="22"/>
          <w:lang w:eastAsia="en-AU"/>
        </w:rPr>
      </w:pPr>
      <w:hyperlink w:anchor="_Toc83626122" w:history="1">
        <w:r w:rsidR="005E03F7" w:rsidRPr="00D90FEA">
          <w:t xml:space="preserve">Division 4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Other provisions about liability</w:t>
        </w:r>
        <w:r w:rsidR="005E03F7" w:rsidRPr="005E03F7">
          <w:rPr>
            <w:vanish/>
          </w:rPr>
          <w:tab/>
        </w:r>
        <w:r w:rsidR="005E03F7" w:rsidRPr="005E03F7">
          <w:rPr>
            <w:vanish/>
          </w:rPr>
          <w:fldChar w:fldCharType="begin"/>
        </w:r>
        <w:r w:rsidR="005E03F7" w:rsidRPr="005E03F7">
          <w:rPr>
            <w:vanish/>
          </w:rPr>
          <w:instrText xml:space="preserve"> PAGEREF _Toc83626122 \h </w:instrText>
        </w:r>
        <w:r w:rsidR="005E03F7" w:rsidRPr="005E03F7">
          <w:rPr>
            <w:vanish/>
          </w:rPr>
        </w:r>
        <w:r w:rsidR="005E03F7" w:rsidRPr="005E03F7">
          <w:rPr>
            <w:vanish/>
          </w:rPr>
          <w:fldChar w:fldCharType="separate"/>
        </w:r>
        <w:r w:rsidR="005C5D7F">
          <w:rPr>
            <w:vanish/>
          </w:rPr>
          <w:t>563</w:t>
        </w:r>
        <w:r w:rsidR="005E03F7" w:rsidRPr="005E03F7">
          <w:rPr>
            <w:vanish/>
          </w:rPr>
          <w:fldChar w:fldCharType="end"/>
        </w:r>
      </w:hyperlink>
    </w:p>
    <w:p w14:paraId="11E82B01" w14:textId="5E4FFFFA" w:rsidR="005E03F7" w:rsidRDefault="005E03F7">
      <w:pPr>
        <w:pStyle w:val="TOC5"/>
        <w:rPr>
          <w:rFonts w:asciiTheme="minorHAnsi" w:eastAsiaTheme="minorEastAsia" w:hAnsiTheme="minorHAnsi" w:cstheme="minorBidi"/>
          <w:sz w:val="22"/>
          <w:szCs w:val="22"/>
          <w:lang w:eastAsia="en-AU"/>
        </w:rPr>
      </w:pPr>
      <w:r>
        <w:tab/>
      </w:r>
      <w:hyperlink w:anchor="_Toc83626123" w:history="1">
        <w:r w:rsidRPr="00D90FEA">
          <w:t>632</w:t>
        </w:r>
        <w:r>
          <w:rPr>
            <w:rFonts w:asciiTheme="minorHAnsi" w:eastAsiaTheme="minorEastAsia" w:hAnsiTheme="minorHAnsi" w:cstheme="minorBidi"/>
            <w:sz w:val="22"/>
            <w:szCs w:val="22"/>
            <w:lang w:eastAsia="en-AU"/>
          </w:rPr>
          <w:tab/>
        </w:r>
        <w:r w:rsidRPr="00D90FEA">
          <w:rPr>
            <w:rFonts w:ascii="Helvetica" w:hAnsi="Helvetica" w:cs="Helvetica"/>
            <w:iCs/>
          </w:rPr>
          <w:t>Deciding whether person ought reasonably to have known something</w:t>
        </w:r>
        <w:r>
          <w:tab/>
        </w:r>
        <w:r>
          <w:fldChar w:fldCharType="begin"/>
        </w:r>
        <w:r>
          <w:instrText xml:space="preserve"> PAGEREF _Toc83626123 \h </w:instrText>
        </w:r>
        <w:r>
          <w:fldChar w:fldCharType="separate"/>
        </w:r>
        <w:r w:rsidR="005C5D7F">
          <w:t>563</w:t>
        </w:r>
        <w:r>
          <w:fldChar w:fldCharType="end"/>
        </w:r>
      </w:hyperlink>
    </w:p>
    <w:p w14:paraId="12C68C8C" w14:textId="5DE6BE90" w:rsidR="005E03F7" w:rsidRDefault="005E03F7">
      <w:pPr>
        <w:pStyle w:val="TOC5"/>
        <w:rPr>
          <w:rFonts w:asciiTheme="minorHAnsi" w:eastAsiaTheme="minorEastAsia" w:hAnsiTheme="minorHAnsi" w:cstheme="minorBidi"/>
          <w:sz w:val="22"/>
          <w:szCs w:val="22"/>
          <w:lang w:eastAsia="en-AU"/>
        </w:rPr>
      </w:pPr>
      <w:r>
        <w:tab/>
      </w:r>
      <w:hyperlink w:anchor="_Toc83626124" w:history="1">
        <w:r w:rsidRPr="00D90FEA">
          <w:t>632A</w:t>
        </w:r>
        <w:r>
          <w:rPr>
            <w:rFonts w:asciiTheme="minorHAnsi" w:eastAsiaTheme="minorEastAsia" w:hAnsiTheme="minorHAnsi" w:cstheme="minorBidi"/>
            <w:sz w:val="22"/>
            <w:szCs w:val="22"/>
            <w:lang w:eastAsia="en-AU"/>
          </w:rPr>
          <w:tab/>
        </w:r>
        <w:r w:rsidRPr="00D90FEA">
          <w:rPr>
            <w:lang w:val="en" w:eastAsia="en-AU"/>
          </w:rPr>
          <w:t xml:space="preserve"> Using code of practice in proceeding</w:t>
        </w:r>
        <w:r>
          <w:tab/>
        </w:r>
        <w:r>
          <w:fldChar w:fldCharType="begin"/>
        </w:r>
        <w:r>
          <w:instrText xml:space="preserve"> PAGEREF _Toc83626124 \h </w:instrText>
        </w:r>
        <w:r>
          <w:fldChar w:fldCharType="separate"/>
        </w:r>
        <w:r w:rsidR="005C5D7F">
          <w:t>563</w:t>
        </w:r>
        <w:r>
          <w:fldChar w:fldCharType="end"/>
        </w:r>
      </w:hyperlink>
    </w:p>
    <w:p w14:paraId="660A9FC3" w14:textId="77D6A686" w:rsidR="005E03F7" w:rsidRDefault="005E03F7">
      <w:pPr>
        <w:pStyle w:val="TOC5"/>
        <w:rPr>
          <w:rFonts w:asciiTheme="minorHAnsi" w:eastAsiaTheme="minorEastAsia" w:hAnsiTheme="minorHAnsi" w:cstheme="minorBidi"/>
          <w:sz w:val="22"/>
          <w:szCs w:val="22"/>
          <w:lang w:eastAsia="en-AU"/>
        </w:rPr>
      </w:pPr>
      <w:r>
        <w:tab/>
      </w:r>
      <w:hyperlink w:anchor="_Toc83626125" w:history="1">
        <w:r w:rsidRPr="00D90FEA">
          <w:t>633</w:t>
        </w:r>
        <w:r>
          <w:rPr>
            <w:rFonts w:asciiTheme="minorHAnsi" w:eastAsiaTheme="minorEastAsia" w:hAnsiTheme="minorHAnsi" w:cstheme="minorBidi"/>
            <w:sz w:val="22"/>
            <w:szCs w:val="22"/>
            <w:lang w:eastAsia="en-AU"/>
          </w:rPr>
          <w:tab/>
        </w:r>
        <w:r w:rsidRPr="00D90FEA">
          <w:rPr>
            <w:rFonts w:ascii="Helvetica" w:hAnsi="Helvetica" w:cs="Helvetica"/>
            <w:iCs/>
          </w:rPr>
          <w:t>Multiple offenders</w:t>
        </w:r>
        <w:r>
          <w:tab/>
        </w:r>
        <w:r>
          <w:fldChar w:fldCharType="begin"/>
        </w:r>
        <w:r>
          <w:instrText xml:space="preserve"> PAGEREF _Toc83626125 \h </w:instrText>
        </w:r>
        <w:r>
          <w:fldChar w:fldCharType="separate"/>
        </w:r>
        <w:r w:rsidR="005C5D7F">
          <w:t>564</w:t>
        </w:r>
        <w:r>
          <w:fldChar w:fldCharType="end"/>
        </w:r>
      </w:hyperlink>
    </w:p>
    <w:p w14:paraId="409FF1ED" w14:textId="64ED2210" w:rsidR="005E03F7" w:rsidRDefault="005E03F7">
      <w:pPr>
        <w:pStyle w:val="TOC5"/>
        <w:rPr>
          <w:rFonts w:asciiTheme="minorHAnsi" w:eastAsiaTheme="minorEastAsia" w:hAnsiTheme="minorHAnsi" w:cstheme="minorBidi"/>
          <w:sz w:val="22"/>
          <w:szCs w:val="22"/>
          <w:lang w:eastAsia="en-AU"/>
        </w:rPr>
      </w:pPr>
      <w:r>
        <w:tab/>
      </w:r>
      <w:hyperlink w:anchor="_Toc83626126" w:history="1">
        <w:r w:rsidRPr="00D90FEA">
          <w:t>634</w:t>
        </w:r>
        <w:r>
          <w:rPr>
            <w:rFonts w:asciiTheme="minorHAnsi" w:eastAsiaTheme="minorEastAsia" w:hAnsiTheme="minorHAnsi" w:cstheme="minorBidi"/>
            <w:sz w:val="22"/>
            <w:szCs w:val="22"/>
            <w:lang w:eastAsia="en-AU"/>
          </w:rPr>
          <w:tab/>
        </w:r>
        <w:r w:rsidRPr="00D90FEA">
          <w:rPr>
            <w:rFonts w:ascii="Helvetica" w:hAnsi="Helvetica" w:cs="Helvetica"/>
            <w:iCs/>
          </w:rPr>
          <w:t>Multiple offences</w:t>
        </w:r>
        <w:r>
          <w:tab/>
        </w:r>
        <w:r>
          <w:fldChar w:fldCharType="begin"/>
        </w:r>
        <w:r>
          <w:instrText xml:space="preserve"> PAGEREF _Toc83626126 \h </w:instrText>
        </w:r>
        <w:r>
          <w:fldChar w:fldCharType="separate"/>
        </w:r>
        <w:r w:rsidR="005C5D7F">
          <w:t>565</w:t>
        </w:r>
        <w:r>
          <w:fldChar w:fldCharType="end"/>
        </w:r>
      </w:hyperlink>
    </w:p>
    <w:p w14:paraId="5310F520" w14:textId="44B7C7AF" w:rsidR="005E03F7" w:rsidRDefault="005E03F7">
      <w:pPr>
        <w:pStyle w:val="TOC5"/>
        <w:rPr>
          <w:rFonts w:asciiTheme="minorHAnsi" w:eastAsiaTheme="minorEastAsia" w:hAnsiTheme="minorHAnsi" w:cstheme="minorBidi"/>
          <w:sz w:val="22"/>
          <w:szCs w:val="22"/>
          <w:lang w:eastAsia="en-AU"/>
        </w:rPr>
      </w:pPr>
      <w:r>
        <w:tab/>
      </w:r>
      <w:hyperlink w:anchor="_Toc83626127" w:history="1">
        <w:r w:rsidRPr="00D90FEA">
          <w:t>635</w:t>
        </w:r>
        <w:r>
          <w:rPr>
            <w:rFonts w:asciiTheme="minorHAnsi" w:eastAsiaTheme="minorEastAsia" w:hAnsiTheme="minorHAnsi" w:cstheme="minorBidi"/>
            <w:sz w:val="22"/>
            <w:szCs w:val="22"/>
            <w:lang w:eastAsia="en-AU"/>
          </w:rPr>
          <w:tab/>
        </w:r>
        <w:r w:rsidRPr="00D90FEA">
          <w:rPr>
            <w:rFonts w:ascii="Helvetica" w:hAnsi="Helvetica" w:cs="Helvetica"/>
            <w:iCs/>
          </w:rPr>
          <w:t>Responsibility for acts or omissions of representative</w:t>
        </w:r>
        <w:r>
          <w:tab/>
        </w:r>
        <w:r>
          <w:fldChar w:fldCharType="begin"/>
        </w:r>
        <w:r>
          <w:instrText xml:space="preserve"> PAGEREF _Toc83626127 \h </w:instrText>
        </w:r>
        <w:r>
          <w:fldChar w:fldCharType="separate"/>
        </w:r>
        <w:r w:rsidR="005C5D7F">
          <w:t>566</w:t>
        </w:r>
        <w:r>
          <w:fldChar w:fldCharType="end"/>
        </w:r>
      </w:hyperlink>
    </w:p>
    <w:p w14:paraId="4C98B945" w14:textId="59C1FCEC" w:rsidR="005E03F7" w:rsidRDefault="005E03F7">
      <w:pPr>
        <w:pStyle w:val="TOC5"/>
        <w:rPr>
          <w:rFonts w:asciiTheme="minorHAnsi" w:eastAsiaTheme="minorEastAsia" w:hAnsiTheme="minorHAnsi" w:cstheme="minorBidi"/>
          <w:sz w:val="22"/>
          <w:szCs w:val="22"/>
          <w:lang w:eastAsia="en-AU"/>
        </w:rPr>
      </w:pPr>
      <w:r>
        <w:tab/>
      </w:r>
      <w:hyperlink w:anchor="_Toc83626128" w:history="1">
        <w:r w:rsidRPr="00D90FEA">
          <w:t>636</w:t>
        </w:r>
        <w:r>
          <w:rPr>
            <w:rFonts w:asciiTheme="minorHAnsi" w:eastAsiaTheme="minorEastAsia" w:hAnsiTheme="minorHAnsi" w:cstheme="minorBidi"/>
            <w:sz w:val="22"/>
            <w:szCs w:val="22"/>
            <w:lang w:eastAsia="en-AU"/>
          </w:rPr>
          <w:tab/>
        </w:r>
        <w:r w:rsidRPr="00D90FEA">
          <w:rPr>
            <w:rFonts w:ascii="Helvetica" w:hAnsi="Helvetica" w:cs="Helvetica"/>
            <w:iCs/>
          </w:rPr>
          <w:t>Liability of executive officers of corporation</w:t>
        </w:r>
        <w:r>
          <w:tab/>
        </w:r>
        <w:r>
          <w:fldChar w:fldCharType="begin"/>
        </w:r>
        <w:r>
          <w:instrText xml:space="preserve"> PAGEREF _Toc83626128 \h </w:instrText>
        </w:r>
        <w:r>
          <w:fldChar w:fldCharType="separate"/>
        </w:r>
        <w:r w:rsidR="005C5D7F">
          <w:t>567</w:t>
        </w:r>
        <w:r>
          <w:fldChar w:fldCharType="end"/>
        </w:r>
      </w:hyperlink>
    </w:p>
    <w:p w14:paraId="1A087472" w14:textId="39ED5567" w:rsidR="005E03F7" w:rsidRDefault="005E03F7">
      <w:pPr>
        <w:pStyle w:val="TOC5"/>
        <w:rPr>
          <w:rFonts w:asciiTheme="minorHAnsi" w:eastAsiaTheme="minorEastAsia" w:hAnsiTheme="minorHAnsi" w:cstheme="minorBidi"/>
          <w:sz w:val="22"/>
          <w:szCs w:val="22"/>
          <w:lang w:eastAsia="en-AU"/>
        </w:rPr>
      </w:pPr>
      <w:r>
        <w:tab/>
      </w:r>
      <w:hyperlink w:anchor="_Toc83626129" w:history="1">
        <w:r w:rsidRPr="00D90FEA">
          <w:t>637</w:t>
        </w:r>
        <w:r>
          <w:rPr>
            <w:rFonts w:asciiTheme="minorHAnsi" w:eastAsiaTheme="minorEastAsia" w:hAnsiTheme="minorHAnsi" w:cstheme="minorBidi"/>
            <w:sz w:val="22"/>
            <w:szCs w:val="22"/>
            <w:lang w:eastAsia="en-AU"/>
          </w:rPr>
          <w:tab/>
        </w:r>
        <w:r w:rsidRPr="00D90FEA">
          <w:rPr>
            <w:rFonts w:ascii="Helvetica" w:hAnsi="Helvetica" w:cs="Helvetica"/>
            <w:iCs/>
          </w:rPr>
          <w:t>Treatment of unincorporated partnerships</w:t>
        </w:r>
        <w:r>
          <w:tab/>
        </w:r>
        <w:r>
          <w:fldChar w:fldCharType="begin"/>
        </w:r>
        <w:r>
          <w:instrText xml:space="preserve"> PAGEREF _Toc83626129 \h </w:instrText>
        </w:r>
        <w:r>
          <w:fldChar w:fldCharType="separate"/>
        </w:r>
        <w:r w:rsidR="005C5D7F">
          <w:t>568</w:t>
        </w:r>
        <w:r>
          <w:fldChar w:fldCharType="end"/>
        </w:r>
      </w:hyperlink>
    </w:p>
    <w:p w14:paraId="5167EDDD" w14:textId="5B41B389" w:rsidR="005E03F7" w:rsidRDefault="005E03F7">
      <w:pPr>
        <w:pStyle w:val="TOC5"/>
        <w:rPr>
          <w:rFonts w:asciiTheme="minorHAnsi" w:eastAsiaTheme="minorEastAsia" w:hAnsiTheme="minorHAnsi" w:cstheme="minorBidi"/>
          <w:sz w:val="22"/>
          <w:szCs w:val="22"/>
          <w:lang w:eastAsia="en-AU"/>
        </w:rPr>
      </w:pPr>
      <w:r>
        <w:tab/>
      </w:r>
      <w:hyperlink w:anchor="_Toc83626130" w:history="1">
        <w:r w:rsidRPr="00D90FEA">
          <w:t>638</w:t>
        </w:r>
        <w:r>
          <w:rPr>
            <w:rFonts w:asciiTheme="minorHAnsi" w:eastAsiaTheme="minorEastAsia" w:hAnsiTheme="minorHAnsi" w:cstheme="minorBidi"/>
            <w:sz w:val="22"/>
            <w:szCs w:val="22"/>
            <w:lang w:eastAsia="en-AU"/>
          </w:rPr>
          <w:tab/>
        </w:r>
        <w:r w:rsidRPr="00D90FEA">
          <w:rPr>
            <w:rFonts w:ascii="Helvetica" w:hAnsi="Helvetica" w:cs="Helvetica"/>
            <w:iCs/>
          </w:rPr>
          <w:t>Treatment of other unincorporated bodies</w:t>
        </w:r>
        <w:r>
          <w:tab/>
        </w:r>
        <w:r>
          <w:fldChar w:fldCharType="begin"/>
        </w:r>
        <w:r>
          <w:instrText xml:space="preserve"> PAGEREF _Toc83626130 \h </w:instrText>
        </w:r>
        <w:r>
          <w:fldChar w:fldCharType="separate"/>
        </w:r>
        <w:r w:rsidR="005C5D7F">
          <w:t>569</w:t>
        </w:r>
        <w:r>
          <w:fldChar w:fldCharType="end"/>
        </w:r>
      </w:hyperlink>
    </w:p>
    <w:p w14:paraId="1B1D16D2" w14:textId="150EC08B" w:rsidR="005E03F7" w:rsidRDefault="005E03F7">
      <w:pPr>
        <w:pStyle w:val="TOC5"/>
        <w:rPr>
          <w:rFonts w:asciiTheme="minorHAnsi" w:eastAsiaTheme="minorEastAsia" w:hAnsiTheme="minorHAnsi" w:cstheme="minorBidi"/>
          <w:sz w:val="22"/>
          <w:szCs w:val="22"/>
          <w:lang w:eastAsia="en-AU"/>
        </w:rPr>
      </w:pPr>
      <w:r>
        <w:tab/>
      </w:r>
      <w:hyperlink w:anchor="_Toc83626131" w:history="1">
        <w:r w:rsidRPr="00D90FEA">
          <w:t>639</w:t>
        </w:r>
        <w:r>
          <w:rPr>
            <w:rFonts w:asciiTheme="minorHAnsi" w:eastAsiaTheme="minorEastAsia" w:hAnsiTheme="minorHAnsi" w:cstheme="minorBidi"/>
            <w:sz w:val="22"/>
            <w:szCs w:val="22"/>
            <w:lang w:eastAsia="en-AU"/>
          </w:rPr>
          <w:tab/>
        </w:r>
        <w:r w:rsidRPr="00D90FEA">
          <w:rPr>
            <w:rFonts w:ascii="Helvetica" w:hAnsi="Helvetica" w:cs="Helvetica"/>
            <w:iCs/>
          </w:rPr>
          <w:t>Liability of registered operator</w:t>
        </w:r>
        <w:r>
          <w:tab/>
        </w:r>
        <w:r>
          <w:fldChar w:fldCharType="begin"/>
        </w:r>
        <w:r>
          <w:instrText xml:space="preserve"> PAGEREF _Toc83626131 \h </w:instrText>
        </w:r>
        <w:r>
          <w:fldChar w:fldCharType="separate"/>
        </w:r>
        <w:r w:rsidR="005C5D7F">
          <w:t>570</w:t>
        </w:r>
        <w:r>
          <w:fldChar w:fldCharType="end"/>
        </w:r>
      </w:hyperlink>
    </w:p>
    <w:p w14:paraId="46014078" w14:textId="2DF2ADB3" w:rsidR="005E03F7" w:rsidRDefault="00856BEE">
      <w:pPr>
        <w:pStyle w:val="TOC1"/>
        <w:rPr>
          <w:rFonts w:asciiTheme="minorHAnsi" w:eastAsiaTheme="minorEastAsia" w:hAnsiTheme="minorHAnsi" w:cstheme="minorBidi"/>
          <w:b w:val="0"/>
          <w:sz w:val="22"/>
          <w:szCs w:val="22"/>
          <w:lang w:eastAsia="en-AU"/>
        </w:rPr>
      </w:pPr>
      <w:hyperlink w:anchor="_Toc83626132" w:history="1">
        <w:r w:rsidR="005E03F7" w:rsidRPr="00D90FEA">
          <w:t xml:space="preserve">Chapter 11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Reviews and appeals</w:t>
        </w:r>
        <w:r w:rsidR="005E03F7" w:rsidRPr="005E03F7">
          <w:rPr>
            <w:vanish/>
          </w:rPr>
          <w:tab/>
        </w:r>
        <w:r w:rsidR="005E03F7" w:rsidRPr="005E03F7">
          <w:rPr>
            <w:vanish/>
          </w:rPr>
          <w:fldChar w:fldCharType="begin"/>
        </w:r>
        <w:r w:rsidR="005E03F7" w:rsidRPr="005E03F7">
          <w:rPr>
            <w:vanish/>
          </w:rPr>
          <w:instrText xml:space="preserve"> PAGEREF _Toc83626132 \h </w:instrText>
        </w:r>
        <w:r w:rsidR="005E03F7" w:rsidRPr="005E03F7">
          <w:rPr>
            <w:vanish/>
          </w:rPr>
        </w:r>
        <w:r w:rsidR="005E03F7" w:rsidRPr="005E03F7">
          <w:rPr>
            <w:vanish/>
          </w:rPr>
          <w:fldChar w:fldCharType="separate"/>
        </w:r>
        <w:r w:rsidR="005C5D7F">
          <w:rPr>
            <w:vanish/>
          </w:rPr>
          <w:t>573</w:t>
        </w:r>
        <w:r w:rsidR="005E03F7" w:rsidRPr="005E03F7">
          <w:rPr>
            <w:vanish/>
          </w:rPr>
          <w:fldChar w:fldCharType="end"/>
        </w:r>
      </w:hyperlink>
    </w:p>
    <w:p w14:paraId="39130EB1" w14:textId="6E4B7F1E" w:rsidR="005E03F7" w:rsidRDefault="00856BEE">
      <w:pPr>
        <w:pStyle w:val="TOC2"/>
        <w:rPr>
          <w:rFonts w:asciiTheme="minorHAnsi" w:eastAsiaTheme="minorEastAsia" w:hAnsiTheme="minorHAnsi" w:cstheme="minorBidi"/>
          <w:b w:val="0"/>
          <w:sz w:val="22"/>
          <w:szCs w:val="22"/>
          <w:lang w:eastAsia="en-AU"/>
        </w:rPr>
      </w:pPr>
      <w:hyperlink w:anchor="_Toc83626133" w:history="1">
        <w:r w:rsidR="005E03F7" w:rsidRPr="00D90FEA">
          <w:t xml:space="preserve">Part 11.1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Preliminary</w:t>
        </w:r>
        <w:r w:rsidR="005E03F7" w:rsidRPr="005E03F7">
          <w:rPr>
            <w:vanish/>
          </w:rPr>
          <w:tab/>
        </w:r>
        <w:r w:rsidR="005E03F7" w:rsidRPr="005E03F7">
          <w:rPr>
            <w:vanish/>
          </w:rPr>
          <w:fldChar w:fldCharType="begin"/>
        </w:r>
        <w:r w:rsidR="005E03F7" w:rsidRPr="005E03F7">
          <w:rPr>
            <w:vanish/>
          </w:rPr>
          <w:instrText xml:space="preserve"> PAGEREF _Toc83626133 \h </w:instrText>
        </w:r>
        <w:r w:rsidR="005E03F7" w:rsidRPr="005E03F7">
          <w:rPr>
            <w:vanish/>
          </w:rPr>
        </w:r>
        <w:r w:rsidR="005E03F7" w:rsidRPr="005E03F7">
          <w:rPr>
            <w:vanish/>
          </w:rPr>
          <w:fldChar w:fldCharType="separate"/>
        </w:r>
        <w:r w:rsidR="005C5D7F">
          <w:rPr>
            <w:vanish/>
          </w:rPr>
          <w:t>573</w:t>
        </w:r>
        <w:r w:rsidR="005E03F7" w:rsidRPr="005E03F7">
          <w:rPr>
            <w:vanish/>
          </w:rPr>
          <w:fldChar w:fldCharType="end"/>
        </w:r>
      </w:hyperlink>
    </w:p>
    <w:p w14:paraId="2B2760A3" w14:textId="0227D4E1" w:rsidR="005E03F7" w:rsidRDefault="005E03F7">
      <w:pPr>
        <w:pStyle w:val="TOC5"/>
        <w:rPr>
          <w:rFonts w:asciiTheme="minorHAnsi" w:eastAsiaTheme="minorEastAsia" w:hAnsiTheme="minorHAnsi" w:cstheme="minorBidi"/>
          <w:sz w:val="22"/>
          <w:szCs w:val="22"/>
          <w:lang w:eastAsia="en-AU"/>
        </w:rPr>
      </w:pPr>
      <w:r>
        <w:tab/>
      </w:r>
      <w:hyperlink w:anchor="_Toc83626134" w:history="1">
        <w:r w:rsidRPr="00D90FEA">
          <w:t>640</w:t>
        </w:r>
        <w:r>
          <w:rPr>
            <w:rFonts w:asciiTheme="minorHAnsi" w:eastAsiaTheme="minorEastAsia" w:hAnsiTheme="minorHAnsi" w:cstheme="minorBidi"/>
            <w:sz w:val="22"/>
            <w:szCs w:val="22"/>
            <w:lang w:eastAsia="en-AU"/>
          </w:rPr>
          <w:tab/>
        </w:r>
        <w:r w:rsidRPr="00D90FEA">
          <w:rPr>
            <w:rFonts w:ascii="Helvetica" w:hAnsi="Helvetica" w:cs="Helvetica"/>
            <w:iCs/>
          </w:rPr>
          <w:t>Definitions for Ch 11</w:t>
        </w:r>
        <w:r>
          <w:tab/>
        </w:r>
        <w:r>
          <w:fldChar w:fldCharType="begin"/>
        </w:r>
        <w:r>
          <w:instrText xml:space="preserve"> PAGEREF _Toc83626134 \h </w:instrText>
        </w:r>
        <w:r>
          <w:fldChar w:fldCharType="separate"/>
        </w:r>
        <w:r w:rsidR="005C5D7F">
          <w:t>573</w:t>
        </w:r>
        <w:r>
          <w:fldChar w:fldCharType="end"/>
        </w:r>
      </w:hyperlink>
    </w:p>
    <w:p w14:paraId="20B319DE" w14:textId="442D2AA1" w:rsidR="005E03F7" w:rsidRDefault="00856BEE">
      <w:pPr>
        <w:pStyle w:val="TOC2"/>
        <w:rPr>
          <w:rFonts w:asciiTheme="minorHAnsi" w:eastAsiaTheme="minorEastAsia" w:hAnsiTheme="minorHAnsi" w:cstheme="minorBidi"/>
          <w:b w:val="0"/>
          <w:sz w:val="22"/>
          <w:szCs w:val="22"/>
          <w:lang w:eastAsia="en-AU"/>
        </w:rPr>
      </w:pPr>
      <w:hyperlink w:anchor="_Toc83626135" w:history="1">
        <w:r w:rsidR="005E03F7" w:rsidRPr="00D90FEA">
          <w:t xml:space="preserve">Part 11.2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Internal review</w:t>
        </w:r>
        <w:r w:rsidR="005E03F7" w:rsidRPr="005E03F7">
          <w:rPr>
            <w:vanish/>
          </w:rPr>
          <w:tab/>
        </w:r>
        <w:r w:rsidR="005E03F7" w:rsidRPr="005E03F7">
          <w:rPr>
            <w:vanish/>
          </w:rPr>
          <w:fldChar w:fldCharType="begin"/>
        </w:r>
        <w:r w:rsidR="005E03F7" w:rsidRPr="005E03F7">
          <w:rPr>
            <w:vanish/>
          </w:rPr>
          <w:instrText xml:space="preserve"> PAGEREF _Toc83626135 \h </w:instrText>
        </w:r>
        <w:r w:rsidR="005E03F7" w:rsidRPr="005E03F7">
          <w:rPr>
            <w:vanish/>
          </w:rPr>
        </w:r>
        <w:r w:rsidR="005E03F7" w:rsidRPr="005E03F7">
          <w:rPr>
            <w:vanish/>
          </w:rPr>
          <w:fldChar w:fldCharType="separate"/>
        </w:r>
        <w:r w:rsidR="005C5D7F">
          <w:rPr>
            <w:vanish/>
          </w:rPr>
          <w:t>575</w:t>
        </w:r>
        <w:r w:rsidR="005E03F7" w:rsidRPr="005E03F7">
          <w:rPr>
            <w:vanish/>
          </w:rPr>
          <w:fldChar w:fldCharType="end"/>
        </w:r>
      </w:hyperlink>
    </w:p>
    <w:p w14:paraId="11F42C86" w14:textId="73D5FCD2" w:rsidR="005E03F7" w:rsidRDefault="005E03F7">
      <w:pPr>
        <w:pStyle w:val="TOC5"/>
        <w:rPr>
          <w:rFonts w:asciiTheme="minorHAnsi" w:eastAsiaTheme="minorEastAsia" w:hAnsiTheme="minorHAnsi" w:cstheme="minorBidi"/>
          <w:sz w:val="22"/>
          <w:szCs w:val="22"/>
          <w:lang w:eastAsia="en-AU"/>
        </w:rPr>
      </w:pPr>
      <w:r>
        <w:tab/>
      </w:r>
      <w:hyperlink w:anchor="_Toc83626136" w:history="1">
        <w:r w:rsidRPr="00D90FEA">
          <w:t>641</w:t>
        </w:r>
        <w:r>
          <w:rPr>
            <w:rFonts w:asciiTheme="minorHAnsi" w:eastAsiaTheme="minorEastAsia" w:hAnsiTheme="minorHAnsi" w:cstheme="minorBidi"/>
            <w:sz w:val="22"/>
            <w:szCs w:val="22"/>
            <w:lang w:eastAsia="en-AU"/>
          </w:rPr>
          <w:tab/>
        </w:r>
        <w:r w:rsidRPr="00D90FEA">
          <w:rPr>
            <w:rFonts w:ascii="Helvetica" w:hAnsi="Helvetica" w:cs="Helvetica"/>
            <w:iCs/>
          </w:rPr>
          <w:t>Applying for internal review</w:t>
        </w:r>
        <w:r>
          <w:tab/>
        </w:r>
        <w:r>
          <w:fldChar w:fldCharType="begin"/>
        </w:r>
        <w:r>
          <w:instrText xml:space="preserve"> PAGEREF _Toc83626136 \h </w:instrText>
        </w:r>
        <w:r>
          <w:fldChar w:fldCharType="separate"/>
        </w:r>
        <w:r w:rsidR="005C5D7F">
          <w:t>575</w:t>
        </w:r>
        <w:r>
          <w:fldChar w:fldCharType="end"/>
        </w:r>
      </w:hyperlink>
    </w:p>
    <w:p w14:paraId="5F5CC01C" w14:textId="18ED0AD3" w:rsidR="005E03F7" w:rsidRDefault="005E03F7">
      <w:pPr>
        <w:pStyle w:val="TOC5"/>
        <w:rPr>
          <w:rFonts w:asciiTheme="minorHAnsi" w:eastAsiaTheme="minorEastAsia" w:hAnsiTheme="minorHAnsi" w:cstheme="minorBidi"/>
          <w:sz w:val="22"/>
          <w:szCs w:val="22"/>
          <w:lang w:eastAsia="en-AU"/>
        </w:rPr>
      </w:pPr>
      <w:r>
        <w:tab/>
      </w:r>
      <w:hyperlink w:anchor="_Toc83626137" w:history="1">
        <w:r w:rsidRPr="00D90FEA">
          <w:t>642</w:t>
        </w:r>
        <w:r>
          <w:rPr>
            <w:rFonts w:asciiTheme="minorHAnsi" w:eastAsiaTheme="minorEastAsia" w:hAnsiTheme="minorHAnsi" w:cstheme="minorBidi"/>
            <w:sz w:val="22"/>
            <w:szCs w:val="22"/>
            <w:lang w:eastAsia="en-AU"/>
          </w:rPr>
          <w:tab/>
        </w:r>
        <w:r w:rsidRPr="00D90FEA">
          <w:rPr>
            <w:rFonts w:ascii="Helvetica" w:hAnsi="Helvetica" w:cs="Helvetica"/>
            <w:iCs/>
          </w:rPr>
          <w:t>Stay of reviewable decisions made by Regulator or authorised officer</w:t>
        </w:r>
        <w:r>
          <w:tab/>
        </w:r>
        <w:r>
          <w:fldChar w:fldCharType="begin"/>
        </w:r>
        <w:r>
          <w:instrText xml:space="preserve"> PAGEREF _Toc83626137 \h </w:instrText>
        </w:r>
        <w:r>
          <w:fldChar w:fldCharType="separate"/>
        </w:r>
        <w:r w:rsidR="005C5D7F">
          <w:t>577</w:t>
        </w:r>
        <w:r>
          <w:fldChar w:fldCharType="end"/>
        </w:r>
      </w:hyperlink>
    </w:p>
    <w:p w14:paraId="0442CB31" w14:textId="280077A2" w:rsidR="005E03F7" w:rsidRDefault="005E03F7">
      <w:pPr>
        <w:pStyle w:val="TOC5"/>
        <w:rPr>
          <w:rFonts w:asciiTheme="minorHAnsi" w:eastAsiaTheme="minorEastAsia" w:hAnsiTheme="minorHAnsi" w:cstheme="minorBidi"/>
          <w:sz w:val="22"/>
          <w:szCs w:val="22"/>
          <w:lang w:eastAsia="en-AU"/>
        </w:rPr>
      </w:pPr>
      <w:r>
        <w:tab/>
      </w:r>
      <w:hyperlink w:anchor="_Toc83626138" w:history="1">
        <w:r w:rsidRPr="00D90FEA">
          <w:t>643</w:t>
        </w:r>
        <w:r>
          <w:rPr>
            <w:rFonts w:asciiTheme="minorHAnsi" w:eastAsiaTheme="minorEastAsia" w:hAnsiTheme="minorHAnsi" w:cstheme="minorBidi"/>
            <w:sz w:val="22"/>
            <w:szCs w:val="22"/>
            <w:lang w:eastAsia="en-AU"/>
          </w:rPr>
          <w:tab/>
        </w:r>
        <w:r w:rsidRPr="00D90FEA">
          <w:rPr>
            <w:rFonts w:ascii="Helvetica" w:hAnsi="Helvetica" w:cs="Helvetica"/>
            <w:iCs/>
          </w:rPr>
          <w:t>Referral of applications for review of decisions made by road managers</w:t>
        </w:r>
        <w:r>
          <w:tab/>
        </w:r>
        <w:r>
          <w:fldChar w:fldCharType="begin"/>
        </w:r>
        <w:r>
          <w:instrText xml:space="preserve"> PAGEREF _Toc83626138 \h </w:instrText>
        </w:r>
        <w:r>
          <w:fldChar w:fldCharType="separate"/>
        </w:r>
        <w:r w:rsidR="005C5D7F">
          <w:t>578</w:t>
        </w:r>
        <w:r>
          <w:fldChar w:fldCharType="end"/>
        </w:r>
      </w:hyperlink>
    </w:p>
    <w:p w14:paraId="1179C230" w14:textId="20DBE552" w:rsidR="005E03F7" w:rsidRDefault="005E03F7">
      <w:pPr>
        <w:pStyle w:val="TOC5"/>
        <w:rPr>
          <w:rFonts w:asciiTheme="minorHAnsi" w:eastAsiaTheme="minorEastAsia" w:hAnsiTheme="minorHAnsi" w:cstheme="minorBidi"/>
          <w:sz w:val="22"/>
          <w:szCs w:val="22"/>
          <w:lang w:eastAsia="en-AU"/>
        </w:rPr>
      </w:pPr>
      <w:r>
        <w:tab/>
      </w:r>
      <w:hyperlink w:anchor="_Toc83626139" w:history="1">
        <w:r w:rsidRPr="00D90FEA">
          <w:t>644</w:t>
        </w:r>
        <w:r>
          <w:rPr>
            <w:rFonts w:asciiTheme="minorHAnsi" w:eastAsiaTheme="minorEastAsia" w:hAnsiTheme="minorHAnsi" w:cstheme="minorBidi"/>
            <w:sz w:val="22"/>
            <w:szCs w:val="22"/>
            <w:lang w:eastAsia="en-AU"/>
          </w:rPr>
          <w:tab/>
        </w:r>
        <w:r w:rsidRPr="00D90FEA">
          <w:rPr>
            <w:rFonts w:ascii="Helvetica" w:hAnsi="Helvetica" w:cs="Helvetica"/>
            <w:iCs/>
          </w:rPr>
          <w:t>Internal review</w:t>
        </w:r>
        <w:r>
          <w:tab/>
        </w:r>
        <w:r>
          <w:fldChar w:fldCharType="begin"/>
        </w:r>
        <w:r>
          <w:instrText xml:space="preserve"> PAGEREF _Toc83626139 \h </w:instrText>
        </w:r>
        <w:r>
          <w:fldChar w:fldCharType="separate"/>
        </w:r>
        <w:r w:rsidR="005C5D7F">
          <w:t>578</w:t>
        </w:r>
        <w:r>
          <w:fldChar w:fldCharType="end"/>
        </w:r>
      </w:hyperlink>
    </w:p>
    <w:p w14:paraId="071B6570" w14:textId="6F927AA4" w:rsidR="005E03F7" w:rsidRDefault="005E03F7">
      <w:pPr>
        <w:pStyle w:val="TOC5"/>
        <w:rPr>
          <w:rFonts w:asciiTheme="minorHAnsi" w:eastAsiaTheme="minorEastAsia" w:hAnsiTheme="minorHAnsi" w:cstheme="minorBidi"/>
          <w:sz w:val="22"/>
          <w:szCs w:val="22"/>
          <w:lang w:eastAsia="en-AU"/>
        </w:rPr>
      </w:pPr>
      <w:r>
        <w:tab/>
      </w:r>
      <w:hyperlink w:anchor="_Toc83626140" w:history="1">
        <w:r w:rsidRPr="00D90FEA">
          <w:t>645</w:t>
        </w:r>
        <w:r>
          <w:rPr>
            <w:rFonts w:asciiTheme="minorHAnsi" w:eastAsiaTheme="minorEastAsia" w:hAnsiTheme="minorHAnsi" w:cstheme="minorBidi"/>
            <w:sz w:val="22"/>
            <w:szCs w:val="22"/>
            <w:lang w:eastAsia="en-AU"/>
          </w:rPr>
          <w:tab/>
        </w:r>
        <w:r w:rsidRPr="00D90FEA">
          <w:rPr>
            <w:rFonts w:ascii="Helvetica" w:hAnsi="Helvetica" w:cs="Helvetica"/>
            <w:iCs/>
          </w:rPr>
          <w:t>Review decision</w:t>
        </w:r>
        <w:r>
          <w:tab/>
        </w:r>
        <w:r>
          <w:fldChar w:fldCharType="begin"/>
        </w:r>
        <w:r>
          <w:instrText xml:space="preserve"> PAGEREF _Toc83626140 \h </w:instrText>
        </w:r>
        <w:r>
          <w:fldChar w:fldCharType="separate"/>
        </w:r>
        <w:r w:rsidR="005C5D7F">
          <w:t>579</w:t>
        </w:r>
        <w:r>
          <w:fldChar w:fldCharType="end"/>
        </w:r>
      </w:hyperlink>
    </w:p>
    <w:p w14:paraId="410F1D6E" w14:textId="7164B9B9" w:rsidR="005E03F7" w:rsidRDefault="005E03F7">
      <w:pPr>
        <w:pStyle w:val="TOC5"/>
        <w:rPr>
          <w:rFonts w:asciiTheme="minorHAnsi" w:eastAsiaTheme="minorEastAsia" w:hAnsiTheme="minorHAnsi" w:cstheme="minorBidi"/>
          <w:sz w:val="22"/>
          <w:szCs w:val="22"/>
          <w:lang w:eastAsia="en-AU"/>
        </w:rPr>
      </w:pPr>
      <w:r>
        <w:tab/>
      </w:r>
      <w:hyperlink w:anchor="_Toc83626141" w:history="1">
        <w:r w:rsidRPr="00D90FEA">
          <w:t>646</w:t>
        </w:r>
        <w:r>
          <w:rPr>
            <w:rFonts w:asciiTheme="minorHAnsi" w:eastAsiaTheme="minorEastAsia" w:hAnsiTheme="minorHAnsi" w:cstheme="minorBidi"/>
            <w:sz w:val="22"/>
            <w:szCs w:val="22"/>
            <w:lang w:eastAsia="en-AU"/>
          </w:rPr>
          <w:tab/>
        </w:r>
        <w:r w:rsidRPr="00D90FEA">
          <w:rPr>
            <w:rFonts w:ascii="Helvetica" w:hAnsi="Helvetica" w:cs="Helvetica"/>
            <w:iCs/>
          </w:rPr>
          <w:t>Notice of review decision</w:t>
        </w:r>
        <w:r>
          <w:tab/>
        </w:r>
        <w:r>
          <w:fldChar w:fldCharType="begin"/>
        </w:r>
        <w:r>
          <w:instrText xml:space="preserve"> PAGEREF _Toc83626141 \h </w:instrText>
        </w:r>
        <w:r>
          <w:fldChar w:fldCharType="separate"/>
        </w:r>
        <w:r w:rsidR="005C5D7F">
          <w:t>580</w:t>
        </w:r>
        <w:r>
          <w:fldChar w:fldCharType="end"/>
        </w:r>
      </w:hyperlink>
    </w:p>
    <w:p w14:paraId="7BE8D116" w14:textId="69601B44" w:rsidR="005E03F7" w:rsidRDefault="00856BEE">
      <w:pPr>
        <w:pStyle w:val="TOC2"/>
        <w:rPr>
          <w:rFonts w:asciiTheme="minorHAnsi" w:eastAsiaTheme="minorEastAsia" w:hAnsiTheme="minorHAnsi" w:cstheme="minorBidi"/>
          <w:b w:val="0"/>
          <w:sz w:val="22"/>
          <w:szCs w:val="22"/>
          <w:lang w:eastAsia="en-AU"/>
        </w:rPr>
      </w:pPr>
      <w:hyperlink w:anchor="_Toc83626142" w:history="1">
        <w:r w:rsidR="005E03F7" w:rsidRPr="00D90FEA">
          <w:t xml:space="preserve">Part 11.3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Appeals</w:t>
        </w:r>
        <w:r w:rsidR="005E03F7" w:rsidRPr="005E03F7">
          <w:rPr>
            <w:vanish/>
          </w:rPr>
          <w:tab/>
        </w:r>
        <w:r w:rsidR="005E03F7" w:rsidRPr="005E03F7">
          <w:rPr>
            <w:vanish/>
          </w:rPr>
          <w:fldChar w:fldCharType="begin"/>
        </w:r>
        <w:r w:rsidR="005E03F7" w:rsidRPr="005E03F7">
          <w:rPr>
            <w:vanish/>
          </w:rPr>
          <w:instrText xml:space="preserve"> PAGEREF _Toc83626142 \h </w:instrText>
        </w:r>
        <w:r w:rsidR="005E03F7" w:rsidRPr="005E03F7">
          <w:rPr>
            <w:vanish/>
          </w:rPr>
        </w:r>
        <w:r w:rsidR="005E03F7" w:rsidRPr="005E03F7">
          <w:rPr>
            <w:vanish/>
          </w:rPr>
          <w:fldChar w:fldCharType="separate"/>
        </w:r>
        <w:r w:rsidR="005C5D7F">
          <w:rPr>
            <w:vanish/>
          </w:rPr>
          <w:t>582</w:t>
        </w:r>
        <w:r w:rsidR="005E03F7" w:rsidRPr="005E03F7">
          <w:rPr>
            <w:vanish/>
          </w:rPr>
          <w:fldChar w:fldCharType="end"/>
        </w:r>
      </w:hyperlink>
    </w:p>
    <w:p w14:paraId="2DAA27D0" w14:textId="6B1C1A77" w:rsidR="005E03F7" w:rsidRDefault="005E03F7">
      <w:pPr>
        <w:pStyle w:val="TOC5"/>
        <w:rPr>
          <w:rFonts w:asciiTheme="minorHAnsi" w:eastAsiaTheme="minorEastAsia" w:hAnsiTheme="minorHAnsi" w:cstheme="minorBidi"/>
          <w:sz w:val="22"/>
          <w:szCs w:val="22"/>
          <w:lang w:eastAsia="en-AU"/>
        </w:rPr>
      </w:pPr>
      <w:r>
        <w:tab/>
      </w:r>
      <w:hyperlink w:anchor="_Toc83626143" w:history="1">
        <w:r w:rsidRPr="00D90FEA">
          <w:t>647</w:t>
        </w:r>
        <w:r>
          <w:rPr>
            <w:rFonts w:asciiTheme="minorHAnsi" w:eastAsiaTheme="minorEastAsia" w:hAnsiTheme="minorHAnsi" w:cstheme="minorBidi"/>
            <w:sz w:val="22"/>
            <w:szCs w:val="22"/>
            <w:lang w:eastAsia="en-AU"/>
          </w:rPr>
          <w:tab/>
        </w:r>
        <w:r w:rsidRPr="00D90FEA">
          <w:rPr>
            <w:rFonts w:ascii="Helvetica" w:hAnsi="Helvetica" w:cs="Helvetica"/>
            <w:iCs/>
          </w:rPr>
          <w:t>Appellable decisions</w:t>
        </w:r>
        <w:r>
          <w:tab/>
        </w:r>
        <w:r>
          <w:fldChar w:fldCharType="begin"/>
        </w:r>
        <w:r>
          <w:instrText xml:space="preserve"> PAGEREF _Toc83626143 \h </w:instrText>
        </w:r>
        <w:r>
          <w:fldChar w:fldCharType="separate"/>
        </w:r>
        <w:r w:rsidR="005C5D7F">
          <w:t>582</w:t>
        </w:r>
        <w:r>
          <w:fldChar w:fldCharType="end"/>
        </w:r>
      </w:hyperlink>
    </w:p>
    <w:p w14:paraId="73C622E9" w14:textId="65283328" w:rsidR="005E03F7" w:rsidRDefault="005E03F7">
      <w:pPr>
        <w:pStyle w:val="TOC5"/>
        <w:rPr>
          <w:rFonts w:asciiTheme="minorHAnsi" w:eastAsiaTheme="minorEastAsia" w:hAnsiTheme="minorHAnsi" w:cstheme="minorBidi"/>
          <w:sz w:val="22"/>
          <w:szCs w:val="22"/>
          <w:lang w:eastAsia="en-AU"/>
        </w:rPr>
      </w:pPr>
      <w:r>
        <w:tab/>
      </w:r>
      <w:hyperlink w:anchor="_Toc83626144" w:history="1">
        <w:r w:rsidRPr="00D90FEA">
          <w:t>648</w:t>
        </w:r>
        <w:r>
          <w:rPr>
            <w:rFonts w:asciiTheme="minorHAnsi" w:eastAsiaTheme="minorEastAsia" w:hAnsiTheme="minorHAnsi" w:cstheme="minorBidi"/>
            <w:sz w:val="22"/>
            <w:szCs w:val="22"/>
            <w:lang w:eastAsia="en-AU"/>
          </w:rPr>
          <w:tab/>
        </w:r>
        <w:r w:rsidRPr="00D90FEA">
          <w:rPr>
            <w:rFonts w:ascii="Helvetica" w:hAnsi="Helvetica" w:cs="Helvetica"/>
            <w:iCs/>
          </w:rPr>
          <w:t>Stay of review decision</w:t>
        </w:r>
        <w:r>
          <w:tab/>
        </w:r>
        <w:r>
          <w:fldChar w:fldCharType="begin"/>
        </w:r>
        <w:r>
          <w:instrText xml:space="preserve"> PAGEREF _Toc83626144 \h </w:instrText>
        </w:r>
        <w:r>
          <w:fldChar w:fldCharType="separate"/>
        </w:r>
        <w:r w:rsidR="005C5D7F">
          <w:t>582</w:t>
        </w:r>
        <w:r>
          <w:fldChar w:fldCharType="end"/>
        </w:r>
      </w:hyperlink>
    </w:p>
    <w:p w14:paraId="1336485F" w14:textId="2D0DDE24" w:rsidR="005E03F7" w:rsidRDefault="005E03F7">
      <w:pPr>
        <w:pStyle w:val="TOC5"/>
        <w:rPr>
          <w:rFonts w:asciiTheme="minorHAnsi" w:eastAsiaTheme="minorEastAsia" w:hAnsiTheme="minorHAnsi" w:cstheme="minorBidi"/>
          <w:sz w:val="22"/>
          <w:szCs w:val="22"/>
          <w:lang w:eastAsia="en-AU"/>
        </w:rPr>
      </w:pPr>
      <w:r>
        <w:tab/>
      </w:r>
      <w:hyperlink w:anchor="_Toc83626145" w:history="1">
        <w:r w:rsidRPr="00D90FEA">
          <w:t>649</w:t>
        </w:r>
        <w:r>
          <w:rPr>
            <w:rFonts w:asciiTheme="minorHAnsi" w:eastAsiaTheme="minorEastAsia" w:hAnsiTheme="minorHAnsi" w:cstheme="minorBidi"/>
            <w:sz w:val="22"/>
            <w:szCs w:val="22"/>
            <w:lang w:eastAsia="en-AU"/>
          </w:rPr>
          <w:tab/>
        </w:r>
        <w:r w:rsidRPr="00D90FEA">
          <w:rPr>
            <w:rFonts w:ascii="Helvetica" w:hAnsi="Helvetica" w:cs="Helvetica"/>
            <w:iCs/>
          </w:rPr>
          <w:t>Powers of relevant appeal body on appeal</w:t>
        </w:r>
        <w:r>
          <w:tab/>
        </w:r>
        <w:r>
          <w:fldChar w:fldCharType="begin"/>
        </w:r>
        <w:r>
          <w:instrText xml:space="preserve"> PAGEREF _Toc83626145 \h </w:instrText>
        </w:r>
        <w:r>
          <w:fldChar w:fldCharType="separate"/>
        </w:r>
        <w:r w:rsidR="005C5D7F">
          <w:t>583</w:t>
        </w:r>
        <w:r>
          <w:fldChar w:fldCharType="end"/>
        </w:r>
      </w:hyperlink>
    </w:p>
    <w:p w14:paraId="24832494" w14:textId="17C3429E" w:rsidR="005E03F7" w:rsidRDefault="005E03F7">
      <w:pPr>
        <w:pStyle w:val="TOC5"/>
        <w:rPr>
          <w:rFonts w:asciiTheme="minorHAnsi" w:eastAsiaTheme="minorEastAsia" w:hAnsiTheme="minorHAnsi" w:cstheme="minorBidi"/>
          <w:sz w:val="22"/>
          <w:szCs w:val="22"/>
          <w:lang w:eastAsia="en-AU"/>
        </w:rPr>
      </w:pPr>
      <w:r>
        <w:tab/>
      </w:r>
      <w:hyperlink w:anchor="_Toc83626146" w:history="1">
        <w:r w:rsidRPr="00D90FEA">
          <w:t>650</w:t>
        </w:r>
        <w:r>
          <w:rPr>
            <w:rFonts w:asciiTheme="minorHAnsi" w:eastAsiaTheme="minorEastAsia" w:hAnsiTheme="minorHAnsi" w:cstheme="minorBidi"/>
            <w:sz w:val="22"/>
            <w:szCs w:val="22"/>
            <w:lang w:eastAsia="en-AU"/>
          </w:rPr>
          <w:tab/>
        </w:r>
        <w:r w:rsidRPr="00D90FEA">
          <w:rPr>
            <w:rFonts w:ascii="Helvetica" w:hAnsi="Helvetica" w:cs="Helvetica"/>
            <w:iCs/>
          </w:rPr>
          <w:t>Effect of decision of relevant appeal body on appeal</w:t>
        </w:r>
        <w:r>
          <w:tab/>
        </w:r>
        <w:r>
          <w:fldChar w:fldCharType="begin"/>
        </w:r>
        <w:r>
          <w:instrText xml:space="preserve"> PAGEREF _Toc83626146 \h </w:instrText>
        </w:r>
        <w:r>
          <w:fldChar w:fldCharType="separate"/>
        </w:r>
        <w:r w:rsidR="005C5D7F">
          <w:t>584</w:t>
        </w:r>
        <w:r>
          <w:fldChar w:fldCharType="end"/>
        </w:r>
      </w:hyperlink>
    </w:p>
    <w:p w14:paraId="561F00DB" w14:textId="71031CDE" w:rsidR="005E03F7" w:rsidRDefault="00856BEE">
      <w:pPr>
        <w:pStyle w:val="TOC1"/>
        <w:rPr>
          <w:rFonts w:asciiTheme="minorHAnsi" w:eastAsiaTheme="minorEastAsia" w:hAnsiTheme="minorHAnsi" w:cstheme="minorBidi"/>
          <w:b w:val="0"/>
          <w:sz w:val="22"/>
          <w:szCs w:val="22"/>
          <w:lang w:eastAsia="en-AU"/>
        </w:rPr>
      </w:pPr>
      <w:hyperlink w:anchor="_Toc83626147" w:history="1">
        <w:r w:rsidR="005E03F7" w:rsidRPr="00D90FEA">
          <w:t xml:space="preserve">Chapter 12 </w:t>
        </w:r>
        <w:r w:rsidR="005E03F7">
          <w:rPr>
            <w:rFonts w:asciiTheme="minorHAnsi" w:eastAsiaTheme="minorEastAsia" w:hAnsiTheme="minorHAnsi" w:cstheme="minorBidi"/>
            <w:b w:val="0"/>
            <w:sz w:val="22"/>
            <w:szCs w:val="22"/>
            <w:lang w:eastAsia="en-AU"/>
          </w:rPr>
          <w:tab/>
        </w:r>
        <w:r w:rsidR="005E03F7" w:rsidRPr="00D90FEA">
          <w:t>Administration</w:t>
        </w:r>
        <w:r w:rsidR="005E03F7" w:rsidRPr="005E03F7">
          <w:rPr>
            <w:vanish/>
          </w:rPr>
          <w:tab/>
        </w:r>
        <w:r w:rsidR="005E03F7" w:rsidRPr="005E03F7">
          <w:rPr>
            <w:vanish/>
          </w:rPr>
          <w:fldChar w:fldCharType="begin"/>
        </w:r>
        <w:r w:rsidR="005E03F7" w:rsidRPr="005E03F7">
          <w:rPr>
            <w:vanish/>
          </w:rPr>
          <w:instrText xml:space="preserve"> PAGEREF _Toc83626147 \h </w:instrText>
        </w:r>
        <w:r w:rsidR="005E03F7" w:rsidRPr="005E03F7">
          <w:rPr>
            <w:vanish/>
          </w:rPr>
        </w:r>
        <w:r w:rsidR="005E03F7" w:rsidRPr="005E03F7">
          <w:rPr>
            <w:vanish/>
          </w:rPr>
          <w:fldChar w:fldCharType="separate"/>
        </w:r>
        <w:r w:rsidR="005C5D7F">
          <w:rPr>
            <w:vanish/>
          </w:rPr>
          <w:t>585</w:t>
        </w:r>
        <w:r w:rsidR="005E03F7" w:rsidRPr="005E03F7">
          <w:rPr>
            <w:vanish/>
          </w:rPr>
          <w:fldChar w:fldCharType="end"/>
        </w:r>
      </w:hyperlink>
    </w:p>
    <w:p w14:paraId="7E70A925" w14:textId="470A3D61" w:rsidR="005E03F7" w:rsidRDefault="00856BEE">
      <w:pPr>
        <w:pStyle w:val="TOC2"/>
        <w:rPr>
          <w:rFonts w:asciiTheme="minorHAnsi" w:eastAsiaTheme="minorEastAsia" w:hAnsiTheme="minorHAnsi" w:cstheme="minorBidi"/>
          <w:b w:val="0"/>
          <w:sz w:val="22"/>
          <w:szCs w:val="22"/>
          <w:lang w:eastAsia="en-AU"/>
        </w:rPr>
      </w:pPr>
      <w:hyperlink w:anchor="_Toc83626148" w:history="1">
        <w:r w:rsidR="005E03F7" w:rsidRPr="00D90FEA">
          <w:t xml:space="preserve">Part 12.1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rPr>
          <w:t>Responsible Ministers</w:t>
        </w:r>
        <w:r w:rsidR="005E03F7" w:rsidRPr="005E03F7">
          <w:rPr>
            <w:vanish/>
          </w:rPr>
          <w:tab/>
        </w:r>
        <w:r w:rsidR="005E03F7" w:rsidRPr="005E03F7">
          <w:rPr>
            <w:vanish/>
          </w:rPr>
          <w:fldChar w:fldCharType="begin"/>
        </w:r>
        <w:r w:rsidR="005E03F7" w:rsidRPr="005E03F7">
          <w:rPr>
            <w:vanish/>
          </w:rPr>
          <w:instrText xml:space="preserve"> PAGEREF _Toc83626148 \h </w:instrText>
        </w:r>
        <w:r w:rsidR="005E03F7" w:rsidRPr="005E03F7">
          <w:rPr>
            <w:vanish/>
          </w:rPr>
        </w:r>
        <w:r w:rsidR="005E03F7" w:rsidRPr="005E03F7">
          <w:rPr>
            <w:vanish/>
          </w:rPr>
          <w:fldChar w:fldCharType="separate"/>
        </w:r>
        <w:r w:rsidR="005C5D7F">
          <w:rPr>
            <w:vanish/>
          </w:rPr>
          <w:t>585</w:t>
        </w:r>
        <w:r w:rsidR="005E03F7" w:rsidRPr="005E03F7">
          <w:rPr>
            <w:vanish/>
          </w:rPr>
          <w:fldChar w:fldCharType="end"/>
        </w:r>
      </w:hyperlink>
    </w:p>
    <w:p w14:paraId="4315FD9B" w14:textId="59C4C10C" w:rsidR="005E03F7" w:rsidRDefault="005E03F7">
      <w:pPr>
        <w:pStyle w:val="TOC5"/>
        <w:rPr>
          <w:rFonts w:asciiTheme="minorHAnsi" w:eastAsiaTheme="minorEastAsia" w:hAnsiTheme="minorHAnsi" w:cstheme="minorBidi"/>
          <w:sz w:val="22"/>
          <w:szCs w:val="22"/>
          <w:lang w:eastAsia="en-AU"/>
        </w:rPr>
      </w:pPr>
      <w:r>
        <w:tab/>
      </w:r>
      <w:hyperlink w:anchor="_Toc83626149" w:history="1">
        <w:r w:rsidRPr="00D90FEA">
          <w:t>651</w:t>
        </w:r>
        <w:r>
          <w:rPr>
            <w:rFonts w:asciiTheme="minorHAnsi" w:eastAsiaTheme="minorEastAsia" w:hAnsiTheme="minorHAnsi" w:cstheme="minorBidi"/>
            <w:sz w:val="22"/>
            <w:szCs w:val="22"/>
            <w:lang w:eastAsia="en-AU"/>
          </w:rPr>
          <w:tab/>
        </w:r>
        <w:r w:rsidRPr="00D90FEA">
          <w:rPr>
            <w:rFonts w:ascii="Helvetica" w:hAnsi="Helvetica" w:cs="Helvetica"/>
          </w:rPr>
          <w:t>Policy directions</w:t>
        </w:r>
        <w:r>
          <w:tab/>
        </w:r>
        <w:r>
          <w:fldChar w:fldCharType="begin"/>
        </w:r>
        <w:r>
          <w:instrText xml:space="preserve"> PAGEREF _Toc83626149 \h </w:instrText>
        </w:r>
        <w:r>
          <w:fldChar w:fldCharType="separate"/>
        </w:r>
        <w:r w:rsidR="005C5D7F">
          <w:t>585</w:t>
        </w:r>
        <w:r>
          <w:fldChar w:fldCharType="end"/>
        </w:r>
      </w:hyperlink>
    </w:p>
    <w:p w14:paraId="3DAF053E" w14:textId="5F20FF29" w:rsidR="005E03F7" w:rsidRDefault="005E03F7">
      <w:pPr>
        <w:pStyle w:val="TOC5"/>
        <w:rPr>
          <w:rFonts w:asciiTheme="minorHAnsi" w:eastAsiaTheme="minorEastAsia" w:hAnsiTheme="minorHAnsi" w:cstheme="minorBidi"/>
          <w:sz w:val="22"/>
          <w:szCs w:val="22"/>
          <w:lang w:eastAsia="en-AU"/>
        </w:rPr>
      </w:pPr>
      <w:r>
        <w:tab/>
      </w:r>
      <w:hyperlink w:anchor="_Toc83626150" w:history="1">
        <w:r w:rsidRPr="00D90FEA">
          <w:t>652</w:t>
        </w:r>
        <w:r>
          <w:rPr>
            <w:rFonts w:asciiTheme="minorHAnsi" w:eastAsiaTheme="minorEastAsia" w:hAnsiTheme="minorHAnsi" w:cstheme="minorBidi"/>
            <w:sz w:val="22"/>
            <w:szCs w:val="22"/>
            <w:lang w:eastAsia="en-AU"/>
          </w:rPr>
          <w:tab/>
        </w:r>
        <w:r w:rsidRPr="00D90FEA">
          <w:rPr>
            <w:rFonts w:ascii="Helvetica" w:hAnsi="Helvetica" w:cs="Helvetica"/>
          </w:rPr>
          <w:t>Referral of matters etc. by responsible Minister</w:t>
        </w:r>
        <w:r>
          <w:tab/>
        </w:r>
        <w:r>
          <w:fldChar w:fldCharType="begin"/>
        </w:r>
        <w:r>
          <w:instrText xml:space="preserve"> PAGEREF _Toc83626150 \h </w:instrText>
        </w:r>
        <w:r>
          <w:fldChar w:fldCharType="separate"/>
        </w:r>
        <w:r w:rsidR="005C5D7F">
          <w:t>585</w:t>
        </w:r>
        <w:r>
          <w:fldChar w:fldCharType="end"/>
        </w:r>
      </w:hyperlink>
    </w:p>
    <w:p w14:paraId="7E68DE81" w14:textId="31D02120" w:rsidR="005E03F7" w:rsidRDefault="005E03F7">
      <w:pPr>
        <w:pStyle w:val="TOC5"/>
        <w:rPr>
          <w:rFonts w:asciiTheme="minorHAnsi" w:eastAsiaTheme="minorEastAsia" w:hAnsiTheme="minorHAnsi" w:cstheme="minorBidi"/>
          <w:sz w:val="22"/>
          <w:szCs w:val="22"/>
          <w:lang w:eastAsia="en-AU"/>
        </w:rPr>
      </w:pPr>
      <w:r>
        <w:tab/>
      </w:r>
      <w:hyperlink w:anchor="_Toc83626151" w:history="1">
        <w:r w:rsidRPr="00D90FEA">
          <w:t>653</w:t>
        </w:r>
        <w:r>
          <w:rPr>
            <w:rFonts w:asciiTheme="minorHAnsi" w:eastAsiaTheme="minorEastAsia" w:hAnsiTheme="minorHAnsi" w:cstheme="minorBidi"/>
            <w:sz w:val="22"/>
            <w:szCs w:val="22"/>
            <w:lang w:eastAsia="en-AU"/>
          </w:rPr>
          <w:tab/>
        </w:r>
        <w:r w:rsidRPr="00D90FEA">
          <w:rPr>
            <w:rFonts w:ascii="Helvetica" w:hAnsi="Helvetica" w:cs="Helvetica"/>
          </w:rPr>
          <w:t>Approved guidelines for exemptions, authorisations, permits and other authorities</w:t>
        </w:r>
        <w:r>
          <w:tab/>
        </w:r>
        <w:r>
          <w:fldChar w:fldCharType="begin"/>
        </w:r>
        <w:r>
          <w:instrText xml:space="preserve"> PAGEREF _Toc83626151 \h </w:instrText>
        </w:r>
        <w:r>
          <w:fldChar w:fldCharType="separate"/>
        </w:r>
        <w:r w:rsidR="005C5D7F">
          <w:t>586</w:t>
        </w:r>
        <w:r>
          <w:fldChar w:fldCharType="end"/>
        </w:r>
      </w:hyperlink>
    </w:p>
    <w:p w14:paraId="182D09E7" w14:textId="1736D475" w:rsidR="005E03F7" w:rsidRDefault="005E03F7">
      <w:pPr>
        <w:pStyle w:val="TOC5"/>
        <w:rPr>
          <w:rFonts w:asciiTheme="minorHAnsi" w:eastAsiaTheme="minorEastAsia" w:hAnsiTheme="minorHAnsi" w:cstheme="minorBidi"/>
          <w:sz w:val="22"/>
          <w:szCs w:val="22"/>
          <w:lang w:eastAsia="en-AU"/>
        </w:rPr>
      </w:pPr>
      <w:r>
        <w:tab/>
      </w:r>
      <w:hyperlink w:anchor="_Toc83626152" w:history="1">
        <w:r w:rsidRPr="00D90FEA">
          <w:t>654</w:t>
        </w:r>
        <w:r>
          <w:rPr>
            <w:rFonts w:asciiTheme="minorHAnsi" w:eastAsiaTheme="minorEastAsia" w:hAnsiTheme="minorHAnsi" w:cstheme="minorBidi"/>
            <w:sz w:val="22"/>
            <w:szCs w:val="22"/>
            <w:lang w:eastAsia="en-AU"/>
          </w:rPr>
          <w:tab/>
        </w:r>
        <w:r w:rsidRPr="00D90FEA">
          <w:rPr>
            <w:rFonts w:ascii="Helvetica" w:hAnsi="Helvetica" w:cs="Helvetica"/>
          </w:rPr>
          <w:t>Other approvals</w:t>
        </w:r>
        <w:r>
          <w:tab/>
        </w:r>
        <w:r>
          <w:fldChar w:fldCharType="begin"/>
        </w:r>
        <w:r>
          <w:instrText xml:space="preserve"> PAGEREF _Toc83626152 \h </w:instrText>
        </w:r>
        <w:r>
          <w:fldChar w:fldCharType="separate"/>
        </w:r>
        <w:r w:rsidR="005C5D7F">
          <w:t>588</w:t>
        </w:r>
        <w:r>
          <w:fldChar w:fldCharType="end"/>
        </w:r>
      </w:hyperlink>
    </w:p>
    <w:p w14:paraId="12E1B352" w14:textId="0FA10E96" w:rsidR="005E03F7" w:rsidRDefault="005E03F7">
      <w:pPr>
        <w:pStyle w:val="TOC5"/>
        <w:rPr>
          <w:rFonts w:asciiTheme="minorHAnsi" w:eastAsiaTheme="minorEastAsia" w:hAnsiTheme="minorHAnsi" w:cstheme="minorBidi"/>
          <w:sz w:val="22"/>
          <w:szCs w:val="22"/>
          <w:lang w:eastAsia="en-AU"/>
        </w:rPr>
      </w:pPr>
      <w:r>
        <w:tab/>
      </w:r>
      <w:hyperlink w:anchor="_Toc83626153" w:history="1">
        <w:r w:rsidRPr="00D90FEA">
          <w:t>655</w:t>
        </w:r>
        <w:r>
          <w:rPr>
            <w:rFonts w:asciiTheme="minorHAnsi" w:eastAsiaTheme="minorEastAsia" w:hAnsiTheme="minorHAnsi" w:cstheme="minorBidi"/>
            <w:sz w:val="22"/>
            <w:szCs w:val="22"/>
            <w:lang w:eastAsia="en-AU"/>
          </w:rPr>
          <w:tab/>
        </w:r>
        <w:r w:rsidRPr="00D90FEA">
          <w:rPr>
            <w:rFonts w:ascii="Helvetica" w:hAnsi="Helvetica" w:cs="Helvetica"/>
          </w:rPr>
          <w:t>How responsible Ministers exercise functions</w:t>
        </w:r>
        <w:r>
          <w:tab/>
        </w:r>
        <w:r>
          <w:fldChar w:fldCharType="begin"/>
        </w:r>
        <w:r>
          <w:instrText xml:space="preserve"> PAGEREF _Toc83626153 \h </w:instrText>
        </w:r>
        <w:r>
          <w:fldChar w:fldCharType="separate"/>
        </w:r>
        <w:r w:rsidR="005C5D7F">
          <w:t>588</w:t>
        </w:r>
        <w:r>
          <w:fldChar w:fldCharType="end"/>
        </w:r>
      </w:hyperlink>
    </w:p>
    <w:p w14:paraId="77A90071" w14:textId="3D4726AC" w:rsidR="005E03F7" w:rsidRDefault="005E03F7">
      <w:pPr>
        <w:pStyle w:val="TOC5"/>
        <w:rPr>
          <w:rFonts w:asciiTheme="minorHAnsi" w:eastAsiaTheme="minorEastAsia" w:hAnsiTheme="minorHAnsi" w:cstheme="minorBidi"/>
          <w:sz w:val="22"/>
          <w:szCs w:val="22"/>
          <w:lang w:eastAsia="en-AU"/>
        </w:rPr>
      </w:pPr>
      <w:r>
        <w:tab/>
      </w:r>
      <w:hyperlink w:anchor="_Toc83626154" w:history="1">
        <w:r w:rsidRPr="00D90FEA">
          <w:t>655A</w:t>
        </w:r>
        <w:r>
          <w:rPr>
            <w:rFonts w:asciiTheme="minorHAnsi" w:eastAsiaTheme="minorEastAsia" w:hAnsiTheme="minorHAnsi" w:cstheme="minorBidi"/>
            <w:sz w:val="22"/>
            <w:szCs w:val="22"/>
            <w:lang w:eastAsia="en-AU"/>
          </w:rPr>
          <w:tab/>
        </w:r>
        <w:r w:rsidRPr="00D90FEA">
          <w:rPr>
            <w:lang w:val="en" w:eastAsia="en-AU"/>
          </w:rPr>
          <w:t>Delegation by responsible Ministers</w:t>
        </w:r>
        <w:r>
          <w:tab/>
        </w:r>
        <w:r>
          <w:fldChar w:fldCharType="begin"/>
        </w:r>
        <w:r>
          <w:instrText xml:space="preserve"> PAGEREF _Toc83626154 \h </w:instrText>
        </w:r>
        <w:r>
          <w:fldChar w:fldCharType="separate"/>
        </w:r>
        <w:r w:rsidR="005C5D7F">
          <w:t>589</w:t>
        </w:r>
        <w:r>
          <w:fldChar w:fldCharType="end"/>
        </w:r>
      </w:hyperlink>
    </w:p>
    <w:p w14:paraId="2982DCF9" w14:textId="51C30A60" w:rsidR="005E03F7" w:rsidRDefault="00856BEE">
      <w:pPr>
        <w:pStyle w:val="TOC2"/>
        <w:rPr>
          <w:rFonts w:asciiTheme="minorHAnsi" w:eastAsiaTheme="minorEastAsia" w:hAnsiTheme="minorHAnsi" w:cstheme="minorBidi"/>
          <w:b w:val="0"/>
          <w:sz w:val="22"/>
          <w:szCs w:val="22"/>
          <w:lang w:eastAsia="en-AU"/>
        </w:rPr>
      </w:pPr>
      <w:hyperlink w:anchor="_Toc83626155" w:history="1">
        <w:r w:rsidR="005E03F7" w:rsidRPr="00D90FEA">
          <w:t xml:space="preserve">Part 12.2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rPr>
          <w:t>National Heavy Vehicle Regulator</w:t>
        </w:r>
        <w:r w:rsidR="005E03F7" w:rsidRPr="005E03F7">
          <w:rPr>
            <w:vanish/>
          </w:rPr>
          <w:tab/>
        </w:r>
        <w:r w:rsidR="005E03F7" w:rsidRPr="005E03F7">
          <w:rPr>
            <w:vanish/>
          </w:rPr>
          <w:fldChar w:fldCharType="begin"/>
        </w:r>
        <w:r w:rsidR="005E03F7" w:rsidRPr="005E03F7">
          <w:rPr>
            <w:vanish/>
          </w:rPr>
          <w:instrText xml:space="preserve"> PAGEREF _Toc83626155 \h </w:instrText>
        </w:r>
        <w:r w:rsidR="005E03F7" w:rsidRPr="005E03F7">
          <w:rPr>
            <w:vanish/>
          </w:rPr>
        </w:r>
        <w:r w:rsidR="005E03F7" w:rsidRPr="005E03F7">
          <w:rPr>
            <w:vanish/>
          </w:rPr>
          <w:fldChar w:fldCharType="separate"/>
        </w:r>
        <w:r w:rsidR="005C5D7F">
          <w:rPr>
            <w:vanish/>
          </w:rPr>
          <w:t>591</w:t>
        </w:r>
        <w:r w:rsidR="005E03F7" w:rsidRPr="005E03F7">
          <w:rPr>
            <w:vanish/>
          </w:rPr>
          <w:fldChar w:fldCharType="end"/>
        </w:r>
      </w:hyperlink>
    </w:p>
    <w:p w14:paraId="1C6401EB" w14:textId="3E3AB53C" w:rsidR="005E03F7" w:rsidRDefault="00856BEE">
      <w:pPr>
        <w:pStyle w:val="TOC3"/>
        <w:rPr>
          <w:rFonts w:asciiTheme="minorHAnsi" w:eastAsiaTheme="minorEastAsia" w:hAnsiTheme="minorHAnsi" w:cstheme="minorBidi"/>
          <w:b w:val="0"/>
          <w:sz w:val="22"/>
          <w:szCs w:val="22"/>
          <w:lang w:eastAsia="en-AU"/>
        </w:rPr>
      </w:pPr>
      <w:hyperlink w:anchor="_Toc83626156" w:history="1">
        <w:r w:rsidR="005E03F7" w:rsidRPr="00D90FEA">
          <w:t xml:space="preserve">Division 1 </w:t>
        </w:r>
        <w:r w:rsidR="005E03F7">
          <w:rPr>
            <w:rFonts w:asciiTheme="minorHAnsi" w:eastAsiaTheme="minorEastAsia" w:hAnsiTheme="minorHAnsi" w:cstheme="minorBidi"/>
            <w:b w:val="0"/>
            <w:sz w:val="22"/>
            <w:szCs w:val="22"/>
            <w:lang w:eastAsia="en-AU"/>
          </w:rPr>
          <w:tab/>
        </w:r>
        <w:r w:rsidR="005E03F7" w:rsidRPr="00D90FEA">
          <w:t>Establishment, functions and powers</w:t>
        </w:r>
        <w:r w:rsidR="005E03F7" w:rsidRPr="005E03F7">
          <w:rPr>
            <w:vanish/>
          </w:rPr>
          <w:tab/>
        </w:r>
        <w:r w:rsidR="005E03F7" w:rsidRPr="005E03F7">
          <w:rPr>
            <w:vanish/>
          </w:rPr>
          <w:fldChar w:fldCharType="begin"/>
        </w:r>
        <w:r w:rsidR="005E03F7" w:rsidRPr="005E03F7">
          <w:rPr>
            <w:vanish/>
          </w:rPr>
          <w:instrText xml:space="preserve"> PAGEREF _Toc83626156 \h </w:instrText>
        </w:r>
        <w:r w:rsidR="005E03F7" w:rsidRPr="005E03F7">
          <w:rPr>
            <w:vanish/>
          </w:rPr>
        </w:r>
        <w:r w:rsidR="005E03F7" w:rsidRPr="005E03F7">
          <w:rPr>
            <w:vanish/>
          </w:rPr>
          <w:fldChar w:fldCharType="separate"/>
        </w:r>
        <w:r w:rsidR="005C5D7F">
          <w:rPr>
            <w:vanish/>
          </w:rPr>
          <w:t>591</w:t>
        </w:r>
        <w:r w:rsidR="005E03F7" w:rsidRPr="005E03F7">
          <w:rPr>
            <w:vanish/>
          </w:rPr>
          <w:fldChar w:fldCharType="end"/>
        </w:r>
      </w:hyperlink>
    </w:p>
    <w:p w14:paraId="43AA5675" w14:textId="640BC550" w:rsidR="005E03F7" w:rsidRDefault="005E03F7">
      <w:pPr>
        <w:pStyle w:val="TOC5"/>
        <w:rPr>
          <w:rFonts w:asciiTheme="minorHAnsi" w:eastAsiaTheme="minorEastAsia" w:hAnsiTheme="minorHAnsi" w:cstheme="minorBidi"/>
          <w:sz w:val="22"/>
          <w:szCs w:val="22"/>
          <w:lang w:eastAsia="en-AU"/>
        </w:rPr>
      </w:pPr>
      <w:r>
        <w:tab/>
      </w:r>
      <w:hyperlink w:anchor="_Toc83626157" w:history="1">
        <w:r w:rsidRPr="00D90FEA">
          <w:t>656</w:t>
        </w:r>
        <w:r>
          <w:rPr>
            <w:rFonts w:asciiTheme="minorHAnsi" w:eastAsiaTheme="minorEastAsia" w:hAnsiTheme="minorHAnsi" w:cstheme="minorBidi"/>
            <w:sz w:val="22"/>
            <w:szCs w:val="22"/>
            <w:lang w:eastAsia="en-AU"/>
          </w:rPr>
          <w:tab/>
        </w:r>
        <w:r w:rsidRPr="00D90FEA">
          <w:rPr>
            <w:rFonts w:ascii="Helvetica" w:hAnsi="Helvetica" w:cs="Helvetica"/>
          </w:rPr>
          <w:t>Establishment of National Heavy Vehicle Regulator</w:t>
        </w:r>
        <w:r>
          <w:tab/>
        </w:r>
        <w:r>
          <w:fldChar w:fldCharType="begin"/>
        </w:r>
        <w:r>
          <w:instrText xml:space="preserve"> PAGEREF _Toc83626157 \h </w:instrText>
        </w:r>
        <w:r>
          <w:fldChar w:fldCharType="separate"/>
        </w:r>
        <w:r w:rsidR="005C5D7F">
          <w:t>591</w:t>
        </w:r>
        <w:r>
          <w:fldChar w:fldCharType="end"/>
        </w:r>
      </w:hyperlink>
    </w:p>
    <w:p w14:paraId="78C3A848" w14:textId="4E99DF53" w:rsidR="005E03F7" w:rsidRDefault="005E03F7">
      <w:pPr>
        <w:pStyle w:val="TOC5"/>
        <w:rPr>
          <w:rFonts w:asciiTheme="minorHAnsi" w:eastAsiaTheme="minorEastAsia" w:hAnsiTheme="minorHAnsi" w:cstheme="minorBidi"/>
          <w:sz w:val="22"/>
          <w:szCs w:val="22"/>
          <w:lang w:eastAsia="en-AU"/>
        </w:rPr>
      </w:pPr>
      <w:r>
        <w:tab/>
      </w:r>
      <w:hyperlink w:anchor="_Toc83626158" w:history="1">
        <w:r w:rsidRPr="00D90FEA">
          <w:t>657</w:t>
        </w:r>
        <w:r>
          <w:rPr>
            <w:rFonts w:asciiTheme="minorHAnsi" w:eastAsiaTheme="minorEastAsia" w:hAnsiTheme="minorHAnsi" w:cstheme="minorBidi"/>
            <w:sz w:val="22"/>
            <w:szCs w:val="22"/>
            <w:lang w:eastAsia="en-AU"/>
          </w:rPr>
          <w:tab/>
        </w:r>
        <w:r w:rsidRPr="00D90FEA">
          <w:rPr>
            <w:rFonts w:ascii="Helvetica" w:hAnsi="Helvetica" w:cs="Helvetica"/>
          </w:rPr>
          <w:t>Status of Regulator</w:t>
        </w:r>
        <w:r>
          <w:tab/>
        </w:r>
        <w:r>
          <w:fldChar w:fldCharType="begin"/>
        </w:r>
        <w:r>
          <w:instrText xml:space="preserve"> PAGEREF _Toc83626158 \h </w:instrText>
        </w:r>
        <w:r>
          <w:fldChar w:fldCharType="separate"/>
        </w:r>
        <w:r w:rsidR="005C5D7F">
          <w:t>591</w:t>
        </w:r>
        <w:r>
          <w:fldChar w:fldCharType="end"/>
        </w:r>
      </w:hyperlink>
    </w:p>
    <w:p w14:paraId="051BD3F0" w14:textId="78BB4893" w:rsidR="005E03F7" w:rsidRDefault="005E03F7">
      <w:pPr>
        <w:pStyle w:val="TOC5"/>
        <w:rPr>
          <w:rFonts w:asciiTheme="minorHAnsi" w:eastAsiaTheme="minorEastAsia" w:hAnsiTheme="minorHAnsi" w:cstheme="minorBidi"/>
          <w:sz w:val="22"/>
          <w:szCs w:val="22"/>
          <w:lang w:eastAsia="en-AU"/>
        </w:rPr>
      </w:pPr>
      <w:r>
        <w:tab/>
      </w:r>
      <w:hyperlink w:anchor="_Toc83626159" w:history="1">
        <w:r w:rsidRPr="00D90FEA">
          <w:t>658</w:t>
        </w:r>
        <w:r>
          <w:rPr>
            <w:rFonts w:asciiTheme="minorHAnsi" w:eastAsiaTheme="minorEastAsia" w:hAnsiTheme="minorHAnsi" w:cstheme="minorBidi"/>
            <w:sz w:val="22"/>
            <w:szCs w:val="22"/>
            <w:lang w:eastAsia="en-AU"/>
          </w:rPr>
          <w:tab/>
        </w:r>
        <w:r w:rsidRPr="00D90FEA">
          <w:rPr>
            <w:rFonts w:ascii="Helvetica" w:hAnsi="Helvetica" w:cs="Helvetica"/>
          </w:rPr>
          <w:t>General powers of Regulator</w:t>
        </w:r>
        <w:r>
          <w:tab/>
        </w:r>
        <w:r>
          <w:fldChar w:fldCharType="begin"/>
        </w:r>
        <w:r>
          <w:instrText xml:space="preserve"> PAGEREF _Toc83626159 \h </w:instrText>
        </w:r>
        <w:r>
          <w:fldChar w:fldCharType="separate"/>
        </w:r>
        <w:r w:rsidR="005C5D7F">
          <w:t>592</w:t>
        </w:r>
        <w:r>
          <w:fldChar w:fldCharType="end"/>
        </w:r>
      </w:hyperlink>
    </w:p>
    <w:p w14:paraId="179E4261" w14:textId="20B7A2D3" w:rsidR="005E03F7" w:rsidRDefault="005E03F7">
      <w:pPr>
        <w:pStyle w:val="TOC5"/>
        <w:rPr>
          <w:rFonts w:asciiTheme="minorHAnsi" w:eastAsiaTheme="minorEastAsia" w:hAnsiTheme="minorHAnsi" w:cstheme="minorBidi"/>
          <w:sz w:val="22"/>
          <w:szCs w:val="22"/>
          <w:lang w:eastAsia="en-AU"/>
        </w:rPr>
      </w:pPr>
      <w:r>
        <w:tab/>
      </w:r>
      <w:hyperlink w:anchor="_Toc83626160" w:history="1">
        <w:r w:rsidRPr="00D90FEA">
          <w:t>659</w:t>
        </w:r>
        <w:r>
          <w:rPr>
            <w:rFonts w:asciiTheme="minorHAnsi" w:eastAsiaTheme="minorEastAsia" w:hAnsiTheme="minorHAnsi" w:cstheme="minorBidi"/>
            <w:sz w:val="22"/>
            <w:szCs w:val="22"/>
            <w:lang w:eastAsia="en-AU"/>
          </w:rPr>
          <w:tab/>
        </w:r>
        <w:r w:rsidRPr="00D90FEA">
          <w:rPr>
            <w:rFonts w:ascii="Helvetica" w:hAnsi="Helvetica" w:cs="Helvetica"/>
          </w:rPr>
          <w:t>Functions of Regulator</w:t>
        </w:r>
        <w:r>
          <w:tab/>
        </w:r>
        <w:r>
          <w:fldChar w:fldCharType="begin"/>
        </w:r>
        <w:r>
          <w:instrText xml:space="preserve"> PAGEREF _Toc83626160 \h </w:instrText>
        </w:r>
        <w:r>
          <w:fldChar w:fldCharType="separate"/>
        </w:r>
        <w:r w:rsidR="005C5D7F">
          <w:t>592</w:t>
        </w:r>
        <w:r>
          <w:fldChar w:fldCharType="end"/>
        </w:r>
      </w:hyperlink>
    </w:p>
    <w:p w14:paraId="2D6552D0" w14:textId="5FD8866B" w:rsidR="005E03F7" w:rsidRDefault="005E03F7">
      <w:pPr>
        <w:pStyle w:val="TOC5"/>
        <w:rPr>
          <w:rFonts w:asciiTheme="minorHAnsi" w:eastAsiaTheme="minorEastAsia" w:hAnsiTheme="minorHAnsi" w:cstheme="minorBidi"/>
          <w:sz w:val="22"/>
          <w:szCs w:val="22"/>
          <w:lang w:eastAsia="en-AU"/>
        </w:rPr>
      </w:pPr>
      <w:r>
        <w:tab/>
      </w:r>
      <w:hyperlink w:anchor="_Toc83626161" w:history="1">
        <w:r w:rsidRPr="00D90FEA">
          <w:t>660</w:t>
        </w:r>
        <w:r>
          <w:rPr>
            <w:rFonts w:asciiTheme="minorHAnsi" w:eastAsiaTheme="minorEastAsia" w:hAnsiTheme="minorHAnsi" w:cstheme="minorBidi"/>
            <w:sz w:val="22"/>
            <w:szCs w:val="22"/>
            <w:lang w:eastAsia="en-AU"/>
          </w:rPr>
          <w:tab/>
        </w:r>
        <w:r w:rsidRPr="00D90FEA">
          <w:rPr>
            <w:rFonts w:ascii="Helvetica" w:hAnsi="Helvetica" w:cs="Helvetica"/>
          </w:rPr>
          <w:t>Cooperation with participating jurisdictions and Commonwealth</w:t>
        </w:r>
        <w:r>
          <w:tab/>
        </w:r>
        <w:r>
          <w:fldChar w:fldCharType="begin"/>
        </w:r>
        <w:r>
          <w:instrText xml:space="preserve"> PAGEREF _Toc83626161 \h </w:instrText>
        </w:r>
        <w:r>
          <w:fldChar w:fldCharType="separate"/>
        </w:r>
        <w:r w:rsidR="005C5D7F">
          <w:t>594</w:t>
        </w:r>
        <w:r>
          <w:fldChar w:fldCharType="end"/>
        </w:r>
      </w:hyperlink>
    </w:p>
    <w:p w14:paraId="2326CBA8" w14:textId="715DADD9" w:rsidR="005E03F7" w:rsidRDefault="005E03F7">
      <w:pPr>
        <w:pStyle w:val="TOC5"/>
        <w:rPr>
          <w:rFonts w:asciiTheme="minorHAnsi" w:eastAsiaTheme="minorEastAsia" w:hAnsiTheme="minorHAnsi" w:cstheme="minorBidi"/>
          <w:sz w:val="22"/>
          <w:szCs w:val="22"/>
          <w:lang w:eastAsia="en-AU"/>
        </w:rPr>
      </w:pPr>
      <w:r>
        <w:tab/>
      </w:r>
      <w:hyperlink w:anchor="_Toc83626162" w:history="1">
        <w:r w:rsidRPr="00D90FEA">
          <w:t>661</w:t>
        </w:r>
        <w:r>
          <w:rPr>
            <w:rFonts w:asciiTheme="minorHAnsi" w:eastAsiaTheme="minorEastAsia" w:hAnsiTheme="minorHAnsi" w:cstheme="minorBidi"/>
            <w:sz w:val="22"/>
            <w:szCs w:val="22"/>
            <w:lang w:eastAsia="en-AU"/>
          </w:rPr>
          <w:tab/>
        </w:r>
        <w:r w:rsidRPr="00D90FEA">
          <w:rPr>
            <w:rFonts w:ascii="Helvetica" w:hAnsi="Helvetica" w:cs="Helvetica"/>
          </w:rPr>
          <w:t>Delegation</w:t>
        </w:r>
        <w:r>
          <w:tab/>
        </w:r>
        <w:r>
          <w:fldChar w:fldCharType="begin"/>
        </w:r>
        <w:r>
          <w:instrText xml:space="preserve"> PAGEREF _Toc83626162 \h </w:instrText>
        </w:r>
        <w:r>
          <w:fldChar w:fldCharType="separate"/>
        </w:r>
        <w:r w:rsidR="005C5D7F">
          <w:t>595</w:t>
        </w:r>
        <w:r>
          <w:fldChar w:fldCharType="end"/>
        </w:r>
      </w:hyperlink>
    </w:p>
    <w:p w14:paraId="225FBA8F" w14:textId="02BC7E26" w:rsidR="005E03F7" w:rsidRDefault="00856BEE">
      <w:pPr>
        <w:pStyle w:val="TOC3"/>
        <w:rPr>
          <w:rFonts w:asciiTheme="minorHAnsi" w:eastAsiaTheme="minorEastAsia" w:hAnsiTheme="minorHAnsi" w:cstheme="minorBidi"/>
          <w:b w:val="0"/>
          <w:sz w:val="22"/>
          <w:szCs w:val="22"/>
          <w:lang w:eastAsia="en-AU"/>
        </w:rPr>
      </w:pPr>
      <w:hyperlink w:anchor="_Toc83626163" w:history="1">
        <w:r w:rsidR="005E03F7" w:rsidRPr="00D90FEA">
          <w:t xml:space="preserve">Division 2 </w:t>
        </w:r>
        <w:r w:rsidR="005E03F7">
          <w:rPr>
            <w:rFonts w:asciiTheme="minorHAnsi" w:eastAsiaTheme="minorEastAsia" w:hAnsiTheme="minorHAnsi" w:cstheme="minorBidi"/>
            <w:b w:val="0"/>
            <w:sz w:val="22"/>
            <w:szCs w:val="22"/>
            <w:lang w:eastAsia="en-AU"/>
          </w:rPr>
          <w:tab/>
        </w:r>
        <w:r w:rsidR="005E03F7" w:rsidRPr="00D90FEA">
          <w:t>Governing board of Regulator</w:t>
        </w:r>
        <w:r w:rsidR="005E03F7" w:rsidRPr="005E03F7">
          <w:rPr>
            <w:vanish/>
          </w:rPr>
          <w:tab/>
        </w:r>
        <w:r w:rsidR="005E03F7" w:rsidRPr="005E03F7">
          <w:rPr>
            <w:vanish/>
          </w:rPr>
          <w:fldChar w:fldCharType="begin"/>
        </w:r>
        <w:r w:rsidR="005E03F7" w:rsidRPr="005E03F7">
          <w:rPr>
            <w:vanish/>
          </w:rPr>
          <w:instrText xml:space="preserve"> PAGEREF _Toc83626163 \h </w:instrText>
        </w:r>
        <w:r w:rsidR="005E03F7" w:rsidRPr="005E03F7">
          <w:rPr>
            <w:vanish/>
          </w:rPr>
        </w:r>
        <w:r w:rsidR="005E03F7" w:rsidRPr="005E03F7">
          <w:rPr>
            <w:vanish/>
          </w:rPr>
          <w:fldChar w:fldCharType="separate"/>
        </w:r>
        <w:r w:rsidR="005C5D7F">
          <w:rPr>
            <w:vanish/>
          </w:rPr>
          <w:t>596</w:t>
        </w:r>
        <w:r w:rsidR="005E03F7" w:rsidRPr="005E03F7">
          <w:rPr>
            <w:vanish/>
          </w:rPr>
          <w:fldChar w:fldCharType="end"/>
        </w:r>
      </w:hyperlink>
    </w:p>
    <w:p w14:paraId="4D84C136" w14:textId="0BCA371A" w:rsidR="005E03F7" w:rsidRDefault="00856BEE">
      <w:pPr>
        <w:pStyle w:val="TOC4"/>
        <w:rPr>
          <w:rFonts w:asciiTheme="minorHAnsi" w:eastAsiaTheme="minorEastAsia" w:hAnsiTheme="minorHAnsi" w:cstheme="minorBidi"/>
          <w:b w:val="0"/>
          <w:sz w:val="22"/>
          <w:szCs w:val="22"/>
          <w:lang w:eastAsia="en-AU"/>
        </w:rPr>
      </w:pPr>
      <w:hyperlink w:anchor="_Toc83626164" w:history="1">
        <w:r w:rsidR="005E03F7" w:rsidRPr="00D90FEA">
          <w:t xml:space="preserve">Subdivision 1 </w:t>
        </w:r>
        <w:r w:rsidR="005E03F7">
          <w:rPr>
            <w:rFonts w:asciiTheme="minorHAnsi" w:eastAsiaTheme="minorEastAsia" w:hAnsiTheme="minorHAnsi" w:cstheme="minorBidi"/>
            <w:b w:val="0"/>
            <w:sz w:val="22"/>
            <w:szCs w:val="22"/>
            <w:lang w:eastAsia="en-AU"/>
          </w:rPr>
          <w:tab/>
        </w:r>
        <w:r w:rsidR="005E03F7" w:rsidRPr="00D90FEA">
          <w:t>Establishment and functions</w:t>
        </w:r>
        <w:r w:rsidR="005E03F7" w:rsidRPr="005E03F7">
          <w:rPr>
            <w:vanish/>
          </w:rPr>
          <w:tab/>
        </w:r>
        <w:r w:rsidR="005E03F7" w:rsidRPr="005E03F7">
          <w:rPr>
            <w:vanish/>
          </w:rPr>
          <w:fldChar w:fldCharType="begin"/>
        </w:r>
        <w:r w:rsidR="005E03F7" w:rsidRPr="005E03F7">
          <w:rPr>
            <w:vanish/>
          </w:rPr>
          <w:instrText xml:space="preserve"> PAGEREF _Toc83626164 \h </w:instrText>
        </w:r>
        <w:r w:rsidR="005E03F7" w:rsidRPr="005E03F7">
          <w:rPr>
            <w:vanish/>
          </w:rPr>
        </w:r>
        <w:r w:rsidR="005E03F7" w:rsidRPr="005E03F7">
          <w:rPr>
            <w:vanish/>
          </w:rPr>
          <w:fldChar w:fldCharType="separate"/>
        </w:r>
        <w:r w:rsidR="005C5D7F">
          <w:rPr>
            <w:vanish/>
          </w:rPr>
          <w:t>596</w:t>
        </w:r>
        <w:r w:rsidR="005E03F7" w:rsidRPr="005E03F7">
          <w:rPr>
            <w:vanish/>
          </w:rPr>
          <w:fldChar w:fldCharType="end"/>
        </w:r>
      </w:hyperlink>
    </w:p>
    <w:p w14:paraId="78F51678" w14:textId="625CF1CC" w:rsidR="005E03F7" w:rsidRDefault="005E03F7">
      <w:pPr>
        <w:pStyle w:val="TOC5"/>
        <w:rPr>
          <w:rFonts w:asciiTheme="minorHAnsi" w:eastAsiaTheme="minorEastAsia" w:hAnsiTheme="minorHAnsi" w:cstheme="minorBidi"/>
          <w:sz w:val="22"/>
          <w:szCs w:val="22"/>
          <w:lang w:eastAsia="en-AU"/>
        </w:rPr>
      </w:pPr>
      <w:r>
        <w:tab/>
      </w:r>
      <w:hyperlink w:anchor="_Toc83626165" w:history="1">
        <w:r w:rsidRPr="00D90FEA">
          <w:t>662</w:t>
        </w:r>
        <w:r>
          <w:rPr>
            <w:rFonts w:asciiTheme="minorHAnsi" w:eastAsiaTheme="minorEastAsia" w:hAnsiTheme="minorHAnsi" w:cstheme="minorBidi"/>
            <w:sz w:val="22"/>
            <w:szCs w:val="22"/>
            <w:lang w:eastAsia="en-AU"/>
          </w:rPr>
          <w:tab/>
        </w:r>
        <w:r w:rsidRPr="00D90FEA">
          <w:rPr>
            <w:rFonts w:ascii="Helvetica" w:hAnsi="Helvetica" w:cs="Helvetica"/>
          </w:rPr>
          <w:t>Establishment of National Heavy Vehicle Regulator Board</w:t>
        </w:r>
        <w:r>
          <w:tab/>
        </w:r>
        <w:r>
          <w:fldChar w:fldCharType="begin"/>
        </w:r>
        <w:r>
          <w:instrText xml:space="preserve"> PAGEREF _Toc83626165 \h </w:instrText>
        </w:r>
        <w:r>
          <w:fldChar w:fldCharType="separate"/>
        </w:r>
        <w:r w:rsidR="005C5D7F">
          <w:t>596</w:t>
        </w:r>
        <w:r>
          <w:fldChar w:fldCharType="end"/>
        </w:r>
      </w:hyperlink>
    </w:p>
    <w:p w14:paraId="6D6C0256" w14:textId="56AFCEA6" w:rsidR="005E03F7" w:rsidRDefault="005E03F7">
      <w:pPr>
        <w:pStyle w:val="TOC5"/>
        <w:rPr>
          <w:rFonts w:asciiTheme="minorHAnsi" w:eastAsiaTheme="minorEastAsia" w:hAnsiTheme="minorHAnsi" w:cstheme="minorBidi"/>
          <w:sz w:val="22"/>
          <w:szCs w:val="22"/>
          <w:lang w:eastAsia="en-AU"/>
        </w:rPr>
      </w:pPr>
      <w:r>
        <w:tab/>
      </w:r>
      <w:hyperlink w:anchor="_Toc83626166" w:history="1">
        <w:r w:rsidRPr="00D90FEA">
          <w:t>663</w:t>
        </w:r>
        <w:r>
          <w:rPr>
            <w:rFonts w:asciiTheme="minorHAnsi" w:eastAsiaTheme="minorEastAsia" w:hAnsiTheme="minorHAnsi" w:cstheme="minorBidi"/>
            <w:sz w:val="22"/>
            <w:szCs w:val="22"/>
            <w:lang w:eastAsia="en-AU"/>
          </w:rPr>
          <w:tab/>
        </w:r>
        <w:r w:rsidRPr="00D90FEA">
          <w:rPr>
            <w:rFonts w:ascii="Helvetica" w:hAnsi="Helvetica" w:cs="Helvetica"/>
          </w:rPr>
          <w:t>Membership of Board</w:t>
        </w:r>
        <w:r>
          <w:tab/>
        </w:r>
        <w:r>
          <w:fldChar w:fldCharType="begin"/>
        </w:r>
        <w:r>
          <w:instrText xml:space="preserve"> PAGEREF _Toc83626166 \h </w:instrText>
        </w:r>
        <w:r>
          <w:fldChar w:fldCharType="separate"/>
        </w:r>
        <w:r w:rsidR="005C5D7F">
          <w:t>596</w:t>
        </w:r>
        <w:r>
          <w:fldChar w:fldCharType="end"/>
        </w:r>
      </w:hyperlink>
    </w:p>
    <w:p w14:paraId="63A28A1C" w14:textId="501689BA" w:rsidR="005E03F7" w:rsidRDefault="005E03F7">
      <w:pPr>
        <w:pStyle w:val="TOC5"/>
        <w:rPr>
          <w:rFonts w:asciiTheme="minorHAnsi" w:eastAsiaTheme="minorEastAsia" w:hAnsiTheme="minorHAnsi" w:cstheme="minorBidi"/>
          <w:sz w:val="22"/>
          <w:szCs w:val="22"/>
          <w:lang w:eastAsia="en-AU"/>
        </w:rPr>
      </w:pPr>
      <w:r>
        <w:tab/>
      </w:r>
      <w:hyperlink w:anchor="_Toc83626167" w:history="1">
        <w:r w:rsidRPr="00D90FEA">
          <w:t>664</w:t>
        </w:r>
        <w:r>
          <w:rPr>
            <w:rFonts w:asciiTheme="minorHAnsi" w:eastAsiaTheme="minorEastAsia" w:hAnsiTheme="minorHAnsi" w:cstheme="minorBidi"/>
            <w:sz w:val="22"/>
            <w:szCs w:val="22"/>
            <w:lang w:eastAsia="en-AU"/>
          </w:rPr>
          <w:tab/>
        </w:r>
        <w:r w:rsidRPr="00D90FEA">
          <w:rPr>
            <w:rFonts w:ascii="Helvetica" w:hAnsi="Helvetica" w:cs="Helvetica"/>
          </w:rPr>
          <w:t>Functions of Board</w:t>
        </w:r>
        <w:r>
          <w:tab/>
        </w:r>
        <w:r>
          <w:fldChar w:fldCharType="begin"/>
        </w:r>
        <w:r>
          <w:instrText xml:space="preserve"> PAGEREF _Toc83626167 \h </w:instrText>
        </w:r>
        <w:r>
          <w:fldChar w:fldCharType="separate"/>
        </w:r>
        <w:r w:rsidR="005C5D7F">
          <w:t>597</w:t>
        </w:r>
        <w:r>
          <w:fldChar w:fldCharType="end"/>
        </w:r>
      </w:hyperlink>
    </w:p>
    <w:p w14:paraId="6D995186" w14:textId="4233E741" w:rsidR="005E03F7" w:rsidRDefault="00856BEE">
      <w:pPr>
        <w:pStyle w:val="TOC4"/>
        <w:rPr>
          <w:rFonts w:asciiTheme="minorHAnsi" w:eastAsiaTheme="minorEastAsia" w:hAnsiTheme="minorHAnsi" w:cstheme="minorBidi"/>
          <w:b w:val="0"/>
          <w:sz w:val="22"/>
          <w:szCs w:val="22"/>
          <w:lang w:eastAsia="en-AU"/>
        </w:rPr>
      </w:pPr>
      <w:hyperlink w:anchor="_Toc83626168" w:history="1">
        <w:r w:rsidR="005E03F7" w:rsidRPr="00D90FEA">
          <w:t xml:space="preserve">Subdivision 2 </w:t>
        </w:r>
        <w:r w:rsidR="005E03F7">
          <w:rPr>
            <w:rFonts w:asciiTheme="minorHAnsi" w:eastAsiaTheme="minorEastAsia" w:hAnsiTheme="minorHAnsi" w:cstheme="minorBidi"/>
            <w:b w:val="0"/>
            <w:sz w:val="22"/>
            <w:szCs w:val="22"/>
            <w:lang w:eastAsia="en-AU"/>
          </w:rPr>
          <w:tab/>
        </w:r>
        <w:r w:rsidR="005E03F7" w:rsidRPr="00D90FEA">
          <w:t>Members</w:t>
        </w:r>
        <w:r w:rsidR="005E03F7" w:rsidRPr="005E03F7">
          <w:rPr>
            <w:vanish/>
          </w:rPr>
          <w:tab/>
        </w:r>
        <w:r w:rsidR="005E03F7" w:rsidRPr="005E03F7">
          <w:rPr>
            <w:vanish/>
          </w:rPr>
          <w:fldChar w:fldCharType="begin"/>
        </w:r>
        <w:r w:rsidR="005E03F7" w:rsidRPr="005E03F7">
          <w:rPr>
            <w:vanish/>
          </w:rPr>
          <w:instrText xml:space="preserve"> PAGEREF _Toc83626168 \h </w:instrText>
        </w:r>
        <w:r w:rsidR="005E03F7" w:rsidRPr="005E03F7">
          <w:rPr>
            <w:vanish/>
          </w:rPr>
        </w:r>
        <w:r w:rsidR="005E03F7" w:rsidRPr="005E03F7">
          <w:rPr>
            <w:vanish/>
          </w:rPr>
          <w:fldChar w:fldCharType="separate"/>
        </w:r>
        <w:r w:rsidR="005C5D7F">
          <w:rPr>
            <w:vanish/>
          </w:rPr>
          <w:t>597</w:t>
        </w:r>
        <w:r w:rsidR="005E03F7" w:rsidRPr="005E03F7">
          <w:rPr>
            <w:vanish/>
          </w:rPr>
          <w:fldChar w:fldCharType="end"/>
        </w:r>
      </w:hyperlink>
    </w:p>
    <w:p w14:paraId="2DD97D76" w14:textId="52496997" w:rsidR="005E03F7" w:rsidRDefault="005E03F7">
      <w:pPr>
        <w:pStyle w:val="TOC5"/>
        <w:rPr>
          <w:rFonts w:asciiTheme="minorHAnsi" w:eastAsiaTheme="minorEastAsia" w:hAnsiTheme="minorHAnsi" w:cstheme="minorBidi"/>
          <w:sz w:val="22"/>
          <w:szCs w:val="22"/>
          <w:lang w:eastAsia="en-AU"/>
        </w:rPr>
      </w:pPr>
      <w:r>
        <w:tab/>
      </w:r>
      <w:hyperlink w:anchor="_Toc83626169" w:history="1">
        <w:r w:rsidRPr="00D90FEA">
          <w:t>665</w:t>
        </w:r>
        <w:r>
          <w:rPr>
            <w:rFonts w:asciiTheme="minorHAnsi" w:eastAsiaTheme="minorEastAsia" w:hAnsiTheme="minorHAnsi" w:cstheme="minorBidi"/>
            <w:sz w:val="22"/>
            <w:szCs w:val="22"/>
            <w:lang w:eastAsia="en-AU"/>
          </w:rPr>
          <w:tab/>
        </w:r>
        <w:r w:rsidRPr="00D90FEA">
          <w:rPr>
            <w:rFonts w:ascii="Helvetica" w:hAnsi="Helvetica" w:cs="Helvetica"/>
          </w:rPr>
          <w:t>Terms of office of members</w:t>
        </w:r>
        <w:r>
          <w:tab/>
        </w:r>
        <w:r>
          <w:fldChar w:fldCharType="begin"/>
        </w:r>
        <w:r>
          <w:instrText xml:space="preserve"> PAGEREF _Toc83626169 \h </w:instrText>
        </w:r>
        <w:r>
          <w:fldChar w:fldCharType="separate"/>
        </w:r>
        <w:r w:rsidR="005C5D7F">
          <w:t>597</w:t>
        </w:r>
        <w:r>
          <w:fldChar w:fldCharType="end"/>
        </w:r>
      </w:hyperlink>
    </w:p>
    <w:p w14:paraId="0BAEF468" w14:textId="31A7D295" w:rsidR="005E03F7" w:rsidRDefault="005E03F7">
      <w:pPr>
        <w:pStyle w:val="TOC5"/>
        <w:rPr>
          <w:rFonts w:asciiTheme="minorHAnsi" w:eastAsiaTheme="minorEastAsia" w:hAnsiTheme="minorHAnsi" w:cstheme="minorBidi"/>
          <w:sz w:val="22"/>
          <w:szCs w:val="22"/>
          <w:lang w:eastAsia="en-AU"/>
        </w:rPr>
      </w:pPr>
      <w:r>
        <w:tab/>
      </w:r>
      <w:hyperlink w:anchor="_Toc83626170" w:history="1">
        <w:r w:rsidRPr="00D90FEA">
          <w:t>666</w:t>
        </w:r>
        <w:r>
          <w:rPr>
            <w:rFonts w:asciiTheme="minorHAnsi" w:eastAsiaTheme="minorEastAsia" w:hAnsiTheme="minorHAnsi" w:cstheme="minorBidi"/>
            <w:sz w:val="22"/>
            <w:szCs w:val="22"/>
            <w:lang w:eastAsia="en-AU"/>
          </w:rPr>
          <w:tab/>
        </w:r>
        <w:r w:rsidRPr="00D90FEA">
          <w:rPr>
            <w:rFonts w:ascii="Helvetica" w:hAnsi="Helvetica" w:cs="Helvetica"/>
          </w:rPr>
          <w:t>Remuneration</w:t>
        </w:r>
        <w:r>
          <w:tab/>
        </w:r>
        <w:r>
          <w:fldChar w:fldCharType="begin"/>
        </w:r>
        <w:r>
          <w:instrText xml:space="preserve"> PAGEREF _Toc83626170 \h </w:instrText>
        </w:r>
        <w:r>
          <w:fldChar w:fldCharType="separate"/>
        </w:r>
        <w:r w:rsidR="005C5D7F">
          <w:t>598</w:t>
        </w:r>
        <w:r>
          <w:fldChar w:fldCharType="end"/>
        </w:r>
      </w:hyperlink>
    </w:p>
    <w:p w14:paraId="51E2F9C5" w14:textId="2F38BE39" w:rsidR="005E03F7" w:rsidRDefault="005E03F7">
      <w:pPr>
        <w:pStyle w:val="TOC5"/>
        <w:rPr>
          <w:rFonts w:asciiTheme="minorHAnsi" w:eastAsiaTheme="minorEastAsia" w:hAnsiTheme="minorHAnsi" w:cstheme="minorBidi"/>
          <w:sz w:val="22"/>
          <w:szCs w:val="22"/>
          <w:lang w:eastAsia="en-AU"/>
        </w:rPr>
      </w:pPr>
      <w:r>
        <w:tab/>
      </w:r>
      <w:hyperlink w:anchor="_Toc83626171" w:history="1">
        <w:r w:rsidRPr="00D90FEA">
          <w:t>667</w:t>
        </w:r>
        <w:r>
          <w:rPr>
            <w:rFonts w:asciiTheme="minorHAnsi" w:eastAsiaTheme="minorEastAsia" w:hAnsiTheme="minorHAnsi" w:cstheme="minorBidi"/>
            <w:sz w:val="22"/>
            <w:szCs w:val="22"/>
            <w:lang w:eastAsia="en-AU"/>
          </w:rPr>
          <w:tab/>
        </w:r>
        <w:r w:rsidRPr="00D90FEA">
          <w:rPr>
            <w:rFonts w:ascii="Helvetica" w:hAnsi="Helvetica" w:cs="Helvetica"/>
          </w:rPr>
          <w:t>Vacancy in office of member</w:t>
        </w:r>
        <w:r>
          <w:tab/>
        </w:r>
        <w:r>
          <w:fldChar w:fldCharType="begin"/>
        </w:r>
        <w:r>
          <w:instrText xml:space="preserve"> PAGEREF _Toc83626171 \h </w:instrText>
        </w:r>
        <w:r>
          <w:fldChar w:fldCharType="separate"/>
        </w:r>
        <w:r w:rsidR="005C5D7F">
          <w:t>598</w:t>
        </w:r>
        <w:r>
          <w:fldChar w:fldCharType="end"/>
        </w:r>
      </w:hyperlink>
    </w:p>
    <w:p w14:paraId="0B94D90E" w14:textId="330251F4" w:rsidR="005E03F7" w:rsidRDefault="005E03F7">
      <w:pPr>
        <w:pStyle w:val="TOC5"/>
        <w:rPr>
          <w:rFonts w:asciiTheme="minorHAnsi" w:eastAsiaTheme="minorEastAsia" w:hAnsiTheme="minorHAnsi" w:cstheme="minorBidi"/>
          <w:sz w:val="22"/>
          <w:szCs w:val="22"/>
          <w:lang w:eastAsia="en-AU"/>
        </w:rPr>
      </w:pPr>
      <w:r>
        <w:tab/>
      </w:r>
      <w:hyperlink w:anchor="_Toc83626172" w:history="1">
        <w:r w:rsidRPr="00D90FEA">
          <w:t>668</w:t>
        </w:r>
        <w:r>
          <w:rPr>
            <w:rFonts w:asciiTheme="minorHAnsi" w:eastAsiaTheme="minorEastAsia" w:hAnsiTheme="minorHAnsi" w:cstheme="minorBidi"/>
            <w:sz w:val="22"/>
            <w:szCs w:val="22"/>
            <w:lang w:eastAsia="en-AU"/>
          </w:rPr>
          <w:tab/>
        </w:r>
        <w:r w:rsidRPr="00D90FEA">
          <w:rPr>
            <w:rFonts w:ascii="Helvetica" w:hAnsi="Helvetica" w:cs="Helvetica"/>
          </w:rPr>
          <w:t>Board member to give responsible Ministers notice of certain events</w:t>
        </w:r>
        <w:r>
          <w:tab/>
        </w:r>
        <w:r>
          <w:fldChar w:fldCharType="begin"/>
        </w:r>
        <w:r>
          <w:instrText xml:space="preserve"> PAGEREF _Toc83626172 \h </w:instrText>
        </w:r>
        <w:r>
          <w:fldChar w:fldCharType="separate"/>
        </w:r>
        <w:r w:rsidR="005C5D7F">
          <w:t>599</w:t>
        </w:r>
        <w:r>
          <w:fldChar w:fldCharType="end"/>
        </w:r>
      </w:hyperlink>
    </w:p>
    <w:p w14:paraId="6857A36F" w14:textId="50763441" w:rsidR="005E03F7" w:rsidRDefault="005E03F7">
      <w:pPr>
        <w:pStyle w:val="TOC5"/>
        <w:rPr>
          <w:rFonts w:asciiTheme="minorHAnsi" w:eastAsiaTheme="minorEastAsia" w:hAnsiTheme="minorHAnsi" w:cstheme="minorBidi"/>
          <w:sz w:val="22"/>
          <w:szCs w:val="22"/>
          <w:lang w:eastAsia="en-AU"/>
        </w:rPr>
      </w:pPr>
      <w:r>
        <w:tab/>
      </w:r>
      <w:hyperlink w:anchor="_Toc83626173" w:history="1">
        <w:r w:rsidRPr="00D90FEA">
          <w:t>669</w:t>
        </w:r>
        <w:r>
          <w:rPr>
            <w:rFonts w:asciiTheme="minorHAnsi" w:eastAsiaTheme="minorEastAsia" w:hAnsiTheme="minorHAnsi" w:cstheme="minorBidi"/>
            <w:sz w:val="22"/>
            <w:szCs w:val="22"/>
            <w:lang w:eastAsia="en-AU"/>
          </w:rPr>
          <w:tab/>
        </w:r>
        <w:r w:rsidRPr="00D90FEA">
          <w:rPr>
            <w:rFonts w:ascii="Helvetica" w:hAnsi="Helvetica" w:cs="Helvetica"/>
          </w:rPr>
          <w:t>Extension of term of office during vacancy in membership</w:t>
        </w:r>
        <w:r>
          <w:tab/>
        </w:r>
        <w:r>
          <w:fldChar w:fldCharType="begin"/>
        </w:r>
        <w:r>
          <w:instrText xml:space="preserve"> PAGEREF _Toc83626173 \h </w:instrText>
        </w:r>
        <w:r>
          <w:fldChar w:fldCharType="separate"/>
        </w:r>
        <w:r w:rsidR="005C5D7F">
          <w:t>599</w:t>
        </w:r>
        <w:r>
          <w:fldChar w:fldCharType="end"/>
        </w:r>
      </w:hyperlink>
    </w:p>
    <w:p w14:paraId="0525BFC1" w14:textId="55B405B7" w:rsidR="005E03F7" w:rsidRDefault="005E03F7">
      <w:pPr>
        <w:pStyle w:val="TOC5"/>
        <w:rPr>
          <w:rFonts w:asciiTheme="minorHAnsi" w:eastAsiaTheme="minorEastAsia" w:hAnsiTheme="minorHAnsi" w:cstheme="minorBidi"/>
          <w:sz w:val="22"/>
          <w:szCs w:val="22"/>
          <w:lang w:eastAsia="en-AU"/>
        </w:rPr>
      </w:pPr>
      <w:r>
        <w:tab/>
      </w:r>
      <w:hyperlink w:anchor="_Toc83626174" w:history="1">
        <w:r w:rsidRPr="00D90FEA">
          <w:t>670</w:t>
        </w:r>
        <w:r>
          <w:rPr>
            <w:rFonts w:asciiTheme="minorHAnsi" w:eastAsiaTheme="minorEastAsia" w:hAnsiTheme="minorHAnsi" w:cstheme="minorBidi"/>
            <w:sz w:val="22"/>
            <w:szCs w:val="22"/>
            <w:lang w:eastAsia="en-AU"/>
          </w:rPr>
          <w:tab/>
        </w:r>
        <w:r w:rsidRPr="00D90FEA">
          <w:rPr>
            <w:rFonts w:ascii="Helvetica" w:hAnsi="Helvetica" w:cs="Helvetica"/>
          </w:rPr>
          <w:t>Members to act in public interest</w:t>
        </w:r>
        <w:r>
          <w:tab/>
        </w:r>
        <w:r>
          <w:fldChar w:fldCharType="begin"/>
        </w:r>
        <w:r>
          <w:instrText xml:space="preserve"> PAGEREF _Toc83626174 \h </w:instrText>
        </w:r>
        <w:r>
          <w:fldChar w:fldCharType="separate"/>
        </w:r>
        <w:r w:rsidR="005C5D7F">
          <w:t>600</w:t>
        </w:r>
        <w:r>
          <w:fldChar w:fldCharType="end"/>
        </w:r>
      </w:hyperlink>
    </w:p>
    <w:p w14:paraId="143A0E35" w14:textId="33D7A659" w:rsidR="005E03F7" w:rsidRDefault="005E03F7">
      <w:pPr>
        <w:pStyle w:val="TOC5"/>
        <w:rPr>
          <w:rFonts w:asciiTheme="minorHAnsi" w:eastAsiaTheme="minorEastAsia" w:hAnsiTheme="minorHAnsi" w:cstheme="minorBidi"/>
          <w:sz w:val="22"/>
          <w:szCs w:val="22"/>
          <w:lang w:eastAsia="en-AU"/>
        </w:rPr>
      </w:pPr>
      <w:r>
        <w:tab/>
      </w:r>
      <w:hyperlink w:anchor="_Toc83626175" w:history="1">
        <w:r w:rsidRPr="00D90FEA">
          <w:t>671</w:t>
        </w:r>
        <w:r>
          <w:rPr>
            <w:rFonts w:asciiTheme="minorHAnsi" w:eastAsiaTheme="minorEastAsia" w:hAnsiTheme="minorHAnsi" w:cstheme="minorBidi"/>
            <w:sz w:val="22"/>
            <w:szCs w:val="22"/>
            <w:lang w:eastAsia="en-AU"/>
          </w:rPr>
          <w:tab/>
        </w:r>
        <w:r w:rsidRPr="00D90FEA">
          <w:rPr>
            <w:rFonts w:ascii="Helvetica" w:hAnsi="Helvetica" w:cs="Helvetica"/>
          </w:rPr>
          <w:t>Disclosure of conflict of interest</w:t>
        </w:r>
        <w:r>
          <w:tab/>
        </w:r>
        <w:r>
          <w:fldChar w:fldCharType="begin"/>
        </w:r>
        <w:r>
          <w:instrText xml:space="preserve"> PAGEREF _Toc83626175 \h </w:instrText>
        </w:r>
        <w:r>
          <w:fldChar w:fldCharType="separate"/>
        </w:r>
        <w:r w:rsidR="005C5D7F">
          <w:t>600</w:t>
        </w:r>
        <w:r>
          <w:fldChar w:fldCharType="end"/>
        </w:r>
      </w:hyperlink>
    </w:p>
    <w:p w14:paraId="123FB87C" w14:textId="63FDB457" w:rsidR="005E03F7" w:rsidRDefault="00856BEE">
      <w:pPr>
        <w:pStyle w:val="TOC4"/>
        <w:rPr>
          <w:rFonts w:asciiTheme="minorHAnsi" w:eastAsiaTheme="minorEastAsia" w:hAnsiTheme="minorHAnsi" w:cstheme="minorBidi"/>
          <w:b w:val="0"/>
          <w:sz w:val="22"/>
          <w:szCs w:val="22"/>
          <w:lang w:eastAsia="en-AU"/>
        </w:rPr>
      </w:pPr>
      <w:hyperlink w:anchor="_Toc83626176" w:history="1">
        <w:r w:rsidR="005E03F7" w:rsidRPr="00D90FEA">
          <w:t xml:space="preserve">Subdivision 3 </w:t>
        </w:r>
        <w:r w:rsidR="005E03F7">
          <w:rPr>
            <w:rFonts w:asciiTheme="minorHAnsi" w:eastAsiaTheme="minorEastAsia" w:hAnsiTheme="minorHAnsi" w:cstheme="minorBidi"/>
            <w:b w:val="0"/>
            <w:sz w:val="22"/>
            <w:szCs w:val="22"/>
            <w:lang w:eastAsia="en-AU"/>
          </w:rPr>
          <w:tab/>
        </w:r>
        <w:r w:rsidR="005E03F7" w:rsidRPr="00D90FEA">
          <w:t>Meetings</w:t>
        </w:r>
        <w:r w:rsidR="005E03F7" w:rsidRPr="005E03F7">
          <w:rPr>
            <w:vanish/>
          </w:rPr>
          <w:tab/>
        </w:r>
        <w:r w:rsidR="005E03F7" w:rsidRPr="005E03F7">
          <w:rPr>
            <w:vanish/>
          </w:rPr>
          <w:fldChar w:fldCharType="begin"/>
        </w:r>
        <w:r w:rsidR="005E03F7" w:rsidRPr="005E03F7">
          <w:rPr>
            <w:vanish/>
          </w:rPr>
          <w:instrText xml:space="preserve"> PAGEREF _Toc83626176 \h </w:instrText>
        </w:r>
        <w:r w:rsidR="005E03F7" w:rsidRPr="005E03F7">
          <w:rPr>
            <w:vanish/>
          </w:rPr>
        </w:r>
        <w:r w:rsidR="005E03F7" w:rsidRPr="005E03F7">
          <w:rPr>
            <w:vanish/>
          </w:rPr>
          <w:fldChar w:fldCharType="separate"/>
        </w:r>
        <w:r w:rsidR="005C5D7F">
          <w:rPr>
            <w:vanish/>
          </w:rPr>
          <w:t>601</w:t>
        </w:r>
        <w:r w:rsidR="005E03F7" w:rsidRPr="005E03F7">
          <w:rPr>
            <w:vanish/>
          </w:rPr>
          <w:fldChar w:fldCharType="end"/>
        </w:r>
      </w:hyperlink>
    </w:p>
    <w:p w14:paraId="31952D7D" w14:textId="53805078" w:rsidR="005E03F7" w:rsidRDefault="005E03F7">
      <w:pPr>
        <w:pStyle w:val="TOC5"/>
        <w:rPr>
          <w:rFonts w:asciiTheme="minorHAnsi" w:eastAsiaTheme="minorEastAsia" w:hAnsiTheme="minorHAnsi" w:cstheme="minorBidi"/>
          <w:sz w:val="22"/>
          <w:szCs w:val="22"/>
          <w:lang w:eastAsia="en-AU"/>
        </w:rPr>
      </w:pPr>
      <w:r>
        <w:tab/>
      </w:r>
      <w:hyperlink w:anchor="_Toc83626177" w:history="1">
        <w:r w:rsidRPr="00D90FEA">
          <w:t>672</w:t>
        </w:r>
        <w:r>
          <w:rPr>
            <w:rFonts w:asciiTheme="minorHAnsi" w:eastAsiaTheme="minorEastAsia" w:hAnsiTheme="minorHAnsi" w:cstheme="minorBidi"/>
            <w:sz w:val="22"/>
            <w:szCs w:val="22"/>
            <w:lang w:eastAsia="en-AU"/>
          </w:rPr>
          <w:tab/>
        </w:r>
        <w:r w:rsidRPr="00D90FEA">
          <w:rPr>
            <w:rFonts w:ascii="Helvetica" w:hAnsi="Helvetica" w:cs="Helvetica"/>
          </w:rPr>
          <w:t>General procedure</w:t>
        </w:r>
        <w:r>
          <w:tab/>
        </w:r>
        <w:r>
          <w:fldChar w:fldCharType="begin"/>
        </w:r>
        <w:r>
          <w:instrText xml:space="preserve"> PAGEREF _Toc83626177 \h </w:instrText>
        </w:r>
        <w:r>
          <w:fldChar w:fldCharType="separate"/>
        </w:r>
        <w:r w:rsidR="005C5D7F">
          <w:t>601</w:t>
        </w:r>
        <w:r>
          <w:fldChar w:fldCharType="end"/>
        </w:r>
      </w:hyperlink>
    </w:p>
    <w:p w14:paraId="42FECFFA" w14:textId="0B1A7C63" w:rsidR="005E03F7" w:rsidRDefault="005E03F7">
      <w:pPr>
        <w:pStyle w:val="TOC5"/>
        <w:rPr>
          <w:rFonts w:asciiTheme="minorHAnsi" w:eastAsiaTheme="minorEastAsia" w:hAnsiTheme="minorHAnsi" w:cstheme="minorBidi"/>
          <w:sz w:val="22"/>
          <w:szCs w:val="22"/>
          <w:lang w:eastAsia="en-AU"/>
        </w:rPr>
      </w:pPr>
      <w:r>
        <w:tab/>
      </w:r>
      <w:hyperlink w:anchor="_Toc83626178" w:history="1">
        <w:r w:rsidRPr="00D90FEA">
          <w:t>673</w:t>
        </w:r>
        <w:r>
          <w:rPr>
            <w:rFonts w:asciiTheme="minorHAnsi" w:eastAsiaTheme="minorEastAsia" w:hAnsiTheme="minorHAnsi" w:cstheme="minorBidi"/>
            <w:sz w:val="22"/>
            <w:szCs w:val="22"/>
            <w:lang w:eastAsia="en-AU"/>
          </w:rPr>
          <w:tab/>
        </w:r>
        <w:r w:rsidRPr="00D90FEA">
          <w:rPr>
            <w:rFonts w:ascii="Helvetica" w:hAnsi="Helvetica" w:cs="Helvetica"/>
          </w:rPr>
          <w:t>Quorum</w:t>
        </w:r>
        <w:r>
          <w:tab/>
        </w:r>
        <w:r>
          <w:fldChar w:fldCharType="begin"/>
        </w:r>
        <w:r>
          <w:instrText xml:space="preserve"> PAGEREF _Toc83626178 \h </w:instrText>
        </w:r>
        <w:r>
          <w:fldChar w:fldCharType="separate"/>
        </w:r>
        <w:r w:rsidR="005C5D7F">
          <w:t>601</w:t>
        </w:r>
        <w:r>
          <w:fldChar w:fldCharType="end"/>
        </w:r>
      </w:hyperlink>
    </w:p>
    <w:p w14:paraId="447D932B" w14:textId="08D81445" w:rsidR="005E03F7" w:rsidRDefault="005E03F7">
      <w:pPr>
        <w:pStyle w:val="TOC5"/>
        <w:rPr>
          <w:rFonts w:asciiTheme="minorHAnsi" w:eastAsiaTheme="minorEastAsia" w:hAnsiTheme="minorHAnsi" w:cstheme="minorBidi"/>
          <w:sz w:val="22"/>
          <w:szCs w:val="22"/>
          <w:lang w:eastAsia="en-AU"/>
        </w:rPr>
      </w:pPr>
      <w:r>
        <w:tab/>
      </w:r>
      <w:hyperlink w:anchor="_Toc83626179" w:history="1">
        <w:r w:rsidRPr="00D90FEA">
          <w:t>674</w:t>
        </w:r>
        <w:r>
          <w:rPr>
            <w:rFonts w:asciiTheme="minorHAnsi" w:eastAsiaTheme="minorEastAsia" w:hAnsiTheme="minorHAnsi" w:cstheme="minorBidi"/>
            <w:sz w:val="22"/>
            <w:szCs w:val="22"/>
            <w:lang w:eastAsia="en-AU"/>
          </w:rPr>
          <w:tab/>
        </w:r>
        <w:r w:rsidRPr="00D90FEA">
          <w:rPr>
            <w:rFonts w:ascii="Helvetica" w:hAnsi="Helvetica" w:cs="Helvetica"/>
          </w:rPr>
          <w:t>Chief executive officer may attend meetings</w:t>
        </w:r>
        <w:r>
          <w:tab/>
        </w:r>
        <w:r>
          <w:fldChar w:fldCharType="begin"/>
        </w:r>
        <w:r>
          <w:instrText xml:space="preserve"> PAGEREF _Toc83626179 \h </w:instrText>
        </w:r>
        <w:r>
          <w:fldChar w:fldCharType="separate"/>
        </w:r>
        <w:r w:rsidR="005C5D7F">
          <w:t>602</w:t>
        </w:r>
        <w:r>
          <w:fldChar w:fldCharType="end"/>
        </w:r>
      </w:hyperlink>
    </w:p>
    <w:p w14:paraId="2083C14C" w14:textId="108F5954" w:rsidR="005E03F7" w:rsidRDefault="005E03F7">
      <w:pPr>
        <w:pStyle w:val="TOC5"/>
        <w:rPr>
          <w:rFonts w:asciiTheme="minorHAnsi" w:eastAsiaTheme="minorEastAsia" w:hAnsiTheme="minorHAnsi" w:cstheme="minorBidi"/>
          <w:sz w:val="22"/>
          <w:szCs w:val="22"/>
          <w:lang w:eastAsia="en-AU"/>
        </w:rPr>
      </w:pPr>
      <w:r>
        <w:tab/>
      </w:r>
      <w:hyperlink w:anchor="_Toc83626180" w:history="1">
        <w:r w:rsidRPr="00D90FEA">
          <w:t>675</w:t>
        </w:r>
        <w:r>
          <w:rPr>
            <w:rFonts w:asciiTheme="minorHAnsi" w:eastAsiaTheme="minorEastAsia" w:hAnsiTheme="minorHAnsi" w:cstheme="minorBidi"/>
            <w:sz w:val="22"/>
            <w:szCs w:val="22"/>
            <w:lang w:eastAsia="en-AU"/>
          </w:rPr>
          <w:tab/>
        </w:r>
        <w:r w:rsidRPr="00D90FEA">
          <w:rPr>
            <w:rFonts w:ascii="Helvetica" w:hAnsi="Helvetica" w:cs="Helvetica"/>
          </w:rPr>
          <w:t>Presiding member</w:t>
        </w:r>
        <w:r>
          <w:tab/>
        </w:r>
        <w:r>
          <w:fldChar w:fldCharType="begin"/>
        </w:r>
        <w:r>
          <w:instrText xml:space="preserve"> PAGEREF _Toc83626180 \h </w:instrText>
        </w:r>
        <w:r>
          <w:fldChar w:fldCharType="separate"/>
        </w:r>
        <w:r w:rsidR="005C5D7F">
          <w:t>602</w:t>
        </w:r>
        <w:r>
          <w:fldChar w:fldCharType="end"/>
        </w:r>
      </w:hyperlink>
    </w:p>
    <w:p w14:paraId="799B50EE" w14:textId="590856D2" w:rsidR="005E03F7" w:rsidRDefault="005E03F7">
      <w:pPr>
        <w:pStyle w:val="TOC5"/>
        <w:rPr>
          <w:rFonts w:asciiTheme="minorHAnsi" w:eastAsiaTheme="minorEastAsia" w:hAnsiTheme="minorHAnsi" w:cstheme="minorBidi"/>
          <w:sz w:val="22"/>
          <w:szCs w:val="22"/>
          <w:lang w:eastAsia="en-AU"/>
        </w:rPr>
      </w:pPr>
      <w:r>
        <w:tab/>
      </w:r>
      <w:hyperlink w:anchor="_Toc83626181" w:history="1">
        <w:r w:rsidRPr="00D90FEA">
          <w:t>676</w:t>
        </w:r>
        <w:r>
          <w:rPr>
            <w:rFonts w:asciiTheme="minorHAnsi" w:eastAsiaTheme="minorEastAsia" w:hAnsiTheme="minorHAnsi" w:cstheme="minorBidi"/>
            <w:sz w:val="22"/>
            <w:szCs w:val="22"/>
            <w:lang w:eastAsia="en-AU"/>
          </w:rPr>
          <w:tab/>
        </w:r>
        <w:r w:rsidRPr="00D90FEA">
          <w:rPr>
            <w:rFonts w:ascii="Helvetica" w:hAnsi="Helvetica" w:cs="Helvetica"/>
          </w:rPr>
          <w:t>Voting</w:t>
        </w:r>
        <w:r>
          <w:tab/>
        </w:r>
        <w:r>
          <w:fldChar w:fldCharType="begin"/>
        </w:r>
        <w:r>
          <w:instrText xml:space="preserve"> PAGEREF _Toc83626181 \h </w:instrText>
        </w:r>
        <w:r>
          <w:fldChar w:fldCharType="separate"/>
        </w:r>
        <w:r w:rsidR="005C5D7F">
          <w:t>602</w:t>
        </w:r>
        <w:r>
          <w:fldChar w:fldCharType="end"/>
        </w:r>
      </w:hyperlink>
    </w:p>
    <w:p w14:paraId="567CAFDF" w14:textId="308DF31D" w:rsidR="005E03F7" w:rsidRDefault="005E03F7">
      <w:pPr>
        <w:pStyle w:val="TOC5"/>
        <w:rPr>
          <w:rFonts w:asciiTheme="minorHAnsi" w:eastAsiaTheme="minorEastAsia" w:hAnsiTheme="minorHAnsi" w:cstheme="minorBidi"/>
          <w:sz w:val="22"/>
          <w:szCs w:val="22"/>
          <w:lang w:eastAsia="en-AU"/>
        </w:rPr>
      </w:pPr>
      <w:r>
        <w:tab/>
      </w:r>
      <w:hyperlink w:anchor="_Toc83626182" w:history="1">
        <w:r w:rsidRPr="00D90FEA">
          <w:t>677</w:t>
        </w:r>
        <w:r>
          <w:rPr>
            <w:rFonts w:asciiTheme="minorHAnsi" w:eastAsiaTheme="minorEastAsia" w:hAnsiTheme="minorHAnsi" w:cstheme="minorBidi"/>
            <w:sz w:val="22"/>
            <w:szCs w:val="22"/>
            <w:lang w:eastAsia="en-AU"/>
          </w:rPr>
          <w:tab/>
        </w:r>
        <w:r w:rsidRPr="00D90FEA">
          <w:rPr>
            <w:rFonts w:ascii="Helvetica" w:hAnsi="Helvetica" w:cs="Helvetica"/>
          </w:rPr>
          <w:t>Minutes</w:t>
        </w:r>
        <w:r>
          <w:tab/>
        </w:r>
        <w:r>
          <w:fldChar w:fldCharType="begin"/>
        </w:r>
        <w:r>
          <w:instrText xml:space="preserve"> PAGEREF _Toc83626182 \h </w:instrText>
        </w:r>
        <w:r>
          <w:fldChar w:fldCharType="separate"/>
        </w:r>
        <w:r w:rsidR="005C5D7F">
          <w:t>603</w:t>
        </w:r>
        <w:r>
          <w:fldChar w:fldCharType="end"/>
        </w:r>
      </w:hyperlink>
    </w:p>
    <w:p w14:paraId="0873F022" w14:textId="1F6BD8C1" w:rsidR="005E03F7" w:rsidRDefault="005E03F7">
      <w:pPr>
        <w:pStyle w:val="TOC5"/>
        <w:rPr>
          <w:rFonts w:asciiTheme="minorHAnsi" w:eastAsiaTheme="minorEastAsia" w:hAnsiTheme="minorHAnsi" w:cstheme="minorBidi"/>
          <w:sz w:val="22"/>
          <w:szCs w:val="22"/>
          <w:lang w:eastAsia="en-AU"/>
        </w:rPr>
      </w:pPr>
      <w:r>
        <w:tab/>
      </w:r>
      <w:hyperlink w:anchor="_Toc83626183" w:history="1">
        <w:r w:rsidRPr="00D90FEA">
          <w:t>678</w:t>
        </w:r>
        <w:r>
          <w:rPr>
            <w:rFonts w:asciiTheme="minorHAnsi" w:eastAsiaTheme="minorEastAsia" w:hAnsiTheme="minorHAnsi" w:cstheme="minorBidi"/>
            <w:sz w:val="22"/>
            <w:szCs w:val="22"/>
            <w:lang w:eastAsia="en-AU"/>
          </w:rPr>
          <w:tab/>
        </w:r>
        <w:r w:rsidRPr="00D90FEA">
          <w:rPr>
            <w:rFonts w:ascii="Helvetica" w:hAnsi="Helvetica" w:cs="Helvetica"/>
          </w:rPr>
          <w:t>First meeting</w:t>
        </w:r>
        <w:r>
          <w:tab/>
        </w:r>
        <w:r>
          <w:fldChar w:fldCharType="begin"/>
        </w:r>
        <w:r>
          <w:instrText xml:space="preserve"> PAGEREF _Toc83626183 \h </w:instrText>
        </w:r>
        <w:r>
          <w:fldChar w:fldCharType="separate"/>
        </w:r>
        <w:r w:rsidR="005C5D7F">
          <w:t>603</w:t>
        </w:r>
        <w:r>
          <w:fldChar w:fldCharType="end"/>
        </w:r>
      </w:hyperlink>
    </w:p>
    <w:p w14:paraId="62CFEDF7" w14:textId="7BCF2DF8" w:rsidR="005E03F7" w:rsidRDefault="005E03F7">
      <w:pPr>
        <w:pStyle w:val="TOC5"/>
        <w:rPr>
          <w:rFonts w:asciiTheme="minorHAnsi" w:eastAsiaTheme="minorEastAsia" w:hAnsiTheme="minorHAnsi" w:cstheme="minorBidi"/>
          <w:sz w:val="22"/>
          <w:szCs w:val="22"/>
          <w:lang w:eastAsia="en-AU"/>
        </w:rPr>
      </w:pPr>
      <w:r>
        <w:tab/>
      </w:r>
      <w:hyperlink w:anchor="_Toc83626184" w:history="1">
        <w:r w:rsidRPr="00D90FEA">
          <w:t>679</w:t>
        </w:r>
        <w:r>
          <w:rPr>
            <w:rFonts w:asciiTheme="minorHAnsi" w:eastAsiaTheme="minorEastAsia" w:hAnsiTheme="minorHAnsi" w:cstheme="minorBidi"/>
            <w:sz w:val="22"/>
            <w:szCs w:val="22"/>
            <w:lang w:eastAsia="en-AU"/>
          </w:rPr>
          <w:tab/>
        </w:r>
        <w:r w:rsidRPr="00D90FEA">
          <w:rPr>
            <w:rFonts w:ascii="Helvetica" w:hAnsi="Helvetica" w:cs="Helvetica"/>
          </w:rPr>
          <w:t>Defects in appointment of members</w:t>
        </w:r>
        <w:r>
          <w:tab/>
        </w:r>
        <w:r>
          <w:fldChar w:fldCharType="begin"/>
        </w:r>
        <w:r>
          <w:instrText xml:space="preserve"> PAGEREF _Toc83626184 \h </w:instrText>
        </w:r>
        <w:r>
          <w:fldChar w:fldCharType="separate"/>
        </w:r>
        <w:r w:rsidR="005C5D7F">
          <w:t>603</w:t>
        </w:r>
        <w:r>
          <w:fldChar w:fldCharType="end"/>
        </w:r>
      </w:hyperlink>
    </w:p>
    <w:p w14:paraId="5DE8FD9C" w14:textId="23E1F4E3" w:rsidR="005E03F7" w:rsidRDefault="00856BEE">
      <w:pPr>
        <w:pStyle w:val="TOC4"/>
        <w:rPr>
          <w:rFonts w:asciiTheme="minorHAnsi" w:eastAsiaTheme="minorEastAsia" w:hAnsiTheme="minorHAnsi" w:cstheme="minorBidi"/>
          <w:b w:val="0"/>
          <w:sz w:val="22"/>
          <w:szCs w:val="22"/>
          <w:lang w:eastAsia="en-AU"/>
        </w:rPr>
      </w:pPr>
      <w:hyperlink w:anchor="_Toc83626185" w:history="1">
        <w:r w:rsidR="005E03F7" w:rsidRPr="00D90FEA">
          <w:t xml:space="preserve">Subdivision 4 </w:t>
        </w:r>
        <w:r w:rsidR="005E03F7">
          <w:rPr>
            <w:rFonts w:asciiTheme="minorHAnsi" w:eastAsiaTheme="minorEastAsia" w:hAnsiTheme="minorHAnsi" w:cstheme="minorBidi"/>
            <w:b w:val="0"/>
            <w:sz w:val="22"/>
            <w:szCs w:val="22"/>
            <w:lang w:eastAsia="en-AU"/>
          </w:rPr>
          <w:tab/>
        </w:r>
        <w:r w:rsidR="005E03F7" w:rsidRPr="00D90FEA">
          <w:t>Committees</w:t>
        </w:r>
        <w:r w:rsidR="005E03F7" w:rsidRPr="005E03F7">
          <w:rPr>
            <w:vanish/>
          </w:rPr>
          <w:tab/>
        </w:r>
        <w:r w:rsidR="005E03F7" w:rsidRPr="005E03F7">
          <w:rPr>
            <w:vanish/>
          </w:rPr>
          <w:fldChar w:fldCharType="begin"/>
        </w:r>
        <w:r w:rsidR="005E03F7" w:rsidRPr="005E03F7">
          <w:rPr>
            <w:vanish/>
          </w:rPr>
          <w:instrText xml:space="preserve"> PAGEREF _Toc83626185 \h </w:instrText>
        </w:r>
        <w:r w:rsidR="005E03F7" w:rsidRPr="005E03F7">
          <w:rPr>
            <w:vanish/>
          </w:rPr>
        </w:r>
        <w:r w:rsidR="005E03F7" w:rsidRPr="005E03F7">
          <w:rPr>
            <w:vanish/>
          </w:rPr>
          <w:fldChar w:fldCharType="separate"/>
        </w:r>
        <w:r w:rsidR="005C5D7F">
          <w:rPr>
            <w:vanish/>
          </w:rPr>
          <w:t>603</w:t>
        </w:r>
        <w:r w:rsidR="005E03F7" w:rsidRPr="005E03F7">
          <w:rPr>
            <w:vanish/>
          </w:rPr>
          <w:fldChar w:fldCharType="end"/>
        </w:r>
      </w:hyperlink>
    </w:p>
    <w:p w14:paraId="4E56448E" w14:textId="0C207925" w:rsidR="005E03F7" w:rsidRDefault="005E03F7">
      <w:pPr>
        <w:pStyle w:val="TOC5"/>
        <w:rPr>
          <w:rFonts w:asciiTheme="minorHAnsi" w:eastAsiaTheme="minorEastAsia" w:hAnsiTheme="minorHAnsi" w:cstheme="minorBidi"/>
          <w:sz w:val="22"/>
          <w:szCs w:val="22"/>
          <w:lang w:eastAsia="en-AU"/>
        </w:rPr>
      </w:pPr>
      <w:r>
        <w:tab/>
      </w:r>
      <w:hyperlink w:anchor="_Toc83626186" w:history="1">
        <w:r w:rsidRPr="00D90FEA">
          <w:t>680</w:t>
        </w:r>
        <w:r>
          <w:rPr>
            <w:rFonts w:asciiTheme="minorHAnsi" w:eastAsiaTheme="minorEastAsia" w:hAnsiTheme="minorHAnsi" w:cstheme="minorBidi"/>
            <w:sz w:val="22"/>
            <w:szCs w:val="22"/>
            <w:lang w:eastAsia="en-AU"/>
          </w:rPr>
          <w:tab/>
        </w:r>
        <w:r w:rsidRPr="00D90FEA">
          <w:rPr>
            <w:rFonts w:ascii="Helvetica" w:hAnsi="Helvetica" w:cs="Helvetica"/>
          </w:rPr>
          <w:t>Committees</w:t>
        </w:r>
        <w:r>
          <w:tab/>
        </w:r>
        <w:r>
          <w:fldChar w:fldCharType="begin"/>
        </w:r>
        <w:r>
          <w:instrText xml:space="preserve"> PAGEREF _Toc83626186 \h </w:instrText>
        </w:r>
        <w:r>
          <w:fldChar w:fldCharType="separate"/>
        </w:r>
        <w:r w:rsidR="005C5D7F">
          <w:t>603</w:t>
        </w:r>
        <w:r>
          <w:fldChar w:fldCharType="end"/>
        </w:r>
      </w:hyperlink>
    </w:p>
    <w:p w14:paraId="5E90D13A" w14:textId="6E1ACF62" w:rsidR="005E03F7" w:rsidRDefault="00856BEE">
      <w:pPr>
        <w:pStyle w:val="TOC3"/>
        <w:rPr>
          <w:rFonts w:asciiTheme="minorHAnsi" w:eastAsiaTheme="minorEastAsia" w:hAnsiTheme="minorHAnsi" w:cstheme="minorBidi"/>
          <w:b w:val="0"/>
          <w:sz w:val="22"/>
          <w:szCs w:val="22"/>
          <w:lang w:eastAsia="en-AU"/>
        </w:rPr>
      </w:pPr>
      <w:hyperlink w:anchor="_Toc83626187" w:history="1">
        <w:r w:rsidR="005E03F7" w:rsidRPr="00D90FEA">
          <w:t xml:space="preserve">Division 3 </w:t>
        </w:r>
        <w:r w:rsidR="005E03F7">
          <w:rPr>
            <w:rFonts w:asciiTheme="minorHAnsi" w:eastAsiaTheme="minorEastAsia" w:hAnsiTheme="minorHAnsi" w:cstheme="minorBidi"/>
            <w:b w:val="0"/>
            <w:sz w:val="22"/>
            <w:szCs w:val="22"/>
            <w:lang w:eastAsia="en-AU"/>
          </w:rPr>
          <w:tab/>
        </w:r>
        <w:r w:rsidR="005E03F7" w:rsidRPr="00D90FEA">
          <w:t>Chief executive officer</w:t>
        </w:r>
        <w:r w:rsidR="005E03F7" w:rsidRPr="005E03F7">
          <w:rPr>
            <w:vanish/>
          </w:rPr>
          <w:tab/>
        </w:r>
        <w:r w:rsidR="005E03F7" w:rsidRPr="005E03F7">
          <w:rPr>
            <w:vanish/>
          </w:rPr>
          <w:fldChar w:fldCharType="begin"/>
        </w:r>
        <w:r w:rsidR="005E03F7" w:rsidRPr="005E03F7">
          <w:rPr>
            <w:vanish/>
          </w:rPr>
          <w:instrText xml:space="preserve"> PAGEREF _Toc83626187 \h </w:instrText>
        </w:r>
        <w:r w:rsidR="005E03F7" w:rsidRPr="005E03F7">
          <w:rPr>
            <w:vanish/>
          </w:rPr>
        </w:r>
        <w:r w:rsidR="005E03F7" w:rsidRPr="005E03F7">
          <w:rPr>
            <w:vanish/>
          </w:rPr>
          <w:fldChar w:fldCharType="separate"/>
        </w:r>
        <w:r w:rsidR="005C5D7F">
          <w:rPr>
            <w:vanish/>
          </w:rPr>
          <w:t>603</w:t>
        </w:r>
        <w:r w:rsidR="005E03F7" w:rsidRPr="005E03F7">
          <w:rPr>
            <w:vanish/>
          </w:rPr>
          <w:fldChar w:fldCharType="end"/>
        </w:r>
      </w:hyperlink>
    </w:p>
    <w:p w14:paraId="74B78F82" w14:textId="1EF3E354" w:rsidR="005E03F7" w:rsidRDefault="005E03F7">
      <w:pPr>
        <w:pStyle w:val="TOC5"/>
        <w:rPr>
          <w:rFonts w:asciiTheme="minorHAnsi" w:eastAsiaTheme="minorEastAsia" w:hAnsiTheme="minorHAnsi" w:cstheme="minorBidi"/>
          <w:sz w:val="22"/>
          <w:szCs w:val="22"/>
          <w:lang w:eastAsia="en-AU"/>
        </w:rPr>
      </w:pPr>
      <w:r>
        <w:tab/>
      </w:r>
      <w:hyperlink w:anchor="_Toc83626188" w:history="1">
        <w:r w:rsidRPr="00D90FEA">
          <w:t>681</w:t>
        </w:r>
        <w:r>
          <w:rPr>
            <w:rFonts w:asciiTheme="minorHAnsi" w:eastAsiaTheme="minorEastAsia" w:hAnsiTheme="minorHAnsi" w:cstheme="minorBidi"/>
            <w:sz w:val="22"/>
            <w:szCs w:val="22"/>
            <w:lang w:eastAsia="en-AU"/>
          </w:rPr>
          <w:tab/>
        </w:r>
        <w:r w:rsidRPr="00D90FEA">
          <w:rPr>
            <w:rFonts w:ascii="Helvetica" w:hAnsi="Helvetica" w:cs="Helvetica"/>
          </w:rPr>
          <w:t>Chief executive officer</w:t>
        </w:r>
        <w:r>
          <w:tab/>
        </w:r>
        <w:r>
          <w:fldChar w:fldCharType="begin"/>
        </w:r>
        <w:r>
          <w:instrText xml:space="preserve"> PAGEREF _Toc83626188 \h </w:instrText>
        </w:r>
        <w:r>
          <w:fldChar w:fldCharType="separate"/>
        </w:r>
        <w:r w:rsidR="005C5D7F">
          <w:t>603</w:t>
        </w:r>
        <w:r>
          <w:fldChar w:fldCharType="end"/>
        </w:r>
      </w:hyperlink>
    </w:p>
    <w:p w14:paraId="41096E94" w14:textId="2407CD7F" w:rsidR="005E03F7" w:rsidRDefault="005E03F7">
      <w:pPr>
        <w:pStyle w:val="TOC5"/>
        <w:rPr>
          <w:rFonts w:asciiTheme="minorHAnsi" w:eastAsiaTheme="minorEastAsia" w:hAnsiTheme="minorHAnsi" w:cstheme="minorBidi"/>
          <w:sz w:val="22"/>
          <w:szCs w:val="22"/>
          <w:lang w:eastAsia="en-AU"/>
        </w:rPr>
      </w:pPr>
      <w:r>
        <w:tab/>
      </w:r>
      <w:hyperlink w:anchor="_Toc83626189" w:history="1">
        <w:r w:rsidRPr="00D90FEA">
          <w:t>682</w:t>
        </w:r>
        <w:r>
          <w:rPr>
            <w:rFonts w:asciiTheme="minorHAnsi" w:eastAsiaTheme="minorEastAsia" w:hAnsiTheme="minorHAnsi" w:cstheme="minorBidi"/>
            <w:sz w:val="22"/>
            <w:szCs w:val="22"/>
            <w:lang w:eastAsia="en-AU"/>
          </w:rPr>
          <w:tab/>
        </w:r>
        <w:r w:rsidRPr="00D90FEA">
          <w:rPr>
            <w:rFonts w:ascii="Helvetica" w:hAnsi="Helvetica" w:cs="Helvetica"/>
          </w:rPr>
          <w:t>Functions of chief executive officer</w:t>
        </w:r>
        <w:r>
          <w:tab/>
        </w:r>
        <w:r>
          <w:fldChar w:fldCharType="begin"/>
        </w:r>
        <w:r>
          <w:instrText xml:space="preserve"> PAGEREF _Toc83626189 \h </w:instrText>
        </w:r>
        <w:r>
          <w:fldChar w:fldCharType="separate"/>
        </w:r>
        <w:r w:rsidR="005C5D7F">
          <w:t>604</w:t>
        </w:r>
        <w:r>
          <w:fldChar w:fldCharType="end"/>
        </w:r>
      </w:hyperlink>
    </w:p>
    <w:p w14:paraId="21E40374" w14:textId="4BDB11ED" w:rsidR="005E03F7" w:rsidRDefault="005E03F7">
      <w:pPr>
        <w:pStyle w:val="TOC5"/>
        <w:rPr>
          <w:rFonts w:asciiTheme="minorHAnsi" w:eastAsiaTheme="minorEastAsia" w:hAnsiTheme="minorHAnsi" w:cstheme="minorBidi"/>
          <w:sz w:val="22"/>
          <w:szCs w:val="22"/>
          <w:lang w:eastAsia="en-AU"/>
        </w:rPr>
      </w:pPr>
      <w:r>
        <w:tab/>
      </w:r>
      <w:hyperlink w:anchor="_Toc83626190" w:history="1">
        <w:r w:rsidRPr="00D90FEA">
          <w:t>683</w:t>
        </w:r>
        <w:r>
          <w:rPr>
            <w:rFonts w:asciiTheme="minorHAnsi" w:eastAsiaTheme="minorEastAsia" w:hAnsiTheme="minorHAnsi" w:cstheme="minorBidi"/>
            <w:sz w:val="22"/>
            <w:szCs w:val="22"/>
            <w:lang w:eastAsia="en-AU"/>
          </w:rPr>
          <w:tab/>
        </w:r>
        <w:r w:rsidRPr="00D90FEA">
          <w:rPr>
            <w:rFonts w:ascii="Helvetica" w:hAnsi="Helvetica" w:cs="Helvetica"/>
          </w:rPr>
          <w:t>Delegation by chief executive officer</w:t>
        </w:r>
        <w:r>
          <w:tab/>
        </w:r>
        <w:r>
          <w:fldChar w:fldCharType="begin"/>
        </w:r>
        <w:r>
          <w:instrText xml:space="preserve"> PAGEREF _Toc83626190 \h </w:instrText>
        </w:r>
        <w:r>
          <w:fldChar w:fldCharType="separate"/>
        </w:r>
        <w:r w:rsidR="005C5D7F">
          <w:t>604</w:t>
        </w:r>
        <w:r>
          <w:fldChar w:fldCharType="end"/>
        </w:r>
      </w:hyperlink>
    </w:p>
    <w:p w14:paraId="43652AE5" w14:textId="2FEA362E" w:rsidR="005E03F7" w:rsidRDefault="00856BEE">
      <w:pPr>
        <w:pStyle w:val="TOC3"/>
        <w:rPr>
          <w:rFonts w:asciiTheme="minorHAnsi" w:eastAsiaTheme="minorEastAsia" w:hAnsiTheme="minorHAnsi" w:cstheme="minorBidi"/>
          <w:b w:val="0"/>
          <w:sz w:val="22"/>
          <w:szCs w:val="22"/>
          <w:lang w:eastAsia="en-AU"/>
        </w:rPr>
      </w:pPr>
      <w:hyperlink w:anchor="_Toc83626191" w:history="1">
        <w:r w:rsidR="005E03F7" w:rsidRPr="00D90FEA">
          <w:t xml:space="preserve">Division 4 </w:t>
        </w:r>
        <w:r w:rsidR="005E03F7">
          <w:rPr>
            <w:rFonts w:asciiTheme="minorHAnsi" w:eastAsiaTheme="minorEastAsia" w:hAnsiTheme="minorHAnsi" w:cstheme="minorBidi"/>
            <w:b w:val="0"/>
            <w:sz w:val="22"/>
            <w:szCs w:val="22"/>
            <w:lang w:eastAsia="en-AU"/>
          </w:rPr>
          <w:tab/>
        </w:r>
        <w:r w:rsidR="005E03F7" w:rsidRPr="00D90FEA">
          <w:t>Staff</w:t>
        </w:r>
        <w:r w:rsidR="005E03F7" w:rsidRPr="005E03F7">
          <w:rPr>
            <w:vanish/>
          </w:rPr>
          <w:tab/>
        </w:r>
        <w:r w:rsidR="005E03F7" w:rsidRPr="005E03F7">
          <w:rPr>
            <w:vanish/>
          </w:rPr>
          <w:fldChar w:fldCharType="begin"/>
        </w:r>
        <w:r w:rsidR="005E03F7" w:rsidRPr="005E03F7">
          <w:rPr>
            <w:vanish/>
          </w:rPr>
          <w:instrText xml:space="preserve"> PAGEREF _Toc83626191 \h </w:instrText>
        </w:r>
        <w:r w:rsidR="005E03F7" w:rsidRPr="005E03F7">
          <w:rPr>
            <w:vanish/>
          </w:rPr>
        </w:r>
        <w:r w:rsidR="005E03F7" w:rsidRPr="005E03F7">
          <w:rPr>
            <w:vanish/>
          </w:rPr>
          <w:fldChar w:fldCharType="separate"/>
        </w:r>
        <w:r w:rsidR="005C5D7F">
          <w:rPr>
            <w:vanish/>
          </w:rPr>
          <w:t>604</w:t>
        </w:r>
        <w:r w:rsidR="005E03F7" w:rsidRPr="005E03F7">
          <w:rPr>
            <w:vanish/>
          </w:rPr>
          <w:fldChar w:fldCharType="end"/>
        </w:r>
      </w:hyperlink>
    </w:p>
    <w:p w14:paraId="1B2B5E0C" w14:textId="105B91D3" w:rsidR="005E03F7" w:rsidRDefault="005E03F7">
      <w:pPr>
        <w:pStyle w:val="TOC5"/>
        <w:rPr>
          <w:rFonts w:asciiTheme="minorHAnsi" w:eastAsiaTheme="minorEastAsia" w:hAnsiTheme="minorHAnsi" w:cstheme="minorBidi"/>
          <w:sz w:val="22"/>
          <w:szCs w:val="22"/>
          <w:lang w:eastAsia="en-AU"/>
        </w:rPr>
      </w:pPr>
      <w:r>
        <w:tab/>
      </w:r>
      <w:hyperlink w:anchor="_Toc83626192" w:history="1">
        <w:r w:rsidRPr="00D90FEA">
          <w:t>684</w:t>
        </w:r>
        <w:r>
          <w:rPr>
            <w:rFonts w:asciiTheme="minorHAnsi" w:eastAsiaTheme="minorEastAsia" w:hAnsiTheme="minorHAnsi" w:cstheme="minorBidi"/>
            <w:sz w:val="22"/>
            <w:szCs w:val="22"/>
            <w:lang w:eastAsia="en-AU"/>
          </w:rPr>
          <w:tab/>
        </w:r>
        <w:r w:rsidRPr="00D90FEA">
          <w:rPr>
            <w:rFonts w:ascii="Helvetica" w:hAnsi="Helvetica" w:cs="Helvetica"/>
          </w:rPr>
          <w:t>Staff</w:t>
        </w:r>
        <w:r>
          <w:tab/>
        </w:r>
        <w:r>
          <w:fldChar w:fldCharType="begin"/>
        </w:r>
        <w:r>
          <w:instrText xml:space="preserve"> PAGEREF _Toc83626192 \h </w:instrText>
        </w:r>
        <w:r>
          <w:fldChar w:fldCharType="separate"/>
        </w:r>
        <w:r w:rsidR="005C5D7F">
          <w:t>604</w:t>
        </w:r>
        <w:r>
          <w:fldChar w:fldCharType="end"/>
        </w:r>
      </w:hyperlink>
    </w:p>
    <w:p w14:paraId="69C3B771" w14:textId="4DB8BBFB" w:rsidR="005E03F7" w:rsidRDefault="005E03F7">
      <w:pPr>
        <w:pStyle w:val="TOC5"/>
        <w:rPr>
          <w:rFonts w:asciiTheme="minorHAnsi" w:eastAsiaTheme="minorEastAsia" w:hAnsiTheme="minorHAnsi" w:cstheme="minorBidi"/>
          <w:sz w:val="22"/>
          <w:szCs w:val="22"/>
          <w:lang w:eastAsia="en-AU"/>
        </w:rPr>
      </w:pPr>
      <w:r>
        <w:tab/>
      </w:r>
      <w:hyperlink w:anchor="_Toc83626193" w:history="1">
        <w:r w:rsidRPr="00D90FEA">
          <w:t>685</w:t>
        </w:r>
        <w:r>
          <w:rPr>
            <w:rFonts w:asciiTheme="minorHAnsi" w:eastAsiaTheme="minorEastAsia" w:hAnsiTheme="minorHAnsi" w:cstheme="minorBidi"/>
            <w:sz w:val="22"/>
            <w:szCs w:val="22"/>
            <w:lang w:eastAsia="en-AU"/>
          </w:rPr>
          <w:tab/>
        </w:r>
        <w:r w:rsidRPr="00D90FEA">
          <w:rPr>
            <w:rFonts w:ascii="Helvetica" w:hAnsi="Helvetica" w:cs="Helvetica"/>
          </w:rPr>
          <w:t>Staff seconded to Regulator</w:t>
        </w:r>
        <w:r>
          <w:tab/>
        </w:r>
        <w:r>
          <w:fldChar w:fldCharType="begin"/>
        </w:r>
        <w:r>
          <w:instrText xml:space="preserve"> PAGEREF _Toc83626193 \h </w:instrText>
        </w:r>
        <w:r>
          <w:fldChar w:fldCharType="separate"/>
        </w:r>
        <w:r w:rsidR="005C5D7F">
          <w:t>605</w:t>
        </w:r>
        <w:r>
          <w:fldChar w:fldCharType="end"/>
        </w:r>
      </w:hyperlink>
    </w:p>
    <w:p w14:paraId="14615607" w14:textId="495D0E8F" w:rsidR="005E03F7" w:rsidRDefault="005E03F7">
      <w:pPr>
        <w:pStyle w:val="TOC5"/>
        <w:rPr>
          <w:rFonts w:asciiTheme="minorHAnsi" w:eastAsiaTheme="minorEastAsia" w:hAnsiTheme="minorHAnsi" w:cstheme="minorBidi"/>
          <w:sz w:val="22"/>
          <w:szCs w:val="22"/>
          <w:lang w:eastAsia="en-AU"/>
        </w:rPr>
      </w:pPr>
      <w:r>
        <w:tab/>
      </w:r>
      <w:hyperlink w:anchor="_Toc83626194" w:history="1">
        <w:r w:rsidRPr="00D90FEA">
          <w:t>686</w:t>
        </w:r>
        <w:r>
          <w:rPr>
            <w:rFonts w:asciiTheme="minorHAnsi" w:eastAsiaTheme="minorEastAsia" w:hAnsiTheme="minorHAnsi" w:cstheme="minorBidi"/>
            <w:sz w:val="22"/>
            <w:szCs w:val="22"/>
            <w:lang w:eastAsia="en-AU"/>
          </w:rPr>
          <w:tab/>
        </w:r>
        <w:r w:rsidRPr="00D90FEA">
          <w:rPr>
            <w:rFonts w:ascii="Helvetica" w:hAnsi="Helvetica" w:cs="Helvetica"/>
          </w:rPr>
          <w:t>Consultants and contractors</w:t>
        </w:r>
        <w:r>
          <w:tab/>
        </w:r>
        <w:r>
          <w:fldChar w:fldCharType="begin"/>
        </w:r>
        <w:r>
          <w:instrText xml:space="preserve"> PAGEREF _Toc83626194 \h </w:instrText>
        </w:r>
        <w:r>
          <w:fldChar w:fldCharType="separate"/>
        </w:r>
        <w:r w:rsidR="005C5D7F">
          <w:t>605</w:t>
        </w:r>
        <w:r>
          <w:fldChar w:fldCharType="end"/>
        </w:r>
      </w:hyperlink>
    </w:p>
    <w:p w14:paraId="752DF433" w14:textId="120C4A48" w:rsidR="005E03F7" w:rsidRDefault="00856BEE">
      <w:pPr>
        <w:pStyle w:val="TOC2"/>
        <w:rPr>
          <w:rFonts w:asciiTheme="minorHAnsi" w:eastAsiaTheme="minorEastAsia" w:hAnsiTheme="minorHAnsi" w:cstheme="minorBidi"/>
          <w:b w:val="0"/>
          <w:sz w:val="22"/>
          <w:szCs w:val="22"/>
          <w:lang w:eastAsia="en-AU"/>
        </w:rPr>
      </w:pPr>
      <w:hyperlink w:anchor="_Toc83626195" w:history="1">
        <w:r w:rsidR="005E03F7" w:rsidRPr="00D90FEA">
          <w:t>Part 12.2A</w:t>
        </w:r>
        <w:r w:rsidR="005E03F7">
          <w:rPr>
            <w:rFonts w:asciiTheme="minorHAnsi" w:eastAsiaTheme="minorEastAsia" w:hAnsiTheme="minorHAnsi" w:cstheme="minorBidi"/>
            <w:b w:val="0"/>
            <w:sz w:val="22"/>
            <w:szCs w:val="22"/>
            <w:lang w:eastAsia="en-AU"/>
          </w:rPr>
          <w:tab/>
        </w:r>
        <w:r w:rsidR="005E03F7" w:rsidRPr="00D90FEA">
          <w:t>Database of heavy vehicles</w:t>
        </w:r>
        <w:r w:rsidR="005E03F7" w:rsidRPr="005E03F7">
          <w:rPr>
            <w:vanish/>
          </w:rPr>
          <w:tab/>
        </w:r>
        <w:r w:rsidR="005E03F7" w:rsidRPr="005E03F7">
          <w:rPr>
            <w:vanish/>
          </w:rPr>
          <w:fldChar w:fldCharType="begin"/>
        </w:r>
        <w:r w:rsidR="005E03F7" w:rsidRPr="005E03F7">
          <w:rPr>
            <w:vanish/>
          </w:rPr>
          <w:instrText xml:space="preserve"> PAGEREF _Toc83626195 \h </w:instrText>
        </w:r>
        <w:r w:rsidR="005E03F7" w:rsidRPr="005E03F7">
          <w:rPr>
            <w:vanish/>
          </w:rPr>
        </w:r>
        <w:r w:rsidR="005E03F7" w:rsidRPr="005E03F7">
          <w:rPr>
            <w:vanish/>
          </w:rPr>
          <w:fldChar w:fldCharType="separate"/>
        </w:r>
        <w:r w:rsidR="005C5D7F">
          <w:rPr>
            <w:vanish/>
          </w:rPr>
          <w:t>606</w:t>
        </w:r>
        <w:r w:rsidR="005E03F7" w:rsidRPr="005E03F7">
          <w:rPr>
            <w:vanish/>
          </w:rPr>
          <w:fldChar w:fldCharType="end"/>
        </w:r>
      </w:hyperlink>
    </w:p>
    <w:p w14:paraId="7EFE486D" w14:textId="32AA2F2C" w:rsidR="005E03F7" w:rsidRDefault="005E03F7">
      <w:pPr>
        <w:pStyle w:val="TOC5"/>
        <w:rPr>
          <w:rFonts w:asciiTheme="minorHAnsi" w:eastAsiaTheme="minorEastAsia" w:hAnsiTheme="minorHAnsi" w:cstheme="minorBidi"/>
          <w:sz w:val="22"/>
          <w:szCs w:val="22"/>
          <w:lang w:eastAsia="en-AU"/>
        </w:rPr>
      </w:pPr>
      <w:r>
        <w:tab/>
      </w:r>
      <w:hyperlink w:anchor="_Toc83626196" w:history="1">
        <w:r w:rsidRPr="00D90FEA">
          <w:t>686A</w:t>
        </w:r>
        <w:r>
          <w:rPr>
            <w:rFonts w:asciiTheme="minorHAnsi" w:eastAsiaTheme="minorEastAsia" w:hAnsiTheme="minorHAnsi" w:cstheme="minorBidi"/>
            <w:sz w:val="22"/>
            <w:szCs w:val="22"/>
            <w:lang w:eastAsia="en-AU"/>
          </w:rPr>
          <w:tab/>
        </w:r>
        <w:r w:rsidRPr="00D90FEA">
          <w:t>Database of heavy vehicles</w:t>
        </w:r>
        <w:r>
          <w:tab/>
        </w:r>
        <w:r>
          <w:fldChar w:fldCharType="begin"/>
        </w:r>
        <w:r>
          <w:instrText xml:space="preserve"> PAGEREF _Toc83626196 \h </w:instrText>
        </w:r>
        <w:r>
          <w:fldChar w:fldCharType="separate"/>
        </w:r>
        <w:r w:rsidR="005C5D7F">
          <w:t>606</w:t>
        </w:r>
        <w:r>
          <w:fldChar w:fldCharType="end"/>
        </w:r>
      </w:hyperlink>
    </w:p>
    <w:p w14:paraId="7C2D8032" w14:textId="5B6909D4" w:rsidR="005E03F7" w:rsidRDefault="005E03F7">
      <w:pPr>
        <w:pStyle w:val="TOC5"/>
        <w:rPr>
          <w:rFonts w:asciiTheme="minorHAnsi" w:eastAsiaTheme="minorEastAsia" w:hAnsiTheme="minorHAnsi" w:cstheme="minorBidi"/>
          <w:sz w:val="22"/>
          <w:szCs w:val="22"/>
          <w:lang w:eastAsia="en-AU"/>
        </w:rPr>
      </w:pPr>
      <w:r>
        <w:tab/>
      </w:r>
      <w:hyperlink w:anchor="_Toc83626197" w:history="1">
        <w:r w:rsidRPr="00D90FEA">
          <w:t>686B</w:t>
        </w:r>
        <w:r>
          <w:rPr>
            <w:rFonts w:asciiTheme="minorHAnsi" w:eastAsiaTheme="minorEastAsia" w:hAnsiTheme="minorHAnsi" w:cstheme="minorBidi"/>
            <w:sz w:val="22"/>
            <w:szCs w:val="22"/>
            <w:lang w:eastAsia="en-AU"/>
          </w:rPr>
          <w:tab/>
        </w:r>
        <w:r w:rsidRPr="00D90FEA">
          <w:t>Regulator may share information in database of heavy vehicles</w:t>
        </w:r>
        <w:r>
          <w:tab/>
        </w:r>
        <w:r>
          <w:fldChar w:fldCharType="begin"/>
        </w:r>
        <w:r>
          <w:instrText xml:space="preserve"> PAGEREF _Toc83626197 \h </w:instrText>
        </w:r>
        <w:r>
          <w:fldChar w:fldCharType="separate"/>
        </w:r>
        <w:r w:rsidR="005C5D7F">
          <w:t>607</w:t>
        </w:r>
        <w:r>
          <w:fldChar w:fldCharType="end"/>
        </w:r>
      </w:hyperlink>
    </w:p>
    <w:p w14:paraId="789BEF14" w14:textId="73857B42" w:rsidR="005E03F7" w:rsidRDefault="00856BEE">
      <w:pPr>
        <w:pStyle w:val="TOC2"/>
        <w:rPr>
          <w:rFonts w:asciiTheme="minorHAnsi" w:eastAsiaTheme="minorEastAsia" w:hAnsiTheme="minorHAnsi" w:cstheme="minorBidi"/>
          <w:b w:val="0"/>
          <w:sz w:val="22"/>
          <w:szCs w:val="22"/>
          <w:lang w:eastAsia="en-AU"/>
        </w:rPr>
      </w:pPr>
      <w:hyperlink w:anchor="_Toc83626198" w:history="1">
        <w:r w:rsidR="005E03F7" w:rsidRPr="00D90FEA">
          <w:t>Part 12.3</w:t>
        </w:r>
        <w:r w:rsidR="005E03F7">
          <w:rPr>
            <w:rFonts w:asciiTheme="minorHAnsi" w:eastAsiaTheme="minorEastAsia" w:hAnsiTheme="minorHAnsi" w:cstheme="minorBidi"/>
            <w:b w:val="0"/>
            <w:sz w:val="22"/>
            <w:szCs w:val="22"/>
            <w:lang w:eastAsia="en-AU"/>
          </w:rPr>
          <w:tab/>
        </w:r>
        <w:r w:rsidR="005E03F7" w:rsidRPr="00D90FEA">
          <w:t>Miscellaneous</w:t>
        </w:r>
        <w:r w:rsidR="005E03F7" w:rsidRPr="005E03F7">
          <w:rPr>
            <w:vanish/>
          </w:rPr>
          <w:tab/>
        </w:r>
        <w:r w:rsidR="005E03F7" w:rsidRPr="005E03F7">
          <w:rPr>
            <w:vanish/>
          </w:rPr>
          <w:fldChar w:fldCharType="begin"/>
        </w:r>
        <w:r w:rsidR="005E03F7" w:rsidRPr="005E03F7">
          <w:rPr>
            <w:vanish/>
          </w:rPr>
          <w:instrText xml:space="preserve"> PAGEREF _Toc83626198 \h </w:instrText>
        </w:r>
        <w:r w:rsidR="005E03F7" w:rsidRPr="005E03F7">
          <w:rPr>
            <w:vanish/>
          </w:rPr>
        </w:r>
        <w:r w:rsidR="005E03F7" w:rsidRPr="005E03F7">
          <w:rPr>
            <w:vanish/>
          </w:rPr>
          <w:fldChar w:fldCharType="separate"/>
        </w:r>
        <w:r w:rsidR="005C5D7F">
          <w:rPr>
            <w:vanish/>
          </w:rPr>
          <w:t>608</w:t>
        </w:r>
        <w:r w:rsidR="005E03F7" w:rsidRPr="005E03F7">
          <w:rPr>
            <w:vanish/>
          </w:rPr>
          <w:fldChar w:fldCharType="end"/>
        </w:r>
      </w:hyperlink>
    </w:p>
    <w:p w14:paraId="112FC848" w14:textId="2E26AF20" w:rsidR="005E03F7" w:rsidRDefault="00856BEE">
      <w:pPr>
        <w:pStyle w:val="TOC3"/>
        <w:rPr>
          <w:rFonts w:asciiTheme="minorHAnsi" w:eastAsiaTheme="minorEastAsia" w:hAnsiTheme="minorHAnsi" w:cstheme="minorBidi"/>
          <w:b w:val="0"/>
          <w:sz w:val="22"/>
          <w:szCs w:val="22"/>
          <w:lang w:eastAsia="en-AU"/>
        </w:rPr>
      </w:pPr>
      <w:hyperlink w:anchor="_Toc83626199" w:history="1">
        <w:r w:rsidR="005E03F7" w:rsidRPr="00D90FEA">
          <w:t>Division 1</w:t>
        </w:r>
        <w:r w:rsidR="005E03F7">
          <w:rPr>
            <w:rFonts w:asciiTheme="minorHAnsi" w:eastAsiaTheme="minorEastAsia" w:hAnsiTheme="minorHAnsi" w:cstheme="minorBidi"/>
            <w:b w:val="0"/>
            <w:sz w:val="22"/>
            <w:szCs w:val="22"/>
            <w:lang w:eastAsia="en-AU"/>
          </w:rPr>
          <w:tab/>
        </w:r>
        <w:r w:rsidR="005E03F7" w:rsidRPr="00D90FEA">
          <w:t>Finance</w:t>
        </w:r>
        <w:r w:rsidR="005E03F7" w:rsidRPr="005E03F7">
          <w:rPr>
            <w:vanish/>
          </w:rPr>
          <w:tab/>
        </w:r>
        <w:r w:rsidR="005E03F7" w:rsidRPr="005E03F7">
          <w:rPr>
            <w:vanish/>
          </w:rPr>
          <w:fldChar w:fldCharType="begin"/>
        </w:r>
        <w:r w:rsidR="005E03F7" w:rsidRPr="005E03F7">
          <w:rPr>
            <w:vanish/>
          </w:rPr>
          <w:instrText xml:space="preserve"> PAGEREF _Toc83626199 \h </w:instrText>
        </w:r>
        <w:r w:rsidR="005E03F7" w:rsidRPr="005E03F7">
          <w:rPr>
            <w:vanish/>
          </w:rPr>
        </w:r>
        <w:r w:rsidR="005E03F7" w:rsidRPr="005E03F7">
          <w:rPr>
            <w:vanish/>
          </w:rPr>
          <w:fldChar w:fldCharType="separate"/>
        </w:r>
        <w:r w:rsidR="005C5D7F">
          <w:rPr>
            <w:vanish/>
          </w:rPr>
          <w:t>608</w:t>
        </w:r>
        <w:r w:rsidR="005E03F7" w:rsidRPr="005E03F7">
          <w:rPr>
            <w:vanish/>
          </w:rPr>
          <w:fldChar w:fldCharType="end"/>
        </w:r>
      </w:hyperlink>
    </w:p>
    <w:p w14:paraId="712328ED" w14:textId="2B7441F7" w:rsidR="005E03F7" w:rsidRDefault="005E03F7">
      <w:pPr>
        <w:pStyle w:val="TOC5"/>
        <w:rPr>
          <w:rFonts w:asciiTheme="minorHAnsi" w:eastAsiaTheme="minorEastAsia" w:hAnsiTheme="minorHAnsi" w:cstheme="minorBidi"/>
          <w:sz w:val="22"/>
          <w:szCs w:val="22"/>
          <w:lang w:eastAsia="en-AU"/>
        </w:rPr>
      </w:pPr>
      <w:r>
        <w:tab/>
      </w:r>
      <w:hyperlink w:anchor="_Toc83626200" w:history="1">
        <w:r w:rsidRPr="00D90FEA">
          <w:t>687</w:t>
        </w:r>
        <w:r>
          <w:rPr>
            <w:rFonts w:asciiTheme="minorHAnsi" w:eastAsiaTheme="minorEastAsia" w:hAnsiTheme="minorHAnsi" w:cstheme="minorBidi"/>
            <w:sz w:val="22"/>
            <w:szCs w:val="22"/>
            <w:lang w:eastAsia="en-AU"/>
          </w:rPr>
          <w:tab/>
        </w:r>
        <w:r w:rsidRPr="00D90FEA">
          <w:rPr>
            <w:rFonts w:ascii="Helvetica" w:hAnsi="Helvetica" w:cs="Helvetica"/>
          </w:rPr>
          <w:t>National Heavy Vehicle Regulator Fund</w:t>
        </w:r>
        <w:r>
          <w:tab/>
        </w:r>
        <w:r>
          <w:fldChar w:fldCharType="begin"/>
        </w:r>
        <w:r>
          <w:instrText xml:space="preserve"> PAGEREF _Toc83626200 \h </w:instrText>
        </w:r>
        <w:r>
          <w:fldChar w:fldCharType="separate"/>
        </w:r>
        <w:r w:rsidR="005C5D7F">
          <w:t>608</w:t>
        </w:r>
        <w:r>
          <w:fldChar w:fldCharType="end"/>
        </w:r>
      </w:hyperlink>
    </w:p>
    <w:p w14:paraId="6CE603D5" w14:textId="26EF77A0" w:rsidR="005E03F7" w:rsidRDefault="005E03F7">
      <w:pPr>
        <w:pStyle w:val="TOC5"/>
        <w:rPr>
          <w:rFonts w:asciiTheme="minorHAnsi" w:eastAsiaTheme="minorEastAsia" w:hAnsiTheme="minorHAnsi" w:cstheme="minorBidi"/>
          <w:sz w:val="22"/>
          <w:szCs w:val="22"/>
          <w:lang w:eastAsia="en-AU"/>
        </w:rPr>
      </w:pPr>
      <w:r>
        <w:tab/>
      </w:r>
      <w:hyperlink w:anchor="_Toc83626201" w:history="1">
        <w:r w:rsidRPr="00D90FEA">
          <w:t>688</w:t>
        </w:r>
        <w:r>
          <w:rPr>
            <w:rFonts w:asciiTheme="minorHAnsi" w:eastAsiaTheme="minorEastAsia" w:hAnsiTheme="minorHAnsi" w:cstheme="minorBidi"/>
            <w:sz w:val="22"/>
            <w:szCs w:val="22"/>
            <w:lang w:eastAsia="en-AU"/>
          </w:rPr>
          <w:tab/>
        </w:r>
        <w:r w:rsidRPr="00D90FEA">
          <w:rPr>
            <w:rFonts w:ascii="Helvetica" w:hAnsi="Helvetica" w:cs="Helvetica"/>
          </w:rPr>
          <w:t>Payments into Fund</w:t>
        </w:r>
        <w:r>
          <w:tab/>
        </w:r>
        <w:r>
          <w:fldChar w:fldCharType="begin"/>
        </w:r>
        <w:r>
          <w:instrText xml:space="preserve"> PAGEREF _Toc83626201 \h </w:instrText>
        </w:r>
        <w:r>
          <w:fldChar w:fldCharType="separate"/>
        </w:r>
        <w:r w:rsidR="005C5D7F">
          <w:t>608</w:t>
        </w:r>
        <w:r>
          <w:fldChar w:fldCharType="end"/>
        </w:r>
      </w:hyperlink>
    </w:p>
    <w:p w14:paraId="4F2DE668" w14:textId="43238F62" w:rsidR="005E03F7" w:rsidRDefault="005E03F7">
      <w:pPr>
        <w:pStyle w:val="TOC5"/>
        <w:rPr>
          <w:rFonts w:asciiTheme="minorHAnsi" w:eastAsiaTheme="minorEastAsia" w:hAnsiTheme="minorHAnsi" w:cstheme="minorBidi"/>
          <w:sz w:val="22"/>
          <w:szCs w:val="22"/>
          <w:lang w:eastAsia="en-AU"/>
        </w:rPr>
      </w:pPr>
      <w:r>
        <w:tab/>
      </w:r>
      <w:hyperlink w:anchor="_Toc83626202" w:history="1">
        <w:r w:rsidRPr="00D90FEA">
          <w:t>689</w:t>
        </w:r>
        <w:r>
          <w:rPr>
            <w:rFonts w:asciiTheme="minorHAnsi" w:eastAsiaTheme="minorEastAsia" w:hAnsiTheme="minorHAnsi" w:cstheme="minorBidi"/>
            <w:sz w:val="22"/>
            <w:szCs w:val="22"/>
            <w:lang w:eastAsia="en-AU"/>
          </w:rPr>
          <w:tab/>
        </w:r>
        <w:r w:rsidRPr="00D90FEA">
          <w:rPr>
            <w:rFonts w:ascii="Helvetica" w:hAnsi="Helvetica" w:cs="Helvetica"/>
          </w:rPr>
          <w:t>Payments out of Fund</w:t>
        </w:r>
        <w:r>
          <w:tab/>
        </w:r>
        <w:r>
          <w:fldChar w:fldCharType="begin"/>
        </w:r>
        <w:r>
          <w:instrText xml:space="preserve"> PAGEREF _Toc83626202 \h </w:instrText>
        </w:r>
        <w:r>
          <w:fldChar w:fldCharType="separate"/>
        </w:r>
        <w:r w:rsidR="005C5D7F">
          <w:t>609</w:t>
        </w:r>
        <w:r>
          <w:fldChar w:fldCharType="end"/>
        </w:r>
      </w:hyperlink>
    </w:p>
    <w:p w14:paraId="2EED1081" w14:textId="17B2DF72" w:rsidR="005E03F7" w:rsidRDefault="005E03F7">
      <w:pPr>
        <w:pStyle w:val="TOC5"/>
        <w:rPr>
          <w:rFonts w:asciiTheme="minorHAnsi" w:eastAsiaTheme="minorEastAsia" w:hAnsiTheme="minorHAnsi" w:cstheme="minorBidi"/>
          <w:sz w:val="22"/>
          <w:szCs w:val="22"/>
          <w:lang w:eastAsia="en-AU"/>
        </w:rPr>
      </w:pPr>
      <w:r>
        <w:tab/>
      </w:r>
      <w:hyperlink w:anchor="_Toc83626203" w:history="1">
        <w:r w:rsidRPr="00D90FEA">
          <w:t>690</w:t>
        </w:r>
        <w:r>
          <w:rPr>
            <w:rFonts w:asciiTheme="minorHAnsi" w:eastAsiaTheme="minorEastAsia" w:hAnsiTheme="minorHAnsi" w:cstheme="minorBidi"/>
            <w:sz w:val="22"/>
            <w:szCs w:val="22"/>
            <w:lang w:eastAsia="en-AU"/>
          </w:rPr>
          <w:tab/>
        </w:r>
        <w:r w:rsidRPr="00D90FEA">
          <w:rPr>
            <w:rFonts w:ascii="Helvetica" w:hAnsi="Helvetica" w:cs="Helvetica"/>
          </w:rPr>
          <w:t>Investment by Regulator</w:t>
        </w:r>
        <w:r>
          <w:tab/>
        </w:r>
        <w:r>
          <w:fldChar w:fldCharType="begin"/>
        </w:r>
        <w:r>
          <w:instrText xml:space="preserve"> PAGEREF _Toc83626203 \h </w:instrText>
        </w:r>
        <w:r>
          <w:fldChar w:fldCharType="separate"/>
        </w:r>
        <w:r w:rsidR="005C5D7F">
          <w:t>609</w:t>
        </w:r>
        <w:r>
          <w:fldChar w:fldCharType="end"/>
        </w:r>
      </w:hyperlink>
    </w:p>
    <w:p w14:paraId="579EEDD8" w14:textId="60FECE13" w:rsidR="005E03F7" w:rsidRDefault="005E03F7">
      <w:pPr>
        <w:pStyle w:val="TOC5"/>
        <w:rPr>
          <w:rFonts w:asciiTheme="minorHAnsi" w:eastAsiaTheme="minorEastAsia" w:hAnsiTheme="minorHAnsi" w:cstheme="minorBidi"/>
          <w:sz w:val="22"/>
          <w:szCs w:val="22"/>
          <w:lang w:eastAsia="en-AU"/>
        </w:rPr>
      </w:pPr>
      <w:r>
        <w:tab/>
      </w:r>
      <w:hyperlink w:anchor="_Toc83626204" w:history="1">
        <w:r w:rsidRPr="00D90FEA">
          <w:t>691</w:t>
        </w:r>
        <w:r>
          <w:rPr>
            <w:rFonts w:asciiTheme="minorHAnsi" w:eastAsiaTheme="minorEastAsia" w:hAnsiTheme="minorHAnsi" w:cstheme="minorBidi"/>
            <w:sz w:val="22"/>
            <w:szCs w:val="22"/>
            <w:lang w:eastAsia="en-AU"/>
          </w:rPr>
          <w:tab/>
        </w:r>
        <w:r w:rsidRPr="00D90FEA">
          <w:rPr>
            <w:rFonts w:ascii="Helvetica" w:hAnsi="Helvetica" w:cs="Helvetica"/>
          </w:rPr>
          <w:t>Financial management duties of Regulator</w:t>
        </w:r>
        <w:r>
          <w:tab/>
        </w:r>
        <w:r>
          <w:fldChar w:fldCharType="begin"/>
        </w:r>
        <w:r>
          <w:instrText xml:space="preserve"> PAGEREF _Toc83626204 \h </w:instrText>
        </w:r>
        <w:r>
          <w:fldChar w:fldCharType="separate"/>
        </w:r>
        <w:r w:rsidR="005C5D7F">
          <w:t>609</w:t>
        </w:r>
        <w:r>
          <w:fldChar w:fldCharType="end"/>
        </w:r>
      </w:hyperlink>
    </w:p>
    <w:p w14:paraId="07174E2A" w14:textId="2CE4EEDF" w:rsidR="005E03F7" w:rsidRDefault="005E03F7">
      <w:pPr>
        <w:pStyle w:val="TOC5"/>
        <w:rPr>
          <w:rFonts w:asciiTheme="minorHAnsi" w:eastAsiaTheme="minorEastAsia" w:hAnsiTheme="minorHAnsi" w:cstheme="minorBidi"/>
          <w:sz w:val="22"/>
          <w:szCs w:val="22"/>
          <w:lang w:eastAsia="en-AU"/>
        </w:rPr>
      </w:pPr>
      <w:r>
        <w:tab/>
      </w:r>
      <w:hyperlink w:anchor="_Toc83626205" w:history="1">
        <w:r w:rsidRPr="00D90FEA">
          <w:t>692</w:t>
        </w:r>
        <w:r>
          <w:rPr>
            <w:rFonts w:asciiTheme="minorHAnsi" w:eastAsiaTheme="minorEastAsia" w:hAnsiTheme="minorHAnsi" w:cstheme="minorBidi"/>
            <w:sz w:val="22"/>
            <w:szCs w:val="22"/>
            <w:lang w:eastAsia="en-AU"/>
          </w:rPr>
          <w:tab/>
        </w:r>
        <w:r w:rsidRPr="00D90FEA">
          <w:rPr>
            <w:rFonts w:ascii="Helvetica" w:hAnsi="Helvetica" w:cs="Helvetica"/>
          </w:rPr>
          <w:t>Amounts payable to other entities</w:t>
        </w:r>
        <w:r>
          <w:tab/>
        </w:r>
        <w:r>
          <w:fldChar w:fldCharType="begin"/>
        </w:r>
        <w:r>
          <w:instrText xml:space="preserve"> PAGEREF _Toc83626205 \h </w:instrText>
        </w:r>
        <w:r>
          <w:fldChar w:fldCharType="separate"/>
        </w:r>
        <w:r w:rsidR="005C5D7F">
          <w:t>610</w:t>
        </w:r>
        <w:r>
          <w:fldChar w:fldCharType="end"/>
        </w:r>
      </w:hyperlink>
    </w:p>
    <w:p w14:paraId="241E5ACE" w14:textId="751C090B" w:rsidR="005E03F7" w:rsidRDefault="00856BEE">
      <w:pPr>
        <w:pStyle w:val="TOC3"/>
        <w:rPr>
          <w:rFonts w:asciiTheme="minorHAnsi" w:eastAsiaTheme="minorEastAsia" w:hAnsiTheme="minorHAnsi" w:cstheme="minorBidi"/>
          <w:b w:val="0"/>
          <w:sz w:val="22"/>
          <w:szCs w:val="22"/>
          <w:lang w:eastAsia="en-AU"/>
        </w:rPr>
      </w:pPr>
      <w:hyperlink w:anchor="_Toc83626206" w:history="1">
        <w:r w:rsidR="005E03F7" w:rsidRPr="00D90FEA">
          <w:t xml:space="preserve">Division 2 </w:t>
        </w:r>
        <w:r w:rsidR="005E03F7">
          <w:rPr>
            <w:rFonts w:asciiTheme="minorHAnsi" w:eastAsiaTheme="minorEastAsia" w:hAnsiTheme="minorHAnsi" w:cstheme="minorBidi"/>
            <w:b w:val="0"/>
            <w:sz w:val="22"/>
            <w:szCs w:val="22"/>
            <w:lang w:eastAsia="en-AU"/>
          </w:rPr>
          <w:tab/>
        </w:r>
        <w:r w:rsidR="005E03F7" w:rsidRPr="00D90FEA">
          <w:t>Reporting and planning arrangements</w:t>
        </w:r>
        <w:r w:rsidR="005E03F7" w:rsidRPr="005E03F7">
          <w:rPr>
            <w:vanish/>
          </w:rPr>
          <w:tab/>
        </w:r>
        <w:r w:rsidR="005E03F7" w:rsidRPr="005E03F7">
          <w:rPr>
            <w:vanish/>
          </w:rPr>
          <w:fldChar w:fldCharType="begin"/>
        </w:r>
        <w:r w:rsidR="005E03F7" w:rsidRPr="005E03F7">
          <w:rPr>
            <w:vanish/>
          </w:rPr>
          <w:instrText xml:space="preserve"> PAGEREF _Toc83626206 \h </w:instrText>
        </w:r>
        <w:r w:rsidR="005E03F7" w:rsidRPr="005E03F7">
          <w:rPr>
            <w:vanish/>
          </w:rPr>
        </w:r>
        <w:r w:rsidR="005E03F7" w:rsidRPr="005E03F7">
          <w:rPr>
            <w:vanish/>
          </w:rPr>
          <w:fldChar w:fldCharType="separate"/>
        </w:r>
        <w:r w:rsidR="005C5D7F">
          <w:rPr>
            <w:vanish/>
          </w:rPr>
          <w:t>611</w:t>
        </w:r>
        <w:r w:rsidR="005E03F7" w:rsidRPr="005E03F7">
          <w:rPr>
            <w:vanish/>
          </w:rPr>
          <w:fldChar w:fldCharType="end"/>
        </w:r>
      </w:hyperlink>
    </w:p>
    <w:p w14:paraId="3B8E577E" w14:textId="57015ACE" w:rsidR="005E03F7" w:rsidRDefault="005E03F7">
      <w:pPr>
        <w:pStyle w:val="TOC5"/>
        <w:rPr>
          <w:rFonts w:asciiTheme="minorHAnsi" w:eastAsiaTheme="minorEastAsia" w:hAnsiTheme="minorHAnsi" w:cstheme="minorBidi"/>
          <w:sz w:val="22"/>
          <w:szCs w:val="22"/>
          <w:lang w:eastAsia="en-AU"/>
        </w:rPr>
      </w:pPr>
      <w:r>
        <w:tab/>
      </w:r>
      <w:hyperlink w:anchor="_Toc83626207" w:history="1">
        <w:r w:rsidRPr="00D90FEA">
          <w:t>693</w:t>
        </w:r>
        <w:r>
          <w:rPr>
            <w:rFonts w:asciiTheme="minorHAnsi" w:eastAsiaTheme="minorEastAsia" w:hAnsiTheme="minorHAnsi" w:cstheme="minorBidi"/>
            <w:sz w:val="22"/>
            <w:szCs w:val="22"/>
            <w:lang w:eastAsia="en-AU"/>
          </w:rPr>
          <w:tab/>
        </w:r>
        <w:r w:rsidRPr="00D90FEA">
          <w:rPr>
            <w:rFonts w:ascii="Helvetica" w:hAnsi="Helvetica" w:cs="Helvetica"/>
          </w:rPr>
          <w:t>Annual report</w:t>
        </w:r>
        <w:r>
          <w:tab/>
        </w:r>
        <w:r>
          <w:fldChar w:fldCharType="begin"/>
        </w:r>
        <w:r>
          <w:instrText xml:space="preserve"> PAGEREF _Toc83626207 \h </w:instrText>
        </w:r>
        <w:r>
          <w:fldChar w:fldCharType="separate"/>
        </w:r>
        <w:r w:rsidR="005C5D7F">
          <w:t>611</w:t>
        </w:r>
        <w:r>
          <w:fldChar w:fldCharType="end"/>
        </w:r>
      </w:hyperlink>
    </w:p>
    <w:p w14:paraId="5EBF61A0" w14:textId="7E1D56D4" w:rsidR="005E03F7" w:rsidRDefault="005E03F7">
      <w:pPr>
        <w:pStyle w:val="TOC5"/>
        <w:rPr>
          <w:rFonts w:asciiTheme="minorHAnsi" w:eastAsiaTheme="minorEastAsia" w:hAnsiTheme="minorHAnsi" w:cstheme="minorBidi"/>
          <w:sz w:val="22"/>
          <w:szCs w:val="22"/>
          <w:lang w:eastAsia="en-AU"/>
        </w:rPr>
      </w:pPr>
      <w:r>
        <w:tab/>
      </w:r>
      <w:hyperlink w:anchor="_Toc83626208" w:history="1">
        <w:r w:rsidRPr="00D90FEA">
          <w:t>694</w:t>
        </w:r>
        <w:r>
          <w:rPr>
            <w:rFonts w:asciiTheme="minorHAnsi" w:eastAsiaTheme="minorEastAsia" w:hAnsiTheme="minorHAnsi" w:cstheme="minorBidi"/>
            <w:sz w:val="22"/>
            <w:szCs w:val="22"/>
            <w:lang w:eastAsia="en-AU"/>
          </w:rPr>
          <w:tab/>
        </w:r>
        <w:r w:rsidRPr="00D90FEA">
          <w:rPr>
            <w:rFonts w:ascii="Helvetica" w:hAnsi="Helvetica" w:cs="Helvetica"/>
          </w:rPr>
          <w:t>Other reports</w:t>
        </w:r>
        <w:r>
          <w:tab/>
        </w:r>
        <w:r>
          <w:fldChar w:fldCharType="begin"/>
        </w:r>
        <w:r>
          <w:instrText xml:space="preserve"> PAGEREF _Toc83626208 \h </w:instrText>
        </w:r>
        <w:r>
          <w:fldChar w:fldCharType="separate"/>
        </w:r>
        <w:r w:rsidR="005C5D7F">
          <w:t>612</w:t>
        </w:r>
        <w:r>
          <w:fldChar w:fldCharType="end"/>
        </w:r>
      </w:hyperlink>
    </w:p>
    <w:p w14:paraId="6F1123B2" w14:textId="1EC8242E" w:rsidR="005E03F7" w:rsidRDefault="005E03F7">
      <w:pPr>
        <w:pStyle w:val="TOC5"/>
        <w:rPr>
          <w:rFonts w:asciiTheme="minorHAnsi" w:eastAsiaTheme="minorEastAsia" w:hAnsiTheme="minorHAnsi" w:cstheme="minorBidi"/>
          <w:sz w:val="22"/>
          <w:szCs w:val="22"/>
          <w:lang w:eastAsia="en-AU"/>
        </w:rPr>
      </w:pPr>
      <w:r>
        <w:tab/>
      </w:r>
      <w:hyperlink w:anchor="_Toc83626209" w:history="1">
        <w:r w:rsidRPr="00D90FEA">
          <w:t>695</w:t>
        </w:r>
        <w:r>
          <w:rPr>
            <w:rFonts w:asciiTheme="minorHAnsi" w:eastAsiaTheme="minorEastAsia" w:hAnsiTheme="minorHAnsi" w:cstheme="minorBidi"/>
            <w:sz w:val="22"/>
            <w:szCs w:val="22"/>
            <w:lang w:eastAsia="en-AU"/>
          </w:rPr>
          <w:tab/>
        </w:r>
        <w:r w:rsidRPr="00D90FEA">
          <w:rPr>
            <w:rFonts w:ascii="Helvetica" w:hAnsi="Helvetica" w:cs="Helvetica"/>
          </w:rPr>
          <w:t>Corporate plans</w:t>
        </w:r>
        <w:r>
          <w:tab/>
        </w:r>
        <w:r>
          <w:fldChar w:fldCharType="begin"/>
        </w:r>
        <w:r>
          <w:instrText xml:space="preserve"> PAGEREF _Toc83626209 \h </w:instrText>
        </w:r>
        <w:r>
          <w:fldChar w:fldCharType="separate"/>
        </w:r>
        <w:r w:rsidR="005C5D7F">
          <w:t>613</w:t>
        </w:r>
        <w:r>
          <w:fldChar w:fldCharType="end"/>
        </w:r>
      </w:hyperlink>
    </w:p>
    <w:p w14:paraId="7F934511" w14:textId="48881C08" w:rsidR="005E03F7" w:rsidRDefault="00856BEE">
      <w:pPr>
        <w:pStyle w:val="TOC3"/>
        <w:rPr>
          <w:rFonts w:asciiTheme="minorHAnsi" w:eastAsiaTheme="minorEastAsia" w:hAnsiTheme="minorHAnsi" w:cstheme="minorBidi"/>
          <w:b w:val="0"/>
          <w:sz w:val="22"/>
          <w:szCs w:val="22"/>
          <w:lang w:eastAsia="en-AU"/>
        </w:rPr>
      </w:pPr>
      <w:hyperlink w:anchor="_Toc83626210" w:history="1">
        <w:r w:rsidR="005E03F7" w:rsidRPr="00D90FEA">
          <w:t xml:space="preserve">Division 3 </w:t>
        </w:r>
        <w:r w:rsidR="005E03F7">
          <w:rPr>
            <w:rFonts w:asciiTheme="minorHAnsi" w:eastAsiaTheme="minorEastAsia" w:hAnsiTheme="minorHAnsi" w:cstheme="minorBidi"/>
            <w:b w:val="0"/>
            <w:sz w:val="22"/>
            <w:szCs w:val="22"/>
            <w:lang w:eastAsia="en-AU"/>
          </w:rPr>
          <w:tab/>
        </w:r>
        <w:r w:rsidR="005E03F7" w:rsidRPr="00D90FEA">
          <w:t>Oversight of the Regulator and Board</w:t>
        </w:r>
        <w:r w:rsidR="005E03F7" w:rsidRPr="005E03F7">
          <w:rPr>
            <w:vanish/>
          </w:rPr>
          <w:tab/>
        </w:r>
        <w:r w:rsidR="005E03F7" w:rsidRPr="005E03F7">
          <w:rPr>
            <w:vanish/>
          </w:rPr>
          <w:fldChar w:fldCharType="begin"/>
        </w:r>
        <w:r w:rsidR="005E03F7" w:rsidRPr="005E03F7">
          <w:rPr>
            <w:vanish/>
          </w:rPr>
          <w:instrText xml:space="preserve"> PAGEREF _Toc83626210 \h </w:instrText>
        </w:r>
        <w:r w:rsidR="005E03F7" w:rsidRPr="005E03F7">
          <w:rPr>
            <w:vanish/>
          </w:rPr>
        </w:r>
        <w:r w:rsidR="005E03F7" w:rsidRPr="005E03F7">
          <w:rPr>
            <w:vanish/>
          </w:rPr>
          <w:fldChar w:fldCharType="separate"/>
        </w:r>
        <w:r w:rsidR="005C5D7F">
          <w:rPr>
            <w:vanish/>
          </w:rPr>
          <w:t>614</w:t>
        </w:r>
        <w:r w:rsidR="005E03F7" w:rsidRPr="005E03F7">
          <w:rPr>
            <w:vanish/>
          </w:rPr>
          <w:fldChar w:fldCharType="end"/>
        </w:r>
      </w:hyperlink>
    </w:p>
    <w:p w14:paraId="4FCDA279" w14:textId="4DBF0305" w:rsidR="005E03F7" w:rsidRDefault="005E03F7">
      <w:pPr>
        <w:pStyle w:val="TOC5"/>
        <w:rPr>
          <w:rFonts w:asciiTheme="minorHAnsi" w:eastAsiaTheme="minorEastAsia" w:hAnsiTheme="minorHAnsi" w:cstheme="minorBidi"/>
          <w:sz w:val="22"/>
          <w:szCs w:val="22"/>
          <w:lang w:eastAsia="en-AU"/>
        </w:rPr>
      </w:pPr>
      <w:r>
        <w:tab/>
      </w:r>
      <w:hyperlink w:anchor="_Toc83626211" w:history="1">
        <w:r w:rsidRPr="00D90FEA">
          <w:t>696</w:t>
        </w:r>
        <w:r>
          <w:rPr>
            <w:rFonts w:asciiTheme="minorHAnsi" w:eastAsiaTheme="minorEastAsia" w:hAnsiTheme="minorHAnsi" w:cstheme="minorBidi"/>
            <w:sz w:val="22"/>
            <w:szCs w:val="22"/>
            <w:lang w:eastAsia="en-AU"/>
          </w:rPr>
          <w:tab/>
        </w:r>
        <w:r w:rsidRPr="00D90FEA">
          <w:rPr>
            <w:rFonts w:ascii="Helvetica" w:hAnsi="Helvetica" w:cs="Helvetica"/>
          </w:rPr>
          <w:t>Application of particular Queensland Acts to this Law</w:t>
        </w:r>
        <w:r>
          <w:tab/>
        </w:r>
        <w:r>
          <w:fldChar w:fldCharType="begin"/>
        </w:r>
        <w:r>
          <w:instrText xml:space="preserve"> PAGEREF _Toc83626211 \h </w:instrText>
        </w:r>
        <w:r>
          <w:fldChar w:fldCharType="separate"/>
        </w:r>
        <w:r w:rsidR="005C5D7F">
          <w:t>614</w:t>
        </w:r>
        <w:r>
          <w:fldChar w:fldCharType="end"/>
        </w:r>
      </w:hyperlink>
    </w:p>
    <w:p w14:paraId="1EDEDB31" w14:textId="4E441597" w:rsidR="005E03F7" w:rsidRDefault="00856BEE">
      <w:pPr>
        <w:pStyle w:val="TOC3"/>
        <w:rPr>
          <w:rFonts w:asciiTheme="minorHAnsi" w:eastAsiaTheme="minorEastAsia" w:hAnsiTheme="minorHAnsi" w:cstheme="minorBidi"/>
          <w:b w:val="0"/>
          <w:sz w:val="22"/>
          <w:szCs w:val="22"/>
          <w:lang w:eastAsia="en-AU"/>
        </w:rPr>
      </w:pPr>
      <w:hyperlink w:anchor="_Toc83626212" w:history="1">
        <w:r w:rsidR="005E03F7" w:rsidRPr="00D90FEA">
          <w:t xml:space="preserve">Division 4 </w:t>
        </w:r>
        <w:r w:rsidR="005E03F7">
          <w:rPr>
            <w:rFonts w:asciiTheme="minorHAnsi" w:eastAsiaTheme="minorEastAsia" w:hAnsiTheme="minorHAnsi" w:cstheme="minorBidi"/>
            <w:b w:val="0"/>
            <w:sz w:val="22"/>
            <w:szCs w:val="22"/>
            <w:lang w:eastAsia="en-AU"/>
          </w:rPr>
          <w:tab/>
        </w:r>
        <w:r w:rsidR="005E03F7" w:rsidRPr="00D90FEA">
          <w:t>Provisions relating to persons exercising functions under Law</w:t>
        </w:r>
        <w:r w:rsidR="005E03F7" w:rsidRPr="005E03F7">
          <w:rPr>
            <w:vanish/>
          </w:rPr>
          <w:tab/>
        </w:r>
        <w:r w:rsidR="005E03F7" w:rsidRPr="005E03F7">
          <w:rPr>
            <w:vanish/>
          </w:rPr>
          <w:fldChar w:fldCharType="begin"/>
        </w:r>
        <w:r w:rsidR="005E03F7" w:rsidRPr="005E03F7">
          <w:rPr>
            <w:vanish/>
          </w:rPr>
          <w:instrText xml:space="preserve"> PAGEREF _Toc83626212 \h </w:instrText>
        </w:r>
        <w:r w:rsidR="005E03F7" w:rsidRPr="005E03F7">
          <w:rPr>
            <w:vanish/>
          </w:rPr>
        </w:r>
        <w:r w:rsidR="005E03F7" w:rsidRPr="005E03F7">
          <w:rPr>
            <w:vanish/>
          </w:rPr>
          <w:fldChar w:fldCharType="separate"/>
        </w:r>
        <w:r w:rsidR="005C5D7F">
          <w:rPr>
            <w:vanish/>
          </w:rPr>
          <w:t>615</w:t>
        </w:r>
        <w:r w:rsidR="005E03F7" w:rsidRPr="005E03F7">
          <w:rPr>
            <w:vanish/>
          </w:rPr>
          <w:fldChar w:fldCharType="end"/>
        </w:r>
      </w:hyperlink>
    </w:p>
    <w:p w14:paraId="668BBB78" w14:textId="657E60A7" w:rsidR="005E03F7" w:rsidRDefault="005E03F7">
      <w:pPr>
        <w:pStyle w:val="TOC5"/>
        <w:rPr>
          <w:rFonts w:asciiTheme="minorHAnsi" w:eastAsiaTheme="minorEastAsia" w:hAnsiTheme="minorHAnsi" w:cstheme="minorBidi"/>
          <w:sz w:val="22"/>
          <w:szCs w:val="22"/>
          <w:lang w:eastAsia="en-AU"/>
        </w:rPr>
      </w:pPr>
      <w:r>
        <w:tab/>
      </w:r>
      <w:hyperlink w:anchor="_Toc83626213" w:history="1">
        <w:r w:rsidRPr="00D90FEA">
          <w:t>697</w:t>
        </w:r>
        <w:r>
          <w:rPr>
            <w:rFonts w:asciiTheme="minorHAnsi" w:eastAsiaTheme="minorEastAsia" w:hAnsiTheme="minorHAnsi" w:cstheme="minorBidi"/>
            <w:sz w:val="22"/>
            <w:szCs w:val="22"/>
            <w:lang w:eastAsia="en-AU"/>
          </w:rPr>
          <w:tab/>
        </w:r>
        <w:r w:rsidRPr="00D90FEA">
          <w:rPr>
            <w:rFonts w:ascii="Helvetica" w:hAnsi="Helvetica" w:cs="Helvetica"/>
          </w:rPr>
          <w:t>General duties of persons exercising functions under this Law</w:t>
        </w:r>
        <w:r>
          <w:tab/>
        </w:r>
        <w:r>
          <w:fldChar w:fldCharType="begin"/>
        </w:r>
        <w:r>
          <w:instrText xml:space="preserve"> PAGEREF _Toc83626213 \h </w:instrText>
        </w:r>
        <w:r>
          <w:fldChar w:fldCharType="separate"/>
        </w:r>
        <w:r w:rsidR="005C5D7F">
          <w:t>615</w:t>
        </w:r>
        <w:r>
          <w:fldChar w:fldCharType="end"/>
        </w:r>
      </w:hyperlink>
    </w:p>
    <w:p w14:paraId="19A3CE2D" w14:textId="3FBB1EFA" w:rsidR="005E03F7" w:rsidRDefault="005E03F7">
      <w:pPr>
        <w:pStyle w:val="TOC5"/>
        <w:rPr>
          <w:rFonts w:asciiTheme="minorHAnsi" w:eastAsiaTheme="minorEastAsia" w:hAnsiTheme="minorHAnsi" w:cstheme="minorBidi"/>
          <w:sz w:val="22"/>
          <w:szCs w:val="22"/>
          <w:lang w:eastAsia="en-AU"/>
        </w:rPr>
      </w:pPr>
      <w:r>
        <w:tab/>
      </w:r>
      <w:hyperlink w:anchor="_Toc83626214" w:history="1">
        <w:r w:rsidRPr="00D90FEA">
          <w:t>698</w:t>
        </w:r>
        <w:r>
          <w:rPr>
            <w:rFonts w:asciiTheme="minorHAnsi" w:eastAsiaTheme="minorEastAsia" w:hAnsiTheme="minorHAnsi" w:cstheme="minorBidi"/>
            <w:sz w:val="22"/>
            <w:szCs w:val="22"/>
            <w:lang w:eastAsia="en-AU"/>
          </w:rPr>
          <w:tab/>
        </w:r>
        <w:r w:rsidRPr="00D90FEA">
          <w:rPr>
            <w:rFonts w:ascii="Helvetica" w:hAnsi="Helvetica" w:cs="Helvetica"/>
          </w:rPr>
          <w:t>Protection from personal liability for persons exercising Regulator’s or Board’s functions under this Law</w:t>
        </w:r>
        <w:r>
          <w:tab/>
        </w:r>
        <w:r>
          <w:fldChar w:fldCharType="begin"/>
        </w:r>
        <w:r>
          <w:instrText xml:space="preserve"> PAGEREF _Toc83626214 \h </w:instrText>
        </w:r>
        <w:r>
          <w:fldChar w:fldCharType="separate"/>
        </w:r>
        <w:r w:rsidR="005C5D7F">
          <w:t>616</w:t>
        </w:r>
        <w:r>
          <w:fldChar w:fldCharType="end"/>
        </w:r>
      </w:hyperlink>
    </w:p>
    <w:p w14:paraId="3C29572F" w14:textId="793059AB" w:rsidR="005E03F7" w:rsidRDefault="005E03F7">
      <w:pPr>
        <w:pStyle w:val="TOC5"/>
        <w:rPr>
          <w:rFonts w:asciiTheme="minorHAnsi" w:eastAsiaTheme="minorEastAsia" w:hAnsiTheme="minorHAnsi" w:cstheme="minorBidi"/>
          <w:sz w:val="22"/>
          <w:szCs w:val="22"/>
          <w:lang w:eastAsia="en-AU"/>
        </w:rPr>
      </w:pPr>
      <w:r>
        <w:tab/>
      </w:r>
      <w:hyperlink w:anchor="_Toc83626215" w:history="1">
        <w:r w:rsidRPr="00D90FEA">
          <w:t>698A</w:t>
        </w:r>
        <w:r>
          <w:rPr>
            <w:rFonts w:asciiTheme="minorHAnsi" w:eastAsiaTheme="minorEastAsia" w:hAnsiTheme="minorHAnsi" w:cstheme="minorBidi"/>
            <w:sz w:val="22"/>
            <w:szCs w:val="22"/>
            <w:lang w:eastAsia="en-AU"/>
          </w:rPr>
          <w:tab/>
        </w:r>
        <w:r w:rsidRPr="00D90FEA">
          <w:rPr>
            <w:lang w:val="en" w:eastAsia="en-AU"/>
          </w:rPr>
          <w:t>No liability, right etc. arising from particular functions of authorised officer or Regulator</w:t>
        </w:r>
        <w:r>
          <w:tab/>
        </w:r>
        <w:r>
          <w:fldChar w:fldCharType="begin"/>
        </w:r>
        <w:r>
          <w:instrText xml:space="preserve"> PAGEREF _Toc83626215 \h </w:instrText>
        </w:r>
        <w:r>
          <w:fldChar w:fldCharType="separate"/>
        </w:r>
        <w:r w:rsidR="005C5D7F">
          <w:t>617</w:t>
        </w:r>
        <w:r>
          <w:fldChar w:fldCharType="end"/>
        </w:r>
      </w:hyperlink>
    </w:p>
    <w:p w14:paraId="190280D1" w14:textId="2FBC8E6A" w:rsidR="005E03F7" w:rsidRDefault="00856BEE">
      <w:pPr>
        <w:pStyle w:val="TOC1"/>
        <w:rPr>
          <w:rFonts w:asciiTheme="minorHAnsi" w:eastAsiaTheme="minorEastAsia" w:hAnsiTheme="minorHAnsi" w:cstheme="minorBidi"/>
          <w:b w:val="0"/>
          <w:sz w:val="22"/>
          <w:szCs w:val="22"/>
          <w:lang w:eastAsia="en-AU"/>
        </w:rPr>
      </w:pPr>
      <w:hyperlink w:anchor="_Toc83626216" w:history="1">
        <w:r w:rsidR="005E03F7" w:rsidRPr="00D90FEA">
          <w:t xml:space="preserve">Chapter 13 </w:t>
        </w:r>
        <w:r w:rsidR="005E03F7">
          <w:rPr>
            <w:rFonts w:asciiTheme="minorHAnsi" w:eastAsiaTheme="minorEastAsia" w:hAnsiTheme="minorHAnsi" w:cstheme="minorBidi"/>
            <w:b w:val="0"/>
            <w:sz w:val="22"/>
            <w:szCs w:val="22"/>
            <w:lang w:eastAsia="en-AU"/>
          </w:rPr>
          <w:tab/>
        </w:r>
        <w:r w:rsidR="005E03F7" w:rsidRPr="00D90FEA">
          <w:t>General</w:t>
        </w:r>
        <w:r w:rsidR="005E03F7" w:rsidRPr="005E03F7">
          <w:rPr>
            <w:vanish/>
          </w:rPr>
          <w:tab/>
        </w:r>
        <w:r w:rsidR="005E03F7" w:rsidRPr="005E03F7">
          <w:rPr>
            <w:vanish/>
          </w:rPr>
          <w:fldChar w:fldCharType="begin"/>
        </w:r>
        <w:r w:rsidR="005E03F7" w:rsidRPr="005E03F7">
          <w:rPr>
            <w:vanish/>
          </w:rPr>
          <w:instrText xml:space="preserve"> PAGEREF _Toc83626216 \h </w:instrText>
        </w:r>
        <w:r w:rsidR="005E03F7" w:rsidRPr="005E03F7">
          <w:rPr>
            <w:vanish/>
          </w:rPr>
        </w:r>
        <w:r w:rsidR="005E03F7" w:rsidRPr="005E03F7">
          <w:rPr>
            <w:vanish/>
          </w:rPr>
          <w:fldChar w:fldCharType="separate"/>
        </w:r>
        <w:r w:rsidR="005C5D7F">
          <w:rPr>
            <w:vanish/>
          </w:rPr>
          <w:t>619</w:t>
        </w:r>
        <w:r w:rsidR="005E03F7" w:rsidRPr="005E03F7">
          <w:rPr>
            <w:vanish/>
          </w:rPr>
          <w:fldChar w:fldCharType="end"/>
        </w:r>
      </w:hyperlink>
    </w:p>
    <w:p w14:paraId="10148422" w14:textId="34440F27" w:rsidR="005E03F7" w:rsidRDefault="00856BEE">
      <w:pPr>
        <w:pStyle w:val="TOC2"/>
        <w:rPr>
          <w:rFonts w:asciiTheme="minorHAnsi" w:eastAsiaTheme="minorEastAsia" w:hAnsiTheme="minorHAnsi" w:cstheme="minorBidi"/>
          <w:b w:val="0"/>
          <w:sz w:val="22"/>
          <w:szCs w:val="22"/>
          <w:lang w:eastAsia="en-AU"/>
        </w:rPr>
      </w:pPr>
      <w:hyperlink w:anchor="_Toc83626217" w:history="1">
        <w:r w:rsidR="005E03F7" w:rsidRPr="00D90FEA">
          <w:t xml:space="preserve">Part 13.1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General offences</w:t>
        </w:r>
        <w:r w:rsidR="005E03F7" w:rsidRPr="005E03F7">
          <w:rPr>
            <w:vanish/>
          </w:rPr>
          <w:tab/>
        </w:r>
        <w:r w:rsidR="005E03F7" w:rsidRPr="005E03F7">
          <w:rPr>
            <w:vanish/>
          </w:rPr>
          <w:fldChar w:fldCharType="begin"/>
        </w:r>
        <w:r w:rsidR="005E03F7" w:rsidRPr="005E03F7">
          <w:rPr>
            <w:vanish/>
          </w:rPr>
          <w:instrText xml:space="preserve"> PAGEREF _Toc83626217 \h </w:instrText>
        </w:r>
        <w:r w:rsidR="005E03F7" w:rsidRPr="005E03F7">
          <w:rPr>
            <w:vanish/>
          </w:rPr>
        </w:r>
        <w:r w:rsidR="005E03F7" w:rsidRPr="005E03F7">
          <w:rPr>
            <w:vanish/>
          </w:rPr>
          <w:fldChar w:fldCharType="separate"/>
        </w:r>
        <w:r w:rsidR="005C5D7F">
          <w:rPr>
            <w:vanish/>
          </w:rPr>
          <w:t>619</w:t>
        </w:r>
        <w:r w:rsidR="005E03F7" w:rsidRPr="005E03F7">
          <w:rPr>
            <w:vanish/>
          </w:rPr>
          <w:fldChar w:fldCharType="end"/>
        </w:r>
      </w:hyperlink>
    </w:p>
    <w:p w14:paraId="7E1DB449" w14:textId="44FBA24C" w:rsidR="005E03F7" w:rsidRDefault="00856BEE">
      <w:pPr>
        <w:pStyle w:val="TOC3"/>
        <w:rPr>
          <w:rFonts w:asciiTheme="minorHAnsi" w:eastAsiaTheme="minorEastAsia" w:hAnsiTheme="minorHAnsi" w:cstheme="minorBidi"/>
          <w:b w:val="0"/>
          <w:sz w:val="22"/>
          <w:szCs w:val="22"/>
          <w:lang w:eastAsia="en-AU"/>
        </w:rPr>
      </w:pPr>
      <w:hyperlink w:anchor="_Toc83626218" w:history="1">
        <w:r w:rsidR="005E03F7" w:rsidRPr="00D90FEA">
          <w:t xml:space="preserve">Division 1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Offence about discrimination or victimisation</w:t>
        </w:r>
        <w:r w:rsidR="005E03F7" w:rsidRPr="005E03F7">
          <w:rPr>
            <w:vanish/>
          </w:rPr>
          <w:tab/>
        </w:r>
        <w:r w:rsidR="005E03F7" w:rsidRPr="005E03F7">
          <w:rPr>
            <w:vanish/>
          </w:rPr>
          <w:fldChar w:fldCharType="begin"/>
        </w:r>
        <w:r w:rsidR="005E03F7" w:rsidRPr="005E03F7">
          <w:rPr>
            <w:vanish/>
          </w:rPr>
          <w:instrText xml:space="preserve"> PAGEREF _Toc83626218 \h </w:instrText>
        </w:r>
        <w:r w:rsidR="005E03F7" w:rsidRPr="005E03F7">
          <w:rPr>
            <w:vanish/>
          </w:rPr>
        </w:r>
        <w:r w:rsidR="005E03F7" w:rsidRPr="005E03F7">
          <w:rPr>
            <w:vanish/>
          </w:rPr>
          <w:fldChar w:fldCharType="separate"/>
        </w:r>
        <w:r w:rsidR="005C5D7F">
          <w:rPr>
            <w:vanish/>
          </w:rPr>
          <w:t>619</w:t>
        </w:r>
        <w:r w:rsidR="005E03F7" w:rsidRPr="005E03F7">
          <w:rPr>
            <w:vanish/>
          </w:rPr>
          <w:fldChar w:fldCharType="end"/>
        </w:r>
      </w:hyperlink>
    </w:p>
    <w:p w14:paraId="549A4D9A" w14:textId="3E191069" w:rsidR="005E03F7" w:rsidRDefault="005E03F7">
      <w:pPr>
        <w:pStyle w:val="TOC5"/>
        <w:rPr>
          <w:rFonts w:asciiTheme="minorHAnsi" w:eastAsiaTheme="minorEastAsia" w:hAnsiTheme="minorHAnsi" w:cstheme="minorBidi"/>
          <w:sz w:val="22"/>
          <w:szCs w:val="22"/>
          <w:lang w:eastAsia="en-AU"/>
        </w:rPr>
      </w:pPr>
      <w:r>
        <w:tab/>
      </w:r>
      <w:hyperlink w:anchor="_Toc83626219" w:history="1">
        <w:r w:rsidRPr="00D90FEA">
          <w:t>699</w:t>
        </w:r>
        <w:r>
          <w:rPr>
            <w:rFonts w:asciiTheme="minorHAnsi" w:eastAsiaTheme="minorEastAsia" w:hAnsiTheme="minorHAnsi" w:cstheme="minorBidi"/>
            <w:sz w:val="22"/>
            <w:szCs w:val="22"/>
            <w:lang w:eastAsia="en-AU"/>
          </w:rPr>
          <w:tab/>
        </w:r>
        <w:r w:rsidRPr="00D90FEA">
          <w:rPr>
            <w:rFonts w:ascii="Helvetica" w:hAnsi="Helvetica" w:cs="Helvetica"/>
            <w:iCs/>
          </w:rPr>
          <w:t>Discrimination against or victimisation of employees</w:t>
        </w:r>
        <w:r>
          <w:tab/>
        </w:r>
        <w:r>
          <w:fldChar w:fldCharType="begin"/>
        </w:r>
        <w:r>
          <w:instrText xml:space="preserve"> PAGEREF _Toc83626219 \h </w:instrText>
        </w:r>
        <w:r>
          <w:fldChar w:fldCharType="separate"/>
        </w:r>
        <w:r w:rsidR="005C5D7F">
          <w:t>619</w:t>
        </w:r>
        <w:r>
          <w:fldChar w:fldCharType="end"/>
        </w:r>
      </w:hyperlink>
    </w:p>
    <w:p w14:paraId="3E9FFB2A" w14:textId="4AFC1EF0" w:rsidR="005E03F7" w:rsidRDefault="005E03F7">
      <w:pPr>
        <w:pStyle w:val="TOC5"/>
        <w:rPr>
          <w:rFonts w:asciiTheme="minorHAnsi" w:eastAsiaTheme="minorEastAsia" w:hAnsiTheme="minorHAnsi" w:cstheme="minorBidi"/>
          <w:sz w:val="22"/>
          <w:szCs w:val="22"/>
          <w:lang w:eastAsia="en-AU"/>
        </w:rPr>
      </w:pPr>
      <w:r>
        <w:tab/>
      </w:r>
      <w:hyperlink w:anchor="_Toc83626220" w:history="1">
        <w:r w:rsidRPr="00D90FEA">
          <w:t>700</w:t>
        </w:r>
        <w:r>
          <w:rPr>
            <w:rFonts w:asciiTheme="minorHAnsi" w:eastAsiaTheme="minorEastAsia" w:hAnsiTheme="minorHAnsi" w:cstheme="minorBidi"/>
            <w:sz w:val="22"/>
            <w:szCs w:val="22"/>
            <w:lang w:eastAsia="en-AU"/>
          </w:rPr>
          <w:tab/>
        </w:r>
        <w:r w:rsidRPr="00D90FEA">
          <w:rPr>
            <w:rFonts w:ascii="Helvetica" w:hAnsi="Helvetica" w:cs="Helvetica"/>
            <w:iCs/>
          </w:rPr>
          <w:t>Order for damages or reinstatement</w:t>
        </w:r>
        <w:r>
          <w:tab/>
        </w:r>
        <w:r>
          <w:fldChar w:fldCharType="begin"/>
        </w:r>
        <w:r>
          <w:instrText xml:space="preserve"> PAGEREF _Toc83626220 \h </w:instrText>
        </w:r>
        <w:r>
          <w:fldChar w:fldCharType="separate"/>
        </w:r>
        <w:r w:rsidR="005C5D7F">
          <w:t>620</w:t>
        </w:r>
        <w:r>
          <w:fldChar w:fldCharType="end"/>
        </w:r>
      </w:hyperlink>
    </w:p>
    <w:p w14:paraId="1A735B84" w14:textId="034D8F56" w:rsidR="005E03F7" w:rsidRDefault="00856BEE">
      <w:pPr>
        <w:pStyle w:val="TOC3"/>
        <w:rPr>
          <w:rFonts w:asciiTheme="minorHAnsi" w:eastAsiaTheme="minorEastAsia" w:hAnsiTheme="minorHAnsi" w:cstheme="minorBidi"/>
          <w:b w:val="0"/>
          <w:sz w:val="22"/>
          <w:szCs w:val="22"/>
          <w:lang w:eastAsia="en-AU"/>
        </w:rPr>
      </w:pPr>
      <w:hyperlink w:anchor="_Toc83626221" w:history="1">
        <w:r w:rsidR="005E03F7" w:rsidRPr="00D90FEA">
          <w:t xml:space="preserve">Division 2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Offences about false or misleading information</w:t>
        </w:r>
        <w:r w:rsidR="005E03F7" w:rsidRPr="005E03F7">
          <w:rPr>
            <w:vanish/>
          </w:rPr>
          <w:tab/>
        </w:r>
        <w:r w:rsidR="005E03F7" w:rsidRPr="005E03F7">
          <w:rPr>
            <w:vanish/>
          </w:rPr>
          <w:fldChar w:fldCharType="begin"/>
        </w:r>
        <w:r w:rsidR="005E03F7" w:rsidRPr="005E03F7">
          <w:rPr>
            <w:vanish/>
          </w:rPr>
          <w:instrText xml:space="preserve"> PAGEREF _Toc83626221 \h </w:instrText>
        </w:r>
        <w:r w:rsidR="005E03F7" w:rsidRPr="005E03F7">
          <w:rPr>
            <w:vanish/>
          </w:rPr>
        </w:r>
        <w:r w:rsidR="005E03F7" w:rsidRPr="005E03F7">
          <w:rPr>
            <w:vanish/>
          </w:rPr>
          <w:fldChar w:fldCharType="separate"/>
        </w:r>
        <w:r w:rsidR="005C5D7F">
          <w:rPr>
            <w:vanish/>
          </w:rPr>
          <w:t>621</w:t>
        </w:r>
        <w:r w:rsidR="005E03F7" w:rsidRPr="005E03F7">
          <w:rPr>
            <w:vanish/>
          </w:rPr>
          <w:fldChar w:fldCharType="end"/>
        </w:r>
      </w:hyperlink>
    </w:p>
    <w:p w14:paraId="568AA7F3" w14:textId="19ECBF23" w:rsidR="005E03F7" w:rsidRDefault="005E03F7">
      <w:pPr>
        <w:pStyle w:val="TOC5"/>
        <w:rPr>
          <w:rFonts w:asciiTheme="minorHAnsi" w:eastAsiaTheme="minorEastAsia" w:hAnsiTheme="minorHAnsi" w:cstheme="minorBidi"/>
          <w:sz w:val="22"/>
          <w:szCs w:val="22"/>
          <w:lang w:eastAsia="en-AU"/>
        </w:rPr>
      </w:pPr>
      <w:r>
        <w:tab/>
      </w:r>
      <w:hyperlink w:anchor="_Toc83626222" w:history="1">
        <w:r w:rsidRPr="00D90FEA">
          <w:t>701</w:t>
        </w:r>
        <w:r>
          <w:rPr>
            <w:rFonts w:asciiTheme="minorHAnsi" w:eastAsiaTheme="minorEastAsia" w:hAnsiTheme="minorHAnsi" w:cstheme="minorBidi"/>
            <w:sz w:val="22"/>
            <w:szCs w:val="22"/>
            <w:lang w:eastAsia="en-AU"/>
          </w:rPr>
          <w:tab/>
        </w:r>
        <w:r w:rsidRPr="00D90FEA">
          <w:rPr>
            <w:rFonts w:ascii="Helvetica" w:hAnsi="Helvetica" w:cs="Helvetica"/>
            <w:iCs/>
          </w:rPr>
          <w:t>False or misleading statements</w:t>
        </w:r>
        <w:r>
          <w:tab/>
        </w:r>
        <w:r>
          <w:fldChar w:fldCharType="begin"/>
        </w:r>
        <w:r>
          <w:instrText xml:space="preserve"> PAGEREF _Toc83626222 \h </w:instrText>
        </w:r>
        <w:r>
          <w:fldChar w:fldCharType="separate"/>
        </w:r>
        <w:r w:rsidR="005C5D7F">
          <w:t>621</w:t>
        </w:r>
        <w:r>
          <w:fldChar w:fldCharType="end"/>
        </w:r>
      </w:hyperlink>
    </w:p>
    <w:p w14:paraId="2059FCAE" w14:textId="4DC57488" w:rsidR="005E03F7" w:rsidRDefault="005E03F7">
      <w:pPr>
        <w:pStyle w:val="TOC5"/>
        <w:rPr>
          <w:rFonts w:asciiTheme="minorHAnsi" w:eastAsiaTheme="minorEastAsia" w:hAnsiTheme="minorHAnsi" w:cstheme="minorBidi"/>
          <w:sz w:val="22"/>
          <w:szCs w:val="22"/>
          <w:lang w:eastAsia="en-AU"/>
        </w:rPr>
      </w:pPr>
      <w:r>
        <w:tab/>
      </w:r>
      <w:hyperlink w:anchor="_Toc83626223" w:history="1">
        <w:r w:rsidRPr="00D90FEA">
          <w:t>702</w:t>
        </w:r>
        <w:r>
          <w:rPr>
            <w:rFonts w:asciiTheme="minorHAnsi" w:eastAsiaTheme="minorEastAsia" w:hAnsiTheme="minorHAnsi" w:cstheme="minorBidi"/>
            <w:sz w:val="22"/>
            <w:szCs w:val="22"/>
            <w:lang w:eastAsia="en-AU"/>
          </w:rPr>
          <w:tab/>
        </w:r>
        <w:r w:rsidRPr="00D90FEA">
          <w:rPr>
            <w:rFonts w:ascii="Helvetica" w:hAnsi="Helvetica" w:cs="Helvetica"/>
            <w:iCs/>
          </w:rPr>
          <w:t>False or misleading documents</w:t>
        </w:r>
        <w:r>
          <w:tab/>
        </w:r>
        <w:r>
          <w:fldChar w:fldCharType="begin"/>
        </w:r>
        <w:r>
          <w:instrText xml:space="preserve"> PAGEREF _Toc83626223 \h </w:instrText>
        </w:r>
        <w:r>
          <w:fldChar w:fldCharType="separate"/>
        </w:r>
        <w:r w:rsidR="005C5D7F">
          <w:t>622</w:t>
        </w:r>
        <w:r>
          <w:fldChar w:fldCharType="end"/>
        </w:r>
      </w:hyperlink>
    </w:p>
    <w:p w14:paraId="373F6C2A" w14:textId="2D409728" w:rsidR="005E03F7" w:rsidRDefault="005E03F7">
      <w:pPr>
        <w:pStyle w:val="TOC5"/>
        <w:rPr>
          <w:rFonts w:asciiTheme="minorHAnsi" w:eastAsiaTheme="minorEastAsia" w:hAnsiTheme="minorHAnsi" w:cstheme="minorBidi"/>
          <w:sz w:val="22"/>
          <w:szCs w:val="22"/>
          <w:lang w:eastAsia="en-AU"/>
        </w:rPr>
      </w:pPr>
      <w:r>
        <w:tab/>
      </w:r>
      <w:hyperlink w:anchor="_Toc83626224" w:history="1">
        <w:r w:rsidRPr="00D90FEA">
          <w:t>703</w:t>
        </w:r>
        <w:r>
          <w:rPr>
            <w:rFonts w:asciiTheme="minorHAnsi" w:eastAsiaTheme="minorEastAsia" w:hAnsiTheme="minorHAnsi" w:cstheme="minorBidi"/>
            <w:sz w:val="22"/>
            <w:szCs w:val="22"/>
            <w:lang w:eastAsia="en-AU"/>
          </w:rPr>
          <w:tab/>
        </w:r>
        <w:r w:rsidRPr="00D90FEA">
          <w:rPr>
            <w:rFonts w:ascii="Helvetica" w:hAnsi="Helvetica" w:cs="Helvetica"/>
            <w:iCs/>
          </w:rPr>
          <w:t>False or misleading information given by responsible person to another responsible person</w:t>
        </w:r>
        <w:r>
          <w:tab/>
        </w:r>
        <w:r>
          <w:fldChar w:fldCharType="begin"/>
        </w:r>
        <w:r>
          <w:instrText xml:space="preserve"> PAGEREF _Toc83626224 \h </w:instrText>
        </w:r>
        <w:r>
          <w:fldChar w:fldCharType="separate"/>
        </w:r>
        <w:r w:rsidR="005C5D7F">
          <w:t>623</w:t>
        </w:r>
        <w:r>
          <w:fldChar w:fldCharType="end"/>
        </w:r>
      </w:hyperlink>
    </w:p>
    <w:p w14:paraId="17254FA4" w14:textId="328A5A79" w:rsidR="005E03F7" w:rsidRDefault="005E03F7">
      <w:pPr>
        <w:pStyle w:val="TOC5"/>
        <w:rPr>
          <w:rFonts w:asciiTheme="minorHAnsi" w:eastAsiaTheme="minorEastAsia" w:hAnsiTheme="minorHAnsi" w:cstheme="minorBidi"/>
          <w:sz w:val="22"/>
          <w:szCs w:val="22"/>
          <w:lang w:eastAsia="en-AU"/>
        </w:rPr>
      </w:pPr>
      <w:r>
        <w:tab/>
      </w:r>
      <w:hyperlink w:anchor="_Toc83626225" w:history="1">
        <w:r w:rsidRPr="00D90FEA">
          <w:t>704</w:t>
        </w:r>
        <w:r>
          <w:rPr>
            <w:rFonts w:asciiTheme="minorHAnsi" w:eastAsiaTheme="minorEastAsia" w:hAnsiTheme="minorHAnsi" w:cstheme="minorBidi"/>
            <w:sz w:val="22"/>
            <w:szCs w:val="22"/>
            <w:lang w:eastAsia="en-AU"/>
          </w:rPr>
          <w:tab/>
        </w:r>
        <w:r w:rsidRPr="00D90FEA">
          <w:rPr>
            <w:rFonts w:ascii="Helvetica" w:hAnsi="Helvetica" w:cs="Helvetica"/>
            <w:iCs/>
          </w:rPr>
          <w:t>Offence to falsely represent that heavy vehicle authority is held etc.</w:t>
        </w:r>
        <w:r>
          <w:tab/>
        </w:r>
        <w:r>
          <w:fldChar w:fldCharType="begin"/>
        </w:r>
        <w:r>
          <w:instrText xml:space="preserve"> PAGEREF _Toc83626225 \h </w:instrText>
        </w:r>
        <w:r>
          <w:fldChar w:fldCharType="separate"/>
        </w:r>
        <w:r w:rsidR="005C5D7F">
          <w:t>625</w:t>
        </w:r>
        <w:r>
          <w:fldChar w:fldCharType="end"/>
        </w:r>
      </w:hyperlink>
    </w:p>
    <w:p w14:paraId="0D6D0BE4" w14:textId="729A3A10" w:rsidR="005E03F7" w:rsidRDefault="00856BEE">
      <w:pPr>
        <w:pStyle w:val="TOC2"/>
        <w:rPr>
          <w:rFonts w:asciiTheme="minorHAnsi" w:eastAsiaTheme="minorEastAsia" w:hAnsiTheme="minorHAnsi" w:cstheme="minorBidi"/>
          <w:b w:val="0"/>
          <w:sz w:val="22"/>
          <w:szCs w:val="22"/>
          <w:lang w:eastAsia="en-AU"/>
        </w:rPr>
      </w:pPr>
      <w:hyperlink w:anchor="_Toc83626226" w:history="1">
        <w:r w:rsidR="005E03F7" w:rsidRPr="00D90FEA">
          <w:t xml:space="preserve">Part 13.2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rPr>
          <w:t>Industry codes of practice</w:t>
        </w:r>
        <w:r w:rsidR="005E03F7" w:rsidRPr="005E03F7">
          <w:rPr>
            <w:vanish/>
          </w:rPr>
          <w:tab/>
        </w:r>
        <w:r w:rsidR="005E03F7" w:rsidRPr="005E03F7">
          <w:rPr>
            <w:vanish/>
          </w:rPr>
          <w:fldChar w:fldCharType="begin"/>
        </w:r>
        <w:r w:rsidR="005E03F7" w:rsidRPr="005E03F7">
          <w:rPr>
            <w:vanish/>
          </w:rPr>
          <w:instrText xml:space="preserve"> PAGEREF _Toc83626226 \h </w:instrText>
        </w:r>
        <w:r w:rsidR="005E03F7" w:rsidRPr="005E03F7">
          <w:rPr>
            <w:vanish/>
          </w:rPr>
        </w:r>
        <w:r w:rsidR="005E03F7" w:rsidRPr="005E03F7">
          <w:rPr>
            <w:vanish/>
          </w:rPr>
          <w:fldChar w:fldCharType="separate"/>
        </w:r>
        <w:r w:rsidR="005C5D7F">
          <w:rPr>
            <w:vanish/>
          </w:rPr>
          <w:t>627</w:t>
        </w:r>
        <w:r w:rsidR="005E03F7" w:rsidRPr="005E03F7">
          <w:rPr>
            <w:vanish/>
          </w:rPr>
          <w:fldChar w:fldCharType="end"/>
        </w:r>
      </w:hyperlink>
    </w:p>
    <w:p w14:paraId="2B6DDDFB" w14:textId="5B6100AA" w:rsidR="005E03F7" w:rsidRDefault="005E03F7">
      <w:pPr>
        <w:pStyle w:val="TOC5"/>
        <w:rPr>
          <w:rFonts w:asciiTheme="minorHAnsi" w:eastAsiaTheme="minorEastAsia" w:hAnsiTheme="minorHAnsi" w:cstheme="minorBidi"/>
          <w:sz w:val="22"/>
          <w:szCs w:val="22"/>
          <w:lang w:eastAsia="en-AU"/>
        </w:rPr>
      </w:pPr>
      <w:r>
        <w:tab/>
      </w:r>
      <w:hyperlink w:anchor="_Toc83626227" w:history="1">
        <w:r w:rsidRPr="00D90FEA">
          <w:t>705</w:t>
        </w:r>
        <w:r>
          <w:rPr>
            <w:rFonts w:asciiTheme="minorHAnsi" w:eastAsiaTheme="minorEastAsia" w:hAnsiTheme="minorHAnsi" w:cstheme="minorBidi"/>
            <w:sz w:val="22"/>
            <w:szCs w:val="22"/>
            <w:lang w:eastAsia="en-AU"/>
          </w:rPr>
          <w:tab/>
        </w:r>
        <w:r w:rsidRPr="00D90FEA">
          <w:rPr>
            <w:rFonts w:ascii="Helvetica" w:hAnsi="Helvetica" w:cs="Helvetica"/>
          </w:rPr>
          <w:t>Guidelines for industry codes of practice</w:t>
        </w:r>
        <w:r>
          <w:tab/>
        </w:r>
        <w:r>
          <w:fldChar w:fldCharType="begin"/>
        </w:r>
        <w:r>
          <w:instrText xml:space="preserve"> PAGEREF _Toc83626227 \h </w:instrText>
        </w:r>
        <w:r>
          <w:fldChar w:fldCharType="separate"/>
        </w:r>
        <w:r w:rsidR="005C5D7F">
          <w:t>627</w:t>
        </w:r>
        <w:r>
          <w:fldChar w:fldCharType="end"/>
        </w:r>
      </w:hyperlink>
    </w:p>
    <w:p w14:paraId="30E9A9D8" w14:textId="41F1A4FA" w:rsidR="005E03F7" w:rsidRDefault="005E03F7">
      <w:pPr>
        <w:pStyle w:val="TOC5"/>
        <w:rPr>
          <w:rFonts w:asciiTheme="minorHAnsi" w:eastAsiaTheme="minorEastAsia" w:hAnsiTheme="minorHAnsi" w:cstheme="minorBidi"/>
          <w:sz w:val="22"/>
          <w:szCs w:val="22"/>
          <w:lang w:eastAsia="en-AU"/>
        </w:rPr>
      </w:pPr>
      <w:r>
        <w:tab/>
      </w:r>
      <w:hyperlink w:anchor="_Toc83626228" w:history="1">
        <w:r w:rsidRPr="00D90FEA">
          <w:t>706</w:t>
        </w:r>
        <w:r>
          <w:rPr>
            <w:rFonts w:asciiTheme="minorHAnsi" w:eastAsiaTheme="minorEastAsia" w:hAnsiTheme="minorHAnsi" w:cstheme="minorBidi"/>
            <w:sz w:val="22"/>
            <w:szCs w:val="22"/>
            <w:lang w:eastAsia="en-AU"/>
          </w:rPr>
          <w:tab/>
        </w:r>
        <w:r w:rsidRPr="00D90FEA">
          <w:rPr>
            <w:rFonts w:ascii="Helvetica" w:hAnsi="Helvetica" w:cs="Helvetica"/>
            <w:iCs/>
          </w:rPr>
          <w:t>Registration of industry codes of practice</w:t>
        </w:r>
        <w:r>
          <w:tab/>
        </w:r>
        <w:r>
          <w:fldChar w:fldCharType="begin"/>
        </w:r>
        <w:r>
          <w:instrText xml:space="preserve"> PAGEREF _Toc83626228 \h </w:instrText>
        </w:r>
        <w:r>
          <w:fldChar w:fldCharType="separate"/>
        </w:r>
        <w:r w:rsidR="005C5D7F">
          <w:t>627</w:t>
        </w:r>
        <w:r>
          <w:fldChar w:fldCharType="end"/>
        </w:r>
      </w:hyperlink>
    </w:p>
    <w:p w14:paraId="0F259E23" w14:textId="28A3756F" w:rsidR="005E03F7" w:rsidRDefault="00856BEE">
      <w:pPr>
        <w:pStyle w:val="TOC2"/>
        <w:rPr>
          <w:rFonts w:asciiTheme="minorHAnsi" w:eastAsiaTheme="minorEastAsia" w:hAnsiTheme="minorHAnsi" w:cstheme="minorBidi"/>
          <w:b w:val="0"/>
          <w:sz w:val="22"/>
          <w:szCs w:val="22"/>
          <w:lang w:eastAsia="en-AU"/>
        </w:rPr>
      </w:pPr>
      <w:hyperlink w:anchor="_Toc83626229" w:history="1">
        <w:r w:rsidR="005E03F7" w:rsidRPr="00D90FEA">
          <w:t xml:space="preserve">Part 13.3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rPr>
          <w:t>Legal proceedings</w:t>
        </w:r>
        <w:r w:rsidR="005E03F7" w:rsidRPr="005E03F7">
          <w:rPr>
            <w:vanish/>
          </w:rPr>
          <w:tab/>
        </w:r>
        <w:r w:rsidR="005E03F7" w:rsidRPr="005E03F7">
          <w:rPr>
            <w:vanish/>
          </w:rPr>
          <w:fldChar w:fldCharType="begin"/>
        </w:r>
        <w:r w:rsidR="005E03F7" w:rsidRPr="005E03F7">
          <w:rPr>
            <w:vanish/>
          </w:rPr>
          <w:instrText xml:space="preserve"> PAGEREF _Toc83626229 \h </w:instrText>
        </w:r>
        <w:r w:rsidR="005E03F7" w:rsidRPr="005E03F7">
          <w:rPr>
            <w:vanish/>
          </w:rPr>
        </w:r>
        <w:r w:rsidR="005E03F7" w:rsidRPr="005E03F7">
          <w:rPr>
            <w:vanish/>
          </w:rPr>
          <w:fldChar w:fldCharType="separate"/>
        </w:r>
        <w:r w:rsidR="005C5D7F">
          <w:rPr>
            <w:vanish/>
          </w:rPr>
          <w:t>629</w:t>
        </w:r>
        <w:r w:rsidR="005E03F7" w:rsidRPr="005E03F7">
          <w:rPr>
            <w:vanish/>
          </w:rPr>
          <w:fldChar w:fldCharType="end"/>
        </w:r>
      </w:hyperlink>
    </w:p>
    <w:p w14:paraId="31304FF3" w14:textId="0EB9E781" w:rsidR="005E03F7" w:rsidRDefault="00856BEE">
      <w:pPr>
        <w:pStyle w:val="TOC3"/>
        <w:rPr>
          <w:rFonts w:asciiTheme="minorHAnsi" w:eastAsiaTheme="minorEastAsia" w:hAnsiTheme="minorHAnsi" w:cstheme="minorBidi"/>
          <w:b w:val="0"/>
          <w:sz w:val="22"/>
          <w:szCs w:val="22"/>
          <w:lang w:eastAsia="en-AU"/>
        </w:rPr>
      </w:pPr>
      <w:hyperlink w:anchor="_Toc83626230" w:history="1">
        <w:r w:rsidR="005E03F7" w:rsidRPr="00D90FEA">
          <w:t xml:space="preserve">Division 1 </w:t>
        </w:r>
        <w:r w:rsidR="005E03F7">
          <w:rPr>
            <w:rFonts w:asciiTheme="minorHAnsi" w:eastAsiaTheme="minorEastAsia" w:hAnsiTheme="minorHAnsi" w:cstheme="minorBidi"/>
            <w:b w:val="0"/>
            <w:sz w:val="22"/>
            <w:szCs w:val="22"/>
            <w:lang w:eastAsia="en-AU"/>
          </w:rPr>
          <w:tab/>
        </w:r>
        <w:r w:rsidR="005E03F7" w:rsidRPr="00D90FEA">
          <w:t>Proceedings</w:t>
        </w:r>
        <w:r w:rsidR="005E03F7" w:rsidRPr="005E03F7">
          <w:rPr>
            <w:vanish/>
          </w:rPr>
          <w:tab/>
        </w:r>
        <w:r w:rsidR="005E03F7" w:rsidRPr="005E03F7">
          <w:rPr>
            <w:vanish/>
          </w:rPr>
          <w:fldChar w:fldCharType="begin"/>
        </w:r>
        <w:r w:rsidR="005E03F7" w:rsidRPr="005E03F7">
          <w:rPr>
            <w:vanish/>
          </w:rPr>
          <w:instrText xml:space="preserve"> PAGEREF _Toc83626230 \h </w:instrText>
        </w:r>
        <w:r w:rsidR="005E03F7" w:rsidRPr="005E03F7">
          <w:rPr>
            <w:vanish/>
          </w:rPr>
        </w:r>
        <w:r w:rsidR="005E03F7" w:rsidRPr="005E03F7">
          <w:rPr>
            <w:vanish/>
          </w:rPr>
          <w:fldChar w:fldCharType="separate"/>
        </w:r>
        <w:r w:rsidR="005C5D7F">
          <w:rPr>
            <w:vanish/>
          </w:rPr>
          <w:t>629</w:t>
        </w:r>
        <w:r w:rsidR="005E03F7" w:rsidRPr="005E03F7">
          <w:rPr>
            <w:vanish/>
          </w:rPr>
          <w:fldChar w:fldCharType="end"/>
        </w:r>
      </w:hyperlink>
    </w:p>
    <w:p w14:paraId="2577EFB3" w14:textId="57E2276C" w:rsidR="005E03F7" w:rsidRDefault="005E03F7">
      <w:pPr>
        <w:pStyle w:val="TOC5"/>
        <w:rPr>
          <w:rFonts w:asciiTheme="minorHAnsi" w:eastAsiaTheme="minorEastAsia" w:hAnsiTheme="minorHAnsi" w:cstheme="minorBidi"/>
          <w:sz w:val="22"/>
          <w:szCs w:val="22"/>
          <w:lang w:eastAsia="en-AU"/>
        </w:rPr>
      </w:pPr>
      <w:r>
        <w:tab/>
      </w:r>
      <w:hyperlink w:anchor="_Toc83626231" w:history="1">
        <w:r w:rsidRPr="00D90FEA">
          <w:t>707</w:t>
        </w:r>
        <w:r>
          <w:rPr>
            <w:rFonts w:asciiTheme="minorHAnsi" w:eastAsiaTheme="minorEastAsia" w:hAnsiTheme="minorHAnsi" w:cstheme="minorBidi"/>
            <w:sz w:val="22"/>
            <w:szCs w:val="22"/>
            <w:lang w:eastAsia="en-AU"/>
          </w:rPr>
          <w:tab/>
        </w:r>
        <w:r w:rsidRPr="00D90FEA">
          <w:rPr>
            <w:lang w:val="en" w:eastAsia="en-AU"/>
          </w:rPr>
          <w:t>Proceeding for indictable offences</w:t>
        </w:r>
        <w:r>
          <w:tab/>
        </w:r>
        <w:r>
          <w:fldChar w:fldCharType="begin"/>
        </w:r>
        <w:r>
          <w:instrText xml:space="preserve"> PAGEREF _Toc83626231 \h </w:instrText>
        </w:r>
        <w:r>
          <w:fldChar w:fldCharType="separate"/>
        </w:r>
        <w:r w:rsidR="005C5D7F">
          <w:t>629</w:t>
        </w:r>
        <w:r>
          <w:fldChar w:fldCharType="end"/>
        </w:r>
      </w:hyperlink>
    </w:p>
    <w:p w14:paraId="05337861" w14:textId="089B22EF" w:rsidR="005E03F7" w:rsidRDefault="005E03F7">
      <w:pPr>
        <w:pStyle w:val="TOC5"/>
        <w:rPr>
          <w:rFonts w:asciiTheme="minorHAnsi" w:eastAsiaTheme="minorEastAsia" w:hAnsiTheme="minorHAnsi" w:cstheme="minorBidi"/>
          <w:sz w:val="22"/>
          <w:szCs w:val="22"/>
          <w:lang w:eastAsia="en-AU"/>
        </w:rPr>
      </w:pPr>
      <w:r>
        <w:lastRenderedPageBreak/>
        <w:tab/>
      </w:r>
      <w:hyperlink w:anchor="_Toc83626232" w:history="1">
        <w:r w:rsidRPr="00D90FEA">
          <w:t>707A</w:t>
        </w:r>
        <w:r>
          <w:rPr>
            <w:rFonts w:asciiTheme="minorHAnsi" w:eastAsiaTheme="minorEastAsia" w:hAnsiTheme="minorHAnsi" w:cstheme="minorBidi"/>
            <w:sz w:val="22"/>
            <w:szCs w:val="22"/>
            <w:lang w:eastAsia="en-AU"/>
          </w:rPr>
          <w:tab/>
        </w:r>
        <w:r w:rsidRPr="00D90FEA">
          <w:rPr>
            <w:lang w:val="en" w:eastAsia="en-AU"/>
          </w:rPr>
          <w:t>Proceeding for other offences</w:t>
        </w:r>
        <w:r>
          <w:tab/>
        </w:r>
        <w:r>
          <w:fldChar w:fldCharType="begin"/>
        </w:r>
        <w:r>
          <w:instrText xml:space="preserve"> PAGEREF _Toc83626232 \h </w:instrText>
        </w:r>
        <w:r>
          <w:fldChar w:fldCharType="separate"/>
        </w:r>
        <w:r w:rsidR="005C5D7F">
          <w:t>630</w:t>
        </w:r>
        <w:r>
          <w:fldChar w:fldCharType="end"/>
        </w:r>
      </w:hyperlink>
    </w:p>
    <w:p w14:paraId="229DC641" w14:textId="229CD7E9" w:rsidR="005E03F7" w:rsidRDefault="00856BEE">
      <w:pPr>
        <w:pStyle w:val="TOC3"/>
        <w:rPr>
          <w:rFonts w:asciiTheme="minorHAnsi" w:eastAsiaTheme="minorEastAsia" w:hAnsiTheme="minorHAnsi" w:cstheme="minorBidi"/>
          <w:b w:val="0"/>
          <w:sz w:val="22"/>
          <w:szCs w:val="22"/>
          <w:lang w:eastAsia="en-AU"/>
        </w:rPr>
      </w:pPr>
      <w:hyperlink w:anchor="_Toc83626233" w:history="1">
        <w:r w:rsidR="005E03F7" w:rsidRPr="00D90FEA">
          <w:t xml:space="preserve">Division 2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iCs/>
          </w:rPr>
          <w:t>Evidence</w:t>
        </w:r>
        <w:r w:rsidR="005E03F7" w:rsidRPr="005E03F7">
          <w:rPr>
            <w:vanish/>
          </w:rPr>
          <w:tab/>
        </w:r>
        <w:r w:rsidR="005E03F7" w:rsidRPr="005E03F7">
          <w:rPr>
            <w:vanish/>
          </w:rPr>
          <w:fldChar w:fldCharType="begin"/>
        </w:r>
        <w:r w:rsidR="005E03F7" w:rsidRPr="005E03F7">
          <w:rPr>
            <w:vanish/>
          </w:rPr>
          <w:instrText xml:space="preserve"> PAGEREF _Toc83626233 \h </w:instrText>
        </w:r>
        <w:r w:rsidR="005E03F7" w:rsidRPr="005E03F7">
          <w:rPr>
            <w:vanish/>
          </w:rPr>
        </w:r>
        <w:r w:rsidR="005E03F7" w:rsidRPr="005E03F7">
          <w:rPr>
            <w:vanish/>
          </w:rPr>
          <w:fldChar w:fldCharType="separate"/>
        </w:r>
        <w:r w:rsidR="005C5D7F">
          <w:rPr>
            <w:vanish/>
          </w:rPr>
          <w:t>630</w:t>
        </w:r>
        <w:r w:rsidR="005E03F7" w:rsidRPr="005E03F7">
          <w:rPr>
            <w:vanish/>
          </w:rPr>
          <w:fldChar w:fldCharType="end"/>
        </w:r>
      </w:hyperlink>
    </w:p>
    <w:p w14:paraId="19CB7B1D" w14:textId="442BFA10" w:rsidR="005E03F7" w:rsidRDefault="005E03F7">
      <w:pPr>
        <w:pStyle w:val="TOC5"/>
        <w:rPr>
          <w:rFonts w:asciiTheme="minorHAnsi" w:eastAsiaTheme="minorEastAsia" w:hAnsiTheme="minorHAnsi" w:cstheme="minorBidi"/>
          <w:sz w:val="22"/>
          <w:szCs w:val="22"/>
          <w:lang w:eastAsia="en-AU"/>
        </w:rPr>
      </w:pPr>
      <w:r>
        <w:tab/>
      </w:r>
      <w:hyperlink w:anchor="_Toc83626234" w:history="1">
        <w:r w:rsidRPr="00D90FEA">
          <w:t>708</w:t>
        </w:r>
        <w:r>
          <w:rPr>
            <w:rFonts w:asciiTheme="minorHAnsi" w:eastAsiaTheme="minorEastAsia" w:hAnsiTheme="minorHAnsi" w:cstheme="minorBidi"/>
            <w:sz w:val="22"/>
            <w:szCs w:val="22"/>
            <w:lang w:eastAsia="en-AU"/>
          </w:rPr>
          <w:tab/>
        </w:r>
        <w:r w:rsidRPr="00D90FEA">
          <w:rPr>
            <w:rFonts w:ascii="Helvetica" w:hAnsi="Helvetica" w:cs="Helvetica"/>
            <w:iCs/>
          </w:rPr>
          <w:t>Proof of appointments unnecessary</w:t>
        </w:r>
        <w:r>
          <w:tab/>
        </w:r>
        <w:r>
          <w:fldChar w:fldCharType="begin"/>
        </w:r>
        <w:r>
          <w:instrText xml:space="preserve"> PAGEREF _Toc83626234 \h </w:instrText>
        </w:r>
        <w:r>
          <w:fldChar w:fldCharType="separate"/>
        </w:r>
        <w:r w:rsidR="005C5D7F">
          <w:t>630</w:t>
        </w:r>
        <w:r>
          <w:fldChar w:fldCharType="end"/>
        </w:r>
      </w:hyperlink>
    </w:p>
    <w:p w14:paraId="2E3ED6A9" w14:textId="22A82D0E" w:rsidR="005E03F7" w:rsidRDefault="005E03F7">
      <w:pPr>
        <w:pStyle w:val="TOC5"/>
        <w:rPr>
          <w:rFonts w:asciiTheme="minorHAnsi" w:eastAsiaTheme="minorEastAsia" w:hAnsiTheme="minorHAnsi" w:cstheme="minorBidi"/>
          <w:sz w:val="22"/>
          <w:szCs w:val="22"/>
          <w:lang w:eastAsia="en-AU"/>
        </w:rPr>
      </w:pPr>
      <w:r>
        <w:tab/>
      </w:r>
      <w:hyperlink w:anchor="_Toc83626235" w:history="1">
        <w:r w:rsidRPr="00D90FEA">
          <w:t>709</w:t>
        </w:r>
        <w:r>
          <w:rPr>
            <w:rFonts w:asciiTheme="minorHAnsi" w:eastAsiaTheme="minorEastAsia" w:hAnsiTheme="minorHAnsi" w:cstheme="minorBidi"/>
            <w:sz w:val="22"/>
            <w:szCs w:val="22"/>
            <w:lang w:eastAsia="en-AU"/>
          </w:rPr>
          <w:tab/>
        </w:r>
        <w:r w:rsidRPr="00D90FEA">
          <w:rPr>
            <w:rFonts w:ascii="Helvetica" w:hAnsi="Helvetica" w:cs="Helvetica"/>
            <w:iCs/>
          </w:rPr>
          <w:t>Proof of signatures unnecessary</w:t>
        </w:r>
        <w:r>
          <w:tab/>
        </w:r>
        <w:r>
          <w:fldChar w:fldCharType="begin"/>
        </w:r>
        <w:r>
          <w:instrText xml:space="preserve"> PAGEREF _Toc83626235 \h </w:instrText>
        </w:r>
        <w:r>
          <w:fldChar w:fldCharType="separate"/>
        </w:r>
        <w:r w:rsidR="005C5D7F">
          <w:t>630</w:t>
        </w:r>
        <w:r>
          <w:fldChar w:fldCharType="end"/>
        </w:r>
      </w:hyperlink>
    </w:p>
    <w:p w14:paraId="3BBDE40B" w14:textId="6ED52B34" w:rsidR="005E03F7" w:rsidRDefault="005E03F7">
      <w:pPr>
        <w:pStyle w:val="TOC5"/>
        <w:rPr>
          <w:rFonts w:asciiTheme="minorHAnsi" w:eastAsiaTheme="minorEastAsia" w:hAnsiTheme="minorHAnsi" w:cstheme="minorBidi"/>
          <w:sz w:val="22"/>
          <w:szCs w:val="22"/>
          <w:lang w:eastAsia="en-AU"/>
        </w:rPr>
      </w:pPr>
      <w:r>
        <w:tab/>
      </w:r>
      <w:hyperlink w:anchor="_Toc83626236" w:history="1">
        <w:r w:rsidRPr="00D90FEA">
          <w:t>709A</w:t>
        </w:r>
        <w:r>
          <w:rPr>
            <w:rFonts w:asciiTheme="minorHAnsi" w:eastAsiaTheme="minorEastAsia" w:hAnsiTheme="minorHAnsi" w:cstheme="minorBidi"/>
            <w:sz w:val="22"/>
            <w:szCs w:val="22"/>
            <w:lang w:eastAsia="en-AU"/>
          </w:rPr>
          <w:tab/>
        </w:r>
        <w:r w:rsidRPr="00D90FEA">
          <w:rPr>
            <w:lang w:eastAsia="en-AU"/>
          </w:rPr>
          <w:t>Evidence of speed</w:t>
        </w:r>
        <w:r>
          <w:tab/>
        </w:r>
        <w:r>
          <w:fldChar w:fldCharType="begin"/>
        </w:r>
        <w:r>
          <w:instrText xml:space="preserve"> PAGEREF _Toc83626236 \h </w:instrText>
        </w:r>
        <w:r>
          <w:fldChar w:fldCharType="separate"/>
        </w:r>
        <w:r w:rsidR="005C5D7F">
          <w:t>631</w:t>
        </w:r>
        <w:r>
          <w:fldChar w:fldCharType="end"/>
        </w:r>
      </w:hyperlink>
    </w:p>
    <w:p w14:paraId="7EE23AE1" w14:textId="75B59DDC" w:rsidR="005E03F7" w:rsidRDefault="005E03F7">
      <w:pPr>
        <w:pStyle w:val="TOC5"/>
        <w:rPr>
          <w:rFonts w:asciiTheme="minorHAnsi" w:eastAsiaTheme="minorEastAsia" w:hAnsiTheme="minorHAnsi" w:cstheme="minorBidi"/>
          <w:sz w:val="22"/>
          <w:szCs w:val="22"/>
          <w:lang w:eastAsia="en-AU"/>
        </w:rPr>
      </w:pPr>
      <w:r>
        <w:tab/>
      </w:r>
      <w:hyperlink w:anchor="_Toc83626237" w:history="1">
        <w:r w:rsidRPr="00D90FEA">
          <w:t>710</w:t>
        </w:r>
        <w:r>
          <w:rPr>
            <w:rFonts w:asciiTheme="minorHAnsi" w:eastAsiaTheme="minorEastAsia" w:hAnsiTheme="minorHAnsi" w:cstheme="minorBidi"/>
            <w:sz w:val="22"/>
            <w:szCs w:val="22"/>
            <w:lang w:eastAsia="en-AU"/>
          </w:rPr>
          <w:tab/>
        </w:r>
        <w:r w:rsidRPr="00D90FEA">
          <w:rPr>
            <w:rFonts w:ascii="Helvetica" w:hAnsi="Helvetica" w:cs="Helvetica"/>
            <w:iCs/>
          </w:rPr>
          <w:t>Averments</w:t>
        </w:r>
        <w:r>
          <w:tab/>
        </w:r>
        <w:r>
          <w:fldChar w:fldCharType="begin"/>
        </w:r>
        <w:r>
          <w:instrText xml:space="preserve"> PAGEREF _Toc83626237 \h </w:instrText>
        </w:r>
        <w:r>
          <w:fldChar w:fldCharType="separate"/>
        </w:r>
        <w:r w:rsidR="005C5D7F">
          <w:t>631</w:t>
        </w:r>
        <w:r>
          <w:fldChar w:fldCharType="end"/>
        </w:r>
      </w:hyperlink>
    </w:p>
    <w:p w14:paraId="47F9D57B" w14:textId="2809F9F2" w:rsidR="005E03F7" w:rsidRDefault="005E03F7">
      <w:pPr>
        <w:pStyle w:val="TOC5"/>
        <w:rPr>
          <w:rFonts w:asciiTheme="minorHAnsi" w:eastAsiaTheme="minorEastAsia" w:hAnsiTheme="minorHAnsi" w:cstheme="minorBidi"/>
          <w:sz w:val="22"/>
          <w:szCs w:val="22"/>
          <w:lang w:eastAsia="en-AU"/>
        </w:rPr>
      </w:pPr>
      <w:r>
        <w:tab/>
      </w:r>
      <w:hyperlink w:anchor="_Toc83626238" w:history="1">
        <w:r w:rsidRPr="00D90FEA">
          <w:t>711</w:t>
        </w:r>
        <w:r>
          <w:rPr>
            <w:rFonts w:asciiTheme="minorHAnsi" w:eastAsiaTheme="minorEastAsia" w:hAnsiTheme="minorHAnsi" w:cstheme="minorBidi"/>
            <w:sz w:val="22"/>
            <w:szCs w:val="22"/>
            <w:lang w:eastAsia="en-AU"/>
          </w:rPr>
          <w:tab/>
        </w:r>
        <w:r w:rsidRPr="00D90FEA">
          <w:rPr>
            <w:rFonts w:ascii="Helvetica" w:hAnsi="Helvetica" w:cs="Helvetica"/>
            <w:iCs/>
          </w:rPr>
          <w:t>Evidence by certificate by Regulator generally</w:t>
        </w:r>
        <w:r>
          <w:tab/>
        </w:r>
        <w:r>
          <w:fldChar w:fldCharType="begin"/>
        </w:r>
        <w:r>
          <w:instrText xml:space="preserve"> PAGEREF _Toc83626238 \h </w:instrText>
        </w:r>
        <w:r>
          <w:fldChar w:fldCharType="separate"/>
        </w:r>
        <w:r w:rsidR="005C5D7F">
          <w:t>633</w:t>
        </w:r>
        <w:r>
          <w:fldChar w:fldCharType="end"/>
        </w:r>
      </w:hyperlink>
    </w:p>
    <w:p w14:paraId="567FA061" w14:textId="712EEAF8" w:rsidR="005E03F7" w:rsidRDefault="005E03F7">
      <w:pPr>
        <w:pStyle w:val="TOC5"/>
        <w:rPr>
          <w:rFonts w:asciiTheme="minorHAnsi" w:eastAsiaTheme="minorEastAsia" w:hAnsiTheme="minorHAnsi" w:cstheme="minorBidi"/>
          <w:sz w:val="22"/>
          <w:szCs w:val="22"/>
          <w:lang w:eastAsia="en-AU"/>
        </w:rPr>
      </w:pPr>
      <w:r>
        <w:tab/>
      </w:r>
      <w:hyperlink w:anchor="_Toc83626239" w:history="1">
        <w:r w:rsidRPr="00D90FEA">
          <w:t>712</w:t>
        </w:r>
        <w:r>
          <w:rPr>
            <w:rFonts w:asciiTheme="minorHAnsi" w:eastAsiaTheme="minorEastAsia" w:hAnsiTheme="minorHAnsi" w:cstheme="minorBidi"/>
            <w:sz w:val="22"/>
            <w:szCs w:val="22"/>
            <w:lang w:eastAsia="en-AU"/>
          </w:rPr>
          <w:tab/>
        </w:r>
        <w:r w:rsidRPr="00D90FEA">
          <w:rPr>
            <w:rFonts w:ascii="Helvetica" w:hAnsi="Helvetica" w:cs="Helvetica"/>
            <w:iCs/>
          </w:rPr>
          <w:t>Evidence by certificate by road authority</w:t>
        </w:r>
        <w:r>
          <w:tab/>
        </w:r>
        <w:r>
          <w:fldChar w:fldCharType="begin"/>
        </w:r>
        <w:r>
          <w:instrText xml:space="preserve"> PAGEREF _Toc83626239 \h </w:instrText>
        </w:r>
        <w:r>
          <w:fldChar w:fldCharType="separate"/>
        </w:r>
        <w:r w:rsidR="005C5D7F">
          <w:t>635</w:t>
        </w:r>
        <w:r>
          <w:fldChar w:fldCharType="end"/>
        </w:r>
      </w:hyperlink>
    </w:p>
    <w:p w14:paraId="79389B20" w14:textId="57BE994E" w:rsidR="005E03F7" w:rsidRDefault="005E03F7">
      <w:pPr>
        <w:pStyle w:val="TOC5"/>
        <w:rPr>
          <w:rFonts w:asciiTheme="minorHAnsi" w:eastAsiaTheme="minorEastAsia" w:hAnsiTheme="minorHAnsi" w:cstheme="minorBidi"/>
          <w:sz w:val="22"/>
          <w:szCs w:val="22"/>
          <w:lang w:eastAsia="en-AU"/>
        </w:rPr>
      </w:pPr>
      <w:r>
        <w:tab/>
      </w:r>
      <w:hyperlink w:anchor="_Toc83626240" w:history="1">
        <w:r w:rsidRPr="00D90FEA">
          <w:t>713</w:t>
        </w:r>
        <w:r>
          <w:rPr>
            <w:rFonts w:asciiTheme="minorHAnsi" w:eastAsiaTheme="minorEastAsia" w:hAnsiTheme="minorHAnsi" w:cstheme="minorBidi"/>
            <w:sz w:val="22"/>
            <w:szCs w:val="22"/>
            <w:lang w:eastAsia="en-AU"/>
          </w:rPr>
          <w:tab/>
        </w:r>
        <w:r w:rsidRPr="00D90FEA">
          <w:rPr>
            <w:rFonts w:ascii="Helvetica" w:hAnsi="Helvetica" w:cs="Helvetica"/>
            <w:iCs/>
          </w:rPr>
          <w:t>Evidence by certificate by Regulator about matters stated in or worked out from records</w:t>
        </w:r>
        <w:r>
          <w:tab/>
        </w:r>
        <w:r>
          <w:fldChar w:fldCharType="begin"/>
        </w:r>
        <w:r>
          <w:instrText xml:space="preserve"> PAGEREF _Toc83626240 \h </w:instrText>
        </w:r>
        <w:r>
          <w:fldChar w:fldCharType="separate"/>
        </w:r>
        <w:r w:rsidR="005C5D7F">
          <w:t>637</w:t>
        </w:r>
        <w:r>
          <w:fldChar w:fldCharType="end"/>
        </w:r>
      </w:hyperlink>
    </w:p>
    <w:p w14:paraId="0BA41E6D" w14:textId="7D4C7EFE" w:rsidR="005E03F7" w:rsidRDefault="005E03F7">
      <w:pPr>
        <w:pStyle w:val="TOC5"/>
        <w:rPr>
          <w:rFonts w:asciiTheme="minorHAnsi" w:eastAsiaTheme="minorEastAsia" w:hAnsiTheme="minorHAnsi" w:cstheme="minorBidi"/>
          <w:sz w:val="22"/>
          <w:szCs w:val="22"/>
          <w:lang w:eastAsia="en-AU"/>
        </w:rPr>
      </w:pPr>
      <w:r>
        <w:tab/>
      </w:r>
      <w:hyperlink w:anchor="_Toc83626241" w:history="1">
        <w:r w:rsidRPr="00D90FEA">
          <w:t>714</w:t>
        </w:r>
        <w:r>
          <w:rPr>
            <w:rFonts w:asciiTheme="minorHAnsi" w:eastAsiaTheme="minorEastAsia" w:hAnsiTheme="minorHAnsi" w:cstheme="minorBidi"/>
            <w:sz w:val="22"/>
            <w:szCs w:val="22"/>
            <w:lang w:eastAsia="en-AU"/>
          </w:rPr>
          <w:tab/>
        </w:r>
        <w:r w:rsidRPr="00D90FEA">
          <w:rPr>
            <w:rFonts w:ascii="Helvetica" w:hAnsi="Helvetica" w:cs="Helvetica"/>
            <w:iCs/>
          </w:rPr>
          <w:t>Evidence by certificate by authorised officer about instruments</w:t>
        </w:r>
        <w:r>
          <w:tab/>
        </w:r>
        <w:r>
          <w:fldChar w:fldCharType="begin"/>
        </w:r>
        <w:r>
          <w:instrText xml:space="preserve"> PAGEREF _Toc83626241 \h </w:instrText>
        </w:r>
        <w:r>
          <w:fldChar w:fldCharType="separate"/>
        </w:r>
        <w:r w:rsidR="005C5D7F">
          <w:t>638</w:t>
        </w:r>
        <w:r>
          <w:fldChar w:fldCharType="end"/>
        </w:r>
      </w:hyperlink>
    </w:p>
    <w:p w14:paraId="3230028E" w14:textId="18945155" w:rsidR="005E03F7" w:rsidRDefault="005E03F7">
      <w:pPr>
        <w:pStyle w:val="TOC5"/>
        <w:rPr>
          <w:rFonts w:asciiTheme="minorHAnsi" w:eastAsiaTheme="minorEastAsia" w:hAnsiTheme="minorHAnsi" w:cstheme="minorBidi"/>
          <w:sz w:val="22"/>
          <w:szCs w:val="22"/>
          <w:lang w:eastAsia="en-AU"/>
        </w:rPr>
      </w:pPr>
      <w:r>
        <w:tab/>
      </w:r>
      <w:hyperlink w:anchor="_Toc83626242" w:history="1">
        <w:r w:rsidRPr="00D90FEA">
          <w:t>715</w:t>
        </w:r>
        <w:r>
          <w:rPr>
            <w:rFonts w:asciiTheme="minorHAnsi" w:eastAsiaTheme="minorEastAsia" w:hAnsiTheme="minorHAnsi" w:cstheme="minorBidi"/>
            <w:sz w:val="22"/>
            <w:szCs w:val="22"/>
            <w:lang w:eastAsia="en-AU"/>
          </w:rPr>
          <w:tab/>
        </w:r>
        <w:r w:rsidRPr="00D90FEA">
          <w:rPr>
            <w:rFonts w:ascii="Helvetica" w:hAnsi="Helvetica" w:cs="Helvetica"/>
            <w:iCs/>
          </w:rPr>
          <w:t>Challenging evidence by certificate</w:t>
        </w:r>
        <w:r>
          <w:tab/>
        </w:r>
        <w:r>
          <w:fldChar w:fldCharType="begin"/>
        </w:r>
        <w:r>
          <w:instrText xml:space="preserve"> PAGEREF _Toc83626242 \h </w:instrText>
        </w:r>
        <w:r>
          <w:fldChar w:fldCharType="separate"/>
        </w:r>
        <w:r w:rsidR="005C5D7F">
          <w:t>639</w:t>
        </w:r>
        <w:r>
          <w:fldChar w:fldCharType="end"/>
        </w:r>
      </w:hyperlink>
    </w:p>
    <w:p w14:paraId="76DEDBF2" w14:textId="74D7E555" w:rsidR="005E03F7" w:rsidRDefault="005E03F7">
      <w:pPr>
        <w:pStyle w:val="TOC5"/>
        <w:rPr>
          <w:rFonts w:asciiTheme="minorHAnsi" w:eastAsiaTheme="minorEastAsia" w:hAnsiTheme="minorHAnsi" w:cstheme="minorBidi"/>
          <w:sz w:val="22"/>
          <w:szCs w:val="22"/>
          <w:lang w:eastAsia="en-AU"/>
        </w:rPr>
      </w:pPr>
      <w:r>
        <w:tab/>
      </w:r>
      <w:hyperlink w:anchor="_Toc83626243" w:history="1">
        <w:r w:rsidRPr="00D90FEA">
          <w:t>715A</w:t>
        </w:r>
        <w:r>
          <w:rPr>
            <w:rFonts w:asciiTheme="minorHAnsi" w:eastAsiaTheme="minorEastAsia" w:hAnsiTheme="minorHAnsi" w:cstheme="minorBidi"/>
            <w:sz w:val="22"/>
            <w:szCs w:val="22"/>
            <w:lang w:eastAsia="en-AU"/>
          </w:rPr>
          <w:tab/>
        </w:r>
        <w:r w:rsidRPr="00D90FEA">
          <w:rPr>
            <w:lang w:eastAsia="en-AU"/>
          </w:rPr>
          <w:t xml:space="preserve">Evidence of contents of document examined by </w:t>
        </w:r>
        <w:r w:rsidRPr="00D90FEA">
          <w:rPr>
            <w:rFonts w:ascii="Helvetica-Bold" w:hAnsi="Helvetica-Bold" w:cs="Helvetica-Bold"/>
            <w:bCs/>
            <w:lang w:eastAsia="en-AU"/>
          </w:rPr>
          <w:t>authorised officer</w:t>
        </w:r>
        <w:r>
          <w:tab/>
        </w:r>
        <w:r>
          <w:fldChar w:fldCharType="begin"/>
        </w:r>
        <w:r>
          <w:instrText xml:space="preserve"> PAGEREF _Toc83626243 \h </w:instrText>
        </w:r>
        <w:r>
          <w:fldChar w:fldCharType="separate"/>
        </w:r>
        <w:r w:rsidR="005C5D7F">
          <w:t>640</w:t>
        </w:r>
        <w:r>
          <w:fldChar w:fldCharType="end"/>
        </w:r>
      </w:hyperlink>
    </w:p>
    <w:p w14:paraId="5EA8D55D" w14:textId="06AEA214" w:rsidR="005E03F7" w:rsidRDefault="005E03F7">
      <w:pPr>
        <w:pStyle w:val="TOC5"/>
        <w:rPr>
          <w:rFonts w:asciiTheme="minorHAnsi" w:eastAsiaTheme="minorEastAsia" w:hAnsiTheme="minorHAnsi" w:cstheme="minorBidi"/>
          <w:sz w:val="22"/>
          <w:szCs w:val="22"/>
          <w:lang w:eastAsia="en-AU"/>
        </w:rPr>
      </w:pPr>
      <w:r>
        <w:tab/>
      </w:r>
      <w:hyperlink w:anchor="_Toc83626244" w:history="1">
        <w:r w:rsidRPr="00D90FEA">
          <w:t>716</w:t>
        </w:r>
        <w:r>
          <w:rPr>
            <w:rFonts w:asciiTheme="minorHAnsi" w:eastAsiaTheme="minorEastAsia" w:hAnsiTheme="minorHAnsi" w:cstheme="minorBidi"/>
            <w:sz w:val="22"/>
            <w:szCs w:val="22"/>
            <w:lang w:eastAsia="en-AU"/>
          </w:rPr>
          <w:tab/>
        </w:r>
        <w:r w:rsidRPr="00D90FEA">
          <w:rPr>
            <w:rFonts w:ascii="Helvetica" w:hAnsi="Helvetica" w:cs="Helvetica"/>
            <w:iCs/>
          </w:rPr>
          <w:t>Evidence by record about mass</w:t>
        </w:r>
        <w:r>
          <w:tab/>
        </w:r>
        <w:r>
          <w:fldChar w:fldCharType="begin"/>
        </w:r>
        <w:r>
          <w:instrText xml:space="preserve"> PAGEREF _Toc83626244 \h </w:instrText>
        </w:r>
        <w:r>
          <w:fldChar w:fldCharType="separate"/>
        </w:r>
        <w:r w:rsidR="005C5D7F">
          <w:t>640</w:t>
        </w:r>
        <w:r>
          <w:fldChar w:fldCharType="end"/>
        </w:r>
      </w:hyperlink>
    </w:p>
    <w:p w14:paraId="0E0E33C5" w14:textId="13241C63" w:rsidR="005E03F7" w:rsidRDefault="005E03F7">
      <w:pPr>
        <w:pStyle w:val="TOC5"/>
        <w:rPr>
          <w:rFonts w:asciiTheme="minorHAnsi" w:eastAsiaTheme="minorEastAsia" w:hAnsiTheme="minorHAnsi" w:cstheme="minorBidi"/>
          <w:sz w:val="22"/>
          <w:szCs w:val="22"/>
          <w:lang w:eastAsia="en-AU"/>
        </w:rPr>
      </w:pPr>
      <w:r>
        <w:tab/>
      </w:r>
      <w:hyperlink w:anchor="_Toc83626245" w:history="1">
        <w:r w:rsidRPr="00D90FEA">
          <w:t>717</w:t>
        </w:r>
        <w:r>
          <w:rPr>
            <w:rFonts w:asciiTheme="minorHAnsi" w:eastAsiaTheme="minorEastAsia" w:hAnsiTheme="minorHAnsi" w:cstheme="minorBidi"/>
            <w:sz w:val="22"/>
            <w:szCs w:val="22"/>
            <w:lang w:eastAsia="en-AU"/>
          </w:rPr>
          <w:tab/>
        </w:r>
        <w:r w:rsidRPr="00D90FEA">
          <w:rPr>
            <w:rFonts w:ascii="Helvetica" w:hAnsi="Helvetica" w:cs="Helvetica"/>
            <w:iCs/>
          </w:rPr>
          <w:t>Manufacturer’s statements</w:t>
        </w:r>
        <w:r>
          <w:tab/>
        </w:r>
        <w:r>
          <w:fldChar w:fldCharType="begin"/>
        </w:r>
        <w:r>
          <w:instrText xml:space="preserve"> PAGEREF _Toc83626245 \h </w:instrText>
        </w:r>
        <w:r>
          <w:fldChar w:fldCharType="separate"/>
        </w:r>
        <w:r w:rsidR="005C5D7F">
          <w:t>640</w:t>
        </w:r>
        <w:r>
          <w:fldChar w:fldCharType="end"/>
        </w:r>
      </w:hyperlink>
    </w:p>
    <w:p w14:paraId="51E4BE05" w14:textId="0D73BB3C" w:rsidR="005E03F7" w:rsidRDefault="005E03F7">
      <w:pPr>
        <w:pStyle w:val="TOC5"/>
        <w:rPr>
          <w:rFonts w:asciiTheme="minorHAnsi" w:eastAsiaTheme="minorEastAsia" w:hAnsiTheme="minorHAnsi" w:cstheme="minorBidi"/>
          <w:sz w:val="22"/>
          <w:szCs w:val="22"/>
          <w:lang w:eastAsia="en-AU"/>
        </w:rPr>
      </w:pPr>
      <w:r>
        <w:tab/>
      </w:r>
      <w:hyperlink w:anchor="_Toc83626246" w:history="1">
        <w:r w:rsidRPr="00D90FEA">
          <w:t>718</w:t>
        </w:r>
        <w:r>
          <w:rPr>
            <w:rFonts w:asciiTheme="minorHAnsi" w:eastAsiaTheme="minorEastAsia" w:hAnsiTheme="minorHAnsi" w:cstheme="minorBidi"/>
            <w:sz w:val="22"/>
            <w:szCs w:val="22"/>
            <w:lang w:eastAsia="en-AU"/>
          </w:rPr>
          <w:tab/>
        </w:r>
        <w:r w:rsidRPr="00D90FEA">
          <w:rPr>
            <w:rFonts w:ascii="Helvetica" w:hAnsi="Helvetica" w:cs="Helvetica"/>
            <w:iCs/>
          </w:rPr>
          <w:t>Measurement of weight on tyre</w:t>
        </w:r>
        <w:r>
          <w:tab/>
        </w:r>
        <w:r>
          <w:fldChar w:fldCharType="begin"/>
        </w:r>
        <w:r>
          <w:instrText xml:space="preserve"> PAGEREF _Toc83626246 \h </w:instrText>
        </w:r>
        <w:r>
          <w:fldChar w:fldCharType="separate"/>
        </w:r>
        <w:r w:rsidR="005C5D7F">
          <w:t>641</w:t>
        </w:r>
        <w:r>
          <w:fldChar w:fldCharType="end"/>
        </w:r>
      </w:hyperlink>
    </w:p>
    <w:p w14:paraId="4F5A9B29" w14:textId="24FE8E5A" w:rsidR="005E03F7" w:rsidRDefault="005E03F7">
      <w:pPr>
        <w:pStyle w:val="TOC5"/>
        <w:rPr>
          <w:rFonts w:asciiTheme="minorHAnsi" w:eastAsiaTheme="minorEastAsia" w:hAnsiTheme="minorHAnsi" w:cstheme="minorBidi"/>
          <w:sz w:val="22"/>
          <w:szCs w:val="22"/>
          <w:lang w:eastAsia="en-AU"/>
        </w:rPr>
      </w:pPr>
      <w:r>
        <w:tab/>
      </w:r>
      <w:hyperlink w:anchor="_Toc83626247" w:history="1">
        <w:r w:rsidRPr="00D90FEA">
          <w:t>719</w:t>
        </w:r>
        <w:r>
          <w:rPr>
            <w:rFonts w:asciiTheme="minorHAnsi" w:eastAsiaTheme="minorEastAsia" w:hAnsiTheme="minorHAnsi" w:cstheme="minorBidi"/>
            <w:sz w:val="22"/>
            <w:szCs w:val="22"/>
            <w:lang w:eastAsia="en-AU"/>
          </w:rPr>
          <w:tab/>
        </w:r>
        <w:r w:rsidRPr="00D90FEA">
          <w:rPr>
            <w:rFonts w:ascii="Helvetica" w:hAnsi="Helvetica" w:cs="Helvetica"/>
            <w:iCs/>
          </w:rPr>
          <w:t>Transport and journey documentation</w:t>
        </w:r>
        <w:r>
          <w:tab/>
        </w:r>
        <w:r>
          <w:fldChar w:fldCharType="begin"/>
        </w:r>
        <w:r>
          <w:instrText xml:space="preserve"> PAGEREF _Toc83626247 \h </w:instrText>
        </w:r>
        <w:r>
          <w:fldChar w:fldCharType="separate"/>
        </w:r>
        <w:r w:rsidR="005C5D7F">
          <w:t>641</w:t>
        </w:r>
        <w:r>
          <w:fldChar w:fldCharType="end"/>
        </w:r>
      </w:hyperlink>
    </w:p>
    <w:p w14:paraId="61FF4976" w14:textId="2041BAF7" w:rsidR="005E03F7" w:rsidRDefault="005E03F7">
      <w:pPr>
        <w:pStyle w:val="TOC5"/>
        <w:rPr>
          <w:rFonts w:asciiTheme="minorHAnsi" w:eastAsiaTheme="minorEastAsia" w:hAnsiTheme="minorHAnsi" w:cstheme="minorBidi"/>
          <w:sz w:val="22"/>
          <w:szCs w:val="22"/>
          <w:lang w:eastAsia="en-AU"/>
        </w:rPr>
      </w:pPr>
      <w:r>
        <w:tab/>
      </w:r>
      <w:hyperlink w:anchor="_Toc83626248" w:history="1">
        <w:r w:rsidRPr="00D90FEA">
          <w:t>720</w:t>
        </w:r>
        <w:r>
          <w:rPr>
            <w:rFonts w:asciiTheme="minorHAnsi" w:eastAsiaTheme="minorEastAsia" w:hAnsiTheme="minorHAnsi" w:cstheme="minorBidi"/>
            <w:sz w:val="22"/>
            <w:szCs w:val="22"/>
            <w:lang w:eastAsia="en-AU"/>
          </w:rPr>
          <w:tab/>
        </w:r>
        <w:r w:rsidRPr="00D90FEA">
          <w:rPr>
            <w:rFonts w:ascii="Helvetica" w:hAnsi="Helvetica" w:cs="Helvetica"/>
            <w:iCs/>
          </w:rPr>
          <w:t>Evidence not affected by nature of vehicle</w:t>
        </w:r>
        <w:r>
          <w:tab/>
        </w:r>
        <w:r>
          <w:fldChar w:fldCharType="begin"/>
        </w:r>
        <w:r>
          <w:instrText xml:space="preserve"> PAGEREF _Toc83626248 \h </w:instrText>
        </w:r>
        <w:r>
          <w:fldChar w:fldCharType="separate"/>
        </w:r>
        <w:r w:rsidR="005C5D7F">
          <w:t>642</w:t>
        </w:r>
        <w:r>
          <w:fldChar w:fldCharType="end"/>
        </w:r>
      </w:hyperlink>
    </w:p>
    <w:p w14:paraId="19B21E58" w14:textId="40C9FB19" w:rsidR="005E03F7" w:rsidRDefault="005E03F7">
      <w:pPr>
        <w:pStyle w:val="TOC5"/>
        <w:rPr>
          <w:rFonts w:asciiTheme="minorHAnsi" w:eastAsiaTheme="minorEastAsia" w:hAnsiTheme="minorHAnsi" w:cstheme="minorBidi"/>
          <w:sz w:val="22"/>
          <w:szCs w:val="22"/>
          <w:lang w:eastAsia="en-AU"/>
        </w:rPr>
      </w:pPr>
      <w:r>
        <w:tab/>
      </w:r>
      <w:hyperlink w:anchor="_Toc83626249" w:history="1">
        <w:r w:rsidRPr="00D90FEA">
          <w:t>721</w:t>
        </w:r>
        <w:r>
          <w:rPr>
            <w:rFonts w:asciiTheme="minorHAnsi" w:eastAsiaTheme="minorEastAsia" w:hAnsiTheme="minorHAnsi" w:cstheme="minorBidi"/>
            <w:sz w:val="22"/>
            <w:szCs w:val="22"/>
            <w:lang w:eastAsia="en-AU"/>
          </w:rPr>
          <w:tab/>
        </w:r>
        <w:r w:rsidRPr="00D90FEA">
          <w:rPr>
            <w:rFonts w:ascii="Helvetica" w:hAnsi="Helvetica" w:cs="Helvetica"/>
            <w:iCs/>
          </w:rPr>
          <w:t>Certificates of TCA</w:t>
        </w:r>
        <w:r>
          <w:tab/>
        </w:r>
        <w:r>
          <w:fldChar w:fldCharType="begin"/>
        </w:r>
        <w:r>
          <w:instrText xml:space="preserve"> PAGEREF _Toc83626249 \h </w:instrText>
        </w:r>
        <w:r>
          <w:fldChar w:fldCharType="separate"/>
        </w:r>
        <w:r w:rsidR="005C5D7F">
          <w:t>643</w:t>
        </w:r>
        <w:r>
          <w:fldChar w:fldCharType="end"/>
        </w:r>
      </w:hyperlink>
    </w:p>
    <w:p w14:paraId="6142CDB7" w14:textId="7BE0C12B" w:rsidR="005E03F7" w:rsidRDefault="005E03F7">
      <w:pPr>
        <w:pStyle w:val="TOC5"/>
        <w:rPr>
          <w:rFonts w:asciiTheme="minorHAnsi" w:eastAsiaTheme="minorEastAsia" w:hAnsiTheme="minorHAnsi" w:cstheme="minorBidi"/>
          <w:sz w:val="22"/>
          <w:szCs w:val="22"/>
          <w:lang w:eastAsia="en-AU"/>
        </w:rPr>
      </w:pPr>
      <w:r>
        <w:tab/>
      </w:r>
      <w:hyperlink w:anchor="_Toc83626250" w:history="1">
        <w:r w:rsidRPr="00D90FEA">
          <w:t>722</w:t>
        </w:r>
        <w:r>
          <w:rPr>
            <w:rFonts w:asciiTheme="minorHAnsi" w:eastAsiaTheme="minorEastAsia" w:hAnsiTheme="minorHAnsi" w:cstheme="minorBidi"/>
            <w:sz w:val="22"/>
            <w:szCs w:val="22"/>
            <w:lang w:eastAsia="en-AU"/>
          </w:rPr>
          <w:tab/>
        </w:r>
        <w:r w:rsidRPr="00D90FEA">
          <w:rPr>
            <w:rFonts w:ascii="Helvetica" w:hAnsi="Helvetica" w:cs="Helvetica"/>
            <w:iCs/>
          </w:rPr>
          <w:t>Approved intelligent transport system</w:t>
        </w:r>
        <w:r>
          <w:tab/>
        </w:r>
        <w:r>
          <w:fldChar w:fldCharType="begin"/>
        </w:r>
        <w:r>
          <w:instrText xml:space="preserve"> PAGEREF _Toc83626250 \h </w:instrText>
        </w:r>
        <w:r>
          <w:fldChar w:fldCharType="separate"/>
        </w:r>
        <w:r w:rsidR="005C5D7F">
          <w:t>643</w:t>
        </w:r>
        <w:r>
          <w:fldChar w:fldCharType="end"/>
        </w:r>
      </w:hyperlink>
    </w:p>
    <w:p w14:paraId="5ADAC4B7" w14:textId="4F185A90" w:rsidR="005E03F7" w:rsidRDefault="005E03F7">
      <w:pPr>
        <w:pStyle w:val="TOC5"/>
        <w:rPr>
          <w:rFonts w:asciiTheme="minorHAnsi" w:eastAsiaTheme="minorEastAsia" w:hAnsiTheme="minorHAnsi" w:cstheme="minorBidi"/>
          <w:sz w:val="22"/>
          <w:szCs w:val="22"/>
          <w:lang w:eastAsia="en-AU"/>
        </w:rPr>
      </w:pPr>
      <w:r>
        <w:tab/>
      </w:r>
      <w:hyperlink w:anchor="_Toc83626251" w:history="1">
        <w:r w:rsidRPr="00D90FEA">
          <w:t>723</w:t>
        </w:r>
        <w:r>
          <w:rPr>
            <w:rFonts w:asciiTheme="minorHAnsi" w:eastAsiaTheme="minorEastAsia" w:hAnsiTheme="minorHAnsi" w:cstheme="minorBidi"/>
            <w:sz w:val="22"/>
            <w:szCs w:val="22"/>
            <w:lang w:eastAsia="en-AU"/>
          </w:rPr>
          <w:tab/>
        </w:r>
        <w:r w:rsidRPr="00D90FEA">
          <w:rPr>
            <w:rFonts w:ascii="Helvetica" w:hAnsi="Helvetica" w:cs="Helvetica"/>
            <w:iCs/>
          </w:rPr>
          <w:t>Evidence as to intelligent access map</w:t>
        </w:r>
        <w:r>
          <w:tab/>
        </w:r>
        <w:r>
          <w:fldChar w:fldCharType="begin"/>
        </w:r>
        <w:r>
          <w:instrText xml:space="preserve"> PAGEREF _Toc83626251 \h </w:instrText>
        </w:r>
        <w:r>
          <w:fldChar w:fldCharType="separate"/>
        </w:r>
        <w:r w:rsidR="005C5D7F">
          <w:t>645</w:t>
        </w:r>
        <w:r>
          <w:fldChar w:fldCharType="end"/>
        </w:r>
      </w:hyperlink>
    </w:p>
    <w:p w14:paraId="15B97527" w14:textId="51F46858" w:rsidR="005E03F7" w:rsidRDefault="005E03F7">
      <w:pPr>
        <w:pStyle w:val="TOC5"/>
        <w:rPr>
          <w:rFonts w:asciiTheme="minorHAnsi" w:eastAsiaTheme="minorEastAsia" w:hAnsiTheme="minorHAnsi" w:cstheme="minorBidi"/>
          <w:sz w:val="22"/>
          <w:szCs w:val="22"/>
          <w:lang w:eastAsia="en-AU"/>
        </w:rPr>
      </w:pPr>
      <w:r>
        <w:tab/>
      </w:r>
      <w:hyperlink w:anchor="_Toc83626252" w:history="1">
        <w:r w:rsidRPr="00D90FEA">
          <w:t>724</w:t>
        </w:r>
        <w:r>
          <w:rPr>
            <w:rFonts w:asciiTheme="minorHAnsi" w:eastAsiaTheme="minorEastAsia" w:hAnsiTheme="minorHAnsi" w:cstheme="minorBidi"/>
            <w:sz w:val="22"/>
            <w:szCs w:val="22"/>
            <w:lang w:eastAsia="en-AU"/>
          </w:rPr>
          <w:tab/>
        </w:r>
        <w:r w:rsidRPr="00D90FEA">
          <w:rPr>
            <w:rFonts w:ascii="Helvetica" w:hAnsi="Helvetica" w:cs="Helvetica"/>
            <w:iCs/>
          </w:rPr>
          <w:t>Reports and statements made by approved intelligent transport system</w:t>
        </w:r>
        <w:r>
          <w:tab/>
        </w:r>
        <w:r>
          <w:fldChar w:fldCharType="begin"/>
        </w:r>
        <w:r>
          <w:instrText xml:space="preserve"> PAGEREF _Toc83626252 \h </w:instrText>
        </w:r>
        <w:r>
          <w:fldChar w:fldCharType="separate"/>
        </w:r>
        <w:r w:rsidR="005C5D7F">
          <w:t>645</w:t>
        </w:r>
        <w:r>
          <w:fldChar w:fldCharType="end"/>
        </w:r>
      </w:hyperlink>
    </w:p>
    <w:p w14:paraId="06D01663" w14:textId="24B882E6" w:rsidR="005E03F7" w:rsidRDefault="005E03F7">
      <w:pPr>
        <w:pStyle w:val="TOC5"/>
        <w:rPr>
          <w:rFonts w:asciiTheme="minorHAnsi" w:eastAsiaTheme="minorEastAsia" w:hAnsiTheme="minorHAnsi" w:cstheme="minorBidi"/>
          <w:sz w:val="22"/>
          <w:szCs w:val="22"/>
          <w:lang w:eastAsia="en-AU"/>
        </w:rPr>
      </w:pPr>
      <w:r>
        <w:tab/>
      </w:r>
      <w:hyperlink w:anchor="_Toc83626253" w:history="1">
        <w:r w:rsidRPr="00D90FEA">
          <w:t>725</w:t>
        </w:r>
        <w:r>
          <w:rPr>
            <w:rFonts w:asciiTheme="minorHAnsi" w:eastAsiaTheme="minorEastAsia" w:hAnsiTheme="minorHAnsi" w:cstheme="minorBidi"/>
            <w:sz w:val="22"/>
            <w:szCs w:val="22"/>
            <w:lang w:eastAsia="en-AU"/>
          </w:rPr>
          <w:tab/>
        </w:r>
        <w:r w:rsidRPr="00D90FEA">
          <w:rPr>
            <w:rFonts w:ascii="Helvetica" w:hAnsi="Helvetica" w:cs="Helvetica"/>
            <w:iCs/>
          </w:rPr>
          <w:t>Documents produced by an approved electronic recording system</w:t>
        </w:r>
        <w:r>
          <w:tab/>
        </w:r>
        <w:r>
          <w:fldChar w:fldCharType="begin"/>
        </w:r>
        <w:r>
          <w:instrText xml:space="preserve"> PAGEREF _Toc83626253 \h </w:instrText>
        </w:r>
        <w:r>
          <w:fldChar w:fldCharType="separate"/>
        </w:r>
        <w:r w:rsidR="005C5D7F">
          <w:t>647</w:t>
        </w:r>
        <w:r>
          <w:fldChar w:fldCharType="end"/>
        </w:r>
      </w:hyperlink>
    </w:p>
    <w:p w14:paraId="77F796CC" w14:textId="522E208A" w:rsidR="005E03F7" w:rsidRDefault="005E03F7">
      <w:pPr>
        <w:pStyle w:val="TOC5"/>
        <w:rPr>
          <w:rFonts w:asciiTheme="minorHAnsi" w:eastAsiaTheme="minorEastAsia" w:hAnsiTheme="minorHAnsi" w:cstheme="minorBidi"/>
          <w:sz w:val="22"/>
          <w:szCs w:val="22"/>
          <w:lang w:eastAsia="en-AU"/>
        </w:rPr>
      </w:pPr>
      <w:r>
        <w:tab/>
      </w:r>
      <w:hyperlink w:anchor="_Toc83626254" w:history="1">
        <w:r w:rsidRPr="00D90FEA">
          <w:t>726</w:t>
        </w:r>
        <w:r>
          <w:rPr>
            <w:rFonts w:asciiTheme="minorHAnsi" w:eastAsiaTheme="minorEastAsia" w:hAnsiTheme="minorHAnsi" w:cstheme="minorBidi"/>
            <w:sz w:val="22"/>
            <w:szCs w:val="22"/>
            <w:lang w:eastAsia="en-AU"/>
          </w:rPr>
          <w:tab/>
        </w:r>
        <w:r w:rsidRPr="00D90FEA">
          <w:rPr>
            <w:rFonts w:ascii="Helvetica" w:hAnsi="Helvetica" w:cs="Helvetica"/>
            <w:iCs/>
          </w:rPr>
          <w:t>Statement by person involved with use or maintenance of approved electronic recording system</w:t>
        </w:r>
        <w:r>
          <w:tab/>
        </w:r>
        <w:r>
          <w:fldChar w:fldCharType="begin"/>
        </w:r>
        <w:r>
          <w:instrText xml:space="preserve"> PAGEREF _Toc83626254 \h </w:instrText>
        </w:r>
        <w:r>
          <w:fldChar w:fldCharType="separate"/>
        </w:r>
        <w:r w:rsidR="005C5D7F">
          <w:t>647</w:t>
        </w:r>
        <w:r>
          <w:fldChar w:fldCharType="end"/>
        </w:r>
      </w:hyperlink>
    </w:p>
    <w:p w14:paraId="70611135" w14:textId="12FDD135" w:rsidR="005E03F7" w:rsidRDefault="005E03F7">
      <w:pPr>
        <w:pStyle w:val="TOC5"/>
        <w:rPr>
          <w:rFonts w:asciiTheme="minorHAnsi" w:eastAsiaTheme="minorEastAsia" w:hAnsiTheme="minorHAnsi" w:cstheme="minorBidi"/>
          <w:sz w:val="22"/>
          <w:szCs w:val="22"/>
          <w:lang w:eastAsia="en-AU"/>
        </w:rPr>
      </w:pPr>
      <w:r>
        <w:tab/>
      </w:r>
      <w:hyperlink w:anchor="_Toc83626255" w:history="1">
        <w:r w:rsidRPr="00D90FEA">
          <w:t>726A</w:t>
        </w:r>
        <w:r>
          <w:rPr>
            <w:rFonts w:asciiTheme="minorHAnsi" w:eastAsiaTheme="minorEastAsia" w:hAnsiTheme="minorHAnsi" w:cstheme="minorBidi"/>
            <w:sz w:val="22"/>
            <w:szCs w:val="22"/>
            <w:lang w:eastAsia="en-AU"/>
          </w:rPr>
          <w:tab/>
        </w:r>
        <w:r w:rsidRPr="00D90FEA">
          <w:rPr>
            <w:lang w:val="en" w:eastAsia="en-AU"/>
          </w:rPr>
          <w:t>Evidence of offence</w:t>
        </w:r>
        <w:r>
          <w:tab/>
        </w:r>
        <w:r>
          <w:fldChar w:fldCharType="begin"/>
        </w:r>
        <w:r>
          <w:instrText xml:space="preserve"> PAGEREF _Toc83626255 \h </w:instrText>
        </w:r>
        <w:r>
          <w:fldChar w:fldCharType="separate"/>
        </w:r>
        <w:r w:rsidR="005C5D7F">
          <w:t>648</w:t>
        </w:r>
        <w:r>
          <w:fldChar w:fldCharType="end"/>
        </w:r>
      </w:hyperlink>
    </w:p>
    <w:p w14:paraId="56DE1D42" w14:textId="6074F2C9" w:rsidR="005E03F7" w:rsidRDefault="005E03F7">
      <w:pPr>
        <w:pStyle w:val="TOC5"/>
        <w:rPr>
          <w:rFonts w:asciiTheme="minorHAnsi" w:eastAsiaTheme="minorEastAsia" w:hAnsiTheme="minorHAnsi" w:cstheme="minorBidi"/>
          <w:sz w:val="22"/>
          <w:szCs w:val="22"/>
          <w:lang w:eastAsia="en-AU"/>
        </w:rPr>
      </w:pPr>
      <w:r>
        <w:tab/>
      </w:r>
      <w:hyperlink w:anchor="_Toc83626256" w:history="1">
        <w:r w:rsidRPr="00D90FEA">
          <w:t>726B</w:t>
        </w:r>
        <w:r>
          <w:rPr>
            <w:rFonts w:asciiTheme="minorHAnsi" w:eastAsiaTheme="minorEastAsia" w:hAnsiTheme="minorHAnsi" w:cstheme="minorBidi"/>
            <w:sz w:val="22"/>
            <w:szCs w:val="22"/>
            <w:lang w:eastAsia="en-AU"/>
          </w:rPr>
          <w:tab/>
        </w:r>
        <w:r w:rsidRPr="00D90FEA">
          <w:rPr>
            <w:lang w:val="en" w:eastAsia="en-AU"/>
          </w:rPr>
          <w:t>Evidence obtained by police using other powers</w:t>
        </w:r>
        <w:r>
          <w:tab/>
        </w:r>
        <w:r>
          <w:fldChar w:fldCharType="begin"/>
        </w:r>
        <w:r>
          <w:instrText xml:space="preserve"> PAGEREF _Toc83626256 \h </w:instrText>
        </w:r>
        <w:r>
          <w:fldChar w:fldCharType="separate"/>
        </w:r>
        <w:r w:rsidR="005C5D7F">
          <w:t>648</w:t>
        </w:r>
        <w:r>
          <w:fldChar w:fldCharType="end"/>
        </w:r>
      </w:hyperlink>
    </w:p>
    <w:p w14:paraId="22154252" w14:textId="2D05220A" w:rsidR="005E03F7" w:rsidRDefault="005E03F7">
      <w:pPr>
        <w:pStyle w:val="TOC5"/>
        <w:rPr>
          <w:rFonts w:asciiTheme="minorHAnsi" w:eastAsiaTheme="minorEastAsia" w:hAnsiTheme="minorHAnsi" w:cstheme="minorBidi"/>
          <w:sz w:val="22"/>
          <w:szCs w:val="22"/>
          <w:lang w:eastAsia="en-AU"/>
        </w:rPr>
      </w:pPr>
      <w:r>
        <w:tab/>
      </w:r>
      <w:hyperlink w:anchor="_Toc83626257" w:history="1">
        <w:r w:rsidRPr="00D90FEA">
          <w:t>726C</w:t>
        </w:r>
        <w:r>
          <w:rPr>
            <w:rFonts w:asciiTheme="minorHAnsi" w:eastAsiaTheme="minorEastAsia" w:hAnsiTheme="minorHAnsi" w:cstheme="minorBidi"/>
            <w:sz w:val="22"/>
            <w:szCs w:val="22"/>
            <w:lang w:eastAsia="en-AU"/>
          </w:rPr>
          <w:tab/>
        </w:r>
        <w:r w:rsidRPr="00D90FEA">
          <w:rPr>
            <w:lang w:val="en" w:eastAsia="en-AU"/>
          </w:rPr>
          <w:t>Evidence obtained in another jurisdiction</w:t>
        </w:r>
        <w:r>
          <w:tab/>
        </w:r>
        <w:r>
          <w:fldChar w:fldCharType="begin"/>
        </w:r>
        <w:r>
          <w:instrText xml:space="preserve"> PAGEREF _Toc83626257 \h </w:instrText>
        </w:r>
        <w:r>
          <w:fldChar w:fldCharType="separate"/>
        </w:r>
        <w:r w:rsidR="005C5D7F">
          <w:t>649</w:t>
        </w:r>
        <w:r>
          <w:fldChar w:fldCharType="end"/>
        </w:r>
      </w:hyperlink>
    </w:p>
    <w:p w14:paraId="249E195C" w14:textId="34560618" w:rsidR="005E03F7" w:rsidRDefault="00856BEE">
      <w:pPr>
        <w:pStyle w:val="TOC3"/>
        <w:rPr>
          <w:rFonts w:asciiTheme="minorHAnsi" w:eastAsiaTheme="minorEastAsia" w:hAnsiTheme="minorHAnsi" w:cstheme="minorBidi"/>
          <w:b w:val="0"/>
          <w:sz w:val="22"/>
          <w:szCs w:val="22"/>
          <w:lang w:eastAsia="en-AU"/>
        </w:rPr>
      </w:pPr>
      <w:hyperlink w:anchor="_Toc83626258" w:history="1">
        <w:r w:rsidR="005E03F7" w:rsidRPr="00D90FEA">
          <w:t>Division 3</w:t>
        </w:r>
        <w:r w:rsidR="005E03F7">
          <w:rPr>
            <w:rFonts w:asciiTheme="minorHAnsi" w:eastAsiaTheme="minorEastAsia" w:hAnsiTheme="minorHAnsi" w:cstheme="minorBidi"/>
            <w:b w:val="0"/>
            <w:sz w:val="22"/>
            <w:szCs w:val="22"/>
            <w:lang w:eastAsia="en-AU"/>
          </w:rPr>
          <w:tab/>
        </w:r>
        <w:r w:rsidR="005E03F7" w:rsidRPr="00D90FEA">
          <w:rPr>
            <w:lang w:val="en" w:eastAsia="en-AU"/>
          </w:rPr>
          <w:t>Publication of court outcomes</w:t>
        </w:r>
        <w:r w:rsidR="005E03F7" w:rsidRPr="005E03F7">
          <w:rPr>
            <w:vanish/>
          </w:rPr>
          <w:tab/>
        </w:r>
        <w:r w:rsidR="005E03F7" w:rsidRPr="005E03F7">
          <w:rPr>
            <w:vanish/>
          </w:rPr>
          <w:fldChar w:fldCharType="begin"/>
        </w:r>
        <w:r w:rsidR="005E03F7" w:rsidRPr="005E03F7">
          <w:rPr>
            <w:vanish/>
          </w:rPr>
          <w:instrText xml:space="preserve"> PAGEREF _Toc83626258 \h </w:instrText>
        </w:r>
        <w:r w:rsidR="005E03F7" w:rsidRPr="005E03F7">
          <w:rPr>
            <w:vanish/>
          </w:rPr>
        </w:r>
        <w:r w:rsidR="005E03F7" w:rsidRPr="005E03F7">
          <w:rPr>
            <w:vanish/>
          </w:rPr>
          <w:fldChar w:fldCharType="separate"/>
        </w:r>
        <w:r w:rsidR="005C5D7F">
          <w:rPr>
            <w:vanish/>
          </w:rPr>
          <w:t>649</w:t>
        </w:r>
        <w:r w:rsidR="005E03F7" w:rsidRPr="005E03F7">
          <w:rPr>
            <w:vanish/>
          </w:rPr>
          <w:fldChar w:fldCharType="end"/>
        </w:r>
      </w:hyperlink>
    </w:p>
    <w:p w14:paraId="603FA288" w14:textId="73C9FE2F" w:rsidR="005E03F7" w:rsidRDefault="005E03F7">
      <w:pPr>
        <w:pStyle w:val="TOC5"/>
        <w:rPr>
          <w:rFonts w:asciiTheme="minorHAnsi" w:eastAsiaTheme="minorEastAsia" w:hAnsiTheme="minorHAnsi" w:cstheme="minorBidi"/>
          <w:sz w:val="22"/>
          <w:szCs w:val="22"/>
          <w:lang w:eastAsia="en-AU"/>
        </w:rPr>
      </w:pPr>
      <w:r>
        <w:tab/>
      </w:r>
      <w:hyperlink w:anchor="_Toc83626259" w:history="1">
        <w:r w:rsidRPr="00D90FEA">
          <w:t>726D</w:t>
        </w:r>
        <w:r>
          <w:rPr>
            <w:rFonts w:asciiTheme="minorHAnsi" w:eastAsiaTheme="minorEastAsia" w:hAnsiTheme="minorHAnsi" w:cstheme="minorBidi"/>
            <w:sz w:val="22"/>
            <w:szCs w:val="22"/>
            <w:lang w:eastAsia="en-AU"/>
          </w:rPr>
          <w:tab/>
        </w:r>
        <w:r w:rsidRPr="00D90FEA">
          <w:rPr>
            <w:lang w:val="en" w:eastAsia="en-AU"/>
          </w:rPr>
          <w:t>Regulator may publish convictions, penalties, orders, etc.</w:t>
        </w:r>
        <w:r>
          <w:tab/>
        </w:r>
        <w:r>
          <w:fldChar w:fldCharType="begin"/>
        </w:r>
        <w:r>
          <w:instrText xml:space="preserve"> PAGEREF _Toc83626259 \h </w:instrText>
        </w:r>
        <w:r>
          <w:fldChar w:fldCharType="separate"/>
        </w:r>
        <w:r w:rsidR="005C5D7F">
          <w:t>649</w:t>
        </w:r>
        <w:r>
          <w:fldChar w:fldCharType="end"/>
        </w:r>
      </w:hyperlink>
    </w:p>
    <w:p w14:paraId="044B1985" w14:textId="6E27E9AC" w:rsidR="005E03F7" w:rsidRDefault="00856BEE">
      <w:pPr>
        <w:pStyle w:val="TOC2"/>
        <w:rPr>
          <w:rFonts w:asciiTheme="minorHAnsi" w:eastAsiaTheme="minorEastAsia" w:hAnsiTheme="minorHAnsi" w:cstheme="minorBidi"/>
          <w:b w:val="0"/>
          <w:sz w:val="22"/>
          <w:szCs w:val="22"/>
          <w:lang w:eastAsia="en-AU"/>
        </w:rPr>
      </w:pPr>
      <w:hyperlink w:anchor="_Toc83626260" w:history="1">
        <w:r w:rsidR="005E03F7" w:rsidRPr="00D90FEA">
          <w:t xml:space="preserve">Part 13.4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rPr>
          <w:t>Protected information</w:t>
        </w:r>
        <w:r w:rsidR="005E03F7" w:rsidRPr="005E03F7">
          <w:rPr>
            <w:vanish/>
          </w:rPr>
          <w:tab/>
        </w:r>
        <w:r w:rsidR="005E03F7" w:rsidRPr="005E03F7">
          <w:rPr>
            <w:vanish/>
          </w:rPr>
          <w:fldChar w:fldCharType="begin"/>
        </w:r>
        <w:r w:rsidR="005E03F7" w:rsidRPr="005E03F7">
          <w:rPr>
            <w:vanish/>
          </w:rPr>
          <w:instrText xml:space="preserve"> PAGEREF _Toc83626260 \h </w:instrText>
        </w:r>
        <w:r w:rsidR="005E03F7" w:rsidRPr="005E03F7">
          <w:rPr>
            <w:vanish/>
          </w:rPr>
        </w:r>
        <w:r w:rsidR="005E03F7" w:rsidRPr="005E03F7">
          <w:rPr>
            <w:vanish/>
          </w:rPr>
          <w:fldChar w:fldCharType="separate"/>
        </w:r>
        <w:r w:rsidR="005C5D7F">
          <w:rPr>
            <w:vanish/>
          </w:rPr>
          <w:t>650</w:t>
        </w:r>
        <w:r w:rsidR="005E03F7" w:rsidRPr="005E03F7">
          <w:rPr>
            <w:vanish/>
          </w:rPr>
          <w:fldChar w:fldCharType="end"/>
        </w:r>
      </w:hyperlink>
    </w:p>
    <w:p w14:paraId="501EBC30" w14:textId="5D30EE9D" w:rsidR="005E03F7" w:rsidRDefault="005E03F7">
      <w:pPr>
        <w:pStyle w:val="TOC5"/>
        <w:rPr>
          <w:rFonts w:asciiTheme="minorHAnsi" w:eastAsiaTheme="minorEastAsia" w:hAnsiTheme="minorHAnsi" w:cstheme="minorBidi"/>
          <w:sz w:val="22"/>
          <w:szCs w:val="22"/>
          <w:lang w:eastAsia="en-AU"/>
        </w:rPr>
      </w:pPr>
      <w:r>
        <w:tab/>
      </w:r>
      <w:hyperlink w:anchor="_Toc83626261" w:history="1">
        <w:r w:rsidRPr="00D90FEA">
          <w:t>727</w:t>
        </w:r>
        <w:r>
          <w:rPr>
            <w:rFonts w:asciiTheme="minorHAnsi" w:eastAsiaTheme="minorEastAsia" w:hAnsiTheme="minorHAnsi" w:cstheme="minorBidi"/>
            <w:sz w:val="22"/>
            <w:szCs w:val="22"/>
            <w:lang w:eastAsia="en-AU"/>
          </w:rPr>
          <w:tab/>
        </w:r>
        <w:r w:rsidRPr="00D90FEA">
          <w:rPr>
            <w:rFonts w:ascii="Helvetica" w:hAnsi="Helvetica" w:cs="Helvetica"/>
          </w:rPr>
          <w:t>Definitions for Pt 13.4</w:t>
        </w:r>
        <w:r>
          <w:tab/>
        </w:r>
        <w:r>
          <w:fldChar w:fldCharType="begin"/>
        </w:r>
        <w:r>
          <w:instrText xml:space="preserve"> PAGEREF _Toc83626261 \h </w:instrText>
        </w:r>
        <w:r>
          <w:fldChar w:fldCharType="separate"/>
        </w:r>
        <w:r w:rsidR="005C5D7F">
          <w:t>650</w:t>
        </w:r>
        <w:r>
          <w:fldChar w:fldCharType="end"/>
        </w:r>
      </w:hyperlink>
    </w:p>
    <w:p w14:paraId="4626521B" w14:textId="2A4B6D2A" w:rsidR="005E03F7" w:rsidRDefault="005E03F7">
      <w:pPr>
        <w:pStyle w:val="TOC5"/>
        <w:rPr>
          <w:rFonts w:asciiTheme="minorHAnsi" w:eastAsiaTheme="minorEastAsia" w:hAnsiTheme="minorHAnsi" w:cstheme="minorBidi"/>
          <w:sz w:val="22"/>
          <w:szCs w:val="22"/>
          <w:lang w:eastAsia="en-AU"/>
        </w:rPr>
      </w:pPr>
      <w:r>
        <w:lastRenderedPageBreak/>
        <w:tab/>
      </w:r>
      <w:hyperlink w:anchor="_Toc83626262" w:history="1">
        <w:r w:rsidRPr="00D90FEA">
          <w:t>728</w:t>
        </w:r>
        <w:r>
          <w:rPr>
            <w:rFonts w:asciiTheme="minorHAnsi" w:eastAsiaTheme="minorEastAsia" w:hAnsiTheme="minorHAnsi" w:cstheme="minorBidi"/>
            <w:sz w:val="22"/>
            <w:szCs w:val="22"/>
            <w:lang w:eastAsia="en-AU"/>
          </w:rPr>
          <w:tab/>
        </w:r>
        <w:r w:rsidRPr="00D90FEA">
          <w:rPr>
            <w:rFonts w:ascii="Helvetica" w:hAnsi="Helvetica" w:cs="Helvetica"/>
          </w:rPr>
          <w:t>Duty of confidentiality</w:t>
        </w:r>
        <w:r w:rsidRPr="00D90FEA">
          <w:t xml:space="preserve"> for protected information</w:t>
        </w:r>
        <w:r>
          <w:tab/>
        </w:r>
        <w:r>
          <w:fldChar w:fldCharType="begin"/>
        </w:r>
        <w:r>
          <w:instrText xml:space="preserve"> PAGEREF _Toc83626262 \h </w:instrText>
        </w:r>
        <w:r>
          <w:fldChar w:fldCharType="separate"/>
        </w:r>
        <w:r w:rsidR="005C5D7F">
          <w:t>654</w:t>
        </w:r>
        <w:r>
          <w:fldChar w:fldCharType="end"/>
        </w:r>
      </w:hyperlink>
    </w:p>
    <w:p w14:paraId="4728B963" w14:textId="1C0E8A7D" w:rsidR="005E03F7" w:rsidRDefault="005E03F7">
      <w:pPr>
        <w:pStyle w:val="TOC5"/>
        <w:rPr>
          <w:rFonts w:asciiTheme="minorHAnsi" w:eastAsiaTheme="minorEastAsia" w:hAnsiTheme="minorHAnsi" w:cstheme="minorBidi"/>
          <w:sz w:val="22"/>
          <w:szCs w:val="22"/>
          <w:lang w:eastAsia="en-AU"/>
        </w:rPr>
      </w:pPr>
      <w:r>
        <w:tab/>
      </w:r>
      <w:hyperlink w:anchor="_Toc83626263" w:history="1">
        <w:r w:rsidRPr="00D90FEA">
          <w:t>728A</w:t>
        </w:r>
        <w:r>
          <w:rPr>
            <w:rFonts w:asciiTheme="minorHAnsi" w:eastAsiaTheme="minorEastAsia" w:hAnsiTheme="minorHAnsi" w:cstheme="minorBidi"/>
            <w:sz w:val="22"/>
            <w:szCs w:val="22"/>
            <w:lang w:eastAsia="en-AU"/>
          </w:rPr>
          <w:tab/>
        </w:r>
        <w:r w:rsidRPr="00D90FEA">
          <w:t>Duty of confidentiality for electronic work diary protected information</w:t>
        </w:r>
        <w:r>
          <w:tab/>
        </w:r>
        <w:r>
          <w:fldChar w:fldCharType="begin"/>
        </w:r>
        <w:r>
          <w:instrText xml:space="preserve"> PAGEREF _Toc83626263 \h </w:instrText>
        </w:r>
        <w:r>
          <w:fldChar w:fldCharType="separate"/>
        </w:r>
        <w:r w:rsidR="005C5D7F">
          <w:t>655</w:t>
        </w:r>
        <w:r>
          <w:fldChar w:fldCharType="end"/>
        </w:r>
      </w:hyperlink>
    </w:p>
    <w:p w14:paraId="005CF42B" w14:textId="0ECEDB50" w:rsidR="005E03F7" w:rsidRDefault="005E03F7">
      <w:pPr>
        <w:pStyle w:val="TOC5"/>
        <w:rPr>
          <w:rFonts w:asciiTheme="minorHAnsi" w:eastAsiaTheme="minorEastAsia" w:hAnsiTheme="minorHAnsi" w:cstheme="minorBidi"/>
          <w:sz w:val="22"/>
          <w:szCs w:val="22"/>
          <w:lang w:eastAsia="en-AU"/>
        </w:rPr>
      </w:pPr>
      <w:r>
        <w:tab/>
      </w:r>
      <w:hyperlink w:anchor="_Toc83626264" w:history="1">
        <w:r w:rsidRPr="00D90FEA">
          <w:t>729</w:t>
        </w:r>
        <w:r>
          <w:rPr>
            <w:rFonts w:asciiTheme="minorHAnsi" w:eastAsiaTheme="minorEastAsia" w:hAnsiTheme="minorHAnsi" w:cstheme="minorBidi"/>
            <w:sz w:val="22"/>
            <w:szCs w:val="22"/>
            <w:lang w:eastAsia="en-AU"/>
          </w:rPr>
          <w:tab/>
        </w:r>
        <w:r w:rsidRPr="00D90FEA">
          <w:rPr>
            <w:rFonts w:ascii="Helvetica" w:hAnsi="Helvetica" w:cs="Helvetica"/>
          </w:rPr>
          <w:t>Protected information only to be used for authorised use</w:t>
        </w:r>
        <w:r>
          <w:tab/>
        </w:r>
        <w:r>
          <w:fldChar w:fldCharType="begin"/>
        </w:r>
        <w:r>
          <w:instrText xml:space="preserve"> PAGEREF _Toc83626264 \h </w:instrText>
        </w:r>
        <w:r>
          <w:fldChar w:fldCharType="separate"/>
        </w:r>
        <w:r w:rsidR="005C5D7F">
          <w:t>655</w:t>
        </w:r>
        <w:r>
          <w:fldChar w:fldCharType="end"/>
        </w:r>
      </w:hyperlink>
    </w:p>
    <w:p w14:paraId="090FCA00" w14:textId="0B957D39" w:rsidR="005E03F7" w:rsidRDefault="005E03F7">
      <w:pPr>
        <w:pStyle w:val="TOC5"/>
        <w:rPr>
          <w:rFonts w:asciiTheme="minorHAnsi" w:eastAsiaTheme="minorEastAsia" w:hAnsiTheme="minorHAnsi" w:cstheme="minorBidi"/>
          <w:sz w:val="22"/>
          <w:szCs w:val="22"/>
          <w:lang w:eastAsia="en-AU"/>
        </w:rPr>
      </w:pPr>
      <w:r>
        <w:tab/>
      </w:r>
      <w:hyperlink w:anchor="_Toc83626265" w:history="1">
        <w:r w:rsidRPr="00D90FEA">
          <w:t>729A</w:t>
        </w:r>
        <w:r>
          <w:rPr>
            <w:rFonts w:asciiTheme="minorHAnsi" w:eastAsiaTheme="minorEastAsia" w:hAnsiTheme="minorHAnsi" w:cstheme="minorBidi"/>
            <w:sz w:val="22"/>
            <w:szCs w:val="22"/>
            <w:lang w:eastAsia="en-AU"/>
          </w:rPr>
          <w:tab/>
        </w:r>
        <w:r w:rsidRPr="00D90FEA">
          <w:t>Electronic work diary protected information only to be used for electronic work diary authorised use</w:t>
        </w:r>
        <w:r>
          <w:tab/>
        </w:r>
        <w:r>
          <w:fldChar w:fldCharType="begin"/>
        </w:r>
        <w:r>
          <w:instrText xml:space="preserve"> PAGEREF _Toc83626265 \h </w:instrText>
        </w:r>
        <w:r>
          <w:fldChar w:fldCharType="separate"/>
        </w:r>
        <w:r w:rsidR="005C5D7F">
          <w:t>656</w:t>
        </w:r>
        <w:r>
          <w:fldChar w:fldCharType="end"/>
        </w:r>
      </w:hyperlink>
    </w:p>
    <w:p w14:paraId="3DC51434" w14:textId="4276ADA8" w:rsidR="005E03F7" w:rsidRDefault="005E03F7">
      <w:pPr>
        <w:pStyle w:val="TOC5"/>
        <w:rPr>
          <w:rFonts w:asciiTheme="minorHAnsi" w:eastAsiaTheme="minorEastAsia" w:hAnsiTheme="minorHAnsi" w:cstheme="minorBidi"/>
          <w:sz w:val="22"/>
          <w:szCs w:val="22"/>
          <w:lang w:eastAsia="en-AU"/>
        </w:rPr>
      </w:pPr>
      <w:r>
        <w:tab/>
      </w:r>
      <w:hyperlink w:anchor="_Toc83626266" w:history="1">
        <w:r w:rsidRPr="00D90FEA">
          <w:t>729B</w:t>
        </w:r>
        <w:r>
          <w:rPr>
            <w:rFonts w:asciiTheme="minorHAnsi" w:eastAsiaTheme="minorEastAsia" w:hAnsiTheme="minorHAnsi" w:cstheme="minorBidi"/>
            <w:sz w:val="22"/>
            <w:szCs w:val="22"/>
            <w:lang w:eastAsia="en-AU"/>
          </w:rPr>
          <w:tab/>
        </w:r>
        <w:r w:rsidRPr="00D90FEA">
          <w:t>Warrant authorising use of electronic work diary protected information</w:t>
        </w:r>
        <w:r>
          <w:tab/>
        </w:r>
        <w:r>
          <w:fldChar w:fldCharType="begin"/>
        </w:r>
        <w:r>
          <w:instrText xml:space="preserve"> PAGEREF _Toc83626266 \h </w:instrText>
        </w:r>
        <w:r>
          <w:fldChar w:fldCharType="separate"/>
        </w:r>
        <w:r w:rsidR="005C5D7F">
          <w:t>656</w:t>
        </w:r>
        <w:r>
          <w:fldChar w:fldCharType="end"/>
        </w:r>
      </w:hyperlink>
    </w:p>
    <w:p w14:paraId="4CA4EB91" w14:textId="03402B8D" w:rsidR="005E03F7" w:rsidRDefault="00856BEE">
      <w:pPr>
        <w:pStyle w:val="TOC2"/>
        <w:rPr>
          <w:rFonts w:asciiTheme="minorHAnsi" w:eastAsiaTheme="minorEastAsia" w:hAnsiTheme="minorHAnsi" w:cstheme="minorBidi"/>
          <w:b w:val="0"/>
          <w:sz w:val="22"/>
          <w:szCs w:val="22"/>
          <w:lang w:eastAsia="en-AU"/>
        </w:rPr>
      </w:pPr>
      <w:hyperlink w:anchor="_Toc83626267" w:history="1">
        <w:r w:rsidR="005E03F7" w:rsidRPr="00D90FEA">
          <w:t xml:space="preserve">Part 13.5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rPr>
          <w:t>National regulations</w:t>
        </w:r>
        <w:r w:rsidR="005E03F7" w:rsidRPr="005E03F7">
          <w:rPr>
            <w:vanish/>
          </w:rPr>
          <w:tab/>
        </w:r>
        <w:r w:rsidR="005E03F7" w:rsidRPr="005E03F7">
          <w:rPr>
            <w:vanish/>
          </w:rPr>
          <w:fldChar w:fldCharType="begin"/>
        </w:r>
        <w:r w:rsidR="005E03F7" w:rsidRPr="005E03F7">
          <w:rPr>
            <w:vanish/>
          </w:rPr>
          <w:instrText xml:space="preserve"> PAGEREF _Toc83626267 \h </w:instrText>
        </w:r>
        <w:r w:rsidR="005E03F7" w:rsidRPr="005E03F7">
          <w:rPr>
            <w:vanish/>
          </w:rPr>
        </w:r>
        <w:r w:rsidR="005E03F7" w:rsidRPr="005E03F7">
          <w:rPr>
            <w:vanish/>
          </w:rPr>
          <w:fldChar w:fldCharType="separate"/>
        </w:r>
        <w:r w:rsidR="005C5D7F">
          <w:rPr>
            <w:vanish/>
          </w:rPr>
          <w:t>658</w:t>
        </w:r>
        <w:r w:rsidR="005E03F7" w:rsidRPr="005E03F7">
          <w:rPr>
            <w:vanish/>
          </w:rPr>
          <w:fldChar w:fldCharType="end"/>
        </w:r>
      </w:hyperlink>
    </w:p>
    <w:p w14:paraId="6DEDFEAD" w14:textId="4322533E" w:rsidR="005E03F7" w:rsidRDefault="005E03F7">
      <w:pPr>
        <w:pStyle w:val="TOC5"/>
        <w:rPr>
          <w:rFonts w:asciiTheme="minorHAnsi" w:eastAsiaTheme="minorEastAsia" w:hAnsiTheme="minorHAnsi" w:cstheme="minorBidi"/>
          <w:sz w:val="22"/>
          <w:szCs w:val="22"/>
          <w:lang w:eastAsia="en-AU"/>
        </w:rPr>
      </w:pPr>
      <w:r>
        <w:tab/>
      </w:r>
      <w:hyperlink w:anchor="_Toc83626268" w:history="1">
        <w:r w:rsidRPr="00D90FEA">
          <w:t>730</w:t>
        </w:r>
        <w:r>
          <w:rPr>
            <w:rFonts w:asciiTheme="minorHAnsi" w:eastAsiaTheme="minorEastAsia" w:hAnsiTheme="minorHAnsi" w:cstheme="minorBidi"/>
            <w:sz w:val="22"/>
            <w:szCs w:val="22"/>
            <w:lang w:eastAsia="en-AU"/>
          </w:rPr>
          <w:tab/>
        </w:r>
        <w:r w:rsidRPr="00D90FEA">
          <w:rPr>
            <w:rFonts w:ascii="Helvetica" w:hAnsi="Helvetica" w:cs="Helvetica"/>
          </w:rPr>
          <w:t>National regulations</w:t>
        </w:r>
        <w:r>
          <w:tab/>
        </w:r>
        <w:r>
          <w:fldChar w:fldCharType="begin"/>
        </w:r>
        <w:r>
          <w:instrText xml:space="preserve"> PAGEREF _Toc83626268 \h </w:instrText>
        </w:r>
        <w:r>
          <w:fldChar w:fldCharType="separate"/>
        </w:r>
        <w:r w:rsidR="005C5D7F">
          <w:t>658</w:t>
        </w:r>
        <w:r>
          <w:fldChar w:fldCharType="end"/>
        </w:r>
      </w:hyperlink>
    </w:p>
    <w:p w14:paraId="5E502D5B" w14:textId="0EAAE85A" w:rsidR="005E03F7" w:rsidRDefault="005E03F7">
      <w:pPr>
        <w:pStyle w:val="TOC5"/>
        <w:rPr>
          <w:rFonts w:asciiTheme="minorHAnsi" w:eastAsiaTheme="minorEastAsia" w:hAnsiTheme="minorHAnsi" w:cstheme="minorBidi"/>
          <w:sz w:val="22"/>
          <w:szCs w:val="22"/>
          <w:lang w:eastAsia="en-AU"/>
        </w:rPr>
      </w:pPr>
      <w:r>
        <w:tab/>
      </w:r>
      <w:hyperlink w:anchor="_Toc83626269" w:history="1">
        <w:r w:rsidRPr="00D90FEA">
          <w:t>731</w:t>
        </w:r>
        <w:r>
          <w:rPr>
            <w:rFonts w:asciiTheme="minorHAnsi" w:eastAsiaTheme="minorEastAsia" w:hAnsiTheme="minorHAnsi" w:cstheme="minorBidi"/>
            <w:sz w:val="22"/>
            <w:szCs w:val="22"/>
            <w:lang w:eastAsia="en-AU"/>
          </w:rPr>
          <w:tab/>
        </w:r>
        <w:r w:rsidRPr="00D90FEA">
          <w:rPr>
            <w:rFonts w:ascii="Helvetica" w:hAnsi="Helvetica" w:cs="Helvetica"/>
          </w:rPr>
          <w:t>National regulations for approved vehicle examiners</w:t>
        </w:r>
        <w:r>
          <w:tab/>
        </w:r>
        <w:r>
          <w:fldChar w:fldCharType="begin"/>
        </w:r>
        <w:r>
          <w:instrText xml:space="preserve"> PAGEREF _Toc83626269 \h </w:instrText>
        </w:r>
        <w:r>
          <w:fldChar w:fldCharType="separate"/>
        </w:r>
        <w:r w:rsidR="005C5D7F">
          <w:t>659</w:t>
        </w:r>
        <w:r>
          <w:fldChar w:fldCharType="end"/>
        </w:r>
      </w:hyperlink>
    </w:p>
    <w:p w14:paraId="44E8D54C" w14:textId="2ED20404" w:rsidR="005E03F7" w:rsidRDefault="005E03F7">
      <w:pPr>
        <w:pStyle w:val="TOC5"/>
        <w:rPr>
          <w:rFonts w:asciiTheme="minorHAnsi" w:eastAsiaTheme="minorEastAsia" w:hAnsiTheme="minorHAnsi" w:cstheme="minorBidi"/>
          <w:sz w:val="22"/>
          <w:szCs w:val="22"/>
          <w:lang w:eastAsia="en-AU"/>
        </w:rPr>
      </w:pPr>
      <w:r>
        <w:tab/>
      </w:r>
      <w:hyperlink w:anchor="_Toc83626270" w:history="1">
        <w:r w:rsidRPr="00D90FEA">
          <w:t>732</w:t>
        </w:r>
        <w:r>
          <w:rPr>
            <w:rFonts w:asciiTheme="minorHAnsi" w:eastAsiaTheme="minorEastAsia" w:hAnsiTheme="minorHAnsi" w:cstheme="minorBidi"/>
            <w:sz w:val="22"/>
            <w:szCs w:val="22"/>
            <w:lang w:eastAsia="en-AU"/>
          </w:rPr>
          <w:tab/>
        </w:r>
        <w:r w:rsidRPr="00D90FEA">
          <w:rPr>
            <w:rFonts w:ascii="Helvetica" w:hAnsi="Helvetica" w:cs="Helvetica"/>
          </w:rPr>
          <w:t>National regulations for publication of agreements for services to States or Territories</w:t>
        </w:r>
        <w:r>
          <w:tab/>
        </w:r>
        <w:r>
          <w:fldChar w:fldCharType="begin"/>
        </w:r>
        <w:r>
          <w:instrText xml:space="preserve"> PAGEREF _Toc83626270 \h </w:instrText>
        </w:r>
        <w:r>
          <w:fldChar w:fldCharType="separate"/>
        </w:r>
        <w:r w:rsidR="005C5D7F">
          <w:t>661</w:t>
        </w:r>
        <w:r>
          <w:fldChar w:fldCharType="end"/>
        </w:r>
      </w:hyperlink>
    </w:p>
    <w:p w14:paraId="334BAB43" w14:textId="0C4C8BAC" w:rsidR="005E03F7" w:rsidRDefault="005E03F7">
      <w:pPr>
        <w:pStyle w:val="TOC5"/>
        <w:rPr>
          <w:rFonts w:asciiTheme="minorHAnsi" w:eastAsiaTheme="minorEastAsia" w:hAnsiTheme="minorHAnsi" w:cstheme="minorBidi"/>
          <w:sz w:val="22"/>
          <w:szCs w:val="22"/>
          <w:lang w:eastAsia="en-AU"/>
        </w:rPr>
      </w:pPr>
      <w:r>
        <w:tab/>
      </w:r>
      <w:hyperlink w:anchor="_Toc83626271" w:history="1">
        <w:r w:rsidRPr="00D90FEA">
          <w:t>733</w:t>
        </w:r>
        <w:r>
          <w:rPr>
            <w:rFonts w:asciiTheme="minorHAnsi" w:eastAsiaTheme="minorEastAsia" w:hAnsiTheme="minorHAnsi" w:cstheme="minorBidi"/>
            <w:sz w:val="22"/>
            <w:szCs w:val="22"/>
            <w:lang w:eastAsia="en-AU"/>
          </w:rPr>
          <w:tab/>
        </w:r>
        <w:r w:rsidRPr="00D90FEA">
          <w:rPr>
            <w:rFonts w:ascii="Helvetica" w:hAnsi="Helvetica" w:cs="Helvetica"/>
          </w:rPr>
          <w:t>Publication of national regulations</w:t>
        </w:r>
        <w:r>
          <w:tab/>
        </w:r>
        <w:r>
          <w:fldChar w:fldCharType="begin"/>
        </w:r>
        <w:r>
          <w:instrText xml:space="preserve"> PAGEREF _Toc83626271 \h </w:instrText>
        </w:r>
        <w:r>
          <w:fldChar w:fldCharType="separate"/>
        </w:r>
        <w:r w:rsidR="005C5D7F">
          <w:t>661</w:t>
        </w:r>
        <w:r>
          <w:fldChar w:fldCharType="end"/>
        </w:r>
      </w:hyperlink>
    </w:p>
    <w:p w14:paraId="78F5FD55" w14:textId="4169C4BD" w:rsidR="005E03F7" w:rsidRDefault="005E03F7">
      <w:pPr>
        <w:pStyle w:val="TOC5"/>
        <w:rPr>
          <w:rFonts w:asciiTheme="minorHAnsi" w:eastAsiaTheme="minorEastAsia" w:hAnsiTheme="minorHAnsi" w:cstheme="minorBidi"/>
          <w:sz w:val="22"/>
          <w:szCs w:val="22"/>
          <w:lang w:eastAsia="en-AU"/>
        </w:rPr>
      </w:pPr>
      <w:r>
        <w:tab/>
      </w:r>
      <w:hyperlink w:anchor="_Toc83626272" w:history="1">
        <w:r w:rsidRPr="00D90FEA">
          <w:t>734</w:t>
        </w:r>
        <w:r>
          <w:rPr>
            <w:rFonts w:asciiTheme="minorHAnsi" w:eastAsiaTheme="minorEastAsia" w:hAnsiTheme="minorHAnsi" w:cstheme="minorBidi"/>
            <w:sz w:val="22"/>
            <w:szCs w:val="22"/>
            <w:lang w:eastAsia="en-AU"/>
          </w:rPr>
          <w:tab/>
        </w:r>
        <w:r w:rsidRPr="00D90FEA">
          <w:rPr>
            <w:rFonts w:ascii="Helvetica" w:hAnsi="Helvetica" w:cs="Helvetica"/>
          </w:rPr>
          <w:t>Scrutiny of national regulations</w:t>
        </w:r>
        <w:r>
          <w:tab/>
        </w:r>
        <w:r>
          <w:fldChar w:fldCharType="begin"/>
        </w:r>
        <w:r>
          <w:instrText xml:space="preserve"> PAGEREF _Toc83626272 \h </w:instrText>
        </w:r>
        <w:r>
          <w:fldChar w:fldCharType="separate"/>
        </w:r>
        <w:r w:rsidR="005C5D7F">
          <w:t>661</w:t>
        </w:r>
        <w:r>
          <w:fldChar w:fldCharType="end"/>
        </w:r>
      </w:hyperlink>
    </w:p>
    <w:p w14:paraId="10049779" w14:textId="79EB7ECA" w:rsidR="005E03F7" w:rsidRDefault="00856BEE">
      <w:pPr>
        <w:pStyle w:val="TOC2"/>
        <w:rPr>
          <w:rFonts w:asciiTheme="minorHAnsi" w:eastAsiaTheme="minorEastAsia" w:hAnsiTheme="minorHAnsi" w:cstheme="minorBidi"/>
          <w:b w:val="0"/>
          <w:sz w:val="22"/>
          <w:szCs w:val="22"/>
          <w:lang w:eastAsia="en-AU"/>
        </w:rPr>
      </w:pPr>
      <w:hyperlink w:anchor="_Toc83626273" w:history="1">
        <w:r w:rsidR="005E03F7" w:rsidRPr="00D90FEA">
          <w:t xml:space="preserve">Part 13.6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rPr>
          <w:t>Other</w:t>
        </w:r>
        <w:r w:rsidR="005E03F7" w:rsidRPr="005E03F7">
          <w:rPr>
            <w:vanish/>
          </w:rPr>
          <w:tab/>
        </w:r>
        <w:r w:rsidR="005E03F7" w:rsidRPr="005E03F7">
          <w:rPr>
            <w:vanish/>
          </w:rPr>
          <w:fldChar w:fldCharType="begin"/>
        </w:r>
        <w:r w:rsidR="005E03F7" w:rsidRPr="005E03F7">
          <w:rPr>
            <w:vanish/>
          </w:rPr>
          <w:instrText xml:space="preserve"> PAGEREF _Toc83626273 \h </w:instrText>
        </w:r>
        <w:r w:rsidR="005E03F7" w:rsidRPr="005E03F7">
          <w:rPr>
            <w:vanish/>
          </w:rPr>
        </w:r>
        <w:r w:rsidR="005E03F7" w:rsidRPr="005E03F7">
          <w:rPr>
            <w:vanish/>
          </w:rPr>
          <w:fldChar w:fldCharType="separate"/>
        </w:r>
        <w:r w:rsidR="005C5D7F">
          <w:rPr>
            <w:vanish/>
          </w:rPr>
          <w:t>663</w:t>
        </w:r>
        <w:r w:rsidR="005E03F7" w:rsidRPr="005E03F7">
          <w:rPr>
            <w:vanish/>
          </w:rPr>
          <w:fldChar w:fldCharType="end"/>
        </w:r>
      </w:hyperlink>
    </w:p>
    <w:p w14:paraId="1B33BE86" w14:textId="446C5191" w:rsidR="005E03F7" w:rsidRDefault="005E03F7">
      <w:pPr>
        <w:pStyle w:val="TOC5"/>
        <w:rPr>
          <w:rFonts w:asciiTheme="minorHAnsi" w:eastAsiaTheme="minorEastAsia" w:hAnsiTheme="minorHAnsi" w:cstheme="minorBidi"/>
          <w:sz w:val="22"/>
          <w:szCs w:val="22"/>
          <w:lang w:eastAsia="en-AU"/>
        </w:rPr>
      </w:pPr>
      <w:r>
        <w:tab/>
      </w:r>
      <w:hyperlink w:anchor="_Toc83626274" w:history="1">
        <w:r w:rsidRPr="00D90FEA">
          <w:t>735</w:t>
        </w:r>
        <w:r>
          <w:rPr>
            <w:rFonts w:asciiTheme="minorHAnsi" w:eastAsiaTheme="minorEastAsia" w:hAnsiTheme="minorHAnsi" w:cstheme="minorBidi"/>
            <w:sz w:val="22"/>
            <w:szCs w:val="22"/>
            <w:lang w:eastAsia="en-AU"/>
          </w:rPr>
          <w:tab/>
        </w:r>
        <w:r w:rsidRPr="00D90FEA">
          <w:rPr>
            <w:rFonts w:ascii="Helvetica" w:hAnsi="Helvetica" w:cs="Helvetica"/>
          </w:rPr>
          <w:t>Approved forms</w:t>
        </w:r>
        <w:r>
          <w:tab/>
        </w:r>
        <w:r>
          <w:fldChar w:fldCharType="begin"/>
        </w:r>
        <w:r>
          <w:instrText xml:space="preserve"> PAGEREF _Toc83626274 \h </w:instrText>
        </w:r>
        <w:r>
          <w:fldChar w:fldCharType="separate"/>
        </w:r>
        <w:r w:rsidR="005C5D7F">
          <w:t>663</w:t>
        </w:r>
        <w:r>
          <w:fldChar w:fldCharType="end"/>
        </w:r>
      </w:hyperlink>
    </w:p>
    <w:p w14:paraId="2B20CBAF" w14:textId="5A038E94" w:rsidR="005E03F7" w:rsidRDefault="005E03F7">
      <w:pPr>
        <w:pStyle w:val="TOC5"/>
        <w:rPr>
          <w:rFonts w:asciiTheme="minorHAnsi" w:eastAsiaTheme="minorEastAsia" w:hAnsiTheme="minorHAnsi" w:cstheme="minorBidi"/>
          <w:sz w:val="22"/>
          <w:szCs w:val="22"/>
          <w:lang w:eastAsia="en-AU"/>
        </w:rPr>
      </w:pPr>
      <w:r>
        <w:tab/>
      </w:r>
      <w:hyperlink w:anchor="_Toc83626275" w:history="1">
        <w:r w:rsidRPr="00D90FEA">
          <w:t>735A</w:t>
        </w:r>
        <w:r>
          <w:rPr>
            <w:rFonts w:asciiTheme="minorHAnsi" w:eastAsiaTheme="minorEastAsia" w:hAnsiTheme="minorHAnsi" w:cstheme="minorBidi"/>
            <w:sz w:val="22"/>
            <w:szCs w:val="22"/>
            <w:lang w:eastAsia="en-AU"/>
          </w:rPr>
          <w:tab/>
        </w:r>
        <w:r w:rsidRPr="00D90FEA">
          <w:rPr>
            <w:lang w:val="en" w:eastAsia="en-AU"/>
          </w:rPr>
          <w:t>Legal professional privilege</w:t>
        </w:r>
        <w:r>
          <w:tab/>
        </w:r>
        <w:r>
          <w:fldChar w:fldCharType="begin"/>
        </w:r>
        <w:r>
          <w:instrText xml:space="preserve"> PAGEREF _Toc83626275 \h </w:instrText>
        </w:r>
        <w:r>
          <w:fldChar w:fldCharType="separate"/>
        </w:r>
        <w:r w:rsidR="005C5D7F">
          <w:t>663</w:t>
        </w:r>
        <w:r>
          <w:fldChar w:fldCharType="end"/>
        </w:r>
      </w:hyperlink>
    </w:p>
    <w:p w14:paraId="2432CA79" w14:textId="647E6EDA" w:rsidR="005E03F7" w:rsidRDefault="005E03F7">
      <w:pPr>
        <w:pStyle w:val="TOC5"/>
        <w:rPr>
          <w:rFonts w:asciiTheme="minorHAnsi" w:eastAsiaTheme="minorEastAsia" w:hAnsiTheme="minorHAnsi" w:cstheme="minorBidi"/>
          <w:sz w:val="22"/>
          <w:szCs w:val="22"/>
          <w:lang w:eastAsia="en-AU"/>
        </w:rPr>
      </w:pPr>
      <w:r>
        <w:tab/>
      </w:r>
      <w:hyperlink w:anchor="_Toc83626276" w:history="1">
        <w:r w:rsidRPr="00D90FEA">
          <w:t>736</w:t>
        </w:r>
        <w:r>
          <w:rPr>
            <w:rFonts w:asciiTheme="minorHAnsi" w:eastAsiaTheme="minorEastAsia" w:hAnsiTheme="minorHAnsi" w:cstheme="minorBidi"/>
            <w:sz w:val="22"/>
            <w:szCs w:val="22"/>
            <w:lang w:eastAsia="en-AU"/>
          </w:rPr>
          <w:tab/>
        </w:r>
        <w:r w:rsidRPr="00D90FEA">
          <w:rPr>
            <w:rFonts w:ascii="Helvetica" w:hAnsi="Helvetica" w:cs="Helvetica"/>
          </w:rPr>
          <w:t>Penalty at end of provision</w:t>
        </w:r>
        <w:r>
          <w:tab/>
        </w:r>
        <w:r>
          <w:fldChar w:fldCharType="begin"/>
        </w:r>
        <w:r>
          <w:instrText xml:space="preserve"> PAGEREF _Toc83626276 \h </w:instrText>
        </w:r>
        <w:r>
          <w:fldChar w:fldCharType="separate"/>
        </w:r>
        <w:r w:rsidR="005C5D7F">
          <w:t>663</w:t>
        </w:r>
        <w:r>
          <w:fldChar w:fldCharType="end"/>
        </w:r>
      </w:hyperlink>
    </w:p>
    <w:p w14:paraId="4B8E4BE3" w14:textId="1ECFB002" w:rsidR="005E03F7" w:rsidRDefault="005E03F7">
      <w:pPr>
        <w:pStyle w:val="TOC5"/>
        <w:rPr>
          <w:rFonts w:asciiTheme="minorHAnsi" w:eastAsiaTheme="minorEastAsia" w:hAnsiTheme="minorHAnsi" w:cstheme="minorBidi"/>
          <w:sz w:val="22"/>
          <w:szCs w:val="22"/>
          <w:lang w:eastAsia="en-AU"/>
        </w:rPr>
      </w:pPr>
      <w:r>
        <w:tab/>
      </w:r>
      <w:hyperlink w:anchor="_Toc83626277" w:history="1">
        <w:r w:rsidRPr="00D90FEA">
          <w:t>737</w:t>
        </w:r>
        <w:r>
          <w:rPr>
            <w:rFonts w:asciiTheme="minorHAnsi" w:eastAsiaTheme="minorEastAsia" w:hAnsiTheme="minorHAnsi" w:cstheme="minorBidi"/>
            <w:sz w:val="22"/>
            <w:szCs w:val="22"/>
            <w:lang w:eastAsia="en-AU"/>
          </w:rPr>
          <w:tab/>
        </w:r>
        <w:r w:rsidRPr="00D90FEA">
          <w:rPr>
            <w:rFonts w:ascii="Helvetica" w:hAnsi="Helvetica" w:cs="Helvetica"/>
          </w:rPr>
          <w:t>Increase of penalty amounts</w:t>
        </w:r>
        <w:r>
          <w:tab/>
        </w:r>
        <w:r>
          <w:fldChar w:fldCharType="begin"/>
        </w:r>
        <w:r>
          <w:instrText xml:space="preserve"> PAGEREF _Toc83626277 \h </w:instrText>
        </w:r>
        <w:r>
          <w:fldChar w:fldCharType="separate"/>
        </w:r>
        <w:r w:rsidR="005C5D7F">
          <w:t>663</w:t>
        </w:r>
        <w:r>
          <w:fldChar w:fldCharType="end"/>
        </w:r>
      </w:hyperlink>
    </w:p>
    <w:p w14:paraId="2D022BB1" w14:textId="076AE0F9" w:rsidR="005E03F7" w:rsidRDefault="005E03F7">
      <w:pPr>
        <w:pStyle w:val="TOC5"/>
        <w:rPr>
          <w:rFonts w:asciiTheme="minorHAnsi" w:eastAsiaTheme="minorEastAsia" w:hAnsiTheme="minorHAnsi" w:cstheme="minorBidi"/>
          <w:sz w:val="22"/>
          <w:szCs w:val="22"/>
          <w:lang w:eastAsia="en-AU"/>
        </w:rPr>
      </w:pPr>
      <w:r>
        <w:tab/>
      </w:r>
      <w:hyperlink w:anchor="_Toc83626278" w:history="1">
        <w:r w:rsidRPr="00D90FEA">
          <w:t>737A</w:t>
        </w:r>
        <w:r>
          <w:rPr>
            <w:rFonts w:asciiTheme="minorHAnsi" w:eastAsiaTheme="minorEastAsia" w:hAnsiTheme="minorHAnsi" w:cstheme="minorBidi"/>
            <w:sz w:val="22"/>
            <w:szCs w:val="22"/>
            <w:lang w:eastAsia="en-AU"/>
          </w:rPr>
          <w:tab/>
        </w:r>
        <w:r w:rsidRPr="00D90FEA">
          <w:rPr>
            <w:lang w:val="en" w:eastAsia="en-AU"/>
          </w:rPr>
          <w:t>Application of s 737 to new penalties</w:t>
        </w:r>
        <w:r>
          <w:tab/>
        </w:r>
        <w:r>
          <w:fldChar w:fldCharType="begin"/>
        </w:r>
        <w:r>
          <w:instrText xml:space="preserve"> PAGEREF _Toc83626278 \h </w:instrText>
        </w:r>
        <w:r>
          <w:fldChar w:fldCharType="separate"/>
        </w:r>
        <w:r w:rsidR="005C5D7F">
          <w:t>664</w:t>
        </w:r>
        <w:r>
          <w:fldChar w:fldCharType="end"/>
        </w:r>
      </w:hyperlink>
    </w:p>
    <w:p w14:paraId="4752F22D" w14:textId="0F280DCF" w:rsidR="005E03F7" w:rsidRDefault="005E03F7">
      <w:pPr>
        <w:pStyle w:val="TOC5"/>
        <w:rPr>
          <w:rFonts w:asciiTheme="minorHAnsi" w:eastAsiaTheme="minorEastAsia" w:hAnsiTheme="minorHAnsi" w:cstheme="minorBidi"/>
          <w:sz w:val="22"/>
          <w:szCs w:val="22"/>
          <w:lang w:eastAsia="en-AU"/>
        </w:rPr>
      </w:pPr>
      <w:r>
        <w:tab/>
      </w:r>
      <w:hyperlink w:anchor="_Toc83626279" w:history="1">
        <w:r w:rsidRPr="00D90FEA">
          <w:t>738</w:t>
        </w:r>
        <w:r>
          <w:rPr>
            <w:rFonts w:asciiTheme="minorHAnsi" w:eastAsiaTheme="minorEastAsia" w:hAnsiTheme="minorHAnsi" w:cstheme="minorBidi"/>
            <w:sz w:val="22"/>
            <w:szCs w:val="22"/>
            <w:lang w:eastAsia="en-AU"/>
          </w:rPr>
          <w:tab/>
        </w:r>
        <w:r w:rsidRPr="00D90FEA">
          <w:rPr>
            <w:rFonts w:ascii="Helvetica" w:hAnsi="Helvetica" w:cs="Helvetica"/>
          </w:rPr>
          <w:t>Service of documents</w:t>
        </w:r>
        <w:r>
          <w:tab/>
        </w:r>
        <w:r>
          <w:fldChar w:fldCharType="begin"/>
        </w:r>
        <w:r>
          <w:instrText xml:space="preserve"> PAGEREF _Toc83626279 \h </w:instrText>
        </w:r>
        <w:r>
          <w:fldChar w:fldCharType="separate"/>
        </w:r>
        <w:r w:rsidR="005C5D7F">
          <w:t>665</w:t>
        </w:r>
        <w:r>
          <w:fldChar w:fldCharType="end"/>
        </w:r>
      </w:hyperlink>
    </w:p>
    <w:p w14:paraId="5421901F" w14:textId="14732613" w:rsidR="005E03F7" w:rsidRDefault="005E03F7">
      <w:pPr>
        <w:pStyle w:val="TOC5"/>
        <w:rPr>
          <w:rFonts w:asciiTheme="minorHAnsi" w:eastAsiaTheme="minorEastAsia" w:hAnsiTheme="minorHAnsi" w:cstheme="minorBidi"/>
          <w:sz w:val="22"/>
          <w:szCs w:val="22"/>
          <w:lang w:eastAsia="en-AU"/>
        </w:rPr>
      </w:pPr>
      <w:r>
        <w:tab/>
      </w:r>
      <w:hyperlink w:anchor="_Toc83626280" w:history="1">
        <w:r w:rsidRPr="00D90FEA">
          <w:t>739</w:t>
        </w:r>
        <w:r>
          <w:rPr>
            <w:rFonts w:asciiTheme="minorHAnsi" w:eastAsiaTheme="minorEastAsia" w:hAnsiTheme="minorHAnsi" w:cstheme="minorBidi"/>
            <w:sz w:val="22"/>
            <w:szCs w:val="22"/>
            <w:lang w:eastAsia="en-AU"/>
          </w:rPr>
          <w:tab/>
        </w:r>
        <w:r w:rsidRPr="00D90FEA">
          <w:rPr>
            <w:rFonts w:ascii="Helvetica" w:hAnsi="Helvetica" w:cs="Helvetica"/>
          </w:rPr>
          <w:t>Service by post</w:t>
        </w:r>
        <w:r>
          <w:tab/>
        </w:r>
        <w:r>
          <w:fldChar w:fldCharType="begin"/>
        </w:r>
        <w:r>
          <w:instrText xml:space="preserve"> PAGEREF _Toc83626280 \h </w:instrText>
        </w:r>
        <w:r>
          <w:fldChar w:fldCharType="separate"/>
        </w:r>
        <w:r w:rsidR="005C5D7F">
          <w:t>666</w:t>
        </w:r>
        <w:r>
          <w:fldChar w:fldCharType="end"/>
        </w:r>
      </w:hyperlink>
    </w:p>
    <w:p w14:paraId="26A2E50E" w14:textId="643457CC" w:rsidR="005E03F7" w:rsidRDefault="005E03F7">
      <w:pPr>
        <w:pStyle w:val="TOC5"/>
        <w:rPr>
          <w:rFonts w:asciiTheme="minorHAnsi" w:eastAsiaTheme="minorEastAsia" w:hAnsiTheme="minorHAnsi" w:cstheme="minorBidi"/>
          <w:sz w:val="22"/>
          <w:szCs w:val="22"/>
          <w:lang w:eastAsia="en-AU"/>
        </w:rPr>
      </w:pPr>
      <w:r>
        <w:tab/>
      </w:r>
      <w:hyperlink w:anchor="_Toc83626281" w:history="1">
        <w:r w:rsidRPr="00D90FEA">
          <w:t>740</w:t>
        </w:r>
        <w:r>
          <w:rPr>
            <w:rFonts w:asciiTheme="minorHAnsi" w:eastAsiaTheme="minorEastAsia" w:hAnsiTheme="minorHAnsi" w:cstheme="minorBidi"/>
            <w:sz w:val="22"/>
            <w:szCs w:val="22"/>
            <w:lang w:eastAsia="en-AU"/>
          </w:rPr>
          <w:tab/>
        </w:r>
        <w:r w:rsidRPr="00D90FEA">
          <w:rPr>
            <w:rFonts w:ascii="Helvetica" w:hAnsi="Helvetica" w:cs="Helvetica"/>
          </w:rPr>
          <w:t>Fees</w:t>
        </w:r>
        <w:r>
          <w:tab/>
        </w:r>
        <w:r>
          <w:fldChar w:fldCharType="begin"/>
        </w:r>
        <w:r>
          <w:instrText xml:space="preserve"> PAGEREF _Toc83626281 \h </w:instrText>
        </w:r>
        <w:r>
          <w:fldChar w:fldCharType="separate"/>
        </w:r>
        <w:r w:rsidR="005C5D7F">
          <w:t>666</w:t>
        </w:r>
        <w:r>
          <w:fldChar w:fldCharType="end"/>
        </w:r>
      </w:hyperlink>
    </w:p>
    <w:p w14:paraId="523A2439" w14:textId="3FE50A60" w:rsidR="005E03F7" w:rsidRDefault="005E03F7">
      <w:pPr>
        <w:pStyle w:val="TOC5"/>
        <w:rPr>
          <w:rFonts w:asciiTheme="minorHAnsi" w:eastAsiaTheme="minorEastAsia" w:hAnsiTheme="minorHAnsi" w:cstheme="minorBidi"/>
          <w:sz w:val="22"/>
          <w:szCs w:val="22"/>
          <w:lang w:eastAsia="en-AU"/>
        </w:rPr>
      </w:pPr>
      <w:r>
        <w:tab/>
      </w:r>
      <w:hyperlink w:anchor="_Toc83626282" w:history="1">
        <w:r w:rsidRPr="00D90FEA">
          <w:t>740A</w:t>
        </w:r>
        <w:r>
          <w:rPr>
            <w:rFonts w:asciiTheme="minorHAnsi" w:eastAsiaTheme="minorEastAsia" w:hAnsiTheme="minorHAnsi" w:cstheme="minorBidi"/>
            <w:sz w:val="22"/>
            <w:szCs w:val="22"/>
            <w:lang w:eastAsia="en-AU"/>
          </w:rPr>
          <w:tab/>
        </w:r>
        <w:r w:rsidRPr="00D90FEA">
          <w:rPr>
            <w:lang w:val="en" w:eastAsia="en-AU"/>
          </w:rPr>
          <w:t>Increase of fee amounts</w:t>
        </w:r>
        <w:r>
          <w:tab/>
        </w:r>
        <w:r>
          <w:fldChar w:fldCharType="begin"/>
        </w:r>
        <w:r>
          <w:instrText xml:space="preserve"> PAGEREF _Toc83626282 \h </w:instrText>
        </w:r>
        <w:r>
          <w:fldChar w:fldCharType="separate"/>
        </w:r>
        <w:r w:rsidR="005C5D7F">
          <w:t>667</w:t>
        </w:r>
        <w:r>
          <w:fldChar w:fldCharType="end"/>
        </w:r>
      </w:hyperlink>
    </w:p>
    <w:p w14:paraId="1B8C8C41" w14:textId="2050C908" w:rsidR="005E03F7" w:rsidRDefault="005E03F7">
      <w:pPr>
        <w:pStyle w:val="TOC5"/>
        <w:rPr>
          <w:rFonts w:asciiTheme="minorHAnsi" w:eastAsiaTheme="minorEastAsia" w:hAnsiTheme="minorHAnsi" w:cstheme="minorBidi"/>
          <w:sz w:val="22"/>
          <w:szCs w:val="22"/>
          <w:lang w:eastAsia="en-AU"/>
        </w:rPr>
      </w:pPr>
      <w:r>
        <w:tab/>
      </w:r>
      <w:hyperlink w:anchor="_Toc83626283" w:history="1">
        <w:r w:rsidRPr="00D90FEA">
          <w:t>741</w:t>
        </w:r>
        <w:r>
          <w:rPr>
            <w:rFonts w:asciiTheme="minorHAnsi" w:eastAsiaTheme="minorEastAsia" w:hAnsiTheme="minorHAnsi" w:cstheme="minorBidi"/>
            <w:sz w:val="22"/>
            <w:szCs w:val="22"/>
            <w:lang w:eastAsia="en-AU"/>
          </w:rPr>
          <w:tab/>
        </w:r>
        <w:r w:rsidRPr="00D90FEA">
          <w:rPr>
            <w:rFonts w:ascii="Helvetica" w:hAnsi="Helvetica" w:cs="Helvetica"/>
          </w:rPr>
          <w:t>Recovery of amounts payable under Law</w:t>
        </w:r>
        <w:r>
          <w:tab/>
        </w:r>
        <w:r>
          <w:fldChar w:fldCharType="begin"/>
        </w:r>
        <w:r>
          <w:instrText xml:space="preserve"> PAGEREF _Toc83626283 \h </w:instrText>
        </w:r>
        <w:r>
          <w:fldChar w:fldCharType="separate"/>
        </w:r>
        <w:r w:rsidR="005C5D7F">
          <w:t>668</w:t>
        </w:r>
        <w:r>
          <w:fldChar w:fldCharType="end"/>
        </w:r>
      </w:hyperlink>
    </w:p>
    <w:p w14:paraId="79ED6284" w14:textId="4831EB20" w:rsidR="005E03F7" w:rsidRDefault="005E03F7">
      <w:pPr>
        <w:pStyle w:val="TOC5"/>
        <w:rPr>
          <w:rFonts w:asciiTheme="minorHAnsi" w:eastAsiaTheme="minorEastAsia" w:hAnsiTheme="minorHAnsi" w:cstheme="minorBidi"/>
          <w:sz w:val="22"/>
          <w:szCs w:val="22"/>
          <w:lang w:eastAsia="en-AU"/>
        </w:rPr>
      </w:pPr>
      <w:r>
        <w:tab/>
      </w:r>
      <w:hyperlink w:anchor="_Toc83626284" w:history="1">
        <w:r w:rsidRPr="00D90FEA">
          <w:t>742</w:t>
        </w:r>
        <w:r>
          <w:rPr>
            <w:rFonts w:asciiTheme="minorHAnsi" w:eastAsiaTheme="minorEastAsia" w:hAnsiTheme="minorHAnsi" w:cstheme="minorBidi"/>
            <w:sz w:val="22"/>
            <w:szCs w:val="22"/>
            <w:lang w:eastAsia="en-AU"/>
          </w:rPr>
          <w:tab/>
        </w:r>
        <w:r w:rsidRPr="00D90FEA">
          <w:rPr>
            <w:rFonts w:ascii="Helvetica" w:hAnsi="Helvetica" w:cs="Helvetica"/>
          </w:rPr>
          <w:t>Contracting out prohibited</w:t>
        </w:r>
        <w:r>
          <w:tab/>
        </w:r>
        <w:r>
          <w:fldChar w:fldCharType="begin"/>
        </w:r>
        <w:r>
          <w:instrText xml:space="preserve"> PAGEREF _Toc83626284 \h </w:instrText>
        </w:r>
        <w:r>
          <w:fldChar w:fldCharType="separate"/>
        </w:r>
        <w:r w:rsidR="005C5D7F">
          <w:t>668</w:t>
        </w:r>
        <w:r>
          <w:fldChar w:fldCharType="end"/>
        </w:r>
      </w:hyperlink>
    </w:p>
    <w:p w14:paraId="22E9580B" w14:textId="451941BF" w:rsidR="005E03F7" w:rsidRDefault="005E03F7">
      <w:pPr>
        <w:pStyle w:val="TOC5"/>
        <w:rPr>
          <w:rFonts w:asciiTheme="minorHAnsi" w:eastAsiaTheme="minorEastAsia" w:hAnsiTheme="minorHAnsi" w:cstheme="minorBidi"/>
          <w:sz w:val="22"/>
          <w:szCs w:val="22"/>
          <w:lang w:eastAsia="en-AU"/>
        </w:rPr>
      </w:pPr>
      <w:r>
        <w:tab/>
      </w:r>
      <w:hyperlink w:anchor="_Toc83626285" w:history="1">
        <w:r w:rsidRPr="00D90FEA">
          <w:t>743</w:t>
        </w:r>
        <w:r>
          <w:rPr>
            <w:rFonts w:asciiTheme="minorHAnsi" w:eastAsiaTheme="minorEastAsia" w:hAnsiTheme="minorHAnsi" w:cstheme="minorBidi"/>
            <w:sz w:val="22"/>
            <w:szCs w:val="22"/>
            <w:lang w:eastAsia="en-AU"/>
          </w:rPr>
          <w:tab/>
        </w:r>
        <w:r w:rsidRPr="00D90FEA">
          <w:rPr>
            <w:rFonts w:ascii="Helvetica" w:hAnsi="Helvetica" w:cs="Helvetica"/>
          </w:rPr>
          <w:t>Other powers not affected</w:t>
        </w:r>
        <w:r>
          <w:tab/>
        </w:r>
        <w:r>
          <w:fldChar w:fldCharType="begin"/>
        </w:r>
        <w:r>
          <w:instrText xml:space="preserve"> PAGEREF _Toc83626285 \h </w:instrText>
        </w:r>
        <w:r>
          <w:fldChar w:fldCharType="separate"/>
        </w:r>
        <w:r w:rsidR="005C5D7F">
          <w:t>669</w:t>
        </w:r>
        <w:r>
          <w:fldChar w:fldCharType="end"/>
        </w:r>
      </w:hyperlink>
    </w:p>
    <w:p w14:paraId="6CE35BA9" w14:textId="0F94D971" w:rsidR="005E03F7" w:rsidRDefault="00856BEE">
      <w:pPr>
        <w:pStyle w:val="TOC1"/>
        <w:rPr>
          <w:rFonts w:asciiTheme="minorHAnsi" w:eastAsiaTheme="minorEastAsia" w:hAnsiTheme="minorHAnsi" w:cstheme="minorBidi"/>
          <w:b w:val="0"/>
          <w:sz w:val="22"/>
          <w:szCs w:val="22"/>
          <w:lang w:eastAsia="en-AU"/>
        </w:rPr>
      </w:pPr>
      <w:hyperlink w:anchor="_Toc83626286" w:history="1">
        <w:r w:rsidR="005E03F7" w:rsidRPr="00D90FEA">
          <w:t xml:space="preserve">Chapter 14 </w:t>
        </w:r>
        <w:r w:rsidR="005E03F7">
          <w:rPr>
            <w:rFonts w:asciiTheme="minorHAnsi" w:eastAsiaTheme="minorEastAsia" w:hAnsiTheme="minorHAnsi" w:cstheme="minorBidi"/>
            <w:b w:val="0"/>
            <w:sz w:val="22"/>
            <w:szCs w:val="22"/>
            <w:lang w:eastAsia="en-AU"/>
          </w:rPr>
          <w:tab/>
        </w:r>
        <w:r w:rsidR="005E03F7" w:rsidRPr="00D90FEA">
          <w:t>Savings and transitional provisions</w:t>
        </w:r>
        <w:r w:rsidR="005E03F7" w:rsidRPr="005E03F7">
          <w:rPr>
            <w:vanish/>
          </w:rPr>
          <w:tab/>
        </w:r>
        <w:r w:rsidR="005E03F7" w:rsidRPr="005E03F7">
          <w:rPr>
            <w:vanish/>
          </w:rPr>
          <w:fldChar w:fldCharType="begin"/>
        </w:r>
        <w:r w:rsidR="005E03F7" w:rsidRPr="005E03F7">
          <w:rPr>
            <w:vanish/>
          </w:rPr>
          <w:instrText xml:space="preserve"> PAGEREF _Toc83626286 \h </w:instrText>
        </w:r>
        <w:r w:rsidR="005E03F7" w:rsidRPr="005E03F7">
          <w:rPr>
            <w:vanish/>
          </w:rPr>
        </w:r>
        <w:r w:rsidR="005E03F7" w:rsidRPr="005E03F7">
          <w:rPr>
            <w:vanish/>
          </w:rPr>
          <w:fldChar w:fldCharType="separate"/>
        </w:r>
        <w:r w:rsidR="005C5D7F">
          <w:rPr>
            <w:vanish/>
          </w:rPr>
          <w:t>670</w:t>
        </w:r>
        <w:r w:rsidR="005E03F7" w:rsidRPr="005E03F7">
          <w:rPr>
            <w:vanish/>
          </w:rPr>
          <w:fldChar w:fldCharType="end"/>
        </w:r>
      </w:hyperlink>
    </w:p>
    <w:p w14:paraId="69404F0A" w14:textId="6AF9A6FA" w:rsidR="005E03F7" w:rsidRDefault="00856BEE">
      <w:pPr>
        <w:pStyle w:val="TOC2"/>
        <w:rPr>
          <w:rFonts w:asciiTheme="minorHAnsi" w:eastAsiaTheme="minorEastAsia" w:hAnsiTheme="minorHAnsi" w:cstheme="minorBidi"/>
          <w:b w:val="0"/>
          <w:sz w:val="22"/>
          <w:szCs w:val="22"/>
          <w:lang w:eastAsia="en-AU"/>
        </w:rPr>
      </w:pPr>
      <w:hyperlink w:anchor="_Toc83626287" w:history="1">
        <w:r w:rsidR="005E03F7" w:rsidRPr="00D90FEA">
          <w:t>Part 14.1</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rPr>
          <w:t>Interim provisions relating to Ministers and Board</w:t>
        </w:r>
        <w:r w:rsidR="005E03F7" w:rsidRPr="005E03F7">
          <w:rPr>
            <w:vanish/>
          </w:rPr>
          <w:tab/>
        </w:r>
        <w:r w:rsidR="005E03F7" w:rsidRPr="005E03F7">
          <w:rPr>
            <w:vanish/>
          </w:rPr>
          <w:fldChar w:fldCharType="begin"/>
        </w:r>
        <w:r w:rsidR="005E03F7" w:rsidRPr="005E03F7">
          <w:rPr>
            <w:vanish/>
          </w:rPr>
          <w:instrText xml:space="preserve"> PAGEREF _Toc83626287 \h </w:instrText>
        </w:r>
        <w:r w:rsidR="005E03F7" w:rsidRPr="005E03F7">
          <w:rPr>
            <w:vanish/>
          </w:rPr>
        </w:r>
        <w:r w:rsidR="005E03F7" w:rsidRPr="005E03F7">
          <w:rPr>
            <w:vanish/>
          </w:rPr>
          <w:fldChar w:fldCharType="separate"/>
        </w:r>
        <w:r w:rsidR="005C5D7F">
          <w:rPr>
            <w:vanish/>
          </w:rPr>
          <w:t>670</w:t>
        </w:r>
        <w:r w:rsidR="005E03F7" w:rsidRPr="005E03F7">
          <w:rPr>
            <w:vanish/>
          </w:rPr>
          <w:fldChar w:fldCharType="end"/>
        </w:r>
      </w:hyperlink>
    </w:p>
    <w:p w14:paraId="63251B28" w14:textId="645E5DF3" w:rsidR="005E03F7" w:rsidRDefault="005E03F7">
      <w:pPr>
        <w:pStyle w:val="TOC5"/>
        <w:rPr>
          <w:rFonts w:asciiTheme="minorHAnsi" w:eastAsiaTheme="minorEastAsia" w:hAnsiTheme="minorHAnsi" w:cstheme="minorBidi"/>
          <w:sz w:val="22"/>
          <w:szCs w:val="22"/>
          <w:lang w:eastAsia="en-AU"/>
        </w:rPr>
      </w:pPr>
      <w:r>
        <w:tab/>
      </w:r>
      <w:hyperlink w:anchor="_Toc83626288" w:history="1">
        <w:r w:rsidRPr="00D90FEA">
          <w:t>744</w:t>
        </w:r>
        <w:r>
          <w:rPr>
            <w:rFonts w:asciiTheme="minorHAnsi" w:eastAsiaTheme="minorEastAsia" w:hAnsiTheme="minorHAnsi" w:cstheme="minorBidi"/>
            <w:sz w:val="22"/>
            <w:szCs w:val="22"/>
            <w:lang w:eastAsia="en-AU"/>
          </w:rPr>
          <w:tab/>
        </w:r>
        <w:r w:rsidRPr="00D90FEA">
          <w:rPr>
            <w:rFonts w:ascii="Helvetica" w:hAnsi="Helvetica" w:cs="Helvetica"/>
          </w:rPr>
          <w:t>Responsible Ministers</w:t>
        </w:r>
        <w:r>
          <w:tab/>
        </w:r>
        <w:r>
          <w:fldChar w:fldCharType="begin"/>
        </w:r>
        <w:r>
          <w:instrText xml:space="preserve"> PAGEREF _Toc83626288 \h </w:instrText>
        </w:r>
        <w:r>
          <w:fldChar w:fldCharType="separate"/>
        </w:r>
        <w:r w:rsidR="005C5D7F">
          <w:t>670</w:t>
        </w:r>
        <w:r>
          <w:fldChar w:fldCharType="end"/>
        </w:r>
      </w:hyperlink>
    </w:p>
    <w:p w14:paraId="218FB648" w14:textId="5488C9E6" w:rsidR="005E03F7" w:rsidRDefault="005E03F7">
      <w:pPr>
        <w:pStyle w:val="TOC5"/>
        <w:rPr>
          <w:rFonts w:asciiTheme="minorHAnsi" w:eastAsiaTheme="minorEastAsia" w:hAnsiTheme="minorHAnsi" w:cstheme="minorBidi"/>
          <w:sz w:val="22"/>
          <w:szCs w:val="22"/>
          <w:lang w:eastAsia="en-AU"/>
        </w:rPr>
      </w:pPr>
      <w:r>
        <w:lastRenderedPageBreak/>
        <w:tab/>
      </w:r>
      <w:hyperlink w:anchor="_Toc83626289" w:history="1">
        <w:r w:rsidRPr="00D90FEA">
          <w:t>745</w:t>
        </w:r>
        <w:r>
          <w:rPr>
            <w:rFonts w:asciiTheme="minorHAnsi" w:eastAsiaTheme="minorEastAsia" w:hAnsiTheme="minorHAnsi" w:cstheme="minorBidi"/>
            <w:sz w:val="22"/>
            <w:szCs w:val="22"/>
            <w:lang w:eastAsia="en-AU"/>
          </w:rPr>
          <w:tab/>
        </w:r>
        <w:r w:rsidRPr="00D90FEA">
          <w:rPr>
            <w:rFonts w:ascii="Helvetica" w:hAnsi="Helvetica" w:cs="Helvetica"/>
          </w:rPr>
          <w:t>Exercise of powers by Board between enactment and commencement</w:t>
        </w:r>
        <w:r>
          <w:tab/>
        </w:r>
        <w:r>
          <w:fldChar w:fldCharType="begin"/>
        </w:r>
        <w:r>
          <w:instrText xml:space="preserve"> PAGEREF _Toc83626289 \h </w:instrText>
        </w:r>
        <w:r>
          <w:fldChar w:fldCharType="separate"/>
        </w:r>
        <w:r w:rsidR="005C5D7F">
          <w:t>671</w:t>
        </w:r>
        <w:r>
          <w:fldChar w:fldCharType="end"/>
        </w:r>
      </w:hyperlink>
    </w:p>
    <w:p w14:paraId="2150BF73" w14:textId="61C0CA77" w:rsidR="005E03F7" w:rsidRDefault="00856BEE">
      <w:pPr>
        <w:pStyle w:val="TOC2"/>
        <w:rPr>
          <w:rFonts w:asciiTheme="minorHAnsi" w:eastAsiaTheme="minorEastAsia" w:hAnsiTheme="minorHAnsi" w:cstheme="minorBidi"/>
          <w:b w:val="0"/>
          <w:sz w:val="22"/>
          <w:szCs w:val="22"/>
          <w:lang w:eastAsia="en-AU"/>
        </w:rPr>
      </w:pPr>
      <w:hyperlink w:anchor="_Toc83626290" w:history="1">
        <w:r w:rsidR="005E03F7" w:rsidRPr="00D90FEA">
          <w:t>Part 14.2</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rPr>
          <w:t>General provisions</w:t>
        </w:r>
        <w:r w:rsidR="005E03F7" w:rsidRPr="005E03F7">
          <w:rPr>
            <w:vanish/>
          </w:rPr>
          <w:tab/>
        </w:r>
        <w:r w:rsidR="005E03F7" w:rsidRPr="005E03F7">
          <w:rPr>
            <w:vanish/>
          </w:rPr>
          <w:fldChar w:fldCharType="begin"/>
        </w:r>
        <w:r w:rsidR="005E03F7" w:rsidRPr="005E03F7">
          <w:rPr>
            <w:vanish/>
          </w:rPr>
          <w:instrText xml:space="preserve"> PAGEREF _Toc83626290 \h </w:instrText>
        </w:r>
        <w:r w:rsidR="005E03F7" w:rsidRPr="005E03F7">
          <w:rPr>
            <w:vanish/>
          </w:rPr>
        </w:r>
        <w:r w:rsidR="005E03F7" w:rsidRPr="005E03F7">
          <w:rPr>
            <w:vanish/>
          </w:rPr>
          <w:fldChar w:fldCharType="separate"/>
        </w:r>
        <w:r w:rsidR="005C5D7F">
          <w:rPr>
            <w:vanish/>
          </w:rPr>
          <w:t>673</w:t>
        </w:r>
        <w:r w:rsidR="005E03F7" w:rsidRPr="005E03F7">
          <w:rPr>
            <w:vanish/>
          </w:rPr>
          <w:fldChar w:fldCharType="end"/>
        </w:r>
      </w:hyperlink>
    </w:p>
    <w:p w14:paraId="31CD69B5" w14:textId="074DE577" w:rsidR="005E03F7" w:rsidRDefault="005E03F7">
      <w:pPr>
        <w:pStyle w:val="TOC5"/>
        <w:rPr>
          <w:rFonts w:asciiTheme="minorHAnsi" w:eastAsiaTheme="minorEastAsia" w:hAnsiTheme="minorHAnsi" w:cstheme="minorBidi"/>
          <w:sz w:val="22"/>
          <w:szCs w:val="22"/>
          <w:lang w:eastAsia="en-AU"/>
        </w:rPr>
      </w:pPr>
      <w:r>
        <w:tab/>
      </w:r>
      <w:hyperlink w:anchor="_Toc83626291" w:history="1">
        <w:r w:rsidRPr="00D90FEA">
          <w:t>746</w:t>
        </w:r>
        <w:r>
          <w:rPr>
            <w:rFonts w:asciiTheme="minorHAnsi" w:eastAsiaTheme="minorEastAsia" w:hAnsiTheme="minorHAnsi" w:cstheme="minorBidi"/>
            <w:sz w:val="22"/>
            <w:szCs w:val="22"/>
            <w:lang w:eastAsia="en-AU"/>
          </w:rPr>
          <w:tab/>
        </w:r>
        <w:r w:rsidRPr="00D90FEA">
          <w:rPr>
            <w:rFonts w:ascii="Helvetica" w:hAnsi="Helvetica" w:cs="Helvetica"/>
            <w:iCs/>
          </w:rPr>
          <w:t>Application of Part 14.2</w:t>
        </w:r>
        <w:r>
          <w:tab/>
        </w:r>
        <w:r>
          <w:fldChar w:fldCharType="begin"/>
        </w:r>
        <w:r>
          <w:instrText xml:space="preserve"> PAGEREF _Toc83626291 \h </w:instrText>
        </w:r>
        <w:r>
          <w:fldChar w:fldCharType="separate"/>
        </w:r>
        <w:r w:rsidR="005C5D7F">
          <w:t>673</w:t>
        </w:r>
        <w:r>
          <w:fldChar w:fldCharType="end"/>
        </w:r>
      </w:hyperlink>
    </w:p>
    <w:p w14:paraId="305D10CF" w14:textId="44E10521" w:rsidR="005E03F7" w:rsidRDefault="005E03F7">
      <w:pPr>
        <w:pStyle w:val="TOC5"/>
        <w:rPr>
          <w:rFonts w:asciiTheme="minorHAnsi" w:eastAsiaTheme="minorEastAsia" w:hAnsiTheme="minorHAnsi" w:cstheme="minorBidi"/>
          <w:sz w:val="22"/>
          <w:szCs w:val="22"/>
          <w:lang w:eastAsia="en-AU"/>
        </w:rPr>
      </w:pPr>
      <w:r>
        <w:tab/>
      </w:r>
      <w:hyperlink w:anchor="_Toc83626292" w:history="1">
        <w:r w:rsidRPr="00D90FEA">
          <w:t>747</w:t>
        </w:r>
        <w:r>
          <w:rPr>
            <w:rFonts w:asciiTheme="minorHAnsi" w:eastAsiaTheme="minorEastAsia" w:hAnsiTheme="minorHAnsi" w:cstheme="minorBidi"/>
            <w:sz w:val="22"/>
            <w:szCs w:val="22"/>
            <w:lang w:eastAsia="en-AU"/>
          </w:rPr>
          <w:tab/>
        </w:r>
        <w:r w:rsidRPr="00D90FEA">
          <w:rPr>
            <w:rFonts w:ascii="Helvetica" w:hAnsi="Helvetica" w:cs="Helvetica"/>
            <w:iCs/>
          </w:rPr>
          <w:t>Definitions for Part 14.2</w:t>
        </w:r>
        <w:r>
          <w:tab/>
        </w:r>
        <w:r>
          <w:fldChar w:fldCharType="begin"/>
        </w:r>
        <w:r>
          <w:instrText xml:space="preserve"> PAGEREF _Toc83626292 \h </w:instrText>
        </w:r>
        <w:r>
          <w:fldChar w:fldCharType="separate"/>
        </w:r>
        <w:r w:rsidR="005C5D7F">
          <w:t>673</w:t>
        </w:r>
        <w:r>
          <w:fldChar w:fldCharType="end"/>
        </w:r>
      </w:hyperlink>
    </w:p>
    <w:p w14:paraId="7D5A96AF" w14:textId="0D813EFC" w:rsidR="005E03F7" w:rsidRDefault="005E03F7">
      <w:pPr>
        <w:pStyle w:val="TOC5"/>
        <w:rPr>
          <w:rFonts w:asciiTheme="minorHAnsi" w:eastAsiaTheme="minorEastAsia" w:hAnsiTheme="minorHAnsi" w:cstheme="minorBidi"/>
          <w:sz w:val="22"/>
          <w:szCs w:val="22"/>
          <w:lang w:eastAsia="en-AU"/>
        </w:rPr>
      </w:pPr>
      <w:r>
        <w:tab/>
      </w:r>
      <w:hyperlink w:anchor="_Toc83626293" w:history="1">
        <w:r w:rsidRPr="00D90FEA">
          <w:t>748</w:t>
        </w:r>
        <w:r>
          <w:rPr>
            <w:rFonts w:asciiTheme="minorHAnsi" w:eastAsiaTheme="minorEastAsia" w:hAnsiTheme="minorHAnsi" w:cstheme="minorBidi"/>
            <w:sz w:val="22"/>
            <w:szCs w:val="22"/>
            <w:lang w:eastAsia="en-AU"/>
          </w:rPr>
          <w:tab/>
        </w:r>
        <w:r w:rsidRPr="00D90FEA">
          <w:rPr>
            <w:rFonts w:ascii="Helvetica" w:hAnsi="Helvetica" w:cs="Helvetica"/>
            <w:iCs/>
          </w:rPr>
          <w:t>General savings and transitional provision</w:t>
        </w:r>
        <w:r>
          <w:tab/>
        </w:r>
        <w:r>
          <w:fldChar w:fldCharType="begin"/>
        </w:r>
        <w:r>
          <w:instrText xml:space="preserve"> PAGEREF _Toc83626293 \h </w:instrText>
        </w:r>
        <w:r>
          <w:fldChar w:fldCharType="separate"/>
        </w:r>
        <w:r w:rsidR="005C5D7F">
          <w:t>674</w:t>
        </w:r>
        <w:r>
          <w:fldChar w:fldCharType="end"/>
        </w:r>
      </w:hyperlink>
    </w:p>
    <w:p w14:paraId="1753AE57" w14:textId="37B089D2" w:rsidR="005E03F7" w:rsidRDefault="005E03F7">
      <w:pPr>
        <w:pStyle w:val="TOC5"/>
        <w:rPr>
          <w:rFonts w:asciiTheme="minorHAnsi" w:eastAsiaTheme="minorEastAsia" w:hAnsiTheme="minorHAnsi" w:cstheme="minorBidi"/>
          <w:sz w:val="22"/>
          <w:szCs w:val="22"/>
          <w:lang w:eastAsia="en-AU"/>
        </w:rPr>
      </w:pPr>
      <w:r>
        <w:tab/>
      </w:r>
      <w:hyperlink w:anchor="_Toc83626294" w:history="1">
        <w:r w:rsidRPr="00D90FEA">
          <w:t>749</w:t>
        </w:r>
        <w:r>
          <w:rPr>
            <w:rFonts w:asciiTheme="minorHAnsi" w:eastAsiaTheme="minorEastAsia" w:hAnsiTheme="minorHAnsi" w:cstheme="minorBidi"/>
            <w:sz w:val="22"/>
            <w:szCs w:val="22"/>
            <w:lang w:eastAsia="en-AU"/>
          </w:rPr>
          <w:tab/>
        </w:r>
        <w:r w:rsidRPr="00D90FEA">
          <w:rPr>
            <w:rFonts w:ascii="Helvetica" w:hAnsi="Helvetica" w:cs="Helvetica"/>
            <w:iCs/>
          </w:rPr>
          <w:t>Expiry of certain permits, exemptions, notices and authorities</w:t>
        </w:r>
        <w:r>
          <w:tab/>
        </w:r>
        <w:r>
          <w:fldChar w:fldCharType="begin"/>
        </w:r>
        <w:r>
          <w:instrText xml:space="preserve"> PAGEREF _Toc83626294 \h </w:instrText>
        </w:r>
        <w:r>
          <w:fldChar w:fldCharType="separate"/>
        </w:r>
        <w:r w:rsidR="005C5D7F">
          <w:t>676</w:t>
        </w:r>
        <w:r>
          <w:fldChar w:fldCharType="end"/>
        </w:r>
      </w:hyperlink>
    </w:p>
    <w:p w14:paraId="0053EF57" w14:textId="0B5B6FE8" w:rsidR="005E03F7" w:rsidRDefault="005E03F7">
      <w:pPr>
        <w:pStyle w:val="TOC5"/>
        <w:rPr>
          <w:rFonts w:asciiTheme="minorHAnsi" w:eastAsiaTheme="minorEastAsia" w:hAnsiTheme="minorHAnsi" w:cstheme="minorBidi"/>
          <w:sz w:val="22"/>
          <w:szCs w:val="22"/>
          <w:lang w:eastAsia="en-AU"/>
        </w:rPr>
      </w:pPr>
      <w:r>
        <w:tab/>
      </w:r>
      <w:hyperlink w:anchor="_Toc83626295" w:history="1">
        <w:r w:rsidRPr="00D90FEA">
          <w:t>750</w:t>
        </w:r>
        <w:r>
          <w:rPr>
            <w:rFonts w:asciiTheme="minorHAnsi" w:eastAsiaTheme="minorEastAsia" w:hAnsiTheme="minorHAnsi" w:cstheme="minorBidi"/>
            <w:sz w:val="22"/>
            <w:szCs w:val="22"/>
            <w:lang w:eastAsia="en-AU"/>
          </w:rPr>
          <w:tab/>
        </w:r>
        <w:r w:rsidRPr="00D90FEA">
          <w:rPr>
            <w:rFonts w:ascii="Helvetica" w:hAnsi="Helvetica" w:cs="Helvetica"/>
            <w:iCs/>
          </w:rPr>
          <w:t>Amendment or cancellation of instruments carried over from former legislation</w:t>
        </w:r>
        <w:r>
          <w:tab/>
        </w:r>
        <w:r>
          <w:fldChar w:fldCharType="begin"/>
        </w:r>
        <w:r>
          <w:instrText xml:space="preserve"> PAGEREF _Toc83626295 \h </w:instrText>
        </w:r>
        <w:r>
          <w:fldChar w:fldCharType="separate"/>
        </w:r>
        <w:r w:rsidR="005C5D7F">
          <w:t>677</w:t>
        </w:r>
        <w:r>
          <w:fldChar w:fldCharType="end"/>
        </w:r>
      </w:hyperlink>
    </w:p>
    <w:p w14:paraId="2F1184C5" w14:textId="61C03DC8" w:rsidR="005E03F7" w:rsidRDefault="005E03F7">
      <w:pPr>
        <w:pStyle w:val="TOC5"/>
        <w:rPr>
          <w:rFonts w:asciiTheme="minorHAnsi" w:eastAsiaTheme="minorEastAsia" w:hAnsiTheme="minorHAnsi" w:cstheme="minorBidi"/>
          <w:sz w:val="22"/>
          <w:szCs w:val="22"/>
          <w:lang w:eastAsia="en-AU"/>
        </w:rPr>
      </w:pPr>
      <w:r>
        <w:tab/>
      </w:r>
      <w:hyperlink w:anchor="_Toc83626296" w:history="1">
        <w:r w:rsidRPr="00D90FEA">
          <w:t>751</w:t>
        </w:r>
        <w:r>
          <w:rPr>
            <w:rFonts w:asciiTheme="minorHAnsi" w:eastAsiaTheme="minorEastAsia" w:hAnsiTheme="minorHAnsi" w:cstheme="minorBidi"/>
            <w:sz w:val="22"/>
            <w:szCs w:val="22"/>
            <w:lang w:eastAsia="en-AU"/>
          </w:rPr>
          <w:tab/>
        </w:r>
        <w:r w:rsidRPr="00D90FEA">
          <w:rPr>
            <w:rFonts w:ascii="Helvetica" w:hAnsi="Helvetica" w:cs="Helvetica"/>
            <w:iCs/>
          </w:rPr>
          <w:t>Expiry of industry codes of practice</w:t>
        </w:r>
        <w:r>
          <w:tab/>
        </w:r>
        <w:r>
          <w:fldChar w:fldCharType="begin"/>
        </w:r>
        <w:r>
          <w:instrText xml:space="preserve"> PAGEREF _Toc83626296 \h </w:instrText>
        </w:r>
        <w:r>
          <w:fldChar w:fldCharType="separate"/>
        </w:r>
        <w:r w:rsidR="005C5D7F">
          <w:t>678</w:t>
        </w:r>
        <w:r>
          <w:fldChar w:fldCharType="end"/>
        </w:r>
      </w:hyperlink>
    </w:p>
    <w:p w14:paraId="4E1F3AD4" w14:textId="30AE7071" w:rsidR="005E03F7" w:rsidRDefault="005E03F7">
      <w:pPr>
        <w:pStyle w:val="TOC5"/>
        <w:rPr>
          <w:rFonts w:asciiTheme="minorHAnsi" w:eastAsiaTheme="minorEastAsia" w:hAnsiTheme="minorHAnsi" w:cstheme="minorBidi"/>
          <w:sz w:val="22"/>
          <w:szCs w:val="22"/>
          <w:lang w:eastAsia="en-AU"/>
        </w:rPr>
      </w:pPr>
      <w:r>
        <w:tab/>
      </w:r>
      <w:hyperlink w:anchor="_Toc83626297" w:history="1">
        <w:r w:rsidRPr="00D90FEA">
          <w:t>752</w:t>
        </w:r>
        <w:r>
          <w:rPr>
            <w:rFonts w:asciiTheme="minorHAnsi" w:eastAsiaTheme="minorEastAsia" w:hAnsiTheme="minorHAnsi" w:cstheme="minorBidi"/>
            <w:sz w:val="22"/>
            <w:szCs w:val="22"/>
            <w:lang w:eastAsia="en-AU"/>
          </w:rPr>
          <w:tab/>
        </w:r>
        <w:r w:rsidRPr="00D90FEA">
          <w:rPr>
            <w:rFonts w:ascii="Helvetica" w:hAnsi="Helvetica" w:cs="Helvetica"/>
            <w:iCs/>
          </w:rPr>
          <w:t>Pending matters</w:t>
        </w:r>
        <w:r>
          <w:tab/>
        </w:r>
        <w:r>
          <w:fldChar w:fldCharType="begin"/>
        </w:r>
        <w:r>
          <w:instrText xml:space="preserve"> PAGEREF _Toc83626297 \h </w:instrText>
        </w:r>
        <w:r>
          <w:fldChar w:fldCharType="separate"/>
        </w:r>
        <w:r w:rsidR="005C5D7F">
          <w:t>678</w:t>
        </w:r>
        <w:r>
          <w:fldChar w:fldCharType="end"/>
        </w:r>
      </w:hyperlink>
    </w:p>
    <w:p w14:paraId="1F20C743" w14:textId="288D700D" w:rsidR="005E03F7" w:rsidRDefault="005E03F7">
      <w:pPr>
        <w:pStyle w:val="TOC5"/>
        <w:rPr>
          <w:rFonts w:asciiTheme="minorHAnsi" w:eastAsiaTheme="minorEastAsia" w:hAnsiTheme="minorHAnsi" w:cstheme="minorBidi"/>
          <w:sz w:val="22"/>
          <w:szCs w:val="22"/>
          <w:lang w:eastAsia="en-AU"/>
        </w:rPr>
      </w:pPr>
      <w:r>
        <w:tab/>
      </w:r>
      <w:hyperlink w:anchor="_Toc83626298" w:history="1">
        <w:r w:rsidRPr="00D90FEA">
          <w:t>753</w:t>
        </w:r>
        <w:r>
          <w:rPr>
            <w:rFonts w:asciiTheme="minorHAnsi" w:eastAsiaTheme="minorEastAsia" w:hAnsiTheme="minorHAnsi" w:cstheme="minorBidi"/>
            <w:sz w:val="22"/>
            <w:szCs w:val="22"/>
            <w:lang w:eastAsia="en-AU"/>
          </w:rPr>
          <w:tab/>
        </w:r>
        <w:r w:rsidRPr="00D90FEA">
          <w:rPr>
            <w:rFonts w:ascii="Helvetica" w:hAnsi="Helvetica" w:cs="Helvetica"/>
            <w:iCs/>
          </w:rPr>
          <w:t>Preservation of current PBS scheme</w:t>
        </w:r>
        <w:r>
          <w:tab/>
        </w:r>
        <w:r>
          <w:fldChar w:fldCharType="begin"/>
        </w:r>
        <w:r>
          <w:instrText xml:space="preserve"> PAGEREF _Toc83626298 \h </w:instrText>
        </w:r>
        <w:r>
          <w:fldChar w:fldCharType="separate"/>
        </w:r>
        <w:r w:rsidR="005C5D7F">
          <w:t>679</w:t>
        </w:r>
        <w:r>
          <w:fldChar w:fldCharType="end"/>
        </w:r>
      </w:hyperlink>
    </w:p>
    <w:p w14:paraId="47890C90" w14:textId="3F0E19BC" w:rsidR="005E03F7" w:rsidRDefault="005E03F7">
      <w:pPr>
        <w:pStyle w:val="TOC5"/>
        <w:rPr>
          <w:rFonts w:asciiTheme="minorHAnsi" w:eastAsiaTheme="minorEastAsia" w:hAnsiTheme="minorHAnsi" w:cstheme="minorBidi"/>
          <w:sz w:val="22"/>
          <w:szCs w:val="22"/>
          <w:lang w:eastAsia="en-AU"/>
        </w:rPr>
      </w:pPr>
      <w:r>
        <w:tab/>
      </w:r>
      <w:hyperlink w:anchor="_Toc83626299" w:history="1">
        <w:r w:rsidRPr="00D90FEA">
          <w:t>754</w:t>
        </w:r>
        <w:r>
          <w:rPr>
            <w:rFonts w:asciiTheme="minorHAnsi" w:eastAsiaTheme="minorEastAsia" w:hAnsiTheme="minorHAnsi" w:cstheme="minorBidi"/>
            <w:sz w:val="22"/>
            <w:szCs w:val="22"/>
            <w:lang w:eastAsia="en-AU"/>
          </w:rPr>
          <w:tab/>
        </w:r>
        <w:r w:rsidRPr="00D90FEA">
          <w:rPr>
            <w:rFonts w:ascii="Helvetica" w:hAnsi="Helvetica" w:cs="Helvetica"/>
            <w:iCs/>
          </w:rPr>
          <w:t>Preservation of contracts for current PBS scheme</w:t>
        </w:r>
        <w:r>
          <w:tab/>
        </w:r>
        <w:r>
          <w:fldChar w:fldCharType="begin"/>
        </w:r>
        <w:r>
          <w:instrText xml:space="preserve"> PAGEREF _Toc83626299 \h </w:instrText>
        </w:r>
        <w:r>
          <w:fldChar w:fldCharType="separate"/>
        </w:r>
        <w:r w:rsidR="005C5D7F">
          <w:t>679</w:t>
        </w:r>
        <w:r>
          <w:fldChar w:fldCharType="end"/>
        </w:r>
      </w:hyperlink>
    </w:p>
    <w:p w14:paraId="6FB3C521" w14:textId="6FD84E43" w:rsidR="005E03F7" w:rsidRDefault="005E03F7">
      <w:pPr>
        <w:pStyle w:val="TOC5"/>
        <w:rPr>
          <w:rFonts w:asciiTheme="minorHAnsi" w:eastAsiaTheme="minorEastAsia" w:hAnsiTheme="minorHAnsi" w:cstheme="minorBidi"/>
          <w:sz w:val="22"/>
          <w:szCs w:val="22"/>
          <w:lang w:eastAsia="en-AU"/>
        </w:rPr>
      </w:pPr>
      <w:r>
        <w:tab/>
      </w:r>
      <w:hyperlink w:anchor="_Toc83626300" w:history="1">
        <w:r w:rsidRPr="00D90FEA">
          <w:t>755</w:t>
        </w:r>
        <w:r>
          <w:rPr>
            <w:rFonts w:asciiTheme="minorHAnsi" w:eastAsiaTheme="minorEastAsia" w:hAnsiTheme="minorHAnsi" w:cstheme="minorBidi"/>
            <w:sz w:val="22"/>
            <w:szCs w:val="22"/>
            <w:lang w:eastAsia="en-AU"/>
          </w:rPr>
          <w:tab/>
        </w:r>
        <w:r w:rsidRPr="00D90FEA">
          <w:rPr>
            <w:rFonts w:ascii="Helvetica" w:hAnsi="Helvetica" w:cs="Helvetica"/>
          </w:rPr>
          <w:t>National regulations for savings and transitional matters</w:t>
        </w:r>
        <w:r>
          <w:tab/>
        </w:r>
        <w:r>
          <w:fldChar w:fldCharType="begin"/>
        </w:r>
        <w:r>
          <w:instrText xml:space="preserve"> PAGEREF _Toc83626300 \h </w:instrText>
        </w:r>
        <w:r>
          <w:fldChar w:fldCharType="separate"/>
        </w:r>
        <w:r w:rsidR="005C5D7F">
          <w:t>680</w:t>
        </w:r>
        <w:r>
          <w:fldChar w:fldCharType="end"/>
        </w:r>
      </w:hyperlink>
    </w:p>
    <w:p w14:paraId="5E9E7481" w14:textId="38E7DF3A" w:rsidR="005E03F7" w:rsidRDefault="00856BEE">
      <w:pPr>
        <w:pStyle w:val="TOC2"/>
        <w:rPr>
          <w:rFonts w:asciiTheme="minorHAnsi" w:eastAsiaTheme="minorEastAsia" w:hAnsiTheme="minorHAnsi" w:cstheme="minorBidi"/>
          <w:b w:val="0"/>
          <w:sz w:val="22"/>
          <w:szCs w:val="22"/>
          <w:lang w:eastAsia="en-AU"/>
        </w:rPr>
      </w:pPr>
      <w:hyperlink w:anchor="_Toc83626301" w:history="1">
        <w:r w:rsidR="005E03F7" w:rsidRPr="00D90FEA">
          <w:t>Part 14.3</w:t>
        </w:r>
        <w:r w:rsidR="005E03F7">
          <w:rPr>
            <w:rFonts w:asciiTheme="minorHAnsi" w:eastAsiaTheme="minorEastAsia" w:hAnsiTheme="minorHAnsi" w:cstheme="minorBidi"/>
            <w:b w:val="0"/>
            <w:sz w:val="22"/>
            <w:szCs w:val="22"/>
            <w:lang w:eastAsia="en-AU"/>
          </w:rPr>
          <w:tab/>
        </w:r>
        <w:r w:rsidR="005E03F7" w:rsidRPr="00D90FEA">
          <w:t>Heavy Vehicle National Law Amendment Act 2015 (Queensland)</w:t>
        </w:r>
        <w:r w:rsidR="005E03F7" w:rsidRPr="005E03F7">
          <w:rPr>
            <w:vanish/>
          </w:rPr>
          <w:tab/>
        </w:r>
        <w:r w:rsidR="005E03F7" w:rsidRPr="005E03F7">
          <w:rPr>
            <w:vanish/>
          </w:rPr>
          <w:fldChar w:fldCharType="begin"/>
        </w:r>
        <w:r w:rsidR="005E03F7" w:rsidRPr="005E03F7">
          <w:rPr>
            <w:vanish/>
          </w:rPr>
          <w:instrText xml:space="preserve"> PAGEREF _Toc83626301 \h </w:instrText>
        </w:r>
        <w:r w:rsidR="005E03F7" w:rsidRPr="005E03F7">
          <w:rPr>
            <w:vanish/>
          </w:rPr>
        </w:r>
        <w:r w:rsidR="005E03F7" w:rsidRPr="005E03F7">
          <w:rPr>
            <w:vanish/>
          </w:rPr>
          <w:fldChar w:fldCharType="separate"/>
        </w:r>
        <w:r w:rsidR="005C5D7F">
          <w:rPr>
            <w:vanish/>
          </w:rPr>
          <w:t>682</w:t>
        </w:r>
        <w:r w:rsidR="005E03F7" w:rsidRPr="005E03F7">
          <w:rPr>
            <w:vanish/>
          </w:rPr>
          <w:fldChar w:fldCharType="end"/>
        </w:r>
      </w:hyperlink>
    </w:p>
    <w:p w14:paraId="7FE859E4" w14:textId="13067937" w:rsidR="005E03F7" w:rsidRDefault="005E03F7">
      <w:pPr>
        <w:pStyle w:val="TOC5"/>
        <w:rPr>
          <w:rFonts w:asciiTheme="minorHAnsi" w:eastAsiaTheme="minorEastAsia" w:hAnsiTheme="minorHAnsi" w:cstheme="minorBidi"/>
          <w:sz w:val="22"/>
          <w:szCs w:val="22"/>
          <w:lang w:eastAsia="en-AU"/>
        </w:rPr>
      </w:pPr>
      <w:r>
        <w:tab/>
      </w:r>
      <w:hyperlink w:anchor="_Toc83626302" w:history="1">
        <w:r w:rsidRPr="00D90FEA">
          <w:t>756</w:t>
        </w:r>
        <w:r>
          <w:rPr>
            <w:rFonts w:asciiTheme="minorHAnsi" w:eastAsiaTheme="minorEastAsia" w:hAnsiTheme="minorHAnsi" w:cstheme="minorBidi"/>
            <w:sz w:val="22"/>
            <w:szCs w:val="22"/>
            <w:lang w:eastAsia="en-AU"/>
          </w:rPr>
          <w:tab/>
        </w:r>
        <w:r w:rsidRPr="00D90FEA">
          <w:t>Application of s 87A to previously fitted plate or label</w:t>
        </w:r>
        <w:r>
          <w:tab/>
        </w:r>
        <w:r>
          <w:fldChar w:fldCharType="begin"/>
        </w:r>
        <w:r>
          <w:instrText xml:space="preserve"> PAGEREF _Toc83626302 \h </w:instrText>
        </w:r>
        <w:r>
          <w:fldChar w:fldCharType="separate"/>
        </w:r>
        <w:r w:rsidR="005C5D7F">
          <w:t>682</w:t>
        </w:r>
        <w:r>
          <w:fldChar w:fldCharType="end"/>
        </w:r>
      </w:hyperlink>
    </w:p>
    <w:p w14:paraId="0FCD88A7" w14:textId="1F0783D0" w:rsidR="005E03F7" w:rsidRDefault="005E03F7">
      <w:pPr>
        <w:pStyle w:val="TOC5"/>
        <w:rPr>
          <w:rFonts w:asciiTheme="minorHAnsi" w:eastAsiaTheme="minorEastAsia" w:hAnsiTheme="minorHAnsi" w:cstheme="minorBidi"/>
          <w:sz w:val="22"/>
          <w:szCs w:val="22"/>
          <w:lang w:eastAsia="en-AU"/>
        </w:rPr>
      </w:pPr>
      <w:r>
        <w:tab/>
      </w:r>
      <w:hyperlink w:anchor="_Toc83626303" w:history="1">
        <w:r w:rsidRPr="00D90FEA">
          <w:t>757</w:t>
        </w:r>
        <w:r>
          <w:rPr>
            <w:rFonts w:asciiTheme="minorHAnsi" w:eastAsiaTheme="minorEastAsia" w:hAnsiTheme="minorHAnsi" w:cstheme="minorBidi"/>
            <w:sz w:val="22"/>
            <w:szCs w:val="22"/>
            <w:lang w:eastAsia="en-AU"/>
          </w:rPr>
          <w:tab/>
        </w:r>
        <w:r w:rsidRPr="00D90FEA">
          <w:t>Saving of stated map and other matters under s 119 or 142</w:t>
        </w:r>
        <w:r>
          <w:tab/>
        </w:r>
        <w:r>
          <w:fldChar w:fldCharType="begin"/>
        </w:r>
        <w:r>
          <w:instrText xml:space="preserve"> PAGEREF _Toc83626303 \h </w:instrText>
        </w:r>
        <w:r>
          <w:fldChar w:fldCharType="separate"/>
        </w:r>
        <w:r w:rsidR="005C5D7F">
          <w:t>682</w:t>
        </w:r>
        <w:r>
          <w:fldChar w:fldCharType="end"/>
        </w:r>
      </w:hyperlink>
    </w:p>
    <w:p w14:paraId="5B0015DB" w14:textId="1610D381" w:rsidR="005E03F7" w:rsidRDefault="005E03F7">
      <w:pPr>
        <w:pStyle w:val="TOC5"/>
        <w:rPr>
          <w:rFonts w:asciiTheme="minorHAnsi" w:eastAsiaTheme="minorEastAsia" w:hAnsiTheme="minorHAnsi" w:cstheme="minorBidi"/>
          <w:sz w:val="22"/>
          <w:szCs w:val="22"/>
          <w:lang w:eastAsia="en-AU"/>
        </w:rPr>
      </w:pPr>
      <w:r>
        <w:tab/>
      </w:r>
      <w:hyperlink w:anchor="_Toc83626304" w:history="1">
        <w:r w:rsidRPr="00D90FEA">
          <w:t>758</w:t>
        </w:r>
        <w:r>
          <w:rPr>
            <w:rFonts w:asciiTheme="minorHAnsi" w:eastAsiaTheme="minorEastAsia" w:hAnsiTheme="minorHAnsi" w:cstheme="minorBidi"/>
            <w:sz w:val="22"/>
            <w:szCs w:val="22"/>
            <w:lang w:eastAsia="en-AU"/>
          </w:rPr>
          <w:tab/>
        </w:r>
        <w:r w:rsidRPr="00D90FEA">
          <w:t>Application of s 737 to a new penalty</w:t>
        </w:r>
        <w:r>
          <w:tab/>
        </w:r>
        <w:r>
          <w:fldChar w:fldCharType="begin"/>
        </w:r>
        <w:r>
          <w:instrText xml:space="preserve"> PAGEREF _Toc83626304 \h </w:instrText>
        </w:r>
        <w:r>
          <w:fldChar w:fldCharType="separate"/>
        </w:r>
        <w:r w:rsidR="005C5D7F">
          <w:t>684</w:t>
        </w:r>
        <w:r>
          <w:fldChar w:fldCharType="end"/>
        </w:r>
      </w:hyperlink>
    </w:p>
    <w:p w14:paraId="2D534C53" w14:textId="6ADBA77C" w:rsidR="005E03F7" w:rsidRDefault="00856BEE">
      <w:pPr>
        <w:pStyle w:val="TOC2"/>
        <w:rPr>
          <w:rFonts w:asciiTheme="minorHAnsi" w:eastAsiaTheme="minorEastAsia" w:hAnsiTheme="minorHAnsi" w:cstheme="minorBidi"/>
          <w:b w:val="0"/>
          <w:sz w:val="22"/>
          <w:szCs w:val="22"/>
          <w:lang w:eastAsia="en-AU"/>
        </w:rPr>
      </w:pPr>
      <w:hyperlink w:anchor="_Toc83626305" w:history="1">
        <w:r w:rsidR="005E03F7" w:rsidRPr="00D90FEA">
          <w:t>Part 14.4</w:t>
        </w:r>
        <w:r w:rsidR="005E03F7">
          <w:rPr>
            <w:rFonts w:asciiTheme="minorHAnsi" w:eastAsiaTheme="minorEastAsia" w:hAnsiTheme="minorHAnsi" w:cstheme="minorBidi"/>
            <w:b w:val="0"/>
            <w:sz w:val="22"/>
            <w:szCs w:val="22"/>
            <w:lang w:eastAsia="en-AU"/>
          </w:rPr>
          <w:tab/>
        </w:r>
        <w:r w:rsidR="005E03F7" w:rsidRPr="00D90FEA">
          <w:t>Heavy Vehicle National Law and Other Legislation Amendment Act 2016 (Queensland)</w:t>
        </w:r>
        <w:r w:rsidR="005E03F7" w:rsidRPr="005E03F7">
          <w:rPr>
            <w:vanish/>
          </w:rPr>
          <w:tab/>
        </w:r>
        <w:r w:rsidR="005E03F7" w:rsidRPr="005E03F7">
          <w:rPr>
            <w:vanish/>
          </w:rPr>
          <w:fldChar w:fldCharType="begin"/>
        </w:r>
        <w:r w:rsidR="005E03F7" w:rsidRPr="005E03F7">
          <w:rPr>
            <w:vanish/>
          </w:rPr>
          <w:instrText xml:space="preserve"> PAGEREF _Toc83626305 \h </w:instrText>
        </w:r>
        <w:r w:rsidR="005E03F7" w:rsidRPr="005E03F7">
          <w:rPr>
            <w:vanish/>
          </w:rPr>
        </w:r>
        <w:r w:rsidR="005E03F7" w:rsidRPr="005E03F7">
          <w:rPr>
            <w:vanish/>
          </w:rPr>
          <w:fldChar w:fldCharType="separate"/>
        </w:r>
        <w:r w:rsidR="005C5D7F">
          <w:rPr>
            <w:vanish/>
          </w:rPr>
          <w:t>686</w:t>
        </w:r>
        <w:r w:rsidR="005E03F7" w:rsidRPr="005E03F7">
          <w:rPr>
            <w:vanish/>
          </w:rPr>
          <w:fldChar w:fldCharType="end"/>
        </w:r>
      </w:hyperlink>
    </w:p>
    <w:p w14:paraId="6FA3D6DA" w14:textId="2A3C776F" w:rsidR="005E03F7" w:rsidRDefault="005E03F7">
      <w:pPr>
        <w:pStyle w:val="TOC5"/>
        <w:rPr>
          <w:rFonts w:asciiTheme="minorHAnsi" w:eastAsiaTheme="minorEastAsia" w:hAnsiTheme="minorHAnsi" w:cstheme="minorBidi"/>
          <w:sz w:val="22"/>
          <w:szCs w:val="22"/>
          <w:lang w:eastAsia="en-AU"/>
        </w:rPr>
      </w:pPr>
      <w:r>
        <w:tab/>
      </w:r>
      <w:hyperlink w:anchor="_Toc83626306" w:history="1">
        <w:r w:rsidRPr="00D90FEA">
          <w:t>759</w:t>
        </w:r>
        <w:r>
          <w:rPr>
            <w:rFonts w:asciiTheme="minorHAnsi" w:eastAsiaTheme="minorEastAsia" w:hAnsiTheme="minorHAnsi" w:cstheme="minorBidi"/>
            <w:sz w:val="22"/>
            <w:szCs w:val="22"/>
            <w:lang w:eastAsia="en-AU"/>
          </w:rPr>
          <w:tab/>
        </w:r>
        <w:r w:rsidRPr="00D90FEA">
          <w:rPr>
            <w:lang w:val="en" w:eastAsia="en-AU"/>
          </w:rPr>
          <w:t>Application of s 737 to a new penalty</w:t>
        </w:r>
        <w:r>
          <w:tab/>
        </w:r>
        <w:r>
          <w:fldChar w:fldCharType="begin"/>
        </w:r>
        <w:r>
          <w:instrText xml:space="preserve"> PAGEREF _Toc83626306 \h </w:instrText>
        </w:r>
        <w:r>
          <w:fldChar w:fldCharType="separate"/>
        </w:r>
        <w:r w:rsidR="005C5D7F">
          <w:t>686</w:t>
        </w:r>
        <w:r>
          <w:fldChar w:fldCharType="end"/>
        </w:r>
      </w:hyperlink>
    </w:p>
    <w:p w14:paraId="7B766D11" w14:textId="6BDF3BFF" w:rsidR="005E03F7" w:rsidRDefault="00856BEE">
      <w:pPr>
        <w:pStyle w:val="TOC6"/>
        <w:rPr>
          <w:rFonts w:asciiTheme="minorHAnsi" w:eastAsiaTheme="minorEastAsia" w:hAnsiTheme="minorHAnsi" w:cstheme="minorBidi"/>
          <w:b w:val="0"/>
          <w:sz w:val="22"/>
          <w:szCs w:val="22"/>
          <w:lang w:eastAsia="en-AU"/>
        </w:rPr>
      </w:pPr>
      <w:hyperlink w:anchor="_Toc83626307" w:history="1">
        <w:r w:rsidR="005E03F7" w:rsidRPr="00D90FEA">
          <w:t>Schedule 1</w:t>
        </w:r>
        <w:r w:rsidR="005E03F7">
          <w:rPr>
            <w:rFonts w:asciiTheme="minorHAnsi" w:eastAsiaTheme="minorEastAsia" w:hAnsiTheme="minorHAnsi" w:cstheme="minorBidi"/>
            <w:b w:val="0"/>
            <w:sz w:val="22"/>
            <w:szCs w:val="22"/>
            <w:lang w:eastAsia="en-AU"/>
          </w:rPr>
          <w:tab/>
        </w:r>
        <w:r w:rsidR="005E03F7" w:rsidRPr="00D90FEA">
          <w:t>Miscellaneous provisions relating to interpretation</w:t>
        </w:r>
        <w:r w:rsidR="005E03F7">
          <w:tab/>
        </w:r>
        <w:r w:rsidR="005E03F7" w:rsidRPr="005E03F7">
          <w:rPr>
            <w:b w:val="0"/>
            <w:sz w:val="20"/>
          </w:rPr>
          <w:fldChar w:fldCharType="begin"/>
        </w:r>
        <w:r w:rsidR="005E03F7" w:rsidRPr="005E03F7">
          <w:rPr>
            <w:b w:val="0"/>
            <w:sz w:val="20"/>
          </w:rPr>
          <w:instrText xml:space="preserve"> PAGEREF _Toc83626307 \h </w:instrText>
        </w:r>
        <w:r w:rsidR="005E03F7" w:rsidRPr="005E03F7">
          <w:rPr>
            <w:b w:val="0"/>
            <w:sz w:val="20"/>
          </w:rPr>
        </w:r>
        <w:r w:rsidR="005E03F7" w:rsidRPr="005E03F7">
          <w:rPr>
            <w:b w:val="0"/>
            <w:sz w:val="20"/>
          </w:rPr>
          <w:fldChar w:fldCharType="separate"/>
        </w:r>
        <w:r w:rsidR="005C5D7F">
          <w:rPr>
            <w:b w:val="0"/>
            <w:sz w:val="20"/>
          </w:rPr>
          <w:t>687</w:t>
        </w:r>
        <w:r w:rsidR="005E03F7" w:rsidRPr="005E03F7">
          <w:rPr>
            <w:b w:val="0"/>
            <w:sz w:val="20"/>
          </w:rPr>
          <w:fldChar w:fldCharType="end"/>
        </w:r>
      </w:hyperlink>
    </w:p>
    <w:p w14:paraId="09431965" w14:textId="35200239" w:rsidR="005E03F7" w:rsidRDefault="00856BEE">
      <w:pPr>
        <w:pStyle w:val="TOC7"/>
        <w:rPr>
          <w:rFonts w:asciiTheme="minorHAnsi" w:eastAsiaTheme="minorEastAsia" w:hAnsiTheme="minorHAnsi" w:cstheme="minorBidi"/>
          <w:b w:val="0"/>
          <w:sz w:val="22"/>
          <w:szCs w:val="22"/>
          <w:lang w:eastAsia="en-AU"/>
        </w:rPr>
      </w:pPr>
      <w:hyperlink w:anchor="_Toc83626308" w:history="1">
        <w:r w:rsidR="005E03F7" w:rsidRPr="00D90FEA">
          <w:t xml:space="preserve">Part 1 </w:t>
        </w:r>
        <w:r w:rsidR="005E03F7">
          <w:rPr>
            <w:rFonts w:asciiTheme="minorHAnsi" w:eastAsiaTheme="minorEastAsia" w:hAnsiTheme="minorHAnsi" w:cstheme="minorBidi"/>
            <w:b w:val="0"/>
            <w:sz w:val="22"/>
            <w:szCs w:val="22"/>
            <w:lang w:eastAsia="en-AU"/>
          </w:rPr>
          <w:tab/>
        </w:r>
        <w:r w:rsidR="005E03F7" w:rsidRPr="00D90FEA">
          <w:t>Preliminary</w:t>
        </w:r>
        <w:r w:rsidR="005E03F7">
          <w:tab/>
        </w:r>
        <w:r w:rsidR="005E03F7" w:rsidRPr="005E03F7">
          <w:rPr>
            <w:b w:val="0"/>
          </w:rPr>
          <w:fldChar w:fldCharType="begin"/>
        </w:r>
        <w:r w:rsidR="005E03F7" w:rsidRPr="005E03F7">
          <w:rPr>
            <w:b w:val="0"/>
          </w:rPr>
          <w:instrText xml:space="preserve"> PAGEREF _Toc83626308 \h </w:instrText>
        </w:r>
        <w:r w:rsidR="005E03F7" w:rsidRPr="005E03F7">
          <w:rPr>
            <w:b w:val="0"/>
          </w:rPr>
        </w:r>
        <w:r w:rsidR="005E03F7" w:rsidRPr="005E03F7">
          <w:rPr>
            <w:b w:val="0"/>
          </w:rPr>
          <w:fldChar w:fldCharType="separate"/>
        </w:r>
        <w:r w:rsidR="005C5D7F">
          <w:rPr>
            <w:b w:val="0"/>
          </w:rPr>
          <w:t>687</w:t>
        </w:r>
        <w:r w:rsidR="005E03F7" w:rsidRPr="005E03F7">
          <w:rPr>
            <w:b w:val="0"/>
          </w:rPr>
          <w:fldChar w:fldCharType="end"/>
        </w:r>
      </w:hyperlink>
    </w:p>
    <w:p w14:paraId="6E31E0AD" w14:textId="2D38EF48" w:rsidR="005E03F7" w:rsidRDefault="005E03F7">
      <w:pPr>
        <w:pStyle w:val="TOC5"/>
        <w:rPr>
          <w:rFonts w:asciiTheme="minorHAnsi" w:eastAsiaTheme="minorEastAsia" w:hAnsiTheme="minorHAnsi" w:cstheme="minorBidi"/>
          <w:sz w:val="22"/>
          <w:szCs w:val="22"/>
          <w:lang w:eastAsia="en-AU"/>
        </w:rPr>
      </w:pPr>
      <w:r>
        <w:tab/>
      </w:r>
      <w:hyperlink w:anchor="_Toc83626309" w:history="1">
        <w:r w:rsidRPr="00D90FEA">
          <w:t>1</w:t>
        </w:r>
        <w:r>
          <w:rPr>
            <w:rFonts w:asciiTheme="minorHAnsi" w:eastAsiaTheme="minorEastAsia" w:hAnsiTheme="minorHAnsi" w:cstheme="minorBidi"/>
            <w:sz w:val="22"/>
            <w:szCs w:val="22"/>
            <w:lang w:eastAsia="en-AU"/>
          </w:rPr>
          <w:tab/>
        </w:r>
        <w:r w:rsidRPr="00D90FEA">
          <w:t>Displacement of Schedule by contrary intention</w:t>
        </w:r>
        <w:r>
          <w:tab/>
        </w:r>
        <w:r>
          <w:fldChar w:fldCharType="begin"/>
        </w:r>
        <w:r>
          <w:instrText xml:space="preserve"> PAGEREF _Toc83626309 \h </w:instrText>
        </w:r>
        <w:r>
          <w:fldChar w:fldCharType="separate"/>
        </w:r>
        <w:r w:rsidR="005C5D7F">
          <w:t>687</w:t>
        </w:r>
        <w:r>
          <w:fldChar w:fldCharType="end"/>
        </w:r>
      </w:hyperlink>
    </w:p>
    <w:p w14:paraId="0A853467" w14:textId="2C88559A" w:rsidR="005E03F7" w:rsidRDefault="00856BEE">
      <w:pPr>
        <w:pStyle w:val="TOC7"/>
        <w:rPr>
          <w:rFonts w:asciiTheme="minorHAnsi" w:eastAsiaTheme="minorEastAsia" w:hAnsiTheme="minorHAnsi" w:cstheme="minorBidi"/>
          <w:b w:val="0"/>
          <w:sz w:val="22"/>
          <w:szCs w:val="22"/>
          <w:lang w:eastAsia="en-AU"/>
        </w:rPr>
      </w:pPr>
      <w:hyperlink w:anchor="_Toc83626310" w:history="1">
        <w:r w:rsidR="005E03F7" w:rsidRPr="00D90FEA">
          <w:t xml:space="preserve">Part 2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rPr>
          <w:t>General</w:t>
        </w:r>
        <w:r w:rsidR="005E03F7">
          <w:tab/>
        </w:r>
        <w:r w:rsidR="005E03F7" w:rsidRPr="005E03F7">
          <w:rPr>
            <w:b w:val="0"/>
          </w:rPr>
          <w:fldChar w:fldCharType="begin"/>
        </w:r>
        <w:r w:rsidR="005E03F7" w:rsidRPr="005E03F7">
          <w:rPr>
            <w:b w:val="0"/>
          </w:rPr>
          <w:instrText xml:space="preserve"> PAGEREF _Toc83626310 \h </w:instrText>
        </w:r>
        <w:r w:rsidR="005E03F7" w:rsidRPr="005E03F7">
          <w:rPr>
            <w:b w:val="0"/>
          </w:rPr>
        </w:r>
        <w:r w:rsidR="005E03F7" w:rsidRPr="005E03F7">
          <w:rPr>
            <w:b w:val="0"/>
          </w:rPr>
          <w:fldChar w:fldCharType="separate"/>
        </w:r>
        <w:r w:rsidR="005C5D7F">
          <w:rPr>
            <w:b w:val="0"/>
          </w:rPr>
          <w:t>688</w:t>
        </w:r>
        <w:r w:rsidR="005E03F7" w:rsidRPr="005E03F7">
          <w:rPr>
            <w:b w:val="0"/>
          </w:rPr>
          <w:fldChar w:fldCharType="end"/>
        </w:r>
      </w:hyperlink>
    </w:p>
    <w:p w14:paraId="33380818" w14:textId="1389ED2B" w:rsidR="005E03F7" w:rsidRDefault="005E03F7">
      <w:pPr>
        <w:pStyle w:val="TOC5"/>
        <w:rPr>
          <w:rFonts w:asciiTheme="minorHAnsi" w:eastAsiaTheme="minorEastAsia" w:hAnsiTheme="minorHAnsi" w:cstheme="minorBidi"/>
          <w:sz w:val="22"/>
          <w:szCs w:val="22"/>
          <w:lang w:eastAsia="en-AU"/>
        </w:rPr>
      </w:pPr>
      <w:r>
        <w:tab/>
      </w:r>
      <w:hyperlink w:anchor="_Toc83626311" w:history="1">
        <w:r w:rsidRPr="00D90FEA">
          <w:t>2</w:t>
        </w:r>
        <w:r>
          <w:rPr>
            <w:rFonts w:asciiTheme="minorHAnsi" w:eastAsiaTheme="minorEastAsia" w:hAnsiTheme="minorHAnsi" w:cstheme="minorBidi"/>
            <w:sz w:val="22"/>
            <w:szCs w:val="22"/>
            <w:lang w:eastAsia="en-AU"/>
          </w:rPr>
          <w:tab/>
        </w:r>
        <w:r w:rsidRPr="00D90FEA">
          <w:rPr>
            <w:rFonts w:ascii="Helvetica" w:hAnsi="Helvetica" w:cs="Helvetica"/>
          </w:rPr>
          <w:t>Law to be construed not to exceed legislative power of Parliament</w:t>
        </w:r>
        <w:r>
          <w:tab/>
        </w:r>
        <w:r>
          <w:fldChar w:fldCharType="begin"/>
        </w:r>
        <w:r>
          <w:instrText xml:space="preserve"> PAGEREF _Toc83626311 \h </w:instrText>
        </w:r>
        <w:r>
          <w:fldChar w:fldCharType="separate"/>
        </w:r>
        <w:r w:rsidR="005C5D7F">
          <w:t>688</w:t>
        </w:r>
        <w:r>
          <w:fldChar w:fldCharType="end"/>
        </w:r>
      </w:hyperlink>
    </w:p>
    <w:p w14:paraId="079B4ECC" w14:textId="6A2A1BE2" w:rsidR="005E03F7" w:rsidRDefault="005E03F7">
      <w:pPr>
        <w:pStyle w:val="TOC5"/>
        <w:rPr>
          <w:rFonts w:asciiTheme="minorHAnsi" w:eastAsiaTheme="minorEastAsia" w:hAnsiTheme="minorHAnsi" w:cstheme="minorBidi"/>
          <w:sz w:val="22"/>
          <w:szCs w:val="22"/>
          <w:lang w:eastAsia="en-AU"/>
        </w:rPr>
      </w:pPr>
      <w:r>
        <w:tab/>
      </w:r>
      <w:hyperlink w:anchor="_Toc83626312" w:history="1">
        <w:r w:rsidRPr="00D90FEA">
          <w:t>3</w:t>
        </w:r>
        <w:r>
          <w:rPr>
            <w:rFonts w:asciiTheme="minorHAnsi" w:eastAsiaTheme="minorEastAsia" w:hAnsiTheme="minorHAnsi" w:cstheme="minorBidi"/>
            <w:sz w:val="22"/>
            <w:szCs w:val="22"/>
            <w:lang w:eastAsia="en-AU"/>
          </w:rPr>
          <w:tab/>
        </w:r>
        <w:r w:rsidRPr="00D90FEA">
          <w:rPr>
            <w:rFonts w:ascii="Helvetica" w:hAnsi="Helvetica" w:cs="Helvetica"/>
          </w:rPr>
          <w:t>Every section to be a substantive enactment</w:t>
        </w:r>
        <w:r>
          <w:tab/>
        </w:r>
        <w:r>
          <w:fldChar w:fldCharType="begin"/>
        </w:r>
        <w:r>
          <w:instrText xml:space="preserve"> PAGEREF _Toc83626312 \h </w:instrText>
        </w:r>
        <w:r>
          <w:fldChar w:fldCharType="separate"/>
        </w:r>
        <w:r w:rsidR="005C5D7F">
          <w:t>688</w:t>
        </w:r>
        <w:r>
          <w:fldChar w:fldCharType="end"/>
        </w:r>
      </w:hyperlink>
    </w:p>
    <w:p w14:paraId="6C2AA5EC" w14:textId="3DA24204" w:rsidR="005E03F7" w:rsidRDefault="005E03F7">
      <w:pPr>
        <w:pStyle w:val="TOC5"/>
        <w:rPr>
          <w:rFonts w:asciiTheme="minorHAnsi" w:eastAsiaTheme="minorEastAsia" w:hAnsiTheme="minorHAnsi" w:cstheme="minorBidi"/>
          <w:sz w:val="22"/>
          <w:szCs w:val="22"/>
          <w:lang w:eastAsia="en-AU"/>
        </w:rPr>
      </w:pPr>
      <w:r>
        <w:tab/>
      </w:r>
      <w:hyperlink w:anchor="_Toc83626313" w:history="1">
        <w:r w:rsidRPr="00D90FEA">
          <w:t>4</w:t>
        </w:r>
        <w:r>
          <w:rPr>
            <w:rFonts w:asciiTheme="minorHAnsi" w:eastAsiaTheme="minorEastAsia" w:hAnsiTheme="minorHAnsi" w:cstheme="minorBidi"/>
            <w:sz w:val="22"/>
            <w:szCs w:val="22"/>
            <w:lang w:eastAsia="en-AU"/>
          </w:rPr>
          <w:tab/>
        </w:r>
        <w:r w:rsidRPr="00D90FEA">
          <w:rPr>
            <w:rFonts w:ascii="Helvetica" w:hAnsi="Helvetica" w:cs="Helvetica"/>
          </w:rPr>
          <w:t>Material that is, and is not, part of this Law</w:t>
        </w:r>
        <w:r>
          <w:tab/>
        </w:r>
        <w:r>
          <w:fldChar w:fldCharType="begin"/>
        </w:r>
        <w:r>
          <w:instrText xml:space="preserve"> PAGEREF _Toc83626313 \h </w:instrText>
        </w:r>
        <w:r>
          <w:fldChar w:fldCharType="separate"/>
        </w:r>
        <w:r w:rsidR="005C5D7F">
          <w:t>688</w:t>
        </w:r>
        <w:r>
          <w:fldChar w:fldCharType="end"/>
        </w:r>
      </w:hyperlink>
    </w:p>
    <w:p w14:paraId="3B2C4951" w14:textId="78D21EAD" w:rsidR="005E03F7" w:rsidRDefault="005E03F7">
      <w:pPr>
        <w:pStyle w:val="TOC5"/>
        <w:rPr>
          <w:rFonts w:asciiTheme="minorHAnsi" w:eastAsiaTheme="minorEastAsia" w:hAnsiTheme="minorHAnsi" w:cstheme="minorBidi"/>
          <w:sz w:val="22"/>
          <w:szCs w:val="22"/>
          <w:lang w:eastAsia="en-AU"/>
        </w:rPr>
      </w:pPr>
      <w:r>
        <w:lastRenderedPageBreak/>
        <w:tab/>
      </w:r>
      <w:hyperlink w:anchor="_Toc83626314" w:history="1">
        <w:r w:rsidRPr="00D90FEA">
          <w:t>5</w:t>
        </w:r>
        <w:r>
          <w:rPr>
            <w:rFonts w:asciiTheme="minorHAnsi" w:eastAsiaTheme="minorEastAsia" w:hAnsiTheme="minorHAnsi" w:cstheme="minorBidi"/>
            <w:sz w:val="22"/>
            <w:szCs w:val="22"/>
            <w:lang w:eastAsia="en-AU"/>
          </w:rPr>
          <w:tab/>
        </w:r>
        <w:r w:rsidRPr="00D90FEA">
          <w:rPr>
            <w:rFonts w:ascii="Helvetica" w:hAnsi="Helvetica" w:cs="Helvetica"/>
          </w:rPr>
          <w:t>References to particular Acts and to enactments</w:t>
        </w:r>
        <w:r>
          <w:tab/>
        </w:r>
        <w:r>
          <w:fldChar w:fldCharType="begin"/>
        </w:r>
        <w:r>
          <w:instrText xml:space="preserve"> PAGEREF _Toc83626314 \h </w:instrText>
        </w:r>
        <w:r>
          <w:fldChar w:fldCharType="separate"/>
        </w:r>
        <w:r w:rsidR="005C5D7F">
          <w:t>689</w:t>
        </w:r>
        <w:r>
          <w:fldChar w:fldCharType="end"/>
        </w:r>
      </w:hyperlink>
    </w:p>
    <w:p w14:paraId="2D05888F" w14:textId="1BF65486" w:rsidR="005E03F7" w:rsidRDefault="005E03F7">
      <w:pPr>
        <w:pStyle w:val="TOC5"/>
        <w:rPr>
          <w:rFonts w:asciiTheme="minorHAnsi" w:eastAsiaTheme="minorEastAsia" w:hAnsiTheme="minorHAnsi" w:cstheme="minorBidi"/>
          <w:sz w:val="22"/>
          <w:szCs w:val="22"/>
          <w:lang w:eastAsia="en-AU"/>
        </w:rPr>
      </w:pPr>
      <w:r>
        <w:tab/>
      </w:r>
      <w:hyperlink w:anchor="_Toc83626315" w:history="1">
        <w:r w:rsidRPr="00D90FEA">
          <w:t>6</w:t>
        </w:r>
        <w:r>
          <w:rPr>
            <w:rFonts w:asciiTheme="minorHAnsi" w:eastAsiaTheme="minorEastAsia" w:hAnsiTheme="minorHAnsi" w:cstheme="minorBidi"/>
            <w:sz w:val="22"/>
            <w:szCs w:val="22"/>
            <w:lang w:eastAsia="en-AU"/>
          </w:rPr>
          <w:tab/>
        </w:r>
        <w:r w:rsidRPr="00D90FEA">
          <w:rPr>
            <w:rFonts w:ascii="Helvetica" w:hAnsi="Helvetica" w:cs="Helvetica"/>
          </w:rPr>
          <w:t>References taken to be included in Law or Act citation etc.</w:t>
        </w:r>
        <w:r>
          <w:tab/>
        </w:r>
        <w:r>
          <w:fldChar w:fldCharType="begin"/>
        </w:r>
        <w:r>
          <w:instrText xml:space="preserve"> PAGEREF _Toc83626315 \h </w:instrText>
        </w:r>
        <w:r>
          <w:fldChar w:fldCharType="separate"/>
        </w:r>
        <w:r w:rsidR="005C5D7F">
          <w:t>689</w:t>
        </w:r>
        <w:r>
          <w:fldChar w:fldCharType="end"/>
        </w:r>
      </w:hyperlink>
    </w:p>
    <w:p w14:paraId="4854B183" w14:textId="78913B0E" w:rsidR="005E03F7" w:rsidRDefault="005E03F7">
      <w:pPr>
        <w:pStyle w:val="TOC5"/>
        <w:rPr>
          <w:rFonts w:asciiTheme="minorHAnsi" w:eastAsiaTheme="minorEastAsia" w:hAnsiTheme="minorHAnsi" w:cstheme="minorBidi"/>
          <w:sz w:val="22"/>
          <w:szCs w:val="22"/>
          <w:lang w:eastAsia="en-AU"/>
        </w:rPr>
      </w:pPr>
      <w:r>
        <w:tab/>
      </w:r>
      <w:hyperlink w:anchor="_Toc83626316" w:history="1">
        <w:r w:rsidRPr="00D90FEA">
          <w:t>7</w:t>
        </w:r>
        <w:r>
          <w:rPr>
            <w:rFonts w:asciiTheme="minorHAnsi" w:eastAsiaTheme="minorEastAsia" w:hAnsiTheme="minorHAnsi" w:cstheme="minorBidi"/>
            <w:sz w:val="22"/>
            <w:szCs w:val="22"/>
            <w:lang w:eastAsia="en-AU"/>
          </w:rPr>
          <w:tab/>
        </w:r>
        <w:r w:rsidRPr="00D90FEA">
          <w:rPr>
            <w:rFonts w:ascii="Helvetica" w:hAnsi="Helvetica" w:cs="Helvetica"/>
          </w:rPr>
          <w:t>Interpretation best achieving Law’s purpose or object</w:t>
        </w:r>
        <w:r>
          <w:tab/>
        </w:r>
        <w:r>
          <w:fldChar w:fldCharType="begin"/>
        </w:r>
        <w:r>
          <w:instrText xml:space="preserve"> PAGEREF _Toc83626316 \h </w:instrText>
        </w:r>
        <w:r>
          <w:fldChar w:fldCharType="separate"/>
        </w:r>
        <w:r w:rsidR="005C5D7F">
          <w:t>690</w:t>
        </w:r>
        <w:r>
          <w:fldChar w:fldCharType="end"/>
        </w:r>
      </w:hyperlink>
    </w:p>
    <w:p w14:paraId="742AC714" w14:textId="3B7261A7" w:rsidR="005E03F7" w:rsidRDefault="005E03F7">
      <w:pPr>
        <w:pStyle w:val="TOC5"/>
        <w:rPr>
          <w:rFonts w:asciiTheme="minorHAnsi" w:eastAsiaTheme="minorEastAsia" w:hAnsiTheme="minorHAnsi" w:cstheme="minorBidi"/>
          <w:sz w:val="22"/>
          <w:szCs w:val="22"/>
          <w:lang w:eastAsia="en-AU"/>
        </w:rPr>
      </w:pPr>
      <w:r>
        <w:tab/>
      </w:r>
      <w:hyperlink w:anchor="_Toc83626317" w:history="1">
        <w:r w:rsidRPr="00D90FEA">
          <w:t>8</w:t>
        </w:r>
        <w:r>
          <w:rPr>
            <w:rFonts w:asciiTheme="minorHAnsi" w:eastAsiaTheme="minorEastAsia" w:hAnsiTheme="minorHAnsi" w:cstheme="minorBidi"/>
            <w:sz w:val="22"/>
            <w:szCs w:val="22"/>
            <w:lang w:eastAsia="en-AU"/>
          </w:rPr>
          <w:tab/>
        </w:r>
        <w:r w:rsidRPr="00D90FEA">
          <w:rPr>
            <w:rFonts w:ascii="Helvetica" w:hAnsi="Helvetica" w:cs="Helvetica"/>
          </w:rPr>
          <w:t>Use of extrinsic material in interpretation</w:t>
        </w:r>
        <w:r>
          <w:tab/>
        </w:r>
        <w:r>
          <w:fldChar w:fldCharType="begin"/>
        </w:r>
        <w:r>
          <w:instrText xml:space="preserve"> PAGEREF _Toc83626317 \h </w:instrText>
        </w:r>
        <w:r>
          <w:fldChar w:fldCharType="separate"/>
        </w:r>
        <w:r w:rsidR="005C5D7F">
          <w:t>690</w:t>
        </w:r>
        <w:r>
          <w:fldChar w:fldCharType="end"/>
        </w:r>
      </w:hyperlink>
    </w:p>
    <w:p w14:paraId="282437F6" w14:textId="43A7C10E" w:rsidR="005E03F7" w:rsidRDefault="005E03F7">
      <w:pPr>
        <w:pStyle w:val="TOC5"/>
        <w:rPr>
          <w:rFonts w:asciiTheme="minorHAnsi" w:eastAsiaTheme="minorEastAsia" w:hAnsiTheme="minorHAnsi" w:cstheme="minorBidi"/>
          <w:sz w:val="22"/>
          <w:szCs w:val="22"/>
          <w:lang w:eastAsia="en-AU"/>
        </w:rPr>
      </w:pPr>
      <w:r>
        <w:tab/>
      </w:r>
      <w:hyperlink w:anchor="_Toc83626318" w:history="1">
        <w:r w:rsidRPr="00D90FEA">
          <w:t>9</w:t>
        </w:r>
        <w:r>
          <w:rPr>
            <w:rFonts w:asciiTheme="minorHAnsi" w:eastAsiaTheme="minorEastAsia" w:hAnsiTheme="minorHAnsi" w:cstheme="minorBidi"/>
            <w:sz w:val="22"/>
            <w:szCs w:val="22"/>
            <w:lang w:eastAsia="en-AU"/>
          </w:rPr>
          <w:tab/>
        </w:r>
        <w:r w:rsidRPr="00D90FEA">
          <w:rPr>
            <w:rFonts w:ascii="Helvetica" w:hAnsi="Helvetica" w:cs="Helvetica"/>
          </w:rPr>
          <w:t>Effect of change of drafting practice</w:t>
        </w:r>
        <w:r>
          <w:tab/>
        </w:r>
        <w:r>
          <w:fldChar w:fldCharType="begin"/>
        </w:r>
        <w:r>
          <w:instrText xml:space="preserve"> PAGEREF _Toc83626318 \h </w:instrText>
        </w:r>
        <w:r>
          <w:fldChar w:fldCharType="separate"/>
        </w:r>
        <w:r w:rsidR="005C5D7F">
          <w:t>692</w:t>
        </w:r>
        <w:r>
          <w:fldChar w:fldCharType="end"/>
        </w:r>
      </w:hyperlink>
    </w:p>
    <w:p w14:paraId="1083AF36" w14:textId="5DCE3576" w:rsidR="005E03F7" w:rsidRDefault="005E03F7">
      <w:pPr>
        <w:pStyle w:val="TOC5"/>
        <w:rPr>
          <w:rFonts w:asciiTheme="minorHAnsi" w:eastAsiaTheme="minorEastAsia" w:hAnsiTheme="minorHAnsi" w:cstheme="minorBidi"/>
          <w:sz w:val="22"/>
          <w:szCs w:val="22"/>
          <w:lang w:eastAsia="en-AU"/>
        </w:rPr>
      </w:pPr>
      <w:r>
        <w:tab/>
      </w:r>
      <w:hyperlink w:anchor="_Toc83626319" w:history="1">
        <w:r w:rsidRPr="00D90FEA">
          <w:t>10</w:t>
        </w:r>
        <w:r>
          <w:rPr>
            <w:rFonts w:asciiTheme="minorHAnsi" w:eastAsiaTheme="minorEastAsia" w:hAnsiTheme="minorHAnsi" w:cstheme="minorBidi"/>
            <w:sz w:val="22"/>
            <w:szCs w:val="22"/>
            <w:lang w:eastAsia="en-AU"/>
          </w:rPr>
          <w:tab/>
        </w:r>
        <w:r w:rsidRPr="00D90FEA">
          <w:rPr>
            <w:rFonts w:ascii="Helvetica" w:hAnsi="Helvetica" w:cs="Helvetica"/>
          </w:rPr>
          <w:t>Use of examples</w:t>
        </w:r>
        <w:r>
          <w:tab/>
        </w:r>
        <w:r>
          <w:fldChar w:fldCharType="begin"/>
        </w:r>
        <w:r>
          <w:instrText xml:space="preserve"> PAGEREF _Toc83626319 \h </w:instrText>
        </w:r>
        <w:r>
          <w:fldChar w:fldCharType="separate"/>
        </w:r>
        <w:r w:rsidR="005C5D7F">
          <w:t>693</w:t>
        </w:r>
        <w:r>
          <w:fldChar w:fldCharType="end"/>
        </w:r>
      </w:hyperlink>
    </w:p>
    <w:p w14:paraId="26E5721A" w14:textId="1BCA9073" w:rsidR="005E03F7" w:rsidRDefault="005E03F7">
      <w:pPr>
        <w:pStyle w:val="TOC5"/>
        <w:rPr>
          <w:rFonts w:asciiTheme="minorHAnsi" w:eastAsiaTheme="minorEastAsia" w:hAnsiTheme="minorHAnsi" w:cstheme="minorBidi"/>
          <w:sz w:val="22"/>
          <w:szCs w:val="22"/>
          <w:lang w:eastAsia="en-AU"/>
        </w:rPr>
      </w:pPr>
      <w:r>
        <w:tab/>
      </w:r>
      <w:hyperlink w:anchor="_Toc83626320" w:history="1">
        <w:r w:rsidRPr="00D90FEA">
          <w:t>11</w:t>
        </w:r>
        <w:r>
          <w:rPr>
            <w:rFonts w:asciiTheme="minorHAnsi" w:eastAsiaTheme="minorEastAsia" w:hAnsiTheme="minorHAnsi" w:cstheme="minorBidi"/>
            <w:sz w:val="22"/>
            <w:szCs w:val="22"/>
            <w:lang w:eastAsia="en-AU"/>
          </w:rPr>
          <w:tab/>
        </w:r>
        <w:r w:rsidRPr="00D90FEA">
          <w:rPr>
            <w:rFonts w:ascii="Helvetica" w:hAnsi="Helvetica" w:cs="Helvetica"/>
          </w:rPr>
          <w:t>Compliance with forms</w:t>
        </w:r>
        <w:r>
          <w:tab/>
        </w:r>
        <w:r>
          <w:fldChar w:fldCharType="begin"/>
        </w:r>
        <w:r>
          <w:instrText xml:space="preserve"> PAGEREF _Toc83626320 \h </w:instrText>
        </w:r>
        <w:r>
          <w:fldChar w:fldCharType="separate"/>
        </w:r>
        <w:r w:rsidR="005C5D7F">
          <w:t>693</w:t>
        </w:r>
        <w:r>
          <w:fldChar w:fldCharType="end"/>
        </w:r>
      </w:hyperlink>
    </w:p>
    <w:p w14:paraId="4B570DDC" w14:textId="7BEC33E8" w:rsidR="005E03F7" w:rsidRDefault="00856BEE">
      <w:pPr>
        <w:pStyle w:val="TOC7"/>
        <w:rPr>
          <w:rFonts w:asciiTheme="minorHAnsi" w:eastAsiaTheme="minorEastAsia" w:hAnsiTheme="minorHAnsi" w:cstheme="minorBidi"/>
          <w:b w:val="0"/>
          <w:sz w:val="22"/>
          <w:szCs w:val="22"/>
          <w:lang w:eastAsia="en-AU"/>
        </w:rPr>
      </w:pPr>
      <w:hyperlink w:anchor="_Toc83626321" w:history="1">
        <w:r w:rsidR="005E03F7" w:rsidRPr="00D90FEA">
          <w:t xml:space="preserve">Part 3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rPr>
          <w:t>Terms and references</w:t>
        </w:r>
        <w:r w:rsidR="005E03F7">
          <w:tab/>
        </w:r>
        <w:r w:rsidR="005E03F7" w:rsidRPr="005E03F7">
          <w:rPr>
            <w:b w:val="0"/>
          </w:rPr>
          <w:fldChar w:fldCharType="begin"/>
        </w:r>
        <w:r w:rsidR="005E03F7" w:rsidRPr="005E03F7">
          <w:rPr>
            <w:b w:val="0"/>
          </w:rPr>
          <w:instrText xml:space="preserve"> PAGEREF _Toc83626321 \h </w:instrText>
        </w:r>
        <w:r w:rsidR="005E03F7" w:rsidRPr="005E03F7">
          <w:rPr>
            <w:b w:val="0"/>
          </w:rPr>
        </w:r>
        <w:r w:rsidR="005E03F7" w:rsidRPr="005E03F7">
          <w:rPr>
            <w:b w:val="0"/>
          </w:rPr>
          <w:fldChar w:fldCharType="separate"/>
        </w:r>
        <w:r w:rsidR="005C5D7F">
          <w:rPr>
            <w:b w:val="0"/>
          </w:rPr>
          <w:t>694</w:t>
        </w:r>
        <w:r w:rsidR="005E03F7" w:rsidRPr="005E03F7">
          <w:rPr>
            <w:b w:val="0"/>
          </w:rPr>
          <w:fldChar w:fldCharType="end"/>
        </w:r>
      </w:hyperlink>
    </w:p>
    <w:p w14:paraId="65BB9686" w14:textId="2EBC402F" w:rsidR="005E03F7" w:rsidRDefault="005E03F7">
      <w:pPr>
        <w:pStyle w:val="TOC5"/>
        <w:rPr>
          <w:rFonts w:asciiTheme="minorHAnsi" w:eastAsiaTheme="minorEastAsia" w:hAnsiTheme="minorHAnsi" w:cstheme="minorBidi"/>
          <w:sz w:val="22"/>
          <w:szCs w:val="22"/>
          <w:lang w:eastAsia="en-AU"/>
        </w:rPr>
      </w:pPr>
      <w:r>
        <w:tab/>
      </w:r>
      <w:hyperlink w:anchor="_Toc83626322" w:history="1">
        <w:r w:rsidRPr="00D90FEA">
          <w:t>12</w:t>
        </w:r>
        <w:r>
          <w:rPr>
            <w:rFonts w:asciiTheme="minorHAnsi" w:eastAsiaTheme="minorEastAsia" w:hAnsiTheme="minorHAnsi" w:cstheme="minorBidi"/>
            <w:sz w:val="22"/>
            <w:szCs w:val="22"/>
            <w:lang w:eastAsia="en-AU"/>
          </w:rPr>
          <w:tab/>
        </w:r>
        <w:r w:rsidRPr="00D90FEA">
          <w:rPr>
            <w:rFonts w:ascii="Helvetica" w:hAnsi="Helvetica" w:cs="Helvetica"/>
          </w:rPr>
          <w:t>Definitions</w:t>
        </w:r>
        <w:r>
          <w:tab/>
        </w:r>
        <w:r>
          <w:fldChar w:fldCharType="begin"/>
        </w:r>
        <w:r>
          <w:instrText xml:space="preserve"> PAGEREF _Toc83626322 \h </w:instrText>
        </w:r>
        <w:r>
          <w:fldChar w:fldCharType="separate"/>
        </w:r>
        <w:r w:rsidR="005C5D7F">
          <w:t>694</w:t>
        </w:r>
        <w:r>
          <w:fldChar w:fldCharType="end"/>
        </w:r>
      </w:hyperlink>
    </w:p>
    <w:p w14:paraId="688A7835" w14:textId="51BE644D" w:rsidR="005E03F7" w:rsidRDefault="005E03F7">
      <w:pPr>
        <w:pStyle w:val="TOC5"/>
        <w:rPr>
          <w:rFonts w:asciiTheme="minorHAnsi" w:eastAsiaTheme="minorEastAsia" w:hAnsiTheme="minorHAnsi" w:cstheme="minorBidi"/>
          <w:sz w:val="22"/>
          <w:szCs w:val="22"/>
          <w:lang w:eastAsia="en-AU"/>
        </w:rPr>
      </w:pPr>
      <w:r>
        <w:tab/>
      </w:r>
      <w:hyperlink w:anchor="_Toc83626323" w:history="1">
        <w:r w:rsidRPr="00D90FEA">
          <w:t>13</w:t>
        </w:r>
        <w:r>
          <w:rPr>
            <w:rFonts w:asciiTheme="minorHAnsi" w:eastAsiaTheme="minorEastAsia" w:hAnsiTheme="minorHAnsi" w:cstheme="minorBidi"/>
            <w:sz w:val="22"/>
            <w:szCs w:val="22"/>
            <w:lang w:eastAsia="en-AU"/>
          </w:rPr>
          <w:tab/>
        </w:r>
        <w:r w:rsidRPr="00D90FEA">
          <w:rPr>
            <w:rFonts w:ascii="Helvetica" w:hAnsi="Helvetica" w:cs="Helvetica"/>
          </w:rPr>
          <w:t>Provisions relating to defined terms and gender and number</w:t>
        </w:r>
        <w:r>
          <w:tab/>
        </w:r>
        <w:r>
          <w:fldChar w:fldCharType="begin"/>
        </w:r>
        <w:r>
          <w:instrText xml:space="preserve"> PAGEREF _Toc83626323 \h </w:instrText>
        </w:r>
        <w:r>
          <w:fldChar w:fldCharType="separate"/>
        </w:r>
        <w:r w:rsidR="005C5D7F">
          <w:t>699</w:t>
        </w:r>
        <w:r>
          <w:fldChar w:fldCharType="end"/>
        </w:r>
      </w:hyperlink>
    </w:p>
    <w:p w14:paraId="233267D1" w14:textId="1957BABF" w:rsidR="005E03F7" w:rsidRDefault="005E03F7">
      <w:pPr>
        <w:pStyle w:val="TOC5"/>
        <w:rPr>
          <w:rFonts w:asciiTheme="minorHAnsi" w:eastAsiaTheme="minorEastAsia" w:hAnsiTheme="minorHAnsi" w:cstheme="minorBidi"/>
          <w:sz w:val="22"/>
          <w:szCs w:val="22"/>
          <w:lang w:eastAsia="en-AU"/>
        </w:rPr>
      </w:pPr>
      <w:r>
        <w:tab/>
      </w:r>
      <w:hyperlink w:anchor="_Toc83626324" w:history="1">
        <w:r w:rsidRPr="00D90FEA">
          <w:t>14</w:t>
        </w:r>
        <w:r>
          <w:rPr>
            <w:rFonts w:asciiTheme="minorHAnsi" w:eastAsiaTheme="minorEastAsia" w:hAnsiTheme="minorHAnsi" w:cstheme="minorBidi"/>
            <w:sz w:val="22"/>
            <w:szCs w:val="22"/>
            <w:lang w:eastAsia="en-AU"/>
          </w:rPr>
          <w:tab/>
        </w:r>
        <w:r w:rsidRPr="00D90FEA">
          <w:rPr>
            <w:rFonts w:ascii="Helvetica" w:hAnsi="Helvetica" w:cs="Helvetica"/>
          </w:rPr>
          <w:t>Meaning of ‘</w:t>
        </w:r>
        <w:r w:rsidRPr="00D90FEA">
          <w:rPr>
            <w:i/>
          </w:rPr>
          <w:t>may</w:t>
        </w:r>
        <w:r w:rsidRPr="00D90FEA">
          <w:rPr>
            <w:rFonts w:ascii="Helvetica" w:hAnsi="Helvetica" w:cs="Helvetica"/>
          </w:rPr>
          <w:t>’ and ‘</w:t>
        </w:r>
        <w:r w:rsidRPr="00D90FEA">
          <w:rPr>
            <w:i/>
          </w:rPr>
          <w:t>must</w:t>
        </w:r>
        <w:r w:rsidRPr="00D90FEA">
          <w:rPr>
            <w:rFonts w:ascii="Helvetica" w:hAnsi="Helvetica" w:cs="Helvetica"/>
          </w:rPr>
          <w:t>’</w:t>
        </w:r>
        <w:r>
          <w:tab/>
        </w:r>
        <w:r>
          <w:fldChar w:fldCharType="begin"/>
        </w:r>
        <w:r>
          <w:instrText xml:space="preserve"> PAGEREF _Toc83626324 \h </w:instrText>
        </w:r>
        <w:r>
          <w:fldChar w:fldCharType="separate"/>
        </w:r>
        <w:r w:rsidR="005C5D7F">
          <w:t>700</w:t>
        </w:r>
        <w:r>
          <w:fldChar w:fldCharType="end"/>
        </w:r>
      </w:hyperlink>
    </w:p>
    <w:p w14:paraId="5FC5793E" w14:textId="3A493419" w:rsidR="005E03F7" w:rsidRDefault="005E03F7">
      <w:pPr>
        <w:pStyle w:val="TOC5"/>
        <w:rPr>
          <w:rFonts w:asciiTheme="minorHAnsi" w:eastAsiaTheme="minorEastAsia" w:hAnsiTheme="minorHAnsi" w:cstheme="minorBidi"/>
          <w:sz w:val="22"/>
          <w:szCs w:val="22"/>
          <w:lang w:eastAsia="en-AU"/>
        </w:rPr>
      </w:pPr>
      <w:r>
        <w:tab/>
      </w:r>
      <w:hyperlink w:anchor="_Toc83626325" w:history="1">
        <w:r w:rsidRPr="00D90FEA">
          <w:t>15</w:t>
        </w:r>
        <w:r>
          <w:rPr>
            <w:rFonts w:asciiTheme="minorHAnsi" w:eastAsiaTheme="minorEastAsia" w:hAnsiTheme="minorHAnsi" w:cstheme="minorBidi"/>
            <w:sz w:val="22"/>
            <w:szCs w:val="22"/>
            <w:lang w:eastAsia="en-AU"/>
          </w:rPr>
          <w:tab/>
        </w:r>
        <w:r w:rsidRPr="00D90FEA">
          <w:rPr>
            <w:rFonts w:ascii="Helvetica" w:hAnsi="Helvetica" w:cs="Helvetica"/>
          </w:rPr>
          <w:t>Words and expressions used in statutory instruments</w:t>
        </w:r>
        <w:r>
          <w:tab/>
        </w:r>
        <w:r>
          <w:fldChar w:fldCharType="begin"/>
        </w:r>
        <w:r>
          <w:instrText xml:space="preserve"> PAGEREF _Toc83626325 \h </w:instrText>
        </w:r>
        <w:r>
          <w:fldChar w:fldCharType="separate"/>
        </w:r>
        <w:r w:rsidR="005C5D7F">
          <w:t>700</w:t>
        </w:r>
        <w:r>
          <w:fldChar w:fldCharType="end"/>
        </w:r>
      </w:hyperlink>
    </w:p>
    <w:p w14:paraId="35C921D5" w14:textId="2B8EA08E" w:rsidR="005E03F7" w:rsidRDefault="005E03F7">
      <w:pPr>
        <w:pStyle w:val="TOC5"/>
        <w:rPr>
          <w:rFonts w:asciiTheme="minorHAnsi" w:eastAsiaTheme="minorEastAsia" w:hAnsiTheme="minorHAnsi" w:cstheme="minorBidi"/>
          <w:sz w:val="22"/>
          <w:szCs w:val="22"/>
          <w:lang w:eastAsia="en-AU"/>
        </w:rPr>
      </w:pPr>
      <w:r>
        <w:tab/>
      </w:r>
      <w:hyperlink w:anchor="_Toc83626326" w:history="1">
        <w:r w:rsidRPr="00D90FEA">
          <w:t>16</w:t>
        </w:r>
        <w:r>
          <w:rPr>
            <w:rFonts w:asciiTheme="minorHAnsi" w:eastAsiaTheme="minorEastAsia" w:hAnsiTheme="minorHAnsi" w:cstheme="minorBidi"/>
            <w:sz w:val="22"/>
            <w:szCs w:val="22"/>
            <w:lang w:eastAsia="en-AU"/>
          </w:rPr>
          <w:tab/>
        </w:r>
        <w:r w:rsidRPr="00D90FEA">
          <w:rPr>
            <w:rFonts w:ascii="Helvetica" w:hAnsi="Helvetica" w:cs="Helvetica"/>
          </w:rPr>
          <w:t>Effect of express references to bodies corporate and individuals</w:t>
        </w:r>
        <w:r>
          <w:tab/>
        </w:r>
        <w:r>
          <w:fldChar w:fldCharType="begin"/>
        </w:r>
        <w:r>
          <w:instrText xml:space="preserve"> PAGEREF _Toc83626326 \h </w:instrText>
        </w:r>
        <w:r>
          <w:fldChar w:fldCharType="separate"/>
        </w:r>
        <w:r w:rsidR="005C5D7F">
          <w:t>700</w:t>
        </w:r>
        <w:r>
          <w:fldChar w:fldCharType="end"/>
        </w:r>
      </w:hyperlink>
    </w:p>
    <w:p w14:paraId="0023A7D9" w14:textId="734D7722" w:rsidR="005E03F7" w:rsidRDefault="005E03F7">
      <w:pPr>
        <w:pStyle w:val="TOC5"/>
        <w:rPr>
          <w:rFonts w:asciiTheme="minorHAnsi" w:eastAsiaTheme="minorEastAsia" w:hAnsiTheme="minorHAnsi" w:cstheme="minorBidi"/>
          <w:sz w:val="22"/>
          <w:szCs w:val="22"/>
          <w:lang w:eastAsia="en-AU"/>
        </w:rPr>
      </w:pPr>
      <w:r>
        <w:tab/>
      </w:r>
      <w:hyperlink w:anchor="_Toc83626327" w:history="1">
        <w:r w:rsidRPr="00D90FEA">
          <w:t>17</w:t>
        </w:r>
        <w:r>
          <w:rPr>
            <w:rFonts w:asciiTheme="minorHAnsi" w:eastAsiaTheme="minorEastAsia" w:hAnsiTheme="minorHAnsi" w:cstheme="minorBidi"/>
            <w:sz w:val="22"/>
            <w:szCs w:val="22"/>
            <w:lang w:eastAsia="en-AU"/>
          </w:rPr>
          <w:tab/>
        </w:r>
        <w:r w:rsidRPr="00D90FEA">
          <w:rPr>
            <w:rFonts w:ascii="Helvetica" w:hAnsi="Helvetica" w:cs="Helvetica"/>
          </w:rPr>
          <w:t>Production of records kept in computers etc.</w:t>
        </w:r>
        <w:r>
          <w:tab/>
        </w:r>
        <w:r>
          <w:fldChar w:fldCharType="begin"/>
        </w:r>
        <w:r>
          <w:instrText xml:space="preserve"> PAGEREF _Toc83626327 \h </w:instrText>
        </w:r>
        <w:r>
          <w:fldChar w:fldCharType="separate"/>
        </w:r>
        <w:r w:rsidR="005C5D7F">
          <w:t>701</w:t>
        </w:r>
        <w:r>
          <w:fldChar w:fldCharType="end"/>
        </w:r>
      </w:hyperlink>
    </w:p>
    <w:p w14:paraId="72EADD89" w14:textId="330CCDD2" w:rsidR="005E03F7" w:rsidRDefault="005E03F7">
      <w:pPr>
        <w:pStyle w:val="TOC5"/>
        <w:rPr>
          <w:rFonts w:asciiTheme="minorHAnsi" w:eastAsiaTheme="minorEastAsia" w:hAnsiTheme="minorHAnsi" w:cstheme="minorBidi"/>
          <w:sz w:val="22"/>
          <w:szCs w:val="22"/>
          <w:lang w:eastAsia="en-AU"/>
        </w:rPr>
      </w:pPr>
      <w:r>
        <w:tab/>
      </w:r>
      <w:hyperlink w:anchor="_Toc83626328" w:history="1">
        <w:r w:rsidRPr="00D90FEA">
          <w:t>18</w:t>
        </w:r>
        <w:r>
          <w:rPr>
            <w:rFonts w:asciiTheme="minorHAnsi" w:eastAsiaTheme="minorEastAsia" w:hAnsiTheme="minorHAnsi" w:cstheme="minorBidi"/>
            <w:sz w:val="22"/>
            <w:szCs w:val="22"/>
            <w:lang w:eastAsia="en-AU"/>
          </w:rPr>
          <w:tab/>
        </w:r>
        <w:r w:rsidRPr="00D90FEA">
          <w:rPr>
            <w:rFonts w:ascii="Helvetica" w:hAnsi="Helvetica" w:cs="Helvetica"/>
          </w:rPr>
          <w:t>References to this jurisdiction to be implied</w:t>
        </w:r>
        <w:r>
          <w:tab/>
        </w:r>
        <w:r>
          <w:fldChar w:fldCharType="begin"/>
        </w:r>
        <w:r>
          <w:instrText xml:space="preserve"> PAGEREF _Toc83626328 \h </w:instrText>
        </w:r>
        <w:r>
          <w:fldChar w:fldCharType="separate"/>
        </w:r>
        <w:r w:rsidR="005C5D7F">
          <w:t>701</w:t>
        </w:r>
        <w:r>
          <w:fldChar w:fldCharType="end"/>
        </w:r>
      </w:hyperlink>
    </w:p>
    <w:p w14:paraId="3741C955" w14:textId="3B002B82" w:rsidR="005E03F7" w:rsidRDefault="005E03F7">
      <w:pPr>
        <w:pStyle w:val="TOC5"/>
        <w:rPr>
          <w:rFonts w:asciiTheme="minorHAnsi" w:eastAsiaTheme="minorEastAsia" w:hAnsiTheme="minorHAnsi" w:cstheme="minorBidi"/>
          <w:sz w:val="22"/>
          <w:szCs w:val="22"/>
          <w:lang w:eastAsia="en-AU"/>
        </w:rPr>
      </w:pPr>
      <w:r>
        <w:tab/>
      </w:r>
      <w:hyperlink w:anchor="_Toc83626329" w:history="1">
        <w:r w:rsidRPr="00D90FEA">
          <w:t>19</w:t>
        </w:r>
        <w:r>
          <w:rPr>
            <w:rFonts w:asciiTheme="minorHAnsi" w:eastAsiaTheme="minorEastAsia" w:hAnsiTheme="minorHAnsi" w:cstheme="minorBidi"/>
            <w:sz w:val="22"/>
            <w:szCs w:val="22"/>
            <w:lang w:eastAsia="en-AU"/>
          </w:rPr>
          <w:tab/>
        </w:r>
        <w:r w:rsidRPr="00D90FEA">
          <w:rPr>
            <w:rFonts w:ascii="Helvetica" w:hAnsi="Helvetica" w:cs="Helvetica"/>
          </w:rPr>
          <w:t>References to officers and holders of offices</w:t>
        </w:r>
        <w:r>
          <w:tab/>
        </w:r>
        <w:r>
          <w:fldChar w:fldCharType="begin"/>
        </w:r>
        <w:r>
          <w:instrText xml:space="preserve"> PAGEREF _Toc83626329 \h </w:instrText>
        </w:r>
        <w:r>
          <w:fldChar w:fldCharType="separate"/>
        </w:r>
        <w:r w:rsidR="005C5D7F">
          <w:t>701</w:t>
        </w:r>
        <w:r>
          <w:fldChar w:fldCharType="end"/>
        </w:r>
      </w:hyperlink>
    </w:p>
    <w:p w14:paraId="71D58DC7" w14:textId="30B2CDD9" w:rsidR="005E03F7" w:rsidRDefault="005E03F7">
      <w:pPr>
        <w:pStyle w:val="TOC5"/>
        <w:rPr>
          <w:rFonts w:asciiTheme="minorHAnsi" w:eastAsiaTheme="minorEastAsia" w:hAnsiTheme="minorHAnsi" w:cstheme="minorBidi"/>
          <w:sz w:val="22"/>
          <w:szCs w:val="22"/>
          <w:lang w:eastAsia="en-AU"/>
        </w:rPr>
      </w:pPr>
      <w:r>
        <w:tab/>
      </w:r>
      <w:hyperlink w:anchor="_Toc83626330" w:history="1">
        <w:r w:rsidRPr="00D90FEA">
          <w:t>20</w:t>
        </w:r>
        <w:r>
          <w:rPr>
            <w:rFonts w:asciiTheme="minorHAnsi" w:eastAsiaTheme="minorEastAsia" w:hAnsiTheme="minorHAnsi" w:cstheme="minorBidi"/>
            <w:sz w:val="22"/>
            <w:szCs w:val="22"/>
            <w:lang w:eastAsia="en-AU"/>
          </w:rPr>
          <w:tab/>
        </w:r>
        <w:r w:rsidRPr="00D90FEA">
          <w:rPr>
            <w:rFonts w:ascii="Helvetica" w:hAnsi="Helvetica" w:cs="Helvetica"/>
          </w:rPr>
          <w:t>Reference to certain provisions of Law</w:t>
        </w:r>
        <w:r>
          <w:tab/>
        </w:r>
        <w:r>
          <w:fldChar w:fldCharType="begin"/>
        </w:r>
        <w:r>
          <w:instrText xml:space="preserve"> PAGEREF _Toc83626330 \h </w:instrText>
        </w:r>
        <w:r>
          <w:fldChar w:fldCharType="separate"/>
        </w:r>
        <w:r w:rsidR="005C5D7F">
          <w:t>702</w:t>
        </w:r>
        <w:r>
          <w:fldChar w:fldCharType="end"/>
        </w:r>
      </w:hyperlink>
    </w:p>
    <w:p w14:paraId="28AD0B92" w14:textId="4EAF1EFD" w:rsidR="005E03F7" w:rsidRDefault="005E03F7">
      <w:pPr>
        <w:pStyle w:val="TOC5"/>
        <w:rPr>
          <w:rFonts w:asciiTheme="minorHAnsi" w:eastAsiaTheme="minorEastAsia" w:hAnsiTheme="minorHAnsi" w:cstheme="minorBidi"/>
          <w:sz w:val="22"/>
          <w:szCs w:val="22"/>
          <w:lang w:eastAsia="en-AU"/>
        </w:rPr>
      </w:pPr>
      <w:r>
        <w:tab/>
      </w:r>
      <w:hyperlink w:anchor="_Toc83626331" w:history="1">
        <w:r w:rsidRPr="00D90FEA">
          <w:t>21</w:t>
        </w:r>
        <w:r>
          <w:rPr>
            <w:rFonts w:asciiTheme="minorHAnsi" w:eastAsiaTheme="minorEastAsia" w:hAnsiTheme="minorHAnsi" w:cstheme="minorBidi"/>
            <w:sz w:val="22"/>
            <w:szCs w:val="22"/>
            <w:lang w:eastAsia="en-AU"/>
          </w:rPr>
          <w:tab/>
        </w:r>
        <w:r w:rsidRPr="00D90FEA">
          <w:rPr>
            <w:rFonts w:ascii="Helvetica" w:hAnsi="Helvetica" w:cs="Helvetica"/>
          </w:rPr>
          <w:t>Reference to provisions of this Law or an Act is inclusive</w:t>
        </w:r>
        <w:r>
          <w:tab/>
        </w:r>
        <w:r>
          <w:fldChar w:fldCharType="begin"/>
        </w:r>
        <w:r>
          <w:instrText xml:space="preserve"> PAGEREF _Toc83626331 \h </w:instrText>
        </w:r>
        <w:r>
          <w:fldChar w:fldCharType="separate"/>
        </w:r>
        <w:r w:rsidR="005C5D7F">
          <w:t>703</w:t>
        </w:r>
        <w:r>
          <w:fldChar w:fldCharType="end"/>
        </w:r>
      </w:hyperlink>
    </w:p>
    <w:p w14:paraId="11A1B8AF" w14:textId="1FF70FF8" w:rsidR="005E03F7" w:rsidRDefault="00856BEE">
      <w:pPr>
        <w:pStyle w:val="TOC7"/>
        <w:rPr>
          <w:rFonts w:asciiTheme="minorHAnsi" w:eastAsiaTheme="minorEastAsia" w:hAnsiTheme="minorHAnsi" w:cstheme="minorBidi"/>
          <w:b w:val="0"/>
          <w:sz w:val="22"/>
          <w:szCs w:val="22"/>
          <w:lang w:eastAsia="en-AU"/>
        </w:rPr>
      </w:pPr>
      <w:hyperlink w:anchor="_Toc83626332" w:history="1">
        <w:r w:rsidR="005E03F7" w:rsidRPr="00D90FEA">
          <w:t xml:space="preserve">Part 4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rPr>
          <w:t>Functions and powers</w:t>
        </w:r>
        <w:r w:rsidR="005E03F7">
          <w:tab/>
        </w:r>
        <w:r w:rsidR="005E03F7" w:rsidRPr="005E03F7">
          <w:rPr>
            <w:b w:val="0"/>
          </w:rPr>
          <w:fldChar w:fldCharType="begin"/>
        </w:r>
        <w:r w:rsidR="005E03F7" w:rsidRPr="005E03F7">
          <w:rPr>
            <w:b w:val="0"/>
          </w:rPr>
          <w:instrText xml:space="preserve"> PAGEREF _Toc83626332 \h </w:instrText>
        </w:r>
        <w:r w:rsidR="005E03F7" w:rsidRPr="005E03F7">
          <w:rPr>
            <w:b w:val="0"/>
          </w:rPr>
        </w:r>
        <w:r w:rsidR="005E03F7" w:rsidRPr="005E03F7">
          <w:rPr>
            <w:b w:val="0"/>
          </w:rPr>
          <w:fldChar w:fldCharType="separate"/>
        </w:r>
        <w:r w:rsidR="005C5D7F">
          <w:rPr>
            <w:b w:val="0"/>
          </w:rPr>
          <w:t>704</w:t>
        </w:r>
        <w:r w:rsidR="005E03F7" w:rsidRPr="005E03F7">
          <w:rPr>
            <w:b w:val="0"/>
          </w:rPr>
          <w:fldChar w:fldCharType="end"/>
        </w:r>
      </w:hyperlink>
    </w:p>
    <w:p w14:paraId="0436C07C" w14:textId="4DC21715" w:rsidR="005E03F7" w:rsidRDefault="005E03F7">
      <w:pPr>
        <w:pStyle w:val="TOC5"/>
        <w:rPr>
          <w:rFonts w:asciiTheme="minorHAnsi" w:eastAsiaTheme="minorEastAsia" w:hAnsiTheme="minorHAnsi" w:cstheme="minorBidi"/>
          <w:sz w:val="22"/>
          <w:szCs w:val="22"/>
          <w:lang w:eastAsia="en-AU"/>
        </w:rPr>
      </w:pPr>
      <w:r>
        <w:tab/>
      </w:r>
      <w:hyperlink w:anchor="_Toc83626333" w:history="1">
        <w:r w:rsidRPr="00D90FEA">
          <w:t>22</w:t>
        </w:r>
        <w:r>
          <w:rPr>
            <w:rFonts w:asciiTheme="minorHAnsi" w:eastAsiaTheme="minorEastAsia" w:hAnsiTheme="minorHAnsi" w:cstheme="minorBidi"/>
            <w:sz w:val="22"/>
            <w:szCs w:val="22"/>
            <w:lang w:eastAsia="en-AU"/>
          </w:rPr>
          <w:tab/>
        </w:r>
        <w:r w:rsidRPr="00D90FEA">
          <w:rPr>
            <w:rFonts w:ascii="Helvetica" w:hAnsi="Helvetica" w:cs="Helvetica"/>
          </w:rPr>
          <w:t>Exercise of statutory functions</w:t>
        </w:r>
        <w:r>
          <w:tab/>
        </w:r>
        <w:r>
          <w:fldChar w:fldCharType="begin"/>
        </w:r>
        <w:r>
          <w:instrText xml:space="preserve"> PAGEREF _Toc83626333 \h </w:instrText>
        </w:r>
        <w:r>
          <w:fldChar w:fldCharType="separate"/>
        </w:r>
        <w:r w:rsidR="005C5D7F">
          <w:t>704</w:t>
        </w:r>
        <w:r>
          <w:fldChar w:fldCharType="end"/>
        </w:r>
      </w:hyperlink>
    </w:p>
    <w:p w14:paraId="4382FD49" w14:textId="35C72BDE" w:rsidR="005E03F7" w:rsidRDefault="005E03F7">
      <w:pPr>
        <w:pStyle w:val="TOC5"/>
        <w:rPr>
          <w:rFonts w:asciiTheme="minorHAnsi" w:eastAsiaTheme="minorEastAsia" w:hAnsiTheme="minorHAnsi" w:cstheme="minorBidi"/>
          <w:sz w:val="22"/>
          <w:szCs w:val="22"/>
          <w:lang w:eastAsia="en-AU"/>
        </w:rPr>
      </w:pPr>
      <w:r>
        <w:tab/>
      </w:r>
      <w:hyperlink w:anchor="_Toc83626334" w:history="1">
        <w:r w:rsidRPr="00D90FEA">
          <w:t>23</w:t>
        </w:r>
        <w:r>
          <w:rPr>
            <w:rFonts w:asciiTheme="minorHAnsi" w:eastAsiaTheme="minorEastAsia" w:hAnsiTheme="minorHAnsi" w:cstheme="minorBidi"/>
            <w:sz w:val="22"/>
            <w:szCs w:val="22"/>
            <w:lang w:eastAsia="en-AU"/>
          </w:rPr>
          <w:tab/>
        </w:r>
        <w:r w:rsidRPr="00D90FEA">
          <w:rPr>
            <w:rFonts w:ascii="Helvetica" w:hAnsi="Helvetica" w:cs="Helvetica"/>
          </w:rPr>
          <w:t>Power to make instrument or decision includes power to amend or repeal</w:t>
        </w:r>
        <w:r>
          <w:tab/>
        </w:r>
        <w:r>
          <w:fldChar w:fldCharType="begin"/>
        </w:r>
        <w:r>
          <w:instrText xml:space="preserve"> PAGEREF _Toc83626334 \h </w:instrText>
        </w:r>
        <w:r>
          <w:fldChar w:fldCharType="separate"/>
        </w:r>
        <w:r w:rsidR="005C5D7F">
          <w:t>704</w:t>
        </w:r>
        <w:r>
          <w:fldChar w:fldCharType="end"/>
        </w:r>
      </w:hyperlink>
    </w:p>
    <w:p w14:paraId="133BA1C1" w14:textId="6F72E9CD" w:rsidR="005E03F7" w:rsidRDefault="005E03F7">
      <w:pPr>
        <w:pStyle w:val="TOC5"/>
        <w:rPr>
          <w:rFonts w:asciiTheme="minorHAnsi" w:eastAsiaTheme="minorEastAsia" w:hAnsiTheme="minorHAnsi" w:cstheme="minorBidi"/>
          <w:sz w:val="22"/>
          <w:szCs w:val="22"/>
          <w:lang w:eastAsia="en-AU"/>
        </w:rPr>
      </w:pPr>
      <w:r>
        <w:tab/>
      </w:r>
      <w:hyperlink w:anchor="_Toc83626335" w:history="1">
        <w:r w:rsidRPr="00D90FEA">
          <w:t>24</w:t>
        </w:r>
        <w:r>
          <w:rPr>
            <w:rFonts w:asciiTheme="minorHAnsi" w:eastAsiaTheme="minorEastAsia" w:hAnsiTheme="minorHAnsi" w:cstheme="minorBidi"/>
            <w:sz w:val="22"/>
            <w:szCs w:val="22"/>
            <w:lang w:eastAsia="en-AU"/>
          </w:rPr>
          <w:tab/>
        </w:r>
        <w:r w:rsidRPr="00D90FEA">
          <w:rPr>
            <w:rFonts w:ascii="Helvetica" w:hAnsi="Helvetica" w:cs="Helvetica"/>
          </w:rPr>
          <w:t>Matters for which statutory instruments may make provision</w:t>
        </w:r>
        <w:r>
          <w:tab/>
        </w:r>
        <w:r>
          <w:fldChar w:fldCharType="begin"/>
        </w:r>
        <w:r>
          <w:instrText xml:space="preserve"> PAGEREF _Toc83626335 \h </w:instrText>
        </w:r>
        <w:r>
          <w:fldChar w:fldCharType="separate"/>
        </w:r>
        <w:r w:rsidR="005C5D7F">
          <w:t>704</w:t>
        </w:r>
        <w:r>
          <w:fldChar w:fldCharType="end"/>
        </w:r>
      </w:hyperlink>
    </w:p>
    <w:p w14:paraId="71B9207C" w14:textId="702E2D4B" w:rsidR="005E03F7" w:rsidRDefault="005E03F7">
      <w:pPr>
        <w:pStyle w:val="TOC5"/>
        <w:rPr>
          <w:rFonts w:asciiTheme="minorHAnsi" w:eastAsiaTheme="minorEastAsia" w:hAnsiTheme="minorHAnsi" w:cstheme="minorBidi"/>
          <w:sz w:val="22"/>
          <w:szCs w:val="22"/>
          <w:lang w:eastAsia="en-AU"/>
        </w:rPr>
      </w:pPr>
      <w:r>
        <w:tab/>
      </w:r>
      <w:hyperlink w:anchor="_Toc83626336" w:history="1">
        <w:r w:rsidRPr="00D90FEA">
          <w:t>25</w:t>
        </w:r>
        <w:r>
          <w:rPr>
            <w:rFonts w:asciiTheme="minorHAnsi" w:eastAsiaTheme="minorEastAsia" w:hAnsiTheme="minorHAnsi" w:cstheme="minorBidi"/>
            <w:sz w:val="22"/>
            <w:szCs w:val="22"/>
            <w:lang w:eastAsia="en-AU"/>
          </w:rPr>
          <w:tab/>
        </w:r>
        <w:r w:rsidRPr="00D90FEA">
          <w:rPr>
            <w:rFonts w:ascii="Helvetica" w:hAnsi="Helvetica" w:cs="Helvetica"/>
          </w:rPr>
          <w:t>Presumption of validity and power to make</w:t>
        </w:r>
        <w:r>
          <w:tab/>
        </w:r>
        <w:r>
          <w:fldChar w:fldCharType="begin"/>
        </w:r>
        <w:r>
          <w:instrText xml:space="preserve"> PAGEREF _Toc83626336 \h </w:instrText>
        </w:r>
        <w:r>
          <w:fldChar w:fldCharType="separate"/>
        </w:r>
        <w:r w:rsidR="005C5D7F">
          <w:t>706</w:t>
        </w:r>
        <w:r>
          <w:fldChar w:fldCharType="end"/>
        </w:r>
      </w:hyperlink>
    </w:p>
    <w:p w14:paraId="662017CD" w14:textId="1E3A354E" w:rsidR="005E03F7" w:rsidRDefault="005E03F7">
      <w:pPr>
        <w:pStyle w:val="TOC5"/>
        <w:rPr>
          <w:rFonts w:asciiTheme="minorHAnsi" w:eastAsiaTheme="minorEastAsia" w:hAnsiTheme="minorHAnsi" w:cstheme="minorBidi"/>
          <w:sz w:val="22"/>
          <w:szCs w:val="22"/>
          <w:lang w:eastAsia="en-AU"/>
        </w:rPr>
      </w:pPr>
      <w:r>
        <w:tab/>
      </w:r>
      <w:hyperlink w:anchor="_Toc83626337" w:history="1">
        <w:r w:rsidRPr="00D90FEA">
          <w:t>26</w:t>
        </w:r>
        <w:r>
          <w:rPr>
            <w:rFonts w:asciiTheme="minorHAnsi" w:eastAsiaTheme="minorEastAsia" w:hAnsiTheme="minorHAnsi" w:cstheme="minorBidi"/>
            <w:sz w:val="22"/>
            <w:szCs w:val="22"/>
            <w:lang w:eastAsia="en-AU"/>
          </w:rPr>
          <w:tab/>
        </w:r>
        <w:r w:rsidRPr="00D90FEA">
          <w:rPr>
            <w:rFonts w:ascii="Helvetica" w:hAnsi="Helvetica" w:cs="Helvetica"/>
          </w:rPr>
          <w:t>Appointments may be made by name or office</w:t>
        </w:r>
        <w:r>
          <w:tab/>
        </w:r>
        <w:r>
          <w:fldChar w:fldCharType="begin"/>
        </w:r>
        <w:r>
          <w:instrText xml:space="preserve"> PAGEREF _Toc83626337 \h </w:instrText>
        </w:r>
        <w:r>
          <w:fldChar w:fldCharType="separate"/>
        </w:r>
        <w:r w:rsidR="005C5D7F">
          <w:t>706</w:t>
        </w:r>
        <w:r>
          <w:fldChar w:fldCharType="end"/>
        </w:r>
      </w:hyperlink>
    </w:p>
    <w:p w14:paraId="783DFCE5" w14:textId="026A5593" w:rsidR="005E03F7" w:rsidRDefault="005E03F7">
      <w:pPr>
        <w:pStyle w:val="TOC5"/>
        <w:rPr>
          <w:rFonts w:asciiTheme="minorHAnsi" w:eastAsiaTheme="minorEastAsia" w:hAnsiTheme="minorHAnsi" w:cstheme="minorBidi"/>
          <w:sz w:val="22"/>
          <w:szCs w:val="22"/>
          <w:lang w:eastAsia="en-AU"/>
        </w:rPr>
      </w:pPr>
      <w:r>
        <w:tab/>
      </w:r>
      <w:hyperlink w:anchor="_Toc83626338" w:history="1">
        <w:r w:rsidRPr="00D90FEA">
          <w:t>27</w:t>
        </w:r>
        <w:r>
          <w:rPr>
            <w:rFonts w:asciiTheme="minorHAnsi" w:eastAsiaTheme="minorEastAsia" w:hAnsiTheme="minorHAnsi" w:cstheme="minorBidi"/>
            <w:sz w:val="22"/>
            <w:szCs w:val="22"/>
            <w:lang w:eastAsia="en-AU"/>
          </w:rPr>
          <w:tab/>
        </w:r>
        <w:r w:rsidRPr="00D90FEA">
          <w:rPr>
            <w:rFonts w:ascii="Helvetica" w:hAnsi="Helvetica" w:cs="Helvetica"/>
          </w:rPr>
          <w:t>Acting appointments</w:t>
        </w:r>
        <w:r>
          <w:tab/>
        </w:r>
        <w:r>
          <w:fldChar w:fldCharType="begin"/>
        </w:r>
        <w:r>
          <w:instrText xml:space="preserve"> PAGEREF _Toc83626338 \h </w:instrText>
        </w:r>
        <w:r>
          <w:fldChar w:fldCharType="separate"/>
        </w:r>
        <w:r w:rsidR="005C5D7F">
          <w:t>707</w:t>
        </w:r>
        <w:r>
          <w:fldChar w:fldCharType="end"/>
        </w:r>
      </w:hyperlink>
    </w:p>
    <w:p w14:paraId="7D1BCCD5" w14:textId="7B358E5F" w:rsidR="005E03F7" w:rsidRDefault="005E03F7">
      <w:pPr>
        <w:pStyle w:val="TOC5"/>
        <w:rPr>
          <w:rFonts w:asciiTheme="minorHAnsi" w:eastAsiaTheme="minorEastAsia" w:hAnsiTheme="minorHAnsi" w:cstheme="minorBidi"/>
          <w:sz w:val="22"/>
          <w:szCs w:val="22"/>
          <w:lang w:eastAsia="en-AU"/>
        </w:rPr>
      </w:pPr>
      <w:r>
        <w:tab/>
      </w:r>
      <w:hyperlink w:anchor="_Toc83626339" w:history="1">
        <w:r w:rsidRPr="00D90FEA">
          <w:t>28</w:t>
        </w:r>
        <w:r>
          <w:rPr>
            <w:rFonts w:asciiTheme="minorHAnsi" w:eastAsiaTheme="minorEastAsia" w:hAnsiTheme="minorHAnsi" w:cstheme="minorBidi"/>
            <w:sz w:val="22"/>
            <w:szCs w:val="22"/>
            <w:lang w:eastAsia="en-AU"/>
          </w:rPr>
          <w:tab/>
        </w:r>
        <w:r w:rsidRPr="00D90FEA">
          <w:rPr>
            <w:rFonts w:ascii="Helvetica" w:hAnsi="Helvetica" w:cs="Helvetica"/>
          </w:rPr>
          <w:t>Powers of appointment imply certain incidental powers</w:t>
        </w:r>
        <w:r>
          <w:tab/>
        </w:r>
        <w:r>
          <w:fldChar w:fldCharType="begin"/>
        </w:r>
        <w:r>
          <w:instrText xml:space="preserve"> PAGEREF _Toc83626339 \h </w:instrText>
        </w:r>
        <w:r>
          <w:fldChar w:fldCharType="separate"/>
        </w:r>
        <w:r w:rsidR="005C5D7F">
          <w:t>708</w:t>
        </w:r>
        <w:r>
          <w:fldChar w:fldCharType="end"/>
        </w:r>
      </w:hyperlink>
    </w:p>
    <w:p w14:paraId="2E8DFA18" w14:textId="5135BAA4" w:rsidR="005E03F7" w:rsidRDefault="005E03F7">
      <w:pPr>
        <w:pStyle w:val="TOC5"/>
        <w:rPr>
          <w:rFonts w:asciiTheme="minorHAnsi" w:eastAsiaTheme="minorEastAsia" w:hAnsiTheme="minorHAnsi" w:cstheme="minorBidi"/>
          <w:sz w:val="22"/>
          <w:szCs w:val="22"/>
          <w:lang w:eastAsia="en-AU"/>
        </w:rPr>
      </w:pPr>
      <w:r>
        <w:tab/>
      </w:r>
      <w:hyperlink w:anchor="_Toc83626340" w:history="1">
        <w:r w:rsidRPr="00D90FEA">
          <w:t>29</w:t>
        </w:r>
        <w:r>
          <w:rPr>
            <w:rFonts w:asciiTheme="minorHAnsi" w:eastAsiaTheme="minorEastAsia" w:hAnsiTheme="minorHAnsi" w:cstheme="minorBidi"/>
            <w:sz w:val="22"/>
            <w:szCs w:val="22"/>
            <w:lang w:eastAsia="en-AU"/>
          </w:rPr>
          <w:tab/>
        </w:r>
        <w:r w:rsidRPr="00D90FEA">
          <w:rPr>
            <w:rFonts w:ascii="Helvetica" w:hAnsi="Helvetica" w:cs="Helvetica"/>
          </w:rPr>
          <w:t>Delegation of functions</w:t>
        </w:r>
        <w:r>
          <w:tab/>
        </w:r>
        <w:r>
          <w:fldChar w:fldCharType="begin"/>
        </w:r>
        <w:r>
          <w:instrText xml:space="preserve"> PAGEREF _Toc83626340 \h </w:instrText>
        </w:r>
        <w:r>
          <w:fldChar w:fldCharType="separate"/>
        </w:r>
        <w:r w:rsidR="005C5D7F">
          <w:t>709</w:t>
        </w:r>
        <w:r>
          <w:fldChar w:fldCharType="end"/>
        </w:r>
      </w:hyperlink>
    </w:p>
    <w:p w14:paraId="17C04828" w14:textId="2C488FF2" w:rsidR="005E03F7" w:rsidRDefault="005E03F7">
      <w:pPr>
        <w:pStyle w:val="TOC5"/>
        <w:rPr>
          <w:rFonts w:asciiTheme="minorHAnsi" w:eastAsiaTheme="minorEastAsia" w:hAnsiTheme="minorHAnsi" w:cstheme="minorBidi"/>
          <w:sz w:val="22"/>
          <w:szCs w:val="22"/>
          <w:lang w:eastAsia="en-AU"/>
        </w:rPr>
      </w:pPr>
      <w:r>
        <w:tab/>
      </w:r>
      <w:hyperlink w:anchor="_Toc83626341" w:history="1">
        <w:r w:rsidRPr="00D90FEA">
          <w:t>30</w:t>
        </w:r>
        <w:r>
          <w:rPr>
            <w:rFonts w:asciiTheme="minorHAnsi" w:eastAsiaTheme="minorEastAsia" w:hAnsiTheme="minorHAnsi" w:cstheme="minorBidi"/>
            <w:sz w:val="22"/>
            <w:szCs w:val="22"/>
            <w:lang w:eastAsia="en-AU"/>
          </w:rPr>
          <w:tab/>
        </w:r>
        <w:r w:rsidRPr="00D90FEA">
          <w:rPr>
            <w:rFonts w:ascii="Helvetica" w:hAnsi="Helvetica" w:cs="Helvetica"/>
          </w:rPr>
          <w:t>Exercise of powers between enactment and commencement</w:t>
        </w:r>
        <w:r>
          <w:tab/>
        </w:r>
        <w:r>
          <w:fldChar w:fldCharType="begin"/>
        </w:r>
        <w:r>
          <w:instrText xml:space="preserve"> PAGEREF _Toc83626341 \h </w:instrText>
        </w:r>
        <w:r>
          <w:fldChar w:fldCharType="separate"/>
        </w:r>
        <w:r w:rsidR="005C5D7F">
          <w:t>712</w:t>
        </w:r>
        <w:r>
          <w:fldChar w:fldCharType="end"/>
        </w:r>
      </w:hyperlink>
    </w:p>
    <w:p w14:paraId="469CED6A" w14:textId="1E2539BC" w:rsidR="005E03F7" w:rsidRDefault="00856BEE">
      <w:pPr>
        <w:pStyle w:val="TOC7"/>
        <w:rPr>
          <w:rFonts w:asciiTheme="minorHAnsi" w:eastAsiaTheme="minorEastAsia" w:hAnsiTheme="minorHAnsi" w:cstheme="minorBidi"/>
          <w:b w:val="0"/>
          <w:sz w:val="22"/>
          <w:szCs w:val="22"/>
          <w:lang w:eastAsia="en-AU"/>
        </w:rPr>
      </w:pPr>
      <w:hyperlink w:anchor="_Toc83626342" w:history="1">
        <w:r w:rsidR="005E03F7" w:rsidRPr="00D90FEA">
          <w:t xml:space="preserve">Part 5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rPr>
          <w:t>Distance, time and age</w:t>
        </w:r>
        <w:r w:rsidR="005E03F7">
          <w:tab/>
        </w:r>
        <w:r w:rsidR="005E03F7" w:rsidRPr="005E03F7">
          <w:rPr>
            <w:b w:val="0"/>
          </w:rPr>
          <w:fldChar w:fldCharType="begin"/>
        </w:r>
        <w:r w:rsidR="005E03F7" w:rsidRPr="005E03F7">
          <w:rPr>
            <w:b w:val="0"/>
          </w:rPr>
          <w:instrText xml:space="preserve"> PAGEREF _Toc83626342 \h </w:instrText>
        </w:r>
        <w:r w:rsidR="005E03F7" w:rsidRPr="005E03F7">
          <w:rPr>
            <w:b w:val="0"/>
          </w:rPr>
        </w:r>
        <w:r w:rsidR="005E03F7" w:rsidRPr="005E03F7">
          <w:rPr>
            <w:b w:val="0"/>
          </w:rPr>
          <w:fldChar w:fldCharType="separate"/>
        </w:r>
        <w:r w:rsidR="005C5D7F">
          <w:rPr>
            <w:b w:val="0"/>
          </w:rPr>
          <w:t>715</w:t>
        </w:r>
        <w:r w:rsidR="005E03F7" w:rsidRPr="005E03F7">
          <w:rPr>
            <w:b w:val="0"/>
          </w:rPr>
          <w:fldChar w:fldCharType="end"/>
        </w:r>
      </w:hyperlink>
    </w:p>
    <w:p w14:paraId="0D4CCEE8" w14:textId="4A75F675" w:rsidR="005E03F7" w:rsidRDefault="005E03F7">
      <w:pPr>
        <w:pStyle w:val="TOC5"/>
        <w:rPr>
          <w:rFonts w:asciiTheme="minorHAnsi" w:eastAsiaTheme="minorEastAsia" w:hAnsiTheme="minorHAnsi" w:cstheme="minorBidi"/>
          <w:sz w:val="22"/>
          <w:szCs w:val="22"/>
          <w:lang w:eastAsia="en-AU"/>
        </w:rPr>
      </w:pPr>
      <w:r>
        <w:tab/>
      </w:r>
      <w:hyperlink w:anchor="_Toc83626343" w:history="1">
        <w:r w:rsidRPr="00D90FEA">
          <w:t>31</w:t>
        </w:r>
        <w:r>
          <w:rPr>
            <w:rFonts w:asciiTheme="minorHAnsi" w:eastAsiaTheme="minorEastAsia" w:hAnsiTheme="minorHAnsi" w:cstheme="minorBidi"/>
            <w:sz w:val="22"/>
            <w:szCs w:val="22"/>
            <w:lang w:eastAsia="en-AU"/>
          </w:rPr>
          <w:tab/>
        </w:r>
        <w:r w:rsidRPr="00D90FEA">
          <w:rPr>
            <w:rFonts w:ascii="Helvetica" w:hAnsi="Helvetica" w:cs="Helvetica"/>
          </w:rPr>
          <w:t>Matters relating to distance, time and age</w:t>
        </w:r>
        <w:r>
          <w:tab/>
        </w:r>
        <w:r>
          <w:fldChar w:fldCharType="begin"/>
        </w:r>
        <w:r>
          <w:instrText xml:space="preserve"> PAGEREF _Toc83626343 \h </w:instrText>
        </w:r>
        <w:r>
          <w:fldChar w:fldCharType="separate"/>
        </w:r>
        <w:r w:rsidR="005C5D7F">
          <w:t>715</w:t>
        </w:r>
        <w:r>
          <w:fldChar w:fldCharType="end"/>
        </w:r>
      </w:hyperlink>
    </w:p>
    <w:p w14:paraId="56AA5420" w14:textId="030D317B" w:rsidR="005E03F7" w:rsidRDefault="00856BEE">
      <w:pPr>
        <w:pStyle w:val="TOC7"/>
        <w:rPr>
          <w:rFonts w:asciiTheme="minorHAnsi" w:eastAsiaTheme="minorEastAsia" w:hAnsiTheme="minorHAnsi" w:cstheme="minorBidi"/>
          <w:b w:val="0"/>
          <w:sz w:val="22"/>
          <w:szCs w:val="22"/>
          <w:lang w:eastAsia="en-AU"/>
        </w:rPr>
      </w:pPr>
      <w:hyperlink w:anchor="_Toc83626344" w:history="1">
        <w:r w:rsidR="005E03F7" w:rsidRPr="00D90FEA">
          <w:t xml:space="preserve">Part 6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rPr>
          <w:t>Effect of repeal, amendment or expiration</w:t>
        </w:r>
        <w:r w:rsidR="005E03F7">
          <w:tab/>
        </w:r>
        <w:r w:rsidR="005E03F7" w:rsidRPr="005E03F7">
          <w:rPr>
            <w:b w:val="0"/>
          </w:rPr>
          <w:fldChar w:fldCharType="begin"/>
        </w:r>
        <w:r w:rsidR="005E03F7" w:rsidRPr="005E03F7">
          <w:rPr>
            <w:b w:val="0"/>
          </w:rPr>
          <w:instrText xml:space="preserve"> PAGEREF _Toc83626344 \h </w:instrText>
        </w:r>
        <w:r w:rsidR="005E03F7" w:rsidRPr="005E03F7">
          <w:rPr>
            <w:b w:val="0"/>
          </w:rPr>
        </w:r>
        <w:r w:rsidR="005E03F7" w:rsidRPr="005E03F7">
          <w:rPr>
            <w:b w:val="0"/>
          </w:rPr>
          <w:fldChar w:fldCharType="separate"/>
        </w:r>
        <w:r w:rsidR="005C5D7F">
          <w:rPr>
            <w:b w:val="0"/>
          </w:rPr>
          <w:t>717</w:t>
        </w:r>
        <w:r w:rsidR="005E03F7" w:rsidRPr="005E03F7">
          <w:rPr>
            <w:b w:val="0"/>
          </w:rPr>
          <w:fldChar w:fldCharType="end"/>
        </w:r>
      </w:hyperlink>
    </w:p>
    <w:p w14:paraId="5F6A3227" w14:textId="3D654885" w:rsidR="005E03F7" w:rsidRDefault="005E03F7">
      <w:pPr>
        <w:pStyle w:val="TOC5"/>
        <w:rPr>
          <w:rFonts w:asciiTheme="minorHAnsi" w:eastAsiaTheme="minorEastAsia" w:hAnsiTheme="minorHAnsi" w:cstheme="minorBidi"/>
          <w:sz w:val="22"/>
          <w:szCs w:val="22"/>
          <w:lang w:eastAsia="en-AU"/>
        </w:rPr>
      </w:pPr>
      <w:r>
        <w:tab/>
      </w:r>
      <w:hyperlink w:anchor="_Toc83626345" w:history="1">
        <w:r w:rsidRPr="00D90FEA">
          <w:t>32</w:t>
        </w:r>
        <w:r>
          <w:rPr>
            <w:rFonts w:asciiTheme="minorHAnsi" w:eastAsiaTheme="minorEastAsia" w:hAnsiTheme="minorHAnsi" w:cstheme="minorBidi"/>
            <w:sz w:val="22"/>
            <w:szCs w:val="22"/>
            <w:lang w:eastAsia="en-AU"/>
          </w:rPr>
          <w:tab/>
        </w:r>
        <w:r w:rsidRPr="00D90FEA">
          <w:rPr>
            <w:rFonts w:ascii="Helvetica" w:hAnsi="Helvetica" w:cs="Helvetica"/>
          </w:rPr>
          <w:t>Time of Law ceasing to have effect</w:t>
        </w:r>
        <w:r>
          <w:tab/>
        </w:r>
        <w:r>
          <w:fldChar w:fldCharType="begin"/>
        </w:r>
        <w:r>
          <w:instrText xml:space="preserve"> PAGEREF _Toc83626345 \h </w:instrText>
        </w:r>
        <w:r>
          <w:fldChar w:fldCharType="separate"/>
        </w:r>
        <w:r w:rsidR="005C5D7F">
          <w:t>717</w:t>
        </w:r>
        <w:r>
          <w:fldChar w:fldCharType="end"/>
        </w:r>
      </w:hyperlink>
    </w:p>
    <w:p w14:paraId="0812FCE7" w14:textId="352F3CCF" w:rsidR="005E03F7" w:rsidRDefault="005E03F7">
      <w:pPr>
        <w:pStyle w:val="TOC5"/>
        <w:rPr>
          <w:rFonts w:asciiTheme="minorHAnsi" w:eastAsiaTheme="minorEastAsia" w:hAnsiTheme="minorHAnsi" w:cstheme="minorBidi"/>
          <w:sz w:val="22"/>
          <w:szCs w:val="22"/>
          <w:lang w:eastAsia="en-AU"/>
        </w:rPr>
      </w:pPr>
      <w:r>
        <w:lastRenderedPageBreak/>
        <w:tab/>
      </w:r>
      <w:hyperlink w:anchor="_Toc83626346" w:history="1">
        <w:r w:rsidRPr="00D90FEA">
          <w:t>33</w:t>
        </w:r>
        <w:r>
          <w:rPr>
            <w:rFonts w:asciiTheme="minorHAnsi" w:eastAsiaTheme="minorEastAsia" w:hAnsiTheme="minorHAnsi" w:cstheme="minorBidi"/>
            <w:sz w:val="22"/>
            <w:szCs w:val="22"/>
            <w:lang w:eastAsia="en-AU"/>
          </w:rPr>
          <w:tab/>
        </w:r>
        <w:r w:rsidRPr="00D90FEA">
          <w:rPr>
            <w:rFonts w:ascii="Helvetica" w:hAnsi="Helvetica" w:cs="Helvetica"/>
          </w:rPr>
          <w:t>Repealed Law provisions not revived</w:t>
        </w:r>
        <w:r>
          <w:tab/>
        </w:r>
        <w:r>
          <w:fldChar w:fldCharType="begin"/>
        </w:r>
        <w:r>
          <w:instrText xml:space="preserve"> PAGEREF _Toc83626346 \h </w:instrText>
        </w:r>
        <w:r>
          <w:fldChar w:fldCharType="separate"/>
        </w:r>
        <w:r w:rsidR="005C5D7F">
          <w:t>717</w:t>
        </w:r>
        <w:r>
          <w:fldChar w:fldCharType="end"/>
        </w:r>
      </w:hyperlink>
    </w:p>
    <w:p w14:paraId="5B7CF19F" w14:textId="46018ED5" w:rsidR="005E03F7" w:rsidRDefault="005E03F7">
      <w:pPr>
        <w:pStyle w:val="TOC5"/>
        <w:rPr>
          <w:rFonts w:asciiTheme="minorHAnsi" w:eastAsiaTheme="minorEastAsia" w:hAnsiTheme="minorHAnsi" w:cstheme="minorBidi"/>
          <w:sz w:val="22"/>
          <w:szCs w:val="22"/>
          <w:lang w:eastAsia="en-AU"/>
        </w:rPr>
      </w:pPr>
      <w:r>
        <w:tab/>
      </w:r>
      <w:hyperlink w:anchor="_Toc83626347" w:history="1">
        <w:r w:rsidRPr="00D90FEA">
          <w:t>34</w:t>
        </w:r>
        <w:r>
          <w:rPr>
            <w:rFonts w:asciiTheme="minorHAnsi" w:eastAsiaTheme="minorEastAsia" w:hAnsiTheme="minorHAnsi" w:cstheme="minorBidi"/>
            <w:sz w:val="22"/>
            <w:szCs w:val="22"/>
            <w:lang w:eastAsia="en-AU"/>
          </w:rPr>
          <w:tab/>
        </w:r>
        <w:r w:rsidRPr="00D90FEA">
          <w:rPr>
            <w:rFonts w:ascii="Helvetica" w:hAnsi="Helvetica" w:cs="Helvetica"/>
          </w:rPr>
          <w:t>Saving of operation of repealed Law provisions</w:t>
        </w:r>
        <w:r>
          <w:tab/>
        </w:r>
        <w:r>
          <w:fldChar w:fldCharType="begin"/>
        </w:r>
        <w:r>
          <w:instrText xml:space="preserve"> PAGEREF _Toc83626347 \h </w:instrText>
        </w:r>
        <w:r>
          <w:fldChar w:fldCharType="separate"/>
        </w:r>
        <w:r w:rsidR="005C5D7F">
          <w:t>717</w:t>
        </w:r>
        <w:r>
          <w:fldChar w:fldCharType="end"/>
        </w:r>
      </w:hyperlink>
    </w:p>
    <w:p w14:paraId="634E5A72" w14:textId="2A9EA7DE" w:rsidR="005E03F7" w:rsidRDefault="005E03F7">
      <w:pPr>
        <w:pStyle w:val="TOC5"/>
        <w:rPr>
          <w:rFonts w:asciiTheme="minorHAnsi" w:eastAsiaTheme="minorEastAsia" w:hAnsiTheme="minorHAnsi" w:cstheme="minorBidi"/>
          <w:sz w:val="22"/>
          <w:szCs w:val="22"/>
          <w:lang w:eastAsia="en-AU"/>
        </w:rPr>
      </w:pPr>
      <w:r>
        <w:tab/>
      </w:r>
      <w:hyperlink w:anchor="_Toc83626348" w:history="1">
        <w:r w:rsidRPr="00D90FEA">
          <w:t>35</w:t>
        </w:r>
        <w:r>
          <w:rPr>
            <w:rFonts w:asciiTheme="minorHAnsi" w:eastAsiaTheme="minorEastAsia" w:hAnsiTheme="minorHAnsi" w:cstheme="minorBidi"/>
            <w:sz w:val="22"/>
            <w:szCs w:val="22"/>
            <w:lang w:eastAsia="en-AU"/>
          </w:rPr>
          <w:tab/>
        </w:r>
        <w:r w:rsidRPr="00D90FEA">
          <w:rPr>
            <w:rFonts w:ascii="Helvetica" w:hAnsi="Helvetica" w:cs="Helvetica"/>
          </w:rPr>
          <w:t>Continuance of repealed provisions</w:t>
        </w:r>
        <w:r>
          <w:tab/>
        </w:r>
        <w:r>
          <w:fldChar w:fldCharType="begin"/>
        </w:r>
        <w:r>
          <w:instrText xml:space="preserve"> PAGEREF _Toc83626348 \h </w:instrText>
        </w:r>
        <w:r>
          <w:fldChar w:fldCharType="separate"/>
        </w:r>
        <w:r w:rsidR="005C5D7F">
          <w:t>718</w:t>
        </w:r>
        <w:r>
          <w:fldChar w:fldCharType="end"/>
        </w:r>
      </w:hyperlink>
    </w:p>
    <w:p w14:paraId="4FF0A0A7" w14:textId="6285100B" w:rsidR="005E03F7" w:rsidRDefault="005E03F7">
      <w:pPr>
        <w:pStyle w:val="TOC5"/>
        <w:rPr>
          <w:rFonts w:asciiTheme="minorHAnsi" w:eastAsiaTheme="minorEastAsia" w:hAnsiTheme="minorHAnsi" w:cstheme="minorBidi"/>
          <w:sz w:val="22"/>
          <w:szCs w:val="22"/>
          <w:lang w:eastAsia="en-AU"/>
        </w:rPr>
      </w:pPr>
      <w:r>
        <w:tab/>
      </w:r>
      <w:hyperlink w:anchor="_Toc83626349" w:history="1">
        <w:r w:rsidRPr="00D90FEA">
          <w:t>36</w:t>
        </w:r>
        <w:r>
          <w:rPr>
            <w:rFonts w:asciiTheme="minorHAnsi" w:eastAsiaTheme="minorEastAsia" w:hAnsiTheme="minorHAnsi" w:cstheme="minorBidi"/>
            <w:sz w:val="22"/>
            <w:szCs w:val="22"/>
            <w:lang w:eastAsia="en-AU"/>
          </w:rPr>
          <w:tab/>
        </w:r>
        <w:r w:rsidRPr="00D90FEA">
          <w:rPr>
            <w:rFonts w:ascii="Helvetica" w:hAnsi="Helvetica" w:cs="Helvetica"/>
          </w:rPr>
          <w:t>Law and amending Acts to be read as one</w:t>
        </w:r>
        <w:r>
          <w:tab/>
        </w:r>
        <w:r>
          <w:fldChar w:fldCharType="begin"/>
        </w:r>
        <w:r>
          <w:instrText xml:space="preserve"> PAGEREF _Toc83626349 \h </w:instrText>
        </w:r>
        <w:r>
          <w:fldChar w:fldCharType="separate"/>
        </w:r>
        <w:r w:rsidR="005C5D7F">
          <w:t>718</w:t>
        </w:r>
        <w:r>
          <w:fldChar w:fldCharType="end"/>
        </w:r>
      </w:hyperlink>
    </w:p>
    <w:p w14:paraId="5D500D51" w14:textId="7D87484D" w:rsidR="005E03F7" w:rsidRDefault="00856BEE">
      <w:pPr>
        <w:pStyle w:val="TOC7"/>
        <w:rPr>
          <w:rFonts w:asciiTheme="minorHAnsi" w:eastAsiaTheme="minorEastAsia" w:hAnsiTheme="minorHAnsi" w:cstheme="minorBidi"/>
          <w:b w:val="0"/>
          <w:sz w:val="22"/>
          <w:szCs w:val="22"/>
          <w:lang w:eastAsia="en-AU"/>
        </w:rPr>
      </w:pPr>
      <w:hyperlink w:anchor="_Toc83626350" w:history="1">
        <w:r w:rsidR="005E03F7" w:rsidRPr="00D90FEA">
          <w:t xml:space="preserve">Part 7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rPr>
          <w:t>Instruments under Law</w:t>
        </w:r>
        <w:r w:rsidR="005E03F7">
          <w:tab/>
        </w:r>
        <w:r w:rsidR="005E03F7" w:rsidRPr="005E03F7">
          <w:rPr>
            <w:b w:val="0"/>
          </w:rPr>
          <w:fldChar w:fldCharType="begin"/>
        </w:r>
        <w:r w:rsidR="005E03F7" w:rsidRPr="005E03F7">
          <w:rPr>
            <w:b w:val="0"/>
          </w:rPr>
          <w:instrText xml:space="preserve"> PAGEREF _Toc83626350 \h </w:instrText>
        </w:r>
        <w:r w:rsidR="005E03F7" w:rsidRPr="005E03F7">
          <w:rPr>
            <w:b w:val="0"/>
          </w:rPr>
        </w:r>
        <w:r w:rsidR="005E03F7" w:rsidRPr="005E03F7">
          <w:rPr>
            <w:b w:val="0"/>
          </w:rPr>
          <w:fldChar w:fldCharType="separate"/>
        </w:r>
        <w:r w:rsidR="005C5D7F">
          <w:rPr>
            <w:b w:val="0"/>
          </w:rPr>
          <w:t>719</w:t>
        </w:r>
        <w:r w:rsidR="005E03F7" w:rsidRPr="005E03F7">
          <w:rPr>
            <w:b w:val="0"/>
          </w:rPr>
          <w:fldChar w:fldCharType="end"/>
        </w:r>
      </w:hyperlink>
    </w:p>
    <w:p w14:paraId="631BD6C8" w14:textId="7F9DC93C" w:rsidR="005E03F7" w:rsidRDefault="005E03F7">
      <w:pPr>
        <w:pStyle w:val="TOC5"/>
        <w:rPr>
          <w:rFonts w:asciiTheme="minorHAnsi" w:eastAsiaTheme="minorEastAsia" w:hAnsiTheme="minorHAnsi" w:cstheme="minorBidi"/>
          <w:sz w:val="22"/>
          <w:szCs w:val="22"/>
          <w:lang w:eastAsia="en-AU"/>
        </w:rPr>
      </w:pPr>
      <w:r>
        <w:tab/>
      </w:r>
      <w:hyperlink w:anchor="_Toc83626351" w:history="1">
        <w:r w:rsidRPr="00D90FEA">
          <w:t>37</w:t>
        </w:r>
        <w:r>
          <w:rPr>
            <w:rFonts w:asciiTheme="minorHAnsi" w:eastAsiaTheme="minorEastAsia" w:hAnsiTheme="minorHAnsi" w:cstheme="minorBidi"/>
            <w:sz w:val="22"/>
            <w:szCs w:val="22"/>
            <w:lang w:eastAsia="en-AU"/>
          </w:rPr>
          <w:tab/>
        </w:r>
        <w:r w:rsidRPr="00D90FEA">
          <w:rPr>
            <w:rFonts w:ascii="Helvetica" w:hAnsi="Helvetica" w:cs="Helvetica"/>
          </w:rPr>
          <w:t>Schedule applies to statutory instruments</w:t>
        </w:r>
        <w:r>
          <w:tab/>
        </w:r>
        <w:r>
          <w:fldChar w:fldCharType="begin"/>
        </w:r>
        <w:r>
          <w:instrText xml:space="preserve"> PAGEREF _Toc83626351 \h </w:instrText>
        </w:r>
        <w:r>
          <w:fldChar w:fldCharType="separate"/>
        </w:r>
        <w:r w:rsidR="005C5D7F">
          <w:t>719</w:t>
        </w:r>
        <w:r>
          <w:fldChar w:fldCharType="end"/>
        </w:r>
      </w:hyperlink>
    </w:p>
    <w:p w14:paraId="3E0BA83F" w14:textId="4E989237" w:rsidR="005E03F7" w:rsidRDefault="00856BEE">
      <w:pPr>
        <w:pStyle w:val="TOC7"/>
        <w:rPr>
          <w:rFonts w:asciiTheme="minorHAnsi" w:eastAsiaTheme="minorEastAsia" w:hAnsiTheme="minorHAnsi" w:cstheme="minorBidi"/>
          <w:b w:val="0"/>
          <w:sz w:val="22"/>
          <w:szCs w:val="22"/>
          <w:lang w:eastAsia="en-AU"/>
        </w:rPr>
      </w:pPr>
      <w:hyperlink w:anchor="_Toc83626352" w:history="1">
        <w:r w:rsidR="005E03F7" w:rsidRPr="00D90FEA">
          <w:t xml:space="preserve">Part 8 </w:t>
        </w:r>
        <w:r w:rsidR="005E03F7">
          <w:rPr>
            <w:rFonts w:asciiTheme="minorHAnsi" w:eastAsiaTheme="minorEastAsia" w:hAnsiTheme="minorHAnsi" w:cstheme="minorBidi"/>
            <w:b w:val="0"/>
            <w:sz w:val="22"/>
            <w:szCs w:val="22"/>
            <w:lang w:eastAsia="en-AU"/>
          </w:rPr>
          <w:tab/>
        </w:r>
        <w:r w:rsidR="005E03F7" w:rsidRPr="00D90FEA">
          <w:rPr>
            <w:rFonts w:ascii="Helvetica" w:hAnsi="Helvetica" w:cs="Helvetica"/>
          </w:rPr>
          <w:t>Application to coastal waters</w:t>
        </w:r>
        <w:r w:rsidR="005E03F7">
          <w:tab/>
        </w:r>
        <w:r w:rsidR="005E03F7" w:rsidRPr="005E03F7">
          <w:rPr>
            <w:b w:val="0"/>
          </w:rPr>
          <w:fldChar w:fldCharType="begin"/>
        </w:r>
        <w:r w:rsidR="005E03F7" w:rsidRPr="005E03F7">
          <w:rPr>
            <w:b w:val="0"/>
          </w:rPr>
          <w:instrText xml:space="preserve"> PAGEREF _Toc83626352 \h </w:instrText>
        </w:r>
        <w:r w:rsidR="005E03F7" w:rsidRPr="005E03F7">
          <w:rPr>
            <w:b w:val="0"/>
          </w:rPr>
        </w:r>
        <w:r w:rsidR="005E03F7" w:rsidRPr="005E03F7">
          <w:rPr>
            <w:b w:val="0"/>
          </w:rPr>
          <w:fldChar w:fldCharType="separate"/>
        </w:r>
        <w:r w:rsidR="005C5D7F">
          <w:rPr>
            <w:b w:val="0"/>
          </w:rPr>
          <w:t>720</w:t>
        </w:r>
        <w:r w:rsidR="005E03F7" w:rsidRPr="005E03F7">
          <w:rPr>
            <w:b w:val="0"/>
          </w:rPr>
          <w:fldChar w:fldCharType="end"/>
        </w:r>
      </w:hyperlink>
    </w:p>
    <w:p w14:paraId="604260D0" w14:textId="4E313C10" w:rsidR="005E03F7" w:rsidRDefault="005E03F7">
      <w:pPr>
        <w:pStyle w:val="TOC5"/>
        <w:rPr>
          <w:rFonts w:asciiTheme="minorHAnsi" w:eastAsiaTheme="minorEastAsia" w:hAnsiTheme="minorHAnsi" w:cstheme="minorBidi"/>
          <w:sz w:val="22"/>
          <w:szCs w:val="22"/>
          <w:lang w:eastAsia="en-AU"/>
        </w:rPr>
      </w:pPr>
      <w:r>
        <w:tab/>
      </w:r>
      <w:hyperlink w:anchor="_Toc83626353" w:history="1">
        <w:r w:rsidRPr="00D90FEA">
          <w:t>38</w:t>
        </w:r>
        <w:r>
          <w:rPr>
            <w:rFonts w:asciiTheme="minorHAnsi" w:eastAsiaTheme="minorEastAsia" w:hAnsiTheme="minorHAnsi" w:cstheme="minorBidi"/>
            <w:sz w:val="22"/>
            <w:szCs w:val="22"/>
            <w:lang w:eastAsia="en-AU"/>
          </w:rPr>
          <w:tab/>
        </w:r>
        <w:r w:rsidRPr="00D90FEA">
          <w:rPr>
            <w:rFonts w:ascii="Helvetica" w:hAnsi="Helvetica" w:cs="Helvetica"/>
          </w:rPr>
          <w:t>Application</w:t>
        </w:r>
        <w:r>
          <w:tab/>
        </w:r>
        <w:r>
          <w:fldChar w:fldCharType="begin"/>
        </w:r>
        <w:r>
          <w:instrText xml:space="preserve"> PAGEREF _Toc83626353 \h </w:instrText>
        </w:r>
        <w:r>
          <w:fldChar w:fldCharType="separate"/>
        </w:r>
        <w:r w:rsidR="005C5D7F">
          <w:t>720</w:t>
        </w:r>
        <w:r>
          <w:fldChar w:fldCharType="end"/>
        </w:r>
      </w:hyperlink>
    </w:p>
    <w:p w14:paraId="6D88E2ED" w14:textId="55B6E584" w:rsidR="005E03F7" w:rsidRDefault="00856BEE">
      <w:pPr>
        <w:pStyle w:val="TOC6"/>
        <w:rPr>
          <w:rFonts w:asciiTheme="minorHAnsi" w:eastAsiaTheme="minorEastAsia" w:hAnsiTheme="minorHAnsi" w:cstheme="minorBidi"/>
          <w:b w:val="0"/>
          <w:sz w:val="22"/>
          <w:szCs w:val="22"/>
          <w:lang w:eastAsia="en-AU"/>
        </w:rPr>
      </w:pPr>
      <w:hyperlink w:anchor="_Toc83626354" w:history="1">
        <w:r w:rsidR="005E03F7" w:rsidRPr="00D90FEA">
          <w:t>Schedule 2</w:t>
        </w:r>
        <w:r w:rsidR="005E03F7">
          <w:rPr>
            <w:rFonts w:asciiTheme="minorHAnsi" w:eastAsiaTheme="minorEastAsia" w:hAnsiTheme="minorHAnsi" w:cstheme="minorBidi"/>
            <w:b w:val="0"/>
            <w:sz w:val="22"/>
            <w:szCs w:val="22"/>
            <w:lang w:eastAsia="en-AU"/>
          </w:rPr>
          <w:tab/>
        </w:r>
        <w:r w:rsidR="005E03F7" w:rsidRPr="00D90FEA">
          <w:t>Subject matter for conditions of mass or dimension authorities</w:t>
        </w:r>
        <w:r w:rsidR="005E03F7">
          <w:tab/>
        </w:r>
        <w:r w:rsidR="005E03F7" w:rsidRPr="005E03F7">
          <w:rPr>
            <w:b w:val="0"/>
            <w:sz w:val="20"/>
          </w:rPr>
          <w:fldChar w:fldCharType="begin"/>
        </w:r>
        <w:r w:rsidR="005E03F7" w:rsidRPr="005E03F7">
          <w:rPr>
            <w:b w:val="0"/>
            <w:sz w:val="20"/>
          </w:rPr>
          <w:instrText xml:space="preserve"> PAGEREF _Toc83626354 \h </w:instrText>
        </w:r>
        <w:r w:rsidR="005E03F7" w:rsidRPr="005E03F7">
          <w:rPr>
            <w:b w:val="0"/>
            <w:sz w:val="20"/>
          </w:rPr>
        </w:r>
        <w:r w:rsidR="005E03F7" w:rsidRPr="005E03F7">
          <w:rPr>
            <w:b w:val="0"/>
            <w:sz w:val="20"/>
          </w:rPr>
          <w:fldChar w:fldCharType="separate"/>
        </w:r>
        <w:r w:rsidR="005C5D7F">
          <w:rPr>
            <w:b w:val="0"/>
            <w:sz w:val="20"/>
          </w:rPr>
          <w:t>721</w:t>
        </w:r>
        <w:r w:rsidR="005E03F7" w:rsidRPr="005E03F7">
          <w:rPr>
            <w:b w:val="0"/>
            <w:sz w:val="20"/>
          </w:rPr>
          <w:fldChar w:fldCharType="end"/>
        </w:r>
      </w:hyperlink>
    </w:p>
    <w:p w14:paraId="3776965C" w14:textId="62CB8DCC" w:rsidR="005E03F7" w:rsidRDefault="00856BEE">
      <w:pPr>
        <w:pStyle w:val="TOC6"/>
        <w:rPr>
          <w:rFonts w:asciiTheme="minorHAnsi" w:eastAsiaTheme="minorEastAsia" w:hAnsiTheme="minorHAnsi" w:cstheme="minorBidi"/>
          <w:b w:val="0"/>
          <w:sz w:val="22"/>
          <w:szCs w:val="22"/>
          <w:lang w:eastAsia="en-AU"/>
        </w:rPr>
      </w:pPr>
      <w:hyperlink w:anchor="_Toc83626355" w:history="1">
        <w:r w:rsidR="005E03F7" w:rsidRPr="00D90FEA">
          <w:t>Schedule 3</w:t>
        </w:r>
        <w:r w:rsidR="005E03F7">
          <w:rPr>
            <w:rFonts w:asciiTheme="minorHAnsi" w:eastAsiaTheme="minorEastAsia" w:hAnsiTheme="minorHAnsi" w:cstheme="minorBidi"/>
            <w:b w:val="0"/>
            <w:sz w:val="22"/>
            <w:szCs w:val="22"/>
            <w:lang w:eastAsia="en-AU"/>
          </w:rPr>
          <w:tab/>
        </w:r>
        <w:r w:rsidR="005E03F7" w:rsidRPr="00D90FEA">
          <w:t>Reviewable decisions</w:t>
        </w:r>
        <w:r w:rsidR="005E03F7">
          <w:tab/>
        </w:r>
        <w:r w:rsidR="005E03F7" w:rsidRPr="005E03F7">
          <w:rPr>
            <w:b w:val="0"/>
            <w:sz w:val="20"/>
          </w:rPr>
          <w:fldChar w:fldCharType="begin"/>
        </w:r>
        <w:r w:rsidR="005E03F7" w:rsidRPr="005E03F7">
          <w:rPr>
            <w:b w:val="0"/>
            <w:sz w:val="20"/>
          </w:rPr>
          <w:instrText xml:space="preserve"> PAGEREF _Toc83626355 \h </w:instrText>
        </w:r>
        <w:r w:rsidR="005E03F7" w:rsidRPr="005E03F7">
          <w:rPr>
            <w:b w:val="0"/>
            <w:sz w:val="20"/>
          </w:rPr>
        </w:r>
        <w:r w:rsidR="005E03F7" w:rsidRPr="005E03F7">
          <w:rPr>
            <w:b w:val="0"/>
            <w:sz w:val="20"/>
          </w:rPr>
          <w:fldChar w:fldCharType="separate"/>
        </w:r>
        <w:r w:rsidR="005C5D7F">
          <w:rPr>
            <w:b w:val="0"/>
            <w:sz w:val="20"/>
          </w:rPr>
          <w:t>722</w:t>
        </w:r>
        <w:r w:rsidR="005E03F7" w:rsidRPr="005E03F7">
          <w:rPr>
            <w:b w:val="0"/>
            <w:sz w:val="20"/>
          </w:rPr>
          <w:fldChar w:fldCharType="end"/>
        </w:r>
      </w:hyperlink>
    </w:p>
    <w:p w14:paraId="5B730F6D" w14:textId="2BAA1E2D" w:rsidR="005E03F7" w:rsidRDefault="00856BEE">
      <w:pPr>
        <w:pStyle w:val="TOC7"/>
        <w:rPr>
          <w:rFonts w:asciiTheme="minorHAnsi" w:eastAsiaTheme="minorEastAsia" w:hAnsiTheme="minorHAnsi" w:cstheme="minorBidi"/>
          <w:b w:val="0"/>
          <w:sz w:val="22"/>
          <w:szCs w:val="22"/>
          <w:lang w:eastAsia="en-AU"/>
        </w:rPr>
      </w:pPr>
      <w:hyperlink w:anchor="_Toc83626356" w:history="1">
        <w:r w:rsidR="005E03F7" w:rsidRPr="00D90FEA">
          <w:t xml:space="preserve">Part 1 </w:t>
        </w:r>
        <w:r w:rsidR="005E03F7">
          <w:rPr>
            <w:rFonts w:asciiTheme="minorHAnsi" w:eastAsiaTheme="minorEastAsia" w:hAnsiTheme="minorHAnsi" w:cstheme="minorBidi"/>
            <w:b w:val="0"/>
            <w:sz w:val="22"/>
            <w:szCs w:val="22"/>
            <w:lang w:eastAsia="en-AU"/>
          </w:rPr>
          <w:tab/>
        </w:r>
        <w:r w:rsidR="005E03F7" w:rsidRPr="00D90FEA">
          <w:t>Decisions of Regulator</w:t>
        </w:r>
        <w:r w:rsidR="005E03F7">
          <w:tab/>
        </w:r>
        <w:r w:rsidR="005E03F7" w:rsidRPr="005E03F7">
          <w:rPr>
            <w:b w:val="0"/>
          </w:rPr>
          <w:fldChar w:fldCharType="begin"/>
        </w:r>
        <w:r w:rsidR="005E03F7" w:rsidRPr="005E03F7">
          <w:rPr>
            <w:b w:val="0"/>
          </w:rPr>
          <w:instrText xml:space="preserve"> PAGEREF _Toc83626356 \h </w:instrText>
        </w:r>
        <w:r w:rsidR="005E03F7" w:rsidRPr="005E03F7">
          <w:rPr>
            <w:b w:val="0"/>
          </w:rPr>
        </w:r>
        <w:r w:rsidR="005E03F7" w:rsidRPr="005E03F7">
          <w:rPr>
            <w:b w:val="0"/>
          </w:rPr>
          <w:fldChar w:fldCharType="separate"/>
        </w:r>
        <w:r w:rsidR="005C5D7F">
          <w:rPr>
            <w:b w:val="0"/>
          </w:rPr>
          <w:t>722</w:t>
        </w:r>
        <w:r w:rsidR="005E03F7" w:rsidRPr="005E03F7">
          <w:rPr>
            <w:b w:val="0"/>
          </w:rPr>
          <w:fldChar w:fldCharType="end"/>
        </w:r>
      </w:hyperlink>
    </w:p>
    <w:p w14:paraId="6823B7CA" w14:textId="0B3112E8" w:rsidR="005E03F7" w:rsidRDefault="00856BEE">
      <w:pPr>
        <w:pStyle w:val="TOC7"/>
        <w:rPr>
          <w:rFonts w:asciiTheme="minorHAnsi" w:eastAsiaTheme="minorEastAsia" w:hAnsiTheme="minorHAnsi" w:cstheme="minorBidi"/>
          <w:b w:val="0"/>
          <w:sz w:val="22"/>
          <w:szCs w:val="22"/>
          <w:lang w:eastAsia="en-AU"/>
        </w:rPr>
      </w:pPr>
      <w:hyperlink w:anchor="_Toc83626357" w:history="1">
        <w:r w:rsidR="005E03F7" w:rsidRPr="00D90FEA">
          <w:t xml:space="preserve">Part 2 </w:t>
        </w:r>
        <w:r w:rsidR="005E03F7">
          <w:rPr>
            <w:rFonts w:asciiTheme="minorHAnsi" w:eastAsiaTheme="minorEastAsia" w:hAnsiTheme="minorHAnsi" w:cstheme="minorBidi"/>
            <w:b w:val="0"/>
            <w:sz w:val="22"/>
            <w:szCs w:val="22"/>
            <w:lang w:eastAsia="en-AU"/>
          </w:rPr>
          <w:tab/>
        </w:r>
        <w:r w:rsidR="005E03F7" w:rsidRPr="00D90FEA">
          <w:t>Decisions of authorised officers</w:t>
        </w:r>
        <w:r w:rsidR="005E03F7">
          <w:tab/>
        </w:r>
        <w:r w:rsidR="005E03F7" w:rsidRPr="005E03F7">
          <w:rPr>
            <w:b w:val="0"/>
          </w:rPr>
          <w:fldChar w:fldCharType="begin"/>
        </w:r>
        <w:r w:rsidR="005E03F7" w:rsidRPr="005E03F7">
          <w:rPr>
            <w:b w:val="0"/>
          </w:rPr>
          <w:instrText xml:space="preserve"> PAGEREF _Toc83626357 \h </w:instrText>
        </w:r>
        <w:r w:rsidR="005E03F7" w:rsidRPr="005E03F7">
          <w:rPr>
            <w:b w:val="0"/>
          </w:rPr>
        </w:r>
        <w:r w:rsidR="005E03F7" w:rsidRPr="005E03F7">
          <w:rPr>
            <w:b w:val="0"/>
          </w:rPr>
          <w:fldChar w:fldCharType="separate"/>
        </w:r>
        <w:r w:rsidR="005C5D7F">
          <w:rPr>
            <w:b w:val="0"/>
          </w:rPr>
          <w:t>729</w:t>
        </w:r>
        <w:r w:rsidR="005E03F7" w:rsidRPr="005E03F7">
          <w:rPr>
            <w:b w:val="0"/>
          </w:rPr>
          <w:fldChar w:fldCharType="end"/>
        </w:r>
      </w:hyperlink>
    </w:p>
    <w:p w14:paraId="3D4EAF81" w14:textId="1DB4DEF2" w:rsidR="005E03F7" w:rsidRDefault="00856BEE">
      <w:pPr>
        <w:pStyle w:val="TOC7"/>
        <w:rPr>
          <w:rFonts w:asciiTheme="minorHAnsi" w:eastAsiaTheme="minorEastAsia" w:hAnsiTheme="minorHAnsi" w:cstheme="minorBidi"/>
          <w:b w:val="0"/>
          <w:sz w:val="22"/>
          <w:szCs w:val="22"/>
          <w:lang w:eastAsia="en-AU"/>
        </w:rPr>
      </w:pPr>
      <w:hyperlink w:anchor="_Toc83626358" w:history="1">
        <w:r w:rsidR="005E03F7" w:rsidRPr="00D90FEA">
          <w:t xml:space="preserve">Part 3 </w:t>
        </w:r>
        <w:r w:rsidR="005E03F7">
          <w:rPr>
            <w:rFonts w:asciiTheme="minorHAnsi" w:eastAsiaTheme="minorEastAsia" w:hAnsiTheme="minorHAnsi" w:cstheme="minorBidi"/>
            <w:b w:val="0"/>
            <w:sz w:val="22"/>
            <w:szCs w:val="22"/>
            <w:lang w:eastAsia="en-AU"/>
          </w:rPr>
          <w:tab/>
        </w:r>
        <w:r w:rsidR="005E03F7" w:rsidRPr="00D90FEA">
          <w:t>Decisions of relevant road managers</w:t>
        </w:r>
        <w:r w:rsidR="005E03F7">
          <w:tab/>
        </w:r>
        <w:r w:rsidR="005E03F7" w:rsidRPr="005E03F7">
          <w:rPr>
            <w:b w:val="0"/>
          </w:rPr>
          <w:fldChar w:fldCharType="begin"/>
        </w:r>
        <w:r w:rsidR="005E03F7" w:rsidRPr="005E03F7">
          <w:rPr>
            <w:b w:val="0"/>
          </w:rPr>
          <w:instrText xml:space="preserve"> PAGEREF _Toc83626358 \h </w:instrText>
        </w:r>
        <w:r w:rsidR="005E03F7" w:rsidRPr="005E03F7">
          <w:rPr>
            <w:b w:val="0"/>
          </w:rPr>
        </w:r>
        <w:r w:rsidR="005E03F7" w:rsidRPr="005E03F7">
          <w:rPr>
            <w:b w:val="0"/>
          </w:rPr>
          <w:fldChar w:fldCharType="separate"/>
        </w:r>
        <w:r w:rsidR="005C5D7F">
          <w:rPr>
            <w:b w:val="0"/>
          </w:rPr>
          <w:t>730</w:t>
        </w:r>
        <w:r w:rsidR="005E03F7" w:rsidRPr="005E03F7">
          <w:rPr>
            <w:b w:val="0"/>
          </w:rPr>
          <w:fldChar w:fldCharType="end"/>
        </w:r>
      </w:hyperlink>
    </w:p>
    <w:p w14:paraId="0EAFA9A7" w14:textId="40DD4A6E" w:rsidR="005E03F7" w:rsidRDefault="00856BEE">
      <w:pPr>
        <w:pStyle w:val="TOC6"/>
        <w:rPr>
          <w:rFonts w:asciiTheme="minorHAnsi" w:eastAsiaTheme="minorEastAsia" w:hAnsiTheme="minorHAnsi" w:cstheme="minorBidi"/>
          <w:b w:val="0"/>
          <w:sz w:val="22"/>
          <w:szCs w:val="22"/>
          <w:lang w:eastAsia="en-AU"/>
        </w:rPr>
      </w:pPr>
      <w:hyperlink w:anchor="_Toc83626359" w:history="1">
        <w:r w:rsidR="005E03F7" w:rsidRPr="00D90FEA">
          <w:t>Schedule 4</w:t>
        </w:r>
        <w:r w:rsidR="005E03F7">
          <w:rPr>
            <w:rFonts w:asciiTheme="minorHAnsi" w:eastAsiaTheme="minorEastAsia" w:hAnsiTheme="minorHAnsi" w:cstheme="minorBidi"/>
            <w:b w:val="0"/>
            <w:sz w:val="22"/>
            <w:szCs w:val="22"/>
            <w:lang w:eastAsia="en-AU"/>
          </w:rPr>
          <w:tab/>
        </w:r>
        <w:r w:rsidR="005E03F7" w:rsidRPr="00D90FEA">
          <w:rPr>
            <w:lang w:val="en" w:eastAsia="en-AU"/>
          </w:rPr>
          <w:t>Liability provisions</w:t>
        </w:r>
        <w:r w:rsidR="005E03F7">
          <w:tab/>
        </w:r>
        <w:r w:rsidR="005E03F7" w:rsidRPr="005E03F7">
          <w:rPr>
            <w:b w:val="0"/>
            <w:sz w:val="20"/>
          </w:rPr>
          <w:fldChar w:fldCharType="begin"/>
        </w:r>
        <w:r w:rsidR="005E03F7" w:rsidRPr="005E03F7">
          <w:rPr>
            <w:b w:val="0"/>
            <w:sz w:val="20"/>
          </w:rPr>
          <w:instrText xml:space="preserve"> PAGEREF _Toc83626359 \h </w:instrText>
        </w:r>
        <w:r w:rsidR="005E03F7" w:rsidRPr="005E03F7">
          <w:rPr>
            <w:b w:val="0"/>
            <w:sz w:val="20"/>
          </w:rPr>
        </w:r>
        <w:r w:rsidR="005E03F7" w:rsidRPr="005E03F7">
          <w:rPr>
            <w:b w:val="0"/>
            <w:sz w:val="20"/>
          </w:rPr>
          <w:fldChar w:fldCharType="separate"/>
        </w:r>
        <w:r w:rsidR="005C5D7F">
          <w:rPr>
            <w:b w:val="0"/>
            <w:sz w:val="20"/>
          </w:rPr>
          <w:t>731</w:t>
        </w:r>
        <w:r w:rsidR="005E03F7" w:rsidRPr="005E03F7">
          <w:rPr>
            <w:b w:val="0"/>
            <w:sz w:val="20"/>
          </w:rPr>
          <w:fldChar w:fldCharType="end"/>
        </w:r>
      </w:hyperlink>
    </w:p>
    <w:p w14:paraId="040C3194" w14:textId="37D3B6F3" w:rsidR="005E03F7" w:rsidRDefault="00856BEE" w:rsidP="005E03F7">
      <w:pPr>
        <w:pStyle w:val="TOC7"/>
        <w:spacing w:before="480"/>
        <w:rPr>
          <w:rFonts w:asciiTheme="minorHAnsi" w:eastAsiaTheme="minorEastAsia" w:hAnsiTheme="minorHAnsi" w:cstheme="minorBidi"/>
          <w:b w:val="0"/>
          <w:sz w:val="22"/>
          <w:szCs w:val="22"/>
          <w:lang w:eastAsia="en-AU"/>
        </w:rPr>
      </w:pPr>
      <w:hyperlink w:anchor="_Toc83626360" w:history="1">
        <w:r w:rsidR="005E03F7">
          <w:t>Endnotes</w:t>
        </w:r>
        <w:r w:rsidR="005E03F7" w:rsidRPr="005E03F7">
          <w:rPr>
            <w:vanish/>
          </w:rPr>
          <w:tab/>
        </w:r>
        <w:r w:rsidR="005E03F7">
          <w:rPr>
            <w:vanish/>
          </w:rPr>
          <w:tab/>
        </w:r>
        <w:r w:rsidR="005E03F7" w:rsidRPr="005E03F7">
          <w:rPr>
            <w:b w:val="0"/>
            <w:vanish/>
          </w:rPr>
          <w:fldChar w:fldCharType="begin"/>
        </w:r>
        <w:r w:rsidR="005E03F7" w:rsidRPr="005E03F7">
          <w:rPr>
            <w:b w:val="0"/>
            <w:vanish/>
          </w:rPr>
          <w:instrText xml:space="preserve"> PAGEREF _Toc83626360 \h </w:instrText>
        </w:r>
        <w:r w:rsidR="005E03F7" w:rsidRPr="005E03F7">
          <w:rPr>
            <w:b w:val="0"/>
            <w:vanish/>
          </w:rPr>
        </w:r>
        <w:r w:rsidR="005E03F7" w:rsidRPr="005E03F7">
          <w:rPr>
            <w:b w:val="0"/>
            <w:vanish/>
          </w:rPr>
          <w:fldChar w:fldCharType="separate"/>
        </w:r>
        <w:r w:rsidR="005C5D7F">
          <w:rPr>
            <w:b w:val="0"/>
            <w:vanish/>
          </w:rPr>
          <w:t>736</w:t>
        </w:r>
        <w:r w:rsidR="005E03F7" w:rsidRPr="005E03F7">
          <w:rPr>
            <w:b w:val="0"/>
            <w:vanish/>
          </w:rPr>
          <w:fldChar w:fldCharType="end"/>
        </w:r>
      </w:hyperlink>
    </w:p>
    <w:p w14:paraId="62D6C04C" w14:textId="78E514EB" w:rsidR="005E03F7" w:rsidRDefault="005E03F7">
      <w:pPr>
        <w:pStyle w:val="TOC5"/>
        <w:rPr>
          <w:rFonts w:asciiTheme="minorHAnsi" w:eastAsiaTheme="minorEastAsia" w:hAnsiTheme="minorHAnsi" w:cstheme="minorBidi"/>
          <w:sz w:val="22"/>
          <w:szCs w:val="22"/>
          <w:lang w:eastAsia="en-AU"/>
        </w:rPr>
      </w:pPr>
      <w:r>
        <w:tab/>
      </w:r>
      <w:hyperlink w:anchor="_Toc83626361" w:history="1">
        <w:r w:rsidRPr="00D90FEA">
          <w:t>1</w:t>
        </w:r>
        <w:r>
          <w:rPr>
            <w:rFonts w:asciiTheme="minorHAnsi" w:eastAsiaTheme="minorEastAsia" w:hAnsiTheme="minorHAnsi" w:cstheme="minorBidi"/>
            <w:sz w:val="22"/>
            <w:szCs w:val="22"/>
            <w:lang w:eastAsia="en-AU"/>
          </w:rPr>
          <w:tab/>
        </w:r>
        <w:r w:rsidRPr="00D90FEA">
          <w:t>About the endnotes</w:t>
        </w:r>
        <w:r>
          <w:tab/>
        </w:r>
        <w:r>
          <w:fldChar w:fldCharType="begin"/>
        </w:r>
        <w:r>
          <w:instrText xml:space="preserve"> PAGEREF _Toc83626361 \h </w:instrText>
        </w:r>
        <w:r>
          <w:fldChar w:fldCharType="separate"/>
        </w:r>
        <w:r w:rsidR="005C5D7F">
          <w:t>736</w:t>
        </w:r>
        <w:r>
          <w:fldChar w:fldCharType="end"/>
        </w:r>
      </w:hyperlink>
    </w:p>
    <w:p w14:paraId="639C1307" w14:textId="4E7447BC" w:rsidR="005E03F7" w:rsidRDefault="005E03F7">
      <w:pPr>
        <w:pStyle w:val="TOC5"/>
        <w:rPr>
          <w:rFonts w:asciiTheme="minorHAnsi" w:eastAsiaTheme="minorEastAsia" w:hAnsiTheme="minorHAnsi" w:cstheme="minorBidi"/>
          <w:sz w:val="22"/>
          <w:szCs w:val="22"/>
          <w:lang w:eastAsia="en-AU"/>
        </w:rPr>
      </w:pPr>
      <w:r>
        <w:tab/>
      </w:r>
      <w:hyperlink w:anchor="_Toc83626362" w:history="1">
        <w:r w:rsidRPr="00D90FEA">
          <w:t>2</w:t>
        </w:r>
        <w:r>
          <w:rPr>
            <w:rFonts w:asciiTheme="minorHAnsi" w:eastAsiaTheme="minorEastAsia" w:hAnsiTheme="minorHAnsi" w:cstheme="minorBidi"/>
            <w:sz w:val="22"/>
            <w:szCs w:val="22"/>
            <w:lang w:eastAsia="en-AU"/>
          </w:rPr>
          <w:tab/>
        </w:r>
        <w:r w:rsidRPr="00D90FEA">
          <w:t>Abbreviation key</w:t>
        </w:r>
        <w:r>
          <w:tab/>
        </w:r>
        <w:r>
          <w:fldChar w:fldCharType="begin"/>
        </w:r>
        <w:r>
          <w:instrText xml:space="preserve"> PAGEREF _Toc83626362 \h </w:instrText>
        </w:r>
        <w:r>
          <w:fldChar w:fldCharType="separate"/>
        </w:r>
        <w:r w:rsidR="005C5D7F">
          <w:t>736</w:t>
        </w:r>
        <w:r>
          <w:fldChar w:fldCharType="end"/>
        </w:r>
      </w:hyperlink>
    </w:p>
    <w:p w14:paraId="7592D133" w14:textId="6114B693" w:rsidR="005E03F7" w:rsidRDefault="005E03F7">
      <w:pPr>
        <w:pStyle w:val="TOC5"/>
        <w:rPr>
          <w:rFonts w:asciiTheme="minorHAnsi" w:eastAsiaTheme="minorEastAsia" w:hAnsiTheme="minorHAnsi" w:cstheme="minorBidi"/>
          <w:sz w:val="22"/>
          <w:szCs w:val="22"/>
          <w:lang w:eastAsia="en-AU"/>
        </w:rPr>
      </w:pPr>
      <w:r>
        <w:tab/>
      </w:r>
      <w:hyperlink w:anchor="_Toc83626363" w:history="1">
        <w:r w:rsidRPr="00D90FEA">
          <w:t>3</w:t>
        </w:r>
        <w:r>
          <w:rPr>
            <w:rFonts w:asciiTheme="minorHAnsi" w:eastAsiaTheme="minorEastAsia" w:hAnsiTheme="minorHAnsi" w:cstheme="minorBidi"/>
            <w:sz w:val="22"/>
            <w:szCs w:val="22"/>
            <w:lang w:eastAsia="en-AU"/>
          </w:rPr>
          <w:tab/>
        </w:r>
        <w:r w:rsidRPr="00D90FEA">
          <w:t>Legislation history</w:t>
        </w:r>
        <w:r>
          <w:tab/>
        </w:r>
        <w:r>
          <w:fldChar w:fldCharType="begin"/>
        </w:r>
        <w:r>
          <w:instrText xml:space="preserve"> PAGEREF _Toc83626363 \h </w:instrText>
        </w:r>
        <w:r>
          <w:fldChar w:fldCharType="separate"/>
        </w:r>
        <w:r w:rsidR="005C5D7F">
          <w:t>737</w:t>
        </w:r>
        <w:r>
          <w:fldChar w:fldCharType="end"/>
        </w:r>
      </w:hyperlink>
    </w:p>
    <w:p w14:paraId="1C7093AE" w14:textId="48489EA9" w:rsidR="005E03F7" w:rsidRDefault="005E03F7">
      <w:pPr>
        <w:pStyle w:val="TOC5"/>
        <w:rPr>
          <w:rFonts w:asciiTheme="minorHAnsi" w:eastAsiaTheme="minorEastAsia" w:hAnsiTheme="minorHAnsi" w:cstheme="minorBidi"/>
          <w:sz w:val="22"/>
          <w:szCs w:val="22"/>
          <w:lang w:eastAsia="en-AU"/>
        </w:rPr>
      </w:pPr>
      <w:r>
        <w:tab/>
      </w:r>
      <w:hyperlink w:anchor="_Toc83626364" w:history="1">
        <w:r w:rsidRPr="00D90FEA">
          <w:t>4</w:t>
        </w:r>
        <w:r>
          <w:rPr>
            <w:rFonts w:asciiTheme="minorHAnsi" w:eastAsiaTheme="minorEastAsia" w:hAnsiTheme="minorHAnsi" w:cstheme="minorBidi"/>
            <w:sz w:val="22"/>
            <w:szCs w:val="22"/>
            <w:lang w:eastAsia="en-AU"/>
          </w:rPr>
          <w:tab/>
        </w:r>
        <w:r w:rsidRPr="00D90FEA">
          <w:t>Amendment history</w:t>
        </w:r>
        <w:r>
          <w:tab/>
        </w:r>
        <w:r>
          <w:fldChar w:fldCharType="begin"/>
        </w:r>
        <w:r>
          <w:instrText xml:space="preserve"> PAGEREF _Toc83626364 \h </w:instrText>
        </w:r>
        <w:r>
          <w:fldChar w:fldCharType="separate"/>
        </w:r>
        <w:r w:rsidR="005C5D7F">
          <w:t>740</w:t>
        </w:r>
        <w:r>
          <w:fldChar w:fldCharType="end"/>
        </w:r>
      </w:hyperlink>
    </w:p>
    <w:p w14:paraId="25DE4152" w14:textId="601D3B2A" w:rsidR="005E03F7" w:rsidRDefault="005E03F7">
      <w:pPr>
        <w:pStyle w:val="TOC5"/>
        <w:rPr>
          <w:rFonts w:asciiTheme="minorHAnsi" w:eastAsiaTheme="minorEastAsia" w:hAnsiTheme="minorHAnsi" w:cstheme="minorBidi"/>
          <w:sz w:val="22"/>
          <w:szCs w:val="22"/>
          <w:lang w:eastAsia="en-AU"/>
        </w:rPr>
      </w:pPr>
      <w:r>
        <w:tab/>
      </w:r>
      <w:hyperlink w:anchor="_Toc83626365" w:history="1">
        <w:r w:rsidRPr="00D90FEA">
          <w:t>5</w:t>
        </w:r>
        <w:r>
          <w:rPr>
            <w:rFonts w:asciiTheme="minorHAnsi" w:eastAsiaTheme="minorEastAsia" w:hAnsiTheme="minorHAnsi" w:cstheme="minorBidi"/>
            <w:sz w:val="22"/>
            <w:szCs w:val="22"/>
            <w:lang w:eastAsia="en-AU"/>
          </w:rPr>
          <w:tab/>
        </w:r>
        <w:r w:rsidRPr="00D90FEA">
          <w:t>Earlier republications</w:t>
        </w:r>
        <w:r>
          <w:tab/>
        </w:r>
        <w:r>
          <w:fldChar w:fldCharType="begin"/>
        </w:r>
        <w:r>
          <w:instrText xml:space="preserve"> PAGEREF _Toc83626365 \h </w:instrText>
        </w:r>
        <w:r>
          <w:fldChar w:fldCharType="separate"/>
        </w:r>
        <w:r w:rsidR="005C5D7F">
          <w:t>771</w:t>
        </w:r>
        <w:r>
          <w:fldChar w:fldCharType="end"/>
        </w:r>
      </w:hyperlink>
    </w:p>
    <w:p w14:paraId="28D7744B" w14:textId="5A7CA8BA" w:rsidR="000C1958" w:rsidRDefault="005E03F7">
      <w:pPr>
        <w:pStyle w:val="BillBasic"/>
      </w:pPr>
      <w:r>
        <w:fldChar w:fldCharType="end"/>
      </w:r>
    </w:p>
    <w:p w14:paraId="45C977D0" w14:textId="77777777" w:rsidR="00982619" w:rsidRDefault="00982619">
      <w:pPr>
        <w:pStyle w:val="01Contents"/>
        <w:sectPr w:rsidR="00982619" w:rsidSect="00982619">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303FD840" w14:textId="77777777" w:rsidR="000C1958" w:rsidRDefault="001E73B3">
      <w:pPr>
        <w:jc w:val="center"/>
      </w:pPr>
      <w:r>
        <w:rPr>
          <w:noProof/>
          <w:lang w:eastAsia="en-AU"/>
        </w:rPr>
        <w:lastRenderedPageBreak/>
        <w:drawing>
          <wp:inline distT="0" distB="0" distL="0" distR="0" wp14:anchorId="106D8005" wp14:editId="53D50653">
            <wp:extent cx="1323975" cy="1181100"/>
            <wp:effectExtent l="19050" t="0" r="9525"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a:srcRect/>
                    <a:stretch>
                      <a:fillRect/>
                    </a:stretch>
                  </pic:blipFill>
                  <pic:spPr bwMode="auto">
                    <a:xfrm>
                      <a:off x="0" y="0"/>
                      <a:ext cx="1323975" cy="1181100"/>
                    </a:xfrm>
                    <a:prstGeom prst="rect">
                      <a:avLst/>
                    </a:prstGeom>
                    <a:noFill/>
                    <a:ln w="9525">
                      <a:noFill/>
                      <a:miter lim="800000"/>
                      <a:headEnd/>
                      <a:tailEnd/>
                    </a:ln>
                  </pic:spPr>
                </pic:pic>
              </a:graphicData>
            </a:graphic>
          </wp:inline>
        </w:drawing>
      </w:r>
    </w:p>
    <w:p w14:paraId="1C57CA12" w14:textId="77777777" w:rsidR="000C1958" w:rsidRDefault="000C1958">
      <w:pPr>
        <w:jc w:val="center"/>
        <w:rPr>
          <w:rFonts w:ascii="Arial" w:hAnsi="Arial"/>
        </w:rPr>
      </w:pPr>
      <w:r>
        <w:rPr>
          <w:rFonts w:ascii="Arial" w:hAnsi="Arial"/>
        </w:rPr>
        <w:t>Australian Capital Territory</w:t>
      </w:r>
    </w:p>
    <w:p w14:paraId="6EEFDE91" w14:textId="2245E843" w:rsidR="000C1958" w:rsidRDefault="00EF7DDF" w:rsidP="000C1958">
      <w:pPr>
        <w:pStyle w:val="Billname"/>
      </w:pPr>
      <w:bookmarkStart w:id="5" w:name="Citation"/>
      <w:r>
        <w:t>Heavy Vehicle National Law (ACT)</w:t>
      </w:r>
      <w:bookmarkEnd w:id="5"/>
    </w:p>
    <w:p w14:paraId="033A4C34" w14:textId="77777777" w:rsidR="000C1958" w:rsidRDefault="000C1958">
      <w:pPr>
        <w:pStyle w:val="ActNo"/>
      </w:pPr>
    </w:p>
    <w:p w14:paraId="6E8A0D2D" w14:textId="77777777" w:rsidR="000C1958" w:rsidRDefault="000C1958">
      <w:pPr>
        <w:pStyle w:val="N-line3"/>
      </w:pPr>
    </w:p>
    <w:p w14:paraId="41287096" w14:textId="77777777" w:rsidR="00CC498C" w:rsidRPr="009D47B1" w:rsidRDefault="00CC498C" w:rsidP="00CC498C">
      <w:pPr>
        <w:pStyle w:val="LongTitle"/>
        <w:suppressLineNumbers/>
      </w:pPr>
      <w:r w:rsidRPr="009D47B1">
        <w:t>An Act to apply a national law relating to the regulation of the use of heavy vehicles, and for other purposes</w:t>
      </w:r>
    </w:p>
    <w:p w14:paraId="4773F100" w14:textId="77777777" w:rsidR="000C1958" w:rsidRDefault="000C1958">
      <w:pPr>
        <w:pStyle w:val="N-line3"/>
      </w:pPr>
    </w:p>
    <w:p w14:paraId="45F163EB" w14:textId="77777777" w:rsidR="000C1958" w:rsidRDefault="000C1958">
      <w:pPr>
        <w:pStyle w:val="Placeholder"/>
      </w:pPr>
      <w:r>
        <w:rPr>
          <w:rStyle w:val="charContents"/>
          <w:sz w:val="16"/>
        </w:rPr>
        <w:t xml:space="preserve">  </w:t>
      </w:r>
      <w:r>
        <w:rPr>
          <w:rStyle w:val="charPage"/>
        </w:rPr>
        <w:t xml:space="preserve">  </w:t>
      </w:r>
    </w:p>
    <w:p w14:paraId="5892FCD2" w14:textId="77777777" w:rsidR="000C1958" w:rsidRDefault="000C1958">
      <w:pPr>
        <w:pStyle w:val="Placeholder"/>
      </w:pPr>
      <w:r>
        <w:rPr>
          <w:rStyle w:val="CharChapNo"/>
        </w:rPr>
        <w:t xml:space="preserve">  </w:t>
      </w:r>
      <w:r>
        <w:rPr>
          <w:rStyle w:val="CharChapText"/>
        </w:rPr>
        <w:t xml:space="preserve">  </w:t>
      </w:r>
    </w:p>
    <w:p w14:paraId="19F9E4F3" w14:textId="77777777" w:rsidR="000C1958" w:rsidRDefault="000C1958">
      <w:pPr>
        <w:pStyle w:val="Placeholder"/>
      </w:pPr>
      <w:r>
        <w:rPr>
          <w:rStyle w:val="CharPartNo"/>
        </w:rPr>
        <w:t xml:space="preserve">  </w:t>
      </w:r>
      <w:r>
        <w:rPr>
          <w:rStyle w:val="CharPartText"/>
        </w:rPr>
        <w:t xml:space="preserve">  </w:t>
      </w:r>
    </w:p>
    <w:p w14:paraId="22D0FDE5" w14:textId="77777777" w:rsidR="000C1958" w:rsidRDefault="000C1958">
      <w:pPr>
        <w:pStyle w:val="Placeholder"/>
      </w:pPr>
      <w:r>
        <w:rPr>
          <w:rStyle w:val="CharDivNo"/>
        </w:rPr>
        <w:t xml:space="preserve">  </w:t>
      </w:r>
      <w:r>
        <w:rPr>
          <w:rStyle w:val="CharDivText"/>
        </w:rPr>
        <w:t xml:space="preserve">  </w:t>
      </w:r>
    </w:p>
    <w:p w14:paraId="46A8F5D6" w14:textId="77777777" w:rsidR="000C1958" w:rsidRPr="00CA74E4" w:rsidRDefault="000C1958" w:rsidP="000C1958">
      <w:pPr>
        <w:pStyle w:val="PageBreak"/>
      </w:pPr>
      <w:r w:rsidRPr="00CA74E4">
        <w:br w:type="page"/>
      </w:r>
    </w:p>
    <w:p w14:paraId="5AEBDCB2" w14:textId="77777777" w:rsidR="00DB6E47" w:rsidRPr="005E03F7" w:rsidRDefault="00DB6E47" w:rsidP="00DB6E47">
      <w:pPr>
        <w:pStyle w:val="AH1Chapter"/>
      </w:pPr>
      <w:bookmarkStart w:id="6" w:name="_Toc83625350"/>
      <w:r w:rsidRPr="005E03F7">
        <w:rPr>
          <w:rStyle w:val="CharChapNo"/>
        </w:rPr>
        <w:lastRenderedPageBreak/>
        <w:t>Chapter 1</w:t>
      </w:r>
      <w:r w:rsidRPr="007E1F9A">
        <w:tab/>
      </w:r>
      <w:r w:rsidRPr="005E03F7">
        <w:rPr>
          <w:rStyle w:val="CharChapText"/>
        </w:rPr>
        <w:t>Preliminary</w:t>
      </w:r>
      <w:bookmarkEnd w:id="6"/>
    </w:p>
    <w:p w14:paraId="257E7D38" w14:textId="77777777" w:rsidR="00DB6E47" w:rsidRPr="005E03F7" w:rsidRDefault="00DB6E47" w:rsidP="00DB6E47">
      <w:pPr>
        <w:pStyle w:val="AH2Part"/>
      </w:pPr>
      <w:bookmarkStart w:id="7" w:name="_Toc83625351"/>
      <w:r w:rsidRPr="005E03F7">
        <w:rPr>
          <w:rStyle w:val="CharPartNo"/>
        </w:rPr>
        <w:t>Part 1.1</w:t>
      </w:r>
      <w:r w:rsidRPr="00A95F9A">
        <w:tab/>
      </w:r>
      <w:r w:rsidRPr="005E03F7">
        <w:rPr>
          <w:rStyle w:val="CharPartText"/>
        </w:rPr>
        <w:t>Introductory matters</w:t>
      </w:r>
      <w:bookmarkEnd w:id="7"/>
    </w:p>
    <w:p w14:paraId="00969E0C" w14:textId="77777777" w:rsidR="000A3095" w:rsidRDefault="000A3095" w:rsidP="000A3095">
      <w:pPr>
        <w:pStyle w:val="Placeholder"/>
        <w:suppressLineNumbers/>
      </w:pPr>
      <w:r>
        <w:rPr>
          <w:rStyle w:val="CharDivNo"/>
          <w:rFonts w:eastAsiaTheme="minorEastAsia"/>
        </w:rPr>
        <w:t xml:space="preserve">  </w:t>
      </w:r>
      <w:r>
        <w:rPr>
          <w:rStyle w:val="CharDivText"/>
        </w:rPr>
        <w:t xml:space="preserve">  </w:t>
      </w:r>
    </w:p>
    <w:p w14:paraId="2D39D786" w14:textId="77777777" w:rsidR="00DB6E47" w:rsidRPr="007E1F9A" w:rsidRDefault="00DB6E47" w:rsidP="00DB6E47">
      <w:pPr>
        <w:pStyle w:val="AH5Sec"/>
      </w:pPr>
      <w:bookmarkStart w:id="8" w:name="_Toc83625352"/>
      <w:r w:rsidRPr="005E03F7">
        <w:rPr>
          <w:rStyle w:val="CharSectNo"/>
        </w:rPr>
        <w:t>1</w:t>
      </w:r>
      <w:r w:rsidRPr="007E1F9A">
        <w:tab/>
        <w:t>Short title</w:t>
      </w:r>
      <w:bookmarkEnd w:id="8"/>
    </w:p>
    <w:p w14:paraId="1F0E0D1E" w14:textId="77777777" w:rsidR="00DB6E47" w:rsidRPr="006C3305" w:rsidRDefault="00DB6E47" w:rsidP="00DB6E47">
      <w:pPr>
        <w:pStyle w:val="Amainreturn"/>
        <w:rPr>
          <w:b/>
          <w:bCs/>
        </w:rPr>
      </w:pPr>
      <w:r w:rsidRPr="006C3305">
        <w:t>This Law may be cited as the Heavy Vehicle National Law.</w:t>
      </w:r>
    </w:p>
    <w:p w14:paraId="791A0A47" w14:textId="77777777" w:rsidR="00DB6E47" w:rsidRPr="007E1F9A" w:rsidRDefault="00DB6E47" w:rsidP="00DB6E47">
      <w:pPr>
        <w:pStyle w:val="AH5Sec"/>
      </w:pPr>
      <w:bookmarkStart w:id="9" w:name="_Toc83625353"/>
      <w:r w:rsidRPr="005E03F7">
        <w:rPr>
          <w:rStyle w:val="CharSectNo"/>
        </w:rPr>
        <w:t>2</w:t>
      </w:r>
      <w:r w:rsidRPr="007E1F9A">
        <w:tab/>
        <w:t>Commencement</w:t>
      </w:r>
      <w:bookmarkEnd w:id="9"/>
    </w:p>
    <w:p w14:paraId="77094E32" w14:textId="77777777" w:rsidR="00DB6E47" w:rsidRPr="006C3305" w:rsidRDefault="00DB6E47" w:rsidP="00DB6E47">
      <w:pPr>
        <w:pStyle w:val="Amainreturn"/>
        <w:rPr>
          <w:rFonts w:cs="Times"/>
          <w:b/>
          <w:bCs/>
        </w:rPr>
      </w:pPr>
      <w:r w:rsidRPr="00AE5475">
        <w:t>This</w:t>
      </w:r>
      <w:r w:rsidRPr="006C3305">
        <w:rPr>
          <w:rFonts w:cs="Times"/>
        </w:rPr>
        <w:t xml:space="preserve"> Law commences in a participating jurisdiction as provided by the Act of that jurisdiction that applies this Law as a law of that jurisdiction.</w:t>
      </w:r>
    </w:p>
    <w:p w14:paraId="3B09DB43" w14:textId="77777777" w:rsidR="00DB6E47" w:rsidRPr="007E1F9A" w:rsidRDefault="00DB6E47" w:rsidP="00DB6E47">
      <w:pPr>
        <w:pStyle w:val="AH5Sec"/>
      </w:pPr>
      <w:bookmarkStart w:id="10" w:name="_Toc83625354"/>
      <w:r w:rsidRPr="005E03F7">
        <w:rPr>
          <w:rStyle w:val="CharSectNo"/>
        </w:rPr>
        <w:t>3</w:t>
      </w:r>
      <w:r w:rsidRPr="007E1F9A">
        <w:tab/>
        <w:t>Object of Law</w:t>
      </w:r>
      <w:bookmarkEnd w:id="10"/>
    </w:p>
    <w:p w14:paraId="042D6000" w14:textId="77777777" w:rsidR="00DB6E47" w:rsidRPr="006C3305" w:rsidRDefault="00DB6E47" w:rsidP="00DB6E47">
      <w:pPr>
        <w:pStyle w:val="Amainreturn"/>
        <w:rPr>
          <w:rFonts w:cs="Times"/>
          <w:b/>
          <w:bCs/>
        </w:rPr>
      </w:pPr>
      <w:r w:rsidRPr="00AE5475">
        <w:t>The</w:t>
      </w:r>
      <w:r w:rsidRPr="006C3305">
        <w:rPr>
          <w:rFonts w:cs="Times"/>
        </w:rPr>
        <w:t xml:space="preserve"> object of this Law is to establish a national scheme for facilitating and regulating the use of heavy vehicles on roads in a way that—</w:t>
      </w:r>
    </w:p>
    <w:p w14:paraId="5BC89E7D" w14:textId="77777777" w:rsidR="00DB6E47" w:rsidRPr="006C3305" w:rsidRDefault="00DB6E47" w:rsidP="00DB6E47">
      <w:pPr>
        <w:pStyle w:val="Apara"/>
        <w:rPr>
          <w:b/>
          <w:bCs/>
        </w:rPr>
      </w:pPr>
      <w:r>
        <w:tab/>
        <w:t>(a)</w:t>
      </w:r>
      <w:r w:rsidRPr="006C3305">
        <w:tab/>
        <w:t>promotes public safety; and</w:t>
      </w:r>
    </w:p>
    <w:p w14:paraId="3A750DFB" w14:textId="77777777" w:rsidR="00DB6E47" w:rsidRPr="00AE5475" w:rsidRDefault="00DB6E47" w:rsidP="00DB6E47">
      <w:pPr>
        <w:pStyle w:val="Apara"/>
      </w:pPr>
      <w:r>
        <w:tab/>
        <w:t>(b)</w:t>
      </w:r>
      <w:r>
        <w:tab/>
      </w:r>
      <w:r w:rsidRPr="00AE5475">
        <w:t>manages the impact of heavy vehicles on the environment, road infrastructure and public amenity; and</w:t>
      </w:r>
    </w:p>
    <w:p w14:paraId="37A63797" w14:textId="77777777" w:rsidR="00DB6E47" w:rsidRPr="00AE5475" w:rsidRDefault="00DB6E47" w:rsidP="00DB6E47">
      <w:pPr>
        <w:pStyle w:val="Apara"/>
      </w:pPr>
      <w:r>
        <w:tab/>
        <w:t>(c)</w:t>
      </w:r>
      <w:r w:rsidRPr="00AE5475">
        <w:tab/>
        <w:t>promotes industry productivity and efficiency in the road transport of goods and passengers by heavy vehicles; and</w:t>
      </w:r>
    </w:p>
    <w:p w14:paraId="7EAF7AC9" w14:textId="77777777" w:rsidR="00DB6E47" w:rsidRPr="00AE5475" w:rsidRDefault="00DB6E47" w:rsidP="00DB6E47">
      <w:pPr>
        <w:pStyle w:val="Apara"/>
      </w:pPr>
      <w:r>
        <w:tab/>
        <w:t>(d)</w:t>
      </w:r>
      <w:r w:rsidRPr="00AE5475">
        <w:tab/>
        <w:t>encourages and promotes productive, efficient, innovative and safe business practices.</w:t>
      </w:r>
    </w:p>
    <w:p w14:paraId="2D06768B" w14:textId="77777777" w:rsidR="00DB6E47" w:rsidRPr="007E1F9A" w:rsidRDefault="00DB6E47" w:rsidP="00DB6E47">
      <w:pPr>
        <w:pStyle w:val="AH5Sec"/>
      </w:pPr>
      <w:bookmarkStart w:id="11" w:name="_Toc83625355"/>
      <w:r w:rsidRPr="005E03F7">
        <w:rPr>
          <w:rStyle w:val="CharSectNo"/>
        </w:rPr>
        <w:t>4</w:t>
      </w:r>
      <w:r w:rsidRPr="007E1F9A">
        <w:tab/>
        <w:t>Regulatory framework to achieve object</w:t>
      </w:r>
      <w:bookmarkEnd w:id="11"/>
    </w:p>
    <w:p w14:paraId="6BFE8058" w14:textId="77777777" w:rsidR="00DB6E47" w:rsidRPr="006C3305" w:rsidRDefault="00DB6E47" w:rsidP="00810783">
      <w:pPr>
        <w:pStyle w:val="Amainreturn"/>
        <w:rPr>
          <w:b/>
          <w:bCs/>
        </w:rPr>
      </w:pPr>
      <w:r w:rsidRPr="00810783">
        <w:t>The object</w:t>
      </w:r>
      <w:r w:rsidRPr="006C3305">
        <w:t xml:space="preserve"> of this Law is to be achieved by a regulatory framework that—</w:t>
      </w:r>
    </w:p>
    <w:p w14:paraId="1D8EA59C" w14:textId="77777777" w:rsidR="00DB6E47" w:rsidRPr="00AE5475" w:rsidRDefault="00DB6E47" w:rsidP="00DB6E47">
      <w:pPr>
        <w:pStyle w:val="Apara"/>
      </w:pPr>
      <w:r>
        <w:tab/>
        <w:t>(a)</w:t>
      </w:r>
      <w:r w:rsidRPr="00AE5475">
        <w:tab/>
        <w:t>establishes an entity (the National Heavy Vehicle Regulator) with functions directed at ensuring the object is achieved; and</w:t>
      </w:r>
    </w:p>
    <w:p w14:paraId="04740C0C" w14:textId="77777777" w:rsidR="00DB6E47" w:rsidRPr="00AE5475" w:rsidRDefault="00DB6E47" w:rsidP="00DB6E47">
      <w:pPr>
        <w:pStyle w:val="Apara"/>
      </w:pPr>
      <w:r>
        <w:tab/>
        <w:t>(b)</w:t>
      </w:r>
      <w:r w:rsidRPr="00AE5475">
        <w:tab/>
        <w:t xml:space="preserve">provides for </w:t>
      </w:r>
      <w:r w:rsidR="00DB5A2E">
        <w:t>a database</w:t>
      </w:r>
      <w:r w:rsidRPr="00AE5475">
        <w:t xml:space="preserve"> of heavy vehicles; and</w:t>
      </w:r>
    </w:p>
    <w:p w14:paraId="72FEC893" w14:textId="77777777" w:rsidR="00DB6E47" w:rsidRPr="00AE5475" w:rsidRDefault="00DB6E47" w:rsidP="00DB6E47">
      <w:pPr>
        <w:pStyle w:val="Apara"/>
      </w:pPr>
      <w:r>
        <w:lastRenderedPageBreak/>
        <w:tab/>
        <w:t>(c)</w:t>
      </w:r>
      <w:r w:rsidRPr="00AE5475">
        <w:tab/>
        <w:t>prescribes requirements about the following—</w:t>
      </w:r>
    </w:p>
    <w:p w14:paraId="3361B3A7" w14:textId="77777777" w:rsidR="00DB6E47" w:rsidRPr="006C3305" w:rsidRDefault="00DB6E47" w:rsidP="00DB6E47">
      <w:pPr>
        <w:pStyle w:val="Asubpara"/>
      </w:pPr>
      <w:r>
        <w:tab/>
        <w:t>(i)</w:t>
      </w:r>
      <w:r w:rsidRPr="006C3305">
        <w:tab/>
        <w:t>the standards heavy vehicles must meet when on roads;</w:t>
      </w:r>
    </w:p>
    <w:p w14:paraId="4635D812" w14:textId="77777777" w:rsidR="00DB6E47" w:rsidRPr="006C3305" w:rsidRDefault="00DB6E47" w:rsidP="00DB6E47">
      <w:pPr>
        <w:pStyle w:val="Asubpara"/>
      </w:pPr>
      <w:r>
        <w:tab/>
        <w:t>(ii)</w:t>
      </w:r>
      <w:r w:rsidRPr="006C3305">
        <w:tab/>
        <w:t>the maximum permissible mass and dimensions of heavy vehicles used on roads;</w:t>
      </w:r>
    </w:p>
    <w:p w14:paraId="1AAF128B" w14:textId="77777777" w:rsidR="00DB6E47" w:rsidRPr="006C3305" w:rsidRDefault="00DB6E47" w:rsidP="00DB6E47">
      <w:pPr>
        <w:pStyle w:val="Asubpara"/>
      </w:pPr>
      <w:r>
        <w:tab/>
        <w:t>(iii)</w:t>
      </w:r>
      <w:r w:rsidRPr="006C3305">
        <w:tab/>
        <w:t>securing and restraining loads on heavy vehicles used on roads;</w:t>
      </w:r>
    </w:p>
    <w:p w14:paraId="49671678" w14:textId="77777777" w:rsidR="00DB6E47" w:rsidRPr="006C3305" w:rsidRDefault="00DB6E47" w:rsidP="00DB6E47">
      <w:pPr>
        <w:pStyle w:val="Asubpara"/>
      </w:pPr>
      <w:r>
        <w:tab/>
        <w:t>(iv)</w:t>
      </w:r>
      <w:r w:rsidRPr="006C3305">
        <w:tab/>
        <w:t>preventing drivers of heavy vehicles exceeding speed limits;</w:t>
      </w:r>
    </w:p>
    <w:p w14:paraId="12D5C75F" w14:textId="77777777" w:rsidR="00DB6E47" w:rsidRPr="006C3305" w:rsidRDefault="00DB6E47" w:rsidP="00DB6E47">
      <w:pPr>
        <w:pStyle w:val="Asubpara"/>
      </w:pPr>
      <w:r>
        <w:tab/>
        <w:t>(v)</w:t>
      </w:r>
      <w:r w:rsidRPr="006C3305">
        <w:tab/>
        <w:t>preventing drivers of heavy vehicles from driving while fatigued; and</w:t>
      </w:r>
    </w:p>
    <w:p w14:paraId="2E4E4FD2" w14:textId="77777777" w:rsidR="00DB6E47" w:rsidRPr="00AE5475" w:rsidRDefault="00DB6E47" w:rsidP="00DB6E47">
      <w:pPr>
        <w:pStyle w:val="Apara"/>
      </w:pPr>
      <w:r>
        <w:tab/>
        <w:t>(d)</w:t>
      </w:r>
      <w:r w:rsidRPr="00AE5475">
        <w:tab/>
        <w:t>imposes duties and obligations directed at ensuring heavy vehicles and drivers of heavy vehicles comply with requirements mentioned in paragraph (c)</w:t>
      </w:r>
      <w:r>
        <w:t xml:space="preserve">(i) </w:t>
      </w:r>
      <w:r w:rsidRPr="00AE5475">
        <w:t>to</w:t>
      </w:r>
      <w:r>
        <w:t xml:space="preserve"> (v) </w:t>
      </w:r>
      <w:r w:rsidRPr="00AE5475">
        <w:t>on persons whose activities may influence whether the vehicles or drivers comply with the requirements; and</w:t>
      </w:r>
    </w:p>
    <w:p w14:paraId="0D58E9A2" w14:textId="77777777" w:rsidR="00DB6E47" w:rsidRPr="00AE5475" w:rsidRDefault="00DB6E47" w:rsidP="00DB6E47">
      <w:pPr>
        <w:pStyle w:val="Apara"/>
      </w:pPr>
      <w:r>
        <w:tab/>
        <w:t>(e)</w:t>
      </w:r>
      <w:r w:rsidRPr="00AE5475">
        <w:tab/>
        <w:t>includes measures directed at the matters mentioned in section</w:t>
      </w:r>
      <w:r w:rsidR="000A3095">
        <w:t> </w:t>
      </w:r>
      <w:r w:rsidRPr="00AE5475">
        <w:t>3</w:t>
      </w:r>
      <w:r>
        <w:t xml:space="preserve">(c) </w:t>
      </w:r>
      <w:r w:rsidRPr="00AE5475">
        <w:t xml:space="preserve">and </w:t>
      </w:r>
      <w:r>
        <w:t xml:space="preserve">(d) </w:t>
      </w:r>
      <w:r w:rsidRPr="00AE5475">
        <w:t>by allowing improved access to roads in certain circumstances, including by—</w:t>
      </w:r>
    </w:p>
    <w:p w14:paraId="2707A420" w14:textId="77777777" w:rsidR="00DB6E47" w:rsidRPr="00AD1D43" w:rsidRDefault="00DB6E47" w:rsidP="00DB6E47">
      <w:pPr>
        <w:pStyle w:val="Asubpara"/>
      </w:pPr>
      <w:r w:rsidRPr="00AD1D43">
        <w:tab/>
        <w:t>(i)</w:t>
      </w:r>
      <w:r w:rsidRPr="00AD1D43">
        <w:tab/>
        <w:t>allowing heavy vehicles, that would otherwise be prevented from being used on roads, access to the roads through exemptions or authorisations granted in circumstances in which the matters mentioned in section</w:t>
      </w:r>
      <w:r w:rsidR="000A3095">
        <w:t> </w:t>
      </w:r>
      <w:r w:rsidRPr="00AD1D43">
        <w:t>3(a) and (b)</w:t>
      </w:r>
      <w:r w:rsidR="004E3F26">
        <w:t xml:space="preserve"> </w:t>
      </w:r>
      <w:r w:rsidRPr="00AD1D43">
        <w:t>will not be compromised; and</w:t>
      </w:r>
    </w:p>
    <w:p w14:paraId="6B3022E9" w14:textId="77777777" w:rsidR="00DB6E47" w:rsidRPr="00AD1D43" w:rsidRDefault="00DB6E47" w:rsidP="00DB6E47">
      <w:pPr>
        <w:pStyle w:val="Asubpara"/>
      </w:pPr>
      <w:r w:rsidRPr="00AD1D43">
        <w:tab/>
        <w:t>(ii)</w:t>
      </w:r>
      <w:r w:rsidRPr="00AD1D43">
        <w:tab/>
        <w:t>providing for accreditation schemes allowing operators of heavy vehicles who adopt best practices directed at the matters mentioned in section 3 to be subject to alternative requirements more suited to the operators’ business operations.</w:t>
      </w:r>
    </w:p>
    <w:p w14:paraId="30B822D5" w14:textId="77777777" w:rsidR="00DB6E47" w:rsidRPr="007E1F9A" w:rsidRDefault="00DB6E47" w:rsidP="00DB6E47">
      <w:pPr>
        <w:pStyle w:val="PageBreak"/>
      </w:pPr>
      <w:r w:rsidRPr="007E1F9A">
        <w:br w:type="page"/>
      </w:r>
    </w:p>
    <w:p w14:paraId="231D054B" w14:textId="77777777" w:rsidR="00DB6E47" w:rsidRPr="005E03F7" w:rsidRDefault="00DB6E47" w:rsidP="00DB6E47">
      <w:pPr>
        <w:pStyle w:val="AH2Part"/>
      </w:pPr>
      <w:bookmarkStart w:id="12" w:name="_Toc83625356"/>
      <w:r w:rsidRPr="005E03F7">
        <w:rPr>
          <w:rStyle w:val="CharPartNo"/>
        </w:rPr>
        <w:lastRenderedPageBreak/>
        <w:t>Part 1.2</w:t>
      </w:r>
      <w:r w:rsidRPr="00A95F9A">
        <w:tab/>
      </w:r>
      <w:r w:rsidRPr="005E03F7">
        <w:rPr>
          <w:rStyle w:val="CharPartText"/>
        </w:rPr>
        <w:t>Interpretation</w:t>
      </w:r>
      <w:bookmarkEnd w:id="12"/>
    </w:p>
    <w:p w14:paraId="2B60E5C4" w14:textId="77777777" w:rsidR="00DB6E47" w:rsidRPr="007E1F9A" w:rsidRDefault="00DB6E47" w:rsidP="00DB6E47">
      <w:pPr>
        <w:pStyle w:val="AH5Sec"/>
      </w:pPr>
      <w:bookmarkStart w:id="13" w:name="_Toc83625357"/>
      <w:r w:rsidRPr="005E03F7">
        <w:rPr>
          <w:rStyle w:val="CharSectNo"/>
        </w:rPr>
        <w:t>5</w:t>
      </w:r>
      <w:r w:rsidRPr="007E1F9A">
        <w:tab/>
        <w:t>Definitions</w:t>
      </w:r>
      <w:bookmarkEnd w:id="13"/>
    </w:p>
    <w:p w14:paraId="3F5B49AC" w14:textId="77777777" w:rsidR="00DB6E47" w:rsidRPr="006C3305" w:rsidRDefault="00DB6E47" w:rsidP="00DB6E47">
      <w:pPr>
        <w:pStyle w:val="Amainreturn"/>
        <w:rPr>
          <w:rFonts w:cs="Times"/>
          <w:b/>
          <w:bCs/>
        </w:rPr>
      </w:pPr>
      <w:r w:rsidRPr="006C3305">
        <w:rPr>
          <w:rFonts w:cs="Times"/>
        </w:rPr>
        <w:t>In this Law—</w:t>
      </w:r>
    </w:p>
    <w:p w14:paraId="2C26318A" w14:textId="77777777" w:rsidR="00DB6E47" w:rsidRPr="00041046" w:rsidRDefault="00DB6E47" w:rsidP="00DB6E47">
      <w:pPr>
        <w:pStyle w:val="aDef"/>
        <w:rPr>
          <w:bCs/>
        </w:rPr>
      </w:pPr>
      <w:r w:rsidRPr="00041046">
        <w:rPr>
          <w:rStyle w:val="charBoldItals"/>
        </w:rPr>
        <w:t>100km work</w:t>
      </w:r>
      <w:r w:rsidRPr="00041046">
        <w:t>, for the purposes of Chapter 6, has the meaning given by section 289(1).</w:t>
      </w:r>
    </w:p>
    <w:p w14:paraId="50473DBE" w14:textId="77777777" w:rsidR="00DB6E47" w:rsidRPr="00041046" w:rsidRDefault="00DB6E47" w:rsidP="00DB6E47">
      <w:pPr>
        <w:pStyle w:val="aDef"/>
        <w:rPr>
          <w:bCs/>
        </w:rPr>
      </w:pPr>
      <w:r w:rsidRPr="00041046">
        <w:rPr>
          <w:rStyle w:val="charBoldItals"/>
        </w:rPr>
        <w:t>100+km work</w:t>
      </w:r>
      <w:r w:rsidRPr="00041046">
        <w:t>, for the purposes of Chapter 6, has the meaning given by section 289(2).</w:t>
      </w:r>
    </w:p>
    <w:p w14:paraId="58188E38" w14:textId="77777777" w:rsidR="00DB6E47" w:rsidRPr="00041046" w:rsidRDefault="00DB6E47" w:rsidP="00DB6E47">
      <w:pPr>
        <w:pStyle w:val="aDef"/>
        <w:rPr>
          <w:bCs/>
        </w:rPr>
      </w:pPr>
      <w:r w:rsidRPr="00041046">
        <w:rPr>
          <w:rStyle w:val="charBoldItals"/>
        </w:rPr>
        <w:t>accreditation certificate</w:t>
      </w:r>
      <w:r w:rsidRPr="00041046">
        <w:t xml:space="preserve"> means—</w:t>
      </w:r>
    </w:p>
    <w:p w14:paraId="4114DF46" w14:textId="77777777" w:rsidR="00DB6E47" w:rsidRPr="00F04D8E" w:rsidRDefault="00DB6E47" w:rsidP="00DB6E47">
      <w:pPr>
        <w:pStyle w:val="aDefpara"/>
      </w:pPr>
      <w:r w:rsidRPr="00F04D8E">
        <w:tab/>
        <w:t>(a)</w:t>
      </w:r>
      <w:r w:rsidRPr="00F04D8E">
        <w:tab/>
        <w:t>for a heavy vehicle accreditation granted under this Law—the accreditation certificate given for the accreditation under section 464; or</w:t>
      </w:r>
    </w:p>
    <w:p w14:paraId="58C64D9B" w14:textId="77777777" w:rsidR="00DB6E47" w:rsidRPr="00F04D8E" w:rsidRDefault="00DB6E47" w:rsidP="00DB6E47">
      <w:pPr>
        <w:pStyle w:val="aDefpara"/>
      </w:pPr>
      <w:r w:rsidRPr="00F04D8E">
        <w:tab/>
        <w:t>(b)</w:t>
      </w:r>
      <w:r w:rsidRPr="00F04D8E">
        <w:tab/>
        <w:t>for a heavy vehicle accreditation granted under another law of a participating jurisdiction—the certificate of accreditation (however called) issued for the accreditation under that law.</w:t>
      </w:r>
    </w:p>
    <w:p w14:paraId="122C7782" w14:textId="77777777" w:rsidR="00F70573" w:rsidRPr="00F70573" w:rsidRDefault="00F70573" w:rsidP="00F70573">
      <w:pPr>
        <w:pStyle w:val="aDef"/>
        <w:rPr>
          <w:lang w:eastAsia="en-AU"/>
        </w:rPr>
      </w:pPr>
      <w:r w:rsidRPr="00F70573">
        <w:rPr>
          <w:b/>
          <w:bCs/>
          <w:i/>
          <w:iCs/>
          <w:lang w:eastAsia="en-AU"/>
        </w:rPr>
        <w:t>ADR</w:t>
      </w:r>
      <w:r w:rsidRPr="00F70573">
        <w:rPr>
          <w:lang w:eastAsia="en-AU"/>
        </w:rPr>
        <w:t> means—</w:t>
      </w:r>
    </w:p>
    <w:p w14:paraId="4EF16E1F" w14:textId="636E73F1" w:rsidR="00F70573" w:rsidRPr="00F70573" w:rsidRDefault="00F70573" w:rsidP="00F70573">
      <w:pPr>
        <w:pStyle w:val="aDefpara"/>
        <w:rPr>
          <w:lang w:eastAsia="en-AU"/>
        </w:rPr>
      </w:pPr>
      <w:r>
        <w:rPr>
          <w:lang w:eastAsia="en-AU"/>
        </w:rPr>
        <w:tab/>
      </w:r>
      <w:r w:rsidRPr="00F70573">
        <w:rPr>
          <w:lang w:eastAsia="en-AU"/>
        </w:rPr>
        <w:t>(a)</w:t>
      </w:r>
      <w:r>
        <w:rPr>
          <w:lang w:eastAsia="en-AU"/>
        </w:rPr>
        <w:tab/>
      </w:r>
      <w:r w:rsidRPr="00F70573">
        <w:rPr>
          <w:lang w:eastAsia="en-AU"/>
        </w:rPr>
        <w:t>a third edition ADR; or</w:t>
      </w:r>
    </w:p>
    <w:p w14:paraId="1F1A886F" w14:textId="55077852" w:rsidR="00F70573" w:rsidRPr="00F70573" w:rsidRDefault="00F70573" w:rsidP="00F70573">
      <w:pPr>
        <w:pStyle w:val="aDefpara"/>
        <w:rPr>
          <w:lang w:eastAsia="en-AU"/>
        </w:rPr>
      </w:pPr>
      <w:r>
        <w:rPr>
          <w:lang w:eastAsia="en-AU"/>
        </w:rPr>
        <w:tab/>
      </w:r>
      <w:r w:rsidRPr="00F70573">
        <w:rPr>
          <w:lang w:eastAsia="en-AU"/>
        </w:rPr>
        <w:t>(b)</w:t>
      </w:r>
      <w:r>
        <w:rPr>
          <w:lang w:eastAsia="en-AU"/>
        </w:rPr>
        <w:tab/>
      </w:r>
      <w:r w:rsidRPr="00F70573">
        <w:rPr>
          <w:lang w:eastAsia="en-AU"/>
        </w:rPr>
        <w:t>a second edition ADR.</w:t>
      </w:r>
    </w:p>
    <w:p w14:paraId="60357687" w14:textId="77777777" w:rsidR="0081516C" w:rsidRDefault="0081516C" w:rsidP="0081516C">
      <w:pPr>
        <w:pStyle w:val="aDef"/>
        <w:rPr>
          <w:rStyle w:val="charBoldItals"/>
        </w:rPr>
      </w:pPr>
      <w:r>
        <w:rPr>
          <w:b/>
          <w:bCs/>
          <w:i/>
          <w:iCs/>
          <w:lang w:val="en"/>
        </w:rPr>
        <w:t>advice purposes</w:t>
      </w:r>
      <w:r>
        <w:rPr>
          <w:lang w:val="en"/>
        </w:rPr>
        <w:t xml:space="preserve"> means providing advice, information and education to persons with duties or obligations under this Law about compliance with the duties or obligations.</w:t>
      </w:r>
    </w:p>
    <w:p w14:paraId="7E10F4AD" w14:textId="77777777" w:rsidR="00DB6E47" w:rsidRPr="00041046" w:rsidRDefault="00DB6E47" w:rsidP="00DB6E47">
      <w:pPr>
        <w:pStyle w:val="aDef"/>
        <w:rPr>
          <w:bCs/>
        </w:rPr>
      </w:pPr>
      <w:r w:rsidRPr="00041046">
        <w:rPr>
          <w:rStyle w:val="charBoldItals"/>
        </w:rPr>
        <w:t>AFM accreditation</w:t>
      </w:r>
      <w:r w:rsidRPr="00041046">
        <w:t xml:space="preserve"> means—</w:t>
      </w:r>
    </w:p>
    <w:p w14:paraId="6B8796AB" w14:textId="77777777" w:rsidR="00DB6E47" w:rsidRPr="00F04D8E" w:rsidRDefault="00DB6E47" w:rsidP="00DB6E47">
      <w:pPr>
        <w:pStyle w:val="aDefpara"/>
      </w:pPr>
      <w:r w:rsidRPr="00F04D8E">
        <w:rPr>
          <w:rFonts w:cs="Times"/>
          <w:bCs/>
        </w:rPr>
        <w:tab/>
        <w:t>(a)</w:t>
      </w:r>
      <w:r w:rsidRPr="00F04D8E">
        <w:rPr>
          <w:rFonts w:cs="Times"/>
          <w:bCs/>
        </w:rPr>
        <w:tab/>
      </w:r>
      <w:r w:rsidR="001A1E86">
        <w:rPr>
          <w:spacing w:val="-1"/>
        </w:rPr>
        <w:t>AFM</w:t>
      </w:r>
      <w:r w:rsidR="001A1E86">
        <w:t xml:space="preserve"> </w:t>
      </w:r>
      <w:r w:rsidR="001A1E86">
        <w:rPr>
          <w:spacing w:val="-1"/>
        </w:rPr>
        <w:t>accreditation</w:t>
      </w:r>
      <w:r w:rsidR="001A1E86">
        <w:t xml:space="preserve"> </w:t>
      </w:r>
      <w:r w:rsidR="001A1E86">
        <w:rPr>
          <w:spacing w:val="-1"/>
        </w:rPr>
        <w:t>granted</w:t>
      </w:r>
      <w:r w:rsidR="001A1E86">
        <w:t xml:space="preserve"> </w:t>
      </w:r>
      <w:r w:rsidR="001A1E86">
        <w:rPr>
          <w:spacing w:val="-1"/>
        </w:rPr>
        <w:t>under</w:t>
      </w:r>
      <w:r w:rsidR="001A1E86">
        <w:t xml:space="preserve"> </w:t>
      </w:r>
      <w:r w:rsidR="001A1E86">
        <w:rPr>
          <w:spacing w:val="-1"/>
        </w:rPr>
        <w:t>section</w:t>
      </w:r>
      <w:r w:rsidR="001A1E86">
        <w:rPr>
          <w:spacing w:val="24"/>
        </w:rPr>
        <w:t xml:space="preserve"> </w:t>
      </w:r>
      <w:r w:rsidR="001A1E86">
        <w:rPr>
          <w:spacing w:val="-1"/>
        </w:rPr>
        <w:t>458; or</w:t>
      </w:r>
    </w:p>
    <w:p w14:paraId="4BAC07D8" w14:textId="77777777" w:rsidR="00DB6E47" w:rsidRPr="00F04D8E" w:rsidRDefault="00DB6E47" w:rsidP="00DB6E47">
      <w:pPr>
        <w:pStyle w:val="aDefpara"/>
      </w:pPr>
      <w:r w:rsidRPr="00F04D8E">
        <w:tab/>
        <w:t>(b)</w:t>
      </w:r>
      <w:r w:rsidRPr="00F04D8E">
        <w:tab/>
        <w:t>accreditation of a similar kind under another law of a participating jurisdiction.</w:t>
      </w:r>
    </w:p>
    <w:p w14:paraId="21B5CEB3" w14:textId="77777777" w:rsidR="00DB6E47" w:rsidRPr="00041046" w:rsidRDefault="00DB6E47" w:rsidP="00DB6E47">
      <w:pPr>
        <w:pStyle w:val="aDef"/>
        <w:rPr>
          <w:bCs/>
        </w:rPr>
      </w:pPr>
      <w:r w:rsidRPr="00041046">
        <w:rPr>
          <w:rStyle w:val="charBoldItals"/>
        </w:rPr>
        <w:t>AFM fatigue management system</w:t>
      </w:r>
      <w:r w:rsidRPr="00041046">
        <w:t>, for the purposes of Chapters 6 and 8, has the meaning given by section 457.</w:t>
      </w:r>
    </w:p>
    <w:p w14:paraId="56C76BB6" w14:textId="77777777" w:rsidR="00DB6E47" w:rsidRPr="00041046" w:rsidRDefault="00DB6E47" w:rsidP="00DB6E47">
      <w:pPr>
        <w:pStyle w:val="aDef"/>
        <w:rPr>
          <w:bCs/>
        </w:rPr>
      </w:pPr>
      <w:r w:rsidRPr="00041046">
        <w:rPr>
          <w:rStyle w:val="charBoldItals"/>
        </w:rPr>
        <w:lastRenderedPageBreak/>
        <w:t>AFM hours</w:t>
      </w:r>
      <w:r w:rsidRPr="00041046">
        <w:t>, for the purposes of Chapters 6 and 8, has the meaning given by section 257.</w:t>
      </w:r>
    </w:p>
    <w:p w14:paraId="3B7C1848" w14:textId="77777777" w:rsidR="00DB6E47" w:rsidRPr="00041046" w:rsidRDefault="00DB6E47" w:rsidP="00DB6E47">
      <w:pPr>
        <w:pStyle w:val="aDef"/>
        <w:rPr>
          <w:bCs/>
        </w:rPr>
      </w:pPr>
      <w:r w:rsidRPr="00041046">
        <w:rPr>
          <w:rStyle w:val="charBoldItals"/>
        </w:rPr>
        <w:t>AFM standards and business rules</w:t>
      </w:r>
      <w:r w:rsidRPr="00041046">
        <w:t>, for the purposes of Chapter 8, has the meaning given by section 457.</w:t>
      </w:r>
    </w:p>
    <w:p w14:paraId="22BC62F7" w14:textId="77777777" w:rsidR="00DB6E47" w:rsidRPr="00041046" w:rsidRDefault="00DB6E47" w:rsidP="00DB6E47">
      <w:pPr>
        <w:pStyle w:val="aDef"/>
        <w:rPr>
          <w:bCs/>
        </w:rPr>
      </w:pPr>
      <w:r w:rsidRPr="00041046">
        <w:rPr>
          <w:rStyle w:val="charBoldItals"/>
        </w:rPr>
        <w:t>agricultural implement</w:t>
      </w:r>
      <w:r w:rsidRPr="00041046">
        <w:t xml:space="preserve"> means a vehicle without its own automotive power, built to perform agricultural tasks, and includes an agricultural trailer.</w:t>
      </w:r>
    </w:p>
    <w:p w14:paraId="302D6B48" w14:textId="77777777" w:rsidR="00DB6E47" w:rsidRPr="007E1F9A" w:rsidRDefault="00DB6E47" w:rsidP="00DB6E47">
      <w:pPr>
        <w:pStyle w:val="aExamHdgss"/>
      </w:pPr>
      <w:r w:rsidRPr="00C96203">
        <w:rPr>
          <w:rFonts w:cs="Times"/>
          <w:bCs/>
          <w:iCs/>
        </w:rPr>
        <w:t>Examples</w:t>
      </w:r>
      <w:r w:rsidRPr="00C96203">
        <w:rPr>
          <w:rFonts w:cs="Times"/>
          <w:bCs/>
        </w:rPr>
        <w:t>—</w:t>
      </w:r>
    </w:p>
    <w:p w14:paraId="597982EB" w14:textId="77777777" w:rsidR="00DB6E47" w:rsidRPr="007E1F9A" w:rsidRDefault="00DB6E47" w:rsidP="00DB6E47">
      <w:pPr>
        <w:pStyle w:val="aExamBulletss"/>
      </w:pPr>
      <w:r w:rsidRPr="007E1F9A">
        <w:t xml:space="preserve">• </w:t>
      </w:r>
      <w:r w:rsidRPr="007E1F9A">
        <w:tab/>
        <w:t>auger</w:t>
      </w:r>
    </w:p>
    <w:p w14:paraId="25A06271" w14:textId="77777777" w:rsidR="00DB6E47" w:rsidRPr="007E1F9A" w:rsidRDefault="00DB6E47" w:rsidP="00DB6E47">
      <w:pPr>
        <w:pStyle w:val="aExamBulletss"/>
      </w:pPr>
      <w:r w:rsidRPr="007E1F9A">
        <w:t xml:space="preserve">• </w:t>
      </w:r>
      <w:r w:rsidRPr="007E1F9A">
        <w:tab/>
        <w:t>conveyor</w:t>
      </w:r>
    </w:p>
    <w:p w14:paraId="14ED4033" w14:textId="77777777" w:rsidR="00DB6E47" w:rsidRPr="007E1F9A" w:rsidRDefault="00DB6E47" w:rsidP="00DB6E47">
      <w:pPr>
        <w:pStyle w:val="aExamBulletss"/>
      </w:pPr>
      <w:r w:rsidRPr="007E1F9A">
        <w:t xml:space="preserve">• </w:t>
      </w:r>
      <w:r w:rsidRPr="007E1F9A">
        <w:tab/>
        <w:t>field bin</w:t>
      </w:r>
    </w:p>
    <w:p w14:paraId="6CC4B260" w14:textId="77777777" w:rsidR="00DB6E47" w:rsidRPr="007E1F9A" w:rsidRDefault="00DB6E47" w:rsidP="00DB6E47">
      <w:pPr>
        <w:pStyle w:val="aExamBulletss"/>
      </w:pPr>
      <w:r w:rsidRPr="007E1F9A">
        <w:t xml:space="preserve">• </w:t>
      </w:r>
      <w:r w:rsidRPr="007E1F9A">
        <w:tab/>
        <w:t>harvester front</w:t>
      </w:r>
    </w:p>
    <w:p w14:paraId="50FC0283" w14:textId="77777777" w:rsidR="00DB6E47" w:rsidRPr="007E1F9A" w:rsidRDefault="00DB6E47" w:rsidP="00DB6E47">
      <w:pPr>
        <w:pStyle w:val="aExamBulletss"/>
      </w:pPr>
      <w:r w:rsidRPr="007E1F9A">
        <w:t xml:space="preserve">• </w:t>
      </w:r>
      <w:r w:rsidRPr="007E1F9A">
        <w:tab/>
        <w:t>irrigating equipment or machinery</w:t>
      </w:r>
    </w:p>
    <w:p w14:paraId="6EF93C52" w14:textId="77777777" w:rsidR="00DB6E47" w:rsidRPr="00041046" w:rsidRDefault="00DB6E47" w:rsidP="00DB6E47">
      <w:pPr>
        <w:pStyle w:val="aDef"/>
        <w:rPr>
          <w:bCs/>
        </w:rPr>
      </w:pPr>
      <w:r w:rsidRPr="00041046">
        <w:rPr>
          <w:rStyle w:val="charBoldItals"/>
        </w:rPr>
        <w:t>agricultural machine</w:t>
      </w:r>
      <w:r w:rsidRPr="00041046">
        <w:t xml:space="preserve"> means a vehicle with its own automotive power, built to perform agricultural tasks.</w:t>
      </w:r>
    </w:p>
    <w:p w14:paraId="6A8C02BC" w14:textId="77777777" w:rsidR="00DB6E47" w:rsidRPr="007E1F9A" w:rsidRDefault="00DB6E47" w:rsidP="00DB6E47">
      <w:pPr>
        <w:pStyle w:val="aExamHdgss"/>
      </w:pPr>
      <w:r w:rsidRPr="00C96203">
        <w:rPr>
          <w:rFonts w:cs="Times"/>
          <w:bCs/>
          <w:iCs/>
        </w:rPr>
        <w:t>Examples</w:t>
      </w:r>
      <w:r w:rsidRPr="00C96203">
        <w:rPr>
          <w:rFonts w:cs="Times"/>
          <w:bCs/>
        </w:rPr>
        <w:t>—</w:t>
      </w:r>
    </w:p>
    <w:p w14:paraId="1851C456" w14:textId="77777777" w:rsidR="00DB6E47" w:rsidRPr="00065FAF" w:rsidRDefault="00DB6E47" w:rsidP="00DB6E47">
      <w:pPr>
        <w:pStyle w:val="aExamss"/>
      </w:pPr>
      <w:r w:rsidRPr="00065FAF">
        <w:t>harvester, tractor</w:t>
      </w:r>
    </w:p>
    <w:p w14:paraId="13E5C926" w14:textId="77777777" w:rsidR="00DB6E47" w:rsidRPr="00041046" w:rsidRDefault="00DB6E47" w:rsidP="00DB6E47">
      <w:pPr>
        <w:pStyle w:val="aDef"/>
        <w:rPr>
          <w:bCs/>
        </w:rPr>
      </w:pPr>
      <w:r w:rsidRPr="00041046">
        <w:rPr>
          <w:rStyle w:val="charBoldItals"/>
        </w:rPr>
        <w:t>agricultural task</w:t>
      </w:r>
      <w:r w:rsidRPr="00041046">
        <w:t xml:space="preserve"> means a task carried out in agriculture.</w:t>
      </w:r>
    </w:p>
    <w:p w14:paraId="7162693B" w14:textId="77777777" w:rsidR="00DB6E47" w:rsidRPr="007E1F9A" w:rsidRDefault="00DB6E47" w:rsidP="00DB6E47">
      <w:pPr>
        <w:pStyle w:val="aExamHdgss"/>
      </w:pPr>
      <w:r w:rsidRPr="00C96203">
        <w:rPr>
          <w:rFonts w:cs="Times"/>
          <w:bCs/>
          <w:iCs/>
        </w:rPr>
        <w:t>Examples of an agricultural task</w:t>
      </w:r>
      <w:r w:rsidRPr="00C96203">
        <w:rPr>
          <w:rFonts w:cs="Times"/>
          <w:bCs/>
        </w:rPr>
        <w:t>—</w:t>
      </w:r>
    </w:p>
    <w:p w14:paraId="676BDFA3" w14:textId="77777777" w:rsidR="00DB6E47" w:rsidRPr="007E1F9A" w:rsidRDefault="00DB6E47" w:rsidP="00DB6E47">
      <w:pPr>
        <w:pStyle w:val="aExamBulletss"/>
      </w:pPr>
      <w:r w:rsidRPr="007E1F9A">
        <w:t xml:space="preserve">• </w:t>
      </w:r>
      <w:r w:rsidRPr="007E1F9A">
        <w:tab/>
        <w:t>cultivating land</w:t>
      </w:r>
    </w:p>
    <w:p w14:paraId="306F5CF0" w14:textId="77777777" w:rsidR="00DB6E47" w:rsidRPr="007E1F9A" w:rsidRDefault="00DB6E47" w:rsidP="00DB6E47">
      <w:pPr>
        <w:pStyle w:val="aExamBulletss"/>
      </w:pPr>
      <w:r w:rsidRPr="007E1F9A">
        <w:t xml:space="preserve">• </w:t>
      </w:r>
      <w:r w:rsidRPr="007E1F9A">
        <w:tab/>
        <w:t>growing and harvesting crops</w:t>
      </w:r>
    </w:p>
    <w:p w14:paraId="3B4D2C2B" w14:textId="77777777" w:rsidR="00DB6E47" w:rsidRPr="007E1F9A" w:rsidRDefault="00DB6E47" w:rsidP="00DB6E47">
      <w:pPr>
        <w:pStyle w:val="aExamBulletss"/>
      </w:pPr>
      <w:r w:rsidRPr="007E1F9A">
        <w:t xml:space="preserve">• </w:t>
      </w:r>
      <w:r w:rsidRPr="007E1F9A">
        <w:tab/>
        <w:t>rearing livestock</w:t>
      </w:r>
    </w:p>
    <w:p w14:paraId="1AA44451" w14:textId="77777777" w:rsidR="00DB6E47" w:rsidRPr="00041046" w:rsidRDefault="00DB6E47" w:rsidP="00DB6E47">
      <w:pPr>
        <w:pStyle w:val="aDef"/>
        <w:rPr>
          <w:bCs/>
        </w:rPr>
      </w:pPr>
      <w:r w:rsidRPr="00041046">
        <w:rPr>
          <w:rStyle w:val="charBoldItals"/>
        </w:rPr>
        <w:t>agricultural trailer</w:t>
      </w:r>
      <w:r w:rsidRPr="00041046">
        <w:t xml:space="preserve"> means a trailer that is designed to carry a load and used exclusively to perform agricultural tasks, but does not include a semitrailer.</w:t>
      </w:r>
    </w:p>
    <w:p w14:paraId="2ADD90F9" w14:textId="77777777" w:rsidR="00DB6E47" w:rsidRPr="00041046" w:rsidRDefault="00DB6E47" w:rsidP="00DB6E47">
      <w:pPr>
        <w:pStyle w:val="aDef"/>
        <w:rPr>
          <w:bCs/>
        </w:rPr>
      </w:pPr>
      <w:r w:rsidRPr="00041046">
        <w:rPr>
          <w:rStyle w:val="charBoldItals"/>
        </w:rPr>
        <w:t>agricultural vehicle</w:t>
      </w:r>
      <w:r w:rsidRPr="00041046">
        <w:t xml:space="preserve"> means an agricultural implement or agricultural machine.</w:t>
      </w:r>
    </w:p>
    <w:p w14:paraId="110F671E" w14:textId="77777777" w:rsidR="00DB6E47" w:rsidRPr="00041046" w:rsidRDefault="00DB6E47" w:rsidP="00DB6E47">
      <w:pPr>
        <w:pStyle w:val="aDef"/>
        <w:rPr>
          <w:bCs/>
        </w:rPr>
      </w:pPr>
      <w:r w:rsidRPr="00041046">
        <w:rPr>
          <w:rStyle w:val="charBoldItals"/>
        </w:rPr>
        <w:t>Application Act</w:t>
      </w:r>
      <w:r w:rsidRPr="00041046">
        <w:t xml:space="preserve">, of this jurisdiction, means the Act of this jurisdiction by which this Law applies as a law of this jurisdiction. </w:t>
      </w:r>
    </w:p>
    <w:p w14:paraId="16F3A864" w14:textId="77777777" w:rsidR="00DB6E47" w:rsidRPr="00041046" w:rsidRDefault="00DB6E47" w:rsidP="00973177">
      <w:pPr>
        <w:pStyle w:val="aDef"/>
        <w:keepNext/>
        <w:rPr>
          <w:bCs/>
        </w:rPr>
      </w:pPr>
      <w:r w:rsidRPr="00041046">
        <w:rPr>
          <w:rStyle w:val="charBoldItals"/>
        </w:rPr>
        <w:lastRenderedPageBreak/>
        <w:t>appropriately qualified</w:t>
      </w:r>
      <w:r w:rsidRPr="00041046">
        <w:t>, for a function, includes having the qualifications, experience or standing appropriate to exercise the function.</w:t>
      </w:r>
    </w:p>
    <w:p w14:paraId="1C8FCA8A" w14:textId="77777777" w:rsidR="00DB6E47" w:rsidRPr="007E1F9A" w:rsidRDefault="00DB6E47" w:rsidP="00DB6E47">
      <w:pPr>
        <w:pStyle w:val="aExamHdgss"/>
      </w:pPr>
      <w:r w:rsidRPr="00C96203">
        <w:rPr>
          <w:rFonts w:cs="Times"/>
          <w:bCs/>
          <w:iCs/>
        </w:rPr>
        <w:t>Example of standing</w:t>
      </w:r>
      <w:r w:rsidRPr="00C96203">
        <w:rPr>
          <w:rFonts w:cs="Times"/>
          <w:bCs/>
        </w:rPr>
        <w:t>—</w:t>
      </w:r>
    </w:p>
    <w:p w14:paraId="5359CB2D" w14:textId="77777777" w:rsidR="00DB6E47" w:rsidRPr="007E1F9A" w:rsidRDefault="00DB6E47" w:rsidP="00DB6E47">
      <w:pPr>
        <w:pStyle w:val="aExamss"/>
      </w:pPr>
      <w:r w:rsidRPr="007E1F9A">
        <w:t>a person’s classification level or position in the public service or a government agency of a participating jurisdiction</w:t>
      </w:r>
    </w:p>
    <w:p w14:paraId="36D45C48" w14:textId="77777777" w:rsidR="00DB6E47" w:rsidRPr="00041046" w:rsidRDefault="00DB6E47" w:rsidP="00DB6E47">
      <w:pPr>
        <w:pStyle w:val="aDef"/>
        <w:rPr>
          <w:bCs/>
        </w:rPr>
      </w:pPr>
      <w:r w:rsidRPr="00041046">
        <w:rPr>
          <w:rStyle w:val="charBoldItals"/>
        </w:rPr>
        <w:t>approved</w:t>
      </w:r>
      <w:r w:rsidRPr="00041046">
        <w:t>, by the responsible Ministers, for the purposes of Chapter</w:t>
      </w:r>
      <w:r w:rsidR="000A3095">
        <w:t> </w:t>
      </w:r>
      <w:r w:rsidRPr="00041046">
        <w:t>8, has the meaning given by section 457.</w:t>
      </w:r>
    </w:p>
    <w:p w14:paraId="0BE51552" w14:textId="77777777" w:rsidR="00DB6E47" w:rsidRPr="00041046" w:rsidRDefault="00DB6E47" w:rsidP="00DB6E47">
      <w:pPr>
        <w:pStyle w:val="aDef"/>
        <w:rPr>
          <w:bCs/>
        </w:rPr>
      </w:pPr>
      <w:r w:rsidRPr="00041046">
        <w:rPr>
          <w:rStyle w:val="charBoldItals"/>
        </w:rPr>
        <w:t>approved auditor</w:t>
      </w:r>
      <w:r w:rsidRPr="00041046">
        <w:t>, for the purposes of Chapter 8, has the meaning given by section 457.</w:t>
      </w:r>
    </w:p>
    <w:p w14:paraId="6E6F9220" w14:textId="77777777" w:rsidR="00DB6E47" w:rsidRPr="00041046" w:rsidRDefault="00DB6E47" w:rsidP="00DB6E47">
      <w:pPr>
        <w:pStyle w:val="aDef"/>
        <w:rPr>
          <w:bCs/>
        </w:rPr>
      </w:pPr>
      <w:r w:rsidRPr="00041046">
        <w:rPr>
          <w:rStyle w:val="charBoldItals"/>
        </w:rPr>
        <w:t>approved electronic recording system</w:t>
      </w:r>
      <w:r w:rsidRPr="00041046">
        <w:t xml:space="preserve"> has the meaning given by section 221.</w:t>
      </w:r>
    </w:p>
    <w:p w14:paraId="4945BD53" w14:textId="77777777" w:rsidR="00DB6E47" w:rsidRPr="00041046" w:rsidRDefault="00DB6E47" w:rsidP="00DB6E47">
      <w:pPr>
        <w:pStyle w:val="aDef"/>
        <w:rPr>
          <w:bCs/>
        </w:rPr>
      </w:pPr>
      <w:r w:rsidRPr="00041046">
        <w:rPr>
          <w:rStyle w:val="charBoldItals"/>
        </w:rPr>
        <w:t>approved form</w:t>
      </w:r>
      <w:r w:rsidRPr="00041046">
        <w:t xml:space="preserve"> means a form approved by the Regulator under section 735.</w:t>
      </w:r>
    </w:p>
    <w:p w14:paraId="137D01FB" w14:textId="77777777" w:rsidR="00DB6E47" w:rsidRPr="00041046" w:rsidRDefault="00DB6E47" w:rsidP="00DB6E47">
      <w:pPr>
        <w:pStyle w:val="aDef"/>
        <w:rPr>
          <w:bCs/>
        </w:rPr>
      </w:pPr>
      <w:r w:rsidRPr="00041046">
        <w:rPr>
          <w:rStyle w:val="charBoldItals"/>
        </w:rPr>
        <w:t>approved guidelines</w:t>
      </w:r>
      <w:r w:rsidRPr="00041046">
        <w:t xml:space="preserve"> means guidelines approved by the responsible Ministers under section 653.</w:t>
      </w:r>
    </w:p>
    <w:p w14:paraId="3DC1B215" w14:textId="77777777" w:rsidR="00DB6E47" w:rsidRPr="00041046" w:rsidRDefault="00DB6E47" w:rsidP="00DB6E47">
      <w:pPr>
        <w:pStyle w:val="aDef"/>
        <w:rPr>
          <w:bCs/>
        </w:rPr>
      </w:pPr>
      <w:r w:rsidRPr="00041046">
        <w:rPr>
          <w:rStyle w:val="charBoldItals"/>
        </w:rPr>
        <w:t>approved intelligent transport system</w:t>
      </w:r>
      <w:r w:rsidRPr="00041046">
        <w:t xml:space="preserve"> has the meaning given by section 403.</w:t>
      </w:r>
    </w:p>
    <w:p w14:paraId="4AD99670" w14:textId="77777777" w:rsidR="00DB6E47" w:rsidRPr="00041046" w:rsidRDefault="00DB6E47" w:rsidP="00DB6E47">
      <w:pPr>
        <w:pStyle w:val="aDef"/>
        <w:rPr>
          <w:bCs/>
        </w:rPr>
      </w:pPr>
      <w:r w:rsidRPr="00041046">
        <w:rPr>
          <w:rStyle w:val="charBoldItals"/>
        </w:rPr>
        <w:t>approved sleeper berth</w:t>
      </w:r>
      <w:r w:rsidRPr="00041046">
        <w:t>, for the purposes of Chapter 6, has the meaning given by section 221.</w:t>
      </w:r>
    </w:p>
    <w:p w14:paraId="186D131E" w14:textId="77777777" w:rsidR="00DB6E47" w:rsidRPr="00041046" w:rsidRDefault="00DB6E47" w:rsidP="00DB6E47">
      <w:pPr>
        <w:pStyle w:val="aDef"/>
        <w:rPr>
          <w:bCs/>
        </w:rPr>
      </w:pPr>
      <w:r w:rsidRPr="00041046">
        <w:rPr>
          <w:rStyle w:val="charBoldItals"/>
        </w:rPr>
        <w:t>approved vehicle examiner</w:t>
      </w:r>
      <w:r w:rsidRPr="00041046">
        <w:t xml:space="preserve"> means a person approved as a vehicle examiner under the national regulations (as referred to in section</w:t>
      </w:r>
      <w:r w:rsidR="000A3095">
        <w:t> </w:t>
      </w:r>
      <w:r w:rsidRPr="00041046">
        <w:t>731).</w:t>
      </w:r>
    </w:p>
    <w:p w14:paraId="2B8323DE" w14:textId="77777777" w:rsidR="00DB6E47" w:rsidRPr="00041046" w:rsidRDefault="00DB6E47" w:rsidP="00DB6E47">
      <w:pPr>
        <w:pStyle w:val="aDef"/>
        <w:rPr>
          <w:bCs/>
        </w:rPr>
      </w:pPr>
      <w:r w:rsidRPr="00041046">
        <w:rPr>
          <w:rStyle w:val="charBoldItals"/>
        </w:rPr>
        <w:t>articulated bus</w:t>
      </w:r>
      <w:r w:rsidRPr="00041046">
        <w:t xml:space="preserve"> means a bus with 2 or more rigid sections connected to one another in a way that allows—</w:t>
      </w:r>
    </w:p>
    <w:p w14:paraId="6103B771"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passenger access between the sections; and</w:t>
      </w:r>
    </w:p>
    <w:p w14:paraId="66A141F1" w14:textId="77777777" w:rsidR="00DB6E47" w:rsidRPr="00F04D8E" w:rsidRDefault="00DB6E47" w:rsidP="00DB6E47">
      <w:pPr>
        <w:pStyle w:val="aDefpara"/>
      </w:pPr>
      <w:r>
        <w:tab/>
      </w:r>
      <w:r w:rsidRPr="00F04D8E">
        <w:t>(b)</w:t>
      </w:r>
      <w:r w:rsidRPr="00F04D8E">
        <w:tab/>
        <w:t>rotary movement between the sections.</w:t>
      </w:r>
    </w:p>
    <w:p w14:paraId="536B96DD" w14:textId="77777777" w:rsidR="00DB6E47" w:rsidRPr="00041046" w:rsidRDefault="00DB6E47" w:rsidP="00DB6E47">
      <w:pPr>
        <w:pStyle w:val="aDef"/>
        <w:rPr>
          <w:bCs/>
        </w:rPr>
      </w:pPr>
      <w:r w:rsidRPr="00041046">
        <w:rPr>
          <w:rStyle w:val="charBoldItals"/>
        </w:rPr>
        <w:t>AS</w:t>
      </w:r>
      <w:r w:rsidRPr="00041046">
        <w:t xml:space="preserve"> means an Australian standard made or published by Standards Australia.</w:t>
      </w:r>
    </w:p>
    <w:p w14:paraId="61876DBB" w14:textId="77777777" w:rsidR="00DB6E47" w:rsidRPr="00041046" w:rsidRDefault="00DB6E47" w:rsidP="00DB6E47">
      <w:pPr>
        <w:pStyle w:val="aDef"/>
        <w:rPr>
          <w:bCs/>
        </w:rPr>
      </w:pPr>
      <w:r w:rsidRPr="00041046">
        <w:rPr>
          <w:rStyle w:val="charBoldItals"/>
        </w:rPr>
        <w:lastRenderedPageBreak/>
        <w:t>associate</w:t>
      </w:r>
      <w:r w:rsidRPr="00041046">
        <w:t>, of a person, means—</w:t>
      </w:r>
    </w:p>
    <w:p w14:paraId="238989C9" w14:textId="77777777" w:rsidR="00DB6E47" w:rsidRPr="00F04D8E" w:rsidRDefault="00DB6E47" w:rsidP="00DB6E47">
      <w:pPr>
        <w:pStyle w:val="aDefpara"/>
      </w:pPr>
      <w:r w:rsidRPr="00F04D8E">
        <w:rPr>
          <w:rFonts w:cs="Times"/>
          <w:bCs/>
        </w:rPr>
        <w:tab/>
        <w:t>(a)</w:t>
      </w:r>
      <w:r w:rsidRPr="00F04D8E">
        <w:rPr>
          <w:rFonts w:cs="Times"/>
          <w:bCs/>
        </w:rPr>
        <w:tab/>
        <w:t>if the person is an individual—</w:t>
      </w:r>
    </w:p>
    <w:p w14:paraId="6E77983E" w14:textId="77777777" w:rsidR="00DB6E47" w:rsidRPr="00F04D8E" w:rsidRDefault="00DB6E47" w:rsidP="00DB6E47">
      <w:pPr>
        <w:pStyle w:val="aDefsubpara"/>
      </w:pPr>
      <w:r w:rsidRPr="00F04D8E">
        <w:tab/>
        <w:t>(i)</w:t>
      </w:r>
      <w:r w:rsidRPr="00F04D8E">
        <w:tab/>
        <w:t>the individual’s spouse or de facto partner; or</w:t>
      </w:r>
    </w:p>
    <w:p w14:paraId="7D187383" w14:textId="77777777" w:rsidR="00DB6E47" w:rsidRPr="00F04D8E" w:rsidRDefault="00DB6E47" w:rsidP="00DB6E47">
      <w:pPr>
        <w:pStyle w:val="aDefsubpara"/>
      </w:pPr>
      <w:r w:rsidRPr="00F04D8E">
        <w:tab/>
        <w:t>(ii)</w:t>
      </w:r>
      <w:r w:rsidRPr="00F04D8E">
        <w:tab/>
        <w:t>a relative of the individual, whether by blood, spousal relationship or adoption; or</w:t>
      </w:r>
    </w:p>
    <w:p w14:paraId="2E14657F" w14:textId="77777777" w:rsidR="00DB6E47" w:rsidRPr="00F04D8E" w:rsidRDefault="00DB6E47" w:rsidP="00DB6E47">
      <w:pPr>
        <w:pStyle w:val="aDefsubpara"/>
      </w:pPr>
      <w:r w:rsidRPr="00F04D8E">
        <w:tab/>
        <w:t>(iii)</w:t>
      </w:r>
      <w:r w:rsidRPr="00F04D8E">
        <w:tab/>
        <w:t>an employee of the individual; or</w:t>
      </w:r>
    </w:p>
    <w:p w14:paraId="5F868B2E" w14:textId="77777777" w:rsidR="00DB6E47" w:rsidRPr="00F04D8E" w:rsidRDefault="00DB6E47" w:rsidP="00DB6E47">
      <w:pPr>
        <w:pStyle w:val="aDefsubpara"/>
      </w:pPr>
      <w:r w:rsidRPr="00F04D8E">
        <w:tab/>
        <w:t>(iv)</w:t>
      </w:r>
      <w:r w:rsidRPr="00F04D8E">
        <w:tab/>
        <w:t>an employee of a corporation of which the individual is an executive officer; or</w:t>
      </w:r>
    </w:p>
    <w:p w14:paraId="47965FF1" w14:textId="77777777" w:rsidR="00DB6E47" w:rsidRPr="00F04D8E" w:rsidRDefault="00DB6E47" w:rsidP="00DB6E47">
      <w:pPr>
        <w:pStyle w:val="aDefsubpara"/>
      </w:pPr>
      <w:r w:rsidRPr="00F04D8E">
        <w:tab/>
        <w:t>(v)</w:t>
      </w:r>
      <w:r w:rsidRPr="00F04D8E">
        <w:tab/>
        <w:t>a partner of the individual; or</w:t>
      </w:r>
    </w:p>
    <w:p w14:paraId="6EEB8088" w14:textId="77777777" w:rsidR="00DB6E47" w:rsidRPr="00F04D8E" w:rsidRDefault="00DB6E47" w:rsidP="00DB6E47">
      <w:pPr>
        <w:pStyle w:val="aDefsubpara"/>
      </w:pPr>
      <w:r w:rsidRPr="00F04D8E">
        <w:tab/>
        <w:t>(vi)</w:t>
      </w:r>
      <w:r w:rsidRPr="00F04D8E">
        <w:tab/>
        <w:t>a corporation of which the individual is an executive officer; or</w:t>
      </w:r>
    </w:p>
    <w:p w14:paraId="5BAED565" w14:textId="77777777" w:rsidR="00DB6E47" w:rsidRPr="00F04D8E" w:rsidRDefault="00DB6E47" w:rsidP="00DB6E47">
      <w:pPr>
        <w:pStyle w:val="aDefsubpara"/>
      </w:pPr>
      <w:r w:rsidRPr="00F04D8E">
        <w:tab/>
        <w:t>(vii)</w:t>
      </w:r>
      <w:r w:rsidRPr="00F04D8E">
        <w:tab/>
        <w:t>a corporation in which the individual holds a controlling interest; or</w:t>
      </w:r>
    </w:p>
    <w:p w14:paraId="5D3D646C" w14:textId="77777777" w:rsidR="00DB6E47" w:rsidRPr="00F04D8E" w:rsidRDefault="006A2141" w:rsidP="00DB6E47">
      <w:pPr>
        <w:pStyle w:val="aDefsubpara"/>
      </w:pPr>
      <w:r>
        <w:tab/>
      </w:r>
      <w:r w:rsidR="00DB6E47" w:rsidRPr="00F04D8E">
        <w:t>(viii)</w:t>
      </w:r>
      <w:r w:rsidR="00DB6E47" w:rsidRPr="00F04D8E">
        <w:tab/>
        <w:t>a person who is a trustee of a trust of which the individual is a trustee or beneficiary; or</w:t>
      </w:r>
    </w:p>
    <w:p w14:paraId="1742702F" w14:textId="77777777" w:rsidR="00DB6E47" w:rsidRPr="00F04D8E" w:rsidRDefault="006A2141" w:rsidP="00DB6E47">
      <w:pPr>
        <w:pStyle w:val="aDefsubpara"/>
      </w:pPr>
      <w:r>
        <w:tab/>
      </w:r>
      <w:r w:rsidR="00DB6E47" w:rsidRPr="00F04D8E">
        <w:t xml:space="preserve">(ix) </w:t>
      </w:r>
      <w:r w:rsidR="00DB6E47" w:rsidRPr="00F04D8E">
        <w:tab/>
        <w:t>a person who is a beneficiary of a trust of which the individual is a trustee or beneficiary; or</w:t>
      </w:r>
    </w:p>
    <w:p w14:paraId="6AD67298" w14:textId="77777777" w:rsidR="00DB6E47" w:rsidRPr="00F04D8E" w:rsidRDefault="00DB6E47" w:rsidP="00DB6E47">
      <w:pPr>
        <w:pStyle w:val="aDefsubpara"/>
      </w:pPr>
      <w:r>
        <w:tab/>
      </w:r>
      <w:r w:rsidRPr="00F04D8E">
        <w:t xml:space="preserve">(x) </w:t>
      </w:r>
      <w:r w:rsidRPr="00F04D8E">
        <w:tab/>
        <w:t>a person who is accustomed or under an obligation, whether formal or informal, to act in accordance with the directions, instructions or wishes of the individual; or</w:t>
      </w:r>
    </w:p>
    <w:p w14:paraId="3FF721E9" w14:textId="77777777" w:rsidR="00DB6E47" w:rsidRPr="00F04D8E" w:rsidRDefault="006A2141" w:rsidP="00DB6E47">
      <w:pPr>
        <w:pStyle w:val="aDefsubpara"/>
      </w:pPr>
      <w:r>
        <w:tab/>
      </w:r>
      <w:r w:rsidR="00DB6E47" w:rsidRPr="00F04D8E">
        <w:t xml:space="preserve">(xi) </w:t>
      </w:r>
      <w:r w:rsidR="00DB6E47" w:rsidRPr="00F04D8E">
        <w:tab/>
        <w:t>a person who is an associate of someone who is an associate of the individual; or</w:t>
      </w:r>
    </w:p>
    <w:p w14:paraId="06DCC8AE" w14:textId="77777777" w:rsidR="00DB6E47" w:rsidRPr="00F04D8E" w:rsidRDefault="00DB6E47" w:rsidP="00DB6E47">
      <w:pPr>
        <w:pStyle w:val="aDefpara"/>
      </w:pPr>
      <w:r w:rsidRPr="00F04D8E">
        <w:tab/>
        <w:t>(b)</w:t>
      </w:r>
      <w:r w:rsidRPr="00F04D8E">
        <w:tab/>
        <w:t>if the person is a corporation—</w:t>
      </w:r>
    </w:p>
    <w:p w14:paraId="5F0B774D" w14:textId="77777777" w:rsidR="00DB6E47" w:rsidRPr="00F04D8E" w:rsidRDefault="00DB6E47" w:rsidP="00DB6E47">
      <w:pPr>
        <w:pStyle w:val="aDefsubpara"/>
      </w:pPr>
      <w:r w:rsidRPr="00F04D8E">
        <w:tab/>
        <w:t>(i)</w:t>
      </w:r>
      <w:r w:rsidRPr="00F04D8E">
        <w:tab/>
        <w:t>an executive officer of the corporation; or</w:t>
      </w:r>
    </w:p>
    <w:p w14:paraId="55ECB8BC" w14:textId="77777777" w:rsidR="00DB6E47" w:rsidRPr="00F04D8E" w:rsidRDefault="00DB6E47" w:rsidP="00DB6E47">
      <w:pPr>
        <w:pStyle w:val="aDefsubpara"/>
      </w:pPr>
      <w:r w:rsidRPr="00F04D8E">
        <w:tab/>
        <w:t>(ii)</w:t>
      </w:r>
      <w:r w:rsidRPr="00F04D8E">
        <w:tab/>
        <w:t>an associate of an executive officer of the corporation; or</w:t>
      </w:r>
    </w:p>
    <w:p w14:paraId="7577F67C" w14:textId="77777777" w:rsidR="00DB6E47" w:rsidRPr="00F04D8E" w:rsidRDefault="00DB6E47" w:rsidP="00DB6E47">
      <w:pPr>
        <w:pStyle w:val="aDefsubpara"/>
      </w:pPr>
      <w:r w:rsidRPr="00F04D8E">
        <w:tab/>
        <w:t>(iii)</w:t>
      </w:r>
      <w:r w:rsidRPr="00F04D8E">
        <w:tab/>
        <w:t>an employee of the corporation; or</w:t>
      </w:r>
    </w:p>
    <w:p w14:paraId="1637EC5C" w14:textId="77777777" w:rsidR="00DB6E47" w:rsidRPr="00F04D8E" w:rsidRDefault="00DB6E47" w:rsidP="00DB6E47">
      <w:pPr>
        <w:pStyle w:val="aDefsubpara"/>
      </w:pPr>
      <w:r w:rsidRPr="00F04D8E">
        <w:lastRenderedPageBreak/>
        <w:tab/>
        <w:t>(iv)</w:t>
      </w:r>
      <w:r w:rsidRPr="00F04D8E">
        <w:tab/>
        <w:t>a person who holds a controlling interest in the corporation; or</w:t>
      </w:r>
    </w:p>
    <w:p w14:paraId="7A733BE4" w14:textId="5C739DC3" w:rsidR="00DB6E47" w:rsidRPr="006C3305" w:rsidRDefault="00DB6E47" w:rsidP="00DB6E47">
      <w:pPr>
        <w:pStyle w:val="aDefsubpara"/>
      </w:pPr>
      <w:r w:rsidRPr="00F04D8E">
        <w:tab/>
        <w:t>(v)</w:t>
      </w:r>
      <w:r w:rsidRPr="00F04D8E">
        <w:tab/>
        <w:t xml:space="preserve">a related body corporate, within the meaning of the </w:t>
      </w:r>
      <w:hyperlink r:id="rId27" w:tooltip="Act 2001 No 50 (Cwlth)" w:history="1">
        <w:r w:rsidR="006A2141" w:rsidRPr="006A2141">
          <w:rPr>
            <w:rStyle w:val="charCitHyperlinkItal"/>
          </w:rPr>
          <w:t>Corporations Act 2001</w:t>
        </w:r>
      </w:hyperlink>
      <w:r w:rsidRPr="006C3305">
        <w:t xml:space="preserve"> of the Commonwealth, of the corporation; or</w:t>
      </w:r>
    </w:p>
    <w:p w14:paraId="31CD9C0E" w14:textId="77777777" w:rsidR="00DB6E47" w:rsidRPr="00F04D8E" w:rsidRDefault="00DB6E47" w:rsidP="00DB6E47">
      <w:pPr>
        <w:pStyle w:val="aDefsubpara"/>
      </w:pPr>
      <w:r w:rsidRPr="00F04D8E">
        <w:tab/>
        <w:t>(vi)</w:t>
      </w:r>
      <w:r w:rsidRPr="00F04D8E">
        <w:tab/>
        <w:t>a person who is an associate of someone who is an associate of the corporation.</w:t>
      </w:r>
    </w:p>
    <w:p w14:paraId="37E8933D" w14:textId="77777777" w:rsidR="00DB6E47" w:rsidRPr="00041046" w:rsidRDefault="00DB6E47" w:rsidP="00DB6E47">
      <w:pPr>
        <w:pStyle w:val="aDef"/>
        <w:rPr>
          <w:bCs/>
        </w:rPr>
      </w:pPr>
      <w:r w:rsidRPr="00041046">
        <w:rPr>
          <w:rStyle w:val="charBoldItals"/>
        </w:rPr>
        <w:t>ATM</w:t>
      </w:r>
      <w:r w:rsidRPr="00041046">
        <w:t xml:space="preserve"> (aggregate trailer mass), of a heavy trailer, means the total maximum mass of the trailer, as stated by the manufacturer, together with its load and the mass imposed on the towing vehicle by the trailer when the towing vehicle and trailer are on a horizontal surface.</w:t>
      </w:r>
    </w:p>
    <w:p w14:paraId="70654FF1" w14:textId="77777777" w:rsidR="00DB6E47" w:rsidRPr="00041046" w:rsidRDefault="00DB6E47" w:rsidP="00DB6E47">
      <w:pPr>
        <w:pStyle w:val="aDef"/>
        <w:rPr>
          <w:bCs/>
        </w:rPr>
      </w:pPr>
      <w:r w:rsidRPr="00041046">
        <w:rPr>
          <w:rStyle w:val="charBoldItals"/>
        </w:rPr>
        <w:t>Australian Accounting Standards</w:t>
      </w:r>
      <w:r w:rsidRPr="00041046">
        <w:t xml:space="preserve"> means Accounting Standards issued by the Australian Accounting Standards Board.</w:t>
      </w:r>
    </w:p>
    <w:p w14:paraId="79B8C702" w14:textId="77777777" w:rsidR="00DB6E47" w:rsidRPr="00041046" w:rsidRDefault="00DB6E47" w:rsidP="00DB6E47">
      <w:pPr>
        <w:pStyle w:val="aDef"/>
        <w:rPr>
          <w:bCs/>
        </w:rPr>
      </w:pPr>
      <w:r w:rsidRPr="00041046">
        <w:rPr>
          <w:rStyle w:val="charBoldItals"/>
        </w:rPr>
        <w:t>Australian road law</w:t>
      </w:r>
      <w:r w:rsidRPr="00041046">
        <w:t xml:space="preserve"> means—</w:t>
      </w:r>
    </w:p>
    <w:p w14:paraId="40B79EAC" w14:textId="77777777" w:rsidR="00DB6E47" w:rsidRPr="00F04D8E" w:rsidRDefault="00DB6E47" w:rsidP="00DB6E47">
      <w:pPr>
        <w:pStyle w:val="aDefpara"/>
      </w:pPr>
      <w:r w:rsidRPr="00F04D8E">
        <w:rPr>
          <w:rFonts w:cs="Times"/>
          <w:bCs/>
        </w:rPr>
        <w:tab/>
        <w:t>(a)</w:t>
      </w:r>
      <w:r w:rsidRPr="00F04D8E">
        <w:rPr>
          <w:rFonts w:cs="Times"/>
          <w:bCs/>
        </w:rPr>
        <w:tab/>
        <w:t>this Law; or</w:t>
      </w:r>
    </w:p>
    <w:p w14:paraId="5F4F0B91" w14:textId="77777777" w:rsidR="00DB6E47" w:rsidRPr="00F04D8E" w:rsidRDefault="00DB6E47" w:rsidP="00DB6E47">
      <w:pPr>
        <w:pStyle w:val="aDefpara"/>
      </w:pPr>
      <w:r w:rsidRPr="00F04D8E">
        <w:tab/>
        <w:t>(b)</w:t>
      </w:r>
      <w:r w:rsidRPr="00F04D8E">
        <w:tab/>
        <w:t>another law of a State or Territory that regulates the use of vehicles on roads.</w:t>
      </w:r>
    </w:p>
    <w:p w14:paraId="767BA6C5" w14:textId="77777777" w:rsidR="00DB6E47" w:rsidRPr="00041046" w:rsidRDefault="00DB6E47" w:rsidP="00DB6E47">
      <w:pPr>
        <w:pStyle w:val="aDef"/>
        <w:rPr>
          <w:bCs/>
        </w:rPr>
      </w:pPr>
      <w:r w:rsidRPr="00041046">
        <w:rPr>
          <w:rStyle w:val="charBoldItals"/>
        </w:rPr>
        <w:t>authorised officer</w:t>
      </w:r>
      <w:r w:rsidRPr="00041046">
        <w:t xml:space="preserve"> means—</w:t>
      </w:r>
    </w:p>
    <w:p w14:paraId="00B9BF64" w14:textId="77777777" w:rsidR="00DB6E47" w:rsidRPr="00F04D8E" w:rsidRDefault="00DB6E47" w:rsidP="00DB6E47">
      <w:pPr>
        <w:pStyle w:val="aDefpara"/>
      </w:pPr>
      <w:r w:rsidRPr="00F04D8E">
        <w:rPr>
          <w:rFonts w:cs="Times"/>
          <w:bCs/>
        </w:rPr>
        <w:tab/>
        <w:t>(a)</w:t>
      </w:r>
      <w:r w:rsidRPr="00F04D8E">
        <w:rPr>
          <w:rFonts w:cs="Times"/>
          <w:bCs/>
        </w:rPr>
        <w:tab/>
        <w:t>a police officer declared by a law of a participating jurisdiction to be an authorised officer for the purposes of this Law; or</w:t>
      </w:r>
    </w:p>
    <w:p w14:paraId="70F0217D" w14:textId="77777777" w:rsidR="00DB6E47" w:rsidRPr="00F04D8E" w:rsidRDefault="00DB6E47" w:rsidP="00DB6E47">
      <w:pPr>
        <w:pStyle w:val="aDefpara"/>
      </w:pPr>
      <w:r w:rsidRPr="00F04D8E">
        <w:tab/>
        <w:t>(b)</w:t>
      </w:r>
      <w:r w:rsidRPr="00F04D8E">
        <w:tab/>
        <w:t>a person who holds office under this Law as an authorised officer.</w:t>
      </w:r>
    </w:p>
    <w:p w14:paraId="4741A129" w14:textId="77777777" w:rsidR="00DB6E47" w:rsidRPr="00041046" w:rsidRDefault="00DB6E47" w:rsidP="00DB6E47">
      <w:pPr>
        <w:pStyle w:val="aDef"/>
        <w:rPr>
          <w:bCs/>
        </w:rPr>
      </w:pPr>
      <w:r w:rsidRPr="00041046">
        <w:rPr>
          <w:rStyle w:val="charBoldItals"/>
        </w:rPr>
        <w:t>authorised use</w:t>
      </w:r>
      <w:r w:rsidRPr="00041046">
        <w:t>, for the purposes of Part 13.4, has the meaning given by section 727.</w:t>
      </w:r>
    </w:p>
    <w:p w14:paraId="3BD084BA" w14:textId="77777777" w:rsidR="00DB6E47" w:rsidRPr="00041046" w:rsidRDefault="00DB6E47" w:rsidP="00DB6E47">
      <w:pPr>
        <w:pStyle w:val="aDef"/>
        <w:rPr>
          <w:bCs/>
        </w:rPr>
      </w:pPr>
      <w:r w:rsidRPr="00041046">
        <w:rPr>
          <w:rStyle w:val="charBoldItals"/>
        </w:rPr>
        <w:t>authorised warrant official</w:t>
      </w:r>
      <w:r w:rsidRPr="00041046">
        <w:t>, for a participating jurisdiction, means an entity that is declared by a law of that jurisdiction to be an authorised warrant official for that jurisdiction for the purposes of this Law.</w:t>
      </w:r>
    </w:p>
    <w:p w14:paraId="49809D73" w14:textId="77777777" w:rsidR="00DB6E47" w:rsidRPr="00041046" w:rsidRDefault="00DB6E47" w:rsidP="00DB6E47">
      <w:pPr>
        <w:pStyle w:val="aDef"/>
        <w:rPr>
          <w:bCs/>
        </w:rPr>
      </w:pPr>
      <w:r w:rsidRPr="00041046">
        <w:rPr>
          <w:rStyle w:val="charBoldItals"/>
        </w:rPr>
        <w:t>axle</w:t>
      </w:r>
      <w:r w:rsidRPr="00041046">
        <w:t xml:space="preserve"> means 1 or more shafts positioned in a line across a vehicle, on which 1 or more wheels intended to support the vehicle turn.</w:t>
      </w:r>
    </w:p>
    <w:p w14:paraId="6625225C" w14:textId="77777777" w:rsidR="00DB6E47" w:rsidRPr="00041046" w:rsidRDefault="00DB6E47" w:rsidP="00DB6E47">
      <w:pPr>
        <w:pStyle w:val="aDef"/>
        <w:rPr>
          <w:bCs/>
        </w:rPr>
      </w:pPr>
      <w:r w:rsidRPr="00041046">
        <w:rPr>
          <w:rStyle w:val="charBoldItals"/>
        </w:rPr>
        <w:lastRenderedPageBreak/>
        <w:t>axle group</w:t>
      </w:r>
      <w:r w:rsidRPr="00041046">
        <w:t xml:space="preserve"> means a tandem axle group, twinsteer axle group, tri-axle group or quad-axle group.</w:t>
      </w:r>
    </w:p>
    <w:p w14:paraId="39A41E9B" w14:textId="77777777" w:rsidR="00DB6E47" w:rsidRPr="00041046" w:rsidRDefault="00DB6E47" w:rsidP="00D0776C">
      <w:pPr>
        <w:pStyle w:val="aDef"/>
        <w:keepNext/>
        <w:rPr>
          <w:bCs/>
        </w:rPr>
      </w:pPr>
      <w:r w:rsidRPr="00041046">
        <w:rPr>
          <w:rStyle w:val="charBoldItals"/>
        </w:rPr>
        <w:t>base</w:t>
      </w:r>
      <w:r w:rsidRPr="00041046">
        <w:t>, of the driver of a heavy vehicle—</w:t>
      </w:r>
    </w:p>
    <w:p w14:paraId="6836EB76" w14:textId="77777777" w:rsidR="00DB6E47" w:rsidRPr="006C3305" w:rsidRDefault="00DB6E47" w:rsidP="00D0776C">
      <w:pPr>
        <w:pStyle w:val="Amain"/>
        <w:keepNext/>
      </w:pPr>
      <w:r>
        <w:tab/>
      </w:r>
      <w:r w:rsidRPr="006C3305">
        <w:t xml:space="preserve">1 </w:t>
      </w:r>
      <w:r w:rsidRPr="006C3305">
        <w:tab/>
        <w:t xml:space="preserve">The </w:t>
      </w:r>
      <w:r w:rsidRPr="00FF4454">
        <w:rPr>
          <w:rStyle w:val="charItals"/>
        </w:rPr>
        <w:t>base</w:t>
      </w:r>
      <w:r w:rsidRPr="006C3305">
        <w:t xml:space="preserve"> of the driver of a heavy vehicle, in relation to particular work—</w:t>
      </w:r>
    </w:p>
    <w:p w14:paraId="1DF3EED4"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is the place from which the driver normally does the work; but</w:t>
      </w:r>
    </w:p>
    <w:p w14:paraId="321DF024" w14:textId="77777777" w:rsidR="00DB6E47" w:rsidRPr="00F04D8E" w:rsidRDefault="00DB6E47" w:rsidP="00DB6E47">
      <w:pPr>
        <w:pStyle w:val="aDefpara"/>
      </w:pPr>
      <w:r>
        <w:tab/>
      </w:r>
      <w:r w:rsidRPr="00F04D8E">
        <w:t>(b)</w:t>
      </w:r>
      <w:r w:rsidRPr="00F04D8E">
        <w:tab/>
        <w:t>is, for the purposes of Chapter 6, the garage address of the vehicle if—</w:t>
      </w:r>
    </w:p>
    <w:p w14:paraId="4192669A" w14:textId="77777777" w:rsidR="00DB6E47" w:rsidRPr="00F04D8E" w:rsidRDefault="00DB6E47" w:rsidP="00DB6E47">
      <w:pPr>
        <w:pStyle w:val="aDefsubpara"/>
      </w:pPr>
      <w:r>
        <w:tab/>
      </w:r>
      <w:r w:rsidRPr="00F04D8E">
        <w:t>(i)</w:t>
      </w:r>
      <w:r w:rsidRPr="00F04D8E">
        <w:tab/>
        <w:t>the vehicle is a fatigue-regulated heavy vehicle; and</w:t>
      </w:r>
    </w:p>
    <w:p w14:paraId="2876ED66" w14:textId="77777777" w:rsidR="00DB6E47" w:rsidRPr="00F04D8E" w:rsidRDefault="00DB6E47" w:rsidP="00DB6E47">
      <w:pPr>
        <w:pStyle w:val="aDefsubpara"/>
      </w:pPr>
      <w:r>
        <w:tab/>
      </w:r>
      <w:r w:rsidRPr="00F04D8E">
        <w:t>(ii)</w:t>
      </w:r>
      <w:r w:rsidRPr="00F04D8E">
        <w:tab/>
        <w:t>the driver is required under Part 6.4, in relation to that particular work, to keep a work diary and to record the location of the driver’s base in the work diary, and has not done so.</w:t>
      </w:r>
    </w:p>
    <w:p w14:paraId="757E3885" w14:textId="77777777" w:rsidR="00DB6E47" w:rsidRPr="007E1F9A" w:rsidRDefault="00DB6E47" w:rsidP="00DB6E47">
      <w:pPr>
        <w:pStyle w:val="aNotepar"/>
      </w:pPr>
      <w:r w:rsidRPr="00FF4454">
        <w:rPr>
          <w:rStyle w:val="charItals"/>
        </w:rPr>
        <w:t>Note</w:t>
      </w:r>
      <w:r w:rsidRPr="00C96203">
        <w:t>—</w:t>
      </w:r>
    </w:p>
    <w:p w14:paraId="064B37B0" w14:textId="77777777" w:rsidR="00DB6E47" w:rsidRPr="007E1F9A" w:rsidRDefault="00DB6E47" w:rsidP="00DB6E47">
      <w:pPr>
        <w:pStyle w:val="aNoteTextpar"/>
      </w:pPr>
      <w:r w:rsidRPr="007E1F9A">
        <w:t>The driver of a fatigue-regulated heavy vehicle may not be required under Part 6.4, in relation to particular work, to keep a work diary and to record the location of the driver’s base in the work diary, if, for example—</w:t>
      </w:r>
    </w:p>
    <w:p w14:paraId="0EA407AC" w14:textId="77777777" w:rsidR="00DB6E47" w:rsidRPr="007E1F9A" w:rsidRDefault="00DB6E47" w:rsidP="00DB6E47">
      <w:pPr>
        <w:pStyle w:val="aNoteBulletpar"/>
      </w:pPr>
      <w:r w:rsidRPr="007E1F9A">
        <w:t xml:space="preserve">• </w:t>
      </w:r>
      <w:r w:rsidRPr="007E1F9A">
        <w:tab/>
        <w:t>the driver is undertaking 100km work under standard hours</w:t>
      </w:r>
    </w:p>
    <w:p w14:paraId="45C715D2" w14:textId="77777777" w:rsidR="00DB6E47" w:rsidRPr="007E1F9A" w:rsidRDefault="00DB6E47" w:rsidP="00DB6E47">
      <w:pPr>
        <w:pStyle w:val="aNoteBulletpar"/>
      </w:pPr>
      <w:r w:rsidRPr="007E1F9A">
        <w:t xml:space="preserve">• </w:t>
      </w:r>
      <w:r w:rsidRPr="007E1F9A">
        <w:tab/>
        <w:t>the driver is working under a work diary exemption</w:t>
      </w:r>
    </w:p>
    <w:p w14:paraId="019CE5F2" w14:textId="77777777" w:rsidR="00DB6E47" w:rsidRPr="006C3305" w:rsidRDefault="00DB6E47" w:rsidP="00DB6E47">
      <w:pPr>
        <w:pStyle w:val="Amain"/>
      </w:pPr>
      <w:r>
        <w:tab/>
      </w:r>
      <w:r w:rsidRPr="006C3305">
        <w:t xml:space="preserve">2 </w:t>
      </w:r>
      <w:r w:rsidRPr="006C3305">
        <w:tab/>
        <w:t>For a driver who is a self-employed driver and an employed driver at different times, the driver may have one base as a self-employed driver under paragraph 1 and another base as an employed driver under that paragraph.</w:t>
      </w:r>
    </w:p>
    <w:p w14:paraId="7B2E216B" w14:textId="77777777" w:rsidR="00DB6E47" w:rsidRPr="006C3305" w:rsidRDefault="00DB6E47" w:rsidP="00DB6E47">
      <w:pPr>
        <w:pStyle w:val="Amain"/>
      </w:pPr>
      <w:r>
        <w:tab/>
      </w:r>
      <w:r w:rsidRPr="006C3305">
        <w:t xml:space="preserve">3 </w:t>
      </w:r>
      <w:r w:rsidRPr="006C3305">
        <w:tab/>
        <w:t>For a driver who has 2 or more employers, the driver may have a different base in relation to each employer under paragraph 1.</w:t>
      </w:r>
    </w:p>
    <w:p w14:paraId="33C50208" w14:textId="77777777" w:rsidR="00DB6E47" w:rsidRPr="00041046" w:rsidRDefault="00DB6E47" w:rsidP="00973177">
      <w:pPr>
        <w:pStyle w:val="aDef"/>
        <w:keepNext/>
        <w:keepLines/>
        <w:rPr>
          <w:bCs/>
        </w:rPr>
      </w:pPr>
      <w:r w:rsidRPr="00041046">
        <w:rPr>
          <w:rStyle w:val="charBoldItals"/>
        </w:rPr>
        <w:lastRenderedPageBreak/>
        <w:t>B-double</w:t>
      </w:r>
      <w:r w:rsidRPr="00041046">
        <w:t xml:space="preserve"> means a combination consisting of a prime mover towing 2 semitrailers, with the first semitrailer being attached directly to the prime mover by a fifth wheel coupling and the second semitrailer being mounted on the rear of the first semitrailer by a fifth wheel coupling on the first semitrailer. </w:t>
      </w:r>
    </w:p>
    <w:p w14:paraId="27EBAB2C" w14:textId="77777777" w:rsidR="00DB6E47" w:rsidRPr="007E1F9A" w:rsidRDefault="00DB6E47" w:rsidP="00DB6E47">
      <w:pPr>
        <w:jc w:val="center"/>
      </w:pPr>
      <w:r>
        <w:rPr>
          <w:noProof/>
          <w:lang w:eastAsia="en-AU"/>
        </w:rPr>
        <w:drawing>
          <wp:inline distT="0" distB="0" distL="0" distR="0" wp14:anchorId="2E607512" wp14:editId="457801FD">
            <wp:extent cx="4893945" cy="1221241"/>
            <wp:effectExtent l="19050" t="0" r="1905"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srcRect/>
                    <a:stretch>
                      <a:fillRect/>
                    </a:stretch>
                  </pic:blipFill>
                  <pic:spPr bwMode="auto">
                    <a:xfrm>
                      <a:off x="0" y="0"/>
                      <a:ext cx="4893945" cy="1221241"/>
                    </a:xfrm>
                    <a:prstGeom prst="rect">
                      <a:avLst/>
                    </a:prstGeom>
                    <a:noFill/>
                    <a:ln w="9525">
                      <a:noFill/>
                      <a:miter lim="800000"/>
                      <a:headEnd/>
                      <a:tailEnd/>
                    </a:ln>
                  </pic:spPr>
                </pic:pic>
              </a:graphicData>
            </a:graphic>
          </wp:inline>
        </w:drawing>
      </w:r>
    </w:p>
    <w:p w14:paraId="17128EA7" w14:textId="77777777" w:rsidR="001A1E86" w:rsidRDefault="001A1E86" w:rsidP="00DB6E47">
      <w:pPr>
        <w:pStyle w:val="aDef"/>
      </w:pPr>
      <w:r w:rsidRPr="001A1E86">
        <w:rPr>
          <w:rStyle w:val="charBoldItals"/>
        </w:rPr>
        <w:t>B-triple</w:t>
      </w:r>
      <w:r>
        <w:rPr>
          <w:b/>
          <w:bCs/>
          <w:i/>
        </w:rPr>
        <w:t xml:space="preserve"> </w:t>
      </w:r>
      <w:r w:rsidRPr="00591CFE">
        <w:t>means a combination consisting of a prime mover towing 3 semitrailers, with—</w:t>
      </w:r>
    </w:p>
    <w:p w14:paraId="3DF76413" w14:textId="77777777" w:rsidR="00591CFE" w:rsidRDefault="00591CFE" w:rsidP="00591CFE">
      <w:pPr>
        <w:pStyle w:val="aDefpara"/>
      </w:pPr>
      <w:r>
        <w:tab/>
        <w:t>(a)</w:t>
      </w:r>
      <w:r>
        <w:tab/>
        <w:t>the</w:t>
      </w:r>
      <w:r>
        <w:rPr>
          <w:spacing w:val="39"/>
        </w:rPr>
        <w:t xml:space="preserve"> </w:t>
      </w:r>
      <w:r>
        <w:rPr>
          <w:spacing w:val="-2"/>
        </w:rPr>
        <w:t>first</w:t>
      </w:r>
      <w:r>
        <w:rPr>
          <w:spacing w:val="39"/>
        </w:rPr>
        <w:t xml:space="preserve"> </w:t>
      </w:r>
      <w:r>
        <w:t>semitrailer</w:t>
      </w:r>
      <w:r>
        <w:rPr>
          <w:spacing w:val="38"/>
        </w:rPr>
        <w:t xml:space="preserve"> </w:t>
      </w:r>
      <w:r>
        <w:t>being</w:t>
      </w:r>
      <w:r>
        <w:rPr>
          <w:spacing w:val="38"/>
        </w:rPr>
        <w:t xml:space="preserve"> </w:t>
      </w:r>
      <w:r>
        <w:t>attached</w:t>
      </w:r>
      <w:r>
        <w:rPr>
          <w:spacing w:val="38"/>
        </w:rPr>
        <w:t xml:space="preserve"> </w:t>
      </w:r>
      <w:r>
        <w:t>directly</w:t>
      </w:r>
      <w:r>
        <w:rPr>
          <w:spacing w:val="34"/>
        </w:rPr>
        <w:t xml:space="preserve"> </w:t>
      </w:r>
      <w:r>
        <w:t>to</w:t>
      </w:r>
      <w:r>
        <w:rPr>
          <w:spacing w:val="2"/>
        </w:rPr>
        <w:t xml:space="preserve"> </w:t>
      </w:r>
      <w:r>
        <w:t>the</w:t>
      </w:r>
      <w:r>
        <w:rPr>
          <w:spacing w:val="3"/>
        </w:rPr>
        <w:t xml:space="preserve"> </w:t>
      </w:r>
      <w:r>
        <w:t>prime</w:t>
      </w:r>
      <w:r>
        <w:rPr>
          <w:spacing w:val="3"/>
        </w:rPr>
        <w:t xml:space="preserve"> </w:t>
      </w:r>
      <w:r>
        <w:rPr>
          <w:spacing w:val="-2"/>
        </w:rPr>
        <w:t>mover</w:t>
      </w:r>
      <w:r>
        <w:rPr>
          <w:spacing w:val="3"/>
        </w:rPr>
        <w:t xml:space="preserve"> </w:t>
      </w:r>
      <w:r>
        <w:t>by</w:t>
      </w:r>
      <w:r>
        <w:rPr>
          <w:spacing w:val="3"/>
        </w:rPr>
        <w:t xml:space="preserve"> </w:t>
      </w:r>
      <w:r>
        <w:t>a</w:t>
      </w:r>
      <w:r>
        <w:rPr>
          <w:spacing w:val="3"/>
        </w:rPr>
        <w:t xml:space="preserve"> </w:t>
      </w:r>
      <w:r>
        <w:rPr>
          <w:spacing w:val="-2"/>
        </w:rPr>
        <w:t>fifth</w:t>
      </w:r>
      <w:r>
        <w:rPr>
          <w:spacing w:val="3"/>
        </w:rPr>
        <w:t xml:space="preserve"> </w:t>
      </w:r>
      <w:r>
        <w:t>wheel</w:t>
      </w:r>
      <w:r>
        <w:rPr>
          <w:spacing w:val="27"/>
        </w:rPr>
        <w:t xml:space="preserve"> </w:t>
      </w:r>
      <w:r>
        <w:t>coupling; and</w:t>
      </w:r>
    </w:p>
    <w:p w14:paraId="56C70AB6" w14:textId="77777777" w:rsidR="00591CFE" w:rsidRDefault="00591CFE" w:rsidP="00591CFE">
      <w:pPr>
        <w:pStyle w:val="aDefpara"/>
      </w:pPr>
      <w:r>
        <w:tab/>
        <w:t>(b)</w:t>
      </w:r>
      <w:r>
        <w:tab/>
        <w:t>the</w:t>
      </w:r>
      <w:r>
        <w:rPr>
          <w:spacing w:val="1"/>
        </w:rPr>
        <w:t xml:space="preserve"> </w:t>
      </w:r>
      <w:r>
        <w:t>second</w:t>
      </w:r>
      <w:r>
        <w:rPr>
          <w:spacing w:val="1"/>
        </w:rPr>
        <w:t xml:space="preserve"> </w:t>
      </w:r>
      <w:r>
        <w:t>semitrailer being</w:t>
      </w:r>
      <w:r>
        <w:rPr>
          <w:spacing w:val="2"/>
        </w:rPr>
        <w:t xml:space="preserve"> </w:t>
      </w:r>
      <w:r>
        <w:t>mounted</w:t>
      </w:r>
      <w:r>
        <w:rPr>
          <w:spacing w:val="2"/>
        </w:rPr>
        <w:t xml:space="preserve"> </w:t>
      </w:r>
      <w:r>
        <w:t>on</w:t>
      </w:r>
      <w:r>
        <w:rPr>
          <w:spacing w:val="2"/>
        </w:rPr>
        <w:t xml:space="preserve"> </w:t>
      </w:r>
      <w:r>
        <w:t>the</w:t>
      </w:r>
      <w:r>
        <w:rPr>
          <w:spacing w:val="27"/>
        </w:rPr>
        <w:t xml:space="preserve"> </w:t>
      </w:r>
      <w:r>
        <w:t>rear</w:t>
      </w:r>
      <w:r>
        <w:rPr>
          <w:spacing w:val="21"/>
        </w:rPr>
        <w:t xml:space="preserve"> </w:t>
      </w:r>
      <w:r>
        <w:t>of</w:t>
      </w:r>
      <w:r>
        <w:rPr>
          <w:spacing w:val="21"/>
        </w:rPr>
        <w:t xml:space="preserve"> </w:t>
      </w:r>
      <w:r>
        <w:t>the</w:t>
      </w:r>
      <w:r>
        <w:rPr>
          <w:spacing w:val="21"/>
        </w:rPr>
        <w:t xml:space="preserve"> </w:t>
      </w:r>
      <w:r>
        <w:t>first</w:t>
      </w:r>
      <w:r>
        <w:rPr>
          <w:spacing w:val="21"/>
        </w:rPr>
        <w:t xml:space="preserve"> </w:t>
      </w:r>
      <w:r>
        <w:t>semitrailer</w:t>
      </w:r>
      <w:r>
        <w:rPr>
          <w:spacing w:val="22"/>
        </w:rPr>
        <w:t xml:space="preserve"> </w:t>
      </w:r>
      <w:r>
        <w:t>by</w:t>
      </w:r>
      <w:r>
        <w:rPr>
          <w:spacing w:val="22"/>
        </w:rPr>
        <w:t xml:space="preserve"> </w:t>
      </w:r>
      <w:r>
        <w:t>a</w:t>
      </w:r>
      <w:r>
        <w:rPr>
          <w:spacing w:val="22"/>
        </w:rPr>
        <w:t xml:space="preserve"> </w:t>
      </w:r>
      <w:r>
        <w:rPr>
          <w:spacing w:val="-2"/>
        </w:rPr>
        <w:t>fifth</w:t>
      </w:r>
      <w:r>
        <w:rPr>
          <w:spacing w:val="22"/>
        </w:rPr>
        <w:t xml:space="preserve"> </w:t>
      </w:r>
      <w:r>
        <w:t>wheel</w:t>
      </w:r>
      <w:r>
        <w:rPr>
          <w:spacing w:val="27"/>
        </w:rPr>
        <w:t xml:space="preserve"> </w:t>
      </w:r>
      <w:r>
        <w:t xml:space="preserve">coupling on the </w:t>
      </w:r>
      <w:r>
        <w:rPr>
          <w:spacing w:val="-2"/>
        </w:rPr>
        <w:t>first</w:t>
      </w:r>
      <w:r>
        <w:t xml:space="preserve"> semitrailer; and</w:t>
      </w:r>
    </w:p>
    <w:p w14:paraId="2CF2D1D8" w14:textId="77777777" w:rsidR="00591CFE" w:rsidRDefault="00591CFE" w:rsidP="00591CFE">
      <w:pPr>
        <w:pStyle w:val="aDefpara"/>
        <w:rPr>
          <w:spacing w:val="-2"/>
        </w:rPr>
      </w:pPr>
      <w:r>
        <w:rPr>
          <w:spacing w:val="-1"/>
        </w:rPr>
        <w:tab/>
        <w:t>(c)</w:t>
      </w:r>
      <w:r>
        <w:rPr>
          <w:spacing w:val="-1"/>
        </w:rPr>
        <w:tab/>
        <w:t>the</w:t>
      </w:r>
      <w:r>
        <w:rPr>
          <w:spacing w:val="37"/>
        </w:rPr>
        <w:t xml:space="preserve"> </w:t>
      </w:r>
      <w:r>
        <w:rPr>
          <w:spacing w:val="-1"/>
        </w:rPr>
        <w:t>third</w:t>
      </w:r>
      <w:r>
        <w:rPr>
          <w:spacing w:val="37"/>
        </w:rPr>
        <w:t xml:space="preserve"> </w:t>
      </w:r>
      <w:r>
        <w:rPr>
          <w:spacing w:val="-1"/>
        </w:rPr>
        <w:t>semitrailer</w:t>
      </w:r>
      <w:r>
        <w:rPr>
          <w:spacing w:val="36"/>
        </w:rPr>
        <w:t xml:space="preserve"> </w:t>
      </w:r>
      <w:r>
        <w:t>being</w:t>
      </w:r>
      <w:r>
        <w:rPr>
          <w:spacing w:val="36"/>
        </w:rPr>
        <w:t xml:space="preserve"> </w:t>
      </w:r>
      <w:r>
        <w:t>mounted</w:t>
      </w:r>
      <w:r>
        <w:rPr>
          <w:spacing w:val="36"/>
        </w:rPr>
        <w:t xml:space="preserve"> </w:t>
      </w:r>
      <w:r>
        <w:t>on</w:t>
      </w:r>
      <w:r>
        <w:rPr>
          <w:spacing w:val="36"/>
        </w:rPr>
        <w:t xml:space="preserve"> </w:t>
      </w:r>
      <w:r>
        <w:t>the</w:t>
      </w:r>
      <w:r>
        <w:rPr>
          <w:spacing w:val="26"/>
        </w:rPr>
        <w:t xml:space="preserve"> </w:t>
      </w:r>
      <w:r>
        <w:t>rear</w:t>
      </w:r>
      <w:r>
        <w:rPr>
          <w:spacing w:val="15"/>
        </w:rPr>
        <w:t xml:space="preserve"> </w:t>
      </w:r>
      <w:r>
        <w:t>of</w:t>
      </w:r>
      <w:r>
        <w:rPr>
          <w:spacing w:val="15"/>
        </w:rPr>
        <w:t xml:space="preserve"> </w:t>
      </w:r>
      <w:r>
        <w:t>the</w:t>
      </w:r>
      <w:r>
        <w:rPr>
          <w:spacing w:val="15"/>
        </w:rPr>
        <w:t xml:space="preserve"> </w:t>
      </w:r>
      <w:r>
        <w:t>second</w:t>
      </w:r>
      <w:r>
        <w:rPr>
          <w:spacing w:val="15"/>
        </w:rPr>
        <w:t xml:space="preserve"> </w:t>
      </w:r>
      <w:r>
        <w:rPr>
          <w:spacing w:val="-1"/>
        </w:rPr>
        <w:t>semitrailer</w:t>
      </w:r>
      <w:r>
        <w:rPr>
          <w:spacing w:val="15"/>
        </w:rPr>
        <w:t xml:space="preserve"> </w:t>
      </w:r>
      <w:r>
        <w:rPr>
          <w:spacing w:val="-1"/>
        </w:rPr>
        <w:t>by</w:t>
      </w:r>
      <w:r>
        <w:rPr>
          <w:spacing w:val="15"/>
        </w:rPr>
        <w:t xml:space="preserve"> </w:t>
      </w:r>
      <w:r>
        <w:t>a</w:t>
      </w:r>
      <w:r>
        <w:rPr>
          <w:spacing w:val="15"/>
        </w:rPr>
        <w:t xml:space="preserve"> </w:t>
      </w:r>
      <w:r>
        <w:rPr>
          <w:spacing w:val="-2"/>
        </w:rPr>
        <w:t>fifth</w:t>
      </w:r>
      <w:r>
        <w:rPr>
          <w:spacing w:val="22"/>
        </w:rPr>
        <w:t xml:space="preserve"> </w:t>
      </w:r>
      <w:r>
        <w:rPr>
          <w:spacing w:val="-1"/>
        </w:rPr>
        <w:t xml:space="preserve">wheel coupling on the second </w:t>
      </w:r>
      <w:r>
        <w:rPr>
          <w:spacing w:val="-2"/>
        </w:rPr>
        <w:t>semitrailer.</w:t>
      </w:r>
    </w:p>
    <w:p w14:paraId="7A690A41" w14:textId="77777777" w:rsidR="00591CFE" w:rsidRDefault="00591CFE" w:rsidP="00591CFE">
      <w:pPr>
        <w:spacing w:line="200" w:lineRule="atLeast"/>
        <w:ind w:left="236"/>
        <w:rPr>
          <w:sz w:val="20"/>
        </w:rPr>
      </w:pPr>
      <w:r>
        <w:rPr>
          <w:noProof/>
          <w:sz w:val="20"/>
          <w:lang w:eastAsia="en-AU"/>
        </w:rPr>
        <w:drawing>
          <wp:inline distT="0" distB="0" distL="0" distR="0" wp14:anchorId="27F12792" wp14:editId="6987CBA7">
            <wp:extent cx="4461532" cy="614362"/>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9" cstate="print"/>
                    <a:stretch>
                      <a:fillRect/>
                    </a:stretch>
                  </pic:blipFill>
                  <pic:spPr>
                    <a:xfrm>
                      <a:off x="0" y="0"/>
                      <a:ext cx="4461532" cy="614362"/>
                    </a:xfrm>
                    <a:prstGeom prst="rect">
                      <a:avLst/>
                    </a:prstGeom>
                  </pic:spPr>
                </pic:pic>
              </a:graphicData>
            </a:graphic>
          </wp:inline>
        </w:drawing>
      </w:r>
    </w:p>
    <w:p w14:paraId="2ABB680F" w14:textId="77777777" w:rsidR="00591CFE" w:rsidRPr="00591CFE" w:rsidRDefault="00591CFE" w:rsidP="00591CFE">
      <w:pPr>
        <w:spacing w:before="213"/>
        <w:ind w:left="2078" w:right="2074"/>
        <w:jc w:val="center"/>
        <w:rPr>
          <w:rFonts w:ascii="Arial" w:hAnsi="Arial" w:cs="Arial"/>
          <w:szCs w:val="24"/>
        </w:rPr>
      </w:pPr>
      <w:r w:rsidRPr="00591CFE">
        <w:rPr>
          <w:rFonts w:ascii="Arial" w:hAnsi="Arial" w:cs="Arial"/>
          <w:b/>
          <w:spacing w:val="-3"/>
          <w:szCs w:val="24"/>
        </w:rPr>
        <w:t>Typical</w:t>
      </w:r>
      <w:r w:rsidRPr="00591CFE">
        <w:rPr>
          <w:rFonts w:ascii="Arial" w:hAnsi="Arial" w:cs="Arial"/>
          <w:b/>
          <w:spacing w:val="-14"/>
          <w:szCs w:val="24"/>
        </w:rPr>
        <w:t xml:space="preserve"> </w:t>
      </w:r>
      <w:r w:rsidRPr="00591CFE">
        <w:rPr>
          <w:rFonts w:ascii="Arial" w:hAnsi="Arial" w:cs="Arial"/>
          <w:b/>
          <w:spacing w:val="-1"/>
          <w:szCs w:val="24"/>
        </w:rPr>
        <w:t>B-triple</w:t>
      </w:r>
    </w:p>
    <w:p w14:paraId="7293D872" w14:textId="77777777" w:rsidR="00DB6E47" w:rsidRPr="00041046" w:rsidRDefault="00DB6E47" w:rsidP="00DB6E47">
      <w:pPr>
        <w:pStyle w:val="aDef"/>
        <w:rPr>
          <w:bCs/>
        </w:rPr>
      </w:pPr>
      <w:r w:rsidRPr="00041046">
        <w:rPr>
          <w:rStyle w:val="charBoldItals"/>
        </w:rPr>
        <w:t>BFM accreditation</w:t>
      </w:r>
      <w:r w:rsidRPr="00041046">
        <w:t xml:space="preserve"> means—</w:t>
      </w:r>
    </w:p>
    <w:p w14:paraId="2CE374D1"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r>
      <w:r w:rsidR="00C31958">
        <w:rPr>
          <w:spacing w:val="-1"/>
        </w:rPr>
        <w:t>BFM</w:t>
      </w:r>
      <w:r w:rsidR="00C31958">
        <w:rPr>
          <w:spacing w:val="22"/>
        </w:rPr>
        <w:t xml:space="preserve"> </w:t>
      </w:r>
      <w:r w:rsidR="00C31958">
        <w:rPr>
          <w:spacing w:val="-1"/>
        </w:rPr>
        <w:t>accreditation</w:t>
      </w:r>
      <w:r w:rsidR="00C31958">
        <w:rPr>
          <w:spacing w:val="22"/>
        </w:rPr>
        <w:t xml:space="preserve"> </w:t>
      </w:r>
      <w:r w:rsidR="00C31958">
        <w:rPr>
          <w:spacing w:val="-1"/>
        </w:rPr>
        <w:t>granted</w:t>
      </w:r>
      <w:r w:rsidR="00C31958">
        <w:rPr>
          <w:spacing w:val="22"/>
        </w:rPr>
        <w:t xml:space="preserve"> </w:t>
      </w:r>
      <w:r w:rsidR="00C31958">
        <w:rPr>
          <w:spacing w:val="-1"/>
        </w:rPr>
        <w:t>under</w:t>
      </w:r>
      <w:r w:rsidR="00C31958">
        <w:rPr>
          <w:spacing w:val="22"/>
        </w:rPr>
        <w:t xml:space="preserve"> </w:t>
      </w:r>
      <w:r w:rsidR="00C31958">
        <w:rPr>
          <w:spacing w:val="-1"/>
        </w:rPr>
        <w:t>section</w:t>
      </w:r>
      <w:r w:rsidR="00C31958">
        <w:rPr>
          <w:spacing w:val="24"/>
        </w:rPr>
        <w:t xml:space="preserve"> </w:t>
      </w:r>
      <w:r w:rsidR="00C31958">
        <w:rPr>
          <w:spacing w:val="-1"/>
        </w:rPr>
        <w:t>458; or</w:t>
      </w:r>
    </w:p>
    <w:p w14:paraId="2D0542E1" w14:textId="77777777" w:rsidR="00DB6E47" w:rsidRPr="00F04D8E" w:rsidRDefault="00DB6E47" w:rsidP="00DB6E47">
      <w:pPr>
        <w:pStyle w:val="aDefpara"/>
      </w:pPr>
      <w:r>
        <w:tab/>
      </w:r>
      <w:r w:rsidRPr="00F04D8E">
        <w:t>(b)</w:t>
      </w:r>
      <w:r w:rsidRPr="00F04D8E">
        <w:tab/>
        <w:t>accreditation of a similar kind under another law of a participating jurisdiction.</w:t>
      </w:r>
    </w:p>
    <w:p w14:paraId="3DE37A1F" w14:textId="77777777" w:rsidR="00DB6E47" w:rsidRPr="00041046" w:rsidRDefault="00DB6E47" w:rsidP="00DB6E47">
      <w:pPr>
        <w:pStyle w:val="aDef"/>
        <w:rPr>
          <w:bCs/>
        </w:rPr>
      </w:pPr>
      <w:r w:rsidRPr="00041046">
        <w:rPr>
          <w:rStyle w:val="charBoldItals"/>
        </w:rPr>
        <w:lastRenderedPageBreak/>
        <w:t>BFM fatigue management system</w:t>
      </w:r>
      <w:r w:rsidRPr="00041046">
        <w:t>, for the purposes of Chapter 8, has the meaning given by section 457.</w:t>
      </w:r>
    </w:p>
    <w:p w14:paraId="5AD0BC92" w14:textId="77777777" w:rsidR="00DB6E47" w:rsidRPr="00041046" w:rsidRDefault="00DB6E47" w:rsidP="00DB6E47">
      <w:pPr>
        <w:pStyle w:val="aDef"/>
        <w:rPr>
          <w:bCs/>
        </w:rPr>
      </w:pPr>
      <w:r w:rsidRPr="00041046">
        <w:rPr>
          <w:rStyle w:val="charBoldItals"/>
        </w:rPr>
        <w:t>BFM hours</w:t>
      </w:r>
      <w:r w:rsidRPr="00041046">
        <w:t>, for the purposes of Chapters 6 and 8, has the meaning given by section 253.</w:t>
      </w:r>
    </w:p>
    <w:p w14:paraId="14DF078E" w14:textId="77777777" w:rsidR="00DB6E47" w:rsidRPr="00041046" w:rsidRDefault="00DB6E47" w:rsidP="00DB6E47">
      <w:pPr>
        <w:pStyle w:val="aDef"/>
        <w:rPr>
          <w:bCs/>
        </w:rPr>
      </w:pPr>
      <w:r w:rsidRPr="00041046">
        <w:rPr>
          <w:rStyle w:val="charBoldItals"/>
        </w:rPr>
        <w:t>BFM standards and business rules</w:t>
      </w:r>
      <w:r w:rsidRPr="00041046">
        <w:t>, for the purposes of Chapter 8, has the meaning given by section 457.</w:t>
      </w:r>
    </w:p>
    <w:p w14:paraId="4B31963F" w14:textId="77777777" w:rsidR="00DB6E47" w:rsidRPr="00041046" w:rsidRDefault="00DB6E47" w:rsidP="00DB6E47">
      <w:pPr>
        <w:pStyle w:val="aDef"/>
        <w:rPr>
          <w:bCs/>
        </w:rPr>
      </w:pPr>
      <w:r w:rsidRPr="00041046">
        <w:rPr>
          <w:rStyle w:val="charBoldItals"/>
        </w:rPr>
        <w:t>Board</w:t>
      </w:r>
      <w:r w:rsidRPr="00041046">
        <w:t xml:space="preserve"> means the National Heavy Vehicle Regulator Board established under section 662.</w:t>
      </w:r>
    </w:p>
    <w:p w14:paraId="485DC98D" w14:textId="77777777" w:rsidR="00DB6E47" w:rsidRPr="00041046" w:rsidRDefault="00DB6E47" w:rsidP="006030A3">
      <w:pPr>
        <w:pStyle w:val="aDef"/>
        <w:keepLines/>
        <w:rPr>
          <w:bCs/>
        </w:rPr>
      </w:pPr>
      <w:r w:rsidRPr="00041046">
        <w:rPr>
          <w:rStyle w:val="charBoldItals"/>
        </w:rPr>
        <w:t>body of fatigue knowledge</w:t>
      </w:r>
      <w:r w:rsidRPr="00041046">
        <w:t xml:space="preserve"> means any accreditation scheme, scientific knowledge, expert opinion, guidelines, standards or other knowledge about preventing or managing exposure to risks to safety either on a road or in a workplace, arising from fatigue.</w:t>
      </w:r>
    </w:p>
    <w:p w14:paraId="5109F7D2" w14:textId="77777777" w:rsidR="00DB6E47" w:rsidRPr="00041046" w:rsidRDefault="00DB6E47" w:rsidP="00DB6E47">
      <w:pPr>
        <w:pStyle w:val="aDef"/>
        <w:rPr>
          <w:bCs/>
        </w:rPr>
      </w:pPr>
      <w:r w:rsidRPr="00041046">
        <w:rPr>
          <w:rStyle w:val="charBoldItals"/>
        </w:rPr>
        <w:t>bus</w:t>
      </w:r>
      <w:r w:rsidRPr="00041046">
        <w:t xml:space="preserve"> means a heavy motor vehicle built or fitted to carry more than 9 adults (including the driver).</w:t>
      </w:r>
    </w:p>
    <w:p w14:paraId="067505B7" w14:textId="77777777" w:rsidR="00E5522F" w:rsidRPr="00E5522F" w:rsidRDefault="00E5522F" w:rsidP="00E5522F">
      <w:pPr>
        <w:pStyle w:val="aDef"/>
        <w:rPr>
          <w:lang w:val="en" w:eastAsia="en-AU"/>
        </w:rPr>
      </w:pPr>
      <w:r w:rsidRPr="00E5522F">
        <w:rPr>
          <w:b/>
          <w:bCs/>
          <w:i/>
          <w:iCs/>
          <w:lang w:val="en" w:eastAsia="en-AU"/>
        </w:rPr>
        <w:t>business practices</w:t>
      </w:r>
      <w:r w:rsidRPr="00E5522F">
        <w:rPr>
          <w:lang w:val="en" w:eastAsia="en-AU"/>
        </w:rPr>
        <w:t>, of a person, means the person’s practices in running a business associated with the use of a heavy vehicle on a road, including—</w:t>
      </w:r>
    </w:p>
    <w:p w14:paraId="5268E976" w14:textId="77777777" w:rsidR="00E5522F" w:rsidRPr="00E5522F" w:rsidRDefault="00E5522F" w:rsidP="00E5522F">
      <w:pPr>
        <w:pStyle w:val="aDefpara"/>
        <w:rPr>
          <w:lang w:val="en" w:eastAsia="en-AU"/>
        </w:rPr>
      </w:pPr>
      <w:r>
        <w:rPr>
          <w:lang w:val="en" w:eastAsia="en-AU"/>
        </w:rPr>
        <w:tab/>
      </w:r>
      <w:r w:rsidRPr="00E5522F">
        <w:rPr>
          <w:lang w:val="en" w:eastAsia="en-AU"/>
        </w:rPr>
        <w:t>(a)</w:t>
      </w:r>
      <w:r>
        <w:rPr>
          <w:lang w:val="en" w:eastAsia="en-AU"/>
        </w:rPr>
        <w:tab/>
      </w:r>
      <w:r w:rsidRPr="00E5522F">
        <w:rPr>
          <w:lang w:val="en" w:eastAsia="en-AU"/>
        </w:rPr>
        <w:t>the operating policies and procedures of the business; and</w:t>
      </w:r>
    </w:p>
    <w:p w14:paraId="1DD1459C" w14:textId="77777777" w:rsidR="00E5522F" w:rsidRPr="00E5522F" w:rsidRDefault="00E5522F" w:rsidP="00E5522F">
      <w:pPr>
        <w:pStyle w:val="aDefpara"/>
        <w:rPr>
          <w:lang w:val="en" w:eastAsia="en-AU"/>
        </w:rPr>
      </w:pPr>
      <w:r>
        <w:rPr>
          <w:lang w:val="en" w:eastAsia="en-AU"/>
        </w:rPr>
        <w:tab/>
      </w:r>
      <w:r w:rsidRPr="00E5522F">
        <w:rPr>
          <w:lang w:val="en" w:eastAsia="en-AU"/>
        </w:rPr>
        <w:t>(b)</w:t>
      </w:r>
      <w:r>
        <w:rPr>
          <w:lang w:val="en" w:eastAsia="en-AU"/>
        </w:rPr>
        <w:tab/>
      </w:r>
      <w:r w:rsidRPr="00E5522F">
        <w:rPr>
          <w:lang w:val="en" w:eastAsia="en-AU"/>
        </w:rPr>
        <w:t>the human resource and contract management arrangements of the business; and</w:t>
      </w:r>
    </w:p>
    <w:p w14:paraId="0068412D" w14:textId="77777777" w:rsidR="00E5522F" w:rsidRPr="00E5522F" w:rsidRDefault="00E5522F" w:rsidP="00E5522F">
      <w:pPr>
        <w:pStyle w:val="aDefpara"/>
        <w:rPr>
          <w:lang w:val="en" w:eastAsia="en-AU"/>
        </w:rPr>
      </w:pPr>
      <w:r>
        <w:rPr>
          <w:lang w:val="en" w:eastAsia="en-AU"/>
        </w:rPr>
        <w:tab/>
      </w:r>
      <w:r w:rsidRPr="00E5522F">
        <w:rPr>
          <w:lang w:val="en" w:eastAsia="en-AU"/>
        </w:rPr>
        <w:t>(c)</w:t>
      </w:r>
      <w:r>
        <w:rPr>
          <w:lang w:val="en" w:eastAsia="en-AU"/>
        </w:rPr>
        <w:tab/>
      </w:r>
      <w:r w:rsidRPr="00E5522F">
        <w:rPr>
          <w:lang w:val="en" w:eastAsia="en-AU"/>
        </w:rPr>
        <w:t>the arrangements for preventing or minimising public risks associated with the person’s practices.</w:t>
      </w:r>
    </w:p>
    <w:p w14:paraId="3A99041C" w14:textId="77777777" w:rsidR="00DB6E47" w:rsidRPr="00041046" w:rsidRDefault="00DB6E47" w:rsidP="00DB6E47">
      <w:pPr>
        <w:pStyle w:val="aDef"/>
        <w:rPr>
          <w:bCs/>
        </w:rPr>
      </w:pPr>
      <w:r w:rsidRPr="00041046">
        <w:rPr>
          <w:rStyle w:val="charBoldItals"/>
        </w:rPr>
        <w:t>cancel</w:t>
      </w:r>
      <w:r w:rsidRPr="00041046">
        <w:t>, for the purposes of Chapter 6 in relation to an unused daily sheet in a written work diary, has the meaning given by section 221.</w:t>
      </w:r>
    </w:p>
    <w:p w14:paraId="1B3F78D2" w14:textId="77777777" w:rsidR="00DB6E47" w:rsidRPr="00041046" w:rsidRDefault="00DB6E47" w:rsidP="00DB6E47">
      <w:pPr>
        <w:pStyle w:val="aDef"/>
        <w:rPr>
          <w:bCs/>
        </w:rPr>
      </w:pPr>
      <w:r w:rsidRPr="00041046">
        <w:rPr>
          <w:rStyle w:val="charBoldItals"/>
        </w:rPr>
        <w:t>category</w:t>
      </w:r>
      <w:r w:rsidRPr="00041046">
        <w:t>, of heavy vehicles, see section 15.</w:t>
      </w:r>
    </w:p>
    <w:p w14:paraId="6D0ADF90" w14:textId="77777777" w:rsidR="00DB6E47" w:rsidRPr="00041046" w:rsidRDefault="00DB6E47" w:rsidP="00DB6E47">
      <w:pPr>
        <w:pStyle w:val="aDef"/>
        <w:rPr>
          <w:bCs/>
        </w:rPr>
      </w:pPr>
      <w:r w:rsidRPr="00041046">
        <w:rPr>
          <w:rStyle w:val="charBoldItals"/>
        </w:rPr>
        <w:t>cause</w:t>
      </w:r>
      <w:r w:rsidRPr="00041046">
        <w:t>, a thing, includes—</w:t>
      </w:r>
    </w:p>
    <w:p w14:paraId="552F77E5"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contribute to causing the thing; and</w:t>
      </w:r>
    </w:p>
    <w:p w14:paraId="19176B47" w14:textId="77777777" w:rsidR="00DB6E47" w:rsidRPr="00F04D8E" w:rsidRDefault="00DB6E47" w:rsidP="00DB6E47">
      <w:pPr>
        <w:pStyle w:val="aDefpara"/>
      </w:pPr>
      <w:r>
        <w:tab/>
      </w:r>
      <w:r w:rsidRPr="00F04D8E">
        <w:t>(b)</w:t>
      </w:r>
      <w:r w:rsidRPr="00F04D8E">
        <w:tab/>
        <w:t>encourage the thing.</w:t>
      </w:r>
    </w:p>
    <w:p w14:paraId="327B4987" w14:textId="77777777" w:rsidR="00DB6E47" w:rsidRPr="00041046" w:rsidRDefault="00DB6E47" w:rsidP="00DB6E47">
      <w:pPr>
        <w:pStyle w:val="aDef"/>
        <w:rPr>
          <w:bCs/>
        </w:rPr>
      </w:pPr>
      <w:r w:rsidRPr="00041046">
        <w:rPr>
          <w:rStyle w:val="charBoldItals"/>
        </w:rPr>
        <w:lastRenderedPageBreak/>
        <w:t>centre-line</w:t>
      </w:r>
      <w:r w:rsidRPr="00041046">
        <w:t>, of an axle, means—</w:t>
      </w:r>
    </w:p>
    <w:p w14:paraId="3EC08580"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for an axle consisting of 1 shaft—a line parallel to the length of the axle and passing through its centre; and</w:t>
      </w:r>
    </w:p>
    <w:p w14:paraId="7ACE67F2" w14:textId="77777777" w:rsidR="00DB6E47" w:rsidRPr="00F04D8E" w:rsidRDefault="00DB6E47" w:rsidP="00DB6E47">
      <w:pPr>
        <w:pStyle w:val="aDefpara"/>
      </w:pPr>
      <w:r>
        <w:tab/>
      </w:r>
      <w:r w:rsidRPr="00F04D8E">
        <w:t>(b)</w:t>
      </w:r>
      <w:r w:rsidRPr="00F04D8E">
        <w:tab/>
        <w:t>for an axle consisting of 2 shafts—a line in the vertical plane passing through—</w:t>
      </w:r>
    </w:p>
    <w:p w14:paraId="5B76B70F" w14:textId="77777777" w:rsidR="00DB6E47" w:rsidRPr="00F04D8E" w:rsidRDefault="00DB6E47" w:rsidP="00DB6E47">
      <w:pPr>
        <w:pStyle w:val="aDefsubpara"/>
      </w:pPr>
      <w:r>
        <w:tab/>
      </w:r>
      <w:r w:rsidRPr="00F04D8E">
        <w:t>(i)</w:t>
      </w:r>
      <w:r w:rsidRPr="00F04D8E">
        <w:tab/>
        <w:t>the centre of both shafts; and</w:t>
      </w:r>
    </w:p>
    <w:p w14:paraId="745995EF" w14:textId="77777777" w:rsidR="00DB6E47" w:rsidRPr="00F04D8E" w:rsidRDefault="006A2141" w:rsidP="00DB6E47">
      <w:pPr>
        <w:pStyle w:val="aDefsubpara"/>
      </w:pPr>
      <w:r>
        <w:tab/>
      </w:r>
      <w:r w:rsidR="00DB6E47" w:rsidRPr="00F04D8E">
        <w:t>(ii)</w:t>
      </w:r>
      <w:r w:rsidR="00DB6E47" w:rsidRPr="00F04D8E">
        <w:tab/>
        <w:t>the centres of the wheels on the shafts.</w:t>
      </w:r>
    </w:p>
    <w:p w14:paraId="2BD9E9B6" w14:textId="77777777" w:rsidR="00DB6E47" w:rsidRPr="00041046" w:rsidRDefault="00DB6E47" w:rsidP="00DB6E47">
      <w:pPr>
        <w:pStyle w:val="aDef"/>
        <w:rPr>
          <w:bCs/>
        </w:rPr>
      </w:pPr>
      <w:r w:rsidRPr="00041046">
        <w:rPr>
          <w:rStyle w:val="charBoldItals"/>
        </w:rPr>
        <w:t>class 1 heavy vehicle</w:t>
      </w:r>
      <w:r w:rsidRPr="00041046">
        <w:t xml:space="preserve"> has t</w:t>
      </w:r>
      <w:r w:rsidR="00715E24">
        <w:t>he meaning given by section 116</w:t>
      </w:r>
      <w:r w:rsidRPr="00041046">
        <w:t>(1)</w:t>
      </w:r>
      <w:r w:rsidR="00715E24">
        <w:t xml:space="preserve"> </w:t>
      </w:r>
      <w:r w:rsidR="006D7F53">
        <w:t>and </w:t>
      </w:r>
      <w:r w:rsidRPr="00041046">
        <w:t>(2).</w:t>
      </w:r>
    </w:p>
    <w:p w14:paraId="61E7B691" w14:textId="77777777" w:rsidR="00DB6E47" w:rsidRPr="00041046" w:rsidRDefault="00DB6E47" w:rsidP="00DB6E47">
      <w:pPr>
        <w:pStyle w:val="aDef"/>
        <w:rPr>
          <w:bCs/>
        </w:rPr>
      </w:pPr>
      <w:r w:rsidRPr="00041046">
        <w:rPr>
          <w:rStyle w:val="charBoldItals"/>
        </w:rPr>
        <w:t>class 2 heavy vehicle</w:t>
      </w:r>
      <w:r w:rsidRPr="00041046">
        <w:t xml:space="preserve"> has the meaning given by section 136.</w:t>
      </w:r>
    </w:p>
    <w:p w14:paraId="1153D582" w14:textId="77777777" w:rsidR="00DB6E47" w:rsidRPr="00041046" w:rsidRDefault="00DB6E47" w:rsidP="00DB6E47">
      <w:pPr>
        <w:pStyle w:val="aDef"/>
        <w:rPr>
          <w:bCs/>
        </w:rPr>
      </w:pPr>
      <w:r w:rsidRPr="00041046">
        <w:rPr>
          <w:rStyle w:val="charBoldItals"/>
        </w:rPr>
        <w:t>class 2 heavy vehicle</w:t>
      </w:r>
      <w:r w:rsidRPr="00041046">
        <w:t xml:space="preserve"> authorisation means—</w:t>
      </w:r>
    </w:p>
    <w:p w14:paraId="5832A73B"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a class 2 heavy vehicle authorisation (notice); or</w:t>
      </w:r>
    </w:p>
    <w:p w14:paraId="2A465575" w14:textId="77777777" w:rsidR="00DB6E47" w:rsidRPr="00F04D8E" w:rsidRDefault="00DB6E47" w:rsidP="00DB6E47">
      <w:pPr>
        <w:pStyle w:val="aDefpara"/>
      </w:pPr>
      <w:r>
        <w:tab/>
      </w:r>
      <w:r w:rsidRPr="00F04D8E">
        <w:t>(b)</w:t>
      </w:r>
      <w:r w:rsidRPr="00F04D8E">
        <w:tab/>
        <w:t>a class 2 heavy vehicle authorisation (permit).</w:t>
      </w:r>
    </w:p>
    <w:p w14:paraId="674926DE" w14:textId="77777777" w:rsidR="00DB6E47" w:rsidRPr="00041046" w:rsidRDefault="00DB6E47" w:rsidP="00DB6E47">
      <w:pPr>
        <w:pStyle w:val="aDef"/>
        <w:rPr>
          <w:bCs/>
        </w:rPr>
      </w:pPr>
      <w:r w:rsidRPr="00041046">
        <w:rPr>
          <w:rStyle w:val="charBoldItals"/>
        </w:rPr>
        <w:t>class 2 heavy vehicle authorisation (notice)</w:t>
      </w:r>
      <w:r w:rsidRPr="00041046">
        <w:t xml:space="preserve"> has the meaning given by section 138(2).</w:t>
      </w:r>
    </w:p>
    <w:p w14:paraId="7C6509C8" w14:textId="77777777" w:rsidR="00DB6E47" w:rsidRPr="00041046" w:rsidRDefault="00DB6E47" w:rsidP="00DB6E47">
      <w:pPr>
        <w:pStyle w:val="aDef"/>
        <w:rPr>
          <w:bCs/>
        </w:rPr>
      </w:pPr>
      <w:r w:rsidRPr="00041046">
        <w:rPr>
          <w:rStyle w:val="charBoldItals"/>
        </w:rPr>
        <w:t>class 2 heavy vehicle authorisation (permit)</w:t>
      </w:r>
      <w:r w:rsidRPr="00041046">
        <w:t xml:space="preserve"> has the meaning given by section 143(2).</w:t>
      </w:r>
    </w:p>
    <w:p w14:paraId="4B353684" w14:textId="77777777" w:rsidR="00DB6E47" w:rsidRPr="00041046" w:rsidRDefault="00DB6E47" w:rsidP="00DB6E47">
      <w:pPr>
        <w:pStyle w:val="aDef"/>
        <w:rPr>
          <w:bCs/>
        </w:rPr>
      </w:pPr>
      <w:r w:rsidRPr="00041046">
        <w:rPr>
          <w:rStyle w:val="charBoldItals"/>
        </w:rPr>
        <w:t>class 3 heavy vehicle</w:t>
      </w:r>
      <w:r w:rsidRPr="00041046">
        <w:t xml:space="preserve"> has the meaning given by section 116(3).</w:t>
      </w:r>
    </w:p>
    <w:p w14:paraId="53793F57" w14:textId="77777777" w:rsidR="00DB6E47" w:rsidRPr="00041046" w:rsidRDefault="00DB6E47" w:rsidP="00DB6E47">
      <w:pPr>
        <w:pStyle w:val="aDef"/>
        <w:rPr>
          <w:bCs/>
        </w:rPr>
      </w:pPr>
      <w:r w:rsidRPr="00041046">
        <w:rPr>
          <w:rStyle w:val="charBoldItals"/>
        </w:rPr>
        <w:t>combination</w:t>
      </w:r>
      <w:r w:rsidRPr="00041046">
        <w:t xml:space="preserve"> means a group of vehicles consisting of a motor vehicle towing 1 or more other vehicles.</w:t>
      </w:r>
    </w:p>
    <w:p w14:paraId="6D7FE131" w14:textId="77777777" w:rsidR="00DB6E47" w:rsidRPr="00041046" w:rsidRDefault="00DB6E47" w:rsidP="00DB6E47">
      <w:pPr>
        <w:pStyle w:val="aDef"/>
        <w:rPr>
          <w:bCs/>
        </w:rPr>
      </w:pPr>
      <w:r w:rsidRPr="00041046">
        <w:rPr>
          <w:rStyle w:val="charBoldItals"/>
        </w:rPr>
        <w:t>Commonwealth Gazette</w:t>
      </w:r>
      <w:r w:rsidRPr="00041046">
        <w:t xml:space="preserve"> means the Commonwealth of Australia Gazette.</w:t>
      </w:r>
    </w:p>
    <w:p w14:paraId="5DEF06EA" w14:textId="77777777" w:rsidR="00DB6E47" w:rsidRPr="00041046" w:rsidRDefault="00DB6E47" w:rsidP="00DB6E47">
      <w:pPr>
        <w:pStyle w:val="aDef"/>
        <w:rPr>
          <w:bCs/>
        </w:rPr>
      </w:pPr>
      <w:r w:rsidRPr="00041046">
        <w:rPr>
          <w:rStyle w:val="charBoldItals"/>
        </w:rPr>
        <w:t>Commonwealth Gazette notice</w:t>
      </w:r>
      <w:r w:rsidRPr="00041046">
        <w:t xml:space="preserve"> means notice published in the Commonwealth Gazette.</w:t>
      </w:r>
    </w:p>
    <w:p w14:paraId="35E9316D" w14:textId="77777777" w:rsidR="00DB6E47" w:rsidRPr="00041046" w:rsidRDefault="00DB6E47" w:rsidP="00DB6E47">
      <w:pPr>
        <w:pStyle w:val="aDef"/>
        <w:rPr>
          <w:bCs/>
        </w:rPr>
      </w:pPr>
      <w:r w:rsidRPr="00041046">
        <w:rPr>
          <w:rStyle w:val="charBoldItals"/>
        </w:rPr>
        <w:t>Commonwealth responsible Minister</w:t>
      </w:r>
      <w:r w:rsidRPr="00041046">
        <w:t xml:space="preserve"> means the Commonwealth Minister nominated by the Commonwealth as the responsible Minister for the Commonwealth for the purposes of this Law.</w:t>
      </w:r>
    </w:p>
    <w:p w14:paraId="4E19E416" w14:textId="77777777" w:rsidR="00DB6E47" w:rsidRPr="00041046" w:rsidRDefault="00DB6E47" w:rsidP="00DB6E47">
      <w:pPr>
        <w:pStyle w:val="aDef"/>
        <w:rPr>
          <w:bCs/>
        </w:rPr>
      </w:pPr>
      <w:r w:rsidRPr="00041046">
        <w:rPr>
          <w:rStyle w:val="charBoldItals"/>
        </w:rPr>
        <w:lastRenderedPageBreak/>
        <w:t>compensation order</w:t>
      </w:r>
      <w:r w:rsidRPr="00041046">
        <w:t xml:space="preserve"> has the meaning given by section 611(1).</w:t>
      </w:r>
    </w:p>
    <w:p w14:paraId="524FF064" w14:textId="77777777" w:rsidR="00E5522F" w:rsidRPr="003323FC" w:rsidRDefault="00E5522F" w:rsidP="00DB6E47">
      <w:pPr>
        <w:pStyle w:val="aDef"/>
      </w:pPr>
      <w:r w:rsidRPr="00FA7F8F">
        <w:rPr>
          <w:rStyle w:val="charBoldItals"/>
        </w:rPr>
        <w:t>complaint</w:t>
      </w:r>
      <w:r w:rsidRPr="003323FC">
        <w:t>, for an offence, means a complaint, charge, notice or other process that starts a proceeding for the offence.</w:t>
      </w:r>
    </w:p>
    <w:p w14:paraId="5FC60258" w14:textId="77777777" w:rsidR="00DB6E47" w:rsidRPr="00041046" w:rsidRDefault="00DB6E47" w:rsidP="00DB6E47">
      <w:pPr>
        <w:pStyle w:val="aDef"/>
        <w:rPr>
          <w:bCs/>
        </w:rPr>
      </w:pPr>
      <w:r w:rsidRPr="00041046">
        <w:rPr>
          <w:rStyle w:val="charBoldItals"/>
        </w:rPr>
        <w:t>compliance purposes</w:t>
      </w:r>
      <w:r w:rsidRPr="00041046">
        <w:t xml:space="preserve"> means—</w:t>
      </w:r>
    </w:p>
    <w:p w14:paraId="4A54D7E3"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monitoring purposes; or</w:t>
      </w:r>
    </w:p>
    <w:p w14:paraId="33EB0B36" w14:textId="77777777" w:rsidR="00DB6E47" w:rsidRPr="00F04D8E" w:rsidRDefault="00DB6E47" w:rsidP="00DB6E47">
      <w:pPr>
        <w:pStyle w:val="aDefpara"/>
      </w:pPr>
      <w:r>
        <w:tab/>
      </w:r>
      <w:r w:rsidRPr="00F04D8E">
        <w:t>(b)</w:t>
      </w:r>
      <w:r w:rsidRPr="00F04D8E">
        <w:tab/>
        <w:t>investigation purposes.</w:t>
      </w:r>
    </w:p>
    <w:p w14:paraId="5B19F819" w14:textId="77777777" w:rsidR="00DB6E47" w:rsidRPr="00041046" w:rsidRDefault="00DB6E47" w:rsidP="00DB6E47">
      <w:pPr>
        <w:pStyle w:val="aDef"/>
        <w:rPr>
          <w:bCs/>
        </w:rPr>
      </w:pPr>
      <w:r w:rsidRPr="00041046">
        <w:rPr>
          <w:rStyle w:val="charBoldItals"/>
        </w:rPr>
        <w:t>complying container weight declaration</w:t>
      </w:r>
      <w:r w:rsidRPr="00041046">
        <w:t xml:space="preserve"> has the meaning given by section 189.</w:t>
      </w:r>
    </w:p>
    <w:p w14:paraId="0E4FBCFD" w14:textId="77777777" w:rsidR="00DB6E47" w:rsidRPr="00041046" w:rsidRDefault="00DB6E47" w:rsidP="00DB6E47">
      <w:pPr>
        <w:pStyle w:val="aDef"/>
        <w:rPr>
          <w:bCs/>
        </w:rPr>
      </w:pPr>
      <w:r w:rsidRPr="00041046">
        <w:rPr>
          <w:rStyle w:val="charBoldItals"/>
        </w:rPr>
        <w:t>component</w:t>
      </w:r>
      <w:r w:rsidRPr="00041046">
        <w:t>, of a heavy vehicle that is a combination, means—</w:t>
      </w:r>
    </w:p>
    <w:p w14:paraId="2411EA96"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r>
      <w:r w:rsidR="00BD0552">
        <w:rPr>
          <w:spacing w:val="-1"/>
        </w:rPr>
        <w:t xml:space="preserve">other than in </w:t>
      </w:r>
      <w:r w:rsidR="00BD0552">
        <w:rPr>
          <w:spacing w:val="-2"/>
        </w:rPr>
        <w:t>Part</w:t>
      </w:r>
      <w:r w:rsidR="00BD0552">
        <w:rPr>
          <w:spacing w:val="-1"/>
        </w:rPr>
        <w:t xml:space="preserve"> 3.3, </w:t>
      </w:r>
      <w:r w:rsidRPr="00F04D8E">
        <w:rPr>
          <w:rFonts w:cs="Times"/>
          <w:bCs/>
        </w:rPr>
        <w:t>a component vehicle of the combination; or</w:t>
      </w:r>
    </w:p>
    <w:p w14:paraId="5E614A91" w14:textId="77777777" w:rsidR="00DB6E47" w:rsidRPr="00F04D8E" w:rsidRDefault="00DB6E47" w:rsidP="00DB6E47">
      <w:pPr>
        <w:pStyle w:val="aDefpara"/>
      </w:pPr>
      <w:r>
        <w:tab/>
      </w:r>
      <w:r w:rsidRPr="00F04D8E">
        <w:t>(b)</w:t>
      </w:r>
      <w:r w:rsidRPr="00F04D8E">
        <w:tab/>
        <w:t>a component of any component vehicle of the combination.</w:t>
      </w:r>
    </w:p>
    <w:p w14:paraId="557680DB" w14:textId="77777777" w:rsidR="00DB6E47" w:rsidRPr="00041046" w:rsidRDefault="00DB6E47" w:rsidP="00DB6E47">
      <w:pPr>
        <w:pStyle w:val="aDef"/>
        <w:rPr>
          <w:bCs/>
        </w:rPr>
      </w:pPr>
      <w:r w:rsidRPr="00041046">
        <w:rPr>
          <w:rStyle w:val="charBoldItals"/>
        </w:rPr>
        <w:t>component vehicle</w:t>
      </w:r>
      <w:r w:rsidRPr="00041046">
        <w:t>, of a heavy combination, means the towing vehicle or another vehicle in the combination.</w:t>
      </w:r>
    </w:p>
    <w:p w14:paraId="3E3A25C7" w14:textId="77777777" w:rsidR="00DB6E47" w:rsidRPr="00041046" w:rsidRDefault="00DB6E47" w:rsidP="00DB6E47">
      <w:pPr>
        <w:pStyle w:val="aDef"/>
        <w:rPr>
          <w:bCs/>
        </w:rPr>
      </w:pPr>
      <w:r w:rsidRPr="00041046">
        <w:rPr>
          <w:rStyle w:val="charBoldItals"/>
        </w:rPr>
        <w:t>condition</w:t>
      </w:r>
      <w:r w:rsidRPr="00041046">
        <w:t xml:space="preserve"> includes a restriction.</w:t>
      </w:r>
    </w:p>
    <w:p w14:paraId="57C8236D" w14:textId="77777777" w:rsidR="00DB6E47" w:rsidRPr="00041046" w:rsidRDefault="00DB6E47" w:rsidP="00DB6E47">
      <w:pPr>
        <w:pStyle w:val="aDef"/>
        <w:rPr>
          <w:bCs/>
        </w:rPr>
      </w:pPr>
      <w:r w:rsidRPr="00041046">
        <w:rPr>
          <w:rStyle w:val="charBoldItals"/>
        </w:rPr>
        <w:t>conduct</w:t>
      </w:r>
      <w:r w:rsidRPr="00041046">
        <w:t xml:space="preserve"> means an act, an omission to perform an act, or a state of affairs.</w:t>
      </w:r>
    </w:p>
    <w:p w14:paraId="3403E829" w14:textId="77777777" w:rsidR="00DB6E47" w:rsidRPr="00041046" w:rsidRDefault="00DB6E47" w:rsidP="00DB6E47">
      <w:pPr>
        <w:pStyle w:val="aDef"/>
        <w:rPr>
          <w:bCs/>
        </w:rPr>
      </w:pPr>
      <w:r w:rsidRPr="00041046">
        <w:rPr>
          <w:rStyle w:val="charBoldItals"/>
        </w:rPr>
        <w:t xml:space="preserve">consent </w:t>
      </w:r>
      <w:r w:rsidRPr="00041046">
        <w:t>includes an approval or concurrence.</w:t>
      </w:r>
    </w:p>
    <w:p w14:paraId="14EE4563" w14:textId="77777777" w:rsidR="00DB6E47" w:rsidRPr="00041046" w:rsidRDefault="00DB6E47" w:rsidP="00D0776C">
      <w:pPr>
        <w:pStyle w:val="aDef"/>
        <w:keepNext/>
        <w:rPr>
          <w:bCs/>
        </w:rPr>
      </w:pPr>
      <w:r w:rsidRPr="00041046">
        <w:rPr>
          <w:rStyle w:val="charBoldItals"/>
        </w:rPr>
        <w:t xml:space="preserve">consign </w:t>
      </w:r>
      <w:r w:rsidRPr="00041046">
        <w:t>and</w:t>
      </w:r>
      <w:r w:rsidRPr="00041046">
        <w:rPr>
          <w:iCs/>
        </w:rPr>
        <w:t xml:space="preserve"> </w:t>
      </w:r>
      <w:r w:rsidRPr="00041046">
        <w:rPr>
          <w:rStyle w:val="charBoldItals"/>
        </w:rPr>
        <w:t>consignor</w:t>
      </w:r>
      <w:r w:rsidRPr="00041046">
        <w:t>—</w:t>
      </w:r>
    </w:p>
    <w:p w14:paraId="13E8AE4D" w14:textId="77777777" w:rsidR="00DB6E47" w:rsidRPr="006C3305" w:rsidRDefault="00DB6E47" w:rsidP="00715E24">
      <w:pPr>
        <w:pStyle w:val="Amainreturn"/>
      </w:pPr>
      <w:r w:rsidRPr="00F04D8E">
        <w:t xml:space="preserve">A person </w:t>
      </w:r>
      <w:r w:rsidRPr="00FF4454">
        <w:rPr>
          <w:rStyle w:val="charBoldItals"/>
        </w:rPr>
        <w:t>consigns</w:t>
      </w:r>
      <w:r w:rsidRPr="006C3305">
        <w:t xml:space="preserve"> goods, and is a </w:t>
      </w:r>
      <w:r w:rsidRPr="00FF4454">
        <w:rPr>
          <w:rStyle w:val="charBoldItals"/>
        </w:rPr>
        <w:t>consignor</w:t>
      </w:r>
      <w:r w:rsidRPr="006C3305">
        <w:t xml:space="preserve"> of goods, for road transport using a heavy vehicle, if—</w:t>
      </w:r>
    </w:p>
    <w:p w14:paraId="60737073"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the person has consented to being, and is, named or otherwise identified as a consignor of the goods in the transport documentation relating to the road transport of the goods; or</w:t>
      </w:r>
    </w:p>
    <w:p w14:paraId="47ADD99F" w14:textId="77777777" w:rsidR="00F94088" w:rsidRPr="00F94088" w:rsidRDefault="00F94088" w:rsidP="00F94088">
      <w:pPr>
        <w:pStyle w:val="aDefpara"/>
        <w:rPr>
          <w:lang w:val="en" w:eastAsia="en-AU"/>
        </w:rPr>
      </w:pPr>
      <w:r>
        <w:rPr>
          <w:lang w:val="en" w:eastAsia="en-AU"/>
        </w:rPr>
        <w:tab/>
      </w:r>
      <w:r w:rsidRPr="00F94088">
        <w:rPr>
          <w:lang w:val="en" w:eastAsia="en-AU"/>
        </w:rPr>
        <w:t>(b)</w:t>
      </w:r>
      <w:r>
        <w:rPr>
          <w:lang w:val="en" w:eastAsia="en-AU"/>
        </w:rPr>
        <w:tab/>
      </w:r>
      <w:r w:rsidRPr="00F94088">
        <w:rPr>
          <w:lang w:val="en" w:eastAsia="en-AU"/>
        </w:rPr>
        <w:t>the person engages an operator of the vehicle, either directly or indirectly or through an agent or other intermediary, to transport the goods by road; or</w:t>
      </w:r>
    </w:p>
    <w:p w14:paraId="73828D8A" w14:textId="77777777" w:rsidR="00F94088" w:rsidRPr="00F94088" w:rsidRDefault="00F94088" w:rsidP="00F94088">
      <w:pPr>
        <w:pStyle w:val="aDefpara"/>
        <w:rPr>
          <w:lang w:val="en" w:eastAsia="en-AU"/>
        </w:rPr>
      </w:pPr>
      <w:r>
        <w:rPr>
          <w:lang w:val="en" w:eastAsia="en-AU"/>
        </w:rPr>
        <w:lastRenderedPageBreak/>
        <w:tab/>
      </w:r>
      <w:r w:rsidRPr="00F94088">
        <w:rPr>
          <w:lang w:val="en" w:eastAsia="en-AU"/>
        </w:rPr>
        <w:t>(c)</w:t>
      </w:r>
      <w:r>
        <w:rPr>
          <w:lang w:val="en" w:eastAsia="en-AU"/>
        </w:rPr>
        <w:tab/>
      </w:r>
      <w:r w:rsidRPr="00F94088">
        <w:rPr>
          <w:lang w:val="en" w:eastAsia="en-AU"/>
        </w:rPr>
        <w:t>if paragraphs (a) and (b) do not apply—the person has possession of, or control over, the goods immediately before the goods are transported by road.</w:t>
      </w:r>
    </w:p>
    <w:p w14:paraId="727CCCBC" w14:textId="77777777" w:rsidR="00DB6E47" w:rsidRPr="00041046" w:rsidRDefault="00DB6E47" w:rsidP="00D0776C">
      <w:pPr>
        <w:pStyle w:val="aDef"/>
        <w:keepNext/>
        <w:rPr>
          <w:bCs/>
        </w:rPr>
      </w:pPr>
      <w:r w:rsidRPr="00041046">
        <w:rPr>
          <w:rStyle w:val="charBoldItals"/>
        </w:rPr>
        <w:t>consignee</w:t>
      </w:r>
      <w:r w:rsidRPr="00041046">
        <w:t>, of goods—</w:t>
      </w:r>
    </w:p>
    <w:p w14:paraId="38C72DD3" w14:textId="77777777" w:rsidR="00DB6E47" w:rsidRPr="00F04D8E" w:rsidRDefault="00DB6E47" w:rsidP="00D0776C">
      <w:pPr>
        <w:pStyle w:val="aDefpara"/>
        <w:keepNext/>
      </w:pPr>
      <w:r w:rsidRPr="00F04D8E">
        <w:rPr>
          <w:rFonts w:cs="Times"/>
          <w:bCs/>
        </w:rPr>
        <w:tab/>
        <w:t>(a)</w:t>
      </w:r>
      <w:r w:rsidRPr="00F04D8E">
        <w:rPr>
          <w:rFonts w:cs="Times"/>
          <w:bCs/>
        </w:rPr>
        <w:tab/>
        <w:t>means a person who—</w:t>
      </w:r>
    </w:p>
    <w:p w14:paraId="4C35D649" w14:textId="77777777" w:rsidR="00DB6E47" w:rsidRPr="00F04D8E" w:rsidRDefault="00DB6E47" w:rsidP="00D0776C">
      <w:pPr>
        <w:pStyle w:val="aDefsubpara"/>
        <w:keepNext/>
        <w:keepLines/>
      </w:pPr>
      <w:r w:rsidRPr="00F04D8E">
        <w:tab/>
        <w:t>(i)</w:t>
      </w:r>
      <w:r w:rsidRPr="00F04D8E">
        <w:tab/>
        <w:t>has consented to being, and is, named or otherwise identified as the intended consignee of the goods in the transport documentation relating to the road transport of the goods; or</w:t>
      </w:r>
    </w:p>
    <w:p w14:paraId="486A982B" w14:textId="77777777" w:rsidR="00DB6E47" w:rsidRPr="00F04D8E" w:rsidRDefault="00DB6E47" w:rsidP="00DB6E47">
      <w:pPr>
        <w:pStyle w:val="aDefsubpara"/>
      </w:pPr>
      <w:r w:rsidRPr="00F04D8E">
        <w:tab/>
        <w:t>(ii)</w:t>
      </w:r>
      <w:r w:rsidRPr="00F04D8E">
        <w:tab/>
        <w:t>actually receives the goods after completion of their road transport; but</w:t>
      </w:r>
    </w:p>
    <w:p w14:paraId="3C5C87CE" w14:textId="77777777" w:rsidR="00DB6E47" w:rsidRPr="00F04D8E" w:rsidRDefault="00DB6E47" w:rsidP="00DB6E47">
      <w:pPr>
        <w:pStyle w:val="aDefpara"/>
      </w:pPr>
      <w:r w:rsidRPr="00F04D8E">
        <w:tab/>
        <w:t>(b)</w:t>
      </w:r>
      <w:r w:rsidRPr="00F04D8E">
        <w:tab/>
        <w:t>does not include a person who merely unloads the goods.</w:t>
      </w:r>
    </w:p>
    <w:p w14:paraId="44D2D00A" w14:textId="77777777" w:rsidR="00DB6E47" w:rsidRPr="00041046" w:rsidRDefault="00DB6E47" w:rsidP="00DB6E47">
      <w:pPr>
        <w:pStyle w:val="aDef"/>
        <w:rPr>
          <w:bCs/>
        </w:rPr>
      </w:pPr>
      <w:r w:rsidRPr="00041046">
        <w:rPr>
          <w:rStyle w:val="charBoldItals"/>
        </w:rPr>
        <w:t>container weight declaration</w:t>
      </w:r>
      <w:r w:rsidRPr="00041046">
        <w:t>—</w:t>
      </w:r>
    </w:p>
    <w:p w14:paraId="6683E02E" w14:textId="77777777" w:rsidR="00DB6E47" w:rsidRPr="00F04D8E" w:rsidRDefault="00DB6E47" w:rsidP="00DB6E47">
      <w:pPr>
        <w:pStyle w:val="aDefpara"/>
      </w:pPr>
      <w:r w:rsidRPr="00F04D8E">
        <w:rPr>
          <w:rFonts w:cs="Times"/>
          <w:bCs/>
        </w:rPr>
        <w:tab/>
        <w:t>(a)</w:t>
      </w:r>
      <w:r w:rsidRPr="00F04D8E">
        <w:rPr>
          <w:rFonts w:cs="Times"/>
          <w:bCs/>
        </w:rPr>
        <w:tab/>
        <w:t>means a written declaration, whether contained in 1 or more documents, stating or purporting to state the weight of a freight container and its contents; and</w:t>
      </w:r>
    </w:p>
    <w:p w14:paraId="6C3C28AA" w14:textId="77777777" w:rsidR="00DB6E47" w:rsidRPr="007E1F9A" w:rsidRDefault="00DB6E47" w:rsidP="00DB6E47">
      <w:pPr>
        <w:pStyle w:val="aExamHdgss"/>
      </w:pPr>
      <w:r w:rsidRPr="00C96203">
        <w:rPr>
          <w:rFonts w:cs="Times"/>
          <w:bCs/>
          <w:iCs/>
        </w:rPr>
        <w:t>Examples</w:t>
      </w:r>
      <w:r w:rsidRPr="00C96203">
        <w:rPr>
          <w:rFonts w:cs="Times"/>
          <w:bCs/>
        </w:rPr>
        <w:t>—</w:t>
      </w:r>
    </w:p>
    <w:p w14:paraId="5AF0E76F" w14:textId="77777777" w:rsidR="00DB6E47" w:rsidRPr="007E1F9A" w:rsidRDefault="00DB6E47" w:rsidP="00DB6E47">
      <w:pPr>
        <w:pStyle w:val="aExamss"/>
      </w:pPr>
      <w:r w:rsidRPr="007E1F9A">
        <w:t>an email, a placard fixed to the container</w:t>
      </w:r>
    </w:p>
    <w:p w14:paraId="66EB79E5" w14:textId="77777777" w:rsidR="001C07E0" w:rsidRPr="001C07E0" w:rsidRDefault="001C07E0" w:rsidP="001C07E0">
      <w:pPr>
        <w:pStyle w:val="aNote"/>
        <w:rPr>
          <w:lang w:val="en" w:eastAsia="en-AU"/>
        </w:rPr>
      </w:pPr>
      <w:r w:rsidRPr="001C07E0">
        <w:rPr>
          <w:rStyle w:val="charItals"/>
        </w:rPr>
        <w:t>Note</w:t>
      </w:r>
      <w:r w:rsidRPr="001C07E0">
        <w:rPr>
          <w:lang w:val="en" w:eastAsia="en-AU"/>
        </w:rPr>
        <w:t>—</w:t>
      </w:r>
    </w:p>
    <w:p w14:paraId="72B02798" w14:textId="77777777" w:rsidR="001C07E0" w:rsidRPr="001C07E0" w:rsidRDefault="001C07E0" w:rsidP="001C07E0">
      <w:pPr>
        <w:pStyle w:val="aNoteTextss"/>
        <w:rPr>
          <w:lang w:val="en" w:eastAsia="en-AU"/>
        </w:rPr>
      </w:pPr>
      <w:r w:rsidRPr="001C07E0">
        <w:rPr>
          <w:lang w:val="en" w:eastAsia="en-AU"/>
        </w:rPr>
        <w:t xml:space="preserve">See the definition </w:t>
      </w:r>
      <w:r w:rsidRPr="001C07E0">
        <w:rPr>
          <w:i/>
          <w:iCs/>
          <w:lang w:val="en" w:eastAsia="en-AU"/>
        </w:rPr>
        <w:t>document</w:t>
      </w:r>
      <w:r w:rsidRPr="001C07E0">
        <w:rPr>
          <w:lang w:val="en" w:eastAsia="en-AU"/>
        </w:rPr>
        <w:t xml:space="preserve"> in section 12 of Schedule 1.</w:t>
      </w:r>
    </w:p>
    <w:p w14:paraId="6AEBF784" w14:textId="77777777" w:rsidR="00DB6E47" w:rsidRPr="00F04D8E" w:rsidRDefault="00DB6E47" w:rsidP="00DB6E47">
      <w:pPr>
        <w:pStyle w:val="aDefpara"/>
      </w:pPr>
      <w:r w:rsidRPr="00F04D8E">
        <w:rPr>
          <w:rFonts w:cs="Times"/>
          <w:bCs/>
        </w:rPr>
        <w:tab/>
        <w:t>(b)</w:t>
      </w:r>
      <w:r w:rsidRPr="00F04D8E">
        <w:rPr>
          <w:rFonts w:cs="Times"/>
          <w:bCs/>
        </w:rPr>
        <w:tab/>
        <w:t>includes a copy of a declaration mentioned in paragraph (a).</w:t>
      </w:r>
    </w:p>
    <w:p w14:paraId="7983622F" w14:textId="77777777" w:rsidR="00E5522F" w:rsidRPr="003323FC" w:rsidRDefault="00E5522F" w:rsidP="00CF52C7">
      <w:pPr>
        <w:pStyle w:val="aDef"/>
        <w:keepNext/>
      </w:pPr>
      <w:r w:rsidRPr="003323FC">
        <w:rPr>
          <w:rStyle w:val="charBoldItals"/>
        </w:rPr>
        <w:t>contract</w:t>
      </w:r>
      <w:r w:rsidRPr="003323FC">
        <w:t xml:space="preserve"> includes an agreement. </w:t>
      </w:r>
    </w:p>
    <w:p w14:paraId="405AA02F" w14:textId="77777777" w:rsidR="00DB6E47" w:rsidRPr="00041046" w:rsidRDefault="00DB6E47" w:rsidP="00CF52C7">
      <w:pPr>
        <w:pStyle w:val="aDef"/>
        <w:keepNext/>
        <w:rPr>
          <w:bCs/>
        </w:rPr>
      </w:pPr>
      <w:r w:rsidRPr="00041046">
        <w:rPr>
          <w:rStyle w:val="charBoldItals"/>
        </w:rPr>
        <w:t>converter dolly</w:t>
      </w:r>
      <w:r w:rsidRPr="00041046">
        <w:t xml:space="preserve"> means a pig trailer with a fifth wheel coupling designed to convert a semitrailer into a dog trailer.</w:t>
      </w:r>
    </w:p>
    <w:p w14:paraId="6FBFEF55" w14:textId="77777777" w:rsidR="00DB6E47" w:rsidRDefault="00DB6E47" w:rsidP="00DB6E47">
      <w:pPr>
        <w:jc w:val="center"/>
      </w:pPr>
      <w:r>
        <w:rPr>
          <w:noProof/>
          <w:lang w:eastAsia="en-AU"/>
        </w:rPr>
        <w:drawing>
          <wp:inline distT="0" distB="0" distL="0" distR="0" wp14:anchorId="199CA7AD" wp14:editId="29D961CE">
            <wp:extent cx="3352800" cy="1038225"/>
            <wp:effectExtent l="1905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srcRect/>
                    <a:stretch>
                      <a:fillRect/>
                    </a:stretch>
                  </pic:blipFill>
                  <pic:spPr bwMode="auto">
                    <a:xfrm>
                      <a:off x="0" y="0"/>
                      <a:ext cx="3352800" cy="1038225"/>
                    </a:xfrm>
                    <a:prstGeom prst="rect">
                      <a:avLst/>
                    </a:prstGeom>
                    <a:noFill/>
                    <a:ln w="9525">
                      <a:noFill/>
                      <a:miter lim="800000"/>
                      <a:headEnd/>
                      <a:tailEnd/>
                    </a:ln>
                  </pic:spPr>
                </pic:pic>
              </a:graphicData>
            </a:graphic>
          </wp:inline>
        </w:drawing>
      </w:r>
    </w:p>
    <w:p w14:paraId="314D7BED" w14:textId="77777777" w:rsidR="00DB6E47" w:rsidRPr="00041046" w:rsidRDefault="00DB6E47" w:rsidP="00DB6E47">
      <w:pPr>
        <w:pStyle w:val="aDef"/>
        <w:rPr>
          <w:bCs/>
        </w:rPr>
      </w:pPr>
      <w:r w:rsidRPr="00041046">
        <w:rPr>
          <w:rStyle w:val="charBoldItals"/>
        </w:rPr>
        <w:lastRenderedPageBreak/>
        <w:t>convict</w:t>
      </w:r>
      <w:r w:rsidRPr="00041046">
        <w:t>, a person of an offence, has the meaning given by section</w:t>
      </w:r>
      <w:r w:rsidR="00715E24">
        <w:t> </w:t>
      </w:r>
      <w:r w:rsidRPr="00041046">
        <w:t>9(1).</w:t>
      </w:r>
    </w:p>
    <w:p w14:paraId="04980A3E" w14:textId="77777777" w:rsidR="00DB6E47" w:rsidRPr="00041046" w:rsidRDefault="00DB6E47" w:rsidP="00DB6E47">
      <w:pPr>
        <w:pStyle w:val="aDef"/>
        <w:rPr>
          <w:bCs/>
        </w:rPr>
      </w:pPr>
      <w:r w:rsidRPr="00041046">
        <w:rPr>
          <w:rStyle w:val="charBoldItals"/>
        </w:rPr>
        <w:t>convicted</w:t>
      </w:r>
      <w:r w:rsidRPr="00041046">
        <w:t>, of an offence, has the meaning given by section 9(2).</w:t>
      </w:r>
    </w:p>
    <w:p w14:paraId="57CDA984" w14:textId="77777777" w:rsidR="00DB6E47" w:rsidRPr="00041046" w:rsidRDefault="00DB6E47" w:rsidP="00562073">
      <w:pPr>
        <w:pStyle w:val="aDef"/>
        <w:keepNext/>
        <w:rPr>
          <w:bCs/>
        </w:rPr>
      </w:pPr>
      <w:r w:rsidRPr="00041046">
        <w:rPr>
          <w:rStyle w:val="charBoldItals"/>
        </w:rPr>
        <w:t>convicted person</w:t>
      </w:r>
      <w:r w:rsidRPr="00041046">
        <w:t>—</w:t>
      </w:r>
    </w:p>
    <w:p w14:paraId="07ED0140" w14:textId="77777777" w:rsidR="00DB6E47" w:rsidRPr="00F04D8E" w:rsidRDefault="00DB6E47" w:rsidP="00DB6E47">
      <w:pPr>
        <w:pStyle w:val="aDefpara"/>
      </w:pPr>
      <w:r w:rsidRPr="00F04D8E">
        <w:rPr>
          <w:rFonts w:cs="Times"/>
          <w:bCs/>
        </w:rPr>
        <w:tab/>
        <w:t>(a)</w:t>
      </w:r>
      <w:r w:rsidRPr="00F04D8E">
        <w:rPr>
          <w:rFonts w:cs="Times"/>
          <w:bCs/>
        </w:rPr>
        <w:tab/>
        <w:t>for the purposes of Division 5 of Part 10.3, has the meaning given by section 599(a); or</w:t>
      </w:r>
    </w:p>
    <w:p w14:paraId="2A55B4FD" w14:textId="77777777" w:rsidR="00DB6E47" w:rsidRPr="00F04D8E" w:rsidRDefault="00DB6E47" w:rsidP="00DB6E47">
      <w:pPr>
        <w:pStyle w:val="aDefpara"/>
      </w:pPr>
      <w:r w:rsidRPr="00F04D8E">
        <w:tab/>
        <w:t>(b)</w:t>
      </w:r>
      <w:r w:rsidRPr="00F04D8E">
        <w:tab/>
        <w:t>for the purposes of Division 6 of Part 10.3, has the meaning given by section 606(a).</w:t>
      </w:r>
    </w:p>
    <w:p w14:paraId="350D255A" w14:textId="77777777" w:rsidR="00DB6E47" w:rsidRPr="00041046" w:rsidRDefault="00DB6E47" w:rsidP="00DB6E47">
      <w:pPr>
        <w:pStyle w:val="aDef"/>
        <w:rPr>
          <w:bCs/>
        </w:rPr>
      </w:pPr>
      <w:r w:rsidRPr="00041046">
        <w:rPr>
          <w:rStyle w:val="charBoldItals"/>
        </w:rPr>
        <w:t>corporation</w:t>
      </w:r>
      <w:r w:rsidRPr="00041046">
        <w:t xml:space="preserve"> includes a body politic or corporate.</w:t>
      </w:r>
    </w:p>
    <w:p w14:paraId="545EC68F" w14:textId="77777777" w:rsidR="00DB6E47" w:rsidRPr="00041046" w:rsidRDefault="00DB6E47" w:rsidP="00DB6E47">
      <w:pPr>
        <w:pStyle w:val="aDef"/>
        <w:rPr>
          <w:bCs/>
        </w:rPr>
      </w:pPr>
      <w:r w:rsidRPr="00041046">
        <w:rPr>
          <w:rStyle w:val="charBoldItals"/>
        </w:rPr>
        <w:t>corresponding fatigue law</w:t>
      </w:r>
      <w:r w:rsidRPr="00041046">
        <w:t>, for the purposes of Chapter 6, has the meaning given by section 221.</w:t>
      </w:r>
    </w:p>
    <w:p w14:paraId="52F4461F" w14:textId="77777777" w:rsidR="00DB6E47" w:rsidRPr="00041046" w:rsidRDefault="00DB6E47" w:rsidP="00DB6E47">
      <w:pPr>
        <w:pStyle w:val="aDef"/>
        <w:rPr>
          <w:bCs/>
        </w:rPr>
      </w:pPr>
      <w:r w:rsidRPr="00041046">
        <w:rPr>
          <w:rStyle w:val="charBoldItals"/>
        </w:rPr>
        <w:t>critical risk breach</w:t>
      </w:r>
      <w:r w:rsidRPr="00041046">
        <w:t>, for a maximum work requirement or minimum rest requirement, has the meaning given by section 222(4).</w:t>
      </w:r>
    </w:p>
    <w:p w14:paraId="0032FBDE" w14:textId="77777777" w:rsidR="00DB6E47" w:rsidRDefault="00DB6E47" w:rsidP="00DB6E47">
      <w:pPr>
        <w:pStyle w:val="aDef"/>
      </w:pPr>
      <w:r w:rsidRPr="00041046">
        <w:rPr>
          <w:rStyle w:val="charBoldItals"/>
        </w:rPr>
        <w:t>daily sheet</w:t>
      </w:r>
      <w:r w:rsidRPr="00041046">
        <w:t>, for a written work diary, for the purposes of Chapter 6, has the meaning given by section 338(2)(b).</w:t>
      </w:r>
    </w:p>
    <w:p w14:paraId="3EF516A4" w14:textId="77777777" w:rsidR="006D7F53" w:rsidRPr="006D7F53" w:rsidRDefault="006D7F53" w:rsidP="006D7F53">
      <w:pPr>
        <w:pStyle w:val="aDef"/>
      </w:pPr>
      <w:r w:rsidRPr="006D7F53">
        <w:rPr>
          <w:rStyle w:val="charBoldItals"/>
        </w:rPr>
        <w:t>database of heavy vehicles</w:t>
      </w:r>
      <w:r w:rsidRPr="006D7F53">
        <w:t xml:space="preserve"> means the database of heavy vehicles kept under </w:t>
      </w:r>
      <w:r w:rsidRPr="006D7F53">
        <w:rPr>
          <w:rFonts w:eastAsiaTheme="majorEastAsia"/>
        </w:rPr>
        <w:t>section 686A</w:t>
      </w:r>
      <w:r w:rsidRPr="006D7F53">
        <w:t>.</w:t>
      </w:r>
    </w:p>
    <w:p w14:paraId="5B7264C0" w14:textId="77777777" w:rsidR="00DB6E47" w:rsidRPr="00041046" w:rsidRDefault="00DB6E47" w:rsidP="00DB6E47">
      <w:pPr>
        <w:pStyle w:val="aDef"/>
        <w:rPr>
          <w:bCs/>
        </w:rPr>
      </w:pPr>
      <w:r w:rsidRPr="00041046">
        <w:rPr>
          <w:rStyle w:val="charBoldItals"/>
        </w:rPr>
        <w:t>daytime</w:t>
      </w:r>
      <w:r w:rsidRPr="00041046">
        <w:t xml:space="preserve"> means the period of a day between sunrise and sunset.</w:t>
      </w:r>
    </w:p>
    <w:p w14:paraId="4E8FF370" w14:textId="77777777" w:rsidR="00DB6E47" w:rsidRPr="00041046" w:rsidRDefault="00DB6E47" w:rsidP="00DB6E47">
      <w:pPr>
        <w:pStyle w:val="aDef"/>
        <w:rPr>
          <w:bCs/>
        </w:rPr>
      </w:pPr>
      <w:r w:rsidRPr="00041046">
        <w:rPr>
          <w:rStyle w:val="charBoldItals"/>
        </w:rPr>
        <w:t>de facto partner</w:t>
      </w:r>
      <w:r w:rsidRPr="00041046">
        <w:t xml:space="preserve">, of a person, means a person (whether of the same gender or a different gender) who is in a de facto relationship, within the meaning given by section 2F of the </w:t>
      </w:r>
      <w:r w:rsidRPr="00041046">
        <w:rPr>
          <w:iCs/>
        </w:rPr>
        <w:t>Acts Interpretation Act 1901</w:t>
      </w:r>
      <w:r w:rsidRPr="00041046">
        <w:t xml:space="preserve"> of the Commonwealth, with the person.</w:t>
      </w:r>
    </w:p>
    <w:p w14:paraId="037AF9CA" w14:textId="77777777" w:rsidR="00DB6E47" w:rsidRPr="00041046" w:rsidRDefault="00DB6E47" w:rsidP="00DB6E47">
      <w:pPr>
        <w:pStyle w:val="aDef"/>
        <w:rPr>
          <w:bCs/>
        </w:rPr>
      </w:pPr>
      <w:r w:rsidRPr="00041046">
        <w:rPr>
          <w:rStyle w:val="charBoldItals"/>
        </w:rPr>
        <w:t>defective heavy vehicle</w:t>
      </w:r>
      <w:r w:rsidRPr="00041046">
        <w:t>, for the purposes of Division 6 of Part 9.3, has the meaning given by section 525.</w:t>
      </w:r>
    </w:p>
    <w:p w14:paraId="1FCD75A7" w14:textId="77777777" w:rsidR="00DB6E47" w:rsidRPr="00041046" w:rsidRDefault="00DB6E47" w:rsidP="00DB6E47">
      <w:pPr>
        <w:pStyle w:val="aDef"/>
        <w:rPr>
          <w:bCs/>
        </w:rPr>
      </w:pPr>
      <w:r w:rsidRPr="00041046">
        <w:rPr>
          <w:rStyle w:val="charBoldItals"/>
        </w:rPr>
        <w:t>defective vehicle label</w:t>
      </w:r>
      <w:r w:rsidRPr="00041046">
        <w:t>, for the purposes of Division 6 of Part 9.3, has the meaning given by section 525.</w:t>
      </w:r>
    </w:p>
    <w:p w14:paraId="28275525" w14:textId="77777777" w:rsidR="00DB6E47" w:rsidRPr="00041046" w:rsidRDefault="00DB6E47" w:rsidP="00DB6E47">
      <w:pPr>
        <w:pStyle w:val="aDef"/>
        <w:rPr>
          <w:bCs/>
        </w:rPr>
      </w:pPr>
      <w:r w:rsidRPr="00041046">
        <w:rPr>
          <w:rStyle w:val="charBoldItals"/>
        </w:rPr>
        <w:t>defendant</w:t>
      </w:r>
      <w:r w:rsidRPr="00041046">
        <w:t>, for a proceeding for an offence, means the person charged with the offence (whether called the defendant or the accused).</w:t>
      </w:r>
    </w:p>
    <w:p w14:paraId="07FA3F3E" w14:textId="77777777" w:rsidR="00DB6E47" w:rsidRPr="00041046" w:rsidRDefault="00DB6E47" w:rsidP="00DB6E47">
      <w:pPr>
        <w:pStyle w:val="aDef"/>
        <w:rPr>
          <w:bCs/>
        </w:rPr>
      </w:pPr>
      <w:r w:rsidRPr="00041046">
        <w:rPr>
          <w:rStyle w:val="charBoldItals"/>
        </w:rPr>
        <w:lastRenderedPageBreak/>
        <w:t>deficiency</w:t>
      </w:r>
      <w:r w:rsidRPr="00041046">
        <w:t>, for the purposes of Division 3 of Part 10.4, has the meaning given by section 626.</w:t>
      </w:r>
    </w:p>
    <w:p w14:paraId="2658D5FD" w14:textId="77777777" w:rsidR="00DB6E47" w:rsidRPr="00041046" w:rsidRDefault="00DB6E47" w:rsidP="00D94756">
      <w:pPr>
        <w:pStyle w:val="aDef"/>
        <w:keepNext/>
        <w:rPr>
          <w:bCs/>
        </w:rPr>
      </w:pPr>
      <w:r w:rsidRPr="00041046">
        <w:rPr>
          <w:rStyle w:val="charBoldItals"/>
        </w:rPr>
        <w:t>dimension requirement</w:t>
      </w:r>
      <w:r w:rsidRPr="00041046">
        <w:t xml:space="preserve"> means—</w:t>
      </w:r>
    </w:p>
    <w:p w14:paraId="391601AF" w14:textId="77777777" w:rsidR="00DB6E47" w:rsidRPr="00F04D8E" w:rsidRDefault="00DB6E47" w:rsidP="00DB6E47">
      <w:pPr>
        <w:pStyle w:val="aDefpara"/>
      </w:pPr>
      <w:r w:rsidRPr="00F04D8E">
        <w:rPr>
          <w:rFonts w:cs="Times"/>
          <w:bCs/>
        </w:rPr>
        <w:tab/>
        <w:t>(a)</w:t>
      </w:r>
      <w:r w:rsidRPr="00F04D8E">
        <w:rPr>
          <w:rFonts w:cs="Times"/>
          <w:bCs/>
        </w:rPr>
        <w:tab/>
        <w:t>a prescribed dimension requirement (under section 101); or</w:t>
      </w:r>
    </w:p>
    <w:p w14:paraId="1C4B67F3" w14:textId="77777777" w:rsidR="00DB6E47" w:rsidRPr="00F04D8E" w:rsidRDefault="00DB6E47" w:rsidP="00DB6E47">
      <w:pPr>
        <w:pStyle w:val="aDefpara"/>
      </w:pPr>
      <w:r>
        <w:tab/>
        <w:t>(</w:t>
      </w:r>
      <w:r w:rsidRPr="00F04D8E">
        <w:t>b)</w:t>
      </w:r>
      <w:r w:rsidRPr="00F04D8E">
        <w:tab/>
        <w:t>a requirement as to a dimension limit relating to a heavy vehicle under a condition to which a mass or dimension authority is subject (where the dimension limit is more restrictive than the relevant prescribed dimension requirement); or</w:t>
      </w:r>
    </w:p>
    <w:p w14:paraId="13DF92CC" w14:textId="77777777" w:rsidR="00DB6E47" w:rsidRPr="00F04D8E" w:rsidRDefault="00DB6E47" w:rsidP="00DB6E47">
      <w:pPr>
        <w:pStyle w:val="aDefpara"/>
      </w:pPr>
      <w:r>
        <w:tab/>
      </w:r>
      <w:r w:rsidRPr="00F04D8E">
        <w:t>(c)</w:t>
      </w:r>
      <w:r w:rsidRPr="00F04D8E">
        <w:tab/>
        <w:t xml:space="preserve">a requirement as to a dimension limit under a PBS vehicle approval; or </w:t>
      </w:r>
    </w:p>
    <w:p w14:paraId="030F5476" w14:textId="77777777" w:rsidR="00DB6E47" w:rsidRPr="00F04D8E" w:rsidRDefault="00DB6E47" w:rsidP="00DB6E47">
      <w:pPr>
        <w:pStyle w:val="aDefpara"/>
      </w:pPr>
      <w:r>
        <w:tab/>
      </w:r>
      <w:r w:rsidRPr="00F04D8E">
        <w:t>(d)</w:t>
      </w:r>
      <w:r w:rsidRPr="00F04D8E">
        <w:tab/>
        <w:t>a requirement as to a dimension limit indicated by an official traffic sign; or</w:t>
      </w:r>
    </w:p>
    <w:p w14:paraId="7E27D6C1" w14:textId="77777777" w:rsidR="00DB6E47" w:rsidRPr="007E1F9A" w:rsidRDefault="00DB6E47" w:rsidP="00DB6E47">
      <w:pPr>
        <w:pStyle w:val="aNotepar"/>
      </w:pPr>
      <w:r w:rsidRPr="00FF4454">
        <w:rPr>
          <w:rStyle w:val="charItals"/>
        </w:rPr>
        <w:t>Note</w:t>
      </w:r>
      <w:r w:rsidRPr="00C96203">
        <w:t>—</w:t>
      </w:r>
    </w:p>
    <w:p w14:paraId="5966AA8B" w14:textId="77777777" w:rsidR="00DB6E47" w:rsidRPr="007E1F9A" w:rsidRDefault="00DB6E47" w:rsidP="00DB6E47">
      <w:pPr>
        <w:pStyle w:val="aNoteTextpar"/>
      </w:pPr>
      <w:r w:rsidRPr="00C96203">
        <w:t xml:space="preserve">See the definitions </w:t>
      </w:r>
      <w:r w:rsidRPr="003271D7">
        <w:t>indicated</w:t>
      </w:r>
      <w:r w:rsidRPr="00C96203">
        <w:t xml:space="preserve"> and </w:t>
      </w:r>
      <w:r w:rsidRPr="003271D7">
        <w:t>official traffic sign</w:t>
      </w:r>
      <w:r w:rsidRPr="00C96203">
        <w:t>.</w:t>
      </w:r>
    </w:p>
    <w:p w14:paraId="52A96DC9" w14:textId="77777777" w:rsidR="00DB6E47" w:rsidRPr="00F04D8E" w:rsidRDefault="00DB6E47" w:rsidP="00DB6E47">
      <w:pPr>
        <w:pStyle w:val="aDefpara"/>
      </w:pPr>
      <w:r>
        <w:rPr>
          <w:rFonts w:cs="Times"/>
          <w:bCs/>
        </w:rPr>
        <w:tab/>
      </w:r>
      <w:r w:rsidRPr="00F04D8E">
        <w:rPr>
          <w:rFonts w:cs="Times"/>
          <w:bCs/>
        </w:rPr>
        <w:t>(e)</w:t>
      </w:r>
      <w:r w:rsidRPr="00F04D8E">
        <w:rPr>
          <w:rFonts w:cs="Times"/>
          <w:bCs/>
        </w:rPr>
        <w:tab/>
        <w:t>a requirement as to a dimension limit for a component vehicle as prescribed by a heavy vehicle standard.</w:t>
      </w:r>
    </w:p>
    <w:p w14:paraId="48E5A950" w14:textId="77777777" w:rsidR="00DB6E47" w:rsidRPr="00041046" w:rsidRDefault="00DB6E47" w:rsidP="00DB6E47">
      <w:pPr>
        <w:pStyle w:val="aDef"/>
        <w:rPr>
          <w:bCs/>
        </w:rPr>
      </w:pPr>
      <w:r w:rsidRPr="00041046">
        <w:rPr>
          <w:rStyle w:val="charBoldItals"/>
        </w:rPr>
        <w:t>drive</w:t>
      </w:r>
      <w:r w:rsidRPr="00041046">
        <w:t>, a vehicle or combination, includes—</w:t>
      </w:r>
    </w:p>
    <w:p w14:paraId="2D9D2E1E" w14:textId="77777777" w:rsidR="00DB6E47" w:rsidRPr="00F04D8E" w:rsidRDefault="00DB6E47" w:rsidP="00DB6E47">
      <w:pPr>
        <w:pStyle w:val="aDefpara"/>
      </w:pPr>
      <w:r>
        <w:rPr>
          <w:rFonts w:cs="Times"/>
          <w:bCs/>
        </w:rPr>
        <w:tab/>
        <w:t>(a</w:t>
      </w:r>
      <w:r w:rsidRPr="00F04D8E">
        <w:rPr>
          <w:rFonts w:cs="Times"/>
          <w:bCs/>
        </w:rPr>
        <w:t>)</w:t>
      </w:r>
      <w:r w:rsidRPr="00F04D8E">
        <w:rPr>
          <w:rFonts w:cs="Times"/>
          <w:bCs/>
        </w:rPr>
        <w:tab/>
        <w:t>be in control of the steering, movement or propulsion of the vehicle or combination; and</w:t>
      </w:r>
    </w:p>
    <w:p w14:paraId="01FEF664" w14:textId="77777777" w:rsidR="00DB6E47" w:rsidRPr="00F04D8E" w:rsidRDefault="00DB6E47" w:rsidP="00DB6E47">
      <w:pPr>
        <w:pStyle w:val="aDefpara"/>
      </w:pPr>
      <w:r>
        <w:tab/>
      </w:r>
      <w:r w:rsidRPr="00F04D8E">
        <w:t>(b)</w:t>
      </w:r>
      <w:r w:rsidRPr="00F04D8E">
        <w:tab/>
        <w:t>for a trailer—drive a vehicle towing the trailer.</w:t>
      </w:r>
    </w:p>
    <w:p w14:paraId="2D3F045D" w14:textId="77777777" w:rsidR="00DB6E47" w:rsidRPr="00041046" w:rsidRDefault="00DB6E47" w:rsidP="00562073">
      <w:pPr>
        <w:pStyle w:val="aDef"/>
        <w:keepNext/>
        <w:rPr>
          <w:bCs/>
        </w:rPr>
      </w:pPr>
      <w:r w:rsidRPr="00041046">
        <w:rPr>
          <w:rStyle w:val="charBoldItals"/>
        </w:rPr>
        <w:t>driver</w:t>
      </w:r>
      <w:r w:rsidRPr="00041046">
        <w:t>, of a vehicle or combination—</w:t>
      </w:r>
    </w:p>
    <w:p w14:paraId="659739CE" w14:textId="77777777" w:rsidR="00DB6E47" w:rsidRPr="00F04D8E" w:rsidRDefault="00DB6E47" w:rsidP="00562073">
      <w:pPr>
        <w:pStyle w:val="aDefpara"/>
        <w:keepNext/>
      </w:pPr>
      <w:r w:rsidRPr="00F04D8E">
        <w:rPr>
          <w:rFonts w:cs="Times"/>
          <w:bCs/>
        </w:rPr>
        <w:tab/>
        <w:t>(a)</w:t>
      </w:r>
      <w:r w:rsidRPr="00F04D8E">
        <w:rPr>
          <w:rFonts w:cs="Times"/>
          <w:bCs/>
        </w:rPr>
        <w:tab/>
        <w:t>means the person driving the vehicle or combination; and</w:t>
      </w:r>
    </w:p>
    <w:p w14:paraId="75917264" w14:textId="77777777" w:rsidR="00DB6E47" w:rsidRPr="00F04D8E" w:rsidRDefault="00DB6E47" w:rsidP="00562073">
      <w:pPr>
        <w:pStyle w:val="aDefpara"/>
        <w:keepNext/>
      </w:pPr>
      <w:r w:rsidRPr="00F04D8E">
        <w:tab/>
        <w:t>(b)</w:t>
      </w:r>
      <w:r w:rsidRPr="00F04D8E">
        <w:tab/>
        <w:t>includes—</w:t>
      </w:r>
    </w:p>
    <w:p w14:paraId="67DE6F5F" w14:textId="77777777" w:rsidR="00DB6E47" w:rsidRPr="00F04D8E" w:rsidRDefault="00DB6E47" w:rsidP="00DB6E47">
      <w:pPr>
        <w:pStyle w:val="aDefsubpara"/>
      </w:pPr>
      <w:r w:rsidRPr="00F04D8E">
        <w:tab/>
        <w:t>(i)</w:t>
      </w:r>
      <w:r w:rsidRPr="00F04D8E">
        <w:tab/>
        <w:t>a person accompanying the person driving the vehicle or combination on a journey or part of a journey, who has been, is or will be sharing the task of driving the vehicle or combination during the journey or part; and</w:t>
      </w:r>
    </w:p>
    <w:p w14:paraId="5B6371E4" w14:textId="77777777" w:rsidR="00DB6E47" w:rsidRPr="00F04D8E" w:rsidRDefault="00DB6E47" w:rsidP="00DB6E47">
      <w:pPr>
        <w:pStyle w:val="aDefsubpara"/>
      </w:pPr>
      <w:r w:rsidRPr="00F04D8E">
        <w:lastRenderedPageBreak/>
        <w:tab/>
        <w:t>(ii)</w:t>
      </w:r>
      <w:r w:rsidRPr="00F04D8E">
        <w:tab/>
        <w:t>a person who is driving the vehicle or combination as a driver under instruction or under an appropriate learner licence or learner permit; and</w:t>
      </w:r>
    </w:p>
    <w:p w14:paraId="111524A1" w14:textId="77777777" w:rsidR="00DB6E47" w:rsidRDefault="00DB6E47" w:rsidP="00DB6E47">
      <w:pPr>
        <w:pStyle w:val="aDefsubpara"/>
      </w:pPr>
      <w:r w:rsidRPr="00F04D8E">
        <w:tab/>
        <w:t>(iii)</w:t>
      </w:r>
      <w:r w:rsidRPr="00F04D8E">
        <w:tab/>
        <w:t>where the driver is a driver under instruction, the holder of a driver licence occupying the seat in the vehicle or combination next to the driver.</w:t>
      </w:r>
    </w:p>
    <w:p w14:paraId="732ADE12" w14:textId="77777777" w:rsidR="00BD0552" w:rsidRDefault="00BD0552" w:rsidP="00BD0552">
      <w:pPr>
        <w:pStyle w:val="aDef"/>
        <w:rPr>
          <w:szCs w:val="24"/>
        </w:rPr>
      </w:pPr>
      <w:r w:rsidRPr="00BD0552">
        <w:rPr>
          <w:rStyle w:val="charBoldItals"/>
        </w:rPr>
        <w:t>driver fatigue compliance function</w:t>
      </w:r>
      <w:r>
        <w:rPr>
          <w:spacing w:val="-1"/>
        </w:rPr>
        <w:t>,</w:t>
      </w:r>
      <w:r>
        <w:rPr>
          <w:spacing w:val="52"/>
        </w:rPr>
        <w:t xml:space="preserve"> </w:t>
      </w:r>
      <w:r>
        <w:rPr>
          <w:spacing w:val="-1"/>
        </w:rPr>
        <w:t>for</w:t>
      </w:r>
      <w:r>
        <w:rPr>
          <w:spacing w:val="52"/>
        </w:rPr>
        <w:t xml:space="preserve"> </w:t>
      </w:r>
      <w:r>
        <w:rPr>
          <w:spacing w:val="-1"/>
        </w:rPr>
        <w:t>the</w:t>
      </w:r>
      <w:r>
        <w:rPr>
          <w:spacing w:val="20"/>
        </w:rPr>
        <w:t xml:space="preserve"> </w:t>
      </w:r>
      <w:r>
        <w:t>purposes</w:t>
      </w:r>
      <w:r>
        <w:rPr>
          <w:spacing w:val="17"/>
        </w:rPr>
        <w:t xml:space="preserve"> </w:t>
      </w:r>
      <w:r>
        <w:t>of</w:t>
      </w:r>
      <w:r>
        <w:rPr>
          <w:spacing w:val="17"/>
        </w:rPr>
        <w:t xml:space="preserve"> </w:t>
      </w:r>
      <w:r>
        <w:rPr>
          <w:spacing w:val="-1"/>
        </w:rPr>
        <w:t>Part</w:t>
      </w:r>
      <w:r>
        <w:rPr>
          <w:spacing w:val="17"/>
        </w:rPr>
        <w:t> </w:t>
      </w:r>
      <w:r>
        <w:t>13.4,</w:t>
      </w:r>
      <w:r>
        <w:rPr>
          <w:spacing w:val="16"/>
        </w:rPr>
        <w:t xml:space="preserve"> </w:t>
      </w:r>
      <w:r>
        <w:t>has</w:t>
      </w:r>
      <w:r>
        <w:rPr>
          <w:spacing w:val="17"/>
        </w:rPr>
        <w:t xml:space="preserve"> </w:t>
      </w:r>
      <w:r>
        <w:t>the</w:t>
      </w:r>
      <w:r>
        <w:rPr>
          <w:spacing w:val="17"/>
        </w:rPr>
        <w:t xml:space="preserve"> </w:t>
      </w:r>
      <w:r>
        <w:t>meaning</w:t>
      </w:r>
      <w:r>
        <w:rPr>
          <w:spacing w:val="17"/>
        </w:rPr>
        <w:t xml:space="preserve"> </w:t>
      </w:r>
      <w:r>
        <w:rPr>
          <w:spacing w:val="-3"/>
        </w:rPr>
        <w:t>given</w:t>
      </w:r>
      <w:r>
        <w:rPr>
          <w:spacing w:val="17"/>
        </w:rPr>
        <w:t xml:space="preserve"> </w:t>
      </w:r>
      <w:r>
        <w:t>by</w:t>
      </w:r>
      <w:r>
        <w:rPr>
          <w:spacing w:val="25"/>
        </w:rPr>
        <w:t xml:space="preserve"> </w:t>
      </w:r>
      <w:r>
        <w:rPr>
          <w:spacing w:val="-1"/>
        </w:rPr>
        <w:t>section 727(1).</w:t>
      </w:r>
    </w:p>
    <w:p w14:paraId="4E965179" w14:textId="77777777" w:rsidR="00BD0552" w:rsidRDefault="00BD0552" w:rsidP="00BD0552">
      <w:pPr>
        <w:pStyle w:val="aDef"/>
        <w:rPr>
          <w:szCs w:val="24"/>
        </w:rPr>
      </w:pPr>
      <w:r w:rsidRPr="00BD0552">
        <w:rPr>
          <w:rStyle w:val="charBoldItals"/>
        </w:rPr>
        <w:t>driver fatigue provision</w:t>
      </w:r>
      <w:r>
        <w:rPr>
          <w:spacing w:val="-1"/>
        </w:rPr>
        <w:t>,</w:t>
      </w:r>
      <w:r>
        <w:rPr>
          <w:spacing w:val="8"/>
        </w:rPr>
        <w:t xml:space="preserve"> </w:t>
      </w:r>
      <w:r>
        <w:rPr>
          <w:spacing w:val="-1"/>
        </w:rPr>
        <w:t>for</w:t>
      </w:r>
      <w:r>
        <w:rPr>
          <w:spacing w:val="8"/>
        </w:rPr>
        <w:t xml:space="preserve"> </w:t>
      </w:r>
      <w:r>
        <w:rPr>
          <w:spacing w:val="-1"/>
        </w:rPr>
        <w:t>the</w:t>
      </w:r>
      <w:r>
        <w:rPr>
          <w:spacing w:val="8"/>
        </w:rPr>
        <w:t xml:space="preserve"> </w:t>
      </w:r>
      <w:r>
        <w:rPr>
          <w:spacing w:val="-1"/>
        </w:rPr>
        <w:t>purposes</w:t>
      </w:r>
      <w:r>
        <w:rPr>
          <w:spacing w:val="8"/>
        </w:rPr>
        <w:t xml:space="preserve"> </w:t>
      </w:r>
      <w:r>
        <w:rPr>
          <w:spacing w:val="-1"/>
        </w:rPr>
        <w:t>of</w:t>
      </w:r>
      <w:r>
        <w:rPr>
          <w:spacing w:val="8"/>
        </w:rPr>
        <w:t xml:space="preserve"> </w:t>
      </w:r>
      <w:r>
        <w:t>Part</w:t>
      </w:r>
      <w:r>
        <w:rPr>
          <w:spacing w:val="22"/>
        </w:rPr>
        <w:t> </w:t>
      </w:r>
      <w:r>
        <w:rPr>
          <w:spacing w:val="-1"/>
        </w:rPr>
        <w:t xml:space="preserve">13.4, has the meaning </w:t>
      </w:r>
      <w:r>
        <w:rPr>
          <w:spacing w:val="-3"/>
        </w:rPr>
        <w:t>given</w:t>
      </w:r>
      <w:r>
        <w:rPr>
          <w:spacing w:val="-1"/>
        </w:rPr>
        <w:t xml:space="preserve"> by section 727(1).</w:t>
      </w:r>
    </w:p>
    <w:p w14:paraId="77C06F63" w14:textId="77777777" w:rsidR="00DB6E47" w:rsidRPr="00041046" w:rsidRDefault="00DB6E47" w:rsidP="00DB6E47">
      <w:pPr>
        <w:pStyle w:val="aDef"/>
        <w:rPr>
          <w:bCs/>
        </w:rPr>
      </w:pPr>
      <w:r w:rsidRPr="00041046">
        <w:rPr>
          <w:rStyle w:val="charBoldItals"/>
        </w:rPr>
        <w:t>driver licence</w:t>
      </w:r>
      <w:r w:rsidRPr="00041046">
        <w:t xml:space="preserve"> means—</w:t>
      </w:r>
    </w:p>
    <w:p w14:paraId="2C7E2067" w14:textId="77777777" w:rsidR="00DB6E47" w:rsidRPr="00F04D8E" w:rsidRDefault="00DB6E47" w:rsidP="00DB6E47">
      <w:pPr>
        <w:pStyle w:val="aDefpara"/>
      </w:pPr>
      <w:r w:rsidRPr="00F04D8E">
        <w:rPr>
          <w:rFonts w:cs="Times"/>
          <w:bCs/>
        </w:rPr>
        <w:tab/>
        <w:t>(a)</w:t>
      </w:r>
      <w:r w:rsidRPr="00F04D8E">
        <w:rPr>
          <w:rFonts w:cs="Times"/>
          <w:bCs/>
        </w:rPr>
        <w:tab/>
        <w:t>a driver licence issued under a law of a State or Territory that regulates the use of vehicles on roads; or</w:t>
      </w:r>
    </w:p>
    <w:p w14:paraId="7DADD792" w14:textId="77777777" w:rsidR="00DB6E47" w:rsidRPr="00F04D8E" w:rsidRDefault="00DB6E47" w:rsidP="00DB6E47">
      <w:pPr>
        <w:pStyle w:val="aDefpara"/>
      </w:pPr>
      <w:r w:rsidRPr="00F04D8E">
        <w:tab/>
        <w:t>(b)</w:t>
      </w:r>
      <w:r w:rsidRPr="00F04D8E">
        <w:tab/>
        <w:t xml:space="preserve">a licence, permit or other authorisation to drive a motor vehicle issued under a law of another country </w:t>
      </w:r>
      <w:r w:rsidR="004E3F26">
        <w:t xml:space="preserve">if a law mentioned in paragraph </w:t>
      </w:r>
      <w:r w:rsidRPr="00F04D8E">
        <w:t>(a)</w:t>
      </w:r>
      <w:r w:rsidR="004E3F26">
        <w:t xml:space="preserve"> </w:t>
      </w:r>
      <w:r w:rsidRPr="00F04D8E">
        <w:t>exempts the holder of the licence, permit or other authorisation from the requirement to hold a driver licence under that law to drive a motor vehicle.</w:t>
      </w:r>
    </w:p>
    <w:p w14:paraId="1133F92C" w14:textId="77777777" w:rsidR="00DB6E47" w:rsidRPr="00041046" w:rsidRDefault="00DB6E47" w:rsidP="00DB6E47">
      <w:pPr>
        <w:pStyle w:val="aDef"/>
        <w:rPr>
          <w:bCs/>
        </w:rPr>
      </w:pPr>
      <w:r w:rsidRPr="00041046">
        <w:rPr>
          <w:rStyle w:val="charBoldItals"/>
        </w:rPr>
        <w:t>electronic recording system</w:t>
      </w:r>
      <w:r w:rsidRPr="00041046">
        <w:t xml:space="preserve"> has the meaning given by section 221.</w:t>
      </w:r>
    </w:p>
    <w:p w14:paraId="11EACDA7" w14:textId="77777777" w:rsidR="00DB6E47" w:rsidRPr="00041046" w:rsidRDefault="00DB6E47" w:rsidP="00DB6E47">
      <w:pPr>
        <w:pStyle w:val="aDef"/>
        <w:rPr>
          <w:bCs/>
        </w:rPr>
      </w:pPr>
      <w:r w:rsidRPr="00041046">
        <w:rPr>
          <w:rStyle w:val="charBoldItals"/>
        </w:rPr>
        <w:t>electronic recording system approval</w:t>
      </w:r>
      <w:r w:rsidRPr="00041046">
        <w:t xml:space="preserve"> means an approval of an electronic recording system under Division 7 of Part 6.4.</w:t>
      </w:r>
    </w:p>
    <w:p w14:paraId="77E029C6" w14:textId="77777777" w:rsidR="00DB6E47" w:rsidRDefault="00DB6E47" w:rsidP="00DB6E47">
      <w:pPr>
        <w:pStyle w:val="aDef"/>
      </w:pPr>
      <w:r w:rsidRPr="00041046">
        <w:rPr>
          <w:rStyle w:val="charBoldItals"/>
        </w:rPr>
        <w:t>electronic work diary</w:t>
      </w:r>
      <w:r w:rsidRPr="00041046">
        <w:t xml:space="preserve"> has the meaning given by section 221.</w:t>
      </w:r>
    </w:p>
    <w:p w14:paraId="6DAF9447" w14:textId="77777777" w:rsidR="00E576DF" w:rsidRDefault="00E576DF" w:rsidP="00E576DF">
      <w:pPr>
        <w:pStyle w:val="aDef"/>
        <w:rPr>
          <w:szCs w:val="24"/>
        </w:rPr>
      </w:pPr>
      <w:r w:rsidRPr="00E576DF">
        <w:rPr>
          <w:rStyle w:val="charBoldItals"/>
        </w:rPr>
        <w:t>electronic work diary authorised use</w:t>
      </w:r>
      <w:r>
        <w:t>,</w:t>
      </w:r>
      <w:r>
        <w:rPr>
          <w:spacing w:val="5"/>
        </w:rPr>
        <w:t xml:space="preserve"> </w:t>
      </w:r>
      <w:r>
        <w:t>for</w:t>
      </w:r>
      <w:r>
        <w:rPr>
          <w:spacing w:val="5"/>
        </w:rPr>
        <w:t xml:space="preserve"> </w:t>
      </w:r>
      <w:r>
        <w:t>the</w:t>
      </w:r>
      <w:r>
        <w:rPr>
          <w:spacing w:val="29"/>
        </w:rPr>
        <w:t xml:space="preserve"> </w:t>
      </w:r>
      <w:r>
        <w:t>purposes</w:t>
      </w:r>
      <w:r>
        <w:rPr>
          <w:spacing w:val="17"/>
        </w:rPr>
        <w:t xml:space="preserve"> </w:t>
      </w:r>
      <w:r>
        <w:t>of</w:t>
      </w:r>
      <w:r>
        <w:rPr>
          <w:spacing w:val="17"/>
        </w:rPr>
        <w:t xml:space="preserve"> </w:t>
      </w:r>
      <w:r>
        <w:t>Part</w:t>
      </w:r>
      <w:r w:rsidR="00E2262C">
        <w:rPr>
          <w:spacing w:val="17"/>
        </w:rPr>
        <w:t> </w:t>
      </w:r>
      <w:r>
        <w:t>13.4,</w:t>
      </w:r>
      <w:r>
        <w:rPr>
          <w:spacing w:val="16"/>
        </w:rPr>
        <w:t xml:space="preserve"> </w:t>
      </w:r>
      <w:r>
        <w:t>has</w:t>
      </w:r>
      <w:r>
        <w:rPr>
          <w:spacing w:val="17"/>
        </w:rPr>
        <w:t xml:space="preserve"> </w:t>
      </w:r>
      <w:r>
        <w:t>the</w:t>
      </w:r>
      <w:r>
        <w:rPr>
          <w:spacing w:val="17"/>
        </w:rPr>
        <w:t xml:space="preserve"> </w:t>
      </w:r>
      <w:r>
        <w:t>meaning</w:t>
      </w:r>
      <w:r>
        <w:rPr>
          <w:spacing w:val="17"/>
        </w:rPr>
        <w:t xml:space="preserve"> </w:t>
      </w:r>
      <w:r>
        <w:rPr>
          <w:spacing w:val="-3"/>
        </w:rPr>
        <w:t>given</w:t>
      </w:r>
      <w:r>
        <w:rPr>
          <w:spacing w:val="17"/>
        </w:rPr>
        <w:t xml:space="preserve"> </w:t>
      </w:r>
      <w:r>
        <w:t>by</w:t>
      </w:r>
      <w:r>
        <w:rPr>
          <w:spacing w:val="25"/>
        </w:rPr>
        <w:t xml:space="preserve"> </w:t>
      </w:r>
      <w:r>
        <w:t>section 727(1).</w:t>
      </w:r>
    </w:p>
    <w:p w14:paraId="03D851AC" w14:textId="77777777" w:rsidR="00E576DF" w:rsidRDefault="00E576DF" w:rsidP="00E576DF">
      <w:pPr>
        <w:pStyle w:val="aDef"/>
        <w:rPr>
          <w:szCs w:val="24"/>
        </w:rPr>
      </w:pPr>
      <w:r w:rsidRPr="00E576DF">
        <w:rPr>
          <w:rStyle w:val="charBoldItals"/>
        </w:rPr>
        <w:t>electronic work diary information</w:t>
      </w:r>
      <w:r>
        <w:t>,</w:t>
      </w:r>
      <w:r>
        <w:rPr>
          <w:spacing w:val="11"/>
        </w:rPr>
        <w:t xml:space="preserve"> </w:t>
      </w:r>
      <w:r>
        <w:t>for</w:t>
      </w:r>
      <w:r>
        <w:rPr>
          <w:spacing w:val="11"/>
        </w:rPr>
        <w:t xml:space="preserve"> </w:t>
      </w:r>
      <w:r>
        <w:t>the</w:t>
      </w:r>
      <w:r>
        <w:rPr>
          <w:spacing w:val="24"/>
        </w:rPr>
        <w:t xml:space="preserve"> </w:t>
      </w:r>
      <w:r>
        <w:t>purposes</w:t>
      </w:r>
      <w:r>
        <w:rPr>
          <w:spacing w:val="17"/>
        </w:rPr>
        <w:t xml:space="preserve"> </w:t>
      </w:r>
      <w:r>
        <w:t>of</w:t>
      </w:r>
      <w:r>
        <w:rPr>
          <w:spacing w:val="17"/>
        </w:rPr>
        <w:t xml:space="preserve"> </w:t>
      </w:r>
      <w:r>
        <w:t>Part</w:t>
      </w:r>
      <w:r w:rsidR="00E2262C">
        <w:rPr>
          <w:spacing w:val="17"/>
        </w:rPr>
        <w:t> </w:t>
      </w:r>
      <w:r>
        <w:t>13.4,</w:t>
      </w:r>
      <w:r>
        <w:rPr>
          <w:spacing w:val="16"/>
        </w:rPr>
        <w:t xml:space="preserve"> </w:t>
      </w:r>
      <w:r>
        <w:t>has</w:t>
      </w:r>
      <w:r>
        <w:rPr>
          <w:spacing w:val="17"/>
        </w:rPr>
        <w:t xml:space="preserve"> </w:t>
      </w:r>
      <w:r>
        <w:t>the</w:t>
      </w:r>
      <w:r>
        <w:rPr>
          <w:spacing w:val="17"/>
        </w:rPr>
        <w:t xml:space="preserve"> </w:t>
      </w:r>
      <w:r>
        <w:t>meaning</w:t>
      </w:r>
      <w:r>
        <w:rPr>
          <w:spacing w:val="17"/>
        </w:rPr>
        <w:t xml:space="preserve"> </w:t>
      </w:r>
      <w:r>
        <w:rPr>
          <w:spacing w:val="-3"/>
        </w:rPr>
        <w:t>given</w:t>
      </w:r>
      <w:r>
        <w:rPr>
          <w:spacing w:val="17"/>
        </w:rPr>
        <w:t xml:space="preserve"> </w:t>
      </w:r>
      <w:r>
        <w:t>by</w:t>
      </w:r>
      <w:r>
        <w:rPr>
          <w:spacing w:val="25"/>
        </w:rPr>
        <w:t xml:space="preserve"> </w:t>
      </w:r>
      <w:r>
        <w:t>section 727(1).</w:t>
      </w:r>
    </w:p>
    <w:p w14:paraId="1CC1D9ED" w14:textId="77777777" w:rsidR="00E576DF" w:rsidRDefault="00E576DF" w:rsidP="00E576DF">
      <w:pPr>
        <w:pStyle w:val="aDef"/>
        <w:rPr>
          <w:szCs w:val="24"/>
        </w:rPr>
      </w:pPr>
      <w:r w:rsidRPr="00E576DF">
        <w:rPr>
          <w:rStyle w:val="charBoldItals"/>
        </w:rPr>
        <w:t>electronic work diary protected information</w:t>
      </w:r>
      <w:r>
        <w:t>,</w:t>
      </w:r>
      <w:r>
        <w:rPr>
          <w:spacing w:val="8"/>
        </w:rPr>
        <w:t xml:space="preserve"> </w:t>
      </w:r>
      <w:r>
        <w:t>for</w:t>
      </w:r>
      <w:r>
        <w:rPr>
          <w:spacing w:val="25"/>
        </w:rPr>
        <w:t xml:space="preserve"> </w:t>
      </w:r>
      <w:r>
        <w:t>the</w:t>
      </w:r>
      <w:r>
        <w:rPr>
          <w:spacing w:val="11"/>
        </w:rPr>
        <w:t xml:space="preserve"> </w:t>
      </w:r>
      <w:r>
        <w:t>purposes</w:t>
      </w:r>
      <w:r>
        <w:rPr>
          <w:spacing w:val="11"/>
        </w:rPr>
        <w:t xml:space="preserve"> </w:t>
      </w:r>
      <w:r>
        <w:t>of</w:t>
      </w:r>
      <w:r>
        <w:rPr>
          <w:spacing w:val="11"/>
        </w:rPr>
        <w:t xml:space="preserve"> </w:t>
      </w:r>
      <w:r>
        <w:rPr>
          <w:spacing w:val="-2"/>
        </w:rPr>
        <w:t>Part</w:t>
      </w:r>
      <w:r w:rsidR="00E2262C">
        <w:rPr>
          <w:spacing w:val="11"/>
        </w:rPr>
        <w:t> </w:t>
      </w:r>
      <w:r>
        <w:t>13.4,</w:t>
      </w:r>
      <w:r>
        <w:rPr>
          <w:spacing w:val="11"/>
        </w:rPr>
        <w:t xml:space="preserve"> </w:t>
      </w:r>
      <w:r>
        <w:t>has</w:t>
      </w:r>
      <w:r>
        <w:rPr>
          <w:spacing w:val="11"/>
        </w:rPr>
        <w:t xml:space="preserve"> </w:t>
      </w:r>
      <w:r>
        <w:t>the</w:t>
      </w:r>
      <w:r>
        <w:rPr>
          <w:spacing w:val="11"/>
        </w:rPr>
        <w:t xml:space="preserve"> </w:t>
      </w:r>
      <w:r>
        <w:t>meaning</w:t>
      </w:r>
      <w:r>
        <w:rPr>
          <w:spacing w:val="11"/>
        </w:rPr>
        <w:t xml:space="preserve"> </w:t>
      </w:r>
      <w:r>
        <w:rPr>
          <w:spacing w:val="-3"/>
        </w:rPr>
        <w:t>given</w:t>
      </w:r>
      <w:r>
        <w:rPr>
          <w:spacing w:val="25"/>
        </w:rPr>
        <w:t xml:space="preserve"> </w:t>
      </w:r>
      <w:r>
        <w:t>by section 727(1).</w:t>
      </w:r>
    </w:p>
    <w:p w14:paraId="53D2138A" w14:textId="77777777" w:rsidR="00DB6E47" w:rsidRPr="00041046" w:rsidRDefault="00DB6E47" w:rsidP="00DB6E47">
      <w:pPr>
        <w:pStyle w:val="aDef"/>
        <w:rPr>
          <w:bCs/>
        </w:rPr>
      </w:pPr>
      <w:r w:rsidRPr="00041046">
        <w:rPr>
          <w:rStyle w:val="charBoldItals"/>
        </w:rPr>
        <w:t>embargo notice</w:t>
      </w:r>
      <w:r w:rsidRPr="00041046">
        <w:t xml:space="preserve"> has the meaning given by section 557(2).</w:t>
      </w:r>
    </w:p>
    <w:p w14:paraId="3D44890C" w14:textId="77777777" w:rsidR="00DB6E47" w:rsidRPr="00041046" w:rsidRDefault="00DB6E47" w:rsidP="00DB6E47">
      <w:pPr>
        <w:pStyle w:val="aDef"/>
        <w:rPr>
          <w:bCs/>
        </w:rPr>
      </w:pPr>
      <w:r w:rsidRPr="00041046">
        <w:rPr>
          <w:rStyle w:val="charBoldItals"/>
        </w:rPr>
        <w:lastRenderedPageBreak/>
        <w:t>embargoed thing</w:t>
      </w:r>
      <w:r w:rsidRPr="00041046">
        <w:t xml:space="preserve"> means a thing the subject of an embargo notice.</w:t>
      </w:r>
    </w:p>
    <w:p w14:paraId="094A6B21" w14:textId="77777777" w:rsidR="00DB6E47" w:rsidRPr="00041046" w:rsidRDefault="00DB6E47" w:rsidP="00DB6E47">
      <w:pPr>
        <w:pStyle w:val="aDef"/>
        <w:rPr>
          <w:bCs/>
        </w:rPr>
      </w:pPr>
      <w:r w:rsidRPr="00041046">
        <w:rPr>
          <w:rStyle w:val="charBoldItals"/>
        </w:rPr>
        <w:t>employed driver</w:t>
      </w:r>
      <w:r w:rsidRPr="00041046">
        <w:t>, of a heavy vehicle, means a person who is employed by someone else to drive the vehicle.</w:t>
      </w:r>
    </w:p>
    <w:p w14:paraId="06FC7555" w14:textId="77777777" w:rsidR="00DB6E47" w:rsidRPr="00041046" w:rsidRDefault="00DB6E47" w:rsidP="00DB6E47">
      <w:pPr>
        <w:pStyle w:val="aDef"/>
        <w:rPr>
          <w:bCs/>
        </w:rPr>
      </w:pPr>
      <w:r w:rsidRPr="00041046">
        <w:rPr>
          <w:rStyle w:val="charBoldItals"/>
        </w:rPr>
        <w:t>employee</w:t>
      </w:r>
      <w:r w:rsidRPr="00041046">
        <w:t xml:space="preserve"> means an individual who is employed by someone else.</w:t>
      </w:r>
    </w:p>
    <w:p w14:paraId="1E2DF507" w14:textId="77777777" w:rsidR="00DB6E47" w:rsidRPr="00041046" w:rsidRDefault="00DB6E47" w:rsidP="00DB6E47">
      <w:pPr>
        <w:pStyle w:val="aDef"/>
        <w:rPr>
          <w:bCs/>
        </w:rPr>
      </w:pPr>
      <w:r w:rsidRPr="00041046">
        <w:rPr>
          <w:rStyle w:val="charBoldItals"/>
        </w:rPr>
        <w:t>employer</w:t>
      </w:r>
      <w:r w:rsidRPr="00041046">
        <w:t xml:space="preserve"> means a person who employs someone else.</w:t>
      </w:r>
    </w:p>
    <w:p w14:paraId="641DDB64" w14:textId="77777777" w:rsidR="00C67082" w:rsidRPr="003323FC" w:rsidRDefault="000F2061" w:rsidP="00DB6E47">
      <w:pPr>
        <w:pStyle w:val="aDef"/>
      </w:pPr>
      <w:r w:rsidRPr="003323FC">
        <w:rPr>
          <w:rStyle w:val="charBoldItals"/>
        </w:rPr>
        <w:t>encourage</w:t>
      </w:r>
      <w:r w:rsidRPr="003323FC">
        <w:t xml:space="preserve"> includes give an incentive.</w:t>
      </w:r>
    </w:p>
    <w:p w14:paraId="687680F7" w14:textId="77777777" w:rsidR="00DB6E47" w:rsidRPr="00041046" w:rsidRDefault="00DB6E47" w:rsidP="00DB6E47">
      <w:pPr>
        <w:pStyle w:val="aDef"/>
        <w:rPr>
          <w:bCs/>
        </w:rPr>
      </w:pPr>
      <w:r w:rsidRPr="00041046">
        <w:rPr>
          <w:rStyle w:val="charBoldItals"/>
        </w:rPr>
        <w:t>entity</w:t>
      </w:r>
      <w:r w:rsidRPr="00041046">
        <w:t xml:space="preserve"> includes a person</w:t>
      </w:r>
      <w:r w:rsidR="00C67082" w:rsidRPr="003323FC">
        <w:t>, an unincorporated partnership</w:t>
      </w:r>
      <w:r w:rsidRPr="00041046">
        <w:t xml:space="preserve"> and an unincorporated body.</w:t>
      </w:r>
    </w:p>
    <w:p w14:paraId="253E6451" w14:textId="77777777" w:rsidR="00DB6E47" w:rsidRPr="00041046" w:rsidRDefault="00DB6E47" w:rsidP="00DB6E47">
      <w:pPr>
        <w:pStyle w:val="aDef"/>
        <w:rPr>
          <w:bCs/>
        </w:rPr>
      </w:pPr>
      <w:r w:rsidRPr="00041046">
        <w:rPr>
          <w:rStyle w:val="charBoldItals"/>
        </w:rPr>
        <w:t>entry</w:t>
      </w:r>
      <w:r w:rsidRPr="00041046">
        <w:t>, in a work record, for the purposes of Chapter 6, has the meaning given by section 221.</w:t>
      </w:r>
    </w:p>
    <w:p w14:paraId="659B3012" w14:textId="77777777" w:rsidR="00DB6E47" w:rsidRPr="00041046" w:rsidRDefault="00DB6E47" w:rsidP="00DB6E47">
      <w:pPr>
        <w:pStyle w:val="aDef"/>
        <w:rPr>
          <w:bCs/>
        </w:rPr>
      </w:pPr>
      <w:r w:rsidRPr="00041046">
        <w:rPr>
          <w:rStyle w:val="charBoldItals"/>
        </w:rPr>
        <w:t>equipment</w:t>
      </w:r>
      <w:r w:rsidRPr="00041046">
        <w:t>, in relation to a heavy vehicle, includes tools, devices and accessories in the vehicle.</w:t>
      </w:r>
    </w:p>
    <w:p w14:paraId="0D9008AB" w14:textId="77777777" w:rsidR="00DB6E47" w:rsidRPr="00041046" w:rsidRDefault="00DB6E47" w:rsidP="00DB6E47">
      <w:pPr>
        <w:pStyle w:val="aDef"/>
        <w:rPr>
          <w:bCs/>
        </w:rPr>
      </w:pPr>
      <w:r w:rsidRPr="00041046">
        <w:rPr>
          <w:rStyle w:val="charBoldItals"/>
        </w:rPr>
        <w:t>escort vehicle</w:t>
      </w:r>
      <w:r w:rsidRPr="00041046">
        <w:t xml:space="preserve"> means a pilot vehicle that is driven by a police officer or another person authorised to direct traffic under an Australian road law.</w:t>
      </w:r>
    </w:p>
    <w:p w14:paraId="69A951B3" w14:textId="77777777" w:rsidR="00DB6E47" w:rsidRPr="00041046" w:rsidRDefault="00DB6E47" w:rsidP="00DB6E47">
      <w:pPr>
        <w:pStyle w:val="aDef"/>
        <w:rPr>
          <w:bCs/>
        </w:rPr>
      </w:pPr>
      <w:r w:rsidRPr="00041046">
        <w:rPr>
          <w:rStyle w:val="charBoldItals"/>
        </w:rPr>
        <w:t>examine</w:t>
      </w:r>
      <w:r w:rsidRPr="00041046">
        <w:t xml:space="preserve"> includes analyse, test, account, measure, weigh, grade, gauge or identify.</w:t>
      </w:r>
    </w:p>
    <w:p w14:paraId="1FB0281B" w14:textId="77777777" w:rsidR="00DB6E47" w:rsidRPr="00041046" w:rsidRDefault="00DB6E47" w:rsidP="00CF52C7">
      <w:pPr>
        <w:pStyle w:val="aDef"/>
        <w:keepNext/>
        <w:rPr>
          <w:bCs/>
        </w:rPr>
      </w:pPr>
      <w:r w:rsidRPr="00041046">
        <w:rPr>
          <w:rStyle w:val="charBoldItals"/>
        </w:rPr>
        <w:t>executive officer</w:t>
      </w:r>
      <w:r w:rsidRPr="00041046">
        <w:t>, of a corporation, means—</w:t>
      </w:r>
    </w:p>
    <w:p w14:paraId="43FF52C0"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a director of the corporation; or</w:t>
      </w:r>
    </w:p>
    <w:p w14:paraId="35165968" w14:textId="77777777" w:rsidR="00DB6E47" w:rsidRPr="00F04D8E" w:rsidRDefault="00DB6E47" w:rsidP="00DB6E47">
      <w:pPr>
        <w:pStyle w:val="aDefpara"/>
      </w:pPr>
      <w:r>
        <w:tab/>
      </w:r>
      <w:r w:rsidRPr="00F04D8E">
        <w:t>(b)</w:t>
      </w:r>
      <w:r w:rsidRPr="00F04D8E">
        <w:tab/>
        <w:t>any person, by whatever name called and whether or not the person is a director of the corporation, who is concerned or takes part in the management of the corporation.</w:t>
      </w:r>
    </w:p>
    <w:p w14:paraId="3570B376" w14:textId="77777777" w:rsidR="00DB6E47" w:rsidRPr="00041046" w:rsidRDefault="00DB6E47" w:rsidP="00DB6E47">
      <w:pPr>
        <w:pStyle w:val="aDef"/>
        <w:rPr>
          <w:bCs/>
        </w:rPr>
      </w:pPr>
      <w:r w:rsidRPr="00041046">
        <w:rPr>
          <w:rStyle w:val="charBoldItals"/>
        </w:rPr>
        <w:t>exemption hours</w:t>
      </w:r>
      <w:r w:rsidRPr="00041046">
        <w:t>, for the purposes of Chapter 6, has the meaning given by section 259.</w:t>
      </w:r>
    </w:p>
    <w:p w14:paraId="3FA1970D" w14:textId="77777777" w:rsidR="00DB6E47" w:rsidRPr="00041046" w:rsidRDefault="00DB6E47" w:rsidP="00DB6E47">
      <w:pPr>
        <w:pStyle w:val="aDef"/>
        <w:rPr>
          <w:bCs/>
        </w:rPr>
      </w:pPr>
      <w:r w:rsidRPr="00041046">
        <w:rPr>
          <w:rStyle w:val="charBoldItals"/>
        </w:rPr>
        <w:t>exercise</w:t>
      </w:r>
      <w:r w:rsidRPr="00041046">
        <w:t>, for a function, includes perform.</w:t>
      </w:r>
    </w:p>
    <w:p w14:paraId="352C97C1" w14:textId="77777777" w:rsidR="00DB6E47" w:rsidRPr="00041046" w:rsidRDefault="00DB6E47" w:rsidP="00973177">
      <w:pPr>
        <w:pStyle w:val="aDef"/>
        <w:keepNext/>
        <w:rPr>
          <w:bCs/>
        </w:rPr>
      </w:pPr>
      <w:r w:rsidRPr="00041046">
        <w:rPr>
          <w:rStyle w:val="charBoldItals"/>
        </w:rPr>
        <w:lastRenderedPageBreak/>
        <w:t>extract</w:t>
      </w:r>
      <w:r w:rsidRPr="00041046">
        <w:t>, of a document, device or other thing, means a copy of any information contained in the document, device or other thing.</w:t>
      </w:r>
    </w:p>
    <w:p w14:paraId="0AC68C47" w14:textId="77777777" w:rsidR="00862BFE" w:rsidRPr="001C07E0" w:rsidRDefault="00862BFE" w:rsidP="00862BFE">
      <w:pPr>
        <w:pStyle w:val="aNote"/>
        <w:rPr>
          <w:lang w:val="en" w:eastAsia="en-AU"/>
        </w:rPr>
      </w:pPr>
      <w:r w:rsidRPr="001C07E0">
        <w:rPr>
          <w:rStyle w:val="charItals"/>
        </w:rPr>
        <w:t>Note</w:t>
      </w:r>
      <w:r w:rsidRPr="001C07E0">
        <w:rPr>
          <w:lang w:val="en" w:eastAsia="en-AU"/>
        </w:rPr>
        <w:t>—</w:t>
      </w:r>
    </w:p>
    <w:p w14:paraId="7E002601" w14:textId="77777777" w:rsidR="00862BFE" w:rsidRPr="001C07E0" w:rsidRDefault="00862BFE" w:rsidP="00862BFE">
      <w:pPr>
        <w:pStyle w:val="aNoteTextss"/>
        <w:rPr>
          <w:lang w:val="en" w:eastAsia="en-AU"/>
        </w:rPr>
      </w:pPr>
      <w:r w:rsidRPr="001C07E0">
        <w:rPr>
          <w:lang w:val="en" w:eastAsia="en-AU"/>
        </w:rPr>
        <w:t xml:space="preserve">See the definition </w:t>
      </w:r>
      <w:r w:rsidRPr="001C07E0">
        <w:rPr>
          <w:i/>
          <w:iCs/>
          <w:lang w:val="en" w:eastAsia="en-AU"/>
        </w:rPr>
        <w:t>document</w:t>
      </w:r>
      <w:r w:rsidRPr="001C07E0">
        <w:rPr>
          <w:lang w:val="en" w:eastAsia="en-AU"/>
        </w:rPr>
        <w:t xml:space="preserve"> in section 12 of Schedule 1.</w:t>
      </w:r>
    </w:p>
    <w:p w14:paraId="66BEE6A0" w14:textId="77777777" w:rsidR="000F2061" w:rsidRPr="003323FC" w:rsidRDefault="000F2061" w:rsidP="00DB6E47">
      <w:pPr>
        <w:pStyle w:val="aDef"/>
      </w:pPr>
      <w:r w:rsidRPr="003323FC">
        <w:rPr>
          <w:rStyle w:val="charBoldItals"/>
        </w:rPr>
        <w:t>false or misleading</w:t>
      </w:r>
      <w:r w:rsidRPr="003323FC">
        <w:t xml:space="preserve"> means false or misleading in a material particular.</w:t>
      </w:r>
    </w:p>
    <w:p w14:paraId="44A2887A" w14:textId="77777777" w:rsidR="00DB6E47" w:rsidRPr="00041046" w:rsidRDefault="00DB6E47" w:rsidP="00DB6E47">
      <w:pPr>
        <w:pStyle w:val="aDef"/>
        <w:rPr>
          <w:bCs/>
        </w:rPr>
      </w:pPr>
      <w:r w:rsidRPr="00041046">
        <w:rPr>
          <w:rStyle w:val="charBoldItals"/>
        </w:rPr>
        <w:t>fatigue</w:t>
      </w:r>
      <w:r w:rsidRPr="00041046">
        <w:t xml:space="preserve"> has the meaning given by section 223.</w:t>
      </w:r>
    </w:p>
    <w:p w14:paraId="2A5A8FEE" w14:textId="77777777" w:rsidR="00DB6E47" w:rsidRPr="00041046" w:rsidRDefault="00DB6E47" w:rsidP="00562073">
      <w:pPr>
        <w:pStyle w:val="aDef"/>
        <w:keepNext/>
        <w:rPr>
          <w:bCs/>
        </w:rPr>
      </w:pPr>
      <w:r w:rsidRPr="00041046">
        <w:rPr>
          <w:rStyle w:val="charBoldItals"/>
        </w:rPr>
        <w:t>fatigue record keeping exemption</w:t>
      </w:r>
      <w:r w:rsidRPr="00041046">
        <w:t xml:space="preserve"> means—</w:t>
      </w:r>
    </w:p>
    <w:p w14:paraId="6F506E9B" w14:textId="77777777" w:rsidR="00DB6E47" w:rsidRPr="00F04D8E" w:rsidRDefault="00DB6E47" w:rsidP="00562073">
      <w:pPr>
        <w:pStyle w:val="aDefpara"/>
        <w:keepNext/>
      </w:pPr>
      <w:r>
        <w:rPr>
          <w:rFonts w:cs="Times"/>
          <w:bCs/>
        </w:rPr>
        <w:tab/>
      </w:r>
      <w:r w:rsidRPr="00F04D8E">
        <w:rPr>
          <w:rFonts w:cs="Times"/>
          <w:bCs/>
        </w:rPr>
        <w:t>(a)</w:t>
      </w:r>
      <w:r w:rsidRPr="00F04D8E">
        <w:rPr>
          <w:rFonts w:cs="Times"/>
          <w:bCs/>
        </w:rPr>
        <w:tab/>
        <w:t>a fatigue record keeping exemption (notice); or</w:t>
      </w:r>
    </w:p>
    <w:p w14:paraId="7BB025A5" w14:textId="77777777" w:rsidR="00DB6E47" w:rsidRPr="00F04D8E" w:rsidRDefault="00DB6E47" w:rsidP="00DB6E47">
      <w:pPr>
        <w:pStyle w:val="aDefpara"/>
      </w:pPr>
      <w:r>
        <w:tab/>
      </w:r>
      <w:r w:rsidRPr="00F04D8E">
        <w:t>(b)</w:t>
      </w:r>
      <w:r w:rsidRPr="00F04D8E">
        <w:tab/>
        <w:t>a fatigue record keeping exemption (permit).</w:t>
      </w:r>
    </w:p>
    <w:p w14:paraId="2FA1162A" w14:textId="77777777" w:rsidR="00DB6E47" w:rsidRPr="00041046" w:rsidRDefault="00DB6E47" w:rsidP="00DB6E47">
      <w:pPr>
        <w:pStyle w:val="aDef"/>
        <w:rPr>
          <w:bCs/>
        </w:rPr>
      </w:pPr>
      <w:r w:rsidRPr="00041046">
        <w:rPr>
          <w:rStyle w:val="charBoldItals"/>
        </w:rPr>
        <w:t>fatigue record keeping exemption (notice)</w:t>
      </w:r>
      <w:r w:rsidRPr="00041046">
        <w:t xml:space="preserve"> has the meaning given by section 378.</w:t>
      </w:r>
    </w:p>
    <w:p w14:paraId="51DC2066" w14:textId="77777777" w:rsidR="00DB6E47" w:rsidRPr="00041046" w:rsidRDefault="00DB6E47" w:rsidP="00DB6E47">
      <w:pPr>
        <w:pStyle w:val="aDef"/>
        <w:rPr>
          <w:bCs/>
        </w:rPr>
      </w:pPr>
      <w:r w:rsidRPr="00041046">
        <w:rPr>
          <w:rStyle w:val="charBoldItals"/>
        </w:rPr>
        <w:t>fatigue record keeping exemption (permit)</w:t>
      </w:r>
      <w:r w:rsidRPr="00041046">
        <w:t xml:space="preserve"> has the meaning given by section 383.</w:t>
      </w:r>
    </w:p>
    <w:p w14:paraId="04D3CC6A" w14:textId="77777777" w:rsidR="00DB6E47" w:rsidRPr="00041046" w:rsidRDefault="00DB6E47" w:rsidP="00DB6E47">
      <w:pPr>
        <w:pStyle w:val="aDef"/>
        <w:rPr>
          <w:bCs/>
        </w:rPr>
      </w:pPr>
      <w:r w:rsidRPr="00041046">
        <w:rPr>
          <w:rStyle w:val="charBoldItals"/>
        </w:rPr>
        <w:t>fatigue-regulated bus</w:t>
      </w:r>
      <w:r w:rsidRPr="00041046">
        <w:t xml:space="preserve"> means a heavy motor vehicle built or fitted to carry more than 12 adults (including the driver).</w:t>
      </w:r>
    </w:p>
    <w:p w14:paraId="4C55AC70" w14:textId="77777777" w:rsidR="00DB6E47" w:rsidRPr="007E1F9A" w:rsidRDefault="00DB6E47" w:rsidP="00DB6E47">
      <w:pPr>
        <w:pStyle w:val="aNote"/>
      </w:pPr>
      <w:r w:rsidRPr="00FF4454">
        <w:rPr>
          <w:rStyle w:val="charItals"/>
        </w:rPr>
        <w:t>Note</w:t>
      </w:r>
      <w:r w:rsidRPr="00C96203">
        <w:rPr>
          <w:rFonts w:cs="Times"/>
          <w:bCs/>
        </w:rPr>
        <w:t>—</w:t>
      </w:r>
    </w:p>
    <w:p w14:paraId="0DC52BCB" w14:textId="77777777" w:rsidR="00DB6E47" w:rsidRPr="007E1F9A" w:rsidRDefault="00DB6E47" w:rsidP="00DB6E47">
      <w:pPr>
        <w:pStyle w:val="aNoteTextss"/>
      </w:pPr>
      <w:r w:rsidRPr="007E1F9A">
        <w:t>A fatigue-regulated bus is a bus that weighs more than 4.5t for the purposes of being regulated under this Law.</w:t>
      </w:r>
    </w:p>
    <w:p w14:paraId="602DBBD3" w14:textId="77777777" w:rsidR="00DB6E47" w:rsidRPr="00041046" w:rsidRDefault="00DB6E47" w:rsidP="00DB6E47">
      <w:pPr>
        <w:pStyle w:val="aDef"/>
        <w:rPr>
          <w:bCs/>
        </w:rPr>
      </w:pPr>
      <w:r w:rsidRPr="00041046">
        <w:rPr>
          <w:rStyle w:val="charBoldItals"/>
        </w:rPr>
        <w:t>fatigue-regulated heavy vehicle</w:t>
      </w:r>
      <w:r w:rsidRPr="00041046">
        <w:t xml:space="preserve"> has the meaning given by section 7.</w:t>
      </w:r>
    </w:p>
    <w:p w14:paraId="558B6684" w14:textId="77777777" w:rsidR="00DB6E47" w:rsidRPr="00041046" w:rsidRDefault="00DB6E47" w:rsidP="00CF52C7">
      <w:pPr>
        <w:pStyle w:val="aDef"/>
        <w:keepNext/>
        <w:rPr>
          <w:bCs/>
        </w:rPr>
      </w:pPr>
      <w:r w:rsidRPr="00041046">
        <w:rPr>
          <w:rStyle w:val="charBoldItals"/>
        </w:rPr>
        <w:t>fifth wheel coupling</w:t>
      </w:r>
      <w:r w:rsidRPr="00041046">
        <w:t xml:space="preserve"> means a device (other than an upper rotating element and a kingpin) used with a prime mover, semitrailer or converter dolly to—</w:t>
      </w:r>
    </w:p>
    <w:p w14:paraId="5FE8C020"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permit quick coupling and uncoupling; and</w:t>
      </w:r>
    </w:p>
    <w:p w14:paraId="7F1F7439" w14:textId="77777777" w:rsidR="00DB6E47" w:rsidRPr="00F04D8E" w:rsidRDefault="00DB6E47" w:rsidP="00DB6E47">
      <w:pPr>
        <w:pStyle w:val="aDefpara"/>
      </w:pPr>
      <w:r>
        <w:tab/>
      </w:r>
      <w:r w:rsidRPr="00F04D8E">
        <w:t>(b)</w:t>
      </w:r>
      <w:r w:rsidRPr="00F04D8E">
        <w:tab/>
        <w:t>provide for articulation.</w:t>
      </w:r>
    </w:p>
    <w:p w14:paraId="74BA9E6C" w14:textId="77777777" w:rsidR="00DB6E47" w:rsidRPr="00041046" w:rsidRDefault="00DB6E47" w:rsidP="00DB6E47">
      <w:pPr>
        <w:pStyle w:val="aDef"/>
        <w:rPr>
          <w:bCs/>
        </w:rPr>
      </w:pPr>
      <w:r w:rsidRPr="00041046">
        <w:rPr>
          <w:rStyle w:val="charBoldItals"/>
        </w:rPr>
        <w:t>film</w:t>
      </w:r>
      <w:r w:rsidRPr="00041046">
        <w:t>, a thing, includes—</w:t>
      </w:r>
    </w:p>
    <w:p w14:paraId="365C8ED8" w14:textId="77777777" w:rsidR="00DB6E47" w:rsidRPr="00F04D8E" w:rsidRDefault="00DB6E47" w:rsidP="00DB6E47">
      <w:pPr>
        <w:pStyle w:val="aDefpara"/>
      </w:pPr>
      <w:r w:rsidRPr="00F04D8E">
        <w:rPr>
          <w:rFonts w:cs="Times"/>
          <w:bCs/>
        </w:rPr>
        <w:tab/>
        <w:t>(a)</w:t>
      </w:r>
      <w:r w:rsidRPr="00F04D8E">
        <w:rPr>
          <w:rFonts w:cs="Times"/>
          <w:bCs/>
        </w:rPr>
        <w:tab/>
        <w:t>photograph or videotape the thing; and</w:t>
      </w:r>
    </w:p>
    <w:p w14:paraId="17E0C6D1" w14:textId="77777777" w:rsidR="00DB6E47" w:rsidRPr="00F04D8E" w:rsidRDefault="00DB6E47" w:rsidP="00DB6E47">
      <w:pPr>
        <w:pStyle w:val="aDefpara"/>
      </w:pPr>
      <w:r w:rsidRPr="00F04D8E">
        <w:tab/>
        <w:t>(b)</w:t>
      </w:r>
      <w:r w:rsidRPr="00F04D8E">
        <w:tab/>
        <w:t>record an image of the thing in another way.</w:t>
      </w:r>
    </w:p>
    <w:p w14:paraId="25380B4E" w14:textId="77777777" w:rsidR="00DB6E47" w:rsidRPr="00041046" w:rsidRDefault="00DB6E47" w:rsidP="00DB6E47">
      <w:pPr>
        <w:pStyle w:val="aDef"/>
        <w:rPr>
          <w:bCs/>
        </w:rPr>
      </w:pPr>
      <w:r w:rsidRPr="00041046">
        <w:rPr>
          <w:rStyle w:val="charBoldItals"/>
        </w:rPr>
        <w:lastRenderedPageBreak/>
        <w:t>fit</w:t>
      </w:r>
      <w:r w:rsidRPr="00041046">
        <w:t>, to drive a heavy vehicle, or to start or stop its engine, for a person, means the person—</w:t>
      </w:r>
    </w:p>
    <w:p w14:paraId="72167ED5" w14:textId="77777777" w:rsidR="00DB6E47" w:rsidRPr="00F04D8E" w:rsidRDefault="00DB6E47" w:rsidP="00DB6E47">
      <w:pPr>
        <w:pStyle w:val="aDefpara"/>
      </w:pPr>
      <w:r w:rsidRPr="00F04D8E">
        <w:rPr>
          <w:rFonts w:cs="Times"/>
          <w:bCs/>
        </w:rPr>
        <w:tab/>
        <w:t>(a)</w:t>
      </w:r>
      <w:r w:rsidRPr="00F04D8E">
        <w:rPr>
          <w:rFonts w:cs="Times"/>
          <w:bCs/>
        </w:rPr>
        <w:tab/>
        <w:t>is apparently physically and mentally fit to drive the vehicle, or start or stop its engine; and</w:t>
      </w:r>
    </w:p>
    <w:p w14:paraId="640CA6DD" w14:textId="77777777" w:rsidR="00DB6E47" w:rsidRPr="00F04D8E" w:rsidRDefault="00DB6E47" w:rsidP="00562073">
      <w:pPr>
        <w:pStyle w:val="aDefpara"/>
        <w:keepNext/>
      </w:pPr>
      <w:r w:rsidRPr="00F04D8E">
        <w:tab/>
        <w:t>(b)</w:t>
      </w:r>
      <w:r w:rsidRPr="00F04D8E">
        <w:tab/>
        <w:t>is not apparently affected by either or both of the following—</w:t>
      </w:r>
    </w:p>
    <w:p w14:paraId="546A654B" w14:textId="77777777" w:rsidR="00DB6E47" w:rsidRPr="00F04D8E" w:rsidRDefault="00DB6E47" w:rsidP="00562073">
      <w:pPr>
        <w:pStyle w:val="aDefsubpara"/>
        <w:keepNext/>
      </w:pPr>
      <w:r w:rsidRPr="00F04D8E">
        <w:tab/>
        <w:t>(i)</w:t>
      </w:r>
      <w:r w:rsidRPr="00F04D8E">
        <w:tab/>
        <w:t>alcohol;</w:t>
      </w:r>
    </w:p>
    <w:p w14:paraId="10BCD580" w14:textId="77777777" w:rsidR="00DB6E47" w:rsidRPr="00F04D8E" w:rsidRDefault="00DB6E47" w:rsidP="00DB6E47">
      <w:pPr>
        <w:pStyle w:val="aDefsubpara"/>
      </w:pPr>
      <w:r w:rsidRPr="00F04D8E">
        <w:tab/>
        <w:t>(ii)</w:t>
      </w:r>
      <w:r w:rsidRPr="00F04D8E">
        <w:tab/>
        <w:t>a drug that affects a person’s ability to drive a vehicle; and</w:t>
      </w:r>
    </w:p>
    <w:p w14:paraId="37574E84" w14:textId="77777777" w:rsidR="00DB6E47" w:rsidRPr="00F04D8E" w:rsidRDefault="00DB6E47" w:rsidP="00DB6E47">
      <w:pPr>
        <w:pStyle w:val="aDefpara"/>
      </w:pPr>
      <w:r w:rsidRPr="00F04D8E">
        <w:tab/>
        <w:t>(c)</w:t>
      </w:r>
      <w:r w:rsidRPr="00F04D8E">
        <w:tab/>
        <w:t>is not found to have an alcohol concentration in the person’s blood or breath exceeding the amount permitted, under an Australian road law of this jurisdiction, for the driver of a heavy vehicle; and</w:t>
      </w:r>
    </w:p>
    <w:p w14:paraId="2B6BEE94" w14:textId="77777777" w:rsidR="00DB6E47" w:rsidRPr="00F04D8E" w:rsidRDefault="00DB6E47" w:rsidP="00DB6E47">
      <w:pPr>
        <w:pStyle w:val="aDefpara"/>
      </w:pPr>
      <w:r w:rsidRPr="00F04D8E">
        <w:tab/>
        <w:t>(d)</w:t>
      </w:r>
      <w:r w:rsidRPr="00F04D8E">
        <w:tab/>
        <w:t>is not found to be under the influence of a drug or to have present in the person’s blood or saliva a drug that the driver of a heavy vehicle is not permitted to have present in the driver’s blood or saliva under an Australian road law of this jurisdiction.</w:t>
      </w:r>
    </w:p>
    <w:p w14:paraId="66AC6853" w14:textId="77777777" w:rsidR="00DB6E47" w:rsidRPr="00041046" w:rsidRDefault="00DB6E47" w:rsidP="00CF52C7">
      <w:pPr>
        <w:pStyle w:val="aDef"/>
        <w:keepNext/>
        <w:rPr>
          <w:bCs/>
        </w:rPr>
      </w:pPr>
      <w:r w:rsidRPr="00041046">
        <w:rPr>
          <w:rStyle w:val="charBoldItals"/>
        </w:rPr>
        <w:t>freight container</w:t>
      </w:r>
      <w:r w:rsidRPr="00041046">
        <w:t xml:space="preserve"> means—</w:t>
      </w:r>
    </w:p>
    <w:p w14:paraId="7F2B19B5" w14:textId="77777777" w:rsidR="00DB6E47" w:rsidRPr="00F04D8E" w:rsidRDefault="00DB6E47" w:rsidP="00CF52C7">
      <w:pPr>
        <w:pStyle w:val="aDefpara"/>
        <w:keepNext/>
      </w:pPr>
      <w:r>
        <w:rPr>
          <w:rFonts w:cs="Times"/>
          <w:bCs/>
        </w:rPr>
        <w:tab/>
      </w:r>
      <w:r w:rsidRPr="00F04D8E">
        <w:rPr>
          <w:rFonts w:cs="Times"/>
          <w:bCs/>
        </w:rPr>
        <w:t>(a)</w:t>
      </w:r>
      <w:r w:rsidRPr="00F04D8E">
        <w:rPr>
          <w:rFonts w:cs="Times"/>
          <w:bCs/>
        </w:rPr>
        <w:tab/>
        <w:t>a re-usable container of the kind mentioned in AS 3711.1 that is designed for repeated use for transporting goods; or</w:t>
      </w:r>
    </w:p>
    <w:p w14:paraId="338621A0" w14:textId="77777777" w:rsidR="00DB6E47" w:rsidRPr="007E1F9A" w:rsidRDefault="00DB6E47" w:rsidP="00DB6E47">
      <w:pPr>
        <w:pStyle w:val="aNotepar"/>
      </w:pPr>
      <w:r w:rsidRPr="00FF4454">
        <w:rPr>
          <w:rStyle w:val="charItals"/>
        </w:rPr>
        <w:t>Note</w:t>
      </w:r>
      <w:r w:rsidRPr="00C96203">
        <w:t>—</w:t>
      </w:r>
    </w:p>
    <w:p w14:paraId="3BC4CE1E" w14:textId="5A782412" w:rsidR="00DB6E47" w:rsidRPr="007E1F9A" w:rsidRDefault="00DB6E47" w:rsidP="00DB6E47">
      <w:pPr>
        <w:pStyle w:val="aNoteTextpar"/>
      </w:pPr>
      <w:r w:rsidRPr="007E1F9A">
        <w:t>AS 3711.1 may be purchased from Standards Australia at &lt;</w:t>
      </w:r>
      <w:hyperlink r:id="rId31" w:history="1">
        <w:r w:rsidRPr="00DB6E47">
          <w:rPr>
            <w:rStyle w:val="charCitHyperlinkAbbrev"/>
          </w:rPr>
          <w:t>www.standards.org.au</w:t>
        </w:r>
      </w:hyperlink>
      <w:r w:rsidRPr="007E1F9A">
        <w:t>&gt;.</w:t>
      </w:r>
    </w:p>
    <w:p w14:paraId="08242A52" w14:textId="77777777" w:rsidR="00DB6E47" w:rsidRPr="00F04D8E" w:rsidRDefault="00DB6E47" w:rsidP="00DB6E47">
      <w:pPr>
        <w:pStyle w:val="aDefpara"/>
      </w:pPr>
      <w:r>
        <w:rPr>
          <w:rFonts w:cs="Times"/>
          <w:bCs/>
        </w:rPr>
        <w:tab/>
      </w:r>
      <w:r w:rsidRPr="00F04D8E">
        <w:rPr>
          <w:rFonts w:cs="Times"/>
          <w:bCs/>
        </w:rPr>
        <w:t>(b)</w:t>
      </w:r>
      <w:r w:rsidRPr="00F04D8E">
        <w:rPr>
          <w:rFonts w:cs="Times"/>
          <w:bCs/>
        </w:rPr>
        <w:tab/>
        <w:t>a re-usable container of the same or a similar design and construction to a c</w:t>
      </w:r>
      <w:r w:rsidR="00CC184A">
        <w:rPr>
          <w:rFonts w:cs="Times"/>
          <w:bCs/>
        </w:rPr>
        <w:t xml:space="preserve">ontainer mentioned in paragraph </w:t>
      </w:r>
      <w:r w:rsidRPr="00F04D8E">
        <w:rPr>
          <w:rFonts w:cs="Times"/>
          <w:bCs/>
        </w:rPr>
        <w:t>(a)</w:t>
      </w:r>
      <w:r w:rsidR="00CC184A">
        <w:rPr>
          <w:rFonts w:cs="Times"/>
          <w:bCs/>
        </w:rPr>
        <w:t xml:space="preserve"> </w:t>
      </w:r>
      <w:r w:rsidRPr="00F04D8E">
        <w:rPr>
          <w:rFonts w:cs="Times"/>
          <w:bCs/>
        </w:rPr>
        <w:t>though of different dimensions.</w:t>
      </w:r>
    </w:p>
    <w:p w14:paraId="6E7841F6" w14:textId="77777777" w:rsidR="00DB6E47" w:rsidRPr="00041046" w:rsidRDefault="00DB6E47" w:rsidP="00DB6E47">
      <w:pPr>
        <w:pStyle w:val="aDef"/>
        <w:rPr>
          <w:bCs/>
        </w:rPr>
      </w:pPr>
      <w:r w:rsidRPr="00041046">
        <w:rPr>
          <w:rStyle w:val="charBoldItals"/>
        </w:rPr>
        <w:t>Fund</w:t>
      </w:r>
      <w:r w:rsidRPr="00041046">
        <w:t xml:space="preserve"> means the National Heavy Vehicle Regulator Fund established under section 687.</w:t>
      </w:r>
    </w:p>
    <w:p w14:paraId="168760B9" w14:textId="77777777" w:rsidR="00DB6E47" w:rsidRPr="00041046" w:rsidRDefault="00DB6E47" w:rsidP="00DB6E47">
      <w:pPr>
        <w:pStyle w:val="aDef"/>
        <w:rPr>
          <w:bCs/>
        </w:rPr>
      </w:pPr>
      <w:r w:rsidRPr="00041046">
        <w:rPr>
          <w:rStyle w:val="charBoldItals"/>
        </w:rPr>
        <w:t>garage address</w:t>
      </w:r>
      <w:r w:rsidRPr="00041046">
        <w:t>, of a heavy vehicle, means—</w:t>
      </w:r>
    </w:p>
    <w:p w14:paraId="6296517A" w14:textId="77777777" w:rsidR="00DB6E47" w:rsidRPr="00F04D8E" w:rsidRDefault="00DB6E47" w:rsidP="00DB6E47">
      <w:pPr>
        <w:pStyle w:val="aDefpara"/>
      </w:pPr>
      <w:r w:rsidRPr="00F04D8E">
        <w:rPr>
          <w:rFonts w:cs="Times"/>
          <w:bCs/>
        </w:rPr>
        <w:tab/>
        <w:t>(a)</w:t>
      </w:r>
      <w:r w:rsidRPr="00F04D8E">
        <w:rPr>
          <w:rFonts w:cs="Times"/>
          <w:bCs/>
        </w:rPr>
        <w:tab/>
        <w:t>for a heavy vehicle normally kept at a depot when not in use—the principal depot of the vehicle; or</w:t>
      </w:r>
    </w:p>
    <w:p w14:paraId="3BC09EF8" w14:textId="77777777" w:rsidR="00DB6E47" w:rsidRPr="00F04D8E" w:rsidRDefault="00DB6E47" w:rsidP="00DB6E47">
      <w:pPr>
        <w:pStyle w:val="aDefpara"/>
      </w:pPr>
      <w:r w:rsidRPr="00F04D8E">
        <w:lastRenderedPageBreak/>
        <w:tab/>
        <w:t>(b)</w:t>
      </w:r>
      <w:r w:rsidRPr="00F04D8E">
        <w:tab/>
        <w:t>for a heavy vehicle not normally kept at a depot when not in use—the address of the place of business or residence at which the vehicle is normally kept when not in use.</w:t>
      </w:r>
    </w:p>
    <w:p w14:paraId="679F6E47" w14:textId="77777777" w:rsidR="00ED1488" w:rsidRPr="00ED1488" w:rsidRDefault="00ED1488" w:rsidP="00ED1488">
      <w:pPr>
        <w:pStyle w:val="aDef"/>
        <w:rPr>
          <w:lang w:val="en" w:eastAsia="en-AU"/>
        </w:rPr>
      </w:pPr>
      <w:r w:rsidRPr="00ED1488">
        <w:rPr>
          <w:rStyle w:val="charBoldItals"/>
        </w:rPr>
        <w:t>GCM</w:t>
      </w:r>
      <w:r w:rsidRPr="00ED1488">
        <w:rPr>
          <w:lang w:val="en" w:eastAsia="en-AU"/>
        </w:rPr>
        <w:t xml:space="preserve"> (gross combination mass), of a motor vehicle, means the total maximum loaded mass of the motor vehicle and any vehicles it may lawfully tow at any given time—</w:t>
      </w:r>
    </w:p>
    <w:p w14:paraId="6A567FFE" w14:textId="77777777" w:rsidR="00ED1488" w:rsidRPr="00ED1488" w:rsidRDefault="00ED1488" w:rsidP="00ED1488">
      <w:pPr>
        <w:pStyle w:val="aDefpara"/>
        <w:rPr>
          <w:lang w:val="en" w:eastAsia="en-AU"/>
        </w:rPr>
      </w:pPr>
      <w:r>
        <w:rPr>
          <w:lang w:val="en" w:eastAsia="en-AU"/>
        </w:rPr>
        <w:tab/>
      </w:r>
      <w:r w:rsidRPr="00ED1488">
        <w:rPr>
          <w:lang w:val="en" w:eastAsia="en-AU"/>
        </w:rPr>
        <w:t>(a)</w:t>
      </w:r>
      <w:r>
        <w:rPr>
          <w:lang w:val="en" w:eastAsia="en-AU"/>
        </w:rPr>
        <w:tab/>
      </w:r>
      <w:r w:rsidRPr="00ED1488">
        <w:rPr>
          <w:lang w:val="en" w:eastAsia="en-AU"/>
        </w:rPr>
        <w:t>if the registration authority has specified the total maximum loaded mass of the motor vehicle and any vehicles it may lawfully tow at any given time—specified by the registration authority; or</w:t>
      </w:r>
    </w:p>
    <w:p w14:paraId="13792A30" w14:textId="77777777" w:rsidR="00ED1488" w:rsidRPr="00ED1488" w:rsidRDefault="00ED1488" w:rsidP="00ED1488">
      <w:pPr>
        <w:pStyle w:val="aDefpara"/>
        <w:rPr>
          <w:lang w:val="en" w:eastAsia="en-AU"/>
        </w:rPr>
      </w:pPr>
      <w:r>
        <w:rPr>
          <w:lang w:val="en" w:eastAsia="en-AU"/>
        </w:rPr>
        <w:tab/>
      </w:r>
      <w:r w:rsidRPr="00ED1488">
        <w:rPr>
          <w:lang w:val="en" w:eastAsia="en-AU"/>
        </w:rPr>
        <w:t>(b)</w:t>
      </w:r>
      <w:r>
        <w:rPr>
          <w:lang w:val="en" w:eastAsia="en-AU"/>
        </w:rPr>
        <w:tab/>
      </w:r>
      <w:r w:rsidRPr="00ED1488">
        <w:rPr>
          <w:lang w:val="en" w:eastAsia="en-AU"/>
        </w:rPr>
        <w:t>otherwise—stated by the motor vehicle’s manufacturer.</w:t>
      </w:r>
    </w:p>
    <w:p w14:paraId="2A543108" w14:textId="77777777" w:rsidR="00DB6E47" w:rsidRPr="00041046" w:rsidRDefault="00DB6E47" w:rsidP="00CF52C7">
      <w:pPr>
        <w:pStyle w:val="aDef"/>
        <w:keepNext/>
        <w:rPr>
          <w:bCs/>
        </w:rPr>
      </w:pPr>
      <w:r w:rsidRPr="00041046">
        <w:rPr>
          <w:rStyle w:val="charBoldItals"/>
        </w:rPr>
        <w:t>goods</w:t>
      </w:r>
      <w:r w:rsidRPr="00041046">
        <w:t>—</w:t>
      </w:r>
    </w:p>
    <w:p w14:paraId="7AE9BF38"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includes—</w:t>
      </w:r>
    </w:p>
    <w:p w14:paraId="7459B3D6" w14:textId="77777777" w:rsidR="00DB6E47" w:rsidRPr="00F04D8E" w:rsidRDefault="00DB6E47" w:rsidP="00DB6E47">
      <w:pPr>
        <w:pStyle w:val="aDefsubpara"/>
      </w:pPr>
      <w:r>
        <w:tab/>
      </w:r>
      <w:r w:rsidRPr="00F04D8E">
        <w:t>(i)</w:t>
      </w:r>
      <w:r w:rsidRPr="00F04D8E">
        <w:tab/>
        <w:t>animals (whether alive or dead); and</w:t>
      </w:r>
    </w:p>
    <w:p w14:paraId="3055198C" w14:textId="77777777" w:rsidR="00DB6E47" w:rsidRPr="00F04D8E" w:rsidRDefault="00DB6E47" w:rsidP="00DB6E47">
      <w:pPr>
        <w:pStyle w:val="aDefsubpara"/>
      </w:pPr>
      <w:r>
        <w:tab/>
      </w:r>
      <w:r w:rsidRPr="00F04D8E">
        <w:t>(ii)</w:t>
      </w:r>
      <w:r w:rsidRPr="00F04D8E">
        <w:tab/>
        <w:t>a container (whether empty or not); but</w:t>
      </w:r>
    </w:p>
    <w:p w14:paraId="4BC1CCA0" w14:textId="77777777" w:rsidR="00DB6E47" w:rsidRPr="00F04D8E" w:rsidRDefault="00DB6E47" w:rsidP="00DB6E47">
      <w:pPr>
        <w:pStyle w:val="aDefpara"/>
      </w:pPr>
      <w:r>
        <w:tab/>
      </w:r>
      <w:r w:rsidRPr="00F04D8E">
        <w:t>(b)</w:t>
      </w:r>
      <w:r w:rsidRPr="00F04D8E">
        <w:tab/>
        <w:t>does not include—</w:t>
      </w:r>
    </w:p>
    <w:p w14:paraId="64D3FBE0" w14:textId="77777777" w:rsidR="00DB6E47" w:rsidRPr="00F04D8E" w:rsidRDefault="00DB6E47" w:rsidP="00DB6E47">
      <w:pPr>
        <w:pStyle w:val="aDefsubpara"/>
      </w:pPr>
      <w:r>
        <w:tab/>
      </w:r>
      <w:r w:rsidRPr="00F04D8E">
        <w:t>(i)</w:t>
      </w:r>
      <w:r w:rsidRPr="00F04D8E">
        <w:tab/>
        <w:t>people; or</w:t>
      </w:r>
    </w:p>
    <w:p w14:paraId="3372B3D7" w14:textId="77777777" w:rsidR="00DB6E47" w:rsidRPr="00F04D8E" w:rsidRDefault="00DB6E47" w:rsidP="00DB6E47">
      <w:pPr>
        <w:pStyle w:val="aDefsubpara"/>
      </w:pPr>
      <w:r>
        <w:tab/>
      </w:r>
      <w:r w:rsidRPr="00F04D8E">
        <w:t>(ii)</w:t>
      </w:r>
      <w:r w:rsidRPr="00F04D8E">
        <w:tab/>
        <w:t>fuel, water, lubricants and readily removable equipment required for the normal use of the vehicle or combination in which they are carried; or</w:t>
      </w:r>
    </w:p>
    <w:p w14:paraId="526A156C" w14:textId="77777777" w:rsidR="00DB6E47" w:rsidRPr="00F04D8E" w:rsidRDefault="00DB6E47" w:rsidP="00DB6E47">
      <w:pPr>
        <w:pStyle w:val="aDefsubpara"/>
      </w:pPr>
      <w:r>
        <w:tab/>
      </w:r>
      <w:r w:rsidRPr="00F04D8E">
        <w:t>(iii)</w:t>
      </w:r>
      <w:r w:rsidRPr="00F04D8E">
        <w:tab/>
        <w:t>personal items used by the driver of the vehicle or combination, or someone else necessary for the normal use of the vehicle, in which they are carried.</w:t>
      </w:r>
    </w:p>
    <w:p w14:paraId="4AC4B3AA" w14:textId="77777777" w:rsidR="00AD5E58" w:rsidRPr="00AD5E58" w:rsidRDefault="00AD5E58" w:rsidP="00AD5E58">
      <w:pPr>
        <w:pStyle w:val="aDef"/>
        <w:rPr>
          <w:lang w:val="en" w:eastAsia="en-AU"/>
        </w:rPr>
      </w:pPr>
      <w:r w:rsidRPr="00AD5E58">
        <w:rPr>
          <w:rStyle w:val="charBoldItals"/>
        </w:rPr>
        <w:t>GVM</w:t>
      </w:r>
      <w:r w:rsidRPr="00AD5E58">
        <w:rPr>
          <w:lang w:val="en" w:eastAsia="en-AU"/>
        </w:rPr>
        <w:t xml:space="preserve"> (gross vehicle mass), of a vehicle, means the maximum loaded mass of the vehicle—</w:t>
      </w:r>
    </w:p>
    <w:p w14:paraId="772D5C04" w14:textId="77777777" w:rsidR="00AD5E58" w:rsidRPr="00AD5E58" w:rsidRDefault="00AD5E58" w:rsidP="00AD5E58">
      <w:pPr>
        <w:pStyle w:val="aDefpara"/>
        <w:rPr>
          <w:lang w:val="en" w:eastAsia="en-AU"/>
        </w:rPr>
      </w:pPr>
      <w:r>
        <w:rPr>
          <w:lang w:val="en" w:eastAsia="en-AU"/>
        </w:rPr>
        <w:tab/>
      </w:r>
      <w:r w:rsidRPr="00AD5E58">
        <w:rPr>
          <w:lang w:val="en" w:eastAsia="en-AU"/>
        </w:rPr>
        <w:t>(a)</w:t>
      </w:r>
      <w:r>
        <w:rPr>
          <w:lang w:val="en" w:eastAsia="en-AU"/>
        </w:rPr>
        <w:tab/>
      </w:r>
      <w:r w:rsidRPr="00AD5E58">
        <w:rPr>
          <w:lang w:val="en" w:eastAsia="en-AU"/>
        </w:rPr>
        <w:t>if the registration authority has specified the vehicle’s maximum loaded mass—specified by the registration authority; or</w:t>
      </w:r>
    </w:p>
    <w:p w14:paraId="22300ECD" w14:textId="77777777" w:rsidR="00AD5E58" w:rsidRPr="00AD5E58" w:rsidRDefault="00AD5E58" w:rsidP="00AD5E58">
      <w:pPr>
        <w:pStyle w:val="aDefpara"/>
        <w:rPr>
          <w:lang w:val="en" w:eastAsia="en-AU"/>
        </w:rPr>
      </w:pPr>
      <w:r>
        <w:rPr>
          <w:lang w:val="en" w:eastAsia="en-AU"/>
        </w:rPr>
        <w:tab/>
      </w:r>
      <w:r w:rsidRPr="00AD5E58">
        <w:rPr>
          <w:lang w:val="en" w:eastAsia="en-AU"/>
        </w:rPr>
        <w:t>(b)</w:t>
      </w:r>
      <w:r>
        <w:rPr>
          <w:lang w:val="en" w:eastAsia="en-AU"/>
        </w:rPr>
        <w:tab/>
      </w:r>
      <w:r w:rsidRPr="00AD5E58">
        <w:rPr>
          <w:lang w:val="en" w:eastAsia="en-AU"/>
        </w:rPr>
        <w:t>otherwise—stated by the vehicle’s manufacturer.</w:t>
      </w:r>
    </w:p>
    <w:p w14:paraId="28B48001" w14:textId="77777777" w:rsidR="00DB6E47" w:rsidRPr="00041046" w:rsidRDefault="00DB6E47" w:rsidP="00DB6E47">
      <w:pPr>
        <w:pStyle w:val="aDef"/>
        <w:rPr>
          <w:bCs/>
        </w:rPr>
      </w:pPr>
      <w:r w:rsidRPr="00041046">
        <w:rPr>
          <w:rStyle w:val="charBoldItals"/>
        </w:rPr>
        <w:lastRenderedPageBreak/>
        <w:t>hauling unit</w:t>
      </w:r>
      <w:r w:rsidRPr="00041046">
        <w:t xml:space="preserve"> means a motor vehicle that forms part of a combination, but does not include a prime mover.</w:t>
      </w:r>
    </w:p>
    <w:p w14:paraId="2F9F5C50" w14:textId="77777777" w:rsidR="00DB6E47" w:rsidRPr="00041046" w:rsidRDefault="00DB6E47" w:rsidP="00DB6E47">
      <w:pPr>
        <w:pStyle w:val="aDef"/>
        <w:rPr>
          <w:bCs/>
        </w:rPr>
      </w:pPr>
      <w:r w:rsidRPr="00041046">
        <w:rPr>
          <w:rStyle w:val="charBoldItals"/>
        </w:rPr>
        <w:t>heavy combination</w:t>
      </w:r>
      <w:r w:rsidRPr="00041046">
        <w:t xml:space="preserve"> means a combination that is a heavy vehicle.</w:t>
      </w:r>
    </w:p>
    <w:p w14:paraId="0FA53A83" w14:textId="77777777" w:rsidR="00DB6E47" w:rsidRPr="00041046" w:rsidRDefault="00DB6E47" w:rsidP="00DB6E47">
      <w:pPr>
        <w:pStyle w:val="aDef"/>
        <w:rPr>
          <w:bCs/>
        </w:rPr>
      </w:pPr>
      <w:r w:rsidRPr="00041046">
        <w:rPr>
          <w:rStyle w:val="charBoldItals"/>
        </w:rPr>
        <w:t>heavy motor vehicle</w:t>
      </w:r>
      <w:r w:rsidRPr="00041046">
        <w:t xml:space="preserve"> means a motor vehicle that is a heavy vehicle.</w:t>
      </w:r>
    </w:p>
    <w:p w14:paraId="50C27813" w14:textId="77777777" w:rsidR="00DB6E47" w:rsidRPr="00041046" w:rsidRDefault="00DB6E47" w:rsidP="00DB6E47">
      <w:pPr>
        <w:pStyle w:val="aDef"/>
        <w:rPr>
          <w:bCs/>
        </w:rPr>
      </w:pPr>
      <w:r w:rsidRPr="00041046">
        <w:rPr>
          <w:rStyle w:val="charBoldItals"/>
        </w:rPr>
        <w:t xml:space="preserve">heavy trailer </w:t>
      </w:r>
      <w:r w:rsidRPr="00041046">
        <w:t>means a trailer that is a heavy vehicle.</w:t>
      </w:r>
    </w:p>
    <w:p w14:paraId="4F854B7D" w14:textId="77777777" w:rsidR="00DB6E47" w:rsidRPr="00041046" w:rsidRDefault="00DB6E47" w:rsidP="00DB6E47">
      <w:pPr>
        <w:pStyle w:val="aDef"/>
        <w:rPr>
          <w:bCs/>
        </w:rPr>
      </w:pPr>
      <w:r w:rsidRPr="00041046">
        <w:rPr>
          <w:rStyle w:val="charBoldItals"/>
        </w:rPr>
        <w:t>heavy vehicle</w:t>
      </w:r>
      <w:r w:rsidRPr="00041046">
        <w:t xml:space="preserve"> has the meaning given by section 6.</w:t>
      </w:r>
    </w:p>
    <w:p w14:paraId="47ADEB67" w14:textId="77777777" w:rsidR="00DB6E47" w:rsidRPr="00041046" w:rsidRDefault="00DB6E47" w:rsidP="00DB6E47">
      <w:pPr>
        <w:pStyle w:val="aDef"/>
        <w:rPr>
          <w:bCs/>
        </w:rPr>
      </w:pPr>
      <w:r w:rsidRPr="00041046">
        <w:rPr>
          <w:rStyle w:val="charBoldItals"/>
        </w:rPr>
        <w:t>heavy vehicle accreditation</w:t>
      </w:r>
      <w:r w:rsidRPr="00041046">
        <w:t xml:space="preserve"> means—</w:t>
      </w:r>
    </w:p>
    <w:p w14:paraId="762CA4F5"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AFM accreditation; or</w:t>
      </w:r>
    </w:p>
    <w:p w14:paraId="29C14357" w14:textId="77777777" w:rsidR="00DB6E47" w:rsidRPr="00F04D8E" w:rsidRDefault="00DB6E47" w:rsidP="00DB6E47">
      <w:pPr>
        <w:pStyle w:val="aDefpara"/>
      </w:pPr>
      <w:r>
        <w:tab/>
      </w:r>
      <w:r w:rsidRPr="00F04D8E">
        <w:t>(b)</w:t>
      </w:r>
      <w:r w:rsidRPr="00F04D8E">
        <w:tab/>
        <w:t>BFM accreditation; or</w:t>
      </w:r>
    </w:p>
    <w:p w14:paraId="76412FA7" w14:textId="77777777" w:rsidR="00DB6E47" w:rsidRPr="00F04D8E" w:rsidRDefault="00DB6E47" w:rsidP="00DB6E47">
      <w:pPr>
        <w:pStyle w:val="aDefpara"/>
      </w:pPr>
      <w:r>
        <w:tab/>
      </w:r>
      <w:r w:rsidRPr="00F04D8E">
        <w:t>(c)</w:t>
      </w:r>
      <w:r w:rsidRPr="00F04D8E">
        <w:tab/>
        <w:t>maintenance management accreditation; or</w:t>
      </w:r>
    </w:p>
    <w:p w14:paraId="3DCE0BB6" w14:textId="77777777" w:rsidR="00DB6E47" w:rsidRPr="00F04D8E" w:rsidRDefault="00DB6E47" w:rsidP="00DB6E47">
      <w:pPr>
        <w:pStyle w:val="aDefpara"/>
      </w:pPr>
      <w:r w:rsidRPr="00F04D8E">
        <w:tab/>
        <w:t>(d)</w:t>
      </w:r>
      <w:r w:rsidRPr="00F04D8E">
        <w:tab/>
        <w:t>mass management accreditation.</w:t>
      </w:r>
    </w:p>
    <w:p w14:paraId="24A40A47" w14:textId="77777777" w:rsidR="00DB6E47" w:rsidRPr="00041046" w:rsidRDefault="00DB6E47" w:rsidP="00DB6E47">
      <w:pPr>
        <w:pStyle w:val="aDef"/>
        <w:rPr>
          <w:bCs/>
        </w:rPr>
      </w:pPr>
      <w:r w:rsidRPr="00041046">
        <w:rPr>
          <w:rStyle w:val="charBoldItals"/>
        </w:rPr>
        <w:t>heavy vehicle standards</w:t>
      </w:r>
      <w:r w:rsidRPr="00041046">
        <w:t xml:space="preserve"> has the meaning given by section 59.</w:t>
      </w:r>
    </w:p>
    <w:p w14:paraId="442B125F" w14:textId="77777777" w:rsidR="00DB6E47" w:rsidRPr="00041046" w:rsidRDefault="00DB6E47" w:rsidP="00DB6E47">
      <w:pPr>
        <w:pStyle w:val="aDef"/>
        <w:rPr>
          <w:bCs/>
        </w:rPr>
      </w:pPr>
      <w:r w:rsidRPr="00041046">
        <w:rPr>
          <w:rStyle w:val="charBoldItals"/>
        </w:rPr>
        <w:t>higher mass limits</w:t>
      </w:r>
      <w:r w:rsidRPr="00041046">
        <w:t>, for the purposes of Chapter 7, has the meaning given by section 403.</w:t>
      </w:r>
    </w:p>
    <w:p w14:paraId="436C926A" w14:textId="77777777" w:rsidR="00DB6E47" w:rsidRPr="00041046" w:rsidRDefault="00DB6E47" w:rsidP="00DB6E47">
      <w:pPr>
        <w:pStyle w:val="aDef"/>
        <w:rPr>
          <w:bCs/>
        </w:rPr>
      </w:pPr>
      <w:r w:rsidRPr="00041046">
        <w:rPr>
          <w:rStyle w:val="charBoldItals"/>
        </w:rPr>
        <w:t>HML authority</w:t>
      </w:r>
      <w:r w:rsidRPr="00041046">
        <w:t>, for the purposes of Chapter 7, has the meaning given by section 403.</w:t>
      </w:r>
    </w:p>
    <w:p w14:paraId="3739C66C" w14:textId="77777777" w:rsidR="00DB6E47" w:rsidRPr="00041046" w:rsidRDefault="00DB6E47" w:rsidP="00562073">
      <w:pPr>
        <w:pStyle w:val="aDef"/>
        <w:keepNext/>
        <w:rPr>
          <w:bCs/>
        </w:rPr>
      </w:pPr>
      <w:r w:rsidRPr="00041046">
        <w:rPr>
          <w:rStyle w:val="charBoldItals"/>
        </w:rPr>
        <w:t>home address</w:t>
      </w:r>
      <w:r w:rsidRPr="00041046">
        <w:t xml:space="preserve"> means—</w:t>
      </w:r>
    </w:p>
    <w:p w14:paraId="3E7DF5E0"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for an individual—the individual’s residential address in Australia; or</w:t>
      </w:r>
    </w:p>
    <w:p w14:paraId="014E67A6" w14:textId="77777777" w:rsidR="00DB6E47" w:rsidRPr="00F04D8E" w:rsidRDefault="00DB6E47" w:rsidP="00DB6E47">
      <w:pPr>
        <w:pStyle w:val="aDefpara"/>
      </w:pPr>
      <w:r>
        <w:tab/>
      </w:r>
      <w:r w:rsidRPr="00F04D8E">
        <w:t>(b)</w:t>
      </w:r>
      <w:r w:rsidRPr="00F04D8E">
        <w:tab/>
        <w:t>for a body corporate with a registered office in Australia—the address of the registered office; or</w:t>
      </w:r>
    </w:p>
    <w:p w14:paraId="37EAF38B" w14:textId="77777777" w:rsidR="00DB6E47" w:rsidRPr="00F04D8E" w:rsidRDefault="00DB6E47" w:rsidP="00DB6E47">
      <w:pPr>
        <w:pStyle w:val="aDefpara"/>
      </w:pPr>
      <w:r>
        <w:tab/>
      </w:r>
      <w:r w:rsidRPr="00F04D8E">
        <w:t>(c)</w:t>
      </w:r>
      <w:r w:rsidRPr="00F04D8E">
        <w:tab/>
        <w:t>for another person—the address of the person’s principal or only place of business in Australia.</w:t>
      </w:r>
    </w:p>
    <w:p w14:paraId="4B8DE3BA" w14:textId="77777777" w:rsidR="00DB6E47" w:rsidRPr="00041046" w:rsidRDefault="00DB6E47" w:rsidP="00DB6E47">
      <w:pPr>
        <w:pStyle w:val="aDef"/>
        <w:rPr>
          <w:bCs/>
        </w:rPr>
      </w:pPr>
      <w:r w:rsidRPr="00041046">
        <w:rPr>
          <w:rStyle w:val="charBoldItals"/>
        </w:rPr>
        <w:t>identification details</w:t>
      </w:r>
      <w:r w:rsidRPr="00041046">
        <w:t>, for the purposes of Division 6 of Part 9.3, has the meaning given by section 525.</w:t>
      </w:r>
    </w:p>
    <w:p w14:paraId="63B80033" w14:textId="4E0CA566" w:rsidR="00984ACD" w:rsidRDefault="00F70573" w:rsidP="00DB6E47">
      <w:pPr>
        <w:pStyle w:val="aDef"/>
        <w:rPr>
          <w:color w:val="000000"/>
          <w:sz w:val="23"/>
          <w:szCs w:val="23"/>
          <w:shd w:val="clear" w:color="auto" w:fill="FFFFFF"/>
        </w:rPr>
      </w:pPr>
      <w:r>
        <w:rPr>
          <w:b/>
          <w:bCs/>
          <w:i/>
          <w:iCs/>
          <w:color w:val="000000"/>
          <w:sz w:val="23"/>
          <w:szCs w:val="23"/>
          <w:shd w:val="clear" w:color="auto" w:fill="FFFFFF"/>
        </w:rPr>
        <w:lastRenderedPageBreak/>
        <w:t>identification plate</w:t>
      </w:r>
      <w:r>
        <w:rPr>
          <w:color w:val="000000"/>
          <w:sz w:val="23"/>
          <w:szCs w:val="23"/>
          <w:shd w:val="clear" w:color="auto" w:fill="FFFFFF"/>
        </w:rPr>
        <w:t> means a plate approved to be placed on a vehicle, or taken to have been placed on a vehicle, under the </w:t>
      </w:r>
      <w:hyperlink r:id="rId32" w:tooltip="Act 1989 No 65 (Cwlth)" w:history="1">
        <w:r w:rsidR="00984ACD" w:rsidRPr="00984ACD">
          <w:rPr>
            <w:rStyle w:val="charCitHyperlinkItal"/>
          </w:rPr>
          <w:t>Motor Vehicle Standards Act 1989</w:t>
        </w:r>
      </w:hyperlink>
      <w:r>
        <w:rPr>
          <w:color w:val="000000"/>
          <w:sz w:val="23"/>
          <w:szCs w:val="23"/>
          <w:shd w:val="clear" w:color="auto" w:fill="FFFFFF"/>
        </w:rPr>
        <w:t>.</w:t>
      </w:r>
    </w:p>
    <w:p w14:paraId="76A9434D" w14:textId="526E1211" w:rsidR="00DB6E47" w:rsidRPr="00041046" w:rsidRDefault="00DB6E47" w:rsidP="00DB6E47">
      <w:pPr>
        <w:pStyle w:val="aDef"/>
        <w:rPr>
          <w:bCs/>
        </w:rPr>
      </w:pPr>
      <w:r w:rsidRPr="00041046">
        <w:rPr>
          <w:rStyle w:val="charBoldItals"/>
        </w:rPr>
        <w:t>impaired by fatigue</w:t>
      </w:r>
      <w:r w:rsidRPr="00041046">
        <w:t xml:space="preserve"> has the meaning given by section 225.</w:t>
      </w:r>
    </w:p>
    <w:p w14:paraId="5687DFE6" w14:textId="77777777" w:rsidR="00DB6E47" w:rsidRPr="00041046" w:rsidRDefault="00DB6E47" w:rsidP="00DB6E47">
      <w:pPr>
        <w:pStyle w:val="aDef"/>
        <w:rPr>
          <w:bCs/>
        </w:rPr>
      </w:pPr>
      <w:r w:rsidRPr="00041046">
        <w:rPr>
          <w:rStyle w:val="charBoldItals"/>
        </w:rPr>
        <w:t>improvement notice</w:t>
      </w:r>
      <w:r w:rsidRPr="00041046">
        <w:t xml:space="preserve"> has the meaning given by section 572(2).</w:t>
      </w:r>
    </w:p>
    <w:p w14:paraId="35A56F5E" w14:textId="77777777" w:rsidR="00DB6E47" w:rsidRPr="00041046" w:rsidRDefault="00DB6E47" w:rsidP="00DB6E47">
      <w:pPr>
        <w:pStyle w:val="aDef"/>
        <w:rPr>
          <w:bCs/>
        </w:rPr>
      </w:pPr>
      <w:r w:rsidRPr="00041046">
        <w:rPr>
          <w:rStyle w:val="charBoldItals"/>
        </w:rPr>
        <w:t>in</w:t>
      </w:r>
      <w:r w:rsidRPr="00041046">
        <w:t>, a vehicle, includes on the vehicle.</w:t>
      </w:r>
    </w:p>
    <w:p w14:paraId="26AE49CF" w14:textId="77777777" w:rsidR="00DB6E47" w:rsidRPr="00041046" w:rsidRDefault="00DB6E47" w:rsidP="00CF52C7">
      <w:pPr>
        <w:pStyle w:val="aDef"/>
        <w:keepNext/>
        <w:rPr>
          <w:bCs/>
        </w:rPr>
      </w:pPr>
      <w:r w:rsidRPr="00041046">
        <w:rPr>
          <w:rStyle w:val="charBoldItals"/>
        </w:rPr>
        <w:t>indicated</w:t>
      </w:r>
      <w:r w:rsidRPr="00041046">
        <w:t>, by an official traffic sign, includes—</w:t>
      </w:r>
    </w:p>
    <w:p w14:paraId="075249D1"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indicated by way of a direction on an official traffic sign; and</w:t>
      </w:r>
    </w:p>
    <w:p w14:paraId="7AE69291" w14:textId="77777777" w:rsidR="00DB6E47" w:rsidRPr="00F04D8E" w:rsidRDefault="00DB6E47" w:rsidP="00DB6E47">
      <w:pPr>
        <w:pStyle w:val="aDefpara"/>
      </w:pPr>
      <w:r>
        <w:tab/>
      </w:r>
      <w:r w:rsidRPr="00F04D8E">
        <w:t>(b)</w:t>
      </w:r>
      <w:r w:rsidRPr="00F04D8E">
        <w:tab/>
        <w:t>indicated by way of a direction, indication or requirement that, under a law, is prescribed as being given or imposed, because of an official traffic sign.</w:t>
      </w:r>
    </w:p>
    <w:p w14:paraId="7A91B4FD" w14:textId="77777777" w:rsidR="000F2061" w:rsidRPr="003323FC" w:rsidRDefault="000F2061" w:rsidP="00DB6E47">
      <w:pPr>
        <w:pStyle w:val="aDef"/>
      </w:pPr>
      <w:r w:rsidRPr="003323FC">
        <w:rPr>
          <w:rStyle w:val="charBoldItals"/>
        </w:rPr>
        <w:t xml:space="preserve">indictable offence </w:t>
      </w:r>
      <w:r w:rsidRPr="003323FC">
        <w:t>means an offence mentioned in section 26F.</w:t>
      </w:r>
    </w:p>
    <w:p w14:paraId="42D958E7" w14:textId="77777777" w:rsidR="000F2061" w:rsidRPr="000F2061" w:rsidRDefault="000F2061" w:rsidP="000F2061">
      <w:pPr>
        <w:pStyle w:val="aDef"/>
        <w:rPr>
          <w:lang w:val="en" w:eastAsia="en-AU"/>
        </w:rPr>
      </w:pPr>
      <w:r w:rsidRPr="00472601">
        <w:rPr>
          <w:rStyle w:val="charBoldItals"/>
        </w:rPr>
        <w:t>information</w:t>
      </w:r>
      <w:r w:rsidRPr="000F2061">
        <w:rPr>
          <w:lang w:val="en" w:eastAsia="en-AU"/>
        </w:rPr>
        <w:t xml:space="preserve"> includes—</w:t>
      </w:r>
    </w:p>
    <w:p w14:paraId="27346DA9" w14:textId="77777777" w:rsidR="00C645E2" w:rsidRPr="00041613" w:rsidRDefault="00C645E2" w:rsidP="00C645E2">
      <w:pPr>
        <w:pStyle w:val="aDefpara"/>
        <w:rPr>
          <w:lang w:val="en" w:eastAsia="en-AU"/>
        </w:rPr>
      </w:pPr>
      <w:r>
        <w:rPr>
          <w:lang w:val="en" w:eastAsia="en-AU"/>
        </w:rPr>
        <w:tab/>
      </w:r>
      <w:r w:rsidRPr="00041613">
        <w:rPr>
          <w:lang w:val="en" w:eastAsia="en-AU"/>
        </w:rPr>
        <w:t>(a)</w:t>
      </w:r>
      <w:r>
        <w:rPr>
          <w:lang w:val="en" w:eastAsia="en-AU"/>
        </w:rPr>
        <w:tab/>
      </w:r>
      <w:r w:rsidRPr="00041613">
        <w:rPr>
          <w:lang w:val="en" w:eastAsia="en-AU"/>
        </w:rPr>
        <w:t>information in the form of a printed document; and</w:t>
      </w:r>
    </w:p>
    <w:p w14:paraId="215FBAC6" w14:textId="77777777" w:rsidR="00C645E2" w:rsidRPr="00041613" w:rsidRDefault="00C645E2" w:rsidP="00C645E2">
      <w:pPr>
        <w:pStyle w:val="aNote"/>
        <w:rPr>
          <w:lang w:val="en" w:eastAsia="en-AU"/>
        </w:rPr>
      </w:pPr>
      <w:r w:rsidRPr="00041613">
        <w:rPr>
          <w:rStyle w:val="charItals"/>
        </w:rPr>
        <w:t>Note</w:t>
      </w:r>
      <w:r w:rsidRPr="00041613">
        <w:rPr>
          <w:lang w:val="en" w:eastAsia="en-AU"/>
        </w:rPr>
        <w:t>—</w:t>
      </w:r>
    </w:p>
    <w:p w14:paraId="708CF141" w14:textId="77777777" w:rsidR="00C645E2" w:rsidRPr="00041613" w:rsidRDefault="00C645E2" w:rsidP="00C645E2">
      <w:pPr>
        <w:pStyle w:val="aNoteTextss"/>
        <w:rPr>
          <w:lang w:val="en" w:eastAsia="en-AU"/>
        </w:rPr>
      </w:pPr>
      <w:r w:rsidRPr="00041613">
        <w:rPr>
          <w:lang w:val="en" w:eastAsia="en-AU"/>
        </w:rPr>
        <w:t xml:space="preserve">See the definitions </w:t>
      </w:r>
      <w:r w:rsidRPr="00041613">
        <w:rPr>
          <w:i/>
          <w:iCs/>
          <w:lang w:val="en" w:eastAsia="en-AU"/>
        </w:rPr>
        <w:t>printed</w:t>
      </w:r>
      <w:r w:rsidRPr="00041613">
        <w:rPr>
          <w:lang w:val="en" w:eastAsia="en-AU"/>
        </w:rPr>
        <w:t xml:space="preserve"> and </w:t>
      </w:r>
      <w:r w:rsidRPr="00041613">
        <w:rPr>
          <w:i/>
          <w:iCs/>
          <w:lang w:val="en" w:eastAsia="en-AU"/>
        </w:rPr>
        <w:t>document</w:t>
      </w:r>
      <w:r>
        <w:rPr>
          <w:lang w:val="en" w:eastAsia="en-AU"/>
        </w:rPr>
        <w:t xml:space="preserve"> in section 12 of Schedule </w:t>
      </w:r>
      <w:r w:rsidRPr="00041613">
        <w:rPr>
          <w:lang w:val="en" w:eastAsia="en-AU"/>
        </w:rPr>
        <w:t>1.</w:t>
      </w:r>
    </w:p>
    <w:p w14:paraId="6A1034B6" w14:textId="77777777" w:rsidR="000F2061" w:rsidRPr="000F2061" w:rsidRDefault="00472601" w:rsidP="00472601">
      <w:pPr>
        <w:pStyle w:val="aDefpara"/>
        <w:rPr>
          <w:lang w:val="en" w:eastAsia="en-AU"/>
        </w:rPr>
      </w:pPr>
      <w:r>
        <w:rPr>
          <w:lang w:val="en" w:eastAsia="en-AU"/>
        </w:rPr>
        <w:tab/>
      </w:r>
      <w:r w:rsidR="000F2061" w:rsidRPr="000F2061">
        <w:rPr>
          <w:lang w:val="en" w:eastAsia="en-AU"/>
        </w:rPr>
        <w:t>(b)</w:t>
      </w:r>
      <w:r>
        <w:rPr>
          <w:lang w:val="en" w:eastAsia="en-AU"/>
        </w:rPr>
        <w:tab/>
      </w:r>
      <w:r w:rsidR="000F2061" w:rsidRPr="000F2061">
        <w:rPr>
          <w:lang w:val="en" w:eastAsia="en-AU"/>
        </w:rPr>
        <w:t>information stored electronically.</w:t>
      </w:r>
    </w:p>
    <w:p w14:paraId="0AC30BC1" w14:textId="77777777" w:rsidR="00DB6E47" w:rsidRPr="00041046" w:rsidRDefault="00DB6E47" w:rsidP="00DB6E47">
      <w:pPr>
        <w:pStyle w:val="aDef"/>
        <w:rPr>
          <w:bCs/>
        </w:rPr>
      </w:pPr>
      <w:r w:rsidRPr="00041046">
        <w:rPr>
          <w:rStyle w:val="charBoldItals"/>
        </w:rPr>
        <w:t>information notice</w:t>
      </w:r>
      <w:r w:rsidRPr="00041046">
        <w:t>, for a decision, means a notice stating the following—</w:t>
      </w:r>
    </w:p>
    <w:p w14:paraId="77A69239"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the decision;</w:t>
      </w:r>
    </w:p>
    <w:p w14:paraId="4C448DDE" w14:textId="77777777" w:rsidR="00DB6E47" w:rsidRPr="00F04D8E" w:rsidRDefault="00DB6E47" w:rsidP="00DB6E47">
      <w:pPr>
        <w:pStyle w:val="aDefpara"/>
      </w:pPr>
      <w:r>
        <w:tab/>
      </w:r>
      <w:r w:rsidRPr="00F04D8E">
        <w:t>(b)</w:t>
      </w:r>
      <w:r w:rsidRPr="00F04D8E">
        <w:tab/>
        <w:t>the reasons for the decision;</w:t>
      </w:r>
    </w:p>
    <w:p w14:paraId="7D034C8B" w14:textId="77777777" w:rsidR="00DB6E47" w:rsidRPr="00F04D8E" w:rsidRDefault="00DB6E47" w:rsidP="00DB6E47">
      <w:pPr>
        <w:pStyle w:val="aDefpara"/>
      </w:pPr>
      <w:r w:rsidRPr="00F04D8E">
        <w:tab/>
        <w:t>(c)</w:t>
      </w:r>
      <w:r w:rsidRPr="00F04D8E">
        <w:tab/>
        <w:t>the review and appeal information for the decision.</w:t>
      </w:r>
    </w:p>
    <w:p w14:paraId="029C7AF8" w14:textId="77777777" w:rsidR="00DB6E47" w:rsidRPr="00041046" w:rsidRDefault="00DB6E47" w:rsidP="00562073">
      <w:pPr>
        <w:pStyle w:val="aDef"/>
        <w:keepNext/>
        <w:rPr>
          <w:bCs/>
        </w:rPr>
      </w:pPr>
      <w:r w:rsidRPr="00041046">
        <w:rPr>
          <w:rStyle w:val="charBoldItals"/>
        </w:rPr>
        <w:t>infringement notice</w:t>
      </w:r>
      <w:r w:rsidRPr="00041046">
        <w:t xml:space="preserve"> means—</w:t>
      </w:r>
    </w:p>
    <w:p w14:paraId="482622FB" w14:textId="77777777" w:rsidR="00DB6E47" w:rsidRPr="00F04D8E" w:rsidRDefault="00DB6E47" w:rsidP="00562073">
      <w:pPr>
        <w:pStyle w:val="aDefpara"/>
        <w:keepNext/>
      </w:pPr>
      <w:r>
        <w:rPr>
          <w:rFonts w:cs="Times"/>
          <w:bCs/>
        </w:rPr>
        <w:tab/>
      </w:r>
      <w:r w:rsidRPr="00F04D8E">
        <w:rPr>
          <w:rFonts w:cs="Times"/>
          <w:bCs/>
        </w:rPr>
        <w:t>(a)</w:t>
      </w:r>
      <w:r w:rsidRPr="00F04D8E">
        <w:rPr>
          <w:rFonts w:cs="Times"/>
          <w:bCs/>
        </w:rPr>
        <w:tab/>
        <w:t>an infringement notice issued under section 591; or</w:t>
      </w:r>
    </w:p>
    <w:p w14:paraId="7A18DB70" w14:textId="77777777" w:rsidR="00DB6E47" w:rsidRPr="00F04D8E" w:rsidRDefault="00DB6E47" w:rsidP="00DB6E47">
      <w:pPr>
        <w:pStyle w:val="aDefpara"/>
      </w:pPr>
      <w:r>
        <w:tab/>
      </w:r>
      <w:r w:rsidRPr="00F04D8E">
        <w:t>(b)</w:t>
      </w:r>
      <w:r w:rsidRPr="00F04D8E">
        <w:tab/>
        <w:t>an infringement notice, expiation notice, penalty notice or similar notice under the Infringement Notice Offences Law.</w:t>
      </w:r>
    </w:p>
    <w:p w14:paraId="26A749E1" w14:textId="77777777" w:rsidR="00DB6E47" w:rsidRPr="00041046" w:rsidRDefault="00DB6E47" w:rsidP="00DB6E47">
      <w:pPr>
        <w:pStyle w:val="aDef"/>
        <w:rPr>
          <w:bCs/>
        </w:rPr>
      </w:pPr>
      <w:r w:rsidRPr="00041046">
        <w:rPr>
          <w:rStyle w:val="charBoldItals"/>
        </w:rPr>
        <w:lastRenderedPageBreak/>
        <w:t>Infringement Notice Offences Law</w:t>
      </w:r>
      <w:r w:rsidRPr="00041046">
        <w:t>, for a participating jurisdiction, means the law that is declared by a law of that jurisdiction to be the Infringement Notice Offences Law for the purposes of this Law.</w:t>
      </w:r>
    </w:p>
    <w:p w14:paraId="7ACA0FAE" w14:textId="77777777" w:rsidR="00DB6E47" w:rsidRPr="00041046" w:rsidRDefault="00DB6E47" w:rsidP="008C2E76">
      <w:pPr>
        <w:pStyle w:val="aDef"/>
        <w:keepNext/>
        <w:rPr>
          <w:bCs/>
        </w:rPr>
      </w:pPr>
      <w:r w:rsidRPr="00041046">
        <w:rPr>
          <w:rStyle w:val="charBoldItals"/>
        </w:rPr>
        <w:t>inspect</w:t>
      </w:r>
      <w:r w:rsidRPr="00041046">
        <w:t>, a thing, includes—</w:t>
      </w:r>
    </w:p>
    <w:p w14:paraId="34C88956"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open the thing and examine its contents; and</w:t>
      </w:r>
    </w:p>
    <w:p w14:paraId="0C497D4A" w14:textId="77777777" w:rsidR="00DB6E47" w:rsidRPr="00F04D8E" w:rsidRDefault="00DB6E47" w:rsidP="00DB6E47">
      <w:pPr>
        <w:pStyle w:val="aDefpara"/>
      </w:pPr>
      <w:r>
        <w:tab/>
      </w:r>
      <w:r w:rsidRPr="00F04D8E">
        <w:t>(b)</w:t>
      </w:r>
      <w:r w:rsidRPr="00F04D8E">
        <w:tab/>
        <w:t>test the thing or its contents or both.</w:t>
      </w:r>
    </w:p>
    <w:p w14:paraId="7A583993" w14:textId="77777777" w:rsidR="00DB6E47" w:rsidRPr="00041046" w:rsidRDefault="00DB6E47" w:rsidP="00DB6E47">
      <w:pPr>
        <w:pStyle w:val="aDef"/>
        <w:rPr>
          <w:bCs/>
        </w:rPr>
      </w:pPr>
      <w:r w:rsidRPr="00041046">
        <w:rPr>
          <w:rStyle w:val="charBoldItals"/>
        </w:rPr>
        <w:t xml:space="preserve">intelligent access </w:t>
      </w:r>
      <w:r w:rsidR="00083687">
        <w:rPr>
          <w:rStyle w:val="charBoldItals"/>
        </w:rPr>
        <w:t xml:space="preserve">program </w:t>
      </w:r>
      <w:r w:rsidR="00461C89">
        <w:rPr>
          <w:rStyle w:val="charBoldItals"/>
        </w:rPr>
        <w:t>a</w:t>
      </w:r>
      <w:r w:rsidRPr="00041046">
        <w:rPr>
          <w:rStyle w:val="charBoldItals"/>
        </w:rPr>
        <w:t>greement</w:t>
      </w:r>
      <w:r w:rsidRPr="00041046">
        <w:t xml:space="preserve">, for </w:t>
      </w:r>
      <w:r w:rsidR="00D1597E">
        <w:t>the purposes of Chapter </w:t>
      </w:r>
      <w:r w:rsidRPr="00041046">
        <w:t>7, has the meaning given by section 403.</w:t>
      </w:r>
    </w:p>
    <w:p w14:paraId="25A5B75D" w14:textId="77777777" w:rsidR="00DB6E47" w:rsidRPr="00041046" w:rsidRDefault="00DB6E47" w:rsidP="00DB6E47">
      <w:pPr>
        <w:pStyle w:val="aDef"/>
        <w:rPr>
          <w:bCs/>
        </w:rPr>
      </w:pPr>
      <w:r w:rsidRPr="00041046">
        <w:rPr>
          <w:rStyle w:val="charBoldItals"/>
        </w:rPr>
        <w:t xml:space="preserve">intelligent access </w:t>
      </w:r>
      <w:r w:rsidR="00461C89">
        <w:rPr>
          <w:rStyle w:val="charBoldItals"/>
        </w:rPr>
        <w:t xml:space="preserve">program </w:t>
      </w:r>
      <w:r w:rsidRPr="00041046">
        <w:rPr>
          <w:rStyle w:val="charBoldItals"/>
        </w:rPr>
        <w:t>audit</w:t>
      </w:r>
      <w:r w:rsidRPr="00041046">
        <w:t>, for the purposes of Chapter 7, has the meaning given by section 403.</w:t>
      </w:r>
    </w:p>
    <w:p w14:paraId="6178211B" w14:textId="77777777" w:rsidR="00DB6E47" w:rsidRPr="00041046" w:rsidRDefault="00DB6E47" w:rsidP="00DB6E47">
      <w:pPr>
        <w:pStyle w:val="aDef"/>
        <w:rPr>
          <w:bCs/>
        </w:rPr>
      </w:pPr>
      <w:r w:rsidRPr="00041046">
        <w:rPr>
          <w:rStyle w:val="charBoldItals"/>
        </w:rPr>
        <w:t xml:space="preserve">intelligent access </w:t>
      </w:r>
      <w:r w:rsidR="00B2046E">
        <w:rPr>
          <w:rStyle w:val="charBoldItals"/>
        </w:rPr>
        <w:t xml:space="preserve">program </w:t>
      </w:r>
      <w:r w:rsidRPr="00041046">
        <w:rPr>
          <w:rStyle w:val="charBoldItals"/>
        </w:rPr>
        <w:t xml:space="preserve">auditor </w:t>
      </w:r>
      <w:r w:rsidRPr="00041046">
        <w:t xml:space="preserve">means a person engaged by TCA for auditing activities conducted by intelligent access </w:t>
      </w:r>
      <w:r w:rsidR="000B70A7">
        <w:t xml:space="preserve">program </w:t>
      </w:r>
      <w:r w:rsidRPr="00041046">
        <w:t>service providers.</w:t>
      </w:r>
    </w:p>
    <w:p w14:paraId="589AFD19" w14:textId="77777777" w:rsidR="00DB6E47" w:rsidRPr="00041046" w:rsidRDefault="00DB6E47" w:rsidP="00DB6E47">
      <w:pPr>
        <w:pStyle w:val="aDef"/>
        <w:rPr>
          <w:bCs/>
        </w:rPr>
      </w:pPr>
      <w:r w:rsidRPr="00041046">
        <w:rPr>
          <w:rStyle w:val="charBoldItals"/>
        </w:rPr>
        <w:t xml:space="preserve">intelligent access </w:t>
      </w:r>
      <w:r w:rsidR="009328D2">
        <w:rPr>
          <w:rStyle w:val="charBoldItals"/>
        </w:rPr>
        <w:t xml:space="preserve">program </w:t>
      </w:r>
      <w:r w:rsidRPr="00041046">
        <w:rPr>
          <w:rStyle w:val="charBoldItals"/>
        </w:rPr>
        <w:t>conditions</w:t>
      </w:r>
      <w:r w:rsidRPr="00041046">
        <w:t xml:space="preserve"> has the meaning given by section 402.</w:t>
      </w:r>
    </w:p>
    <w:p w14:paraId="4CEC7E53" w14:textId="77777777" w:rsidR="00DB6E47" w:rsidRPr="00041046" w:rsidRDefault="00DB6E47" w:rsidP="00DB6E47">
      <w:pPr>
        <w:pStyle w:val="aDef"/>
        <w:rPr>
          <w:bCs/>
        </w:rPr>
      </w:pPr>
      <w:r w:rsidRPr="00041046">
        <w:rPr>
          <w:rStyle w:val="charBoldItals"/>
        </w:rPr>
        <w:t xml:space="preserve">intelligent access </w:t>
      </w:r>
      <w:r w:rsidR="00791E85">
        <w:rPr>
          <w:rStyle w:val="charBoldItals"/>
        </w:rPr>
        <w:t xml:space="preserve">program </w:t>
      </w:r>
      <w:r w:rsidRPr="00041046">
        <w:rPr>
          <w:rStyle w:val="charBoldItals"/>
        </w:rPr>
        <w:t>information</w:t>
      </w:r>
      <w:r w:rsidR="00C645E2">
        <w:t>, for the purposes of Chapter </w:t>
      </w:r>
      <w:r w:rsidRPr="00041046">
        <w:t>7, has the meaning given by section 403.</w:t>
      </w:r>
    </w:p>
    <w:p w14:paraId="27B7129E" w14:textId="77777777" w:rsidR="00DB6E47" w:rsidRPr="00041046" w:rsidRDefault="00DB6E47" w:rsidP="00DB6E47">
      <w:pPr>
        <w:pStyle w:val="aDef"/>
        <w:rPr>
          <w:bCs/>
        </w:rPr>
      </w:pPr>
      <w:r w:rsidRPr="00041046">
        <w:rPr>
          <w:rStyle w:val="charBoldItals"/>
        </w:rPr>
        <w:t>intelligent access map</w:t>
      </w:r>
      <w:r w:rsidRPr="00041046">
        <w:t xml:space="preserve"> means the spatial data set in electronic form, issued by TCA from time to time, that defines the national public road system.</w:t>
      </w:r>
    </w:p>
    <w:p w14:paraId="3551F06B" w14:textId="77777777" w:rsidR="00DB6E47" w:rsidRPr="00041046" w:rsidRDefault="00DB6E47" w:rsidP="00DB6E47">
      <w:pPr>
        <w:pStyle w:val="aDef"/>
        <w:rPr>
          <w:bCs/>
        </w:rPr>
      </w:pPr>
      <w:r w:rsidRPr="00041046">
        <w:rPr>
          <w:rStyle w:val="charBoldItals"/>
        </w:rPr>
        <w:t xml:space="preserve">intelligent access </w:t>
      </w:r>
      <w:r w:rsidR="00CF7156">
        <w:rPr>
          <w:rStyle w:val="charBoldItals"/>
        </w:rPr>
        <w:t xml:space="preserve">program </w:t>
      </w:r>
      <w:r w:rsidRPr="00041046">
        <w:rPr>
          <w:rStyle w:val="charBoldItals"/>
        </w:rPr>
        <w:t>reporting entity</w:t>
      </w:r>
      <w:r w:rsidRPr="00041046">
        <w:t>, for the purposes of Chapter 6, has the meaning given by section 221.</w:t>
      </w:r>
    </w:p>
    <w:p w14:paraId="23811B7B" w14:textId="77777777" w:rsidR="00DB6E47" w:rsidRPr="00041046" w:rsidRDefault="00DB6E47" w:rsidP="00DB6E47">
      <w:pPr>
        <w:pStyle w:val="aDef"/>
        <w:rPr>
          <w:bCs/>
        </w:rPr>
      </w:pPr>
      <w:r w:rsidRPr="00041046">
        <w:rPr>
          <w:rStyle w:val="charBoldItals"/>
        </w:rPr>
        <w:t xml:space="preserve">intelligent access </w:t>
      </w:r>
      <w:r w:rsidR="00A85615">
        <w:rPr>
          <w:rStyle w:val="charBoldItals"/>
        </w:rPr>
        <w:t xml:space="preserve">program </w:t>
      </w:r>
      <w:r w:rsidRPr="00041046">
        <w:rPr>
          <w:rStyle w:val="charBoldItals"/>
        </w:rPr>
        <w:t>service provider</w:t>
      </w:r>
      <w:r w:rsidRPr="00041046">
        <w:t xml:space="preserve"> has the meaning given by section</w:t>
      </w:r>
      <w:r w:rsidR="00562073">
        <w:t> </w:t>
      </w:r>
      <w:r w:rsidRPr="00041046">
        <w:t>403.</w:t>
      </w:r>
    </w:p>
    <w:p w14:paraId="2B07F2A9" w14:textId="77777777" w:rsidR="00DB6E47" w:rsidRPr="00041046" w:rsidRDefault="00DB6E47" w:rsidP="00DB6E47">
      <w:pPr>
        <w:pStyle w:val="aDef"/>
        <w:rPr>
          <w:bCs/>
        </w:rPr>
      </w:pPr>
      <w:r w:rsidRPr="00041046">
        <w:rPr>
          <w:rStyle w:val="charBoldItals"/>
        </w:rPr>
        <w:t xml:space="preserve">intelligent access </w:t>
      </w:r>
      <w:r w:rsidR="000A4E7F">
        <w:rPr>
          <w:rStyle w:val="charBoldItals"/>
        </w:rPr>
        <w:t xml:space="preserve">program </w:t>
      </w:r>
      <w:r w:rsidRPr="00041046">
        <w:rPr>
          <w:rStyle w:val="charBoldItals"/>
        </w:rPr>
        <w:t>vehicle</w:t>
      </w:r>
      <w:r w:rsidRPr="00041046">
        <w:t>, for the purposes of Chapter 7, has the meaning given by section 403.</w:t>
      </w:r>
    </w:p>
    <w:p w14:paraId="6AF500FA" w14:textId="77777777" w:rsidR="00DB6E47" w:rsidRPr="00041046" w:rsidRDefault="00DB6E47" w:rsidP="00554988">
      <w:pPr>
        <w:pStyle w:val="aDef"/>
        <w:keepNext/>
        <w:keepLines/>
        <w:rPr>
          <w:bCs/>
        </w:rPr>
      </w:pPr>
      <w:r w:rsidRPr="00041046">
        <w:rPr>
          <w:rStyle w:val="charBoldItals"/>
        </w:rPr>
        <w:lastRenderedPageBreak/>
        <w:t>intelligent transport system</w:t>
      </w:r>
      <w:r w:rsidRPr="00041046">
        <w:t xml:space="preserve"> means a system involving the use of electronic or other technology, whether located in a heavy vehicle or on or near a road or elsewhere, that is able to monitor, generate, record, store, display, analyse, transmit or report information about—</w:t>
      </w:r>
    </w:p>
    <w:p w14:paraId="543370E1" w14:textId="77777777" w:rsidR="00DB6E47" w:rsidRPr="00F04D8E" w:rsidRDefault="00DB6E47" w:rsidP="00554988">
      <w:pPr>
        <w:pStyle w:val="aDefpara"/>
        <w:keepNext/>
      </w:pPr>
      <w:r w:rsidRPr="00F04D8E">
        <w:rPr>
          <w:rFonts w:cs="Times"/>
          <w:bCs/>
        </w:rPr>
        <w:tab/>
        <w:t>(a)</w:t>
      </w:r>
      <w:r w:rsidRPr="00F04D8E">
        <w:rPr>
          <w:rFonts w:cs="Times"/>
          <w:bCs/>
        </w:rPr>
        <w:tab/>
        <w:t>any or all of the following—</w:t>
      </w:r>
    </w:p>
    <w:p w14:paraId="547E3D88" w14:textId="77777777" w:rsidR="00DB6E47" w:rsidRPr="00F04D8E" w:rsidRDefault="00DB6E47" w:rsidP="00DB6E47">
      <w:pPr>
        <w:pStyle w:val="aDefsubpara"/>
      </w:pPr>
      <w:r w:rsidRPr="00F04D8E">
        <w:tab/>
        <w:t>(i)</w:t>
      </w:r>
      <w:r w:rsidRPr="00F04D8E">
        <w:tab/>
        <w:t>a heavy vehicle, its equipment or load;</w:t>
      </w:r>
    </w:p>
    <w:p w14:paraId="0A0B636D" w14:textId="77777777" w:rsidR="00DB6E47" w:rsidRPr="00F04D8E" w:rsidRDefault="00DB6E47" w:rsidP="00DB6E47">
      <w:pPr>
        <w:pStyle w:val="aDefsubpara"/>
      </w:pPr>
      <w:r w:rsidRPr="00F04D8E">
        <w:tab/>
        <w:t>(ii)</w:t>
      </w:r>
      <w:r w:rsidRPr="00F04D8E">
        <w:tab/>
        <w:t>the driver of a heavy vehicle;</w:t>
      </w:r>
    </w:p>
    <w:p w14:paraId="71F1F7FA" w14:textId="77777777" w:rsidR="00DB6E47" w:rsidRPr="00F04D8E" w:rsidRDefault="00DB6E47" w:rsidP="00DB6E47">
      <w:pPr>
        <w:pStyle w:val="aDefsubpara"/>
      </w:pPr>
      <w:r w:rsidRPr="00F04D8E">
        <w:tab/>
        <w:t>(iii)</w:t>
      </w:r>
      <w:r w:rsidRPr="00F04D8E">
        <w:tab/>
        <w:t>an operator of a heavy vehicle;</w:t>
      </w:r>
    </w:p>
    <w:p w14:paraId="6AC3388A" w14:textId="77777777" w:rsidR="00DB6E47" w:rsidRPr="00F04D8E" w:rsidRDefault="00DB6E47" w:rsidP="00DB6E47">
      <w:pPr>
        <w:pStyle w:val="aDefsubpara"/>
      </w:pPr>
      <w:r w:rsidRPr="00F04D8E">
        <w:tab/>
        <w:t>(iv)</w:t>
      </w:r>
      <w:r w:rsidRPr="00F04D8E">
        <w:tab/>
        <w:t>anyone else involved in road transport using a heavy vehicle; and</w:t>
      </w:r>
    </w:p>
    <w:p w14:paraId="5E5CF6C0" w14:textId="77777777" w:rsidR="00DB6E47" w:rsidRPr="00F04D8E" w:rsidRDefault="00DB6E47" w:rsidP="00DB6E47">
      <w:pPr>
        <w:pStyle w:val="aDefpara"/>
      </w:pPr>
      <w:r w:rsidRPr="00F04D8E">
        <w:tab/>
        <w:t>(b)</w:t>
      </w:r>
      <w:r w:rsidRPr="00F04D8E">
        <w:tab/>
        <w:t>without limiting paragraph (a), the compliance or noncompliance with this Law of the use of a heavy vehicle on a road.</w:t>
      </w:r>
    </w:p>
    <w:p w14:paraId="2F72FDD1" w14:textId="77777777" w:rsidR="00DB6E47" w:rsidRPr="00041046" w:rsidRDefault="00DB6E47" w:rsidP="00DB6E47">
      <w:pPr>
        <w:pStyle w:val="aDef"/>
        <w:rPr>
          <w:bCs/>
        </w:rPr>
      </w:pPr>
      <w:r w:rsidRPr="00041046">
        <w:rPr>
          <w:rStyle w:val="charBoldItals"/>
        </w:rPr>
        <w:t>investigation purposes</w:t>
      </w:r>
      <w:r w:rsidRPr="00041046">
        <w:t xml:space="preserve"> means investigating a contravention or suspected contravention of this Law.</w:t>
      </w:r>
    </w:p>
    <w:p w14:paraId="697FFB23" w14:textId="77777777" w:rsidR="00DB6E47" w:rsidRPr="00041046" w:rsidRDefault="00DB6E47" w:rsidP="00DB6E47">
      <w:pPr>
        <w:pStyle w:val="aDef"/>
        <w:rPr>
          <w:bCs/>
        </w:rPr>
      </w:pPr>
      <w:r w:rsidRPr="00041046">
        <w:rPr>
          <w:rStyle w:val="charBoldItals"/>
        </w:rPr>
        <w:t>journey documentation</w:t>
      </w:r>
      <w:r w:rsidRPr="00041046">
        <w:t>—</w:t>
      </w:r>
    </w:p>
    <w:p w14:paraId="6DD2611A" w14:textId="77777777" w:rsidR="00DB6E47" w:rsidRPr="00F04D8E" w:rsidRDefault="00DB6E47" w:rsidP="00DB6E47">
      <w:pPr>
        <w:pStyle w:val="aDefpara"/>
      </w:pPr>
      <w:r w:rsidRPr="00F04D8E">
        <w:rPr>
          <w:rFonts w:cs="Times"/>
          <w:bCs/>
        </w:rPr>
        <w:tab/>
        <w:t>(a)</w:t>
      </w:r>
      <w:r w:rsidRPr="00F04D8E">
        <w:rPr>
          <w:rFonts w:cs="Times"/>
          <w:bCs/>
        </w:rPr>
        <w:tab/>
        <w:t>means a document, other than transport documentation, in any form—</w:t>
      </w:r>
    </w:p>
    <w:p w14:paraId="3AE41829" w14:textId="77777777" w:rsidR="00DB6E47" w:rsidRPr="00F04D8E" w:rsidRDefault="00DB6E47" w:rsidP="00DB6E47">
      <w:pPr>
        <w:pStyle w:val="aDefsubpara"/>
      </w:pPr>
      <w:r w:rsidRPr="00F04D8E">
        <w:tab/>
        <w:t>(i)</w:t>
      </w:r>
      <w:r w:rsidRPr="00F04D8E">
        <w:tab/>
        <w:t>directly or indirectly associated with—</w:t>
      </w:r>
    </w:p>
    <w:p w14:paraId="5B7F9E28" w14:textId="77777777" w:rsidR="00DB6E47" w:rsidRPr="00F04D8E" w:rsidRDefault="00DB6E47" w:rsidP="00E13952">
      <w:pPr>
        <w:pStyle w:val="Asubsubpara"/>
      </w:pPr>
      <w:r w:rsidRPr="00F04D8E">
        <w:tab/>
        <w:t>(</w:t>
      </w:r>
      <w:r w:rsidR="00E13952">
        <w:t>A</w:t>
      </w:r>
      <w:r w:rsidRPr="00F04D8E">
        <w:t>)</w:t>
      </w:r>
      <w:r w:rsidRPr="00F04D8E">
        <w:tab/>
        <w:t>a transaction for the actual or proposed road transport of goods or passengers using a heavy vehicle, or for a previous transport of the goods or passengers by any transport method; or</w:t>
      </w:r>
    </w:p>
    <w:p w14:paraId="49E34663" w14:textId="77777777" w:rsidR="00DB6E47" w:rsidRPr="00F04D8E" w:rsidRDefault="00DB6E47" w:rsidP="00E13952">
      <w:pPr>
        <w:pStyle w:val="Asubsubpara"/>
      </w:pPr>
      <w:r w:rsidRPr="00F04D8E">
        <w:tab/>
        <w:t>(</w:t>
      </w:r>
      <w:r w:rsidR="00E13952">
        <w:t>B</w:t>
      </w:r>
      <w:r w:rsidRPr="00F04D8E">
        <w:t>)</w:t>
      </w:r>
      <w:r w:rsidRPr="00F04D8E">
        <w:tab/>
        <w:t>goods or passengers, to the extent the document is relevant to a transaction for their actual or proposed road transport; and</w:t>
      </w:r>
    </w:p>
    <w:p w14:paraId="2F102659" w14:textId="77777777" w:rsidR="00DB6E47" w:rsidRPr="00F04D8E" w:rsidRDefault="00DB6E47" w:rsidP="00E13952">
      <w:pPr>
        <w:pStyle w:val="aDefsubpara"/>
      </w:pPr>
      <w:r w:rsidRPr="00F04D8E">
        <w:tab/>
        <w:t>(ii)</w:t>
      </w:r>
      <w:r w:rsidRPr="00F04D8E">
        <w:tab/>
        <w:t>whether relating to a particular journey or to journeys generally; and</w:t>
      </w:r>
    </w:p>
    <w:p w14:paraId="199BEAC4" w14:textId="77777777" w:rsidR="00DB6E47" w:rsidRPr="00F04D8E" w:rsidRDefault="00DB6E47" w:rsidP="00DB6E47">
      <w:pPr>
        <w:pStyle w:val="aDefpara"/>
      </w:pPr>
      <w:r w:rsidRPr="00F04D8E">
        <w:lastRenderedPageBreak/>
        <w:tab/>
        <w:t>(b)</w:t>
      </w:r>
      <w:r w:rsidRPr="00F04D8E">
        <w:tab/>
        <w:t>includes, for example, any or all of the following—</w:t>
      </w:r>
    </w:p>
    <w:p w14:paraId="0D8A3128" w14:textId="77777777" w:rsidR="00DB6E47" w:rsidRPr="00F04D8E" w:rsidRDefault="00DB6E47" w:rsidP="00DB6E47">
      <w:pPr>
        <w:pStyle w:val="aDefsubpara"/>
      </w:pPr>
      <w:r>
        <w:tab/>
      </w:r>
      <w:r w:rsidRPr="00F04D8E">
        <w:t>(i)</w:t>
      </w:r>
      <w:r w:rsidRPr="00F04D8E">
        <w:tab/>
        <w:t>a document kept, used or obtained by a responsible person for a heavy vehicle in connection with the transport of goods or passengers;</w:t>
      </w:r>
    </w:p>
    <w:p w14:paraId="098C77BE" w14:textId="77777777" w:rsidR="00DB6E47" w:rsidRPr="00F04D8E" w:rsidRDefault="00DB6E47" w:rsidP="00DB6E47">
      <w:pPr>
        <w:pStyle w:val="aDefsubpara"/>
      </w:pPr>
      <w:r>
        <w:tab/>
      </w:r>
      <w:r w:rsidRPr="00F04D8E">
        <w:t>(ii)</w:t>
      </w:r>
      <w:r w:rsidRPr="00F04D8E">
        <w:tab/>
        <w:t>a workshop, maintenance or repair record relating to a heavy vehicle used, or claimed to be used, for transporting goods or passengers;</w:t>
      </w:r>
    </w:p>
    <w:p w14:paraId="6CDA6DF1" w14:textId="77777777" w:rsidR="00DB6E47" w:rsidRPr="00F04D8E" w:rsidRDefault="00DB6E47" w:rsidP="00DB6E47">
      <w:pPr>
        <w:pStyle w:val="aDefsubpara"/>
      </w:pPr>
      <w:r>
        <w:tab/>
      </w:r>
      <w:r w:rsidRPr="00F04D8E">
        <w:t>(iii)</w:t>
      </w:r>
      <w:r w:rsidRPr="00F04D8E">
        <w:tab/>
        <w:t>a subcontractor’s payment advice relating to goods or passengers or their transport;</w:t>
      </w:r>
    </w:p>
    <w:p w14:paraId="12B8A00E" w14:textId="77777777" w:rsidR="00DB6E47" w:rsidRPr="00F04D8E" w:rsidRDefault="00DB6E47" w:rsidP="00CF52C7">
      <w:pPr>
        <w:pStyle w:val="aDefsubpara"/>
        <w:keepNext/>
      </w:pPr>
      <w:r>
        <w:tab/>
      </w:r>
      <w:r w:rsidRPr="00F04D8E">
        <w:t>(iv)</w:t>
      </w:r>
      <w:r w:rsidRPr="00F04D8E">
        <w:tab/>
        <w:t>records kept, used or obtained by the driver of a heavy vehicle used, or claimed to be used, for transporting goods or passengers;</w:t>
      </w:r>
    </w:p>
    <w:p w14:paraId="4FE0E2F8" w14:textId="77777777" w:rsidR="00DB6E47" w:rsidRPr="007E1F9A" w:rsidRDefault="00DB6E47" w:rsidP="00CF52C7">
      <w:pPr>
        <w:pStyle w:val="aExamHdgss"/>
      </w:pPr>
      <w:r w:rsidRPr="00C96203">
        <w:rPr>
          <w:rFonts w:cs="Times"/>
          <w:bCs/>
          <w:iCs/>
        </w:rPr>
        <w:t>Examples</w:t>
      </w:r>
      <w:r w:rsidRPr="00C96203">
        <w:rPr>
          <w:rFonts w:cs="Times"/>
          <w:bCs/>
        </w:rPr>
        <w:t>—</w:t>
      </w:r>
    </w:p>
    <w:p w14:paraId="0170328B" w14:textId="77777777" w:rsidR="00DB6E47" w:rsidRPr="007E1F9A" w:rsidRDefault="00DB6E47" w:rsidP="00CF52C7">
      <w:pPr>
        <w:pStyle w:val="aExamBulletss"/>
        <w:keepNext/>
      </w:pPr>
      <w:r w:rsidRPr="007E1F9A">
        <w:t xml:space="preserve">• </w:t>
      </w:r>
      <w:r w:rsidRPr="007E1F9A">
        <w:tab/>
        <w:t>driver’s run sheet</w:t>
      </w:r>
    </w:p>
    <w:p w14:paraId="484FA7EE" w14:textId="77777777" w:rsidR="00DB6E47" w:rsidRPr="007E1F9A" w:rsidRDefault="00DB6E47" w:rsidP="00DB6E47">
      <w:pPr>
        <w:pStyle w:val="aExamBulletss"/>
      </w:pPr>
      <w:r w:rsidRPr="007E1F9A">
        <w:t xml:space="preserve">• </w:t>
      </w:r>
      <w:r w:rsidRPr="007E1F9A">
        <w:tab/>
        <w:t>work diary entry</w:t>
      </w:r>
    </w:p>
    <w:p w14:paraId="32EA4076" w14:textId="77777777" w:rsidR="00DB6E47" w:rsidRPr="007E1F9A" w:rsidRDefault="00DB6E47" w:rsidP="00DB6E47">
      <w:pPr>
        <w:pStyle w:val="aExamBulletss"/>
      </w:pPr>
      <w:r w:rsidRPr="007E1F9A">
        <w:t xml:space="preserve">• </w:t>
      </w:r>
      <w:r w:rsidRPr="007E1F9A">
        <w:tab/>
        <w:t>fuel docket or receipt</w:t>
      </w:r>
    </w:p>
    <w:p w14:paraId="5FB7BC7E" w14:textId="77777777" w:rsidR="00DB6E47" w:rsidRPr="007E1F9A" w:rsidRDefault="00DB6E47" w:rsidP="00DB6E47">
      <w:pPr>
        <w:pStyle w:val="aExamBulletss"/>
      </w:pPr>
      <w:r w:rsidRPr="007E1F9A">
        <w:t xml:space="preserve">• </w:t>
      </w:r>
      <w:r w:rsidRPr="007E1F9A">
        <w:tab/>
        <w:t>food receipt</w:t>
      </w:r>
    </w:p>
    <w:p w14:paraId="26C70E82" w14:textId="77777777" w:rsidR="00DB6E47" w:rsidRPr="007E1F9A" w:rsidRDefault="00DB6E47" w:rsidP="00DB6E47">
      <w:pPr>
        <w:pStyle w:val="aExamBulletss"/>
      </w:pPr>
      <w:r w:rsidRPr="007E1F9A">
        <w:t xml:space="preserve">• </w:t>
      </w:r>
      <w:r w:rsidRPr="007E1F9A">
        <w:tab/>
        <w:t>tollway receipt</w:t>
      </w:r>
    </w:p>
    <w:p w14:paraId="3D8457CF" w14:textId="77777777" w:rsidR="00DB6E47" w:rsidRPr="007E1F9A" w:rsidRDefault="00DB6E47" w:rsidP="00DB6E47">
      <w:pPr>
        <w:pStyle w:val="aExamBulletss"/>
      </w:pPr>
      <w:r w:rsidRPr="007E1F9A">
        <w:t xml:space="preserve">• </w:t>
      </w:r>
      <w:r w:rsidRPr="007E1F9A">
        <w:tab/>
        <w:t>pay record</w:t>
      </w:r>
    </w:p>
    <w:p w14:paraId="19297E16" w14:textId="77777777" w:rsidR="00DB6E47" w:rsidRPr="007E1F9A" w:rsidRDefault="00DB6E47" w:rsidP="00DB6E47">
      <w:pPr>
        <w:pStyle w:val="aExamBulletss"/>
      </w:pPr>
      <w:r w:rsidRPr="007E1F9A">
        <w:t xml:space="preserve">• </w:t>
      </w:r>
      <w:r w:rsidRPr="007E1F9A">
        <w:tab/>
        <w:t>mobile or other telephone record</w:t>
      </w:r>
    </w:p>
    <w:p w14:paraId="67D6DC52" w14:textId="77777777" w:rsidR="00DB6E47" w:rsidRPr="00F04D8E" w:rsidRDefault="00DB6E47" w:rsidP="00DB6E47">
      <w:pPr>
        <w:pStyle w:val="aDefpara"/>
      </w:pPr>
      <w:r>
        <w:rPr>
          <w:rFonts w:cs="Times"/>
          <w:bCs/>
        </w:rPr>
        <w:tab/>
      </w:r>
      <w:r w:rsidRPr="00F04D8E">
        <w:rPr>
          <w:rFonts w:cs="Times"/>
          <w:bCs/>
        </w:rPr>
        <w:t>(v)</w:t>
      </w:r>
      <w:r w:rsidRPr="00F04D8E">
        <w:rPr>
          <w:rFonts w:cs="Times"/>
          <w:bCs/>
        </w:rPr>
        <w:tab/>
        <w:t>information reported through the use of an intelligent transport system;</w:t>
      </w:r>
    </w:p>
    <w:p w14:paraId="38CF16D2" w14:textId="77777777" w:rsidR="00DB6E47" w:rsidRPr="00F04D8E" w:rsidRDefault="00DB6E47" w:rsidP="00DB6E47">
      <w:pPr>
        <w:pStyle w:val="aDefpara"/>
      </w:pPr>
      <w:r>
        <w:tab/>
      </w:r>
      <w:r w:rsidRPr="00F04D8E">
        <w:t>(vi)</w:t>
      </w:r>
      <w:r w:rsidRPr="00F04D8E">
        <w:tab/>
        <w:t>a driver manual or instruction sheet;</w:t>
      </w:r>
    </w:p>
    <w:p w14:paraId="7BAB58BE" w14:textId="77777777" w:rsidR="00DB6E47" w:rsidRPr="00F04D8E" w:rsidRDefault="00DB6E47" w:rsidP="00DB6E47">
      <w:pPr>
        <w:pStyle w:val="aDefpara"/>
      </w:pPr>
      <w:r>
        <w:tab/>
      </w:r>
      <w:r w:rsidRPr="00F04D8E">
        <w:t>(vii)</w:t>
      </w:r>
      <w:r w:rsidRPr="00F04D8E">
        <w:tab/>
        <w:t>an advice resulting from check weighing of a heavy vehicle’s mass or load performed before, during or after a journey.</w:t>
      </w:r>
    </w:p>
    <w:p w14:paraId="777864C9" w14:textId="77777777" w:rsidR="00862BFE" w:rsidRPr="001C07E0" w:rsidRDefault="00862BFE" w:rsidP="00862BFE">
      <w:pPr>
        <w:pStyle w:val="aNote"/>
        <w:rPr>
          <w:lang w:val="en" w:eastAsia="en-AU"/>
        </w:rPr>
      </w:pPr>
      <w:r w:rsidRPr="001C07E0">
        <w:rPr>
          <w:rStyle w:val="charItals"/>
        </w:rPr>
        <w:t>Note</w:t>
      </w:r>
      <w:r w:rsidRPr="001C07E0">
        <w:rPr>
          <w:lang w:val="en" w:eastAsia="en-AU"/>
        </w:rPr>
        <w:t>—</w:t>
      </w:r>
    </w:p>
    <w:p w14:paraId="60BF6549" w14:textId="77777777" w:rsidR="00862BFE" w:rsidRPr="001C07E0" w:rsidRDefault="00862BFE" w:rsidP="00862BFE">
      <w:pPr>
        <w:pStyle w:val="aNoteTextss"/>
        <w:rPr>
          <w:lang w:val="en" w:eastAsia="en-AU"/>
        </w:rPr>
      </w:pPr>
      <w:r w:rsidRPr="001C07E0">
        <w:rPr>
          <w:lang w:val="en" w:eastAsia="en-AU"/>
        </w:rPr>
        <w:t xml:space="preserve">See the definition </w:t>
      </w:r>
      <w:r w:rsidRPr="001C07E0">
        <w:rPr>
          <w:i/>
          <w:iCs/>
          <w:lang w:val="en" w:eastAsia="en-AU"/>
        </w:rPr>
        <w:t>document</w:t>
      </w:r>
      <w:r w:rsidRPr="001C07E0">
        <w:rPr>
          <w:lang w:val="en" w:eastAsia="en-AU"/>
        </w:rPr>
        <w:t xml:space="preserve"> in section 12 of Schedule 1.</w:t>
      </w:r>
    </w:p>
    <w:p w14:paraId="299D7B83" w14:textId="77777777" w:rsidR="00DB6E47" w:rsidRPr="00041046" w:rsidRDefault="00DB6E47" w:rsidP="00562073">
      <w:pPr>
        <w:pStyle w:val="aDef"/>
        <w:keepLines/>
        <w:rPr>
          <w:bCs/>
        </w:rPr>
      </w:pPr>
      <w:r w:rsidRPr="00041046">
        <w:rPr>
          <w:rStyle w:val="charBoldItals"/>
        </w:rPr>
        <w:lastRenderedPageBreak/>
        <w:t>law enforcement agency</w:t>
      </w:r>
      <w:r w:rsidRPr="00041046">
        <w:t xml:space="preserve"> means an agency that has functions or activities directed at the prevention, detection, investigation, prosecution or punishment of offences and other contraventions of a law for which penalties or sanctions may be imposed.</w:t>
      </w:r>
    </w:p>
    <w:p w14:paraId="199809D6" w14:textId="77777777" w:rsidR="00DB6E47" w:rsidRPr="00041046" w:rsidRDefault="00DB6E47" w:rsidP="00DB6E47">
      <w:pPr>
        <w:pStyle w:val="aDef"/>
        <w:rPr>
          <w:bCs/>
        </w:rPr>
      </w:pPr>
      <w:r w:rsidRPr="00041046">
        <w:rPr>
          <w:rStyle w:val="charBoldItals"/>
        </w:rPr>
        <w:t>law enforcement purposes</w:t>
      </w:r>
      <w:r w:rsidRPr="00041046">
        <w:t>, for the purposes of Chapter 7, has the meaning given by section 403.</w:t>
      </w:r>
    </w:p>
    <w:p w14:paraId="78BE27E3" w14:textId="77777777" w:rsidR="00DB6E47" w:rsidRPr="00041046" w:rsidRDefault="00DB6E47" w:rsidP="00DB6E47">
      <w:pPr>
        <w:pStyle w:val="aDef"/>
        <w:rPr>
          <w:bCs/>
        </w:rPr>
      </w:pPr>
      <w:r w:rsidRPr="00041046">
        <w:rPr>
          <w:rStyle w:val="charBoldItals"/>
        </w:rPr>
        <w:t>load</w:t>
      </w:r>
      <w:r w:rsidRPr="00041046">
        <w:t>, of a heavy vehicle or in a heavy vehicle, means—</w:t>
      </w:r>
    </w:p>
    <w:p w14:paraId="320D24CE" w14:textId="77777777" w:rsidR="00DB6E47" w:rsidRPr="00F04D8E" w:rsidRDefault="00DB6E47" w:rsidP="00DB6E47">
      <w:pPr>
        <w:pStyle w:val="aDefpara"/>
      </w:pPr>
      <w:r w:rsidRPr="00F04D8E">
        <w:rPr>
          <w:rFonts w:cs="Times"/>
          <w:bCs/>
        </w:rPr>
        <w:tab/>
        <w:t>(a)</w:t>
      </w:r>
      <w:r w:rsidRPr="00F04D8E">
        <w:rPr>
          <w:rFonts w:cs="Times"/>
          <w:bCs/>
        </w:rPr>
        <w:tab/>
        <w:t>all the goods, passengers, drivers and other persons in the vehicle; and</w:t>
      </w:r>
    </w:p>
    <w:p w14:paraId="3D49B7B2" w14:textId="77777777" w:rsidR="00DB6E47" w:rsidRPr="00F04D8E" w:rsidRDefault="00DB6E47" w:rsidP="00DB6E47">
      <w:pPr>
        <w:pStyle w:val="aDefpara"/>
      </w:pPr>
      <w:r w:rsidRPr="00F04D8E">
        <w:tab/>
        <w:t>(b)</w:t>
      </w:r>
      <w:r w:rsidRPr="00F04D8E">
        <w:tab/>
        <w:t>all fuel, water, lubricants and readily removable equipment carried in the vehicle and required for its normal use; and</w:t>
      </w:r>
    </w:p>
    <w:p w14:paraId="5018FEBB" w14:textId="77777777" w:rsidR="00DB6E47" w:rsidRPr="00F04D8E" w:rsidRDefault="00DB6E47" w:rsidP="00DB6E47">
      <w:pPr>
        <w:pStyle w:val="aDefpara"/>
      </w:pPr>
      <w:r w:rsidRPr="00F04D8E">
        <w:tab/>
        <w:t>(c)</w:t>
      </w:r>
      <w:r w:rsidRPr="00F04D8E">
        <w:tab/>
        <w:t>personal items used by the vehicle’s driver or someone else necessary for the normal use of the vehicle; and</w:t>
      </w:r>
    </w:p>
    <w:p w14:paraId="69F12851" w14:textId="77777777" w:rsidR="00DB6E47" w:rsidRPr="00F04D8E" w:rsidRDefault="00DB6E47" w:rsidP="00DB6E47">
      <w:pPr>
        <w:pStyle w:val="aDefpara"/>
      </w:pPr>
      <w:r w:rsidRPr="00F04D8E">
        <w:tab/>
        <w:t>(d)</w:t>
      </w:r>
      <w:r w:rsidRPr="00F04D8E">
        <w:tab/>
        <w:t>anything that is normally removed from the vehicle when not in use.</w:t>
      </w:r>
    </w:p>
    <w:p w14:paraId="63A4AA34" w14:textId="77777777" w:rsidR="00DB6E47" w:rsidRPr="00041046" w:rsidRDefault="00DB6E47" w:rsidP="00DB6E47">
      <w:pPr>
        <w:pStyle w:val="aDef"/>
        <w:rPr>
          <w:bCs/>
        </w:rPr>
      </w:pPr>
      <w:r w:rsidRPr="00041046">
        <w:rPr>
          <w:rStyle w:val="charBoldItals"/>
        </w:rPr>
        <w:t>load</w:t>
      </w:r>
      <w:r w:rsidRPr="00041046">
        <w:t xml:space="preserve">, when used as a verb, and </w:t>
      </w:r>
      <w:r w:rsidRPr="004214F7">
        <w:rPr>
          <w:rStyle w:val="charBoldItals"/>
        </w:rPr>
        <w:t>loader</w:t>
      </w:r>
      <w:r w:rsidRPr="00041046">
        <w:t>—</w:t>
      </w:r>
    </w:p>
    <w:p w14:paraId="3F22739E" w14:textId="77777777" w:rsidR="00DB6E47" w:rsidRPr="006C3305" w:rsidRDefault="00DB6E47" w:rsidP="00CC184A">
      <w:pPr>
        <w:pStyle w:val="Amainreturn"/>
      </w:pPr>
      <w:r w:rsidRPr="00F04D8E">
        <w:t xml:space="preserve">A person </w:t>
      </w:r>
      <w:r w:rsidRPr="00FF4454">
        <w:rPr>
          <w:rStyle w:val="charBoldItals"/>
        </w:rPr>
        <w:t>loads</w:t>
      </w:r>
      <w:r w:rsidRPr="006C3305">
        <w:t xml:space="preserve"> goods in a heavy vehicle, and is a </w:t>
      </w:r>
      <w:r w:rsidRPr="00FF4454">
        <w:rPr>
          <w:rStyle w:val="charBoldItals"/>
        </w:rPr>
        <w:t>loader</w:t>
      </w:r>
      <w:r w:rsidRPr="006C3305">
        <w:t xml:space="preserve"> of goods in a heavy vehicle, if the person is a person who—</w:t>
      </w:r>
    </w:p>
    <w:p w14:paraId="27BA4F5D" w14:textId="77777777" w:rsidR="00DB6E47" w:rsidRPr="00F04D8E" w:rsidRDefault="00DB6E47" w:rsidP="00DB6E47">
      <w:pPr>
        <w:pStyle w:val="aDefpara"/>
      </w:pPr>
      <w:r w:rsidRPr="00F04D8E">
        <w:rPr>
          <w:rFonts w:cs="Times"/>
          <w:bCs/>
        </w:rPr>
        <w:tab/>
        <w:t>(a)</w:t>
      </w:r>
      <w:r w:rsidRPr="00F04D8E">
        <w:rPr>
          <w:rFonts w:cs="Times"/>
          <w:bCs/>
        </w:rPr>
        <w:tab/>
        <w:t>loads the vehicle, or any container that is in or part of the vehicle, with the goods for road transport; or</w:t>
      </w:r>
    </w:p>
    <w:p w14:paraId="318369E5" w14:textId="77777777" w:rsidR="00DB6E47" w:rsidRPr="00F04D8E" w:rsidRDefault="00DB6E47" w:rsidP="00DB6E47">
      <w:pPr>
        <w:pStyle w:val="aDefpara"/>
      </w:pPr>
      <w:r w:rsidRPr="00F04D8E">
        <w:tab/>
        <w:t>(b)</w:t>
      </w:r>
      <w:r w:rsidRPr="00F04D8E">
        <w:tab/>
        <w:t>loads the vehicle with a freight container, whether or not it contains goods, for road transport.</w:t>
      </w:r>
    </w:p>
    <w:p w14:paraId="19823822" w14:textId="77777777" w:rsidR="00DB6E47" w:rsidRPr="00041046" w:rsidRDefault="00DB6E47" w:rsidP="00DB6E47">
      <w:pPr>
        <w:pStyle w:val="aDef"/>
        <w:rPr>
          <w:bCs/>
        </w:rPr>
      </w:pPr>
      <w:r w:rsidRPr="00041046">
        <w:rPr>
          <w:rStyle w:val="charBoldItals"/>
        </w:rPr>
        <w:t>loaded mass</w:t>
      </w:r>
      <w:r w:rsidRPr="00041046">
        <w:t>, of a vehicle, means the vehicle’s mass together with the mass of the vehicle’s load that is transmitted to the ground.</w:t>
      </w:r>
    </w:p>
    <w:p w14:paraId="33B01DD6" w14:textId="77777777" w:rsidR="00472601" w:rsidRPr="00472601" w:rsidRDefault="00472601" w:rsidP="00554988">
      <w:pPr>
        <w:pStyle w:val="aDef"/>
        <w:keepNext/>
        <w:rPr>
          <w:lang w:val="en" w:eastAsia="en-AU"/>
        </w:rPr>
      </w:pPr>
      <w:r w:rsidRPr="00472601">
        <w:rPr>
          <w:b/>
          <w:bCs/>
          <w:i/>
          <w:iCs/>
          <w:lang w:val="en" w:eastAsia="en-AU"/>
        </w:rPr>
        <w:lastRenderedPageBreak/>
        <w:t>loading manager</w:t>
      </w:r>
      <w:r w:rsidRPr="00472601">
        <w:rPr>
          <w:lang w:val="en" w:eastAsia="en-AU"/>
        </w:rPr>
        <w:t>, for goods in a heavy vehicle, means—</w:t>
      </w:r>
    </w:p>
    <w:p w14:paraId="0675580A" w14:textId="77777777" w:rsidR="00472601" w:rsidRPr="003323FC" w:rsidRDefault="00472601" w:rsidP="00554988">
      <w:pPr>
        <w:pStyle w:val="aDefpara"/>
        <w:keepNext/>
      </w:pPr>
      <w:r w:rsidRPr="003323FC">
        <w:tab/>
        <w:t>(a)</w:t>
      </w:r>
      <w:r w:rsidRPr="003323FC">
        <w:tab/>
        <w:t xml:space="preserve">a person who </w:t>
      </w:r>
      <w:r w:rsidRPr="00472601">
        <w:t>manages, or is responsible for the operation of, regular loading or unloading premises for h</w:t>
      </w:r>
      <w:r w:rsidRPr="003323FC">
        <w:t>eavy vehicles where the goods are—</w:t>
      </w:r>
    </w:p>
    <w:p w14:paraId="5EBF1B13" w14:textId="77777777" w:rsidR="00472601" w:rsidRPr="00472601" w:rsidRDefault="00472601" w:rsidP="00472601">
      <w:pPr>
        <w:pStyle w:val="aDefsubpara"/>
        <w:rPr>
          <w:lang w:val="en" w:eastAsia="en-AU"/>
        </w:rPr>
      </w:pPr>
      <w:r>
        <w:rPr>
          <w:lang w:val="en" w:eastAsia="en-AU"/>
        </w:rPr>
        <w:tab/>
      </w:r>
      <w:r w:rsidRPr="00472601">
        <w:rPr>
          <w:lang w:val="en" w:eastAsia="en-AU"/>
        </w:rPr>
        <w:t>(i)</w:t>
      </w:r>
      <w:r>
        <w:rPr>
          <w:lang w:val="en" w:eastAsia="en-AU"/>
        </w:rPr>
        <w:tab/>
      </w:r>
      <w:r w:rsidRPr="00472601">
        <w:rPr>
          <w:lang w:val="en" w:eastAsia="en-AU"/>
        </w:rPr>
        <w:t>loaded onto the heavy vehicle; or</w:t>
      </w:r>
    </w:p>
    <w:p w14:paraId="647E7E84" w14:textId="77777777" w:rsidR="00472601" w:rsidRPr="00472601" w:rsidRDefault="00472601" w:rsidP="00472601">
      <w:pPr>
        <w:pStyle w:val="aDefsubpara"/>
        <w:rPr>
          <w:lang w:val="en" w:eastAsia="en-AU"/>
        </w:rPr>
      </w:pPr>
      <w:r>
        <w:rPr>
          <w:lang w:val="en" w:eastAsia="en-AU"/>
        </w:rPr>
        <w:tab/>
      </w:r>
      <w:r w:rsidRPr="00472601">
        <w:rPr>
          <w:lang w:val="en" w:eastAsia="en-AU"/>
        </w:rPr>
        <w:t>(ii)</w:t>
      </w:r>
      <w:r>
        <w:rPr>
          <w:lang w:val="en" w:eastAsia="en-AU"/>
        </w:rPr>
        <w:tab/>
      </w:r>
      <w:r w:rsidRPr="00472601">
        <w:rPr>
          <w:lang w:val="en" w:eastAsia="en-AU"/>
        </w:rPr>
        <w:t>unloaded from the heavy vehicle; or</w:t>
      </w:r>
    </w:p>
    <w:p w14:paraId="63C88D41" w14:textId="77777777" w:rsidR="00472601" w:rsidRPr="00472601" w:rsidRDefault="00472601" w:rsidP="00472601">
      <w:pPr>
        <w:pStyle w:val="aDefpara"/>
        <w:rPr>
          <w:lang w:val="en" w:eastAsia="en-AU"/>
        </w:rPr>
      </w:pPr>
      <w:r>
        <w:rPr>
          <w:lang w:val="en" w:eastAsia="en-AU"/>
        </w:rPr>
        <w:tab/>
      </w:r>
      <w:r w:rsidRPr="00472601">
        <w:rPr>
          <w:lang w:val="en" w:eastAsia="en-AU"/>
        </w:rPr>
        <w:t>(b)</w:t>
      </w:r>
      <w:r>
        <w:rPr>
          <w:lang w:val="en" w:eastAsia="en-AU"/>
        </w:rPr>
        <w:tab/>
      </w:r>
      <w:r w:rsidRPr="00472601">
        <w:rPr>
          <w:lang w:val="en" w:eastAsia="en-AU"/>
        </w:rPr>
        <w:t>a person who has been assigned by a person mentioned in paragraph (a) as responsible for supervising, managing or controlling, directly or indirectly, activities carried out by a loader or unloader of goods at regular loading or unloading premises for heavy vehicles.</w:t>
      </w:r>
    </w:p>
    <w:p w14:paraId="1FDFE7C2" w14:textId="77777777" w:rsidR="00DB6E47" w:rsidRPr="00041046" w:rsidRDefault="00DB6E47" w:rsidP="00DB6E47">
      <w:pPr>
        <w:pStyle w:val="aDef"/>
        <w:rPr>
          <w:bCs/>
        </w:rPr>
      </w:pPr>
      <w:r w:rsidRPr="00041046">
        <w:rPr>
          <w:rStyle w:val="charBoldItals"/>
        </w:rPr>
        <w:t xml:space="preserve">loading requirements </w:t>
      </w:r>
      <w:r w:rsidRPr="00041046">
        <w:t>has the meaning given by section 110.</w:t>
      </w:r>
    </w:p>
    <w:p w14:paraId="6BCABB97" w14:textId="77777777" w:rsidR="00DB6E47" w:rsidRPr="00041046" w:rsidRDefault="00DB6E47" w:rsidP="00DB6E47">
      <w:pPr>
        <w:pStyle w:val="aDef"/>
        <w:rPr>
          <w:bCs/>
        </w:rPr>
      </w:pPr>
      <w:r w:rsidRPr="00041046">
        <w:rPr>
          <w:rStyle w:val="charBoldItals"/>
        </w:rPr>
        <w:t>local government authority</w:t>
      </w:r>
      <w:r w:rsidRPr="00041046">
        <w:t>, for a participating jurisdiction, means an entity that is declared by a law of that jurisdiction to be a local government authority for that jurisdiction for the purposes of this Law.</w:t>
      </w:r>
    </w:p>
    <w:p w14:paraId="5B8B7FF2" w14:textId="77777777" w:rsidR="00DB6E47" w:rsidRPr="00041046" w:rsidRDefault="00DB6E47" w:rsidP="00DB6E47">
      <w:pPr>
        <w:pStyle w:val="aDef"/>
        <w:rPr>
          <w:bCs/>
        </w:rPr>
      </w:pPr>
      <w:r w:rsidRPr="00041046">
        <w:rPr>
          <w:rStyle w:val="charBoldItals"/>
        </w:rPr>
        <w:t xml:space="preserve">maintenance management accreditation </w:t>
      </w:r>
      <w:r w:rsidRPr="00041046">
        <w:t>means—</w:t>
      </w:r>
    </w:p>
    <w:p w14:paraId="11B85CEE" w14:textId="77777777" w:rsidR="00DB6E47" w:rsidRPr="00F04D8E" w:rsidRDefault="00DB6E47" w:rsidP="00DB6E47">
      <w:pPr>
        <w:pStyle w:val="aDefpara"/>
      </w:pPr>
      <w:r w:rsidRPr="00F04D8E">
        <w:rPr>
          <w:rFonts w:cs="Times"/>
          <w:bCs/>
        </w:rPr>
        <w:tab/>
        <w:t>(a)</w:t>
      </w:r>
      <w:r w:rsidRPr="00F04D8E">
        <w:rPr>
          <w:rFonts w:cs="Times"/>
          <w:bCs/>
        </w:rPr>
        <w:tab/>
      </w:r>
      <w:r w:rsidR="00CA2A61">
        <w:rPr>
          <w:spacing w:val="-1"/>
        </w:rPr>
        <w:t>maintenance management accreditation</w:t>
      </w:r>
      <w:r w:rsidR="00CA2A61">
        <w:rPr>
          <w:spacing w:val="22"/>
        </w:rPr>
        <w:t xml:space="preserve"> </w:t>
      </w:r>
      <w:r w:rsidR="00CA2A61">
        <w:rPr>
          <w:spacing w:val="-1"/>
        </w:rPr>
        <w:t>granted under section 458; or</w:t>
      </w:r>
    </w:p>
    <w:p w14:paraId="68D1CD28" w14:textId="77777777" w:rsidR="00DB6E47" w:rsidRPr="00F04D8E" w:rsidRDefault="00DB6E47" w:rsidP="00DB6E47">
      <w:pPr>
        <w:pStyle w:val="aDefpara"/>
      </w:pPr>
      <w:r>
        <w:tab/>
      </w:r>
      <w:r w:rsidRPr="00F04D8E">
        <w:t>(b)</w:t>
      </w:r>
      <w:r w:rsidRPr="00F04D8E">
        <w:tab/>
        <w:t>accreditation of a similar kind under another law of a participating jurisdiction.</w:t>
      </w:r>
    </w:p>
    <w:p w14:paraId="53B8684C" w14:textId="77777777" w:rsidR="00DB6E47" w:rsidRPr="00041046" w:rsidRDefault="00DB6E47" w:rsidP="00DB6E47">
      <w:pPr>
        <w:pStyle w:val="aDef"/>
        <w:rPr>
          <w:bCs/>
        </w:rPr>
      </w:pPr>
      <w:r w:rsidRPr="00041046">
        <w:rPr>
          <w:rStyle w:val="charBoldItals"/>
        </w:rPr>
        <w:t>maintenance management standards and business rules</w:t>
      </w:r>
      <w:r w:rsidRPr="00041046">
        <w:t>, for the purposes of Chapter 8, has the meaning given by section 457.</w:t>
      </w:r>
    </w:p>
    <w:p w14:paraId="6486139C" w14:textId="77777777" w:rsidR="00DB6E47" w:rsidRPr="00041046" w:rsidRDefault="00DB6E47" w:rsidP="00DB6E47">
      <w:pPr>
        <w:pStyle w:val="aDef"/>
        <w:rPr>
          <w:bCs/>
        </w:rPr>
      </w:pPr>
      <w:r w:rsidRPr="00041046">
        <w:rPr>
          <w:rStyle w:val="charBoldItals"/>
        </w:rPr>
        <w:t>maintenance management system</w:t>
      </w:r>
      <w:r w:rsidRPr="00041046">
        <w:t>, for the purposes of Chapter 8, has the meaning given by section 457.</w:t>
      </w:r>
    </w:p>
    <w:p w14:paraId="06AB2603" w14:textId="77777777" w:rsidR="00DB6E47" w:rsidRPr="001B78F0" w:rsidRDefault="0081516C" w:rsidP="00DB6E47">
      <w:pPr>
        <w:pStyle w:val="aDef"/>
      </w:pPr>
      <w:r w:rsidRPr="001B78F0">
        <w:rPr>
          <w:b/>
          <w:bCs/>
          <w:i/>
          <w:iCs/>
        </w:rPr>
        <w:t>major defect notice</w:t>
      </w:r>
      <w:r w:rsidRPr="001B78F0">
        <w:t xml:space="preserve"> means a notice complying with the requirements for a major defect notice under section 527.</w:t>
      </w:r>
    </w:p>
    <w:p w14:paraId="6EDDE880" w14:textId="77777777" w:rsidR="00DB6E47" w:rsidRPr="00041046" w:rsidRDefault="00DB6E47" w:rsidP="00DB6E47">
      <w:pPr>
        <w:pStyle w:val="aDef"/>
        <w:rPr>
          <w:bCs/>
        </w:rPr>
      </w:pPr>
      <w:r w:rsidRPr="00041046">
        <w:rPr>
          <w:rStyle w:val="charBoldItals"/>
        </w:rPr>
        <w:t>major rest break</w:t>
      </w:r>
      <w:r w:rsidRPr="00041046">
        <w:t>, for the purposes of Chapter 6, has the meaning given by section 221.</w:t>
      </w:r>
    </w:p>
    <w:p w14:paraId="522D652B" w14:textId="77777777" w:rsidR="00DB6E47" w:rsidRPr="00041046" w:rsidRDefault="00DB6E47" w:rsidP="00DB6E47">
      <w:pPr>
        <w:pStyle w:val="aDef"/>
        <w:rPr>
          <w:bCs/>
        </w:rPr>
      </w:pPr>
      <w:r w:rsidRPr="00041046">
        <w:rPr>
          <w:rStyle w:val="charBoldItals"/>
        </w:rPr>
        <w:lastRenderedPageBreak/>
        <w:t>malfunction</w:t>
      </w:r>
      <w:r w:rsidRPr="00041046">
        <w:t>—</w:t>
      </w:r>
    </w:p>
    <w:p w14:paraId="328F0767"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for the purposes of Chapter 6, has the meaning given by section</w:t>
      </w:r>
      <w:r w:rsidR="004931B6">
        <w:rPr>
          <w:rFonts w:cs="Times"/>
          <w:bCs/>
        </w:rPr>
        <w:t> </w:t>
      </w:r>
      <w:r w:rsidRPr="00F04D8E">
        <w:rPr>
          <w:rFonts w:cs="Times"/>
          <w:bCs/>
        </w:rPr>
        <w:t>221; and</w:t>
      </w:r>
    </w:p>
    <w:p w14:paraId="341BB9A9" w14:textId="77777777" w:rsidR="00DB6E47" w:rsidRPr="00F04D8E" w:rsidRDefault="00DB6E47" w:rsidP="00DB6E47">
      <w:pPr>
        <w:pStyle w:val="aDefpara"/>
      </w:pPr>
      <w:r>
        <w:tab/>
      </w:r>
      <w:r w:rsidRPr="00F04D8E">
        <w:t>(b)</w:t>
      </w:r>
      <w:r w:rsidRPr="00F04D8E">
        <w:tab/>
        <w:t>for the purposes of Chapter 7, has the meaning given by section</w:t>
      </w:r>
      <w:r w:rsidR="004931B6">
        <w:t> </w:t>
      </w:r>
      <w:r w:rsidRPr="00F04D8E">
        <w:t>403.</w:t>
      </w:r>
    </w:p>
    <w:p w14:paraId="26AE4790" w14:textId="77777777" w:rsidR="00A47369" w:rsidRPr="00A47369" w:rsidRDefault="00A47369" w:rsidP="00A47369">
      <w:pPr>
        <w:pStyle w:val="aDef"/>
        <w:rPr>
          <w:lang w:val="en" w:eastAsia="en-AU"/>
        </w:rPr>
      </w:pPr>
      <w:r w:rsidRPr="00A47369">
        <w:rPr>
          <w:b/>
          <w:bCs/>
          <w:i/>
          <w:iCs/>
          <w:lang w:val="en" w:eastAsia="en-AU"/>
        </w:rPr>
        <w:t>management member</w:t>
      </w:r>
      <w:r w:rsidRPr="00A47369">
        <w:rPr>
          <w:lang w:val="en" w:eastAsia="en-AU"/>
        </w:rPr>
        <w:t>, of an unincorporated body, means—</w:t>
      </w:r>
    </w:p>
    <w:p w14:paraId="06FC1783" w14:textId="77777777" w:rsidR="00A47369" w:rsidRPr="00A47369" w:rsidRDefault="00A47369" w:rsidP="00A47369">
      <w:pPr>
        <w:pStyle w:val="aDefpara"/>
        <w:rPr>
          <w:lang w:val="en" w:eastAsia="en-AU"/>
        </w:rPr>
      </w:pPr>
      <w:r>
        <w:rPr>
          <w:lang w:val="en" w:eastAsia="en-AU"/>
        </w:rPr>
        <w:tab/>
      </w:r>
      <w:r w:rsidRPr="00A47369">
        <w:rPr>
          <w:lang w:val="en" w:eastAsia="en-AU"/>
        </w:rPr>
        <w:t>(a)</w:t>
      </w:r>
      <w:r>
        <w:rPr>
          <w:lang w:val="en" w:eastAsia="en-AU"/>
        </w:rPr>
        <w:tab/>
      </w:r>
      <w:r w:rsidRPr="00A47369">
        <w:rPr>
          <w:lang w:val="en" w:eastAsia="en-AU"/>
        </w:rPr>
        <w:t>if the body has a management committee—each member of the management committee; or</w:t>
      </w:r>
    </w:p>
    <w:p w14:paraId="101EB8E9" w14:textId="77777777" w:rsidR="00A47369" w:rsidRPr="00A47369" w:rsidRDefault="00A47369" w:rsidP="00A47369">
      <w:pPr>
        <w:pStyle w:val="aDefpara"/>
        <w:rPr>
          <w:lang w:val="en" w:eastAsia="en-AU"/>
        </w:rPr>
      </w:pPr>
      <w:r>
        <w:rPr>
          <w:lang w:val="en" w:eastAsia="en-AU"/>
        </w:rPr>
        <w:tab/>
      </w:r>
      <w:r w:rsidRPr="00A47369">
        <w:rPr>
          <w:lang w:val="en" w:eastAsia="en-AU"/>
        </w:rPr>
        <w:t>(b)</w:t>
      </w:r>
      <w:r>
        <w:rPr>
          <w:lang w:val="en" w:eastAsia="en-AU"/>
        </w:rPr>
        <w:tab/>
      </w:r>
      <w:r w:rsidRPr="00A47369">
        <w:rPr>
          <w:lang w:val="en" w:eastAsia="en-AU"/>
        </w:rPr>
        <w:t>otherwise—each member who is concerned with, or takes part in, the body’s management, whatever name is given to the member’s position in the body.</w:t>
      </w:r>
    </w:p>
    <w:p w14:paraId="05A87E97" w14:textId="77777777" w:rsidR="00DB6E47" w:rsidRPr="00041046" w:rsidRDefault="00DB6E47" w:rsidP="00DB6E47">
      <w:pPr>
        <w:pStyle w:val="aDef"/>
        <w:rPr>
          <w:bCs/>
        </w:rPr>
      </w:pPr>
      <w:r w:rsidRPr="00041046">
        <w:rPr>
          <w:rStyle w:val="charBoldItals"/>
        </w:rPr>
        <w:t>mass, dimension or loading requirement</w:t>
      </w:r>
      <w:r w:rsidRPr="00041046">
        <w:t xml:space="preserve"> means a mass requirement, dimension requirement or loading requirement.</w:t>
      </w:r>
    </w:p>
    <w:p w14:paraId="2C0D2652" w14:textId="77777777" w:rsidR="00DB6E47" w:rsidRPr="00041046" w:rsidRDefault="00DB6E47" w:rsidP="00DB6E47">
      <w:pPr>
        <w:pStyle w:val="aDef"/>
        <w:rPr>
          <w:bCs/>
        </w:rPr>
      </w:pPr>
      <w:r w:rsidRPr="00041046">
        <w:rPr>
          <w:rStyle w:val="charBoldItals"/>
        </w:rPr>
        <w:t>mass management accreditation</w:t>
      </w:r>
      <w:r w:rsidRPr="00041046">
        <w:t xml:space="preserve"> means—</w:t>
      </w:r>
    </w:p>
    <w:p w14:paraId="0F83EBDD"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r>
      <w:r w:rsidR="00CA2A61">
        <w:rPr>
          <w:spacing w:val="-1"/>
        </w:rPr>
        <w:t>mass</w:t>
      </w:r>
      <w:r w:rsidR="00CA2A61">
        <w:t xml:space="preserve"> management </w:t>
      </w:r>
      <w:r w:rsidR="00CA2A61">
        <w:rPr>
          <w:spacing w:val="-1"/>
        </w:rPr>
        <w:t>accreditation</w:t>
      </w:r>
      <w:r w:rsidR="00CA2A61">
        <w:rPr>
          <w:spacing w:val="19"/>
        </w:rPr>
        <w:t xml:space="preserve"> </w:t>
      </w:r>
      <w:r w:rsidR="00CA2A61">
        <w:rPr>
          <w:spacing w:val="-1"/>
        </w:rPr>
        <w:t>granted</w:t>
      </w:r>
      <w:r w:rsidR="00CA2A61">
        <w:rPr>
          <w:spacing w:val="26"/>
        </w:rPr>
        <w:t xml:space="preserve"> </w:t>
      </w:r>
      <w:r w:rsidR="00CA2A61">
        <w:rPr>
          <w:spacing w:val="-1"/>
        </w:rPr>
        <w:t>under section 458; or</w:t>
      </w:r>
    </w:p>
    <w:p w14:paraId="52FC291E" w14:textId="77777777" w:rsidR="00DB6E47" w:rsidRPr="00F04D8E" w:rsidRDefault="00DB6E47" w:rsidP="00DB6E47">
      <w:pPr>
        <w:pStyle w:val="aDefpara"/>
      </w:pPr>
      <w:r>
        <w:tab/>
      </w:r>
      <w:r w:rsidRPr="00F04D8E">
        <w:t>(b)</w:t>
      </w:r>
      <w:r w:rsidRPr="00F04D8E">
        <w:tab/>
        <w:t>accreditation of a similar kind under another law of a participating jurisdiction.</w:t>
      </w:r>
    </w:p>
    <w:p w14:paraId="2EC247B4" w14:textId="77777777" w:rsidR="00DB6E47" w:rsidRPr="00041046" w:rsidRDefault="00DB6E47" w:rsidP="00DB6E47">
      <w:pPr>
        <w:pStyle w:val="aDef"/>
        <w:rPr>
          <w:bCs/>
        </w:rPr>
      </w:pPr>
      <w:r w:rsidRPr="00041046">
        <w:rPr>
          <w:rStyle w:val="charBoldItals"/>
        </w:rPr>
        <w:t>mass management standards and business rules</w:t>
      </w:r>
      <w:r w:rsidRPr="00041046">
        <w:t>, for the purposes of Chapter 8, has the meaning given by section 457.</w:t>
      </w:r>
    </w:p>
    <w:p w14:paraId="6E459C21" w14:textId="77777777" w:rsidR="00DB6E47" w:rsidRPr="00041046" w:rsidRDefault="00DB6E47" w:rsidP="00DB6E47">
      <w:pPr>
        <w:pStyle w:val="aDef"/>
        <w:rPr>
          <w:bCs/>
        </w:rPr>
      </w:pPr>
      <w:r w:rsidRPr="00041046">
        <w:rPr>
          <w:rStyle w:val="charBoldItals"/>
        </w:rPr>
        <w:t>mass management system</w:t>
      </w:r>
      <w:r w:rsidRPr="00041046">
        <w:t>, for the purposes of Chapter 8, has the meaning given by section 457.</w:t>
      </w:r>
    </w:p>
    <w:p w14:paraId="7F8392B9" w14:textId="77777777" w:rsidR="00DB6E47" w:rsidRPr="00041046" w:rsidRDefault="00DB6E47" w:rsidP="00DB6E47">
      <w:pPr>
        <w:pStyle w:val="aDef"/>
        <w:rPr>
          <w:bCs/>
        </w:rPr>
      </w:pPr>
      <w:r w:rsidRPr="00041046">
        <w:rPr>
          <w:rStyle w:val="charBoldItals"/>
        </w:rPr>
        <w:t>mass or dimension authority</w:t>
      </w:r>
      <w:r w:rsidRPr="00041046">
        <w:t xml:space="preserve"> means—</w:t>
      </w:r>
    </w:p>
    <w:p w14:paraId="75A0C368"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a mass or dimension exemption; or</w:t>
      </w:r>
    </w:p>
    <w:p w14:paraId="337564E4" w14:textId="77777777" w:rsidR="00DB6E47" w:rsidRPr="00F04D8E" w:rsidRDefault="00DB6E47" w:rsidP="00DB6E47">
      <w:pPr>
        <w:pStyle w:val="aDefpara"/>
      </w:pPr>
      <w:r>
        <w:tab/>
      </w:r>
      <w:r w:rsidRPr="00F04D8E">
        <w:t>(b)</w:t>
      </w:r>
      <w:r w:rsidRPr="00F04D8E">
        <w:tab/>
        <w:t>a class 2 heavy vehicle authorisation.</w:t>
      </w:r>
    </w:p>
    <w:p w14:paraId="39AC5F43" w14:textId="77777777" w:rsidR="00DB6E47" w:rsidRPr="00041046" w:rsidRDefault="00DB6E47" w:rsidP="00DB6E47">
      <w:pPr>
        <w:pStyle w:val="aDef"/>
        <w:rPr>
          <w:bCs/>
        </w:rPr>
      </w:pPr>
      <w:r w:rsidRPr="00041046">
        <w:rPr>
          <w:rStyle w:val="charBoldItals"/>
        </w:rPr>
        <w:t>mass or dimension exemption</w:t>
      </w:r>
      <w:r w:rsidRPr="00041046">
        <w:t xml:space="preserve"> means—</w:t>
      </w:r>
    </w:p>
    <w:p w14:paraId="24CF5E6A"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a mass or dimension exemption (notice); or</w:t>
      </w:r>
    </w:p>
    <w:p w14:paraId="4265D084" w14:textId="77777777" w:rsidR="00DB6E47" w:rsidRPr="00F04D8E" w:rsidRDefault="00DB6E47" w:rsidP="00DB6E47">
      <w:pPr>
        <w:pStyle w:val="aDefpara"/>
      </w:pPr>
      <w:r>
        <w:tab/>
      </w:r>
      <w:r w:rsidRPr="00F04D8E">
        <w:t>(b)</w:t>
      </w:r>
      <w:r w:rsidRPr="00F04D8E">
        <w:tab/>
        <w:t>a mass or dimension exemption (permit).</w:t>
      </w:r>
    </w:p>
    <w:p w14:paraId="56FD20C8" w14:textId="77777777" w:rsidR="00DB6E47" w:rsidRPr="00041046" w:rsidRDefault="00DB6E47" w:rsidP="00DB6E47">
      <w:pPr>
        <w:pStyle w:val="aDef"/>
        <w:rPr>
          <w:bCs/>
        </w:rPr>
      </w:pPr>
      <w:r w:rsidRPr="00041046">
        <w:rPr>
          <w:rStyle w:val="charBoldItals"/>
        </w:rPr>
        <w:lastRenderedPageBreak/>
        <w:t>mass or dimension exemption (notice)</w:t>
      </w:r>
      <w:r w:rsidRPr="00041046">
        <w:t xml:space="preserve"> has the meaning given by section 117(2).</w:t>
      </w:r>
    </w:p>
    <w:p w14:paraId="47DF87C6" w14:textId="77777777" w:rsidR="00DB6E47" w:rsidRPr="00041046" w:rsidRDefault="00DB6E47" w:rsidP="00DB6E47">
      <w:pPr>
        <w:pStyle w:val="aDef"/>
        <w:rPr>
          <w:bCs/>
        </w:rPr>
      </w:pPr>
      <w:r w:rsidRPr="00041046">
        <w:rPr>
          <w:rStyle w:val="charBoldItals"/>
        </w:rPr>
        <w:t>mass or dimension exemption (permit)</w:t>
      </w:r>
      <w:r w:rsidRPr="00041046">
        <w:t xml:space="preserve"> has the meaning given by section 122(3).</w:t>
      </w:r>
    </w:p>
    <w:p w14:paraId="65689F14" w14:textId="77777777" w:rsidR="00DB6E47" w:rsidRPr="00041046" w:rsidRDefault="00DB6E47" w:rsidP="00CF52C7">
      <w:pPr>
        <w:pStyle w:val="aDef"/>
        <w:keepNext/>
        <w:rPr>
          <w:bCs/>
        </w:rPr>
      </w:pPr>
      <w:r w:rsidRPr="00041046">
        <w:rPr>
          <w:rStyle w:val="charBoldItals"/>
        </w:rPr>
        <w:t>mass requirement</w:t>
      </w:r>
      <w:r w:rsidRPr="00041046">
        <w:t xml:space="preserve"> means—</w:t>
      </w:r>
    </w:p>
    <w:p w14:paraId="79ABAE89" w14:textId="77777777" w:rsidR="00DB6E47" w:rsidRPr="00F04D8E" w:rsidRDefault="00DB6E47" w:rsidP="00DB6E47">
      <w:pPr>
        <w:pStyle w:val="aDefpara"/>
      </w:pPr>
      <w:r w:rsidRPr="00F04D8E">
        <w:rPr>
          <w:rFonts w:cs="Times"/>
          <w:bCs/>
        </w:rPr>
        <w:tab/>
        <w:t>(a)</w:t>
      </w:r>
      <w:r w:rsidRPr="00F04D8E">
        <w:rPr>
          <w:rFonts w:cs="Times"/>
          <w:bCs/>
        </w:rPr>
        <w:tab/>
        <w:t>a prescribed mass requirement (under section 95); or</w:t>
      </w:r>
    </w:p>
    <w:p w14:paraId="4A53A9AA" w14:textId="77777777" w:rsidR="00DB6E47" w:rsidRPr="00F04D8E" w:rsidRDefault="00DB6E47" w:rsidP="00DB6E47">
      <w:pPr>
        <w:pStyle w:val="aDefpara"/>
      </w:pPr>
      <w:r>
        <w:tab/>
      </w:r>
      <w:r w:rsidRPr="00F04D8E">
        <w:t>(b)</w:t>
      </w:r>
      <w:r w:rsidRPr="00F04D8E">
        <w:tab/>
        <w:t>a requirement as to a mass limit relating to a heavy vehicle under a condition to which a mass or dimension authority is subject (where the mass limit is lower than the relevant prescribed mass requirement); or</w:t>
      </w:r>
    </w:p>
    <w:p w14:paraId="06A0CE2E" w14:textId="77777777" w:rsidR="00DB6E47" w:rsidRPr="00F04D8E" w:rsidRDefault="00DB6E47" w:rsidP="00DB6E47">
      <w:pPr>
        <w:pStyle w:val="aDefpara"/>
      </w:pPr>
      <w:r>
        <w:tab/>
      </w:r>
      <w:r w:rsidRPr="00F04D8E">
        <w:t>(c)</w:t>
      </w:r>
      <w:r w:rsidRPr="00F04D8E">
        <w:tab/>
        <w:t>a requirement as to a mass limit under a PBS vehicle approval; or</w:t>
      </w:r>
    </w:p>
    <w:p w14:paraId="62127202" w14:textId="77777777" w:rsidR="00DB6E47" w:rsidRPr="00F04D8E" w:rsidRDefault="00DB6E47" w:rsidP="00DB6E47">
      <w:pPr>
        <w:pStyle w:val="aDefpara"/>
      </w:pPr>
      <w:r>
        <w:tab/>
      </w:r>
      <w:r w:rsidRPr="00F04D8E">
        <w:t>(d)</w:t>
      </w:r>
      <w:r w:rsidRPr="00F04D8E">
        <w:tab/>
        <w:t>a requirement as to a mass limit indicated by an official traffic sign; or</w:t>
      </w:r>
    </w:p>
    <w:p w14:paraId="78AC9283" w14:textId="77777777" w:rsidR="00DB6E47" w:rsidRPr="007E1F9A" w:rsidRDefault="00DB6E47" w:rsidP="00DB6E47">
      <w:pPr>
        <w:pStyle w:val="aNotepar"/>
      </w:pPr>
      <w:r w:rsidRPr="00FF4454">
        <w:rPr>
          <w:rStyle w:val="charItals"/>
        </w:rPr>
        <w:t>Note</w:t>
      </w:r>
      <w:r w:rsidRPr="00C96203">
        <w:t>—</w:t>
      </w:r>
    </w:p>
    <w:p w14:paraId="0F7D98FD" w14:textId="77777777" w:rsidR="00DB6E47" w:rsidRPr="007E1F9A" w:rsidRDefault="00DB6E47" w:rsidP="00DB6E47">
      <w:pPr>
        <w:pStyle w:val="aNoteTextpar"/>
      </w:pPr>
      <w:r w:rsidRPr="00C96203">
        <w:t xml:space="preserve">See the definitions </w:t>
      </w:r>
      <w:r w:rsidRPr="00FF4454">
        <w:rPr>
          <w:rStyle w:val="charItals"/>
        </w:rPr>
        <w:t>indicated</w:t>
      </w:r>
      <w:r w:rsidRPr="00C96203">
        <w:t xml:space="preserve"> and </w:t>
      </w:r>
      <w:r w:rsidRPr="00FF4454">
        <w:rPr>
          <w:rStyle w:val="charItals"/>
        </w:rPr>
        <w:t>official traffic sign</w:t>
      </w:r>
      <w:r w:rsidRPr="00C96203">
        <w:t>.</w:t>
      </w:r>
    </w:p>
    <w:p w14:paraId="6062DCE1" w14:textId="77777777" w:rsidR="00DB6E47" w:rsidRPr="00F04D8E" w:rsidRDefault="00DB6E47" w:rsidP="00DB6E47">
      <w:pPr>
        <w:pStyle w:val="aDefpara"/>
      </w:pPr>
      <w:r>
        <w:rPr>
          <w:rFonts w:cs="Times"/>
          <w:bCs/>
        </w:rPr>
        <w:tab/>
      </w:r>
      <w:r w:rsidRPr="00F04D8E">
        <w:rPr>
          <w:rFonts w:cs="Times"/>
          <w:bCs/>
        </w:rPr>
        <w:t>(e)</w:t>
      </w:r>
      <w:r w:rsidRPr="00F04D8E">
        <w:rPr>
          <w:rFonts w:cs="Times"/>
          <w:bCs/>
        </w:rPr>
        <w:tab/>
        <w:t>a requirement as to a mass limit under the GVM or GCM for a heavy vehicle; or</w:t>
      </w:r>
    </w:p>
    <w:p w14:paraId="4BC07BB4" w14:textId="77777777" w:rsidR="00DB6E47" w:rsidRPr="00F04D8E" w:rsidRDefault="00DB6E47" w:rsidP="00DB6E47">
      <w:pPr>
        <w:pStyle w:val="aDefpara"/>
      </w:pPr>
      <w:r>
        <w:tab/>
      </w:r>
      <w:r w:rsidRPr="00F04D8E">
        <w:t>(f)</w:t>
      </w:r>
      <w:r w:rsidRPr="00F04D8E">
        <w:tab/>
        <w:t>a requirement as to a mass limit for a component vehicle as stated by the manufacturer or as prescribed by a heavy vehicle standard.</w:t>
      </w:r>
    </w:p>
    <w:p w14:paraId="32568BAC" w14:textId="77777777" w:rsidR="00DB6E47" w:rsidRPr="00041046" w:rsidRDefault="00DB6E47" w:rsidP="00DB6E47">
      <w:pPr>
        <w:pStyle w:val="aDef"/>
        <w:rPr>
          <w:bCs/>
        </w:rPr>
      </w:pPr>
      <w:r w:rsidRPr="00041046">
        <w:rPr>
          <w:rStyle w:val="charBoldItals"/>
        </w:rPr>
        <w:t xml:space="preserve">maximum work requirement </w:t>
      </w:r>
      <w:r w:rsidRPr="00041046">
        <w:t>means a requirement of Chapter 6 relating to a maximum work time for the driver of a fatigue-regulated heavy vehicle.</w:t>
      </w:r>
    </w:p>
    <w:p w14:paraId="3D3912D0" w14:textId="77777777" w:rsidR="00DB6E47" w:rsidRPr="00041046" w:rsidRDefault="00DB6E47" w:rsidP="00DB6E47">
      <w:pPr>
        <w:pStyle w:val="aDef"/>
        <w:rPr>
          <w:bCs/>
        </w:rPr>
      </w:pPr>
      <w:r w:rsidRPr="00041046">
        <w:rPr>
          <w:rStyle w:val="charBoldItals"/>
        </w:rPr>
        <w:t xml:space="preserve">maximum work time </w:t>
      </w:r>
      <w:r w:rsidRPr="00041046">
        <w:t>means the maximum time the driver of a fatigue-regulated heavy vehicle may drive a fatigue-regulated heavy vehicle, or otherwise work, without taking a rest.</w:t>
      </w:r>
    </w:p>
    <w:p w14:paraId="51937A6C" w14:textId="77777777" w:rsidR="00DB6E47" w:rsidRPr="00041046" w:rsidRDefault="00DB6E47" w:rsidP="00DB6E47">
      <w:pPr>
        <w:pStyle w:val="aDef"/>
        <w:rPr>
          <w:bCs/>
        </w:rPr>
      </w:pPr>
      <w:r w:rsidRPr="00041046">
        <w:rPr>
          <w:rStyle w:val="charBoldItals"/>
        </w:rPr>
        <w:lastRenderedPageBreak/>
        <w:t xml:space="preserve">minimum rest requirement </w:t>
      </w:r>
      <w:r w:rsidRPr="00041046">
        <w:t>means a requirement of Chapter 6 relating to the minimum rest time for the driver of a fatigue-regulated heavy vehicle.</w:t>
      </w:r>
    </w:p>
    <w:p w14:paraId="21CC584E" w14:textId="77777777" w:rsidR="00DB6E47" w:rsidRPr="00041046" w:rsidRDefault="00DB6E47" w:rsidP="00DB6E47">
      <w:pPr>
        <w:pStyle w:val="aDef"/>
        <w:rPr>
          <w:bCs/>
        </w:rPr>
      </w:pPr>
      <w:r w:rsidRPr="00041046">
        <w:rPr>
          <w:rStyle w:val="charBoldItals"/>
        </w:rPr>
        <w:t>minimum rest time</w:t>
      </w:r>
      <w:r w:rsidRPr="00041046">
        <w:t xml:space="preserve"> means the minimum time the driver of a fatigue-regulated heavy vehicle must rest in order to break up the period of time the driver drives a fatigue-regulated heavy vehicle or otherwise works.</w:t>
      </w:r>
    </w:p>
    <w:p w14:paraId="37645E5C" w14:textId="77777777" w:rsidR="00DB6E47" w:rsidRPr="002E5F1F" w:rsidRDefault="0081516C" w:rsidP="00DB6E47">
      <w:pPr>
        <w:pStyle w:val="aDef"/>
      </w:pPr>
      <w:r w:rsidRPr="002E5F1F">
        <w:rPr>
          <w:b/>
          <w:bCs/>
          <w:i/>
          <w:iCs/>
        </w:rPr>
        <w:t xml:space="preserve">minor defect notice </w:t>
      </w:r>
      <w:r w:rsidRPr="002E5F1F">
        <w:t>means a notice complying with the requirements for a minor defect notice under section 527.</w:t>
      </w:r>
    </w:p>
    <w:p w14:paraId="2084C7D7" w14:textId="77777777" w:rsidR="00DB6E47" w:rsidRPr="00041046" w:rsidRDefault="00DB6E47" w:rsidP="00DB6E47">
      <w:pPr>
        <w:pStyle w:val="aDef"/>
        <w:rPr>
          <w:bCs/>
        </w:rPr>
      </w:pPr>
      <w:r w:rsidRPr="00041046">
        <w:rPr>
          <w:rStyle w:val="charBoldItals"/>
        </w:rPr>
        <w:t>minor risk breach</w:t>
      </w:r>
      <w:r w:rsidRPr="00041046">
        <w:t>—</w:t>
      </w:r>
    </w:p>
    <w:p w14:paraId="20F34379" w14:textId="77777777" w:rsidR="00DB6E47" w:rsidRPr="00F04D8E" w:rsidRDefault="00DB6E47" w:rsidP="00DB6E47">
      <w:pPr>
        <w:pStyle w:val="aDefpara"/>
      </w:pPr>
      <w:r w:rsidRPr="00F04D8E">
        <w:rPr>
          <w:rFonts w:cs="Times"/>
          <w:bCs/>
        </w:rPr>
        <w:tab/>
        <w:t>(a)</w:t>
      </w:r>
      <w:r w:rsidRPr="00F04D8E">
        <w:rPr>
          <w:rFonts w:cs="Times"/>
          <w:bCs/>
        </w:rPr>
        <w:tab/>
        <w:t>for a mass requirement—has the meaning given by section 98; or</w:t>
      </w:r>
    </w:p>
    <w:p w14:paraId="2F702D8F" w14:textId="77777777" w:rsidR="00DB6E47" w:rsidRPr="00F04D8E" w:rsidRDefault="00DB6E47" w:rsidP="00DB6E47">
      <w:pPr>
        <w:pStyle w:val="aDefpara"/>
      </w:pPr>
      <w:r w:rsidRPr="00F04D8E">
        <w:tab/>
        <w:t>(b)</w:t>
      </w:r>
      <w:r w:rsidRPr="00F04D8E">
        <w:tab/>
        <w:t>for a dimension requirement—has the meaning given by section</w:t>
      </w:r>
      <w:r w:rsidR="004931B6">
        <w:t> </w:t>
      </w:r>
      <w:r w:rsidRPr="00F04D8E">
        <w:t>105; or</w:t>
      </w:r>
    </w:p>
    <w:p w14:paraId="7D908E0E" w14:textId="77777777" w:rsidR="00DB6E47" w:rsidRPr="00F04D8E" w:rsidRDefault="00DB6E47" w:rsidP="00DB6E47">
      <w:pPr>
        <w:pStyle w:val="aDefpara"/>
      </w:pPr>
      <w:r w:rsidRPr="00F04D8E">
        <w:tab/>
        <w:t>(c)</w:t>
      </w:r>
      <w:r w:rsidRPr="00F04D8E">
        <w:tab/>
        <w:t>for a loading requirement—has the meaning given by section</w:t>
      </w:r>
      <w:r w:rsidR="004931B6">
        <w:t> </w:t>
      </w:r>
      <w:r w:rsidRPr="00F04D8E">
        <w:t>112; or</w:t>
      </w:r>
    </w:p>
    <w:p w14:paraId="2DA69763" w14:textId="77777777" w:rsidR="00DB6E47" w:rsidRPr="00F04D8E" w:rsidRDefault="00DB6E47" w:rsidP="00DB6E47">
      <w:pPr>
        <w:pStyle w:val="aDefpara"/>
      </w:pPr>
      <w:r w:rsidRPr="00F04D8E">
        <w:tab/>
        <w:t>(d)</w:t>
      </w:r>
      <w:r w:rsidRPr="00F04D8E">
        <w:tab/>
        <w:t>for a maximum work requirement or minimum rest requirement—has the meaning given by section 222(1).</w:t>
      </w:r>
    </w:p>
    <w:p w14:paraId="6B0A84CF" w14:textId="77777777" w:rsidR="0082104E" w:rsidRPr="00041046" w:rsidRDefault="0082104E" w:rsidP="00DB6E47">
      <w:pPr>
        <w:pStyle w:val="aDef"/>
        <w:rPr>
          <w:bCs/>
        </w:rPr>
      </w:pPr>
      <w:r w:rsidRPr="0082104E">
        <w:rPr>
          <w:rStyle w:val="charBoldItals"/>
        </w:rPr>
        <w:t>modification</w:t>
      </w:r>
      <w:r>
        <w:rPr>
          <w:b/>
          <w:i/>
          <w:spacing w:val="-1"/>
        </w:rPr>
        <w:t>,</w:t>
      </w:r>
      <w:r>
        <w:rPr>
          <w:b/>
          <w:i/>
          <w:spacing w:val="-4"/>
        </w:rPr>
        <w:t xml:space="preserve"> </w:t>
      </w:r>
      <w:r>
        <w:rPr>
          <w:spacing w:val="-1"/>
        </w:rPr>
        <w:t>for</w:t>
      </w:r>
      <w:r>
        <w:rPr>
          <w:spacing w:val="-5"/>
        </w:rPr>
        <w:t xml:space="preserve"> </w:t>
      </w:r>
      <w:r>
        <w:rPr>
          <w:spacing w:val="-1"/>
        </w:rPr>
        <w:t>the</w:t>
      </w:r>
      <w:r>
        <w:rPr>
          <w:spacing w:val="-5"/>
        </w:rPr>
        <w:t xml:space="preserve"> </w:t>
      </w:r>
      <w:r>
        <w:rPr>
          <w:spacing w:val="-1"/>
        </w:rPr>
        <w:t>purposes</w:t>
      </w:r>
      <w:r>
        <w:rPr>
          <w:spacing w:val="-5"/>
        </w:rPr>
        <w:t xml:space="preserve"> </w:t>
      </w:r>
      <w:r>
        <w:rPr>
          <w:spacing w:val="-1"/>
        </w:rPr>
        <w:t>of</w:t>
      </w:r>
      <w:r>
        <w:rPr>
          <w:spacing w:val="-5"/>
        </w:rPr>
        <w:t xml:space="preserve"> </w:t>
      </w:r>
      <w:r>
        <w:rPr>
          <w:spacing w:val="-2"/>
        </w:rPr>
        <w:t>Part</w:t>
      </w:r>
      <w:r>
        <w:rPr>
          <w:spacing w:val="-5"/>
        </w:rPr>
        <w:t xml:space="preserve"> </w:t>
      </w:r>
      <w:r>
        <w:rPr>
          <w:spacing w:val="-1"/>
        </w:rPr>
        <w:t>3.3,</w:t>
      </w:r>
      <w:r>
        <w:rPr>
          <w:spacing w:val="-5"/>
        </w:rPr>
        <w:t xml:space="preserve"> </w:t>
      </w:r>
      <w:r>
        <w:rPr>
          <w:spacing w:val="-1"/>
        </w:rPr>
        <w:t>has</w:t>
      </w:r>
      <w:r>
        <w:rPr>
          <w:spacing w:val="-5"/>
        </w:rPr>
        <w:t xml:space="preserve"> </w:t>
      </w:r>
      <w:r>
        <w:rPr>
          <w:spacing w:val="-1"/>
        </w:rPr>
        <w:t>the</w:t>
      </w:r>
      <w:r>
        <w:rPr>
          <w:spacing w:val="20"/>
        </w:rPr>
        <w:t xml:space="preserve"> </w:t>
      </w:r>
      <w:r>
        <w:rPr>
          <w:spacing w:val="-1"/>
        </w:rPr>
        <w:t xml:space="preserve">meaning </w:t>
      </w:r>
      <w:r>
        <w:rPr>
          <w:spacing w:val="-3"/>
        </w:rPr>
        <w:t>given</w:t>
      </w:r>
      <w:r>
        <w:rPr>
          <w:spacing w:val="-1"/>
        </w:rPr>
        <w:t xml:space="preserve"> by section 84.</w:t>
      </w:r>
    </w:p>
    <w:p w14:paraId="0D95DCDB" w14:textId="77777777" w:rsidR="00DB6E47" w:rsidRPr="00041046" w:rsidRDefault="00DB6E47" w:rsidP="00DB6E47">
      <w:pPr>
        <w:pStyle w:val="aDef"/>
        <w:rPr>
          <w:bCs/>
        </w:rPr>
      </w:pPr>
      <w:r w:rsidRPr="00041046">
        <w:rPr>
          <w:rStyle w:val="charBoldItals"/>
        </w:rPr>
        <w:t xml:space="preserve">monitoring purposes </w:t>
      </w:r>
      <w:r w:rsidRPr="00041046">
        <w:t>means finding out whether this Law is being complied with.</w:t>
      </w:r>
    </w:p>
    <w:p w14:paraId="49468783" w14:textId="77777777" w:rsidR="00DB6E47" w:rsidRPr="00041046" w:rsidRDefault="00DB6E47" w:rsidP="00DB6E47">
      <w:pPr>
        <w:pStyle w:val="aDef"/>
        <w:rPr>
          <w:bCs/>
        </w:rPr>
      </w:pPr>
      <w:r w:rsidRPr="00041046">
        <w:rPr>
          <w:rStyle w:val="charBoldItals"/>
        </w:rPr>
        <w:t xml:space="preserve">motor vehicle </w:t>
      </w:r>
      <w:r w:rsidRPr="00041046">
        <w:t>means a vehicle built to be propelled by a motor that forms part of the vehicle.</w:t>
      </w:r>
    </w:p>
    <w:p w14:paraId="57CBC479" w14:textId="5632123F" w:rsidR="00984ACD" w:rsidRDefault="00984ACD" w:rsidP="00DB6E47">
      <w:pPr>
        <w:pStyle w:val="aDef"/>
        <w:rPr>
          <w:rStyle w:val="charBoldItals"/>
        </w:rPr>
      </w:pPr>
      <w:r>
        <w:rPr>
          <w:b/>
          <w:bCs/>
          <w:i/>
          <w:iCs/>
          <w:color w:val="000000"/>
          <w:sz w:val="23"/>
          <w:szCs w:val="23"/>
          <w:shd w:val="clear" w:color="auto" w:fill="FFFFFF"/>
        </w:rPr>
        <w:t>Motor Vehicle Standards Act 1989</w:t>
      </w:r>
      <w:r>
        <w:rPr>
          <w:color w:val="000000"/>
          <w:sz w:val="23"/>
          <w:szCs w:val="23"/>
          <w:shd w:val="clear" w:color="auto" w:fill="FFFFFF"/>
        </w:rPr>
        <w:t> means the repealed </w:t>
      </w:r>
      <w:hyperlink r:id="rId33" w:tooltip="Act 1989 No 65 (Cwlth)" w:history="1">
        <w:r w:rsidRPr="00984ACD">
          <w:rPr>
            <w:rStyle w:val="charCitHyperlinkItal"/>
          </w:rPr>
          <w:t>Motor Vehicle Standards Act 1989</w:t>
        </w:r>
      </w:hyperlink>
      <w:r>
        <w:rPr>
          <w:color w:val="000000"/>
          <w:sz w:val="23"/>
          <w:szCs w:val="23"/>
          <w:shd w:val="clear" w:color="auto" w:fill="FFFFFF"/>
        </w:rPr>
        <w:t> of the Commonwealth as in force before its repeal.</w:t>
      </w:r>
    </w:p>
    <w:p w14:paraId="31C99125" w14:textId="5D09B0AD" w:rsidR="00DB6E47" w:rsidRPr="00041046" w:rsidRDefault="00DB6E47" w:rsidP="00DB6E47">
      <w:pPr>
        <w:pStyle w:val="aDef"/>
        <w:rPr>
          <w:bCs/>
        </w:rPr>
      </w:pPr>
      <w:r w:rsidRPr="00041046">
        <w:rPr>
          <w:rStyle w:val="charBoldItals"/>
        </w:rPr>
        <w:t>national regulations</w:t>
      </w:r>
      <w:r w:rsidRPr="00041046">
        <w:t xml:space="preserve"> means the regulations made under section</w:t>
      </w:r>
      <w:r w:rsidR="0082104E">
        <w:t> </w:t>
      </w:r>
      <w:r w:rsidRPr="00041046">
        <w:t>730.</w:t>
      </w:r>
    </w:p>
    <w:p w14:paraId="1CD20924" w14:textId="59F2CCB5" w:rsidR="00DB6E47" w:rsidRPr="00041046" w:rsidRDefault="00DB6E47" w:rsidP="00DB6E47">
      <w:pPr>
        <w:pStyle w:val="aDef"/>
        <w:rPr>
          <w:bCs/>
        </w:rPr>
      </w:pPr>
      <w:r w:rsidRPr="00041046">
        <w:rPr>
          <w:rStyle w:val="charBoldItals"/>
        </w:rPr>
        <w:lastRenderedPageBreak/>
        <w:t>National Transport Commission</w:t>
      </w:r>
      <w:r w:rsidRPr="00041046">
        <w:t xml:space="preserve"> means the National Transport Commission established by the </w:t>
      </w:r>
      <w:hyperlink r:id="rId34" w:tooltip="Act 2003 No 81 (Cwlth)" w:history="1">
        <w:r w:rsidR="004931B6" w:rsidRPr="004931B6">
          <w:rPr>
            <w:rStyle w:val="charCitHyperlinkItal"/>
          </w:rPr>
          <w:t>National Transport Commission Act 2003</w:t>
        </w:r>
      </w:hyperlink>
      <w:r w:rsidRPr="00041046">
        <w:t xml:space="preserve"> of the Commonwealth.</w:t>
      </w:r>
    </w:p>
    <w:p w14:paraId="40B5759B" w14:textId="77777777" w:rsidR="00DB6E47" w:rsidRPr="00041046" w:rsidRDefault="00DB6E47" w:rsidP="00DB6E47">
      <w:pPr>
        <w:pStyle w:val="aDef"/>
        <w:rPr>
          <w:bCs/>
        </w:rPr>
      </w:pPr>
      <w:r w:rsidRPr="00041046">
        <w:rPr>
          <w:rStyle w:val="charBoldItals"/>
        </w:rPr>
        <w:t xml:space="preserve">night </w:t>
      </w:r>
      <w:r w:rsidRPr="00041046">
        <w:t>means the period between sunset on a day and sunrise on the next day.</w:t>
      </w:r>
    </w:p>
    <w:p w14:paraId="0C6D98BF" w14:textId="77777777" w:rsidR="00DB6E47" w:rsidRPr="00041046" w:rsidRDefault="00DB6E47" w:rsidP="00CF52C7">
      <w:pPr>
        <w:pStyle w:val="aDef"/>
        <w:keepNext/>
        <w:rPr>
          <w:bCs/>
        </w:rPr>
      </w:pPr>
      <w:r w:rsidRPr="00041046">
        <w:rPr>
          <w:rStyle w:val="charBoldItals"/>
        </w:rPr>
        <w:t>night rest break</w:t>
      </w:r>
      <w:r w:rsidRPr="00041046">
        <w:t xml:space="preserve"> means—</w:t>
      </w:r>
    </w:p>
    <w:p w14:paraId="63899E44" w14:textId="77777777" w:rsidR="00DB6E47" w:rsidRPr="00F04D8E" w:rsidRDefault="00DB6E47" w:rsidP="00CF52C7">
      <w:pPr>
        <w:pStyle w:val="aDefpara"/>
        <w:keepNext/>
      </w:pPr>
      <w:r>
        <w:rPr>
          <w:rFonts w:cs="Times"/>
          <w:bCs/>
        </w:rPr>
        <w:tab/>
      </w:r>
      <w:r w:rsidRPr="00F04D8E">
        <w:rPr>
          <w:rFonts w:cs="Times"/>
          <w:bCs/>
        </w:rPr>
        <w:t>(a)</w:t>
      </w:r>
      <w:r w:rsidRPr="00F04D8E">
        <w:rPr>
          <w:rFonts w:cs="Times"/>
          <w:bCs/>
        </w:rPr>
        <w:tab/>
        <w:t>7 continuous hours stationary rest time between 10p.m. on a day and 8a.m. on the next day; or</w:t>
      </w:r>
    </w:p>
    <w:p w14:paraId="31899076" w14:textId="77777777" w:rsidR="00DB6E47" w:rsidRPr="007E1F9A" w:rsidRDefault="00DB6E47" w:rsidP="00CF52C7">
      <w:pPr>
        <w:pStyle w:val="aNotepar"/>
        <w:keepNext/>
      </w:pPr>
      <w:r w:rsidRPr="00FF4454">
        <w:rPr>
          <w:rStyle w:val="charItals"/>
        </w:rPr>
        <w:t>Note</w:t>
      </w:r>
      <w:r w:rsidRPr="00C96203">
        <w:t>—</w:t>
      </w:r>
    </w:p>
    <w:p w14:paraId="0577DF14" w14:textId="77777777" w:rsidR="00DB6E47" w:rsidRPr="007E1F9A" w:rsidRDefault="00DB6E47" w:rsidP="00DB6E47">
      <w:pPr>
        <w:pStyle w:val="aNoteTextpar"/>
      </w:pPr>
      <w:r w:rsidRPr="007E1F9A">
        <w:t>Under sections 248 and 303, the time must be based on the time zone of the driver's base for drivers on a journey in a different time zone to the driver's base.</w:t>
      </w:r>
    </w:p>
    <w:p w14:paraId="62B5BE6E" w14:textId="77777777" w:rsidR="00DB6E47" w:rsidRPr="00F04D8E" w:rsidRDefault="00DB6E47" w:rsidP="00DB6E47">
      <w:pPr>
        <w:pStyle w:val="aDefpara"/>
      </w:pPr>
      <w:r w:rsidRPr="00F04D8E">
        <w:rPr>
          <w:rFonts w:cs="Times"/>
          <w:bCs/>
        </w:rPr>
        <w:tab/>
        <w:t>(b)</w:t>
      </w:r>
      <w:r w:rsidRPr="00F04D8E">
        <w:rPr>
          <w:rFonts w:cs="Times"/>
          <w:bCs/>
        </w:rPr>
        <w:tab/>
        <w:t>24 continuous hours stationary rest time.</w:t>
      </w:r>
    </w:p>
    <w:p w14:paraId="71577CB1" w14:textId="77777777" w:rsidR="00DB6E47" w:rsidRPr="00041046" w:rsidRDefault="00DB6E47" w:rsidP="00DB6E47">
      <w:pPr>
        <w:pStyle w:val="aDef"/>
        <w:rPr>
          <w:bCs/>
        </w:rPr>
      </w:pPr>
      <w:r w:rsidRPr="00041046">
        <w:rPr>
          <w:rStyle w:val="charBoldItals"/>
        </w:rPr>
        <w:t>night work time</w:t>
      </w:r>
      <w:r w:rsidRPr="00041046">
        <w:t>, for the purposes of Chapter 6, has the meaning given by section 221.</w:t>
      </w:r>
    </w:p>
    <w:p w14:paraId="4457805F" w14:textId="77777777" w:rsidR="00DB6E47" w:rsidRPr="00041046" w:rsidRDefault="00DB6E47" w:rsidP="00DB6E47">
      <w:pPr>
        <w:pStyle w:val="aDef"/>
        <w:rPr>
          <w:bCs/>
        </w:rPr>
      </w:pPr>
      <w:r w:rsidRPr="00041046">
        <w:rPr>
          <w:rStyle w:val="charBoldItals"/>
        </w:rPr>
        <w:t>noncompliance report</w:t>
      </w:r>
      <w:r w:rsidRPr="00041046">
        <w:t>, for the purposes of Chapter 7, has the meaning given by section 403.</w:t>
      </w:r>
    </w:p>
    <w:p w14:paraId="6BE48FE8" w14:textId="77777777" w:rsidR="00DB6E47" w:rsidRPr="00041046" w:rsidRDefault="00DB6E47" w:rsidP="00DB6E47">
      <w:pPr>
        <w:pStyle w:val="aDef"/>
        <w:rPr>
          <w:bCs/>
        </w:rPr>
      </w:pPr>
      <w:r w:rsidRPr="00041046">
        <w:rPr>
          <w:rStyle w:val="charBoldItals"/>
        </w:rPr>
        <w:t>non-participating jurisdiction</w:t>
      </w:r>
      <w:r w:rsidRPr="00041046">
        <w:t>, for the purposes of Chapter 6, has the meaning given by section 221.</w:t>
      </w:r>
    </w:p>
    <w:p w14:paraId="3A71977D" w14:textId="77777777" w:rsidR="001C07E0" w:rsidRPr="001C07E0" w:rsidRDefault="001C07E0" w:rsidP="001C07E0">
      <w:pPr>
        <w:pStyle w:val="aDef"/>
        <w:rPr>
          <w:lang w:val="en" w:eastAsia="en-AU"/>
        </w:rPr>
      </w:pPr>
      <w:r w:rsidRPr="001C07E0">
        <w:rPr>
          <w:rStyle w:val="charBoldItals"/>
        </w:rPr>
        <w:t>notice</w:t>
      </w:r>
      <w:r w:rsidRPr="001C07E0">
        <w:rPr>
          <w:lang w:val="en" w:eastAsia="en-AU"/>
        </w:rPr>
        <w:t>—</w:t>
      </w:r>
    </w:p>
    <w:p w14:paraId="32CD78F1" w14:textId="77777777" w:rsidR="001C07E0" w:rsidRPr="001C07E0" w:rsidRDefault="001C07E0" w:rsidP="001C07E0">
      <w:pPr>
        <w:pStyle w:val="aDefpara"/>
        <w:rPr>
          <w:lang w:val="en" w:eastAsia="en-AU"/>
        </w:rPr>
      </w:pPr>
      <w:r>
        <w:rPr>
          <w:lang w:val="en" w:eastAsia="en-AU"/>
        </w:rPr>
        <w:tab/>
      </w:r>
      <w:r w:rsidRPr="001C07E0">
        <w:rPr>
          <w:lang w:val="en" w:eastAsia="en-AU"/>
        </w:rPr>
        <w:t>(a)</w:t>
      </w:r>
      <w:r>
        <w:rPr>
          <w:lang w:val="en" w:eastAsia="en-AU"/>
        </w:rPr>
        <w:tab/>
      </w:r>
      <w:r w:rsidRPr="001C07E0">
        <w:rPr>
          <w:lang w:val="en" w:eastAsia="en-AU"/>
        </w:rPr>
        <w:t>means written notice; and</w:t>
      </w:r>
    </w:p>
    <w:p w14:paraId="0FA589EC" w14:textId="77777777" w:rsidR="001C07E0" w:rsidRPr="001C07E0" w:rsidRDefault="001C07E0" w:rsidP="001C07E0">
      <w:pPr>
        <w:pStyle w:val="aDefpara"/>
        <w:rPr>
          <w:lang w:val="en" w:eastAsia="en-AU"/>
        </w:rPr>
      </w:pPr>
      <w:r>
        <w:rPr>
          <w:lang w:val="en" w:eastAsia="en-AU"/>
        </w:rPr>
        <w:tab/>
      </w:r>
      <w:r w:rsidRPr="001C07E0">
        <w:rPr>
          <w:lang w:val="en" w:eastAsia="en-AU"/>
        </w:rPr>
        <w:t>(b)</w:t>
      </w:r>
      <w:r>
        <w:rPr>
          <w:lang w:val="en" w:eastAsia="en-AU"/>
        </w:rPr>
        <w:tab/>
      </w:r>
      <w:r w:rsidRPr="001C07E0">
        <w:rPr>
          <w:lang w:val="en" w:eastAsia="en-AU"/>
        </w:rPr>
        <w:t>for the purposes of Division 5B of Part 9.4, has the meaning given by section 576D.</w:t>
      </w:r>
    </w:p>
    <w:p w14:paraId="5CA8EA70" w14:textId="77777777" w:rsidR="00DB6E47" w:rsidRPr="00041046" w:rsidRDefault="00DB6E47" w:rsidP="00DB6E47">
      <w:pPr>
        <w:pStyle w:val="aDef"/>
        <w:rPr>
          <w:bCs/>
        </w:rPr>
      </w:pPr>
      <w:r w:rsidRPr="00041046">
        <w:rPr>
          <w:rStyle w:val="charBoldItals"/>
        </w:rPr>
        <w:t>occupier</w:t>
      </w:r>
      <w:r w:rsidRPr="00041046">
        <w:t>, of a place, includes the following—</w:t>
      </w:r>
    </w:p>
    <w:p w14:paraId="5736C45F" w14:textId="77777777" w:rsidR="00DB6E47" w:rsidRPr="00F04D8E" w:rsidRDefault="00DB6E47" w:rsidP="00DB6E47">
      <w:pPr>
        <w:pStyle w:val="aDefpara"/>
      </w:pPr>
      <w:r w:rsidRPr="00F04D8E">
        <w:rPr>
          <w:rFonts w:cs="Times"/>
          <w:bCs/>
        </w:rPr>
        <w:tab/>
        <w:t>(a)</w:t>
      </w:r>
      <w:r w:rsidRPr="00F04D8E">
        <w:rPr>
          <w:rFonts w:cs="Times"/>
          <w:bCs/>
        </w:rPr>
        <w:tab/>
        <w:t>if there is more than 1 person who apparently occupies the place—any 1 of the persons;</w:t>
      </w:r>
    </w:p>
    <w:p w14:paraId="6B1849C0" w14:textId="77777777" w:rsidR="00DB6E47" w:rsidRPr="00F04D8E" w:rsidRDefault="00DB6E47" w:rsidP="00DB6E47">
      <w:pPr>
        <w:pStyle w:val="aDefpara"/>
      </w:pPr>
      <w:r w:rsidRPr="00F04D8E">
        <w:tab/>
        <w:t>(b)</w:t>
      </w:r>
      <w:r w:rsidRPr="00F04D8E">
        <w:tab/>
        <w:t>any person at the place who is apparently acting with the authority of a person who apparently occupies the place;</w:t>
      </w:r>
    </w:p>
    <w:p w14:paraId="1DD23167" w14:textId="77777777" w:rsidR="00DB6E47" w:rsidRPr="00F04D8E" w:rsidRDefault="00DB6E47" w:rsidP="00DB6E47">
      <w:pPr>
        <w:pStyle w:val="aDefpara"/>
      </w:pPr>
      <w:r w:rsidRPr="00F04D8E">
        <w:lastRenderedPageBreak/>
        <w:tab/>
        <w:t>(c)</w:t>
      </w:r>
      <w:r w:rsidRPr="00F04D8E">
        <w:tab/>
        <w:t>if no-one apparently occupies the place—any person who is an owner of the place.</w:t>
      </w:r>
    </w:p>
    <w:p w14:paraId="23BE1091" w14:textId="77777777" w:rsidR="00DB6E47" w:rsidRPr="00041046" w:rsidRDefault="00DB6E47" w:rsidP="00DB6E47">
      <w:pPr>
        <w:pStyle w:val="aDef"/>
        <w:rPr>
          <w:bCs/>
        </w:rPr>
      </w:pPr>
      <w:r w:rsidRPr="00041046">
        <w:rPr>
          <w:rStyle w:val="charBoldItals"/>
        </w:rPr>
        <w:t>official</w:t>
      </w:r>
      <w:r w:rsidRPr="00041046">
        <w:t xml:space="preserve"> means any of the following persons exercising a function under this Law—</w:t>
      </w:r>
    </w:p>
    <w:p w14:paraId="4D8E3D7A" w14:textId="77777777" w:rsidR="00DB6E47" w:rsidRPr="00F04D8E" w:rsidRDefault="00DB6E47" w:rsidP="00DB6E47">
      <w:pPr>
        <w:pStyle w:val="aDefpara"/>
      </w:pPr>
      <w:r w:rsidRPr="00F04D8E">
        <w:rPr>
          <w:rFonts w:cs="Times"/>
          <w:bCs/>
        </w:rPr>
        <w:tab/>
        <w:t>(a)</w:t>
      </w:r>
      <w:r w:rsidRPr="00F04D8E">
        <w:rPr>
          <w:rFonts w:cs="Times"/>
          <w:bCs/>
        </w:rPr>
        <w:tab/>
        <w:t>the Regulator;</w:t>
      </w:r>
    </w:p>
    <w:p w14:paraId="64D95100" w14:textId="77777777" w:rsidR="00DB6E47" w:rsidRPr="00F04D8E" w:rsidRDefault="00DB6E47" w:rsidP="00DB6E47">
      <w:pPr>
        <w:pStyle w:val="aDefpara"/>
      </w:pPr>
      <w:r w:rsidRPr="00F04D8E">
        <w:tab/>
        <w:t>(b)</w:t>
      </w:r>
      <w:r w:rsidRPr="00F04D8E">
        <w:tab/>
        <w:t>a road authority;</w:t>
      </w:r>
    </w:p>
    <w:p w14:paraId="00056B7C" w14:textId="77777777" w:rsidR="00DB6E47" w:rsidRPr="00F04D8E" w:rsidRDefault="00DB6E47" w:rsidP="00DB6E47">
      <w:pPr>
        <w:pStyle w:val="aDefpara"/>
      </w:pPr>
      <w:r w:rsidRPr="00F04D8E">
        <w:tab/>
        <w:t>(c)</w:t>
      </w:r>
      <w:r w:rsidRPr="00F04D8E">
        <w:tab/>
        <w:t>an authorised officer.</w:t>
      </w:r>
    </w:p>
    <w:p w14:paraId="6AF91889" w14:textId="77777777" w:rsidR="00DB6E47" w:rsidRPr="00041046" w:rsidRDefault="00DB6E47" w:rsidP="00DB6E47">
      <w:pPr>
        <w:pStyle w:val="aDef"/>
        <w:rPr>
          <w:bCs/>
        </w:rPr>
      </w:pPr>
      <w:r w:rsidRPr="00041046">
        <w:rPr>
          <w:rStyle w:val="charBoldItals"/>
        </w:rPr>
        <w:t>official traffic sign</w:t>
      </w:r>
      <w:r w:rsidRPr="00041046">
        <w:t xml:space="preserve"> means a sign or device erected or placed, under a law, by a public authority (including, for example, a police force or police service) to regulate traffic.</w:t>
      </w:r>
    </w:p>
    <w:p w14:paraId="712F2B37" w14:textId="77777777" w:rsidR="00DB6E47" w:rsidRPr="00041046" w:rsidRDefault="00DB6E47" w:rsidP="00DB6E47">
      <w:pPr>
        <w:pStyle w:val="aDef"/>
        <w:rPr>
          <w:bCs/>
        </w:rPr>
      </w:pPr>
      <w:r w:rsidRPr="00041046">
        <w:rPr>
          <w:rStyle w:val="charBoldItals"/>
        </w:rPr>
        <w:t xml:space="preserve">operate </w:t>
      </w:r>
      <w:r w:rsidRPr="00041046">
        <w:t>and</w:t>
      </w:r>
      <w:r w:rsidRPr="00041046">
        <w:rPr>
          <w:iCs/>
        </w:rPr>
        <w:t xml:space="preserve"> </w:t>
      </w:r>
      <w:r w:rsidRPr="00041046">
        <w:rPr>
          <w:rStyle w:val="charBoldItals"/>
        </w:rPr>
        <w:t>operator</w:t>
      </w:r>
      <w:r w:rsidRPr="00041046">
        <w:t>—</w:t>
      </w:r>
    </w:p>
    <w:p w14:paraId="3999D6E4" w14:textId="77777777" w:rsidR="00DB6E47" w:rsidRPr="006C3305" w:rsidRDefault="00DB6E47" w:rsidP="00740102">
      <w:pPr>
        <w:pStyle w:val="Amainreturn"/>
      </w:pPr>
      <w:r w:rsidRPr="00F04D8E">
        <w:t xml:space="preserve">A person </w:t>
      </w:r>
      <w:r w:rsidRPr="00FF4454">
        <w:rPr>
          <w:rStyle w:val="charBoldItals"/>
        </w:rPr>
        <w:t>operates</w:t>
      </w:r>
      <w:r w:rsidRPr="006C3305">
        <w:t xml:space="preserve"> a vehicle or combination, and is an </w:t>
      </w:r>
      <w:r w:rsidRPr="00FF4454">
        <w:rPr>
          <w:rStyle w:val="charBoldItals"/>
        </w:rPr>
        <w:t>operator</w:t>
      </w:r>
      <w:r w:rsidRPr="006C3305">
        <w:t xml:space="preserve"> of the vehicle or combination, if the person is responsible for controlling or directing the use of—</w:t>
      </w:r>
    </w:p>
    <w:p w14:paraId="5DD5B0AF" w14:textId="77777777" w:rsidR="00DB6E47" w:rsidRPr="00F04D8E" w:rsidRDefault="00DB6E47" w:rsidP="00DB6E47">
      <w:pPr>
        <w:pStyle w:val="aDefpara"/>
      </w:pPr>
      <w:r w:rsidRPr="00F04D8E">
        <w:rPr>
          <w:rFonts w:cs="Times"/>
          <w:bCs/>
        </w:rPr>
        <w:tab/>
        <w:t>(a)</w:t>
      </w:r>
      <w:r w:rsidRPr="00F04D8E">
        <w:rPr>
          <w:rFonts w:cs="Times"/>
          <w:bCs/>
        </w:rPr>
        <w:tab/>
        <w:t>for a vehicle (including a vehicle in a combination)—the vehicle; or</w:t>
      </w:r>
    </w:p>
    <w:p w14:paraId="69E80AD4" w14:textId="77777777" w:rsidR="00DB6E47" w:rsidRPr="00F04D8E" w:rsidRDefault="00DB6E47" w:rsidP="00DB6E47">
      <w:pPr>
        <w:pStyle w:val="aDefpara"/>
      </w:pPr>
      <w:r w:rsidRPr="00F04D8E">
        <w:tab/>
        <w:t>(b)</w:t>
      </w:r>
      <w:r w:rsidRPr="00F04D8E">
        <w:tab/>
        <w:t>for a combination—the towing vehicle in the combination.</w:t>
      </w:r>
    </w:p>
    <w:p w14:paraId="05F45E61" w14:textId="77777777" w:rsidR="00DB6E47" w:rsidRPr="00041046" w:rsidRDefault="00DB6E47" w:rsidP="00DB6E47">
      <w:pPr>
        <w:pStyle w:val="aDef"/>
        <w:rPr>
          <w:bCs/>
        </w:rPr>
      </w:pPr>
      <w:r w:rsidRPr="00041046">
        <w:rPr>
          <w:rStyle w:val="charBoldItals"/>
        </w:rPr>
        <w:t>oversize vehicle</w:t>
      </w:r>
      <w:r w:rsidRPr="00041046">
        <w:t xml:space="preserve"> means a heavy vehicle that does not comply with a dimension requirement applying to it.</w:t>
      </w:r>
    </w:p>
    <w:p w14:paraId="0AD57048" w14:textId="77777777" w:rsidR="00DB6E47" w:rsidRPr="00041046" w:rsidRDefault="00DB6E47" w:rsidP="00DB6E47">
      <w:pPr>
        <w:pStyle w:val="aDef"/>
        <w:rPr>
          <w:bCs/>
        </w:rPr>
      </w:pPr>
      <w:r w:rsidRPr="00041046">
        <w:rPr>
          <w:rStyle w:val="charBoldItals"/>
        </w:rPr>
        <w:t>owner</w:t>
      </w:r>
      <w:r w:rsidRPr="00041046">
        <w:t>—</w:t>
      </w:r>
    </w:p>
    <w:p w14:paraId="394120BF" w14:textId="77777777" w:rsidR="00DB6E47" w:rsidRPr="00F04D8E" w:rsidRDefault="00DB6E47" w:rsidP="00DB6E47">
      <w:pPr>
        <w:pStyle w:val="aDefpara"/>
      </w:pPr>
      <w:r w:rsidRPr="00F04D8E">
        <w:rPr>
          <w:rFonts w:cs="Times"/>
          <w:bCs/>
        </w:rPr>
        <w:tab/>
        <w:t>(a)</w:t>
      </w:r>
      <w:r w:rsidRPr="00F04D8E">
        <w:rPr>
          <w:rFonts w:cs="Times"/>
          <w:bCs/>
        </w:rPr>
        <w:tab/>
        <w:t>of a vehicle means—</w:t>
      </w:r>
    </w:p>
    <w:p w14:paraId="129207C5" w14:textId="77777777" w:rsidR="00DB6E47" w:rsidRPr="00F04D8E" w:rsidRDefault="00DB6E47" w:rsidP="00DB6E47">
      <w:pPr>
        <w:pStyle w:val="aDefsubpara"/>
      </w:pPr>
      <w:r w:rsidRPr="00F04D8E">
        <w:tab/>
        <w:t>(i)</w:t>
      </w:r>
      <w:r w:rsidRPr="00F04D8E">
        <w:tab/>
        <w:t>each person who is an owner, joint owner or part owner of the vehicle; or</w:t>
      </w:r>
    </w:p>
    <w:p w14:paraId="0740D5E1" w14:textId="77777777" w:rsidR="00DB6E47" w:rsidRPr="00F04D8E" w:rsidRDefault="00DB6E47" w:rsidP="00DB6E47">
      <w:pPr>
        <w:pStyle w:val="aDefsubpara"/>
      </w:pPr>
      <w:r w:rsidRPr="00F04D8E">
        <w:tab/>
        <w:t>(ii)</w:t>
      </w:r>
      <w:r w:rsidRPr="00F04D8E">
        <w:tab/>
        <w:t>a person who has the use or control of the vehicle under a credit agreement, hiring agreement, hire-purchase agreement or leasing arrangement; or</w:t>
      </w:r>
    </w:p>
    <w:p w14:paraId="5D59CCE3" w14:textId="77777777" w:rsidR="00DB6E47" w:rsidRPr="00F04D8E" w:rsidRDefault="00DB6E47" w:rsidP="00752521">
      <w:pPr>
        <w:pStyle w:val="aDefpara"/>
        <w:keepNext/>
      </w:pPr>
      <w:r w:rsidRPr="00F04D8E">
        <w:lastRenderedPageBreak/>
        <w:tab/>
        <w:t>(b)</w:t>
      </w:r>
      <w:r w:rsidRPr="00F04D8E">
        <w:tab/>
        <w:t>of a combination means—</w:t>
      </w:r>
    </w:p>
    <w:p w14:paraId="59160A7D" w14:textId="77777777" w:rsidR="00DB6E47" w:rsidRPr="00F04D8E" w:rsidRDefault="00DB6E47" w:rsidP="00DB6E47">
      <w:pPr>
        <w:pStyle w:val="aDefsubpara"/>
      </w:pPr>
      <w:r w:rsidRPr="00F04D8E">
        <w:tab/>
        <w:t>(i)</w:t>
      </w:r>
      <w:r w:rsidRPr="00F04D8E">
        <w:tab/>
        <w:t>each person who is an owner, joint owner or part owner of the towing vehicle in the combination; or</w:t>
      </w:r>
    </w:p>
    <w:p w14:paraId="3D9D3813" w14:textId="77777777" w:rsidR="00DB6E47" w:rsidRPr="00F04D8E" w:rsidRDefault="00DB6E47" w:rsidP="00DB6E47">
      <w:pPr>
        <w:pStyle w:val="aDefsubpara"/>
      </w:pPr>
      <w:r w:rsidRPr="00F04D8E">
        <w:tab/>
        <w:t>(ii)</w:t>
      </w:r>
      <w:r w:rsidRPr="00F04D8E">
        <w:tab/>
        <w:t>a person who has the use or control of the towing vehicle in the combination under a credit agreement, hiring agreement, hire-purchase agreement or leasing arrangement; or</w:t>
      </w:r>
    </w:p>
    <w:p w14:paraId="537D0280" w14:textId="77777777" w:rsidR="00DB6E47" w:rsidRPr="00F04D8E" w:rsidRDefault="00DB6E47" w:rsidP="00DB6E47">
      <w:pPr>
        <w:pStyle w:val="aDefpara"/>
      </w:pPr>
      <w:r w:rsidRPr="00F04D8E">
        <w:tab/>
        <w:t>(c)</w:t>
      </w:r>
      <w:r w:rsidRPr="00F04D8E">
        <w:tab/>
        <w:t>of a sample means an owner of the sample or the thing from which it was taken.</w:t>
      </w:r>
    </w:p>
    <w:p w14:paraId="7DD5BAEB" w14:textId="77777777" w:rsidR="00DB6E47" w:rsidRPr="00041046" w:rsidRDefault="00DB6E47" w:rsidP="00DB6E47">
      <w:pPr>
        <w:pStyle w:val="aDef"/>
        <w:rPr>
          <w:bCs/>
        </w:rPr>
      </w:pPr>
      <w:r w:rsidRPr="00041046">
        <w:rPr>
          <w:rStyle w:val="charBoldItals"/>
        </w:rPr>
        <w:t xml:space="preserve">pack </w:t>
      </w:r>
      <w:r w:rsidRPr="00041046">
        <w:t>and</w:t>
      </w:r>
      <w:r w:rsidRPr="00041046">
        <w:rPr>
          <w:iCs/>
        </w:rPr>
        <w:t xml:space="preserve"> </w:t>
      </w:r>
      <w:r w:rsidRPr="00041046">
        <w:rPr>
          <w:rStyle w:val="charBoldItals"/>
        </w:rPr>
        <w:t>packer</w:t>
      </w:r>
      <w:r w:rsidRPr="00041046">
        <w:t>—</w:t>
      </w:r>
    </w:p>
    <w:p w14:paraId="0B70C216" w14:textId="77777777" w:rsidR="00DB6E47" w:rsidRPr="006C3305" w:rsidRDefault="00DB6E47" w:rsidP="00740102">
      <w:pPr>
        <w:pStyle w:val="Amainreturn"/>
      </w:pPr>
      <w:r w:rsidRPr="00F04D8E">
        <w:t xml:space="preserve">A person </w:t>
      </w:r>
      <w:r w:rsidRPr="00FF4454">
        <w:rPr>
          <w:rStyle w:val="charBoldItals"/>
        </w:rPr>
        <w:t>packs</w:t>
      </w:r>
      <w:r w:rsidRPr="006C3305">
        <w:t xml:space="preserve"> goods, and is a </w:t>
      </w:r>
      <w:r w:rsidRPr="00FF4454">
        <w:rPr>
          <w:rStyle w:val="charBoldItals"/>
        </w:rPr>
        <w:t>packer</w:t>
      </w:r>
      <w:r w:rsidRPr="006C3305">
        <w:t xml:space="preserve"> of goods, if the person—</w:t>
      </w:r>
    </w:p>
    <w:p w14:paraId="7FD26B14" w14:textId="77777777" w:rsidR="00DB6E47" w:rsidRPr="00F04D8E" w:rsidRDefault="00DB6E47" w:rsidP="00DB6E47">
      <w:pPr>
        <w:pStyle w:val="aDefpara"/>
      </w:pPr>
      <w:r w:rsidRPr="00F04D8E">
        <w:rPr>
          <w:rFonts w:cs="Times"/>
          <w:bCs/>
        </w:rPr>
        <w:tab/>
        <w:t>(a)</w:t>
      </w:r>
      <w:r w:rsidRPr="00F04D8E">
        <w:rPr>
          <w:rFonts w:cs="Times"/>
          <w:bCs/>
        </w:rPr>
        <w:tab/>
        <w:t>puts the goods in packaging, even if that packaging is already on a vehicle; or</w:t>
      </w:r>
    </w:p>
    <w:p w14:paraId="4662DB19" w14:textId="77777777" w:rsidR="00DB6E47" w:rsidRPr="007E1F9A" w:rsidRDefault="00DB6E47" w:rsidP="00DB6E47">
      <w:pPr>
        <w:pStyle w:val="aExamHdgss"/>
      </w:pPr>
      <w:r w:rsidRPr="00C96203">
        <w:rPr>
          <w:rFonts w:cs="Times"/>
          <w:bCs/>
          <w:iCs/>
        </w:rPr>
        <w:t>Example for the purposes of paragraph (a)</w:t>
      </w:r>
      <w:r w:rsidRPr="00C96203">
        <w:rPr>
          <w:rFonts w:cs="Times"/>
          <w:bCs/>
        </w:rPr>
        <w:t>—</w:t>
      </w:r>
    </w:p>
    <w:p w14:paraId="597C193C" w14:textId="77777777" w:rsidR="00DB6E47" w:rsidRPr="007E1F9A" w:rsidRDefault="00DB6E47" w:rsidP="00DB6E47">
      <w:pPr>
        <w:pStyle w:val="aExamss"/>
      </w:pPr>
      <w:r w:rsidRPr="007E1F9A">
        <w:t>A person who uses a hose to fill the tank of a tank vehicle with petrol packs the petrol for transport.</w:t>
      </w:r>
    </w:p>
    <w:p w14:paraId="08E0F3C2" w14:textId="77777777" w:rsidR="00DB6E47" w:rsidRPr="00F04D8E" w:rsidRDefault="00DB6E47" w:rsidP="00DB6E47">
      <w:pPr>
        <w:pStyle w:val="aDefpara"/>
      </w:pPr>
      <w:r w:rsidRPr="00F04D8E">
        <w:rPr>
          <w:rFonts w:cs="Times"/>
          <w:bCs/>
        </w:rPr>
        <w:tab/>
        <w:t>(b)</w:t>
      </w:r>
      <w:r w:rsidRPr="00F04D8E">
        <w:rPr>
          <w:rFonts w:cs="Times"/>
          <w:bCs/>
        </w:rPr>
        <w:tab/>
        <w:t>assembles the goods as packaged goods in an outer packaging, even if that packaging is already on a vehicle; or</w:t>
      </w:r>
    </w:p>
    <w:p w14:paraId="38F40E9A" w14:textId="77777777" w:rsidR="00DB6E47" w:rsidRPr="00F04D8E" w:rsidRDefault="00DB6E47" w:rsidP="00DB6E47">
      <w:pPr>
        <w:pStyle w:val="aDefpara"/>
      </w:pPr>
      <w:r w:rsidRPr="00F04D8E">
        <w:tab/>
        <w:t>(c)</w:t>
      </w:r>
      <w:r w:rsidRPr="00F04D8E">
        <w:tab/>
        <w:t xml:space="preserve">supervises an </w:t>
      </w:r>
      <w:r w:rsidR="00740102">
        <w:t xml:space="preserve">activity mentioned in paragraph </w:t>
      </w:r>
      <w:r w:rsidRPr="00F04D8E">
        <w:t>(a)</w:t>
      </w:r>
      <w:r w:rsidR="00740102">
        <w:t xml:space="preserve"> </w:t>
      </w:r>
      <w:r w:rsidRPr="00F04D8E">
        <w:t>or (b); or</w:t>
      </w:r>
    </w:p>
    <w:p w14:paraId="05E0FB79" w14:textId="77777777" w:rsidR="00DB6E47" w:rsidRPr="00F04D8E" w:rsidRDefault="00DB6E47" w:rsidP="00DB6E47">
      <w:pPr>
        <w:pStyle w:val="aDefpara"/>
      </w:pPr>
      <w:r w:rsidRPr="00F04D8E">
        <w:tab/>
        <w:t>(d)</w:t>
      </w:r>
      <w:r w:rsidRPr="00F04D8E">
        <w:tab/>
        <w:t>manages or controls an activ</w:t>
      </w:r>
      <w:r w:rsidR="00740102">
        <w:t xml:space="preserve">ity mentioned in paragraph (a), </w:t>
      </w:r>
      <w:r w:rsidRPr="00F04D8E">
        <w:t>(b)</w:t>
      </w:r>
      <w:r w:rsidR="00740102">
        <w:t xml:space="preserve"> </w:t>
      </w:r>
      <w:r w:rsidRPr="00F04D8E">
        <w:t>or (c).</w:t>
      </w:r>
    </w:p>
    <w:p w14:paraId="231BF60C" w14:textId="77777777" w:rsidR="00DB6E47" w:rsidRPr="00041046" w:rsidRDefault="00DB6E47" w:rsidP="00DB6E47">
      <w:pPr>
        <w:pStyle w:val="aDef"/>
        <w:rPr>
          <w:bCs/>
        </w:rPr>
      </w:pPr>
      <w:r w:rsidRPr="00041046">
        <w:rPr>
          <w:rStyle w:val="charBoldItals"/>
        </w:rPr>
        <w:t>packaging</w:t>
      </w:r>
      <w:r w:rsidRPr="00041046">
        <w:t>, in relation to goods, means anything that contains, holds, protects or encloses the goods, whether directly or indirectly, to enable them to be received or held for transport, or to be transported.</w:t>
      </w:r>
    </w:p>
    <w:p w14:paraId="02BB00D5" w14:textId="77777777" w:rsidR="00DB6E47" w:rsidRPr="007E1F9A" w:rsidRDefault="00DB6E47" w:rsidP="00DB6E47">
      <w:pPr>
        <w:pStyle w:val="aNote"/>
      </w:pPr>
      <w:r w:rsidRPr="00FF4454">
        <w:rPr>
          <w:rStyle w:val="charItals"/>
        </w:rPr>
        <w:t>Note</w:t>
      </w:r>
      <w:r w:rsidRPr="00C96203">
        <w:rPr>
          <w:rFonts w:cs="Times"/>
          <w:bCs/>
        </w:rPr>
        <w:t>—</w:t>
      </w:r>
    </w:p>
    <w:p w14:paraId="5B1B9004" w14:textId="77777777" w:rsidR="00DB6E47" w:rsidRPr="007E1F9A" w:rsidRDefault="00DB6E47" w:rsidP="00DB6E47">
      <w:pPr>
        <w:pStyle w:val="aNoteTextss"/>
      </w:pPr>
      <w:r w:rsidRPr="007E1F9A">
        <w:t>It may be that a container constitutes the whole of the packaging of goods, as in the case of a drum in which goods are directly placed.</w:t>
      </w:r>
    </w:p>
    <w:p w14:paraId="4B70E2D7" w14:textId="77777777" w:rsidR="00DB6E47" w:rsidRPr="00041046" w:rsidRDefault="00DB6E47" w:rsidP="009916AA">
      <w:pPr>
        <w:pStyle w:val="aDef"/>
        <w:keepNext/>
        <w:rPr>
          <w:bCs/>
        </w:rPr>
      </w:pPr>
      <w:r w:rsidRPr="00041046">
        <w:rPr>
          <w:rStyle w:val="charBoldItals"/>
        </w:rPr>
        <w:lastRenderedPageBreak/>
        <w:t>participating jurisdiction</w:t>
      </w:r>
      <w:r w:rsidRPr="00041046">
        <w:t>—</w:t>
      </w:r>
    </w:p>
    <w:p w14:paraId="44BB267A" w14:textId="77777777" w:rsidR="00DB6E47" w:rsidRPr="00F04D8E" w:rsidRDefault="00DB6E47" w:rsidP="00DB6E47">
      <w:pPr>
        <w:pStyle w:val="aDefpara"/>
      </w:pPr>
      <w:r w:rsidRPr="00F04D8E">
        <w:rPr>
          <w:rFonts w:cs="Times"/>
          <w:bCs/>
        </w:rPr>
        <w:tab/>
        <w:t>(a)</w:t>
      </w:r>
      <w:r w:rsidRPr="00F04D8E">
        <w:rPr>
          <w:rFonts w:cs="Times"/>
          <w:bCs/>
        </w:rPr>
        <w:tab/>
        <w:t>for the purposes of this Law other than Chapter 6—means a State or Territory in which—</w:t>
      </w:r>
    </w:p>
    <w:p w14:paraId="5ABFDE06" w14:textId="77777777" w:rsidR="00DB6E47" w:rsidRPr="00F04D8E" w:rsidRDefault="00DB6E47" w:rsidP="00DB6E47">
      <w:pPr>
        <w:pStyle w:val="aDefsubpara"/>
      </w:pPr>
      <w:r w:rsidRPr="00F04D8E">
        <w:tab/>
        <w:t>(i)</w:t>
      </w:r>
      <w:r w:rsidRPr="00F04D8E">
        <w:tab/>
        <w:t>this Law applies as a law of the State or Territory; or</w:t>
      </w:r>
    </w:p>
    <w:p w14:paraId="0DB585DE" w14:textId="77777777" w:rsidR="00DB6E47" w:rsidRPr="00F04D8E" w:rsidRDefault="00DB6E47" w:rsidP="00DB6E47">
      <w:pPr>
        <w:pStyle w:val="aDefsubpara"/>
      </w:pPr>
      <w:r w:rsidRPr="00F04D8E">
        <w:tab/>
        <w:t>(ii)</w:t>
      </w:r>
      <w:r w:rsidRPr="00F04D8E">
        <w:tab/>
        <w:t>a law that substantially corresponds to the provisions of this Law has been enacted; or</w:t>
      </w:r>
    </w:p>
    <w:p w14:paraId="07DD4887" w14:textId="77777777" w:rsidR="00DB6E47" w:rsidRPr="00F04D8E" w:rsidRDefault="00DB6E47" w:rsidP="00DB6E47">
      <w:pPr>
        <w:pStyle w:val="aDefsubpara"/>
      </w:pPr>
      <w:r w:rsidRPr="00F04D8E">
        <w:tab/>
        <w:t>(iii)</w:t>
      </w:r>
      <w:r w:rsidRPr="00F04D8E">
        <w:tab/>
        <w:t>a law prescribed by the national regulations for the purposes of this subparagraph has been enacted; or</w:t>
      </w:r>
    </w:p>
    <w:p w14:paraId="4F342355" w14:textId="77777777" w:rsidR="00DB6E47" w:rsidRPr="00F04D8E" w:rsidRDefault="00DB6E47" w:rsidP="00DB6E47">
      <w:pPr>
        <w:pStyle w:val="aDefpara"/>
      </w:pPr>
      <w:r w:rsidRPr="00F04D8E">
        <w:tab/>
        <w:t>(b)</w:t>
      </w:r>
      <w:r w:rsidRPr="00F04D8E">
        <w:tab/>
        <w:t>for the purposes of Chapter 6—has the meaning given by section 221.</w:t>
      </w:r>
    </w:p>
    <w:p w14:paraId="1E3C47E0" w14:textId="77777777" w:rsidR="00A47369" w:rsidRPr="00A47369" w:rsidRDefault="00A47369" w:rsidP="00A47369">
      <w:pPr>
        <w:pStyle w:val="aDef"/>
        <w:rPr>
          <w:lang w:val="en" w:eastAsia="en-AU"/>
        </w:rPr>
      </w:pPr>
      <w:r w:rsidRPr="00A47369">
        <w:rPr>
          <w:b/>
          <w:bCs/>
          <w:i/>
          <w:iCs/>
          <w:lang w:val="en" w:eastAsia="en-AU"/>
        </w:rPr>
        <w:t>party in the chain of responsibility</w:t>
      </w:r>
      <w:r w:rsidRPr="00A47369">
        <w:rPr>
          <w:lang w:val="en" w:eastAsia="en-AU"/>
        </w:rPr>
        <w:t>, for a heavy vehicle, means each of the following persons—</w:t>
      </w:r>
    </w:p>
    <w:p w14:paraId="099E279B" w14:textId="77777777" w:rsidR="00A47369" w:rsidRPr="00A47369" w:rsidRDefault="00A47369" w:rsidP="00A47369">
      <w:pPr>
        <w:pStyle w:val="aDefpara"/>
        <w:rPr>
          <w:lang w:val="en" w:eastAsia="en-AU"/>
        </w:rPr>
      </w:pPr>
      <w:r>
        <w:rPr>
          <w:lang w:val="en" w:eastAsia="en-AU"/>
        </w:rPr>
        <w:tab/>
      </w:r>
      <w:r w:rsidRPr="00A47369">
        <w:rPr>
          <w:lang w:val="en" w:eastAsia="en-AU"/>
        </w:rPr>
        <w:t>(a)</w:t>
      </w:r>
      <w:r>
        <w:rPr>
          <w:lang w:val="en" w:eastAsia="en-AU"/>
        </w:rPr>
        <w:tab/>
      </w:r>
      <w:r w:rsidRPr="00A47369">
        <w:rPr>
          <w:lang w:val="en" w:eastAsia="en-AU"/>
        </w:rPr>
        <w:t>if the vehicle’s driver is an employed driver—an employer of the driver;</w:t>
      </w:r>
    </w:p>
    <w:p w14:paraId="136226E0" w14:textId="77777777" w:rsidR="00A47369" w:rsidRPr="00A47369" w:rsidRDefault="00A47369" w:rsidP="00A47369">
      <w:pPr>
        <w:pStyle w:val="aDefpara"/>
        <w:rPr>
          <w:lang w:val="en" w:eastAsia="en-AU"/>
        </w:rPr>
      </w:pPr>
      <w:r>
        <w:rPr>
          <w:lang w:val="en" w:eastAsia="en-AU"/>
        </w:rPr>
        <w:tab/>
      </w:r>
      <w:r w:rsidRPr="00A47369">
        <w:rPr>
          <w:lang w:val="en" w:eastAsia="en-AU"/>
        </w:rPr>
        <w:t>(b)</w:t>
      </w:r>
      <w:r>
        <w:rPr>
          <w:lang w:val="en" w:eastAsia="en-AU"/>
        </w:rPr>
        <w:tab/>
      </w:r>
      <w:r w:rsidRPr="00A47369">
        <w:rPr>
          <w:lang w:val="en" w:eastAsia="en-AU"/>
        </w:rPr>
        <w:t>if the vehicle’s driver is a self-employed driver—a prime contractor for the driver;</w:t>
      </w:r>
    </w:p>
    <w:p w14:paraId="377A1061" w14:textId="77777777" w:rsidR="00A47369" w:rsidRPr="00A47369" w:rsidRDefault="00A47369" w:rsidP="00A47369">
      <w:pPr>
        <w:pStyle w:val="aDefpara"/>
        <w:rPr>
          <w:lang w:val="en" w:eastAsia="en-AU"/>
        </w:rPr>
      </w:pPr>
      <w:r>
        <w:rPr>
          <w:lang w:val="en" w:eastAsia="en-AU"/>
        </w:rPr>
        <w:tab/>
      </w:r>
      <w:r w:rsidRPr="00A47369">
        <w:rPr>
          <w:lang w:val="en" w:eastAsia="en-AU"/>
        </w:rPr>
        <w:t>(c)</w:t>
      </w:r>
      <w:r>
        <w:rPr>
          <w:lang w:val="en" w:eastAsia="en-AU"/>
        </w:rPr>
        <w:tab/>
      </w:r>
      <w:r w:rsidRPr="00A47369">
        <w:rPr>
          <w:lang w:val="en" w:eastAsia="en-AU"/>
        </w:rPr>
        <w:t>an operator of the vehicle;</w:t>
      </w:r>
    </w:p>
    <w:p w14:paraId="60D32B22" w14:textId="77777777" w:rsidR="00A47369" w:rsidRPr="00A47369" w:rsidRDefault="00A47369" w:rsidP="00A47369">
      <w:pPr>
        <w:pStyle w:val="aDefpara"/>
        <w:rPr>
          <w:lang w:val="en" w:eastAsia="en-AU"/>
        </w:rPr>
      </w:pPr>
      <w:r>
        <w:rPr>
          <w:lang w:val="en" w:eastAsia="en-AU"/>
        </w:rPr>
        <w:tab/>
      </w:r>
      <w:r w:rsidRPr="00A47369">
        <w:rPr>
          <w:lang w:val="en" w:eastAsia="en-AU"/>
        </w:rPr>
        <w:t>(d)</w:t>
      </w:r>
      <w:r>
        <w:rPr>
          <w:lang w:val="en" w:eastAsia="en-AU"/>
        </w:rPr>
        <w:tab/>
      </w:r>
      <w:r w:rsidRPr="00A47369">
        <w:rPr>
          <w:lang w:val="en" w:eastAsia="en-AU"/>
        </w:rPr>
        <w:t>a scheduler for the vehicle;</w:t>
      </w:r>
    </w:p>
    <w:p w14:paraId="202AA5A6" w14:textId="77777777" w:rsidR="00A47369" w:rsidRPr="00A47369" w:rsidRDefault="00A47369" w:rsidP="00A47369">
      <w:pPr>
        <w:pStyle w:val="aDefpara"/>
        <w:rPr>
          <w:lang w:val="en" w:eastAsia="en-AU"/>
        </w:rPr>
      </w:pPr>
      <w:r>
        <w:rPr>
          <w:lang w:val="en" w:eastAsia="en-AU"/>
        </w:rPr>
        <w:tab/>
      </w:r>
      <w:r w:rsidRPr="00A47369">
        <w:rPr>
          <w:lang w:val="en" w:eastAsia="en-AU"/>
        </w:rPr>
        <w:t>(e)</w:t>
      </w:r>
      <w:r>
        <w:rPr>
          <w:lang w:val="en" w:eastAsia="en-AU"/>
        </w:rPr>
        <w:tab/>
      </w:r>
      <w:r w:rsidRPr="00A47369">
        <w:rPr>
          <w:lang w:val="en" w:eastAsia="en-AU"/>
        </w:rPr>
        <w:t>a consignor of any goods in the vehicle;</w:t>
      </w:r>
    </w:p>
    <w:p w14:paraId="1F21932B" w14:textId="77777777" w:rsidR="00A47369" w:rsidRPr="00A47369" w:rsidRDefault="00A47369" w:rsidP="00A47369">
      <w:pPr>
        <w:pStyle w:val="aDefpara"/>
        <w:rPr>
          <w:lang w:val="en" w:eastAsia="en-AU"/>
        </w:rPr>
      </w:pPr>
      <w:r>
        <w:rPr>
          <w:lang w:val="en" w:eastAsia="en-AU"/>
        </w:rPr>
        <w:tab/>
      </w:r>
      <w:r w:rsidRPr="00A47369">
        <w:rPr>
          <w:lang w:val="en" w:eastAsia="en-AU"/>
        </w:rPr>
        <w:t>(f)</w:t>
      </w:r>
      <w:r>
        <w:rPr>
          <w:lang w:val="en" w:eastAsia="en-AU"/>
        </w:rPr>
        <w:tab/>
      </w:r>
      <w:r w:rsidRPr="00A47369">
        <w:rPr>
          <w:lang w:val="en" w:eastAsia="en-AU"/>
        </w:rPr>
        <w:t>a consignee of any goods in the vehicle;</w:t>
      </w:r>
    </w:p>
    <w:p w14:paraId="6617A57F" w14:textId="77777777" w:rsidR="00A47369" w:rsidRPr="00A47369" w:rsidRDefault="00A47369" w:rsidP="00A47369">
      <w:pPr>
        <w:pStyle w:val="aDefpara"/>
        <w:rPr>
          <w:lang w:val="en" w:eastAsia="en-AU"/>
        </w:rPr>
      </w:pPr>
      <w:r>
        <w:rPr>
          <w:lang w:val="en" w:eastAsia="en-AU"/>
        </w:rPr>
        <w:tab/>
      </w:r>
      <w:r w:rsidRPr="00A47369">
        <w:rPr>
          <w:lang w:val="en" w:eastAsia="en-AU"/>
        </w:rPr>
        <w:t>(g)</w:t>
      </w:r>
      <w:r>
        <w:rPr>
          <w:lang w:val="en" w:eastAsia="en-AU"/>
        </w:rPr>
        <w:tab/>
      </w:r>
      <w:r w:rsidRPr="00A47369">
        <w:rPr>
          <w:lang w:val="en" w:eastAsia="en-AU"/>
        </w:rPr>
        <w:t>a packer of any goods in the vehicle;</w:t>
      </w:r>
    </w:p>
    <w:p w14:paraId="3434E0EA" w14:textId="77777777" w:rsidR="00A47369" w:rsidRPr="00A47369" w:rsidRDefault="00A47369" w:rsidP="00A47369">
      <w:pPr>
        <w:pStyle w:val="aDefpara"/>
        <w:rPr>
          <w:lang w:val="en" w:eastAsia="en-AU"/>
        </w:rPr>
      </w:pPr>
      <w:r>
        <w:rPr>
          <w:lang w:val="en" w:eastAsia="en-AU"/>
        </w:rPr>
        <w:tab/>
      </w:r>
      <w:r w:rsidRPr="00A47369">
        <w:rPr>
          <w:lang w:val="en" w:eastAsia="en-AU"/>
        </w:rPr>
        <w:t>(h)</w:t>
      </w:r>
      <w:r>
        <w:rPr>
          <w:lang w:val="en" w:eastAsia="en-AU"/>
        </w:rPr>
        <w:tab/>
      </w:r>
      <w:r w:rsidRPr="00A47369">
        <w:rPr>
          <w:lang w:val="en" w:eastAsia="en-AU"/>
        </w:rPr>
        <w:t>a loading manager for any goods in the vehicle;</w:t>
      </w:r>
    </w:p>
    <w:p w14:paraId="6BA53A6F" w14:textId="77777777" w:rsidR="00A47369" w:rsidRPr="00A47369" w:rsidRDefault="00A47369" w:rsidP="00A47369">
      <w:pPr>
        <w:pStyle w:val="aDefpara"/>
        <w:rPr>
          <w:lang w:val="en" w:eastAsia="en-AU"/>
        </w:rPr>
      </w:pPr>
      <w:r>
        <w:rPr>
          <w:lang w:val="en" w:eastAsia="en-AU"/>
        </w:rPr>
        <w:tab/>
      </w:r>
      <w:r w:rsidRPr="00A47369">
        <w:rPr>
          <w:lang w:val="en" w:eastAsia="en-AU"/>
        </w:rPr>
        <w:t>(i)</w:t>
      </w:r>
      <w:r>
        <w:rPr>
          <w:lang w:val="en" w:eastAsia="en-AU"/>
        </w:rPr>
        <w:tab/>
      </w:r>
      <w:r w:rsidRPr="00A47369">
        <w:rPr>
          <w:lang w:val="en" w:eastAsia="en-AU"/>
        </w:rPr>
        <w:t>a loader of any goods in the vehicle;</w:t>
      </w:r>
    </w:p>
    <w:p w14:paraId="3CBFB4D4" w14:textId="77777777" w:rsidR="00A47369" w:rsidRPr="00A47369" w:rsidRDefault="00A47369" w:rsidP="00A47369">
      <w:pPr>
        <w:pStyle w:val="aDefpara"/>
        <w:rPr>
          <w:lang w:val="en" w:eastAsia="en-AU"/>
        </w:rPr>
      </w:pPr>
      <w:r>
        <w:rPr>
          <w:lang w:val="en" w:eastAsia="en-AU"/>
        </w:rPr>
        <w:tab/>
      </w:r>
      <w:r w:rsidRPr="00A47369">
        <w:rPr>
          <w:lang w:val="en" w:eastAsia="en-AU"/>
        </w:rPr>
        <w:t>(j)</w:t>
      </w:r>
      <w:r>
        <w:rPr>
          <w:lang w:val="en" w:eastAsia="en-AU"/>
        </w:rPr>
        <w:tab/>
      </w:r>
      <w:r w:rsidRPr="00A47369">
        <w:rPr>
          <w:lang w:val="en" w:eastAsia="en-AU"/>
        </w:rPr>
        <w:t>an unloader of any goods in the vehicle.</w:t>
      </w:r>
    </w:p>
    <w:p w14:paraId="2188F046" w14:textId="77777777" w:rsidR="00DB6E47" w:rsidRPr="00041046" w:rsidRDefault="00DB6E47" w:rsidP="00DB6E47">
      <w:pPr>
        <w:pStyle w:val="aDef"/>
        <w:rPr>
          <w:bCs/>
        </w:rPr>
      </w:pPr>
      <w:r w:rsidRPr="00041046">
        <w:rPr>
          <w:rStyle w:val="charBoldItals"/>
        </w:rPr>
        <w:t>passenger</w:t>
      </w:r>
      <w:r w:rsidRPr="00041046">
        <w:t>, of a vehicle, means any person carried in the vehicle other than the vehicle’s driver or someone else necessary for the normal use of the vehicle.</w:t>
      </w:r>
    </w:p>
    <w:p w14:paraId="1D767D4E" w14:textId="77777777" w:rsidR="00DB6E47" w:rsidRPr="00041046" w:rsidRDefault="00DB6E47" w:rsidP="00973177">
      <w:pPr>
        <w:pStyle w:val="aDef"/>
        <w:keepNext/>
        <w:rPr>
          <w:bCs/>
        </w:rPr>
      </w:pPr>
      <w:r w:rsidRPr="00041046">
        <w:rPr>
          <w:rStyle w:val="charBoldItals"/>
        </w:rPr>
        <w:lastRenderedPageBreak/>
        <w:t>PBS design approval</w:t>
      </w:r>
      <w:r w:rsidRPr="00041046">
        <w:t xml:space="preserve"> means a current approval given under section</w:t>
      </w:r>
      <w:r w:rsidR="00740102">
        <w:t> </w:t>
      </w:r>
      <w:r w:rsidRPr="00041046">
        <w:t>22 for the design of a type of heavy vehicle that, if built to the design, is eligible for PBS vehicle approval.</w:t>
      </w:r>
    </w:p>
    <w:p w14:paraId="65B1E4F0" w14:textId="77777777" w:rsidR="00DB6E47" w:rsidRPr="007E1F9A" w:rsidRDefault="00DB6E47" w:rsidP="00973177">
      <w:pPr>
        <w:pStyle w:val="aNote"/>
        <w:keepNext/>
      </w:pPr>
      <w:r w:rsidRPr="00FF4454">
        <w:rPr>
          <w:rStyle w:val="charItals"/>
        </w:rPr>
        <w:t>Note</w:t>
      </w:r>
      <w:r w:rsidRPr="00C96203">
        <w:rPr>
          <w:rFonts w:cs="Times"/>
          <w:bCs/>
        </w:rPr>
        <w:t>—</w:t>
      </w:r>
    </w:p>
    <w:p w14:paraId="74A8AF97" w14:textId="77777777" w:rsidR="00DB6E47" w:rsidRPr="007E1F9A" w:rsidRDefault="00DB6E47" w:rsidP="00DB6E47">
      <w:pPr>
        <w:pStyle w:val="aNoteTextss"/>
      </w:pPr>
      <w:r w:rsidRPr="007E1F9A">
        <w:t>‘PBS’ stands for performance based standards.</w:t>
      </w:r>
    </w:p>
    <w:p w14:paraId="06651CFC" w14:textId="77777777" w:rsidR="00DB6E47" w:rsidRPr="00041046" w:rsidRDefault="00DB6E47" w:rsidP="00554988">
      <w:pPr>
        <w:pStyle w:val="aDef"/>
        <w:keepNext/>
        <w:keepLines/>
        <w:rPr>
          <w:bCs/>
        </w:rPr>
      </w:pPr>
      <w:r w:rsidRPr="00041046">
        <w:rPr>
          <w:rStyle w:val="charBoldItals"/>
        </w:rPr>
        <w:t>PBS Review Panel</w:t>
      </w:r>
      <w:r w:rsidRPr="00041046">
        <w:t xml:space="preserve"> means an advisory body appointed by the Regulator to provide expert advice in the assessment of applications for PBS design approvals or PBS vehicle approvals and of their impacts.</w:t>
      </w:r>
    </w:p>
    <w:p w14:paraId="70159D07" w14:textId="77777777" w:rsidR="00DB6E47" w:rsidRPr="007E1F9A" w:rsidRDefault="00DB6E47" w:rsidP="009916AA">
      <w:pPr>
        <w:pStyle w:val="aNote"/>
        <w:keepNext/>
      </w:pPr>
      <w:r w:rsidRPr="00FF4454">
        <w:rPr>
          <w:rStyle w:val="charItals"/>
        </w:rPr>
        <w:t>Note</w:t>
      </w:r>
      <w:r w:rsidRPr="00C96203">
        <w:rPr>
          <w:rFonts w:cs="Times"/>
          <w:bCs/>
        </w:rPr>
        <w:t>—</w:t>
      </w:r>
    </w:p>
    <w:p w14:paraId="0835F934" w14:textId="77777777" w:rsidR="00DB6E47" w:rsidRPr="007E1F9A" w:rsidRDefault="00DB6E47" w:rsidP="00DB6E47">
      <w:pPr>
        <w:pStyle w:val="aNoteTextss"/>
      </w:pPr>
      <w:r w:rsidRPr="007E1F9A">
        <w:t>The membership of the PBS Review Panel consists of one representative of each State and Territory, an independent Chairperson and an independent Deputy Chairperson. The Commonwealth may, if it decides to do so, nominate a representative of the Commonwealth. The procedure of the Panel is as determined by the Regulator.</w:t>
      </w:r>
    </w:p>
    <w:p w14:paraId="19A5E37C" w14:textId="77777777" w:rsidR="00DB6E47" w:rsidRPr="00041046" w:rsidRDefault="00DB6E47" w:rsidP="00DB6E47">
      <w:pPr>
        <w:pStyle w:val="aDef"/>
        <w:rPr>
          <w:bCs/>
        </w:rPr>
      </w:pPr>
      <w:r w:rsidRPr="00041046">
        <w:rPr>
          <w:rStyle w:val="charBoldItals"/>
        </w:rPr>
        <w:t>PBS vehicle</w:t>
      </w:r>
      <w:r w:rsidRPr="00041046">
        <w:t xml:space="preserve"> means a heavy vehicle that is the subject of a current PBS vehicle approval under Part 1.4.</w:t>
      </w:r>
    </w:p>
    <w:p w14:paraId="0C14CA3E" w14:textId="77777777" w:rsidR="00DB6E47" w:rsidRPr="00041046" w:rsidRDefault="00DB6E47" w:rsidP="00DB6E47">
      <w:pPr>
        <w:pStyle w:val="aDef"/>
        <w:rPr>
          <w:bCs/>
        </w:rPr>
      </w:pPr>
      <w:r w:rsidRPr="00041046">
        <w:rPr>
          <w:rStyle w:val="charBoldItals"/>
        </w:rPr>
        <w:t>PBS vehicle approval</w:t>
      </w:r>
      <w:r w:rsidRPr="00041046">
        <w:t xml:space="preserve"> means a current approval issued for a heavy vehicle by the Regulator under section 23.</w:t>
      </w:r>
    </w:p>
    <w:p w14:paraId="149F56DC" w14:textId="77777777" w:rsidR="00DB6E47" w:rsidRPr="00041046" w:rsidRDefault="00DB6E47" w:rsidP="00CF52C7">
      <w:pPr>
        <w:pStyle w:val="aDef"/>
        <w:keepNext/>
        <w:rPr>
          <w:bCs/>
        </w:rPr>
      </w:pPr>
      <w:r w:rsidRPr="00041046">
        <w:rPr>
          <w:rStyle w:val="charBoldItals"/>
        </w:rPr>
        <w:t>personal information</w:t>
      </w:r>
      <w:r w:rsidRPr="00041046">
        <w:t>—</w:t>
      </w:r>
    </w:p>
    <w:p w14:paraId="3FD40173" w14:textId="77777777" w:rsidR="00DB6E47" w:rsidRPr="00F04D8E" w:rsidRDefault="00DB6E47" w:rsidP="00CF52C7">
      <w:pPr>
        <w:pStyle w:val="aDefpara"/>
        <w:keepLines/>
      </w:pPr>
      <w:r w:rsidRPr="00F04D8E">
        <w:rPr>
          <w:rFonts w:cs="Times"/>
          <w:bCs/>
        </w:rPr>
        <w:tab/>
        <w:t>(a)</w:t>
      </w:r>
      <w:r w:rsidRPr="00F04D8E">
        <w:rPr>
          <w:rFonts w:cs="Times"/>
          <w:bCs/>
        </w:rPr>
        <w:tab/>
        <w:t>generally, means information or an opinion, including information or an opinion forming part of a database, whether true or not, and whether recorded in a material form or not, about an individual whose identity is apparent, or can reasonably be found out, from the information or opinion; and</w:t>
      </w:r>
    </w:p>
    <w:p w14:paraId="43487637" w14:textId="77777777" w:rsidR="00DB6E47" w:rsidRPr="00F04D8E" w:rsidRDefault="00DB6E47" w:rsidP="00DB6E47">
      <w:pPr>
        <w:pStyle w:val="aDefpara"/>
      </w:pPr>
      <w:r w:rsidRPr="00F04D8E">
        <w:tab/>
        <w:t>(b)</w:t>
      </w:r>
      <w:r w:rsidRPr="00F04D8E">
        <w:tab/>
        <w:t>for the purposes of Chapter 7, has the meaning given by section</w:t>
      </w:r>
      <w:r w:rsidR="00740102">
        <w:t> </w:t>
      </w:r>
      <w:r w:rsidRPr="00F04D8E">
        <w:t xml:space="preserve">403. </w:t>
      </w:r>
    </w:p>
    <w:p w14:paraId="4DEBE2DD" w14:textId="77777777" w:rsidR="00DB6E47" w:rsidRPr="00041046" w:rsidRDefault="00DB6E47" w:rsidP="00DB6E47">
      <w:pPr>
        <w:pStyle w:val="aDef"/>
        <w:rPr>
          <w:bCs/>
        </w:rPr>
      </w:pPr>
      <w:r w:rsidRPr="00041046">
        <w:rPr>
          <w:rStyle w:val="charBoldItals"/>
        </w:rPr>
        <w:t>pig trailer</w:t>
      </w:r>
      <w:r w:rsidRPr="00041046">
        <w:t xml:space="preserve"> means a trailer—</w:t>
      </w:r>
    </w:p>
    <w:p w14:paraId="6D6B0BAE"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with 1 axle group or a single axle near the middle of its load carrying surface; and</w:t>
      </w:r>
    </w:p>
    <w:p w14:paraId="3EABF26B" w14:textId="77777777" w:rsidR="00DB6E47" w:rsidRPr="00F04D8E" w:rsidRDefault="00DB6E47" w:rsidP="00DB6E47">
      <w:pPr>
        <w:pStyle w:val="aDefpara"/>
      </w:pPr>
      <w:r>
        <w:tab/>
      </w:r>
      <w:r w:rsidRPr="00F04D8E">
        <w:t>(b)</w:t>
      </w:r>
      <w:r w:rsidRPr="00F04D8E">
        <w:tab/>
        <w:t>connected to the towing vehicle by a drawbar.</w:t>
      </w:r>
    </w:p>
    <w:p w14:paraId="657FD566" w14:textId="77777777" w:rsidR="00DB6E47" w:rsidRPr="00041046" w:rsidRDefault="00DB6E47" w:rsidP="00DB6E47">
      <w:pPr>
        <w:pStyle w:val="aDef"/>
        <w:rPr>
          <w:bCs/>
        </w:rPr>
      </w:pPr>
      <w:r w:rsidRPr="00041046">
        <w:rPr>
          <w:rStyle w:val="charBoldItals"/>
        </w:rPr>
        <w:lastRenderedPageBreak/>
        <w:t>pilot vehicle</w:t>
      </w:r>
      <w:r w:rsidRPr="00041046">
        <w:t xml:space="preserve"> means a motor vehicle that accompanies an oversize vehicle to warn other road users of the oversize vehicle’s presence.</w:t>
      </w:r>
    </w:p>
    <w:p w14:paraId="742AA4C9" w14:textId="77777777" w:rsidR="00DB6E47" w:rsidRPr="00041046" w:rsidRDefault="00DB6E47" w:rsidP="00DB6E47">
      <w:pPr>
        <w:pStyle w:val="aDef"/>
        <w:rPr>
          <w:bCs/>
        </w:rPr>
      </w:pPr>
      <w:r w:rsidRPr="00041046">
        <w:rPr>
          <w:rStyle w:val="charBoldItals"/>
        </w:rPr>
        <w:t>place of business</w:t>
      </w:r>
      <w:r w:rsidRPr="00041046">
        <w:t>, for the purposes of Part 9.2, has the meaning given by section 494.</w:t>
      </w:r>
    </w:p>
    <w:p w14:paraId="2300A117" w14:textId="77777777" w:rsidR="00DB6E47" w:rsidRPr="00041046" w:rsidRDefault="00DB6E47" w:rsidP="00DB6E47">
      <w:pPr>
        <w:pStyle w:val="aDef"/>
        <w:rPr>
          <w:bCs/>
        </w:rPr>
      </w:pPr>
      <w:r w:rsidRPr="00041046">
        <w:rPr>
          <w:rStyle w:val="charBoldItals"/>
        </w:rPr>
        <w:t>pole-type trailer</w:t>
      </w:r>
      <w:r w:rsidRPr="00041046">
        <w:t xml:space="preserve"> means a trailer that—</w:t>
      </w:r>
    </w:p>
    <w:p w14:paraId="6A30C2C0" w14:textId="77777777" w:rsidR="00DB6E47" w:rsidRPr="00F04D8E" w:rsidRDefault="00DB6E47" w:rsidP="00DB6E47">
      <w:pPr>
        <w:pStyle w:val="aDefpara"/>
      </w:pPr>
      <w:r w:rsidRPr="00F04D8E">
        <w:rPr>
          <w:rFonts w:cs="Times"/>
          <w:bCs/>
        </w:rPr>
        <w:tab/>
        <w:t>(a)</w:t>
      </w:r>
      <w:r w:rsidRPr="00F04D8E">
        <w:rPr>
          <w:rFonts w:cs="Times"/>
          <w:bCs/>
        </w:rPr>
        <w:tab/>
        <w:t>is attached to a towing vehicle by a pole or an attachment fitted to a pole; and</w:t>
      </w:r>
    </w:p>
    <w:p w14:paraId="6BAC1FF5" w14:textId="77777777" w:rsidR="00DB6E47" w:rsidRPr="00F04D8E" w:rsidRDefault="00DB6E47" w:rsidP="00DB6E47">
      <w:pPr>
        <w:pStyle w:val="aDefpara"/>
      </w:pPr>
      <w:r w:rsidRPr="00F04D8E">
        <w:tab/>
        <w:t>(b)</w:t>
      </w:r>
      <w:r w:rsidRPr="00F04D8E">
        <w:tab/>
        <w:t>is ordinarily used for transporting loads, such as logs, pipes, structural members, or other long objects, that can generally support themselves like beams between supports.</w:t>
      </w:r>
    </w:p>
    <w:p w14:paraId="4552DC89" w14:textId="77777777" w:rsidR="00DB6E47" w:rsidRDefault="00DB6E47" w:rsidP="00DB6E47">
      <w:pPr>
        <w:jc w:val="center"/>
      </w:pPr>
      <w:r>
        <w:rPr>
          <w:noProof/>
          <w:lang w:eastAsia="en-AU"/>
        </w:rPr>
        <w:drawing>
          <wp:inline distT="0" distB="0" distL="0" distR="0" wp14:anchorId="1389DA08" wp14:editId="2A7E0F3E">
            <wp:extent cx="3600450" cy="1085850"/>
            <wp:effectExtent l="1905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srcRect/>
                    <a:stretch>
                      <a:fillRect/>
                    </a:stretch>
                  </pic:blipFill>
                  <pic:spPr bwMode="auto">
                    <a:xfrm>
                      <a:off x="0" y="0"/>
                      <a:ext cx="3600450" cy="1085850"/>
                    </a:xfrm>
                    <a:prstGeom prst="rect">
                      <a:avLst/>
                    </a:prstGeom>
                    <a:noFill/>
                    <a:ln w="9525">
                      <a:noFill/>
                      <a:miter lim="800000"/>
                      <a:headEnd/>
                      <a:tailEnd/>
                    </a:ln>
                  </pic:spPr>
                </pic:pic>
              </a:graphicData>
            </a:graphic>
          </wp:inline>
        </w:drawing>
      </w:r>
    </w:p>
    <w:p w14:paraId="16E34837" w14:textId="77777777" w:rsidR="00DB6E47" w:rsidRPr="00041046" w:rsidRDefault="00DB6E47" w:rsidP="00DB6E47">
      <w:pPr>
        <w:pStyle w:val="aDef"/>
        <w:rPr>
          <w:bCs/>
        </w:rPr>
      </w:pPr>
      <w:r w:rsidRPr="00041046">
        <w:rPr>
          <w:rStyle w:val="charBoldItals"/>
        </w:rPr>
        <w:t>police commissioner</w:t>
      </w:r>
      <w:r w:rsidRPr="00041046">
        <w:t xml:space="preserve"> means the head of the police force or police service (however called) of a participating jurisdiction.</w:t>
      </w:r>
    </w:p>
    <w:p w14:paraId="285634A8" w14:textId="77777777" w:rsidR="00DB6E47" w:rsidRPr="00041046" w:rsidRDefault="00DB6E47" w:rsidP="00DB6E47">
      <w:pPr>
        <w:pStyle w:val="aDef"/>
        <w:rPr>
          <w:bCs/>
        </w:rPr>
      </w:pPr>
      <w:r w:rsidRPr="00041046">
        <w:rPr>
          <w:rStyle w:val="charBoldItals"/>
        </w:rPr>
        <w:t>premises</w:t>
      </w:r>
      <w:r w:rsidRPr="00041046">
        <w:t>—</w:t>
      </w:r>
    </w:p>
    <w:p w14:paraId="0E2EE03C" w14:textId="77777777" w:rsidR="00DB6E47" w:rsidRPr="00F04D8E" w:rsidRDefault="00DB6E47" w:rsidP="00DB6E47">
      <w:pPr>
        <w:pStyle w:val="aDefpara"/>
      </w:pPr>
      <w:r w:rsidRPr="00F04D8E">
        <w:rPr>
          <w:rFonts w:cs="Times"/>
          <w:bCs/>
        </w:rPr>
        <w:tab/>
        <w:t>(a)</w:t>
      </w:r>
      <w:r w:rsidRPr="00F04D8E">
        <w:rPr>
          <w:rFonts w:cs="Times"/>
          <w:bCs/>
        </w:rPr>
        <w:tab/>
        <w:t>means a building or other structure, a vessel, or another place (whether built on or not)—</w:t>
      </w:r>
    </w:p>
    <w:p w14:paraId="375D110C" w14:textId="77777777" w:rsidR="00DB6E47" w:rsidRPr="00F04D8E" w:rsidRDefault="00DB6E47" w:rsidP="00DB6E47">
      <w:pPr>
        <w:pStyle w:val="aDefsubpara"/>
      </w:pPr>
      <w:r w:rsidRPr="00F04D8E">
        <w:tab/>
        <w:t>(i)</w:t>
      </w:r>
      <w:r w:rsidRPr="00F04D8E">
        <w:tab/>
        <w:t>from which a business is carried out; or</w:t>
      </w:r>
    </w:p>
    <w:p w14:paraId="0863DC7E" w14:textId="77777777" w:rsidR="00DB6E47" w:rsidRPr="00F04D8E" w:rsidRDefault="00DB6E47" w:rsidP="00DB6E47">
      <w:pPr>
        <w:pStyle w:val="aDefsubpara"/>
      </w:pPr>
      <w:r w:rsidRPr="00F04D8E">
        <w:tab/>
        <w:t>(ii)</w:t>
      </w:r>
      <w:r w:rsidRPr="00F04D8E">
        <w:tab/>
        <w:t>at or from which goods are loaded onto or unloaded from vehicles; and</w:t>
      </w:r>
    </w:p>
    <w:p w14:paraId="7A0E8D29" w14:textId="77777777" w:rsidR="00DB6E47" w:rsidRPr="00F04D8E" w:rsidRDefault="00DB6E47" w:rsidP="00DB6E47">
      <w:pPr>
        <w:pStyle w:val="aDefpara"/>
      </w:pPr>
      <w:r w:rsidRPr="00F04D8E">
        <w:tab/>
        <w:t>(b)</w:t>
      </w:r>
      <w:r w:rsidRPr="00F04D8E">
        <w:tab/>
        <w:t>includes a part of a building, structure, vessel or place mentioned in paragraph (a).</w:t>
      </w:r>
    </w:p>
    <w:p w14:paraId="1B4A515D" w14:textId="77777777" w:rsidR="00DB6E47" w:rsidRPr="00041046" w:rsidRDefault="00DB6E47" w:rsidP="00DB6E47">
      <w:pPr>
        <w:pStyle w:val="aDef"/>
        <w:rPr>
          <w:bCs/>
        </w:rPr>
      </w:pPr>
      <w:r w:rsidRPr="00041046">
        <w:rPr>
          <w:rStyle w:val="charBoldItals"/>
        </w:rPr>
        <w:t>prescribed dimension requirement</w:t>
      </w:r>
      <w:r w:rsidRPr="00041046">
        <w:t xml:space="preserve"> means a requirement prescribed by the national regulations under section 101.</w:t>
      </w:r>
    </w:p>
    <w:p w14:paraId="0D200CD1" w14:textId="77777777" w:rsidR="00DB6E47" w:rsidRPr="00041046" w:rsidRDefault="00DB6E47" w:rsidP="00DB6E47">
      <w:pPr>
        <w:pStyle w:val="aDef"/>
        <w:rPr>
          <w:bCs/>
        </w:rPr>
      </w:pPr>
      <w:r w:rsidRPr="00041046">
        <w:rPr>
          <w:rStyle w:val="charBoldItals"/>
        </w:rPr>
        <w:lastRenderedPageBreak/>
        <w:t>prescribed fee</w:t>
      </w:r>
      <w:r w:rsidRPr="00041046">
        <w:t xml:space="preserve"> means a fee prescribed by the national regulations under section 740(1).</w:t>
      </w:r>
    </w:p>
    <w:p w14:paraId="219871F6" w14:textId="77777777" w:rsidR="00DB6E47" w:rsidRPr="00041046" w:rsidRDefault="00DB6E47" w:rsidP="00DB6E47">
      <w:pPr>
        <w:pStyle w:val="aDef"/>
        <w:rPr>
          <w:bCs/>
        </w:rPr>
      </w:pPr>
      <w:r w:rsidRPr="00041046">
        <w:rPr>
          <w:rStyle w:val="charBoldItals"/>
        </w:rPr>
        <w:t>prescribed mass requirement</w:t>
      </w:r>
      <w:r w:rsidRPr="00041046">
        <w:t xml:space="preserve"> means a requirement prescribed by the national regulations under section 95.</w:t>
      </w:r>
    </w:p>
    <w:p w14:paraId="7058C182" w14:textId="77777777" w:rsidR="00DB6E47" w:rsidRPr="00041046" w:rsidRDefault="00DB6E47" w:rsidP="009916AA">
      <w:pPr>
        <w:pStyle w:val="aDef"/>
        <w:keepNext/>
        <w:rPr>
          <w:bCs/>
        </w:rPr>
      </w:pPr>
      <w:r w:rsidRPr="00041046">
        <w:rPr>
          <w:rStyle w:val="charBoldItals"/>
        </w:rPr>
        <w:t>previous corresponding law</w:t>
      </w:r>
      <w:r w:rsidRPr="00041046">
        <w:t>—</w:t>
      </w:r>
    </w:p>
    <w:p w14:paraId="18047B96" w14:textId="77777777" w:rsidR="00DB6E47" w:rsidRPr="006C3305" w:rsidRDefault="00DB6E47" w:rsidP="00740102">
      <w:pPr>
        <w:pStyle w:val="Amainreturn"/>
      </w:pPr>
      <w:r w:rsidRPr="00F04D8E">
        <w:t xml:space="preserve">1 </w:t>
      </w:r>
      <w:r w:rsidRPr="00F04D8E">
        <w:tab/>
        <w:t xml:space="preserve">A </w:t>
      </w:r>
      <w:r w:rsidRPr="00FF4454">
        <w:rPr>
          <w:rStyle w:val="charBoldItals"/>
        </w:rPr>
        <w:t>previous corresponding law</w:t>
      </w:r>
      <w:r w:rsidRPr="006C3305">
        <w:t xml:space="preserve"> is a law of a participating jurisdiction that, before the participation day for the jurisdiction, provided for the same, or substantially the same, matters as the provisions of this Law.</w:t>
      </w:r>
    </w:p>
    <w:p w14:paraId="7F05D792" w14:textId="77777777" w:rsidR="00DB6E47" w:rsidRPr="006C3305" w:rsidRDefault="00DB6E47" w:rsidP="00740102">
      <w:pPr>
        <w:pStyle w:val="Amainreturn"/>
      </w:pPr>
      <w:r w:rsidRPr="00F04D8E">
        <w:t xml:space="preserve">2 </w:t>
      </w:r>
      <w:r w:rsidRPr="00F04D8E">
        <w:tab/>
        <w:t xml:space="preserve">A </w:t>
      </w:r>
      <w:r w:rsidRPr="00FF4454">
        <w:rPr>
          <w:rStyle w:val="charBoldItals"/>
        </w:rPr>
        <w:t>previous corresponding law</w:t>
      </w:r>
      <w:r w:rsidRPr="006C3305">
        <w:t xml:space="preserve"> for a provision of this Law is a provision of a previous corresponding law within the meaning of paragraph 1 that corresponds, or substantially corresponds, to the provision of this Law.</w:t>
      </w:r>
    </w:p>
    <w:p w14:paraId="1E2BF114" w14:textId="77777777" w:rsidR="00DB6E47" w:rsidRPr="00F04D8E" w:rsidRDefault="00DB6E47" w:rsidP="00740102">
      <w:pPr>
        <w:pStyle w:val="Amainreturn"/>
      </w:pPr>
      <w:r w:rsidRPr="00F04D8E">
        <w:t xml:space="preserve">3 </w:t>
      </w:r>
      <w:r w:rsidRPr="00F04D8E">
        <w:tab/>
        <w:t>For the purposes of paragraph 1, it is irrelevant whether the law of the participating jurisdiction—</w:t>
      </w:r>
    </w:p>
    <w:p w14:paraId="16CC5B9E" w14:textId="77777777" w:rsidR="00DB6E47" w:rsidRPr="00F04D8E" w:rsidRDefault="00DB6E47" w:rsidP="00DB6E47">
      <w:pPr>
        <w:pStyle w:val="aDefpara"/>
      </w:pPr>
      <w:r w:rsidRPr="00F04D8E">
        <w:tab/>
        <w:t>(a)</w:t>
      </w:r>
      <w:r w:rsidRPr="00F04D8E">
        <w:tab/>
        <w:t>is in 1 instrument or 2 or more instruments; or</w:t>
      </w:r>
    </w:p>
    <w:p w14:paraId="38E37D96" w14:textId="77777777" w:rsidR="00DB6E47" w:rsidRPr="00F04D8E" w:rsidRDefault="00DB6E47" w:rsidP="00DB6E47">
      <w:pPr>
        <w:pStyle w:val="aDefpara"/>
      </w:pPr>
      <w:r w:rsidRPr="00F04D8E">
        <w:tab/>
        <w:t>(b)</w:t>
      </w:r>
      <w:r w:rsidRPr="00F04D8E">
        <w:tab/>
        <w:t>is part of an instrument; or</w:t>
      </w:r>
    </w:p>
    <w:p w14:paraId="0A55BE62" w14:textId="77777777" w:rsidR="00DB6E47" w:rsidRPr="00F04D8E" w:rsidRDefault="00DB6E47" w:rsidP="00DB6E47">
      <w:pPr>
        <w:pStyle w:val="aDefpara"/>
      </w:pPr>
      <w:r w:rsidRPr="00F04D8E">
        <w:tab/>
        <w:t>(c)</w:t>
      </w:r>
      <w:r w:rsidRPr="00F04D8E">
        <w:tab/>
        <w:t>is part of an instrument and the whole or part of 1 or more other instruments.</w:t>
      </w:r>
    </w:p>
    <w:p w14:paraId="167575BE" w14:textId="52A42314" w:rsidR="0057496A" w:rsidRPr="009D47B1" w:rsidRDefault="0057496A" w:rsidP="0057496A">
      <w:pPr>
        <w:pStyle w:val="Amainreturn"/>
        <w:shd w:val="clear" w:color="auto" w:fill="D9D9D9" w:themeFill="background1" w:themeFillShade="D9"/>
        <w:rPr>
          <w:lang w:eastAsia="en-AU"/>
        </w:rPr>
      </w:pPr>
      <w:r w:rsidRPr="009D47B1">
        <w:rPr>
          <w:lang w:eastAsia="en-AU"/>
        </w:rPr>
        <w:t>4</w:t>
      </w:r>
      <w:r w:rsidRPr="009D47B1">
        <w:rPr>
          <w:lang w:eastAsia="en-AU"/>
        </w:rPr>
        <w:tab/>
        <w:t xml:space="preserve">For the purposes of paragraph 1, if a provision of this Law does not apply in a participating jurisdiction on the day the provision of its Application Act corresponding to section 4 of the </w:t>
      </w:r>
      <w:hyperlink r:id="rId36" w:tooltip="Act 2012 No 21 (Qld)" w:history="1">
        <w:r w:rsidRPr="0057496A">
          <w:rPr>
            <w:rStyle w:val="charCitHyperlinkItal"/>
            <w:lang w:eastAsia="en-AU"/>
          </w:rPr>
          <w:t>Heavy Vehicle National Law Act 2012</w:t>
        </w:r>
      </w:hyperlink>
      <w:r w:rsidRPr="009D47B1">
        <w:rPr>
          <w:lang w:eastAsia="en-AU"/>
        </w:rPr>
        <w:t xml:space="preserve"> of Queensland commences, and the provision later applies in the jurisdiction, the participation day for the jurisdiction in relation to the provision is taken to be the day the provision applies.</w:t>
      </w:r>
    </w:p>
    <w:p w14:paraId="3332C015" w14:textId="77777777" w:rsidR="00DB6E47" w:rsidRPr="00041046" w:rsidRDefault="00DB6E47" w:rsidP="00973177">
      <w:pPr>
        <w:pStyle w:val="aDef"/>
        <w:keepNext/>
        <w:rPr>
          <w:bCs/>
        </w:rPr>
      </w:pPr>
      <w:r w:rsidRPr="00041046">
        <w:rPr>
          <w:rStyle w:val="charBoldItals"/>
        </w:rPr>
        <w:lastRenderedPageBreak/>
        <w:t>prime contractor</w:t>
      </w:r>
      <w:r w:rsidRPr="00041046">
        <w:t>, of the driver of a heavy vehicle, means a person who engages the driver to drive the vehicle under a contract for services.</w:t>
      </w:r>
    </w:p>
    <w:p w14:paraId="3CFFB919" w14:textId="77777777" w:rsidR="00DB6E47" w:rsidRPr="007E1F9A" w:rsidRDefault="00DB6E47" w:rsidP="00DB6E47">
      <w:pPr>
        <w:pStyle w:val="aExamHdgss"/>
      </w:pPr>
      <w:r w:rsidRPr="00C96203">
        <w:rPr>
          <w:rFonts w:cs="Times"/>
          <w:bCs/>
          <w:iCs/>
        </w:rPr>
        <w:t>Example</w:t>
      </w:r>
      <w:r w:rsidRPr="00C96203">
        <w:rPr>
          <w:rFonts w:cs="Times"/>
          <w:bCs/>
        </w:rPr>
        <w:t>—</w:t>
      </w:r>
    </w:p>
    <w:p w14:paraId="396CDB42" w14:textId="77777777" w:rsidR="00DB6E47" w:rsidRPr="007E1F9A" w:rsidRDefault="00DB6E47" w:rsidP="00DB6E47">
      <w:pPr>
        <w:pStyle w:val="aExamss"/>
      </w:pPr>
      <w:r w:rsidRPr="007E1F9A">
        <w:t>a logistics business that engages a subcontractor to transport goods.</w:t>
      </w:r>
    </w:p>
    <w:p w14:paraId="20245163" w14:textId="77777777" w:rsidR="00DB6E47" w:rsidRPr="00041046" w:rsidRDefault="00DB6E47" w:rsidP="00DB6E47">
      <w:pPr>
        <w:pStyle w:val="aDef"/>
        <w:rPr>
          <w:bCs/>
        </w:rPr>
      </w:pPr>
      <w:r w:rsidRPr="00041046">
        <w:rPr>
          <w:rStyle w:val="charBoldItals"/>
        </w:rPr>
        <w:t xml:space="preserve">prime mover </w:t>
      </w:r>
      <w:r w:rsidRPr="00041046">
        <w:t>means a heavy motor vehicle designed to tow a semitrailer.</w:t>
      </w:r>
    </w:p>
    <w:p w14:paraId="2C5317B6" w14:textId="77777777" w:rsidR="001C07E0" w:rsidRPr="003323FC" w:rsidRDefault="001C07E0" w:rsidP="00DB6E47">
      <w:pPr>
        <w:pStyle w:val="aDef"/>
      </w:pPr>
      <w:r w:rsidRPr="003323FC">
        <w:rPr>
          <w:rStyle w:val="charBoldItals"/>
        </w:rPr>
        <w:t>prohibition notice</w:t>
      </w:r>
      <w:r w:rsidRPr="003323FC">
        <w:t xml:space="preserve"> has the meaning given by section 576A(3).</w:t>
      </w:r>
    </w:p>
    <w:p w14:paraId="0AC1654E" w14:textId="77777777" w:rsidR="00DB6E47" w:rsidRPr="00041046" w:rsidRDefault="00DB6E47" w:rsidP="00DB6E47">
      <w:pPr>
        <w:pStyle w:val="aDef"/>
        <w:rPr>
          <w:bCs/>
        </w:rPr>
      </w:pPr>
      <w:r w:rsidRPr="00041046">
        <w:rPr>
          <w:rStyle w:val="charBoldItals"/>
        </w:rPr>
        <w:t xml:space="preserve">prohibition order </w:t>
      </w:r>
      <w:r w:rsidRPr="00041046">
        <w:t>has the meaning given by section 607(1).</w:t>
      </w:r>
    </w:p>
    <w:p w14:paraId="3858200D" w14:textId="77777777" w:rsidR="00014716" w:rsidRPr="003323FC" w:rsidRDefault="00014716" w:rsidP="00DB6E47">
      <w:pPr>
        <w:pStyle w:val="aDef"/>
      </w:pPr>
      <w:r w:rsidRPr="003323FC">
        <w:rPr>
          <w:rStyle w:val="charBoldItals"/>
        </w:rPr>
        <w:t>promisee</w:t>
      </w:r>
      <w:r w:rsidRPr="003323FC">
        <w:t xml:space="preserve"> see section 590A.</w:t>
      </w:r>
    </w:p>
    <w:p w14:paraId="27D26DD6" w14:textId="77777777" w:rsidR="00DB6E47" w:rsidRPr="00041046" w:rsidRDefault="00DB6E47" w:rsidP="00DB6E47">
      <w:pPr>
        <w:pStyle w:val="aDef"/>
        <w:rPr>
          <w:bCs/>
        </w:rPr>
      </w:pPr>
      <w:r w:rsidRPr="00041046">
        <w:rPr>
          <w:rStyle w:val="charBoldItals"/>
        </w:rPr>
        <w:t>protected information</w:t>
      </w:r>
      <w:r w:rsidRPr="00041046">
        <w:t>, for the purposes of Part 13.4, has the meaning given by section 727.</w:t>
      </w:r>
    </w:p>
    <w:p w14:paraId="4ECC7FC9" w14:textId="77777777" w:rsidR="00DB6E47" w:rsidRPr="00041046" w:rsidRDefault="00DB6E47" w:rsidP="00DB6E47">
      <w:pPr>
        <w:pStyle w:val="aDef"/>
        <w:rPr>
          <w:bCs/>
        </w:rPr>
      </w:pPr>
      <w:r w:rsidRPr="00041046">
        <w:rPr>
          <w:rStyle w:val="charBoldItals"/>
        </w:rPr>
        <w:t>public authority</w:t>
      </w:r>
      <w:r w:rsidRPr="00041046">
        <w:t xml:space="preserve"> means—</w:t>
      </w:r>
    </w:p>
    <w:p w14:paraId="164F2215" w14:textId="77777777" w:rsidR="00DB6E47" w:rsidRPr="00F04D8E" w:rsidRDefault="00DB6E47" w:rsidP="00DB6E47">
      <w:pPr>
        <w:pStyle w:val="aDefpara"/>
      </w:pPr>
      <w:r w:rsidRPr="00F04D8E">
        <w:rPr>
          <w:rFonts w:cs="Times"/>
          <w:bCs/>
        </w:rPr>
        <w:tab/>
        <w:t>(a)</w:t>
      </w:r>
      <w:r w:rsidRPr="00F04D8E">
        <w:rPr>
          <w:rFonts w:cs="Times"/>
          <w:bCs/>
        </w:rPr>
        <w:tab/>
        <w:t>a State or Territory or the Commonwealth, in any capacity; or</w:t>
      </w:r>
    </w:p>
    <w:p w14:paraId="74DB2DDB" w14:textId="77777777" w:rsidR="00DB6E47" w:rsidRDefault="00DB6E47" w:rsidP="00DB6E47">
      <w:pPr>
        <w:pStyle w:val="aDefpara"/>
      </w:pPr>
      <w:r w:rsidRPr="00F04D8E">
        <w:tab/>
        <w:t>(b)</w:t>
      </w:r>
      <w:r w:rsidRPr="00F04D8E">
        <w:tab/>
        <w:t>a body established under a law, or the holder of an office established under a law, for a public purpose, including a local government authority.</w:t>
      </w:r>
    </w:p>
    <w:p w14:paraId="177B2D89" w14:textId="77777777" w:rsidR="00011290" w:rsidRPr="00011290" w:rsidRDefault="00011290" w:rsidP="00011290">
      <w:pPr>
        <w:pStyle w:val="aDef"/>
        <w:rPr>
          <w:lang w:val="en" w:eastAsia="en-AU"/>
        </w:rPr>
      </w:pPr>
      <w:r w:rsidRPr="00011290">
        <w:rPr>
          <w:rStyle w:val="charBoldItals"/>
        </w:rPr>
        <w:t>public notice</w:t>
      </w:r>
      <w:r w:rsidRPr="00011290">
        <w:rPr>
          <w:lang w:val="en" w:eastAsia="en-AU"/>
        </w:rPr>
        <w:t xml:space="preserve"> means a notice—</w:t>
      </w:r>
    </w:p>
    <w:p w14:paraId="6B8EA7B9" w14:textId="77777777" w:rsidR="00011290" w:rsidRPr="00011290" w:rsidRDefault="00011290" w:rsidP="00011290">
      <w:pPr>
        <w:pStyle w:val="aDefpara"/>
        <w:rPr>
          <w:lang w:val="en" w:eastAsia="en-AU"/>
        </w:rPr>
      </w:pPr>
      <w:r>
        <w:rPr>
          <w:lang w:val="en" w:eastAsia="en-AU"/>
        </w:rPr>
        <w:tab/>
      </w:r>
      <w:r w:rsidRPr="00011290">
        <w:rPr>
          <w:lang w:val="en" w:eastAsia="en-AU"/>
        </w:rPr>
        <w:t>(a)</w:t>
      </w:r>
      <w:r>
        <w:rPr>
          <w:lang w:val="en" w:eastAsia="en-AU"/>
        </w:rPr>
        <w:tab/>
      </w:r>
      <w:r w:rsidRPr="00011290">
        <w:rPr>
          <w:lang w:val="en" w:eastAsia="en-AU"/>
        </w:rPr>
        <w:t>in the Commonwealth Gazette; and</w:t>
      </w:r>
    </w:p>
    <w:p w14:paraId="5AC564EF" w14:textId="77777777" w:rsidR="00011290" w:rsidRPr="00011290" w:rsidRDefault="00011290" w:rsidP="00011290">
      <w:pPr>
        <w:pStyle w:val="aDefpara"/>
        <w:rPr>
          <w:lang w:val="en" w:eastAsia="en-AU"/>
        </w:rPr>
      </w:pPr>
      <w:r>
        <w:rPr>
          <w:lang w:val="en" w:eastAsia="en-AU"/>
        </w:rPr>
        <w:tab/>
      </w:r>
      <w:r w:rsidRPr="00011290">
        <w:rPr>
          <w:lang w:val="en" w:eastAsia="en-AU"/>
        </w:rPr>
        <w:t>(b)</w:t>
      </w:r>
      <w:r>
        <w:rPr>
          <w:lang w:val="en" w:eastAsia="en-AU"/>
        </w:rPr>
        <w:tab/>
      </w:r>
      <w:r w:rsidRPr="00011290">
        <w:rPr>
          <w:lang w:val="en" w:eastAsia="en-AU"/>
        </w:rPr>
        <w:t>on the Regulator’s website; and</w:t>
      </w:r>
    </w:p>
    <w:p w14:paraId="61BE010F" w14:textId="77777777" w:rsidR="00011290" w:rsidRPr="00011290" w:rsidRDefault="00011290" w:rsidP="00011290">
      <w:pPr>
        <w:pStyle w:val="aDefpara"/>
        <w:rPr>
          <w:lang w:val="en" w:eastAsia="en-AU"/>
        </w:rPr>
      </w:pPr>
      <w:r>
        <w:rPr>
          <w:lang w:val="en" w:eastAsia="en-AU"/>
        </w:rPr>
        <w:tab/>
      </w:r>
      <w:r w:rsidRPr="00011290">
        <w:rPr>
          <w:lang w:val="en" w:eastAsia="en-AU"/>
        </w:rPr>
        <w:t>(c)</w:t>
      </w:r>
      <w:r>
        <w:rPr>
          <w:lang w:val="en" w:eastAsia="en-AU"/>
        </w:rPr>
        <w:tab/>
      </w:r>
      <w:r w:rsidRPr="00011290">
        <w:rPr>
          <w:lang w:val="en" w:eastAsia="en-AU"/>
        </w:rPr>
        <w:t>if the Regulator considers it appropriate—in another way, including, for example, in a national newspaper.</w:t>
      </w:r>
    </w:p>
    <w:p w14:paraId="513B8D4A" w14:textId="77777777" w:rsidR="00DB6E47" w:rsidRPr="00041046" w:rsidRDefault="00DB6E47" w:rsidP="00DB6E47">
      <w:pPr>
        <w:pStyle w:val="aDef"/>
        <w:rPr>
          <w:bCs/>
        </w:rPr>
      </w:pPr>
      <w:r w:rsidRPr="00041046">
        <w:rPr>
          <w:rStyle w:val="charBoldItals"/>
        </w:rPr>
        <w:t>public place</w:t>
      </w:r>
      <w:r w:rsidRPr="00041046">
        <w:t xml:space="preserve"> means a place or part of a place—</w:t>
      </w:r>
    </w:p>
    <w:p w14:paraId="74A83ED9" w14:textId="77777777" w:rsidR="00DB6E47" w:rsidRPr="00F04D8E" w:rsidRDefault="00DB6E47" w:rsidP="00DB6E47">
      <w:pPr>
        <w:pStyle w:val="aDefpara"/>
      </w:pPr>
      <w:r w:rsidRPr="00F04D8E">
        <w:rPr>
          <w:rFonts w:cs="Times"/>
          <w:bCs/>
        </w:rPr>
        <w:tab/>
        <w:t>(a)</w:t>
      </w:r>
      <w:r w:rsidRPr="00F04D8E">
        <w:rPr>
          <w:rFonts w:cs="Times"/>
          <w:bCs/>
        </w:rPr>
        <w:tab/>
        <w:t>that the public is entitled to use, is open to members of the public or is used by the public, whether or not on payment of money; or</w:t>
      </w:r>
    </w:p>
    <w:p w14:paraId="75800B68" w14:textId="77777777" w:rsidR="00DB6E47" w:rsidRPr="00F04D8E" w:rsidRDefault="00DB6E47" w:rsidP="00DB6E47">
      <w:pPr>
        <w:pStyle w:val="aDefpara"/>
      </w:pPr>
      <w:r w:rsidRPr="00F04D8E">
        <w:lastRenderedPageBreak/>
        <w:tab/>
        <w:t>(b)</w:t>
      </w:r>
      <w:r w:rsidRPr="00F04D8E">
        <w:tab/>
        <w:t>the occupier of which allows members of the public to enter, whether or not on payment of money.</w:t>
      </w:r>
    </w:p>
    <w:p w14:paraId="4C42894B" w14:textId="77777777" w:rsidR="00014716" w:rsidRPr="00014716" w:rsidRDefault="00014716" w:rsidP="00014716">
      <w:pPr>
        <w:pStyle w:val="aDef"/>
        <w:rPr>
          <w:lang w:val="en" w:eastAsia="en-AU"/>
        </w:rPr>
      </w:pPr>
      <w:r w:rsidRPr="00014716">
        <w:rPr>
          <w:rStyle w:val="charBoldItals"/>
        </w:rPr>
        <w:t>public risk</w:t>
      </w:r>
      <w:r w:rsidRPr="00014716">
        <w:rPr>
          <w:lang w:val="en" w:eastAsia="en-AU"/>
        </w:rPr>
        <w:t xml:space="preserve"> means—</w:t>
      </w:r>
    </w:p>
    <w:p w14:paraId="2F99ED78" w14:textId="77777777" w:rsidR="00014716" w:rsidRPr="00014716" w:rsidRDefault="00014716" w:rsidP="00014716">
      <w:pPr>
        <w:pStyle w:val="aDefpara"/>
        <w:rPr>
          <w:lang w:val="en" w:eastAsia="en-AU"/>
        </w:rPr>
      </w:pPr>
      <w:r>
        <w:rPr>
          <w:lang w:val="en" w:eastAsia="en-AU"/>
        </w:rPr>
        <w:tab/>
      </w:r>
      <w:r w:rsidRPr="00014716">
        <w:rPr>
          <w:lang w:val="en" w:eastAsia="en-AU"/>
        </w:rPr>
        <w:t>(a)</w:t>
      </w:r>
      <w:r>
        <w:rPr>
          <w:lang w:val="en" w:eastAsia="en-AU"/>
        </w:rPr>
        <w:tab/>
      </w:r>
      <w:r w:rsidRPr="00014716">
        <w:rPr>
          <w:lang w:val="en" w:eastAsia="en-AU"/>
        </w:rPr>
        <w:t>a safety risk; or</w:t>
      </w:r>
    </w:p>
    <w:p w14:paraId="3F37EBA9" w14:textId="77777777" w:rsidR="00014716" w:rsidRPr="00014716" w:rsidRDefault="00014716" w:rsidP="00014716">
      <w:pPr>
        <w:pStyle w:val="aDefpara"/>
        <w:rPr>
          <w:lang w:val="en" w:eastAsia="en-AU"/>
        </w:rPr>
      </w:pPr>
      <w:r>
        <w:rPr>
          <w:lang w:val="en" w:eastAsia="en-AU"/>
        </w:rPr>
        <w:tab/>
      </w:r>
      <w:r w:rsidRPr="00014716">
        <w:rPr>
          <w:lang w:val="en" w:eastAsia="en-AU"/>
        </w:rPr>
        <w:t>(b)</w:t>
      </w:r>
      <w:r>
        <w:rPr>
          <w:lang w:val="en" w:eastAsia="en-AU"/>
        </w:rPr>
        <w:tab/>
      </w:r>
      <w:r w:rsidRPr="00014716">
        <w:rPr>
          <w:lang w:val="en" w:eastAsia="en-AU"/>
        </w:rPr>
        <w:t>a risk of damage to road infrastructure.</w:t>
      </w:r>
    </w:p>
    <w:p w14:paraId="5F588EC8" w14:textId="77777777" w:rsidR="00DB6E47" w:rsidRPr="00041046" w:rsidRDefault="00DB6E47" w:rsidP="00DB6E47">
      <w:pPr>
        <w:pStyle w:val="aDef"/>
        <w:rPr>
          <w:bCs/>
        </w:rPr>
      </w:pPr>
      <w:r w:rsidRPr="00041046">
        <w:rPr>
          <w:rStyle w:val="charBoldItals"/>
        </w:rPr>
        <w:t>public safety</w:t>
      </w:r>
      <w:r w:rsidRPr="00041046">
        <w:t xml:space="preserve"> means the safety of persons or property, including the safety of—</w:t>
      </w:r>
    </w:p>
    <w:p w14:paraId="636A6712" w14:textId="77777777" w:rsidR="00DB6E47" w:rsidRPr="00F04D8E" w:rsidRDefault="00DB6E47" w:rsidP="00DB6E47">
      <w:pPr>
        <w:pStyle w:val="aDefpara"/>
      </w:pPr>
      <w:r w:rsidRPr="00F04D8E">
        <w:rPr>
          <w:rFonts w:cs="Times"/>
          <w:bCs/>
        </w:rPr>
        <w:tab/>
        <w:t>(a)</w:t>
      </w:r>
      <w:r w:rsidRPr="00F04D8E">
        <w:rPr>
          <w:rFonts w:cs="Times"/>
          <w:bCs/>
        </w:rPr>
        <w:tab/>
        <w:t>the drivers of, and passengers and other persons in, vehicles and combinations; and</w:t>
      </w:r>
    </w:p>
    <w:p w14:paraId="04010445" w14:textId="77777777" w:rsidR="00DB6E47" w:rsidRPr="00F04D8E" w:rsidRDefault="00DB6E47" w:rsidP="00DB6E47">
      <w:pPr>
        <w:pStyle w:val="aDefpara"/>
      </w:pPr>
      <w:r w:rsidRPr="00F04D8E">
        <w:tab/>
        <w:t>(b)</w:t>
      </w:r>
      <w:r w:rsidRPr="00F04D8E">
        <w:tab/>
        <w:t>persons or property in or in the vicinity of, or likely to be in or in the vicinity of, road infrastructure and public places; and</w:t>
      </w:r>
    </w:p>
    <w:p w14:paraId="360D7FAB" w14:textId="77777777" w:rsidR="00DB6E47" w:rsidRPr="00F04D8E" w:rsidRDefault="00DB6E47" w:rsidP="00DB6E47">
      <w:pPr>
        <w:pStyle w:val="aDefpara"/>
      </w:pPr>
      <w:r w:rsidRPr="00F04D8E">
        <w:tab/>
        <w:t>(c)</w:t>
      </w:r>
      <w:r w:rsidRPr="00F04D8E">
        <w:tab/>
        <w:t>vehicles and combinations and any loads in them.</w:t>
      </w:r>
    </w:p>
    <w:p w14:paraId="3EE78A3A" w14:textId="77777777" w:rsidR="00DB6E47" w:rsidRPr="00041046" w:rsidRDefault="00DB6E47" w:rsidP="00DB6E47">
      <w:pPr>
        <w:pStyle w:val="aDef"/>
        <w:rPr>
          <w:bCs/>
        </w:rPr>
      </w:pPr>
      <w:r w:rsidRPr="00041046">
        <w:rPr>
          <w:rStyle w:val="charBoldItals"/>
        </w:rPr>
        <w:t>public safety ground</w:t>
      </w:r>
      <w:r w:rsidRPr="00041046">
        <w:t>, for a reviewable decision, has the meaning given by section 640.</w:t>
      </w:r>
    </w:p>
    <w:p w14:paraId="53AEBB5F" w14:textId="77777777" w:rsidR="00DB6E47" w:rsidRPr="00041046" w:rsidRDefault="00DB6E47" w:rsidP="00DB6E47">
      <w:pPr>
        <w:pStyle w:val="aDef"/>
        <w:rPr>
          <w:bCs/>
        </w:rPr>
      </w:pPr>
      <w:r w:rsidRPr="00041046">
        <w:rPr>
          <w:rStyle w:val="charBoldItals"/>
        </w:rPr>
        <w:t>quad-axle group</w:t>
      </w:r>
      <w:r w:rsidRPr="00041046">
        <w:t xml:space="preserve"> means a group of 4 axles, in which the horizontal distance between the centre-lines of the outermost axles is more than 3.2m but not more than 4.9m.</w:t>
      </w:r>
    </w:p>
    <w:p w14:paraId="7156FF5B" w14:textId="77777777" w:rsidR="00DB6E47" w:rsidRPr="00041046" w:rsidRDefault="00DB6E47" w:rsidP="009916AA">
      <w:pPr>
        <w:pStyle w:val="aDef"/>
        <w:keepNext/>
        <w:rPr>
          <w:bCs/>
        </w:rPr>
      </w:pPr>
      <w:r w:rsidRPr="00041046">
        <w:rPr>
          <w:rStyle w:val="charBoldItals"/>
        </w:rPr>
        <w:t>qualified</w:t>
      </w:r>
      <w:r w:rsidRPr="00041046">
        <w:t>, to drive a heavy vehicle, or to start or stop its engine, for a person, means the person—</w:t>
      </w:r>
    </w:p>
    <w:p w14:paraId="318F29B7" w14:textId="77777777" w:rsidR="00DB6E47" w:rsidRPr="00F04D8E" w:rsidRDefault="00DB6E47" w:rsidP="00DB6E47">
      <w:pPr>
        <w:pStyle w:val="aDefpara"/>
      </w:pPr>
      <w:r w:rsidRPr="00F04D8E">
        <w:rPr>
          <w:rFonts w:cs="Times"/>
          <w:bCs/>
        </w:rPr>
        <w:tab/>
        <w:t>(a)</w:t>
      </w:r>
      <w:r w:rsidRPr="00F04D8E">
        <w:rPr>
          <w:rFonts w:cs="Times"/>
          <w:bCs/>
        </w:rPr>
        <w:tab/>
        <w:t>holds a driver licence of the appropriate class to drive the vehicle that is not suspended; and</w:t>
      </w:r>
    </w:p>
    <w:p w14:paraId="5C401B6F" w14:textId="77777777" w:rsidR="00DB6E47" w:rsidRPr="00F04D8E" w:rsidRDefault="00DB6E47" w:rsidP="00DB6E47">
      <w:pPr>
        <w:pStyle w:val="aDefpara"/>
      </w:pPr>
      <w:r w:rsidRPr="00F04D8E">
        <w:tab/>
        <w:t>(b)</w:t>
      </w:r>
      <w:r w:rsidRPr="00F04D8E">
        <w:tab/>
        <w:t>is not prevented under a law, including, for example, by the conditions of the driver licence, from driving the vehicle at the relevant time.</w:t>
      </w:r>
    </w:p>
    <w:p w14:paraId="226955E1" w14:textId="77777777" w:rsidR="00DB6E47" w:rsidRPr="00041046" w:rsidRDefault="00DB6E47" w:rsidP="00DB6E47">
      <w:pPr>
        <w:pStyle w:val="aDef"/>
        <w:rPr>
          <w:bCs/>
        </w:rPr>
      </w:pPr>
      <w:r w:rsidRPr="00041046">
        <w:rPr>
          <w:rStyle w:val="charBoldItals"/>
        </w:rPr>
        <w:t>Queensland Minister</w:t>
      </w:r>
      <w:r w:rsidRPr="00041046">
        <w:t xml:space="preserve"> means the responsible Minister for Queensland.</w:t>
      </w:r>
    </w:p>
    <w:p w14:paraId="3E106970" w14:textId="77777777" w:rsidR="00DB6E47" w:rsidRPr="00041046" w:rsidRDefault="00DB6E47" w:rsidP="00DB6E47">
      <w:pPr>
        <w:pStyle w:val="aDef"/>
        <w:rPr>
          <w:bCs/>
        </w:rPr>
      </w:pPr>
      <w:r w:rsidRPr="00041046">
        <w:rPr>
          <w:rStyle w:val="charBoldItals"/>
        </w:rPr>
        <w:t>reasonably believes</w:t>
      </w:r>
      <w:r w:rsidRPr="00041046">
        <w:t xml:space="preserve"> means believes on grounds that are reasonable in the circumstances.</w:t>
      </w:r>
    </w:p>
    <w:p w14:paraId="16A9B938" w14:textId="77777777" w:rsidR="00014716" w:rsidRPr="00014716" w:rsidRDefault="00014716" w:rsidP="00014716">
      <w:pPr>
        <w:pStyle w:val="aDef"/>
      </w:pPr>
      <w:r w:rsidRPr="003323FC">
        <w:rPr>
          <w:rStyle w:val="charBoldItals"/>
        </w:rPr>
        <w:lastRenderedPageBreak/>
        <w:t>reasonably practicable</w:t>
      </w:r>
      <w:r w:rsidRPr="003323FC">
        <w:t>, in relation to a duty, means that which is, or was at a particular ti</w:t>
      </w:r>
      <w:r w:rsidRPr="00014716">
        <w:t>me, reasonably able to be done in relation to the duty, weighing up all relevant matters, including—</w:t>
      </w:r>
    </w:p>
    <w:p w14:paraId="0833506B" w14:textId="77777777" w:rsidR="00014716" w:rsidRPr="00014716" w:rsidRDefault="00A0793A" w:rsidP="00014716">
      <w:pPr>
        <w:pStyle w:val="aDefpara"/>
        <w:rPr>
          <w:lang w:val="en" w:eastAsia="en-AU"/>
        </w:rPr>
      </w:pPr>
      <w:r>
        <w:rPr>
          <w:lang w:val="en" w:eastAsia="en-AU"/>
        </w:rPr>
        <w:tab/>
      </w:r>
      <w:r w:rsidR="00014716" w:rsidRPr="00014716">
        <w:rPr>
          <w:lang w:val="en" w:eastAsia="en-AU"/>
        </w:rPr>
        <w:t>(a)</w:t>
      </w:r>
      <w:r>
        <w:rPr>
          <w:lang w:val="en" w:eastAsia="en-AU"/>
        </w:rPr>
        <w:tab/>
      </w:r>
      <w:r w:rsidR="00014716" w:rsidRPr="00014716">
        <w:rPr>
          <w:lang w:val="en" w:eastAsia="en-AU"/>
        </w:rPr>
        <w:t>the likelihood of a safety risk, or damage to road infrastructure, happening; and</w:t>
      </w:r>
    </w:p>
    <w:p w14:paraId="33A0DFC1" w14:textId="77777777" w:rsidR="00014716" w:rsidRPr="00014716" w:rsidRDefault="00A0793A" w:rsidP="00014716">
      <w:pPr>
        <w:pStyle w:val="aDefpara"/>
        <w:rPr>
          <w:lang w:val="en" w:eastAsia="en-AU"/>
        </w:rPr>
      </w:pPr>
      <w:r>
        <w:rPr>
          <w:lang w:val="en" w:eastAsia="en-AU"/>
        </w:rPr>
        <w:tab/>
      </w:r>
      <w:r w:rsidR="00014716" w:rsidRPr="00014716">
        <w:rPr>
          <w:lang w:val="en" w:eastAsia="en-AU"/>
        </w:rPr>
        <w:t>(b)</w:t>
      </w:r>
      <w:r>
        <w:rPr>
          <w:lang w:val="en" w:eastAsia="en-AU"/>
        </w:rPr>
        <w:tab/>
      </w:r>
      <w:r w:rsidR="00014716" w:rsidRPr="00014716">
        <w:rPr>
          <w:lang w:val="en" w:eastAsia="en-AU"/>
        </w:rPr>
        <w:t>the harm that could result from the risk or damage; and</w:t>
      </w:r>
    </w:p>
    <w:p w14:paraId="3DB4C282" w14:textId="77777777" w:rsidR="00014716" w:rsidRPr="00014716" w:rsidRDefault="00A0793A" w:rsidP="00014716">
      <w:pPr>
        <w:pStyle w:val="aDefpara"/>
        <w:rPr>
          <w:lang w:val="en" w:eastAsia="en-AU"/>
        </w:rPr>
      </w:pPr>
      <w:r>
        <w:rPr>
          <w:lang w:val="en" w:eastAsia="en-AU"/>
        </w:rPr>
        <w:tab/>
      </w:r>
      <w:r w:rsidR="00014716" w:rsidRPr="00014716">
        <w:rPr>
          <w:lang w:val="en" w:eastAsia="en-AU"/>
        </w:rPr>
        <w:t>(c)</w:t>
      </w:r>
      <w:r>
        <w:rPr>
          <w:lang w:val="en" w:eastAsia="en-AU"/>
        </w:rPr>
        <w:tab/>
      </w:r>
      <w:r w:rsidR="00014716" w:rsidRPr="00014716">
        <w:rPr>
          <w:lang w:val="en" w:eastAsia="en-AU"/>
        </w:rPr>
        <w:t>what the person knows, or ought reasonably to know, about the risk or damage; and</w:t>
      </w:r>
    </w:p>
    <w:p w14:paraId="5A96D56F" w14:textId="77777777" w:rsidR="00014716" w:rsidRPr="00014716" w:rsidRDefault="00A0793A" w:rsidP="00554988">
      <w:pPr>
        <w:pStyle w:val="aDefpara"/>
        <w:keepNext/>
        <w:rPr>
          <w:lang w:val="en" w:eastAsia="en-AU"/>
        </w:rPr>
      </w:pPr>
      <w:r>
        <w:rPr>
          <w:lang w:val="en" w:eastAsia="en-AU"/>
        </w:rPr>
        <w:tab/>
      </w:r>
      <w:r w:rsidR="00014716" w:rsidRPr="00014716">
        <w:rPr>
          <w:lang w:val="en" w:eastAsia="en-AU"/>
        </w:rPr>
        <w:t>(d)</w:t>
      </w:r>
      <w:r>
        <w:rPr>
          <w:lang w:val="en" w:eastAsia="en-AU"/>
        </w:rPr>
        <w:tab/>
      </w:r>
      <w:r w:rsidR="00014716" w:rsidRPr="00014716">
        <w:rPr>
          <w:lang w:val="en" w:eastAsia="en-AU"/>
        </w:rPr>
        <w:t>what the person knows, or ought reasonably to know, about the ways of—</w:t>
      </w:r>
    </w:p>
    <w:p w14:paraId="6786E5DA" w14:textId="77777777" w:rsidR="00014716" w:rsidRPr="00014716" w:rsidRDefault="00A0793A" w:rsidP="00A0793A">
      <w:pPr>
        <w:pStyle w:val="aDefsubpara"/>
        <w:rPr>
          <w:lang w:val="en" w:eastAsia="en-AU"/>
        </w:rPr>
      </w:pPr>
      <w:r>
        <w:rPr>
          <w:lang w:val="en" w:eastAsia="en-AU"/>
        </w:rPr>
        <w:tab/>
      </w:r>
      <w:r w:rsidR="00014716" w:rsidRPr="00014716">
        <w:rPr>
          <w:lang w:val="en" w:eastAsia="en-AU"/>
        </w:rPr>
        <w:t>(i)</w:t>
      </w:r>
      <w:r>
        <w:rPr>
          <w:lang w:val="en" w:eastAsia="en-AU"/>
        </w:rPr>
        <w:tab/>
      </w:r>
      <w:r w:rsidR="00014716" w:rsidRPr="00014716">
        <w:rPr>
          <w:lang w:val="en" w:eastAsia="en-AU"/>
        </w:rPr>
        <w:t>removing or minimising the risk; or</w:t>
      </w:r>
    </w:p>
    <w:p w14:paraId="3D2CD6EE" w14:textId="77777777" w:rsidR="00014716" w:rsidRPr="00014716" w:rsidRDefault="00A0793A" w:rsidP="00A0793A">
      <w:pPr>
        <w:pStyle w:val="aDefsubpara"/>
        <w:rPr>
          <w:lang w:val="en" w:eastAsia="en-AU"/>
        </w:rPr>
      </w:pPr>
      <w:r>
        <w:rPr>
          <w:lang w:val="en" w:eastAsia="en-AU"/>
        </w:rPr>
        <w:tab/>
      </w:r>
      <w:r w:rsidR="00014716" w:rsidRPr="00014716">
        <w:rPr>
          <w:lang w:val="en" w:eastAsia="en-AU"/>
        </w:rPr>
        <w:t>(ii)</w:t>
      </w:r>
      <w:r>
        <w:rPr>
          <w:lang w:val="en" w:eastAsia="en-AU"/>
        </w:rPr>
        <w:tab/>
      </w:r>
      <w:r w:rsidR="00014716" w:rsidRPr="00014716">
        <w:rPr>
          <w:lang w:val="en" w:eastAsia="en-AU"/>
        </w:rPr>
        <w:t>preventing or minimising the damage; and</w:t>
      </w:r>
    </w:p>
    <w:p w14:paraId="7C3E302A" w14:textId="77777777" w:rsidR="00014716" w:rsidRPr="00014716" w:rsidRDefault="00A0793A" w:rsidP="00014716">
      <w:pPr>
        <w:pStyle w:val="aDefpara"/>
        <w:rPr>
          <w:lang w:val="en" w:eastAsia="en-AU"/>
        </w:rPr>
      </w:pPr>
      <w:r>
        <w:rPr>
          <w:lang w:val="en" w:eastAsia="en-AU"/>
        </w:rPr>
        <w:tab/>
      </w:r>
      <w:r w:rsidR="00014716" w:rsidRPr="00014716">
        <w:rPr>
          <w:lang w:val="en" w:eastAsia="en-AU"/>
        </w:rPr>
        <w:t>(e)</w:t>
      </w:r>
      <w:r>
        <w:rPr>
          <w:lang w:val="en" w:eastAsia="en-AU"/>
        </w:rPr>
        <w:tab/>
      </w:r>
      <w:r w:rsidR="00014716" w:rsidRPr="00014716">
        <w:rPr>
          <w:lang w:val="en" w:eastAsia="en-AU"/>
        </w:rPr>
        <w:t>the availability and suitability of those ways; and</w:t>
      </w:r>
    </w:p>
    <w:p w14:paraId="78CAB4F0" w14:textId="77777777" w:rsidR="00014716" w:rsidRPr="00014716" w:rsidRDefault="00A0793A" w:rsidP="00014716">
      <w:pPr>
        <w:pStyle w:val="aDefpara"/>
        <w:rPr>
          <w:lang w:val="en" w:eastAsia="en-AU"/>
        </w:rPr>
      </w:pPr>
      <w:r>
        <w:rPr>
          <w:lang w:val="en" w:eastAsia="en-AU"/>
        </w:rPr>
        <w:tab/>
      </w:r>
      <w:r w:rsidR="00014716" w:rsidRPr="00014716">
        <w:rPr>
          <w:lang w:val="en" w:eastAsia="en-AU"/>
        </w:rPr>
        <w:t>(f)</w:t>
      </w:r>
      <w:r>
        <w:rPr>
          <w:lang w:val="en" w:eastAsia="en-AU"/>
        </w:rPr>
        <w:tab/>
      </w:r>
      <w:r w:rsidR="00014716" w:rsidRPr="00014716">
        <w:rPr>
          <w:lang w:val="en" w:eastAsia="en-AU"/>
        </w:rPr>
        <w:t>the cost associated with the available ways, including whether the cost is grossly disproportionate to the likelihood of the risk or damage.</w:t>
      </w:r>
    </w:p>
    <w:p w14:paraId="138C5ACB" w14:textId="77777777" w:rsidR="00DB6E47" w:rsidRPr="00041046" w:rsidRDefault="00DB6E47" w:rsidP="00DB6E47">
      <w:pPr>
        <w:pStyle w:val="aDef"/>
        <w:rPr>
          <w:bCs/>
        </w:rPr>
      </w:pPr>
      <w:r w:rsidRPr="00041046">
        <w:rPr>
          <w:rStyle w:val="charBoldItals"/>
        </w:rPr>
        <w:t>reasonably satisfied</w:t>
      </w:r>
      <w:r w:rsidRPr="00041046">
        <w:t xml:space="preserve"> means satisfied on grounds that are reasonable in the circumstances.</w:t>
      </w:r>
    </w:p>
    <w:p w14:paraId="0A83DE1D" w14:textId="77777777" w:rsidR="00DB6E47" w:rsidRPr="00041046" w:rsidRDefault="00DB6E47" w:rsidP="00DB6E47">
      <w:pPr>
        <w:pStyle w:val="aDef"/>
        <w:rPr>
          <w:bCs/>
        </w:rPr>
      </w:pPr>
      <w:r w:rsidRPr="00041046">
        <w:rPr>
          <w:rStyle w:val="charBoldItals"/>
        </w:rPr>
        <w:t>reasonably suspects</w:t>
      </w:r>
      <w:r w:rsidRPr="00041046">
        <w:t xml:space="preserve"> means suspects on grounds that are reasonable in the circumstances.</w:t>
      </w:r>
    </w:p>
    <w:p w14:paraId="7FECB322" w14:textId="77777777" w:rsidR="00DB6E47" w:rsidRPr="00041046" w:rsidRDefault="00DB6E47" w:rsidP="00DB6E47">
      <w:pPr>
        <w:pStyle w:val="aDef"/>
        <w:rPr>
          <w:bCs/>
        </w:rPr>
      </w:pPr>
      <w:r w:rsidRPr="00041046">
        <w:rPr>
          <w:rStyle w:val="charBoldItals"/>
        </w:rPr>
        <w:t>record keeper</w:t>
      </w:r>
      <w:r w:rsidRPr="00041046">
        <w:t xml:space="preserve"> has the meaning given by section 317.</w:t>
      </w:r>
    </w:p>
    <w:p w14:paraId="36A10CD3" w14:textId="77777777" w:rsidR="00DB6E47" w:rsidRPr="00041046" w:rsidRDefault="00DB6E47" w:rsidP="00DB6E47">
      <w:pPr>
        <w:pStyle w:val="aDef"/>
        <w:rPr>
          <w:bCs/>
        </w:rPr>
      </w:pPr>
      <w:r w:rsidRPr="00041046">
        <w:rPr>
          <w:rStyle w:val="charBoldItals"/>
        </w:rPr>
        <w:t>record location</w:t>
      </w:r>
      <w:r w:rsidRPr="00041046">
        <w:t>, of the driver of a fatigue-regulated heavy vehicle, for the purposes of Chapter 6, has the meaning given by section 290.</w:t>
      </w:r>
    </w:p>
    <w:p w14:paraId="5B75BCAA" w14:textId="77777777" w:rsidR="00DB6E47" w:rsidRPr="00041046" w:rsidRDefault="00DB6E47" w:rsidP="00DB6E47">
      <w:pPr>
        <w:pStyle w:val="aDef"/>
        <w:rPr>
          <w:bCs/>
        </w:rPr>
      </w:pPr>
      <w:r w:rsidRPr="00041046">
        <w:rPr>
          <w:rStyle w:val="charBoldItals"/>
        </w:rPr>
        <w:t>registered industry code of practice</w:t>
      </w:r>
      <w:r w:rsidRPr="00041046">
        <w:t xml:space="preserve"> means an industry code of practice registered under section 706.</w:t>
      </w:r>
    </w:p>
    <w:p w14:paraId="4ED3A092" w14:textId="7DE2A29C" w:rsidR="00DB6E47" w:rsidRDefault="00DB6E47" w:rsidP="00DB6E47">
      <w:pPr>
        <w:pStyle w:val="aDef"/>
      </w:pPr>
      <w:r w:rsidRPr="00041046">
        <w:rPr>
          <w:rStyle w:val="charBoldItals"/>
        </w:rPr>
        <w:t>registered interest</w:t>
      </w:r>
      <w:r w:rsidRPr="00041046">
        <w:t xml:space="preserve"> means an interest registered under the </w:t>
      </w:r>
      <w:hyperlink r:id="rId37" w:tooltip="Act 2009 No 130 (Cwlth)" w:history="1">
        <w:r w:rsidR="00740102" w:rsidRPr="001172F8">
          <w:rPr>
            <w:rStyle w:val="charCitHyperlinkItal"/>
          </w:rPr>
          <w:t>Personal Property Securities Act 2009</w:t>
        </w:r>
      </w:hyperlink>
      <w:r w:rsidRPr="00041046">
        <w:t xml:space="preserve"> of the Commonwealth by a secured party for which the thing or sample is collateral.</w:t>
      </w:r>
    </w:p>
    <w:p w14:paraId="27C3E093" w14:textId="77777777" w:rsidR="0079350C" w:rsidRPr="0079350C" w:rsidRDefault="0079350C" w:rsidP="0079350C">
      <w:pPr>
        <w:pStyle w:val="aDef"/>
      </w:pPr>
      <w:r w:rsidRPr="0079350C">
        <w:rPr>
          <w:rStyle w:val="charBoldItals"/>
        </w:rPr>
        <w:lastRenderedPageBreak/>
        <w:t>registered operator</w:t>
      </w:r>
      <w:r w:rsidRPr="0079350C">
        <w:t>, of a heavy vehicle, means the person recorded on a vehicle register as the person responsible for the vehicle, however named, kept under another Australian road law.</w:t>
      </w:r>
    </w:p>
    <w:p w14:paraId="208B3195" w14:textId="77777777" w:rsidR="00150AE9" w:rsidRPr="009D47B1" w:rsidRDefault="000671E3" w:rsidP="000671E3">
      <w:pPr>
        <w:pStyle w:val="aDef"/>
      </w:pPr>
      <w:r w:rsidRPr="000671E3">
        <w:rPr>
          <w:rStyle w:val="charBoldItals"/>
        </w:rPr>
        <w:t>registration</w:t>
      </w:r>
      <w:r>
        <w:rPr>
          <w:lang w:val="en"/>
        </w:rPr>
        <w:t>, of a heavy vehicle, means registration of the vehicle under an Australian road law.</w:t>
      </w:r>
    </w:p>
    <w:p w14:paraId="16F9F43A" w14:textId="77777777" w:rsidR="0082104E" w:rsidRPr="000671E3" w:rsidRDefault="0082104E" w:rsidP="00DB6E47">
      <w:pPr>
        <w:pStyle w:val="aDef"/>
      </w:pPr>
      <w:r w:rsidRPr="0082104E">
        <w:rPr>
          <w:rStyle w:val="charBoldItals"/>
        </w:rPr>
        <w:t>registration authority</w:t>
      </w:r>
      <w:r w:rsidRPr="000671E3">
        <w:t>,</w:t>
      </w:r>
      <w:r w:rsidR="000671E3" w:rsidRPr="000671E3">
        <w:t xml:space="preserve"> for a heavy vehicle, means the authority responsible for the registration of the vehicle under an Australian road law.</w:t>
      </w:r>
    </w:p>
    <w:p w14:paraId="0E1B1969" w14:textId="77777777" w:rsidR="00DB6E47" w:rsidRPr="00ED1488" w:rsidRDefault="00ED1488" w:rsidP="00ED1488">
      <w:pPr>
        <w:pStyle w:val="aDef"/>
      </w:pPr>
      <w:r w:rsidRPr="00ED1488">
        <w:rPr>
          <w:rStyle w:val="charBoldItals"/>
        </w:rPr>
        <w:t>registration item</w:t>
      </w:r>
      <w:r w:rsidRPr="00ED1488">
        <w:t xml:space="preserve"> means a document, number plate, label or other thing relating to the registration or purported registration of a heavy vehicle.</w:t>
      </w:r>
    </w:p>
    <w:p w14:paraId="40AA776F" w14:textId="77777777" w:rsidR="00862BFE" w:rsidRPr="001C07E0" w:rsidRDefault="00862BFE" w:rsidP="00862BFE">
      <w:pPr>
        <w:pStyle w:val="aNote"/>
        <w:rPr>
          <w:lang w:val="en" w:eastAsia="en-AU"/>
        </w:rPr>
      </w:pPr>
      <w:r w:rsidRPr="001C07E0">
        <w:rPr>
          <w:rStyle w:val="charItals"/>
        </w:rPr>
        <w:t>Note</w:t>
      </w:r>
      <w:r w:rsidRPr="001C07E0">
        <w:rPr>
          <w:lang w:val="en" w:eastAsia="en-AU"/>
        </w:rPr>
        <w:t>—</w:t>
      </w:r>
    </w:p>
    <w:p w14:paraId="66B4B031" w14:textId="77777777" w:rsidR="00862BFE" w:rsidRPr="001C07E0" w:rsidRDefault="00862BFE" w:rsidP="00862BFE">
      <w:pPr>
        <w:pStyle w:val="aNoteTextss"/>
        <w:rPr>
          <w:lang w:val="en" w:eastAsia="en-AU"/>
        </w:rPr>
      </w:pPr>
      <w:r w:rsidRPr="001C07E0">
        <w:rPr>
          <w:lang w:val="en" w:eastAsia="en-AU"/>
        </w:rPr>
        <w:t xml:space="preserve">See the definition </w:t>
      </w:r>
      <w:r w:rsidRPr="001C07E0">
        <w:rPr>
          <w:i/>
          <w:iCs/>
          <w:lang w:val="en" w:eastAsia="en-AU"/>
        </w:rPr>
        <w:t>document</w:t>
      </w:r>
      <w:r w:rsidRPr="001C07E0">
        <w:rPr>
          <w:lang w:val="en" w:eastAsia="en-AU"/>
        </w:rPr>
        <w:t xml:space="preserve"> in section 12 of Schedule 1.</w:t>
      </w:r>
    </w:p>
    <w:p w14:paraId="3CD843F5" w14:textId="77777777" w:rsidR="00150AE9" w:rsidRPr="009D47B1" w:rsidRDefault="00ED1488" w:rsidP="00ED1488">
      <w:pPr>
        <w:pStyle w:val="aDef"/>
      </w:pPr>
      <w:r w:rsidRPr="00ED1488">
        <w:rPr>
          <w:rStyle w:val="charBoldItals"/>
        </w:rPr>
        <w:t>registration number</w:t>
      </w:r>
      <w:r>
        <w:rPr>
          <w:lang w:val="en"/>
        </w:rPr>
        <w:t>, for a heavy vehicle, means the identifying registration number, however described, given to the vehicle under an Australian road law.</w:t>
      </w:r>
    </w:p>
    <w:p w14:paraId="4FB3E705" w14:textId="77777777" w:rsidR="00DB6E47" w:rsidRPr="00041046" w:rsidRDefault="00DB6E47" w:rsidP="00DB6E47">
      <w:pPr>
        <w:pStyle w:val="aDef"/>
        <w:rPr>
          <w:bCs/>
        </w:rPr>
      </w:pPr>
      <w:r w:rsidRPr="00041046">
        <w:rPr>
          <w:rStyle w:val="charBoldItals"/>
        </w:rPr>
        <w:t>regular loading or unloading premises</w:t>
      </w:r>
      <w:r w:rsidRPr="00041046">
        <w:t>—</w:t>
      </w:r>
    </w:p>
    <w:p w14:paraId="43B27C90" w14:textId="77777777" w:rsidR="00DB6E47" w:rsidRPr="006C3305" w:rsidRDefault="00DB6E47" w:rsidP="00DB6E47">
      <w:pPr>
        <w:pStyle w:val="Amain"/>
      </w:pPr>
      <w:r>
        <w:tab/>
      </w:r>
      <w:r w:rsidRPr="006C3305">
        <w:t xml:space="preserve">1 </w:t>
      </w:r>
      <w:r w:rsidRPr="006C3305">
        <w:tab/>
      </w:r>
      <w:r w:rsidRPr="00FF4454">
        <w:rPr>
          <w:rStyle w:val="charItals"/>
        </w:rPr>
        <w:t>Regular loading or unloading premises</w:t>
      </w:r>
      <w:r w:rsidRPr="006C3305">
        <w:t>, for heavy vehicles, means premises at or from which an average of at least 5 heavy vehicles are loaded or unloaded on each day the premises are operated for loading or unloading heavy vehicles.</w:t>
      </w:r>
    </w:p>
    <w:p w14:paraId="316180AC" w14:textId="77777777" w:rsidR="00DB6E47" w:rsidRPr="006C3305" w:rsidRDefault="00DB6E47" w:rsidP="00DB6E47">
      <w:pPr>
        <w:pStyle w:val="Amain"/>
      </w:pPr>
      <w:r>
        <w:tab/>
      </w:r>
      <w:r w:rsidRPr="006C3305">
        <w:t xml:space="preserve">2 </w:t>
      </w:r>
      <w:r w:rsidRPr="006C3305">
        <w:tab/>
        <w:t>For the purposes of paragraph 1, an average of at least 5 heavy vehicles are loaded or unloaded at or from premises on each day the premises are operated for loading or unloading heavy vehicles if—</w:t>
      </w:r>
    </w:p>
    <w:p w14:paraId="04921098" w14:textId="77777777" w:rsidR="00DB6E47" w:rsidRPr="00F04D8E" w:rsidRDefault="00DB6E47" w:rsidP="009916AA">
      <w:pPr>
        <w:pStyle w:val="aDefpara"/>
        <w:keepLines/>
      </w:pPr>
      <w:r w:rsidRPr="00F04D8E">
        <w:rPr>
          <w:rFonts w:cs="Times"/>
          <w:bCs/>
        </w:rPr>
        <w:tab/>
        <w:t>(a)</w:t>
      </w:r>
      <w:r w:rsidRPr="00F04D8E">
        <w:rPr>
          <w:rFonts w:cs="Times"/>
          <w:bCs/>
        </w:rPr>
        <w:tab/>
        <w:t>for premises operated for loading or unloading heavy vehicles for 12 months or more—during the previous 12 months, an average of at least 5 heavy vehicles were loaded or unloaded at or from the premises on each day the premises were operated for loading or unloading heavy vehicles; or</w:t>
      </w:r>
    </w:p>
    <w:p w14:paraId="72933CFB" w14:textId="77777777" w:rsidR="00DB6E47" w:rsidRPr="00F04D8E" w:rsidRDefault="00DB6E47" w:rsidP="00DB6E47">
      <w:pPr>
        <w:pStyle w:val="aDefpara"/>
      </w:pPr>
      <w:r w:rsidRPr="00F04D8E">
        <w:lastRenderedPageBreak/>
        <w:tab/>
        <w:t>(b)</w:t>
      </w:r>
      <w:r w:rsidRPr="00F04D8E">
        <w:tab/>
        <w:t>for premises operated for loading or unloading heavy vehicles for less than 12 months—during the period the premises have been in operation for loading or unloading heavy vehicles, an average of at least 5 heavy vehicles were loaded or unloaded at or from the premises on each day the premises were operated for loading or unloading heavy vehicles.</w:t>
      </w:r>
    </w:p>
    <w:p w14:paraId="15975801" w14:textId="77777777" w:rsidR="00DB6E47" w:rsidRPr="006C3305" w:rsidRDefault="00DB6E47" w:rsidP="00554988">
      <w:pPr>
        <w:pStyle w:val="Amain"/>
        <w:keepNext/>
        <w:keepLines/>
      </w:pPr>
      <w:r>
        <w:tab/>
      </w:r>
      <w:r w:rsidRPr="006C3305">
        <w:t>3</w:t>
      </w:r>
      <w:r w:rsidRPr="006C3305">
        <w:tab/>
        <w:t xml:space="preserve">In the application of this definition to the definition </w:t>
      </w:r>
      <w:r w:rsidRPr="00FF4454">
        <w:rPr>
          <w:rStyle w:val="charItals"/>
        </w:rPr>
        <w:t>loading manager</w:t>
      </w:r>
      <w:r w:rsidRPr="006C3305">
        <w:t xml:space="preserve"> where used in Chapter 6, references in paragraphs 1 and 2 to ‘an average of at least 5 heavy vehicles’ are to be read as references to an average of at least 5 fatigue-regulated heavy vehicles.</w:t>
      </w:r>
    </w:p>
    <w:p w14:paraId="6A17EAB7" w14:textId="77777777" w:rsidR="00DB6E47" w:rsidRPr="007E1F9A" w:rsidRDefault="00DB6E47" w:rsidP="00CF52C7">
      <w:pPr>
        <w:pStyle w:val="aNote"/>
        <w:keepNext/>
      </w:pPr>
      <w:r w:rsidRPr="00FF4454">
        <w:rPr>
          <w:rStyle w:val="charItals"/>
        </w:rPr>
        <w:t>Note</w:t>
      </w:r>
      <w:r w:rsidRPr="00C96203">
        <w:rPr>
          <w:rFonts w:cs="Times"/>
          <w:bCs/>
        </w:rPr>
        <w:t>—</w:t>
      </w:r>
    </w:p>
    <w:p w14:paraId="32944BD8" w14:textId="77777777" w:rsidR="00DB6E47" w:rsidRPr="007E1F9A" w:rsidRDefault="00DB6E47" w:rsidP="00DB6E47">
      <w:pPr>
        <w:pStyle w:val="aNoteTextss"/>
      </w:pPr>
      <w:r w:rsidRPr="007E1F9A">
        <w:t>Consequently, Chapter 6 applies to a person as a loading manager only if the premises concerned are premises at or from which an average of at least 5 fatigue-regulated heavy vehicles are loaded or unloaded on each day the premises are operated for loading or unloading heavy vehicles.</w:t>
      </w:r>
    </w:p>
    <w:p w14:paraId="7E2E5D61" w14:textId="77777777" w:rsidR="00DB6E47" w:rsidRPr="00041046" w:rsidRDefault="00DB6E47" w:rsidP="00DB6E47">
      <w:pPr>
        <w:pStyle w:val="aDef"/>
        <w:rPr>
          <w:bCs/>
        </w:rPr>
      </w:pPr>
      <w:r w:rsidRPr="00041046">
        <w:rPr>
          <w:rStyle w:val="charBoldItals"/>
        </w:rPr>
        <w:t>Regulator</w:t>
      </w:r>
      <w:r w:rsidRPr="00041046">
        <w:t xml:space="preserve"> means the National Heavy Vehicle Regulator established under section 656.</w:t>
      </w:r>
    </w:p>
    <w:p w14:paraId="53C1501E" w14:textId="77777777" w:rsidR="00DB6E47" w:rsidRPr="00041046" w:rsidRDefault="00DB6E47" w:rsidP="00DB6E47">
      <w:pPr>
        <w:pStyle w:val="aDef"/>
        <w:rPr>
          <w:bCs/>
        </w:rPr>
      </w:pPr>
      <w:r w:rsidRPr="00041046">
        <w:rPr>
          <w:rStyle w:val="charBoldItals"/>
        </w:rPr>
        <w:t>Regulator’s website</w:t>
      </w:r>
      <w:r w:rsidRPr="00041046">
        <w:t xml:space="preserve"> means the website of the Regulator on the internet.</w:t>
      </w:r>
    </w:p>
    <w:p w14:paraId="3A2B6EBB" w14:textId="77777777" w:rsidR="00DB6E47" w:rsidRPr="00041046" w:rsidRDefault="00DB6E47" w:rsidP="00DB6E47">
      <w:pPr>
        <w:pStyle w:val="aDef"/>
        <w:rPr>
          <w:bCs/>
        </w:rPr>
      </w:pPr>
      <w:r w:rsidRPr="00041046">
        <w:rPr>
          <w:rStyle w:val="charBoldItals"/>
        </w:rPr>
        <w:t>relevant appeal body</w:t>
      </w:r>
      <w:r w:rsidRPr="00041046">
        <w:t>, for the purposes of Chapter 11, has the meaning given by section 640.</w:t>
      </w:r>
    </w:p>
    <w:p w14:paraId="2F43E1FD" w14:textId="77777777" w:rsidR="00DB6E47" w:rsidRPr="00041046" w:rsidRDefault="00DB6E47" w:rsidP="00DB6E47">
      <w:pPr>
        <w:pStyle w:val="aDef"/>
        <w:rPr>
          <w:bCs/>
        </w:rPr>
      </w:pPr>
      <w:r w:rsidRPr="00041046">
        <w:rPr>
          <w:rStyle w:val="charBoldItals"/>
        </w:rPr>
        <w:t>relevant contravention</w:t>
      </w:r>
      <w:r w:rsidRPr="00041046">
        <w:t>, for the purposes of Chapter 7, has the meaning given by section 403.</w:t>
      </w:r>
    </w:p>
    <w:p w14:paraId="5A416985" w14:textId="77777777" w:rsidR="00DB6E47" w:rsidRPr="00041046" w:rsidRDefault="00DB6E47" w:rsidP="00DB6E47">
      <w:pPr>
        <w:pStyle w:val="aDef"/>
        <w:rPr>
          <w:bCs/>
        </w:rPr>
      </w:pPr>
      <w:r w:rsidRPr="00041046">
        <w:rPr>
          <w:rStyle w:val="charBoldItals"/>
        </w:rPr>
        <w:t>relevant emission</w:t>
      </w:r>
      <w:r w:rsidRPr="00041046">
        <w:t>, for a heavy vehicle, means noise emission, gaseous emission or particle emission emanating from the vehicle.</w:t>
      </w:r>
    </w:p>
    <w:p w14:paraId="1A79FF84" w14:textId="77777777" w:rsidR="00DB6E47" w:rsidRPr="00041046" w:rsidRDefault="00DB6E47" w:rsidP="00DB6E47">
      <w:pPr>
        <w:pStyle w:val="aDef"/>
        <w:rPr>
          <w:bCs/>
        </w:rPr>
      </w:pPr>
      <w:r w:rsidRPr="00041046">
        <w:rPr>
          <w:rStyle w:val="charBoldItals"/>
        </w:rPr>
        <w:t>relevant garage address</w:t>
      </w:r>
      <w:r w:rsidRPr="00041046">
        <w:t>, of a heavy vehicle, means—</w:t>
      </w:r>
    </w:p>
    <w:p w14:paraId="554C2984" w14:textId="77777777" w:rsidR="00DB6E47" w:rsidRPr="00F04D8E" w:rsidRDefault="00DB6E47" w:rsidP="00DB6E47">
      <w:pPr>
        <w:pStyle w:val="aDefpara"/>
      </w:pPr>
      <w:r w:rsidRPr="00F04D8E">
        <w:rPr>
          <w:rFonts w:cs="Times"/>
          <w:bCs/>
        </w:rPr>
        <w:tab/>
        <w:t>(a)</w:t>
      </w:r>
      <w:r w:rsidRPr="00F04D8E">
        <w:rPr>
          <w:rFonts w:cs="Times"/>
          <w:bCs/>
        </w:rPr>
        <w:tab/>
        <w:t>the heavy vehicle’s garage address; or</w:t>
      </w:r>
    </w:p>
    <w:p w14:paraId="65E1A07E" w14:textId="77777777" w:rsidR="00DB6E47" w:rsidRPr="00F04D8E" w:rsidRDefault="00DB6E47" w:rsidP="00DB6E47">
      <w:pPr>
        <w:pStyle w:val="aDefpara"/>
      </w:pPr>
      <w:r w:rsidRPr="00F04D8E">
        <w:tab/>
        <w:t>(b)</w:t>
      </w:r>
      <w:r w:rsidRPr="00F04D8E">
        <w:tab/>
        <w:t>if the heavy vehicle is a combination—the garage address of the towing vehicle in the combination.</w:t>
      </w:r>
    </w:p>
    <w:p w14:paraId="1BD6DF10" w14:textId="77777777" w:rsidR="00DB6E47" w:rsidRPr="00041046" w:rsidRDefault="00DB6E47" w:rsidP="00DB6E47">
      <w:pPr>
        <w:pStyle w:val="aDef"/>
        <w:rPr>
          <w:bCs/>
        </w:rPr>
      </w:pPr>
      <w:r w:rsidRPr="00041046">
        <w:rPr>
          <w:rStyle w:val="charBoldItals"/>
        </w:rPr>
        <w:lastRenderedPageBreak/>
        <w:t>relevant jurisdiction</w:t>
      </w:r>
      <w:r w:rsidRPr="00041046">
        <w:t>, for the purposes of Chapter 11, has the meaning given by section 640.</w:t>
      </w:r>
    </w:p>
    <w:p w14:paraId="1D3821C3" w14:textId="77777777" w:rsidR="00DB6E47" w:rsidRPr="00041046" w:rsidRDefault="00DB6E47" w:rsidP="00DB6E47">
      <w:pPr>
        <w:pStyle w:val="aDef"/>
        <w:rPr>
          <w:bCs/>
        </w:rPr>
      </w:pPr>
      <w:r w:rsidRPr="00041046">
        <w:rPr>
          <w:rStyle w:val="charBoldItals"/>
        </w:rPr>
        <w:t>relevant management system</w:t>
      </w:r>
      <w:r w:rsidRPr="00041046">
        <w:t>, for the purposes of Chapter 8, has the meaning given by section 457.</w:t>
      </w:r>
    </w:p>
    <w:p w14:paraId="0D73EB1E" w14:textId="77777777" w:rsidR="00DB6E47" w:rsidRPr="00041046" w:rsidRDefault="00DB6E47" w:rsidP="00DB6E47">
      <w:pPr>
        <w:pStyle w:val="aDef"/>
        <w:rPr>
          <w:bCs/>
        </w:rPr>
      </w:pPr>
      <w:r w:rsidRPr="00041046">
        <w:rPr>
          <w:rStyle w:val="charBoldItals"/>
        </w:rPr>
        <w:t>relevant monitoring matters</w:t>
      </w:r>
      <w:r w:rsidRPr="00041046">
        <w:t>, for the purposes of Chapter 7, has the meaning given by section 403.</w:t>
      </w:r>
    </w:p>
    <w:p w14:paraId="330F96FF" w14:textId="77777777" w:rsidR="00DB6E47" w:rsidRPr="00041046" w:rsidRDefault="00DB6E47" w:rsidP="00DB6E47">
      <w:pPr>
        <w:pStyle w:val="aDef"/>
        <w:rPr>
          <w:bCs/>
        </w:rPr>
      </w:pPr>
      <w:r w:rsidRPr="00041046">
        <w:rPr>
          <w:rStyle w:val="charBoldItals"/>
        </w:rPr>
        <w:t>relevant place</w:t>
      </w:r>
      <w:r w:rsidRPr="00041046">
        <w:t>, for the purposes of Part 9.2, has the meaning given by section 494.</w:t>
      </w:r>
    </w:p>
    <w:p w14:paraId="782077D8" w14:textId="77777777" w:rsidR="00DB6E47" w:rsidRPr="00041046" w:rsidRDefault="00DB6E47" w:rsidP="00DB6E47">
      <w:pPr>
        <w:pStyle w:val="aDef"/>
        <w:rPr>
          <w:bCs/>
        </w:rPr>
      </w:pPr>
      <w:r w:rsidRPr="00041046">
        <w:rPr>
          <w:rStyle w:val="charBoldItals"/>
        </w:rPr>
        <w:t>relevant police commissioner</w:t>
      </w:r>
      <w:r w:rsidRPr="00041046">
        <w:t>, in relation to a police officer, means the police commissioner for the police force or police service (however called) of which the police officer is a member.</w:t>
      </w:r>
    </w:p>
    <w:p w14:paraId="10A2970D" w14:textId="77777777" w:rsidR="00DB6E47" w:rsidRPr="00041046" w:rsidRDefault="00DB6E47" w:rsidP="00DB6E47">
      <w:pPr>
        <w:pStyle w:val="aDef"/>
        <w:rPr>
          <w:bCs/>
        </w:rPr>
      </w:pPr>
      <w:r w:rsidRPr="00041046">
        <w:rPr>
          <w:rStyle w:val="charBoldItals"/>
        </w:rPr>
        <w:t>relevant road manager</w:t>
      </w:r>
      <w:r w:rsidRPr="00041046">
        <w:t>, for a mass or dimension authority, means a road manager for a road in the area, or on the route, to which the authority applies.</w:t>
      </w:r>
    </w:p>
    <w:p w14:paraId="488991AF" w14:textId="77777777" w:rsidR="00DB6E47" w:rsidRPr="00041046" w:rsidRDefault="00DB6E47" w:rsidP="00DB6E47">
      <w:pPr>
        <w:pStyle w:val="aDef"/>
        <w:rPr>
          <w:bCs/>
        </w:rPr>
      </w:pPr>
      <w:r w:rsidRPr="00041046">
        <w:rPr>
          <w:rStyle w:val="charBoldItals"/>
        </w:rPr>
        <w:t>relevant standards and business rules</w:t>
      </w:r>
      <w:r w:rsidRPr="00041046">
        <w:t>, for the purposes of Chapter</w:t>
      </w:r>
      <w:r w:rsidR="002D38A4">
        <w:t> </w:t>
      </w:r>
      <w:r w:rsidRPr="00041046">
        <w:t>8, has the meaning given by section 457.</w:t>
      </w:r>
    </w:p>
    <w:p w14:paraId="60A6B6BF" w14:textId="77777777" w:rsidR="00DB6E47" w:rsidRDefault="00DB6E47" w:rsidP="00DB6E47">
      <w:pPr>
        <w:pStyle w:val="aDef"/>
      </w:pPr>
      <w:r w:rsidRPr="00041046">
        <w:rPr>
          <w:rStyle w:val="charBoldItals"/>
        </w:rPr>
        <w:t>relevant tribunal or court</w:t>
      </w:r>
      <w:r w:rsidRPr="00041046">
        <w:t>, for a participating jurisdiction, means a tribunal or court that is declared by a law of that jurisdiction to be the relevant tribunal or court for that jurisdiction for the purposes of this Law.</w:t>
      </w:r>
    </w:p>
    <w:p w14:paraId="76BDA4DC" w14:textId="77777777" w:rsidR="00155EA2" w:rsidRPr="00041046" w:rsidRDefault="00155EA2" w:rsidP="00DB6E47">
      <w:pPr>
        <w:pStyle w:val="aDef"/>
        <w:rPr>
          <w:bCs/>
        </w:rPr>
      </w:pPr>
      <w:r w:rsidRPr="00155EA2">
        <w:rPr>
          <w:rStyle w:val="charBoldItals"/>
        </w:rPr>
        <w:t>residence</w:t>
      </w:r>
      <w:r>
        <w:rPr>
          <w:b/>
          <w:i/>
          <w:spacing w:val="-1"/>
        </w:rPr>
        <w:t>,</w:t>
      </w:r>
      <w:r>
        <w:rPr>
          <w:b/>
          <w:i/>
          <w:spacing w:val="36"/>
        </w:rPr>
        <w:t xml:space="preserve"> </w:t>
      </w:r>
      <w:r>
        <w:rPr>
          <w:spacing w:val="-1"/>
        </w:rPr>
        <w:t>for</w:t>
      </w:r>
      <w:r>
        <w:rPr>
          <w:spacing w:val="35"/>
        </w:rPr>
        <w:t xml:space="preserve"> </w:t>
      </w:r>
      <w:r>
        <w:t>the</w:t>
      </w:r>
      <w:r>
        <w:rPr>
          <w:spacing w:val="35"/>
        </w:rPr>
        <w:t xml:space="preserve"> </w:t>
      </w:r>
      <w:r>
        <w:t>purposes</w:t>
      </w:r>
      <w:r>
        <w:rPr>
          <w:spacing w:val="35"/>
        </w:rPr>
        <w:t xml:space="preserve"> </w:t>
      </w:r>
      <w:r>
        <w:rPr>
          <w:spacing w:val="-1"/>
        </w:rPr>
        <w:t>of</w:t>
      </w:r>
      <w:r>
        <w:rPr>
          <w:spacing w:val="36"/>
        </w:rPr>
        <w:t xml:space="preserve"> </w:t>
      </w:r>
      <w:r>
        <w:rPr>
          <w:spacing w:val="-1"/>
        </w:rPr>
        <w:t>Part</w:t>
      </w:r>
      <w:r>
        <w:rPr>
          <w:spacing w:val="35"/>
        </w:rPr>
        <w:t xml:space="preserve"> </w:t>
      </w:r>
      <w:r>
        <w:t>9.2,</w:t>
      </w:r>
      <w:r>
        <w:rPr>
          <w:spacing w:val="35"/>
        </w:rPr>
        <w:t xml:space="preserve"> </w:t>
      </w:r>
      <w:r>
        <w:t>has</w:t>
      </w:r>
      <w:r>
        <w:rPr>
          <w:spacing w:val="35"/>
        </w:rPr>
        <w:t xml:space="preserve"> </w:t>
      </w:r>
      <w:r>
        <w:t>the</w:t>
      </w:r>
      <w:r>
        <w:rPr>
          <w:spacing w:val="23"/>
        </w:rPr>
        <w:t xml:space="preserve"> </w:t>
      </w:r>
      <w:r>
        <w:t>meaning</w:t>
      </w:r>
      <w:r>
        <w:rPr>
          <w:spacing w:val="-1"/>
        </w:rPr>
        <w:t xml:space="preserve"> </w:t>
      </w:r>
      <w:r>
        <w:rPr>
          <w:spacing w:val="-2"/>
        </w:rPr>
        <w:t>given</w:t>
      </w:r>
      <w:r>
        <w:rPr>
          <w:spacing w:val="-1"/>
        </w:rPr>
        <w:t xml:space="preserve"> </w:t>
      </w:r>
      <w:r>
        <w:t>by</w:t>
      </w:r>
      <w:r>
        <w:rPr>
          <w:spacing w:val="-1"/>
        </w:rPr>
        <w:t xml:space="preserve"> </w:t>
      </w:r>
      <w:r>
        <w:t>section</w:t>
      </w:r>
      <w:r>
        <w:rPr>
          <w:spacing w:val="-1"/>
        </w:rPr>
        <w:t> 494(1).</w:t>
      </w:r>
    </w:p>
    <w:p w14:paraId="646A8634" w14:textId="77777777" w:rsidR="00DB6E47" w:rsidRPr="00041046" w:rsidRDefault="00DB6E47" w:rsidP="00DB6E47">
      <w:pPr>
        <w:pStyle w:val="aDef"/>
        <w:rPr>
          <w:bCs/>
        </w:rPr>
      </w:pPr>
      <w:r w:rsidRPr="00041046">
        <w:rPr>
          <w:rStyle w:val="charBoldItals"/>
        </w:rPr>
        <w:t>responsible entity</w:t>
      </w:r>
      <w:r w:rsidRPr="00041046">
        <w:t>, for a freight container, means—</w:t>
      </w:r>
    </w:p>
    <w:p w14:paraId="65AB6383" w14:textId="77777777" w:rsidR="00DB6E47" w:rsidRPr="00F04D8E" w:rsidRDefault="00DB6E47" w:rsidP="00DB6E47">
      <w:pPr>
        <w:pStyle w:val="aDefpara"/>
      </w:pPr>
      <w:r w:rsidRPr="00F04D8E">
        <w:rPr>
          <w:rFonts w:cs="Times"/>
          <w:bCs/>
        </w:rPr>
        <w:tab/>
        <w:t>(a)</w:t>
      </w:r>
      <w:r w:rsidRPr="00F04D8E">
        <w:rPr>
          <w:rFonts w:cs="Times"/>
          <w:bCs/>
        </w:rPr>
        <w:tab/>
        <w:t>the person who, in Australia, consigned the container for road transport using a heavy vehicle; or</w:t>
      </w:r>
    </w:p>
    <w:p w14:paraId="7B1584A2" w14:textId="77777777" w:rsidR="00DB6E47" w:rsidRPr="00F04D8E" w:rsidRDefault="00DB6E47" w:rsidP="00DB6E47">
      <w:pPr>
        <w:pStyle w:val="aDefpara"/>
      </w:pPr>
      <w:r w:rsidRPr="00F04D8E">
        <w:tab/>
        <w:t>(b)</w:t>
      </w:r>
      <w:r w:rsidRPr="00F04D8E">
        <w:tab/>
        <w:t>if there is no person as described in paragraph (a)—the person who, in Australia, for a consignor, arranged for the container’s road transport using a heavy vehicle; or</w:t>
      </w:r>
    </w:p>
    <w:p w14:paraId="038E3836" w14:textId="77777777" w:rsidR="00DB6E47" w:rsidRPr="00F04D8E" w:rsidRDefault="00DB6E47" w:rsidP="00DB6E47">
      <w:pPr>
        <w:pStyle w:val="aDefpara"/>
      </w:pPr>
      <w:r w:rsidRPr="00F04D8E">
        <w:lastRenderedPageBreak/>
        <w:tab/>
        <w:t>(c)</w:t>
      </w:r>
      <w:r w:rsidRPr="00F04D8E">
        <w:tab/>
        <w:t>if there is no p</w:t>
      </w:r>
      <w:r w:rsidR="00740102">
        <w:t xml:space="preserve">erson as described in paragraph </w:t>
      </w:r>
      <w:r w:rsidRPr="00F04D8E">
        <w:t>(a)</w:t>
      </w:r>
      <w:r w:rsidR="00740102">
        <w:t xml:space="preserve"> </w:t>
      </w:r>
      <w:r w:rsidRPr="00F04D8E">
        <w:t>or (b)—the person who, in Australia, physically offered the container for road transport using a heavy vehicle.</w:t>
      </w:r>
    </w:p>
    <w:p w14:paraId="020F1EC0" w14:textId="77777777" w:rsidR="00DB6E47" w:rsidRPr="00041046" w:rsidRDefault="00DB6E47" w:rsidP="00DB6E47">
      <w:pPr>
        <w:pStyle w:val="aDef"/>
        <w:rPr>
          <w:bCs/>
        </w:rPr>
      </w:pPr>
      <w:r w:rsidRPr="00041046">
        <w:rPr>
          <w:rStyle w:val="charBoldItals"/>
        </w:rPr>
        <w:t>responsible Minister</w:t>
      </w:r>
      <w:r w:rsidRPr="00041046">
        <w:t>, for a participating jurisdiction, means the Minister of that jurisdiction nominated by it as its responsible Minister for the purposes of this Law.</w:t>
      </w:r>
    </w:p>
    <w:p w14:paraId="191B68E5" w14:textId="77777777" w:rsidR="00DB6E47" w:rsidRPr="00041046" w:rsidRDefault="00DB6E47" w:rsidP="00554988">
      <w:pPr>
        <w:pStyle w:val="aDef"/>
        <w:keepNext/>
        <w:rPr>
          <w:bCs/>
        </w:rPr>
      </w:pPr>
      <w:r w:rsidRPr="00041046">
        <w:rPr>
          <w:rStyle w:val="charBoldItals"/>
        </w:rPr>
        <w:t>responsible Ministers</w:t>
      </w:r>
      <w:r w:rsidRPr="00041046">
        <w:t xml:space="preserve"> means a group of Ministers consisting of—</w:t>
      </w:r>
    </w:p>
    <w:p w14:paraId="4B93D510" w14:textId="77777777" w:rsidR="00DB6E47" w:rsidRPr="00F04D8E" w:rsidRDefault="00DB6E47" w:rsidP="00DB6E47">
      <w:pPr>
        <w:pStyle w:val="aDefpara"/>
      </w:pPr>
      <w:r w:rsidRPr="00F04D8E">
        <w:rPr>
          <w:rFonts w:cs="Times"/>
          <w:bCs/>
        </w:rPr>
        <w:tab/>
        <w:t>(a)</w:t>
      </w:r>
      <w:r w:rsidRPr="00F04D8E">
        <w:rPr>
          <w:rFonts w:cs="Times"/>
          <w:bCs/>
        </w:rPr>
        <w:tab/>
        <w:t>the responsible Minister for each participating jurisdiction; and</w:t>
      </w:r>
    </w:p>
    <w:p w14:paraId="01619651" w14:textId="77777777" w:rsidR="00DB6E47" w:rsidRPr="00F04D8E" w:rsidRDefault="00DB6E47" w:rsidP="00DB6E47">
      <w:pPr>
        <w:pStyle w:val="aDefpara"/>
      </w:pPr>
      <w:r w:rsidRPr="00F04D8E">
        <w:tab/>
        <w:t>(b)</w:t>
      </w:r>
      <w:r w:rsidRPr="00F04D8E">
        <w:tab/>
        <w:t>the Commonwealth responsible Minister.</w:t>
      </w:r>
    </w:p>
    <w:p w14:paraId="17D04A31" w14:textId="77777777" w:rsidR="00DB6E47" w:rsidRPr="007E1F9A" w:rsidRDefault="00DB6E47" w:rsidP="00DB6E47">
      <w:pPr>
        <w:pStyle w:val="aNote"/>
      </w:pPr>
      <w:r w:rsidRPr="00FF4454">
        <w:rPr>
          <w:rStyle w:val="charItals"/>
        </w:rPr>
        <w:t>Note</w:t>
      </w:r>
      <w:r w:rsidRPr="00C96203">
        <w:rPr>
          <w:rFonts w:cs="Times"/>
          <w:bCs/>
        </w:rPr>
        <w:t>—</w:t>
      </w:r>
    </w:p>
    <w:p w14:paraId="2CBAE616" w14:textId="77777777" w:rsidR="00DB6E47" w:rsidRPr="007E1F9A" w:rsidRDefault="00DB6E47" w:rsidP="00DB6E47">
      <w:pPr>
        <w:pStyle w:val="aNoteTextss"/>
      </w:pPr>
      <w:r w:rsidRPr="007E1F9A">
        <w:t>See also section 655(3).</w:t>
      </w:r>
    </w:p>
    <w:p w14:paraId="1919A662" w14:textId="77777777" w:rsidR="00DB6E47" w:rsidRPr="00041046" w:rsidRDefault="00DB6E47" w:rsidP="00DB6E47">
      <w:pPr>
        <w:pStyle w:val="aDef"/>
        <w:rPr>
          <w:bCs/>
        </w:rPr>
      </w:pPr>
      <w:r w:rsidRPr="00041046">
        <w:rPr>
          <w:rStyle w:val="charBoldItals"/>
        </w:rPr>
        <w:t>responsible person</w:t>
      </w:r>
      <w:r w:rsidRPr="00041046">
        <w:t>, for a heavy vehicle, means a person having, at a relevant time, a role or responsibility associated with road transport using the vehicle, and includes any of the following—</w:t>
      </w:r>
    </w:p>
    <w:p w14:paraId="0810CB45" w14:textId="77777777" w:rsidR="00DB6E47" w:rsidRPr="00F04D8E" w:rsidRDefault="00DB6E47" w:rsidP="00DB6E47">
      <w:pPr>
        <w:pStyle w:val="aDefpara"/>
      </w:pPr>
      <w:r w:rsidRPr="00F04D8E">
        <w:rPr>
          <w:rFonts w:cs="Times"/>
          <w:bCs/>
        </w:rPr>
        <w:tab/>
        <w:t>(a)</w:t>
      </w:r>
      <w:r w:rsidRPr="00F04D8E">
        <w:rPr>
          <w:rFonts w:cs="Times"/>
          <w:bCs/>
        </w:rPr>
        <w:tab/>
        <w:t>an owner of the vehicle or, if it is a combination, an owner of a heavy vehicle forming part of the combination;</w:t>
      </w:r>
    </w:p>
    <w:p w14:paraId="0752C0BE" w14:textId="77777777" w:rsidR="00DB6E47" w:rsidRPr="00F04D8E" w:rsidRDefault="00DB6E47" w:rsidP="00DB6E47">
      <w:pPr>
        <w:pStyle w:val="aDefpara"/>
      </w:pPr>
      <w:r w:rsidRPr="00F04D8E">
        <w:tab/>
        <w:t>(b)</w:t>
      </w:r>
      <w:r w:rsidRPr="00F04D8E">
        <w:tab/>
        <w:t xml:space="preserve">the vehicle’s driver; </w:t>
      </w:r>
    </w:p>
    <w:p w14:paraId="0CB8EA5E" w14:textId="77777777" w:rsidR="00DB6E47" w:rsidRPr="00F04D8E" w:rsidRDefault="00DB6E47" w:rsidP="00DB6E47">
      <w:pPr>
        <w:pStyle w:val="aDefpara"/>
      </w:pPr>
      <w:r w:rsidRPr="00F04D8E">
        <w:tab/>
        <w:t>(c)</w:t>
      </w:r>
      <w:r w:rsidRPr="00F04D8E">
        <w:tab/>
        <w:t>an operator or registered operator of the vehicle or, if it is a combination, an operator or registered operator of a heavy vehicle forming part of the combination;</w:t>
      </w:r>
    </w:p>
    <w:p w14:paraId="2D03CFDC" w14:textId="77777777" w:rsidR="00DB6E47" w:rsidRPr="00F04D8E" w:rsidRDefault="00DB6E47" w:rsidP="00DB6E47">
      <w:pPr>
        <w:pStyle w:val="aDefpara"/>
      </w:pPr>
      <w:r w:rsidRPr="00F04D8E">
        <w:tab/>
        <w:t>(d)</w:t>
      </w:r>
      <w:r w:rsidRPr="00F04D8E">
        <w:tab/>
        <w:t>a person in charge or apparently in charge of—</w:t>
      </w:r>
    </w:p>
    <w:p w14:paraId="0649F37E" w14:textId="77777777" w:rsidR="00DB6E47" w:rsidRPr="00F04D8E" w:rsidRDefault="00DB6E47" w:rsidP="00DB6E47">
      <w:pPr>
        <w:pStyle w:val="aDefsubpara"/>
      </w:pPr>
      <w:r w:rsidRPr="00F04D8E">
        <w:tab/>
        <w:t>(i)</w:t>
      </w:r>
      <w:r w:rsidRPr="00F04D8E">
        <w:tab/>
        <w:t>the vehicle; or</w:t>
      </w:r>
    </w:p>
    <w:p w14:paraId="5E0EEC52" w14:textId="77777777" w:rsidR="00DB6E47" w:rsidRPr="00F04D8E" w:rsidRDefault="00DB6E47" w:rsidP="00DB6E47">
      <w:pPr>
        <w:pStyle w:val="aDefsubpara"/>
      </w:pPr>
      <w:r w:rsidRPr="00F04D8E">
        <w:tab/>
        <w:t>(ii)</w:t>
      </w:r>
      <w:r w:rsidRPr="00F04D8E">
        <w:tab/>
        <w:t>the vehicle’s garage address or, if it is a combination, the garage address of a heavy vehicle forming part of the combination; or</w:t>
      </w:r>
    </w:p>
    <w:p w14:paraId="7D8CE92E" w14:textId="77777777" w:rsidR="00DB6E47" w:rsidRPr="00F04D8E" w:rsidRDefault="00DB6E47" w:rsidP="00DB6E47">
      <w:pPr>
        <w:pStyle w:val="aDefsubpara"/>
      </w:pPr>
      <w:r w:rsidRPr="00F04D8E">
        <w:tab/>
        <w:t>(iii)</w:t>
      </w:r>
      <w:r w:rsidRPr="00F04D8E">
        <w:tab/>
        <w:t>a base of the vehicle’s driver;</w:t>
      </w:r>
    </w:p>
    <w:p w14:paraId="21DA74B6" w14:textId="77777777" w:rsidR="00DB6E47" w:rsidRPr="00F04D8E" w:rsidRDefault="00DB6E47" w:rsidP="00CA041D">
      <w:pPr>
        <w:pStyle w:val="aDefpara"/>
        <w:keepLines/>
      </w:pPr>
      <w:r w:rsidRPr="00F04D8E">
        <w:lastRenderedPageBreak/>
        <w:tab/>
        <w:t>(e)</w:t>
      </w:r>
      <w:r w:rsidRPr="00F04D8E">
        <w:tab/>
        <w:t>a person appointed under a heavy vehicle accreditation to have monitoring or other responsibilities under the accreditation, including, for example, responsibilities for certifying, monitoring or approving the use of heavy vehicles under the accreditation;</w:t>
      </w:r>
    </w:p>
    <w:p w14:paraId="54BC2C47" w14:textId="77777777" w:rsidR="00DB6E47" w:rsidRPr="00F04D8E" w:rsidRDefault="00DB6E47" w:rsidP="00DB6E47">
      <w:pPr>
        <w:pStyle w:val="aDefpara"/>
      </w:pPr>
      <w:r w:rsidRPr="00F04D8E">
        <w:tab/>
        <w:t>(f)</w:t>
      </w:r>
      <w:r w:rsidRPr="00F04D8E">
        <w:tab/>
        <w:t>a person who provides to an owner or registered operator of the vehicle or, if it is a combination, an owner or registered operator of a heavy vehicle forming part of the combination, an intelligent transport system for the vehicle;</w:t>
      </w:r>
    </w:p>
    <w:p w14:paraId="51FB888B" w14:textId="77777777" w:rsidR="00DB6E47" w:rsidRPr="00F04D8E" w:rsidRDefault="00DB6E47" w:rsidP="00DB6E47">
      <w:pPr>
        <w:pStyle w:val="aDefpara"/>
      </w:pPr>
      <w:r w:rsidRPr="00F04D8E">
        <w:tab/>
        <w:t>(g)</w:t>
      </w:r>
      <w:r w:rsidRPr="00F04D8E">
        <w:tab/>
        <w:t>a person in charge of a place entered by an authorised officer under this Law for the purpose of exercising a power under this Law;</w:t>
      </w:r>
    </w:p>
    <w:p w14:paraId="39B213CA" w14:textId="77777777" w:rsidR="00DB6E47" w:rsidRPr="00F04D8E" w:rsidRDefault="00DB6E47" w:rsidP="00DB6E47">
      <w:pPr>
        <w:pStyle w:val="aDefpara"/>
      </w:pPr>
      <w:r w:rsidRPr="00F04D8E">
        <w:tab/>
        <w:t>(h)</w:t>
      </w:r>
      <w:r w:rsidRPr="00F04D8E">
        <w:tab/>
        <w:t>a consignor of goods for road transport;</w:t>
      </w:r>
    </w:p>
    <w:p w14:paraId="7FADF74F" w14:textId="77777777" w:rsidR="00DB6E47" w:rsidRPr="00F04D8E" w:rsidRDefault="00DB6E47" w:rsidP="00DB6E47">
      <w:pPr>
        <w:pStyle w:val="aDefpara"/>
      </w:pPr>
      <w:r w:rsidRPr="00F04D8E">
        <w:tab/>
        <w:t>(i)</w:t>
      </w:r>
      <w:r w:rsidRPr="00F04D8E">
        <w:tab/>
        <w:t>a packer of goods in a freight container or other container or in a package or on a pallet for road transport;</w:t>
      </w:r>
    </w:p>
    <w:p w14:paraId="4FF5841D" w14:textId="77777777" w:rsidR="00DB6E47" w:rsidRPr="00F04D8E" w:rsidRDefault="00DB6E47" w:rsidP="00DB6E47">
      <w:pPr>
        <w:pStyle w:val="aDefpara"/>
      </w:pPr>
      <w:r w:rsidRPr="00F04D8E">
        <w:tab/>
        <w:t>(j)</w:t>
      </w:r>
      <w:r w:rsidRPr="00F04D8E">
        <w:tab/>
        <w:t>a person who loads goods or a container for road transport;</w:t>
      </w:r>
    </w:p>
    <w:p w14:paraId="18DA3477" w14:textId="77777777" w:rsidR="00DB6E47" w:rsidRPr="00F04D8E" w:rsidRDefault="00DB6E47" w:rsidP="00DB6E47">
      <w:pPr>
        <w:pStyle w:val="aDefpara"/>
      </w:pPr>
      <w:r w:rsidRPr="00F04D8E">
        <w:tab/>
        <w:t>(k)</w:t>
      </w:r>
      <w:r w:rsidRPr="00F04D8E">
        <w:tab/>
        <w:t>a person who unloads goods or a container containing goods consigned for road transport;</w:t>
      </w:r>
    </w:p>
    <w:p w14:paraId="061B6A3D" w14:textId="77777777" w:rsidR="00DB6E47" w:rsidRPr="00F04D8E" w:rsidRDefault="00DB6E47" w:rsidP="00DB6E47">
      <w:pPr>
        <w:pStyle w:val="aDefpara"/>
      </w:pPr>
      <w:r w:rsidRPr="00F04D8E">
        <w:tab/>
        <w:t>(l)</w:t>
      </w:r>
      <w:r w:rsidRPr="00F04D8E">
        <w:tab/>
        <w:t>a person to whom goods are consigned for road transport;</w:t>
      </w:r>
    </w:p>
    <w:p w14:paraId="64C751B1" w14:textId="77777777" w:rsidR="00DB6E47" w:rsidRPr="00F04D8E" w:rsidRDefault="00DB6E47" w:rsidP="00DB6E47">
      <w:pPr>
        <w:pStyle w:val="aDefpara"/>
      </w:pPr>
      <w:r w:rsidRPr="00F04D8E">
        <w:tab/>
        <w:t>(m)</w:t>
      </w:r>
      <w:r w:rsidRPr="00F04D8E">
        <w:tab/>
        <w:t>a person who receives goods packed outside Australia in a freight container or other container or on a pallet for road transport in Australia;</w:t>
      </w:r>
    </w:p>
    <w:p w14:paraId="4D95E198" w14:textId="77777777" w:rsidR="00DB6E47" w:rsidRPr="00F04D8E" w:rsidRDefault="00DB6E47" w:rsidP="00DB6E47">
      <w:pPr>
        <w:pStyle w:val="aDefpara"/>
      </w:pPr>
      <w:r w:rsidRPr="00F04D8E">
        <w:tab/>
        <w:t>(n)</w:t>
      </w:r>
      <w:r w:rsidRPr="00F04D8E">
        <w:tab/>
        <w:t>an owner or operator of a weighbridge or weighing facility used to weigh the vehicle, or an occupier of the place where the weighbridge or weighing facility is located;</w:t>
      </w:r>
    </w:p>
    <w:p w14:paraId="09FC6C73" w14:textId="77777777" w:rsidR="00DB6E47" w:rsidRPr="00F04D8E" w:rsidRDefault="00DB6E47" w:rsidP="00DB6E47">
      <w:pPr>
        <w:pStyle w:val="aDefpara"/>
      </w:pPr>
      <w:r w:rsidRPr="00F04D8E">
        <w:tab/>
        <w:t>(o)</w:t>
      </w:r>
      <w:r w:rsidRPr="00F04D8E">
        <w:tab/>
        <w:t>a responsible entity for a freight container on the vehicle;</w:t>
      </w:r>
    </w:p>
    <w:p w14:paraId="33D91E4B" w14:textId="77777777" w:rsidR="00DB6E47" w:rsidRPr="00F04D8E" w:rsidRDefault="00DB6E47" w:rsidP="00DB6E47">
      <w:pPr>
        <w:pStyle w:val="aDefpara"/>
      </w:pPr>
      <w:r w:rsidRPr="00F04D8E">
        <w:tab/>
        <w:t>(p)</w:t>
      </w:r>
      <w:r w:rsidRPr="00F04D8E">
        <w:tab/>
        <w:t>a loading manager for goods in heavy vehicles for road transport or another person who controls or directly influences the loading of goods for road transport;</w:t>
      </w:r>
    </w:p>
    <w:p w14:paraId="2B6BE4A9" w14:textId="77777777" w:rsidR="00DB6E47" w:rsidRPr="00F04D8E" w:rsidRDefault="00DB6E47" w:rsidP="00DB6E47">
      <w:pPr>
        <w:pStyle w:val="aDefpara"/>
      </w:pPr>
      <w:r w:rsidRPr="00F04D8E">
        <w:lastRenderedPageBreak/>
        <w:tab/>
        <w:t>(q)</w:t>
      </w:r>
      <w:r w:rsidRPr="00F04D8E">
        <w:tab/>
        <w:t>a scheduler for the vehicle;</w:t>
      </w:r>
    </w:p>
    <w:p w14:paraId="652FF0D3" w14:textId="77777777" w:rsidR="00DB6E47" w:rsidRPr="00F04D8E" w:rsidRDefault="00DB6E47" w:rsidP="00DB6E47">
      <w:pPr>
        <w:pStyle w:val="aDefpara"/>
      </w:pPr>
      <w:r w:rsidRPr="00F04D8E">
        <w:tab/>
        <w:t>(r)</w:t>
      </w:r>
      <w:r w:rsidRPr="00F04D8E">
        <w:tab/>
        <w:t>an employer, employee, agent or subcontractor of a person</w:t>
      </w:r>
      <w:r w:rsidR="00740102">
        <w:t xml:space="preserve"> mentioned in any of paragraphs </w:t>
      </w:r>
      <w:r w:rsidRPr="00F04D8E">
        <w:t>(a)</w:t>
      </w:r>
      <w:r w:rsidR="00740102">
        <w:t xml:space="preserve"> </w:t>
      </w:r>
      <w:r w:rsidRPr="00F04D8E">
        <w:t>to (q).</w:t>
      </w:r>
    </w:p>
    <w:p w14:paraId="7B36A8CA" w14:textId="77777777" w:rsidR="00DB6E47" w:rsidRPr="00041046" w:rsidRDefault="00DB6E47" w:rsidP="00DB6E47">
      <w:pPr>
        <w:pStyle w:val="aDef"/>
        <w:rPr>
          <w:bCs/>
        </w:rPr>
      </w:pPr>
      <w:r w:rsidRPr="00041046">
        <w:rPr>
          <w:rStyle w:val="charBoldItals"/>
        </w:rPr>
        <w:t>rest</w:t>
      </w:r>
      <w:r w:rsidRPr="00041046">
        <w:t>, in relation to a fatigue-regulated heavy vehicle, has the meaning given by section 221.</w:t>
      </w:r>
    </w:p>
    <w:p w14:paraId="7AF63AED" w14:textId="77777777" w:rsidR="00DB6E47" w:rsidRPr="00041046" w:rsidRDefault="00DB6E47" w:rsidP="00DB6E47">
      <w:pPr>
        <w:pStyle w:val="aDef"/>
        <w:rPr>
          <w:bCs/>
        </w:rPr>
      </w:pPr>
      <w:r w:rsidRPr="00041046">
        <w:rPr>
          <w:rStyle w:val="charBoldItals"/>
        </w:rPr>
        <w:t>rest time</w:t>
      </w:r>
      <w:r w:rsidRPr="00041046">
        <w:t>, for the purposes of Chapter 6, has the meaning given by section 221.</w:t>
      </w:r>
    </w:p>
    <w:p w14:paraId="533F8584" w14:textId="77777777" w:rsidR="00DB6E47" w:rsidRPr="00041046" w:rsidRDefault="00DB6E47" w:rsidP="00CF52C7">
      <w:pPr>
        <w:pStyle w:val="aDef"/>
        <w:keepNext/>
        <w:rPr>
          <w:bCs/>
        </w:rPr>
      </w:pPr>
      <w:r w:rsidRPr="00041046">
        <w:rPr>
          <w:rStyle w:val="charBoldItals"/>
        </w:rPr>
        <w:t>review and appeal information</w:t>
      </w:r>
      <w:r w:rsidRPr="00041046">
        <w:t>—</w:t>
      </w:r>
    </w:p>
    <w:p w14:paraId="46F1F6B0" w14:textId="77777777" w:rsidR="00DB6E47" w:rsidRPr="00F04D8E" w:rsidRDefault="00DB6E47" w:rsidP="00DB6E47">
      <w:pPr>
        <w:pStyle w:val="aDefpara"/>
      </w:pPr>
      <w:r w:rsidRPr="00F04D8E">
        <w:rPr>
          <w:rFonts w:cs="Times"/>
          <w:bCs/>
        </w:rPr>
        <w:tab/>
        <w:t>(a)</w:t>
      </w:r>
      <w:r w:rsidRPr="00F04D8E">
        <w:rPr>
          <w:rFonts w:cs="Times"/>
          <w:bCs/>
        </w:rPr>
        <w:tab/>
        <w:t>for a decision made by the Regulator or an authorised officer who is not a police officer, means the following information—</w:t>
      </w:r>
    </w:p>
    <w:p w14:paraId="4B91A0B1" w14:textId="77777777" w:rsidR="00DB6E47" w:rsidRPr="00F04D8E" w:rsidRDefault="00DB6E47" w:rsidP="00DB6E47">
      <w:pPr>
        <w:pStyle w:val="aDefsubpara"/>
      </w:pPr>
      <w:r w:rsidRPr="00F04D8E">
        <w:tab/>
        <w:t>(i)</w:t>
      </w:r>
      <w:r w:rsidRPr="00F04D8E">
        <w:tab/>
        <w:t>that, under section 641, a dissatisfied person for the decision may ask for the decision to be reviewed by the Regulator;</w:t>
      </w:r>
    </w:p>
    <w:p w14:paraId="2CCE8F94" w14:textId="77777777" w:rsidR="00DB6E47" w:rsidRPr="00F04D8E" w:rsidRDefault="00DB6E47" w:rsidP="00DB6E47">
      <w:pPr>
        <w:pStyle w:val="aDefsubpara"/>
      </w:pPr>
      <w:r w:rsidRPr="00F04D8E">
        <w:tab/>
        <w:t>(ii)</w:t>
      </w:r>
      <w:r w:rsidRPr="00F04D8E">
        <w:tab/>
        <w:t>that, under section 642, the person may apply for the decision to be stayed by a relevant tribunal or court unless the decision was made by the Regulator on the basis of a public safety ground;</w:t>
      </w:r>
    </w:p>
    <w:p w14:paraId="0B66DC1D" w14:textId="77777777" w:rsidR="00DB6E47" w:rsidRPr="00F04D8E" w:rsidRDefault="00DB6E47" w:rsidP="00DB6E47">
      <w:pPr>
        <w:pStyle w:val="aDefsubpara"/>
      </w:pPr>
      <w:r w:rsidRPr="00F04D8E">
        <w:tab/>
        <w:t>(iii)</w:t>
      </w:r>
      <w:r w:rsidRPr="00F04D8E">
        <w:tab/>
        <w:t>that, in relation to the Regulator’s decision on the review, the person may—</w:t>
      </w:r>
    </w:p>
    <w:p w14:paraId="0416F29F" w14:textId="77777777" w:rsidR="00DB6E47" w:rsidRPr="00F04D8E" w:rsidRDefault="00DB6E47" w:rsidP="00E13952">
      <w:pPr>
        <w:pStyle w:val="Asubsubpara"/>
      </w:pPr>
      <w:r w:rsidRPr="00F04D8E">
        <w:tab/>
        <w:t>(</w:t>
      </w:r>
      <w:r w:rsidR="00E13952">
        <w:t>A</w:t>
      </w:r>
      <w:r w:rsidRPr="00F04D8E">
        <w:t>)</w:t>
      </w:r>
      <w:r w:rsidRPr="00F04D8E">
        <w:tab/>
        <w:t>under section 647, appeal against the decision to a relevant tribunal or court; and</w:t>
      </w:r>
    </w:p>
    <w:p w14:paraId="7F666612" w14:textId="77777777" w:rsidR="00DB6E47" w:rsidRPr="00F04D8E" w:rsidRDefault="00DB6E47" w:rsidP="00E13952">
      <w:pPr>
        <w:pStyle w:val="Asubsubpara"/>
      </w:pPr>
      <w:r w:rsidRPr="00F04D8E">
        <w:tab/>
        <w:t>(</w:t>
      </w:r>
      <w:r w:rsidR="00E13952">
        <w:t>B</w:t>
      </w:r>
      <w:r w:rsidRPr="00F04D8E">
        <w:t>)</w:t>
      </w:r>
      <w:r w:rsidRPr="00F04D8E">
        <w:tab/>
        <w:t>under section 648, apply for the decision to be stayed by a relevant tribunal or court unless the reviewable decision to which the review decision relates was made by the Regulator on the basis of a public safety ground; and</w:t>
      </w:r>
    </w:p>
    <w:p w14:paraId="1666B61B" w14:textId="77777777" w:rsidR="00DB6E47" w:rsidRPr="00F04D8E" w:rsidRDefault="00DB6E47" w:rsidP="00CA041D">
      <w:pPr>
        <w:pStyle w:val="Apara"/>
        <w:keepNext/>
      </w:pPr>
      <w:r w:rsidRPr="00F04D8E">
        <w:lastRenderedPageBreak/>
        <w:tab/>
        <w:t>(</w:t>
      </w:r>
      <w:r w:rsidR="00026F11">
        <w:t>b</w:t>
      </w:r>
      <w:r w:rsidRPr="00F04D8E">
        <w:t>)</w:t>
      </w:r>
      <w:r w:rsidRPr="00F04D8E">
        <w:tab/>
        <w:t>for a decision made by a road manager (for a road) that is a public authority, means the following information—</w:t>
      </w:r>
    </w:p>
    <w:p w14:paraId="7D64DD22" w14:textId="77777777" w:rsidR="00DB6E47" w:rsidRPr="00F04D8E" w:rsidRDefault="00DB6E47" w:rsidP="00DB6E47">
      <w:pPr>
        <w:pStyle w:val="aDefsubpara"/>
      </w:pPr>
      <w:r w:rsidRPr="00F04D8E">
        <w:tab/>
        <w:t>(i)</w:t>
      </w:r>
      <w:r w:rsidRPr="00F04D8E">
        <w:tab/>
        <w:t>that, under section 641, a dissatisfied person for the decision may apply to the Regulator to have the decision reviewed;</w:t>
      </w:r>
    </w:p>
    <w:p w14:paraId="21844B74" w14:textId="77777777" w:rsidR="00DB6E47" w:rsidRPr="00F04D8E" w:rsidRDefault="00DB6E47" w:rsidP="00DB6E47">
      <w:pPr>
        <w:pStyle w:val="aDefsubpara"/>
      </w:pPr>
      <w:r w:rsidRPr="00F04D8E">
        <w:tab/>
        <w:t>(ii)</w:t>
      </w:r>
      <w:r w:rsidRPr="00F04D8E">
        <w:tab/>
        <w:t>that, under section 643, the Regulator must refer the application to the road manager for review;</w:t>
      </w:r>
    </w:p>
    <w:p w14:paraId="6B4F5C68" w14:textId="77777777" w:rsidR="00DB6E47" w:rsidRPr="00F04D8E" w:rsidRDefault="00DB6E47" w:rsidP="00DB6E47">
      <w:pPr>
        <w:pStyle w:val="aDefsubpara"/>
      </w:pPr>
      <w:r w:rsidRPr="00F04D8E">
        <w:tab/>
        <w:t>(iii)</w:t>
      </w:r>
      <w:r w:rsidRPr="00F04D8E">
        <w:tab/>
        <w:t>that the decision of the road manager on the review is not subject to further review or appeal under this Law; and</w:t>
      </w:r>
    </w:p>
    <w:p w14:paraId="5E98F59E" w14:textId="77777777" w:rsidR="00DB6E47" w:rsidRPr="00F04D8E" w:rsidRDefault="00DB6E47" w:rsidP="00CF52C7">
      <w:pPr>
        <w:pStyle w:val="aDefpara"/>
        <w:keepLines/>
      </w:pPr>
      <w:r w:rsidRPr="00F04D8E">
        <w:tab/>
        <w:t>(c)</w:t>
      </w:r>
      <w:r w:rsidRPr="00F04D8E">
        <w:tab/>
        <w:t>for a decision made by an authorised officer who is a police officer, or a road manager (for a road) that is not a public authority, means that the decision is not subject to review or appeal under this Law.</w:t>
      </w:r>
    </w:p>
    <w:p w14:paraId="2D13A7B5" w14:textId="77777777" w:rsidR="00DB6E47" w:rsidRPr="00041046" w:rsidRDefault="00DB6E47" w:rsidP="00DB6E47">
      <w:pPr>
        <w:pStyle w:val="aDef"/>
        <w:rPr>
          <w:bCs/>
        </w:rPr>
      </w:pPr>
      <w:r w:rsidRPr="00041046">
        <w:rPr>
          <w:rStyle w:val="charBoldItals"/>
        </w:rPr>
        <w:t>review application</w:t>
      </w:r>
      <w:r w:rsidRPr="00041046">
        <w:t>, for the purposes of Chapter 11, has the meaning given by section 640.</w:t>
      </w:r>
    </w:p>
    <w:p w14:paraId="6615A783" w14:textId="77777777" w:rsidR="00DB6E47" w:rsidRPr="00041046" w:rsidRDefault="00DB6E47" w:rsidP="00DB6E47">
      <w:pPr>
        <w:pStyle w:val="aDef"/>
        <w:rPr>
          <w:bCs/>
        </w:rPr>
      </w:pPr>
      <w:r w:rsidRPr="00041046">
        <w:rPr>
          <w:rStyle w:val="charBoldItals"/>
        </w:rPr>
        <w:t>review decision</w:t>
      </w:r>
      <w:r w:rsidRPr="00041046">
        <w:t>, for the purposes of Chapter 11, has the meaning given by section 640.</w:t>
      </w:r>
    </w:p>
    <w:p w14:paraId="67C847D8" w14:textId="77777777" w:rsidR="00DB6E47" w:rsidRPr="00041046" w:rsidRDefault="00DB6E47" w:rsidP="00DB6E47">
      <w:pPr>
        <w:pStyle w:val="aDef"/>
        <w:rPr>
          <w:bCs/>
        </w:rPr>
      </w:pPr>
      <w:r w:rsidRPr="00041046">
        <w:rPr>
          <w:rStyle w:val="charBoldItals"/>
        </w:rPr>
        <w:t>reviewable decision</w:t>
      </w:r>
      <w:r w:rsidRPr="00041046">
        <w:t xml:space="preserve"> has the meaning given by section 640.</w:t>
      </w:r>
    </w:p>
    <w:p w14:paraId="097921F5" w14:textId="77777777" w:rsidR="00DB6E47" w:rsidRPr="00041046" w:rsidRDefault="00DB6E47" w:rsidP="00DB6E47">
      <w:pPr>
        <w:pStyle w:val="aDef"/>
        <w:rPr>
          <w:bCs/>
        </w:rPr>
      </w:pPr>
      <w:r w:rsidRPr="00041046">
        <w:rPr>
          <w:rStyle w:val="charBoldItals"/>
        </w:rPr>
        <w:t>reviewer</w:t>
      </w:r>
      <w:r w:rsidRPr="00041046">
        <w:t>, for the purposes of Chapter 11, has the meaning given by section 640.</w:t>
      </w:r>
    </w:p>
    <w:p w14:paraId="07186A7B" w14:textId="77777777" w:rsidR="00DB6E47" w:rsidRPr="00041046" w:rsidRDefault="00DB6E47" w:rsidP="00DB6E47">
      <w:pPr>
        <w:pStyle w:val="aDef"/>
        <w:rPr>
          <w:bCs/>
        </w:rPr>
      </w:pPr>
      <w:r w:rsidRPr="00041046">
        <w:rPr>
          <w:rStyle w:val="charBoldItals"/>
        </w:rPr>
        <w:t>rigid</w:t>
      </w:r>
      <w:r w:rsidRPr="00041046">
        <w:t xml:space="preserve">, other than in the definition </w:t>
      </w:r>
      <w:r w:rsidRPr="00041046">
        <w:rPr>
          <w:iCs/>
        </w:rPr>
        <w:t>articulated bus</w:t>
      </w:r>
      <w:r w:rsidRPr="00041046">
        <w:t>, means not articulated.</w:t>
      </w:r>
    </w:p>
    <w:p w14:paraId="4EB9A62F" w14:textId="77777777" w:rsidR="00DB6E47" w:rsidRPr="00041046" w:rsidRDefault="00DB6E47" w:rsidP="00DB6E47">
      <w:pPr>
        <w:pStyle w:val="aDef"/>
        <w:rPr>
          <w:bCs/>
        </w:rPr>
      </w:pPr>
      <w:r w:rsidRPr="00041046">
        <w:rPr>
          <w:rStyle w:val="charBoldItals"/>
        </w:rPr>
        <w:t>risk category</w:t>
      </w:r>
      <w:r w:rsidRPr="00041046">
        <w:t>—</w:t>
      </w:r>
    </w:p>
    <w:p w14:paraId="43292713" w14:textId="77777777" w:rsidR="00DB6E47" w:rsidRPr="00F04D8E" w:rsidRDefault="00DB6E47" w:rsidP="00DB6E47">
      <w:pPr>
        <w:pStyle w:val="aDefpara"/>
      </w:pPr>
      <w:r w:rsidRPr="00F04D8E">
        <w:rPr>
          <w:rFonts w:cs="Times"/>
          <w:bCs/>
        </w:rPr>
        <w:tab/>
        <w:t>(a)</w:t>
      </w:r>
      <w:r w:rsidRPr="00F04D8E">
        <w:rPr>
          <w:rFonts w:cs="Times"/>
          <w:bCs/>
        </w:rPr>
        <w:tab/>
        <w:t>for a contravention of a mass, dimension or loading requirement, means 1 of the following categories—</w:t>
      </w:r>
    </w:p>
    <w:p w14:paraId="1CCCE11E" w14:textId="77777777" w:rsidR="00DB6E47" w:rsidRPr="00F04D8E" w:rsidRDefault="00DB6E47" w:rsidP="00DB6E47">
      <w:pPr>
        <w:pStyle w:val="aDefsubpara"/>
      </w:pPr>
      <w:r w:rsidRPr="00F04D8E">
        <w:tab/>
        <w:t>(i)</w:t>
      </w:r>
      <w:r w:rsidRPr="00F04D8E">
        <w:tab/>
        <w:t>minor risk breach;</w:t>
      </w:r>
    </w:p>
    <w:p w14:paraId="7AE4EDDF" w14:textId="77777777" w:rsidR="00DB6E47" w:rsidRPr="00F04D8E" w:rsidRDefault="00DB6E47" w:rsidP="00DB6E47">
      <w:pPr>
        <w:pStyle w:val="aDefsubpara"/>
      </w:pPr>
      <w:r w:rsidRPr="00F04D8E">
        <w:tab/>
        <w:t>(ii)</w:t>
      </w:r>
      <w:r w:rsidRPr="00F04D8E">
        <w:tab/>
        <w:t>substantial risk breach;</w:t>
      </w:r>
    </w:p>
    <w:p w14:paraId="3B868A22" w14:textId="77777777" w:rsidR="00DB6E47" w:rsidRPr="00F04D8E" w:rsidRDefault="00DB6E47" w:rsidP="00DB6E47">
      <w:pPr>
        <w:pStyle w:val="aDefsubpara"/>
      </w:pPr>
      <w:r w:rsidRPr="00F04D8E">
        <w:tab/>
        <w:t>(iii)</w:t>
      </w:r>
      <w:r w:rsidRPr="00F04D8E">
        <w:tab/>
        <w:t>severe risk breach; or</w:t>
      </w:r>
    </w:p>
    <w:p w14:paraId="336E1996" w14:textId="77777777" w:rsidR="00DB6E47" w:rsidRPr="00F04D8E" w:rsidRDefault="00DB6E47" w:rsidP="00DB6E47">
      <w:pPr>
        <w:pStyle w:val="aDefpara"/>
      </w:pPr>
      <w:r w:rsidRPr="00F04D8E">
        <w:lastRenderedPageBreak/>
        <w:tab/>
        <w:t>(b)</w:t>
      </w:r>
      <w:r w:rsidRPr="00F04D8E">
        <w:tab/>
        <w:t>for a contravention of a maximum work requirement or minimum rest requirement, means 1 of the following categories—</w:t>
      </w:r>
    </w:p>
    <w:p w14:paraId="21D8642A" w14:textId="77777777" w:rsidR="00DB6E47" w:rsidRPr="00F04D8E" w:rsidRDefault="00DB6E47" w:rsidP="00DB6E47">
      <w:pPr>
        <w:pStyle w:val="aDefsubpara"/>
      </w:pPr>
      <w:r w:rsidRPr="00F04D8E">
        <w:tab/>
        <w:t>(i)</w:t>
      </w:r>
      <w:r w:rsidRPr="00F04D8E">
        <w:tab/>
        <w:t>minor risk breach;</w:t>
      </w:r>
    </w:p>
    <w:p w14:paraId="05875C7A" w14:textId="77777777" w:rsidR="00DB6E47" w:rsidRPr="00F04D8E" w:rsidRDefault="00DB6E47" w:rsidP="00DB6E47">
      <w:pPr>
        <w:pStyle w:val="aDefsubpara"/>
      </w:pPr>
      <w:r w:rsidRPr="00F04D8E">
        <w:tab/>
        <w:t>(ii)</w:t>
      </w:r>
      <w:r w:rsidRPr="00F04D8E">
        <w:tab/>
        <w:t>substantial risk breach;</w:t>
      </w:r>
    </w:p>
    <w:p w14:paraId="34F37728" w14:textId="77777777" w:rsidR="00DB6E47" w:rsidRPr="00F04D8E" w:rsidRDefault="00DB6E47" w:rsidP="00DB6E47">
      <w:pPr>
        <w:pStyle w:val="aDefsubpara"/>
      </w:pPr>
      <w:r w:rsidRPr="00F04D8E">
        <w:tab/>
        <w:t>(iii)</w:t>
      </w:r>
      <w:r w:rsidRPr="00F04D8E">
        <w:tab/>
        <w:t>severe risk breach;</w:t>
      </w:r>
    </w:p>
    <w:p w14:paraId="7B2F1444" w14:textId="77777777" w:rsidR="00DB6E47" w:rsidRPr="00F04D8E" w:rsidRDefault="00DB6E47" w:rsidP="00DB6E47">
      <w:pPr>
        <w:pStyle w:val="aDefsubpara"/>
      </w:pPr>
      <w:r w:rsidRPr="00F04D8E">
        <w:tab/>
        <w:t>(iv)</w:t>
      </w:r>
      <w:r w:rsidRPr="00F04D8E">
        <w:tab/>
        <w:t>critical risk breach.</w:t>
      </w:r>
    </w:p>
    <w:p w14:paraId="582973A1" w14:textId="77777777" w:rsidR="00DB6E47" w:rsidRPr="00041046" w:rsidRDefault="00DB6E47" w:rsidP="00CF52C7">
      <w:pPr>
        <w:pStyle w:val="aDef"/>
        <w:keepNext/>
        <w:rPr>
          <w:bCs/>
        </w:rPr>
      </w:pPr>
      <w:r w:rsidRPr="00041046">
        <w:rPr>
          <w:rStyle w:val="charBoldItals"/>
        </w:rPr>
        <w:t>road</w:t>
      </w:r>
      <w:r w:rsidRPr="00041046">
        <w:t xml:space="preserve"> has the meaning given by section 8.</w:t>
      </w:r>
    </w:p>
    <w:p w14:paraId="4945DC4D" w14:textId="77777777" w:rsidR="00DB6E47" w:rsidRPr="007E1F9A" w:rsidRDefault="00DB6E47" w:rsidP="00DB6E47">
      <w:pPr>
        <w:pStyle w:val="aNote"/>
      </w:pPr>
      <w:r w:rsidRPr="00FF4454">
        <w:rPr>
          <w:rStyle w:val="charItals"/>
        </w:rPr>
        <w:t>Note</w:t>
      </w:r>
      <w:r w:rsidRPr="00C96203">
        <w:rPr>
          <w:rFonts w:cs="Times"/>
          <w:bCs/>
        </w:rPr>
        <w:t>—</w:t>
      </w:r>
    </w:p>
    <w:p w14:paraId="182156A2" w14:textId="77777777" w:rsidR="00DB6E47" w:rsidRPr="007E1F9A" w:rsidRDefault="00DB6E47" w:rsidP="00DB6E47">
      <w:pPr>
        <w:pStyle w:val="aNoteTextss"/>
      </w:pPr>
      <w:r w:rsidRPr="007E1F9A">
        <w:t>See also section 13.</w:t>
      </w:r>
    </w:p>
    <w:p w14:paraId="52054477" w14:textId="77777777" w:rsidR="00DB6E47" w:rsidRPr="00041046" w:rsidRDefault="00DB6E47" w:rsidP="00DB6E47">
      <w:pPr>
        <w:pStyle w:val="aDef"/>
        <w:rPr>
          <w:bCs/>
        </w:rPr>
      </w:pPr>
      <w:r w:rsidRPr="00041046">
        <w:rPr>
          <w:rStyle w:val="charBoldItals"/>
        </w:rPr>
        <w:t>road authority</w:t>
      </w:r>
      <w:r w:rsidRPr="00041046">
        <w:t>, for a participating jurisdiction, means an entity that is declared by a law of that jurisdiction to be the road authority for that jurisdiction for the purposes of this Law.</w:t>
      </w:r>
    </w:p>
    <w:p w14:paraId="2F206B3D" w14:textId="77777777" w:rsidR="00DB6E47" w:rsidRPr="00041046" w:rsidRDefault="00DB6E47" w:rsidP="00DB6E47">
      <w:pPr>
        <w:pStyle w:val="aDef"/>
        <w:rPr>
          <w:bCs/>
        </w:rPr>
      </w:pPr>
      <w:r w:rsidRPr="00041046">
        <w:rPr>
          <w:rStyle w:val="charBoldItals"/>
        </w:rPr>
        <w:t xml:space="preserve">road condition </w:t>
      </w:r>
      <w:r w:rsidRPr="00041046">
        <w:t>has the meaning given by section 154.</w:t>
      </w:r>
    </w:p>
    <w:p w14:paraId="09BECD1E" w14:textId="77777777" w:rsidR="00DB6E47" w:rsidRPr="00041046" w:rsidRDefault="00DB6E47" w:rsidP="00DB6E47">
      <w:pPr>
        <w:pStyle w:val="aDef"/>
        <w:rPr>
          <w:bCs/>
        </w:rPr>
      </w:pPr>
      <w:r w:rsidRPr="00041046">
        <w:rPr>
          <w:rStyle w:val="charBoldItals"/>
        </w:rPr>
        <w:t>road infrastructure</w:t>
      </w:r>
      <w:r w:rsidRPr="00041046">
        <w:t xml:space="preserve"> includes—</w:t>
      </w:r>
    </w:p>
    <w:p w14:paraId="77CFB616" w14:textId="77777777" w:rsidR="00DB6E47" w:rsidRPr="00F04D8E" w:rsidRDefault="00DB6E47" w:rsidP="00DB6E47">
      <w:pPr>
        <w:pStyle w:val="aDefpara"/>
      </w:pPr>
      <w:r w:rsidRPr="00F04D8E">
        <w:rPr>
          <w:rFonts w:cs="Times"/>
          <w:bCs/>
        </w:rPr>
        <w:tab/>
        <w:t>(a)</w:t>
      </w:r>
      <w:r w:rsidRPr="00F04D8E">
        <w:rPr>
          <w:rFonts w:cs="Times"/>
          <w:bCs/>
        </w:rPr>
        <w:tab/>
        <w:t>a road, including its surface or pavement; and</w:t>
      </w:r>
    </w:p>
    <w:p w14:paraId="7689610D" w14:textId="77777777" w:rsidR="00DB6E47" w:rsidRPr="00F04D8E" w:rsidRDefault="00DB6E47" w:rsidP="00DB6E47">
      <w:pPr>
        <w:pStyle w:val="aDefpara"/>
      </w:pPr>
      <w:r w:rsidRPr="00F04D8E">
        <w:tab/>
        <w:t>(b)</w:t>
      </w:r>
      <w:r w:rsidRPr="00F04D8E">
        <w:tab/>
        <w:t>anything under or supporting a road or its surface or pavement; and</w:t>
      </w:r>
    </w:p>
    <w:p w14:paraId="0F5D21B1" w14:textId="77777777" w:rsidR="00DB6E47" w:rsidRPr="00F04D8E" w:rsidRDefault="00DB6E47" w:rsidP="00DB6E47">
      <w:pPr>
        <w:pStyle w:val="aDefpara"/>
      </w:pPr>
      <w:r w:rsidRPr="00F04D8E">
        <w:tab/>
        <w:t>(c)</w:t>
      </w:r>
      <w:r w:rsidRPr="00F04D8E">
        <w:tab/>
        <w:t>any bridge, tunnel, causeway, road-ferry, ford or other work or structure forming part of a road system or supporting a road; and</w:t>
      </w:r>
    </w:p>
    <w:p w14:paraId="02E2416C" w14:textId="77777777" w:rsidR="00DB6E47" w:rsidRPr="00F04D8E" w:rsidRDefault="00DB6E47" w:rsidP="00DB6E47">
      <w:pPr>
        <w:pStyle w:val="aDefpara"/>
      </w:pPr>
      <w:r w:rsidRPr="00F04D8E">
        <w:tab/>
        <w:t>(d)</w:t>
      </w:r>
      <w:r w:rsidRPr="00F04D8E">
        <w:tab/>
        <w:t>any bridge or other work or structure located above, in or on a road; and</w:t>
      </w:r>
    </w:p>
    <w:p w14:paraId="3CF46F9A" w14:textId="77777777" w:rsidR="00DB6E47" w:rsidRPr="00F04D8E" w:rsidRDefault="00DB6E47" w:rsidP="00DB6E47">
      <w:pPr>
        <w:pStyle w:val="aDefpara"/>
      </w:pPr>
      <w:r w:rsidRPr="00F04D8E">
        <w:tab/>
        <w:t>(e)</w:t>
      </w:r>
      <w:r w:rsidRPr="00F04D8E">
        <w:tab/>
        <w:t>any traffic control devices, railway equipment, electricity equipment, emergency telephone systems or any other facilities (whether of the same or a different kind) in, on, over, under or connected with a</w:t>
      </w:r>
      <w:r w:rsidR="00740102">
        <w:t xml:space="preserve">nything mentioned in paragraphs </w:t>
      </w:r>
      <w:r w:rsidRPr="00F04D8E">
        <w:t>(a)</w:t>
      </w:r>
      <w:r w:rsidR="00740102">
        <w:t xml:space="preserve"> </w:t>
      </w:r>
      <w:r w:rsidRPr="00F04D8E">
        <w:t>to (d).</w:t>
      </w:r>
    </w:p>
    <w:p w14:paraId="086A369A" w14:textId="77777777" w:rsidR="00DB6E47" w:rsidRPr="00041046" w:rsidRDefault="00DB6E47" w:rsidP="00DB6E47">
      <w:pPr>
        <w:pStyle w:val="aDef"/>
        <w:rPr>
          <w:bCs/>
        </w:rPr>
      </w:pPr>
      <w:r w:rsidRPr="00041046">
        <w:rPr>
          <w:rStyle w:val="charBoldItals"/>
        </w:rPr>
        <w:lastRenderedPageBreak/>
        <w:t>road manager</w:t>
      </w:r>
      <w:r w:rsidRPr="00041046">
        <w:t>, for a road in a participating jurisdiction, means an entity that is declared by a law of that jurisdiction to be the road manager for the road for the purposes of this Law.</w:t>
      </w:r>
    </w:p>
    <w:p w14:paraId="6DBD5948" w14:textId="77777777" w:rsidR="00DB6E47" w:rsidRPr="00041046" w:rsidRDefault="00DB6E47" w:rsidP="00DB6E47">
      <w:pPr>
        <w:pStyle w:val="aDef"/>
        <w:rPr>
          <w:bCs/>
        </w:rPr>
      </w:pPr>
      <w:r w:rsidRPr="00041046">
        <w:rPr>
          <w:rStyle w:val="charBoldItals"/>
        </w:rPr>
        <w:t xml:space="preserve">road-related area </w:t>
      </w:r>
      <w:r w:rsidRPr="00041046">
        <w:t>has the meaning given by section 8.</w:t>
      </w:r>
    </w:p>
    <w:p w14:paraId="141706DC" w14:textId="77777777" w:rsidR="00DB6E47" w:rsidRPr="00041046" w:rsidRDefault="00DB6E47" w:rsidP="00DB6E47">
      <w:pPr>
        <w:pStyle w:val="aDef"/>
        <w:rPr>
          <w:bCs/>
        </w:rPr>
      </w:pPr>
      <w:r w:rsidRPr="00041046">
        <w:rPr>
          <w:rStyle w:val="charBoldItals"/>
        </w:rPr>
        <w:t>Road Rules</w:t>
      </w:r>
      <w:r w:rsidRPr="00041046">
        <w:t>, for a participating jurisdiction, means the law that is declared by a law of that jurisdiction to be the Road Rules for the purposes of this Law.</w:t>
      </w:r>
    </w:p>
    <w:p w14:paraId="526EE862" w14:textId="77777777" w:rsidR="00155EA2" w:rsidRDefault="00DB6E47" w:rsidP="00CF52C7">
      <w:pPr>
        <w:pStyle w:val="aDef"/>
        <w:keepNext/>
      </w:pPr>
      <w:r w:rsidRPr="00041046">
        <w:rPr>
          <w:rStyle w:val="charBoldItals"/>
        </w:rPr>
        <w:t xml:space="preserve">road train </w:t>
      </w:r>
      <w:r w:rsidRPr="00041046">
        <w:t>means</w:t>
      </w:r>
      <w:r w:rsidR="00155EA2">
        <w:t>—</w:t>
      </w:r>
    </w:p>
    <w:p w14:paraId="03D5D5DE" w14:textId="77777777" w:rsidR="00155EA2" w:rsidRPr="00155EA2" w:rsidRDefault="00155EA2" w:rsidP="00554988">
      <w:pPr>
        <w:pStyle w:val="aDefpara"/>
        <w:keepNext/>
      </w:pPr>
      <w:r>
        <w:tab/>
        <w:t>(a)</w:t>
      </w:r>
      <w:r>
        <w:tab/>
      </w:r>
      <w:r w:rsidRPr="00155EA2">
        <w:t>a B-triple; or</w:t>
      </w:r>
    </w:p>
    <w:p w14:paraId="3D7A4618" w14:textId="77777777" w:rsidR="00DB6E47" w:rsidRPr="00041046" w:rsidRDefault="00155EA2" w:rsidP="00155EA2">
      <w:pPr>
        <w:pStyle w:val="aDefpara"/>
        <w:rPr>
          <w:bCs/>
        </w:rPr>
      </w:pPr>
      <w:r>
        <w:tab/>
        <w:t>(b)</w:t>
      </w:r>
      <w:r>
        <w:tab/>
      </w:r>
      <w:r w:rsidR="00DB6E47" w:rsidRPr="00155EA2">
        <w:t>a combination, other than a B-double, consisting of a motor vehicle towing at least 2 trailers, excluding any converter dolly supporting a semitrailer.</w:t>
      </w:r>
    </w:p>
    <w:p w14:paraId="16DFD326" w14:textId="77777777" w:rsidR="00DB6E47" w:rsidRPr="007E1F9A" w:rsidRDefault="00DB6E47" w:rsidP="00DB6E47">
      <w:pPr>
        <w:jc w:val="center"/>
      </w:pPr>
      <w:r>
        <w:rPr>
          <w:noProof/>
          <w:lang w:eastAsia="en-AU"/>
        </w:rPr>
        <w:drawing>
          <wp:inline distT="0" distB="0" distL="0" distR="0" wp14:anchorId="411B890D" wp14:editId="58659528">
            <wp:extent cx="4667250" cy="781050"/>
            <wp:effectExtent l="19050" t="0" r="0" b="0"/>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cstate="print"/>
                    <a:srcRect/>
                    <a:stretch>
                      <a:fillRect/>
                    </a:stretch>
                  </pic:blipFill>
                  <pic:spPr bwMode="auto">
                    <a:xfrm>
                      <a:off x="0" y="0"/>
                      <a:ext cx="4667250" cy="781050"/>
                    </a:xfrm>
                    <a:prstGeom prst="rect">
                      <a:avLst/>
                    </a:prstGeom>
                    <a:noFill/>
                    <a:ln w="9525">
                      <a:noFill/>
                      <a:miter lim="800000"/>
                      <a:headEnd/>
                      <a:tailEnd/>
                    </a:ln>
                  </pic:spPr>
                </pic:pic>
              </a:graphicData>
            </a:graphic>
          </wp:inline>
        </w:drawing>
      </w:r>
    </w:p>
    <w:p w14:paraId="23B416C6" w14:textId="77777777" w:rsidR="00DB6E47" w:rsidRPr="00041046" w:rsidRDefault="00DB6E47" w:rsidP="00DB6E47">
      <w:pPr>
        <w:pStyle w:val="aDef"/>
        <w:rPr>
          <w:bCs/>
        </w:rPr>
      </w:pPr>
      <w:r w:rsidRPr="00041046">
        <w:rPr>
          <w:rStyle w:val="charBoldItals"/>
        </w:rPr>
        <w:t xml:space="preserve">road transport </w:t>
      </w:r>
      <w:r w:rsidRPr="00041046">
        <w:t>means transport by road.</w:t>
      </w:r>
    </w:p>
    <w:p w14:paraId="391AF962" w14:textId="7A852D89" w:rsidR="00984ACD" w:rsidRDefault="00984ACD" w:rsidP="00DB6E47">
      <w:pPr>
        <w:pStyle w:val="aDef"/>
        <w:rPr>
          <w:rStyle w:val="charBoldItals"/>
        </w:rPr>
      </w:pPr>
      <w:r>
        <w:rPr>
          <w:b/>
          <w:bCs/>
          <w:i/>
          <w:iCs/>
          <w:color w:val="000000"/>
          <w:sz w:val="23"/>
          <w:szCs w:val="23"/>
          <w:shd w:val="clear" w:color="auto" w:fill="FFFFFF"/>
        </w:rPr>
        <w:t>Road Vehicle Standards Act 2018</w:t>
      </w:r>
      <w:r>
        <w:rPr>
          <w:color w:val="000000"/>
          <w:sz w:val="23"/>
          <w:szCs w:val="23"/>
          <w:shd w:val="clear" w:color="auto" w:fill="FFFFFF"/>
        </w:rPr>
        <w:t> means the </w:t>
      </w:r>
      <w:hyperlink r:id="rId39" w:tooltip="Act 2018 No 163 (Cwlth)" w:history="1">
        <w:r w:rsidR="00DB5EAD" w:rsidRPr="00DB5EAD">
          <w:rPr>
            <w:rStyle w:val="charCitHyperlinkItal"/>
          </w:rPr>
          <w:t>Road Vehicle Standards Act 2018</w:t>
        </w:r>
      </w:hyperlink>
      <w:r>
        <w:rPr>
          <w:color w:val="000000"/>
          <w:sz w:val="23"/>
          <w:szCs w:val="23"/>
          <w:shd w:val="clear" w:color="auto" w:fill="FFFFFF"/>
        </w:rPr>
        <w:t> of the Commonwealth.</w:t>
      </w:r>
    </w:p>
    <w:p w14:paraId="4EDA65B9" w14:textId="7A2002DE" w:rsidR="00DB6E47" w:rsidRPr="00041046" w:rsidRDefault="00DB6E47" w:rsidP="00DB6E47">
      <w:pPr>
        <w:pStyle w:val="aDef"/>
        <w:rPr>
          <w:bCs/>
        </w:rPr>
      </w:pPr>
      <w:r w:rsidRPr="00041046">
        <w:rPr>
          <w:rStyle w:val="charBoldItals"/>
        </w:rPr>
        <w:t>route assessment</w:t>
      </w:r>
      <w:r w:rsidRPr="00041046">
        <w:t>, for the purposes of Part 4.7, has the meaning given by section 154.</w:t>
      </w:r>
    </w:p>
    <w:p w14:paraId="2B7D4219" w14:textId="77777777" w:rsidR="00114240" w:rsidRPr="00EA07E6" w:rsidRDefault="00114240" w:rsidP="00114240">
      <w:pPr>
        <w:pStyle w:val="aDef"/>
        <w:rPr>
          <w:lang w:val="en" w:eastAsia="en-AU"/>
        </w:rPr>
      </w:pPr>
      <w:r w:rsidRPr="00EA07E6">
        <w:rPr>
          <w:b/>
          <w:bCs/>
          <w:i/>
          <w:iCs/>
          <w:lang w:val="en" w:eastAsia="en-AU"/>
        </w:rPr>
        <w:t>safety duty</w:t>
      </w:r>
      <w:r w:rsidRPr="00EA07E6">
        <w:rPr>
          <w:lang w:val="en" w:eastAsia="en-AU"/>
        </w:rPr>
        <w:t xml:space="preserve"> means a duty imposed under any of the following provisions—</w:t>
      </w:r>
    </w:p>
    <w:p w14:paraId="7F5D9564" w14:textId="77777777" w:rsidR="00114240" w:rsidRPr="00EA07E6" w:rsidRDefault="00114240" w:rsidP="00114240">
      <w:pPr>
        <w:pStyle w:val="aDefpara"/>
        <w:rPr>
          <w:lang w:val="en" w:eastAsia="en-AU"/>
        </w:rPr>
      </w:pPr>
      <w:r>
        <w:rPr>
          <w:lang w:val="en" w:eastAsia="en-AU"/>
        </w:rPr>
        <w:tab/>
      </w:r>
      <w:r w:rsidRPr="00EA07E6">
        <w:rPr>
          <w:lang w:val="en" w:eastAsia="en-AU"/>
        </w:rPr>
        <w:t>(a)</w:t>
      </w:r>
      <w:r>
        <w:rPr>
          <w:lang w:val="en" w:eastAsia="en-AU"/>
        </w:rPr>
        <w:tab/>
      </w:r>
      <w:r w:rsidRPr="00EA07E6">
        <w:rPr>
          <w:lang w:val="en" w:eastAsia="en-AU"/>
        </w:rPr>
        <w:t>section 26C;</w:t>
      </w:r>
    </w:p>
    <w:p w14:paraId="44391523" w14:textId="77777777" w:rsidR="00114240" w:rsidRPr="00EA07E6" w:rsidRDefault="00114240" w:rsidP="00114240">
      <w:pPr>
        <w:pStyle w:val="aDefpara"/>
        <w:rPr>
          <w:lang w:val="en" w:eastAsia="en-AU"/>
        </w:rPr>
      </w:pPr>
      <w:r>
        <w:rPr>
          <w:lang w:val="en" w:eastAsia="en-AU"/>
        </w:rPr>
        <w:tab/>
      </w:r>
      <w:r w:rsidRPr="00EA07E6">
        <w:rPr>
          <w:lang w:val="en" w:eastAsia="en-AU"/>
        </w:rPr>
        <w:t>(b)</w:t>
      </w:r>
      <w:r>
        <w:rPr>
          <w:lang w:val="en" w:eastAsia="en-AU"/>
        </w:rPr>
        <w:tab/>
      </w:r>
      <w:r w:rsidRPr="00EA07E6">
        <w:rPr>
          <w:lang w:val="en" w:eastAsia="en-AU"/>
        </w:rPr>
        <w:t>section 26E(1) or (2);</w:t>
      </w:r>
    </w:p>
    <w:p w14:paraId="5CECCAA3" w14:textId="77777777" w:rsidR="00114240" w:rsidRPr="00EA07E6" w:rsidRDefault="00114240" w:rsidP="00114240">
      <w:pPr>
        <w:pStyle w:val="aDefpara"/>
        <w:rPr>
          <w:lang w:val="en" w:eastAsia="en-AU"/>
        </w:rPr>
      </w:pPr>
      <w:r>
        <w:rPr>
          <w:lang w:val="en" w:eastAsia="en-AU"/>
        </w:rPr>
        <w:tab/>
      </w:r>
      <w:r w:rsidRPr="00EA07E6">
        <w:rPr>
          <w:lang w:val="en" w:eastAsia="en-AU"/>
        </w:rPr>
        <w:t>(c)</w:t>
      </w:r>
      <w:r>
        <w:rPr>
          <w:lang w:val="en" w:eastAsia="en-AU"/>
        </w:rPr>
        <w:tab/>
      </w:r>
      <w:r w:rsidRPr="00EA07E6">
        <w:rPr>
          <w:lang w:val="en" w:eastAsia="en-AU"/>
        </w:rPr>
        <w:t>section 89(1);</w:t>
      </w:r>
    </w:p>
    <w:p w14:paraId="0326B0C7" w14:textId="77777777" w:rsidR="00114240" w:rsidRPr="00EA07E6" w:rsidRDefault="00114240" w:rsidP="00114240">
      <w:pPr>
        <w:pStyle w:val="aDefpara"/>
        <w:rPr>
          <w:lang w:val="en" w:eastAsia="en-AU"/>
        </w:rPr>
      </w:pPr>
      <w:r>
        <w:rPr>
          <w:lang w:val="en" w:eastAsia="en-AU"/>
        </w:rPr>
        <w:tab/>
      </w:r>
      <w:r w:rsidRPr="00EA07E6">
        <w:rPr>
          <w:lang w:val="en" w:eastAsia="en-AU"/>
        </w:rPr>
        <w:t>(d)</w:t>
      </w:r>
      <w:r>
        <w:rPr>
          <w:lang w:val="en" w:eastAsia="en-AU"/>
        </w:rPr>
        <w:tab/>
      </w:r>
      <w:r w:rsidRPr="00EA07E6">
        <w:rPr>
          <w:lang w:val="en" w:eastAsia="en-AU"/>
        </w:rPr>
        <w:t>section 93(1), (2) or (3);</w:t>
      </w:r>
    </w:p>
    <w:p w14:paraId="7E58626F" w14:textId="77777777" w:rsidR="00114240" w:rsidRPr="00EA07E6" w:rsidRDefault="00114240" w:rsidP="00114240">
      <w:pPr>
        <w:pStyle w:val="aDefpara"/>
        <w:rPr>
          <w:lang w:val="en" w:eastAsia="en-AU"/>
        </w:rPr>
      </w:pPr>
      <w:r>
        <w:rPr>
          <w:lang w:val="en" w:eastAsia="en-AU"/>
        </w:rPr>
        <w:tab/>
      </w:r>
      <w:r w:rsidRPr="00EA07E6">
        <w:rPr>
          <w:lang w:val="en" w:eastAsia="en-AU"/>
        </w:rPr>
        <w:t>(e)</w:t>
      </w:r>
      <w:r>
        <w:rPr>
          <w:lang w:val="en" w:eastAsia="en-AU"/>
        </w:rPr>
        <w:tab/>
      </w:r>
      <w:r w:rsidRPr="00EA07E6">
        <w:rPr>
          <w:lang w:val="en" w:eastAsia="en-AU"/>
        </w:rPr>
        <w:t>section 129(1), (2) or (3);</w:t>
      </w:r>
    </w:p>
    <w:p w14:paraId="1FC5399C" w14:textId="77777777" w:rsidR="00114240" w:rsidRPr="00EA07E6" w:rsidRDefault="00114240" w:rsidP="00114240">
      <w:pPr>
        <w:pStyle w:val="aDefpara"/>
        <w:rPr>
          <w:lang w:val="en" w:eastAsia="en-AU"/>
        </w:rPr>
      </w:pPr>
      <w:r>
        <w:rPr>
          <w:lang w:val="en" w:eastAsia="en-AU"/>
        </w:rPr>
        <w:lastRenderedPageBreak/>
        <w:tab/>
      </w:r>
      <w:r w:rsidRPr="00EA07E6">
        <w:rPr>
          <w:lang w:val="en" w:eastAsia="en-AU"/>
        </w:rPr>
        <w:t>(f)</w:t>
      </w:r>
      <w:r>
        <w:rPr>
          <w:lang w:val="en" w:eastAsia="en-AU"/>
        </w:rPr>
        <w:tab/>
      </w:r>
      <w:r w:rsidRPr="00EA07E6">
        <w:rPr>
          <w:lang w:val="en" w:eastAsia="en-AU"/>
        </w:rPr>
        <w:t>section 137;</w:t>
      </w:r>
    </w:p>
    <w:p w14:paraId="6C3FD4D6" w14:textId="77777777" w:rsidR="00114240" w:rsidRPr="00EA07E6" w:rsidRDefault="00114240" w:rsidP="00114240">
      <w:pPr>
        <w:pStyle w:val="aDefpara"/>
        <w:rPr>
          <w:lang w:val="en" w:eastAsia="en-AU"/>
        </w:rPr>
      </w:pPr>
      <w:r>
        <w:rPr>
          <w:lang w:val="en" w:eastAsia="en-AU"/>
        </w:rPr>
        <w:tab/>
      </w:r>
      <w:r w:rsidRPr="00EA07E6">
        <w:rPr>
          <w:lang w:val="en" w:eastAsia="en-AU"/>
        </w:rPr>
        <w:t>(g)</w:t>
      </w:r>
      <w:r>
        <w:rPr>
          <w:lang w:val="en" w:eastAsia="en-AU"/>
        </w:rPr>
        <w:tab/>
      </w:r>
      <w:r w:rsidRPr="00EA07E6">
        <w:rPr>
          <w:lang w:val="en" w:eastAsia="en-AU"/>
        </w:rPr>
        <w:t>section 150(1);</w:t>
      </w:r>
    </w:p>
    <w:p w14:paraId="67D4F44D" w14:textId="77777777" w:rsidR="00114240" w:rsidRPr="00EA07E6" w:rsidRDefault="00114240" w:rsidP="00114240">
      <w:pPr>
        <w:pStyle w:val="aDefpara"/>
        <w:rPr>
          <w:lang w:val="en" w:eastAsia="en-AU"/>
        </w:rPr>
      </w:pPr>
      <w:r>
        <w:rPr>
          <w:lang w:val="en" w:eastAsia="en-AU"/>
        </w:rPr>
        <w:tab/>
      </w:r>
      <w:r w:rsidRPr="00EA07E6">
        <w:rPr>
          <w:lang w:val="en" w:eastAsia="en-AU"/>
        </w:rPr>
        <w:t>(h)</w:t>
      </w:r>
      <w:r>
        <w:rPr>
          <w:lang w:val="en" w:eastAsia="en-AU"/>
        </w:rPr>
        <w:tab/>
      </w:r>
      <w:r w:rsidRPr="00EA07E6">
        <w:rPr>
          <w:lang w:val="en" w:eastAsia="en-AU"/>
        </w:rPr>
        <w:t>section 153A(1);</w:t>
      </w:r>
    </w:p>
    <w:p w14:paraId="6FAD10CD" w14:textId="77777777" w:rsidR="00114240" w:rsidRPr="00EA07E6" w:rsidRDefault="00114240" w:rsidP="00114240">
      <w:pPr>
        <w:pStyle w:val="aDefpara"/>
        <w:rPr>
          <w:lang w:val="en" w:eastAsia="en-AU"/>
        </w:rPr>
      </w:pPr>
      <w:r>
        <w:rPr>
          <w:lang w:val="en" w:eastAsia="en-AU"/>
        </w:rPr>
        <w:tab/>
      </w:r>
      <w:r w:rsidRPr="00EA07E6">
        <w:rPr>
          <w:lang w:val="en" w:eastAsia="en-AU"/>
        </w:rPr>
        <w:t>(i)</w:t>
      </w:r>
      <w:r>
        <w:rPr>
          <w:lang w:val="en" w:eastAsia="en-AU"/>
        </w:rPr>
        <w:tab/>
      </w:r>
      <w:r w:rsidRPr="00EA07E6">
        <w:rPr>
          <w:lang w:val="en" w:eastAsia="en-AU"/>
        </w:rPr>
        <w:t>section 186(2), (3), (4) or (5);</w:t>
      </w:r>
    </w:p>
    <w:p w14:paraId="5D6A78B7" w14:textId="77777777" w:rsidR="00114240" w:rsidRPr="00EA07E6" w:rsidRDefault="00114240" w:rsidP="00114240">
      <w:pPr>
        <w:pStyle w:val="aDefpara"/>
        <w:rPr>
          <w:lang w:val="en" w:eastAsia="en-AU"/>
        </w:rPr>
      </w:pPr>
      <w:r>
        <w:rPr>
          <w:lang w:val="en" w:eastAsia="en-AU"/>
        </w:rPr>
        <w:tab/>
      </w:r>
      <w:r w:rsidRPr="00EA07E6">
        <w:rPr>
          <w:lang w:val="en" w:eastAsia="en-AU"/>
        </w:rPr>
        <w:t>(j)</w:t>
      </w:r>
      <w:r>
        <w:rPr>
          <w:lang w:val="en" w:eastAsia="en-AU"/>
        </w:rPr>
        <w:tab/>
      </w:r>
      <w:r w:rsidRPr="00EA07E6">
        <w:rPr>
          <w:lang w:val="en" w:eastAsia="en-AU"/>
        </w:rPr>
        <w:t>section 187(2) or (3);</w:t>
      </w:r>
    </w:p>
    <w:p w14:paraId="58A5E237" w14:textId="77777777" w:rsidR="00114240" w:rsidRPr="00EA07E6" w:rsidRDefault="00114240" w:rsidP="00114240">
      <w:pPr>
        <w:pStyle w:val="aDefpara"/>
        <w:rPr>
          <w:lang w:val="en" w:eastAsia="en-AU"/>
        </w:rPr>
      </w:pPr>
      <w:r>
        <w:rPr>
          <w:lang w:val="en" w:eastAsia="en-AU"/>
        </w:rPr>
        <w:tab/>
      </w:r>
      <w:r w:rsidRPr="00EA07E6">
        <w:rPr>
          <w:lang w:val="en" w:eastAsia="en-AU"/>
        </w:rPr>
        <w:t>(k)</w:t>
      </w:r>
      <w:r>
        <w:rPr>
          <w:lang w:val="en" w:eastAsia="en-AU"/>
        </w:rPr>
        <w:tab/>
      </w:r>
      <w:r w:rsidRPr="00EA07E6">
        <w:rPr>
          <w:lang w:val="en" w:eastAsia="en-AU"/>
        </w:rPr>
        <w:t>section 335(1);</w:t>
      </w:r>
    </w:p>
    <w:p w14:paraId="6EE43ABC" w14:textId="77777777" w:rsidR="00114240" w:rsidRPr="00EA07E6" w:rsidRDefault="00114240" w:rsidP="00114240">
      <w:pPr>
        <w:pStyle w:val="aDefpara"/>
        <w:rPr>
          <w:lang w:val="en" w:eastAsia="en-AU"/>
        </w:rPr>
      </w:pPr>
      <w:r>
        <w:rPr>
          <w:lang w:val="en" w:eastAsia="en-AU"/>
        </w:rPr>
        <w:tab/>
      </w:r>
      <w:r w:rsidRPr="00EA07E6">
        <w:rPr>
          <w:lang w:val="en" w:eastAsia="en-AU"/>
        </w:rPr>
        <w:t>(l)</w:t>
      </w:r>
      <w:r>
        <w:rPr>
          <w:lang w:val="en" w:eastAsia="en-AU"/>
        </w:rPr>
        <w:tab/>
      </w:r>
      <w:r w:rsidRPr="00EA07E6">
        <w:rPr>
          <w:lang w:val="en" w:eastAsia="en-AU"/>
        </w:rPr>
        <w:t>section 336(1);</w:t>
      </w:r>
    </w:p>
    <w:p w14:paraId="44AE2792" w14:textId="77777777" w:rsidR="00114240" w:rsidRPr="00EA07E6" w:rsidRDefault="00114240" w:rsidP="00114240">
      <w:pPr>
        <w:pStyle w:val="aDefpara"/>
        <w:rPr>
          <w:lang w:val="en" w:eastAsia="en-AU"/>
        </w:rPr>
      </w:pPr>
      <w:r>
        <w:rPr>
          <w:lang w:val="en" w:eastAsia="en-AU"/>
        </w:rPr>
        <w:tab/>
      </w:r>
      <w:r w:rsidRPr="00EA07E6">
        <w:rPr>
          <w:lang w:val="en" w:eastAsia="en-AU"/>
        </w:rPr>
        <w:t>(m)</w:t>
      </w:r>
      <w:r>
        <w:rPr>
          <w:lang w:val="en" w:eastAsia="en-AU"/>
        </w:rPr>
        <w:tab/>
      </w:r>
      <w:r w:rsidRPr="00EA07E6">
        <w:rPr>
          <w:lang w:val="en" w:eastAsia="en-AU"/>
        </w:rPr>
        <w:t>section 337(2);</w:t>
      </w:r>
    </w:p>
    <w:p w14:paraId="6830EDD1" w14:textId="77777777" w:rsidR="00114240" w:rsidRPr="00EA07E6" w:rsidRDefault="00114240" w:rsidP="00114240">
      <w:pPr>
        <w:pStyle w:val="aDefpara"/>
        <w:rPr>
          <w:lang w:val="en" w:eastAsia="en-AU"/>
        </w:rPr>
      </w:pPr>
      <w:r>
        <w:rPr>
          <w:lang w:val="en" w:eastAsia="en-AU"/>
        </w:rPr>
        <w:tab/>
      </w:r>
      <w:r w:rsidRPr="00EA07E6">
        <w:rPr>
          <w:lang w:val="en" w:eastAsia="en-AU"/>
        </w:rPr>
        <w:t>(n)</w:t>
      </w:r>
      <w:r>
        <w:rPr>
          <w:lang w:val="en" w:eastAsia="en-AU"/>
        </w:rPr>
        <w:tab/>
      </w:r>
      <w:r w:rsidRPr="00EA07E6">
        <w:rPr>
          <w:lang w:val="en" w:eastAsia="en-AU"/>
        </w:rPr>
        <w:t>section 454(1) or (2);</w:t>
      </w:r>
    </w:p>
    <w:p w14:paraId="38206CB4" w14:textId="77777777" w:rsidR="00114240" w:rsidRPr="00EA07E6" w:rsidRDefault="00114240" w:rsidP="00114240">
      <w:pPr>
        <w:pStyle w:val="aDefpara"/>
        <w:rPr>
          <w:lang w:val="en" w:eastAsia="en-AU"/>
        </w:rPr>
      </w:pPr>
      <w:r>
        <w:rPr>
          <w:lang w:val="en" w:eastAsia="en-AU"/>
        </w:rPr>
        <w:tab/>
      </w:r>
      <w:r w:rsidRPr="00EA07E6">
        <w:rPr>
          <w:lang w:val="en" w:eastAsia="en-AU"/>
        </w:rPr>
        <w:t>(o)</w:t>
      </w:r>
      <w:r>
        <w:rPr>
          <w:lang w:val="en" w:eastAsia="en-AU"/>
        </w:rPr>
        <w:tab/>
      </w:r>
      <w:r w:rsidRPr="00EA07E6">
        <w:rPr>
          <w:lang w:val="en" w:eastAsia="en-AU"/>
        </w:rPr>
        <w:t>section 467;</w:t>
      </w:r>
    </w:p>
    <w:p w14:paraId="4EF6FFF2" w14:textId="77777777" w:rsidR="00114240" w:rsidRPr="00EA07E6" w:rsidRDefault="00114240" w:rsidP="00114240">
      <w:pPr>
        <w:pStyle w:val="aDefpara"/>
        <w:rPr>
          <w:lang w:val="en" w:eastAsia="en-AU"/>
        </w:rPr>
      </w:pPr>
      <w:r>
        <w:rPr>
          <w:lang w:val="en" w:eastAsia="en-AU"/>
        </w:rPr>
        <w:tab/>
      </w:r>
      <w:r w:rsidRPr="00EA07E6">
        <w:rPr>
          <w:lang w:val="en" w:eastAsia="en-AU"/>
        </w:rPr>
        <w:t>(p)</w:t>
      </w:r>
      <w:r>
        <w:rPr>
          <w:lang w:val="en" w:eastAsia="en-AU"/>
        </w:rPr>
        <w:tab/>
      </w:r>
      <w:r w:rsidRPr="00EA07E6">
        <w:rPr>
          <w:lang w:val="en" w:eastAsia="en-AU"/>
        </w:rPr>
        <w:t>section 470(2), (3) or (4);</w:t>
      </w:r>
    </w:p>
    <w:p w14:paraId="74C5B67C" w14:textId="77777777" w:rsidR="00114240" w:rsidRPr="00EA07E6" w:rsidRDefault="00114240" w:rsidP="00114240">
      <w:pPr>
        <w:pStyle w:val="aDefpara"/>
        <w:rPr>
          <w:lang w:val="en" w:eastAsia="en-AU"/>
        </w:rPr>
      </w:pPr>
      <w:r>
        <w:rPr>
          <w:lang w:val="en" w:eastAsia="en-AU"/>
        </w:rPr>
        <w:tab/>
      </w:r>
      <w:r w:rsidRPr="00EA07E6">
        <w:rPr>
          <w:lang w:val="en" w:eastAsia="en-AU"/>
        </w:rPr>
        <w:t>(q)</w:t>
      </w:r>
      <w:r>
        <w:rPr>
          <w:lang w:val="en" w:eastAsia="en-AU"/>
        </w:rPr>
        <w:tab/>
      </w:r>
      <w:r w:rsidRPr="00EA07E6">
        <w:rPr>
          <w:lang w:val="en" w:eastAsia="en-AU"/>
        </w:rPr>
        <w:t>section 604;</w:t>
      </w:r>
    </w:p>
    <w:p w14:paraId="5FF6AF80" w14:textId="77777777" w:rsidR="00114240" w:rsidRPr="00EA07E6" w:rsidRDefault="00114240" w:rsidP="00114240">
      <w:pPr>
        <w:pStyle w:val="aDefpara"/>
        <w:rPr>
          <w:lang w:val="en" w:eastAsia="en-AU"/>
        </w:rPr>
      </w:pPr>
      <w:r>
        <w:rPr>
          <w:lang w:val="en" w:eastAsia="en-AU"/>
        </w:rPr>
        <w:tab/>
      </w:r>
      <w:r w:rsidRPr="00EA07E6">
        <w:rPr>
          <w:lang w:val="en" w:eastAsia="en-AU"/>
        </w:rPr>
        <w:t>(r)</w:t>
      </w:r>
      <w:r>
        <w:rPr>
          <w:lang w:val="en" w:eastAsia="en-AU"/>
        </w:rPr>
        <w:tab/>
      </w:r>
      <w:r w:rsidRPr="00EA07E6">
        <w:rPr>
          <w:lang w:val="en" w:eastAsia="en-AU"/>
        </w:rPr>
        <w:t>section 610.</w:t>
      </w:r>
    </w:p>
    <w:p w14:paraId="15B7B677" w14:textId="77777777" w:rsidR="00DB6E47" w:rsidRPr="00041046" w:rsidRDefault="00DB6E47" w:rsidP="00DB6E47">
      <w:pPr>
        <w:pStyle w:val="aDef"/>
        <w:rPr>
          <w:bCs/>
        </w:rPr>
      </w:pPr>
      <w:r w:rsidRPr="00041046">
        <w:rPr>
          <w:rStyle w:val="charBoldItals"/>
        </w:rPr>
        <w:t xml:space="preserve">safety risk </w:t>
      </w:r>
      <w:r w:rsidRPr="00041046">
        <w:t>means a risk—</w:t>
      </w:r>
    </w:p>
    <w:p w14:paraId="43DFBB76" w14:textId="77777777" w:rsidR="00DB6E47" w:rsidRPr="00F04D8E" w:rsidRDefault="00DB6E47" w:rsidP="00DB6E47">
      <w:pPr>
        <w:pStyle w:val="aDefpara"/>
      </w:pPr>
      <w:r w:rsidRPr="00F04D8E">
        <w:rPr>
          <w:rFonts w:cs="Times"/>
          <w:bCs/>
        </w:rPr>
        <w:tab/>
        <w:t>(a)</w:t>
      </w:r>
      <w:r w:rsidRPr="00F04D8E">
        <w:rPr>
          <w:rFonts w:cs="Times"/>
          <w:bCs/>
        </w:rPr>
        <w:tab/>
        <w:t>to public safety; or</w:t>
      </w:r>
    </w:p>
    <w:p w14:paraId="79277B99" w14:textId="77777777" w:rsidR="00DB6E47" w:rsidRPr="00F04D8E" w:rsidRDefault="00DB6E47" w:rsidP="00DB6E47">
      <w:pPr>
        <w:pStyle w:val="aDefpara"/>
      </w:pPr>
      <w:r w:rsidRPr="00F04D8E">
        <w:tab/>
        <w:t>(b)</w:t>
      </w:r>
      <w:r w:rsidRPr="00F04D8E">
        <w:tab/>
        <w:t>of harm to the environment.</w:t>
      </w:r>
    </w:p>
    <w:p w14:paraId="7ABDA5B3" w14:textId="77777777" w:rsidR="00DB6E47" w:rsidRPr="00041046" w:rsidRDefault="00DB6E47" w:rsidP="00DB6E47">
      <w:pPr>
        <w:pStyle w:val="aDef"/>
        <w:rPr>
          <w:bCs/>
        </w:rPr>
      </w:pPr>
      <w:r w:rsidRPr="00041046">
        <w:rPr>
          <w:rStyle w:val="charBoldItals"/>
        </w:rPr>
        <w:t>schedule</w:t>
      </w:r>
      <w:r w:rsidRPr="00041046">
        <w:t>, for the driver of a heavy vehicle, means—</w:t>
      </w:r>
    </w:p>
    <w:p w14:paraId="588AAD73" w14:textId="77777777" w:rsidR="00DB6E47" w:rsidRPr="00F04D8E" w:rsidRDefault="00DB6E47" w:rsidP="00DB6E47">
      <w:pPr>
        <w:pStyle w:val="aDefpara"/>
      </w:pPr>
      <w:r w:rsidRPr="00F04D8E">
        <w:rPr>
          <w:rFonts w:cs="Times"/>
          <w:bCs/>
        </w:rPr>
        <w:tab/>
        <w:t>(a)</w:t>
      </w:r>
      <w:r w:rsidRPr="00F04D8E">
        <w:rPr>
          <w:rFonts w:cs="Times"/>
          <w:bCs/>
        </w:rPr>
        <w:tab/>
        <w:t>the schedule for the transport of any goods or passengers by the vehicle; or</w:t>
      </w:r>
    </w:p>
    <w:p w14:paraId="5B2D047E" w14:textId="77777777" w:rsidR="00DB6E47" w:rsidRPr="00F04D8E" w:rsidRDefault="00DB6E47" w:rsidP="00DB6E47">
      <w:pPr>
        <w:pStyle w:val="aDefpara"/>
      </w:pPr>
      <w:r w:rsidRPr="00F04D8E">
        <w:tab/>
        <w:t>(b)</w:t>
      </w:r>
      <w:r w:rsidRPr="00F04D8E">
        <w:tab/>
        <w:t>the schedule of the driver’s work times and rest times.</w:t>
      </w:r>
    </w:p>
    <w:p w14:paraId="69124F4E" w14:textId="77777777" w:rsidR="00DB6E47" w:rsidRPr="00041046" w:rsidRDefault="00DB6E47" w:rsidP="00DB6E47">
      <w:pPr>
        <w:pStyle w:val="aDef"/>
        <w:rPr>
          <w:bCs/>
        </w:rPr>
      </w:pPr>
      <w:r w:rsidRPr="00041046">
        <w:rPr>
          <w:rStyle w:val="charBoldItals"/>
        </w:rPr>
        <w:t>scheduler</w:t>
      </w:r>
      <w:r w:rsidRPr="00041046">
        <w:t>, for a heavy vehicle, means a person who—</w:t>
      </w:r>
    </w:p>
    <w:p w14:paraId="7E795500" w14:textId="77777777" w:rsidR="00DB6E47" w:rsidRPr="00F04D8E" w:rsidRDefault="00DB6E47" w:rsidP="00DB6E47">
      <w:pPr>
        <w:pStyle w:val="aDefpara"/>
      </w:pPr>
      <w:r w:rsidRPr="00F04D8E">
        <w:rPr>
          <w:rFonts w:cs="Times"/>
          <w:bCs/>
        </w:rPr>
        <w:tab/>
        <w:t>(a)</w:t>
      </w:r>
      <w:r w:rsidRPr="00F04D8E">
        <w:rPr>
          <w:rFonts w:cs="Times"/>
          <w:bCs/>
        </w:rPr>
        <w:tab/>
        <w:t>schedules the transport of any goods or passengers by the vehicle; or</w:t>
      </w:r>
    </w:p>
    <w:p w14:paraId="0FBECFE6" w14:textId="77777777" w:rsidR="00DB6E47" w:rsidRPr="00F04D8E" w:rsidRDefault="00DB6E47" w:rsidP="00DB6E47">
      <w:pPr>
        <w:pStyle w:val="aDefpara"/>
      </w:pPr>
      <w:r w:rsidRPr="00F04D8E">
        <w:tab/>
        <w:t>(b)</w:t>
      </w:r>
      <w:r w:rsidRPr="00F04D8E">
        <w:tab/>
        <w:t>schedules the work times and rest times of the vehicle’s driver.</w:t>
      </w:r>
    </w:p>
    <w:p w14:paraId="386566D1" w14:textId="2CA832CA" w:rsidR="00DB5EAD" w:rsidRDefault="00DB5EAD" w:rsidP="00DB6E47">
      <w:pPr>
        <w:pStyle w:val="aDef"/>
        <w:rPr>
          <w:b/>
          <w:bCs/>
          <w:i/>
          <w:iCs/>
        </w:rPr>
      </w:pPr>
      <w:r>
        <w:rPr>
          <w:b/>
          <w:bCs/>
          <w:i/>
          <w:iCs/>
          <w:color w:val="000000"/>
          <w:sz w:val="23"/>
          <w:szCs w:val="23"/>
          <w:shd w:val="clear" w:color="auto" w:fill="FFFFFF"/>
        </w:rPr>
        <w:lastRenderedPageBreak/>
        <w:t>second edition ADR</w:t>
      </w:r>
      <w:r>
        <w:rPr>
          <w:color w:val="000000"/>
          <w:sz w:val="23"/>
          <w:szCs w:val="23"/>
          <w:shd w:val="clear" w:color="auto" w:fill="FFFFFF"/>
        </w:rPr>
        <w:t> means an ADR incorporated in the document described as the ‘Australian Design Rules for Motor Vehicle Safety, Second Edition’ originally published by the former Commonwealth Department of Transport.</w:t>
      </w:r>
    </w:p>
    <w:p w14:paraId="263A5770" w14:textId="1ECCF87C" w:rsidR="0081516C" w:rsidRPr="0011312C" w:rsidRDefault="0081516C" w:rsidP="00DB6E47">
      <w:pPr>
        <w:pStyle w:val="aDef"/>
      </w:pPr>
      <w:r w:rsidRPr="0011312C">
        <w:rPr>
          <w:b/>
          <w:bCs/>
          <w:i/>
          <w:iCs/>
        </w:rPr>
        <w:t>self-clearing defect notice</w:t>
      </w:r>
      <w:r w:rsidRPr="0011312C">
        <w:t xml:space="preserve"> means a notice complying with the requirements for a self-clearing defect notice under section 527.</w:t>
      </w:r>
    </w:p>
    <w:p w14:paraId="273935F6" w14:textId="77777777" w:rsidR="00DB6E47" w:rsidRPr="00041046" w:rsidRDefault="00DB6E47" w:rsidP="00DB6E47">
      <w:pPr>
        <w:pStyle w:val="aDef"/>
        <w:rPr>
          <w:bCs/>
        </w:rPr>
      </w:pPr>
      <w:r w:rsidRPr="00041046">
        <w:rPr>
          <w:rStyle w:val="charBoldItals"/>
        </w:rPr>
        <w:t>self-employed driver</w:t>
      </w:r>
      <w:r w:rsidRPr="00041046">
        <w:t>, of a heavy vehicle, means a driver of the vehicle who is not an employed driver of the vehicle.</w:t>
      </w:r>
    </w:p>
    <w:p w14:paraId="58D7E2C7" w14:textId="77777777" w:rsidR="00DB6E47" w:rsidRPr="00041046" w:rsidRDefault="00DB6E47" w:rsidP="00CF52C7">
      <w:pPr>
        <w:pStyle w:val="aDef"/>
        <w:keepNext/>
        <w:rPr>
          <w:bCs/>
        </w:rPr>
      </w:pPr>
      <w:r w:rsidRPr="00041046">
        <w:rPr>
          <w:rStyle w:val="charBoldItals"/>
        </w:rPr>
        <w:t>semitrailer</w:t>
      </w:r>
      <w:r w:rsidRPr="00041046">
        <w:t xml:space="preserve"> means a trailer that has—</w:t>
      </w:r>
    </w:p>
    <w:p w14:paraId="6D23BFE9" w14:textId="77777777" w:rsidR="00DB6E47" w:rsidRPr="00F04D8E" w:rsidRDefault="00DB6E47" w:rsidP="00CF52C7">
      <w:pPr>
        <w:pStyle w:val="aDefpara"/>
        <w:keepNext/>
      </w:pPr>
      <w:r w:rsidRPr="00F04D8E">
        <w:rPr>
          <w:rFonts w:cs="Times"/>
          <w:bCs/>
        </w:rPr>
        <w:tab/>
        <w:t>(a)</w:t>
      </w:r>
      <w:r w:rsidRPr="00F04D8E">
        <w:rPr>
          <w:rFonts w:cs="Times"/>
          <w:bCs/>
        </w:rPr>
        <w:tab/>
        <w:t>1 axle group or a single axle towards the rear; and</w:t>
      </w:r>
    </w:p>
    <w:p w14:paraId="0F8642C3" w14:textId="77777777" w:rsidR="00DB6E47" w:rsidRPr="00F04D8E" w:rsidRDefault="00DB6E47" w:rsidP="00DB6E47">
      <w:pPr>
        <w:pStyle w:val="aDefpara"/>
      </w:pPr>
      <w:r w:rsidRPr="00F04D8E">
        <w:tab/>
        <w:t>(b)</w:t>
      </w:r>
      <w:r w:rsidRPr="00F04D8E">
        <w:tab/>
        <w:t>a means of attachment to a prime mover that results in some of the mass of the trailer’s load being imposed on the prime mover.</w:t>
      </w:r>
    </w:p>
    <w:p w14:paraId="2CBBE2B8" w14:textId="77777777" w:rsidR="00DB6E47" w:rsidRPr="00041046" w:rsidRDefault="00DB6E47" w:rsidP="00554988">
      <w:pPr>
        <w:pStyle w:val="aDef"/>
        <w:keepNext/>
        <w:rPr>
          <w:bCs/>
        </w:rPr>
      </w:pPr>
      <w:r w:rsidRPr="00041046">
        <w:rPr>
          <w:rStyle w:val="charBoldItals"/>
        </w:rPr>
        <w:t>severe risk breach</w:t>
      </w:r>
      <w:r w:rsidRPr="00041046">
        <w:t>—</w:t>
      </w:r>
    </w:p>
    <w:p w14:paraId="3EF5894E" w14:textId="77777777" w:rsidR="00DB6E47" w:rsidRPr="00F04D8E" w:rsidRDefault="00DB6E47" w:rsidP="00DB6E47">
      <w:pPr>
        <w:pStyle w:val="aDefpara"/>
      </w:pPr>
      <w:r w:rsidRPr="00F04D8E">
        <w:rPr>
          <w:rFonts w:cs="Times"/>
          <w:bCs/>
        </w:rPr>
        <w:tab/>
        <w:t>(a)</w:t>
      </w:r>
      <w:r w:rsidRPr="00F04D8E">
        <w:rPr>
          <w:rFonts w:cs="Times"/>
          <w:bCs/>
        </w:rPr>
        <w:tab/>
        <w:t>for a mass requirement—has the meaning given by section</w:t>
      </w:r>
      <w:r w:rsidR="00206DC0">
        <w:rPr>
          <w:rFonts w:cs="Times"/>
          <w:bCs/>
        </w:rPr>
        <w:t> </w:t>
      </w:r>
      <w:r w:rsidRPr="00F04D8E">
        <w:rPr>
          <w:rFonts w:cs="Times"/>
          <w:bCs/>
        </w:rPr>
        <w:t>100; or</w:t>
      </w:r>
    </w:p>
    <w:p w14:paraId="6CA154B8" w14:textId="77777777" w:rsidR="00DB6E47" w:rsidRPr="00F04D8E" w:rsidRDefault="00DB6E47" w:rsidP="00DB6E47">
      <w:pPr>
        <w:pStyle w:val="aDefpara"/>
      </w:pPr>
      <w:r w:rsidRPr="00F04D8E">
        <w:tab/>
        <w:t>(b)</w:t>
      </w:r>
      <w:r w:rsidRPr="00F04D8E">
        <w:tab/>
        <w:t>for a dimension requirement—has the meaning given by section</w:t>
      </w:r>
      <w:r w:rsidR="008218EB">
        <w:t> </w:t>
      </w:r>
      <w:r w:rsidRPr="00F04D8E">
        <w:t>107; or</w:t>
      </w:r>
    </w:p>
    <w:p w14:paraId="043BF974" w14:textId="77777777" w:rsidR="00DB6E47" w:rsidRPr="00F04D8E" w:rsidRDefault="00DB6E47" w:rsidP="00DB6E47">
      <w:pPr>
        <w:pStyle w:val="aDefpara"/>
      </w:pPr>
      <w:r w:rsidRPr="00F04D8E">
        <w:tab/>
        <w:t>(c)</w:t>
      </w:r>
      <w:r w:rsidRPr="00F04D8E">
        <w:tab/>
        <w:t>for a loading requirement—has the meaning given by section</w:t>
      </w:r>
      <w:r w:rsidR="008218EB">
        <w:t> </w:t>
      </w:r>
      <w:r w:rsidRPr="00F04D8E">
        <w:t>114; or</w:t>
      </w:r>
    </w:p>
    <w:p w14:paraId="0BDD8C1E" w14:textId="77777777" w:rsidR="00DB6E47" w:rsidRPr="00F04D8E" w:rsidRDefault="00DB6E47" w:rsidP="00DB6E47">
      <w:pPr>
        <w:pStyle w:val="aDefpara"/>
      </w:pPr>
      <w:r w:rsidRPr="00F04D8E">
        <w:tab/>
        <w:t>(d)</w:t>
      </w:r>
      <w:r w:rsidRPr="00F04D8E">
        <w:tab/>
        <w:t>for a maximum work requirement or minimum rest requirement—has the meaning given by section 222(3).</w:t>
      </w:r>
    </w:p>
    <w:p w14:paraId="4D551E7C" w14:textId="77777777" w:rsidR="00DB6E47" w:rsidRPr="00041046" w:rsidRDefault="00DB6E47" w:rsidP="00DB6E47">
      <w:pPr>
        <w:pStyle w:val="aDef"/>
        <w:rPr>
          <w:bCs/>
        </w:rPr>
      </w:pPr>
      <w:r w:rsidRPr="00041046">
        <w:rPr>
          <w:rStyle w:val="charBoldItals"/>
        </w:rPr>
        <w:t>severe risk breach lower limit</w:t>
      </w:r>
      <w:r w:rsidRPr="00041046">
        <w:t>—</w:t>
      </w:r>
    </w:p>
    <w:p w14:paraId="557F4EBE" w14:textId="77777777" w:rsidR="00DB6E47" w:rsidRPr="00F04D8E" w:rsidRDefault="00DB6E47" w:rsidP="00DB6E47">
      <w:pPr>
        <w:pStyle w:val="aDefpara"/>
      </w:pPr>
      <w:r w:rsidRPr="00F04D8E">
        <w:rPr>
          <w:rFonts w:cs="Times"/>
          <w:bCs/>
        </w:rPr>
        <w:tab/>
        <w:t>(a)</w:t>
      </w:r>
      <w:r w:rsidRPr="00F04D8E">
        <w:rPr>
          <w:rFonts w:cs="Times"/>
          <w:bCs/>
        </w:rPr>
        <w:tab/>
        <w:t>for the purposes of Division 2 of Part 4.2, has the meaning given by section 97; or</w:t>
      </w:r>
    </w:p>
    <w:p w14:paraId="0FFCA4BF" w14:textId="77777777" w:rsidR="00DB6E47" w:rsidRPr="00F04D8E" w:rsidRDefault="00DB6E47" w:rsidP="00DB6E47">
      <w:pPr>
        <w:pStyle w:val="aDefpara"/>
      </w:pPr>
      <w:r w:rsidRPr="00F04D8E">
        <w:tab/>
        <w:t>(b)</w:t>
      </w:r>
      <w:r w:rsidRPr="00F04D8E">
        <w:tab/>
        <w:t>for the purposes of Division 2 of Part 4.3, has the meaning given by section 104.</w:t>
      </w:r>
    </w:p>
    <w:p w14:paraId="6A48DF11" w14:textId="77777777" w:rsidR="00DB6E47" w:rsidRPr="00041046" w:rsidRDefault="00DB6E47" w:rsidP="00DB6E47">
      <w:pPr>
        <w:pStyle w:val="aDef"/>
        <w:rPr>
          <w:bCs/>
        </w:rPr>
      </w:pPr>
      <w:r w:rsidRPr="00041046">
        <w:rPr>
          <w:rStyle w:val="charBoldItals"/>
        </w:rPr>
        <w:t>sign of fatigue</w:t>
      </w:r>
      <w:r w:rsidRPr="00041046">
        <w:t>, for the purposes of Chapter 6, has the meaning given by section 221.</w:t>
      </w:r>
    </w:p>
    <w:p w14:paraId="08A28B69" w14:textId="77777777" w:rsidR="00DB6E47" w:rsidRPr="00041046" w:rsidRDefault="00DB6E47" w:rsidP="00DB6E47">
      <w:pPr>
        <w:pStyle w:val="aDef"/>
        <w:rPr>
          <w:bCs/>
        </w:rPr>
      </w:pPr>
      <w:r w:rsidRPr="00041046">
        <w:rPr>
          <w:rStyle w:val="charBoldItals"/>
        </w:rPr>
        <w:lastRenderedPageBreak/>
        <w:t>single axle</w:t>
      </w:r>
      <w:r w:rsidRPr="00041046">
        <w:t xml:space="preserve"> means—</w:t>
      </w:r>
    </w:p>
    <w:p w14:paraId="5ECAF4C3"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1 axle; or</w:t>
      </w:r>
    </w:p>
    <w:p w14:paraId="2B1CD0D5" w14:textId="77777777" w:rsidR="00DB6E47" w:rsidRPr="00F04D8E" w:rsidRDefault="00DB6E47" w:rsidP="00DB6E47">
      <w:pPr>
        <w:pStyle w:val="aDefpara"/>
      </w:pPr>
      <w:r>
        <w:tab/>
      </w:r>
      <w:r w:rsidRPr="00F04D8E">
        <w:t>(b)</w:t>
      </w:r>
      <w:r w:rsidRPr="00F04D8E">
        <w:tab/>
        <w:t>2 axles with centres between transverse, parallel, vertical planes spaced less than 1.0m apart.</w:t>
      </w:r>
    </w:p>
    <w:p w14:paraId="0B8435C0" w14:textId="77777777" w:rsidR="00DB6E47" w:rsidRPr="00041046" w:rsidRDefault="00DB6E47" w:rsidP="00DB6E47">
      <w:pPr>
        <w:pStyle w:val="aDef"/>
        <w:rPr>
          <w:bCs/>
        </w:rPr>
      </w:pPr>
      <w:r w:rsidRPr="00041046">
        <w:rPr>
          <w:rStyle w:val="charBoldItals"/>
        </w:rPr>
        <w:t>solo driver</w:t>
      </w:r>
      <w:r w:rsidRPr="00041046">
        <w:t>, for the purposes of Chapter 6, has the meaning given by section 221.</w:t>
      </w:r>
    </w:p>
    <w:p w14:paraId="6A0ECD55" w14:textId="77777777" w:rsidR="00DB6E47" w:rsidRPr="00041046" w:rsidRDefault="00DB6E47" w:rsidP="00C00E28">
      <w:pPr>
        <w:pStyle w:val="aDef"/>
        <w:keepNext/>
        <w:rPr>
          <w:bCs/>
        </w:rPr>
      </w:pPr>
      <w:r w:rsidRPr="00041046">
        <w:rPr>
          <w:rStyle w:val="charBoldItals"/>
        </w:rPr>
        <w:t xml:space="preserve">speed limit </w:t>
      </w:r>
      <w:r w:rsidRPr="00041046">
        <w:t>means—</w:t>
      </w:r>
    </w:p>
    <w:p w14:paraId="54E813C3" w14:textId="77777777" w:rsidR="00DB6E47" w:rsidRPr="00F04D8E" w:rsidRDefault="00DB6E47" w:rsidP="00C00E28">
      <w:pPr>
        <w:pStyle w:val="aDefpara"/>
        <w:keepNext/>
      </w:pPr>
      <w:r>
        <w:rPr>
          <w:rFonts w:cs="Times"/>
          <w:bCs/>
        </w:rPr>
        <w:tab/>
      </w:r>
      <w:r w:rsidRPr="00F04D8E">
        <w:rPr>
          <w:rFonts w:cs="Times"/>
          <w:bCs/>
        </w:rPr>
        <w:t>(a)</w:t>
      </w:r>
      <w:r w:rsidRPr="00F04D8E">
        <w:rPr>
          <w:rFonts w:cs="Times"/>
          <w:bCs/>
        </w:rPr>
        <w:tab/>
        <w:t>a speed limit applying under this Law, the Road Rules or another law; and</w:t>
      </w:r>
    </w:p>
    <w:p w14:paraId="664B1088" w14:textId="77777777" w:rsidR="00DB6E47" w:rsidRPr="00F04D8E" w:rsidRDefault="00DB6E47" w:rsidP="00554988">
      <w:pPr>
        <w:pStyle w:val="aDefpara"/>
        <w:keepLines/>
      </w:pPr>
      <w:r>
        <w:tab/>
      </w:r>
      <w:r w:rsidRPr="00F04D8E">
        <w:t>(b)</w:t>
      </w:r>
      <w:r w:rsidRPr="00F04D8E">
        <w:tab/>
        <w:t>when used in the context of a speed limit applying to the driver of a heavy vehicle—a speed limit applying to the driver or the vehicle (or both) under this Law, the Road Rules or another law (whether it applies specifically to the particular driver or the particular vehicle or it applies to all drivers or vehicles or to a class of drivers or vehicles to which the driver or vehicle belongs).</w:t>
      </w:r>
    </w:p>
    <w:p w14:paraId="68C61270" w14:textId="77777777" w:rsidR="00DB6E47" w:rsidRPr="007E1F9A" w:rsidRDefault="00DB6E47" w:rsidP="00DB6E47">
      <w:pPr>
        <w:pStyle w:val="aNote"/>
      </w:pPr>
      <w:r w:rsidRPr="00FF4454">
        <w:rPr>
          <w:rStyle w:val="charItals"/>
        </w:rPr>
        <w:t>Note</w:t>
      </w:r>
      <w:r w:rsidRPr="00C96203">
        <w:rPr>
          <w:rFonts w:cs="Times"/>
          <w:bCs/>
        </w:rPr>
        <w:t>—</w:t>
      </w:r>
    </w:p>
    <w:p w14:paraId="11BE3525" w14:textId="77777777" w:rsidR="00DB6E47" w:rsidRPr="007E1F9A" w:rsidRDefault="00DB6E47" w:rsidP="00DB6E47">
      <w:pPr>
        <w:pStyle w:val="aNoteTextss"/>
      </w:pPr>
      <w:r w:rsidRPr="007E1F9A">
        <w:t>A reference to a speed limit applying under this Law, the Road Rules or another law covers both—</w:t>
      </w:r>
    </w:p>
    <w:p w14:paraId="490999D8" w14:textId="77777777" w:rsidR="00DB6E47" w:rsidRPr="007E1F9A" w:rsidRDefault="00DB6E47" w:rsidP="00DB6E47">
      <w:pPr>
        <w:pStyle w:val="aNoteBulletss"/>
      </w:pPr>
      <w:r w:rsidRPr="007E1F9A">
        <w:t xml:space="preserve">• </w:t>
      </w:r>
      <w:r w:rsidRPr="007E1F9A">
        <w:tab/>
        <w:t>a speed limit specified in this Law, the Road Rules or other law</w:t>
      </w:r>
    </w:p>
    <w:p w14:paraId="105FBF4D" w14:textId="77777777" w:rsidR="00DB6E47" w:rsidRPr="007E1F9A" w:rsidRDefault="00DB6E47" w:rsidP="00DB6E47">
      <w:pPr>
        <w:pStyle w:val="aNoteBulletss"/>
      </w:pPr>
      <w:r w:rsidRPr="007E1F9A">
        <w:t xml:space="preserve">• </w:t>
      </w:r>
      <w:r w:rsidRPr="007E1F9A">
        <w:tab/>
        <w:t>a speed limit specified in an instrument, or in some other manner, under this Law, the Road Rules or other law (for example, a speed limit specified in a permit or a Commonwealth Gazette notice)</w:t>
      </w:r>
    </w:p>
    <w:p w14:paraId="443A998E" w14:textId="77777777" w:rsidR="00DB6E47" w:rsidRPr="00041046" w:rsidRDefault="00DB6E47" w:rsidP="00DB6E47">
      <w:pPr>
        <w:pStyle w:val="aDef"/>
        <w:rPr>
          <w:bCs/>
        </w:rPr>
      </w:pPr>
      <w:r w:rsidRPr="00041046">
        <w:rPr>
          <w:rStyle w:val="charBoldItals"/>
        </w:rPr>
        <w:t>standard hours</w:t>
      </w:r>
      <w:r w:rsidRPr="00041046">
        <w:t>, for the purposes of Chapter 6, has the meaning given by section 249.</w:t>
      </w:r>
    </w:p>
    <w:p w14:paraId="1721B95A" w14:textId="77777777" w:rsidR="00DB6E47" w:rsidRPr="00041046" w:rsidRDefault="00DB6E47" w:rsidP="00DB6E47">
      <w:pPr>
        <w:pStyle w:val="aDef"/>
        <w:rPr>
          <w:bCs/>
        </w:rPr>
      </w:pPr>
      <w:r w:rsidRPr="00041046">
        <w:rPr>
          <w:rStyle w:val="charBoldItals"/>
        </w:rPr>
        <w:t>Standards Australia</w:t>
      </w:r>
      <w:r w:rsidRPr="00041046">
        <w:t xml:space="preserve"> means Standards Australia Limited CAN 087 326 690, and includes a reference to the Standards Association of Australia as constituted before 1 July 1999.</w:t>
      </w:r>
    </w:p>
    <w:p w14:paraId="03D0603B" w14:textId="77777777" w:rsidR="00DB6E47" w:rsidRPr="00041046" w:rsidRDefault="00DB6E47" w:rsidP="00DB6E47">
      <w:pPr>
        <w:pStyle w:val="aDef"/>
        <w:rPr>
          <w:bCs/>
        </w:rPr>
      </w:pPr>
      <w:r w:rsidRPr="00041046">
        <w:rPr>
          <w:rStyle w:val="charBoldItals"/>
        </w:rPr>
        <w:t>stationary rest time</w:t>
      </w:r>
      <w:r w:rsidRPr="00041046">
        <w:t xml:space="preserve"> has the meaning given by section 221.</w:t>
      </w:r>
    </w:p>
    <w:p w14:paraId="6C086330" w14:textId="77777777" w:rsidR="00DB6E47" w:rsidRPr="00041046" w:rsidRDefault="00DB6E47" w:rsidP="00752521">
      <w:pPr>
        <w:pStyle w:val="aDef"/>
        <w:keepNext/>
        <w:rPr>
          <w:bCs/>
        </w:rPr>
      </w:pPr>
      <w:r w:rsidRPr="00041046">
        <w:rPr>
          <w:rStyle w:val="charBoldItals"/>
        </w:rPr>
        <w:lastRenderedPageBreak/>
        <w:t>substantial risk breach</w:t>
      </w:r>
      <w:r w:rsidRPr="00041046">
        <w:t>—</w:t>
      </w:r>
    </w:p>
    <w:p w14:paraId="18D22BA4" w14:textId="77777777" w:rsidR="00DB6E47" w:rsidRPr="00F04D8E" w:rsidRDefault="00DB6E47" w:rsidP="00DB6E47">
      <w:pPr>
        <w:pStyle w:val="aDefpara"/>
      </w:pPr>
      <w:r w:rsidRPr="00F04D8E">
        <w:rPr>
          <w:rFonts w:cs="Times"/>
          <w:bCs/>
        </w:rPr>
        <w:tab/>
        <w:t>(a)</w:t>
      </w:r>
      <w:r w:rsidRPr="00F04D8E">
        <w:rPr>
          <w:rFonts w:cs="Times"/>
          <w:bCs/>
        </w:rPr>
        <w:tab/>
        <w:t>for a mass requirement—has the meaning given by section 99; or</w:t>
      </w:r>
    </w:p>
    <w:p w14:paraId="51E0E827" w14:textId="77777777" w:rsidR="00DB6E47" w:rsidRPr="00F04D8E" w:rsidRDefault="00DB6E47" w:rsidP="00DB6E47">
      <w:pPr>
        <w:pStyle w:val="aDefpara"/>
      </w:pPr>
      <w:r w:rsidRPr="00F04D8E">
        <w:tab/>
        <w:t>(b)</w:t>
      </w:r>
      <w:r w:rsidRPr="00F04D8E">
        <w:tab/>
        <w:t>for a dimension requirement—has the meaning given by section 106; or</w:t>
      </w:r>
    </w:p>
    <w:p w14:paraId="3C36F523" w14:textId="77777777" w:rsidR="00DB6E47" w:rsidRPr="00F04D8E" w:rsidRDefault="00DB6E47" w:rsidP="00DB6E47">
      <w:pPr>
        <w:pStyle w:val="aDefpara"/>
      </w:pPr>
      <w:r w:rsidRPr="00F04D8E">
        <w:tab/>
        <w:t>(c)</w:t>
      </w:r>
      <w:r w:rsidRPr="00F04D8E">
        <w:tab/>
        <w:t>for a loading requirement—has the meaning given by section</w:t>
      </w:r>
      <w:r w:rsidR="001135C9">
        <w:t> </w:t>
      </w:r>
      <w:r w:rsidRPr="00F04D8E">
        <w:t>113; or</w:t>
      </w:r>
    </w:p>
    <w:p w14:paraId="236718CF" w14:textId="77777777" w:rsidR="00DB6E47" w:rsidRPr="00F04D8E" w:rsidRDefault="00DB6E47" w:rsidP="00DB6E47">
      <w:pPr>
        <w:pStyle w:val="aDefpara"/>
      </w:pPr>
      <w:r w:rsidRPr="00F04D8E">
        <w:tab/>
        <w:t>(d)</w:t>
      </w:r>
      <w:r w:rsidRPr="00F04D8E">
        <w:tab/>
        <w:t>for a maximum work requirement or minimum rest requirement—has the meaning given by section 222(2).</w:t>
      </w:r>
    </w:p>
    <w:p w14:paraId="452F6F8D" w14:textId="77777777" w:rsidR="00DB6E47" w:rsidRPr="00041046" w:rsidRDefault="00DB6E47" w:rsidP="00DB6E47">
      <w:pPr>
        <w:pStyle w:val="aDef"/>
        <w:rPr>
          <w:bCs/>
        </w:rPr>
      </w:pPr>
      <w:r w:rsidRPr="00041046">
        <w:rPr>
          <w:rStyle w:val="charBoldItals"/>
        </w:rPr>
        <w:t>substantial risk breach lower limit</w:t>
      </w:r>
      <w:r w:rsidRPr="00041046">
        <w:t>—</w:t>
      </w:r>
    </w:p>
    <w:p w14:paraId="47D75076" w14:textId="77777777" w:rsidR="00DB6E47" w:rsidRPr="00F04D8E" w:rsidRDefault="00DB6E47" w:rsidP="00DB6E47">
      <w:pPr>
        <w:pStyle w:val="aDefpara"/>
      </w:pPr>
      <w:r w:rsidRPr="00F04D8E">
        <w:rPr>
          <w:rFonts w:cs="Times"/>
          <w:bCs/>
        </w:rPr>
        <w:tab/>
        <w:t>(a)</w:t>
      </w:r>
      <w:r w:rsidRPr="00F04D8E">
        <w:rPr>
          <w:rFonts w:cs="Times"/>
          <w:bCs/>
        </w:rPr>
        <w:tab/>
        <w:t>for the purposes of Division 2 of Part 4.2, has the meaning given by section 97; or</w:t>
      </w:r>
    </w:p>
    <w:p w14:paraId="2A368959" w14:textId="77777777" w:rsidR="00DB6E47" w:rsidRPr="00F04D8E" w:rsidRDefault="00DB6E47" w:rsidP="00DB6E47">
      <w:pPr>
        <w:pStyle w:val="aDefpara"/>
      </w:pPr>
      <w:r w:rsidRPr="00F04D8E">
        <w:tab/>
        <w:t>(b)</w:t>
      </w:r>
      <w:r w:rsidRPr="00F04D8E">
        <w:tab/>
        <w:t>for the purposes of Division 2 of Part 4.3, has the meaning given by section 104.</w:t>
      </w:r>
    </w:p>
    <w:p w14:paraId="093FE3F1" w14:textId="77777777" w:rsidR="00DB6E47" w:rsidRPr="00041046" w:rsidRDefault="00DB6E47" w:rsidP="00DB6E47">
      <w:pPr>
        <w:pStyle w:val="aDef"/>
        <w:rPr>
          <w:bCs/>
        </w:rPr>
      </w:pPr>
      <w:r w:rsidRPr="00041046">
        <w:rPr>
          <w:rStyle w:val="charBoldItals"/>
        </w:rPr>
        <w:t>suitable rest place</w:t>
      </w:r>
      <w:r w:rsidRPr="00041046">
        <w:t>, for fatigue-regulated heavy vehicles, means—</w:t>
      </w:r>
    </w:p>
    <w:p w14:paraId="73184866" w14:textId="77777777" w:rsidR="00DB6E47" w:rsidRPr="00F04D8E" w:rsidRDefault="00DB6E47" w:rsidP="00DB6E47">
      <w:pPr>
        <w:pStyle w:val="aDefpara"/>
      </w:pPr>
      <w:r w:rsidRPr="00F04D8E">
        <w:rPr>
          <w:rFonts w:cs="Times"/>
          <w:bCs/>
        </w:rPr>
        <w:tab/>
        <w:t>(a)</w:t>
      </w:r>
      <w:r w:rsidRPr="00F04D8E">
        <w:rPr>
          <w:rFonts w:cs="Times"/>
          <w:bCs/>
        </w:rPr>
        <w:tab/>
        <w:t>a rest area designated for use, and able to be used, by fatigue-regulated heavy vehicles; or</w:t>
      </w:r>
    </w:p>
    <w:p w14:paraId="059E6592" w14:textId="77777777" w:rsidR="00DB6E47" w:rsidRPr="00F04D8E" w:rsidRDefault="00DB6E47" w:rsidP="00DB6E47">
      <w:pPr>
        <w:pStyle w:val="aDefpara"/>
      </w:pPr>
      <w:r w:rsidRPr="00F04D8E">
        <w:tab/>
        <w:t>(b)</w:t>
      </w:r>
      <w:r w:rsidRPr="00F04D8E">
        <w:tab/>
        <w:t>a place at which a fatigue-regulated heavy vehicle may be safely and lawfully parked.</w:t>
      </w:r>
    </w:p>
    <w:p w14:paraId="28AB56E6" w14:textId="77777777" w:rsidR="00DB6E47" w:rsidRPr="00041046" w:rsidRDefault="00DB6E47" w:rsidP="00DB6E47">
      <w:pPr>
        <w:pStyle w:val="aDef"/>
        <w:rPr>
          <w:bCs/>
        </w:rPr>
      </w:pPr>
      <w:r w:rsidRPr="00041046">
        <w:rPr>
          <w:rStyle w:val="charBoldItals"/>
        </w:rPr>
        <w:t>supervisory intervention order</w:t>
      </w:r>
      <w:r w:rsidRPr="00041046">
        <w:t xml:space="preserve"> has the meaning given by section</w:t>
      </w:r>
      <w:r w:rsidR="001135C9">
        <w:t> </w:t>
      </w:r>
      <w:r w:rsidRPr="00041046">
        <w:t>600(1).</w:t>
      </w:r>
    </w:p>
    <w:p w14:paraId="50318C9F" w14:textId="77777777" w:rsidR="00DB6E47" w:rsidRPr="00041046" w:rsidRDefault="00DB6E47" w:rsidP="00DB6E47">
      <w:pPr>
        <w:pStyle w:val="aDef"/>
        <w:rPr>
          <w:bCs/>
        </w:rPr>
      </w:pPr>
      <w:r w:rsidRPr="00041046">
        <w:rPr>
          <w:rStyle w:val="charBoldItals"/>
        </w:rPr>
        <w:t>supplementary record</w:t>
      </w:r>
      <w:r w:rsidRPr="00041046">
        <w:t>, for the purposes of Chapter 6, has the meaning given by section 221.</w:t>
      </w:r>
    </w:p>
    <w:p w14:paraId="17EC8C27" w14:textId="77777777" w:rsidR="00DB6E47" w:rsidRPr="00041046" w:rsidRDefault="00DB6E47" w:rsidP="00DB6E47">
      <w:pPr>
        <w:pStyle w:val="aDef"/>
        <w:rPr>
          <w:bCs/>
        </w:rPr>
      </w:pPr>
      <w:r w:rsidRPr="00041046">
        <w:rPr>
          <w:rStyle w:val="charBoldItals"/>
        </w:rPr>
        <w:t>tamper</w:t>
      </w:r>
      <w:r w:rsidRPr="00041046">
        <w:t>—</w:t>
      </w:r>
    </w:p>
    <w:p w14:paraId="68C96638" w14:textId="77777777" w:rsidR="00DB6E47" w:rsidRDefault="00DB6E47" w:rsidP="00DB6E47">
      <w:pPr>
        <w:pStyle w:val="aDefpara"/>
        <w:rPr>
          <w:rFonts w:cs="Times"/>
          <w:bCs/>
        </w:rPr>
      </w:pPr>
      <w:r>
        <w:rPr>
          <w:rFonts w:cs="Times"/>
          <w:bCs/>
        </w:rPr>
        <w:tab/>
      </w:r>
      <w:r w:rsidRPr="00F04D8E">
        <w:rPr>
          <w:rFonts w:cs="Times"/>
          <w:bCs/>
        </w:rPr>
        <w:t>(a)</w:t>
      </w:r>
      <w:r w:rsidRPr="00F04D8E">
        <w:rPr>
          <w:rFonts w:cs="Times"/>
          <w:bCs/>
        </w:rPr>
        <w:tab/>
        <w:t>with an emission control system, for the purposes of section</w:t>
      </w:r>
      <w:r w:rsidR="00206DC0">
        <w:rPr>
          <w:rFonts w:cs="Times"/>
          <w:bCs/>
        </w:rPr>
        <w:t> </w:t>
      </w:r>
      <w:r w:rsidRPr="00F04D8E">
        <w:rPr>
          <w:rFonts w:cs="Times"/>
          <w:bCs/>
        </w:rPr>
        <w:t>91, has the me</w:t>
      </w:r>
      <w:r w:rsidR="00D05D82">
        <w:rPr>
          <w:rFonts w:cs="Times"/>
          <w:bCs/>
        </w:rPr>
        <w:t>aning given by that section; or</w:t>
      </w:r>
    </w:p>
    <w:p w14:paraId="11635913" w14:textId="77777777" w:rsidR="00D05D82" w:rsidRPr="00F04D8E" w:rsidRDefault="00D05D82" w:rsidP="00DB6E47">
      <w:pPr>
        <w:pStyle w:val="aDefpara"/>
      </w:pPr>
      <w:r>
        <w:rPr>
          <w:rFonts w:cs="Times"/>
          <w:bCs/>
        </w:rPr>
        <w:tab/>
        <w:t>(b)</w:t>
      </w:r>
      <w:r>
        <w:rPr>
          <w:rFonts w:cs="Times"/>
          <w:bCs/>
        </w:rPr>
        <w:tab/>
      </w:r>
      <w:r>
        <w:rPr>
          <w:spacing w:val="-1"/>
        </w:rPr>
        <w:t>with</w:t>
      </w:r>
      <w:r>
        <w:rPr>
          <w:spacing w:val="53"/>
        </w:rPr>
        <w:t xml:space="preserve"> </w:t>
      </w:r>
      <w:r>
        <w:t>a</w:t>
      </w:r>
      <w:r>
        <w:rPr>
          <w:spacing w:val="53"/>
        </w:rPr>
        <w:t xml:space="preserve"> </w:t>
      </w:r>
      <w:r>
        <w:rPr>
          <w:spacing w:val="-1"/>
        </w:rPr>
        <w:t>plate</w:t>
      </w:r>
      <w:r>
        <w:rPr>
          <w:spacing w:val="53"/>
        </w:rPr>
        <w:t xml:space="preserve"> </w:t>
      </w:r>
      <w:r>
        <w:rPr>
          <w:spacing w:val="-1"/>
        </w:rPr>
        <w:t>or</w:t>
      </w:r>
      <w:r>
        <w:rPr>
          <w:spacing w:val="53"/>
        </w:rPr>
        <w:t xml:space="preserve"> </w:t>
      </w:r>
      <w:r>
        <w:rPr>
          <w:spacing w:val="-1"/>
        </w:rPr>
        <w:t>label,</w:t>
      </w:r>
      <w:r>
        <w:rPr>
          <w:spacing w:val="53"/>
        </w:rPr>
        <w:t xml:space="preserve"> </w:t>
      </w:r>
      <w:r>
        <w:rPr>
          <w:spacing w:val="-1"/>
        </w:rPr>
        <w:t>for</w:t>
      </w:r>
      <w:r>
        <w:rPr>
          <w:spacing w:val="53"/>
        </w:rPr>
        <w:t xml:space="preserve"> </w:t>
      </w:r>
      <w:r>
        <w:rPr>
          <w:spacing w:val="-1"/>
        </w:rPr>
        <w:t>the</w:t>
      </w:r>
      <w:r>
        <w:rPr>
          <w:spacing w:val="53"/>
        </w:rPr>
        <w:t xml:space="preserve"> </w:t>
      </w:r>
      <w:r>
        <w:rPr>
          <w:spacing w:val="-1"/>
        </w:rPr>
        <w:t>purposes</w:t>
      </w:r>
      <w:r>
        <w:rPr>
          <w:spacing w:val="53"/>
        </w:rPr>
        <w:t xml:space="preserve"> </w:t>
      </w:r>
      <w:r>
        <w:rPr>
          <w:spacing w:val="-1"/>
        </w:rPr>
        <w:t>of</w:t>
      </w:r>
      <w:r>
        <w:rPr>
          <w:spacing w:val="28"/>
        </w:rPr>
        <w:t xml:space="preserve"> </w:t>
      </w:r>
      <w:r>
        <w:rPr>
          <w:spacing w:val="-1"/>
        </w:rPr>
        <w:t>section</w:t>
      </w:r>
      <w:r>
        <w:rPr>
          <w:spacing w:val="17"/>
        </w:rPr>
        <w:t xml:space="preserve"> </w:t>
      </w:r>
      <w:r>
        <w:rPr>
          <w:spacing w:val="-1"/>
        </w:rPr>
        <w:t>87A,</w:t>
      </w:r>
      <w:r>
        <w:rPr>
          <w:spacing w:val="17"/>
        </w:rPr>
        <w:t xml:space="preserve"> </w:t>
      </w:r>
      <w:r>
        <w:rPr>
          <w:spacing w:val="-1"/>
        </w:rPr>
        <w:t>has</w:t>
      </w:r>
      <w:r>
        <w:rPr>
          <w:spacing w:val="17"/>
        </w:rPr>
        <w:t xml:space="preserve"> </w:t>
      </w:r>
      <w:r>
        <w:rPr>
          <w:spacing w:val="-1"/>
        </w:rPr>
        <w:t>the</w:t>
      </w:r>
      <w:r>
        <w:rPr>
          <w:spacing w:val="17"/>
        </w:rPr>
        <w:t xml:space="preserve"> </w:t>
      </w:r>
      <w:r>
        <w:rPr>
          <w:spacing w:val="-1"/>
        </w:rPr>
        <w:t>meaning</w:t>
      </w:r>
      <w:r>
        <w:rPr>
          <w:spacing w:val="17"/>
        </w:rPr>
        <w:t xml:space="preserve"> </w:t>
      </w:r>
      <w:r>
        <w:rPr>
          <w:spacing w:val="-3"/>
        </w:rPr>
        <w:t>given</w:t>
      </w:r>
      <w:r>
        <w:rPr>
          <w:spacing w:val="17"/>
        </w:rPr>
        <w:t xml:space="preserve"> </w:t>
      </w:r>
      <w:r>
        <w:rPr>
          <w:spacing w:val="-1"/>
        </w:rPr>
        <w:t>by</w:t>
      </w:r>
      <w:r>
        <w:rPr>
          <w:spacing w:val="17"/>
        </w:rPr>
        <w:t xml:space="preserve"> </w:t>
      </w:r>
      <w:r>
        <w:rPr>
          <w:spacing w:val="-1"/>
        </w:rPr>
        <w:t>that</w:t>
      </w:r>
      <w:r>
        <w:rPr>
          <w:spacing w:val="20"/>
        </w:rPr>
        <w:t xml:space="preserve"> </w:t>
      </w:r>
      <w:r>
        <w:rPr>
          <w:spacing w:val="-1"/>
        </w:rPr>
        <w:t>section; or</w:t>
      </w:r>
    </w:p>
    <w:p w14:paraId="2B5CE281" w14:textId="77777777" w:rsidR="00DB6E47" w:rsidRPr="00F04D8E" w:rsidRDefault="00DB6E47" w:rsidP="00DB6E47">
      <w:pPr>
        <w:pStyle w:val="aDefpara"/>
      </w:pPr>
      <w:r>
        <w:lastRenderedPageBreak/>
        <w:tab/>
      </w:r>
      <w:r w:rsidR="00D05D82">
        <w:t>(c</w:t>
      </w:r>
      <w:r w:rsidRPr="00F04D8E">
        <w:t>)</w:t>
      </w:r>
      <w:r w:rsidRPr="00F04D8E">
        <w:tab/>
        <w:t>with a speed limiter, for the purposes of section 93, has the meaning given by that section; or</w:t>
      </w:r>
    </w:p>
    <w:p w14:paraId="256A35F9" w14:textId="77777777" w:rsidR="00DB6E47" w:rsidRPr="00F04D8E" w:rsidRDefault="00D05D82" w:rsidP="00DB6E47">
      <w:pPr>
        <w:pStyle w:val="aDefpara"/>
      </w:pPr>
      <w:r>
        <w:tab/>
        <w:t>(d</w:t>
      </w:r>
      <w:r w:rsidR="00DB6E47" w:rsidRPr="00F04D8E">
        <w:t>)</w:t>
      </w:r>
      <w:r w:rsidR="00DB6E47" w:rsidRPr="00F04D8E">
        <w:tab/>
        <w:t>with an approved electronic recording system, for the purposes of Chapter 6, has the meaning given by section 334; or</w:t>
      </w:r>
    </w:p>
    <w:p w14:paraId="76A55364" w14:textId="77777777" w:rsidR="00DB6E47" w:rsidRPr="00F04D8E" w:rsidRDefault="00DB6E47" w:rsidP="00DB6E47">
      <w:pPr>
        <w:pStyle w:val="aDefpara"/>
      </w:pPr>
      <w:r w:rsidRPr="00F04D8E">
        <w:tab/>
        <w:t>(</w:t>
      </w:r>
      <w:r w:rsidR="00D05D82">
        <w:t>e</w:t>
      </w:r>
      <w:r w:rsidRPr="00F04D8E">
        <w:t>)</w:t>
      </w:r>
      <w:r w:rsidRPr="00F04D8E">
        <w:tab/>
        <w:t>with an approved intelligent transport system, for the purposes of Chapter 7, has the meaning given by section 403.</w:t>
      </w:r>
    </w:p>
    <w:p w14:paraId="3F7D1D89" w14:textId="77777777" w:rsidR="00DB6E47" w:rsidRPr="00041046" w:rsidRDefault="00DB6E47" w:rsidP="00DB6E47">
      <w:pPr>
        <w:pStyle w:val="aDef"/>
        <w:rPr>
          <w:bCs/>
        </w:rPr>
      </w:pPr>
      <w:r w:rsidRPr="00041046">
        <w:rPr>
          <w:rStyle w:val="charBoldItals"/>
        </w:rPr>
        <w:t>tandem axle group</w:t>
      </w:r>
      <w:r w:rsidRPr="00041046">
        <w:t xml:space="preserve"> means a group of at least 2 axles, in which the horizontal distance between the centre-lines of the outermost axles is at least 1m but not more than 2m.</w:t>
      </w:r>
    </w:p>
    <w:p w14:paraId="3DE2F480" w14:textId="77777777" w:rsidR="00DB6E47" w:rsidRPr="00041046" w:rsidRDefault="00DB6E47" w:rsidP="00DB6E47">
      <w:pPr>
        <w:pStyle w:val="aDef"/>
        <w:rPr>
          <w:bCs/>
        </w:rPr>
      </w:pPr>
      <w:r w:rsidRPr="00041046">
        <w:rPr>
          <w:rStyle w:val="charBoldItals"/>
        </w:rPr>
        <w:t>TCA</w:t>
      </w:r>
      <w:r w:rsidRPr="00041046">
        <w:t xml:space="preserve"> means Transport Certification Australia Limited ACN 113 379 936.</w:t>
      </w:r>
    </w:p>
    <w:p w14:paraId="46CAA346" w14:textId="77777777" w:rsidR="00DB6E47" w:rsidRPr="00041046" w:rsidRDefault="00DB6E47" w:rsidP="00DB6E47">
      <w:pPr>
        <w:pStyle w:val="aDef"/>
        <w:rPr>
          <w:bCs/>
        </w:rPr>
      </w:pPr>
      <w:r w:rsidRPr="00041046">
        <w:rPr>
          <w:rStyle w:val="charBoldItals"/>
        </w:rPr>
        <w:t>Territory</w:t>
      </w:r>
      <w:r w:rsidRPr="00041046">
        <w:t xml:space="preserve"> means the Australian Capital Territory or the Northern Territory.</w:t>
      </w:r>
    </w:p>
    <w:p w14:paraId="66E686EC" w14:textId="77777777" w:rsidR="00DB6E47" w:rsidRPr="00041046" w:rsidRDefault="00DB6E47" w:rsidP="00DB6E47">
      <w:pPr>
        <w:pStyle w:val="aDef"/>
        <w:rPr>
          <w:bCs/>
        </w:rPr>
      </w:pPr>
      <w:r w:rsidRPr="00041046">
        <w:rPr>
          <w:rStyle w:val="charBoldItals"/>
        </w:rPr>
        <w:t>the State</w:t>
      </w:r>
      <w:r w:rsidRPr="00041046">
        <w:t xml:space="preserve"> means the Crown in right of this jurisdiction, and includes—</w:t>
      </w:r>
    </w:p>
    <w:p w14:paraId="34D30B6A" w14:textId="77777777" w:rsidR="00DB6E47" w:rsidRPr="00F04D8E" w:rsidRDefault="00DB6E47" w:rsidP="00DB6E47">
      <w:pPr>
        <w:pStyle w:val="aDefpara"/>
      </w:pPr>
      <w:r w:rsidRPr="00F04D8E">
        <w:rPr>
          <w:rFonts w:cs="Times"/>
          <w:bCs/>
        </w:rPr>
        <w:tab/>
        <w:t>(a)</w:t>
      </w:r>
      <w:r w:rsidRPr="00F04D8E">
        <w:rPr>
          <w:rFonts w:cs="Times"/>
          <w:bCs/>
        </w:rPr>
        <w:tab/>
        <w:t>the Government of this jurisdiction; and</w:t>
      </w:r>
    </w:p>
    <w:p w14:paraId="1F69A8C4" w14:textId="77777777" w:rsidR="00DB6E47" w:rsidRPr="00F04D8E" w:rsidRDefault="00DB6E47" w:rsidP="00DB6E47">
      <w:pPr>
        <w:pStyle w:val="aDefpara"/>
      </w:pPr>
      <w:r w:rsidRPr="00F04D8E">
        <w:tab/>
        <w:t>(b)</w:t>
      </w:r>
      <w:r w:rsidRPr="00F04D8E">
        <w:tab/>
        <w:t>a Minister of the Crown in right of this jurisdiction; and</w:t>
      </w:r>
    </w:p>
    <w:p w14:paraId="337C3714" w14:textId="77777777" w:rsidR="00DB6E47" w:rsidRPr="00F04D8E" w:rsidRDefault="00DB6E47" w:rsidP="00DB6E47">
      <w:pPr>
        <w:pStyle w:val="aDefpara"/>
      </w:pPr>
      <w:r w:rsidRPr="00F04D8E">
        <w:tab/>
        <w:t>(c)</w:t>
      </w:r>
      <w:r w:rsidRPr="00F04D8E">
        <w:tab/>
        <w:t>a statutory corporation, or other entity, representing the Crown in right of this jurisdiction.</w:t>
      </w:r>
    </w:p>
    <w:p w14:paraId="312B7057" w14:textId="77777777" w:rsidR="00DB5EAD" w:rsidRPr="00DB5EAD" w:rsidRDefault="00DB5EAD" w:rsidP="00DB5EAD">
      <w:pPr>
        <w:pStyle w:val="aDef"/>
        <w:rPr>
          <w:lang w:eastAsia="en-AU"/>
        </w:rPr>
      </w:pPr>
      <w:r w:rsidRPr="00DB5EAD">
        <w:rPr>
          <w:rStyle w:val="charBoldItals"/>
        </w:rPr>
        <w:t>third edition ADR</w:t>
      </w:r>
      <w:r w:rsidRPr="00DB5EAD">
        <w:rPr>
          <w:lang w:eastAsia="en-AU"/>
        </w:rPr>
        <w:t> means—</w:t>
      </w:r>
    </w:p>
    <w:p w14:paraId="6A8197CA" w14:textId="6230CC24" w:rsidR="00DB5EAD" w:rsidRPr="00DB5EAD" w:rsidRDefault="00DB5EAD" w:rsidP="00DB5EAD">
      <w:pPr>
        <w:pStyle w:val="aDefpara"/>
        <w:rPr>
          <w:lang w:eastAsia="en-AU"/>
        </w:rPr>
      </w:pPr>
      <w:r>
        <w:rPr>
          <w:lang w:eastAsia="en-AU"/>
        </w:rPr>
        <w:tab/>
      </w:r>
      <w:r w:rsidRPr="00DB5EAD">
        <w:rPr>
          <w:lang w:eastAsia="en-AU"/>
        </w:rPr>
        <w:t>(a)</w:t>
      </w:r>
      <w:r>
        <w:rPr>
          <w:lang w:eastAsia="en-AU"/>
        </w:rPr>
        <w:tab/>
      </w:r>
      <w:r w:rsidRPr="00DB5EAD">
        <w:rPr>
          <w:lang w:eastAsia="en-AU"/>
        </w:rPr>
        <w:t>a national standard under section 7 of the </w:t>
      </w:r>
      <w:hyperlink r:id="rId40" w:tooltip="Act 1989 No 65 (Cwlth)" w:history="1">
        <w:r w:rsidRPr="00DB5EAD">
          <w:rPr>
            <w:rStyle w:val="charCitHyperlinkItal"/>
          </w:rPr>
          <w:t>Motor Vehicle Standards Act 1989</w:t>
        </w:r>
      </w:hyperlink>
      <w:r w:rsidRPr="00DB5EAD">
        <w:rPr>
          <w:lang w:eastAsia="en-AU"/>
        </w:rPr>
        <w:t>; or</w:t>
      </w:r>
    </w:p>
    <w:p w14:paraId="08A90697" w14:textId="05146629" w:rsidR="00DB5EAD" w:rsidRPr="00DB5EAD" w:rsidRDefault="00DB5EAD" w:rsidP="00DB5EAD">
      <w:pPr>
        <w:pStyle w:val="aDefpara"/>
        <w:rPr>
          <w:lang w:eastAsia="en-AU"/>
        </w:rPr>
      </w:pPr>
      <w:r>
        <w:rPr>
          <w:lang w:eastAsia="en-AU"/>
        </w:rPr>
        <w:tab/>
      </w:r>
      <w:r w:rsidRPr="00DB5EAD">
        <w:rPr>
          <w:lang w:eastAsia="en-AU"/>
        </w:rPr>
        <w:t>(b)</w:t>
      </w:r>
      <w:r>
        <w:rPr>
          <w:lang w:eastAsia="en-AU"/>
        </w:rPr>
        <w:tab/>
      </w:r>
      <w:r w:rsidRPr="00DB5EAD">
        <w:rPr>
          <w:lang w:eastAsia="en-AU"/>
        </w:rPr>
        <w:t>a national road vehicle standard under section 12 of the </w:t>
      </w:r>
      <w:hyperlink r:id="rId41" w:tooltip="Act 2018 No 163 (Cwlth)" w:history="1">
        <w:r w:rsidRPr="00DB5EAD">
          <w:rPr>
            <w:rStyle w:val="charCitHyperlinkItal"/>
          </w:rPr>
          <w:t>Road Vehicle Standards Act 2018</w:t>
        </w:r>
      </w:hyperlink>
      <w:r w:rsidRPr="00DB5EAD">
        <w:rPr>
          <w:lang w:eastAsia="en-AU"/>
        </w:rPr>
        <w:t>.</w:t>
      </w:r>
    </w:p>
    <w:p w14:paraId="3F59C5DE" w14:textId="7248ECA1" w:rsidR="00DB6E47" w:rsidRPr="00041046" w:rsidRDefault="00DB6E47" w:rsidP="00DB6E47">
      <w:pPr>
        <w:pStyle w:val="aDef"/>
        <w:rPr>
          <w:bCs/>
        </w:rPr>
      </w:pPr>
      <w:r w:rsidRPr="00041046">
        <w:rPr>
          <w:rStyle w:val="charBoldItals"/>
        </w:rPr>
        <w:t>third party insurance legislation</w:t>
      </w:r>
      <w:r w:rsidRPr="00041046">
        <w:t xml:space="preserve"> means—</w:t>
      </w:r>
    </w:p>
    <w:p w14:paraId="7208BA0D" w14:textId="77777777" w:rsidR="00DB6E47" w:rsidRPr="00F04D8E" w:rsidRDefault="00DB6E47" w:rsidP="00DB6E47">
      <w:pPr>
        <w:pStyle w:val="aDefpara"/>
      </w:pPr>
      <w:r w:rsidRPr="00F04D8E">
        <w:rPr>
          <w:rFonts w:cs="Times"/>
          <w:bCs/>
        </w:rPr>
        <w:tab/>
        <w:t>(a)</w:t>
      </w:r>
      <w:r w:rsidRPr="00F04D8E">
        <w:rPr>
          <w:rFonts w:cs="Times"/>
          <w:bCs/>
        </w:rPr>
        <w:tab/>
        <w:t>legislation about compensation for third parties who are injured or killed by the use of motor vehicles or trailers; or</w:t>
      </w:r>
    </w:p>
    <w:p w14:paraId="53D66DD9" w14:textId="77777777" w:rsidR="00DB6E47" w:rsidRPr="00F04D8E" w:rsidRDefault="00DB6E47" w:rsidP="00DB6E47">
      <w:pPr>
        <w:pStyle w:val="aDefpara"/>
      </w:pPr>
      <w:r w:rsidRPr="00F04D8E">
        <w:tab/>
        <w:t>(b)</w:t>
      </w:r>
      <w:r w:rsidRPr="00F04D8E">
        <w:tab/>
        <w:t>legislation about payment of contributions towards compensation of that kind; or</w:t>
      </w:r>
    </w:p>
    <w:p w14:paraId="6440F1AD" w14:textId="77777777" w:rsidR="00DB6E47" w:rsidRPr="00F04D8E" w:rsidRDefault="00DB6E47" w:rsidP="00DB6E47">
      <w:pPr>
        <w:pStyle w:val="aDefpara"/>
      </w:pPr>
      <w:r>
        <w:lastRenderedPageBreak/>
        <w:tab/>
      </w:r>
      <w:r w:rsidRPr="00F04D8E">
        <w:t>(c)</w:t>
      </w:r>
      <w:r w:rsidRPr="00F04D8E">
        <w:tab/>
        <w:t>legislation requiring public liability insurance.</w:t>
      </w:r>
    </w:p>
    <w:p w14:paraId="2A845D81" w14:textId="77777777" w:rsidR="00DB6E47" w:rsidRPr="00041046" w:rsidRDefault="00DB6E47" w:rsidP="00DB6E47">
      <w:pPr>
        <w:pStyle w:val="aDef"/>
        <w:rPr>
          <w:bCs/>
        </w:rPr>
      </w:pPr>
      <w:r w:rsidRPr="00041046">
        <w:rPr>
          <w:rStyle w:val="charBoldItals"/>
        </w:rPr>
        <w:t>this jurisdiction</w:t>
      </w:r>
      <w:r w:rsidRPr="00041046">
        <w:t xml:space="preserve"> see the law of each participating jurisdiction for the meaning of this term.</w:t>
      </w:r>
    </w:p>
    <w:p w14:paraId="3303E7AB" w14:textId="77777777" w:rsidR="00DB6E47" w:rsidRPr="00041046" w:rsidRDefault="00DB6E47" w:rsidP="00DB6E47">
      <w:pPr>
        <w:pStyle w:val="aDef"/>
        <w:rPr>
          <w:bCs/>
        </w:rPr>
      </w:pPr>
      <w:r w:rsidRPr="00041046">
        <w:rPr>
          <w:rStyle w:val="charBoldItals"/>
        </w:rPr>
        <w:t>this Law</w:t>
      </w:r>
      <w:r w:rsidRPr="00041046">
        <w:t xml:space="preserve"> means—</w:t>
      </w:r>
    </w:p>
    <w:p w14:paraId="37DB61BD" w14:textId="77777777" w:rsidR="00DB6E47" w:rsidRPr="00F04D8E" w:rsidRDefault="00DB6E47" w:rsidP="00DB6E47">
      <w:pPr>
        <w:pStyle w:val="aDefpara"/>
      </w:pPr>
      <w:r w:rsidRPr="00F04D8E">
        <w:rPr>
          <w:rFonts w:cs="Times"/>
          <w:bCs/>
        </w:rPr>
        <w:tab/>
        <w:t>(a)</w:t>
      </w:r>
      <w:r w:rsidRPr="00F04D8E">
        <w:rPr>
          <w:rFonts w:cs="Times"/>
          <w:bCs/>
        </w:rPr>
        <w:tab/>
        <w:t>this Law as it applies as a law of a participating jurisdiction; or</w:t>
      </w:r>
    </w:p>
    <w:p w14:paraId="76416899" w14:textId="77777777" w:rsidR="00DB6E47" w:rsidRPr="00F04D8E" w:rsidRDefault="00DB6E47" w:rsidP="00DB6E47">
      <w:pPr>
        <w:pStyle w:val="aDefpara"/>
      </w:pPr>
      <w:r w:rsidRPr="00F04D8E">
        <w:tab/>
        <w:t>(b)</w:t>
      </w:r>
      <w:r w:rsidRPr="00F04D8E">
        <w:tab/>
        <w:t>a law of a participating jurisdiction that—</w:t>
      </w:r>
    </w:p>
    <w:p w14:paraId="4656A6B9" w14:textId="77777777" w:rsidR="00DB6E47" w:rsidRPr="00F04D8E" w:rsidRDefault="00DB6E47" w:rsidP="00DB6E47">
      <w:pPr>
        <w:pStyle w:val="aDefsubpara"/>
      </w:pPr>
      <w:r w:rsidRPr="00F04D8E">
        <w:tab/>
        <w:t>(i)</w:t>
      </w:r>
      <w:r w:rsidRPr="00F04D8E">
        <w:tab/>
        <w:t>substantially corresponds to the provisions of this Law; or</w:t>
      </w:r>
    </w:p>
    <w:p w14:paraId="0546EBD7" w14:textId="77777777" w:rsidR="00DB6E47" w:rsidRPr="006C3305" w:rsidRDefault="00DB6E47" w:rsidP="009037C9">
      <w:pPr>
        <w:pStyle w:val="aDefsubpara"/>
        <w:keepNext/>
        <w:rPr>
          <w:b/>
        </w:rPr>
      </w:pPr>
      <w:r w:rsidRPr="00F04D8E">
        <w:tab/>
        <w:t>(ii)</w:t>
      </w:r>
      <w:r w:rsidRPr="00F04D8E">
        <w:tab/>
        <w:t>is prescribed by the national regulations fo</w:t>
      </w:r>
      <w:r w:rsidR="001135C9">
        <w:t xml:space="preserve">r the purposes of paragraph (a) </w:t>
      </w:r>
      <w:r w:rsidRPr="00F04D8E">
        <w:t>(iii)</w:t>
      </w:r>
      <w:r w:rsidR="001135C9">
        <w:t xml:space="preserve"> </w:t>
      </w:r>
      <w:r w:rsidRPr="00F04D8E">
        <w:t xml:space="preserve">of the definition </w:t>
      </w:r>
      <w:r w:rsidRPr="00FF4454">
        <w:rPr>
          <w:rStyle w:val="charBoldItals"/>
        </w:rPr>
        <w:t>participating jurisdiction</w:t>
      </w:r>
      <w:r w:rsidRPr="006C3305">
        <w:rPr>
          <w:b/>
        </w:rPr>
        <w:t>.</w:t>
      </w:r>
    </w:p>
    <w:p w14:paraId="0CD24869" w14:textId="77777777" w:rsidR="00DB6E47" w:rsidRPr="007E1F9A" w:rsidRDefault="00DB6E47" w:rsidP="00DB6E47">
      <w:pPr>
        <w:pStyle w:val="aNote"/>
      </w:pPr>
      <w:r w:rsidRPr="00FF4454">
        <w:rPr>
          <w:rStyle w:val="charItals"/>
        </w:rPr>
        <w:t>Note</w:t>
      </w:r>
      <w:r w:rsidRPr="00C96203">
        <w:rPr>
          <w:rFonts w:cs="Times"/>
          <w:bCs/>
        </w:rPr>
        <w:t>—</w:t>
      </w:r>
    </w:p>
    <w:p w14:paraId="7A30AB8C" w14:textId="77777777" w:rsidR="00DB6E47" w:rsidRPr="007E1F9A" w:rsidRDefault="00DB6E47" w:rsidP="00DB6E47">
      <w:pPr>
        <w:pStyle w:val="aNoteTextss"/>
      </w:pPr>
      <w:r w:rsidRPr="007E1F9A">
        <w:t>See also section 11.</w:t>
      </w:r>
    </w:p>
    <w:p w14:paraId="38321E09" w14:textId="77777777" w:rsidR="00DB6E47" w:rsidRPr="00041046" w:rsidRDefault="00DB6E47" w:rsidP="00DB6E47">
      <w:pPr>
        <w:pStyle w:val="aDef"/>
        <w:rPr>
          <w:bCs/>
        </w:rPr>
      </w:pPr>
      <w:r w:rsidRPr="00041046">
        <w:rPr>
          <w:rStyle w:val="charBoldItals"/>
        </w:rPr>
        <w:t xml:space="preserve">tow truck </w:t>
      </w:r>
      <w:r w:rsidRPr="00041046">
        <w:t>means—</w:t>
      </w:r>
    </w:p>
    <w:p w14:paraId="75B702A1"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a heavy motor vehicle that is—</w:t>
      </w:r>
    </w:p>
    <w:p w14:paraId="08ECBFA5" w14:textId="77777777" w:rsidR="00DB6E47" w:rsidRPr="00F04D8E" w:rsidRDefault="00DB6E47" w:rsidP="00DB6E47">
      <w:pPr>
        <w:pStyle w:val="aDefsubpara"/>
      </w:pPr>
      <w:r>
        <w:tab/>
      </w:r>
      <w:r w:rsidRPr="00F04D8E">
        <w:t>(i)</w:t>
      </w:r>
      <w:r w:rsidRPr="00F04D8E">
        <w:tab/>
        <w:t>equipped with a crane, winch, ramp or other lifting device; and</w:t>
      </w:r>
    </w:p>
    <w:p w14:paraId="7D80D8CE" w14:textId="77777777" w:rsidR="00DB6E47" w:rsidRPr="00F04D8E" w:rsidRDefault="00DB6E47" w:rsidP="00DB6E47">
      <w:pPr>
        <w:pStyle w:val="aDefsubpara"/>
      </w:pPr>
      <w:r>
        <w:tab/>
      </w:r>
      <w:r w:rsidRPr="00F04D8E">
        <w:t>(ii)</w:t>
      </w:r>
      <w:r w:rsidRPr="00F04D8E">
        <w:tab/>
        <w:t>used or intended to be used for the towing of motor vehicles; or</w:t>
      </w:r>
    </w:p>
    <w:p w14:paraId="530A5C0F" w14:textId="77777777" w:rsidR="00DB6E47" w:rsidRPr="00F04D8E" w:rsidRDefault="00DB6E47" w:rsidP="00DB6E47">
      <w:pPr>
        <w:pStyle w:val="aDefpara"/>
      </w:pPr>
      <w:r>
        <w:tab/>
      </w:r>
      <w:r w:rsidRPr="00F04D8E">
        <w:t>(b)</w:t>
      </w:r>
      <w:r w:rsidRPr="00F04D8E">
        <w:tab/>
        <w:t>a heavy motor vehicle to which is attached, temporarily or otherwise, a trailer or device that is—</w:t>
      </w:r>
    </w:p>
    <w:p w14:paraId="4F7A83CA" w14:textId="77777777" w:rsidR="00DB6E47" w:rsidRPr="00F04D8E" w:rsidRDefault="00DB6E47" w:rsidP="00DB6E47">
      <w:pPr>
        <w:pStyle w:val="aDefsubpara"/>
      </w:pPr>
      <w:r>
        <w:tab/>
      </w:r>
      <w:r w:rsidRPr="00F04D8E">
        <w:t>(i)</w:t>
      </w:r>
      <w:r w:rsidRPr="00F04D8E">
        <w:tab/>
        <w:t>equipped with a crane, winch, ramp or other lifting device; and</w:t>
      </w:r>
    </w:p>
    <w:p w14:paraId="2A1EBC25" w14:textId="77777777" w:rsidR="00DB6E47" w:rsidRPr="00F04D8E" w:rsidRDefault="00DB6E47" w:rsidP="00DB6E47">
      <w:pPr>
        <w:pStyle w:val="aDefsubpara"/>
      </w:pPr>
      <w:r>
        <w:tab/>
      </w:r>
      <w:r w:rsidRPr="00F04D8E">
        <w:t>(ii)</w:t>
      </w:r>
      <w:r w:rsidRPr="00F04D8E">
        <w:tab/>
        <w:t>used or intended to be used for the towing of motor vehicles.</w:t>
      </w:r>
    </w:p>
    <w:p w14:paraId="78249029" w14:textId="77777777" w:rsidR="00DB6E47" w:rsidRPr="00041046" w:rsidRDefault="00DB6E47" w:rsidP="007F78FF">
      <w:pPr>
        <w:pStyle w:val="aDef"/>
        <w:keepNext/>
        <w:rPr>
          <w:bCs/>
        </w:rPr>
      </w:pPr>
      <w:r w:rsidRPr="00041046">
        <w:rPr>
          <w:rStyle w:val="charBoldItals"/>
        </w:rPr>
        <w:t>tractor</w:t>
      </w:r>
      <w:r w:rsidRPr="00041046">
        <w:t xml:space="preserve"> means a motor vehicle used for towing purposes, other than—</w:t>
      </w:r>
    </w:p>
    <w:p w14:paraId="2DBB61FE" w14:textId="77777777" w:rsidR="00DB6E47" w:rsidRPr="00F04D8E" w:rsidRDefault="00DB6E47" w:rsidP="00DB6E47">
      <w:pPr>
        <w:pStyle w:val="aDefpara"/>
      </w:pPr>
      <w:r w:rsidRPr="00F04D8E">
        <w:rPr>
          <w:rFonts w:cs="Times"/>
          <w:bCs/>
        </w:rPr>
        <w:tab/>
        <w:t>(a)</w:t>
      </w:r>
      <w:r w:rsidRPr="00F04D8E">
        <w:rPr>
          <w:rFonts w:cs="Times"/>
          <w:bCs/>
        </w:rPr>
        <w:tab/>
        <w:t>a motor vehicle designed to carry goods or passengers; or</w:t>
      </w:r>
    </w:p>
    <w:p w14:paraId="08AB12BC" w14:textId="77777777" w:rsidR="00DB6E47" w:rsidRPr="00F04D8E" w:rsidRDefault="00DB6E47" w:rsidP="00DB6E47">
      <w:pPr>
        <w:pStyle w:val="aDefpara"/>
      </w:pPr>
      <w:r w:rsidRPr="00F04D8E">
        <w:tab/>
        <w:t>(b)</w:t>
      </w:r>
      <w:r w:rsidRPr="00F04D8E">
        <w:tab/>
        <w:t>a tow truck.</w:t>
      </w:r>
    </w:p>
    <w:p w14:paraId="25FA7863" w14:textId="77777777" w:rsidR="00DB6E47" w:rsidRPr="00041046" w:rsidRDefault="00DB6E47" w:rsidP="00DB6E47">
      <w:pPr>
        <w:pStyle w:val="aDef"/>
        <w:rPr>
          <w:bCs/>
        </w:rPr>
      </w:pPr>
      <w:r w:rsidRPr="00041046">
        <w:rPr>
          <w:rStyle w:val="charBoldItals"/>
        </w:rPr>
        <w:lastRenderedPageBreak/>
        <w:t>traffic</w:t>
      </w:r>
      <w:r w:rsidRPr="00041046">
        <w:t xml:space="preserve"> includes vehicular traffic, pedestrian traffic and all other forms of road traffic.</w:t>
      </w:r>
    </w:p>
    <w:p w14:paraId="14E92963" w14:textId="77777777" w:rsidR="00DB6E47" w:rsidRPr="00041046" w:rsidRDefault="00DB6E47" w:rsidP="00DB6E47">
      <w:pPr>
        <w:pStyle w:val="aDef"/>
        <w:rPr>
          <w:bCs/>
        </w:rPr>
      </w:pPr>
      <w:r w:rsidRPr="00041046">
        <w:rPr>
          <w:rStyle w:val="charBoldItals"/>
        </w:rPr>
        <w:t>trailer</w:t>
      </w:r>
      <w:r w:rsidRPr="00041046">
        <w:t xml:space="preserve"> means a vehicle that is built to be towed, or is towed, by a motor vehicle, but does not include a motor vehicle being towed.</w:t>
      </w:r>
    </w:p>
    <w:p w14:paraId="4FE57003" w14:textId="77777777" w:rsidR="00A0793A" w:rsidRPr="00A0793A" w:rsidRDefault="00A0793A" w:rsidP="00C00E28">
      <w:pPr>
        <w:pStyle w:val="aDef"/>
        <w:keepNext/>
        <w:rPr>
          <w:lang w:val="en" w:eastAsia="en-AU"/>
        </w:rPr>
      </w:pPr>
      <w:r w:rsidRPr="00A0793A">
        <w:rPr>
          <w:b/>
          <w:bCs/>
          <w:i/>
          <w:iCs/>
          <w:lang w:val="en" w:eastAsia="en-AU"/>
        </w:rPr>
        <w:t>transport activities</w:t>
      </w:r>
      <w:r w:rsidRPr="00A0793A">
        <w:rPr>
          <w:lang w:val="en" w:eastAsia="en-AU"/>
        </w:rPr>
        <w:t xml:space="preserve"> means activities, including business practices and making decisions, associated with the use of a heavy vehicle on a road, including, for example—</w:t>
      </w:r>
    </w:p>
    <w:p w14:paraId="30071402" w14:textId="77777777" w:rsidR="00A0793A" w:rsidRPr="00A0793A" w:rsidRDefault="00A0793A" w:rsidP="00C00E28">
      <w:pPr>
        <w:pStyle w:val="aDefpara"/>
        <w:keepNext/>
        <w:rPr>
          <w:lang w:val="en" w:eastAsia="en-AU"/>
        </w:rPr>
      </w:pPr>
      <w:r>
        <w:rPr>
          <w:lang w:val="en" w:eastAsia="en-AU"/>
        </w:rPr>
        <w:tab/>
      </w:r>
      <w:r w:rsidRPr="00A0793A">
        <w:rPr>
          <w:lang w:val="en" w:eastAsia="en-AU"/>
        </w:rPr>
        <w:t>(a)</w:t>
      </w:r>
      <w:r>
        <w:rPr>
          <w:lang w:val="en" w:eastAsia="en-AU"/>
        </w:rPr>
        <w:tab/>
      </w:r>
      <w:r w:rsidRPr="00A0793A">
        <w:rPr>
          <w:lang w:val="en" w:eastAsia="en-AU"/>
        </w:rPr>
        <w:t>contracting, directing or employing a person—</w:t>
      </w:r>
    </w:p>
    <w:p w14:paraId="1A97604E" w14:textId="77777777" w:rsidR="00A0793A" w:rsidRPr="00A0793A" w:rsidRDefault="00A0793A" w:rsidP="00A0793A">
      <w:pPr>
        <w:pStyle w:val="aDefsubpara"/>
        <w:rPr>
          <w:lang w:val="en" w:eastAsia="en-AU"/>
        </w:rPr>
      </w:pPr>
      <w:r>
        <w:rPr>
          <w:lang w:val="en" w:eastAsia="en-AU"/>
        </w:rPr>
        <w:tab/>
      </w:r>
      <w:r w:rsidRPr="00A0793A">
        <w:rPr>
          <w:lang w:val="en" w:eastAsia="en-AU"/>
        </w:rPr>
        <w:t>(i)</w:t>
      </w:r>
      <w:r>
        <w:rPr>
          <w:lang w:val="en" w:eastAsia="en-AU"/>
        </w:rPr>
        <w:tab/>
      </w:r>
      <w:r w:rsidRPr="00A0793A">
        <w:rPr>
          <w:lang w:val="en" w:eastAsia="en-AU"/>
        </w:rPr>
        <w:t>to drive the vehicle; or</w:t>
      </w:r>
    </w:p>
    <w:p w14:paraId="3C564011" w14:textId="77777777" w:rsidR="00A0793A" w:rsidRPr="00A0793A" w:rsidRDefault="00A0793A" w:rsidP="00A0793A">
      <w:pPr>
        <w:pStyle w:val="aDefsubpara"/>
        <w:rPr>
          <w:lang w:val="en" w:eastAsia="en-AU"/>
        </w:rPr>
      </w:pPr>
      <w:r>
        <w:rPr>
          <w:lang w:val="en" w:eastAsia="en-AU"/>
        </w:rPr>
        <w:tab/>
      </w:r>
      <w:r w:rsidRPr="00A0793A">
        <w:rPr>
          <w:lang w:val="en" w:eastAsia="en-AU"/>
        </w:rPr>
        <w:t>(ii)</w:t>
      </w:r>
      <w:r>
        <w:rPr>
          <w:lang w:val="en" w:eastAsia="en-AU"/>
        </w:rPr>
        <w:tab/>
      </w:r>
      <w:r w:rsidRPr="00A0793A">
        <w:rPr>
          <w:lang w:val="en" w:eastAsia="en-AU"/>
        </w:rPr>
        <w:t>to carry out another activity associated with the use of the vehicle (such as maintaining or repairing the vehicle); or</w:t>
      </w:r>
    </w:p>
    <w:p w14:paraId="53E49AB3" w14:textId="77777777" w:rsidR="00A0793A" w:rsidRPr="00A0793A" w:rsidRDefault="00A0793A" w:rsidP="00A0793A">
      <w:pPr>
        <w:pStyle w:val="aDefpara"/>
        <w:rPr>
          <w:lang w:val="en" w:eastAsia="en-AU"/>
        </w:rPr>
      </w:pPr>
      <w:r>
        <w:rPr>
          <w:lang w:val="en" w:eastAsia="en-AU"/>
        </w:rPr>
        <w:tab/>
      </w:r>
      <w:r w:rsidRPr="00A0793A">
        <w:rPr>
          <w:lang w:val="en" w:eastAsia="en-AU"/>
        </w:rPr>
        <w:t>(b)</w:t>
      </w:r>
      <w:r>
        <w:rPr>
          <w:lang w:val="en" w:eastAsia="en-AU"/>
        </w:rPr>
        <w:tab/>
      </w:r>
      <w:r w:rsidRPr="00A0793A">
        <w:rPr>
          <w:lang w:val="en" w:eastAsia="en-AU"/>
        </w:rPr>
        <w:t>consigning goods for transport using the vehicle; or</w:t>
      </w:r>
    </w:p>
    <w:p w14:paraId="040FACA8" w14:textId="77777777" w:rsidR="00A0793A" w:rsidRPr="00A0793A" w:rsidRDefault="00A0793A" w:rsidP="00A0793A">
      <w:pPr>
        <w:pStyle w:val="aDefpara"/>
        <w:rPr>
          <w:lang w:val="en" w:eastAsia="en-AU"/>
        </w:rPr>
      </w:pPr>
      <w:r>
        <w:rPr>
          <w:lang w:val="en" w:eastAsia="en-AU"/>
        </w:rPr>
        <w:tab/>
      </w:r>
      <w:r w:rsidRPr="00A0793A">
        <w:rPr>
          <w:lang w:val="en" w:eastAsia="en-AU"/>
        </w:rPr>
        <w:t>(c)</w:t>
      </w:r>
      <w:r>
        <w:rPr>
          <w:lang w:val="en" w:eastAsia="en-AU"/>
        </w:rPr>
        <w:tab/>
      </w:r>
      <w:r w:rsidRPr="00A0793A">
        <w:rPr>
          <w:lang w:val="en" w:eastAsia="en-AU"/>
        </w:rPr>
        <w:t>scheduling the transport of goods or passengers using the vehicle; or</w:t>
      </w:r>
    </w:p>
    <w:p w14:paraId="685F6486" w14:textId="77777777" w:rsidR="00A0793A" w:rsidRPr="00A0793A" w:rsidRDefault="00A0793A" w:rsidP="00A0793A">
      <w:pPr>
        <w:pStyle w:val="aDefpara"/>
        <w:rPr>
          <w:lang w:val="en" w:eastAsia="en-AU"/>
        </w:rPr>
      </w:pPr>
      <w:r>
        <w:rPr>
          <w:lang w:val="en" w:eastAsia="en-AU"/>
        </w:rPr>
        <w:tab/>
      </w:r>
      <w:r w:rsidRPr="00A0793A">
        <w:rPr>
          <w:lang w:val="en" w:eastAsia="en-AU"/>
        </w:rPr>
        <w:t>(d)</w:t>
      </w:r>
      <w:r>
        <w:rPr>
          <w:lang w:val="en" w:eastAsia="en-AU"/>
        </w:rPr>
        <w:tab/>
      </w:r>
      <w:r w:rsidRPr="00A0793A">
        <w:rPr>
          <w:lang w:val="en" w:eastAsia="en-AU"/>
        </w:rPr>
        <w:t>packing goods for transport using the vehicle; or</w:t>
      </w:r>
    </w:p>
    <w:p w14:paraId="2EA04B10" w14:textId="77777777" w:rsidR="00A0793A" w:rsidRPr="00A0793A" w:rsidRDefault="00A0793A" w:rsidP="00A0793A">
      <w:pPr>
        <w:pStyle w:val="aDefpara"/>
        <w:rPr>
          <w:lang w:val="en" w:eastAsia="en-AU"/>
        </w:rPr>
      </w:pPr>
      <w:r>
        <w:rPr>
          <w:lang w:val="en" w:eastAsia="en-AU"/>
        </w:rPr>
        <w:tab/>
      </w:r>
      <w:r w:rsidRPr="00A0793A">
        <w:rPr>
          <w:lang w:val="en" w:eastAsia="en-AU"/>
        </w:rPr>
        <w:t>(e)</w:t>
      </w:r>
      <w:r>
        <w:rPr>
          <w:lang w:val="en" w:eastAsia="en-AU"/>
        </w:rPr>
        <w:tab/>
      </w:r>
      <w:r w:rsidRPr="00A0793A">
        <w:rPr>
          <w:lang w:val="en" w:eastAsia="en-AU"/>
        </w:rPr>
        <w:t>managing the loading of goods onto or unloading of goods from the vehicle; or</w:t>
      </w:r>
    </w:p>
    <w:p w14:paraId="566C6B3E" w14:textId="77777777" w:rsidR="00A0793A" w:rsidRPr="00A0793A" w:rsidRDefault="00F94088" w:rsidP="00A0793A">
      <w:pPr>
        <w:pStyle w:val="aDefpara"/>
        <w:rPr>
          <w:lang w:val="en" w:eastAsia="en-AU"/>
        </w:rPr>
      </w:pPr>
      <w:r>
        <w:rPr>
          <w:lang w:val="en" w:eastAsia="en-AU"/>
        </w:rPr>
        <w:tab/>
      </w:r>
      <w:r w:rsidR="00A0793A" w:rsidRPr="00A0793A">
        <w:rPr>
          <w:lang w:val="en" w:eastAsia="en-AU"/>
        </w:rPr>
        <w:t>(f)</w:t>
      </w:r>
      <w:r>
        <w:rPr>
          <w:lang w:val="en" w:eastAsia="en-AU"/>
        </w:rPr>
        <w:tab/>
      </w:r>
      <w:r w:rsidR="00A0793A" w:rsidRPr="00A0793A">
        <w:rPr>
          <w:lang w:val="en" w:eastAsia="en-AU"/>
        </w:rPr>
        <w:t>loading goods onto or unloading goods from the vehicle; or</w:t>
      </w:r>
    </w:p>
    <w:p w14:paraId="185B1FD7" w14:textId="77777777" w:rsidR="00A0793A" w:rsidRPr="00A0793A" w:rsidRDefault="00F94088" w:rsidP="00A0793A">
      <w:pPr>
        <w:pStyle w:val="aDefpara"/>
        <w:rPr>
          <w:lang w:val="en" w:eastAsia="en-AU"/>
        </w:rPr>
      </w:pPr>
      <w:r>
        <w:rPr>
          <w:lang w:val="en" w:eastAsia="en-AU"/>
        </w:rPr>
        <w:tab/>
      </w:r>
      <w:r w:rsidR="00A0793A" w:rsidRPr="00A0793A">
        <w:rPr>
          <w:lang w:val="en" w:eastAsia="en-AU"/>
        </w:rPr>
        <w:t>(g)</w:t>
      </w:r>
      <w:r>
        <w:rPr>
          <w:lang w:val="en" w:eastAsia="en-AU"/>
        </w:rPr>
        <w:tab/>
      </w:r>
      <w:r w:rsidR="00A0793A" w:rsidRPr="00A0793A">
        <w:rPr>
          <w:lang w:val="en" w:eastAsia="en-AU"/>
        </w:rPr>
        <w:t>receiving goods unloaded from the vehicle.</w:t>
      </w:r>
    </w:p>
    <w:p w14:paraId="7AE1274F" w14:textId="77777777" w:rsidR="00DB6E47" w:rsidRPr="00041046" w:rsidRDefault="00DB6E47" w:rsidP="009037C9">
      <w:pPr>
        <w:pStyle w:val="aDef"/>
        <w:keepNext/>
        <w:rPr>
          <w:bCs/>
        </w:rPr>
      </w:pPr>
      <w:r w:rsidRPr="00041046">
        <w:rPr>
          <w:rStyle w:val="charBoldItals"/>
        </w:rPr>
        <w:t xml:space="preserve">transport documentation </w:t>
      </w:r>
      <w:r w:rsidRPr="00041046">
        <w:t>means each of the following—</w:t>
      </w:r>
    </w:p>
    <w:p w14:paraId="2AAE0859" w14:textId="77777777" w:rsidR="00DB6E47" w:rsidRPr="00F04D8E" w:rsidRDefault="00DB6E47" w:rsidP="009037C9">
      <w:pPr>
        <w:pStyle w:val="aDefpara"/>
        <w:keepNext/>
      </w:pPr>
      <w:r w:rsidRPr="00F04D8E">
        <w:rPr>
          <w:rFonts w:cs="Times"/>
          <w:bCs/>
        </w:rPr>
        <w:tab/>
        <w:t>(a)</w:t>
      </w:r>
      <w:r w:rsidRPr="00F04D8E">
        <w:rPr>
          <w:rFonts w:cs="Times"/>
          <w:bCs/>
        </w:rPr>
        <w:tab/>
        <w:t>each contractual document directly or indirectly associated with—</w:t>
      </w:r>
    </w:p>
    <w:p w14:paraId="7183018A" w14:textId="77777777" w:rsidR="00DB6E47" w:rsidRPr="00F04D8E" w:rsidRDefault="00DB6E47" w:rsidP="00DB6E47">
      <w:pPr>
        <w:pStyle w:val="aDefsubpara"/>
      </w:pPr>
      <w:r w:rsidRPr="00F04D8E">
        <w:tab/>
        <w:t>(i)</w:t>
      </w:r>
      <w:r w:rsidRPr="00F04D8E">
        <w:tab/>
        <w:t>a transaction for the actual or proposed road transport of goods or passengers or any previous transport of the goods or passengers by any transport method; or</w:t>
      </w:r>
    </w:p>
    <w:p w14:paraId="49DF08B6" w14:textId="77777777" w:rsidR="00DB6E47" w:rsidRPr="00F04D8E" w:rsidRDefault="00DB6E47" w:rsidP="00DB6E47">
      <w:pPr>
        <w:pStyle w:val="aDefsubpara"/>
      </w:pPr>
      <w:r w:rsidRPr="00F04D8E">
        <w:tab/>
        <w:t>(ii)</w:t>
      </w:r>
      <w:r w:rsidRPr="00F04D8E">
        <w:tab/>
        <w:t>goods or passengers, to the extent the document is relevant to the transaction for their actual or proposed road transport;</w:t>
      </w:r>
    </w:p>
    <w:p w14:paraId="0C5E1872" w14:textId="77777777" w:rsidR="00DB6E47" w:rsidRPr="00F04D8E" w:rsidRDefault="00DB6E47" w:rsidP="00DB6E47">
      <w:pPr>
        <w:pStyle w:val="aDefpara"/>
      </w:pPr>
      <w:r w:rsidRPr="00F04D8E">
        <w:lastRenderedPageBreak/>
        <w:tab/>
        <w:t>(b)</w:t>
      </w:r>
      <w:r w:rsidRPr="00F04D8E">
        <w:tab/>
        <w:t>each document—</w:t>
      </w:r>
    </w:p>
    <w:p w14:paraId="10DC773A" w14:textId="77777777" w:rsidR="00DB6E47" w:rsidRPr="00F04D8E" w:rsidRDefault="00DB6E47" w:rsidP="00DB6E47">
      <w:pPr>
        <w:pStyle w:val="aDefsubpara"/>
      </w:pPr>
      <w:r w:rsidRPr="00F04D8E">
        <w:tab/>
        <w:t>(i)</w:t>
      </w:r>
      <w:r w:rsidRPr="00F04D8E">
        <w:tab/>
        <w:t>contemplated in a contractual document mentioned in paragraph (a); or</w:t>
      </w:r>
    </w:p>
    <w:p w14:paraId="74D6AD2E" w14:textId="77777777" w:rsidR="00DB6E47" w:rsidRPr="00F04D8E" w:rsidRDefault="00DB6E47" w:rsidP="00DB6E47">
      <w:pPr>
        <w:pStyle w:val="aDefsubpara"/>
      </w:pPr>
      <w:r w:rsidRPr="00F04D8E">
        <w:tab/>
        <w:t>(ii)</w:t>
      </w:r>
      <w:r w:rsidRPr="00F04D8E">
        <w:tab/>
        <w:t>required by law, or customarily given, in connection with a contractual document or transaction mentioned in paragraph (a).</w:t>
      </w:r>
    </w:p>
    <w:p w14:paraId="6ABEB7FE" w14:textId="77777777" w:rsidR="00DB6E47" w:rsidRPr="007E1F9A" w:rsidRDefault="00DB6E47" w:rsidP="00DB6E47">
      <w:pPr>
        <w:pStyle w:val="aExamHdgss"/>
      </w:pPr>
      <w:r w:rsidRPr="00C96203">
        <w:rPr>
          <w:rFonts w:cs="Times"/>
          <w:bCs/>
          <w:iCs/>
        </w:rPr>
        <w:t>Examples</w:t>
      </w:r>
      <w:r w:rsidRPr="00C96203">
        <w:rPr>
          <w:rFonts w:cs="Times"/>
          <w:bCs/>
        </w:rPr>
        <w:t>—</w:t>
      </w:r>
    </w:p>
    <w:p w14:paraId="31A575E6" w14:textId="77777777" w:rsidR="00DB6E47" w:rsidRPr="007E1F9A" w:rsidRDefault="00DB6E47" w:rsidP="00DB6E47">
      <w:pPr>
        <w:pStyle w:val="aExamBulletss"/>
      </w:pPr>
      <w:r w:rsidRPr="007E1F9A">
        <w:t xml:space="preserve">• </w:t>
      </w:r>
      <w:r w:rsidRPr="007E1F9A">
        <w:tab/>
        <w:t xml:space="preserve">bill of lading </w:t>
      </w:r>
    </w:p>
    <w:p w14:paraId="33A8BE3D" w14:textId="77777777" w:rsidR="00DB6E47" w:rsidRPr="007E1F9A" w:rsidRDefault="00DB6E47" w:rsidP="00DB6E47">
      <w:pPr>
        <w:pStyle w:val="aExamBulletss"/>
      </w:pPr>
      <w:r w:rsidRPr="007E1F9A">
        <w:t xml:space="preserve">• </w:t>
      </w:r>
      <w:r w:rsidRPr="007E1F9A">
        <w:tab/>
        <w:t>consignment note</w:t>
      </w:r>
    </w:p>
    <w:p w14:paraId="6B970126" w14:textId="77777777" w:rsidR="00DB6E47" w:rsidRPr="007E1F9A" w:rsidRDefault="00DB6E47" w:rsidP="00DB6E47">
      <w:pPr>
        <w:pStyle w:val="aExamBulletss"/>
      </w:pPr>
      <w:r w:rsidRPr="007E1F9A">
        <w:t xml:space="preserve">• </w:t>
      </w:r>
      <w:r w:rsidRPr="007E1F9A">
        <w:tab/>
        <w:t>container weight declaration</w:t>
      </w:r>
    </w:p>
    <w:p w14:paraId="1B140A97" w14:textId="77777777" w:rsidR="00DB6E47" w:rsidRPr="007E1F9A" w:rsidRDefault="00DB6E47" w:rsidP="00DB6E47">
      <w:pPr>
        <w:pStyle w:val="aExamBulletss"/>
      </w:pPr>
      <w:r w:rsidRPr="007E1F9A">
        <w:t xml:space="preserve">• </w:t>
      </w:r>
      <w:r w:rsidRPr="007E1F9A">
        <w:tab/>
        <w:t>contract of carriage</w:t>
      </w:r>
    </w:p>
    <w:p w14:paraId="6AE6F907" w14:textId="77777777" w:rsidR="00DB6E47" w:rsidRPr="007E1F9A" w:rsidRDefault="00DB6E47" w:rsidP="00DB6E47">
      <w:pPr>
        <w:pStyle w:val="aExamBulletss"/>
      </w:pPr>
      <w:r w:rsidRPr="007E1F9A">
        <w:t xml:space="preserve">• </w:t>
      </w:r>
      <w:r w:rsidRPr="007E1F9A">
        <w:tab/>
        <w:t>delivery order</w:t>
      </w:r>
    </w:p>
    <w:p w14:paraId="39EC67E5" w14:textId="77777777" w:rsidR="00DB6E47" w:rsidRPr="007E1F9A" w:rsidRDefault="00DB6E47" w:rsidP="00DB6E47">
      <w:pPr>
        <w:pStyle w:val="aExamBulletss"/>
      </w:pPr>
      <w:r w:rsidRPr="007E1F9A">
        <w:t xml:space="preserve">• </w:t>
      </w:r>
      <w:r w:rsidRPr="007E1F9A">
        <w:tab/>
        <w:t>export receival advice</w:t>
      </w:r>
    </w:p>
    <w:p w14:paraId="3D5A9AD4" w14:textId="77777777" w:rsidR="00DB6E47" w:rsidRPr="007E1F9A" w:rsidRDefault="00DB6E47" w:rsidP="00DB6E47">
      <w:pPr>
        <w:pStyle w:val="aExamBulletss"/>
      </w:pPr>
      <w:r w:rsidRPr="007E1F9A">
        <w:t xml:space="preserve">• </w:t>
      </w:r>
      <w:r w:rsidRPr="007E1F9A">
        <w:tab/>
        <w:t>invoice</w:t>
      </w:r>
    </w:p>
    <w:p w14:paraId="57F27A4D" w14:textId="77777777" w:rsidR="00DB6E47" w:rsidRPr="007E1F9A" w:rsidRDefault="00DB6E47" w:rsidP="00DB6E47">
      <w:pPr>
        <w:pStyle w:val="aExamBulletss"/>
      </w:pPr>
      <w:r w:rsidRPr="007E1F9A">
        <w:t xml:space="preserve">• </w:t>
      </w:r>
      <w:r w:rsidRPr="007E1F9A">
        <w:tab/>
        <w:t>load manifest</w:t>
      </w:r>
    </w:p>
    <w:p w14:paraId="0C4ABA29" w14:textId="77777777" w:rsidR="00DB6E47" w:rsidRPr="007E1F9A" w:rsidRDefault="00DB6E47" w:rsidP="00DB6E47">
      <w:pPr>
        <w:pStyle w:val="aExamBulletss"/>
      </w:pPr>
      <w:r w:rsidRPr="007E1F9A">
        <w:t xml:space="preserve">• </w:t>
      </w:r>
      <w:r w:rsidRPr="007E1F9A">
        <w:tab/>
        <w:t>sea carriage document</w:t>
      </w:r>
    </w:p>
    <w:p w14:paraId="29D476BC" w14:textId="77777777" w:rsidR="00DB6E47" w:rsidRPr="007E1F9A" w:rsidRDefault="00DB6E47" w:rsidP="00DB6E47">
      <w:pPr>
        <w:pStyle w:val="aExamBulletss"/>
      </w:pPr>
      <w:r w:rsidRPr="007E1F9A">
        <w:t xml:space="preserve">• </w:t>
      </w:r>
      <w:r w:rsidRPr="007E1F9A">
        <w:tab/>
        <w:t>vendor declaration</w:t>
      </w:r>
    </w:p>
    <w:p w14:paraId="56DBDAD8" w14:textId="77777777" w:rsidR="00041613" w:rsidRPr="001C07E0" w:rsidRDefault="00041613" w:rsidP="00041613">
      <w:pPr>
        <w:pStyle w:val="aNote"/>
        <w:rPr>
          <w:lang w:val="en" w:eastAsia="en-AU"/>
        </w:rPr>
      </w:pPr>
      <w:r w:rsidRPr="001C07E0">
        <w:rPr>
          <w:rStyle w:val="charItals"/>
        </w:rPr>
        <w:t>Note</w:t>
      </w:r>
      <w:r w:rsidRPr="001C07E0">
        <w:rPr>
          <w:lang w:val="en" w:eastAsia="en-AU"/>
        </w:rPr>
        <w:t>—</w:t>
      </w:r>
    </w:p>
    <w:p w14:paraId="4B67746C" w14:textId="77777777" w:rsidR="00041613" w:rsidRPr="001C07E0" w:rsidRDefault="00041613" w:rsidP="00041613">
      <w:pPr>
        <w:pStyle w:val="aNoteTextss"/>
        <w:rPr>
          <w:lang w:val="en" w:eastAsia="en-AU"/>
        </w:rPr>
      </w:pPr>
      <w:r w:rsidRPr="001C07E0">
        <w:rPr>
          <w:lang w:val="en" w:eastAsia="en-AU"/>
        </w:rPr>
        <w:t xml:space="preserve">See the definition </w:t>
      </w:r>
      <w:r w:rsidRPr="001C07E0">
        <w:rPr>
          <w:i/>
          <w:iCs/>
          <w:lang w:val="en" w:eastAsia="en-AU"/>
        </w:rPr>
        <w:t>document</w:t>
      </w:r>
      <w:r w:rsidRPr="001C07E0">
        <w:rPr>
          <w:lang w:val="en" w:eastAsia="en-AU"/>
        </w:rPr>
        <w:t xml:space="preserve"> in section 12 of Schedule 1.</w:t>
      </w:r>
    </w:p>
    <w:p w14:paraId="5AEA38E9" w14:textId="77777777" w:rsidR="00DB6E47" w:rsidRPr="00041046" w:rsidRDefault="00DB6E47" w:rsidP="00DB6E47">
      <w:pPr>
        <w:pStyle w:val="aDef"/>
        <w:rPr>
          <w:bCs/>
        </w:rPr>
      </w:pPr>
      <w:r w:rsidRPr="00041046">
        <w:rPr>
          <w:rStyle w:val="charBoldItals"/>
        </w:rPr>
        <w:t>travel condition</w:t>
      </w:r>
      <w:r w:rsidRPr="00041046">
        <w:t xml:space="preserve"> has the meaning given by section 154.</w:t>
      </w:r>
    </w:p>
    <w:p w14:paraId="66962F23" w14:textId="77777777" w:rsidR="00DB6E47" w:rsidRPr="00041046" w:rsidRDefault="00DB6E47" w:rsidP="00DB6E47">
      <w:pPr>
        <w:pStyle w:val="aDef"/>
        <w:rPr>
          <w:bCs/>
        </w:rPr>
      </w:pPr>
      <w:r w:rsidRPr="00041046">
        <w:rPr>
          <w:rStyle w:val="charBoldItals"/>
        </w:rPr>
        <w:t>tri-axle group</w:t>
      </w:r>
      <w:r w:rsidRPr="00041046">
        <w:t xml:space="preserve"> means a group of at least 3 axles, in which the horizontal distance between the centre-lines of the outermost axles is more than 2m but not more than 3.2m.</w:t>
      </w:r>
    </w:p>
    <w:p w14:paraId="2A9B5285" w14:textId="77777777" w:rsidR="00DB6E47" w:rsidRPr="00041046" w:rsidRDefault="00DB6E47" w:rsidP="00DB6E47">
      <w:pPr>
        <w:pStyle w:val="aDef"/>
        <w:rPr>
          <w:bCs/>
        </w:rPr>
      </w:pPr>
      <w:r w:rsidRPr="00041046">
        <w:rPr>
          <w:rStyle w:val="charBoldItals"/>
        </w:rPr>
        <w:t>truck</w:t>
      </w:r>
      <w:r w:rsidRPr="00041046">
        <w:t xml:space="preserve"> means a rigid motor vehicle built mainly as a load carrying vehicle.</w:t>
      </w:r>
    </w:p>
    <w:p w14:paraId="23B97503" w14:textId="77777777" w:rsidR="00DB6E47" w:rsidRPr="00041046" w:rsidRDefault="00DB6E47" w:rsidP="002D38A4">
      <w:pPr>
        <w:pStyle w:val="aDef"/>
        <w:keepNext/>
        <w:rPr>
          <w:bCs/>
        </w:rPr>
      </w:pPr>
      <w:r w:rsidRPr="00041046">
        <w:rPr>
          <w:rStyle w:val="charBoldItals"/>
        </w:rPr>
        <w:t>twinsteer axle group</w:t>
      </w:r>
      <w:r w:rsidRPr="00041046">
        <w:t xml:space="preserve"> means a group of 2 axles—</w:t>
      </w:r>
    </w:p>
    <w:p w14:paraId="1CCAAC83" w14:textId="77777777" w:rsidR="00DB6E47" w:rsidRPr="00F04D8E" w:rsidRDefault="00DB6E47" w:rsidP="00DB6E47">
      <w:pPr>
        <w:pStyle w:val="aDefpara"/>
      </w:pPr>
      <w:r w:rsidRPr="00F04D8E">
        <w:rPr>
          <w:rFonts w:cs="Times"/>
          <w:bCs/>
        </w:rPr>
        <w:tab/>
        <w:t>(a)</w:t>
      </w:r>
      <w:r w:rsidRPr="00F04D8E">
        <w:rPr>
          <w:rFonts w:cs="Times"/>
          <w:bCs/>
        </w:rPr>
        <w:tab/>
        <w:t>with single tyres; and</w:t>
      </w:r>
    </w:p>
    <w:p w14:paraId="2648EED0" w14:textId="77777777" w:rsidR="00DB6E47" w:rsidRPr="00F04D8E" w:rsidRDefault="00DB6E47" w:rsidP="00DB6E47">
      <w:pPr>
        <w:pStyle w:val="aDefpara"/>
      </w:pPr>
      <w:r w:rsidRPr="00F04D8E">
        <w:tab/>
        <w:t>(b)</w:t>
      </w:r>
      <w:r w:rsidRPr="00F04D8E">
        <w:tab/>
        <w:t>fitted to a motor vehicle; and</w:t>
      </w:r>
    </w:p>
    <w:p w14:paraId="56FE7781" w14:textId="77777777" w:rsidR="00DB6E47" w:rsidRPr="00F04D8E" w:rsidRDefault="00DB6E47" w:rsidP="00DB6E47">
      <w:pPr>
        <w:pStyle w:val="aDefpara"/>
      </w:pPr>
      <w:r w:rsidRPr="00F04D8E">
        <w:tab/>
        <w:t>(c)</w:t>
      </w:r>
      <w:r w:rsidRPr="00F04D8E">
        <w:tab/>
        <w:t>connected to the same steering mechanism; and</w:t>
      </w:r>
    </w:p>
    <w:p w14:paraId="7B3B76D0" w14:textId="77777777" w:rsidR="00DB6E47" w:rsidRPr="00F04D8E" w:rsidRDefault="00DB6E47" w:rsidP="00DB6E47">
      <w:pPr>
        <w:pStyle w:val="aDefpara"/>
      </w:pPr>
      <w:r w:rsidRPr="00F04D8E">
        <w:lastRenderedPageBreak/>
        <w:tab/>
        <w:t>(d)</w:t>
      </w:r>
      <w:r w:rsidRPr="00F04D8E">
        <w:tab/>
        <w:t>the horizontal distance between the centre-lines of which is at least 1m but not more than 2m.</w:t>
      </w:r>
    </w:p>
    <w:p w14:paraId="3349F96E" w14:textId="77777777" w:rsidR="00DB6E47" w:rsidRPr="00041046" w:rsidRDefault="00DB6E47" w:rsidP="00DB6E47">
      <w:pPr>
        <w:pStyle w:val="aDef"/>
        <w:rPr>
          <w:bCs/>
        </w:rPr>
      </w:pPr>
      <w:r w:rsidRPr="00041046">
        <w:rPr>
          <w:rStyle w:val="charBoldItals"/>
        </w:rPr>
        <w:t>two-up driving arrangement</w:t>
      </w:r>
      <w:r w:rsidRPr="00041046">
        <w:t>, for the purposes of Chapter 6, has the meaning given by section 221.</w:t>
      </w:r>
    </w:p>
    <w:p w14:paraId="37F2D225" w14:textId="77777777" w:rsidR="00DB6E47" w:rsidRPr="00041046" w:rsidRDefault="00DB6E47" w:rsidP="00DB6E47">
      <w:pPr>
        <w:pStyle w:val="aDef"/>
        <w:rPr>
          <w:bCs/>
        </w:rPr>
      </w:pPr>
      <w:r w:rsidRPr="00041046">
        <w:rPr>
          <w:rStyle w:val="charBoldItals"/>
        </w:rPr>
        <w:t>unattended</w:t>
      </w:r>
      <w:r w:rsidRPr="00041046">
        <w:t>, for a heavy vehicle, for the</w:t>
      </w:r>
      <w:r w:rsidR="008C2E76">
        <w:t xml:space="preserve"> purposes of Division 3 of Part </w:t>
      </w:r>
      <w:r w:rsidRPr="00041046">
        <w:t>9.3, has the meaning given by section 515.</w:t>
      </w:r>
    </w:p>
    <w:p w14:paraId="79749F78" w14:textId="77777777" w:rsidR="00DB6E47" w:rsidRPr="00041046" w:rsidRDefault="00DB6E47" w:rsidP="00DB6E47">
      <w:pPr>
        <w:pStyle w:val="aDef"/>
        <w:rPr>
          <w:bCs/>
        </w:rPr>
      </w:pPr>
      <w:r w:rsidRPr="00041046">
        <w:rPr>
          <w:rStyle w:val="charBoldItals"/>
        </w:rPr>
        <w:t>under</w:t>
      </w:r>
      <w:r w:rsidRPr="00041046">
        <w:t>, for a law or a provision of a law, includes—</w:t>
      </w:r>
    </w:p>
    <w:p w14:paraId="0A16AA1F" w14:textId="77777777" w:rsidR="00DB6E47" w:rsidRPr="00F04D8E" w:rsidRDefault="00DB6E47" w:rsidP="00DB6E47">
      <w:pPr>
        <w:pStyle w:val="aDefpara"/>
      </w:pPr>
      <w:r w:rsidRPr="00F04D8E">
        <w:rPr>
          <w:rFonts w:cs="Times"/>
          <w:bCs/>
        </w:rPr>
        <w:tab/>
        <w:t>(a)</w:t>
      </w:r>
      <w:r w:rsidRPr="00F04D8E">
        <w:rPr>
          <w:rFonts w:cs="Times"/>
          <w:bCs/>
        </w:rPr>
        <w:tab/>
        <w:t>by; and</w:t>
      </w:r>
    </w:p>
    <w:p w14:paraId="22890D8D" w14:textId="77777777" w:rsidR="00DB6E47" w:rsidRPr="00F04D8E" w:rsidRDefault="00DB6E47" w:rsidP="00DB6E47">
      <w:pPr>
        <w:pStyle w:val="aDefpara"/>
      </w:pPr>
      <w:r w:rsidRPr="00F04D8E">
        <w:tab/>
        <w:t>(b)</w:t>
      </w:r>
      <w:r w:rsidRPr="00F04D8E">
        <w:tab/>
        <w:t>for the purposes of; and</w:t>
      </w:r>
    </w:p>
    <w:p w14:paraId="7ED9AD17" w14:textId="77777777" w:rsidR="00DB6E47" w:rsidRPr="00F04D8E" w:rsidRDefault="00DB6E47" w:rsidP="00DB6E47">
      <w:pPr>
        <w:pStyle w:val="aDefpara"/>
      </w:pPr>
      <w:r w:rsidRPr="00F04D8E">
        <w:tab/>
        <w:t>(c)</w:t>
      </w:r>
      <w:r w:rsidRPr="00F04D8E">
        <w:tab/>
        <w:t>in accordance with; and</w:t>
      </w:r>
    </w:p>
    <w:p w14:paraId="7FD24782" w14:textId="77777777" w:rsidR="00DB6E47" w:rsidRPr="00F04D8E" w:rsidRDefault="00DB6E47" w:rsidP="00DB6E47">
      <w:pPr>
        <w:pStyle w:val="aDefpara"/>
      </w:pPr>
      <w:r w:rsidRPr="00F04D8E">
        <w:tab/>
        <w:t>(d)</w:t>
      </w:r>
      <w:r w:rsidRPr="00F04D8E">
        <w:tab/>
        <w:t>within the meaning of.</w:t>
      </w:r>
    </w:p>
    <w:p w14:paraId="410E45AE" w14:textId="77777777" w:rsidR="00F94088" w:rsidRPr="003323FC" w:rsidRDefault="00F94088" w:rsidP="00DB6E47">
      <w:pPr>
        <w:pStyle w:val="aDef"/>
      </w:pPr>
      <w:r w:rsidRPr="003323FC">
        <w:rPr>
          <w:rStyle w:val="charBoldItals"/>
        </w:rPr>
        <w:t>unincorporated body</w:t>
      </w:r>
      <w:r w:rsidRPr="003323FC">
        <w:t xml:space="preserve"> includes an unincorporated local government authority, but does not include an unincorporated partnership.</w:t>
      </w:r>
    </w:p>
    <w:p w14:paraId="5B93FD00" w14:textId="77777777" w:rsidR="00DB6E47" w:rsidRPr="00041046" w:rsidRDefault="00DB6E47" w:rsidP="00DB6E47">
      <w:pPr>
        <w:pStyle w:val="aDef"/>
        <w:rPr>
          <w:bCs/>
        </w:rPr>
      </w:pPr>
      <w:r w:rsidRPr="00041046">
        <w:rPr>
          <w:rStyle w:val="charBoldItals"/>
        </w:rPr>
        <w:t>unincorporated local government authority</w:t>
      </w:r>
      <w:r w:rsidRPr="00041046">
        <w:t xml:space="preserve"> means a local government authority that is not a body corporate.</w:t>
      </w:r>
    </w:p>
    <w:p w14:paraId="575DCC34" w14:textId="77777777" w:rsidR="00DB6E47" w:rsidRPr="00041046" w:rsidRDefault="00DB6E47" w:rsidP="00DB6E47">
      <w:pPr>
        <w:pStyle w:val="aDef"/>
        <w:rPr>
          <w:bCs/>
        </w:rPr>
      </w:pPr>
      <w:r w:rsidRPr="00041046">
        <w:rPr>
          <w:rStyle w:val="charBoldItals"/>
        </w:rPr>
        <w:t xml:space="preserve">unload </w:t>
      </w:r>
      <w:r w:rsidRPr="00041046">
        <w:t>and</w:t>
      </w:r>
      <w:r w:rsidRPr="00041046">
        <w:rPr>
          <w:iCs/>
        </w:rPr>
        <w:t xml:space="preserve"> </w:t>
      </w:r>
      <w:r w:rsidRPr="00041046">
        <w:rPr>
          <w:rStyle w:val="charBoldItals"/>
        </w:rPr>
        <w:t>unloader</w:t>
      </w:r>
      <w:r w:rsidRPr="00041046">
        <w:t>—</w:t>
      </w:r>
    </w:p>
    <w:p w14:paraId="446FD39D" w14:textId="77777777" w:rsidR="00DB6E47" w:rsidRPr="006C3305" w:rsidRDefault="00DB6E47" w:rsidP="001135C9">
      <w:pPr>
        <w:pStyle w:val="Amainreturn"/>
      </w:pPr>
      <w:r w:rsidRPr="00F04D8E">
        <w:t xml:space="preserve">A person </w:t>
      </w:r>
      <w:r w:rsidRPr="00FF4454">
        <w:rPr>
          <w:rStyle w:val="charBoldItals"/>
        </w:rPr>
        <w:t>unloads</w:t>
      </w:r>
      <w:r w:rsidRPr="006C3305">
        <w:t xml:space="preserve"> goods in a heavy vehicle, and is an </w:t>
      </w:r>
      <w:r w:rsidRPr="00FF4454">
        <w:rPr>
          <w:rStyle w:val="charBoldItals"/>
        </w:rPr>
        <w:t>unloader</w:t>
      </w:r>
      <w:r w:rsidRPr="006C3305">
        <w:t xml:space="preserve"> of goods in a heavy vehicle, if the person is a person who—</w:t>
      </w:r>
    </w:p>
    <w:p w14:paraId="1115F705" w14:textId="77777777" w:rsidR="00DB6E47" w:rsidRPr="00F04D8E" w:rsidRDefault="00DB6E47" w:rsidP="00DB6E47">
      <w:pPr>
        <w:pStyle w:val="aDefpara"/>
      </w:pPr>
      <w:r w:rsidRPr="00F04D8E">
        <w:rPr>
          <w:rFonts w:cs="Times"/>
          <w:bCs/>
        </w:rPr>
        <w:tab/>
        <w:t>(a)</w:t>
      </w:r>
      <w:r w:rsidRPr="00F04D8E">
        <w:rPr>
          <w:rFonts w:cs="Times"/>
          <w:bCs/>
        </w:rPr>
        <w:tab/>
        <w:t>unloads from the vehicle, or any container that is in or part of the vehicle, goods that have been transported by road; or</w:t>
      </w:r>
    </w:p>
    <w:p w14:paraId="12B22B26" w14:textId="77777777" w:rsidR="00DB6E47" w:rsidRPr="00F04D8E" w:rsidRDefault="00DB6E47" w:rsidP="00DB6E47">
      <w:pPr>
        <w:pStyle w:val="aDefpara"/>
      </w:pPr>
      <w:r w:rsidRPr="00F04D8E">
        <w:tab/>
        <w:t>(b)</w:t>
      </w:r>
      <w:r w:rsidRPr="00F04D8E">
        <w:tab/>
        <w:t>unloads from the vehicle a freight container, whether or not it contains goods, that has been transported by road.</w:t>
      </w:r>
    </w:p>
    <w:p w14:paraId="582E0A59" w14:textId="77777777" w:rsidR="00DB6E47" w:rsidRPr="00041046" w:rsidRDefault="00DB6E47" w:rsidP="00DB6E47">
      <w:pPr>
        <w:pStyle w:val="aDef"/>
        <w:rPr>
          <w:bCs/>
        </w:rPr>
      </w:pPr>
      <w:r w:rsidRPr="00041046">
        <w:rPr>
          <w:rStyle w:val="charBoldItals"/>
        </w:rPr>
        <w:t>unregistered heavy vehicle</w:t>
      </w:r>
      <w:r w:rsidRPr="00041046">
        <w:t xml:space="preserve"> means a heavy vehicle that is not registered.</w:t>
      </w:r>
    </w:p>
    <w:p w14:paraId="794FE559" w14:textId="77777777" w:rsidR="00150AE9" w:rsidRPr="00ED1488" w:rsidRDefault="00ED1488" w:rsidP="00ED1488">
      <w:pPr>
        <w:pStyle w:val="aDef"/>
      </w:pPr>
      <w:r w:rsidRPr="00ED1488">
        <w:rPr>
          <w:rStyle w:val="charBoldItals"/>
        </w:rPr>
        <w:t>unregistered heavy vehicle permit</w:t>
      </w:r>
      <w:r w:rsidRPr="00ED1488">
        <w:t xml:space="preserve"> means a permit granted or issued under an Australian road law authorising the use of an unregistered heavy vehicle on a road.</w:t>
      </w:r>
    </w:p>
    <w:p w14:paraId="091E928D" w14:textId="77777777" w:rsidR="00DB6E47" w:rsidRPr="00041046" w:rsidRDefault="00DB6E47" w:rsidP="00DB6E47">
      <w:pPr>
        <w:pStyle w:val="aDef"/>
        <w:rPr>
          <w:bCs/>
        </w:rPr>
      </w:pPr>
      <w:r w:rsidRPr="00041046">
        <w:rPr>
          <w:rStyle w:val="charBoldItals"/>
        </w:rPr>
        <w:lastRenderedPageBreak/>
        <w:t>use</w:t>
      </w:r>
      <w:r w:rsidRPr="00041046">
        <w:t>, a heavy vehicle on a road, includes standing the vehicle on the road.</w:t>
      </w:r>
    </w:p>
    <w:p w14:paraId="74E8F194" w14:textId="77777777" w:rsidR="00DB6E47" w:rsidRPr="00041046" w:rsidRDefault="00DB6E47" w:rsidP="00DB6E47">
      <w:pPr>
        <w:pStyle w:val="aDef"/>
        <w:rPr>
          <w:bCs/>
        </w:rPr>
      </w:pPr>
      <w:r w:rsidRPr="00041046">
        <w:rPr>
          <w:rStyle w:val="charBoldItals"/>
        </w:rPr>
        <w:t>vehicle condition</w:t>
      </w:r>
      <w:r w:rsidRPr="00041046">
        <w:t xml:space="preserve"> has the meaning given by section 154.</w:t>
      </w:r>
    </w:p>
    <w:p w14:paraId="2788AA1C" w14:textId="77777777" w:rsidR="00DB6E47" w:rsidRPr="00D14603" w:rsidRDefault="00282A1D" w:rsidP="00DB6E47">
      <w:pPr>
        <w:pStyle w:val="aDef"/>
      </w:pPr>
      <w:r w:rsidRPr="00D14603">
        <w:rPr>
          <w:b/>
          <w:bCs/>
          <w:i/>
          <w:iCs/>
        </w:rPr>
        <w:t>vehicle defect notice</w:t>
      </w:r>
      <w:r w:rsidRPr="00D14603">
        <w:t xml:space="preserve"> means a major defect notice, minor defect notice or self-clearing defect notice.</w:t>
      </w:r>
    </w:p>
    <w:p w14:paraId="40F2CB04" w14:textId="77777777" w:rsidR="00D56366" w:rsidRPr="00041046" w:rsidRDefault="00D56366" w:rsidP="00DB6E47">
      <w:pPr>
        <w:pStyle w:val="aDef"/>
        <w:rPr>
          <w:bCs/>
        </w:rPr>
      </w:pPr>
      <w:r w:rsidRPr="00D56366">
        <w:rPr>
          <w:rStyle w:val="charBoldItals"/>
        </w:rPr>
        <w:t>vehicle identifier</w:t>
      </w:r>
      <w:r>
        <w:rPr>
          <w:spacing w:val="-1"/>
        </w:rPr>
        <w:t>,</w:t>
      </w:r>
      <w:r>
        <w:rPr>
          <w:spacing w:val="15"/>
        </w:rPr>
        <w:t xml:space="preserve"> </w:t>
      </w:r>
      <w:r>
        <w:rPr>
          <w:spacing w:val="-1"/>
        </w:rPr>
        <w:t>for</w:t>
      </w:r>
      <w:r>
        <w:rPr>
          <w:spacing w:val="15"/>
        </w:rPr>
        <w:t xml:space="preserve"> </w:t>
      </w:r>
      <w:r>
        <w:rPr>
          <w:spacing w:val="-1"/>
        </w:rPr>
        <w:t>the</w:t>
      </w:r>
      <w:r>
        <w:rPr>
          <w:spacing w:val="15"/>
        </w:rPr>
        <w:t xml:space="preserve"> </w:t>
      </w:r>
      <w:r>
        <w:rPr>
          <w:spacing w:val="-1"/>
        </w:rPr>
        <w:t>purposes</w:t>
      </w:r>
      <w:r>
        <w:rPr>
          <w:spacing w:val="15"/>
        </w:rPr>
        <w:t xml:space="preserve"> </w:t>
      </w:r>
      <w:r>
        <w:rPr>
          <w:spacing w:val="-1"/>
        </w:rPr>
        <w:t>of</w:t>
      </w:r>
      <w:r>
        <w:rPr>
          <w:spacing w:val="15"/>
        </w:rPr>
        <w:t xml:space="preserve"> </w:t>
      </w:r>
      <w:r>
        <w:rPr>
          <w:spacing w:val="-2"/>
        </w:rPr>
        <w:t>Division</w:t>
      </w:r>
      <w:r>
        <w:rPr>
          <w:spacing w:val="15"/>
        </w:rPr>
        <w:t xml:space="preserve"> </w:t>
      </w:r>
      <w:r>
        <w:t>6</w:t>
      </w:r>
      <w:r>
        <w:rPr>
          <w:spacing w:val="21"/>
        </w:rPr>
        <w:t xml:space="preserve"> </w:t>
      </w:r>
      <w:r>
        <w:t>of</w:t>
      </w:r>
      <w:r>
        <w:rPr>
          <w:spacing w:val="-6"/>
        </w:rPr>
        <w:t xml:space="preserve"> </w:t>
      </w:r>
      <w:r>
        <w:rPr>
          <w:spacing w:val="-1"/>
        </w:rPr>
        <w:t>Part</w:t>
      </w:r>
      <w:r>
        <w:rPr>
          <w:spacing w:val="-6"/>
        </w:rPr>
        <w:t xml:space="preserve"> </w:t>
      </w:r>
      <w:r>
        <w:t>9.3,</w:t>
      </w:r>
      <w:r>
        <w:rPr>
          <w:spacing w:val="-6"/>
        </w:rPr>
        <w:t xml:space="preserve"> </w:t>
      </w:r>
      <w:r>
        <w:t>has</w:t>
      </w:r>
      <w:r>
        <w:rPr>
          <w:spacing w:val="-6"/>
        </w:rPr>
        <w:t xml:space="preserve"> </w:t>
      </w:r>
      <w:r>
        <w:t>the</w:t>
      </w:r>
      <w:r>
        <w:rPr>
          <w:spacing w:val="-6"/>
        </w:rPr>
        <w:t xml:space="preserve"> </w:t>
      </w:r>
      <w:r>
        <w:rPr>
          <w:spacing w:val="-1"/>
        </w:rPr>
        <w:t>meaning</w:t>
      </w:r>
      <w:r>
        <w:rPr>
          <w:spacing w:val="-5"/>
        </w:rPr>
        <w:t xml:space="preserve"> </w:t>
      </w:r>
      <w:r>
        <w:rPr>
          <w:spacing w:val="-3"/>
        </w:rPr>
        <w:t>given</w:t>
      </w:r>
      <w:r>
        <w:rPr>
          <w:spacing w:val="-5"/>
        </w:rPr>
        <w:t xml:space="preserve"> </w:t>
      </w:r>
      <w:r>
        <w:rPr>
          <w:spacing w:val="-1"/>
        </w:rPr>
        <w:t>by</w:t>
      </w:r>
      <w:r>
        <w:rPr>
          <w:spacing w:val="-5"/>
        </w:rPr>
        <w:t xml:space="preserve"> </w:t>
      </w:r>
      <w:r>
        <w:rPr>
          <w:spacing w:val="-1"/>
        </w:rPr>
        <w:t>section</w:t>
      </w:r>
      <w:r>
        <w:rPr>
          <w:spacing w:val="-5"/>
        </w:rPr>
        <w:t xml:space="preserve"> </w:t>
      </w:r>
      <w:r>
        <w:rPr>
          <w:spacing w:val="-1"/>
        </w:rPr>
        <w:t>525.</w:t>
      </w:r>
    </w:p>
    <w:p w14:paraId="3D631FEF" w14:textId="77777777" w:rsidR="00DB6E47" w:rsidRPr="00041046" w:rsidRDefault="00DB6E47" w:rsidP="00DB6E47">
      <w:pPr>
        <w:pStyle w:val="aDef"/>
        <w:rPr>
          <w:bCs/>
        </w:rPr>
      </w:pPr>
      <w:r w:rsidRPr="00041046">
        <w:rPr>
          <w:rStyle w:val="charBoldItals"/>
        </w:rPr>
        <w:t>vehicle standards exemption</w:t>
      </w:r>
      <w:r w:rsidRPr="00041046">
        <w:t xml:space="preserve"> means—</w:t>
      </w:r>
    </w:p>
    <w:p w14:paraId="1ECCF89B" w14:textId="77777777" w:rsidR="00DB6E47" w:rsidRPr="00F04D8E" w:rsidRDefault="00DB6E47" w:rsidP="00DB6E47">
      <w:pPr>
        <w:pStyle w:val="aDefpara"/>
      </w:pPr>
      <w:r w:rsidRPr="00F04D8E">
        <w:rPr>
          <w:rFonts w:cs="Times"/>
          <w:bCs/>
        </w:rPr>
        <w:tab/>
        <w:t>(a)</w:t>
      </w:r>
      <w:r w:rsidRPr="00F04D8E">
        <w:rPr>
          <w:rFonts w:cs="Times"/>
          <w:bCs/>
        </w:rPr>
        <w:tab/>
        <w:t xml:space="preserve"> vehicle standards exemption (notice); or</w:t>
      </w:r>
    </w:p>
    <w:p w14:paraId="386A118D" w14:textId="77777777" w:rsidR="00DB6E47" w:rsidRPr="00F04D8E" w:rsidRDefault="00DB6E47" w:rsidP="00DB6E47">
      <w:pPr>
        <w:pStyle w:val="aDefpara"/>
      </w:pPr>
      <w:r w:rsidRPr="00F04D8E">
        <w:tab/>
        <w:t>(b)</w:t>
      </w:r>
      <w:r w:rsidRPr="00F04D8E">
        <w:tab/>
        <w:t xml:space="preserve"> vehicle standards exemption (permit).</w:t>
      </w:r>
    </w:p>
    <w:p w14:paraId="58300D63" w14:textId="77777777" w:rsidR="00DB6E47" w:rsidRPr="00041046" w:rsidRDefault="00DB6E47" w:rsidP="00DB6E47">
      <w:pPr>
        <w:pStyle w:val="aDef"/>
        <w:rPr>
          <w:bCs/>
        </w:rPr>
      </w:pPr>
      <w:r w:rsidRPr="00041046">
        <w:rPr>
          <w:rStyle w:val="charBoldItals"/>
        </w:rPr>
        <w:t>vehicle standards exemption (notice)</w:t>
      </w:r>
      <w:r w:rsidRPr="00041046">
        <w:t xml:space="preserve"> has the meaning given by section 61(2).</w:t>
      </w:r>
    </w:p>
    <w:p w14:paraId="467E6D86" w14:textId="77777777" w:rsidR="00DB6E47" w:rsidRPr="00041046" w:rsidRDefault="00DB6E47" w:rsidP="00DB6E47">
      <w:pPr>
        <w:pStyle w:val="aDef"/>
        <w:rPr>
          <w:bCs/>
        </w:rPr>
      </w:pPr>
      <w:r w:rsidRPr="00041046">
        <w:rPr>
          <w:rStyle w:val="charBoldItals"/>
        </w:rPr>
        <w:t>vehicle standards exemption (permit)</w:t>
      </w:r>
      <w:r w:rsidRPr="00041046">
        <w:t xml:space="preserve"> has the meaning given by section 68(2).</w:t>
      </w:r>
    </w:p>
    <w:p w14:paraId="097F94CA" w14:textId="77777777" w:rsidR="00DB5EAD" w:rsidRPr="00DB5EAD" w:rsidRDefault="00DB5EAD" w:rsidP="00DB5EAD">
      <w:pPr>
        <w:pStyle w:val="aDef"/>
        <w:rPr>
          <w:lang w:eastAsia="en-AU"/>
        </w:rPr>
      </w:pPr>
      <w:r w:rsidRPr="00DB5EAD">
        <w:rPr>
          <w:b/>
          <w:bCs/>
          <w:i/>
          <w:iCs/>
          <w:lang w:eastAsia="en-AU"/>
        </w:rPr>
        <w:t>VIN</w:t>
      </w:r>
      <w:r w:rsidRPr="00DB5EAD">
        <w:rPr>
          <w:lang w:eastAsia="en-AU"/>
        </w:rPr>
        <w:t> (vehicle identification number), for a heavy vehicle, means—</w:t>
      </w:r>
    </w:p>
    <w:p w14:paraId="7E7BB6C9" w14:textId="7D7EF922" w:rsidR="00DB5EAD" w:rsidRPr="00DB5EAD" w:rsidRDefault="00DB5EAD" w:rsidP="00DB5EAD">
      <w:pPr>
        <w:pStyle w:val="aDefpara"/>
        <w:rPr>
          <w:lang w:eastAsia="en-AU"/>
        </w:rPr>
      </w:pPr>
      <w:r>
        <w:rPr>
          <w:lang w:eastAsia="en-AU"/>
        </w:rPr>
        <w:tab/>
      </w:r>
      <w:r w:rsidRPr="00DB5EAD">
        <w:rPr>
          <w:lang w:eastAsia="en-AU"/>
        </w:rPr>
        <w:t>(a)</w:t>
      </w:r>
      <w:r>
        <w:rPr>
          <w:lang w:eastAsia="en-AU"/>
        </w:rPr>
        <w:tab/>
      </w:r>
      <w:r w:rsidRPr="00DB5EAD">
        <w:rPr>
          <w:lang w:eastAsia="en-AU"/>
        </w:rPr>
        <w:t>for a heavy vehicle built before 1 January 1989 that has an identification plate, the number quoted on the vehicle’s identification plate that—</w:t>
      </w:r>
    </w:p>
    <w:p w14:paraId="6B204011" w14:textId="33A15D5E" w:rsidR="00DB5EAD" w:rsidRPr="00DB5EAD" w:rsidRDefault="00DB5EAD" w:rsidP="00DB5EAD">
      <w:pPr>
        <w:pStyle w:val="aDefsubpara"/>
        <w:rPr>
          <w:lang w:eastAsia="en-AU"/>
        </w:rPr>
      </w:pPr>
      <w:r>
        <w:rPr>
          <w:lang w:eastAsia="en-AU"/>
        </w:rPr>
        <w:tab/>
      </w:r>
      <w:r w:rsidRPr="00DB5EAD">
        <w:rPr>
          <w:lang w:eastAsia="en-AU"/>
        </w:rPr>
        <w:t>(i)</w:t>
      </w:r>
      <w:r>
        <w:rPr>
          <w:lang w:eastAsia="en-AU"/>
        </w:rPr>
        <w:tab/>
      </w:r>
      <w:r w:rsidRPr="00DB5EAD">
        <w:rPr>
          <w:lang w:eastAsia="en-AU"/>
        </w:rPr>
        <w:t>uniquely identifies the vehicle and sets it apart from similar vehicles; and</w:t>
      </w:r>
    </w:p>
    <w:p w14:paraId="4F46C08A" w14:textId="3C63E4A7" w:rsidR="00DB5EAD" w:rsidRPr="00DB5EAD" w:rsidRDefault="00DB5EAD" w:rsidP="00DB5EAD">
      <w:pPr>
        <w:pStyle w:val="aDefsubpara"/>
        <w:rPr>
          <w:lang w:eastAsia="en-AU"/>
        </w:rPr>
      </w:pPr>
      <w:r>
        <w:rPr>
          <w:lang w:eastAsia="en-AU"/>
        </w:rPr>
        <w:tab/>
      </w:r>
      <w:r w:rsidRPr="00DB5EAD">
        <w:rPr>
          <w:lang w:eastAsia="en-AU"/>
        </w:rPr>
        <w:t>(ii)</w:t>
      </w:r>
      <w:r>
        <w:rPr>
          <w:lang w:eastAsia="en-AU"/>
        </w:rPr>
        <w:tab/>
      </w:r>
      <w:r w:rsidRPr="00DB5EAD">
        <w:rPr>
          <w:lang w:eastAsia="en-AU"/>
        </w:rPr>
        <w:t>corresponds to the identification number of the vehicle that is permanently recorded elsewhere on the vehicle; or</w:t>
      </w:r>
    </w:p>
    <w:p w14:paraId="68554B6B" w14:textId="638679FC" w:rsidR="00DB5EAD" w:rsidRPr="00DB5EAD" w:rsidRDefault="00DB5EAD" w:rsidP="00752521">
      <w:pPr>
        <w:pStyle w:val="aDefpara"/>
        <w:keepNext/>
        <w:keepLines/>
        <w:rPr>
          <w:lang w:eastAsia="en-AU"/>
        </w:rPr>
      </w:pPr>
      <w:r>
        <w:rPr>
          <w:lang w:eastAsia="en-AU"/>
        </w:rPr>
        <w:lastRenderedPageBreak/>
        <w:tab/>
      </w:r>
      <w:r w:rsidRPr="00DB5EAD">
        <w:rPr>
          <w:lang w:eastAsia="en-AU"/>
        </w:rPr>
        <w:t>(b)</w:t>
      </w:r>
      <w:r>
        <w:rPr>
          <w:lang w:eastAsia="en-AU"/>
        </w:rPr>
        <w:tab/>
      </w:r>
      <w:r w:rsidRPr="00DB5EAD">
        <w:rPr>
          <w:lang w:eastAsia="en-AU"/>
        </w:rPr>
        <w:t>for a heavy vehicle built on or after 1 January 1989 that was given an approval under the </w:t>
      </w:r>
      <w:hyperlink r:id="rId42" w:tooltip="Act 1989 No 65 (Cwlth)" w:history="1">
        <w:r w:rsidR="0076253B" w:rsidRPr="0076253B">
          <w:rPr>
            <w:rStyle w:val="charCitHyperlinkItal"/>
          </w:rPr>
          <w:t>Motor Vehicle Standards Act 1989</w:t>
        </w:r>
      </w:hyperlink>
      <w:r w:rsidRPr="00DB5EAD">
        <w:rPr>
          <w:lang w:eastAsia="en-AU"/>
        </w:rPr>
        <w:t> or is given an approval under the </w:t>
      </w:r>
      <w:hyperlink r:id="rId43" w:tooltip="Act 2018 No 164 (Cwlth)" w:history="1">
        <w:r w:rsidR="0076253B" w:rsidRPr="0076253B">
          <w:rPr>
            <w:rStyle w:val="charCitHyperlinkItal"/>
          </w:rPr>
          <w:t>Road Vehicle Standards (Consequential and Transitional Provisions) Act 2018</w:t>
        </w:r>
      </w:hyperlink>
      <w:r w:rsidRPr="00DB5EAD">
        <w:rPr>
          <w:lang w:eastAsia="en-AU"/>
        </w:rPr>
        <w:t> of the Commonwealth, the unique vehicle identification number assigned to the vehicle—</w:t>
      </w:r>
    </w:p>
    <w:p w14:paraId="2B3B272E" w14:textId="2F755513" w:rsidR="00DB5EAD" w:rsidRPr="00DB5EAD" w:rsidRDefault="00DB5EAD" w:rsidP="00DB5EAD">
      <w:pPr>
        <w:pStyle w:val="aDefsubpara"/>
        <w:rPr>
          <w:lang w:eastAsia="en-AU"/>
        </w:rPr>
      </w:pPr>
      <w:r>
        <w:rPr>
          <w:lang w:eastAsia="en-AU"/>
        </w:rPr>
        <w:tab/>
      </w:r>
      <w:r w:rsidRPr="00DB5EAD">
        <w:rPr>
          <w:lang w:eastAsia="en-AU"/>
        </w:rPr>
        <w:t>(i)</w:t>
      </w:r>
      <w:r>
        <w:rPr>
          <w:lang w:eastAsia="en-AU"/>
        </w:rPr>
        <w:tab/>
      </w:r>
      <w:r w:rsidRPr="00DB5EAD">
        <w:rPr>
          <w:lang w:eastAsia="en-AU"/>
        </w:rPr>
        <w:t>at the time the vehicle was manufactured, in accordance with a third edition ADR; or</w:t>
      </w:r>
    </w:p>
    <w:p w14:paraId="175AEB5A" w14:textId="390298AE" w:rsidR="00DB5EAD" w:rsidRPr="00DB5EAD" w:rsidRDefault="00DB5EAD" w:rsidP="00DB5EAD">
      <w:pPr>
        <w:pStyle w:val="aDefsubpara"/>
        <w:rPr>
          <w:lang w:eastAsia="en-AU"/>
        </w:rPr>
      </w:pPr>
      <w:r>
        <w:rPr>
          <w:lang w:eastAsia="en-AU"/>
        </w:rPr>
        <w:tab/>
      </w:r>
      <w:r w:rsidRPr="00DB5EAD">
        <w:rPr>
          <w:lang w:eastAsia="en-AU"/>
        </w:rPr>
        <w:t>(ii)</w:t>
      </w:r>
      <w:r>
        <w:rPr>
          <w:lang w:eastAsia="en-AU"/>
        </w:rPr>
        <w:tab/>
      </w:r>
      <w:r w:rsidRPr="00DB5EAD">
        <w:rPr>
          <w:lang w:eastAsia="en-AU"/>
        </w:rPr>
        <w:t>by the department of government of the Commonwealth in which the </w:t>
      </w:r>
      <w:hyperlink r:id="rId44" w:tooltip="Act 1989 No 65 (Cwlth)" w:history="1">
        <w:r w:rsidR="0076253B" w:rsidRPr="0076253B">
          <w:rPr>
            <w:rStyle w:val="charCitHyperlinkItal"/>
          </w:rPr>
          <w:t>Motor Vehicle Standards Act 1989</w:t>
        </w:r>
      </w:hyperlink>
      <w:r w:rsidRPr="00DB5EAD">
        <w:rPr>
          <w:lang w:eastAsia="en-AU"/>
        </w:rPr>
        <w:t> was previously administered; or</w:t>
      </w:r>
    </w:p>
    <w:p w14:paraId="160394CB" w14:textId="15D89BC6" w:rsidR="00DB5EAD" w:rsidRPr="00DB5EAD" w:rsidRDefault="00DB5EAD" w:rsidP="00DB5EAD">
      <w:pPr>
        <w:pStyle w:val="aDefpara"/>
        <w:rPr>
          <w:lang w:eastAsia="en-AU"/>
        </w:rPr>
      </w:pPr>
      <w:r>
        <w:rPr>
          <w:lang w:eastAsia="en-AU"/>
        </w:rPr>
        <w:tab/>
      </w:r>
      <w:r w:rsidRPr="00DB5EAD">
        <w:rPr>
          <w:lang w:eastAsia="en-AU"/>
        </w:rPr>
        <w:t>(c)</w:t>
      </w:r>
      <w:r>
        <w:rPr>
          <w:lang w:eastAsia="en-AU"/>
        </w:rPr>
        <w:tab/>
      </w:r>
      <w:r w:rsidRPr="00DB5EAD">
        <w:rPr>
          <w:lang w:eastAsia="en-AU"/>
        </w:rPr>
        <w:t>otherwise, the unique number assigned to the heavy vehicle—</w:t>
      </w:r>
    </w:p>
    <w:p w14:paraId="226FF2F5" w14:textId="33A826C6" w:rsidR="00DB5EAD" w:rsidRPr="00DB5EAD" w:rsidRDefault="00DB5EAD" w:rsidP="00DB5EAD">
      <w:pPr>
        <w:pStyle w:val="aDefsubpara"/>
        <w:rPr>
          <w:lang w:eastAsia="en-AU"/>
        </w:rPr>
      </w:pPr>
      <w:r>
        <w:rPr>
          <w:lang w:eastAsia="en-AU"/>
        </w:rPr>
        <w:tab/>
      </w:r>
      <w:r w:rsidRPr="00DB5EAD">
        <w:rPr>
          <w:lang w:eastAsia="en-AU"/>
        </w:rPr>
        <w:t>(i)</w:t>
      </w:r>
      <w:r>
        <w:rPr>
          <w:lang w:eastAsia="en-AU"/>
        </w:rPr>
        <w:tab/>
      </w:r>
      <w:r w:rsidRPr="00DB5EAD">
        <w:rPr>
          <w:lang w:eastAsia="en-AU"/>
        </w:rPr>
        <w:t>at the time the vehicle was manufactured, in accordance with an ADR that is a national road vehicle standard under section 12 of the </w:t>
      </w:r>
      <w:hyperlink r:id="rId45" w:tooltip="Act 2018 No 163 (Cwlth)" w:history="1">
        <w:r w:rsidR="0076253B" w:rsidRPr="0076253B">
          <w:rPr>
            <w:rStyle w:val="charCitHyperlinkItal"/>
          </w:rPr>
          <w:t>Road Vehicle Standards Act 2018</w:t>
        </w:r>
      </w:hyperlink>
      <w:r w:rsidRPr="00DB5EAD">
        <w:rPr>
          <w:lang w:eastAsia="en-AU"/>
        </w:rPr>
        <w:t>; or</w:t>
      </w:r>
    </w:p>
    <w:p w14:paraId="3BC87839" w14:textId="54E4526B" w:rsidR="00DB5EAD" w:rsidRPr="00DB5EAD" w:rsidRDefault="00DB5EAD" w:rsidP="00DB5EAD">
      <w:pPr>
        <w:pStyle w:val="aDefsubpara"/>
        <w:rPr>
          <w:lang w:eastAsia="en-AU"/>
        </w:rPr>
      </w:pPr>
      <w:r>
        <w:rPr>
          <w:lang w:eastAsia="en-AU"/>
        </w:rPr>
        <w:tab/>
      </w:r>
      <w:r w:rsidRPr="00DB5EAD">
        <w:rPr>
          <w:lang w:eastAsia="en-AU"/>
        </w:rPr>
        <w:t>(ii)</w:t>
      </w:r>
      <w:r>
        <w:rPr>
          <w:lang w:eastAsia="en-AU"/>
        </w:rPr>
        <w:tab/>
      </w:r>
      <w:r w:rsidRPr="00DB5EAD">
        <w:rPr>
          <w:lang w:eastAsia="en-AU"/>
        </w:rPr>
        <w:t>by the department of government of the Commonwealth in which the </w:t>
      </w:r>
      <w:hyperlink r:id="rId46" w:tooltip="Act 2018 No 163 (Cwlth)" w:history="1">
        <w:r w:rsidR="0076253B" w:rsidRPr="0076253B">
          <w:rPr>
            <w:rStyle w:val="charCitHyperlinkItal"/>
          </w:rPr>
          <w:t>Road Vehicle Standards Act 2018</w:t>
        </w:r>
      </w:hyperlink>
      <w:r w:rsidRPr="00DB5EAD">
        <w:rPr>
          <w:lang w:eastAsia="en-AU"/>
        </w:rPr>
        <w:t> is administered.</w:t>
      </w:r>
    </w:p>
    <w:p w14:paraId="2873EE2C" w14:textId="77777777" w:rsidR="00DB6E47" w:rsidRPr="00041046" w:rsidRDefault="00DB6E47" w:rsidP="00DB6E47">
      <w:pPr>
        <w:pStyle w:val="aDef"/>
        <w:rPr>
          <w:bCs/>
        </w:rPr>
      </w:pPr>
      <w:r w:rsidRPr="00041046">
        <w:rPr>
          <w:rStyle w:val="charBoldItals"/>
        </w:rPr>
        <w:t>work</w:t>
      </w:r>
      <w:r w:rsidRPr="00041046">
        <w:t>, in relation to a fatigue-regulated heavy vehicle, has the meaning given by section 221.</w:t>
      </w:r>
    </w:p>
    <w:p w14:paraId="0284C656" w14:textId="77777777" w:rsidR="00DB6E47" w:rsidRPr="00041046" w:rsidRDefault="00DB6E47" w:rsidP="00DB6E47">
      <w:pPr>
        <w:pStyle w:val="aDef"/>
        <w:rPr>
          <w:bCs/>
        </w:rPr>
      </w:pPr>
      <w:r w:rsidRPr="00041046">
        <w:rPr>
          <w:rStyle w:val="charBoldItals"/>
        </w:rPr>
        <w:t>work and rest change</w:t>
      </w:r>
      <w:r w:rsidRPr="00041046">
        <w:t>, for the purposes of Chapter 6, has the meaning given by section 221.</w:t>
      </w:r>
    </w:p>
    <w:p w14:paraId="3AB97522" w14:textId="77777777" w:rsidR="00DB6E47" w:rsidRPr="00041046" w:rsidRDefault="00DB6E47" w:rsidP="00DB6E47">
      <w:pPr>
        <w:pStyle w:val="aDef"/>
        <w:rPr>
          <w:bCs/>
        </w:rPr>
      </w:pPr>
      <w:r w:rsidRPr="00041046">
        <w:rPr>
          <w:rStyle w:val="charBoldItals"/>
        </w:rPr>
        <w:t>work and rest hours exemption</w:t>
      </w:r>
      <w:r w:rsidRPr="00041046">
        <w:t xml:space="preserve"> means—</w:t>
      </w:r>
    </w:p>
    <w:p w14:paraId="77CF736A" w14:textId="77777777" w:rsidR="00DB6E47" w:rsidRPr="00F04D8E" w:rsidRDefault="00DB6E47" w:rsidP="00DB6E47">
      <w:pPr>
        <w:pStyle w:val="aDefpara"/>
      </w:pPr>
      <w:r w:rsidRPr="00F04D8E">
        <w:rPr>
          <w:rFonts w:cs="Times"/>
          <w:bCs/>
        </w:rPr>
        <w:tab/>
        <w:t>(a)</w:t>
      </w:r>
      <w:r w:rsidRPr="00F04D8E">
        <w:rPr>
          <w:rFonts w:cs="Times"/>
          <w:bCs/>
        </w:rPr>
        <w:tab/>
        <w:t>a work and rest hours exemption (notice); or</w:t>
      </w:r>
    </w:p>
    <w:p w14:paraId="6C8BA716" w14:textId="77777777" w:rsidR="00DB6E47" w:rsidRPr="00F04D8E" w:rsidRDefault="00DB6E47" w:rsidP="00DB6E47">
      <w:pPr>
        <w:pStyle w:val="aDefpara"/>
      </w:pPr>
      <w:r w:rsidRPr="00F04D8E">
        <w:tab/>
        <w:t>(b)</w:t>
      </w:r>
      <w:r w:rsidRPr="00F04D8E">
        <w:tab/>
        <w:t>a work and rest hours exemption (permit).</w:t>
      </w:r>
    </w:p>
    <w:p w14:paraId="4495E151" w14:textId="77777777" w:rsidR="00DB6E47" w:rsidRPr="00041046" w:rsidRDefault="00DB6E47" w:rsidP="00DB6E47">
      <w:pPr>
        <w:pStyle w:val="aDef"/>
        <w:rPr>
          <w:bCs/>
        </w:rPr>
      </w:pPr>
      <w:r w:rsidRPr="00041046">
        <w:rPr>
          <w:rStyle w:val="charBoldItals"/>
        </w:rPr>
        <w:t>work and rest hours exemption (notice)</w:t>
      </w:r>
      <w:r w:rsidRPr="00041046">
        <w:t xml:space="preserve"> has the meaning given by section 266(2).</w:t>
      </w:r>
    </w:p>
    <w:p w14:paraId="44F1B0AD" w14:textId="77777777" w:rsidR="00DB6E47" w:rsidRPr="00041046" w:rsidRDefault="00DB6E47" w:rsidP="00DB6E47">
      <w:pPr>
        <w:pStyle w:val="aDef"/>
        <w:rPr>
          <w:bCs/>
        </w:rPr>
      </w:pPr>
      <w:r w:rsidRPr="00041046">
        <w:rPr>
          <w:rStyle w:val="charBoldItals"/>
        </w:rPr>
        <w:t>work and rest hours exemption (permit)</w:t>
      </w:r>
      <w:r w:rsidRPr="00041046">
        <w:t xml:space="preserve"> has the meaning given by section 273(2).</w:t>
      </w:r>
    </w:p>
    <w:p w14:paraId="0713A4EF" w14:textId="77777777" w:rsidR="00DB6E47" w:rsidRPr="00041046" w:rsidRDefault="00DB6E47" w:rsidP="00DB6E47">
      <w:pPr>
        <w:pStyle w:val="aDef"/>
        <w:rPr>
          <w:bCs/>
        </w:rPr>
      </w:pPr>
      <w:r w:rsidRPr="00041046">
        <w:rPr>
          <w:rStyle w:val="charBoldItals"/>
        </w:rPr>
        <w:lastRenderedPageBreak/>
        <w:t>work and rest hours option</w:t>
      </w:r>
      <w:r w:rsidRPr="00041046">
        <w:t>, for the purposes of Chapter 6, has the meaning given by section 243.</w:t>
      </w:r>
    </w:p>
    <w:p w14:paraId="17AB0E43" w14:textId="77777777" w:rsidR="00DB6E47" w:rsidRPr="00041046" w:rsidRDefault="00DB6E47" w:rsidP="00DB6E47">
      <w:pPr>
        <w:pStyle w:val="aDef"/>
        <w:rPr>
          <w:bCs/>
        </w:rPr>
      </w:pPr>
      <w:r w:rsidRPr="00041046">
        <w:rPr>
          <w:rStyle w:val="charBoldItals"/>
        </w:rPr>
        <w:t>work diary</w:t>
      </w:r>
      <w:r w:rsidRPr="00041046">
        <w:t>, for the purposes of Chapter 6, has the meaning given by section 221.</w:t>
      </w:r>
    </w:p>
    <w:p w14:paraId="184EE4FA" w14:textId="77777777" w:rsidR="00DB6E47" w:rsidRPr="00041046" w:rsidRDefault="00DB6E47" w:rsidP="00DB6E47">
      <w:pPr>
        <w:pStyle w:val="aDef"/>
        <w:rPr>
          <w:bCs/>
        </w:rPr>
      </w:pPr>
      <w:r w:rsidRPr="00041046">
        <w:rPr>
          <w:rStyle w:val="charBoldItals"/>
        </w:rPr>
        <w:t>work diary exemption</w:t>
      </w:r>
      <w:r w:rsidRPr="00041046">
        <w:t xml:space="preserve"> means—</w:t>
      </w:r>
    </w:p>
    <w:p w14:paraId="25B30CFC" w14:textId="77777777" w:rsidR="00DB6E47" w:rsidRPr="00F04D8E" w:rsidRDefault="00DB6E47" w:rsidP="00DB6E47">
      <w:pPr>
        <w:pStyle w:val="aDefpara"/>
      </w:pPr>
      <w:r w:rsidRPr="00F04D8E">
        <w:rPr>
          <w:rFonts w:cs="Times"/>
          <w:bCs/>
        </w:rPr>
        <w:tab/>
        <w:t>(a)</w:t>
      </w:r>
      <w:r w:rsidRPr="00F04D8E">
        <w:rPr>
          <w:rFonts w:cs="Times"/>
          <w:bCs/>
        </w:rPr>
        <w:tab/>
        <w:t>a work diary exemption (notice); or</w:t>
      </w:r>
    </w:p>
    <w:p w14:paraId="6105E1EF" w14:textId="77777777" w:rsidR="00DB6E47" w:rsidRPr="00F04D8E" w:rsidRDefault="00DB6E47" w:rsidP="00DB6E47">
      <w:pPr>
        <w:pStyle w:val="aDefpara"/>
      </w:pPr>
      <w:r w:rsidRPr="00F04D8E">
        <w:tab/>
        <w:t>(b)</w:t>
      </w:r>
      <w:r w:rsidRPr="00F04D8E">
        <w:tab/>
        <w:t>a work diary exemption (permit).</w:t>
      </w:r>
    </w:p>
    <w:p w14:paraId="39B9651E" w14:textId="77777777" w:rsidR="00DB6E47" w:rsidRPr="00041046" w:rsidRDefault="00DB6E47" w:rsidP="00DB6E47">
      <w:pPr>
        <w:pStyle w:val="aDef"/>
        <w:rPr>
          <w:bCs/>
        </w:rPr>
      </w:pPr>
      <w:r w:rsidRPr="00041046">
        <w:rPr>
          <w:rStyle w:val="charBoldItals"/>
        </w:rPr>
        <w:t>work diary exemption (notice)</w:t>
      </w:r>
      <w:r w:rsidRPr="00041046">
        <w:t xml:space="preserve"> has the meaning given by section</w:t>
      </w:r>
      <w:r w:rsidR="001135C9">
        <w:t> </w:t>
      </w:r>
      <w:r w:rsidRPr="00041046">
        <w:t>357(2).</w:t>
      </w:r>
    </w:p>
    <w:p w14:paraId="1868FAD4" w14:textId="77777777" w:rsidR="00DB6E47" w:rsidRPr="00041046" w:rsidRDefault="00DB6E47" w:rsidP="00DB6E47">
      <w:pPr>
        <w:pStyle w:val="aDef"/>
        <w:rPr>
          <w:bCs/>
        </w:rPr>
      </w:pPr>
      <w:r w:rsidRPr="00041046">
        <w:rPr>
          <w:rStyle w:val="charBoldItals"/>
        </w:rPr>
        <w:t>work diary exemption (permit)</w:t>
      </w:r>
      <w:r w:rsidRPr="00041046">
        <w:t xml:space="preserve"> has the meaning given by section</w:t>
      </w:r>
      <w:r w:rsidR="001135C9">
        <w:t> </w:t>
      </w:r>
      <w:r w:rsidRPr="00041046">
        <w:t>363(2).</w:t>
      </w:r>
    </w:p>
    <w:p w14:paraId="0E6B6312" w14:textId="77777777" w:rsidR="00DB6E47" w:rsidRPr="00041046" w:rsidRDefault="00DB6E47" w:rsidP="00DB6E47">
      <w:pPr>
        <w:pStyle w:val="aDef"/>
        <w:rPr>
          <w:bCs/>
        </w:rPr>
      </w:pPr>
      <w:r w:rsidRPr="00041046">
        <w:rPr>
          <w:rStyle w:val="charBoldItals"/>
        </w:rPr>
        <w:t>work record</w:t>
      </w:r>
      <w:r w:rsidRPr="00041046">
        <w:t>, for the purposes of Chapter 6, has the meaning given by section 221.</w:t>
      </w:r>
    </w:p>
    <w:p w14:paraId="48C46B07" w14:textId="77777777" w:rsidR="00DB6E47" w:rsidRPr="00041046" w:rsidRDefault="00DB6E47" w:rsidP="00DB6E47">
      <w:pPr>
        <w:pStyle w:val="aDef"/>
        <w:rPr>
          <w:bCs/>
        </w:rPr>
      </w:pPr>
      <w:r w:rsidRPr="00041046">
        <w:rPr>
          <w:rStyle w:val="charBoldItals"/>
        </w:rPr>
        <w:t>work time</w:t>
      </w:r>
      <w:r w:rsidRPr="00041046">
        <w:t>, for the purposes of Chapter 6, has the meaning given by section 221.</w:t>
      </w:r>
    </w:p>
    <w:p w14:paraId="324ABBF1" w14:textId="77777777" w:rsidR="00DB6E47" w:rsidRPr="00041046" w:rsidRDefault="00DB6E47" w:rsidP="00DB6E47">
      <w:pPr>
        <w:pStyle w:val="aDef"/>
        <w:rPr>
          <w:bCs/>
        </w:rPr>
      </w:pPr>
      <w:r w:rsidRPr="00041046">
        <w:rPr>
          <w:rStyle w:val="charBoldItals"/>
        </w:rPr>
        <w:t>written work diary</w:t>
      </w:r>
      <w:r w:rsidRPr="00041046">
        <w:t>, for the purposes of Chapter 6, has the meaning given by section 221.</w:t>
      </w:r>
    </w:p>
    <w:p w14:paraId="7818E291" w14:textId="77777777" w:rsidR="00DB6E47" w:rsidRPr="007E1F9A" w:rsidRDefault="00DB6E47" w:rsidP="00DB6E47">
      <w:pPr>
        <w:pStyle w:val="AH5Sec"/>
      </w:pPr>
      <w:bookmarkStart w:id="14" w:name="_Toc83625358"/>
      <w:r w:rsidRPr="005E03F7">
        <w:rPr>
          <w:rStyle w:val="CharSectNo"/>
        </w:rPr>
        <w:t>6</w:t>
      </w:r>
      <w:r w:rsidRPr="007E1F9A">
        <w:tab/>
        <w:t xml:space="preserve">Meaning of </w:t>
      </w:r>
      <w:r w:rsidRPr="00FF4454">
        <w:rPr>
          <w:rStyle w:val="charItals"/>
        </w:rPr>
        <w:t>heavy vehicle</w:t>
      </w:r>
      <w:bookmarkEnd w:id="14"/>
    </w:p>
    <w:p w14:paraId="6DB8C298" w14:textId="77777777" w:rsidR="00DB6E47" w:rsidRPr="006C3305" w:rsidRDefault="00DB6E47" w:rsidP="00BF6BE6">
      <w:pPr>
        <w:pStyle w:val="Amain"/>
        <w:keepNext/>
      </w:pPr>
      <w:r>
        <w:tab/>
        <w:t>(</w:t>
      </w:r>
      <w:r w:rsidRPr="006C3305">
        <w:t>1)</w:t>
      </w:r>
      <w:r w:rsidRPr="006C3305">
        <w:tab/>
        <w:t xml:space="preserve">For the purposes of this Law, a vehicle is a </w:t>
      </w:r>
      <w:r w:rsidRPr="00FF4454">
        <w:rPr>
          <w:rStyle w:val="charBoldItals"/>
        </w:rPr>
        <w:t>heavy vehicle</w:t>
      </w:r>
      <w:r w:rsidRPr="006C3305">
        <w:t xml:space="preserve"> if it has a GVM or ATM of more than 4.5t.</w:t>
      </w:r>
    </w:p>
    <w:p w14:paraId="640E2D0A" w14:textId="77777777" w:rsidR="00DB6E47" w:rsidRPr="005D2C15" w:rsidRDefault="00DB6E47" w:rsidP="00DB6E47">
      <w:pPr>
        <w:pStyle w:val="Amain"/>
      </w:pPr>
      <w:r>
        <w:tab/>
        <w:t>(</w:t>
      </w:r>
      <w:r w:rsidRPr="005D2C15">
        <w:t>2)</w:t>
      </w:r>
      <w:r w:rsidRPr="005D2C15">
        <w:tab/>
        <w:t xml:space="preserve">Also, for the purposes of this Law, a combination that includes a vehicle with a GVM or ATM of more than 4.5t is a </w:t>
      </w:r>
      <w:r w:rsidRPr="00FF4454">
        <w:rPr>
          <w:rStyle w:val="charBoldItals"/>
        </w:rPr>
        <w:t>heavy vehicle</w:t>
      </w:r>
      <w:r w:rsidRPr="005D2C15">
        <w:t>.</w:t>
      </w:r>
    </w:p>
    <w:p w14:paraId="0EE2C129" w14:textId="77777777" w:rsidR="00DB6E47" w:rsidRPr="005D2C15" w:rsidRDefault="00DB6E47" w:rsidP="00DB6E47">
      <w:pPr>
        <w:pStyle w:val="Amain"/>
      </w:pPr>
      <w:r>
        <w:tab/>
        <w:t>(</w:t>
      </w:r>
      <w:r w:rsidRPr="005D2C15">
        <w:t>3)</w:t>
      </w:r>
      <w:r w:rsidRPr="005D2C15">
        <w:tab/>
        <w:t xml:space="preserve">However, rolling stock is not a </w:t>
      </w:r>
      <w:r w:rsidRPr="00FF4454">
        <w:rPr>
          <w:rStyle w:val="charBoldItals"/>
        </w:rPr>
        <w:t>heavy vehicle</w:t>
      </w:r>
      <w:r w:rsidRPr="005D2C15">
        <w:t xml:space="preserve"> for the purposes of this Law.</w:t>
      </w:r>
    </w:p>
    <w:p w14:paraId="2C190448" w14:textId="77777777" w:rsidR="00DB6E47" w:rsidRPr="005D2C15" w:rsidRDefault="00DB6E47" w:rsidP="00752521">
      <w:pPr>
        <w:pStyle w:val="Amain"/>
        <w:keepNext/>
      </w:pPr>
      <w:r>
        <w:lastRenderedPageBreak/>
        <w:tab/>
        <w:t>(</w:t>
      </w:r>
      <w:r w:rsidRPr="005D2C15">
        <w:t>4)</w:t>
      </w:r>
      <w:r w:rsidRPr="005D2C15">
        <w:tab/>
        <w:t>In this section—</w:t>
      </w:r>
    </w:p>
    <w:p w14:paraId="56C61572" w14:textId="77777777" w:rsidR="00DB6E47" w:rsidRPr="00041046" w:rsidRDefault="00DB6E47" w:rsidP="00752521">
      <w:pPr>
        <w:pStyle w:val="aDef"/>
        <w:keepNext/>
        <w:rPr>
          <w:bCs/>
        </w:rPr>
      </w:pPr>
      <w:r w:rsidRPr="00041046">
        <w:rPr>
          <w:rStyle w:val="charBoldItals"/>
        </w:rPr>
        <w:t>rolling stock</w:t>
      </w:r>
      <w:r w:rsidRPr="00041046">
        <w:t>—</w:t>
      </w:r>
    </w:p>
    <w:p w14:paraId="0831A7B6" w14:textId="77777777" w:rsidR="00DB6E47" w:rsidRPr="006C3305" w:rsidRDefault="00DB6E47" w:rsidP="00DB6E47">
      <w:pPr>
        <w:pStyle w:val="Amain"/>
      </w:pPr>
      <w:r>
        <w:tab/>
      </w:r>
      <w:r w:rsidRPr="006C3305">
        <w:t xml:space="preserve">1 </w:t>
      </w:r>
      <w:r w:rsidRPr="006C3305">
        <w:tab/>
      </w:r>
      <w:r w:rsidRPr="00FF4454">
        <w:rPr>
          <w:rStyle w:val="charItals"/>
        </w:rPr>
        <w:t>Rolling stock</w:t>
      </w:r>
      <w:r w:rsidRPr="006C3305">
        <w:t xml:space="preserve"> is a vehicle designed to operate or move on a railway track and includes a locomotive, carriage, rail car, rail motor, light rail vehicle, tram, light inspection vehicle, self-propelled infrastructure maintenance vehicle, trolley, wagon or monorail vehicle.</w:t>
      </w:r>
    </w:p>
    <w:p w14:paraId="73FB96CE" w14:textId="77777777" w:rsidR="00DB6E47" w:rsidRPr="006C3305" w:rsidRDefault="00DB6E47" w:rsidP="00DB6E47">
      <w:pPr>
        <w:pStyle w:val="Amain"/>
      </w:pPr>
      <w:r>
        <w:tab/>
      </w:r>
      <w:r w:rsidRPr="006C3305">
        <w:t xml:space="preserve">2 </w:t>
      </w:r>
      <w:r w:rsidRPr="006C3305">
        <w:tab/>
        <w:t xml:space="preserve">A vehicle designed to operate both on and off a railway track is </w:t>
      </w:r>
      <w:r w:rsidRPr="00FF4454">
        <w:rPr>
          <w:rStyle w:val="charItals"/>
        </w:rPr>
        <w:t>rolling stock</w:t>
      </w:r>
      <w:r w:rsidRPr="006C3305">
        <w:t xml:space="preserve"> when the vehicle is being—</w:t>
      </w:r>
    </w:p>
    <w:p w14:paraId="15D544B1" w14:textId="77777777" w:rsidR="00DB6E47" w:rsidRPr="00F04D8E" w:rsidRDefault="00DB6E47" w:rsidP="00DB6E47">
      <w:pPr>
        <w:pStyle w:val="aDefpara"/>
      </w:pPr>
      <w:r w:rsidRPr="00F04D8E">
        <w:rPr>
          <w:rFonts w:cs="Times"/>
          <w:bCs/>
        </w:rPr>
        <w:tab/>
        <w:t>(a)</w:t>
      </w:r>
      <w:r w:rsidRPr="00F04D8E">
        <w:rPr>
          <w:rFonts w:cs="Times"/>
          <w:bCs/>
        </w:rPr>
        <w:tab/>
        <w:t>operated or moved on a railway track; or</w:t>
      </w:r>
    </w:p>
    <w:p w14:paraId="31B8E47D" w14:textId="77777777" w:rsidR="00DB6E47" w:rsidRPr="00F04D8E" w:rsidRDefault="00DB6E47" w:rsidP="00DB6E47">
      <w:pPr>
        <w:pStyle w:val="aDefpara"/>
      </w:pPr>
      <w:r w:rsidRPr="00F04D8E">
        <w:tab/>
        <w:t>(b)</w:t>
      </w:r>
      <w:r w:rsidRPr="00F04D8E">
        <w:tab/>
        <w:t>maintained, repaired or modified in relation to the operation or movement of the vehicle on a railway track.</w:t>
      </w:r>
    </w:p>
    <w:p w14:paraId="1D224D01" w14:textId="77777777" w:rsidR="00DB6E47" w:rsidRPr="007E1F9A" w:rsidRDefault="008218EB" w:rsidP="00DB6E47">
      <w:pPr>
        <w:pStyle w:val="AH5Sec"/>
      </w:pPr>
      <w:bookmarkStart w:id="15" w:name="_Toc83625359"/>
      <w:r w:rsidRPr="005E03F7">
        <w:rPr>
          <w:rStyle w:val="CharSectNo"/>
        </w:rPr>
        <w:t>7</w:t>
      </w:r>
      <w:r w:rsidR="00DB6E47" w:rsidRPr="007E1F9A">
        <w:tab/>
        <w:t xml:space="preserve">Meaning of </w:t>
      </w:r>
      <w:r w:rsidR="00DB6E47" w:rsidRPr="00FF4454">
        <w:rPr>
          <w:rStyle w:val="charItals"/>
        </w:rPr>
        <w:t>fatigue-regulated heavy vehicle</w:t>
      </w:r>
      <w:bookmarkEnd w:id="15"/>
    </w:p>
    <w:p w14:paraId="47F0DEAD" w14:textId="77777777" w:rsidR="00DB6E47" w:rsidRPr="006C3305" w:rsidRDefault="00DB6E47" w:rsidP="00DB6E47">
      <w:pPr>
        <w:pStyle w:val="Amain"/>
      </w:pPr>
      <w:r>
        <w:tab/>
        <w:t>(</w:t>
      </w:r>
      <w:r w:rsidRPr="006C3305">
        <w:t>1)</w:t>
      </w:r>
      <w:r w:rsidRPr="006C3305">
        <w:tab/>
        <w:t xml:space="preserve">For the purposes of this Law, a heavy vehicle is a </w:t>
      </w:r>
      <w:r w:rsidRPr="00FF4454">
        <w:rPr>
          <w:rStyle w:val="charBoldItals"/>
        </w:rPr>
        <w:t>fatigue-regulated heavy</w:t>
      </w:r>
      <w:r w:rsidRPr="00430EE7">
        <w:rPr>
          <w:b/>
        </w:rPr>
        <w:t xml:space="preserve"> </w:t>
      </w:r>
      <w:r w:rsidRPr="00FF4454">
        <w:rPr>
          <w:rStyle w:val="charBoldItals"/>
        </w:rPr>
        <w:t>vehicle</w:t>
      </w:r>
      <w:r w:rsidRPr="006C3305">
        <w:t xml:space="preserve"> if it is any of the following—</w:t>
      </w:r>
    </w:p>
    <w:p w14:paraId="7E9B7F57" w14:textId="77777777" w:rsidR="00DB6E47" w:rsidRPr="00AE5475" w:rsidRDefault="00DB6E47" w:rsidP="00DB6E47">
      <w:pPr>
        <w:pStyle w:val="Apara"/>
      </w:pPr>
      <w:r>
        <w:tab/>
        <w:t>(a)</w:t>
      </w:r>
      <w:r w:rsidRPr="00AE5475">
        <w:tab/>
        <w:t>a motor vehicle with a GVM of more than 12t;</w:t>
      </w:r>
    </w:p>
    <w:p w14:paraId="2E712D69" w14:textId="77777777" w:rsidR="00DB6E47" w:rsidRPr="00AE5475" w:rsidRDefault="00DB6E47" w:rsidP="00DB6E47">
      <w:pPr>
        <w:pStyle w:val="Apara"/>
      </w:pPr>
      <w:r>
        <w:tab/>
        <w:t>(b)</w:t>
      </w:r>
      <w:r w:rsidRPr="00AE5475">
        <w:tab/>
        <w:t>a combination with a GVM of more than 12t;</w:t>
      </w:r>
    </w:p>
    <w:p w14:paraId="46E7D1E9" w14:textId="77777777" w:rsidR="00DB6E47" w:rsidRPr="00AE5475" w:rsidRDefault="00DB6E47" w:rsidP="00DB6E47">
      <w:pPr>
        <w:pStyle w:val="Apara"/>
      </w:pPr>
      <w:r>
        <w:tab/>
        <w:t>(c)</w:t>
      </w:r>
      <w:r w:rsidRPr="00AE5475">
        <w:tab/>
        <w:t>a fatigue-regulated bus.</w:t>
      </w:r>
    </w:p>
    <w:p w14:paraId="466CBD66" w14:textId="77777777" w:rsidR="00DB6E47" w:rsidRPr="006C3305" w:rsidRDefault="00DB6E47" w:rsidP="009037C9">
      <w:pPr>
        <w:pStyle w:val="Amain"/>
        <w:keepNext/>
      </w:pPr>
      <w:r>
        <w:tab/>
        <w:t>(</w:t>
      </w:r>
      <w:r w:rsidRPr="006C3305">
        <w:t>2)</w:t>
      </w:r>
      <w:r w:rsidRPr="006C3305">
        <w:tab/>
        <w:t xml:space="preserve">However, subject to subsection (3), a heavy vehicle is not a </w:t>
      </w:r>
      <w:r w:rsidRPr="00FF4454">
        <w:rPr>
          <w:rStyle w:val="charBoldItals"/>
        </w:rPr>
        <w:t>fatigue-regulated heavy vehicle</w:t>
      </w:r>
      <w:r w:rsidRPr="006C3305">
        <w:t xml:space="preserve"> for the purposes of this Law if it is any of the following—</w:t>
      </w:r>
    </w:p>
    <w:p w14:paraId="54AABF28" w14:textId="77777777" w:rsidR="00DB6E47" w:rsidRPr="0034388F" w:rsidRDefault="00DB6E47" w:rsidP="009037C9">
      <w:pPr>
        <w:pStyle w:val="Apara"/>
        <w:keepNext/>
      </w:pPr>
      <w:r w:rsidRPr="0034388F">
        <w:tab/>
        <w:t>(a)</w:t>
      </w:r>
      <w:r w:rsidRPr="0034388F">
        <w:tab/>
        <w:t>a motor vehicle that—</w:t>
      </w:r>
    </w:p>
    <w:p w14:paraId="357437DA" w14:textId="77777777" w:rsidR="00DB6E47" w:rsidRPr="00AD1D43" w:rsidRDefault="00DB6E47" w:rsidP="00DB6E47">
      <w:pPr>
        <w:pStyle w:val="Asubpara"/>
      </w:pPr>
      <w:r w:rsidRPr="00AD1D43">
        <w:tab/>
        <w:t>(i)</w:t>
      </w:r>
      <w:r w:rsidRPr="00AD1D43">
        <w:tab/>
        <w:t>is built, or has been modified, to operate primarily as a machine or implement off-road, on a road-related area, or on an area of road that is under construction; and</w:t>
      </w:r>
    </w:p>
    <w:p w14:paraId="468F6343" w14:textId="77777777" w:rsidR="00DB6E47" w:rsidRPr="00AD1D43" w:rsidRDefault="00DB6E47" w:rsidP="002D38A4">
      <w:pPr>
        <w:pStyle w:val="Asubpara"/>
        <w:keepNext/>
      </w:pPr>
      <w:r w:rsidRPr="00AD1D43">
        <w:lastRenderedPageBreak/>
        <w:tab/>
        <w:t>(ii)</w:t>
      </w:r>
      <w:r w:rsidRPr="00AD1D43">
        <w:tab/>
        <w:t>is not capable of carrying goods or passengers by road;</w:t>
      </w:r>
    </w:p>
    <w:p w14:paraId="05DFDC9B" w14:textId="77777777" w:rsidR="00DB6E47" w:rsidRPr="007E1F9A" w:rsidRDefault="00DB6E47" w:rsidP="00DB6E47">
      <w:pPr>
        <w:pStyle w:val="aExamHdgss"/>
      </w:pPr>
      <w:r w:rsidRPr="00C96203">
        <w:rPr>
          <w:rFonts w:cs="Times"/>
          <w:bCs/>
          <w:iCs/>
        </w:rPr>
        <w:t>Examples for the purposes of paragraph (a)</w:t>
      </w:r>
      <w:r w:rsidRPr="00C96203">
        <w:rPr>
          <w:rFonts w:cs="Times"/>
          <w:bCs/>
        </w:rPr>
        <w:t>—</w:t>
      </w:r>
    </w:p>
    <w:p w14:paraId="781EE2EC" w14:textId="77777777" w:rsidR="00DB6E47" w:rsidRPr="007E1F9A" w:rsidRDefault="00DB6E47" w:rsidP="00DB6E47">
      <w:pPr>
        <w:pStyle w:val="aExamss"/>
      </w:pPr>
      <w:r w:rsidRPr="007E1F9A">
        <w:t>agricultural machine, backhoe, bulldozer, excavator, forklift, front-end loader, grader, motor vehicle registered under an Australian road law as a special purpose vehicle (type p)</w:t>
      </w:r>
    </w:p>
    <w:p w14:paraId="53F475EA" w14:textId="77777777" w:rsidR="00DB6E47" w:rsidRPr="0034388F" w:rsidRDefault="00DB6E47" w:rsidP="00DB6E47">
      <w:pPr>
        <w:pStyle w:val="Apara"/>
      </w:pPr>
      <w:r w:rsidRPr="0034388F">
        <w:tab/>
        <w:t>(b)</w:t>
      </w:r>
      <w:r w:rsidRPr="0034388F">
        <w:tab/>
        <w:t>a motorhome.</w:t>
      </w:r>
    </w:p>
    <w:p w14:paraId="645C6759" w14:textId="77777777" w:rsidR="00DB6E47" w:rsidRPr="006C3305" w:rsidRDefault="00DB6E47" w:rsidP="00DB6E47">
      <w:pPr>
        <w:pStyle w:val="Amain"/>
      </w:pPr>
      <w:r>
        <w:tab/>
        <w:t>(</w:t>
      </w:r>
      <w:r w:rsidRPr="006C3305">
        <w:t>3)</w:t>
      </w:r>
      <w:r w:rsidRPr="006C3305">
        <w:tab/>
        <w:t xml:space="preserve">For the purposes of this Law, a truck, or a combination including a truck, that has a machine or implement attached to it is a </w:t>
      </w:r>
      <w:r w:rsidRPr="00FF4454">
        <w:rPr>
          <w:rStyle w:val="charBoldItals"/>
        </w:rPr>
        <w:t>fatigue-regulated heavy vehicle</w:t>
      </w:r>
      <w:r w:rsidRPr="006C3305">
        <w:t>—</w:t>
      </w:r>
    </w:p>
    <w:p w14:paraId="47F5BD43" w14:textId="77777777" w:rsidR="00DB6E47" w:rsidRPr="0034388F" w:rsidRDefault="00DB6E47" w:rsidP="00DB6E47">
      <w:pPr>
        <w:pStyle w:val="Apara"/>
      </w:pPr>
      <w:r w:rsidRPr="0034388F">
        <w:tab/>
        <w:t>(a)</w:t>
      </w:r>
      <w:r w:rsidRPr="0034388F">
        <w:tab/>
        <w:t>if the GVM of the truck or combination with the attached machine or implement is more than 12t; and</w:t>
      </w:r>
    </w:p>
    <w:p w14:paraId="396A9DD0" w14:textId="77777777" w:rsidR="00DB6E47" w:rsidRPr="0034388F" w:rsidRDefault="00DB6E47" w:rsidP="00DB6E47">
      <w:pPr>
        <w:pStyle w:val="Apara"/>
      </w:pPr>
      <w:r w:rsidRPr="0034388F">
        <w:tab/>
        <w:t>(b)</w:t>
      </w:r>
      <w:r w:rsidRPr="0034388F">
        <w:tab/>
        <w:t>whether or not the truck or combination has been built or modified primarily to operate as a machine or implement off-road, on a road-related area, or on an area of road that is under construction.</w:t>
      </w:r>
    </w:p>
    <w:p w14:paraId="4A3512AC" w14:textId="77777777" w:rsidR="00DB6E47" w:rsidRPr="007E1F9A" w:rsidRDefault="00DB6E47" w:rsidP="00DB6E47">
      <w:pPr>
        <w:pStyle w:val="aExamHdgss"/>
      </w:pPr>
      <w:r w:rsidRPr="00C96203">
        <w:rPr>
          <w:rFonts w:cs="Times"/>
          <w:bCs/>
          <w:iCs/>
        </w:rPr>
        <w:t>Example for the purposes of subsection (3)</w:t>
      </w:r>
      <w:r w:rsidRPr="00C96203">
        <w:rPr>
          <w:rFonts w:cs="Times"/>
          <w:bCs/>
        </w:rPr>
        <w:t>—</w:t>
      </w:r>
    </w:p>
    <w:p w14:paraId="711A2FB7" w14:textId="77777777" w:rsidR="00DB6E47" w:rsidRPr="007E1F9A" w:rsidRDefault="00DB6E47" w:rsidP="00DB6E47">
      <w:pPr>
        <w:pStyle w:val="aExamss"/>
      </w:pPr>
      <w:r w:rsidRPr="007E1F9A">
        <w:t>a truck to which a crane or drilling rig is attached</w:t>
      </w:r>
    </w:p>
    <w:p w14:paraId="14A57A84" w14:textId="77777777" w:rsidR="00DB6E47" w:rsidRPr="006C3305" w:rsidRDefault="00DB6E47" w:rsidP="00DB6E47">
      <w:pPr>
        <w:pStyle w:val="Amain"/>
      </w:pPr>
      <w:r>
        <w:tab/>
        <w:t>(</w:t>
      </w:r>
      <w:r w:rsidRPr="006C3305">
        <w:t>4)</w:t>
      </w:r>
      <w:r w:rsidRPr="006C3305">
        <w:tab/>
        <w:t xml:space="preserve">For the purposes of subsection (2)(b), a </w:t>
      </w:r>
      <w:r w:rsidRPr="00FF4454">
        <w:rPr>
          <w:rStyle w:val="charBoldItals"/>
        </w:rPr>
        <w:t>motorhome</w:t>
      </w:r>
      <w:r w:rsidRPr="006C3305">
        <w:t>—</w:t>
      </w:r>
    </w:p>
    <w:p w14:paraId="2B59D752" w14:textId="77777777" w:rsidR="00DB6E47" w:rsidRPr="0034388F" w:rsidRDefault="00DB6E47" w:rsidP="00DB6E47">
      <w:pPr>
        <w:pStyle w:val="Apara"/>
      </w:pPr>
      <w:r w:rsidRPr="0034388F">
        <w:tab/>
        <w:t>(a)</w:t>
      </w:r>
      <w:r w:rsidRPr="0034388F">
        <w:tab/>
        <w:t>is a rigid or articulated motor vehicle or combination that is built, or has been modified, primarily for residential purposes; and</w:t>
      </w:r>
    </w:p>
    <w:p w14:paraId="30A63590" w14:textId="77777777" w:rsidR="00DB6E47" w:rsidRPr="0034388F" w:rsidRDefault="00DB6E47" w:rsidP="00DB6E47">
      <w:pPr>
        <w:pStyle w:val="Apara"/>
      </w:pPr>
      <w:r w:rsidRPr="0034388F">
        <w:tab/>
        <w:t>(b)</w:t>
      </w:r>
      <w:r w:rsidRPr="0034388F">
        <w:tab/>
        <w:t>does not include a motor vehicle that is merely a motor vehicle constructed with a sleeper berth.</w:t>
      </w:r>
    </w:p>
    <w:p w14:paraId="7361A7CE" w14:textId="77777777" w:rsidR="00DB6E47" w:rsidRPr="006C3305" w:rsidRDefault="00DB6E47" w:rsidP="00DB6E47">
      <w:pPr>
        <w:pStyle w:val="Amain"/>
      </w:pPr>
      <w:r>
        <w:tab/>
        <w:t>(</w:t>
      </w:r>
      <w:r w:rsidRPr="006C3305">
        <w:t>5)</w:t>
      </w:r>
      <w:r w:rsidRPr="006C3305">
        <w:tab/>
        <w:t>For the purposes of this section, the GVM of a combination is the total of the GVMs of the vehicles in the combination.</w:t>
      </w:r>
    </w:p>
    <w:p w14:paraId="046F8985" w14:textId="77777777" w:rsidR="00DB6E47" w:rsidRPr="007E1F9A" w:rsidRDefault="00DB6E47" w:rsidP="00DB6E47">
      <w:pPr>
        <w:pStyle w:val="AH5Sec"/>
      </w:pPr>
      <w:bookmarkStart w:id="16" w:name="_Toc83625360"/>
      <w:r w:rsidRPr="005E03F7">
        <w:rPr>
          <w:rStyle w:val="CharSectNo"/>
        </w:rPr>
        <w:lastRenderedPageBreak/>
        <w:t>8</w:t>
      </w:r>
      <w:r w:rsidRPr="007E1F9A">
        <w:tab/>
        <w:t xml:space="preserve">Meaning of </w:t>
      </w:r>
      <w:r w:rsidRPr="00FF4454">
        <w:rPr>
          <w:rStyle w:val="charItals"/>
        </w:rPr>
        <w:t>road</w:t>
      </w:r>
      <w:r w:rsidRPr="007E1F9A">
        <w:t xml:space="preserve"> and </w:t>
      </w:r>
      <w:r w:rsidRPr="00FF4454">
        <w:rPr>
          <w:rStyle w:val="charItals"/>
        </w:rPr>
        <w:t>road-related area</w:t>
      </w:r>
      <w:bookmarkEnd w:id="16"/>
    </w:p>
    <w:p w14:paraId="45FB5436" w14:textId="77777777" w:rsidR="00DB6E47" w:rsidRPr="006C3305" w:rsidRDefault="00DB6E47" w:rsidP="002D38A4">
      <w:pPr>
        <w:pStyle w:val="Amain"/>
        <w:keepNext/>
      </w:pPr>
      <w:r>
        <w:tab/>
        <w:t>(</w:t>
      </w:r>
      <w:r w:rsidRPr="006C3305">
        <w:t>1)</w:t>
      </w:r>
      <w:r w:rsidRPr="006C3305">
        <w:tab/>
        <w:t xml:space="preserve">For the purposes of this Law, a </w:t>
      </w:r>
      <w:r w:rsidRPr="00FF4454">
        <w:rPr>
          <w:rStyle w:val="charBoldItals"/>
        </w:rPr>
        <w:t>road</w:t>
      </w:r>
      <w:r w:rsidRPr="006C3305">
        <w:t xml:space="preserve"> is an area that is open to or used by the public and is developed for, or has as 1 of its uses, the driving or riding of motor vehicles.</w:t>
      </w:r>
    </w:p>
    <w:p w14:paraId="55DA6B7D" w14:textId="77777777" w:rsidR="00DB6E47" w:rsidRPr="007E1F9A" w:rsidRDefault="00DB6E47" w:rsidP="00DB6E47">
      <w:pPr>
        <w:pStyle w:val="aExamHdgss"/>
      </w:pPr>
      <w:r w:rsidRPr="00C96203">
        <w:rPr>
          <w:rFonts w:cs="Times"/>
          <w:bCs/>
          <w:iCs/>
        </w:rPr>
        <w:t>Examples of areas that are roads</w:t>
      </w:r>
      <w:r w:rsidRPr="00C96203">
        <w:rPr>
          <w:rFonts w:cs="Times"/>
          <w:bCs/>
        </w:rPr>
        <w:t>—</w:t>
      </w:r>
    </w:p>
    <w:p w14:paraId="375A8C60" w14:textId="77777777" w:rsidR="00DB6E47" w:rsidRPr="007E1F9A" w:rsidRDefault="00DB6E47" w:rsidP="00DB6E47">
      <w:pPr>
        <w:pStyle w:val="aExamss"/>
      </w:pPr>
      <w:r w:rsidRPr="007E1F9A">
        <w:t>bridges, cattle grids, culverts, ferries, fords, railway crossings, tunnels or viaducts</w:t>
      </w:r>
    </w:p>
    <w:p w14:paraId="27C82348" w14:textId="77777777" w:rsidR="00DB6E47" w:rsidRPr="006C3305" w:rsidRDefault="00DB6E47" w:rsidP="00DB6E47">
      <w:pPr>
        <w:pStyle w:val="Amain"/>
      </w:pPr>
      <w:r>
        <w:tab/>
        <w:t>(</w:t>
      </w:r>
      <w:r w:rsidRPr="006C3305">
        <w:t>2)</w:t>
      </w:r>
      <w:r w:rsidRPr="006C3305">
        <w:tab/>
        <w:t xml:space="preserve">For the purposes of this Law, a </w:t>
      </w:r>
      <w:r w:rsidRPr="00FF4454">
        <w:rPr>
          <w:rStyle w:val="charBoldItals"/>
        </w:rPr>
        <w:t>road-related area</w:t>
      </w:r>
      <w:r w:rsidRPr="006C3305">
        <w:t xml:space="preserve"> is—</w:t>
      </w:r>
    </w:p>
    <w:p w14:paraId="43FE43EB" w14:textId="77777777" w:rsidR="00DB6E47" w:rsidRPr="0034388F" w:rsidRDefault="00DB6E47" w:rsidP="00DB6E47">
      <w:pPr>
        <w:pStyle w:val="Apara"/>
      </w:pPr>
      <w:r w:rsidRPr="0034388F">
        <w:tab/>
        <w:t>(a)</w:t>
      </w:r>
      <w:r w:rsidRPr="0034388F">
        <w:tab/>
        <w:t>an area that divides a road; or</w:t>
      </w:r>
    </w:p>
    <w:p w14:paraId="0C806225" w14:textId="77777777" w:rsidR="00DB6E47" w:rsidRPr="0034388F" w:rsidRDefault="00DB6E47" w:rsidP="00DB6E47">
      <w:pPr>
        <w:pStyle w:val="Apara"/>
      </w:pPr>
      <w:r w:rsidRPr="0034388F">
        <w:tab/>
        <w:t>(b)</w:t>
      </w:r>
      <w:r w:rsidRPr="0034388F">
        <w:tab/>
        <w:t>a footpath, shared path or nature strip adjacent to a road; or</w:t>
      </w:r>
    </w:p>
    <w:p w14:paraId="3441DBC4" w14:textId="77777777" w:rsidR="00DB6E47" w:rsidRPr="0034388F" w:rsidRDefault="00DB6E47" w:rsidP="00DB6E47">
      <w:pPr>
        <w:pStyle w:val="Apara"/>
      </w:pPr>
      <w:r w:rsidRPr="0034388F">
        <w:tab/>
        <w:t>(c)</w:t>
      </w:r>
      <w:r w:rsidRPr="0034388F">
        <w:tab/>
        <w:t>a shoulder of a road; or</w:t>
      </w:r>
    </w:p>
    <w:p w14:paraId="5D98BC21" w14:textId="77777777" w:rsidR="00DB6E47" w:rsidRPr="0034388F" w:rsidRDefault="00DB6E47" w:rsidP="00DB6E47">
      <w:pPr>
        <w:pStyle w:val="Apara"/>
      </w:pPr>
      <w:r w:rsidRPr="0034388F">
        <w:tab/>
        <w:t>(d)</w:t>
      </w:r>
      <w:r w:rsidRPr="0034388F">
        <w:tab/>
        <w:t>a bicycle path or another area that is not a road and that is open to the public and designated for use by cyclists or animals; or</w:t>
      </w:r>
    </w:p>
    <w:p w14:paraId="4776143B" w14:textId="77777777" w:rsidR="00DB6E47" w:rsidRPr="0034388F" w:rsidRDefault="00DB6E47" w:rsidP="00DB6E47">
      <w:pPr>
        <w:pStyle w:val="Apara"/>
      </w:pPr>
      <w:r w:rsidRPr="0034388F">
        <w:tab/>
        <w:t>(e)</w:t>
      </w:r>
      <w:r w:rsidRPr="0034388F">
        <w:tab/>
        <w:t>an area that is not a road and that is open to, or used by, the public for driving, riding or parking motor vehicles.</w:t>
      </w:r>
    </w:p>
    <w:p w14:paraId="17F2F7E6" w14:textId="77777777" w:rsidR="00DB6E47" w:rsidRPr="006C3305" w:rsidRDefault="00DB6E47" w:rsidP="00DB6E47">
      <w:pPr>
        <w:pStyle w:val="Amain"/>
      </w:pPr>
      <w:r>
        <w:tab/>
        <w:t>(</w:t>
      </w:r>
      <w:r w:rsidRPr="006C3305">
        <w:t>3)</w:t>
      </w:r>
      <w:r w:rsidRPr="006C3305">
        <w:tab/>
        <w:t xml:space="preserve">Also, an area is a </w:t>
      </w:r>
      <w:r w:rsidRPr="00FF4454">
        <w:rPr>
          <w:rStyle w:val="charBoldItals"/>
        </w:rPr>
        <w:t>road</w:t>
      </w:r>
      <w:r w:rsidRPr="006C3305">
        <w:t xml:space="preserve"> or </w:t>
      </w:r>
      <w:r w:rsidRPr="00FF4454">
        <w:rPr>
          <w:rStyle w:val="charBoldItals"/>
        </w:rPr>
        <w:t>road-related area</w:t>
      </w:r>
      <w:r w:rsidRPr="00FF4454">
        <w:t xml:space="preserve"> </w:t>
      </w:r>
      <w:r w:rsidRPr="006C3305">
        <w:t>for the purposes of this Law or a particular provision of this Law as applied in a participating jurisdiction, if the area is declared by a law of that jurisdiction to be a road or road-related area for the purposes of this Law or the particular provision.</w:t>
      </w:r>
    </w:p>
    <w:p w14:paraId="5F1CEB93" w14:textId="77777777" w:rsidR="00DB6E47" w:rsidRPr="006C3305" w:rsidRDefault="00DB6E47" w:rsidP="00DB6E47">
      <w:pPr>
        <w:pStyle w:val="Amain"/>
      </w:pPr>
      <w:r>
        <w:tab/>
        <w:t>(</w:t>
      </w:r>
      <w:r w:rsidRPr="006C3305">
        <w:t>4)</w:t>
      </w:r>
      <w:r w:rsidRPr="006C3305">
        <w:tab/>
        <w:t>In this section—</w:t>
      </w:r>
    </w:p>
    <w:p w14:paraId="73864901" w14:textId="77777777" w:rsidR="00DB6E47" w:rsidRPr="00041046" w:rsidRDefault="00DB6E47" w:rsidP="00DB6E47">
      <w:pPr>
        <w:pStyle w:val="aDef"/>
        <w:rPr>
          <w:bCs/>
        </w:rPr>
      </w:pPr>
      <w:r w:rsidRPr="00041046">
        <w:rPr>
          <w:rStyle w:val="charBoldItals"/>
        </w:rPr>
        <w:t>bicycle path</w:t>
      </w:r>
      <w:r w:rsidRPr="00041046">
        <w:t xml:space="preserve"> means an area open to the public that is designated for, or has as 1 of its main uses, use by riders of bicycles.</w:t>
      </w:r>
    </w:p>
    <w:p w14:paraId="01ABAD11" w14:textId="77777777" w:rsidR="00DB6E47" w:rsidRPr="00041046" w:rsidRDefault="00DB6E47" w:rsidP="00DB6E47">
      <w:pPr>
        <w:pStyle w:val="aDef"/>
        <w:rPr>
          <w:bCs/>
        </w:rPr>
      </w:pPr>
      <w:r w:rsidRPr="00041046">
        <w:rPr>
          <w:rStyle w:val="charBoldItals"/>
        </w:rPr>
        <w:t>footpath</w:t>
      </w:r>
      <w:r w:rsidRPr="00041046">
        <w:t xml:space="preserve"> means an area open to the public that is designated for, or has as 1 of its main uses, use by pedestrians.</w:t>
      </w:r>
    </w:p>
    <w:p w14:paraId="321B28D6" w14:textId="77777777" w:rsidR="00DB6E47" w:rsidRPr="00041046" w:rsidRDefault="00DB6E47" w:rsidP="00DB6E47">
      <w:pPr>
        <w:pStyle w:val="aDef"/>
        <w:rPr>
          <w:bCs/>
        </w:rPr>
      </w:pPr>
      <w:r w:rsidRPr="00041046">
        <w:rPr>
          <w:rStyle w:val="charBoldItals"/>
        </w:rPr>
        <w:t>shared path</w:t>
      </w:r>
      <w:r w:rsidRPr="00041046">
        <w:t xml:space="preserve"> means an area open to the public that is designated for, or has as 1 of its main uses, use by both the riders of bicycles and pedestrians.</w:t>
      </w:r>
    </w:p>
    <w:p w14:paraId="56FA7468" w14:textId="77777777" w:rsidR="00DB6E47" w:rsidRPr="00041046" w:rsidRDefault="00DB6E47" w:rsidP="002D38A4">
      <w:pPr>
        <w:pStyle w:val="aDef"/>
        <w:keepNext/>
        <w:rPr>
          <w:bCs/>
        </w:rPr>
      </w:pPr>
      <w:r w:rsidRPr="00041046">
        <w:rPr>
          <w:rStyle w:val="charBoldItals"/>
        </w:rPr>
        <w:lastRenderedPageBreak/>
        <w:t>shoulder</w:t>
      </w:r>
      <w:r w:rsidRPr="00041046">
        <w:t>, of a road—</w:t>
      </w:r>
    </w:p>
    <w:p w14:paraId="6150A261" w14:textId="77777777" w:rsidR="00DB6E47" w:rsidRPr="00F04D8E" w:rsidRDefault="00DB6E47" w:rsidP="00DB6E47">
      <w:pPr>
        <w:pStyle w:val="aDefpara"/>
      </w:pPr>
      <w:r w:rsidRPr="00F04D8E">
        <w:rPr>
          <w:rFonts w:cs="Times"/>
          <w:bCs/>
        </w:rPr>
        <w:tab/>
        <w:t>(a)</w:t>
      </w:r>
      <w:r w:rsidRPr="00F04D8E">
        <w:rPr>
          <w:rFonts w:cs="Times"/>
          <w:bCs/>
        </w:rPr>
        <w:tab/>
        <w:t>includes any part of the road that is not designed to be used by motor vehicles in travelling along the road; and</w:t>
      </w:r>
    </w:p>
    <w:p w14:paraId="6D7252F4" w14:textId="77777777" w:rsidR="00DB6E47" w:rsidRPr="00F04D8E" w:rsidRDefault="00DB6E47" w:rsidP="00DB6E47">
      <w:pPr>
        <w:pStyle w:val="aDefpara"/>
      </w:pPr>
      <w:r w:rsidRPr="00F04D8E">
        <w:tab/>
        <w:t>(b)</w:t>
      </w:r>
      <w:r w:rsidRPr="00F04D8E">
        <w:tab/>
        <w:t>includes—</w:t>
      </w:r>
    </w:p>
    <w:p w14:paraId="55E5542C" w14:textId="77777777" w:rsidR="00DB6E47" w:rsidRPr="00F04D8E" w:rsidRDefault="00DB6E47" w:rsidP="00DB6E47">
      <w:pPr>
        <w:pStyle w:val="aDefsubpara"/>
      </w:pPr>
      <w:r w:rsidRPr="00F04D8E">
        <w:tab/>
        <w:t>(i)</w:t>
      </w:r>
      <w:r w:rsidRPr="00F04D8E">
        <w:tab/>
        <w:t>for a kerbed road-any part of the kerb; and</w:t>
      </w:r>
    </w:p>
    <w:p w14:paraId="59DB0DCD" w14:textId="77777777" w:rsidR="00DB6E47" w:rsidRPr="00F04D8E" w:rsidRDefault="00DB6E47" w:rsidP="00DB6E47">
      <w:pPr>
        <w:pStyle w:val="aDefsubpara"/>
      </w:pPr>
      <w:r w:rsidRPr="00F04D8E">
        <w:tab/>
        <w:t>(ii)</w:t>
      </w:r>
      <w:r w:rsidRPr="00F04D8E">
        <w:tab/>
        <w:t>for a sealed road-any unsealed part of the road, and any sealed part of the road outside an edge line on the road; but</w:t>
      </w:r>
    </w:p>
    <w:p w14:paraId="43AD47F1" w14:textId="77777777" w:rsidR="00DB6E47" w:rsidRPr="00F04D8E" w:rsidRDefault="00DB6E47" w:rsidP="00DB6E47">
      <w:pPr>
        <w:pStyle w:val="aDefpara"/>
      </w:pPr>
      <w:r w:rsidRPr="00F04D8E">
        <w:tab/>
        <w:t>(c)</w:t>
      </w:r>
      <w:r w:rsidRPr="00F04D8E">
        <w:tab/>
        <w:t>does not include a bicycle path, footpath or shared path.</w:t>
      </w:r>
    </w:p>
    <w:p w14:paraId="69ADB38D" w14:textId="77777777" w:rsidR="00DB6E47" w:rsidRPr="007E1F9A" w:rsidRDefault="00DB6E47" w:rsidP="00DB6E47">
      <w:pPr>
        <w:pStyle w:val="AH5Sec"/>
      </w:pPr>
      <w:bookmarkStart w:id="17" w:name="_Toc83625361"/>
      <w:r w:rsidRPr="005E03F7">
        <w:rPr>
          <w:rStyle w:val="CharSectNo"/>
        </w:rPr>
        <w:t>9</w:t>
      </w:r>
      <w:r w:rsidRPr="007E1F9A">
        <w:tab/>
        <w:t xml:space="preserve">Meaning of </w:t>
      </w:r>
      <w:r w:rsidRPr="00FF4454">
        <w:rPr>
          <w:rStyle w:val="charItals"/>
        </w:rPr>
        <w:t>convicts</w:t>
      </w:r>
      <w:r w:rsidRPr="007E1F9A">
        <w:t xml:space="preserve"> and </w:t>
      </w:r>
      <w:r w:rsidRPr="00FF4454">
        <w:rPr>
          <w:rStyle w:val="charItals"/>
        </w:rPr>
        <w:t>convicted</w:t>
      </w:r>
      <w:r w:rsidRPr="007E1F9A">
        <w:t xml:space="preserve"> of an offence</w:t>
      </w:r>
      <w:bookmarkEnd w:id="17"/>
    </w:p>
    <w:p w14:paraId="47CE219B" w14:textId="77777777" w:rsidR="00DB6E47" w:rsidRPr="006C3305" w:rsidRDefault="00DB6E47" w:rsidP="00DB6E47">
      <w:pPr>
        <w:pStyle w:val="Amain"/>
      </w:pPr>
      <w:r>
        <w:tab/>
        <w:t>(</w:t>
      </w:r>
      <w:r w:rsidRPr="006C3305">
        <w:t>1)</w:t>
      </w:r>
      <w:r w:rsidRPr="006C3305">
        <w:tab/>
        <w:t xml:space="preserve">For the purposes of this Law, a court </w:t>
      </w:r>
      <w:r w:rsidRPr="00FF4454">
        <w:rPr>
          <w:rStyle w:val="charBoldItals"/>
        </w:rPr>
        <w:t>convicts</w:t>
      </w:r>
      <w:r w:rsidRPr="006C3305">
        <w:t xml:space="preserve"> a person of an offence if the court finds the person guilty, or accepts the person’s plea of guilty, for the offence whether or not a conviction is recorded.</w:t>
      </w:r>
    </w:p>
    <w:p w14:paraId="49EC1B0A" w14:textId="77777777" w:rsidR="00DB6E47" w:rsidRPr="006C3305" w:rsidRDefault="00DB6E47" w:rsidP="00DB6E47">
      <w:pPr>
        <w:pStyle w:val="Amain"/>
      </w:pPr>
      <w:r>
        <w:tab/>
        <w:t>(</w:t>
      </w:r>
      <w:r w:rsidRPr="006C3305">
        <w:t>2)</w:t>
      </w:r>
      <w:r w:rsidRPr="006C3305">
        <w:tab/>
        <w:t xml:space="preserve">For the purposes of this Law, a person is </w:t>
      </w:r>
      <w:r w:rsidRPr="00FF4454">
        <w:rPr>
          <w:rStyle w:val="charBoldItals"/>
        </w:rPr>
        <w:t>convicted</w:t>
      </w:r>
      <w:r w:rsidRPr="006C3305">
        <w:t xml:space="preserve"> of an offence if a court convicts the person of the offence.</w:t>
      </w:r>
    </w:p>
    <w:p w14:paraId="01D61F69" w14:textId="77777777" w:rsidR="00DB6E47" w:rsidRPr="007E1F9A" w:rsidRDefault="00DB6E47" w:rsidP="00DB6E47">
      <w:pPr>
        <w:pStyle w:val="AH5Sec"/>
      </w:pPr>
      <w:bookmarkStart w:id="18" w:name="_Toc83625362"/>
      <w:r w:rsidRPr="005E03F7">
        <w:rPr>
          <w:rStyle w:val="CharSectNo"/>
        </w:rPr>
        <w:t>10</w:t>
      </w:r>
      <w:r w:rsidRPr="007E1F9A">
        <w:tab/>
        <w:t>Interpretation</w:t>
      </w:r>
      <w:r w:rsidRPr="007E1F9A">
        <w:rPr>
          <w:rFonts w:ascii="Helvetica" w:hAnsi="Helvetica" w:cs="Helvetica"/>
        </w:rPr>
        <w:t xml:space="preserve"> generally</w:t>
      </w:r>
      <w:bookmarkEnd w:id="18"/>
    </w:p>
    <w:p w14:paraId="0E7FAB48" w14:textId="77777777" w:rsidR="00DB6E47" w:rsidRPr="006C3305" w:rsidRDefault="00DB6E47" w:rsidP="00DB6E47">
      <w:pPr>
        <w:pStyle w:val="Amainreturn"/>
      </w:pPr>
      <w:r w:rsidRPr="006C3305">
        <w:t>Schedule 1 applies in relation to this Law.</w:t>
      </w:r>
    </w:p>
    <w:p w14:paraId="52DA9C1C" w14:textId="77777777" w:rsidR="00DB6E47" w:rsidRPr="007E1F9A" w:rsidRDefault="00DB6E47" w:rsidP="00DB6E47">
      <w:pPr>
        <w:pStyle w:val="AH5Sec"/>
      </w:pPr>
      <w:bookmarkStart w:id="19" w:name="_Toc83625363"/>
      <w:r w:rsidRPr="005E03F7">
        <w:rPr>
          <w:rStyle w:val="CharSectNo"/>
        </w:rPr>
        <w:t>11</w:t>
      </w:r>
      <w:r w:rsidRPr="007E1F9A">
        <w:tab/>
        <w:t>References</w:t>
      </w:r>
      <w:r w:rsidRPr="007E1F9A">
        <w:rPr>
          <w:rFonts w:ascii="Helvetica" w:hAnsi="Helvetica" w:cs="Helvetica"/>
        </w:rPr>
        <w:t xml:space="preserve"> to laws includes references to instruments made under laws</w:t>
      </w:r>
      <w:bookmarkEnd w:id="19"/>
    </w:p>
    <w:p w14:paraId="27A3BC6F" w14:textId="77777777" w:rsidR="00DB6E47" w:rsidRPr="006C3305" w:rsidRDefault="00DB6E47" w:rsidP="00DB6E47">
      <w:pPr>
        <w:pStyle w:val="Amain"/>
      </w:pPr>
      <w:r>
        <w:tab/>
        <w:t>(</w:t>
      </w:r>
      <w:r w:rsidRPr="006C3305">
        <w:t>1)</w:t>
      </w:r>
      <w:r w:rsidRPr="006C3305">
        <w:tab/>
        <w:t>In this Law, a reference (either generally or specifically) to a law or a provision of a law (including this Law) includes a reference to—</w:t>
      </w:r>
    </w:p>
    <w:p w14:paraId="4F80B521" w14:textId="77777777" w:rsidR="00DB6E47" w:rsidRPr="0034388F" w:rsidRDefault="00DB6E47" w:rsidP="00DB6E47">
      <w:pPr>
        <w:pStyle w:val="Apara"/>
      </w:pPr>
      <w:r w:rsidRPr="0034388F">
        <w:tab/>
        <w:t>(a)</w:t>
      </w:r>
      <w:r w:rsidRPr="0034388F">
        <w:tab/>
        <w:t>each instrument (including a regulation) made or in force under the law or provision; and</w:t>
      </w:r>
    </w:p>
    <w:p w14:paraId="17B1A5C8" w14:textId="77777777" w:rsidR="00DB6E47" w:rsidRPr="0034388F" w:rsidRDefault="00DB6E47" w:rsidP="00DB6E47">
      <w:pPr>
        <w:pStyle w:val="Apara"/>
      </w:pPr>
      <w:r w:rsidRPr="0034388F">
        <w:tab/>
        <w:t>(b)</w:t>
      </w:r>
      <w:r w:rsidRPr="0034388F">
        <w:tab/>
        <w:t>each instrument made or in force under any such instrument.</w:t>
      </w:r>
    </w:p>
    <w:p w14:paraId="1531A7A0" w14:textId="77777777" w:rsidR="00DB6E47" w:rsidRPr="00430EE7" w:rsidRDefault="00DB6E47" w:rsidP="009037C9">
      <w:pPr>
        <w:pStyle w:val="Amain"/>
        <w:keepNext/>
      </w:pPr>
      <w:r w:rsidRPr="00430EE7">
        <w:tab/>
        <w:t>(2)</w:t>
      </w:r>
      <w:r w:rsidRPr="00430EE7">
        <w:tab/>
        <w:t>In this section—</w:t>
      </w:r>
    </w:p>
    <w:p w14:paraId="2CF860EB" w14:textId="77777777" w:rsidR="00DB6E47" w:rsidRPr="00041046" w:rsidRDefault="00DB6E47" w:rsidP="00DB6E47">
      <w:pPr>
        <w:pStyle w:val="aDef"/>
        <w:rPr>
          <w:bCs/>
        </w:rPr>
      </w:pPr>
      <w:r w:rsidRPr="00041046">
        <w:rPr>
          <w:rStyle w:val="charBoldItals"/>
        </w:rPr>
        <w:t>law</w:t>
      </w:r>
      <w:r w:rsidRPr="00041046">
        <w:t xml:space="preserve"> means a law of the Commonwealth or a State or Territory.</w:t>
      </w:r>
    </w:p>
    <w:p w14:paraId="4FAAEF43" w14:textId="77777777" w:rsidR="00DB6E47" w:rsidRPr="007E1F9A" w:rsidRDefault="00DB6E47" w:rsidP="00DB6E47">
      <w:pPr>
        <w:pStyle w:val="AH5Sec"/>
      </w:pPr>
      <w:bookmarkStart w:id="20" w:name="_Toc83625364"/>
      <w:r w:rsidRPr="005E03F7">
        <w:rPr>
          <w:rStyle w:val="CharSectNo"/>
        </w:rPr>
        <w:lastRenderedPageBreak/>
        <w:t>12</w:t>
      </w:r>
      <w:r w:rsidRPr="007E1F9A">
        <w:tab/>
      </w:r>
      <w:r w:rsidRPr="007E1F9A">
        <w:rPr>
          <w:rFonts w:ascii="Helvetica" w:hAnsi="Helvetica" w:cs="Helvetica"/>
        </w:rPr>
        <w:t xml:space="preserve">References to this Law as applied in a participating </w:t>
      </w:r>
      <w:r w:rsidRPr="007E1F9A">
        <w:t>jurisdiction</w:t>
      </w:r>
      <w:bookmarkEnd w:id="20"/>
    </w:p>
    <w:p w14:paraId="6BA9B9A6" w14:textId="77777777" w:rsidR="00DB6E47" w:rsidRPr="006C3305" w:rsidRDefault="00DB6E47" w:rsidP="00DB6E47">
      <w:pPr>
        <w:pStyle w:val="Amainreturn"/>
      </w:pPr>
      <w:r w:rsidRPr="006C3305">
        <w:t>In this Law, a reference to this Law as applied by an Act of a participating jurisdiction includes a reference to—</w:t>
      </w:r>
    </w:p>
    <w:p w14:paraId="69440D1D" w14:textId="77777777" w:rsidR="00DB6E47" w:rsidRPr="0034388F" w:rsidRDefault="00DB6E47" w:rsidP="00DB6E47">
      <w:pPr>
        <w:pStyle w:val="Apara"/>
      </w:pPr>
      <w:r w:rsidRPr="0034388F">
        <w:tab/>
        <w:t>(a)</w:t>
      </w:r>
      <w:r w:rsidRPr="0034388F">
        <w:tab/>
        <w:t>a law that substantially corresponds to this Law enacted in a participating jurisdiction; and</w:t>
      </w:r>
    </w:p>
    <w:p w14:paraId="72B7FC74" w14:textId="77777777" w:rsidR="00DB6E47" w:rsidRPr="0034388F" w:rsidRDefault="00DB6E47" w:rsidP="00DB6E47">
      <w:pPr>
        <w:pStyle w:val="Apara"/>
      </w:pPr>
      <w:r w:rsidRPr="0034388F">
        <w:tab/>
        <w:t>(b)</w:t>
      </w:r>
      <w:r w:rsidRPr="0034388F">
        <w:tab/>
        <w:t>a law prescribed by the national regulations for the purposes of paragraph (a)(iii)</w:t>
      </w:r>
      <w:r>
        <w:t xml:space="preserve"> </w:t>
      </w:r>
      <w:r w:rsidRPr="0034388F">
        <w:t>of the definition participating jurisdiction in section 5, enacted in a participating jurisdiction.</w:t>
      </w:r>
    </w:p>
    <w:p w14:paraId="175CF610" w14:textId="77777777" w:rsidR="00DB6E47" w:rsidRPr="007E1F9A" w:rsidRDefault="00DB6E47" w:rsidP="00DB6E47">
      <w:pPr>
        <w:pStyle w:val="AH5Sec"/>
      </w:pPr>
      <w:bookmarkStart w:id="21" w:name="_Toc83625365"/>
      <w:r w:rsidRPr="005E03F7">
        <w:rPr>
          <w:rStyle w:val="CharSectNo"/>
        </w:rPr>
        <w:t>13</w:t>
      </w:r>
      <w:r w:rsidRPr="007E1F9A">
        <w:tab/>
        <w:t>References</w:t>
      </w:r>
      <w:r w:rsidRPr="007E1F9A">
        <w:rPr>
          <w:rFonts w:ascii="Helvetica" w:hAnsi="Helvetica" w:cs="Helvetica"/>
        </w:rPr>
        <w:t xml:space="preserve"> to road</w:t>
      </w:r>
      <w:bookmarkEnd w:id="21"/>
    </w:p>
    <w:p w14:paraId="64588A78" w14:textId="77777777" w:rsidR="00DB6E47" w:rsidRPr="006C3305" w:rsidRDefault="00DB6E47" w:rsidP="00DB6E47">
      <w:pPr>
        <w:pStyle w:val="Amainreturn"/>
      </w:pPr>
      <w:r w:rsidRPr="006C3305">
        <w:t>A reference in this Law to a road includes a reference to a road-related area, unless a contrary intention appears in this Law.</w:t>
      </w:r>
    </w:p>
    <w:p w14:paraId="596BA312" w14:textId="4DC05119" w:rsidR="0076253B" w:rsidRPr="0076253B" w:rsidRDefault="0076253B" w:rsidP="0076253B">
      <w:pPr>
        <w:pStyle w:val="AH5Sec"/>
        <w:rPr>
          <w:lang w:eastAsia="en-AU"/>
        </w:rPr>
      </w:pPr>
      <w:bookmarkStart w:id="22" w:name="_Toc83625366"/>
      <w:r w:rsidRPr="005E03F7">
        <w:rPr>
          <w:rStyle w:val="CharSectNo"/>
        </w:rPr>
        <w:t>14</w:t>
      </w:r>
      <w:r>
        <w:rPr>
          <w:lang w:eastAsia="en-AU"/>
        </w:rPr>
        <w:tab/>
      </w:r>
      <w:r w:rsidRPr="0076253B">
        <w:rPr>
          <w:lang w:eastAsia="en-AU"/>
        </w:rPr>
        <w:t>References to particular ADR versions</w:t>
      </w:r>
      <w:bookmarkEnd w:id="22"/>
    </w:p>
    <w:p w14:paraId="115BBE49" w14:textId="77777777" w:rsidR="0076253B" w:rsidRPr="0076253B" w:rsidRDefault="0076253B" w:rsidP="0076253B">
      <w:pPr>
        <w:pStyle w:val="Amainreturn"/>
        <w:rPr>
          <w:lang w:eastAsia="en-AU"/>
        </w:rPr>
      </w:pPr>
      <w:r w:rsidRPr="0076253B">
        <w:rPr>
          <w:lang w:eastAsia="en-AU"/>
        </w:rPr>
        <w:t>A reference in this Law to an ADR followed by a number is a reference to—</w:t>
      </w:r>
    </w:p>
    <w:p w14:paraId="079FBAB5" w14:textId="2FFD1C3D" w:rsidR="0076253B" w:rsidRPr="0076253B" w:rsidRDefault="0076253B" w:rsidP="0076253B">
      <w:pPr>
        <w:pStyle w:val="Apara"/>
        <w:rPr>
          <w:lang w:eastAsia="en-AU"/>
        </w:rPr>
      </w:pPr>
      <w:r>
        <w:rPr>
          <w:lang w:eastAsia="en-AU"/>
        </w:rPr>
        <w:tab/>
      </w:r>
      <w:r w:rsidRPr="0076253B">
        <w:rPr>
          <w:lang w:eastAsia="en-AU"/>
        </w:rPr>
        <w:t>(a)</w:t>
      </w:r>
      <w:r>
        <w:rPr>
          <w:lang w:eastAsia="en-AU"/>
        </w:rPr>
        <w:tab/>
      </w:r>
      <w:r w:rsidRPr="0076253B">
        <w:rPr>
          <w:lang w:eastAsia="en-AU"/>
        </w:rPr>
        <w:t>if the reference is to a second edition ADR—the ADR of that number in the ‘Australian Design Rules for Motor Vehicle Safety, Second Edition’; or</w:t>
      </w:r>
    </w:p>
    <w:p w14:paraId="15CA7079" w14:textId="1BEB1BAB" w:rsidR="0076253B" w:rsidRPr="0076253B" w:rsidRDefault="0076253B" w:rsidP="0076253B">
      <w:pPr>
        <w:pStyle w:val="Apara"/>
        <w:rPr>
          <w:lang w:eastAsia="en-AU"/>
        </w:rPr>
      </w:pPr>
      <w:r>
        <w:rPr>
          <w:lang w:eastAsia="en-AU"/>
        </w:rPr>
        <w:tab/>
      </w:r>
      <w:r w:rsidRPr="0076253B">
        <w:rPr>
          <w:lang w:eastAsia="en-AU"/>
        </w:rPr>
        <w:t>(b)</w:t>
      </w:r>
      <w:r>
        <w:rPr>
          <w:lang w:eastAsia="en-AU"/>
        </w:rPr>
        <w:tab/>
      </w:r>
      <w:r w:rsidRPr="0076253B">
        <w:rPr>
          <w:lang w:eastAsia="en-AU"/>
        </w:rPr>
        <w:t>otherwise—the ADR of that number referenced in the relevant standard.</w:t>
      </w:r>
    </w:p>
    <w:p w14:paraId="33C50273" w14:textId="66FF3A59" w:rsidR="00DB6E47" w:rsidRPr="007E1F9A" w:rsidRDefault="00DB6E47" w:rsidP="00DB6E47">
      <w:pPr>
        <w:pStyle w:val="AH5Sec"/>
      </w:pPr>
      <w:bookmarkStart w:id="23" w:name="_Toc83625367"/>
      <w:r w:rsidRPr="005E03F7">
        <w:rPr>
          <w:rStyle w:val="CharSectNo"/>
        </w:rPr>
        <w:lastRenderedPageBreak/>
        <w:t>15</w:t>
      </w:r>
      <w:r w:rsidRPr="007E1F9A">
        <w:tab/>
        <w:t>References</w:t>
      </w:r>
      <w:r w:rsidRPr="007E1F9A">
        <w:rPr>
          <w:rFonts w:ascii="Helvetica" w:hAnsi="Helvetica" w:cs="Helvetica"/>
        </w:rPr>
        <w:t xml:space="preserve"> to categories of heavy vehicles</w:t>
      </w:r>
      <w:bookmarkEnd w:id="23"/>
    </w:p>
    <w:p w14:paraId="27FBBBFD" w14:textId="77777777" w:rsidR="00DB6E47" w:rsidRPr="006C3305" w:rsidRDefault="00DB6E47" w:rsidP="00752521">
      <w:pPr>
        <w:pStyle w:val="Amainreturn"/>
        <w:keepNext/>
        <w:keepLines/>
        <w:rPr>
          <w:rFonts w:cs="Times"/>
          <w:b/>
          <w:bCs/>
        </w:rPr>
      </w:pPr>
      <w:r w:rsidRPr="006C3305">
        <w:rPr>
          <w:rFonts w:cs="Times"/>
        </w:rPr>
        <w:t xml:space="preserve">If a </w:t>
      </w:r>
      <w:r w:rsidRPr="00DD4FFD">
        <w:t>provision</w:t>
      </w:r>
      <w:r w:rsidRPr="006C3305">
        <w:rPr>
          <w:rFonts w:cs="Times"/>
        </w:rPr>
        <w:t xml:space="preserve"> of this Law provides for the exemption, authorisation, prescription or description of a category of heavy vehicles, heavy vehicles may, without limitation, be categorised for the purposes of the provision as being of any stated class, including, for example—</w:t>
      </w:r>
    </w:p>
    <w:p w14:paraId="7F6793F3" w14:textId="77777777" w:rsidR="00DB6E47" w:rsidRPr="0034388F" w:rsidRDefault="00DB6E47" w:rsidP="00752521">
      <w:pPr>
        <w:pStyle w:val="Apara"/>
        <w:keepNext/>
      </w:pPr>
      <w:r>
        <w:tab/>
      </w:r>
      <w:r w:rsidRPr="0034388F">
        <w:t>(a)</w:t>
      </w:r>
      <w:r w:rsidRPr="0034388F">
        <w:tab/>
        <w:t>a class of heavy vehicles used for a particular task; and</w:t>
      </w:r>
    </w:p>
    <w:p w14:paraId="43A3D693" w14:textId="77777777" w:rsidR="00DB6E47" w:rsidRPr="0034388F" w:rsidRDefault="00DB6E47" w:rsidP="00752521">
      <w:pPr>
        <w:pStyle w:val="Apara"/>
        <w:keepNext/>
      </w:pPr>
      <w:r>
        <w:tab/>
      </w:r>
      <w:r w:rsidRPr="0034388F">
        <w:t>(b)</w:t>
      </w:r>
      <w:r w:rsidRPr="0034388F">
        <w:tab/>
        <w:t>a class of heavy vehicles used by particular persons or a particular class of persons; and</w:t>
      </w:r>
    </w:p>
    <w:p w14:paraId="7F6BA4A2" w14:textId="77777777" w:rsidR="00DB6E47" w:rsidRPr="0034388F" w:rsidRDefault="00DB6E47" w:rsidP="00DB6E47">
      <w:pPr>
        <w:pStyle w:val="Apara"/>
      </w:pPr>
      <w:r>
        <w:tab/>
      </w:r>
      <w:r w:rsidRPr="0034388F">
        <w:t>(c)</w:t>
      </w:r>
      <w:r w:rsidRPr="0034388F">
        <w:tab/>
        <w:t>a class of heavy vehicles with a particular configuration.</w:t>
      </w:r>
    </w:p>
    <w:p w14:paraId="5F97D5E2" w14:textId="77777777" w:rsidR="00C00E28" w:rsidRPr="00C00E28" w:rsidRDefault="00C00E28" w:rsidP="00C00E28">
      <w:pPr>
        <w:pStyle w:val="PageBreak"/>
      </w:pPr>
      <w:r w:rsidRPr="00C00E28">
        <w:br w:type="page"/>
      </w:r>
    </w:p>
    <w:p w14:paraId="5EF522D4" w14:textId="77777777" w:rsidR="00DB6E47" w:rsidRPr="005E03F7" w:rsidRDefault="00DB6E47" w:rsidP="00DB6E47">
      <w:pPr>
        <w:pStyle w:val="AH2Part"/>
      </w:pPr>
      <w:bookmarkStart w:id="24" w:name="_Toc83625368"/>
      <w:r w:rsidRPr="005E03F7">
        <w:rPr>
          <w:rStyle w:val="CharPartNo"/>
        </w:rPr>
        <w:lastRenderedPageBreak/>
        <w:t>Part 1.3</w:t>
      </w:r>
      <w:r w:rsidRPr="00A95F9A">
        <w:rPr>
          <w:rFonts w:ascii="Helvetica" w:hAnsi="Helvetica" w:cs="Helvetica"/>
          <w:szCs w:val="32"/>
        </w:rPr>
        <w:tab/>
      </w:r>
      <w:r w:rsidRPr="005E03F7">
        <w:rPr>
          <w:rStyle w:val="CharPartText"/>
          <w:rFonts w:ascii="Helvetica" w:hAnsi="Helvetica" w:cs="Helvetica"/>
          <w:szCs w:val="32"/>
        </w:rPr>
        <w:t>Application and operation of Law</w:t>
      </w:r>
      <w:bookmarkEnd w:id="24"/>
    </w:p>
    <w:p w14:paraId="7D461626" w14:textId="77777777" w:rsidR="00DB6E47" w:rsidRPr="007E1F9A" w:rsidRDefault="00DB6E47" w:rsidP="00DB6E47">
      <w:pPr>
        <w:pStyle w:val="AH5Sec"/>
      </w:pPr>
      <w:bookmarkStart w:id="25" w:name="_Toc83625369"/>
      <w:r w:rsidRPr="005E03F7">
        <w:rPr>
          <w:rStyle w:val="CharSectNo"/>
        </w:rPr>
        <w:t>16</w:t>
      </w:r>
      <w:r w:rsidRPr="007E1F9A">
        <w:tab/>
        <w:t>Extraterritorial</w:t>
      </w:r>
      <w:r w:rsidRPr="007E1F9A">
        <w:rPr>
          <w:rFonts w:ascii="Helvetica" w:hAnsi="Helvetica" w:cs="Helvetica"/>
        </w:rPr>
        <w:t xml:space="preserve"> operation of Law</w:t>
      </w:r>
      <w:bookmarkEnd w:id="25"/>
    </w:p>
    <w:p w14:paraId="04CCA8AB" w14:textId="77777777" w:rsidR="00DB6E47" w:rsidRPr="00DA68DB" w:rsidRDefault="00DB6E47" w:rsidP="00DB6E47">
      <w:pPr>
        <w:pStyle w:val="Amainreturn"/>
      </w:pPr>
      <w:r w:rsidRPr="00DA68DB">
        <w:t>It is the intention of the Parliament of this jurisdiction that the operation of this Law is, as far as possible, to include operation in relation to the following—</w:t>
      </w:r>
    </w:p>
    <w:p w14:paraId="3A6F5B26" w14:textId="77777777" w:rsidR="00DB6E47" w:rsidRPr="0034388F" w:rsidRDefault="00DB6E47" w:rsidP="00DB6E47">
      <w:pPr>
        <w:pStyle w:val="Apara"/>
      </w:pPr>
      <w:r w:rsidRPr="0034388F">
        <w:tab/>
        <w:t>(a)</w:t>
      </w:r>
      <w:r w:rsidRPr="0034388F">
        <w:tab/>
        <w:t>things situated in or outside the territorial limits of this jurisdiction;</w:t>
      </w:r>
    </w:p>
    <w:p w14:paraId="5D088F07" w14:textId="77777777" w:rsidR="00DB6E47" w:rsidRPr="0034388F" w:rsidRDefault="00DB6E47" w:rsidP="00DB6E47">
      <w:pPr>
        <w:pStyle w:val="Apara"/>
      </w:pPr>
      <w:r w:rsidRPr="0034388F">
        <w:tab/>
        <w:t>(b)</w:t>
      </w:r>
      <w:r w:rsidRPr="0034388F">
        <w:tab/>
        <w:t>acts, transactions and matters done, entered into or occurring in or outside the territorial limits of this jurisdiction;</w:t>
      </w:r>
    </w:p>
    <w:p w14:paraId="2C63F1A9" w14:textId="77777777" w:rsidR="00DB6E47" w:rsidRPr="0034388F" w:rsidRDefault="00DB6E47" w:rsidP="00DB6E47">
      <w:pPr>
        <w:pStyle w:val="Apara"/>
      </w:pPr>
      <w:r w:rsidRPr="0034388F">
        <w:tab/>
        <w:t>(c)</w:t>
      </w:r>
      <w:r w:rsidRPr="0034388F">
        <w:tab/>
        <w:t>things, acts, transactions and matters (wherever situated, done, entered into or occurring) that would, apart from this Law, be governed or otherwise affected by the law of another jurisdiction.</w:t>
      </w:r>
    </w:p>
    <w:p w14:paraId="113AAC60" w14:textId="77777777" w:rsidR="00DB6E47" w:rsidRPr="007E1F9A" w:rsidRDefault="00DB6E47" w:rsidP="00DB6E47">
      <w:pPr>
        <w:pStyle w:val="AH5Sec"/>
      </w:pPr>
      <w:bookmarkStart w:id="26" w:name="_Toc83625370"/>
      <w:r w:rsidRPr="005E03F7">
        <w:rPr>
          <w:rStyle w:val="CharSectNo"/>
        </w:rPr>
        <w:t>17</w:t>
      </w:r>
      <w:r w:rsidRPr="007E1F9A">
        <w:tab/>
      </w:r>
      <w:r w:rsidRPr="007E1F9A">
        <w:rPr>
          <w:rFonts w:ascii="Helvetica" w:hAnsi="Helvetica" w:cs="Helvetica"/>
        </w:rPr>
        <w:t xml:space="preserve">Law </w:t>
      </w:r>
      <w:r w:rsidRPr="007E1F9A">
        <w:t>bin</w:t>
      </w:r>
      <w:r w:rsidRPr="007E1F9A">
        <w:rPr>
          <w:bCs/>
        </w:rPr>
        <w:t>d</w:t>
      </w:r>
      <w:r w:rsidRPr="007E1F9A">
        <w:t>s</w:t>
      </w:r>
      <w:r w:rsidRPr="007E1F9A">
        <w:rPr>
          <w:rFonts w:ascii="Helvetica" w:hAnsi="Helvetica" w:cs="Helvetica"/>
        </w:rPr>
        <w:t xml:space="preserve"> the State</w:t>
      </w:r>
      <w:bookmarkEnd w:id="26"/>
    </w:p>
    <w:p w14:paraId="12F39966" w14:textId="77777777" w:rsidR="00DB6E47" w:rsidRPr="00430EE7" w:rsidRDefault="00DB6E47" w:rsidP="00DB6E47">
      <w:pPr>
        <w:pStyle w:val="Amain"/>
      </w:pPr>
      <w:r w:rsidRPr="00430EE7">
        <w:tab/>
        <w:t>(1)</w:t>
      </w:r>
      <w:r w:rsidRPr="00430EE7">
        <w:tab/>
        <w:t>This Law binds the State.</w:t>
      </w:r>
    </w:p>
    <w:p w14:paraId="26508C36" w14:textId="77777777" w:rsidR="00DB6E47" w:rsidRPr="00430EE7" w:rsidRDefault="00DB6E47" w:rsidP="00DB6E47">
      <w:pPr>
        <w:pStyle w:val="Amain"/>
      </w:pPr>
      <w:r w:rsidRPr="00430EE7">
        <w:tab/>
        <w:t>(2)</w:t>
      </w:r>
      <w:r w:rsidRPr="00430EE7">
        <w:tab/>
        <w:t>No criminal liability attaches to the State itself (as distinct from its agents, instrumentalities, officers and employees) under this Law.</w:t>
      </w:r>
    </w:p>
    <w:p w14:paraId="7B1FC942" w14:textId="77777777" w:rsidR="00DB6E47" w:rsidRPr="007E1F9A" w:rsidRDefault="00DB6E47" w:rsidP="00DB6E47">
      <w:pPr>
        <w:pStyle w:val="AH5Sec"/>
      </w:pPr>
      <w:bookmarkStart w:id="27" w:name="_Toc83625371"/>
      <w:r w:rsidRPr="005E03F7">
        <w:rPr>
          <w:rStyle w:val="CharSectNo"/>
        </w:rPr>
        <w:t>18</w:t>
      </w:r>
      <w:r w:rsidRPr="007E1F9A">
        <w:tab/>
        <w:t>Relationship</w:t>
      </w:r>
      <w:r w:rsidRPr="007E1F9A">
        <w:rPr>
          <w:rFonts w:ascii="Helvetica" w:hAnsi="Helvetica" w:cs="Helvetica"/>
        </w:rPr>
        <w:t xml:space="preserve"> with primary work health and safety laws</w:t>
      </w:r>
      <w:bookmarkEnd w:id="27"/>
    </w:p>
    <w:p w14:paraId="0D78DA6C" w14:textId="77777777" w:rsidR="002835CB" w:rsidRPr="002835CB" w:rsidRDefault="002835CB" w:rsidP="002835CB">
      <w:pPr>
        <w:pStyle w:val="Amain"/>
        <w:rPr>
          <w:lang w:val="en" w:eastAsia="en-AU"/>
        </w:rPr>
      </w:pPr>
      <w:r>
        <w:rPr>
          <w:lang w:val="en" w:eastAsia="en-AU"/>
        </w:rPr>
        <w:tab/>
      </w:r>
      <w:r w:rsidRPr="002835CB">
        <w:rPr>
          <w:lang w:val="en" w:eastAsia="en-AU"/>
        </w:rPr>
        <w:t>(1)</w:t>
      </w:r>
      <w:r>
        <w:rPr>
          <w:lang w:val="en" w:eastAsia="en-AU"/>
        </w:rPr>
        <w:tab/>
      </w:r>
      <w:r w:rsidRPr="002835CB">
        <w:rPr>
          <w:lang w:val="en" w:eastAsia="en-AU"/>
        </w:rPr>
        <w:t>If a provision of this Law and a provision of the primary WHS Law deal with the same thing, and it is possible to comply with both provisions, a person must comply with both provisions.</w:t>
      </w:r>
    </w:p>
    <w:p w14:paraId="70601502" w14:textId="77777777" w:rsidR="002835CB" w:rsidRPr="002835CB" w:rsidRDefault="002835CB" w:rsidP="002835CB">
      <w:pPr>
        <w:pStyle w:val="Amain"/>
        <w:rPr>
          <w:lang w:val="en" w:eastAsia="en-AU"/>
        </w:rPr>
      </w:pPr>
      <w:r>
        <w:rPr>
          <w:lang w:val="en" w:eastAsia="en-AU"/>
        </w:rPr>
        <w:tab/>
      </w:r>
      <w:r w:rsidRPr="002835CB">
        <w:rPr>
          <w:lang w:val="en" w:eastAsia="en-AU"/>
        </w:rPr>
        <w:t>(1A)</w:t>
      </w:r>
      <w:r>
        <w:rPr>
          <w:lang w:val="en" w:eastAsia="en-AU"/>
        </w:rPr>
        <w:tab/>
      </w:r>
      <w:r w:rsidRPr="002835CB">
        <w:rPr>
          <w:lang w:val="en" w:eastAsia="en-AU"/>
        </w:rPr>
        <w:t>However, to the extent it is not possible for the person to comply with both provisions, the person must comply with the provision of the primary WHS Law.</w:t>
      </w:r>
    </w:p>
    <w:p w14:paraId="3112DB46" w14:textId="77777777" w:rsidR="00DB6E47" w:rsidRPr="00430EE7" w:rsidRDefault="00DB6E47" w:rsidP="00DB6E47">
      <w:pPr>
        <w:pStyle w:val="Amain"/>
      </w:pPr>
      <w:r w:rsidRPr="00430EE7">
        <w:tab/>
        <w:t>(2)</w:t>
      </w:r>
      <w:r w:rsidRPr="00430EE7">
        <w:tab/>
        <w:t>Evidence of a relevant contravention of this Law is admissible in any proceeding for an offence against the primary WHS Law.</w:t>
      </w:r>
    </w:p>
    <w:p w14:paraId="3B72D57C" w14:textId="77777777" w:rsidR="00DB6E47" w:rsidRPr="00430EE7" w:rsidRDefault="00DB6E47" w:rsidP="00DB6E47">
      <w:pPr>
        <w:pStyle w:val="Amain"/>
      </w:pPr>
      <w:r w:rsidRPr="00430EE7">
        <w:lastRenderedPageBreak/>
        <w:tab/>
        <w:t>(3)</w:t>
      </w:r>
      <w:r w:rsidRPr="00430EE7">
        <w:tab/>
        <w:t>Compliance with this Law, or with any requirement imposed under this Law, is not, in itself, evidence that a person has complied with the primary WHS Law or any regulations made under that Law or with a common law duty of care.</w:t>
      </w:r>
    </w:p>
    <w:p w14:paraId="3F74D3B5" w14:textId="77777777" w:rsidR="002835CB" w:rsidRDefault="002835CB" w:rsidP="002835CB">
      <w:pPr>
        <w:pStyle w:val="Amain"/>
        <w:rPr>
          <w:rFonts w:ascii="Tahoma" w:hAnsi="Tahoma" w:cs="Tahoma"/>
          <w:lang w:val="en"/>
        </w:rPr>
      </w:pPr>
      <w:r w:rsidRPr="003323FC">
        <w:tab/>
        <w:t>(3A)</w:t>
      </w:r>
      <w:r w:rsidRPr="003323FC">
        <w:tab/>
      </w:r>
      <w:r>
        <w:rPr>
          <w:lang w:val="en"/>
        </w:rPr>
        <w:t>If an act, omission or circumstances constitute an offence under this Law and the primary WHS Law, the offender is not liable to be punished twice for the act, omission or circumstances.</w:t>
      </w:r>
    </w:p>
    <w:p w14:paraId="7FEAA28A" w14:textId="77777777" w:rsidR="00DB6E47" w:rsidRPr="00430EE7" w:rsidRDefault="00DB6E47" w:rsidP="00885ABE">
      <w:pPr>
        <w:pStyle w:val="Amain"/>
        <w:keepNext/>
      </w:pPr>
      <w:r w:rsidRPr="00430EE7">
        <w:tab/>
        <w:t>(4)</w:t>
      </w:r>
      <w:r w:rsidRPr="00430EE7">
        <w:tab/>
        <w:t>In this section—</w:t>
      </w:r>
    </w:p>
    <w:p w14:paraId="676A7587" w14:textId="77777777" w:rsidR="00DB6E47" w:rsidRPr="00041046" w:rsidRDefault="00DB6E47" w:rsidP="00DB6E47">
      <w:pPr>
        <w:pStyle w:val="aDef"/>
        <w:rPr>
          <w:bCs/>
        </w:rPr>
      </w:pPr>
      <w:r w:rsidRPr="00041046">
        <w:rPr>
          <w:rStyle w:val="charBoldItals"/>
        </w:rPr>
        <w:t>primary WHS Law</w:t>
      </w:r>
      <w:r w:rsidRPr="00041046">
        <w:t>, for a participating jurisdiction, means the law that is declared by a law of that jurisdiction to be the primary WHS Law for the purposes of this Law.</w:t>
      </w:r>
    </w:p>
    <w:p w14:paraId="7A2B9D5F" w14:textId="77777777" w:rsidR="00DB6E47" w:rsidRPr="007E1F9A" w:rsidRDefault="00DB6E47" w:rsidP="00DB6E47">
      <w:pPr>
        <w:pStyle w:val="aNote"/>
      </w:pPr>
      <w:r w:rsidRPr="00FF4454">
        <w:rPr>
          <w:rStyle w:val="charItals"/>
        </w:rPr>
        <w:t>Note</w:t>
      </w:r>
      <w:r w:rsidRPr="00C96203">
        <w:rPr>
          <w:rFonts w:cs="Times"/>
          <w:bCs/>
        </w:rPr>
        <w:t>—</w:t>
      </w:r>
    </w:p>
    <w:p w14:paraId="764143D6" w14:textId="77777777" w:rsidR="00DB6E47" w:rsidRPr="007E1F9A" w:rsidRDefault="00DB6E47" w:rsidP="00DB6E47">
      <w:pPr>
        <w:pStyle w:val="aNoteTextss"/>
      </w:pPr>
      <w:r w:rsidRPr="007E1F9A">
        <w:t>‘WHS’ stands for workplace health and safety.</w:t>
      </w:r>
    </w:p>
    <w:p w14:paraId="40D47289" w14:textId="77777777" w:rsidR="00885ABE" w:rsidRPr="00885ABE" w:rsidRDefault="00885ABE" w:rsidP="00885ABE">
      <w:pPr>
        <w:pStyle w:val="PageBreak"/>
      </w:pPr>
      <w:r w:rsidRPr="00885ABE">
        <w:br w:type="page"/>
      </w:r>
    </w:p>
    <w:p w14:paraId="313ACD1C" w14:textId="77777777" w:rsidR="00DB6E47" w:rsidRPr="005E03F7" w:rsidRDefault="00DB6E47" w:rsidP="00DB6E47">
      <w:pPr>
        <w:pStyle w:val="AH2Part"/>
      </w:pPr>
      <w:bookmarkStart w:id="28" w:name="_Toc83625372"/>
      <w:r w:rsidRPr="005E03F7">
        <w:rPr>
          <w:rStyle w:val="CharPartNo"/>
        </w:rPr>
        <w:lastRenderedPageBreak/>
        <w:t>Part 1.4</w:t>
      </w:r>
      <w:r w:rsidRPr="00A95F9A">
        <w:rPr>
          <w:rFonts w:ascii="Helvetica" w:hAnsi="Helvetica" w:cs="Helvetica"/>
          <w:iCs/>
          <w:szCs w:val="32"/>
        </w:rPr>
        <w:tab/>
      </w:r>
      <w:r w:rsidRPr="005E03F7">
        <w:rPr>
          <w:rStyle w:val="CharPartText"/>
          <w:rFonts w:ascii="Helvetica" w:hAnsi="Helvetica" w:cs="Helvetica"/>
          <w:iCs/>
          <w:szCs w:val="32"/>
        </w:rPr>
        <w:t>Performance based standards</w:t>
      </w:r>
      <w:bookmarkEnd w:id="28"/>
    </w:p>
    <w:p w14:paraId="37DB6EC2" w14:textId="77777777" w:rsidR="00DB6E47" w:rsidRPr="007E1F9A" w:rsidRDefault="00DB6E47" w:rsidP="00DB6E47">
      <w:pPr>
        <w:pStyle w:val="AH5Sec"/>
      </w:pPr>
      <w:bookmarkStart w:id="29" w:name="_Toc83625373"/>
      <w:r w:rsidRPr="005E03F7">
        <w:rPr>
          <w:rStyle w:val="CharSectNo"/>
        </w:rPr>
        <w:t>19</w:t>
      </w:r>
      <w:r w:rsidRPr="007E1F9A">
        <w:tab/>
        <w:t>Main</w:t>
      </w:r>
      <w:r w:rsidRPr="007E1F9A">
        <w:rPr>
          <w:rFonts w:ascii="Helvetica" w:hAnsi="Helvetica" w:cs="Helvetica"/>
          <w:iCs/>
        </w:rPr>
        <w:t xml:space="preserve"> </w:t>
      </w:r>
      <w:r w:rsidRPr="007E1F9A">
        <w:t>purpose</w:t>
      </w:r>
      <w:r w:rsidRPr="007E1F9A">
        <w:rPr>
          <w:rFonts w:ascii="Helvetica" w:hAnsi="Helvetica" w:cs="Helvetica"/>
          <w:iCs/>
        </w:rPr>
        <w:t xml:space="preserve"> </w:t>
      </w:r>
      <w:r w:rsidRPr="007E1F9A">
        <w:t>of</w:t>
      </w:r>
      <w:r w:rsidRPr="007E1F9A">
        <w:rPr>
          <w:rFonts w:ascii="Helvetica" w:hAnsi="Helvetica" w:cs="Helvetica"/>
          <w:iCs/>
        </w:rPr>
        <w:t xml:space="preserve"> </w:t>
      </w:r>
      <w:r w:rsidRPr="007E1F9A">
        <w:t>this</w:t>
      </w:r>
      <w:r w:rsidRPr="007E1F9A">
        <w:rPr>
          <w:rFonts w:ascii="Helvetica" w:hAnsi="Helvetica" w:cs="Helvetica"/>
          <w:iCs/>
        </w:rPr>
        <w:t xml:space="preserve"> </w:t>
      </w:r>
      <w:r w:rsidRPr="007E1F9A">
        <w:t>Part</w:t>
      </w:r>
      <w:bookmarkEnd w:id="29"/>
    </w:p>
    <w:p w14:paraId="7834DC2B" w14:textId="77777777" w:rsidR="00DB6E47" w:rsidRPr="00430EE7" w:rsidRDefault="00DB6E47" w:rsidP="00DB6E47">
      <w:pPr>
        <w:pStyle w:val="Amain"/>
      </w:pPr>
      <w:r w:rsidRPr="00430EE7">
        <w:tab/>
        <w:t>(1)</w:t>
      </w:r>
      <w:r w:rsidRPr="00430EE7">
        <w:tab/>
        <w:t>The main purposes of this Part and other associated provisions of this Law are to enable PBS vehicles that meet a particular performance level to operate (unless otherwise specified by the responsible Minister) on roads that are authorised to be used by PBS vehicles that meet or exceed that performance level.</w:t>
      </w:r>
    </w:p>
    <w:p w14:paraId="1EEF59B4" w14:textId="77777777" w:rsidR="00DB6E47" w:rsidRPr="00430EE7" w:rsidRDefault="00DB6E47" w:rsidP="00DB6E47">
      <w:pPr>
        <w:pStyle w:val="Amain"/>
      </w:pPr>
      <w:r w:rsidRPr="00430EE7">
        <w:tab/>
        <w:t>(2)</w:t>
      </w:r>
      <w:r w:rsidRPr="00430EE7">
        <w:tab/>
        <w:t>It is intended that authorisations or exemptions can be granted under this Law for PBS vehicles.</w:t>
      </w:r>
    </w:p>
    <w:p w14:paraId="5F51206F" w14:textId="77777777" w:rsidR="00DB6E47" w:rsidRPr="007E1F9A" w:rsidRDefault="00DB6E47" w:rsidP="00DB6E47">
      <w:pPr>
        <w:pStyle w:val="AH5Sec"/>
      </w:pPr>
      <w:bookmarkStart w:id="30" w:name="_Toc83625374"/>
      <w:r w:rsidRPr="005E03F7">
        <w:rPr>
          <w:rStyle w:val="CharSectNo"/>
        </w:rPr>
        <w:t>20</w:t>
      </w:r>
      <w:r w:rsidRPr="007E1F9A">
        <w:tab/>
        <w:t>Notification</w:t>
      </w:r>
      <w:r w:rsidRPr="007E1F9A">
        <w:rPr>
          <w:rFonts w:ascii="Helvetica" w:hAnsi="Helvetica" w:cs="Helvetica"/>
          <w:iCs/>
        </w:rPr>
        <w:t xml:space="preserve"> </w:t>
      </w:r>
      <w:r w:rsidRPr="007E1F9A">
        <w:t>to</w:t>
      </w:r>
      <w:r w:rsidRPr="007E1F9A">
        <w:rPr>
          <w:rFonts w:ascii="Helvetica" w:hAnsi="Helvetica" w:cs="Helvetica"/>
          <w:iCs/>
        </w:rPr>
        <w:t xml:space="preserve"> </w:t>
      </w:r>
      <w:r w:rsidRPr="007E1F9A">
        <w:t>road</w:t>
      </w:r>
      <w:r w:rsidRPr="007E1F9A">
        <w:rPr>
          <w:rFonts w:ascii="Helvetica" w:hAnsi="Helvetica" w:cs="Helvetica"/>
          <w:iCs/>
        </w:rPr>
        <w:t xml:space="preserve"> </w:t>
      </w:r>
      <w:r w:rsidRPr="007E1F9A">
        <w:t>authority</w:t>
      </w:r>
      <w:r w:rsidRPr="007E1F9A">
        <w:rPr>
          <w:rFonts w:ascii="Helvetica" w:hAnsi="Helvetica" w:cs="Helvetica"/>
          <w:iCs/>
        </w:rPr>
        <w:t xml:space="preserve"> </w:t>
      </w:r>
      <w:r w:rsidRPr="007E1F9A">
        <w:t>of</w:t>
      </w:r>
      <w:r w:rsidRPr="007E1F9A">
        <w:rPr>
          <w:rFonts w:ascii="Helvetica" w:hAnsi="Helvetica" w:cs="Helvetica"/>
          <w:iCs/>
        </w:rPr>
        <w:t xml:space="preserve"> </w:t>
      </w:r>
      <w:r w:rsidRPr="007E1F9A">
        <w:t>PBS</w:t>
      </w:r>
      <w:r w:rsidRPr="007E1F9A">
        <w:rPr>
          <w:rFonts w:ascii="Helvetica" w:hAnsi="Helvetica" w:cs="Helvetica"/>
          <w:iCs/>
        </w:rPr>
        <w:t xml:space="preserve"> </w:t>
      </w:r>
      <w:r w:rsidRPr="007E1F9A">
        <w:t>design</w:t>
      </w:r>
      <w:r w:rsidRPr="007E1F9A">
        <w:rPr>
          <w:rFonts w:ascii="Helvetica" w:hAnsi="Helvetica" w:cs="Helvetica"/>
          <w:iCs/>
        </w:rPr>
        <w:t xml:space="preserve"> </w:t>
      </w:r>
      <w:r w:rsidRPr="007E1F9A">
        <w:t>approval</w:t>
      </w:r>
      <w:bookmarkEnd w:id="30"/>
    </w:p>
    <w:p w14:paraId="46563E8E" w14:textId="77777777" w:rsidR="00DB6E47" w:rsidRPr="00430EE7" w:rsidRDefault="00DB6E47" w:rsidP="00DB6E47">
      <w:pPr>
        <w:pStyle w:val="Amainreturn"/>
      </w:pPr>
      <w:r w:rsidRPr="00430EE7">
        <w:t>The Regulator must, as soon as practicable, notify the road authority for this jurisdiction, in writing, of a PBS design approval, together with a description of the significant features of the design to which the approval relates.</w:t>
      </w:r>
    </w:p>
    <w:p w14:paraId="75AAAD91" w14:textId="77777777" w:rsidR="00DB6E47" w:rsidRPr="007E1F9A" w:rsidRDefault="00DB6E47" w:rsidP="00DB6E47">
      <w:pPr>
        <w:pStyle w:val="AH5Sec"/>
      </w:pPr>
      <w:bookmarkStart w:id="31" w:name="_Toc83625375"/>
      <w:r w:rsidRPr="005E03F7">
        <w:rPr>
          <w:rStyle w:val="CharSectNo"/>
        </w:rPr>
        <w:t>21</w:t>
      </w:r>
      <w:r w:rsidRPr="007E1F9A">
        <w:tab/>
        <w:t>Notification by responsible Minister of non-application or restricted application of PBS design approval</w:t>
      </w:r>
      <w:bookmarkEnd w:id="31"/>
    </w:p>
    <w:p w14:paraId="2FD187AB" w14:textId="77777777" w:rsidR="00DB6E47" w:rsidRPr="00DA68DB" w:rsidRDefault="00DB6E47" w:rsidP="00DB6E47">
      <w:pPr>
        <w:pStyle w:val="Amain"/>
      </w:pPr>
      <w:r w:rsidRPr="00DA68DB">
        <w:tab/>
        <w:t>(1)</w:t>
      </w:r>
      <w:r w:rsidRPr="00DA68DB">
        <w:tab/>
        <w:t>The responsible Minister for this jurisdiction may notify the Regulator in writing that any heavy vehicle built to a design that is the subject of a PBS design approval—</w:t>
      </w:r>
    </w:p>
    <w:p w14:paraId="144E657E" w14:textId="77777777" w:rsidR="00DB6E47" w:rsidRPr="00352CBD" w:rsidRDefault="00DB6E47" w:rsidP="00DB6E47">
      <w:pPr>
        <w:pStyle w:val="Apara"/>
      </w:pPr>
      <w:r>
        <w:tab/>
      </w:r>
      <w:r w:rsidRPr="00352CBD">
        <w:t>(a)</w:t>
      </w:r>
      <w:r w:rsidRPr="00352CBD">
        <w:tab/>
        <w:t>is not to be permitted to operate in this jurisdiction; or</w:t>
      </w:r>
    </w:p>
    <w:p w14:paraId="1E98595C" w14:textId="77777777" w:rsidR="00DB6E47" w:rsidRPr="00352CBD" w:rsidRDefault="00DB6E47" w:rsidP="00DB6E47">
      <w:pPr>
        <w:pStyle w:val="Apara"/>
      </w:pPr>
      <w:r w:rsidRPr="00352CBD">
        <w:tab/>
        <w:t>(b)</w:t>
      </w:r>
      <w:r w:rsidRPr="00352CBD">
        <w:tab/>
        <w:t>is only to be permitted to operate in this jurisdiction subject to stated conditions.</w:t>
      </w:r>
    </w:p>
    <w:p w14:paraId="55A8D5F1" w14:textId="77777777" w:rsidR="00DB6E47" w:rsidRPr="00DA68DB" w:rsidRDefault="00DB6E47" w:rsidP="00DB6E47">
      <w:pPr>
        <w:pStyle w:val="Amain"/>
      </w:pPr>
      <w:r w:rsidRPr="00DA68DB">
        <w:tab/>
        <w:t>(2)</w:t>
      </w:r>
      <w:r w:rsidRPr="00DA68DB">
        <w:tab/>
        <w:t>A notice under this section can not be about—</w:t>
      </w:r>
    </w:p>
    <w:p w14:paraId="49246F3E" w14:textId="77777777" w:rsidR="00DB6E47" w:rsidRPr="00352CBD" w:rsidRDefault="00DB6E47" w:rsidP="00DB6E47">
      <w:pPr>
        <w:pStyle w:val="Apara"/>
      </w:pPr>
      <w:r w:rsidRPr="00352CBD">
        <w:tab/>
        <w:t>(a)</w:t>
      </w:r>
      <w:r w:rsidRPr="00352CBD">
        <w:tab/>
        <w:t>a particular person; or</w:t>
      </w:r>
    </w:p>
    <w:p w14:paraId="15CC7E8F" w14:textId="77777777" w:rsidR="00DB6E47" w:rsidRPr="00352CBD" w:rsidRDefault="00DB6E47" w:rsidP="00DB6E47">
      <w:pPr>
        <w:pStyle w:val="Apara"/>
      </w:pPr>
      <w:r w:rsidRPr="00352CBD">
        <w:tab/>
        <w:t>(b)</w:t>
      </w:r>
      <w:r w:rsidRPr="00352CBD">
        <w:tab/>
        <w:t>a particular heavy vehicle.</w:t>
      </w:r>
    </w:p>
    <w:p w14:paraId="611FF00A" w14:textId="77777777" w:rsidR="00DB6E47" w:rsidRPr="00DA68DB" w:rsidRDefault="00DB6E47" w:rsidP="00DB6E47">
      <w:pPr>
        <w:pStyle w:val="Amain"/>
      </w:pPr>
      <w:r w:rsidRPr="00DA68DB">
        <w:tab/>
        <w:t>(3)</w:t>
      </w:r>
      <w:r w:rsidRPr="00DA68DB">
        <w:tab/>
        <w:t>A notice under this section is not valid for the purposes of this Law if it does not set out reasons for why it has been issued.</w:t>
      </w:r>
    </w:p>
    <w:p w14:paraId="2148A366" w14:textId="77777777" w:rsidR="00DB6E47" w:rsidRPr="00DA68DB" w:rsidRDefault="00DB6E47" w:rsidP="00DB6E47">
      <w:pPr>
        <w:pStyle w:val="Amain"/>
      </w:pPr>
      <w:r w:rsidRPr="00DA68DB">
        <w:lastRenderedPageBreak/>
        <w:tab/>
        <w:t>(4)</w:t>
      </w:r>
      <w:r w:rsidRPr="00DA68DB">
        <w:tab/>
        <w:t>On receiving a notice under this section, the Regulator must give a copy of the notice to the person who was given the PBS design approval.</w:t>
      </w:r>
    </w:p>
    <w:p w14:paraId="7AB14BE1" w14:textId="77777777" w:rsidR="00DB6E47" w:rsidRPr="00DA68DB" w:rsidRDefault="00DB6E47" w:rsidP="00DB6E47">
      <w:pPr>
        <w:pStyle w:val="Amain"/>
      </w:pPr>
      <w:r w:rsidRPr="00DA68DB">
        <w:tab/>
        <w:t>(5)</w:t>
      </w:r>
      <w:r w:rsidRPr="00DA68DB">
        <w:tab/>
        <w:t>On receiving a notice under this section, the Regulator must accordingly impose on the PBS design approval—</w:t>
      </w:r>
    </w:p>
    <w:p w14:paraId="7EB8F00B" w14:textId="77777777" w:rsidR="00DB6E47" w:rsidRPr="00352CBD" w:rsidRDefault="00DB6E47" w:rsidP="00DB6E47">
      <w:pPr>
        <w:pStyle w:val="Apara"/>
      </w:pPr>
      <w:r>
        <w:tab/>
      </w:r>
      <w:r w:rsidRPr="00352CBD">
        <w:t>(a)</w:t>
      </w:r>
      <w:r w:rsidRPr="00352CBD">
        <w:tab/>
        <w:t>a condition giving effect to subsection (1)(a); or</w:t>
      </w:r>
    </w:p>
    <w:p w14:paraId="17DDD933" w14:textId="77777777" w:rsidR="00DB6E47" w:rsidRPr="00352CBD" w:rsidRDefault="00DB6E47" w:rsidP="00DB6E47">
      <w:pPr>
        <w:pStyle w:val="Apara"/>
      </w:pPr>
      <w:r>
        <w:tab/>
      </w:r>
      <w:r w:rsidRPr="00352CBD">
        <w:t>(b)</w:t>
      </w:r>
      <w:r w:rsidRPr="00352CBD">
        <w:tab/>
        <w:t>the stated conditions referred to in subsection (1)(b).</w:t>
      </w:r>
    </w:p>
    <w:p w14:paraId="34E22F1A" w14:textId="77777777" w:rsidR="00DB6E47" w:rsidRPr="007E1F9A" w:rsidRDefault="00DB6E47" w:rsidP="00DB6E47">
      <w:pPr>
        <w:pStyle w:val="AH5Sec"/>
      </w:pPr>
      <w:bookmarkStart w:id="32" w:name="_Toc83625376"/>
      <w:r w:rsidRPr="005E03F7">
        <w:rPr>
          <w:rStyle w:val="CharSectNo"/>
        </w:rPr>
        <w:t>22</w:t>
      </w:r>
      <w:r w:rsidRPr="007E1F9A">
        <w:tab/>
        <w:t>Application</w:t>
      </w:r>
      <w:r w:rsidRPr="007E1F9A">
        <w:rPr>
          <w:rFonts w:ascii="Helvetica" w:hAnsi="Helvetica" w:cs="Helvetica"/>
          <w:iCs/>
        </w:rPr>
        <w:t xml:space="preserve"> </w:t>
      </w:r>
      <w:r w:rsidRPr="007E1F9A">
        <w:t>for</w:t>
      </w:r>
      <w:r w:rsidRPr="007E1F9A">
        <w:rPr>
          <w:rFonts w:ascii="Helvetica" w:hAnsi="Helvetica" w:cs="Helvetica"/>
          <w:iCs/>
        </w:rPr>
        <w:t xml:space="preserve"> </w:t>
      </w:r>
      <w:r w:rsidRPr="007E1F9A">
        <w:t>PBS</w:t>
      </w:r>
      <w:r w:rsidRPr="007E1F9A">
        <w:rPr>
          <w:rFonts w:ascii="Helvetica" w:hAnsi="Helvetica" w:cs="Helvetica"/>
          <w:iCs/>
        </w:rPr>
        <w:t xml:space="preserve"> </w:t>
      </w:r>
      <w:r w:rsidRPr="007E1F9A">
        <w:t>design</w:t>
      </w:r>
      <w:r w:rsidRPr="007E1F9A">
        <w:rPr>
          <w:rFonts w:ascii="Helvetica" w:hAnsi="Helvetica" w:cs="Helvetica"/>
          <w:iCs/>
        </w:rPr>
        <w:t xml:space="preserve"> </w:t>
      </w:r>
      <w:r w:rsidRPr="007E1F9A">
        <w:t>approval</w:t>
      </w:r>
      <w:bookmarkEnd w:id="32"/>
    </w:p>
    <w:p w14:paraId="6435CD6A" w14:textId="77777777" w:rsidR="00DB6E47" w:rsidRPr="00DA68DB" w:rsidRDefault="00DB6E47" w:rsidP="00DB6E47">
      <w:pPr>
        <w:pStyle w:val="Amain"/>
      </w:pPr>
      <w:r w:rsidRPr="00DA68DB">
        <w:tab/>
        <w:t>(1)</w:t>
      </w:r>
      <w:r w:rsidRPr="00DA68DB">
        <w:tab/>
        <w:t>An application for a PBS design approval for the design of a type of heavy vehicle may be made to the Regulator.</w:t>
      </w:r>
    </w:p>
    <w:p w14:paraId="7F163498" w14:textId="77777777" w:rsidR="00DB6E47" w:rsidRPr="00DA68DB" w:rsidRDefault="00DB6E47" w:rsidP="00DB6E47">
      <w:pPr>
        <w:pStyle w:val="Amain"/>
      </w:pPr>
      <w:r w:rsidRPr="00DA68DB">
        <w:tab/>
        <w:t>(2)</w:t>
      </w:r>
      <w:r w:rsidRPr="00DA68DB">
        <w:tab/>
        <w:t>In assessing the application, the Regulator must have regard to—</w:t>
      </w:r>
    </w:p>
    <w:p w14:paraId="11ECAA4D" w14:textId="77777777" w:rsidR="00DB6E47" w:rsidRPr="00352CBD" w:rsidRDefault="00DB6E47" w:rsidP="00DB6E47">
      <w:pPr>
        <w:pStyle w:val="Apara"/>
      </w:pPr>
      <w:r>
        <w:tab/>
      </w:r>
      <w:r w:rsidRPr="00352CBD">
        <w:t>(a)</w:t>
      </w:r>
      <w:r w:rsidRPr="00352CBD">
        <w:tab/>
        <w:t>the approved guidelines relevant to the grant of PBS design approvals; and</w:t>
      </w:r>
    </w:p>
    <w:p w14:paraId="3F4E01D9" w14:textId="77777777" w:rsidR="00DB6E47" w:rsidRPr="00352CBD" w:rsidRDefault="00DB6E47" w:rsidP="00DB6E47">
      <w:pPr>
        <w:pStyle w:val="Apara"/>
      </w:pPr>
      <w:r>
        <w:tab/>
      </w:r>
      <w:r w:rsidRPr="00352CBD">
        <w:t>(b)</w:t>
      </w:r>
      <w:r w:rsidRPr="00352CBD">
        <w:tab/>
        <w:t>any performance based standards and assessment rules prescribed in the national regulations for the purposes of this paragraph; and</w:t>
      </w:r>
    </w:p>
    <w:p w14:paraId="2EA9AC50" w14:textId="77777777" w:rsidR="00DB6E47" w:rsidRPr="00352CBD" w:rsidRDefault="00DB6E47" w:rsidP="00DB6E47">
      <w:pPr>
        <w:pStyle w:val="Apara"/>
      </w:pPr>
      <w:r>
        <w:tab/>
      </w:r>
      <w:r w:rsidRPr="00352CBD">
        <w:t>(c)</w:t>
      </w:r>
      <w:r w:rsidRPr="00352CBD">
        <w:tab/>
        <w:t>the advice of the PBS Review Panel in relation to the application.</w:t>
      </w:r>
    </w:p>
    <w:p w14:paraId="3E4441AB" w14:textId="77777777" w:rsidR="00DB6E47" w:rsidRPr="00DA68DB" w:rsidRDefault="00DB6E47" w:rsidP="00DB6E47">
      <w:pPr>
        <w:pStyle w:val="Amain"/>
      </w:pPr>
      <w:r w:rsidRPr="00DA68DB">
        <w:tab/>
        <w:t>(3)</w:t>
      </w:r>
      <w:r w:rsidRPr="00DA68DB">
        <w:tab/>
        <w:t>Having assessed the application, the Regulator must approve or reject the application.</w:t>
      </w:r>
    </w:p>
    <w:p w14:paraId="5B981755" w14:textId="77777777" w:rsidR="00DB6E47" w:rsidRPr="00DA68DB" w:rsidRDefault="00DB6E47" w:rsidP="00DB6E47">
      <w:pPr>
        <w:pStyle w:val="Amain"/>
      </w:pPr>
      <w:r w:rsidRPr="00DA68DB">
        <w:tab/>
        <w:t>(4)</w:t>
      </w:r>
      <w:r w:rsidRPr="00DA68DB">
        <w:tab/>
        <w:t>The Regulator may approve the application subject to any condition the Regulator considers appropriate.</w:t>
      </w:r>
    </w:p>
    <w:p w14:paraId="74C40C64" w14:textId="77777777" w:rsidR="00DB6E47" w:rsidRPr="00DA68DB" w:rsidRDefault="00DB6E47" w:rsidP="00DB6E47">
      <w:pPr>
        <w:pStyle w:val="Amain"/>
      </w:pPr>
      <w:r w:rsidRPr="00DA68DB">
        <w:tab/>
        <w:t>(5)</w:t>
      </w:r>
      <w:r w:rsidRPr="00DA68DB">
        <w:tab/>
        <w:t>The PBS design approval must state the conditions (if any) to which</w:t>
      </w:r>
      <w:r w:rsidR="00E61881">
        <w:t xml:space="preserve"> it is subject under subsection </w:t>
      </w:r>
      <w:r w:rsidRPr="00DA68DB">
        <w:t>(4)</w:t>
      </w:r>
      <w:r w:rsidR="00E61881">
        <w:t xml:space="preserve"> </w:t>
      </w:r>
      <w:r w:rsidRPr="00DA68DB">
        <w:t>or section 21(5).</w:t>
      </w:r>
    </w:p>
    <w:p w14:paraId="201C437A" w14:textId="77777777" w:rsidR="00DB6E47" w:rsidRPr="007E1F9A" w:rsidRDefault="00DB6E47" w:rsidP="00DB6E47">
      <w:pPr>
        <w:pStyle w:val="AH5Sec"/>
      </w:pPr>
      <w:bookmarkStart w:id="33" w:name="_Toc83625377"/>
      <w:r w:rsidRPr="005E03F7">
        <w:rPr>
          <w:rStyle w:val="CharSectNo"/>
        </w:rPr>
        <w:lastRenderedPageBreak/>
        <w:t>23</w:t>
      </w:r>
      <w:r w:rsidRPr="007E1F9A">
        <w:tab/>
        <w:t>Application for PBS vehicle approval</w:t>
      </w:r>
      <w:bookmarkEnd w:id="33"/>
    </w:p>
    <w:p w14:paraId="77556F91" w14:textId="77777777" w:rsidR="00DB6E47" w:rsidRPr="00DA68DB" w:rsidRDefault="00DB6E47" w:rsidP="00BF6BE6">
      <w:pPr>
        <w:pStyle w:val="Amain"/>
        <w:keepNext/>
      </w:pPr>
      <w:r w:rsidRPr="00DA68DB">
        <w:tab/>
        <w:t>(1)</w:t>
      </w:r>
      <w:r w:rsidRPr="00DA68DB">
        <w:tab/>
        <w:t>An application for a PBS vehicle approval for a heavy vehicle may be made to the Regulator.</w:t>
      </w:r>
    </w:p>
    <w:p w14:paraId="23A5FC1F" w14:textId="77777777" w:rsidR="00DB6E47" w:rsidRPr="00DA68DB" w:rsidRDefault="00DB6E47" w:rsidP="00DB6E47">
      <w:pPr>
        <w:pStyle w:val="Amain"/>
      </w:pPr>
      <w:r w:rsidRPr="00DA68DB">
        <w:tab/>
        <w:t>(2)</w:t>
      </w:r>
      <w:r w:rsidRPr="00DA68DB">
        <w:tab/>
        <w:t>In assessing the application, the Regulator must have regard to—</w:t>
      </w:r>
    </w:p>
    <w:p w14:paraId="31C60136" w14:textId="77777777" w:rsidR="00DB6E47" w:rsidRPr="009E2280" w:rsidRDefault="00DB6E47" w:rsidP="00DB6E47">
      <w:pPr>
        <w:pStyle w:val="Apara"/>
      </w:pPr>
      <w:r w:rsidRPr="009E2280">
        <w:tab/>
        <w:t>(a)</w:t>
      </w:r>
      <w:r w:rsidRPr="009E2280">
        <w:tab/>
        <w:t>the approved guidelines relevant to the grant of PBS vehicle approvals; and</w:t>
      </w:r>
    </w:p>
    <w:p w14:paraId="14294731" w14:textId="77777777" w:rsidR="00DB6E47" w:rsidRPr="009E2280" w:rsidRDefault="00DB6E47" w:rsidP="00DB6E47">
      <w:pPr>
        <w:pStyle w:val="Apara"/>
      </w:pPr>
      <w:r w:rsidRPr="009E2280">
        <w:tab/>
        <w:t>(b)</w:t>
      </w:r>
      <w:r w:rsidRPr="009E2280">
        <w:tab/>
        <w:t>any vehicle certification rules prescribed in the national regulations for the purposes of this paragraph; and</w:t>
      </w:r>
    </w:p>
    <w:p w14:paraId="0E9CDCB9" w14:textId="77777777" w:rsidR="00DB6E47" w:rsidRPr="009E2280" w:rsidRDefault="00DB6E47" w:rsidP="00DB6E47">
      <w:pPr>
        <w:pStyle w:val="Apara"/>
      </w:pPr>
      <w:r w:rsidRPr="009E2280">
        <w:tab/>
        <w:t>(c)</w:t>
      </w:r>
      <w:r w:rsidRPr="009E2280">
        <w:tab/>
        <w:t>the advice of the PBS Review Panel in relation to the application.</w:t>
      </w:r>
    </w:p>
    <w:p w14:paraId="32CC6858" w14:textId="77777777" w:rsidR="00DB6E47" w:rsidRPr="00DA68DB" w:rsidRDefault="00DB6E47" w:rsidP="00DB6E47">
      <w:pPr>
        <w:pStyle w:val="Amain"/>
      </w:pPr>
      <w:r w:rsidRPr="00DA68DB">
        <w:tab/>
        <w:t>(3)</w:t>
      </w:r>
      <w:r w:rsidRPr="00DA68DB">
        <w:tab/>
        <w:t>Having assessed the application, the Regulator must approve or reject the application.</w:t>
      </w:r>
    </w:p>
    <w:p w14:paraId="66CBC837" w14:textId="77777777" w:rsidR="00DB6E47" w:rsidRPr="00DA68DB" w:rsidRDefault="00DB6E47" w:rsidP="00DB6E47">
      <w:pPr>
        <w:pStyle w:val="Amain"/>
      </w:pPr>
      <w:r w:rsidRPr="00DA68DB">
        <w:tab/>
        <w:t>(4)</w:t>
      </w:r>
      <w:r w:rsidRPr="00DA68DB">
        <w:tab/>
        <w:t>The Regulator may approve the application subject to conditions included in the PBS design approval to which the heavy vehicle is built.</w:t>
      </w:r>
    </w:p>
    <w:p w14:paraId="32CCD46D" w14:textId="77777777" w:rsidR="00DB6E47" w:rsidRPr="00DA68DB" w:rsidRDefault="00DB6E47" w:rsidP="00DB6E47">
      <w:pPr>
        <w:pStyle w:val="Amain"/>
      </w:pPr>
      <w:r w:rsidRPr="00DA68DB">
        <w:tab/>
        <w:t>(5)</w:t>
      </w:r>
      <w:r w:rsidRPr="00DA68DB">
        <w:tab/>
        <w:t>The PBS vehicle approval must state the conditions (if any) to which—</w:t>
      </w:r>
    </w:p>
    <w:p w14:paraId="76FE2965" w14:textId="77777777" w:rsidR="00DB6E47" w:rsidRPr="009E2280" w:rsidRDefault="00DB6E47" w:rsidP="00DB6E47">
      <w:pPr>
        <w:pStyle w:val="Apara"/>
      </w:pPr>
      <w:r w:rsidRPr="009E2280">
        <w:tab/>
        <w:t>(a)</w:t>
      </w:r>
      <w:r w:rsidRPr="009E2280">
        <w:tab/>
        <w:t>the PBS vehicle approval is subject under subsection (4); and</w:t>
      </w:r>
    </w:p>
    <w:p w14:paraId="0F86F2B1" w14:textId="77777777" w:rsidR="00DB6E47" w:rsidRPr="009E2280" w:rsidRDefault="00DB6E47" w:rsidP="00DB6E47">
      <w:pPr>
        <w:pStyle w:val="Apara"/>
      </w:pPr>
      <w:r w:rsidRPr="009E2280">
        <w:tab/>
        <w:t>(b)</w:t>
      </w:r>
      <w:r w:rsidRPr="009E2280">
        <w:tab/>
        <w:t>the relevant PBS design approval is subject under section</w:t>
      </w:r>
      <w:r w:rsidR="00E61881">
        <w:t> </w:t>
      </w:r>
      <w:r w:rsidRPr="009E2280">
        <w:t>21(5).</w:t>
      </w:r>
    </w:p>
    <w:p w14:paraId="47193276" w14:textId="77777777" w:rsidR="006D47C9" w:rsidRPr="003323FC" w:rsidRDefault="006D47C9" w:rsidP="00DB6E47">
      <w:pPr>
        <w:pStyle w:val="Amain"/>
      </w:pPr>
      <w:r w:rsidRPr="003323FC">
        <w:tab/>
      </w:r>
      <w:r w:rsidR="00041613" w:rsidRPr="006D47C9">
        <w:t>(5A)</w:t>
      </w:r>
      <w:r w:rsidRPr="003323FC">
        <w:tab/>
      </w:r>
      <w:r w:rsidR="00041613" w:rsidRPr="003323FC">
        <w:t>The PBS vehicle approval must state the performance level for the approval.</w:t>
      </w:r>
    </w:p>
    <w:p w14:paraId="2CB1C19E" w14:textId="77777777" w:rsidR="00DB6E47" w:rsidRPr="00DA68DB" w:rsidRDefault="00DB6E47" w:rsidP="00DB6E47">
      <w:pPr>
        <w:pStyle w:val="Amain"/>
      </w:pPr>
      <w:r w:rsidRPr="00DA68DB">
        <w:tab/>
        <w:t>(6)</w:t>
      </w:r>
      <w:r w:rsidRPr="00DA68DB">
        <w:tab/>
        <w:t>A PBS vehicle approval can not be given for a class 1 heavy vehicle.</w:t>
      </w:r>
    </w:p>
    <w:p w14:paraId="3A5DA1B1" w14:textId="77777777" w:rsidR="00DB6E47" w:rsidRPr="007E1F9A" w:rsidRDefault="00DB6E47" w:rsidP="00DB6E47">
      <w:pPr>
        <w:pStyle w:val="AH5Sec"/>
      </w:pPr>
      <w:bookmarkStart w:id="34" w:name="_Toc83625378"/>
      <w:r w:rsidRPr="005E03F7">
        <w:rPr>
          <w:rStyle w:val="CharSectNo"/>
        </w:rPr>
        <w:lastRenderedPageBreak/>
        <w:t>24</w:t>
      </w:r>
      <w:r w:rsidRPr="007E1F9A">
        <w:tab/>
        <w:t>Exemption from stated vehicle standards</w:t>
      </w:r>
      <w:bookmarkEnd w:id="34"/>
    </w:p>
    <w:p w14:paraId="3510CE3B" w14:textId="77777777" w:rsidR="00DB6E47" w:rsidRPr="00DA68DB" w:rsidRDefault="00DB6E47" w:rsidP="00BF6BE6">
      <w:pPr>
        <w:pStyle w:val="Amain"/>
        <w:keepNext/>
      </w:pPr>
      <w:r w:rsidRPr="00DA68DB">
        <w:tab/>
        <w:t>(1)</w:t>
      </w:r>
      <w:r w:rsidRPr="00DA68DB">
        <w:tab/>
        <w:t>A PBS vehicle approval for a heavy vehicle may provide that the vehicle is exempt from stated vehicle standards.</w:t>
      </w:r>
    </w:p>
    <w:p w14:paraId="60C4797C" w14:textId="77777777" w:rsidR="00DB6E47" w:rsidRPr="00DA68DB" w:rsidRDefault="00E61881" w:rsidP="00BF6BE6">
      <w:pPr>
        <w:pStyle w:val="Amain"/>
        <w:keepNext/>
      </w:pPr>
      <w:r>
        <w:tab/>
        <w:t>(2)</w:t>
      </w:r>
      <w:r>
        <w:tab/>
        <w:t xml:space="preserve">Subsection </w:t>
      </w:r>
      <w:r w:rsidR="00DB6E47" w:rsidRPr="00DA68DB">
        <w:t>(1)</w:t>
      </w:r>
      <w:r>
        <w:t xml:space="preserve"> </w:t>
      </w:r>
      <w:r w:rsidR="00DB6E47" w:rsidRPr="00DA68DB">
        <w:t>applies only to vehicle standards of a kind prescribed by the national regulations for the purposes of this section.</w:t>
      </w:r>
    </w:p>
    <w:p w14:paraId="6C7571E5" w14:textId="77777777" w:rsidR="00DB6E47" w:rsidRPr="00C96203" w:rsidRDefault="00DB6E47" w:rsidP="00DB6E47">
      <w:pPr>
        <w:pStyle w:val="aNote"/>
      </w:pPr>
      <w:r w:rsidRPr="00FF4454">
        <w:rPr>
          <w:rStyle w:val="charItals"/>
        </w:rPr>
        <w:t>Note</w:t>
      </w:r>
      <w:r w:rsidRPr="00C96203">
        <w:rPr>
          <w:rFonts w:cs="Times"/>
          <w:bCs/>
          <w:iCs/>
        </w:rPr>
        <w:t>—</w:t>
      </w:r>
    </w:p>
    <w:p w14:paraId="709F54F3" w14:textId="77777777" w:rsidR="00DB6E47" w:rsidRPr="00C96203" w:rsidRDefault="00DB6E47" w:rsidP="00DB6E47">
      <w:pPr>
        <w:pStyle w:val="aNoteTextss"/>
      </w:pPr>
      <w:r w:rsidRPr="00C96203">
        <w:t>See section 60(6).</w:t>
      </w:r>
    </w:p>
    <w:p w14:paraId="2B8AEABC" w14:textId="77777777" w:rsidR="00DB6E47" w:rsidRPr="007E1F9A" w:rsidRDefault="00DB6E47" w:rsidP="00DB6E47">
      <w:pPr>
        <w:pStyle w:val="AH5Sec"/>
      </w:pPr>
      <w:bookmarkStart w:id="35" w:name="_Toc83625379"/>
      <w:r w:rsidRPr="005E03F7">
        <w:rPr>
          <w:rStyle w:val="CharSectNo"/>
        </w:rPr>
        <w:t>25</w:t>
      </w:r>
      <w:r w:rsidRPr="007E1F9A">
        <w:tab/>
        <w:t>Authorisation of different mass or dimension requirement</w:t>
      </w:r>
      <w:bookmarkEnd w:id="35"/>
    </w:p>
    <w:p w14:paraId="0B5BFCE6" w14:textId="77777777" w:rsidR="00DB6E47" w:rsidRPr="00DA68DB" w:rsidRDefault="00DB6E47" w:rsidP="00DB6E47">
      <w:pPr>
        <w:pStyle w:val="Amain"/>
      </w:pPr>
      <w:r w:rsidRPr="00DA68DB">
        <w:tab/>
        <w:t>(1)</w:t>
      </w:r>
      <w:r w:rsidRPr="00DA68DB">
        <w:tab/>
        <w:t>A PBS vehicle approval for a heavy vehicle may provide that the vehicle is authorised to have a mass limit that exceeds a limit that would otherwise apply to the vehicle under a prescribed mass requirement.</w:t>
      </w:r>
    </w:p>
    <w:p w14:paraId="6301CBC9" w14:textId="77777777" w:rsidR="00DB6E47" w:rsidRPr="00C96203" w:rsidRDefault="00DB6E47" w:rsidP="00DB6E47">
      <w:pPr>
        <w:pStyle w:val="aNote"/>
      </w:pPr>
      <w:r w:rsidRPr="00FF4454">
        <w:rPr>
          <w:rStyle w:val="charItals"/>
        </w:rPr>
        <w:t>Note</w:t>
      </w:r>
      <w:r w:rsidRPr="00C96203">
        <w:rPr>
          <w:rFonts w:cs="Times"/>
          <w:bCs/>
          <w:iCs/>
        </w:rPr>
        <w:t>—</w:t>
      </w:r>
    </w:p>
    <w:p w14:paraId="56F3BBC1" w14:textId="77777777" w:rsidR="00DB6E47" w:rsidRPr="00C96203" w:rsidRDefault="00DB6E47" w:rsidP="00DB6E47">
      <w:pPr>
        <w:pStyle w:val="aNoteTextss"/>
      </w:pPr>
      <w:r w:rsidRPr="00C96203">
        <w:t>See section 96(4).</w:t>
      </w:r>
    </w:p>
    <w:p w14:paraId="5F76BDDE" w14:textId="77777777" w:rsidR="00DB6E47" w:rsidRPr="00DA68DB" w:rsidRDefault="00DB6E47" w:rsidP="00DB6E47">
      <w:pPr>
        <w:pStyle w:val="Amain"/>
      </w:pPr>
      <w:r w:rsidRPr="00DA68DB">
        <w:tab/>
        <w:t>(2)</w:t>
      </w:r>
      <w:r w:rsidRPr="00DA68DB">
        <w:tab/>
        <w:t>A PBS vehicle approval for a heavy vehicle may provide that the vehicle is authorised to have a dimension that exceeds a dimension limit that would otherwise apply to the vehicle under a prescribed dimension requirement.</w:t>
      </w:r>
    </w:p>
    <w:p w14:paraId="695ED6EC" w14:textId="77777777" w:rsidR="00DB6E47" w:rsidRPr="00C96203" w:rsidRDefault="00DB6E47" w:rsidP="00DB6E47">
      <w:pPr>
        <w:pStyle w:val="aNote"/>
      </w:pPr>
      <w:r w:rsidRPr="00FF4454">
        <w:rPr>
          <w:rStyle w:val="charItals"/>
        </w:rPr>
        <w:t>Note</w:t>
      </w:r>
      <w:r w:rsidRPr="00C96203">
        <w:rPr>
          <w:rFonts w:cs="Times"/>
          <w:bCs/>
          <w:iCs/>
        </w:rPr>
        <w:t>—</w:t>
      </w:r>
    </w:p>
    <w:p w14:paraId="7667FD70" w14:textId="77777777" w:rsidR="00DB6E47" w:rsidRPr="00C96203" w:rsidRDefault="00DB6E47" w:rsidP="00DB6E47">
      <w:pPr>
        <w:pStyle w:val="aNoteTextss"/>
      </w:pPr>
      <w:r w:rsidRPr="00C96203">
        <w:t>See section 102(4).</w:t>
      </w:r>
    </w:p>
    <w:p w14:paraId="0E72AC80" w14:textId="77777777" w:rsidR="006D47C9" w:rsidRPr="006D47C9" w:rsidRDefault="006D47C9" w:rsidP="006D47C9">
      <w:pPr>
        <w:pStyle w:val="AH5Sec"/>
        <w:rPr>
          <w:lang w:val="en" w:eastAsia="en-AU"/>
        </w:rPr>
      </w:pPr>
      <w:bookmarkStart w:id="36" w:name="_Toc83625380"/>
      <w:r w:rsidRPr="005E03F7">
        <w:rPr>
          <w:rStyle w:val="CharSectNo"/>
        </w:rPr>
        <w:t>25A</w:t>
      </w:r>
      <w:r>
        <w:rPr>
          <w:lang w:val="en" w:eastAsia="en-AU"/>
        </w:rPr>
        <w:tab/>
      </w:r>
      <w:r w:rsidRPr="006D47C9">
        <w:rPr>
          <w:lang w:val="en" w:eastAsia="en-AU"/>
        </w:rPr>
        <w:t>Keeping copy of PBS vehicle approval while driving</w:t>
      </w:r>
      <w:bookmarkEnd w:id="36"/>
    </w:p>
    <w:p w14:paraId="605052E2" w14:textId="77777777" w:rsidR="006D47C9" w:rsidRPr="006D47C9" w:rsidRDefault="006D47C9" w:rsidP="006D47C9">
      <w:pPr>
        <w:pStyle w:val="Amain"/>
        <w:rPr>
          <w:lang w:val="en" w:eastAsia="en-AU"/>
        </w:rPr>
      </w:pPr>
      <w:r>
        <w:rPr>
          <w:lang w:val="en" w:eastAsia="en-AU"/>
        </w:rPr>
        <w:tab/>
      </w:r>
      <w:r w:rsidRPr="006D47C9">
        <w:rPr>
          <w:lang w:val="en" w:eastAsia="en-AU"/>
        </w:rPr>
        <w:t>(1)</w:t>
      </w:r>
      <w:r>
        <w:rPr>
          <w:lang w:val="en" w:eastAsia="en-AU"/>
        </w:rPr>
        <w:tab/>
      </w:r>
      <w:r w:rsidRPr="006D47C9">
        <w:rPr>
          <w:lang w:val="en" w:eastAsia="en-AU"/>
        </w:rPr>
        <w:t>The driver of a PBS vehicle must keep a copy of the PBS vehicle approval in the driver’s possession while driving the PBS vehicle.</w:t>
      </w:r>
    </w:p>
    <w:p w14:paraId="0488A4A3" w14:textId="77777777" w:rsidR="006D47C9" w:rsidRPr="006D47C9" w:rsidRDefault="006D47C9" w:rsidP="006D47C9">
      <w:pPr>
        <w:pStyle w:val="Penalty"/>
        <w:rPr>
          <w:lang w:val="en" w:eastAsia="en-AU"/>
        </w:rPr>
      </w:pPr>
      <w:r w:rsidRPr="006D47C9">
        <w:rPr>
          <w:lang w:val="en" w:eastAsia="en-AU"/>
        </w:rPr>
        <w:t>Maximum penalty—$3000.</w:t>
      </w:r>
    </w:p>
    <w:p w14:paraId="0920B059" w14:textId="77777777" w:rsidR="006D47C9" w:rsidRPr="006D47C9" w:rsidRDefault="006D47C9" w:rsidP="006D47C9">
      <w:pPr>
        <w:pStyle w:val="Amain"/>
        <w:rPr>
          <w:lang w:val="en" w:eastAsia="en-AU"/>
        </w:rPr>
      </w:pPr>
      <w:r>
        <w:rPr>
          <w:lang w:val="en" w:eastAsia="en-AU"/>
        </w:rPr>
        <w:tab/>
      </w:r>
      <w:r w:rsidRPr="006D47C9">
        <w:rPr>
          <w:lang w:val="en" w:eastAsia="en-AU"/>
        </w:rPr>
        <w:t>(2)</w:t>
      </w:r>
      <w:r>
        <w:rPr>
          <w:lang w:val="en" w:eastAsia="en-AU"/>
        </w:rPr>
        <w:tab/>
      </w:r>
      <w:r w:rsidRPr="006D47C9">
        <w:rPr>
          <w:lang w:val="en" w:eastAsia="en-AU"/>
        </w:rPr>
        <w:t>Each relevant party for a driver mentioned in subsection (1) must ensure the driver complies with subsection (1), unless the relevant party has a reasonable excuse.</w:t>
      </w:r>
    </w:p>
    <w:p w14:paraId="461A0379" w14:textId="77777777" w:rsidR="006D47C9" w:rsidRPr="006D47C9" w:rsidRDefault="006D47C9" w:rsidP="006D47C9">
      <w:pPr>
        <w:pStyle w:val="Penalty"/>
        <w:rPr>
          <w:lang w:val="en" w:eastAsia="en-AU"/>
        </w:rPr>
      </w:pPr>
      <w:r w:rsidRPr="006D47C9">
        <w:rPr>
          <w:lang w:val="en" w:eastAsia="en-AU"/>
        </w:rPr>
        <w:t>Maximum penalty—$3000.</w:t>
      </w:r>
    </w:p>
    <w:p w14:paraId="6F041B2F" w14:textId="77777777" w:rsidR="006D47C9" w:rsidRPr="006D47C9" w:rsidRDefault="006D47C9" w:rsidP="006D47C9">
      <w:pPr>
        <w:pStyle w:val="Amain"/>
        <w:rPr>
          <w:lang w:val="en" w:eastAsia="en-AU"/>
        </w:rPr>
      </w:pPr>
      <w:r>
        <w:rPr>
          <w:lang w:val="en" w:eastAsia="en-AU"/>
        </w:rPr>
        <w:lastRenderedPageBreak/>
        <w:tab/>
      </w:r>
      <w:r w:rsidRPr="006D47C9">
        <w:rPr>
          <w:lang w:val="en" w:eastAsia="en-AU"/>
        </w:rPr>
        <w:t>(3)</w:t>
      </w:r>
      <w:r>
        <w:rPr>
          <w:lang w:val="en" w:eastAsia="en-AU"/>
        </w:rPr>
        <w:tab/>
      </w:r>
      <w:r w:rsidRPr="006D47C9">
        <w:rPr>
          <w:lang w:val="en" w:eastAsia="en-AU"/>
        </w:rPr>
        <w:t>In this section—</w:t>
      </w:r>
    </w:p>
    <w:p w14:paraId="0B93DF4D" w14:textId="77777777" w:rsidR="006D47C9" w:rsidRPr="006D47C9" w:rsidRDefault="006D47C9" w:rsidP="006D47C9">
      <w:pPr>
        <w:pStyle w:val="aDef"/>
        <w:rPr>
          <w:lang w:val="en" w:eastAsia="en-AU"/>
        </w:rPr>
      </w:pPr>
      <w:r w:rsidRPr="006D47C9">
        <w:rPr>
          <w:b/>
          <w:bCs/>
          <w:i/>
          <w:iCs/>
          <w:lang w:val="en" w:eastAsia="en-AU"/>
        </w:rPr>
        <w:t>relevant party</w:t>
      </w:r>
      <w:r w:rsidRPr="006D47C9">
        <w:rPr>
          <w:lang w:val="en" w:eastAsia="en-AU"/>
        </w:rPr>
        <w:t>, for the driver of a PBS vehicle, means—</w:t>
      </w:r>
    </w:p>
    <w:p w14:paraId="42EA3EF3" w14:textId="77777777" w:rsidR="006D47C9" w:rsidRPr="006D47C9" w:rsidRDefault="006D47C9" w:rsidP="006D47C9">
      <w:pPr>
        <w:pStyle w:val="aDefpara"/>
        <w:rPr>
          <w:lang w:val="en" w:eastAsia="en-AU"/>
        </w:rPr>
      </w:pPr>
      <w:r>
        <w:rPr>
          <w:lang w:val="en" w:eastAsia="en-AU"/>
        </w:rPr>
        <w:tab/>
      </w:r>
      <w:r w:rsidRPr="006D47C9">
        <w:rPr>
          <w:lang w:val="en" w:eastAsia="en-AU"/>
        </w:rPr>
        <w:t>(a)</w:t>
      </w:r>
      <w:r>
        <w:rPr>
          <w:lang w:val="en" w:eastAsia="en-AU"/>
        </w:rPr>
        <w:tab/>
      </w:r>
      <w:r w:rsidRPr="006D47C9">
        <w:rPr>
          <w:lang w:val="en" w:eastAsia="en-AU"/>
        </w:rPr>
        <w:t>an employer of the driver if the driver is an employed driver; or</w:t>
      </w:r>
    </w:p>
    <w:p w14:paraId="2F7DD009" w14:textId="77777777" w:rsidR="006D47C9" w:rsidRPr="006D47C9" w:rsidRDefault="006D47C9" w:rsidP="006D47C9">
      <w:pPr>
        <w:pStyle w:val="aDefpara"/>
        <w:rPr>
          <w:lang w:val="en" w:eastAsia="en-AU"/>
        </w:rPr>
      </w:pPr>
      <w:r>
        <w:rPr>
          <w:lang w:val="en" w:eastAsia="en-AU"/>
        </w:rPr>
        <w:tab/>
      </w:r>
      <w:r w:rsidRPr="006D47C9">
        <w:rPr>
          <w:lang w:val="en" w:eastAsia="en-AU"/>
        </w:rPr>
        <w:t>(b)</w:t>
      </w:r>
      <w:r>
        <w:rPr>
          <w:lang w:val="en" w:eastAsia="en-AU"/>
        </w:rPr>
        <w:tab/>
      </w:r>
      <w:r w:rsidRPr="006D47C9">
        <w:rPr>
          <w:lang w:val="en" w:eastAsia="en-AU"/>
        </w:rPr>
        <w:t>a prime contractor of the driver if the driver is a self-employed driver; or</w:t>
      </w:r>
    </w:p>
    <w:p w14:paraId="08A2C85B" w14:textId="77777777" w:rsidR="006D47C9" w:rsidRPr="006D47C9" w:rsidRDefault="006D47C9" w:rsidP="006D47C9">
      <w:pPr>
        <w:pStyle w:val="aDefpara"/>
        <w:rPr>
          <w:lang w:val="en" w:eastAsia="en-AU"/>
        </w:rPr>
      </w:pPr>
      <w:r>
        <w:rPr>
          <w:lang w:val="en" w:eastAsia="en-AU"/>
        </w:rPr>
        <w:tab/>
      </w:r>
      <w:r w:rsidRPr="006D47C9">
        <w:rPr>
          <w:lang w:val="en" w:eastAsia="en-AU"/>
        </w:rPr>
        <w:t>(c)</w:t>
      </w:r>
      <w:r>
        <w:rPr>
          <w:lang w:val="en" w:eastAsia="en-AU"/>
        </w:rPr>
        <w:tab/>
      </w:r>
      <w:r w:rsidRPr="006D47C9">
        <w:rPr>
          <w:lang w:val="en" w:eastAsia="en-AU"/>
        </w:rPr>
        <w:t>an operator of the vehicle if the driver is making a journey for the operator.</w:t>
      </w:r>
    </w:p>
    <w:p w14:paraId="67ED11CA" w14:textId="77777777" w:rsidR="00DB6E47" w:rsidRPr="007E1F9A" w:rsidRDefault="00DB6E47" w:rsidP="00DB6E47">
      <w:pPr>
        <w:pStyle w:val="AH5Sec"/>
      </w:pPr>
      <w:bookmarkStart w:id="37" w:name="_Toc83625381"/>
      <w:r w:rsidRPr="005E03F7">
        <w:rPr>
          <w:rStyle w:val="CharSectNo"/>
        </w:rPr>
        <w:t>26</w:t>
      </w:r>
      <w:r w:rsidRPr="007E1F9A">
        <w:tab/>
        <w:t>National regulations</w:t>
      </w:r>
      <w:bookmarkEnd w:id="37"/>
    </w:p>
    <w:p w14:paraId="0CD05E35" w14:textId="77777777" w:rsidR="00DB6E47" w:rsidRPr="00DA68DB" w:rsidRDefault="00DB6E47" w:rsidP="00DB6E47">
      <w:pPr>
        <w:pStyle w:val="Amainreturn"/>
      </w:pPr>
      <w:r w:rsidRPr="00DA68DB">
        <w:t>The national regulations may provide for—</w:t>
      </w:r>
    </w:p>
    <w:p w14:paraId="30BAD958" w14:textId="77777777" w:rsidR="00DB6E47" w:rsidRPr="009E2280" w:rsidRDefault="00DB6E47" w:rsidP="00DB6E47">
      <w:pPr>
        <w:pStyle w:val="Apara"/>
      </w:pPr>
      <w:r w:rsidRPr="009E2280">
        <w:tab/>
        <w:t>(a)</w:t>
      </w:r>
      <w:r w:rsidRPr="009E2280">
        <w:tab/>
        <w:t>the procedures for determining an application for a PBS design approval or a PBS vehicle approval, including, for example, providing for the time for making a decision on the application, the fee for the application and forms relating to the application; and</w:t>
      </w:r>
    </w:p>
    <w:p w14:paraId="0B30C064" w14:textId="77777777" w:rsidR="00DB6E47" w:rsidRPr="009E2280" w:rsidRDefault="00DB6E47" w:rsidP="00DB6E47">
      <w:pPr>
        <w:pStyle w:val="Apara"/>
      </w:pPr>
      <w:r w:rsidRPr="009E2280">
        <w:tab/>
        <w:t>(b)</w:t>
      </w:r>
      <w:r w:rsidRPr="009E2280">
        <w:tab/>
        <w:t>the procedures for cancelling or modifying a PBS design approval or PBS vehicle approval; and</w:t>
      </w:r>
    </w:p>
    <w:p w14:paraId="68517160" w14:textId="77777777" w:rsidR="00DB6E47" w:rsidRPr="009E2280" w:rsidRDefault="00DB6E47" w:rsidP="00DB6E47">
      <w:pPr>
        <w:pStyle w:val="Apara"/>
      </w:pPr>
      <w:r w:rsidRPr="009E2280">
        <w:tab/>
        <w:t>(c)</w:t>
      </w:r>
      <w:r w:rsidRPr="009E2280">
        <w:tab/>
        <w:t>performance based standards, and assessment and certification rules, relating to PBS design approvals or PBS vehicle approvals; and</w:t>
      </w:r>
    </w:p>
    <w:p w14:paraId="177760CB" w14:textId="77777777" w:rsidR="00DB6E47" w:rsidRPr="009E2280" w:rsidRDefault="00DB6E47" w:rsidP="00DB6E47">
      <w:pPr>
        <w:pStyle w:val="Apara"/>
      </w:pPr>
      <w:r w:rsidRPr="009E2280">
        <w:tab/>
        <w:t>(d)</w:t>
      </w:r>
      <w:r w:rsidRPr="009E2280">
        <w:tab/>
        <w:t>the appointment, functions and management of persons as PBS assessors and PBS vehicle certifiers.</w:t>
      </w:r>
    </w:p>
    <w:p w14:paraId="59C91B52" w14:textId="77777777" w:rsidR="00A479AC" w:rsidRPr="00A479AC" w:rsidRDefault="00A479AC" w:rsidP="00A479AC">
      <w:pPr>
        <w:pStyle w:val="PageBreak"/>
      </w:pPr>
      <w:r w:rsidRPr="00A479AC">
        <w:br w:type="page"/>
      </w:r>
    </w:p>
    <w:p w14:paraId="1329EEE2" w14:textId="77777777" w:rsidR="002835CB" w:rsidRPr="005E03F7" w:rsidRDefault="002835CB" w:rsidP="00A479AC">
      <w:pPr>
        <w:pStyle w:val="AH1Chapter"/>
      </w:pPr>
      <w:bookmarkStart w:id="38" w:name="_Toc83625382"/>
      <w:r w:rsidRPr="005E03F7">
        <w:rPr>
          <w:rStyle w:val="CharChapNo"/>
        </w:rPr>
        <w:lastRenderedPageBreak/>
        <w:t>Chapter 1A</w:t>
      </w:r>
      <w:r w:rsidR="00A479AC">
        <w:rPr>
          <w:lang w:val="en" w:eastAsia="en-AU"/>
        </w:rPr>
        <w:tab/>
      </w:r>
      <w:r w:rsidRPr="005E03F7">
        <w:rPr>
          <w:rStyle w:val="CharChapText"/>
          <w:lang w:val="en" w:eastAsia="en-AU"/>
        </w:rPr>
        <w:t>Safety duties</w:t>
      </w:r>
      <w:bookmarkEnd w:id="38"/>
    </w:p>
    <w:p w14:paraId="4ABE22A0" w14:textId="77777777" w:rsidR="002835CB" w:rsidRPr="005E03F7" w:rsidRDefault="002835CB" w:rsidP="00A479AC">
      <w:pPr>
        <w:pStyle w:val="AH2Part"/>
      </w:pPr>
      <w:bookmarkStart w:id="39" w:name="_Toc83625383"/>
      <w:r w:rsidRPr="005E03F7">
        <w:rPr>
          <w:rStyle w:val="CharPartNo"/>
        </w:rPr>
        <w:t>Part 1A.1</w:t>
      </w:r>
      <w:r w:rsidR="00A479AC">
        <w:rPr>
          <w:lang w:val="en" w:eastAsia="en-AU"/>
        </w:rPr>
        <w:tab/>
      </w:r>
      <w:r w:rsidRPr="005E03F7">
        <w:rPr>
          <w:rStyle w:val="CharPartText"/>
          <w:lang w:val="en" w:eastAsia="en-AU"/>
        </w:rPr>
        <w:t>Principles</w:t>
      </w:r>
      <w:bookmarkEnd w:id="39"/>
    </w:p>
    <w:p w14:paraId="7B433BBF" w14:textId="77777777" w:rsidR="002835CB" w:rsidRPr="002835CB" w:rsidRDefault="00A479AC" w:rsidP="00A479AC">
      <w:pPr>
        <w:pStyle w:val="AH5Sec"/>
        <w:rPr>
          <w:lang w:val="en" w:eastAsia="en-AU"/>
        </w:rPr>
      </w:pPr>
      <w:bookmarkStart w:id="40" w:name="_Toc83625384"/>
      <w:r w:rsidRPr="005E03F7">
        <w:rPr>
          <w:rStyle w:val="CharSectNo"/>
        </w:rPr>
        <w:t>26A</w:t>
      </w:r>
      <w:r>
        <w:tab/>
      </w:r>
      <w:r w:rsidR="002835CB" w:rsidRPr="002835CB">
        <w:rPr>
          <w:lang w:val="en" w:eastAsia="en-AU"/>
        </w:rPr>
        <w:t>Principle of shared responsibility</w:t>
      </w:r>
      <w:bookmarkEnd w:id="40"/>
    </w:p>
    <w:p w14:paraId="5D58169B" w14:textId="77777777" w:rsidR="002835CB" w:rsidRPr="002835CB" w:rsidRDefault="00A479AC" w:rsidP="00A479AC">
      <w:pPr>
        <w:pStyle w:val="Amain"/>
        <w:rPr>
          <w:lang w:val="en" w:eastAsia="en-AU"/>
        </w:rPr>
      </w:pPr>
      <w:r>
        <w:rPr>
          <w:lang w:val="en" w:eastAsia="en-AU"/>
        </w:rPr>
        <w:tab/>
      </w:r>
      <w:r w:rsidR="002835CB" w:rsidRPr="002835CB">
        <w:rPr>
          <w:lang w:val="en" w:eastAsia="en-AU"/>
        </w:rPr>
        <w:t>(1)</w:t>
      </w:r>
      <w:r>
        <w:rPr>
          <w:lang w:val="en" w:eastAsia="en-AU"/>
        </w:rPr>
        <w:tab/>
      </w:r>
      <w:r w:rsidR="002835CB" w:rsidRPr="002835CB">
        <w:rPr>
          <w:lang w:val="en" w:eastAsia="en-AU"/>
        </w:rPr>
        <w:t>The safety of transport activities relating to a heavy vehicle is the shared responsibility of each party in the chain of responsibility for the vehicle.</w:t>
      </w:r>
    </w:p>
    <w:p w14:paraId="17681AD8" w14:textId="77777777" w:rsidR="002835CB" w:rsidRPr="002835CB" w:rsidRDefault="00A479AC" w:rsidP="00A479AC">
      <w:pPr>
        <w:pStyle w:val="Amain"/>
        <w:rPr>
          <w:lang w:val="en" w:eastAsia="en-AU"/>
        </w:rPr>
      </w:pPr>
      <w:r>
        <w:rPr>
          <w:lang w:val="en" w:eastAsia="en-AU"/>
        </w:rPr>
        <w:tab/>
      </w:r>
      <w:r w:rsidR="002835CB" w:rsidRPr="002835CB">
        <w:rPr>
          <w:lang w:val="en" w:eastAsia="en-AU"/>
        </w:rPr>
        <w:t>(2)</w:t>
      </w:r>
      <w:r>
        <w:rPr>
          <w:lang w:val="en" w:eastAsia="en-AU"/>
        </w:rPr>
        <w:tab/>
      </w:r>
      <w:r w:rsidR="002835CB" w:rsidRPr="002835CB">
        <w:rPr>
          <w:lang w:val="en" w:eastAsia="en-AU"/>
        </w:rPr>
        <w:t>The level and nature of a party’s responsibility for a transport activity depends on—</w:t>
      </w:r>
    </w:p>
    <w:p w14:paraId="0FDA7E7A" w14:textId="77777777" w:rsidR="002835CB" w:rsidRPr="002835CB" w:rsidRDefault="00A479AC" w:rsidP="00A479AC">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the functions the person performs or is required to perform, whether exclusively or occasionally, rather than—</w:t>
      </w:r>
    </w:p>
    <w:p w14:paraId="4C32D607" w14:textId="77777777" w:rsidR="002835CB" w:rsidRPr="002835CB" w:rsidRDefault="00A479AC" w:rsidP="00A479AC">
      <w:pPr>
        <w:pStyle w:val="Asubpara"/>
        <w:rPr>
          <w:lang w:val="en" w:eastAsia="en-AU"/>
        </w:rPr>
      </w:pPr>
      <w:r>
        <w:rPr>
          <w:lang w:val="en" w:eastAsia="en-AU"/>
        </w:rPr>
        <w:tab/>
      </w:r>
      <w:r w:rsidR="002835CB" w:rsidRPr="002835CB">
        <w:rPr>
          <w:lang w:val="en" w:eastAsia="en-AU"/>
        </w:rPr>
        <w:t>(i)</w:t>
      </w:r>
      <w:r>
        <w:rPr>
          <w:lang w:val="en" w:eastAsia="en-AU"/>
        </w:rPr>
        <w:tab/>
      </w:r>
      <w:r w:rsidR="002835CB" w:rsidRPr="002835CB">
        <w:rPr>
          <w:lang w:val="en" w:eastAsia="en-AU"/>
        </w:rPr>
        <w:t>the person’s job title; or</w:t>
      </w:r>
    </w:p>
    <w:p w14:paraId="55499DDD" w14:textId="77777777" w:rsidR="002835CB" w:rsidRPr="002835CB" w:rsidRDefault="00A479AC" w:rsidP="00A479AC">
      <w:pPr>
        <w:pStyle w:val="Asubpara"/>
        <w:rPr>
          <w:lang w:val="en" w:eastAsia="en-AU"/>
        </w:rPr>
      </w:pPr>
      <w:r>
        <w:rPr>
          <w:lang w:val="en" w:eastAsia="en-AU"/>
        </w:rPr>
        <w:tab/>
      </w:r>
      <w:r w:rsidR="002835CB" w:rsidRPr="002835CB">
        <w:rPr>
          <w:lang w:val="en" w:eastAsia="en-AU"/>
        </w:rPr>
        <w:t>(ii)</w:t>
      </w:r>
      <w:r>
        <w:rPr>
          <w:lang w:val="en" w:eastAsia="en-AU"/>
        </w:rPr>
        <w:tab/>
      </w:r>
      <w:r w:rsidR="002835CB" w:rsidRPr="002835CB">
        <w:rPr>
          <w:lang w:val="en" w:eastAsia="en-AU"/>
        </w:rPr>
        <w:t>the person’s functions described in a written contract; and</w:t>
      </w:r>
    </w:p>
    <w:p w14:paraId="043A0087" w14:textId="77777777" w:rsidR="002835CB" w:rsidRPr="002835CB" w:rsidRDefault="00A479AC" w:rsidP="00A479AC">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the nature of the public risk created by the carrying out of the transport activity; and</w:t>
      </w:r>
    </w:p>
    <w:p w14:paraId="4032FB55" w14:textId="77777777" w:rsidR="002835CB" w:rsidRPr="002835CB" w:rsidRDefault="00A479AC" w:rsidP="00A479AC">
      <w:pPr>
        <w:pStyle w:val="A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the party’s capacity to control, eliminate or minimise the risk.</w:t>
      </w:r>
    </w:p>
    <w:p w14:paraId="7EE0BFDF" w14:textId="77777777" w:rsidR="002835CB" w:rsidRPr="002835CB" w:rsidRDefault="002835CB" w:rsidP="00A479AC">
      <w:pPr>
        <w:pStyle w:val="AH5Sec"/>
        <w:rPr>
          <w:lang w:val="en" w:eastAsia="en-AU"/>
        </w:rPr>
      </w:pPr>
      <w:bookmarkStart w:id="41" w:name="_Toc83625385"/>
      <w:r w:rsidRPr="005E03F7">
        <w:rPr>
          <w:rStyle w:val="CharSectNo"/>
        </w:rPr>
        <w:t>26B</w:t>
      </w:r>
      <w:r w:rsidR="00A479AC">
        <w:tab/>
      </w:r>
      <w:r w:rsidRPr="002835CB">
        <w:rPr>
          <w:lang w:val="en" w:eastAsia="en-AU"/>
        </w:rPr>
        <w:t>Principles applying to duties</w:t>
      </w:r>
      <w:bookmarkEnd w:id="41"/>
    </w:p>
    <w:p w14:paraId="0F2DBF9B" w14:textId="77777777" w:rsidR="002835CB" w:rsidRPr="002835CB" w:rsidRDefault="003D679E" w:rsidP="00A479AC">
      <w:pPr>
        <w:pStyle w:val="Amain"/>
        <w:rPr>
          <w:lang w:val="en" w:eastAsia="en-AU"/>
        </w:rPr>
      </w:pPr>
      <w:r>
        <w:rPr>
          <w:lang w:val="en" w:eastAsia="en-AU"/>
        </w:rPr>
        <w:tab/>
      </w:r>
      <w:r w:rsidR="002835CB" w:rsidRPr="002835CB">
        <w:rPr>
          <w:lang w:val="en" w:eastAsia="en-AU"/>
        </w:rPr>
        <w:t>(1)</w:t>
      </w:r>
      <w:r>
        <w:rPr>
          <w:lang w:val="en" w:eastAsia="en-AU"/>
        </w:rPr>
        <w:tab/>
      </w:r>
      <w:r w:rsidR="002835CB" w:rsidRPr="002835CB">
        <w:rPr>
          <w:lang w:val="en" w:eastAsia="en-AU"/>
        </w:rPr>
        <w:t>A person may have more than 1 duty because of the functions the person performs or is required to perform.</w:t>
      </w:r>
    </w:p>
    <w:p w14:paraId="691C5EDE" w14:textId="77777777" w:rsidR="002835CB" w:rsidRPr="002835CB" w:rsidRDefault="003D679E" w:rsidP="00A479AC">
      <w:pPr>
        <w:pStyle w:val="Amain"/>
        <w:rPr>
          <w:lang w:val="en" w:eastAsia="en-AU"/>
        </w:rPr>
      </w:pPr>
      <w:r>
        <w:rPr>
          <w:lang w:val="en" w:eastAsia="en-AU"/>
        </w:rPr>
        <w:tab/>
      </w:r>
      <w:r w:rsidR="002835CB" w:rsidRPr="002835CB">
        <w:rPr>
          <w:lang w:val="en" w:eastAsia="en-AU"/>
        </w:rPr>
        <w:t>(2)</w:t>
      </w:r>
      <w:r>
        <w:rPr>
          <w:lang w:val="en" w:eastAsia="en-AU"/>
        </w:rPr>
        <w:tab/>
      </w:r>
      <w:r w:rsidR="002835CB" w:rsidRPr="002835CB">
        <w:rPr>
          <w:lang w:val="en" w:eastAsia="en-AU"/>
        </w:rPr>
        <w:t>More than 1 person can concurrently have a duty under this Law and each duty holder must comply with that duty to the standard required by this Law even if another duty holder has the same duty.</w:t>
      </w:r>
    </w:p>
    <w:p w14:paraId="00706862" w14:textId="77777777" w:rsidR="002835CB" w:rsidRPr="002835CB" w:rsidRDefault="003D679E" w:rsidP="00A479AC">
      <w:pPr>
        <w:pStyle w:val="Amain"/>
        <w:rPr>
          <w:lang w:val="en" w:eastAsia="en-AU"/>
        </w:rPr>
      </w:pPr>
      <w:r>
        <w:rPr>
          <w:lang w:val="en" w:eastAsia="en-AU"/>
        </w:rPr>
        <w:tab/>
      </w:r>
      <w:r w:rsidR="002835CB" w:rsidRPr="002835CB">
        <w:rPr>
          <w:lang w:val="en" w:eastAsia="en-AU"/>
        </w:rPr>
        <w:t>(3)</w:t>
      </w:r>
      <w:r>
        <w:rPr>
          <w:lang w:val="en" w:eastAsia="en-AU"/>
        </w:rPr>
        <w:tab/>
      </w:r>
      <w:r w:rsidR="002835CB" w:rsidRPr="002835CB">
        <w:rPr>
          <w:lang w:val="en" w:eastAsia="en-AU"/>
        </w:rPr>
        <w:t>If more than 1 person has a duty for the same matter, each person—</w:t>
      </w:r>
    </w:p>
    <w:p w14:paraId="73612322" w14:textId="77777777" w:rsidR="002835CB" w:rsidRPr="002835CB" w:rsidRDefault="003D679E" w:rsidP="003D679E">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retains responsibility for the person’s duty in relation to the matter; and</w:t>
      </w:r>
    </w:p>
    <w:p w14:paraId="708DBDA5" w14:textId="77777777" w:rsidR="002835CB" w:rsidRPr="002835CB" w:rsidRDefault="003D679E" w:rsidP="003D679E">
      <w:pPr>
        <w:pStyle w:val="Apara"/>
        <w:rPr>
          <w:lang w:val="en" w:eastAsia="en-AU"/>
        </w:rPr>
      </w:pPr>
      <w:r>
        <w:rPr>
          <w:lang w:val="en" w:eastAsia="en-AU"/>
        </w:rPr>
        <w:lastRenderedPageBreak/>
        <w:tab/>
      </w:r>
      <w:r w:rsidR="002835CB" w:rsidRPr="002835CB">
        <w:rPr>
          <w:lang w:val="en" w:eastAsia="en-AU"/>
        </w:rPr>
        <w:t>(b)</w:t>
      </w:r>
      <w:r>
        <w:rPr>
          <w:lang w:val="en" w:eastAsia="en-AU"/>
        </w:rPr>
        <w:tab/>
      </w:r>
      <w:r w:rsidR="002835CB" w:rsidRPr="002835CB">
        <w:rPr>
          <w:lang w:val="en" w:eastAsia="en-AU"/>
        </w:rPr>
        <w:t>must discharge the person’s duty to the extent to which the person—</w:t>
      </w:r>
    </w:p>
    <w:p w14:paraId="08B156B6" w14:textId="77777777" w:rsidR="002835CB" w:rsidRPr="002835CB" w:rsidRDefault="003D679E" w:rsidP="003D679E">
      <w:pPr>
        <w:pStyle w:val="Asubpara"/>
        <w:rPr>
          <w:lang w:val="en" w:eastAsia="en-AU"/>
        </w:rPr>
      </w:pPr>
      <w:r>
        <w:rPr>
          <w:lang w:val="en" w:eastAsia="en-AU"/>
        </w:rPr>
        <w:tab/>
      </w:r>
      <w:r w:rsidR="002835CB" w:rsidRPr="002835CB">
        <w:rPr>
          <w:lang w:val="en" w:eastAsia="en-AU"/>
        </w:rPr>
        <w:t>(i)</w:t>
      </w:r>
      <w:r>
        <w:rPr>
          <w:lang w:val="en" w:eastAsia="en-AU"/>
        </w:rPr>
        <w:tab/>
      </w:r>
      <w:r w:rsidR="002835CB" w:rsidRPr="002835CB">
        <w:rPr>
          <w:lang w:val="en" w:eastAsia="en-AU"/>
        </w:rPr>
        <w:t>has the capacity to influence and control the matter; or</w:t>
      </w:r>
    </w:p>
    <w:p w14:paraId="165829A9" w14:textId="77777777" w:rsidR="002835CB" w:rsidRPr="002835CB" w:rsidRDefault="003D679E" w:rsidP="003D679E">
      <w:pPr>
        <w:pStyle w:val="Asubpara"/>
        <w:rPr>
          <w:lang w:val="en" w:eastAsia="en-AU"/>
        </w:rPr>
      </w:pPr>
      <w:r>
        <w:rPr>
          <w:lang w:val="en" w:eastAsia="en-AU"/>
        </w:rPr>
        <w:tab/>
      </w:r>
      <w:r w:rsidR="002835CB" w:rsidRPr="002835CB">
        <w:rPr>
          <w:lang w:val="en" w:eastAsia="en-AU"/>
        </w:rPr>
        <w:t>(ii)</w:t>
      </w:r>
      <w:r>
        <w:rPr>
          <w:lang w:val="en" w:eastAsia="en-AU"/>
        </w:rPr>
        <w:tab/>
      </w:r>
      <w:r w:rsidR="002835CB" w:rsidRPr="002835CB">
        <w:rPr>
          <w:lang w:val="en" w:eastAsia="en-AU"/>
        </w:rPr>
        <w:t>would have had that capacity but for an agreement or arrangement purporting to limit or remove that capacity.</w:t>
      </w:r>
    </w:p>
    <w:p w14:paraId="4F42EBF2" w14:textId="77777777" w:rsidR="002835CB" w:rsidRPr="002835CB" w:rsidRDefault="003D679E" w:rsidP="003D679E">
      <w:pPr>
        <w:pStyle w:val="Amain"/>
        <w:rPr>
          <w:lang w:val="en" w:eastAsia="en-AU"/>
        </w:rPr>
      </w:pPr>
      <w:r>
        <w:rPr>
          <w:lang w:val="en" w:eastAsia="en-AU"/>
        </w:rPr>
        <w:tab/>
      </w:r>
      <w:r w:rsidR="002835CB" w:rsidRPr="002835CB">
        <w:rPr>
          <w:lang w:val="en" w:eastAsia="en-AU"/>
        </w:rPr>
        <w:t>(4)</w:t>
      </w:r>
      <w:r>
        <w:rPr>
          <w:lang w:val="en" w:eastAsia="en-AU"/>
        </w:rPr>
        <w:tab/>
      </w:r>
      <w:r w:rsidR="002835CB" w:rsidRPr="002835CB">
        <w:rPr>
          <w:lang w:val="en" w:eastAsia="en-AU"/>
        </w:rPr>
        <w:t>A duty under this Law may not be transferred to another person.</w:t>
      </w:r>
    </w:p>
    <w:p w14:paraId="55627B8E" w14:textId="77777777" w:rsidR="00B22247" w:rsidRPr="00B22247" w:rsidRDefault="00B22247" w:rsidP="00B22247">
      <w:pPr>
        <w:pStyle w:val="PageBreak"/>
      </w:pPr>
      <w:r w:rsidRPr="00B22247">
        <w:br w:type="page"/>
      </w:r>
    </w:p>
    <w:p w14:paraId="3E2ACBDB" w14:textId="77777777" w:rsidR="002835CB" w:rsidRPr="005E03F7" w:rsidRDefault="002835CB" w:rsidP="003D679E">
      <w:pPr>
        <w:pStyle w:val="AH2Part"/>
      </w:pPr>
      <w:bookmarkStart w:id="42" w:name="_Toc83625386"/>
      <w:r w:rsidRPr="005E03F7">
        <w:rPr>
          <w:rStyle w:val="CharPartNo"/>
        </w:rPr>
        <w:lastRenderedPageBreak/>
        <w:t>Part 1A.2</w:t>
      </w:r>
      <w:r w:rsidR="003D679E">
        <w:rPr>
          <w:lang w:val="en" w:eastAsia="en-AU"/>
        </w:rPr>
        <w:tab/>
      </w:r>
      <w:r w:rsidRPr="005E03F7">
        <w:rPr>
          <w:rStyle w:val="CharPartText"/>
          <w:lang w:val="en" w:eastAsia="en-AU"/>
        </w:rPr>
        <w:t>Nature of duty</w:t>
      </w:r>
      <w:bookmarkEnd w:id="42"/>
    </w:p>
    <w:p w14:paraId="0ADB5F29" w14:textId="77777777" w:rsidR="002835CB" w:rsidRPr="002835CB" w:rsidRDefault="002835CB" w:rsidP="003D679E">
      <w:pPr>
        <w:pStyle w:val="AH5Sec"/>
        <w:rPr>
          <w:lang w:val="en" w:eastAsia="en-AU"/>
        </w:rPr>
      </w:pPr>
      <w:bookmarkStart w:id="43" w:name="_Toc83625387"/>
      <w:r w:rsidRPr="005E03F7">
        <w:rPr>
          <w:rStyle w:val="CharSectNo"/>
        </w:rPr>
        <w:t>26C</w:t>
      </w:r>
      <w:r w:rsidR="003D679E">
        <w:tab/>
      </w:r>
      <w:r w:rsidRPr="002835CB">
        <w:rPr>
          <w:lang w:val="en" w:eastAsia="en-AU"/>
        </w:rPr>
        <w:t>Primary duty</w:t>
      </w:r>
      <w:bookmarkEnd w:id="43"/>
    </w:p>
    <w:p w14:paraId="1CDE7021" w14:textId="77777777" w:rsidR="002835CB" w:rsidRPr="002835CB" w:rsidRDefault="003D679E" w:rsidP="003D679E">
      <w:pPr>
        <w:pStyle w:val="Amain"/>
        <w:rPr>
          <w:lang w:val="en" w:eastAsia="en-AU"/>
        </w:rPr>
      </w:pPr>
      <w:r>
        <w:rPr>
          <w:lang w:val="en" w:eastAsia="en-AU"/>
        </w:rPr>
        <w:tab/>
      </w:r>
      <w:r w:rsidR="002835CB" w:rsidRPr="002835CB">
        <w:rPr>
          <w:lang w:val="en" w:eastAsia="en-AU"/>
        </w:rPr>
        <w:t>(1)</w:t>
      </w:r>
      <w:r>
        <w:rPr>
          <w:lang w:val="en" w:eastAsia="en-AU"/>
        </w:rPr>
        <w:tab/>
      </w:r>
      <w:r w:rsidR="002835CB" w:rsidRPr="002835CB">
        <w:rPr>
          <w:lang w:val="en" w:eastAsia="en-AU"/>
        </w:rPr>
        <w:t>Each party in the chain of responsibility for a heavy vehicle must ensure, so far as is reasonably practicable, the safety of the party’s transport activities relating to the vehicle.</w:t>
      </w:r>
    </w:p>
    <w:p w14:paraId="1C80595D" w14:textId="77777777" w:rsidR="002835CB" w:rsidRPr="002835CB" w:rsidRDefault="003D679E" w:rsidP="003D679E">
      <w:pPr>
        <w:pStyle w:val="Amain"/>
        <w:rPr>
          <w:lang w:val="en" w:eastAsia="en-AU"/>
        </w:rPr>
      </w:pPr>
      <w:r>
        <w:rPr>
          <w:lang w:val="en" w:eastAsia="en-AU"/>
        </w:rPr>
        <w:tab/>
      </w:r>
      <w:r w:rsidR="002835CB" w:rsidRPr="002835CB">
        <w:rPr>
          <w:lang w:val="en" w:eastAsia="en-AU"/>
        </w:rPr>
        <w:t>(2)</w:t>
      </w:r>
      <w:r>
        <w:rPr>
          <w:lang w:val="en" w:eastAsia="en-AU"/>
        </w:rPr>
        <w:tab/>
      </w:r>
      <w:r w:rsidR="002835CB" w:rsidRPr="002835CB">
        <w:rPr>
          <w:lang w:val="en" w:eastAsia="en-AU"/>
        </w:rPr>
        <w:t>Without limiting subsection (1), each party must, so far as is reasonably practicable—</w:t>
      </w:r>
    </w:p>
    <w:p w14:paraId="02F1012E" w14:textId="77777777" w:rsidR="002835CB" w:rsidRPr="002835CB" w:rsidRDefault="003D679E" w:rsidP="003D679E">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eliminate public risks and, to the extent it is not reasonably practicable to eliminate public risks, minimise the public risks; and</w:t>
      </w:r>
    </w:p>
    <w:p w14:paraId="72C7049E" w14:textId="77777777" w:rsidR="002835CB" w:rsidRPr="002835CB" w:rsidRDefault="003D679E" w:rsidP="003D679E">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ensure the party’s conduct does not directly or indirectly cause or encourage—</w:t>
      </w:r>
    </w:p>
    <w:p w14:paraId="58092978" w14:textId="77777777" w:rsidR="002835CB" w:rsidRPr="002835CB" w:rsidRDefault="003D679E" w:rsidP="003D679E">
      <w:pPr>
        <w:pStyle w:val="Asubpara"/>
        <w:rPr>
          <w:lang w:val="en" w:eastAsia="en-AU"/>
        </w:rPr>
      </w:pPr>
      <w:r>
        <w:rPr>
          <w:lang w:val="en" w:eastAsia="en-AU"/>
        </w:rPr>
        <w:tab/>
      </w:r>
      <w:r w:rsidR="002835CB" w:rsidRPr="002835CB">
        <w:rPr>
          <w:lang w:val="en" w:eastAsia="en-AU"/>
        </w:rPr>
        <w:t>(i)</w:t>
      </w:r>
      <w:r>
        <w:rPr>
          <w:lang w:val="en" w:eastAsia="en-AU"/>
        </w:rPr>
        <w:tab/>
      </w:r>
      <w:r w:rsidR="002835CB" w:rsidRPr="002835CB">
        <w:rPr>
          <w:lang w:val="en" w:eastAsia="en-AU"/>
        </w:rPr>
        <w:t>the driver of the heavy vehicle to contravene this Law; or</w:t>
      </w:r>
    </w:p>
    <w:p w14:paraId="7288CC1D" w14:textId="77777777" w:rsidR="002835CB" w:rsidRPr="002835CB" w:rsidRDefault="003D679E" w:rsidP="003D679E">
      <w:pPr>
        <w:pStyle w:val="Asubpara"/>
        <w:rPr>
          <w:lang w:val="en" w:eastAsia="en-AU"/>
        </w:rPr>
      </w:pPr>
      <w:r>
        <w:rPr>
          <w:lang w:val="en" w:eastAsia="en-AU"/>
        </w:rPr>
        <w:tab/>
      </w:r>
      <w:r w:rsidR="002835CB" w:rsidRPr="002835CB">
        <w:rPr>
          <w:lang w:val="en" w:eastAsia="en-AU"/>
        </w:rPr>
        <w:t>(ii)</w:t>
      </w:r>
      <w:r>
        <w:rPr>
          <w:lang w:val="en" w:eastAsia="en-AU"/>
        </w:rPr>
        <w:tab/>
      </w:r>
      <w:r w:rsidR="002835CB" w:rsidRPr="002835CB">
        <w:rPr>
          <w:lang w:val="en" w:eastAsia="en-AU"/>
        </w:rPr>
        <w:t>the driver of the heavy vehicle to exceed a speed limit applying to the driver; or</w:t>
      </w:r>
    </w:p>
    <w:p w14:paraId="050B677B" w14:textId="77777777" w:rsidR="002835CB" w:rsidRPr="002835CB" w:rsidRDefault="003D679E" w:rsidP="003D679E">
      <w:pPr>
        <w:pStyle w:val="Asubpara"/>
        <w:rPr>
          <w:lang w:val="en" w:eastAsia="en-AU"/>
        </w:rPr>
      </w:pPr>
      <w:r>
        <w:rPr>
          <w:lang w:val="en" w:eastAsia="en-AU"/>
        </w:rPr>
        <w:tab/>
      </w:r>
      <w:r w:rsidR="002835CB" w:rsidRPr="002835CB">
        <w:rPr>
          <w:lang w:val="en" w:eastAsia="en-AU"/>
        </w:rPr>
        <w:t>(iii)</w:t>
      </w:r>
      <w:r>
        <w:rPr>
          <w:lang w:val="en" w:eastAsia="en-AU"/>
        </w:rPr>
        <w:tab/>
      </w:r>
      <w:r w:rsidR="002835CB" w:rsidRPr="002835CB">
        <w:rPr>
          <w:lang w:val="en" w:eastAsia="en-AU"/>
        </w:rPr>
        <w:t>another person, including another party in the chain of responsibility, to contravene this Law.</w:t>
      </w:r>
    </w:p>
    <w:p w14:paraId="218D7F60" w14:textId="77777777" w:rsidR="002835CB" w:rsidRPr="002835CB" w:rsidRDefault="003D679E" w:rsidP="003D679E">
      <w:pPr>
        <w:pStyle w:val="Amain"/>
        <w:rPr>
          <w:lang w:val="en" w:eastAsia="en-AU"/>
        </w:rPr>
      </w:pPr>
      <w:r>
        <w:rPr>
          <w:lang w:val="en" w:eastAsia="en-AU"/>
        </w:rPr>
        <w:tab/>
      </w:r>
      <w:r w:rsidR="002835CB" w:rsidRPr="002835CB">
        <w:rPr>
          <w:lang w:val="en" w:eastAsia="en-AU"/>
        </w:rPr>
        <w:t>(3)</w:t>
      </w:r>
      <w:r>
        <w:rPr>
          <w:lang w:val="en" w:eastAsia="en-AU"/>
        </w:rPr>
        <w:tab/>
      </w:r>
      <w:r w:rsidR="002835CB" w:rsidRPr="002835CB">
        <w:rPr>
          <w:lang w:val="en" w:eastAsia="en-AU"/>
        </w:rPr>
        <w:t>For subsection (2)(b), the party’s conduct includes, for example—</w:t>
      </w:r>
    </w:p>
    <w:p w14:paraId="4C5C475D" w14:textId="77777777" w:rsidR="002835CB" w:rsidRPr="002835CB" w:rsidRDefault="00B86B2C" w:rsidP="003D679E">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the party asking, directing or requiring another person to do, or not do, something; and</w:t>
      </w:r>
    </w:p>
    <w:p w14:paraId="0B2A8B30" w14:textId="77777777" w:rsidR="002835CB" w:rsidRPr="002835CB" w:rsidRDefault="00B86B2C" w:rsidP="003D679E">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the party entering into a contract—</w:t>
      </w:r>
    </w:p>
    <w:p w14:paraId="7A2A6017" w14:textId="77777777" w:rsidR="002835CB" w:rsidRPr="002835CB" w:rsidRDefault="00B86B2C" w:rsidP="00B86B2C">
      <w:pPr>
        <w:pStyle w:val="Asubpara"/>
        <w:rPr>
          <w:lang w:val="en" w:eastAsia="en-AU"/>
        </w:rPr>
      </w:pPr>
      <w:r>
        <w:rPr>
          <w:lang w:val="en" w:eastAsia="en-AU"/>
        </w:rPr>
        <w:tab/>
      </w:r>
      <w:r w:rsidR="002835CB" w:rsidRPr="002835CB">
        <w:rPr>
          <w:lang w:val="en" w:eastAsia="en-AU"/>
        </w:rPr>
        <w:t>(i)</w:t>
      </w:r>
      <w:r>
        <w:rPr>
          <w:lang w:val="en" w:eastAsia="en-AU"/>
        </w:rPr>
        <w:tab/>
      </w:r>
      <w:r w:rsidR="002835CB" w:rsidRPr="002835CB">
        <w:rPr>
          <w:lang w:val="en" w:eastAsia="en-AU"/>
        </w:rPr>
        <w:t>with another person for the other person to do, or not do, something; or</w:t>
      </w:r>
    </w:p>
    <w:p w14:paraId="46B54046" w14:textId="77777777" w:rsidR="002835CB" w:rsidRPr="002835CB" w:rsidRDefault="00B86B2C" w:rsidP="00B86B2C">
      <w:pPr>
        <w:pStyle w:val="Asubpara"/>
        <w:rPr>
          <w:lang w:val="en" w:eastAsia="en-AU"/>
        </w:rPr>
      </w:pPr>
      <w:r>
        <w:rPr>
          <w:lang w:val="en" w:eastAsia="en-AU"/>
        </w:rPr>
        <w:tab/>
      </w:r>
      <w:r w:rsidR="002835CB" w:rsidRPr="002835CB">
        <w:rPr>
          <w:lang w:val="en" w:eastAsia="en-AU"/>
        </w:rPr>
        <w:t>(ii)</w:t>
      </w:r>
      <w:r>
        <w:rPr>
          <w:lang w:val="en" w:eastAsia="en-AU"/>
        </w:rPr>
        <w:tab/>
      </w:r>
      <w:r w:rsidR="002835CB" w:rsidRPr="002835CB">
        <w:rPr>
          <w:lang w:val="en" w:eastAsia="en-AU"/>
        </w:rPr>
        <w:t>that purports to annul, exclude, restrict or otherwise change the effect of this Law.</w:t>
      </w:r>
    </w:p>
    <w:p w14:paraId="326FA941" w14:textId="77777777" w:rsidR="002835CB" w:rsidRPr="002835CB" w:rsidRDefault="002835CB" w:rsidP="00B86B2C">
      <w:pPr>
        <w:pStyle w:val="AH5Sec"/>
        <w:rPr>
          <w:lang w:val="en" w:eastAsia="en-AU"/>
        </w:rPr>
      </w:pPr>
      <w:bookmarkStart w:id="44" w:name="_Toc83625388"/>
      <w:r w:rsidRPr="005E03F7">
        <w:rPr>
          <w:rStyle w:val="CharSectNo"/>
        </w:rPr>
        <w:lastRenderedPageBreak/>
        <w:t>26D</w:t>
      </w:r>
      <w:r w:rsidR="00B86B2C">
        <w:tab/>
      </w:r>
      <w:r w:rsidRPr="002835CB">
        <w:rPr>
          <w:lang w:val="en" w:eastAsia="en-AU"/>
        </w:rPr>
        <w:t>Duty of executive of legal entity</w:t>
      </w:r>
      <w:bookmarkEnd w:id="44"/>
    </w:p>
    <w:p w14:paraId="00BCE4B4" w14:textId="77777777" w:rsidR="002835CB" w:rsidRPr="002835CB" w:rsidRDefault="00B86B2C" w:rsidP="00B86B2C">
      <w:pPr>
        <w:pStyle w:val="Amain"/>
        <w:rPr>
          <w:lang w:val="en" w:eastAsia="en-AU"/>
        </w:rPr>
      </w:pPr>
      <w:r>
        <w:rPr>
          <w:lang w:val="en" w:eastAsia="en-AU"/>
        </w:rPr>
        <w:tab/>
      </w:r>
      <w:r w:rsidR="002835CB" w:rsidRPr="002835CB">
        <w:rPr>
          <w:lang w:val="en" w:eastAsia="en-AU"/>
        </w:rPr>
        <w:t>(1)</w:t>
      </w:r>
      <w:r>
        <w:rPr>
          <w:lang w:val="en" w:eastAsia="en-AU"/>
        </w:rPr>
        <w:tab/>
      </w:r>
      <w:r w:rsidR="002835CB" w:rsidRPr="002835CB">
        <w:rPr>
          <w:lang w:val="en" w:eastAsia="en-AU"/>
        </w:rPr>
        <w:t xml:space="preserve">If a legal entity has </w:t>
      </w:r>
      <w:r w:rsidR="00EA07E6" w:rsidRPr="003323FC">
        <w:t>a safety duty</w:t>
      </w:r>
      <w:r w:rsidR="002835CB" w:rsidRPr="002835CB">
        <w:rPr>
          <w:lang w:val="en" w:eastAsia="en-AU"/>
        </w:rPr>
        <w:t xml:space="preserve">, an executive of the legal entity must exercise due diligence to ensure the legal entity complies with </w:t>
      </w:r>
      <w:r w:rsidR="00EA07E6" w:rsidRPr="003323FC">
        <w:t>the safety duty</w:t>
      </w:r>
      <w:r w:rsidR="002835CB" w:rsidRPr="002835CB">
        <w:rPr>
          <w:lang w:val="en" w:eastAsia="en-AU"/>
        </w:rPr>
        <w:t>.</w:t>
      </w:r>
    </w:p>
    <w:p w14:paraId="699E88CE" w14:textId="77777777" w:rsidR="002835CB" w:rsidRPr="002835CB" w:rsidRDefault="002835CB" w:rsidP="00B86B2C">
      <w:pPr>
        <w:pStyle w:val="Penalty"/>
        <w:rPr>
          <w:lang w:val="en" w:eastAsia="en-AU"/>
        </w:rPr>
      </w:pPr>
      <w:r w:rsidRPr="002835CB">
        <w:rPr>
          <w:lang w:val="en" w:eastAsia="en-AU"/>
        </w:rPr>
        <w:t>Maximum penalty—the penalty for a contravention of the provision by an individual.</w:t>
      </w:r>
    </w:p>
    <w:p w14:paraId="01F3489E" w14:textId="77777777" w:rsidR="002835CB" w:rsidRPr="002835CB" w:rsidRDefault="00B86B2C" w:rsidP="00B86B2C">
      <w:pPr>
        <w:pStyle w:val="Amain"/>
        <w:rPr>
          <w:lang w:val="en" w:eastAsia="en-AU"/>
        </w:rPr>
      </w:pPr>
      <w:r>
        <w:rPr>
          <w:lang w:val="en" w:eastAsia="en-AU"/>
        </w:rPr>
        <w:tab/>
      </w:r>
      <w:r w:rsidR="002835CB" w:rsidRPr="002835CB">
        <w:rPr>
          <w:lang w:val="en" w:eastAsia="en-AU"/>
        </w:rPr>
        <w:t>(2)</w:t>
      </w:r>
      <w:r>
        <w:rPr>
          <w:lang w:val="en" w:eastAsia="en-AU"/>
        </w:rPr>
        <w:tab/>
      </w:r>
      <w:r w:rsidR="002835CB" w:rsidRPr="002835CB">
        <w:rPr>
          <w:lang w:val="en" w:eastAsia="en-AU"/>
        </w:rPr>
        <w:t xml:space="preserve">The executive may be convicted of an offence against subsection (1) even if the legal entity has not been proceeded against for, or convicted of, an offence relating to </w:t>
      </w:r>
      <w:r w:rsidR="00EA07E6" w:rsidRPr="003323FC">
        <w:t>the safety duty</w:t>
      </w:r>
      <w:r w:rsidR="002835CB" w:rsidRPr="002835CB">
        <w:rPr>
          <w:lang w:val="en" w:eastAsia="en-AU"/>
        </w:rPr>
        <w:t>.</w:t>
      </w:r>
    </w:p>
    <w:p w14:paraId="6D35850D" w14:textId="77777777" w:rsidR="00EA07E6" w:rsidRDefault="00EA07E6" w:rsidP="00EA07E6">
      <w:pPr>
        <w:pStyle w:val="Amain"/>
        <w:rPr>
          <w:lang w:val="en"/>
        </w:rPr>
      </w:pPr>
      <w:r w:rsidRPr="003323FC">
        <w:tab/>
        <w:t>(2A)</w:t>
      </w:r>
      <w:r w:rsidRPr="003323FC">
        <w:tab/>
      </w:r>
      <w:r>
        <w:rPr>
          <w:lang w:val="en"/>
        </w:rPr>
        <w:t>Subsection (1) does not apply to an executive of the legal entity acting on a voluntary basis, whether or not the executive is reimbursed for the expenses incurred by the executive for carrying out activities for the legal entity.</w:t>
      </w:r>
    </w:p>
    <w:p w14:paraId="393E31A5" w14:textId="77777777" w:rsidR="002835CB" w:rsidRPr="002835CB" w:rsidRDefault="00B86B2C" w:rsidP="00B86B2C">
      <w:pPr>
        <w:pStyle w:val="Amain"/>
        <w:rPr>
          <w:lang w:val="en" w:eastAsia="en-AU"/>
        </w:rPr>
      </w:pPr>
      <w:r>
        <w:rPr>
          <w:lang w:val="en" w:eastAsia="en-AU"/>
        </w:rPr>
        <w:tab/>
      </w:r>
      <w:r w:rsidR="002835CB" w:rsidRPr="002835CB">
        <w:rPr>
          <w:lang w:val="en" w:eastAsia="en-AU"/>
        </w:rPr>
        <w:t>(3)</w:t>
      </w:r>
      <w:r>
        <w:rPr>
          <w:lang w:val="en" w:eastAsia="en-AU"/>
        </w:rPr>
        <w:tab/>
      </w:r>
      <w:r w:rsidR="002835CB" w:rsidRPr="002835CB">
        <w:rPr>
          <w:lang w:val="en" w:eastAsia="en-AU"/>
        </w:rPr>
        <w:t>In this section—</w:t>
      </w:r>
    </w:p>
    <w:p w14:paraId="22036355" w14:textId="77777777" w:rsidR="002835CB" w:rsidRPr="002835CB" w:rsidRDefault="002835CB" w:rsidP="00B86B2C">
      <w:pPr>
        <w:pStyle w:val="aDef"/>
        <w:rPr>
          <w:lang w:val="en" w:eastAsia="en-AU"/>
        </w:rPr>
      </w:pPr>
      <w:r w:rsidRPr="002835CB">
        <w:rPr>
          <w:b/>
          <w:bCs/>
          <w:i/>
          <w:iCs/>
          <w:lang w:val="en" w:eastAsia="en-AU"/>
        </w:rPr>
        <w:t>due diligence</w:t>
      </w:r>
      <w:r w:rsidRPr="002835CB">
        <w:rPr>
          <w:lang w:val="en" w:eastAsia="en-AU"/>
        </w:rPr>
        <w:t xml:space="preserve"> includes taking reasonable steps—</w:t>
      </w:r>
    </w:p>
    <w:p w14:paraId="770665EE" w14:textId="77777777" w:rsidR="002835CB" w:rsidRPr="002835CB" w:rsidRDefault="00B86B2C" w:rsidP="00B86B2C">
      <w:pPr>
        <w:pStyle w:val="aDef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to acquire, and keep up to date, knowledge about the safe conduct of transport activities; and</w:t>
      </w:r>
    </w:p>
    <w:p w14:paraId="4B814230" w14:textId="77777777" w:rsidR="002835CB" w:rsidRPr="002835CB" w:rsidRDefault="00B86B2C" w:rsidP="00B86B2C">
      <w:pPr>
        <w:pStyle w:val="aDef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to gain an understanding of—</w:t>
      </w:r>
    </w:p>
    <w:p w14:paraId="38D5067A" w14:textId="77777777" w:rsidR="002835CB" w:rsidRPr="002835CB" w:rsidRDefault="00B86B2C" w:rsidP="00B86B2C">
      <w:pPr>
        <w:pStyle w:val="aDefsubpara"/>
        <w:rPr>
          <w:lang w:val="en" w:eastAsia="en-AU"/>
        </w:rPr>
      </w:pPr>
      <w:r>
        <w:rPr>
          <w:lang w:val="en" w:eastAsia="en-AU"/>
        </w:rPr>
        <w:tab/>
      </w:r>
      <w:r w:rsidR="002835CB" w:rsidRPr="002835CB">
        <w:rPr>
          <w:lang w:val="en" w:eastAsia="en-AU"/>
        </w:rPr>
        <w:t>(i)</w:t>
      </w:r>
      <w:r>
        <w:rPr>
          <w:lang w:val="en" w:eastAsia="en-AU"/>
        </w:rPr>
        <w:tab/>
      </w:r>
      <w:r w:rsidR="002835CB" w:rsidRPr="002835CB">
        <w:rPr>
          <w:lang w:val="en" w:eastAsia="en-AU"/>
        </w:rPr>
        <w:t>the nature of the legal entity’s transport activities; and</w:t>
      </w:r>
    </w:p>
    <w:p w14:paraId="5F664465" w14:textId="77777777" w:rsidR="002835CB" w:rsidRPr="002835CB" w:rsidRDefault="00B86B2C" w:rsidP="00B86B2C">
      <w:pPr>
        <w:pStyle w:val="aDefsubpara"/>
        <w:rPr>
          <w:lang w:val="en" w:eastAsia="en-AU"/>
        </w:rPr>
      </w:pPr>
      <w:r>
        <w:rPr>
          <w:lang w:val="en" w:eastAsia="en-AU"/>
        </w:rPr>
        <w:tab/>
      </w:r>
      <w:r w:rsidR="002835CB" w:rsidRPr="002835CB">
        <w:rPr>
          <w:lang w:val="en" w:eastAsia="en-AU"/>
        </w:rPr>
        <w:t>(ii)</w:t>
      </w:r>
      <w:r>
        <w:rPr>
          <w:lang w:val="en" w:eastAsia="en-AU"/>
        </w:rPr>
        <w:tab/>
      </w:r>
      <w:r w:rsidR="002835CB" w:rsidRPr="002835CB">
        <w:rPr>
          <w:lang w:val="en" w:eastAsia="en-AU"/>
        </w:rPr>
        <w:t>the hazards and risks, including the public risk, associated with those activities; and</w:t>
      </w:r>
    </w:p>
    <w:p w14:paraId="715ABADE" w14:textId="77777777" w:rsidR="002835CB" w:rsidRPr="002835CB" w:rsidRDefault="00B86B2C" w:rsidP="00B86B2C">
      <w:pPr>
        <w:pStyle w:val="aDef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to ensure the legal entity has, and uses, appropriate resources to eliminate or minimise those hazards and risks; and</w:t>
      </w:r>
    </w:p>
    <w:p w14:paraId="40BFD13B" w14:textId="77777777" w:rsidR="002835CB" w:rsidRPr="002835CB" w:rsidRDefault="00B86B2C" w:rsidP="00B86B2C">
      <w:pPr>
        <w:pStyle w:val="aDefpara"/>
        <w:rPr>
          <w:lang w:val="en" w:eastAsia="en-AU"/>
        </w:rPr>
      </w:pPr>
      <w:r>
        <w:rPr>
          <w:lang w:val="en" w:eastAsia="en-AU"/>
        </w:rPr>
        <w:tab/>
      </w:r>
      <w:r w:rsidR="002835CB" w:rsidRPr="002835CB">
        <w:rPr>
          <w:lang w:val="en" w:eastAsia="en-AU"/>
        </w:rPr>
        <w:t>(d)</w:t>
      </w:r>
      <w:r>
        <w:rPr>
          <w:lang w:val="en" w:eastAsia="en-AU"/>
        </w:rPr>
        <w:tab/>
      </w:r>
      <w:r w:rsidR="002835CB" w:rsidRPr="002835CB">
        <w:rPr>
          <w:lang w:val="en" w:eastAsia="en-AU"/>
        </w:rPr>
        <w:t>to ensure the legal entity has, and implements, processes—</w:t>
      </w:r>
    </w:p>
    <w:p w14:paraId="19CAA492" w14:textId="77777777" w:rsidR="002835CB" w:rsidRPr="002835CB" w:rsidRDefault="00B86B2C" w:rsidP="00B86B2C">
      <w:pPr>
        <w:pStyle w:val="aDefsubpara"/>
        <w:rPr>
          <w:lang w:val="en" w:eastAsia="en-AU"/>
        </w:rPr>
      </w:pPr>
      <w:r>
        <w:rPr>
          <w:lang w:val="en" w:eastAsia="en-AU"/>
        </w:rPr>
        <w:tab/>
      </w:r>
      <w:r w:rsidR="002835CB" w:rsidRPr="002835CB">
        <w:rPr>
          <w:lang w:val="en" w:eastAsia="en-AU"/>
        </w:rPr>
        <w:t>(i)</w:t>
      </w:r>
      <w:r>
        <w:rPr>
          <w:lang w:val="en" w:eastAsia="en-AU"/>
        </w:rPr>
        <w:tab/>
      </w:r>
      <w:r w:rsidR="002835CB" w:rsidRPr="002835CB">
        <w:rPr>
          <w:lang w:val="en" w:eastAsia="en-AU"/>
        </w:rPr>
        <w:t>to eliminate or minimise those hazards and risks; and</w:t>
      </w:r>
    </w:p>
    <w:p w14:paraId="0E182A3E" w14:textId="77777777" w:rsidR="002835CB" w:rsidRPr="002835CB" w:rsidRDefault="00B86B2C" w:rsidP="00B86B2C">
      <w:pPr>
        <w:pStyle w:val="aDefsubpara"/>
        <w:rPr>
          <w:lang w:val="en" w:eastAsia="en-AU"/>
        </w:rPr>
      </w:pPr>
      <w:r>
        <w:rPr>
          <w:lang w:val="en" w:eastAsia="en-AU"/>
        </w:rPr>
        <w:tab/>
      </w:r>
      <w:r w:rsidR="002835CB" w:rsidRPr="002835CB">
        <w:rPr>
          <w:lang w:val="en" w:eastAsia="en-AU"/>
        </w:rPr>
        <w:t>(ii)</w:t>
      </w:r>
      <w:r>
        <w:rPr>
          <w:lang w:val="en" w:eastAsia="en-AU"/>
        </w:rPr>
        <w:tab/>
      </w:r>
      <w:r w:rsidR="002835CB" w:rsidRPr="002835CB">
        <w:rPr>
          <w:lang w:val="en" w:eastAsia="en-AU"/>
        </w:rPr>
        <w:t>for receiving, considering, and responding in a timely way to, information about those hazards and risks and any incidents; and</w:t>
      </w:r>
    </w:p>
    <w:p w14:paraId="50193EA6" w14:textId="77777777" w:rsidR="002835CB" w:rsidRPr="002835CB" w:rsidRDefault="00B86B2C" w:rsidP="00B86B2C">
      <w:pPr>
        <w:pStyle w:val="aDefsubpara"/>
        <w:rPr>
          <w:lang w:val="en" w:eastAsia="en-AU"/>
        </w:rPr>
      </w:pPr>
      <w:r>
        <w:rPr>
          <w:lang w:val="en" w:eastAsia="en-AU"/>
        </w:rPr>
        <w:lastRenderedPageBreak/>
        <w:tab/>
      </w:r>
      <w:r w:rsidR="002835CB" w:rsidRPr="002835CB">
        <w:rPr>
          <w:lang w:val="en" w:eastAsia="en-AU"/>
        </w:rPr>
        <w:t>(iii)</w:t>
      </w:r>
      <w:r>
        <w:rPr>
          <w:lang w:val="en" w:eastAsia="en-AU"/>
        </w:rPr>
        <w:tab/>
      </w:r>
      <w:r w:rsidR="002835CB" w:rsidRPr="002835CB">
        <w:rPr>
          <w:lang w:val="en" w:eastAsia="en-AU"/>
        </w:rPr>
        <w:t xml:space="preserve">for complying with the legal entity’s </w:t>
      </w:r>
      <w:r w:rsidR="009E7AF9">
        <w:rPr>
          <w:lang w:val="en" w:eastAsia="en-AU"/>
        </w:rPr>
        <w:t>safety duties</w:t>
      </w:r>
      <w:r w:rsidR="002835CB" w:rsidRPr="002835CB">
        <w:rPr>
          <w:lang w:val="en" w:eastAsia="en-AU"/>
        </w:rPr>
        <w:t>; and</w:t>
      </w:r>
    </w:p>
    <w:p w14:paraId="738553FF" w14:textId="77777777" w:rsidR="002835CB" w:rsidRPr="002835CB" w:rsidRDefault="00B86B2C" w:rsidP="00B86B2C">
      <w:pPr>
        <w:pStyle w:val="aDefpara"/>
        <w:rPr>
          <w:lang w:val="en" w:eastAsia="en-AU"/>
        </w:rPr>
      </w:pPr>
      <w:r>
        <w:rPr>
          <w:lang w:val="en" w:eastAsia="en-AU"/>
        </w:rPr>
        <w:tab/>
      </w:r>
      <w:r w:rsidR="002835CB" w:rsidRPr="002835CB">
        <w:rPr>
          <w:lang w:val="en" w:eastAsia="en-AU"/>
        </w:rPr>
        <w:t>(e)</w:t>
      </w:r>
      <w:r>
        <w:rPr>
          <w:lang w:val="en" w:eastAsia="en-AU"/>
        </w:rPr>
        <w:tab/>
      </w:r>
      <w:r w:rsidR="002835CB" w:rsidRPr="002835CB">
        <w:rPr>
          <w:lang w:val="en" w:eastAsia="en-AU"/>
        </w:rPr>
        <w:t>to verify the resources and pr</w:t>
      </w:r>
      <w:r w:rsidR="00B22247">
        <w:rPr>
          <w:lang w:val="en" w:eastAsia="en-AU"/>
        </w:rPr>
        <w:t>ocesses mentioned in paragraphs </w:t>
      </w:r>
      <w:r w:rsidR="002835CB" w:rsidRPr="002835CB">
        <w:rPr>
          <w:lang w:val="en" w:eastAsia="en-AU"/>
        </w:rPr>
        <w:t>(c) and (d) are being provided, used and implemented.</w:t>
      </w:r>
    </w:p>
    <w:p w14:paraId="5CF45AD7" w14:textId="77777777" w:rsidR="002835CB" w:rsidRPr="002835CB" w:rsidRDefault="002835CB" w:rsidP="00B86B2C">
      <w:pPr>
        <w:pStyle w:val="aDef"/>
        <w:rPr>
          <w:lang w:val="en" w:eastAsia="en-AU"/>
        </w:rPr>
      </w:pPr>
      <w:r w:rsidRPr="002835CB">
        <w:rPr>
          <w:b/>
          <w:bCs/>
          <w:i/>
          <w:iCs/>
          <w:lang w:val="en" w:eastAsia="en-AU"/>
        </w:rPr>
        <w:t>executive</w:t>
      </w:r>
      <w:r w:rsidRPr="002835CB">
        <w:rPr>
          <w:lang w:val="en" w:eastAsia="en-AU"/>
        </w:rPr>
        <w:t>, of a legal entity, means—</w:t>
      </w:r>
    </w:p>
    <w:p w14:paraId="254DD807" w14:textId="77777777" w:rsidR="002835CB" w:rsidRPr="002835CB" w:rsidRDefault="00B86B2C" w:rsidP="00B86B2C">
      <w:pPr>
        <w:pStyle w:val="aDef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for a corporation—an executive officer of the corporation; or</w:t>
      </w:r>
    </w:p>
    <w:p w14:paraId="366549ED" w14:textId="77777777" w:rsidR="002835CB" w:rsidRPr="002835CB" w:rsidRDefault="00B86B2C" w:rsidP="00B86B2C">
      <w:pPr>
        <w:pStyle w:val="aDef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for an unincorporated partnership—a partner in the partnership; or</w:t>
      </w:r>
    </w:p>
    <w:p w14:paraId="66D1EA94" w14:textId="77777777" w:rsidR="002835CB" w:rsidRPr="002835CB" w:rsidRDefault="00B86B2C" w:rsidP="00B86B2C">
      <w:pPr>
        <w:pStyle w:val="aDef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for an unincorporated body—a management member of the body.</w:t>
      </w:r>
    </w:p>
    <w:p w14:paraId="1E2115AC" w14:textId="77777777" w:rsidR="002835CB" w:rsidRPr="002835CB" w:rsidRDefault="002835CB" w:rsidP="00FC4B10">
      <w:pPr>
        <w:pStyle w:val="aDef"/>
        <w:rPr>
          <w:lang w:val="en" w:eastAsia="en-AU"/>
        </w:rPr>
      </w:pPr>
      <w:r w:rsidRPr="00FC4B10">
        <w:rPr>
          <w:rStyle w:val="charBoldItals"/>
        </w:rPr>
        <w:t>legal entity</w:t>
      </w:r>
      <w:r w:rsidRPr="002835CB">
        <w:rPr>
          <w:lang w:val="en" w:eastAsia="en-AU"/>
        </w:rPr>
        <w:t xml:space="preserve"> means—</w:t>
      </w:r>
    </w:p>
    <w:p w14:paraId="76491C28" w14:textId="77777777" w:rsidR="002835CB" w:rsidRPr="002835CB" w:rsidRDefault="00FC4B10" w:rsidP="00FC4B10">
      <w:pPr>
        <w:pStyle w:val="aDef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a corporation; or</w:t>
      </w:r>
    </w:p>
    <w:p w14:paraId="6DCA1EF8" w14:textId="77777777" w:rsidR="002835CB" w:rsidRPr="002835CB" w:rsidRDefault="00FC4B10" w:rsidP="00FC4B10">
      <w:pPr>
        <w:pStyle w:val="aDef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an unincorporated partnership; or</w:t>
      </w:r>
    </w:p>
    <w:p w14:paraId="7E12F46B" w14:textId="77777777" w:rsidR="002835CB" w:rsidRPr="002835CB" w:rsidRDefault="00FC4B10" w:rsidP="00FC4B10">
      <w:pPr>
        <w:pStyle w:val="aDef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an unincorporated body.</w:t>
      </w:r>
    </w:p>
    <w:p w14:paraId="3837B577" w14:textId="77777777" w:rsidR="002835CB" w:rsidRPr="002835CB" w:rsidRDefault="002835CB" w:rsidP="00FC4B10">
      <w:pPr>
        <w:pStyle w:val="AH5Sec"/>
        <w:rPr>
          <w:lang w:val="en" w:eastAsia="en-AU"/>
        </w:rPr>
      </w:pPr>
      <w:bookmarkStart w:id="45" w:name="_Toc83625389"/>
      <w:r w:rsidRPr="005E03F7">
        <w:rPr>
          <w:rStyle w:val="CharSectNo"/>
        </w:rPr>
        <w:t>26E</w:t>
      </w:r>
      <w:r w:rsidR="00FC4B10">
        <w:tab/>
      </w:r>
      <w:r w:rsidRPr="002835CB">
        <w:rPr>
          <w:lang w:val="en" w:eastAsia="en-AU"/>
        </w:rPr>
        <w:t>Prohibited requests and contracts</w:t>
      </w:r>
      <w:bookmarkEnd w:id="45"/>
    </w:p>
    <w:p w14:paraId="4C39752A" w14:textId="77777777" w:rsidR="002835CB" w:rsidRPr="002835CB" w:rsidRDefault="00FC4B10" w:rsidP="00FC4B10">
      <w:pPr>
        <w:pStyle w:val="Amain"/>
        <w:rPr>
          <w:lang w:val="en" w:eastAsia="en-AU"/>
        </w:rPr>
      </w:pPr>
      <w:r>
        <w:rPr>
          <w:lang w:val="en" w:eastAsia="en-AU"/>
        </w:rPr>
        <w:tab/>
      </w:r>
      <w:r w:rsidR="002835CB" w:rsidRPr="002835CB">
        <w:rPr>
          <w:lang w:val="en" w:eastAsia="en-AU"/>
        </w:rPr>
        <w:t>(1)</w:t>
      </w:r>
      <w:r>
        <w:rPr>
          <w:lang w:val="en" w:eastAsia="en-AU"/>
        </w:rPr>
        <w:tab/>
      </w:r>
      <w:r w:rsidR="002835CB" w:rsidRPr="002835CB">
        <w:rPr>
          <w:lang w:val="en" w:eastAsia="en-AU"/>
        </w:rPr>
        <w:t>A person must not ask, direct or require (directly or indirectly) the driver of a heavy vehicle or a party in the chain of responsibility to do or not do something the person knows, or ought reasonably to know, would have the effect of causing the driver—</w:t>
      </w:r>
    </w:p>
    <w:p w14:paraId="5350AB6A" w14:textId="77777777" w:rsidR="002835CB" w:rsidRPr="002835CB" w:rsidRDefault="00FC4B10" w:rsidP="00FC4B10">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to exceed a speed limit applying to the driver; or</w:t>
      </w:r>
    </w:p>
    <w:p w14:paraId="58CCF592" w14:textId="77777777" w:rsidR="002835CB" w:rsidRPr="002835CB" w:rsidRDefault="00FC4B10" w:rsidP="00FC4B10">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to drive a fatigue-regulated heavy vehicle while impaired by fatigue; or</w:t>
      </w:r>
    </w:p>
    <w:p w14:paraId="49F5C9BD" w14:textId="77777777" w:rsidR="002835CB" w:rsidRPr="002835CB" w:rsidRDefault="00FC4B10" w:rsidP="00FC4B10">
      <w:pPr>
        <w:pStyle w:val="A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to drive a fatigue-regulated heavy vehicle while in breach of the driver’s work and rest hours option; or</w:t>
      </w:r>
    </w:p>
    <w:p w14:paraId="7549407B" w14:textId="77777777" w:rsidR="002835CB" w:rsidRPr="002835CB" w:rsidRDefault="00FC4B10" w:rsidP="008C2E76">
      <w:pPr>
        <w:pStyle w:val="Apara"/>
        <w:keepNext/>
        <w:rPr>
          <w:lang w:val="en" w:eastAsia="en-AU"/>
        </w:rPr>
      </w:pPr>
      <w:r>
        <w:rPr>
          <w:lang w:val="en" w:eastAsia="en-AU"/>
        </w:rPr>
        <w:lastRenderedPageBreak/>
        <w:tab/>
      </w:r>
      <w:r w:rsidR="002835CB" w:rsidRPr="002835CB">
        <w:rPr>
          <w:lang w:val="en" w:eastAsia="en-AU"/>
        </w:rPr>
        <w:t>(d)</w:t>
      </w:r>
      <w:r>
        <w:rPr>
          <w:lang w:val="en" w:eastAsia="en-AU"/>
        </w:rPr>
        <w:tab/>
      </w:r>
      <w:r w:rsidR="002835CB" w:rsidRPr="002835CB">
        <w:rPr>
          <w:lang w:val="en" w:eastAsia="en-AU"/>
        </w:rPr>
        <w:t>to drive a fatigue-regulated heavy vehicle in breach of another law in order to avoid driving while impaired by fatigue or while in breach of the driver’s work and rest hours option.</w:t>
      </w:r>
    </w:p>
    <w:p w14:paraId="163BB34F" w14:textId="77777777" w:rsidR="002835CB" w:rsidRPr="002835CB" w:rsidRDefault="002835CB" w:rsidP="00FC4B10">
      <w:pPr>
        <w:pStyle w:val="Penalty"/>
        <w:rPr>
          <w:lang w:val="en" w:eastAsia="en-AU"/>
        </w:rPr>
      </w:pPr>
      <w:r w:rsidRPr="002835CB">
        <w:rPr>
          <w:lang w:val="en" w:eastAsia="en-AU"/>
        </w:rPr>
        <w:t>Maximum penalty—$10000.</w:t>
      </w:r>
    </w:p>
    <w:p w14:paraId="0B5AA4A9" w14:textId="77777777" w:rsidR="002835CB" w:rsidRPr="002835CB" w:rsidRDefault="00FC4B10" w:rsidP="00FC4B10">
      <w:pPr>
        <w:pStyle w:val="Amain"/>
        <w:rPr>
          <w:lang w:val="en" w:eastAsia="en-AU"/>
        </w:rPr>
      </w:pPr>
      <w:r>
        <w:rPr>
          <w:lang w:val="en" w:eastAsia="en-AU"/>
        </w:rPr>
        <w:tab/>
      </w:r>
      <w:r w:rsidR="002835CB" w:rsidRPr="002835CB">
        <w:rPr>
          <w:lang w:val="en" w:eastAsia="en-AU"/>
        </w:rPr>
        <w:t>(2)</w:t>
      </w:r>
      <w:r>
        <w:rPr>
          <w:lang w:val="en" w:eastAsia="en-AU"/>
        </w:rPr>
        <w:tab/>
      </w:r>
      <w:r w:rsidR="002835CB" w:rsidRPr="002835CB">
        <w:rPr>
          <w:lang w:val="en" w:eastAsia="en-AU"/>
        </w:rPr>
        <w:t>A person must not enter into a contract with the driver of a heavy vehicle or a party in the chain of responsibility that the person knows, or ought reasonably to know, would have the effect of causing the driver, or would encourage the driver, or would encourage a party in the chain of responsibility to cause the driver—</w:t>
      </w:r>
    </w:p>
    <w:p w14:paraId="2F6B9B65" w14:textId="77777777" w:rsidR="002835CB" w:rsidRPr="002835CB" w:rsidRDefault="00FC4B10" w:rsidP="00FC4B10">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to exceed a speed limit applying to the driver; or</w:t>
      </w:r>
    </w:p>
    <w:p w14:paraId="4E354DC7" w14:textId="77777777" w:rsidR="002835CB" w:rsidRPr="002835CB" w:rsidRDefault="00FC4B10" w:rsidP="00FC4B10">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to drive a fatigue-regulated heavy vehicle while impaired by fatigue; or</w:t>
      </w:r>
    </w:p>
    <w:p w14:paraId="6DF5AE32" w14:textId="77777777" w:rsidR="002835CB" w:rsidRPr="002835CB" w:rsidRDefault="00FC4B10" w:rsidP="00FC4B10">
      <w:pPr>
        <w:pStyle w:val="A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to drive a fatigue-regulated heavy vehicle while in breach of the driver’s work and rest hours option; or</w:t>
      </w:r>
    </w:p>
    <w:p w14:paraId="0528AB61" w14:textId="77777777" w:rsidR="002835CB" w:rsidRPr="002835CB" w:rsidRDefault="00FC4B10" w:rsidP="00FC4B10">
      <w:pPr>
        <w:pStyle w:val="Apara"/>
        <w:rPr>
          <w:lang w:val="en" w:eastAsia="en-AU"/>
        </w:rPr>
      </w:pPr>
      <w:r>
        <w:rPr>
          <w:lang w:val="en" w:eastAsia="en-AU"/>
        </w:rPr>
        <w:tab/>
      </w:r>
      <w:r w:rsidR="002835CB" w:rsidRPr="002835CB">
        <w:rPr>
          <w:lang w:val="en" w:eastAsia="en-AU"/>
        </w:rPr>
        <w:t>(d)</w:t>
      </w:r>
      <w:r>
        <w:rPr>
          <w:lang w:val="en" w:eastAsia="en-AU"/>
        </w:rPr>
        <w:tab/>
      </w:r>
      <w:r w:rsidR="002835CB" w:rsidRPr="002835CB">
        <w:rPr>
          <w:lang w:val="en" w:eastAsia="en-AU"/>
        </w:rPr>
        <w:t>to drive a fatigue-regulated heavy vehicle in breach of another law in order to avoid driving while impaired by fatigue or while in breach of the driver’s work and rest hours option.</w:t>
      </w:r>
    </w:p>
    <w:p w14:paraId="04435B6B" w14:textId="77777777" w:rsidR="002835CB" w:rsidRPr="002835CB" w:rsidRDefault="002835CB" w:rsidP="00FC4B10">
      <w:pPr>
        <w:pStyle w:val="Penalty"/>
        <w:rPr>
          <w:lang w:val="en" w:eastAsia="en-AU"/>
        </w:rPr>
      </w:pPr>
      <w:r w:rsidRPr="002835CB">
        <w:rPr>
          <w:lang w:val="en" w:eastAsia="en-AU"/>
        </w:rPr>
        <w:t>Maximum penalty—$10000.</w:t>
      </w:r>
    </w:p>
    <w:p w14:paraId="2716CDAC" w14:textId="77777777" w:rsidR="002835CB" w:rsidRPr="002835CB" w:rsidRDefault="002835CB" w:rsidP="00FC4B10">
      <w:pPr>
        <w:pStyle w:val="aNote"/>
        <w:rPr>
          <w:lang w:val="en" w:eastAsia="en-AU"/>
        </w:rPr>
      </w:pPr>
      <w:r w:rsidRPr="001137FD">
        <w:rPr>
          <w:rStyle w:val="charItals"/>
        </w:rPr>
        <w:t>Note</w:t>
      </w:r>
      <w:r w:rsidRPr="002835CB">
        <w:rPr>
          <w:lang w:val="en" w:eastAsia="en-AU"/>
        </w:rPr>
        <w:t>—</w:t>
      </w:r>
    </w:p>
    <w:p w14:paraId="30DD02FF" w14:textId="77777777" w:rsidR="002835CB" w:rsidRPr="002835CB" w:rsidRDefault="002835CB" w:rsidP="001137FD">
      <w:pPr>
        <w:pStyle w:val="aNoteTextss"/>
        <w:rPr>
          <w:lang w:val="en" w:eastAsia="en-AU"/>
        </w:rPr>
      </w:pPr>
      <w:r w:rsidRPr="002835CB">
        <w:rPr>
          <w:lang w:val="en" w:eastAsia="en-AU"/>
        </w:rPr>
        <w:t>See section 632 for the matters a court may consider when deciding whether a person ought reasonably to have known something.</w:t>
      </w:r>
    </w:p>
    <w:p w14:paraId="29C8BD5D" w14:textId="77777777" w:rsidR="00C00E28" w:rsidRPr="00C00E28" w:rsidRDefault="00C00E28" w:rsidP="00C00E28">
      <w:pPr>
        <w:pStyle w:val="PageBreak"/>
      </w:pPr>
      <w:r w:rsidRPr="00C00E28">
        <w:br w:type="page"/>
      </w:r>
    </w:p>
    <w:p w14:paraId="151572A1" w14:textId="77777777" w:rsidR="002835CB" w:rsidRPr="005E03F7" w:rsidRDefault="002835CB" w:rsidP="001137FD">
      <w:pPr>
        <w:pStyle w:val="AH2Part"/>
      </w:pPr>
      <w:bookmarkStart w:id="46" w:name="_Toc83625390"/>
      <w:r w:rsidRPr="005E03F7">
        <w:rPr>
          <w:rStyle w:val="CharPartNo"/>
        </w:rPr>
        <w:lastRenderedPageBreak/>
        <w:t>Part 1A.3</w:t>
      </w:r>
      <w:r w:rsidR="001137FD">
        <w:rPr>
          <w:lang w:val="en" w:eastAsia="en-AU"/>
        </w:rPr>
        <w:tab/>
      </w:r>
      <w:r w:rsidRPr="005E03F7">
        <w:rPr>
          <w:rStyle w:val="CharPartText"/>
          <w:lang w:val="en" w:eastAsia="en-AU"/>
        </w:rPr>
        <w:t>Failing to comply with duty</w:t>
      </w:r>
      <w:bookmarkEnd w:id="46"/>
    </w:p>
    <w:p w14:paraId="72DB35CB" w14:textId="77777777" w:rsidR="002835CB" w:rsidRPr="002835CB" w:rsidRDefault="002835CB" w:rsidP="001137FD">
      <w:pPr>
        <w:pStyle w:val="AH5Sec"/>
        <w:rPr>
          <w:lang w:val="en" w:eastAsia="en-AU"/>
        </w:rPr>
      </w:pPr>
      <w:bookmarkStart w:id="47" w:name="_Toc83625391"/>
      <w:r w:rsidRPr="005E03F7">
        <w:rPr>
          <w:rStyle w:val="CharSectNo"/>
        </w:rPr>
        <w:t>26F</w:t>
      </w:r>
      <w:r w:rsidR="001137FD">
        <w:rPr>
          <w:sz w:val="2"/>
          <w:szCs w:val="2"/>
          <w:lang w:val="en" w:eastAsia="en-AU"/>
        </w:rPr>
        <w:tab/>
      </w:r>
      <w:r w:rsidRPr="002835CB">
        <w:rPr>
          <w:lang w:val="en" w:eastAsia="en-AU"/>
        </w:rPr>
        <w:t>Category 1 offence</w:t>
      </w:r>
      <w:bookmarkEnd w:id="47"/>
    </w:p>
    <w:p w14:paraId="5EABAC7F" w14:textId="77777777" w:rsidR="002835CB" w:rsidRPr="002835CB" w:rsidRDefault="001137FD" w:rsidP="001137FD">
      <w:pPr>
        <w:pStyle w:val="Amain"/>
        <w:rPr>
          <w:lang w:val="en" w:eastAsia="en-AU"/>
        </w:rPr>
      </w:pPr>
      <w:r>
        <w:rPr>
          <w:lang w:val="en" w:eastAsia="en-AU"/>
        </w:rPr>
        <w:tab/>
      </w:r>
      <w:r w:rsidR="002835CB" w:rsidRPr="002835CB">
        <w:rPr>
          <w:lang w:val="en" w:eastAsia="en-AU"/>
        </w:rPr>
        <w:t>(1)</w:t>
      </w:r>
      <w:r>
        <w:rPr>
          <w:lang w:val="en" w:eastAsia="en-AU"/>
        </w:rPr>
        <w:tab/>
      </w:r>
      <w:r w:rsidR="002835CB" w:rsidRPr="002835CB">
        <w:rPr>
          <w:lang w:val="en" w:eastAsia="en-AU"/>
        </w:rPr>
        <w:t>A person commits an offence if—</w:t>
      </w:r>
    </w:p>
    <w:p w14:paraId="7B0578CC" w14:textId="77777777" w:rsidR="002835CB" w:rsidRPr="002835CB" w:rsidRDefault="001137FD" w:rsidP="001137FD">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the person has a duty under section 26C; and</w:t>
      </w:r>
    </w:p>
    <w:p w14:paraId="1BF82332" w14:textId="77777777" w:rsidR="002835CB" w:rsidRPr="002835CB" w:rsidRDefault="001137FD" w:rsidP="001137FD">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the person, without a reasonable excuse, engages in conduct related to the duty that exposes an individual to a risk of death or serious injury or illness; and</w:t>
      </w:r>
    </w:p>
    <w:p w14:paraId="196AFD06" w14:textId="77777777" w:rsidR="002835CB" w:rsidRPr="002835CB" w:rsidRDefault="001137FD" w:rsidP="001137FD">
      <w:pPr>
        <w:pStyle w:val="A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the person is reckless as to the risk.</w:t>
      </w:r>
    </w:p>
    <w:p w14:paraId="38798A13" w14:textId="77777777" w:rsidR="002835CB" w:rsidRPr="002835CB" w:rsidRDefault="002835CB" w:rsidP="001137FD">
      <w:pPr>
        <w:pStyle w:val="Penalty"/>
        <w:rPr>
          <w:lang w:val="en" w:eastAsia="en-AU"/>
        </w:rPr>
      </w:pPr>
      <w:r w:rsidRPr="002835CB">
        <w:rPr>
          <w:lang w:val="en" w:eastAsia="en-AU"/>
        </w:rPr>
        <w:t>Maximum penalty—</w:t>
      </w:r>
    </w:p>
    <w:p w14:paraId="29B2CBE7" w14:textId="77777777" w:rsidR="002835CB" w:rsidRPr="002835CB" w:rsidRDefault="001137FD" w:rsidP="001137FD">
      <w:pPr>
        <w:pStyle w:val="Penalty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if an individual commits the offence—$300000 or 5 years imprisonment or both; or</w:t>
      </w:r>
    </w:p>
    <w:p w14:paraId="4B451DF5" w14:textId="77777777" w:rsidR="002835CB" w:rsidRPr="002835CB" w:rsidRDefault="001137FD" w:rsidP="001137FD">
      <w:pPr>
        <w:pStyle w:val="Penalty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if a corporation commits the offence—$3000000.</w:t>
      </w:r>
    </w:p>
    <w:p w14:paraId="359B0CF5" w14:textId="77777777" w:rsidR="002835CB" w:rsidRPr="002835CB" w:rsidRDefault="001137FD" w:rsidP="001137FD">
      <w:pPr>
        <w:pStyle w:val="Amain"/>
        <w:rPr>
          <w:lang w:val="en" w:eastAsia="en-AU"/>
        </w:rPr>
      </w:pPr>
      <w:r>
        <w:rPr>
          <w:lang w:val="en" w:eastAsia="en-AU"/>
        </w:rPr>
        <w:tab/>
      </w:r>
      <w:r w:rsidR="002835CB" w:rsidRPr="002835CB">
        <w:rPr>
          <w:lang w:val="en" w:eastAsia="en-AU"/>
        </w:rPr>
        <w:t>(2)</w:t>
      </w:r>
      <w:r>
        <w:rPr>
          <w:lang w:val="en" w:eastAsia="en-AU"/>
        </w:rPr>
        <w:tab/>
      </w:r>
      <w:r w:rsidR="002835CB" w:rsidRPr="002835CB">
        <w:rPr>
          <w:lang w:val="en" w:eastAsia="en-AU"/>
        </w:rPr>
        <w:t>The prosecution bears the burden of proving that the conduct was engaged in without reasonable excuse.</w:t>
      </w:r>
    </w:p>
    <w:p w14:paraId="184CDB63" w14:textId="77777777" w:rsidR="002835CB" w:rsidRPr="002835CB" w:rsidRDefault="002835CB" w:rsidP="001137FD">
      <w:pPr>
        <w:pStyle w:val="AH5Sec"/>
        <w:rPr>
          <w:lang w:val="en" w:eastAsia="en-AU"/>
        </w:rPr>
      </w:pPr>
      <w:bookmarkStart w:id="48" w:name="_Toc83625392"/>
      <w:r w:rsidRPr="005E03F7">
        <w:rPr>
          <w:rStyle w:val="CharSectNo"/>
        </w:rPr>
        <w:t>26G</w:t>
      </w:r>
      <w:r w:rsidR="001137FD">
        <w:tab/>
      </w:r>
      <w:r w:rsidRPr="002835CB">
        <w:rPr>
          <w:lang w:val="en" w:eastAsia="en-AU"/>
        </w:rPr>
        <w:t>Category 2 offence</w:t>
      </w:r>
      <w:bookmarkEnd w:id="48"/>
    </w:p>
    <w:p w14:paraId="57892A46" w14:textId="77777777" w:rsidR="002835CB" w:rsidRPr="002835CB" w:rsidRDefault="002835CB" w:rsidP="001137FD">
      <w:pPr>
        <w:pStyle w:val="Amainreturn"/>
        <w:rPr>
          <w:lang w:val="en" w:eastAsia="en-AU"/>
        </w:rPr>
      </w:pPr>
      <w:r w:rsidRPr="002835CB">
        <w:rPr>
          <w:lang w:val="en" w:eastAsia="en-AU"/>
        </w:rPr>
        <w:t>A person commits an offence if—</w:t>
      </w:r>
    </w:p>
    <w:p w14:paraId="442799F1" w14:textId="77777777" w:rsidR="002835CB" w:rsidRPr="002835CB" w:rsidRDefault="001137FD" w:rsidP="001137FD">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the person has a duty under section 26C; and</w:t>
      </w:r>
    </w:p>
    <w:p w14:paraId="3E499C93" w14:textId="77777777" w:rsidR="002835CB" w:rsidRPr="002835CB" w:rsidRDefault="001137FD" w:rsidP="001137FD">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the person contravenes the duty; and</w:t>
      </w:r>
    </w:p>
    <w:p w14:paraId="29088E11" w14:textId="77777777" w:rsidR="002835CB" w:rsidRPr="002835CB" w:rsidRDefault="001137FD" w:rsidP="001137FD">
      <w:pPr>
        <w:pStyle w:val="A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the person’s contravention exposes an individual, or class of individuals, to a risk of death or serious injury or illness.</w:t>
      </w:r>
    </w:p>
    <w:p w14:paraId="483EF3C6" w14:textId="77777777" w:rsidR="002835CB" w:rsidRPr="002835CB" w:rsidRDefault="002835CB" w:rsidP="001137FD">
      <w:pPr>
        <w:pStyle w:val="Penalty"/>
        <w:rPr>
          <w:lang w:val="en" w:eastAsia="en-AU"/>
        </w:rPr>
      </w:pPr>
      <w:r w:rsidRPr="002835CB">
        <w:rPr>
          <w:lang w:val="en" w:eastAsia="en-AU"/>
        </w:rPr>
        <w:t>Maximum penalty—</w:t>
      </w:r>
    </w:p>
    <w:p w14:paraId="321AC55A" w14:textId="77777777" w:rsidR="002835CB" w:rsidRPr="002835CB" w:rsidRDefault="001137FD" w:rsidP="001137FD">
      <w:pPr>
        <w:pStyle w:val="Penalty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if an individual commits the offence—$150000; or</w:t>
      </w:r>
    </w:p>
    <w:p w14:paraId="4811E00B" w14:textId="77777777" w:rsidR="002835CB" w:rsidRPr="002835CB" w:rsidRDefault="001137FD" w:rsidP="001137FD">
      <w:pPr>
        <w:pStyle w:val="Penalty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if a corporation commits the offence—$1500000.</w:t>
      </w:r>
    </w:p>
    <w:p w14:paraId="70CCD15F" w14:textId="77777777" w:rsidR="002835CB" w:rsidRPr="002835CB" w:rsidRDefault="002835CB" w:rsidP="001137FD">
      <w:pPr>
        <w:pStyle w:val="AH5Sec"/>
        <w:rPr>
          <w:lang w:val="en" w:eastAsia="en-AU"/>
        </w:rPr>
      </w:pPr>
      <w:bookmarkStart w:id="49" w:name="_Toc83625393"/>
      <w:r w:rsidRPr="005E03F7">
        <w:rPr>
          <w:rStyle w:val="CharSectNo"/>
        </w:rPr>
        <w:lastRenderedPageBreak/>
        <w:t>26H</w:t>
      </w:r>
      <w:r w:rsidR="001137FD">
        <w:tab/>
      </w:r>
      <w:r w:rsidRPr="002835CB">
        <w:rPr>
          <w:lang w:val="en" w:eastAsia="en-AU"/>
        </w:rPr>
        <w:t>Category 3 offence</w:t>
      </w:r>
      <w:bookmarkEnd w:id="49"/>
    </w:p>
    <w:p w14:paraId="7C891F5F" w14:textId="77777777" w:rsidR="002835CB" w:rsidRPr="002835CB" w:rsidRDefault="002835CB" w:rsidP="00C00E28">
      <w:pPr>
        <w:pStyle w:val="Amainreturn"/>
        <w:keepNext/>
        <w:rPr>
          <w:lang w:val="en" w:eastAsia="en-AU"/>
        </w:rPr>
      </w:pPr>
      <w:r w:rsidRPr="002835CB">
        <w:rPr>
          <w:lang w:val="en" w:eastAsia="en-AU"/>
        </w:rPr>
        <w:t>A person commits an offence if—</w:t>
      </w:r>
    </w:p>
    <w:p w14:paraId="33857513" w14:textId="77777777" w:rsidR="002835CB" w:rsidRPr="002835CB" w:rsidRDefault="001137FD" w:rsidP="001137FD">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the person has a duty under section 26C; and</w:t>
      </w:r>
    </w:p>
    <w:p w14:paraId="21E93398" w14:textId="77777777" w:rsidR="002835CB" w:rsidRPr="002835CB" w:rsidRDefault="001137FD" w:rsidP="001137FD">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the person contravenes the duty.</w:t>
      </w:r>
    </w:p>
    <w:p w14:paraId="0A6D11F5" w14:textId="77777777" w:rsidR="002835CB" w:rsidRPr="002835CB" w:rsidRDefault="002835CB" w:rsidP="001137FD">
      <w:pPr>
        <w:pStyle w:val="Penalty"/>
        <w:rPr>
          <w:lang w:val="en" w:eastAsia="en-AU"/>
        </w:rPr>
      </w:pPr>
      <w:r w:rsidRPr="002835CB">
        <w:rPr>
          <w:lang w:val="en" w:eastAsia="en-AU"/>
        </w:rPr>
        <w:t>Maximum penalty—</w:t>
      </w:r>
    </w:p>
    <w:p w14:paraId="15569F46" w14:textId="77777777" w:rsidR="002835CB" w:rsidRPr="002835CB" w:rsidRDefault="001137FD" w:rsidP="001137FD">
      <w:pPr>
        <w:pStyle w:val="Penalty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if an individual commits the offence—$50000; or</w:t>
      </w:r>
    </w:p>
    <w:p w14:paraId="37290DE8" w14:textId="77777777" w:rsidR="002835CB" w:rsidRPr="002835CB" w:rsidRDefault="001137FD" w:rsidP="001137FD">
      <w:pPr>
        <w:pStyle w:val="Penalty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if a corporation commits the offence—$500000.</w:t>
      </w:r>
    </w:p>
    <w:p w14:paraId="3D075014" w14:textId="77777777" w:rsidR="00DB6E47" w:rsidRPr="003D647F" w:rsidRDefault="00DB6E47" w:rsidP="00DB6E47">
      <w:pPr>
        <w:pStyle w:val="PageBreak"/>
      </w:pPr>
      <w:r w:rsidRPr="003D647F">
        <w:br w:type="page"/>
      </w:r>
    </w:p>
    <w:p w14:paraId="5C97DE17" w14:textId="77777777" w:rsidR="00DB6E47" w:rsidRPr="005E03F7" w:rsidRDefault="00DB6E47" w:rsidP="00DB6E47">
      <w:pPr>
        <w:pStyle w:val="AH1Chapter"/>
      </w:pPr>
      <w:bookmarkStart w:id="50" w:name="_Toc83625394"/>
      <w:r w:rsidRPr="005E03F7">
        <w:rPr>
          <w:rStyle w:val="CharChapNo"/>
        </w:rPr>
        <w:lastRenderedPageBreak/>
        <w:t>Chapter 3</w:t>
      </w:r>
      <w:r w:rsidRPr="00A95F9A">
        <w:rPr>
          <w:rFonts w:ascii="Helvetica" w:hAnsi="Helvetica" w:cs="Helvetica"/>
          <w:iCs/>
          <w:sz w:val="36"/>
          <w:szCs w:val="36"/>
        </w:rPr>
        <w:tab/>
      </w:r>
      <w:r w:rsidRPr="005E03F7">
        <w:rPr>
          <w:rStyle w:val="CharChapText"/>
          <w:rFonts w:ascii="Helvetica" w:hAnsi="Helvetica" w:cs="Helvetica"/>
          <w:iCs/>
          <w:sz w:val="36"/>
          <w:szCs w:val="36"/>
        </w:rPr>
        <w:t>Vehicle operations—standards and safety</w:t>
      </w:r>
      <w:bookmarkEnd w:id="50"/>
    </w:p>
    <w:p w14:paraId="492FF57E" w14:textId="77777777" w:rsidR="00DB6E47" w:rsidRPr="005E03F7" w:rsidRDefault="00DB6E47" w:rsidP="00DB6E47">
      <w:pPr>
        <w:pStyle w:val="AH2Part"/>
      </w:pPr>
      <w:bookmarkStart w:id="51" w:name="_Toc83625395"/>
      <w:r w:rsidRPr="005E03F7">
        <w:rPr>
          <w:rStyle w:val="CharPartNo"/>
        </w:rPr>
        <w:t>Part 3.1</w:t>
      </w:r>
      <w:r w:rsidRPr="00A95F9A">
        <w:rPr>
          <w:rFonts w:ascii="Helvetica" w:hAnsi="Helvetica" w:cs="Helvetica"/>
          <w:iCs/>
          <w:szCs w:val="32"/>
        </w:rPr>
        <w:tab/>
      </w:r>
      <w:r w:rsidRPr="005E03F7">
        <w:rPr>
          <w:rStyle w:val="CharPartText"/>
          <w:rFonts w:ascii="Helvetica" w:hAnsi="Helvetica" w:cs="Helvetica"/>
          <w:iCs/>
          <w:szCs w:val="32"/>
        </w:rPr>
        <w:t>Preliminary</w:t>
      </w:r>
      <w:bookmarkEnd w:id="51"/>
    </w:p>
    <w:p w14:paraId="4FE9B425" w14:textId="77777777" w:rsidR="00DB6E47" w:rsidRPr="007E1F9A" w:rsidRDefault="00DB6E47" w:rsidP="00DB6E47">
      <w:pPr>
        <w:pStyle w:val="AH5Sec"/>
      </w:pPr>
      <w:bookmarkStart w:id="52" w:name="_Toc83625396"/>
      <w:r w:rsidRPr="005E03F7">
        <w:rPr>
          <w:rStyle w:val="CharSectNo"/>
        </w:rPr>
        <w:t>58</w:t>
      </w:r>
      <w:r w:rsidRPr="007E1F9A">
        <w:tab/>
        <w:t>Main purpose of Ch 3</w:t>
      </w:r>
      <w:bookmarkEnd w:id="52"/>
    </w:p>
    <w:p w14:paraId="53B0D352" w14:textId="77777777" w:rsidR="00DB6E47" w:rsidRPr="00DA68DB" w:rsidRDefault="00DB6E47" w:rsidP="00DB6E47">
      <w:pPr>
        <w:pStyle w:val="Amainreturn"/>
      </w:pPr>
      <w:r w:rsidRPr="00DA68DB">
        <w:t>The main purpose of this Chapter is to ensure heavy vehicles used on roads are of a standard and in a condition that prevents or minimises safety risks.</w:t>
      </w:r>
    </w:p>
    <w:p w14:paraId="41A7CF80" w14:textId="77777777" w:rsidR="00DB6E47" w:rsidRPr="003D647F" w:rsidRDefault="00DB6E47" w:rsidP="00DB6E47">
      <w:pPr>
        <w:pStyle w:val="PageBreak"/>
      </w:pPr>
      <w:r w:rsidRPr="003D647F">
        <w:br w:type="page"/>
      </w:r>
    </w:p>
    <w:p w14:paraId="5DD02BC1" w14:textId="77777777" w:rsidR="00DB6E47" w:rsidRPr="005E03F7" w:rsidRDefault="00DB6E47" w:rsidP="00DB6E47">
      <w:pPr>
        <w:pStyle w:val="AH2Part"/>
      </w:pPr>
      <w:bookmarkStart w:id="53" w:name="_Toc83625397"/>
      <w:r w:rsidRPr="005E03F7">
        <w:rPr>
          <w:rStyle w:val="CharPartNo"/>
        </w:rPr>
        <w:lastRenderedPageBreak/>
        <w:t>Part 3.2</w:t>
      </w:r>
      <w:r w:rsidRPr="00A95F9A">
        <w:rPr>
          <w:rFonts w:ascii="Helvetica" w:hAnsi="Helvetica" w:cs="Helvetica"/>
          <w:iCs/>
          <w:szCs w:val="32"/>
        </w:rPr>
        <w:tab/>
      </w:r>
      <w:r w:rsidRPr="005E03F7">
        <w:rPr>
          <w:rStyle w:val="CharPartText"/>
          <w:rFonts w:ascii="Helvetica" w:hAnsi="Helvetica" w:cs="Helvetica"/>
          <w:iCs/>
          <w:szCs w:val="32"/>
        </w:rPr>
        <w:t>Compliance with heavy vehicle standards</w:t>
      </w:r>
      <w:bookmarkEnd w:id="53"/>
    </w:p>
    <w:p w14:paraId="162B652E" w14:textId="77777777" w:rsidR="00DB6E47" w:rsidRPr="005E03F7" w:rsidRDefault="00DB6E47" w:rsidP="00DB6E47">
      <w:pPr>
        <w:pStyle w:val="AH3Div"/>
      </w:pPr>
      <w:bookmarkStart w:id="54" w:name="_Toc83625398"/>
      <w:r w:rsidRPr="005E03F7">
        <w:rPr>
          <w:rStyle w:val="CharDivNo"/>
        </w:rPr>
        <w:t>Division 1</w:t>
      </w:r>
      <w:r w:rsidRPr="00A95F9A">
        <w:rPr>
          <w:rFonts w:ascii="Helvetica" w:hAnsi="Helvetica" w:cs="Helvetica"/>
          <w:iCs/>
          <w:szCs w:val="28"/>
        </w:rPr>
        <w:tab/>
      </w:r>
      <w:r w:rsidRPr="005E03F7">
        <w:rPr>
          <w:rStyle w:val="CharDivText"/>
          <w:rFonts w:ascii="Helvetica" w:hAnsi="Helvetica" w:cs="Helvetica"/>
          <w:iCs/>
          <w:szCs w:val="28"/>
        </w:rPr>
        <w:t>Requirements</w:t>
      </w:r>
      <w:bookmarkEnd w:id="54"/>
    </w:p>
    <w:p w14:paraId="19D555ED" w14:textId="77777777" w:rsidR="00DB6E47" w:rsidRPr="007E1F9A" w:rsidRDefault="00DB6E47" w:rsidP="00DB6E47">
      <w:pPr>
        <w:pStyle w:val="AH5Sec"/>
      </w:pPr>
      <w:bookmarkStart w:id="55" w:name="_Toc83625399"/>
      <w:r w:rsidRPr="005E03F7">
        <w:rPr>
          <w:rStyle w:val="CharSectNo"/>
        </w:rPr>
        <w:t>59</w:t>
      </w:r>
      <w:r w:rsidRPr="007E1F9A">
        <w:tab/>
        <w:t>Heavy vehicle standards</w:t>
      </w:r>
      <w:bookmarkEnd w:id="55"/>
    </w:p>
    <w:p w14:paraId="284E3220" w14:textId="77777777" w:rsidR="00DB6E47" w:rsidRPr="00DA68DB" w:rsidRDefault="00DB6E47" w:rsidP="00DB6E47">
      <w:pPr>
        <w:pStyle w:val="Amain"/>
      </w:pPr>
      <w:r w:rsidRPr="00DA68DB">
        <w:tab/>
        <w:t>(1)</w:t>
      </w:r>
      <w:r w:rsidRPr="00DA68DB">
        <w:tab/>
        <w:t>The national regulations may prescribe vehicle standards (</w:t>
      </w:r>
      <w:r w:rsidRPr="00FF4454">
        <w:rPr>
          <w:rStyle w:val="charBoldItals"/>
        </w:rPr>
        <w:t>heavy vehicle standards</w:t>
      </w:r>
      <w:r w:rsidRPr="00DA68DB">
        <w:t>) with which heavy vehicles must comply to use roads.</w:t>
      </w:r>
    </w:p>
    <w:p w14:paraId="5AE5C4F9" w14:textId="77777777" w:rsidR="00DB6E47" w:rsidRPr="00DA68DB" w:rsidRDefault="00DB6E47" w:rsidP="00DB6E47">
      <w:pPr>
        <w:pStyle w:val="Amain"/>
      </w:pPr>
      <w:r w:rsidRPr="00DA68DB">
        <w:tab/>
        <w:t>(2)</w:t>
      </w:r>
      <w:r w:rsidRPr="00DA68DB">
        <w:tab/>
        <w:t>Without limiting subsection (1), the heavy vehicle standards may include requirements applying to—</w:t>
      </w:r>
    </w:p>
    <w:p w14:paraId="3BC26C02" w14:textId="77777777" w:rsidR="00DB6E47" w:rsidRPr="00CF2E42" w:rsidRDefault="00DB6E47" w:rsidP="00DB6E47">
      <w:pPr>
        <w:pStyle w:val="Apara"/>
      </w:pPr>
      <w:r w:rsidRPr="00CF2E42">
        <w:tab/>
        <w:t>(a)</w:t>
      </w:r>
      <w:r w:rsidRPr="00CF2E42">
        <w:tab/>
        <w:t>heavy vehicles; or</w:t>
      </w:r>
    </w:p>
    <w:p w14:paraId="2CB6639E" w14:textId="77777777" w:rsidR="00DB6E47" w:rsidRPr="00CF2E42" w:rsidRDefault="00DB6E47" w:rsidP="00DB6E47">
      <w:pPr>
        <w:pStyle w:val="Apara"/>
      </w:pPr>
      <w:r w:rsidRPr="00CF2E42">
        <w:tab/>
        <w:t>(b)</w:t>
      </w:r>
      <w:r w:rsidRPr="00CF2E42">
        <w:tab/>
        <w:t>components of heavy vehicles, including component vehicles that are not heavy vehicles; or</w:t>
      </w:r>
    </w:p>
    <w:p w14:paraId="6C186489" w14:textId="77777777" w:rsidR="00DB6E47" w:rsidRPr="00CF2E42" w:rsidRDefault="00DB6E47" w:rsidP="00DB6E47">
      <w:pPr>
        <w:pStyle w:val="Apara"/>
      </w:pPr>
      <w:r w:rsidRPr="00CF2E42">
        <w:tab/>
        <w:t>(c)</w:t>
      </w:r>
      <w:r w:rsidRPr="00CF2E42">
        <w:tab/>
        <w:t>equipment of heavy vehicles.</w:t>
      </w:r>
    </w:p>
    <w:p w14:paraId="7ED5C830" w14:textId="77777777" w:rsidR="00DB6E47" w:rsidRPr="00DA68DB" w:rsidRDefault="00DB6E47" w:rsidP="00DB6E47">
      <w:pPr>
        <w:pStyle w:val="Amain"/>
      </w:pPr>
      <w:r w:rsidRPr="00DA68DB">
        <w:tab/>
        <w:t>(3)</w:t>
      </w:r>
      <w:r w:rsidRPr="00DA68DB">
        <w:tab/>
        <w:t xml:space="preserve">The national regulations may prescribe exemptions or different requirements for component vehicles that are not heavy vehicles. </w:t>
      </w:r>
    </w:p>
    <w:p w14:paraId="6A6DD358" w14:textId="77777777" w:rsidR="00DB6E47" w:rsidRPr="007E1F9A" w:rsidRDefault="00DB6E47" w:rsidP="00DB6E47">
      <w:pPr>
        <w:pStyle w:val="AH5Sec"/>
      </w:pPr>
      <w:bookmarkStart w:id="56" w:name="_Toc83625400"/>
      <w:r w:rsidRPr="005E03F7">
        <w:rPr>
          <w:rStyle w:val="CharSectNo"/>
        </w:rPr>
        <w:t>60</w:t>
      </w:r>
      <w:r w:rsidRPr="007E1F9A">
        <w:tab/>
        <w:t>Compliance with heavy vehicle standards</w:t>
      </w:r>
      <w:bookmarkEnd w:id="56"/>
    </w:p>
    <w:p w14:paraId="1251C531" w14:textId="77777777" w:rsidR="00DB6E47" w:rsidRPr="00DA68DB" w:rsidRDefault="00DB6E47" w:rsidP="00DB6E47">
      <w:pPr>
        <w:pStyle w:val="Amain"/>
      </w:pPr>
      <w:r w:rsidRPr="00DA68DB">
        <w:tab/>
        <w:t>(1)</w:t>
      </w:r>
      <w:r w:rsidRPr="00DA68DB">
        <w:tab/>
        <w:t>A person must not use, or permit to be used, on a road a heavy vehicle that contravenes a heavy vehicle standard applying to the vehicle.</w:t>
      </w:r>
    </w:p>
    <w:p w14:paraId="6606A3B1" w14:textId="77777777" w:rsidR="00DB6E47" w:rsidRPr="006C3305" w:rsidRDefault="00DB6E47" w:rsidP="00DB6E47">
      <w:pPr>
        <w:pStyle w:val="Penalty"/>
      </w:pPr>
      <w:r w:rsidRPr="006C3305">
        <w:t>Maximum penalty—</w:t>
      </w:r>
    </w:p>
    <w:p w14:paraId="27C2B4AA" w14:textId="77777777" w:rsidR="00DB6E47" w:rsidRPr="006C3305" w:rsidRDefault="00DB6E47" w:rsidP="00DB6E47">
      <w:pPr>
        <w:pStyle w:val="PenaltyPara"/>
      </w:pPr>
      <w:r>
        <w:tab/>
      </w:r>
      <w:r w:rsidRPr="006C3305">
        <w:t>(a)</w:t>
      </w:r>
      <w:r w:rsidRPr="006C3305">
        <w:tab/>
        <w:t>$3000, except as provided in paragraph (b); or</w:t>
      </w:r>
    </w:p>
    <w:p w14:paraId="73999ECB" w14:textId="77777777" w:rsidR="00DB6E47" w:rsidRPr="006C3305" w:rsidRDefault="00DB6E47" w:rsidP="00DB6E47">
      <w:pPr>
        <w:pStyle w:val="PenaltyPara"/>
      </w:pPr>
      <w:r>
        <w:tab/>
      </w:r>
      <w:r w:rsidRPr="006C3305">
        <w:t>(b)</w:t>
      </w:r>
      <w:r w:rsidRPr="006C3305">
        <w:tab/>
        <w:t>$6000, for contravention of a heavy vehicle standard relating to a speed limiter.</w:t>
      </w:r>
    </w:p>
    <w:p w14:paraId="676DC50F" w14:textId="77777777" w:rsidR="00DB6E47" w:rsidRPr="00DA68DB" w:rsidRDefault="00FD3A81" w:rsidP="00D03981">
      <w:pPr>
        <w:pStyle w:val="Amain"/>
        <w:keepNext/>
      </w:pPr>
      <w:r>
        <w:lastRenderedPageBreak/>
        <w:tab/>
        <w:t>(2)</w:t>
      </w:r>
      <w:r>
        <w:tab/>
        <w:t xml:space="preserve">Subsection </w:t>
      </w:r>
      <w:r w:rsidR="00DB6E47" w:rsidRPr="00DA68DB">
        <w:t>(1)</w:t>
      </w:r>
      <w:r>
        <w:t xml:space="preserve"> </w:t>
      </w:r>
      <w:r w:rsidR="00DB6E47" w:rsidRPr="00DA68DB">
        <w:t>does not apply to—</w:t>
      </w:r>
    </w:p>
    <w:p w14:paraId="792DBF44" w14:textId="77777777" w:rsidR="00DB6E47" w:rsidRPr="00CF2E42" w:rsidRDefault="00DB6E47" w:rsidP="00D03981">
      <w:pPr>
        <w:pStyle w:val="Apara"/>
        <w:keepNext/>
      </w:pPr>
      <w:r w:rsidRPr="00CF2E42">
        <w:tab/>
        <w:t>(a)</w:t>
      </w:r>
      <w:r w:rsidRPr="00CF2E42">
        <w:tab/>
        <w:t>a heavy vehicle that—</w:t>
      </w:r>
    </w:p>
    <w:p w14:paraId="6B0F8657" w14:textId="77777777" w:rsidR="00DB6E47" w:rsidRPr="007275A3" w:rsidRDefault="00DB6E47" w:rsidP="00C00E28">
      <w:pPr>
        <w:pStyle w:val="Asubpara"/>
        <w:keepLines/>
      </w:pPr>
      <w:r w:rsidRPr="007275A3">
        <w:tab/>
        <w:t>(i)</w:t>
      </w:r>
      <w:r w:rsidRPr="007275A3">
        <w:tab/>
        <w:t>is on a journey to a place for the repair of the vehicle, or any of its components or equipment, and is travelling on the most direct or convenient route to that place from the place where the journey began; and</w:t>
      </w:r>
    </w:p>
    <w:p w14:paraId="4DA1B483" w14:textId="77777777" w:rsidR="00DB6E47" w:rsidRPr="00C96203" w:rsidRDefault="00DB6E47" w:rsidP="0022636F">
      <w:pPr>
        <w:pStyle w:val="aNotepar"/>
      </w:pPr>
      <w:r w:rsidRPr="00FF4454">
        <w:rPr>
          <w:rStyle w:val="charItals"/>
        </w:rPr>
        <w:t>Note</w:t>
      </w:r>
      <w:r w:rsidRPr="00C96203">
        <w:t xml:space="preserve"> for the purposes of subparagraph (i)—</w:t>
      </w:r>
    </w:p>
    <w:p w14:paraId="4F96D7A3" w14:textId="77777777" w:rsidR="00DB6E47" w:rsidRPr="00C96203" w:rsidRDefault="00DB6E47" w:rsidP="00DB6E47">
      <w:pPr>
        <w:pStyle w:val="aNoteTextss"/>
      </w:pPr>
      <w:r w:rsidRPr="00C96203">
        <w:t>The subparagraph does not operate to exempt a person from complying with the requirements of a vehicle defect notice applying to the vehicle.</w:t>
      </w:r>
    </w:p>
    <w:p w14:paraId="68DB5E15" w14:textId="77777777" w:rsidR="00DB6E47" w:rsidRPr="007275A3" w:rsidRDefault="00DB6E47" w:rsidP="00DB6E47">
      <w:pPr>
        <w:pStyle w:val="Asubpara"/>
      </w:pPr>
      <w:r w:rsidRPr="007275A3">
        <w:tab/>
        <w:t>(ii)</w:t>
      </w:r>
      <w:r w:rsidRPr="007275A3">
        <w:tab/>
        <w:t xml:space="preserve">does not have any goods in it; and </w:t>
      </w:r>
    </w:p>
    <w:p w14:paraId="42B52B9D" w14:textId="77777777" w:rsidR="00DB6E47" w:rsidRPr="007275A3" w:rsidRDefault="00DB6E47" w:rsidP="00DB6E47">
      <w:pPr>
        <w:pStyle w:val="Asubpara"/>
      </w:pPr>
      <w:r w:rsidRPr="007275A3">
        <w:tab/>
        <w:t>(iii)</w:t>
      </w:r>
      <w:r w:rsidRPr="007275A3">
        <w:tab/>
        <w:t>is used on a road in a way that does not pose a safety risk; or</w:t>
      </w:r>
    </w:p>
    <w:p w14:paraId="3B56F3A9" w14:textId="77777777" w:rsidR="00DB6E47" w:rsidRPr="00CF2E42" w:rsidRDefault="00DB6E47" w:rsidP="00DB6E47">
      <w:pPr>
        <w:pStyle w:val="Apara"/>
      </w:pPr>
      <w:r w:rsidRPr="00CF2E42">
        <w:tab/>
        <w:t>(b)</w:t>
      </w:r>
      <w:r w:rsidRPr="00CF2E42">
        <w:tab/>
        <w:t>a heavy vehicle that—</w:t>
      </w:r>
    </w:p>
    <w:p w14:paraId="11CE7B21" w14:textId="77777777" w:rsidR="00DB6E47" w:rsidRPr="007275A3" w:rsidRDefault="00DB6E47" w:rsidP="00DB6E47">
      <w:pPr>
        <w:pStyle w:val="Asubpara"/>
      </w:pPr>
      <w:r w:rsidRPr="007275A3">
        <w:tab/>
        <w:t>(i)</w:t>
      </w:r>
      <w:r w:rsidRPr="007275A3">
        <w:tab/>
        <w:t>is on a road for testing or analysis of the vehicle, or any of its components or equipment, by an approved vehicle examiner for the purpose of checking its compliance with the heavy vehicle standards; and</w:t>
      </w:r>
    </w:p>
    <w:p w14:paraId="39566792" w14:textId="77777777" w:rsidR="00DB6E47" w:rsidRPr="007275A3" w:rsidRDefault="00DB6E47" w:rsidP="00DB6E47">
      <w:pPr>
        <w:pStyle w:val="Asubpara"/>
      </w:pPr>
      <w:r>
        <w:tab/>
      </w:r>
      <w:r w:rsidRPr="007275A3">
        <w:t>(ii)</w:t>
      </w:r>
      <w:r w:rsidRPr="007275A3">
        <w:tab/>
        <w:t>does not have any passengers in it; and</w:t>
      </w:r>
    </w:p>
    <w:p w14:paraId="42D029ED" w14:textId="77777777" w:rsidR="00DB6E47" w:rsidRPr="007275A3" w:rsidRDefault="00DB6E47" w:rsidP="00DB6E47">
      <w:pPr>
        <w:pStyle w:val="Asubpara"/>
      </w:pPr>
      <w:r w:rsidRPr="007275A3">
        <w:tab/>
        <w:t>(iii)</w:t>
      </w:r>
      <w:r w:rsidRPr="007275A3">
        <w:tab/>
        <w:t>does not have any goods in it, unless—</w:t>
      </w:r>
    </w:p>
    <w:p w14:paraId="46E5336D" w14:textId="77777777" w:rsidR="00DB6E47" w:rsidRPr="006C3305" w:rsidRDefault="00DB6E47" w:rsidP="00DB6E47">
      <w:pPr>
        <w:pStyle w:val="Asubsubpara"/>
      </w:pPr>
      <w:r w:rsidRPr="00352CBD">
        <w:tab/>
        <w:t>(</w:t>
      </w:r>
      <w:r w:rsidR="00A27457">
        <w:t>A</w:t>
      </w:r>
      <w:r w:rsidRPr="00352CBD">
        <w:t>)</w:t>
      </w:r>
      <w:r w:rsidRPr="006C3305">
        <w:tab/>
        <w:t>it has a quantity of goods that is necessary or appropriate for the conduct of the testing or analysis; and</w:t>
      </w:r>
    </w:p>
    <w:p w14:paraId="61F2BDA1" w14:textId="77777777" w:rsidR="00DB6E47" w:rsidRPr="006C3305" w:rsidRDefault="00DB6E47" w:rsidP="00DB6E47">
      <w:pPr>
        <w:pStyle w:val="Asubsubpara"/>
      </w:pPr>
      <w:r w:rsidRPr="00352CBD">
        <w:tab/>
        <w:t>(</w:t>
      </w:r>
      <w:r w:rsidR="00A27457">
        <w:t>B</w:t>
      </w:r>
      <w:r w:rsidRPr="00352CBD">
        <w:t>)</w:t>
      </w:r>
      <w:r w:rsidRPr="006C3305">
        <w:tab/>
        <w:t>without limiting subparagraph (iv), there are no reasonable grounds to believe the vehicle laden with those goods poses a significant safety risk; and</w:t>
      </w:r>
    </w:p>
    <w:p w14:paraId="3861ABF2" w14:textId="77777777" w:rsidR="00DB6E47" w:rsidRPr="007275A3" w:rsidRDefault="00DB6E47" w:rsidP="00DB6E47">
      <w:pPr>
        <w:pStyle w:val="Asubpara"/>
      </w:pPr>
      <w:r w:rsidRPr="007275A3">
        <w:tab/>
        <w:t>(iv)</w:t>
      </w:r>
      <w:r w:rsidRPr="007275A3">
        <w:tab/>
        <w:t>is used on a road in a way that does not pose a safety risk.</w:t>
      </w:r>
    </w:p>
    <w:p w14:paraId="160E3051" w14:textId="77777777" w:rsidR="00150AE9" w:rsidRPr="00915C9F" w:rsidRDefault="00150AE9" w:rsidP="00C00E28">
      <w:pPr>
        <w:pStyle w:val="Amain"/>
        <w:keepLines/>
      </w:pPr>
      <w:r w:rsidRPr="00915C9F">
        <w:lastRenderedPageBreak/>
        <w:tab/>
        <w:t>(3)</w:t>
      </w:r>
      <w:r w:rsidRPr="00915C9F">
        <w:tab/>
      </w:r>
      <w:r w:rsidR="0022636F" w:rsidRPr="00915C9F">
        <w:t>A person does not commit an offence against subsection (1) in relation to a heavy vehicle’s noncompliance with a heavy vehicle standard if, and to the extent, the noncompliance relates to a noncompliance known to the registration authority for the heavy vehicle at the time the registration authority registered the vehicle under an Australian road law.</w:t>
      </w:r>
    </w:p>
    <w:p w14:paraId="39605F41" w14:textId="77777777" w:rsidR="00150AE9" w:rsidRPr="00915C9F" w:rsidRDefault="00150AE9" w:rsidP="00915C9F">
      <w:pPr>
        <w:pStyle w:val="Amain"/>
      </w:pPr>
      <w:r w:rsidRPr="00915C9F">
        <w:tab/>
        <w:t>(4)</w:t>
      </w:r>
      <w:r w:rsidRPr="00915C9F">
        <w:tab/>
      </w:r>
      <w:r w:rsidR="00915C9F" w:rsidRPr="00915C9F">
        <w:t>For the purposes of subsection (3), the registration authority is taken to have known of the heavy vehicle’s noncompliance with a heavy vehicle standard at the time the registration authority registered the vehicle if the noncompliance was mentioned in—</w:t>
      </w:r>
    </w:p>
    <w:p w14:paraId="4133138F" w14:textId="77777777" w:rsidR="00150AE9" w:rsidRPr="00915C9F" w:rsidRDefault="00150AE9" w:rsidP="00915C9F">
      <w:pPr>
        <w:pStyle w:val="Apara"/>
      </w:pPr>
      <w:r w:rsidRPr="00915C9F">
        <w:tab/>
        <w:t>(a)</w:t>
      </w:r>
      <w:r w:rsidRPr="00915C9F">
        <w:tab/>
      </w:r>
      <w:r w:rsidR="00915C9F" w:rsidRPr="00915C9F">
        <w:t>an operations plate that was installed on the vehicle at the time it was registered; or</w:t>
      </w:r>
    </w:p>
    <w:p w14:paraId="5F8231B5" w14:textId="77777777" w:rsidR="00150AE9" w:rsidRPr="00915C9F" w:rsidRDefault="00150AE9" w:rsidP="00915C9F">
      <w:pPr>
        <w:pStyle w:val="Apara"/>
      </w:pPr>
      <w:r w:rsidRPr="00915C9F">
        <w:tab/>
        <w:t>(b)</w:t>
      </w:r>
      <w:r w:rsidRPr="00915C9F">
        <w:tab/>
      </w:r>
      <w:r w:rsidR="00915C9F" w:rsidRPr="00915C9F">
        <w:t>a certificate of approved operations issued for the vehicle and in force at the time the vehicle was registered; or</w:t>
      </w:r>
    </w:p>
    <w:p w14:paraId="20B9E803" w14:textId="77777777" w:rsidR="00150AE9" w:rsidRPr="00915C9F" w:rsidRDefault="00150AE9" w:rsidP="00915C9F">
      <w:pPr>
        <w:pStyle w:val="Apara"/>
      </w:pPr>
      <w:r w:rsidRPr="00915C9F">
        <w:tab/>
        <w:t>(c)</w:t>
      </w:r>
      <w:r w:rsidRPr="00915C9F">
        <w:tab/>
      </w:r>
      <w:r w:rsidR="00915C9F" w:rsidRPr="00915C9F">
        <w:t>a document obtained by the registration authority under an Australian road law in connection with the registering of the vehicle.</w:t>
      </w:r>
    </w:p>
    <w:p w14:paraId="17068D37" w14:textId="77777777" w:rsidR="00DB6E47" w:rsidRPr="00F142EE" w:rsidRDefault="00FD3A81" w:rsidP="00F142EE">
      <w:pPr>
        <w:pStyle w:val="Amain"/>
      </w:pPr>
      <w:r w:rsidRPr="00F142EE">
        <w:tab/>
        <w:t>(5)</w:t>
      </w:r>
      <w:r w:rsidRPr="00F142EE">
        <w:tab/>
      </w:r>
      <w:r w:rsidR="00F142EE" w:rsidRPr="00F142EE">
        <w:t>Subsection (3) applies only if the heavy vehicle, and its use on a road, complies with the conditions of the heavy vehicle’s registration under an Australian road law</w:t>
      </w:r>
      <w:r w:rsidR="00DB6E47" w:rsidRPr="00F142EE">
        <w:t>.</w:t>
      </w:r>
    </w:p>
    <w:p w14:paraId="71642D73" w14:textId="77777777" w:rsidR="00DB6E47" w:rsidRPr="00DA68DB" w:rsidRDefault="00DB6E47" w:rsidP="000821FA">
      <w:pPr>
        <w:pStyle w:val="Amain"/>
        <w:keepNext/>
        <w:keepLines/>
      </w:pPr>
      <w:r w:rsidRPr="00DA68DB">
        <w:tab/>
        <w:t>(6)</w:t>
      </w:r>
      <w:r w:rsidRPr="00DA68DB">
        <w:tab/>
        <w:t>If a PBS vehicle is exempt from vehicle standards stated in its PBS vehicle approval but it complies with the other applicable vehicle standards, the vehicle is regarded for the purposes of this Law as complying with the vehicle standards applying to the vehicle.</w:t>
      </w:r>
    </w:p>
    <w:p w14:paraId="2B309701" w14:textId="77777777" w:rsidR="00DB6E47" w:rsidRPr="00C96203" w:rsidRDefault="00DB6E47" w:rsidP="00DB6E47">
      <w:pPr>
        <w:pStyle w:val="aNote"/>
      </w:pPr>
      <w:r w:rsidRPr="00FF4454">
        <w:rPr>
          <w:rStyle w:val="charItals"/>
        </w:rPr>
        <w:t>Note</w:t>
      </w:r>
      <w:r w:rsidRPr="00C96203">
        <w:rPr>
          <w:rFonts w:cs="Times"/>
          <w:bCs/>
          <w:iCs/>
        </w:rPr>
        <w:t>—</w:t>
      </w:r>
    </w:p>
    <w:p w14:paraId="021DCF85" w14:textId="77777777" w:rsidR="00DB6E47" w:rsidRPr="00C96203" w:rsidRDefault="00FD3A81" w:rsidP="00DB6E47">
      <w:pPr>
        <w:pStyle w:val="aNoteTextss"/>
      </w:pPr>
      <w:r>
        <w:t xml:space="preserve">See also section 81 </w:t>
      </w:r>
      <w:r w:rsidR="00DB6E47" w:rsidRPr="00C96203">
        <w:t>(4)</w:t>
      </w:r>
      <w:r>
        <w:t xml:space="preserve"> to </w:t>
      </w:r>
      <w:r w:rsidR="00DB6E47" w:rsidRPr="00C96203">
        <w:t>(6)</w:t>
      </w:r>
      <w:r>
        <w:t xml:space="preserve"> </w:t>
      </w:r>
      <w:r w:rsidR="00DB6E47" w:rsidRPr="00C96203">
        <w:t>for the effect of a vehicle standards exemption on compliance with subsection (1).</w:t>
      </w:r>
    </w:p>
    <w:p w14:paraId="4CAEBFBD" w14:textId="77777777" w:rsidR="00DB6E47" w:rsidRPr="005E03F7" w:rsidRDefault="00DB6E47" w:rsidP="00DB6E47">
      <w:pPr>
        <w:pStyle w:val="AH3Div"/>
      </w:pPr>
      <w:bookmarkStart w:id="57" w:name="_Toc83625401"/>
      <w:r w:rsidRPr="005E03F7">
        <w:rPr>
          <w:rStyle w:val="CharDivNo"/>
        </w:rPr>
        <w:lastRenderedPageBreak/>
        <w:t>Division 2</w:t>
      </w:r>
      <w:r w:rsidRPr="00A95F9A">
        <w:rPr>
          <w:rFonts w:ascii="Helvetica" w:hAnsi="Helvetica" w:cs="Helvetica"/>
          <w:iCs/>
          <w:szCs w:val="28"/>
        </w:rPr>
        <w:tab/>
      </w:r>
      <w:r w:rsidRPr="005E03F7">
        <w:rPr>
          <w:rStyle w:val="CharDivText"/>
          <w:rFonts w:ascii="Helvetica" w:hAnsi="Helvetica" w:cs="Helvetica"/>
          <w:iCs/>
          <w:szCs w:val="28"/>
        </w:rPr>
        <w:t>Exemptions by Commonwealth Gazette notice</w:t>
      </w:r>
      <w:bookmarkEnd w:id="57"/>
    </w:p>
    <w:p w14:paraId="66FE85C2" w14:textId="77777777" w:rsidR="00DB6E47" w:rsidRPr="007E1F9A" w:rsidRDefault="00DB6E47" w:rsidP="00DB6E47">
      <w:pPr>
        <w:pStyle w:val="AH5Sec"/>
      </w:pPr>
      <w:bookmarkStart w:id="58" w:name="_Toc83625402"/>
      <w:r w:rsidRPr="005E03F7">
        <w:rPr>
          <w:rStyle w:val="CharSectNo"/>
        </w:rPr>
        <w:t>61</w:t>
      </w:r>
      <w:r w:rsidRPr="007E1F9A">
        <w:tab/>
        <w:t>Regulator’s power to exempt category of heavy vehicles from compliance with heavy vehicle standard</w:t>
      </w:r>
      <w:bookmarkEnd w:id="58"/>
    </w:p>
    <w:p w14:paraId="4D5E5AFD" w14:textId="77777777" w:rsidR="00DB6E47" w:rsidRPr="00DA68DB" w:rsidRDefault="00DB6E47" w:rsidP="00DB6E47">
      <w:pPr>
        <w:pStyle w:val="Amain"/>
      </w:pPr>
      <w:r w:rsidRPr="00DA68DB">
        <w:tab/>
        <w:t>(1)</w:t>
      </w:r>
      <w:r w:rsidRPr="00DA68DB">
        <w:tab/>
        <w:t>The Regulator may, by Commonwealth Gazette notice complying with section 65, exempt, for a period of not more than 5 years, a category of heavy vehicles from the requirement to comply with a heavy vehicle standard.</w:t>
      </w:r>
    </w:p>
    <w:p w14:paraId="37D56AE3" w14:textId="77777777" w:rsidR="00DB6E47" w:rsidRPr="00DA68DB" w:rsidRDefault="00DB6E47" w:rsidP="00DB6E47">
      <w:pPr>
        <w:pStyle w:val="Amain"/>
      </w:pPr>
      <w:r w:rsidRPr="00DA68DB">
        <w:tab/>
        <w:t>(2</w:t>
      </w:r>
      <w:r w:rsidR="00FD3A81">
        <w:t>)</w:t>
      </w:r>
      <w:r w:rsidR="00FD3A81">
        <w:tab/>
        <w:t xml:space="preserve">An exemption under subsection </w:t>
      </w:r>
      <w:r w:rsidRPr="00DA68DB">
        <w:t>(1)</w:t>
      </w:r>
      <w:r w:rsidR="00FD3A81">
        <w:t xml:space="preserve"> </w:t>
      </w:r>
      <w:r w:rsidRPr="00DA68DB">
        <w:t xml:space="preserve">is a </w:t>
      </w:r>
      <w:r w:rsidRPr="00FF4454">
        <w:rPr>
          <w:rStyle w:val="charBoldItals"/>
        </w:rPr>
        <w:t>vehicle standards exemption (notice)</w:t>
      </w:r>
      <w:r w:rsidRPr="00DA68DB">
        <w:t>.</w:t>
      </w:r>
    </w:p>
    <w:p w14:paraId="11724B2D" w14:textId="77777777" w:rsidR="00DB6E47" w:rsidRPr="007E1F9A" w:rsidRDefault="00DB6E47" w:rsidP="00DB6E47">
      <w:pPr>
        <w:pStyle w:val="AH5Sec"/>
      </w:pPr>
      <w:bookmarkStart w:id="59" w:name="_Toc83625403"/>
      <w:r w:rsidRPr="005E03F7">
        <w:rPr>
          <w:rStyle w:val="CharSectNo"/>
        </w:rPr>
        <w:t>62</w:t>
      </w:r>
      <w:r w:rsidRPr="007E1F9A">
        <w:tab/>
        <w:t>Restriction on grant of vehicle standards exemption (notice)</w:t>
      </w:r>
      <w:bookmarkEnd w:id="59"/>
    </w:p>
    <w:p w14:paraId="68BAC67A" w14:textId="77777777" w:rsidR="00DB6E47" w:rsidRPr="00DA68DB" w:rsidRDefault="00DB6E47" w:rsidP="00DB6E47">
      <w:pPr>
        <w:pStyle w:val="Amain"/>
      </w:pPr>
      <w:r w:rsidRPr="00DA68DB">
        <w:tab/>
        <w:t>(1)</w:t>
      </w:r>
      <w:r w:rsidRPr="00DA68DB">
        <w:tab/>
        <w:t>The Regulator may grant a vehicle standards exemption (notice) for a category of heavy vehicles only if—</w:t>
      </w:r>
    </w:p>
    <w:p w14:paraId="605D1AF3" w14:textId="77777777" w:rsidR="00DB6E47" w:rsidRPr="007D116E" w:rsidRDefault="00DB6E47" w:rsidP="00DB6E47">
      <w:pPr>
        <w:pStyle w:val="Apara"/>
      </w:pPr>
      <w:r w:rsidRPr="007D116E">
        <w:tab/>
        <w:t>(a)</w:t>
      </w:r>
      <w:r w:rsidRPr="007D116E">
        <w:tab/>
        <w:t>1 of the following applies—</w:t>
      </w:r>
    </w:p>
    <w:p w14:paraId="6EDFB3F1" w14:textId="77777777" w:rsidR="00DB6E47" w:rsidRPr="00516F02" w:rsidRDefault="00DB6E47" w:rsidP="00DB6E47">
      <w:pPr>
        <w:pStyle w:val="Asubpara"/>
      </w:pPr>
      <w:r w:rsidRPr="00516F02">
        <w:tab/>
        <w:t>(i)</w:t>
      </w:r>
      <w:r w:rsidRPr="00516F02">
        <w:tab/>
        <w:t>the Regulator is satisfied complying with the heavy vehicle standard to which the exemption is to apply would prevent heavy vehicles of that category from operating in the way in which, or for the purpose for which, the vehicles were built or modified;</w:t>
      </w:r>
    </w:p>
    <w:p w14:paraId="17071253" w14:textId="77777777" w:rsidR="00DB6E47" w:rsidRPr="00516F02" w:rsidRDefault="00DB6E47" w:rsidP="009037C9">
      <w:pPr>
        <w:pStyle w:val="Asubpara"/>
        <w:keepLines/>
      </w:pPr>
      <w:r w:rsidRPr="00516F02">
        <w:tab/>
        <w:t>(ii)</w:t>
      </w:r>
      <w:r w:rsidRPr="00516F02">
        <w:tab/>
        <w:t>the Regulator is satisfied heavy vehicles of that category are experimental vehicles, prototypes or similar vehicles that could not reasonably be expected to comply with the heavy vehicle standard to which the exemption is to apply;</w:t>
      </w:r>
    </w:p>
    <w:p w14:paraId="0556B1AE" w14:textId="77777777" w:rsidR="00DB6E47" w:rsidRPr="00516F02" w:rsidRDefault="00DB6E47" w:rsidP="00DB6E47">
      <w:pPr>
        <w:pStyle w:val="Asubpara"/>
      </w:pPr>
      <w:r w:rsidRPr="00516F02">
        <w:tab/>
        <w:t>(iii)</w:t>
      </w:r>
      <w:r w:rsidRPr="00516F02">
        <w:tab/>
        <w:t>the exemption has been requested by a road authority for a participating jurisdiction for the use of heavy vehicles of that category in that jurisdiction;</w:t>
      </w:r>
    </w:p>
    <w:p w14:paraId="69EB042D" w14:textId="77777777" w:rsidR="00DB6E47" w:rsidRPr="00516F02" w:rsidRDefault="00DB6E47" w:rsidP="00C00E28">
      <w:pPr>
        <w:pStyle w:val="Asubpara"/>
        <w:keepLines/>
      </w:pPr>
      <w:r w:rsidRPr="00516F02">
        <w:lastRenderedPageBreak/>
        <w:tab/>
        <w:t>(iv)</w:t>
      </w:r>
      <w:r w:rsidRPr="00516F02">
        <w:tab/>
        <w:t>the category of heavy vehicles consists of heavy vehicles that, immediately before the commencement of this section in a participating jurisdiction, were not required to comply with a similar standard at that time and were—</w:t>
      </w:r>
    </w:p>
    <w:p w14:paraId="780C1360" w14:textId="77777777" w:rsidR="00DB6E47" w:rsidRPr="00FD3A81" w:rsidRDefault="00DB6E47" w:rsidP="00026F11">
      <w:pPr>
        <w:pStyle w:val="Asubsubpara"/>
      </w:pPr>
      <w:r w:rsidRPr="00F04D8E">
        <w:rPr>
          <w:rFonts w:cs="Times"/>
          <w:bCs/>
          <w:iCs/>
        </w:rPr>
        <w:tab/>
        <w:t>(</w:t>
      </w:r>
      <w:r w:rsidR="00026F11">
        <w:rPr>
          <w:rFonts w:cs="Times"/>
          <w:bCs/>
          <w:iCs/>
        </w:rPr>
        <w:t>A</w:t>
      </w:r>
      <w:r w:rsidRPr="00F04D8E">
        <w:rPr>
          <w:rFonts w:cs="Times"/>
          <w:bCs/>
          <w:iCs/>
        </w:rPr>
        <w:t>)</w:t>
      </w:r>
      <w:r w:rsidRPr="00FF4454">
        <w:rPr>
          <w:rStyle w:val="charBoldItals"/>
        </w:rPr>
        <w:tab/>
      </w:r>
      <w:r w:rsidRPr="00FD3A81">
        <w:t>registered under an Australian road law of that jurisdiction and not required to comply with a similar standard at that time; or</w:t>
      </w:r>
    </w:p>
    <w:p w14:paraId="025052B3" w14:textId="77777777" w:rsidR="00DB6E47" w:rsidRPr="00FD3A81" w:rsidRDefault="00DB6E47" w:rsidP="00026F11">
      <w:pPr>
        <w:pStyle w:val="Asubsubpara"/>
      </w:pPr>
      <w:r w:rsidRPr="00F04D8E">
        <w:rPr>
          <w:rFonts w:cs="Times"/>
          <w:bCs/>
          <w:iCs/>
        </w:rPr>
        <w:tab/>
        <w:t>(</w:t>
      </w:r>
      <w:r w:rsidR="00026F11">
        <w:rPr>
          <w:rFonts w:cs="Times"/>
          <w:bCs/>
          <w:iCs/>
        </w:rPr>
        <w:t>B</w:t>
      </w:r>
      <w:r w:rsidRPr="00F04D8E">
        <w:rPr>
          <w:rFonts w:cs="Times"/>
          <w:bCs/>
          <w:iCs/>
        </w:rPr>
        <w:t>)</w:t>
      </w:r>
      <w:r w:rsidRPr="00FF4454">
        <w:rPr>
          <w:rStyle w:val="charBoldItals"/>
        </w:rPr>
        <w:tab/>
      </w:r>
      <w:r w:rsidRPr="00FD3A81">
        <w:t>operating under an unregistered heavy vehicle permit or exemption from registration (however described) granted or issued under an Australian road law of that jurisdiction;</w:t>
      </w:r>
    </w:p>
    <w:p w14:paraId="5E814437" w14:textId="77777777" w:rsidR="00DB6E47" w:rsidRPr="00516F02" w:rsidRDefault="00DB6E47" w:rsidP="00DB6E47">
      <w:pPr>
        <w:pStyle w:val="Asubpara"/>
      </w:pPr>
      <w:r>
        <w:tab/>
      </w:r>
      <w:r w:rsidRPr="00516F02">
        <w:t>(v)</w:t>
      </w:r>
      <w:r w:rsidRPr="00516F02">
        <w:tab/>
        <w:t>the category of heavy vehicles consists of heavy vehicles referred to in the national regulations for the purposes of this subparagraph; and</w:t>
      </w:r>
    </w:p>
    <w:p w14:paraId="2022CBC0" w14:textId="77777777" w:rsidR="00DB6E47" w:rsidRPr="007D116E" w:rsidRDefault="00DB6E47" w:rsidP="00DB6E47">
      <w:pPr>
        <w:pStyle w:val="Apara"/>
      </w:pPr>
      <w:r w:rsidRPr="007D116E">
        <w:tab/>
        <w:t>(b)</w:t>
      </w:r>
      <w:r w:rsidRPr="007D116E">
        <w:tab/>
        <w:t>the Regulator is satisfied the use of heavy vehicles of the category to which the exemption is to apply on a road under the exemption will not pose a significant safety risk.</w:t>
      </w:r>
    </w:p>
    <w:p w14:paraId="71EF4017" w14:textId="77777777" w:rsidR="00DB6E47" w:rsidRPr="00DA68DB" w:rsidRDefault="00DB6E47" w:rsidP="00DB6E47">
      <w:pPr>
        <w:pStyle w:val="Amain"/>
      </w:pPr>
      <w:r w:rsidRPr="00DA68DB">
        <w:tab/>
        <w:t>(2)</w:t>
      </w:r>
      <w:r w:rsidRPr="00DA68DB">
        <w:tab/>
        <w:t>In deciding whether to grant a vehicle standards exemption (notice), the Regulator must have regard to the approved guidelines for granting vehicle standards exemptions.</w:t>
      </w:r>
    </w:p>
    <w:p w14:paraId="027AAD2B" w14:textId="77777777" w:rsidR="00DB6E47" w:rsidRPr="00DA68DB" w:rsidRDefault="00DB6E47" w:rsidP="00DB6E47">
      <w:pPr>
        <w:pStyle w:val="Amain"/>
      </w:pPr>
      <w:r w:rsidRPr="00DA68DB">
        <w:tab/>
        <w:t>(3)</w:t>
      </w:r>
      <w:r w:rsidRPr="00DA68DB">
        <w:tab/>
        <w:t>The national regulations may prescribe additional requirements or restrictions regarding the granting of a vehicle standards exemption (notice).</w:t>
      </w:r>
    </w:p>
    <w:p w14:paraId="3751F302" w14:textId="77777777" w:rsidR="00DB6E47" w:rsidRPr="007E1F9A" w:rsidRDefault="00DB6E47" w:rsidP="00DB6E47">
      <w:pPr>
        <w:pStyle w:val="AH5Sec"/>
      </w:pPr>
      <w:bookmarkStart w:id="60" w:name="_Toc83625404"/>
      <w:r w:rsidRPr="005E03F7">
        <w:rPr>
          <w:rStyle w:val="CharSectNo"/>
        </w:rPr>
        <w:t>63</w:t>
      </w:r>
      <w:r w:rsidRPr="007E1F9A">
        <w:tab/>
        <w:t>Conditions of vehicle standards exemption (notice)</w:t>
      </w:r>
      <w:bookmarkEnd w:id="60"/>
    </w:p>
    <w:p w14:paraId="5DE469E5" w14:textId="77777777" w:rsidR="00DB6E47" w:rsidRPr="00DA68DB" w:rsidRDefault="00DB6E47" w:rsidP="00DB6E47">
      <w:pPr>
        <w:pStyle w:val="Amainreturn"/>
      </w:pPr>
      <w:r w:rsidRPr="00DA68DB">
        <w:t>A vehicle standards exemption (notice) may be subject to any conditions the Regulator considers appropriate, including, for example—</w:t>
      </w:r>
    </w:p>
    <w:p w14:paraId="1EBF62B1" w14:textId="77777777" w:rsidR="00DB6E47" w:rsidRPr="007D116E" w:rsidRDefault="00DB6E47" w:rsidP="00DB6E47">
      <w:pPr>
        <w:pStyle w:val="Apara"/>
      </w:pPr>
      <w:r w:rsidRPr="007D116E">
        <w:tab/>
        <w:t>(a)</w:t>
      </w:r>
      <w:r w:rsidRPr="007D116E">
        <w:tab/>
        <w:t>conditions about protecting road infrastructure from damage; and</w:t>
      </w:r>
    </w:p>
    <w:p w14:paraId="2F39D461" w14:textId="77777777" w:rsidR="00DB6E47" w:rsidRPr="007D116E" w:rsidRDefault="00DB6E47" w:rsidP="00DB6E47">
      <w:pPr>
        <w:pStyle w:val="Apara"/>
      </w:pPr>
      <w:r w:rsidRPr="007D116E">
        <w:lastRenderedPageBreak/>
        <w:tab/>
        <w:t>(b)</w:t>
      </w:r>
      <w:r w:rsidRPr="007D116E">
        <w:tab/>
        <w:t>a condition that the driver of a heavy vehicle who is driving the vehicle under the exemption must keep in the driver’s possession a copy of—</w:t>
      </w:r>
    </w:p>
    <w:p w14:paraId="589549EE" w14:textId="77777777" w:rsidR="00DB6E47" w:rsidRPr="00516F02" w:rsidRDefault="00DB6E47" w:rsidP="00DB6E47">
      <w:pPr>
        <w:pStyle w:val="Asubpara"/>
      </w:pPr>
      <w:r w:rsidRPr="00516F02">
        <w:tab/>
        <w:t>(i)</w:t>
      </w:r>
      <w:r w:rsidRPr="00516F02">
        <w:tab/>
        <w:t>the Commonwealth Gazette notice for the exemption; or</w:t>
      </w:r>
    </w:p>
    <w:p w14:paraId="72420E3E" w14:textId="77777777" w:rsidR="00DB6E47" w:rsidRPr="00516F02" w:rsidRDefault="00DB6E47" w:rsidP="00DB6E47">
      <w:pPr>
        <w:pStyle w:val="Asubpara"/>
      </w:pPr>
      <w:r w:rsidRPr="00516F02">
        <w:tab/>
        <w:t>(ii)</w:t>
      </w:r>
      <w:r w:rsidRPr="00516F02">
        <w:tab/>
        <w:t>an information sheet about the exemption published by the Regulator on the Regulator’s website.</w:t>
      </w:r>
    </w:p>
    <w:p w14:paraId="6B29581B" w14:textId="77777777" w:rsidR="00DB6E47" w:rsidRPr="007E1F9A" w:rsidRDefault="00DB6E47" w:rsidP="00DB6E47">
      <w:pPr>
        <w:pStyle w:val="AH5Sec"/>
      </w:pPr>
      <w:bookmarkStart w:id="61" w:name="_Toc83625405"/>
      <w:r w:rsidRPr="005E03F7">
        <w:rPr>
          <w:rStyle w:val="CharSectNo"/>
        </w:rPr>
        <w:t>64</w:t>
      </w:r>
      <w:r w:rsidRPr="007E1F9A">
        <w:tab/>
        <w:t>Period for which vehicle standards exemption (notice) applies</w:t>
      </w:r>
      <w:bookmarkEnd w:id="61"/>
    </w:p>
    <w:p w14:paraId="2C26001E" w14:textId="77777777" w:rsidR="00DB6E47" w:rsidRPr="00DA68DB" w:rsidRDefault="00DB6E47" w:rsidP="00DB6E47">
      <w:pPr>
        <w:pStyle w:val="Amainreturn"/>
      </w:pPr>
      <w:r w:rsidRPr="00DA68DB">
        <w:t>A vehicle standards exemption (notice)—</w:t>
      </w:r>
    </w:p>
    <w:p w14:paraId="48DF3F90" w14:textId="77777777" w:rsidR="00DB6E47" w:rsidRPr="007D116E" w:rsidRDefault="00DB6E47" w:rsidP="00DB6E47">
      <w:pPr>
        <w:pStyle w:val="Apara"/>
      </w:pPr>
      <w:r w:rsidRPr="007D116E">
        <w:tab/>
        <w:t>(a)</w:t>
      </w:r>
      <w:r w:rsidRPr="007D116E">
        <w:tab/>
        <w:t>takes effect—</w:t>
      </w:r>
    </w:p>
    <w:p w14:paraId="379647C9" w14:textId="77777777" w:rsidR="00DB6E47" w:rsidRPr="00516F02" w:rsidRDefault="00DB6E47" w:rsidP="00DB6E47">
      <w:pPr>
        <w:pStyle w:val="Asubpara"/>
      </w:pPr>
      <w:r w:rsidRPr="00516F02">
        <w:tab/>
        <w:t>(i)</w:t>
      </w:r>
      <w:r w:rsidRPr="00516F02">
        <w:tab/>
        <w:t>when the Commonwealth Gazette notice for the exemption is published; or</w:t>
      </w:r>
    </w:p>
    <w:p w14:paraId="1B4CC702" w14:textId="77777777" w:rsidR="00DB6E47" w:rsidRPr="00516F02" w:rsidRDefault="00DB6E47" w:rsidP="00DB6E47">
      <w:pPr>
        <w:pStyle w:val="Asubpara"/>
      </w:pPr>
      <w:r w:rsidRPr="00516F02">
        <w:tab/>
        <w:t>(ii)</w:t>
      </w:r>
      <w:r w:rsidRPr="00516F02">
        <w:tab/>
        <w:t>if a later time is stated in the Commonwealth Gazette notice, at the later time; and</w:t>
      </w:r>
    </w:p>
    <w:p w14:paraId="6B7B5B29" w14:textId="77777777" w:rsidR="00DB6E47" w:rsidRPr="007D116E" w:rsidRDefault="00DB6E47" w:rsidP="00DB6E47">
      <w:pPr>
        <w:pStyle w:val="Apara"/>
      </w:pPr>
      <w:r w:rsidRPr="007D116E">
        <w:tab/>
        <w:t>(b)</w:t>
      </w:r>
      <w:r w:rsidRPr="007D116E">
        <w:tab/>
        <w:t>applies for the period stated in the Commonwealth Gazette notice.</w:t>
      </w:r>
    </w:p>
    <w:p w14:paraId="76652003" w14:textId="77777777" w:rsidR="00DB6E47" w:rsidRPr="007E1F9A" w:rsidRDefault="00DB6E47" w:rsidP="00DB6E47">
      <w:pPr>
        <w:pStyle w:val="AH5Sec"/>
      </w:pPr>
      <w:bookmarkStart w:id="62" w:name="_Toc83625406"/>
      <w:r w:rsidRPr="005E03F7">
        <w:rPr>
          <w:rStyle w:val="CharSectNo"/>
        </w:rPr>
        <w:t>65</w:t>
      </w:r>
      <w:r w:rsidRPr="007E1F9A">
        <w:tab/>
        <w:t>Requirements about Commonwealth Gazette notice</w:t>
      </w:r>
      <w:bookmarkEnd w:id="62"/>
    </w:p>
    <w:p w14:paraId="208A177E" w14:textId="77777777" w:rsidR="00DB6E47" w:rsidRPr="00DA68DB" w:rsidRDefault="00DB6E47" w:rsidP="00DB6E47">
      <w:pPr>
        <w:pStyle w:val="Amain"/>
      </w:pPr>
      <w:r w:rsidRPr="00DA68DB">
        <w:tab/>
        <w:t>(1)</w:t>
      </w:r>
      <w:r w:rsidRPr="00DA68DB">
        <w:tab/>
        <w:t>A Commonwealth Gazette notice for a vehicle standards exemption (notice) must state the following—</w:t>
      </w:r>
    </w:p>
    <w:p w14:paraId="6CB3EEC0" w14:textId="77777777" w:rsidR="00DB6E47" w:rsidRPr="007D116E" w:rsidRDefault="00DB6E47" w:rsidP="00DB6E47">
      <w:pPr>
        <w:pStyle w:val="Apara"/>
      </w:pPr>
      <w:r w:rsidRPr="007D116E">
        <w:tab/>
        <w:t>(a)</w:t>
      </w:r>
      <w:r w:rsidRPr="007D116E">
        <w:tab/>
        <w:t>the category of heavy vehicles to which the exemption applies;</w:t>
      </w:r>
    </w:p>
    <w:p w14:paraId="4DDB1B82" w14:textId="77777777" w:rsidR="00DB6E47" w:rsidRPr="007D116E" w:rsidRDefault="00DB6E47" w:rsidP="00DB6E47">
      <w:pPr>
        <w:pStyle w:val="Apara"/>
      </w:pPr>
      <w:r w:rsidRPr="007D116E">
        <w:tab/>
        <w:t>(b)</w:t>
      </w:r>
      <w:r w:rsidRPr="007D116E">
        <w:tab/>
        <w:t>the heavy vehicle standard to which the exemption applies;</w:t>
      </w:r>
    </w:p>
    <w:p w14:paraId="69BB2975" w14:textId="77777777" w:rsidR="00DB6E47" w:rsidRPr="007D116E" w:rsidRDefault="00DB6E47" w:rsidP="00DB6E47">
      <w:pPr>
        <w:pStyle w:val="Apara"/>
      </w:pPr>
      <w:r w:rsidRPr="007D116E">
        <w:tab/>
        <w:t>(c)</w:t>
      </w:r>
      <w:r w:rsidRPr="007D116E">
        <w:tab/>
        <w:t>the conditions of the exemption;</w:t>
      </w:r>
    </w:p>
    <w:p w14:paraId="4C326889" w14:textId="77777777" w:rsidR="00DB6E47" w:rsidRPr="007D116E" w:rsidRDefault="00DB6E47" w:rsidP="00DB6E47">
      <w:pPr>
        <w:pStyle w:val="Apara"/>
      </w:pPr>
      <w:r w:rsidRPr="007D116E">
        <w:tab/>
        <w:t>(d)</w:t>
      </w:r>
      <w:r w:rsidRPr="007D116E">
        <w:tab/>
        <w:t>the period for which the exemption applies.</w:t>
      </w:r>
    </w:p>
    <w:p w14:paraId="44E13359" w14:textId="77777777" w:rsidR="00DB6E47" w:rsidRPr="00DA68DB" w:rsidRDefault="00DB6E47" w:rsidP="00DB6E47">
      <w:pPr>
        <w:pStyle w:val="Amain"/>
      </w:pPr>
      <w:r w:rsidRPr="00DA68DB">
        <w:tab/>
        <w:t>(2)</w:t>
      </w:r>
      <w:r w:rsidRPr="00DA68DB">
        <w:tab/>
        <w:t>The Regulator must publish a copy of the Commonwealth Gazette notice on the Regulator’s website.</w:t>
      </w:r>
    </w:p>
    <w:p w14:paraId="0E7BC689" w14:textId="77777777" w:rsidR="00DB6E47" w:rsidRPr="007E1F9A" w:rsidRDefault="00DB6E47" w:rsidP="00DB6E47">
      <w:pPr>
        <w:pStyle w:val="AH5Sec"/>
      </w:pPr>
      <w:bookmarkStart w:id="63" w:name="_Toc83625407"/>
      <w:r w:rsidRPr="005E03F7">
        <w:rPr>
          <w:rStyle w:val="CharSectNo"/>
        </w:rPr>
        <w:lastRenderedPageBreak/>
        <w:t>66</w:t>
      </w:r>
      <w:r w:rsidRPr="007E1F9A">
        <w:tab/>
        <w:t>Amendment or cancellation of vehicle standards exemption (notice)</w:t>
      </w:r>
      <w:bookmarkEnd w:id="63"/>
    </w:p>
    <w:p w14:paraId="3D7C2A25" w14:textId="77777777" w:rsidR="00DB6E47" w:rsidRPr="00DA68DB" w:rsidRDefault="00DB6E47" w:rsidP="00DB6E47">
      <w:pPr>
        <w:pStyle w:val="Amain"/>
      </w:pPr>
      <w:r w:rsidRPr="00DA68DB">
        <w:tab/>
        <w:t>(1)</w:t>
      </w:r>
      <w:r w:rsidRPr="00DA68DB">
        <w:tab/>
        <w:t>Each of the following is a ground for amending or cancelling a vehicle standards exemption (notice)—</w:t>
      </w:r>
    </w:p>
    <w:p w14:paraId="5F69A601" w14:textId="77777777" w:rsidR="00DB6E47" w:rsidRPr="007D116E" w:rsidRDefault="00DB6E47" w:rsidP="00DB6E47">
      <w:pPr>
        <w:pStyle w:val="Apara"/>
      </w:pPr>
      <w:r w:rsidRPr="007D116E">
        <w:tab/>
        <w:t>(a)</w:t>
      </w:r>
      <w:r w:rsidRPr="007D116E">
        <w:tab/>
        <w:t>the use of heavy vehicles on a road under the exemption has caused, or is likely to cause, a significant safety risk;</w:t>
      </w:r>
    </w:p>
    <w:p w14:paraId="73126906" w14:textId="77777777" w:rsidR="00DB6E47" w:rsidRPr="007D116E" w:rsidRDefault="00DB6E47" w:rsidP="00DB6E47">
      <w:pPr>
        <w:pStyle w:val="Apara"/>
      </w:pPr>
      <w:r w:rsidRPr="007D116E">
        <w:tab/>
        <w:t>(b)</w:t>
      </w:r>
      <w:r w:rsidRPr="007D116E">
        <w:tab/>
        <w:t>since the exemption was granted, there has been a change in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14:paraId="24540444" w14:textId="77777777" w:rsidR="00DB6E47" w:rsidRPr="00DA68DB" w:rsidRDefault="00DB6E47" w:rsidP="00DB6E47">
      <w:pPr>
        <w:pStyle w:val="Amain"/>
      </w:pPr>
      <w:r w:rsidRPr="00DA68DB">
        <w:tab/>
        <w:t>(2)</w:t>
      </w:r>
      <w:r w:rsidRPr="00DA68DB">
        <w:tab/>
        <w:t>If the Regulator considers a ground exists to amend or cancel a vehicle standards exemption (notice), the Regulator may amend or cancel the exemptio</w:t>
      </w:r>
      <w:r w:rsidR="00FD3A81">
        <w:t xml:space="preserve">n by complying with subsections </w:t>
      </w:r>
      <w:r w:rsidRPr="00DA68DB">
        <w:t>(3)</w:t>
      </w:r>
      <w:r w:rsidR="00FD3A81">
        <w:t xml:space="preserve"> </w:t>
      </w:r>
      <w:r w:rsidRPr="00DA68DB">
        <w:t>to (5).</w:t>
      </w:r>
    </w:p>
    <w:p w14:paraId="46346C8F" w14:textId="77777777" w:rsidR="00DB6E47" w:rsidRPr="00DA68DB" w:rsidRDefault="00DB6E47" w:rsidP="00DB6E47">
      <w:pPr>
        <w:pStyle w:val="Amain"/>
      </w:pPr>
      <w:r w:rsidRPr="00DA68DB">
        <w:tab/>
        <w:t>(3)</w:t>
      </w:r>
      <w:r w:rsidRPr="00DA68DB">
        <w:tab/>
        <w:t xml:space="preserve">The Regulator must publish a </w:t>
      </w:r>
      <w:r w:rsidR="00014F07">
        <w:t xml:space="preserve">public </w:t>
      </w:r>
      <w:r w:rsidRPr="00DA68DB">
        <w:t>notice—</w:t>
      </w:r>
    </w:p>
    <w:p w14:paraId="64358B34" w14:textId="77777777" w:rsidR="00DB6E47" w:rsidRPr="007D116E" w:rsidRDefault="00DB6E47" w:rsidP="00DB6E47">
      <w:pPr>
        <w:pStyle w:val="Apara"/>
      </w:pPr>
      <w:r w:rsidRPr="007D116E">
        <w:tab/>
        <w:t>(a)</w:t>
      </w:r>
      <w:r w:rsidRPr="007D116E">
        <w:tab/>
        <w:t>stating that the Regulator believes a gro</w:t>
      </w:r>
      <w:r w:rsidR="00A27457">
        <w:t>und mentioned in subsection (1)</w:t>
      </w:r>
      <w:r w:rsidRPr="007D116E">
        <w:t>(a)</w:t>
      </w:r>
      <w:r w:rsidR="00FD3A81">
        <w:t xml:space="preserve"> or </w:t>
      </w:r>
      <w:r w:rsidRPr="007D116E">
        <w:t>(b)</w:t>
      </w:r>
      <w:r w:rsidR="00FD3A81">
        <w:t xml:space="preserve"> </w:t>
      </w:r>
      <w:r w:rsidRPr="007D116E">
        <w:t>for amending or cancelling the exemption exists; and</w:t>
      </w:r>
    </w:p>
    <w:p w14:paraId="752A4140" w14:textId="77777777" w:rsidR="00DB6E47" w:rsidRPr="007D116E" w:rsidRDefault="00DB6E47" w:rsidP="00DB6E47">
      <w:pPr>
        <w:pStyle w:val="Apara"/>
      </w:pPr>
      <w:r w:rsidRPr="007D116E">
        <w:tab/>
        <w:t>(b)</w:t>
      </w:r>
      <w:r w:rsidRPr="007D116E">
        <w:tab/>
        <w:t>outlining the facts and circumstances forming the basis for the belief; and</w:t>
      </w:r>
    </w:p>
    <w:p w14:paraId="71161BA6" w14:textId="77777777" w:rsidR="00DB6E47" w:rsidRPr="007D116E" w:rsidRDefault="00DB6E47" w:rsidP="00DB6E47">
      <w:pPr>
        <w:pStyle w:val="Apara"/>
      </w:pPr>
      <w:r w:rsidRPr="007D116E">
        <w:tab/>
        <w:t>(c)</w:t>
      </w:r>
      <w:r w:rsidRPr="007D116E">
        <w:tab/>
        <w:t>stating the action the Regulator is proposing to take under this section (the proposed action); and</w:t>
      </w:r>
    </w:p>
    <w:p w14:paraId="782FA29E" w14:textId="77777777" w:rsidR="00DB6E47" w:rsidRPr="007D116E" w:rsidRDefault="00DB6E47" w:rsidP="000B2F99">
      <w:pPr>
        <w:pStyle w:val="Apara"/>
        <w:keepLines/>
      </w:pPr>
      <w:r w:rsidRPr="007D116E">
        <w:tab/>
        <w:t>(d)</w:t>
      </w:r>
      <w:r w:rsidRPr="007D116E">
        <w:tab/>
        <w:t>inviting persons who will be affected by the proposed action to make, within a stated time of at least 14 days after the Commonwealth Gazette notice is published, written representations about why the proposed action should not be taken.</w:t>
      </w:r>
    </w:p>
    <w:p w14:paraId="567E7637" w14:textId="77777777" w:rsidR="00DB6E47" w:rsidRPr="00DA68DB" w:rsidRDefault="00DB6E47" w:rsidP="00DB6E47">
      <w:pPr>
        <w:pStyle w:val="Amain"/>
      </w:pPr>
      <w:r w:rsidRPr="00DA68DB">
        <w:lastRenderedPageBreak/>
        <w:tab/>
        <w:t>(4)</w:t>
      </w:r>
      <w:r w:rsidRPr="00DA68DB">
        <w:tab/>
        <w:t>If, after considering all written repres</w:t>
      </w:r>
      <w:r w:rsidR="008C2E76">
        <w:t>entations made under subsection </w:t>
      </w:r>
      <w:r w:rsidRPr="00DA68DB">
        <w:t>(3)(d), the Regulator still considers a ground exists to take the proposed action, the Regulator may—</w:t>
      </w:r>
    </w:p>
    <w:p w14:paraId="4C8A0EB2" w14:textId="77777777" w:rsidR="00DB6E47" w:rsidRPr="007D116E" w:rsidRDefault="00DB6E47" w:rsidP="00DB6E47">
      <w:pPr>
        <w:pStyle w:val="Apara"/>
      </w:pPr>
      <w:r w:rsidRPr="007D116E">
        <w:tab/>
        <w:t>(a)</w:t>
      </w:r>
      <w:r w:rsidRPr="007D116E">
        <w:tab/>
        <w:t>if the proposed action was to amend the exemption—amend the exemption, including, for example, by imposing additional conditions on the exemption, in a way that is not substantially different from the proposed action; or</w:t>
      </w:r>
    </w:p>
    <w:p w14:paraId="6762A006" w14:textId="77777777" w:rsidR="00DB6E47" w:rsidRPr="007D116E" w:rsidRDefault="00DB6E47" w:rsidP="00DB6E47">
      <w:pPr>
        <w:pStyle w:val="Apara"/>
      </w:pPr>
      <w:r w:rsidRPr="007D116E">
        <w:tab/>
        <w:t>(b)</w:t>
      </w:r>
      <w:r w:rsidRPr="007D116E">
        <w:tab/>
        <w:t>if the proposed action was to cancel the exemption—</w:t>
      </w:r>
    </w:p>
    <w:p w14:paraId="4DA1EC75" w14:textId="77777777" w:rsidR="00DB6E47" w:rsidRPr="00516F02" w:rsidRDefault="00DB6E47" w:rsidP="00DB6E47">
      <w:pPr>
        <w:pStyle w:val="Asubpara"/>
      </w:pPr>
      <w:r w:rsidRPr="00516F02">
        <w:tab/>
        <w:t>(i)</w:t>
      </w:r>
      <w:r w:rsidRPr="00516F02">
        <w:tab/>
        <w:t>amend the exemption, including, for example, by imposing additional conditions on the exemption; or</w:t>
      </w:r>
    </w:p>
    <w:p w14:paraId="57F91C05" w14:textId="77777777" w:rsidR="00DB6E47" w:rsidRPr="00516F02" w:rsidRDefault="00DB6E47" w:rsidP="00DB6E47">
      <w:pPr>
        <w:pStyle w:val="Asubpara"/>
      </w:pPr>
      <w:r w:rsidRPr="00516F02">
        <w:tab/>
        <w:t>(ii)</w:t>
      </w:r>
      <w:r w:rsidRPr="00516F02">
        <w:tab/>
        <w:t>cancel the exemption.</w:t>
      </w:r>
    </w:p>
    <w:p w14:paraId="0AB4CBA7" w14:textId="77777777" w:rsidR="00DB6E47" w:rsidRPr="00DA68DB" w:rsidRDefault="00DB6E47" w:rsidP="00DB6E47">
      <w:pPr>
        <w:pStyle w:val="Amain"/>
      </w:pPr>
      <w:r w:rsidRPr="00DA68DB">
        <w:tab/>
        <w:t>(5)</w:t>
      </w:r>
      <w:r w:rsidRPr="00DA68DB">
        <w:tab/>
      </w:r>
      <w:r w:rsidR="00014F07" w:rsidRPr="00DC20FD">
        <w:t>The Regulator must publish a public notice of the amendment or cancellation.</w:t>
      </w:r>
    </w:p>
    <w:p w14:paraId="54F5855B" w14:textId="77777777" w:rsidR="00DB6E47" w:rsidRPr="00DA68DB" w:rsidRDefault="00DB6E47" w:rsidP="00DB6E47">
      <w:pPr>
        <w:pStyle w:val="Amain"/>
      </w:pPr>
      <w:r w:rsidRPr="00DA68DB">
        <w:tab/>
        <w:t>(6)</w:t>
      </w:r>
      <w:r w:rsidRPr="00DA68DB">
        <w:tab/>
        <w:t>The amendment or cancellation takes effect—</w:t>
      </w:r>
    </w:p>
    <w:p w14:paraId="6A09DD08" w14:textId="77777777" w:rsidR="00DB6E47" w:rsidRPr="007D116E" w:rsidRDefault="00DB6E47" w:rsidP="00DB6E47">
      <w:pPr>
        <w:pStyle w:val="Apara"/>
      </w:pPr>
      <w:r w:rsidRPr="007D116E">
        <w:tab/>
        <w:t>(a)</w:t>
      </w:r>
      <w:r w:rsidRPr="007D116E">
        <w:tab/>
      </w:r>
      <w:r w:rsidR="00014F07" w:rsidRPr="00DC20FD">
        <w:t>28 days after the Commonwealth Gazette notice is published under subsection (5); or</w:t>
      </w:r>
    </w:p>
    <w:p w14:paraId="1771681B" w14:textId="77777777" w:rsidR="00DB6E47" w:rsidRPr="007D116E" w:rsidRDefault="00DB6E47" w:rsidP="00DB6E47">
      <w:pPr>
        <w:pStyle w:val="Apara"/>
      </w:pPr>
      <w:r w:rsidRPr="007D116E">
        <w:tab/>
        <w:t>(b)</w:t>
      </w:r>
      <w:r w:rsidRPr="007D116E">
        <w:tab/>
        <w:t>if a later time is stated in the Commonwealth Gazette notice, at the later time.</w:t>
      </w:r>
    </w:p>
    <w:p w14:paraId="74B3925F" w14:textId="77777777" w:rsidR="00DB6E47" w:rsidRPr="007E1F9A" w:rsidRDefault="00DB6E47" w:rsidP="00DB6E47">
      <w:pPr>
        <w:pStyle w:val="AH5Sec"/>
      </w:pPr>
      <w:bookmarkStart w:id="64" w:name="_Toc83625408"/>
      <w:r w:rsidRPr="005E03F7">
        <w:rPr>
          <w:rStyle w:val="CharSectNo"/>
        </w:rPr>
        <w:t>67</w:t>
      </w:r>
      <w:r w:rsidRPr="007E1F9A">
        <w:tab/>
        <w:t>Immediate suspension on Regulator’s initiative</w:t>
      </w:r>
      <w:bookmarkEnd w:id="64"/>
    </w:p>
    <w:p w14:paraId="28033A0E" w14:textId="77777777" w:rsidR="00DB6E47" w:rsidRPr="00DA68DB" w:rsidRDefault="00DB6E47" w:rsidP="000B2F99">
      <w:pPr>
        <w:pStyle w:val="Amain"/>
        <w:keepNext/>
      </w:pPr>
      <w:r w:rsidRPr="00DA68DB">
        <w:tab/>
        <w:t>(1)</w:t>
      </w:r>
      <w:r w:rsidRPr="00DA68DB">
        <w:tab/>
        <w:t>This section applies if the Regulator considers it is necessary to suspend a vehicle standards exemption (notice) immediately to prevent or minimise serious harm to public safety or significant damage to road infrastructure.</w:t>
      </w:r>
    </w:p>
    <w:p w14:paraId="1ED6E229" w14:textId="77777777" w:rsidR="00DB6E47" w:rsidRPr="00DA68DB" w:rsidRDefault="00DB6E47" w:rsidP="00DB6E47">
      <w:pPr>
        <w:pStyle w:val="Amain"/>
      </w:pPr>
      <w:r w:rsidRPr="00DA68DB">
        <w:tab/>
        <w:t>(2)</w:t>
      </w:r>
      <w:r w:rsidRPr="00DA68DB">
        <w:tab/>
      </w:r>
      <w:r w:rsidR="00DC20FD" w:rsidRPr="00DC20FD">
        <w:t>The Regulator may, by public notice, immediately suspend the exemption until the earliest of the following—</w:t>
      </w:r>
    </w:p>
    <w:p w14:paraId="34AF05C7" w14:textId="77777777" w:rsidR="00DB6E47" w:rsidRPr="007D116E" w:rsidRDefault="00DB6E47" w:rsidP="00DB6E47">
      <w:pPr>
        <w:pStyle w:val="Apara"/>
      </w:pPr>
      <w:r w:rsidRPr="007D116E">
        <w:tab/>
        <w:t>(a)</w:t>
      </w:r>
      <w:r w:rsidRPr="007D116E">
        <w:tab/>
      </w:r>
      <w:r w:rsidR="00E2365B" w:rsidRPr="0073018B">
        <w:t>the end of 56 days after the day the public notice is published;</w:t>
      </w:r>
    </w:p>
    <w:p w14:paraId="397D76B0" w14:textId="77777777" w:rsidR="00DB6E47" w:rsidRPr="007D116E" w:rsidRDefault="00DB6E47" w:rsidP="00DB6E47">
      <w:pPr>
        <w:pStyle w:val="Apara"/>
      </w:pPr>
      <w:r w:rsidRPr="007D116E">
        <w:tab/>
        <w:t>(b)</w:t>
      </w:r>
      <w:r w:rsidRPr="007D116E">
        <w:tab/>
      </w:r>
      <w:r w:rsidR="00E2365B" w:rsidRPr="0073018B">
        <w:t>the Regulator publishes a notice under section 66(5) and the amendment or cancellation takes effect under section 66(6);</w:t>
      </w:r>
    </w:p>
    <w:p w14:paraId="1D3F1E26" w14:textId="77777777" w:rsidR="00DB6E47" w:rsidRPr="007D116E" w:rsidRDefault="00DB6E47" w:rsidP="00DB6E47">
      <w:pPr>
        <w:pStyle w:val="Apara"/>
      </w:pPr>
      <w:r w:rsidRPr="007D116E">
        <w:lastRenderedPageBreak/>
        <w:tab/>
        <w:t>(c)</w:t>
      </w:r>
      <w:r w:rsidRPr="007D116E">
        <w:tab/>
      </w:r>
      <w:r w:rsidR="00E2365B" w:rsidRPr="0073018B">
        <w:t>the Regulator cancels the suspension by public notice.</w:t>
      </w:r>
    </w:p>
    <w:p w14:paraId="197453FA" w14:textId="77777777" w:rsidR="00DB6E47" w:rsidRPr="00DA68DB" w:rsidRDefault="00DB6E47" w:rsidP="00DB6E47">
      <w:pPr>
        <w:pStyle w:val="Amain"/>
      </w:pPr>
      <w:r w:rsidRPr="00DA68DB">
        <w:tab/>
        <w:t>(4)</w:t>
      </w:r>
      <w:r w:rsidRPr="00DA68DB">
        <w:tab/>
        <w:t>The suspension, and (where relevant) the cancellation of the suspension, takes effect immediately after the Commonwealth Gazette notice is published under subsection (3).</w:t>
      </w:r>
    </w:p>
    <w:p w14:paraId="1EC64BD4" w14:textId="77777777" w:rsidR="00DB6E47" w:rsidRPr="00DA68DB" w:rsidRDefault="00DB6E47" w:rsidP="00DB6E47">
      <w:pPr>
        <w:pStyle w:val="Amain"/>
      </w:pPr>
      <w:r w:rsidRPr="00DA68DB">
        <w:tab/>
        <w:t>(5)</w:t>
      </w:r>
      <w:r w:rsidRPr="00DA68DB">
        <w:tab/>
        <w:t>This section applies despite section 66.</w:t>
      </w:r>
    </w:p>
    <w:p w14:paraId="3857CBB9" w14:textId="77777777" w:rsidR="00DB6E47" w:rsidRPr="005E03F7" w:rsidRDefault="00DB6E47" w:rsidP="00DB6E47">
      <w:pPr>
        <w:pStyle w:val="AH3Div"/>
      </w:pPr>
      <w:bookmarkStart w:id="65" w:name="_Toc83625409"/>
      <w:r w:rsidRPr="005E03F7">
        <w:rPr>
          <w:rStyle w:val="CharDivNo"/>
        </w:rPr>
        <w:t>Division 3</w:t>
      </w:r>
      <w:r w:rsidRPr="00A95F9A">
        <w:rPr>
          <w:rFonts w:ascii="Helvetica" w:hAnsi="Helvetica" w:cs="Helvetica"/>
          <w:iCs/>
          <w:szCs w:val="28"/>
        </w:rPr>
        <w:tab/>
      </w:r>
      <w:r w:rsidRPr="005E03F7">
        <w:rPr>
          <w:rStyle w:val="CharDivText"/>
          <w:rFonts w:ascii="Helvetica" w:hAnsi="Helvetica" w:cs="Helvetica"/>
          <w:iCs/>
          <w:szCs w:val="28"/>
        </w:rPr>
        <w:t>Exemptions by permit</w:t>
      </w:r>
      <w:bookmarkEnd w:id="65"/>
    </w:p>
    <w:p w14:paraId="1B2F4B88" w14:textId="77777777" w:rsidR="00DB6E47" w:rsidRPr="007E1F9A" w:rsidRDefault="00DB6E47" w:rsidP="00DB6E47">
      <w:pPr>
        <w:pStyle w:val="AH5Sec"/>
      </w:pPr>
      <w:bookmarkStart w:id="66" w:name="_Toc83625410"/>
      <w:r w:rsidRPr="005E03F7">
        <w:rPr>
          <w:rStyle w:val="CharSectNo"/>
        </w:rPr>
        <w:t>68</w:t>
      </w:r>
      <w:r w:rsidRPr="007E1F9A">
        <w:tab/>
        <w:t>Regulator’s power to exempt particular heavy vehicle from compliance with heavy vehicle standard</w:t>
      </w:r>
      <w:bookmarkEnd w:id="66"/>
    </w:p>
    <w:p w14:paraId="00715349" w14:textId="77777777" w:rsidR="00DB6E47" w:rsidRPr="00DA68DB" w:rsidRDefault="00DB6E47" w:rsidP="00DB6E47">
      <w:pPr>
        <w:pStyle w:val="Amain"/>
      </w:pPr>
      <w:r w:rsidRPr="00DA68DB">
        <w:tab/>
        <w:t>(1)</w:t>
      </w:r>
      <w:r w:rsidRPr="00DA68DB">
        <w:tab/>
        <w:t>The Regulator may, by giving a person a permit as mentioned in section 73, exempt a heavy vehicle from compliance with a heavy vehicle standard for a period of not more than 3 years.</w:t>
      </w:r>
    </w:p>
    <w:p w14:paraId="1694D7D0" w14:textId="77777777" w:rsidR="00DB6E47" w:rsidRPr="00DA68DB" w:rsidRDefault="00DB6E47" w:rsidP="00DB6E47">
      <w:pPr>
        <w:pStyle w:val="Amain"/>
      </w:pPr>
      <w:r w:rsidRPr="00DA68DB">
        <w:tab/>
        <w:t>(2</w:t>
      </w:r>
      <w:r w:rsidR="00056C16">
        <w:t>)</w:t>
      </w:r>
      <w:r w:rsidR="00056C16">
        <w:tab/>
        <w:t xml:space="preserve">An exemption under subsection </w:t>
      </w:r>
      <w:r w:rsidRPr="00DA68DB">
        <w:t>(1)</w:t>
      </w:r>
      <w:r w:rsidR="00056C16">
        <w:t xml:space="preserve"> </w:t>
      </w:r>
      <w:r w:rsidRPr="00DA68DB">
        <w:t xml:space="preserve">is a </w:t>
      </w:r>
      <w:r w:rsidRPr="00FF4454">
        <w:rPr>
          <w:rStyle w:val="charBoldItals"/>
        </w:rPr>
        <w:t>vehicle standards exemption (permit)</w:t>
      </w:r>
      <w:r w:rsidRPr="00DA68DB">
        <w:t>.</w:t>
      </w:r>
    </w:p>
    <w:p w14:paraId="6727F431" w14:textId="77777777" w:rsidR="00DB6E47" w:rsidRPr="00DA68DB" w:rsidRDefault="00DB6E47" w:rsidP="00DB6E47">
      <w:pPr>
        <w:pStyle w:val="Amain"/>
      </w:pPr>
      <w:r w:rsidRPr="00DA68DB">
        <w:tab/>
        <w:t>(3)</w:t>
      </w:r>
      <w:r w:rsidRPr="00DA68DB">
        <w:tab/>
        <w:t>A vehicle standards exemption (permit) may apply to 1 or more heavy vehicles.</w:t>
      </w:r>
    </w:p>
    <w:p w14:paraId="02CFF8E6" w14:textId="77777777" w:rsidR="00DB6E47" w:rsidRPr="007E1F9A" w:rsidRDefault="00DB6E47" w:rsidP="00DB6E47">
      <w:pPr>
        <w:pStyle w:val="AH5Sec"/>
      </w:pPr>
      <w:bookmarkStart w:id="67" w:name="_Toc83625411"/>
      <w:r w:rsidRPr="005E03F7">
        <w:rPr>
          <w:rStyle w:val="CharSectNo"/>
        </w:rPr>
        <w:t>69</w:t>
      </w:r>
      <w:r w:rsidRPr="007E1F9A">
        <w:tab/>
        <w:t>Application for vehicle standards exemption (permit)</w:t>
      </w:r>
      <w:bookmarkEnd w:id="67"/>
    </w:p>
    <w:p w14:paraId="7F8C395C" w14:textId="77777777" w:rsidR="00DB6E47" w:rsidRPr="00DA68DB" w:rsidRDefault="00DB6E47" w:rsidP="00DB6E47">
      <w:pPr>
        <w:pStyle w:val="Amain"/>
      </w:pPr>
      <w:r w:rsidRPr="00DA68DB">
        <w:tab/>
        <w:t>(1)</w:t>
      </w:r>
      <w:r w:rsidRPr="00DA68DB">
        <w:tab/>
        <w:t>A person may apply to the Regulator for a vehicle standards exemption (permit).</w:t>
      </w:r>
    </w:p>
    <w:p w14:paraId="41818C44" w14:textId="77777777" w:rsidR="00DB6E47" w:rsidRPr="00DA68DB" w:rsidRDefault="00DB6E47" w:rsidP="00DB6E47">
      <w:pPr>
        <w:pStyle w:val="Amain"/>
      </w:pPr>
      <w:r w:rsidRPr="00DA68DB">
        <w:tab/>
        <w:t>(2)</w:t>
      </w:r>
      <w:r w:rsidRPr="00DA68DB">
        <w:tab/>
        <w:t>The application must be—</w:t>
      </w:r>
    </w:p>
    <w:p w14:paraId="21EED144" w14:textId="77777777" w:rsidR="00DB6E47" w:rsidRPr="007D116E" w:rsidRDefault="00DB6E47" w:rsidP="00DB6E47">
      <w:pPr>
        <w:pStyle w:val="Apara"/>
      </w:pPr>
      <w:r w:rsidRPr="007D116E">
        <w:tab/>
        <w:t>(a)</w:t>
      </w:r>
      <w:r w:rsidRPr="007D116E">
        <w:tab/>
        <w:t>in the approved form; and</w:t>
      </w:r>
    </w:p>
    <w:p w14:paraId="61DED8E5" w14:textId="77777777" w:rsidR="00DB6E47" w:rsidRPr="007D116E" w:rsidRDefault="00DB6E47" w:rsidP="00DB6E47">
      <w:pPr>
        <w:pStyle w:val="Apara"/>
      </w:pPr>
      <w:r w:rsidRPr="007D116E">
        <w:tab/>
        <w:t>(b)</w:t>
      </w:r>
      <w:r w:rsidRPr="007D116E">
        <w:tab/>
        <w:t>accompanied by the prescribed fee for the application.</w:t>
      </w:r>
    </w:p>
    <w:p w14:paraId="3D33B610" w14:textId="77777777" w:rsidR="00DB6E47" w:rsidRPr="00DA68DB" w:rsidRDefault="00DB6E47" w:rsidP="00DB6E47">
      <w:pPr>
        <w:pStyle w:val="Amain"/>
      </w:pPr>
      <w:r w:rsidRPr="00DA68DB">
        <w:tab/>
        <w:t>(3)</w:t>
      </w:r>
      <w:r w:rsidRPr="00DA68DB">
        <w:tab/>
        <w:t>The Regulator may, by notice given to the applicant for a vehicle standards exemption (permit), require the applicant to give the Regulator any additional information the Regulator reasonably requires to decide the application.</w:t>
      </w:r>
    </w:p>
    <w:p w14:paraId="03DC5ABC" w14:textId="77777777" w:rsidR="00DB6E47" w:rsidRPr="007E1F9A" w:rsidRDefault="00DB6E47" w:rsidP="00DB6E47">
      <w:pPr>
        <w:pStyle w:val="AH5Sec"/>
      </w:pPr>
      <w:bookmarkStart w:id="68" w:name="_Toc83625412"/>
      <w:r w:rsidRPr="005E03F7">
        <w:rPr>
          <w:rStyle w:val="CharSectNo"/>
        </w:rPr>
        <w:lastRenderedPageBreak/>
        <w:t>70</w:t>
      </w:r>
      <w:r w:rsidRPr="007E1F9A">
        <w:tab/>
        <w:t>Restriction on grant of vehicle standards exemption (permit)</w:t>
      </w:r>
      <w:bookmarkEnd w:id="68"/>
    </w:p>
    <w:p w14:paraId="37918662" w14:textId="77777777" w:rsidR="00DB6E47" w:rsidRPr="00DA68DB" w:rsidRDefault="00DB6E47" w:rsidP="009037C9">
      <w:pPr>
        <w:pStyle w:val="Amain"/>
        <w:keepNext/>
      </w:pPr>
      <w:r w:rsidRPr="00DA68DB">
        <w:tab/>
        <w:t>(1)</w:t>
      </w:r>
      <w:r w:rsidRPr="00DA68DB">
        <w:tab/>
        <w:t>The Regulator may grant a vehicle standards exemption (permit) for a heavy vehicle only if—</w:t>
      </w:r>
    </w:p>
    <w:p w14:paraId="64DD3E42" w14:textId="77777777" w:rsidR="00DB6E47" w:rsidRPr="007D116E" w:rsidRDefault="00DB6E47" w:rsidP="009037C9">
      <w:pPr>
        <w:pStyle w:val="Apara"/>
        <w:keepNext/>
      </w:pPr>
      <w:r w:rsidRPr="007D116E">
        <w:tab/>
        <w:t>(a)</w:t>
      </w:r>
      <w:r w:rsidRPr="007D116E">
        <w:tab/>
        <w:t>1 of the following applies—</w:t>
      </w:r>
    </w:p>
    <w:p w14:paraId="16AA4FF5" w14:textId="77777777" w:rsidR="00DB6E47" w:rsidRPr="00516F02" w:rsidRDefault="00DB6E47" w:rsidP="00824C29">
      <w:pPr>
        <w:pStyle w:val="Asubpara"/>
        <w:keepLines/>
      </w:pPr>
      <w:r w:rsidRPr="00516F02">
        <w:tab/>
        <w:t>(i)</w:t>
      </w:r>
      <w:r w:rsidRPr="00516F02">
        <w:tab/>
        <w:t>the Regulator is satisfied complying with the heavy vehicle standard to which the exemption is to apply would prevent the heavy vehicle from operating in the way in which, or for the purpose for which, the vehicle was built or modified;</w:t>
      </w:r>
    </w:p>
    <w:p w14:paraId="1ECA25A6" w14:textId="77777777" w:rsidR="00DB6E47" w:rsidRPr="00516F02" w:rsidRDefault="00DB6E47" w:rsidP="00DB6E47">
      <w:pPr>
        <w:pStyle w:val="Asubpara"/>
      </w:pPr>
      <w:r w:rsidRPr="00516F02">
        <w:tab/>
        <w:t>(ii)</w:t>
      </w:r>
      <w:r w:rsidRPr="00516F02">
        <w:tab/>
        <w:t>the Regulator is satisfied the heavy vehicle is an experimental vehicle, prototype or similar vehicle that could not reasonably be expected to comply with the heavy vehicle standard to which the exemption is to apply;</w:t>
      </w:r>
    </w:p>
    <w:p w14:paraId="4C131B42" w14:textId="77777777" w:rsidR="00DB6E47" w:rsidRPr="00516F02" w:rsidRDefault="00DB6E47" w:rsidP="000B2F99">
      <w:pPr>
        <w:pStyle w:val="Asubpara"/>
        <w:keepNext/>
      </w:pPr>
      <w:r w:rsidRPr="00516F02">
        <w:tab/>
        <w:t>(iii)</w:t>
      </w:r>
      <w:r w:rsidRPr="00516F02">
        <w:tab/>
        <w:t>the heavy vehicle, immediately before the commencement of this section in a participating jurisdiction, was not required to comply with a similar standard at that time and was—</w:t>
      </w:r>
    </w:p>
    <w:p w14:paraId="14099789" w14:textId="77777777" w:rsidR="00DB6E47" w:rsidRPr="006C3305" w:rsidRDefault="00DB6E47" w:rsidP="00DB6E47">
      <w:pPr>
        <w:pStyle w:val="Asubsubpara"/>
      </w:pPr>
      <w:r w:rsidRPr="00352CBD">
        <w:tab/>
        <w:t>(</w:t>
      </w:r>
      <w:r w:rsidR="00A27457">
        <w:t>A</w:t>
      </w:r>
      <w:r w:rsidRPr="00352CBD">
        <w:t>)</w:t>
      </w:r>
      <w:r w:rsidRPr="006C3305">
        <w:tab/>
        <w:t>registered under an Australian road law of that jurisdiction; or</w:t>
      </w:r>
    </w:p>
    <w:p w14:paraId="4F070D1A" w14:textId="77777777" w:rsidR="00DB6E47" w:rsidRPr="006C3305" w:rsidRDefault="00DB6E47" w:rsidP="00DB6E47">
      <w:pPr>
        <w:pStyle w:val="Asubsubpara"/>
      </w:pPr>
      <w:r w:rsidRPr="00352CBD">
        <w:tab/>
        <w:t>(</w:t>
      </w:r>
      <w:r w:rsidR="00A27457">
        <w:t>B</w:t>
      </w:r>
      <w:r w:rsidRPr="00352CBD">
        <w:t>)</w:t>
      </w:r>
      <w:r w:rsidRPr="006C3305">
        <w:tab/>
        <w:t>operating under an unregistered heavy vehicle permit or exemption from registration (however described) granted or issued under an Australian road law of that jurisdiction; and</w:t>
      </w:r>
    </w:p>
    <w:p w14:paraId="5C8E9056" w14:textId="77777777" w:rsidR="00DB6E47" w:rsidRPr="007D116E" w:rsidRDefault="00DB6E47" w:rsidP="00DB6E47">
      <w:pPr>
        <w:pStyle w:val="Apara"/>
      </w:pPr>
      <w:r w:rsidRPr="007D116E">
        <w:tab/>
        <w:t>(b)</w:t>
      </w:r>
      <w:r w:rsidRPr="007D116E">
        <w:tab/>
        <w:t>the Regulator is satisfied the use of the heavy vehicle on a road under the exemption will not pose a significant safety risk.</w:t>
      </w:r>
    </w:p>
    <w:p w14:paraId="644410AD" w14:textId="77777777" w:rsidR="00DB6E47" w:rsidRPr="00DA68DB" w:rsidRDefault="00DB6E47" w:rsidP="00DB6E47">
      <w:pPr>
        <w:pStyle w:val="Amain"/>
      </w:pPr>
      <w:r w:rsidRPr="00DA68DB">
        <w:tab/>
        <w:t>(2)</w:t>
      </w:r>
      <w:r w:rsidRPr="00DA68DB">
        <w:tab/>
        <w:t>In deciding whether to grant a vehicle standards exemption (permit), the Regulator must have regard to the approved guidelines for granting vehicle standards exemptions.</w:t>
      </w:r>
    </w:p>
    <w:p w14:paraId="2240AA18" w14:textId="77777777" w:rsidR="00DB6E47" w:rsidRPr="007E1F9A" w:rsidRDefault="00DB6E47" w:rsidP="00DB6E47">
      <w:pPr>
        <w:pStyle w:val="AH5Sec"/>
      </w:pPr>
      <w:bookmarkStart w:id="69" w:name="_Toc83625413"/>
      <w:r w:rsidRPr="005E03F7">
        <w:rPr>
          <w:rStyle w:val="CharSectNo"/>
        </w:rPr>
        <w:lastRenderedPageBreak/>
        <w:t>71</w:t>
      </w:r>
      <w:r w:rsidRPr="007E1F9A">
        <w:tab/>
        <w:t>Conditions of vehicle standards exemption (permit)</w:t>
      </w:r>
      <w:bookmarkEnd w:id="69"/>
    </w:p>
    <w:p w14:paraId="25CA2E1E" w14:textId="77777777" w:rsidR="00DB6E47" w:rsidRPr="00DA68DB" w:rsidRDefault="00DB6E47" w:rsidP="00DB6E47">
      <w:pPr>
        <w:pStyle w:val="Amainreturn"/>
      </w:pPr>
      <w:r w:rsidRPr="00DA68DB">
        <w:t>A vehicle standards exemption (permit) may be subject to any conditions the Regulator considers appropriate, including, for example, a condition about protecting road infrastructure from damage.</w:t>
      </w:r>
    </w:p>
    <w:p w14:paraId="5857EEBE" w14:textId="77777777" w:rsidR="00DB6E47" w:rsidRPr="007E1F9A" w:rsidRDefault="00DB6E47" w:rsidP="00DB6E47">
      <w:pPr>
        <w:pStyle w:val="AH5Sec"/>
      </w:pPr>
      <w:bookmarkStart w:id="70" w:name="_Toc83625414"/>
      <w:r w:rsidRPr="005E03F7">
        <w:rPr>
          <w:rStyle w:val="CharSectNo"/>
        </w:rPr>
        <w:t>72</w:t>
      </w:r>
      <w:r w:rsidRPr="007E1F9A">
        <w:tab/>
        <w:t>Period for which vehicle standards exemption (permit) applies</w:t>
      </w:r>
      <w:bookmarkEnd w:id="70"/>
    </w:p>
    <w:p w14:paraId="406ED18E" w14:textId="77777777" w:rsidR="00DB6E47" w:rsidRPr="00DA68DB" w:rsidRDefault="00DB6E47" w:rsidP="00DB6E47">
      <w:pPr>
        <w:pStyle w:val="Amain"/>
      </w:pPr>
      <w:r w:rsidRPr="00DA68DB">
        <w:tab/>
        <w:t>(1)</w:t>
      </w:r>
      <w:r w:rsidRPr="00DA68DB">
        <w:tab/>
        <w:t>A vehicle standards exemption (permit) applies for the period stated in the permit for the exemption.</w:t>
      </w:r>
    </w:p>
    <w:p w14:paraId="766A08F4" w14:textId="77777777" w:rsidR="00DB6E47" w:rsidRPr="00DA68DB" w:rsidRDefault="00DB6E47" w:rsidP="00DB6E47">
      <w:pPr>
        <w:pStyle w:val="Amain"/>
      </w:pPr>
      <w:r w:rsidRPr="00DA68DB">
        <w:tab/>
        <w:t>(2)</w:t>
      </w:r>
      <w:r w:rsidRPr="00DA68DB">
        <w:tab/>
        <w:t>The period may be less than the period sought by the applicant for the vehicle standards exemption (permit).</w:t>
      </w:r>
    </w:p>
    <w:p w14:paraId="5CE666B5" w14:textId="77777777" w:rsidR="00DB6E47" w:rsidRPr="007E1F9A" w:rsidRDefault="00DB6E47" w:rsidP="00DB6E47">
      <w:pPr>
        <w:pStyle w:val="AH5Sec"/>
      </w:pPr>
      <w:bookmarkStart w:id="71" w:name="_Toc83625415"/>
      <w:r w:rsidRPr="005E03F7">
        <w:rPr>
          <w:rStyle w:val="CharSectNo"/>
        </w:rPr>
        <w:t>73</w:t>
      </w:r>
      <w:r w:rsidRPr="007E1F9A">
        <w:tab/>
        <w:t>Permit for vehicle standards exemption (permit) etc.</w:t>
      </w:r>
      <w:bookmarkEnd w:id="71"/>
    </w:p>
    <w:p w14:paraId="0DFF2784" w14:textId="77777777" w:rsidR="00DB6E47" w:rsidRPr="00DA68DB" w:rsidRDefault="00DB6E47" w:rsidP="000B2F99">
      <w:pPr>
        <w:pStyle w:val="Amain"/>
        <w:keepNext/>
      </w:pPr>
      <w:r w:rsidRPr="00DA68DB">
        <w:tab/>
        <w:t>(1)</w:t>
      </w:r>
      <w:r w:rsidRPr="00DA68DB">
        <w:tab/>
        <w:t>If the Regulator grants a vehicle standards exemption (permit) to a person, the Regulator must give the person—</w:t>
      </w:r>
    </w:p>
    <w:p w14:paraId="109BACCD" w14:textId="77777777" w:rsidR="00DB6E47" w:rsidRPr="007D116E" w:rsidRDefault="00DB6E47" w:rsidP="00DB6E47">
      <w:pPr>
        <w:pStyle w:val="Apara"/>
      </w:pPr>
      <w:r w:rsidRPr="007D116E">
        <w:tab/>
        <w:t>(a)</w:t>
      </w:r>
      <w:r w:rsidRPr="007D116E">
        <w:tab/>
        <w:t>a permit for the exemption; and</w:t>
      </w:r>
    </w:p>
    <w:p w14:paraId="3F40F0A4" w14:textId="77777777" w:rsidR="00282A1D" w:rsidRPr="00282A1D" w:rsidRDefault="00282A1D" w:rsidP="00282A1D">
      <w:pPr>
        <w:pStyle w:val="Apara"/>
        <w:rPr>
          <w:lang w:val="en" w:eastAsia="en-AU"/>
        </w:rPr>
      </w:pPr>
      <w:r>
        <w:rPr>
          <w:lang w:val="en" w:eastAsia="en-AU"/>
        </w:rPr>
        <w:tab/>
      </w:r>
      <w:r w:rsidRPr="00282A1D">
        <w:rPr>
          <w:lang w:val="en" w:eastAsia="en-AU"/>
        </w:rPr>
        <w:t>(b)</w:t>
      </w:r>
      <w:r>
        <w:rPr>
          <w:lang w:val="en" w:eastAsia="en-AU"/>
        </w:rPr>
        <w:tab/>
      </w:r>
      <w:r w:rsidRPr="00282A1D">
        <w:rPr>
          <w:lang w:val="en" w:eastAsia="en-AU"/>
        </w:rPr>
        <w:t>if the Regulator’s decision to grant the exemption for a period or impose a condition on the exemption is a reviewable decision—a notice stating the review and appeal information for the decision.</w:t>
      </w:r>
    </w:p>
    <w:p w14:paraId="395C97F3" w14:textId="77777777" w:rsidR="00282A1D" w:rsidRPr="00282A1D" w:rsidRDefault="00282A1D" w:rsidP="00282A1D">
      <w:pPr>
        <w:pStyle w:val="aNotepar"/>
        <w:rPr>
          <w:lang w:val="en" w:eastAsia="en-AU"/>
        </w:rPr>
      </w:pPr>
      <w:r w:rsidRPr="00282A1D">
        <w:rPr>
          <w:rStyle w:val="charItals"/>
        </w:rPr>
        <w:t>Note</w:t>
      </w:r>
      <w:r w:rsidRPr="00282A1D">
        <w:rPr>
          <w:lang w:val="en" w:eastAsia="en-AU"/>
        </w:rPr>
        <w:t>—</w:t>
      </w:r>
    </w:p>
    <w:p w14:paraId="303E0CFC" w14:textId="77777777" w:rsidR="00282A1D" w:rsidRPr="00282A1D" w:rsidRDefault="00282A1D" w:rsidP="00AA6ABA">
      <w:pPr>
        <w:pStyle w:val="aNotepar"/>
        <w:ind w:left="1610" w:hanging="10"/>
        <w:rPr>
          <w:lang w:val="en" w:eastAsia="en-AU"/>
        </w:rPr>
      </w:pPr>
      <w:r w:rsidRPr="00282A1D">
        <w:rPr>
          <w:lang w:val="en" w:eastAsia="en-AU"/>
        </w:rPr>
        <w:t>Under section 641(6)(a), this notice must also state particular information about obtaining a statement of reasons for the decision.</w:t>
      </w:r>
    </w:p>
    <w:p w14:paraId="5784F2DE" w14:textId="77777777" w:rsidR="00DB6E47" w:rsidRPr="00DA68DB" w:rsidRDefault="00DB6E47" w:rsidP="00DB6E47">
      <w:pPr>
        <w:pStyle w:val="Amain"/>
      </w:pPr>
      <w:r w:rsidRPr="00DA68DB">
        <w:tab/>
        <w:t>(2)</w:t>
      </w:r>
      <w:r w:rsidRPr="00DA68DB">
        <w:tab/>
        <w:t>A permit for a vehicle standards exemption (permit) must state the following—</w:t>
      </w:r>
    </w:p>
    <w:p w14:paraId="226607E4" w14:textId="77777777" w:rsidR="00DB6E47" w:rsidRPr="00DA68DB" w:rsidRDefault="00DB6E47" w:rsidP="00DB6E47">
      <w:pPr>
        <w:pStyle w:val="Apara"/>
      </w:pPr>
      <w:r w:rsidRPr="00DA68DB">
        <w:tab/>
        <w:t>(a)</w:t>
      </w:r>
      <w:r w:rsidRPr="00DA68DB">
        <w:tab/>
        <w:t>the name of the person to whom the permit is given;</w:t>
      </w:r>
    </w:p>
    <w:p w14:paraId="3F49761E" w14:textId="77777777" w:rsidR="00DB6E47" w:rsidRPr="007D116E" w:rsidRDefault="00DB6E47" w:rsidP="00DB6E47">
      <w:pPr>
        <w:pStyle w:val="Apara"/>
      </w:pPr>
      <w:r w:rsidRPr="007D116E">
        <w:tab/>
        <w:t>(b)</w:t>
      </w:r>
      <w:r w:rsidRPr="007D116E">
        <w:tab/>
        <w:t>each heavy vehicle to which the exemption applies, including the registration number of the vehicle if known when the permit is given;</w:t>
      </w:r>
    </w:p>
    <w:p w14:paraId="004530E6" w14:textId="77777777" w:rsidR="00DB6E47" w:rsidRPr="007D116E" w:rsidRDefault="00DB6E47" w:rsidP="00DB6E47">
      <w:pPr>
        <w:pStyle w:val="Apara"/>
      </w:pPr>
      <w:r w:rsidRPr="007D116E">
        <w:lastRenderedPageBreak/>
        <w:tab/>
        <w:t>(c)</w:t>
      </w:r>
      <w:r w:rsidRPr="007D116E">
        <w:tab/>
        <w:t>the heavy vehicle standard to which the exemption applies;</w:t>
      </w:r>
    </w:p>
    <w:p w14:paraId="79718C6B" w14:textId="77777777" w:rsidR="00DB6E47" w:rsidRPr="007D116E" w:rsidRDefault="00DB6E47" w:rsidP="009037C9">
      <w:pPr>
        <w:pStyle w:val="Apara"/>
        <w:keepNext/>
      </w:pPr>
      <w:r w:rsidRPr="007D116E">
        <w:tab/>
        <w:t>(d)</w:t>
      </w:r>
      <w:r w:rsidRPr="007D116E">
        <w:tab/>
        <w:t>the conditions of the exemption;</w:t>
      </w:r>
    </w:p>
    <w:p w14:paraId="1424CCCD" w14:textId="77777777" w:rsidR="00DB6E47" w:rsidRPr="007D116E" w:rsidRDefault="00DB6E47" w:rsidP="00DB6E47">
      <w:pPr>
        <w:pStyle w:val="Apara"/>
      </w:pPr>
      <w:r w:rsidRPr="007D116E">
        <w:tab/>
        <w:t>(e)</w:t>
      </w:r>
      <w:r w:rsidRPr="007D116E">
        <w:tab/>
        <w:t>the period for which the exemption applies.</w:t>
      </w:r>
    </w:p>
    <w:p w14:paraId="62D193EF" w14:textId="77777777" w:rsidR="00DB6E47" w:rsidRPr="007E1F9A" w:rsidRDefault="00DB6E47" w:rsidP="00DB6E47">
      <w:pPr>
        <w:pStyle w:val="AH5Sec"/>
      </w:pPr>
      <w:bookmarkStart w:id="72" w:name="_Toc83625416"/>
      <w:r w:rsidRPr="005E03F7">
        <w:rPr>
          <w:rStyle w:val="CharSectNo"/>
        </w:rPr>
        <w:t>74</w:t>
      </w:r>
      <w:r w:rsidRPr="007E1F9A">
        <w:tab/>
        <w:t>Refusal of application for vehicle standards exemption (permit)</w:t>
      </w:r>
      <w:bookmarkEnd w:id="72"/>
    </w:p>
    <w:p w14:paraId="1D253242" w14:textId="77777777" w:rsidR="00DB6E47" w:rsidRPr="00DA68DB" w:rsidRDefault="00DB6E47" w:rsidP="00DB6E47">
      <w:pPr>
        <w:pStyle w:val="Amainreturn"/>
      </w:pPr>
      <w:r w:rsidRPr="00DA68DB">
        <w:t>If the Regulator refuses an application for a vehicle standards exemption (permit), the Regulator must give the applicant an information notice for the decision to refuse the application.</w:t>
      </w:r>
    </w:p>
    <w:p w14:paraId="3705E02C" w14:textId="77777777" w:rsidR="00DB6E47" w:rsidRPr="007E1F9A" w:rsidRDefault="00DB6E47" w:rsidP="00DB6E47">
      <w:pPr>
        <w:pStyle w:val="AH5Sec"/>
      </w:pPr>
      <w:bookmarkStart w:id="73" w:name="_Toc83625417"/>
      <w:r w:rsidRPr="005E03F7">
        <w:rPr>
          <w:rStyle w:val="CharSectNo"/>
        </w:rPr>
        <w:t>75</w:t>
      </w:r>
      <w:r w:rsidRPr="007E1F9A">
        <w:tab/>
        <w:t>Amendment or cancellation of vehicle standards exemption (permit) on application by permit holder</w:t>
      </w:r>
      <w:bookmarkEnd w:id="73"/>
    </w:p>
    <w:p w14:paraId="7775DBC9" w14:textId="77777777" w:rsidR="00DB6E47" w:rsidRPr="00DA68DB" w:rsidRDefault="00DB6E47" w:rsidP="000B2F99">
      <w:pPr>
        <w:pStyle w:val="Amain"/>
        <w:keepNext/>
      </w:pPr>
      <w:r w:rsidRPr="00DA68DB">
        <w:tab/>
        <w:t>(1)</w:t>
      </w:r>
      <w:r w:rsidRPr="00DA68DB">
        <w:tab/>
        <w:t>The holder of a permit for a vehicle standards exemption (permit) may apply to the Regulator for an amendment or cancellation of the exemption.</w:t>
      </w:r>
    </w:p>
    <w:p w14:paraId="7F7DAC1F" w14:textId="77777777" w:rsidR="00DB6E47" w:rsidRPr="00DA68DB" w:rsidRDefault="00DB6E47" w:rsidP="00DB6E47">
      <w:pPr>
        <w:pStyle w:val="Amain"/>
      </w:pPr>
      <w:r w:rsidRPr="00DA68DB">
        <w:tab/>
        <w:t>(2)</w:t>
      </w:r>
      <w:r w:rsidRPr="00DA68DB">
        <w:tab/>
        <w:t>The application must—</w:t>
      </w:r>
    </w:p>
    <w:p w14:paraId="13411614" w14:textId="77777777" w:rsidR="00DB6E47" w:rsidRPr="007D116E" w:rsidRDefault="00DB6E47" w:rsidP="00DB6E47">
      <w:pPr>
        <w:pStyle w:val="Apara"/>
      </w:pPr>
      <w:r w:rsidRPr="007D116E">
        <w:tab/>
        <w:t>(a)</w:t>
      </w:r>
      <w:r w:rsidRPr="007D116E">
        <w:tab/>
        <w:t>be in the approved form; and</w:t>
      </w:r>
    </w:p>
    <w:p w14:paraId="42F8B7A3" w14:textId="77777777" w:rsidR="00DB6E47" w:rsidRPr="007D116E" w:rsidRDefault="00DB6E47" w:rsidP="00DB6E47">
      <w:pPr>
        <w:pStyle w:val="Apara"/>
      </w:pPr>
      <w:r w:rsidRPr="007D116E">
        <w:tab/>
        <w:t>(b)</w:t>
      </w:r>
      <w:r w:rsidRPr="007D116E">
        <w:tab/>
        <w:t>be accompanied by the prescribed fee for the application; and</w:t>
      </w:r>
    </w:p>
    <w:p w14:paraId="5AA9AECC" w14:textId="77777777" w:rsidR="00DB6E47" w:rsidRPr="007D116E" w:rsidRDefault="00DB6E47" w:rsidP="00DB6E47">
      <w:pPr>
        <w:pStyle w:val="Apara"/>
      </w:pPr>
      <w:r w:rsidRPr="007D116E">
        <w:tab/>
        <w:t>(c)</w:t>
      </w:r>
      <w:r w:rsidRPr="007D116E">
        <w:tab/>
        <w:t>if the application is for an amendment—state clearly the amendment sought and the reasons for the amendment; and</w:t>
      </w:r>
    </w:p>
    <w:p w14:paraId="3AA3A5FF" w14:textId="77777777" w:rsidR="00DB6E47" w:rsidRPr="007D116E" w:rsidRDefault="00DB6E47" w:rsidP="00DB6E47">
      <w:pPr>
        <w:pStyle w:val="Apara"/>
      </w:pPr>
      <w:r w:rsidRPr="007D116E">
        <w:tab/>
        <w:t>(d)</w:t>
      </w:r>
      <w:r w:rsidRPr="007D116E">
        <w:tab/>
        <w:t>be accompanied by the permit.</w:t>
      </w:r>
    </w:p>
    <w:p w14:paraId="3323F1F7" w14:textId="77777777" w:rsidR="00DB6E47" w:rsidRPr="00DA68DB" w:rsidRDefault="00DB6E47" w:rsidP="00DB6E47">
      <w:pPr>
        <w:pStyle w:val="Amain"/>
      </w:pPr>
      <w:r w:rsidRPr="00DA68DB">
        <w:tab/>
        <w:t>(3)</w:t>
      </w:r>
      <w:r w:rsidRPr="00DA68DB">
        <w:tab/>
        <w:t>The Regulator may, by notice given to the applicant, require the applicant to give the Regulator any additional information the Regulator reasonably requires to decide the application.</w:t>
      </w:r>
    </w:p>
    <w:p w14:paraId="050671C4" w14:textId="77777777" w:rsidR="00DB6E47" w:rsidRPr="00DA68DB" w:rsidRDefault="00DB6E47" w:rsidP="00DB6E47">
      <w:pPr>
        <w:pStyle w:val="Amain"/>
      </w:pPr>
      <w:r w:rsidRPr="00DA68DB">
        <w:tab/>
        <w:t>(4)</w:t>
      </w:r>
      <w:r w:rsidRPr="00DA68DB">
        <w:tab/>
        <w:t>The Regulator must decide the application as soon as practicable after receiving it.</w:t>
      </w:r>
    </w:p>
    <w:p w14:paraId="6347284B" w14:textId="77777777" w:rsidR="00DB6E47" w:rsidRPr="00DA68DB" w:rsidRDefault="00DB6E47" w:rsidP="00DB6E47">
      <w:pPr>
        <w:pStyle w:val="Amain"/>
      </w:pPr>
      <w:r w:rsidRPr="00DA68DB">
        <w:tab/>
        <w:t>(5)</w:t>
      </w:r>
      <w:r w:rsidRPr="00DA68DB">
        <w:tab/>
        <w:t>If the Regulator decides to grant the application—</w:t>
      </w:r>
    </w:p>
    <w:p w14:paraId="3BE1B903" w14:textId="77777777" w:rsidR="00DB6E47" w:rsidRPr="007D116E" w:rsidRDefault="00DB6E47" w:rsidP="00DB6E47">
      <w:pPr>
        <w:pStyle w:val="Apara"/>
      </w:pPr>
      <w:r w:rsidRPr="007D116E">
        <w:tab/>
        <w:t>(a)</w:t>
      </w:r>
      <w:r w:rsidRPr="007D116E">
        <w:tab/>
        <w:t>the Regulator must give the applicant notice of the decision; and</w:t>
      </w:r>
    </w:p>
    <w:p w14:paraId="5D8373EA" w14:textId="77777777" w:rsidR="00DB6E47" w:rsidRPr="007D116E" w:rsidRDefault="00DB6E47" w:rsidP="009037C9">
      <w:pPr>
        <w:pStyle w:val="Apara"/>
        <w:keepNext/>
      </w:pPr>
      <w:r w:rsidRPr="007D116E">
        <w:lastRenderedPageBreak/>
        <w:tab/>
        <w:t>(b)</w:t>
      </w:r>
      <w:r w:rsidRPr="007D116E">
        <w:tab/>
        <w:t>the amendment or cancellation takes effect—</w:t>
      </w:r>
    </w:p>
    <w:p w14:paraId="1702D152" w14:textId="77777777" w:rsidR="00DB6E47" w:rsidRPr="00516F02" w:rsidRDefault="00DB6E47" w:rsidP="00DB6E47">
      <w:pPr>
        <w:pStyle w:val="Asubpara"/>
      </w:pPr>
      <w:r w:rsidRPr="00516F02">
        <w:tab/>
        <w:t>(i)</w:t>
      </w:r>
      <w:r w:rsidRPr="00516F02">
        <w:tab/>
        <w:t>when notice of the decision is given to the applicant; or</w:t>
      </w:r>
    </w:p>
    <w:p w14:paraId="6224ED2F" w14:textId="77777777" w:rsidR="00DB6E47" w:rsidRPr="00516F02" w:rsidRDefault="00DB6E47" w:rsidP="00DB6E47">
      <w:pPr>
        <w:pStyle w:val="Asubpara"/>
      </w:pPr>
      <w:r w:rsidRPr="00516F02">
        <w:tab/>
        <w:t>(ii)</w:t>
      </w:r>
      <w:r w:rsidRPr="00516F02">
        <w:tab/>
        <w:t>if a later time is stated in the notice, at the later time; and</w:t>
      </w:r>
    </w:p>
    <w:p w14:paraId="3DAC1F55" w14:textId="77777777" w:rsidR="00DB6E47" w:rsidRPr="007D116E" w:rsidRDefault="00DB6E47" w:rsidP="00DB6E47">
      <w:pPr>
        <w:pStyle w:val="Apara"/>
      </w:pPr>
      <w:r w:rsidRPr="007D116E">
        <w:tab/>
        <w:t>(c)</w:t>
      </w:r>
      <w:r w:rsidRPr="007D116E">
        <w:tab/>
        <w:t>if the Regulator amended the exemption, the Regulator must give the applicant a replacement permit for the exemption as amended.</w:t>
      </w:r>
    </w:p>
    <w:p w14:paraId="0F3AD201" w14:textId="77777777" w:rsidR="00DB6E47" w:rsidRPr="00DA68DB" w:rsidRDefault="00DB6E47" w:rsidP="000B2F99">
      <w:pPr>
        <w:pStyle w:val="Amain"/>
        <w:keepNext/>
      </w:pPr>
      <w:r w:rsidRPr="00DA68DB">
        <w:tab/>
        <w:t>(6)</w:t>
      </w:r>
      <w:r w:rsidRPr="00DA68DB">
        <w:tab/>
        <w:t>If the Regulator decides not to amend or cancel the exemption as sought by the applicant, the Regulator must—</w:t>
      </w:r>
    </w:p>
    <w:p w14:paraId="5E9726D6" w14:textId="77777777" w:rsidR="00DB6E47" w:rsidRPr="007D116E" w:rsidRDefault="00DB6E47" w:rsidP="00DB6E47">
      <w:pPr>
        <w:pStyle w:val="Apara"/>
      </w:pPr>
      <w:r w:rsidRPr="007D116E">
        <w:tab/>
        <w:t>(a)</w:t>
      </w:r>
      <w:r w:rsidRPr="007D116E">
        <w:tab/>
        <w:t>give the applicant an information notice for the decision; and</w:t>
      </w:r>
    </w:p>
    <w:p w14:paraId="67B9BB9A" w14:textId="77777777" w:rsidR="00DB6E47" w:rsidRPr="007D116E" w:rsidRDefault="00DB6E47" w:rsidP="00DB6E47">
      <w:pPr>
        <w:pStyle w:val="Apara"/>
      </w:pPr>
      <w:r w:rsidRPr="007D116E">
        <w:tab/>
        <w:t>(b)</w:t>
      </w:r>
      <w:r w:rsidRPr="007D116E">
        <w:tab/>
        <w:t>return the permit for the exemption to the applicant.</w:t>
      </w:r>
    </w:p>
    <w:p w14:paraId="5B5EF74F" w14:textId="77777777" w:rsidR="00DB6E47" w:rsidRPr="007E1F9A" w:rsidRDefault="00DB6E47" w:rsidP="00DB6E47">
      <w:pPr>
        <w:pStyle w:val="AH5Sec"/>
      </w:pPr>
      <w:bookmarkStart w:id="74" w:name="_Toc83625418"/>
      <w:r w:rsidRPr="005E03F7">
        <w:rPr>
          <w:rStyle w:val="CharSectNo"/>
        </w:rPr>
        <w:t>76</w:t>
      </w:r>
      <w:r w:rsidRPr="007E1F9A">
        <w:tab/>
        <w:t>Amendment or cancellation of vehicle standards exemption (permit) on Regulator’s initiative</w:t>
      </w:r>
      <w:bookmarkEnd w:id="74"/>
    </w:p>
    <w:p w14:paraId="65426EE8" w14:textId="77777777" w:rsidR="00DB6E47" w:rsidRPr="006C3305" w:rsidRDefault="00DB6E47" w:rsidP="00DB6E47">
      <w:pPr>
        <w:pStyle w:val="Amain"/>
      </w:pPr>
      <w:r>
        <w:tab/>
        <w:t>(</w:t>
      </w:r>
      <w:r w:rsidRPr="006C3305">
        <w:t>1)</w:t>
      </w:r>
      <w:r w:rsidRPr="006C3305">
        <w:tab/>
        <w:t>Each of the following is a ground for amending or cancelling a vehicle standards exemption (permit)—</w:t>
      </w:r>
    </w:p>
    <w:p w14:paraId="40A5B8FC" w14:textId="77777777" w:rsidR="00DB6E47" w:rsidRPr="007D116E" w:rsidRDefault="00DB6E47" w:rsidP="00DB6E47">
      <w:pPr>
        <w:pStyle w:val="Apara"/>
      </w:pPr>
      <w:r w:rsidRPr="007D116E">
        <w:tab/>
        <w:t>(a)</w:t>
      </w:r>
      <w:r w:rsidRPr="007D116E">
        <w:tab/>
        <w:t>the exemption was granted because of a document or representation that was—</w:t>
      </w:r>
    </w:p>
    <w:p w14:paraId="30B67B4E" w14:textId="77777777" w:rsidR="00DB6E47" w:rsidRPr="00516F02" w:rsidRDefault="00DB6E47" w:rsidP="00DB6E47">
      <w:pPr>
        <w:pStyle w:val="Asubpara"/>
      </w:pPr>
      <w:r w:rsidRPr="00516F02">
        <w:tab/>
        <w:t>(i)</w:t>
      </w:r>
      <w:r w:rsidRPr="00516F02">
        <w:tab/>
        <w:t>false or misleading; or</w:t>
      </w:r>
    </w:p>
    <w:p w14:paraId="63A53E6B" w14:textId="77777777" w:rsidR="00DB6E47" w:rsidRPr="00516F02" w:rsidRDefault="00DB6E47" w:rsidP="00DB6E47">
      <w:pPr>
        <w:pStyle w:val="Asubpara"/>
      </w:pPr>
      <w:r w:rsidRPr="00516F02">
        <w:tab/>
        <w:t>(ii)</w:t>
      </w:r>
      <w:r w:rsidRPr="00516F02">
        <w:tab/>
        <w:t>obtained or made in an improper way;</w:t>
      </w:r>
    </w:p>
    <w:p w14:paraId="55587BF7" w14:textId="77777777" w:rsidR="00DB6E47" w:rsidRPr="007D116E" w:rsidRDefault="00DB6E47" w:rsidP="00DB6E47">
      <w:pPr>
        <w:pStyle w:val="Apara"/>
      </w:pPr>
      <w:r w:rsidRPr="007D116E">
        <w:tab/>
        <w:t>(b)</w:t>
      </w:r>
      <w:r w:rsidRPr="007D116E">
        <w:tab/>
        <w:t>the holder of the permit for the exemption has contravened a condition of the exemption;</w:t>
      </w:r>
    </w:p>
    <w:p w14:paraId="3E989E8D" w14:textId="77777777" w:rsidR="00DB6E47" w:rsidRPr="007D116E" w:rsidRDefault="00DB6E47" w:rsidP="00DB6E47">
      <w:pPr>
        <w:pStyle w:val="Apara"/>
      </w:pPr>
      <w:r w:rsidRPr="007D116E">
        <w:tab/>
        <w:t>(c)</w:t>
      </w:r>
      <w:r w:rsidRPr="007D116E">
        <w:tab/>
        <w:t>the use of a heavy vehicle on a road under the exemption has caused, or is likely to cause, a significant safety risk;</w:t>
      </w:r>
    </w:p>
    <w:p w14:paraId="00076FAD" w14:textId="77777777" w:rsidR="00DB6E47" w:rsidRPr="007D116E" w:rsidRDefault="00DB6E47" w:rsidP="00DB6E47">
      <w:pPr>
        <w:pStyle w:val="Apara"/>
      </w:pPr>
      <w:r w:rsidRPr="007D116E">
        <w:tab/>
        <w:t>(d)</w:t>
      </w:r>
      <w:r w:rsidRPr="007D116E">
        <w:tab/>
        <w:t>since the exemption was granted, there has been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14:paraId="3853FB44" w14:textId="77777777" w:rsidR="00DB6E47" w:rsidRPr="00DA68DB" w:rsidRDefault="00DB6E47" w:rsidP="00931FC9">
      <w:pPr>
        <w:pStyle w:val="Amain"/>
        <w:keepNext/>
      </w:pPr>
      <w:r w:rsidRPr="00DA68DB">
        <w:lastRenderedPageBreak/>
        <w:tab/>
        <w:t>(2)</w:t>
      </w:r>
      <w:r w:rsidRPr="00DA68DB">
        <w:tab/>
        <w:t xml:space="preserve">If the Regulator considers a ground exists to amend or cancel a vehicle standards exemption (permit) (the </w:t>
      </w:r>
      <w:r w:rsidRPr="00FF4454">
        <w:rPr>
          <w:rStyle w:val="charBoldItals"/>
        </w:rPr>
        <w:t>proposed action</w:t>
      </w:r>
      <w:r w:rsidRPr="00DA68DB">
        <w:t>), the Regulator must give the holder of the permit for the exemption a notice—</w:t>
      </w:r>
    </w:p>
    <w:p w14:paraId="08DB3B1F" w14:textId="77777777" w:rsidR="00DB6E47" w:rsidRPr="007D116E" w:rsidRDefault="00DB6E47" w:rsidP="00DB6E47">
      <w:pPr>
        <w:pStyle w:val="Apara"/>
      </w:pPr>
      <w:r w:rsidRPr="007D116E">
        <w:tab/>
        <w:t>(a)</w:t>
      </w:r>
      <w:r w:rsidRPr="007D116E">
        <w:tab/>
        <w:t>stating the proposed action; and</w:t>
      </w:r>
    </w:p>
    <w:p w14:paraId="5D77C616" w14:textId="77777777" w:rsidR="00DB6E47" w:rsidRPr="007D116E" w:rsidRDefault="00DB6E47" w:rsidP="00DB6E47">
      <w:pPr>
        <w:pStyle w:val="Apara"/>
      </w:pPr>
      <w:r w:rsidRPr="007D116E">
        <w:tab/>
        <w:t>(b)</w:t>
      </w:r>
      <w:r w:rsidRPr="007D116E">
        <w:tab/>
        <w:t>stating the ground for the proposed action; and</w:t>
      </w:r>
    </w:p>
    <w:p w14:paraId="56F7322D" w14:textId="77777777" w:rsidR="00DB6E47" w:rsidRPr="007D116E" w:rsidRDefault="00DB6E47" w:rsidP="00DB6E47">
      <w:pPr>
        <w:pStyle w:val="Apara"/>
      </w:pPr>
      <w:r w:rsidRPr="007D116E">
        <w:tab/>
        <w:t>(c)</w:t>
      </w:r>
      <w:r w:rsidRPr="007D116E">
        <w:tab/>
        <w:t>outlining the facts and circumstances forming the basis for the ground; and</w:t>
      </w:r>
    </w:p>
    <w:p w14:paraId="644CCFAC" w14:textId="77777777" w:rsidR="00DB6E47" w:rsidRPr="007D116E" w:rsidRDefault="00DB6E47" w:rsidP="00DB6E47">
      <w:pPr>
        <w:pStyle w:val="Apara"/>
      </w:pPr>
      <w:r w:rsidRPr="007D116E">
        <w:tab/>
        <w:t>(d)</w:t>
      </w:r>
      <w:r w:rsidRPr="007D116E">
        <w:tab/>
        <w:t>if the proposed action is to amend the exemption (including a condition of the exemption)—stating the proposed amendment; and</w:t>
      </w:r>
    </w:p>
    <w:p w14:paraId="71C7E5D4" w14:textId="77777777" w:rsidR="00DB6E47" w:rsidRPr="007D116E" w:rsidRDefault="00DB6E47" w:rsidP="00DB6E47">
      <w:pPr>
        <w:pStyle w:val="Apara"/>
      </w:pPr>
      <w:r w:rsidRPr="007D116E">
        <w:tab/>
        <w:t>(e)</w:t>
      </w:r>
      <w:r w:rsidRPr="007D116E">
        <w:tab/>
        <w:t>inviting the holder to make, within a stated time of at least 14 days after the notice is given to the holder, written representations about why the proposed action should not be</w:t>
      </w:r>
      <w:r w:rsidRPr="00FF4454">
        <w:t xml:space="preserve"> </w:t>
      </w:r>
      <w:r w:rsidRPr="007D116E">
        <w:t>taken.</w:t>
      </w:r>
    </w:p>
    <w:p w14:paraId="1CC8E8E2" w14:textId="77777777" w:rsidR="00DB6E47" w:rsidRPr="00DA68DB" w:rsidRDefault="00DB6E47" w:rsidP="00DB6E47">
      <w:pPr>
        <w:pStyle w:val="Amain"/>
      </w:pPr>
      <w:r w:rsidRPr="00DA68DB">
        <w:tab/>
        <w:t>(3)</w:t>
      </w:r>
      <w:r w:rsidRPr="00DA68DB">
        <w:tab/>
        <w:t>If, after considering all written repres</w:t>
      </w:r>
      <w:r w:rsidR="008C2E76">
        <w:t>entations made under subsection </w:t>
      </w:r>
      <w:r w:rsidRPr="00DA68DB">
        <w:t>(2)(e), the Regulator still considers a ground exists to take the proposed action, the Regulator may—</w:t>
      </w:r>
    </w:p>
    <w:p w14:paraId="629AEB1C" w14:textId="77777777" w:rsidR="00DB6E47" w:rsidRPr="007D116E" w:rsidRDefault="00DB6E47" w:rsidP="00DB6E47">
      <w:pPr>
        <w:pStyle w:val="Apara"/>
      </w:pPr>
      <w:r w:rsidRPr="007D116E">
        <w:tab/>
        <w:t>(a)</w:t>
      </w:r>
      <w:r w:rsidRPr="007D116E">
        <w:tab/>
        <w:t>if the proposed action was to amend the exemption—amend the exemption, including, for example, by imposing additional conditions on the exemption, in a way that is not substantially different from the proposed action; or</w:t>
      </w:r>
    </w:p>
    <w:p w14:paraId="6C3A762C" w14:textId="77777777" w:rsidR="00DB6E47" w:rsidRPr="007D116E" w:rsidRDefault="00DB6E47" w:rsidP="00DB6E47">
      <w:pPr>
        <w:pStyle w:val="Apara"/>
      </w:pPr>
      <w:r w:rsidRPr="007D116E">
        <w:tab/>
        <w:t>(b)</w:t>
      </w:r>
      <w:r w:rsidRPr="007D116E">
        <w:tab/>
        <w:t>if the proposed action was to cancel the exemption—</w:t>
      </w:r>
    </w:p>
    <w:p w14:paraId="19D4707F" w14:textId="77777777" w:rsidR="00DB6E47" w:rsidRPr="00516F02" w:rsidRDefault="00DB6E47" w:rsidP="00DB6E47">
      <w:pPr>
        <w:pStyle w:val="Asubpara"/>
      </w:pPr>
      <w:r w:rsidRPr="00516F02">
        <w:tab/>
        <w:t>(i)</w:t>
      </w:r>
      <w:r w:rsidRPr="00516F02">
        <w:tab/>
        <w:t>amend the exemption, including, for example, by imposing additional conditions on the exemption; or</w:t>
      </w:r>
    </w:p>
    <w:p w14:paraId="05EC6B04" w14:textId="77777777" w:rsidR="00DB6E47" w:rsidRPr="00516F02" w:rsidRDefault="00DB6E47" w:rsidP="00DB6E47">
      <w:pPr>
        <w:pStyle w:val="Asubpara"/>
      </w:pPr>
      <w:r w:rsidRPr="00516F02">
        <w:tab/>
        <w:t>(ii)</w:t>
      </w:r>
      <w:r w:rsidRPr="00516F02">
        <w:tab/>
        <w:t>cancel the exemption.</w:t>
      </w:r>
    </w:p>
    <w:p w14:paraId="59D238BE" w14:textId="77777777" w:rsidR="00DB6E47" w:rsidRPr="00DA68DB" w:rsidRDefault="00DB6E47" w:rsidP="00DB6E47">
      <w:pPr>
        <w:pStyle w:val="Amain"/>
      </w:pPr>
      <w:r w:rsidRPr="00DA68DB">
        <w:tab/>
        <w:t>(4)</w:t>
      </w:r>
      <w:r w:rsidRPr="00DA68DB">
        <w:tab/>
        <w:t>The Regulator must give the holder an information notice for the decision to amend or cancel the exemption.</w:t>
      </w:r>
    </w:p>
    <w:p w14:paraId="70D7A504" w14:textId="77777777" w:rsidR="00DB6E47" w:rsidRPr="00DA68DB" w:rsidRDefault="00DB6E47" w:rsidP="00931FC9">
      <w:pPr>
        <w:pStyle w:val="Amain"/>
        <w:keepNext/>
      </w:pPr>
      <w:r w:rsidRPr="00DA68DB">
        <w:lastRenderedPageBreak/>
        <w:tab/>
        <w:t>(5)</w:t>
      </w:r>
      <w:r w:rsidRPr="00DA68DB">
        <w:tab/>
        <w:t>The amendment or cancellation takes effect—</w:t>
      </w:r>
    </w:p>
    <w:p w14:paraId="1BE27C0C" w14:textId="77777777" w:rsidR="00DB6E47" w:rsidRPr="007D116E" w:rsidRDefault="00DB6E47" w:rsidP="00DB6E47">
      <w:pPr>
        <w:pStyle w:val="Apara"/>
      </w:pPr>
      <w:r w:rsidRPr="007D116E">
        <w:tab/>
        <w:t>(a)</w:t>
      </w:r>
      <w:r w:rsidRPr="007D116E">
        <w:tab/>
        <w:t>when the information notice is given to the holder; or</w:t>
      </w:r>
    </w:p>
    <w:p w14:paraId="5ABD99EC" w14:textId="77777777" w:rsidR="00DB6E47" w:rsidRPr="007D116E" w:rsidRDefault="00DB6E47" w:rsidP="00DB6E47">
      <w:pPr>
        <w:pStyle w:val="Apara"/>
      </w:pPr>
      <w:r w:rsidRPr="007D116E">
        <w:tab/>
        <w:t>(b)</w:t>
      </w:r>
      <w:r w:rsidRPr="007D116E">
        <w:tab/>
        <w:t>if a later time is stated in the information notice, at the later time.</w:t>
      </w:r>
    </w:p>
    <w:p w14:paraId="36C6CA1A" w14:textId="77777777" w:rsidR="00DB6E47" w:rsidRPr="007E1F9A" w:rsidRDefault="00DB6E47" w:rsidP="00DB6E47">
      <w:pPr>
        <w:pStyle w:val="AH5Sec"/>
      </w:pPr>
      <w:bookmarkStart w:id="75" w:name="_Toc83625419"/>
      <w:r w:rsidRPr="005E03F7">
        <w:rPr>
          <w:rStyle w:val="CharSectNo"/>
        </w:rPr>
        <w:t>77</w:t>
      </w:r>
      <w:r w:rsidRPr="007E1F9A">
        <w:tab/>
        <w:t>Immediate suspension on Regulator’s initiative</w:t>
      </w:r>
      <w:bookmarkEnd w:id="75"/>
    </w:p>
    <w:p w14:paraId="03441959" w14:textId="77777777" w:rsidR="00DB6E47" w:rsidRPr="00DA68DB" w:rsidRDefault="00DB6E47" w:rsidP="00DB6E47">
      <w:pPr>
        <w:pStyle w:val="Amain"/>
      </w:pPr>
      <w:r w:rsidRPr="00DA68DB">
        <w:tab/>
        <w:t>(1)</w:t>
      </w:r>
      <w:r w:rsidRPr="00DA68DB">
        <w:tab/>
        <w:t>This section applies if the Regulator considers it is necessary to suspend a vehicle standards exemption (permit) immediately to prevent or minimise serious harm to public safety or significant damage to road infrastructure.</w:t>
      </w:r>
    </w:p>
    <w:p w14:paraId="668D0CE6" w14:textId="77777777" w:rsidR="00DB6E47" w:rsidRPr="00DA68DB" w:rsidRDefault="00DB6E47" w:rsidP="00DB6E47">
      <w:pPr>
        <w:pStyle w:val="Amain"/>
      </w:pPr>
      <w:r w:rsidRPr="00DA68DB">
        <w:tab/>
        <w:t>(2)</w:t>
      </w:r>
      <w:r w:rsidRPr="00DA68DB">
        <w:tab/>
        <w:t>The Regulator may, by notice (</w:t>
      </w:r>
      <w:r w:rsidRPr="00FF4454">
        <w:rPr>
          <w:rStyle w:val="charBoldItals"/>
        </w:rPr>
        <w:t>immediate suspension notice</w:t>
      </w:r>
      <w:r w:rsidRPr="00DA68DB">
        <w:t>) given to the person to whom the permit was given, immediately suspend the exemption until the earliest of the following—</w:t>
      </w:r>
    </w:p>
    <w:p w14:paraId="4C34BBC8" w14:textId="77777777" w:rsidR="00DB6E47" w:rsidRPr="007D116E" w:rsidRDefault="00DB6E47" w:rsidP="00DB6E47">
      <w:pPr>
        <w:pStyle w:val="Apara"/>
      </w:pPr>
      <w:r w:rsidRPr="007D116E">
        <w:tab/>
        <w:t>(a)</w:t>
      </w:r>
      <w:r w:rsidRPr="007D116E">
        <w:tab/>
        <w:t>the Regulator gives the person an info</w:t>
      </w:r>
      <w:r w:rsidR="00056C16">
        <w:t>rmation notice under section 76</w:t>
      </w:r>
      <w:r w:rsidRPr="007D116E">
        <w:t>(4)</w:t>
      </w:r>
      <w:r w:rsidR="00056C16">
        <w:t xml:space="preserve"> </w:t>
      </w:r>
      <w:r w:rsidRPr="007D116E">
        <w:t>and the amendment or cancellation takes effect under section 76(5);</w:t>
      </w:r>
    </w:p>
    <w:p w14:paraId="1E14CB8A" w14:textId="77777777" w:rsidR="00DB6E47" w:rsidRPr="007D116E" w:rsidRDefault="00DB6E47" w:rsidP="00DB6E47">
      <w:pPr>
        <w:pStyle w:val="Apara"/>
      </w:pPr>
      <w:r w:rsidRPr="007D116E">
        <w:tab/>
        <w:t>(b)</w:t>
      </w:r>
      <w:r w:rsidRPr="007D116E">
        <w:tab/>
        <w:t>the Regulator cancels the suspension;</w:t>
      </w:r>
    </w:p>
    <w:p w14:paraId="1ED1257B" w14:textId="77777777" w:rsidR="00DB6E47" w:rsidRPr="007D116E" w:rsidRDefault="00DB6E47" w:rsidP="00DB6E47">
      <w:pPr>
        <w:pStyle w:val="Apara"/>
      </w:pPr>
      <w:r w:rsidRPr="007D116E">
        <w:tab/>
        <w:t>(c)</w:t>
      </w:r>
      <w:r w:rsidRPr="007D116E">
        <w:tab/>
        <w:t>the end of 56 days after the day the immediate suspension notice is given to the person.</w:t>
      </w:r>
    </w:p>
    <w:p w14:paraId="5897A9F0" w14:textId="77777777" w:rsidR="00DB6E47" w:rsidRPr="00DA68DB" w:rsidRDefault="00DB6E47" w:rsidP="00DB6E47">
      <w:pPr>
        <w:pStyle w:val="Amain"/>
      </w:pPr>
      <w:r w:rsidRPr="00DA68DB">
        <w:tab/>
        <w:t>(3)</w:t>
      </w:r>
      <w:r w:rsidRPr="00DA68DB">
        <w:tab/>
        <w:t>This section applies despite sections 75 and 76.</w:t>
      </w:r>
    </w:p>
    <w:p w14:paraId="4D5F3640" w14:textId="77777777" w:rsidR="00DB6E47" w:rsidRPr="007E1F9A" w:rsidRDefault="00DB6E47" w:rsidP="00DB6E47">
      <w:pPr>
        <w:pStyle w:val="AH5Sec"/>
      </w:pPr>
      <w:bookmarkStart w:id="76" w:name="_Toc83625420"/>
      <w:r w:rsidRPr="005E03F7">
        <w:rPr>
          <w:rStyle w:val="CharSectNo"/>
        </w:rPr>
        <w:t>78</w:t>
      </w:r>
      <w:r w:rsidRPr="007E1F9A">
        <w:tab/>
        <w:t>Minor amendment of vehicle standards exemption (permit)</w:t>
      </w:r>
      <w:bookmarkEnd w:id="76"/>
    </w:p>
    <w:p w14:paraId="58B11BD3" w14:textId="77777777" w:rsidR="00DB6E47" w:rsidRPr="00DA68DB" w:rsidRDefault="00DB6E47" w:rsidP="00DB6E47">
      <w:pPr>
        <w:pStyle w:val="Amainreturn"/>
      </w:pPr>
      <w:r w:rsidRPr="00DA68DB">
        <w:t>The Regulator may, by notice given to the holder of a permit for a vehicle standards exemption (permit), amend the exemption in a minor respect—</w:t>
      </w:r>
    </w:p>
    <w:p w14:paraId="1D85610B" w14:textId="77777777" w:rsidR="00DB6E47" w:rsidRPr="007D116E" w:rsidRDefault="00DB6E47" w:rsidP="00DB6E47">
      <w:pPr>
        <w:pStyle w:val="Apara"/>
      </w:pPr>
      <w:r w:rsidRPr="007D116E">
        <w:tab/>
        <w:t>(a)</w:t>
      </w:r>
      <w:r w:rsidRPr="007D116E">
        <w:tab/>
        <w:t>for a formal or clerical reason; or</w:t>
      </w:r>
    </w:p>
    <w:p w14:paraId="20E8B259" w14:textId="77777777" w:rsidR="00DB6E47" w:rsidRPr="007D116E" w:rsidRDefault="00DB6E47" w:rsidP="00DB6E47">
      <w:pPr>
        <w:pStyle w:val="Apara"/>
      </w:pPr>
      <w:r w:rsidRPr="007D116E">
        <w:tab/>
        <w:t>(b)</w:t>
      </w:r>
      <w:r w:rsidRPr="007D116E">
        <w:tab/>
        <w:t>in another way that does not adversely affect the holder’s interests.</w:t>
      </w:r>
    </w:p>
    <w:p w14:paraId="1A0EC186" w14:textId="77777777" w:rsidR="00DB6E47" w:rsidRPr="007E1F9A" w:rsidRDefault="00DB6E47" w:rsidP="00DB6E47">
      <w:pPr>
        <w:pStyle w:val="AH5Sec"/>
      </w:pPr>
      <w:bookmarkStart w:id="77" w:name="_Toc83625421"/>
      <w:r w:rsidRPr="005E03F7">
        <w:rPr>
          <w:rStyle w:val="CharSectNo"/>
        </w:rPr>
        <w:lastRenderedPageBreak/>
        <w:t>79</w:t>
      </w:r>
      <w:r w:rsidRPr="007E1F9A">
        <w:tab/>
        <w:t>Return of permit</w:t>
      </w:r>
      <w:bookmarkEnd w:id="77"/>
    </w:p>
    <w:p w14:paraId="4322E634" w14:textId="77777777" w:rsidR="00DB6E47" w:rsidRPr="00DA68DB" w:rsidRDefault="00DB6E47" w:rsidP="000B2F99">
      <w:pPr>
        <w:pStyle w:val="Amain"/>
        <w:keepNext/>
      </w:pPr>
      <w:r w:rsidRPr="00DA68DB">
        <w:tab/>
        <w:t>(1)</w:t>
      </w:r>
      <w:r w:rsidRPr="00DA68DB">
        <w:tab/>
        <w:t>If a person’s vehicle standards exemption (permit) is amended or cancelled, the Regulator may, by notice, require the person to return the person’s permit for the exemption to the Regulator.</w:t>
      </w:r>
    </w:p>
    <w:p w14:paraId="2CE63F65" w14:textId="77777777" w:rsidR="00DB6E47" w:rsidRPr="00DA68DB" w:rsidRDefault="00DB6E47" w:rsidP="00DB6E47">
      <w:pPr>
        <w:pStyle w:val="Amain"/>
      </w:pPr>
      <w:r w:rsidRPr="00DA68DB">
        <w:tab/>
        <w:t>(2)</w:t>
      </w:r>
      <w:r w:rsidRPr="00DA68DB">
        <w:tab/>
        <w:t>The person must comply with the notice within 7 days after the notice is given to the person or, if a longer period is stated in the notice, within the longer period.</w:t>
      </w:r>
    </w:p>
    <w:p w14:paraId="181ACBC1" w14:textId="77777777" w:rsidR="00DB6E47" w:rsidRPr="006C3305" w:rsidRDefault="00DB6E47" w:rsidP="00DB6E47">
      <w:pPr>
        <w:pStyle w:val="Penalty"/>
      </w:pPr>
      <w:r w:rsidRPr="006C3305">
        <w:t>Maximum penalty—$4000.</w:t>
      </w:r>
    </w:p>
    <w:p w14:paraId="57075838" w14:textId="77777777" w:rsidR="00DB6E47" w:rsidRPr="00DA68DB" w:rsidRDefault="00DB6E47" w:rsidP="00DB6E47">
      <w:pPr>
        <w:pStyle w:val="Amain"/>
      </w:pPr>
      <w:r w:rsidRPr="00DA68DB">
        <w:tab/>
        <w:t>(3)</w:t>
      </w:r>
      <w:r w:rsidRPr="00DA68DB">
        <w:tab/>
        <w:t>If the exemption has been amended, the Regulator must give the person a replacement permit for the exemption as amended.</w:t>
      </w:r>
    </w:p>
    <w:p w14:paraId="4FD04385" w14:textId="77777777" w:rsidR="00DB6E47" w:rsidRPr="007E1F9A" w:rsidRDefault="00DB6E47" w:rsidP="00DB6E47">
      <w:pPr>
        <w:pStyle w:val="AH5Sec"/>
      </w:pPr>
      <w:bookmarkStart w:id="78" w:name="_Toc83625422"/>
      <w:r w:rsidRPr="005E03F7">
        <w:rPr>
          <w:rStyle w:val="CharSectNo"/>
        </w:rPr>
        <w:t>80</w:t>
      </w:r>
      <w:r w:rsidRPr="007E1F9A">
        <w:tab/>
        <w:t>Replacement of defaced etc. permit</w:t>
      </w:r>
      <w:bookmarkEnd w:id="78"/>
    </w:p>
    <w:p w14:paraId="03BB23BB" w14:textId="77777777" w:rsidR="00DB6E47" w:rsidRPr="007D116E" w:rsidRDefault="00DB6E47" w:rsidP="00DB6E47">
      <w:pPr>
        <w:pStyle w:val="Amain"/>
      </w:pPr>
      <w:r w:rsidRPr="007D116E">
        <w:tab/>
        <w:t>(1)</w:t>
      </w:r>
      <w:r w:rsidRPr="007D116E">
        <w:tab/>
        <w:t>If a person’s permit for a vehicle standards exemption (permit) is defaced, destroyed, lost or stolen, the person must, as soon as reasonably practicable after becoming aware of the matter, apply to the Regulator for a replacement permit.</w:t>
      </w:r>
    </w:p>
    <w:p w14:paraId="3D566B51" w14:textId="77777777" w:rsidR="00DB6E47" w:rsidRPr="006C3305" w:rsidRDefault="00DB6E47" w:rsidP="00DB6E47">
      <w:pPr>
        <w:pStyle w:val="Penalty"/>
      </w:pPr>
      <w:r w:rsidRPr="006C3305">
        <w:t>Maximum penalty—$4000.</w:t>
      </w:r>
    </w:p>
    <w:p w14:paraId="375FC69D" w14:textId="77777777" w:rsidR="00DB6E47" w:rsidRPr="00DA68DB" w:rsidRDefault="00DB6E47" w:rsidP="00DB6E47">
      <w:pPr>
        <w:pStyle w:val="Amain"/>
      </w:pPr>
      <w:r w:rsidRPr="00DA68DB">
        <w:tab/>
        <w:t>(2)</w:t>
      </w:r>
      <w:r w:rsidRPr="00DA68DB">
        <w:tab/>
        <w:t>If the Regulator is satisfied the permit has been defaced, destroyed, lost or stolen, the Regulator must give the person a replacement permit as soon as practicable.</w:t>
      </w:r>
    </w:p>
    <w:p w14:paraId="705333BF" w14:textId="77777777" w:rsidR="00DB6E47" w:rsidRPr="00DA68DB" w:rsidRDefault="00DB6E47" w:rsidP="00DB6E47">
      <w:pPr>
        <w:pStyle w:val="Amain"/>
      </w:pPr>
      <w:r w:rsidRPr="00DA68DB">
        <w:tab/>
        <w:t>(3)</w:t>
      </w:r>
      <w:r w:rsidRPr="00DA68DB">
        <w:tab/>
        <w:t>If the Regulator decides not to give the person a replacement permit, the Regulator must give the person an information notice for the decision.</w:t>
      </w:r>
    </w:p>
    <w:p w14:paraId="42F527DD" w14:textId="77777777" w:rsidR="00DB6E47" w:rsidRPr="00DA68DB" w:rsidRDefault="00DB6E47" w:rsidP="00DB6E47">
      <w:pPr>
        <w:pStyle w:val="Amain"/>
      </w:pPr>
      <w:r w:rsidRPr="00DA68DB">
        <w:tab/>
        <w:t>(</w:t>
      </w:r>
      <w:r w:rsidR="00056C16">
        <w:t>4)</w:t>
      </w:r>
      <w:r w:rsidR="00056C16">
        <w:tab/>
        <w:t xml:space="preserve">Subsection </w:t>
      </w:r>
      <w:r w:rsidRPr="00DA68DB">
        <w:t>(1)</w:t>
      </w:r>
      <w:r w:rsidR="00056C16">
        <w:t xml:space="preserve"> </w:t>
      </w:r>
      <w:r w:rsidRPr="00DA68DB">
        <w:t>does not apply to a vehicle standards exemption (permit) for which an application to cancel the permit has been made and is pending determination.</w:t>
      </w:r>
    </w:p>
    <w:p w14:paraId="52071E54" w14:textId="77777777" w:rsidR="00DB6E47" w:rsidRPr="005E03F7" w:rsidRDefault="00DB6E47" w:rsidP="00DB6E47">
      <w:pPr>
        <w:pStyle w:val="AH3Div"/>
      </w:pPr>
      <w:bookmarkStart w:id="79" w:name="_Toc83625423"/>
      <w:r w:rsidRPr="005E03F7">
        <w:rPr>
          <w:rStyle w:val="CharDivNo"/>
        </w:rPr>
        <w:lastRenderedPageBreak/>
        <w:t>Division 4</w:t>
      </w:r>
      <w:r w:rsidRPr="00A95F9A">
        <w:rPr>
          <w:rFonts w:ascii="Helvetica" w:hAnsi="Helvetica" w:cs="Helvetica"/>
          <w:iCs/>
          <w:szCs w:val="28"/>
        </w:rPr>
        <w:tab/>
      </w:r>
      <w:r w:rsidRPr="005E03F7">
        <w:rPr>
          <w:rStyle w:val="CharDivText"/>
          <w:rFonts w:ascii="Helvetica" w:hAnsi="Helvetica" w:cs="Helvetica"/>
          <w:iCs/>
          <w:szCs w:val="28"/>
        </w:rPr>
        <w:t>Operating under vehicle standards exemption</w:t>
      </w:r>
      <w:bookmarkEnd w:id="79"/>
    </w:p>
    <w:p w14:paraId="76235C92" w14:textId="77777777" w:rsidR="00DB6E47" w:rsidRPr="007E1F9A" w:rsidRDefault="00DB6E47" w:rsidP="00DB6E47">
      <w:pPr>
        <w:pStyle w:val="AH5Sec"/>
      </w:pPr>
      <w:bookmarkStart w:id="80" w:name="_Toc83625424"/>
      <w:r w:rsidRPr="005E03F7">
        <w:rPr>
          <w:rStyle w:val="CharSectNo"/>
        </w:rPr>
        <w:t>81</w:t>
      </w:r>
      <w:r w:rsidRPr="007E1F9A">
        <w:tab/>
        <w:t>Contravening condition of vehicle standards exemption</w:t>
      </w:r>
      <w:bookmarkEnd w:id="80"/>
    </w:p>
    <w:p w14:paraId="45A347FF" w14:textId="77777777" w:rsidR="00DB6E47" w:rsidRPr="00DA68DB" w:rsidRDefault="00DB6E47" w:rsidP="00DB6E47">
      <w:pPr>
        <w:pStyle w:val="Amain"/>
      </w:pPr>
      <w:r w:rsidRPr="00DA68DB">
        <w:tab/>
        <w:t>(1)</w:t>
      </w:r>
      <w:r w:rsidRPr="00DA68DB">
        <w:tab/>
        <w:t>A person must not contravene a condition of a vehicle standards exemption.</w:t>
      </w:r>
    </w:p>
    <w:p w14:paraId="240DDE53" w14:textId="77777777" w:rsidR="00DB6E47" w:rsidRPr="006C3305" w:rsidRDefault="00AE1FF6" w:rsidP="00DB6E47">
      <w:pPr>
        <w:pStyle w:val="Penalty"/>
      </w:pPr>
      <w:r>
        <w:t>Maximum penalty—$4</w:t>
      </w:r>
      <w:r w:rsidR="00DB6E47" w:rsidRPr="006C3305">
        <w:t>000.</w:t>
      </w:r>
    </w:p>
    <w:p w14:paraId="4316E414" w14:textId="77777777" w:rsidR="00DB6E47" w:rsidRPr="00DA68DB" w:rsidRDefault="00DB6E47" w:rsidP="00DB6E47">
      <w:pPr>
        <w:pStyle w:val="Amain"/>
      </w:pPr>
      <w:r w:rsidRPr="00DA68DB">
        <w:tab/>
        <w:t>(2)</w:t>
      </w:r>
      <w:r w:rsidRPr="00DA68DB">
        <w:tab/>
        <w:t>A person must not use, or permit to be used, on a road a heavy vehicle that contravenes a condition of a vehicle standards exemption applying to the vehicle.</w:t>
      </w:r>
    </w:p>
    <w:p w14:paraId="6038A982" w14:textId="77777777" w:rsidR="00DB6E47" w:rsidRPr="006C3305" w:rsidRDefault="00AE1FF6" w:rsidP="00DB6E47">
      <w:pPr>
        <w:pStyle w:val="Penalty"/>
      </w:pPr>
      <w:r>
        <w:t>Maximum penalty—$4</w:t>
      </w:r>
      <w:r w:rsidR="00DB6E47" w:rsidRPr="006C3305">
        <w:t>000.</w:t>
      </w:r>
    </w:p>
    <w:p w14:paraId="78CBBCAF" w14:textId="77777777" w:rsidR="00DB6E47" w:rsidRPr="00DA68DB" w:rsidRDefault="00DB6E47" w:rsidP="00DB6E47">
      <w:pPr>
        <w:pStyle w:val="Amain"/>
      </w:pPr>
      <w:r w:rsidRPr="00DA68DB">
        <w:tab/>
        <w:t>(3)</w:t>
      </w:r>
      <w:r w:rsidRPr="00DA68DB">
        <w:tab/>
        <w:t>A person must not use a heavy vehicle, or permit a heavy vehicle to be used, on a road in a way that contravenes a condition of a vehicle standards exemption applying to the vehicle.</w:t>
      </w:r>
    </w:p>
    <w:p w14:paraId="3B128B52" w14:textId="77777777" w:rsidR="00DB6E47" w:rsidRPr="006C3305" w:rsidRDefault="00AE1FF6" w:rsidP="00DB6E47">
      <w:pPr>
        <w:pStyle w:val="Penalty"/>
      </w:pPr>
      <w:r>
        <w:t>Maximum penalty—$4</w:t>
      </w:r>
      <w:r w:rsidR="00DB6E47" w:rsidRPr="006C3305">
        <w:t>000.</w:t>
      </w:r>
    </w:p>
    <w:p w14:paraId="5177AB78" w14:textId="77777777" w:rsidR="00DB6E47" w:rsidRPr="00DA68DB" w:rsidRDefault="00DB6E47" w:rsidP="00DB6E47">
      <w:pPr>
        <w:pStyle w:val="Amain"/>
      </w:pPr>
      <w:r w:rsidRPr="00DA68DB">
        <w:tab/>
        <w:t>(4)</w:t>
      </w:r>
      <w:r w:rsidRPr="00DA68DB">
        <w:tab/>
        <w:t>A person does not commit an offence against this Law in relation to a heavy vehicle contravening a heavy vehicle standard if—</w:t>
      </w:r>
    </w:p>
    <w:p w14:paraId="76F9FCE6" w14:textId="77777777" w:rsidR="00DB6E47" w:rsidRPr="007D116E" w:rsidRDefault="00DB6E47" w:rsidP="00DB6E47">
      <w:pPr>
        <w:pStyle w:val="Apara"/>
      </w:pPr>
      <w:r w:rsidRPr="007D116E">
        <w:tab/>
        <w:t>(a)</w:t>
      </w:r>
      <w:r w:rsidRPr="007D116E">
        <w:tab/>
        <w:t>the heavy vehicle is exempt, under a vehicle standards exemption, from compliance with the heavy vehicle standard; and</w:t>
      </w:r>
    </w:p>
    <w:p w14:paraId="6F67E961" w14:textId="77777777" w:rsidR="00DB6E47" w:rsidRPr="007D116E" w:rsidRDefault="00DB6E47" w:rsidP="00DB6E47">
      <w:pPr>
        <w:pStyle w:val="Apara"/>
      </w:pPr>
      <w:r w:rsidRPr="007D116E">
        <w:tab/>
        <w:t>(b)</w:t>
      </w:r>
      <w:r w:rsidRPr="007D116E">
        <w:tab/>
        <w:t>the heavy vehicle, and its use on a road, complies with the conditions of the exemption.</w:t>
      </w:r>
    </w:p>
    <w:p w14:paraId="007128C0" w14:textId="77777777" w:rsidR="00DB6E47" w:rsidRPr="00EB0CDE" w:rsidRDefault="00DB6E47" w:rsidP="00DB6E47">
      <w:pPr>
        <w:pStyle w:val="Amain"/>
      </w:pPr>
      <w:r w:rsidRPr="00EB0CDE">
        <w:tab/>
        <w:t>(5)</w:t>
      </w:r>
      <w:r w:rsidRPr="00EB0CDE">
        <w:tab/>
        <w:t>However, if a person commits a condition offence in relation to the exemption—</w:t>
      </w:r>
    </w:p>
    <w:p w14:paraId="103500A1" w14:textId="77777777" w:rsidR="00DB6E47" w:rsidRPr="007D116E" w:rsidRDefault="00DB6E47" w:rsidP="00DB6E47">
      <w:pPr>
        <w:pStyle w:val="Apara"/>
      </w:pPr>
      <w:r w:rsidRPr="007D116E">
        <w:tab/>
        <w:t>(a)</w:t>
      </w:r>
      <w:r w:rsidRPr="007D116E">
        <w:tab/>
        <w:t>the exemption does not operate in the person’s favour while the contravention constituting the offence continues; and</w:t>
      </w:r>
    </w:p>
    <w:p w14:paraId="5C65E0C7" w14:textId="77777777" w:rsidR="00DB6E47" w:rsidRPr="007D116E" w:rsidRDefault="00DB6E47" w:rsidP="00DB6E47">
      <w:pPr>
        <w:pStyle w:val="Apara"/>
      </w:pPr>
      <w:r w:rsidRPr="007D116E">
        <w:tab/>
        <w:t>(b)</w:t>
      </w:r>
      <w:r w:rsidRPr="007D116E">
        <w:tab/>
        <w:t>the exemption must be disregarded in deciding whether the person has committed an offence in relation to a contravention of a heavy vehicle standard applying to a heavy vehicle.</w:t>
      </w:r>
    </w:p>
    <w:p w14:paraId="4B6D11CA" w14:textId="77777777" w:rsidR="00DB6E47" w:rsidRPr="00EB0CDE" w:rsidRDefault="00DB6E47" w:rsidP="00DB6E47">
      <w:pPr>
        <w:pStyle w:val="Amain"/>
      </w:pPr>
      <w:r w:rsidRPr="00EB0CDE">
        <w:lastRenderedPageBreak/>
        <w:tab/>
        <w:t>(6)</w:t>
      </w:r>
      <w:r w:rsidRPr="00EB0CDE">
        <w:tab/>
        <w:t xml:space="preserve">If, because of the operation of subsection (5), a person commits an offence against a provision of this Law (the </w:t>
      </w:r>
      <w:r w:rsidRPr="00FF4454">
        <w:rPr>
          <w:rStyle w:val="charBoldItals"/>
        </w:rPr>
        <w:t>other offence provision</w:t>
      </w:r>
      <w:r w:rsidRPr="00EB0CDE">
        <w:t>) in relation to a heavy vehicle standard to which the exemption applies, the person—</w:t>
      </w:r>
    </w:p>
    <w:p w14:paraId="32504C4C" w14:textId="77777777" w:rsidR="00DB6E47" w:rsidRPr="007D116E" w:rsidRDefault="00DB6E47" w:rsidP="00DB6E47">
      <w:pPr>
        <w:pStyle w:val="Apara"/>
      </w:pPr>
      <w:r w:rsidRPr="007D116E">
        <w:tab/>
        <w:t>(a)</w:t>
      </w:r>
      <w:r w:rsidRPr="007D116E">
        <w:tab/>
        <w:t>may be charged with the condition offence or an offence against the other offence provision; but</w:t>
      </w:r>
    </w:p>
    <w:p w14:paraId="4D8BD840" w14:textId="77777777" w:rsidR="00DB6E47" w:rsidRPr="007D116E" w:rsidRDefault="00DB6E47" w:rsidP="00DB6E47">
      <w:pPr>
        <w:pStyle w:val="Apara"/>
      </w:pPr>
      <w:r w:rsidRPr="007D116E">
        <w:tab/>
        <w:t>(b)</w:t>
      </w:r>
      <w:r w:rsidRPr="007D116E">
        <w:tab/>
        <w:t>must not be charged with both offences.</w:t>
      </w:r>
    </w:p>
    <w:p w14:paraId="08F3E486" w14:textId="77777777" w:rsidR="00DB6E47" w:rsidRPr="00EB0CDE" w:rsidRDefault="00056C16" w:rsidP="00DB6E47">
      <w:pPr>
        <w:pStyle w:val="Amain"/>
      </w:pPr>
      <w:r>
        <w:tab/>
        <w:t>(7)</w:t>
      </w:r>
      <w:r>
        <w:tab/>
        <w:t xml:space="preserve">Subsection </w:t>
      </w:r>
      <w:r w:rsidR="00DB6E47" w:rsidRPr="00EB0CDE">
        <w:t>(1)</w:t>
      </w:r>
      <w:r>
        <w:t xml:space="preserve"> </w:t>
      </w:r>
      <w:r w:rsidR="00DB6E47" w:rsidRPr="00EB0CDE">
        <w:t>does not apply to a condition mentioned in section</w:t>
      </w:r>
      <w:r>
        <w:t> </w:t>
      </w:r>
      <w:r w:rsidR="00DB6E47" w:rsidRPr="00EB0CDE">
        <w:t>82(1).</w:t>
      </w:r>
    </w:p>
    <w:p w14:paraId="0F9290EB" w14:textId="77777777" w:rsidR="00DB6E47" w:rsidRPr="00EB0CDE" w:rsidRDefault="00DB6E47" w:rsidP="00DB6E47">
      <w:pPr>
        <w:pStyle w:val="Amain"/>
      </w:pPr>
      <w:r w:rsidRPr="00EB0CDE">
        <w:tab/>
        <w:t>(8)</w:t>
      </w:r>
      <w:r w:rsidRPr="00EB0CDE">
        <w:tab/>
        <w:t>In this section—</w:t>
      </w:r>
    </w:p>
    <w:p w14:paraId="04CE4F9B" w14:textId="77777777" w:rsidR="00DB6E47" w:rsidRPr="00041046" w:rsidRDefault="00DB6E47" w:rsidP="00DB6E47">
      <w:pPr>
        <w:pStyle w:val="aDef"/>
        <w:rPr>
          <w:bCs/>
        </w:rPr>
      </w:pPr>
      <w:r w:rsidRPr="00041046">
        <w:rPr>
          <w:rStyle w:val="charBoldItals"/>
        </w:rPr>
        <w:t>condition offence</w:t>
      </w:r>
      <w:r w:rsidRPr="00041046">
        <w:t xml:space="preserve"> means an </w:t>
      </w:r>
      <w:r w:rsidR="00056C16">
        <w:t xml:space="preserve">offence against subsection (1), </w:t>
      </w:r>
      <w:r w:rsidRPr="00041046">
        <w:t>(2)</w:t>
      </w:r>
      <w:r w:rsidR="00056C16">
        <w:t xml:space="preserve"> </w:t>
      </w:r>
      <w:r w:rsidRPr="00041046">
        <w:t>or (3).</w:t>
      </w:r>
    </w:p>
    <w:p w14:paraId="79D0A4AD" w14:textId="77777777" w:rsidR="00DB6E47" w:rsidRPr="007E1F9A" w:rsidRDefault="00DB6E47" w:rsidP="00DB6E47">
      <w:pPr>
        <w:pStyle w:val="AH5Sec"/>
      </w:pPr>
      <w:bookmarkStart w:id="81" w:name="_Toc83625425"/>
      <w:r w:rsidRPr="005E03F7">
        <w:rPr>
          <w:rStyle w:val="CharSectNo"/>
        </w:rPr>
        <w:t>82</w:t>
      </w:r>
      <w:r w:rsidRPr="007E1F9A">
        <w:tab/>
        <w:t>Keeping relevant document while driving under vehicle standards exemption (notice)</w:t>
      </w:r>
      <w:bookmarkEnd w:id="81"/>
    </w:p>
    <w:p w14:paraId="544A89F7" w14:textId="77777777" w:rsidR="00DB6E47" w:rsidRPr="00EB0CDE" w:rsidRDefault="00DB6E47" w:rsidP="00DB6E47">
      <w:pPr>
        <w:pStyle w:val="Amain"/>
      </w:pPr>
      <w:r w:rsidRPr="00EB0CDE">
        <w:tab/>
        <w:t>(1)</w:t>
      </w:r>
      <w:r w:rsidRPr="00EB0CDE">
        <w:tab/>
        <w:t>This section applies if a vehicle standards exemption (notice) is subject to the condition that the driver of a heavy vehicle who is driving the vehicle under the exemption must keep a relevant document in the driver’s possession.</w:t>
      </w:r>
    </w:p>
    <w:p w14:paraId="4A9BB227" w14:textId="77777777" w:rsidR="00DB6E47" w:rsidRPr="00EB0CDE" w:rsidRDefault="00DB6E47" w:rsidP="00DB6E47">
      <w:pPr>
        <w:pStyle w:val="Amain"/>
      </w:pPr>
      <w:r w:rsidRPr="00EB0CDE">
        <w:tab/>
        <w:t>(2)</w:t>
      </w:r>
      <w:r w:rsidRPr="00EB0CDE">
        <w:tab/>
        <w:t>A driver of the heavy vehicle who is driving the vehicle under the vehicle standards exemption (notice) must comply with the condition.</w:t>
      </w:r>
    </w:p>
    <w:p w14:paraId="520E71CF" w14:textId="77777777" w:rsidR="00DB6E47" w:rsidRPr="006C3305" w:rsidRDefault="00DB6E47" w:rsidP="00DB6E47">
      <w:pPr>
        <w:pStyle w:val="Penalty"/>
      </w:pPr>
      <w:r w:rsidRPr="006C3305">
        <w:t>Maximum penalty—$3000.</w:t>
      </w:r>
    </w:p>
    <w:p w14:paraId="0F3104C5" w14:textId="77777777" w:rsidR="008F139B" w:rsidRPr="008F139B" w:rsidRDefault="008F139B" w:rsidP="008F139B">
      <w:pPr>
        <w:pStyle w:val="Amain"/>
        <w:rPr>
          <w:lang w:val="en" w:eastAsia="en-AU"/>
        </w:rPr>
      </w:pPr>
      <w:r>
        <w:rPr>
          <w:lang w:val="en" w:eastAsia="en-AU"/>
        </w:rPr>
        <w:tab/>
      </w:r>
      <w:r w:rsidRPr="008F139B">
        <w:rPr>
          <w:lang w:val="en" w:eastAsia="en-AU"/>
        </w:rPr>
        <w:t>(3)</w:t>
      </w:r>
      <w:r>
        <w:rPr>
          <w:lang w:val="en" w:eastAsia="en-AU"/>
        </w:rPr>
        <w:tab/>
      </w:r>
      <w:r w:rsidRPr="008F139B">
        <w:rPr>
          <w:lang w:val="en" w:eastAsia="en-AU"/>
        </w:rPr>
        <w:t>Each relevant party for a driver mentioned in subsection (2) must ensure the driver complies with subsection (2), unless the relevant party has a reasonable excuse.</w:t>
      </w:r>
    </w:p>
    <w:p w14:paraId="6690A2A0" w14:textId="77777777" w:rsidR="008F139B" w:rsidRPr="008F139B" w:rsidRDefault="008F139B" w:rsidP="008F139B">
      <w:pPr>
        <w:pStyle w:val="Penalty"/>
        <w:rPr>
          <w:lang w:val="en" w:eastAsia="en-AU"/>
        </w:rPr>
      </w:pPr>
      <w:r w:rsidRPr="008F139B">
        <w:rPr>
          <w:lang w:val="en" w:eastAsia="en-AU"/>
        </w:rPr>
        <w:t>Maximum penalty—$3000.</w:t>
      </w:r>
    </w:p>
    <w:p w14:paraId="55BBC2A5" w14:textId="77777777" w:rsidR="00DB6E47" w:rsidRPr="00EB0CDE" w:rsidRDefault="00DB6E47" w:rsidP="00DB6E47">
      <w:pPr>
        <w:pStyle w:val="Amain"/>
      </w:pPr>
      <w:r w:rsidRPr="00EB0CDE">
        <w:tab/>
        <w:t>(7)</w:t>
      </w:r>
      <w:r w:rsidRPr="00EB0CDE">
        <w:tab/>
        <w:t>In this section—</w:t>
      </w:r>
    </w:p>
    <w:p w14:paraId="1F270AB6" w14:textId="77777777" w:rsidR="00DB6E47" w:rsidRPr="00041046" w:rsidRDefault="00DB6E47" w:rsidP="00DB6E47">
      <w:pPr>
        <w:pStyle w:val="aDef"/>
        <w:rPr>
          <w:bCs/>
        </w:rPr>
      </w:pPr>
      <w:r w:rsidRPr="00041046">
        <w:rPr>
          <w:rStyle w:val="charBoldItals"/>
        </w:rPr>
        <w:t>relevant document</w:t>
      </w:r>
      <w:r w:rsidRPr="00041046">
        <w:t>, for a vehicle standards exemption (notice), means a copy of—</w:t>
      </w:r>
    </w:p>
    <w:p w14:paraId="37D2A8A2" w14:textId="77777777" w:rsidR="00DB6E47" w:rsidRPr="006C3305" w:rsidRDefault="00DB6E47" w:rsidP="00DB6E47">
      <w:pPr>
        <w:pStyle w:val="aDefpara"/>
      </w:pPr>
      <w:r w:rsidRPr="00FF4454">
        <w:tab/>
      </w:r>
      <w:r w:rsidRPr="00F04D8E">
        <w:rPr>
          <w:rFonts w:cs="Times"/>
          <w:bCs/>
          <w:iCs/>
        </w:rPr>
        <w:t>(a)</w:t>
      </w:r>
      <w:r w:rsidRPr="001F4394">
        <w:tab/>
        <w:t>the Commonwealth Gazette notice for the exemption; or</w:t>
      </w:r>
    </w:p>
    <w:p w14:paraId="279C1164" w14:textId="77777777" w:rsidR="00DB6E47" w:rsidRPr="006C3305" w:rsidRDefault="00DB6E47" w:rsidP="00DB6E47">
      <w:pPr>
        <w:pStyle w:val="aDefpara"/>
      </w:pPr>
      <w:r w:rsidRPr="00FF4454">
        <w:lastRenderedPageBreak/>
        <w:tab/>
      </w:r>
      <w:r w:rsidRPr="00F04D8E">
        <w:rPr>
          <w:rFonts w:cs="Times"/>
          <w:bCs/>
          <w:iCs/>
        </w:rPr>
        <w:t>(b)</w:t>
      </w:r>
      <w:r w:rsidRPr="00FF4454">
        <w:rPr>
          <w:rStyle w:val="charBoldItals"/>
        </w:rPr>
        <w:tab/>
      </w:r>
      <w:r w:rsidRPr="001F4394">
        <w:t>an information sheet about the exemption published by the Regulator on the Regulator’s website.</w:t>
      </w:r>
    </w:p>
    <w:p w14:paraId="2953E832" w14:textId="77777777" w:rsidR="00DB6E47" w:rsidRPr="00041046" w:rsidRDefault="00DB6E47" w:rsidP="00DB6E47">
      <w:pPr>
        <w:pStyle w:val="aDef"/>
        <w:rPr>
          <w:bCs/>
        </w:rPr>
      </w:pPr>
      <w:r w:rsidRPr="00041046">
        <w:rPr>
          <w:rStyle w:val="charBoldItals"/>
        </w:rPr>
        <w:t>relevant party</w:t>
      </w:r>
      <w:r w:rsidRPr="00041046">
        <w:t>, for the driver of a heavy vehicle, means—</w:t>
      </w:r>
    </w:p>
    <w:p w14:paraId="12FF88DA" w14:textId="77777777" w:rsidR="00DB6E47" w:rsidRPr="006C3305" w:rsidRDefault="00DB6E47" w:rsidP="00DB6E47">
      <w:pPr>
        <w:pStyle w:val="aDefpara"/>
      </w:pPr>
      <w:r w:rsidRPr="00FF4454">
        <w:tab/>
      </w:r>
      <w:r w:rsidRPr="00F04D8E">
        <w:rPr>
          <w:rFonts w:cs="Times"/>
          <w:bCs/>
          <w:iCs/>
        </w:rPr>
        <w:t>(a)</w:t>
      </w:r>
      <w:r w:rsidRPr="00FF4454">
        <w:rPr>
          <w:rStyle w:val="charBoldItals"/>
        </w:rPr>
        <w:tab/>
      </w:r>
      <w:r w:rsidRPr="001F4394">
        <w:t>an employer of the driver if the driver is an employed driver; or</w:t>
      </w:r>
    </w:p>
    <w:p w14:paraId="7031DFFF" w14:textId="77777777" w:rsidR="00DB6E47" w:rsidRPr="006C3305" w:rsidRDefault="00DB6E47" w:rsidP="00DB6E47">
      <w:pPr>
        <w:pStyle w:val="aDefpara"/>
      </w:pPr>
      <w:r w:rsidRPr="00FF4454">
        <w:tab/>
      </w:r>
      <w:r w:rsidRPr="00F04D8E">
        <w:rPr>
          <w:rFonts w:cs="Times"/>
          <w:bCs/>
          <w:iCs/>
        </w:rPr>
        <w:t>(b)</w:t>
      </w:r>
      <w:r w:rsidRPr="00FF4454">
        <w:rPr>
          <w:rStyle w:val="charBoldItals"/>
        </w:rPr>
        <w:tab/>
      </w:r>
      <w:r w:rsidRPr="001F4394">
        <w:t>a prime contractor of the driver if the driver is a self-employed driver; or</w:t>
      </w:r>
    </w:p>
    <w:p w14:paraId="446B1A72" w14:textId="77777777" w:rsidR="00DB6E47" w:rsidRPr="006C3305" w:rsidRDefault="00DB6E47" w:rsidP="00DB6E47">
      <w:pPr>
        <w:pStyle w:val="aDefpara"/>
      </w:pPr>
      <w:r w:rsidRPr="00FF4454">
        <w:tab/>
      </w:r>
      <w:r w:rsidRPr="00F04D8E">
        <w:rPr>
          <w:rFonts w:cs="Times"/>
          <w:bCs/>
          <w:iCs/>
        </w:rPr>
        <w:t>(c)</w:t>
      </w:r>
      <w:r w:rsidRPr="00FF4454">
        <w:rPr>
          <w:rStyle w:val="charBoldItals"/>
        </w:rPr>
        <w:tab/>
      </w:r>
      <w:r w:rsidRPr="001F4394">
        <w:t>an operator of the vehicle if the driver is making a journey for the operator.</w:t>
      </w:r>
    </w:p>
    <w:p w14:paraId="5BE254F7" w14:textId="77777777" w:rsidR="00DB6E47" w:rsidRPr="007E1F9A" w:rsidRDefault="00DB6E47" w:rsidP="00DB6E47">
      <w:pPr>
        <w:pStyle w:val="AH5Sec"/>
      </w:pPr>
      <w:bookmarkStart w:id="82" w:name="_Toc83625426"/>
      <w:r w:rsidRPr="005E03F7">
        <w:rPr>
          <w:rStyle w:val="CharSectNo"/>
        </w:rPr>
        <w:t>83</w:t>
      </w:r>
      <w:r w:rsidRPr="007E1F9A">
        <w:tab/>
        <w:t>Keeping copy of permit while driving under vehicle standards exemption (permit)</w:t>
      </w:r>
      <w:bookmarkEnd w:id="82"/>
    </w:p>
    <w:p w14:paraId="14E2617F" w14:textId="77777777" w:rsidR="00DB6E47" w:rsidRPr="00EB0CDE" w:rsidRDefault="00DB6E47" w:rsidP="00DB6E47">
      <w:pPr>
        <w:pStyle w:val="Amain"/>
      </w:pPr>
      <w:r w:rsidRPr="00EB0CDE">
        <w:tab/>
        <w:t>(1)</w:t>
      </w:r>
      <w:r w:rsidRPr="00EB0CDE">
        <w:tab/>
        <w:t>The driver of a heavy vehicle who is driving the vehicle under a vehicle standards exemption (permit) must keep a copy of the permit for the exemption in the driver’s possession.</w:t>
      </w:r>
    </w:p>
    <w:p w14:paraId="4BC30FD7" w14:textId="77777777" w:rsidR="00DB6E47" w:rsidRPr="006C3305" w:rsidRDefault="00DB6E47" w:rsidP="00DB6E47">
      <w:pPr>
        <w:pStyle w:val="Penalty"/>
      </w:pPr>
      <w:r w:rsidRPr="006C3305">
        <w:t>Maximum penalty—$3000.</w:t>
      </w:r>
    </w:p>
    <w:p w14:paraId="1543889E" w14:textId="77777777" w:rsidR="00DB6E47" w:rsidRPr="00EB0CDE" w:rsidRDefault="00DB6E47" w:rsidP="00DB6E47">
      <w:pPr>
        <w:pStyle w:val="Amain"/>
      </w:pPr>
      <w:r w:rsidRPr="00EB0CDE">
        <w:tab/>
        <w:t>(2)</w:t>
      </w:r>
      <w:r w:rsidRPr="00EB0CDE">
        <w:tab/>
        <w:t>If the driver of a heavy vehicle is driving the vehicle under a vehicle standards exemption (permit) granted to a relevant party for the driver and the relevant party has given the driver a copy of a permit for the purpose of subsection (1), the driver must, as soon as reasonably practicable, return the copy to the relevant party if the driver stops working for the relevant party.</w:t>
      </w:r>
    </w:p>
    <w:p w14:paraId="5ADCE33F" w14:textId="77777777" w:rsidR="00DB6E47" w:rsidRPr="006C3305" w:rsidRDefault="00DB6E47" w:rsidP="00DB6E47">
      <w:pPr>
        <w:pStyle w:val="Penalty"/>
      </w:pPr>
      <w:r w:rsidRPr="006C3305">
        <w:t>Maximum penalty—$3000.</w:t>
      </w:r>
    </w:p>
    <w:p w14:paraId="6706DD86" w14:textId="77777777" w:rsidR="008F139B" w:rsidRPr="008F139B" w:rsidRDefault="008F139B" w:rsidP="008F139B">
      <w:pPr>
        <w:pStyle w:val="Amain"/>
        <w:rPr>
          <w:lang w:val="en" w:eastAsia="en-AU"/>
        </w:rPr>
      </w:pPr>
      <w:r>
        <w:rPr>
          <w:lang w:val="en" w:eastAsia="en-AU"/>
        </w:rPr>
        <w:tab/>
      </w:r>
      <w:r w:rsidRPr="008F139B">
        <w:rPr>
          <w:lang w:val="en" w:eastAsia="en-AU"/>
        </w:rPr>
        <w:t>(3)</w:t>
      </w:r>
      <w:r>
        <w:rPr>
          <w:lang w:val="en" w:eastAsia="en-AU"/>
        </w:rPr>
        <w:tab/>
      </w:r>
      <w:r w:rsidRPr="008F139B">
        <w:rPr>
          <w:lang w:val="en" w:eastAsia="en-AU"/>
        </w:rPr>
        <w:t>Each relevant party for a driver mentioned in subsection (2) must ensure the driver complies with subsection (2), unless the relevant party has a reasonable excuse.</w:t>
      </w:r>
    </w:p>
    <w:p w14:paraId="0D6D3E44" w14:textId="77777777" w:rsidR="008F139B" w:rsidRPr="008F139B" w:rsidRDefault="008F139B" w:rsidP="008F139B">
      <w:pPr>
        <w:pStyle w:val="Penalty"/>
        <w:rPr>
          <w:lang w:val="en" w:eastAsia="en-AU"/>
        </w:rPr>
      </w:pPr>
      <w:r w:rsidRPr="008F139B">
        <w:rPr>
          <w:lang w:val="en" w:eastAsia="en-AU"/>
        </w:rPr>
        <w:t>Maximum penalty—$3000.</w:t>
      </w:r>
    </w:p>
    <w:p w14:paraId="32FA6F5A" w14:textId="77777777" w:rsidR="00DB6E47" w:rsidRPr="00EB0CDE" w:rsidRDefault="00DB6E47" w:rsidP="008C2E76">
      <w:pPr>
        <w:pStyle w:val="Amain"/>
        <w:keepNext/>
      </w:pPr>
      <w:r w:rsidRPr="00EB0CDE">
        <w:lastRenderedPageBreak/>
        <w:tab/>
        <w:t>(7)</w:t>
      </w:r>
      <w:r w:rsidRPr="00EB0CDE">
        <w:tab/>
        <w:t>In this section—</w:t>
      </w:r>
    </w:p>
    <w:p w14:paraId="4C8E8F75" w14:textId="77777777" w:rsidR="00DB6E47" w:rsidRPr="00041046" w:rsidRDefault="00DB6E47" w:rsidP="008C2E76">
      <w:pPr>
        <w:pStyle w:val="aDef"/>
        <w:keepNext/>
        <w:rPr>
          <w:bCs/>
        </w:rPr>
      </w:pPr>
      <w:r w:rsidRPr="00041046">
        <w:rPr>
          <w:rStyle w:val="charBoldItals"/>
        </w:rPr>
        <w:t>relevant party</w:t>
      </w:r>
      <w:r w:rsidRPr="00041046">
        <w:t>, for the driver of a heavy vehicle, means—</w:t>
      </w:r>
    </w:p>
    <w:p w14:paraId="14226B73" w14:textId="77777777" w:rsidR="00DB6E47" w:rsidRPr="001F4394" w:rsidRDefault="00DB6E47" w:rsidP="008C2E76">
      <w:pPr>
        <w:pStyle w:val="aDefpara"/>
        <w:keepNext/>
      </w:pPr>
      <w:r w:rsidRPr="00FF4454">
        <w:tab/>
      </w:r>
      <w:r w:rsidRPr="00F04D8E">
        <w:rPr>
          <w:rFonts w:cs="Times"/>
          <w:bCs/>
          <w:iCs/>
        </w:rPr>
        <w:t>(a)</w:t>
      </w:r>
      <w:r w:rsidRPr="00FF4454">
        <w:rPr>
          <w:rStyle w:val="charBoldItals"/>
        </w:rPr>
        <w:tab/>
      </w:r>
      <w:r w:rsidRPr="001F4394">
        <w:t>an employer of the driver if the driver is an employed driver; or</w:t>
      </w:r>
    </w:p>
    <w:p w14:paraId="0780DC7E" w14:textId="77777777" w:rsidR="00DB6E47" w:rsidRPr="001F4394" w:rsidRDefault="00DB6E47" w:rsidP="00DB6E47">
      <w:pPr>
        <w:pStyle w:val="aDefpara"/>
      </w:pPr>
      <w:r w:rsidRPr="00FF4454">
        <w:tab/>
      </w:r>
      <w:r w:rsidRPr="00F04D8E">
        <w:rPr>
          <w:rFonts w:cs="Times"/>
          <w:bCs/>
          <w:iCs/>
        </w:rPr>
        <w:t>(b)</w:t>
      </w:r>
      <w:r w:rsidRPr="00FF4454">
        <w:rPr>
          <w:rStyle w:val="charBoldItals"/>
        </w:rPr>
        <w:tab/>
      </w:r>
      <w:r w:rsidRPr="001F4394">
        <w:t>a prime contractor of the driver if the driver is a self-employed driver; or</w:t>
      </w:r>
    </w:p>
    <w:p w14:paraId="75978CB6" w14:textId="77777777" w:rsidR="00DB6E47" w:rsidRPr="001F4394" w:rsidRDefault="00DB6E47" w:rsidP="00DB6E47">
      <w:pPr>
        <w:pStyle w:val="aDefpara"/>
      </w:pPr>
      <w:r w:rsidRPr="00FF4454">
        <w:tab/>
      </w:r>
      <w:r w:rsidRPr="00F04D8E">
        <w:rPr>
          <w:rFonts w:cs="Times"/>
          <w:bCs/>
          <w:iCs/>
        </w:rPr>
        <w:t>(c)</w:t>
      </w:r>
      <w:r w:rsidRPr="00FF4454">
        <w:rPr>
          <w:rStyle w:val="charBoldItals"/>
        </w:rPr>
        <w:tab/>
      </w:r>
      <w:r w:rsidRPr="001F4394">
        <w:t>an operator of the vehicle if the driver is making a journey for the operator.</w:t>
      </w:r>
    </w:p>
    <w:p w14:paraId="51FE1222" w14:textId="77777777" w:rsidR="00DB6E47" w:rsidRPr="003D647F" w:rsidRDefault="00DB6E47" w:rsidP="00DB6E47">
      <w:pPr>
        <w:pStyle w:val="PageBreak"/>
        <w:rPr>
          <w:rFonts w:eastAsiaTheme="minorHAnsi"/>
        </w:rPr>
      </w:pPr>
      <w:r w:rsidRPr="003D647F">
        <w:rPr>
          <w:rFonts w:eastAsiaTheme="minorHAnsi"/>
        </w:rPr>
        <w:br w:type="page"/>
      </w:r>
    </w:p>
    <w:p w14:paraId="1B0A9179" w14:textId="77777777" w:rsidR="00DB6E47" w:rsidRPr="005E03F7" w:rsidRDefault="00DB6E47" w:rsidP="00DB6E47">
      <w:pPr>
        <w:pStyle w:val="AH2Part"/>
      </w:pPr>
      <w:bookmarkStart w:id="83" w:name="_Toc83625427"/>
      <w:r w:rsidRPr="005E03F7">
        <w:rPr>
          <w:rStyle w:val="CharPartNo"/>
        </w:rPr>
        <w:lastRenderedPageBreak/>
        <w:t>Part 3.3</w:t>
      </w:r>
      <w:r w:rsidRPr="00A95F9A">
        <w:rPr>
          <w:rFonts w:ascii="Helvetica" w:hAnsi="Helvetica" w:cs="Helvetica"/>
          <w:iCs/>
          <w:szCs w:val="32"/>
        </w:rPr>
        <w:tab/>
      </w:r>
      <w:r w:rsidRPr="005E03F7">
        <w:rPr>
          <w:rStyle w:val="CharPartText"/>
          <w:rFonts w:ascii="Helvetica" w:hAnsi="Helvetica" w:cs="Helvetica"/>
          <w:iCs/>
          <w:szCs w:val="32"/>
        </w:rPr>
        <w:t>Modifying heavy vehicles</w:t>
      </w:r>
      <w:bookmarkEnd w:id="83"/>
    </w:p>
    <w:p w14:paraId="7F7B90BE" w14:textId="77777777" w:rsidR="00824C29" w:rsidRDefault="00824C29" w:rsidP="00824C29">
      <w:pPr>
        <w:pStyle w:val="Placeholder"/>
        <w:suppressLineNumbers/>
      </w:pPr>
      <w:r>
        <w:rPr>
          <w:rStyle w:val="CharDivNo"/>
          <w:rFonts w:eastAsiaTheme="minorEastAsia"/>
        </w:rPr>
        <w:t xml:space="preserve">  </w:t>
      </w:r>
      <w:r>
        <w:rPr>
          <w:rStyle w:val="CharDivText"/>
        </w:rPr>
        <w:t xml:space="preserve">  </w:t>
      </w:r>
    </w:p>
    <w:p w14:paraId="426CB54C" w14:textId="77777777" w:rsidR="00DB6E47" w:rsidRPr="007E1F9A" w:rsidRDefault="00DB6E47" w:rsidP="000D34B6">
      <w:pPr>
        <w:pStyle w:val="AH5Sec"/>
      </w:pPr>
      <w:bookmarkStart w:id="84" w:name="_Toc83625428"/>
      <w:r w:rsidRPr="005E03F7">
        <w:rPr>
          <w:rStyle w:val="CharSectNo"/>
        </w:rPr>
        <w:t>84</w:t>
      </w:r>
      <w:r w:rsidRPr="007E1F9A">
        <w:tab/>
        <w:t>Definition for Pt 3.3</w:t>
      </w:r>
      <w:bookmarkEnd w:id="84"/>
    </w:p>
    <w:p w14:paraId="5F73EA37" w14:textId="77777777" w:rsidR="00DB6E47" w:rsidRPr="00EB0CDE" w:rsidRDefault="00DB6E47" w:rsidP="00DB6E47">
      <w:pPr>
        <w:pStyle w:val="Amainreturn"/>
      </w:pPr>
      <w:r w:rsidRPr="00EB0CDE">
        <w:t>In this Part—</w:t>
      </w:r>
    </w:p>
    <w:p w14:paraId="7CED365D" w14:textId="77777777" w:rsidR="00DB6E47" w:rsidRPr="00041046" w:rsidRDefault="00DB6E47" w:rsidP="00DB6E47">
      <w:pPr>
        <w:pStyle w:val="aDef"/>
        <w:rPr>
          <w:bCs/>
        </w:rPr>
      </w:pPr>
      <w:r w:rsidRPr="00041046">
        <w:rPr>
          <w:rStyle w:val="charBoldItals"/>
        </w:rPr>
        <w:t>modification</w:t>
      </w:r>
      <w:r w:rsidRPr="00041046">
        <w:t>, of a heavy vehicle, means—</w:t>
      </w:r>
    </w:p>
    <w:p w14:paraId="334B8DB0" w14:textId="77777777" w:rsidR="00DB6E47" w:rsidRPr="001F4394" w:rsidRDefault="00DB6E47" w:rsidP="00DB6E47">
      <w:pPr>
        <w:pStyle w:val="aDefpara"/>
      </w:pPr>
      <w:r w:rsidRPr="00F04D8E">
        <w:rPr>
          <w:rFonts w:cs="Times"/>
          <w:bCs/>
          <w:iCs/>
        </w:rPr>
        <w:tab/>
        <w:t>(a)</w:t>
      </w:r>
      <w:r w:rsidRPr="001F4394">
        <w:tab/>
      </w:r>
      <w:r w:rsidR="0095693E">
        <w:rPr>
          <w:spacing w:val="-1"/>
        </w:rPr>
        <w:t>the</w:t>
      </w:r>
      <w:r w:rsidR="0095693E">
        <w:rPr>
          <w:spacing w:val="32"/>
        </w:rPr>
        <w:t xml:space="preserve"> </w:t>
      </w:r>
      <w:r w:rsidR="0095693E">
        <w:rPr>
          <w:spacing w:val="-1"/>
        </w:rPr>
        <w:t>addition</w:t>
      </w:r>
      <w:r w:rsidR="0095693E">
        <w:rPr>
          <w:spacing w:val="32"/>
        </w:rPr>
        <w:t xml:space="preserve"> </w:t>
      </w:r>
      <w:r w:rsidR="0095693E">
        <w:rPr>
          <w:spacing w:val="-1"/>
        </w:rPr>
        <w:t>of</w:t>
      </w:r>
      <w:r w:rsidR="0095693E">
        <w:rPr>
          <w:spacing w:val="32"/>
        </w:rPr>
        <w:t xml:space="preserve"> </w:t>
      </w:r>
      <w:r w:rsidR="0095693E">
        <w:t>a</w:t>
      </w:r>
      <w:r w:rsidR="0095693E">
        <w:rPr>
          <w:spacing w:val="34"/>
        </w:rPr>
        <w:t xml:space="preserve"> </w:t>
      </w:r>
      <w:r w:rsidR="0095693E">
        <w:rPr>
          <w:spacing w:val="-1"/>
        </w:rPr>
        <w:t>component</w:t>
      </w:r>
      <w:r w:rsidR="0095693E">
        <w:rPr>
          <w:spacing w:val="32"/>
        </w:rPr>
        <w:t xml:space="preserve"> </w:t>
      </w:r>
      <w:r w:rsidR="0095693E">
        <w:rPr>
          <w:spacing w:val="-1"/>
        </w:rPr>
        <w:t>to,</w:t>
      </w:r>
      <w:r w:rsidR="0095693E">
        <w:rPr>
          <w:spacing w:val="32"/>
        </w:rPr>
        <w:t xml:space="preserve"> </w:t>
      </w:r>
      <w:r w:rsidR="0095693E">
        <w:rPr>
          <w:spacing w:val="-1"/>
        </w:rPr>
        <w:t>or</w:t>
      </w:r>
      <w:r w:rsidR="0095693E">
        <w:rPr>
          <w:spacing w:val="32"/>
        </w:rPr>
        <w:t xml:space="preserve"> </w:t>
      </w:r>
      <w:r w:rsidR="0095693E">
        <w:rPr>
          <w:spacing w:val="-1"/>
        </w:rPr>
        <w:t>the</w:t>
      </w:r>
      <w:r w:rsidR="0095693E">
        <w:rPr>
          <w:spacing w:val="27"/>
        </w:rPr>
        <w:t xml:space="preserve"> </w:t>
      </w:r>
      <w:r w:rsidR="0095693E">
        <w:rPr>
          <w:spacing w:val="-2"/>
        </w:rPr>
        <w:t>removal</w:t>
      </w:r>
      <w:r w:rsidR="0095693E">
        <w:rPr>
          <w:spacing w:val="29"/>
        </w:rPr>
        <w:t xml:space="preserve"> </w:t>
      </w:r>
      <w:r w:rsidR="0095693E">
        <w:t>of</w:t>
      </w:r>
      <w:r w:rsidR="0095693E">
        <w:rPr>
          <w:spacing w:val="29"/>
        </w:rPr>
        <w:t xml:space="preserve"> </w:t>
      </w:r>
      <w:r w:rsidR="0095693E">
        <w:t>a</w:t>
      </w:r>
      <w:r w:rsidR="0095693E">
        <w:rPr>
          <w:spacing w:val="29"/>
        </w:rPr>
        <w:t xml:space="preserve"> </w:t>
      </w:r>
      <w:r w:rsidR="0095693E">
        <w:t>component</w:t>
      </w:r>
      <w:r w:rsidR="0095693E">
        <w:rPr>
          <w:spacing w:val="29"/>
        </w:rPr>
        <w:t xml:space="preserve"> </w:t>
      </w:r>
      <w:r w:rsidR="0095693E">
        <w:t>from,</w:t>
      </w:r>
      <w:r w:rsidR="0095693E">
        <w:rPr>
          <w:spacing w:val="29"/>
        </w:rPr>
        <w:t xml:space="preserve"> </w:t>
      </w:r>
      <w:r w:rsidR="0095693E">
        <w:t>the</w:t>
      </w:r>
      <w:r w:rsidR="0095693E">
        <w:rPr>
          <w:spacing w:val="29"/>
        </w:rPr>
        <w:t xml:space="preserve"> </w:t>
      </w:r>
      <w:r w:rsidR="0095693E">
        <w:rPr>
          <w:spacing w:val="-1"/>
        </w:rPr>
        <w:t>vehicle;</w:t>
      </w:r>
      <w:r w:rsidR="0095693E">
        <w:rPr>
          <w:spacing w:val="28"/>
        </w:rPr>
        <w:t xml:space="preserve"> </w:t>
      </w:r>
      <w:r w:rsidR="0095693E">
        <w:t>or</w:t>
      </w:r>
    </w:p>
    <w:p w14:paraId="7487752C" w14:textId="77777777" w:rsidR="00DB6E47" w:rsidRDefault="00DB6E47" w:rsidP="00DB6E47">
      <w:pPr>
        <w:pStyle w:val="aDefpara"/>
        <w:rPr>
          <w:spacing w:val="-1"/>
        </w:rPr>
      </w:pPr>
      <w:r w:rsidRPr="00F04D8E">
        <w:rPr>
          <w:rFonts w:cs="Times"/>
          <w:bCs/>
          <w:iCs/>
        </w:rPr>
        <w:tab/>
        <w:t>(b)</w:t>
      </w:r>
      <w:r w:rsidRPr="00FF4454">
        <w:rPr>
          <w:rStyle w:val="charBoldItals"/>
        </w:rPr>
        <w:tab/>
      </w:r>
      <w:r w:rsidR="0095693E">
        <w:t>a</w:t>
      </w:r>
      <w:r w:rsidR="0095693E">
        <w:rPr>
          <w:spacing w:val="17"/>
        </w:rPr>
        <w:t xml:space="preserve"> </w:t>
      </w:r>
      <w:r w:rsidR="0095693E">
        <w:t>change</w:t>
      </w:r>
      <w:r w:rsidR="0095693E">
        <w:rPr>
          <w:spacing w:val="17"/>
        </w:rPr>
        <w:t xml:space="preserve"> </w:t>
      </w:r>
      <w:r w:rsidR="0095693E">
        <w:t>to</w:t>
      </w:r>
      <w:r w:rsidR="0095693E">
        <w:rPr>
          <w:spacing w:val="17"/>
        </w:rPr>
        <w:t xml:space="preserve"> </w:t>
      </w:r>
      <w:r w:rsidR="0095693E">
        <w:t>the</w:t>
      </w:r>
      <w:r w:rsidR="0095693E">
        <w:rPr>
          <w:spacing w:val="17"/>
        </w:rPr>
        <w:t xml:space="preserve"> </w:t>
      </w:r>
      <w:r w:rsidR="0095693E">
        <w:rPr>
          <w:spacing w:val="-1"/>
        </w:rPr>
        <w:t>vehicle</w:t>
      </w:r>
      <w:r w:rsidR="0095693E">
        <w:rPr>
          <w:spacing w:val="17"/>
        </w:rPr>
        <w:t xml:space="preserve"> </w:t>
      </w:r>
      <w:r w:rsidR="0095693E">
        <w:t>from</w:t>
      </w:r>
      <w:r w:rsidR="0095693E">
        <w:rPr>
          <w:spacing w:val="17"/>
        </w:rPr>
        <w:t xml:space="preserve"> </w:t>
      </w:r>
      <w:r w:rsidR="0095693E">
        <w:t>the</w:t>
      </w:r>
      <w:r w:rsidR="0095693E">
        <w:rPr>
          <w:spacing w:val="23"/>
        </w:rPr>
        <w:t xml:space="preserve"> </w:t>
      </w:r>
      <w:r w:rsidR="0095693E">
        <w:rPr>
          <w:spacing w:val="-2"/>
        </w:rPr>
        <w:t>manufacturer’s</w:t>
      </w:r>
      <w:r w:rsidR="0095693E">
        <w:t xml:space="preserve"> </w:t>
      </w:r>
      <w:r w:rsidR="0095693E">
        <w:rPr>
          <w:spacing w:val="-1"/>
        </w:rPr>
        <w:t>specification</w:t>
      </w:r>
      <w:r w:rsidR="0095693E">
        <w:t xml:space="preserve"> for the </w:t>
      </w:r>
      <w:r w:rsidR="0095693E">
        <w:rPr>
          <w:spacing w:val="-1"/>
        </w:rPr>
        <w:t>vehicle;</w:t>
      </w:r>
    </w:p>
    <w:p w14:paraId="0BA709D4" w14:textId="6C1622CC" w:rsidR="0095693E" w:rsidRPr="00EB0CDE" w:rsidRDefault="0095693E" w:rsidP="0095693E">
      <w:pPr>
        <w:pStyle w:val="Amainreturn"/>
      </w:pPr>
      <w:r>
        <w:rPr>
          <w:spacing w:val="-2"/>
        </w:rPr>
        <w:t>but</w:t>
      </w:r>
      <w:r>
        <w:rPr>
          <w:spacing w:val="1"/>
        </w:rPr>
        <w:t xml:space="preserve"> </w:t>
      </w:r>
      <w:r>
        <w:t>does</w:t>
      </w:r>
      <w:r>
        <w:rPr>
          <w:spacing w:val="1"/>
        </w:rPr>
        <w:t xml:space="preserve"> </w:t>
      </w:r>
      <w:r>
        <w:t>not</w:t>
      </w:r>
      <w:r>
        <w:rPr>
          <w:spacing w:val="1"/>
        </w:rPr>
        <w:t xml:space="preserve"> </w:t>
      </w:r>
      <w:r>
        <w:t>include</w:t>
      </w:r>
      <w:r>
        <w:rPr>
          <w:spacing w:val="1"/>
        </w:rPr>
        <w:t xml:space="preserve"> </w:t>
      </w:r>
      <w:r>
        <w:t>a</w:t>
      </w:r>
      <w:r>
        <w:rPr>
          <w:spacing w:val="1"/>
        </w:rPr>
        <w:t xml:space="preserve"> </w:t>
      </w:r>
      <w:r>
        <w:rPr>
          <w:spacing w:val="-1"/>
        </w:rPr>
        <w:t>modification</w:t>
      </w:r>
      <w:r>
        <w:rPr>
          <w:spacing w:val="1"/>
        </w:rPr>
        <w:t xml:space="preserve"> </w:t>
      </w:r>
      <w:r>
        <w:t>to</w:t>
      </w:r>
      <w:r>
        <w:rPr>
          <w:spacing w:val="1"/>
        </w:rPr>
        <w:t xml:space="preserve"> </w:t>
      </w:r>
      <w:r>
        <w:t>the</w:t>
      </w:r>
      <w:r>
        <w:rPr>
          <w:spacing w:val="1"/>
        </w:rPr>
        <w:t xml:space="preserve"> </w:t>
      </w:r>
      <w:r>
        <w:rPr>
          <w:spacing w:val="-1"/>
        </w:rPr>
        <w:t>vehicle</w:t>
      </w:r>
      <w:r>
        <w:rPr>
          <w:spacing w:val="21"/>
        </w:rPr>
        <w:t xml:space="preserve"> </w:t>
      </w:r>
      <w:r>
        <w:rPr>
          <w:spacing w:val="-1"/>
        </w:rPr>
        <w:t>tha</w:t>
      </w:r>
      <w:r>
        <w:t>t</w:t>
      </w:r>
      <w:r>
        <w:rPr>
          <w:spacing w:val="24"/>
        </w:rPr>
        <w:t xml:space="preserve"> </w:t>
      </w:r>
      <w:r>
        <w:rPr>
          <w:spacing w:val="-1"/>
        </w:rPr>
        <w:t>ha</w:t>
      </w:r>
      <w:r>
        <w:t>s</w:t>
      </w:r>
      <w:r>
        <w:rPr>
          <w:spacing w:val="24"/>
        </w:rPr>
        <w:t xml:space="preserve"> </w:t>
      </w:r>
      <w:r>
        <w:rPr>
          <w:spacing w:val="-1"/>
        </w:rPr>
        <w:t>bee</w:t>
      </w:r>
      <w:r>
        <w:t>n</w:t>
      </w:r>
      <w:r>
        <w:rPr>
          <w:spacing w:val="24"/>
        </w:rPr>
        <w:t xml:space="preserve"> </w:t>
      </w:r>
      <w:r>
        <w:rPr>
          <w:spacing w:val="-1"/>
        </w:rPr>
        <w:t>appr</w:t>
      </w:r>
      <w:r>
        <w:rPr>
          <w:spacing w:val="-4"/>
        </w:rPr>
        <w:t>ov</w:t>
      </w:r>
      <w:r>
        <w:rPr>
          <w:spacing w:val="-1"/>
        </w:rPr>
        <w:t>e</w:t>
      </w:r>
      <w:r>
        <w:t>d</w:t>
      </w:r>
      <w:r>
        <w:rPr>
          <w:spacing w:val="24"/>
        </w:rPr>
        <w:t xml:space="preserve"> </w:t>
      </w:r>
      <w:r>
        <w:rPr>
          <w:spacing w:val="-1"/>
        </w:rPr>
        <w:t>unde</w:t>
      </w:r>
      <w:r>
        <w:t>r</w:t>
      </w:r>
      <w:r>
        <w:rPr>
          <w:spacing w:val="24"/>
        </w:rPr>
        <w:t xml:space="preserve"> </w:t>
      </w:r>
      <w:r w:rsidR="007A231E">
        <w:rPr>
          <w:color w:val="000000"/>
          <w:sz w:val="23"/>
          <w:szCs w:val="23"/>
          <w:shd w:val="clear" w:color="auto" w:fill="FFFFFF"/>
        </w:rPr>
        <w:t>the </w:t>
      </w:r>
      <w:hyperlink r:id="rId47" w:tooltip="Act 2018 No 163 (Cwlth)" w:history="1">
        <w:r w:rsidR="007A231E" w:rsidRPr="007A231E">
          <w:rPr>
            <w:rStyle w:val="charCitHyperlinkItal"/>
          </w:rPr>
          <w:t>Road Vehicle Standards Act 2018</w:t>
        </w:r>
      </w:hyperlink>
      <w:r w:rsidR="007A231E">
        <w:rPr>
          <w:color w:val="000000"/>
          <w:sz w:val="23"/>
          <w:szCs w:val="23"/>
          <w:shd w:val="clear" w:color="auto" w:fill="FFFFFF"/>
        </w:rPr>
        <w:t>, item 16(2) of Schedule 3 to the </w:t>
      </w:r>
      <w:hyperlink r:id="rId48" w:tooltip="Act 2018 No 164 (Cwlth)" w:history="1">
        <w:r w:rsidR="007A231E" w:rsidRPr="007A231E">
          <w:rPr>
            <w:rStyle w:val="charCitHyperlinkItal"/>
          </w:rPr>
          <w:t>Road Vehicle Standards (Consequential and Transitional Provisions) Act 2018</w:t>
        </w:r>
      </w:hyperlink>
      <w:r w:rsidR="007A231E">
        <w:rPr>
          <w:color w:val="000000"/>
          <w:sz w:val="23"/>
          <w:szCs w:val="23"/>
          <w:shd w:val="clear" w:color="auto" w:fill="FFFFFF"/>
        </w:rPr>
        <w:t> of the Commonwealth or the </w:t>
      </w:r>
      <w:hyperlink r:id="rId49" w:tooltip="Act 1989 No 65 (Cwlth)" w:history="1">
        <w:r w:rsidR="007A231E" w:rsidRPr="007A231E">
          <w:rPr>
            <w:rStyle w:val="charCitHyperlinkItal"/>
          </w:rPr>
          <w:t>Motor Vehicle Standards Act 1989</w:t>
        </w:r>
      </w:hyperlink>
      <w:r w:rsidR="007A231E">
        <w:rPr>
          <w:color w:val="000000"/>
          <w:sz w:val="23"/>
          <w:szCs w:val="23"/>
          <w:shd w:val="clear" w:color="auto" w:fill="FFFFFF"/>
        </w:rPr>
        <w:t> before the repeal of that Act</w:t>
      </w:r>
      <w:r>
        <w:rPr>
          <w:spacing w:val="-1"/>
        </w:rPr>
        <w:t>.</w:t>
      </w:r>
    </w:p>
    <w:p w14:paraId="2230D2C6" w14:textId="77777777" w:rsidR="00DB6E47" w:rsidRPr="007E1F9A" w:rsidRDefault="00DB6E47" w:rsidP="00DB6E47">
      <w:pPr>
        <w:pStyle w:val="AH5Sec"/>
      </w:pPr>
      <w:bookmarkStart w:id="85" w:name="_Toc83625429"/>
      <w:r w:rsidRPr="005E03F7">
        <w:rPr>
          <w:rStyle w:val="CharSectNo"/>
        </w:rPr>
        <w:t>85</w:t>
      </w:r>
      <w:r w:rsidRPr="007E1F9A">
        <w:tab/>
        <w:t>Modifying heavy vehicle requires approval</w:t>
      </w:r>
      <w:bookmarkEnd w:id="85"/>
    </w:p>
    <w:p w14:paraId="4612B7B7" w14:textId="77777777" w:rsidR="00DB6E47" w:rsidRPr="00EB0CDE" w:rsidRDefault="00DB6E47" w:rsidP="00DB6E47">
      <w:pPr>
        <w:pStyle w:val="Amain"/>
      </w:pPr>
      <w:r w:rsidRPr="00EB0CDE">
        <w:tab/>
        <w:t>(1)</w:t>
      </w:r>
      <w:r w:rsidRPr="00EB0CDE">
        <w:tab/>
        <w:t>A person must not modify a heavy vehicle unless the modification has been approved by—</w:t>
      </w:r>
    </w:p>
    <w:p w14:paraId="571ED3C0" w14:textId="77777777" w:rsidR="00DB6E47" w:rsidRPr="007D116E" w:rsidRDefault="00DB6E47" w:rsidP="00DB6E47">
      <w:pPr>
        <w:pStyle w:val="Apara"/>
      </w:pPr>
      <w:r w:rsidRPr="007D116E">
        <w:tab/>
        <w:t>(a)</w:t>
      </w:r>
      <w:r w:rsidRPr="007D116E">
        <w:tab/>
        <w:t>an approved vehicle examiner under section 86; or</w:t>
      </w:r>
    </w:p>
    <w:p w14:paraId="54AE58A5" w14:textId="77777777" w:rsidR="00DB6E47" w:rsidRPr="007D116E" w:rsidRDefault="00DB6E47" w:rsidP="00DB6E47">
      <w:pPr>
        <w:pStyle w:val="Apara"/>
      </w:pPr>
      <w:r w:rsidRPr="007D116E">
        <w:tab/>
        <w:t>(b)</w:t>
      </w:r>
      <w:r w:rsidRPr="007D116E">
        <w:tab/>
        <w:t>the Regulator under section 87.</w:t>
      </w:r>
    </w:p>
    <w:p w14:paraId="3F8BA15C" w14:textId="77777777" w:rsidR="00DB6E47" w:rsidRPr="006C3305" w:rsidRDefault="00DB6E47" w:rsidP="00DB6E47">
      <w:pPr>
        <w:pStyle w:val="Penalty"/>
      </w:pPr>
      <w:r w:rsidRPr="006C3305">
        <w:t>Maximum penalty—$3000.</w:t>
      </w:r>
    </w:p>
    <w:p w14:paraId="6ABA2414" w14:textId="77777777" w:rsidR="00DB6E47" w:rsidRPr="00EB0CDE" w:rsidRDefault="00DB6E47" w:rsidP="00DB6E47">
      <w:pPr>
        <w:pStyle w:val="Amain"/>
      </w:pPr>
      <w:r w:rsidRPr="00EB0CDE">
        <w:tab/>
        <w:t>(2)</w:t>
      </w:r>
      <w:r w:rsidRPr="00EB0CDE">
        <w:tab/>
        <w:t>A person must not use, or permit to be used, on a road a heavy vehicle that has been modified unless the modification has been approved by—</w:t>
      </w:r>
    </w:p>
    <w:p w14:paraId="0207156C" w14:textId="77777777" w:rsidR="00DB6E47" w:rsidRPr="007D116E" w:rsidRDefault="00DB6E47" w:rsidP="00DB6E47">
      <w:pPr>
        <w:pStyle w:val="Apara"/>
      </w:pPr>
      <w:r w:rsidRPr="007D116E">
        <w:tab/>
        <w:t>(a)</w:t>
      </w:r>
      <w:r w:rsidRPr="007D116E">
        <w:tab/>
        <w:t>an approved vehicle examiner under section 86; or</w:t>
      </w:r>
    </w:p>
    <w:p w14:paraId="64CD70E7" w14:textId="77777777" w:rsidR="00DB6E47" w:rsidRPr="007D116E" w:rsidRDefault="00DB6E47" w:rsidP="00DB6E47">
      <w:pPr>
        <w:pStyle w:val="Apara"/>
      </w:pPr>
      <w:r w:rsidRPr="007D116E">
        <w:tab/>
        <w:t>(b)</w:t>
      </w:r>
      <w:r w:rsidRPr="007D116E">
        <w:tab/>
        <w:t>the Regulator under section 87.</w:t>
      </w:r>
    </w:p>
    <w:p w14:paraId="38712F41" w14:textId="77777777" w:rsidR="00DB6E47" w:rsidRDefault="00DB6E47" w:rsidP="00DB6E47">
      <w:pPr>
        <w:pStyle w:val="Penalty"/>
      </w:pPr>
      <w:r w:rsidRPr="006C3305">
        <w:t>Maximum penalty—$3000.</w:t>
      </w:r>
    </w:p>
    <w:p w14:paraId="692E9937" w14:textId="77777777" w:rsidR="008A28FE" w:rsidRDefault="008A28FE" w:rsidP="00527A96">
      <w:pPr>
        <w:pStyle w:val="Amain"/>
        <w:keepLines/>
        <w:rPr>
          <w:spacing w:val="-2"/>
        </w:rPr>
      </w:pPr>
      <w:r>
        <w:rPr>
          <w:spacing w:val="-1"/>
        </w:rPr>
        <w:lastRenderedPageBreak/>
        <w:tab/>
        <w:t>(3)</w:t>
      </w:r>
      <w:r>
        <w:rPr>
          <w:spacing w:val="60"/>
        </w:rPr>
        <w:tab/>
      </w:r>
      <w:r>
        <w:rPr>
          <w:spacing w:val="-1"/>
        </w:rPr>
        <w:t xml:space="preserve">This section does not apply to </w:t>
      </w:r>
      <w:r>
        <w:t>a</w:t>
      </w:r>
      <w:r>
        <w:rPr>
          <w:spacing w:val="-1"/>
        </w:rPr>
        <w:t xml:space="preserve"> </w:t>
      </w:r>
      <w:r>
        <w:rPr>
          <w:spacing w:val="-2"/>
        </w:rPr>
        <w:t>modification</w:t>
      </w:r>
      <w:r>
        <w:rPr>
          <w:spacing w:val="-1"/>
        </w:rPr>
        <w:t xml:space="preserve"> that</w:t>
      </w:r>
      <w:r>
        <w:rPr>
          <w:spacing w:val="34"/>
        </w:rPr>
        <w:t xml:space="preserve"> </w:t>
      </w:r>
      <w:r>
        <w:rPr>
          <w:spacing w:val="-1"/>
        </w:rPr>
        <w:t>complies</w:t>
      </w:r>
      <w:r>
        <w:rPr>
          <w:spacing w:val="38"/>
        </w:rPr>
        <w:t xml:space="preserve"> </w:t>
      </w:r>
      <w:r>
        <w:rPr>
          <w:spacing w:val="-1"/>
        </w:rPr>
        <w:t>with</w:t>
      </w:r>
      <w:r>
        <w:rPr>
          <w:spacing w:val="38"/>
        </w:rPr>
        <w:t xml:space="preserve"> </w:t>
      </w:r>
      <w:r>
        <w:t>a</w:t>
      </w:r>
      <w:r>
        <w:rPr>
          <w:spacing w:val="38"/>
        </w:rPr>
        <w:t xml:space="preserve"> </w:t>
      </w:r>
      <w:r>
        <w:rPr>
          <w:spacing w:val="-1"/>
        </w:rPr>
        <w:t>code</w:t>
      </w:r>
      <w:r>
        <w:rPr>
          <w:spacing w:val="38"/>
        </w:rPr>
        <w:t xml:space="preserve"> </w:t>
      </w:r>
      <w:r>
        <w:rPr>
          <w:spacing w:val="-1"/>
        </w:rPr>
        <w:t>of</w:t>
      </w:r>
      <w:r>
        <w:rPr>
          <w:spacing w:val="38"/>
        </w:rPr>
        <w:t xml:space="preserve"> </w:t>
      </w:r>
      <w:r>
        <w:rPr>
          <w:spacing w:val="-1"/>
        </w:rPr>
        <w:t>practice</w:t>
      </w:r>
      <w:r>
        <w:rPr>
          <w:spacing w:val="38"/>
        </w:rPr>
        <w:t xml:space="preserve"> </w:t>
      </w:r>
      <w:r>
        <w:rPr>
          <w:spacing w:val="-1"/>
        </w:rPr>
        <w:t>prescribed</w:t>
      </w:r>
      <w:r>
        <w:rPr>
          <w:spacing w:val="38"/>
        </w:rPr>
        <w:t xml:space="preserve"> </w:t>
      </w:r>
      <w:r>
        <w:rPr>
          <w:spacing w:val="-1"/>
        </w:rPr>
        <w:t>by</w:t>
      </w:r>
      <w:r>
        <w:rPr>
          <w:spacing w:val="26"/>
        </w:rPr>
        <w:t xml:space="preserve"> </w:t>
      </w:r>
      <w:r>
        <w:rPr>
          <w:spacing w:val="-1"/>
        </w:rPr>
        <w:t>the</w:t>
      </w:r>
      <w:r>
        <w:rPr>
          <w:spacing w:val="31"/>
        </w:rPr>
        <w:t xml:space="preserve"> </w:t>
      </w:r>
      <w:r>
        <w:rPr>
          <w:spacing w:val="-1"/>
        </w:rPr>
        <w:t>national</w:t>
      </w:r>
      <w:r>
        <w:rPr>
          <w:spacing w:val="31"/>
        </w:rPr>
        <w:t xml:space="preserve"> </w:t>
      </w:r>
      <w:r>
        <w:rPr>
          <w:spacing w:val="-2"/>
        </w:rPr>
        <w:t>regulations</w:t>
      </w:r>
      <w:r>
        <w:rPr>
          <w:spacing w:val="31"/>
        </w:rPr>
        <w:t xml:space="preserve"> </w:t>
      </w:r>
      <w:r>
        <w:rPr>
          <w:spacing w:val="-1"/>
        </w:rPr>
        <w:t>for</w:t>
      </w:r>
      <w:r>
        <w:rPr>
          <w:spacing w:val="31"/>
        </w:rPr>
        <w:t xml:space="preserve"> </w:t>
      </w:r>
      <w:r>
        <w:rPr>
          <w:spacing w:val="-1"/>
        </w:rPr>
        <w:t>the</w:t>
      </w:r>
      <w:r>
        <w:rPr>
          <w:spacing w:val="31"/>
        </w:rPr>
        <w:t xml:space="preserve"> </w:t>
      </w:r>
      <w:r>
        <w:rPr>
          <w:spacing w:val="-1"/>
        </w:rPr>
        <w:t>purposes</w:t>
      </w:r>
      <w:r>
        <w:rPr>
          <w:spacing w:val="30"/>
        </w:rPr>
        <w:t xml:space="preserve"> </w:t>
      </w:r>
      <w:r>
        <w:rPr>
          <w:spacing w:val="-1"/>
        </w:rPr>
        <w:t>of</w:t>
      </w:r>
      <w:r>
        <w:rPr>
          <w:spacing w:val="31"/>
        </w:rPr>
        <w:t xml:space="preserve"> </w:t>
      </w:r>
      <w:r>
        <w:rPr>
          <w:spacing w:val="-1"/>
        </w:rPr>
        <w:t>this</w:t>
      </w:r>
      <w:r>
        <w:rPr>
          <w:spacing w:val="28"/>
        </w:rPr>
        <w:t xml:space="preserve"> </w:t>
      </w:r>
      <w:r>
        <w:rPr>
          <w:spacing w:val="-1"/>
        </w:rPr>
        <w:t>section,</w:t>
      </w:r>
      <w:r>
        <w:rPr>
          <w:spacing w:val="1"/>
        </w:rPr>
        <w:t xml:space="preserve"> </w:t>
      </w:r>
      <w:r>
        <w:rPr>
          <w:spacing w:val="-1"/>
        </w:rPr>
        <w:t>section</w:t>
      </w:r>
      <w:r>
        <w:rPr>
          <w:spacing w:val="1"/>
        </w:rPr>
        <w:t xml:space="preserve"> </w:t>
      </w:r>
      <w:r>
        <w:rPr>
          <w:spacing w:val="-1"/>
        </w:rPr>
        <w:t xml:space="preserve">86 </w:t>
      </w:r>
      <w:r>
        <w:t xml:space="preserve">or 87 that </w:t>
      </w:r>
      <w:r>
        <w:rPr>
          <w:spacing w:val="-1"/>
        </w:rPr>
        <w:t>expressly</w:t>
      </w:r>
      <w:r>
        <w:t xml:space="preserve"> states that</w:t>
      </w:r>
      <w:r>
        <w:rPr>
          <w:spacing w:val="28"/>
        </w:rPr>
        <w:t xml:space="preserve"> </w:t>
      </w:r>
      <w:r>
        <w:t>a</w:t>
      </w:r>
      <w:r>
        <w:rPr>
          <w:spacing w:val="24"/>
        </w:rPr>
        <w:t xml:space="preserve"> </w:t>
      </w:r>
      <w:r>
        <w:rPr>
          <w:spacing w:val="-2"/>
        </w:rPr>
        <w:t>modification</w:t>
      </w:r>
      <w:r>
        <w:rPr>
          <w:spacing w:val="24"/>
        </w:rPr>
        <w:t xml:space="preserve"> </w:t>
      </w:r>
      <w:r>
        <w:rPr>
          <w:spacing w:val="-1"/>
        </w:rPr>
        <w:t>of</w:t>
      </w:r>
      <w:r>
        <w:rPr>
          <w:spacing w:val="24"/>
        </w:rPr>
        <w:t xml:space="preserve"> </w:t>
      </w:r>
      <w:r>
        <w:rPr>
          <w:spacing w:val="-1"/>
        </w:rPr>
        <w:t>that</w:t>
      </w:r>
      <w:r>
        <w:rPr>
          <w:spacing w:val="25"/>
        </w:rPr>
        <w:t xml:space="preserve"> </w:t>
      </w:r>
      <w:r>
        <w:rPr>
          <w:spacing w:val="-1"/>
        </w:rPr>
        <w:t>type</w:t>
      </w:r>
      <w:r>
        <w:rPr>
          <w:spacing w:val="25"/>
        </w:rPr>
        <w:t xml:space="preserve"> </w:t>
      </w:r>
      <w:r>
        <w:rPr>
          <w:spacing w:val="-1"/>
        </w:rPr>
        <w:t>does</w:t>
      </w:r>
      <w:r>
        <w:rPr>
          <w:spacing w:val="25"/>
        </w:rPr>
        <w:t xml:space="preserve"> </w:t>
      </w:r>
      <w:r>
        <w:rPr>
          <w:spacing w:val="-1"/>
        </w:rPr>
        <w:t>not</w:t>
      </w:r>
      <w:r>
        <w:rPr>
          <w:spacing w:val="25"/>
        </w:rPr>
        <w:t xml:space="preserve"> </w:t>
      </w:r>
      <w:r>
        <w:rPr>
          <w:spacing w:val="-1"/>
        </w:rPr>
        <w:t>require</w:t>
      </w:r>
      <w:r>
        <w:rPr>
          <w:spacing w:val="30"/>
        </w:rPr>
        <w:t xml:space="preserve"> </w:t>
      </w:r>
      <w:r>
        <w:rPr>
          <w:spacing w:val="-2"/>
        </w:rPr>
        <w:t>approval.</w:t>
      </w:r>
    </w:p>
    <w:p w14:paraId="3BB8D38F" w14:textId="77777777" w:rsidR="00AA6ABA" w:rsidRPr="00AA6ABA" w:rsidRDefault="00AA6ABA" w:rsidP="00AA6ABA">
      <w:pPr>
        <w:pStyle w:val="Amain"/>
        <w:rPr>
          <w:lang w:val="en" w:eastAsia="en-AU"/>
        </w:rPr>
      </w:pPr>
      <w:r>
        <w:rPr>
          <w:lang w:val="en" w:eastAsia="en-AU"/>
        </w:rPr>
        <w:tab/>
      </w:r>
      <w:r w:rsidRPr="00AA6ABA">
        <w:rPr>
          <w:lang w:val="en" w:eastAsia="en-AU"/>
        </w:rPr>
        <w:t>(4)</w:t>
      </w:r>
      <w:r>
        <w:rPr>
          <w:lang w:val="en" w:eastAsia="en-AU"/>
        </w:rPr>
        <w:tab/>
      </w:r>
      <w:r w:rsidRPr="00AA6ABA">
        <w:rPr>
          <w:lang w:val="en" w:eastAsia="en-AU"/>
        </w:rPr>
        <w:t>A modification is taken to have been approved by an approved vehicle examiner under section 86 if—</w:t>
      </w:r>
    </w:p>
    <w:p w14:paraId="3C98E31A" w14:textId="77777777" w:rsidR="00AA6ABA" w:rsidRPr="00AA6ABA" w:rsidRDefault="00AA6ABA" w:rsidP="00AA6ABA">
      <w:pPr>
        <w:pStyle w:val="Apara"/>
        <w:rPr>
          <w:lang w:val="en" w:eastAsia="en-AU"/>
        </w:rPr>
      </w:pPr>
      <w:r>
        <w:rPr>
          <w:lang w:val="en" w:eastAsia="en-AU"/>
        </w:rPr>
        <w:tab/>
      </w:r>
      <w:r w:rsidRPr="00AA6ABA">
        <w:rPr>
          <w:lang w:val="en" w:eastAsia="en-AU"/>
        </w:rPr>
        <w:t>(a)</w:t>
      </w:r>
      <w:r>
        <w:rPr>
          <w:lang w:val="en" w:eastAsia="en-AU"/>
        </w:rPr>
        <w:tab/>
      </w:r>
      <w:r w:rsidRPr="00AA6ABA">
        <w:rPr>
          <w:lang w:val="en" w:eastAsia="en-AU"/>
        </w:rPr>
        <w:t>the modification has been authorised under an Australian road law of a non-participating jurisdiction; and</w:t>
      </w:r>
    </w:p>
    <w:p w14:paraId="504D213B" w14:textId="77777777" w:rsidR="00AA6ABA" w:rsidRPr="00AA6ABA" w:rsidRDefault="00AA6ABA" w:rsidP="00AA6ABA">
      <w:pPr>
        <w:pStyle w:val="Apara"/>
        <w:rPr>
          <w:lang w:val="en" w:eastAsia="en-AU"/>
        </w:rPr>
      </w:pPr>
      <w:r>
        <w:rPr>
          <w:lang w:val="en" w:eastAsia="en-AU"/>
        </w:rPr>
        <w:tab/>
      </w:r>
      <w:r w:rsidRPr="00AA6ABA">
        <w:rPr>
          <w:lang w:val="en" w:eastAsia="en-AU"/>
        </w:rPr>
        <w:t>(b)</w:t>
      </w:r>
      <w:r>
        <w:rPr>
          <w:lang w:val="en" w:eastAsia="en-AU"/>
        </w:rPr>
        <w:tab/>
      </w:r>
      <w:r w:rsidRPr="00AA6ABA">
        <w:rPr>
          <w:lang w:val="en" w:eastAsia="en-AU"/>
        </w:rPr>
        <w:t>a modification plate or label is fitted or affixed to a conspicuous part of the vehicle; and</w:t>
      </w:r>
    </w:p>
    <w:p w14:paraId="3A00A488" w14:textId="77777777" w:rsidR="00AA6ABA" w:rsidRPr="00AA6ABA" w:rsidRDefault="00AA6ABA" w:rsidP="00AA6ABA">
      <w:pPr>
        <w:pStyle w:val="Apara"/>
        <w:rPr>
          <w:lang w:val="en" w:eastAsia="en-AU"/>
        </w:rPr>
      </w:pPr>
      <w:r>
        <w:rPr>
          <w:lang w:val="en" w:eastAsia="en-AU"/>
        </w:rPr>
        <w:tab/>
      </w:r>
      <w:r w:rsidRPr="00AA6ABA">
        <w:rPr>
          <w:lang w:val="en" w:eastAsia="en-AU"/>
        </w:rPr>
        <w:t>(c)</w:t>
      </w:r>
      <w:r>
        <w:rPr>
          <w:lang w:val="en" w:eastAsia="en-AU"/>
        </w:rPr>
        <w:tab/>
      </w:r>
      <w:r w:rsidRPr="00AA6ABA">
        <w:rPr>
          <w:lang w:val="en" w:eastAsia="en-AU"/>
        </w:rPr>
        <w:t>the modification plate or label indicates that the modification complies with a code of practice prescribed by the national regulations for the purposes of section 86.</w:t>
      </w:r>
    </w:p>
    <w:p w14:paraId="45B4D5EA" w14:textId="77777777" w:rsidR="00AA6ABA" w:rsidRPr="00AA6ABA" w:rsidRDefault="00AA6ABA" w:rsidP="00AA6ABA">
      <w:pPr>
        <w:pStyle w:val="Amain"/>
        <w:rPr>
          <w:lang w:val="en" w:eastAsia="en-AU"/>
        </w:rPr>
      </w:pPr>
      <w:r>
        <w:rPr>
          <w:lang w:val="en" w:eastAsia="en-AU"/>
        </w:rPr>
        <w:tab/>
      </w:r>
      <w:r w:rsidRPr="00AA6ABA">
        <w:rPr>
          <w:lang w:val="en" w:eastAsia="en-AU"/>
        </w:rPr>
        <w:t>(5)</w:t>
      </w:r>
      <w:r>
        <w:rPr>
          <w:lang w:val="en" w:eastAsia="en-AU"/>
        </w:rPr>
        <w:tab/>
      </w:r>
      <w:r w:rsidRPr="00AA6ABA">
        <w:rPr>
          <w:lang w:val="en" w:eastAsia="en-AU"/>
        </w:rPr>
        <w:t>In this section—</w:t>
      </w:r>
    </w:p>
    <w:p w14:paraId="457F4A0C" w14:textId="77777777" w:rsidR="00AA6ABA" w:rsidRPr="00AA6ABA" w:rsidRDefault="00AA6ABA" w:rsidP="00AA6ABA">
      <w:pPr>
        <w:pStyle w:val="aDef"/>
        <w:rPr>
          <w:lang w:val="en" w:eastAsia="en-AU"/>
        </w:rPr>
      </w:pPr>
      <w:r w:rsidRPr="00AA6ABA">
        <w:rPr>
          <w:b/>
          <w:bCs/>
          <w:i/>
          <w:iCs/>
          <w:lang w:val="en" w:eastAsia="en-AU"/>
        </w:rPr>
        <w:t>authorised</w:t>
      </w:r>
      <w:r w:rsidRPr="00AA6ABA">
        <w:rPr>
          <w:lang w:val="en" w:eastAsia="en-AU"/>
        </w:rPr>
        <w:t xml:space="preserve"> includes approved and permitted.</w:t>
      </w:r>
    </w:p>
    <w:p w14:paraId="3F48989C" w14:textId="77777777" w:rsidR="00AA6ABA" w:rsidRPr="00AA6ABA" w:rsidRDefault="00AA6ABA" w:rsidP="00AA6ABA">
      <w:pPr>
        <w:pStyle w:val="aDef"/>
        <w:rPr>
          <w:lang w:val="en" w:eastAsia="en-AU"/>
        </w:rPr>
      </w:pPr>
      <w:r w:rsidRPr="00AA6ABA">
        <w:rPr>
          <w:b/>
          <w:bCs/>
          <w:i/>
          <w:iCs/>
          <w:lang w:val="en" w:eastAsia="en-AU"/>
        </w:rPr>
        <w:t>modification plate or label</w:t>
      </w:r>
      <w:r w:rsidRPr="00AA6ABA">
        <w:rPr>
          <w:lang w:val="en" w:eastAsia="en-AU"/>
        </w:rPr>
        <w:t xml:space="preserve"> means a plate or label that is stamped, engraved or marked so as to display information that relates to a modification.</w:t>
      </w:r>
    </w:p>
    <w:p w14:paraId="5F1361E0" w14:textId="77777777" w:rsidR="00AA6ABA" w:rsidRPr="00AA6ABA" w:rsidRDefault="00AA6ABA" w:rsidP="00AA6ABA">
      <w:pPr>
        <w:pStyle w:val="aDef"/>
        <w:rPr>
          <w:lang w:val="en" w:eastAsia="en-AU"/>
        </w:rPr>
      </w:pPr>
      <w:r w:rsidRPr="00AA6ABA">
        <w:rPr>
          <w:b/>
          <w:bCs/>
          <w:i/>
          <w:iCs/>
          <w:lang w:val="en" w:eastAsia="en-AU"/>
        </w:rPr>
        <w:t>non-participating jurisdiction</w:t>
      </w:r>
      <w:r w:rsidRPr="00AA6ABA">
        <w:rPr>
          <w:lang w:val="en" w:eastAsia="en-AU"/>
        </w:rPr>
        <w:t xml:space="preserve"> has the meaning given by section 221.</w:t>
      </w:r>
    </w:p>
    <w:p w14:paraId="059EB9FA" w14:textId="77777777" w:rsidR="00DB6E47" w:rsidRPr="007E1F9A" w:rsidRDefault="00DB6E47" w:rsidP="00DB6E47">
      <w:pPr>
        <w:pStyle w:val="AH5Sec"/>
      </w:pPr>
      <w:bookmarkStart w:id="86" w:name="_Toc83625430"/>
      <w:r w:rsidRPr="005E03F7">
        <w:rPr>
          <w:rStyle w:val="CharSectNo"/>
        </w:rPr>
        <w:t>86</w:t>
      </w:r>
      <w:r w:rsidRPr="007E1F9A">
        <w:tab/>
        <w:t>Approval of modifications by approved vehicle examiners</w:t>
      </w:r>
      <w:bookmarkEnd w:id="86"/>
    </w:p>
    <w:p w14:paraId="35515901" w14:textId="77777777" w:rsidR="00DB6E47" w:rsidRPr="00EB0CDE" w:rsidRDefault="00DB6E47" w:rsidP="00824C29">
      <w:pPr>
        <w:pStyle w:val="Amain"/>
        <w:keepLines/>
      </w:pPr>
      <w:r w:rsidRPr="00EB0CDE">
        <w:tab/>
        <w:t>(1)</w:t>
      </w:r>
      <w:r w:rsidRPr="00EB0CDE">
        <w:tab/>
        <w:t>An approved vehicle examiner may, if authorised to do so under the national regulations, approve a modification of a heavy vehicle if, and only if, the modification complies with a code of practice prescribed by the national regulations for the purposes of this section.</w:t>
      </w:r>
    </w:p>
    <w:p w14:paraId="0CD04326" w14:textId="77777777" w:rsidR="00DB6E47" w:rsidRPr="00EB0CDE" w:rsidRDefault="00DB6E47" w:rsidP="00F3269D">
      <w:pPr>
        <w:pStyle w:val="Amain"/>
        <w:keepNext/>
      </w:pPr>
      <w:r w:rsidRPr="00EB0CDE">
        <w:lastRenderedPageBreak/>
        <w:tab/>
        <w:t>(2)</w:t>
      </w:r>
      <w:r w:rsidRPr="00EB0CDE">
        <w:tab/>
        <w:t>If an approved vehicle examiner approves a modification of a heavy vehicle, the examiner must—</w:t>
      </w:r>
    </w:p>
    <w:p w14:paraId="2CACBCBB" w14:textId="77777777" w:rsidR="00DB6E47" w:rsidRPr="007D116E" w:rsidRDefault="00DB6E47" w:rsidP="00F3269D">
      <w:pPr>
        <w:pStyle w:val="Apara"/>
        <w:keepNext/>
      </w:pPr>
      <w:r w:rsidRPr="007D116E">
        <w:tab/>
        <w:t>(a)</w:t>
      </w:r>
      <w:r w:rsidRPr="007D116E">
        <w:tab/>
        <w:t>give a certificate approving the modification, in the approved form, to—</w:t>
      </w:r>
    </w:p>
    <w:p w14:paraId="79D1270D" w14:textId="77777777" w:rsidR="00DB6E47" w:rsidRPr="00516F02" w:rsidRDefault="00DB6E47" w:rsidP="00DB6E47">
      <w:pPr>
        <w:pStyle w:val="Asubpara"/>
      </w:pPr>
      <w:r w:rsidRPr="00516F02">
        <w:tab/>
        <w:t>(i)</w:t>
      </w:r>
      <w:r w:rsidRPr="00516F02">
        <w:tab/>
        <w:t>the registered operator of the vehicle; or</w:t>
      </w:r>
    </w:p>
    <w:p w14:paraId="67D404BF" w14:textId="77777777" w:rsidR="00DB6E47" w:rsidRPr="00516F02" w:rsidRDefault="00DB6E47" w:rsidP="00DB6E47">
      <w:pPr>
        <w:pStyle w:val="Asubpara"/>
      </w:pPr>
      <w:r w:rsidRPr="00516F02">
        <w:tab/>
        <w:t>(ii)</w:t>
      </w:r>
      <w:r w:rsidRPr="00516F02">
        <w:tab/>
        <w:t>if there is no registered operator of the vehicle—an owner of the vehicle; and</w:t>
      </w:r>
    </w:p>
    <w:p w14:paraId="4BC70A4C" w14:textId="77777777" w:rsidR="00DB6E47" w:rsidRPr="007D116E" w:rsidRDefault="00DB6E47" w:rsidP="00DB6E47">
      <w:pPr>
        <w:pStyle w:val="Apara"/>
      </w:pPr>
      <w:r w:rsidRPr="007D116E">
        <w:tab/>
        <w:t>(b)</w:t>
      </w:r>
      <w:r w:rsidRPr="007D116E">
        <w:tab/>
        <w:t>ensure a plate or labe</w:t>
      </w:r>
      <w:r w:rsidR="001F4394">
        <w:t xml:space="preserve">l that complies with subsection </w:t>
      </w:r>
      <w:r w:rsidRPr="007D116E">
        <w:t>(3)</w:t>
      </w:r>
      <w:r w:rsidR="001F4394">
        <w:t xml:space="preserve"> </w:t>
      </w:r>
      <w:r w:rsidRPr="007D116E">
        <w:t>is fitted or affixed to a conspicuous part of the vehicle.</w:t>
      </w:r>
    </w:p>
    <w:p w14:paraId="2DE2E991" w14:textId="77777777" w:rsidR="00DB6E47" w:rsidRPr="006C3305" w:rsidRDefault="00DB6E47" w:rsidP="00DB6E47">
      <w:pPr>
        <w:pStyle w:val="Penalty"/>
      </w:pPr>
      <w:r w:rsidRPr="006C3305">
        <w:t>Maximum penalty—$3000.</w:t>
      </w:r>
    </w:p>
    <w:p w14:paraId="75271EFD" w14:textId="77777777" w:rsidR="00DB6E47" w:rsidRPr="00EB0CDE" w:rsidRDefault="00DB6E47" w:rsidP="00DB6E47">
      <w:pPr>
        <w:pStyle w:val="Amain"/>
      </w:pPr>
      <w:r w:rsidRPr="00EB0CDE">
        <w:tab/>
        <w:t>(3)</w:t>
      </w:r>
      <w:r w:rsidRPr="00EB0CDE">
        <w:tab/>
        <w:t>For the purposes of subsection (2)(b), a plate or label complies with this subsection if—</w:t>
      </w:r>
    </w:p>
    <w:p w14:paraId="78DCBC67" w14:textId="77777777" w:rsidR="00DB6E47" w:rsidRPr="007D116E" w:rsidRDefault="00DB6E47" w:rsidP="00DB6E47">
      <w:pPr>
        <w:pStyle w:val="Apara"/>
      </w:pPr>
      <w:r w:rsidRPr="007D116E">
        <w:tab/>
        <w:t>(a)</w:t>
      </w:r>
      <w:r w:rsidRPr="007D116E">
        <w:tab/>
        <w:t>it is of a type approved by the Regulator; and</w:t>
      </w:r>
    </w:p>
    <w:p w14:paraId="4734BC38" w14:textId="77777777" w:rsidR="00DB6E47" w:rsidRPr="007D116E" w:rsidRDefault="00DB6E47" w:rsidP="00DB6E47">
      <w:pPr>
        <w:pStyle w:val="Apara"/>
      </w:pPr>
      <w:r w:rsidRPr="007D116E">
        <w:tab/>
        <w:t>(b)</w:t>
      </w:r>
      <w:r w:rsidRPr="007D116E">
        <w:tab/>
        <w:t>it is stamped, engraved or marked so as to display information that relates to the modification and that is—</w:t>
      </w:r>
    </w:p>
    <w:p w14:paraId="4D259379" w14:textId="77777777" w:rsidR="00DB6E47" w:rsidRPr="00516F02" w:rsidRDefault="00DB6E47" w:rsidP="00DB6E47">
      <w:pPr>
        <w:pStyle w:val="Asubpara"/>
      </w:pPr>
      <w:r w:rsidRPr="00516F02">
        <w:tab/>
        <w:t>(i)</w:t>
      </w:r>
      <w:r w:rsidRPr="00516F02">
        <w:tab/>
        <w:t>approved by the Regulator; or</w:t>
      </w:r>
    </w:p>
    <w:p w14:paraId="35976EB6" w14:textId="77777777" w:rsidR="00DB6E47" w:rsidRPr="00516F02" w:rsidRDefault="00DB6E47" w:rsidP="00DB6E47">
      <w:pPr>
        <w:pStyle w:val="Asubpara"/>
      </w:pPr>
      <w:r>
        <w:tab/>
      </w:r>
      <w:r w:rsidRPr="00516F02">
        <w:t>(ii)</w:t>
      </w:r>
      <w:r w:rsidRPr="00516F02">
        <w:tab/>
        <w:t>prescribed by the national regulations for the purposes of this section.</w:t>
      </w:r>
    </w:p>
    <w:p w14:paraId="0D7F0939" w14:textId="77777777" w:rsidR="00DB6E47" w:rsidRPr="007E1F9A" w:rsidRDefault="00DB6E47" w:rsidP="00DB6E47">
      <w:pPr>
        <w:pStyle w:val="AH5Sec"/>
      </w:pPr>
      <w:bookmarkStart w:id="87" w:name="_Toc83625431"/>
      <w:r w:rsidRPr="005E03F7">
        <w:rPr>
          <w:rStyle w:val="CharSectNo"/>
        </w:rPr>
        <w:t>87</w:t>
      </w:r>
      <w:r w:rsidRPr="007E1F9A">
        <w:tab/>
        <w:t>Approval of modification by Regulator</w:t>
      </w:r>
      <w:bookmarkEnd w:id="87"/>
    </w:p>
    <w:p w14:paraId="5D917FA9" w14:textId="77777777" w:rsidR="00DB6E47" w:rsidRPr="00EB0CDE" w:rsidRDefault="00DB6E47" w:rsidP="00824C29">
      <w:pPr>
        <w:pStyle w:val="Amain"/>
        <w:keepNext/>
      </w:pPr>
      <w:r w:rsidRPr="00EB0CDE">
        <w:tab/>
        <w:t>(1)</w:t>
      </w:r>
      <w:r w:rsidRPr="00EB0CDE">
        <w:tab/>
        <w:t>The Regulator may approve a modification of a heavy vehicle if the Regulator is satisfied—</w:t>
      </w:r>
    </w:p>
    <w:p w14:paraId="31DB59D3" w14:textId="77777777" w:rsidR="00DB6E47" w:rsidRPr="007D116E" w:rsidRDefault="00DB6E47" w:rsidP="00DB6E47">
      <w:pPr>
        <w:pStyle w:val="Apara"/>
      </w:pPr>
      <w:r w:rsidRPr="007D116E">
        <w:tab/>
        <w:t>(a)</w:t>
      </w:r>
      <w:r w:rsidRPr="007D116E">
        <w:tab/>
        <w:t>the use on a road of the modified vehicle will not pose a significant safety risk; and</w:t>
      </w:r>
    </w:p>
    <w:p w14:paraId="4711CEEA" w14:textId="77777777" w:rsidR="00DB6E47" w:rsidRPr="007D116E" w:rsidRDefault="00DB6E47" w:rsidP="00DB6E47">
      <w:pPr>
        <w:pStyle w:val="Apara"/>
      </w:pPr>
      <w:r w:rsidRPr="007D116E">
        <w:tab/>
        <w:t>(b)</w:t>
      </w:r>
      <w:r w:rsidRPr="007D116E">
        <w:tab/>
        <w:t>as to either or both of the following (as relevant)—</w:t>
      </w:r>
    </w:p>
    <w:p w14:paraId="113BC9FE" w14:textId="77777777" w:rsidR="00DB6E47" w:rsidRPr="00516F02" w:rsidRDefault="00DB6E47" w:rsidP="00DB6E47">
      <w:pPr>
        <w:pStyle w:val="Asubpara"/>
      </w:pPr>
      <w:r w:rsidRPr="00516F02">
        <w:tab/>
        <w:t>(i)</w:t>
      </w:r>
      <w:r w:rsidRPr="00516F02">
        <w:tab/>
        <w:t>the modified vehicle will comply with applicable noise and emission standards prescribed by national regulations, except as provided by subparagraph (ii);</w:t>
      </w:r>
    </w:p>
    <w:p w14:paraId="3DC0C6BA" w14:textId="77777777" w:rsidR="00DB6E47" w:rsidRPr="00516F02" w:rsidRDefault="00DB6E47" w:rsidP="00DB6E47">
      <w:pPr>
        <w:pStyle w:val="Asubpara"/>
      </w:pPr>
      <w:r>
        <w:lastRenderedPageBreak/>
        <w:tab/>
      </w:r>
      <w:r w:rsidRPr="00516F02">
        <w:t>(ii)</w:t>
      </w:r>
      <w:r w:rsidRPr="00516F02">
        <w:tab/>
        <w:t>the Regulator has exempted the modified vehicle from a noise or emission stand</w:t>
      </w:r>
      <w:r w:rsidR="001F4394">
        <w:t xml:space="preserve">ard referred to in subparagraph </w:t>
      </w:r>
      <w:r w:rsidRPr="00516F02">
        <w:t>(i)</w:t>
      </w:r>
      <w:r w:rsidR="001F4394">
        <w:t xml:space="preserve"> </w:t>
      </w:r>
      <w:r w:rsidRPr="00516F02">
        <w:t>and the Regulator is satisfied that the modified vehicle complies with the requirements of the exemption.</w:t>
      </w:r>
    </w:p>
    <w:p w14:paraId="2794A2EA" w14:textId="77777777" w:rsidR="00DB6E47" w:rsidRPr="00EB0CDE" w:rsidRDefault="001F4394" w:rsidP="00DB6E47">
      <w:pPr>
        <w:pStyle w:val="Amain"/>
      </w:pPr>
      <w:r>
        <w:tab/>
        <w:t>(2)</w:t>
      </w:r>
      <w:r>
        <w:tab/>
        <w:t xml:space="preserve">Subsection </w:t>
      </w:r>
      <w:r w:rsidR="00DB6E47" w:rsidRPr="00EB0CDE">
        <w:t>(1)</w:t>
      </w:r>
      <w:r>
        <w:t xml:space="preserve"> </w:t>
      </w:r>
      <w:r w:rsidR="00DB6E47" w:rsidRPr="00EB0CDE">
        <w:t>applies whether or not the modification complies with a code of practice prescribed by the national regulations prescribed for the purposes of this section.</w:t>
      </w:r>
    </w:p>
    <w:p w14:paraId="0C3AC094" w14:textId="77777777" w:rsidR="00DB6E47" w:rsidRPr="00EB0CDE" w:rsidRDefault="00DB6E47" w:rsidP="00DB6E47">
      <w:pPr>
        <w:pStyle w:val="Amain"/>
      </w:pPr>
      <w:r w:rsidRPr="00EB0CDE">
        <w:tab/>
        <w:t>(3)</w:t>
      </w:r>
      <w:r w:rsidRPr="00EB0CDE">
        <w:tab/>
        <w:t>If the Regulator approves a modification of a heavy vehicle, the Regulator must—</w:t>
      </w:r>
    </w:p>
    <w:p w14:paraId="44FAB1E0" w14:textId="77777777" w:rsidR="00DB6E47" w:rsidRPr="007D116E" w:rsidRDefault="00DB6E47" w:rsidP="00DB6E47">
      <w:pPr>
        <w:pStyle w:val="Apara"/>
      </w:pPr>
      <w:r w:rsidRPr="007D116E">
        <w:tab/>
        <w:t>(a)</w:t>
      </w:r>
      <w:r w:rsidRPr="007D116E">
        <w:tab/>
        <w:t>give a certificate approving the modification, in the approved form, to—</w:t>
      </w:r>
    </w:p>
    <w:p w14:paraId="6086BC7C" w14:textId="77777777" w:rsidR="00DB6E47" w:rsidRPr="00516F02" w:rsidRDefault="00DB6E47" w:rsidP="00DB6E47">
      <w:pPr>
        <w:pStyle w:val="Asubpara"/>
      </w:pPr>
      <w:r w:rsidRPr="00516F02">
        <w:tab/>
        <w:t>(i)</w:t>
      </w:r>
      <w:r w:rsidRPr="00516F02">
        <w:tab/>
        <w:t>the registered operator of the vehicle; or</w:t>
      </w:r>
    </w:p>
    <w:p w14:paraId="2BF9C048" w14:textId="77777777" w:rsidR="00DB6E47" w:rsidRPr="00516F02" w:rsidRDefault="00DB6E47" w:rsidP="00DB6E47">
      <w:pPr>
        <w:pStyle w:val="Asubpara"/>
      </w:pPr>
      <w:r w:rsidRPr="00516F02">
        <w:tab/>
        <w:t>(ii)</w:t>
      </w:r>
      <w:r w:rsidRPr="00516F02">
        <w:tab/>
        <w:t>if there is no registered operator of the vehicle—an owner of the vehicle; and</w:t>
      </w:r>
    </w:p>
    <w:p w14:paraId="27525ED4" w14:textId="77777777" w:rsidR="00DB6E47" w:rsidRPr="007D116E" w:rsidRDefault="00DB6E47" w:rsidP="00DB6E47">
      <w:pPr>
        <w:pStyle w:val="Apara"/>
      </w:pPr>
      <w:r w:rsidRPr="007D116E">
        <w:tab/>
        <w:t>(b)</w:t>
      </w:r>
      <w:r w:rsidRPr="007D116E">
        <w:tab/>
        <w:t>ensure a plate or labe</w:t>
      </w:r>
      <w:r w:rsidR="001F4394">
        <w:t xml:space="preserve">l that complies with subsection </w:t>
      </w:r>
      <w:r w:rsidRPr="007D116E">
        <w:t>(4)</w:t>
      </w:r>
      <w:r w:rsidR="001F4394">
        <w:t xml:space="preserve"> </w:t>
      </w:r>
      <w:r w:rsidRPr="007D116E">
        <w:t>is fitted or affixed to a conspicuous part of the vehicle.</w:t>
      </w:r>
    </w:p>
    <w:p w14:paraId="1E0CA83C" w14:textId="77777777" w:rsidR="00DB6E47" w:rsidRPr="00EB0CDE" w:rsidRDefault="00DB6E47" w:rsidP="00DB6E47">
      <w:pPr>
        <w:pStyle w:val="Amain"/>
      </w:pPr>
      <w:r w:rsidRPr="00EB0CDE">
        <w:tab/>
        <w:t>(4)</w:t>
      </w:r>
      <w:r w:rsidRPr="00EB0CDE">
        <w:tab/>
        <w:t>For the purposes of subsection (3)(b), a plate or label complies with this subsection if—</w:t>
      </w:r>
    </w:p>
    <w:p w14:paraId="669EC8A2" w14:textId="77777777" w:rsidR="00DB6E47" w:rsidRPr="007D116E" w:rsidRDefault="00DB6E47" w:rsidP="00DB6E47">
      <w:pPr>
        <w:pStyle w:val="Apara"/>
      </w:pPr>
      <w:r w:rsidRPr="007D116E">
        <w:tab/>
        <w:t>(a)</w:t>
      </w:r>
      <w:r w:rsidRPr="007D116E">
        <w:tab/>
        <w:t>it is of a type approved by the Regulator; and</w:t>
      </w:r>
    </w:p>
    <w:p w14:paraId="7483C996" w14:textId="77777777" w:rsidR="00DB6E47" w:rsidRPr="007D116E" w:rsidRDefault="00DB6E47" w:rsidP="00DB6E47">
      <w:pPr>
        <w:pStyle w:val="Apara"/>
      </w:pPr>
      <w:r w:rsidRPr="007D116E">
        <w:tab/>
        <w:t>(b)</w:t>
      </w:r>
      <w:r w:rsidRPr="007D116E">
        <w:tab/>
        <w:t>it is stamped, engraved or marked so as to display information that relates to the modification and that is—</w:t>
      </w:r>
    </w:p>
    <w:p w14:paraId="7ED97E6B" w14:textId="77777777" w:rsidR="00DB6E47" w:rsidRPr="00516F02" w:rsidRDefault="00DB6E47" w:rsidP="00DB6E47">
      <w:pPr>
        <w:pStyle w:val="Asubpara"/>
      </w:pPr>
      <w:r w:rsidRPr="00516F02">
        <w:tab/>
        <w:t>(i)</w:t>
      </w:r>
      <w:r w:rsidRPr="00516F02">
        <w:tab/>
        <w:t>approved by the Regulator; or</w:t>
      </w:r>
    </w:p>
    <w:p w14:paraId="78D3C3AE" w14:textId="77777777" w:rsidR="00DB6E47" w:rsidRDefault="00DB6E47" w:rsidP="00DB6E47">
      <w:pPr>
        <w:pStyle w:val="Asubpara"/>
      </w:pPr>
      <w:r>
        <w:tab/>
      </w:r>
      <w:r w:rsidRPr="00516F02">
        <w:t>(ii)</w:t>
      </w:r>
      <w:r w:rsidRPr="00516F02">
        <w:tab/>
        <w:t>prescribed by the national regulations for the purposes of this section.</w:t>
      </w:r>
    </w:p>
    <w:p w14:paraId="6F06F14E" w14:textId="77777777" w:rsidR="003C5869" w:rsidRDefault="003C5869" w:rsidP="003C5869">
      <w:pPr>
        <w:pStyle w:val="AH5Sec"/>
      </w:pPr>
      <w:bookmarkStart w:id="88" w:name="_Toc83625432"/>
      <w:r w:rsidRPr="005E03F7">
        <w:rPr>
          <w:rStyle w:val="CharSectNo"/>
        </w:rPr>
        <w:t>87A</w:t>
      </w:r>
      <w:r>
        <w:tab/>
      </w:r>
      <w:r w:rsidRPr="003C5869">
        <w:t>Person must not tamper with plate or label</w:t>
      </w:r>
      <w:bookmarkEnd w:id="88"/>
    </w:p>
    <w:p w14:paraId="78642A5A" w14:textId="77777777" w:rsidR="003C5869" w:rsidRDefault="003C5869" w:rsidP="003C5869">
      <w:pPr>
        <w:pStyle w:val="Amain"/>
        <w:rPr>
          <w:spacing w:val="-1"/>
        </w:rPr>
      </w:pPr>
      <w:r>
        <w:tab/>
        <w:t>(1)</w:t>
      </w:r>
      <w:r>
        <w:tab/>
        <w:t>A</w:t>
      </w:r>
      <w:r>
        <w:rPr>
          <w:spacing w:val="31"/>
        </w:rPr>
        <w:t xml:space="preserve"> </w:t>
      </w:r>
      <w:r>
        <w:rPr>
          <w:spacing w:val="-1"/>
        </w:rPr>
        <w:t>person</w:t>
      </w:r>
      <w:r>
        <w:rPr>
          <w:spacing w:val="31"/>
        </w:rPr>
        <w:t xml:space="preserve"> </w:t>
      </w:r>
      <w:r>
        <w:t>must</w:t>
      </w:r>
      <w:r>
        <w:rPr>
          <w:spacing w:val="31"/>
        </w:rPr>
        <w:t xml:space="preserve"> </w:t>
      </w:r>
      <w:r>
        <w:rPr>
          <w:spacing w:val="-1"/>
        </w:rPr>
        <w:t>not</w:t>
      </w:r>
      <w:r>
        <w:rPr>
          <w:spacing w:val="31"/>
        </w:rPr>
        <w:t xml:space="preserve"> </w:t>
      </w:r>
      <w:r>
        <w:rPr>
          <w:spacing w:val="-1"/>
        </w:rPr>
        <w:t>tamper</w:t>
      </w:r>
      <w:r>
        <w:rPr>
          <w:spacing w:val="29"/>
        </w:rPr>
        <w:t xml:space="preserve"> </w:t>
      </w:r>
      <w:r>
        <w:t>with</w:t>
      </w:r>
      <w:r>
        <w:rPr>
          <w:spacing w:val="31"/>
        </w:rPr>
        <w:t xml:space="preserve"> </w:t>
      </w:r>
      <w:r>
        <w:t>a</w:t>
      </w:r>
      <w:r>
        <w:rPr>
          <w:spacing w:val="31"/>
        </w:rPr>
        <w:t xml:space="preserve"> </w:t>
      </w:r>
      <w:r>
        <w:t>plate</w:t>
      </w:r>
      <w:r>
        <w:rPr>
          <w:spacing w:val="31"/>
        </w:rPr>
        <w:t xml:space="preserve"> </w:t>
      </w:r>
      <w:r>
        <w:t>or</w:t>
      </w:r>
      <w:r>
        <w:rPr>
          <w:spacing w:val="31"/>
        </w:rPr>
        <w:t xml:space="preserve"> </w:t>
      </w:r>
      <w:r>
        <w:t>label</w:t>
      </w:r>
      <w:r>
        <w:rPr>
          <w:spacing w:val="23"/>
        </w:rPr>
        <w:t xml:space="preserve"> </w:t>
      </w:r>
      <w:r>
        <w:rPr>
          <w:spacing w:val="-2"/>
        </w:rPr>
        <w:t>fitted</w:t>
      </w:r>
      <w:r>
        <w:rPr>
          <w:spacing w:val="14"/>
        </w:rPr>
        <w:t xml:space="preserve"> </w:t>
      </w:r>
      <w:r>
        <w:rPr>
          <w:spacing w:val="-1"/>
        </w:rPr>
        <w:t>or</w:t>
      </w:r>
      <w:r>
        <w:rPr>
          <w:spacing w:val="14"/>
        </w:rPr>
        <w:t xml:space="preserve"> </w:t>
      </w:r>
      <w:r>
        <w:rPr>
          <w:spacing w:val="-3"/>
        </w:rPr>
        <w:t>affixed</w:t>
      </w:r>
      <w:r>
        <w:rPr>
          <w:spacing w:val="14"/>
        </w:rPr>
        <w:t xml:space="preserve"> </w:t>
      </w:r>
      <w:r>
        <w:rPr>
          <w:spacing w:val="-1"/>
        </w:rPr>
        <w:t>to</w:t>
      </w:r>
      <w:r>
        <w:rPr>
          <w:spacing w:val="14"/>
        </w:rPr>
        <w:t xml:space="preserve"> </w:t>
      </w:r>
      <w:r>
        <w:t>a</w:t>
      </w:r>
      <w:r>
        <w:rPr>
          <w:spacing w:val="14"/>
        </w:rPr>
        <w:t xml:space="preserve"> </w:t>
      </w:r>
      <w:r>
        <w:rPr>
          <w:spacing w:val="-2"/>
        </w:rPr>
        <w:t>heavy</w:t>
      </w:r>
      <w:r>
        <w:rPr>
          <w:spacing w:val="14"/>
        </w:rPr>
        <w:t xml:space="preserve"> </w:t>
      </w:r>
      <w:r>
        <w:rPr>
          <w:spacing w:val="-2"/>
        </w:rPr>
        <w:t>vehicle</w:t>
      </w:r>
      <w:r>
        <w:rPr>
          <w:spacing w:val="14"/>
        </w:rPr>
        <w:t xml:space="preserve"> </w:t>
      </w:r>
      <w:r>
        <w:rPr>
          <w:spacing w:val="-1"/>
        </w:rPr>
        <w:t>under</w:t>
      </w:r>
      <w:r>
        <w:rPr>
          <w:spacing w:val="14"/>
        </w:rPr>
        <w:t xml:space="preserve"> </w:t>
      </w:r>
      <w:r>
        <w:rPr>
          <w:spacing w:val="-1"/>
        </w:rPr>
        <w:t>section</w:t>
      </w:r>
      <w:r>
        <w:rPr>
          <w:spacing w:val="32"/>
        </w:rPr>
        <w:t xml:space="preserve"> </w:t>
      </w:r>
      <w:r>
        <w:rPr>
          <w:spacing w:val="-1"/>
        </w:rPr>
        <w:t>86(2) or 87(3).</w:t>
      </w:r>
    </w:p>
    <w:p w14:paraId="35B9C9FD" w14:textId="77777777" w:rsidR="001B199B" w:rsidRDefault="001B199B" w:rsidP="001B199B">
      <w:pPr>
        <w:pStyle w:val="Penalty"/>
      </w:pPr>
      <w:r w:rsidRPr="006C3305">
        <w:t>Maximum penalty—</w:t>
      </w:r>
      <w:r>
        <w:t>$3</w:t>
      </w:r>
      <w:r w:rsidRPr="006C3305">
        <w:t>000.</w:t>
      </w:r>
    </w:p>
    <w:p w14:paraId="3386BC2A" w14:textId="77777777" w:rsidR="001B199B" w:rsidRDefault="001B199B" w:rsidP="001B199B">
      <w:pPr>
        <w:pStyle w:val="Amain"/>
        <w:rPr>
          <w:spacing w:val="-3"/>
        </w:rPr>
      </w:pPr>
      <w:r>
        <w:rPr>
          <w:spacing w:val="-1"/>
        </w:rPr>
        <w:lastRenderedPageBreak/>
        <w:tab/>
        <w:t>(2)</w:t>
      </w:r>
      <w:r>
        <w:rPr>
          <w:spacing w:val="-1"/>
        </w:rPr>
        <w:tab/>
        <w:t>In</w:t>
      </w:r>
      <w:r>
        <w:rPr>
          <w:spacing w:val="5"/>
        </w:rPr>
        <w:t xml:space="preserve"> </w:t>
      </w:r>
      <w:r>
        <w:t>a</w:t>
      </w:r>
      <w:r>
        <w:rPr>
          <w:spacing w:val="5"/>
        </w:rPr>
        <w:t xml:space="preserve"> </w:t>
      </w:r>
      <w:r>
        <w:rPr>
          <w:spacing w:val="-1"/>
        </w:rPr>
        <w:t>proceeding</w:t>
      </w:r>
      <w:r>
        <w:rPr>
          <w:spacing w:val="5"/>
        </w:rPr>
        <w:t xml:space="preserve"> </w:t>
      </w:r>
      <w:r>
        <w:rPr>
          <w:spacing w:val="-1"/>
        </w:rPr>
        <w:t>for</w:t>
      </w:r>
      <w:r>
        <w:rPr>
          <w:spacing w:val="5"/>
        </w:rPr>
        <w:t xml:space="preserve"> </w:t>
      </w:r>
      <w:r>
        <w:rPr>
          <w:spacing w:val="-1"/>
        </w:rPr>
        <w:t>an</w:t>
      </w:r>
      <w:r>
        <w:rPr>
          <w:spacing w:val="5"/>
        </w:rPr>
        <w:t xml:space="preserve"> </w:t>
      </w:r>
      <w:r>
        <w:rPr>
          <w:spacing w:val="-2"/>
        </w:rPr>
        <w:t>offence</w:t>
      </w:r>
      <w:r>
        <w:rPr>
          <w:spacing w:val="4"/>
        </w:rPr>
        <w:t xml:space="preserve"> </w:t>
      </w:r>
      <w:r>
        <w:rPr>
          <w:spacing w:val="-1"/>
        </w:rPr>
        <w:t>against</w:t>
      </w:r>
      <w:r>
        <w:rPr>
          <w:spacing w:val="4"/>
        </w:rPr>
        <w:t xml:space="preserve"> </w:t>
      </w:r>
      <w:r>
        <w:t>subsection</w:t>
      </w:r>
      <w:r>
        <w:rPr>
          <w:spacing w:val="31"/>
        </w:rPr>
        <w:t xml:space="preserve"> </w:t>
      </w:r>
      <w:r>
        <w:t xml:space="preserve">(1), it is a </w:t>
      </w:r>
      <w:r>
        <w:rPr>
          <w:spacing w:val="-1"/>
        </w:rPr>
        <w:t>defence</w:t>
      </w:r>
      <w:r>
        <w:t xml:space="preserve"> for </w:t>
      </w:r>
      <w:r>
        <w:rPr>
          <w:spacing w:val="-1"/>
        </w:rPr>
        <w:t>the</w:t>
      </w:r>
      <w:r>
        <w:t xml:space="preserve"> person to </w:t>
      </w:r>
      <w:r>
        <w:rPr>
          <w:spacing w:val="-2"/>
        </w:rPr>
        <w:t>prove</w:t>
      </w:r>
      <w:r>
        <w:rPr>
          <w:spacing w:val="-1"/>
        </w:rPr>
        <w:t xml:space="preserve"> </w:t>
      </w:r>
      <w:r>
        <w:t>that the</w:t>
      </w:r>
      <w:r>
        <w:rPr>
          <w:spacing w:val="21"/>
        </w:rPr>
        <w:t xml:space="preserve"> </w:t>
      </w:r>
      <w:r>
        <w:t>tampering</w:t>
      </w:r>
      <w:r>
        <w:rPr>
          <w:spacing w:val="11"/>
        </w:rPr>
        <w:t xml:space="preserve"> </w:t>
      </w:r>
      <w:r>
        <w:rPr>
          <w:spacing w:val="-1"/>
        </w:rPr>
        <w:t>was</w:t>
      </w:r>
      <w:r>
        <w:rPr>
          <w:spacing w:val="11"/>
        </w:rPr>
        <w:t xml:space="preserve"> </w:t>
      </w:r>
      <w:r>
        <w:t>done</w:t>
      </w:r>
      <w:r>
        <w:rPr>
          <w:spacing w:val="11"/>
        </w:rPr>
        <w:t xml:space="preserve"> </w:t>
      </w:r>
      <w:r>
        <w:t>with</w:t>
      </w:r>
      <w:r>
        <w:rPr>
          <w:spacing w:val="10"/>
        </w:rPr>
        <w:t xml:space="preserve"> </w:t>
      </w:r>
      <w:r>
        <w:t>the</w:t>
      </w:r>
      <w:r>
        <w:rPr>
          <w:spacing w:val="11"/>
        </w:rPr>
        <w:t xml:space="preserve"> </w:t>
      </w:r>
      <w:r>
        <w:t>written</w:t>
      </w:r>
      <w:r>
        <w:rPr>
          <w:spacing w:val="11"/>
        </w:rPr>
        <w:t xml:space="preserve"> </w:t>
      </w:r>
      <w:r>
        <w:rPr>
          <w:spacing w:val="-2"/>
        </w:rPr>
        <w:t>approval</w:t>
      </w:r>
      <w:r>
        <w:rPr>
          <w:spacing w:val="11"/>
        </w:rPr>
        <w:t xml:space="preserve"> </w:t>
      </w:r>
      <w:r>
        <w:t>of</w:t>
      </w:r>
      <w:r>
        <w:rPr>
          <w:spacing w:val="25"/>
        </w:rPr>
        <w:t xml:space="preserve"> </w:t>
      </w:r>
      <w:r>
        <w:rPr>
          <w:spacing w:val="-1"/>
        </w:rPr>
        <w:t xml:space="preserve">the </w:t>
      </w:r>
      <w:r>
        <w:rPr>
          <w:spacing w:val="-3"/>
        </w:rPr>
        <w:t>Regulator.</w:t>
      </w:r>
    </w:p>
    <w:p w14:paraId="52ED5526" w14:textId="77777777" w:rsidR="001B199B" w:rsidRDefault="001B199B" w:rsidP="001B199B">
      <w:pPr>
        <w:pStyle w:val="Amain"/>
        <w:rPr>
          <w:spacing w:val="-1"/>
          <w:szCs w:val="24"/>
        </w:rPr>
      </w:pPr>
      <w:r>
        <w:rPr>
          <w:spacing w:val="-3"/>
        </w:rPr>
        <w:tab/>
        <w:t>(3)</w:t>
      </w:r>
      <w:r>
        <w:rPr>
          <w:spacing w:val="-3"/>
        </w:rPr>
        <w:tab/>
      </w:r>
      <w:r>
        <w:rPr>
          <w:spacing w:val="-1"/>
          <w:szCs w:val="24"/>
        </w:rPr>
        <w:t>In this section—</w:t>
      </w:r>
    </w:p>
    <w:p w14:paraId="75E86DFD" w14:textId="77777777" w:rsidR="001B199B" w:rsidRDefault="004F5757" w:rsidP="001B199B">
      <w:pPr>
        <w:pStyle w:val="aDef"/>
      </w:pPr>
      <w:r w:rsidRPr="004F5757">
        <w:rPr>
          <w:rStyle w:val="charBoldItals"/>
        </w:rPr>
        <w:t>t</w:t>
      </w:r>
      <w:r w:rsidR="001B199B" w:rsidRPr="004F5757">
        <w:rPr>
          <w:rStyle w:val="charBoldItals"/>
        </w:rPr>
        <w:t>amper</w:t>
      </w:r>
      <w:r>
        <w:rPr>
          <w:b/>
          <w:i/>
        </w:rPr>
        <w:t xml:space="preserve"> </w:t>
      </w:r>
      <w:r w:rsidR="001B199B">
        <w:t>means</w:t>
      </w:r>
      <w:r>
        <w:t xml:space="preserve"> </w:t>
      </w:r>
      <w:r w:rsidR="001B199B">
        <w:rPr>
          <w:spacing w:val="-2"/>
        </w:rPr>
        <w:t>alter,</w:t>
      </w:r>
      <w:r>
        <w:rPr>
          <w:spacing w:val="-2"/>
        </w:rPr>
        <w:t xml:space="preserve"> </w:t>
      </w:r>
      <w:r w:rsidR="001B199B">
        <w:t>damage,</w:t>
      </w:r>
      <w:r>
        <w:t xml:space="preserve"> </w:t>
      </w:r>
      <w:r w:rsidR="001B199B">
        <w:rPr>
          <w:spacing w:val="-2"/>
        </w:rPr>
        <w:t>remove</w:t>
      </w:r>
      <w:r>
        <w:rPr>
          <w:spacing w:val="-2"/>
        </w:rPr>
        <w:t xml:space="preserve"> </w:t>
      </w:r>
      <w:r w:rsidR="001B199B">
        <w:t>or</w:t>
      </w:r>
      <w:r w:rsidR="001B199B">
        <w:rPr>
          <w:spacing w:val="27"/>
        </w:rPr>
        <w:t xml:space="preserve"> </w:t>
      </w:r>
      <w:r w:rsidR="001B199B">
        <w:rPr>
          <w:spacing w:val="-1"/>
        </w:rPr>
        <w:t>otherwise</w:t>
      </w:r>
      <w:r w:rsidR="001B199B">
        <w:t xml:space="preserve"> interfere with.</w:t>
      </w:r>
    </w:p>
    <w:p w14:paraId="70D08548" w14:textId="77777777" w:rsidR="00DB6E47" w:rsidRPr="007E1F9A" w:rsidRDefault="00DB6E47" w:rsidP="00DB6E47">
      <w:pPr>
        <w:pStyle w:val="AH5Sec"/>
      </w:pPr>
      <w:bookmarkStart w:id="89" w:name="_Toc83625433"/>
      <w:r w:rsidRPr="005E03F7">
        <w:rPr>
          <w:rStyle w:val="CharSectNo"/>
        </w:rPr>
        <w:t>88</w:t>
      </w:r>
      <w:r w:rsidRPr="007E1F9A">
        <w:tab/>
        <w:t>National regulations for heavy vehicle modification</w:t>
      </w:r>
      <w:bookmarkEnd w:id="89"/>
    </w:p>
    <w:p w14:paraId="0A961D76" w14:textId="77777777" w:rsidR="00DB6E47" w:rsidRPr="006C3305" w:rsidRDefault="00DB6E47" w:rsidP="00DB6E47">
      <w:pPr>
        <w:pStyle w:val="Amainreturn"/>
      </w:pPr>
      <w:r w:rsidRPr="006C3305">
        <w:t>The national regulations may provide for any matter relating to the modification of heavy vehicles.</w:t>
      </w:r>
    </w:p>
    <w:p w14:paraId="3BF4E68C" w14:textId="77777777" w:rsidR="00DB6E47" w:rsidRPr="003D647F" w:rsidRDefault="00DB6E47" w:rsidP="00DB6E47">
      <w:pPr>
        <w:pStyle w:val="PageBreak"/>
      </w:pPr>
      <w:r w:rsidRPr="003D647F">
        <w:br w:type="page"/>
      </w:r>
    </w:p>
    <w:p w14:paraId="3D3D68EB" w14:textId="77777777" w:rsidR="00DB6E47" w:rsidRPr="005E03F7" w:rsidRDefault="00DB6E47" w:rsidP="00DB6E47">
      <w:pPr>
        <w:pStyle w:val="AH2Part"/>
      </w:pPr>
      <w:bookmarkStart w:id="90" w:name="_Toc83625434"/>
      <w:r w:rsidRPr="005E03F7">
        <w:rPr>
          <w:rStyle w:val="CharPartNo"/>
        </w:rPr>
        <w:lastRenderedPageBreak/>
        <w:t>Part 3.4</w:t>
      </w:r>
      <w:r w:rsidRPr="00A95F9A">
        <w:rPr>
          <w:rFonts w:ascii="Helvetica" w:hAnsi="Helvetica" w:cs="Helvetica"/>
          <w:iCs/>
          <w:szCs w:val="32"/>
        </w:rPr>
        <w:tab/>
      </w:r>
      <w:r w:rsidRPr="005E03F7">
        <w:rPr>
          <w:rStyle w:val="CharPartText"/>
          <w:rFonts w:ascii="Helvetica" w:hAnsi="Helvetica" w:cs="Helvetica"/>
          <w:iCs/>
          <w:szCs w:val="32"/>
        </w:rPr>
        <w:t>Other offences</w:t>
      </w:r>
      <w:bookmarkEnd w:id="90"/>
    </w:p>
    <w:p w14:paraId="77EED3F6" w14:textId="77777777" w:rsidR="00DB6E47" w:rsidRPr="007E1F9A" w:rsidRDefault="00DB6E47" w:rsidP="00DB6E47">
      <w:pPr>
        <w:pStyle w:val="AH5Sec"/>
      </w:pPr>
      <w:bookmarkStart w:id="91" w:name="_Toc83625435"/>
      <w:r w:rsidRPr="005E03F7">
        <w:rPr>
          <w:rStyle w:val="CharSectNo"/>
        </w:rPr>
        <w:t>89</w:t>
      </w:r>
      <w:r w:rsidRPr="007E1F9A">
        <w:tab/>
        <w:t>Safety requirement</w:t>
      </w:r>
      <w:bookmarkEnd w:id="91"/>
    </w:p>
    <w:p w14:paraId="20468758" w14:textId="77777777" w:rsidR="00DB6E47" w:rsidRPr="00EB0CDE" w:rsidRDefault="00DB6E47" w:rsidP="00DB6E47">
      <w:pPr>
        <w:pStyle w:val="Amain"/>
      </w:pPr>
      <w:r w:rsidRPr="00EB0CDE">
        <w:tab/>
        <w:t>(1)</w:t>
      </w:r>
      <w:r w:rsidRPr="00EB0CDE">
        <w:tab/>
        <w:t>A person must not use, or permit to be used, on a road a heavy vehicle that is unsafe.</w:t>
      </w:r>
    </w:p>
    <w:p w14:paraId="4CC301ED" w14:textId="77777777" w:rsidR="00DB6E47" w:rsidRPr="006C3305" w:rsidRDefault="00DB6E47" w:rsidP="00DB6E47">
      <w:pPr>
        <w:pStyle w:val="Penalty"/>
      </w:pPr>
      <w:r w:rsidRPr="006C3305">
        <w:t>Maximum penalty—$6000.</w:t>
      </w:r>
    </w:p>
    <w:p w14:paraId="702DBB75" w14:textId="77777777" w:rsidR="00DB6E47" w:rsidRPr="00EB0CDE" w:rsidRDefault="00DB6E47" w:rsidP="00DB6E47">
      <w:pPr>
        <w:pStyle w:val="Amain"/>
      </w:pPr>
      <w:r w:rsidRPr="00EB0CDE">
        <w:tab/>
        <w:t>(2)</w:t>
      </w:r>
      <w:r w:rsidRPr="00EB0CDE">
        <w:tab/>
        <w:t>For the purposes of subsection (1), a heavy vehicle is unsafe only if the condition of the vehicle, or any of its components or equipment—</w:t>
      </w:r>
    </w:p>
    <w:p w14:paraId="257D79F5" w14:textId="77777777" w:rsidR="00DB6E47" w:rsidRPr="007D116E" w:rsidRDefault="00DB6E47" w:rsidP="00DB6E47">
      <w:pPr>
        <w:pStyle w:val="Apara"/>
      </w:pPr>
      <w:r w:rsidRPr="007D116E">
        <w:tab/>
        <w:t>(a)</w:t>
      </w:r>
      <w:r w:rsidRPr="007D116E">
        <w:tab/>
        <w:t>makes the use of the vehicle unsafe; or</w:t>
      </w:r>
    </w:p>
    <w:p w14:paraId="59BC689F" w14:textId="77777777" w:rsidR="00DB6E47" w:rsidRPr="007D116E" w:rsidRDefault="00DB6E47" w:rsidP="00DB6E47">
      <w:pPr>
        <w:pStyle w:val="Apara"/>
      </w:pPr>
      <w:r w:rsidRPr="007D116E">
        <w:tab/>
        <w:t>(b)</w:t>
      </w:r>
      <w:r w:rsidRPr="007D116E">
        <w:tab/>
        <w:t>endangers public safety.</w:t>
      </w:r>
    </w:p>
    <w:p w14:paraId="2C067394" w14:textId="77777777" w:rsidR="00DB6E47" w:rsidRPr="00EB0CDE" w:rsidRDefault="001F4394" w:rsidP="00DB6E47">
      <w:pPr>
        <w:pStyle w:val="Amain"/>
      </w:pPr>
      <w:r>
        <w:tab/>
        <w:t>(3)</w:t>
      </w:r>
      <w:r>
        <w:tab/>
        <w:t xml:space="preserve">Subsection </w:t>
      </w:r>
      <w:r w:rsidR="00DB6E47" w:rsidRPr="00EB0CDE">
        <w:t>(1)</w:t>
      </w:r>
      <w:r>
        <w:t xml:space="preserve"> </w:t>
      </w:r>
      <w:r w:rsidR="00DB6E47" w:rsidRPr="00EB0CDE">
        <w:t>does not apply to a heavy vehicle for which a vehicle defect notice is in force and that is being moved in accordance with the terms of the notice.</w:t>
      </w:r>
    </w:p>
    <w:p w14:paraId="0E8CCA1D" w14:textId="77777777" w:rsidR="00DB6E47" w:rsidRPr="007E1F9A" w:rsidRDefault="00DB6E47" w:rsidP="00DB6E47">
      <w:pPr>
        <w:pStyle w:val="AH5Sec"/>
      </w:pPr>
      <w:bookmarkStart w:id="92" w:name="_Toc83625436"/>
      <w:r w:rsidRPr="005E03F7">
        <w:rPr>
          <w:rStyle w:val="CharSectNo"/>
        </w:rPr>
        <w:t>90</w:t>
      </w:r>
      <w:r w:rsidRPr="007E1F9A">
        <w:tab/>
        <w:t>Requirement about properly operating emission control system</w:t>
      </w:r>
      <w:bookmarkEnd w:id="92"/>
    </w:p>
    <w:p w14:paraId="4A3269BD" w14:textId="77777777" w:rsidR="00DB6E47" w:rsidRPr="00EB0CDE" w:rsidRDefault="00DB6E47" w:rsidP="00DB6E47">
      <w:pPr>
        <w:pStyle w:val="Amain"/>
      </w:pPr>
      <w:r w:rsidRPr="00EB0CDE">
        <w:tab/>
        <w:t>(1)</w:t>
      </w:r>
      <w:r w:rsidRPr="00EB0CDE">
        <w:tab/>
        <w:t>A person must not use, or permit to be used, on a road a heavy vehicle that is not fitted with an emission control system for each relevant emission if and as required by an applicable heavy vehicle standard.</w:t>
      </w:r>
    </w:p>
    <w:p w14:paraId="0B0F6223" w14:textId="77777777" w:rsidR="00DB6E47" w:rsidRPr="006C3305" w:rsidRDefault="00DB6E47" w:rsidP="00DB6E47">
      <w:pPr>
        <w:pStyle w:val="Penalty"/>
      </w:pPr>
      <w:r w:rsidRPr="006C3305">
        <w:t>Maximum penalty—$3000.</w:t>
      </w:r>
    </w:p>
    <w:p w14:paraId="68349076" w14:textId="77777777" w:rsidR="00DB6E47" w:rsidRPr="00EB0CDE" w:rsidRDefault="00DB6E47" w:rsidP="00DB6E47">
      <w:pPr>
        <w:pStyle w:val="Amain"/>
      </w:pPr>
      <w:r w:rsidRPr="00EB0CDE">
        <w:tab/>
        <w:t>(2)</w:t>
      </w:r>
      <w:r w:rsidRPr="00EB0CDE">
        <w:tab/>
        <w:t>A person must not use, or permit to be used, on a road a heavy vehicle fitted with an emission control system that is not operating in accordance with the manufacturer’s design.</w:t>
      </w:r>
    </w:p>
    <w:p w14:paraId="4396DE1A" w14:textId="77777777" w:rsidR="00DB6E47" w:rsidRPr="006C3305" w:rsidRDefault="00DB6E47" w:rsidP="00DB6E47">
      <w:pPr>
        <w:pStyle w:val="Penalty"/>
      </w:pPr>
      <w:r w:rsidRPr="006C3305">
        <w:t>Maximum penalty—$3000.</w:t>
      </w:r>
    </w:p>
    <w:p w14:paraId="0DD3601E" w14:textId="77777777" w:rsidR="00DB6E47" w:rsidRPr="00EB0CDE" w:rsidRDefault="00DB6E47" w:rsidP="002F2703">
      <w:pPr>
        <w:pStyle w:val="Amain"/>
        <w:keepNext/>
        <w:keepLines/>
      </w:pPr>
      <w:r w:rsidRPr="00EB0CDE">
        <w:lastRenderedPageBreak/>
        <w:tab/>
        <w:t>(3)</w:t>
      </w:r>
      <w:r w:rsidRPr="00EB0CDE">
        <w:tab/>
        <w:t xml:space="preserve">A person must not use, or permit to be used, on a road a heavy vehicle fitted with an emission control system if the operation of the system results in a failure to comply with an applicable heavy vehicle standard (whether in relation to the vehicle or in relation to the system). </w:t>
      </w:r>
    </w:p>
    <w:p w14:paraId="011B1C1E" w14:textId="77777777" w:rsidR="00DB6E47" w:rsidRPr="006C3305" w:rsidRDefault="00DB6E47" w:rsidP="00DB6E47">
      <w:pPr>
        <w:pStyle w:val="Penalty"/>
      </w:pPr>
      <w:r w:rsidRPr="006C3305">
        <w:t>Maximum penalty—$3000.</w:t>
      </w:r>
    </w:p>
    <w:p w14:paraId="08126DBD" w14:textId="77777777" w:rsidR="00DB6E47" w:rsidRPr="00EB0CDE" w:rsidRDefault="001F4394" w:rsidP="00DB6E47">
      <w:pPr>
        <w:pStyle w:val="Amain"/>
      </w:pPr>
      <w:r>
        <w:tab/>
        <w:t>(4)</w:t>
      </w:r>
      <w:r>
        <w:tab/>
        <w:t xml:space="preserve">Subsections </w:t>
      </w:r>
      <w:r w:rsidR="00DB6E47" w:rsidRPr="00EB0CDE">
        <w:t>(2)</w:t>
      </w:r>
      <w:r>
        <w:t xml:space="preserve"> and </w:t>
      </w:r>
      <w:r w:rsidR="00DB6E47" w:rsidRPr="00EB0CDE">
        <w:t>(3)</w:t>
      </w:r>
      <w:r w:rsidR="004625A3">
        <w:t xml:space="preserve"> </w:t>
      </w:r>
      <w:r w:rsidR="00DB6E47" w:rsidRPr="00EB0CDE">
        <w:t>do not apply to a heavy vehicle that—</w:t>
      </w:r>
    </w:p>
    <w:p w14:paraId="4608A009" w14:textId="77777777" w:rsidR="00DB6E47" w:rsidRPr="007D116E" w:rsidRDefault="00DB6E47" w:rsidP="00DB6E47">
      <w:pPr>
        <w:pStyle w:val="Apara"/>
      </w:pPr>
      <w:r w:rsidRPr="007D116E">
        <w:tab/>
        <w:t>(a)</w:t>
      </w:r>
      <w:r w:rsidRPr="007D116E">
        <w:tab/>
        <w:t>is on a journey to a place for the repair of the emission control system or any of the vehicle’s components or equipment that affect the operation of the emission control system; and</w:t>
      </w:r>
    </w:p>
    <w:p w14:paraId="53F05D56" w14:textId="77777777" w:rsidR="00DB6E47" w:rsidRPr="007D116E" w:rsidRDefault="00DB6E47" w:rsidP="00DB6E47">
      <w:pPr>
        <w:pStyle w:val="Apara"/>
      </w:pPr>
      <w:r w:rsidRPr="007D116E">
        <w:tab/>
        <w:t>(b)</w:t>
      </w:r>
      <w:r w:rsidRPr="007D116E">
        <w:tab/>
        <w:t>is travelling on the most direct or convenient route to that place from the place where the journey began.</w:t>
      </w:r>
    </w:p>
    <w:p w14:paraId="47398927" w14:textId="77777777" w:rsidR="00DB6E47" w:rsidRPr="00EB0CDE" w:rsidRDefault="00DB6E47" w:rsidP="00DB6E47">
      <w:pPr>
        <w:pStyle w:val="Amain"/>
      </w:pPr>
      <w:r w:rsidRPr="00EB0CDE">
        <w:tab/>
        <w:t>(5)</w:t>
      </w:r>
      <w:r w:rsidRPr="00EB0CDE">
        <w:tab/>
        <w:t>The national regulations may prescribe testing standards for relevant emissions from heavy vehicles.</w:t>
      </w:r>
    </w:p>
    <w:p w14:paraId="054F8001" w14:textId="77777777" w:rsidR="00DB6E47" w:rsidRPr="00EB0CDE" w:rsidRDefault="00DB6E47" w:rsidP="00DB6E47">
      <w:pPr>
        <w:pStyle w:val="Amain"/>
      </w:pPr>
      <w:r w:rsidRPr="00EB0CDE">
        <w:tab/>
        <w:t>(6)</w:t>
      </w:r>
      <w:r w:rsidRPr="00EB0CDE">
        <w:tab/>
        <w:t>In this section—</w:t>
      </w:r>
    </w:p>
    <w:p w14:paraId="55EE49E1" w14:textId="77777777" w:rsidR="00DB6E47" w:rsidRPr="00041046" w:rsidRDefault="00DB6E47" w:rsidP="00DB6E47">
      <w:pPr>
        <w:pStyle w:val="aDef"/>
        <w:rPr>
          <w:bCs/>
        </w:rPr>
      </w:pPr>
      <w:r w:rsidRPr="00041046">
        <w:rPr>
          <w:rStyle w:val="charBoldItals"/>
        </w:rPr>
        <w:t>emission control system</w:t>
      </w:r>
      <w:r w:rsidRPr="00041046">
        <w:t xml:space="preserve"> means a device or system fitted to a heavy vehicle that reduces the emission of a relevant emission from the vehicle.</w:t>
      </w:r>
    </w:p>
    <w:p w14:paraId="31951A53" w14:textId="77777777" w:rsidR="00DB6E47" w:rsidRPr="007E1F9A" w:rsidRDefault="00DB6E47" w:rsidP="00DB6E47">
      <w:pPr>
        <w:pStyle w:val="AH5Sec"/>
      </w:pPr>
      <w:bookmarkStart w:id="93" w:name="_Toc83625437"/>
      <w:r w:rsidRPr="005E03F7">
        <w:rPr>
          <w:rStyle w:val="CharSectNo"/>
        </w:rPr>
        <w:t>91</w:t>
      </w:r>
      <w:r w:rsidRPr="007E1F9A">
        <w:tab/>
        <w:t>Person must not tamper with emission control system fitted to heavy vehicle</w:t>
      </w:r>
      <w:bookmarkEnd w:id="93"/>
    </w:p>
    <w:p w14:paraId="401FB6F9" w14:textId="77777777" w:rsidR="00DB6E47" w:rsidRPr="00EB0CDE" w:rsidRDefault="00DB6E47" w:rsidP="00DB6E47">
      <w:pPr>
        <w:pStyle w:val="Amain"/>
      </w:pPr>
      <w:r w:rsidRPr="00EB0CDE">
        <w:tab/>
        <w:t>(1)</w:t>
      </w:r>
      <w:r w:rsidRPr="00EB0CDE">
        <w:tab/>
        <w:t>A person must not tamper with an emission control system fitted to a heavy vehicle.</w:t>
      </w:r>
    </w:p>
    <w:p w14:paraId="1BBB399D" w14:textId="77777777" w:rsidR="00DB6E47" w:rsidRPr="006C3305" w:rsidRDefault="00DB6E47" w:rsidP="00DB6E47">
      <w:pPr>
        <w:pStyle w:val="Penalty"/>
      </w:pPr>
      <w:r w:rsidRPr="006C3305">
        <w:t>Maximum penalty—$10000.</w:t>
      </w:r>
    </w:p>
    <w:p w14:paraId="789DF6A0" w14:textId="77777777" w:rsidR="00DB6E47" w:rsidRPr="00EB0CDE" w:rsidRDefault="00DB6E47" w:rsidP="00DB6E47">
      <w:pPr>
        <w:pStyle w:val="Amain"/>
      </w:pPr>
      <w:r w:rsidRPr="00EB0CDE">
        <w:tab/>
        <w:t>(2)</w:t>
      </w:r>
      <w:r w:rsidRPr="00EB0CDE">
        <w:tab/>
        <w:t>An operator of a heavy vehicle must not use or permit the vehicle to be used on a road if the vehicle is fitted with an emission control system that the operator knows or ought reasonably to know has been tampered with in contravention of subsection (1).</w:t>
      </w:r>
    </w:p>
    <w:p w14:paraId="5F0B59F9" w14:textId="77777777" w:rsidR="00DB6E47" w:rsidRPr="006C3305" w:rsidRDefault="00DB6E47" w:rsidP="00DB6E47">
      <w:pPr>
        <w:pStyle w:val="Penalty"/>
      </w:pPr>
      <w:r w:rsidRPr="006C3305">
        <w:t>Maximum penalty—$10000.</w:t>
      </w:r>
    </w:p>
    <w:p w14:paraId="51879D6B" w14:textId="77777777" w:rsidR="00DB6E47" w:rsidRPr="00EB0CDE" w:rsidRDefault="001F4394" w:rsidP="00DB6E47">
      <w:pPr>
        <w:pStyle w:val="Amain"/>
      </w:pPr>
      <w:r>
        <w:lastRenderedPageBreak/>
        <w:tab/>
        <w:t>(3)</w:t>
      </w:r>
      <w:r>
        <w:tab/>
        <w:t xml:space="preserve">Subsection </w:t>
      </w:r>
      <w:r w:rsidR="00DB6E47" w:rsidRPr="00EB0CDE">
        <w:t>(1)</w:t>
      </w:r>
      <w:r>
        <w:t xml:space="preserve"> </w:t>
      </w:r>
      <w:r w:rsidR="00DB6E47" w:rsidRPr="00EB0CDE">
        <w:t>does not apply to—</w:t>
      </w:r>
    </w:p>
    <w:p w14:paraId="5AAEE44A" w14:textId="77777777" w:rsidR="00DB6E47" w:rsidRPr="007D116E" w:rsidRDefault="00DB6E47" w:rsidP="00DB6E47">
      <w:pPr>
        <w:pStyle w:val="Apara"/>
      </w:pPr>
      <w:r w:rsidRPr="007D116E">
        <w:tab/>
        <w:t>(a)</w:t>
      </w:r>
      <w:r w:rsidRPr="007D116E">
        <w:tab/>
        <w:t>conduct associated with repairing a malfunctioning emission control system or maintaining an emission control system; or</w:t>
      </w:r>
    </w:p>
    <w:p w14:paraId="0278E399" w14:textId="77777777" w:rsidR="00DB6E47" w:rsidRPr="007D116E" w:rsidRDefault="00DB6E47" w:rsidP="00DB6E47">
      <w:pPr>
        <w:pStyle w:val="Apara"/>
      </w:pPr>
      <w:r w:rsidRPr="007D116E">
        <w:tab/>
        <w:t>(b)</w:t>
      </w:r>
      <w:r w:rsidRPr="007D116E">
        <w:tab/>
        <w:t>an authorised officer when exercising functions under this Law.</w:t>
      </w:r>
    </w:p>
    <w:p w14:paraId="72C00998" w14:textId="77777777" w:rsidR="00DB6E47" w:rsidRPr="00EB0CDE" w:rsidRDefault="001F4394" w:rsidP="00DB6E47">
      <w:pPr>
        <w:pStyle w:val="Amain"/>
      </w:pPr>
      <w:r>
        <w:tab/>
        <w:t>(4)</w:t>
      </w:r>
      <w:r>
        <w:tab/>
        <w:t xml:space="preserve">Subsection </w:t>
      </w:r>
      <w:r w:rsidR="00DB6E47" w:rsidRPr="00EB0CDE">
        <w:t>(2)</w:t>
      </w:r>
      <w:r>
        <w:t xml:space="preserve"> </w:t>
      </w:r>
      <w:r w:rsidR="00DB6E47" w:rsidRPr="00EB0CDE">
        <w:t>does not apply to a heavy vehicle that—</w:t>
      </w:r>
    </w:p>
    <w:p w14:paraId="4C3D0215" w14:textId="77777777" w:rsidR="00DB6E47" w:rsidRPr="007D116E" w:rsidRDefault="00DB6E47" w:rsidP="00DB6E47">
      <w:pPr>
        <w:pStyle w:val="Apara"/>
      </w:pPr>
      <w:r w:rsidRPr="007D116E">
        <w:tab/>
        <w:t>(a)</w:t>
      </w:r>
      <w:r w:rsidRPr="007D116E">
        <w:tab/>
        <w:t>is on a journey to a place for the repair of the emission control system or any of the vehicle’s components or equipment that affect the operation of the emission control system; and</w:t>
      </w:r>
    </w:p>
    <w:p w14:paraId="5B85C5C1" w14:textId="77777777" w:rsidR="00DB6E47" w:rsidRPr="007D116E" w:rsidRDefault="00DB6E47" w:rsidP="00DB6E47">
      <w:pPr>
        <w:pStyle w:val="Apara"/>
      </w:pPr>
      <w:r w:rsidRPr="007D116E">
        <w:tab/>
        <w:t>(b)</w:t>
      </w:r>
      <w:r w:rsidRPr="007D116E">
        <w:tab/>
        <w:t>is travelling on the most direct or convenient route to that place from the place where the journey began.</w:t>
      </w:r>
    </w:p>
    <w:p w14:paraId="36006D0F" w14:textId="77777777" w:rsidR="00DB6E47" w:rsidRPr="00EB0CDE" w:rsidRDefault="00DB6E47" w:rsidP="00DB6E47">
      <w:pPr>
        <w:pStyle w:val="Amain"/>
      </w:pPr>
      <w:r w:rsidRPr="00EB0CDE">
        <w:tab/>
        <w:t>(7)</w:t>
      </w:r>
      <w:r w:rsidRPr="00EB0CDE">
        <w:tab/>
        <w:t>In this section—</w:t>
      </w:r>
    </w:p>
    <w:p w14:paraId="49649A29" w14:textId="77777777" w:rsidR="00DB6E47" w:rsidRPr="00041046" w:rsidRDefault="00DB6E47" w:rsidP="00DB6E47">
      <w:pPr>
        <w:pStyle w:val="aDef"/>
        <w:rPr>
          <w:bCs/>
        </w:rPr>
      </w:pPr>
      <w:r w:rsidRPr="00041046">
        <w:rPr>
          <w:rStyle w:val="charBoldItals"/>
        </w:rPr>
        <w:t>emission control system</w:t>
      </w:r>
      <w:r w:rsidRPr="00041046">
        <w:t xml:space="preserve"> means a device or system fitted to a heavy vehicle that reduces the emission of a relevant emission from the vehicle.</w:t>
      </w:r>
    </w:p>
    <w:p w14:paraId="337AFC33" w14:textId="77777777" w:rsidR="00DB6E47" w:rsidRPr="00041046" w:rsidRDefault="00DB6E47" w:rsidP="00DB6E47">
      <w:pPr>
        <w:pStyle w:val="aDef"/>
        <w:rPr>
          <w:bCs/>
        </w:rPr>
      </w:pPr>
      <w:r w:rsidRPr="00041046">
        <w:rPr>
          <w:rStyle w:val="charBoldItals"/>
        </w:rPr>
        <w:t>tamper</w:t>
      </w:r>
      <w:r w:rsidRPr="00041046">
        <w:t>, with an emission control system fitted to a heavy vehicle, means alter, damage, remove, override or otherwise interfere with—</w:t>
      </w:r>
    </w:p>
    <w:p w14:paraId="1029FA2F" w14:textId="77777777" w:rsidR="00DB6E47" w:rsidRPr="004625A3" w:rsidRDefault="00DB6E47" w:rsidP="00DB6E47">
      <w:pPr>
        <w:pStyle w:val="aDefpara"/>
      </w:pPr>
      <w:r w:rsidRPr="00F04D8E">
        <w:rPr>
          <w:bCs/>
        </w:rPr>
        <w:tab/>
        <w:t>(a)</w:t>
      </w:r>
      <w:r w:rsidRPr="00F04D8E">
        <w:rPr>
          <w:bCs/>
        </w:rPr>
        <w:tab/>
      </w:r>
      <w:r w:rsidRPr="004625A3">
        <w:t>the system in a way that renders the system totally ineffective or less effective than as provided by an applicable heavy vehicle standard or (in the absence of an applicable heavy vehicle standard) as designed; or</w:t>
      </w:r>
    </w:p>
    <w:p w14:paraId="356FA5C1" w14:textId="77777777" w:rsidR="00DB6E47" w:rsidRPr="004625A3" w:rsidRDefault="00DB6E47" w:rsidP="00DB6E47">
      <w:pPr>
        <w:pStyle w:val="aDefpara"/>
      </w:pPr>
      <w:r w:rsidRPr="00F04D8E">
        <w:rPr>
          <w:rFonts w:cs="Times"/>
          <w:bCs/>
          <w:iCs/>
        </w:rPr>
        <w:tab/>
        <w:t>(b)</w:t>
      </w:r>
      <w:r w:rsidRPr="004625A3">
        <w:tab/>
        <w:t>the vehicle or any component of the vehicle in a way that renders the system totally ineffective or less effective than as provided by an applicable heavy vehicle standard or (in the absence of an applicable heavy vehicle standard) as designed.</w:t>
      </w:r>
    </w:p>
    <w:p w14:paraId="1736BE4C" w14:textId="77777777" w:rsidR="00DB6E47" w:rsidRPr="007E1F9A" w:rsidRDefault="00DB6E47" w:rsidP="00DB6E47">
      <w:pPr>
        <w:pStyle w:val="AH5Sec"/>
      </w:pPr>
      <w:bookmarkStart w:id="94" w:name="_Toc83625438"/>
      <w:r w:rsidRPr="005E03F7">
        <w:rPr>
          <w:rStyle w:val="CharSectNo"/>
        </w:rPr>
        <w:lastRenderedPageBreak/>
        <w:t>92</w:t>
      </w:r>
      <w:r w:rsidRPr="007E1F9A">
        <w:tab/>
        <w:t>Display of warning signs required by heavy vehicle standards on vehicles to which the requirement does not apply</w:t>
      </w:r>
      <w:bookmarkEnd w:id="94"/>
    </w:p>
    <w:p w14:paraId="2A2F33A4" w14:textId="77777777" w:rsidR="00DB6E47" w:rsidRPr="00EB0CDE" w:rsidRDefault="00DB6E47" w:rsidP="00DB6E47">
      <w:pPr>
        <w:pStyle w:val="Amain"/>
      </w:pPr>
      <w:r w:rsidRPr="00EB0CDE">
        <w:tab/>
        <w:t>(1)</w:t>
      </w:r>
      <w:r w:rsidRPr="00EB0CDE">
        <w:tab/>
        <w:t>This section applies if, under the heavy vehicle standards, a warning sign is required to be displayed on a heavy vehicle of a particular type, size or configuration.</w:t>
      </w:r>
    </w:p>
    <w:p w14:paraId="6FDCDFBC" w14:textId="77777777" w:rsidR="00DB6E47" w:rsidRPr="00EB0CDE" w:rsidRDefault="00DB6E47" w:rsidP="00DB6E47">
      <w:pPr>
        <w:pStyle w:val="Amain"/>
      </w:pPr>
      <w:r w:rsidRPr="00EB0CDE">
        <w:tab/>
        <w:t>(2)</w:t>
      </w:r>
      <w:r w:rsidRPr="00EB0CDE">
        <w:tab/>
        <w:t>A person must not use, or permit to be used, on a road a heavy vehicle that has the warning sign displayed on it unless the vehicle is of the particular type, size or configuration.</w:t>
      </w:r>
    </w:p>
    <w:p w14:paraId="0780223E" w14:textId="77777777" w:rsidR="00DB6E47" w:rsidRPr="006C3305" w:rsidRDefault="00DB6E47" w:rsidP="00DB6E47">
      <w:pPr>
        <w:pStyle w:val="Penalty"/>
      </w:pPr>
      <w:r w:rsidRPr="006C3305">
        <w:t>Maximum penalty—$3000.</w:t>
      </w:r>
    </w:p>
    <w:p w14:paraId="59AE4A36" w14:textId="77777777" w:rsidR="00DB6E47" w:rsidRPr="00EB0CDE" w:rsidRDefault="00DB6E47" w:rsidP="00DB6E47">
      <w:pPr>
        <w:pStyle w:val="Amain"/>
      </w:pPr>
      <w:r w:rsidRPr="00EB0CDE">
        <w:tab/>
        <w:t>(3)</w:t>
      </w:r>
      <w:r w:rsidRPr="00EB0CDE">
        <w:tab/>
        <w:t>In this section—</w:t>
      </w:r>
    </w:p>
    <w:p w14:paraId="0E61E179" w14:textId="77777777" w:rsidR="00DB6E47" w:rsidRPr="00041046" w:rsidRDefault="00DB6E47" w:rsidP="00DB6E47">
      <w:pPr>
        <w:pStyle w:val="aDef"/>
        <w:rPr>
          <w:bCs/>
        </w:rPr>
      </w:pPr>
      <w:r w:rsidRPr="00041046">
        <w:rPr>
          <w:rStyle w:val="charBoldItals"/>
        </w:rPr>
        <w:t>warning sign</w:t>
      </w:r>
      <w:r w:rsidRPr="00041046">
        <w:t xml:space="preserve"> means a sign indicating that the vehicle to which it is attached is of a particular type, size or configuration.</w:t>
      </w:r>
    </w:p>
    <w:p w14:paraId="5C1388FE" w14:textId="77777777" w:rsidR="00DB6E47" w:rsidRPr="00C96203" w:rsidRDefault="00DB6E47" w:rsidP="00DB6E47">
      <w:pPr>
        <w:pStyle w:val="aExamHdgss"/>
      </w:pPr>
      <w:r w:rsidRPr="00C96203">
        <w:rPr>
          <w:rFonts w:cs="Times"/>
          <w:bCs/>
          <w:iCs/>
        </w:rPr>
        <w:t>Example of warning sign—</w:t>
      </w:r>
    </w:p>
    <w:p w14:paraId="747B4E4A" w14:textId="77777777" w:rsidR="00DB6E47" w:rsidRPr="00C96203" w:rsidRDefault="00DB6E47" w:rsidP="00DB6E47">
      <w:pPr>
        <w:pStyle w:val="aExamss"/>
      </w:pPr>
      <w:r w:rsidRPr="00C96203">
        <w:t>A sign (consisting of 1 or more parts) showing the words ‘LONG VEHICLE’ or ‘ROAD TRAIN’.</w:t>
      </w:r>
    </w:p>
    <w:p w14:paraId="39775ACE" w14:textId="77777777" w:rsidR="00DB6E47" w:rsidRPr="007E1F9A" w:rsidRDefault="00DB6E47" w:rsidP="00DB6E47">
      <w:pPr>
        <w:pStyle w:val="AH5Sec"/>
      </w:pPr>
      <w:bookmarkStart w:id="95" w:name="_Toc83625439"/>
      <w:r w:rsidRPr="005E03F7">
        <w:rPr>
          <w:rStyle w:val="CharSectNo"/>
        </w:rPr>
        <w:t>93</w:t>
      </w:r>
      <w:r w:rsidRPr="007E1F9A">
        <w:tab/>
        <w:t>Person must not tamper with speed limiter fitted to heavy vehicle</w:t>
      </w:r>
      <w:bookmarkEnd w:id="95"/>
    </w:p>
    <w:p w14:paraId="32E3564C" w14:textId="77777777" w:rsidR="00DB6E47" w:rsidRPr="006C3305" w:rsidRDefault="00DB6E47" w:rsidP="00DB6E47">
      <w:pPr>
        <w:pStyle w:val="Amain"/>
      </w:pPr>
      <w:r>
        <w:tab/>
        <w:t>(</w:t>
      </w:r>
      <w:r w:rsidRPr="006C3305">
        <w:t>1)</w:t>
      </w:r>
      <w:r w:rsidRPr="006C3305">
        <w:tab/>
        <w:t>A person must not tamper with a speed limiter that is required under an Australian road law or by order of an Australian court to be, and is, fitted to a heavy vehicle.</w:t>
      </w:r>
    </w:p>
    <w:p w14:paraId="567263B2" w14:textId="77777777" w:rsidR="00DB6E47" w:rsidRPr="006C3305" w:rsidRDefault="00DB6E47" w:rsidP="00DB6E47">
      <w:pPr>
        <w:pStyle w:val="Penalty"/>
      </w:pPr>
      <w:r w:rsidRPr="006C3305">
        <w:t>Maximum penalty—$10000.</w:t>
      </w:r>
    </w:p>
    <w:p w14:paraId="7D678571" w14:textId="77777777" w:rsidR="00DB6E47" w:rsidRPr="00EB0CDE" w:rsidRDefault="00DB6E47" w:rsidP="00824C29">
      <w:pPr>
        <w:pStyle w:val="Amain"/>
        <w:keepLines/>
      </w:pPr>
      <w:r w:rsidRPr="00EB0CDE">
        <w:tab/>
        <w:t>(2)</w:t>
      </w:r>
      <w:r w:rsidRPr="00EB0CDE">
        <w:tab/>
        <w:t>A person must not fit, or direct the fitting of, a speed limiter to a heavy vehicle in circumstances where the person knows or ought reasonably to know that the speed limiter has been tampered with in such a way that, had it been fitted to the vehicle at the time of the tampering, an offence would have been committed against subsection (1).</w:t>
      </w:r>
    </w:p>
    <w:p w14:paraId="077741D5" w14:textId="77777777" w:rsidR="00DB6E47" w:rsidRPr="006C3305" w:rsidRDefault="00DB6E47" w:rsidP="00DB6E47">
      <w:pPr>
        <w:pStyle w:val="Penalty"/>
      </w:pPr>
      <w:r w:rsidRPr="006C3305">
        <w:t>Maximum penalty—$10000.</w:t>
      </w:r>
    </w:p>
    <w:p w14:paraId="05252C93" w14:textId="77777777" w:rsidR="00DB6E47" w:rsidRPr="00EB0CDE" w:rsidRDefault="00DB6E47" w:rsidP="00DB6E47">
      <w:pPr>
        <w:pStyle w:val="Amain"/>
      </w:pPr>
      <w:r w:rsidRPr="00EB0CDE">
        <w:lastRenderedPageBreak/>
        <w:tab/>
        <w:t>(3)</w:t>
      </w:r>
      <w:r w:rsidRPr="00EB0CDE">
        <w:tab/>
        <w:t>An operator of a heavy vehicle must not use or permit the vehicle to be used on a road if the operator knows, or ought reasonably to know, that a speed limiter fitted to the vehicle, as required under an Australian road law or by order of an Australian court, has been tampered with</w:t>
      </w:r>
      <w:r w:rsidR="004625A3">
        <w:t xml:space="preserve"> in contravention of subsection </w:t>
      </w:r>
      <w:r w:rsidRPr="00EB0CDE">
        <w:t>(1)</w:t>
      </w:r>
      <w:r w:rsidR="004625A3">
        <w:t xml:space="preserve"> </w:t>
      </w:r>
      <w:r w:rsidRPr="00EB0CDE">
        <w:t>or fitted to the vehicle in contravention of subsection (2).</w:t>
      </w:r>
    </w:p>
    <w:p w14:paraId="7E2BAC9C" w14:textId="77777777" w:rsidR="00DB6E47" w:rsidRPr="006C3305" w:rsidRDefault="00DB6E47" w:rsidP="00DB6E47">
      <w:pPr>
        <w:pStyle w:val="Penalty"/>
      </w:pPr>
      <w:r w:rsidRPr="006C3305">
        <w:t>Maximum penalty—$10000.</w:t>
      </w:r>
    </w:p>
    <w:p w14:paraId="6C89D920" w14:textId="77777777" w:rsidR="00DB6E47" w:rsidRPr="00EB0CDE" w:rsidRDefault="004625A3" w:rsidP="00DB6E47">
      <w:pPr>
        <w:pStyle w:val="Amain"/>
      </w:pPr>
      <w:r>
        <w:tab/>
        <w:t>(4)</w:t>
      </w:r>
      <w:r>
        <w:tab/>
        <w:t xml:space="preserve">Subsections </w:t>
      </w:r>
      <w:r w:rsidR="00DB6E47" w:rsidRPr="00EB0CDE">
        <w:t>(1)</w:t>
      </w:r>
      <w:r>
        <w:t xml:space="preserve"> and </w:t>
      </w:r>
      <w:r w:rsidR="00DB6E47" w:rsidRPr="00EB0CDE">
        <w:t>(2)</w:t>
      </w:r>
      <w:r>
        <w:t xml:space="preserve"> </w:t>
      </w:r>
      <w:r w:rsidR="00DB6E47" w:rsidRPr="00EB0CDE">
        <w:t>do not apply to—</w:t>
      </w:r>
    </w:p>
    <w:p w14:paraId="7F5B9596" w14:textId="77777777" w:rsidR="00DB6E47" w:rsidRPr="007D116E" w:rsidRDefault="00DB6E47" w:rsidP="00DB6E47">
      <w:pPr>
        <w:pStyle w:val="Apara"/>
      </w:pPr>
      <w:r w:rsidRPr="007D116E">
        <w:tab/>
        <w:t>(a)</w:t>
      </w:r>
      <w:r w:rsidRPr="007D116E">
        <w:tab/>
        <w:t>conduct associated with repairing a malfunctioning speed limiter or maintaining a speed limiter; or</w:t>
      </w:r>
    </w:p>
    <w:p w14:paraId="77868A29" w14:textId="77777777" w:rsidR="00DB6E47" w:rsidRPr="007D116E" w:rsidRDefault="00DB6E47" w:rsidP="00DB6E47">
      <w:pPr>
        <w:pStyle w:val="Apara"/>
      </w:pPr>
      <w:r w:rsidRPr="007D116E">
        <w:tab/>
        <w:t>(b)</w:t>
      </w:r>
      <w:r w:rsidRPr="007D116E">
        <w:tab/>
        <w:t>an authorised officer when exercising functions under this Law.</w:t>
      </w:r>
    </w:p>
    <w:p w14:paraId="7F6F2BAB" w14:textId="77777777" w:rsidR="00DB6E47" w:rsidRPr="00EB0CDE" w:rsidRDefault="004625A3" w:rsidP="00DB6E47">
      <w:pPr>
        <w:pStyle w:val="Amain"/>
      </w:pPr>
      <w:r>
        <w:tab/>
        <w:t>(5)</w:t>
      </w:r>
      <w:r>
        <w:tab/>
        <w:t xml:space="preserve">Subsection </w:t>
      </w:r>
      <w:r w:rsidR="00DB6E47" w:rsidRPr="00EB0CDE">
        <w:t>(3)</w:t>
      </w:r>
      <w:r>
        <w:t xml:space="preserve"> </w:t>
      </w:r>
      <w:r w:rsidR="00DB6E47" w:rsidRPr="00EB0CDE">
        <w:t>does not apply to a heavy vehicle that—</w:t>
      </w:r>
    </w:p>
    <w:p w14:paraId="66EB4B29" w14:textId="77777777" w:rsidR="00DB6E47" w:rsidRPr="007D116E" w:rsidRDefault="00DB6E47" w:rsidP="00DB6E47">
      <w:pPr>
        <w:pStyle w:val="Apara"/>
      </w:pPr>
      <w:r w:rsidRPr="007D116E">
        <w:tab/>
        <w:t>(a)</w:t>
      </w:r>
      <w:r w:rsidRPr="007D116E">
        <w:tab/>
        <w:t>is on a journey to a place for the repair of the speed limiter or any of the vehicle’s components or equipment that affect the operation of the speed limiter; and</w:t>
      </w:r>
    </w:p>
    <w:p w14:paraId="6BAF5077" w14:textId="77777777" w:rsidR="00DB6E47" w:rsidRPr="007D116E" w:rsidRDefault="00DB6E47" w:rsidP="00DB6E47">
      <w:pPr>
        <w:pStyle w:val="Apara"/>
      </w:pPr>
      <w:r w:rsidRPr="007D116E">
        <w:tab/>
        <w:t>(b)</w:t>
      </w:r>
      <w:r w:rsidRPr="007D116E">
        <w:tab/>
        <w:t>is travelling on the most direct or convenient route to that place from the place where the journey began.</w:t>
      </w:r>
    </w:p>
    <w:p w14:paraId="3FAEC6A3" w14:textId="77777777" w:rsidR="00DB6E47" w:rsidRPr="00EB0CDE" w:rsidRDefault="004625A3" w:rsidP="00DB6E47">
      <w:pPr>
        <w:pStyle w:val="Amain"/>
      </w:pPr>
      <w:r>
        <w:tab/>
        <w:t>(6)</w:t>
      </w:r>
      <w:r>
        <w:tab/>
        <w:t xml:space="preserve">Subsection </w:t>
      </w:r>
      <w:r w:rsidR="00DB6E47" w:rsidRPr="00EB0CDE">
        <w:t>(3)</w:t>
      </w:r>
      <w:r>
        <w:t xml:space="preserve"> </w:t>
      </w:r>
      <w:r w:rsidR="00DB6E47" w:rsidRPr="00EB0CDE">
        <w:t>applies whether or not a person has been proceeded against or found guilty o</w:t>
      </w:r>
      <w:r>
        <w:t xml:space="preserve">f an offence against subsection </w:t>
      </w:r>
      <w:r w:rsidR="00DB6E47" w:rsidRPr="00EB0CDE">
        <w:t>(1)</w:t>
      </w:r>
      <w:r>
        <w:t xml:space="preserve"> or </w:t>
      </w:r>
      <w:r w:rsidR="00DB6E47" w:rsidRPr="00EB0CDE">
        <w:t>(2)</w:t>
      </w:r>
      <w:r>
        <w:t xml:space="preserve"> </w:t>
      </w:r>
      <w:r w:rsidR="00DB6E47" w:rsidRPr="00EB0CDE">
        <w:t>in relation to the tampering.</w:t>
      </w:r>
    </w:p>
    <w:p w14:paraId="2F073A26" w14:textId="77777777" w:rsidR="00DB6E47" w:rsidRPr="00EB0CDE" w:rsidRDefault="00DB6E47" w:rsidP="00DB6E47">
      <w:pPr>
        <w:pStyle w:val="Amain"/>
      </w:pPr>
      <w:r w:rsidRPr="00EB0CDE">
        <w:tab/>
        <w:t>(9)</w:t>
      </w:r>
      <w:r w:rsidRPr="00EB0CDE">
        <w:tab/>
        <w:t>In this section—</w:t>
      </w:r>
    </w:p>
    <w:p w14:paraId="434EA2F7" w14:textId="77777777" w:rsidR="00DB6E47" w:rsidRPr="00041046" w:rsidRDefault="00DB6E47" w:rsidP="00DB6E47">
      <w:pPr>
        <w:pStyle w:val="aDef"/>
        <w:rPr>
          <w:bCs/>
        </w:rPr>
      </w:pPr>
      <w:r w:rsidRPr="00041046">
        <w:rPr>
          <w:rStyle w:val="charBoldItals"/>
        </w:rPr>
        <w:t>speed limiter</w:t>
      </w:r>
      <w:r w:rsidRPr="00041046">
        <w:t xml:space="preserve"> means a device or system that is used to limit the maximum road speed of a heavy vehicle to which it is fitted and that complies with any applicable heavy vehicle standard.</w:t>
      </w:r>
    </w:p>
    <w:p w14:paraId="3ACEAB6F" w14:textId="77777777" w:rsidR="00DB6E47" w:rsidRPr="00041046" w:rsidRDefault="00DB6E47" w:rsidP="008C2E76">
      <w:pPr>
        <w:pStyle w:val="aDef"/>
        <w:keepNext/>
        <w:rPr>
          <w:bCs/>
        </w:rPr>
      </w:pPr>
      <w:r w:rsidRPr="00041046">
        <w:rPr>
          <w:rStyle w:val="charBoldItals"/>
        </w:rPr>
        <w:lastRenderedPageBreak/>
        <w:t>tamper</w:t>
      </w:r>
      <w:r w:rsidRPr="00041046">
        <w:t>, with a speed limiter fitted to a heavy vehicle, means alter, damage, remove, override or otherwise interfere with the speed limiter in a way that—</w:t>
      </w:r>
    </w:p>
    <w:p w14:paraId="259382AA" w14:textId="77777777" w:rsidR="00DB6E47" w:rsidRPr="004625A3" w:rsidRDefault="00DB6E47" w:rsidP="008C2E76">
      <w:pPr>
        <w:pStyle w:val="aDefpara"/>
        <w:keepNext/>
      </w:pPr>
      <w:r w:rsidRPr="00F04D8E">
        <w:rPr>
          <w:rFonts w:cs="Times"/>
          <w:bCs/>
          <w:iCs/>
        </w:rPr>
        <w:tab/>
        <w:t>(a)</w:t>
      </w:r>
      <w:r w:rsidRPr="00FF4454">
        <w:rPr>
          <w:rStyle w:val="charBoldItals"/>
        </w:rPr>
        <w:tab/>
      </w:r>
      <w:r w:rsidRPr="004625A3">
        <w:t>enables the vehicle to be driven at a speed higher than the speed permitted by an applicable heavy vehicle standard; or</w:t>
      </w:r>
    </w:p>
    <w:p w14:paraId="27087639" w14:textId="77777777" w:rsidR="00DB6E47" w:rsidRPr="004625A3" w:rsidRDefault="00DB6E47" w:rsidP="00DB6E47">
      <w:pPr>
        <w:pStyle w:val="aDefpara"/>
      </w:pPr>
      <w:r w:rsidRPr="004625A3">
        <w:tab/>
        <w:t>(b)</w:t>
      </w:r>
      <w:r w:rsidRPr="004625A3">
        <w:tab/>
        <w:t>alters, or may alter, any information recorded by the speed limiter; or</w:t>
      </w:r>
    </w:p>
    <w:p w14:paraId="0AAC209B" w14:textId="77777777" w:rsidR="00DB6E47" w:rsidRPr="004625A3" w:rsidRDefault="00DB6E47" w:rsidP="00DB6E47">
      <w:pPr>
        <w:pStyle w:val="aDefpara"/>
      </w:pPr>
      <w:r w:rsidRPr="004625A3">
        <w:tab/>
        <w:t>(c)</w:t>
      </w:r>
      <w:r w:rsidRPr="004625A3">
        <w:tab/>
        <w:t>results, or may result, in the speed limiter recording inaccurate information.</w:t>
      </w:r>
    </w:p>
    <w:p w14:paraId="086BA11F" w14:textId="77777777" w:rsidR="00DB6E47" w:rsidRPr="003D647F" w:rsidRDefault="00DB6E47" w:rsidP="00DB6E47">
      <w:pPr>
        <w:pStyle w:val="PageBreak"/>
        <w:rPr>
          <w:rFonts w:eastAsiaTheme="minorHAnsi"/>
        </w:rPr>
      </w:pPr>
      <w:r w:rsidRPr="003D647F">
        <w:rPr>
          <w:rFonts w:eastAsiaTheme="minorHAnsi"/>
        </w:rPr>
        <w:br w:type="page"/>
      </w:r>
    </w:p>
    <w:p w14:paraId="2410C854" w14:textId="77777777" w:rsidR="00DB6E47" w:rsidRPr="005E03F7" w:rsidRDefault="00DB6E47" w:rsidP="00DB6E47">
      <w:pPr>
        <w:pStyle w:val="AH1Chapter"/>
      </w:pPr>
      <w:bookmarkStart w:id="96" w:name="_Toc83625440"/>
      <w:r w:rsidRPr="005E03F7">
        <w:rPr>
          <w:rStyle w:val="CharChapNo"/>
        </w:rPr>
        <w:lastRenderedPageBreak/>
        <w:t>Chapter 4</w:t>
      </w:r>
      <w:r w:rsidRPr="00A95F9A">
        <w:rPr>
          <w:rFonts w:ascii="Helvetica" w:hAnsi="Helvetica" w:cs="Helvetica"/>
          <w:iCs/>
          <w:sz w:val="36"/>
          <w:szCs w:val="36"/>
        </w:rPr>
        <w:tab/>
      </w:r>
      <w:r w:rsidRPr="005E03F7">
        <w:rPr>
          <w:rStyle w:val="CharChapText"/>
          <w:rFonts w:ascii="Helvetica" w:hAnsi="Helvetica" w:cs="Helvetica"/>
          <w:iCs/>
          <w:sz w:val="36"/>
          <w:szCs w:val="36"/>
        </w:rPr>
        <w:t>Vehicle operations—mass, dimension and loading</w:t>
      </w:r>
      <w:bookmarkEnd w:id="96"/>
    </w:p>
    <w:p w14:paraId="32E1FC7C" w14:textId="77777777" w:rsidR="00DB6E47" w:rsidRPr="005E03F7" w:rsidRDefault="00DB6E47" w:rsidP="00DB6E47">
      <w:pPr>
        <w:pStyle w:val="AH2Part"/>
      </w:pPr>
      <w:bookmarkStart w:id="97" w:name="_Toc83625441"/>
      <w:r w:rsidRPr="005E03F7">
        <w:rPr>
          <w:rStyle w:val="CharPartNo"/>
        </w:rPr>
        <w:t>Part 4.1</w:t>
      </w:r>
      <w:r w:rsidRPr="00A95F9A">
        <w:rPr>
          <w:rFonts w:ascii="Helvetica" w:hAnsi="Helvetica" w:cs="Helvetica"/>
          <w:iCs/>
          <w:szCs w:val="32"/>
        </w:rPr>
        <w:tab/>
      </w:r>
      <w:r w:rsidRPr="005E03F7">
        <w:rPr>
          <w:rStyle w:val="CharPartText"/>
          <w:rFonts w:ascii="Helvetica" w:hAnsi="Helvetica" w:cs="Helvetica"/>
          <w:iCs/>
          <w:szCs w:val="32"/>
        </w:rPr>
        <w:t>Preliminary</w:t>
      </w:r>
      <w:bookmarkEnd w:id="97"/>
    </w:p>
    <w:p w14:paraId="229FDCD7" w14:textId="77777777" w:rsidR="00DB6E47" w:rsidRPr="007E1F9A" w:rsidRDefault="00DB6E47" w:rsidP="00DB6E47">
      <w:pPr>
        <w:pStyle w:val="AH5Sec"/>
      </w:pPr>
      <w:bookmarkStart w:id="98" w:name="_Toc83625442"/>
      <w:r w:rsidRPr="005E03F7">
        <w:rPr>
          <w:rStyle w:val="CharSectNo"/>
        </w:rPr>
        <w:t>94</w:t>
      </w:r>
      <w:r w:rsidRPr="007E1F9A">
        <w:tab/>
        <w:t>Main purposes of Ch 4</w:t>
      </w:r>
      <w:bookmarkEnd w:id="98"/>
    </w:p>
    <w:p w14:paraId="69E7FBFE" w14:textId="77777777" w:rsidR="00DB6E47" w:rsidRPr="00EB0CDE" w:rsidRDefault="00DB6E47" w:rsidP="00DB6E47">
      <w:pPr>
        <w:pStyle w:val="Amain"/>
      </w:pPr>
      <w:r w:rsidRPr="00EB0CDE">
        <w:tab/>
        <w:t>(1)</w:t>
      </w:r>
      <w:r w:rsidRPr="00EB0CDE">
        <w:tab/>
        <w:t>The main purposes of this Chapter are—</w:t>
      </w:r>
    </w:p>
    <w:p w14:paraId="03BB41F4" w14:textId="77777777" w:rsidR="00DB6E47" w:rsidRPr="007D116E" w:rsidRDefault="00DB6E47" w:rsidP="00DB6E47">
      <w:pPr>
        <w:pStyle w:val="Apara"/>
      </w:pPr>
      <w:r w:rsidRPr="007D116E">
        <w:tab/>
        <w:t>(a)</w:t>
      </w:r>
      <w:r w:rsidRPr="007D116E">
        <w:tab/>
        <w:t>to improve public safety by decreasing risks to public safety caused by excessively loaded or excessively large heavy vehicles; and</w:t>
      </w:r>
    </w:p>
    <w:p w14:paraId="41DDD8BA" w14:textId="77777777" w:rsidR="00DB6E47" w:rsidRPr="007D116E" w:rsidRDefault="00DB6E47" w:rsidP="00DB6E47">
      <w:pPr>
        <w:pStyle w:val="Apara"/>
      </w:pPr>
      <w:r w:rsidRPr="007D116E">
        <w:tab/>
        <w:t>(b)</w:t>
      </w:r>
      <w:r w:rsidRPr="007D116E">
        <w:tab/>
        <w:t>to minimise any adverse impact of excessively loaded or excessively large heavy vehicles on road infrastructure or public amenity.</w:t>
      </w:r>
    </w:p>
    <w:p w14:paraId="76D01C0D" w14:textId="77777777" w:rsidR="00DB6E47" w:rsidRPr="00EB0CDE" w:rsidRDefault="00DB6E47" w:rsidP="00DB6E47">
      <w:pPr>
        <w:pStyle w:val="Amain"/>
      </w:pPr>
      <w:r w:rsidRPr="00EB0CDE">
        <w:tab/>
        <w:t>(2)</w:t>
      </w:r>
      <w:r w:rsidRPr="00EB0CDE">
        <w:tab/>
        <w:t>The purposes are achieved by—</w:t>
      </w:r>
    </w:p>
    <w:p w14:paraId="28D11FAD" w14:textId="77777777" w:rsidR="00DB6E47" w:rsidRPr="002D0C5E" w:rsidRDefault="00DB6E47" w:rsidP="00DB6E47">
      <w:pPr>
        <w:pStyle w:val="Apara"/>
      </w:pPr>
      <w:r w:rsidRPr="007D116E">
        <w:tab/>
        <w:t>(a)</w:t>
      </w:r>
      <w:r w:rsidRPr="007D116E">
        <w:tab/>
      </w:r>
      <w:r w:rsidRPr="002D0C5E">
        <w:t xml:space="preserve">imposing mass </w:t>
      </w:r>
      <w:r w:rsidR="002D0C5E" w:rsidRPr="002D0C5E">
        <w:t xml:space="preserve">requirements </w:t>
      </w:r>
      <w:r w:rsidRPr="002D0C5E">
        <w:t>for heavy vehicles, particular components of heavy vehicles, and loads on heavy vehicles; and</w:t>
      </w:r>
    </w:p>
    <w:p w14:paraId="79B8FA8C" w14:textId="77777777" w:rsidR="00DB6E47" w:rsidRPr="007D116E" w:rsidRDefault="00DB6E47" w:rsidP="00DB6E47">
      <w:pPr>
        <w:pStyle w:val="Apara"/>
      </w:pPr>
      <w:r w:rsidRPr="007D116E">
        <w:tab/>
        <w:t>(b)</w:t>
      </w:r>
      <w:r w:rsidRPr="007D116E">
        <w:tab/>
      </w:r>
      <w:r w:rsidR="00000A2F" w:rsidRPr="00000A2F">
        <w:t>imposing dimension requirements on heavy vehicles including on the vehicles (together with equipment), components or loads; and</w:t>
      </w:r>
    </w:p>
    <w:p w14:paraId="4870D0BC" w14:textId="77777777" w:rsidR="00DB6E47" w:rsidRPr="007D116E" w:rsidRDefault="00DB6E47" w:rsidP="00DB6E47">
      <w:pPr>
        <w:pStyle w:val="Apara"/>
      </w:pPr>
      <w:r w:rsidRPr="007D116E">
        <w:tab/>
        <w:t>(c)</w:t>
      </w:r>
      <w:r w:rsidRPr="007D116E">
        <w:tab/>
        <w:t>imposing requirements about securing loads on heavy vehicles; and</w:t>
      </w:r>
    </w:p>
    <w:p w14:paraId="2B048A26" w14:textId="77777777" w:rsidR="00DB6E47" w:rsidRPr="007D116E" w:rsidRDefault="00DB6E47" w:rsidP="00DB6E47">
      <w:pPr>
        <w:pStyle w:val="Apara"/>
      </w:pPr>
      <w:r w:rsidRPr="007D116E">
        <w:tab/>
        <w:t>(d)</w:t>
      </w:r>
      <w:r w:rsidRPr="007D116E">
        <w:tab/>
        <w:t xml:space="preserve">restricting access to roads by heavy vehicles of a particular mass, size or configuration even if the vehicles comply with the </w:t>
      </w:r>
      <w:r w:rsidR="00000A2F" w:rsidRPr="00000A2F">
        <w:t>mass requirements, dimension requirements and other requirements</w:t>
      </w:r>
      <w:r w:rsidRPr="00000A2F">
        <w:t xml:space="preserve"> </w:t>
      </w:r>
      <w:r w:rsidRPr="007D116E">
        <w:t>mentione</w:t>
      </w:r>
      <w:r w:rsidR="004625A3">
        <w:t xml:space="preserve">d in paragraphs </w:t>
      </w:r>
      <w:r w:rsidRPr="007D116E">
        <w:t>(a)</w:t>
      </w:r>
      <w:r w:rsidR="004625A3">
        <w:t xml:space="preserve"> to </w:t>
      </w:r>
      <w:r w:rsidRPr="007D116E">
        <w:t>(c).</w:t>
      </w:r>
    </w:p>
    <w:p w14:paraId="6834A314" w14:textId="77777777" w:rsidR="00DB6E47" w:rsidRPr="00EB0CDE" w:rsidRDefault="00DB6E47" w:rsidP="00332504">
      <w:pPr>
        <w:pStyle w:val="Amain"/>
        <w:keepLines/>
      </w:pPr>
      <w:r w:rsidRPr="00EB0CDE">
        <w:lastRenderedPageBreak/>
        <w:tab/>
        <w:t>(3)</w:t>
      </w:r>
      <w:r w:rsidRPr="00EB0CDE">
        <w:tab/>
        <w:t>However, this Chapter recognises that the use of particular heavy vehicles that do not comply with the</w:t>
      </w:r>
      <w:r w:rsidRPr="00000A2F">
        <w:t xml:space="preserve"> </w:t>
      </w:r>
      <w:r w:rsidR="00000A2F" w:rsidRPr="00000A2F">
        <w:t>mass requirements, dimension requirements and other requirements</w:t>
      </w:r>
      <w:r w:rsidR="004625A3">
        <w:t xml:space="preserve"> mentioned in subsection (2)</w:t>
      </w:r>
      <w:r w:rsidRPr="00EB0CDE">
        <w:t>(a)</w:t>
      </w:r>
      <w:r w:rsidR="004625A3">
        <w:t xml:space="preserve"> to </w:t>
      </w:r>
      <w:r w:rsidRPr="00EB0CDE">
        <w:t>(c)</w:t>
      </w:r>
      <w:r w:rsidR="004625A3">
        <w:t xml:space="preserve"> </w:t>
      </w:r>
      <w:r w:rsidRPr="00EB0CDE">
        <w:t>may be permitted on roads in particular circumstances and subject to particular conditions—</w:t>
      </w:r>
    </w:p>
    <w:p w14:paraId="466116D9" w14:textId="77777777" w:rsidR="00DB6E47" w:rsidRPr="007D116E" w:rsidRDefault="00DB6E47" w:rsidP="00DB6E47">
      <w:pPr>
        <w:pStyle w:val="Apara"/>
      </w:pPr>
      <w:r w:rsidRPr="007D116E">
        <w:tab/>
        <w:t>(a)</w:t>
      </w:r>
      <w:r w:rsidRPr="007D116E">
        <w:tab/>
        <w:t>to allow for—</w:t>
      </w:r>
    </w:p>
    <w:p w14:paraId="15B661D8" w14:textId="77777777" w:rsidR="00DB6E47" w:rsidRPr="00516F02" w:rsidRDefault="00DB6E47" w:rsidP="00DB6E47">
      <w:pPr>
        <w:pStyle w:val="Asubpara"/>
      </w:pPr>
      <w:r w:rsidRPr="00516F02">
        <w:tab/>
        <w:t>(i)</w:t>
      </w:r>
      <w:r w:rsidRPr="00516F02">
        <w:tab/>
        <w:t>the efficient road transport of goods or passengers by heavy vehicles; or</w:t>
      </w:r>
    </w:p>
    <w:p w14:paraId="10D45B3C" w14:textId="77777777" w:rsidR="00DB6E47" w:rsidRPr="00516F02" w:rsidRDefault="00DB6E47" w:rsidP="00DB6E47">
      <w:pPr>
        <w:pStyle w:val="Asubpara"/>
      </w:pPr>
      <w:r>
        <w:tab/>
      </w:r>
      <w:r w:rsidRPr="00516F02">
        <w:t>(ii)</w:t>
      </w:r>
      <w:r w:rsidRPr="00516F02">
        <w:tab/>
        <w:t>the efficient use of large heavy vehicles that are transporting neither goods nor passengers and need to use roads for special uses; and</w:t>
      </w:r>
    </w:p>
    <w:p w14:paraId="3DBCD660" w14:textId="77777777" w:rsidR="00DB6E47" w:rsidRPr="007D116E" w:rsidRDefault="00DB6E47" w:rsidP="00DB6E47">
      <w:pPr>
        <w:pStyle w:val="Apara"/>
      </w:pPr>
      <w:r w:rsidRPr="007D116E">
        <w:tab/>
        <w:t>(b)</w:t>
      </w:r>
      <w:r w:rsidRPr="007D116E">
        <w:tab/>
        <w:t>without compromising the achievement of the purposes.</w:t>
      </w:r>
    </w:p>
    <w:p w14:paraId="107908F4" w14:textId="77777777" w:rsidR="00DB6E47" w:rsidRPr="003D647F" w:rsidRDefault="00DB6E47" w:rsidP="00DB6E47">
      <w:pPr>
        <w:pStyle w:val="PageBreak"/>
      </w:pPr>
      <w:r w:rsidRPr="003D647F">
        <w:br w:type="page"/>
      </w:r>
    </w:p>
    <w:p w14:paraId="0E593795" w14:textId="77777777" w:rsidR="00DB6E47" w:rsidRPr="005E03F7" w:rsidRDefault="00DB6E47" w:rsidP="00DB6E47">
      <w:pPr>
        <w:pStyle w:val="AH2Part"/>
      </w:pPr>
      <w:bookmarkStart w:id="99" w:name="_Toc83625443"/>
      <w:r w:rsidRPr="005E03F7">
        <w:rPr>
          <w:rStyle w:val="CharPartNo"/>
        </w:rPr>
        <w:lastRenderedPageBreak/>
        <w:t>Part 4.2</w:t>
      </w:r>
      <w:r w:rsidRPr="00A95F9A">
        <w:rPr>
          <w:rFonts w:ascii="Helvetica" w:hAnsi="Helvetica" w:cs="Helvetica"/>
          <w:iCs/>
          <w:szCs w:val="32"/>
        </w:rPr>
        <w:tab/>
      </w:r>
      <w:r w:rsidRPr="005E03F7">
        <w:rPr>
          <w:rStyle w:val="CharPartText"/>
          <w:rFonts w:ascii="Helvetica" w:hAnsi="Helvetica" w:cs="Helvetica"/>
          <w:iCs/>
          <w:szCs w:val="32"/>
        </w:rPr>
        <w:t>Mass requirements</w:t>
      </w:r>
      <w:bookmarkEnd w:id="99"/>
    </w:p>
    <w:p w14:paraId="0FB618C9" w14:textId="77777777" w:rsidR="00DB6E47" w:rsidRPr="005E03F7" w:rsidRDefault="00DB6E47" w:rsidP="00DB6E47">
      <w:pPr>
        <w:pStyle w:val="AH3Div"/>
      </w:pPr>
      <w:bookmarkStart w:id="100" w:name="_Toc83625444"/>
      <w:r w:rsidRPr="005E03F7">
        <w:rPr>
          <w:rStyle w:val="CharDivNo"/>
        </w:rPr>
        <w:t>Division 1</w:t>
      </w:r>
      <w:r w:rsidRPr="00A95F9A">
        <w:rPr>
          <w:rFonts w:ascii="Helvetica" w:hAnsi="Helvetica" w:cs="Helvetica"/>
          <w:iCs/>
          <w:szCs w:val="28"/>
        </w:rPr>
        <w:tab/>
      </w:r>
      <w:r w:rsidRPr="005E03F7">
        <w:rPr>
          <w:rStyle w:val="CharDivText"/>
          <w:rFonts w:ascii="Helvetica" w:hAnsi="Helvetica" w:cs="Helvetica"/>
          <w:iCs/>
          <w:szCs w:val="28"/>
        </w:rPr>
        <w:t>Requirements</w:t>
      </w:r>
      <w:bookmarkEnd w:id="100"/>
    </w:p>
    <w:p w14:paraId="57E19FB3" w14:textId="77777777" w:rsidR="00DB6E47" w:rsidRPr="007E1F9A" w:rsidRDefault="00DB6E47" w:rsidP="00DB6E47">
      <w:pPr>
        <w:pStyle w:val="AH5Sec"/>
      </w:pPr>
      <w:bookmarkStart w:id="101" w:name="_Toc83625445"/>
      <w:r w:rsidRPr="005E03F7">
        <w:rPr>
          <w:rStyle w:val="CharSectNo"/>
        </w:rPr>
        <w:t>95</w:t>
      </w:r>
      <w:r w:rsidRPr="007E1F9A">
        <w:tab/>
      </w:r>
      <w:r w:rsidRPr="007E1F9A">
        <w:rPr>
          <w:bCs/>
        </w:rPr>
        <w:t>Prescribed mass requirements</w:t>
      </w:r>
      <w:bookmarkEnd w:id="101"/>
    </w:p>
    <w:p w14:paraId="05B87737" w14:textId="77777777" w:rsidR="00DB6E47" w:rsidRPr="00EB0CDE" w:rsidRDefault="00DB6E47" w:rsidP="00DB6E47">
      <w:pPr>
        <w:pStyle w:val="Amain"/>
      </w:pPr>
      <w:r w:rsidRPr="00EB0CDE">
        <w:tab/>
        <w:t>(1)</w:t>
      </w:r>
      <w:r w:rsidRPr="00EB0CDE">
        <w:tab/>
        <w:t xml:space="preserve">The national regulations may prescribe requirements (the </w:t>
      </w:r>
      <w:r w:rsidRPr="00FF4454">
        <w:rPr>
          <w:rStyle w:val="charBoldItals"/>
        </w:rPr>
        <w:t>prescribed mass requirements</w:t>
      </w:r>
      <w:r w:rsidRPr="00EB0CDE">
        <w:t>) about the following—</w:t>
      </w:r>
    </w:p>
    <w:p w14:paraId="10C21CA6" w14:textId="77777777" w:rsidR="00DB6E47" w:rsidRPr="007D116E" w:rsidRDefault="00DB6E47" w:rsidP="00DB6E47">
      <w:pPr>
        <w:pStyle w:val="Apara"/>
      </w:pPr>
      <w:r w:rsidRPr="007D116E">
        <w:tab/>
        <w:t>(a)</w:t>
      </w:r>
      <w:r w:rsidRPr="007D116E">
        <w:tab/>
        <w:t>the mass of heavy vehicles;</w:t>
      </w:r>
    </w:p>
    <w:p w14:paraId="01D1D178" w14:textId="77777777" w:rsidR="00DB6E47" w:rsidRPr="007D116E" w:rsidRDefault="00DB6E47" w:rsidP="00DB6E47">
      <w:pPr>
        <w:pStyle w:val="Apara"/>
      </w:pPr>
      <w:r w:rsidRPr="007D116E">
        <w:tab/>
        <w:t>(b)</w:t>
      </w:r>
      <w:r w:rsidRPr="007D116E">
        <w:tab/>
        <w:t>the mass of components of heavy vehicles.</w:t>
      </w:r>
    </w:p>
    <w:p w14:paraId="695D8ECE" w14:textId="77777777" w:rsidR="00DB6E47" w:rsidRPr="00EB0CDE" w:rsidRDefault="00DB6E47" w:rsidP="00DB6E47">
      <w:pPr>
        <w:pStyle w:val="Amain"/>
      </w:pPr>
      <w:r w:rsidRPr="00EB0CDE">
        <w:tab/>
        <w:t>(2)</w:t>
      </w:r>
      <w:r w:rsidRPr="00EB0CDE">
        <w:tab/>
        <w:t>Without limiting subsection (1), the prescribed mass requirements may include the following—</w:t>
      </w:r>
    </w:p>
    <w:p w14:paraId="453C671B" w14:textId="77777777" w:rsidR="00DB6E47" w:rsidRPr="007D116E" w:rsidRDefault="00DB6E47" w:rsidP="00DB6E47">
      <w:pPr>
        <w:pStyle w:val="Apara"/>
      </w:pPr>
      <w:r w:rsidRPr="007D116E">
        <w:tab/>
        <w:t>(a)</w:t>
      </w:r>
      <w:r w:rsidRPr="007D116E">
        <w:tab/>
        <w:t>requirements about mass limits relating to—</w:t>
      </w:r>
    </w:p>
    <w:p w14:paraId="394C415D" w14:textId="77777777" w:rsidR="00DB6E47" w:rsidRPr="00516F02" w:rsidRDefault="00DB6E47" w:rsidP="00DB6E47">
      <w:pPr>
        <w:pStyle w:val="Asubpara"/>
      </w:pPr>
      <w:r w:rsidRPr="00516F02">
        <w:tab/>
        <w:t>(i)</w:t>
      </w:r>
      <w:r w:rsidRPr="00516F02">
        <w:tab/>
        <w:t>the tare mass of heavy vehicles; or</w:t>
      </w:r>
    </w:p>
    <w:p w14:paraId="3D745C5C" w14:textId="77777777" w:rsidR="00DB6E47" w:rsidRPr="00516F02" w:rsidRDefault="00DB6E47" w:rsidP="00DB6E47">
      <w:pPr>
        <w:pStyle w:val="Asubpara"/>
      </w:pPr>
      <w:r w:rsidRPr="00516F02">
        <w:tab/>
        <w:t>(ii)</w:t>
      </w:r>
      <w:r w:rsidRPr="00516F02">
        <w:tab/>
        <w:t>the mass of heavy vehicles together with their loads; or</w:t>
      </w:r>
    </w:p>
    <w:p w14:paraId="34080B84" w14:textId="77777777" w:rsidR="00DB6E47" w:rsidRPr="00516F02" w:rsidRDefault="00DB6E47" w:rsidP="00DB6E47">
      <w:pPr>
        <w:pStyle w:val="Asubpara"/>
      </w:pPr>
      <w:r w:rsidRPr="00516F02">
        <w:tab/>
        <w:t>(iii)</w:t>
      </w:r>
      <w:r w:rsidRPr="00516F02">
        <w:tab/>
        <w:t>the mass on tyres, axles or axle groups of heavy vehicles;</w:t>
      </w:r>
    </w:p>
    <w:p w14:paraId="33AE957B" w14:textId="77777777" w:rsidR="00A81C2F" w:rsidRPr="003323FC" w:rsidRDefault="00DB6E47" w:rsidP="00A81C2F">
      <w:pPr>
        <w:pStyle w:val="Apara"/>
      </w:pPr>
      <w:r w:rsidRPr="007D116E">
        <w:tab/>
        <w:t>(b)</w:t>
      </w:r>
      <w:r w:rsidRPr="007D116E">
        <w:tab/>
        <w:t xml:space="preserve">requirements about mass limits relating to axle </w:t>
      </w:r>
      <w:r w:rsidR="00A81C2F" w:rsidRPr="003323FC">
        <w:t>spacing;</w:t>
      </w:r>
    </w:p>
    <w:p w14:paraId="4BA950F2" w14:textId="77777777" w:rsidR="00A81C2F" w:rsidRPr="00A81C2F" w:rsidRDefault="00A81C2F" w:rsidP="00A81C2F">
      <w:pPr>
        <w:pStyle w:val="Apara"/>
        <w:rPr>
          <w:lang w:val="en" w:eastAsia="en-AU"/>
        </w:rPr>
      </w:pPr>
      <w:r>
        <w:rPr>
          <w:lang w:val="en" w:eastAsia="en-AU"/>
        </w:rPr>
        <w:tab/>
      </w:r>
      <w:r w:rsidRPr="00A81C2F">
        <w:rPr>
          <w:lang w:val="en" w:eastAsia="en-AU"/>
        </w:rPr>
        <w:t>(c)</w:t>
      </w:r>
      <w:r>
        <w:rPr>
          <w:lang w:val="en" w:eastAsia="en-AU"/>
        </w:rPr>
        <w:tab/>
      </w:r>
      <w:r w:rsidRPr="00A81C2F">
        <w:rPr>
          <w:lang w:val="en" w:eastAsia="en-AU"/>
        </w:rPr>
        <w:t>general mass limits applying to heavy vehicles or components of heavy vehicles.</w:t>
      </w:r>
    </w:p>
    <w:p w14:paraId="399335C5" w14:textId="77777777" w:rsidR="00DB6E47" w:rsidRPr="00EB0CDE" w:rsidRDefault="00DB6E47" w:rsidP="00DB6E47">
      <w:pPr>
        <w:pStyle w:val="Amain"/>
      </w:pPr>
      <w:r w:rsidRPr="00EB0CDE">
        <w:tab/>
        <w:t>(3)</w:t>
      </w:r>
      <w:r w:rsidRPr="00EB0CDE">
        <w:tab/>
        <w:t>Also, wi</w:t>
      </w:r>
      <w:r w:rsidR="004625A3">
        <w:t xml:space="preserve">thout limiting subsection </w:t>
      </w:r>
      <w:r w:rsidRPr="00EB0CDE">
        <w:t>(1)</w:t>
      </w:r>
      <w:r w:rsidR="004625A3">
        <w:t xml:space="preserve"> </w:t>
      </w:r>
      <w:r w:rsidRPr="00EB0CDE">
        <w:t>or (2), the prescribed mass requirements may—</w:t>
      </w:r>
    </w:p>
    <w:p w14:paraId="5F82A8F2" w14:textId="77777777" w:rsidR="00DB6E47" w:rsidRPr="007D116E" w:rsidRDefault="00DB6E47" w:rsidP="00DB6E47">
      <w:pPr>
        <w:pStyle w:val="Apara"/>
      </w:pPr>
      <w:r w:rsidRPr="007D116E">
        <w:tab/>
        <w:t>(a)</w:t>
      </w:r>
      <w:r w:rsidRPr="007D116E">
        <w:tab/>
        <w:t>include mass limits that are to apply only to particular areas or routes; and</w:t>
      </w:r>
    </w:p>
    <w:p w14:paraId="329838B6" w14:textId="77777777" w:rsidR="00DB6E47" w:rsidRPr="007D116E" w:rsidRDefault="00DB6E47" w:rsidP="00DB6E47">
      <w:pPr>
        <w:pStyle w:val="Apara"/>
      </w:pPr>
      <w:r w:rsidRPr="007D116E">
        <w:tab/>
        <w:t>(b)</w:t>
      </w:r>
      <w:r w:rsidRPr="007D116E">
        <w:tab/>
        <w:t>authorise or require the Regulator to decide the areas or routes to which the mass limits are to apply.</w:t>
      </w:r>
    </w:p>
    <w:p w14:paraId="14C46E12" w14:textId="77777777" w:rsidR="00DB6E47" w:rsidRPr="00EB0CDE" w:rsidRDefault="00DB6E47" w:rsidP="005C6D6D">
      <w:pPr>
        <w:pStyle w:val="Amain"/>
        <w:keepNext/>
      </w:pPr>
      <w:r w:rsidRPr="00EB0CDE">
        <w:lastRenderedPageBreak/>
        <w:tab/>
        <w:t>(4)</w:t>
      </w:r>
      <w:r w:rsidRPr="00EB0CDE">
        <w:tab/>
        <w:t>The national regulations may prescribe requirements (that are not prescribed mass requirements) about the use on roads of heavy vehicles under particular mass limits, including, for example—</w:t>
      </w:r>
    </w:p>
    <w:p w14:paraId="4EBF54BF" w14:textId="77777777" w:rsidR="00DB6E47" w:rsidRPr="007D116E" w:rsidRDefault="00DB6E47" w:rsidP="00332504">
      <w:pPr>
        <w:pStyle w:val="Apara"/>
        <w:keepLines/>
      </w:pPr>
      <w:r w:rsidRPr="007D116E">
        <w:tab/>
        <w:t>(a)</w:t>
      </w:r>
      <w:r w:rsidRPr="007D116E">
        <w:tab/>
        <w:t>a requirement that drivers of heavy vehicles using the vehicles under mass limits applying only to particular areas or routes decided by the Regulator must comply with conditions on the use of heavy vehicles on roads under the mass limits imposed by the Regulator (including conditions required by road managers for the roads); and</w:t>
      </w:r>
    </w:p>
    <w:p w14:paraId="1D2303AC" w14:textId="77777777" w:rsidR="00DB6E47" w:rsidRPr="007D116E" w:rsidRDefault="00DB6E47" w:rsidP="00DB6E47">
      <w:pPr>
        <w:pStyle w:val="Apara"/>
      </w:pPr>
      <w:r w:rsidRPr="007D116E">
        <w:tab/>
        <w:t>(b)</w:t>
      </w:r>
      <w:r w:rsidRPr="007D116E">
        <w:tab/>
        <w:t>a requirement that drivers of heavy vehicles who are driving the vehicles under particular mass limits must carry particular documents; and</w:t>
      </w:r>
    </w:p>
    <w:p w14:paraId="6350A09E" w14:textId="77777777" w:rsidR="00DB6E47" w:rsidRPr="007D116E" w:rsidRDefault="00DB6E47" w:rsidP="00DB6E47">
      <w:pPr>
        <w:pStyle w:val="Apara"/>
      </w:pPr>
      <w:r w:rsidRPr="007D116E">
        <w:tab/>
        <w:t>(c)</w:t>
      </w:r>
      <w:r w:rsidRPr="007D116E">
        <w:tab/>
        <w:t>a requirement that a particular document or other thing must be displayed on heavy vehicles used under particular mass limits.</w:t>
      </w:r>
    </w:p>
    <w:p w14:paraId="272EC403" w14:textId="77777777" w:rsidR="00DB6E47" w:rsidRPr="00EB0CDE" w:rsidRDefault="00DB6E47" w:rsidP="00DB6E47">
      <w:pPr>
        <w:pStyle w:val="Amain"/>
      </w:pPr>
      <w:r w:rsidRPr="00EB0CDE">
        <w:tab/>
        <w:t>(5)</w:t>
      </w:r>
      <w:r w:rsidRPr="00EB0CDE">
        <w:tab/>
        <w:t>In this section—</w:t>
      </w:r>
    </w:p>
    <w:p w14:paraId="48226F2C" w14:textId="77777777" w:rsidR="00DB6E47" w:rsidRPr="00041046" w:rsidRDefault="00DB6E47" w:rsidP="00DB6E47">
      <w:pPr>
        <w:pStyle w:val="aDef"/>
        <w:rPr>
          <w:bCs/>
        </w:rPr>
      </w:pPr>
      <w:r w:rsidRPr="00041046">
        <w:rPr>
          <w:rStyle w:val="charBoldItals"/>
        </w:rPr>
        <w:t>tare mass</w:t>
      </w:r>
      <w:r w:rsidRPr="00041046">
        <w:t>, of a heavy vehicle, means the mass of the vehicle that—</w:t>
      </w:r>
    </w:p>
    <w:p w14:paraId="6C0FBAC8" w14:textId="77777777" w:rsidR="00DB6E47" w:rsidRPr="004625A3" w:rsidRDefault="00DB6E47" w:rsidP="00DB6E47">
      <w:pPr>
        <w:pStyle w:val="aDefpara"/>
      </w:pPr>
      <w:r w:rsidRPr="00F04D8E">
        <w:rPr>
          <w:rFonts w:cs="Times"/>
          <w:bCs/>
          <w:iCs/>
        </w:rPr>
        <w:tab/>
        <w:t>(a)</w:t>
      </w:r>
      <w:r w:rsidRPr="004625A3">
        <w:tab/>
        <w:t>is ready for service; and</w:t>
      </w:r>
    </w:p>
    <w:p w14:paraId="327D75A8" w14:textId="77777777" w:rsidR="00DB6E47" w:rsidRPr="004625A3" w:rsidRDefault="00DB6E47" w:rsidP="00DB6E47">
      <w:pPr>
        <w:pStyle w:val="aDefpara"/>
      </w:pPr>
      <w:r w:rsidRPr="004625A3">
        <w:tab/>
        <w:t>(b)</w:t>
      </w:r>
      <w:r w:rsidRPr="004625A3">
        <w:tab/>
        <w:t>is fitted with all standard equipment, together with any options that are fitted; and</w:t>
      </w:r>
    </w:p>
    <w:p w14:paraId="12177032" w14:textId="77777777" w:rsidR="00DB6E47" w:rsidRPr="004625A3" w:rsidRDefault="00DB6E47" w:rsidP="00DB6E47">
      <w:pPr>
        <w:pStyle w:val="aDefpara"/>
      </w:pPr>
      <w:r w:rsidRPr="004625A3">
        <w:tab/>
        <w:t>(c)</w:t>
      </w:r>
      <w:r w:rsidRPr="004625A3">
        <w:tab/>
        <w:t>is unoccupied and unladen; and</w:t>
      </w:r>
    </w:p>
    <w:p w14:paraId="2837F08D" w14:textId="77777777" w:rsidR="00DB6E47" w:rsidRPr="004625A3" w:rsidRDefault="00DB6E47" w:rsidP="00DB6E47">
      <w:pPr>
        <w:pStyle w:val="aDefpara"/>
      </w:pPr>
      <w:r w:rsidRPr="004625A3">
        <w:tab/>
        <w:t>(d)</w:t>
      </w:r>
      <w:r w:rsidRPr="004625A3">
        <w:tab/>
        <w:t>has all fluid reservoirs (other than for fuel) filled to nominal capacity; and</w:t>
      </w:r>
    </w:p>
    <w:p w14:paraId="05142885" w14:textId="77777777" w:rsidR="00DB6E47" w:rsidRPr="004625A3" w:rsidRDefault="00DB6E47" w:rsidP="00DB6E47">
      <w:pPr>
        <w:pStyle w:val="aDefpara"/>
      </w:pPr>
      <w:r w:rsidRPr="004625A3">
        <w:tab/>
        <w:t>(e)</w:t>
      </w:r>
      <w:r w:rsidRPr="004625A3">
        <w:tab/>
        <w:t xml:space="preserve">has 10 litres of fuel in the fuel reservoir or reservoirs (but excluding any loaded fuel in excess of 10 litres). </w:t>
      </w:r>
    </w:p>
    <w:p w14:paraId="71631AE1" w14:textId="77777777" w:rsidR="00DB6E47" w:rsidRPr="007E1F9A" w:rsidRDefault="00DB6E47" w:rsidP="00DB6E47">
      <w:pPr>
        <w:pStyle w:val="AH5Sec"/>
      </w:pPr>
      <w:bookmarkStart w:id="102" w:name="_Toc83625446"/>
      <w:r w:rsidRPr="005E03F7">
        <w:rPr>
          <w:rStyle w:val="CharSectNo"/>
        </w:rPr>
        <w:lastRenderedPageBreak/>
        <w:t>96</w:t>
      </w:r>
      <w:r w:rsidRPr="007E1F9A">
        <w:tab/>
        <w:t>Compliance with mass requirements</w:t>
      </w:r>
      <w:bookmarkEnd w:id="102"/>
    </w:p>
    <w:p w14:paraId="020B1C28" w14:textId="77777777" w:rsidR="00DB6E47" w:rsidRPr="00EB0CDE" w:rsidRDefault="00DB6E47" w:rsidP="002F2703">
      <w:pPr>
        <w:pStyle w:val="Amain"/>
        <w:keepNext/>
        <w:keepLines/>
      </w:pPr>
      <w:r w:rsidRPr="00EB0CDE">
        <w:tab/>
        <w:t>(1)</w:t>
      </w:r>
      <w:r w:rsidRPr="00EB0CDE">
        <w:tab/>
      </w:r>
      <w:r w:rsidR="008F139B" w:rsidRPr="003323FC">
        <w:t>A person who drives, or permits another person to drive, a heavy vehicle on a road must ensure the vehicle, and the vehicle’s components and load, comply with the mass requirements applying to the vehicle, unless the person has a reasonable excuse.</w:t>
      </w:r>
    </w:p>
    <w:p w14:paraId="7F43EC17" w14:textId="77777777" w:rsidR="00DB6E47" w:rsidRPr="006C3305" w:rsidRDefault="00DB6E47" w:rsidP="00DB6E47">
      <w:pPr>
        <w:pStyle w:val="Penalty"/>
      </w:pPr>
      <w:r w:rsidRPr="006C3305">
        <w:t>Maximum penalty—</w:t>
      </w:r>
    </w:p>
    <w:p w14:paraId="6BC52C16" w14:textId="77777777" w:rsidR="00DB6E47" w:rsidRPr="006C3305" w:rsidRDefault="00DB6E47" w:rsidP="00DB6E47">
      <w:pPr>
        <w:pStyle w:val="PenaltyPara"/>
      </w:pPr>
      <w:r>
        <w:tab/>
      </w:r>
      <w:r w:rsidRPr="00352CBD">
        <w:t>(a)</w:t>
      </w:r>
      <w:r w:rsidRPr="006C3305">
        <w:tab/>
        <w:t>for a minor risk breach—$4000; or</w:t>
      </w:r>
    </w:p>
    <w:p w14:paraId="063930F8" w14:textId="77777777" w:rsidR="00DB6E47" w:rsidRPr="006C3305" w:rsidRDefault="00DB6E47" w:rsidP="00DB6E47">
      <w:pPr>
        <w:pStyle w:val="PenaltyPara"/>
      </w:pPr>
      <w:r>
        <w:tab/>
      </w:r>
      <w:r w:rsidRPr="00352CBD">
        <w:t>(b)</w:t>
      </w:r>
      <w:r w:rsidRPr="006C3305">
        <w:tab/>
        <w:t>for a substantial risk breach—$6000; or</w:t>
      </w:r>
    </w:p>
    <w:p w14:paraId="5B186000" w14:textId="77777777" w:rsidR="00DB6E47" w:rsidRPr="006C3305" w:rsidRDefault="00DB6E47" w:rsidP="00DB6E47">
      <w:pPr>
        <w:pStyle w:val="PenaltyPara"/>
      </w:pPr>
      <w:r>
        <w:tab/>
      </w:r>
      <w:r w:rsidRPr="00352CBD">
        <w:t>(c)</w:t>
      </w:r>
      <w:r w:rsidRPr="006C3305">
        <w:tab/>
        <w:t>for a severe risk breach—$10000, plus an additional maximum $500 for every additional 1% over a 120% overload (but so that the additional maximum penalty does not exceed $20000).</w:t>
      </w:r>
    </w:p>
    <w:p w14:paraId="5127CBE5" w14:textId="77777777" w:rsidR="00DB6E47" w:rsidRPr="00EB0CDE" w:rsidRDefault="00DB6E47" w:rsidP="00DB6E47">
      <w:pPr>
        <w:pStyle w:val="Amain"/>
      </w:pPr>
      <w:r w:rsidRPr="00EB0CDE">
        <w:tab/>
        <w:t>(4)</w:t>
      </w:r>
      <w:r w:rsidRPr="00EB0CDE">
        <w:tab/>
        <w:t>If a PBS vehicle is authorised by its PBS vehicle approval to have a mass limit that exceeds a limit that would otherwise apply to the vehicle under a prescribed mass requirement, the authorised limit is taken to be the applicable limit, and the vehicle is regarded for the purposes of this Law as complying with the prescribed mass requirement.</w:t>
      </w:r>
    </w:p>
    <w:p w14:paraId="4537DA99" w14:textId="0822C830" w:rsidR="00F35D25" w:rsidRPr="00192724" w:rsidRDefault="00F35D25" w:rsidP="00192724">
      <w:pPr>
        <w:pStyle w:val="Amain"/>
      </w:pPr>
      <w:r w:rsidRPr="00192724">
        <w:tab/>
        <w:t>(4A)</w:t>
      </w:r>
      <w:r w:rsidRPr="00192724">
        <w:tab/>
        <w:t>However, if a PBS vehicle is driven on a road other than in accordance with a class 2 heavy vehicle authorisation—</w:t>
      </w:r>
    </w:p>
    <w:p w14:paraId="0AC9EFC2" w14:textId="11B1D91D" w:rsidR="00F35D25" w:rsidRPr="00F35D25" w:rsidRDefault="00F35D25" w:rsidP="00F35D25">
      <w:pPr>
        <w:pStyle w:val="Apara"/>
        <w:rPr>
          <w:lang w:eastAsia="en-AU"/>
        </w:rPr>
      </w:pPr>
      <w:r>
        <w:rPr>
          <w:lang w:eastAsia="en-AU"/>
        </w:rPr>
        <w:tab/>
      </w:r>
      <w:r w:rsidRPr="00F35D25">
        <w:rPr>
          <w:lang w:eastAsia="en-AU"/>
        </w:rPr>
        <w:t>(a)</w:t>
      </w:r>
      <w:r>
        <w:rPr>
          <w:lang w:eastAsia="en-AU"/>
        </w:rPr>
        <w:tab/>
      </w:r>
      <w:r w:rsidRPr="00F35D25">
        <w:rPr>
          <w:lang w:eastAsia="en-AU"/>
        </w:rPr>
        <w:t>subsection (4) does not apply to the vehicle; and</w:t>
      </w:r>
    </w:p>
    <w:p w14:paraId="7FFFA696" w14:textId="01245951" w:rsidR="00F35D25" w:rsidRPr="00F35D25" w:rsidRDefault="00F35D25" w:rsidP="00F35D25">
      <w:pPr>
        <w:pStyle w:val="Apara"/>
        <w:rPr>
          <w:lang w:eastAsia="en-AU"/>
        </w:rPr>
      </w:pPr>
      <w:r>
        <w:rPr>
          <w:lang w:eastAsia="en-AU"/>
        </w:rPr>
        <w:tab/>
      </w:r>
      <w:r w:rsidRPr="00F35D25">
        <w:rPr>
          <w:lang w:eastAsia="en-AU"/>
        </w:rPr>
        <w:t>(b)</w:t>
      </w:r>
      <w:r>
        <w:rPr>
          <w:lang w:eastAsia="en-AU"/>
        </w:rPr>
        <w:tab/>
      </w:r>
      <w:r w:rsidRPr="00F35D25">
        <w:rPr>
          <w:lang w:eastAsia="en-AU"/>
        </w:rPr>
        <w:t>the mass limit that would otherwise apply to the vehicle under a prescribed mass requirement applies to the vehicle.</w:t>
      </w:r>
    </w:p>
    <w:p w14:paraId="7EC5FF9B" w14:textId="37939D71" w:rsidR="0092385B" w:rsidRPr="0092385B" w:rsidRDefault="0092385B" w:rsidP="0092385B">
      <w:pPr>
        <w:pStyle w:val="Amain"/>
        <w:rPr>
          <w:lang w:val="en" w:eastAsia="en-AU"/>
        </w:rPr>
      </w:pPr>
      <w:r>
        <w:rPr>
          <w:lang w:val="en" w:eastAsia="en-AU"/>
        </w:rPr>
        <w:tab/>
      </w:r>
      <w:r w:rsidRPr="0092385B">
        <w:rPr>
          <w:lang w:val="en" w:eastAsia="en-AU"/>
        </w:rPr>
        <w:t>(5)</w:t>
      </w:r>
      <w:r>
        <w:rPr>
          <w:lang w:val="en" w:eastAsia="en-AU"/>
        </w:rPr>
        <w:tab/>
      </w:r>
      <w:r w:rsidRPr="0092385B">
        <w:rPr>
          <w:lang w:val="en" w:eastAsia="en-AU"/>
        </w:rPr>
        <w:t>This section does not apply to a specified PBS vehicle as defined in section 136(2).</w:t>
      </w:r>
    </w:p>
    <w:p w14:paraId="0CEBE156" w14:textId="77777777" w:rsidR="0092385B" w:rsidRPr="0092385B" w:rsidRDefault="0092385B" w:rsidP="0092385B">
      <w:pPr>
        <w:pStyle w:val="aNote"/>
        <w:rPr>
          <w:lang w:val="en" w:eastAsia="en-AU"/>
        </w:rPr>
      </w:pPr>
      <w:r w:rsidRPr="0092385B">
        <w:rPr>
          <w:rStyle w:val="charItals"/>
        </w:rPr>
        <w:t>Note</w:t>
      </w:r>
      <w:r w:rsidRPr="0092385B">
        <w:rPr>
          <w:lang w:val="en" w:eastAsia="en-AU"/>
        </w:rPr>
        <w:t>—</w:t>
      </w:r>
    </w:p>
    <w:p w14:paraId="503055D1" w14:textId="77777777" w:rsidR="0092385B" w:rsidRPr="0092385B" w:rsidRDefault="0092385B" w:rsidP="0092385B">
      <w:pPr>
        <w:pStyle w:val="aNoteTextss"/>
        <w:rPr>
          <w:lang w:val="en" w:eastAsia="en-AU"/>
        </w:rPr>
      </w:pPr>
      <w:r w:rsidRPr="0092385B">
        <w:rPr>
          <w:lang w:val="en" w:eastAsia="en-AU"/>
        </w:rPr>
        <w:t>If a specified PBS vehicle does not comply with the mass requirements applying to the vehicle, it would be a class 2 heavy vehicle and could be dealt with under section 137.</w:t>
      </w:r>
    </w:p>
    <w:p w14:paraId="695907E4" w14:textId="77777777" w:rsidR="00DB6E47" w:rsidRPr="005E03F7" w:rsidRDefault="00DB6E47" w:rsidP="00DB6E47">
      <w:pPr>
        <w:pStyle w:val="AH3Div"/>
      </w:pPr>
      <w:bookmarkStart w:id="103" w:name="_Toc83625447"/>
      <w:r w:rsidRPr="005E03F7">
        <w:rPr>
          <w:rStyle w:val="CharDivNo"/>
        </w:rPr>
        <w:lastRenderedPageBreak/>
        <w:t>Division 2</w:t>
      </w:r>
      <w:r w:rsidRPr="00A95F9A">
        <w:rPr>
          <w:rFonts w:ascii="Helvetica" w:hAnsi="Helvetica" w:cs="Helvetica"/>
          <w:iCs/>
          <w:szCs w:val="28"/>
        </w:rPr>
        <w:tab/>
      </w:r>
      <w:r w:rsidRPr="005E03F7">
        <w:rPr>
          <w:rStyle w:val="CharDivText"/>
          <w:rFonts w:ascii="Helvetica" w:hAnsi="Helvetica" w:cs="Helvetica"/>
          <w:iCs/>
          <w:szCs w:val="28"/>
        </w:rPr>
        <w:t>Categories of breaches of mass requirements</w:t>
      </w:r>
      <w:bookmarkEnd w:id="103"/>
    </w:p>
    <w:p w14:paraId="1790B549" w14:textId="77777777" w:rsidR="00DB6E47" w:rsidRPr="007E1F9A" w:rsidRDefault="00DB6E47" w:rsidP="00DB6E47">
      <w:pPr>
        <w:pStyle w:val="AH5Sec"/>
      </w:pPr>
      <w:bookmarkStart w:id="104" w:name="_Toc83625448"/>
      <w:r w:rsidRPr="005E03F7">
        <w:rPr>
          <w:rStyle w:val="CharSectNo"/>
        </w:rPr>
        <w:t>97</w:t>
      </w:r>
      <w:r w:rsidRPr="007E1F9A">
        <w:tab/>
        <w:t>Definitions for Div 2</w:t>
      </w:r>
      <w:bookmarkEnd w:id="104"/>
    </w:p>
    <w:p w14:paraId="258763E0" w14:textId="77777777" w:rsidR="00DB6E47" w:rsidRPr="00EB0CDE" w:rsidRDefault="00DB6E47" w:rsidP="00154559">
      <w:pPr>
        <w:pStyle w:val="Amainreturn"/>
        <w:keepNext/>
        <w:keepLines/>
      </w:pPr>
      <w:r w:rsidRPr="00EB0CDE">
        <w:t>In this Division—</w:t>
      </w:r>
    </w:p>
    <w:p w14:paraId="560F3E3F" w14:textId="77777777" w:rsidR="00DB6E47" w:rsidRPr="00041046" w:rsidRDefault="00DB6E47" w:rsidP="00154559">
      <w:pPr>
        <w:pStyle w:val="aDef"/>
        <w:keepNext/>
        <w:keepLines/>
        <w:rPr>
          <w:bCs/>
        </w:rPr>
      </w:pPr>
      <w:r w:rsidRPr="00041046">
        <w:rPr>
          <w:rStyle w:val="charBoldItals"/>
        </w:rPr>
        <w:t>severe risk breach lower limit</w:t>
      </w:r>
      <w:r w:rsidRPr="00041046">
        <w:t>, for a particular mass requirement applying to a heavy vehicle, means a mass equalling 120% of the maximum mass (rounded up to the nearest 0.1t) permitted for the vehicle under that mass requirement.</w:t>
      </w:r>
    </w:p>
    <w:p w14:paraId="21D3E7BB" w14:textId="77777777" w:rsidR="00DB6E47" w:rsidRPr="00041046" w:rsidRDefault="00DB6E47" w:rsidP="00332504">
      <w:pPr>
        <w:pStyle w:val="aDef"/>
        <w:keepNext/>
        <w:rPr>
          <w:bCs/>
        </w:rPr>
      </w:pPr>
      <w:r w:rsidRPr="00041046">
        <w:rPr>
          <w:rStyle w:val="charBoldItals"/>
        </w:rPr>
        <w:t>substantial risk breach lower limit</w:t>
      </w:r>
      <w:r w:rsidRPr="00041046">
        <w:t>, for a particular mass requirement applying to a heavy vehicle, means the higher of the following—</w:t>
      </w:r>
    </w:p>
    <w:p w14:paraId="596DB98A" w14:textId="77777777" w:rsidR="00DB6E47" w:rsidRPr="004625A3" w:rsidRDefault="00DB6E47" w:rsidP="00DB6E47">
      <w:pPr>
        <w:pStyle w:val="aDefpara"/>
      </w:pPr>
      <w:r w:rsidRPr="00FF4454">
        <w:tab/>
      </w:r>
      <w:r w:rsidRPr="00F04D8E">
        <w:rPr>
          <w:rFonts w:cs="Times"/>
          <w:bCs/>
          <w:iCs/>
        </w:rPr>
        <w:t>(a)</w:t>
      </w:r>
      <w:r w:rsidRPr="004625A3">
        <w:tab/>
        <w:t>a mass equalling 105% of the maximum mass (rounded up to the nearest 0.1t) permitted for the vehicle under that mass requirement;</w:t>
      </w:r>
    </w:p>
    <w:p w14:paraId="6173BD58" w14:textId="77777777" w:rsidR="00DB6E47" w:rsidRPr="004625A3" w:rsidRDefault="00DB6E47" w:rsidP="00DB6E47">
      <w:pPr>
        <w:pStyle w:val="aDefpara"/>
      </w:pPr>
      <w:r w:rsidRPr="004625A3">
        <w:tab/>
        <w:t>(b)</w:t>
      </w:r>
      <w:r w:rsidRPr="004625A3">
        <w:tab/>
        <w:t>0.5t.</w:t>
      </w:r>
    </w:p>
    <w:p w14:paraId="3033CD7C" w14:textId="77777777" w:rsidR="00DB6E47" w:rsidRPr="007E1F9A" w:rsidRDefault="00DB6E47" w:rsidP="00DB6E47">
      <w:pPr>
        <w:pStyle w:val="AH5Sec"/>
      </w:pPr>
      <w:bookmarkStart w:id="105" w:name="_Toc83625449"/>
      <w:r w:rsidRPr="005E03F7">
        <w:rPr>
          <w:rStyle w:val="CharSectNo"/>
        </w:rPr>
        <w:t>98</w:t>
      </w:r>
      <w:r w:rsidRPr="007E1F9A">
        <w:tab/>
        <w:t>Minor risk breach</w:t>
      </w:r>
      <w:bookmarkEnd w:id="105"/>
    </w:p>
    <w:p w14:paraId="4E5ED2D5" w14:textId="77777777" w:rsidR="00DB6E47" w:rsidRPr="00EB0CDE" w:rsidRDefault="00DB6E47" w:rsidP="00DB6E47">
      <w:pPr>
        <w:pStyle w:val="Amainreturn"/>
      </w:pPr>
      <w:r w:rsidRPr="00EB0CDE">
        <w:t xml:space="preserve">A contravention of a mass requirement applying to a heavy vehicle is a </w:t>
      </w:r>
      <w:r w:rsidRPr="00FF4454">
        <w:rPr>
          <w:rStyle w:val="charBoldItals"/>
        </w:rPr>
        <w:t>minor risk breach</w:t>
      </w:r>
      <w:r w:rsidRPr="00EB0CDE">
        <w:t xml:space="preserve"> if the subject matter of the contravention is less than the substantial risk breach lower limit for the requirement.</w:t>
      </w:r>
    </w:p>
    <w:p w14:paraId="26CB057B" w14:textId="77777777" w:rsidR="00DB6E47" w:rsidRPr="007E1F9A" w:rsidRDefault="00DB6E47" w:rsidP="00DB6E47">
      <w:pPr>
        <w:pStyle w:val="AH5Sec"/>
      </w:pPr>
      <w:bookmarkStart w:id="106" w:name="_Toc83625450"/>
      <w:r w:rsidRPr="005E03F7">
        <w:rPr>
          <w:rStyle w:val="CharSectNo"/>
        </w:rPr>
        <w:t>99</w:t>
      </w:r>
      <w:r w:rsidRPr="007E1F9A">
        <w:tab/>
        <w:t>Substantial risk breach</w:t>
      </w:r>
      <w:bookmarkEnd w:id="106"/>
    </w:p>
    <w:p w14:paraId="559DF9D4" w14:textId="77777777" w:rsidR="00DB6E47" w:rsidRPr="006C3305" w:rsidRDefault="00DB6E47" w:rsidP="00DB6E47">
      <w:pPr>
        <w:pStyle w:val="Amainreturn"/>
      </w:pPr>
      <w:r w:rsidRPr="006C3305">
        <w:t xml:space="preserve">A contravention of a mass requirement applying to a heavy vehicle is a </w:t>
      </w:r>
      <w:r w:rsidRPr="00FF4454">
        <w:rPr>
          <w:rStyle w:val="charBoldItals"/>
        </w:rPr>
        <w:t>substantial risk breach</w:t>
      </w:r>
      <w:r w:rsidRPr="006C3305">
        <w:t xml:space="preserve"> if the subject matter of the contravention is—</w:t>
      </w:r>
    </w:p>
    <w:p w14:paraId="2886120F" w14:textId="77777777" w:rsidR="00DB6E47" w:rsidRPr="007D116E" w:rsidRDefault="00DB6E47" w:rsidP="00DB6E47">
      <w:pPr>
        <w:pStyle w:val="Apara"/>
      </w:pPr>
      <w:r w:rsidRPr="007D116E">
        <w:tab/>
        <w:t>(a)</w:t>
      </w:r>
      <w:r w:rsidRPr="007D116E">
        <w:tab/>
        <w:t>equal to or greater than the substantial risk breach lower limit for the requirement; and</w:t>
      </w:r>
    </w:p>
    <w:p w14:paraId="3A6F8D56" w14:textId="77777777" w:rsidR="00DB6E47" w:rsidRPr="007D116E" w:rsidRDefault="00DB6E47" w:rsidP="00DB6E47">
      <w:pPr>
        <w:pStyle w:val="Apara"/>
      </w:pPr>
      <w:r w:rsidRPr="007D116E">
        <w:tab/>
        <w:t>(b)</w:t>
      </w:r>
      <w:r w:rsidRPr="007D116E">
        <w:tab/>
        <w:t>less than the severe risk breach lower limit for the requirement.</w:t>
      </w:r>
    </w:p>
    <w:p w14:paraId="648DE572" w14:textId="77777777" w:rsidR="00DB6E47" w:rsidRPr="007E1F9A" w:rsidRDefault="00DB6E47" w:rsidP="00DB6E47">
      <w:pPr>
        <w:pStyle w:val="AH5Sec"/>
      </w:pPr>
      <w:bookmarkStart w:id="107" w:name="_Toc83625451"/>
      <w:r w:rsidRPr="005E03F7">
        <w:rPr>
          <w:rStyle w:val="CharSectNo"/>
        </w:rPr>
        <w:lastRenderedPageBreak/>
        <w:t>100</w:t>
      </w:r>
      <w:r w:rsidRPr="007E1F9A">
        <w:tab/>
        <w:t>Severe risk breach</w:t>
      </w:r>
      <w:bookmarkEnd w:id="107"/>
    </w:p>
    <w:p w14:paraId="32A83203" w14:textId="77777777" w:rsidR="00DB6E47" w:rsidRPr="006C3305" w:rsidRDefault="00DB6E47" w:rsidP="00DB6E47">
      <w:pPr>
        <w:pStyle w:val="Amainreturn"/>
      </w:pPr>
      <w:r w:rsidRPr="006C3305">
        <w:t xml:space="preserve">A contravention of a mass requirement applying to a heavy vehicle is a </w:t>
      </w:r>
      <w:r w:rsidRPr="00FF4454">
        <w:rPr>
          <w:rStyle w:val="charBoldItals"/>
        </w:rPr>
        <w:t>severe risk breach</w:t>
      </w:r>
      <w:r w:rsidRPr="006C3305">
        <w:t xml:space="preserve"> if the subject matter of the contravention is equal to or greater than the severe risk breach lower limit for the requirement.</w:t>
      </w:r>
    </w:p>
    <w:p w14:paraId="799370A2" w14:textId="77777777" w:rsidR="00DB6E47" w:rsidRPr="003D647F" w:rsidRDefault="00DB6E47" w:rsidP="00DB6E47">
      <w:pPr>
        <w:pStyle w:val="PageBreak"/>
      </w:pPr>
      <w:r w:rsidRPr="003D647F">
        <w:br w:type="page"/>
      </w:r>
    </w:p>
    <w:p w14:paraId="2854E4FF" w14:textId="77777777" w:rsidR="00DB6E47" w:rsidRPr="005E03F7" w:rsidRDefault="00DB6E47" w:rsidP="00DB6E47">
      <w:pPr>
        <w:pStyle w:val="AH2Part"/>
      </w:pPr>
      <w:bookmarkStart w:id="108" w:name="_Toc83625452"/>
      <w:r w:rsidRPr="005E03F7">
        <w:rPr>
          <w:rStyle w:val="CharPartNo"/>
        </w:rPr>
        <w:lastRenderedPageBreak/>
        <w:t>Part 4.3</w:t>
      </w:r>
      <w:r w:rsidRPr="00A95F9A">
        <w:rPr>
          <w:rFonts w:ascii="Helvetica" w:hAnsi="Helvetica" w:cs="Helvetica"/>
          <w:iCs/>
          <w:szCs w:val="32"/>
        </w:rPr>
        <w:tab/>
      </w:r>
      <w:r w:rsidRPr="005E03F7">
        <w:rPr>
          <w:rStyle w:val="CharPartText"/>
          <w:rFonts w:ascii="Helvetica" w:hAnsi="Helvetica" w:cs="Helvetica"/>
          <w:iCs/>
          <w:szCs w:val="32"/>
        </w:rPr>
        <w:t>Dimension requirements</w:t>
      </w:r>
      <w:bookmarkEnd w:id="108"/>
    </w:p>
    <w:p w14:paraId="5BE1E513" w14:textId="77777777" w:rsidR="00DB6E47" w:rsidRPr="005E03F7" w:rsidRDefault="00DB6E47" w:rsidP="00DB6E47">
      <w:pPr>
        <w:pStyle w:val="AH3Div"/>
      </w:pPr>
      <w:bookmarkStart w:id="109" w:name="_Toc83625453"/>
      <w:r w:rsidRPr="005E03F7">
        <w:rPr>
          <w:rStyle w:val="CharDivNo"/>
        </w:rPr>
        <w:t>Division 1</w:t>
      </w:r>
      <w:r w:rsidRPr="00A95F9A">
        <w:rPr>
          <w:rFonts w:ascii="Helvetica" w:hAnsi="Helvetica" w:cs="Helvetica"/>
          <w:iCs/>
          <w:szCs w:val="28"/>
        </w:rPr>
        <w:tab/>
      </w:r>
      <w:r w:rsidRPr="005E03F7">
        <w:rPr>
          <w:rStyle w:val="CharDivText"/>
          <w:rFonts w:ascii="Helvetica" w:hAnsi="Helvetica" w:cs="Helvetica"/>
          <w:iCs/>
          <w:szCs w:val="28"/>
        </w:rPr>
        <w:t>Requirements</w:t>
      </w:r>
      <w:bookmarkEnd w:id="109"/>
    </w:p>
    <w:p w14:paraId="041DECF6" w14:textId="77777777" w:rsidR="00DB6E47" w:rsidRPr="007E1F9A" w:rsidRDefault="00DB6E47" w:rsidP="00DB6E47">
      <w:pPr>
        <w:pStyle w:val="AH5Sec"/>
      </w:pPr>
      <w:bookmarkStart w:id="110" w:name="_Toc83625454"/>
      <w:r w:rsidRPr="005E03F7">
        <w:rPr>
          <w:rStyle w:val="CharSectNo"/>
        </w:rPr>
        <w:t>101</w:t>
      </w:r>
      <w:r w:rsidRPr="007E1F9A">
        <w:tab/>
        <w:t>Prescribed dimension requirements</w:t>
      </w:r>
      <w:bookmarkEnd w:id="110"/>
    </w:p>
    <w:p w14:paraId="0B1851CB" w14:textId="77777777" w:rsidR="00DB6E47" w:rsidRPr="006C3305" w:rsidRDefault="00DB6E47" w:rsidP="00DB6E47">
      <w:pPr>
        <w:pStyle w:val="Amain"/>
      </w:pPr>
      <w:r>
        <w:tab/>
        <w:t>(</w:t>
      </w:r>
      <w:r w:rsidRPr="006C3305">
        <w:t>1)</w:t>
      </w:r>
      <w:r w:rsidRPr="006C3305">
        <w:tab/>
        <w:t xml:space="preserve">The national regulations may prescribe requirements (the </w:t>
      </w:r>
      <w:r w:rsidRPr="00FF4454">
        <w:rPr>
          <w:rStyle w:val="charBoldItals"/>
        </w:rPr>
        <w:t>prescribed dimension requirements</w:t>
      </w:r>
      <w:r w:rsidRPr="006C3305">
        <w:t>) about the following—</w:t>
      </w:r>
    </w:p>
    <w:p w14:paraId="3F06839B" w14:textId="77777777" w:rsidR="00DB6E47" w:rsidRPr="007D116E" w:rsidRDefault="00DB6E47" w:rsidP="00DB6E47">
      <w:pPr>
        <w:pStyle w:val="Apara"/>
      </w:pPr>
      <w:r w:rsidRPr="007D116E">
        <w:tab/>
        <w:t>(a)</w:t>
      </w:r>
      <w:r w:rsidRPr="007D116E">
        <w:tab/>
        <w:t>the dimensions of a heavy vehicle (together with its equipment);</w:t>
      </w:r>
    </w:p>
    <w:p w14:paraId="77F3A740" w14:textId="77777777" w:rsidR="00DB6E47" w:rsidRPr="007D116E" w:rsidRDefault="00DB6E47" w:rsidP="00DB6E47">
      <w:pPr>
        <w:pStyle w:val="Apara"/>
      </w:pPr>
      <w:r w:rsidRPr="007D116E">
        <w:tab/>
        <w:t>(b)</w:t>
      </w:r>
      <w:r w:rsidRPr="007D116E">
        <w:tab/>
        <w:t>the dimensions of a component of a heavy vehicle;</w:t>
      </w:r>
    </w:p>
    <w:p w14:paraId="59642933" w14:textId="77777777" w:rsidR="00DB6E47" w:rsidRPr="007D116E" w:rsidRDefault="00DB6E47" w:rsidP="00DB6E47">
      <w:pPr>
        <w:pStyle w:val="Apara"/>
      </w:pPr>
      <w:r w:rsidRPr="007D116E">
        <w:tab/>
        <w:t>(c)</w:t>
      </w:r>
      <w:r w:rsidRPr="007D116E">
        <w:tab/>
        <w:t>the dimensions of a heavy vehicle’s load.</w:t>
      </w:r>
    </w:p>
    <w:p w14:paraId="728D798B" w14:textId="77777777" w:rsidR="00DB6E47" w:rsidRPr="006C3305" w:rsidRDefault="00DB6E47" w:rsidP="00DB6E47">
      <w:pPr>
        <w:pStyle w:val="Amain"/>
      </w:pPr>
      <w:r>
        <w:tab/>
        <w:t>(</w:t>
      </w:r>
      <w:r w:rsidRPr="006C3305">
        <w:t>2)</w:t>
      </w:r>
      <w:r w:rsidRPr="006C3305">
        <w:tab/>
        <w:t>Without limiting subsection (1), the prescribed dimension requirements may include requirements about the following—</w:t>
      </w:r>
    </w:p>
    <w:p w14:paraId="387CB88A" w14:textId="77777777" w:rsidR="00DB6E47" w:rsidRPr="007D116E" w:rsidRDefault="00DB6E47" w:rsidP="00DB6E47">
      <w:pPr>
        <w:pStyle w:val="Apara"/>
      </w:pPr>
      <w:r w:rsidRPr="007D116E">
        <w:tab/>
        <w:t>(a)</w:t>
      </w:r>
      <w:r w:rsidRPr="007D116E">
        <w:tab/>
        <w:t>the dimensions of a heavy vehicle (together with its equipment) disregarding its load;</w:t>
      </w:r>
    </w:p>
    <w:p w14:paraId="23C06777" w14:textId="77777777" w:rsidR="00DB6E47" w:rsidRPr="007D116E" w:rsidRDefault="00DB6E47" w:rsidP="00DB6E47">
      <w:pPr>
        <w:pStyle w:val="Apara"/>
      </w:pPr>
      <w:r w:rsidRPr="007D116E">
        <w:tab/>
        <w:t>(b)</w:t>
      </w:r>
      <w:r w:rsidRPr="007D116E">
        <w:tab/>
        <w:t>the dimensions of a heavy vehicle together with its equipment and load;</w:t>
      </w:r>
    </w:p>
    <w:p w14:paraId="274E1833" w14:textId="77777777" w:rsidR="00DB6E47" w:rsidRPr="007D116E" w:rsidRDefault="00DB6E47" w:rsidP="00DB6E47">
      <w:pPr>
        <w:pStyle w:val="Apara"/>
      </w:pPr>
      <w:r w:rsidRPr="007D116E">
        <w:tab/>
        <w:t>(c)</w:t>
      </w:r>
      <w:r w:rsidRPr="007D116E">
        <w:tab/>
        <w:t>the dimensions by which a heavy vehicle’s load projects from the vehicle;</w:t>
      </w:r>
    </w:p>
    <w:p w14:paraId="7A031971" w14:textId="77777777" w:rsidR="00DB6E47" w:rsidRPr="007D116E" w:rsidRDefault="00DB6E47" w:rsidP="00DB6E47">
      <w:pPr>
        <w:pStyle w:val="Apara"/>
      </w:pPr>
      <w:r w:rsidRPr="007D116E">
        <w:tab/>
        <w:t>(d)</w:t>
      </w:r>
      <w:r w:rsidRPr="007D116E">
        <w:tab/>
        <w:t>the internal measurements of a heavy vehicle, including, for example—</w:t>
      </w:r>
    </w:p>
    <w:p w14:paraId="63F3F7BD" w14:textId="77777777" w:rsidR="00DB6E47" w:rsidRPr="00516F02" w:rsidRDefault="00DB6E47" w:rsidP="00DB6E47">
      <w:pPr>
        <w:pStyle w:val="Asubpara"/>
      </w:pPr>
      <w:r w:rsidRPr="00516F02">
        <w:tab/>
        <w:t>(i)</w:t>
      </w:r>
      <w:r w:rsidRPr="00516F02">
        <w:tab/>
        <w:t>the distance between components of the vehicle; and</w:t>
      </w:r>
    </w:p>
    <w:p w14:paraId="2173F8E2" w14:textId="77777777" w:rsidR="00DB6E47" w:rsidRPr="00516F02" w:rsidRDefault="00DB6E47" w:rsidP="00DB6E47">
      <w:pPr>
        <w:pStyle w:val="Asubpara"/>
      </w:pPr>
      <w:r w:rsidRPr="00516F02">
        <w:tab/>
        <w:t>(ii)</w:t>
      </w:r>
      <w:r w:rsidRPr="00516F02">
        <w:tab/>
        <w:t>for a combination, the distance between—</w:t>
      </w:r>
    </w:p>
    <w:p w14:paraId="791FCD2A" w14:textId="77777777" w:rsidR="00DB6E47" w:rsidRPr="006C3305" w:rsidRDefault="00DB6E47" w:rsidP="00DB6E47">
      <w:pPr>
        <w:pStyle w:val="Asubsubpara"/>
      </w:pPr>
      <w:r>
        <w:tab/>
      </w:r>
      <w:r w:rsidRPr="00352CBD">
        <w:t>(</w:t>
      </w:r>
      <w:r w:rsidR="005C6D6D">
        <w:t>A</w:t>
      </w:r>
      <w:r w:rsidRPr="00352CBD">
        <w:t>)</w:t>
      </w:r>
      <w:r w:rsidRPr="006C3305">
        <w:tab/>
        <w:t>the component vehicles of the combination; or</w:t>
      </w:r>
    </w:p>
    <w:p w14:paraId="540EC702" w14:textId="77777777" w:rsidR="00DB6E47" w:rsidRPr="006C3305" w:rsidRDefault="00DB6E47" w:rsidP="00DB6E47">
      <w:pPr>
        <w:pStyle w:val="Asubsubpara"/>
      </w:pPr>
      <w:r>
        <w:tab/>
      </w:r>
      <w:r w:rsidRPr="00352CBD">
        <w:t>(</w:t>
      </w:r>
      <w:r w:rsidR="005C6D6D">
        <w:t>B</w:t>
      </w:r>
      <w:r w:rsidRPr="00352CBD">
        <w:t>)</w:t>
      </w:r>
      <w:r w:rsidRPr="006C3305">
        <w:tab/>
        <w:t>a component vehicle of the combination and a component of another component vehicle of the combination.</w:t>
      </w:r>
    </w:p>
    <w:p w14:paraId="55F57037" w14:textId="77777777" w:rsidR="00DB6E47" w:rsidRPr="00EB0CDE" w:rsidRDefault="00DB6E47" w:rsidP="0018256E">
      <w:pPr>
        <w:pStyle w:val="Amain"/>
        <w:keepLines/>
      </w:pPr>
      <w:r w:rsidRPr="00EB0CDE">
        <w:lastRenderedPageBreak/>
        <w:tab/>
        <w:t>(3)</w:t>
      </w:r>
      <w:r w:rsidRPr="00EB0CDE">
        <w:tab/>
        <w:t>The national regulations may also prescribe requirements (that are not prescribed dimension requirements) about the use of a vehicle to which a dimension requirement applies, including, for example, requirements about the use of signs and warning devices.</w:t>
      </w:r>
    </w:p>
    <w:p w14:paraId="43DEDBAD" w14:textId="77777777" w:rsidR="00DB6E47" w:rsidRPr="007E1F9A" w:rsidRDefault="00DB6E47" w:rsidP="00DB6E47">
      <w:pPr>
        <w:pStyle w:val="AH5Sec"/>
      </w:pPr>
      <w:bookmarkStart w:id="111" w:name="_Toc83625455"/>
      <w:r w:rsidRPr="005E03F7">
        <w:rPr>
          <w:rStyle w:val="CharSectNo"/>
        </w:rPr>
        <w:t>102</w:t>
      </w:r>
      <w:r w:rsidRPr="007E1F9A">
        <w:tab/>
        <w:t>Compliance with dimension requirements</w:t>
      </w:r>
      <w:bookmarkEnd w:id="111"/>
    </w:p>
    <w:p w14:paraId="579E52B0" w14:textId="77777777" w:rsidR="00DB6E47" w:rsidRPr="00EB0CDE" w:rsidRDefault="00DB6E47" w:rsidP="00DB6E47">
      <w:pPr>
        <w:pStyle w:val="Amain"/>
      </w:pPr>
      <w:r w:rsidRPr="00EB0CDE">
        <w:tab/>
        <w:t>(1)</w:t>
      </w:r>
      <w:r w:rsidRPr="00EB0CDE">
        <w:tab/>
      </w:r>
      <w:r w:rsidR="00E32363" w:rsidRPr="003323FC">
        <w:t>A person who drives, or permits another person to drive, a heavy vehicle on a road must ensure the vehicle, and the vehicle’s components and load, comply with the dimension requirements applying to the vehicle, unless the person has a reasonable excuse.</w:t>
      </w:r>
    </w:p>
    <w:p w14:paraId="6FD717C8" w14:textId="77777777" w:rsidR="00DB6E47" w:rsidRPr="006C3305" w:rsidRDefault="00DB6E47" w:rsidP="00DB6E47">
      <w:pPr>
        <w:pStyle w:val="Penalty"/>
      </w:pPr>
      <w:r w:rsidRPr="006C3305">
        <w:t>Maximum penalty—</w:t>
      </w:r>
    </w:p>
    <w:p w14:paraId="29B83870" w14:textId="77777777" w:rsidR="00DB6E47" w:rsidRPr="006C3305" w:rsidRDefault="00DB6E47" w:rsidP="00DB6E47">
      <w:pPr>
        <w:pStyle w:val="PenaltyPara"/>
      </w:pPr>
      <w:r>
        <w:tab/>
        <w:t>(a)</w:t>
      </w:r>
      <w:r w:rsidRPr="006C3305">
        <w:tab/>
        <w:t>if the heavy vehicle does not have goods or passengers in it—$3000; or</w:t>
      </w:r>
    </w:p>
    <w:p w14:paraId="1B59E001" w14:textId="77777777" w:rsidR="00DB6E47" w:rsidRPr="006C3305" w:rsidRDefault="00DB6E47" w:rsidP="00DB6E47">
      <w:pPr>
        <w:pStyle w:val="PenaltyPara"/>
      </w:pPr>
      <w:r>
        <w:tab/>
        <w:t>(b)</w:t>
      </w:r>
      <w:r w:rsidRPr="006C3305">
        <w:tab/>
        <w:t>if the heavy vehicle has goods or passengers in it—</w:t>
      </w:r>
    </w:p>
    <w:p w14:paraId="61F34C7F" w14:textId="77777777" w:rsidR="00DB6E47" w:rsidRPr="006C3305" w:rsidRDefault="00DB6E47" w:rsidP="00DB6E47">
      <w:pPr>
        <w:pStyle w:val="Asubpara"/>
      </w:pPr>
      <w:r>
        <w:tab/>
        <w:t>(i)</w:t>
      </w:r>
      <w:r w:rsidRPr="006C3305">
        <w:tab/>
        <w:t>for a minor risk breach—$3000; or</w:t>
      </w:r>
    </w:p>
    <w:p w14:paraId="4DCA7E93" w14:textId="77777777" w:rsidR="00DB6E47" w:rsidRPr="006C3305" w:rsidRDefault="00DB6E47" w:rsidP="00DB6E47">
      <w:pPr>
        <w:pStyle w:val="Asubpara"/>
      </w:pPr>
      <w:r>
        <w:tab/>
        <w:t>(ii)</w:t>
      </w:r>
      <w:r w:rsidRPr="006C3305">
        <w:tab/>
        <w:t>for a substantial risk breach—$5000; or</w:t>
      </w:r>
    </w:p>
    <w:p w14:paraId="6C66B075" w14:textId="77777777" w:rsidR="00DB6E47" w:rsidRPr="006C3305" w:rsidRDefault="00DB6E47" w:rsidP="00DB6E47">
      <w:pPr>
        <w:pStyle w:val="Asubpara"/>
      </w:pPr>
      <w:r>
        <w:tab/>
        <w:t>(iii)</w:t>
      </w:r>
      <w:r w:rsidRPr="006C3305">
        <w:tab/>
        <w:t>for a severe risk breach—$10000.</w:t>
      </w:r>
    </w:p>
    <w:p w14:paraId="3A8C574A" w14:textId="5AD660B8" w:rsidR="00DB6E47" w:rsidRDefault="00DB6E47" w:rsidP="005E03F7">
      <w:pPr>
        <w:pStyle w:val="Amain"/>
      </w:pPr>
      <w:r w:rsidRPr="00EB0CDE">
        <w:tab/>
        <w:t>(4)</w:t>
      </w:r>
      <w:r w:rsidRPr="00EB0CDE">
        <w:tab/>
        <w:t>If a PBS vehicle is authorised by its PBS vehicle approval to have a dimension that exceeds a dimension limit that would otherwise apply to the vehicle under a prescribed dimension requirement, the authorised dimension is taken to be the applicable dimension, and the vehicle is regarded for the purposes of this Law as complying with the prescribed dimension requirement.</w:t>
      </w:r>
    </w:p>
    <w:p w14:paraId="2B6C80AF" w14:textId="4C7220A5" w:rsidR="005E03F7" w:rsidRPr="00192724" w:rsidRDefault="005E03F7" w:rsidP="00192724">
      <w:pPr>
        <w:pStyle w:val="Amain"/>
      </w:pPr>
      <w:r w:rsidRPr="00192724">
        <w:tab/>
        <w:t>(5)</w:t>
      </w:r>
      <w:r w:rsidRPr="00192724">
        <w:tab/>
        <w:t>However, if a PBS vehicle is driven on a road other than in accordance with a class 2 heavy vehicle authorisation—</w:t>
      </w:r>
    </w:p>
    <w:p w14:paraId="7C917810" w14:textId="6CEFA9AE" w:rsidR="005E03F7" w:rsidRPr="005E03F7" w:rsidRDefault="005E03F7" w:rsidP="005E03F7">
      <w:pPr>
        <w:pStyle w:val="Apara"/>
        <w:rPr>
          <w:lang w:eastAsia="en-AU"/>
        </w:rPr>
      </w:pPr>
      <w:r>
        <w:rPr>
          <w:lang w:eastAsia="en-AU"/>
        </w:rPr>
        <w:tab/>
      </w:r>
      <w:r w:rsidRPr="005E03F7">
        <w:rPr>
          <w:lang w:eastAsia="en-AU"/>
        </w:rPr>
        <w:t>(a)</w:t>
      </w:r>
      <w:r>
        <w:rPr>
          <w:lang w:eastAsia="en-AU"/>
        </w:rPr>
        <w:tab/>
      </w:r>
      <w:r w:rsidRPr="005E03F7">
        <w:rPr>
          <w:lang w:eastAsia="en-AU"/>
        </w:rPr>
        <w:t>subsection (4) does not apply to the vehicle; and</w:t>
      </w:r>
    </w:p>
    <w:p w14:paraId="73B7EA61" w14:textId="1F204BC0" w:rsidR="005E03F7" w:rsidRPr="005E03F7" w:rsidRDefault="005E03F7" w:rsidP="005E03F7">
      <w:pPr>
        <w:pStyle w:val="Apara"/>
        <w:rPr>
          <w:lang w:eastAsia="en-AU"/>
        </w:rPr>
      </w:pPr>
      <w:r>
        <w:rPr>
          <w:lang w:eastAsia="en-AU"/>
        </w:rPr>
        <w:tab/>
      </w:r>
      <w:r w:rsidRPr="005E03F7">
        <w:rPr>
          <w:lang w:eastAsia="en-AU"/>
        </w:rPr>
        <w:t>(b)</w:t>
      </w:r>
      <w:r>
        <w:rPr>
          <w:lang w:eastAsia="en-AU"/>
        </w:rPr>
        <w:tab/>
      </w:r>
      <w:r w:rsidRPr="005E03F7">
        <w:rPr>
          <w:lang w:eastAsia="en-AU"/>
        </w:rPr>
        <w:t>the dimension limit that would otherwise apply to the vehicle under a prescribed dimension requirement applies to the vehicle.</w:t>
      </w:r>
    </w:p>
    <w:p w14:paraId="34FD832E" w14:textId="77777777" w:rsidR="00DB6E47" w:rsidRPr="005E03F7" w:rsidRDefault="00DB6E47" w:rsidP="00DB6E47">
      <w:pPr>
        <w:pStyle w:val="AH3Div"/>
      </w:pPr>
      <w:bookmarkStart w:id="112" w:name="_Toc83625456"/>
      <w:r w:rsidRPr="005E03F7">
        <w:rPr>
          <w:rStyle w:val="CharDivNo"/>
        </w:rPr>
        <w:lastRenderedPageBreak/>
        <w:t>Division 2</w:t>
      </w:r>
      <w:r w:rsidRPr="00A95F9A">
        <w:rPr>
          <w:rFonts w:ascii="Helvetica" w:hAnsi="Helvetica" w:cs="Helvetica"/>
          <w:iCs/>
          <w:szCs w:val="28"/>
        </w:rPr>
        <w:tab/>
      </w:r>
      <w:r w:rsidRPr="005E03F7">
        <w:rPr>
          <w:rStyle w:val="CharDivText"/>
          <w:rFonts w:ascii="Helvetica" w:hAnsi="Helvetica" w:cs="Helvetica"/>
          <w:iCs/>
          <w:szCs w:val="28"/>
        </w:rPr>
        <w:t>Categories of breaches of dimension requirements</w:t>
      </w:r>
      <w:bookmarkEnd w:id="112"/>
    </w:p>
    <w:p w14:paraId="7C9E589E" w14:textId="77777777" w:rsidR="00DB6E47" w:rsidRPr="007E1F9A" w:rsidRDefault="00DB6E47" w:rsidP="00DB6E47">
      <w:pPr>
        <w:pStyle w:val="AH5Sec"/>
      </w:pPr>
      <w:bookmarkStart w:id="113" w:name="_Toc83625457"/>
      <w:r w:rsidRPr="005E03F7">
        <w:rPr>
          <w:rStyle w:val="CharSectNo"/>
        </w:rPr>
        <w:t>103</w:t>
      </w:r>
      <w:r w:rsidRPr="007E1F9A">
        <w:tab/>
        <w:t>Application of Div 2</w:t>
      </w:r>
      <w:bookmarkEnd w:id="113"/>
    </w:p>
    <w:p w14:paraId="61BAAE97" w14:textId="77777777" w:rsidR="00DB6E47" w:rsidRPr="00EB0CDE" w:rsidRDefault="00DB6E47" w:rsidP="0018256E">
      <w:pPr>
        <w:pStyle w:val="Amainreturn"/>
        <w:keepNext/>
      </w:pPr>
      <w:r w:rsidRPr="00EB0CDE">
        <w:t>This Division applies to a heavy vehicle only while it is carrying goods or passengers.</w:t>
      </w:r>
    </w:p>
    <w:p w14:paraId="51C8C72C" w14:textId="77777777" w:rsidR="00DB6E47" w:rsidRPr="007E1F9A" w:rsidRDefault="00DB6E47" w:rsidP="00DB6E47">
      <w:pPr>
        <w:pStyle w:val="AH5Sec"/>
      </w:pPr>
      <w:bookmarkStart w:id="114" w:name="_Toc83625458"/>
      <w:r w:rsidRPr="005E03F7">
        <w:rPr>
          <w:rStyle w:val="CharSectNo"/>
        </w:rPr>
        <w:t>104</w:t>
      </w:r>
      <w:r w:rsidRPr="007E1F9A">
        <w:tab/>
        <w:t>Definitions for Div 2</w:t>
      </w:r>
      <w:bookmarkEnd w:id="114"/>
    </w:p>
    <w:p w14:paraId="1E8DC78A" w14:textId="77777777" w:rsidR="00DB6E47" w:rsidRPr="00EB0CDE" w:rsidRDefault="00DB6E47" w:rsidP="00DB6E47">
      <w:pPr>
        <w:pStyle w:val="Amainreturn"/>
      </w:pPr>
      <w:r w:rsidRPr="00EB0CDE">
        <w:t>In this Division—</w:t>
      </w:r>
    </w:p>
    <w:p w14:paraId="402CC9D5" w14:textId="77777777" w:rsidR="00DB6E47" w:rsidRPr="00041046" w:rsidRDefault="00DB6E47" w:rsidP="00DB6E47">
      <w:pPr>
        <w:pStyle w:val="aDef"/>
        <w:rPr>
          <w:bCs/>
        </w:rPr>
      </w:pPr>
      <w:r w:rsidRPr="00041046">
        <w:rPr>
          <w:rStyle w:val="charBoldItals"/>
        </w:rPr>
        <w:t>severe risk breach lower limit</w:t>
      </w:r>
      <w:r w:rsidRPr="00041046">
        <w:t xml:space="preserve"> means—</w:t>
      </w:r>
    </w:p>
    <w:p w14:paraId="1147BBE9" w14:textId="77777777" w:rsidR="00DB6E47" w:rsidRPr="00131458" w:rsidRDefault="00DB6E47" w:rsidP="00DB6E47">
      <w:pPr>
        <w:pStyle w:val="aDefpara"/>
      </w:pPr>
      <w:r w:rsidRPr="00131458">
        <w:tab/>
        <w:t>(a)</w:t>
      </w:r>
      <w:r w:rsidRPr="00131458">
        <w:tab/>
        <w:t>for a particular dimension requirement applying to a heavy vehicle relating to its length—the length equalling the maximum length permitted for the vehicle under the dimension requirement plus 600mm; or</w:t>
      </w:r>
    </w:p>
    <w:p w14:paraId="080090B8" w14:textId="77777777" w:rsidR="00DB6E47" w:rsidRPr="00131458" w:rsidRDefault="00DB6E47" w:rsidP="00DB6E47">
      <w:pPr>
        <w:pStyle w:val="aDefpara"/>
      </w:pPr>
      <w:r w:rsidRPr="00131458">
        <w:tab/>
        <w:t>(b)</w:t>
      </w:r>
      <w:r w:rsidRPr="00131458">
        <w:tab/>
        <w:t>for a particular dimension requirement applying to a heavy vehicle relating to its width—the width equalling the maximum width permitted for the vehicle under the dimension requirement plus 80mm; or</w:t>
      </w:r>
    </w:p>
    <w:p w14:paraId="18BCA9BB" w14:textId="77777777" w:rsidR="00DB6E47" w:rsidRPr="00131458" w:rsidRDefault="00DB6E47" w:rsidP="00DB6E47">
      <w:pPr>
        <w:pStyle w:val="aDefpara"/>
      </w:pPr>
      <w:r w:rsidRPr="00131458">
        <w:tab/>
        <w:t>(c)</w:t>
      </w:r>
      <w:r w:rsidRPr="00131458">
        <w:tab/>
        <w:t>for a particular dimension requirement applying to a heavy vehicle relating to its height—the height equalling the maximum height permitted for the vehicle under the dimension requirement plus 300mm; or</w:t>
      </w:r>
    </w:p>
    <w:p w14:paraId="18C817F8" w14:textId="77777777" w:rsidR="00DB6E47" w:rsidRPr="00131458" w:rsidRDefault="00DB6E47" w:rsidP="00DB6E47">
      <w:pPr>
        <w:pStyle w:val="aDefpara"/>
      </w:pPr>
      <w:r w:rsidRPr="00131458">
        <w:tab/>
        <w:t>(d)</w:t>
      </w:r>
      <w:r w:rsidRPr="00131458">
        <w:tab/>
        <w:t>for a particular dimension requirement applying to a heavy vehicle relating to its load projection—the projection of the vehicle’s load equalling the maximum load projection permitted from any side of the vehicle under the dimension requirement plus 80mm.</w:t>
      </w:r>
    </w:p>
    <w:p w14:paraId="4F4C3EF0" w14:textId="77777777" w:rsidR="00DB6E47" w:rsidRPr="00041046" w:rsidRDefault="00DB6E47" w:rsidP="00332504">
      <w:pPr>
        <w:pStyle w:val="aDef"/>
        <w:keepNext/>
        <w:rPr>
          <w:bCs/>
        </w:rPr>
      </w:pPr>
      <w:r w:rsidRPr="00041046">
        <w:rPr>
          <w:rStyle w:val="charBoldItals"/>
        </w:rPr>
        <w:lastRenderedPageBreak/>
        <w:t>substantial risk breach lower limit</w:t>
      </w:r>
      <w:r w:rsidRPr="00041046">
        <w:t xml:space="preserve"> means—</w:t>
      </w:r>
    </w:p>
    <w:p w14:paraId="3B175FB8" w14:textId="77777777" w:rsidR="00DB6E47" w:rsidRPr="00131458" w:rsidRDefault="00DB6E47" w:rsidP="00332504">
      <w:pPr>
        <w:pStyle w:val="aDefpara"/>
        <w:keepLines/>
      </w:pPr>
      <w:r w:rsidRPr="00FF4454">
        <w:tab/>
      </w:r>
      <w:r w:rsidRPr="00131458">
        <w:t>(a)</w:t>
      </w:r>
      <w:r w:rsidRPr="00131458">
        <w:tab/>
        <w:t>for a particular dimension requirement applying to a heavy vehicle relating to its length—the length equalling the maximum length permitted for the vehicle under the dimension requirement plus 350mm; or</w:t>
      </w:r>
    </w:p>
    <w:p w14:paraId="0ABFEA37" w14:textId="77777777" w:rsidR="00DB6E47" w:rsidRPr="00131458" w:rsidRDefault="00DB6E47" w:rsidP="00DB6E47">
      <w:pPr>
        <w:pStyle w:val="aDefpara"/>
      </w:pPr>
      <w:r w:rsidRPr="00131458">
        <w:tab/>
        <w:t>(b)</w:t>
      </w:r>
      <w:r w:rsidRPr="00131458">
        <w:tab/>
        <w:t>for a particular dimension requirement applying to a heavy vehicle relating to its width—the width equalling the maximum width permitted for the vehicle under the dimension requirement plus 40mm; or</w:t>
      </w:r>
    </w:p>
    <w:p w14:paraId="7F8907AF" w14:textId="77777777" w:rsidR="00DB6E47" w:rsidRPr="00131458" w:rsidRDefault="00DB6E47" w:rsidP="00DB6E47">
      <w:pPr>
        <w:pStyle w:val="aDefpara"/>
      </w:pPr>
      <w:r w:rsidRPr="00131458">
        <w:tab/>
        <w:t>(c)</w:t>
      </w:r>
      <w:r w:rsidRPr="00131458">
        <w:tab/>
        <w:t>for a particular dimension requirement applying to a heavy vehicle relating to its height—the height equalling the maximum height permitted for the vehicle under the dimension requirement plus 150mm; or</w:t>
      </w:r>
    </w:p>
    <w:p w14:paraId="46F8BE42" w14:textId="77777777" w:rsidR="00DB6E47" w:rsidRPr="00131458" w:rsidRDefault="00DB6E47" w:rsidP="00DB6E47">
      <w:pPr>
        <w:pStyle w:val="aDefpara"/>
      </w:pPr>
      <w:r w:rsidRPr="00131458">
        <w:tab/>
        <w:t>(d)</w:t>
      </w:r>
      <w:r w:rsidRPr="00131458">
        <w:tab/>
        <w:t>for a particular dimension requirement applying to a heavy vehicle relating to its load projection—the projection of the vehicle’s load equalling the maximum load projection permitted from any side of the vehicle under the dimension requirement plus 40mm.</w:t>
      </w:r>
    </w:p>
    <w:p w14:paraId="4FA7C337" w14:textId="77777777" w:rsidR="00DB6E47" w:rsidRPr="007E1F9A" w:rsidRDefault="00DB6E47" w:rsidP="00DB6E47">
      <w:pPr>
        <w:pStyle w:val="AH5Sec"/>
      </w:pPr>
      <w:bookmarkStart w:id="115" w:name="_Toc83625459"/>
      <w:r w:rsidRPr="005E03F7">
        <w:rPr>
          <w:rStyle w:val="CharSectNo"/>
        </w:rPr>
        <w:t>105</w:t>
      </w:r>
      <w:r w:rsidRPr="007E1F9A">
        <w:tab/>
        <w:t>Minor risk breach</w:t>
      </w:r>
      <w:bookmarkEnd w:id="115"/>
    </w:p>
    <w:p w14:paraId="71F8FBA1" w14:textId="77777777" w:rsidR="00472346" w:rsidRPr="003323FC" w:rsidRDefault="00DB6E47" w:rsidP="00472346">
      <w:pPr>
        <w:pStyle w:val="Amainreturn"/>
      </w:pPr>
      <w:r w:rsidRPr="00EB0CDE">
        <w:t xml:space="preserve">A contravention of a dimension requirement applying to a heavy vehicle is a </w:t>
      </w:r>
      <w:r w:rsidRPr="00FF4454">
        <w:rPr>
          <w:rStyle w:val="charBoldItals"/>
        </w:rPr>
        <w:t>minor risk breach</w:t>
      </w:r>
      <w:r w:rsidRPr="00EB0CDE">
        <w:t xml:space="preserve"> </w:t>
      </w:r>
      <w:r w:rsidR="00472346" w:rsidRPr="003323FC">
        <w:t>if—</w:t>
      </w:r>
    </w:p>
    <w:p w14:paraId="77DA49D8" w14:textId="77777777" w:rsidR="00472346" w:rsidRPr="00472346" w:rsidRDefault="00472346" w:rsidP="00472346">
      <w:pPr>
        <w:pStyle w:val="Apara"/>
        <w:rPr>
          <w:lang w:val="en" w:eastAsia="en-AU"/>
        </w:rPr>
      </w:pPr>
      <w:r>
        <w:rPr>
          <w:lang w:val="en" w:eastAsia="en-AU"/>
        </w:rPr>
        <w:tab/>
      </w:r>
      <w:r w:rsidRPr="00472346">
        <w:rPr>
          <w:lang w:val="en" w:eastAsia="en-AU"/>
        </w:rPr>
        <w:t>(a)</w:t>
      </w:r>
      <w:r>
        <w:rPr>
          <w:lang w:val="en" w:eastAsia="en-AU"/>
        </w:rPr>
        <w:tab/>
      </w:r>
      <w:r w:rsidRPr="00472346">
        <w:rPr>
          <w:lang w:val="en" w:eastAsia="en-AU"/>
        </w:rPr>
        <w:t>the dimension requirement relates to the vehicle’s ground clearance; or</w:t>
      </w:r>
    </w:p>
    <w:p w14:paraId="0C4FD523" w14:textId="77777777" w:rsidR="00472346" w:rsidRPr="00472346" w:rsidRDefault="00472346" w:rsidP="00472346">
      <w:pPr>
        <w:pStyle w:val="Apara"/>
        <w:rPr>
          <w:lang w:val="en" w:eastAsia="en-AU"/>
        </w:rPr>
      </w:pPr>
      <w:r>
        <w:rPr>
          <w:lang w:val="en" w:eastAsia="en-AU"/>
        </w:rPr>
        <w:tab/>
      </w:r>
      <w:r w:rsidRPr="00472346">
        <w:rPr>
          <w:lang w:val="en" w:eastAsia="en-AU"/>
        </w:rPr>
        <w:t>(b)</w:t>
      </w:r>
      <w:r>
        <w:rPr>
          <w:lang w:val="en" w:eastAsia="en-AU"/>
        </w:rPr>
        <w:tab/>
      </w:r>
      <w:r w:rsidRPr="00472346">
        <w:rPr>
          <w:lang w:val="en" w:eastAsia="en-AU"/>
        </w:rPr>
        <w:t>for a contravention of any other dimension requirement—the subject matter of the contravention is less than the substantial risk breach lower limit for the requirement.</w:t>
      </w:r>
    </w:p>
    <w:p w14:paraId="6DB06851" w14:textId="77777777" w:rsidR="00DB6E47" w:rsidRPr="007E1F9A" w:rsidRDefault="00DB6E47" w:rsidP="00472346">
      <w:pPr>
        <w:pStyle w:val="AH5Sec"/>
      </w:pPr>
      <w:bookmarkStart w:id="116" w:name="_Toc83625460"/>
      <w:r w:rsidRPr="005E03F7">
        <w:rPr>
          <w:rStyle w:val="CharSectNo"/>
        </w:rPr>
        <w:lastRenderedPageBreak/>
        <w:t>106</w:t>
      </w:r>
      <w:r w:rsidRPr="007E1F9A">
        <w:tab/>
        <w:t>Substantial risk breach</w:t>
      </w:r>
      <w:bookmarkEnd w:id="116"/>
    </w:p>
    <w:p w14:paraId="239EEC01" w14:textId="77777777" w:rsidR="00DB6E47" w:rsidRPr="006C3305" w:rsidRDefault="00DB6E47" w:rsidP="00527A96">
      <w:pPr>
        <w:pStyle w:val="Amain"/>
        <w:keepNext/>
      </w:pPr>
      <w:r>
        <w:tab/>
        <w:t>(</w:t>
      </w:r>
      <w:r w:rsidRPr="006C3305">
        <w:t>1)</w:t>
      </w:r>
      <w:r w:rsidRPr="006C3305">
        <w:tab/>
        <w:t xml:space="preserve">A contravention of a dimension requirement applying to a heavy vehicle is a </w:t>
      </w:r>
      <w:r w:rsidRPr="00FF4454">
        <w:rPr>
          <w:rStyle w:val="charBoldItals"/>
        </w:rPr>
        <w:t>substantial risk breach</w:t>
      </w:r>
      <w:r w:rsidRPr="006C3305">
        <w:t xml:space="preserve"> if—</w:t>
      </w:r>
    </w:p>
    <w:p w14:paraId="22D0B084" w14:textId="77777777" w:rsidR="00DB6E47" w:rsidRPr="007D116E" w:rsidRDefault="00DB6E47" w:rsidP="005C6D6D">
      <w:pPr>
        <w:pStyle w:val="Apara"/>
        <w:keepNext/>
      </w:pPr>
      <w:r w:rsidRPr="007D116E">
        <w:tab/>
        <w:t>(a)</w:t>
      </w:r>
      <w:r w:rsidRPr="007D116E">
        <w:tab/>
        <w:t>the subject matter of the contravention is—</w:t>
      </w:r>
    </w:p>
    <w:p w14:paraId="3B107CBD" w14:textId="77777777" w:rsidR="00DB6E47" w:rsidRPr="00516F02" w:rsidRDefault="00DB6E47" w:rsidP="00DB6E47">
      <w:pPr>
        <w:pStyle w:val="Asubpara"/>
      </w:pPr>
      <w:r w:rsidRPr="00516F02">
        <w:tab/>
        <w:t>(i)</w:t>
      </w:r>
      <w:r w:rsidRPr="00516F02">
        <w:tab/>
        <w:t>equal to or greater than a substantial risk breach lower limit for the requirement; and</w:t>
      </w:r>
    </w:p>
    <w:p w14:paraId="028E2EC3" w14:textId="77777777" w:rsidR="00DB6E47" w:rsidRPr="00516F02" w:rsidRDefault="00DB6E47" w:rsidP="00DB6E47">
      <w:pPr>
        <w:pStyle w:val="Asubpara"/>
      </w:pPr>
      <w:r w:rsidRPr="00516F02">
        <w:tab/>
        <w:t>(ii)</w:t>
      </w:r>
      <w:r w:rsidRPr="00516F02">
        <w:tab/>
        <w:t>less than the severe risk breach lower limit for the requirement; or</w:t>
      </w:r>
    </w:p>
    <w:p w14:paraId="23A4A8FC" w14:textId="77777777" w:rsidR="00DB6E47" w:rsidRPr="007D116E" w:rsidRDefault="00DB6E47" w:rsidP="00DB6E47">
      <w:pPr>
        <w:pStyle w:val="Apara"/>
      </w:pPr>
      <w:r w:rsidRPr="007D116E">
        <w:tab/>
        <w:t>(b)</w:t>
      </w:r>
      <w:r w:rsidRPr="007D116E">
        <w:tab/>
        <w:t>the requirement is a substantial risk breach of a dimensi</w:t>
      </w:r>
      <w:r w:rsidR="00131458">
        <w:t xml:space="preserve">on requirement under subsection </w:t>
      </w:r>
      <w:r w:rsidRPr="007D116E">
        <w:t>(2)</w:t>
      </w:r>
      <w:r w:rsidR="00131458">
        <w:t xml:space="preserve"> </w:t>
      </w:r>
      <w:r w:rsidRPr="007D116E">
        <w:t>or (3).</w:t>
      </w:r>
    </w:p>
    <w:p w14:paraId="7EF3A396" w14:textId="77777777" w:rsidR="00DB6E47" w:rsidRPr="006C3305" w:rsidRDefault="00DB6E47" w:rsidP="00DB6E47">
      <w:pPr>
        <w:pStyle w:val="Amain"/>
      </w:pPr>
      <w:r>
        <w:tab/>
        <w:t>(</w:t>
      </w:r>
      <w:r w:rsidRPr="006C3305">
        <w:t>2)</w:t>
      </w:r>
      <w:r w:rsidRPr="006C3305">
        <w:tab/>
        <w:t xml:space="preserve">A contravention of a dimension requirement applying to a heavy vehicle relating to its length is a </w:t>
      </w:r>
      <w:r w:rsidRPr="00FF4454">
        <w:rPr>
          <w:rStyle w:val="charBoldItals"/>
        </w:rPr>
        <w:t>substantial risk breach</w:t>
      </w:r>
      <w:r w:rsidRPr="006C3305">
        <w:t xml:space="preserve"> if—</w:t>
      </w:r>
    </w:p>
    <w:p w14:paraId="63D7B2BE" w14:textId="77777777" w:rsidR="00DB6E47" w:rsidRPr="007D116E" w:rsidRDefault="00DB6E47" w:rsidP="00DB6E47">
      <w:pPr>
        <w:pStyle w:val="Apara"/>
      </w:pPr>
      <w:r w:rsidRPr="007D116E">
        <w:tab/>
        <w:t>(a)</w:t>
      </w:r>
      <w:r w:rsidRPr="007D116E">
        <w:tab/>
        <w:t>the contravention would only be a minor risk breach of the dimension requirement if this subsection were not enacted; and</w:t>
      </w:r>
    </w:p>
    <w:p w14:paraId="64F10999" w14:textId="77777777" w:rsidR="00DB6E47" w:rsidRPr="007D116E" w:rsidRDefault="00DB6E47" w:rsidP="00DB6E47">
      <w:pPr>
        <w:pStyle w:val="Apara"/>
      </w:pPr>
      <w:r w:rsidRPr="007D116E">
        <w:tab/>
        <w:t>(b)</w:t>
      </w:r>
      <w:r w:rsidRPr="007D116E">
        <w:tab/>
        <w:t>either—</w:t>
      </w:r>
    </w:p>
    <w:p w14:paraId="0E0A25FA" w14:textId="77777777" w:rsidR="00DB6E47" w:rsidRPr="00516F02" w:rsidRDefault="00DB6E47" w:rsidP="00DB6E47">
      <w:pPr>
        <w:pStyle w:val="Asubpara"/>
      </w:pPr>
      <w:r w:rsidRPr="00516F02">
        <w:tab/>
        <w:t>(i)</w:t>
      </w:r>
      <w:r w:rsidRPr="00516F02">
        <w:tab/>
        <w:t>the rear of the vehicle’s load does not carry a sign or warning device required by the national regulations; or</w:t>
      </w:r>
    </w:p>
    <w:p w14:paraId="365F90CF" w14:textId="77777777" w:rsidR="00DB6E47" w:rsidRPr="00516F02" w:rsidRDefault="00DB6E47" w:rsidP="00DB6E47">
      <w:pPr>
        <w:pStyle w:val="Asubpara"/>
      </w:pPr>
      <w:r w:rsidRPr="00516F02">
        <w:tab/>
        <w:t>(ii)</w:t>
      </w:r>
      <w:r w:rsidRPr="00516F02">
        <w:tab/>
        <w:t>the vehicle’s load projects in a way that is dangerous to persons or property.</w:t>
      </w:r>
    </w:p>
    <w:p w14:paraId="0B431664" w14:textId="77777777" w:rsidR="00DB6E47" w:rsidRPr="006C3305" w:rsidRDefault="00DB6E47" w:rsidP="00DB6E47">
      <w:pPr>
        <w:pStyle w:val="Amain"/>
      </w:pPr>
      <w:r>
        <w:tab/>
        <w:t>(</w:t>
      </w:r>
      <w:r w:rsidRPr="006C3305">
        <w:t>3)</w:t>
      </w:r>
      <w:r w:rsidRPr="006C3305">
        <w:tab/>
        <w:t xml:space="preserve">A contravention of a dimension requirement applying to a heavy vehicle relating to its width is a </w:t>
      </w:r>
      <w:r w:rsidRPr="00FF4454">
        <w:rPr>
          <w:rStyle w:val="charBoldItals"/>
        </w:rPr>
        <w:t>substantial risk breach</w:t>
      </w:r>
      <w:r w:rsidRPr="006C3305">
        <w:t xml:space="preserve"> if—</w:t>
      </w:r>
    </w:p>
    <w:p w14:paraId="27BEAEDB" w14:textId="77777777" w:rsidR="00DB6E47" w:rsidRPr="007D116E" w:rsidRDefault="00DB6E47" w:rsidP="00DB6E47">
      <w:pPr>
        <w:pStyle w:val="Apara"/>
      </w:pPr>
      <w:r w:rsidRPr="007D116E">
        <w:tab/>
        <w:t>(a)</w:t>
      </w:r>
      <w:r w:rsidRPr="007D116E">
        <w:tab/>
        <w:t>the contravention would only be a minor risk breach of the dimension requirement if this subsection were not enacted; and</w:t>
      </w:r>
    </w:p>
    <w:p w14:paraId="5946C7B2" w14:textId="77777777" w:rsidR="00DB6E47" w:rsidRPr="007D116E" w:rsidRDefault="00DB6E47" w:rsidP="00527A96">
      <w:pPr>
        <w:pStyle w:val="Apara"/>
        <w:keepNext/>
      </w:pPr>
      <w:r w:rsidRPr="007D116E">
        <w:lastRenderedPageBreak/>
        <w:tab/>
        <w:t>(b)</w:t>
      </w:r>
      <w:r w:rsidRPr="007D116E">
        <w:tab/>
        <w:t>the contravention happens—</w:t>
      </w:r>
    </w:p>
    <w:p w14:paraId="0B67E417" w14:textId="77777777" w:rsidR="00DB6E47" w:rsidRPr="00516F02" w:rsidRDefault="00DB6E47" w:rsidP="00527A96">
      <w:pPr>
        <w:pStyle w:val="Asubpara"/>
        <w:keepNext/>
      </w:pPr>
      <w:r w:rsidRPr="00516F02">
        <w:tab/>
        <w:t>(i)</w:t>
      </w:r>
      <w:r w:rsidRPr="00516F02">
        <w:tab/>
        <w:t>at night; or</w:t>
      </w:r>
    </w:p>
    <w:p w14:paraId="2BA5F377" w14:textId="77777777" w:rsidR="00DB6E47" w:rsidRPr="00516F02" w:rsidRDefault="00DB6E47" w:rsidP="00527A96">
      <w:pPr>
        <w:pStyle w:val="Asubpara"/>
        <w:keepNext/>
      </w:pPr>
      <w:r w:rsidRPr="00516F02">
        <w:tab/>
        <w:t>(ii)</w:t>
      </w:r>
      <w:r w:rsidRPr="00516F02">
        <w:tab/>
        <w:t>in hazardous weather conditions causing reduced visibility.</w:t>
      </w:r>
    </w:p>
    <w:p w14:paraId="1879DD0C" w14:textId="77777777" w:rsidR="00DB6E47" w:rsidRPr="00C96203" w:rsidRDefault="00DB6E47" w:rsidP="00FC0EFF">
      <w:pPr>
        <w:pStyle w:val="aNote"/>
        <w:keepNext/>
      </w:pPr>
      <w:r w:rsidRPr="00FF4454">
        <w:rPr>
          <w:rStyle w:val="charItals"/>
        </w:rPr>
        <w:t>Note</w:t>
      </w:r>
      <w:r w:rsidRPr="00C96203">
        <w:rPr>
          <w:rFonts w:cs="Times"/>
          <w:bCs/>
          <w:iCs/>
        </w:rPr>
        <w:t>—</w:t>
      </w:r>
    </w:p>
    <w:p w14:paraId="1621CD69" w14:textId="77777777" w:rsidR="00DB6E47" w:rsidRPr="00C96203" w:rsidRDefault="00DB6E47" w:rsidP="00DB6E47">
      <w:pPr>
        <w:pStyle w:val="aNoteTextss"/>
      </w:pPr>
      <w:r w:rsidRPr="00C96203">
        <w:t>See also section 108(3).</w:t>
      </w:r>
    </w:p>
    <w:p w14:paraId="29D1E387" w14:textId="77777777" w:rsidR="00DB6E47" w:rsidRPr="007E1F9A" w:rsidRDefault="00DB6E47" w:rsidP="00DB6E47">
      <w:pPr>
        <w:pStyle w:val="AH5Sec"/>
      </w:pPr>
      <w:bookmarkStart w:id="117" w:name="_Toc83625461"/>
      <w:r w:rsidRPr="005E03F7">
        <w:rPr>
          <w:rStyle w:val="CharSectNo"/>
        </w:rPr>
        <w:t>107</w:t>
      </w:r>
      <w:r w:rsidRPr="007E1F9A">
        <w:tab/>
        <w:t>Severe risk breach</w:t>
      </w:r>
      <w:bookmarkEnd w:id="117"/>
    </w:p>
    <w:p w14:paraId="7412763A" w14:textId="77777777" w:rsidR="00DB6E47" w:rsidRPr="006C3305" w:rsidRDefault="00DB6E47" w:rsidP="00DB6E47">
      <w:pPr>
        <w:pStyle w:val="Amain"/>
      </w:pPr>
      <w:r>
        <w:tab/>
        <w:t>(</w:t>
      </w:r>
      <w:r w:rsidRPr="006C3305">
        <w:t>1)</w:t>
      </w:r>
      <w:r w:rsidRPr="006C3305">
        <w:tab/>
        <w:t xml:space="preserve">A contravention of a dimension requirement applying to a heavy vehicle is a </w:t>
      </w:r>
      <w:r w:rsidRPr="00FF4454">
        <w:rPr>
          <w:rStyle w:val="charBoldItals"/>
        </w:rPr>
        <w:t>severe risk breach</w:t>
      </w:r>
      <w:r w:rsidRPr="006C3305">
        <w:t xml:space="preserve"> if—</w:t>
      </w:r>
    </w:p>
    <w:p w14:paraId="034E7427" w14:textId="77777777" w:rsidR="00DB6E47" w:rsidRPr="007D116E" w:rsidRDefault="00DB6E47" w:rsidP="00DB6E47">
      <w:pPr>
        <w:pStyle w:val="Apara"/>
      </w:pPr>
      <w:r w:rsidRPr="007D116E">
        <w:tab/>
        <w:t>(a)</w:t>
      </w:r>
      <w:r w:rsidRPr="007D116E">
        <w:tab/>
        <w:t>the subject matter of the contravention is equal to or greater than the severe risk breach lower limit for the dimension requirement; or</w:t>
      </w:r>
    </w:p>
    <w:p w14:paraId="73CAB0FD" w14:textId="77777777" w:rsidR="00DB6E47" w:rsidRPr="007D116E" w:rsidRDefault="00DB6E47" w:rsidP="00DB6E47">
      <w:pPr>
        <w:pStyle w:val="Apara"/>
      </w:pPr>
      <w:r w:rsidRPr="007D116E">
        <w:tab/>
        <w:t>(b)</w:t>
      </w:r>
      <w:r w:rsidRPr="007D116E">
        <w:tab/>
        <w:t>the contravention is a severe risk breach of the dimensi</w:t>
      </w:r>
      <w:r w:rsidR="00131458">
        <w:t xml:space="preserve">on requirement under subsection </w:t>
      </w:r>
      <w:r w:rsidRPr="007D116E">
        <w:t>(2)</w:t>
      </w:r>
      <w:r w:rsidR="00131458">
        <w:t xml:space="preserve"> </w:t>
      </w:r>
      <w:r w:rsidRPr="007D116E">
        <w:t>or (3).</w:t>
      </w:r>
    </w:p>
    <w:p w14:paraId="41F4DC4A" w14:textId="77777777" w:rsidR="00DB6E47" w:rsidRPr="006C3305" w:rsidRDefault="00DB6E47" w:rsidP="00DB6E47">
      <w:pPr>
        <w:pStyle w:val="Amain"/>
      </w:pPr>
      <w:r>
        <w:tab/>
        <w:t>(</w:t>
      </w:r>
      <w:r w:rsidRPr="006C3305">
        <w:t>2)</w:t>
      </w:r>
      <w:r w:rsidRPr="006C3305">
        <w:tab/>
        <w:t xml:space="preserve">A contravention of a dimension requirement applying to a heavy vehicle relating to its length is a </w:t>
      </w:r>
      <w:r w:rsidRPr="00FF4454">
        <w:rPr>
          <w:rStyle w:val="charBoldItals"/>
        </w:rPr>
        <w:t>severe risk breach</w:t>
      </w:r>
      <w:r w:rsidRPr="006C3305">
        <w:t xml:space="preserve"> if—</w:t>
      </w:r>
    </w:p>
    <w:p w14:paraId="69B3CF88" w14:textId="77777777" w:rsidR="00DB6E47" w:rsidRPr="007D116E" w:rsidRDefault="00DB6E47" w:rsidP="00DB6E47">
      <w:pPr>
        <w:pStyle w:val="Apara"/>
      </w:pPr>
      <w:r w:rsidRPr="007D116E">
        <w:tab/>
        <w:t>(a)</w:t>
      </w:r>
      <w:r w:rsidRPr="007D116E">
        <w:tab/>
        <w:t>the contravention would only be a substantial risk breach of the dimension requiremen</w:t>
      </w:r>
      <w:r w:rsidR="00131458">
        <w:t>t as provided by section 106(1)</w:t>
      </w:r>
      <w:r w:rsidRPr="007D116E">
        <w:t>(a)</w:t>
      </w:r>
      <w:r w:rsidR="00131458">
        <w:t xml:space="preserve"> </w:t>
      </w:r>
      <w:r w:rsidRPr="007D116E">
        <w:t>if this subsection were not enacted; and</w:t>
      </w:r>
    </w:p>
    <w:p w14:paraId="322D8DA4" w14:textId="77777777" w:rsidR="00DB6E47" w:rsidRPr="007D116E" w:rsidRDefault="00DB6E47" w:rsidP="00DB6E47">
      <w:pPr>
        <w:pStyle w:val="Apara"/>
      </w:pPr>
      <w:r w:rsidRPr="007D116E">
        <w:tab/>
        <w:t>(b)</w:t>
      </w:r>
      <w:r w:rsidRPr="007D116E">
        <w:tab/>
        <w:t>either—</w:t>
      </w:r>
    </w:p>
    <w:p w14:paraId="189FA260" w14:textId="77777777" w:rsidR="00DB6E47" w:rsidRPr="00516F02" w:rsidRDefault="00DB6E47" w:rsidP="00DB6E47">
      <w:pPr>
        <w:pStyle w:val="Asubpara"/>
      </w:pPr>
      <w:r w:rsidRPr="00516F02">
        <w:tab/>
        <w:t>(i)</w:t>
      </w:r>
      <w:r w:rsidRPr="00516F02">
        <w:tab/>
        <w:t>the rear of the vehicle’s load does not carry a sign or warning device required by the national regulations; or</w:t>
      </w:r>
    </w:p>
    <w:p w14:paraId="3F24EF87" w14:textId="77777777" w:rsidR="00DB6E47" w:rsidRPr="00516F02" w:rsidRDefault="00DB6E47" w:rsidP="00DB6E47">
      <w:pPr>
        <w:pStyle w:val="Asubpara"/>
      </w:pPr>
      <w:r w:rsidRPr="00516F02">
        <w:tab/>
        <w:t>(ii)</w:t>
      </w:r>
      <w:r w:rsidRPr="00516F02">
        <w:tab/>
        <w:t>the vehicle’s load projects from it in a way that is dangerous to persons or property.</w:t>
      </w:r>
    </w:p>
    <w:p w14:paraId="0705DFCB" w14:textId="77777777" w:rsidR="00DB6E47" w:rsidRPr="006C3305" w:rsidRDefault="00DB6E47" w:rsidP="00527A96">
      <w:pPr>
        <w:pStyle w:val="Amain"/>
        <w:keepNext/>
      </w:pPr>
      <w:r>
        <w:tab/>
        <w:t>(</w:t>
      </w:r>
      <w:r w:rsidRPr="006C3305">
        <w:t>3)</w:t>
      </w:r>
      <w:r w:rsidRPr="006C3305">
        <w:tab/>
        <w:t xml:space="preserve">A contravention of a dimension requirement applying to a heavy vehicle relating to its width is a </w:t>
      </w:r>
      <w:r w:rsidRPr="00FF4454">
        <w:rPr>
          <w:rStyle w:val="charBoldItals"/>
        </w:rPr>
        <w:t>severe risk breach</w:t>
      </w:r>
      <w:r w:rsidRPr="006C3305">
        <w:t xml:space="preserve"> if—</w:t>
      </w:r>
    </w:p>
    <w:p w14:paraId="076728BF" w14:textId="77777777" w:rsidR="00DB6E47" w:rsidRPr="007D116E" w:rsidRDefault="00DB6E47" w:rsidP="00DB6E47">
      <w:pPr>
        <w:pStyle w:val="Apara"/>
      </w:pPr>
      <w:r w:rsidRPr="007D116E">
        <w:tab/>
        <w:t>(a)</w:t>
      </w:r>
      <w:r w:rsidRPr="007D116E">
        <w:tab/>
        <w:t>the contravention would only be a substantial risk breach of the dimension requiremen</w:t>
      </w:r>
      <w:r w:rsidR="00131458">
        <w:t>t as provided by section 106(1)</w:t>
      </w:r>
      <w:r w:rsidRPr="007D116E">
        <w:t>(a)</w:t>
      </w:r>
      <w:r w:rsidR="00131458">
        <w:t xml:space="preserve"> </w:t>
      </w:r>
      <w:r w:rsidRPr="007D116E">
        <w:t>if this subsection were not enacted; and</w:t>
      </w:r>
    </w:p>
    <w:p w14:paraId="1B92CB21" w14:textId="77777777" w:rsidR="00DB6E47" w:rsidRPr="007D116E" w:rsidRDefault="00DB6E47" w:rsidP="00DB6E47">
      <w:pPr>
        <w:pStyle w:val="Apara"/>
      </w:pPr>
      <w:r w:rsidRPr="007D116E">
        <w:lastRenderedPageBreak/>
        <w:tab/>
        <w:t>(b)</w:t>
      </w:r>
      <w:r w:rsidRPr="007D116E">
        <w:tab/>
        <w:t>either—</w:t>
      </w:r>
    </w:p>
    <w:p w14:paraId="69877D1D" w14:textId="77777777" w:rsidR="00DB6E47" w:rsidRPr="00516F02" w:rsidRDefault="00DB6E47" w:rsidP="00DB6E47">
      <w:pPr>
        <w:pStyle w:val="Asubpara"/>
      </w:pPr>
      <w:r w:rsidRPr="00516F02">
        <w:tab/>
        <w:t>(i)</w:t>
      </w:r>
      <w:r w:rsidRPr="00516F02">
        <w:tab/>
        <w:t>the contravention happens—</w:t>
      </w:r>
    </w:p>
    <w:p w14:paraId="0DD7B05C" w14:textId="77777777" w:rsidR="00DB6E47" w:rsidRPr="006C3305" w:rsidRDefault="00DB6E47" w:rsidP="00DB6E47">
      <w:pPr>
        <w:pStyle w:val="Asubsubpara"/>
      </w:pPr>
      <w:r>
        <w:tab/>
      </w:r>
      <w:r w:rsidRPr="00352CBD">
        <w:t>(</w:t>
      </w:r>
      <w:r w:rsidR="005C6D6D">
        <w:t>A</w:t>
      </w:r>
      <w:r w:rsidRPr="00352CBD">
        <w:t>)</w:t>
      </w:r>
      <w:r w:rsidRPr="006C3305">
        <w:tab/>
        <w:t>at night; or</w:t>
      </w:r>
    </w:p>
    <w:p w14:paraId="26955F56" w14:textId="77777777" w:rsidR="00DB6E47" w:rsidRPr="006C3305" w:rsidRDefault="00DB6E47" w:rsidP="00DB6E47">
      <w:pPr>
        <w:pStyle w:val="Asubsubpara"/>
      </w:pPr>
      <w:r>
        <w:tab/>
      </w:r>
      <w:r w:rsidRPr="00352CBD">
        <w:t>(</w:t>
      </w:r>
      <w:r w:rsidR="005C6D6D">
        <w:t>B</w:t>
      </w:r>
      <w:r w:rsidRPr="00352CBD">
        <w:t>)</w:t>
      </w:r>
      <w:r w:rsidRPr="006C3305">
        <w:tab/>
        <w:t>in hazardous weather conditions causing reduced visibility; or</w:t>
      </w:r>
    </w:p>
    <w:p w14:paraId="4B773CA2" w14:textId="77777777" w:rsidR="00DB6E47" w:rsidRPr="00516F02" w:rsidRDefault="00DB6E47" w:rsidP="00DB6E47">
      <w:pPr>
        <w:pStyle w:val="Asubpara"/>
      </w:pPr>
      <w:r w:rsidRPr="00516F02">
        <w:tab/>
        <w:t>(ii)</w:t>
      </w:r>
      <w:r w:rsidRPr="00516F02">
        <w:tab/>
        <w:t>the vehicle’s load projects from it in a way that is dangerous to persons or property.</w:t>
      </w:r>
    </w:p>
    <w:p w14:paraId="385DFD40" w14:textId="77777777" w:rsidR="00DB6E47" w:rsidRPr="005E03F7" w:rsidRDefault="00DB6E47" w:rsidP="00DB6E47">
      <w:pPr>
        <w:pStyle w:val="AH3Div"/>
      </w:pPr>
      <w:bookmarkStart w:id="118" w:name="_Toc83625462"/>
      <w:r w:rsidRPr="005E03F7">
        <w:rPr>
          <w:rStyle w:val="CharDivNo"/>
        </w:rPr>
        <w:t>Division 3</w:t>
      </w:r>
      <w:r w:rsidRPr="00A95F9A">
        <w:rPr>
          <w:rFonts w:ascii="Helvetica" w:hAnsi="Helvetica" w:cs="Helvetica"/>
          <w:iCs/>
          <w:szCs w:val="28"/>
        </w:rPr>
        <w:tab/>
      </w:r>
      <w:r w:rsidRPr="005E03F7">
        <w:rPr>
          <w:rStyle w:val="CharDivText"/>
          <w:rFonts w:ascii="Helvetica" w:hAnsi="Helvetica" w:cs="Helvetica"/>
          <w:iCs/>
          <w:szCs w:val="28"/>
        </w:rPr>
        <w:t>Other provisions relating to load projections</w:t>
      </w:r>
      <w:bookmarkEnd w:id="118"/>
    </w:p>
    <w:p w14:paraId="08C95765" w14:textId="77777777" w:rsidR="00DB6E47" w:rsidRPr="007E1F9A" w:rsidRDefault="00DB6E47" w:rsidP="00DB6E47">
      <w:pPr>
        <w:pStyle w:val="AH5Sec"/>
      </w:pPr>
      <w:bookmarkStart w:id="119" w:name="_Toc83625463"/>
      <w:r w:rsidRPr="005E03F7">
        <w:rPr>
          <w:rStyle w:val="CharSectNo"/>
        </w:rPr>
        <w:t>108</w:t>
      </w:r>
      <w:r w:rsidRPr="007E1F9A">
        <w:tab/>
        <w:t>Dangerous projections taken to be contravention of dimension requirement</w:t>
      </w:r>
      <w:bookmarkEnd w:id="119"/>
    </w:p>
    <w:p w14:paraId="2F2A7AAF" w14:textId="77777777" w:rsidR="00DB6E47" w:rsidRPr="006C3305" w:rsidRDefault="00DB6E47" w:rsidP="00DB6E47">
      <w:pPr>
        <w:pStyle w:val="Amain"/>
      </w:pPr>
      <w:r>
        <w:tab/>
        <w:t>(</w:t>
      </w:r>
      <w:r w:rsidRPr="006C3305">
        <w:t>1)</w:t>
      </w:r>
      <w:r w:rsidRPr="006C3305">
        <w:tab/>
        <w:t>This section applies if a heavy vehicle’s load projects in a way that is dangerous to persons or property even if all dimension requirements, and all warning and other requirements prescribed by the national regulations, are met.</w:t>
      </w:r>
    </w:p>
    <w:p w14:paraId="0BB15FDF" w14:textId="77777777" w:rsidR="00DB6E47" w:rsidRPr="00EB0CDE" w:rsidRDefault="00DB6E47" w:rsidP="00DB6E47">
      <w:pPr>
        <w:pStyle w:val="Amain"/>
      </w:pPr>
      <w:r w:rsidRPr="00EB0CDE">
        <w:tab/>
        <w:t>(2)</w:t>
      </w:r>
      <w:r w:rsidRPr="00EB0CDE">
        <w:tab/>
        <w:t>The projection of the load is taken to be—</w:t>
      </w:r>
    </w:p>
    <w:p w14:paraId="2EB7AEC0" w14:textId="77777777" w:rsidR="00DB6E47" w:rsidRPr="007D116E" w:rsidRDefault="00DB6E47" w:rsidP="00DB6E47">
      <w:pPr>
        <w:pStyle w:val="Apara"/>
      </w:pPr>
      <w:r w:rsidRPr="007D116E">
        <w:tab/>
        <w:t>(a)</w:t>
      </w:r>
      <w:r w:rsidRPr="007D116E">
        <w:tab/>
        <w:t>a contravention of a dimension requirement; and</w:t>
      </w:r>
    </w:p>
    <w:p w14:paraId="57B7D331" w14:textId="77777777" w:rsidR="00DB6E47" w:rsidRPr="007D116E" w:rsidRDefault="00DB6E47" w:rsidP="00DB6E47">
      <w:pPr>
        <w:pStyle w:val="Apara"/>
      </w:pPr>
      <w:r w:rsidRPr="007D116E">
        <w:tab/>
        <w:t>(b)</w:t>
      </w:r>
      <w:r w:rsidRPr="007D116E">
        <w:tab/>
        <w:t>a minor risk breach of tha</w:t>
      </w:r>
      <w:r w:rsidR="00131458">
        <w:t xml:space="preserve">t requirement unless subsection </w:t>
      </w:r>
      <w:r w:rsidRPr="007D116E">
        <w:t>(3)</w:t>
      </w:r>
      <w:r w:rsidR="00131458">
        <w:t xml:space="preserve"> </w:t>
      </w:r>
      <w:r w:rsidRPr="007D116E">
        <w:t>applies.</w:t>
      </w:r>
    </w:p>
    <w:p w14:paraId="422DD7AA" w14:textId="77777777" w:rsidR="00DB6E47" w:rsidRPr="00EB0CDE" w:rsidRDefault="00DB6E47" w:rsidP="00DB6E47">
      <w:pPr>
        <w:pStyle w:val="Amain"/>
      </w:pPr>
      <w:r w:rsidRPr="00EB0CDE">
        <w:tab/>
        <w:t>(3)</w:t>
      </w:r>
      <w:r w:rsidRPr="00EB0CDE">
        <w:tab/>
        <w:t>The projection of the load is taken to be—</w:t>
      </w:r>
    </w:p>
    <w:p w14:paraId="73B77EEE" w14:textId="77777777" w:rsidR="00DB6E47" w:rsidRPr="007D116E" w:rsidRDefault="00DB6E47" w:rsidP="00DB6E47">
      <w:pPr>
        <w:pStyle w:val="Apara"/>
      </w:pPr>
      <w:r w:rsidRPr="007D116E">
        <w:tab/>
        <w:t>(a)</w:t>
      </w:r>
      <w:r w:rsidRPr="007D116E">
        <w:tab/>
        <w:t>a contravention of a dimension requirement; and</w:t>
      </w:r>
    </w:p>
    <w:p w14:paraId="618D590F" w14:textId="77777777" w:rsidR="00DB6E47" w:rsidRPr="007D116E" w:rsidRDefault="00DB6E47" w:rsidP="00DB6E47">
      <w:pPr>
        <w:pStyle w:val="Apara"/>
      </w:pPr>
      <w:r w:rsidRPr="007D116E">
        <w:tab/>
        <w:t>(b)</w:t>
      </w:r>
      <w:r w:rsidRPr="007D116E">
        <w:tab/>
        <w:t>a substantial risk breach of that requirement if the contravention happens—</w:t>
      </w:r>
    </w:p>
    <w:p w14:paraId="069E842C" w14:textId="77777777" w:rsidR="00DB6E47" w:rsidRPr="00516F02" w:rsidRDefault="00DB6E47" w:rsidP="00DB6E47">
      <w:pPr>
        <w:pStyle w:val="Asubpara"/>
      </w:pPr>
      <w:r w:rsidRPr="00516F02">
        <w:tab/>
        <w:t>(i)</w:t>
      </w:r>
      <w:r w:rsidRPr="00516F02">
        <w:tab/>
        <w:t>at night; or</w:t>
      </w:r>
    </w:p>
    <w:p w14:paraId="0A4138CC" w14:textId="77777777" w:rsidR="00DB6E47" w:rsidRPr="00516F02" w:rsidRDefault="00DB6E47" w:rsidP="00DB6E47">
      <w:pPr>
        <w:pStyle w:val="Asubpara"/>
      </w:pPr>
      <w:r w:rsidRPr="00516F02">
        <w:tab/>
        <w:t>(ii)</w:t>
      </w:r>
      <w:r w:rsidRPr="00516F02">
        <w:tab/>
        <w:t>in hazardous weather conditions causing reduced visibility.</w:t>
      </w:r>
    </w:p>
    <w:p w14:paraId="032C8F0E" w14:textId="77777777" w:rsidR="00DB6E47" w:rsidRPr="007E1F9A" w:rsidRDefault="00DB6E47" w:rsidP="00DB6E47">
      <w:pPr>
        <w:pStyle w:val="AH5Sec"/>
      </w:pPr>
      <w:bookmarkStart w:id="120" w:name="_Toc83625464"/>
      <w:r w:rsidRPr="005E03F7">
        <w:rPr>
          <w:rStyle w:val="CharSectNo"/>
        </w:rPr>
        <w:lastRenderedPageBreak/>
        <w:t>109</w:t>
      </w:r>
      <w:r w:rsidRPr="007E1F9A">
        <w:tab/>
        <w:t>Warning signals required for rear projection of loads</w:t>
      </w:r>
      <w:bookmarkEnd w:id="120"/>
    </w:p>
    <w:p w14:paraId="5F78AE40" w14:textId="77777777" w:rsidR="00DB6E47" w:rsidRPr="00EB0CDE" w:rsidRDefault="00DB6E47" w:rsidP="00DB6E47">
      <w:pPr>
        <w:pStyle w:val="Amain"/>
      </w:pPr>
      <w:r w:rsidRPr="00EB0CDE">
        <w:tab/>
        <w:t>(1)</w:t>
      </w:r>
      <w:r w:rsidRPr="00EB0CDE">
        <w:tab/>
        <w:t>This section applies if—</w:t>
      </w:r>
    </w:p>
    <w:p w14:paraId="33C1C6DD" w14:textId="77777777" w:rsidR="00DB6E47" w:rsidRPr="007D116E" w:rsidRDefault="00DB6E47" w:rsidP="00DB6E47">
      <w:pPr>
        <w:pStyle w:val="Apara"/>
      </w:pPr>
      <w:r w:rsidRPr="007D116E">
        <w:tab/>
        <w:t>(a)</w:t>
      </w:r>
      <w:r w:rsidRPr="007D116E">
        <w:tab/>
        <w:t>a load projects more than 1.2m behind a heavy vehicle consisting of only a motor vehicle; or</w:t>
      </w:r>
    </w:p>
    <w:p w14:paraId="2BF6CF33" w14:textId="77777777" w:rsidR="00DB6E47" w:rsidRPr="007D116E" w:rsidRDefault="00DB6E47" w:rsidP="00DB6E47">
      <w:pPr>
        <w:pStyle w:val="Apara"/>
      </w:pPr>
      <w:r w:rsidRPr="007D116E">
        <w:tab/>
        <w:t>(b)</w:t>
      </w:r>
      <w:r w:rsidRPr="007D116E">
        <w:tab/>
        <w:t>a load projects more than 1.2m behind either the towing vehicle or a trailer in a heavy combination; or</w:t>
      </w:r>
    </w:p>
    <w:p w14:paraId="367792DF" w14:textId="77777777" w:rsidR="00DB6E47" w:rsidRPr="007D116E" w:rsidRDefault="00DB6E47" w:rsidP="00DB6E47">
      <w:pPr>
        <w:pStyle w:val="Apara"/>
      </w:pPr>
      <w:r w:rsidRPr="007D116E">
        <w:tab/>
        <w:t>(c)</w:t>
      </w:r>
      <w:r w:rsidRPr="007D116E">
        <w:tab/>
        <w:t>a load projects from a pole-type trailer in a heavy combination; or</w:t>
      </w:r>
    </w:p>
    <w:p w14:paraId="244A4975" w14:textId="77777777" w:rsidR="00DB6E47" w:rsidRPr="007D116E" w:rsidRDefault="00DB6E47" w:rsidP="00DB6E47">
      <w:pPr>
        <w:pStyle w:val="Apara"/>
      </w:pPr>
      <w:r w:rsidRPr="007D116E">
        <w:tab/>
        <w:t>(d)</w:t>
      </w:r>
      <w:r w:rsidRPr="007D116E">
        <w:tab/>
        <w:t>a load projects from a heavy vehicle in a way that it would not be readily visible to a person following immediately behind the vehicle.</w:t>
      </w:r>
    </w:p>
    <w:p w14:paraId="50F0DC2E" w14:textId="77777777" w:rsidR="00DB6E47" w:rsidRPr="00EB0CDE" w:rsidRDefault="00DB6E47" w:rsidP="00DB6E47">
      <w:pPr>
        <w:pStyle w:val="Amain"/>
      </w:pPr>
      <w:r w:rsidRPr="00EB0CDE">
        <w:tab/>
        <w:t>(2)</w:t>
      </w:r>
      <w:r w:rsidRPr="00EB0CDE">
        <w:tab/>
        <w:t>A person must not use the heavy vehicle, or permit the heavy vehicle to be used, on a road unless—</w:t>
      </w:r>
    </w:p>
    <w:p w14:paraId="433B9FE9" w14:textId="77777777" w:rsidR="00DB6E47" w:rsidRPr="007D116E" w:rsidRDefault="00DB6E47" w:rsidP="00DB6E47">
      <w:pPr>
        <w:pStyle w:val="Apara"/>
      </w:pPr>
      <w:r w:rsidRPr="007D116E">
        <w:tab/>
        <w:t>(a)</w:t>
      </w:r>
      <w:r w:rsidRPr="007D116E">
        <w:tab/>
        <w:t>during the daytime—a brightly coloured red, red and yellow, or yellow flag at least 300mm by 300mm is fixed to the extreme back of the load; or</w:t>
      </w:r>
    </w:p>
    <w:p w14:paraId="61728742" w14:textId="77777777" w:rsidR="00DB6E47" w:rsidRPr="007D116E" w:rsidRDefault="00DB6E47" w:rsidP="00DB6E47">
      <w:pPr>
        <w:pStyle w:val="Apara"/>
      </w:pPr>
      <w:r w:rsidRPr="007D116E">
        <w:tab/>
        <w:t>(b)</w:t>
      </w:r>
      <w:r w:rsidRPr="007D116E">
        <w:tab/>
        <w:t>at night—a light showing a clear red light to the back, visible at a distance of at least 200m, is fixed to the extreme back of the load.</w:t>
      </w:r>
    </w:p>
    <w:p w14:paraId="01BBD21C" w14:textId="77777777" w:rsidR="00DB6E47" w:rsidRPr="006C3305" w:rsidRDefault="00DB6E47" w:rsidP="00DB6E47">
      <w:pPr>
        <w:pStyle w:val="Penalty"/>
      </w:pPr>
      <w:r w:rsidRPr="006C3305">
        <w:t>Maximum penalty—$3000.</w:t>
      </w:r>
    </w:p>
    <w:p w14:paraId="1D783B90" w14:textId="77777777" w:rsidR="00DB6E47" w:rsidRPr="003D647F" w:rsidRDefault="00DB6E47" w:rsidP="00DB6E47">
      <w:pPr>
        <w:pStyle w:val="PageBreak"/>
      </w:pPr>
      <w:r w:rsidRPr="003D647F">
        <w:br w:type="page"/>
      </w:r>
    </w:p>
    <w:p w14:paraId="2891D06B" w14:textId="77777777" w:rsidR="00DB6E47" w:rsidRPr="005E03F7" w:rsidRDefault="00DB6E47" w:rsidP="00DB6E47">
      <w:pPr>
        <w:pStyle w:val="AH2Part"/>
      </w:pPr>
      <w:bookmarkStart w:id="121" w:name="_Toc83625465"/>
      <w:r w:rsidRPr="005E03F7">
        <w:rPr>
          <w:rStyle w:val="CharPartNo"/>
        </w:rPr>
        <w:lastRenderedPageBreak/>
        <w:t>Part 4.4</w:t>
      </w:r>
      <w:r w:rsidRPr="00A95F9A">
        <w:rPr>
          <w:rFonts w:ascii="Helvetica" w:hAnsi="Helvetica" w:cs="Helvetica"/>
          <w:iCs/>
          <w:szCs w:val="32"/>
        </w:rPr>
        <w:tab/>
      </w:r>
      <w:r w:rsidRPr="005E03F7">
        <w:rPr>
          <w:rStyle w:val="CharPartText"/>
          <w:rFonts w:ascii="Helvetica" w:hAnsi="Helvetica" w:cs="Helvetica"/>
          <w:iCs/>
          <w:szCs w:val="32"/>
        </w:rPr>
        <w:t>Loading requirements</w:t>
      </w:r>
      <w:bookmarkEnd w:id="121"/>
    </w:p>
    <w:p w14:paraId="7CF55FD3" w14:textId="77777777" w:rsidR="00DB6E47" w:rsidRPr="005E03F7" w:rsidRDefault="00DB6E47" w:rsidP="00DB6E47">
      <w:pPr>
        <w:pStyle w:val="AH3Div"/>
      </w:pPr>
      <w:bookmarkStart w:id="122" w:name="_Toc83625466"/>
      <w:r w:rsidRPr="005E03F7">
        <w:rPr>
          <w:rStyle w:val="CharDivNo"/>
        </w:rPr>
        <w:t>Division 1</w:t>
      </w:r>
      <w:r w:rsidRPr="00A95F9A">
        <w:rPr>
          <w:rFonts w:ascii="Helvetica" w:hAnsi="Helvetica" w:cs="Helvetica"/>
          <w:iCs/>
          <w:szCs w:val="28"/>
        </w:rPr>
        <w:tab/>
      </w:r>
      <w:r w:rsidRPr="005E03F7">
        <w:rPr>
          <w:rStyle w:val="CharDivText"/>
          <w:rFonts w:ascii="Helvetica" w:hAnsi="Helvetica" w:cs="Helvetica"/>
          <w:iCs/>
          <w:szCs w:val="28"/>
        </w:rPr>
        <w:t>Requirements</w:t>
      </w:r>
      <w:bookmarkEnd w:id="122"/>
    </w:p>
    <w:p w14:paraId="6C6A2260" w14:textId="77777777" w:rsidR="00DB6E47" w:rsidRPr="007E1F9A" w:rsidRDefault="00DB6E47" w:rsidP="00DB6E47">
      <w:pPr>
        <w:pStyle w:val="AH5Sec"/>
      </w:pPr>
      <w:bookmarkStart w:id="123" w:name="_Toc83625467"/>
      <w:r w:rsidRPr="005E03F7">
        <w:rPr>
          <w:rStyle w:val="CharSectNo"/>
        </w:rPr>
        <w:t>110</w:t>
      </w:r>
      <w:r w:rsidRPr="007E1F9A">
        <w:tab/>
        <w:t>National regulations may prescribe loading requirements</w:t>
      </w:r>
      <w:bookmarkEnd w:id="123"/>
    </w:p>
    <w:p w14:paraId="3EB5BF7A" w14:textId="77777777" w:rsidR="00DB6E47" w:rsidRPr="00EB0CDE" w:rsidRDefault="00DB6E47" w:rsidP="00DB6E47">
      <w:pPr>
        <w:pStyle w:val="Amain"/>
      </w:pPr>
      <w:r w:rsidRPr="00EB0CDE">
        <w:tab/>
        <w:t>(1)</w:t>
      </w:r>
      <w:r w:rsidRPr="00EB0CDE">
        <w:tab/>
        <w:t xml:space="preserve">The national regulations may prescribe requirements (the </w:t>
      </w:r>
      <w:r w:rsidRPr="00FF4454">
        <w:rPr>
          <w:rStyle w:val="charBoldItals"/>
        </w:rPr>
        <w:t>loading requirements</w:t>
      </w:r>
      <w:r w:rsidRPr="00EB0CDE">
        <w:t>) about securing a load on a heavy vehicle or a component of a heavy vehicle.</w:t>
      </w:r>
    </w:p>
    <w:p w14:paraId="5D7F75DF" w14:textId="77777777" w:rsidR="00DB6E47" w:rsidRPr="00EB0CDE" w:rsidRDefault="00DB6E47" w:rsidP="00DB6E47">
      <w:pPr>
        <w:pStyle w:val="Amain"/>
      </w:pPr>
      <w:r w:rsidRPr="00EB0CDE">
        <w:tab/>
        <w:t>(2)</w:t>
      </w:r>
      <w:r w:rsidRPr="00EB0CDE">
        <w:tab/>
        <w:t>Without limiting subsection (1), the loading requirements may include requirements about the restraint or positioning of a load or any part of it on a motor vehicle or trailer.</w:t>
      </w:r>
    </w:p>
    <w:p w14:paraId="7DD9E1F2" w14:textId="77777777" w:rsidR="00DB6E47" w:rsidRPr="007E1F9A" w:rsidRDefault="00DB6E47" w:rsidP="00DB6E47">
      <w:pPr>
        <w:pStyle w:val="AH5Sec"/>
      </w:pPr>
      <w:bookmarkStart w:id="124" w:name="_Toc83625468"/>
      <w:r w:rsidRPr="005E03F7">
        <w:rPr>
          <w:rStyle w:val="CharSectNo"/>
        </w:rPr>
        <w:t>111</w:t>
      </w:r>
      <w:r w:rsidRPr="007E1F9A">
        <w:tab/>
        <w:t>Compliance with loading requirements</w:t>
      </w:r>
      <w:bookmarkEnd w:id="124"/>
    </w:p>
    <w:p w14:paraId="2ABDFD5F" w14:textId="77777777" w:rsidR="00E32363" w:rsidRPr="00E32363" w:rsidRDefault="00E32363" w:rsidP="00E32363">
      <w:pPr>
        <w:pStyle w:val="Amain"/>
        <w:rPr>
          <w:lang w:val="en" w:eastAsia="en-AU"/>
        </w:rPr>
      </w:pPr>
      <w:r>
        <w:rPr>
          <w:lang w:val="en" w:eastAsia="en-AU"/>
        </w:rPr>
        <w:tab/>
      </w:r>
      <w:r w:rsidRPr="00E32363">
        <w:rPr>
          <w:lang w:val="en" w:eastAsia="en-AU"/>
        </w:rPr>
        <w:t>(1)</w:t>
      </w:r>
      <w:r>
        <w:rPr>
          <w:lang w:val="en" w:eastAsia="en-AU"/>
        </w:rPr>
        <w:tab/>
      </w:r>
      <w:r w:rsidRPr="00E32363">
        <w:rPr>
          <w:lang w:val="en" w:eastAsia="en-AU"/>
        </w:rPr>
        <w:t>A person who drives, or permits another person to drive, a heavy vehicle on a road must ensure the vehicle, and the vehicle’s components and load, comply with the loading requirements applying to the vehicle, unless the person has a reasonable excuse.</w:t>
      </w:r>
    </w:p>
    <w:p w14:paraId="55ADF41C" w14:textId="77777777" w:rsidR="00E32363" w:rsidRPr="00E32363" w:rsidRDefault="00E32363" w:rsidP="00E32363">
      <w:pPr>
        <w:pStyle w:val="Penalty"/>
        <w:rPr>
          <w:lang w:val="en" w:eastAsia="en-AU"/>
        </w:rPr>
      </w:pPr>
      <w:r w:rsidRPr="00E32363">
        <w:rPr>
          <w:lang w:val="en" w:eastAsia="en-AU"/>
        </w:rPr>
        <w:t>Maximum penalty—</w:t>
      </w:r>
    </w:p>
    <w:p w14:paraId="0D7AC4C5" w14:textId="77777777" w:rsidR="00E32363" w:rsidRPr="00E32363" w:rsidRDefault="00E32363" w:rsidP="00E32363">
      <w:pPr>
        <w:pStyle w:val="PenaltyPara"/>
        <w:rPr>
          <w:lang w:val="en" w:eastAsia="en-AU"/>
        </w:rPr>
      </w:pPr>
      <w:r>
        <w:rPr>
          <w:lang w:val="en" w:eastAsia="en-AU"/>
        </w:rPr>
        <w:tab/>
      </w:r>
      <w:r w:rsidRPr="00E32363">
        <w:rPr>
          <w:lang w:val="en" w:eastAsia="en-AU"/>
        </w:rPr>
        <w:t>(a)</w:t>
      </w:r>
      <w:r>
        <w:rPr>
          <w:lang w:val="en" w:eastAsia="en-AU"/>
        </w:rPr>
        <w:tab/>
      </w:r>
      <w:r w:rsidRPr="00E32363">
        <w:rPr>
          <w:lang w:val="en" w:eastAsia="en-AU"/>
        </w:rPr>
        <w:t>for a minor risk breach—$3000; or</w:t>
      </w:r>
    </w:p>
    <w:p w14:paraId="39DB70F0" w14:textId="77777777" w:rsidR="00E32363" w:rsidRPr="00E32363" w:rsidRDefault="00E32363" w:rsidP="00E32363">
      <w:pPr>
        <w:pStyle w:val="PenaltyPara"/>
        <w:rPr>
          <w:lang w:val="en" w:eastAsia="en-AU"/>
        </w:rPr>
      </w:pPr>
      <w:r>
        <w:rPr>
          <w:lang w:val="en" w:eastAsia="en-AU"/>
        </w:rPr>
        <w:tab/>
      </w:r>
      <w:r w:rsidRPr="00E32363">
        <w:rPr>
          <w:lang w:val="en" w:eastAsia="en-AU"/>
        </w:rPr>
        <w:t>(b)</w:t>
      </w:r>
      <w:r>
        <w:rPr>
          <w:lang w:val="en" w:eastAsia="en-AU"/>
        </w:rPr>
        <w:tab/>
      </w:r>
      <w:r w:rsidRPr="00E32363">
        <w:rPr>
          <w:lang w:val="en" w:eastAsia="en-AU"/>
        </w:rPr>
        <w:t>for a substantial risk breach—$5000; or</w:t>
      </w:r>
    </w:p>
    <w:p w14:paraId="328889F2" w14:textId="77777777" w:rsidR="00E32363" w:rsidRPr="00E32363" w:rsidRDefault="00E32363" w:rsidP="00E32363">
      <w:pPr>
        <w:pStyle w:val="PenaltyPara"/>
        <w:rPr>
          <w:lang w:val="en" w:eastAsia="en-AU"/>
        </w:rPr>
      </w:pPr>
      <w:r>
        <w:rPr>
          <w:lang w:val="en" w:eastAsia="en-AU"/>
        </w:rPr>
        <w:tab/>
      </w:r>
      <w:r w:rsidRPr="00E32363">
        <w:rPr>
          <w:lang w:val="en" w:eastAsia="en-AU"/>
        </w:rPr>
        <w:t>(c)</w:t>
      </w:r>
      <w:r>
        <w:rPr>
          <w:lang w:val="en" w:eastAsia="en-AU"/>
        </w:rPr>
        <w:tab/>
      </w:r>
      <w:r w:rsidRPr="00E32363">
        <w:rPr>
          <w:lang w:val="en" w:eastAsia="en-AU"/>
        </w:rPr>
        <w:t>for a severe risk breach—$10000.</w:t>
      </w:r>
    </w:p>
    <w:p w14:paraId="3B20CBD3" w14:textId="77777777" w:rsidR="00DB6E47" w:rsidRPr="005E03F7" w:rsidRDefault="00DB6E47" w:rsidP="00DB6E47">
      <w:pPr>
        <w:pStyle w:val="AH3Div"/>
      </w:pPr>
      <w:bookmarkStart w:id="125" w:name="_Toc83625469"/>
      <w:r w:rsidRPr="005E03F7">
        <w:rPr>
          <w:rStyle w:val="CharDivNo"/>
        </w:rPr>
        <w:t>Division 2</w:t>
      </w:r>
      <w:r w:rsidRPr="00A95F9A">
        <w:rPr>
          <w:rFonts w:ascii="Helvetica" w:hAnsi="Helvetica" w:cs="Helvetica"/>
          <w:iCs/>
          <w:szCs w:val="28"/>
        </w:rPr>
        <w:tab/>
      </w:r>
      <w:r w:rsidRPr="005E03F7">
        <w:rPr>
          <w:rStyle w:val="CharDivText"/>
          <w:rFonts w:ascii="Helvetica" w:hAnsi="Helvetica" w:cs="Helvetica"/>
          <w:iCs/>
          <w:szCs w:val="28"/>
        </w:rPr>
        <w:t>Categories of breaches of loading requirements</w:t>
      </w:r>
      <w:bookmarkEnd w:id="125"/>
    </w:p>
    <w:p w14:paraId="74383F5B" w14:textId="77777777" w:rsidR="00DB6E47" w:rsidRPr="007E1F9A" w:rsidRDefault="00DB6E47" w:rsidP="00DB6E47">
      <w:pPr>
        <w:pStyle w:val="AH5Sec"/>
      </w:pPr>
      <w:bookmarkStart w:id="126" w:name="_Toc83625470"/>
      <w:r w:rsidRPr="005E03F7">
        <w:rPr>
          <w:rStyle w:val="CharSectNo"/>
        </w:rPr>
        <w:t>112</w:t>
      </w:r>
      <w:r w:rsidRPr="007E1F9A">
        <w:tab/>
        <w:t>Minor risk breach</w:t>
      </w:r>
      <w:bookmarkEnd w:id="126"/>
    </w:p>
    <w:p w14:paraId="2CE380DE" w14:textId="77777777" w:rsidR="00DB6E47" w:rsidRPr="00EB0CDE" w:rsidRDefault="00DB6E47" w:rsidP="00DB6E47">
      <w:pPr>
        <w:pStyle w:val="Amainreturn"/>
      </w:pPr>
      <w:r w:rsidRPr="00EB0CDE">
        <w:t xml:space="preserve">A contravention of a loading requirement applying to a heavy vehicle is a </w:t>
      </w:r>
      <w:r w:rsidRPr="00FF4454">
        <w:rPr>
          <w:rStyle w:val="charBoldItals"/>
        </w:rPr>
        <w:t>minor risk breach</w:t>
      </w:r>
      <w:r w:rsidRPr="00EB0CDE">
        <w:t xml:space="preserve"> if—</w:t>
      </w:r>
    </w:p>
    <w:p w14:paraId="2ED39366" w14:textId="77777777" w:rsidR="00DB6E47" w:rsidRPr="00516F02" w:rsidRDefault="00DB6E47" w:rsidP="00DB6E47">
      <w:pPr>
        <w:pStyle w:val="Apara"/>
      </w:pPr>
      <w:r w:rsidRPr="00516F02">
        <w:tab/>
        <w:t>(a)</w:t>
      </w:r>
      <w:r w:rsidRPr="00516F02">
        <w:tab/>
        <w:t>the subject matter of the contravention does not involve a loss or shifting of the load; and</w:t>
      </w:r>
    </w:p>
    <w:p w14:paraId="05CA863A" w14:textId="77777777" w:rsidR="00DB6E47" w:rsidRPr="00516F02" w:rsidRDefault="00DB6E47" w:rsidP="00DB6E47">
      <w:pPr>
        <w:pStyle w:val="Apara"/>
      </w:pPr>
      <w:r w:rsidRPr="00516F02">
        <w:lastRenderedPageBreak/>
        <w:tab/>
        <w:t>(b)</w:t>
      </w:r>
      <w:r w:rsidRPr="00516F02">
        <w:tab/>
        <w:t>had the subject matter of the contravention involved a loss or shifting of the load, the loss or shifting of the load would not have been likely to have involved—</w:t>
      </w:r>
    </w:p>
    <w:p w14:paraId="458C0E33" w14:textId="77777777" w:rsidR="00DB6E47" w:rsidRPr="00516F02" w:rsidRDefault="00DB6E47" w:rsidP="00DB6E47">
      <w:pPr>
        <w:pStyle w:val="Asubpara"/>
      </w:pPr>
      <w:r w:rsidRPr="00516F02">
        <w:tab/>
        <w:t>(i)</w:t>
      </w:r>
      <w:r w:rsidRPr="00516F02">
        <w:tab/>
        <w:t>an appreciable safety risk; or</w:t>
      </w:r>
    </w:p>
    <w:p w14:paraId="29099E09" w14:textId="77777777" w:rsidR="00DB6E47" w:rsidRPr="00516F02" w:rsidRDefault="00DB6E47" w:rsidP="00DB6E47">
      <w:pPr>
        <w:pStyle w:val="Asubpara"/>
      </w:pPr>
      <w:r w:rsidRPr="00516F02">
        <w:tab/>
        <w:t>(ii)</w:t>
      </w:r>
      <w:r w:rsidRPr="00516F02">
        <w:tab/>
        <w:t>an appreciable risk of—</w:t>
      </w:r>
    </w:p>
    <w:p w14:paraId="71007B22" w14:textId="77777777" w:rsidR="00DB6E47" w:rsidRPr="006C3305" w:rsidRDefault="00DB6E47" w:rsidP="00DB6E47">
      <w:pPr>
        <w:pStyle w:val="Asubsubpara"/>
      </w:pPr>
      <w:r>
        <w:tab/>
      </w:r>
      <w:r w:rsidRPr="00352CBD">
        <w:t>(</w:t>
      </w:r>
      <w:r w:rsidR="005C6D6D">
        <w:t>A</w:t>
      </w:r>
      <w:r w:rsidRPr="00352CBD">
        <w:t>)</w:t>
      </w:r>
      <w:r w:rsidRPr="006C3305">
        <w:tab/>
        <w:t>damage to road infrastructure; or</w:t>
      </w:r>
    </w:p>
    <w:p w14:paraId="3A80CC93" w14:textId="77777777" w:rsidR="00DB6E47" w:rsidRPr="006C3305" w:rsidRDefault="00DB6E47" w:rsidP="00DB6E47">
      <w:pPr>
        <w:pStyle w:val="Asubsubpara"/>
      </w:pPr>
      <w:r>
        <w:tab/>
      </w:r>
      <w:r w:rsidRPr="00352CBD">
        <w:t>(</w:t>
      </w:r>
      <w:r w:rsidR="005C6D6D">
        <w:t>B</w:t>
      </w:r>
      <w:r w:rsidRPr="00352CBD">
        <w:t>)</w:t>
      </w:r>
      <w:r w:rsidRPr="006C3305">
        <w:tab/>
        <w:t>causing an adverse effect on public amenity.</w:t>
      </w:r>
    </w:p>
    <w:p w14:paraId="7A34FBBD" w14:textId="77777777" w:rsidR="00DB6E47" w:rsidRPr="007E1F9A" w:rsidRDefault="00DB6E47" w:rsidP="00DB6E47">
      <w:pPr>
        <w:pStyle w:val="AH5Sec"/>
      </w:pPr>
      <w:bookmarkStart w:id="127" w:name="_Toc83625471"/>
      <w:r w:rsidRPr="005E03F7">
        <w:rPr>
          <w:rStyle w:val="CharSectNo"/>
        </w:rPr>
        <w:t>113</w:t>
      </w:r>
      <w:r w:rsidRPr="007E1F9A">
        <w:tab/>
        <w:t>Substantial risk breach</w:t>
      </w:r>
      <w:bookmarkEnd w:id="127"/>
    </w:p>
    <w:p w14:paraId="5DAA87C8" w14:textId="77777777" w:rsidR="00DB6E47" w:rsidRPr="006C3305" w:rsidRDefault="00DB6E47" w:rsidP="00DB6E47">
      <w:pPr>
        <w:pStyle w:val="Amain"/>
      </w:pPr>
      <w:r>
        <w:tab/>
        <w:t>(</w:t>
      </w:r>
      <w:r w:rsidRPr="006C3305">
        <w:t>1)</w:t>
      </w:r>
      <w:r w:rsidRPr="006C3305">
        <w:tab/>
        <w:t xml:space="preserve">A contravention of a loading requirement applying to a heavy vehicle is a </w:t>
      </w:r>
      <w:r w:rsidRPr="00FF4454">
        <w:rPr>
          <w:rStyle w:val="charBoldItals"/>
        </w:rPr>
        <w:t>substantial risk breach</w:t>
      </w:r>
      <w:r w:rsidRPr="006C3305">
        <w:t xml:space="preserve"> if the subject matter of the contravention involves a loss or shifting of the load that does not involve—</w:t>
      </w:r>
    </w:p>
    <w:p w14:paraId="7227E2E3" w14:textId="77777777" w:rsidR="00DB6E47" w:rsidRPr="007D116E" w:rsidRDefault="00DB6E47" w:rsidP="00DB6E47">
      <w:pPr>
        <w:pStyle w:val="Apara"/>
      </w:pPr>
      <w:r w:rsidRPr="007D116E">
        <w:tab/>
        <w:t>(a)</w:t>
      </w:r>
      <w:r w:rsidRPr="007D116E">
        <w:tab/>
        <w:t xml:space="preserve"> an appreciable safety risk; or</w:t>
      </w:r>
    </w:p>
    <w:p w14:paraId="7F38197E" w14:textId="77777777" w:rsidR="00DB6E47" w:rsidRPr="007D116E" w:rsidRDefault="00DB6E47" w:rsidP="00DB6E47">
      <w:pPr>
        <w:pStyle w:val="Apara"/>
      </w:pPr>
      <w:r w:rsidRPr="007D116E">
        <w:tab/>
        <w:t>(b)</w:t>
      </w:r>
      <w:r w:rsidRPr="007D116E">
        <w:tab/>
        <w:t>an appreciable risk of—</w:t>
      </w:r>
    </w:p>
    <w:p w14:paraId="263700DE" w14:textId="77777777" w:rsidR="00DB6E47" w:rsidRPr="00516F02" w:rsidRDefault="00DB6E47" w:rsidP="00DB6E47">
      <w:pPr>
        <w:pStyle w:val="Asubpara"/>
      </w:pPr>
      <w:r w:rsidRPr="00516F02">
        <w:tab/>
        <w:t>(i)</w:t>
      </w:r>
      <w:r w:rsidRPr="00516F02">
        <w:tab/>
        <w:t>damage to road infrastructure; or</w:t>
      </w:r>
    </w:p>
    <w:p w14:paraId="2729157F" w14:textId="77777777" w:rsidR="00DB6E47" w:rsidRPr="00516F02" w:rsidRDefault="00DB6E47" w:rsidP="00DB6E47">
      <w:pPr>
        <w:pStyle w:val="Asubpara"/>
      </w:pPr>
      <w:r w:rsidRPr="00516F02">
        <w:tab/>
        <w:t>(ii)</w:t>
      </w:r>
      <w:r w:rsidRPr="00516F02">
        <w:tab/>
        <w:t>causing an adverse effect on public amenity.</w:t>
      </w:r>
    </w:p>
    <w:p w14:paraId="6E2A8299" w14:textId="77777777" w:rsidR="00DB6E47" w:rsidRPr="006C3305" w:rsidRDefault="00DB6E47" w:rsidP="005C6D6D">
      <w:pPr>
        <w:pStyle w:val="Amain"/>
        <w:keepNext/>
      </w:pPr>
      <w:r>
        <w:tab/>
        <w:t>(</w:t>
      </w:r>
      <w:r w:rsidRPr="006C3305">
        <w:t>2)</w:t>
      </w:r>
      <w:r w:rsidRPr="006C3305">
        <w:tab/>
        <w:t xml:space="preserve">A contravention of a loading requirement applying to a heavy vehicle is also a </w:t>
      </w:r>
      <w:r w:rsidRPr="00FF4454">
        <w:rPr>
          <w:rStyle w:val="charBoldItals"/>
        </w:rPr>
        <w:t>substantial risk breach</w:t>
      </w:r>
      <w:r w:rsidRPr="006C3305">
        <w:t xml:space="preserve"> if—</w:t>
      </w:r>
    </w:p>
    <w:p w14:paraId="6FE12323" w14:textId="77777777" w:rsidR="00DB6E47" w:rsidRPr="007D116E" w:rsidRDefault="00DB6E47" w:rsidP="00DB6E47">
      <w:pPr>
        <w:pStyle w:val="Apara"/>
      </w:pPr>
      <w:r w:rsidRPr="007D116E">
        <w:tab/>
        <w:t>(a)</w:t>
      </w:r>
      <w:r w:rsidRPr="007D116E">
        <w:tab/>
        <w:t>the subject matter of the contravention does not involve a loss or shifting of the load; and</w:t>
      </w:r>
    </w:p>
    <w:p w14:paraId="2B0DE3C9" w14:textId="77777777" w:rsidR="00DB6E47" w:rsidRPr="007D116E" w:rsidRDefault="00DB6E47" w:rsidP="00DB6E47">
      <w:pPr>
        <w:pStyle w:val="Apara"/>
      </w:pPr>
      <w:r w:rsidRPr="007D116E">
        <w:tab/>
        <w:t>(b)</w:t>
      </w:r>
      <w:r w:rsidRPr="007D116E">
        <w:tab/>
        <w:t>had the subject matter of the contravention involved a loss or shifting of the load, the loss or shifting of the load would have been likely to have involved—</w:t>
      </w:r>
    </w:p>
    <w:p w14:paraId="4EE8696A" w14:textId="77777777" w:rsidR="00DB6E47" w:rsidRPr="00516F02" w:rsidRDefault="00DB6E47" w:rsidP="00DB6E47">
      <w:pPr>
        <w:pStyle w:val="Asubpara"/>
      </w:pPr>
      <w:r w:rsidRPr="00516F02">
        <w:tab/>
        <w:t>(i)</w:t>
      </w:r>
      <w:r w:rsidRPr="00516F02">
        <w:tab/>
        <w:t>an appreciable safety risk; or</w:t>
      </w:r>
    </w:p>
    <w:p w14:paraId="4520E7B7" w14:textId="77777777" w:rsidR="00DB6E47" w:rsidRPr="00516F02" w:rsidRDefault="00DB6E47" w:rsidP="00DB6E47">
      <w:pPr>
        <w:pStyle w:val="Asubpara"/>
      </w:pPr>
      <w:r w:rsidRPr="00516F02">
        <w:tab/>
        <w:t>(ii)</w:t>
      </w:r>
      <w:r w:rsidRPr="00516F02">
        <w:tab/>
        <w:t>an appreciable risk of—</w:t>
      </w:r>
    </w:p>
    <w:p w14:paraId="1A663A04" w14:textId="77777777" w:rsidR="00DB6E47" w:rsidRPr="006C3305" w:rsidRDefault="00DB6E47" w:rsidP="00DB6E47">
      <w:pPr>
        <w:pStyle w:val="Asubsubpara"/>
      </w:pPr>
      <w:r>
        <w:tab/>
      </w:r>
      <w:r w:rsidRPr="00352CBD">
        <w:t>(</w:t>
      </w:r>
      <w:r w:rsidR="005C6D6D">
        <w:t>A</w:t>
      </w:r>
      <w:r w:rsidRPr="00352CBD">
        <w:t>)</w:t>
      </w:r>
      <w:r w:rsidRPr="006C3305">
        <w:tab/>
        <w:t>damage to road infrastructure; or</w:t>
      </w:r>
    </w:p>
    <w:p w14:paraId="5ECC5975" w14:textId="77777777" w:rsidR="00DB6E47" w:rsidRPr="006C3305" w:rsidRDefault="00DB6E47" w:rsidP="00DB6E47">
      <w:pPr>
        <w:pStyle w:val="Asubsubpara"/>
      </w:pPr>
      <w:r>
        <w:tab/>
      </w:r>
      <w:r w:rsidRPr="00352CBD">
        <w:t>(</w:t>
      </w:r>
      <w:r w:rsidR="005C6D6D">
        <w:t>B</w:t>
      </w:r>
      <w:r w:rsidRPr="00352CBD">
        <w:t>)</w:t>
      </w:r>
      <w:r w:rsidRPr="006C3305">
        <w:tab/>
        <w:t>causing an adverse effect on public amenity.</w:t>
      </w:r>
    </w:p>
    <w:p w14:paraId="6090CB92" w14:textId="77777777" w:rsidR="00DB6E47" w:rsidRPr="007E1F9A" w:rsidRDefault="00DB6E47" w:rsidP="00DB6E47">
      <w:pPr>
        <w:pStyle w:val="AH5Sec"/>
      </w:pPr>
      <w:bookmarkStart w:id="128" w:name="_Toc83625472"/>
      <w:r w:rsidRPr="005E03F7">
        <w:rPr>
          <w:rStyle w:val="CharSectNo"/>
        </w:rPr>
        <w:lastRenderedPageBreak/>
        <w:t>114</w:t>
      </w:r>
      <w:r w:rsidRPr="007E1F9A">
        <w:tab/>
        <w:t>Severe risk breach</w:t>
      </w:r>
      <w:bookmarkEnd w:id="128"/>
    </w:p>
    <w:p w14:paraId="2DDE99B9" w14:textId="77777777" w:rsidR="00DB6E47" w:rsidRPr="006C3305" w:rsidRDefault="00DB6E47" w:rsidP="00DB6E47">
      <w:pPr>
        <w:pStyle w:val="Amainreturn"/>
      </w:pPr>
      <w:r w:rsidRPr="006C3305">
        <w:t xml:space="preserve">A contravention of a loading requirement applying to a heavy vehicle is a </w:t>
      </w:r>
      <w:r w:rsidRPr="00FF4454">
        <w:rPr>
          <w:rStyle w:val="charBoldItals"/>
        </w:rPr>
        <w:t>severe risk breach</w:t>
      </w:r>
      <w:r w:rsidRPr="006C3305">
        <w:t xml:space="preserve"> if the subject matter of the contravention involves a loss or shifting of the vehicle’s load that involves—</w:t>
      </w:r>
    </w:p>
    <w:p w14:paraId="4FBC2772" w14:textId="77777777" w:rsidR="00DB6E47" w:rsidRPr="00516F02" w:rsidRDefault="00DB6E47" w:rsidP="00DB6E47">
      <w:pPr>
        <w:pStyle w:val="Apara"/>
      </w:pPr>
      <w:r w:rsidRPr="00516F02">
        <w:tab/>
        <w:t>(a)</w:t>
      </w:r>
      <w:r w:rsidRPr="00516F02">
        <w:tab/>
        <w:t>an appreciable safety risk; or</w:t>
      </w:r>
    </w:p>
    <w:p w14:paraId="00422712" w14:textId="77777777" w:rsidR="00DB6E47" w:rsidRPr="00516F02" w:rsidRDefault="00DB6E47" w:rsidP="00DB6E47">
      <w:pPr>
        <w:pStyle w:val="Apara"/>
      </w:pPr>
      <w:r w:rsidRPr="00516F02">
        <w:tab/>
        <w:t>(b)</w:t>
      </w:r>
      <w:r w:rsidRPr="00516F02">
        <w:tab/>
        <w:t>an appreciable risk of—</w:t>
      </w:r>
    </w:p>
    <w:p w14:paraId="04E18B2D" w14:textId="77777777" w:rsidR="00DB6E47" w:rsidRPr="00516F02" w:rsidRDefault="00DB6E47" w:rsidP="00DB6E47">
      <w:pPr>
        <w:pStyle w:val="Asubpara"/>
      </w:pPr>
      <w:r w:rsidRPr="00516F02">
        <w:tab/>
        <w:t>(i)</w:t>
      </w:r>
      <w:r w:rsidRPr="00516F02">
        <w:tab/>
        <w:t>damage to road infrastructure; or</w:t>
      </w:r>
    </w:p>
    <w:p w14:paraId="5BA4E236" w14:textId="77777777" w:rsidR="00DB6E47" w:rsidRPr="00516F02" w:rsidRDefault="00DB6E47" w:rsidP="00DB6E47">
      <w:pPr>
        <w:pStyle w:val="Asubpara"/>
      </w:pPr>
      <w:r w:rsidRPr="00516F02">
        <w:tab/>
        <w:t>(ii)</w:t>
      </w:r>
      <w:r w:rsidRPr="00516F02">
        <w:tab/>
        <w:t>causing an adverse effect on public amenity.</w:t>
      </w:r>
    </w:p>
    <w:p w14:paraId="5F8727EA" w14:textId="77777777" w:rsidR="00DB6E47" w:rsidRPr="005E03F7" w:rsidRDefault="00DB6E47" w:rsidP="00DB6E47">
      <w:pPr>
        <w:pStyle w:val="AH3Div"/>
      </w:pPr>
      <w:bookmarkStart w:id="129" w:name="_Toc83625473"/>
      <w:r w:rsidRPr="005E03F7">
        <w:rPr>
          <w:rStyle w:val="CharDivNo"/>
        </w:rPr>
        <w:t>Division 3</w:t>
      </w:r>
      <w:r w:rsidRPr="00A95F9A">
        <w:rPr>
          <w:rFonts w:ascii="Helvetica" w:hAnsi="Helvetica" w:cs="Helvetica"/>
          <w:iCs/>
          <w:szCs w:val="28"/>
        </w:rPr>
        <w:tab/>
      </w:r>
      <w:r w:rsidRPr="005E03F7">
        <w:rPr>
          <w:rStyle w:val="CharDivText"/>
          <w:rFonts w:ascii="Helvetica" w:hAnsi="Helvetica" w:cs="Helvetica"/>
          <w:iCs/>
          <w:szCs w:val="28"/>
        </w:rPr>
        <w:t>Evidentiary provision</w:t>
      </w:r>
      <w:bookmarkEnd w:id="129"/>
    </w:p>
    <w:p w14:paraId="5F131E16" w14:textId="77777777" w:rsidR="0092385B" w:rsidRPr="0092385B" w:rsidRDefault="0092385B" w:rsidP="0092385B">
      <w:pPr>
        <w:pStyle w:val="AH5Sec"/>
        <w:rPr>
          <w:lang w:val="en" w:eastAsia="en-AU"/>
        </w:rPr>
      </w:pPr>
      <w:bookmarkStart w:id="130" w:name="_Toc83625474"/>
      <w:r w:rsidRPr="005E03F7">
        <w:rPr>
          <w:rStyle w:val="CharSectNo"/>
        </w:rPr>
        <w:t>115</w:t>
      </w:r>
      <w:r>
        <w:rPr>
          <w:lang w:val="en" w:eastAsia="en-AU"/>
        </w:rPr>
        <w:tab/>
      </w:r>
      <w:r w:rsidRPr="0092385B">
        <w:rPr>
          <w:lang w:val="en" w:eastAsia="en-AU"/>
        </w:rPr>
        <w:t>Proof of contravention of loading requirement</w:t>
      </w:r>
      <w:bookmarkEnd w:id="130"/>
    </w:p>
    <w:p w14:paraId="7B762946" w14:textId="77777777" w:rsidR="0092385B" w:rsidRPr="0092385B" w:rsidRDefault="0092385B" w:rsidP="0092385B">
      <w:pPr>
        <w:pStyle w:val="Amain"/>
        <w:rPr>
          <w:lang w:val="en" w:eastAsia="en-AU"/>
        </w:rPr>
      </w:pPr>
      <w:r>
        <w:rPr>
          <w:lang w:val="en" w:eastAsia="en-AU"/>
        </w:rPr>
        <w:tab/>
      </w:r>
      <w:r w:rsidRPr="0092385B">
        <w:rPr>
          <w:lang w:val="en" w:eastAsia="en-AU"/>
        </w:rPr>
        <w:t>(1)</w:t>
      </w:r>
      <w:r>
        <w:rPr>
          <w:lang w:val="en" w:eastAsia="en-AU"/>
        </w:rPr>
        <w:tab/>
      </w:r>
      <w:r w:rsidRPr="0092385B">
        <w:rPr>
          <w:lang w:val="en" w:eastAsia="en-AU"/>
        </w:rPr>
        <w:t>In a proceeding for an offence against Division 1, the following is evidence that a load on a heavy vehicle was not placed, secured or restrained in compliance with a loading requirement applying to the vehicle—</w:t>
      </w:r>
    </w:p>
    <w:p w14:paraId="7F1A6939" w14:textId="77777777" w:rsidR="0092385B" w:rsidRPr="0092385B" w:rsidRDefault="0092385B" w:rsidP="0092385B">
      <w:pPr>
        <w:pStyle w:val="Apara"/>
        <w:rPr>
          <w:lang w:val="en" w:eastAsia="en-AU"/>
        </w:rPr>
      </w:pPr>
      <w:r>
        <w:rPr>
          <w:lang w:val="en" w:eastAsia="en-AU"/>
        </w:rPr>
        <w:tab/>
      </w:r>
      <w:r w:rsidRPr="0092385B">
        <w:rPr>
          <w:lang w:val="en" w:eastAsia="en-AU"/>
        </w:rPr>
        <w:t>(a)</w:t>
      </w:r>
      <w:r>
        <w:rPr>
          <w:lang w:val="en" w:eastAsia="en-AU"/>
        </w:rPr>
        <w:tab/>
      </w:r>
      <w:r w:rsidRPr="0092385B">
        <w:rPr>
          <w:lang w:val="en" w:eastAsia="en-AU"/>
        </w:rPr>
        <w:t>evidence that the load was not placed, secured or restrained in a way that met a loading performance standard;</w:t>
      </w:r>
    </w:p>
    <w:p w14:paraId="3343A738" w14:textId="77777777" w:rsidR="0092385B" w:rsidRPr="0092385B" w:rsidRDefault="0092385B" w:rsidP="0092385B">
      <w:pPr>
        <w:pStyle w:val="Apara"/>
        <w:rPr>
          <w:lang w:val="en" w:eastAsia="en-AU"/>
        </w:rPr>
      </w:pPr>
      <w:r>
        <w:rPr>
          <w:lang w:val="en" w:eastAsia="en-AU"/>
        </w:rPr>
        <w:tab/>
      </w:r>
      <w:r w:rsidRPr="0092385B">
        <w:rPr>
          <w:lang w:val="en" w:eastAsia="en-AU"/>
        </w:rPr>
        <w:t>(b)</w:t>
      </w:r>
      <w:r>
        <w:rPr>
          <w:lang w:val="en" w:eastAsia="en-AU"/>
        </w:rPr>
        <w:tab/>
      </w:r>
      <w:r w:rsidRPr="0092385B">
        <w:rPr>
          <w:lang w:val="en" w:eastAsia="en-AU"/>
        </w:rPr>
        <w:t>evidence that a load, or part of a load, has fallen off a heavy vehicle.</w:t>
      </w:r>
    </w:p>
    <w:p w14:paraId="4572DE65" w14:textId="77777777" w:rsidR="0092385B" w:rsidRPr="0092385B" w:rsidRDefault="0092385B" w:rsidP="0092385B">
      <w:pPr>
        <w:pStyle w:val="Amain"/>
        <w:rPr>
          <w:lang w:val="en" w:eastAsia="en-AU"/>
        </w:rPr>
      </w:pPr>
      <w:r>
        <w:rPr>
          <w:lang w:val="en" w:eastAsia="en-AU"/>
        </w:rPr>
        <w:tab/>
      </w:r>
      <w:r w:rsidRPr="0092385B">
        <w:rPr>
          <w:lang w:val="en" w:eastAsia="en-AU"/>
        </w:rPr>
        <w:t>(2)</w:t>
      </w:r>
      <w:r>
        <w:rPr>
          <w:lang w:val="en" w:eastAsia="en-AU"/>
        </w:rPr>
        <w:tab/>
      </w:r>
      <w:r w:rsidRPr="0092385B">
        <w:rPr>
          <w:lang w:val="en" w:eastAsia="en-AU"/>
        </w:rPr>
        <w:t xml:space="preserve">The national regulations may prescribe standards (the </w:t>
      </w:r>
      <w:r w:rsidRPr="0092385B">
        <w:rPr>
          <w:b/>
          <w:bCs/>
          <w:i/>
          <w:iCs/>
          <w:lang w:val="en" w:eastAsia="en-AU"/>
        </w:rPr>
        <w:t>loading performance standards</w:t>
      </w:r>
      <w:r w:rsidRPr="0092385B">
        <w:rPr>
          <w:lang w:val="en" w:eastAsia="en-AU"/>
        </w:rPr>
        <w:t>) for heavy vehicles.</w:t>
      </w:r>
    </w:p>
    <w:p w14:paraId="62CA945E" w14:textId="77777777" w:rsidR="00DB6E47" w:rsidRPr="003D647F" w:rsidRDefault="00DB6E47" w:rsidP="00DB6E47">
      <w:pPr>
        <w:pStyle w:val="PageBreak"/>
      </w:pPr>
      <w:r w:rsidRPr="003D647F">
        <w:br w:type="page"/>
      </w:r>
    </w:p>
    <w:p w14:paraId="10AAC586" w14:textId="77777777" w:rsidR="00DB6E47" w:rsidRPr="005E03F7" w:rsidRDefault="00DB6E47" w:rsidP="00DB6E47">
      <w:pPr>
        <w:pStyle w:val="AH2Part"/>
      </w:pPr>
      <w:bookmarkStart w:id="131" w:name="_Toc83625475"/>
      <w:r w:rsidRPr="005E03F7">
        <w:rPr>
          <w:rStyle w:val="CharPartNo"/>
        </w:rPr>
        <w:lastRenderedPageBreak/>
        <w:t>Part 4.5</w:t>
      </w:r>
      <w:r w:rsidRPr="00A95F9A">
        <w:rPr>
          <w:rFonts w:ascii="Helvetica" w:hAnsi="Helvetica" w:cs="Helvetica"/>
          <w:iCs/>
          <w:szCs w:val="32"/>
        </w:rPr>
        <w:tab/>
      </w:r>
      <w:r w:rsidRPr="005E03F7">
        <w:rPr>
          <w:rStyle w:val="CharPartText"/>
          <w:rFonts w:ascii="Helvetica" w:hAnsi="Helvetica" w:cs="Helvetica"/>
          <w:iCs/>
          <w:szCs w:val="32"/>
        </w:rPr>
        <w:t>Exemptions for particular overmass or oversize vehicles</w:t>
      </w:r>
      <w:bookmarkEnd w:id="131"/>
    </w:p>
    <w:p w14:paraId="02686453" w14:textId="77777777" w:rsidR="00DB6E47" w:rsidRPr="005E03F7" w:rsidRDefault="00DB6E47" w:rsidP="00DB6E47">
      <w:pPr>
        <w:pStyle w:val="AH3Div"/>
      </w:pPr>
      <w:bookmarkStart w:id="132" w:name="_Toc83625476"/>
      <w:r w:rsidRPr="005E03F7">
        <w:rPr>
          <w:rStyle w:val="CharDivNo"/>
        </w:rPr>
        <w:t>Division 1</w:t>
      </w:r>
      <w:r w:rsidRPr="00A95F9A">
        <w:rPr>
          <w:rFonts w:ascii="Helvetica" w:hAnsi="Helvetica" w:cs="Helvetica"/>
          <w:iCs/>
          <w:szCs w:val="28"/>
        </w:rPr>
        <w:tab/>
      </w:r>
      <w:r w:rsidRPr="005E03F7">
        <w:rPr>
          <w:rStyle w:val="CharDivText"/>
          <w:rFonts w:ascii="Helvetica" w:hAnsi="Helvetica" w:cs="Helvetica"/>
          <w:iCs/>
          <w:szCs w:val="28"/>
        </w:rPr>
        <w:t>Preliminary</w:t>
      </w:r>
      <w:bookmarkEnd w:id="132"/>
    </w:p>
    <w:p w14:paraId="79DD71EE" w14:textId="77777777" w:rsidR="00DB6E47" w:rsidRPr="007E1F9A" w:rsidRDefault="00DB6E47" w:rsidP="00DB6E47">
      <w:pPr>
        <w:pStyle w:val="AH5Sec"/>
      </w:pPr>
      <w:bookmarkStart w:id="133" w:name="_Toc83625477"/>
      <w:r w:rsidRPr="005E03F7">
        <w:rPr>
          <w:rStyle w:val="CharSectNo"/>
        </w:rPr>
        <w:t>116</w:t>
      </w:r>
      <w:r w:rsidRPr="007E1F9A">
        <w:tab/>
        <w:t>Class 1 heavy vehicles and class 3 heavy vehicles</w:t>
      </w:r>
      <w:bookmarkEnd w:id="133"/>
    </w:p>
    <w:p w14:paraId="3F68B6FE" w14:textId="77777777" w:rsidR="00DB6E47" w:rsidRPr="00EB0CDE" w:rsidRDefault="00DB6E47" w:rsidP="00DB6E47">
      <w:pPr>
        <w:pStyle w:val="Amain"/>
      </w:pPr>
      <w:r w:rsidRPr="00EB0CDE">
        <w:tab/>
        <w:t>(1)</w:t>
      </w:r>
      <w:r w:rsidRPr="00EB0CDE">
        <w:tab/>
        <w:t xml:space="preserve">A heavy vehicle is a </w:t>
      </w:r>
      <w:r w:rsidRPr="00FF4454">
        <w:rPr>
          <w:rStyle w:val="charBoldItals"/>
        </w:rPr>
        <w:t>class 1 heavy vehicle</w:t>
      </w:r>
      <w:r w:rsidRPr="00EB0CDE">
        <w:t xml:space="preserve"> if it, together with its load, does not comply with a prescribed mass requirement or prescribed dimension requirement applying to it, and—</w:t>
      </w:r>
    </w:p>
    <w:p w14:paraId="2F40FEAC" w14:textId="77777777" w:rsidR="00DB6E47" w:rsidRPr="007D116E" w:rsidRDefault="00DB6E47" w:rsidP="00DB6E47">
      <w:pPr>
        <w:pStyle w:val="Apara"/>
      </w:pPr>
      <w:r w:rsidRPr="007D116E">
        <w:tab/>
        <w:t>(a)</w:t>
      </w:r>
      <w:r w:rsidRPr="007D116E">
        <w:tab/>
        <w:t>it is a special purpose vehicle; or</w:t>
      </w:r>
    </w:p>
    <w:p w14:paraId="6B76E280" w14:textId="77777777" w:rsidR="00DB6E47" w:rsidRPr="007D116E" w:rsidRDefault="00DB6E47" w:rsidP="00DB6E47">
      <w:pPr>
        <w:pStyle w:val="Apara"/>
      </w:pPr>
      <w:r w:rsidRPr="007D116E">
        <w:tab/>
        <w:t>(b)</w:t>
      </w:r>
      <w:r w:rsidRPr="007D116E">
        <w:tab/>
        <w:t>it is an agricultural vehicle other than an agricultural trailer; or</w:t>
      </w:r>
    </w:p>
    <w:p w14:paraId="4ADC366B" w14:textId="77777777" w:rsidR="00DB6E47" w:rsidRPr="00C96203" w:rsidRDefault="00DB6E47" w:rsidP="00DB6E47">
      <w:pPr>
        <w:pStyle w:val="aNote"/>
      </w:pPr>
      <w:r w:rsidRPr="00FF4454">
        <w:rPr>
          <w:rStyle w:val="charItals"/>
        </w:rPr>
        <w:t>Note</w:t>
      </w:r>
      <w:r w:rsidRPr="00C96203">
        <w:rPr>
          <w:rFonts w:cs="Times"/>
          <w:bCs/>
          <w:iCs/>
        </w:rPr>
        <w:t>—</w:t>
      </w:r>
    </w:p>
    <w:p w14:paraId="7D2092B1" w14:textId="77777777" w:rsidR="00DB6E47" w:rsidRPr="00C96203" w:rsidRDefault="00131458" w:rsidP="00DB6E47">
      <w:pPr>
        <w:pStyle w:val="aNoteTextss"/>
      </w:pPr>
      <w:r>
        <w:t xml:space="preserve">See subsection </w:t>
      </w:r>
      <w:r w:rsidR="00DB6E47" w:rsidRPr="00C96203">
        <w:t>(2)</w:t>
      </w:r>
      <w:r>
        <w:t xml:space="preserve"> </w:t>
      </w:r>
      <w:r w:rsidR="00DB6E47" w:rsidRPr="00C96203">
        <w:t>for agricultural trailers.</w:t>
      </w:r>
    </w:p>
    <w:p w14:paraId="65A878C0" w14:textId="77777777" w:rsidR="00DB6E47" w:rsidRPr="007D116E" w:rsidRDefault="00DB6E47" w:rsidP="00DB6E47">
      <w:pPr>
        <w:pStyle w:val="Apara"/>
      </w:pPr>
      <w:r w:rsidRPr="007D116E">
        <w:tab/>
        <w:t>(c)</w:t>
      </w:r>
      <w:r w:rsidRPr="007D116E">
        <w:tab/>
        <w:t>it—</w:t>
      </w:r>
    </w:p>
    <w:p w14:paraId="0B2D3FAF" w14:textId="77777777" w:rsidR="00DB6E47" w:rsidRPr="00516F02" w:rsidRDefault="00DB6E47" w:rsidP="00DB6E47">
      <w:pPr>
        <w:pStyle w:val="Asubpara"/>
      </w:pPr>
      <w:r w:rsidRPr="00516F02">
        <w:tab/>
        <w:t>(i)</w:t>
      </w:r>
      <w:r w:rsidRPr="00516F02">
        <w:tab/>
        <w:t>is a heavy vehicle carrying, or designed for the purpose of carrying, a large indivisible item, including, for example, a combination including a low loader; but</w:t>
      </w:r>
    </w:p>
    <w:p w14:paraId="61F0DF8F" w14:textId="77777777" w:rsidR="00DB6E47" w:rsidRPr="00516F02" w:rsidRDefault="00DB6E47" w:rsidP="00DB6E47">
      <w:pPr>
        <w:pStyle w:val="Asubpara"/>
      </w:pPr>
      <w:r w:rsidRPr="00516F02">
        <w:tab/>
        <w:t>(ii)</w:t>
      </w:r>
      <w:r w:rsidRPr="00516F02">
        <w:tab/>
        <w:t>is not a road train or B-double, or carrying a freight container designed for multi-modal transport.</w:t>
      </w:r>
    </w:p>
    <w:p w14:paraId="70BD599F" w14:textId="77777777" w:rsidR="00DB6E47" w:rsidRPr="006C3305" w:rsidRDefault="00DB6E47" w:rsidP="00DB6E47">
      <w:pPr>
        <w:pStyle w:val="Amain"/>
      </w:pPr>
      <w:r>
        <w:tab/>
        <w:t>(</w:t>
      </w:r>
      <w:r w:rsidRPr="006C3305">
        <w:t>2)</w:t>
      </w:r>
      <w:r w:rsidRPr="006C3305">
        <w:tab/>
        <w:t xml:space="preserve">An agricultural trailer is a </w:t>
      </w:r>
      <w:r w:rsidRPr="00FF4454">
        <w:rPr>
          <w:rStyle w:val="charBoldItals"/>
        </w:rPr>
        <w:t>class 1 heavy vehicle</w:t>
      </w:r>
      <w:r w:rsidRPr="006C3305">
        <w:t>, irrespective of whether it, together with its load, does or does not comply with a prescribed mass requirement or prescribed dimension requirement applying to it.</w:t>
      </w:r>
    </w:p>
    <w:p w14:paraId="2B241F73" w14:textId="77777777" w:rsidR="00DB6E47" w:rsidRPr="006C3305" w:rsidRDefault="00DB6E47" w:rsidP="00DB6E47">
      <w:pPr>
        <w:pStyle w:val="Amain"/>
      </w:pPr>
      <w:r>
        <w:tab/>
        <w:t>(</w:t>
      </w:r>
      <w:r w:rsidRPr="006C3305">
        <w:t>3)</w:t>
      </w:r>
      <w:r w:rsidRPr="006C3305">
        <w:tab/>
        <w:t xml:space="preserve">A heavy vehicle is a </w:t>
      </w:r>
      <w:r w:rsidRPr="00FF4454">
        <w:rPr>
          <w:rStyle w:val="charBoldItals"/>
        </w:rPr>
        <w:t>class 3 heavy vehicle</w:t>
      </w:r>
      <w:r w:rsidRPr="006C3305">
        <w:t xml:space="preserve"> if—</w:t>
      </w:r>
    </w:p>
    <w:p w14:paraId="23D74DD4" w14:textId="77777777" w:rsidR="00DB6E47" w:rsidRPr="007D116E" w:rsidRDefault="00DB6E47" w:rsidP="00DB6E47">
      <w:pPr>
        <w:pStyle w:val="Apara"/>
      </w:pPr>
      <w:r w:rsidRPr="007D116E">
        <w:tab/>
        <w:t>(a)</w:t>
      </w:r>
      <w:r w:rsidRPr="007D116E">
        <w:tab/>
        <w:t>it, together with its load, does not comply with a prescribed mass requirement or prescribed dimension requirement applying to it; and</w:t>
      </w:r>
    </w:p>
    <w:p w14:paraId="15D189B2" w14:textId="77777777" w:rsidR="00DB6E47" w:rsidRPr="007D116E" w:rsidRDefault="00DB6E47" w:rsidP="00DB6E47">
      <w:pPr>
        <w:pStyle w:val="Apara"/>
      </w:pPr>
      <w:r w:rsidRPr="007D116E">
        <w:tab/>
        <w:t>(b)</w:t>
      </w:r>
      <w:r w:rsidRPr="007D116E">
        <w:tab/>
        <w:t>it is not a class 1 heavy vehicle.</w:t>
      </w:r>
    </w:p>
    <w:p w14:paraId="229C36AD" w14:textId="77777777" w:rsidR="00DB6E47" w:rsidRPr="006C3305" w:rsidRDefault="00DB6E47" w:rsidP="00332504">
      <w:pPr>
        <w:pStyle w:val="Amain"/>
        <w:keepNext/>
      </w:pPr>
      <w:r>
        <w:lastRenderedPageBreak/>
        <w:tab/>
        <w:t>(</w:t>
      </w:r>
      <w:r w:rsidRPr="006C3305">
        <w:t>4)</w:t>
      </w:r>
      <w:r w:rsidRPr="006C3305">
        <w:tab/>
        <w:t>In this section—</w:t>
      </w:r>
    </w:p>
    <w:p w14:paraId="5DEA497C" w14:textId="77777777" w:rsidR="00DB6E47" w:rsidRPr="00041046" w:rsidRDefault="00DB6E47" w:rsidP="00DB6E47">
      <w:pPr>
        <w:pStyle w:val="aDef"/>
        <w:rPr>
          <w:bCs/>
        </w:rPr>
      </w:pPr>
      <w:r w:rsidRPr="00041046">
        <w:rPr>
          <w:rStyle w:val="charBoldItals"/>
        </w:rPr>
        <w:t>concrete pump</w:t>
      </w:r>
      <w:r w:rsidRPr="00041046">
        <w:t xml:space="preserve"> means a vehicle with a component that can be used to transfer liquid concrete by pumping.</w:t>
      </w:r>
    </w:p>
    <w:p w14:paraId="0012148F" w14:textId="77777777" w:rsidR="00DB6E47" w:rsidRPr="00041046" w:rsidRDefault="00DB6E47" w:rsidP="00DB6E47">
      <w:pPr>
        <w:pStyle w:val="aDef"/>
        <w:rPr>
          <w:bCs/>
        </w:rPr>
      </w:pPr>
      <w:r w:rsidRPr="00041046">
        <w:rPr>
          <w:rStyle w:val="charBoldItals"/>
        </w:rPr>
        <w:t>large indivisible item</w:t>
      </w:r>
      <w:r w:rsidRPr="00041046">
        <w:t xml:space="preserve"> means an item that—</w:t>
      </w:r>
    </w:p>
    <w:p w14:paraId="50AB64C0" w14:textId="77777777" w:rsidR="00DB6E47" w:rsidRPr="00131458" w:rsidRDefault="00DB6E47" w:rsidP="00DB6E47">
      <w:pPr>
        <w:pStyle w:val="aDefpara"/>
      </w:pPr>
      <w:r w:rsidRPr="00FF4454">
        <w:tab/>
      </w:r>
      <w:r w:rsidRPr="00F04D8E">
        <w:rPr>
          <w:rFonts w:cs="Times"/>
          <w:bCs/>
          <w:iCs/>
        </w:rPr>
        <w:t>(a)</w:t>
      </w:r>
      <w:r w:rsidRPr="00FF4454">
        <w:rPr>
          <w:rStyle w:val="charBoldItals"/>
        </w:rPr>
        <w:tab/>
      </w:r>
      <w:r w:rsidRPr="00131458">
        <w:t>can not be divided without extreme effort, expense or risk of damage to it; and</w:t>
      </w:r>
    </w:p>
    <w:p w14:paraId="5A44F96F" w14:textId="77777777" w:rsidR="00DB6E47" w:rsidRPr="00131458" w:rsidRDefault="00DB6E47" w:rsidP="00DB6E47">
      <w:pPr>
        <w:pStyle w:val="aDefpara"/>
      </w:pPr>
      <w:r w:rsidRPr="00131458">
        <w:tab/>
        <w:t>(b)</w:t>
      </w:r>
      <w:r w:rsidRPr="00131458">
        <w:tab/>
        <w:t>can not be carried on any heavy vehicle without contravening a mass requirement or dimension requirement.</w:t>
      </w:r>
    </w:p>
    <w:p w14:paraId="2321FD14" w14:textId="77777777" w:rsidR="00DB6E47" w:rsidRPr="00041046" w:rsidRDefault="00DB6E47" w:rsidP="00DB6E47">
      <w:pPr>
        <w:pStyle w:val="aDef"/>
        <w:rPr>
          <w:bCs/>
        </w:rPr>
      </w:pPr>
      <w:r w:rsidRPr="00041046">
        <w:rPr>
          <w:rStyle w:val="charBoldItals"/>
        </w:rPr>
        <w:t xml:space="preserve">low loader </w:t>
      </w:r>
      <w:r w:rsidRPr="00041046">
        <w:t>means a trailer with a loading deck no more than 1m above the ground.</w:t>
      </w:r>
    </w:p>
    <w:p w14:paraId="69F6B55D" w14:textId="77777777" w:rsidR="00DB6E47" w:rsidRPr="00041046" w:rsidRDefault="00DB6E47" w:rsidP="00DB6E47">
      <w:pPr>
        <w:pStyle w:val="aDef"/>
        <w:rPr>
          <w:bCs/>
        </w:rPr>
      </w:pPr>
      <w:r w:rsidRPr="00041046">
        <w:rPr>
          <w:rStyle w:val="charBoldItals"/>
        </w:rPr>
        <w:t>special purpose vehicle</w:t>
      </w:r>
      <w:r w:rsidRPr="00041046">
        <w:t xml:space="preserve"> means—</w:t>
      </w:r>
    </w:p>
    <w:p w14:paraId="3898AD77" w14:textId="77777777" w:rsidR="00DB6E47" w:rsidRPr="00131458" w:rsidRDefault="00DB6E47" w:rsidP="00DB6E47">
      <w:pPr>
        <w:pStyle w:val="aDefpara"/>
      </w:pPr>
      <w:r w:rsidRPr="00FF4454">
        <w:tab/>
      </w:r>
      <w:r w:rsidRPr="00F04D8E">
        <w:rPr>
          <w:rFonts w:cs="Times"/>
          <w:bCs/>
          <w:iCs/>
        </w:rPr>
        <w:t>(a)</w:t>
      </w:r>
      <w:r w:rsidRPr="00FF4454">
        <w:rPr>
          <w:rStyle w:val="charBoldItals"/>
        </w:rPr>
        <w:tab/>
      </w:r>
      <w:r w:rsidRPr="00131458">
        <w:t>a motor vehicle or trailer, other than an agricultural vehicle or a tow truck, built for a purpose other than</w:t>
      </w:r>
      <w:r w:rsidRPr="003323FC">
        <w:t xml:space="preserve"> </w:t>
      </w:r>
      <w:r w:rsidR="00DB1C26" w:rsidRPr="003323FC">
        <w:t>transporting goods by road</w:t>
      </w:r>
      <w:r w:rsidRPr="003323FC">
        <w:t>; or</w:t>
      </w:r>
    </w:p>
    <w:p w14:paraId="544391A9" w14:textId="77777777" w:rsidR="00DB6E47" w:rsidRPr="00131458" w:rsidRDefault="00DB6E47" w:rsidP="00DB6E47">
      <w:pPr>
        <w:pStyle w:val="aDefpara"/>
      </w:pPr>
      <w:r w:rsidRPr="00131458">
        <w:tab/>
        <w:t>(b)</w:t>
      </w:r>
      <w:r w:rsidRPr="00131458">
        <w:tab/>
        <w:t>a concrete pump or fire truck.</w:t>
      </w:r>
    </w:p>
    <w:p w14:paraId="3F37DBA8" w14:textId="77777777" w:rsidR="00DB6E47" w:rsidRPr="005E03F7" w:rsidRDefault="00DB6E47" w:rsidP="00DB6E47">
      <w:pPr>
        <w:pStyle w:val="AH3Div"/>
      </w:pPr>
      <w:bookmarkStart w:id="134" w:name="_Toc83625478"/>
      <w:r w:rsidRPr="005E03F7">
        <w:rPr>
          <w:rStyle w:val="CharDivNo"/>
        </w:rPr>
        <w:t>Division 2</w:t>
      </w:r>
      <w:r w:rsidRPr="00A95F9A">
        <w:rPr>
          <w:rFonts w:ascii="Helvetica" w:hAnsi="Helvetica" w:cs="Helvetica"/>
          <w:iCs/>
          <w:szCs w:val="28"/>
        </w:rPr>
        <w:tab/>
      </w:r>
      <w:r w:rsidRPr="005E03F7">
        <w:rPr>
          <w:rStyle w:val="CharDivText"/>
          <w:rFonts w:ascii="Helvetica" w:hAnsi="Helvetica" w:cs="Helvetica"/>
          <w:iCs/>
          <w:szCs w:val="28"/>
        </w:rPr>
        <w:t>Exemptions by Commonwealth Gazette notice</w:t>
      </w:r>
      <w:bookmarkEnd w:id="134"/>
    </w:p>
    <w:p w14:paraId="5CF29F03" w14:textId="77777777" w:rsidR="00DB6E47" w:rsidRPr="007E1F9A" w:rsidRDefault="00DB6E47" w:rsidP="00DB6E47">
      <w:pPr>
        <w:pStyle w:val="AH5Sec"/>
      </w:pPr>
      <w:bookmarkStart w:id="135" w:name="_Toc83625479"/>
      <w:r w:rsidRPr="005E03F7">
        <w:rPr>
          <w:rStyle w:val="CharSectNo"/>
        </w:rPr>
        <w:t>117</w:t>
      </w:r>
      <w:r w:rsidRPr="007E1F9A">
        <w:tab/>
        <w:t>Regulator’s power to exempt category of class 1 or 3 heavy vehicles from compliance with mass or dimension requirement</w:t>
      </w:r>
      <w:bookmarkEnd w:id="135"/>
    </w:p>
    <w:p w14:paraId="62CB0DE7" w14:textId="77777777" w:rsidR="00DB6E47" w:rsidRPr="003F319E" w:rsidRDefault="00DB6E47" w:rsidP="00DB6E47">
      <w:pPr>
        <w:pStyle w:val="Amain"/>
      </w:pPr>
      <w:r w:rsidRPr="003F319E">
        <w:tab/>
        <w:t>(1)</w:t>
      </w:r>
      <w:r w:rsidRPr="003F319E">
        <w:tab/>
        <w:t>The Regulator may, by Commonwealth Gazette notice complying with section 121, exempt, for a period of not more than 5 years, a stated category of class 1 heavy vehicles or class 3 heavy vehicles from—</w:t>
      </w:r>
    </w:p>
    <w:p w14:paraId="22E152A0" w14:textId="77777777" w:rsidR="00DB6E47" w:rsidRPr="007D116E" w:rsidRDefault="00DB6E47" w:rsidP="00DB6E47">
      <w:pPr>
        <w:pStyle w:val="Apara"/>
      </w:pPr>
      <w:r w:rsidRPr="007D116E">
        <w:tab/>
        <w:t>(a)</w:t>
      </w:r>
      <w:r w:rsidRPr="007D116E">
        <w:tab/>
        <w:t>a prescribed mass requirement; or</w:t>
      </w:r>
    </w:p>
    <w:p w14:paraId="392B99B2" w14:textId="77777777" w:rsidR="00DB6E47" w:rsidRPr="007D116E" w:rsidRDefault="00DB6E47" w:rsidP="00DB6E47">
      <w:pPr>
        <w:pStyle w:val="Apara"/>
      </w:pPr>
      <w:r w:rsidRPr="007D116E">
        <w:tab/>
        <w:t>(b)</w:t>
      </w:r>
      <w:r w:rsidRPr="007D116E">
        <w:tab/>
        <w:t>a prescribed dimension requirement.</w:t>
      </w:r>
    </w:p>
    <w:p w14:paraId="58B405C6" w14:textId="77777777" w:rsidR="00DB6E47" w:rsidRPr="003F319E" w:rsidRDefault="00DB6E47" w:rsidP="00CD357F">
      <w:pPr>
        <w:pStyle w:val="Amain"/>
        <w:keepNext/>
      </w:pPr>
      <w:r w:rsidRPr="003F319E">
        <w:lastRenderedPageBreak/>
        <w:tab/>
        <w:t>(2</w:t>
      </w:r>
      <w:r w:rsidR="00131458">
        <w:t>)</w:t>
      </w:r>
      <w:r w:rsidR="00131458">
        <w:tab/>
        <w:t xml:space="preserve">An exemption under subsection </w:t>
      </w:r>
      <w:r w:rsidRPr="003F319E">
        <w:t>(1)</w:t>
      </w:r>
      <w:r w:rsidR="00131458">
        <w:t xml:space="preserve"> </w:t>
      </w:r>
      <w:r w:rsidRPr="003F319E">
        <w:t xml:space="preserve">is a </w:t>
      </w:r>
      <w:r w:rsidRPr="00FF4454">
        <w:rPr>
          <w:rStyle w:val="charBoldItals"/>
        </w:rPr>
        <w:t>mass or dimension exemption (notice)</w:t>
      </w:r>
      <w:r w:rsidRPr="003F319E">
        <w:t>.</w:t>
      </w:r>
    </w:p>
    <w:p w14:paraId="0D4E5B0B" w14:textId="77777777" w:rsidR="00DB6E47" w:rsidRPr="00C96203" w:rsidRDefault="00DB6E47" w:rsidP="00DB6E47">
      <w:pPr>
        <w:pStyle w:val="aNote"/>
      </w:pPr>
      <w:r w:rsidRPr="00FF4454">
        <w:rPr>
          <w:rStyle w:val="charItals"/>
        </w:rPr>
        <w:t>Note</w:t>
      </w:r>
      <w:r w:rsidRPr="00C96203">
        <w:rPr>
          <w:rFonts w:cs="Times"/>
          <w:bCs/>
          <w:iCs/>
        </w:rPr>
        <w:t>—</w:t>
      </w:r>
    </w:p>
    <w:p w14:paraId="12076DDF" w14:textId="77777777" w:rsidR="00DB6E47" w:rsidRPr="00C96203" w:rsidRDefault="00DB6E47" w:rsidP="00DB6E47">
      <w:pPr>
        <w:pStyle w:val="aNoteTextss"/>
      </w:pPr>
      <w:r w:rsidRPr="00C96203">
        <w:t>See Division 3 of Part 4.7 in relation to amendment, suspension or cancellation of a mass or dimension exemption (notice).</w:t>
      </w:r>
    </w:p>
    <w:p w14:paraId="420EB251" w14:textId="77777777" w:rsidR="00DB6E47" w:rsidRPr="007E1F9A" w:rsidRDefault="00DB6E47" w:rsidP="00DB6E47">
      <w:pPr>
        <w:pStyle w:val="AH5Sec"/>
      </w:pPr>
      <w:bookmarkStart w:id="136" w:name="_Toc83625480"/>
      <w:r w:rsidRPr="005E03F7">
        <w:rPr>
          <w:rStyle w:val="CharSectNo"/>
        </w:rPr>
        <w:t>118</w:t>
      </w:r>
      <w:r w:rsidRPr="007E1F9A">
        <w:tab/>
        <w:t>Restriction on grant of mass or dimension exemption (notice)</w:t>
      </w:r>
      <w:bookmarkEnd w:id="136"/>
    </w:p>
    <w:p w14:paraId="48DBB101" w14:textId="77777777" w:rsidR="00DB6E47" w:rsidRPr="006C3305" w:rsidRDefault="00DB6E47" w:rsidP="00DB6E47">
      <w:pPr>
        <w:pStyle w:val="Amain"/>
      </w:pPr>
      <w:r>
        <w:tab/>
        <w:t>(</w:t>
      </w:r>
      <w:r w:rsidRPr="006C3305">
        <w:t>1)</w:t>
      </w:r>
      <w:r w:rsidRPr="006C3305">
        <w:tab/>
        <w:t>The Regulator may grant a mass or dimension exemption (notice) for a category of heavy vehicles only if—</w:t>
      </w:r>
    </w:p>
    <w:p w14:paraId="2F225C90" w14:textId="77777777" w:rsidR="00DB6E47" w:rsidRPr="007D116E" w:rsidRDefault="00DB6E47" w:rsidP="00DB6E47">
      <w:pPr>
        <w:pStyle w:val="Apara"/>
      </w:pPr>
      <w:r w:rsidRPr="007D116E">
        <w:tab/>
        <w:t>(a)</w:t>
      </w:r>
      <w:r w:rsidRPr="007D116E">
        <w:tab/>
        <w:t>the Regulator is satisfied the use of heavy vehicles of that category on a road under the exemption will not pose a significant risk to public safety; and</w:t>
      </w:r>
    </w:p>
    <w:p w14:paraId="5445DB0D" w14:textId="77777777" w:rsidR="00DB6E47" w:rsidRPr="007D116E" w:rsidRDefault="00DB6E47" w:rsidP="00DB6E47">
      <w:pPr>
        <w:pStyle w:val="Apara"/>
      </w:pPr>
      <w:r w:rsidRPr="007D116E">
        <w:tab/>
        <w:t>(b)</w:t>
      </w:r>
      <w:r w:rsidRPr="007D116E">
        <w:tab/>
        <w:t>each relevant road manager for the exemption has consented to the grant; and</w:t>
      </w:r>
    </w:p>
    <w:p w14:paraId="16F15A4A" w14:textId="77777777" w:rsidR="00DB6E47" w:rsidRPr="007D116E" w:rsidRDefault="00DB6E47" w:rsidP="00DB6E47">
      <w:pPr>
        <w:pStyle w:val="Apara"/>
      </w:pPr>
      <w:r w:rsidRPr="007D116E">
        <w:tab/>
        <w:t>(c)</w:t>
      </w:r>
      <w:r w:rsidRPr="007D116E">
        <w:tab/>
        <w:t>the Regulator is satisfied all other consents required for the exemption under the law of the relevant jurisdiction have been obtained or given.</w:t>
      </w:r>
    </w:p>
    <w:p w14:paraId="4421972F" w14:textId="77777777" w:rsidR="00DB6E47" w:rsidRPr="003F319E" w:rsidRDefault="00DB6E47" w:rsidP="00DB6E47">
      <w:pPr>
        <w:pStyle w:val="Amain"/>
      </w:pPr>
      <w:r w:rsidRPr="003F319E">
        <w:tab/>
        <w:t>(2)</w:t>
      </w:r>
      <w:r w:rsidRPr="003F319E">
        <w:tab/>
        <w:t>In deciding whether to grant a mass or dimension exemption (notice), the Regulator must have regard to the approved guidelines for granting mass or dimension exemptions.</w:t>
      </w:r>
    </w:p>
    <w:p w14:paraId="57B1B8CB" w14:textId="77777777" w:rsidR="00DB6E47" w:rsidRPr="007E1F9A" w:rsidRDefault="00DB6E47" w:rsidP="00DB6E47">
      <w:pPr>
        <w:pStyle w:val="AH5Sec"/>
      </w:pPr>
      <w:bookmarkStart w:id="137" w:name="_Toc83625481"/>
      <w:r w:rsidRPr="005E03F7">
        <w:rPr>
          <w:rStyle w:val="CharSectNo"/>
        </w:rPr>
        <w:t>119</w:t>
      </w:r>
      <w:r w:rsidRPr="007E1F9A">
        <w:tab/>
        <w:t>Conditions of mass or dimension exemption (notice)</w:t>
      </w:r>
      <w:bookmarkEnd w:id="137"/>
    </w:p>
    <w:p w14:paraId="580B31F7" w14:textId="77777777" w:rsidR="00DB6E47" w:rsidRPr="003F319E" w:rsidRDefault="00DB6E47" w:rsidP="00DB6E47">
      <w:pPr>
        <w:pStyle w:val="Amain"/>
      </w:pPr>
      <w:r w:rsidRPr="003F319E">
        <w:tab/>
        <w:t>(1)</w:t>
      </w:r>
      <w:r w:rsidRPr="003F319E">
        <w:tab/>
        <w:t>A mass or dimension exemption (notice)—</w:t>
      </w:r>
    </w:p>
    <w:p w14:paraId="4088B1FD" w14:textId="77777777" w:rsidR="00DB6E47" w:rsidRPr="007D116E" w:rsidRDefault="00DB6E47" w:rsidP="00DB6E47">
      <w:pPr>
        <w:pStyle w:val="Apara"/>
      </w:pPr>
      <w:r w:rsidRPr="007D116E">
        <w:tab/>
        <w:t>(a)</w:t>
      </w:r>
      <w:r w:rsidRPr="007D116E">
        <w:tab/>
        <w:t>must include a condition about the areas or routes to which the exemption applies; and</w:t>
      </w:r>
    </w:p>
    <w:p w14:paraId="572107E8" w14:textId="77777777" w:rsidR="00DB6E47" w:rsidRPr="007D116E" w:rsidRDefault="00DB6E47" w:rsidP="00DB6E47">
      <w:pPr>
        <w:pStyle w:val="Apara"/>
      </w:pPr>
      <w:r w:rsidRPr="007D116E">
        <w:tab/>
        <w:t>(b)</w:t>
      </w:r>
      <w:r w:rsidRPr="007D116E">
        <w:tab/>
        <w:t>is subject to conditions prescribed by the national regulations for the exemption; and</w:t>
      </w:r>
    </w:p>
    <w:p w14:paraId="293936AF" w14:textId="77777777" w:rsidR="00DB6E47" w:rsidRPr="007D116E" w:rsidRDefault="00DB6E47" w:rsidP="00DB6E47">
      <w:pPr>
        <w:pStyle w:val="Apara"/>
      </w:pPr>
      <w:r w:rsidRPr="007D116E">
        <w:tab/>
        <w:t>(c)</w:t>
      </w:r>
      <w:r w:rsidRPr="007D116E">
        <w:tab/>
        <w:t>must be subject to the road conditions or travel conditions required</w:t>
      </w:r>
      <w:r w:rsidRPr="00076551">
        <w:t xml:space="preserve"> </w:t>
      </w:r>
      <w:r w:rsidR="00076551" w:rsidRPr="00076551">
        <w:t>for the exemption</w:t>
      </w:r>
      <w:r w:rsidRPr="007D116E">
        <w:t>; and</w:t>
      </w:r>
    </w:p>
    <w:p w14:paraId="12F3A487" w14:textId="77777777" w:rsidR="00DB6E47" w:rsidRPr="007D116E" w:rsidRDefault="00DB6E47" w:rsidP="00DB6E47">
      <w:pPr>
        <w:pStyle w:val="Apara"/>
      </w:pPr>
      <w:r w:rsidRPr="007D116E">
        <w:lastRenderedPageBreak/>
        <w:tab/>
        <w:t>(d)</w:t>
      </w:r>
      <w:r w:rsidRPr="007D116E">
        <w:tab/>
        <w:t>may be subject to any other conditions the Regulator considers appropriate, including, for example—</w:t>
      </w:r>
    </w:p>
    <w:p w14:paraId="27FB976D" w14:textId="77777777" w:rsidR="00DB6E47" w:rsidRPr="00516F02" w:rsidRDefault="00DB6E47" w:rsidP="00DB6E47">
      <w:pPr>
        <w:pStyle w:val="Asubpara"/>
      </w:pPr>
      <w:r w:rsidRPr="00516F02">
        <w:tab/>
        <w:t>(i)</w:t>
      </w:r>
      <w:r w:rsidRPr="00516F02">
        <w:tab/>
        <w:t>conditions about 1 or more matters mentioned in Schedule 2; and</w:t>
      </w:r>
    </w:p>
    <w:p w14:paraId="79ECF5E7" w14:textId="77777777" w:rsidR="00DB6E47" w:rsidRPr="00516F02" w:rsidRDefault="00DB6E47" w:rsidP="00DB6E47">
      <w:pPr>
        <w:pStyle w:val="Asubpara"/>
      </w:pPr>
      <w:r w:rsidRPr="00516F02">
        <w:tab/>
        <w:t>(ii)</w:t>
      </w:r>
      <w:r w:rsidR="00702047">
        <w:tab/>
        <w:t xml:space="preserve">without limiting subparagraph </w:t>
      </w:r>
      <w:r w:rsidRPr="00516F02">
        <w:t xml:space="preserve">(i), intelligent access </w:t>
      </w:r>
      <w:r w:rsidR="00E10D6F">
        <w:t xml:space="preserve">program </w:t>
      </w:r>
      <w:r w:rsidRPr="00516F02">
        <w:t>conditions; and</w:t>
      </w:r>
    </w:p>
    <w:p w14:paraId="12A29FCC" w14:textId="77777777" w:rsidR="00DB6E47" w:rsidRPr="00516F02" w:rsidRDefault="00DB6E47" w:rsidP="00DB6E47">
      <w:pPr>
        <w:pStyle w:val="Asubpara"/>
      </w:pPr>
      <w:r w:rsidRPr="00516F02">
        <w:tab/>
        <w:t>(iii)</w:t>
      </w:r>
      <w:r w:rsidRPr="00516F02">
        <w:tab/>
        <w:t>a condition that the driver of a class 1 heavy vehicle or class 3 heavy vehicle who is driving the vehicle under the exemption must keep in the driver’s possession a copy of—</w:t>
      </w:r>
    </w:p>
    <w:p w14:paraId="03D918C6" w14:textId="77777777" w:rsidR="00DB6E47" w:rsidRPr="006C3305" w:rsidRDefault="00DB6E47" w:rsidP="00DB6E47">
      <w:pPr>
        <w:pStyle w:val="Asubsubpara"/>
      </w:pPr>
      <w:r>
        <w:tab/>
      </w:r>
      <w:r w:rsidRPr="00352CBD">
        <w:t>(</w:t>
      </w:r>
      <w:r w:rsidR="005C6D6D">
        <w:t>A</w:t>
      </w:r>
      <w:r w:rsidRPr="00352CBD">
        <w:t>)</w:t>
      </w:r>
      <w:r w:rsidRPr="006C3305">
        <w:tab/>
        <w:t>the Commonwealth Gazette notice for the exemption; or</w:t>
      </w:r>
    </w:p>
    <w:p w14:paraId="3A98183B" w14:textId="77777777" w:rsidR="00DB6E47" w:rsidRPr="006C3305" w:rsidRDefault="00DB6E47" w:rsidP="00DB6E47">
      <w:pPr>
        <w:pStyle w:val="Asubsubpara"/>
      </w:pPr>
      <w:r>
        <w:tab/>
      </w:r>
      <w:r w:rsidRPr="00352CBD">
        <w:t>(</w:t>
      </w:r>
      <w:r w:rsidR="005C6D6D">
        <w:t>B</w:t>
      </w:r>
      <w:r w:rsidRPr="00352CBD">
        <w:t>)</w:t>
      </w:r>
      <w:r w:rsidRPr="006C3305">
        <w:tab/>
        <w:t>an information sheet about the exemption published by the Regulator on the Regulator’s website.</w:t>
      </w:r>
    </w:p>
    <w:p w14:paraId="77E66107" w14:textId="77777777" w:rsidR="00DB6E47" w:rsidRDefault="00DB6E47" w:rsidP="00DB6E47">
      <w:pPr>
        <w:pStyle w:val="Amain"/>
      </w:pPr>
      <w:r w:rsidRPr="003F319E">
        <w:tab/>
        <w:t>(2)</w:t>
      </w:r>
      <w:r w:rsidRPr="003F319E">
        <w:tab/>
      </w:r>
      <w:r w:rsidR="007E3134" w:rsidRPr="007E3134">
        <w:t>Without limiting subsection (1)(a), the condition under the subsection about areas or routes may be imposed by—</w:t>
      </w:r>
    </w:p>
    <w:p w14:paraId="5C254253" w14:textId="77777777" w:rsidR="007E3134" w:rsidRPr="007E3134" w:rsidRDefault="007E3134" w:rsidP="007E3134">
      <w:pPr>
        <w:pStyle w:val="Apara"/>
      </w:pPr>
      <w:r>
        <w:tab/>
        <w:t>(a)</w:t>
      </w:r>
      <w:r>
        <w:tab/>
      </w:r>
      <w:r w:rsidRPr="007E3134">
        <w:t>applying by reference a stated map or stated list, not in the notice, prepared and published by the relevant road authority or the Regulator; and</w:t>
      </w:r>
    </w:p>
    <w:p w14:paraId="1C6E62DD" w14:textId="77777777" w:rsidR="007E3134" w:rsidRPr="007E3134" w:rsidRDefault="007E3134" w:rsidP="007E3134">
      <w:pPr>
        <w:pStyle w:val="Apara"/>
      </w:pPr>
      <w:r w:rsidRPr="007E3134">
        <w:tab/>
        <w:t>(b)</w:t>
      </w:r>
      <w:r w:rsidRPr="007E3134">
        <w:tab/>
        <w:t>referring to the areas or routes shown on the stated map or stated list.</w:t>
      </w:r>
    </w:p>
    <w:p w14:paraId="51D383AA" w14:textId="77777777" w:rsidR="00DB6E47" w:rsidRDefault="00DB6E47" w:rsidP="00DB6E47">
      <w:pPr>
        <w:pStyle w:val="Amain"/>
      </w:pPr>
      <w:r w:rsidRPr="003F319E">
        <w:tab/>
        <w:t>(3)</w:t>
      </w:r>
      <w:r w:rsidRPr="003F319E">
        <w:tab/>
      </w:r>
      <w:r w:rsidR="007E3134" w:rsidRPr="007E3134">
        <w:t>Without limiting subsection (1)(c), road conditions or travel conditions under the subsection may be imposed by referring to road conditions or travel conditions shown on a stated map or stated list applied under subsection (2)(a).</w:t>
      </w:r>
    </w:p>
    <w:p w14:paraId="3A6EE042" w14:textId="77777777" w:rsidR="007E3134" w:rsidRPr="007E3134" w:rsidRDefault="007E3134" w:rsidP="00527A96">
      <w:pPr>
        <w:pStyle w:val="Amain"/>
        <w:keepNext/>
      </w:pPr>
      <w:r>
        <w:lastRenderedPageBreak/>
        <w:tab/>
        <w:t>(4)</w:t>
      </w:r>
      <w:r>
        <w:tab/>
      </w:r>
      <w:r w:rsidRPr="007E3134">
        <w:t>If the notice applies a stated map or stated list—</w:t>
      </w:r>
    </w:p>
    <w:p w14:paraId="4A9E131A" w14:textId="77777777" w:rsidR="00DB6E47" w:rsidRPr="007E3134" w:rsidRDefault="00DB6E47" w:rsidP="00FC0EFF">
      <w:pPr>
        <w:pStyle w:val="Apara"/>
        <w:keepNext/>
        <w:keepLines/>
      </w:pPr>
      <w:r w:rsidRPr="007D116E">
        <w:tab/>
        <w:t>(a)</w:t>
      </w:r>
      <w:r w:rsidRPr="007D116E">
        <w:tab/>
      </w:r>
      <w:r w:rsidR="007E3134" w:rsidRPr="007E3134">
        <w:t>the Regulator may amend the stated map or stated list prepared and published by it and the relevant road authority may amend the stated map or stated list prepared and published by it, but only by omitting, varying or extending—</w:t>
      </w:r>
    </w:p>
    <w:p w14:paraId="2D4F9F18" w14:textId="77777777" w:rsidR="007E3134" w:rsidRPr="00CF6555" w:rsidRDefault="007E3134" w:rsidP="007E3134">
      <w:pPr>
        <w:pStyle w:val="Asubpara"/>
      </w:pPr>
      <w:r>
        <w:tab/>
        <w:t>(i)</w:t>
      </w:r>
      <w:r>
        <w:tab/>
      </w:r>
      <w:r w:rsidRPr="00CF6555">
        <w:t>the areas or routes mentioned in subsection (2)(b); or</w:t>
      </w:r>
    </w:p>
    <w:p w14:paraId="62971C9B" w14:textId="77777777" w:rsidR="00CF6555" w:rsidRDefault="00CF6555" w:rsidP="007E3134">
      <w:pPr>
        <w:pStyle w:val="Asubpara"/>
      </w:pPr>
      <w:r w:rsidRPr="00CF6555">
        <w:tab/>
        <w:t>(ii)</w:t>
      </w:r>
      <w:r w:rsidRPr="00CF6555">
        <w:tab/>
        <w:t>the road conditions or travel conditions mentioned in subsection (3);</w:t>
      </w:r>
    </w:p>
    <w:p w14:paraId="5A314BAF" w14:textId="77777777" w:rsidR="00CF6555" w:rsidRPr="00CF6555" w:rsidRDefault="00CF6555" w:rsidP="00C40DBF">
      <w:pPr>
        <w:pStyle w:val="Aparareturn"/>
      </w:pPr>
      <w:r w:rsidRPr="00CF6555">
        <w:t>including by adding additional areas, routes, road conditions or travel conditions; and</w:t>
      </w:r>
    </w:p>
    <w:p w14:paraId="30316F90" w14:textId="77777777" w:rsidR="00DB6E47" w:rsidRPr="00CF6555" w:rsidRDefault="00DB6E47" w:rsidP="00DB6E47">
      <w:pPr>
        <w:pStyle w:val="Apara"/>
      </w:pPr>
      <w:r w:rsidRPr="007D116E">
        <w:tab/>
        <w:t>(b)</w:t>
      </w:r>
      <w:r w:rsidRPr="007D116E">
        <w:tab/>
      </w:r>
      <w:r w:rsidR="00CF6555" w:rsidRPr="00CF6555">
        <w:t>the Regulator must ensure a copy of the stated map or stated list as in force from time to time is—</w:t>
      </w:r>
    </w:p>
    <w:p w14:paraId="7391ABDE" w14:textId="77777777" w:rsidR="00DB6E47" w:rsidRPr="00CF6555" w:rsidRDefault="00DB6E47" w:rsidP="00DB6E47">
      <w:pPr>
        <w:pStyle w:val="Asubpara"/>
      </w:pPr>
      <w:r w:rsidRPr="00516F02">
        <w:tab/>
        <w:t>(i)</w:t>
      </w:r>
      <w:r w:rsidRPr="00516F02">
        <w:tab/>
      </w:r>
      <w:r w:rsidR="00CF6555" w:rsidRPr="00CF6555">
        <w:t>made available for inspection, without charge, during normal business hours at each office of the Regulator; and</w:t>
      </w:r>
    </w:p>
    <w:p w14:paraId="367B6B92" w14:textId="77777777" w:rsidR="00DB6E47" w:rsidRDefault="00DB6E47" w:rsidP="00DB6E47">
      <w:pPr>
        <w:pStyle w:val="Asubpara"/>
      </w:pPr>
      <w:r w:rsidRPr="00516F02">
        <w:tab/>
        <w:t>(ii)</w:t>
      </w:r>
      <w:r w:rsidRPr="00516F02">
        <w:tab/>
      </w:r>
      <w:r w:rsidR="00CF6555" w:rsidRPr="00CF6555">
        <w:t>published on the Regulator’s website or published by way of a reference or link published on the Regulator’s website.</w:t>
      </w:r>
    </w:p>
    <w:p w14:paraId="37DA86B3" w14:textId="77777777" w:rsidR="009B4DE4" w:rsidRDefault="009B4DE4" w:rsidP="009B4DE4">
      <w:pPr>
        <w:pStyle w:val="aNoteParapar"/>
      </w:pPr>
      <w:r w:rsidRPr="009B4DE4">
        <w:rPr>
          <w:rStyle w:val="charItals"/>
        </w:rPr>
        <w:t>Note</w:t>
      </w:r>
      <w:r>
        <w:t>—</w:t>
      </w:r>
    </w:p>
    <w:p w14:paraId="556E3F84" w14:textId="77777777" w:rsidR="009B4DE4" w:rsidRDefault="009B4DE4" w:rsidP="00F24BB1">
      <w:pPr>
        <w:pStyle w:val="aNoteTextss"/>
      </w:pPr>
      <w:r>
        <w:t>The</w:t>
      </w:r>
      <w:r>
        <w:rPr>
          <w:spacing w:val="18"/>
        </w:rPr>
        <w:t xml:space="preserve"> </w:t>
      </w:r>
      <w:r>
        <w:rPr>
          <w:spacing w:val="-1"/>
        </w:rPr>
        <w:t>Regulator</w:t>
      </w:r>
      <w:r>
        <w:rPr>
          <w:spacing w:val="18"/>
        </w:rPr>
        <w:t xml:space="preserve"> </w:t>
      </w:r>
      <w:r>
        <w:t>must</w:t>
      </w:r>
      <w:r>
        <w:rPr>
          <w:spacing w:val="18"/>
        </w:rPr>
        <w:t xml:space="preserve"> </w:t>
      </w:r>
      <w:r>
        <w:t>publish</w:t>
      </w:r>
      <w:r>
        <w:rPr>
          <w:spacing w:val="19"/>
        </w:rPr>
        <w:t xml:space="preserve"> </w:t>
      </w:r>
      <w:r>
        <w:t>a</w:t>
      </w:r>
      <w:r>
        <w:rPr>
          <w:spacing w:val="18"/>
        </w:rPr>
        <w:t xml:space="preserve"> </w:t>
      </w:r>
      <w:r>
        <w:t>stated</w:t>
      </w:r>
      <w:r>
        <w:rPr>
          <w:spacing w:val="19"/>
        </w:rPr>
        <w:t xml:space="preserve"> </w:t>
      </w:r>
      <w:r>
        <w:t>map</w:t>
      </w:r>
      <w:r>
        <w:rPr>
          <w:spacing w:val="19"/>
        </w:rPr>
        <w:t xml:space="preserve"> </w:t>
      </w:r>
      <w:r>
        <w:t>or</w:t>
      </w:r>
      <w:r>
        <w:rPr>
          <w:spacing w:val="19"/>
        </w:rPr>
        <w:t xml:space="preserve"> </w:t>
      </w:r>
      <w:r>
        <w:t>stated</w:t>
      </w:r>
      <w:r>
        <w:rPr>
          <w:spacing w:val="18"/>
        </w:rPr>
        <w:t xml:space="preserve"> </w:t>
      </w:r>
      <w:r>
        <w:t>list</w:t>
      </w:r>
      <w:r>
        <w:rPr>
          <w:spacing w:val="29"/>
          <w:w w:val="99"/>
        </w:rPr>
        <w:t xml:space="preserve"> </w:t>
      </w:r>
      <w:r>
        <w:t>whether</w:t>
      </w:r>
      <w:r>
        <w:rPr>
          <w:spacing w:val="18"/>
        </w:rPr>
        <w:t xml:space="preserve"> </w:t>
      </w:r>
      <w:r>
        <w:t>the</w:t>
      </w:r>
      <w:r>
        <w:rPr>
          <w:spacing w:val="18"/>
        </w:rPr>
        <w:t xml:space="preserve"> </w:t>
      </w:r>
      <w:r>
        <w:rPr>
          <w:spacing w:val="-1"/>
        </w:rPr>
        <w:t>Regulator</w:t>
      </w:r>
      <w:r>
        <w:rPr>
          <w:spacing w:val="18"/>
        </w:rPr>
        <w:t xml:space="preserve"> </w:t>
      </w:r>
      <w:r>
        <w:t>or</w:t>
      </w:r>
      <w:r>
        <w:rPr>
          <w:spacing w:val="18"/>
        </w:rPr>
        <w:t xml:space="preserve"> </w:t>
      </w:r>
      <w:r>
        <w:t>a</w:t>
      </w:r>
      <w:r>
        <w:rPr>
          <w:spacing w:val="17"/>
        </w:rPr>
        <w:t xml:space="preserve"> </w:t>
      </w:r>
      <w:r>
        <w:rPr>
          <w:spacing w:val="-2"/>
        </w:rPr>
        <w:t>relevant</w:t>
      </w:r>
      <w:r>
        <w:rPr>
          <w:spacing w:val="18"/>
        </w:rPr>
        <w:t xml:space="preserve"> </w:t>
      </w:r>
      <w:r>
        <w:t>road</w:t>
      </w:r>
      <w:r>
        <w:rPr>
          <w:spacing w:val="18"/>
        </w:rPr>
        <w:t xml:space="preserve"> </w:t>
      </w:r>
      <w:r>
        <w:t>authority</w:t>
      </w:r>
      <w:r>
        <w:rPr>
          <w:spacing w:val="32"/>
          <w:w w:val="99"/>
        </w:rPr>
        <w:t xml:space="preserve"> </w:t>
      </w:r>
      <w:r>
        <w:t>originally</w:t>
      </w:r>
      <w:r>
        <w:rPr>
          <w:spacing w:val="42"/>
        </w:rPr>
        <w:t xml:space="preserve"> </w:t>
      </w:r>
      <w:r>
        <w:t>prepared</w:t>
      </w:r>
      <w:r>
        <w:rPr>
          <w:spacing w:val="42"/>
        </w:rPr>
        <w:t xml:space="preserve"> </w:t>
      </w:r>
      <w:r>
        <w:t>and</w:t>
      </w:r>
      <w:r>
        <w:rPr>
          <w:spacing w:val="42"/>
        </w:rPr>
        <w:t xml:space="preserve"> </w:t>
      </w:r>
      <w:r>
        <w:t>published</w:t>
      </w:r>
      <w:r>
        <w:rPr>
          <w:spacing w:val="42"/>
        </w:rPr>
        <w:t xml:space="preserve"> </w:t>
      </w:r>
      <w:r>
        <w:t>it</w:t>
      </w:r>
      <w:r>
        <w:rPr>
          <w:spacing w:val="42"/>
        </w:rPr>
        <w:t xml:space="preserve"> </w:t>
      </w:r>
      <w:r>
        <w:t>as</w:t>
      </w:r>
      <w:r>
        <w:rPr>
          <w:spacing w:val="42"/>
        </w:rPr>
        <w:t xml:space="preserve"> </w:t>
      </w:r>
      <w:r>
        <w:t>mentioned</w:t>
      </w:r>
      <w:r>
        <w:rPr>
          <w:spacing w:val="41"/>
        </w:rPr>
        <w:t xml:space="preserve"> </w:t>
      </w:r>
      <w:r>
        <w:t>in</w:t>
      </w:r>
      <w:r>
        <w:rPr>
          <w:spacing w:val="28"/>
          <w:w w:val="99"/>
        </w:rPr>
        <w:t xml:space="preserve"> </w:t>
      </w:r>
      <w:r>
        <w:t>subsection</w:t>
      </w:r>
      <w:r>
        <w:rPr>
          <w:spacing w:val="-12"/>
        </w:rPr>
        <w:t xml:space="preserve"> </w:t>
      </w:r>
      <w:r>
        <w:t>(2).</w:t>
      </w:r>
    </w:p>
    <w:p w14:paraId="01879787" w14:textId="77777777" w:rsidR="00DB6E47" w:rsidRDefault="00845475" w:rsidP="00DB6E47">
      <w:pPr>
        <w:pStyle w:val="Amain"/>
      </w:pPr>
      <w:r>
        <w:tab/>
        <w:t>(5</w:t>
      </w:r>
      <w:r w:rsidR="00DB6E47" w:rsidRPr="003F319E">
        <w:t>)</w:t>
      </w:r>
      <w:r w:rsidR="00DB6E47" w:rsidRPr="003F319E">
        <w:tab/>
      </w:r>
      <w:r w:rsidRPr="00845475">
        <w:t>Despite subsection (4)(a), a road authority may only amend a map or list in a way that affects a particular road if—</w:t>
      </w:r>
    </w:p>
    <w:p w14:paraId="49CCD116" w14:textId="77777777" w:rsidR="00845475" w:rsidRPr="00845475" w:rsidRDefault="00845475" w:rsidP="00845475">
      <w:pPr>
        <w:pStyle w:val="Apara"/>
      </w:pPr>
      <w:r>
        <w:tab/>
        <w:t>(a)</w:t>
      </w:r>
      <w:r>
        <w:tab/>
      </w:r>
      <w:r w:rsidRPr="00845475">
        <w:t>the road authority is the road manager for the road; or</w:t>
      </w:r>
    </w:p>
    <w:p w14:paraId="517E17ED" w14:textId="77777777" w:rsidR="00845475" w:rsidRPr="00845475" w:rsidRDefault="00845475" w:rsidP="00845475">
      <w:pPr>
        <w:pStyle w:val="Apara"/>
      </w:pPr>
      <w:r w:rsidRPr="00845475">
        <w:tab/>
        <w:t>(b)</w:t>
      </w:r>
      <w:r w:rsidRPr="00845475">
        <w:tab/>
        <w:t>the road authority is not the road manager for the road and has been advised by the Regulator that the Regulator has obtained the consent of the road manager for the amendment.</w:t>
      </w:r>
    </w:p>
    <w:p w14:paraId="6D68C9B8" w14:textId="77777777" w:rsidR="00DB6E47" w:rsidRPr="003F319E" w:rsidRDefault="00076551" w:rsidP="00527A96">
      <w:pPr>
        <w:pStyle w:val="Amain"/>
        <w:keepNext/>
      </w:pPr>
      <w:r>
        <w:lastRenderedPageBreak/>
        <w:tab/>
        <w:t>(6</w:t>
      </w:r>
      <w:r w:rsidR="00DB6E47" w:rsidRPr="003F319E">
        <w:t>)</w:t>
      </w:r>
      <w:r w:rsidR="00DB6E47" w:rsidRPr="003F319E">
        <w:tab/>
        <w:t>Without limiting the conditions that may be prescribed under subsection (1)(b), the national regulations may—</w:t>
      </w:r>
    </w:p>
    <w:p w14:paraId="680F83E3" w14:textId="77777777" w:rsidR="00DB6E47" w:rsidRPr="007D116E" w:rsidRDefault="00DB6E47" w:rsidP="00DB6E47">
      <w:pPr>
        <w:pStyle w:val="Apara"/>
      </w:pPr>
      <w:r w:rsidRPr="007D116E">
        <w:tab/>
        <w:t>(a)</w:t>
      </w:r>
      <w:r w:rsidRPr="007D116E">
        <w:tab/>
        <w:t>prescribe conditions that are to apply only to particular areas or roads; and</w:t>
      </w:r>
    </w:p>
    <w:p w14:paraId="364398F8" w14:textId="77777777" w:rsidR="00DB6E47" w:rsidRPr="007D116E" w:rsidRDefault="00DB6E47" w:rsidP="00DB6E47">
      <w:pPr>
        <w:pStyle w:val="Apara"/>
      </w:pPr>
      <w:r w:rsidRPr="007D116E">
        <w:tab/>
        <w:t>(b)</w:t>
      </w:r>
      <w:r w:rsidRPr="007D116E">
        <w:tab/>
        <w:t>authorise the Regulator to decide the areas or roads to which the conditions are to apply.</w:t>
      </w:r>
    </w:p>
    <w:p w14:paraId="5A504573" w14:textId="77777777" w:rsidR="00DB6E47" w:rsidRPr="003F319E" w:rsidRDefault="00076551" w:rsidP="00DB6E47">
      <w:pPr>
        <w:pStyle w:val="Amain"/>
      </w:pPr>
      <w:r>
        <w:tab/>
        <w:t>(7</w:t>
      </w:r>
      <w:r w:rsidR="00DB6E47" w:rsidRPr="003F319E">
        <w:t>)</w:t>
      </w:r>
      <w:r w:rsidR="00DB6E47" w:rsidRPr="003F319E">
        <w:tab/>
        <w:t>In this section—</w:t>
      </w:r>
    </w:p>
    <w:p w14:paraId="54852112" w14:textId="77777777" w:rsidR="00DB6E47" w:rsidRDefault="00DB6E47" w:rsidP="00DB6E47">
      <w:pPr>
        <w:pStyle w:val="aDef"/>
      </w:pPr>
      <w:r w:rsidRPr="00041046">
        <w:rPr>
          <w:rStyle w:val="charBoldItals"/>
        </w:rPr>
        <w:t>relevant road authority</w:t>
      </w:r>
      <w:r w:rsidRPr="00041046">
        <w:t>, for a mass or dimension exemption (notice), means the road authority for the participating jurisdiction in which the road likely to be travelled under the exemption is situated.</w:t>
      </w:r>
    </w:p>
    <w:p w14:paraId="125296A5" w14:textId="77777777" w:rsidR="004153E0" w:rsidRDefault="004153E0" w:rsidP="00DB6E47">
      <w:pPr>
        <w:pStyle w:val="aDef"/>
        <w:rPr>
          <w:spacing w:val="-1"/>
        </w:rPr>
      </w:pPr>
      <w:r w:rsidRPr="004153E0">
        <w:rPr>
          <w:rStyle w:val="charBoldItals"/>
        </w:rPr>
        <w:t>road conditions</w:t>
      </w:r>
      <w:r>
        <w:rPr>
          <w:b/>
          <w:i/>
          <w:spacing w:val="25"/>
        </w:rPr>
        <w:t xml:space="preserve"> </w:t>
      </w:r>
      <w:r>
        <w:rPr>
          <w:spacing w:val="-1"/>
        </w:rPr>
        <w:t>means</w:t>
      </w:r>
      <w:r>
        <w:rPr>
          <w:spacing w:val="24"/>
        </w:rPr>
        <w:t xml:space="preserve"> </w:t>
      </w:r>
      <w:r>
        <w:rPr>
          <w:spacing w:val="-1"/>
        </w:rPr>
        <w:t>road</w:t>
      </w:r>
      <w:r>
        <w:rPr>
          <w:spacing w:val="24"/>
        </w:rPr>
        <w:t xml:space="preserve"> </w:t>
      </w:r>
      <w:r>
        <w:rPr>
          <w:spacing w:val="-1"/>
        </w:rPr>
        <w:t>conditions</w:t>
      </w:r>
      <w:r>
        <w:rPr>
          <w:spacing w:val="24"/>
        </w:rPr>
        <w:t xml:space="preserve"> </w:t>
      </w:r>
      <w:r>
        <w:rPr>
          <w:spacing w:val="-1"/>
        </w:rPr>
        <w:t>required</w:t>
      </w:r>
      <w:r>
        <w:rPr>
          <w:spacing w:val="25"/>
        </w:rPr>
        <w:t xml:space="preserve"> </w:t>
      </w:r>
      <w:r>
        <w:rPr>
          <w:spacing w:val="-1"/>
        </w:rPr>
        <w:t xml:space="preserve">by the </w:t>
      </w:r>
      <w:r>
        <w:rPr>
          <w:spacing w:val="-3"/>
        </w:rPr>
        <w:t>relevant</w:t>
      </w:r>
      <w:r>
        <w:rPr>
          <w:spacing w:val="-1"/>
        </w:rPr>
        <w:t xml:space="preserve"> road manager under section 160.</w:t>
      </w:r>
    </w:p>
    <w:p w14:paraId="0569E906" w14:textId="77777777" w:rsidR="004153E0" w:rsidRDefault="004153E0" w:rsidP="00DB6E47">
      <w:pPr>
        <w:pStyle w:val="aDef"/>
        <w:rPr>
          <w:spacing w:val="-1"/>
        </w:rPr>
      </w:pPr>
      <w:r w:rsidRPr="004153E0">
        <w:rPr>
          <w:rStyle w:val="charBoldItals"/>
        </w:rPr>
        <w:t>travel conditions</w:t>
      </w:r>
      <w:r>
        <w:rPr>
          <w:b/>
          <w:i/>
          <w:spacing w:val="11"/>
        </w:rPr>
        <w:t xml:space="preserve"> </w:t>
      </w:r>
      <w:r>
        <w:rPr>
          <w:spacing w:val="-1"/>
        </w:rPr>
        <w:t>means</w:t>
      </w:r>
      <w:r>
        <w:rPr>
          <w:spacing w:val="11"/>
        </w:rPr>
        <w:t xml:space="preserve"> </w:t>
      </w:r>
      <w:r>
        <w:rPr>
          <w:spacing w:val="-2"/>
        </w:rPr>
        <w:t>travel</w:t>
      </w:r>
      <w:r>
        <w:rPr>
          <w:spacing w:val="11"/>
        </w:rPr>
        <w:t xml:space="preserve"> </w:t>
      </w:r>
      <w:r>
        <w:rPr>
          <w:spacing w:val="-1"/>
        </w:rPr>
        <w:t>conditions</w:t>
      </w:r>
      <w:r>
        <w:rPr>
          <w:spacing w:val="26"/>
        </w:rPr>
        <w:t xml:space="preserve"> </w:t>
      </w:r>
      <w:r>
        <w:t>required</w:t>
      </w:r>
      <w:r>
        <w:rPr>
          <w:spacing w:val="21"/>
        </w:rPr>
        <w:t xml:space="preserve"> </w:t>
      </w:r>
      <w:r>
        <w:t>by</w:t>
      </w:r>
      <w:r>
        <w:rPr>
          <w:spacing w:val="21"/>
        </w:rPr>
        <w:t xml:space="preserve"> </w:t>
      </w:r>
      <w:r>
        <w:t>the</w:t>
      </w:r>
      <w:r>
        <w:rPr>
          <w:spacing w:val="21"/>
        </w:rPr>
        <w:t xml:space="preserve"> </w:t>
      </w:r>
      <w:r>
        <w:rPr>
          <w:spacing w:val="-2"/>
        </w:rPr>
        <w:t>relevant</w:t>
      </w:r>
      <w:r>
        <w:rPr>
          <w:spacing w:val="21"/>
        </w:rPr>
        <w:t xml:space="preserve"> </w:t>
      </w:r>
      <w:r>
        <w:t>road</w:t>
      </w:r>
      <w:r>
        <w:rPr>
          <w:spacing w:val="21"/>
        </w:rPr>
        <w:t xml:space="preserve"> </w:t>
      </w:r>
      <w:r>
        <w:t>manager</w:t>
      </w:r>
      <w:r>
        <w:rPr>
          <w:spacing w:val="21"/>
        </w:rPr>
        <w:t xml:space="preserve"> </w:t>
      </w:r>
      <w:r>
        <w:t>under</w:t>
      </w:r>
      <w:r>
        <w:rPr>
          <w:spacing w:val="22"/>
        </w:rPr>
        <w:t xml:space="preserve"> </w:t>
      </w:r>
      <w:r>
        <w:rPr>
          <w:spacing w:val="-1"/>
        </w:rPr>
        <w:t>section 161.</w:t>
      </w:r>
    </w:p>
    <w:p w14:paraId="4B1D3DAE" w14:textId="77777777" w:rsidR="00834109" w:rsidRDefault="00834109" w:rsidP="00834109">
      <w:pPr>
        <w:pStyle w:val="AH5Sec"/>
      </w:pPr>
      <w:bookmarkStart w:id="138" w:name="_Toc83625482"/>
      <w:r w:rsidRPr="005E03F7">
        <w:rPr>
          <w:rStyle w:val="CharSectNo"/>
        </w:rPr>
        <w:t>119A</w:t>
      </w:r>
      <w:r>
        <w:tab/>
      </w:r>
      <w:r w:rsidRPr="00834109">
        <w:t>Process for amending a stated map or stated list</w:t>
      </w:r>
      <w:bookmarkEnd w:id="138"/>
    </w:p>
    <w:p w14:paraId="3BD42663" w14:textId="77777777" w:rsidR="00834109" w:rsidRPr="00834109" w:rsidRDefault="00834109" w:rsidP="00834109">
      <w:pPr>
        <w:pStyle w:val="Amain"/>
      </w:pPr>
      <w:r>
        <w:tab/>
        <w:t>(1)</w:t>
      </w:r>
      <w:r>
        <w:tab/>
      </w:r>
      <w:r w:rsidRPr="00834109">
        <w:t>This section applies to the amendment of a stated map or stated list mentioned in section 119.</w:t>
      </w:r>
    </w:p>
    <w:p w14:paraId="54D16633" w14:textId="77777777" w:rsidR="00834109" w:rsidRDefault="00834109" w:rsidP="00834109">
      <w:pPr>
        <w:pStyle w:val="Amain"/>
      </w:pPr>
      <w:r w:rsidRPr="00834109">
        <w:tab/>
        <w:t>(2)</w:t>
      </w:r>
      <w:r w:rsidRPr="00834109">
        <w:tab/>
        <w:t>For the purpose of an amendment by the Regulator only adding an additional area or route to a stated map or stated list—</w:t>
      </w:r>
    </w:p>
    <w:p w14:paraId="004AA240" w14:textId="77777777" w:rsidR="00834109" w:rsidRPr="00834109" w:rsidRDefault="00834109" w:rsidP="00834109">
      <w:pPr>
        <w:pStyle w:val="Apara"/>
      </w:pPr>
      <w:r>
        <w:tab/>
      </w:r>
      <w:r w:rsidRPr="00834109">
        <w:t>(a)</w:t>
      </w:r>
      <w:r w:rsidRPr="00834109">
        <w:tab/>
        <w:t>section 118 applies; and</w:t>
      </w:r>
    </w:p>
    <w:p w14:paraId="4A3F1E0F" w14:textId="77777777" w:rsidR="00834109" w:rsidRPr="00834109" w:rsidRDefault="00834109" w:rsidP="00834109">
      <w:pPr>
        <w:pStyle w:val="Apara"/>
      </w:pPr>
      <w:r w:rsidRPr="00834109">
        <w:tab/>
        <w:t>(b)</w:t>
      </w:r>
      <w:r w:rsidRPr="00834109">
        <w:tab/>
        <w:t>Division 2 of Part 4.7 applies to the extent the division relates to the grant of a mass or dimension exemption (notice); and</w:t>
      </w:r>
    </w:p>
    <w:p w14:paraId="7270F0C0" w14:textId="77777777" w:rsidR="00834109" w:rsidRDefault="00834109" w:rsidP="00834109">
      <w:pPr>
        <w:pStyle w:val="Apara"/>
      </w:pPr>
      <w:r w:rsidRPr="00834109">
        <w:tab/>
        <w:t>(c)</w:t>
      </w:r>
      <w:r w:rsidRPr="00834109">
        <w:tab/>
        <w:t>Division 3 of Part 4.7 does not apply.</w:t>
      </w:r>
    </w:p>
    <w:p w14:paraId="71D0F307" w14:textId="77777777" w:rsidR="00834109" w:rsidRDefault="00834109" w:rsidP="00527A96">
      <w:pPr>
        <w:pStyle w:val="Amain"/>
        <w:keepNext/>
      </w:pPr>
      <w:r>
        <w:tab/>
        <w:t>(3)</w:t>
      </w:r>
      <w:r>
        <w:tab/>
      </w:r>
      <w:r>
        <w:rPr>
          <w:spacing w:val="-2"/>
        </w:rPr>
        <w:t>For</w:t>
      </w:r>
      <w:r>
        <w:rPr>
          <w:spacing w:val="49"/>
        </w:rPr>
        <w:t xml:space="preserve"> </w:t>
      </w:r>
      <w:r>
        <w:rPr>
          <w:spacing w:val="-1"/>
        </w:rPr>
        <w:t>the</w:t>
      </w:r>
      <w:r>
        <w:rPr>
          <w:spacing w:val="49"/>
        </w:rPr>
        <w:t xml:space="preserve"> </w:t>
      </w:r>
      <w:r>
        <w:rPr>
          <w:spacing w:val="-1"/>
        </w:rPr>
        <w:t>purpose</w:t>
      </w:r>
      <w:r>
        <w:rPr>
          <w:spacing w:val="49"/>
        </w:rPr>
        <w:t xml:space="preserve"> </w:t>
      </w:r>
      <w:r>
        <w:rPr>
          <w:spacing w:val="-1"/>
        </w:rPr>
        <w:t>of</w:t>
      </w:r>
      <w:r>
        <w:rPr>
          <w:spacing w:val="49"/>
        </w:rPr>
        <w:t xml:space="preserve"> </w:t>
      </w:r>
      <w:r>
        <w:rPr>
          <w:spacing w:val="-1"/>
        </w:rPr>
        <w:t>subsection</w:t>
      </w:r>
      <w:r>
        <w:rPr>
          <w:spacing w:val="49"/>
        </w:rPr>
        <w:t xml:space="preserve"> </w:t>
      </w:r>
      <w:r>
        <w:rPr>
          <w:spacing w:val="-1"/>
        </w:rPr>
        <w:t>(2),</w:t>
      </w:r>
      <w:r>
        <w:rPr>
          <w:spacing w:val="49"/>
        </w:rPr>
        <w:t xml:space="preserve"> </w:t>
      </w:r>
      <w:r>
        <w:rPr>
          <w:spacing w:val="-1"/>
        </w:rPr>
        <w:t>section</w:t>
      </w:r>
      <w:r>
        <w:rPr>
          <w:spacing w:val="49"/>
        </w:rPr>
        <w:t xml:space="preserve"> </w:t>
      </w:r>
      <w:r>
        <w:rPr>
          <w:spacing w:val="-1"/>
        </w:rPr>
        <w:t>118</w:t>
      </w:r>
      <w:r>
        <w:rPr>
          <w:spacing w:val="27"/>
        </w:rPr>
        <w:t xml:space="preserve"> </w:t>
      </w:r>
      <w:r>
        <w:t xml:space="preserve">and </w:t>
      </w:r>
      <w:r>
        <w:rPr>
          <w:spacing w:val="-1"/>
        </w:rPr>
        <w:t>Division</w:t>
      </w:r>
      <w:r>
        <w:t xml:space="preserve"> 2 of </w:t>
      </w:r>
      <w:r>
        <w:rPr>
          <w:spacing w:val="-2"/>
        </w:rPr>
        <w:t>Part</w:t>
      </w:r>
      <w:r>
        <w:t xml:space="preserve"> 4.7 apply as if—</w:t>
      </w:r>
    </w:p>
    <w:p w14:paraId="7808485A" w14:textId="77777777" w:rsidR="00834109" w:rsidRPr="007F0EF8" w:rsidRDefault="00834109" w:rsidP="00834109">
      <w:pPr>
        <w:pStyle w:val="Apara"/>
      </w:pPr>
      <w:r>
        <w:tab/>
        <w:t>(a)</w:t>
      </w:r>
      <w:r>
        <w:tab/>
      </w:r>
      <w:r w:rsidRPr="007F0EF8">
        <w:t>a reference to the grant of a mass or dimension exemption (notice) or a mass or dimension authority were a reference to the adding of the additional area or route; and</w:t>
      </w:r>
    </w:p>
    <w:p w14:paraId="70CCABCA" w14:textId="77777777" w:rsidR="007F0EF8" w:rsidRDefault="007F0EF8" w:rsidP="00834109">
      <w:pPr>
        <w:pStyle w:val="Apara"/>
      </w:pPr>
      <w:r w:rsidRPr="007F0EF8">
        <w:lastRenderedPageBreak/>
        <w:tab/>
        <w:t>(b)</w:t>
      </w:r>
      <w:r w:rsidRPr="007F0EF8">
        <w:tab/>
        <w:t>a reference to the relevant road manager for a mass or dimension exemption (notice) or a mass or dimension authority were a reference to the relevant road manager for the exemption or authority that applies the stated map or stated list.</w:t>
      </w:r>
    </w:p>
    <w:p w14:paraId="76E75167" w14:textId="77777777" w:rsidR="007F0EF8" w:rsidRPr="007F0EF8" w:rsidRDefault="007F0EF8" w:rsidP="007F0EF8">
      <w:pPr>
        <w:pStyle w:val="Amain"/>
      </w:pPr>
      <w:r>
        <w:tab/>
        <w:t>(4)</w:t>
      </w:r>
      <w:r>
        <w:tab/>
      </w:r>
      <w:r w:rsidRPr="007F0EF8">
        <w:t>For the purpose of an amendment by the relevant road authority only adding an additional area or route to, or only removing a road condition or travel condition from, a stated map or stated list, section 118 and Part 4.7 do not apply.</w:t>
      </w:r>
    </w:p>
    <w:p w14:paraId="232AC159" w14:textId="77777777" w:rsidR="007F0EF8" w:rsidRPr="007F0EF8" w:rsidRDefault="007F0EF8" w:rsidP="007F0EF8">
      <w:pPr>
        <w:pStyle w:val="Amain"/>
      </w:pPr>
      <w:r w:rsidRPr="007F0EF8">
        <w:tab/>
        <w:t>(5)</w:t>
      </w:r>
      <w:r w:rsidRPr="007F0EF8">
        <w:tab/>
        <w:t>For the purpose of an amendment by the Regulator or a relevant road authority if subsections (2) to (4) do not apply, Division 3 of Part 4.7 applies to the extent the Division relates to the amendment of a mass or dimension exemption (notice).</w:t>
      </w:r>
    </w:p>
    <w:p w14:paraId="3A484095" w14:textId="77777777" w:rsidR="007F0EF8" w:rsidRDefault="007F0EF8" w:rsidP="007F0EF8">
      <w:pPr>
        <w:pStyle w:val="Amain"/>
      </w:pPr>
      <w:r w:rsidRPr="007F0EF8">
        <w:tab/>
        <w:t>(6)</w:t>
      </w:r>
      <w:r w:rsidRPr="007F0EF8">
        <w:tab/>
        <w:t>For subsection (5), Division 3 of Part 4.7 applies as if—</w:t>
      </w:r>
    </w:p>
    <w:p w14:paraId="00E27863" w14:textId="77777777" w:rsidR="007F0EF8" w:rsidRPr="007F0EF8" w:rsidRDefault="007F0EF8" w:rsidP="007F0EF8">
      <w:pPr>
        <w:pStyle w:val="Apara"/>
      </w:pPr>
      <w:r>
        <w:tab/>
        <w:t>(a)</w:t>
      </w:r>
      <w:r w:rsidRPr="007F0EF8">
        <w:tab/>
        <w:t>a reference to the amendment of a mass or dimension authority were a reference to the amendment of the stated map or stated list; and</w:t>
      </w:r>
    </w:p>
    <w:p w14:paraId="0B3122CB" w14:textId="77777777" w:rsidR="007F0EF8" w:rsidRPr="007F0EF8" w:rsidRDefault="007F0EF8" w:rsidP="007F0EF8">
      <w:pPr>
        <w:pStyle w:val="Apara"/>
      </w:pPr>
      <w:r w:rsidRPr="007F0EF8">
        <w:tab/>
        <w:t>(b)</w:t>
      </w:r>
      <w:r w:rsidRPr="007F0EF8">
        <w:tab/>
        <w:t>a reference to the Regulator were a reference to the Regulator or the relevant road authority, whichever is amending the stated map or stated list; and</w:t>
      </w:r>
    </w:p>
    <w:p w14:paraId="77107B65" w14:textId="77777777" w:rsidR="007F0EF8" w:rsidRPr="007F0EF8" w:rsidRDefault="007F0EF8" w:rsidP="007F0EF8">
      <w:pPr>
        <w:pStyle w:val="Apara"/>
      </w:pPr>
      <w:r w:rsidRPr="007F0EF8">
        <w:tab/>
        <w:t>(c)</w:t>
      </w:r>
      <w:r w:rsidRPr="007F0EF8">
        <w:tab/>
        <w:t>a reference to the relevant road manager for a mass or dimension authority were a reference to the relevant road manager for the authority that applies the stated map or stated list.</w:t>
      </w:r>
    </w:p>
    <w:p w14:paraId="4E5AB921" w14:textId="77777777" w:rsidR="00DB6E47" w:rsidRPr="007E1F9A" w:rsidRDefault="00DB6E47" w:rsidP="00DB6E47">
      <w:pPr>
        <w:pStyle w:val="AH5Sec"/>
      </w:pPr>
      <w:bookmarkStart w:id="139" w:name="_Toc83625483"/>
      <w:r w:rsidRPr="005E03F7">
        <w:rPr>
          <w:rStyle w:val="CharSectNo"/>
        </w:rPr>
        <w:t>120</w:t>
      </w:r>
      <w:r w:rsidRPr="007E1F9A">
        <w:tab/>
        <w:t>Period for which mass or dimension exemption (notice) applies</w:t>
      </w:r>
      <w:bookmarkEnd w:id="139"/>
    </w:p>
    <w:p w14:paraId="097D0AB9" w14:textId="77777777" w:rsidR="00DB6E47" w:rsidRPr="003F319E" w:rsidRDefault="00DB6E47" w:rsidP="00DB6E47">
      <w:pPr>
        <w:pStyle w:val="Amainreturn"/>
      </w:pPr>
      <w:r w:rsidRPr="003F319E">
        <w:t>A mass or dimension exemption (notice)—</w:t>
      </w:r>
    </w:p>
    <w:p w14:paraId="1D11059E" w14:textId="77777777" w:rsidR="00DB6E47" w:rsidRPr="007D116E" w:rsidRDefault="00DB6E47" w:rsidP="00DB6E47">
      <w:pPr>
        <w:pStyle w:val="Apara"/>
      </w:pPr>
      <w:r w:rsidRPr="007D116E">
        <w:tab/>
        <w:t>(a)</w:t>
      </w:r>
      <w:r w:rsidRPr="007D116E">
        <w:tab/>
        <w:t>takes effect—</w:t>
      </w:r>
    </w:p>
    <w:p w14:paraId="311150E5" w14:textId="77777777" w:rsidR="00DB6E47" w:rsidRPr="00516F02" w:rsidRDefault="00DB6E47" w:rsidP="00DB6E47">
      <w:pPr>
        <w:pStyle w:val="Asubpara"/>
      </w:pPr>
      <w:r w:rsidRPr="00516F02">
        <w:tab/>
        <w:t>(i)</w:t>
      </w:r>
      <w:r w:rsidRPr="00516F02">
        <w:tab/>
        <w:t>when the Commonwealth Gazette notice for the exemption is published; or</w:t>
      </w:r>
    </w:p>
    <w:p w14:paraId="00593A83" w14:textId="77777777" w:rsidR="00DB6E47" w:rsidRPr="00516F02" w:rsidRDefault="00DB6E47" w:rsidP="00DB6E47">
      <w:pPr>
        <w:pStyle w:val="Asubpara"/>
      </w:pPr>
      <w:r w:rsidRPr="00516F02">
        <w:lastRenderedPageBreak/>
        <w:tab/>
        <w:t>(ii)</w:t>
      </w:r>
      <w:r w:rsidRPr="00516F02">
        <w:tab/>
        <w:t>if a later time is stated in the Commonwealth Gazette notice, at the later time; and</w:t>
      </w:r>
    </w:p>
    <w:p w14:paraId="7A26547B" w14:textId="77777777" w:rsidR="00DB6E47" w:rsidRPr="007D116E" w:rsidRDefault="00DB6E47" w:rsidP="00DB6E47">
      <w:pPr>
        <w:pStyle w:val="Apara"/>
      </w:pPr>
      <w:r w:rsidRPr="007D116E">
        <w:tab/>
        <w:t>(b)</w:t>
      </w:r>
      <w:r w:rsidRPr="007D116E">
        <w:tab/>
        <w:t>applies for the period stated in the Commonwealth Gazette notice.</w:t>
      </w:r>
    </w:p>
    <w:p w14:paraId="2B83E8EC" w14:textId="77777777" w:rsidR="00DB6E47" w:rsidRPr="007E1F9A" w:rsidRDefault="00DB6E47" w:rsidP="00DB6E47">
      <w:pPr>
        <w:pStyle w:val="AH5Sec"/>
      </w:pPr>
      <w:bookmarkStart w:id="140" w:name="_Toc83625484"/>
      <w:r w:rsidRPr="005E03F7">
        <w:rPr>
          <w:rStyle w:val="CharSectNo"/>
        </w:rPr>
        <w:t>121</w:t>
      </w:r>
      <w:r w:rsidRPr="007E1F9A">
        <w:tab/>
        <w:t>Requirements about Commonwealth Gazette notice</w:t>
      </w:r>
      <w:bookmarkEnd w:id="140"/>
    </w:p>
    <w:p w14:paraId="7E8B7FB8" w14:textId="77777777" w:rsidR="00DB6E47" w:rsidRPr="003F319E" w:rsidRDefault="00DB6E47" w:rsidP="00DB6E47">
      <w:pPr>
        <w:pStyle w:val="Amain"/>
      </w:pPr>
      <w:r w:rsidRPr="003F319E">
        <w:tab/>
        <w:t>(1)</w:t>
      </w:r>
      <w:r w:rsidRPr="003F319E">
        <w:tab/>
        <w:t>A Commonwealth Gazette notice for a mass or dimension exemption (notice) must state the following—</w:t>
      </w:r>
    </w:p>
    <w:p w14:paraId="48AFBBD1" w14:textId="77777777" w:rsidR="00DB6E47" w:rsidRPr="007D116E" w:rsidRDefault="00DB6E47" w:rsidP="00DB6E47">
      <w:pPr>
        <w:pStyle w:val="Apara"/>
      </w:pPr>
      <w:r w:rsidRPr="007D116E">
        <w:tab/>
        <w:t>(a)</w:t>
      </w:r>
      <w:r w:rsidRPr="007D116E">
        <w:tab/>
        <w:t>the category of heavy vehicles to which the exemption applies;</w:t>
      </w:r>
    </w:p>
    <w:p w14:paraId="18C51213" w14:textId="77777777" w:rsidR="00DB6E47" w:rsidRPr="007D116E" w:rsidRDefault="00DB6E47" w:rsidP="00DB6E47">
      <w:pPr>
        <w:pStyle w:val="Apara"/>
      </w:pPr>
      <w:r w:rsidRPr="007D116E">
        <w:tab/>
        <w:t>(b)</w:t>
      </w:r>
      <w:r w:rsidRPr="007D116E">
        <w:tab/>
        <w:t>the mass requirement or dimension requirement to which the exemption applies;</w:t>
      </w:r>
    </w:p>
    <w:p w14:paraId="5B5331E0" w14:textId="77777777" w:rsidR="00DB6E47" w:rsidRPr="007D116E" w:rsidRDefault="00DB6E47" w:rsidP="00DB6E47">
      <w:pPr>
        <w:pStyle w:val="Apara"/>
      </w:pPr>
      <w:r w:rsidRPr="007D116E">
        <w:tab/>
        <w:t>(c)</w:t>
      </w:r>
      <w:r w:rsidRPr="007D116E">
        <w:tab/>
        <w:t>the areas or routes to which the exemption applies;</w:t>
      </w:r>
    </w:p>
    <w:p w14:paraId="21AD4973" w14:textId="77777777" w:rsidR="00DB6E47" w:rsidRPr="007D116E" w:rsidRDefault="00DB6E47" w:rsidP="00DB6E47">
      <w:pPr>
        <w:pStyle w:val="Apara"/>
      </w:pPr>
      <w:r w:rsidRPr="007D116E">
        <w:tab/>
        <w:t>(d)</w:t>
      </w:r>
      <w:r w:rsidRPr="007D116E">
        <w:tab/>
        <w:t>the conditi</w:t>
      </w:r>
      <w:r w:rsidR="00702047">
        <w:t>ons mentioned in section 119(1)</w:t>
      </w:r>
      <w:r w:rsidRPr="007D116E">
        <w:t>(b), including, for example, by referencing the relevant provision of the national regulations;</w:t>
      </w:r>
    </w:p>
    <w:p w14:paraId="0FE789E9" w14:textId="77777777" w:rsidR="00DB6E47" w:rsidRPr="007D116E" w:rsidRDefault="00DB6E47" w:rsidP="00DB6E47">
      <w:pPr>
        <w:pStyle w:val="Apara"/>
      </w:pPr>
      <w:r w:rsidRPr="007D116E">
        <w:tab/>
        <w:t>(e)</w:t>
      </w:r>
      <w:r w:rsidRPr="007D116E">
        <w:tab/>
        <w:t>the road conditions or travel conditions required by a relevant road manager for the exemption under section 160 or 161;</w:t>
      </w:r>
    </w:p>
    <w:p w14:paraId="40A26DE9" w14:textId="77777777" w:rsidR="00DB6E47" w:rsidRPr="007D116E" w:rsidRDefault="00DB6E47" w:rsidP="00DB6E47">
      <w:pPr>
        <w:pStyle w:val="Apara"/>
      </w:pPr>
      <w:r w:rsidRPr="007D116E">
        <w:tab/>
        <w:t>(f)</w:t>
      </w:r>
      <w:r w:rsidRPr="007D116E">
        <w:tab/>
        <w:t>the other conditions of the exemption;</w:t>
      </w:r>
    </w:p>
    <w:p w14:paraId="325F5B50" w14:textId="77777777" w:rsidR="00DB6E47" w:rsidRPr="007D116E" w:rsidRDefault="00DB6E47" w:rsidP="00DB6E47">
      <w:pPr>
        <w:pStyle w:val="Apara"/>
      </w:pPr>
      <w:r w:rsidRPr="007D116E">
        <w:tab/>
        <w:t>(g)</w:t>
      </w:r>
      <w:r w:rsidRPr="007D116E">
        <w:tab/>
        <w:t>the period for which the exemption applies.</w:t>
      </w:r>
    </w:p>
    <w:p w14:paraId="0F3ED379" w14:textId="77777777" w:rsidR="00DB6E47" w:rsidRPr="003F319E" w:rsidRDefault="00DB6E47" w:rsidP="00DB6E47">
      <w:pPr>
        <w:pStyle w:val="Amain"/>
      </w:pPr>
      <w:r w:rsidRPr="003F319E">
        <w:tab/>
        <w:t>(2)</w:t>
      </w:r>
      <w:r w:rsidRPr="003F319E">
        <w:tab/>
        <w:t>The Regulator must publish a copy of the Commonwealth Gazette notice on the Regulator’s website.</w:t>
      </w:r>
    </w:p>
    <w:p w14:paraId="78438067" w14:textId="77777777" w:rsidR="00DB6E47" w:rsidRPr="005E03F7" w:rsidRDefault="00DB6E47" w:rsidP="00DB6E47">
      <w:pPr>
        <w:pStyle w:val="AH3Div"/>
      </w:pPr>
      <w:bookmarkStart w:id="141" w:name="_Toc83625485"/>
      <w:r w:rsidRPr="005E03F7">
        <w:rPr>
          <w:rStyle w:val="CharDivNo"/>
        </w:rPr>
        <w:lastRenderedPageBreak/>
        <w:t>Division 3</w:t>
      </w:r>
      <w:r w:rsidRPr="00A95F9A">
        <w:rPr>
          <w:rFonts w:ascii="Helvetica" w:hAnsi="Helvetica" w:cs="Helvetica"/>
          <w:iCs/>
          <w:szCs w:val="28"/>
        </w:rPr>
        <w:tab/>
      </w:r>
      <w:r w:rsidRPr="005E03F7">
        <w:rPr>
          <w:rStyle w:val="CharDivText"/>
          <w:rFonts w:ascii="Helvetica" w:hAnsi="Helvetica" w:cs="Helvetica"/>
          <w:iCs/>
          <w:szCs w:val="28"/>
        </w:rPr>
        <w:t>Exemptions by permit</w:t>
      </w:r>
      <w:bookmarkEnd w:id="141"/>
    </w:p>
    <w:p w14:paraId="50A1D924" w14:textId="77777777" w:rsidR="00DB6E47" w:rsidRPr="007E1F9A" w:rsidRDefault="00DB6E47" w:rsidP="00DB6E47">
      <w:pPr>
        <w:pStyle w:val="AH5Sec"/>
      </w:pPr>
      <w:bookmarkStart w:id="142" w:name="_Toc83625486"/>
      <w:r w:rsidRPr="005E03F7">
        <w:rPr>
          <w:rStyle w:val="CharSectNo"/>
        </w:rPr>
        <w:t>122</w:t>
      </w:r>
      <w:r w:rsidRPr="007E1F9A">
        <w:tab/>
        <w:t>Regulator’s power to exempt particular class 1 or class 3 heavy vehicle from compliance with mass or dimension requirement</w:t>
      </w:r>
      <w:bookmarkEnd w:id="142"/>
    </w:p>
    <w:p w14:paraId="6C141F4E" w14:textId="77777777" w:rsidR="00DB6E47" w:rsidRPr="003F319E" w:rsidRDefault="00DB6E47" w:rsidP="00FC0EFF">
      <w:pPr>
        <w:pStyle w:val="Amain"/>
        <w:keepNext/>
      </w:pPr>
      <w:r w:rsidRPr="003F319E">
        <w:tab/>
        <w:t>(1)</w:t>
      </w:r>
      <w:r w:rsidRPr="003F319E">
        <w:tab/>
        <w:t>The Regulator may, by giving a person a permit as mentioned in section 127, exempt, for a period of not more than 3 years—</w:t>
      </w:r>
    </w:p>
    <w:p w14:paraId="5B01DC62" w14:textId="77777777" w:rsidR="00DB6E47" w:rsidRPr="007D116E" w:rsidRDefault="00DB6E47" w:rsidP="00DB6E47">
      <w:pPr>
        <w:pStyle w:val="Apara"/>
      </w:pPr>
      <w:r w:rsidRPr="007D116E">
        <w:tab/>
        <w:t>(a)</w:t>
      </w:r>
      <w:r w:rsidRPr="007D116E">
        <w:tab/>
        <w:t>a class 1 heavy vehicle or class 3 heavy vehicle from compliance with—</w:t>
      </w:r>
    </w:p>
    <w:p w14:paraId="71708EEA" w14:textId="77777777" w:rsidR="00DB6E47" w:rsidRPr="00516F02" w:rsidRDefault="00DB6E47" w:rsidP="00DB6E47">
      <w:pPr>
        <w:pStyle w:val="Asubpara"/>
      </w:pPr>
      <w:r w:rsidRPr="00516F02">
        <w:tab/>
        <w:t>(i)</w:t>
      </w:r>
      <w:r w:rsidRPr="00516F02">
        <w:tab/>
        <w:t>a prescribed mass requirement; or</w:t>
      </w:r>
    </w:p>
    <w:p w14:paraId="062795C1" w14:textId="77777777" w:rsidR="00DB6E47" w:rsidRPr="00516F02" w:rsidRDefault="00DB6E47" w:rsidP="00DB6E47">
      <w:pPr>
        <w:pStyle w:val="Asubpara"/>
      </w:pPr>
      <w:r w:rsidRPr="00516F02">
        <w:tab/>
        <w:t>(ii)</w:t>
      </w:r>
      <w:r w:rsidRPr="00516F02">
        <w:tab/>
        <w:t>a prescribed dimension requirement; or</w:t>
      </w:r>
    </w:p>
    <w:p w14:paraId="37A8D293" w14:textId="77777777" w:rsidR="00DB6E47" w:rsidRPr="007D116E" w:rsidRDefault="00DB6E47" w:rsidP="00DB6E47">
      <w:pPr>
        <w:pStyle w:val="Apara"/>
      </w:pPr>
      <w:r w:rsidRPr="007D116E">
        <w:tab/>
        <w:t>(b)</w:t>
      </w:r>
      <w:r w:rsidRPr="007D116E">
        <w:tab/>
        <w:t>a class 1 heavy vehicle or class 3 heavy vehicle from a requirement relating to the GC</w:t>
      </w:r>
      <w:r w:rsidR="00702047">
        <w:t>M of the vehicle, if subsection </w:t>
      </w:r>
      <w:r w:rsidRPr="007D116E">
        <w:t>(2)</w:t>
      </w:r>
      <w:r w:rsidR="00702047">
        <w:t xml:space="preserve"> </w:t>
      </w:r>
      <w:r w:rsidRPr="007D116E">
        <w:t>applies.</w:t>
      </w:r>
    </w:p>
    <w:p w14:paraId="62A3137D" w14:textId="77777777" w:rsidR="00DB6E47" w:rsidRPr="003F319E" w:rsidRDefault="00DB6E47" w:rsidP="00CD357F">
      <w:pPr>
        <w:pStyle w:val="Amain"/>
        <w:keepLines/>
      </w:pPr>
      <w:r w:rsidRPr="003F319E">
        <w:tab/>
        <w:t>(2)</w:t>
      </w:r>
      <w:r w:rsidRPr="003F319E">
        <w:tab/>
        <w:t>The Regulator may, under subsection (1), exempt a class 1 heavy vehicle or class 3 heavy vehicle that includes 2 or more prime movers or 2 or more hauling units from compliance with a mass requirement relating to the GCM of the individual prime movers or hauling units if the total GCM of the prime movers or hauling units complies with the mass requirement relating to the GCM of the combined prime movers or hauling units.</w:t>
      </w:r>
    </w:p>
    <w:p w14:paraId="252F8432" w14:textId="77777777" w:rsidR="00DB6E47" w:rsidRPr="003F319E" w:rsidRDefault="00DB6E47" w:rsidP="00DB6E47">
      <w:pPr>
        <w:pStyle w:val="Amain"/>
      </w:pPr>
      <w:r w:rsidRPr="003F319E">
        <w:tab/>
        <w:t>(3</w:t>
      </w:r>
      <w:r w:rsidR="00702047">
        <w:t>)</w:t>
      </w:r>
      <w:r w:rsidR="00702047">
        <w:tab/>
        <w:t xml:space="preserve">An exemption under subsection </w:t>
      </w:r>
      <w:r w:rsidRPr="003F319E">
        <w:t>(1)</w:t>
      </w:r>
      <w:r w:rsidR="00702047">
        <w:t xml:space="preserve"> </w:t>
      </w:r>
      <w:r w:rsidRPr="003F319E">
        <w:t xml:space="preserve">is a </w:t>
      </w:r>
      <w:r w:rsidRPr="00FF4454">
        <w:rPr>
          <w:rStyle w:val="charBoldItals"/>
        </w:rPr>
        <w:t>mass or dimension exemption (permit)</w:t>
      </w:r>
      <w:r w:rsidRPr="003F319E">
        <w:t>.</w:t>
      </w:r>
    </w:p>
    <w:p w14:paraId="2AEF2737" w14:textId="77777777" w:rsidR="00DB6E47" w:rsidRPr="003F319E" w:rsidRDefault="00DB6E47" w:rsidP="00527A96">
      <w:pPr>
        <w:pStyle w:val="Amain"/>
        <w:keepNext/>
      </w:pPr>
      <w:r w:rsidRPr="003F319E">
        <w:tab/>
        <w:t>(4)</w:t>
      </w:r>
      <w:r w:rsidRPr="003F319E">
        <w:tab/>
        <w:t>A mass or dimension exemption (permit) may apply to 1 or more heavy vehicles.</w:t>
      </w:r>
    </w:p>
    <w:p w14:paraId="33C03389" w14:textId="77777777" w:rsidR="00DB6E47" w:rsidRPr="00C96203" w:rsidRDefault="00DB6E47" w:rsidP="00DB6E47">
      <w:pPr>
        <w:pStyle w:val="aNote"/>
      </w:pPr>
      <w:r w:rsidRPr="00FF4454">
        <w:rPr>
          <w:rStyle w:val="charItals"/>
        </w:rPr>
        <w:t>Note</w:t>
      </w:r>
      <w:r w:rsidRPr="00C96203">
        <w:rPr>
          <w:rFonts w:cs="Times"/>
          <w:bCs/>
          <w:iCs/>
        </w:rPr>
        <w:t>—</w:t>
      </w:r>
    </w:p>
    <w:p w14:paraId="6F85DE57" w14:textId="77777777" w:rsidR="00DB6E47" w:rsidRPr="00C96203" w:rsidRDefault="00DB6E47" w:rsidP="00DB6E47">
      <w:pPr>
        <w:pStyle w:val="aNoteTextss"/>
      </w:pPr>
      <w:r w:rsidRPr="00C96203">
        <w:t>See Division 4 of Part 4.7 in relation to amendment, suspension or cancellation of a mass or dimension exemption (permit).</w:t>
      </w:r>
    </w:p>
    <w:p w14:paraId="7DAFAC0F" w14:textId="77777777" w:rsidR="00DB6E47" w:rsidRPr="007E1F9A" w:rsidRDefault="00DB6E47" w:rsidP="00DB6E47">
      <w:pPr>
        <w:pStyle w:val="AH5Sec"/>
      </w:pPr>
      <w:bookmarkStart w:id="143" w:name="_Toc83625487"/>
      <w:r w:rsidRPr="005E03F7">
        <w:rPr>
          <w:rStyle w:val="CharSectNo"/>
        </w:rPr>
        <w:lastRenderedPageBreak/>
        <w:t>123</w:t>
      </w:r>
      <w:r w:rsidRPr="007E1F9A">
        <w:tab/>
        <w:t>Application for mass or dimension exemption (permit)</w:t>
      </w:r>
      <w:bookmarkEnd w:id="143"/>
    </w:p>
    <w:p w14:paraId="5768B069" w14:textId="77777777" w:rsidR="00DB6E47" w:rsidRPr="003F319E" w:rsidRDefault="00DB6E47" w:rsidP="00DB6E47">
      <w:pPr>
        <w:pStyle w:val="Amain"/>
      </w:pPr>
      <w:r w:rsidRPr="003F319E">
        <w:tab/>
        <w:t>(1)</w:t>
      </w:r>
      <w:r w:rsidRPr="003F319E">
        <w:tab/>
        <w:t>A person may apply to the Regulator for a mass or dimension exemption (permit).</w:t>
      </w:r>
    </w:p>
    <w:p w14:paraId="66449AD0" w14:textId="77777777" w:rsidR="00DB6E47" w:rsidRPr="003F319E" w:rsidRDefault="00DB6E47" w:rsidP="00DB6E47">
      <w:pPr>
        <w:pStyle w:val="Amain"/>
      </w:pPr>
      <w:r w:rsidRPr="003F319E">
        <w:tab/>
        <w:t>(2)</w:t>
      </w:r>
      <w:r w:rsidRPr="003F319E">
        <w:tab/>
        <w:t>The application must be—</w:t>
      </w:r>
    </w:p>
    <w:p w14:paraId="70F40243" w14:textId="77777777" w:rsidR="00DB6E47" w:rsidRPr="007D116E" w:rsidRDefault="00DB6E47" w:rsidP="00DB6E47">
      <w:pPr>
        <w:pStyle w:val="Apara"/>
      </w:pPr>
      <w:r w:rsidRPr="007D116E">
        <w:tab/>
        <w:t>(a)</w:t>
      </w:r>
      <w:r w:rsidRPr="007D116E">
        <w:tab/>
        <w:t>in the approved form; and</w:t>
      </w:r>
    </w:p>
    <w:p w14:paraId="5C07C956" w14:textId="77777777" w:rsidR="00DB6E47" w:rsidRPr="007D116E" w:rsidRDefault="00DB6E47" w:rsidP="00DB6E47">
      <w:pPr>
        <w:pStyle w:val="Apara"/>
      </w:pPr>
      <w:r w:rsidRPr="007D116E">
        <w:tab/>
        <w:t>(b)</w:t>
      </w:r>
      <w:r w:rsidRPr="007D116E">
        <w:tab/>
        <w:t>accompanied by the prescribed fee for the application.</w:t>
      </w:r>
    </w:p>
    <w:p w14:paraId="31C3D1F8" w14:textId="77777777" w:rsidR="00DB6E47" w:rsidRPr="003F319E" w:rsidRDefault="00DB6E47" w:rsidP="00DB6E47">
      <w:pPr>
        <w:pStyle w:val="Amain"/>
      </w:pPr>
      <w:r w:rsidRPr="003F319E">
        <w:tab/>
        <w:t>(3)</w:t>
      </w:r>
      <w:r w:rsidRPr="003F319E">
        <w:tab/>
        <w:t>The Regulator may, by notice given to the applicant, require the applicant to give the Regulator any additional information the Regulator reasonably requires to decide the application.</w:t>
      </w:r>
    </w:p>
    <w:p w14:paraId="405AD5E2" w14:textId="77777777" w:rsidR="00DB6E47" w:rsidRPr="007E1F9A" w:rsidRDefault="00DB6E47" w:rsidP="00DB6E47">
      <w:pPr>
        <w:pStyle w:val="AH5Sec"/>
      </w:pPr>
      <w:bookmarkStart w:id="144" w:name="_Toc83625488"/>
      <w:r w:rsidRPr="005E03F7">
        <w:rPr>
          <w:rStyle w:val="CharSectNo"/>
        </w:rPr>
        <w:t>124</w:t>
      </w:r>
      <w:r w:rsidRPr="007E1F9A">
        <w:tab/>
        <w:t>Restriction on grant of mass or dimension exemption (permit)</w:t>
      </w:r>
      <w:bookmarkEnd w:id="144"/>
    </w:p>
    <w:p w14:paraId="77CC212E" w14:textId="77777777" w:rsidR="00DB6E47" w:rsidRPr="003F319E" w:rsidRDefault="00DB6E47" w:rsidP="00CD357F">
      <w:pPr>
        <w:pStyle w:val="Amain"/>
        <w:keepNext/>
      </w:pPr>
      <w:r w:rsidRPr="003F319E">
        <w:tab/>
        <w:t>(1)</w:t>
      </w:r>
      <w:r w:rsidRPr="003F319E">
        <w:tab/>
        <w:t>The Regulator may grant a mass or dimension exemption (permit) for a heavy vehicle only if—</w:t>
      </w:r>
    </w:p>
    <w:p w14:paraId="6D21D8FF" w14:textId="77777777" w:rsidR="00DB6E47" w:rsidRPr="007D116E" w:rsidRDefault="00DB6E47" w:rsidP="00DB6E47">
      <w:pPr>
        <w:pStyle w:val="Apara"/>
      </w:pPr>
      <w:r w:rsidRPr="007D116E">
        <w:tab/>
        <w:t>(a)</w:t>
      </w:r>
      <w:r w:rsidRPr="007D116E">
        <w:tab/>
        <w:t>the Regulator is satisfied the use of the heavy vehicle on a road under the exemption will not pose a significant risk to public safety; and</w:t>
      </w:r>
    </w:p>
    <w:p w14:paraId="468E8F12" w14:textId="77777777" w:rsidR="00DB6E47" w:rsidRPr="007D116E" w:rsidRDefault="00DB6E47" w:rsidP="00DB6E47">
      <w:pPr>
        <w:pStyle w:val="Apara"/>
      </w:pPr>
      <w:r w:rsidRPr="007D116E">
        <w:tab/>
        <w:t>(b)</w:t>
      </w:r>
      <w:r w:rsidRPr="007D116E">
        <w:tab/>
        <w:t>each relevant road manager for the exemption has consented to the grant; and</w:t>
      </w:r>
    </w:p>
    <w:p w14:paraId="661376AF" w14:textId="77777777" w:rsidR="00DB6E47" w:rsidRPr="007D116E" w:rsidRDefault="00DB6E47" w:rsidP="00DB6E47">
      <w:pPr>
        <w:pStyle w:val="Apara"/>
      </w:pPr>
      <w:r w:rsidRPr="007D116E">
        <w:tab/>
        <w:t>(c)</w:t>
      </w:r>
      <w:r w:rsidRPr="007D116E">
        <w:tab/>
        <w:t>the Regulator is satisfied all other consents required for the exemption under the law of the relevant jurisdiction have been obtained by the applicant or have been otherwise given.</w:t>
      </w:r>
    </w:p>
    <w:p w14:paraId="13BD0CEA" w14:textId="77777777" w:rsidR="00DB6E47" w:rsidRPr="003F319E" w:rsidRDefault="00DB6E47" w:rsidP="00DB6E47">
      <w:pPr>
        <w:pStyle w:val="Amain"/>
      </w:pPr>
      <w:r w:rsidRPr="003F319E">
        <w:tab/>
        <w:t>(2)</w:t>
      </w:r>
      <w:r w:rsidRPr="003F319E">
        <w:tab/>
        <w:t>In deciding whether to grant a mass or dimension exemption (permit), the Regulator must have regard to the approved guidelines for granting mass or dimension exemptions.</w:t>
      </w:r>
    </w:p>
    <w:p w14:paraId="56A531B7" w14:textId="77777777" w:rsidR="00DB6E47" w:rsidRPr="007E1F9A" w:rsidRDefault="00DB6E47" w:rsidP="00DB6E47">
      <w:pPr>
        <w:pStyle w:val="AH5Sec"/>
      </w:pPr>
      <w:bookmarkStart w:id="145" w:name="_Toc83625489"/>
      <w:r w:rsidRPr="005E03F7">
        <w:rPr>
          <w:rStyle w:val="CharSectNo"/>
        </w:rPr>
        <w:lastRenderedPageBreak/>
        <w:t>125</w:t>
      </w:r>
      <w:r w:rsidRPr="007E1F9A">
        <w:tab/>
        <w:t>Conditions of mass or dimension exemption (permit)</w:t>
      </w:r>
      <w:bookmarkEnd w:id="145"/>
    </w:p>
    <w:p w14:paraId="1A7128FA" w14:textId="77777777" w:rsidR="00DB6E47" w:rsidRPr="003F319E" w:rsidRDefault="00DB6E47" w:rsidP="00527A96">
      <w:pPr>
        <w:pStyle w:val="Amain"/>
        <w:keepNext/>
      </w:pPr>
      <w:r w:rsidRPr="003F319E">
        <w:tab/>
        <w:t>(1)</w:t>
      </w:r>
      <w:r w:rsidRPr="003F319E">
        <w:tab/>
        <w:t>A mass or dimension exemption (permit)—</w:t>
      </w:r>
    </w:p>
    <w:p w14:paraId="023DBD17" w14:textId="77777777" w:rsidR="00DB6E47" w:rsidRPr="007D116E" w:rsidRDefault="00DB6E47" w:rsidP="00DB6E47">
      <w:pPr>
        <w:pStyle w:val="Apara"/>
      </w:pPr>
      <w:r w:rsidRPr="007D116E">
        <w:tab/>
        <w:t>(a)</w:t>
      </w:r>
      <w:r w:rsidRPr="007D116E">
        <w:tab/>
        <w:t>must include a condition about the areas or routes to which the exemption applies; and</w:t>
      </w:r>
    </w:p>
    <w:p w14:paraId="158BCCA9" w14:textId="77777777" w:rsidR="00DB6E47" w:rsidRPr="007D116E" w:rsidRDefault="00DB6E47" w:rsidP="00DB6E47">
      <w:pPr>
        <w:pStyle w:val="Apara"/>
      </w:pPr>
      <w:r w:rsidRPr="007D116E">
        <w:tab/>
        <w:t>(b)</w:t>
      </w:r>
      <w:r w:rsidRPr="007D116E">
        <w:tab/>
        <w:t>is subject to conditions prescribed by the national regulations for the exemption; and</w:t>
      </w:r>
    </w:p>
    <w:p w14:paraId="2F3736CE" w14:textId="77777777" w:rsidR="00DB6E47" w:rsidRPr="007D116E" w:rsidRDefault="00DB6E47" w:rsidP="00DB6E47">
      <w:pPr>
        <w:pStyle w:val="Apara"/>
      </w:pPr>
      <w:r w:rsidRPr="007D116E">
        <w:tab/>
        <w:t>(c)</w:t>
      </w:r>
      <w:r w:rsidRPr="007D116E">
        <w:tab/>
        <w:t>must be subject to the road conditions or travel conditions required by a relevant road manager for the exemption under section 160 or 161; and</w:t>
      </w:r>
    </w:p>
    <w:p w14:paraId="743E4B48" w14:textId="77777777" w:rsidR="00DB6E47" w:rsidRPr="007D116E" w:rsidRDefault="00DB6E47" w:rsidP="00DB6E47">
      <w:pPr>
        <w:pStyle w:val="Apara"/>
      </w:pPr>
      <w:r w:rsidRPr="007D116E">
        <w:tab/>
        <w:t>(d)</w:t>
      </w:r>
      <w:r w:rsidRPr="007D116E">
        <w:tab/>
        <w:t>may be subject to any other conditions the Regulator considers appropriate, including, for example—</w:t>
      </w:r>
    </w:p>
    <w:p w14:paraId="14DB102E" w14:textId="77777777" w:rsidR="00DB6E47" w:rsidRPr="00516F02" w:rsidRDefault="00DB6E47" w:rsidP="00DB6E47">
      <w:pPr>
        <w:pStyle w:val="Asubpara"/>
      </w:pPr>
      <w:r w:rsidRPr="00516F02">
        <w:tab/>
        <w:t>(i)</w:t>
      </w:r>
      <w:r w:rsidRPr="00516F02">
        <w:tab/>
        <w:t>conditions about 1 or more matters mentioned in Schedule</w:t>
      </w:r>
      <w:r w:rsidR="00702047">
        <w:t> </w:t>
      </w:r>
      <w:r w:rsidRPr="00516F02">
        <w:t>2; and</w:t>
      </w:r>
    </w:p>
    <w:p w14:paraId="3308747A" w14:textId="77777777" w:rsidR="00DB6E47" w:rsidRPr="00516F02" w:rsidRDefault="00DB6E47" w:rsidP="00DB6E47">
      <w:pPr>
        <w:pStyle w:val="Asubpara"/>
      </w:pPr>
      <w:r w:rsidRPr="00516F02">
        <w:tab/>
        <w:t>(ii)</w:t>
      </w:r>
      <w:r w:rsidR="00702047">
        <w:tab/>
        <w:t xml:space="preserve">without limiting subparagraph </w:t>
      </w:r>
      <w:r w:rsidRPr="00516F02">
        <w:t xml:space="preserve">(i), intelligent access </w:t>
      </w:r>
      <w:r w:rsidR="00E10D6F">
        <w:t xml:space="preserve">program </w:t>
      </w:r>
      <w:r w:rsidRPr="00516F02">
        <w:t>conditions.</w:t>
      </w:r>
    </w:p>
    <w:p w14:paraId="666935E6" w14:textId="77777777" w:rsidR="00DB6E47" w:rsidRPr="003F319E" w:rsidRDefault="00DB6E47" w:rsidP="00DB6E47">
      <w:pPr>
        <w:pStyle w:val="Amain"/>
      </w:pPr>
      <w:r w:rsidRPr="003F319E">
        <w:tab/>
        <w:t>(2)</w:t>
      </w:r>
      <w:r w:rsidRPr="003F319E">
        <w:tab/>
        <w:t>Without limiting the conditions that may be prescribed under subsection (1)(b), the national regulations may—</w:t>
      </w:r>
    </w:p>
    <w:p w14:paraId="6D45A0A1" w14:textId="77777777" w:rsidR="00DB6E47" w:rsidRPr="007D116E" w:rsidRDefault="00DB6E47" w:rsidP="00DB6E47">
      <w:pPr>
        <w:pStyle w:val="Apara"/>
      </w:pPr>
      <w:r w:rsidRPr="007D116E">
        <w:tab/>
        <w:t>(a)</w:t>
      </w:r>
      <w:r w:rsidRPr="007D116E">
        <w:tab/>
        <w:t>prescribe conditions that are to apply only to particular areas or roads; and</w:t>
      </w:r>
    </w:p>
    <w:p w14:paraId="233025CB" w14:textId="77777777" w:rsidR="00DB6E47" w:rsidRPr="007D116E" w:rsidRDefault="00DB6E47" w:rsidP="00DB6E47">
      <w:pPr>
        <w:pStyle w:val="Apara"/>
      </w:pPr>
      <w:r w:rsidRPr="007D116E">
        <w:tab/>
        <w:t>(b)</w:t>
      </w:r>
      <w:r w:rsidRPr="007D116E">
        <w:tab/>
        <w:t>authorise the Regulator to decide the areas or roads to which the conditions are to apply.</w:t>
      </w:r>
    </w:p>
    <w:p w14:paraId="0926A667" w14:textId="77777777" w:rsidR="00DB6E47" w:rsidRPr="007E1F9A" w:rsidRDefault="00DB6E47" w:rsidP="00DB6E47">
      <w:pPr>
        <w:pStyle w:val="AH5Sec"/>
      </w:pPr>
      <w:bookmarkStart w:id="146" w:name="_Toc83625490"/>
      <w:r w:rsidRPr="005E03F7">
        <w:rPr>
          <w:rStyle w:val="CharSectNo"/>
        </w:rPr>
        <w:t>126</w:t>
      </w:r>
      <w:r w:rsidRPr="007E1F9A">
        <w:tab/>
        <w:t>Period for which mass or dimension exemption (permit) applies</w:t>
      </w:r>
      <w:bookmarkEnd w:id="146"/>
    </w:p>
    <w:p w14:paraId="2ACA861A" w14:textId="77777777" w:rsidR="00DB6E47" w:rsidRPr="003F319E" w:rsidRDefault="00DB6E47" w:rsidP="00DB6E47">
      <w:pPr>
        <w:pStyle w:val="Amain"/>
      </w:pPr>
      <w:r w:rsidRPr="003F319E">
        <w:tab/>
        <w:t>(1)</w:t>
      </w:r>
      <w:r w:rsidRPr="003F319E">
        <w:tab/>
        <w:t>A mass or dimension exemption (permit) applies for the period stated in the permit for the exemption.</w:t>
      </w:r>
    </w:p>
    <w:p w14:paraId="36874E44" w14:textId="77777777" w:rsidR="00DB6E47" w:rsidRPr="003F319E" w:rsidRDefault="00DB6E47" w:rsidP="00DB6E47">
      <w:pPr>
        <w:pStyle w:val="Amain"/>
      </w:pPr>
      <w:r w:rsidRPr="003F319E">
        <w:tab/>
        <w:t>(2)</w:t>
      </w:r>
      <w:r w:rsidRPr="003F319E">
        <w:tab/>
        <w:t>The period may be less than the period sought by the applicant for the mass or dimension exemption (permit).</w:t>
      </w:r>
    </w:p>
    <w:p w14:paraId="7FD250BB" w14:textId="77777777" w:rsidR="00DB6E47" w:rsidRPr="007E1F9A" w:rsidRDefault="00DB6E47" w:rsidP="00DB6E47">
      <w:pPr>
        <w:pStyle w:val="AH5Sec"/>
      </w:pPr>
      <w:bookmarkStart w:id="147" w:name="_Toc83625491"/>
      <w:r w:rsidRPr="005E03F7">
        <w:rPr>
          <w:rStyle w:val="CharSectNo"/>
        </w:rPr>
        <w:lastRenderedPageBreak/>
        <w:t>127</w:t>
      </w:r>
      <w:r w:rsidRPr="007E1F9A">
        <w:tab/>
      </w:r>
      <w:r w:rsidRPr="007E1F9A">
        <w:rPr>
          <w:bCs/>
        </w:rPr>
        <w:t>Permit for mass or dimension exemption (permit) et</w:t>
      </w:r>
      <w:r w:rsidRPr="007E1F9A">
        <w:t>c.</w:t>
      </w:r>
      <w:bookmarkEnd w:id="147"/>
    </w:p>
    <w:p w14:paraId="42700175" w14:textId="77777777" w:rsidR="00DB6E47" w:rsidRPr="003F319E" w:rsidRDefault="00DB6E47" w:rsidP="00DB6E47">
      <w:pPr>
        <w:pStyle w:val="Amain"/>
      </w:pPr>
      <w:r w:rsidRPr="003F319E">
        <w:tab/>
        <w:t>(1)</w:t>
      </w:r>
      <w:r w:rsidRPr="003F319E">
        <w:tab/>
        <w:t>If the Regulator grants a mass or dimension exemption (permit) to a person, the Regulator must give the person—</w:t>
      </w:r>
    </w:p>
    <w:p w14:paraId="5DF4B227" w14:textId="77777777" w:rsidR="00DB6E47" w:rsidRPr="007D116E" w:rsidRDefault="00DB6E47" w:rsidP="00DB6E47">
      <w:pPr>
        <w:pStyle w:val="Apara"/>
      </w:pPr>
      <w:r w:rsidRPr="007D116E">
        <w:tab/>
        <w:t>(a)</w:t>
      </w:r>
      <w:r w:rsidRPr="007D116E">
        <w:tab/>
        <w:t>a permit for the exemption; and</w:t>
      </w:r>
    </w:p>
    <w:p w14:paraId="0F637B68" w14:textId="77777777" w:rsidR="0078229D" w:rsidRPr="0078229D" w:rsidRDefault="0078229D" w:rsidP="0078229D">
      <w:pPr>
        <w:pStyle w:val="Apara"/>
        <w:rPr>
          <w:lang w:val="en" w:eastAsia="en-AU"/>
        </w:rPr>
      </w:pPr>
      <w:r>
        <w:rPr>
          <w:lang w:val="en" w:eastAsia="en-AU"/>
        </w:rPr>
        <w:tab/>
      </w:r>
      <w:r w:rsidRPr="0078229D">
        <w:rPr>
          <w:lang w:val="en" w:eastAsia="en-AU"/>
        </w:rPr>
        <w:t>(b)</w:t>
      </w:r>
      <w:r>
        <w:rPr>
          <w:lang w:val="en" w:eastAsia="en-AU"/>
        </w:rPr>
        <w:tab/>
      </w:r>
      <w:r w:rsidRPr="0078229D">
        <w:rPr>
          <w:lang w:val="en" w:eastAsia="en-AU"/>
        </w:rPr>
        <w:t>a notice stating the review and appeal information for any of the following decisions that is a reviewable decision—</w:t>
      </w:r>
    </w:p>
    <w:p w14:paraId="7681F435" w14:textId="77777777" w:rsidR="0078229D" w:rsidRPr="0078229D" w:rsidRDefault="0078229D" w:rsidP="0078229D">
      <w:pPr>
        <w:pStyle w:val="Asubpara"/>
        <w:rPr>
          <w:lang w:val="en" w:eastAsia="en-AU"/>
        </w:rPr>
      </w:pPr>
      <w:r>
        <w:rPr>
          <w:lang w:val="en" w:eastAsia="en-AU"/>
        </w:rPr>
        <w:tab/>
      </w:r>
      <w:r w:rsidRPr="0078229D">
        <w:rPr>
          <w:lang w:val="en" w:eastAsia="en-AU"/>
        </w:rPr>
        <w:t>(i)</w:t>
      </w:r>
      <w:r>
        <w:rPr>
          <w:lang w:val="en" w:eastAsia="en-AU"/>
        </w:rPr>
        <w:tab/>
      </w:r>
      <w:r w:rsidRPr="0078229D">
        <w:rPr>
          <w:lang w:val="en" w:eastAsia="en-AU"/>
        </w:rPr>
        <w:t>the Regulator’s decision to grant the exemption for a period or impose a condition on the exemption;</w:t>
      </w:r>
    </w:p>
    <w:p w14:paraId="728294A1" w14:textId="77777777" w:rsidR="0078229D" w:rsidRPr="0078229D" w:rsidRDefault="0078229D" w:rsidP="0078229D">
      <w:pPr>
        <w:pStyle w:val="Asubpara"/>
        <w:rPr>
          <w:lang w:val="en" w:eastAsia="en-AU"/>
        </w:rPr>
      </w:pPr>
      <w:r>
        <w:rPr>
          <w:lang w:val="en" w:eastAsia="en-AU"/>
        </w:rPr>
        <w:tab/>
      </w:r>
      <w:r w:rsidRPr="0078229D">
        <w:rPr>
          <w:lang w:val="en" w:eastAsia="en-AU"/>
        </w:rPr>
        <w:t>(ii)</w:t>
      </w:r>
      <w:r>
        <w:rPr>
          <w:lang w:val="en" w:eastAsia="en-AU"/>
        </w:rPr>
        <w:tab/>
      </w:r>
      <w:r w:rsidRPr="0078229D">
        <w:rPr>
          <w:lang w:val="en" w:eastAsia="en-AU"/>
        </w:rPr>
        <w:t>a relevant road manager’s decision to consent to the grant of the exemption subject to a condition that a road condition or travel condition be imposed on the exemption.</w:t>
      </w:r>
    </w:p>
    <w:p w14:paraId="168CDC9A" w14:textId="77777777" w:rsidR="0078229D" w:rsidRPr="0078229D" w:rsidRDefault="0078229D" w:rsidP="0078229D">
      <w:pPr>
        <w:pStyle w:val="aNotepar"/>
        <w:rPr>
          <w:lang w:val="en" w:eastAsia="en-AU"/>
        </w:rPr>
      </w:pPr>
      <w:r w:rsidRPr="0078229D">
        <w:rPr>
          <w:rStyle w:val="charItals"/>
        </w:rPr>
        <w:t>Note</w:t>
      </w:r>
      <w:r w:rsidRPr="0078229D">
        <w:rPr>
          <w:lang w:val="en" w:eastAsia="en-AU"/>
        </w:rPr>
        <w:t>—</w:t>
      </w:r>
    </w:p>
    <w:p w14:paraId="34F7BA04" w14:textId="77777777" w:rsidR="0078229D" w:rsidRPr="0078229D" w:rsidRDefault="0078229D" w:rsidP="0078229D">
      <w:pPr>
        <w:pStyle w:val="aNotepar"/>
        <w:ind w:left="1624" w:hanging="24"/>
        <w:rPr>
          <w:lang w:val="en" w:eastAsia="en-AU"/>
        </w:rPr>
      </w:pPr>
      <w:r w:rsidRPr="0078229D">
        <w:rPr>
          <w:lang w:val="en" w:eastAsia="en-AU"/>
        </w:rPr>
        <w:t>Under section 641(6)(a), this notice must also state particular information about obtaining a statement of reasons for the decision.</w:t>
      </w:r>
    </w:p>
    <w:p w14:paraId="1EA7FC87" w14:textId="77777777" w:rsidR="00DB6E47" w:rsidRPr="003F319E" w:rsidRDefault="00DB6E47" w:rsidP="00DB6E47">
      <w:pPr>
        <w:pStyle w:val="Amain"/>
      </w:pPr>
      <w:r w:rsidRPr="003F319E">
        <w:tab/>
        <w:t>(2)</w:t>
      </w:r>
      <w:r w:rsidRPr="003F319E">
        <w:tab/>
        <w:t>A permit for a mass or dimension exemption (permit) must state the following—</w:t>
      </w:r>
    </w:p>
    <w:p w14:paraId="2D8F8F0D" w14:textId="77777777" w:rsidR="00DB6E47" w:rsidRPr="007D116E" w:rsidRDefault="00DB6E47" w:rsidP="00DB6E47">
      <w:pPr>
        <w:pStyle w:val="Apara"/>
      </w:pPr>
      <w:r w:rsidRPr="007D116E">
        <w:tab/>
        <w:t>(a)</w:t>
      </w:r>
      <w:r w:rsidRPr="007D116E">
        <w:tab/>
        <w:t>the name of the person to whom the permit is given;</w:t>
      </w:r>
    </w:p>
    <w:p w14:paraId="776FAE8D" w14:textId="77777777" w:rsidR="00DB6E47" w:rsidRPr="007D116E" w:rsidRDefault="00DB6E47" w:rsidP="00DB6E47">
      <w:pPr>
        <w:pStyle w:val="Apara"/>
      </w:pPr>
      <w:r w:rsidRPr="007D116E">
        <w:tab/>
        <w:t>(b)</w:t>
      </w:r>
      <w:r w:rsidRPr="007D116E">
        <w:tab/>
        <w:t>a description of each heavy vehicle to which the exemption applies, including the registration number of the vehicle if it is registered;</w:t>
      </w:r>
    </w:p>
    <w:p w14:paraId="12884658" w14:textId="77777777" w:rsidR="00DB6E47" w:rsidRPr="007D116E" w:rsidRDefault="00DB6E47" w:rsidP="00DB6E47">
      <w:pPr>
        <w:pStyle w:val="Apara"/>
      </w:pPr>
      <w:r w:rsidRPr="007D116E">
        <w:tab/>
        <w:t>(c)</w:t>
      </w:r>
      <w:r w:rsidRPr="007D116E">
        <w:tab/>
        <w:t>the mass requirement or dimension requirement to which the exemption applies;</w:t>
      </w:r>
    </w:p>
    <w:p w14:paraId="10FF5FD5" w14:textId="77777777" w:rsidR="00DB6E47" w:rsidRPr="007D116E" w:rsidRDefault="00DB6E47" w:rsidP="00DB6E47">
      <w:pPr>
        <w:pStyle w:val="Apara"/>
      </w:pPr>
      <w:r w:rsidRPr="007D116E">
        <w:tab/>
        <w:t>(d)</w:t>
      </w:r>
      <w:r w:rsidRPr="007D116E">
        <w:tab/>
        <w:t>the areas or routes to which the exemption applies;</w:t>
      </w:r>
    </w:p>
    <w:p w14:paraId="300C3B42" w14:textId="77777777" w:rsidR="00DB6E47" w:rsidRPr="007D116E" w:rsidRDefault="00DB6E47" w:rsidP="00DB6E47">
      <w:pPr>
        <w:pStyle w:val="Apara"/>
      </w:pPr>
      <w:r w:rsidRPr="007D116E">
        <w:tab/>
        <w:t>(e)</w:t>
      </w:r>
      <w:r w:rsidRPr="007D116E">
        <w:tab/>
        <w:t>the conditi</w:t>
      </w:r>
      <w:r w:rsidR="00702047">
        <w:t>ons mentioned in section 125(1)</w:t>
      </w:r>
      <w:r w:rsidRPr="007D116E">
        <w:t>(b), including, for example, by referencing the relevant provision of the national regulations;</w:t>
      </w:r>
    </w:p>
    <w:p w14:paraId="604A1463" w14:textId="77777777" w:rsidR="00DB6E47" w:rsidRPr="007D116E" w:rsidRDefault="00DB6E47" w:rsidP="00DB6E47">
      <w:pPr>
        <w:pStyle w:val="Apara"/>
      </w:pPr>
      <w:r w:rsidRPr="007D116E">
        <w:tab/>
        <w:t>(f)</w:t>
      </w:r>
      <w:r w:rsidRPr="007D116E">
        <w:tab/>
        <w:t>the road conditions or travel conditions required by a relevant road manager for the exemption under section 160 or 161;</w:t>
      </w:r>
    </w:p>
    <w:p w14:paraId="14FD09C3" w14:textId="77777777" w:rsidR="00DB6E47" w:rsidRPr="007D116E" w:rsidRDefault="00DB6E47" w:rsidP="00527A96">
      <w:pPr>
        <w:pStyle w:val="Apara"/>
        <w:keepNext/>
      </w:pPr>
      <w:r w:rsidRPr="007D116E">
        <w:lastRenderedPageBreak/>
        <w:tab/>
        <w:t>(g)</w:t>
      </w:r>
      <w:r w:rsidRPr="007D116E">
        <w:tab/>
        <w:t>the other conditions of the exemption;</w:t>
      </w:r>
    </w:p>
    <w:p w14:paraId="4A6C319D" w14:textId="77777777" w:rsidR="00DB6E47" w:rsidRPr="007D116E" w:rsidRDefault="00DB6E47" w:rsidP="00DB6E47">
      <w:pPr>
        <w:pStyle w:val="Apara"/>
      </w:pPr>
      <w:r w:rsidRPr="007D116E">
        <w:tab/>
        <w:t>(h)</w:t>
      </w:r>
      <w:r w:rsidRPr="007D116E">
        <w:tab/>
        <w:t>the period for which the exemption applies.</w:t>
      </w:r>
    </w:p>
    <w:p w14:paraId="33B84195" w14:textId="77777777" w:rsidR="00DB6E47" w:rsidRPr="007E1F9A" w:rsidRDefault="00DB6E47" w:rsidP="00DB6E47">
      <w:pPr>
        <w:pStyle w:val="AH5Sec"/>
      </w:pPr>
      <w:bookmarkStart w:id="148" w:name="_Toc83625492"/>
      <w:r w:rsidRPr="005E03F7">
        <w:rPr>
          <w:rStyle w:val="CharSectNo"/>
        </w:rPr>
        <w:t>128</w:t>
      </w:r>
      <w:r w:rsidRPr="007E1F9A">
        <w:tab/>
        <w:t>Refusal of application for mass or dimension exemption (permit)</w:t>
      </w:r>
      <w:bookmarkEnd w:id="148"/>
    </w:p>
    <w:p w14:paraId="3EB8BA09" w14:textId="77777777" w:rsidR="00DB6E47" w:rsidRPr="003F319E" w:rsidRDefault="00DB6E47" w:rsidP="00DB6E47">
      <w:pPr>
        <w:pStyle w:val="Amainreturn"/>
      </w:pPr>
      <w:r w:rsidRPr="003F319E">
        <w:t>If the Regulator refuses an application for a mass or dimension exemption (permit), the Regulator must give the applicant an information notice for the decision to refuse the application.</w:t>
      </w:r>
    </w:p>
    <w:p w14:paraId="4FC5BAFE" w14:textId="77777777" w:rsidR="00DB6E47" w:rsidRPr="00C96203" w:rsidRDefault="00DB6E47" w:rsidP="00DB6E47">
      <w:pPr>
        <w:pStyle w:val="aNote"/>
      </w:pPr>
      <w:r w:rsidRPr="00FF4454">
        <w:rPr>
          <w:rStyle w:val="charItals"/>
        </w:rPr>
        <w:t>Note</w:t>
      </w:r>
      <w:r w:rsidRPr="00C96203">
        <w:rPr>
          <w:rFonts w:cs="Times"/>
          <w:bCs/>
          <w:iCs/>
        </w:rPr>
        <w:t>—</w:t>
      </w:r>
    </w:p>
    <w:p w14:paraId="6FA3864D" w14:textId="77777777" w:rsidR="00DB6E47" w:rsidRPr="00C96203" w:rsidRDefault="00DB6E47" w:rsidP="00DB6E47">
      <w:pPr>
        <w:pStyle w:val="aNoteTextss"/>
      </w:pPr>
      <w:r w:rsidRPr="00C96203">
        <w:t>See section 166 for the requirements for an information notice relating to a relevant road manager’s decision not to give consent to the grant of a mass or dimension exemption (permit).</w:t>
      </w:r>
    </w:p>
    <w:p w14:paraId="6F64249E" w14:textId="77777777" w:rsidR="00DB6E47" w:rsidRPr="005E03F7" w:rsidRDefault="00DB6E47" w:rsidP="00DB6E47">
      <w:pPr>
        <w:pStyle w:val="AH3Div"/>
      </w:pPr>
      <w:bookmarkStart w:id="149" w:name="_Toc83625493"/>
      <w:r w:rsidRPr="005E03F7">
        <w:rPr>
          <w:rStyle w:val="CharDivNo"/>
        </w:rPr>
        <w:t>Division 4</w:t>
      </w:r>
      <w:r w:rsidRPr="00A95F9A">
        <w:rPr>
          <w:rFonts w:ascii="Helvetica" w:hAnsi="Helvetica" w:cs="Helvetica"/>
          <w:iCs/>
          <w:szCs w:val="28"/>
        </w:rPr>
        <w:tab/>
      </w:r>
      <w:r w:rsidRPr="005E03F7">
        <w:rPr>
          <w:rStyle w:val="CharDivText"/>
          <w:rFonts w:ascii="Helvetica" w:hAnsi="Helvetica" w:cs="Helvetica"/>
          <w:iCs/>
          <w:szCs w:val="28"/>
        </w:rPr>
        <w:t>Operating under mass or dimension exemption</w:t>
      </w:r>
      <w:bookmarkEnd w:id="149"/>
    </w:p>
    <w:p w14:paraId="6FDDA9EC" w14:textId="77777777" w:rsidR="00DB6E47" w:rsidRPr="007E1F9A" w:rsidRDefault="00DB6E47" w:rsidP="00DB6E47">
      <w:pPr>
        <w:pStyle w:val="AH5Sec"/>
      </w:pPr>
      <w:bookmarkStart w:id="150" w:name="_Toc83625494"/>
      <w:r w:rsidRPr="005E03F7">
        <w:rPr>
          <w:rStyle w:val="CharSectNo"/>
        </w:rPr>
        <w:t>129</w:t>
      </w:r>
      <w:r w:rsidRPr="007E1F9A">
        <w:tab/>
        <w:t>Contravening condition of mass or dimension exemption generally</w:t>
      </w:r>
      <w:bookmarkEnd w:id="150"/>
    </w:p>
    <w:p w14:paraId="25CCAB90" w14:textId="77777777" w:rsidR="00DB6E47" w:rsidRPr="003F319E" w:rsidRDefault="00DB6E47" w:rsidP="00DB6E47">
      <w:pPr>
        <w:pStyle w:val="Amain"/>
      </w:pPr>
      <w:r w:rsidRPr="003F319E">
        <w:tab/>
        <w:t>(1)</w:t>
      </w:r>
      <w:r w:rsidRPr="003F319E">
        <w:tab/>
        <w:t>The driver or operator of a heavy vehicle being used on a road under a mass or dimension exemption must not contravene a condition of the exemption.</w:t>
      </w:r>
    </w:p>
    <w:p w14:paraId="37DE6B49" w14:textId="77777777" w:rsidR="00DB6E47" w:rsidRPr="006C3305" w:rsidRDefault="00DB6E47" w:rsidP="00DB6E47">
      <w:pPr>
        <w:pStyle w:val="Penalty"/>
      </w:pPr>
      <w:r w:rsidRPr="006C3305">
        <w:t>Maximum penalty—$6000.</w:t>
      </w:r>
    </w:p>
    <w:p w14:paraId="6AC69D4B" w14:textId="77777777" w:rsidR="00DB6E47" w:rsidRPr="003F319E" w:rsidRDefault="00DB6E47" w:rsidP="00DB6E47">
      <w:pPr>
        <w:pStyle w:val="Amain"/>
      </w:pPr>
      <w:r w:rsidRPr="003F319E">
        <w:tab/>
        <w:t>(2)</w:t>
      </w:r>
      <w:r w:rsidRPr="003F319E">
        <w:tab/>
        <w:t>A person must not use, or permit to be used, on a road a heavy vehicle that contravenes a condition of a mass or dimension exemption applying to the vehicle.</w:t>
      </w:r>
    </w:p>
    <w:p w14:paraId="608D34EA" w14:textId="77777777" w:rsidR="00DB6E47" w:rsidRPr="006C3305" w:rsidRDefault="00DB6E47" w:rsidP="00DB6E47">
      <w:pPr>
        <w:pStyle w:val="Penalty"/>
      </w:pPr>
      <w:r w:rsidRPr="006C3305">
        <w:t>Maximum penalty—$6000.</w:t>
      </w:r>
    </w:p>
    <w:p w14:paraId="2433D9CA" w14:textId="77777777" w:rsidR="00DB6E47" w:rsidRPr="003F319E" w:rsidRDefault="00DB6E47" w:rsidP="00DB6E47">
      <w:pPr>
        <w:pStyle w:val="Amain"/>
      </w:pPr>
      <w:r w:rsidRPr="003F319E">
        <w:tab/>
        <w:t>(3)</w:t>
      </w:r>
      <w:r w:rsidRPr="003F319E">
        <w:tab/>
        <w:t>A person must not use a heavy vehicle, or permit a heavy vehicle to be used, on a road in a way that contravenes a condition of a mass or dimension exemption applying to the vehicle.</w:t>
      </w:r>
    </w:p>
    <w:p w14:paraId="7436D99F" w14:textId="77777777" w:rsidR="00DB6E47" w:rsidRPr="006C3305" w:rsidRDefault="00DB6E47" w:rsidP="00DB6E47">
      <w:pPr>
        <w:pStyle w:val="Penalty"/>
      </w:pPr>
      <w:r w:rsidRPr="006C3305">
        <w:t>Maximum penalty—$6000.</w:t>
      </w:r>
    </w:p>
    <w:p w14:paraId="77478E49" w14:textId="77777777" w:rsidR="00DB6E47" w:rsidRPr="003F319E" w:rsidRDefault="00DB6E47" w:rsidP="00FC0EFF">
      <w:pPr>
        <w:pStyle w:val="Amain"/>
        <w:keepNext/>
      </w:pPr>
      <w:r w:rsidRPr="003F319E">
        <w:lastRenderedPageBreak/>
        <w:tab/>
        <w:t>(4)</w:t>
      </w:r>
      <w:r w:rsidRPr="003F319E">
        <w:tab/>
        <w:t>A person does not commit an offence against this Law in relation to a heavy vehicle contravening a mass requirement or dimension requirement if—</w:t>
      </w:r>
    </w:p>
    <w:p w14:paraId="0F2A8B85" w14:textId="77777777" w:rsidR="00DB6E47" w:rsidRPr="007D116E" w:rsidRDefault="00DB6E47" w:rsidP="00DB6E47">
      <w:pPr>
        <w:pStyle w:val="Apara"/>
      </w:pPr>
      <w:r w:rsidRPr="007D116E">
        <w:tab/>
        <w:t>(a)</w:t>
      </w:r>
      <w:r w:rsidRPr="007D116E">
        <w:tab/>
        <w:t>the vehicle is exempt, under a mass or dimension exemption, from compliance with the mass requirement or dimension requirement; and</w:t>
      </w:r>
    </w:p>
    <w:p w14:paraId="6E3730AD" w14:textId="77777777" w:rsidR="00DB6E47" w:rsidRPr="007D116E" w:rsidRDefault="00DB6E47" w:rsidP="00DB6E47">
      <w:pPr>
        <w:pStyle w:val="Apara"/>
      </w:pPr>
      <w:r w:rsidRPr="007D116E">
        <w:tab/>
        <w:t>(b)</w:t>
      </w:r>
      <w:r w:rsidRPr="007D116E">
        <w:tab/>
        <w:t>the vehicle, and its use on a road, complies with the conditions of the exemption.</w:t>
      </w:r>
    </w:p>
    <w:p w14:paraId="56534200" w14:textId="77777777" w:rsidR="00DB6E47" w:rsidRPr="003F319E" w:rsidRDefault="00DB6E47" w:rsidP="00DB6E47">
      <w:pPr>
        <w:pStyle w:val="Amain"/>
      </w:pPr>
      <w:r w:rsidRPr="003F319E">
        <w:tab/>
        <w:t>(5)</w:t>
      </w:r>
      <w:r w:rsidRPr="003F319E">
        <w:tab/>
        <w:t>However, if a person commits a condition offence—</w:t>
      </w:r>
    </w:p>
    <w:p w14:paraId="5317DC3B" w14:textId="77777777" w:rsidR="00DB6E47" w:rsidRPr="007D116E" w:rsidRDefault="00DB6E47" w:rsidP="00DB6E47">
      <w:pPr>
        <w:pStyle w:val="Apara"/>
      </w:pPr>
      <w:r w:rsidRPr="007D116E">
        <w:tab/>
        <w:t>(a)</w:t>
      </w:r>
      <w:r w:rsidRPr="007D116E">
        <w:tab/>
        <w:t>the exemption does not operate in the person’s favour while the contravention constituting the offence continues; and</w:t>
      </w:r>
    </w:p>
    <w:p w14:paraId="5568A24B" w14:textId="77777777" w:rsidR="00DB6E47" w:rsidRPr="007D116E" w:rsidRDefault="00DB6E47" w:rsidP="00CD357F">
      <w:pPr>
        <w:pStyle w:val="Apara"/>
        <w:keepNext/>
      </w:pPr>
      <w:r w:rsidRPr="007D116E">
        <w:tab/>
        <w:t>(b)</w:t>
      </w:r>
      <w:r w:rsidRPr="007D116E">
        <w:tab/>
        <w:t>the exemption must be disregarded in deciding—</w:t>
      </w:r>
    </w:p>
    <w:p w14:paraId="2A26EF70" w14:textId="77777777" w:rsidR="00DB6E47" w:rsidRPr="00516F02" w:rsidRDefault="00DB6E47" w:rsidP="00DB6E47">
      <w:pPr>
        <w:pStyle w:val="Asubpara"/>
      </w:pPr>
      <w:r w:rsidRPr="00516F02">
        <w:tab/>
        <w:t>(i)</w:t>
      </w:r>
      <w:r w:rsidRPr="00516F02">
        <w:tab/>
        <w:t>whether the person has committed an offence in relation to a contravention of a mass requirement or dimension requirement applying to a heavy vehicle; and</w:t>
      </w:r>
    </w:p>
    <w:p w14:paraId="32BC6D83" w14:textId="77777777" w:rsidR="00DB6E47" w:rsidRPr="00516F02" w:rsidRDefault="00DB6E47" w:rsidP="00DB6E47">
      <w:pPr>
        <w:pStyle w:val="Asubpara"/>
      </w:pPr>
      <w:r w:rsidRPr="00516F02">
        <w:tab/>
        <w:t>(ii)</w:t>
      </w:r>
      <w:r w:rsidRPr="00516F02">
        <w:tab/>
        <w:t>the risk category for the contravention.</w:t>
      </w:r>
    </w:p>
    <w:p w14:paraId="01C1FB8F" w14:textId="77777777" w:rsidR="00DB6E47" w:rsidRPr="003F319E" w:rsidRDefault="00DB6E47" w:rsidP="00DB6E47">
      <w:pPr>
        <w:pStyle w:val="Amain"/>
      </w:pPr>
      <w:r w:rsidRPr="003F319E">
        <w:tab/>
        <w:t>(6)</w:t>
      </w:r>
      <w:r w:rsidRPr="003F319E">
        <w:tab/>
        <w:t xml:space="preserve">If, because of the operation of subsection (5), a person commits an offence against a provision of this Law (the </w:t>
      </w:r>
      <w:r w:rsidRPr="00FF4454">
        <w:rPr>
          <w:rStyle w:val="charBoldItals"/>
        </w:rPr>
        <w:t>other offence provision</w:t>
      </w:r>
      <w:r w:rsidRPr="003F319E">
        <w:t>) in relation to a mass requirement or dimension requirement to which an exemption under this Part applies, the person—</w:t>
      </w:r>
    </w:p>
    <w:p w14:paraId="09DC3C93" w14:textId="77777777" w:rsidR="00DB6E47" w:rsidRPr="007D116E" w:rsidRDefault="00DB6E47" w:rsidP="00DB6E47">
      <w:pPr>
        <w:pStyle w:val="Apara"/>
      </w:pPr>
      <w:r w:rsidRPr="007D116E">
        <w:tab/>
        <w:t>(a)</w:t>
      </w:r>
      <w:r w:rsidRPr="007D116E">
        <w:tab/>
        <w:t>may be charged with the condition offence or an offence against the other offence provision; but</w:t>
      </w:r>
    </w:p>
    <w:p w14:paraId="610C798B" w14:textId="77777777" w:rsidR="00DB6E47" w:rsidRPr="007D116E" w:rsidRDefault="00DB6E47" w:rsidP="00DB6E47">
      <w:pPr>
        <w:pStyle w:val="Apara"/>
      </w:pPr>
      <w:r w:rsidRPr="007D116E">
        <w:tab/>
        <w:t>(b)</w:t>
      </w:r>
      <w:r w:rsidRPr="007D116E">
        <w:tab/>
        <w:t>must not be charged with both offences.</w:t>
      </w:r>
    </w:p>
    <w:p w14:paraId="369FA56D" w14:textId="77777777" w:rsidR="00DB6E47" w:rsidRPr="003F319E" w:rsidRDefault="00DB6E47" w:rsidP="00DB6E47">
      <w:pPr>
        <w:pStyle w:val="Amain"/>
      </w:pPr>
      <w:r w:rsidRPr="003F319E">
        <w:tab/>
        <w:t>(</w:t>
      </w:r>
      <w:r w:rsidR="00702047">
        <w:t>7)</w:t>
      </w:r>
      <w:r w:rsidR="00702047">
        <w:tab/>
        <w:t xml:space="preserve">Subsection </w:t>
      </w:r>
      <w:r w:rsidRPr="003F319E">
        <w:t>(1)</w:t>
      </w:r>
      <w:r w:rsidR="00702047">
        <w:t xml:space="preserve"> </w:t>
      </w:r>
      <w:r w:rsidRPr="003F319E">
        <w:t>does not apply to a condition mentioned in section</w:t>
      </w:r>
      <w:r w:rsidR="00702047">
        <w:t> </w:t>
      </w:r>
      <w:r w:rsidRPr="003F319E">
        <w:t>132(1).</w:t>
      </w:r>
    </w:p>
    <w:p w14:paraId="259A0C48" w14:textId="77777777" w:rsidR="00DB6E47" w:rsidRPr="003F319E" w:rsidRDefault="00DB6E47" w:rsidP="00DB6E47">
      <w:pPr>
        <w:pStyle w:val="Amain"/>
      </w:pPr>
      <w:r w:rsidRPr="003F319E">
        <w:tab/>
        <w:t>(8)</w:t>
      </w:r>
      <w:r w:rsidRPr="003F319E">
        <w:tab/>
        <w:t>In this section—</w:t>
      </w:r>
    </w:p>
    <w:p w14:paraId="21D5FD26" w14:textId="77777777" w:rsidR="00DB6E47" w:rsidRPr="00041046" w:rsidRDefault="00DB6E47" w:rsidP="00DB6E47">
      <w:pPr>
        <w:pStyle w:val="aDef"/>
        <w:rPr>
          <w:bCs/>
        </w:rPr>
      </w:pPr>
      <w:r w:rsidRPr="00041046">
        <w:rPr>
          <w:rStyle w:val="charBoldItals"/>
        </w:rPr>
        <w:t>condition offence</w:t>
      </w:r>
      <w:r w:rsidRPr="00041046">
        <w:t xml:space="preserve"> means an </w:t>
      </w:r>
      <w:r w:rsidR="00702047">
        <w:t xml:space="preserve">offence against subsection (1), </w:t>
      </w:r>
      <w:r w:rsidRPr="00041046">
        <w:t>(2)</w:t>
      </w:r>
      <w:r w:rsidR="00702047">
        <w:t xml:space="preserve"> </w:t>
      </w:r>
      <w:r w:rsidRPr="00041046">
        <w:t>or (3).</w:t>
      </w:r>
    </w:p>
    <w:p w14:paraId="295D703A" w14:textId="77777777" w:rsidR="00DB6E47" w:rsidRPr="007E1F9A" w:rsidRDefault="00DB6E47" w:rsidP="00DB6E47">
      <w:pPr>
        <w:pStyle w:val="AH5Sec"/>
      </w:pPr>
      <w:bookmarkStart w:id="151" w:name="_Toc83625495"/>
      <w:r w:rsidRPr="005E03F7">
        <w:rPr>
          <w:rStyle w:val="CharSectNo"/>
        </w:rPr>
        <w:lastRenderedPageBreak/>
        <w:t>130</w:t>
      </w:r>
      <w:r w:rsidRPr="007E1F9A">
        <w:tab/>
        <w:t>Contravening condition of mass or dimension exemption relating to pilot or escort vehicle</w:t>
      </w:r>
      <w:bookmarkEnd w:id="151"/>
    </w:p>
    <w:p w14:paraId="00A7173F" w14:textId="77777777" w:rsidR="00DB6E47" w:rsidRPr="003F319E" w:rsidRDefault="00DB6E47" w:rsidP="00DB6E47">
      <w:pPr>
        <w:pStyle w:val="Amain"/>
      </w:pPr>
      <w:r w:rsidRPr="003F319E">
        <w:tab/>
        <w:t>(1)</w:t>
      </w:r>
      <w:r w:rsidRPr="003F319E">
        <w:tab/>
        <w:t>This section applies if a mass or dimension exemption is subject to a condition requiring a heavy vehicle to which the exemption applies to be accompanied by a pilot vehicle or escort vehicle while the heavy vehicle is used on a road.</w:t>
      </w:r>
    </w:p>
    <w:p w14:paraId="25338BE1" w14:textId="77777777" w:rsidR="00DB6E47" w:rsidRPr="003F319E" w:rsidRDefault="00DB6E47" w:rsidP="00DB6E47">
      <w:pPr>
        <w:pStyle w:val="Amain"/>
      </w:pPr>
      <w:r w:rsidRPr="003F319E">
        <w:tab/>
        <w:t>(2)</w:t>
      </w:r>
      <w:r w:rsidRPr="003F319E">
        <w:tab/>
        <w:t>The driver of the pilot vehicle or escort vehicle accompanying the heavy vehicle must comply with the conditions of the mass or dimension exemption about the use of the pilot vehicle or escort vehicle.</w:t>
      </w:r>
    </w:p>
    <w:p w14:paraId="4589EEDC" w14:textId="77777777" w:rsidR="00DB6E47" w:rsidRPr="006C3305" w:rsidRDefault="00DB6E47" w:rsidP="00DB6E47">
      <w:pPr>
        <w:pStyle w:val="Penalty"/>
      </w:pPr>
      <w:r w:rsidRPr="006C3305">
        <w:t>Maximum penalty—$6000.</w:t>
      </w:r>
    </w:p>
    <w:p w14:paraId="579D5522" w14:textId="77777777" w:rsidR="00895624" w:rsidRPr="00895624" w:rsidRDefault="00895624" w:rsidP="00895624">
      <w:pPr>
        <w:pStyle w:val="Amain"/>
        <w:rPr>
          <w:lang w:val="en" w:eastAsia="en-AU"/>
        </w:rPr>
      </w:pPr>
      <w:r>
        <w:rPr>
          <w:lang w:val="en" w:eastAsia="en-AU"/>
        </w:rPr>
        <w:tab/>
      </w:r>
      <w:r w:rsidRPr="00895624">
        <w:rPr>
          <w:lang w:val="en" w:eastAsia="en-AU"/>
        </w:rPr>
        <w:t>(3)</w:t>
      </w:r>
      <w:r>
        <w:rPr>
          <w:lang w:val="en" w:eastAsia="en-AU"/>
        </w:rPr>
        <w:tab/>
      </w:r>
      <w:r w:rsidRPr="00895624">
        <w:rPr>
          <w:lang w:val="en" w:eastAsia="en-AU"/>
        </w:rPr>
        <w:t>The operator of the heavy vehicle must ensure, so far as is reasonably practicable, the driver of the pilot vehicle or escort vehicle complies with subsection (2).</w:t>
      </w:r>
    </w:p>
    <w:p w14:paraId="49D7EE64" w14:textId="77777777" w:rsidR="00895624" w:rsidRPr="00895624" w:rsidRDefault="00895624" w:rsidP="00895624">
      <w:pPr>
        <w:pStyle w:val="Penalty"/>
        <w:rPr>
          <w:lang w:val="en" w:eastAsia="en-AU"/>
        </w:rPr>
      </w:pPr>
      <w:r w:rsidRPr="00895624">
        <w:rPr>
          <w:lang w:val="en" w:eastAsia="en-AU"/>
        </w:rPr>
        <w:t>Maximum penalty—$6000.</w:t>
      </w:r>
    </w:p>
    <w:p w14:paraId="7BE14186" w14:textId="77777777" w:rsidR="00DB6E47" w:rsidRPr="007E1F9A" w:rsidRDefault="00DB6E47" w:rsidP="00DB6E47">
      <w:pPr>
        <w:pStyle w:val="AH5Sec"/>
      </w:pPr>
      <w:bookmarkStart w:id="152" w:name="_Toc83625496"/>
      <w:r w:rsidRPr="005E03F7">
        <w:rPr>
          <w:rStyle w:val="CharSectNo"/>
        </w:rPr>
        <w:t>131</w:t>
      </w:r>
      <w:r w:rsidRPr="007E1F9A">
        <w:tab/>
        <w:t>Using pilot vehicle with a heavy vehicle that contravenes certain conditions of mass or dimension exemption</w:t>
      </w:r>
      <w:bookmarkEnd w:id="152"/>
    </w:p>
    <w:p w14:paraId="0B9BB1A9" w14:textId="77777777" w:rsidR="00DB6E47" w:rsidRPr="003F319E" w:rsidRDefault="00DB6E47" w:rsidP="00DB6E47">
      <w:pPr>
        <w:pStyle w:val="Amain"/>
      </w:pPr>
      <w:r w:rsidRPr="003F319E">
        <w:tab/>
        <w:t>(1)</w:t>
      </w:r>
      <w:r w:rsidRPr="003F319E">
        <w:tab/>
        <w:t>The driver of a pilot vehicle must ensure the pilot vehicle does not accompany a heavy vehicle to which a mass or dimension exemption applies if the heavy vehicle, or its use on a road, contravenes a condition of the exemption because the heavy vehicle—</w:t>
      </w:r>
    </w:p>
    <w:p w14:paraId="6EFB5D29" w14:textId="77777777" w:rsidR="00DB6E47" w:rsidRPr="007D116E" w:rsidRDefault="00DB6E47" w:rsidP="00DB6E47">
      <w:pPr>
        <w:pStyle w:val="Apara"/>
      </w:pPr>
      <w:r w:rsidRPr="007D116E">
        <w:tab/>
        <w:t>(a)</w:t>
      </w:r>
      <w:r w:rsidRPr="007D116E">
        <w:tab/>
        <w:t>travels on a route not allowed under the exemption; or</w:t>
      </w:r>
    </w:p>
    <w:p w14:paraId="3C31D3A6" w14:textId="77777777" w:rsidR="00DB6E47" w:rsidRPr="007D116E" w:rsidRDefault="00DB6E47" w:rsidP="00DB6E47">
      <w:pPr>
        <w:pStyle w:val="Apara"/>
      </w:pPr>
      <w:r w:rsidRPr="007D116E">
        <w:tab/>
        <w:t>(b)</w:t>
      </w:r>
      <w:r w:rsidRPr="007D116E">
        <w:tab/>
        <w:t>travels at a time other than a time allowed under the exemption; or</w:t>
      </w:r>
    </w:p>
    <w:p w14:paraId="5E91548E" w14:textId="77777777" w:rsidR="00DB6E47" w:rsidRPr="007D116E" w:rsidRDefault="00DB6E47" w:rsidP="00DB6E47">
      <w:pPr>
        <w:pStyle w:val="Apara"/>
      </w:pPr>
      <w:r w:rsidRPr="007D116E">
        <w:tab/>
        <w:t>(c)</w:t>
      </w:r>
      <w:r w:rsidRPr="007D116E">
        <w:tab/>
        <w:t>is accompanied by fewer than the number of pilot or escort vehicles required under the exemption.</w:t>
      </w:r>
    </w:p>
    <w:p w14:paraId="0865AFD8" w14:textId="77777777" w:rsidR="00DB6E47" w:rsidRPr="006C3305" w:rsidRDefault="00DB6E47" w:rsidP="00DB6E47">
      <w:pPr>
        <w:pStyle w:val="Penalty"/>
      </w:pPr>
      <w:r w:rsidRPr="006C3305">
        <w:t>Maximum penalty—$6000.</w:t>
      </w:r>
    </w:p>
    <w:p w14:paraId="4017A64B" w14:textId="77777777" w:rsidR="00DB6E47" w:rsidRPr="003F319E" w:rsidRDefault="00DB6E47" w:rsidP="00FC0EFF">
      <w:pPr>
        <w:pStyle w:val="Amain"/>
        <w:keepLines/>
      </w:pPr>
      <w:r w:rsidRPr="003F319E">
        <w:lastRenderedPageBreak/>
        <w:tab/>
        <w:t>(2)</w:t>
      </w:r>
      <w:r w:rsidRPr="003F319E">
        <w:tab/>
        <w:t>If a person is both the driver of a pilot vehicle accompanying a heavy vehicle to which a mass or dimension exemption applies and an operator of the heavy vehicle, the person may, in relation to the heavy vehicle or its use on a road contravening a condition of the exemption of the kind contemplated by subsection (1), be prosecuted under section 129 or subsection (1), but not both.</w:t>
      </w:r>
    </w:p>
    <w:p w14:paraId="66536742" w14:textId="77777777" w:rsidR="00DB6E47" w:rsidRPr="007E1F9A" w:rsidRDefault="00DB6E47" w:rsidP="00DB6E47">
      <w:pPr>
        <w:pStyle w:val="AH5Sec"/>
      </w:pPr>
      <w:bookmarkStart w:id="153" w:name="_Toc83625497"/>
      <w:r w:rsidRPr="005E03F7">
        <w:rPr>
          <w:rStyle w:val="CharSectNo"/>
        </w:rPr>
        <w:t>132</w:t>
      </w:r>
      <w:r w:rsidRPr="007E1F9A">
        <w:tab/>
        <w:t>Keeping relevant document while driving under mass or dimension exemption (notice)</w:t>
      </w:r>
      <w:bookmarkEnd w:id="153"/>
    </w:p>
    <w:p w14:paraId="28AD2AEA" w14:textId="77777777" w:rsidR="00DB6E47" w:rsidRPr="003F319E" w:rsidRDefault="00DB6E47" w:rsidP="00DB6E47">
      <w:pPr>
        <w:pStyle w:val="Amain"/>
      </w:pPr>
      <w:r w:rsidRPr="003F319E">
        <w:tab/>
        <w:t>(1)</w:t>
      </w:r>
      <w:r w:rsidRPr="003F319E">
        <w:tab/>
        <w:t>This section applies if a mass or dimension exemption (notice) is subject to the condition that the driver of a class 1 heavy vehicle or class 3 heavy vehicle who is driving the vehicle under the exemption must keep a relevant document in the driver’s possession.</w:t>
      </w:r>
    </w:p>
    <w:p w14:paraId="165427FB" w14:textId="77777777" w:rsidR="00DB6E47" w:rsidRPr="003F319E" w:rsidRDefault="00DB6E47" w:rsidP="00DB6E47">
      <w:pPr>
        <w:pStyle w:val="Amain"/>
      </w:pPr>
      <w:r w:rsidRPr="003F319E">
        <w:tab/>
        <w:t>(2)</w:t>
      </w:r>
      <w:r w:rsidRPr="003F319E">
        <w:tab/>
        <w:t>A driver of the class 1 heavy vehicle or class 3 heavy vehicle who is driving the vehicle under the mass or dimension exemption (notice) must comply with the condition.</w:t>
      </w:r>
    </w:p>
    <w:p w14:paraId="358E7AE9" w14:textId="77777777" w:rsidR="00DB6E47" w:rsidRPr="006C3305" w:rsidRDefault="00DB6E47" w:rsidP="00DB6E47">
      <w:pPr>
        <w:pStyle w:val="Penalty"/>
      </w:pPr>
      <w:r w:rsidRPr="006C3305">
        <w:t>Maximum penalty—$3000.</w:t>
      </w:r>
    </w:p>
    <w:p w14:paraId="360E155C" w14:textId="77777777" w:rsidR="00E871A7" w:rsidRPr="00E871A7" w:rsidRDefault="00E871A7" w:rsidP="00E871A7">
      <w:pPr>
        <w:pStyle w:val="Amain"/>
        <w:rPr>
          <w:lang w:val="en" w:eastAsia="en-AU"/>
        </w:rPr>
      </w:pPr>
      <w:r>
        <w:rPr>
          <w:lang w:val="en" w:eastAsia="en-AU"/>
        </w:rPr>
        <w:tab/>
      </w:r>
      <w:r w:rsidRPr="00E871A7">
        <w:rPr>
          <w:lang w:val="en" w:eastAsia="en-AU"/>
        </w:rPr>
        <w:t>(3)</w:t>
      </w:r>
      <w:r>
        <w:rPr>
          <w:lang w:val="en" w:eastAsia="en-AU"/>
        </w:rPr>
        <w:tab/>
      </w:r>
      <w:r w:rsidR="00160273">
        <w:rPr>
          <w:lang w:val="en" w:eastAsia="en-AU"/>
        </w:rPr>
        <w:t>Each relevant party for a driver mentioned in subsection (2) must ensure the driver complies with subsection (2), unless the relevant party has a reasonable excuse</w:t>
      </w:r>
      <w:r w:rsidRPr="00E871A7">
        <w:rPr>
          <w:lang w:val="en" w:eastAsia="en-AU"/>
        </w:rPr>
        <w:t>.</w:t>
      </w:r>
    </w:p>
    <w:p w14:paraId="555646A8" w14:textId="77777777" w:rsidR="00E871A7" w:rsidRPr="00E871A7" w:rsidRDefault="00160273" w:rsidP="00E871A7">
      <w:pPr>
        <w:pStyle w:val="Penalty"/>
        <w:rPr>
          <w:lang w:val="en" w:eastAsia="en-AU"/>
        </w:rPr>
      </w:pPr>
      <w:r>
        <w:rPr>
          <w:lang w:val="en" w:eastAsia="en-AU"/>
        </w:rPr>
        <w:t>Maximum penalty—$3</w:t>
      </w:r>
      <w:r w:rsidR="00E871A7" w:rsidRPr="00E871A7">
        <w:rPr>
          <w:lang w:val="en" w:eastAsia="en-AU"/>
        </w:rPr>
        <w:t>000.</w:t>
      </w:r>
    </w:p>
    <w:p w14:paraId="69E18BDF" w14:textId="77777777" w:rsidR="00DB6E47" w:rsidRPr="003F319E" w:rsidRDefault="00DB6E47" w:rsidP="00DB6E47">
      <w:pPr>
        <w:pStyle w:val="Amain"/>
      </w:pPr>
      <w:r w:rsidRPr="003F319E">
        <w:tab/>
        <w:t>(7)</w:t>
      </w:r>
      <w:r w:rsidRPr="003F319E">
        <w:tab/>
        <w:t>In this section—</w:t>
      </w:r>
    </w:p>
    <w:p w14:paraId="0CBFD8FC" w14:textId="77777777" w:rsidR="00DB6E47" w:rsidRPr="00041046" w:rsidRDefault="00DB6E47" w:rsidP="00DB6E47">
      <w:pPr>
        <w:pStyle w:val="aDef"/>
        <w:rPr>
          <w:bCs/>
        </w:rPr>
      </w:pPr>
      <w:r w:rsidRPr="00041046">
        <w:rPr>
          <w:rStyle w:val="charBoldItals"/>
        </w:rPr>
        <w:t>relevant document</w:t>
      </w:r>
      <w:r w:rsidRPr="00041046">
        <w:t>, for a mass or dimension exemption (notice), means a copy of—</w:t>
      </w:r>
    </w:p>
    <w:p w14:paraId="36F3EF66" w14:textId="77777777" w:rsidR="00DB6E47" w:rsidRPr="00702047" w:rsidRDefault="00DB6E47" w:rsidP="00DB6E47">
      <w:pPr>
        <w:pStyle w:val="aDefpara"/>
      </w:pPr>
      <w:r w:rsidRPr="00FF4454">
        <w:tab/>
      </w:r>
      <w:r w:rsidRPr="00F04D8E">
        <w:rPr>
          <w:rFonts w:cs="Times"/>
          <w:bCs/>
          <w:iCs/>
        </w:rPr>
        <w:t>(a)</w:t>
      </w:r>
      <w:r w:rsidRPr="00702047">
        <w:tab/>
        <w:t>the Commonwealth Gazette notice for the exemption; or</w:t>
      </w:r>
    </w:p>
    <w:p w14:paraId="4733EA34" w14:textId="77777777" w:rsidR="00DB6E47" w:rsidRPr="00702047" w:rsidRDefault="00DB6E47" w:rsidP="00DB6E47">
      <w:pPr>
        <w:pStyle w:val="aDefpara"/>
      </w:pPr>
      <w:r w:rsidRPr="00702047">
        <w:tab/>
        <w:t>(b)</w:t>
      </w:r>
      <w:r w:rsidRPr="00702047">
        <w:tab/>
        <w:t>an information sheet about the exemption published by the Regulator on the Regulator’s website.</w:t>
      </w:r>
    </w:p>
    <w:p w14:paraId="2DACB80A" w14:textId="77777777" w:rsidR="00DB6E47" w:rsidRPr="00041046" w:rsidRDefault="00DB6E47" w:rsidP="008C2E76">
      <w:pPr>
        <w:pStyle w:val="aDef"/>
        <w:keepNext/>
        <w:rPr>
          <w:bCs/>
        </w:rPr>
      </w:pPr>
      <w:r w:rsidRPr="00041046">
        <w:rPr>
          <w:rStyle w:val="charBoldItals"/>
        </w:rPr>
        <w:lastRenderedPageBreak/>
        <w:t>relevant party</w:t>
      </w:r>
      <w:r w:rsidRPr="00041046">
        <w:t>, for the driver of a class 1 heavy vehicle or class 3 heavy vehicle, means—</w:t>
      </w:r>
    </w:p>
    <w:p w14:paraId="561D27BB" w14:textId="77777777" w:rsidR="00DB6E47" w:rsidRPr="00702047" w:rsidRDefault="00DB6E47" w:rsidP="008C2E76">
      <w:pPr>
        <w:pStyle w:val="aDefpara"/>
        <w:keepNext/>
      </w:pPr>
      <w:r w:rsidRPr="00FF4454">
        <w:tab/>
      </w:r>
      <w:r w:rsidRPr="00F04D8E">
        <w:rPr>
          <w:rFonts w:cs="Times"/>
          <w:bCs/>
          <w:iCs/>
        </w:rPr>
        <w:t>(a)</w:t>
      </w:r>
      <w:r w:rsidRPr="00FF4454">
        <w:rPr>
          <w:rStyle w:val="charBoldItals"/>
        </w:rPr>
        <w:tab/>
      </w:r>
      <w:r w:rsidRPr="00702047">
        <w:t>an employer of the driver if the driver is an employed driver; or</w:t>
      </w:r>
    </w:p>
    <w:p w14:paraId="378A1171" w14:textId="77777777" w:rsidR="00DB6E47" w:rsidRPr="00702047" w:rsidRDefault="00DB6E47" w:rsidP="00DB6E47">
      <w:pPr>
        <w:pStyle w:val="aDefpara"/>
      </w:pPr>
      <w:r w:rsidRPr="00702047">
        <w:tab/>
        <w:t>(b)</w:t>
      </w:r>
      <w:r w:rsidRPr="00702047">
        <w:tab/>
        <w:t>a prime contractor of the driver if the driver is a self-employed driver; or</w:t>
      </w:r>
    </w:p>
    <w:p w14:paraId="46CBF417" w14:textId="77777777" w:rsidR="00DB6E47" w:rsidRPr="00702047" w:rsidRDefault="00DB6E47" w:rsidP="00DB6E47">
      <w:pPr>
        <w:pStyle w:val="aDefpara"/>
      </w:pPr>
      <w:r w:rsidRPr="00702047">
        <w:tab/>
        <w:t>(c)</w:t>
      </w:r>
      <w:r w:rsidRPr="00702047">
        <w:tab/>
        <w:t>an operator of the vehicle if the driver is making a journey for the operator.</w:t>
      </w:r>
    </w:p>
    <w:p w14:paraId="1960009B" w14:textId="77777777" w:rsidR="00DB6E47" w:rsidRPr="007E1F9A" w:rsidRDefault="00DB6E47" w:rsidP="00DB6E47">
      <w:pPr>
        <w:pStyle w:val="AH5Sec"/>
      </w:pPr>
      <w:bookmarkStart w:id="154" w:name="_Toc83625498"/>
      <w:r w:rsidRPr="005E03F7">
        <w:rPr>
          <w:rStyle w:val="CharSectNo"/>
        </w:rPr>
        <w:t>133</w:t>
      </w:r>
      <w:r w:rsidRPr="007E1F9A">
        <w:tab/>
        <w:t>Keeping copy of permit while driving under mass or dimension exemption (permit)</w:t>
      </w:r>
      <w:bookmarkEnd w:id="154"/>
    </w:p>
    <w:p w14:paraId="13040384" w14:textId="77777777" w:rsidR="00DB6E47" w:rsidRPr="003F319E" w:rsidRDefault="00DB6E47" w:rsidP="00DB6E47">
      <w:pPr>
        <w:pStyle w:val="Amain"/>
      </w:pPr>
      <w:r w:rsidRPr="003F319E">
        <w:tab/>
        <w:t>(1)</w:t>
      </w:r>
      <w:r w:rsidRPr="003F319E">
        <w:tab/>
        <w:t>The driver of a class 1 heavy vehicle or class 3 heavy vehicle who is driving the vehicle under a mass or dimension exemption (permit) must keep a copy of the permit for the exemption in the driver’s possession.</w:t>
      </w:r>
    </w:p>
    <w:p w14:paraId="1C07A430" w14:textId="77777777" w:rsidR="00DB6E47" w:rsidRPr="006C3305" w:rsidRDefault="00DB6E47" w:rsidP="00DB6E47">
      <w:pPr>
        <w:pStyle w:val="Penalty"/>
      </w:pPr>
      <w:r w:rsidRPr="006C3305">
        <w:t>Maximum penalty—$3000.</w:t>
      </w:r>
    </w:p>
    <w:p w14:paraId="6C3298FB" w14:textId="77777777" w:rsidR="00DB6E47" w:rsidRPr="003F319E" w:rsidRDefault="00DB6E47" w:rsidP="00DB6E47">
      <w:pPr>
        <w:pStyle w:val="Amain"/>
      </w:pPr>
      <w:r w:rsidRPr="003F319E">
        <w:tab/>
        <w:t>(2)</w:t>
      </w:r>
      <w:r w:rsidRPr="003F319E">
        <w:tab/>
        <w:t>If the driver of a class 1 heavy vehicle or class 3 heavy vehicle is driving the vehicle under a mass or dimension exemption (permit) granted to a relevant party for the driver and the relevant party has given the driver a copy of a permit for the purpose of subsection (1), the driver must, as soon as reasonably practicable, return the copy to the relevant party if the driver stops working for the relevant party.</w:t>
      </w:r>
    </w:p>
    <w:p w14:paraId="6C23C353" w14:textId="77777777" w:rsidR="00DB6E47" w:rsidRPr="006C3305" w:rsidRDefault="00DB6E47" w:rsidP="00DB6E47">
      <w:pPr>
        <w:pStyle w:val="Penalty"/>
      </w:pPr>
      <w:r w:rsidRPr="006C3305">
        <w:t>Maximum penalty—$4000.</w:t>
      </w:r>
    </w:p>
    <w:p w14:paraId="330947F5" w14:textId="77777777" w:rsidR="00EE7612" w:rsidRPr="00EE7612" w:rsidRDefault="00EE7612" w:rsidP="00EE7612">
      <w:pPr>
        <w:pStyle w:val="Amain"/>
        <w:rPr>
          <w:lang w:val="en" w:eastAsia="en-AU"/>
        </w:rPr>
      </w:pPr>
      <w:r>
        <w:rPr>
          <w:lang w:val="en" w:eastAsia="en-AU"/>
        </w:rPr>
        <w:tab/>
      </w:r>
      <w:r w:rsidRPr="00EE7612">
        <w:rPr>
          <w:lang w:val="en" w:eastAsia="en-AU"/>
        </w:rPr>
        <w:t>(3)</w:t>
      </w:r>
      <w:r>
        <w:rPr>
          <w:lang w:val="en" w:eastAsia="en-AU"/>
        </w:rPr>
        <w:tab/>
      </w:r>
      <w:r w:rsidRPr="00EE7612">
        <w:rPr>
          <w:lang w:val="en" w:eastAsia="en-AU"/>
        </w:rPr>
        <w:t>Each relevant party for a driver mentioned in subsection (1) must ensure the driver complies with subsection (1), unless the relevant party has a reasonable excuse.</w:t>
      </w:r>
    </w:p>
    <w:p w14:paraId="061A3EC6" w14:textId="77777777" w:rsidR="00EE7612" w:rsidRPr="00EE7612" w:rsidRDefault="00EE7612" w:rsidP="00EE7612">
      <w:pPr>
        <w:pStyle w:val="Penalty"/>
        <w:rPr>
          <w:lang w:val="en" w:eastAsia="en-AU"/>
        </w:rPr>
      </w:pPr>
      <w:r w:rsidRPr="00EE7612">
        <w:rPr>
          <w:lang w:val="en" w:eastAsia="en-AU"/>
        </w:rPr>
        <w:t>Maximum penalty—$3000.</w:t>
      </w:r>
    </w:p>
    <w:p w14:paraId="37E6F152" w14:textId="77777777" w:rsidR="00DB6E47" w:rsidRPr="003F319E" w:rsidRDefault="00DB6E47" w:rsidP="008C2E76">
      <w:pPr>
        <w:pStyle w:val="Amain"/>
        <w:keepNext/>
      </w:pPr>
      <w:r w:rsidRPr="003F319E">
        <w:lastRenderedPageBreak/>
        <w:tab/>
        <w:t>(7)</w:t>
      </w:r>
      <w:r w:rsidRPr="003F319E">
        <w:tab/>
        <w:t>In this section—</w:t>
      </w:r>
    </w:p>
    <w:p w14:paraId="31C4A3E4" w14:textId="77777777" w:rsidR="00DB6E47" w:rsidRPr="00041046" w:rsidRDefault="00DB6E47" w:rsidP="008C2E76">
      <w:pPr>
        <w:pStyle w:val="aDef"/>
        <w:keepNext/>
        <w:rPr>
          <w:bCs/>
        </w:rPr>
      </w:pPr>
      <w:r w:rsidRPr="00041046">
        <w:rPr>
          <w:rStyle w:val="charBoldItals"/>
        </w:rPr>
        <w:t>relevant party</w:t>
      </w:r>
      <w:r w:rsidRPr="00041046">
        <w:t>, for the driver of a class 1 heavy vehicle or class 3 heavy vehicle, means—</w:t>
      </w:r>
    </w:p>
    <w:p w14:paraId="5FD03825" w14:textId="77777777" w:rsidR="00DB6E47" w:rsidRPr="00D47CA2" w:rsidRDefault="00DB6E47" w:rsidP="00DB6E47">
      <w:pPr>
        <w:pStyle w:val="aDefpara"/>
      </w:pPr>
      <w:r w:rsidRPr="00FF4454">
        <w:tab/>
      </w:r>
      <w:r w:rsidRPr="00D47CA2">
        <w:t>(a)</w:t>
      </w:r>
      <w:r w:rsidRPr="00D47CA2">
        <w:tab/>
        <w:t>an employer of the driver if the driver is an employed driver; or</w:t>
      </w:r>
    </w:p>
    <w:p w14:paraId="5206C6DF" w14:textId="77777777" w:rsidR="00DB6E47" w:rsidRPr="00D47CA2" w:rsidRDefault="00DB6E47" w:rsidP="00DB6E47">
      <w:pPr>
        <w:pStyle w:val="aDefpara"/>
      </w:pPr>
      <w:r w:rsidRPr="00D47CA2">
        <w:tab/>
        <w:t>(b)</w:t>
      </w:r>
      <w:r w:rsidRPr="00D47CA2">
        <w:tab/>
        <w:t>a prime contractor of the driver if the driver is a self-employed driver; or</w:t>
      </w:r>
    </w:p>
    <w:p w14:paraId="69083446" w14:textId="77777777" w:rsidR="00DB6E47" w:rsidRPr="00D47CA2" w:rsidRDefault="00DB6E47" w:rsidP="00DB6E47">
      <w:pPr>
        <w:pStyle w:val="aDefpara"/>
      </w:pPr>
      <w:r w:rsidRPr="00D47CA2">
        <w:tab/>
        <w:t>(c)</w:t>
      </w:r>
      <w:r w:rsidRPr="00D47CA2">
        <w:tab/>
        <w:t>an operator of the vehicle if the driver is making a journey for the operator.</w:t>
      </w:r>
    </w:p>
    <w:p w14:paraId="7ACA4468" w14:textId="77777777" w:rsidR="00841803" w:rsidRPr="00841803" w:rsidRDefault="00841803" w:rsidP="00841803">
      <w:pPr>
        <w:pStyle w:val="PageBreak"/>
      </w:pPr>
      <w:r w:rsidRPr="00841803">
        <w:br w:type="page"/>
      </w:r>
    </w:p>
    <w:p w14:paraId="3CAF47F6" w14:textId="77777777" w:rsidR="00DB6E47" w:rsidRPr="005E03F7" w:rsidRDefault="00DB6E47" w:rsidP="00DB6E47">
      <w:pPr>
        <w:pStyle w:val="AH3Div"/>
      </w:pPr>
      <w:bookmarkStart w:id="155" w:name="_Toc83625499"/>
      <w:r w:rsidRPr="005E03F7">
        <w:rPr>
          <w:rStyle w:val="CharDivNo"/>
        </w:rPr>
        <w:lastRenderedPageBreak/>
        <w:t>Division 5</w:t>
      </w:r>
      <w:r w:rsidRPr="00A95F9A">
        <w:rPr>
          <w:rFonts w:ascii="Helvetica" w:hAnsi="Helvetica" w:cs="Helvetica"/>
          <w:iCs/>
          <w:szCs w:val="28"/>
        </w:rPr>
        <w:tab/>
      </w:r>
      <w:r w:rsidRPr="005E03F7">
        <w:rPr>
          <w:rStyle w:val="CharDivText"/>
          <w:rFonts w:ascii="Helvetica" w:hAnsi="Helvetica" w:cs="Helvetica"/>
          <w:iCs/>
          <w:szCs w:val="28"/>
        </w:rPr>
        <w:t>Other provision</w:t>
      </w:r>
      <w:bookmarkEnd w:id="155"/>
    </w:p>
    <w:p w14:paraId="2B687DB6" w14:textId="77777777" w:rsidR="00DB6E47" w:rsidRPr="007E1F9A" w:rsidRDefault="00DB6E47" w:rsidP="00DB6E47">
      <w:pPr>
        <w:pStyle w:val="AH5Sec"/>
      </w:pPr>
      <w:bookmarkStart w:id="156" w:name="_Toc83625500"/>
      <w:r w:rsidRPr="005E03F7">
        <w:rPr>
          <w:rStyle w:val="CharSectNo"/>
        </w:rPr>
        <w:t>134</w:t>
      </w:r>
      <w:r w:rsidRPr="007E1F9A">
        <w:tab/>
        <w:t>Displaying warning signs on vehicles if not required by dimension exemption</w:t>
      </w:r>
      <w:bookmarkEnd w:id="156"/>
    </w:p>
    <w:p w14:paraId="62AB84AF" w14:textId="77777777" w:rsidR="00DB6E47" w:rsidRPr="003F319E" w:rsidRDefault="00DB6E47" w:rsidP="00DB6E47">
      <w:pPr>
        <w:pStyle w:val="Amain"/>
      </w:pPr>
      <w:r w:rsidRPr="003F319E">
        <w:tab/>
        <w:t>(1)</w:t>
      </w:r>
      <w:r w:rsidRPr="003F319E">
        <w:tab/>
        <w:t>A heavy vehicle warning sign must not be displayed on a heavy vehicle unless it is being used under a dimension exemption.</w:t>
      </w:r>
    </w:p>
    <w:p w14:paraId="690E180C" w14:textId="77777777" w:rsidR="00DB6E47" w:rsidRPr="006C3305" w:rsidRDefault="00DB6E47" w:rsidP="00DB6E47">
      <w:pPr>
        <w:pStyle w:val="Penalty"/>
      </w:pPr>
      <w:r w:rsidRPr="006C3305">
        <w:t>Maximum penalty—$3000.</w:t>
      </w:r>
    </w:p>
    <w:p w14:paraId="5CBD6278" w14:textId="77777777" w:rsidR="00DB6E47" w:rsidRPr="003F319E" w:rsidRDefault="00DB6E47" w:rsidP="00841803">
      <w:pPr>
        <w:pStyle w:val="Amain"/>
        <w:keepNext/>
      </w:pPr>
      <w:r w:rsidRPr="003F319E">
        <w:tab/>
        <w:t>(2)</w:t>
      </w:r>
      <w:r w:rsidRPr="003F319E">
        <w:tab/>
        <w:t>A pilot vehicle warning sign must not be displayed on a vehicle unless it is being used as a pilot vehicle for a heavy vehicle being used under a dimension exemption.</w:t>
      </w:r>
    </w:p>
    <w:p w14:paraId="687774D3" w14:textId="77777777" w:rsidR="00DB6E47" w:rsidRPr="006C3305" w:rsidRDefault="00DB6E47" w:rsidP="00DB6E47">
      <w:pPr>
        <w:pStyle w:val="Penalty"/>
      </w:pPr>
      <w:r w:rsidRPr="006C3305">
        <w:t>Maximum penalty—$3000.</w:t>
      </w:r>
    </w:p>
    <w:p w14:paraId="49C9BDAF" w14:textId="77777777" w:rsidR="00DB6E47" w:rsidRPr="003F319E" w:rsidRDefault="00DB6E47" w:rsidP="00CD357F">
      <w:pPr>
        <w:pStyle w:val="Amain"/>
        <w:keepNext/>
      </w:pPr>
      <w:r w:rsidRPr="003F319E">
        <w:tab/>
        <w:t>(3)</w:t>
      </w:r>
      <w:r w:rsidRPr="003F319E">
        <w:tab/>
        <w:t>In this section—</w:t>
      </w:r>
    </w:p>
    <w:p w14:paraId="5B7EC627" w14:textId="77777777" w:rsidR="00DB6E47" w:rsidRPr="00041046" w:rsidRDefault="00DB6E47" w:rsidP="00DB6E47">
      <w:pPr>
        <w:pStyle w:val="aDef"/>
        <w:rPr>
          <w:bCs/>
        </w:rPr>
      </w:pPr>
      <w:r w:rsidRPr="00041046">
        <w:rPr>
          <w:rStyle w:val="charBoldItals"/>
        </w:rPr>
        <w:t>dimension exemption</w:t>
      </w:r>
      <w:r w:rsidRPr="00041046">
        <w:t xml:space="preserve"> means an exemption under this Part from compliance with a dimension requirement.</w:t>
      </w:r>
    </w:p>
    <w:p w14:paraId="2984AF5E" w14:textId="77777777" w:rsidR="00DB6E47" w:rsidRPr="00041046" w:rsidRDefault="00DB6E47" w:rsidP="00DB6E47">
      <w:pPr>
        <w:pStyle w:val="aDef"/>
        <w:rPr>
          <w:bCs/>
        </w:rPr>
      </w:pPr>
      <w:r w:rsidRPr="00041046">
        <w:rPr>
          <w:rStyle w:val="charBoldItals"/>
        </w:rPr>
        <w:t>heavy vehicle warning sign</w:t>
      </w:r>
      <w:r w:rsidRPr="00041046">
        <w:t xml:space="preserve"> means a warning sign required under the national regulations to be attached to a heavy vehicle being used under a dimension exemption.</w:t>
      </w:r>
    </w:p>
    <w:p w14:paraId="624883E3" w14:textId="77777777" w:rsidR="00DB6E47" w:rsidRPr="00041046" w:rsidRDefault="00DB6E47" w:rsidP="00DB6E47">
      <w:pPr>
        <w:pStyle w:val="aDef"/>
        <w:rPr>
          <w:bCs/>
        </w:rPr>
      </w:pPr>
      <w:r w:rsidRPr="00041046">
        <w:rPr>
          <w:rStyle w:val="charBoldItals"/>
        </w:rPr>
        <w:t>pilot vehicle warning sign</w:t>
      </w:r>
      <w:r w:rsidRPr="00041046">
        <w:t xml:space="preserve"> means a warning sign required under the national regulations to be attached to a vehicle being used as a pilot vehicle for a heavy vehicle being used under a dimension exemption.</w:t>
      </w:r>
    </w:p>
    <w:p w14:paraId="61BBAA0B" w14:textId="77777777" w:rsidR="00F07A6C" w:rsidRDefault="00F07A6C" w:rsidP="00F07A6C">
      <w:pPr>
        <w:pStyle w:val="02Text"/>
        <w:sectPr w:rsidR="00F07A6C">
          <w:headerReference w:type="even" r:id="rId50"/>
          <w:headerReference w:type="default" r:id="rId51"/>
          <w:footerReference w:type="even" r:id="rId52"/>
          <w:footerReference w:type="default" r:id="rId53"/>
          <w:footerReference w:type="first" r:id="rId54"/>
          <w:pgSz w:w="11907" w:h="16839" w:code="9"/>
          <w:pgMar w:top="3880" w:right="1900" w:bottom="3100" w:left="2300" w:header="1800" w:footer="1760" w:gutter="0"/>
          <w:pgNumType w:start="1"/>
          <w:cols w:space="720"/>
          <w:titlePg/>
          <w:docGrid w:linePitch="254"/>
        </w:sectPr>
      </w:pPr>
      <w:bookmarkStart w:id="157" w:name="_Toc83625501"/>
    </w:p>
    <w:p w14:paraId="60882534" w14:textId="77777777" w:rsidR="00DB6E47" w:rsidRPr="005E03F7" w:rsidRDefault="00DB6E47" w:rsidP="00DB6E47">
      <w:pPr>
        <w:pStyle w:val="AH2Part"/>
      </w:pPr>
      <w:r w:rsidRPr="005E03F7">
        <w:rPr>
          <w:rStyle w:val="CharPartNo"/>
        </w:rPr>
        <w:lastRenderedPageBreak/>
        <w:t>Part 4.6</w:t>
      </w:r>
      <w:r w:rsidRPr="00A95F9A">
        <w:rPr>
          <w:rFonts w:ascii="Helvetica" w:hAnsi="Helvetica" w:cs="Helvetica"/>
          <w:iCs/>
          <w:szCs w:val="32"/>
        </w:rPr>
        <w:tab/>
      </w:r>
      <w:r w:rsidRPr="005E03F7">
        <w:rPr>
          <w:rStyle w:val="CharPartText"/>
          <w:rFonts w:ascii="Helvetica" w:hAnsi="Helvetica" w:cs="Helvetica"/>
          <w:iCs/>
          <w:szCs w:val="32"/>
        </w:rPr>
        <w:t>Restricting access to roads by large vehicles that are not overmass or oversize vehicles</w:t>
      </w:r>
      <w:bookmarkEnd w:id="157"/>
    </w:p>
    <w:p w14:paraId="620834F9" w14:textId="77777777" w:rsidR="00DB6E47" w:rsidRPr="005E03F7" w:rsidRDefault="00DB6E47" w:rsidP="00DB6E47">
      <w:pPr>
        <w:pStyle w:val="AH3Div"/>
      </w:pPr>
      <w:bookmarkStart w:id="158" w:name="_Toc83625502"/>
      <w:r w:rsidRPr="005E03F7">
        <w:rPr>
          <w:rStyle w:val="CharDivNo"/>
        </w:rPr>
        <w:t>Division 1</w:t>
      </w:r>
      <w:r w:rsidRPr="00A95F9A">
        <w:rPr>
          <w:rFonts w:ascii="Helvetica" w:hAnsi="Helvetica" w:cs="Helvetica"/>
          <w:iCs/>
          <w:szCs w:val="28"/>
        </w:rPr>
        <w:tab/>
      </w:r>
      <w:r w:rsidRPr="005E03F7">
        <w:rPr>
          <w:rStyle w:val="CharDivText"/>
          <w:rFonts w:ascii="Helvetica" w:hAnsi="Helvetica" w:cs="Helvetica"/>
          <w:iCs/>
          <w:szCs w:val="28"/>
        </w:rPr>
        <w:t>Preliminary</w:t>
      </w:r>
      <w:bookmarkEnd w:id="158"/>
    </w:p>
    <w:p w14:paraId="6FE522AD" w14:textId="77777777" w:rsidR="00DB6E47" w:rsidRPr="007E1F9A" w:rsidRDefault="00DB6E47" w:rsidP="00DB6E47">
      <w:pPr>
        <w:pStyle w:val="AH5Sec"/>
      </w:pPr>
      <w:bookmarkStart w:id="159" w:name="_Toc83625503"/>
      <w:r w:rsidRPr="005E03F7">
        <w:rPr>
          <w:rStyle w:val="CharSectNo"/>
        </w:rPr>
        <w:t>135</w:t>
      </w:r>
      <w:r w:rsidRPr="007E1F9A">
        <w:tab/>
        <w:t>Main purpose of Pt 4.6</w:t>
      </w:r>
      <w:bookmarkEnd w:id="159"/>
    </w:p>
    <w:p w14:paraId="4470281B" w14:textId="77777777" w:rsidR="00DB6E47" w:rsidRPr="003F319E" w:rsidRDefault="00DB6E47" w:rsidP="00DB6E47">
      <w:pPr>
        <w:pStyle w:val="Amainreturn"/>
      </w:pPr>
      <w:r w:rsidRPr="003F319E">
        <w:t>The main purpose of this Part is to restrict access to roads by heavy vehicles that, while complying with mass requirements and dimension requirements applying to them, may, because of their size—</w:t>
      </w:r>
    </w:p>
    <w:p w14:paraId="1DBF64F5" w14:textId="77777777" w:rsidR="00DB6E47" w:rsidRPr="007D116E" w:rsidRDefault="00DB6E47" w:rsidP="00DB6E47">
      <w:pPr>
        <w:pStyle w:val="Apara"/>
      </w:pPr>
      <w:r w:rsidRPr="007D116E">
        <w:tab/>
        <w:t>(a)</w:t>
      </w:r>
      <w:r w:rsidRPr="007D116E">
        <w:tab/>
        <w:t>endanger public safety; or</w:t>
      </w:r>
    </w:p>
    <w:p w14:paraId="5290D9FA" w14:textId="77777777" w:rsidR="00DB6E47" w:rsidRPr="007D116E" w:rsidRDefault="00DB6E47" w:rsidP="00DB6E47">
      <w:pPr>
        <w:pStyle w:val="Apara"/>
      </w:pPr>
      <w:r w:rsidRPr="007D116E">
        <w:tab/>
        <w:t>(b)</w:t>
      </w:r>
      <w:r w:rsidRPr="007D116E">
        <w:tab/>
        <w:t>damage road infrastructure; or</w:t>
      </w:r>
    </w:p>
    <w:p w14:paraId="1A0736E5" w14:textId="77777777" w:rsidR="00DB6E47" w:rsidRPr="007D116E" w:rsidRDefault="00DB6E47" w:rsidP="00DB6E47">
      <w:pPr>
        <w:pStyle w:val="Apara"/>
      </w:pPr>
      <w:r w:rsidRPr="007D116E">
        <w:tab/>
        <w:t>(c)</w:t>
      </w:r>
      <w:r w:rsidRPr="007D116E">
        <w:tab/>
        <w:t>adversely affect public amenity.</w:t>
      </w:r>
    </w:p>
    <w:p w14:paraId="21D1B853" w14:textId="77777777" w:rsidR="00DB6E47" w:rsidRPr="007E1F9A" w:rsidRDefault="00DB6E47" w:rsidP="00DB6E47">
      <w:pPr>
        <w:pStyle w:val="AH5Sec"/>
      </w:pPr>
      <w:bookmarkStart w:id="160" w:name="_Toc83625504"/>
      <w:r w:rsidRPr="005E03F7">
        <w:rPr>
          <w:rStyle w:val="CharSectNo"/>
        </w:rPr>
        <w:t>136</w:t>
      </w:r>
      <w:r w:rsidRPr="007E1F9A">
        <w:tab/>
        <w:t>Class 2 heavy vehicles</w:t>
      </w:r>
      <w:bookmarkEnd w:id="160"/>
    </w:p>
    <w:p w14:paraId="0599066C" w14:textId="77777777" w:rsidR="00DB6E47" w:rsidRPr="003F319E" w:rsidRDefault="00CD52C9" w:rsidP="00CD52C9">
      <w:pPr>
        <w:pStyle w:val="Amain"/>
      </w:pPr>
      <w:r>
        <w:tab/>
        <w:t>(1)</w:t>
      </w:r>
      <w:r>
        <w:tab/>
      </w:r>
      <w:r w:rsidR="00DB6E47" w:rsidRPr="003F319E">
        <w:t>A heavy vehicle is a class 2 heavy vehicle if—</w:t>
      </w:r>
    </w:p>
    <w:p w14:paraId="5A980E89" w14:textId="77777777" w:rsidR="00DB6E47" w:rsidRPr="007D116E" w:rsidRDefault="00DB6E47" w:rsidP="00DB6E47">
      <w:pPr>
        <w:pStyle w:val="Apara"/>
      </w:pPr>
      <w:r w:rsidRPr="007D116E">
        <w:tab/>
        <w:t>(a)</w:t>
      </w:r>
      <w:r w:rsidRPr="007D116E">
        <w:tab/>
        <w:t>it—</w:t>
      </w:r>
    </w:p>
    <w:p w14:paraId="16728B8B" w14:textId="77777777" w:rsidR="00DB6E47" w:rsidRPr="00516F02" w:rsidRDefault="00DB6E47" w:rsidP="00DB6E47">
      <w:pPr>
        <w:pStyle w:val="Asubpara"/>
      </w:pPr>
      <w:r w:rsidRPr="00516F02">
        <w:tab/>
        <w:t>(i)</w:t>
      </w:r>
      <w:r w:rsidRPr="00516F02">
        <w:tab/>
        <w:t>complies with the prescribed mass requirements and prescribed dimension requirements applying to it; and</w:t>
      </w:r>
    </w:p>
    <w:p w14:paraId="43600AF1" w14:textId="77777777" w:rsidR="00DB6E47" w:rsidRPr="00516F02" w:rsidRDefault="00DB6E47" w:rsidP="00DB6E47">
      <w:pPr>
        <w:pStyle w:val="Asubpara"/>
      </w:pPr>
      <w:r w:rsidRPr="00516F02">
        <w:tab/>
        <w:t>(ii)</w:t>
      </w:r>
      <w:r w:rsidRPr="00516F02">
        <w:tab/>
        <w:t>is—</w:t>
      </w:r>
    </w:p>
    <w:p w14:paraId="5690A946" w14:textId="77777777" w:rsidR="00DB6E47" w:rsidRPr="006C3305" w:rsidRDefault="00DB6E47" w:rsidP="00DB6E47">
      <w:pPr>
        <w:pStyle w:val="Asubsubpara"/>
      </w:pPr>
      <w:r>
        <w:tab/>
      </w:r>
      <w:r w:rsidRPr="00352CBD">
        <w:t>(</w:t>
      </w:r>
      <w:r w:rsidR="005C6D6D">
        <w:t>A</w:t>
      </w:r>
      <w:r w:rsidRPr="00352CBD">
        <w:t>)</w:t>
      </w:r>
      <w:r w:rsidRPr="006C3305">
        <w:tab/>
        <w:t>a B-double; or</w:t>
      </w:r>
    </w:p>
    <w:p w14:paraId="06BAC796" w14:textId="77777777" w:rsidR="00DB6E47" w:rsidRPr="006C3305" w:rsidRDefault="00DB6E47" w:rsidP="00DB6E47">
      <w:pPr>
        <w:pStyle w:val="Asubsubpara"/>
      </w:pPr>
      <w:r>
        <w:tab/>
      </w:r>
      <w:r w:rsidRPr="00352CBD">
        <w:t>(</w:t>
      </w:r>
      <w:r w:rsidR="005C6D6D">
        <w:t>B</w:t>
      </w:r>
      <w:r w:rsidRPr="00352CBD">
        <w:t>)</w:t>
      </w:r>
      <w:r w:rsidRPr="006C3305">
        <w:tab/>
        <w:t>a road train; or</w:t>
      </w:r>
    </w:p>
    <w:p w14:paraId="46878136" w14:textId="77777777" w:rsidR="00DB6E47" w:rsidRPr="006C3305" w:rsidRDefault="00DB6E47" w:rsidP="00DB6E47">
      <w:pPr>
        <w:pStyle w:val="Asubsubpara"/>
      </w:pPr>
      <w:r>
        <w:tab/>
      </w:r>
      <w:r w:rsidRPr="00352CBD">
        <w:t>(</w:t>
      </w:r>
      <w:r w:rsidR="005C6D6D">
        <w:t>C</w:t>
      </w:r>
      <w:r w:rsidRPr="00352CBD">
        <w:t>)</w:t>
      </w:r>
      <w:r w:rsidRPr="006C3305">
        <w:tab/>
        <w:t>a bus, other than an articulated bus, that is longer than 12.5m; or</w:t>
      </w:r>
    </w:p>
    <w:p w14:paraId="5774C58A" w14:textId="77777777" w:rsidR="00DB6E47" w:rsidRPr="006C3305" w:rsidRDefault="00DB6E47" w:rsidP="00DB6E47">
      <w:pPr>
        <w:pStyle w:val="Asubsubpara"/>
      </w:pPr>
      <w:r>
        <w:lastRenderedPageBreak/>
        <w:tab/>
      </w:r>
      <w:r w:rsidRPr="00352CBD">
        <w:t>(</w:t>
      </w:r>
      <w:r w:rsidR="005C6D6D">
        <w:t>D</w:t>
      </w:r>
      <w:r w:rsidRPr="00352CBD">
        <w:t>)</w:t>
      </w:r>
      <w:r w:rsidRPr="006C3305">
        <w:tab/>
        <w:t>a combination designed and built to carry vehicles on more than 1 dec</w:t>
      </w:r>
      <w:r w:rsidR="00D47CA2">
        <w:t xml:space="preserve">k that, together with its load </w:t>
      </w:r>
      <w:r w:rsidRPr="006C3305">
        <w:t>is longer than 19m or higher than 4.3m; or</w:t>
      </w:r>
    </w:p>
    <w:p w14:paraId="35CB1F91" w14:textId="77777777" w:rsidR="00DB6E47" w:rsidRPr="006C3305" w:rsidRDefault="00DB6E47" w:rsidP="00DB6E47">
      <w:pPr>
        <w:pStyle w:val="Asubsubpara"/>
      </w:pPr>
      <w:r>
        <w:tab/>
      </w:r>
      <w:r w:rsidRPr="00352CBD">
        <w:t>(</w:t>
      </w:r>
      <w:r w:rsidR="005C6D6D">
        <w:t>E</w:t>
      </w:r>
      <w:r w:rsidRPr="00352CBD">
        <w:t>)</w:t>
      </w:r>
      <w:r w:rsidRPr="006C3305">
        <w:tab/>
        <w:t>a motor vehicle, or a combination, that is higher than 4.3m and is built to carry cattle, sheep, pigs or horses; or</w:t>
      </w:r>
    </w:p>
    <w:p w14:paraId="4C86CEBF" w14:textId="77777777" w:rsidR="0092385B" w:rsidRDefault="0092385B" w:rsidP="0092385B">
      <w:pPr>
        <w:pStyle w:val="Apara"/>
        <w:rPr>
          <w:lang w:val="en"/>
        </w:rPr>
      </w:pPr>
      <w:r w:rsidRPr="003323FC">
        <w:tab/>
        <w:t>(b)</w:t>
      </w:r>
      <w:r w:rsidRPr="003323FC">
        <w:tab/>
      </w:r>
      <w:r>
        <w:rPr>
          <w:lang w:val="en"/>
        </w:rPr>
        <w:t>it is a PBS vehicle other than a specified PBS vehicle.</w:t>
      </w:r>
    </w:p>
    <w:p w14:paraId="6AB663C1" w14:textId="77777777" w:rsidR="00CD52C9" w:rsidRPr="00CD52C9" w:rsidRDefault="00CD52C9" w:rsidP="00CD52C9">
      <w:pPr>
        <w:pStyle w:val="Amain"/>
        <w:rPr>
          <w:lang w:val="en" w:eastAsia="en-AU"/>
        </w:rPr>
      </w:pPr>
      <w:r>
        <w:rPr>
          <w:lang w:val="en" w:eastAsia="en-AU"/>
        </w:rPr>
        <w:tab/>
      </w:r>
      <w:r w:rsidRPr="00CD52C9">
        <w:rPr>
          <w:lang w:val="en" w:eastAsia="en-AU"/>
        </w:rPr>
        <w:t>(2)</w:t>
      </w:r>
      <w:r>
        <w:rPr>
          <w:lang w:val="en" w:eastAsia="en-AU"/>
        </w:rPr>
        <w:tab/>
      </w:r>
      <w:r w:rsidRPr="00CD52C9">
        <w:rPr>
          <w:lang w:val="en" w:eastAsia="en-AU"/>
        </w:rPr>
        <w:t>In this section—</w:t>
      </w:r>
    </w:p>
    <w:p w14:paraId="721DD24E" w14:textId="77777777" w:rsidR="00CD52C9" w:rsidRPr="00CD52C9" w:rsidRDefault="00CD52C9" w:rsidP="00CD52C9">
      <w:pPr>
        <w:pStyle w:val="aDef"/>
        <w:rPr>
          <w:lang w:val="en" w:eastAsia="en-AU"/>
        </w:rPr>
      </w:pPr>
      <w:r w:rsidRPr="00CD52C9">
        <w:rPr>
          <w:b/>
          <w:bCs/>
          <w:i/>
          <w:iCs/>
          <w:lang w:val="en" w:eastAsia="en-AU"/>
        </w:rPr>
        <w:t>specified PBS vehicle</w:t>
      </w:r>
      <w:r w:rsidRPr="00CD52C9">
        <w:rPr>
          <w:lang w:val="en" w:eastAsia="en-AU"/>
        </w:rPr>
        <w:t xml:space="preserve"> means a PBS vehicle that—</w:t>
      </w:r>
    </w:p>
    <w:p w14:paraId="7D19E974" w14:textId="77777777" w:rsidR="00CD52C9" w:rsidRPr="00CD52C9" w:rsidRDefault="00CD52C9" w:rsidP="00CD52C9">
      <w:pPr>
        <w:pStyle w:val="aDefpara"/>
        <w:rPr>
          <w:lang w:val="en" w:eastAsia="en-AU"/>
        </w:rPr>
      </w:pPr>
      <w:r>
        <w:rPr>
          <w:lang w:val="en" w:eastAsia="en-AU"/>
        </w:rPr>
        <w:tab/>
      </w:r>
      <w:r w:rsidRPr="00CD52C9">
        <w:rPr>
          <w:lang w:val="en" w:eastAsia="en-AU"/>
        </w:rPr>
        <w:t>(a)</w:t>
      </w:r>
      <w:r>
        <w:rPr>
          <w:lang w:val="en" w:eastAsia="en-AU"/>
        </w:rPr>
        <w:tab/>
      </w:r>
      <w:r w:rsidRPr="00CD52C9">
        <w:rPr>
          <w:lang w:val="en" w:eastAsia="en-AU"/>
        </w:rPr>
        <w:t>is not a bus; and</w:t>
      </w:r>
    </w:p>
    <w:p w14:paraId="661DEF5D" w14:textId="77777777" w:rsidR="00CD52C9" w:rsidRPr="00CD52C9" w:rsidRDefault="00CD52C9" w:rsidP="00CD52C9">
      <w:pPr>
        <w:pStyle w:val="aDefpara"/>
        <w:rPr>
          <w:lang w:val="en" w:eastAsia="en-AU"/>
        </w:rPr>
      </w:pPr>
      <w:r>
        <w:rPr>
          <w:lang w:val="en" w:eastAsia="en-AU"/>
        </w:rPr>
        <w:tab/>
      </w:r>
      <w:r w:rsidRPr="00CD52C9">
        <w:rPr>
          <w:lang w:val="en" w:eastAsia="en-AU"/>
        </w:rPr>
        <w:t>(b)</w:t>
      </w:r>
      <w:r>
        <w:rPr>
          <w:lang w:val="en" w:eastAsia="en-AU"/>
        </w:rPr>
        <w:tab/>
      </w:r>
      <w:r w:rsidRPr="00CD52C9">
        <w:rPr>
          <w:lang w:val="en" w:eastAsia="en-AU"/>
        </w:rPr>
        <w:t>is not longer than 20m; and</w:t>
      </w:r>
    </w:p>
    <w:p w14:paraId="2574B61A" w14:textId="77777777" w:rsidR="00CD52C9" w:rsidRPr="00CD52C9" w:rsidRDefault="00CD52C9" w:rsidP="00CD52C9">
      <w:pPr>
        <w:pStyle w:val="aDefpara"/>
        <w:rPr>
          <w:lang w:val="en" w:eastAsia="en-AU"/>
        </w:rPr>
      </w:pPr>
      <w:r>
        <w:rPr>
          <w:lang w:val="en" w:eastAsia="en-AU"/>
        </w:rPr>
        <w:tab/>
      </w:r>
      <w:r w:rsidRPr="00CD52C9">
        <w:rPr>
          <w:lang w:val="en" w:eastAsia="en-AU"/>
        </w:rPr>
        <w:t>(c)</w:t>
      </w:r>
      <w:r>
        <w:rPr>
          <w:lang w:val="en" w:eastAsia="en-AU"/>
        </w:rPr>
        <w:tab/>
      </w:r>
      <w:r w:rsidRPr="00CD52C9">
        <w:rPr>
          <w:lang w:val="en" w:eastAsia="en-AU"/>
        </w:rPr>
        <w:t>is the subject of a current PBS vehicle approval at performance level 1; and</w:t>
      </w:r>
    </w:p>
    <w:p w14:paraId="097ACBD4" w14:textId="77777777" w:rsidR="00CD52C9" w:rsidRPr="00CD52C9" w:rsidRDefault="00CD52C9" w:rsidP="00CD52C9">
      <w:pPr>
        <w:pStyle w:val="aDefpara"/>
        <w:rPr>
          <w:lang w:val="en" w:eastAsia="en-AU"/>
        </w:rPr>
      </w:pPr>
      <w:r>
        <w:rPr>
          <w:lang w:val="en" w:eastAsia="en-AU"/>
        </w:rPr>
        <w:tab/>
      </w:r>
      <w:r w:rsidRPr="00CD52C9">
        <w:rPr>
          <w:lang w:val="en" w:eastAsia="en-AU"/>
        </w:rPr>
        <w:t>(d)</w:t>
      </w:r>
      <w:r>
        <w:rPr>
          <w:lang w:val="en" w:eastAsia="en-AU"/>
        </w:rPr>
        <w:tab/>
      </w:r>
      <w:r w:rsidRPr="00CD52C9">
        <w:rPr>
          <w:lang w:val="en" w:eastAsia="en-AU"/>
        </w:rPr>
        <w:t>complies with the PBS vehicle approval; and</w:t>
      </w:r>
    </w:p>
    <w:p w14:paraId="46EA4953" w14:textId="77777777" w:rsidR="00CD52C9" w:rsidRPr="00CD52C9" w:rsidRDefault="00CD52C9" w:rsidP="00CD52C9">
      <w:pPr>
        <w:pStyle w:val="aDefpara"/>
        <w:rPr>
          <w:lang w:val="en" w:eastAsia="en-AU"/>
        </w:rPr>
      </w:pPr>
      <w:r>
        <w:rPr>
          <w:lang w:val="en" w:eastAsia="en-AU"/>
        </w:rPr>
        <w:tab/>
      </w:r>
      <w:r w:rsidRPr="00CD52C9">
        <w:rPr>
          <w:lang w:val="en" w:eastAsia="en-AU"/>
        </w:rPr>
        <w:t>(e)</w:t>
      </w:r>
      <w:r>
        <w:rPr>
          <w:lang w:val="en" w:eastAsia="en-AU"/>
        </w:rPr>
        <w:tab/>
      </w:r>
      <w:r w:rsidRPr="00CD52C9">
        <w:rPr>
          <w:lang w:val="en" w:eastAsia="en-AU"/>
        </w:rPr>
        <w:t>complies with the general mass limits for the vehicle, regardless of whether the PBS vehicle approval authorises a higher mass limit.</w:t>
      </w:r>
    </w:p>
    <w:p w14:paraId="250BCFAB" w14:textId="77777777" w:rsidR="00CD52C9" w:rsidRPr="00CD52C9" w:rsidRDefault="00CD52C9" w:rsidP="00CD52C9">
      <w:pPr>
        <w:pStyle w:val="aNote"/>
        <w:rPr>
          <w:lang w:val="en" w:eastAsia="en-AU"/>
        </w:rPr>
      </w:pPr>
      <w:r w:rsidRPr="00CD52C9">
        <w:rPr>
          <w:rStyle w:val="charItals"/>
        </w:rPr>
        <w:t>Note</w:t>
      </w:r>
      <w:r w:rsidRPr="00CD52C9">
        <w:rPr>
          <w:lang w:val="en" w:eastAsia="en-AU"/>
        </w:rPr>
        <w:t>—</w:t>
      </w:r>
    </w:p>
    <w:p w14:paraId="512A96C8" w14:textId="77777777" w:rsidR="00CD52C9" w:rsidRPr="00CD52C9" w:rsidRDefault="00CD52C9" w:rsidP="00CD52C9">
      <w:pPr>
        <w:pStyle w:val="aNoteTextss"/>
        <w:rPr>
          <w:lang w:val="en" w:eastAsia="en-AU"/>
        </w:rPr>
      </w:pPr>
      <w:r w:rsidRPr="00CD52C9">
        <w:rPr>
          <w:lang w:val="en" w:eastAsia="en-AU"/>
        </w:rPr>
        <w:t>General mass limits for a vehicle may be included in prescribed mass requirements under section 95.</w:t>
      </w:r>
    </w:p>
    <w:p w14:paraId="69E75151" w14:textId="77777777" w:rsidR="00DB6E47" w:rsidRPr="005E03F7" w:rsidRDefault="00DB6E47" w:rsidP="00DB6E47">
      <w:pPr>
        <w:pStyle w:val="AH3Div"/>
      </w:pPr>
      <w:bookmarkStart w:id="161" w:name="_Toc83625505"/>
      <w:r w:rsidRPr="005E03F7">
        <w:rPr>
          <w:rStyle w:val="CharDivNo"/>
        </w:rPr>
        <w:t>Division 2</w:t>
      </w:r>
      <w:r w:rsidRPr="00A95F9A">
        <w:rPr>
          <w:rFonts w:ascii="Helvetica" w:hAnsi="Helvetica" w:cs="Helvetica"/>
          <w:iCs/>
          <w:szCs w:val="28"/>
        </w:rPr>
        <w:tab/>
      </w:r>
      <w:r w:rsidRPr="005E03F7">
        <w:rPr>
          <w:rStyle w:val="CharDivText"/>
          <w:rFonts w:ascii="Helvetica" w:hAnsi="Helvetica" w:cs="Helvetica"/>
          <w:iCs/>
          <w:szCs w:val="28"/>
        </w:rPr>
        <w:t>Restriction</w:t>
      </w:r>
      <w:bookmarkEnd w:id="161"/>
    </w:p>
    <w:p w14:paraId="6A278862" w14:textId="77777777" w:rsidR="00DB6E47" w:rsidRPr="007E1F9A" w:rsidRDefault="00DB6E47" w:rsidP="00DB6E47">
      <w:pPr>
        <w:pStyle w:val="AH5Sec"/>
      </w:pPr>
      <w:bookmarkStart w:id="162" w:name="_Toc83625506"/>
      <w:r w:rsidRPr="005E03F7">
        <w:rPr>
          <w:rStyle w:val="CharSectNo"/>
        </w:rPr>
        <w:t>137</w:t>
      </w:r>
      <w:r w:rsidRPr="007E1F9A">
        <w:tab/>
        <w:t>Using class 2 heavy vehicle</w:t>
      </w:r>
      <w:bookmarkEnd w:id="162"/>
    </w:p>
    <w:p w14:paraId="09A81064" w14:textId="77777777" w:rsidR="00DB6E47" w:rsidRPr="003F319E" w:rsidRDefault="00DB6E47" w:rsidP="00DB6E47">
      <w:pPr>
        <w:pStyle w:val="Amainreturn"/>
      </w:pPr>
      <w:r w:rsidRPr="003F319E">
        <w:t>A person must not use a class 2 heavy vehicle, or permit a class 2 heavy vehicle to be used, on a road other than in accordance with a class 2 heavy vehicle authorisation.</w:t>
      </w:r>
    </w:p>
    <w:p w14:paraId="0F897850" w14:textId="77777777" w:rsidR="00DB6E47" w:rsidRPr="006C3305" w:rsidRDefault="00DB6E47" w:rsidP="00DB6E47">
      <w:pPr>
        <w:pStyle w:val="Penalty"/>
      </w:pPr>
      <w:r w:rsidRPr="006C3305">
        <w:t>Maximum penalty—$6000.</w:t>
      </w:r>
    </w:p>
    <w:p w14:paraId="27D96071" w14:textId="77777777" w:rsidR="00DB6E47" w:rsidRPr="005E03F7" w:rsidRDefault="00DB6E47" w:rsidP="00DB6E47">
      <w:pPr>
        <w:pStyle w:val="AH3Div"/>
      </w:pPr>
      <w:bookmarkStart w:id="163" w:name="_Toc83625507"/>
      <w:r w:rsidRPr="005E03F7">
        <w:rPr>
          <w:rStyle w:val="CharDivNo"/>
        </w:rPr>
        <w:lastRenderedPageBreak/>
        <w:t>Division 3</w:t>
      </w:r>
      <w:r w:rsidRPr="00A95F9A">
        <w:rPr>
          <w:rFonts w:ascii="Helvetica" w:hAnsi="Helvetica" w:cs="Helvetica"/>
          <w:iCs/>
          <w:szCs w:val="28"/>
        </w:rPr>
        <w:tab/>
      </w:r>
      <w:r w:rsidRPr="005E03F7">
        <w:rPr>
          <w:rStyle w:val="CharDivText"/>
          <w:rFonts w:ascii="Helvetica" w:hAnsi="Helvetica" w:cs="Helvetica"/>
          <w:iCs/>
          <w:szCs w:val="28"/>
        </w:rPr>
        <w:t>Authorisation by Commonwealth Gazette notice</w:t>
      </w:r>
      <w:bookmarkEnd w:id="163"/>
    </w:p>
    <w:p w14:paraId="59559E8C" w14:textId="77777777" w:rsidR="00DB6E47" w:rsidRPr="007E1F9A" w:rsidRDefault="00DB6E47" w:rsidP="00DB6E47">
      <w:pPr>
        <w:pStyle w:val="AH5Sec"/>
      </w:pPr>
      <w:bookmarkStart w:id="164" w:name="_Toc83625508"/>
      <w:r w:rsidRPr="005E03F7">
        <w:rPr>
          <w:rStyle w:val="CharSectNo"/>
        </w:rPr>
        <w:t>138</w:t>
      </w:r>
      <w:r w:rsidRPr="007E1F9A">
        <w:tab/>
        <w:t>Regulator’s power to authorise use of all or stated categories of class 2 heavy vehicles</w:t>
      </w:r>
      <w:bookmarkEnd w:id="164"/>
    </w:p>
    <w:p w14:paraId="44B05659" w14:textId="77777777" w:rsidR="00DB6E47" w:rsidRPr="003F319E" w:rsidRDefault="00DB6E47" w:rsidP="00DB6E47">
      <w:pPr>
        <w:pStyle w:val="Amain"/>
      </w:pPr>
      <w:r w:rsidRPr="003F319E">
        <w:tab/>
        <w:t>(1)</w:t>
      </w:r>
      <w:r w:rsidRPr="003F319E">
        <w:tab/>
        <w:t>The Regulator may, by Commonwealth Gazette notice complying with section 142, authorise, for a period of not more than 5 years, the use of all or stated categories of class 2 heavy vehicles in one or more of the following ways—</w:t>
      </w:r>
    </w:p>
    <w:p w14:paraId="3BED66FA" w14:textId="77777777" w:rsidR="00DB6E47" w:rsidRPr="007D116E" w:rsidRDefault="00DB6E47" w:rsidP="00DB6E47">
      <w:pPr>
        <w:pStyle w:val="Apara"/>
      </w:pPr>
      <w:r w:rsidRPr="007D116E">
        <w:tab/>
        <w:t>(a)</w:t>
      </w:r>
      <w:r w:rsidRPr="007D116E">
        <w:tab/>
        <w:t xml:space="preserve">in stated areas or on stated routes; </w:t>
      </w:r>
    </w:p>
    <w:p w14:paraId="1D946C13" w14:textId="77777777" w:rsidR="00DB6E47" w:rsidRPr="007D116E" w:rsidRDefault="00DB6E47" w:rsidP="00DB6E47">
      <w:pPr>
        <w:pStyle w:val="Apara"/>
      </w:pPr>
      <w:r w:rsidRPr="007D116E">
        <w:tab/>
        <w:t>(b)</w:t>
      </w:r>
      <w:r w:rsidRPr="007D116E">
        <w:tab/>
        <w:t>during stated hours of stated days;</w:t>
      </w:r>
    </w:p>
    <w:p w14:paraId="6202D3EA" w14:textId="77777777" w:rsidR="00DB6E47" w:rsidRPr="007D116E" w:rsidRDefault="00DB6E47" w:rsidP="00DB6E47">
      <w:pPr>
        <w:pStyle w:val="Apara"/>
      </w:pPr>
      <w:r w:rsidRPr="007D116E">
        <w:tab/>
        <w:t>(c)</w:t>
      </w:r>
      <w:r w:rsidRPr="007D116E">
        <w:tab/>
        <w:t>in the case of PBS vehicles, in accordance with a stated requirement that the vehicles are operated in accordance with the conditions contained in a PBS vehicle approval.</w:t>
      </w:r>
    </w:p>
    <w:p w14:paraId="2188AEFF" w14:textId="77777777" w:rsidR="00DB6E47" w:rsidRPr="003F319E" w:rsidRDefault="00DB6E47" w:rsidP="00CD357F">
      <w:pPr>
        <w:pStyle w:val="Amain"/>
        <w:keepNext/>
      </w:pPr>
      <w:r w:rsidRPr="003F319E">
        <w:tab/>
        <w:t>(2)</w:t>
      </w:r>
      <w:r w:rsidRPr="003F319E">
        <w:tab/>
        <w:t>An</w:t>
      </w:r>
      <w:r w:rsidR="00D47CA2">
        <w:t xml:space="preserve"> authorisation under subsection </w:t>
      </w:r>
      <w:r w:rsidRPr="003F319E">
        <w:t>(1)</w:t>
      </w:r>
      <w:r w:rsidR="00D47CA2">
        <w:t xml:space="preserve"> </w:t>
      </w:r>
      <w:r w:rsidRPr="003F319E">
        <w:t xml:space="preserve">is a </w:t>
      </w:r>
      <w:r w:rsidRPr="00FF4454">
        <w:rPr>
          <w:rStyle w:val="charBoldItals"/>
        </w:rPr>
        <w:t>class 2 heavy vehicle authorisation (notice)</w:t>
      </w:r>
      <w:r w:rsidRPr="003F319E">
        <w:t>.</w:t>
      </w:r>
    </w:p>
    <w:p w14:paraId="13AE3133" w14:textId="77777777" w:rsidR="00DB6E47" w:rsidRPr="00C96203" w:rsidRDefault="00DB6E47" w:rsidP="00CD357F">
      <w:pPr>
        <w:pStyle w:val="aNote"/>
        <w:keepNext/>
      </w:pPr>
      <w:r w:rsidRPr="00FF4454">
        <w:rPr>
          <w:rStyle w:val="charItals"/>
        </w:rPr>
        <w:t>Note</w:t>
      </w:r>
      <w:r w:rsidRPr="00C96203">
        <w:rPr>
          <w:rFonts w:cs="Times"/>
          <w:bCs/>
          <w:iCs/>
        </w:rPr>
        <w:t>—</w:t>
      </w:r>
    </w:p>
    <w:p w14:paraId="1CA22CB9" w14:textId="77777777" w:rsidR="00DB6E47" w:rsidRPr="00C96203" w:rsidRDefault="00DB6E47" w:rsidP="00DB6E47">
      <w:pPr>
        <w:pStyle w:val="aNoteTextss"/>
      </w:pPr>
      <w:r w:rsidRPr="00C96203">
        <w:t>See Division 3 of Part 4.7 in relation to amendment, suspension or cancellation of a class 2 heavy vehicle authorisation (notice).</w:t>
      </w:r>
    </w:p>
    <w:p w14:paraId="149A7BB8" w14:textId="77777777" w:rsidR="00DB6E47" w:rsidRPr="007E1F9A" w:rsidRDefault="00DB6E47" w:rsidP="00DB6E47">
      <w:pPr>
        <w:pStyle w:val="AH5Sec"/>
      </w:pPr>
      <w:bookmarkStart w:id="165" w:name="_Toc83625509"/>
      <w:r w:rsidRPr="005E03F7">
        <w:rPr>
          <w:rStyle w:val="CharSectNo"/>
        </w:rPr>
        <w:t>139</w:t>
      </w:r>
      <w:r w:rsidRPr="007E1F9A">
        <w:tab/>
        <w:t>Restriction on grant of class 2 heavy vehicle authorisation (notice)</w:t>
      </w:r>
      <w:bookmarkEnd w:id="165"/>
    </w:p>
    <w:p w14:paraId="0588F267" w14:textId="77777777" w:rsidR="00DB6E47" w:rsidRPr="003F319E" w:rsidRDefault="00DB6E47" w:rsidP="00DB6E47">
      <w:pPr>
        <w:pStyle w:val="Amain"/>
      </w:pPr>
      <w:r w:rsidRPr="003F319E">
        <w:tab/>
        <w:t>(1)</w:t>
      </w:r>
      <w:r w:rsidRPr="003F319E">
        <w:tab/>
        <w:t>The Regulator may grant a class 2 heavy vehicle authorisation (notice) only if—</w:t>
      </w:r>
    </w:p>
    <w:p w14:paraId="71C80180" w14:textId="77777777" w:rsidR="00DB6E47" w:rsidRPr="007D116E" w:rsidRDefault="00DB6E47" w:rsidP="00DB6E47">
      <w:pPr>
        <w:pStyle w:val="Apara"/>
      </w:pPr>
      <w:r w:rsidRPr="007D116E">
        <w:tab/>
        <w:t>(a)</w:t>
      </w:r>
      <w:r w:rsidRPr="007D116E">
        <w:tab/>
        <w:t>the Regulator is satisfied the use of class 2 heavy vehicles, or the stated categories of class 2 heavy vehicles, on a road under the authorisation will not pose a significant risk to public safety; and</w:t>
      </w:r>
    </w:p>
    <w:p w14:paraId="20EE9286" w14:textId="77777777" w:rsidR="00DB6E47" w:rsidRPr="007D116E" w:rsidRDefault="00DB6E47" w:rsidP="00DB6E47">
      <w:pPr>
        <w:pStyle w:val="Apara"/>
      </w:pPr>
      <w:r w:rsidRPr="007D116E">
        <w:tab/>
        <w:t>(b)</w:t>
      </w:r>
      <w:r w:rsidRPr="007D116E">
        <w:tab/>
        <w:t>each relevant road manager for the authorisation has consented to the grant; and</w:t>
      </w:r>
    </w:p>
    <w:p w14:paraId="7B77DE71" w14:textId="77777777" w:rsidR="00DB6E47" w:rsidRPr="007D116E" w:rsidRDefault="00DB6E47" w:rsidP="00DB6E47">
      <w:pPr>
        <w:pStyle w:val="Apara"/>
      </w:pPr>
      <w:r w:rsidRPr="007D116E">
        <w:lastRenderedPageBreak/>
        <w:tab/>
        <w:t>(c)</w:t>
      </w:r>
      <w:r w:rsidRPr="007D116E">
        <w:tab/>
        <w:t>the Regulator is satisfied all other consents required for the authorisation under the law of the relevant jurisdiction have been obtained or given.</w:t>
      </w:r>
    </w:p>
    <w:p w14:paraId="409D84FE" w14:textId="77777777" w:rsidR="00DB6E47" w:rsidRPr="003F319E" w:rsidRDefault="00DB6E47" w:rsidP="00DB6E47">
      <w:pPr>
        <w:pStyle w:val="Amain"/>
      </w:pPr>
      <w:r w:rsidRPr="003F319E">
        <w:tab/>
        <w:t>(2)</w:t>
      </w:r>
      <w:r w:rsidRPr="003F319E">
        <w:tab/>
        <w:t>In deciding whether to grant a class 2 heavy vehicle authorisation (notice), the Regulator must have regard to the approved guidelines for granting class 2 heavy vehicle authorisations.</w:t>
      </w:r>
    </w:p>
    <w:p w14:paraId="7603EC7F" w14:textId="77777777" w:rsidR="00DB6E47" w:rsidRPr="007E1F9A" w:rsidRDefault="00DB6E47" w:rsidP="00DB6E47">
      <w:pPr>
        <w:pStyle w:val="AH5Sec"/>
      </w:pPr>
      <w:bookmarkStart w:id="166" w:name="_Toc83625510"/>
      <w:r w:rsidRPr="005E03F7">
        <w:rPr>
          <w:rStyle w:val="CharSectNo"/>
        </w:rPr>
        <w:t>140</w:t>
      </w:r>
      <w:r w:rsidRPr="007E1F9A">
        <w:tab/>
        <w:t>Conditions of class 2 heavy vehicle authorisation (notice)</w:t>
      </w:r>
      <w:bookmarkEnd w:id="166"/>
    </w:p>
    <w:p w14:paraId="0F94B761" w14:textId="77777777" w:rsidR="00DB6E47" w:rsidRPr="003F319E" w:rsidRDefault="00DB6E47" w:rsidP="00DB6E47">
      <w:pPr>
        <w:pStyle w:val="Amainreturn"/>
      </w:pPr>
      <w:r w:rsidRPr="003F319E">
        <w:t>A class 2 heavy vehicle</w:t>
      </w:r>
      <w:r w:rsidR="007F0EF8">
        <w:t xml:space="preserve"> authorisation (notice)</w:t>
      </w:r>
      <w:r w:rsidRPr="003F319E">
        <w:t>—</w:t>
      </w:r>
    </w:p>
    <w:p w14:paraId="574BC5CD" w14:textId="77777777" w:rsidR="00DB6E47" w:rsidRDefault="00DB6E47" w:rsidP="00DB6E47">
      <w:pPr>
        <w:pStyle w:val="Apara"/>
      </w:pPr>
      <w:r w:rsidRPr="007D116E">
        <w:tab/>
        <w:t>(a)</w:t>
      </w:r>
      <w:r w:rsidRPr="007D116E">
        <w:tab/>
      </w:r>
      <w:r w:rsidR="007F0EF8" w:rsidRPr="007F0EF8">
        <w:t>must be subject to the road conditions or travel conditions required by a road manager for the authorisation under section</w:t>
      </w:r>
      <w:r w:rsidR="007F0EF8">
        <w:t> </w:t>
      </w:r>
      <w:r w:rsidR="007F0EF8" w:rsidRPr="007F0EF8">
        <w:t>160 or 161; and</w:t>
      </w:r>
    </w:p>
    <w:p w14:paraId="10F020D8" w14:textId="77777777" w:rsidR="007F0EF8" w:rsidRPr="00C96203" w:rsidRDefault="007F0EF8" w:rsidP="00632AAE">
      <w:pPr>
        <w:pStyle w:val="aNotepar"/>
      </w:pPr>
      <w:r w:rsidRPr="00FF4454">
        <w:rPr>
          <w:rStyle w:val="charItals"/>
        </w:rPr>
        <w:t>Note</w:t>
      </w:r>
      <w:r w:rsidRPr="00C96203">
        <w:rPr>
          <w:rFonts w:cs="Times"/>
          <w:bCs/>
          <w:iCs/>
        </w:rPr>
        <w:t>—</w:t>
      </w:r>
    </w:p>
    <w:p w14:paraId="6728AA00" w14:textId="77777777" w:rsidR="007F0EF8" w:rsidRPr="00C96203" w:rsidRDefault="007F0EF8" w:rsidP="007F0EF8">
      <w:pPr>
        <w:pStyle w:val="aNoteTextss"/>
      </w:pPr>
      <w:r>
        <w:t>Under</w:t>
      </w:r>
      <w:r>
        <w:rPr>
          <w:spacing w:val="3"/>
        </w:rPr>
        <w:t xml:space="preserve"> </w:t>
      </w:r>
      <w:r>
        <w:t>sections</w:t>
      </w:r>
      <w:r>
        <w:rPr>
          <w:spacing w:val="3"/>
        </w:rPr>
        <w:t xml:space="preserve"> </w:t>
      </w:r>
      <w:r>
        <w:t>160(1)(b)</w:t>
      </w:r>
      <w:r>
        <w:rPr>
          <w:spacing w:val="3"/>
        </w:rPr>
        <w:t xml:space="preserve"> </w:t>
      </w:r>
      <w:r>
        <w:t>and</w:t>
      </w:r>
      <w:r>
        <w:rPr>
          <w:spacing w:val="3"/>
        </w:rPr>
        <w:t xml:space="preserve"> </w:t>
      </w:r>
      <w:r>
        <w:t>(4),</w:t>
      </w:r>
      <w:r>
        <w:rPr>
          <w:spacing w:val="3"/>
        </w:rPr>
        <w:t xml:space="preserve"> </w:t>
      </w:r>
      <w:r>
        <w:t>a</w:t>
      </w:r>
      <w:r>
        <w:rPr>
          <w:spacing w:val="2"/>
        </w:rPr>
        <w:t xml:space="preserve"> </w:t>
      </w:r>
      <w:r>
        <w:t>road</w:t>
      </w:r>
      <w:r>
        <w:rPr>
          <w:spacing w:val="3"/>
        </w:rPr>
        <w:t xml:space="preserve"> </w:t>
      </w:r>
      <w:r>
        <w:t>manager</w:t>
      </w:r>
      <w:r>
        <w:rPr>
          <w:spacing w:val="27"/>
          <w:w w:val="99"/>
        </w:rPr>
        <w:t xml:space="preserve"> </w:t>
      </w:r>
      <w:r>
        <w:t>may</w:t>
      </w:r>
      <w:r>
        <w:rPr>
          <w:spacing w:val="33"/>
        </w:rPr>
        <w:t xml:space="preserve"> </w:t>
      </w:r>
      <w:r>
        <w:t>only</w:t>
      </w:r>
      <w:r>
        <w:rPr>
          <w:spacing w:val="34"/>
        </w:rPr>
        <w:t xml:space="preserve"> </w:t>
      </w:r>
      <w:r>
        <w:t>require</w:t>
      </w:r>
      <w:r>
        <w:rPr>
          <w:spacing w:val="34"/>
        </w:rPr>
        <w:t xml:space="preserve"> </w:t>
      </w:r>
      <w:r>
        <w:t>road</w:t>
      </w:r>
      <w:r>
        <w:rPr>
          <w:spacing w:val="34"/>
        </w:rPr>
        <w:t xml:space="preserve"> </w:t>
      </w:r>
      <w:r>
        <w:t>conditions</w:t>
      </w:r>
      <w:r>
        <w:rPr>
          <w:spacing w:val="33"/>
        </w:rPr>
        <w:t xml:space="preserve"> </w:t>
      </w:r>
      <w:r>
        <w:t>of</w:t>
      </w:r>
      <w:r>
        <w:rPr>
          <w:spacing w:val="33"/>
        </w:rPr>
        <w:t xml:space="preserve"> </w:t>
      </w:r>
      <w:r>
        <w:t>a</w:t>
      </w:r>
      <w:r>
        <w:rPr>
          <w:spacing w:val="34"/>
        </w:rPr>
        <w:t xml:space="preserve"> </w:t>
      </w:r>
      <w:r>
        <w:t>type</w:t>
      </w:r>
      <w:r>
        <w:rPr>
          <w:spacing w:val="27"/>
          <w:w w:val="99"/>
        </w:rPr>
        <w:t xml:space="preserve"> </w:t>
      </w:r>
      <w:r>
        <w:t>prescribed</w:t>
      </w:r>
      <w:r>
        <w:rPr>
          <w:spacing w:val="-8"/>
        </w:rPr>
        <w:t xml:space="preserve"> </w:t>
      </w:r>
      <w:r>
        <w:t>by</w:t>
      </w:r>
      <w:r>
        <w:rPr>
          <w:spacing w:val="-7"/>
        </w:rPr>
        <w:t xml:space="preserve"> </w:t>
      </w:r>
      <w:r>
        <w:t>the</w:t>
      </w:r>
      <w:r>
        <w:rPr>
          <w:spacing w:val="-7"/>
        </w:rPr>
        <w:t xml:space="preserve"> </w:t>
      </w:r>
      <w:r>
        <w:t>national</w:t>
      </w:r>
      <w:r>
        <w:rPr>
          <w:spacing w:val="-7"/>
        </w:rPr>
        <w:t xml:space="preserve"> </w:t>
      </w:r>
      <w:r>
        <w:rPr>
          <w:spacing w:val="-1"/>
        </w:rPr>
        <w:t>regulations.</w:t>
      </w:r>
    </w:p>
    <w:p w14:paraId="1E0EB04C" w14:textId="77777777" w:rsidR="00DB6E47" w:rsidRDefault="00DB6E47" w:rsidP="00CD357F">
      <w:pPr>
        <w:pStyle w:val="Apara"/>
        <w:keepNext/>
      </w:pPr>
      <w:r w:rsidRPr="007D116E">
        <w:tab/>
        <w:t>(b)</w:t>
      </w:r>
      <w:r w:rsidRPr="007D116E">
        <w:tab/>
      </w:r>
      <w:r w:rsidR="007F0EF8">
        <w:rPr>
          <w:spacing w:val="-1"/>
        </w:rPr>
        <w:t>may</w:t>
      </w:r>
      <w:r w:rsidR="007F0EF8">
        <w:rPr>
          <w:spacing w:val="41"/>
        </w:rPr>
        <w:t xml:space="preserve"> </w:t>
      </w:r>
      <w:r w:rsidR="007F0EF8">
        <w:rPr>
          <w:spacing w:val="-1"/>
        </w:rPr>
        <w:t>be</w:t>
      </w:r>
      <w:r w:rsidR="007F0EF8">
        <w:rPr>
          <w:spacing w:val="41"/>
        </w:rPr>
        <w:t xml:space="preserve"> </w:t>
      </w:r>
      <w:r w:rsidR="007F0EF8">
        <w:rPr>
          <w:spacing w:val="-1"/>
        </w:rPr>
        <w:t>subject</w:t>
      </w:r>
      <w:r w:rsidR="007F0EF8">
        <w:rPr>
          <w:spacing w:val="41"/>
        </w:rPr>
        <w:t xml:space="preserve"> </w:t>
      </w:r>
      <w:r w:rsidR="007F0EF8">
        <w:rPr>
          <w:spacing w:val="-1"/>
        </w:rPr>
        <w:t>to</w:t>
      </w:r>
      <w:r w:rsidR="007F0EF8">
        <w:rPr>
          <w:spacing w:val="41"/>
        </w:rPr>
        <w:t xml:space="preserve"> </w:t>
      </w:r>
      <w:r w:rsidR="007F0EF8">
        <w:rPr>
          <w:spacing w:val="-1"/>
        </w:rPr>
        <w:t>other</w:t>
      </w:r>
      <w:r w:rsidR="007F0EF8">
        <w:rPr>
          <w:spacing w:val="41"/>
        </w:rPr>
        <w:t xml:space="preserve"> </w:t>
      </w:r>
      <w:r w:rsidR="007F0EF8">
        <w:rPr>
          <w:spacing w:val="-1"/>
        </w:rPr>
        <w:t>conditions</w:t>
      </w:r>
      <w:r w:rsidR="007F0EF8">
        <w:rPr>
          <w:spacing w:val="41"/>
        </w:rPr>
        <w:t xml:space="preserve"> </w:t>
      </w:r>
      <w:r w:rsidR="007F0EF8">
        <w:rPr>
          <w:spacing w:val="-1"/>
        </w:rPr>
        <w:t>the</w:t>
      </w:r>
      <w:r w:rsidR="007F0EF8">
        <w:rPr>
          <w:spacing w:val="26"/>
        </w:rPr>
        <w:t xml:space="preserve"> </w:t>
      </w:r>
      <w:r w:rsidR="007F0EF8">
        <w:rPr>
          <w:spacing w:val="-2"/>
        </w:rPr>
        <w:t>regulator</w:t>
      </w:r>
      <w:r w:rsidR="007F0EF8">
        <w:rPr>
          <w:spacing w:val="3"/>
        </w:rPr>
        <w:t xml:space="preserve"> </w:t>
      </w:r>
      <w:r w:rsidR="007F0EF8">
        <w:rPr>
          <w:spacing w:val="-1"/>
        </w:rPr>
        <w:t>considers</w:t>
      </w:r>
      <w:r w:rsidR="007F0EF8">
        <w:rPr>
          <w:spacing w:val="5"/>
        </w:rPr>
        <w:t xml:space="preserve"> </w:t>
      </w:r>
      <w:r w:rsidR="007F0EF8">
        <w:rPr>
          <w:spacing w:val="-1"/>
        </w:rPr>
        <w:t>appropriate,</w:t>
      </w:r>
      <w:r w:rsidR="007F0EF8">
        <w:rPr>
          <w:spacing w:val="4"/>
        </w:rPr>
        <w:t xml:space="preserve"> </w:t>
      </w:r>
      <w:r w:rsidR="007F0EF8">
        <w:rPr>
          <w:spacing w:val="-1"/>
        </w:rPr>
        <w:t>including,</w:t>
      </w:r>
      <w:r w:rsidR="007F0EF8">
        <w:rPr>
          <w:spacing w:val="29"/>
        </w:rPr>
        <w:t xml:space="preserve"> </w:t>
      </w:r>
      <w:r w:rsidR="007F0EF8">
        <w:rPr>
          <w:spacing w:val="-1"/>
        </w:rPr>
        <w:t>for</w:t>
      </w:r>
      <w:r w:rsidR="007F0EF8">
        <w:rPr>
          <w:spacing w:val="11"/>
        </w:rPr>
        <w:t xml:space="preserve"> </w:t>
      </w:r>
      <w:r w:rsidR="007F0EF8">
        <w:rPr>
          <w:spacing w:val="-2"/>
        </w:rPr>
        <w:t>example,</w:t>
      </w:r>
      <w:r w:rsidR="007F0EF8">
        <w:rPr>
          <w:spacing w:val="11"/>
        </w:rPr>
        <w:t xml:space="preserve"> </w:t>
      </w:r>
      <w:r w:rsidR="007F0EF8">
        <w:t>a</w:t>
      </w:r>
      <w:r w:rsidR="007F0EF8">
        <w:rPr>
          <w:spacing w:val="11"/>
        </w:rPr>
        <w:t xml:space="preserve"> </w:t>
      </w:r>
      <w:r w:rsidR="007F0EF8">
        <w:rPr>
          <w:spacing w:val="-1"/>
        </w:rPr>
        <w:t>condition</w:t>
      </w:r>
      <w:r w:rsidR="007F0EF8">
        <w:rPr>
          <w:spacing w:val="11"/>
        </w:rPr>
        <w:t xml:space="preserve"> </w:t>
      </w:r>
      <w:r w:rsidR="007F0EF8">
        <w:rPr>
          <w:spacing w:val="-1"/>
        </w:rPr>
        <w:t>that</w:t>
      </w:r>
      <w:r w:rsidR="007F0EF8">
        <w:rPr>
          <w:spacing w:val="11"/>
        </w:rPr>
        <w:t xml:space="preserve"> </w:t>
      </w:r>
      <w:r w:rsidR="007F0EF8">
        <w:rPr>
          <w:spacing w:val="-1"/>
        </w:rPr>
        <w:t>the</w:t>
      </w:r>
      <w:r w:rsidR="007F0EF8">
        <w:rPr>
          <w:spacing w:val="11"/>
        </w:rPr>
        <w:t xml:space="preserve"> </w:t>
      </w:r>
      <w:r w:rsidR="007F0EF8">
        <w:rPr>
          <w:spacing w:val="-3"/>
        </w:rPr>
        <w:t>driver</w:t>
      </w:r>
      <w:r w:rsidR="007F0EF8">
        <w:rPr>
          <w:spacing w:val="11"/>
        </w:rPr>
        <w:t xml:space="preserve"> </w:t>
      </w:r>
      <w:r w:rsidR="007F0EF8">
        <w:rPr>
          <w:spacing w:val="-1"/>
        </w:rPr>
        <w:t>of</w:t>
      </w:r>
      <w:r w:rsidR="007F0EF8">
        <w:rPr>
          <w:spacing w:val="11"/>
        </w:rPr>
        <w:t xml:space="preserve"> </w:t>
      </w:r>
      <w:r w:rsidR="007F0EF8">
        <w:t>a</w:t>
      </w:r>
      <w:r w:rsidR="007F0EF8">
        <w:rPr>
          <w:spacing w:val="33"/>
        </w:rPr>
        <w:t xml:space="preserve"> </w:t>
      </w:r>
      <w:r w:rsidR="007F0EF8">
        <w:t>class</w:t>
      </w:r>
      <w:r w:rsidR="007F0EF8">
        <w:rPr>
          <w:spacing w:val="2"/>
        </w:rPr>
        <w:t xml:space="preserve"> </w:t>
      </w:r>
      <w:r w:rsidR="007F0EF8">
        <w:t>2</w:t>
      </w:r>
      <w:r w:rsidR="007F0EF8">
        <w:rPr>
          <w:spacing w:val="2"/>
        </w:rPr>
        <w:t xml:space="preserve"> </w:t>
      </w:r>
      <w:r w:rsidR="007F0EF8">
        <w:rPr>
          <w:spacing w:val="-2"/>
        </w:rPr>
        <w:t>heavy</w:t>
      </w:r>
      <w:r w:rsidR="007F0EF8">
        <w:rPr>
          <w:spacing w:val="2"/>
        </w:rPr>
        <w:t xml:space="preserve"> </w:t>
      </w:r>
      <w:r w:rsidR="007F0EF8">
        <w:rPr>
          <w:spacing w:val="-1"/>
        </w:rPr>
        <w:t>vehicle</w:t>
      </w:r>
      <w:r w:rsidR="007F0EF8">
        <w:rPr>
          <w:spacing w:val="2"/>
        </w:rPr>
        <w:t xml:space="preserve"> </w:t>
      </w:r>
      <w:r w:rsidR="007F0EF8">
        <w:t>who</w:t>
      </w:r>
      <w:r w:rsidR="007F0EF8">
        <w:rPr>
          <w:spacing w:val="2"/>
        </w:rPr>
        <w:t xml:space="preserve"> </w:t>
      </w:r>
      <w:r w:rsidR="007F0EF8">
        <w:t>is</w:t>
      </w:r>
      <w:r w:rsidR="007F0EF8">
        <w:rPr>
          <w:spacing w:val="2"/>
        </w:rPr>
        <w:t xml:space="preserve"> </w:t>
      </w:r>
      <w:r w:rsidR="007F0EF8">
        <w:rPr>
          <w:spacing w:val="-1"/>
        </w:rPr>
        <w:t>driving</w:t>
      </w:r>
      <w:r w:rsidR="007F0EF8">
        <w:rPr>
          <w:spacing w:val="2"/>
        </w:rPr>
        <w:t xml:space="preserve"> </w:t>
      </w:r>
      <w:r w:rsidR="007F0EF8">
        <w:t>the</w:t>
      </w:r>
      <w:r w:rsidR="007F0EF8">
        <w:rPr>
          <w:spacing w:val="28"/>
        </w:rPr>
        <w:t xml:space="preserve"> </w:t>
      </w:r>
      <w:r w:rsidR="007F0EF8">
        <w:rPr>
          <w:spacing w:val="-2"/>
        </w:rPr>
        <w:t>vehicle</w:t>
      </w:r>
      <w:r w:rsidR="007F0EF8">
        <w:rPr>
          <w:spacing w:val="2"/>
        </w:rPr>
        <w:t xml:space="preserve"> </w:t>
      </w:r>
      <w:r w:rsidR="007F0EF8">
        <w:rPr>
          <w:spacing w:val="-1"/>
        </w:rPr>
        <w:t>under</w:t>
      </w:r>
      <w:r w:rsidR="007F0EF8">
        <w:rPr>
          <w:spacing w:val="2"/>
        </w:rPr>
        <w:t xml:space="preserve"> </w:t>
      </w:r>
      <w:r w:rsidR="007F0EF8">
        <w:rPr>
          <w:spacing w:val="-1"/>
        </w:rPr>
        <w:t>the</w:t>
      </w:r>
      <w:r w:rsidR="007F0EF8">
        <w:rPr>
          <w:spacing w:val="2"/>
        </w:rPr>
        <w:t xml:space="preserve"> </w:t>
      </w:r>
      <w:r w:rsidR="007F0EF8">
        <w:rPr>
          <w:spacing w:val="-1"/>
        </w:rPr>
        <w:t>authorisation</w:t>
      </w:r>
      <w:r w:rsidR="007F0EF8">
        <w:rPr>
          <w:spacing w:val="2"/>
        </w:rPr>
        <w:t xml:space="preserve"> </w:t>
      </w:r>
      <w:r w:rsidR="007F0EF8">
        <w:rPr>
          <w:spacing w:val="-1"/>
        </w:rPr>
        <w:t>must</w:t>
      </w:r>
      <w:r w:rsidR="007F0EF8">
        <w:rPr>
          <w:spacing w:val="2"/>
        </w:rPr>
        <w:t xml:space="preserve"> </w:t>
      </w:r>
      <w:r w:rsidR="007F0EF8">
        <w:rPr>
          <w:spacing w:val="-1"/>
        </w:rPr>
        <w:t>keep</w:t>
      </w:r>
      <w:r w:rsidR="007F0EF8">
        <w:rPr>
          <w:spacing w:val="2"/>
        </w:rPr>
        <w:t xml:space="preserve"> </w:t>
      </w:r>
      <w:r w:rsidR="007F0EF8">
        <w:rPr>
          <w:spacing w:val="-1"/>
        </w:rPr>
        <w:t>in</w:t>
      </w:r>
      <w:r w:rsidR="007F0EF8">
        <w:rPr>
          <w:spacing w:val="20"/>
        </w:rPr>
        <w:t xml:space="preserve"> </w:t>
      </w:r>
      <w:r w:rsidR="007F0EF8">
        <w:rPr>
          <w:spacing w:val="-1"/>
        </w:rPr>
        <w:t>the</w:t>
      </w:r>
      <w:r w:rsidR="007F0EF8">
        <w:t xml:space="preserve"> </w:t>
      </w:r>
      <w:r w:rsidR="007F0EF8">
        <w:rPr>
          <w:spacing w:val="-4"/>
        </w:rPr>
        <w:t>driver’s</w:t>
      </w:r>
      <w:r w:rsidR="007F0EF8">
        <w:t xml:space="preserve"> possession a </w:t>
      </w:r>
      <w:r w:rsidR="007F0EF8">
        <w:rPr>
          <w:spacing w:val="-1"/>
        </w:rPr>
        <w:t>copy</w:t>
      </w:r>
      <w:r w:rsidR="007F0EF8">
        <w:t xml:space="preserve"> of—</w:t>
      </w:r>
    </w:p>
    <w:p w14:paraId="348E1579" w14:textId="77777777" w:rsidR="00071813" w:rsidRPr="00071813" w:rsidRDefault="00071813" w:rsidP="00071813">
      <w:pPr>
        <w:pStyle w:val="Asubpara"/>
      </w:pPr>
      <w:r>
        <w:tab/>
        <w:t>(i)</w:t>
      </w:r>
      <w:r>
        <w:tab/>
      </w:r>
      <w:r w:rsidRPr="00071813">
        <w:t>the Commonwealth Gazette notice for the authorisation; or</w:t>
      </w:r>
    </w:p>
    <w:p w14:paraId="49DA8FD5" w14:textId="77777777" w:rsidR="00071813" w:rsidRPr="00071813" w:rsidRDefault="00071813" w:rsidP="00071813">
      <w:pPr>
        <w:pStyle w:val="Asubpara"/>
      </w:pPr>
      <w:r w:rsidRPr="00071813">
        <w:tab/>
        <w:t>(ii)</w:t>
      </w:r>
      <w:r w:rsidRPr="00071813">
        <w:tab/>
        <w:t>an information sheet about the authorisation published by the Regulator on the Regulator’s website.</w:t>
      </w:r>
    </w:p>
    <w:p w14:paraId="60CCC627" w14:textId="77777777" w:rsidR="00DB6E47" w:rsidRPr="007E1F9A" w:rsidRDefault="00DB6E47" w:rsidP="00DB6E47">
      <w:pPr>
        <w:pStyle w:val="AH5Sec"/>
      </w:pPr>
      <w:bookmarkStart w:id="167" w:name="_Toc83625511"/>
      <w:r w:rsidRPr="005E03F7">
        <w:rPr>
          <w:rStyle w:val="CharSectNo"/>
        </w:rPr>
        <w:t>141</w:t>
      </w:r>
      <w:r w:rsidRPr="007E1F9A">
        <w:tab/>
        <w:t>Period for which class 2 heavy vehicle authorisation (notice) applies</w:t>
      </w:r>
      <w:bookmarkEnd w:id="167"/>
    </w:p>
    <w:p w14:paraId="2ADAB5F6" w14:textId="77777777" w:rsidR="00DB6E47" w:rsidRPr="003F319E" w:rsidRDefault="00DB6E47" w:rsidP="00DB6E47">
      <w:pPr>
        <w:pStyle w:val="Amainreturn"/>
      </w:pPr>
      <w:r w:rsidRPr="003F319E">
        <w:t>A class 2 heavy vehicle authorisation (notice)—</w:t>
      </w:r>
    </w:p>
    <w:p w14:paraId="23837882" w14:textId="77777777" w:rsidR="00DB6E47" w:rsidRPr="007D116E" w:rsidRDefault="00DB6E47" w:rsidP="00DB6E47">
      <w:pPr>
        <w:pStyle w:val="Apara"/>
      </w:pPr>
      <w:r w:rsidRPr="007D116E">
        <w:tab/>
        <w:t>(a)</w:t>
      </w:r>
      <w:r w:rsidRPr="007D116E">
        <w:tab/>
        <w:t>takes effect—</w:t>
      </w:r>
    </w:p>
    <w:p w14:paraId="05B2DA6A" w14:textId="77777777" w:rsidR="00DB6E47" w:rsidRPr="00516F02" w:rsidRDefault="00DB6E47" w:rsidP="00DB6E47">
      <w:pPr>
        <w:pStyle w:val="Asubpara"/>
      </w:pPr>
      <w:r w:rsidRPr="00516F02">
        <w:tab/>
        <w:t>(i)</w:t>
      </w:r>
      <w:r w:rsidRPr="00516F02">
        <w:tab/>
        <w:t>when the Commonwealth Gazette notice for the authorisation is published; or</w:t>
      </w:r>
    </w:p>
    <w:p w14:paraId="3971B70D" w14:textId="77777777" w:rsidR="00DB6E47" w:rsidRPr="00516F02" w:rsidRDefault="00DB6E47" w:rsidP="00DB6E47">
      <w:pPr>
        <w:pStyle w:val="Asubpara"/>
      </w:pPr>
      <w:r w:rsidRPr="00516F02">
        <w:lastRenderedPageBreak/>
        <w:tab/>
        <w:t>(ii)</w:t>
      </w:r>
      <w:r w:rsidRPr="00516F02">
        <w:tab/>
        <w:t>if a later time is stated in the Commonwealth Gazette notice, at the later time; and</w:t>
      </w:r>
    </w:p>
    <w:p w14:paraId="5A883D72" w14:textId="77777777" w:rsidR="00DB6E47" w:rsidRPr="007D116E" w:rsidRDefault="00DB6E47" w:rsidP="00DB6E47">
      <w:pPr>
        <w:pStyle w:val="Apara"/>
      </w:pPr>
      <w:r w:rsidRPr="007D116E">
        <w:tab/>
        <w:t>(b)</w:t>
      </w:r>
      <w:r w:rsidRPr="007D116E">
        <w:tab/>
        <w:t>applies for the period stated in the Commonwealth Gazette notice.</w:t>
      </w:r>
    </w:p>
    <w:p w14:paraId="37AA2272" w14:textId="77777777" w:rsidR="00DB6E47" w:rsidRPr="007E1F9A" w:rsidRDefault="00DB6E47" w:rsidP="00DB6E47">
      <w:pPr>
        <w:pStyle w:val="AH5Sec"/>
      </w:pPr>
      <w:bookmarkStart w:id="168" w:name="_Toc83625512"/>
      <w:r w:rsidRPr="005E03F7">
        <w:rPr>
          <w:rStyle w:val="CharSectNo"/>
        </w:rPr>
        <w:t>142</w:t>
      </w:r>
      <w:r w:rsidRPr="007E1F9A">
        <w:tab/>
        <w:t>Requirements about Commonwealth Gazette notice etc.</w:t>
      </w:r>
      <w:bookmarkEnd w:id="168"/>
    </w:p>
    <w:p w14:paraId="14F835B3" w14:textId="77777777" w:rsidR="00DB6E47" w:rsidRPr="003F319E" w:rsidRDefault="00DB6E47" w:rsidP="00DB6E47">
      <w:pPr>
        <w:pStyle w:val="Amain"/>
      </w:pPr>
      <w:r w:rsidRPr="003F319E">
        <w:tab/>
        <w:t>(1)</w:t>
      </w:r>
      <w:r w:rsidRPr="003F319E">
        <w:tab/>
        <w:t>A Commonwealth Gazette notice for a class 2 heavy vehicle authorisation (notice) must state the following—</w:t>
      </w:r>
    </w:p>
    <w:p w14:paraId="1130D60B" w14:textId="77777777" w:rsidR="00DB6E47" w:rsidRPr="007D116E" w:rsidRDefault="00DB6E47" w:rsidP="00DB6E47">
      <w:pPr>
        <w:pStyle w:val="Apara"/>
      </w:pPr>
      <w:r w:rsidRPr="007D116E">
        <w:tab/>
        <w:t>(a)</w:t>
      </w:r>
      <w:r w:rsidRPr="007D116E">
        <w:tab/>
        <w:t>that the authorisation applies to all class 2 heavy vehicles or, if the authorisation only applies to particular categories of class 2 heavy vehicles, the categories of class 2 heavy vehicles to which the authorisation applies;</w:t>
      </w:r>
    </w:p>
    <w:p w14:paraId="19901873" w14:textId="77777777" w:rsidR="00DB6E47" w:rsidRPr="007D116E" w:rsidRDefault="00DB6E47" w:rsidP="00DB6E47">
      <w:pPr>
        <w:pStyle w:val="Apara"/>
      </w:pPr>
      <w:r w:rsidRPr="007D116E">
        <w:tab/>
        <w:t>(b)</w:t>
      </w:r>
      <w:r w:rsidRPr="007D116E">
        <w:tab/>
        <w:t>the areas or routes to which the authorisation applies;</w:t>
      </w:r>
    </w:p>
    <w:p w14:paraId="4806ACF3" w14:textId="77777777" w:rsidR="00DB6E47" w:rsidRPr="007D116E" w:rsidRDefault="00DB6E47" w:rsidP="00DB6E47">
      <w:pPr>
        <w:pStyle w:val="Apara"/>
      </w:pPr>
      <w:r w:rsidRPr="007D116E">
        <w:tab/>
        <w:t>(c)</w:t>
      </w:r>
      <w:r w:rsidRPr="007D116E">
        <w:tab/>
        <w:t>the days and hours to which the authorisation applies;</w:t>
      </w:r>
    </w:p>
    <w:p w14:paraId="4325B075" w14:textId="77777777" w:rsidR="00DB6E47" w:rsidRPr="007D116E" w:rsidRDefault="00DB6E47" w:rsidP="00DB6E47">
      <w:pPr>
        <w:pStyle w:val="Apara"/>
      </w:pPr>
      <w:r w:rsidRPr="007D116E">
        <w:tab/>
        <w:t>(d)</w:t>
      </w:r>
      <w:r w:rsidRPr="007D116E">
        <w:tab/>
        <w:t>any conditions applying to class 2 heavy vehicles being used on a road under the authorisation;</w:t>
      </w:r>
    </w:p>
    <w:p w14:paraId="17EF4B9A" w14:textId="77777777" w:rsidR="00DB6E47" w:rsidRPr="007D116E" w:rsidRDefault="00DB6E47" w:rsidP="00DB6E47">
      <w:pPr>
        <w:pStyle w:val="Apara"/>
      </w:pPr>
      <w:r w:rsidRPr="007D116E">
        <w:tab/>
        <w:t>(e)</w:t>
      </w:r>
      <w:r w:rsidRPr="007D116E">
        <w:tab/>
        <w:t>the period for which the authorisation applies.</w:t>
      </w:r>
    </w:p>
    <w:p w14:paraId="52341747" w14:textId="77777777" w:rsidR="00DB6E47" w:rsidRDefault="00DB6E47" w:rsidP="00DB6E47">
      <w:pPr>
        <w:pStyle w:val="Amain"/>
      </w:pPr>
      <w:r w:rsidRPr="003F319E">
        <w:tab/>
        <w:t>(2)</w:t>
      </w:r>
      <w:r w:rsidRPr="003F319E">
        <w:tab/>
      </w:r>
      <w:r w:rsidR="00675292">
        <w:rPr>
          <w:spacing w:val="-3"/>
        </w:rPr>
        <w:t>Without</w:t>
      </w:r>
      <w:r w:rsidR="00675292">
        <w:rPr>
          <w:spacing w:val="18"/>
        </w:rPr>
        <w:t xml:space="preserve"> </w:t>
      </w:r>
      <w:r w:rsidR="00675292">
        <w:rPr>
          <w:spacing w:val="-1"/>
        </w:rPr>
        <w:t>limiting</w:t>
      </w:r>
      <w:r w:rsidR="00675292">
        <w:rPr>
          <w:spacing w:val="18"/>
        </w:rPr>
        <w:t xml:space="preserve"> </w:t>
      </w:r>
      <w:r w:rsidR="00675292">
        <w:rPr>
          <w:spacing w:val="-1"/>
        </w:rPr>
        <w:t>subsection</w:t>
      </w:r>
      <w:r w:rsidR="00675292">
        <w:rPr>
          <w:spacing w:val="18"/>
        </w:rPr>
        <w:t xml:space="preserve"> </w:t>
      </w:r>
      <w:r w:rsidR="00675292">
        <w:rPr>
          <w:spacing w:val="-1"/>
        </w:rPr>
        <w:t>(1)(b),</w:t>
      </w:r>
      <w:r w:rsidR="00675292">
        <w:rPr>
          <w:spacing w:val="18"/>
        </w:rPr>
        <w:t xml:space="preserve"> </w:t>
      </w:r>
      <w:r w:rsidR="00675292">
        <w:rPr>
          <w:spacing w:val="-1"/>
        </w:rPr>
        <w:t>the</w:t>
      </w:r>
      <w:r w:rsidR="00675292">
        <w:rPr>
          <w:spacing w:val="18"/>
        </w:rPr>
        <w:t xml:space="preserve"> </w:t>
      </w:r>
      <w:r w:rsidR="00675292">
        <w:rPr>
          <w:spacing w:val="-1"/>
        </w:rPr>
        <w:t>notice</w:t>
      </w:r>
      <w:r w:rsidR="00675292">
        <w:rPr>
          <w:spacing w:val="22"/>
        </w:rPr>
        <w:t xml:space="preserve"> </w:t>
      </w:r>
      <w:r w:rsidR="00675292">
        <w:rPr>
          <w:spacing w:val="-1"/>
        </w:rPr>
        <w:t>may</w:t>
      </w:r>
      <w:r w:rsidR="00675292">
        <w:rPr>
          <w:spacing w:val="-2"/>
        </w:rPr>
        <w:t xml:space="preserve"> </w:t>
      </w:r>
      <w:r w:rsidR="00675292">
        <w:rPr>
          <w:spacing w:val="-1"/>
        </w:rPr>
        <w:t>state</w:t>
      </w:r>
      <w:r w:rsidR="00675292">
        <w:rPr>
          <w:spacing w:val="-2"/>
        </w:rPr>
        <w:t xml:space="preserve"> </w:t>
      </w:r>
      <w:r w:rsidR="00675292">
        <w:rPr>
          <w:spacing w:val="-1"/>
        </w:rPr>
        <w:t>the</w:t>
      </w:r>
      <w:r w:rsidR="00675292">
        <w:rPr>
          <w:spacing w:val="-2"/>
        </w:rPr>
        <w:t xml:space="preserve"> </w:t>
      </w:r>
      <w:r w:rsidR="00675292">
        <w:rPr>
          <w:spacing w:val="-1"/>
        </w:rPr>
        <w:t>areas</w:t>
      </w:r>
      <w:r w:rsidR="00675292">
        <w:rPr>
          <w:spacing w:val="-2"/>
        </w:rPr>
        <w:t xml:space="preserve"> </w:t>
      </w:r>
      <w:r w:rsidR="00675292">
        <w:rPr>
          <w:spacing w:val="-1"/>
        </w:rPr>
        <w:t>or</w:t>
      </w:r>
      <w:r w:rsidR="00675292">
        <w:rPr>
          <w:spacing w:val="-3"/>
        </w:rPr>
        <w:t xml:space="preserve"> </w:t>
      </w:r>
      <w:r w:rsidR="00675292">
        <w:rPr>
          <w:spacing w:val="-1"/>
        </w:rPr>
        <w:t>routes</w:t>
      </w:r>
      <w:r w:rsidR="00675292">
        <w:rPr>
          <w:spacing w:val="-3"/>
        </w:rPr>
        <w:t xml:space="preserve"> </w:t>
      </w:r>
      <w:r w:rsidR="00675292">
        <w:rPr>
          <w:spacing w:val="-1"/>
        </w:rPr>
        <w:t>under</w:t>
      </w:r>
      <w:r w:rsidR="00675292">
        <w:rPr>
          <w:spacing w:val="-3"/>
        </w:rPr>
        <w:t xml:space="preserve"> </w:t>
      </w:r>
      <w:r w:rsidR="00675292">
        <w:rPr>
          <w:spacing w:val="-1"/>
        </w:rPr>
        <w:t>the</w:t>
      </w:r>
      <w:r w:rsidR="00675292">
        <w:rPr>
          <w:spacing w:val="-3"/>
        </w:rPr>
        <w:t xml:space="preserve"> </w:t>
      </w:r>
      <w:r w:rsidR="00675292">
        <w:rPr>
          <w:spacing w:val="-1"/>
        </w:rPr>
        <w:t>subsection</w:t>
      </w:r>
      <w:r w:rsidR="00675292">
        <w:rPr>
          <w:spacing w:val="28"/>
        </w:rPr>
        <w:t xml:space="preserve"> </w:t>
      </w:r>
      <w:r w:rsidR="00675292">
        <w:t>by—</w:t>
      </w:r>
    </w:p>
    <w:p w14:paraId="336DF1CF" w14:textId="77777777" w:rsidR="00675292" w:rsidRPr="00675292" w:rsidRDefault="00675292" w:rsidP="00675292">
      <w:pPr>
        <w:pStyle w:val="Apara"/>
      </w:pPr>
      <w:r>
        <w:tab/>
        <w:t>(a)</w:t>
      </w:r>
      <w:r>
        <w:tab/>
      </w:r>
      <w:r w:rsidRPr="00675292">
        <w:t>applying by reference a stated map or stated list, not in the notice, prepared and published by the relevant road authority or the Regulator; and</w:t>
      </w:r>
    </w:p>
    <w:p w14:paraId="1BE26513" w14:textId="77777777" w:rsidR="00675292" w:rsidRPr="00675292" w:rsidRDefault="00675292" w:rsidP="00675292">
      <w:pPr>
        <w:pStyle w:val="Apara"/>
      </w:pPr>
      <w:r w:rsidRPr="00675292">
        <w:tab/>
        <w:t>(b)</w:t>
      </w:r>
      <w:r w:rsidRPr="00675292">
        <w:tab/>
        <w:t>referring to the areas or routes shown on the stated map or list.</w:t>
      </w:r>
    </w:p>
    <w:p w14:paraId="574C3955" w14:textId="77777777" w:rsidR="00DB6E47" w:rsidRPr="0001078B" w:rsidRDefault="00DB6E47" w:rsidP="00DB6E47">
      <w:pPr>
        <w:pStyle w:val="Amain"/>
      </w:pPr>
      <w:r w:rsidRPr="003F319E">
        <w:tab/>
        <w:t>(3)</w:t>
      </w:r>
      <w:r w:rsidRPr="003F319E">
        <w:tab/>
      </w:r>
      <w:r w:rsidR="0001078B" w:rsidRPr="0001078B">
        <w:t>Without limiting subsection (1)(d), the notice may state road conditions or travel conditions under the subsection by referring to road conditions or travel conditions shown on a stated map or stated list applied under subsection (2)(a).</w:t>
      </w:r>
    </w:p>
    <w:p w14:paraId="22404AE5" w14:textId="77777777" w:rsidR="00DB6E47" w:rsidRDefault="00DB6E47" w:rsidP="00DB6E47">
      <w:pPr>
        <w:pStyle w:val="Amain"/>
        <w:rPr>
          <w:spacing w:val="-1"/>
        </w:rPr>
      </w:pPr>
      <w:r w:rsidRPr="003F319E">
        <w:tab/>
        <w:t>(4)</w:t>
      </w:r>
      <w:r w:rsidRPr="003F319E">
        <w:tab/>
      </w:r>
      <w:r w:rsidR="0001078B">
        <w:rPr>
          <w:spacing w:val="-1"/>
        </w:rPr>
        <w:t>The</w:t>
      </w:r>
      <w:r w:rsidR="0001078B">
        <w:rPr>
          <w:spacing w:val="15"/>
        </w:rPr>
        <w:t xml:space="preserve"> </w:t>
      </w:r>
      <w:r w:rsidR="0001078B">
        <w:rPr>
          <w:spacing w:val="-2"/>
        </w:rPr>
        <w:t>Regulator</w:t>
      </w:r>
      <w:r w:rsidR="0001078B">
        <w:rPr>
          <w:spacing w:val="15"/>
        </w:rPr>
        <w:t xml:space="preserve"> </w:t>
      </w:r>
      <w:r w:rsidR="0001078B">
        <w:rPr>
          <w:spacing w:val="-1"/>
        </w:rPr>
        <w:t>must</w:t>
      </w:r>
      <w:r w:rsidR="0001078B">
        <w:rPr>
          <w:spacing w:val="15"/>
        </w:rPr>
        <w:t xml:space="preserve"> </w:t>
      </w:r>
      <w:r w:rsidR="0001078B">
        <w:rPr>
          <w:spacing w:val="-1"/>
        </w:rPr>
        <w:t>publish</w:t>
      </w:r>
      <w:r w:rsidR="0001078B">
        <w:rPr>
          <w:spacing w:val="15"/>
        </w:rPr>
        <w:t xml:space="preserve"> </w:t>
      </w:r>
      <w:r w:rsidR="0001078B">
        <w:t>a</w:t>
      </w:r>
      <w:r w:rsidR="0001078B">
        <w:rPr>
          <w:spacing w:val="15"/>
        </w:rPr>
        <w:t xml:space="preserve"> </w:t>
      </w:r>
      <w:r w:rsidR="0001078B">
        <w:rPr>
          <w:spacing w:val="-2"/>
        </w:rPr>
        <w:t>copy</w:t>
      </w:r>
      <w:r w:rsidR="0001078B">
        <w:rPr>
          <w:spacing w:val="15"/>
        </w:rPr>
        <w:t xml:space="preserve"> </w:t>
      </w:r>
      <w:r w:rsidR="0001078B">
        <w:rPr>
          <w:spacing w:val="-1"/>
        </w:rPr>
        <w:t>of</w:t>
      </w:r>
      <w:r w:rsidR="0001078B">
        <w:rPr>
          <w:spacing w:val="15"/>
        </w:rPr>
        <w:t xml:space="preserve"> </w:t>
      </w:r>
      <w:r w:rsidR="0001078B">
        <w:rPr>
          <w:spacing w:val="-1"/>
        </w:rPr>
        <w:t>the</w:t>
      </w:r>
      <w:r w:rsidR="0001078B">
        <w:rPr>
          <w:spacing w:val="15"/>
        </w:rPr>
        <w:t xml:space="preserve"> </w:t>
      </w:r>
      <w:r w:rsidR="0001078B">
        <w:rPr>
          <w:spacing w:val="-1"/>
        </w:rPr>
        <w:t>notice</w:t>
      </w:r>
      <w:r w:rsidR="0001078B">
        <w:rPr>
          <w:spacing w:val="30"/>
        </w:rPr>
        <w:t xml:space="preserve"> </w:t>
      </w:r>
      <w:r w:rsidR="0001078B">
        <w:rPr>
          <w:spacing w:val="-1"/>
        </w:rPr>
        <w:t xml:space="preserve">on the </w:t>
      </w:r>
      <w:r w:rsidR="0001078B">
        <w:rPr>
          <w:spacing w:val="-3"/>
        </w:rPr>
        <w:t>Regulator’s</w:t>
      </w:r>
      <w:r w:rsidR="0001078B">
        <w:t xml:space="preserve"> </w:t>
      </w:r>
      <w:r w:rsidR="0001078B">
        <w:rPr>
          <w:spacing w:val="-1"/>
        </w:rPr>
        <w:t>website.</w:t>
      </w:r>
    </w:p>
    <w:p w14:paraId="178604F1" w14:textId="77777777" w:rsidR="0001078B" w:rsidRPr="003F319E" w:rsidRDefault="0001078B" w:rsidP="00DB6E47">
      <w:pPr>
        <w:pStyle w:val="Amain"/>
      </w:pPr>
      <w:r>
        <w:rPr>
          <w:spacing w:val="-1"/>
        </w:rPr>
        <w:lastRenderedPageBreak/>
        <w:tab/>
        <w:t>(5)</w:t>
      </w:r>
      <w:r>
        <w:rPr>
          <w:spacing w:val="-1"/>
        </w:rPr>
        <w:tab/>
        <w:t>If</w:t>
      </w:r>
      <w:r>
        <w:t xml:space="preserve"> the notice </w:t>
      </w:r>
      <w:r>
        <w:rPr>
          <w:spacing w:val="-1"/>
        </w:rPr>
        <w:t>applies</w:t>
      </w:r>
      <w:r>
        <w:t xml:space="preserve"> a </w:t>
      </w:r>
      <w:r>
        <w:rPr>
          <w:spacing w:val="-1"/>
        </w:rPr>
        <w:t>stated map or stated list—</w:t>
      </w:r>
    </w:p>
    <w:p w14:paraId="0B784B8C" w14:textId="77777777" w:rsidR="00DB6E47" w:rsidRPr="0001078B" w:rsidRDefault="00DB6E47" w:rsidP="00DB6E47">
      <w:pPr>
        <w:pStyle w:val="Apara"/>
      </w:pPr>
      <w:r w:rsidRPr="007D116E">
        <w:tab/>
        <w:t>(a)</w:t>
      </w:r>
      <w:r w:rsidRPr="007D116E">
        <w:tab/>
      </w:r>
      <w:r w:rsidR="0001078B" w:rsidRPr="0001078B">
        <w:t>the Regulator may amend the stated map or stated list prepared and published by it and the relevant road authority may amend the stated map or stated list prepared and published by it, but only by omitting, varying or extending—</w:t>
      </w:r>
    </w:p>
    <w:p w14:paraId="20F703F7" w14:textId="77777777" w:rsidR="0001078B" w:rsidRPr="0001078B" w:rsidRDefault="0001078B" w:rsidP="0001078B">
      <w:pPr>
        <w:pStyle w:val="Asubpara"/>
      </w:pPr>
      <w:r w:rsidRPr="0001078B">
        <w:tab/>
        <w:t>(i)</w:t>
      </w:r>
      <w:r w:rsidRPr="0001078B">
        <w:tab/>
        <w:t>the areas or routes mentioned in subsection (2)(b); or</w:t>
      </w:r>
    </w:p>
    <w:p w14:paraId="3F5FE6DC" w14:textId="77777777" w:rsidR="0001078B" w:rsidRDefault="0001078B" w:rsidP="0001078B">
      <w:pPr>
        <w:pStyle w:val="Asubpara"/>
      </w:pPr>
      <w:r w:rsidRPr="0001078B">
        <w:tab/>
        <w:t>(ii)</w:t>
      </w:r>
      <w:r w:rsidRPr="0001078B">
        <w:tab/>
        <w:t>the road conditions or travel conditions mentioned in subsection (3);</w:t>
      </w:r>
    </w:p>
    <w:p w14:paraId="5D284E60" w14:textId="77777777" w:rsidR="0001078B" w:rsidRPr="0001078B" w:rsidRDefault="0001078B" w:rsidP="00C65FF6">
      <w:pPr>
        <w:pStyle w:val="Aparareturn"/>
      </w:pPr>
      <w:r w:rsidRPr="0001078B">
        <w:t>including by adding additional areas, routes, road conditions or travel conditions; and</w:t>
      </w:r>
    </w:p>
    <w:p w14:paraId="6E53AB83" w14:textId="77777777" w:rsidR="00DB6E47" w:rsidRPr="00E55FC4" w:rsidRDefault="00DB6E47" w:rsidP="00DB6E47">
      <w:pPr>
        <w:pStyle w:val="Apara"/>
      </w:pPr>
      <w:r w:rsidRPr="007D116E">
        <w:tab/>
        <w:t>(b)</w:t>
      </w:r>
      <w:r w:rsidRPr="007D116E">
        <w:tab/>
      </w:r>
      <w:r w:rsidR="0001078B" w:rsidRPr="00E55FC4">
        <w:t>the Regulator must ensure a copy of the stated map or stated list as in force from time to time is—</w:t>
      </w:r>
    </w:p>
    <w:p w14:paraId="1AE7BD59" w14:textId="77777777" w:rsidR="00DB6E47" w:rsidRPr="00E55FC4" w:rsidRDefault="00DB6E47" w:rsidP="00DB6E47">
      <w:pPr>
        <w:pStyle w:val="Asubpara"/>
      </w:pPr>
      <w:r w:rsidRPr="00E55FC4">
        <w:tab/>
        <w:t>(i)</w:t>
      </w:r>
      <w:r w:rsidRPr="00E55FC4">
        <w:tab/>
      </w:r>
      <w:r w:rsidR="0001078B" w:rsidRPr="00E55FC4">
        <w:t>made available for inspection, without charge, during normal business hours at each office of the Regulator; and</w:t>
      </w:r>
    </w:p>
    <w:p w14:paraId="4757C371" w14:textId="77777777" w:rsidR="00DB6E47" w:rsidRDefault="00DB6E47" w:rsidP="00DB6E47">
      <w:pPr>
        <w:pStyle w:val="Asubpara"/>
      </w:pPr>
      <w:r w:rsidRPr="00E55FC4">
        <w:tab/>
        <w:t>(ii)</w:t>
      </w:r>
      <w:r w:rsidRPr="00E55FC4">
        <w:tab/>
      </w:r>
      <w:r w:rsidR="00E55FC4" w:rsidRPr="00E55FC4">
        <w:t>published on the Regulator’s website or published by way of a reference or link published on the Regulator’s website.</w:t>
      </w:r>
    </w:p>
    <w:p w14:paraId="0CF1A42A" w14:textId="77777777" w:rsidR="004535E6" w:rsidRDefault="004535E6" w:rsidP="004535E6">
      <w:pPr>
        <w:pStyle w:val="aNotepar"/>
      </w:pPr>
      <w:r w:rsidRPr="004535E6">
        <w:rPr>
          <w:rStyle w:val="charItals"/>
        </w:rPr>
        <w:t>Note</w:t>
      </w:r>
      <w:r w:rsidRPr="004535E6">
        <w:t>—</w:t>
      </w:r>
    </w:p>
    <w:p w14:paraId="2D339821" w14:textId="77777777" w:rsidR="004535E6" w:rsidRPr="004535E6" w:rsidRDefault="004535E6" w:rsidP="004535E6">
      <w:pPr>
        <w:pStyle w:val="aNoteTextss"/>
      </w:pPr>
      <w:r w:rsidRPr="004535E6">
        <w:t>The Regulator must publish a stated map or stated list whether the Regulator or a relevant road authority originally prepared and published it as mentioned in subsection (2).</w:t>
      </w:r>
    </w:p>
    <w:p w14:paraId="2F5FFEA9" w14:textId="77777777" w:rsidR="00DB6E47" w:rsidRDefault="00E55FC4" w:rsidP="00DB6E47">
      <w:pPr>
        <w:pStyle w:val="Amain"/>
        <w:rPr>
          <w:spacing w:val="-1"/>
        </w:rPr>
      </w:pPr>
      <w:r>
        <w:tab/>
        <w:t>(6</w:t>
      </w:r>
      <w:r w:rsidR="00DB6E47" w:rsidRPr="003F319E">
        <w:t>)</w:t>
      </w:r>
      <w:r w:rsidR="00DB6E47" w:rsidRPr="003F319E">
        <w:tab/>
      </w:r>
      <w:r>
        <w:rPr>
          <w:spacing w:val="-1"/>
        </w:rPr>
        <w:t>Despite</w:t>
      </w:r>
      <w:r>
        <w:rPr>
          <w:spacing w:val="35"/>
        </w:rPr>
        <w:t xml:space="preserve"> </w:t>
      </w:r>
      <w:r>
        <w:rPr>
          <w:spacing w:val="-1"/>
        </w:rPr>
        <w:t>subsection</w:t>
      </w:r>
      <w:r>
        <w:rPr>
          <w:spacing w:val="35"/>
        </w:rPr>
        <w:t xml:space="preserve"> </w:t>
      </w:r>
      <w:r>
        <w:rPr>
          <w:spacing w:val="-1"/>
        </w:rPr>
        <w:t>(5)(a),</w:t>
      </w:r>
      <w:r>
        <w:rPr>
          <w:spacing w:val="35"/>
        </w:rPr>
        <w:t xml:space="preserve"> </w:t>
      </w:r>
      <w:r>
        <w:t>a</w:t>
      </w:r>
      <w:r>
        <w:rPr>
          <w:spacing w:val="35"/>
        </w:rPr>
        <w:t xml:space="preserve"> </w:t>
      </w:r>
      <w:r>
        <w:rPr>
          <w:spacing w:val="-1"/>
        </w:rPr>
        <w:t>road</w:t>
      </w:r>
      <w:r>
        <w:rPr>
          <w:spacing w:val="35"/>
        </w:rPr>
        <w:t xml:space="preserve"> </w:t>
      </w:r>
      <w:r>
        <w:rPr>
          <w:spacing w:val="-1"/>
        </w:rPr>
        <w:t>authority</w:t>
      </w:r>
      <w:r>
        <w:rPr>
          <w:spacing w:val="35"/>
        </w:rPr>
        <w:t xml:space="preserve"> </w:t>
      </w:r>
      <w:r>
        <w:rPr>
          <w:spacing w:val="-1"/>
        </w:rPr>
        <w:t>may</w:t>
      </w:r>
      <w:r>
        <w:rPr>
          <w:spacing w:val="25"/>
        </w:rPr>
        <w:t xml:space="preserve"> </w:t>
      </w:r>
      <w:r>
        <w:rPr>
          <w:spacing w:val="-1"/>
        </w:rPr>
        <w:t>only</w:t>
      </w:r>
      <w:r>
        <w:rPr>
          <w:spacing w:val="19"/>
        </w:rPr>
        <w:t xml:space="preserve"> </w:t>
      </w:r>
      <w:r>
        <w:rPr>
          <w:spacing w:val="-1"/>
        </w:rPr>
        <w:t>amend</w:t>
      </w:r>
      <w:r>
        <w:rPr>
          <w:spacing w:val="19"/>
        </w:rPr>
        <w:t xml:space="preserve"> </w:t>
      </w:r>
      <w:r>
        <w:t>a</w:t>
      </w:r>
      <w:r>
        <w:rPr>
          <w:spacing w:val="19"/>
        </w:rPr>
        <w:t xml:space="preserve"> </w:t>
      </w:r>
      <w:r>
        <w:rPr>
          <w:spacing w:val="-1"/>
        </w:rPr>
        <w:t>map</w:t>
      </w:r>
      <w:r>
        <w:rPr>
          <w:spacing w:val="19"/>
        </w:rPr>
        <w:t xml:space="preserve"> </w:t>
      </w:r>
      <w:r>
        <w:rPr>
          <w:spacing w:val="-1"/>
        </w:rPr>
        <w:t>or</w:t>
      </w:r>
      <w:r>
        <w:rPr>
          <w:spacing w:val="19"/>
        </w:rPr>
        <w:t xml:space="preserve"> </w:t>
      </w:r>
      <w:r>
        <w:rPr>
          <w:spacing w:val="-1"/>
        </w:rPr>
        <w:t>list</w:t>
      </w:r>
      <w:r>
        <w:rPr>
          <w:spacing w:val="19"/>
        </w:rPr>
        <w:t xml:space="preserve"> </w:t>
      </w:r>
      <w:r>
        <w:rPr>
          <w:spacing w:val="-1"/>
        </w:rPr>
        <w:t>in</w:t>
      </w:r>
      <w:r>
        <w:rPr>
          <w:spacing w:val="19"/>
        </w:rPr>
        <w:t xml:space="preserve"> </w:t>
      </w:r>
      <w:r>
        <w:t>a</w:t>
      </w:r>
      <w:r>
        <w:rPr>
          <w:spacing w:val="19"/>
        </w:rPr>
        <w:t xml:space="preserve"> </w:t>
      </w:r>
      <w:r>
        <w:rPr>
          <w:spacing w:val="-1"/>
        </w:rPr>
        <w:t>way</w:t>
      </w:r>
      <w:r>
        <w:rPr>
          <w:spacing w:val="19"/>
        </w:rPr>
        <w:t xml:space="preserve"> </w:t>
      </w:r>
      <w:r>
        <w:rPr>
          <w:spacing w:val="-1"/>
        </w:rPr>
        <w:t>that</w:t>
      </w:r>
      <w:r>
        <w:rPr>
          <w:spacing w:val="19"/>
        </w:rPr>
        <w:t xml:space="preserve"> </w:t>
      </w:r>
      <w:r>
        <w:rPr>
          <w:spacing w:val="-2"/>
        </w:rPr>
        <w:t>affects</w:t>
      </w:r>
      <w:r>
        <w:rPr>
          <w:spacing w:val="19"/>
        </w:rPr>
        <w:t xml:space="preserve"> </w:t>
      </w:r>
      <w:r>
        <w:t>a</w:t>
      </w:r>
      <w:r>
        <w:rPr>
          <w:spacing w:val="21"/>
        </w:rPr>
        <w:t xml:space="preserve"> </w:t>
      </w:r>
      <w:r>
        <w:rPr>
          <w:spacing w:val="-1"/>
        </w:rPr>
        <w:t>particular road if—</w:t>
      </w:r>
    </w:p>
    <w:p w14:paraId="10B9569D" w14:textId="77777777" w:rsidR="004535E6" w:rsidRPr="004535E6" w:rsidRDefault="004535E6" w:rsidP="004535E6">
      <w:pPr>
        <w:pStyle w:val="Apara"/>
      </w:pPr>
      <w:r>
        <w:tab/>
        <w:t>(a)</w:t>
      </w:r>
      <w:r>
        <w:tab/>
      </w:r>
      <w:r w:rsidRPr="004535E6">
        <w:t>the road authority is the road manager for the road; or</w:t>
      </w:r>
    </w:p>
    <w:p w14:paraId="313C87DF" w14:textId="77777777" w:rsidR="004535E6" w:rsidRPr="004535E6" w:rsidRDefault="004535E6" w:rsidP="004535E6">
      <w:pPr>
        <w:pStyle w:val="Apara"/>
      </w:pPr>
      <w:r w:rsidRPr="004535E6">
        <w:tab/>
        <w:t>(b)</w:t>
      </w:r>
      <w:r w:rsidRPr="004535E6">
        <w:tab/>
        <w:t>the road authority is not the road manager for the road and has been advised by the Regulator that the Regulator has obtained the consent of the road manager for the amendment.</w:t>
      </w:r>
    </w:p>
    <w:p w14:paraId="7A3550BF" w14:textId="77777777" w:rsidR="00DB6E47" w:rsidRPr="003F319E" w:rsidRDefault="00675292" w:rsidP="00841803">
      <w:pPr>
        <w:pStyle w:val="Amain"/>
        <w:keepNext/>
      </w:pPr>
      <w:r>
        <w:lastRenderedPageBreak/>
        <w:tab/>
        <w:t>(7</w:t>
      </w:r>
      <w:r w:rsidR="00DB6E47" w:rsidRPr="003F319E">
        <w:t>)</w:t>
      </w:r>
      <w:r w:rsidR="00DB6E47" w:rsidRPr="003F319E">
        <w:tab/>
        <w:t>In this section—</w:t>
      </w:r>
    </w:p>
    <w:p w14:paraId="6A67AE50" w14:textId="77777777" w:rsidR="00DB6E47" w:rsidRDefault="00DB6E47" w:rsidP="00841803">
      <w:pPr>
        <w:pStyle w:val="aDef"/>
        <w:keepLines/>
      </w:pPr>
      <w:r w:rsidRPr="00041046">
        <w:rPr>
          <w:rStyle w:val="charBoldItals"/>
        </w:rPr>
        <w:t>relevant road authority</w:t>
      </w:r>
      <w:r w:rsidRPr="00041046">
        <w:t>, for a class 2 heavy vehicle authorisation (notice), means the road authority for the participating jurisdiction in which the road likely to be travelled under the authorisation is situated.</w:t>
      </w:r>
    </w:p>
    <w:p w14:paraId="269727E1" w14:textId="77777777" w:rsidR="00BF2174" w:rsidRPr="00256D97" w:rsidRDefault="00BF2174" w:rsidP="00256D97">
      <w:pPr>
        <w:pStyle w:val="aDef"/>
      </w:pPr>
      <w:r w:rsidRPr="00256D97">
        <w:rPr>
          <w:rStyle w:val="charBoldItals"/>
        </w:rPr>
        <w:t>road conditions</w:t>
      </w:r>
      <w:r w:rsidRPr="00256D97">
        <w:t xml:space="preserve"> means road conditions required by the relevant road manager under section 160.</w:t>
      </w:r>
    </w:p>
    <w:p w14:paraId="0FE19D09" w14:textId="77777777" w:rsidR="00BF2174" w:rsidRDefault="00BF2174" w:rsidP="00BF2174">
      <w:pPr>
        <w:pStyle w:val="aDef"/>
      </w:pPr>
      <w:r w:rsidRPr="00256D97">
        <w:rPr>
          <w:rStyle w:val="charBoldItals"/>
        </w:rPr>
        <w:t>travel conditions</w:t>
      </w:r>
      <w:r w:rsidRPr="00256D97">
        <w:t xml:space="preserve"> means travel conditions required by the relevant road manager under section 161.</w:t>
      </w:r>
    </w:p>
    <w:p w14:paraId="5D5221E2" w14:textId="77777777" w:rsidR="0070738C" w:rsidRDefault="0070738C" w:rsidP="0070738C">
      <w:pPr>
        <w:pStyle w:val="AH5Sec"/>
      </w:pPr>
      <w:bookmarkStart w:id="169" w:name="_Toc83625513"/>
      <w:r w:rsidRPr="005E03F7">
        <w:rPr>
          <w:rStyle w:val="CharSectNo"/>
        </w:rPr>
        <w:t>142A</w:t>
      </w:r>
      <w:r>
        <w:tab/>
      </w:r>
      <w:r w:rsidRPr="00FF71CB">
        <w:t>Process for amending stated map or stated list</w:t>
      </w:r>
      <w:bookmarkEnd w:id="169"/>
    </w:p>
    <w:p w14:paraId="32EABD1C" w14:textId="77777777" w:rsidR="00FF71CB" w:rsidRPr="00012644" w:rsidRDefault="00FF71CB" w:rsidP="00FF71CB">
      <w:pPr>
        <w:pStyle w:val="Amain"/>
      </w:pPr>
      <w:r>
        <w:tab/>
        <w:t>(1)</w:t>
      </w:r>
      <w:r>
        <w:tab/>
      </w:r>
      <w:r w:rsidRPr="00012644">
        <w:t>This section applies to the amendment of a stated map or stated list mentioned in section 142.</w:t>
      </w:r>
    </w:p>
    <w:p w14:paraId="7265A520" w14:textId="77777777" w:rsidR="00FF71CB" w:rsidRPr="00012644" w:rsidRDefault="00FF71CB" w:rsidP="00FF71CB">
      <w:pPr>
        <w:pStyle w:val="Amain"/>
      </w:pPr>
      <w:r w:rsidRPr="00012644">
        <w:tab/>
        <w:t>(2)</w:t>
      </w:r>
      <w:r w:rsidRPr="00012644">
        <w:tab/>
        <w:t>For the purpose of an amendment by the Regulator only adding an additional area or route to a stated map or stated list—</w:t>
      </w:r>
    </w:p>
    <w:p w14:paraId="407CA12E" w14:textId="77777777" w:rsidR="00FF71CB" w:rsidRPr="00012644" w:rsidRDefault="00FF71CB" w:rsidP="00FF71CB">
      <w:pPr>
        <w:pStyle w:val="Apara"/>
      </w:pPr>
      <w:r w:rsidRPr="00012644">
        <w:tab/>
        <w:t>(a)</w:t>
      </w:r>
      <w:r w:rsidRPr="00012644">
        <w:tab/>
        <w:t>section 139 applies; and</w:t>
      </w:r>
    </w:p>
    <w:p w14:paraId="08403290" w14:textId="77777777" w:rsidR="00FF71CB" w:rsidRPr="00012644" w:rsidRDefault="00FF71CB" w:rsidP="00FF71CB">
      <w:pPr>
        <w:pStyle w:val="Apara"/>
      </w:pPr>
      <w:r w:rsidRPr="00012644">
        <w:tab/>
        <w:t>(b)</w:t>
      </w:r>
      <w:r w:rsidRPr="00012644">
        <w:tab/>
        <w:t>Division 2 of Part 4.7 applies to the extent the division relates to the grant of a class 2 heavy vehicle authorisation (notice); and</w:t>
      </w:r>
    </w:p>
    <w:p w14:paraId="21E0716A" w14:textId="77777777" w:rsidR="00FF71CB" w:rsidRPr="00012644" w:rsidRDefault="00FF71CB" w:rsidP="00FF71CB">
      <w:pPr>
        <w:pStyle w:val="Apara"/>
      </w:pPr>
      <w:r w:rsidRPr="00012644">
        <w:tab/>
        <w:t>(c)</w:t>
      </w:r>
      <w:r w:rsidRPr="00012644">
        <w:tab/>
        <w:t>Division 3 of Part 4.7 does not apply.</w:t>
      </w:r>
    </w:p>
    <w:p w14:paraId="3A6BC4B4" w14:textId="77777777" w:rsidR="00FF71CB" w:rsidRPr="00012644" w:rsidRDefault="00FF71CB" w:rsidP="008C2E76">
      <w:pPr>
        <w:pStyle w:val="Amain"/>
      </w:pPr>
      <w:r w:rsidRPr="00012644">
        <w:tab/>
        <w:t>(3)</w:t>
      </w:r>
      <w:r w:rsidRPr="00012644">
        <w:tab/>
        <w:t>For the purpose of subsection (2), sec</w:t>
      </w:r>
      <w:r w:rsidR="008C2E76">
        <w:t>tion 139 and Division 2 of Part </w:t>
      </w:r>
      <w:r w:rsidRPr="00012644">
        <w:t>4.7 apply as if—</w:t>
      </w:r>
    </w:p>
    <w:p w14:paraId="5365F505" w14:textId="77777777" w:rsidR="00FF71CB" w:rsidRPr="00012644" w:rsidRDefault="00FF71CB" w:rsidP="00FF71CB">
      <w:pPr>
        <w:pStyle w:val="Apara"/>
      </w:pPr>
      <w:r w:rsidRPr="00012644">
        <w:tab/>
        <w:t>(a)</w:t>
      </w:r>
      <w:r w:rsidRPr="00012644">
        <w:tab/>
        <w:t>a reference to the grant of a class 2 heavy vehicle authorisation (notice) or a mass or dimension authority were a reference to the adding of the additional area or route; and</w:t>
      </w:r>
    </w:p>
    <w:p w14:paraId="0975B389" w14:textId="77777777" w:rsidR="00FF71CB" w:rsidRPr="00012644" w:rsidRDefault="00FF71CB" w:rsidP="00FF71CB">
      <w:pPr>
        <w:pStyle w:val="Apara"/>
      </w:pPr>
      <w:r w:rsidRPr="00012644">
        <w:tab/>
        <w:t>(b)</w:t>
      </w:r>
      <w:r w:rsidRPr="00012644">
        <w:tab/>
        <w:t>a reference to the relevant road manager for a class 2 heavy vehicle authorisation (notice) or a mass or dimension authority were a reference to the relevant road manager for the authorisation or authority that applies the stated map or stated list.</w:t>
      </w:r>
    </w:p>
    <w:p w14:paraId="037545C5" w14:textId="77777777" w:rsidR="00FF71CB" w:rsidRPr="00012644" w:rsidRDefault="00FF71CB" w:rsidP="00FF71CB">
      <w:pPr>
        <w:pStyle w:val="Amain"/>
      </w:pPr>
      <w:r w:rsidRPr="00012644">
        <w:lastRenderedPageBreak/>
        <w:tab/>
        <w:t>(4)</w:t>
      </w:r>
      <w:r w:rsidRPr="00012644">
        <w:tab/>
        <w:t>For the purpose of an amendment by the relevant road authority only adding an additional area or route to, or only removing a road condition or travel condition from, a stated map or s</w:t>
      </w:r>
      <w:r w:rsidR="008C2E76">
        <w:t>tated list, section </w:t>
      </w:r>
      <w:r w:rsidRPr="00012644">
        <w:t>139 and Part 4.7 do not apply.</w:t>
      </w:r>
    </w:p>
    <w:p w14:paraId="4502567B" w14:textId="77777777" w:rsidR="00FF71CB" w:rsidRPr="00012644" w:rsidRDefault="00FF71CB" w:rsidP="00FF71CB">
      <w:pPr>
        <w:pStyle w:val="Amain"/>
      </w:pPr>
      <w:r w:rsidRPr="00012644">
        <w:tab/>
        <w:t>(5)</w:t>
      </w:r>
      <w:r w:rsidRPr="00012644">
        <w:tab/>
        <w:t>For the purpose of an amendment by the Regulator or a relevant road authority if subsections (2) to (4) do not apply, Division 3 of Part 4.7 applies to the extent the division relates to the amendment</w:t>
      </w:r>
      <w:r w:rsidR="008C2E76">
        <w:t xml:space="preserve"> of a class </w:t>
      </w:r>
      <w:r w:rsidRPr="00012644">
        <w:t>2 heavy vehicle authorisation (notice).</w:t>
      </w:r>
    </w:p>
    <w:p w14:paraId="05BC8434" w14:textId="77777777" w:rsidR="00FF71CB" w:rsidRPr="00012644" w:rsidRDefault="00FF71CB" w:rsidP="00FF71CB">
      <w:pPr>
        <w:pStyle w:val="Amain"/>
      </w:pPr>
      <w:r w:rsidRPr="00012644">
        <w:tab/>
        <w:t>(6)</w:t>
      </w:r>
      <w:r w:rsidRPr="00012644">
        <w:tab/>
        <w:t>For the purpose of subsection (5), Division 3 of Part 4.7 applies as if—</w:t>
      </w:r>
    </w:p>
    <w:p w14:paraId="2C28785D" w14:textId="77777777" w:rsidR="00FF71CB" w:rsidRPr="00012644" w:rsidRDefault="00FF71CB" w:rsidP="00FF71CB">
      <w:pPr>
        <w:pStyle w:val="Apara"/>
      </w:pPr>
      <w:r w:rsidRPr="00012644">
        <w:tab/>
        <w:t>(a)</w:t>
      </w:r>
      <w:r w:rsidRPr="00012644">
        <w:tab/>
        <w:t>a reference to the amendment of a mass or dimension authority were a reference to the amendment of the stated map or stated list; and</w:t>
      </w:r>
    </w:p>
    <w:p w14:paraId="279E477A" w14:textId="77777777" w:rsidR="00FF71CB" w:rsidRPr="00012644" w:rsidRDefault="00FF71CB" w:rsidP="00FF71CB">
      <w:pPr>
        <w:pStyle w:val="Apara"/>
      </w:pPr>
      <w:r w:rsidRPr="00012644">
        <w:tab/>
        <w:t>(b)</w:t>
      </w:r>
      <w:r w:rsidRPr="00012644">
        <w:tab/>
        <w:t>a reference to the Regulator were a reference to the Regulator or the relevant road authority, whichever is amending the stated map or stated list; and</w:t>
      </w:r>
    </w:p>
    <w:p w14:paraId="7E28D5EE" w14:textId="77777777" w:rsidR="00FF71CB" w:rsidRPr="00012644" w:rsidRDefault="00FF71CB" w:rsidP="00FF71CB">
      <w:pPr>
        <w:pStyle w:val="Apara"/>
      </w:pPr>
      <w:r w:rsidRPr="00012644">
        <w:tab/>
        <w:t>(c)</w:t>
      </w:r>
      <w:r w:rsidRPr="00012644">
        <w:tab/>
        <w:t>a reference to the relevant road manager for a mass or dimension authority were a reference to the relevant road manager for the authority that applies the stated map or stated list.</w:t>
      </w:r>
    </w:p>
    <w:p w14:paraId="7FA3F7A7" w14:textId="77777777" w:rsidR="00DB6E47" w:rsidRPr="005E03F7" w:rsidRDefault="00DB6E47" w:rsidP="00DB6E47">
      <w:pPr>
        <w:pStyle w:val="AH3Div"/>
      </w:pPr>
      <w:bookmarkStart w:id="170" w:name="_Toc83625514"/>
      <w:r w:rsidRPr="005E03F7">
        <w:rPr>
          <w:rStyle w:val="CharDivNo"/>
        </w:rPr>
        <w:t>Division 4</w:t>
      </w:r>
      <w:r w:rsidRPr="00A95F9A">
        <w:rPr>
          <w:rFonts w:ascii="Helvetica" w:hAnsi="Helvetica" w:cs="Helvetica"/>
          <w:iCs/>
          <w:szCs w:val="28"/>
        </w:rPr>
        <w:tab/>
      </w:r>
      <w:r w:rsidRPr="005E03F7">
        <w:rPr>
          <w:rStyle w:val="CharDivText"/>
          <w:rFonts w:ascii="Helvetica" w:hAnsi="Helvetica" w:cs="Helvetica"/>
          <w:iCs/>
          <w:szCs w:val="28"/>
        </w:rPr>
        <w:t>Authorisation by permit</w:t>
      </w:r>
      <w:bookmarkEnd w:id="170"/>
    </w:p>
    <w:p w14:paraId="5060CCF6" w14:textId="77777777" w:rsidR="00DB6E47" w:rsidRPr="007E1F9A" w:rsidRDefault="00DB6E47" w:rsidP="00DB6E47">
      <w:pPr>
        <w:pStyle w:val="AH5Sec"/>
      </w:pPr>
      <w:bookmarkStart w:id="171" w:name="_Toc83625515"/>
      <w:r w:rsidRPr="005E03F7">
        <w:rPr>
          <w:rStyle w:val="CharSectNo"/>
        </w:rPr>
        <w:t>143</w:t>
      </w:r>
      <w:r w:rsidRPr="007E1F9A">
        <w:tab/>
        <w:t>Regulator’s power to authorise use of a particular class 2 heavy vehicle</w:t>
      </w:r>
      <w:bookmarkEnd w:id="171"/>
    </w:p>
    <w:p w14:paraId="2CA3C69F" w14:textId="77777777" w:rsidR="00DB6E47" w:rsidRPr="003F319E" w:rsidRDefault="00DB6E47" w:rsidP="00DB6E47">
      <w:pPr>
        <w:pStyle w:val="Amain"/>
      </w:pPr>
      <w:r w:rsidRPr="003F319E">
        <w:tab/>
        <w:t>(1)</w:t>
      </w:r>
      <w:r w:rsidRPr="003F319E">
        <w:tab/>
        <w:t>The Regulator may, by giving a person a permit as mentioned in section 148, authorise, for a period of not more than 3 years, the use of a class 2 heavy vehicle—</w:t>
      </w:r>
    </w:p>
    <w:p w14:paraId="22077FA8" w14:textId="77777777" w:rsidR="00DB6E47" w:rsidRPr="00516F02" w:rsidRDefault="00DB6E47" w:rsidP="00DB6E47">
      <w:pPr>
        <w:pStyle w:val="Apara"/>
      </w:pPr>
      <w:r w:rsidRPr="00516F02">
        <w:tab/>
        <w:t>(a)</w:t>
      </w:r>
      <w:r w:rsidRPr="00516F02">
        <w:tab/>
        <w:t>in stated areas or on stated routes; and</w:t>
      </w:r>
    </w:p>
    <w:p w14:paraId="14B904DC" w14:textId="77777777" w:rsidR="00DB6E47" w:rsidRPr="00516F02" w:rsidRDefault="00DB6E47" w:rsidP="00DB6E47">
      <w:pPr>
        <w:pStyle w:val="Apara"/>
      </w:pPr>
      <w:r w:rsidRPr="00516F02">
        <w:tab/>
        <w:t>(b)</w:t>
      </w:r>
      <w:r w:rsidRPr="00516F02">
        <w:tab/>
        <w:t>during stated hours of stated days.</w:t>
      </w:r>
    </w:p>
    <w:p w14:paraId="18FC2193" w14:textId="77777777" w:rsidR="00DB6E47" w:rsidRPr="003F319E" w:rsidRDefault="00DB6E47" w:rsidP="00DB6E47">
      <w:pPr>
        <w:pStyle w:val="Amain"/>
      </w:pPr>
      <w:r w:rsidRPr="003F319E">
        <w:tab/>
        <w:t>(2)</w:t>
      </w:r>
      <w:r w:rsidRPr="003F319E">
        <w:tab/>
        <w:t>An</w:t>
      </w:r>
      <w:r w:rsidR="00D47CA2">
        <w:t xml:space="preserve"> authorisation under subsection </w:t>
      </w:r>
      <w:r w:rsidRPr="003F319E">
        <w:t>(1)</w:t>
      </w:r>
      <w:r w:rsidR="00D47CA2">
        <w:t xml:space="preserve"> </w:t>
      </w:r>
      <w:r w:rsidRPr="003F319E">
        <w:t xml:space="preserve">is a </w:t>
      </w:r>
      <w:r w:rsidRPr="00FF4454">
        <w:rPr>
          <w:rStyle w:val="charBoldItals"/>
        </w:rPr>
        <w:t>class 2 heavy vehicle authorisation (permit)</w:t>
      </w:r>
      <w:r w:rsidRPr="003F319E">
        <w:t>.</w:t>
      </w:r>
    </w:p>
    <w:p w14:paraId="1BA0B9FB" w14:textId="77777777" w:rsidR="00DB6E47" w:rsidRPr="003F319E" w:rsidRDefault="00DB6E47" w:rsidP="00DB6E47">
      <w:pPr>
        <w:pStyle w:val="Amain"/>
      </w:pPr>
      <w:r w:rsidRPr="003F319E">
        <w:lastRenderedPageBreak/>
        <w:tab/>
        <w:t>(3)</w:t>
      </w:r>
      <w:r w:rsidRPr="003F319E">
        <w:tab/>
        <w:t>A class 2 heavy vehicle authorisation (permit) may apply to 1 or more heavy vehicles.</w:t>
      </w:r>
    </w:p>
    <w:p w14:paraId="000B80CB" w14:textId="77777777" w:rsidR="00DB6E47" w:rsidRPr="00C96203" w:rsidRDefault="00DB6E47" w:rsidP="00DB6E47">
      <w:pPr>
        <w:pStyle w:val="aNote"/>
      </w:pPr>
      <w:r w:rsidRPr="00FF4454">
        <w:rPr>
          <w:rStyle w:val="charItals"/>
        </w:rPr>
        <w:t>Note</w:t>
      </w:r>
      <w:r w:rsidRPr="00C96203">
        <w:rPr>
          <w:rFonts w:cs="Times"/>
          <w:bCs/>
          <w:iCs/>
        </w:rPr>
        <w:t>—</w:t>
      </w:r>
    </w:p>
    <w:p w14:paraId="54589E79" w14:textId="77777777" w:rsidR="00DB6E47" w:rsidRPr="00C96203" w:rsidRDefault="00DB6E47" w:rsidP="00DB6E47">
      <w:pPr>
        <w:pStyle w:val="aNoteTextss"/>
      </w:pPr>
      <w:r w:rsidRPr="00C96203">
        <w:t>See Division 4 of Part 4.7 in relation to amendment, suspension or cancellation of a class 2 heavy vehicle authorisation (permit).</w:t>
      </w:r>
    </w:p>
    <w:p w14:paraId="66C460AC" w14:textId="77777777" w:rsidR="00DB6E47" w:rsidRPr="007E1F9A" w:rsidRDefault="00DB6E47" w:rsidP="00DB6E47">
      <w:pPr>
        <w:pStyle w:val="AH5Sec"/>
      </w:pPr>
      <w:bookmarkStart w:id="172" w:name="_Toc83625516"/>
      <w:r w:rsidRPr="005E03F7">
        <w:rPr>
          <w:rStyle w:val="CharSectNo"/>
        </w:rPr>
        <w:t>144</w:t>
      </w:r>
      <w:r w:rsidRPr="007E1F9A">
        <w:tab/>
        <w:t>Application for class 2 heavy vehicle authorisation (permit)</w:t>
      </w:r>
      <w:bookmarkEnd w:id="172"/>
    </w:p>
    <w:p w14:paraId="16BD905C" w14:textId="77777777" w:rsidR="00DB6E47" w:rsidRPr="003F319E" w:rsidRDefault="00DB6E47" w:rsidP="00DB6E47">
      <w:pPr>
        <w:pStyle w:val="Amain"/>
      </w:pPr>
      <w:r w:rsidRPr="003F319E">
        <w:tab/>
        <w:t>(1)</w:t>
      </w:r>
      <w:r w:rsidRPr="003F319E">
        <w:tab/>
        <w:t>A person may apply to the Regulator for a class 2 heavy vehicle authorisation (permit).</w:t>
      </w:r>
    </w:p>
    <w:p w14:paraId="0157E627" w14:textId="77777777" w:rsidR="00DB6E47" w:rsidRPr="003F319E" w:rsidRDefault="00DB6E47" w:rsidP="00DB6E47">
      <w:pPr>
        <w:pStyle w:val="Amain"/>
      </w:pPr>
      <w:r w:rsidRPr="003F319E">
        <w:tab/>
        <w:t>(2)</w:t>
      </w:r>
      <w:r w:rsidRPr="003F319E">
        <w:tab/>
        <w:t>The application must be—</w:t>
      </w:r>
    </w:p>
    <w:p w14:paraId="242519A5" w14:textId="77777777" w:rsidR="00DB6E47" w:rsidRPr="007D116E" w:rsidRDefault="00DB6E47" w:rsidP="00DB6E47">
      <w:pPr>
        <w:pStyle w:val="Apara"/>
      </w:pPr>
      <w:r w:rsidRPr="007D116E">
        <w:tab/>
        <w:t>(a)</w:t>
      </w:r>
      <w:r w:rsidRPr="007D116E">
        <w:tab/>
        <w:t>in the approved form; and</w:t>
      </w:r>
    </w:p>
    <w:p w14:paraId="3E55A09D" w14:textId="77777777" w:rsidR="00DB6E47" w:rsidRPr="007D116E" w:rsidRDefault="00DB6E47" w:rsidP="00DB6E47">
      <w:pPr>
        <w:pStyle w:val="Apara"/>
      </w:pPr>
      <w:r w:rsidRPr="007D116E">
        <w:tab/>
        <w:t>(b)</w:t>
      </w:r>
      <w:r w:rsidRPr="007D116E">
        <w:tab/>
        <w:t>accompanied by the prescribed fee for the application.</w:t>
      </w:r>
    </w:p>
    <w:p w14:paraId="75FF8BEC" w14:textId="77777777" w:rsidR="00DB6E47" w:rsidRPr="003F319E" w:rsidRDefault="00DB6E47" w:rsidP="00DB6E47">
      <w:pPr>
        <w:pStyle w:val="Amain"/>
      </w:pPr>
      <w:r w:rsidRPr="003F319E">
        <w:tab/>
        <w:t>(3)</w:t>
      </w:r>
      <w:r w:rsidRPr="003F319E">
        <w:tab/>
        <w:t>The Regulator may, by notice given to the applicant, require the applicant to give the Regulator any additional information the Regulator reasonably requires to decide the application.</w:t>
      </w:r>
    </w:p>
    <w:p w14:paraId="67A7E002" w14:textId="77777777" w:rsidR="00DB6E47" w:rsidRPr="007E1F9A" w:rsidRDefault="00DB6E47" w:rsidP="00DB6E47">
      <w:pPr>
        <w:pStyle w:val="AH5Sec"/>
      </w:pPr>
      <w:bookmarkStart w:id="173" w:name="_Toc83625517"/>
      <w:r w:rsidRPr="005E03F7">
        <w:rPr>
          <w:rStyle w:val="CharSectNo"/>
        </w:rPr>
        <w:t>145</w:t>
      </w:r>
      <w:r w:rsidRPr="007E1F9A">
        <w:tab/>
        <w:t>Restriction on grant of class 2 heavy vehicle authorisation (permit)</w:t>
      </w:r>
      <w:bookmarkEnd w:id="173"/>
    </w:p>
    <w:p w14:paraId="2E498F8F" w14:textId="77777777" w:rsidR="00DB6E47" w:rsidRPr="003F319E" w:rsidRDefault="00DB6E47" w:rsidP="00DB6E47">
      <w:pPr>
        <w:pStyle w:val="Amain"/>
      </w:pPr>
      <w:r w:rsidRPr="003F319E">
        <w:tab/>
        <w:t>(1)</w:t>
      </w:r>
      <w:r w:rsidRPr="003F319E">
        <w:tab/>
        <w:t>The Regulator may grant a class 2 heavy vehicle authorisation (permit) for a class 2 heavy vehicle only if—</w:t>
      </w:r>
    </w:p>
    <w:p w14:paraId="57152AD4" w14:textId="77777777" w:rsidR="00DB6E47" w:rsidRPr="007D116E" w:rsidRDefault="00DB6E47" w:rsidP="00DB6E47">
      <w:pPr>
        <w:pStyle w:val="Apara"/>
      </w:pPr>
      <w:r w:rsidRPr="007D116E">
        <w:tab/>
        <w:t>(a)</w:t>
      </w:r>
      <w:r w:rsidRPr="007D116E">
        <w:tab/>
        <w:t>the Regulator is satisfied the use of the class 2 heavy vehicle on a road under the authorisation will not pose a significant risk to public safety; and</w:t>
      </w:r>
    </w:p>
    <w:p w14:paraId="6218E499" w14:textId="77777777" w:rsidR="00DB6E47" w:rsidRPr="007D116E" w:rsidRDefault="00DB6E47" w:rsidP="00DB6E47">
      <w:pPr>
        <w:pStyle w:val="Apara"/>
      </w:pPr>
      <w:r w:rsidRPr="007D116E">
        <w:tab/>
        <w:t>(b)</w:t>
      </w:r>
      <w:r w:rsidRPr="007D116E">
        <w:tab/>
        <w:t>each relevant road manager for the authorisation has consented to the grant; and</w:t>
      </w:r>
    </w:p>
    <w:p w14:paraId="7006BCC3" w14:textId="77777777" w:rsidR="00DB6E47" w:rsidRPr="007D116E" w:rsidRDefault="00DB6E47" w:rsidP="00DB6E47">
      <w:pPr>
        <w:pStyle w:val="Apara"/>
      </w:pPr>
      <w:r w:rsidRPr="007D116E">
        <w:tab/>
        <w:t>(c)</w:t>
      </w:r>
      <w:r w:rsidRPr="007D116E">
        <w:tab/>
        <w:t>the Regulator is satisfied all other consents required for the authorisation under the law of the relevant jurisdiction have been obtained by the applicant or have been otherwise given.</w:t>
      </w:r>
    </w:p>
    <w:p w14:paraId="4D84765B" w14:textId="77777777" w:rsidR="00DB6E47" w:rsidRPr="003F319E" w:rsidRDefault="00DB6E47" w:rsidP="00DB6E47">
      <w:pPr>
        <w:pStyle w:val="Amain"/>
      </w:pPr>
      <w:r w:rsidRPr="003F319E">
        <w:lastRenderedPageBreak/>
        <w:tab/>
        <w:t>(2)</w:t>
      </w:r>
      <w:r w:rsidRPr="003F319E">
        <w:tab/>
        <w:t>In deciding whether to grant a class 2 heavy vehicle authorisation (permit), the Regulator must have regard to the approved guidelines for granting class 2 heavy vehicle authorisations.</w:t>
      </w:r>
    </w:p>
    <w:p w14:paraId="6DBD6217" w14:textId="77777777" w:rsidR="00DB6E47" w:rsidRPr="007E1F9A" w:rsidRDefault="00DB6E47" w:rsidP="00DB6E47">
      <w:pPr>
        <w:pStyle w:val="AH5Sec"/>
      </w:pPr>
      <w:bookmarkStart w:id="174" w:name="_Toc83625518"/>
      <w:r w:rsidRPr="005E03F7">
        <w:rPr>
          <w:rStyle w:val="CharSectNo"/>
        </w:rPr>
        <w:t>146</w:t>
      </w:r>
      <w:r w:rsidRPr="007E1F9A">
        <w:tab/>
        <w:t>Conditions of class 2 heavy vehicle authorisation (permit)</w:t>
      </w:r>
      <w:bookmarkEnd w:id="174"/>
    </w:p>
    <w:p w14:paraId="1568EED0" w14:textId="77777777" w:rsidR="00DB6E47" w:rsidRPr="003F319E" w:rsidRDefault="00DB6E47" w:rsidP="00DB6E47">
      <w:pPr>
        <w:pStyle w:val="Amainreturn"/>
      </w:pPr>
      <w:r w:rsidRPr="003F319E">
        <w:t>A class 2 heavy vehicle authorisation (permit)—</w:t>
      </w:r>
    </w:p>
    <w:p w14:paraId="759E6F1C" w14:textId="77777777" w:rsidR="00DB6E47" w:rsidRPr="007D116E" w:rsidRDefault="00DB6E47" w:rsidP="00DB6E47">
      <w:pPr>
        <w:pStyle w:val="Apara"/>
      </w:pPr>
      <w:r w:rsidRPr="007D116E">
        <w:tab/>
        <w:t>(a)</w:t>
      </w:r>
      <w:r w:rsidRPr="007D116E">
        <w:tab/>
        <w:t>must be subject to the road conditions or travel conditions required by a relevant road manager for the authorisation under section 160 or 161; and</w:t>
      </w:r>
    </w:p>
    <w:p w14:paraId="5A19854C" w14:textId="77777777" w:rsidR="00DB6E47" w:rsidRPr="007D116E" w:rsidRDefault="00DB6E47" w:rsidP="00DB6E47">
      <w:pPr>
        <w:pStyle w:val="Apara"/>
      </w:pPr>
      <w:r w:rsidRPr="007D116E">
        <w:tab/>
        <w:t>(b)</w:t>
      </w:r>
      <w:r w:rsidRPr="007D116E">
        <w:tab/>
        <w:t>may be subject to any other conditions the Regulator considers appropriate, including, for example—</w:t>
      </w:r>
    </w:p>
    <w:p w14:paraId="201BA5D4" w14:textId="77777777" w:rsidR="00DB6E47" w:rsidRPr="00516F02" w:rsidRDefault="00DB6E47" w:rsidP="00DB6E47">
      <w:pPr>
        <w:pStyle w:val="Asubpara"/>
      </w:pPr>
      <w:r w:rsidRPr="00516F02">
        <w:tab/>
        <w:t>(i)</w:t>
      </w:r>
      <w:r w:rsidRPr="00516F02">
        <w:tab/>
        <w:t>conditions about 1 or more matters mentioned in Schedule 2; and</w:t>
      </w:r>
    </w:p>
    <w:p w14:paraId="5FB57B19" w14:textId="77777777" w:rsidR="00DB6E47" w:rsidRPr="00516F02" w:rsidRDefault="00DB6E47" w:rsidP="00DB6E47">
      <w:pPr>
        <w:pStyle w:val="Asubpara"/>
      </w:pPr>
      <w:r w:rsidRPr="00516F02">
        <w:tab/>
        <w:t>(ii)</w:t>
      </w:r>
      <w:r w:rsidR="00D47CA2">
        <w:tab/>
        <w:t xml:space="preserve">without limiting subparagraph </w:t>
      </w:r>
      <w:r w:rsidRPr="00516F02">
        <w:t xml:space="preserve">(i), intelligent access </w:t>
      </w:r>
      <w:r w:rsidR="00E10D6F">
        <w:t xml:space="preserve">program </w:t>
      </w:r>
      <w:r w:rsidRPr="00516F02">
        <w:t>conditions.</w:t>
      </w:r>
    </w:p>
    <w:p w14:paraId="50405A0E" w14:textId="77777777" w:rsidR="00DB6E47" w:rsidRPr="007E1F9A" w:rsidRDefault="00DB6E47" w:rsidP="00DB6E47">
      <w:pPr>
        <w:pStyle w:val="AH5Sec"/>
      </w:pPr>
      <w:bookmarkStart w:id="175" w:name="_Toc83625519"/>
      <w:r w:rsidRPr="005E03F7">
        <w:rPr>
          <w:rStyle w:val="CharSectNo"/>
        </w:rPr>
        <w:t>147</w:t>
      </w:r>
      <w:r w:rsidRPr="007E1F9A">
        <w:tab/>
        <w:t>Period for which class 2 heavy vehicle authorisation (permit) applies</w:t>
      </w:r>
      <w:bookmarkEnd w:id="175"/>
    </w:p>
    <w:p w14:paraId="4FCB9B1C" w14:textId="77777777" w:rsidR="00DB6E47" w:rsidRPr="003F319E" w:rsidRDefault="00DB6E47" w:rsidP="00DB6E47">
      <w:pPr>
        <w:pStyle w:val="Amain"/>
      </w:pPr>
      <w:r w:rsidRPr="003F319E">
        <w:tab/>
        <w:t>(1)</w:t>
      </w:r>
      <w:r w:rsidRPr="003F319E">
        <w:tab/>
        <w:t>A class 2 heavy vehicle authorisation (permit) applies for the period stated in the permit for the authorisation.</w:t>
      </w:r>
    </w:p>
    <w:p w14:paraId="510A5AB6" w14:textId="77777777" w:rsidR="00DB6E47" w:rsidRPr="003F319E" w:rsidRDefault="00DB6E47" w:rsidP="00DB6E47">
      <w:pPr>
        <w:pStyle w:val="Amain"/>
      </w:pPr>
      <w:r w:rsidRPr="003F319E">
        <w:tab/>
        <w:t>(2)</w:t>
      </w:r>
      <w:r w:rsidRPr="003F319E">
        <w:tab/>
        <w:t>The period may be less than the period sought by the applicant for the class 2 heavy vehicle authorisation (permit).</w:t>
      </w:r>
    </w:p>
    <w:p w14:paraId="1546D448" w14:textId="77777777" w:rsidR="00DB6E47" w:rsidRPr="007E1F9A" w:rsidRDefault="00DB6E47" w:rsidP="00DB6E47">
      <w:pPr>
        <w:pStyle w:val="AH5Sec"/>
      </w:pPr>
      <w:bookmarkStart w:id="176" w:name="_Toc83625520"/>
      <w:r w:rsidRPr="005E03F7">
        <w:rPr>
          <w:rStyle w:val="CharSectNo"/>
        </w:rPr>
        <w:lastRenderedPageBreak/>
        <w:t>148</w:t>
      </w:r>
      <w:r w:rsidRPr="007E1F9A">
        <w:tab/>
        <w:t>Permit for class 2 heavy vehicle authorisation (permit) etc.</w:t>
      </w:r>
      <w:bookmarkEnd w:id="176"/>
    </w:p>
    <w:p w14:paraId="594A91AA" w14:textId="77777777" w:rsidR="00DB6E47" w:rsidRPr="003F319E" w:rsidRDefault="00DB6E47" w:rsidP="00841803">
      <w:pPr>
        <w:pStyle w:val="Amain"/>
        <w:keepNext/>
      </w:pPr>
      <w:r w:rsidRPr="003F319E">
        <w:tab/>
        <w:t>(1)</w:t>
      </w:r>
      <w:r w:rsidRPr="003F319E">
        <w:tab/>
        <w:t>If the Regulator grants a class 2 heavy vehicle authorisation (permit) to a person, the Regulator must give the person—</w:t>
      </w:r>
    </w:p>
    <w:p w14:paraId="1CC319DA" w14:textId="77777777" w:rsidR="00DB6E47" w:rsidRPr="007D116E" w:rsidRDefault="00DB6E47" w:rsidP="00841803">
      <w:pPr>
        <w:pStyle w:val="Apara"/>
        <w:keepNext/>
      </w:pPr>
      <w:r w:rsidRPr="007D116E">
        <w:tab/>
        <w:t>(a)</w:t>
      </w:r>
      <w:r w:rsidRPr="007D116E">
        <w:tab/>
        <w:t>a permit for the authorisation; and</w:t>
      </w:r>
    </w:p>
    <w:p w14:paraId="03C373AD" w14:textId="77777777" w:rsidR="00FF160A" w:rsidRPr="00FF160A" w:rsidRDefault="00FF160A" w:rsidP="00D049AC">
      <w:pPr>
        <w:pStyle w:val="Apara"/>
        <w:keepNext/>
        <w:rPr>
          <w:lang w:val="en" w:eastAsia="en-AU"/>
        </w:rPr>
      </w:pPr>
      <w:r>
        <w:rPr>
          <w:lang w:val="en" w:eastAsia="en-AU"/>
        </w:rPr>
        <w:tab/>
      </w:r>
      <w:r w:rsidRPr="00FF160A">
        <w:rPr>
          <w:lang w:val="en" w:eastAsia="en-AU"/>
        </w:rPr>
        <w:t>(b)</w:t>
      </w:r>
      <w:r>
        <w:rPr>
          <w:lang w:val="en" w:eastAsia="en-AU"/>
        </w:rPr>
        <w:tab/>
      </w:r>
      <w:r w:rsidRPr="00FF160A">
        <w:rPr>
          <w:lang w:val="en" w:eastAsia="en-AU"/>
        </w:rPr>
        <w:t>a notice stating the review and appeal information for any of the following decisions that is a reviewable decision—</w:t>
      </w:r>
    </w:p>
    <w:p w14:paraId="7C395F27" w14:textId="77777777" w:rsidR="00FF160A" w:rsidRPr="00FF160A" w:rsidRDefault="00FF160A" w:rsidP="00FF160A">
      <w:pPr>
        <w:pStyle w:val="Asubpara"/>
        <w:rPr>
          <w:lang w:val="en" w:eastAsia="en-AU"/>
        </w:rPr>
      </w:pPr>
      <w:r>
        <w:rPr>
          <w:lang w:val="en" w:eastAsia="en-AU"/>
        </w:rPr>
        <w:tab/>
      </w:r>
      <w:r w:rsidRPr="00FF160A">
        <w:rPr>
          <w:lang w:val="en" w:eastAsia="en-AU"/>
        </w:rPr>
        <w:t>(i)</w:t>
      </w:r>
      <w:r>
        <w:rPr>
          <w:lang w:val="en" w:eastAsia="en-AU"/>
        </w:rPr>
        <w:tab/>
      </w:r>
      <w:r w:rsidRPr="00FF160A">
        <w:rPr>
          <w:lang w:val="en" w:eastAsia="en-AU"/>
        </w:rPr>
        <w:t>the Regulator’s decision to grant the authorisation for a period or impose a condition on the authorisation;</w:t>
      </w:r>
    </w:p>
    <w:p w14:paraId="40045AEC" w14:textId="77777777" w:rsidR="00FF160A" w:rsidRPr="00FF160A" w:rsidRDefault="00FF160A" w:rsidP="00FF160A">
      <w:pPr>
        <w:pStyle w:val="Asubpara"/>
        <w:rPr>
          <w:lang w:val="en" w:eastAsia="en-AU"/>
        </w:rPr>
      </w:pPr>
      <w:r>
        <w:rPr>
          <w:lang w:val="en" w:eastAsia="en-AU"/>
        </w:rPr>
        <w:tab/>
      </w:r>
      <w:r w:rsidRPr="00FF160A">
        <w:rPr>
          <w:lang w:val="en" w:eastAsia="en-AU"/>
        </w:rPr>
        <w:t>(ii)</w:t>
      </w:r>
      <w:r>
        <w:rPr>
          <w:lang w:val="en" w:eastAsia="en-AU"/>
        </w:rPr>
        <w:tab/>
      </w:r>
      <w:r w:rsidRPr="00FF160A">
        <w:rPr>
          <w:lang w:val="en" w:eastAsia="en-AU"/>
        </w:rPr>
        <w:t>a relevant road manager’s decision to consent to the grant of the authorisation subject to a condition that a road condition or travel condition be imposed on the authorisation.</w:t>
      </w:r>
    </w:p>
    <w:p w14:paraId="0220DE0A" w14:textId="77777777" w:rsidR="00FF160A" w:rsidRPr="00FF160A" w:rsidRDefault="00FF160A" w:rsidP="00FF160A">
      <w:pPr>
        <w:pStyle w:val="aNotepar"/>
        <w:rPr>
          <w:lang w:val="en" w:eastAsia="en-AU"/>
        </w:rPr>
      </w:pPr>
      <w:r w:rsidRPr="00FF160A">
        <w:rPr>
          <w:rStyle w:val="charItals"/>
        </w:rPr>
        <w:t>Note</w:t>
      </w:r>
      <w:r w:rsidRPr="00FF160A">
        <w:rPr>
          <w:lang w:val="en" w:eastAsia="en-AU"/>
        </w:rPr>
        <w:t>—</w:t>
      </w:r>
    </w:p>
    <w:p w14:paraId="41F2D1FE" w14:textId="77777777" w:rsidR="00FF160A" w:rsidRPr="00FF160A" w:rsidRDefault="00FF160A" w:rsidP="00FF160A">
      <w:pPr>
        <w:pStyle w:val="aNotepar"/>
        <w:ind w:left="1610" w:hanging="10"/>
        <w:rPr>
          <w:lang w:val="en" w:eastAsia="en-AU"/>
        </w:rPr>
      </w:pPr>
      <w:r w:rsidRPr="00FF160A">
        <w:rPr>
          <w:lang w:val="en" w:eastAsia="en-AU"/>
        </w:rPr>
        <w:t>Under section 641(6)(a), this notice must also state particular information about obtaining a statement of reasons for the decision.</w:t>
      </w:r>
    </w:p>
    <w:p w14:paraId="1B6EC522" w14:textId="77777777" w:rsidR="00DB6E47" w:rsidRPr="003F319E" w:rsidRDefault="00DB6E47" w:rsidP="00DB6E47">
      <w:pPr>
        <w:pStyle w:val="Amain"/>
      </w:pPr>
      <w:r w:rsidRPr="003F319E">
        <w:tab/>
        <w:t>(2)</w:t>
      </w:r>
      <w:r w:rsidRPr="003F319E">
        <w:tab/>
        <w:t>A permit for a class 2 heavy vehicle authorisation (permit) must state the following—</w:t>
      </w:r>
    </w:p>
    <w:p w14:paraId="038D7B41" w14:textId="77777777" w:rsidR="00DB6E47" w:rsidRPr="007D116E" w:rsidRDefault="00DB6E47" w:rsidP="00DB6E47">
      <w:pPr>
        <w:pStyle w:val="Apara"/>
      </w:pPr>
      <w:r w:rsidRPr="007D116E">
        <w:tab/>
        <w:t>(a)</w:t>
      </w:r>
      <w:r w:rsidRPr="007D116E">
        <w:tab/>
        <w:t>the name and address of the person to whom the permit is given;</w:t>
      </w:r>
    </w:p>
    <w:p w14:paraId="65BE0E2E" w14:textId="77777777" w:rsidR="00DB6E47" w:rsidRPr="007D116E" w:rsidRDefault="00DB6E47" w:rsidP="00DB6E47">
      <w:pPr>
        <w:pStyle w:val="Apara"/>
      </w:pPr>
      <w:r w:rsidRPr="007D116E">
        <w:tab/>
        <w:t>(b)</w:t>
      </w:r>
      <w:r w:rsidRPr="007D116E">
        <w:tab/>
        <w:t>if the authorisation applies to particular categories of class 2 heavy vehicles, the categories of heavy vehicles to which the authorisation applies;</w:t>
      </w:r>
    </w:p>
    <w:p w14:paraId="4732E2F0" w14:textId="77777777" w:rsidR="00DB6E47" w:rsidRPr="007D116E" w:rsidRDefault="00DB6E47" w:rsidP="00DB6E47">
      <w:pPr>
        <w:pStyle w:val="Apara"/>
      </w:pPr>
      <w:r w:rsidRPr="007D116E">
        <w:tab/>
        <w:t>(c)</w:t>
      </w:r>
      <w:r w:rsidRPr="007D116E">
        <w:tab/>
        <w:t>the areas or routes to which the authorisation applies;</w:t>
      </w:r>
    </w:p>
    <w:p w14:paraId="0638DE11" w14:textId="77777777" w:rsidR="00DB6E47" w:rsidRPr="007D116E" w:rsidRDefault="00DB6E47" w:rsidP="00DB6E47">
      <w:pPr>
        <w:pStyle w:val="Apara"/>
      </w:pPr>
      <w:r w:rsidRPr="007D116E">
        <w:tab/>
        <w:t>(d)</w:t>
      </w:r>
      <w:r w:rsidRPr="007D116E">
        <w:tab/>
        <w:t>the days and hours to which the authorisation applies;</w:t>
      </w:r>
    </w:p>
    <w:p w14:paraId="4EABF396" w14:textId="77777777" w:rsidR="00DB6E47" w:rsidRPr="007D116E" w:rsidRDefault="00DB6E47" w:rsidP="00DB6E47">
      <w:pPr>
        <w:pStyle w:val="Apara"/>
      </w:pPr>
      <w:r w:rsidRPr="007D116E">
        <w:tab/>
        <w:t>(e)</w:t>
      </w:r>
      <w:r w:rsidRPr="007D116E">
        <w:tab/>
        <w:t>the road conditions or travel conditions required by a relevant road manager for the authorisation under section 160 or 161;</w:t>
      </w:r>
    </w:p>
    <w:p w14:paraId="35ACB149" w14:textId="77777777" w:rsidR="00DB6E47" w:rsidRPr="007D116E" w:rsidRDefault="00DB6E47" w:rsidP="00DB6E47">
      <w:pPr>
        <w:pStyle w:val="Apara"/>
      </w:pPr>
      <w:r w:rsidRPr="007D116E">
        <w:tab/>
        <w:t>(f)</w:t>
      </w:r>
      <w:r w:rsidRPr="007D116E">
        <w:tab/>
        <w:t>any other conditions applying to a class 2 heavy vehicle being used on a road under the authorisation;</w:t>
      </w:r>
    </w:p>
    <w:p w14:paraId="3D1A17A9" w14:textId="77777777" w:rsidR="00DB6E47" w:rsidRPr="007D116E" w:rsidRDefault="00DB6E47" w:rsidP="00DB6E47">
      <w:pPr>
        <w:pStyle w:val="Apara"/>
      </w:pPr>
      <w:r w:rsidRPr="007D116E">
        <w:lastRenderedPageBreak/>
        <w:tab/>
        <w:t>(g)</w:t>
      </w:r>
      <w:r w:rsidRPr="007D116E">
        <w:tab/>
        <w:t>the period for which the authorisation applies.</w:t>
      </w:r>
    </w:p>
    <w:p w14:paraId="2D0A7594" w14:textId="77777777" w:rsidR="00DB6E47" w:rsidRPr="007E1F9A" w:rsidRDefault="00DB6E47" w:rsidP="00DB6E47">
      <w:pPr>
        <w:pStyle w:val="AH5Sec"/>
      </w:pPr>
      <w:bookmarkStart w:id="177" w:name="_Toc83625521"/>
      <w:r w:rsidRPr="005E03F7">
        <w:rPr>
          <w:rStyle w:val="CharSectNo"/>
        </w:rPr>
        <w:t>149</w:t>
      </w:r>
      <w:r w:rsidRPr="007E1F9A">
        <w:tab/>
        <w:t>Refusal of application for class 2 heavy vehicle authorisation (permit)</w:t>
      </w:r>
      <w:bookmarkEnd w:id="177"/>
    </w:p>
    <w:p w14:paraId="054D77AD" w14:textId="77777777" w:rsidR="00DB6E47" w:rsidRPr="003F319E" w:rsidRDefault="00DB6E47" w:rsidP="00DB6E47">
      <w:pPr>
        <w:pStyle w:val="Amainreturn"/>
      </w:pPr>
      <w:r w:rsidRPr="003F319E">
        <w:t>If the Regulator refuses an application for a class 2 heavy vehicle authorisation (permit), the Regulator must give the applicant an information notice for the decision to refuse the application.</w:t>
      </w:r>
    </w:p>
    <w:p w14:paraId="07F4D136" w14:textId="77777777" w:rsidR="00DB6E47" w:rsidRPr="00C96203" w:rsidRDefault="00DB6E47" w:rsidP="00DB6E47">
      <w:pPr>
        <w:pStyle w:val="aNote"/>
      </w:pPr>
      <w:r w:rsidRPr="00FF4454">
        <w:rPr>
          <w:rStyle w:val="charItals"/>
        </w:rPr>
        <w:t>Note</w:t>
      </w:r>
      <w:r w:rsidRPr="00C96203">
        <w:rPr>
          <w:rFonts w:cs="Times"/>
          <w:bCs/>
          <w:iCs/>
        </w:rPr>
        <w:t>—</w:t>
      </w:r>
    </w:p>
    <w:p w14:paraId="560AC248" w14:textId="77777777" w:rsidR="00DB6E47" w:rsidRPr="00C96203" w:rsidRDefault="00DB6E47" w:rsidP="00DB6E47">
      <w:pPr>
        <w:pStyle w:val="aNoteTextss"/>
      </w:pPr>
      <w:r w:rsidRPr="00C96203">
        <w:t>See section 166 for the requirements for an information notice relating to a road manager’s decision not to give consent to the grant of a class 2 heavy vehicle authorisation (permit).</w:t>
      </w:r>
    </w:p>
    <w:p w14:paraId="75CC30CD" w14:textId="77777777" w:rsidR="00DB6E47" w:rsidRPr="005E03F7" w:rsidRDefault="00DB6E47" w:rsidP="00DB6E47">
      <w:pPr>
        <w:pStyle w:val="AH3Div"/>
      </w:pPr>
      <w:bookmarkStart w:id="178" w:name="_Toc83625522"/>
      <w:r w:rsidRPr="005E03F7">
        <w:rPr>
          <w:rStyle w:val="CharDivNo"/>
        </w:rPr>
        <w:t>Division 5</w:t>
      </w:r>
      <w:r w:rsidRPr="00A95F9A">
        <w:rPr>
          <w:rFonts w:ascii="Helvetica" w:hAnsi="Helvetica" w:cs="Helvetica"/>
          <w:iCs/>
          <w:szCs w:val="28"/>
        </w:rPr>
        <w:tab/>
      </w:r>
      <w:r w:rsidRPr="005E03F7">
        <w:rPr>
          <w:rStyle w:val="CharDivText"/>
          <w:rFonts w:ascii="Helvetica" w:hAnsi="Helvetica" w:cs="Helvetica"/>
          <w:iCs/>
          <w:szCs w:val="28"/>
        </w:rPr>
        <w:t>Operating under class 2 heavy vehicle authorisation</w:t>
      </w:r>
      <w:bookmarkEnd w:id="178"/>
    </w:p>
    <w:p w14:paraId="357910D9" w14:textId="77777777" w:rsidR="00DB6E47" w:rsidRPr="007E1F9A" w:rsidRDefault="00DB6E47" w:rsidP="00DB6E47">
      <w:pPr>
        <w:pStyle w:val="AH5Sec"/>
      </w:pPr>
      <w:bookmarkStart w:id="179" w:name="_Toc83625523"/>
      <w:r w:rsidRPr="005E03F7">
        <w:rPr>
          <w:rStyle w:val="CharSectNo"/>
        </w:rPr>
        <w:t>150</w:t>
      </w:r>
      <w:r w:rsidRPr="007E1F9A">
        <w:tab/>
        <w:t>Contravening condition of class 2 heavy vehicle authorisation</w:t>
      </w:r>
      <w:bookmarkEnd w:id="179"/>
    </w:p>
    <w:p w14:paraId="00882FB9" w14:textId="77777777" w:rsidR="00DB6E47" w:rsidRPr="003F319E" w:rsidRDefault="00DB6E47" w:rsidP="00DB6E47">
      <w:pPr>
        <w:pStyle w:val="Amain"/>
      </w:pPr>
      <w:r w:rsidRPr="003F319E">
        <w:tab/>
        <w:t>(1)</w:t>
      </w:r>
      <w:r w:rsidRPr="003F319E">
        <w:tab/>
        <w:t>The driver or operator of a class 2 heavy vehicle being used on a road under a class 2 heavy vehicle authorisation must not contravene a condition of the authorisation.</w:t>
      </w:r>
    </w:p>
    <w:p w14:paraId="039B8C5A" w14:textId="77777777" w:rsidR="00DB6E47" w:rsidRPr="006C3305" w:rsidRDefault="00DB6E47" w:rsidP="00DB6E47">
      <w:pPr>
        <w:pStyle w:val="Penalty"/>
      </w:pPr>
      <w:r w:rsidRPr="006C3305">
        <w:t>Maximum penalty—$6000.</w:t>
      </w:r>
    </w:p>
    <w:p w14:paraId="0163F865" w14:textId="77777777" w:rsidR="00DB6E47" w:rsidRPr="003F319E" w:rsidRDefault="00D47CA2" w:rsidP="00DB6E47">
      <w:pPr>
        <w:pStyle w:val="Amain"/>
      </w:pPr>
      <w:r>
        <w:tab/>
        <w:t>(2)</w:t>
      </w:r>
      <w:r>
        <w:tab/>
        <w:t xml:space="preserve">Subsection </w:t>
      </w:r>
      <w:r w:rsidR="00DB6E47" w:rsidRPr="003F319E">
        <w:t>(1)</w:t>
      </w:r>
      <w:r>
        <w:t xml:space="preserve"> </w:t>
      </w:r>
      <w:r w:rsidR="00DB6E47" w:rsidRPr="003F319E">
        <w:t>does not apply to a condition mentioned in section</w:t>
      </w:r>
      <w:r>
        <w:t> </w:t>
      </w:r>
      <w:r w:rsidR="00DB6E47" w:rsidRPr="003F319E">
        <w:t>151(1).</w:t>
      </w:r>
    </w:p>
    <w:p w14:paraId="733CF34B" w14:textId="77777777" w:rsidR="00DB6E47" w:rsidRPr="007E1F9A" w:rsidRDefault="00DB6E47" w:rsidP="00DB6E47">
      <w:pPr>
        <w:pStyle w:val="AH5Sec"/>
      </w:pPr>
      <w:bookmarkStart w:id="180" w:name="_Toc83625524"/>
      <w:r w:rsidRPr="005E03F7">
        <w:rPr>
          <w:rStyle w:val="CharSectNo"/>
        </w:rPr>
        <w:t>151</w:t>
      </w:r>
      <w:r w:rsidRPr="007E1F9A">
        <w:tab/>
        <w:t>Keeping relevant document while driving under class 2 heavy vehicle authorisation (notice)</w:t>
      </w:r>
      <w:bookmarkEnd w:id="180"/>
    </w:p>
    <w:p w14:paraId="044E7273" w14:textId="77777777" w:rsidR="00DB6E47" w:rsidRPr="003F319E" w:rsidRDefault="00DB6E47" w:rsidP="00F61994">
      <w:pPr>
        <w:pStyle w:val="Amain"/>
        <w:keepLines/>
      </w:pPr>
      <w:r w:rsidRPr="003F319E">
        <w:tab/>
        <w:t>(1)</w:t>
      </w:r>
      <w:r w:rsidRPr="003F319E">
        <w:tab/>
        <w:t>This section applies if a class 2 heavy vehicle authorisation (notice) is subject to the condition that the driver of a class 2 heavy vehicle who is driving the vehicle under the authorisation must keep a relevant document in the driver’s possession.</w:t>
      </w:r>
    </w:p>
    <w:p w14:paraId="50894612" w14:textId="77777777" w:rsidR="00DB6E47" w:rsidRPr="003F319E" w:rsidRDefault="00DB6E47" w:rsidP="00DB6E47">
      <w:pPr>
        <w:pStyle w:val="Amain"/>
      </w:pPr>
      <w:r w:rsidRPr="003F319E">
        <w:lastRenderedPageBreak/>
        <w:tab/>
        <w:t>(2)</w:t>
      </w:r>
      <w:r w:rsidRPr="003F319E">
        <w:tab/>
        <w:t>A driver of the class 2 heavy vehicle who is driving the vehicle under the class 2 heavy vehicle authorisation (notice) must comply with the condition.</w:t>
      </w:r>
    </w:p>
    <w:p w14:paraId="3D520565" w14:textId="77777777" w:rsidR="00DB6E47" w:rsidRPr="006C3305" w:rsidRDefault="00DB6E47" w:rsidP="00DB6E47">
      <w:pPr>
        <w:pStyle w:val="Penalty"/>
      </w:pPr>
      <w:r w:rsidRPr="006C3305">
        <w:t>Maximum penalty—$3000.</w:t>
      </w:r>
    </w:p>
    <w:p w14:paraId="0EA5B9E7" w14:textId="77777777" w:rsidR="00EE7612" w:rsidRPr="00EE7612" w:rsidRDefault="00EE7612" w:rsidP="00EE7612">
      <w:pPr>
        <w:pStyle w:val="Amain"/>
        <w:rPr>
          <w:lang w:val="en" w:eastAsia="en-AU"/>
        </w:rPr>
      </w:pPr>
      <w:r>
        <w:rPr>
          <w:lang w:val="en" w:eastAsia="en-AU"/>
        </w:rPr>
        <w:tab/>
      </w:r>
      <w:r w:rsidRPr="00EE7612">
        <w:rPr>
          <w:lang w:val="en" w:eastAsia="en-AU"/>
        </w:rPr>
        <w:t>(3)</w:t>
      </w:r>
      <w:r>
        <w:rPr>
          <w:lang w:val="en" w:eastAsia="en-AU"/>
        </w:rPr>
        <w:tab/>
      </w:r>
      <w:r w:rsidRPr="00EE7612">
        <w:rPr>
          <w:lang w:val="en" w:eastAsia="en-AU"/>
        </w:rPr>
        <w:t>Each relevant party for a driver mentioned in subsection (2) must ensure the driver complies with subsection (2), unless the relevant party has a reasonable excuse.</w:t>
      </w:r>
    </w:p>
    <w:p w14:paraId="06D98DF7" w14:textId="77777777" w:rsidR="00EE7612" w:rsidRPr="00EE7612" w:rsidRDefault="00EE7612" w:rsidP="00EE7612">
      <w:pPr>
        <w:pStyle w:val="Penalty"/>
        <w:rPr>
          <w:lang w:val="en" w:eastAsia="en-AU"/>
        </w:rPr>
      </w:pPr>
      <w:r w:rsidRPr="00EE7612">
        <w:rPr>
          <w:lang w:val="en" w:eastAsia="en-AU"/>
        </w:rPr>
        <w:t>Maximum penalty—$3000.</w:t>
      </w:r>
    </w:p>
    <w:p w14:paraId="6327F54D" w14:textId="77777777" w:rsidR="00DB6E47" w:rsidRPr="003F319E" w:rsidRDefault="00DB6E47" w:rsidP="00DB6E47">
      <w:pPr>
        <w:pStyle w:val="Amain"/>
      </w:pPr>
      <w:r w:rsidRPr="003F319E">
        <w:tab/>
        <w:t>(7)</w:t>
      </w:r>
      <w:r w:rsidRPr="003F319E">
        <w:tab/>
        <w:t>In this section—</w:t>
      </w:r>
    </w:p>
    <w:p w14:paraId="0EFA6A23" w14:textId="77777777" w:rsidR="00DB6E47" w:rsidRPr="00041046" w:rsidRDefault="00DB6E47" w:rsidP="00DB6E47">
      <w:pPr>
        <w:pStyle w:val="aDef"/>
        <w:rPr>
          <w:bCs/>
        </w:rPr>
      </w:pPr>
      <w:r w:rsidRPr="00041046">
        <w:rPr>
          <w:rStyle w:val="charBoldItals"/>
        </w:rPr>
        <w:t>relevant document</w:t>
      </w:r>
      <w:r w:rsidRPr="00041046">
        <w:t>, for a class 2 heavy vehicle authorisation (notice), means a copy of—</w:t>
      </w:r>
    </w:p>
    <w:p w14:paraId="37C6680E" w14:textId="77777777" w:rsidR="00DB6E47" w:rsidRPr="00196EEB" w:rsidRDefault="00DB6E47" w:rsidP="00DB6E47">
      <w:pPr>
        <w:pStyle w:val="aDefpara"/>
      </w:pPr>
      <w:r w:rsidRPr="00FF4454">
        <w:tab/>
      </w:r>
      <w:r w:rsidRPr="00F04D8E">
        <w:rPr>
          <w:rFonts w:cs="Times"/>
          <w:bCs/>
          <w:iCs/>
        </w:rPr>
        <w:t>(a)</w:t>
      </w:r>
      <w:r w:rsidRPr="00FF4454">
        <w:rPr>
          <w:rStyle w:val="charBoldItals"/>
        </w:rPr>
        <w:tab/>
      </w:r>
      <w:r w:rsidRPr="00196EEB">
        <w:t>the Commonwealth Gazette notice for the authorisation; or</w:t>
      </w:r>
    </w:p>
    <w:p w14:paraId="5192A26C" w14:textId="77777777" w:rsidR="00DB6E47" w:rsidRPr="00196EEB" w:rsidRDefault="00DB6E47" w:rsidP="00DB6E47">
      <w:pPr>
        <w:pStyle w:val="aDefpara"/>
      </w:pPr>
      <w:r w:rsidRPr="00196EEB">
        <w:tab/>
        <w:t>(b)</w:t>
      </w:r>
      <w:r w:rsidRPr="00196EEB">
        <w:tab/>
        <w:t>an information sheet about the authorisation published by the Regulator on the Regulator’s website.</w:t>
      </w:r>
    </w:p>
    <w:p w14:paraId="016DF210" w14:textId="77777777" w:rsidR="00DB6E47" w:rsidRPr="00041046" w:rsidRDefault="00DB6E47" w:rsidP="00DB6E47">
      <w:pPr>
        <w:pStyle w:val="aDef"/>
        <w:rPr>
          <w:bCs/>
        </w:rPr>
      </w:pPr>
      <w:r w:rsidRPr="00041046">
        <w:rPr>
          <w:rStyle w:val="charBoldItals"/>
        </w:rPr>
        <w:t>relevant party</w:t>
      </w:r>
      <w:r w:rsidRPr="00041046">
        <w:t>, for the driver of a class 2 heavy vehicle, means—</w:t>
      </w:r>
    </w:p>
    <w:p w14:paraId="71EC07B5" w14:textId="77777777" w:rsidR="00DB6E47" w:rsidRPr="00196EEB" w:rsidRDefault="00DB6E47" w:rsidP="00DB6E47">
      <w:pPr>
        <w:pStyle w:val="aDefpara"/>
      </w:pPr>
      <w:r w:rsidRPr="00FF4454">
        <w:tab/>
      </w:r>
      <w:r w:rsidRPr="00F04D8E">
        <w:rPr>
          <w:rFonts w:cs="Times"/>
          <w:bCs/>
          <w:iCs/>
        </w:rPr>
        <w:t>(a)</w:t>
      </w:r>
      <w:r w:rsidRPr="00FF4454">
        <w:rPr>
          <w:rStyle w:val="charBoldItals"/>
        </w:rPr>
        <w:tab/>
      </w:r>
      <w:r w:rsidRPr="00196EEB">
        <w:t>an employer of the driver if the driver is an employed driver; or</w:t>
      </w:r>
    </w:p>
    <w:p w14:paraId="06F097EE" w14:textId="77777777" w:rsidR="00DB6E47" w:rsidRPr="00196EEB" w:rsidRDefault="00DB6E47" w:rsidP="00DB6E47">
      <w:pPr>
        <w:pStyle w:val="aDefpara"/>
      </w:pPr>
      <w:r w:rsidRPr="00196EEB">
        <w:tab/>
        <w:t>(b)</w:t>
      </w:r>
      <w:r w:rsidRPr="00196EEB">
        <w:tab/>
        <w:t>a prime contractor of the driver if the driver is a self-employed driver; or</w:t>
      </w:r>
    </w:p>
    <w:p w14:paraId="57013723" w14:textId="77777777" w:rsidR="00DB6E47" w:rsidRPr="00196EEB" w:rsidRDefault="00DB6E47" w:rsidP="00DB6E47">
      <w:pPr>
        <w:pStyle w:val="aDefpara"/>
      </w:pPr>
      <w:r w:rsidRPr="00196EEB">
        <w:tab/>
        <w:t>(c)</w:t>
      </w:r>
      <w:r w:rsidRPr="00196EEB">
        <w:tab/>
        <w:t>an operator of the vehicle if the driver is making a journey for the operator.</w:t>
      </w:r>
    </w:p>
    <w:p w14:paraId="64AD23F6" w14:textId="77777777" w:rsidR="00DB6E47" w:rsidRPr="007E1F9A" w:rsidRDefault="00DB6E47" w:rsidP="00DB6E47">
      <w:pPr>
        <w:pStyle w:val="AH5Sec"/>
      </w:pPr>
      <w:bookmarkStart w:id="181" w:name="_Toc83625525"/>
      <w:r w:rsidRPr="005E03F7">
        <w:rPr>
          <w:rStyle w:val="CharSectNo"/>
        </w:rPr>
        <w:t>152</w:t>
      </w:r>
      <w:r w:rsidRPr="007E1F9A">
        <w:tab/>
        <w:t>Keeping copy of permit while driving under class 2 heavy vehicle authorisation (permit)</w:t>
      </w:r>
      <w:bookmarkEnd w:id="181"/>
    </w:p>
    <w:p w14:paraId="614983EF" w14:textId="77777777" w:rsidR="00DB6E47" w:rsidRPr="003F319E" w:rsidRDefault="00DB6E47" w:rsidP="00DB6E47">
      <w:pPr>
        <w:pStyle w:val="Amain"/>
      </w:pPr>
      <w:r w:rsidRPr="003F319E">
        <w:tab/>
        <w:t>(1)</w:t>
      </w:r>
      <w:r w:rsidRPr="003F319E">
        <w:tab/>
        <w:t>The driver of a class 2 heavy vehicle who is driving the vehicle under a class 2 heavy vehicle authorisation (permit) must keep a copy of the permit for the authorisation in the driver’s possession.</w:t>
      </w:r>
    </w:p>
    <w:p w14:paraId="5C57536B" w14:textId="77777777" w:rsidR="00DB6E47" w:rsidRPr="006C3305" w:rsidRDefault="00DB6E47" w:rsidP="00DB6E47">
      <w:pPr>
        <w:pStyle w:val="Penalty"/>
      </w:pPr>
      <w:r w:rsidRPr="006C3305">
        <w:t>Maximum penalty—$3000.</w:t>
      </w:r>
    </w:p>
    <w:p w14:paraId="1D2829C8" w14:textId="77777777" w:rsidR="00DB6E47" w:rsidRPr="003F319E" w:rsidRDefault="00DB6E47" w:rsidP="00841803">
      <w:pPr>
        <w:pStyle w:val="Amain"/>
        <w:keepNext/>
        <w:keepLines/>
      </w:pPr>
      <w:r w:rsidRPr="003F319E">
        <w:lastRenderedPageBreak/>
        <w:tab/>
        <w:t>(2)</w:t>
      </w:r>
      <w:r w:rsidRPr="003F319E">
        <w:tab/>
        <w:t>If the driver of a class 2 heavy vehicle is driving the vehicle under a class 2 heavy vehicle authorisation (permit) granted to a relevant party for the driver and the relevant party has given the driver a copy of a permit for the purpose of subsection (1), the driver must, as soon as reasonably practicable, return the copy to the relevant party if the driver stops working for the relevant party.</w:t>
      </w:r>
    </w:p>
    <w:p w14:paraId="28D7A570" w14:textId="77777777" w:rsidR="00DB6E47" w:rsidRPr="006C3305" w:rsidRDefault="00DB6E47" w:rsidP="00DB6E47">
      <w:pPr>
        <w:pStyle w:val="Penalty"/>
      </w:pPr>
      <w:r w:rsidRPr="006C3305">
        <w:t>Maximum penalty—$4000.</w:t>
      </w:r>
    </w:p>
    <w:p w14:paraId="73F293F9" w14:textId="77777777" w:rsidR="00A65518" w:rsidRPr="00A65518" w:rsidRDefault="00A65518" w:rsidP="00A65518">
      <w:pPr>
        <w:pStyle w:val="Amain"/>
        <w:rPr>
          <w:lang w:val="en" w:eastAsia="en-AU"/>
        </w:rPr>
      </w:pPr>
      <w:r>
        <w:rPr>
          <w:lang w:val="en" w:eastAsia="en-AU"/>
        </w:rPr>
        <w:tab/>
      </w:r>
      <w:r w:rsidRPr="00A65518">
        <w:rPr>
          <w:lang w:val="en" w:eastAsia="en-AU"/>
        </w:rPr>
        <w:t>(3)</w:t>
      </w:r>
      <w:r>
        <w:rPr>
          <w:lang w:val="en" w:eastAsia="en-AU"/>
        </w:rPr>
        <w:tab/>
      </w:r>
      <w:r w:rsidRPr="00A65518">
        <w:rPr>
          <w:lang w:val="en" w:eastAsia="en-AU"/>
        </w:rPr>
        <w:t>Each relevant party for a driver mentioned in subsection (1) must ensure the driver complies with subsection (1), unless the relevant party has a reasonable excuse.</w:t>
      </w:r>
    </w:p>
    <w:p w14:paraId="3C23B2F0" w14:textId="77777777" w:rsidR="00A65518" w:rsidRPr="00A65518" w:rsidRDefault="00A65518" w:rsidP="00A65518">
      <w:pPr>
        <w:pStyle w:val="Penalty"/>
        <w:rPr>
          <w:lang w:val="en" w:eastAsia="en-AU"/>
        </w:rPr>
      </w:pPr>
      <w:r w:rsidRPr="00A65518">
        <w:rPr>
          <w:lang w:val="en" w:eastAsia="en-AU"/>
        </w:rPr>
        <w:t>Maximum penalty—$3000.</w:t>
      </w:r>
    </w:p>
    <w:p w14:paraId="40948837" w14:textId="77777777" w:rsidR="00DB6E47" w:rsidRPr="003F319E" w:rsidRDefault="00DB6E47" w:rsidP="00DB6E47">
      <w:pPr>
        <w:pStyle w:val="Amain"/>
      </w:pPr>
      <w:r w:rsidRPr="003F319E">
        <w:tab/>
        <w:t>(7)</w:t>
      </w:r>
      <w:r w:rsidRPr="003F319E">
        <w:tab/>
        <w:t>In this section—</w:t>
      </w:r>
    </w:p>
    <w:p w14:paraId="1D3A7675" w14:textId="77777777" w:rsidR="00DB6E47" w:rsidRPr="00041046" w:rsidRDefault="00DB6E47" w:rsidP="00DB6E47">
      <w:pPr>
        <w:pStyle w:val="aDef"/>
        <w:rPr>
          <w:bCs/>
        </w:rPr>
      </w:pPr>
      <w:r w:rsidRPr="00041046">
        <w:rPr>
          <w:rStyle w:val="charBoldItals"/>
        </w:rPr>
        <w:t>relevant party</w:t>
      </w:r>
      <w:r w:rsidRPr="00041046">
        <w:t>, for the driver of a class 2 heavy vehicle, means—</w:t>
      </w:r>
    </w:p>
    <w:p w14:paraId="66DF1D20" w14:textId="77777777" w:rsidR="00DB6E47" w:rsidRPr="00196EEB" w:rsidRDefault="00DB6E47" w:rsidP="00DB6E47">
      <w:pPr>
        <w:pStyle w:val="aDefpara"/>
      </w:pPr>
      <w:r w:rsidRPr="00FF4454">
        <w:tab/>
      </w:r>
      <w:r w:rsidRPr="00F04D8E">
        <w:rPr>
          <w:rFonts w:cs="Times"/>
          <w:bCs/>
          <w:iCs/>
        </w:rPr>
        <w:t>(a)</w:t>
      </w:r>
      <w:r w:rsidRPr="00FF4454">
        <w:rPr>
          <w:rStyle w:val="charBoldItals"/>
        </w:rPr>
        <w:tab/>
      </w:r>
      <w:r w:rsidRPr="00196EEB">
        <w:t>an employer of the driver if the driver is an employed driver; or</w:t>
      </w:r>
    </w:p>
    <w:p w14:paraId="186D3E6D" w14:textId="77777777" w:rsidR="00DB6E47" w:rsidRPr="00196EEB" w:rsidRDefault="00DB6E47" w:rsidP="00DB6E47">
      <w:pPr>
        <w:pStyle w:val="aDefpara"/>
      </w:pPr>
      <w:r w:rsidRPr="00196EEB">
        <w:tab/>
        <w:t>(b)</w:t>
      </w:r>
      <w:r w:rsidRPr="00196EEB">
        <w:tab/>
        <w:t>a prime contractor of the driver if the driver is a self-employed driver; or</w:t>
      </w:r>
    </w:p>
    <w:p w14:paraId="3200A15B" w14:textId="77777777" w:rsidR="00DB6E47" w:rsidRPr="00196EEB" w:rsidRDefault="00DB6E47" w:rsidP="00DB6E47">
      <w:pPr>
        <w:pStyle w:val="aDefpara"/>
      </w:pPr>
      <w:r w:rsidRPr="00196EEB">
        <w:tab/>
        <w:t>(c)</w:t>
      </w:r>
      <w:r w:rsidRPr="00196EEB">
        <w:tab/>
        <w:t>an operator of the vehicle if the driver is making a journey for the operator.</w:t>
      </w:r>
    </w:p>
    <w:p w14:paraId="023732F3" w14:textId="77777777" w:rsidR="006D21FE" w:rsidRDefault="006D21FE">
      <w:pPr>
        <w:pStyle w:val="02Text"/>
        <w:sectPr w:rsidR="006D21FE" w:rsidSect="006D21FE">
          <w:headerReference w:type="even" r:id="rId55"/>
          <w:headerReference w:type="default" r:id="rId56"/>
          <w:footerReference w:type="even" r:id="rId57"/>
          <w:footerReference w:type="default" r:id="rId58"/>
          <w:footerReference w:type="first" r:id="rId59"/>
          <w:pgSz w:w="11907" w:h="16839" w:code="9"/>
          <w:pgMar w:top="3880" w:right="1900" w:bottom="3100" w:left="2300" w:header="1920" w:footer="1760" w:gutter="0"/>
          <w:cols w:space="720"/>
          <w:docGrid w:linePitch="254"/>
        </w:sectPr>
      </w:pPr>
      <w:bookmarkStart w:id="182" w:name="_Toc83625526"/>
    </w:p>
    <w:p w14:paraId="3B2FD71D" w14:textId="77777777" w:rsidR="00F31BE5" w:rsidRPr="005E03F7" w:rsidRDefault="00F31BE5" w:rsidP="00F31BE5">
      <w:pPr>
        <w:pStyle w:val="AH2Part"/>
      </w:pPr>
      <w:r w:rsidRPr="005E03F7">
        <w:rPr>
          <w:rStyle w:val="CharPartNo"/>
        </w:rPr>
        <w:lastRenderedPageBreak/>
        <w:t>Part 4.6A</w:t>
      </w:r>
      <w:r>
        <w:tab/>
      </w:r>
      <w:r w:rsidRPr="005E03F7">
        <w:rPr>
          <w:rStyle w:val="CharPartText"/>
        </w:rPr>
        <w:t>Restricted access vehicles</w:t>
      </w:r>
      <w:bookmarkEnd w:id="182"/>
    </w:p>
    <w:p w14:paraId="355C5072" w14:textId="77777777" w:rsidR="00841803" w:rsidRDefault="00841803" w:rsidP="00841803">
      <w:pPr>
        <w:pStyle w:val="Placeholder"/>
        <w:suppressLineNumbers/>
      </w:pPr>
      <w:r>
        <w:rPr>
          <w:rStyle w:val="CharDivNo"/>
          <w:rFonts w:eastAsiaTheme="minorEastAsia"/>
        </w:rPr>
        <w:t xml:space="preserve">  </w:t>
      </w:r>
      <w:r>
        <w:rPr>
          <w:rStyle w:val="CharDivText"/>
        </w:rPr>
        <w:t xml:space="preserve">  </w:t>
      </w:r>
    </w:p>
    <w:p w14:paraId="3187083F" w14:textId="77777777" w:rsidR="00F31BE5" w:rsidRPr="00F31BE5" w:rsidRDefault="00F31BE5" w:rsidP="00F31BE5">
      <w:pPr>
        <w:pStyle w:val="AH5Sec"/>
      </w:pPr>
      <w:bookmarkStart w:id="183" w:name="_Toc83625527"/>
      <w:r w:rsidRPr="005E03F7">
        <w:rPr>
          <w:rStyle w:val="CharSectNo"/>
        </w:rPr>
        <w:t>153A</w:t>
      </w:r>
      <w:r>
        <w:tab/>
      </w:r>
      <w:r w:rsidRPr="00F31BE5">
        <w:t>Using restricted access vehicle</w:t>
      </w:r>
      <w:bookmarkEnd w:id="183"/>
    </w:p>
    <w:p w14:paraId="245422C5" w14:textId="77777777" w:rsidR="00F31BE5" w:rsidRDefault="00F31BE5" w:rsidP="00F31BE5">
      <w:pPr>
        <w:pStyle w:val="Amain"/>
        <w:rPr>
          <w:spacing w:val="-2"/>
          <w:szCs w:val="24"/>
        </w:rPr>
      </w:pPr>
      <w:r>
        <w:tab/>
        <w:t>(1)</w:t>
      </w:r>
      <w:r>
        <w:tab/>
        <w:t>A</w:t>
      </w:r>
      <w:r>
        <w:rPr>
          <w:spacing w:val="-2"/>
        </w:rPr>
        <w:t xml:space="preserve"> </w:t>
      </w:r>
      <w:r>
        <w:rPr>
          <w:spacing w:val="-1"/>
        </w:rPr>
        <w:t>person must not use</w:t>
      </w:r>
      <w:r>
        <w:t xml:space="preserve"> a</w:t>
      </w:r>
      <w:r>
        <w:rPr>
          <w:spacing w:val="-1"/>
        </w:rPr>
        <w:t xml:space="preserve"> restricted access</w:t>
      </w:r>
      <w:r>
        <w:t xml:space="preserve"> </w:t>
      </w:r>
      <w:r>
        <w:rPr>
          <w:spacing w:val="-1"/>
        </w:rPr>
        <w:t xml:space="preserve">vehicle, </w:t>
      </w:r>
      <w:r>
        <w:t>or</w:t>
      </w:r>
      <w:r>
        <w:rPr>
          <w:spacing w:val="27"/>
        </w:rPr>
        <w:t xml:space="preserve"> </w:t>
      </w:r>
      <w:r>
        <w:t>permit</w:t>
      </w:r>
      <w:r>
        <w:rPr>
          <w:spacing w:val="27"/>
        </w:rPr>
        <w:t xml:space="preserve"> </w:t>
      </w:r>
      <w:r>
        <w:t>a</w:t>
      </w:r>
      <w:r>
        <w:rPr>
          <w:spacing w:val="27"/>
        </w:rPr>
        <w:t xml:space="preserve"> </w:t>
      </w:r>
      <w:r>
        <w:t>restricted</w:t>
      </w:r>
      <w:r>
        <w:rPr>
          <w:spacing w:val="27"/>
        </w:rPr>
        <w:t xml:space="preserve"> </w:t>
      </w:r>
      <w:r>
        <w:rPr>
          <w:spacing w:val="-1"/>
        </w:rPr>
        <w:t>access</w:t>
      </w:r>
      <w:r>
        <w:rPr>
          <w:spacing w:val="27"/>
        </w:rPr>
        <w:t xml:space="preserve"> </w:t>
      </w:r>
      <w:r>
        <w:rPr>
          <w:spacing w:val="-2"/>
        </w:rPr>
        <w:t>vehicle</w:t>
      </w:r>
      <w:r>
        <w:rPr>
          <w:spacing w:val="27"/>
        </w:rPr>
        <w:t xml:space="preserve"> </w:t>
      </w:r>
      <w:r>
        <w:rPr>
          <w:spacing w:val="-1"/>
        </w:rPr>
        <w:t>to</w:t>
      </w:r>
      <w:r>
        <w:rPr>
          <w:spacing w:val="27"/>
        </w:rPr>
        <w:t xml:space="preserve"> </w:t>
      </w:r>
      <w:r>
        <w:rPr>
          <w:spacing w:val="-1"/>
        </w:rPr>
        <w:t>be</w:t>
      </w:r>
      <w:r>
        <w:rPr>
          <w:spacing w:val="27"/>
        </w:rPr>
        <w:t xml:space="preserve"> </w:t>
      </w:r>
      <w:r>
        <w:rPr>
          <w:spacing w:val="-1"/>
        </w:rPr>
        <w:t xml:space="preserve">used, </w:t>
      </w:r>
      <w:r>
        <w:t>on</w:t>
      </w:r>
      <w:r>
        <w:rPr>
          <w:spacing w:val="42"/>
        </w:rPr>
        <w:t xml:space="preserve"> </w:t>
      </w:r>
      <w:r>
        <w:t>a</w:t>
      </w:r>
      <w:r>
        <w:rPr>
          <w:spacing w:val="42"/>
        </w:rPr>
        <w:t xml:space="preserve"> </w:t>
      </w:r>
      <w:r>
        <w:t>road</w:t>
      </w:r>
      <w:r>
        <w:rPr>
          <w:spacing w:val="42"/>
        </w:rPr>
        <w:t xml:space="preserve"> </w:t>
      </w:r>
      <w:r>
        <w:t>unless</w:t>
      </w:r>
      <w:r>
        <w:rPr>
          <w:spacing w:val="42"/>
        </w:rPr>
        <w:t xml:space="preserve"> </w:t>
      </w:r>
      <w:r>
        <w:t>the</w:t>
      </w:r>
      <w:r>
        <w:rPr>
          <w:spacing w:val="42"/>
        </w:rPr>
        <w:t xml:space="preserve"> </w:t>
      </w:r>
      <w:r>
        <w:t>road</w:t>
      </w:r>
      <w:r>
        <w:rPr>
          <w:spacing w:val="42"/>
        </w:rPr>
        <w:t xml:space="preserve"> </w:t>
      </w:r>
      <w:r>
        <w:t>is</w:t>
      </w:r>
      <w:r>
        <w:rPr>
          <w:spacing w:val="42"/>
        </w:rPr>
        <w:t xml:space="preserve"> </w:t>
      </w:r>
      <w:r>
        <w:t>one</w:t>
      </w:r>
      <w:r>
        <w:rPr>
          <w:spacing w:val="42"/>
        </w:rPr>
        <w:t xml:space="preserve"> </w:t>
      </w:r>
      <w:r>
        <w:t>on</w:t>
      </w:r>
      <w:r>
        <w:rPr>
          <w:spacing w:val="42"/>
        </w:rPr>
        <w:t xml:space="preserve"> </w:t>
      </w:r>
      <w:r>
        <w:t>which</w:t>
      </w:r>
      <w:r>
        <w:rPr>
          <w:spacing w:val="42"/>
        </w:rPr>
        <w:t xml:space="preserve"> </w:t>
      </w:r>
      <w:r>
        <w:t>the</w:t>
      </w:r>
      <w:r w:rsidR="00963883">
        <w:t xml:space="preserve"> </w:t>
      </w:r>
      <w:r w:rsidR="00963883">
        <w:rPr>
          <w:spacing w:val="-1"/>
        </w:rPr>
        <w:t>vehicle</w:t>
      </w:r>
      <w:r w:rsidR="00963883">
        <w:rPr>
          <w:spacing w:val="45"/>
        </w:rPr>
        <w:t xml:space="preserve"> </w:t>
      </w:r>
      <w:r w:rsidR="00963883">
        <w:t>is</w:t>
      </w:r>
      <w:r w:rsidR="00963883">
        <w:rPr>
          <w:spacing w:val="45"/>
        </w:rPr>
        <w:t xml:space="preserve"> </w:t>
      </w:r>
      <w:r w:rsidR="00963883">
        <w:rPr>
          <w:spacing w:val="-1"/>
        </w:rPr>
        <w:t>allowed</w:t>
      </w:r>
      <w:r w:rsidR="00963883">
        <w:rPr>
          <w:spacing w:val="45"/>
        </w:rPr>
        <w:t xml:space="preserve"> </w:t>
      </w:r>
      <w:r w:rsidR="00963883">
        <w:t>to</w:t>
      </w:r>
      <w:r w:rsidR="00963883">
        <w:rPr>
          <w:spacing w:val="44"/>
        </w:rPr>
        <w:t xml:space="preserve"> </w:t>
      </w:r>
      <w:r w:rsidR="00963883">
        <w:rPr>
          <w:spacing w:val="-1"/>
        </w:rPr>
        <w:t>be</w:t>
      </w:r>
      <w:r w:rsidR="00963883">
        <w:rPr>
          <w:spacing w:val="46"/>
        </w:rPr>
        <w:t xml:space="preserve"> </w:t>
      </w:r>
      <w:r w:rsidR="00963883">
        <w:rPr>
          <w:spacing w:val="-1"/>
        </w:rPr>
        <w:t>used</w:t>
      </w:r>
      <w:r w:rsidR="00963883">
        <w:rPr>
          <w:spacing w:val="46"/>
        </w:rPr>
        <w:t xml:space="preserve"> </w:t>
      </w:r>
      <w:r w:rsidR="00963883">
        <w:rPr>
          <w:spacing w:val="-1"/>
        </w:rPr>
        <w:t>under</w:t>
      </w:r>
      <w:r w:rsidR="00963883">
        <w:rPr>
          <w:spacing w:val="46"/>
        </w:rPr>
        <w:t xml:space="preserve"> </w:t>
      </w:r>
      <w:r w:rsidR="00963883">
        <w:t>a</w:t>
      </w:r>
      <w:r w:rsidR="00963883">
        <w:rPr>
          <w:spacing w:val="46"/>
        </w:rPr>
        <w:t xml:space="preserve"> </w:t>
      </w:r>
      <w:r w:rsidR="00963883">
        <w:rPr>
          <w:spacing w:val="-1"/>
        </w:rPr>
        <w:t>mass</w:t>
      </w:r>
      <w:r w:rsidR="00963883">
        <w:rPr>
          <w:spacing w:val="46"/>
        </w:rPr>
        <w:t xml:space="preserve"> </w:t>
      </w:r>
      <w:r w:rsidR="00963883">
        <w:rPr>
          <w:spacing w:val="-1"/>
        </w:rPr>
        <w:t xml:space="preserve">or </w:t>
      </w:r>
      <w:r w:rsidR="00963883">
        <w:rPr>
          <w:spacing w:val="-1"/>
          <w:szCs w:val="24"/>
        </w:rPr>
        <w:t xml:space="preserve">dimension authority applying to the </w:t>
      </w:r>
      <w:r w:rsidR="00963883">
        <w:rPr>
          <w:spacing w:val="-2"/>
          <w:szCs w:val="24"/>
        </w:rPr>
        <w:t>vehicle.</w:t>
      </w:r>
    </w:p>
    <w:p w14:paraId="4AC696CA" w14:textId="77777777" w:rsidR="00963883" w:rsidRDefault="00963883" w:rsidP="00963883">
      <w:pPr>
        <w:pStyle w:val="Penalty"/>
      </w:pPr>
      <w:r>
        <w:rPr>
          <w:spacing w:val="-1"/>
          <w:szCs w:val="24"/>
        </w:rPr>
        <w:t>Maximum penalty—$6000.</w:t>
      </w:r>
    </w:p>
    <w:p w14:paraId="3F939834" w14:textId="77777777" w:rsidR="00F31BE5" w:rsidRDefault="00F31BE5" w:rsidP="00F31BE5">
      <w:pPr>
        <w:pStyle w:val="Amain"/>
        <w:rPr>
          <w:spacing w:val="-1"/>
          <w:szCs w:val="24"/>
        </w:rPr>
      </w:pPr>
      <w:r>
        <w:tab/>
        <w:t>(2)</w:t>
      </w:r>
      <w:r>
        <w:tab/>
      </w:r>
      <w:r w:rsidR="00963883">
        <w:rPr>
          <w:spacing w:val="-1"/>
          <w:szCs w:val="24"/>
        </w:rPr>
        <w:t>In this section—</w:t>
      </w:r>
    </w:p>
    <w:p w14:paraId="1C42CE0C" w14:textId="77777777" w:rsidR="00963883" w:rsidRDefault="00963883" w:rsidP="00963883">
      <w:pPr>
        <w:pStyle w:val="aDef"/>
      </w:pPr>
      <w:r w:rsidRPr="00963883">
        <w:rPr>
          <w:rStyle w:val="charBoldItals"/>
        </w:rPr>
        <w:t>restricted access vehicle</w:t>
      </w:r>
      <w:r w:rsidRPr="00963883">
        <w:t xml:space="preserve"> means a heavy vehicle that (together with its load) is—</w:t>
      </w:r>
    </w:p>
    <w:p w14:paraId="49E75CF4" w14:textId="77777777" w:rsidR="00963883" w:rsidRPr="00963883" w:rsidRDefault="00963883" w:rsidP="00963883">
      <w:pPr>
        <w:pStyle w:val="aDefpara"/>
      </w:pPr>
      <w:r>
        <w:tab/>
        <w:t>(a)</w:t>
      </w:r>
      <w:r>
        <w:tab/>
      </w:r>
      <w:r w:rsidRPr="00963883">
        <w:t>higher than 4.3m; or</w:t>
      </w:r>
    </w:p>
    <w:p w14:paraId="4BE5D821" w14:textId="77777777" w:rsidR="00963883" w:rsidRPr="00963883" w:rsidRDefault="00963883" w:rsidP="00963883">
      <w:pPr>
        <w:pStyle w:val="aDefpara"/>
      </w:pPr>
      <w:r w:rsidRPr="00963883">
        <w:tab/>
        <w:t>(b)</w:t>
      </w:r>
      <w:r w:rsidRPr="00963883">
        <w:tab/>
        <w:t>wider than 2.5m; or</w:t>
      </w:r>
    </w:p>
    <w:p w14:paraId="4BA13B83" w14:textId="77777777" w:rsidR="00963883" w:rsidRPr="00963883" w:rsidRDefault="00963883" w:rsidP="00963883">
      <w:pPr>
        <w:pStyle w:val="aDefpara"/>
      </w:pPr>
      <w:r w:rsidRPr="00963883">
        <w:tab/>
        <w:t>(c)</w:t>
      </w:r>
      <w:r w:rsidRPr="00963883">
        <w:tab/>
        <w:t>longer than—</w:t>
      </w:r>
    </w:p>
    <w:p w14:paraId="0374DC0C" w14:textId="77777777" w:rsidR="00963883" w:rsidRPr="00963883" w:rsidRDefault="00963883" w:rsidP="00963883">
      <w:pPr>
        <w:pStyle w:val="Asubpara"/>
      </w:pPr>
      <w:r w:rsidRPr="00963883">
        <w:tab/>
        <w:t>(i)</w:t>
      </w:r>
      <w:r w:rsidRPr="00963883">
        <w:tab/>
        <w:t>if a single vehicle other than an articulated bus—12.5m;</w:t>
      </w:r>
    </w:p>
    <w:p w14:paraId="352A6877" w14:textId="77777777" w:rsidR="00963883" w:rsidRPr="00963883" w:rsidRDefault="00963883" w:rsidP="00963883">
      <w:pPr>
        <w:pStyle w:val="Asubpara"/>
      </w:pPr>
      <w:r w:rsidRPr="00963883">
        <w:tab/>
        <w:t>(ii)</w:t>
      </w:r>
      <w:r w:rsidRPr="00963883">
        <w:tab/>
        <w:t>if an articulated bus—18m; or</w:t>
      </w:r>
    </w:p>
    <w:p w14:paraId="36F6683C" w14:textId="77777777" w:rsidR="00963883" w:rsidRPr="00963883" w:rsidRDefault="00963883" w:rsidP="00963883">
      <w:pPr>
        <w:pStyle w:val="Asubpara"/>
      </w:pPr>
      <w:r w:rsidRPr="00963883">
        <w:tab/>
        <w:t>(iii)</w:t>
      </w:r>
      <w:r w:rsidRPr="00963883">
        <w:tab/>
        <w:t>if a combination—19m.</w:t>
      </w:r>
    </w:p>
    <w:p w14:paraId="260998D2" w14:textId="77777777" w:rsidR="00FF160A" w:rsidRPr="00FF160A" w:rsidRDefault="00FF160A" w:rsidP="00FF160A">
      <w:pPr>
        <w:pStyle w:val="aDef"/>
        <w:rPr>
          <w:lang w:val="en" w:eastAsia="en-AU"/>
        </w:rPr>
      </w:pPr>
      <w:r w:rsidRPr="00FF160A">
        <w:rPr>
          <w:b/>
          <w:bCs/>
          <w:i/>
          <w:iCs/>
          <w:lang w:val="en" w:eastAsia="en-AU"/>
        </w:rPr>
        <w:t>specified semitrailer</w:t>
      </w:r>
      <w:r w:rsidRPr="00FF160A">
        <w:rPr>
          <w:lang w:val="en" w:eastAsia="en-AU"/>
        </w:rPr>
        <w:t xml:space="preserve"> means a semitrailer that—</w:t>
      </w:r>
    </w:p>
    <w:p w14:paraId="59386DA7" w14:textId="77777777" w:rsidR="00FF160A" w:rsidRPr="00FF160A" w:rsidRDefault="00FF160A" w:rsidP="00FF160A">
      <w:pPr>
        <w:pStyle w:val="aDefpara"/>
        <w:rPr>
          <w:lang w:val="en" w:eastAsia="en-AU"/>
        </w:rPr>
      </w:pPr>
      <w:r>
        <w:rPr>
          <w:lang w:val="en" w:eastAsia="en-AU"/>
        </w:rPr>
        <w:tab/>
      </w:r>
      <w:r w:rsidRPr="00FF160A">
        <w:rPr>
          <w:lang w:val="en" w:eastAsia="en-AU"/>
        </w:rPr>
        <w:t>(a)</w:t>
      </w:r>
      <w:r>
        <w:rPr>
          <w:lang w:val="en" w:eastAsia="en-AU"/>
        </w:rPr>
        <w:tab/>
      </w:r>
      <w:r w:rsidRPr="00FF160A">
        <w:rPr>
          <w:lang w:val="en" w:eastAsia="en-AU"/>
        </w:rPr>
        <w:t>is not a PBS vehicle; and</w:t>
      </w:r>
    </w:p>
    <w:p w14:paraId="64D396CD" w14:textId="77777777" w:rsidR="00FF160A" w:rsidRPr="00FF160A" w:rsidRDefault="00FF160A" w:rsidP="00FF160A">
      <w:pPr>
        <w:pStyle w:val="aDefpara"/>
        <w:rPr>
          <w:lang w:val="en" w:eastAsia="en-AU"/>
        </w:rPr>
      </w:pPr>
      <w:r>
        <w:rPr>
          <w:lang w:val="en" w:eastAsia="en-AU"/>
        </w:rPr>
        <w:tab/>
      </w:r>
      <w:r w:rsidRPr="00FF160A">
        <w:rPr>
          <w:lang w:val="en" w:eastAsia="en-AU"/>
        </w:rPr>
        <w:t>(b)</w:t>
      </w:r>
      <w:r>
        <w:rPr>
          <w:lang w:val="en" w:eastAsia="en-AU"/>
        </w:rPr>
        <w:tab/>
      </w:r>
      <w:r w:rsidRPr="00FF160A">
        <w:rPr>
          <w:lang w:val="en" w:eastAsia="en-AU"/>
        </w:rPr>
        <w:t>has an air suspension system with effective dampers fitted; and</w:t>
      </w:r>
    </w:p>
    <w:p w14:paraId="244D2F56" w14:textId="77777777" w:rsidR="00FF160A" w:rsidRPr="00FF160A" w:rsidRDefault="00FF160A" w:rsidP="00FF160A">
      <w:pPr>
        <w:pStyle w:val="aDefpara"/>
        <w:rPr>
          <w:lang w:val="en" w:eastAsia="en-AU"/>
        </w:rPr>
      </w:pPr>
      <w:r>
        <w:rPr>
          <w:lang w:val="en" w:eastAsia="en-AU"/>
        </w:rPr>
        <w:tab/>
      </w:r>
      <w:r w:rsidRPr="00FF160A">
        <w:rPr>
          <w:lang w:val="en" w:eastAsia="en-AU"/>
        </w:rPr>
        <w:t>(c)</w:t>
      </w:r>
      <w:r>
        <w:rPr>
          <w:lang w:val="en" w:eastAsia="en-AU"/>
        </w:rPr>
        <w:tab/>
      </w:r>
      <w:r w:rsidRPr="00FF160A">
        <w:rPr>
          <w:lang w:val="en" w:eastAsia="en-AU"/>
        </w:rPr>
        <w:t>has a deck height not higher than 1.2m for at least 50% of its deck length; and</w:t>
      </w:r>
    </w:p>
    <w:p w14:paraId="401DA932" w14:textId="77777777" w:rsidR="00FF160A" w:rsidRPr="00FF160A" w:rsidRDefault="00D547B4" w:rsidP="006D21FE">
      <w:pPr>
        <w:pStyle w:val="aDefpara"/>
        <w:keepNext/>
        <w:rPr>
          <w:lang w:val="en" w:eastAsia="en-AU"/>
        </w:rPr>
      </w:pPr>
      <w:r>
        <w:rPr>
          <w:lang w:val="en" w:eastAsia="en-AU"/>
        </w:rPr>
        <w:lastRenderedPageBreak/>
        <w:tab/>
      </w:r>
      <w:r w:rsidR="00FF160A" w:rsidRPr="00FF160A">
        <w:rPr>
          <w:lang w:val="en" w:eastAsia="en-AU"/>
        </w:rPr>
        <w:t>(d)</w:t>
      </w:r>
      <w:r>
        <w:rPr>
          <w:lang w:val="en" w:eastAsia="en-AU"/>
        </w:rPr>
        <w:tab/>
      </w:r>
      <w:r w:rsidR="00FF160A" w:rsidRPr="00FF160A">
        <w:rPr>
          <w:lang w:val="en" w:eastAsia="en-AU"/>
        </w:rPr>
        <w:t>if in a combination—the combination—</w:t>
      </w:r>
    </w:p>
    <w:p w14:paraId="4CF0AA6C" w14:textId="77777777" w:rsidR="00FF160A" w:rsidRPr="00FF160A" w:rsidRDefault="00D547B4" w:rsidP="006D21FE">
      <w:pPr>
        <w:pStyle w:val="aDefsubpara"/>
        <w:keepNext/>
        <w:rPr>
          <w:lang w:val="en" w:eastAsia="en-AU"/>
        </w:rPr>
      </w:pPr>
      <w:r>
        <w:rPr>
          <w:lang w:val="en" w:eastAsia="en-AU"/>
        </w:rPr>
        <w:tab/>
      </w:r>
      <w:r w:rsidR="00FF160A" w:rsidRPr="00FF160A">
        <w:rPr>
          <w:lang w:val="en" w:eastAsia="en-AU"/>
        </w:rPr>
        <w:t>(i)</w:t>
      </w:r>
      <w:r>
        <w:rPr>
          <w:lang w:val="en" w:eastAsia="en-AU"/>
        </w:rPr>
        <w:tab/>
      </w:r>
      <w:r w:rsidR="00FF160A" w:rsidRPr="00FF160A">
        <w:rPr>
          <w:lang w:val="en" w:eastAsia="en-AU"/>
        </w:rPr>
        <w:t>consists only of—</w:t>
      </w:r>
    </w:p>
    <w:p w14:paraId="47C6C11C" w14:textId="77777777" w:rsidR="00FF160A" w:rsidRPr="00FF160A" w:rsidRDefault="00D547B4" w:rsidP="00D547B4">
      <w:pPr>
        <w:pStyle w:val="Asubsubpara"/>
        <w:rPr>
          <w:lang w:val="en" w:eastAsia="en-AU"/>
        </w:rPr>
      </w:pPr>
      <w:r>
        <w:rPr>
          <w:lang w:val="en" w:eastAsia="en-AU"/>
        </w:rPr>
        <w:tab/>
      </w:r>
      <w:r w:rsidR="00FF160A" w:rsidRPr="00FF160A">
        <w:rPr>
          <w:lang w:val="en" w:eastAsia="en-AU"/>
        </w:rPr>
        <w:t>(A)</w:t>
      </w:r>
      <w:r>
        <w:rPr>
          <w:lang w:val="en" w:eastAsia="en-AU"/>
        </w:rPr>
        <w:tab/>
      </w:r>
      <w:r w:rsidR="00FF160A" w:rsidRPr="00FF160A">
        <w:rPr>
          <w:lang w:val="en" w:eastAsia="en-AU"/>
        </w:rPr>
        <w:t>a prime mover towing a single semitrailer attached to the prime mover by a fifth wheel coupling; or</w:t>
      </w:r>
    </w:p>
    <w:p w14:paraId="2EEB1AC7" w14:textId="77777777" w:rsidR="00FF160A" w:rsidRPr="00FF160A" w:rsidRDefault="00D547B4" w:rsidP="00D547B4">
      <w:pPr>
        <w:pStyle w:val="Asubsubpara"/>
        <w:rPr>
          <w:lang w:val="en" w:eastAsia="en-AU"/>
        </w:rPr>
      </w:pPr>
      <w:r>
        <w:rPr>
          <w:lang w:val="en" w:eastAsia="en-AU"/>
        </w:rPr>
        <w:tab/>
      </w:r>
      <w:r w:rsidR="00FF160A" w:rsidRPr="00FF160A">
        <w:rPr>
          <w:lang w:val="en" w:eastAsia="en-AU"/>
        </w:rPr>
        <w:t>(B)</w:t>
      </w:r>
      <w:r>
        <w:rPr>
          <w:lang w:val="en" w:eastAsia="en-AU"/>
        </w:rPr>
        <w:tab/>
      </w:r>
      <w:r w:rsidR="00FF160A" w:rsidRPr="00FF160A">
        <w:rPr>
          <w:lang w:val="en" w:eastAsia="en-AU"/>
        </w:rPr>
        <w:t>a B-double; or</w:t>
      </w:r>
    </w:p>
    <w:p w14:paraId="0C6F0256" w14:textId="77777777" w:rsidR="00FF160A" w:rsidRPr="00FF160A" w:rsidRDefault="00D547B4" w:rsidP="00D547B4">
      <w:pPr>
        <w:pStyle w:val="Asubsubpara"/>
        <w:rPr>
          <w:lang w:val="en" w:eastAsia="en-AU"/>
        </w:rPr>
      </w:pPr>
      <w:r>
        <w:rPr>
          <w:lang w:val="en" w:eastAsia="en-AU"/>
        </w:rPr>
        <w:tab/>
      </w:r>
      <w:r w:rsidR="00FF160A" w:rsidRPr="00FF160A">
        <w:rPr>
          <w:lang w:val="en" w:eastAsia="en-AU"/>
        </w:rPr>
        <w:t>(C)</w:t>
      </w:r>
      <w:r>
        <w:rPr>
          <w:lang w:val="en" w:eastAsia="en-AU"/>
        </w:rPr>
        <w:tab/>
      </w:r>
      <w:r w:rsidR="00FF160A" w:rsidRPr="00FF160A">
        <w:rPr>
          <w:lang w:val="en" w:eastAsia="en-AU"/>
        </w:rPr>
        <w:t>a B-triple; and</w:t>
      </w:r>
    </w:p>
    <w:p w14:paraId="19B96002" w14:textId="77777777" w:rsidR="00FF160A" w:rsidRPr="00FF160A" w:rsidRDefault="00D547B4" w:rsidP="00D547B4">
      <w:pPr>
        <w:pStyle w:val="aDefsubpara"/>
        <w:rPr>
          <w:lang w:val="en" w:eastAsia="en-AU"/>
        </w:rPr>
      </w:pPr>
      <w:r>
        <w:rPr>
          <w:lang w:val="en" w:eastAsia="en-AU"/>
        </w:rPr>
        <w:tab/>
      </w:r>
      <w:r w:rsidR="00FF160A" w:rsidRPr="00FF160A">
        <w:rPr>
          <w:lang w:val="en" w:eastAsia="en-AU"/>
        </w:rPr>
        <w:t>(ii)</w:t>
      </w:r>
      <w:r>
        <w:rPr>
          <w:lang w:val="en" w:eastAsia="en-AU"/>
        </w:rPr>
        <w:tab/>
      </w:r>
      <w:r w:rsidR="00FF160A" w:rsidRPr="00FF160A">
        <w:rPr>
          <w:lang w:val="en" w:eastAsia="en-AU"/>
        </w:rPr>
        <w:t>has a mass not more than 90% of the prescribed mass requirements for the combination.</w:t>
      </w:r>
    </w:p>
    <w:p w14:paraId="77A4DA21" w14:textId="77777777" w:rsidR="00FF160A" w:rsidRPr="00FF160A" w:rsidRDefault="00FF160A" w:rsidP="00D547B4">
      <w:pPr>
        <w:pStyle w:val="aNote"/>
        <w:rPr>
          <w:lang w:val="en" w:eastAsia="en-AU"/>
        </w:rPr>
      </w:pPr>
      <w:r w:rsidRPr="00D547B4">
        <w:rPr>
          <w:i/>
          <w:iCs/>
          <w:lang w:val="en" w:eastAsia="en-AU"/>
        </w:rPr>
        <w:t>Note</w:t>
      </w:r>
      <w:r w:rsidRPr="00FF160A">
        <w:rPr>
          <w:lang w:val="en" w:eastAsia="en-AU"/>
        </w:rPr>
        <w:t>—</w:t>
      </w:r>
    </w:p>
    <w:p w14:paraId="0A51270B" w14:textId="77777777" w:rsidR="00FF160A" w:rsidRPr="00FF160A" w:rsidRDefault="00FF160A" w:rsidP="00D547B4">
      <w:pPr>
        <w:pStyle w:val="aNote"/>
        <w:ind w:left="1092" w:firstLine="8"/>
        <w:rPr>
          <w:lang w:val="en" w:eastAsia="en-AU"/>
        </w:rPr>
      </w:pPr>
      <w:r w:rsidRPr="00FF160A">
        <w:rPr>
          <w:lang w:val="en" w:eastAsia="en-AU"/>
        </w:rPr>
        <w:t>Although this section does not apply to certain combinations, a combination that is a class 2 heavy vehicle will still need to have a class 2 heavy vehicle authorisation (see s 137).</w:t>
      </w:r>
    </w:p>
    <w:p w14:paraId="665378A2" w14:textId="77777777" w:rsidR="00560DA3" w:rsidRPr="00560DA3" w:rsidRDefault="00560DA3" w:rsidP="00560DA3">
      <w:pPr>
        <w:pStyle w:val="Amain"/>
        <w:rPr>
          <w:lang w:val="en" w:eastAsia="en-AU"/>
        </w:rPr>
      </w:pPr>
      <w:r>
        <w:rPr>
          <w:lang w:val="en" w:eastAsia="en-AU"/>
        </w:rPr>
        <w:tab/>
      </w:r>
      <w:r w:rsidRPr="00560DA3">
        <w:rPr>
          <w:lang w:val="en" w:eastAsia="en-AU"/>
        </w:rPr>
        <w:t>(3)</w:t>
      </w:r>
      <w:r>
        <w:rPr>
          <w:lang w:val="en" w:eastAsia="en-AU"/>
        </w:rPr>
        <w:tab/>
      </w:r>
      <w:r w:rsidRPr="00560DA3">
        <w:rPr>
          <w:lang w:val="en" w:eastAsia="en-AU"/>
        </w:rPr>
        <w:t>This section does not apply to—</w:t>
      </w:r>
    </w:p>
    <w:p w14:paraId="2B47BC10" w14:textId="77777777" w:rsidR="00560DA3" w:rsidRPr="00560DA3" w:rsidRDefault="00560DA3" w:rsidP="00560DA3">
      <w:pPr>
        <w:pStyle w:val="Apara"/>
        <w:rPr>
          <w:lang w:val="en" w:eastAsia="en-AU"/>
        </w:rPr>
      </w:pPr>
      <w:r>
        <w:rPr>
          <w:lang w:val="en" w:eastAsia="en-AU"/>
        </w:rPr>
        <w:tab/>
      </w:r>
      <w:r w:rsidRPr="00560DA3">
        <w:rPr>
          <w:lang w:val="en" w:eastAsia="en-AU"/>
        </w:rPr>
        <w:t>(a)</w:t>
      </w:r>
      <w:r>
        <w:rPr>
          <w:lang w:val="en" w:eastAsia="en-AU"/>
        </w:rPr>
        <w:tab/>
      </w:r>
      <w:r w:rsidRPr="00560DA3">
        <w:rPr>
          <w:lang w:val="en" w:eastAsia="en-AU"/>
        </w:rPr>
        <w:t>a class 2 heavy vehicle; or</w:t>
      </w:r>
    </w:p>
    <w:p w14:paraId="7A068A26" w14:textId="77777777" w:rsidR="00560DA3" w:rsidRPr="00560DA3" w:rsidRDefault="00560DA3" w:rsidP="00560DA3">
      <w:pPr>
        <w:pStyle w:val="Apara"/>
        <w:rPr>
          <w:lang w:val="en" w:eastAsia="en-AU"/>
        </w:rPr>
      </w:pPr>
      <w:r>
        <w:rPr>
          <w:lang w:val="en" w:eastAsia="en-AU"/>
        </w:rPr>
        <w:tab/>
      </w:r>
      <w:r w:rsidRPr="00560DA3">
        <w:rPr>
          <w:lang w:val="en" w:eastAsia="en-AU"/>
        </w:rPr>
        <w:t>(b)</w:t>
      </w:r>
      <w:r>
        <w:rPr>
          <w:lang w:val="en" w:eastAsia="en-AU"/>
        </w:rPr>
        <w:tab/>
      </w:r>
      <w:r w:rsidRPr="00560DA3">
        <w:rPr>
          <w:lang w:val="en" w:eastAsia="en-AU"/>
        </w:rPr>
        <w:t>a specified PBS vehicle as defined in section 136(2)</w:t>
      </w:r>
      <w:r w:rsidR="00D547B4">
        <w:rPr>
          <w:lang w:val="en" w:eastAsia="en-AU"/>
        </w:rPr>
        <w:t>; or</w:t>
      </w:r>
    </w:p>
    <w:p w14:paraId="67EED9ED" w14:textId="77777777" w:rsidR="00560DA3" w:rsidRPr="00560DA3" w:rsidRDefault="00560DA3" w:rsidP="00560DA3">
      <w:pPr>
        <w:pStyle w:val="aNote"/>
        <w:rPr>
          <w:lang w:val="en" w:eastAsia="en-AU"/>
        </w:rPr>
      </w:pPr>
      <w:r w:rsidRPr="00560DA3">
        <w:rPr>
          <w:rStyle w:val="charItals"/>
        </w:rPr>
        <w:t>Note</w:t>
      </w:r>
      <w:r w:rsidRPr="00560DA3">
        <w:rPr>
          <w:lang w:val="en" w:eastAsia="en-AU"/>
        </w:rPr>
        <w:t>—</w:t>
      </w:r>
    </w:p>
    <w:p w14:paraId="512B3855" w14:textId="77777777" w:rsidR="00560DA3" w:rsidRDefault="00560DA3" w:rsidP="00560DA3">
      <w:pPr>
        <w:pStyle w:val="aNoteTextss"/>
        <w:rPr>
          <w:lang w:val="en" w:eastAsia="en-AU"/>
        </w:rPr>
      </w:pPr>
      <w:r w:rsidRPr="00560DA3">
        <w:rPr>
          <w:lang w:val="en" w:eastAsia="en-AU"/>
        </w:rPr>
        <w:t>All other PBS vehicles are class 2 heavy vehicles (see section 136).</w:t>
      </w:r>
    </w:p>
    <w:p w14:paraId="021CE98D" w14:textId="77777777" w:rsidR="00D547B4" w:rsidRPr="00560DA3" w:rsidRDefault="00D547B4" w:rsidP="00D547B4">
      <w:pPr>
        <w:pStyle w:val="Apara"/>
        <w:rPr>
          <w:lang w:val="en" w:eastAsia="en-AU"/>
        </w:rPr>
      </w:pPr>
      <w:r>
        <w:rPr>
          <w:rStyle w:val="listnumber"/>
          <w:color w:val="000000"/>
          <w:sz w:val="23"/>
          <w:szCs w:val="23"/>
          <w:lang w:val="en"/>
        </w:rPr>
        <w:tab/>
        <w:t>(c)</w:t>
      </w:r>
      <w:r>
        <w:rPr>
          <w:rStyle w:val="listnumber"/>
          <w:color w:val="000000"/>
          <w:sz w:val="23"/>
          <w:szCs w:val="23"/>
          <w:lang w:val="en"/>
        </w:rPr>
        <w:tab/>
      </w:r>
      <w:r>
        <w:rPr>
          <w:lang w:val="en"/>
        </w:rPr>
        <w:t>a specified semitrailer.</w:t>
      </w:r>
    </w:p>
    <w:p w14:paraId="2A388371" w14:textId="77777777" w:rsidR="00DB6E47" w:rsidRPr="003D647F" w:rsidRDefault="00DB6E47" w:rsidP="00DB6E47">
      <w:pPr>
        <w:pStyle w:val="PageBreak"/>
        <w:rPr>
          <w:rFonts w:eastAsiaTheme="minorHAnsi"/>
        </w:rPr>
      </w:pPr>
      <w:r w:rsidRPr="003D647F">
        <w:rPr>
          <w:rFonts w:eastAsiaTheme="minorHAnsi"/>
        </w:rPr>
        <w:br w:type="page"/>
      </w:r>
    </w:p>
    <w:p w14:paraId="551748E3" w14:textId="77777777" w:rsidR="00DB6E47" w:rsidRPr="005E03F7" w:rsidRDefault="00DB6E47" w:rsidP="00DB6E47">
      <w:pPr>
        <w:pStyle w:val="AH2Part"/>
      </w:pPr>
      <w:bookmarkStart w:id="184" w:name="_Toc83625528"/>
      <w:r w:rsidRPr="005E03F7">
        <w:rPr>
          <w:rStyle w:val="CharPartNo"/>
        </w:rPr>
        <w:lastRenderedPageBreak/>
        <w:t>Part 4.7</w:t>
      </w:r>
      <w:r w:rsidRPr="00A95F9A">
        <w:rPr>
          <w:rFonts w:ascii="Helvetica" w:hAnsi="Helvetica" w:cs="Helvetica"/>
          <w:iCs/>
          <w:szCs w:val="32"/>
        </w:rPr>
        <w:tab/>
      </w:r>
      <w:r w:rsidRPr="005E03F7">
        <w:rPr>
          <w:rStyle w:val="CharPartText"/>
          <w:rFonts w:ascii="Helvetica" w:hAnsi="Helvetica" w:cs="Helvetica"/>
          <w:iCs/>
          <w:szCs w:val="32"/>
        </w:rPr>
        <w:t>Particular provisions about mass or dimension authorities</w:t>
      </w:r>
      <w:bookmarkEnd w:id="184"/>
    </w:p>
    <w:p w14:paraId="79541E34" w14:textId="77777777" w:rsidR="00DB6E47" w:rsidRPr="005E03F7" w:rsidRDefault="00DB6E47" w:rsidP="00DB6E47">
      <w:pPr>
        <w:pStyle w:val="AH3Div"/>
      </w:pPr>
      <w:bookmarkStart w:id="185" w:name="_Toc83625529"/>
      <w:r w:rsidRPr="005E03F7">
        <w:rPr>
          <w:rStyle w:val="CharDivNo"/>
        </w:rPr>
        <w:t>Division 1</w:t>
      </w:r>
      <w:r w:rsidRPr="00A95F9A">
        <w:rPr>
          <w:rFonts w:ascii="Helvetica" w:hAnsi="Helvetica" w:cs="Helvetica"/>
          <w:iCs/>
          <w:szCs w:val="28"/>
        </w:rPr>
        <w:tab/>
      </w:r>
      <w:r w:rsidRPr="005E03F7">
        <w:rPr>
          <w:rStyle w:val="CharDivText"/>
          <w:rFonts w:ascii="Helvetica" w:hAnsi="Helvetica" w:cs="Helvetica"/>
          <w:iCs/>
          <w:szCs w:val="28"/>
        </w:rPr>
        <w:t>Preliminary</w:t>
      </w:r>
      <w:bookmarkEnd w:id="185"/>
    </w:p>
    <w:p w14:paraId="2B17A6C1" w14:textId="77777777" w:rsidR="00DB6E47" w:rsidRPr="007E1F9A" w:rsidRDefault="00DB6E47" w:rsidP="00DB6E47">
      <w:pPr>
        <w:pStyle w:val="AH5Sec"/>
      </w:pPr>
      <w:bookmarkStart w:id="186" w:name="_Toc83625530"/>
      <w:r w:rsidRPr="005E03F7">
        <w:rPr>
          <w:rStyle w:val="CharSectNo"/>
        </w:rPr>
        <w:t>154</w:t>
      </w:r>
      <w:r w:rsidRPr="007E1F9A">
        <w:tab/>
        <w:t>Definitions for Pt 4.7</w:t>
      </w:r>
      <w:bookmarkEnd w:id="186"/>
    </w:p>
    <w:p w14:paraId="45650950" w14:textId="77777777" w:rsidR="00DB6E47" w:rsidRPr="003F319E" w:rsidRDefault="00DB6E47" w:rsidP="00DB6E47">
      <w:pPr>
        <w:pStyle w:val="Amainreturn"/>
      </w:pPr>
      <w:r w:rsidRPr="003F319E">
        <w:t>In this Part—</w:t>
      </w:r>
    </w:p>
    <w:p w14:paraId="50231BAD" w14:textId="77777777" w:rsidR="00DB6E47" w:rsidRPr="00041046" w:rsidRDefault="00DB6E47" w:rsidP="00DB6E47">
      <w:pPr>
        <w:pStyle w:val="aDef"/>
        <w:rPr>
          <w:bCs/>
        </w:rPr>
      </w:pPr>
      <w:r w:rsidRPr="00041046">
        <w:rPr>
          <w:rStyle w:val="charBoldItals"/>
        </w:rPr>
        <w:t>road condition</w:t>
      </w:r>
      <w:r w:rsidRPr="00041046">
        <w:t>—</w:t>
      </w:r>
    </w:p>
    <w:p w14:paraId="6DE99EFA" w14:textId="77777777" w:rsidR="00DB6E47" w:rsidRPr="00A2605E" w:rsidRDefault="00DB6E47" w:rsidP="00DB6E47">
      <w:pPr>
        <w:pStyle w:val="aDefpara"/>
      </w:pPr>
      <w:r w:rsidRPr="00FF4454">
        <w:tab/>
      </w:r>
      <w:r w:rsidRPr="00F04D8E">
        <w:rPr>
          <w:rFonts w:cs="Times"/>
          <w:bCs/>
          <w:iCs/>
        </w:rPr>
        <w:t>(a)</w:t>
      </w:r>
      <w:r w:rsidRPr="00FF4454">
        <w:rPr>
          <w:rStyle w:val="charBoldItals"/>
        </w:rPr>
        <w:tab/>
      </w:r>
      <w:r w:rsidRPr="00A2605E">
        <w:t>means a condition directed at—</w:t>
      </w:r>
    </w:p>
    <w:p w14:paraId="3684C293" w14:textId="77777777" w:rsidR="00DB6E47" w:rsidRPr="006C3305" w:rsidRDefault="00DB6E47" w:rsidP="00DB6E47">
      <w:pPr>
        <w:pStyle w:val="aDefsubpara"/>
      </w:pPr>
      <w:r>
        <w:tab/>
      </w:r>
      <w:r w:rsidRPr="00F04D8E">
        <w:t>(i)</w:t>
      </w:r>
      <w:r w:rsidRPr="006C3305">
        <w:tab/>
        <w:t>protecting road infrastructure; or</w:t>
      </w:r>
    </w:p>
    <w:p w14:paraId="1E294EA8" w14:textId="77777777" w:rsidR="00DB6E47" w:rsidRPr="00196EEB" w:rsidRDefault="00DB6E47" w:rsidP="00196EEB">
      <w:pPr>
        <w:pStyle w:val="Asubpara"/>
      </w:pPr>
      <w:r w:rsidRPr="00196EEB">
        <w:tab/>
        <w:t>(ii)</w:t>
      </w:r>
      <w:r w:rsidRPr="00196EEB">
        <w:tab/>
        <w:t>preventing or minimising an adverse effect on the community arising from noise, emissions or traffic congestion or from other matters stated in approved guidelines; or</w:t>
      </w:r>
    </w:p>
    <w:p w14:paraId="31BB40EC" w14:textId="77777777" w:rsidR="00DB6E47" w:rsidRPr="00196EEB" w:rsidRDefault="00196EEB" w:rsidP="00196EEB">
      <w:pPr>
        <w:pStyle w:val="Asubpara"/>
      </w:pPr>
      <w:r>
        <w:tab/>
      </w:r>
      <w:r w:rsidR="00DB6E47" w:rsidRPr="00196EEB">
        <w:t>(iii)</w:t>
      </w:r>
      <w:r w:rsidR="00DB6E47" w:rsidRPr="00196EEB">
        <w:tab/>
        <w:t>preventing or minimising significant risks to public safety arising from heavy vehicle use that is incompatible with road infrastructure or traffic conditions; but</w:t>
      </w:r>
    </w:p>
    <w:p w14:paraId="77B678EB" w14:textId="77777777" w:rsidR="00DB6E47" w:rsidRPr="00196EEB" w:rsidRDefault="00DB6E47" w:rsidP="00DB6E47">
      <w:pPr>
        <w:pStyle w:val="aDefpara"/>
      </w:pPr>
      <w:r w:rsidRPr="00196EEB">
        <w:tab/>
        <w:t>(b)</w:t>
      </w:r>
      <w:r w:rsidRPr="00196EEB">
        <w:tab/>
        <w:t xml:space="preserve">does not include a condition requiring the installation of equipment or another thing in a vehicle unless the equipment or thing is required to be installed in the vehicle for an intelligent access </w:t>
      </w:r>
      <w:r w:rsidR="009328D2">
        <w:t xml:space="preserve">program </w:t>
      </w:r>
      <w:r w:rsidRPr="00196EEB">
        <w:t xml:space="preserve">condition imposed in connection with a condition directed at the matters mentioned in paragraph </w:t>
      </w:r>
      <w:r w:rsidR="00196EEB">
        <w:t>(a)</w:t>
      </w:r>
      <w:r w:rsidRPr="00196EEB">
        <w:t>(i)</w:t>
      </w:r>
      <w:r w:rsidR="00196EEB">
        <w:t xml:space="preserve">, </w:t>
      </w:r>
      <w:r w:rsidRPr="00196EEB">
        <w:t>(ii)</w:t>
      </w:r>
      <w:r w:rsidR="00196EEB">
        <w:t xml:space="preserve"> </w:t>
      </w:r>
      <w:r w:rsidRPr="00196EEB">
        <w:t>or (iii).</w:t>
      </w:r>
    </w:p>
    <w:p w14:paraId="2E49D1BF" w14:textId="77777777" w:rsidR="00DB6E47" w:rsidRPr="00041046" w:rsidRDefault="00DB6E47" w:rsidP="00DB6E47">
      <w:pPr>
        <w:pStyle w:val="aDef"/>
        <w:rPr>
          <w:bCs/>
        </w:rPr>
      </w:pPr>
      <w:r w:rsidRPr="00041046">
        <w:rPr>
          <w:rStyle w:val="charBoldItals"/>
        </w:rPr>
        <w:t>route assessment</w:t>
      </w:r>
      <w:r w:rsidRPr="00041046">
        <w:t>, in relation to a mass or dimension authority, means an assessment of the road infrastructure in the areas or on the routes to which the authority is to apply to decide the impact the grant of the authority will have, or is likely to have, on the road infrastructure.</w:t>
      </w:r>
    </w:p>
    <w:p w14:paraId="61006852" w14:textId="77777777" w:rsidR="00DB6E47" w:rsidRPr="00041046" w:rsidRDefault="00DB6E47" w:rsidP="008C2E76">
      <w:pPr>
        <w:pStyle w:val="aDef"/>
        <w:keepNext/>
        <w:rPr>
          <w:bCs/>
        </w:rPr>
      </w:pPr>
      <w:r w:rsidRPr="00041046">
        <w:rPr>
          <w:rStyle w:val="charBoldItals"/>
        </w:rPr>
        <w:lastRenderedPageBreak/>
        <w:t>travel condition</w:t>
      </w:r>
      <w:r w:rsidRPr="00041046">
        <w:t xml:space="preserve"> means a condition directed at ensuring that access to a stated route or area is limited to either or both of the following—</w:t>
      </w:r>
    </w:p>
    <w:p w14:paraId="67AF0D1E" w14:textId="77777777" w:rsidR="00DB6E47" w:rsidRPr="00F15F63" w:rsidRDefault="00DB6E47" w:rsidP="008C2E76">
      <w:pPr>
        <w:pStyle w:val="aDefpara"/>
        <w:keepNext/>
      </w:pPr>
      <w:r w:rsidRPr="00F04D8E">
        <w:rPr>
          <w:rFonts w:cs="Times"/>
          <w:bCs/>
          <w:iCs/>
        </w:rPr>
        <w:tab/>
        <w:t>(a)</w:t>
      </w:r>
      <w:r w:rsidRPr="00FF4454">
        <w:rPr>
          <w:rStyle w:val="charBoldItals"/>
        </w:rPr>
        <w:tab/>
      </w:r>
      <w:r w:rsidRPr="00F15F63">
        <w:t>stated days or hours (or both);</w:t>
      </w:r>
    </w:p>
    <w:p w14:paraId="4197375A" w14:textId="77777777" w:rsidR="00DB6E47" w:rsidRPr="00F15F63" w:rsidRDefault="00DB6E47" w:rsidP="00DB6E47">
      <w:pPr>
        <w:pStyle w:val="aDefpara"/>
      </w:pPr>
      <w:r w:rsidRPr="00F15F63">
        <w:tab/>
        <w:t>(b)</w:t>
      </w:r>
      <w:r w:rsidRPr="00F15F63">
        <w:tab/>
        <w:t>travel in a stated direction.</w:t>
      </w:r>
    </w:p>
    <w:p w14:paraId="61335069" w14:textId="77777777" w:rsidR="00DB6E47" w:rsidRPr="00041046" w:rsidRDefault="00DB6E47" w:rsidP="00DB6E47">
      <w:pPr>
        <w:pStyle w:val="aDef"/>
        <w:rPr>
          <w:bCs/>
        </w:rPr>
      </w:pPr>
      <w:r w:rsidRPr="00041046">
        <w:rPr>
          <w:rStyle w:val="charBoldItals"/>
        </w:rPr>
        <w:t>vehicle condition</w:t>
      </w:r>
      <w:r w:rsidRPr="00041046">
        <w:t xml:space="preserve"> means a condition directed at ensuring a vehicle can operate safely on roads.</w:t>
      </w:r>
    </w:p>
    <w:p w14:paraId="08A0A863" w14:textId="77777777" w:rsidR="00DB6E47" w:rsidRPr="005E03F7" w:rsidRDefault="00DB6E47" w:rsidP="00DB6E47">
      <w:pPr>
        <w:pStyle w:val="AH3Div"/>
      </w:pPr>
      <w:bookmarkStart w:id="187" w:name="_Toc83625531"/>
      <w:r w:rsidRPr="005E03F7">
        <w:rPr>
          <w:rStyle w:val="CharDivNo"/>
        </w:rPr>
        <w:t>Division 2</w:t>
      </w:r>
      <w:r w:rsidRPr="00A95F9A">
        <w:rPr>
          <w:rFonts w:ascii="Helvetica" w:hAnsi="Helvetica" w:cs="Helvetica"/>
          <w:iCs/>
          <w:szCs w:val="28"/>
        </w:rPr>
        <w:tab/>
      </w:r>
      <w:r w:rsidRPr="005E03F7">
        <w:rPr>
          <w:rStyle w:val="CharDivText"/>
          <w:rFonts w:ascii="Helvetica" w:hAnsi="Helvetica" w:cs="Helvetica"/>
          <w:iCs/>
          <w:szCs w:val="28"/>
        </w:rPr>
        <w:t>Obtaining consent of relevant road managers</w:t>
      </w:r>
      <w:bookmarkEnd w:id="187"/>
    </w:p>
    <w:p w14:paraId="16688215" w14:textId="77777777" w:rsidR="00DB6E47" w:rsidRPr="007E1F9A" w:rsidRDefault="00DB6E47" w:rsidP="00DB6E47">
      <w:pPr>
        <w:pStyle w:val="AH5Sec"/>
      </w:pPr>
      <w:bookmarkStart w:id="188" w:name="_Toc83625532"/>
      <w:r w:rsidRPr="005E03F7">
        <w:rPr>
          <w:rStyle w:val="CharSectNo"/>
        </w:rPr>
        <w:t>155</w:t>
      </w:r>
      <w:r w:rsidRPr="007E1F9A">
        <w:tab/>
        <w:t>Application of Div 2</w:t>
      </w:r>
      <w:bookmarkEnd w:id="188"/>
    </w:p>
    <w:p w14:paraId="4253283C" w14:textId="77777777" w:rsidR="00DB6E47" w:rsidRPr="003F319E" w:rsidRDefault="00DB6E47" w:rsidP="00DB6E47">
      <w:pPr>
        <w:pStyle w:val="Amainreturn"/>
      </w:pPr>
      <w:r w:rsidRPr="003F319E">
        <w:t>This Division applies in relation to the Regulator obtaining the consent of the road manager for a road for the purpose of granting a mass or dimension authority.</w:t>
      </w:r>
    </w:p>
    <w:p w14:paraId="0B3B6004" w14:textId="77777777" w:rsidR="00560DA3" w:rsidRPr="00560DA3" w:rsidRDefault="00560DA3" w:rsidP="00560DA3">
      <w:pPr>
        <w:pStyle w:val="AH5Sec"/>
        <w:rPr>
          <w:lang w:val="en" w:eastAsia="en-AU"/>
        </w:rPr>
      </w:pPr>
      <w:bookmarkStart w:id="189" w:name="_Toc83625533"/>
      <w:r w:rsidRPr="005E03F7">
        <w:rPr>
          <w:rStyle w:val="CharSectNo"/>
        </w:rPr>
        <w:t>156</w:t>
      </w:r>
      <w:r>
        <w:rPr>
          <w:lang w:val="en" w:eastAsia="en-AU"/>
        </w:rPr>
        <w:tab/>
      </w:r>
      <w:r w:rsidRPr="00560DA3">
        <w:rPr>
          <w:lang w:val="en" w:eastAsia="en-AU"/>
        </w:rPr>
        <w:t>Period within which road manager must decide</w:t>
      </w:r>
      <w:bookmarkEnd w:id="189"/>
    </w:p>
    <w:p w14:paraId="7FDF213D" w14:textId="77777777" w:rsidR="00560DA3" w:rsidRPr="00560DA3" w:rsidRDefault="00560DA3" w:rsidP="00560DA3">
      <w:pPr>
        <w:pStyle w:val="Amain"/>
        <w:rPr>
          <w:lang w:val="en" w:eastAsia="en-AU"/>
        </w:rPr>
      </w:pPr>
      <w:r>
        <w:rPr>
          <w:lang w:val="en" w:eastAsia="en-AU"/>
        </w:rPr>
        <w:tab/>
      </w:r>
      <w:r w:rsidRPr="00560DA3">
        <w:rPr>
          <w:lang w:val="en" w:eastAsia="en-AU"/>
        </w:rPr>
        <w:t>(1)</w:t>
      </w:r>
      <w:r>
        <w:rPr>
          <w:lang w:val="en" w:eastAsia="en-AU"/>
        </w:rPr>
        <w:tab/>
      </w:r>
      <w:r w:rsidRPr="00560DA3">
        <w:rPr>
          <w:lang w:val="en" w:eastAsia="en-AU"/>
        </w:rPr>
        <w:t>If the Regulator asks a road manager for a road for the road manager’s consent to the grant of a mass or dimension authority, the road manager must decide to give or not to give the consent—</w:t>
      </w:r>
    </w:p>
    <w:p w14:paraId="2E0B0C4F" w14:textId="77777777" w:rsidR="00560DA3" w:rsidRPr="00560DA3" w:rsidRDefault="00560DA3" w:rsidP="00560DA3">
      <w:pPr>
        <w:pStyle w:val="Apara"/>
        <w:rPr>
          <w:lang w:val="en" w:eastAsia="en-AU"/>
        </w:rPr>
      </w:pPr>
      <w:r>
        <w:rPr>
          <w:lang w:val="en" w:eastAsia="en-AU"/>
        </w:rPr>
        <w:tab/>
      </w:r>
      <w:r w:rsidRPr="00560DA3">
        <w:rPr>
          <w:lang w:val="en" w:eastAsia="en-AU"/>
        </w:rPr>
        <w:t>(a)</w:t>
      </w:r>
      <w:r>
        <w:rPr>
          <w:lang w:val="en" w:eastAsia="en-AU"/>
        </w:rPr>
        <w:tab/>
      </w:r>
      <w:r w:rsidRPr="00560DA3">
        <w:rPr>
          <w:lang w:val="en" w:eastAsia="en-AU"/>
        </w:rPr>
        <w:t>within—</w:t>
      </w:r>
    </w:p>
    <w:p w14:paraId="78E402F2" w14:textId="77777777" w:rsidR="00560DA3" w:rsidRPr="00560DA3" w:rsidRDefault="00560DA3" w:rsidP="00560DA3">
      <w:pPr>
        <w:pStyle w:val="Asubpara"/>
        <w:rPr>
          <w:lang w:val="en" w:eastAsia="en-AU"/>
        </w:rPr>
      </w:pPr>
      <w:r>
        <w:rPr>
          <w:lang w:val="en" w:eastAsia="en-AU"/>
        </w:rPr>
        <w:tab/>
      </w:r>
      <w:r w:rsidRPr="00560DA3">
        <w:rPr>
          <w:lang w:val="en" w:eastAsia="en-AU"/>
        </w:rPr>
        <w:t>(i)</w:t>
      </w:r>
      <w:r>
        <w:rPr>
          <w:lang w:val="en" w:eastAsia="en-AU"/>
        </w:rPr>
        <w:tab/>
      </w:r>
      <w:r w:rsidRPr="00560DA3">
        <w:rPr>
          <w:lang w:val="en" w:eastAsia="en-AU"/>
        </w:rPr>
        <w:t>28 days after the request is made, unless subparagraph (ii) applies; or</w:t>
      </w:r>
    </w:p>
    <w:p w14:paraId="5E51EC5B" w14:textId="77777777" w:rsidR="00560DA3" w:rsidRPr="00560DA3" w:rsidRDefault="00560DA3" w:rsidP="00560DA3">
      <w:pPr>
        <w:pStyle w:val="Asubpara"/>
        <w:rPr>
          <w:lang w:val="en" w:eastAsia="en-AU"/>
        </w:rPr>
      </w:pPr>
      <w:r>
        <w:rPr>
          <w:lang w:val="en" w:eastAsia="en-AU"/>
        </w:rPr>
        <w:tab/>
      </w:r>
      <w:r w:rsidRPr="00560DA3">
        <w:rPr>
          <w:lang w:val="en" w:eastAsia="en-AU"/>
        </w:rPr>
        <w:t>(ii)</w:t>
      </w:r>
      <w:r>
        <w:rPr>
          <w:lang w:val="en" w:eastAsia="en-AU"/>
        </w:rPr>
        <w:tab/>
      </w:r>
      <w:r w:rsidRPr="00560DA3">
        <w:rPr>
          <w:lang w:val="en" w:eastAsia="en-AU"/>
        </w:rPr>
        <w:t>if this section applies because the road manager gave the Regulator a notice of objection to the grant under section 167—14 days after giving the notice of objection; or</w:t>
      </w:r>
    </w:p>
    <w:p w14:paraId="07E55560" w14:textId="77777777" w:rsidR="00560DA3" w:rsidRPr="00560DA3" w:rsidRDefault="00BA1F40" w:rsidP="00BA1F40">
      <w:pPr>
        <w:pStyle w:val="Apara"/>
        <w:rPr>
          <w:lang w:val="en" w:eastAsia="en-AU"/>
        </w:rPr>
      </w:pPr>
      <w:r>
        <w:rPr>
          <w:lang w:val="en" w:eastAsia="en-AU"/>
        </w:rPr>
        <w:tab/>
      </w:r>
      <w:r w:rsidR="00560DA3" w:rsidRPr="00560DA3">
        <w:rPr>
          <w:lang w:val="en" w:eastAsia="en-AU"/>
        </w:rPr>
        <w:t>(b)</w:t>
      </w:r>
      <w:r>
        <w:rPr>
          <w:lang w:val="en" w:eastAsia="en-AU"/>
        </w:rPr>
        <w:tab/>
      </w:r>
      <w:r w:rsidR="00560DA3" w:rsidRPr="00560DA3">
        <w:rPr>
          <w:lang w:val="en" w:eastAsia="en-AU"/>
        </w:rPr>
        <w:t>within a longer period, of not more than 6 months after the request is made, agreed to by the Regulator.</w:t>
      </w:r>
    </w:p>
    <w:p w14:paraId="0408F016" w14:textId="77777777" w:rsidR="00560DA3" w:rsidRPr="00560DA3" w:rsidRDefault="00560DA3" w:rsidP="00BA1F40">
      <w:pPr>
        <w:pStyle w:val="aNote"/>
        <w:rPr>
          <w:lang w:val="en" w:eastAsia="en-AU"/>
        </w:rPr>
      </w:pPr>
      <w:r w:rsidRPr="00BA1F40">
        <w:rPr>
          <w:rStyle w:val="charItals"/>
        </w:rPr>
        <w:t>Note</w:t>
      </w:r>
      <w:r w:rsidRPr="00560DA3">
        <w:rPr>
          <w:lang w:val="en" w:eastAsia="en-AU"/>
        </w:rPr>
        <w:t>—</w:t>
      </w:r>
    </w:p>
    <w:p w14:paraId="65EF35E9" w14:textId="77777777" w:rsidR="00560DA3" w:rsidRPr="00560DA3" w:rsidRDefault="00560DA3" w:rsidP="00BA1F40">
      <w:pPr>
        <w:pStyle w:val="aNoteTextss"/>
        <w:rPr>
          <w:lang w:val="en" w:eastAsia="en-AU"/>
        </w:rPr>
      </w:pPr>
      <w:r w:rsidRPr="00560DA3">
        <w:rPr>
          <w:lang w:val="en" w:eastAsia="en-AU"/>
        </w:rPr>
        <w:t>See, however, sections 159, 167 and 168.</w:t>
      </w:r>
    </w:p>
    <w:p w14:paraId="24F41525" w14:textId="77777777" w:rsidR="00560DA3" w:rsidRPr="00560DA3" w:rsidRDefault="00BA1F40" w:rsidP="00A90E48">
      <w:pPr>
        <w:pStyle w:val="Amain"/>
        <w:keepNext/>
        <w:rPr>
          <w:lang w:val="en" w:eastAsia="en-AU"/>
        </w:rPr>
      </w:pPr>
      <w:r>
        <w:rPr>
          <w:lang w:val="en" w:eastAsia="en-AU"/>
        </w:rPr>
        <w:lastRenderedPageBreak/>
        <w:tab/>
      </w:r>
      <w:r w:rsidR="00560DA3" w:rsidRPr="00560DA3">
        <w:rPr>
          <w:lang w:val="en" w:eastAsia="en-AU"/>
        </w:rPr>
        <w:t>(2)</w:t>
      </w:r>
      <w:r>
        <w:rPr>
          <w:lang w:val="en" w:eastAsia="en-AU"/>
        </w:rPr>
        <w:tab/>
      </w:r>
      <w:r w:rsidR="00560DA3" w:rsidRPr="00560DA3">
        <w:rPr>
          <w:lang w:val="en" w:eastAsia="en-AU"/>
        </w:rPr>
        <w:t>The road manager may ask for, and the Regulator may agree to, a longer period under subsection (1)(b) only if—</w:t>
      </w:r>
    </w:p>
    <w:p w14:paraId="42DBFCB1" w14:textId="77777777" w:rsidR="00560DA3" w:rsidRPr="00560DA3" w:rsidRDefault="00BA1F40" w:rsidP="00BA1F40">
      <w:pPr>
        <w:pStyle w:val="Apara"/>
        <w:rPr>
          <w:lang w:val="en" w:eastAsia="en-AU"/>
        </w:rPr>
      </w:pPr>
      <w:r>
        <w:rPr>
          <w:lang w:val="en" w:eastAsia="en-AU"/>
        </w:rPr>
        <w:tab/>
      </w:r>
      <w:r w:rsidR="00560DA3" w:rsidRPr="00560DA3">
        <w:rPr>
          <w:lang w:val="en" w:eastAsia="en-AU"/>
        </w:rPr>
        <w:t>(a)</w:t>
      </w:r>
      <w:r>
        <w:rPr>
          <w:lang w:val="en" w:eastAsia="en-AU"/>
        </w:rPr>
        <w:tab/>
      </w:r>
      <w:r w:rsidR="00560DA3" w:rsidRPr="00560DA3">
        <w:rPr>
          <w:lang w:val="en" w:eastAsia="en-AU"/>
        </w:rPr>
        <w:t>consultation is required under a law with another entity (including, for example, for the purpose of obtaining that entity’s approval to give the consent); or</w:t>
      </w:r>
    </w:p>
    <w:p w14:paraId="0C79DA63" w14:textId="77777777" w:rsidR="00560DA3" w:rsidRPr="00560DA3" w:rsidRDefault="00BA1F40" w:rsidP="00BA1F40">
      <w:pPr>
        <w:pStyle w:val="Apara"/>
        <w:rPr>
          <w:lang w:val="en" w:eastAsia="en-AU"/>
        </w:rPr>
      </w:pPr>
      <w:r>
        <w:rPr>
          <w:lang w:val="en" w:eastAsia="en-AU"/>
        </w:rPr>
        <w:tab/>
      </w:r>
      <w:r w:rsidR="00560DA3" w:rsidRPr="00560DA3">
        <w:rPr>
          <w:lang w:val="en" w:eastAsia="en-AU"/>
        </w:rPr>
        <w:t>(b)</w:t>
      </w:r>
      <w:r>
        <w:rPr>
          <w:lang w:val="en" w:eastAsia="en-AU"/>
        </w:rPr>
        <w:tab/>
      </w:r>
      <w:r w:rsidR="00560DA3" w:rsidRPr="00560DA3">
        <w:rPr>
          <w:lang w:val="en" w:eastAsia="en-AU"/>
        </w:rPr>
        <w:t>the road manager considers a route assessment is necessary for deciding whether to give or not to give the consent; or</w:t>
      </w:r>
    </w:p>
    <w:p w14:paraId="39BBB167" w14:textId="77777777" w:rsidR="00560DA3" w:rsidRPr="00560DA3" w:rsidRDefault="00BA1F40" w:rsidP="00BA1F40">
      <w:pPr>
        <w:pStyle w:val="Apara"/>
        <w:rPr>
          <w:lang w:val="en" w:eastAsia="en-AU"/>
        </w:rPr>
      </w:pPr>
      <w:r>
        <w:rPr>
          <w:lang w:val="en" w:eastAsia="en-AU"/>
        </w:rPr>
        <w:tab/>
      </w:r>
      <w:r w:rsidR="00560DA3" w:rsidRPr="00560DA3">
        <w:rPr>
          <w:lang w:val="en" w:eastAsia="en-AU"/>
        </w:rPr>
        <w:t>(c)</w:t>
      </w:r>
      <w:r>
        <w:rPr>
          <w:lang w:val="en" w:eastAsia="en-AU"/>
        </w:rPr>
        <w:tab/>
      </w:r>
      <w:r w:rsidR="00560DA3" w:rsidRPr="00560DA3">
        <w:rPr>
          <w:lang w:val="en" w:eastAsia="en-AU"/>
        </w:rPr>
        <w:t>the road manager is the road authority for the participating jurisdiction and considers that a local government authority that is not required under a law to be consulted should nevertheless be consulted before deciding whether to give or not to give the consent.</w:t>
      </w:r>
    </w:p>
    <w:p w14:paraId="7091810D" w14:textId="77777777" w:rsidR="00560DA3" w:rsidRPr="00560DA3" w:rsidRDefault="00BA1F40" w:rsidP="00BA1F40">
      <w:pPr>
        <w:pStyle w:val="Amain"/>
        <w:rPr>
          <w:lang w:val="en" w:eastAsia="en-AU"/>
        </w:rPr>
      </w:pPr>
      <w:r>
        <w:rPr>
          <w:lang w:val="en" w:eastAsia="en-AU"/>
        </w:rPr>
        <w:tab/>
      </w:r>
      <w:r w:rsidR="00560DA3" w:rsidRPr="00560DA3">
        <w:rPr>
          <w:lang w:val="en" w:eastAsia="en-AU"/>
        </w:rPr>
        <w:t>(3)</w:t>
      </w:r>
      <w:r>
        <w:rPr>
          <w:lang w:val="en" w:eastAsia="en-AU"/>
        </w:rPr>
        <w:tab/>
      </w:r>
      <w:r w:rsidR="00560DA3" w:rsidRPr="00560DA3">
        <w:rPr>
          <w:lang w:val="en" w:eastAsia="en-AU"/>
        </w:rPr>
        <w:t>If the Regulator agrees to a longer period under subsection (1)(b), the Regulator must give the applicant for the mass or dimension authority concerned a written statement of the decision—</w:t>
      </w:r>
    </w:p>
    <w:p w14:paraId="1910B840" w14:textId="77777777" w:rsidR="00560DA3" w:rsidRPr="00560DA3" w:rsidRDefault="00BA1F40" w:rsidP="00BA1F40">
      <w:pPr>
        <w:pStyle w:val="Apara"/>
        <w:rPr>
          <w:lang w:val="en" w:eastAsia="en-AU"/>
        </w:rPr>
      </w:pPr>
      <w:r>
        <w:rPr>
          <w:lang w:val="en" w:eastAsia="en-AU"/>
        </w:rPr>
        <w:tab/>
      </w:r>
      <w:r w:rsidR="00560DA3" w:rsidRPr="00560DA3">
        <w:rPr>
          <w:lang w:val="en" w:eastAsia="en-AU"/>
        </w:rPr>
        <w:t>(a)</w:t>
      </w:r>
      <w:r>
        <w:rPr>
          <w:lang w:val="en" w:eastAsia="en-AU"/>
        </w:rPr>
        <w:tab/>
      </w:r>
      <w:r w:rsidR="00560DA3" w:rsidRPr="00560DA3">
        <w:rPr>
          <w:lang w:val="en" w:eastAsia="en-AU"/>
        </w:rPr>
        <w:t>identifying the road manager concerned; and</w:t>
      </w:r>
    </w:p>
    <w:p w14:paraId="317931B6" w14:textId="77777777" w:rsidR="00560DA3" w:rsidRPr="00560DA3" w:rsidRDefault="00BA1F40" w:rsidP="00BA1F40">
      <w:pPr>
        <w:pStyle w:val="Apara"/>
        <w:rPr>
          <w:lang w:val="en" w:eastAsia="en-AU"/>
        </w:rPr>
      </w:pPr>
      <w:r>
        <w:rPr>
          <w:lang w:val="en" w:eastAsia="en-AU"/>
        </w:rPr>
        <w:tab/>
      </w:r>
      <w:r w:rsidR="00560DA3" w:rsidRPr="00560DA3">
        <w:rPr>
          <w:lang w:val="en" w:eastAsia="en-AU"/>
        </w:rPr>
        <w:t>(b)</w:t>
      </w:r>
      <w:r>
        <w:rPr>
          <w:lang w:val="en" w:eastAsia="en-AU"/>
        </w:rPr>
        <w:tab/>
      </w:r>
      <w:r w:rsidR="00560DA3" w:rsidRPr="00560DA3">
        <w:rPr>
          <w:lang w:val="en" w:eastAsia="en-AU"/>
        </w:rPr>
        <w:t>indicating the ground on which the road manager asked for a longer period.</w:t>
      </w:r>
    </w:p>
    <w:p w14:paraId="1174F161" w14:textId="77777777" w:rsidR="00560DA3" w:rsidRPr="00560DA3" w:rsidRDefault="00BA1F40" w:rsidP="00BA1F40">
      <w:pPr>
        <w:pStyle w:val="AH5Sec"/>
        <w:rPr>
          <w:lang w:val="en" w:eastAsia="en-AU"/>
        </w:rPr>
      </w:pPr>
      <w:bookmarkStart w:id="190" w:name="_Toc83625534"/>
      <w:r w:rsidRPr="005E03F7">
        <w:rPr>
          <w:rStyle w:val="CharSectNo"/>
        </w:rPr>
        <w:t>156A</w:t>
      </w:r>
      <w:r>
        <w:tab/>
      </w:r>
      <w:r w:rsidR="00560DA3" w:rsidRPr="00560DA3">
        <w:rPr>
          <w:lang w:val="en" w:eastAsia="en-AU"/>
        </w:rPr>
        <w:t>Deciding request for consent generally</w:t>
      </w:r>
      <w:bookmarkEnd w:id="190"/>
    </w:p>
    <w:p w14:paraId="4E5CDD0C" w14:textId="77777777" w:rsidR="00560DA3" w:rsidRPr="00560DA3" w:rsidRDefault="00BA1F40" w:rsidP="00BA1F40">
      <w:pPr>
        <w:pStyle w:val="Amain"/>
        <w:rPr>
          <w:lang w:val="en" w:eastAsia="en-AU"/>
        </w:rPr>
      </w:pPr>
      <w:r>
        <w:rPr>
          <w:lang w:val="en" w:eastAsia="en-AU"/>
        </w:rPr>
        <w:tab/>
      </w:r>
      <w:r w:rsidR="00560DA3" w:rsidRPr="00560DA3">
        <w:rPr>
          <w:lang w:val="en" w:eastAsia="en-AU"/>
        </w:rPr>
        <w:t>(1)</w:t>
      </w:r>
      <w:r>
        <w:rPr>
          <w:lang w:val="en" w:eastAsia="en-AU"/>
        </w:rPr>
        <w:tab/>
      </w:r>
      <w:r w:rsidR="00560DA3" w:rsidRPr="00560DA3">
        <w:rPr>
          <w:lang w:val="en" w:eastAsia="en-AU"/>
        </w:rPr>
        <w:t>If the Regulator asks a road manager for a road for the road manager’s consent to the grant of a mass or dimension authority, the road manager may decide not to give the consent only if the road manager is satisfied—</w:t>
      </w:r>
    </w:p>
    <w:p w14:paraId="5B98E1C9" w14:textId="77777777" w:rsidR="00560DA3" w:rsidRPr="00560DA3" w:rsidRDefault="00BA1F40" w:rsidP="00BA1F40">
      <w:pPr>
        <w:pStyle w:val="Apara"/>
        <w:rPr>
          <w:lang w:val="en" w:eastAsia="en-AU"/>
        </w:rPr>
      </w:pPr>
      <w:r>
        <w:rPr>
          <w:lang w:val="en" w:eastAsia="en-AU"/>
        </w:rPr>
        <w:tab/>
      </w:r>
      <w:r w:rsidR="00560DA3" w:rsidRPr="00560DA3">
        <w:rPr>
          <w:lang w:val="en" w:eastAsia="en-AU"/>
        </w:rPr>
        <w:t>(a)</w:t>
      </w:r>
      <w:r>
        <w:rPr>
          <w:lang w:val="en" w:eastAsia="en-AU"/>
        </w:rPr>
        <w:tab/>
      </w:r>
      <w:r w:rsidR="00560DA3" w:rsidRPr="00560DA3">
        <w:rPr>
          <w:lang w:val="en" w:eastAsia="en-AU"/>
        </w:rPr>
        <w:t>the mass or dimension authority will, or is likely to—</w:t>
      </w:r>
    </w:p>
    <w:p w14:paraId="131AC05A" w14:textId="77777777" w:rsidR="00560DA3" w:rsidRPr="00560DA3" w:rsidRDefault="00BA1F40" w:rsidP="00BA1F40">
      <w:pPr>
        <w:pStyle w:val="Asubpara"/>
        <w:rPr>
          <w:lang w:val="en" w:eastAsia="en-AU"/>
        </w:rPr>
      </w:pPr>
      <w:r>
        <w:rPr>
          <w:lang w:val="en" w:eastAsia="en-AU"/>
        </w:rPr>
        <w:tab/>
      </w:r>
      <w:r w:rsidR="00560DA3" w:rsidRPr="00560DA3">
        <w:rPr>
          <w:lang w:val="en" w:eastAsia="en-AU"/>
        </w:rPr>
        <w:t>(i)</w:t>
      </w:r>
      <w:r>
        <w:rPr>
          <w:lang w:val="en" w:eastAsia="en-AU"/>
        </w:rPr>
        <w:tab/>
      </w:r>
      <w:r w:rsidR="00560DA3" w:rsidRPr="00560DA3">
        <w:rPr>
          <w:lang w:val="en" w:eastAsia="en-AU"/>
        </w:rPr>
        <w:t>cause damage to road infrastructure; or</w:t>
      </w:r>
    </w:p>
    <w:p w14:paraId="0451F87E" w14:textId="77777777" w:rsidR="00560DA3" w:rsidRPr="00560DA3" w:rsidRDefault="00BA1F40" w:rsidP="00BA1F40">
      <w:pPr>
        <w:pStyle w:val="Asubpara"/>
        <w:rPr>
          <w:lang w:val="en" w:eastAsia="en-AU"/>
        </w:rPr>
      </w:pPr>
      <w:r>
        <w:rPr>
          <w:lang w:val="en" w:eastAsia="en-AU"/>
        </w:rPr>
        <w:tab/>
      </w:r>
      <w:r w:rsidR="00560DA3" w:rsidRPr="00560DA3">
        <w:rPr>
          <w:lang w:val="en" w:eastAsia="en-AU"/>
        </w:rPr>
        <w:t>(ii)</w:t>
      </w:r>
      <w:r>
        <w:rPr>
          <w:lang w:val="en" w:eastAsia="en-AU"/>
        </w:rPr>
        <w:tab/>
      </w:r>
      <w:r w:rsidR="00560DA3" w:rsidRPr="00560DA3">
        <w:rPr>
          <w:lang w:val="en" w:eastAsia="en-AU"/>
        </w:rPr>
        <w:t>impose adverse effects on the community arising from noise, emissions or traffic congestion or from other matters stated in approved guidelines; or</w:t>
      </w:r>
    </w:p>
    <w:p w14:paraId="57B6AB4D" w14:textId="77777777" w:rsidR="00560DA3" w:rsidRPr="00560DA3" w:rsidRDefault="00BA1F40" w:rsidP="00BA1F40">
      <w:pPr>
        <w:pStyle w:val="Asubpara"/>
        <w:rPr>
          <w:lang w:val="en" w:eastAsia="en-AU"/>
        </w:rPr>
      </w:pPr>
      <w:r>
        <w:rPr>
          <w:lang w:val="en" w:eastAsia="en-AU"/>
        </w:rPr>
        <w:lastRenderedPageBreak/>
        <w:tab/>
      </w:r>
      <w:r w:rsidR="00560DA3" w:rsidRPr="00560DA3">
        <w:rPr>
          <w:lang w:val="en" w:eastAsia="en-AU"/>
        </w:rPr>
        <w:t>(iii)</w:t>
      </w:r>
      <w:r>
        <w:rPr>
          <w:lang w:val="en" w:eastAsia="en-AU"/>
        </w:rPr>
        <w:tab/>
      </w:r>
      <w:r w:rsidR="00560DA3" w:rsidRPr="00560DA3">
        <w:rPr>
          <w:lang w:val="en" w:eastAsia="en-AU"/>
        </w:rPr>
        <w:t>pose significant risks to public safety arising from heavy vehicle use that is incompatible with road infrastructure or traffic conditions; and</w:t>
      </w:r>
    </w:p>
    <w:p w14:paraId="15D6854A" w14:textId="77777777" w:rsidR="00560DA3" w:rsidRPr="00560DA3" w:rsidRDefault="00BA1F40" w:rsidP="00BA1F40">
      <w:pPr>
        <w:pStyle w:val="Apara"/>
        <w:rPr>
          <w:lang w:val="en" w:eastAsia="en-AU"/>
        </w:rPr>
      </w:pPr>
      <w:r>
        <w:rPr>
          <w:lang w:val="en" w:eastAsia="en-AU"/>
        </w:rPr>
        <w:tab/>
      </w:r>
      <w:r w:rsidR="00560DA3" w:rsidRPr="00560DA3">
        <w:rPr>
          <w:lang w:val="en" w:eastAsia="en-AU"/>
        </w:rPr>
        <w:t>(b)</w:t>
      </w:r>
      <w:r>
        <w:rPr>
          <w:lang w:val="en" w:eastAsia="en-AU"/>
        </w:rPr>
        <w:tab/>
      </w:r>
      <w:r w:rsidR="00560DA3" w:rsidRPr="00560DA3">
        <w:rPr>
          <w:lang w:val="en" w:eastAsia="en-AU"/>
        </w:rPr>
        <w:t>it is not possible to grant the authority subject to road conditions or travel conditions that will avoid, or significantly minimise—</w:t>
      </w:r>
    </w:p>
    <w:p w14:paraId="61C412F7" w14:textId="77777777" w:rsidR="00560DA3" w:rsidRPr="00560DA3" w:rsidRDefault="00BA1F40" w:rsidP="00BA1F40">
      <w:pPr>
        <w:pStyle w:val="Asubpara"/>
        <w:rPr>
          <w:lang w:val="en" w:eastAsia="en-AU"/>
        </w:rPr>
      </w:pPr>
      <w:r>
        <w:rPr>
          <w:lang w:val="en" w:eastAsia="en-AU"/>
        </w:rPr>
        <w:tab/>
      </w:r>
      <w:r w:rsidR="00560DA3" w:rsidRPr="00560DA3">
        <w:rPr>
          <w:lang w:val="en" w:eastAsia="en-AU"/>
        </w:rPr>
        <w:t>(i)</w:t>
      </w:r>
      <w:r>
        <w:rPr>
          <w:lang w:val="en" w:eastAsia="en-AU"/>
        </w:rPr>
        <w:tab/>
      </w:r>
      <w:r w:rsidR="00560DA3" w:rsidRPr="00560DA3">
        <w:rPr>
          <w:lang w:val="en" w:eastAsia="en-AU"/>
        </w:rPr>
        <w:t>the damage or likely damage; or</w:t>
      </w:r>
    </w:p>
    <w:p w14:paraId="3A187894" w14:textId="77777777" w:rsidR="00560DA3" w:rsidRPr="00560DA3" w:rsidRDefault="00BA1F40" w:rsidP="00BA1F40">
      <w:pPr>
        <w:pStyle w:val="Asubpara"/>
        <w:rPr>
          <w:lang w:val="en" w:eastAsia="en-AU"/>
        </w:rPr>
      </w:pPr>
      <w:r>
        <w:rPr>
          <w:lang w:val="en" w:eastAsia="en-AU"/>
        </w:rPr>
        <w:tab/>
      </w:r>
      <w:r w:rsidR="00560DA3" w:rsidRPr="00560DA3">
        <w:rPr>
          <w:lang w:val="en" w:eastAsia="en-AU"/>
        </w:rPr>
        <w:t>(ii)</w:t>
      </w:r>
      <w:r>
        <w:rPr>
          <w:lang w:val="en" w:eastAsia="en-AU"/>
        </w:rPr>
        <w:tab/>
      </w:r>
      <w:r w:rsidR="00560DA3" w:rsidRPr="00560DA3">
        <w:rPr>
          <w:lang w:val="en" w:eastAsia="en-AU"/>
        </w:rPr>
        <w:t>the adverse effects or likely adverse effects; or</w:t>
      </w:r>
    </w:p>
    <w:p w14:paraId="57D6A05A" w14:textId="77777777" w:rsidR="00560DA3" w:rsidRPr="00560DA3" w:rsidRDefault="00BA1F40" w:rsidP="00BA1F40">
      <w:pPr>
        <w:pStyle w:val="Asubpara"/>
        <w:rPr>
          <w:lang w:val="en" w:eastAsia="en-AU"/>
        </w:rPr>
      </w:pPr>
      <w:r>
        <w:rPr>
          <w:lang w:val="en" w:eastAsia="en-AU"/>
        </w:rPr>
        <w:tab/>
      </w:r>
      <w:r w:rsidR="00560DA3" w:rsidRPr="00560DA3">
        <w:rPr>
          <w:lang w:val="en" w:eastAsia="en-AU"/>
        </w:rPr>
        <w:t>(iii)</w:t>
      </w:r>
      <w:r>
        <w:rPr>
          <w:lang w:val="en" w:eastAsia="en-AU"/>
        </w:rPr>
        <w:tab/>
      </w:r>
      <w:r w:rsidR="00560DA3" w:rsidRPr="00560DA3">
        <w:rPr>
          <w:lang w:val="en" w:eastAsia="en-AU"/>
        </w:rPr>
        <w:t>the significant risks or likely significant risks.</w:t>
      </w:r>
    </w:p>
    <w:p w14:paraId="5FD28DB0" w14:textId="77777777" w:rsidR="00560DA3" w:rsidRPr="00560DA3" w:rsidRDefault="00BA1F40" w:rsidP="00BA1F40">
      <w:pPr>
        <w:pStyle w:val="Amain"/>
        <w:rPr>
          <w:lang w:val="en" w:eastAsia="en-AU"/>
        </w:rPr>
      </w:pPr>
      <w:r>
        <w:rPr>
          <w:lang w:val="en" w:eastAsia="en-AU"/>
        </w:rPr>
        <w:tab/>
      </w:r>
      <w:r w:rsidR="00560DA3" w:rsidRPr="00560DA3">
        <w:rPr>
          <w:lang w:val="en" w:eastAsia="en-AU"/>
        </w:rPr>
        <w:t>(2)</w:t>
      </w:r>
      <w:r>
        <w:rPr>
          <w:lang w:val="en" w:eastAsia="en-AU"/>
        </w:rPr>
        <w:tab/>
      </w:r>
      <w:r w:rsidR="00560DA3" w:rsidRPr="00560DA3">
        <w:rPr>
          <w:lang w:val="en" w:eastAsia="en-AU"/>
        </w:rPr>
        <w:t>If the road manager considers that the consent would be given if the mass of the vehicle under the application for the authority was less than applied for, the road manager must give the consent subject to a road condition that the vehicle not exceed the mass.</w:t>
      </w:r>
    </w:p>
    <w:p w14:paraId="2B926F7B" w14:textId="77777777" w:rsidR="00560DA3" w:rsidRPr="00560DA3" w:rsidRDefault="00BA1F40" w:rsidP="00BA1F40">
      <w:pPr>
        <w:pStyle w:val="Amain"/>
        <w:rPr>
          <w:lang w:val="en" w:eastAsia="en-AU"/>
        </w:rPr>
      </w:pPr>
      <w:r>
        <w:rPr>
          <w:lang w:val="en" w:eastAsia="en-AU"/>
        </w:rPr>
        <w:tab/>
      </w:r>
      <w:r w:rsidR="00560DA3" w:rsidRPr="00560DA3">
        <w:rPr>
          <w:lang w:val="en" w:eastAsia="en-AU"/>
        </w:rPr>
        <w:t>(3)</w:t>
      </w:r>
      <w:r>
        <w:rPr>
          <w:lang w:val="en" w:eastAsia="en-AU"/>
        </w:rPr>
        <w:tab/>
      </w:r>
      <w:r w:rsidR="00560DA3" w:rsidRPr="00560DA3">
        <w:rPr>
          <w:lang w:val="en" w:eastAsia="en-AU"/>
        </w:rPr>
        <w:t>Also, in deciding whether or not to give the consent, the road manager must have regard to—</w:t>
      </w:r>
    </w:p>
    <w:p w14:paraId="2BCB93A8" w14:textId="77777777" w:rsidR="00560DA3" w:rsidRPr="00560DA3" w:rsidRDefault="00BA1F40" w:rsidP="00BA1F40">
      <w:pPr>
        <w:pStyle w:val="Apara"/>
        <w:rPr>
          <w:lang w:val="en" w:eastAsia="en-AU"/>
        </w:rPr>
      </w:pPr>
      <w:r>
        <w:rPr>
          <w:lang w:val="en" w:eastAsia="en-AU"/>
        </w:rPr>
        <w:tab/>
      </w:r>
      <w:r w:rsidR="00560DA3" w:rsidRPr="00560DA3">
        <w:rPr>
          <w:lang w:val="en" w:eastAsia="en-AU"/>
        </w:rPr>
        <w:t>(a)</w:t>
      </w:r>
      <w:r>
        <w:rPr>
          <w:lang w:val="en" w:eastAsia="en-AU"/>
        </w:rPr>
        <w:tab/>
      </w:r>
      <w:r w:rsidR="00560DA3" w:rsidRPr="00560DA3">
        <w:rPr>
          <w:lang w:val="en" w:eastAsia="en-AU"/>
        </w:rPr>
        <w:t>for a mass or dimension exemption—the approved guidelines for granting mass or dimension exemptions; or</w:t>
      </w:r>
    </w:p>
    <w:p w14:paraId="3BEC62EE" w14:textId="77777777" w:rsidR="00560DA3" w:rsidRPr="00560DA3" w:rsidRDefault="00BA1F40" w:rsidP="00BA1F40">
      <w:pPr>
        <w:pStyle w:val="Apara"/>
        <w:rPr>
          <w:lang w:val="en" w:eastAsia="en-AU"/>
        </w:rPr>
      </w:pPr>
      <w:r>
        <w:rPr>
          <w:lang w:val="en" w:eastAsia="en-AU"/>
        </w:rPr>
        <w:tab/>
      </w:r>
      <w:r w:rsidR="00560DA3" w:rsidRPr="00560DA3">
        <w:rPr>
          <w:lang w:val="en" w:eastAsia="en-AU"/>
        </w:rPr>
        <w:t>(b)</w:t>
      </w:r>
      <w:r>
        <w:rPr>
          <w:lang w:val="en" w:eastAsia="en-AU"/>
        </w:rPr>
        <w:tab/>
      </w:r>
      <w:r w:rsidR="00560DA3" w:rsidRPr="00560DA3">
        <w:rPr>
          <w:lang w:val="en" w:eastAsia="en-AU"/>
        </w:rPr>
        <w:t>for a class 2 heavy vehicle authorisation—the approved guidelines for granting class 2 heavy vehicle authorisations.</w:t>
      </w:r>
    </w:p>
    <w:p w14:paraId="769C2890" w14:textId="77777777" w:rsidR="00560DA3" w:rsidRPr="00560DA3" w:rsidRDefault="00BA1F40" w:rsidP="00BA1F40">
      <w:pPr>
        <w:pStyle w:val="Amain"/>
        <w:rPr>
          <w:lang w:val="en" w:eastAsia="en-AU"/>
        </w:rPr>
      </w:pPr>
      <w:r>
        <w:rPr>
          <w:lang w:val="en" w:eastAsia="en-AU"/>
        </w:rPr>
        <w:tab/>
      </w:r>
      <w:r w:rsidR="00560DA3" w:rsidRPr="00560DA3">
        <w:rPr>
          <w:lang w:val="en" w:eastAsia="en-AU"/>
        </w:rPr>
        <w:t>(4)</w:t>
      </w:r>
      <w:r>
        <w:rPr>
          <w:lang w:val="en" w:eastAsia="en-AU"/>
        </w:rPr>
        <w:tab/>
      </w:r>
      <w:r w:rsidR="00560DA3" w:rsidRPr="00560DA3">
        <w:rPr>
          <w:lang w:val="en" w:eastAsia="en-AU"/>
        </w:rPr>
        <w:t>If a relevant road manager for a mass or dimension authority decides not to give consent to the grant of the authority, the relevant road manager must give the Regulator a written statement that explains the road manager’s decision and complies with section 172.</w:t>
      </w:r>
    </w:p>
    <w:p w14:paraId="5FCD0FED" w14:textId="77777777" w:rsidR="00DB6E47" w:rsidRPr="007E1F9A" w:rsidRDefault="00DB6E47" w:rsidP="00DB6E47">
      <w:pPr>
        <w:pStyle w:val="AH5Sec"/>
      </w:pPr>
      <w:bookmarkStart w:id="191" w:name="_Toc83625535"/>
      <w:r w:rsidRPr="005E03F7">
        <w:rPr>
          <w:rStyle w:val="CharSectNo"/>
        </w:rPr>
        <w:t>157</w:t>
      </w:r>
      <w:r w:rsidRPr="007E1F9A">
        <w:tab/>
        <w:t>Obtaining third party’s approval for giving consent for permit</w:t>
      </w:r>
      <w:bookmarkEnd w:id="191"/>
    </w:p>
    <w:p w14:paraId="58E8DB6D" w14:textId="77777777" w:rsidR="00DB6E47" w:rsidRPr="003F319E" w:rsidRDefault="00DB6E47" w:rsidP="00DB6E47">
      <w:pPr>
        <w:pStyle w:val="Amain"/>
      </w:pPr>
      <w:r w:rsidRPr="003F319E">
        <w:tab/>
        <w:t>(1)</w:t>
      </w:r>
      <w:r w:rsidRPr="003F319E">
        <w:tab/>
        <w:t>This section applies if—</w:t>
      </w:r>
    </w:p>
    <w:p w14:paraId="7836C6C0" w14:textId="77777777" w:rsidR="00DB6E47" w:rsidRPr="007D116E" w:rsidRDefault="00DB6E47" w:rsidP="00DB6E47">
      <w:pPr>
        <w:pStyle w:val="Apara"/>
      </w:pPr>
      <w:r w:rsidRPr="007D116E">
        <w:tab/>
        <w:t>(a)</w:t>
      </w:r>
      <w:r w:rsidRPr="007D116E">
        <w:tab/>
        <w:t xml:space="preserve">a person (the </w:t>
      </w:r>
      <w:r w:rsidRPr="00FF4454">
        <w:rPr>
          <w:rStyle w:val="charBoldItals"/>
        </w:rPr>
        <w:t>applicant</w:t>
      </w:r>
      <w:r w:rsidRPr="007D116E">
        <w:t>) applies for a mass or dimension exemption (permit) or class 2 heavy vehicle authorisation (permit); and</w:t>
      </w:r>
    </w:p>
    <w:p w14:paraId="6873B201" w14:textId="77777777" w:rsidR="00DB6E47" w:rsidRPr="007D116E" w:rsidRDefault="00DB6E47" w:rsidP="00DB6E47">
      <w:pPr>
        <w:pStyle w:val="Apara"/>
      </w:pPr>
      <w:r w:rsidRPr="007D116E">
        <w:lastRenderedPageBreak/>
        <w:tab/>
        <w:t>(b)</w:t>
      </w:r>
      <w:r w:rsidRPr="007D116E">
        <w:tab/>
        <w:t>consultation with another entity is required under a law.</w:t>
      </w:r>
    </w:p>
    <w:p w14:paraId="3980ACC0" w14:textId="77777777" w:rsidR="00DB6E47" w:rsidRPr="003F319E" w:rsidRDefault="00DB6E47" w:rsidP="00F61994">
      <w:pPr>
        <w:pStyle w:val="Amain"/>
        <w:keepNext/>
      </w:pPr>
      <w:r w:rsidRPr="003F319E">
        <w:tab/>
        <w:t>(2)</w:t>
      </w:r>
      <w:r w:rsidRPr="003F319E">
        <w:tab/>
        <w:t>The Regulator must—</w:t>
      </w:r>
    </w:p>
    <w:p w14:paraId="18701A2B" w14:textId="77777777" w:rsidR="00DB6E47" w:rsidRPr="007D116E" w:rsidRDefault="00DB6E47" w:rsidP="00DB6E47">
      <w:pPr>
        <w:pStyle w:val="Apara"/>
      </w:pPr>
      <w:r w:rsidRPr="007D116E">
        <w:tab/>
        <w:t>(a)</w:t>
      </w:r>
      <w:r w:rsidRPr="007D116E">
        <w:tab/>
        <w:t>notify the applicant that consultation is required; and</w:t>
      </w:r>
    </w:p>
    <w:p w14:paraId="1FA8A3FD" w14:textId="77777777" w:rsidR="00DB6E47" w:rsidRPr="007D116E" w:rsidRDefault="00DB6E47" w:rsidP="00DB6E47">
      <w:pPr>
        <w:pStyle w:val="Apara"/>
      </w:pPr>
      <w:r w:rsidRPr="007D116E">
        <w:tab/>
        <w:t>(b)</w:t>
      </w:r>
      <w:r w:rsidRPr="007D116E">
        <w:tab/>
        <w:t>notify the road manager that the applicant has been notified of the requirement.</w:t>
      </w:r>
    </w:p>
    <w:p w14:paraId="23A7D583" w14:textId="77777777" w:rsidR="00DB6E47" w:rsidRPr="003F319E" w:rsidRDefault="00DB6E47" w:rsidP="00DB6E47">
      <w:pPr>
        <w:pStyle w:val="Amain"/>
      </w:pPr>
      <w:r w:rsidRPr="003F319E">
        <w:tab/>
        <w:t>(3)</w:t>
      </w:r>
      <w:r w:rsidRPr="003F319E">
        <w:tab/>
        <w:t>The Regulator must, as far as practicable, give the</w:t>
      </w:r>
      <w:r w:rsidR="00F15F63">
        <w:t xml:space="preserve"> notifications under subsection </w:t>
      </w:r>
      <w:r w:rsidRPr="003F319E">
        <w:t>(2)</w:t>
      </w:r>
      <w:r w:rsidR="00F15F63">
        <w:t xml:space="preserve"> </w:t>
      </w:r>
      <w:r w:rsidRPr="003F319E">
        <w:t>concurrently with asking the road manager for the consent.</w:t>
      </w:r>
    </w:p>
    <w:p w14:paraId="78B6C9B2" w14:textId="77777777" w:rsidR="00DB6E47" w:rsidRPr="007E1F9A" w:rsidRDefault="00DB6E47" w:rsidP="00DB6E47">
      <w:pPr>
        <w:pStyle w:val="AH5Sec"/>
      </w:pPr>
      <w:bookmarkStart w:id="192" w:name="_Toc83625536"/>
      <w:r w:rsidRPr="005E03F7">
        <w:rPr>
          <w:rStyle w:val="CharSectNo"/>
        </w:rPr>
        <w:t>158</w:t>
      </w:r>
      <w:r w:rsidRPr="007E1F9A">
        <w:tab/>
        <w:t>Action pending consultation with third party</w:t>
      </w:r>
      <w:bookmarkEnd w:id="192"/>
    </w:p>
    <w:p w14:paraId="176499F8" w14:textId="77777777" w:rsidR="00DB6E47" w:rsidRPr="003F319E" w:rsidRDefault="00DB6E47" w:rsidP="00DB6E47">
      <w:pPr>
        <w:pStyle w:val="Amain"/>
      </w:pPr>
      <w:r w:rsidRPr="003F319E">
        <w:tab/>
        <w:t>(1)</w:t>
      </w:r>
      <w:r w:rsidRPr="003F319E">
        <w:tab/>
        <w:t>This section applies if—</w:t>
      </w:r>
    </w:p>
    <w:p w14:paraId="09736C94" w14:textId="77777777" w:rsidR="00DB6E47" w:rsidRPr="007D116E" w:rsidRDefault="00DB6E47" w:rsidP="00DB6E47">
      <w:pPr>
        <w:pStyle w:val="Apara"/>
      </w:pPr>
      <w:r w:rsidRPr="007D116E">
        <w:tab/>
        <w:t>(a)</w:t>
      </w:r>
      <w:r w:rsidRPr="007D116E">
        <w:tab/>
        <w:t>consultation with another entity is required under a law; and</w:t>
      </w:r>
    </w:p>
    <w:p w14:paraId="2C19270F" w14:textId="77777777" w:rsidR="00DB6E47" w:rsidRPr="007D116E" w:rsidRDefault="00DB6E47" w:rsidP="00DB6E47">
      <w:pPr>
        <w:pStyle w:val="Apara"/>
      </w:pPr>
      <w:r w:rsidRPr="007D116E">
        <w:tab/>
        <w:t>(b)</w:t>
      </w:r>
      <w:r w:rsidRPr="007D116E">
        <w:tab/>
        <w:t>the road manager does not ask for a lon</w:t>
      </w:r>
      <w:r w:rsidR="00F15F63">
        <w:t>ger period under section 156(1)</w:t>
      </w:r>
      <w:r w:rsidRPr="007D116E">
        <w:t>(b)</w:t>
      </w:r>
      <w:r w:rsidR="00F15F63">
        <w:t xml:space="preserve"> </w:t>
      </w:r>
      <w:r w:rsidRPr="007D116E">
        <w:t>or the Regulator refuses to agree to a longer period</w:t>
      </w:r>
      <w:r w:rsidR="00F15F63">
        <w:t xml:space="preserve"> asked for under section 156(1)</w:t>
      </w:r>
      <w:r w:rsidRPr="007D116E">
        <w:t>(b).</w:t>
      </w:r>
    </w:p>
    <w:p w14:paraId="5BFC3441" w14:textId="77777777" w:rsidR="00DB6E47" w:rsidRPr="003F319E" w:rsidRDefault="00DB6E47" w:rsidP="00DB6E47">
      <w:pPr>
        <w:pStyle w:val="Amain"/>
      </w:pPr>
      <w:r w:rsidRPr="003F319E">
        <w:tab/>
        <w:t>(2)</w:t>
      </w:r>
      <w:r w:rsidRPr="003F319E">
        <w:tab/>
        <w:t>If the consultation with the othe</w:t>
      </w:r>
      <w:r w:rsidR="00F15F63">
        <w:t xml:space="preserve">r entity is not yet completed, </w:t>
      </w:r>
      <w:r w:rsidRPr="003F319E">
        <w:t>the road manager must, as far as practicable, deal with the request for consent and decide to give or not to give the consent (even though the consultation with the other entity is not completed).</w:t>
      </w:r>
      <w:r w:rsidRPr="003F319E">
        <w:tab/>
      </w:r>
    </w:p>
    <w:p w14:paraId="756D783A" w14:textId="77777777" w:rsidR="00DB6E47" w:rsidRPr="003F319E" w:rsidRDefault="00DB6E47" w:rsidP="00DB6E47">
      <w:pPr>
        <w:pStyle w:val="Amain"/>
      </w:pPr>
      <w:r w:rsidRPr="003F319E">
        <w:tab/>
        <w:t>(3)</w:t>
      </w:r>
      <w:r w:rsidRPr="003F319E">
        <w:tab/>
        <w:t>If the road manager decides to give the consent even though the consultation with the other entity is not completed, the consent is not operative unless and until—</w:t>
      </w:r>
    </w:p>
    <w:p w14:paraId="03AA4861" w14:textId="77777777" w:rsidR="00DB6E47" w:rsidRPr="007D116E" w:rsidRDefault="00DB6E47" w:rsidP="00DB6E47">
      <w:pPr>
        <w:pStyle w:val="Apara"/>
      </w:pPr>
      <w:r w:rsidRPr="007D116E">
        <w:tab/>
        <w:t>(a)</w:t>
      </w:r>
      <w:r w:rsidRPr="007D116E">
        <w:tab/>
        <w:t>the consultation is completed; and</w:t>
      </w:r>
    </w:p>
    <w:p w14:paraId="36A755BB" w14:textId="77777777" w:rsidR="00DB6E47" w:rsidRPr="007D116E" w:rsidRDefault="00DB6E47" w:rsidP="00DB6E47">
      <w:pPr>
        <w:pStyle w:val="Apara"/>
      </w:pPr>
      <w:r w:rsidRPr="007D116E">
        <w:tab/>
        <w:t>(b)</w:t>
      </w:r>
      <w:r w:rsidRPr="007D116E">
        <w:tab/>
        <w:t>if the other entity’s approval is required, the other entity gives its approval.</w:t>
      </w:r>
    </w:p>
    <w:p w14:paraId="4C90AC04" w14:textId="77777777" w:rsidR="00DB6E47" w:rsidRPr="003F319E" w:rsidRDefault="00DB6E47" w:rsidP="00DB6E47">
      <w:pPr>
        <w:pStyle w:val="Amain"/>
      </w:pPr>
      <w:r w:rsidRPr="003F319E">
        <w:tab/>
        <w:t>(4)</w:t>
      </w:r>
      <w:r w:rsidRPr="003F319E">
        <w:tab/>
        <w:t>If—</w:t>
      </w:r>
    </w:p>
    <w:p w14:paraId="6524016C" w14:textId="77777777" w:rsidR="00DB6E47" w:rsidRPr="007D116E" w:rsidRDefault="00DB6E47" w:rsidP="00DB6E47">
      <w:pPr>
        <w:pStyle w:val="Apara"/>
      </w:pPr>
      <w:r w:rsidRPr="007D116E">
        <w:tab/>
        <w:t>(a)</w:t>
      </w:r>
      <w:r w:rsidRPr="007D116E">
        <w:tab/>
        <w:t>the consultation with the other entity is completed and the other entity’s approval is required; and</w:t>
      </w:r>
    </w:p>
    <w:p w14:paraId="3157829F" w14:textId="77777777" w:rsidR="00DB6E47" w:rsidRPr="007D116E" w:rsidRDefault="00DB6E47" w:rsidP="00DB6E47">
      <w:pPr>
        <w:pStyle w:val="Apara"/>
      </w:pPr>
      <w:r w:rsidRPr="007D116E">
        <w:lastRenderedPageBreak/>
        <w:tab/>
        <w:t>(b)</w:t>
      </w:r>
      <w:r w:rsidRPr="007D116E">
        <w:tab/>
        <w:t>the road manager has not yet decided to give or not to give the consent;</w:t>
      </w:r>
    </w:p>
    <w:p w14:paraId="053AE74E" w14:textId="77777777" w:rsidR="00DB6E47" w:rsidRPr="00F40DD7" w:rsidRDefault="00DB6E47" w:rsidP="00DB6E47">
      <w:pPr>
        <w:pStyle w:val="Amainreturn"/>
      </w:pPr>
      <w:r w:rsidRPr="00F40DD7">
        <w:t>the road manager may—</w:t>
      </w:r>
    </w:p>
    <w:p w14:paraId="3FC85123" w14:textId="77777777" w:rsidR="00DB6E47" w:rsidRPr="007D116E" w:rsidRDefault="00DB6E47" w:rsidP="00DB6E47">
      <w:pPr>
        <w:pStyle w:val="Apara"/>
      </w:pPr>
      <w:r w:rsidRPr="007D116E">
        <w:tab/>
        <w:t>(c)</w:t>
      </w:r>
      <w:r w:rsidRPr="007D116E">
        <w:tab/>
        <w:t>decide not to give the consent, on the ground that the consent would be inoperative; or</w:t>
      </w:r>
    </w:p>
    <w:p w14:paraId="02DD6F3B" w14:textId="77777777" w:rsidR="00DB6E47" w:rsidRPr="007D116E" w:rsidRDefault="00DB6E47" w:rsidP="00DB6E47">
      <w:pPr>
        <w:pStyle w:val="Apara"/>
      </w:pPr>
      <w:r w:rsidRPr="007D116E">
        <w:tab/>
        <w:t>(d)</w:t>
      </w:r>
      <w:r w:rsidRPr="007D116E">
        <w:tab/>
        <w:t>decide to give the consent, but the consent is inoperative without the other entity’s approval.</w:t>
      </w:r>
    </w:p>
    <w:p w14:paraId="0400D0CD" w14:textId="77777777" w:rsidR="00DB6E47" w:rsidRPr="003F319E" w:rsidRDefault="00DB6E47" w:rsidP="00DB6E47">
      <w:pPr>
        <w:pStyle w:val="Amain"/>
      </w:pPr>
      <w:r w:rsidRPr="003F319E">
        <w:tab/>
        <w:t>(5)</w:t>
      </w:r>
      <w:r w:rsidRPr="003F319E">
        <w:tab/>
        <w:t>The Regulator must not grant a mass or dimension authority if—</w:t>
      </w:r>
    </w:p>
    <w:p w14:paraId="2E56FBF4" w14:textId="77777777" w:rsidR="00DB6E47" w:rsidRPr="007D116E" w:rsidRDefault="00DB6E47" w:rsidP="00DB6E47">
      <w:pPr>
        <w:pStyle w:val="Apara"/>
      </w:pPr>
      <w:r w:rsidRPr="007D116E">
        <w:tab/>
        <w:t>(a)</w:t>
      </w:r>
      <w:r w:rsidRPr="007D116E">
        <w:tab/>
        <w:t>consultation is required under a law with another entity; and</w:t>
      </w:r>
    </w:p>
    <w:p w14:paraId="5A0C81F1" w14:textId="77777777" w:rsidR="00DB6E47" w:rsidRPr="007D116E" w:rsidRDefault="00DB6E47" w:rsidP="00DB6E47">
      <w:pPr>
        <w:pStyle w:val="Apara"/>
      </w:pPr>
      <w:r w:rsidRPr="007D116E">
        <w:tab/>
        <w:t>(b)</w:t>
      </w:r>
      <w:r w:rsidRPr="007D116E">
        <w:tab/>
        <w:t>the other entity’s approval is required; and</w:t>
      </w:r>
    </w:p>
    <w:p w14:paraId="2CE1E1FE" w14:textId="77777777" w:rsidR="00DB6E47" w:rsidRPr="007D116E" w:rsidRDefault="00DB6E47" w:rsidP="00DB6E47">
      <w:pPr>
        <w:pStyle w:val="Apara"/>
      </w:pPr>
      <w:r w:rsidRPr="007D116E">
        <w:tab/>
        <w:t>(c)</w:t>
      </w:r>
      <w:r w:rsidRPr="007D116E">
        <w:tab/>
        <w:t>the other entity has declined to give its approval.</w:t>
      </w:r>
    </w:p>
    <w:p w14:paraId="70A78A90" w14:textId="77777777" w:rsidR="00DB6E47" w:rsidRPr="007E1F9A" w:rsidRDefault="00DB6E47" w:rsidP="00DB6E47">
      <w:pPr>
        <w:pStyle w:val="AH5Sec"/>
      </w:pPr>
      <w:bookmarkStart w:id="193" w:name="_Toc83625537"/>
      <w:r w:rsidRPr="005E03F7">
        <w:rPr>
          <w:rStyle w:val="CharSectNo"/>
        </w:rPr>
        <w:t>159</w:t>
      </w:r>
      <w:r w:rsidRPr="007E1F9A">
        <w:tab/>
        <w:t>Deciding request for consent if route assessment required</w:t>
      </w:r>
      <w:bookmarkEnd w:id="193"/>
    </w:p>
    <w:p w14:paraId="667BA67A" w14:textId="77777777" w:rsidR="00DB6E47" w:rsidRPr="003F319E" w:rsidRDefault="00DB6E47" w:rsidP="00DB6E47">
      <w:pPr>
        <w:pStyle w:val="Amain"/>
      </w:pPr>
      <w:r w:rsidRPr="003F319E">
        <w:tab/>
        <w:t>(1)</w:t>
      </w:r>
      <w:r w:rsidRPr="003F319E">
        <w:tab/>
        <w:t>This section applies if—</w:t>
      </w:r>
    </w:p>
    <w:p w14:paraId="30AE9360" w14:textId="77777777" w:rsidR="00DB6E47" w:rsidRPr="007D116E" w:rsidRDefault="00DB6E47" w:rsidP="00DB6E47">
      <w:pPr>
        <w:pStyle w:val="Apara"/>
      </w:pPr>
      <w:r w:rsidRPr="007D116E">
        <w:tab/>
        <w:t>(a)</w:t>
      </w:r>
      <w:r w:rsidRPr="007D116E">
        <w:tab/>
        <w:t xml:space="preserve">a person (the </w:t>
      </w:r>
      <w:r w:rsidRPr="00FF4454">
        <w:rPr>
          <w:rStyle w:val="charBoldItals"/>
        </w:rPr>
        <w:t>applicant</w:t>
      </w:r>
      <w:r w:rsidRPr="007D116E">
        <w:t>) applies for a mass or dimension exemption (permit) or class 2 heavy vehicle authorisation (permit); and</w:t>
      </w:r>
    </w:p>
    <w:p w14:paraId="3458A9C9" w14:textId="77777777" w:rsidR="00DB6E47" w:rsidRPr="007D116E" w:rsidRDefault="00DB6E47" w:rsidP="00DB6E47">
      <w:pPr>
        <w:pStyle w:val="Apara"/>
      </w:pPr>
      <w:r w:rsidRPr="007D116E">
        <w:tab/>
        <w:t>(b)</w:t>
      </w:r>
      <w:r w:rsidRPr="007D116E">
        <w:tab/>
        <w:t>the Regulator asks a road manager for a road for the road manager’s consent to the grant of the exemption or authorisation; and</w:t>
      </w:r>
    </w:p>
    <w:p w14:paraId="48764AAD" w14:textId="77777777" w:rsidR="00DB6E47" w:rsidRPr="007D116E" w:rsidRDefault="00DB6E47" w:rsidP="00DB6E47">
      <w:pPr>
        <w:pStyle w:val="Apara"/>
      </w:pPr>
      <w:r w:rsidRPr="007D116E">
        <w:tab/>
        <w:t>(c)</w:t>
      </w:r>
      <w:r w:rsidRPr="007D116E">
        <w:tab/>
        <w:t>the road manager considers a route assessment is necessary for deciding whether to give or not to give the consent.</w:t>
      </w:r>
    </w:p>
    <w:p w14:paraId="7D1BB3B3" w14:textId="77777777" w:rsidR="00DB6E47" w:rsidRPr="003F319E" w:rsidRDefault="00DB6E47" w:rsidP="00DB6E47">
      <w:pPr>
        <w:pStyle w:val="Amain"/>
      </w:pPr>
      <w:r w:rsidRPr="003F319E">
        <w:tab/>
        <w:t>(2)</w:t>
      </w:r>
      <w:r w:rsidRPr="003F319E">
        <w:tab/>
        <w:t>The road manager may notify the Regulator of the following—</w:t>
      </w:r>
    </w:p>
    <w:p w14:paraId="2AC9C69A" w14:textId="77777777" w:rsidR="00DB6E47" w:rsidRPr="007D116E" w:rsidRDefault="00DB6E47" w:rsidP="00DB6E47">
      <w:pPr>
        <w:pStyle w:val="Apara"/>
      </w:pPr>
      <w:r w:rsidRPr="007D116E">
        <w:tab/>
        <w:t>(a)</w:t>
      </w:r>
      <w:r w:rsidRPr="007D116E">
        <w:tab/>
        <w:t>that a route assessment is required for the road manager deciding whether to give or not to give the consent;</w:t>
      </w:r>
    </w:p>
    <w:p w14:paraId="19D4BD11" w14:textId="77777777" w:rsidR="00DB6E47" w:rsidRPr="007D116E" w:rsidRDefault="00DB6E47" w:rsidP="00DB6E47">
      <w:pPr>
        <w:pStyle w:val="Apara"/>
      </w:pPr>
      <w:r w:rsidRPr="007D116E">
        <w:tab/>
        <w:t>(b)</w:t>
      </w:r>
      <w:r w:rsidRPr="007D116E">
        <w:tab/>
        <w:t>the fee payable (if any) for the route assessment under a law of the jurisdiction in which the road is situated.</w:t>
      </w:r>
    </w:p>
    <w:p w14:paraId="1165F4B8" w14:textId="77777777" w:rsidR="00DB6E47" w:rsidRPr="003F319E" w:rsidRDefault="00DB6E47" w:rsidP="00F61994">
      <w:pPr>
        <w:pStyle w:val="Amain"/>
        <w:keepNext/>
      </w:pPr>
      <w:r w:rsidRPr="003F319E">
        <w:lastRenderedPageBreak/>
        <w:tab/>
        <w:t>(3)</w:t>
      </w:r>
      <w:r w:rsidRPr="003F319E">
        <w:tab/>
        <w:t>The Regulator must notify the applicant of the following—</w:t>
      </w:r>
    </w:p>
    <w:p w14:paraId="0F69EB86" w14:textId="77777777" w:rsidR="00DB6E47" w:rsidRPr="007D116E" w:rsidRDefault="00DB6E47" w:rsidP="00DB6E47">
      <w:pPr>
        <w:pStyle w:val="Apara"/>
      </w:pPr>
      <w:r w:rsidRPr="007D116E">
        <w:tab/>
        <w:t>(a)</w:t>
      </w:r>
      <w:r w:rsidRPr="007D116E">
        <w:tab/>
        <w:t>that a route assessment is required for the road manager deciding whether to give or not to give the consent;</w:t>
      </w:r>
    </w:p>
    <w:p w14:paraId="6D7D1B64" w14:textId="77777777" w:rsidR="00DB6E47" w:rsidRPr="007D116E" w:rsidRDefault="00DB6E47" w:rsidP="00DB6E47">
      <w:pPr>
        <w:pStyle w:val="Apara"/>
      </w:pPr>
      <w:r w:rsidRPr="007D116E">
        <w:tab/>
        <w:t>(b)</w:t>
      </w:r>
      <w:r w:rsidRPr="007D116E">
        <w:tab/>
        <w:t>the fee payable (if any) for the route assessment under a law of the jurisdiction in which the road is situated;</w:t>
      </w:r>
    </w:p>
    <w:p w14:paraId="7390AF81" w14:textId="77777777" w:rsidR="00DB6E47" w:rsidRPr="007D116E" w:rsidRDefault="00DB6E47" w:rsidP="00DB6E47">
      <w:pPr>
        <w:pStyle w:val="Apara"/>
      </w:pPr>
      <w:r w:rsidRPr="007D116E">
        <w:tab/>
        <w:t>(c)</w:t>
      </w:r>
      <w:r w:rsidRPr="007D116E">
        <w:tab/>
        <w:t>if a fee is payable for the route assessment under a law of the jurisdiction in which the road is situated, that the road manager may stop considering whether to give or not to give the consent until the fee is paid;</w:t>
      </w:r>
    </w:p>
    <w:p w14:paraId="10A9E286" w14:textId="77777777" w:rsidR="00DB6E47" w:rsidRPr="007D116E" w:rsidRDefault="00F15F63" w:rsidP="00DB6E47">
      <w:pPr>
        <w:pStyle w:val="Apara"/>
      </w:pPr>
      <w:r>
        <w:tab/>
        <w:t>(d)</w:t>
      </w:r>
      <w:r>
        <w:tab/>
        <w:t>if, under section 156(1)</w:t>
      </w:r>
      <w:r w:rsidR="00DB6E47" w:rsidRPr="007D116E">
        <w:t>(b), the Regulator agrees to a longer period for the road manager deciding whether to give or not to give the consent, the longer period agreed by the Regulator.</w:t>
      </w:r>
    </w:p>
    <w:p w14:paraId="6063EF7E" w14:textId="77777777" w:rsidR="00DB6E47" w:rsidRPr="003F319E" w:rsidRDefault="00DB6E47" w:rsidP="00DB6E47">
      <w:pPr>
        <w:pStyle w:val="Amain"/>
      </w:pPr>
      <w:r w:rsidRPr="003F319E">
        <w:tab/>
        <w:t>(4)</w:t>
      </w:r>
      <w:r w:rsidRPr="003F319E">
        <w:tab/>
        <w:t>If a fee is payable for the route assessment under a law of the jurisdiction in which the road is situated—</w:t>
      </w:r>
    </w:p>
    <w:p w14:paraId="74E7932E" w14:textId="77777777" w:rsidR="00DB6E47" w:rsidRPr="007D116E" w:rsidRDefault="00DB6E47" w:rsidP="00DB6E47">
      <w:pPr>
        <w:pStyle w:val="Apara"/>
      </w:pPr>
      <w:r w:rsidRPr="007D116E">
        <w:tab/>
        <w:t>(a)</w:t>
      </w:r>
      <w:r w:rsidRPr="007D116E">
        <w:tab/>
        <w:t>the road manager may stop considering whether to give or not to give the consent until the fee is paid; and</w:t>
      </w:r>
    </w:p>
    <w:p w14:paraId="730646D1" w14:textId="77777777" w:rsidR="00DB6E47" w:rsidRPr="007D116E" w:rsidRDefault="00DB6E47" w:rsidP="00DB6E47">
      <w:pPr>
        <w:pStyle w:val="Apara"/>
      </w:pPr>
      <w:r w:rsidRPr="007D116E">
        <w:tab/>
        <w:t>(b)</w:t>
      </w:r>
      <w:r w:rsidRPr="007D116E">
        <w:tab/>
        <w:t>the period between the day the applicant is given th</w:t>
      </w:r>
      <w:r w:rsidR="00F15F63">
        <w:t xml:space="preserve">e notification under subsection </w:t>
      </w:r>
      <w:r w:rsidRPr="007D116E">
        <w:t>(3)</w:t>
      </w:r>
      <w:r w:rsidR="00F15F63">
        <w:t xml:space="preserve"> </w:t>
      </w:r>
      <w:r w:rsidRPr="007D116E">
        <w:t>and the day the fee is paid must not be counted in working out the period taken by the road manager to decide whether to give or not to give the consent.</w:t>
      </w:r>
    </w:p>
    <w:p w14:paraId="52D7AA8C" w14:textId="77777777" w:rsidR="00DB6E47" w:rsidRPr="003F319E" w:rsidRDefault="00DB6E47" w:rsidP="00DB6E47">
      <w:pPr>
        <w:pStyle w:val="Amain"/>
      </w:pPr>
      <w:r w:rsidRPr="003F319E">
        <w:tab/>
        <w:t>(5)</w:t>
      </w:r>
      <w:r w:rsidRPr="003F319E">
        <w:tab/>
        <w:t>If the applicant does not pay the fee for the route assessment within 28 days after the notification is given to the applicant under subsection (3), or a longer period agreed to by the Regulator, the application lapses.</w:t>
      </w:r>
    </w:p>
    <w:p w14:paraId="36B6A8FB" w14:textId="77777777" w:rsidR="00DB6E47" w:rsidRPr="007E1F9A" w:rsidRDefault="00DB6E47" w:rsidP="00DB6E47">
      <w:pPr>
        <w:pStyle w:val="AH5Sec"/>
      </w:pPr>
      <w:bookmarkStart w:id="194" w:name="_Toc83625538"/>
      <w:r w:rsidRPr="005E03F7">
        <w:rPr>
          <w:rStyle w:val="CharSectNo"/>
        </w:rPr>
        <w:lastRenderedPageBreak/>
        <w:t>160</w:t>
      </w:r>
      <w:r w:rsidRPr="007E1F9A">
        <w:tab/>
        <w:t>Imposition of road conditions</w:t>
      </w:r>
      <w:bookmarkEnd w:id="194"/>
    </w:p>
    <w:p w14:paraId="187D8325" w14:textId="77777777" w:rsidR="00DB6E47" w:rsidRPr="003F319E" w:rsidRDefault="00DB6E47" w:rsidP="00F61994">
      <w:pPr>
        <w:pStyle w:val="Amain"/>
        <w:keepNext/>
      </w:pPr>
      <w:r w:rsidRPr="003F319E">
        <w:tab/>
        <w:t>(1)</w:t>
      </w:r>
      <w:r w:rsidRPr="003F319E">
        <w:tab/>
        <w:t>A relevant road manager for a mass or dimension authority may consent to the grant of the authority subject to—</w:t>
      </w:r>
    </w:p>
    <w:p w14:paraId="221CF3BE" w14:textId="77777777" w:rsidR="00DB6E47" w:rsidRPr="007D116E" w:rsidRDefault="00DB6E47" w:rsidP="00DB6E47">
      <w:pPr>
        <w:pStyle w:val="Apara"/>
      </w:pPr>
      <w:r w:rsidRPr="007D116E">
        <w:tab/>
        <w:t>(a)</w:t>
      </w:r>
      <w:r w:rsidRPr="007D116E">
        <w:tab/>
        <w:t>except in the case of a class 2 heavy vehicle authorisation (notice)—the condition that a stated road condition is imposed on the authority; or</w:t>
      </w:r>
    </w:p>
    <w:p w14:paraId="4BBF7692" w14:textId="77777777" w:rsidR="00DB6E47" w:rsidRPr="007D116E" w:rsidRDefault="00DB6E47" w:rsidP="00DB6E47">
      <w:pPr>
        <w:pStyle w:val="Apara"/>
      </w:pPr>
      <w:r w:rsidRPr="007D116E">
        <w:tab/>
        <w:t>(b)</w:t>
      </w:r>
      <w:r w:rsidRPr="007D116E">
        <w:tab/>
        <w:t>in the case of a class 2 heavy vehicle authorisation (notice)—the condition that a stated road condition of a type prescribed by the national regulations is imposed on the authority.</w:t>
      </w:r>
    </w:p>
    <w:p w14:paraId="0B34A1DF" w14:textId="77777777" w:rsidR="00DB6E47" w:rsidRPr="003F319E" w:rsidRDefault="00DB6E47" w:rsidP="00DB6E47">
      <w:pPr>
        <w:pStyle w:val="Amain"/>
      </w:pPr>
      <w:r w:rsidRPr="003F319E">
        <w:tab/>
        <w:t>(2)</w:t>
      </w:r>
      <w:r w:rsidRPr="003F319E">
        <w:tab/>
        <w:t>If a relevant road manager for a mass or dimension authority consents to the grant of the authority subject to a condition as mentioned in subsection (1)(a)—</w:t>
      </w:r>
    </w:p>
    <w:p w14:paraId="7D32B1E3" w14:textId="77777777" w:rsidR="00DB6E47" w:rsidRPr="007D116E" w:rsidRDefault="00DB6E47" w:rsidP="00DB6E47">
      <w:pPr>
        <w:pStyle w:val="Apara"/>
      </w:pPr>
      <w:r w:rsidRPr="007D116E">
        <w:tab/>
        <w:t>(a)</w:t>
      </w:r>
      <w:r w:rsidRPr="007D116E">
        <w:tab/>
        <w:t>the relevant road manager must give the Regulator a written statement that explains the road manager’s decision to give consent to the grant of the authority subject to the condition and complies with section 172; and</w:t>
      </w:r>
    </w:p>
    <w:p w14:paraId="1CDF556B" w14:textId="77777777" w:rsidR="00DB6E47" w:rsidRPr="007D116E" w:rsidRDefault="00DB6E47" w:rsidP="00DB6E47">
      <w:pPr>
        <w:pStyle w:val="Apara"/>
      </w:pPr>
      <w:r w:rsidRPr="007D116E">
        <w:tab/>
        <w:t>(b)</w:t>
      </w:r>
      <w:r w:rsidRPr="007D116E">
        <w:tab/>
        <w:t>the Regulator must impose the stated road condition on the authority.</w:t>
      </w:r>
    </w:p>
    <w:p w14:paraId="3EDC9867" w14:textId="77777777" w:rsidR="00DB6E47" w:rsidRPr="003F319E" w:rsidRDefault="00DB6E47" w:rsidP="00DB6E47">
      <w:pPr>
        <w:pStyle w:val="Amain"/>
      </w:pPr>
      <w:r w:rsidRPr="003F319E">
        <w:tab/>
        <w:t>(3)</w:t>
      </w:r>
      <w:r w:rsidRPr="003F319E">
        <w:tab/>
        <w:t>If a relevant road manager for a mass or dimension authority consents to the grant of the authority subject to a condition as mentioned in subsection (1)(b), the Regulator must impose the stated road condition on the authority.</w:t>
      </w:r>
    </w:p>
    <w:p w14:paraId="2FCF798A" w14:textId="77777777" w:rsidR="00DB6E47" w:rsidRPr="003F319E" w:rsidRDefault="00DB6E47" w:rsidP="00DB6E47">
      <w:pPr>
        <w:pStyle w:val="Amain"/>
      </w:pPr>
      <w:r w:rsidRPr="003F319E">
        <w:tab/>
        <w:t>(4)</w:t>
      </w:r>
      <w:r w:rsidRPr="003F319E">
        <w:tab/>
        <w:t xml:space="preserve">The national regulations may prescribe road conditions, or kinds of road conditions, for the purposes of subsection </w:t>
      </w:r>
      <w:r w:rsidR="00F15F63">
        <w:t>(1)</w:t>
      </w:r>
      <w:r w:rsidRPr="003F319E">
        <w:t>(b)</w:t>
      </w:r>
      <w:r w:rsidR="00F15F63">
        <w:t xml:space="preserve"> </w:t>
      </w:r>
      <w:r w:rsidRPr="003F319E">
        <w:t>and must prescribe the circumstances in which it is appropriate to impose such a condition.</w:t>
      </w:r>
    </w:p>
    <w:p w14:paraId="45767FF8" w14:textId="77777777" w:rsidR="00DB6E47" w:rsidRPr="007E1F9A" w:rsidRDefault="00DB6E47" w:rsidP="00DB6E47">
      <w:pPr>
        <w:pStyle w:val="AH5Sec"/>
      </w:pPr>
      <w:bookmarkStart w:id="195" w:name="_Toc83625539"/>
      <w:r w:rsidRPr="005E03F7">
        <w:rPr>
          <w:rStyle w:val="CharSectNo"/>
        </w:rPr>
        <w:lastRenderedPageBreak/>
        <w:t>161</w:t>
      </w:r>
      <w:r w:rsidRPr="007E1F9A">
        <w:tab/>
        <w:t>Imposition of travel conditions</w:t>
      </w:r>
      <w:bookmarkEnd w:id="195"/>
    </w:p>
    <w:p w14:paraId="6E1828F4" w14:textId="77777777" w:rsidR="00DB6E47" w:rsidRPr="003F319E" w:rsidRDefault="00DB6E47" w:rsidP="00A90927">
      <w:pPr>
        <w:pStyle w:val="Amain"/>
        <w:keepNext/>
      </w:pPr>
      <w:r w:rsidRPr="003F319E">
        <w:tab/>
        <w:t>(1)</w:t>
      </w:r>
      <w:r w:rsidRPr="003F319E">
        <w:tab/>
        <w:t>A relevant road manager for a mass or dimension authority may consent to the grant of the authority subject to the condition that a stated travel condition is imposed on the authority.</w:t>
      </w:r>
    </w:p>
    <w:p w14:paraId="2FE80D01" w14:textId="77777777" w:rsidR="00DB6E47" w:rsidRPr="003F319E" w:rsidRDefault="00DB6E47" w:rsidP="00DB6E47">
      <w:pPr>
        <w:pStyle w:val="Amain"/>
      </w:pPr>
      <w:r w:rsidRPr="003F319E">
        <w:tab/>
        <w:t>(2)</w:t>
      </w:r>
      <w:r w:rsidRPr="003F319E">
        <w:tab/>
        <w:t>If a relevant road manager for a mass or dimension authority consents to the grant of the authority as mentioned in subsection (1)—</w:t>
      </w:r>
    </w:p>
    <w:p w14:paraId="7447BCA5" w14:textId="77777777" w:rsidR="00DB6E47" w:rsidRPr="007D116E" w:rsidRDefault="00DB6E47" w:rsidP="00DB6E47">
      <w:pPr>
        <w:pStyle w:val="Apara"/>
      </w:pPr>
      <w:r w:rsidRPr="007D116E">
        <w:tab/>
        <w:t>(a)</w:t>
      </w:r>
      <w:r w:rsidRPr="007D116E">
        <w:tab/>
        <w:t>the relevant road manager must give the Regulator a written statement that explains the road manager’s decision to give consent to the grant of the authority subject to the condition and complies with section 172; and</w:t>
      </w:r>
    </w:p>
    <w:p w14:paraId="7F1D0B9C" w14:textId="77777777" w:rsidR="00DB6E47" w:rsidRPr="007D116E" w:rsidRDefault="00DB6E47" w:rsidP="00DB6E47">
      <w:pPr>
        <w:pStyle w:val="Apara"/>
      </w:pPr>
      <w:r w:rsidRPr="007D116E">
        <w:tab/>
        <w:t>(b)</w:t>
      </w:r>
      <w:r w:rsidRPr="007D116E">
        <w:tab/>
        <w:t>the Regulator must impose the stated travel condition on the authority.</w:t>
      </w:r>
    </w:p>
    <w:p w14:paraId="185361AD" w14:textId="77777777" w:rsidR="00DB6E47" w:rsidRPr="007E1F9A" w:rsidRDefault="00DB6E47" w:rsidP="00DB6E47">
      <w:pPr>
        <w:pStyle w:val="AH5Sec"/>
      </w:pPr>
      <w:bookmarkStart w:id="196" w:name="_Toc83625540"/>
      <w:r w:rsidRPr="005E03F7">
        <w:rPr>
          <w:rStyle w:val="CharSectNo"/>
        </w:rPr>
        <w:t>162</w:t>
      </w:r>
      <w:r w:rsidRPr="007E1F9A">
        <w:tab/>
        <w:t>Imposition of vehicle conditions</w:t>
      </w:r>
      <w:bookmarkEnd w:id="196"/>
    </w:p>
    <w:p w14:paraId="51D6E304" w14:textId="77777777" w:rsidR="00DB6E47" w:rsidRPr="003F319E" w:rsidRDefault="00DB6E47" w:rsidP="00DB6E47">
      <w:pPr>
        <w:pStyle w:val="Amain"/>
      </w:pPr>
      <w:r w:rsidRPr="003F319E">
        <w:tab/>
        <w:t>(1)</w:t>
      </w:r>
      <w:r w:rsidRPr="003F319E">
        <w:tab/>
        <w:t>A relevant road manager for a mass or dimension authority who gives consent to the grant of the authority may ask the Regulator to impose a stated vehicle condition on the authority.</w:t>
      </w:r>
    </w:p>
    <w:p w14:paraId="3BD000FF" w14:textId="77777777" w:rsidR="00DB6E47" w:rsidRPr="003F319E" w:rsidRDefault="00DB6E47" w:rsidP="00DB6E47">
      <w:pPr>
        <w:pStyle w:val="Amain"/>
      </w:pPr>
      <w:r w:rsidRPr="003F319E">
        <w:tab/>
        <w:t>(2)</w:t>
      </w:r>
      <w:r w:rsidRPr="003F319E">
        <w:tab/>
        <w:t>If a relevant road manager for a mass or dimension authority makes a request as mentioned in subsection (1), the Regulator must—</w:t>
      </w:r>
    </w:p>
    <w:p w14:paraId="35C309BC" w14:textId="77777777" w:rsidR="00DB6E47" w:rsidRPr="007D116E" w:rsidRDefault="00DB6E47" w:rsidP="00DB6E47">
      <w:pPr>
        <w:pStyle w:val="Apara"/>
      </w:pPr>
      <w:r w:rsidRPr="007D116E">
        <w:tab/>
        <w:t>(a)</w:t>
      </w:r>
      <w:r w:rsidRPr="007D116E">
        <w:tab/>
        <w:t>consider the request and decide—</w:t>
      </w:r>
    </w:p>
    <w:p w14:paraId="165935A2" w14:textId="77777777" w:rsidR="00DB6E47" w:rsidRPr="00516F02" w:rsidRDefault="00DB6E47" w:rsidP="00DB6E47">
      <w:pPr>
        <w:pStyle w:val="Asubpara"/>
      </w:pPr>
      <w:r w:rsidRPr="00516F02">
        <w:tab/>
        <w:t>(i)</w:t>
      </w:r>
      <w:r w:rsidRPr="00516F02">
        <w:tab/>
        <w:t>to impose the stated vehicle condition on the authority (with or without modification); or</w:t>
      </w:r>
    </w:p>
    <w:p w14:paraId="776B5480" w14:textId="77777777" w:rsidR="00DB6E47" w:rsidRPr="00516F02" w:rsidRDefault="00DB6E47" w:rsidP="00DB6E47">
      <w:pPr>
        <w:pStyle w:val="Asubpara"/>
      </w:pPr>
      <w:r w:rsidRPr="00516F02">
        <w:tab/>
        <w:t>(ii)</w:t>
      </w:r>
      <w:r w:rsidRPr="00516F02">
        <w:tab/>
        <w:t>not to impose the stated vehicle condition on the authority; and</w:t>
      </w:r>
    </w:p>
    <w:p w14:paraId="6B95ABBB" w14:textId="77777777" w:rsidR="00DB6E47" w:rsidRPr="007D116E" w:rsidRDefault="00DB6E47" w:rsidP="00DB6E47">
      <w:pPr>
        <w:pStyle w:val="Apara"/>
      </w:pPr>
      <w:r w:rsidRPr="007D116E">
        <w:tab/>
        <w:t>(b)</w:t>
      </w:r>
      <w:r w:rsidRPr="007D116E">
        <w:tab/>
        <w:t>notify the relevant road manager o</w:t>
      </w:r>
      <w:r w:rsidR="008C2E76">
        <w:t>f the decision under paragraph </w:t>
      </w:r>
      <w:r w:rsidRPr="007D116E">
        <w:t>(a).</w:t>
      </w:r>
    </w:p>
    <w:p w14:paraId="67EA213D" w14:textId="77777777" w:rsidR="00DB6E47" w:rsidRPr="007E1F9A" w:rsidRDefault="00DB6E47" w:rsidP="00DB6E47">
      <w:pPr>
        <w:pStyle w:val="AH5Sec"/>
      </w:pPr>
      <w:bookmarkStart w:id="197" w:name="_Toc83625541"/>
      <w:r w:rsidRPr="005E03F7">
        <w:rPr>
          <w:rStyle w:val="CharSectNo"/>
        </w:rPr>
        <w:lastRenderedPageBreak/>
        <w:t>163</w:t>
      </w:r>
      <w:r w:rsidRPr="007E1F9A">
        <w:tab/>
        <w:t>Obtaining consent of road authority if particular road manager refuses to give consent</w:t>
      </w:r>
      <w:bookmarkEnd w:id="197"/>
    </w:p>
    <w:p w14:paraId="1C0A0830" w14:textId="77777777" w:rsidR="00DB6E47" w:rsidRPr="003F319E" w:rsidRDefault="00DB6E47" w:rsidP="00DB6E47">
      <w:pPr>
        <w:pStyle w:val="Amain"/>
      </w:pPr>
      <w:r w:rsidRPr="003F319E">
        <w:tab/>
        <w:t>(1)</w:t>
      </w:r>
      <w:r w:rsidRPr="003F319E">
        <w:tab/>
        <w:t>This section applies if a relevant road manager for a mass or dimension authority—</w:t>
      </w:r>
    </w:p>
    <w:p w14:paraId="47E8E9E9" w14:textId="77777777" w:rsidR="00DB6E47" w:rsidRPr="007D116E" w:rsidRDefault="00DB6E47" w:rsidP="00DB6E47">
      <w:pPr>
        <w:pStyle w:val="Apara"/>
      </w:pPr>
      <w:r w:rsidRPr="007D116E">
        <w:tab/>
        <w:t>(a)</w:t>
      </w:r>
      <w:r w:rsidRPr="007D116E">
        <w:tab/>
        <w:t>is a public authority other than a road authority; and</w:t>
      </w:r>
    </w:p>
    <w:p w14:paraId="4D626CA1" w14:textId="77777777" w:rsidR="00DB6E47" w:rsidRPr="007D116E" w:rsidRDefault="00DB6E47" w:rsidP="00F61994">
      <w:pPr>
        <w:pStyle w:val="Apara"/>
        <w:keepNext/>
      </w:pPr>
      <w:r w:rsidRPr="007D116E">
        <w:tab/>
        <w:t>(b)</w:t>
      </w:r>
      <w:r w:rsidRPr="007D116E">
        <w:tab/>
        <w:t>either—</w:t>
      </w:r>
    </w:p>
    <w:p w14:paraId="53EE4649" w14:textId="77777777" w:rsidR="00DB6E47" w:rsidRPr="00516F02" w:rsidRDefault="00DB6E47" w:rsidP="00DB6E47">
      <w:pPr>
        <w:pStyle w:val="Asubpara"/>
      </w:pPr>
      <w:r w:rsidRPr="00516F02">
        <w:tab/>
        <w:t>(i)</w:t>
      </w:r>
      <w:r w:rsidRPr="00516F02">
        <w:tab/>
        <w:t>decides not to consent to the grant of the mass or dimension authority; or</w:t>
      </w:r>
    </w:p>
    <w:p w14:paraId="770B4AA3" w14:textId="77777777" w:rsidR="00DB6E47" w:rsidRPr="00516F02" w:rsidRDefault="00DB6E47" w:rsidP="00DB6E47">
      <w:pPr>
        <w:pStyle w:val="Asubpara"/>
      </w:pPr>
      <w:r w:rsidRPr="00516F02">
        <w:tab/>
        <w:t>(ii)</w:t>
      </w:r>
      <w:r w:rsidRPr="00516F02">
        <w:tab/>
        <w:t>consents to the grant of the mass or dimension authority subject to the imposition of road conditions or travel conditions the Regulator considers are not necessary to avoid, or significantly minimise—</w:t>
      </w:r>
    </w:p>
    <w:p w14:paraId="073B538B" w14:textId="77777777" w:rsidR="00DB6E47" w:rsidRPr="00F15F63" w:rsidRDefault="00DB6E47" w:rsidP="00F15F63">
      <w:pPr>
        <w:pStyle w:val="Asubsubpara"/>
      </w:pPr>
      <w:r w:rsidRPr="00F04D8E">
        <w:rPr>
          <w:rFonts w:cs="Times"/>
          <w:bCs/>
          <w:iCs/>
        </w:rPr>
        <w:tab/>
        <w:t>(</w:t>
      </w:r>
      <w:r w:rsidR="00F15F63">
        <w:rPr>
          <w:rFonts w:cs="Times"/>
          <w:bCs/>
          <w:iCs/>
        </w:rPr>
        <w:t>A</w:t>
      </w:r>
      <w:r w:rsidRPr="00F04D8E">
        <w:rPr>
          <w:rFonts w:cs="Times"/>
          <w:bCs/>
          <w:iCs/>
        </w:rPr>
        <w:t>)</w:t>
      </w:r>
      <w:r w:rsidRPr="00FF4454">
        <w:rPr>
          <w:rStyle w:val="charBoldItals"/>
        </w:rPr>
        <w:tab/>
      </w:r>
      <w:r w:rsidRPr="00F15F63">
        <w:t>damage, or likely damage, to road infrastructure; or</w:t>
      </w:r>
    </w:p>
    <w:p w14:paraId="0A00A695" w14:textId="77777777" w:rsidR="00DB6E47" w:rsidRPr="00F15F63" w:rsidRDefault="00DB6E47" w:rsidP="00F15F63">
      <w:pPr>
        <w:pStyle w:val="Asubsubpara"/>
      </w:pPr>
      <w:r w:rsidRPr="00F15F63">
        <w:tab/>
        <w:t>(</w:t>
      </w:r>
      <w:r w:rsidR="00F15F63">
        <w:t>B</w:t>
      </w:r>
      <w:r w:rsidRPr="00F15F63">
        <w:t>)</w:t>
      </w:r>
      <w:r w:rsidRPr="00F15F63">
        <w:tab/>
        <w:t>adverse effects, or likely adverse effects, on the community arising from noise, emissions or traffic congestion or from other matters stated in approved guidelines; or</w:t>
      </w:r>
    </w:p>
    <w:p w14:paraId="5603669D" w14:textId="77777777" w:rsidR="00DB6E47" w:rsidRPr="00F15F63" w:rsidRDefault="00DB6E47" w:rsidP="00F15F63">
      <w:pPr>
        <w:pStyle w:val="Asubsubpara"/>
      </w:pPr>
      <w:r w:rsidRPr="00F15F63">
        <w:tab/>
        <w:t>(</w:t>
      </w:r>
      <w:r w:rsidR="00F15F63">
        <w:t>C</w:t>
      </w:r>
      <w:r w:rsidRPr="00F15F63">
        <w:t>)</w:t>
      </w:r>
      <w:r w:rsidRPr="00F15F63">
        <w:tab/>
        <w:t>significant risks, or likely significant risks, to public safety arising from heavy vehicle use that is incompatible with road infrastructure or traffic conditions.</w:t>
      </w:r>
    </w:p>
    <w:p w14:paraId="5B846F9F" w14:textId="77777777" w:rsidR="00DB6E47" w:rsidRPr="003F319E" w:rsidRDefault="00DB6E47" w:rsidP="00DB6E47">
      <w:pPr>
        <w:pStyle w:val="Amain"/>
      </w:pPr>
      <w:r w:rsidRPr="003F319E">
        <w:tab/>
        <w:t>(2)</w:t>
      </w:r>
      <w:r w:rsidRPr="003F319E">
        <w:tab/>
        <w:t>The Regulator may ask the relevant road authority to consent to the grant.</w:t>
      </w:r>
    </w:p>
    <w:p w14:paraId="02BB17C2" w14:textId="77777777" w:rsidR="00DB6E47" w:rsidRPr="003F319E" w:rsidRDefault="00DB6E47" w:rsidP="00DB6E47">
      <w:pPr>
        <w:pStyle w:val="Amain"/>
      </w:pPr>
      <w:r w:rsidRPr="003F319E">
        <w:tab/>
        <w:t>(3)</w:t>
      </w:r>
      <w:r w:rsidRPr="003F319E">
        <w:tab/>
        <w:t>If the Regulator asks the relevant road authority for consent under this section, the road authority must decide to give or not to give the consent—</w:t>
      </w:r>
    </w:p>
    <w:p w14:paraId="5E8B1DA7" w14:textId="77777777" w:rsidR="00DB6E47" w:rsidRPr="005441A8" w:rsidRDefault="00DB6E47" w:rsidP="00DB6E47">
      <w:pPr>
        <w:pStyle w:val="Apara"/>
      </w:pPr>
      <w:r w:rsidRPr="005441A8">
        <w:tab/>
        <w:t>(a)</w:t>
      </w:r>
      <w:r w:rsidRPr="005441A8">
        <w:tab/>
        <w:t>within 3 months of the request; or</w:t>
      </w:r>
    </w:p>
    <w:p w14:paraId="19FD8802" w14:textId="77777777" w:rsidR="00DB6E47" w:rsidRPr="005441A8" w:rsidRDefault="00DB6E47" w:rsidP="00DB6E47">
      <w:pPr>
        <w:pStyle w:val="Apara"/>
      </w:pPr>
      <w:r w:rsidRPr="005441A8">
        <w:tab/>
        <w:t>(b)</w:t>
      </w:r>
      <w:r w:rsidRPr="005441A8">
        <w:tab/>
        <w:t>within a longer period, of not more than 6 months, agreed to by the Regulator.</w:t>
      </w:r>
    </w:p>
    <w:p w14:paraId="2E577444" w14:textId="77777777" w:rsidR="00DB6E47" w:rsidRPr="003F319E" w:rsidRDefault="00DB6E47" w:rsidP="00DB6E47">
      <w:pPr>
        <w:pStyle w:val="Amain"/>
      </w:pPr>
      <w:r w:rsidRPr="003F319E">
        <w:lastRenderedPageBreak/>
        <w:tab/>
        <w:t>(4)</w:t>
      </w:r>
      <w:r w:rsidRPr="003F319E">
        <w:tab/>
        <w:t>If the relevant road authority gives the consent or gives the consent on the condition that a stated road condition or travel condition is imposed on the mass or dimension authority—</w:t>
      </w:r>
    </w:p>
    <w:p w14:paraId="6C142FBD" w14:textId="77777777" w:rsidR="00DB6E47" w:rsidRPr="005441A8" w:rsidRDefault="00DB6E47" w:rsidP="00DB6E47">
      <w:pPr>
        <w:pStyle w:val="Apara"/>
      </w:pPr>
      <w:r w:rsidRPr="005441A8">
        <w:tab/>
        <w:t>(a)</w:t>
      </w:r>
      <w:r w:rsidRPr="005441A8">
        <w:tab/>
        <w:t>the decision of the relevant road manager has no effect for the purposes of this Law; and</w:t>
      </w:r>
    </w:p>
    <w:p w14:paraId="5D785A19" w14:textId="77777777" w:rsidR="00DB6E47" w:rsidRPr="005441A8" w:rsidRDefault="00DB6E47" w:rsidP="00DB6E47">
      <w:pPr>
        <w:pStyle w:val="Apara"/>
      </w:pPr>
      <w:r w:rsidRPr="005441A8">
        <w:tab/>
        <w:t>(b)</w:t>
      </w:r>
      <w:r w:rsidRPr="005441A8">
        <w:tab/>
        <w:t>to the extent this Law applies in relation to the consent of, or the road conditions or travel conditions required by, the relevant road manager, this Law (other than this section) applies as if a reference in it to the relevant road manager were a reference to the relevant road authority.</w:t>
      </w:r>
    </w:p>
    <w:p w14:paraId="6D255569" w14:textId="77777777" w:rsidR="00DB6E47" w:rsidRPr="003F319E" w:rsidRDefault="00DB6E47" w:rsidP="00DB6E47">
      <w:pPr>
        <w:pStyle w:val="Amain"/>
      </w:pPr>
      <w:r w:rsidRPr="003F319E">
        <w:tab/>
        <w:t>(5)</w:t>
      </w:r>
      <w:r w:rsidRPr="003F319E">
        <w:tab/>
        <w:t>In this section—</w:t>
      </w:r>
    </w:p>
    <w:p w14:paraId="4C4A7F4D" w14:textId="77777777" w:rsidR="00DB6E47" w:rsidRPr="00041046" w:rsidRDefault="00DB6E47" w:rsidP="00DB6E47">
      <w:pPr>
        <w:pStyle w:val="aDef"/>
        <w:rPr>
          <w:bCs/>
        </w:rPr>
      </w:pPr>
      <w:r w:rsidRPr="00041046">
        <w:rPr>
          <w:rStyle w:val="charBoldItals"/>
        </w:rPr>
        <w:t>relevant road authority</w:t>
      </w:r>
      <w:r w:rsidRPr="00041046">
        <w:t>, for a decision of a relevant road manager for a mass or dimension authority, means the road authority for the participating jurisdiction in which the road for which the relevant road manager is a road manager is situated.</w:t>
      </w:r>
    </w:p>
    <w:p w14:paraId="61028503" w14:textId="77777777" w:rsidR="00DB6E47" w:rsidRPr="007E1F9A" w:rsidRDefault="00DB6E47" w:rsidP="00DB6E47">
      <w:pPr>
        <w:pStyle w:val="AH5Sec"/>
      </w:pPr>
      <w:bookmarkStart w:id="198" w:name="_Toc83625542"/>
      <w:r w:rsidRPr="005E03F7">
        <w:rPr>
          <w:rStyle w:val="CharSectNo"/>
        </w:rPr>
        <w:t>166</w:t>
      </w:r>
      <w:r w:rsidRPr="007E1F9A">
        <w:tab/>
        <w:t>Information notice for decision to refuse application because road manager did not give consent</w:t>
      </w:r>
      <w:bookmarkEnd w:id="198"/>
    </w:p>
    <w:p w14:paraId="38B5AE57" w14:textId="77777777" w:rsidR="00DB6E47" w:rsidRPr="003F319E" w:rsidRDefault="00DB6E47" w:rsidP="00DB6E47">
      <w:pPr>
        <w:pStyle w:val="Amain"/>
      </w:pPr>
      <w:r w:rsidRPr="003F319E">
        <w:tab/>
        <w:t>(1)</w:t>
      </w:r>
      <w:r w:rsidRPr="003F319E">
        <w:tab/>
        <w:t>This section applies if an application for a mass or dimension authority is refused, wholly or partly, because a relevant road manager for the authority has refused to consent to the authority.</w:t>
      </w:r>
    </w:p>
    <w:p w14:paraId="2CEE08D0" w14:textId="77777777" w:rsidR="00DB6E47" w:rsidRPr="003F319E" w:rsidRDefault="00DB6E47" w:rsidP="00DB6E47">
      <w:pPr>
        <w:pStyle w:val="Amain"/>
      </w:pPr>
      <w:r w:rsidRPr="003F319E">
        <w:tab/>
        <w:t>(2)</w:t>
      </w:r>
      <w:r w:rsidRPr="003F319E">
        <w:tab/>
        <w:t>The information notice for the decision to refuse the application given to the applicant under this Law must state the following, in addition to any other information required to be included in the information notice—</w:t>
      </w:r>
    </w:p>
    <w:p w14:paraId="42D4D8CC" w14:textId="77777777" w:rsidR="00DB6E47" w:rsidRPr="005441A8" w:rsidRDefault="00DB6E47" w:rsidP="00DB6E47">
      <w:pPr>
        <w:pStyle w:val="Apara"/>
      </w:pPr>
      <w:r w:rsidRPr="005441A8">
        <w:tab/>
        <w:t>(a)</w:t>
      </w:r>
      <w:r w:rsidRPr="005441A8">
        <w:tab/>
        <w:t>that the road manager has refused to consent to the mass or dimension authority;</w:t>
      </w:r>
    </w:p>
    <w:p w14:paraId="7A8DDDA7" w14:textId="77777777" w:rsidR="00DB6E47" w:rsidRPr="005441A8" w:rsidRDefault="00DB6E47" w:rsidP="00DB6E47">
      <w:pPr>
        <w:pStyle w:val="Apara"/>
      </w:pPr>
      <w:r w:rsidRPr="005441A8">
        <w:tab/>
        <w:t>(b)</w:t>
      </w:r>
      <w:r w:rsidRPr="005441A8">
        <w:tab/>
        <w:t>a written statement that explains the road manager’s decision to refuse to give the consent and complies with section 172;</w:t>
      </w:r>
    </w:p>
    <w:p w14:paraId="2F7D3DD0" w14:textId="77777777" w:rsidR="00DB6E47" w:rsidRPr="005441A8" w:rsidRDefault="00DB6E47" w:rsidP="00DB6E47">
      <w:pPr>
        <w:pStyle w:val="Apara"/>
      </w:pPr>
      <w:r w:rsidRPr="005441A8">
        <w:tab/>
        <w:t>(c)</w:t>
      </w:r>
      <w:r w:rsidRPr="005441A8">
        <w:tab/>
        <w:t>the review and appeal information for the road manager’s decision to refuse to give the consent.</w:t>
      </w:r>
    </w:p>
    <w:p w14:paraId="72B92F00" w14:textId="77777777" w:rsidR="00DB6E47" w:rsidRPr="007E1F9A" w:rsidRDefault="00DB6E47" w:rsidP="00DB6E47">
      <w:pPr>
        <w:pStyle w:val="AH5Sec"/>
      </w:pPr>
      <w:bookmarkStart w:id="199" w:name="_Toc83625543"/>
      <w:r w:rsidRPr="005E03F7">
        <w:rPr>
          <w:rStyle w:val="CharSectNo"/>
        </w:rPr>
        <w:lastRenderedPageBreak/>
        <w:t>167</w:t>
      </w:r>
      <w:r w:rsidRPr="007E1F9A">
        <w:tab/>
        <w:t>Expedited procedure for road manager’s consent for renewal of mass or dimension authority</w:t>
      </w:r>
      <w:bookmarkEnd w:id="199"/>
    </w:p>
    <w:p w14:paraId="454CF60E" w14:textId="77777777" w:rsidR="00DB6E47" w:rsidRPr="003F319E" w:rsidRDefault="00DB6E47" w:rsidP="00DB6E47">
      <w:pPr>
        <w:pStyle w:val="Amain"/>
      </w:pPr>
      <w:r w:rsidRPr="003F319E">
        <w:tab/>
        <w:t>(1)</w:t>
      </w:r>
      <w:r w:rsidRPr="003F319E">
        <w:tab/>
        <w:t>This section applies if—</w:t>
      </w:r>
    </w:p>
    <w:p w14:paraId="34885605" w14:textId="77777777" w:rsidR="00DB6E47" w:rsidRPr="005441A8" w:rsidRDefault="00DB6E47" w:rsidP="00DB6E47">
      <w:pPr>
        <w:pStyle w:val="Apara"/>
      </w:pPr>
      <w:r w:rsidRPr="005441A8">
        <w:tab/>
        <w:t>(a)</w:t>
      </w:r>
      <w:r w:rsidRPr="005441A8">
        <w:tab/>
        <w:t xml:space="preserve">the relevant road manager has previously consented to a grant of a mass or dimension authority (the </w:t>
      </w:r>
      <w:r w:rsidRPr="00FF4454">
        <w:rPr>
          <w:rStyle w:val="charBoldItals"/>
        </w:rPr>
        <w:t>previous authority</w:t>
      </w:r>
      <w:r w:rsidRPr="005441A8">
        <w:t>); and</w:t>
      </w:r>
    </w:p>
    <w:p w14:paraId="6D58DCF9" w14:textId="77777777" w:rsidR="00DB6E47" w:rsidRPr="005441A8" w:rsidRDefault="00DB6E47" w:rsidP="00DB6E47">
      <w:pPr>
        <w:pStyle w:val="Apara"/>
      </w:pPr>
      <w:r w:rsidRPr="005441A8">
        <w:tab/>
        <w:t>(b)</w:t>
      </w:r>
      <w:r w:rsidRPr="005441A8">
        <w:tab/>
        <w:t xml:space="preserve">the Regulator proposes to grant a mass or dimension authority (the </w:t>
      </w:r>
      <w:r w:rsidRPr="00FF4454">
        <w:rPr>
          <w:rStyle w:val="charBoldItals"/>
        </w:rPr>
        <w:t>proposed replacement authority</w:t>
      </w:r>
      <w:r w:rsidRPr="005441A8">
        <w:t>) by way of renewal so as to replace the previous authority on its expiry; and</w:t>
      </w:r>
    </w:p>
    <w:p w14:paraId="05223086" w14:textId="77777777" w:rsidR="00DB6E47" w:rsidRPr="005441A8" w:rsidRDefault="00DB6E47" w:rsidP="00DB6E47">
      <w:pPr>
        <w:pStyle w:val="Apara"/>
      </w:pPr>
      <w:r w:rsidRPr="005441A8">
        <w:tab/>
        <w:t>(c)</w:t>
      </w:r>
      <w:r w:rsidRPr="005441A8">
        <w:tab/>
        <w:t>the Regulator proposes to impose the same conditions on the proposed replacement authority as applied to the previous authority; and</w:t>
      </w:r>
    </w:p>
    <w:p w14:paraId="0BAC4618" w14:textId="77777777" w:rsidR="00DB6E47" w:rsidRPr="005441A8" w:rsidRDefault="00DB6E47" w:rsidP="00A90927">
      <w:pPr>
        <w:pStyle w:val="Apara"/>
        <w:keepLines/>
      </w:pPr>
      <w:r w:rsidRPr="005441A8">
        <w:tab/>
        <w:t>(d)</w:t>
      </w:r>
      <w:r w:rsidRPr="005441A8">
        <w:tab/>
        <w:t xml:space="preserve">the Regulator informs the relevant road manager that the Regulator is seeking to obtain the manager’s consent in accordance with the procedure under this section (the </w:t>
      </w:r>
      <w:r w:rsidRPr="00FF4454">
        <w:rPr>
          <w:rStyle w:val="charBoldItals"/>
        </w:rPr>
        <w:t>expedited procedure</w:t>
      </w:r>
      <w:r w:rsidRPr="005441A8">
        <w:t>).</w:t>
      </w:r>
    </w:p>
    <w:p w14:paraId="6B09D025" w14:textId="77777777" w:rsidR="00DB6E47" w:rsidRPr="003F319E" w:rsidRDefault="00DB6E47" w:rsidP="00A2605E">
      <w:pPr>
        <w:pStyle w:val="Amain"/>
        <w:keepNext/>
      </w:pPr>
      <w:r w:rsidRPr="003F319E">
        <w:tab/>
        <w:t>(2)</w:t>
      </w:r>
      <w:r w:rsidRPr="003F319E">
        <w:tab/>
        <w:t>However, this section does not apply, or ceases to apply, if—</w:t>
      </w:r>
    </w:p>
    <w:p w14:paraId="72831BF1" w14:textId="77777777" w:rsidR="00DB6E47" w:rsidRPr="005441A8" w:rsidRDefault="00DB6E47" w:rsidP="00A2605E">
      <w:pPr>
        <w:pStyle w:val="Apara"/>
        <w:keepNext/>
      </w:pPr>
      <w:r w:rsidRPr="005441A8">
        <w:tab/>
        <w:t>(a)</w:t>
      </w:r>
      <w:r w:rsidRPr="005441A8">
        <w:tab/>
        <w:t>there are differences between the terms of the previous authority and the terms of the proposed replacement authority, including, for example—</w:t>
      </w:r>
    </w:p>
    <w:p w14:paraId="2AD3DA2C" w14:textId="77777777" w:rsidR="00DB6E47" w:rsidRPr="00516F02" w:rsidRDefault="00DB6E47" w:rsidP="00DB6E47">
      <w:pPr>
        <w:pStyle w:val="Asubpara"/>
      </w:pPr>
      <w:r w:rsidRPr="00516F02">
        <w:tab/>
        <w:t>(i)</w:t>
      </w:r>
      <w:r w:rsidRPr="00516F02">
        <w:tab/>
        <w:t>differences relating to the description of the type of heavy vehicle covered by the proposed replacement authority; and</w:t>
      </w:r>
    </w:p>
    <w:p w14:paraId="1C6599EF" w14:textId="77777777" w:rsidR="00DB6E47" w:rsidRPr="00516F02" w:rsidRDefault="00DB6E47" w:rsidP="00DB6E47">
      <w:pPr>
        <w:pStyle w:val="Asubpara"/>
      </w:pPr>
      <w:r>
        <w:tab/>
      </w:r>
      <w:r w:rsidRPr="00516F02">
        <w:t>(ii)</w:t>
      </w:r>
      <w:r w:rsidRPr="00516F02">
        <w:tab/>
        <w:t>additional, deleted or varied conditions; and</w:t>
      </w:r>
    </w:p>
    <w:p w14:paraId="00CF3866" w14:textId="77777777" w:rsidR="00DB6E47" w:rsidRPr="005441A8" w:rsidRDefault="00DB6E47" w:rsidP="00DB6E47">
      <w:pPr>
        <w:pStyle w:val="Apara"/>
      </w:pPr>
      <w:r w:rsidRPr="005441A8">
        <w:tab/>
        <w:t>(b)</w:t>
      </w:r>
      <w:r w:rsidRPr="005441A8">
        <w:tab/>
        <w:t xml:space="preserve">the relevant road manager gives the Regulator a notice of objection to the application of this section to the proposed replacement authority and that notice of objection is given within the period (the </w:t>
      </w:r>
      <w:r w:rsidRPr="00FF4454">
        <w:rPr>
          <w:rStyle w:val="charBoldItals"/>
        </w:rPr>
        <w:t>relevant period</w:t>
      </w:r>
      <w:r w:rsidRPr="005441A8">
        <w:t>) of—</w:t>
      </w:r>
    </w:p>
    <w:p w14:paraId="28B35AFA" w14:textId="77777777" w:rsidR="00DB6E47" w:rsidRPr="00516F02" w:rsidRDefault="00DB6E47" w:rsidP="00DB6E47">
      <w:pPr>
        <w:pStyle w:val="Asubpara"/>
      </w:pPr>
      <w:r w:rsidRPr="00516F02">
        <w:tab/>
        <w:t>(i)</w:t>
      </w:r>
      <w:r w:rsidRPr="00516F02">
        <w:tab/>
        <w:t>14 days after the request for consent is made; or</w:t>
      </w:r>
    </w:p>
    <w:p w14:paraId="03B5EBF6" w14:textId="77777777" w:rsidR="00DB6E47" w:rsidRPr="00516F02" w:rsidRDefault="00DB6E47" w:rsidP="00DB6E47">
      <w:pPr>
        <w:pStyle w:val="Asubpara"/>
      </w:pPr>
      <w:r w:rsidRPr="00516F02">
        <w:lastRenderedPageBreak/>
        <w:tab/>
        <w:t>(ii)</w:t>
      </w:r>
      <w:r w:rsidRPr="00516F02">
        <w:tab/>
        <w:t>28 days after the request for consent is made if the road manager seeks the extension of time within the initial 14</w:t>
      </w:r>
      <w:r w:rsidR="00F233E0">
        <w:t> </w:t>
      </w:r>
      <w:r w:rsidRPr="00516F02">
        <w:t>days; or</w:t>
      </w:r>
    </w:p>
    <w:p w14:paraId="7529F1C0" w14:textId="77777777" w:rsidR="00DB6E47" w:rsidRPr="005441A8" w:rsidRDefault="00DB6E47" w:rsidP="00DB6E47">
      <w:pPr>
        <w:pStyle w:val="Apara"/>
      </w:pPr>
      <w:r w:rsidRPr="005441A8">
        <w:tab/>
        <w:t>(c)</w:t>
      </w:r>
      <w:r w:rsidRPr="005441A8">
        <w:tab/>
        <w:t>the Regulator gives the relevant road manager a notice that the Regulator withdraws the proposed replacement authority from the expedited procedure; or</w:t>
      </w:r>
    </w:p>
    <w:p w14:paraId="652C4FD7" w14:textId="77777777" w:rsidR="00DB6E47" w:rsidRPr="005441A8" w:rsidRDefault="00DB6E47" w:rsidP="00DB6E47">
      <w:pPr>
        <w:pStyle w:val="Apara"/>
      </w:pPr>
      <w:r w:rsidRPr="005441A8">
        <w:tab/>
        <w:t>(d)</w:t>
      </w:r>
      <w:r w:rsidRPr="005441A8">
        <w:tab/>
        <w:t>a law of this jurisdiction requires consultation with third parties before the grant of the proposed replacement authority or before access to a particular route or area covered by it is given.</w:t>
      </w:r>
    </w:p>
    <w:p w14:paraId="6FFFE1B7" w14:textId="77777777" w:rsidR="00DB6E47" w:rsidRPr="006C3305" w:rsidRDefault="00DB6E47" w:rsidP="00A90927">
      <w:pPr>
        <w:pStyle w:val="Amain"/>
        <w:keepLines/>
      </w:pPr>
      <w:r>
        <w:tab/>
        <w:t>(</w:t>
      </w:r>
      <w:r w:rsidRPr="006C3305">
        <w:t>3)</w:t>
      </w:r>
      <w:r w:rsidRPr="006C3305">
        <w:tab/>
        <w:t>The road manager is taken to have given the consent at the end of the relevant period to the grant of the proposed replacement authority on the same conditions as applied to the previous authority, unless before the end of that period the road manager gives written notice to the Regulator that the road manager gives or refuses consent.</w:t>
      </w:r>
    </w:p>
    <w:p w14:paraId="468317ED" w14:textId="77777777" w:rsidR="00DB6E47" w:rsidRPr="007E1F9A" w:rsidRDefault="00DB6E47" w:rsidP="00DB6E47">
      <w:pPr>
        <w:pStyle w:val="AH5Sec"/>
      </w:pPr>
      <w:bookmarkStart w:id="200" w:name="_Toc83625544"/>
      <w:r w:rsidRPr="005E03F7">
        <w:rPr>
          <w:rStyle w:val="CharSectNo"/>
        </w:rPr>
        <w:t>168</w:t>
      </w:r>
      <w:r w:rsidRPr="007E1F9A">
        <w:tab/>
        <w:t>Operation of section 167</w:t>
      </w:r>
      <w:bookmarkEnd w:id="200"/>
    </w:p>
    <w:p w14:paraId="2E39AF0C" w14:textId="77777777" w:rsidR="00DB6E47" w:rsidRPr="003F319E" w:rsidRDefault="00DB6E47" w:rsidP="00DB6E47">
      <w:pPr>
        <w:pStyle w:val="Amain"/>
      </w:pPr>
      <w:r w:rsidRPr="003F319E">
        <w:tab/>
        <w:t>(1)</w:t>
      </w:r>
      <w:r w:rsidRPr="003F319E">
        <w:tab/>
        <w:t>Sections 156 to 166 do not apply to a request for consent while a proposed replacement authority is being dealt with under the expedited procedure under section 167.</w:t>
      </w:r>
    </w:p>
    <w:p w14:paraId="75FD31ED" w14:textId="77777777" w:rsidR="00DB6E47" w:rsidRPr="003F319E" w:rsidRDefault="00DB6E47" w:rsidP="00DB6E47">
      <w:pPr>
        <w:pStyle w:val="Amain"/>
      </w:pPr>
      <w:r w:rsidRPr="003F319E">
        <w:tab/>
        <w:t>(2)</w:t>
      </w:r>
      <w:r w:rsidRPr="003F319E">
        <w:tab/>
        <w:t>Those sections apply to the request for consent if section 167 does not apply or ceases to apply, as referred to in section 167(2).</w:t>
      </w:r>
    </w:p>
    <w:p w14:paraId="0D7157BF" w14:textId="77777777" w:rsidR="00DB6E47" w:rsidRPr="007E1F9A" w:rsidRDefault="00DB6E47" w:rsidP="00DB6E47">
      <w:pPr>
        <w:pStyle w:val="AH5Sec"/>
      </w:pPr>
      <w:bookmarkStart w:id="201" w:name="_Toc83625545"/>
      <w:r w:rsidRPr="005E03F7">
        <w:rPr>
          <w:rStyle w:val="CharSectNo"/>
        </w:rPr>
        <w:t>169</w:t>
      </w:r>
      <w:r w:rsidRPr="007E1F9A">
        <w:tab/>
        <w:t>Granting limited consent for trial purposes</w:t>
      </w:r>
      <w:bookmarkEnd w:id="201"/>
    </w:p>
    <w:p w14:paraId="503FFD99" w14:textId="77777777" w:rsidR="00DB6E47" w:rsidRPr="003F319E" w:rsidRDefault="00DB6E47" w:rsidP="00DB6E47">
      <w:pPr>
        <w:pStyle w:val="Amain"/>
      </w:pPr>
      <w:r w:rsidRPr="003F319E">
        <w:tab/>
        <w:t>(1)</w:t>
      </w:r>
      <w:r w:rsidRPr="003F319E">
        <w:tab/>
        <w:t>A relevant road manager may give consent to the grant of a mass or dimension authority for a trial period of no more than 3 months specified by the road manager.</w:t>
      </w:r>
    </w:p>
    <w:p w14:paraId="41F0ADCC" w14:textId="77777777" w:rsidR="00DB6E47" w:rsidRPr="003F319E" w:rsidRDefault="00DB6E47" w:rsidP="00DB6E47">
      <w:pPr>
        <w:pStyle w:val="Amain"/>
      </w:pPr>
      <w:r w:rsidRPr="003F319E">
        <w:tab/>
        <w:t>(2)</w:t>
      </w:r>
      <w:r w:rsidRPr="003F319E">
        <w:tab/>
        <w:t>The trial period determines the maximum period for which the mass or dimension authority applies.</w:t>
      </w:r>
    </w:p>
    <w:p w14:paraId="4948556F" w14:textId="77777777" w:rsidR="00DB6E47" w:rsidRPr="003F319E" w:rsidRDefault="00DB6E47" w:rsidP="00D049AC">
      <w:pPr>
        <w:pStyle w:val="Amain"/>
        <w:keepLines/>
      </w:pPr>
      <w:r w:rsidRPr="003F319E">
        <w:lastRenderedPageBreak/>
        <w:tab/>
        <w:t>(3)</w:t>
      </w:r>
      <w:r w:rsidRPr="003F319E">
        <w:tab/>
        <w:t>If there is more than one relevant road manager in relation to a proposed mass or dimension authority, the consent of one or more of the road managers is ineffective unless all the road managers give their consent to the same effect.</w:t>
      </w:r>
    </w:p>
    <w:p w14:paraId="7702537F" w14:textId="77777777" w:rsidR="00DB6E47" w:rsidRPr="007E1F9A" w:rsidRDefault="00DB6E47" w:rsidP="00DB6E47">
      <w:pPr>
        <w:pStyle w:val="AH5Sec"/>
      </w:pPr>
      <w:bookmarkStart w:id="202" w:name="_Toc83625546"/>
      <w:r w:rsidRPr="005E03F7">
        <w:rPr>
          <w:rStyle w:val="CharSectNo"/>
        </w:rPr>
        <w:t>170</w:t>
      </w:r>
      <w:r w:rsidRPr="007E1F9A">
        <w:tab/>
        <w:t>Renewal of limited consent for trial purposes</w:t>
      </w:r>
      <w:bookmarkEnd w:id="202"/>
    </w:p>
    <w:p w14:paraId="2F4A169D" w14:textId="77777777" w:rsidR="00DB6E47" w:rsidRPr="003F319E" w:rsidRDefault="00DB6E47" w:rsidP="00DB6E47">
      <w:pPr>
        <w:pStyle w:val="Amain"/>
      </w:pPr>
      <w:r w:rsidRPr="003F319E">
        <w:tab/>
        <w:t>(1)</w:t>
      </w:r>
      <w:r w:rsidRPr="003F319E">
        <w:tab/>
        <w:t>The Regulator must notify each relevant road manager that gave consent under section 169 that the mass or dimension authority concerned will be renewed with effect from the end of the current period of its duration unless action is taken under this section.</w:t>
      </w:r>
    </w:p>
    <w:p w14:paraId="48525908" w14:textId="77777777" w:rsidR="00DB6E47" w:rsidRPr="003F319E" w:rsidRDefault="00DB6E47" w:rsidP="00DB6E47">
      <w:pPr>
        <w:pStyle w:val="Amain"/>
      </w:pPr>
      <w:r w:rsidRPr="003F319E">
        <w:tab/>
        <w:t>(2)</w:t>
      </w:r>
      <w:r w:rsidRPr="003F319E">
        <w:tab/>
        <w:t>The notification must be given at least one month before the end of the current trial period.</w:t>
      </w:r>
    </w:p>
    <w:p w14:paraId="1A2E5323" w14:textId="77777777" w:rsidR="00DB6E47" w:rsidRPr="003F319E" w:rsidRDefault="00DB6E47" w:rsidP="00DB6E47">
      <w:pPr>
        <w:pStyle w:val="Amain"/>
      </w:pPr>
      <w:r w:rsidRPr="003F319E">
        <w:tab/>
        <w:t>(3)</w:t>
      </w:r>
      <w:r w:rsidRPr="003F319E">
        <w:tab/>
        <w:t>The Regulator must renew the mass or dimension authority for a further trial period of no more than 3 months, unless the Regulator receives a written objection to its renewal from a relevant road manager within the current trial period.</w:t>
      </w:r>
    </w:p>
    <w:p w14:paraId="7E382746" w14:textId="77777777" w:rsidR="00DB6E47" w:rsidRPr="003F319E" w:rsidRDefault="00DB6E47" w:rsidP="00DB6E47">
      <w:pPr>
        <w:pStyle w:val="Amain"/>
      </w:pPr>
      <w:r w:rsidRPr="003F319E">
        <w:tab/>
        <w:t>(4)</w:t>
      </w:r>
      <w:r w:rsidRPr="003F319E">
        <w:tab/>
        <w:t>The mass or dimension authority is renewable for one or more further trial periods.</w:t>
      </w:r>
    </w:p>
    <w:p w14:paraId="4B47A629" w14:textId="77777777" w:rsidR="00DB6E47" w:rsidRPr="007E1F9A" w:rsidRDefault="00DB6E47" w:rsidP="00DB6E47">
      <w:pPr>
        <w:pStyle w:val="AH5Sec"/>
      </w:pPr>
      <w:bookmarkStart w:id="203" w:name="_Toc83625547"/>
      <w:r w:rsidRPr="005E03F7">
        <w:rPr>
          <w:rStyle w:val="CharSectNo"/>
        </w:rPr>
        <w:t>171</w:t>
      </w:r>
      <w:r w:rsidRPr="007E1F9A">
        <w:tab/>
        <w:t>Period for which mass or dimension authority applies where limited consent</w:t>
      </w:r>
      <w:bookmarkEnd w:id="203"/>
    </w:p>
    <w:p w14:paraId="16BE44F2" w14:textId="77777777" w:rsidR="00DB6E47" w:rsidRPr="003F319E" w:rsidRDefault="00DB6E47" w:rsidP="00DB6E47">
      <w:pPr>
        <w:pStyle w:val="Amain"/>
      </w:pPr>
      <w:r w:rsidRPr="003F319E">
        <w:tab/>
        <w:t>(1)</w:t>
      </w:r>
      <w:r w:rsidRPr="003F319E">
        <w:tab/>
        <w:t>This section applies where a mass or dimension exemption is granted under section 169 or 170.</w:t>
      </w:r>
    </w:p>
    <w:p w14:paraId="1C67A76C" w14:textId="77777777" w:rsidR="00DB6E47" w:rsidRPr="003F319E" w:rsidRDefault="00DB6E47" w:rsidP="00DB6E47">
      <w:pPr>
        <w:pStyle w:val="Amain"/>
      </w:pPr>
      <w:r w:rsidRPr="003F319E">
        <w:tab/>
        <w:t>(2)</w:t>
      </w:r>
      <w:r w:rsidRPr="003F319E">
        <w:tab/>
        <w:t>In the case of a mass or dimension exemption (permit) or a class 2 heavy vehicle authorisation (permit), the period for which the permit applies must not exceed the length of the trial period.</w:t>
      </w:r>
    </w:p>
    <w:p w14:paraId="4F8E93DB" w14:textId="77777777" w:rsidR="00DB6E47" w:rsidRPr="003F319E" w:rsidRDefault="00DB6E47" w:rsidP="00DB6E47">
      <w:pPr>
        <w:pStyle w:val="Amain"/>
      </w:pPr>
      <w:r w:rsidRPr="003F319E">
        <w:tab/>
        <w:t>(3)</w:t>
      </w:r>
      <w:r w:rsidRPr="003F319E">
        <w:tab/>
        <w:t>In the case of a mass or dimension exemption (notice) or a class 2 heavy vehicle authorisation (notice), then, despite section 120 or 141, the period for which the notice applies is so much of the period stated in the Commonwealth Gazette notice referred to in that section as does not exceed the trial period.</w:t>
      </w:r>
    </w:p>
    <w:p w14:paraId="2BCB0630" w14:textId="77777777" w:rsidR="00DB6E47" w:rsidRPr="007E1F9A" w:rsidRDefault="00DB6E47" w:rsidP="00DB6E47">
      <w:pPr>
        <w:pStyle w:val="AH5Sec"/>
      </w:pPr>
      <w:bookmarkStart w:id="204" w:name="_Toc83625548"/>
      <w:r w:rsidRPr="005E03F7">
        <w:rPr>
          <w:rStyle w:val="CharSectNo"/>
        </w:rPr>
        <w:lastRenderedPageBreak/>
        <w:t>172</w:t>
      </w:r>
      <w:r w:rsidRPr="007E1F9A">
        <w:tab/>
        <w:t>Requirements for statement explaining adverse decision of road manager</w:t>
      </w:r>
      <w:bookmarkEnd w:id="204"/>
    </w:p>
    <w:p w14:paraId="26B919CF" w14:textId="77777777" w:rsidR="00DB6E47" w:rsidRPr="003F319E" w:rsidRDefault="00DB6E47" w:rsidP="00DB6E47">
      <w:pPr>
        <w:pStyle w:val="Amain"/>
      </w:pPr>
      <w:r w:rsidRPr="003F319E">
        <w:tab/>
        <w:t>(1)</w:t>
      </w:r>
      <w:r w:rsidRPr="003F319E">
        <w:tab/>
        <w:t>This section applies to a written statement explaining a decision of a relevant road manager under this Division—</w:t>
      </w:r>
    </w:p>
    <w:p w14:paraId="261FE0C9" w14:textId="77777777" w:rsidR="00DB6E47" w:rsidRPr="005441A8" w:rsidRDefault="00DB6E47" w:rsidP="00DB6E47">
      <w:pPr>
        <w:pStyle w:val="Apara"/>
      </w:pPr>
      <w:r w:rsidRPr="005441A8">
        <w:tab/>
        <w:t>(a)</w:t>
      </w:r>
      <w:r w:rsidRPr="005441A8">
        <w:tab/>
        <w:t xml:space="preserve">not to give consent to the grant of a mass or dimension authority (as referred to in </w:t>
      </w:r>
      <w:r w:rsidR="00CF1A2A" w:rsidRPr="00CF1A2A">
        <w:t>section 156A</w:t>
      </w:r>
      <w:r w:rsidRPr="005441A8">
        <w:t>); or</w:t>
      </w:r>
    </w:p>
    <w:p w14:paraId="2FFF368B" w14:textId="77777777" w:rsidR="00DB6E47" w:rsidRPr="005441A8" w:rsidRDefault="00DB6E47" w:rsidP="00DB6E47">
      <w:pPr>
        <w:pStyle w:val="Apara"/>
      </w:pPr>
      <w:r w:rsidRPr="005441A8">
        <w:tab/>
        <w:t>(b)</w:t>
      </w:r>
      <w:r w:rsidRPr="005441A8">
        <w:tab/>
        <w:t>to consent to the grant of a mass or dimension authority on the condition that—</w:t>
      </w:r>
    </w:p>
    <w:p w14:paraId="6CDC3CD3" w14:textId="77777777" w:rsidR="00DB6E47" w:rsidRPr="00516F02" w:rsidRDefault="00DB6E47" w:rsidP="00DB6E47">
      <w:pPr>
        <w:pStyle w:val="Asubpara"/>
      </w:pPr>
      <w:r w:rsidRPr="00516F02">
        <w:tab/>
        <w:t>(i)</w:t>
      </w:r>
      <w:r w:rsidRPr="00516F02">
        <w:tab/>
        <w:t>a road condition is imposed on the authority (as referred to in section 160); or</w:t>
      </w:r>
    </w:p>
    <w:p w14:paraId="58164BAF" w14:textId="77777777" w:rsidR="00DB6E47" w:rsidRPr="00516F02" w:rsidRDefault="00DB6E47" w:rsidP="00DB6E47">
      <w:pPr>
        <w:pStyle w:val="Asubpara"/>
      </w:pPr>
      <w:r>
        <w:tab/>
      </w:r>
      <w:r w:rsidRPr="00516F02">
        <w:t>(ii)</w:t>
      </w:r>
      <w:r w:rsidRPr="00516F02">
        <w:tab/>
        <w:t>a travel condition is imposed on the authority (as referred to in section 161).</w:t>
      </w:r>
    </w:p>
    <w:p w14:paraId="6A625B1A" w14:textId="77777777" w:rsidR="00DB6E47" w:rsidRPr="00516F02" w:rsidRDefault="00B67237" w:rsidP="00B67237">
      <w:pPr>
        <w:pStyle w:val="Amain"/>
      </w:pPr>
      <w:r>
        <w:rPr>
          <w:rStyle w:val="listnumber"/>
          <w:color w:val="000000"/>
          <w:sz w:val="23"/>
          <w:szCs w:val="23"/>
          <w:lang w:val="en"/>
        </w:rPr>
        <w:tab/>
        <w:t>(2)</w:t>
      </w:r>
      <w:r>
        <w:rPr>
          <w:rStyle w:val="listnumber"/>
          <w:color w:val="000000"/>
          <w:sz w:val="23"/>
          <w:szCs w:val="23"/>
          <w:lang w:val="en"/>
        </w:rPr>
        <w:tab/>
      </w:r>
      <w:r>
        <w:rPr>
          <w:lang w:val="en"/>
        </w:rPr>
        <w:t>The written statement complies with this section if it sets out the findings on material questions of fact, referring to the evidence or other material on which those findings were based and giving the reasons for the road manager’s decision.</w:t>
      </w:r>
    </w:p>
    <w:p w14:paraId="681B6722" w14:textId="77777777" w:rsidR="006D21FE" w:rsidRDefault="006D21FE">
      <w:pPr>
        <w:pStyle w:val="02Text"/>
        <w:sectPr w:rsidR="006D21FE" w:rsidSect="006D21FE">
          <w:headerReference w:type="even" r:id="rId60"/>
          <w:headerReference w:type="default" r:id="rId61"/>
          <w:footerReference w:type="even" r:id="rId62"/>
          <w:footerReference w:type="default" r:id="rId63"/>
          <w:footerReference w:type="first" r:id="rId64"/>
          <w:pgSz w:w="11907" w:h="16839" w:code="9"/>
          <w:pgMar w:top="3880" w:right="1900" w:bottom="3100" w:left="2300" w:header="1920" w:footer="1760" w:gutter="0"/>
          <w:cols w:space="720"/>
          <w:docGrid w:linePitch="254"/>
        </w:sectPr>
      </w:pPr>
      <w:bookmarkStart w:id="205" w:name="_Toc83625549"/>
    </w:p>
    <w:p w14:paraId="5A4DEF2D" w14:textId="77777777" w:rsidR="00DB6E47" w:rsidRPr="005E03F7" w:rsidRDefault="00DB6E47" w:rsidP="00DB6E47">
      <w:pPr>
        <w:pStyle w:val="AH3Div"/>
      </w:pPr>
      <w:r w:rsidRPr="005E03F7">
        <w:rPr>
          <w:rStyle w:val="CharDivNo"/>
        </w:rPr>
        <w:lastRenderedPageBreak/>
        <w:t>Division 3</w:t>
      </w:r>
      <w:r w:rsidRPr="00A95F9A">
        <w:rPr>
          <w:rFonts w:ascii="Helvetica" w:hAnsi="Helvetica" w:cs="Helvetica"/>
          <w:iCs/>
          <w:szCs w:val="28"/>
        </w:rPr>
        <w:tab/>
      </w:r>
      <w:r w:rsidRPr="005E03F7">
        <w:rPr>
          <w:rStyle w:val="CharDivText"/>
          <w:rFonts w:ascii="Helvetica" w:hAnsi="Helvetica" w:cs="Helvetica"/>
          <w:iCs/>
          <w:szCs w:val="28"/>
        </w:rPr>
        <w:t>Amendment, cancellation or suspension of mass or dimension authority granted by Commonwealth Gazette notice</w:t>
      </w:r>
      <w:bookmarkEnd w:id="205"/>
    </w:p>
    <w:p w14:paraId="7ADD7F6A" w14:textId="77777777" w:rsidR="00DB6E47" w:rsidRPr="007E1F9A" w:rsidRDefault="00DB6E47" w:rsidP="00DB6E47">
      <w:pPr>
        <w:pStyle w:val="AH5Sec"/>
      </w:pPr>
      <w:bookmarkStart w:id="206" w:name="_Toc83625550"/>
      <w:r w:rsidRPr="005E03F7">
        <w:rPr>
          <w:rStyle w:val="CharSectNo"/>
        </w:rPr>
        <w:t>173</w:t>
      </w:r>
      <w:r w:rsidRPr="007E1F9A">
        <w:tab/>
        <w:t>Amendment or cancellation on Regulator’s initiative</w:t>
      </w:r>
      <w:bookmarkEnd w:id="206"/>
    </w:p>
    <w:p w14:paraId="1E6DFF32" w14:textId="77777777" w:rsidR="00DB6E47" w:rsidRPr="003F319E" w:rsidRDefault="00DB6E47" w:rsidP="00DB6E47">
      <w:pPr>
        <w:pStyle w:val="Amain"/>
      </w:pPr>
      <w:r w:rsidRPr="003F319E">
        <w:tab/>
        <w:t>(1)</w:t>
      </w:r>
      <w:r w:rsidRPr="003F319E">
        <w:tab/>
        <w:t>It is a ground for amending or cancelling a mass or dimension authority granted by Commonwealth Gazette notice if the use of heavy vehicles on a road under the authority has caused, or is likely to cause, a significant risk to public safety.</w:t>
      </w:r>
    </w:p>
    <w:p w14:paraId="7CE3D409" w14:textId="77777777" w:rsidR="00DB6E47" w:rsidRPr="003F319E" w:rsidRDefault="00DB6E47" w:rsidP="00DB6E47">
      <w:pPr>
        <w:pStyle w:val="Amain"/>
      </w:pPr>
      <w:r w:rsidRPr="003F319E">
        <w:tab/>
        <w:t>(2)</w:t>
      </w:r>
      <w:r w:rsidRPr="003F319E">
        <w:tab/>
        <w:t>If the Regulator considers a ground exists to amend or cancel the mass or dimension authority, the Regulator may amend or cancel the authorit</w:t>
      </w:r>
      <w:r w:rsidR="00F233E0">
        <w:t xml:space="preserve">y by complying with subsections </w:t>
      </w:r>
      <w:r w:rsidRPr="003F319E">
        <w:t>(3)</w:t>
      </w:r>
      <w:r w:rsidR="00F233E0">
        <w:t xml:space="preserve"> </w:t>
      </w:r>
      <w:r w:rsidRPr="003F319E">
        <w:t>to (5).</w:t>
      </w:r>
    </w:p>
    <w:p w14:paraId="4B4A6A49" w14:textId="77777777" w:rsidR="00DB6E47" w:rsidRPr="003F319E" w:rsidRDefault="00DB6E47" w:rsidP="00DB6E47">
      <w:pPr>
        <w:pStyle w:val="Amain"/>
      </w:pPr>
      <w:r w:rsidRPr="003F319E">
        <w:tab/>
        <w:t>(3)</w:t>
      </w:r>
      <w:r w:rsidRPr="003F319E">
        <w:tab/>
        <w:t xml:space="preserve">The Regulator must publish a </w:t>
      </w:r>
      <w:r w:rsidR="00767F6D">
        <w:t xml:space="preserve">public </w:t>
      </w:r>
      <w:r w:rsidRPr="003F319E">
        <w:t>notice—</w:t>
      </w:r>
    </w:p>
    <w:p w14:paraId="00DC46AB" w14:textId="77777777" w:rsidR="00DB6E47" w:rsidRPr="005441A8" w:rsidRDefault="00DB6E47" w:rsidP="00DB6E47">
      <w:pPr>
        <w:pStyle w:val="Apara"/>
      </w:pPr>
      <w:r w:rsidRPr="005441A8">
        <w:tab/>
        <w:t>(a)</w:t>
      </w:r>
      <w:r w:rsidRPr="005441A8">
        <w:tab/>
        <w:t>stating that the Regulator believes a ground exists to amend or cancel the authority; and</w:t>
      </w:r>
    </w:p>
    <w:p w14:paraId="1D8FC0ED" w14:textId="77777777" w:rsidR="00DB6E47" w:rsidRPr="005441A8" w:rsidRDefault="00DB6E47" w:rsidP="00DB6E47">
      <w:pPr>
        <w:pStyle w:val="Apara"/>
      </w:pPr>
      <w:r w:rsidRPr="005441A8">
        <w:tab/>
        <w:t>(b)</w:t>
      </w:r>
      <w:r w:rsidRPr="005441A8">
        <w:tab/>
        <w:t>outlining the facts and circumstances forming the basis for the belief; and</w:t>
      </w:r>
    </w:p>
    <w:p w14:paraId="2EE8FD6C" w14:textId="77777777" w:rsidR="00DB6E47" w:rsidRPr="005441A8" w:rsidRDefault="00DB6E47" w:rsidP="00DB6E47">
      <w:pPr>
        <w:pStyle w:val="Apara"/>
      </w:pPr>
      <w:r w:rsidRPr="005441A8">
        <w:tab/>
        <w:t>(c)</w:t>
      </w:r>
      <w:r w:rsidRPr="005441A8">
        <w:tab/>
        <w:t xml:space="preserve">stating the action the Regulator is proposing to take under this section (the </w:t>
      </w:r>
      <w:r w:rsidRPr="00FF4454">
        <w:rPr>
          <w:rStyle w:val="charBoldItals"/>
        </w:rPr>
        <w:t>proposed action</w:t>
      </w:r>
      <w:r w:rsidRPr="005441A8">
        <w:t>); and</w:t>
      </w:r>
    </w:p>
    <w:p w14:paraId="3B4ED57D" w14:textId="77777777" w:rsidR="00DB6E47" w:rsidRPr="005441A8" w:rsidRDefault="00DB6E47" w:rsidP="00F61994">
      <w:pPr>
        <w:pStyle w:val="Apara"/>
        <w:keepLines/>
      </w:pPr>
      <w:r w:rsidRPr="005441A8">
        <w:tab/>
        <w:t>(d)</w:t>
      </w:r>
      <w:r w:rsidRPr="005441A8">
        <w:tab/>
        <w:t>inviting persons who will be affected by the proposed action to make, within a stated time of at least 14 days after the Commonwealth Gazette notice is published, written representations about why the proposed action should not be taken.</w:t>
      </w:r>
    </w:p>
    <w:p w14:paraId="5A60F5E9" w14:textId="77777777" w:rsidR="00DB6E47" w:rsidRPr="003F319E" w:rsidRDefault="00DB6E47" w:rsidP="006D21FE">
      <w:pPr>
        <w:pStyle w:val="Amain"/>
        <w:keepNext/>
      </w:pPr>
      <w:r w:rsidRPr="003F319E">
        <w:lastRenderedPageBreak/>
        <w:tab/>
        <w:t>(4)</w:t>
      </w:r>
      <w:r w:rsidRPr="003F319E">
        <w:tab/>
        <w:t>If, after considering all written repres</w:t>
      </w:r>
      <w:r w:rsidR="008C2E76">
        <w:t>entations made under subsection </w:t>
      </w:r>
      <w:r w:rsidRPr="003F319E">
        <w:t>(3)(d), the Regulator still considers a ground exists to take the proposed action, the Regulator may—</w:t>
      </w:r>
    </w:p>
    <w:p w14:paraId="54C6D78A" w14:textId="77777777" w:rsidR="00DB6E47" w:rsidRPr="005441A8" w:rsidRDefault="00DB6E47" w:rsidP="00DB6E47">
      <w:pPr>
        <w:pStyle w:val="Apara"/>
      </w:pPr>
      <w:r w:rsidRPr="005441A8">
        <w:tab/>
        <w:t>(a)</w:t>
      </w:r>
      <w:r w:rsidRPr="005441A8">
        <w:tab/>
        <w:t>if the proposed action was to amend the mass or dimension authority—amend the authority in a way that is not substantially different from the proposed action, including, for example, by—</w:t>
      </w:r>
    </w:p>
    <w:p w14:paraId="6B47B88D" w14:textId="77777777" w:rsidR="00DB6E47" w:rsidRPr="00516F02" w:rsidRDefault="00DB6E47" w:rsidP="00DB6E47">
      <w:pPr>
        <w:pStyle w:val="Asubpara"/>
      </w:pPr>
      <w:r w:rsidRPr="00516F02">
        <w:tab/>
        <w:t>(i)</w:t>
      </w:r>
      <w:r w:rsidRPr="00516F02">
        <w:tab/>
        <w:t>amending the areas or routes to which the authority applies; or</w:t>
      </w:r>
    </w:p>
    <w:p w14:paraId="397FD6E2" w14:textId="77777777" w:rsidR="00DB6E47" w:rsidRPr="00516F02" w:rsidRDefault="00DB6E47" w:rsidP="00DB6E47">
      <w:pPr>
        <w:pStyle w:val="Asubpara"/>
      </w:pPr>
      <w:r w:rsidRPr="00516F02">
        <w:tab/>
        <w:t>(ii)</w:t>
      </w:r>
      <w:r w:rsidRPr="00516F02">
        <w:tab/>
        <w:t>amending the days or hours to which the authority applies; or</w:t>
      </w:r>
    </w:p>
    <w:p w14:paraId="78637809" w14:textId="77777777" w:rsidR="00DB6E47" w:rsidRPr="00516F02" w:rsidRDefault="00DB6E47" w:rsidP="00DB6E47">
      <w:pPr>
        <w:pStyle w:val="Asubpara"/>
      </w:pPr>
      <w:r w:rsidRPr="00516F02">
        <w:tab/>
        <w:t>(iii)</w:t>
      </w:r>
      <w:r w:rsidRPr="00516F02">
        <w:tab/>
        <w:t>imposing additional vehicle conditions on the authority; or</w:t>
      </w:r>
    </w:p>
    <w:p w14:paraId="1B00EC9B" w14:textId="77777777" w:rsidR="00DB6E47" w:rsidRPr="005441A8" w:rsidRDefault="00DB6E47" w:rsidP="00DB6E47">
      <w:pPr>
        <w:pStyle w:val="Apara"/>
      </w:pPr>
      <w:r w:rsidRPr="005441A8">
        <w:tab/>
        <w:t>(b)</w:t>
      </w:r>
      <w:r w:rsidRPr="005441A8">
        <w:tab/>
        <w:t>if the proposed action was to cancel the mass or dimension authority—</w:t>
      </w:r>
    </w:p>
    <w:p w14:paraId="0D81A930" w14:textId="77777777" w:rsidR="00DB6E47" w:rsidRPr="00516F02" w:rsidRDefault="00DB6E47" w:rsidP="00DB6E47">
      <w:pPr>
        <w:pStyle w:val="Asubpara"/>
      </w:pPr>
      <w:r w:rsidRPr="00516F02">
        <w:tab/>
        <w:t>(i)</w:t>
      </w:r>
      <w:r w:rsidRPr="00516F02">
        <w:tab/>
        <w:t>amend the authority, including, for exam</w:t>
      </w:r>
      <w:r w:rsidR="00F233E0">
        <w:t xml:space="preserve">ple, as mentioned in paragraph (a)(i), </w:t>
      </w:r>
      <w:r w:rsidRPr="00516F02">
        <w:t>(ii)</w:t>
      </w:r>
      <w:r w:rsidR="00F233E0">
        <w:t xml:space="preserve"> </w:t>
      </w:r>
      <w:r w:rsidRPr="00516F02">
        <w:t>or (iii); or</w:t>
      </w:r>
    </w:p>
    <w:p w14:paraId="424456BA" w14:textId="77777777" w:rsidR="00DB6E47" w:rsidRPr="00516F02" w:rsidRDefault="00DB6E47" w:rsidP="00DB6E47">
      <w:pPr>
        <w:pStyle w:val="Asubpara"/>
      </w:pPr>
      <w:r w:rsidRPr="00516F02">
        <w:tab/>
        <w:t>(ii)</w:t>
      </w:r>
      <w:r w:rsidRPr="00516F02">
        <w:tab/>
        <w:t>cancel the authority.</w:t>
      </w:r>
    </w:p>
    <w:p w14:paraId="52BFF190" w14:textId="77777777" w:rsidR="00DB6E47" w:rsidRPr="006C3305" w:rsidRDefault="00DB6E47" w:rsidP="00DB6E47">
      <w:pPr>
        <w:pStyle w:val="Amain"/>
      </w:pPr>
      <w:r>
        <w:tab/>
        <w:t>(</w:t>
      </w:r>
      <w:r w:rsidRPr="006C3305">
        <w:t>5)</w:t>
      </w:r>
      <w:r w:rsidRPr="006C3305">
        <w:tab/>
      </w:r>
      <w:r w:rsidR="00E07614" w:rsidRPr="003323FC">
        <w:t>The Regulator must publish a public notice</w:t>
      </w:r>
      <w:r w:rsidRPr="006C3305">
        <w:t xml:space="preserve"> o</w:t>
      </w:r>
      <w:r w:rsidR="00E07614">
        <w:t>f the amendment or cancellation.</w:t>
      </w:r>
    </w:p>
    <w:p w14:paraId="28A312E8" w14:textId="77777777" w:rsidR="00DB6E47" w:rsidRPr="003F319E" w:rsidRDefault="00DB6E47" w:rsidP="00A90E48">
      <w:pPr>
        <w:pStyle w:val="Amain"/>
        <w:keepNext/>
      </w:pPr>
      <w:r w:rsidRPr="003F319E">
        <w:tab/>
        <w:t>(6)</w:t>
      </w:r>
      <w:r w:rsidRPr="003F319E">
        <w:tab/>
        <w:t>The amendment or cancellation takes effect—</w:t>
      </w:r>
    </w:p>
    <w:p w14:paraId="13190FD9" w14:textId="77777777" w:rsidR="00DB6E47" w:rsidRPr="005441A8" w:rsidRDefault="00DB6E47" w:rsidP="00DB6E47">
      <w:pPr>
        <w:pStyle w:val="Apara"/>
      </w:pPr>
      <w:r w:rsidRPr="005441A8">
        <w:tab/>
        <w:t>(a)</w:t>
      </w:r>
      <w:r w:rsidRPr="005441A8">
        <w:tab/>
        <w:t>28 days after the Commonwealth Gazette notice is published under subsection (5); or</w:t>
      </w:r>
    </w:p>
    <w:p w14:paraId="4381A8D6" w14:textId="77777777" w:rsidR="00DB6E47" w:rsidRPr="005441A8" w:rsidRDefault="00DB6E47" w:rsidP="00DB6E47">
      <w:pPr>
        <w:pStyle w:val="Apara"/>
      </w:pPr>
      <w:r w:rsidRPr="005441A8">
        <w:tab/>
        <w:t>(b)</w:t>
      </w:r>
      <w:r w:rsidRPr="005441A8">
        <w:tab/>
        <w:t>if a later time is stated in the Commonwealth Gazette notice, at the later time.</w:t>
      </w:r>
    </w:p>
    <w:p w14:paraId="6036EBA3" w14:textId="77777777" w:rsidR="00DB6E47" w:rsidRPr="007E1F9A" w:rsidRDefault="00DB6E47" w:rsidP="00DB6E47">
      <w:pPr>
        <w:pStyle w:val="AH5Sec"/>
      </w:pPr>
      <w:bookmarkStart w:id="207" w:name="_Toc83625551"/>
      <w:r w:rsidRPr="005E03F7">
        <w:rPr>
          <w:rStyle w:val="CharSectNo"/>
        </w:rPr>
        <w:lastRenderedPageBreak/>
        <w:t>174</w:t>
      </w:r>
      <w:r w:rsidRPr="007E1F9A">
        <w:tab/>
        <w:t>Amendment or cancellation on request by relevant road manager</w:t>
      </w:r>
      <w:bookmarkEnd w:id="207"/>
    </w:p>
    <w:p w14:paraId="35FABA83" w14:textId="77777777" w:rsidR="00DB6E47" w:rsidRPr="003F319E" w:rsidRDefault="00DB6E47" w:rsidP="006D21FE">
      <w:pPr>
        <w:pStyle w:val="Amain"/>
        <w:keepNext/>
      </w:pPr>
      <w:r w:rsidRPr="003F319E">
        <w:tab/>
        <w:t>(1)</w:t>
      </w:r>
      <w:r w:rsidRPr="003F319E">
        <w:tab/>
        <w:t>This section applies if a relevant road manager for a mass or dimension authority granted by Commonwealth Gazette notice is satisfied the use of heavy vehicles on a road under the authority—</w:t>
      </w:r>
    </w:p>
    <w:p w14:paraId="6ED1F573" w14:textId="77777777" w:rsidR="00DB6E47" w:rsidRPr="005441A8" w:rsidRDefault="00DB6E47" w:rsidP="00DB6E47">
      <w:pPr>
        <w:pStyle w:val="Apara"/>
      </w:pPr>
      <w:r w:rsidRPr="005441A8">
        <w:tab/>
        <w:t>(a)</w:t>
      </w:r>
      <w:r w:rsidRPr="005441A8">
        <w:tab/>
        <w:t>has caused, or is likely to cause, damage to road infrastructure; or</w:t>
      </w:r>
    </w:p>
    <w:p w14:paraId="07C23005" w14:textId="77777777" w:rsidR="00DB6E47" w:rsidRPr="005441A8" w:rsidRDefault="00DB6E47" w:rsidP="00DB6E47">
      <w:pPr>
        <w:pStyle w:val="Apara"/>
      </w:pPr>
      <w:r w:rsidRPr="005441A8">
        <w:tab/>
        <w:t>(b)</w:t>
      </w:r>
      <w:r w:rsidRPr="005441A8">
        <w:tab/>
        <w:t>has had, or is likely to have, an adverse effect on the community arising from noise, emissions or traffic congestion or from other matters stated in approved guidelines; or</w:t>
      </w:r>
    </w:p>
    <w:p w14:paraId="3FB8F161" w14:textId="77777777" w:rsidR="00DB6E47" w:rsidRPr="005441A8" w:rsidRDefault="00DB6E47" w:rsidP="00DB6E47">
      <w:pPr>
        <w:pStyle w:val="Apara"/>
      </w:pPr>
      <w:r w:rsidRPr="005441A8">
        <w:tab/>
        <w:t>(c)</w:t>
      </w:r>
      <w:r w:rsidRPr="005441A8">
        <w:tab/>
        <w:t>has posed, or is likely to pose, a significant risk to public safety arising from heavy vehicle use that is incompatible with road infrastructure or traffic conditions.</w:t>
      </w:r>
    </w:p>
    <w:p w14:paraId="3510ED9B" w14:textId="77777777" w:rsidR="00DB6E47" w:rsidRPr="003F319E" w:rsidRDefault="00DB6E47" w:rsidP="009C5D51">
      <w:pPr>
        <w:pStyle w:val="Amain"/>
        <w:keepNext/>
      </w:pPr>
      <w:r w:rsidRPr="003F319E">
        <w:tab/>
        <w:t>(2)</w:t>
      </w:r>
      <w:r w:rsidRPr="003F319E">
        <w:tab/>
        <w:t>The road manager may ask the Regulator to—</w:t>
      </w:r>
    </w:p>
    <w:p w14:paraId="65782534" w14:textId="77777777" w:rsidR="00940A3D" w:rsidRPr="005441A8" w:rsidRDefault="00DB6E47" w:rsidP="009C5D51">
      <w:pPr>
        <w:pStyle w:val="Apara"/>
        <w:keepNext/>
      </w:pPr>
      <w:r w:rsidRPr="005441A8">
        <w:tab/>
        <w:t>(a)</w:t>
      </w:r>
      <w:r w:rsidRPr="005441A8">
        <w:tab/>
        <w:t>amend the mass or dimension authority by—</w:t>
      </w:r>
    </w:p>
    <w:p w14:paraId="4D382A2F" w14:textId="77777777" w:rsidR="00940A3D" w:rsidRDefault="00940A3D" w:rsidP="00DB6E47">
      <w:pPr>
        <w:pStyle w:val="Asubpara"/>
      </w:pPr>
      <w:r>
        <w:tab/>
        <w:t>(ia)</w:t>
      </w:r>
      <w:r>
        <w:tab/>
      </w:r>
      <w:r w:rsidR="00F73E53" w:rsidRPr="00F73E53">
        <w:t>amending the category of vehicle to which the authority applies; or</w:t>
      </w:r>
    </w:p>
    <w:p w14:paraId="7EB7354C" w14:textId="77777777" w:rsidR="00940A3D" w:rsidRDefault="00940A3D" w:rsidP="00DB6E47">
      <w:pPr>
        <w:pStyle w:val="Asubpara"/>
      </w:pPr>
      <w:r>
        <w:tab/>
        <w:t>(ib)</w:t>
      </w:r>
      <w:r>
        <w:tab/>
      </w:r>
      <w:r w:rsidR="00F73E53" w:rsidRPr="00F73E53">
        <w:t>amending the type of load that may be carried by vehicles to which the authority applies; or</w:t>
      </w:r>
    </w:p>
    <w:p w14:paraId="558497D9" w14:textId="77777777" w:rsidR="00DB6E47" w:rsidRPr="00516F02" w:rsidRDefault="00DB6E47" w:rsidP="00DB6E47">
      <w:pPr>
        <w:pStyle w:val="Asubpara"/>
      </w:pPr>
      <w:r w:rsidRPr="00516F02">
        <w:tab/>
        <w:t>(i)</w:t>
      </w:r>
      <w:r w:rsidRPr="00516F02">
        <w:tab/>
        <w:t>amending the areas or routes to which the authority applies; or</w:t>
      </w:r>
    </w:p>
    <w:p w14:paraId="5AC247C2" w14:textId="77777777" w:rsidR="00DB6E47" w:rsidRPr="00516F02" w:rsidRDefault="00DB6E47" w:rsidP="00DB6E47">
      <w:pPr>
        <w:pStyle w:val="Asubpara"/>
      </w:pPr>
      <w:r w:rsidRPr="00516F02">
        <w:tab/>
        <w:t>(ii)</w:t>
      </w:r>
      <w:r w:rsidRPr="00516F02">
        <w:tab/>
        <w:t>amending the days or hours to which the authority applies; or</w:t>
      </w:r>
    </w:p>
    <w:p w14:paraId="6A47B4D7" w14:textId="77777777" w:rsidR="00DB6E47" w:rsidRPr="00516F02" w:rsidRDefault="00DB6E47" w:rsidP="00DB6E47">
      <w:pPr>
        <w:pStyle w:val="Asubpara"/>
      </w:pPr>
      <w:r w:rsidRPr="00516F02">
        <w:tab/>
        <w:t>(iii)</w:t>
      </w:r>
      <w:r w:rsidRPr="00516F02">
        <w:tab/>
        <w:t>imposing or amending road conditions or travel conditions; or</w:t>
      </w:r>
    </w:p>
    <w:p w14:paraId="5BF1945D" w14:textId="77777777" w:rsidR="00DB6E47" w:rsidRPr="005441A8" w:rsidRDefault="00DB6E47" w:rsidP="00DB6E47">
      <w:pPr>
        <w:pStyle w:val="Apara"/>
      </w:pPr>
      <w:r w:rsidRPr="005441A8">
        <w:tab/>
        <w:t>(b)</w:t>
      </w:r>
      <w:r w:rsidRPr="005441A8">
        <w:tab/>
        <w:t>cancel the authority.</w:t>
      </w:r>
    </w:p>
    <w:p w14:paraId="5DD5A214" w14:textId="77777777" w:rsidR="00DB6E47" w:rsidRPr="003F319E" w:rsidRDefault="00DB6E47" w:rsidP="00DB6E47">
      <w:pPr>
        <w:pStyle w:val="Amain"/>
      </w:pPr>
      <w:r w:rsidRPr="003F319E">
        <w:tab/>
        <w:t>(3)</w:t>
      </w:r>
      <w:r w:rsidRPr="003F319E">
        <w:tab/>
        <w:t>The Regulator must comply with the request.</w:t>
      </w:r>
    </w:p>
    <w:p w14:paraId="67B7C17D" w14:textId="77777777" w:rsidR="00DB6E47" w:rsidRPr="003F319E" w:rsidRDefault="00DB6E47" w:rsidP="00DB6E47">
      <w:pPr>
        <w:pStyle w:val="Amain"/>
      </w:pPr>
      <w:r w:rsidRPr="003F319E">
        <w:lastRenderedPageBreak/>
        <w:tab/>
        <w:t>(4)</w:t>
      </w:r>
      <w:r w:rsidRPr="003F319E">
        <w:tab/>
        <w:t>However, if consent to the grant of the mass or dimension authority was given by a road authority under section 163—</w:t>
      </w:r>
    </w:p>
    <w:p w14:paraId="0F86CBA7" w14:textId="77777777" w:rsidR="00DB6E47" w:rsidRPr="005441A8" w:rsidRDefault="00DB6E47" w:rsidP="00DB6E47">
      <w:pPr>
        <w:pStyle w:val="Apara"/>
      </w:pPr>
      <w:r w:rsidRPr="005441A8">
        <w:tab/>
        <w:t>(a)</w:t>
      </w:r>
      <w:r w:rsidRPr="005441A8">
        <w:tab/>
        <w:t>the Regulator may refer the request to the road authority; and</w:t>
      </w:r>
    </w:p>
    <w:p w14:paraId="413F8715" w14:textId="77777777" w:rsidR="00DB6E47" w:rsidRPr="005441A8" w:rsidRDefault="00DB6E47" w:rsidP="00DB6E47">
      <w:pPr>
        <w:pStyle w:val="Apara"/>
      </w:pPr>
      <w:r w:rsidRPr="005441A8">
        <w:tab/>
        <w:t>(b)</w:t>
      </w:r>
      <w:r w:rsidRPr="005441A8">
        <w:tab/>
        <w:t>if the road authority gives the Regulator its written approval of the request, the Regulator must comply with the request; and</w:t>
      </w:r>
    </w:p>
    <w:p w14:paraId="3D2DFA0F" w14:textId="77777777" w:rsidR="00DB6E47" w:rsidRPr="005441A8" w:rsidRDefault="00DB6E47" w:rsidP="00DB6E47">
      <w:pPr>
        <w:pStyle w:val="Apara"/>
      </w:pPr>
      <w:r w:rsidRPr="005441A8">
        <w:tab/>
        <w:t>(c)</w:t>
      </w:r>
      <w:r w:rsidRPr="005441A8">
        <w:tab/>
        <w:t>if the road authority does not give written approval of the road manager’s request within 28 days after the referral is made, the Regulator—</w:t>
      </w:r>
    </w:p>
    <w:p w14:paraId="27DEEB97" w14:textId="77777777" w:rsidR="00DB6E47" w:rsidRPr="00516F02" w:rsidRDefault="00DB6E47" w:rsidP="00DB6E47">
      <w:pPr>
        <w:pStyle w:val="Asubpara"/>
      </w:pPr>
      <w:r w:rsidRPr="00516F02">
        <w:tab/>
        <w:t>(i)</w:t>
      </w:r>
      <w:r w:rsidRPr="00516F02">
        <w:tab/>
        <w:t>must not comply with the request; and</w:t>
      </w:r>
    </w:p>
    <w:p w14:paraId="2E00C70A" w14:textId="77777777" w:rsidR="00DB6E47" w:rsidRPr="00516F02" w:rsidRDefault="00DB6E47" w:rsidP="00DB6E47">
      <w:pPr>
        <w:pStyle w:val="Asubpara"/>
      </w:pPr>
      <w:r w:rsidRPr="00516F02">
        <w:tab/>
        <w:t>(ii)</w:t>
      </w:r>
      <w:r w:rsidRPr="00516F02">
        <w:tab/>
        <w:t>must notify the road manager that the road authority has not given its written approval of the request and, as a result, the Regulator must not comply with it.</w:t>
      </w:r>
    </w:p>
    <w:p w14:paraId="6EE09389" w14:textId="77777777" w:rsidR="00DB6E47" w:rsidRDefault="00DB6E47" w:rsidP="00DB6E47">
      <w:pPr>
        <w:pStyle w:val="Amain"/>
      </w:pPr>
      <w:r w:rsidRPr="003F319E">
        <w:tab/>
        <w:t>(5)</w:t>
      </w:r>
      <w:r w:rsidRPr="003F319E">
        <w:tab/>
      </w:r>
      <w:r w:rsidR="006E0A56" w:rsidRPr="00FB2F19">
        <w:t>The Regulator must publish a public notice</w:t>
      </w:r>
      <w:r w:rsidRPr="003F319E">
        <w:t xml:space="preserve"> of the amendment or</w:t>
      </w:r>
      <w:r w:rsidR="006E0A56">
        <w:t xml:space="preserve"> cancellation.</w:t>
      </w:r>
    </w:p>
    <w:p w14:paraId="3888E4DB" w14:textId="77777777" w:rsidR="00DB6E47" w:rsidRPr="003F319E" w:rsidRDefault="00DB6E47" w:rsidP="00DB6E47">
      <w:pPr>
        <w:pStyle w:val="Amain"/>
      </w:pPr>
      <w:r w:rsidRPr="003F319E">
        <w:tab/>
        <w:t>(6)</w:t>
      </w:r>
      <w:r w:rsidRPr="003F319E">
        <w:tab/>
        <w:t>The amendment or cancellation takes effect—</w:t>
      </w:r>
    </w:p>
    <w:p w14:paraId="76C08996" w14:textId="77777777" w:rsidR="00DB6E47" w:rsidRPr="005441A8" w:rsidRDefault="00DB6E47" w:rsidP="00DB6E47">
      <w:pPr>
        <w:pStyle w:val="Apara"/>
      </w:pPr>
      <w:r w:rsidRPr="005441A8">
        <w:tab/>
        <w:t>(a)</w:t>
      </w:r>
      <w:r w:rsidRPr="005441A8">
        <w:tab/>
        <w:t>28 days after the Commonwealth Gazette notice is published under subsection (5); or</w:t>
      </w:r>
    </w:p>
    <w:p w14:paraId="536B2C23" w14:textId="77777777" w:rsidR="00DB6E47" w:rsidRPr="005441A8" w:rsidRDefault="00DB6E47" w:rsidP="00DB6E47">
      <w:pPr>
        <w:pStyle w:val="Apara"/>
      </w:pPr>
      <w:r w:rsidRPr="005441A8">
        <w:tab/>
        <w:t>(b)</w:t>
      </w:r>
      <w:r w:rsidRPr="005441A8">
        <w:tab/>
        <w:t>if a later time is stated in the Commonwealth Gazette notice, at the later time.</w:t>
      </w:r>
    </w:p>
    <w:p w14:paraId="5189233D" w14:textId="77777777" w:rsidR="00DB6E47" w:rsidRPr="007E1F9A" w:rsidRDefault="00DB6E47" w:rsidP="00DB6E47">
      <w:pPr>
        <w:pStyle w:val="AH5Sec"/>
      </w:pPr>
      <w:bookmarkStart w:id="208" w:name="_Toc83625552"/>
      <w:r w:rsidRPr="005E03F7">
        <w:rPr>
          <w:rStyle w:val="CharSectNo"/>
        </w:rPr>
        <w:t>175</w:t>
      </w:r>
      <w:r w:rsidRPr="007E1F9A">
        <w:tab/>
        <w:t>Immediate suspension</w:t>
      </w:r>
      <w:bookmarkEnd w:id="208"/>
    </w:p>
    <w:p w14:paraId="1519C3EA" w14:textId="77777777" w:rsidR="00DB6E47" w:rsidRPr="003F319E" w:rsidRDefault="00DB6E47" w:rsidP="00A90E48">
      <w:pPr>
        <w:pStyle w:val="Amain"/>
        <w:keepNext/>
        <w:keepLines/>
      </w:pPr>
      <w:r w:rsidRPr="003F319E">
        <w:tab/>
        <w:t>(1)</w:t>
      </w:r>
      <w:r w:rsidRPr="003F319E">
        <w:tab/>
        <w:t>This section applies if the Regulator considers it is necessary to suspend a mass or dimension authority granted by Commonwealth Gazette notice immediately to prevent or minimise serious harm to public safety or significant damage to road infrastructure.</w:t>
      </w:r>
    </w:p>
    <w:p w14:paraId="187D98F0" w14:textId="77777777" w:rsidR="00DB6E47" w:rsidRPr="003F319E" w:rsidRDefault="00DB6E47" w:rsidP="00DB6E47">
      <w:pPr>
        <w:pStyle w:val="Amain"/>
      </w:pPr>
      <w:r w:rsidRPr="003F319E">
        <w:tab/>
        <w:t>(2)</w:t>
      </w:r>
      <w:r w:rsidRPr="003F319E">
        <w:tab/>
      </w:r>
      <w:r w:rsidR="00DC7A31" w:rsidRPr="00DC7A31">
        <w:t>The Regulator may, by public notice, immediately suspend the authority until the earliest of the following—</w:t>
      </w:r>
    </w:p>
    <w:p w14:paraId="2560FA1E" w14:textId="77777777" w:rsidR="00DB6E47" w:rsidRPr="005441A8" w:rsidRDefault="00DB6E47" w:rsidP="00DB6E47">
      <w:pPr>
        <w:pStyle w:val="Apara"/>
      </w:pPr>
      <w:r w:rsidRPr="005441A8">
        <w:tab/>
        <w:t>(a)</w:t>
      </w:r>
      <w:r w:rsidRPr="005441A8">
        <w:tab/>
      </w:r>
      <w:r w:rsidR="00DC7A31" w:rsidRPr="00DC7A31">
        <w:t>the end of 56 days after the day the public notice is published;</w:t>
      </w:r>
    </w:p>
    <w:p w14:paraId="14681CF4" w14:textId="77777777" w:rsidR="00DB6E47" w:rsidRPr="005441A8" w:rsidRDefault="00DB6E47" w:rsidP="00DB6E47">
      <w:pPr>
        <w:pStyle w:val="Apara"/>
      </w:pPr>
      <w:r w:rsidRPr="005441A8">
        <w:lastRenderedPageBreak/>
        <w:tab/>
        <w:t>(b)</w:t>
      </w:r>
      <w:r w:rsidRPr="005441A8">
        <w:tab/>
      </w:r>
      <w:r w:rsidR="00DC7A31" w:rsidRPr="00DC7A31">
        <w:t>the Regulator publishes a notice under section 173(5) or 174(5) and the amendment or cancella</w:t>
      </w:r>
      <w:r w:rsidR="008C2E76">
        <w:t>tion takes effect under section </w:t>
      </w:r>
      <w:r w:rsidR="00DC7A31" w:rsidRPr="00DC7A31">
        <w:t>173(6) or 174(6);</w:t>
      </w:r>
    </w:p>
    <w:p w14:paraId="792B7E20" w14:textId="77777777" w:rsidR="00DB6E47" w:rsidRPr="005441A8" w:rsidRDefault="00DB6E47" w:rsidP="00DB6E47">
      <w:pPr>
        <w:pStyle w:val="Apara"/>
      </w:pPr>
      <w:r w:rsidRPr="005441A8">
        <w:tab/>
        <w:t>(c)</w:t>
      </w:r>
      <w:r w:rsidRPr="005441A8">
        <w:tab/>
      </w:r>
      <w:r w:rsidR="00DC7A31" w:rsidRPr="00DC7A31">
        <w:t>the Regulator cancels the suspension by public notice.</w:t>
      </w:r>
    </w:p>
    <w:p w14:paraId="14928864" w14:textId="77777777" w:rsidR="00DB6E47" w:rsidRPr="003F319E" w:rsidRDefault="00DB6E47" w:rsidP="00DB6E47">
      <w:pPr>
        <w:pStyle w:val="Amain"/>
      </w:pPr>
      <w:r w:rsidRPr="003F319E">
        <w:tab/>
        <w:t>(4)</w:t>
      </w:r>
      <w:r w:rsidRPr="003F319E">
        <w:tab/>
        <w:t>The suspension, and (where relevant) the cancellation of the suspension, takes effect immediately after the Commonwealth Gazette notice is published under subsection (3).</w:t>
      </w:r>
    </w:p>
    <w:p w14:paraId="5487140E" w14:textId="77777777" w:rsidR="00DB6E47" w:rsidRDefault="00DB6E47" w:rsidP="00DB6E47">
      <w:pPr>
        <w:pStyle w:val="Amain"/>
      </w:pPr>
      <w:r w:rsidRPr="003F319E">
        <w:tab/>
        <w:t>(5)</w:t>
      </w:r>
      <w:r w:rsidRPr="003F319E">
        <w:tab/>
        <w:t>This section applies despite sections 173 and 174.</w:t>
      </w:r>
    </w:p>
    <w:p w14:paraId="5D1951F9" w14:textId="77777777" w:rsidR="00C8370F" w:rsidRPr="00C8370F" w:rsidRDefault="00C8370F" w:rsidP="00C8370F">
      <w:pPr>
        <w:pStyle w:val="AH5Sec"/>
      </w:pPr>
      <w:bookmarkStart w:id="209" w:name="_Toc83625553"/>
      <w:r w:rsidRPr="005E03F7">
        <w:rPr>
          <w:rStyle w:val="CharSectNo"/>
        </w:rPr>
        <w:t>175A</w:t>
      </w:r>
      <w:r w:rsidRPr="00C8370F">
        <w:tab/>
        <w:t>Minor amendment</w:t>
      </w:r>
      <w:bookmarkEnd w:id="209"/>
    </w:p>
    <w:p w14:paraId="2F6AA516" w14:textId="77777777" w:rsidR="00C8370F" w:rsidRDefault="00C8370F" w:rsidP="00C8370F">
      <w:pPr>
        <w:pStyle w:val="Amain"/>
      </w:pPr>
      <w:r w:rsidRPr="003F319E">
        <w:tab/>
        <w:t>(1)</w:t>
      </w:r>
      <w:r w:rsidRPr="003F319E">
        <w:tab/>
      </w:r>
      <w:r w:rsidRPr="00C8370F">
        <w:t>The Regulator may amend a mass or dimension authority, granted by Commonwealth Gazette notice, in a minor respect—</w:t>
      </w:r>
    </w:p>
    <w:p w14:paraId="294BF87D" w14:textId="77777777" w:rsidR="00C8370F" w:rsidRDefault="00C8370F" w:rsidP="00C8370F">
      <w:pPr>
        <w:pStyle w:val="Apara"/>
      </w:pPr>
      <w:r w:rsidRPr="005441A8">
        <w:tab/>
        <w:t>(a)</w:t>
      </w:r>
      <w:r w:rsidRPr="005441A8">
        <w:tab/>
      </w:r>
      <w:r w:rsidRPr="00C8370F">
        <w:t>for a formal or clerical reason; or</w:t>
      </w:r>
    </w:p>
    <w:p w14:paraId="62888F6D" w14:textId="77777777" w:rsidR="00C8370F" w:rsidRDefault="00C8370F" w:rsidP="00C8370F">
      <w:pPr>
        <w:pStyle w:val="Apara"/>
      </w:pPr>
      <w:r>
        <w:tab/>
        <w:t>(b)</w:t>
      </w:r>
      <w:r>
        <w:tab/>
      </w:r>
      <w:r w:rsidRPr="00C8370F">
        <w:t>in another way that does not adversely affect the interests of a person who is operating under the authority.</w:t>
      </w:r>
    </w:p>
    <w:p w14:paraId="2BF33565" w14:textId="77777777" w:rsidR="00C8370F" w:rsidRPr="003F319E" w:rsidRDefault="00C8370F" w:rsidP="00C8370F">
      <w:pPr>
        <w:pStyle w:val="Amain"/>
      </w:pPr>
      <w:r w:rsidRPr="003F319E">
        <w:tab/>
        <w:t>(2)</w:t>
      </w:r>
      <w:r w:rsidRPr="003F319E">
        <w:tab/>
      </w:r>
      <w:r w:rsidRPr="00C8370F">
        <w:t>The Regulator must publish a public notice of the amendment.</w:t>
      </w:r>
    </w:p>
    <w:p w14:paraId="2C5433A4" w14:textId="77777777" w:rsidR="00DB6E47" w:rsidRPr="005E03F7" w:rsidRDefault="00DB6E47" w:rsidP="00DB6E47">
      <w:pPr>
        <w:pStyle w:val="AH3Div"/>
      </w:pPr>
      <w:bookmarkStart w:id="210" w:name="_Toc83625554"/>
      <w:r w:rsidRPr="005E03F7">
        <w:rPr>
          <w:rStyle w:val="CharDivNo"/>
        </w:rPr>
        <w:t>Division 4</w:t>
      </w:r>
      <w:r w:rsidRPr="00A95F9A">
        <w:rPr>
          <w:rFonts w:ascii="Helvetica" w:hAnsi="Helvetica" w:cs="Helvetica"/>
          <w:iCs/>
          <w:szCs w:val="28"/>
        </w:rPr>
        <w:tab/>
      </w:r>
      <w:r w:rsidRPr="005E03F7">
        <w:rPr>
          <w:rStyle w:val="CharDivText"/>
          <w:rFonts w:ascii="Helvetica" w:hAnsi="Helvetica" w:cs="Helvetica"/>
          <w:iCs/>
          <w:szCs w:val="28"/>
        </w:rPr>
        <w:t>Amendment, cancellation or suspension of mass or dimension authority granted by permit</w:t>
      </w:r>
      <w:bookmarkEnd w:id="210"/>
    </w:p>
    <w:p w14:paraId="354DED26" w14:textId="77777777" w:rsidR="00DB6E47" w:rsidRPr="007E1F9A" w:rsidRDefault="00DB6E47" w:rsidP="00DB6E47">
      <w:pPr>
        <w:pStyle w:val="AH5Sec"/>
      </w:pPr>
      <w:bookmarkStart w:id="211" w:name="_Toc83625555"/>
      <w:r w:rsidRPr="005E03F7">
        <w:rPr>
          <w:rStyle w:val="CharSectNo"/>
        </w:rPr>
        <w:t>176</w:t>
      </w:r>
      <w:r w:rsidRPr="007E1F9A">
        <w:tab/>
        <w:t>Amendment or cancellation on application by permit holder</w:t>
      </w:r>
      <w:bookmarkEnd w:id="211"/>
    </w:p>
    <w:p w14:paraId="098FAB17" w14:textId="77777777" w:rsidR="00DB6E47" w:rsidRPr="003F319E" w:rsidRDefault="00DB6E47" w:rsidP="00DB6E47">
      <w:pPr>
        <w:pStyle w:val="Amain"/>
      </w:pPr>
      <w:r w:rsidRPr="003F319E">
        <w:tab/>
        <w:t>(1)</w:t>
      </w:r>
      <w:r w:rsidRPr="003F319E">
        <w:tab/>
        <w:t>The holder of a permit for a mass or dimension authority may apply to the Regulator for an amendment or cancellation of the authority.</w:t>
      </w:r>
    </w:p>
    <w:p w14:paraId="67A3547D" w14:textId="77777777" w:rsidR="00DB6E47" w:rsidRPr="003F319E" w:rsidRDefault="00DB6E47" w:rsidP="00DB6E47">
      <w:pPr>
        <w:pStyle w:val="Amain"/>
      </w:pPr>
      <w:r w:rsidRPr="003F319E">
        <w:tab/>
        <w:t>(2)</w:t>
      </w:r>
      <w:r w:rsidRPr="003F319E">
        <w:tab/>
        <w:t>The application must—</w:t>
      </w:r>
    </w:p>
    <w:p w14:paraId="7FED3605" w14:textId="77777777" w:rsidR="00DB6E47" w:rsidRPr="005441A8" w:rsidRDefault="00DB6E47" w:rsidP="00DB6E47">
      <w:pPr>
        <w:pStyle w:val="Apara"/>
      </w:pPr>
      <w:r w:rsidRPr="005441A8">
        <w:tab/>
        <w:t>(a)</w:t>
      </w:r>
      <w:r w:rsidRPr="005441A8">
        <w:tab/>
        <w:t>be in writing; and</w:t>
      </w:r>
    </w:p>
    <w:p w14:paraId="4A3E4C43" w14:textId="77777777" w:rsidR="00DB6E47" w:rsidRPr="005441A8" w:rsidRDefault="00DB6E47" w:rsidP="00DB6E47">
      <w:pPr>
        <w:pStyle w:val="Apara"/>
      </w:pPr>
      <w:r w:rsidRPr="005441A8">
        <w:tab/>
        <w:t>(b)</w:t>
      </w:r>
      <w:r w:rsidRPr="005441A8">
        <w:tab/>
        <w:t>be accompanied by the prescribed fee for the application; and</w:t>
      </w:r>
    </w:p>
    <w:p w14:paraId="5300764A" w14:textId="77777777" w:rsidR="00DB6E47" w:rsidRPr="005441A8" w:rsidRDefault="00DB6E47" w:rsidP="00DB6E47">
      <w:pPr>
        <w:pStyle w:val="Apara"/>
      </w:pPr>
      <w:r w:rsidRPr="005441A8">
        <w:lastRenderedPageBreak/>
        <w:tab/>
        <w:t>(c)</w:t>
      </w:r>
      <w:r w:rsidRPr="005441A8">
        <w:tab/>
        <w:t>if the application is for an amendment, state clearly the amendment sought and the reasons for the amendment; and</w:t>
      </w:r>
    </w:p>
    <w:p w14:paraId="53C6C774" w14:textId="77777777" w:rsidR="00DB6E47" w:rsidRPr="005441A8" w:rsidRDefault="00DB6E47" w:rsidP="00DB6E47">
      <w:pPr>
        <w:pStyle w:val="Apara"/>
      </w:pPr>
      <w:r w:rsidRPr="005441A8">
        <w:tab/>
        <w:t>(d)</w:t>
      </w:r>
      <w:r w:rsidRPr="005441A8">
        <w:tab/>
        <w:t>be accompanied by the permit.</w:t>
      </w:r>
    </w:p>
    <w:p w14:paraId="0BDE8D6D" w14:textId="77777777" w:rsidR="00DB6E47" w:rsidRPr="003F319E" w:rsidRDefault="00DB6E47" w:rsidP="00DB6E47">
      <w:pPr>
        <w:pStyle w:val="Amain"/>
      </w:pPr>
      <w:r w:rsidRPr="003F319E">
        <w:tab/>
        <w:t>(3)</w:t>
      </w:r>
      <w:r w:rsidRPr="003F319E">
        <w:tab/>
        <w:t>The Regulator may, by notice given to the applicant, require the applicant to give the Regulator any additional information the Regulator reasonably requires to decide the application.</w:t>
      </w:r>
    </w:p>
    <w:p w14:paraId="73E451BB" w14:textId="77777777" w:rsidR="00DB6E47" w:rsidRPr="003F319E" w:rsidRDefault="00DB6E47" w:rsidP="00DB6E47">
      <w:pPr>
        <w:pStyle w:val="Amain"/>
      </w:pPr>
      <w:r w:rsidRPr="003F319E">
        <w:tab/>
        <w:t>(4)</w:t>
      </w:r>
      <w:r w:rsidRPr="003F319E">
        <w:tab/>
        <w:t>If the proposed amendment of the mass or dimension authority is—</w:t>
      </w:r>
    </w:p>
    <w:p w14:paraId="1920698C" w14:textId="77777777" w:rsidR="00DB6E47" w:rsidRPr="005441A8" w:rsidRDefault="00DB6E47" w:rsidP="00DB6E47">
      <w:pPr>
        <w:pStyle w:val="Apara"/>
      </w:pPr>
      <w:r w:rsidRPr="005441A8">
        <w:tab/>
        <w:t>(a)</w:t>
      </w:r>
      <w:r w:rsidRPr="005441A8">
        <w:tab/>
        <w:t>to amend the areas or routes to which the authority applies (otherwise than by omitting an area or route or reducing an area or route in size); or</w:t>
      </w:r>
    </w:p>
    <w:p w14:paraId="0B7DE805" w14:textId="77777777" w:rsidR="00DB6E47" w:rsidRPr="005441A8" w:rsidRDefault="00DB6E47" w:rsidP="00DB6E47">
      <w:pPr>
        <w:pStyle w:val="Apara"/>
      </w:pPr>
      <w:r w:rsidRPr="005441A8">
        <w:tab/>
        <w:t>(b)</w:t>
      </w:r>
      <w:r w:rsidRPr="005441A8">
        <w:tab/>
        <w:t>to impose or amend road conditions or travel conditions;</w:t>
      </w:r>
    </w:p>
    <w:p w14:paraId="783AB838" w14:textId="77777777" w:rsidR="00DB6E47" w:rsidRPr="003F319E" w:rsidRDefault="00DB6E47" w:rsidP="00DB6E47">
      <w:pPr>
        <w:pStyle w:val="Amainreturn"/>
      </w:pPr>
      <w:r w:rsidRPr="003F319E">
        <w:t>then—</w:t>
      </w:r>
    </w:p>
    <w:p w14:paraId="7FBA2337" w14:textId="77777777" w:rsidR="00DB6E47" w:rsidRPr="005441A8" w:rsidRDefault="00DB6E47" w:rsidP="00DB6E47">
      <w:pPr>
        <w:pStyle w:val="Apara"/>
      </w:pPr>
      <w:r w:rsidRPr="005441A8">
        <w:tab/>
        <w:t>(c)</w:t>
      </w:r>
      <w:r w:rsidRPr="005441A8">
        <w:tab/>
        <w:t>the Regulator must ask the relevant road managers (for the roads to which the amendment relates) for their consent to the amendment; and</w:t>
      </w:r>
    </w:p>
    <w:p w14:paraId="22E60452" w14:textId="77777777" w:rsidR="00DB6E47" w:rsidRPr="005441A8" w:rsidRDefault="00DB6E47" w:rsidP="00A90927">
      <w:pPr>
        <w:pStyle w:val="Apara"/>
        <w:keepLines/>
      </w:pPr>
      <w:r w:rsidRPr="005441A8">
        <w:tab/>
        <w:t>(d)</w:t>
      </w:r>
      <w:r w:rsidRPr="005441A8">
        <w:tab/>
        <w:t>the provisions of Division 2 apply to the request for consent in the same way as they apply to a request for consent under that Division, with the modifications (if any) prescribed by the national regulations and with any necessary modifications.</w:t>
      </w:r>
    </w:p>
    <w:p w14:paraId="6D4083B2" w14:textId="77777777" w:rsidR="00DB6E47" w:rsidRPr="003F319E" w:rsidRDefault="00DB6E47" w:rsidP="00DB6E47">
      <w:pPr>
        <w:pStyle w:val="Amain"/>
      </w:pPr>
      <w:r w:rsidRPr="003F319E">
        <w:tab/>
        <w:t>(5)</w:t>
      </w:r>
      <w:r w:rsidRPr="003F319E">
        <w:tab/>
        <w:t>The Regulator must decide the application as soon as practicable after receiving it.</w:t>
      </w:r>
    </w:p>
    <w:p w14:paraId="5F092F8F" w14:textId="77777777" w:rsidR="00DB6E47" w:rsidRPr="003F319E" w:rsidRDefault="00DB6E47" w:rsidP="00DB6E47">
      <w:pPr>
        <w:pStyle w:val="Amain"/>
      </w:pPr>
      <w:r w:rsidRPr="003F319E">
        <w:tab/>
        <w:t>(6)</w:t>
      </w:r>
      <w:r w:rsidRPr="003F319E">
        <w:tab/>
        <w:t>If the Regulator decides to grant the application—</w:t>
      </w:r>
    </w:p>
    <w:p w14:paraId="7E72705D" w14:textId="77777777" w:rsidR="00DB6E47" w:rsidRPr="005441A8" w:rsidRDefault="00DB6E47" w:rsidP="00DB6E47">
      <w:pPr>
        <w:pStyle w:val="Apara"/>
      </w:pPr>
      <w:r w:rsidRPr="005441A8">
        <w:tab/>
        <w:t>(a)</w:t>
      </w:r>
      <w:r w:rsidRPr="005441A8">
        <w:tab/>
        <w:t>the Regulator must give the applicant notice of the decision; and</w:t>
      </w:r>
    </w:p>
    <w:p w14:paraId="074DA3D0" w14:textId="77777777" w:rsidR="00DB6E47" w:rsidRPr="005441A8" w:rsidRDefault="00DB6E47" w:rsidP="00726E15">
      <w:pPr>
        <w:pStyle w:val="Apara"/>
        <w:keepNext/>
      </w:pPr>
      <w:r w:rsidRPr="005441A8">
        <w:tab/>
        <w:t>(b)</w:t>
      </w:r>
      <w:r w:rsidRPr="005441A8">
        <w:tab/>
        <w:t>the amendment or cancellation takes effect—</w:t>
      </w:r>
    </w:p>
    <w:p w14:paraId="48921823" w14:textId="77777777" w:rsidR="00DB6E47" w:rsidRPr="00516F02" w:rsidRDefault="00DB6E47" w:rsidP="00DB6E47">
      <w:pPr>
        <w:pStyle w:val="Asubpara"/>
      </w:pPr>
      <w:r w:rsidRPr="00516F02">
        <w:tab/>
        <w:t>(i)</w:t>
      </w:r>
      <w:r w:rsidRPr="00516F02">
        <w:tab/>
        <w:t>when notice of the decision is given to the applicant; or</w:t>
      </w:r>
    </w:p>
    <w:p w14:paraId="27B4CBAF" w14:textId="77777777" w:rsidR="00DB6E47" w:rsidRPr="00516F02" w:rsidRDefault="00DB6E47" w:rsidP="00DB6E47">
      <w:pPr>
        <w:pStyle w:val="Asubpara"/>
      </w:pPr>
      <w:r w:rsidRPr="00516F02">
        <w:tab/>
        <w:t>(ii)</w:t>
      </w:r>
      <w:r w:rsidRPr="00516F02">
        <w:tab/>
        <w:t>if a later time is stated in the notice, at the later time; and</w:t>
      </w:r>
    </w:p>
    <w:p w14:paraId="5DF6D1AA" w14:textId="77777777" w:rsidR="00DB6E47" w:rsidRPr="005441A8" w:rsidRDefault="00DB6E47" w:rsidP="00DB6E47">
      <w:pPr>
        <w:pStyle w:val="Apara"/>
      </w:pPr>
      <w:r w:rsidRPr="005441A8">
        <w:lastRenderedPageBreak/>
        <w:tab/>
        <w:t>(c)</w:t>
      </w:r>
      <w:r w:rsidRPr="005441A8">
        <w:tab/>
        <w:t>if the Regulator amended the authority, the Regulator must give the applicant a replacement perm</w:t>
      </w:r>
      <w:r w:rsidR="009F4FF7">
        <w:t>it for the authority as amended; and</w:t>
      </w:r>
    </w:p>
    <w:p w14:paraId="60D63F79" w14:textId="77777777" w:rsidR="00415415" w:rsidRDefault="00415415" w:rsidP="00415415">
      <w:pPr>
        <w:pStyle w:val="Apara"/>
        <w:rPr>
          <w:lang w:val="en"/>
        </w:rPr>
      </w:pPr>
      <w:r w:rsidRPr="003323FC">
        <w:tab/>
        <w:t>(d)</w:t>
      </w:r>
      <w:r w:rsidRPr="003323FC">
        <w:tab/>
      </w:r>
      <w:r>
        <w:rPr>
          <w:lang w:val="en"/>
        </w:rPr>
        <w:t>if the authority is amended to change the vehicle to which the authority applies to an equivalent vehicle, the Regulator must give notice of the amendment to the relevant road manager within 28 days after the authority is amended.</w:t>
      </w:r>
    </w:p>
    <w:p w14:paraId="164DE132" w14:textId="77777777" w:rsidR="00DB6E47" w:rsidRPr="003F319E" w:rsidRDefault="00DB6E47" w:rsidP="00DB6E47">
      <w:pPr>
        <w:pStyle w:val="Amain"/>
      </w:pPr>
      <w:r w:rsidRPr="003F319E">
        <w:tab/>
        <w:t>(7)</w:t>
      </w:r>
      <w:r w:rsidRPr="003F319E">
        <w:tab/>
        <w:t>If the Regulator decides not to amend or cancel the mass or dimension authority as sought by the applicant, the Regulator must—</w:t>
      </w:r>
    </w:p>
    <w:p w14:paraId="44C505A5" w14:textId="77777777" w:rsidR="00DB6E47" w:rsidRPr="005441A8" w:rsidRDefault="00DB6E47" w:rsidP="00DB6E47">
      <w:pPr>
        <w:pStyle w:val="Apara"/>
      </w:pPr>
      <w:r w:rsidRPr="005441A8">
        <w:tab/>
        <w:t>(a)</w:t>
      </w:r>
      <w:r w:rsidRPr="005441A8">
        <w:tab/>
        <w:t>give the applicant an information notice for the decision; and</w:t>
      </w:r>
    </w:p>
    <w:p w14:paraId="5576538C" w14:textId="77777777" w:rsidR="00DB6E47" w:rsidRPr="005441A8" w:rsidRDefault="00DB6E47" w:rsidP="00DB6E47">
      <w:pPr>
        <w:pStyle w:val="Apara"/>
      </w:pPr>
      <w:r w:rsidRPr="005441A8">
        <w:tab/>
        <w:t>(b)</w:t>
      </w:r>
      <w:r w:rsidRPr="005441A8">
        <w:tab/>
        <w:t>return the permit for the authority to the applicant.</w:t>
      </w:r>
    </w:p>
    <w:p w14:paraId="376FFC13" w14:textId="77777777" w:rsidR="006F540E" w:rsidRPr="006F540E" w:rsidRDefault="006F540E" w:rsidP="006F540E">
      <w:pPr>
        <w:pStyle w:val="Amain"/>
        <w:rPr>
          <w:lang w:val="en" w:eastAsia="en-AU"/>
        </w:rPr>
      </w:pPr>
      <w:r>
        <w:rPr>
          <w:lang w:val="en" w:eastAsia="en-AU"/>
        </w:rPr>
        <w:tab/>
      </w:r>
      <w:r w:rsidRPr="006F540E">
        <w:rPr>
          <w:lang w:val="en" w:eastAsia="en-AU"/>
        </w:rPr>
        <w:t>(8)</w:t>
      </w:r>
      <w:r>
        <w:rPr>
          <w:lang w:val="en" w:eastAsia="en-AU"/>
        </w:rPr>
        <w:tab/>
      </w:r>
      <w:r w:rsidRPr="006F540E">
        <w:rPr>
          <w:lang w:val="en" w:eastAsia="en-AU"/>
        </w:rPr>
        <w:t>In this section—</w:t>
      </w:r>
    </w:p>
    <w:p w14:paraId="5E26330D" w14:textId="77777777" w:rsidR="006F540E" w:rsidRPr="006F540E" w:rsidRDefault="006F540E" w:rsidP="006F540E">
      <w:pPr>
        <w:pStyle w:val="aDef"/>
        <w:rPr>
          <w:lang w:val="en" w:eastAsia="en-AU"/>
        </w:rPr>
      </w:pPr>
      <w:r w:rsidRPr="006F540E">
        <w:rPr>
          <w:b/>
          <w:bCs/>
          <w:i/>
          <w:iCs/>
          <w:lang w:val="en" w:eastAsia="en-AU"/>
        </w:rPr>
        <w:t>equivalent vehicle</w:t>
      </w:r>
      <w:r w:rsidRPr="006F540E">
        <w:rPr>
          <w:lang w:val="en" w:eastAsia="en-AU"/>
        </w:rPr>
        <w:t>, of another vehicle, means a vehicle that—</w:t>
      </w:r>
    </w:p>
    <w:p w14:paraId="7A8164DE" w14:textId="77777777" w:rsidR="006F540E" w:rsidRPr="006F540E" w:rsidRDefault="0095696E" w:rsidP="0095696E">
      <w:pPr>
        <w:pStyle w:val="aDefpara"/>
        <w:rPr>
          <w:lang w:val="en" w:eastAsia="en-AU"/>
        </w:rPr>
      </w:pPr>
      <w:r>
        <w:rPr>
          <w:lang w:val="en" w:eastAsia="en-AU"/>
        </w:rPr>
        <w:tab/>
      </w:r>
      <w:r w:rsidR="006F540E" w:rsidRPr="006F540E">
        <w:rPr>
          <w:lang w:val="en" w:eastAsia="en-AU"/>
        </w:rPr>
        <w:t>(a)</w:t>
      </w:r>
      <w:r>
        <w:rPr>
          <w:lang w:val="en" w:eastAsia="en-AU"/>
        </w:rPr>
        <w:tab/>
      </w:r>
      <w:r w:rsidR="006F540E" w:rsidRPr="006F540E">
        <w:rPr>
          <w:lang w:val="en" w:eastAsia="en-AU"/>
        </w:rPr>
        <w:t>is of the same category as the other vehicle; and</w:t>
      </w:r>
    </w:p>
    <w:p w14:paraId="51078F1C" w14:textId="77777777" w:rsidR="006F540E" w:rsidRPr="006F540E" w:rsidRDefault="0095696E" w:rsidP="0095696E">
      <w:pPr>
        <w:pStyle w:val="aDefpara"/>
        <w:rPr>
          <w:lang w:val="en" w:eastAsia="en-AU"/>
        </w:rPr>
      </w:pPr>
      <w:r>
        <w:rPr>
          <w:lang w:val="en" w:eastAsia="en-AU"/>
        </w:rPr>
        <w:tab/>
      </w:r>
      <w:r w:rsidR="006F540E" w:rsidRPr="006F540E">
        <w:rPr>
          <w:lang w:val="en" w:eastAsia="en-AU"/>
        </w:rPr>
        <w:t>(b)</w:t>
      </w:r>
      <w:r>
        <w:rPr>
          <w:lang w:val="en" w:eastAsia="en-AU"/>
        </w:rPr>
        <w:tab/>
      </w:r>
      <w:r w:rsidR="006F540E" w:rsidRPr="006F540E">
        <w:rPr>
          <w:lang w:val="en" w:eastAsia="en-AU"/>
        </w:rPr>
        <w:t>has mass requirements that are no more than the mass requirements applying to the other vehicle; and</w:t>
      </w:r>
    </w:p>
    <w:p w14:paraId="2A0A05C2" w14:textId="77777777" w:rsidR="006F540E" w:rsidRPr="006F540E" w:rsidRDefault="0095696E" w:rsidP="0095696E">
      <w:pPr>
        <w:pStyle w:val="aDefpara"/>
        <w:rPr>
          <w:lang w:val="en" w:eastAsia="en-AU"/>
        </w:rPr>
      </w:pPr>
      <w:r>
        <w:rPr>
          <w:lang w:val="en" w:eastAsia="en-AU"/>
        </w:rPr>
        <w:tab/>
      </w:r>
      <w:r w:rsidR="006F540E" w:rsidRPr="006F540E">
        <w:rPr>
          <w:lang w:val="en" w:eastAsia="en-AU"/>
        </w:rPr>
        <w:t>(c)</w:t>
      </w:r>
      <w:r>
        <w:rPr>
          <w:lang w:val="en" w:eastAsia="en-AU"/>
        </w:rPr>
        <w:tab/>
      </w:r>
      <w:r w:rsidR="006F540E" w:rsidRPr="006F540E">
        <w:rPr>
          <w:lang w:val="en" w:eastAsia="en-AU"/>
        </w:rPr>
        <w:t>has dimension requirements that are no more than the dimension requirements applying to the other vehicle; and</w:t>
      </w:r>
    </w:p>
    <w:p w14:paraId="5D8B9C1F" w14:textId="77777777" w:rsidR="006F540E" w:rsidRPr="006F540E" w:rsidRDefault="0095696E" w:rsidP="0095696E">
      <w:pPr>
        <w:pStyle w:val="aDefpara"/>
        <w:rPr>
          <w:lang w:val="en" w:eastAsia="en-AU"/>
        </w:rPr>
      </w:pPr>
      <w:r>
        <w:rPr>
          <w:lang w:val="en" w:eastAsia="en-AU"/>
        </w:rPr>
        <w:tab/>
      </w:r>
      <w:r w:rsidR="006F540E" w:rsidRPr="006F540E">
        <w:rPr>
          <w:lang w:val="en" w:eastAsia="en-AU"/>
        </w:rPr>
        <w:t>(d)</w:t>
      </w:r>
      <w:r>
        <w:rPr>
          <w:lang w:val="en" w:eastAsia="en-AU"/>
        </w:rPr>
        <w:tab/>
      </w:r>
      <w:r w:rsidR="006F540E" w:rsidRPr="006F540E">
        <w:rPr>
          <w:lang w:val="en" w:eastAsia="en-AU"/>
        </w:rPr>
        <w:t>poses no greater public risk than the other vehicle.</w:t>
      </w:r>
    </w:p>
    <w:p w14:paraId="4FF13763" w14:textId="77777777" w:rsidR="00DB6E47" w:rsidRPr="007E1F9A" w:rsidRDefault="00DB6E47" w:rsidP="00DB6E47">
      <w:pPr>
        <w:pStyle w:val="AH5Sec"/>
      </w:pPr>
      <w:bookmarkStart w:id="212" w:name="_Toc83625556"/>
      <w:r w:rsidRPr="005E03F7">
        <w:rPr>
          <w:rStyle w:val="CharSectNo"/>
        </w:rPr>
        <w:t>177</w:t>
      </w:r>
      <w:r w:rsidRPr="007E1F9A">
        <w:tab/>
        <w:t>Amendment or cancellation on Regulator’s initiative</w:t>
      </w:r>
      <w:bookmarkEnd w:id="212"/>
    </w:p>
    <w:p w14:paraId="73E6C0E8" w14:textId="77777777" w:rsidR="00DB6E47" w:rsidRPr="003F319E" w:rsidRDefault="00DB6E47" w:rsidP="00DB6E47">
      <w:pPr>
        <w:pStyle w:val="Amain"/>
      </w:pPr>
      <w:r w:rsidRPr="003F319E">
        <w:tab/>
        <w:t>(1)</w:t>
      </w:r>
      <w:r w:rsidRPr="003F319E">
        <w:tab/>
        <w:t>Each of the following is a ground for amending or cancelling a mass or dimension authority granted by giving a person a permit—</w:t>
      </w:r>
    </w:p>
    <w:p w14:paraId="76836C5B" w14:textId="77777777" w:rsidR="00DB6E47" w:rsidRPr="005441A8" w:rsidRDefault="00DB6E47" w:rsidP="00DB6E47">
      <w:pPr>
        <w:pStyle w:val="Apara"/>
      </w:pPr>
      <w:r w:rsidRPr="005441A8">
        <w:tab/>
        <w:t>(a)</w:t>
      </w:r>
      <w:r w:rsidRPr="005441A8">
        <w:tab/>
        <w:t>the authority was granted because of a document or representation that was—</w:t>
      </w:r>
    </w:p>
    <w:p w14:paraId="2AE0C470" w14:textId="77777777" w:rsidR="00DB6E47" w:rsidRPr="00516F02" w:rsidRDefault="00DB6E47" w:rsidP="00DB6E47">
      <w:pPr>
        <w:pStyle w:val="Asubpara"/>
      </w:pPr>
      <w:r w:rsidRPr="00516F02">
        <w:tab/>
        <w:t>(i)</w:t>
      </w:r>
      <w:r w:rsidRPr="00516F02">
        <w:tab/>
        <w:t>false or misleading; or</w:t>
      </w:r>
    </w:p>
    <w:p w14:paraId="0BDCCD64" w14:textId="77777777" w:rsidR="00DB6E47" w:rsidRPr="00516F02" w:rsidRDefault="00DB6E47" w:rsidP="00DB6E47">
      <w:pPr>
        <w:pStyle w:val="Asubpara"/>
      </w:pPr>
      <w:r w:rsidRPr="00516F02">
        <w:tab/>
        <w:t>(ii)</w:t>
      </w:r>
      <w:r w:rsidRPr="00516F02">
        <w:tab/>
        <w:t>obtained or made in an improper way;</w:t>
      </w:r>
    </w:p>
    <w:p w14:paraId="30C01A7E" w14:textId="77777777" w:rsidR="00DB6E47" w:rsidRPr="005441A8" w:rsidRDefault="00DB6E47" w:rsidP="00DB6E47">
      <w:pPr>
        <w:pStyle w:val="Apara"/>
      </w:pPr>
      <w:r w:rsidRPr="005441A8">
        <w:lastRenderedPageBreak/>
        <w:tab/>
        <w:t>(b)</w:t>
      </w:r>
      <w:r w:rsidRPr="005441A8">
        <w:tab/>
        <w:t>the holder of the permit for the authority has contravened a condition of the authority;</w:t>
      </w:r>
    </w:p>
    <w:p w14:paraId="54C53135" w14:textId="77777777" w:rsidR="00DB6E47" w:rsidRPr="005441A8" w:rsidRDefault="00DB6E47" w:rsidP="00DB6E47">
      <w:pPr>
        <w:pStyle w:val="Apara"/>
      </w:pPr>
      <w:r w:rsidRPr="005441A8">
        <w:tab/>
        <w:t>(c)</w:t>
      </w:r>
      <w:r w:rsidRPr="005441A8">
        <w:tab/>
        <w:t>the use of heavy vehicles on a road under the authority has caused, or is likely to cause, a significant risk to public safety.</w:t>
      </w:r>
    </w:p>
    <w:p w14:paraId="2BFDAB80" w14:textId="77777777" w:rsidR="00DB6E47" w:rsidRPr="003F319E" w:rsidRDefault="00DB6E47" w:rsidP="00DB6E47">
      <w:pPr>
        <w:pStyle w:val="Amain"/>
      </w:pPr>
      <w:r w:rsidRPr="003F319E">
        <w:tab/>
        <w:t>(2)</w:t>
      </w:r>
      <w:r w:rsidRPr="003F319E">
        <w:tab/>
        <w:t xml:space="preserve">If the Regulator considers a ground exists to amend or cancel a mass or dimension authority granted by giving a person a permit (the </w:t>
      </w:r>
      <w:r w:rsidRPr="00FF4454">
        <w:rPr>
          <w:rStyle w:val="charBoldItals"/>
        </w:rPr>
        <w:t>proposed action</w:t>
      </w:r>
      <w:r w:rsidRPr="003F319E">
        <w:t>), the Regulator must give the holder of the permit a notice—</w:t>
      </w:r>
    </w:p>
    <w:p w14:paraId="3DA920E5" w14:textId="77777777" w:rsidR="00DB6E47" w:rsidRPr="005441A8" w:rsidRDefault="00DB6E47" w:rsidP="00DB6E47">
      <w:pPr>
        <w:pStyle w:val="Apara"/>
      </w:pPr>
      <w:r w:rsidRPr="005441A8">
        <w:tab/>
        <w:t>(a)</w:t>
      </w:r>
      <w:r w:rsidRPr="005441A8">
        <w:tab/>
        <w:t>stating the proposed action; and</w:t>
      </w:r>
    </w:p>
    <w:p w14:paraId="1C5FD167" w14:textId="77777777" w:rsidR="00DB6E47" w:rsidRPr="005441A8" w:rsidRDefault="00DB6E47" w:rsidP="00DB6E47">
      <w:pPr>
        <w:pStyle w:val="Apara"/>
      </w:pPr>
      <w:r w:rsidRPr="005441A8">
        <w:tab/>
        <w:t>(b)</w:t>
      </w:r>
      <w:r w:rsidRPr="005441A8">
        <w:tab/>
        <w:t>stating the ground for the proposed action; and</w:t>
      </w:r>
    </w:p>
    <w:p w14:paraId="22F11896" w14:textId="77777777" w:rsidR="00DB6E47" w:rsidRPr="005441A8" w:rsidRDefault="00DB6E47" w:rsidP="00DB6E47">
      <w:pPr>
        <w:pStyle w:val="Apara"/>
      </w:pPr>
      <w:r w:rsidRPr="005441A8">
        <w:tab/>
        <w:t>(c)</w:t>
      </w:r>
      <w:r w:rsidRPr="005441A8">
        <w:tab/>
        <w:t>outlining the facts and circumstances forming the basis for the ground; and</w:t>
      </w:r>
    </w:p>
    <w:p w14:paraId="164906DD" w14:textId="77777777" w:rsidR="00DB6E47" w:rsidRPr="005441A8" w:rsidRDefault="00DB6E47" w:rsidP="00DB6E47">
      <w:pPr>
        <w:pStyle w:val="Apara"/>
      </w:pPr>
      <w:r w:rsidRPr="005441A8">
        <w:tab/>
        <w:t>(d)</w:t>
      </w:r>
      <w:r w:rsidRPr="005441A8">
        <w:tab/>
        <w:t>if the proposed action is to amend the authority (including a condition of the authority)—stating the proposed amendment; and</w:t>
      </w:r>
    </w:p>
    <w:p w14:paraId="0A9913FF" w14:textId="77777777" w:rsidR="00DB6E47" w:rsidRPr="005441A8" w:rsidRDefault="00DB6E47" w:rsidP="00A90E48">
      <w:pPr>
        <w:pStyle w:val="Apara"/>
        <w:keepLines/>
      </w:pPr>
      <w:r w:rsidRPr="005441A8">
        <w:tab/>
        <w:t>(e)</w:t>
      </w:r>
      <w:r w:rsidRPr="005441A8">
        <w:tab/>
        <w:t>inviting the holder to make, within a stated time of at least 14 days after the notice is given to the holder, written representations about why the proposed action should not be taken.</w:t>
      </w:r>
    </w:p>
    <w:p w14:paraId="2DA0CA98" w14:textId="77777777" w:rsidR="00DB6E47" w:rsidRPr="006C3305" w:rsidRDefault="00DB6E47" w:rsidP="00DB6E47">
      <w:pPr>
        <w:pStyle w:val="Amain"/>
      </w:pPr>
      <w:r>
        <w:tab/>
        <w:t>(</w:t>
      </w:r>
      <w:r w:rsidRPr="006C3305">
        <w:t>3)</w:t>
      </w:r>
      <w:r w:rsidRPr="006C3305">
        <w:tab/>
        <w:t>If, after considering all written repres</w:t>
      </w:r>
      <w:r w:rsidR="008C2E76">
        <w:t>entations made under subsection </w:t>
      </w:r>
      <w:r w:rsidRPr="006C3305">
        <w:t>(2)(e), the Regulator still considers a ground exists to take the proposed action, the Regulator may—</w:t>
      </w:r>
    </w:p>
    <w:p w14:paraId="0C890276" w14:textId="77777777" w:rsidR="00DB6E47" w:rsidRPr="005441A8" w:rsidRDefault="00DB6E47" w:rsidP="00DB6E47">
      <w:pPr>
        <w:pStyle w:val="Apara"/>
      </w:pPr>
      <w:r w:rsidRPr="005441A8">
        <w:tab/>
        <w:t>(a)</w:t>
      </w:r>
      <w:r w:rsidRPr="005441A8">
        <w:tab/>
        <w:t>if the proposed action was to amend the mass or dimension authority—amend the authority in a way that is not substantially different from the proposed action, including, for example, by—</w:t>
      </w:r>
    </w:p>
    <w:p w14:paraId="7F302927" w14:textId="77777777" w:rsidR="00DB6E47" w:rsidRPr="00516F02" w:rsidRDefault="00DB6E47" w:rsidP="00DB6E47">
      <w:pPr>
        <w:pStyle w:val="Asubpara"/>
      </w:pPr>
      <w:r w:rsidRPr="00516F02">
        <w:tab/>
        <w:t>(i)</w:t>
      </w:r>
      <w:r w:rsidRPr="00516F02">
        <w:tab/>
        <w:t>amending the areas or routes to which the authority applies; or</w:t>
      </w:r>
    </w:p>
    <w:p w14:paraId="75A7B786" w14:textId="77777777" w:rsidR="00DB6E47" w:rsidRPr="00516F02" w:rsidRDefault="00DB6E47" w:rsidP="00DB6E47">
      <w:pPr>
        <w:pStyle w:val="Asubpara"/>
      </w:pPr>
      <w:r w:rsidRPr="00516F02">
        <w:tab/>
        <w:t>(ii)</w:t>
      </w:r>
      <w:r w:rsidRPr="00516F02">
        <w:tab/>
        <w:t>amending the days or hours to which the authority applies; or</w:t>
      </w:r>
    </w:p>
    <w:p w14:paraId="3E388159" w14:textId="77777777" w:rsidR="00DB6E47" w:rsidRPr="00516F02" w:rsidRDefault="00DB6E47" w:rsidP="00DB6E47">
      <w:pPr>
        <w:pStyle w:val="Asubpara"/>
      </w:pPr>
      <w:r w:rsidRPr="00516F02">
        <w:lastRenderedPageBreak/>
        <w:tab/>
        <w:t>(iii)</w:t>
      </w:r>
      <w:r w:rsidRPr="00516F02">
        <w:tab/>
        <w:t>imposing additional vehicle conditions on the authority; or</w:t>
      </w:r>
    </w:p>
    <w:p w14:paraId="18C6FBF1" w14:textId="77777777" w:rsidR="00DB6E47" w:rsidRPr="005441A8" w:rsidRDefault="00DB6E47" w:rsidP="00DB6E47">
      <w:pPr>
        <w:pStyle w:val="Apara"/>
      </w:pPr>
      <w:r w:rsidRPr="005441A8">
        <w:tab/>
        <w:t>(b)</w:t>
      </w:r>
      <w:r w:rsidRPr="005441A8">
        <w:tab/>
        <w:t>if the proposed action was to cancel the authority—</w:t>
      </w:r>
    </w:p>
    <w:p w14:paraId="24BC0067" w14:textId="77777777" w:rsidR="00DB6E47" w:rsidRPr="00516F02" w:rsidRDefault="00DB6E47" w:rsidP="00DB6E47">
      <w:pPr>
        <w:pStyle w:val="Asubpara"/>
      </w:pPr>
      <w:r w:rsidRPr="00516F02">
        <w:tab/>
        <w:t>(i)</w:t>
      </w:r>
      <w:r w:rsidRPr="00516F02">
        <w:tab/>
        <w:t>amend the authority, including, for example, as mentione</w:t>
      </w:r>
      <w:r w:rsidR="00F233E0">
        <w:t xml:space="preserve">d in paragraph (a)(i), </w:t>
      </w:r>
      <w:r w:rsidRPr="00516F02">
        <w:t>(ii)</w:t>
      </w:r>
      <w:r w:rsidR="00F233E0">
        <w:t xml:space="preserve"> </w:t>
      </w:r>
      <w:r w:rsidRPr="00516F02">
        <w:t>or (iii); or</w:t>
      </w:r>
    </w:p>
    <w:p w14:paraId="5B683D91" w14:textId="77777777" w:rsidR="00DB6E47" w:rsidRPr="00516F02" w:rsidRDefault="00DB6E47" w:rsidP="00DB6E47">
      <w:pPr>
        <w:pStyle w:val="Asubpara"/>
      </w:pPr>
      <w:r w:rsidRPr="00516F02">
        <w:tab/>
        <w:t>(ii)</w:t>
      </w:r>
      <w:r w:rsidRPr="00516F02">
        <w:tab/>
        <w:t>cancel the authority.</w:t>
      </w:r>
    </w:p>
    <w:p w14:paraId="490ECED3" w14:textId="77777777" w:rsidR="00DB6E47" w:rsidRPr="003F319E" w:rsidRDefault="00DB6E47" w:rsidP="00DB6E47">
      <w:pPr>
        <w:pStyle w:val="Amain"/>
      </w:pPr>
      <w:r w:rsidRPr="003F319E">
        <w:tab/>
        <w:t>(4)</w:t>
      </w:r>
      <w:r w:rsidRPr="003F319E">
        <w:tab/>
        <w:t>The Regulator must give the holder an information notice for the decision.</w:t>
      </w:r>
    </w:p>
    <w:p w14:paraId="582144C0" w14:textId="77777777" w:rsidR="00DB6E47" w:rsidRPr="003F319E" w:rsidRDefault="00DB6E47" w:rsidP="00EC4440">
      <w:pPr>
        <w:pStyle w:val="Amain"/>
        <w:keepNext/>
      </w:pPr>
      <w:r w:rsidRPr="003F319E">
        <w:tab/>
        <w:t>(5)</w:t>
      </w:r>
      <w:r w:rsidRPr="003F319E">
        <w:tab/>
        <w:t>The amendment or cancellation takes effect—</w:t>
      </w:r>
    </w:p>
    <w:p w14:paraId="0F575A43" w14:textId="77777777" w:rsidR="00DB6E47" w:rsidRPr="005441A8" w:rsidRDefault="00DB6E47" w:rsidP="00DB6E47">
      <w:pPr>
        <w:pStyle w:val="Apara"/>
      </w:pPr>
      <w:r w:rsidRPr="005441A8">
        <w:tab/>
        <w:t>(a)</w:t>
      </w:r>
      <w:r w:rsidRPr="005441A8">
        <w:tab/>
        <w:t>when the information notice is given to the holder; or</w:t>
      </w:r>
    </w:p>
    <w:p w14:paraId="252E6E05" w14:textId="77777777" w:rsidR="00DB6E47" w:rsidRPr="005441A8" w:rsidRDefault="00DB6E47" w:rsidP="00DB6E47">
      <w:pPr>
        <w:pStyle w:val="Apara"/>
      </w:pPr>
      <w:r w:rsidRPr="005441A8">
        <w:tab/>
        <w:t>(b)</w:t>
      </w:r>
      <w:r w:rsidRPr="005441A8">
        <w:tab/>
        <w:t>if a later time is stated in the information notice, at the later time.</w:t>
      </w:r>
    </w:p>
    <w:p w14:paraId="013F79B5" w14:textId="77777777" w:rsidR="00DB6E47" w:rsidRPr="007E1F9A" w:rsidRDefault="00DB6E47" w:rsidP="00DB6E47">
      <w:pPr>
        <w:pStyle w:val="AH5Sec"/>
      </w:pPr>
      <w:bookmarkStart w:id="213" w:name="_Toc83625557"/>
      <w:r w:rsidRPr="005E03F7">
        <w:rPr>
          <w:rStyle w:val="CharSectNo"/>
        </w:rPr>
        <w:t>178</w:t>
      </w:r>
      <w:r w:rsidRPr="007E1F9A">
        <w:tab/>
        <w:t>Amendment or cancellation on request by relevant road manager</w:t>
      </w:r>
      <w:bookmarkEnd w:id="213"/>
    </w:p>
    <w:p w14:paraId="7B2CB798" w14:textId="77777777" w:rsidR="00DB6E47" w:rsidRPr="003F319E" w:rsidRDefault="00DB6E47" w:rsidP="00DB6E47">
      <w:pPr>
        <w:pStyle w:val="Amain"/>
      </w:pPr>
      <w:r w:rsidRPr="003F319E">
        <w:tab/>
        <w:t>(1)</w:t>
      </w:r>
      <w:r w:rsidRPr="003F319E">
        <w:tab/>
        <w:t>This section applies if a relevant road manager for a mass or dimension authority granted by giving a person a permit is satisfied the use of heavy vehicles on a road under the authority—</w:t>
      </w:r>
    </w:p>
    <w:p w14:paraId="7D8C2DD0" w14:textId="77777777" w:rsidR="00DB6E47" w:rsidRPr="005441A8" w:rsidRDefault="00DB6E47" w:rsidP="00DB6E47">
      <w:pPr>
        <w:pStyle w:val="Apara"/>
      </w:pPr>
      <w:r w:rsidRPr="005441A8">
        <w:tab/>
        <w:t>(a)</w:t>
      </w:r>
      <w:r w:rsidRPr="005441A8">
        <w:tab/>
        <w:t>has caused, or is likely to cause, damage to road infrastructure; or</w:t>
      </w:r>
    </w:p>
    <w:p w14:paraId="05C68A03" w14:textId="77777777" w:rsidR="00DB6E47" w:rsidRPr="005441A8" w:rsidRDefault="00DB6E47" w:rsidP="00DB6E47">
      <w:pPr>
        <w:pStyle w:val="Apara"/>
      </w:pPr>
      <w:r w:rsidRPr="005441A8">
        <w:tab/>
        <w:t>(b)</w:t>
      </w:r>
      <w:r w:rsidRPr="005441A8">
        <w:tab/>
        <w:t>has had, or is likely to have, an adverse effect on the community arising from noise, emissions or traffic congestion or from other matters stated in approved guidelines; or</w:t>
      </w:r>
    </w:p>
    <w:p w14:paraId="2CA95BE6" w14:textId="77777777" w:rsidR="00DB6E47" w:rsidRPr="005441A8" w:rsidRDefault="00DB6E47" w:rsidP="00DB6E47">
      <w:pPr>
        <w:pStyle w:val="Apara"/>
      </w:pPr>
      <w:r w:rsidRPr="005441A8">
        <w:tab/>
        <w:t>(c)</w:t>
      </w:r>
      <w:r w:rsidRPr="005441A8">
        <w:tab/>
        <w:t>has posed, or is likely to pose, a significant risk to public safety arising from heavy vehicle use that is incompatible with road infrastructure or traffic conditions.</w:t>
      </w:r>
    </w:p>
    <w:p w14:paraId="783752FA" w14:textId="77777777" w:rsidR="00DB6E47" w:rsidRPr="003F319E" w:rsidRDefault="00DB6E47" w:rsidP="006D21FE">
      <w:pPr>
        <w:pStyle w:val="Amain"/>
        <w:keepNext/>
      </w:pPr>
      <w:r w:rsidRPr="003F319E">
        <w:lastRenderedPageBreak/>
        <w:tab/>
        <w:t>(2)</w:t>
      </w:r>
      <w:r w:rsidRPr="003F319E">
        <w:tab/>
        <w:t>The road manager may ask the Regulator to—</w:t>
      </w:r>
    </w:p>
    <w:p w14:paraId="7D774B82" w14:textId="77777777" w:rsidR="00DB6E47" w:rsidRPr="005441A8" w:rsidRDefault="00DB6E47" w:rsidP="006D21FE">
      <w:pPr>
        <w:pStyle w:val="Apara"/>
        <w:keepNext/>
      </w:pPr>
      <w:r w:rsidRPr="005441A8">
        <w:tab/>
        <w:t>(a)</w:t>
      </w:r>
      <w:r w:rsidRPr="005441A8">
        <w:tab/>
        <w:t>amend the mass or dimension authority, including, for example, by—</w:t>
      </w:r>
    </w:p>
    <w:p w14:paraId="6498C2D2" w14:textId="77777777" w:rsidR="00DB6E47" w:rsidRPr="00516F02" w:rsidRDefault="00DB6E47" w:rsidP="00DB6E47">
      <w:pPr>
        <w:pStyle w:val="Asubpara"/>
      </w:pPr>
      <w:r w:rsidRPr="00516F02">
        <w:tab/>
        <w:t>(i)</w:t>
      </w:r>
      <w:r w:rsidRPr="00516F02">
        <w:tab/>
        <w:t>amending the areas or routes to which the authority applies; or</w:t>
      </w:r>
    </w:p>
    <w:p w14:paraId="5376D139" w14:textId="77777777" w:rsidR="00DB6E47" w:rsidRPr="00516F02" w:rsidRDefault="00DB6E47" w:rsidP="00DB6E47">
      <w:pPr>
        <w:pStyle w:val="Asubpara"/>
      </w:pPr>
      <w:r w:rsidRPr="00516F02">
        <w:tab/>
        <w:t>(ii)</w:t>
      </w:r>
      <w:r w:rsidRPr="00516F02">
        <w:tab/>
        <w:t>amending the days or hours to which the authority applies; or</w:t>
      </w:r>
    </w:p>
    <w:p w14:paraId="104556DF" w14:textId="77777777" w:rsidR="00DB6E47" w:rsidRPr="00516F02" w:rsidRDefault="00DB6E47" w:rsidP="00DB6E47">
      <w:pPr>
        <w:pStyle w:val="Asubpara"/>
      </w:pPr>
      <w:r w:rsidRPr="00516F02">
        <w:tab/>
        <w:t>(iii)</w:t>
      </w:r>
      <w:r w:rsidRPr="00516F02">
        <w:tab/>
        <w:t>imposing or amending road conditions or travel conditions on the authority; or</w:t>
      </w:r>
    </w:p>
    <w:p w14:paraId="4F225059" w14:textId="77777777" w:rsidR="00DB6E47" w:rsidRPr="005441A8" w:rsidRDefault="00DB6E47" w:rsidP="00DB6E47">
      <w:pPr>
        <w:pStyle w:val="Apara"/>
      </w:pPr>
      <w:r w:rsidRPr="005441A8">
        <w:tab/>
        <w:t>(b)</w:t>
      </w:r>
      <w:r w:rsidRPr="005441A8">
        <w:tab/>
        <w:t>cancel the authority.</w:t>
      </w:r>
    </w:p>
    <w:p w14:paraId="72714E08" w14:textId="77777777" w:rsidR="00DB6E47" w:rsidRPr="003F319E" w:rsidRDefault="00DB6E47" w:rsidP="00DB6E47">
      <w:pPr>
        <w:pStyle w:val="Amain"/>
      </w:pPr>
      <w:r w:rsidRPr="003F319E">
        <w:tab/>
        <w:t>(3)</w:t>
      </w:r>
      <w:r w:rsidRPr="003F319E">
        <w:tab/>
        <w:t>The Regulator must comply with the request.</w:t>
      </w:r>
    </w:p>
    <w:p w14:paraId="7FCB71BA" w14:textId="77777777" w:rsidR="00DB6E47" w:rsidRPr="003F319E" w:rsidRDefault="00DB6E47" w:rsidP="00DB6E47">
      <w:pPr>
        <w:pStyle w:val="Amain"/>
      </w:pPr>
      <w:r w:rsidRPr="003F319E">
        <w:tab/>
        <w:t>(4)</w:t>
      </w:r>
      <w:r w:rsidRPr="003F319E">
        <w:tab/>
        <w:t>However, if consent to the grant of the mass or dimension authority was given by a road authority under section 163—</w:t>
      </w:r>
    </w:p>
    <w:p w14:paraId="3AD6F145" w14:textId="77777777" w:rsidR="00DB6E47" w:rsidRPr="005441A8" w:rsidRDefault="00DB6E47" w:rsidP="00DB6E47">
      <w:pPr>
        <w:pStyle w:val="Apara"/>
      </w:pPr>
      <w:r w:rsidRPr="005441A8">
        <w:tab/>
        <w:t>(a)</w:t>
      </w:r>
      <w:r w:rsidRPr="005441A8">
        <w:tab/>
        <w:t>the Regulator may refer the request to the road authority; and</w:t>
      </w:r>
    </w:p>
    <w:p w14:paraId="62F2B1EA" w14:textId="77777777" w:rsidR="00DB6E47" w:rsidRPr="005441A8" w:rsidRDefault="00DB6E47" w:rsidP="00DB6E47">
      <w:pPr>
        <w:pStyle w:val="Apara"/>
      </w:pPr>
      <w:r w:rsidRPr="005441A8">
        <w:tab/>
        <w:t>(b)</w:t>
      </w:r>
      <w:r w:rsidRPr="005441A8">
        <w:tab/>
        <w:t>if the road authority gives the Regulator its written approval of the request, the Regulator must comply with the request; and</w:t>
      </w:r>
    </w:p>
    <w:p w14:paraId="13A053A6" w14:textId="77777777" w:rsidR="00DB6E47" w:rsidRPr="005441A8" w:rsidRDefault="00DB6E47" w:rsidP="00DB6E47">
      <w:pPr>
        <w:pStyle w:val="Apara"/>
      </w:pPr>
      <w:r w:rsidRPr="005441A8">
        <w:tab/>
        <w:t>(c)</w:t>
      </w:r>
      <w:r w:rsidRPr="005441A8">
        <w:tab/>
        <w:t>if the road authority does not give written approval of the request within 28 days after the referral is made, the Regulator—</w:t>
      </w:r>
    </w:p>
    <w:p w14:paraId="08B5C187" w14:textId="77777777" w:rsidR="00DB6E47" w:rsidRPr="00516F02" w:rsidRDefault="00DB6E47" w:rsidP="00DB6E47">
      <w:pPr>
        <w:pStyle w:val="Asubpara"/>
      </w:pPr>
      <w:r w:rsidRPr="00516F02">
        <w:tab/>
        <w:t>(i)</w:t>
      </w:r>
      <w:r w:rsidRPr="00516F02">
        <w:tab/>
        <w:t>must not comply with the request; and</w:t>
      </w:r>
    </w:p>
    <w:p w14:paraId="3FCE10B0" w14:textId="77777777" w:rsidR="00DB6E47" w:rsidRPr="00516F02" w:rsidRDefault="00DB6E47" w:rsidP="00DB6E47">
      <w:pPr>
        <w:pStyle w:val="Asubpara"/>
      </w:pPr>
      <w:r w:rsidRPr="00516F02">
        <w:tab/>
        <w:t>(ii)</w:t>
      </w:r>
      <w:r w:rsidRPr="00516F02">
        <w:tab/>
        <w:t>must notify the road manager that the road authority has not given its written approval of the request and, as a result, the Regulator must not comply with it.</w:t>
      </w:r>
    </w:p>
    <w:p w14:paraId="5F631610" w14:textId="77777777" w:rsidR="00DB6E47" w:rsidRPr="003F319E" w:rsidRDefault="00DB6E47" w:rsidP="00DB6E47">
      <w:pPr>
        <w:pStyle w:val="Amain"/>
      </w:pPr>
      <w:r w:rsidRPr="003F319E">
        <w:tab/>
        <w:t>(5)</w:t>
      </w:r>
      <w:r w:rsidRPr="003F319E">
        <w:tab/>
        <w:t>If the mass or dimension authority is amended or cancelled under this section, the Regulator must give the holder of the permit for the authority notice of the amendment or cancellation at least 28 days before the amendment or cancellation is to take effect.</w:t>
      </w:r>
    </w:p>
    <w:p w14:paraId="775253C1" w14:textId="77777777" w:rsidR="00DB6E47" w:rsidRPr="003F319E" w:rsidRDefault="00DB6E47" w:rsidP="00DB6E47">
      <w:pPr>
        <w:pStyle w:val="Amain"/>
      </w:pPr>
      <w:r w:rsidRPr="003F319E">
        <w:tab/>
        <w:t>(6)</w:t>
      </w:r>
      <w:r w:rsidRPr="003F319E">
        <w:tab/>
        <w:t>The notice given to the holder must state—</w:t>
      </w:r>
    </w:p>
    <w:p w14:paraId="2C63FB31" w14:textId="77777777" w:rsidR="00DB6E47" w:rsidRPr="005441A8" w:rsidRDefault="00DB6E47" w:rsidP="00DB6E47">
      <w:pPr>
        <w:pStyle w:val="Apara"/>
      </w:pPr>
      <w:r w:rsidRPr="005441A8">
        <w:tab/>
        <w:t>(a)</w:t>
      </w:r>
      <w:r w:rsidRPr="005441A8">
        <w:tab/>
        <w:t>the day the amendment or cancellation is to take effect; and</w:t>
      </w:r>
    </w:p>
    <w:p w14:paraId="12A845D2" w14:textId="77777777" w:rsidR="00DB6E47" w:rsidRPr="005441A8" w:rsidRDefault="00DB6E47" w:rsidP="00DB6E47">
      <w:pPr>
        <w:pStyle w:val="Apara"/>
      </w:pPr>
      <w:r w:rsidRPr="005441A8">
        <w:lastRenderedPageBreak/>
        <w:tab/>
        <w:t>(b)</w:t>
      </w:r>
      <w:r w:rsidRPr="005441A8">
        <w:tab/>
        <w:t>the reasons given by the road manager for the amendment</w:t>
      </w:r>
      <w:r w:rsidRPr="009C5D51">
        <w:t xml:space="preserve"> or </w:t>
      </w:r>
      <w:r w:rsidRPr="005441A8">
        <w:t>cancellation; and</w:t>
      </w:r>
    </w:p>
    <w:p w14:paraId="5C8B338C" w14:textId="77777777" w:rsidR="00DB6E47" w:rsidRPr="005441A8" w:rsidRDefault="00DB6E47" w:rsidP="00DB6E47">
      <w:pPr>
        <w:pStyle w:val="Apara"/>
      </w:pPr>
      <w:r w:rsidRPr="005441A8">
        <w:tab/>
        <w:t>(c)</w:t>
      </w:r>
      <w:r w:rsidRPr="005441A8">
        <w:tab/>
        <w:t>the review and appeal information for the road manager’s decision.</w:t>
      </w:r>
    </w:p>
    <w:p w14:paraId="63456CC8" w14:textId="77777777" w:rsidR="00DB6E47" w:rsidRPr="007E1F9A" w:rsidRDefault="00DB6E47" w:rsidP="00DB6E47">
      <w:pPr>
        <w:pStyle w:val="AH5Sec"/>
      </w:pPr>
      <w:bookmarkStart w:id="214" w:name="_Toc83625558"/>
      <w:r w:rsidRPr="005E03F7">
        <w:rPr>
          <w:rStyle w:val="CharSectNo"/>
        </w:rPr>
        <w:t>179</w:t>
      </w:r>
      <w:r w:rsidRPr="007E1F9A">
        <w:tab/>
        <w:t>Immediate suspension</w:t>
      </w:r>
      <w:bookmarkEnd w:id="214"/>
    </w:p>
    <w:p w14:paraId="796B1636" w14:textId="77777777" w:rsidR="00DB6E47" w:rsidRPr="003F319E" w:rsidRDefault="00DB6E47" w:rsidP="00DB6E47">
      <w:pPr>
        <w:pStyle w:val="Amain"/>
      </w:pPr>
      <w:r w:rsidRPr="003F319E">
        <w:tab/>
        <w:t>(1)</w:t>
      </w:r>
      <w:r w:rsidRPr="003F319E">
        <w:tab/>
        <w:t>This section applies if the Regulator considers it is necessary to suspend a mass or dimension authority granted by issuing a permit to someone immediately to prevent or minimise serious harm to public safety or significant damage to road infrastructure.</w:t>
      </w:r>
    </w:p>
    <w:p w14:paraId="1C40027E" w14:textId="77777777" w:rsidR="00DB6E47" w:rsidRPr="003F319E" w:rsidRDefault="00DB6E47" w:rsidP="00A90927">
      <w:pPr>
        <w:pStyle w:val="Amain"/>
        <w:keepNext/>
      </w:pPr>
      <w:r w:rsidRPr="003F319E">
        <w:tab/>
        <w:t>(2)</w:t>
      </w:r>
      <w:r w:rsidRPr="003F319E">
        <w:tab/>
        <w:t>The Regulator may, by notice (</w:t>
      </w:r>
      <w:r w:rsidRPr="00FF4454">
        <w:rPr>
          <w:rStyle w:val="charBoldItals"/>
        </w:rPr>
        <w:t>immediate suspension notice</w:t>
      </w:r>
      <w:r w:rsidRPr="003F319E">
        <w:t>) given to the person to whom the permit was given, immediately suspend the authority until the earliest of the following—</w:t>
      </w:r>
    </w:p>
    <w:p w14:paraId="5EAC4C66" w14:textId="77777777" w:rsidR="00DB6E47" w:rsidRPr="005441A8" w:rsidRDefault="00DB6E47" w:rsidP="00DB6E47">
      <w:pPr>
        <w:pStyle w:val="Apara"/>
      </w:pPr>
      <w:r w:rsidRPr="005441A8">
        <w:tab/>
        <w:t>(a)</w:t>
      </w:r>
      <w:r w:rsidRPr="005441A8">
        <w:tab/>
        <w:t>the Regulator gives the pe</w:t>
      </w:r>
      <w:r w:rsidR="00493C19">
        <w:t>rson a notice under section 177</w:t>
      </w:r>
      <w:r w:rsidRPr="005441A8">
        <w:t>(4)</w:t>
      </w:r>
      <w:r w:rsidR="00493C19">
        <w:t xml:space="preserve"> or 178</w:t>
      </w:r>
      <w:r w:rsidRPr="005441A8">
        <w:t>(5)</w:t>
      </w:r>
      <w:r w:rsidR="00493C19">
        <w:t xml:space="preserve"> </w:t>
      </w:r>
      <w:r w:rsidRPr="005441A8">
        <w:t>and the amendment or cancellation</w:t>
      </w:r>
      <w:r w:rsidR="00493C19">
        <w:t xml:space="preserve"> takes effect under section 177</w:t>
      </w:r>
      <w:r w:rsidRPr="005441A8">
        <w:t>(5)</w:t>
      </w:r>
      <w:r w:rsidR="00493C19">
        <w:t xml:space="preserve"> </w:t>
      </w:r>
      <w:r w:rsidRPr="005441A8">
        <w:t>or 178;</w:t>
      </w:r>
    </w:p>
    <w:p w14:paraId="12FBE0D7" w14:textId="77777777" w:rsidR="00DB6E47" w:rsidRPr="005441A8" w:rsidRDefault="00DB6E47" w:rsidP="00DB6E47">
      <w:pPr>
        <w:pStyle w:val="Apara"/>
      </w:pPr>
      <w:r w:rsidRPr="005441A8">
        <w:tab/>
        <w:t>(b)</w:t>
      </w:r>
      <w:r w:rsidRPr="005441A8">
        <w:tab/>
        <w:t>the Regulator cancels the suspension;</w:t>
      </w:r>
    </w:p>
    <w:p w14:paraId="63ED4E47" w14:textId="77777777" w:rsidR="00DB6E47" w:rsidRPr="005441A8" w:rsidRDefault="00DB6E47" w:rsidP="00DB6E47">
      <w:pPr>
        <w:pStyle w:val="Apara"/>
      </w:pPr>
      <w:r w:rsidRPr="005441A8">
        <w:tab/>
        <w:t>(c)</w:t>
      </w:r>
      <w:r w:rsidRPr="005441A8">
        <w:tab/>
        <w:t>the end of 56 days after the day the immediate suspension notice is given to the person.</w:t>
      </w:r>
    </w:p>
    <w:p w14:paraId="21E0E026" w14:textId="77777777" w:rsidR="00DB6E47" w:rsidRPr="003F319E" w:rsidRDefault="00DB6E47" w:rsidP="00DB6E47">
      <w:pPr>
        <w:pStyle w:val="Amain"/>
      </w:pPr>
      <w:r w:rsidRPr="003F319E">
        <w:tab/>
        <w:t>(3)</w:t>
      </w:r>
      <w:r w:rsidRPr="003F319E">
        <w:tab/>
        <w:t>This section applies despite sections 176, 177 and 178.</w:t>
      </w:r>
    </w:p>
    <w:p w14:paraId="4B03C9ED" w14:textId="77777777" w:rsidR="00DB6E47" w:rsidRPr="007E1F9A" w:rsidRDefault="00DB6E47" w:rsidP="00DB6E47">
      <w:pPr>
        <w:pStyle w:val="AH5Sec"/>
      </w:pPr>
      <w:bookmarkStart w:id="215" w:name="_Toc83625559"/>
      <w:r w:rsidRPr="005E03F7">
        <w:rPr>
          <w:rStyle w:val="CharSectNo"/>
        </w:rPr>
        <w:t>180</w:t>
      </w:r>
      <w:r w:rsidRPr="007E1F9A">
        <w:tab/>
        <w:t>Minor amendment of permit for a mass or dimension authority</w:t>
      </w:r>
      <w:bookmarkEnd w:id="215"/>
    </w:p>
    <w:p w14:paraId="6B6664CF" w14:textId="77777777" w:rsidR="00DB6E47" w:rsidRPr="006C3305" w:rsidRDefault="00DB6E47" w:rsidP="00DB6E47">
      <w:pPr>
        <w:pStyle w:val="Amain"/>
      </w:pPr>
      <w:r>
        <w:tab/>
        <w:t>(</w:t>
      </w:r>
      <w:r w:rsidRPr="006C3305">
        <w:t>1)</w:t>
      </w:r>
      <w:r w:rsidRPr="006C3305">
        <w:tab/>
        <w:t>The Regulator may, by notice given to the holder of a permit for a mass or dimension authority, amend the authority in a minor respect—</w:t>
      </w:r>
    </w:p>
    <w:p w14:paraId="52363FA0" w14:textId="77777777" w:rsidR="00DB6E47" w:rsidRPr="005441A8" w:rsidRDefault="00DB6E47" w:rsidP="00DB6E47">
      <w:pPr>
        <w:pStyle w:val="Apara"/>
      </w:pPr>
      <w:r w:rsidRPr="005441A8">
        <w:tab/>
        <w:t>(a)</w:t>
      </w:r>
      <w:r w:rsidRPr="005441A8">
        <w:tab/>
        <w:t>for a formal or clerical reason; or</w:t>
      </w:r>
    </w:p>
    <w:p w14:paraId="0633C2A8" w14:textId="77777777" w:rsidR="00DB6E47" w:rsidRPr="005441A8" w:rsidRDefault="00DB6E47" w:rsidP="00DB6E47">
      <w:pPr>
        <w:pStyle w:val="Apara"/>
      </w:pPr>
      <w:r w:rsidRPr="005441A8">
        <w:tab/>
        <w:t>(b)</w:t>
      </w:r>
      <w:r w:rsidRPr="005441A8">
        <w:tab/>
        <w:t>in another way that does not adversely affect the holder’s interests.</w:t>
      </w:r>
    </w:p>
    <w:p w14:paraId="0ABF5F3B" w14:textId="77777777" w:rsidR="0095696E" w:rsidRPr="0095696E" w:rsidRDefault="0095696E" w:rsidP="0095696E">
      <w:pPr>
        <w:pStyle w:val="Amain"/>
        <w:rPr>
          <w:lang w:val="en" w:eastAsia="en-AU"/>
        </w:rPr>
      </w:pPr>
      <w:r>
        <w:rPr>
          <w:lang w:val="en" w:eastAsia="en-AU"/>
        </w:rPr>
        <w:lastRenderedPageBreak/>
        <w:tab/>
      </w:r>
      <w:r w:rsidRPr="0095696E">
        <w:rPr>
          <w:lang w:val="en" w:eastAsia="en-AU"/>
        </w:rPr>
        <w:t>(2)</w:t>
      </w:r>
      <w:r>
        <w:rPr>
          <w:lang w:val="en" w:eastAsia="en-AU"/>
        </w:rPr>
        <w:tab/>
      </w:r>
      <w:r w:rsidRPr="0095696E">
        <w:rPr>
          <w:lang w:val="en" w:eastAsia="en-AU"/>
        </w:rPr>
        <w:t>The Regulator must give notice of the amendment to the relevant road manager—</w:t>
      </w:r>
    </w:p>
    <w:p w14:paraId="6AB516C0" w14:textId="77777777" w:rsidR="0095696E" w:rsidRPr="0095696E" w:rsidRDefault="0095696E" w:rsidP="0095696E">
      <w:pPr>
        <w:pStyle w:val="Apara"/>
        <w:rPr>
          <w:lang w:val="en" w:eastAsia="en-AU"/>
        </w:rPr>
      </w:pPr>
      <w:r>
        <w:rPr>
          <w:lang w:val="en" w:eastAsia="en-AU"/>
        </w:rPr>
        <w:tab/>
      </w:r>
      <w:r w:rsidRPr="0095696E">
        <w:rPr>
          <w:lang w:val="en" w:eastAsia="en-AU"/>
        </w:rPr>
        <w:t>(a)</w:t>
      </w:r>
      <w:r>
        <w:rPr>
          <w:lang w:val="en" w:eastAsia="en-AU"/>
        </w:rPr>
        <w:tab/>
      </w:r>
      <w:r w:rsidRPr="0095696E">
        <w:rPr>
          <w:lang w:val="en" w:eastAsia="en-AU"/>
        </w:rPr>
        <w:t>if the authority is amended for a formal or clerical reason—within 28 days after the authority is amended; or</w:t>
      </w:r>
    </w:p>
    <w:p w14:paraId="4036A60E" w14:textId="77777777" w:rsidR="0095696E" w:rsidRPr="0095696E" w:rsidRDefault="0095696E" w:rsidP="0095696E">
      <w:pPr>
        <w:pStyle w:val="Apara"/>
        <w:rPr>
          <w:lang w:val="en" w:eastAsia="en-AU"/>
        </w:rPr>
      </w:pPr>
      <w:r>
        <w:rPr>
          <w:lang w:val="en" w:eastAsia="en-AU"/>
        </w:rPr>
        <w:tab/>
      </w:r>
      <w:r w:rsidRPr="0095696E">
        <w:rPr>
          <w:lang w:val="en" w:eastAsia="en-AU"/>
        </w:rPr>
        <w:t>(b)</w:t>
      </w:r>
      <w:r>
        <w:rPr>
          <w:lang w:val="en" w:eastAsia="en-AU"/>
        </w:rPr>
        <w:tab/>
      </w:r>
      <w:r w:rsidRPr="0095696E">
        <w:rPr>
          <w:lang w:val="en" w:eastAsia="en-AU"/>
        </w:rPr>
        <w:t>if the authority is amended in another way—as soon as practicable, but no later than 7 days, after the authority is amended.</w:t>
      </w:r>
    </w:p>
    <w:p w14:paraId="5A827AF7" w14:textId="77777777" w:rsidR="006D21FE" w:rsidRDefault="006D21FE">
      <w:pPr>
        <w:pStyle w:val="02Text"/>
        <w:sectPr w:rsidR="006D21FE" w:rsidSect="006D21FE">
          <w:headerReference w:type="even" r:id="rId65"/>
          <w:headerReference w:type="default" r:id="rId66"/>
          <w:footerReference w:type="even" r:id="rId67"/>
          <w:footerReference w:type="default" r:id="rId68"/>
          <w:footerReference w:type="first" r:id="rId69"/>
          <w:pgSz w:w="11907" w:h="16839" w:code="9"/>
          <w:pgMar w:top="3880" w:right="1900" w:bottom="3100" w:left="2300" w:header="1920" w:footer="1760" w:gutter="0"/>
          <w:cols w:space="720"/>
          <w:docGrid w:linePitch="254"/>
        </w:sectPr>
      </w:pPr>
      <w:bookmarkStart w:id="216" w:name="_Toc83625560"/>
    </w:p>
    <w:p w14:paraId="0B8D4CEB" w14:textId="77777777" w:rsidR="00DB6E47" w:rsidRPr="005E03F7" w:rsidRDefault="00DB6E47" w:rsidP="00DB6E47">
      <w:pPr>
        <w:pStyle w:val="AH3Div"/>
      </w:pPr>
      <w:r w:rsidRPr="005E03F7">
        <w:rPr>
          <w:rStyle w:val="CharDivNo"/>
        </w:rPr>
        <w:lastRenderedPageBreak/>
        <w:t>Division 5</w:t>
      </w:r>
      <w:r w:rsidRPr="00A95F9A">
        <w:rPr>
          <w:rFonts w:ascii="Helvetica" w:hAnsi="Helvetica" w:cs="Helvetica"/>
          <w:iCs/>
          <w:szCs w:val="28"/>
        </w:rPr>
        <w:tab/>
      </w:r>
      <w:r w:rsidRPr="005E03F7">
        <w:rPr>
          <w:rStyle w:val="CharDivText"/>
          <w:rFonts w:ascii="Helvetica" w:hAnsi="Helvetica" w:cs="Helvetica"/>
          <w:iCs/>
          <w:szCs w:val="28"/>
        </w:rPr>
        <w:t>Provisions about permits for mass or dimension authorities</w:t>
      </w:r>
      <w:bookmarkEnd w:id="216"/>
    </w:p>
    <w:p w14:paraId="46CC8114" w14:textId="77777777" w:rsidR="00DB6E47" w:rsidRPr="007E1F9A" w:rsidRDefault="00DB6E47" w:rsidP="00DB6E47">
      <w:pPr>
        <w:pStyle w:val="AH5Sec"/>
      </w:pPr>
      <w:bookmarkStart w:id="217" w:name="_Toc83625561"/>
      <w:r w:rsidRPr="005E03F7">
        <w:rPr>
          <w:rStyle w:val="CharSectNo"/>
        </w:rPr>
        <w:t>181</w:t>
      </w:r>
      <w:r w:rsidRPr="007E1F9A">
        <w:tab/>
        <w:t>Return of permit</w:t>
      </w:r>
      <w:bookmarkEnd w:id="217"/>
    </w:p>
    <w:p w14:paraId="2E80AE77" w14:textId="77777777" w:rsidR="00DB6E47" w:rsidRPr="003F319E" w:rsidRDefault="00DB6E47" w:rsidP="00DB6E47">
      <w:pPr>
        <w:pStyle w:val="Amain"/>
      </w:pPr>
      <w:r w:rsidRPr="003F319E">
        <w:tab/>
        <w:t>(1)</w:t>
      </w:r>
      <w:r w:rsidRPr="003F319E">
        <w:tab/>
        <w:t>This section applies to a mass or dimension authority granted by giving a person a permit.</w:t>
      </w:r>
    </w:p>
    <w:p w14:paraId="19B1C8AD" w14:textId="77777777" w:rsidR="00DB6E47" w:rsidRPr="003F319E" w:rsidRDefault="00DB6E47" w:rsidP="00DB6E47">
      <w:pPr>
        <w:pStyle w:val="Amain"/>
      </w:pPr>
      <w:r w:rsidRPr="003F319E">
        <w:tab/>
        <w:t>(2)</w:t>
      </w:r>
      <w:r w:rsidRPr="003F319E">
        <w:tab/>
        <w:t>If the mass or dimension authority is amended or cancelled, the Regulator may, by notice, require the person to return the person’s permit for the authority to the Regulator.</w:t>
      </w:r>
    </w:p>
    <w:p w14:paraId="546C4639" w14:textId="77777777" w:rsidR="00DB6E47" w:rsidRPr="003F319E" w:rsidRDefault="00DB6E47" w:rsidP="00DB6E47">
      <w:pPr>
        <w:pStyle w:val="Amain"/>
      </w:pPr>
      <w:r w:rsidRPr="003F319E">
        <w:tab/>
        <w:t>(3)</w:t>
      </w:r>
      <w:r w:rsidRPr="003F319E">
        <w:tab/>
        <w:t>The person must comply with the notice within 7 days after the notice is given to the person or, if a longer period is stated in the notice, within the longer period.</w:t>
      </w:r>
    </w:p>
    <w:p w14:paraId="58CEED72" w14:textId="77777777" w:rsidR="00DB6E47" w:rsidRPr="006C3305" w:rsidRDefault="00DB6E47" w:rsidP="00DB6E47">
      <w:pPr>
        <w:pStyle w:val="Penalty"/>
      </w:pPr>
      <w:r w:rsidRPr="006C3305">
        <w:t>Maximum penalty—$4000.</w:t>
      </w:r>
    </w:p>
    <w:p w14:paraId="1578081B" w14:textId="77777777" w:rsidR="00DB6E47" w:rsidRPr="003F319E" w:rsidRDefault="00DB6E47" w:rsidP="00DB6E47">
      <w:pPr>
        <w:pStyle w:val="Amain"/>
      </w:pPr>
      <w:r w:rsidRPr="003F319E">
        <w:tab/>
        <w:t>(4)</w:t>
      </w:r>
      <w:r w:rsidRPr="003F319E">
        <w:tab/>
        <w:t>If the mass or dimension authority has been amended, the Regulator must give the person a replacement permit for the authority as amended.</w:t>
      </w:r>
    </w:p>
    <w:p w14:paraId="38DBB78B" w14:textId="77777777" w:rsidR="00DB6E47" w:rsidRPr="007E1F9A" w:rsidRDefault="00DB6E47" w:rsidP="00DB6E47">
      <w:pPr>
        <w:pStyle w:val="AH5Sec"/>
      </w:pPr>
      <w:bookmarkStart w:id="218" w:name="_Toc83625562"/>
      <w:r w:rsidRPr="005E03F7">
        <w:rPr>
          <w:rStyle w:val="CharSectNo"/>
        </w:rPr>
        <w:t>182</w:t>
      </w:r>
      <w:r w:rsidRPr="007E1F9A">
        <w:tab/>
        <w:t>Replacement of defaced etc. permit</w:t>
      </w:r>
      <w:bookmarkEnd w:id="218"/>
    </w:p>
    <w:p w14:paraId="601D3120" w14:textId="77777777" w:rsidR="00DB6E47" w:rsidRPr="006C3305" w:rsidRDefault="00DB6E47" w:rsidP="00DB6E47">
      <w:pPr>
        <w:pStyle w:val="Amain"/>
      </w:pPr>
      <w:r>
        <w:tab/>
        <w:t>(</w:t>
      </w:r>
      <w:r w:rsidRPr="006C3305">
        <w:t>1)</w:t>
      </w:r>
      <w:r w:rsidRPr="006C3305">
        <w:tab/>
        <w:t>If a person’s permit for a mass or dimension authority is defaced, destroyed, lost or stolen, the person must, as soon as reasonably practicable after becoming aware of the matter, apply to the Regulator for a replacement permit.</w:t>
      </w:r>
    </w:p>
    <w:p w14:paraId="5AF28C76" w14:textId="77777777" w:rsidR="00DB6E47" w:rsidRPr="006C3305" w:rsidRDefault="00DB6E47" w:rsidP="00DB6E47">
      <w:pPr>
        <w:pStyle w:val="Penalty"/>
      </w:pPr>
      <w:r w:rsidRPr="006C3305">
        <w:t>Maximum penalty—$4000.</w:t>
      </w:r>
    </w:p>
    <w:p w14:paraId="26038407" w14:textId="77777777" w:rsidR="00DB6E47" w:rsidRPr="003F319E" w:rsidRDefault="00DB6E47" w:rsidP="00DB6E47">
      <w:pPr>
        <w:pStyle w:val="Amain"/>
      </w:pPr>
      <w:r w:rsidRPr="003F319E">
        <w:tab/>
        <w:t>(2)</w:t>
      </w:r>
      <w:r w:rsidRPr="003F319E">
        <w:tab/>
        <w:t>If the Regulator is satisfied the permit has been defaced, destroyed, lost or stolen, the Regulator must give the person a replacement permit as soon as practicable.</w:t>
      </w:r>
    </w:p>
    <w:p w14:paraId="6FECCF5D" w14:textId="77777777" w:rsidR="00DB6E47" w:rsidRPr="003F319E" w:rsidRDefault="00DB6E47" w:rsidP="00DB6E47">
      <w:pPr>
        <w:pStyle w:val="Amain"/>
      </w:pPr>
      <w:r w:rsidRPr="003F319E">
        <w:tab/>
        <w:t>(3)</w:t>
      </w:r>
      <w:r w:rsidRPr="003F319E">
        <w:tab/>
        <w:t>If the Regulator decides not to give a replacement permit to the person, the Regulator must give the person an information notice for the decision.</w:t>
      </w:r>
    </w:p>
    <w:p w14:paraId="6ADC2648" w14:textId="77777777" w:rsidR="00DB6E47" w:rsidRPr="003D647F" w:rsidRDefault="00DB6E47" w:rsidP="00DB6E47">
      <w:pPr>
        <w:pStyle w:val="PageBreak"/>
      </w:pPr>
      <w:r w:rsidRPr="003D647F">
        <w:br w:type="page"/>
      </w:r>
    </w:p>
    <w:p w14:paraId="1AB58FF8" w14:textId="77777777" w:rsidR="00DB6E47" w:rsidRPr="005E03F7" w:rsidRDefault="00DB6E47" w:rsidP="00DB6E47">
      <w:pPr>
        <w:pStyle w:val="AH2Part"/>
      </w:pPr>
      <w:bookmarkStart w:id="219" w:name="_Toc83625563"/>
      <w:r w:rsidRPr="005E03F7">
        <w:rPr>
          <w:rStyle w:val="CharPartNo"/>
        </w:rPr>
        <w:lastRenderedPageBreak/>
        <w:t>Part 4.9</w:t>
      </w:r>
      <w:r w:rsidRPr="00A95F9A">
        <w:rPr>
          <w:rFonts w:ascii="Helvetica" w:hAnsi="Helvetica" w:cs="Helvetica"/>
          <w:iCs/>
          <w:szCs w:val="32"/>
        </w:rPr>
        <w:tab/>
      </w:r>
      <w:r w:rsidRPr="005E03F7">
        <w:rPr>
          <w:rStyle w:val="CharPartText"/>
          <w:rFonts w:ascii="Helvetica" w:hAnsi="Helvetica" w:cs="Helvetica"/>
          <w:iCs/>
          <w:szCs w:val="32"/>
        </w:rPr>
        <w:t>Other offences</w:t>
      </w:r>
      <w:bookmarkEnd w:id="219"/>
    </w:p>
    <w:p w14:paraId="4260E1A7" w14:textId="77777777" w:rsidR="00DB6E47" w:rsidRPr="005E03F7" w:rsidRDefault="00DB6E47" w:rsidP="00DB6E47">
      <w:pPr>
        <w:pStyle w:val="AH3Div"/>
      </w:pPr>
      <w:bookmarkStart w:id="220" w:name="_Toc83625564"/>
      <w:r w:rsidRPr="005E03F7">
        <w:rPr>
          <w:rStyle w:val="CharDivNo"/>
        </w:rPr>
        <w:t>Division 1</w:t>
      </w:r>
      <w:r w:rsidRPr="00A95F9A">
        <w:rPr>
          <w:rFonts w:ascii="Helvetica" w:hAnsi="Helvetica" w:cs="Helvetica"/>
          <w:iCs/>
          <w:szCs w:val="28"/>
        </w:rPr>
        <w:tab/>
      </w:r>
      <w:r w:rsidRPr="005E03F7">
        <w:rPr>
          <w:rStyle w:val="CharDivText"/>
          <w:rFonts w:ascii="Helvetica" w:hAnsi="Helvetica" w:cs="Helvetica"/>
          <w:iCs/>
          <w:szCs w:val="28"/>
        </w:rPr>
        <w:t>Towing restriction</w:t>
      </w:r>
      <w:bookmarkEnd w:id="220"/>
    </w:p>
    <w:p w14:paraId="19BDA53A" w14:textId="77777777" w:rsidR="00DB6E47" w:rsidRPr="007E1F9A" w:rsidRDefault="00DB6E47" w:rsidP="00DB6E47">
      <w:pPr>
        <w:pStyle w:val="AH5Sec"/>
      </w:pPr>
      <w:bookmarkStart w:id="221" w:name="_Toc83625565"/>
      <w:r w:rsidRPr="005E03F7">
        <w:rPr>
          <w:rStyle w:val="CharSectNo"/>
        </w:rPr>
        <w:t>184</w:t>
      </w:r>
      <w:r w:rsidRPr="007E1F9A">
        <w:tab/>
        <w:t>Towing restriction</w:t>
      </w:r>
      <w:bookmarkEnd w:id="221"/>
    </w:p>
    <w:p w14:paraId="1B786895" w14:textId="77777777" w:rsidR="00DB6E47" w:rsidRPr="003F319E" w:rsidRDefault="00DB6E47" w:rsidP="00DB6E47">
      <w:pPr>
        <w:pStyle w:val="Amain"/>
      </w:pPr>
      <w:r w:rsidRPr="003F319E">
        <w:tab/>
        <w:t>(1)</w:t>
      </w:r>
      <w:r w:rsidRPr="003F319E">
        <w:tab/>
        <w:t>A person must not drive a heavy motor vehicle towing more than 1</w:t>
      </w:r>
      <w:r w:rsidR="009C5D51">
        <w:t> </w:t>
      </w:r>
      <w:r w:rsidRPr="003F319E">
        <w:t>other vehicle.</w:t>
      </w:r>
    </w:p>
    <w:p w14:paraId="7550CCAE" w14:textId="77777777" w:rsidR="00DB6E47" w:rsidRPr="006C3305" w:rsidRDefault="00DB6E47" w:rsidP="00DB6E47">
      <w:pPr>
        <w:pStyle w:val="Penalty"/>
      </w:pPr>
      <w:r w:rsidRPr="006C3305">
        <w:t>Maximum penalty—$3000.</w:t>
      </w:r>
    </w:p>
    <w:p w14:paraId="37C92406" w14:textId="77777777" w:rsidR="00DB6E47" w:rsidRPr="003F319E" w:rsidRDefault="00493C19" w:rsidP="00DB6E47">
      <w:pPr>
        <w:pStyle w:val="Amain"/>
      </w:pPr>
      <w:r>
        <w:tab/>
        <w:t>(2)</w:t>
      </w:r>
      <w:r>
        <w:tab/>
        <w:t xml:space="preserve">Subsection </w:t>
      </w:r>
      <w:r w:rsidR="00DB6E47" w:rsidRPr="003F319E">
        <w:t>(1)</w:t>
      </w:r>
      <w:r>
        <w:t xml:space="preserve"> </w:t>
      </w:r>
      <w:r w:rsidR="00DB6E47" w:rsidRPr="003F319E">
        <w:t>does not apply to a person driving a heavy vehicle—</w:t>
      </w:r>
    </w:p>
    <w:p w14:paraId="3A77DAEA" w14:textId="77777777" w:rsidR="00DB6E47" w:rsidRPr="005441A8" w:rsidRDefault="00DB6E47" w:rsidP="00DB6E47">
      <w:pPr>
        <w:pStyle w:val="Apara"/>
      </w:pPr>
      <w:r w:rsidRPr="005441A8">
        <w:tab/>
        <w:t>(a)</w:t>
      </w:r>
      <w:r w:rsidRPr="005441A8">
        <w:tab/>
        <w:t>under a mass or dimension authority; or</w:t>
      </w:r>
    </w:p>
    <w:p w14:paraId="23160998" w14:textId="77777777" w:rsidR="00DB6E47" w:rsidRPr="005441A8" w:rsidRDefault="00DB6E47" w:rsidP="00DB6E47">
      <w:pPr>
        <w:pStyle w:val="Apara"/>
      </w:pPr>
      <w:r w:rsidRPr="005441A8">
        <w:tab/>
        <w:t>(b)</w:t>
      </w:r>
      <w:r w:rsidRPr="005441A8">
        <w:tab/>
        <w:t>in circumstances prescribed by the national regulations.</w:t>
      </w:r>
    </w:p>
    <w:p w14:paraId="1F7AC3BE" w14:textId="77128465" w:rsidR="00DB6E47" w:rsidRPr="005E03F7" w:rsidRDefault="00DB6E47" w:rsidP="00DB6E47">
      <w:pPr>
        <w:pStyle w:val="AH3Div"/>
      </w:pPr>
      <w:bookmarkStart w:id="222" w:name="_Toc83625566"/>
      <w:r w:rsidRPr="005E03F7">
        <w:rPr>
          <w:rStyle w:val="CharDivNo"/>
        </w:rPr>
        <w:t>Division 2</w:t>
      </w:r>
      <w:r w:rsidRPr="00A95F9A">
        <w:rPr>
          <w:rFonts w:ascii="Helvetica" w:hAnsi="Helvetica" w:cs="Helvetica"/>
          <w:iCs/>
          <w:szCs w:val="28"/>
        </w:rPr>
        <w:tab/>
      </w:r>
      <w:r w:rsidRPr="005E03F7">
        <w:rPr>
          <w:rStyle w:val="CharDivText"/>
          <w:rFonts w:ascii="Helvetica" w:hAnsi="Helvetica" w:cs="Helvetica"/>
          <w:iCs/>
          <w:szCs w:val="28"/>
        </w:rPr>
        <w:t>Coupling requirements</w:t>
      </w:r>
      <w:bookmarkEnd w:id="222"/>
    </w:p>
    <w:p w14:paraId="43B41A5A" w14:textId="77777777" w:rsidR="00DB6E47" w:rsidRPr="007E1F9A" w:rsidRDefault="00DB6E47" w:rsidP="00DB6E47">
      <w:pPr>
        <w:pStyle w:val="AH5Sec"/>
      </w:pPr>
      <w:bookmarkStart w:id="223" w:name="_Toc83625567"/>
      <w:r w:rsidRPr="005E03F7">
        <w:rPr>
          <w:rStyle w:val="CharSectNo"/>
        </w:rPr>
        <w:t>185</w:t>
      </w:r>
      <w:r w:rsidRPr="007E1F9A">
        <w:tab/>
        <w:t>Requirements about coupling trailers</w:t>
      </w:r>
      <w:bookmarkEnd w:id="223"/>
    </w:p>
    <w:p w14:paraId="6F63CFBA" w14:textId="77777777" w:rsidR="00DB6E47" w:rsidRPr="003F319E" w:rsidRDefault="00DB6E47" w:rsidP="00DB6E47">
      <w:pPr>
        <w:pStyle w:val="Amain"/>
      </w:pPr>
      <w:r w:rsidRPr="003F319E">
        <w:tab/>
        <w:t>(1)</w:t>
      </w:r>
      <w:r w:rsidRPr="003F319E">
        <w:tab/>
        <w:t>A person commits an offence if—</w:t>
      </w:r>
    </w:p>
    <w:p w14:paraId="6324F506" w14:textId="77777777" w:rsidR="00DB6E47" w:rsidRPr="005441A8" w:rsidRDefault="00DB6E47" w:rsidP="00DB6E47">
      <w:pPr>
        <w:pStyle w:val="Apara"/>
      </w:pPr>
      <w:r w:rsidRPr="005441A8">
        <w:tab/>
        <w:t>(a)</w:t>
      </w:r>
      <w:r w:rsidRPr="005441A8">
        <w:tab/>
        <w:t>the person uses, or permits to be used, on a road a heavy combination; and</w:t>
      </w:r>
    </w:p>
    <w:p w14:paraId="1BD8DB19" w14:textId="77777777" w:rsidR="00DB6E47" w:rsidRPr="005441A8" w:rsidRDefault="00DB6E47" w:rsidP="00DB6E47">
      <w:pPr>
        <w:pStyle w:val="Apara"/>
      </w:pPr>
      <w:r w:rsidRPr="005441A8">
        <w:tab/>
        <w:t>(b)</w:t>
      </w:r>
      <w:r w:rsidRPr="005441A8">
        <w:tab/>
        <w:t>a trailer in the combination is not securely coupled to the vehicle in front of it.</w:t>
      </w:r>
    </w:p>
    <w:p w14:paraId="695A017B" w14:textId="77777777" w:rsidR="00DB6E47" w:rsidRPr="006C3305" w:rsidRDefault="00DB6E47" w:rsidP="00DB6E47">
      <w:pPr>
        <w:pStyle w:val="Penalty"/>
      </w:pPr>
      <w:r w:rsidRPr="006C3305">
        <w:t>Maximum penalty—$6000.</w:t>
      </w:r>
    </w:p>
    <w:p w14:paraId="3CF7BCC0" w14:textId="77777777" w:rsidR="00DB6E47" w:rsidRPr="003F319E" w:rsidRDefault="00DB6E47" w:rsidP="00DB6E47">
      <w:pPr>
        <w:pStyle w:val="Amain"/>
      </w:pPr>
      <w:r w:rsidRPr="003F319E">
        <w:tab/>
        <w:t>(2)</w:t>
      </w:r>
      <w:r w:rsidRPr="003F319E">
        <w:tab/>
        <w:t>A person commits an offence if—</w:t>
      </w:r>
    </w:p>
    <w:p w14:paraId="0710EF44" w14:textId="77777777" w:rsidR="00DB6E47" w:rsidRPr="005441A8" w:rsidRDefault="00DB6E47" w:rsidP="00DB6E47">
      <w:pPr>
        <w:pStyle w:val="Apara"/>
      </w:pPr>
      <w:r w:rsidRPr="005441A8">
        <w:tab/>
        <w:t>(a)</w:t>
      </w:r>
      <w:r w:rsidRPr="005441A8">
        <w:tab/>
        <w:t>the person uses, or permits to be used, on a road a heavy combination; and</w:t>
      </w:r>
    </w:p>
    <w:p w14:paraId="2FB7AB31" w14:textId="77777777" w:rsidR="00DB6E47" w:rsidRPr="005441A8" w:rsidRDefault="00DB6E47" w:rsidP="00DB6E47">
      <w:pPr>
        <w:pStyle w:val="Apara"/>
      </w:pPr>
      <w:r w:rsidRPr="005441A8">
        <w:tab/>
        <w:t>(b)</w:t>
      </w:r>
      <w:r w:rsidRPr="005441A8">
        <w:tab/>
        <w:t>the components of a coupling used between vehicles in the heavy combination are not compatible with, or properly connected to, each other.</w:t>
      </w:r>
    </w:p>
    <w:p w14:paraId="342F4613" w14:textId="77777777" w:rsidR="00DB6E47" w:rsidRPr="006C3305" w:rsidRDefault="00DB6E47" w:rsidP="00DB6E47">
      <w:pPr>
        <w:pStyle w:val="Penalty"/>
      </w:pPr>
      <w:r w:rsidRPr="006C3305">
        <w:t>Maximum penalty—$6000.</w:t>
      </w:r>
    </w:p>
    <w:p w14:paraId="14A0277D" w14:textId="77777777" w:rsidR="00DB6E47" w:rsidRPr="003F319E" w:rsidRDefault="00DB6E47" w:rsidP="00DB6E47">
      <w:pPr>
        <w:pStyle w:val="Amain"/>
      </w:pPr>
      <w:r w:rsidRPr="003F319E">
        <w:lastRenderedPageBreak/>
        <w:tab/>
        <w:t>(3)</w:t>
      </w:r>
      <w:r w:rsidRPr="003F319E">
        <w:tab/>
        <w:t>In this section—</w:t>
      </w:r>
    </w:p>
    <w:p w14:paraId="5F179F0E" w14:textId="77777777" w:rsidR="00DB6E47" w:rsidRPr="00041046" w:rsidRDefault="00DB6E47" w:rsidP="00DB6E47">
      <w:pPr>
        <w:pStyle w:val="aDef"/>
        <w:rPr>
          <w:bCs/>
        </w:rPr>
      </w:pPr>
      <w:r w:rsidRPr="00041046">
        <w:rPr>
          <w:rStyle w:val="charBoldItals"/>
        </w:rPr>
        <w:t xml:space="preserve">coupling </w:t>
      </w:r>
      <w:r w:rsidRPr="00041046">
        <w:t>means a device used to couple a vehicle in a combination to the vehicle in front of it.</w:t>
      </w:r>
    </w:p>
    <w:p w14:paraId="283DC237" w14:textId="77777777" w:rsidR="00DB6E47" w:rsidRPr="005E03F7" w:rsidRDefault="00DB6E47" w:rsidP="00DB6E47">
      <w:pPr>
        <w:pStyle w:val="AH3Div"/>
      </w:pPr>
      <w:bookmarkStart w:id="224" w:name="_Toc83625568"/>
      <w:r w:rsidRPr="005E03F7">
        <w:rPr>
          <w:rStyle w:val="CharDivNo"/>
        </w:rPr>
        <w:t>Division 3</w:t>
      </w:r>
      <w:r w:rsidRPr="00A95F9A">
        <w:rPr>
          <w:rFonts w:ascii="Helvetica" w:hAnsi="Helvetica" w:cs="Helvetica"/>
          <w:iCs/>
          <w:szCs w:val="28"/>
        </w:rPr>
        <w:tab/>
      </w:r>
      <w:r w:rsidRPr="005E03F7">
        <w:rPr>
          <w:rStyle w:val="CharDivText"/>
          <w:rFonts w:ascii="Helvetica" w:hAnsi="Helvetica" w:cs="Helvetica"/>
          <w:iCs/>
          <w:szCs w:val="28"/>
        </w:rPr>
        <w:t>Transport documentation</w:t>
      </w:r>
      <w:bookmarkEnd w:id="224"/>
    </w:p>
    <w:p w14:paraId="6450818F" w14:textId="77777777" w:rsidR="00DB6E47" w:rsidRPr="007E1F9A" w:rsidRDefault="00DB6E47" w:rsidP="00DB6E47">
      <w:pPr>
        <w:pStyle w:val="AH5Sec"/>
      </w:pPr>
      <w:bookmarkStart w:id="225" w:name="_Toc83625569"/>
      <w:r w:rsidRPr="005E03F7">
        <w:rPr>
          <w:rStyle w:val="CharSectNo"/>
        </w:rPr>
        <w:t>186</w:t>
      </w:r>
      <w:r w:rsidRPr="007E1F9A">
        <w:tab/>
        <w:t>False or misleading transport documentation for goods</w:t>
      </w:r>
      <w:bookmarkEnd w:id="225"/>
    </w:p>
    <w:p w14:paraId="7F873305" w14:textId="77777777" w:rsidR="00DB6E47" w:rsidRPr="003F319E" w:rsidRDefault="00DB6E47" w:rsidP="00DB6E47">
      <w:pPr>
        <w:pStyle w:val="Amain"/>
      </w:pPr>
      <w:r w:rsidRPr="003F319E">
        <w:tab/>
        <w:t>(1)</w:t>
      </w:r>
      <w:r w:rsidRPr="003F319E">
        <w:tab/>
        <w:t>This section applies if goods are consigned for road transport using a heavy vehicle, or for transport partly by road using a heavy vehicle and partly by some other means.</w:t>
      </w:r>
    </w:p>
    <w:p w14:paraId="00BD527D" w14:textId="77777777" w:rsidR="003F73C2" w:rsidRPr="003F73C2" w:rsidRDefault="003F73C2" w:rsidP="003F73C2">
      <w:pPr>
        <w:pStyle w:val="Amain"/>
        <w:rPr>
          <w:lang w:val="en" w:eastAsia="en-AU"/>
        </w:rPr>
      </w:pPr>
      <w:r>
        <w:rPr>
          <w:lang w:val="en" w:eastAsia="en-AU"/>
        </w:rPr>
        <w:tab/>
      </w:r>
      <w:r w:rsidRPr="003F73C2">
        <w:rPr>
          <w:lang w:val="en" w:eastAsia="en-AU"/>
        </w:rPr>
        <w:t>(2)</w:t>
      </w:r>
      <w:r>
        <w:rPr>
          <w:lang w:val="en" w:eastAsia="en-AU"/>
        </w:rPr>
        <w:tab/>
      </w:r>
      <w:r w:rsidRPr="003F73C2">
        <w:rPr>
          <w:lang w:val="en" w:eastAsia="en-AU"/>
        </w:rPr>
        <w:t>The consignor of the goods must ensure, so far as is reasonably practicable, the consignment documentation is not false or misleading.</w:t>
      </w:r>
    </w:p>
    <w:p w14:paraId="7A1228B3" w14:textId="77777777" w:rsidR="003F73C2" w:rsidRPr="003F73C2" w:rsidRDefault="003F73C2" w:rsidP="003F73C2">
      <w:pPr>
        <w:pStyle w:val="Penalty"/>
        <w:rPr>
          <w:lang w:val="en" w:eastAsia="en-AU"/>
        </w:rPr>
      </w:pPr>
      <w:r w:rsidRPr="003F73C2">
        <w:rPr>
          <w:lang w:val="en" w:eastAsia="en-AU"/>
        </w:rPr>
        <w:t>Maximum penalty—$10000.</w:t>
      </w:r>
    </w:p>
    <w:p w14:paraId="25B04A13" w14:textId="77777777" w:rsidR="003F73C2" w:rsidRPr="003F73C2" w:rsidRDefault="003F73C2" w:rsidP="003F73C2">
      <w:pPr>
        <w:pStyle w:val="Amain"/>
        <w:rPr>
          <w:lang w:val="en" w:eastAsia="en-AU"/>
        </w:rPr>
      </w:pPr>
      <w:r>
        <w:rPr>
          <w:lang w:val="en" w:eastAsia="en-AU"/>
        </w:rPr>
        <w:tab/>
      </w:r>
      <w:r w:rsidRPr="003F73C2">
        <w:rPr>
          <w:lang w:val="en" w:eastAsia="en-AU"/>
        </w:rPr>
        <w:t>(3)</w:t>
      </w:r>
      <w:r>
        <w:rPr>
          <w:lang w:val="en" w:eastAsia="en-AU"/>
        </w:rPr>
        <w:tab/>
      </w:r>
      <w:r w:rsidRPr="003F73C2">
        <w:rPr>
          <w:lang w:val="en" w:eastAsia="en-AU"/>
        </w:rPr>
        <w:t>If the goods are Australian-packed goods, the packer of the goods must ensure, so far as is reasonably practicable, the consignment documentation is not false or misleading.</w:t>
      </w:r>
    </w:p>
    <w:p w14:paraId="77168142" w14:textId="77777777" w:rsidR="003F73C2" w:rsidRPr="003F73C2" w:rsidRDefault="003F73C2" w:rsidP="003F73C2">
      <w:pPr>
        <w:pStyle w:val="Penalty"/>
        <w:rPr>
          <w:lang w:val="en" w:eastAsia="en-AU"/>
        </w:rPr>
      </w:pPr>
      <w:r w:rsidRPr="003F73C2">
        <w:rPr>
          <w:lang w:val="en" w:eastAsia="en-AU"/>
        </w:rPr>
        <w:t>Maximum penalty—$10000.</w:t>
      </w:r>
    </w:p>
    <w:p w14:paraId="3569B052" w14:textId="77777777" w:rsidR="003F73C2" w:rsidRPr="003F73C2" w:rsidRDefault="003F73C2" w:rsidP="003F73C2">
      <w:pPr>
        <w:pStyle w:val="Amain"/>
        <w:rPr>
          <w:lang w:val="en" w:eastAsia="en-AU"/>
        </w:rPr>
      </w:pPr>
      <w:r>
        <w:rPr>
          <w:lang w:val="en" w:eastAsia="en-AU"/>
        </w:rPr>
        <w:tab/>
      </w:r>
      <w:r w:rsidRPr="003F73C2">
        <w:rPr>
          <w:lang w:val="en" w:eastAsia="en-AU"/>
        </w:rPr>
        <w:t>(4)</w:t>
      </w:r>
      <w:r>
        <w:rPr>
          <w:lang w:val="en" w:eastAsia="en-AU"/>
        </w:rPr>
        <w:tab/>
      </w:r>
      <w:r w:rsidRPr="003F73C2">
        <w:rPr>
          <w:lang w:val="en" w:eastAsia="en-AU"/>
        </w:rPr>
        <w:t>If the goods are overseas-packed goods, the receiver of the goods must ensure, so far as is reasonably practicable, the consignment documentation is not false or misleading.</w:t>
      </w:r>
    </w:p>
    <w:p w14:paraId="329E10A2" w14:textId="77777777" w:rsidR="003F73C2" w:rsidRPr="003F73C2" w:rsidRDefault="003F73C2" w:rsidP="003F73C2">
      <w:pPr>
        <w:pStyle w:val="Penalty"/>
        <w:rPr>
          <w:lang w:val="en" w:eastAsia="en-AU"/>
        </w:rPr>
      </w:pPr>
      <w:r w:rsidRPr="003F73C2">
        <w:rPr>
          <w:lang w:val="en" w:eastAsia="en-AU"/>
        </w:rPr>
        <w:t>Maximum penalty—$10000.</w:t>
      </w:r>
    </w:p>
    <w:p w14:paraId="74F0DE55" w14:textId="77777777" w:rsidR="003F73C2" w:rsidRPr="003F73C2" w:rsidRDefault="003F73C2" w:rsidP="003F73C2">
      <w:pPr>
        <w:pStyle w:val="Amain"/>
        <w:rPr>
          <w:lang w:val="en" w:eastAsia="en-AU"/>
        </w:rPr>
      </w:pPr>
      <w:r>
        <w:rPr>
          <w:lang w:val="en" w:eastAsia="en-AU"/>
        </w:rPr>
        <w:tab/>
      </w:r>
      <w:r w:rsidRPr="003F73C2">
        <w:rPr>
          <w:lang w:val="en" w:eastAsia="en-AU"/>
        </w:rPr>
        <w:t>(5)</w:t>
      </w:r>
      <w:r>
        <w:rPr>
          <w:lang w:val="en" w:eastAsia="en-AU"/>
        </w:rPr>
        <w:tab/>
      </w:r>
      <w:r w:rsidRPr="003F73C2">
        <w:rPr>
          <w:lang w:val="en" w:eastAsia="en-AU"/>
        </w:rPr>
        <w:t>If the goods are loaded on the heavy vehicle, the loading manager for, or loader of, the goods must ensure, so far as is reasonably practicable, the consignment documentation is not false or misleading.</w:t>
      </w:r>
    </w:p>
    <w:p w14:paraId="578E47A8" w14:textId="77777777" w:rsidR="003F73C2" w:rsidRPr="003F73C2" w:rsidRDefault="003F73C2" w:rsidP="003F73C2">
      <w:pPr>
        <w:pStyle w:val="Penalty"/>
        <w:rPr>
          <w:lang w:val="en" w:eastAsia="en-AU"/>
        </w:rPr>
      </w:pPr>
      <w:r w:rsidRPr="003F73C2">
        <w:rPr>
          <w:lang w:val="en" w:eastAsia="en-AU"/>
        </w:rPr>
        <w:t>Maximum penalty—$10000.</w:t>
      </w:r>
    </w:p>
    <w:p w14:paraId="085FDDB6" w14:textId="77777777" w:rsidR="00DB6E47" w:rsidRPr="003F319E" w:rsidRDefault="00DB6E47" w:rsidP="00A90E48">
      <w:pPr>
        <w:pStyle w:val="Amain"/>
        <w:keepLines/>
      </w:pPr>
      <w:r w:rsidRPr="003F319E">
        <w:lastRenderedPageBreak/>
        <w:tab/>
        <w:t>(8)</w:t>
      </w:r>
      <w:r w:rsidRPr="003F319E">
        <w:tab/>
        <w:t>In a proceeding for an offen</w:t>
      </w:r>
      <w:r w:rsidR="00493C19">
        <w:t xml:space="preserve">ce against subsection (2), (3), </w:t>
      </w:r>
      <w:r w:rsidRPr="003F319E">
        <w:t>(4)</w:t>
      </w:r>
      <w:r w:rsidR="00493C19">
        <w:t xml:space="preserve"> </w:t>
      </w:r>
      <w:r w:rsidRPr="003F319E">
        <w:t>or (5), it is enough for a charge to state that the transport documentation was ‘false or misleading’, without specifying whether it was false or whether it was misleading.</w:t>
      </w:r>
    </w:p>
    <w:p w14:paraId="60C95540" w14:textId="77777777" w:rsidR="00DB6E47" w:rsidRPr="003F319E" w:rsidRDefault="00DB6E47" w:rsidP="00DB6E47">
      <w:pPr>
        <w:pStyle w:val="Amain"/>
      </w:pPr>
      <w:r w:rsidRPr="003F319E">
        <w:tab/>
        <w:t>(9)</w:t>
      </w:r>
      <w:r w:rsidRPr="003F319E">
        <w:tab/>
        <w:t>In this section—</w:t>
      </w:r>
    </w:p>
    <w:p w14:paraId="26D852B1" w14:textId="77777777" w:rsidR="003F73C2" w:rsidRPr="003F73C2" w:rsidRDefault="003F73C2" w:rsidP="003F73C2">
      <w:pPr>
        <w:pStyle w:val="aDef"/>
        <w:rPr>
          <w:lang w:val="en" w:eastAsia="en-AU"/>
        </w:rPr>
      </w:pPr>
      <w:r w:rsidRPr="003F73C2">
        <w:rPr>
          <w:rStyle w:val="charBoldItals"/>
        </w:rPr>
        <w:t>Australian-packed goods</w:t>
      </w:r>
      <w:r w:rsidRPr="003F73C2">
        <w:rPr>
          <w:lang w:val="en" w:eastAsia="en-AU"/>
        </w:rPr>
        <w:t xml:space="preserve"> means goods packed—</w:t>
      </w:r>
    </w:p>
    <w:p w14:paraId="53E90CFE" w14:textId="77777777" w:rsidR="003F73C2" w:rsidRPr="003F73C2" w:rsidRDefault="003F73C2" w:rsidP="003F73C2">
      <w:pPr>
        <w:pStyle w:val="aDefpara"/>
        <w:rPr>
          <w:lang w:val="en" w:eastAsia="en-AU"/>
        </w:rPr>
      </w:pPr>
      <w:r>
        <w:rPr>
          <w:lang w:val="en" w:eastAsia="en-AU"/>
        </w:rPr>
        <w:tab/>
      </w:r>
      <w:r w:rsidRPr="003F73C2">
        <w:rPr>
          <w:lang w:val="en" w:eastAsia="en-AU"/>
        </w:rPr>
        <w:t>(a)</w:t>
      </w:r>
      <w:r>
        <w:rPr>
          <w:lang w:val="en" w:eastAsia="en-AU"/>
        </w:rPr>
        <w:tab/>
      </w:r>
      <w:r w:rsidRPr="003F73C2">
        <w:rPr>
          <w:lang w:val="en" w:eastAsia="en-AU"/>
        </w:rPr>
        <w:t>in Australia; and</w:t>
      </w:r>
    </w:p>
    <w:p w14:paraId="2EA44B0F" w14:textId="77777777" w:rsidR="003F73C2" w:rsidRPr="003F73C2" w:rsidRDefault="003F73C2" w:rsidP="003F73C2">
      <w:pPr>
        <w:pStyle w:val="aDefpara"/>
        <w:rPr>
          <w:lang w:val="en" w:eastAsia="en-AU"/>
        </w:rPr>
      </w:pPr>
      <w:r>
        <w:rPr>
          <w:lang w:val="en" w:eastAsia="en-AU"/>
        </w:rPr>
        <w:tab/>
      </w:r>
      <w:r w:rsidRPr="003F73C2">
        <w:rPr>
          <w:lang w:val="en" w:eastAsia="en-AU"/>
        </w:rPr>
        <w:t>(b)</w:t>
      </w:r>
      <w:r>
        <w:rPr>
          <w:lang w:val="en" w:eastAsia="en-AU"/>
        </w:rPr>
        <w:tab/>
      </w:r>
      <w:r w:rsidRPr="003F73C2">
        <w:rPr>
          <w:lang w:val="en" w:eastAsia="en-AU"/>
        </w:rPr>
        <w:t>on a pallet or in a package, freight container or other container.</w:t>
      </w:r>
    </w:p>
    <w:p w14:paraId="6FE04FAB" w14:textId="77777777" w:rsidR="003F73C2" w:rsidRPr="003F73C2" w:rsidRDefault="003F73C2" w:rsidP="003F73C2">
      <w:pPr>
        <w:pStyle w:val="aDef"/>
        <w:rPr>
          <w:lang w:val="en" w:eastAsia="en-AU"/>
        </w:rPr>
      </w:pPr>
      <w:r w:rsidRPr="003F73C2">
        <w:rPr>
          <w:b/>
          <w:bCs/>
          <w:i/>
          <w:iCs/>
          <w:lang w:val="en" w:eastAsia="en-AU"/>
        </w:rPr>
        <w:t>consignment documentation</w:t>
      </w:r>
      <w:r w:rsidRPr="003F73C2">
        <w:rPr>
          <w:lang w:val="en" w:eastAsia="en-AU"/>
        </w:rPr>
        <w:t>, for goods, means the transport documentation for the consignment of the goods, in so far as the documentation relates to the mass, dimension or loading of any or all of the goods.</w:t>
      </w:r>
    </w:p>
    <w:p w14:paraId="0B5D4F6E" w14:textId="77777777" w:rsidR="003F73C2" w:rsidRPr="003F73C2" w:rsidRDefault="003F73C2" w:rsidP="003F73C2">
      <w:pPr>
        <w:pStyle w:val="aDef"/>
        <w:rPr>
          <w:lang w:val="en" w:eastAsia="en-AU"/>
        </w:rPr>
      </w:pPr>
      <w:r w:rsidRPr="003F73C2">
        <w:rPr>
          <w:b/>
          <w:bCs/>
          <w:i/>
          <w:iCs/>
          <w:lang w:val="en" w:eastAsia="en-AU"/>
        </w:rPr>
        <w:t>overseas-packed goods</w:t>
      </w:r>
      <w:r w:rsidRPr="003F73C2">
        <w:rPr>
          <w:lang w:val="en" w:eastAsia="en-AU"/>
        </w:rPr>
        <w:t xml:space="preserve"> means goods packed—</w:t>
      </w:r>
    </w:p>
    <w:p w14:paraId="15BCEFA1" w14:textId="77777777" w:rsidR="003F73C2" w:rsidRPr="003F73C2" w:rsidRDefault="00B62E50" w:rsidP="00B62E50">
      <w:pPr>
        <w:pStyle w:val="aDefpara"/>
        <w:rPr>
          <w:lang w:val="en" w:eastAsia="en-AU"/>
        </w:rPr>
      </w:pPr>
      <w:r>
        <w:rPr>
          <w:lang w:val="en" w:eastAsia="en-AU"/>
        </w:rPr>
        <w:tab/>
      </w:r>
      <w:r w:rsidR="003F73C2" w:rsidRPr="003F73C2">
        <w:rPr>
          <w:lang w:val="en" w:eastAsia="en-AU"/>
        </w:rPr>
        <w:t>(a)</w:t>
      </w:r>
      <w:r>
        <w:rPr>
          <w:lang w:val="en" w:eastAsia="en-AU"/>
        </w:rPr>
        <w:tab/>
      </w:r>
      <w:r w:rsidR="003F73C2" w:rsidRPr="003F73C2">
        <w:rPr>
          <w:lang w:val="en" w:eastAsia="en-AU"/>
        </w:rPr>
        <w:t>outside Australia; and</w:t>
      </w:r>
    </w:p>
    <w:p w14:paraId="0C419D9A" w14:textId="77777777" w:rsidR="003F73C2" w:rsidRPr="003F73C2" w:rsidRDefault="00B62E50" w:rsidP="00B62E50">
      <w:pPr>
        <w:pStyle w:val="aDefpara"/>
        <w:rPr>
          <w:lang w:val="en" w:eastAsia="en-AU"/>
        </w:rPr>
      </w:pPr>
      <w:r>
        <w:rPr>
          <w:lang w:val="en" w:eastAsia="en-AU"/>
        </w:rPr>
        <w:tab/>
      </w:r>
      <w:r w:rsidR="003F73C2" w:rsidRPr="003F73C2">
        <w:rPr>
          <w:lang w:val="en" w:eastAsia="en-AU"/>
        </w:rPr>
        <w:t>(b)</w:t>
      </w:r>
      <w:r>
        <w:rPr>
          <w:lang w:val="en" w:eastAsia="en-AU"/>
        </w:rPr>
        <w:tab/>
      </w:r>
      <w:r w:rsidR="003F73C2" w:rsidRPr="003F73C2">
        <w:rPr>
          <w:lang w:val="en" w:eastAsia="en-AU"/>
        </w:rPr>
        <w:t>on a pallet or in a package, freight container or other container.</w:t>
      </w:r>
    </w:p>
    <w:p w14:paraId="4C47D391" w14:textId="77777777" w:rsidR="00DB6E47" w:rsidRPr="00041046" w:rsidRDefault="00DB6E47" w:rsidP="00DB6E47">
      <w:pPr>
        <w:pStyle w:val="aDef"/>
        <w:rPr>
          <w:bCs/>
        </w:rPr>
      </w:pPr>
      <w:r w:rsidRPr="00041046">
        <w:rPr>
          <w:rStyle w:val="charBoldItals"/>
        </w:rPr>
        <w:t>receiver</w:t>
      </w:r>
      <w:r w:rsidRPr="00041046">
        <w:t>, of goods in Australia, means a person who, other than the person who merely unloads the goods—</w:t>
      </w:r>
    </w:p>
    <w:p w14:paraId="7A8C4B79" w14:textId="77777777" w:rsidR="00DB6E47" w:rsidRPr="00493C19" w:rsidRDefault="00DB6E47" w:rsidP="00DB6E47">
      <w:pPr>
        <w:pStyle w:val="aDefpara"/>
      </w:pPr>
      <w:r w:rsidRPr="00FF4454">
        <w:tab/>
      </w:r>
      <w:r w:rsidRPr="00F04D8E">
        <w:rPr>
          <w:rFonts w:cs="Times"/>
          <w:bCs/>
          <w:iCs/>
        </w:rPr>
        <w:t>(a)</w:t>
      </w:r>
      <w:r w:rsidRPr="00FF4454">
        <w:rPr>
          <w:rStyle w:val="charBoldItals"/>
        </w:rPr>
        <w:tab/>
      </w:r>
      <w:r w:rsidRPr="00493C19">
        <w:t>first receives the goods in Australia; or</w:t>
      </w:r>
    </w:p>
    <w:p w14:paraId="73384D13" w14:textId="77777777" w:rsidR="00DB6E47" w:rsidRPr="00493C19" w:rsidRDefault="00DB6E47" w:rsidP="00DB6E47">
      <w:pPr>
        <w:pStyle w:val="aDefpara"/>
      </w:pPr>
      <w:r w:rsidRPr="00493C19">
        <w:tab/>
        <w:t>(b)</w:t>
      </w:r>
      <w:r w:rsidRPr="00493C19">
        <w:tab/>
        <w:t>unpacks the goods after the goods are first unloaded in Australia.</w:t>
      </w:r>
    </w:p>
    <w:p w14:paraId="51F1D64D" w14:textId="77777777" w:rsidR="00DB6E47" w:rsidRPr="007E1F9A" w:rsidRDefault="00DB6E47" w:rsidP="00DB6E47">
      <w:pPr>
        <w:pStyle w:val="AH5Sec"/>
      </w:pPr>
      <w:bookmarkStart w:id="226" w:name="_Toc83625570"/>
      <w:r w:rsidRPr="005E03F7">
        <w:rPr>
          <w:rStyle w:val="CharSectNo"/>
        </w:rPr>
        <w:lastRenderedPageBreak/>
        <w:t>187</w:t>
      </w:r>
      <w:r w:rsidRPr="007E1F9A">
        <w:tab/>
        <w:t>False or misleading information in container weight declaration</w:t>
      </w:r>
      <w:bookmarkEnd w:id="226"/>
    </w:p>
    <w:p w14:paraId="45B72050" w14:textId="77777777" w:rsidR="00DB6E47" w:rsidRPr="003F319E" w:rsidRDefault="00DB6E47" w:rsidP="00A90E48">
      <w:pPr>
        <w:pStyle w:val="Amain"/>
        <w:keepNext/>
      </w:pPr>
      <w:r w:rsidRPr="003F319E">
        <w:tab/>
        <w:t>(1)</w:t>
      </w:r>
      <w:r w:rsidRPr="003F319E">
        <w:tab/>
        <w:t>This section applies in relation to a freight container to be transported by road using a heavy vehicle, or partly by road using a heavy vehicle and partly by some other means.</w:t>
      </w:r>
    </w:p>
    <w:p w14:paraId="1D5F7CD3" w14:textId="77777777" w:rsidR="000E492B" w:rsidRPr="000E492B" w:rsidRDefault="000E492B" w:rsidP="00A90E48">
      <w:pPr>
        <w:pStyle w:val="Amain"/>
        <w:keepNext/>
        <w:keepLines/>
        <w:rPr>
          <w:lang w:val="en" w:eastAsia="en-AU"/>
        </w:rPr>
      </w:pPr>
      <w:r>
        <w:rPr>
          <w:lang w:val="en" w:eastAsia="en-AU"/>
        </w:rPr>
        <w:tab/>
      </w:r>
      <w:r w:rsidRPr="000E492B">
        <w:rPr>
          <w:lang w:val="en" w:eastAsia="en-AU"/>
        </w:rPr>
        <w:t>(2)</w:t>
      </w:r>
      <w:r>
        <w:rPr>
          <w:lang w:val="en" w:eastAsia="en-AU"/>
        </w:rPr>
        <w:tab/>
      </w:r>
      <w:r w:rsidRPr="000E492B">
        <w:rPr>
          <w:lang w:val="en" w:eastAsia="en-AU"/>
        </w:rPr>
        <w:t>The responsible entity for the freight container must ensure, so far as is reasonably practicable, the container weight declaration for the container that is given to an operator of the heavy vehicle is not false or misleading.</w:t>
      </w:r>
    </w:p>
    <w:p w14:paraId="7344635F" w14:textId="77777777" w:rsidR="000E492B" w:rsidRPr="000E492B" w:rsidRDefault="000E492B" w:rsidP="007958FE">
      <w:pPr>
        <w:pStyle w:val="Penalty"/>
        <w:rPr>
          <w:lang w:val="en" w:eastAsia="en-AU"/>
        </w:rPr>
      </w:pPr>
      <w:r w:rsidRPr="000E492B">
        <w:rPr>
          <w:lang w:val="en" w:eastAsia="en-AU"/>
        </w:rPr>
        <w:t>Maximum penalty—$10000.</w:t>
      </w:r>
    </w:p>
    <w:p w14:paraId="21A5209C" w14:textId="77777777" w:rsidR="000E492B" w:rsidRPr="000E492B" w:rsidRDefault="002768A4" w:rsidP="002768A4">
      <w:pPr>
        <w:pStyle w:val="Amain"/>
        <w:rPr>
          <w:lang w:val="en" w:eastAsia="en-AU"/>
        </w:rPr>
      </w:pPr>
      <w:r>
        <w:rPr>
          <w:lang w:val="en" w:eastAsia="en-AU"/>
        </w:rPr>
        <w:tab/>
      </w:r>
      <w:r w:rsidR="000E492B" w:rsidRPr="000E492B">
        <w:rPr>
          <w:lang w:val="en" w:eastAsia="en-AU"/>
        </w:rPr>
        <w:t>(3)</w:t>
      </w:r>
      <w:r>
        <w:rPr>
          <w:lang w:val="en" w:eastAsia="en-AU"/>
        </w:rPr>
        <w:tab/>
      </w:r>
      <w:r w:rsidR="000E492B" w:rsidRPr="000E492B">
        <w:rPr>
          <w:lang w:val="en" w:eastAsia="en-AU"/>
        </w:rPr>
        <w:t>An operator of the heavy vehicle must ensure, so far as is reasonably practicable, the container weight declaration for the container that is given to the vehicle’s driver is not false or misleading.</w:t>
      </w:r>
    </w:p>
    <w:p w14:paraId="56E0C621" w14:textId="77777777" w:rsidR="000E492B" w:rsidRPr="000E492B" w:rsidRDefault="000E492B" w:rsidP="002768A4">
      <w:pPr>
        <w:pStyle w:val="Penalty"/>
        <w:rPr>
          <w:lang w:val="en" w:eastAsia="en-AU"/>
        </w:rPr>
      </w:pPr>
      <w:r w:rsidRPr="000E492B">
        <w:rPr>
          <w:lang w:val="en" w:eastAsia="en-AU"/>
        </w:rPr>
        <w:t>Maximum penalty—$10000.</w:t>
      </w:r>
    </w:p>
    <w:p w14:paraId="081DC871" w14:textId="77777777" w:rsidR="00DB6E47" w:rsidRPr="003F319E" w:rsidRDefault="00DB6E47" w:rsidP="00DB6E47">
      <w:pPr>
        <w:pStyle w:val="Amain"/>
      </w:pPr>
      <w:r w:rsidRPr="003F319E">
        <w:tab/>
        <w:t>(4)</w:t>
      </w:r>
      <w:r w:rsidRPr="003F319E">
        <w:tab/>
        <w:t>For the purposes of this section, information in a container weight declaration is not false or misleading merely because it overstates the actual weight of the freight container and its contents.</w:t>
      </w:r>
    </w:p>
    <w:p w14:paraId="799F5277" w14:textId="77777777" w:rsidR="00DB6E47" w:rsidRPr="003F319E" w:rsidRDefault="00DB6E47" w:rsidP="00DB6E47">
      <w:pPr>
        <w:pStyle w:val="Amain"/>
      </w:pPr>
      <w:r w:rsidRPr="003F319E">
        <w:tab/>
        <w:t>(7)</w:t>
      </w:r>
      <w:r w:rsidRPr="003F319E">
        <w:tab/>
        <w:t>In a proceeding fo</w:t>
      </w:r>
      <w:r w:rsidR="00493C19">
        <w:t xml:space="preserve">r an offence against subsection </w:t>
      </w:r>
      <w:r w:rsidRPr="003F319E">
        <w:t>(2)</w:t>
      </w:r>
      <w:r w:rsidR="00493C19">
        <w:t xml:space="preserve"> </w:t>
      </w:r>
      <w:r w:rsidRPr="003F319E">
        <w:t>or (3), it is enough for a charge to state that information contained in the container weight declaration was ‘false or misleading’, without specifying whether it was false or whether it was misleading.</w:t>
      </w:r>
    </w:p>
    <w:p w14:paraId="702BA101" w14:textId="77777777" w:rsidR="00DB6E47" w:rsidRPr="005E03F7" w:rsidRDefault="00DB6E47" w:rsidP="00DB6E47">
      <w:pPr>
        <w:pStyle w:val="AH3Div"/>
      </w:pPr>
      <w:bookmarkStart w:id="227" w:name="_Toc83625571"/>
      <w:r w:rsidRPr="005E03F7">
        <w:rPr>
          <w:rStyle w:val="CharDivNo"/>
        </w:rPr>
        <w:lastRenderedPageBreak/>
        <w:t xml:space="preserve">Division 4 </w:t>
      </w:r>
      <w:r w:rsidRPr="00A95F9A">
        <w:rPr>
          <w:rFonts w:ascii="Helvetica" w:hAnsi="Helvetica" w:cs="Helvetica"/>
          <w:iCs/>
          <w:szCs w:val="28"/>
        </w:rPr>
        <w:tab/>
      </w:r>
      <w:r w:rsidRPr="005E03F7">
        <w:rPr>
          <w:rStyle w:val="CharDivText"/>
          <w:rFonts w:ascii="Helvetica" w:hAnsi="Helvetica" w:cs="Helvetica"/>
          <w:iCs/>
          <w:szCs w:val="28"/>
        </w:rPr>
        <w:t>Other offences about container weight declarations</w:t>
      </w:r>
      <w:bookmarkEnd w:id="227"/>
    </w:p>
    <w:p w14:paraId="54CC9447" w14:textId="77777777" w:rsidR="00DB6E47" w:rsidRPr="007E1F9A" w:rsidRDefault="00DB6E47" w:rsidP="00DB6E47">
      <w:pPr>
        <w:pStyle w:val="AH5Sec"/>
      </w:pPr>
      <w:bookmarkStart w:id="228" w:name="_Toc83625572"/>
      <w:r w:rsidRPr="005E03F7">
        <w:rPr>
          <w:rStyle w:val="CharSectNo"/>
        </w:rPr>
        <w:t>188</w:t>
      </w:r>
      <w:r w:rsidRPr="007E1F9A">
        <w:tab/>
        <w:t>Application of Div 4</w:t>
      </w:r>
      <w:bookmarkEnd w:id="228"/>
    </w:p>
    <w:p w14:paraId="47615DCE" w14:textId="77777777" w:rsidR="00DB6E47" w:rsidRPr="003F319E" w:rsidRDefault="00DB6E47" w:rsidP="003F0CDD">
      <w:pPr>
        <w:pStyle w:val="Amainreturn"/>
        <w:keepNext/>
      </w:pPr>
      <w:r w:rsidRPr="003F319E">
        <w:t>This Division applies to a freight container consigned for road transport using a heavy vehicle, or for transport partly by road using a heavy vehicle and partly by some other means.</w:t>
      </w:r>
    </w:p>
    <w:p w14:paraId="7D5884E5" w14:textId="77777777" w:rsidR="00DB6E47" w:rsidRPr="007E1F9A" w:rsidRDefault="00DB6E47" w:rsidP="00DB6E47">
      <w:pPr>
        <w:pStyle w:val="AH5Sec"/>
      </w:pPr>
      <w:bookmarkStart w:id="229" w:name="_Toc83625573"/>
      <w:r w:rsidRPr="005E03F7">
        <w:rPr>
          <w:rStyle w:val="CharSectNo"/>
        </w:rPr>
        <w:t>189</w:t>
      </w:r>
      <w:r w:rsidRPr="007E1F9A">
        <w:tab/>
        <w:t xml:space="preserve">Meaning of </w:t>
      </w:r>
      <w:r w:rsidRPr="00FF4454">
        <w:rPr>
          <w:rStyle w:val="charItals"/>
        </w:rPr>
        <w:t>complying container weight declaration</w:t>
      </w:r>
      <w:bookmarkEnd w:id="229"/>
    </w:p>
    <w:p w14:paraId="47EF35F5" w14:textId="77777777" w:rsidR="00DB6E47" w:rsidRPr="003F319E" w:rsidRDefault="00DB6E47" w:rsidP="00DB6E47">
      <w:pPr>
        <w:pStyle w:val="Amainreturn"/>
      </w:pPr>
      <w:r w:rsidRPr="003F319E">
        <w:t xml:space="preserve">A container weight declaration for a freight container is a </w:t>
      </w:r>
      <w:r w:rsidRPr="00FF4454">
        <w:rPr>
          <w:rStyle w:val="charBoldItals"/>
        </w:rPr>
        <w:t>complying container weight declaration</w:t>
      </w:r>
      <w:r w:rsidRPr="003F319E">
        <w:t xml:space="preserve"> if—</w:t>
      </w:r>
    </w:p>
    <w:p w14:paraId="3EF5E014" w14:textId="77777777" w:rsidR="00DB6E47" w:rsidRPr="005441A8" w:rsidRDefault="00DB6E47" w:rsidP="00DB6E47">
      <w:pPr>
        <w:pStyle w:val="Apara"/>
      </w:pPr>
      <w:r w:rsidRPr="005441A8">
        <w:tab/>
        <w:t>(a)</w:t>
      </w:r>
      <w:r w:rsidRPr="005441A8">
        <w:tab/>
        <w:t>it contains the following additional information—</w:t>
      </w:r>
    </w:p>
    <w:p w14:paraId="79A24491" w14:textId="77777777" w:rsidR="00DB6E47" w:rsidRPr="00516F02" w:rsidRDefault="00DB6E47" w:rsidP="00DB6E47">
      <w:pPr>
        <w:pStyle w:val="Asubpara"/>
      </w:pPr>
      <w:r w:rsidRPr="00516F02">
        <w:tab/>
        <w:t>(i)</w:t>
      </w:r>
      <w:r w:rsidRPr="00516F02">
        <w:tab/>
        <w:t>the number and other particulars of the freight container necessary to identify the container;</w:t>
      </w:r>
    </w:p>
    <w:p w14:paraId="612D5EB1" w14:textId="77777777" w:rsidR="00DB6E47" w:rsidRPr="00516F02" w:rsidRDefault="00DB6E47" w:rsidP="00DB6E47">
      <w:pPr>
        <w:pStyle w:val="Asubpara"/>
      </w:pPr>
      <w:r w:rsidRPr="00516F02">
        <w:tab/>
        <w:t>(ii)</w:t>
      </w:r>
      <w:r w:rsidRPr="00516F02">
        <w:tab/>
        <w:t>the name and residential address or business address in Australia of the responsible entity for the freight container;</w:t>
      </w:r>
    </w:p>
    <w:p w14:paraId="24969B6C" w14:textId="77777777" w:rsidR="00DB6E47" w:rsidRPr="00516F02" w:rsidRDefault="00DB6E47" w:rsidP="00DB6E47">
      <w:pPr>
        <w:pStyle w:val="Asubpara"/>
      </w:pPr>
      <w:r w:rsidRPr="00516F02">
        <w:tab/>
        <w:t>(iii)</w:t>
      </w:r>
      <w:r w:rsidRPr="00516F02">
        <w:tab/>
        <w:t>the date the container weight declaration is made; and</w:t>
      </w:r>
    </w:p>
    <w:p w14:paraId="40D54006" w14:textId="77777777" w:rsidR="00DB6E47" w:rsidRPr="00516F02" w:rsidRDefault="00DB6E47" w:rsidP="001D75C7">
      <w:pPr>
        <w:pStyle w:val="Apara"/>
      </w:pPr>
      <w:r w:rsidRPr="005441A8">
        <w:tab/>
        <w:t>(b)</w:t>
      </w:r>
      <w:r w:rsidRPr="005441A8">
        <w:tab/>
        <w:t>it is written and easily legible</w:t>
      </w:r>
      <w:r w:rsidRPr="00516F02">
        <w:t>.</w:t>
      </w:r>
    </w:p>
    <w:p w14:paraId="5005EC16" w14:textId="77777777" w:rsidR="00DB6E47" w:rsidRPr="007E1F9A" w:rsidRDefault="00DB6E47" w:rsidP="00DB6E47">
      <w:pPr>
        <w:pStyle w:val="AH5Sec"/>
      </w:pPr>
      <w:bookmarkStart w:id="230" w:name="_Toc83625574"/>
      <w:r w:rsidRPr="005E03F7">
        <w:rPr>
          <w:rStyle w:val="CharSectNo"/>
        </w:rPr>
        <w:t>190</w:t>
      </w:r>
      <w:r w:rsidRPr="007E1F9A">
        <w:tab/>
        <w:t>Duty of responsible entity</w:t>
      </w:r>
      <w:bookmarkEnd w:id="230"/>
    </w:p>
    <w:p w14:paraId="0E3EF3E4" w14:textId="77777777" w:rsidR="00930888" w:rsidRPr="00930888" w:rsidRDefault="00930888" w:rsidP="00930888">
      <w:pPr>
        <w:pStyle w:val="Amain"/>
        <w:rPr>
          <w:lang w:val="en" w:eastAsia="en-AU"/>
        </w:rPr>
      </w:pPr>
      <w:r>
        <w:rPr>
          <w:lang w:val="en" w:eastAsia="en-AU"/>
        </w:rPr>
        <w:tab/>
      </w:r>
      <w:r w:rsidRPr="00930888">
        <w:rPr>
          <w:lang w:val="en" w:eastAsia="en-AU"/>
        </w:rPr>
        <w:t>(1)</w:t>
      </w:r>
      <w:r>
        <w:rPr>
          <w:lang w:val="en" w:eastAsia="en-AU"/>
        </w:rPr>
        <w:tab/>
      </w:r>
      <w:r w:rsidRPr="00930888">
        <w:rPr>
          <w:lang w:val="en" w:eastAsia="en-AU"/>
        </w:rPr>
        <w:t>The responsible entity for the freight container must ensure an operator or driver of a heavy vehicle does not transport the freight container by road using the vehicle without a complying container weight declaration for the freight container containing information in the form required under section 192A, unless the responsible entity has a reasonable excuse.</w:t>
      </w:r>
    </w:p>
    <w:p w14:paraId="201F3AE3" w14:textId="77777777" w:rsidR="00930888" w:rsidRPr="00930888" w:rsidRDefault="00930888" w:rsidP="00930888">
      <w:pPr>
        <w:pStyle w:val="Penalty"/>
        <w:rPr>
          <w:lang w:val="en" w:eastAsia="en-AU"/>
        </w:rPr>
      </w:pPr>
      <w:r w:rsidRPr="00930888">
        <w:rPr>
          <w:lang w:val="en" w:eastAsia="en-AU"/>
        </w:rPr>
        <w:t>Maximum penalty—$6000.</w:t>
      </w:r>
    </w:p>
    <w:p w14:paraId="6922CDC2" w14:textId="77777777" w:rsidR="00DB6E47" w:rsidRPr="007E1F9A" w:rsidRDefault="00DB6E47" w:rsidP="00DB6E47">
      <w:pPr>
        <w:pStyle w:val="AH5Sec"/>
      </w:pPr>
      <w:bookmarkStart w:id="231" w:name="_Toc83625575"/>
      <w:r w:rsidRPr="005E03F7">
        <w:rPr>
          <w:rStyle w:val="CharSectNo"/>
        </w:rPr>
        <w:lastRenderedPageBreak/>
        <w:t>191</w:t>
      </w:r>
      <w:r w:rsidRPr="007E1F9A">
        <w:tab/>
        <w:t>Duty of operator</w:t>
      </w:r>
      <w:bookmarkEnd w:id="231"/>
    </w:p>
    <w:p w14:paraId="773C8DA0" w14:textId="77777777" w:rsidR="00B5030E" w:rsidRPr="00B5030E" w:rsidRDefault="00B5030E" w:rsidP="00B5030E">
      <w:pPr>
        <w:pStyle w:val="Amain"/>
        <w:rPr>
          <w:lang w:val="en" w:eastAsia="en-AU"/>
        </w:rPr>
      </w:pPr>
      <w:r>
        <w:rPr>
          <w:lang w:val="en" w:eastAsia="en-AU"/>
        </w:rPr>
        <w:tab/>
      </w:r>
      <w:r w:rsidRPr="00B5030E">
        <w:rPr>
          <w:lang w:val="en" w:eastAsia="en-AU"/>
        </w:rPr>
        <w:t>(1)</w:t>
      </w:r>
      <w:r>
        <w:rPr>
          <w:lang w:val="en" w:eastAsia="en-AU"/>
        </w:rPr>
        <w:tab/>
      </w:r>
      <w:r w:rsidRPr="00B5030E">
        <w:rPr>
          <w:lang w:val="en" w:eastAsia="en-AU"/>
        </w:rPr>
        <w:t>An operator of a heavy vehicle must ensure the vehicle’s driver does not transport the freight container by road using the vehicle without a complying container weight declaration for the freight container containing information in the form required under section 192A.</w:t>
      </w:r>
    </w:p>
    <w:p w14:paraId="69122085" w14:textId="77777777" w:rsidR="00B5030E" w:rsidRPr="00B5030E" w:rsidRDefault="00B5030E" w:rsidP="00B5030E">
      <w:pPr>
        <w:pStyle w:val="Penalty"/>
        <w:rPr>
          <w:lang w:val="en" w:eastAsia="en-AU"/>
        </w:rPr>
      </w:pPr>
      <w:r w:rsidRPr="00B5030E">
        <w:rPr>
          <w:lang w:val="en" w:eastAsia="en-AU"/>
        </w:rPr>
        <w:t>Maximum penalty—$6000.</w:t>
      </w:r>
    </w:p>
    <w:p w14:paraId="77766FA5" w14:textId="77777777" w:rsidR="00921734" w:rsidRPr="003323FC" w:rsidRDefault="00DB6E47" w:rsidP="00921734">
      <w:pPr>
        <w:pStyle w:val="Amain"/>
      </w:pPr>
      <w:r w:rsidRPr="009B0C0B">
        <w:tab/>
        <w:t>(2)</w:t>
      </w:r>
      <w:r w:rsidRPr="009B0C0B">
        <w:tab/>
        <w:t>If the driver of a heavy vehicle does not have the complying container weight declaration when transporting the freight container by road using the vehicle, an operator of the vehicle is taken</w:t>
      </w:r>
      <w:r w:rsidR="00493C19">
        <w:t xml:space="preserve"> to have contravened subsection </w:t>
      </w:r>
      <w:r w:rsidRPr="009B0C0B">
        <w:t>(1)</w:t>
      </w:r>
      <w:r w:rsidR="00493C19">
        <w:t xml:space="preserve"> </w:t>
      </w:r>
      <w:r w:rsidR="00921734" w:rsidRPr="003323FC">
        <w:t>unless the operator—</w:t>
      </w:r>
    </w:p>
    <w:p w14:paraId="15A60B46" w14:textId="77777777" w:rsidR="00921734" w:rsidRPr="00921734" w:rsidRDefault="00921734" w:rsidP="00921734">
      <w:pPr>
        <w:pStyle w:val="Apara"/>
        <w:rPr>
          <w:lang w:val="en" w:eastAsia="en-AU"/>
        </w:rPr>
      </w:pPr>
      <w:r>
        <w:rPr>
          <w:lang w:val="en" w:eastAsia="en-AU"/>
        </w:rPr>
        <w:tab/>
      </w:r>
      <w:r w:rsidRPr="00921734">
        <w:rPr>
          <w:lang w:val="en" w:eastAsia="en-AU"/>
        </w:rPr>
        <w:t>(a)</w:t>
      </w:r>
      <w:r>
        <w:rPr>
          <w:lang w:val="en" w:eastAsia="en-AU"/>
        </w:rPr>
        <w:tab/>
      </w:r>
      <w:r w:rsidRPr="00921734">
        <w:rPr>
          <w:lang w:val="en" w:eastAsia="en-AU"/>
        </w:rPr>
        <w:t>proves that the driver was provided with the declaration before the driver started transporting the freight container; or</w:t>
      </w:r>
    </w:p>
    <w:p w14:paraId="1E0B3980" w14:textId="77777777" w:rsidR="00921734" w:rsidRPr="00921734" w:rsidRDefault="00921734" w:rsidP="00921734">
      <w:pPr>
        <w:pStyle w:val="Apara"/>
        <w:rPr>
          <w:lang w:val="en" w:eastAsia="en-AU"/>
        </w:rPr>
      </w:pPr>
      <w:r>
        <w:rPr>
          <w:lang w:val="en" w:eastAsia="en-AU"/>
        </w:rPr>
        <w:tab/>
      </w:r>
      <w:r w:rsidRPr="00921734">
        <w:rPr>
          <w:lang w:val="en" w:eastAsia="en-AU"/>
        </w:rPr>
        <w:t>(b)</w:t>
      </w:r>
      <w:r>
        <w:rPr>
          <w:lang w:val="en" w:eastAsia="en-AU"/>
        </w:rPr>
        <w:tab/>
      </w:r>
      <w:r w:rsidRPr="00921734">
        <w:rPr>
          <w:lang w:val="en" w:eastAsia="en-AU"/>
        </w:rPr>
        <w:t>has a reasonable excuse.</w:t>
      </w:r>
    </w:p>
    <w:p w14:paraId="2FA99867" w14:textId="77777777" w:rsidR="00DB6E47" w:rsidRPr="00E864B3" w:rsidRDefault="00DB6E47" w:rsidP="00DB6E47">
      <w:pPr>
        <w:pStyle w:val="Amain"/>
      </w:pPr>
      <w:r w:rsidRPr="009B0C0B">
        <w:tab/>
        <w:t>(3)</w:t>
      </w:r>
      <w:r w:rsidRPr="009B0C0B">
        <w:tab/>
      </w:r>
      <w:r w:rsidR="00E864B3" w:rsidRPr="00E864B3">
        <w:t xml:space="preserve">If the freight container is to be transported by another carrier, an operator of a heavy vehicle </w:t>
      </w:r>
      <w:r w:rsidR="00921734" w:rsidRPr="003323FC">
        <w:t>must, unless the operator has a reasonable excuse, ensure the freight container is not given to the carrier unless</w:t>
      </w:r>
      <w:r w:rsidR="00E864B3" w:rsidRPr="00E864B3">
        <w:t xml:space="preserve"> the carrier has been provided with—</w:t>
      </w:r>
    </w:p>
    <w:p w14:paraId="1848640A" w14:textId="77777777" w:rsidR="00DB6E47" w:rsidRPr="005441A8" w:rsidRDefault="00DB6E47" w:rsidP="00DB6E47">
      <w:pPr>
        <w:pStyle w:val="Apara"/>
      </w:pPr>
      <w:r w:rsidRPr="005441A8">
        <w:tab/>
        <w:t>(a)</w:t>
      </w:r>
      <w:r w:rsidRPr="005441A8">
        <w:tab/>
      </w:r>
      <w:r w:rsidR="00E864B3">
        <w:t>a</w:t>
      </w:r>
      <w:r w:rsidR="00E864B3">
        <w:rPr>
          <w:spacing w:val="8"/>
        </w:rPr>
        <w:t xml:space="preserve"> </w:t>
      </w:r>
      <w:r w:rsidR="00E864B3">
        <w:rPr>
          <w:spacing w:val="-1"/>
        </w:rPr>
        <w:t>complying</w:t>
      </w:r>
      <w:r w:rsidR="00E864B3">
        <w:rPr>
          <w:spacing w:val="9"/>
        </w:rPr>
        <w:t xml:space="preserve"> </w:t>
      </w:r>
      <w:r w:rsidR="00E864B3">
        <w:rPr>
          <w:spacing w:val="-1"/>
        </w:rPr>
        <w:t>container</w:t>
      </w:r>
      <w:r w:rsidR="00E864B3">
        <w:rPr>
          <w:spacing w:val="8"/>
        </w:rPr>
        <w:t xml:space="preserve"> </w:t>
      </w:r>
      <w:r w:rsidR="00E864B3">
        <w:rPr>
          <w:spacing w:val="-1"/>
        </w:rPr>
        <w:t>weight</w:t>
      </w:r>
      <w:r w:rsidR="00E864B3">
        <w:t xml:space="preserve"> </w:t>
      </w:r>
      <w:r w:rsidR="00E864B3">
        <w:rPr>
          <w:spacing w:val="-1"/>
        </w:rPr>
        <w:t>declaration</w:t>
      </w:r>
      <w:r w:rsidR="00E864B3">
        <w:rPr>
          <w:spacing w:val="23"/>
        </w:rPr>
        <w:t xml:space="preserve"> </w:t>
      </w:r>
      <w:r w:rsidR="00E864B3">
        <w:rPr>
          <w:spacing w:val="-1"/>
        </w:rPr>
        <w:t>for</w:t>
      </w:r>
      <w:r w:rsidR="00E864B3">
        <w:rPr>
          <w:spacing w:val="45"/>
        </w:rPr>
        <w:t xml:space="preserve"> </w:t>
      </w:r>
      <w:r w:rsidR="00E864B3">
        <w:rPr>
          <w:spacing w:val="-1"/>
        </w:rPr>
        <w:t>the</w:t>
      </w:r>
      <w:r w:rsidR="00E864B3">
        <w:rPr>
          <w:spacing w:val="45"/>
        </w:rPr>
        <w:t xml:space="preserve"> </w:t>
      </w:r>
      <w:r w:rsidR="00E864B3">
        <w:rPr>
          <w:spacing w:val="-1"/>
        </w:rPr>
        <w:t>freight</w:t>
      </w:r>
      <w:r w:rsidR="00E864B3">
        <w:rPr>
          <w:spacing w:val="45"/>
        </w:rPr>
        <w:t xml:space="preserve"> </w:t>
      </w:r>
      <w:r w:rsidR="00E864B3">
        <w:rPr>
          <w:spacing w:val="-1"/>
        </w:rPr>
        <w:t>container</w:t>
      </w:r>
      <w:r w:rsidR="00E864B3">
        <w:rPr>
          <w:spacing w:val="45"/>
        </w:rPr>
        <w:t xml:space="preserve"> </w:t>
      </w:r>
      <w:r w:rsidR="00E864B3">
        <w:rPr>
          <w:spacing w:val="-1"/>
        </w:rPr>
        <w:t>containing</w:t>
      </w:r>
      <w:r w:rsidR="00E864B3">
        <w:rPr>
          <w:spacing w:val="24"/>
        </w:rPr>
        <w:t xml:space="preserve"> </w:t>
      </w:r>
      <w:r w:rsidR="00E864B3">
        <w:rPr>
          <w:spacing w:val="-1"/>
        </w:rPr>
        <w:t>information</w:t>
      </w:r>
      <w:r w:rsidR="00E864B3">
        <w:rPr>
          <w:spacing w:val="46"/>
        </w:rPr>
        <w:t xml:space="preserve"> </w:t>
      </w:r>
      <w:r w:rsidR="00E864B3">
        <w:rPr>
          <w:spacing w:val="-1"/>
        </w:rPr>
        <w:t>in</w:t>
      </w:r>
      <w:r w:rsidR="00E864B3">
        <w:rPr>
          <w:spacing w:val="46"/>
        </w:rPr>
        <w:t xml:space="preserve"> </w:t>
      </w:r>
      <w:r w:rsidR="00E864B3">
        <w:rPr>
          <w:spacing w:val="-1"/>
        </w:rPr>
        <w:t>the</w:t>
      </w:r>
      <w:r w:rsidR="00E864B3">
        <w:rPr>
          <w:spacing w:val="48"/>
        </w:rPr>
        <w:t xml:space="preserve"> </w:t>
      </w:r>
      <w:r w:rsidR="00E864B3">
        <w:rPr>
          <w:spacing w:val="-1"/>
        </w:rPr>
        <w:t>form</w:t>
      </w:r>
      <w:r w:rsidR="00E864B3">
        <w:rPr>
          <w:spacing w:val="47"/>
        </w:rPr>
        <w:t xml:space="preserve"> </w:t>
      </w:r>
      <w:r w:rsidR="00E864B3">
        <w:rPr>
          <w:spacing w:val="-1"/>
        </w:rPr>
        <w:t>required</w:t>
      </w:r>
      <w:r w:rsidR="00E864B3">
        <w:rPr>
          <w:spacing w:val="47"/>
        </w:rPr>
        <w:t xml:space="preserve"> </w:t>
      </w:r>
      <w:r w:rsidR="00E864B3">
        <w:rPr>
          <w:spacing w:val="-1"/>
        </w:rPr>
        <w:t>under</w:t>
      </w:r>
      <w:r w:rsidR="00E864B3">
        <w:rPr>
          <w:spacing w:val="25"/>
        </w:rPr>
        <w:t xml:space="preserve"> </w:t>
      </w:r>
      <w:r w:rsidR="00E864B3">
        <w:rPr>
          <w:spacing w:val="-1"/>
        </w:rPr>
        <w:t>section 192A; or</w:t>
      </w:r>
    </w:p>
    <w:p w14:paraId="2C328516" w14:textId="77777777" w:rsidR="00DB6E47" w:rsidRPr="005441A8" w:rsidRDefault="00DB6E47" w:rsidP="00DB6E47">
      <w:pPr>
        <w:pStyle w:val="Apara"/>
      </w:pPr>
      <w:r w:rsidRPr="005441A8">
        <w:tab/>
        <w:t>(b)</w:t>
      </w:r>
      <w:r w:rsidRPr="005441A8">
        <w:tab/>
      </w:r>
      <w:r w:rsidR="00E864B3" w:rsidRPr="00E864B3">
        <w:t>the prescribed particulars contained in a complying container weight declaration for the freight container.</w:t>
      </w:r>
    </w:p>
    <w:p w14:paraId="29287256" w14:textId="77777777" w:rsidR="00DB6E47" w:rsidRPr="006C3305" w:rsidRDefault="00DB6E47" w:rsidP="00DB6E47">
      <w:pPr>
        <w:pStyle w:val="Penalty"/>
      </w:pPr>
      <w:r w:rsidRPr="006C3305">
        <w:t>Maximum penalty—$6000.</w:t>
      </w:r>
    </w:p>
    <w:p w14:paraId="0FB722D0" w14:textId="77777777" w:rsidR="00DB6E47" w:rsidRPr="009B0C0B" w:rsidRDefault="00DB6E47" w:rsidP="003F0CDD">
      <w:pPr>
        <w:pStyle w:val="Amain"/>
        <w:keepNext/>
      </w:pPr>
      <w:r w:rsidRPr="009B0C0B">
        <w:lastRenderedPageBreak/>
        <w:tab/>
        <w:t>(6)</w:t>
      </w:r>
      <w:r w:rsidRPr="009B0C0B">
        <w:tab/>
        <w:t>In this section—</w:t>
      </w:r>
    </w:p>
    <w:p w14:paraId="7FBF49AB" w14:textId="77777777" w:rsidR="00E864B3" w:rsidRPr="00E864B3" w:rsidRDefault="00E864B3" w:rsidP="003F0CDD">
      <w:pPr>
        <w:pStyle w:val="aDef"/>
        <w:keepNext/>
      </w:pPr>
      <w:r w:rsidRPr="00E864B3">
        <w:rPr>
          <w:rStyle w:val="charBoldItals"/>
        </w:rPr>
        <w:t>another carrier</w:t>
      </w:r>
      <w:r w:rsidRPr="00E864B3">
        <w:t xml:space="preserve"> means another operator of a heavy vehicle or another person who is to transport the freight container other than by road.</w:t>
      </w:r>
    </w:p>
    <w:p w14:paraId="687A2998" w14:textId="77777777" w:rsidR="00DB6E47" w:rsidRPr="00041046" w:rsidRDefault="00DB6E47" w:rsidP="003F0CDD">
      <w:pPr>
        <w:pStyle w:val="aDef"/>
        <w:keepNext/>
        <w:rPr>
          <w:bCs/>
        </w:rPr>
      </w:pPr>
      <w:r w:rsidRPr="00041046">
        <w:rPr>
          <w:rStyle w:val="charBoldItals"/>
        </w:rPr>
        <w:t>prescribed particulars</w:t>
      </w:r>
      <w:r w:rsidRPr="00041046">
        <w:t>, contained in a complying container weight declaration for a freight container, means—</w:t>
      </w:r>
    </w:p>
    <w:p w14:paraId="319A8B74" w14:textId="77777777" w:rsidR="00DB6E47" w:rsidRPr="00493C19" w:rsidRDefault="00DB6E47" w:rsidP="00DB6E47">
      <w:pPr>
        <w:pStyle w:val="aDefpara"/>
      </w:pPr>
      <w:r w:rsidRPr="00FF4454">
        <w:tab/>
      </w:r>
      <w:r w:rsidRPr="00F04D8E">
        <w:rPr>
          <w:rFonts w:cs="Times"/>
          <w:bCs/>
          <w:iCs/>
        </w:rPr>
        <w:t>(a)</w:t>
      </w:r>
      <w:r w:rsidRPr="00493C19">
        <w:tab/>
        <w:t>information about the weight of the freight container and its contents; and</w:t>
      </w:r>
    </w:p>
    <w:p w14:paraId="10E4B5D0" w14:textId="77777777" w:rsidR="00DB6E47" w:rsidRPr="00493C19" w:rsidRDefault="00DB6E47" w:rsidP="00DB6E47">
      <w:pPr>
        <w:pStyle w:val="aDefpara"/>
      </w:pPr>
      <w:r w:rsidRPr="00493C19">
        <w:tab/>
        <w:t>(b)</w:t>
      </w:r>
      <w:r w:rsidRPr="00493C19">
        <w:tab/>
        <w:t>the information mentioned in section 189(a).</w:t>
      </w:r>
    </w:p>
    <w:p w14:paraId="311FA9C8" w14:textId="77777777" w:rsidR="00DB6E47" w:rsidRPr="007E1F9A" w:rsidRDefault="00DB6E47" w:rsidP="00DB6E47">
      <w:pPr>
        <w:pStyle w:val="AH5Sec"/>
      </w:pPr>
      <w:bookmarkStart w:id="232" w:name="_Toc83625576"/>
      <w:r w:rsidRPr="005E03F7">
        <w:rPr>
          <w:rStyle w:val="CharSectNo"/>
        </w:rPr>
        <w:t>192</w:t>
      </w:r>
      <w:r w:rsidRPr="007E1F9A">
        <w:tab/>
        <w:t>Duty of driver</w:t>
      </w:r>
      <w:bookmarkEnd w:id="232"/>
    </w:p>
    <w:p w14:paraId="26C1207F" w14:textId="77777777" w:rsidR="00750CE0" w:rsidRPr="00750CE0" w:rsidRDefault="00750CE0" w:rsidP="00750CE0">
      <w:pPr>
        <w:pStyle w:val="Amain"/>
        <w:rPr>
          <w:lang w:val="en" w:eastAsia="en-AU"/>
        </w:rPr>
      </w:pPr>
      <w:r>
        <w:rPr>
          <w:lang w:val="en" w:eastAsia="en-AU"/>
        </w:rPr>
        <w:tab/>
      </w:r>
      <w:r w:rsidRPr="00750CE0">
        <w:rPr>
          <w:lang w:val="en" w:eastAsia="en-AU"/>
        </w:rPr>
        <w:t>(1)</w:t>
      </w:r>
      <w:r>
        <w:rPr>
          <w:lang w:val="en" w:eastAsia="en-AU"/>
        </w:rPr>
        <w:tab/>
      </w:r>
      <w:r w:rsidRPr="00750CE0">
        <w:rPr>
          <w:lang w:val="en" w:eastAsia="en-AU"/>
        </w:rPr>
        <w:t>A person must not drive a heavy vehicle loaded with the freight container on a road without a complying weight declaration for the container, unless the person has a reasonable excuse.</w:t>
      </w:r>
    </w:p>
    <w:p w14:paraId="5A085C83" w14:textId="77777777" w:rsidR="00750CE0" w:rsidRPr="00750CE0" w:rsidRDefault="00750CE0" w:rsidP="00750CE0">
      <w:pPr>
        <w:pStyle w:val="Penalty"/>
        <w:rPr>
          <w:lang w:val="en" w:eastAsia="en-AU"/>
        </w:rPr>
      </w:pPr>
      <w:r w:rsidRPr="00750CE0">
        <w:rPr>
          <w:lang w:val="en" w:eastAsia="en-AU"/>
        </w:rPr>
        <w:t>Maximum penalty—$6000.</w:t>
      </w:r>
    </w:p>
    <w:p w14:paraId="0DD1E629" w14:textId="77777777" w:rsidR="00DB6E47" w:rsidRPr="009B0C0B" w:rsidRDefault="00DB6E47" w:rsidP="00DB6E47">
      <w:pPr>
        <w:pStyle w:val="Amain"/>
      </w:pPr>
      <w:r w:rsidRPr="009B0C0B">
        <w:tab/>
        <w:t>(2)</w:t>
      </w:r>
      <w:r w:rsidRPr="009B0C0B">
        <w:tab/>
        <w:t>The driver of a heavy vehicle loaded with the freight container must</w:t>
      </w:r>
      <w:r w:rsidR="00BF38B1" w:rsidRPr="003323FC">
        <w:t>, unless the driver has a reasonable excuse</w:t>
      </w:r>
      <w:r w:rsidRPr="009B0C0B">
        <w:t>, when driving the vehicle on a road, keep the complying container weight declaration for the container—</w:t>
      </w:r>
    </w:p>
    <w:p w14:paraId="48775AD5" w14:textId="77777777" w:rsidR="00DB6E47" w:rsidRPr="005441A8" w:rsidRDefault="00DB6E47" w:rsidP="00DB6E47">
      <w:pPr>
        <w:pStyle w:val="Apara"/>
      </w:pPr>
      <w:r w:rsidRPr="005441A8">
        <w:tab/>
        <w:t>(a)</w:t>
      </w:r>
      <w:r w:rsidRPr="005441A8">
        <w:tab/>
        <w:t>in or about the vehicle; and</w:t>
      </w:r>
    </w:p>
    <w:p w14:paraId="25E4701A" w14:textId="77777777" w:rsidR="00DB6E47" w:rsidRPr="00AD0DFA" w:rsidRDefault="00DB6E47" w:rsidP="00DB6E47">
      <w:pPr>
        <w:pStyle w:val="Apara"/>
      </w:pPr>
      <w:r w:rsidRPr="005441A8">
        <w:tab/>
        <w:t>(b)</w:t>
      </w:r>
      <w:r w:rsidRPr="005441A8">
        <w:tab/>
      </w:r>
      <w:r w:rsidR="00AD0DFA" w:rsidRPr="00AD0DFA">
        <w:t>in a way that ensures information in the declaration is in the form required under section 192A.</w:t>
      </w:r>
    </w:p>
    <w:p w14:paraId="47AD5D4D" w14:textId="77777777" w:rsidR="00DB6E47" w:rsidRPr="006C3305" w:rsidRDefault="00DB6E47" w:rsidP="00DB6E47">
      <w:pPr>
        <w:pStyle w:val="Penalty"/>
      </w:pPr>
      <w:r w:rsidRPr="006C3305">
        <w:t>Maximum penalty—$3000.</w:t>
      </w:r>
    </w:p>
    <w:p w14:paraId="60E1343A" w14:textId="77777777" w:rsidR="008D7947" w:rsidRDefault="008D7947" w:rsidP="008D7947">
      <w:pPr>
        <w:pStyle w:val="AH5Sec"/>
      </w:pPr>
      <w:bookmarkStart w:id="233" w:name="_Toc83625577"/>
      <w:r w:rsidRPr="005E03F7">
        <w:rPr>
          <w:rStyle w:val="CharSectNo"/>
        </w:rPr>
        <w:lastRenderedPageBreak/>
        <w:t>192A</w:t>
      </w:r>
      <w:r>
        <w:tab/>
      </w:r>
      <w:r w:rsidRPr="008D7947">
        <w:t>Form of information in container weight declaration</w:t>
      </w:r>
      <w:bookmarkEnd w:id="233"/>
    </w:p>
    <w:p w14:paraId="3A9D8C6F" w14:textId="77777777" w:rsidR="008D7947" w:rsidRPr="008D7947" w:rsidRDefault="008D7947" w:rsidP="003F0CDD">
      <w:pPr>
        <w:pStyle w:val="Amain"/>
        <w:keepNext/>
      </w:pPr>
      <w:r>
        <w:tab/>
        <w:t>(1)</w:t>
      </w:r>
      <w:r>
        <w:tab/>
      </w:r>
      <w:r w:rsidRPr="008D7947">
        <w:t>This section applies for the purposes of sections 190(1), 191(1) and (3)(a) and 192(2)(b).</w:t>
      </w:r>
    </w:p>
    <w:p w14:paraId="49213F5D" w14:textId="77777777" w:rsidR="008D7947" w:rsidRDefault="008D7947" w:rsidP="003F0CDD">
      <w:pPr>
        <w:pStyle w:val="Amain"/>
        <w:keepNext/>
        <w:keepLines/>
      </w:pPr>
      <w:r w:rsidRPr="008D7947">
        <w:tab/>
        <w:t>(2)</w:t>
      </w:r>
      <w:r w:rsidRPr="008D7947">
        <w:tab/>
        <w:t>The responsible entity, operator or driver must ensure the information in the container weight declaration is in a form readily available to an authorised officer who seeks to ascertain it while in the presence of the freight container, including, for example, by—</w:t>
      </w:r>
    </w:p>
    <w:p w14:paraId="1B889FBD" w14:textId="77777777" w:rsidR="008D7947" w:rsidRPr="008D7947" w:rsidRDefault="008D7947" w:rsidP="008D7947">
      <w:pPr>
        <w:pStyle w:val="Apara"/>
      </w:pPr>
      <w:r>
        <w:tab/>
        <w:t>(a)</w:t>
      </w:r>
      <w:r>
        <w:tab/>
      </w:r>
      <w:r w:rsidRPr="008D7947">
        <w:t>examining documents located in the heavy vehicle on which the freight container is loaded or to be loaded; or</w:t>
      </w:r>
    </w:p>
    <w:p w14:paraId="6364DE0A" w14:textId="77777777" w:rsidR="00DB1C26" w:rsidRDefault="00DB1C26" w:rsidP="00DB1C26">
      <w:pPr>
        <w:pStyle w:val="Apara"/>
        <w:rPr>
          <w:lang w:val="en"/>
        </w:rPr>
      </w:pPr>
      <w:r w:rsidRPr="003323FC">
        <w:tab/>
        <w:t>(b)</w:t>
      </w:r>
      <w:r w:rsidRPr="003323FC">
        <w:tab/>
      </w:r>
      <w:r>
        <w:rPr>
          <w:lang w:val="en"/>
        </w:rPr>
        <w:t>examining documents made available to the authorised officer on an electronic device or otherwise in electronic form.</w:t>
      </w:r>
    </w:p>
    <w:p w14:paraId="2FA7114E" w14:textId="77777777" w:rsidR="00DB6E47" w:rsidRPr="005E03F7" w:rsidRDefault="00DB6E47" w:rsidP="00DB6E47">
      <w:pPr>
        <w:pStyle w:val="AH3Div"/>
      </w:pPr>
      <w:bookmarkStart w:id="234" w:name="_Toc83625578"/>
      <w:r w:rsidRPr="005E03F7">
        <w:rPr>
          <w:rStyle w:val="CharDivNo"/>
        </w:rPr>
        <w:t xml:space="preserve">Division 5 </w:t>
      </w:r>
      <w:r w:rsidRPr="00A95F9A">
        <w:rPr>
          <w:rFonts w:ascii="Helvetica" w:hAnsi="Helvetica" w:cs="Helvetica"/>
          <w:iCs/>
          <w:szCs w:val="28"/>
        </w:rPr>
        <w:tab/>
      </w:r>
      <w:r w:rsidRPr="005E03F7">
        <w:rPr>
          <w:rStyle w:val="CharDivText"/>
          <w:rFonts w:ascii="Helvetica" w:hAnsi="Helvetica" w:cs="Helvetica"/>
          <w:iCs/>
          <w:szCs w:val="28"/>
        </w:rPr>
        <w:t>Other offences</w:t>
      </w:r>
      <w:bookmarkEnd w:id="234"/>
    </w:p>
    <w:p w14:paraId="374FB7DA" w14:textId="77777777" w:rsidR="00DB6E47" w:rsidRPr="007E1F9A" w:rsidRDefault="00DB6E47" w:rsidP="00DB6E47">
      <w:pPr>
        <w:pStyle w:val="AH5Sec"/>
      </w:pPr>
      <w:bookmarkStart w:id="235" w:name="_Toc83625579"/>
      <w:r w:rsidRPr="005E03F7">
        <w:rPr>
          <w:rStyle w:val="CharSectNo"/>
        </w:rPr>
        <w:t>193</w:t>
      </w:r>
      <w:r w:rsidRPr="007E1F9A">
        <w:tab/>
        <w:t>Weight of freight container exceeding weight stated on container or safety approval plate</w:t>
      </w:r>
      <w:bookmarkEnd w:id="235"/>
    </w:p>
    <w:p w14:paraId="084CE9DC" w14:textId="77777777" w:rsidR="00DB6E47" w:rsidRPr="009B0C0B" w:rsidRDefault="00DB6E47" w:rsidP="00DB6E47">
      <w:pPr>
        <w:pStyle w:val="Amain"/>
      </w:pPr>
      <w:r w:rsidRPr="009B0C0B">
        <w:tab/>
        <w:t>(1)</w:t>
      </w:r>
      <w:r w:rsidRPr="009B0C0B">
        <w:tab/>
        <w:t>This section applies if a freight container contains goods consigned for road transport using a heavy vehicle, or for transport partly by road using a heavy vehicle and partly by some other means.</w:t>
      </w:r>
    </w:p>
    <w:p w14:paraId="09B4513A" w14:textId="77777777" w:rsidR="00DB57F2" w:rsidRPr="00DB57F2" w:rsidRDefault="00DB57F2" w:rsidP="00DB57F2">
      <w:pPr>
        <w:pStyle w:val="Amain"/>
        <w:rPr>
          <w:lang w:val="en" w:eastAsia="en-AU"/>
        </w:rPr>
      </w:pPr>
      <w:r>
        <w:rPr>
          <w:lang w:val="en" w:eastAsia="en-AU"/>
        </w:rPr>
        <w:tab/>
      </w:r>
      <w:r w:rsidRPr="00DB57F2">
        <w:rPr>
          <w:lang w:val="en" w:eastAsia="en-AU"/>
        </w:rPr>
        <w:t>(2)</w:t>
      </w:r>
      <w:r>
        <w:rPr>
          <w:lang w:val="en" w:eastAsia="en-AU"/>
        </w:rPr>
        <w:tab/>
      </w:r>
      <w:r w:rsidRPr="00DB57F2">
        <w:rPr>
          <w:lang w:val="en" w:eastAsia="en-AU"/>
        </w:rPr>
        <w:t>Each consignor or packer of the goods must ensure, so far as is reasonably practicable, the weight of the container does not exceed the maximum gross weight marked on—</w:t>
      </w:r>
    </w:p>
    <w:p w14:paraId="659CC94D" w14:textId="77777777" w:rsidR="00DB57F2" w:rsidRPr="00DB57F2" w:rsidRDefault="00DB57F2" w:rsidP="00DB57F2">
      <w:pPr>
        <w:pStyle w:val="Apara"/>
        <w:rPr>
          <w:lang w:val="en" w:eastAsia="en-AU"/>
        </w:rPr>
      </w:pPr>
      <w:r>
        <w:rPr>
          <w:lang w:val="en" w:eastAsia="en-AU"/>
        </w:rPr>
        <w:tab/>
      </w:r>
      <w:r w:rsidRPr="00DB57F2">
        <w:rPr>
          <w:lang w:val="en" w:eastAsia="en-AU"/>
        </w:rPr>
        <w:t>(a)</w:t>
      </w:r>
      <w:r>
        <w:rPr>
          <w:lang w:val="en" w:eastAsia="en-AU"/>
        </w:rPr>
        <w:tab/>
      </w:r>
      <w:r w:rsidRPr="00DB57F2">
        <w:rPr>
          <w:lang w:val="en" w:eastAsia="en-AU"/>
        </w:rPr>
        <w:t>the container; or</w:t>
      </w:r>
    </w:p>
    <w:p w14:paraId="4AE387C2" w14:textId="77777777" w:rsidR="00DB57F2" w:rsidRPr="00DB57F2" w:rsidRDefault="00DB57F2" w:rsidP="00DB57F2">
      <w:pPr>
        <w:pStyle w:val="Apara"/>
        <w:rPr>
          <w:lang w:val="en" w:eastAsia="en-AU"/>
        </w:rPr>
      </w:pPr>
      <w:r>
        <w:rPr>
          <w:lang w:val="en" w:eastAsia="en-AU"/>
        </w:rPr>
        <w:tab/>
      </w:r>
      <w:r w:rsidRPr="00DB57F2">
        <w:rPr>
          <w:lang w:val="en" w:eastAsia="en-AU"/>
        </w:rPr>
        <w:t>(b)</w:t>
      </w:r>
      <w:r>
        <w:rPr>
          <w:lang w:val="en" w:eastAsia="en-AU"/>
        </w:rPr>
        <w:tab/>
      </w:r>
      <w:r w:rsidRPr="00DB57F2">
        <w:rPr>
          <w:lang w:val="en" w:eastAsia="en-AU"/>
        </w:rPr>
        <w:t>the container’s safety approval plate.</w:t>
      </w:r>
    </w:p>
    <w:p w14:paraId="15DBEFD3" w14:textId="77777777" w:rsidR="00DB57F2" w:rsidRPr="00DB57F2" w:rsidRDefault="00DB57F2" w:rsidP="00DB57F2">
      <w:pPr>
        <w:pStyle w:val="Penalty"/>
        <w:rPr>
          <w:lang w:val="en" w:eastAsia="en-AU"/>
        </w:rPr>
      </w:pPr>
      <w:r w:rsidRPr="00DB57F2">
        <w:rPr>
          <w:lang w:val="en" w:eastAsia="en-AU"/>
        </w:rPr>
        <w:t>Maximum penalty—$10000.</w:t>
      </w:r>
    </w:p>
    <w:p w14:paraId="318C3D08" w14:textId="77777777" w:rsidR="00DB6E47" w:rsidRPr="009B0C0B" w:rsidRDefault="00DB6E47" w:rsidP="00DB6E47">
      <w:pPr>
        <w:pStyle w:val="Amain"/>
      </w:pPr>
      <w:r w:rsidRPr="009B0C0B">
        <w:tab/>
        <w:t>(5)</w:t>
      </w:r>
      <w:r w:rsidRPr="009B0C0B">
        <w:tab/>
        <w:t>In this section—</w:t>
      </w:r>
    </w:p>
    <w:p w14:paraId="6C0E2B67" w14:textId="2841D0E4" w:rsidR="00DB6E47" w:rsidRPr="00041046" w:rsidRDefault="00DB6E47" w:rsidP="00DB6E47">
      <w:pPr>
        <w:pStyle w:val="aDef"/>
        <w:rPr>
          <w:bCs/>
        </w:rPr>
      </w:pPr>
      <w:r w:rsidRPr="00041046">
        <w:rPr>
          <w:rStyle w:val="charBoldItals"/>
        </w:rPr>
        <w:t>safety approval plate</w:t>
      </w:r>
      <w:r w:rsidRPr="00041046">
        <w:t xml:space="preserve">, for a freight container, means the safety approval plate required to be attached to the container under the International Convention for Safe Containers set out in Schedule 5 of the </w:t>
      </w:r>
      <w:hyperlink r:id="rId70" w:tooltip="Act 1913 No 4 (Cwlth)" w:history="1">
        <w:r w:rsidR="00EC125A" w:rsidRPr="00EC125A">
          <w:rPr>
            <w:rStyle w:val="charCitHyperlinkItal"/>
          </w:rPr>
          <w:t>Navigation Act 1912</w:t>
        </w:r>
      </w:hyperlink>
      <w:r w:rsidRPr="00041046">
        <w:t xml:space="preserve"> of the Commonwealth.</w:t>
      </w:r>
    </w:p>
    <w:p w14:paraId="76A403E7" w14:textId="77777777" w:rsidR="00DB6E47" w:rsidRPr="003D647F" w:rsidRDefault="00DB6E47" w:rsidP="00DB6E47">
      <w:pPr>
        <w:pStyle w:val="PageBreak"/>
      </w:pPr>
      <w:r w:rsidRPr="003D647F">
        <w:br w:type="page"/>
      </w:r>
    </w:p>
    <w:p w14:paraId="0D36ADEE" w14:textId="51916E8E" w:rsidR="00DB6E47" w:rsidRPr="005E03F7" w:rsidRDefault="00DB6E47" w:rsidP="00DB6E47">
      <w:pPr>
        <w:pStyle w:val="AH2Part"/>
      </w:pPr>
      <w:bookmarkStart w:id="236" w:name="_Toc83625580"/>
      <w:r w:rsidRPr="005E03F7">
        <w:rPr>
          <w:rStyle w:val="CharPartNo"/>
        </w:rPr>
        <w:lastRenderedPageBreak/>
        <w:t>Part 4.10</w:t>
      </w:r>
      <w:r w:rsidRPr="00A95F9A">
        <w:rPr>
          <w:rFonts w:ascii="Helvetica" w:hAnsi="Helvetica" w:cs="Helvetica"/>
          <w:iCs/>
          <w:szCs w:val="32"/>
        </w:rPr>
        <w:tab/>
      </w:r>
      <w:r w:rsidRPr="005E03F7">
        <w:rPr>
          <w:rStyle w:val="CharPartText"/>
          <w:rFonts w:ascii="Helvetica" w:hAnsi="Helvetica" w:cs="Helvetica"/>
          <w:iCs/>
          <w:szCs w:val="32"/>
        </w:rPr>
        <w:t>Other provisions</w:t>
      </w:r>
      <w:bookmarkEnd w:id="236"/>
    </w:p>
    <w:p w14:paraId="05BB446D" w14:textId="77777777" w:rsidR="009C5D51" w:rsidRDefault="009C5D51" w:rsidP="00681238">
      <w:pPr>
        <w:pStyle w:val="Placeholder"/>
        <w:suppressLineNumbers/>
      </w:pPr>
      <w:r>
        <w:rPr>
          <w:rStyle w:val="CharDivNo"/>
          <w:rFonts w:eastAsiaTheme="minorEastAsia"/>
        </w:rPr>
        <w:t xml:space="preserve">  </w:t>
      </w:r>
      <w:r>
        <w:rPr>
          <w:rStyle w:val="CharDivText"/>
        </w:rPr>
        <w:t xml:space="preserve">  </w:t>
      </w:r>
    </w:p>
    <w:p w14:paraId="7C3CCF94" w14:textId="77777777" w:rsidR="00DB6E47" w:rsidRPr="007E1F9A" w:rsidRDefault="00DB6E47" w:rsidP="00DB6E47">
      <w:pPr>
        <w:pStyle w:val="AH5Sec"/>
      </w:pPr>
      <w:bookmarkStart w:id="237" w:name="_Toc83625581"/>
      <w:r w:rsidRPr="005E03F7">
        <w:rPr>
          <w:rStyle w:val="CharSectNo"/>
        </w:rPr>
        <w:t>195</w:t>
      </w:r>
      <w:r w:rsidRPr="007E1F9A">
        <w:tab/>
        <w:t>Conflicting mass requirements</w:t>
      </w:r>
      <w:bookmarkEnd w:id="237"/>
    </w:p>
    <w:p w14:paraId="43F453A1" w14:textId="77777777" w:rsidR="00DB6E47" w:rsidRPr="009B0C0B" w:rsidRDefault="00DB6E47" w:rsidP="00DB6E47">
      <w:pPr>
        <w:pStyle w:val="Amain"/>
      </w:pPr>
      <w:r w:rsidRPr="009B0C0B">
        <w:tab/>
        <w:t>(1)</w:t>
      </w:r>
      <w:r w:rsidRPr="009B0C0B">
        <w:tab/>
        <w:t>This section applies if 2 or more conflicting mass requirements apply to a heavy vehicle.</w:t>
      </w:r>
    </w:p>
    <w:p w14:paraId="0F3932DD" w14:textId="77777777" w:rsidR="00DB6E47" w:rsidRPr="009B0C0B" w:rsidRDefault="00DB6E47" w:rsidP="00DB6E47">
      <w:pPr>
        <w:pStyle w:val="Amain"/>
      </w:pPr>
      <w:r w:rsidRPr="009B0C0B">
        <w:tab/>
        <w:t>(2)</w:t>
      </w:r>
      <w:r w:rsidRPr="009B0C0B">
        <w:tab/>
        <w:t>Of the conflicting requirements, the requirement imposing the lower or lowest mass limit applies to the heavy vehicle and the other requirement or requirements must be disregarded to the extent of the conflict.</w:t>
      </w:r>
    </w:p>
    <w:p w14:paraId="206106ED" w14:textId="77777777" w:rsidR="00DB6E47" w:rsidRPr="007E1F9A" w:rsidRDefault="00DB6E47" w:rsidP="00DB6E47">
      <w:pPr>
        <w:pStyle w:val="AH5Sec"/>
      </w:pPr>
      <w:bookmarkStart w:id="238" w:name="_Toc83625582"/>
      <w:r w:rsidRPr="005E03F7">
        <w:rPr>
          <w:rStyle w:val="CharSectNo"/>
        </w:rPr>
        <w:t>196</w:t>
      </w:r>
      <w:r w:rsidRPr="007E1F9A">
        <w:tab/>
        <w:t>Conflicting dimension requirements</w:t>
      </w:r>
      <w:bookmarkEnd w:id="238"/>
    </w:p>
    <w:p w14:paraId="4553863E" w14:textId="77777777" w:rsidR="00DB6E47" w:rsidRPr="009B0C0B" w:rsidRDefault="00DB6E47" w:rsidP="00DB6E47">
      <w:pPr>
        <w:pStyle w:val="Amain"/>
      </w:pPr>
      <w:r w:rsidRPr="009B0C0B">
        <w:tab/>
        <w:t>(1)</w:t>
      </w:r>
      <w:r w:rsidRPr="009B0C0B">
        <w:tab/>
        <w:t>This section applies if 2 or more conflicting dimension requirements apply to a heavy vehicle.</w:t>
      </w:r>
    </w:p>
    <w:p w14:paraId="3051D1B0" w14:textId="77777777" w:rsidR="00DB6E47" w:rsidRPr="009B0C0B" w:rsidRDefault="00DB6E47" w:rsidP="00DB6E47">
      <w:pPr>
        <w:pStyle w:val="Amain"/>
      </w:pPr>
      <w:r w:rsidRPr="009B0C0B">
        <w:tab/>
        <w:t>(2)</w:t>
      </w:r>
      <w:r w:rsidRPr="009B0C0B">
        <w:tab/>
        <w:t>Of the conflicting requirements, the requirement imposing the more or most restrictive dimension limit applies to the heavy vehicle and the other requirement or requirements must be disregarded to the extent of the conflict.</w:t>
      </w:r>
    </w:p>
    <w:p w14:paraId="4DE62C9F" w14:textId="77777777" w:rsidR="00DB6E47" w:rsidRPr="007E1F9A" w:rsidRDefault="00DB6E47" w:rsidP="00DB6E47">
      <w:pPr>
        <w:pStyle w:val="AH5Sec"/>
      </w:pPr>
      <w:bookmarkStart w:id="239" w:name="_Toc83625583"/>
      <w:r w:rsidRPr="005E03F7">
        <w:rPr>
          <w:rStyle w:val="CharSectNo"/>
        </w:rPr>
        <w:t>197</w:t>
      </w:r>
      <w:r w:rsidRPr="007E1F9A">
        <w:tab/>
        <w:t>Exemption from compliance with particular requirements in emergency</w:t>
      </w:r>
      <w:bookmarkEnd w:id="239"/>
    </w:p>
    <w:p w14:paraId="124AA7E1" w14:textId="77777777" w:rsidR="00DB6E47" w:rsidRPr="009B0C0B" w:rsidRDefault="00DB6E47" w:rsidP="00DB6E47">
      <w:pPr>
        <w:pStyle w:val="Amain"/>
      </w:pPr>
      <w:r w:rsidRPr="009B0C0B">
        <w:tab/>
        <w:t>(1)</w:t>
      </w:r>
      <w:r w:rsidRPr="009B0C0B">
        <w:tab/>
        <w:t>The Regulator may, orally or in writing, exempt a heavy vehicle, or the driver or operator of a heavy vehicle, from a prescribed requirement if the Regulator is satisfied—</w:t>
      </w:r>
    </w:p>
    <w:p w14:paraId="55172D97" w14:textId="77777777" w:rsidR="00DB6E47" w:rsidRPr="005441A8" w:rsidRDefault="00DB6E47" w:rsidP="00DB6E47">
      <w:pPr>
        <w:pStyle w:val="Apara"/>
      </w:pPr>
      <w:r w:rsidRPr="005441A8">
        <w:tab/>
        <w:t>(a)</w:t>
      </w:r>
      <w:r w:rsidRPr="005441A8">
        <w:tab/>
        <w:t>the vehicle is being used, or is intended to be used, in an emergency, including, for example, a fire, explosion or natural disaster—</w:t>
      </w:r>
    </w:p>
    <w:p w14:paraId="753CE54D" w14:textId="77777777" w:rsidR="00DB6E47" w:rsidRPr="00516F02" w:rsidRDefault="00DB6E47" w:rsidP="00DB6E47">
      <w:pPr>
        <w:pStyle w:val="Asubpara"/>
      </w:pPr>
      <w:r w:rsidRPr="00516F02">
        <w:tab/>
        <w:t>(i)</w:t>
      </w:r>
      <w:r w:rsidRPr="00516F02">
        <w:tab/>
        <w:t>to protect life or property; or</w:t>
      </w:r>
    </w:p>
    <w:p w14:paraId="3C35A6F2" w14:textId="77777777" w:rsidR="00DB6E47" w:rsidRPr="00516F02" w:rsidRDefault="00DB6E47" w:rsidP="00DB6E47">
      <w:pPr>
        <w:pStyle w:val="Asubpara"/>
      </w:pPr>
      <w:r w:rsidRPr="00516F02">
        <w:tab/>
        <w:t>(ii)</w:t>
      </w:r>
      <w:r w:rsidRPr="00516F02">
        <w:tab/>
        <w:t>to restore communication or the supply of energy or water or services, including, for example, sewage disposal; and</w:t>
      </w:r>
    </w:p>
    <w:p w14:paraId="71526202" w14:textId="77777777" w:rsidR="00DB6E47" w:rsidRPr="005441A8" w:rsidRDefault="00DB6E47" w:rsidP="00DB6E47">
      <w:pPr>
        <w:pStyle w:val="Apara"/>
      </w:pPr>
      <w:r w:rsidRPr="005441A8">
        <w:lastRenderedPageBreak/>
        <w:tab/>
        <w:t>(b)</w:t>
      </w:r>
      <w:r w:rsidRPr="005441A8">
        <w:tab/>
        <w:t>granting the exemption will not create an unreasonable danger to other road users.</w:t>
      </w:r>
    </w:p>
    <w:p w14:paraId="0086ED9A" w14:textId="77777777" w:rsidR="00DB6E47" w:rsidRPr="009B0C0B" w:rsidRDefault="00DB6E47" w:rsidP="00DB6E47">
      <w:pPr>
        <w:pStyle w:val="Amain"/>
      </w:pPr>
      <w:r w:rsidRPr="009B0C0B">
        <w:tab/>
        <w:t>(2)</w:t>
      </w:r>
      <w:r w:rsidRPr="009B0C0B">
        <w:tab/>
        <w:t>An exe</w:t>
      </w:r>
      <w:r w:rsidR="002C6BB1">
        <w:t xml:space="preserve">mption granted under subsection </w:t>
      </w:r>
      <w:r w:rsidRPr="009B0C0B">
        <w:t>(1)</w:t>
      </w:r>
      <w:r w:rsidR="002C6BB1">
        <w:t xml:space="preserve"> </w:t>
      </w:r>
      <w:r w:rsidRPr="009B0C0B">
        <w:t>may be subject to conditions the Regulator considers appropriate.</w:t>
      </w:r>
    </w:p>
    <w:p w14:paraId="5355DE9F" w14:textId="77777777" w:rsidR="00DB6E47" w:rsidRPr="009B0C0B" w:rsidRDefault="00DB6E47" w:rsidP="00DB6E47">
      <w:pPr>
        <w:pStyle w:val="Amain"/>
      </w:pPr>
      <w:r w:rsidRPr="009B0C0B">
        <w:tab/>
        <w:t>(3)</w:t>
      </w:r>
      <w:r w:rsidRPr="009B0C0B">
        <w:tab/>
        <w:t>If an exemption is granted orally under subsection (1), the Regulator must, as soon as practicable—</w:t>
      </w:r>
    </w:p>
    <w:p w14:paraId="204A6403" w14:textId="77777777" w:rsidR="00DB6E47" w:rsidRPr="005441A8" w:rsidRDefault="00DB6E47" w:rsidP="00DB6E47">
      <w:pPr>
        <w:pStyle w:val="Apara"/>
      </w:pPr>
      <w:r w:rsidRPr="005441A8">
        <w:tab/>
        <w:t>(a)</w:t>
      </w:r>
      <w:r w:rsidRPr="005441A8">
        <w:tab/>
        <w:t>make a written record of the exemption and any conditions to which it is subject; and</w:t>
      </w:r>
    </w:p>
    <w:p w14:paraId="60EB9BC2" w14:textId="77777777" w:rsidR="00DB6E47" w:rsidRPr="005441A8" w:rsidRDefault="00DB6E47" w:rsidP="00DB6E47">
      <w:pPr>
        <w:pStyle w:val="Apara"/>
      </w:pPr>
      <w:r w:rsidRPr="005441A8">
        <w:tab/>
        <w:t>(b)</w:t>
      </w:r>
      <w:r w:rsidRPr="005441A8">
        <w:tab/>
        <w:t>give a copy of the written record to an operator of the heavy vehicle to which it relates.</w:t>
      </w:r>
    </w:p>
    <w:p w14:paraId="49C3450E" w14:textId="77777777" w:rsidR="00DB6E47" w:rsidRPr="009B0C0B" w:rsidRDefault="00DB6E47" w:rsidP="00DB6E47">
      <w:pPr>
        <w:pStyle w:val="Amain"/>
      </w:pPr>
      <w:r w:rsidRPr="009B0C0B">
        <w:tab/>
        <w:t>(4)</w:t>
      </w:r>
      <w:r w:rsidRPr="009B0C0B">
        <w:tab/>
        <w:t>An exemption under this section has effect only while the conditions, if any, to which it is subject are complied with.</w:t>
      </w:r>
    </w:p>
    <w:p w14:paraId="633D1349" w14:textId="77777777" w:rsidR="00DB6E47" w:rsidRPr="009B0C0B" w:rsidRDefault="00DB6E47" w:rsidP="00DB6E47">
      <w:pPr>
        <w:pStyle w:val="Amain"/>
      </w:pPr>
      <w:r w:rsidRPr="009B0C0B">
        <w:tab/>
        <w:t>(5)</w:t>
      </w:r>
      <w:r w:rsidRPr="009B0C0B">
        <w:tab/>
        <w:t>The Regulator is to notify the relevant road authority of the grant o</w:t>
      </w:r>
      <w:r w:rsidR="002C6BB1">
        <w:t xml:space="preserve">f an exemption under subsection </w:t>
      </w:r>
      <w:r w:rsidRPr="009B0C0B">
        <w:t>(1)</w:t>
      </w:r>
      <w:r w:rsidR="002C6BB1">
        <w:t xml:space="preserve"> </w:t>
      </w:r>
      <w:r w:rsidRPr="009B0C0B">
        <w:t>as soon as practicable after it is granted.</w:t>
      </w:r>
    </w:p>
    <w:p w14:paraId="3919B242" w14:textId="77777777" w:rsidR="00DB6E47" w:rsidRPr="009B0C0B" w:rsidRDefault="00DB6E47" w:rsidP="00DB6E47">
      <w:pPr>
        <w:pStyle w:val="Amain"/>
      </w:pPr>
      <w:r w:rsidRPr="009B0C0B">
        <w:tab/>
        <w:t>(6)</w:t>
      </w:r>
      <w:r w:rsidRPr="009B0C0B">
        <w:tab/>
        <w:t>In this section—</w:t>
      </w:r>
    </w:p>
    <w:p w14:paraId="29D8668B" w14:textId="77777777" w:rsidR="00DB6E47" w:rsidRPr="00041046" w:rsidRDefault="00DB6E47" w:rsidP="00DB6E47">
      <w:pPr>
        <w:pStyle w:val="aDef"/>
        <w:rPr>
          <w:bCs/>
        </w:rPr>
      </w:pPr>
      <w:r w:rsidRPr="00041046">
        <w:rPr>
          <w:rStyle w:val="charBoldItals"/>
        </w:rPr>
        <w:t>prescribed requirement</w:t>
      </w:r>
      <w:r w:rsidRPr="00041046">
        <w:t xml:space="preserve"> means—</w:t>
      </w:r>
    </w:p>
    <w:p w14:paraId="6DE2B0CB" w14:textId="77777777" w:rsidR="00DB6E47" w:rsidRPr="002C6BB1" w:rsidRDefault="00DB6E47" w:rsidP="00DB6E47">
      <w:pPr>
        <w:pStyle w:val="aDefpara"/>
      </w:pPr>
      <w:r w:rsidRPr="00FF4454">
        <w:tab/>
      </w:r>
      <w:r w:rsidRPr="00F04D8E">
        <w:rPr>
          <w:rFonts w:cs="Times"/>
          <w:bCs/>
          <w:iCs/>
        </w:rPr>
        <w:t>(a)</w:t>
      </w:r>
      <w:r w:rsidRPr="00FF4454">
        <w:rPr>
          <w:rStyle w:val="charBoldItals"/>
        </w:rPr>
        <w:tab/>
      </w:r>
      <w:r w:rsidRPr="002C6BB1">
        <w:t>a mass requirement; or</w:t>
      </w:r>
    </w:p>
    <w:p w14:paraId="2CA554D5" w14:textId="77777777" w:rsidR="00DB6E47" w:rsidRPr="002C6BB1" w:rsidRDefault="00DB6E47" w:rsidP="00DB6E47">
      <w:pPr>
        <w:pStyle w:val="aDefpara"/>
      </w:pPr>
      <w:r w:rsidRPr="002C6BB1">
        <w:tab/>
        <w:t>(b)</w:t>
      </w:r>
      <w:r w:rsidRPr="002C6BB1">
        <w:tab/>
        <w:t>a dimension requirement; or</w:t>
      </w:r>
    </w:p>
    <w:p w14:paraId="5DB4373C" w14:textId="77777777" w:rsidR="00DB6E47" w:rsidRPr="002C6BB1" w:rsidRDefault="00DB6E47" w:rsidP="00DB6E47">
      <w:pPr>
        <w:pStyle w:val="aDefpara"/>
      </w:pPr>
      <w:r w:rsidRPr="002C6BB1">
        <w:tab/>
        <w:t>(c)</w:t>
      </w:r>
      <w:r w:rsidRPr="002C6BB1">
        <w:tab/>
        <w:t>a requirement under Part 4.5, including, for example, a requirement to comply with a condition of an exemption under that Part; or</w:t>
      </w:r>
    </w:p>
    <w:p w14:paraId="65B7DA0D" w14:textId="77777777" w:rsidR="00DB6E47" w:rsidRPr="002C6BB1" w:rsidRDefault="00DB6E47" w:rsidP="00DB6E47">
      <w:pPr>
        <w:pStyle w:val="aDefpara"/>
      </w:pPr>
      <w:r w:rsidRPr="002C6BB1">
        <w:tab/>
        <w:t>(d)</w:t>
      </w:r>
      <w:r w:rsidRPr="002C6BB1">
        <w:tab/>
        <w:t>a requirement under Part 4.6, including, for example, a requirement to comply with a condition of an authorisation under that Part.</w:t>
      </w:r>
    </w:p>
    <w:p w14:paraId="59351C15" w14:textId="77777777" w:rsidR="00DB6E47" w:rsidRPr="00041046" w:rsidRDefault="00DB6E47" w:rsidP="00DB6E47">
      <w:pPr>
        <w:pStyle w:val="aDef"/>
        <w:rPr>
          <w:bCs/>
        </w:rPr>
      </w:pPr>
      <w:r w:rsidRPr="00041046">
        <w:rPr>
          <w:rStyle w:val="charBoldItals"/>
        </w:rPr>
        <w:t>relevant road authority</w:t>
      </w:r>
      <w:r w:rsidRPr="00041046">
        <w:t>, for an exemption granted under subsection</w:t>
      </w:r>
      <w:r w:rsidR="002C6BB1">
        <w:t> </w:t>
      </w:r>
      <w:r w:rsidRPr="00041046">
        <w:t>(1), means the road authority for the participating jurisdiction in which the road likely to be travelled under the exemption is situated.</w:t>
      </w:r>
    </w:p>
    <w:p w14:paraId="65833907" w14:textId="77777777" w:rsidR="00DB6E47" w:rsidRPr="007E1F9A" w:rsidRDefault="00DB6E47" w:rsidP="00DB6E47">
      <w:pPr>
        <w:pStyle w:val="AH5Sec"/>
      </w:pPr>
      <w:bookmarkStart w:id="240" w:name="_Toc83625584"/>
      <w:r w:rsidRPr="005E03F7">
        <w:rPr>
          <w:rStyle w:val="CharSectNo"/>
        </w:rPr>
        <w:lastRenderedPageBreak/>
        <w:t>198</w:t>
      </w:r>
      <w:r w:rsidRPr="007E1F9A">
        <w:tab/>
        <w:t>Recovery of losses arising from non-provision of container weight declaration</w:t>
      </w:r>
      <w:bookmarkEnd w:id="240"/>
    </w:p>
    <w:p w14:paraId="762FB4DB" w14:textId="77777777" w:rsidR="00DB6E47" w:rsidRPr="009B0C0B" w:rsidRDefault="00DB6E47" w:rsidP="00DB6E47">
      <w:pPr>
        <w:pStyle w:val="Amain"/>
      </w:pPr>
      <w:r w:rsidRPr="009B0C0B">
        <w:tab/>
        <w:t>(1)</w:t>
      </w:r>
      <w:r w:rsidRPr="009B0C0B">
        <w:tab/>
        <w:t>This section applies if the driver of a heavy vehicle transporting a freight container by road using the vehicle has not been provided with a container weight declaration for the freight container before starting to transport the freight container.</w:t>
      </w:r>
    </w:p>
    <w:p w14:paraId="1F3A244E" w14:textId="77777777" w:rsidR="00DB6E47" w:rsidRPr="009B0C0B" w:rsidRDefault="00DB6E47" w:rsidP="00DB6E47">
      <w:pPr>
        <w:pStyle w:val="Amain"/>
      </w:pPr>
      <w:r w:rsidRPr="009B0C0B">
        <w:tab/>
        <w:t>(2)</w:t>
      </w:r>
      <w:r w:rsidRPr="009B0C0B">
        <w:tab/>
        <w:t xml:space="preserve">A person who has incurred a loss as a result of the declaration not being provided (the </w:t>
      </w:r>
      <w:r w:rsidRPr="00FF4454">
        <w:rPr>
          <w:rStyle w:val="charBoldItals"/>
        </w:rPr>
        <w:t>plaintiff</w:t>
      </w:r>
      <w:r w:rsidRPr="009B0C0B">
        <w:t>) has a right to recover the loss from the responsible entity for the freight container.</w:t>
      </w:r>
    </w:p>
    <w:p w14:paraId="148F89CC" w14:textId="77777777" w:rsidR="00DB6E47" w:rsidRPr="009B0C0B" w:rsidRDefault="00DB6E47" w:rsidP="00DB6E47">
      <w:pPr>
        <w:pStyle w:val="Amain"/>
      </w:pPr>
      <w:r w:rsidRPr="009B0C0B">
        <w:tab/>
        <w:t>(3)</w:t>
      </w:r>
      <w:r w:rsidRPr="009B0C0B">
        <w:tab/>
        <w:t>For the purposes of subsection (2), the losses that may be recovered include the following—</w:t>
      </w:r>
    </w:p>
    <w:p w14:paraId="61A61932" w14:textId="77777777" w:rsidR="00DB6E47" w:rsidRPr="005441A8" w:rsidRDefault="00DB6E47" w:rsidP="00DB6E47">
      <w:pPr>
        <w:pStyle w:val="Apara"/>
      </w:pPr>
      <w:r w:rsidRPr="005441A8">
        <w:tab/>
        <w:t>(a)</w:t>
      </w:r>
      <w:r w:rsidRPr="005441A8">
        <w:tab/>
        <w:t>loss incurred from delays in the delivery of the freight container, any of its contents or any other goods;</w:t>
      </w:r>
    </w:p>
    <w:p w14:paraId="3C2174F2" w14:textId="77777777" w:rsidR="00DB6E47" w:rsidRPr="005441A8" w:rsidRDefault="00DB6E47" w:rsidP="00DB6E47">
      <w:pPr>
        <w:pStyle w:val="Apara"/>
      </w:pPr>
      <w:r w:rsidRPr="005441A8">
        <w:tab/>
        <w:t>(b)</w:t>
      </w:r>
      <w:r w:rsidRPr="005441A8">
        <w:tab/>
        <w:t>loss incurred from the damage to or spoliation of anything contained in the freight container;</w:t>
      </w:r>
    </w:p>
    <w:p w14:paraId="6A904353" w14:textId="77777777" w:rsidR="00DB6E47" w:rsidRPr="005441A8" w:rsidRDefault="00DB6E47" w:rsidP="00DB6E47">
      <w:pPr>
        <w:pStyle w:val="Apara"/>
      </w:pPr>
      <w:r w:rsidRPr="005441A8">
        <w:tab/>
        <w:t>(c)</w:t>
      </w:r>
      <w:r w:rsidRPr="005441A8">
        <w:tab/>
        <w:t>loss incurred from providing another heavy vehicle, and loss incurred from delays arising from providing another heavy vehicle;</w:t>
      </w:r>
    </w:p>
    <w:p w14:paraId="3B73B812" w14:textId="77777777" w:rsidR="00DB6E47" w:rsidRPr="005441A8" w:rsidRDefault="00DB6E47" w:rsidP="00DB6E47">
      <w:pPr>
        <w:pStyle w:val="Apara"/>
      </w:pPr>
      <w:r w:rsidRPr="005441A8">
        <w:tab/>
        <w:t>(d)</w:t>
      </w:r>
      <w:r w:rsidRPr="005441A8">
        <w:tab/>
        <w:t>costs or expenses incurred for weighing the freight container or any of its contents.</w:t>
      </w:r>
    </w:p>
    <w:p w14:paraId="61695A1C" w14:textId="77777777" w:rsidR="00DB6E47" w:rsidRPr="009B0C0B" w:rsidRDefault="00DB6E47" w:rsidP="00DB6E47">
      <w:pPr>
        <w:pStyle w:val="Amain"/>
      </w:pPr>
      <w:r w:rsidRPr="009B0C0B">
        <w:tab/>
        <w:t>(4)</w:t>
      </w:r>
      <w:r w:rsidRPr="009B0C0B">
        <w:tab/>
        <w:t>The plaintiff may enforce the plaintiff’s rig</w:t>
      </w:r>
      <w:r w:rsidR="002C6BB1">
        <w:t xml:space="preserve">ht to recovery under subsection </w:t>
      </w:r>
      <w:r w:rsidRPr="009B0C0B">
        <w:t>(2)</w:t>
      </w:r>
      <w:r w:rsidR="002C6BB1">
        <w:t xml:space="preserve"> </w:t>
      </w:r>
      <w:r w:rsidRPr="009B0C0B">
        <w:t>by bringing a proceeding in a court of competent jurisdiction for an order for payment of the monetary value of the loss.</w:t>
      </w:r>
    </w:p>
    <w:p w14:paraId="21B2E0A1" w14:textId="77777777" w:rsidR="00DB6E47" w:rsidRPr="007E1F9A" w:rsidRDefault="00DB6E47" w:rsidP="00DB6E47">
      <w:pPr>
        <w:pStyle w:val="AH5Sec"/>
      </w:pPr>
      <w:bookmarkStart w:id="241" w:name="_Toc83625585"/>
      <w:r w:rsidRPr="005E03F7">
        <w:rPr>
          <w:rStyle w:val="CharSectNo"/>
        </w:rPr>
        <w:t>199</w:t>
      </w:r>
      <w:r w:rsidRPr="007E1F9A">
        <w:tab/>
        <w:t>Recovery of losses for provision of inaccurate container weight declaration</w:t>
      </w:r>
      <w:bookmarkEnd w:id="241"/>
    </w:p>
    <w:p w14:paraId="66604F03" w14:textId="77777777" w:rsidR="00DB6E47" w:rsidRPr="009B0C0B" w:rsidRDefault="00DB6E47" w:rsidP="00EC4440">
      <w:pPr>
        <w:pStyle w:val="Amain"/>
        <w:keepNext/>
      </w:pPr>
      <w:r w:rsidRPr="009B0C0B">
        <w:tab/>
        <w:t>(1)</w:t>
      </w:r>
      <w:r w:rsidRPr="009B0C0B">
        <w:tab/>
        <w:t>This section applies if—</w:t>
      </w:r>
    </w:p>
    <w:p w14:paraId="17C40DB8" w14:textId="77777777" w:rsidR="00DB6E47" w:rsidRPr="005441A8" w:rsidRDefault="00DB6E47" w:rsidP="00DB6E47">
      <w:pPr>
        <w:pStyle w:val="Apara"/>
      </w:pPr>
      <w:r w:rsidRPr="005441A8">
        <w:tab/>
        <w:t>(a)</w:t>
      </w:r>
      <w:r w:rsidRPr="005441A8">
        <w:tab/>
        <w:t xml:space="preserve">an operator or driver of a heavy vehicle transporting a freight container by road using the vehicle has been provided with a container weight declaration for the freight container; and </w:t>
      </w:r>
    </w:p>
    <w:p w14:paraId="574F0756" w14:textId="77777777" w:rsidR="00DB6E47" w:rsidRPr="005441A8" w:rsidRDefault="00DB6E47" w:rsidP="00DB6E47">
      <w:pPr>
        <w:pStyle w:val="Apara"/>
      </w:pPr>
      <w:r w:rsidRPr="005441A8">
        <w:lastRenderedPageBreak/>
        <w:tab/>
        <w:t>(b)</w:t>
      </w:r>
      <w:r w:rsidRPr="005441A8">
        <w:tab/>
        <w:t xml:space="preserve">the declaration contains information (the </w:t>
      </w:r>
      <w:r w:rsidRPr="00FF4454">
        <w:rPr>
          <w:rStyle w:val="charBoldItals"/>
        </w:rPr>
        <w:t>false or misleading information</w:t>
      </w:r>
      <w:r w:rsidRPr="005441A8">
        <w:t>) that is false or misleading because it—</w:t>
      </w:r>
    </w:p>
    <w:p w14:paraId="0DD950A0" w14:textId="77777777" w:rsidR="00DB6E47" w:rsidRPr="00516F02" w:rsidRDefault="00DB6E47" w:rsidP="00DB6E47">
      <w:pPr>
        <w:pStyle w:val="Asubpara"/>
      </w:pPr>
      <w:r w:rsidRPr="00516F02">
        <w:tab/>
        <w:t>(i)</w:t>
      </w:r>
      <w:r w:rsidRPr="00516F02">
        <w:tab/>
        <w:t>understates the weight of the container; or</w:t>
      </w:r>
    </w:p>
    <w:p w14:paraId="64F6D08E" w14:textId="77777777" w:rsidR="00DB6E47" w:rsidRPr="00516F02" w:rsidRDefault="00DB6E47" w:rsidP="00DB6E47">
      <w:pPr>
        <w:pStyle w:val="Asubpara"/>
      </w:pPr>
      <w:r w:rsidRPr="00516F02">
        <w:tab/>
        <w:t>(ii)</w:t>
      </w:r>
      <w:r w:rsidRPr="00516F02">
        <w:tab/>
        <w:t>otherwise indicates the weight of the container is lower than its actual weight; and</w:t>
      </w:r>
    </w:p>
    <w:p w14:paraId="6BABCDE5" w14:textId="77777777" w:rsidR="00DB6E47" w:rsidRPr="005441A8" w:rsidRDefault="00DB6E47" w:rsidP="00DB6E47">
      <w:pPr>
        <w:pStyle w:val="Apara"/>
      </w:pPr>
      <w:r w:rsidRPr="005441A8">
        <w:tab/>
        <w:t>(c)</w:t>
      </w:r>
      <w:r w:rsidRPr="005441A8">
        <w:tab/>
        <w:t>a contravention of a mass requirement applying to the heavy vehicle occurs as a result of the operator or driver relying on the false or misleading information; and</w:t>
      </w:r>
    </w:p>
    <w:p w14:paraId="3906C320" w14:textId="77777777" w:rsidR="00DB6E47" w:rsidRPr="005441A8" w:rsidRDefault="00DB6E47" w:rsidP="00DB6E47">
      <w:pPr>
        <w:pStyle w:val="Apara"/>
      </w:pPr>
      <w:r w:rsidRPr="005441A8">
        <w:tab/>
        <w:t>(d)</w:t>
      </w:r>
      <w:r w:rsidRPr="005441A8">
        <w:tab/>
        <w:t>at the relevant time, the operator or driver either—</w:t>
      </w:r>
    </w:p>
    <w:p w14:paraId="5378830F" w14:textId="77777777" w:rsidR="00DB6E47" w:rsidRPr="00516F02" w:rsidRDefault="00DB6E47" w:rsidP="00DB6E47">
      <w:pPr>
        <w:pStyle w:val="Asubpara"/>
      </w:pPr>
      <w:r w:rsidRPr="00516F02">
        <w:tab/>
        <w:t>(i)</w:t>
      </w:r>
      <w:r w:rsidRPr="00516F02">
        <w:tab/>
        <w:t>had a reasonable belief the vehicle was not in contravention of the mass requirement; or</w:t>
      </w:r>
    </w:p>
    <w:p w14:paraId="5148A785" w14:textId="77777777" w:rsidR="00DB6E47" w:rsidRPr="00516F02" w:rsidRDefault="00DB6E47" w:rsidP="00DB6E47">
      <w:pPr>
        <w:pStyle w:val="Asubpara"/>
      </w:pPr>
      <w:r w:rsidRPr="00516F02">
        <w:tab/>
        <w:t>(ii)</w:t>
      </w:r>
      <w:r w:rsidRPr="00516F02">
        <w:tab/>
        <w:t>did not know, and ought not reasonably to have known, that the minimum weight stated in the declaration was lower than the actual weight of the container.</w:t>
      </w:r>
    </w:p>
    <w:p w14:paraId="6B4F87AF" w14:textId="77777777" w:rsidR="00DB6E47" w:rsidRPr="009B0C0B" w:rsidRDefault="00DB6E47" w:rsidP="00DB6E47">
      <w:pPr>
        <w:pStyle w:val="Amain"/>
      </w:pPr>
      <w:r w:rsidRPr="009B0C0B">
        <w:tab/>
        <w:t>(2)</w:t>
      </w:r>
      <w:r w:rsidRPr="009B0C0B">
        <w:tab/>
        <w:t xml:space="preserve">A person who has incurred a loss as a result of the declaration containing the false or misleading information (the </w:t>
      </w:r>
      <w:r w:rsidRPr="00FF4454">
        <w:rPr>
          <w:rStyle w:val="charBoldItals"/>
        </w:rPr>
        <w:t>plaintiff</w:t>
      </w:r>
      <w:r w:rsidRPr="009B0C0B">
        <w:t>) has a right to recover the loss from the responsible entity for the freight container.</w:t>
      </w:r>
    </w:p>
    <w:p w14:paraId="651533C4" w14:textId="77777777" w:rsidR="00DB6E47" w:rsidRPr="009B0C0B" w:rsidRDefault="00DB6E47" w:rsidP="00DB6E47">
      <w:pPr>
        <w:pStyle w:val="Amain"/>
      </w:pPr>
      <w:r w:rsidRPr="009B0C0B">
        <w:tab/>
        <w:t>(3)</w:t>
      </w:r>
      <w:r w:rsidRPr="009B0C0B">
        <w:tab/>
        <w:t>For the purposes of subsection (2), the losses that may be recovered include the following—</w:t>
      </w:r>
    </w:p>
    <w:p w14:paraId="796FD552" w14:textId="77777777" w:rsidR="00DB6E47" w:rsidRPr="005441A8" w:rsidRDefault="00DB6E47" w:rsidP="00DB6E47">
      <w:pPr>
        <w:pStyle w:val="Apara"/>
      </w:pPr>
      <w:r w:rsidRPr="005441A8">
        <w:tab/>
        <w:t>(a)</w:t>
      </w:r>
      <w:r w:rsidRPr="005441A8">
        <w:tab/>
        <w:t>the amount of a fine or other penalty imposed on the plaintiff for an offence against this Law;</w:t>
      </w:r>
    </w:p>
    <w:p w14:paraId="525792F0" w14:textId="77777777" w:rsidR="00DB6E47" w:rsidRPr="005441A8" w:rsidRDefault="00DB6E47" w:rsidP="00DB6E47">
      <w:pPr>
        <w:pStyle w:val="Apara"/>
      </w:pPr>
      <w:r w:rsidRPr="005441A8">
        <w:tab/>
        <w:t>(b)</w:t>
      </w:r>
      <w:r w:rsidRPr="005441A8">
        <w:tab/>
        <w:t>the amount of a fine or other penalty imposed on an employee or agent of the plaintiff for an offence against this Law and reimbursed by the plaintiff;</w:t>
      </w:r>
    </w:p>
    <w:p w14:paraId="04ACED9D" w14:textId="77777777" w:rsidR="00DB6E47" w:rsidRPr="005441A8" w:rsidRDefault="00DB6E47" w:rsidP="00DB6E47">
      <w:pPr>
        <w:pStyle w:val="Apara"/>
      </w:pPr>
      <w:r w:rsidRPr="005441A8">
        <w:tab/>
        <w:t>(c)</w:t>
      </w:r>
      <w:r w:rsidRPr="005441A8">
        <w:tab/>
        <w:t>loss incurred from delays in the delivery of the freight container, any of its contents, or any other goods;</w:t>
      </w:r>
    </w:p>
    <w:p w14:paraId="79244D24" w14:textId="77777777" w:rsidR="00DB6E47" w:rsidRPr="005441A8" w:rsidRDefault="00DB6E47" w:rsidP="00DB6E47">
      <w:pPr>
        <w:pStyle w:val="Apara"/>
      </w:pPr>
      <w:r w:rsidRPr="005441A8">
        <w:tab/>
        <w:t>(d)</w:t>
      </w:r>
      <w:r w:rsidRPr="005441A8">
        <w:tab/>
        <w:t>loss incurred from the damage to or spoliation of anything contained in the freight container;</w:t>
      </w:r>
    </w:p>
    <w:p w14:paraId="00B04542" w14:textId="77777777" w:rsidR="00DB6E47" w:rsidRPr="005441A8" w:rsidRDefault="00DB6E47" w:rsidP="00DB6E47">
      <w:pPr>
        <w:pStyle w:val="Apara"/>
      </w:pPr>
      <w:r w:rsidRPr="005441A8">
        <w:lastRenderedPageBreak/>
        <w:tab/>
        <w:t>(e)</w:t>
      </w:r>
      <w:r w:rsidRPr="005441A8">
        <w:tab/>
        <w:t>loss incurred from providing another heavy vehicle, and loss incurred from delays arising from providing another heavy vehicle;</w:t>
      </w:r>
    </w:p>
    <w:p w14:paraId="055DAD1A" w14:textId="77777777" w:rsidR="00DB6E47" w:rsidRPr="005441A8" w:rsidRDefault="00DB6E47" w:rsidP="00DB6E47">
      <w:pPr>
        <w:pStyle w:val="Apara"/>
      </w:pPr>
      <w:r w:rsidRPr="005441A8">
        <w:tab/>
        <w:t>(f)</w:t>
      </w:r>
      <w:r w:rsidRPr="005441A8">
        <w:tab/>
        <w:t>costs or expenses incurred for weighing the freight container or any of its contents.</w:t>
      </w:r>
    </w:p>
    <w:p w14:paraId="75C673CB" w14:textId="77777777" w:rsidR="00DB6E47" w:rsidRPr="009B0C0B" w:rsidRDefault="00DB6E47" w:rsidP="00DB6E47">
      <w:pPr>
        <w:pStyle w:val="Amain"/>
      </w:pPr>
      <w:r w:rsidRPr="009B0C0B">
        <w:tab/>
        <w:t>(4)</w:t>
      </w:r>
      <w:r w:rsidRPr="009B0C0B">
        <w:tab/>
        <w:t>The plaintiff may enforce the plaintiff’s rig</w:t>
      </w:r>
      <w:r w:rsidR="002C6BB1">
        <w:t xml:space="preserve">ht to recovery under subsection </w:t>
      </w:r>
      <w:r w:rsidRPr="009B0C0B">
        <w:t>(2)</w:t>
      </w:r>
      <w:r w:rsidR="002C6BB1">
        <w:t xml:space="preserve"> </w:t>
      </w:r>
      <w:r w:rsidRPr="009B0C0B">
        <w:t>by bringing a proceeding in a court of competent jurisdiction for an order for payment of the monetary value of the loss.</w:t>
      </w:r>
    </w:p>
    <w:p w14:paraId="595524AB" w14:textId="77777777" w:rsidR="00DB6E47" w:rsidRPr="007E1F9A" w:rsidRDefault="00DB6E47" w:rsidP="00DB6E47">
      <w:pPr>
        <w:pStyle w:val="AH5Sec"/>
      </w:pPr>
      <w:bookmarkStart w:id="242" w:name="_Toc83625586"/>
      <w:r w:rsidRPr="005E03F7">
        <w:rPr>
          <w:rStyle w:val="CharSectNo"/>
        </w:rPr>
        <w:t>200</w:t>
      </w:r>
      <w:r w:rsidRPr="007E1F9A">
        <w:tab/>
        <w:t>Recovery by responsible entity of amount paid under</w:t>
      </w:r>
      <w:r w:rsidR="009C5D51">
        <w:t> </w:t>
      </w:r>
      <w:r w:rsidRPr="007E1F9A">
        <w:t>s</w:t>
      </w:r>
      <w:r w:rsidR="009C5D51">
        <w:t> </w:t>
      </w:r>
      <w:r w:rsidRPr="007E1F9A">
        <w:t>199</w:t>
      </w:r>
      <w:bookmarkEnd w:id="242"/>
    </w:p>
    <w:p w14:paraId="326CA0B1" w14:textId="77777777" w:rsidR="00DB6E47" w:rsidRPr="009B0C0B" w:rsidRDefault="00DB6E47" w:rsidP="00DB6E47">
      <w:pPr>
        <w:pStyle w:val="Amain"/>
      </w:pPr>
      <w:r w:rsidRPr="009B0C0B">
        <w:tab/>
        <w:t>(1)</w:t>
      </w:r>
      <w:r w:rsidRPr="009B0C0B">
        <w:tab/>
        <w:t xml:space="preserve">This section applies if, under section 199, a person brings a proceeding (a </w:t>
      </w:r>
      <w:r w:rsidRPr="00FF4454">
        <w:rPr>
          <w:rStyle w:val="charBoldItals"/>
        </w:rPr>
        <w:t>recovery proceeding</w:t>
      </w:r>
      <w:r w:rsidRPr="009B0C0B">
        <w:t>) in a court for an order that the responsible entity for a freight container pay the person an amount for loss incurred by the person as a result of the container weight declaration for the freight container containing false or misleading information mentioned in section 199(1)(b).</w:t>
      </w:r>
    </w:p>
    <w:p w14:paraId="0C5D87B6" w14:textId="77777777" w:rsidR="00DB6E47" w:rsidRPr="006C3305" w:rsidRDefault="00DB6E47" w:rsidP="00DB6E47">
      <w:pPr>
        <w:pStyle w:val="Amain"/>
      </w:pPr>
      <w:r>
        <w:tab/>
        <w:t>(</w:t>
      </w:r>
      <w:r w:rsidRPr="006C3305">
        <w:t>2)</w:t>
      </w:r>
      <w:r w:rsidRPr="006C3305">
        <w:tab/>
        <w:t xml:space="preserve">The responsible entity has a right to recover from a person (the </w:t>
      </w:r>
      <w:r w:rsidRPr="00FF4454">
        <w:rPr>
          <w:rStyle w:val="charBoldItals"/>
        </w:rPr>
        <w:t>information provider</w:t>
      </w:r>
      <w:r w:rsidRPr="006C3305">
        <w:t xml:space="preserve">) who provided the responsible entity with all or part of the false or misleading information the part of the amount (the </w:t>
      </w:r>
      <w:r w:rsidRPr="00FF4454">
        <w:rPr>
          <w:rStyle w:val="charBoldItals"/>
        </w:rPr>
        <w:t>attributable amount</w:t>
      </w:r>
      <w:r w:rsidRPr="006C3305">
        <w:t>) attributable to the information provided by the information provider.</w:t>
      </w:r>
    </w:p>
    <w:p w14:paraId="7B2C09AF" w14:textId="77777777" w:rsidR="00DB6E47" w:rsidRPr="009B0C0B" w:rsidRDefault="00DB6E47" w:rsidP="00DB6E47">
      <w:pPr>
        <w:pStyle w:val="Amain"/>
      </w:pPr>
      <w:r w:rsidRPr="009B0C0B">
        <w:tab/>
        <w:t>(3)</w:t>
      </w:r>
      <w:r w:rsidRPr="009B0C0B">
        <w:tab/>
        <w:t>The responsible entity may enforce the entity’s rig</w:t>
      </w:r>
      <w:r w:rsidR="002C6BB1">
        <w:t xml:space="preserve">ht to recovery under subsection </w:t>
      </w:r>
      <w:r w:rsidRPr="009B0C0B">
        <w:t>(2)</w:t>
      </w:r>
      <w:r w:rsidR="002C6BB1">
        <w:t xml:space="preserve"> </w:t>
      </w:r>
      <w:r w:rsidRPr="009B0C0B">
        <w:t>by—</w:t>
      </w:r>
    </w:p>
    <w:p w14:paraId="637C8418" w14:textId="77777777" w:rsidR="00DB6E47" w:rsidRPr="005441A8" w:rsidRDefault="00DB6E47" w:rsidP="00DB6E47">
      <w:pPr>
        <w:pStyle w:val="Apara"/>
      </w:pPr>
      <w:r w:rsidRPr="005441A8">
        <w:tab/>
        <w:t>(a)</w:t>
      </w:r>
      <w:r w:rsidRPr="005441A8">
        <w:tab/>
        <w:t>if the recovery proceeding has not been decided— joining the information provider in the proceeding and applying to the court for an order that the information provider pay the attributable amount to the responsible entity if an order is made under section 199(4); or</w:t>
      </w:r>
    </w:p>
    <w:p w14:paraId="3AE480EF" w14:textId="77777777" w:rsidR="00DB6E47" w:rsidRPr="005441A8" w:rsidRDefault="00DB6E47" w:rsidP="003F0CDD">
      <w:pPr>
        <w:pStyle w:val="Apara"/>
        <w:keepLines/>
      </w:pPr>
      <w:r w:rsidRPr="005441A8">
        <w:lastRenderedPageBreak/>
        <w:tab/>
        <w:t>(b)</w:t>
      </w:r>
      <w:r w:rsidRPr="005441A8">
        <w:tab/>
        <w:t>if the recovery proceeding has been decided—bringing a proceeding in a court of competent jurisdiction for an order that the information provider pay the attributable amount to the responsible entity.</w:t>
      </w:r>
    </w:p>
    <w:p w14:paraId="6B332019" w14:textId="77777777" w:rsidR="00DB6E47" w:rsidRPr="007E1F9A" w:rsidRDefault="00DB6E47" w:rsidP="00DB6E47">
      <w:pPr>
        <w:pStyle w:val="AH5Sec"/>
      </w:pPr>
      <w:bookmarkStart w:id="243" w:name="_Toc83625587"/>
      <w:r w:rsidRPr="005E03F7">
        <w:rPr>
          <w:rStyle w:val="CharSectNo"/>
        </w:rPr>
        <w:t>201</w:t>
      </w:r>
      <w:r w:rsidRPr="007E1F9A">
        <w:tab/>
        <w:t>Assessment of monetary value or attributable amount</w:t>
      </w:r>
      <w:bookmarkEnd w:id="243"/>
    </w:p>
    <w:p w14:paraId="23633FAB" w14:textId="77777777" w:rsidR="00DB6E47" w:rsidRPr="009B0C0B" w:rsidRDefault="00DB6E47" w:rsidP="00DB6E47">
      <w:pPr>
        <w:pStyle w:val="Amain"/>
      </w:pPr>
      <w:r w:rsidRPr="009B0C0B">
        <w:tab/>
        <w:t>(1)</w:t>
      </w:r>
      <w:r w:rsidRPr="009B0C0B">
        <w:tab/>
        <w:t>The court may assess the monetary value of a los</w:t>
      </w:r>
      <w:r w:rsidR="002C6BB1">
        <w:t>s recoverable under section 198</w:t>
      </w:r>
      <w:r w:rsidRPr="009B0C0B">
        <w:t>(2)</w:t>
      </w:r>
      <w:r w:rsidR="002C6BB1">
        <w:t xml:space="preserve"> </w:t>
      </w:r>
      <w:r w:rsidRPr="009B0C0B">
        <w:t>or 199(2), or the attributable amount recoverable under section 200(2), in the way it considers appropriate.</w:t>
      </w:r>
    </w:p>
    <w:p w14:paraId="318E3BD8" w14:textId="77777777" w:rsidR="00DB6E47" w:rsidRPr="009B0C0B" w:rsidRDefault="00DB6E47" w:rsidP="00DB6E47">
      <w:pPr>
        <w:pStyle w:val="Amain"/>
      </w:pPr>
      <w:r w:rsidRPr="009B0C0B">
        <w:tab/>
        <w:t>(2)</w:t>
      </w:r>
      <w:r w:rsidRPr="009B0C0B">
        <w:tab/>
        <w:t>In making the assessment, the court may have regard to the matters it considers appropriate, including any evidence adduced in a proceeding for an offence against this Law.</w:t>
      </w:r>
    </w:p>
    <w:p w14:paraId="389A9434" w14:textId="77777777" w:rsidR="00DB6E47" w:rsidRPr="003D647F" w:rsidRDefault="00DB6E47" w:rsidP="00DB6E47">
      <w:pPr>
        <w:pStyle w:val="PageBreak"/>
      </w:pPr>
      <w:r w:rsidRPr="003D647F">
        <w:br w:type="page"/>
      </w:r>
    </w:p>
    <w:p w14:paraId="1D34545A" w14:textId="77777777" w:rsidR="00DB6E47" w:rsidRPr="005E03F7" w:rsidRDefault="00DB6E47" w:rsidP="00DB6E47">
      <w:pPr>
        <w:pStyle w:val="AH1Chapter"/>
      </w:pPr>
      <w:bookmarkStart w:id="244" w:name="_Toc83625588"/>
      <w:r w:rsidRPr="005E03F7">
        <w:rPr>
          <w:rStyle w:val="CharChapNo"/>
        </w:rPr>
        <w:lastRenderedPageBreak/>
        <w:t xml:space="preserve">Chapter 6 </w:t>
      </w:r>
      <w:r w:rsidRPr="00A95F9A">
        <w:rPr>
          <w:rFonts w:ascii="Helvetica" w:hAnsi="Helvetica" w:cs="Helvetica"/>
          <w:iCs/>
          <w:sz w:val="36"/>
          <w:szCs w:val="36"/>
        </w:rPr>
        <w:tab/>
      </w:r>
      <w:r w:rsidRPr="005E03F7">
        <w:rPr>
          <w:rStyle w:val="CharChapText"/>
          <w:rFonts w:ascii="Helvetica" w:hAnsi="Helvetica" w:cs="Helvetica"/>
          <w:iCs/>
          <w:sz w:val="36"/>
          <w:szCs w:val="36"/>
        </w:rPr>
        <w:t>Vehicle operations—driver fatigue</w:t>
      </w:r>
      <w:bookmarkEnd w:id="244"/>
    </w:p>
    <w:p w14:paraId="7B94C2C7" w14:textId="77777777" w:rsidR="00DB6E47" w:rsidRPr="005E03F7" w:rsidRDefault="00DB6E47" w:rsidP="00DB6E47">
      <w:pPr>
        <w:pStyle w:val="AH2Part"/>
      </w:pPr>
      <w:bookmarkStart w:id="245" w:name="_Toc83625589"/>
      <w:r w:rsidRPr="005E03F7">
        <w:rPr>
          <w:rStyle w:val="CharPartNo"/>
        </w:rPr>
        <w:t xml:space="preserve">Part 6.1 </w:t>
      </w:r>
      <w:r w:rsidRPr="00A95F9A">
        <w:rPr>
          <w:rFonts w:ascii="Helvetica" w:hAnsi="Helvetica" w:cs="Helvetica"/>
          <w:iCs/>
          <w:szCs w:val="32"/>
        </w:rPr>
        <w:tab/>
      </w:r>
      <w:r w:rsidRPr="005E03F7">
        <w:rPr>
          <w:rStyle w:val="CharPartText"/>
          <w:rFonts w:ascii="Helvetica" w:hAnsi="Helvetica" w:cs="Helvetica"/>
          <w:iCs/>
          <w:szCs w:val="32"/>
        </w:rPr>
        <w:t>Preliminary</w:t>
      </w:r>
      <w:bookmarkEnd w:id="245"/>
    </w:p>
    <w:p w14:paraId="15015471" w14:textId="77777777" w:rsidR="00271C9D" w:rsidRDefault="00271C9D" w:rsidP="00271C9D">
      <w:pPr>
        <w:pStyle w:val="Placeholder"/>
        <w:suppressLineNumbers/>
      </w:pPr>
      <w:r>
        <w:rPr>
          <w:rStyle w:val="CharDivNo"/>
          <w:rFonts w:eastAsiaTheme="minorEastAsia"/>
        </w:rPr>
        <w:t xml:space="preserve">  </w:t>
      </w:r>
      <w:r>
        <w:rPr>
          <w:rStyle w:val="CharDivText"/>
        </w:rPr>
        <w:t xml:space="preserve">  </w:t>
      </w:r>
    </w:p>
    <w:p w14:paraId="6F11282C" w14:textId="77777777" w:rsidR="00DB6E47" w:rsidRPr="007E1F9A" w:rsidRDefault="00DB6E47" w:rsidP="00DB6E47">
      <w:pPr>
        <w:pStyle w:val="AH5Sec"/>
      </w:pPr>
      <w:bookmarkStart w:id="246" w:name="_Toc83625590"/>
      <w:r w:rsidRPr="005E03F7">
        <w:rPr>
          <w:rStyle w:val="CharSectNo"/>
        </w:rPr>
        <w:t>220</w:t>
      </w:r>
      <w:r w:rsidRPr="007E1F9A">
        <w:tab/>
        <w:t>Main purpose of Ch 6</w:t>
      </w:r>
      <w:bookmarkEnd w:id="246"/>
    </w:p>
    <w:p w14:paraId="003F17E0" w14:textId="77777777" w:rsidR="00DB6E47" w:rsidRPr="009B0C0B" w:rsidRDefault="00DB6E47" w:rsidP="00DB6E47">
      <w:pPr>
        <w:pStyle w:val="Amain"/>
      </w:pPr>
      <w:r w:rsidRPr="009B0C0B">
        <w:tab/>
        <w:t>(1)</w:t>
      </w:r>
      <w:r w:rsidRPr="009B0C0B">
        <w:tab/>
        <w:t>The main purpose of this Chapter is to provide for the safe management of the fatigue of drivers of fatigue-regulated heavy vehicles while they are driving on a road.</w:t>
      </w:r>
    </w:p>
    <w:p w14:paraId="0F839178" w14:textId="77777777" w:rsidR="00DB6E47" w:rsidRPr="009B0C0B" w:rsidRDefault="00DB6E47" w:rsidP="00DB6E47">
      <w:pPr>
        <w:pStyle w:val="Amain"/>
      </w:pPr>
      <w:r w:rsidRPr="009B0C0B">
        <w:tab/>
        <w:t>(2)</w:t>
      </w:r>
      <w:r w:rsidRPr="009B0C0B">
        <w:tab/>
        <w:t>The main purpose is achieved by—</w:t>
      </w:r>
    </w:p>
    <w:p w14:paraId="457058B3" w14:textId="77777777" w:rsidR="00DB6E47" w:rsidRPr="005441A8" w:rsidRDefault="00DB6E47" w:rsidP="00DB6E47">
      <w:pPr>
        <w:pStyle w:val="Apara"/>
      </w:pPr>
      <w:r w:rsidRPr="005441A8">
        <w:tab/>
        <w:t>(a)</w:t>
      </w:r>
      <w:r w:rsidRPr="005441A8">
        <w:tab/>
        <w:t>imposing duties on drivers of fatigue-regulated heavy vehicles and particular persons whose activities influence the conduct of drivers of fatigue-regulated heavy vehicles in a way that affects the drivers’ fatigue when driving on a road; and</w:t>
      </w:r>
    </w:p>
    <w:p w14:paraId="0207A467" w14:textId="77777777" w:rsidR="00DB6E47" w:rsidRPr="005441A8" w:rsidRDefault="00DB6E47" w:rsidP="00DB6E47">
      <w:pPr>
        <w:pStyle w:val="Apara"/>
      </w:pPr>
      <w:r w:rsidRPr="005441A8">
        <w:tab/>
        <w:t>(b)</w:t>
      </w:r>
      <w:r w:rsidRPr="005441A8">
        <w:tab/>
        <w:t>imposing general duties directed at preventing persons driving fatigue-regulated heavy vehicles on a road while impaired by fatigue; and</w:t>
      </w:r>
    </w:p>
    <w:p w14:paraId="7A3AB325" w14:textId="77777777" w:rsidR="00DB6E47" w:rsidRPr="005441A8" w:rsidRDefault="00DB6E47" w:rsidP="00DB6E47">
      <w:pPr>
        <w:pStyle w:val="Apara"/>
      </w:pPr>
      <w:r w:rsidRPr="005441A8">
        <w:tab/>
        <w:t>(c)</w:t>
      </w:r>
      <w:r w:rsidRPr="005441A8">
        <w:tab/>
        <w:t>imposing additional duties directed at helping drivers of fatigue-regulated heavy vehicles to comply with this Chapter, which are imposed on particular parties in the chain of responsibility; and</w:t>
      </w:r>
    </w:p>
    <w:p w14:paraId="38F78755" w14:textId="77777777" w:rsidR="00DB6E47" w:rsidRPr="005441A8" w:rsidRDefault="00DB6E47" w:rsidP="00DB6E47">
      <w:pPr>
        <w:pStyle w:val="Apara"/>
      </w:pPr>
      <w:r w:rsidRPr="005441A8">
        <w:tab/>
        <w:t>(d)</w:t>
      </w:r>
      <w:r w:rsidRPr="005441A8">
        <w:tab/>
        <w:t>providing for the maximum work requirements and minimum rest requirements applying to drivers of fatigue-regulated heavy vehicles; and</w:t>
      </w:r>
    </w:p>
    <w:p w14:paraId="0B0FA039" w14:textId="77777777" w:rsidR="00DB6E47" w:rsidRPr="005441A8" w:rsidRDefault="00DB6E47" w:rsidP="00DB6E47">
      <w:pPr>
        <w:pStyle w:val="Apara"/>
      </w:pPr>
      <w:r w:rsidRPr="005441A8">
        <w:tab/>
        <w:t>(e)</w:t>
      </w:r>
      <w:r w:rsidRPr="005441A8">
        <w:tab/>
        <w:t>providing for recording the work times and rest times of drivers, amongst other things.</w:t>
      </w:r>
    </w:p>
    <w:p w14:paraId="71826419" w14:textId="77777777" w:rsidR="00DB6E47" w:rsidRPr="007E1F9A" w:rsidRDefault="00DB6E47" w:rsidP="00DB6E47">
      <w:pPr>
        <w:pStyle w:val="AH5Sec"/>
      </w:pPr>
      <w:bookmarkStart w:id="247" w:name="_Toc83625591"/>
      <w:r w:rsidRPr="005E03F7">
        <w:rPr>
          <w:rStyle w:val="CharSectNo"/>
        </w:rPr>
        <w:lastRenderedPageBreak/>
        <w:t>221</w:t>
      </w:r>
      <w:r w:rsidRPr="007E1F9A">
        <w:tab/>
        <w:t>Definitions for Ch 6</w:t>
      </w:r>
      <w:bookmarkEnd w:id="247"/>
    </w:p>
    <w:p w14:paraId="32471888" w14:textId="77777777" w:rsidR="00DB6E47" w:rsidRPr="00271C9D" w:rsidRDefault="00DB6E47" w:rsidP="00271C9D">
      <w:pPr>
        <w:pStyle w:val="Amainreturn"/>
        <w:keepNext/>
      </w:pPr>
      <w:r w:rsidRPr="00271C9D">
        <w:t>In this Chapter—</w:t>
      </w:r>
    </w:p>
    <w:p w14:paraId="6C84E036" w14:textId="77777777" w:rsidR="00DB6E47" w:rsidRPr="00041046" w:rsidRDefault="00DB6E47" w:rsidP="003F0CDD">
      <w:pPr>
        <w:pStyle w:val="aDef"/>
        <w:keepNext/>
        <w:rPr>
          <w:bCs/>
        </w:rPr>
      </w:pPr>
      <w:r w:rsidRPr="00041046">
        <w:rPr>
          <w:rStyle w:val="charBoldItals"/>
        </w:rPr>
        <w:t>100km work</w:t>
      </w:r>
      <w:r w:rsidRPr="00041046">
        <w:t xml:space="preserve"> has the meaning given by section 289(1).</w:t>
      </w:r>
    </w:p>
    <w:p w14:paraId="409A6A68" w14:textId="77777777" w:rsidR="00DB6E47" w:rsidRPr="00041046" w:rsidRDefault="00DB6E47" w:rsidP="00DB6E47">
      <w:pPr>
        <w:pStyle w:val="aDef"/>
        <w:rPr>
          <w:bCs/>
        </w:rPr>
      </w:pPr>
      <w:r w:rsidRPr="00041046">
        <w:rPr>
          <w:rStyle w:val="charBoldItals"/>
        </w:rPr>
        <w:t>100+km work</w:t>
      </w:r>
      <w:r w:rsidRPr="00041046">
        <w:t xml:space="preserve"> has the meaning given by section 289(2).</w:t>
      </w:r>
    </w:p>
    <w:p w14:paraId="7EF0FC1B" w14:textId="77777777" w:rsidR="00DB6E47" w:rsidRPr="00041046" w:rsidRDefault="00DB6E47" w:rsidP="00DB6E47">
      <w:pPr>
        <w:pStyle w:val="aDef"/>
        <w:rPr>
          <w:bCs/>
        </w:rPr>
      </w:pPr>
      <w:r w:rsidRPr="00041046">
        <w:rPr>
          <w:rStyle w:val="charBoldItals"/>
        </w:rPr>
        <w:t>AFM fatigue management system</w:t>
      </w:r>
      <w:r w:rsidRPr="00041046">
        <w:t xml:space="preserve"> has the meaning given by section</w:t>
      </w:r>
      <w:r w:rsidR="00681238">
        <w:t> </w:t>
      </w:r>
      <w:r w:rsidRPr="00041046">
        <w:t>457.</w:t>
      </w:r>
    </w:p>
    <w:p w14:paraId="7E04A053" w14:textId="77777777" w:rsidR="00DB6E47" w:rsidRPr="00041046" w:rsidRDefault="00DB6E47" w:rsidP="00DB6E47">
      <w:pPr>
        <w:pStyle w:val="aDef"/>
        <w:rPr>
          <w:bCs/>
        </w:rPr>
      </w:pPr>
      <w:r w:rsidRPr="00041046">
        <w:rPr>
          <w:rStyle w:val="charBoldItals"/>
        </w:rPr>
        <w:t>AFM hours</w:t>
      </w:r>
      <w:r w:rsidRPr="00041046">
        <w:t xml:space="preserve"> has the meaning given by section 257.</w:t>
      </w:r>
    </w:p>
    <w:p w14:paraId="12878E8F" w14:textId="77777777" w:rsidR="00DB6E47" w:rsidRPr="007E3B80" w:rsidRDefault="00DB6E47" w:rsidP="007E3B80">
      <w:pPr>
        <w:pStyle w:val="aDef"/>
      </w:pPr>
      <w:r w:rsidRPr="007E3B80">
        <w:rPr>
          <w:rStyle w:val="charBoldItals"/>
        </w:rPr>
        <w:t>approved electronic recording system</w:t>
      </w:r>
      <w:r w:rsidRPr="007E3B80">
        <w:t xml:space="preserve"> means an electronic recording system the subject of a current approval under section 343 or a corresponding fatigue law.</w:t>
      </w:r>
    </w:p>
    <w:p w14:paraId="7574C7E8" w14:textId="77777777" w:rsidR="00DB6E47" w:rsidRPr="007E3B80" w:rsidRDefault="00DB6E47" w:rsidP="007E3B80">
      <w:pPr>
        <w:pStyle w:val="aDef"/>
      </w:pPr>
      <w:r w:rsidRPr="007E3B80">
        <w:rPr>
          <w:rStyle w:val="charBoldItals"/>
        </w:rPr>
        <w:t>approved sleeper berth</w:t>
      </w:r>
      <w:r w:rsidRPr="007E3B80">
        <w:t xml:space="preserve"> means—</w:t>
      </w:r>
    </w:p>
    <w:p w14:paraId="1C2605D2" w14:textId="77777777" w:rsidR="00DB6E47" w:rsidRPr="007E3B80" w:rsidRDefault="00DB6E47" w:rsidP="00DB6E47">
      <w:pPr>
        <w:pStyle w:val="aDefpara"/>
      </w:pPr>
      <w:r w:rsidRPr="00FF4454">
        <w:tab/>
      </w:r>
      <w:r w:rsidRPr="00F04D8E">
        <w:rPr>
          <w:rFonts w:cs="Times"/>
          <w:bCs/>
          <w:iCs/>
        </w:rPr>
        <w:t>(a)</w:t>
      </w:r>
      <w:r w:rsidRPr="00FF4454">
        <w:rPr>
          <w:rStyle w:val="charBoldItals"/>
        </w:rPr>
        <w:tab/>
      </w:r>
      <w:r w:rsidRPr="007E3B80">
        <w:t>for a fatigue-regulated heavy vehicle other than a fatigue-regulated bus—a driver’s sleeper berth that complies with ADR 42 and is able to be used by the driver when resting; or</w:t>
      </w:r>
    </w:p>
    <w:p w14:paraId="79BA0A8C" w14:textId="77777777" w:rsidR="00DB6E47" w:rsidRPr="007E3B80" w:rsidRDefault="00DB6E47" w:rsidP="00DB6E47">
      <w:pPr>
        <w:pStyle w:val="aDefpara"/>
      </w:pPr>
      <w:r w:rsidRPr="007E3B80">
        <w:tab/>
        <w:t>(b)</w:t>
      </w:r>
      <w:r w:rsidRPr="007E3B80">
        <w:tab/>
        <w:t>for a fatigue-regulated bus—a driver’s sleeper berth that—</w:t>
      </w:r>
    </w:p>
    <w:p w14:paraId="7133A514" w14:textId="77777777" w:rsidR="00DB6E47" w:rsidRPr="006C3305" w:rsidRDefault="00DB6E47" w:rsidP="00DB6E47">
      <w:pPr>
        <w:pStyle w:val="aDefsubpara"/>
      </w:pPr>
      <w:r>
        <w:tab/>
      </w:r>
      <w:r w:rsidRPr="00F04D8E">
        <w:t>(i)</w:t>
      </w:r>
      <w:r w:rsidRPr="006C3305">
        <w:tab/>
        <w:t>complies with a standard for sleeper berths that is approved by the responsible Ministers under section 654; and</w:t>
      </w:r>
    </w:p>
    <w:p w14:paraId="6550D2CB" w14:textId="77777777" w:rsidR="00DB6E47" w:rsidRPr="007E3B80" w:rsidRDefault="00DB6E47" w:rsidP="007E3B80">
      <w:pPr>
        <w:pStyle w:val="aDefsubpara"/>
      </w:pPr>
      <w:r w:rsidRPr="007E3B80">
        <w:tab/>
        <w:t>(ii)</w:t>
      </w:r>
      <w:r w:rsidRPr="007E3B80">
        <w:tab/>
        <w:t>is able to be used by the driver when resting.</w:t>
      </w:r>
    </w:p>
    <w:p w14:paraId="68B3B08D" w14:textId="77777777" w:rsidR="00DB6E47" w:rsidRPr="00041046" w:rsidRDefault="00DB6E47" w:rsidP="00DB6E47">
      <w:pPr>
        <w:pStyle w:val="aDef"/>
        <w:rPr>
          <w:bCs/>
        </w:rPr>
      </w:pPr>
      <w:r w:rsidRPr="00041046">
        <w:rPr>
          <w:rStyle w:val="charBoldItals"/>
        </w:rPr>
        <w:t>BFM hours</w:t>
      </w:r>
      <w:r w:rsidRPr="00041046">
        <w:t xml:space="preserve"> has the meaning given by section 253.</w:t>
      </w:r>
    </w:p>
    <w:p w14:paraId="50890643" w14:textId="77777777" w:rsidR="00DB6E47" w:rsidRPr="00041046" w:rsidRDefault="00DB6E47" w:rsidP="00DB6E47">
      <w:pPr>
        <w:pStyle w:val="aDef"/>
        <w:rPr>
          <w:bCs/>
        </w:rPr>
      </w:pPr>
      <w:r w:rsidRPr="00041046">
        <w:rPr>
          <w:rStyle w:val="charBoldItals"/>
        </w:rPr>
        <w:t>cancel</w:t>
      </w:r>
      <w:r w:rsidRPr="00041046">
        <w:t>, in relation to an unused daily sheet in a written work diary, means cancel by writing ‘cancelled’ in large letters across the sheet.</w:t>
      </w:r>
    </w:p>
    <w:p w14:paraId="33C2078A" w14:textId="77777777" w:rsidR="00DB6E47" w:rsidRPr="00041046" w:rsidRDefault="00DB6E47" w:rsidP="00271C9D">
      <w:pPr>
        <w:pStyle w:val="aDef"/>
        <w:keepNext/>
        <w:rPr>
          <w:bCs/>
        </w:rPr>
      </w:pPr>
      <w:r w:rsidRPr="00041046">
        <w:rPr>
          <w:rStyle w:val="charBoldItals"/>
        </w:rPr>
        <w:lastRenderedPageBreak/>
        <w:t>cause of fatigue</w:t>
      </w:r>
      <w:r w:rsidRPr="00041046">
        <w:t xml:space="preserve"> means any factor that could cause or contribute to a person being fatigued while driving a fatigue-regulated heavy vehicle on a road (whether or not the cause arises while the person is at work).</w:t>
      </w:r>
    </w:p>
    <w:p w14:paraId="35A812BF" w14:textId="77777777" w:rsidR="00DB6E47" w:rsidRPr="00C96203" w:rsidRDefault="00DB6E47" w:rsidP="00DB6E47">
      <w:pPr>
        <w:pStyle w:val="aExamHdgss"/>
      </w:pPr>
      <w:r w:rsidRPr="00C96203">
        <w:rPr>
          <w:rFonts w:cs="Times"/>
          <w:bCs/>
          <w:iCs/>
        </w:rPr>
        <w:t>Examples—</w:t>
      </w:r>
    </w:p>
    <w:p w14:paraId="0BE40C85" w14:textId="77777777" w:rsidR="00DB6E47" w:rsidRPr="00C96203" w:rsidRDefault="00DB6E47" w:rsidP="00271C9D">
      <w:pPr>
        <w:pStyle w:val="aExamBulletss"/>
        <w:keepNext/>
      </w:pPr>
      <w:r w:rsidRPr="00C96203">
        <w:t xml:space="preserve">• </w:t>
      </w:r>
      <w:r w:rsidRPr="00C96203">
        <w:tab/>
        <w:t>physical or mental exertion</w:t>
      </w:r>
    </w:p>
    <w:p w14:paraId="46C109B5" w14:textId="77777777" w:rsidR="00DB6E47" w:rsidRPr="00C96203" w:rsidRDefault="00DB6E47" w:rsidP="003F0CDD">
      <w:pPr>
        <w:pStyle w:val="aExamBulletss"/>
        <w:keepNext/>
      </w:pPr>
      <w:r w:rsidRPr="00C96203">
        <w:t xml:space="preserve">• </w:t>
      </w:r>
      <w:r w:rsidRPr="00C96203">
        <w:tab/>
        <w:t>long periods of time awake</w:t>
      </w:r>
    </w:p>
    <w:p w14:paraId="769E31DA" w14:textId="77777777" w:rsidR="00DB6E47" w:rsidRPr="00C96203" w:rsidRDefault="00DB6E47" w:rsidP="003F0CDD">
      <w:pPr>
        <w:pStyle w:val="aExamBulletss"/>
        <w:keepNext/>
      </w:pPr>
      <w:r w:rsidRPr="00C96203">
        <w:t xml:space="preserve">• </w:t>
      </w:r>
      <w:r w:rsidRPr="00C96203">
        <w:tab/>
        <w:t>not enough sleep or not enough restorative sleep</w:t>
      </w:r>
    </w:p>
    <w:p w14:paraId="2DEB74E1" w14:textId="77777777" w:rsidR="00DB6E47" w:rsidRPr="00C96203" w:rsidRDefault="00DB6E47" w:rsidP="00DB6E47">
      <w:pPr>
        <w:pStyle w:val="aExamBulletss"/>
      </w:pPr>
      <w:r w:rsidRPr="00C96203">
        <w:t xml:space="preserve">• </w:t>
      </w:r>
      <w:r w:rsidRPr="00C96203">
        <w:tab/>
        <w:t>not enough rest time</w:t>
      </w:r>
    </w:p>
    <w:p w14:paraId="3CEF98CE" w14:textId="77777777" w:rsidR="00DB6E47" w:rsidRPr="00C96203" w:rsidRDefault="00DB6E47" w:rsidP="00DB6E47">
      <w:pPr>
        <w:pStyle w:val="aExamBulletss"/>
      </w:pPr>
      <w:r w:rsidRPr="00C96203">
        <w:t xml:space="preserve">• </w:t>
      </w:r>
      <w:r w:rsidRPr="00C96203">
        <w:tab/>
        <w:t>a person’s circadian rhythm (body clock)</w:t>
      </w:r>
    </w:p>
    <w:p w14:paraId="4EC5F219" w14:textId="77777777" w:rsidR="00DB6E47" w:rsidRPr="00C96203" w:rsidRDefault="00DB6E47" w:rsidP="00DB6E47">
      <w:pPr>
        <w:pStyle w:val="aExamBulletss"/>
      </w:pPr>
      <w:r w:rsidRPr="00C96203">
        <w:t xml:space="preserve">• </w:t>
      </w:r>
      <w:r w:rsidRPr="00C96203">
        <w:tab/>
        <w:t>environmental stress factors, including heat, noise, vibrations</w:t>
      </w:r>
    </w:p>
    <w:p w14:paraId="1AE58C11" w14:textId="77777777" w:rsidR="00DB6E47" w:rsidRPr="00C96203" w:rsidRDefault="00DB6E47" w:rsidP="00DB6E47">
      <w:pPr>
        <w:pStyle w:val="aExamBulletss"/>
      </w:pPr>
      <w:r w:rsidRPr="00C96203">
        <w:t xml:space="preserve">• </w:t>
      </w:r>
      <w:r w:rsidRPr="00C96203">
        <w:tab/>
        <w:t>personal health</w:t>
      </w:r>
    </w:p>
    <w:p w14:paraId="733B19A0" w14:textId="77777777" w:rsidR="00DB6E47" w:rsidRPr="00041046" w:rsidRDefault="00DB6E47" w:rsidP="00DB6E47">
      <w:pPr>
        <w:pStyle w:val="aDef"/>
        <w:rPr>
          <w:bCs/>
        </w:rPr>
      </w:pPr>
      <w:r w:rsidRPr="00041046">
        <w:rPr>
          <w:rStyle w:val="charBoldItals"/>
        </w:rPr>
        <w:t>corresponding fatigue law</w:t>
      </w:r>
      <w:r w:rsidRPr="00041046">
        <w:t>—</w:t>
      </w:r>
    </w:p>
    <w:p w14:paraId="3D530AD5" w14:textId="77777777" w:rsidR="00DB6E47" w:rsidRPr="007E3B80" w:rsidRDefault="00681238" w:rsidP="00681238">
      <w:pPr>
        <w:pStyle w:val="Amain"/>
      </w:pPr>
      <w:r>
        <w:tab/>
        <w:t xml:space="preserve">1 </w:t>
      </w:r>
      <w:r>
        <w:tab/>
      </w:r>
      <w:r w:rsidR="00DB6E47" w:rsidRPr="007E3B80">
        <w:t>A corresponding fatigue law is a law of a non-participating jurisdiction that provides for the same, or substantially the same, matters as this Chapter.</w:t>
      </w:r>
    </w:p>
    <w:p w14:paraId="35D36306" w14:textId="77777777" w:rsidR="00DB6E47" w:rsidRPr="007E3B80" w:rsidRDefault="00681238" w:rsidP="00681238">
      <w:pPr>
        <w:pStyle w:val="Amain"/>
      </w:pPr>
      <w:r>
        <w:tab/>
        <w:t xml:space="preserve">2 </w:t>
      </w:r>
      <w:r>
        <w:tab/>
      </w:r>
      <w:r w:rsidR="00DB6E47" w:rsidRPr="007E3B80">
        <w:t>A corresponding fatigue law for a provision of this Chapter is a provision of a corresponding fatigue law within the meaning of paragraph 1 that corresponds, or substantially corresponds, to the provision of this Chapter.</w:t>
      </w:r>
    </w:p>
    <w:p w14:paraId="098AA843" w14:textId="77777777" w:rsidR="00DB6E47" w:rsidRPr="007E3B80" w:rsidRDefault="00681238" w:rsidP="00681238">
      <w:pPr>
        <w:pStyle w:val="Amain"/>
      </w:pPr>
      <w:r>
        <w:tab/>
        <w:t xml:space="preserve">3 </w:t>
      </w:r>
      <w:r>
        <w:tab/>
      </w:r>
      <w:r w:rsidR="00DB6E47" w:rsidRPr="007E3B80">
        <w:t>For the purposes of paragraph 1, it is irrelevant whether the law of the non-participating jurisdiction—</w:t>
      </w:r>
    </w:p>
    <w:p w14:paraId="2765C5F8" w14:textId="77777777" w:rsidR="00DB6E47" w:rsidRPr="007E3B80" w:rsidRDefault="00DB6E47" w:rsidP="00DB6E47">
      <w:pPr>
        <w:pStyle w:val="aDefpara"/>
      </w:pPr>
      <w:r w:rsidRPr="00FF4454">
        <w:tab/>
      </w:r>
      <w:r w:rsidRPr="00F04D8E">
        <w:rPr>
          <w:rFonts w:cs="Times"/>
          <w:bCs/>
          <w:iCs/>
        </w:rPr>
        <w:t>(a)</w:t>
      </w:r>
      <w:r w:rsidRPr="00FF4454">
        <w:rPr>
          <w:rStyle w:val="charBoldItals"/>
        </w:rPr>
        <w:tab/>
      </w:r>
      <w:r w:rsidRPr="007E3B80">
        <w:t>is in 1 instrument or 2 or more instruments; or</w:t>
      </w:r>
    </w:p>
    <w:p w14:paraId="06687458" w14:textId="77777777" w:rsidR="00DB6E47" w:rsidRPr="007E3B80" w:rsidRDefault="00DB6E47" w:rsidP="00DB6E47">
      <w:pPr>
        <w:pStyle w:val="aDefpara"/>
      </w:pPr>
      <w:r w:rsidRPr="007E3B80">
        <w:tab/>
        <w:t>(b)</w:t>
      </w:r>
      <w:r w:rsidRPr="007E3B80">
        <w:tab/>
        <w:t>is part of an instrument; or</w:t>
      </w:r>
    </w:p>
    <w:p w14:paraId="7043FEC0" w14:textId="77777777" w:rsidR="00DB6E47" w:rsidRPr="007E3B80" w:rsidRDefault="00DB6E47" w:rsidP="00DB6E47">
      <w:pPr>
        <w:pStyle w:val="aDefpara"/>
      </w:pPr>
      <w:r w:rsidRPr="007E3B80">
        <w:tab/>
        <w:t>(c)</w:t>
      </w:r>
      <w:r w:rsidRPr="007E3B80">
        <w:tab/>
        <w:t>is part of an instrument and the whole or part of 1 or more other instruments.</w:t>
      </w:r>
    </w:p>
    <w:p w14:paraId="7B910116" w14:textId="77777777" w:rsidR="00DB6E47" w:rsidRPr="00041046" w:rsidRDefault="00DB6E47" w:rsidP="00DB6E47">
      <w:pPr>
        <w:pStyle w:val="aDef"/>
        <w:rPr>
          <w:bCs/>
        </w:rPr>
      </w:pPr>
      <w:r w:rsidRPr="00041046">
        <w:rPr>
          <w:rStyle w:val="charBoldItals"/>
        </w:rPr>
        <w:t>critical risk breach</w:t>
      </w:r>
      <w:r w:rsidRPr="00041046">
        <w:t>, for a maximum work requirement or minimum rest requirement, has the meaning given by section 222(4).</w:t>
      </w:r>
    </w:p>
    <w:p w14:paraId="04E39438" w14:textId="77777777" w:rsidR="00DB6E47" w:rsidRPr="00041046" w:rsidRDefault="00DB6E47" w:rsidP="00DB6E47">
      <w:pPr>
        <w:pStyle w:val="aDef"/>
        <w:rPr>
          <w:bCs/>
        </w:rPr>
      </w:pPr>
      <w:r w:rsidRPr="00041046">
        <w:rPr>
          <w:rStyle w:val="charBoldItals"/>
        </w:rPr>
        <w:t>daily sheet</w:t>
      </w:r>
      <w:r w:rsidRPr="00041046">
        <w:t xml:space="preserve">, for a written work diary, has the </w:t>
      </w:r>
      <w:r w:rsidR="007E3B80">
        <w:t xml:space="preserve">meaning given </w:t>
      </w:r>
      <w:r w:rsidR="003F0CDD">
        <w:t>by section </w:t>
      </w:r>
      <w:r w:rsidR="007E3B80">
        <w:t>338(2)</w:t>
      </w:r>
      <w:r w:rsidRPr="00041046">
        <w:t>(b).</w:t>
      </w:r>
    </w:p>
    <w:p w14:paraId="29B9D920" w14:textId="77777777" w:rsidR="00DB6E47" w:rsidRDefault="00DB6E47" w:rsidP="00DB6E47">
      <w:pPr>
        <w:pStyle w:val="aDef"/>
      </w:pPr>
      <w:r w:rsidRPr="00041046">
        <w:rPr>
          <w:rStyle w:val="charBoldItals"/>
        </w:rPr>
        <w:lastRenderedPageBreak/>
        <w:t>electronic recording system</w:t>
      </w:r>
      <w:r w:rsidRPr="00041046">
        <w:t xml:space="preserve"> means a system of recording information electronically.</w:t>
      </w:r>
    </w:p>
    <w:p w14:paraId="59CB5D9E" w14:textId="77777777" w:rsidR="00880594" w:rsidRPr="00880594" w:rsidRDefault="00880594" w:rsidP="00DB6E47">
      <w:pPr>
        <w:pStyle w:val="aDef"/>
      </w:pPr>
      <w:r w:rsidRPr="00880594">
        <w:rPr>
          <w:rStyle w:val="charBoldItals"/>
        </w:rPr>
        <w:t>electronic work diary</w:t>
      </w:r>
      <w:r w:rsidRPr="00880594">
        <w:t>, in relation to a fatigue-regulated heavy vehicle, means all or part of an approved electronic recording system that is fitted to or used in relation to the vehicle to record information a driver of the vehicle is required by this Law to record in a work diary for the purposes of this Law.</w:t>
      </w:r>
    </w:p>
    <w:p w14:paraId="69D34AB1" w14:textId="77777777" w:rsidR="00DB6E47" w:rsidRPr="00041046" w:rsidRDefault="00DB6E47" w:rsidP="00DB6E47">
      <w:pPr>
        <w:pStyle w:val="aDef"/>
        <w:rPr>
          <w:bCs/>
        </w:rPr>
      </w:pPr>
      <w:r w:rsidRPr="00041046">
        <w:rPr>
          <w:rStyle w:val="charBoldItals"/>
        </w:rPr>
        <w:t>entry</w:t>
      </w:r>
      <w:r w:rsidRPr="00041046">
        <w:t>, in a work record, means anything written</w:t>
      </w:r>
      <w:r w:rsidR="00880594" w:rsidRPr="00880594">
        <w:t xml:space="preserve"> or otherwise recorded</w:t>
      </w:r>
      <w:r w:rsidRPr="00880594">
        <w:t xml:space="preserve"> </w:t>
      </w:r>
      <w:r w:rsidRPr="00041046">
        <w:t>in the work record.</w:t>
      </w:r>
    </w:p>
    <w:p w14:paraId="69E54F66" w14:textId="77777777" w:rsidR="00DB6E47" w:rsidRPr="00041046" w:rsidRDefault="00DB6E47" w:rsidP="00DB6E47">
      <w:pPr>
        <w:pStyle w:val="aDef"/>
        <w:rPr>
          <w:bCs/>
        </w:rPr>
      </w:pPr>
      <w:r w:rsidRPr="00041046">
        <w:rPr>
          <w:rStyle w:val="charBoldItals"/>
        </w:rPr>
        <w:t>exemption hours</w:t>
      </w:r>
      <w:r w:rsidRPr="00041046">
        <w:t xml:space="preserve"> has the meaning given by section 259.</w:t>
      </w:r>
    </w:p>
    <w:p w14:paraId="1D23F9DD" w14:textId="77777777" w:rsidR="00DB6E47" w:rsidRPr="00041046" w:rsidRDefault="00DB6E47" w:rsidP="00DB6E47">
      <w:pPr>
        <w:pStyle w:val="aDef"/>
        <w:rPr>
          <w:bCs/>
        </w:rPr>
      </w:pPr>
      <w:r w:rsidRPr="00041046">
        <w:rPr>
          <w:rStyle w:val="charBoldItals"/>
        </w:rPr>
        <w:t>fatigue</w:t>
      </w:r>
      <w:r w:rsidRPr="00041046">
        <w:t xml:space="preserve"> has the meaning given by section 223.</w:t>
      </w:r>
    </w:p>
    <w:p w14:paraId="083545CA" w14:textId="77777777" w:rsidR="00DB6E47" w:rsidRPr="00041046" w:rsidRDefault="00DB6E47" w:rsidP="00DB6E47">
      <w:pPr>
        <w:pStyle w:val="aDef"/>
        <w:rPr>
          <w:bCs/>
        </w:rPr>
      </w:pPr>
      <w:r w:rsidRPr="00041046">
        <w:rPr>
          <w:rStyle w:val="charBoldItals"/>
        </w:rPr>
        <w:t>impaired by fatigue</w:t>
      </w:r>
      <w:r w:rsidRPr="00041046">
        <w:t xml:space="preserve"> has the meaning given by section 225.</w:t>
      </w:r>
    </w:p>
    <w:p w14:paraId="7EC31A30" w14:textId="77777777" w:rsidR="00DB6E47" w:rsidRPr="00041046" w:rsidRDefault="00DB6E47" w:rsidP="00DB6E47">
      <w:pPr>
        <w:pStyle w:val="aDef"/>
        <w:rPr>
          <w:bCs/>
        </w:rPr>
      </w:pPr>
      <w:r w:rsidRPr="00041046">
        <w:rPr>
          <w:rStyle w:val="charBoldItals"/>
        </w:rPr>
        <w:t xml:space="preserve">intelligent access </w:t>
      </w:r>
      <w:r w:rsidR="00CF7156">
        <w:rPr>
          <w:rStyle w:val="charBoldItals"/>
        </w:rPr>
        <w:t xml:space="preserve">program </w:t>
      </w:r>
      <w:r w:rsidRPr="00041046">
        <w:rPr>
          <w:rStyle w:val="charBoldItals"/>
        </w:rPr>
        <w:t>reporting entity</w:t>
      </w:r>
      <w:r w:rsidRPr="00041046">
        <w:t>, for an approved intelligent transport system, means a person on whom there is an obligation, imposed by Chapter 7, to report a malfunction of or tampering with the system to the Regulator.</w:t>
      </w:r>
    </w:p>
    <w:p w14:paraId="1DD0B267" w14:textId="77777777" w:rsidR="00DB6E47" w:rsidRPr="00041046" w:rsidRDefault="00DB6E47" w:rsidP="00271C9D">
      <w:pPr>
        <w:pStyle w:val="aDef"/>
        <w:keepNext/>
        <w:rPr>
          <w:bCs/>
        </w:rPr>
      </w:pPr>
      <w:r w:rsidRPr="00041046">
        <w:rPr>
          <w:rStyle w:val="charBoldItals"/>
        </w:rPr>
        <w:t>loading manager</w:t>
      </w:r>
      <w:r w:rsidRPr="00041046">
        <w:t>—</w:t>
      </w:r>
    </w:p>
    <w:p w14:paraId="6A58E2C5" w14:textId="77777777" w:rsidR="00DB6E47" w:rsidRPr="00C96203" w:rsidRDefault="00DB6E47" w:rsidP="00271C9D">
      <w:pPr>
        <w:pStyle w:val="aNote"/>
        <w:keepNext/>
      </w:pPr>
      <w:r w:rsidRPr="00FF4454">
        <w:rPr>
          <w:rStyle w:val="charItals"/>
        </w:rPr>
        <w:t>Note</w:t>
      </w:r>
      <w:r w:rsidRPr="00C96203">
        <w:rPr>
          <w:rFonts w:cs="Times"/>
          <w:bCs/>
          <w:iCs/>
        </w:rPr>
        <w:t>—</w:t>
      </w:r>
    </w:p>
    <w:p w14:paraId="6F009919" w14:textId="77777777" w:rsidR="00DB6E47" w:rsidRPr="00C96203" w:rsidRDefault="00DB6E47" w:rsidP="00271C9D">
      <w:pPr>
        <w:pStyle w:val="aNoteTextss"/>
        <w:keepNext/>
      </w:pPr>
      <w:r w:rsidRPr="00C96203">
        <w:t>Section 5 contains the definition loading manager. That definition is affected by the definition regular loading or unloading premises, and is used in this Chapter.</w:t>
      </w:r>
    </w:p>
    <w:p w14:paraId="04FE45C1" w14:textId="77777777" w:rsidR="00DB6E47" w:rsidRPr="00C96203" w:rsidRDefault="00DB6E47" w:rsidP="00271C9D">
      <w:pPr>
        <w:pStyle w:val="aNoteTextss"/>
        <w:keepLines/>
      </w:pPr>
      <w:r w:rsidRPr="00C96203">
        <w:t>As a result of the interaction of the 2 definitions, this Chapter applies to a person as a loading manager only if the premises concerned are premises at or from which an average of at least 5 fatigue-regulated heavy vehicles are loaded or unloaded on each day the premises are operated for loading or unloading heavy vehicles.</w:t>
      </w:r>
    </w:p>
    <w:p w14:paraId="29C69F5B" w14:textId="77777777" w:rsidR="00DB6E47" w:rsidRPr="00041046" w:rsidRDefault="00DB6E47" w:rsidP="00DB6E47">
      <w:pPr>
        <w:pStyle w:val="aDef"/>
        <w:rPr>
          <w:bCs/>
        </w:rPr>
      </w:pPr>
      <w:r w:rsidRPr="00041046">
        <w:rPr>
          <w:rStyle w:val="charBoldItals"/>
        </w:rPr>
        <w:t>major rest break</w:t>
      </w:r>
      <w:r w:rsidRPr="00041046">
        <w:t xml:space="preserve"> means rest time of at least 5 continuous hours.</w:t>
      </w:r>
    </w:p>
    <w:p w14:paraId="43DC4046" w14:textId="77777777" w:rsidR="00DB6E47" w:rsidRPr="00041046" w:rsidRDefault="00DB6E47" w:rsidP="00DB6E47">
      <w:pPr>
        <w:pStyle w:val="aDef"/>
        <w:rPr>
          <w:bCs/>
        </w:rPr>
      </w:pPr>
      <w:r w:rsidRPr="00041046">
        <w:rPr>
          <w:rStyle w:val="charBoldItals"/>
        </w:rPr>
        <w:t>malfunction</w:t>
      </w:r>
      <w:r w:rsidRPr="00041046">
        <w:t>, of an electronic work diary or an odometer, means the work diary or odometer—</w:t>
      </w:r>
    </w:p>
    <w:p w14:paraId="739A8B94" w14:textId="77777777" w:rsidR="00DB6E47" w:rsidRPr="007E3B80" w:rsidRDefault="00DB6E47" w:rsidP="00DB6E47">
      <w:pPr>
        <w:pStyle w:val="aDefpara"/>
      </w:pPr>
      <w:r w:rsidRPr="00FF4454">
        <w:tab/>
      </w:r>
      <w:r w:rsidRPr="00F04D8E">
        <w:rPr>
          <w:rFonts w:cs="Times"/>
          <w:bCs/>
          <w:iCs/>
        </w:rPr>
        <w:t>(a)</w:t>
      </w:r>
      <w:r w:rsidRPr="00FF4454">
        <w:rPr>
          <w:rStyle w:val="charBoldItals"/>
        </w:rPr>
        <w:tab/>
      </w:r>
      <w:r w:rsidRPr="007E3B80">
        <w:t>ceases to work at all, or works only intermittently; or</w:t>
      </w:r>
    </w:p>
    <w:p w14:paraId="0AE997EB" w14:textId="77777777" w:rsidR="00DB6E47" w:rsidRPr="007E3B80" w:rsidRDefault="00DB6E47" w:rsidP="00DB6E47">
      <w:pPr>
        <w:pStyle w:val="aDefpara"/>
      </w:pPr>
      <w:r w:rsidRPr="007E3B80">
        <w:lastRenderedPageBreak/>
        <w:tab/>
        <w:t>(b)</w:t>
      </w:r>
      <w:r w:rsidRPr="007E3B80">
        <w:tab/>
        <w:t>does not perform 1 or more functions required under this Chapter; or</w:t>
      </w:r>
    </w:p>
    <w:p w14:paraId="3E75BC42" w14:textId="77777777" w:rsidR="00DB6E47" w:rsidRPr="007E3B80" w:rsidRDefault="00DB6E47" w:rsidP="00DB6E47">
      <w:pPr>
        <w:pStyle w:val="aDefpara"/>
      </w:pPr>
      <w:r w:rsidRPr="007E3B80">
        <w:tab/>
        <w:t>(c)</w:t>
      </w:r>
      <w:r w:rsidRPr="007E3B80">
        <w:tab/>
        <w:t>performs the f</w:t>
      </w:r>
      <w:r w:rsidR="007E3B80">
        <w:t xml:space="preserve">unctions mentioned in paragraph </w:t>
      </w:r>
      <w:r w:rsidRPr="007E3B80">
        <w:t>(b)</w:t>
      </w:r>
      <w:r w:rsidR="007E3B80">
        <w:t xml:space="preserve"> </w:t>
      </w:r>
      <w:r w:rsidRPr="007E3B80">
        <w:t>only intermittently; or</w:t>
      </w:r>
    </w:p>
    <w:p w14:paraId="45C3F80F" w14:textId="77777777" w:rsidR="00DB6E47" w:rsidRPr="007E3B80" w:rsidRDefault="00DB6E47" w:rsidP="00DB6E47">
      <w:pPr>
        <w:pStyle w:val="aDefpara"/>
      </w:pPr>
      <w:r w:rsidRPr="007E3B80">
        <w:tab/>
        <w:t>(d)</w:t>
      </w:r>
      <w:r w:rsidRPr="007E3B80">
        <w:tab/>
        <w:t>performs the f</w:t>
      </w:r>
      <w:r w:rsidR="007E3B80">
        <w:t xml:space="preserve">unctions mentioned in paragraph </w:t>
      </w:r>
      <w:r w:rsidRPr="007E3B80">
        <w:t>(b)</w:t>
      </w:r>
      <w:r w:rsidR="007E3B80">
        <w:t xml:space="preserve"> </w:t>
      </w:r>
      <w:r w:rsidRPr="007E3B80">
        <w:t>in a way that is inaccurate or unreliable, including intermittently inaccurate or unreliable.</w:t>
      </w:r>
    </w:p>
    <w:p w14:paraId="0A102740" w14:textId="77777777" w:rsidR="00DB6E47" w:rsidRPr="00C96203" w:rsidRDefault="00DB6E47" w:rsidP="00DB6E47">
      <w:pPr>
        <w:pStyle w:val="aExamHdgss"/>
      </w:pPr>
      <w:r w:rsidRPr="00C96203">
        <w:rPr>
          <w:rFonts w:cs="Times"/>
          <w:bCs/>
          <w:iCs/>
        </w:rPr>
        <w:t>Examples of an electronic work diary malfunctioning—</w:t>
      </w:r>
    </w:p>
    <w:p w14:paraId="28BE86E3" w14:textId="77777777" w:rsidR="00DB6E47" w:rsidRPr="00C96203" w:rsidRDefault="00DB6E47" w:rsidP="00DB6E47">
      <w:pPr>
        <w:pStyle w:val="aExamBulletss"/>
      </w:pPr>
      <w:r w:rsidRPr="00C96203">
        <w:t xml:space="preserve">• </w:t>
      </w:r>
      <w:r w:rsidRPr="00C96203">
        <w:tab/>
        <w:t>corruption of data held in the electronic work diary</w:t>
      </w:r>
    </w:p>
    <w:p w14:paraId="304974A1" w14:textId="77777777" w:rsidR="00DB6E47" w:rsidRPr="00C96203" w:rsidRDefault="00DB6E47" w:rsidP="00DB6E47">
      <w:pPr>
        <w:pStyle w:val="aExamBulletss"/>
      </w:pPr>
      <w:r w:rsidRPr="00C96203">
        <w:t xml:space="preserve">• </w:t>
      </w:r>
      <w:r w:rsidRPr="00C96203">
        <w:tab/>
        <w:t>a software program fault</w:t>
      </w:r>
    </w:p>
    <w:p w14:paraId="0D0C06E1" w14:textId="77777777" w:rsidR="00DB6E47" w:rsidRPr="00C96203" w:rsidRDefault="00DB6E47" w:rsidP="00DB6E47">
      <w:pPr>
        <w:pStyle w:val="aExamBulletss"/>
      </w:pPr>
      <w:r w:rsidRPr="00C96203">
        <w:t xml:space="preserve">• </w:t>
      </w:r>
      <w:r w:rsidRPr="00C96203">
        <w:tab/>
        <w:t>physical damage that impairs the functioning of the electronic work diary</w:t>
      </w:r>
    </w:p>
    <w:p w14:paraId="217096AB" w14:textId="77777777" w:rsidR="00DB6E47" w:rsidRPr="00C96203" w:rsidRDefault="00DB6E47" w:rsidP="00DB6E47">
      <w:pPr>
        <w:pStyle w:val="aExamHdgss"/>
      </w:pPr>
      <w:r w:rsidRPr="00C96203">
        <w:t>Example of an odometer malfunctioning—</w:t>
      </w:r>
    </w:p>
    <w:p w14:paraId="7750E90C" w14:textId="77777777" w:rsidR="00DB6E47" w:rsidRPr="00C96203" w:rsidRDefault="00DB6E47" w:rsidP="00DB6E47">
      <w:pPr>
        <w:pStyle w:val="aExamBulletss"/>
      </w:pPr>
      <w:r w:rsidRPr="00C96203">
        <w:t xml:space="preserve">• </w:t>
      </w:r>
      <w:r w:rsidRPr="00C96203">
        <w:tab/>
        <w:t>an odometer that no longer keeps an accurate record of distance travelled</w:t>
      </w:r>
    </w:p>
    <w:p w14:paraId="760963C6" w14:textId="77777777" w:rsidR="00DB6E47" w:rsidRPr="00041046" w:rsidRDefault="00DB6E47" w:rsidP="00DB6E47">
      <w:pPr>
        <w:pStyle w:val="aDef"/>
        <w:rPr>
          <w:bCs/>
        </w:rPr>
      </w:pPr>
      <w:r w:rsidRPr="00041046">
        <w:rPr>
          <w:rStyle w:val="charBoldItals"/>
        </w:rPr>
        <w:t>minor risk breach</w:t>
      </w:r>
      <w:r w:rsidRPr="00041046">
        <w:t xml:space="preserve"> has the meaning given by section 222(1).</w:t>
      </w:r>
    </w:p>
    <w:p w14:paraId="61458ADB" w14:textId="77777777" w:rsidR="00DB6E47" w:rsidRPr="00041046" w:rsidRDefault="00DB6E47" w:rsidP="00271C9D">
      <w:pPr>
        <w:pStyle w:val="aDef"/>
        <w:keepNext/>
        <w:rPr>
          <w:bCs/>
        </w:rPr>
      </w:pPr>
      <w:r w:rsidRPr="00041046">
        <w:rPr>
          <w:rStyle w:val="charBoldItals"/>
        </w:rPr>
        <w:t>night work time</w:t>
      </w:r>
      <w:r w:rsidRPr="00041046">
        <w:t xml:space="preserve"> means work time between midnight and 6a.m.</w:t>
      </w:r>
    </w:p>
    <w:p w14:paraId="43ECCB00" w14:textId="77777777" w:rsidR="00DB6E47" w:rsidRPr="00C96203" w:rsidRDefault="00DB6E47" w:rsidP="00271C9D">
      <w:pPr>
        <w:pStyle w:val="aNote"/>
        <w:keepNext/>
      </w:pPr>
      <w:r w:rsidRPr="00FF4454">
        <w:rPr>
          <w:rStyle w:val="charItals"/>
        </w:rPr>
        <w:t>Note</w:t>
      </w:r>
      <w:r w:rsidRPr="00C96203">
        <w:rPr>
          <w:rFonts w:cs="Times"/>
          <w:bCs/>
          <w:iCs/>
        </w:rPr>
        <w:t>—</w:t>
      </w:r>
    </w:p>
    <w:p w14:paraId="6E3497DD" w14:textId="77777777" w:rsidR="00DB6E47" w:rsidRPr="00C96203" w:rsidRDefault="00DB6E47" w:rsidP="00DB6E47">
      <w:pPr>
        <w:pStyle w:val="aNoteTextss"/>
      </w:pPr>
      <w:r w:rsidRPr="00C96203">
        <w:t>Under sections 248 and 303, the time must be based on the time zone of the driver’s base for drivers on a journey in a different time zone to the driver’s base.</w:t>
      </w:r>
    </w:p>
    <w:p w14:paraId="72B2E375" w14:textId="77777777" w:rsidR="00DB6E47" w:rsidRPr="00041046" w:rsidRDefault="00DB6E47" w:rsidP="00DB6E47">
      <w:pPr>
        <w:pStyle w:val="aDef"/>
        <w:rPr>
          <w:bCs/>
        </w:rPr>
      </w:pPr>
      <w:r w:rsidRPr="00041046">
        <w:rPr>
          <w:rStyle w:val="charBoldItals"/>
        </w:rPr>
        <w:t>non-participating jurisdiction</w:t>
      </w:r>
      <w:r w:rsidRPr="00041046">
        <w:t xml:space="preserve"> means a State or Territory that is not a participating jurisdiction.</w:t>
      </w:r>
    </w:p>
    <w:p w14:paraId="53CCE82E" w14:textId="77777777" w:rsidR="00DB6E47" w:rsidRPr="00041046" w:rsidRDefault="00DB6E47" w:rsidP="00DB6E47">
      <w:pPr>
        <w:pStyle w:val="aDef"/>
        <w:rPr>
          <w:bCs/>
        </w:rPr>
      </w:pPr>
      <w:r w:rsidRPr="00041046">
        <w:rPr>
          <w:rStyle w:val="charBoldItals"/>
        </w:rPr>
        <w:t>participating jurisdiction</w:t>
      </w:r>
      <w:r w:rsidRPr="00041046">
        <w:t xml:space="preserve"> means a State or Territory in which—</w:t>
      </w:r>
    </w:p>
    <w:p w14:paraId="76F3FD1B" w14:textId="77777777" w:rsidR="00DB6E47" w:rsidRPr="007E3B80" w:rsidRDefault="00DB6E47" w:rsidP="00DB6E47">
      <w:pPr>
        <w:pStyle w:val="aDefpara"/>
      </w:pPr>
      <w:r w:rsidRPr="00FF4454">
        <w:tab/>
      </w:r>
      <w:r w:rsidRPr="00F04D8E">
        <w:rPr>
          <w:rFonts w:cs="Times"/>
          <w:bCs/>
          <w:iCs/>
        </w:rPr>
        <w:t>(a)</w:t>
      </w:r>
      <w:r w:rsidRPr="00FF4454">
        <w:rPr>
          <w:rStyle w:val="charBoldItals"/>
        </w:rPr>
        <w:tab/>
      </w:r>
      <w:r w:rsidRPr="007E3B80">
        <w:t>this Chapter applies as a law of the State or Territory; or</w:t>
      </w:r>
    </w:p>
    <w:p w14:paraId="0941F131" w14:textId="77777777" w:rsidR="00DB6E47" w:rsidRPr="007E3B80" w:rsidRDefault="00DB6E47" w:rsidP="00DB6E47">
      <w:pPr>
        <w:pStyle w:val="aDefpara"/>
      </w:pPr>
      <w:r w:rsidRPr="007E3B80">
        <w:tab/>
        <w:t>(b)</w:t>
      </w:r>
      <w:r w:rsidRPr="007E3B80">
        <w:tab/>
        <w:t>a law containing provisions that substantially correspond to the provisions of this Chapter is in force.</w:t>
      </w:r>
    </w:p>
    <w:p w14:paraId="41CEAC5C" w14:textId="77777777" w:rsidR="00DB6E47" w:rsidRPr="00041046" w:rsidRDefault="00DB6E47" w:rsidP="00DB6E47">
      <w:pPr>
        <w:pStyle w:val="aDef"/>
        <w:rPr>
          <w:bCs/>
        </w:rPr>
      </w:pPr>
      <w:r w:rsidRPr="00041046">
        <w:rPr>
          <w:rStyle w:val="charBoldItals"/>
        </w:rPr>
        <w:t>record keeper</w:t>
      </w:r>
      <w:r w:rsidRPr="00041046">
        <w:t xml:space="preserve"> has the meaning given by section 317.</w:t>
      </w:r>
    </w:p>
    <w:p w14:paraId="30B70ACF" w14:textId="77777777" w:rsidR="00DB6E47" w:rsidRPr="00041046" w:rsidRDefault="00DB6E47" w:rsidP="00DB6E47">
      <w:pPr>
        <w:pStyle w:val="aDef"/>
        <w:rPr>
          <w:bCs/>
        </w:rPr>
      </w:pPr>
      <w:r w:rsidRPr="00041046">
        <w:rPr>
          <w:rStyle w:val="charBoldItals"/>
        </w:rPr>
        <w:t>record location</w:t>
      </w:r>
      <w:r w:rsidRPr="00041046">
        <w:t>, of the driver of a fatigue-regulated heavy vehicle, has the meaning given by section 290.</w:t>
      </w:r>
    </w:p>
    <w:p w14:paraId="79266251" w14:textId="77777777" w:rsidR="00DB6E47" w:rsidRPr="00041046" w:rsidRDefault="00DB6E47" w:rsidP="00DB6E47">
      <w:pPr>
        <w:pStyle w:val="aDef"/>
        <w:rPr>
          <w:bCs/>
        </w:rPr>
      </w:pPr>
      <w:r w:rsidRPr="00041046">
        <w:rPr>
          <w:rStyle w:val="charBoldItals"/>
        </w:rPr>
        <w:lastRenderedPageBreak/>
        <w:t>rest</w:t>
      </w:r>
      <w:r w:rsidRPr="00041046">
        <w:t>, in relation to a fatigue-regulated heavy vehicle, means not work in relation to a fatigue-regulated heavy vehicle.</w:t>
      </w:r>
    </w:p>
    <w:p w14:paraId="5096A354" w14:textId="77777777" w:rsidR="00DB6E47" w:rsidRPr="00041046" w:rsidRDefault="00DB6E47" w:rsidP="00DB6E47">
      <w:pPr>
        <w:pStyle w:val="aDef"/>
        <w:rPr>
          <w:bCs/>
        </w:rPr>
      </w:pPr>
      <w:r w:rsidRPr="00041046">
        <w:rPr>
          <w:rStyle w:val="charBoldItals"/>
        </w:rPr>
        <w:t>rest time</w:t>
      </w:r>
      <w:r w:rsidRPr="00041046">
        <w:t>, for the driver of a fatigue-regulated heavy vehicle, means any time that is not work time for the driver.</w:t>
      </w:r>
    </w:p>
    <w:p w14:paraId="3E04A88E" w14:textId="77777777" w:rsidR="00DB6E47" w:rsidRPr="00041046" w:rsidRDefault="00DB6E47" w:rsidP="00DB6E47">
      <w:pPr>
        <w:pStyle w:val="aDef"/>
        <w:rPr>
          <w:bCs/>
        </w:rPr>
      </w:pPr>
      <w:r w:rsidRPr="00041046">
        <w:rPr>
          <w:rStyle w:val="charBoldItals"/>
        </w:rPr>
        <w:t xml:space="preserve">severe risk breach </w:t>
      </w:r>
      <w:r w:rsidRPr="00041046">
        <w:t>has the meaning given by section 222(3).</w:t>
      </w:r>
    </w:p>
    <w:p w14:paraId="53C31DA9" w14:textId="77777777" w:rsidR="00DB6E47" w:rsidRPr="00041046" w:rsidRDefault="00DB6E47" w:rsidP="00271C9D">
      <w:pPr>
        <w:pStyle w:val="aDef"/>
        <w:keepNext/>
        <w:rPr>
          <w:bCs/>
        </w:rPr>
      </w:pPr>
      <w:r w:rsidRPr="00041046">
        <w:rPr>
          <w:rStyle w:val="charBoldItals"/>
        </w:rPr>
        <w:t>sign of fatigue</w:t>
      </w:r>
      <w:r w:rsidRPr="00041046">
        <w:t xml:space="preserve"> means any sign that a person was, is or will be fatigued while driving a fatigue-regulated heavy vehicle on a road (whether the sign manifests itself before, during or after the driver drove the vehicle).</w:t>
      </w:r>
    </w:p>
    <w:p w14:paraId="7F55C092" w14:textId="77777777" w:rsidR="00DB6E47" w:rsidRPr="00C96203" w:rsidRDefault="00DB6E47" w:rsidP="00271C9D">
      <w:pPr>
        <w:pStyle w:val="aExamHdgss"/>
      </w:pPr>
      <w:r w:rsidRPr="00C96203">
        <w:rPr>
          <w:rFonts w:cs="Times"/>
          <w:bCs/>
          <w:iCs/>
        </w:rPr>
        <w:t>Examples—</w:t>
      </w:r>
    </w:p>
    <w:p w14:paraId="17C99BA0" w14:textId="77777777" w:rsidR="00DB6E47" w:rsidRPr="00C96203" w:rsidRDefault="00DB6E47" w:rsidP="00271C9D">
      <w:pPr>
        <w:pStyle w:val="aExamBulletss"/>
        <w:keepNext/>
      </w:pPr>
      <w:r w:rsidRPr="00C96203">
        <w:t xml:space="preserve">• </w:t>
      </w:r>
      <w:r w:rsidRPr="00C96203">
        <w:tab/>
        <w:t>lack of alertness</w:t>
      </w:r>
    </w:p>
    <w:p w14:paraId="2C6402E5" w14:textId="77777777" w:rsidR="00DB6E47" w:rsidRPr="00C96203" w:rsidRDefault="00DB6E47" w:rsidP="00271C9D">
      <w:pPr>
        <w:pStyle w:val="aExamBulletss"/>
        <w:keepNext/>
      </w:pPr>
      <w:r w:rsidRPr="00C96203">
        <w:t xml:space="preserve">• </w:t>
      </w:r>
      <w:r w:rsidRPr="00C96203">
        <w:tab/>
        <w:t>inability to concentrate</w:t>
      </w:r>
    </w:p>
    <w:p w14:paraId="13CFE6C2" w14:textId="77777777" w:rsidR="00DB6E47" w:rsidRPr="00C96203" w:rsidRDefault="00DB6E47" w:rsidP="00271C9D">
      <w:pPr>
        <w:pStyle w:val="aExamBulletss"/>
        <w:keepNext/>
      </w:pPr>
      <w:r w:rsidRPr="00C96203">
        <w:t xml:space="preserve">• </w:t>
      </w:r>
      <w:r w:rsidRPr="00C96203">
        <w:tab/>
        <w:t>reduced ability to recognise or respond to external stimuli</w:t>
      </w:r>
    </w:p>
    <w:p w14:paraId="29D4529B" w14:textId="77777777" w:rsidR="00DB6E47" w:rsidRPr="00C96203" w:rsidRDefault="00DB6E47" w:rsidP="00DB6E47">
      <w:pPr>
        <w:pStyle w:val="aExamBulletss"/>
      </w:pPr>
      <w:r w:rsidRPr="00C96203">
        <w:t xml:space="preserve">• </w:t>
      </w:r>
      <w:r w:rsidRPr="00C96203">
        <w:tab/>
        <w:t>poor judgment or memory</w:t>
      </w:r>
    </w:p>
    <w:p w14:paraId="5171CBA4" w14:textId="77777777" w:rsidR="00DB6E47" w:rsidRPr="00C96203" w:rsidRDefault="00DB6E47" w:rsidP="00DB6E47">
      <w:pPr>
        <w:pStyle w:val="aExamBulletss"/>
      </w:pPr>
      <w:r w:rsidRPr="00C96203">
        <w:t xml:space="preserve">• </w:t>
      </w:r>
      <w:r w:rsidRPr="00C96203">
        <w:tab/>
        <w:t>making more mistakes than usual</w:t>
      </w:r>
    </w:p>
    <w:p w14:paraId="159E296C" w14:textId="77777777" w:rsidR="00DB6E47" w:rsidRPr="00C96203" w:rsidRDefault="00DB6E47" w:rsidP="00DB6E47">
      <w:pPr>
        <w:pStyle w:val="aExamBulletss"/>
      </w:pPr>
      <w:r w:rsidRPr="00C96203">
        <w:t xml:space="preserve">• </w:t>
      </w:r>
      <w:r w:rsidRPr="00C96203">
        <w:tab/>
        <w:t>drowsiness, or falling asleep, at work (including microsleeps)</w:t>
      </w:r>
    </w:p>
    <w:p w14:paraId="6FA7DBB7" w14:textId="77777777" w:rsidR="00DB6E47" w:rsidRPr="00C96203" w:rsidRDefault="00DB6E47" w:rsidP="00DB6E47">
      <w:pPr>
        <w:pStyle w:val="aExamBulletss"/>
      </w:pPr>
      <w:r w:rsidRPr="00C96203">
        <w:t xml:space="preserve">• </w:t>
      </w:r>
      <w:r w:rsidRPr="00C96203">
        <w:tab/>
        <w:t>finding it difficult to keep eyes open</w:t>
      </w:r>
    </w:p>
    <w:p w14:paraId="15A4E043" w14:textId="77777777" w:rsidR="00DB6E47" w:rsidRPr="00C96203" w:rsidRDefault="00DB6E47" w:rsidP="00DB6E47">
      <w:pPr>
        <w:pStyle w:val="aExamBulletss"/>
      </w:pPr>
      <w:r w:rsidRPr="00C96203">
        <w:t xml:space="preserve">• </w:t>
      </w:r>
      <w:r w:rsidRPr="00C96203">
        <w:tab/>
        <w:t>needing more frequent naps than usual</w:t>
      </w:r>
    </w:p>
    <w:p w14:paraId="713C29A7" w14:textId="77777777" w:rsidR="00DB6E47" w:rsidRPr="00C96203" w:rsidRDefault="00DB6E47" w:rsidP="00DB6E47">
      <w:pPr>
        <w:pStyle w:val="aExamBulletss"/>
      </w:pPr>
      <w:r w:rsidRPr="00C96203">
        <w:t xml:space="preserve">• </w:t>
      </w:r>
      <w:r w:rsidRPr="00C96203">
        <w:tab/>
        <w:t>not feeling refreshed after sleep</w:t>
      </w:r>
    </w:p>
    <w:p w14:paraId="2C16D82A" w14:textId="77777777" w:rsidR="00DB6E47" w:rsidRPr="00C96203" w:rsidRDefault="00DB6E47" w:rsidP="00DB6E47">
      <w:pPr>
        <w:pStyle w:val="aExamBulletss"/>
      </w:pPr>
      <w:r w:rsidRPr="00C96203">
        <w:t xml:space="preserve">• </w:t>
      </w:r>
      <w:r w:rsidRPr="00C96203">
        <w:tab/>
        <w:t>excessive head-nodding or yawning</w:t>
      </w:r>
    </w:p>
    <w:p w14:paraId="036F9DB3" w14:textId="77777777" w:rsidR="00DB6E47" w:rsidRPr="00C96203" w:rsidRDefault="00DB6E47" w:rsidP="00DB6E47">
      <w:pPr>
        <w:pStyle w:val="aExamBulletss"/>
      </w:pPr>
      <w:r w:rsidRPr="00C96203">
        <w:t xml:space="preserve">• </w:t>
      </w:r>
      <w:r w:rsidRPr="00C96203">
        <w:tab/>
        <w:t>blurred vision</w:t>
      </w:r>
    </w:p>
    <w:p w14:paraId="6C0198B8" w14:textId="77777777" w:rsidR="00DB6E47" w:rsidRPr="00C96203" w:rsidRDefault="00DB6E47" w:rsidP="00DB6E47">
      <w:pPr>
        <w:pStyle w:val="aExamBulletss"/>
      </w:pPr>
      <w:r w:rsidRPr="00C96203">
        <w:t xml:space="preserve">• </w:t>
      </w:r>
      <w:r w:rsidRPr="00C96203">
        <w:tab/>
        <w:t>mood changes, increased irritability or other changes to the person’s mental health</w:t>
      </w:r>
    </w:p>
    <w:p w14:paraId="144CA9A2" w14:textId="77777777" w:rsidR="00DB6E47" w:rsidRPr="00C96203" w:rsidRDefault="00DB6E47" w:rsidP="00DB6E47">
      <w:pPr>
        <w:pStyle w:val="aExamBulletss"/>
      </w:pPr>
      <w:r w:rsidRPr="00C96203">
        <w:t xml:space="preserve">• </w:t>
      </w:r>
      <w:r w:rsidRPr="00C96203">
        <w:tab/>
        <w:t>changes to the person’s health or fitness</w:t>
      </w:r>
    </w:p>
    <w:p w14:paraId="5C1456C9" w14:textId="77777777" w:rsidR="00DB6E47" w:rsidRPr="00041046" w:rsidRDefault="00DB6E47" w:rsidP="00DB6E47">
      <w:pPr>
        <w:pStyle w:val="aDef"/>
        <w:rPr>
          <w:bCs/>
        </w:rPr>
      </w:pPr>
      <w:r w:rsidRPr="00041046">
        <w:rPr>
          <w:rStyle w:val="charBoldItals"/>
        </w:rPr>
        <w:t>solo driver</w:t>
      </w:r>
      <w:r w:rsidRPr="00041046">
        <w:t xml:space="preserve"> means a driver who is not a party to a two-up driving arrangement.</w:t>
      </w:r>
    </w:p>
    <w:p w14:paraId="135239EF" w14:textId="77777777" w:rsidR="00DB6E47" w:rsidRPr="00041046" w:rsidRDefault="00DB6E47" w:rsidP="00DB6E47">
      <w:pPr>
        <w:pStyle w:val="aDef"/>
        <w:rPr>
          <w:bCs/>
        </w:rPr>
      </w:pPr>
      <w:r w:rsidRPr="00041046">
        <w:rPr>
          <w:rStyle w:val="charBoldItals"/>
        </w:rPr>
        <w:t xml:space="preserve">standard hours </w:t>
      </w:r>
      <w:r w:rsidRPr="00041046">
        <w:t>has the meaning given by section 249.</w:t>
      </w:r>
    </w:p>
    <w:p w14:paraId="5485424A" w14:textId="77777777" w:rsidR="00DB6E47" w:rsidRPr="00041046" w:rsidRDefault="00DB6E47" w:rsidP="00750ACD">
      <w:pPr>
        <w:pStyle w:val="aDef"/>
        <w:keepNext/>
        <w:rPr>
          <w:bCs/>
        </w:rPr>
      </w:pPr>
      <w:r w:rsidRPr="00041046">
        <w:rPr>
          <w:rStyle w:val="charBoldItals"/>
        </w:rPr>
        <w:lastRenderedPageBreak/>
        <w:t>stationary rest time</w:t>
      </w:r>
      <w:r w:rsidRPr="00041046">
        <w:t xml:space="preserve"> means rest time a driver spends—</w:t>
      </w:r>
    </w:p>
    <w:p w14:paraId="174D0121" w14:textId="77777777" w:rsidR="00DB6E47" w:rsidRPr="00A41534" w:rsidRDefault="00DB6E47" w:rsidP="00904504">
      <w:pPr>
        <w:pStyle w:val="aDefpara"/>
        <w:keepNext/>
      </w:pPr>
      <w:r w:rsidRPr="00FF4454">
        <w:tab/>
      </w:r>
      <w:r w:rsidRPr="00F04D8E">
        <w:rPr>
          <w:rFonts w:cs="Times"/>
          <w:bCs/>
          <w:iCs/>
        </w:rPr>
        <w:t>(a)</w:t>
      </w:r>
      <w:r w:rsidRPr="00A41534">
        <w:tab/>
        <w:t>out of a fatigue-regulated heavy vehicle; or</w:t>
      </w:r>
    </w:p>
    <w:p w14:paraId="00310637" w14:textId="77777777" w:rsidR="00DB6E47" w:rsidRPr="00A41534" w:rsidRDefault="00DB6E47" w:rsidP="00DB6E47">
      <w:pPr>
        <w:pStyle w:val="aDefpara"/>
      </w:pPr>
      <w:r w:rsidRPr="00A41534">
        <w:tab/>
        <w:t>(b)</w:t>
      </w:r>
      <w:r w:rsidRPr="00A41534">
        <w:tab/>
        <w:t>in an approved sleeper berth of a stationary fatigue-regulated heavy vehicle.</w:t>
      </w:r>
    </w:p>
    <w:p w14:paraId="73C81A6F" w14:textId="77777777" w:rsidR="00DB6E47" w:rsidRPr="00041046" w:rsidRDefault="00DB6E47" w:rsidP="00DB6E47">
      <w:pPr>
        <w:pStyle w:val="aDef"/>
        <w:rPr>
          <w:bCs/>
        </w:rPr>
      </w:pPr>
      <w:r w:rsidRPr="00041046">
        <w:rPr>
          <w:rStyle w:val="charBoldItals"/>
        </w:rPr>
        <w:t>substantial risk breach</w:t>
      </w:r>
      <w:r w:rsidRPr="00041046">
        <w:t xml:space="preserve"> has the meaning given by section 222(2).</w:t>
      </w:r>
    </w:p>
    <w:p w14:paraId="5EAB05D7" w14:textId="77777777" w:rsidR="00DB6E47" w:rsidRPr="00041046" w:rsidRDefault="00DB6E47" w:rsidP="00DB6E47">
      <w:pPr>
        <w:pStyle w:val="aDef"/>
        <w:rPr>
          <w:bCs/>
        </w:rPr>
      </w:pPr>
      <w:r w:rsidRPr="00041046">
        <w:rPr>
          <w:rStyle w:val="charBoldItals"/>
        </w:rPr>
        <w:t>supplementary record</w:t>
      </w:r>
      <w:r w:rsidRPr="00041046">
        <w:t xml:space="preserve"> means a supplementary record made under section 305.</w:t>
      </w:r>
    </w:p>
    <w:p w14:paraId="620BF886" w14:textId="77777777" w:rsidR="00DB6E47" w:rsidRPr="00041046" w:rsidRDefault="00DB6E47" w:rsidP="00DB6E47">
      <w:pPr>
        <w:pStyle w:val="aDef"/>
        <w:rPr>
          <w:bCs/>
        </w:rPr>
      </w:pPr>
      <w:r w:rsidRPr="00041046">
        <w:rPr>
          <w:rStyle w:val="charBoldItals"/>
        </w:rPr>
        <w:t>tamper</w:t>
      </w:r>
      <w:r w:rsidRPr="00041046">
        <w:t>, with an approved electronic recording system, has the meaning given by section 334.</w:t>
      </w:r>
    </w:p>
    <w:p w14:paraId="004A0A58" w14:textId="77777777" w:rsidR="00DB6E47" w:rsidRPr="00041046" w:rsidRDefault="00DB6E47" w:rsidP="00DB6E47">
      <w:pPr>
        <w:pStyle w:val="aDef"/>
        <w:rPr>
          <w:bCs/>
        </w:rPr>
      </w:pPr>
      <w:r w:rsidRPr="00041046">
        <w:rPr>
          <w:rStyle w:val="charBoldItals"/>
        </w:rPr>
        <w:t>two-up driving arrangement</w:t>
      </w:r>
      <w:r w:rsidRPr="00041046">
        <w:t xml:space="preserve"> means an arrangement under which 2 persons share the driving of a fatigue-regulated heavy vehicle that has an approved sleeper berth.</w:t>
      </w:r>
    </w:p>
    <w:p w14:paraId="337B8765" w14:textId="77777777" w:rsidR="00DB6E47" w:rsidRPr="00041046" w:rsidRDefault="00DB6E47" w:rsidP="00DB6E47">
      <w:pPr>
        <w:pStyle w:val="aDef"/>
        <w:rPr>
          <w:bCs/>
        </w:rPr>
      </w:pPr>
      <w:r w:rsidRPr="00041046">
        <w:rPr>
          <w:rStyle w:val="charBoldItals"/>
        </w:rPr>
        <w:t>work</w:t>
      </w:r>
      <w:r w:rsidRPr="00041046">
        <w:t>, in relation to a fatigue-regulated heavy vehicle, means—</w:t>
      </w:r>
    </w:p>
    <w:p w14:paraId="2505F4BA" w14:textId="77777777" w:rsidR="00DB6E47" w:rsidRPr="00A41534" w:rsidRDefault="00DB6E47" w:rsidP="00DB6E47">
      <w:pPr>
        <w:pStyle w:val="aDefpara"/>
      </w:pPr>
      <w:r w:rsidRPr="00FF4454">
        <w:tab/>
      </w:r>
      <w:r w:rsidRPr="00F04D8E">
        <w:rPr>
          <w:rFonts w:cs="Times"/>
          <w:bCs/>
          <w:iCs/>
        </w:rPr>
        <w:t>(a)</w:t>
      </w:r>
      <w:r w:rsidRPr="00A41534">
        <w:tab/>
        <w:t>drive a fatigue-regulated heavy vehicle; or</w:t>
      </w:r>
    </w:p>
    <w:p w14:paraId="708A4CEC" w14:textId="77777777" w:rsidR="00DB6E47" w:rsidRPr="00A41534" w:rsidRDefault="00DB6E47" w:rsidP="00DB6E47">
      <w:pPr>
        <w:pStyle w:val="aDefpara"/>
      </w:pPr>
      <w:r w:rsidRPr="00A41534">
        <w:tab/>
        <w:t>(b)</w:t>
      </w:r>
      <w:r w:rsidRPr="00A41534">
        <w:tab/>
        <w:t>instruct another person to drive, or supervise another person driving, a fatigue-regulated heavy vehicle; or</w:t>
      </w:r>
    </w:p>
    <w:p w14:paraId="04B5F346" w14:textId="77777777" w:rsidR="00DB6E47" w:rsidRPr="00A41534" w:rsidRDefault="00DB6E47" w:rsidP="00DB6E47">
      <w:pPr>
        <w:pStyle w:val="aDefpara"/>
      </w:pPr>
      <w:r w:rsidRPr="00A41534">
        <w:tab/>
        <w:t>(c)</w:t>
      </w:r>
      <w:r w:rsidRPr="00A41534">
        <w:tab/>
        <w:t>perform another task relating to the use of a fatigue-regulated heavy vehicle, including, for example—</w:t>
      </w:r>
    </w:p>
    <w:p w14:paraId="53426985" w14:textId="77777777" w:rsidR="00DB6E47" w:rsidRPr="006C3305" w:rsidRDefault="00DB6E47" w:rsidP="00DB6E47">
      <w:pPr>
        <w:pStyle w:val="aDefsubpara"/>
      </w:pPr>
      <w:r>
        <w:tab/>
      </w:r>
      <w:r w:rsidRPr="00F04D8E">
        <w:t>(i)</w:t>
      </w:r>
      <w:r w:rsidRPr="006C3305">
        <w:tab/>
        <w:t>load things onto, or unload things from, the heavy vehicle; and</w:t>
      </w:r>
    </w:p>
    <w:p w14:paraId="35D6E9C9" w14:textId="77777777" w:rsidR="00DB6E47" w:rsidRPr="00A41534" w:rsidRDefault="00DB6E47" w:rsidP="00A41534">
      <w:pPr>
        <w:pStyle w:val="aDefsubpara"/>
      </w:pPr>
      <w:r w:rsidRPr="00A41534">
        <w:tab/>
        <w:t>(ii)</w:t>
      </w:r>
      <w:r w:rsidRPr="00A41534">
        <w:tab/>
        <w:t>inspect, service or repair the heavy vehicle; and</w:t>
      </w:r>
    </w:p>
    <w:p w14:paraId="10D38F07" w14:textId="77777777" w:rsidR="00DB6E47" w:rsidRPr="00A41534" w:rsidRDefault="00DB6E47" w:rsidP="00A41534">
      <w:pPr>
        <w:pStyle w:val="aDefsubpara"/>
      </w:pPr>
      <w:r w:rsidRPr="00A41534">
        <w:tab/>
        <w:t>(iii)</w:t>
      </w:r>
      <w:r w:rsidRPr="00A41534">
        <w:tab/>
        <w:t>inspect or attend to a load on the heavy vehicle; and</w:t>
      </w:r>
    </w:p>
    <w:p w14:paraId="1F22AC34" w14:textId="77777777" w:rsidR="00DB6E47" w:rsidRPr="00A41534" w:rsidRDefault="00DB6E47" w:rsidP="00A41534">
      <w:pPr>
        <w:pStyle w:val="aDefsubpara"/>
      </w:pPr>
      <w:r w:rsidRPr="00A41534">
        <w:tab/>
        <w:t>(iv)</w:t>
      </w:r>
      <w:r w:rsidRPr="00A41534">
        <w:tab/>
        <w:t>if the heavy vehicle is a bus, attend to passengers on the bus; and</w:t>
      </w:r>
    </w:p>
    <w:p w14:paraId="10350443" w14:textId="77777777" w:rsidR="00DB6E47" w:rsidRPr="00A41534" w:rsidRDefault="00DB6E47" w:rsidP="00A41534">
      <w:pPr>
        <w:pStyle w:val="aDefsubpara"/>
      </w:pPr>
      <w:r w:rsidRPr="00A41534">
        <w:tab/>
        <w:t>(v)</w:t>
      </w:r>
      <w:r w:rsidRPr="00A41534">
        <w:tab/>
        <w:t>clean or refuel the heavy vehicle; and</w:t>
      </w:r>
    </w:p>
    <w:p w14:paraId="5CF128BF" w14:textId="77777777" w:rsidR="00DB6E47" w:rsidRPr="00A41534" w:rsidRDefault="00DB6E47" w:rsidP="00750ACD">
      <w:pPr>
        <w:pStyle w:val="aDefsubpara"/>
        <w:keepNext/>
      </w:pPr>
      <w:r w:rsidRPr="00A41534">
        <w:lastRenderedPageBreak/>
        <w:tab/>
        <w:t>(vi)</w:t>
      </w:r>
      <w:r w:rsidRPr="00A41534">
        <w:tab/>
        <w:t>perform marketing tasks in relation to the use of the vehicle; and</w:t>
      </w:r>
    </w:p>
    <w:p w14:paraId="2AB5203F" w14:textId="77777777" w:rsidR="00DB6E47" w:rsidRPr="00C96203" w:rsidRDefault="00DB6E47" w:rsidP="00DB6E47">
      <w:pPr>
        <w:pStyle w:val="aExamHdgss"/>
      </w:pPr>
      <w:r w:rsidRPr="00C96203">
        <w:rPr>
          <w:rFonts w:cs="Times"/>
          <w:bCs/>
          <w:iCs/>
        </w:rPr>
        <w:t>Examples for the purposes of subparagraph (vi)—</w:t>
      </w:r>
    </w:p>
    <w:p w14:paraId="01A2EA35" w14:textId="302A5C98" w:rsidR="00DB6E47" w:rsidRPr="00C96203" w:rsidRDefault="00DB6E47" w:rsidP="003F0CDD">
      <w:pPr>
        <w:pStyle w:val="aExamBulletss"/>
        <w:keepNext/>
      </w:pPr>
      <w:r w:rsidRPr="00C96203">
        <w:t>•</w:t>
      </w:r>
      <w:r w:rsidRPr="00C96203">
        <w:tab/>
        <w:t>arranging for the transport of goods or passengers by the heavy vehicle</w:t>
      </w:r>
    </w:p>
    <w:p w14:paraId="61FF9425" w14:textId="465D3474" w:rsidR="00DB6E47" w:rsidRPr="00C96203" w:rsidRDefault="00DB6E47" w:rsidP="00DB6E47">
      <w:pPr>
        <w:pStyle w:val="aExamBulletss"/>
      </w:pPr>
      <w:r w:rsidRPr="00C96203">
        <w:t>•</w:t>
      </w:r>
      <w:r w:rsidRPr="00C96203">
        <w:tab/>
        <w:t>canvassing for orders for the transport of goods or passengers by the heavy vehicle</w:t>
      </w:r>
    </w:p>
    <w:p w14:paraId="24E345AE" w14:textId="77777777" w:rsidR="00DB6E47" w:rsidRPr="00A41534" w:rsidRDefault="00DB6E47" w:rsidP="00A41534">
      <w:pPr>
        <w:pStyle w:val="aDefsubpara"/>
      </w:pPr>
      <w:r w:rsidRPr="00A41534">
        <w:tab/>
        <w:t>(vii)</w:t>
      </w:r>
      <w:r w:rsidRPr="00A41534">
        <w:tab/>
        <w:t>help another person to perform, or supervise another person performing, a task me</w:t>
      </w:r>
      <w:r w:rsidR="00A41534">
        <w:t xml:space="preserve">ntioned in any of subparagraphs </w:t>
      </w:r>
      <w:r w:rsidRPr="00A41534">
        <w:t>(i)</w:t>
      </w:r>
      <w:r w:rsidR="00A41534">
        <w:t xml:space="preserve"> </w:t>
      </w:r>
      <w:r w:rsidRPr="00A41534">
        <w:t>to (vi); and</w:t>
      </w:r>
    </w:p>
    <w:p w14:paraId="3DF4FB47" w14:textId="77777777" w:rsidR="00DB6E47" w:rsidRPr="00A41534" w:rsidRDefault="00DB6E47" w:rsidP="00A41534">
      <w:pPr>
        <w:pStyle w:val="aDefsubpara"/>
      </w:pPr>
      <w:r w:rsidRPr="00A41534">
        <w:tab/>
        <w:t>(viii)</w:t>
      </w:r>
      <w:r w:rsidRPr="00A41534">
        <w:tab/>
        <w:t>record information or complete a document, as required under this Law, a corresponding fatigue law or otherwise, in relation to the use of the vehicle; or</w:t>
      </w:r>
    </w:p>
    <w:p w14:paraId="7A58AF2D" w14:textId="77777777" w:rsidR="00DB6E47" w:rsidRPr="00A41534" w:rsidRDefault="00DB6E47" w:rsidP="00DB6E47">
      <w:pPr>
        <w:pStyle w:val="aDefpara"/>
      </w:pPr>
      <w:r w:rsidRPr="00F04D8E">
        <w:rPr>
          <w:rFonts w:cs="Times"/>
          <w:bCs/>
          <w:iCs/>
        </w:rPr>
        <w:tab/>
        <w:t>(d)</w:t>
      </w:r>
      <w:r w:rsidRPr="00FF4454">
        <w:rPr>
          <w:rStyle w:val="charBoldItals"/>
        </w:rPr>
        <w:tab/>
      </w:r>
      <w:r w:rsidRPr="00A41534">
        <w:t>occupy the driver’s seat of a fatigue-regulated heavy vehicle while its engine is running.</w:t>
      </w:r>
    </w:p>
    <w:p w14:paraId="37455021" w14:textId="77777777" w:rsidR="00DB6E47" w:rsidRPr="00041046" w:rsidRDefault="00DB6E47" w:rsidP="00DB6E47">
      <w:pPr>
        <w:pStyle w:val="aDef"/>
        <w:rPr>
          <w:bCs/>
        </w:rPr>
      </w:pPr>
      <w:r w:rsidRPr="00041046">
        <w:rPr>
          <w:rStyle w:val="charBoldItals"/>
        </w:rPr>
        <w:t>work and rest change</w:t>
      </w:r>
      <w:r w:rsidRPr="00041046">
        <w:t>, for the driver of a fatigue-regulated heavy vehicle, means—</w:t>
      </w:r>
    </w:p>
    <w:p w14:paraId="791FC259" w14:textId="77777777" w:rsidR="00DB6E47" w:rsidRPr="00A41534" w:rsidRDefault="00DB6E47" w:rsidP="00DB6E47">
      <w:pPr>
        <w:pStyle w:val="aDefpara"/>
      </w:pPr>
      <w:r w:rsidRPr="00FF4454">
        <w:tab/>
      </w:r>
      <w:r w:rsidRPr="00F04D8E">
        <w:rPr>
          <w:rFonts w:cs="Times"/>
          <w:bCs/>
          <w:iCs/>
        </w:rPr>
        <w:t>(a)</w:t>
      </w:r>
      <w:r w:rsidRPr="00FF4454">
        <w:rPr>
          <w:rStyle w:val="charBoldItals"/>
        </w:rPr>
        <w:tab/>
      </w:r>
      <w:r w:rsidRPr="00A41534">
        <w:t>a change from work time to rest time; or</w:t>
      </w:r>
    </w:p>
    <w:p w14:paraId="526FD1A8" w14:textId="77777777" w:rsidR="00DB6E47" w:rsidRPr="00A41534" w:rsidRDefault="00DB6E47" w:rsidP="00DB6E47">
      <w:pPr>
        <w:pStyle w:val="aDefpara"/>
      </w:pPr>
      <w:r w:rsidRPr="00A41534">
        <w:tab/>
        <w:t>(b)</w:t>
      </w:r>
      <w:r w:rsidRPr="00A41534">
        <w:tab/>
        <w:t>a change from rest time to work time; or</w:t>
      </w:r>
    </w:p>
    <w:p w14:paraId="26CB07A7" w14:textId="77777777" w:rsidR="00DB6E47" w:rsidRPr="00A41534" w:rsidRDefault="00DB6E47" w:rsidP="00DB6E47">
      <w:pPr>
        <w:pStyle w:val="aDefpara"/>
      </w:pPr>
      <w:r w:rsidRPr="00A41534">
        <w:tab/>
        <w:t>(c)</w:t>
      </w:r>
      <w:r w:rsidRPr="00A41534">
        <w:tab/>
        <w:t>a change from being a solo driver to being a driver who is a party to a two-up driving arrangement; or</w:t>
      </w:r>
    </w:p>
    <w:p w14:paraId="55F1618A" w14:textId="77777777" w:rsidR="00DB6E47" w:rsidRPr="00A41534" w:rsidRDefault="00DB6E47" w:rsidP="00DB6E47">
      <w:pPr>
        <w:pStyle w:val="aDefpara"/>
      </w:pPr>
      <w:r w:rsidRPr="00A41534">
        <w:tab/>
        <w:t>(d)</w:t>
      </w:r>
      <w:r w:rsidRPr="00A41534">
        <w:tab/>
        <w:t>a change from being a driver who is a party to a two-up driving arrangement to being a solo driver.</w:t>
      </w:r>
    </w:p>
    <w:p w14:paraId="2837DD1A" w14:textId="77777777" w:rsidR="00DB6E47" w:rsidRPr="00041046" w:rsidRDefault="00DB6E47" w:rsidP="00DB6E47">
      <w:pPr>
        <w:pStyle w:val="aDef"/>
        <w:rPr>
          <w:bCs/>
        </w:rPr>
      </w:pPr>
      <w:r w:rsidRPr="00041046">
        <w:rPr>
          <w:rStyle w:val="charBoldItals"/>
        </w:rPr>
        <w:t xml:space="preserve">work and rest hours option </w:t>
      </w:r>
      <w:r w:rsidRPr="00041046">
        <w:t>has the meaning given by section 243.</w:t>
      </w:r>
    </w:p>
    <w:p w14:paraId="0229EC7D" w14:textId="77777777" w:rsidR="00DB6E47" w:rsidRPr="00041046" w:rsidRDefault="00DB6E47" w:rsidP="00DB6E47">
      <w:pPr>
        <w:pStyle w:val="aDef"/>
        <w:rPr>
          <w:bCs/>
        </w:rPr>
      </w:pPr>
      <w:r w:rsidRPr="00041046">
        <w:rPr>
          <w:rStyle w:val="charBoldItals"/>
        </w:rPr>
        <w:t>work diary</w:t>
      </w:r>
      <w:r w:rsidRPr="00041046">
        <w:t>, for the driver of a fatigue-regulated heavy vehicle—</w:t>
      </w:r>
    </w:p>
    <w:p w14:paraId="1D623A2C" w14:textId="77777777" w:rsidR="00DB6E47" w:rsidRPr="00A41534" w:rsidRDefault="00DB6E47" w:rsidP="00DB6E47">
      <w:pPr>
        <w:pStyle w:val="aDefpara"/>
      </w:pPr>
      <w:r w:rsidRPr="00FF4454">
        <w:tab/>
      </w:r>
      <w:r w:rsidRPr="00F04D8E">
        <w:rPr>
          <w:rFonts w:cs="Times"/>
          <w:bCs/>
          <w:iCs/>
        </w:rPr>
        <w:t>(a)</w:t>
      </w:r>
      <w:r w:rsidRPr="00FF4454">
        <w:rPr>
          <w:rStyle w:val="charBoldItals"/>
        </w:rPr>
        <w:tab/>
      </w:r>
      <w:r w:rsidRPr="00A41534">
        <w:t>generally, means a written work diary or electronic work diary kept by the driver for the purposes of this Law; and</w:t>
      </w:r>
    </w:p>
    <w:p w14:paraId="5C5E7DC1" w14:textId="77777777" w:rsidR="00DB6E47" w:rsidRPr="00A41534" w:rsidRDefault="00DB6E47" w:rsidP="00DB6E47">
      <w:pPr>
        <w:pStyle w:val="aDefpara"/>
      </w:pPr>
      <w:r w:rsidRPr="00A41534">
        <w:tab/>
        <w:t>(b)</w:t>
      </w:r>
      <w:r w:rsidRPr="00A41534">
        <w:tab/>
        <w:t>for Subdivision 1 of Division 2 of Part 6.4, see section 292.</w:t>
      </w:r>
    </w:p>
    <w:p w14:paraId="300B48CE" w14:textId="77777777" w:rsidR="00DB6E47" w:rsidRPr="00041046" w:rsidRDefault="00DB6E47" w:rsidP="00750ACD">
      <w:pPr>
        <w:pStyle w:val="aDef"/>
        <w:keepNext/>
        <w:rPr>
          <w:bCs/>
        </w:rPr>
      </w:pPr>
      <w:r w:rsidRPr="00041046">
        <w:rPr>
          <w:rStyle w:val="charBoldItals"/>
        </w:rPr>
        <w:lastRenderedPageBreak/>
        <w:t xml:space="preserve">work record </w:t>
      </w:r>
      <w:r w:rsidRPr="00041046">
        <w:t>means—</w:t>
      </w:r>
    </w:p>
    <w:p w14:paraId="3BF4CBB2" w14:textId="77777777" w:rsidR="00DB6E47" w:rsidRPr="00A41534" w:rsidRDefault="00DB6E47" w:rsidP="00DB6E47">
      <w:pPr>
        <w:pStyle w:val="aDefpara"/>
      </w:pPr>
      <w:r w:rsidRPr="00FF4454">
        <w:tab/>
      </w:r>
      <w:r w:rsidRPr="00F04D8E">
        <w:rPr>
          <w:rFonts w:cs="Times"/>
          <w:bCs/>
          <w:iCs/>
        </w:rPr>
        <w:t>(a)</w:t>
      </w:r>
      <w:r w:rsidRPr="00FF4454">
        <w:rPr>
          <w:rStyle w:val="charBoldItals"/>
        </w:rPr>
        <w:tab/>
      </w:r>
      <w:r w:rsidRPr="00A41534">
        <w:t>a written or electronic work diary of the driver of a fatigue-regulated heavy vehicle; or</w:t>
      </w:r>
    </w:p>
    <w:p w14:paraId="393742BB" w14:textId="77777777" w:rsidR="00DB6E47" w:rsidRPr="00A41534" w:rsidRDefault="00DB6E47" w:rsidP="00DB6E47">
      <w:pPr>
        <w:pStyle w:val="aDefpara"/>
      </w:pPr>
      <w:r w:rsidRPr="00A41534">
        <w:tab/>
        <w:t>(b)</w:t>
      </w:r>
      <w:r w:rsidRPr="00A41534">
        <w:tab/>
        <w:t>a supplementary record; or</w:t>
      </w:r>
    </w:p>
    <w:p w14:paraId="1807DC53" w14:textId="77777777" w:rsidR="00DB6E47" w:rsidRPr="00A41534" w:rsidRDefault="00DB6E47" w:rsidP="00DB6E47">
      <w:pPr>
        <w:pStyle w:val="aDefpara"/>
      </w:pPr>
      <w:r w:rsidRPr="00A41534">
        <w:tab/>
        <w:t>(c)</w:t>
      </w:r>
      <w:r w:rsidRPr="00A41534">
        <w:tab/>
        <w:t>a record required to be made or kept under (or by a condition under) Division 2, 3, 8 or 8A of Part 6.4; or</w:t>
      </w:r>
    </w:p>
    <w:p w14:paraId="009C0E35" w14:textId="77777777" w:rsidR="00DB6E47" w:rsidRPr="00A41534" w:rsidRDefault="00DB6E47" w:rsidP="00DB6E47">
      <w:pPr>
        <w:pStyle w:val="aDefpara"/>
      </w:pPr>
      <w:r w:rsidRPr="00A41534">
        <w:tab/>
        <w:t>(d)</w:t>
      </w:r>
      <w:r w:rsidRPr="00A41534">
        <w:tab/>
        <w:t>a copy of a document, or an entry in a document, mentioned in paragraph (a)</w:t>
      </w:r>
      <w:r w:rsidR="00A41534">
        <w:t xml:space="preserve">, </w:t>
      </w:r>
      <w:r w:rsidRPr="00A41534">
        <w:t>(b)</w:t>
      </w:r>
      <w:r w:rsidR="004E3F26">
        <w:t xml:space="preserve"> </w:t>
      </w:r>
      <w:r w:rsidRPr="00A41534">
        <w:t>or (c).</w:t>
      </w:r>
    </w:p>
    <w:p w14:paraId="7DD9C79D" w14:textId="77777777" w:rsidR="00DB6E47" w:rsidRPr="00041046" w:rsidRDefault="00DB6E47" w:rsidP="00DB6E47">
      <w:pPr>
        <w:pStyle w:val="aDef"/>
        <w:rPr>
          <w:bCs/>
        </w:rPr>
      </w:pPr>
      <w:r w:rsidRPr="00041046">
        <w:rPr>
          <w:rStyle w:val="charBoldItals"/>
        </w:rPr>
        <w:t>work time</w:t>
      </w:r>
      <w:r w:rsidRPr="00041046">
        <w:t>, for the driver of a fatigue-regulated heavy vehicle, means any time the driver spends undertaking work in relation to the vehicle.</w:t>
      </w:r>
    </w:p>
    <w:p w14:paraId="26CBD35D" w14:textId="77777777" w:rsidR="00DB6E47" w:rsidRPr="00041046" w:rsidRDefault="00DB6E47" w:rsidP="00DB6E47">
      <w:pPr>
        <w:pStyle w:val="aDef"/>
        <w:rPr>
          <w:bCs/>
        </w:rPr>
      </w:pPr>
      <w:r w:rsidRPr="00041046">
        <w:rPr>
          <w:rStyle w:val="charBoldItals"/>
        </w:rPr>
        <w:t>written work diary</w:t>
      </w:r>
      <w:r w:rsidRPr="00041046">
        <w:t xml:space="preserve"> means a written work diary issued to the driver of a fatigue-regulated heavy vehicle by the Regulator under section</w:t>
      </w:r>
      <w:r w:rsidR="00A41534">
        <w:t> </w:t>
      </w:r>
      <w:r w:rsidRPr="00041046">
        <w:t>340 or a corresponding fatigue law.</w:t>
      </w:r>
    </w:p>
    <w:p w14:paraId="7478696E" w14:textId="77777777" w:rsidR="00DB6E47" w:rsidRPr="007E1F9A" w:rsidRDefault="00DB6E47" w:rsidP="00DB6E47">
      <w:pPr>
        <w:pStyle w:val="AH5Sec"/>
      </w:pPr>
      <w:bookmarkStart w:id="248" w:name="_Toc83625592"/>
      <w:r w:rsidRPr="005E03F7">
        <w:rPr>
          <w:rStyle w:val="CharSectNo"/>
        </w:rPr>
        <w:t>222</w:t>
      </w:r>
      <w:r w:rsidRPr="007E1F9A">
        <w:tab/>
        <w:t>Categories of breaches</w:t>
      </w:r>
      <w:bookmarkEnd w:id="248"/>
    </w:p>
    <w:p w14:paraId="4A718836" w14:textId="77777777" w:rsidR="00DB6E47" w:rsidRPr="009B0C0B" w:rsidRDefault="00DB6E47" w:rsidP="00DB6E47">
      <w:pPr>
        <w:pStyle w:val="Amain"/>
      </w:pPr>
      <w:r w:rsidRPr="009B0C0B">
        <w:tab/>
        <w:t>(1)</w:t>
      </w:r>
      <w:r w:rsidRPr="009B0C0B">
        <w:tab/>
        <w:t xml:space="preserve">A contravention of a maximum work requirement or minimum rest requirement is a </w:t>
      </w:r>
      <w:r w:rsidRPr="00FF4454">
        <w:rPr>
          <w:rStyle w:val="charBoldItals"/>
        </w:rPr>
        <w:t>minor risk breach</w:t>
      </w:r>
      <w:r w:rsidRPr="009B0C0B">
        <w:t xml:space="preserve"> if it is declared under the national regulations to be a breach in the minor risk category.</w:t>
      </w:r>
    </w:p>
    <w:p w14:paraId="00836526" w14:textId="77777777" w:rsidR="00DB6E47" w:rsidRPr="009B0C0B" w:rsidRDefault="00DB6E47" w:rsidP="00DB6E47">
      <w:pPr>
        <w:pStyle w:val="Amain"/>
      </w:pPr>
      <w:r w:rsidRPr="009B0C0B">
        <w:tab/>
        <w:t>(2)</w:t>
      </w:r>
      <w:r w:rsidRPr="009B0C0B">
        <w:tab/>
        <w:t xml:space="preserve">A contravention of a maximum work requirement or minimum rest requirement is a </w:t>
      </w:r>
      <w:r w:rsidRPr="00FF4454">
        <w:rPr>
          <w:rStyle w:val="charBoldItals"/>
        </w:rPr>
        <w:t>substantial risk breach</w:t>
      </w:r>
      <w:r w:rsidRPr="009B0C0B">
        <w:t xml:space="preserve"> if it is declared under the national regulations to be a breach in the substantial risk category.</w:t>
      </w:r>
    </w:p>
    <w:p w14:paraId="4BCC1B00" w14:textId="77777777" w:rsidR="00DB6E47" w:rsidRPr="009B0C0B" w:rsidRDefault="00DB6E47" w:rsidP="00DB6E47">
      <w:pPr>
        <w:pStyle w:val="Amain"/>
      </w:pPr>
      <w:r w:rsidRPr="009B0C0B">
        <w:tab/>
        <w:t>(3)</w:t>
      </w:r>
      <w:r w:rsidRPr="009B0C0B">
        <w:tab/>
        <w:t xml:space="preserve">A contravention of a maximum work requirement or minimum rest requirement is a </w:t>
      </w:r>
      <w:r w:rsidRPr="00FF4454">
        <w:rPr>
          <w:rStyle w:val="charBoldItals"/>
        </w:rPr>
        <w:t>severe risk breach</w:t>
      </w:r>
      <w:r w:rsidRPr="009B0C0B">
        <w:t xml:space="preserve"> if it is declared under the national regulations to be a breach in the severe risk category.</w:t>
      </w:r>
    </w:p>
    <w:p w14:paraId="7034B1AE" w14:textId="77777777" w:rsidR="00DB6E47" w:rsidRPr="009B0C0B" w:rsidRDefault="00DB6E47" w:rsidP="00DB6E47">
      <w:pPr>
        <w:pStyle w:val="Amain"/>
      </w:pPr>
      <w:r w:rsidRPr="009B0C0B">
        <w:tab/>
        <w:t>(4)</w:t>
      </w:r>
      <w:r w:rsidRPr="009B0C0B">
        <w:tab/>
        <w:t xml:space="preserve">A contravention of a maximum work requirement or minimum rest requirement is a </w:t>
      </w:r>
      <w:r w:rsidRPr="00FF4454">
        <w:rPr>
          <w:rStyle w:val="charBoldItals"/>
        </w:rPr>
        <w:t>critical risk breach</w:t>
      </w:r>
      <w:r w:rsidRPr="009B0C0B">
        <w:t xml:space="preserve"> if it is declared under the national regulations to be a breach in the critical risk category.</w:t>
      </w:r>
    </w:p>
    <w:p w14:paraId="30914DFB" w14:textId="77777777" w:rsidR="00DB6E47" w:rsidRPr="003D647F" w:rsidRDefault="00DB6E47" w:rsidP="00DB6E47">
      <w:pPr>
        <w:pStyle w:val="PageBreak"/>
      </w:pPr>
      <w:r w:rsidRPr="003D647F">
        <w:br w:type="page"/>
      </w:r>
    </w:p>
    <w:p w14:paraId="51697411" w14:textId="77777777" w:rsidR="00DB6E47" w:rsidRPr="005E03F7" w:rsidRDefault="00DB6E47" w:rsidP="00DB6E47">
      <w:pPr>
        <w:pStyle w:val="AH2Part"/>
      </w:pPr>
      <w:bookmarkStart w:id="249" w:name="_Toc83625593"/>
      <w:r w:rsidRPr="005E03F7">
        <w:rPr>
          <w:rStyle w:val="CharPartNo"/>
        </w:rPr>
        <w:lastRenderedPageBreak/>
        <w:t xml:space="preserve">Part 6.2 </w:t>
      </w:r>
      <w:r w:rsidRPr="00A95F9A">
        <w:rPr>
          <w:rFonts w:ascii="Helvetica" w:hAnsi="Helvetica" w:cs="Helvetica"/>
          <w:iCs/>
          <w:szCs w:val="32"/>
        </w:rPr>
        <w:tab/>
      </w:r>
      <w:r w:rsidRPr="005E03F7">
        <w:rPr>
          <w:rStyle w:val="CharPartText"/>
          <w:rFonts w:ascii="Helvetica" w:hAnsi="Helvetica" w:cs="Helvetica"/>
          <w:iCs/>
          <w:szCs w:val="32"/>
        </w:rPr>
        <w:t>Duties relating to fatigue</w:t>
      </w:r>
      <w:bookmarkEnd w:id="249"/>
    </w:p>
    <w:p w14:paraId="5596A0DE" w14:textId="77777777" w:rsidR="00DB6E47" w:rsidRPr="005E03F7" w:rsidRDefault="00DB6E47" w:rsidP="00DB6E47">
      <w:pPr>
        <w:pStyle w:val="AH3Div"/>
      </w:pPr>
      <w:bookmarkStart w:id="250" w:name="_Toc83625594"/>
      <w:r w:rsidRPr="005E03F7">
        <w:rPr>
          <w:rStyle w:val="CharDivNo"/>
        </w:rPr>
        <w:t xml:space="preserve">Division 1 </w:t>
      </w:r>
      <w:r w:rsidRPr="00A95F9A">
        <w:rPr>
          <w:rFonts w:ascii="Helvetica" w:hAnsi="Helvetica" w:cs="Helvetica"/>
          <w:iCs/>
          <w:szCs w:val="28"/>
        </w:rPr>
        <w:tab/>
      </w:r>
      <w:r w:rsidRPr="005E03F7">
        <w:rPr>
          <w:rStyle w:val="CharDivText"/>
          <w:rFonts w:ascii="Helvetica" w:hAnsi="Helvetica" w:cs="Helvetica"/>
          <w:iCs/>
          <w:szCs w:val="28"/>
        </w:rPr>
        <w:t>Preliminary</w:t>
      </w:r>
      <w:bookmarkEnd w:id="250"/>
    </w:p>
    <w:p w14:paraId="0EA645AF" w14:textId="77777777" w:rsidR="00DB6E47" w:rsidRPr="007E1F9A" w:rsidRDefault="00DB6E47" w:rsidP="00DB6E47">
      <w:pPr>
        <w:pStyle w:val="AH5Sec"/>
      </w:pPr>
      <w:bookmarkStart w:id="251" w:name="_Toc83625595"/>
      <w:r w:rsidRPr="005E03F7">
        <w:rPr>
          <w:rStyle w:val="CharSectNo"/>
        </w:rPr>
        <w:t>223</w:t>
      </w:r>
      <w:r w:rsidRPr="007E1F9A">
        <w:tab/>
        <w:t>What is fatigue</w:t>
      </w:r>
      <w:bookmarkEnd w:id="251"/>
    </w:p>
    <w:p w14:paraId="1BCC06AB" w14:textId="77777777" w:rsidR="00DB6E47" w:rsidRPr="006C3305" w:rsidRDefault="00DB6E47" w:rsidP="00DB6E47">
      <w:pPr>
        <w:pStyle w:val="Amain"/>
      </w:pPr>
      <w:r>
        <w:tab/>
        <w:t>(</w:t>
      </w:r>
      <w:r w:rsidRPr="006C3305">
        <w:t>1)</w:t>
      </w:r>
      <w:r w:rsidRPr="006C3305">
        <w:tab/>
      </w:r>
      <w:r w:rsidRPr="00FF4454">
        <w:rPr>
          <w:rStyle w:val="charBoldItals"/>
        </w:rPr>
        <w:t>Fatigue</w:t>
      </w:r>
      <w:r w:rsidRPr="006C3305">
        <w:t xml:space="preserve"> includes (but is not limited to)—</w:t>
      </w:r>
    </w:p>
    <w:p w14:paraId="7D289B85" w14:textId="77777777" w:rsidR="00DB6E47" w:rsidRPr="00A41534" w:rsidRDefault="00DB6E47" w:rsidP="00DB6E47">
      <w:pPr>
        <w:pStyle w:val="aDefpara"/>
      </w:pPr>
      <w:r w:rsidRPr="00FF4454">
        <w:tab/>
      </w:r>
      <w:r w:rsidRPr="00F04D8E">
        <w:rPr>
          <w:rFonts w:cs="Times"/>
          <w:bCs/>
          <w:iCs/>
        </w:rPr>
        <w:t>(a)</w:t>
      </w:r>
      <w:r w:rsidRPr="00A41534">
        <w:tab/>
        <w:t>feeling sleepy; and</w:t>
      </w:r>
    </w:p>
    <w:p w14:paraId="19E32F83" w14:textId="77777777" w:rsidR="00DB6E47" w:rsidRPr="00A41534" w:rsidRDefault="00DB6E47" w:rsidP="00DB6E47">
      <w:pPr>
        <w:pStyle w:val="aDefpara"/>
      </w:pPr>
      <w:r w:rsidRPr="00A41534">
        <w:tab/>
        <w:t>(b)</w:t>
      </w:r>
      <w:r w:rsidRPr="00A41534">
        <w:tab/>
        <w:t>feeling physically or mentally tired, weary or drowsy; and</w:t>
      </w:r>
    </w:p>
    <w:p w14:paraId="3BA2612C" w14:textId="77777777" w:rsidR="00DB6E47" w:rsidRPr="00A41534" w:rsidRDefault="00DB6E47" w:rsidP="00DB6E47">
      <w:pPr>
        <w:pStyle w:val="aDefpara"/>
      </w:pPr>
      <w:r w:rsidRPr="00A41534">
        <w:tab/>
        <w:t>(c)</w:t>
      </w:r>
      <w:r w:rsidRPr="00A41534">
        <w:tab/>
        <w:t>feeling exhausted or lacking energy; and</w:t>
      </w:r>
    </w:p>
    <w:p w14:paraId="5F76B1BE" w14:textId="77777777" w:rsidR="00DB6E47" w:rsidRPr="00A41534" w:rsidRDefault="00DB6E47" w:rsidP="00DB6E47">
      <w:pPr>
        <w:pStyle w:val="aDefpara"/>
      </w:pPr>
      <w:r w:rsidRPr="00A41534">
        <w:tab/>
        <w:t>(d)</w:t>
      </w:r>
      <w:r w:rsidRPr="00A41534">
        <w:tab/>
        <w:t>behaving in a way consistent with paragraph (a)</w:t>
      </w:r>
      <w:r w:rsidR="00A41534">
        <w:t>,</w:t>
      </w:r>
      <w:r w:rsidRPr="00A41534">
        <w:t>(b)</w:t>
      </w:r>
      <w:r w:rsidR="00A41534">
        <w:t xml:space="preserve"> </w:t>
      </w:r>
      <w:r w:rsidRPr="00A41534">
        <w:t>or (c).</w:t>
      </w:r>
    </w:p>
    <w:p w14:paraId="678DC147" w14:textId="77777777" w:rsidR="00DB6E47" w:rsidRPr="006C3305" w:rsidRDefault="00DB6E47" w:rsidP="00DB6E47">
      <w:pPr>
        <w:pStyle w:val="Amain"/>
      </w:pPr>
      <w:r>
        <w:tab/>
        <w:t>(</w:t>
      </w:r>
      <w:r w:rsidRPr="006C3305">
        <w:t>2)</w:t>
      </w:r>
      <w:r w:rsidRPr="006C3305">
        <w:tab/>
        <w:t>The national regulations may contain provisions supplementing, clarifying or providing examples for any of the provisions of sections</w:t>
      </w:r>
      <w:r w:rsidR="00A41534">
        <w:t> </w:t>
      </w:r>
      <w:r w:rsidRPr="006C3305">
        <w:t>223 to 226.</w:t>
      </w:r>
    </w:p>
    <w:p w14:paraId="443CB947" w14:textId="77777777" w:rsidR="00DB6E47" w:rsidRPr="007E1F9A" w:rsidRDefault="00DB6E47" w:rsidP="00DB6E47">
      <w:pPr>
        <w:pStyle w:val="AH5Sec"/>
      </w:pPr>
      <w:bookmarkStart w:id="252" w:name="_Toc83625596"/>
      <w:r w:rsidRPr="005E03F7">
        <w:rPr>
          <w:rStyle w:val="CharSectNo"/>
        </w:rPr>
        <w:t>224</w:t>
      </w:r>
      <w:r w:rsidRPr="007E1F9A">
        <w:tab/>
        <w:t>Matters court may consider in deciding whether person was fatigued</w:t>
      </w:r>
      <w:bookmarkEnd w:id="252"/>
    </w:p>
    <w:p w14:paraId="689CB5A1" w14:textId="77777777" w:rsidR="00DB6E47" w:rsidRPr="009B0C0B" w:rsidRDefault="00DB6E47" w:rsidP="00DB6E47">
      <w:pPr>
        <w:pStyle w:val="Amain"/>
      </w:pPr>
      <w:r w:rsidRPr="009B0C0B">
        <w:tab/>
        <w:t>(1)</w:t>
      </w:r>
      <w:r w:rsidRPr="009B0C0B">
        <w:tab/>
        <w:t>When deciding whether the driver of a fatigue-regulated heavy vehicle was fatigued, a court may consider the following—</w:t>
      </w:r>
    </w:p>
    <w:p w14:paraId="5EF0BD59" w14:textId="77777777" w:rsidR="00DB6E47" w:rsidRPr="006C3305" w:rsidRDefault="00DB6E47" w:rsidP="00DB6E47">
      <w:pPr>
        <w:pStyle w:val="Apara"/>
      </w:pPr>
      <w:r>
        <w:tab/>
      </w:r>
      <w:r w:rsidRPr="00352CBD">
        <w:t>(a)</w:t>
      </w:r>
      <w:r w:rsidRPr="006C3305">
        <w:tab/>
        <w:t>what is commonly understood as being fatigued;</w:t>
      </w:r>
    </w:p>
    <w:p w14:paraId="549CF3B2" w14:textId="77777777" w:rsidR="00DB6E47" w:rsidRPr="005441A8" w:rsidRDefault="00DB6E47" w:rsidP="00DB6E47">
      <w:pPr>
        <w:pStyle w:val="Apara"/>
      </w:pPr>
      <w:r w:rsidRPr="005441A8">
        <w:tab/>
        <w:t>(b)</w:t>
      </w:r>
      <w:r w:rsidRPr="005441A8">
        <w:tab/>
        <w:t>the causes of fatigue;</w:t>
      </w:r>
    </w:p>
    <w:p w14:paraId="243DD0E0" w14:textId="77777777" w:rsidR="00DB6E47" w:rsidRPr="005441A8" w:rsidRDefault="00DB6E47" w:rsidP="00DB6E47">
      <w:pPr>
        <w:pStyle w:val="Apara"/>
      </w:pPr>
      <w:r w:rsidRPr="005441A8">
        <w:tab/>
        <w:t>(c)</w:t>
      </w:r>
      <w:r w:rsidRPr="005441A8">
        <w:tab/>
        <w:t>the signs of fatigue;</w:t>
      </w:r>
    </w:p>
    <w:p w14:paraId="7282F9B6" w14:textId="77777777" w:rsidR="00DB6E47" w:rsidRPr="005441A8" w:rsidRDefault="00DB6E47" w:rsidP="00DB6E47">
      <w:pPr>
        <w:pStyle w:val="Apara"/>
      </w:pPr>
      <w:r w:rsidRPr="005441A8">
        <w:tab/>
        <w:t>(d)</w:t>
      </w:r>
      <w:r w:rsidRPr="005441A8">
        <w:tab/>
        <w:t>any relevant body of fatigue knowledge;</w:t>
      </w:r>
    </w:p>
    <w:p w14:paraId="25B2C13E" w14:textId="77777777" w:rsidR="00DB6E47" w:rsidRPr="005441A8" w:rsidRDefault="00DB6E47" w:rsidP="00DB6E47">
      <w:pPr>
        <w:pStyle w:val="Apara"/>
      </w:pPr>
      <w:r w:rsidRPr="005441A8">
        <w:tab/>
        <w:t>(e)</w:t>
      </w:r>
      <w:r w:rsidRPr="005441A8">
        <w:tab/>
        <w:t>any other matter prescribed by the national regulations.</w:t>
      </w:r>
    </w:p>
    <w:p w14:paraId="55AC2065" w14:textId="77777777" w:rsidR="00DB6E47" w:rsidRPr="009B0C0B" w:rsidRDefault="00A41534" w:rsidP="00DB6E47">
      <w:pPr>
        <w:pStyle w:val="Amain"/>
      </w:pPr>
      <w:r>
        <w:tab/>
        <w:t>(2)</w:t>
      </w:r>
      <w:r>
        <w:tab/>
        <w:t xml:space="preserve">Subsection </w:t>
      </w:r>
      <w:r w:rsidR="00DB6E47" w:rsidRPr="009B0C0B">
        <w:t>(1)</w:t>
      </w:r>
      <w:r>
        <w:t xml:space="preserve"> </w:t>
      </w:r>
      <w:r w:rsidR="00DB6E47" w:rsidRPr="009B0C0B">
        <w:t>does not limit the matters the court may consider when deciding whether a driver was impaired by fatigue.</w:t>
      </w:r>
    </w:p>
    <w:p w14:paraId="4763975C" w14:textId="77777777" w:rsidR="00DB6E47" w:rsidRPr="007E1F9A" w:rsidRDefault="00DB6E47" w:rsidP="00DB6E47">
      <w:pPr>
        <w:pStyle w:val="AH5Sec"/>
      </w:pPr>
      <w:bookmarkStart w:id="253" w:name="_Toc83625597"/>
      <w:r w:rsidRPr="005E03F7">
        <w:rPr>
          <w:rStyle w:val="CharSectNo"/>
        </w:rPr>
        <w:lastRenderedPageBreak/>
        <w:t>225</w:t>
      </w:r>
      <w:r w:rsidRPr="007E1F9A">
        <w:tab/>
        <w:t>What is impaired by fatigue</w:t>
      </w:r>
      <w:bookmarkEnd w:id="253"/>
    </w:p>
    <w:p w14:paraId="52B28800" w14:textId="77777777" w:rsidR="00DB6E47" w:rsidRPr="009B0C0B" w:rsidRDefault="00DB6E47" w:rsidP="00DB6E47">
      <w:pPr>
        <w:pStyle w:val="Amainreturn"/>
      </w:pPr>
      <w:r w:rsidRPr="009B0C0B">
        <w:t xml:space="preserve">A driver is </w:t>
      </w:r>
      <w:r w:rsidRPr="00FF4454">
        <w:rPr>
          <w:rStyle w:val="charBoldItals"/>
        </w:rPr>
        <w:t>impaired by fatigue</w:t>
      </w:r>
      <w:r w:rsidRPr="009B0C0B">
        <w:t xml:space="preserve"> if the driver’s ability to drive a fatigue-regulated heavy vehicle safely is affected by fatigue.</w:t>
      </w:r>
    </w:p>
    <w:p w14:paraId="26185134" w14:textId="77777777" w:rsidR="00DB6E47" w:rsidRPr="007E1F9A" w:rsidRDefault="00DB6E47" w:rsidP="00DB6E47">
      <w:pPr>
        <w:pStyle w:val="AH5Sec"/>
      </w:pPr>
      <w:bookmarkStart w:id="254" w:name="_Toc83625598"/>
      <w:r w:rsidRPr="005E03F7">
        <w:rPr>
          <w:rStyle w:val="CharSectNo"/>
        </w:rPr>
        <w:t>226</w:t>
      </w:r>
      <w:r w:rsidRPr="007E1F9A">
        <w:tab/>
        <w:t>Matters court may consider in deciding whether person was impaired by fatigue</w:t>
      </w:r>
      <w:bookmarkEnd w:id="254"/>
    </w:p>
    <w:p w14:paraId="0DEFEC45" w14:textId="77777777" w:rsidR="00DB6E47" w:rsidRPr="009B0C0B" w:rsidRDefault="00DB6E47" w:rsidP="00DB6E47">
      <w:pPr>
        <w:pStyle w:val="Amain"/>
      </w:pPr>
      <w:r w:rsidRPr="009B0C0B">
        <w:tab/>
        <w:t>(1)</w:t>
      </w:r>
      <w:r w:rsidRPr="009B0C0B">
        <w:tab/>
        <w:t>When deciding whether the driver of a fatigue-regulated heavy vehicle was impaired by fatigue, a court may consider any of the following—</w:t>
      </w:r>
    </w:p>
    <w:p w14:paraId="4847C545" w14:textId="77777777" w:rsidR="00DB6E47" w:rsidRPr="005441A8" w:rsidRDefault="00DB6E47" w:rsidP="00DB6E47">
      <w:pPr>
        <w:pStyle w:val="Apara"/>
      </w:pPr>
      <w:r w:rsidRPr="005441A8">
        <w:tab/>
        <w:t>(a)</w:t>
      </w:r>
      <w:r w:rsidRPr="005441A8">
        <w:tab/>
        <w:t>any relevant cause of fatigue or sign of fatigue that was evident, and the degree to which it may indicate that the driver was impaired by fatigue;</w:t>
      </w:r>
    </w:p>
    <w:p w14:paraId="0467B65F" w14:textId="77777777" w:rsidR="00DB6E47" w:rsidRPr="005441A8" w:rsidRDefault="00DB6E47" w:rsidP="00DB6E47">
      <w:pPr>
        <w:pStyle w:val="Apara"/>
      </w:pPr>
      <w:r w:rsidRPr="005441A8">
        <w:tab/>
        <w:t>(b)</w:t>
      </w:r>
      <w:r w:rsidRPr="005441A8">
        <w:tab/>
        <w:t>any behaviour exhibited by the driver that may have resulted from the driver being impaired by fatigue;</w:t>
      </w:r>
    </w:p>
    <w:p w14:paraId="19CC06DF" w14:textId="77777777" w:rsidR="00DB6E47" w:rsidRPr="00C96203" w:rsidRDefault="00DB6E47" w:rsidP="00DB6E47">
      <w:pPr>
        <w:pStyle w:val="aExamHdgss"/>
      </w:pPr>
      <w:r w:rsidRPr="00C96203">
        <w:rPr>
          <w:rFonts w:cs="Times"/>
          <w:bCs/>
          <w:iCs/>
        </w:rPr>
        <w:t>Examples for the purposes of paragraph (b)—</w:t>
      </w:r>
    </w:p>
    <w:p w14:paraId="433060DE" w14:textId="77777777" w:rsidR="00DB6E47" w:rsidRPr="00C96203" w:rsidRDefault="00DB6E47" w:rsidP="00DB6E47">
      <w:pPr>
        <w:pStyle w:val="aExamBulletss"/>
      </w:pPr>
      <w:r w:rsidRPr="00C96203">
        <w:t xml:space="preserve">• </w:t>
      </w:r>
      <w:r w:rsidRPr="00C96203">
        <w:tab/>
        <w:t>the circumstances of any incident, crash or near miss</w:t>
      </w:r>
    </w:p>
    <w:p w14:paraId="320105E8" w14:textId="77777777" w:rsidR="00DB6E47" w:rsidRPr="00C96203" w:rsidRDefault="00DB6E47" w:rsidP="00DB6E47">
      <w:pPr>
        <w:pStyle w:val="aExamBulletss"/>
      </w:pPr>
      <w:r w:rsidRPr="00C96203">
        <w:t xml:space="preserve">• </w:t>
      </w:r>
      <w:r w:rsidRPr="00C96203">
        <w:tab/>
        <w:t>poor driving judgement</w:t>
      </w:r>
    </w:p>
    <w:p w14:paraId="6C4C6647" w14:textId="77777777" w:rsidR="00DB6E47" w:rsidRPr="00C96203" w:rsidRDefault="00DB6E47" w:rsidP="00DB6E47">
      <w:pPr>
        <w:pStyle w:val="aExamBulletss"/>
      </w:pPr>
      <w:r w:rsidRPr="00C96203">
        <w:t xml:space="preserve">• </w:t>
      </w:r>
      <w:r w:rsidRPr="00C96203">
        <w:tab/>
        <w:t>inattentive driving such as drifting into other lanes on a road or not changing gears smoothly</w:t>
      </w:r>
    </w:p>
    <w:p w14:paraId="49FC9932" w14:textId="77777777" w:rsidR="00DB6E47" w:rsidRPr="005441A8" w:rsidRDefault="00DB6E47" w:rsidP="00DB6E47">
      <w:pPr>
        <w:pStyle w:val="Apara"/>
      </w:pPr>
      <w:r w:rsidRPr="005441A8">
        <w:tab/>
        <w:t>(c)</w:t>
      </w:r>
      <w:r w:rsidRPr="005441A8">
        <w:tab/>
        <w:t>the nature and extent of any physical or mental exertion by the driver;</w:t>
      </w:r>
    </w:p>
    <w:p w14:paraId="7A8DE01D" w14:textId="77777777" w:rsidR="00DB6E47" w:rsidRPr="005441A8" w:rsidRDefault="00DB6E47" w:rsidP="00DB6E47">
      <w:pPr>
        <w:pStyle w:val="Apara"/>
      </w:pPr>
      <w:r w:rsidRPr="005441A8">
        <w:tab/>
        <w:t>(d)</w:t>
      </w:r>
      <w:r w:rsidRPr="005441A8">
        <w:tab/>
        <w:t>whether the driver was in breach of the driver’s work and rest hours option.</w:t>
      </w:r>
    </w:p>
    <w:p w14:paraId="2FDBA748" w14:textId="77777777" w:rsidR="00DB6E47" w:rsidRPr="009B0C0B" w:rsidRDefault="00A41534" w:rsidP="00DB6E47">
      <w:pPr>
        <w:pStyle w:val="Amain"/>
      </w:pPr>
      <w:r>
        <w:tab/>
        <w:t>(2)</w:t>
      </w:r>
      <w:r>
        <w:tab/>
        <w:t xml:space="preserve">Subsection </w:t>
      </w:r>
      <w:r w:rsidR="00DB6E47" w:rsidRPr="009B0C0B">
        <w:t>(1)</w:t>
      </w:r>
      <w:r>
        <w:t xml:space="preserve"> </w:t>
      </w:r>
      <w:r w:rsidR="00DB6E47" w:rsidRPr="009B0C0B">
        <w:t>does not limit the matters the court may consider when deciding whether a driver was impaired by fatigue.</w:t>
      </w:r>
    </w:p>
    <w:p w14:paraId="18AD3A9E" w14:textId="77777777" w:rsidR="00DB6E47" w:rsidRPr="009B0C0B" w:rsidRDefault="00DB6E47" w:rsidP="00115083">
      <w:pPr>
        <w:pStyle w:val="Amain"/>
        <w:keepNext/>
      </w:pPr>
      <w:r w:rsidRPr="009B0C0B">
        <w:lastRenderedPageBreak/>
        <w:tab/>
        <w:t>(3)</w:t>
      </w:r>
      <w:r w:rsidRPr="009B0C0B">
        <w:tab/>
        <w:t xml:space="preserve">A court may consider the driver to be impaired by fatigue even if the driver has complied with— </w:t>
      </w:r>
    </w:p>
    <w:p w14:paraId="48AE817C" w14:textId="77777777" w:rsidR="00DB6E47" w:rsidRPr="005441A8" w:rsidRDefault="00DB6E47" w:rsidP="00115083">
      <w:pPr>
        <w:pStyle w:val="Apara"/>
        <w:keepNext/>
      </w:pPr>
      <w:r w:rsidRPr="005441A8">
        <w:tab/>
        <w:t>(a)</w:t>
      </w:r>
      <w:r w:rsidRPr="005441A8">
        <w:tab/>
        <w:t>the requirements of this Law, including, for example, the maximum work requirements and minimum rest requirements applying to the driver; or</w:t>
      </w:r>
    </w:p>
    <w:p w14:paraId="69AA53D3" w14:textId="77777777" w:rsidR="00DB6E47" w:rsidRPr="005441A8" w:rsidRDefault="00DB6E47" w:rsidP="00DB6E47">
      <w:pPr>
        <w:pStyle w:val="Apara"/>
      </w:pPr>
      <w:r w:rsidRPr="005441A8">
        <w:tab/>
        <w:t>(b)</w:t>
      </w:r>
      <w:r w:rsidRPr="005441A8">
        <w:tab/>
        <w:t>any other law.</w:t>
      </w:r>
    </w:p>
    <w:p w14:paraId="465EC76E" w14:textId="77777777" w:rsidR="00DB6E47" w:rsidRPr="005E03F7" w:rsidRDefault="00DB6E47" w:rsidP="00DB6E47">
      <w:pPr>
        <w:pStyle w:val="AH3Div"/>
      </w:pPr>
      <w:bookmarkStart w:id="255" w:name="_Toc83625599"/>
      <w:r w:rsidRPr="005E03F7">
        <w:rPr>
          <w:rStyle w:val="CharDivNo"/>
        </w:rPr>
        <w:t>Division 2</w:t>
      </w:r>
      <w:r w:rsidRPr="00A95F9A">
        <w:rPr>
          <w:rFonts w:ascii="Helvetica" w:hAnsi="Helvetica" w:cs="Helvetica"/>
          <w:iCs/>
          <w:szCs w:val="28"/>
        </w:rPr>
        <w:tab/>
      </w:r>
      <w:r w:rsidRPr="005E03F7">
        <w:rPr>
          <w:rStyle w:val="CharDivText"/>
          <w:rFonts w:ascii="Helvetica" w:hAnsi="Helvetica" w:cs="Helvetica"/>
          <w:iCs/>
          <w:szCs w:val="28"/>
        </w:rPr>
        <w:t>Duty to avoid fatigue</w:t>
      </w:r>
      <w:bookmarkEnd w:id="255"/>
    </w:p>
    <w:p w14:paraId="3D159184" w14:textId="77777777" w:rsidR="00DB6E47" w:rsidRPr="007E1F9A" w:rsidRDefault="00DB6E47" w:rsidP="00DB6E47">
      <w:pPr>
        <w:pStyle w:val="AH5Sec"/>
      </w:pPr>
      <w:bookmarkStart w:id="256" w:name="_Toc83625600"/>
      <w:r w:rsidRPr="005E03F7">
        <w:rPr>
          <w:rStyle w:val="CharSectNo"/>
        </w:rPr>
        <w:t>228</w:t>
      </w:r>
      <w:r w:rsidRPr="007E1F9A">
        <w:tab/>
        <w:t>Duty of driver to avoid driving while fatigued</w:t>
      </w:r>
      <w:bookmarkEnd w:id="256"/>
    </w:p>
    <w:p w14:paraId="7F7C4486" w14:textId="77777777" w:rsidR="00DB6E47" w:rsidRPr="009B0C0B" w:rsidRDefault="00DB6E47" w:rsidP="00DB6E47">
      <w:pPr>
        <w:pStyle w:val="Amain"/>
      </w:pPr>
      <w:r w:rsidRPr="009B0C0B">
        <w:tab/>
        <w:t>(1)</w:t>
      </w:r>
      <w:r w:rsidRPr="009B0C0B">
        <w:tab/>
        <w:t>A person must not drive a fatigue-regulated heavy vehicle on a road while the person is impaired by fatigue.</w:t>
      </w:r>
    </w:p>
    <w:p w14:paraId="5D5DC522" w14:textId="77777777" w:rsidR="00DB6E47" w:rsidRPr="006C3305" w:rsidRDefault="00DB6E47" w:rsidP="00DB6E47">
      <w:pPr>
        <w:pStyle w:val="Penalty"/>
      </w:pPr>
      <w:r w:rsidRPr="006C3305">
        <w:t>Maximum penalty—$6000.</w:t>
      </w:r>
    </w:p>
    <w:p w14:paraId="71609E50" w14:textId="77777777" w:rsidR="00DB6E47" w:rsidRPr="009B0C0B" w:rsidRDefault="00DB6E47" w:rsidP="00DB6E47">
      <w:pPr>
        <w:pStyle w:val="Amain"/>
      </w:pPr>
      <w:r w:rsidRPr="009B0C0B">
        <w:tab/>
        <w:t>(2)</w:t>
      </w:r>
      <w:r w:rsidRPr="009B0C0B">
        <w:tab/>
        <w:t>If, in relation to conduct at a particular time in relation to which a driver has been charged with an offence under subsection (1), the driver has been convicted of a prescribed driver offence under another law in relation to—</w:t>
      </w:r>
    </w:p>
    <w:p w14:paraId="22A651A9" w14:textId="77777777" w:rsidR="00DB6E47" w:rsidRPr="005441A8" w:rsidRDefault="00DB6E47" w:rsidP="00DB6E47">
      <w:pPr>
        <w:pStyle w:val="Apara"/>
      </w:pPr>
      <w:r w:rsidRPr="005441A8">
        <w:tab/>
        <w:t>(a)</w:t>
      </w:r>
      <w:r w:rsidRPr="005441A8">
        <w:tab/>
        <w:t>the same conduct; or</w:t>
      </w:r>
    </w:p>
    <w:p w14:paraId="619777C4" w14:textId="77777777" w:rsidR="00DB6E47" w:rsidRPr="005441A8" w:rsidRDefault="00DB6E47" w:rsidP="00DB6E47">
      <w:pPr>
        <w:pStyle w:val="Apara"/>
      </w:pPr>
      <w:r w:rsidRPr="005441A8">
        <w:tab/>
        <w:t>(b)</w:t>
      </w:r>
      <w:r w:rsidRPr="005441A8">
        <w:tab/>
        <w:t>the same kind of conduct occurring during the same journey;</w:t>
      </w:r>
    </w:p>
    <w:p w14:paraId="0ADA7CF6" w14:textId="77777777" w:rsidR="00DB6E47" w:rsidRPr="00F40DD7" w:rsidRDefault="00DB6E47" w:rsidP="00DB6E47">
      <w:pPr>
        <w:pStyle w:val="Amainreturn"/>
      </w:pPr>
      <w:r w:rsidRPr="00F40DD7">
        <w:t>the court must discharge the proceedings against the driver.</w:t>
      </w:r>
    </w:p>
    <w:p w14:paraId="7AF8AC46" w14:textId="77777777" w:rsidR="00DB6E47" w:rsidRPr="009B0C0B" w:rsidRDefault="00DB6E47" w:rsidP="00DB6E47">
      <w:pPr>
        <w:pStyle w:val="Amain"/>
      </w:pPr>
      <w:r w:rsidRPr="009B0C0B">
        <w:tab/>
        <w:t>(3)</w:t>
      </w:r>
      <w:r w:rsidRPr="009B0C0B">
        <w:tab/>
        <w:t>If, in relation to conduct at a particular time in relation to which a driver has been charged with an offence under subsection (1), the driver has been convicted of the offence and is also charged with a prescribed driver offence under another law (the other offence) in relation to—</w:t>
      </w:r>
    </w:p>
    <w:p w14:paraId="30F60180" w14:textId="77777777" w:rsidR="00DB6E47" w:rsidRPr="005441A8" w:rsidRDefault="00DB6E47" w:rsidP="00DB6E47">
      <w:pPr>
        <w:pStyle w:val="Apara"/>
      </w:pPr>
      <w:r w:rsidRPr="005441A8">
        <w:tab/>
        <w:t>(a)</w:t>
      </w:r>
      <w:r w:rsidRPr="005441A8">
        <w:tab/>
        <w:t>the same conduct; or</w:t>
      </w:r>
    </w:p>
    <w:p w14:paraId="68A45FF1" w14:textId="77777777" w:rsidR="00DB6E47" w:rsidRPr="005441A8" w:rsidRDefault="00DB6E47" w:rsidP="00DB6E47">
      <w:pPr>
        <w:pStyle w:val="Apara"/>
      </w:pPr>
      <w:r w:rsidRPr="005441A8">
        <w:tab/>
        <w:t>(b)</w:t>
      </w:r>
      <w:r w:rsidRPr="005441A8">
        <w:tab/>
        <w:t>the same kind of conduct occurring during the same journey;</w:t>
      </w:r>
    </w:p>
    <w:p w14:paraId="05019598" w14:textId="77777777" w:rsidR="00DB6E47" w:rsidRPr="00A41534" w:rsidRDefault="00DB6E47" w:rsidP="00A41534">
      <w:pPr>
        <w:pStyle w:val="Amainreturn"/>
      </w:pPr>
      <w:r w:rsidRPr="00A41534">
        <w:t>the court dealing with the other offence must discharge the proceedings against the driver for the other offence.</w:t>
      </w:r>
    </w:p>
    <w:p w14:paraId="28D4910E" w14:textId="77777777" w:rsidR="00DB6E47" w:rsidRPr="009B0C0B" w:rsidRDefault="00DB6E47" w:rsidP="00DB6E47">
      <w:pPr>
        <w:pStyle w:val="Amain"/>
      </w:pPr>
      <w:r w:rsidRPr="009B0C0B">
        <w:lastRenderedPageBreak/>
        <w:tab/>
        <w:t>(4)</w:t>
      </w:r>
      <w:r w:rsidRPr="009B0C0B">
        <w:tab/>
        <w:t>In this section—</w:t>
      </w:r>
    </w:p>
    <w:p w14:paraId="7DCD9FB2" w14:textId="77777777" w:rsidR="00DB6E47" w:rsidRPr="00041046" w:rsidRDefault="00DB6E47" w:rsidP="00DB6E47">
      <w:pPr>
        <w:pStyle w:val="aDef"/>
        <w:rPr>
          <w:bCs/>
        </w:rPr>
      </w:pPr>
      <w:r w:rsidRPr="00041046">
        <w:rPr>
          <w:rStyle w:val="charBoldItals"/>
        </w:rPr>
        <w:t>prescribed driver offence under another law</w:t>
      </w:r>
      <w:r w:rsidRPr="00041046">
        <w:t xml:space="preserve"> means an offence under another law of any jurisdiction prescribed for this definition by the national regulations or a law of that jurisdiction.</w:t>
      </w:r>
    </w:p>
    <w:p w14:paraId="54747928" w14:textId="77777777" w:rsidR="00DB6E47" w:rsidRPr="003D647F" w:rsidRDefault="00DB6E47" w:rsidP="00DB6E47">
      <w:pPr>
        <w:pStyle w:val="PageBreak"/>
      </w:pPr>
      <w:r w:rsidRPr="003D647F">
        <w:br w:type="page"/>
      </w:r>
    </w:p>
    <w:p w14:paraId="1358D95D" w14:textId="77777777" w:rsidR="00DB6E47" w:rsidRPr="005E03F7" w:rsidRDefault="00DB6E47" w:rsidP="00DB6E47">
      <w:pPr>
        <w:pStyle w:val="AH2Part"/>
      </w:pPr>
      <w:bookmarkStart w:id="257" w:name="_Toc83625601"/>
      <w:r w:rsidRPr="005E03F7">
        <w:rPr>
          <w:rStyle w:val="CharPartNo"/>
        </w:rPr>
        <w:lastRenderedPageBreak/>
        <w:t xml:space="preserve">Part 6.3 </w:t>
      </w:r>
      <w:r w:rsidRPr="00A95F9A">
        <w:rPr>
          <w:rFonts w:ascii="Helvetica" w:hAnsi="Helvetica" w:cs="Helvetica"/>
          <w:iCs/>
          <w:szCs w:val="32"/>
        </w:rPr>
        <w:tab/>
      </w:r>
      <w:r w:rsidRPr="005E03F7">
        <w:rPr>
          <w:rStyle w:val="CharPartText"/>
          <w:rFonts w:ascii="Helvetica" w:hAnsi="Helvetica" w:cs="Helvetica"/>
          <w:iCs/>
          <w:szCs w:val="32"/>
        </w:rPr>
        <w:t>Requirements relating to work time and rest time</w:t>
      </w:r>
      <w:bookmarkEnd w:id="257"/>
    </w:p>
    <w:p w14:paraId="5297727E" w14:textId="77777777" w:rsidR="00DB6E47" w:rsidRPr="005E03F7" w:rsidRDefault="00DB6E47" w:rsidP="00DB6E47">
      <w:pPr>
        <w:pStyle w:val="AH3Div"/>
      </w:pPr>
      <w:bookmarkStart w:id="258" w:name="_Toc83625602"/>
      <w:r w:rsidRPr="005E03F7">
        <w:rPr>
          <w:rStyle w:val="CharDivNo"/>
        </w:rPr>
        <w:t xml:space="preserve">Division 1 </w:t>
      </w:r>
      <w:r w:rsidRPr="00A95F9A">
        <w:rPr>
          <w:rFonts w:ascii="Helvetica" w:hAnsi="Helvetica" w:cs="Helvetica"/>
          <w:iCs/>
          <w:szCs w:val="28"/>
        </w:rPr>
        <w:tab/>
      </w:r>
      <w:r w:rsidRPr="005E03F7">
        <w:rPr>
          <w:rStyle w:val="CharDivText"/>
          <w:rFonts w:ascii="Helvetica" w:hAnsi="Helvetica" w:cs="Helvetica"/>
          <w:iCs/>
          <w:szCs w:val="28"/>
        </w:rPr>
        <w:t>Preliminary</w:t>
      </w:r>
      <w:bookmarkEnd w:id="258"/>
    </w:p>
    <w:p w14:paraId="17101DF9" w14:textId="77777777" w:rsidR="00DB6E47" w:rsidRPr="007E1F9A" w:rsidRDefault="00DB6E47" w:rsidP="00DB6E47">
      <w:pPr>
        <w:pStyle w:val="AH5Sec"/>
      </w:pPr>
      <w:bookmarkStart w:id="259" w:name="_Toc83625603"/>
      <w:r w:rsidRPr="005E03F7">
        <w:rPr>
          <w:rStyle w:val="CharSectNo"/>
        </w:rPr>
        <w:t>243</w:t>
      </w:r>
      <w:r w:rsidRPr="007E1F9A">
        <w:tab/>
        <w:t>What is a driver’s work and rest hours option</w:t>
      </w:r>
      <w:bookmarkEnd w:id="259"/>
    </w:p>
    <w:p w14:paraId="605A96E6" w14:textId="77777777" w:rsidR="00DB6E47" w:rsidRPr="009B0C0B" w:rsidRDefault="00DB6E47" w:rsidP="00DB6E47">
      <w:pPr>
        <w:pStyle w:val="Amain"/>
      </w:pPr>
      <w:r w:rsidRPr="009B0C0B">
        <w:tab/>
        <w:t>(1)</w:t>
      </w:r>
      <w:r w:rsidRPr="009B0C0B">
        <w:tab/>
        <w:t xml:space="preserve">The </w:t>
      </w:r>
      <w:r w:rsidRPr="00FF4454">
        <w:rPr>
          <w:rStyle w:val="charBoldItals"/>
        </w:rPr>
        <w:t>work and rest hours option</w:t>
      </w:r>
      <w:r w:rsidRPr="009B0C0B">
        <w:t xml:space="preserve"> of the driver of a fatigue-regulated heavy vehicle is the maximum work requirements and minimum rest requirements applying to the driver under this Law.</w:t>
      </w:r>
    </w:p>
    <w:p w14:paraId="0E5BCD4D" w14:textId="77777777" w:rsidR="00DB6E47" w:rsidRPr="009B0C0B" w:rsidRDefault="00DB6E47" w:rsidP="00DB6E47">
      <w:pPr>
        <w:pStyle w:val="Amain"/>
      </w:pPr>
      <w:r w:rsidRPr="009B0C0B">
        <w:tab/>
        <w:t>(2)</w:t>
      </w:r>
      <w:r w:rsidRPr="009B0C0B">
        <w:tab/>
        <w:t xml:space="preserve">The </w:t>
      </w:r>
      <w:r w:rsidRPr="00FF4454">
        <w:rPr>
          <w:rStyle w:val="charBoldItals"/>
        </w:rPr>
        <w:t>work and rest hours option</w:t>
      </w:r>
      <w:r w:rsidRPr="009B0C0B">
        <w:t xml:space="preserve"> is—</w:t>
      </w:r>
    </w:p>
    <w:p w14:paraId="72DFAAFB" w14:textId="77777777" w:rsidR="00DB6E47" w:rsidRPr="005441A8" w:rsidRDefault="00DB6E47" w:rsidP="00DB6E47">
      <w:pPr>
        <w:pStyle w:val="Apara"/>
      </w:pPr>
      <w:r w:rsidRPr="005441A8">
        <w:tab/>
        <w:t>(a)</w:t>
      </w:r>
      <w:r w:rsidRPr="005441A8">
        <w:tab/>
        <w:t>the standard work and rest arrangements, which—</w:t>
      </w:r>
    </w:p>
    <w:p w14:paraId="09AF5F3D" w14:textId="77777777" w:rsidR="00DB6E47" w:rsidRPr="00516F02" w:rsidRDefault="00DB6E47" w:rsidP="00DB6E47">
      <w:pPr>
        <w:pStyle w:val="Asubpara"/>
      </w:pPr>
      <w:r w:rsidRPr="00516F02">
        <w:tab/>
        <w:t>(i)</w:t>
      </w:r>
      <w:r w:rsidRPr="00516F02">
        <w:tab/>
        <w:t>apply to drivers of fatigue-regulated heavy vehicles operating other than under a BFM accreditation, AFM accreditation or work and rest hours exemption; and</w:t>
      </w:r>
    </w:p>
    <w:p w14:paraId="27E56AF9" w14:textId="77777777" w:rsidR="00DB6E47" w:rsidRPr="00516F02" w:rsidRDefault="00DB6E47" w:rsidP="00DB6E47">
      <w:pPr>
        <w:pStyle w:val="Asubpara"/>
      </w:pPr>
      <w:r w:rsidRPr="00516F02">
        <w:tab/>
        <w:t>(ii)</w:t>
      </w:r>
      <w:r w:rsidRPr="00516F02">
        <w:tab/>
        <w:t>are known as ‘standard hours’; or</w:t>
      </w:r>
    </w:p>
    <w:p w14:paraId="274594B2" w14:textId="77777777" w:rsidR="00DB6E47" w:rsidRPr="005441A8" w:rsidRDefault="00DB6E47" w:rsidP="00DB6E47">
      <w:pPr>
        <w:pStyle w:val="Apara"/>
      </w:pPr>
      <w:r w:rsidRPr="005441A8">
        <w:tab/>
        <w:t>(b)</w:t>
      </w:r>
      <w:r w:rsidRPr="005441A8">
        <w:tab/>
        <w:t>the BFM work and rest arrangements, which—</w:t>
      </w:r>
    </w:p>
    <w:p w14:paraId="33663A05" w14:textId="77777777" w:rsidR="00DB6E47" w:rsidRPr="00516F02" w:rsidRDefault="00DB6E47" w:rsidP="00DB6E47">
      <w:pPr>
        <w:pStyle w:val="Asubpara"/>
      </w:pPr>
      <w:r w:rsidRPr="00516F02">
        <w:tab/>
        <w:t>(i)</w:t>
      </w:r>
      <w:r w:rsidRPr="00516F02">
        <w:tab/>
        <w:t>apply to drivers of fatigue-regulated heavy vehicles operating under a BFM accreditation; and</w:t>
      </w:r>
    </w:p>
    <w:p w14:paraId="73CCA4FC" w14:textId="77777777" w:rsidR="00DB6E47" w:rsidRPr="00516F02" w:rsidRDefault="00DB6E47" w:rsidP="00DB6E47">
      <w:pPr>
        <w:pStyle w:val="Asubpara"/>
      </w:pPr>
      <w:r w:rsidRPr="00516F02">
        <w:tab/>
        <w:t>(ii)</w:t>
      </w:r>
      <w:r w:rsidRPr="00516F02">
        <w:tab/>
        <w:t>are known as ‘BFM hours’; or</w:t>
      </w:r>
    </w:p>
    <w:p w14:paraId="0CE24937" w14:textId="77777777" w:rsidR="00DB6E47" w:rsidRPr="005441A8" w:rsidRDefault="00DB6E47" w:rsidP="00DB6E47">
      <w:pPr>
        <w:pStyle w:val="Apara"/>
      </w:pPr>
      <w:r w:rsidRPr="005441A8">
        <w:tab/>
        <w:t>(c)</w:t>
      </w:r>
      <w:r w:rsidRPr="005441A8">
        <w:tab/>
        <w:t>the AFM work and rest arrangements, which—</w:t>
      </w:r>
    </w:p>
    <w:p w14:paraId="601F8B96" w14:textId="77777777" w:rsidR="00DB6E47" w:rsidRPr="00516F02" w:rsidRDefault="00DB6E47" w:rsidP="00DB6E47">
      <w:pPr>
        <w:pStyle w:val="Asubpara"/>
      </w:pPr>
      <w:r w:rsidRPr="00516F02">
        <w:tab/>
        <w:t>(i)</w:t>
      </w:r>
      <w:r w:rsidRPr="00516F02">
        <w:tab/>
        <w:t>apply to drivers of fatigue-regulated heavy vehicles operating under an AFM accreditation; and</w:t>
      </w:r>
    </w:p>
    <w:p w14:paraId="353AD3B5" w14:textId="77777777" w:rsidR="00DB6E47" w:rsidRPr="00516F02" w:rsidRDefault="00DB6E47" w:rsidP="00DB6E47">
      <w:pPr>
        <w:pStyle w:val="Asubpara"/>
      </w:pPr>
      <w:r w:rsidRPr="00516F02">
        <w:tab/>
        <w:t>(ii)</w:t>
      </w:r>
      <w:r w:rsidRPr="00516F02">
        <w:tab/>
        <w:t>are known as ‘AFM hours’; or</w:t>
      </w:r>
    </w:p>
    <w:p w14:paraId="2CD894E8" w14:textId="77777777" w:rsidR="00DB6E47" w:rsidRPr="005441A8" w:rsidRDefault="00DB6E47" w:rsidP="00DB6E47">
      <w:pPr>
        <w:pStyle w:val="Apara"/>
      </w:pPr>
      <w:r w:rsidRPr="005441A8">
        <w:tab/>
        <w:t>(d)</w:t>
      </w:r>
      <w:r w:rsidRPr="005441A8">
        <w:tab/>
        <w:t>the maximum work times and minimum rest times stated in a work and rest hours exemption, which—</w:t>
      </w:r>
    </w:p>
    <w:p w14:paraId="0BD54D12" w14:textId="77777777" w:rsidR="00DB6E47" w:rsidRPr="00516F02" w:rsidRDefault="00DB6E47" w:rsidP="00DB6E47">
      <w:pPr>
        <w:pStyle w:val="Asubpara"/>
      </w:pPr>
      <w:r w:rsidRPr="00516F02">
        <w:tab/>
        <w:t>(i)</w:t>
      </w:r>
      <w:r w:rsidRPr="00516F02">
        <w:tab/>
        <w:t>apply to drivers of fatigue-regulated heavy vehicles operating under the exemption; and</w:t>
      </w:r>
    </w:p>
    <w:p w14:paraId="10FA5547" w14:textId="77777777" w:rsidR="00DB6E47" w:rsidRPr="00516F02" w:rsidRDefault="00DB6E47" w:rsidP="00DB6E47">
      <w:pPr>
        <w:pStyle w:val="Asubpara"/>
      </w:pPr>
      <w:r w:rsidRPr="00516F02">
        <w:tab/>
        <w:t>(ii)</w:t>
      </w:r>
      <w:r w:rsidRPr="00516F02">
        <w:tab/>
        <w:t>are known as ‘exemption hours’.</w:t>
      </w:r>
    </w:p>
    <w:p w14:paraId="6EA63EEF" w14:textId="77777777" w:rsidR="00DB6E47" w:rsidRPr="007E1F9A" w:rsidRDefault="00DB6E47" w:rsidP="00DB6E47">
      <w:pPr>
        <w:pStyle w:val="AH5Sec"/>
      </w:pPr>
      <w:bookmarkStart w:id="260" w:name="_Toc83625604"/>
      <w:r w:rsidRPr="005E03F7">
        <w:rPr>
          <w:rStyle w:val="CharSectNo"/>
        </w:rPr>
        <w:lastRenderedPageBreak/>
        <w:t>244</w:t>
      </w:r>
      <w:r w:rsidRPr="007E1F9A">
        <w:tab/>
        <w:t>Counting time spent in participating jurisdictions</w:t>
      </w:r>
      <w:bookmarkEnd w:id="260"/>
    </w:p>
    <w:p w14:paraId="7AC9553A" w14:textId="77777777" w:rsidR="00DB6E47" w:rsidRPr="006C3305" w:rsidRDefault="00DB6E47" w:rsidP="00DB6E47">
      <w:pPr>
        <w:pStyle w:val="Amainreturn"/>
      </w:pPr>
      <w:r w:rsidRPr="006C3305">
        <w:t>When counting work time or rest time spent by the driver of a fatigue-regulated heavy vehicle for this Part, the work time or rest time spent by the driver in any participating jurisdiction must be counted.</w:t>
      </w:r>
    </w:p>
    <w:p w14:paraId="18D77C65" w14:textId="77777777" w:rsidR="00DB6E47" w:rsidRPr="007E1F9A" w:rsidRDefault="00DB6E47" w:rsidP="00DB6E47">
      <w:pPr>
        <w:pStyle w:val="AH5Sec"/>
      </w:pPr>
      <w:bookmarkStart w:id="261" w:name="_Toc83625605"/>
      <w:r w:rsidRPr="005E03F7">
        <w:rPr>
          <w:rStyle w:val="CharSectNo"/>
        </w:rPr>
        <w:t>245</w:t>
      </w:r>
      <w:r w:rsidRPr="007E1F9A">
        <w:tab/>
        <w:t>Counting time spent outside participating jurisdictions</w:t>
      </w:r>
      <w:bookmarkEnd w:id="261"/>
    </w:p>
    <w:p w14:paraId="1DCBFEF1" w14:textId="77777777" w:rsidR="00DB6E47" w:rsidRPr="009B0C0B" w:rsidRDefault="00DB6E47" w:rsidP="00DB6E47">
      <w:pPr>
        <w:pStyle w:val="Amain"/>
      </w:pPr>
      <w:r w:rsidRPr="009B0C0B">
        <w:tab/>
        <w:t>(1)</w:t>
      </w:r>
      <w:r w:rsidRPr="009B0C0B">
        <w:tab/>
        <w:t>This section applies to the driver of a fatigue-regulated heavy vehicle if the driver drives a fatigue-regulated heavy vehicle into a participating jurisdiction from a non-participating jurisdiction.</w:t>
      </w:r>
    </w:p>
    <w:p w14:paraId="36002BA2" w14:textId="77777777" w:rsidR="00DB6E47" w:rsidRPr="009B0C0B" w:rsidRDefault="00DB6E47" w:rsidP="00DB6E47">
      <w:pPr>
        <w:pStyle w:val="Amain"/>
      </w:pPr>
      <w:r w:rsidRPr="009B0C0B">
        <w:tab/>
        <w:t>(2)</w:t>
      </w:r>
      <w:r w:rsidRPr="009B0C0B">
        <w:tab/>
        <w:t>If, within the last 7 days, the driver has spent any work time in a participating jurisdiction, any time spent by the driver in the non-participating jurisdiction must be treated in the same way as it would have been treated if the time had been spent in a participating jurisdiction.</w:t>
      </w:r>
    </w:p>
    <w:p w14:paraId="3F96B5A7" w14:textId="77777777" w:rsidR="00DB6E47" w:rsidRPr="009B0C0B" w:rsidRDefault="00DB6E47" w:rsidP="00DB6E47">
      <w:pPr>
        <w:pStyle w:val="Amain"/>
      </w:pPr>
      <w:r w:rsidRPr="009B0C0B">
        <w:tab/>
        <w:t>(3)</w:t>
      </w:r>
      <w:r w:rsidRPr="009B0C0B">
        <w:tab/>
        <w:t>If, within the last 7 days, the driver spent work time only in non-participating jurisdictions—</w:t>
      </w:r>
    </w:p>
    <w:p w14:paraId="13C38C4E" w14:textId="77777777" w:rsidR="00DB6E47" w:rsidRPr="005441A8" w:rsidRDefault="00DB6E47" w:rsidP="00DB6E47">
      <w:pPr>
        <w:pStyle w:val="Apara"/>
      </w:pPr>
      <w:r w:rsidRPr="005441A8">
        <w:tab/>
        <w:t>(a)</w:t>
      </w:r>
      <w:r w:rsidRPr="005441A8">
        <w:tab/>
        <w:t>any time spent by the driver in the non-participating jurisdiction before the start of the driver’s last major rest break before entering a participating jurisdiction must be disregarded; and</w:t>
      </w:r>
    </w:p>
    <w:p w14:paraId="4FEA4E7F" w14:textId="77777777" w:rsidR="00DB6E47" w:rsidRPr="005441A8" w:rsidRDefault="00DB6E47" w:rsidP="00DB6E47">
      <w:pPr>
        <w:pStyle w:val="Apara"/>
      </w:pPr>
      <w:r w:rsidRPr="005441A8">
        <w:tab/>
        <w:t>(b)</w:t>
      </w:r>
      <w:r w:rsidRPr="005441A8">
        <w:tab/>
        <w:t>any time spent by the driver in the non-participating jurisdiction after the start of the last major re</w:t>
      </w:r>
      <w:r w:rsidR="006415CF">
        <w:t xml:space="preserve">st break mentioned in paragraph </w:t>
      </w:r>
      <w:r w:rsidRPr="005441A8">
        <w:t>(a)</w:t>
      </w:r>
      <w:r w:rsidR="006415CF">
        <w:t xml:space="preserve"> </w:t>
      </w:r>
      <w:r w:rsidRPr="005441A8">
        <w:t>must be—</w:t>
      </w:r>
    </w:p>
    <w:p w14:paraId="6AD246E2" w14:textId="77777777" w:rsidR="00DB6E47" w:rsidRPr="00516F02" w:rsidRDefault="00DB6E47" w:rsidP="00DB6E47">
      <w:pPr>
        <w:pStyle w:val="Asubpara"/>
      </w:pPr>
      <w:r w:rsidRPr="00516F02">
        <w:tab/>
        <w:t>(i)</w:t>
      </w:r>
      <w:r w:rsidRPr="00516F02">
        <w:tab/>
        <w:t>taken into account; and</w:t>
      </w:r>
    </w:p>
    <w:p w14:paraId="1FF649C2" w14:textId="77777777" w:rsidR="00DB6E47" w:rsidRPr="00516F02" w:rsidRDefault="00DB6E47" w:rsidP="00DB6E47">
      <w:pPr>
        <w:pStyle w:val="Asubpara"/>
      </w:pPr>
      <w:r w:rsidRPr="00516F02">
        <w:tab/>
        <w:t>(ii)</w:t>
      </w:r>
      <w:r w:rsidRPr="00516F02">
        <w:tab/>
        <w:t>treated in the same way as it would have been treated if the time had been spent in a participating jurisdiction.</w:t>
      </w:r>
    </w:p>
    <w:p w14:paraId="4678627B" w14:textId="77777777" w:rsidR="00DB6E47" w:rsidRPr="007E1F9A" w:rsidRDefault="00DB6E47" w:rsidP="00DB6E47">
      <w:pPr>
        <w:pStyle w:val="AH5Sec"/>
      </w:pPr>
      <w:bookmarkStart w:id="262" w:name="_Toc83625606"/>
      <w:r w:rsidRPr="005E03F7">
        <w:rPr>
          <w:rStyle w:val="CharSectNo"/>
        </w:rPr>
        <w:t>246</w:t>
      </w:r>
      <w:r w:rsidRPr="007E1F9A">
        <w:tab/>
        <w:t>Counting periods of less than 15 minutes</w:t>
      </w:r>
      <w:r w:rsidR="00045BC2" w:rsidRPr="00045BC2">
        <w:t>—written work diaries</w:t>
      </w:r>
      <w:bookmarkEnd w:id="262"/>
    </w:p>
    <w:p w14:paraId="1366DBB5" w14:textId="77777777" w:rsidR="00045BC2" w:rsidRDefault="00045BC2" w:rsidP="00D80638">
      <w:pPr>
        <w:pStyle w:val="Amain"/>
        <w:keepNext/>
      </w:pPr>
      <w:r>
        <w:tab/>
        <w:t>(1)</w:t>
      </w:r>
      <w:r>
        <w:tab/>
      </w:r>
      <w:r w:rsidRPr="00045BC2">
        <w:t>This section applies if a driver uses a written work diary.</w:t>
      </w:r>
    </w:p>
    <w:p w14:paraId="6C076C1E" w14:textId="77777777" w:rsidR="00DB6E47" w:rsidRPr="009B0C0B" w:rsidRDefault="00045BC2" w:rsidP="00DB6E47">
      <w:pPr>
        <w:pStyle w:val="Amain"/>
      </w:pPr>
      <w:r>
        <w:tab/>
        <w:t>(2</w:t>
      </w:r>
      <w:r w:rsidR="00DB6E47" w:rsidRPr="009B0C0B">
        <w:t>)</w:t>
      </w:r>
      <w:r w:rsidR="00DB6E47" w:rsidRPr="009B0C0B">
        <w:tab/>
        <w:t>Work time must be counted in 15 minute periods.</w:t>
      </w:r>
    </w:p>
    <w:p w14:paraId="73CBB208" w14:textId="77777777" w:rsidR="00DB6E47" w:rsidRPr="009B0C0B" w:rsidRDefault="00045BC2" w:rsidP="00DB6E47">
      <w:pPr>
        <w:pStyle w:val="Amain"/>
      </w:pPr>
      <w:r>
        <w:lastRenderedPageBreak/>
        <w:tab/>
        <w:t>(3</w:t>
      </w:r>
      <w:r w:rsidR="00DB6E47" w:rsidRPr="009B0C0B">
        <w:t>)</w:t>
      </w:r>
      <w:r w:rsidR="00DB6E47" w:rsidRPr="009B0C0B">
        <w:tab/>
        <w:t>A period of work time of less than 15 minutes counts as 15 minutes work time.</w:t>
      </w:r>
    </w:p>
    <w:p w14:paraId="6879D5EA" w14:textId="77777777" w:rsidR="00DB6E47" w:rsidRPr="00C96203" w:rsidRDefault="00DB6E47" w:rsidP="00DB6E47">
      <w:pPr>
        <w:pStyle w:val="aExamHdgss"/>
      </w:pPr>
      <w:r w:rsidRPr="00C96203">
        <w:rPr>
          <w:rFonts w:cs="Times"/>
          <w:bCs/>
          <w:iCs/>
        </w:rPr>
        <w:t>Examples for the purposes of subse</w:t>
      </w:r>
      <w:r w:rsidR="00715204">
        <w:rPr>
          <w:rFonts w:cs="Times"/>
          <w:bCs/>
          <w:iCs/>
        </w:rPr>
        <w:t>ction (3</w:t>
      </w:r>
      <w:r w:rsidRPr="00C96203">
        <w:rPr>
          <w:rFonts w:cs="Times"/>
          <w:bCs/>
          <w:iCs/>
        </w:rPr>
        <w:t>)—</w:t>
      </w:r>
    </w:p>
    <w:p w14:paraId="25105956" w14:textId="77777777" w:rsidR="00DB6E47" w:rsidRPr="00C96203" w:rsidRDefault="00DB6E47" w:rsidP="00DB6E47">
      <w:pPr>
        <w:pStyle w:val="aExamINumss"/>
      </w:pPr>
      <w:r w:rsidRPr="00C96203">
        <w:t xml:space="preserve">1 </w:t>
      </w:r>
      <w:r w:rsidRPr="00C96203">
        <w:tab/>
        <w:t>A period of working for 14 minutes counts as 15 minutes work time.</w:t>
      </w:r>
    </w:p>
    <w:p w14:paraId="7F3FFE39" w14:textId="77777777" w:rsidR="00DB6E47" w:rsidRPr="00C96203" w:rsidRDefault="00DB6E47" w:rsidP="00DB6E47">
      <w:pPr>
        <w:pStyle w:val="aExamINumss"/>
      </w:pPr>
      <w:r w:rsidRPr="00C96203">
        <w:t xml:space="preserve">2 </w:t>
      </w:r>
      <w:r w:rsidRPr="00C96203">
        <w:tab/>
        <w:t>A period of working for 17 minutes counts as 30 minutes work time.</w:t>
      </w:r>
    </w:p>
    <w:p w14:paraId="5508C392" w14:textId="77777777" w:rsidR="00DB6E47" w:rsidRPr="00C96203" w:rsidRDefault="00DB6E47" w:rsidP="00DB6E47">
      <w:pPr>
        <w:pStyle w:val="aExamINumss"/>
      </w:pPr>
      <w:r w:rsidRPr="00C96203">
        <w:t xml:space="preserve">3 </w:t>
      </w:r>
      <w:r w:rsidRPr="00C96203">
        <w:tab/>
        <w:t>A period of working for 53 minutes counts as 1 hour work time.</w:t>
      </w:r>
    </w:p>
    <w:p w14:paraId="4C43A369" w14:textId="77777777" w:rsidR="00DB6E47" w:rsidRPr="009B0C0B" w:rsidRDefault="00045BC2" w:rsidP="00DB6E47">
      <w:pPr>
        <w:pStyle w:val="Amain"/>
      </w:pPr>
      <w:r>
        <w:tab/>
        <w:t>(4</w:t>
      </w:r>
      <w:r w:rsidR="00DB6E47" w:rsidRPr="009B0C0B">
        <w:t>)</w:t>
      </w:r>
      <w:r w:rsidR="00DB6E47" w:rsidRPr="009B0C0B">
        <w:tab/>
        <w:t>Rest time must be counted in blocks of time of no less than 15 minutes.</w:t>
      </w:r>
    </w:p>
    <w:p w14:paraId="59E0D826" w14:textId="77777777" w:rsidR="00DB6E47" w:rsidRPr="009B0C0B" w:rsidRDefault="00045BC2" w:rsidP="00DB6E47">
      <w:pPr>
        <w:pStyle w:val="Amain"/>
      </w:pPr>
      <w:r>
        <w:tab/>
        <w:t>(5</w:t>
      </w:r>
      <w:r w:rsidR="00DB6E47" w:rsidRPr="009B0C0B">
        <w:t>)</w:t>
      </w:r>
      <w:r w:rsidR="00DB6E47" w:rsidRPr="009B0C0B">
        <w:tab/>
        <w:t>A period of rest time of less than 15 minutes must be disregarded.</w:t>
      </w:r>
    </w:p>
    <w:p w14:paraId="21D0FDF4" w14:textId="77777777" w:rsidR="00DB6E47" w:rsidRPr="00C96203" w:rsidRDefault="00DB6E47" w:rsidP="00DB6E47">
      <w:pPr>
        <w:pStyle w:val="aExamHdgss"/>
      </w:pPr>
      <w:r w:rsidRPr="00C96203">
        <w:rPr>
          <w:rFonts w:cs="Times"/>
          <w:bCs/>
          <w:iCs/>
        </w:rPr>
        <w:t>Examples f</w:t>
      </w:r>
      <w:r w:rsidR="00715204">
        <w:rPr>
          <w:rFonts w:cs="Times"/>
          <w:bCs/>
          <w:iCs/>
        </w:rPr>
        <w:t>or the purposes of subsection (5</w:t>
      </w:r>
      <w:r w:rsidRPr="00C96203">
        <w:rPr>
          <w:rFonts w:cs="Times"/>
          <w:bCs/>
          <w:iCs/>
        </w:rPr>
        <w:t>)—</w:t>
      </w:r>
    </w:p>
    <w:p w14:paraId="69AB2C71" w14:textId="77777777" w:rsidR="00DB6E47" w:rsidRPr="00C96203" w:rsidRDefault="00DB6E47" w:rsidP="00DB6E47">
      <w:pPr>
        <w:pStyle w:val="aExamINumss"/>
      </w:pPr>
      <w:r w:rsidRPr="00C96203">
        <w:t xml:space="preserve">1 </w:t>
      </w:r>
      <w:r w:rsidRPr="00C96203">
        <w:tab/>
        <w:t>A period of not working for only 14 minutes does not count as rest time, because 14 minutes is less than 15 minutes.</w:t>
      </w:r>
    </w:p>
    <w:p w14:paraId="66D4CABB" w14:textId="77777777" w:rsidR="00DB6E47" w:rsidRDefault="00DB6E47" w:rsidP="00DB6E47">
      <w:pPr>
        <w:pStyle w:val="aExamINumss"/>
      </w:pPr>
      <w:r w:rsidRPr="00C96203">
        <w:t xml:space="preserve">2 </w:t>
      </w:r>
      <w:r w:rsidRPr="00C96203">
        <w:tab/>
        <w:t>A period of not working for 17 minutes counts as 15 minutes rest time, because 17 minutes is more than 15 minutes, but is less than 2 lots of 15 minutes (30 minutes).</w:t>
      </w:r>
    </w:p>
    <w:p w14:paraId="0C72666B" w14:textId="77777777" w:rsidR="00016E12" w:rsidRDefault="00016E12" w:rsidP="00016E12">
      <w:pPr>
        <w:pStyle w:val="AH5Sec"/>
        <w:rPr>
          <w:rFonts w:eastAsia="Arial"/>
        </w:rPr>
      </w:pPr>
      <w:bookmarkStart w:id="263" w:name="_Toc83625607"/>
      <w:r w:rsidRPr="005E03F7">
        <w:rPr>
          <w:rStyle w:val="CharSectNo"/>
        </w:rPr>
        <w:t>246A</w:t>
      </w:r>
      <w:r>
        <w:tab/>
      </w:r>
      <w:r w:rsidRPr="00016E12">
        <w:rPr>
          <w:rFonts w:eastAsia="Arial"/>
        </w:rPr>
        <w:t>Counting periods of less than 15 minutes—electronic work diaries</w:t>
      </w:r>
      <w:bookmarkEnd w:id="263"/>
    </w:p>
    <w:p w14:paraId="1BCFBB5D" w14:textId="77777777" w:rsidR="00016E12" w:rsidRPr="00016E12" w:rsidRDefault="00016E12" w:rsidP="00016E12">
      <w:pPr>
        <w:pStyle w:val="Amain"/>
      </w:pPr>
      <w:r>
        <w:tab/>
        <w:t>(1)</w:t>
      </w:r>
      <w:r>
        <w:tab/>
      </w:r>
      <w:r w:rsidRPr="00016E12">
        <w:t>This section applies if a driver uses an electronic work diary.</w:t>
      </w:r>
    </w:p>
    <w:p w14:paraId="0B53A3DF" w14:textId="77777777" w:rsidR="00016E12" w:rsidRPr="00016E12" w:rsidRDefault="00016E12" w:rsidP="00016E12">
      <w:pPr>
        <w:pStyle w:val="Amain"/>
      </w:pPr>
      <w:r w:rsidRPr="00016E12">
        <w:tab/>
        <w:t>(2)</w:t>
      </w:r>
      <w:r w:rsidRPr="00016E12">
        <w:tab/>
        <w:t>Work time and rest time must be counted in 1 minute periods.</w:t>
      </w:r>
    </w:p>
    <w:p w14:paraId="22C2679F" w14:textId="77777777" w:rsidR="00016E12" w:rsidRPr="00016E12" w:rsidRDefault="00016E12" w:rsidP="00016E12">
      <w:pPr>
        <w:pStyle w:val="Amain"/>
      </w:pPr>
      <w:r w:rsidRPr="00016E12">
        <w:tab/>
        <w:t>(3)</w:t>
      </w:r>
      <w:r w:rsidRPr="00016E12">
        <w:tab/>
        <w:t>A period of work time or rest time of less than 1 minute must not be counted.</w:t>
      </w:r>
    </w:p>
    <w:p w14:paraId="170E0ECA" w14:textId="77777777" w:rsidR="00016E12" w:rsidRPr="00016E12" w:rsidRDefault="00016E12" w:rsidP="00D80638">
      <w:pPr>
        <w:pStyle w:val="Amain"/>
        <w:keepNext/>
      </w:pPr>
      <w:r w:rsidRPr="00016E12">
        <w:lastRenderedPageBreak/>
        <w:tab/>
        <w:t>(4)</w:t>
      </w:r>
      <w:r w:rsidRPr="00016E12">
        <w:tab/>
        <w:t>A period of rest time of less than 15 minutes does not count towards a minimum rest time.</w:t>
      </w:r>
    </w:p>
    <w:p w14:paraId="115A0E90" w14:textId="77777777" w:rsidR="00016E12" w:rsidRPr="00913723" w:rsidRDefault="00C33194" w:rsidP="00913723">
      <w:pPr>
        <w:pStyle w:val="aExamHdgss"/>
      </w:pPr>
      <w:r w:rsidRPr="00913723">
        <w:t>Examples for the purposes of subsection (4)—</w:t>
      </w:r>
    </w:p>
    <w:p w14:paraId="46ED601C" w14:textId="77777777" w:rsidR="00C33194" w:rsidRDefault="00C33194" w:rsidP="00E8756B">
      <w:pPr>
        <w:pStyle w:val="aExamINumss"/>
        <w:keepNext/>
      </w:pPr>
      <w:r>
        <w:t>1</w:t>
      </w:r>
      <w:r>
        <w:tab/>
        <w:t>A</w:t>
      </w:r>
      <w:r>
        <w:rPr>
          <w:spacing w:val="38"/>
        </w:rPr>
        <w:t xml:space="preserve"> </w:t>
      </w:r>
      <w:r>
        <w:t>period</w:t>
      </w:r>
      <w:r>
        <w:rPr>
          <w:spacing w:val="39"/>
        </w:rPr>
        <w:t xml:space="preserve"> </w:t>
      </w:r>
      <w:r>
        <w:t>of</w:t>
      </w:r>
      <w:r>
        <w:rPr>
          <w:spacing w:val="39"/>
        </w:rPr>
        <w:t xml:space="preserve"> </w:t>
      </w:r>
      <w:r>
        <w:t>not</w:t>
      </w:r>
      <w:r>
        <w:rPr>
          <w:spacing w:val="38"/>
        </w:rPr>
        <w:t xml:space="preserve"> </w:t>
      </w:r>
      <w:r>
        <w:rPr>
          <w:spacing w:val="-1"/>
        </w:rPr>
        <w:t>working</w:t>
      </w:r>
      <w:r>
        <w:rPr>
          <w:spacing w:val="39"/>
        </w:rPr>
        <w:t xml:space="preserve"> </w:t>
      </w:r>
      <w:r>
        <w:t>for</w:t>
      </w:r>
      <w:r>
        <w:rPr>
          <w:spacing w:val="39"/>
        </w:rPr>
        <w:t xml:space="preserve"> </w:t>
      </w:r>
      <w:r>
        <w:t>10</w:t>
      </w:r>
      <w:r>
        <w:rPr>
          <w:spacing w:val="38"/>
        </w:rPr>
        <w:t xml:space="preserve"> </w:t>
      </w:r>
      <w:r>
        <w:t>minutes</w:t>
      </w:r>
      <w:r>
        <w:rPr>
          <w:spacing w:val="38"/>
        </w:rPr>
        <w:t xml:space="preserve"> </w:t>
      </w:r>
      <w:r>
        <w:t>does</w:t>
      </w:r>
      <w:r>
        <w:rPr>
          <w:spacing w:val="39"/>
        </w:rPr>
        <w:t xml:space="preserve"> </w:t>
      </w:r>
      <w:r>
        <w:t>not</w:t>
      </w:r>
      <w:r>
        <w:rPr>
          <w:spacing w:val="29"/>
          <w:w w:val="99"/>
        </w:rPr>
        <w:t xml:space="preserve"> </w:t>
      </w:r>
      <w:r>
        <w:t>count</w:t>
      </w:r>
      <w:r>
        <w:rPr>
          <w:spacing w:val="16"/>
        </w:rPr>
        <w:t xml:space="preserve"> </w:t>
      </w:r>
      <w:r>
        <w:rPr>
          <w:spacing w:val="-1"/>
        </w:rPr>
        <w:t>towards</w:t>
      </w:r>
      <w:r>
        <w:rPr>
          <w:spacing w:val="15"/>
        </w:rPr>
        <w:t xml:space="preserve"> </w:t>
      </w:r>
      <w:r>
        <w:t>a</w:t>
      </w:r>
      <w:r>
        <w:rPr>
          <w:spacing w:val="16"/>
        </w:rPr>
        <w:t xml:space="preserve"> </w:t>
      </w:r>
      <w:r>
        <w:t>minimum</w:t>
      </w:r>
      <w:r>
        <w:rPr>
          <w:spacing w:val="18"/>
        </w:rPr>
        <w:t xml:space="preserve"> </w:t>
      </w:r>
      <w:r>
        <w:t>rest</w:t>
      </w:r>
      <w:r>
        <w:rPr>
          <w:spacing w:val="15"/>
        </w:rPr>
        <w:t xml:space="preserve"> </w:t>
      </w:r>
      <w:r>
        <w:t>time</w:t>
      </w:r>
      <w:r>
        <w:rPr>
          <w:spacing w:val="15"/>
        </w:rPr>
        <w:t xml:space="preserve"> </w:t>
      </w:r>
      <w:r>
        <w:t>because</w:t>
      </w:r>
      <w:r>
        <w:rPr>
          <w:spacing w:val="16"/>
        </w:rPr>
        <w:t xml:space="preserve"> </w:t>
      </w:r>
      <w:r>
        <w:t>10</w:t>
      </w:r>
      <w:r>
        <w:rPr>
          <w:spacing w:val="21"/>
          <w:w w:val="99"/>
        </w:rPr>
        <w:t xml:space="preserve"> </w:t>
      </w:r>
      <w:r>
        <w:t>minutes</w:t>
      </w:r>
      <w:r>
        <w:rPr>
          <w:spacing w:val="-5"/>
        </w:rPr>
        <w:t xml:space="preserve"> </w:t>
      </w:r>
      <w:r>
        <w:t>is</w:t>
      </w:r>
      <w:r>
        <w:rPr>
          <w:spacing w:val="-5"/>
        </w:rPr>
        <w:t xml:space="preserve"> </w:t>
      </w:r>
      <w:r>
        <w:t>less</w:t>
      </w:r>
      <w:r>
        <w:rPr>
          <w:spacing w:val="-5"/>
        </w:rPr>
        <w:t xml:space="preserve"> </w:t>
      </w:r>
      <w:r>
        <w:t>than</w:t>
      </w:r>
      <w:r>
        <w:rPr>
          <w:spacing w:val="-5"/>
        </w:rPr>
        <w:t xml:space="preserve"> </w:t>
      </w:r>
      <w:r>
        <w:t>15</w:t>
      </w:r>
      <w:r>
        <w:rPr>
          <w:spacing w:val="-4"/>
        </w:rPr>
        <w:t xml:space="preserve"> </w:t>
      </w:r>
      <w:r>
        <w:t>minutes.</w:t>
      </w:r>
    </w:p>
    <w:p w14:paraId="1B8CFC0C" w14:textId="77777777" w:rsidR="00035C01" w:rsidRDefault="00035C01" w:rsidP="00E8756B">
      <w:pPr>
        <w:pStyle w:val="aExamINumss"/>
        <w:keepNext/>
        <w:rPr>
          <w:spacing w:val="-1"/>
        </w:rPr>
      </w:pPr>
      <w:r>
        <w:t>2</w:t>
      </w:r>
      <w:r>
        <w:tab/>
        <w:t>A</w:t>
      </w:r>
      <w:r>
        <w:rPr>
          <w:spacing w:val="6"/>
        </w:rPr>
        <w:t xml:space="preserve"> </w:t>
      </w:r>
      <w:r>
        <w:t>period</w:t>
      </w:r>
      <w:r>
        <w:rPr>
          <w:spacing w:val="7"/>
        </w:rPr>
        <w:t xml:space="preserve"> </w:t>
      </w:r>
      <w:r>
        <w:t>of</w:t>
      </w:r>
      <w:r>
        <w:rPr>
          <w:spacing w:val="7"/>
        </w:rPr>
        <w:t xml:space="preserve"> </w:t>
      </w:r>
      <w:r>
        <w:t>not</w:t>
      </w:r>
      <w:r>
        <w:rPr>
          <w:spacing w:val="8"/>
        </w:rPr>
        <w:t xml:space="preserve"> </w:t>
      </w:r>
      <w:r>
        <w:rPr>
          <w:spacing w:val="-1"/>
        </w:rPr>
        <w:t>working</w:t>
      </w:r>
      <w:r>
        <w:rPr>
          <w:spacing w:val="7"/>
        </w:rPr>
        <w:t xml:space="preserve"> </w:t>
      </w:r>
      <w:r>
        <w:t>on</w:t>
      </w:r>
      <w:r>
        <w:rPr>
          <w:spacing w:val="7"/>
        </w:rPr>
        <w:t xml:space="preserve"> </w:t>
      </w:r>
      <w:r>
        <w:t>3</w:t>
      </w:r>
      <w:r>
        <w:rPr>
          <w:spacing w:val="7"/>
        </w:rPr>
        <w:t xml:space="preserve"> </w:t>
      </w:r>
      <w:r>
        <w:t>separate</w:t>
      </w:r>
      <w:r>
        <w:rPr>
          <w:spacing w:val="7"/>
        </w:rPr>
        <w:t xml:space="preserve"> </w:t>
      </w:r>
      <w:r>
        <w:t>occasions</w:t>
      </w:r>
      <w:r>
        <w:rPr>
          <w:spacing w:val="6"/>
        </w:rPr>
        <w:t xml:space="preserve"> </w:t>
      </w:r>
      <w:r>
        <w:t>for 14</w:t>
      </w:r>
      <w:r>
        <w:rPr>
          <w:spacing w:val="45"/>
        </w:rPr>
        <w:t xml:space="preserve"> </w:t>
      </w:r>
      <w:r>
        <w:t>minutes,</w:t>
      </w:r>
      <w:r>
        <w:rPr>
          <w:spacing w:val="46"/>
        </w:rPr>
        <w:t xml:space="preserve"> </w:t>
      </w:r>
      <w:r>
        <w:t>24</w:t>
      </w:r>
      <w:r>
        <w:rPr>
          <w:spacing w:val="45"/>
        </w:rPr>
        <w:t xml:space="preserve"> </w:t>
      </w:r>
      <w:r>
        <w:t>minutes</w:t>
      </w:r>
      <w:r>
        <w:rPr>
          <w:spacing w:val="46"/>
        </w:rPr>
        <w:t xml:space="preserve"> </w:t>
      </w:r>
      <w:r>
        <w:t>and</w:t>
      </w:r>
      <w:r>
        <w:rPr>
          <w:spacing w:val="45"/>
        </w:rPr>
        <w:t xml:space="preserve"> </w:t>
      </w:r>
      <w:r>
        <w:t>22</w:t>
      </w:r>
      <w:r>
        <w:rPr>
          <w:spacing w:val="45"/>
        </w:rPr>
        <w:t xml:space="preserve"> </w:t>
      </w:r>
      <w:r>
        <w:t>minutes</w:t>
      </w:r>
      <w:r>
        <w:rPr>
          <w:spacing w:val="44"/>
        </w:rPr>
        <w:t xml:space="preserve"> </w:t>
      </w:r>
      <w:r>
        <w:t>does</w:t>
      </w:r>
      <w:r>
        <w:rPr>
          <w:spacing w:val="45"/>
        </w:rPr>
        <w:t xml:space="preserve"> </w:t>
      </w:r>
      <w:r>
        <w:t>not</w:t>
      </w:r>
      <w:r>
        <w:rPr>
          <w:spacing w:val="27"/>
          <w:w w:val="99"/>
        </w:rPr>
        <w:t xml:space="preserve"> </w:t>
      </w:r>
      <w:r>
        <w:t>count</w:t>
      </w:r>
      <w:r>
        <w:rPr>
          <w:spacing w:val="13"/>
        </w:rPr>
        <w:t xml:space="preserve"> </w:t>
      </w:r>
      <w:r>
        <w:t>as</w:t>
      </w:r>
      <w:r>
        <w:rPr>
          <w:spacing w:val="14"/>
        </w:rPr>
        <w:t xml:space="preserve"> </w:t>
      </w:r>
      <w:r>
        <w:t>60</w:t>
      </w:r>
      <w:r>
        <w:rPr>
          <w:spacing w:val="14"/>
        </w:rPr>
        <w:t xml:space="preserve"> </w:t>
      </w:r>
      <w:r>
        <w:t>minutes</w:t>
      </w:r>
      <w:r>
        <w:rPr>
          <w:spacing w:val="14"/>
        </w:rPr>
        <w:t xml:space="preserve"> </w:t>
      </w:r>
      <w:r>
        <w:t>rest</w:t>
      </w:r>
      <w:r>
        <w:rPr>
          <w:spacing w:val="15"/>
        </w:rPr>
        <w:t xml:space="preserve"> </w:t>
      </w:r>
      <w:r>
        <w:t>time</w:t>
      </w:r>
      <w:r>
        <w:rPr>
          <w:spacing w:val="14"/>
        </w:rPr>
        <w:t xml:space="preserve"> </w:t>
      </w:r>
      <w:r>
        <w:rPr>
          <w:spacing w:val="-1"/>
        </w:rPr>
        <w:t>because</w:t>
      </w:r>
      <w:r>
        <w:rPr>
          <w:spacing w:val="15"/>
        </w:rPr>
        <w:t xml:space="preserve"> </w:t>
      </w:r>
      <w:r>
        <w:t>the</w:t>
      </w:r>
      <w:r>
        <w:rPr>
          <w:spacing w:val="14"/>
        </w:rPr>
        <w:t xml:space="preserve"> </w:t>
      </w:r>
      <w:r>
        <w:t>period</w:t>
      </w:r>
      <w:r>
        <w:rPr>
          <w:spacing w:val="14"/>
        </w:rPr>
        <w:t xml:space="preserve"> </w:t>
      </w:r>
      <w:r>
        <w:t>of 14</w:t>
      </w:r>
      <w:r>
        <w:rPr>
          <w:spacing w:val="27"/>
        </w:rPr>
        <w:t xml:space="preserve"> </w:t>
      </w:r>
      <w:r>
        <w:t>minutes, being less than 15 minutes, is</w:t>
      </w:r>
      <w:r>
        <w:rPr>
          <w:spacing w:val="24"/>
          <w:w w:val="99"/>
        </w:rPr>
        <w:t xml:space="preserve"> </w:t>
      </w:r>
      <w:r>
        <w:rPr>
          <w:spacing w:val="-1"/>
        </w:rPr>
        <w:t>disregarded.</w:t>
      </w:r>
    </w:p>
    <w:p w14:paraId="0AAE2517" w14:textId="77777777" w:rsidR="00035C01" w:rsidRDefault="00035C01" w:rsidP="00E8756B">
      <w:pPr>
        <w:pStyle w:val="aNote"/>
        <w:keepNext/>
        <w:rPr>
          <w:rStyle w:val="charItals"/>
        </w:rPr>
      </w:pPr>
      <w:r>
        <w:rPr>
          <w:i/>
          <w:spacing w:val="-1"/>
        </w:rPr>
        <w:t>Note</w:t>
      </w:r>
      <w:r w:rsidRPr="00C33194">
        <w:rPr>
          <w:rStyle w:val="charItals"/>
        </w:rPr>
        <w:t>—</w:t>
      </w:r>
    </w:p>
    <w:p w14:paraId="55D196D5" w14:textId="77777777" w:rsidR="00035C01" w:rsidRPr="00C33194" w:rsidRDefault="00035C01" w:rsidP="00F3574B">
      <w:pPr>
        <w:pStyle w:val="aNoteTextss"/>
        <w:rPr>
          <w:rStyle w:val="charItals"/>
        </w:rPr>
      </w:pPr>
      <w:r>
        <w:t>This</w:t>
      </w:r>
      <w:r>
        <w:rPr>
          <w:spacing w:val="14"/>
        </w:rPr>
        <w:t xml:space="preserve"> </w:t>
      </w:r>
      <w:r>
        <w:t>section</w:t>
      </w:r>
      <w:r>
        <w:rPr>
          <w:spacing w:val="15"/>
        </w:rPr>
        <w:t xml:space="preserve"> </w:t>
      </w:r>
      <w:r>
        <w:rPr>
          <w:spacing w:val="-1"/>
        </w:rPr>
        <w:t>relates</w:t>
      </w:r>
      <w:r>
        <w:rPr>
          <w:spacing w:val="13"/>
        </w:rPr>
        <w:t xml:space="preserve"> </w:t>
      </w:r>
      <w:r>
        <w:t>to</w:t>
      </w:r>
      <w:r>
        <w:rPr>
          <w:spacing w:val="15"/>
        </w:rPr>
        <w:t xml:space="preserve"> </w:t>
      </w:r>
      <w:r>
        <w:t>calculating</w:t>
      </w:r>
      <w:r>
        <w:rPr>
          <w:spacing w:val="14"/>
        </w:rPr>
        <w:t xml:space="preserve"> </w:t>
      </w:r>
      <w:r>
        <w:t>whether</w:t>
      </w:r>
      <w:r>
        <w:rPr>
          <w:spacing w:val="15"/>
        </w:rPr>
        <w:t xml:space="preserve"> </w:t>
      </w:r>
      <w:r>
        <w:t>a</w:t>
      </w:r>
      <w:r>
        <w:rPr>
          <w:spacing w:val="14"/>
        </w:rPr>
        <w:t xml:space="preserve"> </w:t>
      </w:r>
      <w:r>
        <w:rPr>
          <w:spacing w:val="-2"/>
        </w:rPr>
        <w:t>driver</w:t>
      </w:r>
      <w:r>
        <w:rPr>
          <w:spacing w:val="15"/>
        </w:rPr>
        <w:t xml:space="preserve"> </w:t>
      </w:r>
      <w:r>
        <w:t>has</w:t>
      </w:r>
      <w:r>
        <w:rPr>
          <w:spacing w:val="21"/>
          <w:w w:val="99"/>
        </w:rPr>
        <w:t xml:space="preserve"> </w:t>
      </w:r>
      <w:r>
        <w:t>complied</w:t>
      </w:r>
      <w:r>
        <w:rPr>
          <w:spacing w:val="12"/>
        </w:rPr>
        <w:t xml:space="preserve"> </w:t>
      </w:r>
      <w:r>
        <w:rPr>
          <w:spacing w:val="-1"/>
        </w:rPr>
        <w:t>with</w:t>
      </w:r>
      <w:r>
        <w:rPr>
          <w:spacing w:val="13"/>
        </w:rPr>
        <w:t xml:space="preserve"> </w:t>
      </w:r>
      <w:r>
        <w:rPr>
          <w:spacing w:val="-1"/>
        </w:rPr>
        <w:t>maximum</w:t>
      </w:r>
      <w:r>
        <w:rPr>
          <w:spacing w:val="12"/>
        </w:rPr>
        <w:t xml:space="preserve"> </w:t>
      </w:r>
      <w:r>
        <w:rPr>
          <w:spacing w:val="-1"/>
        </w:rPr>
        <w:t>work</w:t>
      </w:r>
      <w:r>
        <w:rPr>
          <w:spacing w:val="12"/>
        </w:rPr>
        <w:t xml:space="preserve"> </w:t>
      </w:r>
      <w:r>
        <w:rPr>
          <w:spacing w:val="-1"/>
        </w:rPr>
        <w:t>requirements</w:t>
      </w:r>
      <w:r>
        <w:rPr>
          <w:spacing w:val="15"/>
        </w:rPr>
        <w:t xml:space="preserve"> </w:t>
      </w:r>
      <w:r>
        <w:t>and</w:t>
      </w:r>
      <w:r>
        <w:rPr>
          <w:spacing w:val="45"/>
          <w:w w:val="99"/>
        </w:rPr>
        <w:t xml:space="preserve"> </w:t>
      </w:r>
      <w:r>
        <w:rPr>
          <w:spacing w:val="-1"/>
        </w:rPr>
        <w:t>minimum</w:t>
      </w:r>
      <w:r>
        <w:rPr>
          <w:spacing w:val="39"/>
        </w:rPr>
        <w:t xml:space="preserve"> </w:t>
      </w:r>
      <w:r>
        <w:rPr>
          <w:spacing w:val="-1"/>
        </w:rPr>
        <w:t>rest</w:t>
      </w:r>
      <w:r>
        <w:rPr>
          <w:spacing w:val="39"/>
        </w:rPr>
        <w:t xml:space="preserve"> </w:t>
      </w:r>
      <w:r>
        <w:rPr>
          <w:spacing w:val="-1"/>
        </w:rPr>
        <w:t>requirements</w:t>
      </w:r>
      <w:r>
        <w:rPr>
          <w:spacing w:val="39"/>
        </w:rPr>
        <w:t xml:space="preserve"> </w:t>
      </w:r>
      <w:r>
        <w:t>applying</w:t>
      </w:r>
      <w:r>
        <w:rPr>
          <w:spacing w:val="40"/>
        </w:rPr>
        <w:t xml:space="preserve"> </w:t>
      </w:r>
      <w:r>
        <w:t>to</w:t>
      </w:r>
      <w:r>
        <w:rPr>
          <w:spacing w:val="40"/>
        </w:rPr>
        <w:t xml:space="preserve"> </w:t>
      </w:r>
      <w:r>
        <w:t>the</w:t>
      </w:r>
      <w:r>
        <w:rPr>
          <w:spacing w:val="40"/>
        </w:rPr>
        <w:t xml:space="preserve"> </w:t>
      </w:r>
      <w:r>
        <w:rPr>
          <w:spacing w:val="-3"/>
        </w:rPr>
        <w:t>driver.</w:t>
      </w:r>
      <w:r>
        <w:rPr>
          <w:spacing w:val="38"/>
        </w:rPr>
        <w:t xml:space="preserve"> </w:t>
      </w:r>
      <w:r>
        <w:t>It</w:t>
      </w:r>
      <w:r>
        <w:rPr>
          <w:spacing w:val="39"/>
          <w:w w:val="99"/>
        </w:rPr>
        <w:t xml:space="preserve"> </w:t>
      </w:r>
      <w:r>
        <w:t>does</w:t>
      </w:r>
      <w:r>
        <w:rPr>
          <w:spacing w:val="8"/>
        </w:rPr>
        <w:t xml:space="preserve"> </w:t>
      </w:r>
      <w:r>
        <w:t>not</w:t>
      </w:r>
      <w:r>
        <w:rPr>
          <w:spacing w:val="9"/>
        </w:rPr>
        <w:t xml:space="preserve"> </w:t>
      </w:r>
      <w:r>
        <w:t>matter</w:t>
      </w:r>
      <w:r>
        <w:rPr>
          <w:spacing w:val="9"/>
        </w:rPr>
        <w:t xml:space="preserve"> </w:t>
      </w:r>
      <w:r>
        <w:t>if</w:t>
      </w:r>
      <w:r>
        <w:rPr>
          <w:spacing w:val="10"/>
        </w:rPr>
        <w:t xml:space="preserve"> </w:t>
      </w:r>
      <w:r>
        <w:t>the</w:t>
      </w:r>
      <w:r>
        <w:rPr>
          <w:spacing w:val="9"/>
        </w:rPr>
        <w:t xml:space="preserve"> </w:t>
      </w:r>
      <w:r>
        <w:t>technology</w:t>
      </w:r>
      <w:r>
        <w:rPr>
          <w:spacing w:val="9"/>
        </w:rPr>
        <w:t xml:space="preserve"> </w:t>
      </w:r>
      <w:r>
        <w:t>used</w:t>
      </w:r>
      <w:r>
        <w:rPr>
          <w:spacing w:val="9"/>
        </w:rPr>
        <w:t xml:space="preserve"> </w:t>
      </w:r>
      <w:r>
        <w:t>by</w:t>
      </w:r>
      <w:r>
        <w:rPr>
          <w:spacing w:val="9"/>
        </w:rPr>
        <w:t xml:space="preserve"> </w:t>
      </w:r>
      <w:r>
        <w:t>an</w:t>
      </w:r>
      <w:r>
        <w:rPr>
          <w:spacing w:val="9"/>
        </w:rPr>
        <w:t xml:space="preserve"> </w:t>
      </w:r>
      <w:r>
        <w:t>electronic</w:t>
      </w:r>
      <w:r>
        <w:rPr>
          <w:spacing w:val="25"/>
          <w:w w:val="99"/>
        </w:rPr>
        <w:t xml:space="preserve"> </w:t>
      </w:r>
      <w:r>
        <w:rPr>
          <w:spacing w:val="-1"/>
        </w:rPr>
        <w:t>work</w:t>
      </w:r>
      <w:r>
        <w:rPr>
          <w:spacing w:val="-9"/>
        </w:rPr>
        <w:t xml:space="preserve"> </w:t>
      </w:r>
      <w:r>
        <w:t>diary</w:t>
      </w:r>
      <w:r>
        <w:rPr>
          <w:spacing w:val="-8"/>
        </w:rPr>
        <w:t xml:space="preserve"> </w:t>
      </w:r>
      <w:r>
        <w:t>counts</w:t>
      </w:r>
      <w:r>
        <w:rPr>
          <w:spacing w:val="-9"/>
        </w:rPr>
        <w:t xml:space="preserve"> </w:t>
      </w:r>
      <w:r>
        <w:t>a</w:t>
      </w:r>
      <w:r>
        <w:rPr>
          <w:spacing w:val="-8"/>
        </w:rPr>
        <w:t xml:space="preserve"> </w:t>
      </w:r>
      <w:r>
        <w:t>period</w:t>
      </w:r>
      <w:r>
        <w:rPr>
          <w:spacing w:val="-8"/>
        </w:rPr>
        <w:t xml:space="preserve"> </w:t>
      </w:r>
      <w:r>
        <w:t>less</w:t>
      </w:r>
      <w:r>
        <w:rPr>
          <w:spacing w:val="-9"/>
        </w:rPr>
        <w:t xml:space="preserve"> </w:t>
      </w:r>
      <w:r>
        <w:t>than</w:t>
      </w:r>
      <w:r>
        <w:rPr>
          <w:spacing w:val="-8"/>
        </w:rPr>
        <w:t xml:space="preserve"> </w:t>
      </w:r>
      <w:r>
        <w:t>1</w:t>
      </w:r>
      <w:r>
        <w:rPr>
          <w:spacing w:val="-9"/>
        </w:rPr>
        <w:t xml:space="preserve"> </w:t>
      </w:r>
      <w:r>
        <w:t>minute</w:t>
      </w:r>
      <w:r>
        <w:rPr>
          <w:spacing w:val="-8"/>
        </w:rPr>
        <w:t xml:space="preserve"> </w:t>
      </w:r>
      <w:r>
        <w:t>mentioned</w:t>
      </w:r>
      <w:r>
        <w:rPr>
          <w:spacing w:val="29"/>
          <w:w w:val="99"/>
        </w:rPr>
        <w:t xml:space="preserve"> </w:t>
      </w:r>
      <w:r>
        <w:t>in</w:t>
      </w:r>
      <w:r>
        <w:rPr>
          <w:spacing w:val="27"/>
        </w:rPr>
        <w:t xml:space="preserve"> </w:t>
      </w:r>
      <w:r>
        <w:t>subsections</w:t>
      </w:r>
      <w:r>
        <w:rPr>
          <w:spacing w:val="27"/>
        </w:rPr>
        <w:t xml:space="preserve"> </w:t>
      </w:r>
      <w:r>
        <w:t>(2)</w:t>
      </w:r>
      <w:r>
        <w:rPr>
          <w:spacing w:val="26"/>
        </w:rPr>
        <w:t xml:space="preserve"> </w:t>
      </w:r>
      <w:r>
        <w:t>and</w:t>
      </w:r>
      <w:r>
        <w:rPr>
          <w:spacing w:val="27"/>
        </w:rPr>
        <w:t xml:space="preserve"> </w:t>
      </w:r>
      <w:r>
        <w:t>(3)</w:t>
      </w:r>
      <w:r>
        <w:rPr>
          <w:spacing w:val="27"/>
        </w:rPr>
        <w:t xml:space="preserve"> </w:t>
      </w:r>
      <w:r>
        <w:t>in</w:t>
      </w:r>
      <w:r>
        <w:rPr>
          <w:spacing w:val="27"/>
        </w:rPr>
        <w:t xml:space="preserve"> </w:t>
      </w:r>
      <w:r>
        <w:t>the</w:t>
      </w:r>
      <w:r>
        <w:rPr>
          <w:spacing w:val="26"/>
        </w:rPr>
        <w:t xml:space="preserve"> </w:t>
      </w:r>
      <w:r>
        <w:t>course</w:t>
      </w:r>
      <w:r>
        <w:rPr>
          <w:spacing w:val="27"/>
        </w:rPr>
        <w:t xml:space="preserve"> </w:t>
      </w:r>
      <w:r>
        <w:t>of</w:t>
      </w:r>
      <w:r>
        <w:rPr>
          <w:spacing w:val="26"/>
        </w:rPr>
        <w:t xml:space="preserve"> </w:t>
      </w:r>
      <w:r>
        <w:rPr>
          <w:spacing w:val="-1"/>
        </w:rPr>
        <w:t>arriving</w:t>
      </w:r>
      <w:r>
        <w:rPr>
          <w:spacing w:val="28"/>
        </w:rPr>
        <w:t xml:space="preserve"> </w:t>
      </w:r>
      <w:r>
        <w:t>at</w:t>
      </w:r>
      <w:r>
        <w:rPr>
          <w:spacing w:val="26"/>
          <w:w w:val="99"/>
        </w:rPr>
        <w:t xml:space="preserve"> </w:t>
      </w:r>
      <w:r>
        <w:t>calculations</w:t>
      </w:r>
      <w:r>
        <w:rPr>
          <w:spacing w:val="-8"/>
        </w:rPr>
        <w:t xml:space="preserve"> </w:t>
      </w:r>
      <w:r>
        <w:t>that</w:t>
      </w:r>
      <w:r>
        <w:rPr>
          <w:spacing w:val="-7"/>
        </w:rPr>
        <w:t xml:space="preserve"> </w:t>
      </w:r>
      <w:r>
        <w:t>comply</w:t>
      </w:r>
      <w:r>
        <w:rPr>
          <w:spacing w:val="-8"/>
        </w:rPr>
        <w:t xml:space="preserve"> </w:t>
      </w:r>
      <w:r>
        <w:t>with</w:t>
      </w:r>
      <w:r>
        <w:rPr>
          <w:spacing w:val="-7"/>
        </w:rPr>
        <w:t xml:space="preserve"> </w:t>
      </w:r>
      <w:r>
        <w:t>the</w:t>
      </w:r>
      <w:r>
        <w:rPr>
          <w:spacing w:val="-8"/>
        </w:rPr>
        <w:t xml:space="preserve"> </w:t>
      </w:r>
      <w:r>
        <w:rPr>
          <w:spacing w:val="-1"/>
        </w:rPr>
        <w:t>subsections.</w:t>
      </w:r>
    </w:p>
    <w:p w14:paraId="64943B0D" w14:textId="77777777" w:rsidR="00DB6E47" w:rsidRPr="007E1F9A" w:rsidRDefault="00DB6E47" w:rsidP="00DB6E47">
      <w:pPr>
        <w:pStyle w:val="AH5Sec"/>
      </w:pPr>
      <w:bookmarkStart w:id="264" w:name="_Toc83625608"/>
      <w:r w:rsidRPr="005E03F7">
        <w:rPr>
          <w:rStyle w:val="CharSectNo"/>
        </w:rPr>
        <w:t>247</w:t>
      </w:r>
      <w:r w:rsidRPr="007E1F9A">
        <w:tab/>
        <w:t>Time to be counted after rest time ends</w:t>
      </w:r>
      <w:bookmarkEnd w:id="264"/>
    </w:p>
    <w:p w14:paraId="25AA3B1D" w14:textId="77777777" w:rsidR="00DB6E47" w:rsidRPr="009B0C0B" w:rsidRDefault="00DB6E47" w:rsidP="00DB6E47">
      <w:pPr>
        <w:pStyle w:val="Amainreturn"/>
      </w:pPr>
      <w:r w:rsidRPr="009B0C0B">
        <w:t>When counting time in a period, the time must not be counted from within rest time, but instead must be counted forward from—</w:t>
      </w:r>
    </w:p>
    <w:p w14:paraId="0EAA95C3" w14:textId="77777777" w:rsidR="00DB6E47" w:rsidRPr="005441A8" w:rsidRDefault="00DB6E47" w:rsidP="00DB6E47">
      <w:pPr>
        <w:pStyle w:val="Apara"/>
      </w:pPr>
      <w:r w:rsidRPr="005441A8">
        <w:tab/>
        <w:t>(a)</w:t>
      </w:r>
      <w:r w:rsidRPr="005441A8">
        <w:tab/>
        <w:t>if 1 or more major rest breaks are relevant to the period—the end of a relevant major rest break; or</w:t>
      </w:r>
    </w:p>
    <w:p w14:paraId="41402598" w14:textId="77777777" w:rsidR="00DB6E47" w:rsidRPr="005441A8" w:rsidRDefault="00DB6E47" w:rsidP="00DB6E47">
      <w:pPr>
        <w:pStyle w:val="Apara"/>
      </w:pPr>
      <w:r w:rsidRPr="005441A8">
        <w:tab/>
        <w:t>(b)</w:t>
      </w:r>
      <w:r w:rsidRPr="005441A8">
        <w:tab/>
        <w:t>in any other case—the end of a relevant period of rest time.</w:t>
      </w:r>
    </w:p>
    <w:p w14:paraId="54EF0432" w14:textId="77777777" w:rsidR="00DB6E47" w:rsidRPr="00C96203" w:rsidRDefault="00DB6E47" w:rsidP="00DB6E47">
      <w:pPr>
        <w:pStyle w:val="aExamHdgss"/>
      </w:pPr>
      <w:r w:rsidRPr="00C96203">
        <w:rPr>
          <w:rFonts w:cs="Times"/>
          <w:bCs/>
          <w:iCs/>
        </w:rPr>
        <w:t>Example—</w:t>
      </w:r>
    </w:p>
    <w:p w14:paraId="7080D30B" w14:textId="77777777" w:rsidR="00DB6E47" w:rsidRPr="00C96203" w:rsidRDefault="00DB6E47" w:rsidP="00DB6E47">
      <w:pPr>
        <w:pStyle w:val="aExamss"/>
      </w:pPr>
      <w:r w:rsidRPr="00C96203">
        <w:t>An authorised officer intercepts the driver of a fatigue-regulated heavy vehicle on a Friday and inspects the driver’s work diary. The driver operates under standard hours. The officer examines the work diary entries for the previous Monday. The entries show that the driver completed 7 continuous hours of stationary rest time at 6.30a.m. on that day, started work at that time, worked until 11a.m. that day, had 45 minutes of rest time, worked until 5.00p.m. that day, then had stationary rest time until 4.30a.m. on the following day, Tuesday, and then worked until 6.30a.m. on that day.</w:t>
      </w:r>
    </w:p>
    <w:p w14:paraId="192D47E2" w14:textId="77777777" w:rsidR="00DB6E47" w:rsidRPr="00C96203" w:rsidRDefault="00DB6E47" w:rsidP="008F2A46">
      <w:pPr>
        <w:pStyle w:val="aExamss"/>
        <w:keepLines/>
      </w:pPr>
      <w:r w:rsidRPr="00C96203">
        <w:lastRenderedPageBreak/>
        <w:t>In order to determine the total number of hours worked by the driver in a 24 hour period starting on the Monday, then</w:t>
      </w:r>
      <w:r w:rsidR="006415CF">
        <w:t xml:space="preserve"> in accordance with section 247 </w:t>
      </w:r>
      <w:r w:rsidRPr="00C96203">
        <w:t>(a)</w:t>
      </w:r>
      <w:r w:rsidR="006415CF">
        <w:t xml:space="preserve"> </w:t>
      </w:r>
      <w:r w:rsidRPr="00C96203">
        <w:t>the officer must commence counting from the end of the relevant major rest break, which in this case is from 6.30a.m. on the Monday until 6.30a.m. on the Tuesday. Adding up the driver’s work periods - 6.30a.m. to 11a.m., 11.45a.m. to 5.00p.m. and 4.30a.m. to 6.30a.m. - results in a total of 11¾ hours worked in the 24 hour period.</w:t>
      </w:r>
    </w:p>
    <w:p w14:paraId="792B5861" w14:textId="77777777" w:rsidR="00DB6E47" w:rsidRPr="00C96203" w:rsidRDefault="00DB6E47" w:rsidP="00DB6E47">
      <w:pPr>
        <w:pStyle w:val="aExamss"/>
      </w:pPr>
      <w:r w:rsidRPr="00C96203">
        <w:t>The officer might also decide to assess whether the driver has complied with his or her maximum work and minimum rest requirements for the same 24 hour period.</w:t>
      </w:r>
    </w:p>
    <w:p w14:paraId="0EEA72AF" w14:textId="77777777" w:rsidR="00DB6E47" w:rsidRPr="00C96203" w:rsidRDefault="00DB6E47" w:rsidP="00DB6E47">
      <w:pPr>
        <w:pStyle w:val="aExamss"/>
      </w:pPr>
      <w:r w:rsidRPr="00C96203">
        <w:t>For instance, in any period of 5½ hours, a driver must not work for more than 5¼ hours and must have at least 15 minutes continuous rest when operating under standard hours. To assess whether the driver has complied with this requirement, then</w:t>
      </w:r>
      <w:r w:rsidR="006415CF">
        <w:t xml:space="preserve"> in accordance with section 247 </w:t>
      </w:r>
      <w:r w:rsidRPr="00C96203">
        <w:t>(b)</w:t>
      </w:r>
      <w:r w:rsidR="006415CF">
        <w:t xml:space="preserve"> </w:t>
      </w:r>
      <w:r w:rsidRPr="00C96203">
        <w:t>the officer must commence counting only from the end of a period of rest - from either 6.30a.m. or 11.45a.m. on the Monday, or from 4.30a.m. on the Tuesday. If the officer commenced counting at the end of the rest time that finished at 11.45a.m., the officer would see that the driver had worked for 5¼ continuous hours before commencing rest.</w:t>
      </w:r>
    </w:p>
    <w:p w14:paraId="533E5759" w14:textId="77777777" w:rsidR="00DB6E47" w:rsidRPr="00C96203" w:rsidRDefault="00DB6E47" w:rsidP="00DB6E47">
      <w:pPr>
        <w:pStyle w:val="aExamss"/>
      </w:pPr>
      <w:r w:rsidRPr="00C96203">
        <w:t>For the purposes of determining whether on Monday the driver had a minimum of 7 continuous hours stationary rest in a 24 hour period as required under standard hours, the officer must assess the length of the periods of stationary rest time the driver had between the end of the major rest break that finished at 6.30a.m. on the Monday and 6.30a.m. on the Tuesday. The officer sees that between 5.00p.m. on the Monday and 4.30a.m. on the Tuesday the driver had a total of 11½ continuous hours of stationary rest time.</w:t>
      </w:r>
    </w:p>
    <w:p w14:paraId="19A9DEE1" w14:textId="77777777" w:rsidR="00DB6E47" w:rsidRPr="007E1F9A" w:rsidRDefault="00DB6E47" w:rsidP="00DB6E47">
      <w:pPr>
        <w:pStyle w:val="AH5Sec"/>
      </w:pPr>
      <w:bookmarkStart w:id="265" w:name="_Toc83625609"/>
      <w:r w:rsidRPr="005E03F7">
        <w:rPr>
          <w:rStyle w:val="CharSectNo"/>
        </w:rPr>
        <w:t>248</w:t>
      </w:r>
      <w:r w:rsidRPr="007E1F9A">
        <w:tab/>
        <w:t>Time to be counted by reference to time zone of driver’s base</w:t>
      </w:r>
      <w:bookmarkEnd w:id="265"/>
    </w:p>
    <w:p w14:paraId="24D826A5" w14:textId="77777777" w:rsidR="00DB6E47" w:rsidRPr="009B0C0B" w:rsidRDefault="00DB6E47" w:rsidP="008F2A46">
      <w:pPr>
        <w:pStyle w:val="Amainreturn"/>
        <w:keepNext/>
      </w:pPr>
      <w:r w:rsidRPr="009B0C0B">
        <w:t>If the driver of a fatigue-regulated heavy vehicle undertakes a journey and is in a different time zone from the time zone of the driver’s base at the time when a period of time is relevant for the purposes of this Law, the period must be counted by reference to the time zone of the driver’s base.</w:t>
      </w:r>
    </w:p>
    <w:p w14:paraId="134F57AB" w14:textId="77777777" w:rsidR="00DB6E47" w:rsidRPr="00C96203" w:rsidRDefault="00DB6E47" w:rsidP="00DB6E47">
      <w:pPr>
        <w:pStyle w:val="aExamHdgss"/>
      </w:pPr>
      <w:r w:rsidRPr="00C96203">
        <w:rPr>
          <w:rFonts w:cs="Times"/>
          <w:bCs/>
          <w:iCs/>
        </w:rPr>
        <w:t>Example—</w:t>
      </w:r>
    </w:p>
    <w:p w14:paraId="65E2F8C9" w14:textId="77777777" w:rsidR="00DB6E47" w:rsidRPr="00C96203" w:rsidRDefault="00DB6E47" w:rsidP="008F2A46">
      <w:pPr>
        <w:pStyle w:val="aExamss"/>
        <w:keepLines/>
      </w:pPr>
      <w:r w:rsidRPr="00C96203">
        <w:t>If, for the driver of a fatigue-regulated heavy vehicle with a base in Queensland, it is necessary to work out the hours of night work time while the driver is in Western Australia on a journey, the hours of night work time are the hours between midnight and 6a.m. in the Queensland time zone (being the time zone in which the driver’s base is situated), even though the hours equate to 10p.m. and 4a.m. in Western Australia.</w:t>
      </w:r>
    </w:p>
    <w:p w14:paraId="4F6F23AA" w14:textId="77777777" w:rsidR="00DB6E47" w:rsidRPr="005E03F7" w:rsidRDefault="00DB6E47" w:rsidP="00DB6E47">
      <w:pPr>
        <w:pStyle w:val="AH3Div"/>
      </w:pPr>
      <w:bookmarkStart w:id="266" w:name="_Toc83625610"/>
      <w:r w:rsidRPr="005E03F7">
        <w:rPr>
          <w:rStyle w:val="CharDivNo"/>
        </w:rPr>
        <w:lastRenderedPageBreak/>
        <w:t xml:space="preserve">Division 2 </w:t>
      </w:r>
      <w:r w:rsidRPr="00A95F9A">
        <w:rPr>
          <w:rFonts w:ascii="Helvetica" w:hAnsi="Helvetica" w:cs="Helvetica"/>
          <w:iCs/>
          <w:szCs w:val="28"/>
        </w:rPr>
        <w:tab/>
      </w:r>
      <w:r w:rsidRPr="005E03F7">
        <w:rPr>
          <w:rStyle w:val="CharDivText"/>
          <w:rFonts w:ascii="Helvetica" w:hAnsi="Helvetica" w:cs="Helvetica"/>
          <w:iCs/>
          <w:szCs w:val="28"/>
        </w:rPr>
        <w:t>Standard work and rest arrangements</w:t>
      </w:r>
      <w:bookmarkEnd w:id="266"/>
    </w:p>
    <w:p w14:paraId="75B81921" w14:textId="77777777" w:rsidR="00DB6E47" w:rsidRPr="007E1F9A" w:rsidRDefault="00DB6E47" w:rsidP="00DB6E47">
      <w:pPr>
        <w:pStyle w:val="AH5Sec"/>
      </w:pPr>
      <w:bookmarkStart w:id="267" w:name="_Toc83625611"/>
      <w:r w:rsidRPr="005E03F7">
        <w:rPr>
          <w:rStyle w:val="CharSectNo"/>
        </w:rPr>
        <w:t>249</w:t>
      </w:r>
      <w:r w:rsidRPr="007E1F9A">
        <w:tab/>
        <w:t>Standard hours</w:t>
      </w:r>
      <w:bookmarkEnd w:id="267"/>
    </w:p>
    <w:p w14:paraId="32A9082A" w14:textId="77777777" w:rsidR="00DB6E47" w:rsidRPr="009B0C0B" w:rsidRDefault="00DB6E47" w:rsidP="00DB6E47">
      <w:pPr>
        <w:pStyle w:val="Amain"/>
      </w:pPr>
      <w:r w:rsidRPr="009B0C0B">
        <w:tab/>
        <w:t>(1)</w:t>
      </w:r>
      <w:r w:rsidRPr="009B0C0B">
        <w:tab/>
        <w:t xml:space="preserve">The national regulations may prescribe the maximum work times and minimum rest times (the </w:t>
      </w:r>
      <w:r w:rsidRPr="00FF4454">
        <w:rPr>
          <w:rStyle w:val="charBoldItals"/>
        </w:rPr>
        <w:t>standard hours</w:t>
      </w:r>
      <w:r w:rsidRPr="009B0C0B">
        <w:t>) applying to the driver of a fatigue-regulated heavy vehicle for a period if the driver is not operating under a BFM accreditation, AFM accreditation or work and rest hours exemption.</w:t>
      </w:r>
    </w:p>
    <w:p w14:paraId="19AB12CB" w14:textId="77777777" w:rsidR="00DB6E47" w:rsidRPr="009B0C0B" w:rsidRDefault="00DB6E47" w:rsidP="00DB6E47">
      <w:pPr>
        <w:pStyle w:val="Amain"/>
      </w:pPr>
      <w:r w:rsidRPr="009B0C0B">
        <w:tab/>
        <w:t>(2)</w:t>
      </w:r>
      <w:r w:rsidRPr="009B0C0B">
        <w:tab/>
        <w:t>Without limiting subsection (1), the national regulations may prescribe—</w:t>
      </w:r>
    </w:p>
    <w:p w14:paraId="52FCBFED" w14:textId="77777777" w:rsidR="00DB6E47" w:rsidRPr="005441A8" w:rsidRDefault="00DB6E47" w:rsidP="00DB6E47">
      <w:pPr>
        <w:pStyle w:val="Apara"/>
      </w:pPr>
      <w:r w:rsidRPr="005441A8">
        <w:tab/>
        <w:t>(a)</w:t>
      </w:r>
      <w:r w:rsidRPr="005441A8">
        <w:tab/>
        <w:t>different standard hours for solo drivers, solo drivers of fatigue-regulated buses and drivers who are a party to a two-up driving arrangement; and</w:t>
      </w:r>
    </w:p>
    <w:p w14:paraId="455BBA31" w14:textId="77777777" w:rsidR="00DB6E47" w:rsidRDefault="00DB6E47" w:rsidP="00DB6E47">
      <w:pPr>
        <w:pStyle w:val="Apara"/>
      </w:pPr>
      <w:r w:rsidRPr="005441A8">
        <w:tab/>
        <w:t>(b)</w:t>
      </w:r>
      <w:r w:rsidRPr="005441A8">
        <w:tab/>
        <w:t>that a solo driver of a fatigue-regulated bus may operate under either, but not both, the standard hours for solo drivers or the standard hours for solo dri</w:t>
      </w:r>
      <w:r w:rsidR="00035C01">
        <w:t>vers of fatigue-regulated buses; and</w:t>
      </w:r>
    </w:p>
    <w:p w14:paraId="6B02D47F" w14:textId="77777777" w:rsidR="00035C01" w:rsidRDefault="00035C01" w:rsidP="00DB6E47">
      <w:pPr>
        <w:pStyle w:val="Apara"/>
      </w:pPr>
      <w:r>
        <w:tab/>
        <w:t>(c)</w:t>
      </w:r>
      <w:r>
        <w:tab/>
      </w:r>
      <w:r w:rsidRPr="00035C01">
        <w:t>that a minor risk breach of a maximum work requirement prescribed in the regulations is not to be treated as a minor risk breach.</w:t>
      </w:r>
    </w:p>
    <w:p w14:paraId="669EFF26" w14:textId="77777777" w:rsidR="006B42B2" w:rsidRPr="006B42B2" w:rsidRDefault="002203D0" w:rsidP="006B42B2">
      <w:pPr>
        <w:pStyle w:val="Amain"/>
      </w:pPr>
      <w:r>
        <w:tab/>
        <w:t>(3</w:t>
      </w:r>
      <w:r w:rsidR="006B42B2" w:rsidRPr="009B0C0B">
        <w:t>)</w:t>
      </w:r>
      <w:r w:rsidR="006B42B2" w:rsidRPr="009B0C0B">
        <w:tab/>
      </w:r>
      <w:r w:rsidR="006B42B2" w:rsidRPr="006B42B2">
        <w:t>A minor risk breach prescribed for the purposes of subsection (2)(c) is not a contravention of section 250 or 251.</w:t>
      </w:r>
    </w:p>
    <w:p w14:paraId="7CAF4E1C" w14:textId="77777777" w:rsidR="00DB6E47" w:rsidRPr="007E1F9A" w:rsidRDefault="00DB6E47" w:rsidP="00DB6E47">
      <w:pPr>
        <w:pStyle w:val="AH5Sec"/>
      </w:pPr>
      <w:bookmarkStart w:id="268" w:name="_Toc83625612"/>
      <w:r w:rsidRPr="005E03F7">
        <w:rPr>
          <w:rStyle w:val="CharSectNo"/>
        </w:rPr>
        <w:t>250</w:t>
      </w:r>
      <w:r w:rsidRPr="007E1F9A">
        <w:tab/>
        <w:t>Operating under standard hours—solo drivers</w:t>
      </w:r>
      <w:bookmarkEnd w:id="268"/>
    </w:p>
    <w:p w14:paraId="6C548B4B" w14:textId="77777777" w:rsidR="00DB6E47" w:rsidRPr="009B0C0B" w:rsidRDefault="00DB6E47" w:rsidP="00DB6E47">
      <w:pPr>
        <w:pStyle w:val="Amain"/>
      </w:pPr>
      <w:r w:rsidRPr="009B0C0B">
        <w:tab/>
        <w:t>(1)</w:t>
      </w:r>
      <w:r w:rsidRPr="009B0C0B">
        <w:tab/>
        <w:t>The solo driver of a fatigue-regulated heavy vehicle commits an offence if, in any period stated in the standard hours for the driver, the driver—</w:t>
      </w:r>
    </w:p>
    <w:p w14:paraId="0270B7A8" w14:textId="77777777" w:rsidR="00DB6E47" w:rsidRPr="005441A8" w:rsidRDefault="00DB6E47" w:rsidP="00DB6E47">
      <w:pPr>
        <w:pStyle w:val="Apara"/>
      </w:pPr>
      <w:r w:rsidRPr="005441A8">
        <w:tab/>
        <w:t>(a)</w:t>
      </w:r>
      <w:r w:rsidRPr="005441A8">
        <w:tab/>
        <w:t>works for more than the maximum work time stated in the standard hours for the period; or</w:t>
      </w:r>
    </w:p>
    <w:p w14:paraId="394261CD" w14:textId="77777777" w:rsidR="00DB6E47" w:rsidRPr="005441A8" w:rsidRDefault="00DB6E47" w:rsidP="00E8756B">
      <w:pPr>
        <w:pStyle w:val="Apara"/>
        <w:keepNext/>
      </w:pPr>
      <w:r w:rsidRPr="005441A8">
        <w:lastRenderedPageBreak/>
        <w:tab/>
        <w:t>(b)</w:t>
      </w:r>
      <w:r w:rsidRPr="005441A8">
        <w:tab/>
        <w:t>rests for less than the minimum rest time stated in the standard hours for the period.</w:t>
      </w:r>
    </w:p>
    <w:p w14:paraId="42AED10A" w14:textId="77777777" w:rsidR="00DB6E47" w:rsidRPr="006C3305" w:rsidRDefault="00DB6E47" w:rsidP="00DB6E47">
      <w:pPr>
        <w:pStyle w:val="Penalty"/>
      </w:pPr>
      <w:r w:rsidRPr="006C3305">
        <w:t>Maximum penalty—</w:t>
      </w:r>
    </w:p>
    <w:p w14:paraId="479635C3" w14:textId="77777777" w:rsidR="00DB6E47" w:rsidRPr="006C3305" w:rsidRDefault="00DB6E47" w:rsidP="00DB6E47">
      <w:pPr>
        <w:pStyle w:val="PenaltyPara"/>
      </w:pPr>
      <w:r>
        <w:tab/>
        <w:t>(a)</w:t>
      </w:r>
      <w:r w:rsidRPr="006C3305">
        <w:tab/>
        <w:t>for a minor risk breach—$4000; or</w:t>
      </w:r>
    </w:p>
    <w:p w14:paraId="68995E77" w14:textId="77777777" w:rsidR="00DB6E47" w:rsidRPr="006C3305" w:rsidRDefault="00DB6E47" w:rsidP="00DB6E47">
      <w:pPr>
        <w:pStyle w:val="PenaltyPara"/>
      </w:pPr>
      <w:r>
        <w:tab/>
        <w:t>(b)</w:t>
      </w:r>
      <w:r w:rsidRPr="006C3305">
        <w:tab/>
        <w:t>for a substantial risk breach—$6000; or</w:t>
      </w:r>
    </w:p>
    <w:p w14:paraId="5EC9F942" w14:textId="77777777" w:rsidR="00DB6E47" w:rsidRPr="006C3305" w:rsidRDefault="00DB6E47" w:rsidP="00DB6E47">
      <w:pPr>
        <w:pStyle w:val="PenaltyPara"/>
      </w:pPr>
      <w:r>
        <w:tab/>
        <w:t>(c)</w:t>
      </w:r>
      <w:r w:rsidRPr="006C3305">
        <w:tab/>
        <w:t>for a severe risk breach—$10000; or</w:t>
      </w:r>
    </w:p>
    <w:p w14:paraId="056C46C0" w14:textId="77777777" w:rsidR="00DB6E47" w:rsidRPr="006C3305" w:rsidRDefault="00DB6E47" w:rsidP="00DB6E47">
      <w:pPr>
        <w:pStyle w:val="PenaltyPara"/>
      </w:pPr>
      <w:r>
        <w:tab/>
        <w:t>(d)</w:t>
      </w:r>
      <w:r w:rsidRPr="006C3305">
        <w:tab/>
        <w:t>for a critical risk breach—$15000.</w:t>
      </w:r>
    </w:p>
    <w:p w14:paraId="25E2EB33" w14:textId="77777777" w:rsidR="00DB6E47" w:rsidRPr="007E1F9A" w:rsidRDefault="00DB6E47" w:rsidP="00DB6E47">
      <w:pPr>
        <w:pStyle w:val="AH5Sec"/>
      </w:pPr>
      <w:bookmarkStart w:id="269" w:name="_Toc83625613"/>
      <w:r w:rsidRPr="005E03F7">
        <w:rPr>
          <w:rStyle w:val="CharSectNo"/>
        </w:rPr>
        <w:t>251</w:t>
      </w:r>
      <w:r w:rsidRPr="007E1F9A">
        <w:tab/>
        <w:t>Operating under standard hours—two-up drivers</w:t>
      </w:r>
      <w:bookmarkEnd w:id="269"/>
    </w:p>
    <w:p w14:paraId="0D65C6E4" w14:textId="77777777" w:rsidR="00DB6E47" w:rsidRPr="009B0C0B" w:rsidRDefault="00DB6E47" w:rsidP="00DB6E47">
      <w:pPr>
        <w:pStyle w:val="Amain"/>
      </w:pPr>
      <w:r w:rsidRPr="009B0C0B">
        <w:tab/>
        <w:t>(1)</w:t>
      </w:r>
      <w:r w:rsidRPr="009B0C0B">
        <w:tab/>
        <w:t>The driver of a fatigue-regulated heavy vehicle who is a party to a two-up driving arrangement commits an offence if, in any period stated in the standard hours for the driver, the driver—</w:t>
      </w:r>
    </w:p>
    <w:p w14:paraId="148BD79F" w14:textId="77777777" w:rsidR="00DB6E47" w:rsidRPr="005441A8" w:rsidRDefault="00DB6E47" w:rsidP="00DB6E47">
      <w:pPr>
        <w:pStyle w:val="Apara"/>
      </w:pPr>
      <w:r w:rsidRPr="005441A8">
        <w:tab/>
        <w:t>(a)</w:t>
      </w:r>
      <w:r w:rsidRPr="005441A8">
        <w:tab/>
        <w:t>works for more than the maximum work time stated in the standard hours for the period; or</w:t>
      </w:r>
    </w:p>
    <w:p w14:paraId="53DBAA7B" w14:textId="77777777" w:rsidR="00DB6E47" w:rsidRPr="005441A8" w:rsidRDefault="00DB6E47" w:rsidP="00DB6E47">
      <w:pPr>
        <w:pStyle w:val="Apara"/>
      </w:pPr>
      <w:r w:rsidRPr="005441A8">
        <w:tab/>
        <w:t>(b)</w:t>
      </w:r>
      <w:r w:rsidRPr="005441A8">
        <w:tab/>
        <w:t>rests for less than the minimum rest time stated in the standard hours for the period.</w:t>
      </w:r>
    </w:p>
    <w:p w14:paraId="2D28019C" w14:textId="77777777" w:rsidR="00DB6E47" w:rsidRPr="006C3305" w:rsidRDefault="00DB6E47" w:rsidP="00DB6E47">
      <w:pPr>
        <w:pStyle w:val="Penalty"/>
      </w:pPr>
      <w:r w:rsidRPr="006C3305">
        <w:t>Maximum penalty—</w:t>
      </w:r>
    </w:p>
    <w:p w14:paraId="72D277BD" w14:textId="77777777" w:rsidR="00DB6E47" w:rsidRPr="006C3305" w:rsidRDefault="00DB6E47" w:rsidP="00DB6E47">
      <w:pPr>
        <w:pStyle w:val="PenaltyPara"/>
      </w:pPr>
      <w:r>
        <w:tab/>
        <w:t>(a)</w:t>
      </w:r>
      <w:r w:rsidRPr="006C3305">
        <w:tab/>
        <w:t>for a minor risk breach—$4000; or</w:t>
      </w:r>
    </w:p>
    <w:p w14:paraId="0F488519" w14:textId="77777777" w:rsidR="00DB6E47" w:rsidRPr="006C3305" w:rsidRDefault="00DB6E47" w:rsidP="00DB6E47">
      <w:pPr>
        <w:pStyle w:val="PenaltyPara"/>
      </w:pPr>
      <w:r>
        <w:tab/>
        <w:t>(b)</w:t>
      </w:r>
      <w:r w:rsidRPr="006C3305">
        <w:tab/>
        <w:t>for a substantial risk breach—$6000; or</w:t>
      </w:r>
    </w:p>
    <w:p w14:paraId="6C26D83C" w14:textId="77777777" w:rsidR="00DB6E47" w:rsidRPr="006C3305" w:rsidRDefault="00DB6E47" w:rsidP="00DB6E47">
      <w:pPr>
        <w:pStyle w:val="PenaltyPara"/>
      </w:pPr>
      <w:r>
        <w:tab/>
        <w:t>(c)</w:t>
      </w:r>
      <w:r w:rsidRPr="006C3305">
        <w:tab/>
        <w:t>for a severe risk breach—$10000; or</w:t>
      </w:r>
    </w:p>
    <w:p w14:paraId="294272EE" w14:textId="77777777" w:rsidR="00DB6E47" w:rsidRPr="006C3305" w:rsidRDefault="00DB6E47" w:rsidP="00DB6E47">
      <w:pPr>
        <w:pStyle w:val="PenaltyPara"/>
      </w:pPr>
      <w:r>
        <w:tab/>
        <w:t>(d)</w:t>
      </w:r>
      <w:r w:rsidRPr="006C3305">
        <w:tab/>
        <w:t>for a critical risk breach—$15000.</w:t>
      </w:r>
    </w:p>
    <w:p w14:paraId="753FD51F" w14:textId="77777777" w:rsidR="00DB6E47" w:rsidRPr="007E1F9A" w:rsidRDefault="00DB6E47" w:rsidP="00DB6E47">
      <w:pPr>
        <w:pStyle w:val="AH5Sec"/>
      </w:pPr>
      <w:bookmarkStart w:id="270" w:name="_Toc83625614"/>
      <w:r w:rsidRPr="005E03F7">
        <w:rPr>
          <w:rStyle w:val="CharSectNo"/>
        </w:rPr>
        <w:lastRenderedPageBreak/>
        <w:t>252</w:t>
      </w:r>
      <w:r w:rsidRPr="007E1F9A">
        <w:tab/>
        <w:t>Defence relating to short rest breaks for drivers operating under standard hours</w:t>
      </w:r>
      <w:bookmarkEnd w:id="270"/>
    </w:p>
    <w:p w14:paraId="2CDFFD19" w14:textId="77777777" w:rsidR="00DB6E47" w:rsidRPr="009B0C0B" w:rsidRDefault="00DB6E47" w:rsidP="00E8756B">
      <w:pPr>
        <w:pStyle w:val="Amain"/>
        <w:keepNext/>
      </w:pPr>
      <w:r w:rsidRPr="009B0C0B">
        <w:tab/>
        <w:t>(1)</w:t>
      </w:r>
      <w:r w:rsidRPr="009B0C0B">
        <w:tab/>
        <w:t>This section applies if, at a particular time, the driver of a fatigue-regulated heavy vehicle is required, under section 250 or 251, to have a short rest break.</w:t>
      </w:r>
    </w:p>
    <w:p w14:paraId="27FD8538" w14:textId="77777777" w:rsidR="00DB6E47" w:rsidRPr="00C96203" w:rsidRDefault="00DB6E47" w:rsidP="00DB6E47">
      <w:pPr>
        <w:pStyle w:val="aExamHdgss"/>
      </w:pPr>
      <w:r w:rsidRPr="00C96203">
        <w:rPr>
          <w:rFonts w:cs="Times"/>
          <w:bCs/>
          <w:iCs/>
        </w:rPr>
        <w:t>Examples of when this section applies—</w:t>
      </w:r>
    </w:p>
    <w:p w14:paraId="43EC86B7" w14:textId="77777777" w:rsidR="00DB6E47" w:rsidRPr="00C96203" w:rsidRDefault="00DB6E47" w:rsidP="00E8756B">
      <w:pPr>
        <w:pStyle w:val="aExamss"/>
        <w:keepNext/>
      </w:pPr>
      <w:r w:rsidRPr="00C96203">
        <w:t>The driver is required to have 15 continuous minutes rest time because—</w:t>
      </w:r>
    </w:p>
    <w:p w14:paraId="63F8FE5C" w14:textId="77777777" w:rsidR="00DB6E47" w:rsidRPr="00C96203" w:rsidRDefault="00DB6E47" w:rsidP="00E8756B">
      <w:pPr>
        <w:pStyle w:val="aExamINumss"/>
        <w:keepNext/>
      </w:pPr>
      <w:r w:rsidRPr="00C96203">
        <w:t>(a)</w:t>
      </w:r>
      <w:r w:rsidRPr="00C96203">
        <w:tab/>
        <w:t>the driver has worked for 5</w:t>
      </w:r>
      <w:r w:rsidRPr="00C96203">
        <w:rPr>
          <w:vertAlign w:val="superscript"/>
        </w:rPr>
        <w:t>1</w:t>
      </w:r>
      <w:r w:rsidRPr="00C96203">
        <w:t>/</w:t>
      </w:r>
      <w:r w:rsidRPr="00C96203">
        <w:rPr>
          <w:vertAlign w:val="subscript"/>
        </w:rPr>
        <w:t xml:space="preserve">4 </w:t>
      </w:r>
      <w:r w:rsidRPr="00C96203">
        <w:t>hours; or</w:t>
      </w:r>
    </w:p>
    <w:p w14:paraId="6242EE21" w14:textId="77777777" w:rsidR="00DB6E47" w:rsidRPr="00C96203" w:rsidRDefault="00DB6E47" w:rsidP="008F2A46">
      <w:pPr>
        <w:pStyle w:val="aExamINumss"/>
      </w:pPr>
      <w:r w:rsidRPr="00C96203">
        <w:t>(b)</w:t>
      </w:r>
      <w:r w:rsidRPr="00C96203">
        <w:tab/>
        <w:t>the driver has worked for 7</w:t>
      </w:r>
      <w:r w:rsidRPr="00C96203">
        <w:rPr>
          <w:vertAlign w:val="superscript"/>
        </w:rPr>
        <w:t>1</w:t>
      </w:r>
      <w:r w:rsidRPr="00C96203">
        <w:t>/</w:t>
      </w:r>
      <w:r w:rsidRPr="00C96203">
        <w:rPr>
          <w:vertAlign w:val="subscript"/>
        </w:rPr>
        <w:t>2</w:t>
      </w:r>
      <w:r w:rsidRPr="00C96203">
        <w:t xml:space="preserve"> hours and has only had 15 continuous minutes rest time during that period; or</w:t>
      </w:r>
    </w:p>
    <w:p w14:paraId="3CB6589B" w14:textId="77777777" w:rsidR="00DB6E47" w:rsidRPr="00C96203" w:rsidRDefault="00DB6E47" w:rsidP="008F2A46">
      <w:pPr>
        <w:pStyle w:val="aExamINumss"/>
      </w:pPr>
      <w:r w:rsidRPr="00C96203">
        <w:t>(c)</w:t>
      </w:r>
      <w:r w:rsidRPr="00C96203">
        <w:tab/>
        <w:t>the driver has worked for 10 hours and has only had 3 lots of 15 continuous minutes rest time during that period.</w:t>
      </w:r>
    </w:p>
    <w:p w14:paraId="3A720C60" w14:textId="77777777" w:rsidR="00DB6E47" w:rsidRPr="009B0C0B" w:rsidRDefault="00DB6E47" w:rsidP="00DB6E47">
      <w:pPr>
        <w:pStyle w:val="Amain"/>
      </w:pPr>
      <w:r w:rsidRPr="009B0C0B">
        <w:tab/>
        <w:t>(2)</w:t>
      </w:r>
      <w:r w:rsidRPr="009B0C0B">
        <w:tab/>
        <w:t>In a proceeding for an offence against section 250 or 251 relating to the driver failing to have the short rest break, it is a defence for the driver to prove that—</w:t>
      </w:r>
    </w:p>
    <w:p w14:paraId="44517F17" w14:textId="77777777" w:rsidR="00DB6E47" w:rsidRPr="005441A8" w:rsidRDefault="00DB6E47" w:rsidP="00DB6E47">
      <w:pPr>
        <w:pStyle w:val="Apara"/>
      </w:pPr>
      <w:r w:rsidRPr="005441A8">
        <w:tab/>
        <w:t>(a)</w:t>
      </w:r>
      <w:r w:rsidRPr="005441A8">
        <w:tab/>
        <w:t>at the time the driver was required to have the short rest break, there was no suitable rest place for fatigue-regulated heavy vehicles; and</w:t>
      </w:r>
    </w:p>
    <w:p w14:paraId="05856263" w14:textId="77777777" w:rsidR="00DB6E47" w:rsidRPr="005441A8" w:rsidRDefault="00DB6E47" w:rsidP="00DB6E47">
      <w:pPr>
        <w:pStyle w:val="Apara"/>
      </w:pPr>
      <w:r w:rsidRPr="005441A8">
        <w:tab/>
        <w:t>(b)</w:t>
      </w:r>
      <w:r w:rsidRPr="005441A8">
        <w:tab/>
        <w:t>the driver had the short rest break—</w:t>
      </w:r>
    </w:p>
    <w:p w14:paraId="691C18F3" w14:textId="77777777" w:rsidR="00DB6E47" w:rsidRPr="00516F02" w:rsidRDefault="00DB6E47" w:rsidP="00DB6E47">
      <w:pPr>
        <w:pStyle w:val="Asubpara"/>
      </w:pPr>
      <w:r w:rsidRPr="00516F02">
        <w:tab/>
        <w:t>(i)</w:t>
      </w:r>
      <w:r w:rsidRPr="00516F02">
        <w:tab/>
        <w:t>at the next suitable rest place for fatigue-regulated heavy vehicles available after that time on the forward route of the driver’s journey; and</w:t>
      </w:r>
    </w:p>
    <w:p w14:paraId="75F609D3" w14:textId="77777777" w:rsidR="00DB6E47" w:rsidRPr="00516F02" w:rsidRDefault="00DB6E47" w:rsidP="00DB6E47">
      <w:pPr>
        <w:pStyle w:val="Asubpara"/>
      </w:pPr>
      <w:r w:rsidRPr="00516F02">
        <w:tab/>
        <w:t>(ii)</w:t>
      </w:r>
      <w:r w:rsidRPr="00516F02">
        <w:tab/>
        <w:t>no later than 45 minutes after the time the driver was required to have the short rest break.</w:t>
      </w:r>
    </w:p>
    <w:p w14:paraId="7AE3E4E6" w14:textId="77777777" w:rsidR="00DB6E47" w:rsidRPr="00C96203" w:rsidRDefault="00DB6E47" w:rsidP="00DB6E47">
      <w:pPr>
        <w:pStyle w:val="aExamHdgss"/>
      </w:pPr>
      <w:r w:rsidRPr="00C96203">
        <w:rPr>
          <w:rFonts w:cs="Times"/>
          <w:bCs/>
          <w:iCs/>
        </w:rPr>
        <w:t>Example of when the defence applies—</w:t>
      </w:r>
    </w:p>
    <w:p w14:paraId="13D1587F" w14:textId="77777777" w:rsidR="00DB6E47" w:rsidRPr="00C96203" w:rsidRDefault="00DB6E47" w:rsidP="00DB6E47">
      <w:pPr>
        <w:pStyle w:val="aExamss"/>
      </w:pPr>
      <w:r w:rsidRPr="00C96203">
        <w:t>The driver of a fatigue-regulated heavy vehicle fails to have a short rest break after 5</w:t>
      </w:r>
      <w:r w:rsidRPr="00C96203">
        <w:rPr>
          <w:vertAlign w:val="superscript"/>
        </w:rPr>
        <w:t>1</w:t>
      </w:r>
      <w:r w:rsidRPr="00C96203">
        <w:t>/</w:t>
      </w:r>
      <w:r w:rsidRPr="00C96203">
        <w:rPr>
          <w:vertAlign w:val="subscript"/>
        </w:rPr>
        <w:t>4</w:t>
      </w:r>
      <w:r w:rsidRPr="00C96203">
        <w:t xml:space="preserve"> hours of work time because there was no suitable rest place for fatigue-regulated heavy vehicles when the driver was scheduled to have the short rest break. Instead, the driver has a short rest break after 5</w:t>
      </w:r>
      <w:r w:rsidRPr="00C96203">
        <w:rPr>
          <w:vertAlign w:val="superscript"/>
        </w:rPr>
        <w:t>1</w:t>
      </w:r>
      <w:r w:rsidRPr="00C96203">
        <w:t>/</w:t>
      </w:r>
      <w:r w:rsidRPr="00C96203">
        <w:rPr>
          <w:vertAlign w:val="subscript"/>
        </w:rPr>
        <w:t>2</w:t>
      </w:r>
      <w:r w:rsidRPr="00C96203">
        <w:t xml:space="preserve"> hours work at a suitable rest place for fatigue-regulated heavy vehicles down the road.</w:t>
      </w:r>
    </w:p>
    <w:p w14:paraId="613CCD3C" w14:textId="77777777" w:rsidR="00DB6E47" w:rsidRPr="009B0C0B" w:rsidRDefault="00DB6E47" w:rsidP="00115083">
      <w:pPr>
        <w:pStyle w:val="Amain"/>
        <w:keepNext/>
      </w:pPr>
      <w:r w:rsidRPr="009B0C0B">
        <w:lastRenderedPageBreak/>
        <w:tab/>
        <w:t>(3)</w:t>
      </w:r>
      <w:r w:rsidRPr="009B0C0B">
        <w:tab/>
        <w:t>In this section—</w:t>
      </w:r>
    </w:p>
    <w:p w14:paraId="749A737A" w14:textId="77777777" w:rsidR="00DB6E47" w:rsidRPr="00041046" w:rsidRDefault="00DB6E47" w:rsidP="00DB6E47">
      <w:pPr>
        <w:pStyle w:val="aDef"/>
        <w:rPr>
          <w:bCs/>
        </w:rPr>
      </w:pPr>
      <w:r w:rsidRPr="00041046">
        <w:rPr>
          <w:rStyle w:val="charBoldItals"/>
        </w:rPr>
        <w:t>short rest break</w:t>
      </w:r>
      <w:r w:rsidRPr="00041046">
        <w:t xml:space="preserve"> means rest time of less than 1 hour.</w:t>
      </w:r>
    </w:p>
    <w:p w14:paraId="644CF2C0" w14:textId="77777777" w:rsidR="00DB6E47" w:rsidRPr="005E03F7" w:rsidRDefault="00DB6E47" w:rsidP="00DB6E47">
      <w:pPr>
        <w:pStyle w:val="AH3Div"/>
      </w:pPr>
      <w:bookmarkStart w:id="271" w:name="_Toc83625615"/>
      <w:r w:rsidRPr="005E03F7">
        <w:rPr>
          <w:rStyle w:val="CharDivNo"/>
        </w:rPr>
        <w:t xml:space="preserve">Division 3 </w:t>
      </w:r>
      <w:r w:rsidRPr="00A95F9A">
        <w:rPr>
          <w:rFonts w:ascii="Helvetica" w:hAnsi="Helvetica" w:cs="Helvetica"/>
          <w:iCs/>
          <w:szCs w:val="28"/>
        </w:rPr>
        <w:tab/>
      </w:r>
      <w:r w:rsidRPr="005E03F7">
        <w:rPr>
          <w:rStyle w:val="CharDivText"/>
          <w:rFonts w:ascii="Helvetica" w:hAnsi="Helvetica" w:cs="Helvetica"/>
          <w:iCs/>
          <w:szCs w:val="28"/>
        </w:rPr>
        <w:t>BFM work and rest arrangements</w:t>
      </w:r>
      <w:bookmarkEnd w:id="271"/>
    </w:p>
    <w:p w14:paraId="77098B16" w14:textId="77777777" w:rsidR="00DB6E47" w:rsidRPr="007E1F9A" w:rsidRDefault="00DB6E47" w:rsidP="00DB6E47">
      <w:pPr>
        <w:pStyle w:val="AH5Sec"/>
      </w:pPr>
      <w:bookmarkStart w:id="272" w:name="_Toc83625616"/>
      <w:r w:rsidRPr="005E03F7">
        <w:rPr>
          <w:rStyle w:val="CharSectNo"/>
        </w:rPr>
        <w:t>253</w:t>
      </w:r>
      <w:r w:rsidRPr="007E1F9A">
        <w:tab/>
        <w:t>BFM hours</w:t>
      </w:r>
      <w:bookmarkEnd w:id="272"/>
    </w:p>
    <w:p w14:paraId="4429B4F1" w14:textId="77777777" w:rsidR="00DB6E47" w:rsidRPr="009B0C0B" w:rsidRDefault="00DB6E47" w:rsidP="00DB6E47">
      <w:pPr>
        <w:pStyle w:val="Amain"/>
      </w:pPr>
      <w:r w:rsidRPr="009B0C0B">
        <w:tab/>
        <w:t>(1)</w:t>
      </w:r>
      <w:r w:rsidRPr="009B0C0B">
        <w:tab/>
        <w:t xml:space="preserve">The national regulations may prescribe the maximum work times and minimum rest times applying to the driver of a fatigue-regulated heavy vehicle for a period if the driver is operating under a BFM accreditation (the </w:t>
      </w:r>
      <w:r w:rsidRPr="00FF4454">
        <w:rPr>
          <w:rStyle w:val="charBoldItals"/>
        </w:rPr>
        <w:t>BFM hours</w:t>
      </w:r>
      <w:r w:rsidRPr="009B0C0B">
        <w:t>).</w:t>
      </w:r>
    </w:p>
    <w:p w14:paraId="0F0F5566" w14:textId="77777777" w:rsidR="00DB6E47" w:rsidRPr="00EB3595" w:rsidRDefault="00DB6E47" w:rsidP="00DB6E47">
      <w:pPr>
        <w:pStyle w:val="Amain"/>
      </w:pPr>
      <w:r w:rsidRPr="009B0C0B">
        <w:tab/>
        <w:t>(2)</w:t>
      </w:r>
      <w:r w:rsidRPr="009B0C0B">
        <w:tab/>
      </w:r>
      <w:r w:rsidR="00EB3595" w:rsidRPr="00EB3595">
        <w:t>Without limiting subsection (1), the national regulations may prescribe—</w:t>
      </w:r>
    </w:p>
    <w:p w14:paraId="5A4BE758" w14:textId="77777777" w:rsidR="00EB3595" w:rsidRPr="00EB3595" w:rsidRDefault="00EB3595" w:rsidP="00EB3595">
      <w:pPr>
        <w:pStyle w:val="Apara"/>
      </w:pPr>
      <w:r w:rsidRPr="00EB3595">
        <w:tab/>
        <w:t>(a)</w:t>
      </w:r>
      <w:r w:rsidRPr="00EB3595">
        <w:tab/>
        <w:t>different BFM hours for solo drivers and drivers who are a party to a two-up driving arrangement; and</w:t>
      </w:r>
    </w:p>
    <w:p w14:paraId="2CF70B23" w14:textId="77777777" w:rsidR="00EB3595" w:rsidRPr="00EB3595" w:rsidRDefault="00EB3595" w:rsidP="00EB3595">
      <w:pPr>
        <w:pStyle w:val="Apara"/>
      </w:pPr>
      <w:r w:rsidRPr="00EB3595">
        <w:tab/>
        <w:t>(b)</w:t>
      </w:r>
      <w:r w:rsidRPr="00EB3595">
        <w:tab/>
        <w:t>that a minor risk breach of a maximum work requirement prescribed in the regulations is not to be treated as a minor risk breach.</w:t>
      </w:r>
    </w:p>
    <w:p w14:paraId="1C731456" w14:textId="77777777" w:rsidR="00EB3595" w:rsidRPr="00EB3595" w:rsidRDefault="00EB3595" w:rsidP="00EB3595">
      <w:pPr>
        <w:pStyle w:val="Amain"/>
      </w:pPr>
      <w:r>
        <w:tab/>
        <w:t>(3</w:t>
      </w:r>
      <w:r w:rsidRPr="00EB3595">
        <w:t>)</w:t>
      </w:r>
      <w:r w:rsidRPr="00EB3595">
        <w:tab/>
        <w:t>A minor risk breach prescribed for the purposes of subsection (2)(b) is not a contravention of section 254 or 256.</w:t>
      </w:r>
    </w:p>
    <w:p w14:paraId="05DFD9D3" w14:textId="77777777" w:rsidR="00DB6E47" w:rsidRPr="007E1F9A" w:rsidRDefault="00DB6E47" w:rsidP="00DB6E47">
      <w:pPr>
        <w:pStyle w:val="AH5Sec"/>
      </w:pPr>
      <w:bookmarkStart w:id="273" w:name="_Toc83625617"/>
      <w:r w:rsidRPr="005E03F7">
        <w:rPr>
          <w:rStyle w:val="CharSectNo"/>
        </w:rPr>
        <w:lastRenderedPageBreak/>
        <w:t>254</w:t>
      </w:r>
      <w:r w:rsidRPr="007E1F9A">
        <w:tab/>
        <w:t>Operating under BFM hours—solo drivers</w:t>
      </w:r>
      <w:bookmarkEnd w:id="273"/>
    </w:p>
    <w:p w14:paraId="77B41810" w14:textId="77777777" w:rsidR="00DB6E47" w:rsidRPr="009B0C0B" w:rsidRDefault="00DB6E47" w:rsidP="00A45BB5">
      <w:pPr>
        <w:pStyle w:val="Amain"/>
        <w:keepNext/>
      </w:pPr>
      <w:r w:rsidRPr="009B0C0B">
        <w:tab/>
        <w:t>(1)</w:t>
      </w:r>
      <w:r w:rsidRPr="009B0C0B">
        <w:tab/>
        <w:t>The solo driver of a fatigue-regulated heavy vehicle commits an offence if, in any period stated in the BFM hours for the driver, the driver—</w:t>
      </w:r>
    </w:p>
    <w:p w14:paraId="530C28A7" w14:textId="77777777" w:rsidR="00DB6E47" w:rsidRPr="005441A8" w:rsidRDefault="00DB6E47" w:rsidP="00A45BB5">
      <w:pPr>
        <w:pStyle w:val="Apara"/>
        <w:keepNext/>
      </w:pPr>
      <w:r w:rsidRPr="005441A8">
        <w:tab/>
        <w:t>(a)</w:t>
      </w:r>
      <w:r w:rsidRPr="005441A8">
        <w:tab/>
        <w:t>works for more than the maximum work time stated in the BFM hours for the period; or</w:t>
      </w:r>
    </w:p>
    <w:p w14:paraId="14807ED7" w14:textId="77777777" w:rsidR="00DB6E47" w:rsidRPr="005441A8" w:rsidRDefault="00DB6E47" w:rsidP="00A45BB5">
      <w:pPr>
        <w:pStyle w:val="Apara"/>
        <w:keepNext/>
      </w:pPr>
      <w:r w:rsidRPr="005441A8">
        <w:tab/>
        <w:t>(b)</w:t>
      </w:r>
      <w:r w:rsidRPr="005441A8">
        <w:tab/>
        <w:t>rests for less than the minimum rest time stated in the BFM hours for the period.</w:t>
      </w:r>
    </w:p>
    <w:p w14:paraId="208EAE5D" w14:textId="77777777" w:rsidR="00DB6E47" w:rsidRPr="006C3305" w:rsidRDefault="00DB6E47" w:rsidP="00A45BB5">
      <w:pPr>
        <w:pStyle w:val="Penalty"/>
        <w:keepNext/>
      </w:pPr>
      <w:r w:rsidRPr="006C3305">
        <w:t>Maximum penalty—</w:t>
      </w:r>
    </w:p>
    <w:p w14:paraId="1CC3D85D" w14:textId="77777777" w:rsidR="00DB6E47" w:rsidRPr="006C3305" w:rsidRDefault="00DB6E47" w:rsidP="00A45BB5">
      <w:pPr>
        <w:pStyle w:val="PenaltyPara"/>
        <w:keepNext/>
      </w:pPr>
      <w:r>
        <w:tab/>
        <w:t>(a)</w:t>
      </w:r>
      <w:r w:rsidRPr="006C3305">
        <w:tab/>
        <w:t>for a minor risk breach—$4000; or</w:t>
      </w:r>
    </w:p>
    <w:p w14:paraId="20503291" w14:textId="77777777" w:rsidR="00DB6E47" w:rsidRPr="006C3305" w:rsidRDefault="00DB6E47" w:rsidP="00DB6E47">
      <w:pPr>
        <w:pStyle w:val="PenaltyPara"/>
      </w:pPr>
      <w:r>
        <w:tab/>
        <w:t>(b)</w:t>
      </w:r>
      <w:r w:rsidRPr="006C3305">
        <w:tab/>
        <w:t>for a substantial risk breach—$6000; or</w:t>
      </w:r>
    </w:p>
    <w:p w14:paraId="3FB0A2CB" w14:textId="77777777" w:rsidR="00DB6E47" w:rsidRPr="006C3305" w:rsidRDefault="00DB6E47" w:rsidP="00DB6E47">
      <w:pPr>
        <w:pStyle w:val="PenaltyPara"/>
      </w:pPr>
      <w:r>
        <w:tab/>
        <w:t>(c)</w:t>
      </w:r>
      <w:r w:rsidRPr="006C3305">
        <w:tab/>
        <w:t>for a severe risk breach—$10000; or</w:t>
      </w:r>
    </w:p>
    <w:p w14:paraId="76620F79" w14:textId="77777777" w:rsidR="00DB6E47" w:rsidRPr="006C3305" w:rsidRDefault="00DB6E47" w:rsidP="00DB6E47">
      <w:pPr>
        <w:pStyle w:val="PenaltyPara"/>
      </w:pPr>
      <w:r>
        <w:tab/>
        <w:t>(d)</w:t>
      </w:r>
      <w:r w:rsidRPr="006C3305">
        <w:tab/>
        <w:t>for a critical risk breach—$15000.</w:t>
      </w:r>
    </w:p>
    <w:p w14:paraId="2AF88AF9" w14:textId="77777777" w:rsidR="00DB6E47" w:rsidRPr="007E1F9A" w:rsidRDefault="00DB6E47" w:rsidP="00DB6E47">
      <w:pPr>
        <w:pStyle w:val="AH5Sec"/>
      </w:pPr>
      <w:bookmarkStart w:id="274" w:name="_Toc83625618"/>
      <w:r w:rsidRPr="005E03F7">
        <w:rPr>
          <w:rStyle w:val="CharSectNo"/>
        </w:rPr>
        <w:t>255</w:t>
      </w:r>
      <w:r w:rsidRPr="007E1F9A">
        <w:tab/>
        <w:t>Defence for solo drivers operating under BFM hours relating to split rest breaks</w:t>
      </w:r>
      <w:bookmarkEnd w:id="274"/>
    </w:p>
    <w:p w14:paraId="1BF8293B" w14:textId="77777777" w:rsidR="00DB6E47" w:rsidRPr="009B0C0B" w:rsidRDefault="00DB6E47" w:rsidP="00DB6E47">
      <w:pPr>
        <w:pStyle w:val="Amain"/>
      </w:pPr>
      <w:r w:rsidRPr="009B0C0B">
        <w:tab/>
        <w:t>(1)</w:t>
      </w:r>
      <w:r w:rsidRPr="009B0C0B">
        <w:tab/>
        <w:t>This section applies if, at a particular time, the driver of a fatigue-regulated heavy vehicle is required under section 254 to have 7 continuous hours of stationary rest time in a period of 24 hours.</w:t>
      </w:r>
    </w:p>
    <w:p w14:paraId="1A528DCF" w14:textId="77777777" w:rsidR="00DB6E47" w:rsidRPr="009B0C0B" w:rsidRDefault="00DB6E47" w:rsidP="00DB6E47">
      <w:pPr>
        <w:pStyle w:val="Amain"/>
      </w:pPr>
      <w:r w:rsidRPr="009B0C0B">
        <w:tab/>
        <w:t>(2)</w:t>
      </w:r>
      <w:r w:rsidRPr="009B0C0B">
        <w:tab/>
        <w:t>In a proceeding for an offence against section 254 for a solo driver of a fatigue-regulated heavy vehicle relating to the driver failing to have the 7 continuous hours of stationary rest time, it is a defence for the driver to prove that—</w:t>
      </w:r>
    </w:p>
    <w:p w14:paraId="6C16FBB7" w14:textId="77777777" w:rsidR="00DB6E47" w:rsidRPr="005441A8" w:rsidRDefault="00DB6E47" w:rsidP="00DB6E47">
      <w:pPr>
        <w:pStyle w:val="Apara"/>
      </w:pPr>
      <w:r w:rsidRPr="005441A8">
        <w:tab/>
        <w:t>(a)</w:t>
      </w:r>
      <w:r w:rsidRPr="005441A8">
        <w:tab/>
        <w:t>at the time the driver was required to have the 7 continuous hours of stationary rest time, the driver was operating under BFM hours as a solo driver of a fatigue-regulated heavy vehicle; and</w:t>
      </w:r>
    </w:p>
    <w:p w14:paraId="48C37A31" w14:textId="77777777" w:rsidR="00DB6E47" w:rsidRPr="005441A8" w:rsidRDefault="00DB6E47" w:rsidP="00A45BB5">
      <w:pPr>
        <w:pStyle w:val="Apara"/>
        <w:keepLines/>
      </w:pPr>
      <w:r w:rsidRPr="005441A8">
        <w:lastRenderedPageBreak/>
        <w:tab/>
        <w:t>(b)</w:t>
      </w:r>
      <w:r w:rsidRPr="005441A8">
        <w:tab/>
        <w:t>during the period of 24 hours for which the 7 continuous hours of stationary rest time was required to be had, the driver had 6 continuous hours of stationary rest time and 2 continuous hours of stationary rest time (a split rest break); and</w:t>
      </w:r>
    </w:p>
    <w:p w14:paraId="0E33740F" w14:textId="77777777" w:rsidR="00DB6E47" w:rsidRPr="005441A8" w:rsidRDefault="00DB6E47" w:rsidP="00DB6E47">
      <w:pPr>
        <w:pStyle w:val="Apara"/>
      </w:pPr>
      <w:r w:rsidRPr="005441A8">
        <w:tab/>
        <w:t>(c)</w:t>
      </w:r>
      <w:r w:rsidRPr="005441A8">
        <w:tab/>
        <w:t>the driver had not had a split rest break in the previous 24-hour period.</w:t>
      </w:r>
    </w:p>
    <w:p w14:paraId="66F81726" w14:textId="77777777" w:rsidR="00DB6E47" w:rsidRPr="00C96203" w:rsidRDefault="00DB6E47" w:rsidP="00DB6E47">
      <w:pPr>
        <w:pStyle w:val="aExamHdgss"/>
      </w:pPr>
      <w:r w:rsidRPr="00C96203">
        <w:rPr>
          <w:rFonts w:cs="Times"/>
          <w:bCs/>
          <w:iCs/>
        </w:rPr>
        <w:t>Example of when the defence applies—</w:t>
      </w:r>
    </w:p>
    <w:p w14:paraId="569CF361" w14:textId="77777777" w:rsidR="00DB6E47" w:rsidRPr="00C96203" w:rsidRDefault="00DB6E47" w:rsidP="00DB6E47">
      <w:pPr>
        <w:pStyle w:val="aExamss"/>
      </w:pPr>
      <w:r w:rsidRPr="00C96203">
        <w:t xml:space="preserve">The driver of a fatigue-regulated heavy vehicle stops work to have 7 continuous hours of stationary rest time, but can not sleep, so the driver has only 2 continuous hours of stationary rest time and then drives on for a further 2 hours and has a further 6 continuous hours of stationary rest time at another place down the road. In the previous 24-hour period the driver had 7 continuous hours of stationary rest time. </w:t>
      </w:r>
    </w:p>
    <w:p w14:paraId="5E31C3A0" w14:textId="77777777" w:rsidR="00DB6E47" w:rsidRPr="007E1F9A" w:rsidRDefault="00DB6E47" w:rsidP="00DB6E47">
      <w:pPr>
        <w:pStyle w:val="AH5Sec"/>
      </w:pPr>
      <w:bookmarkStart w:id="275" w:name="_Toc83625619"/>
      <w:r w:rsidRPr="005E03F7">
        <w:rPr>
          <w:rStyle w:val="CharSectNo"/>
        </w:rPr>
        <w:t>256</w:t>
      </w:r>
      <w:r w:rsidRPr="007E1F9A">
        <w:tab/>
        <w:t>Operating under BFM hours—two-up drivers</w:t>
      </w:r>
      <w:bookmarkEnd w:id="275"/>
    </w:p>
    <w:p w14:paraId="362AC6D7" w14:textId="77777777" w:rsidR="00DB6E47" w:rsidRPr="009B0C0B" w:rsidRDefault="00DB6E47" w:rsidP="00D80638">
      <w:pPr>
        <w:pStyle w:val="Amain"/>
        <w:keepNext/>
      </w:pPr>
      <w:r w:rsidRPr="009B0C0B">
        <w:tab/>
        <w:t>(1)</w:t>
      </w:r>
      <w:r w:rsidRPr="009B0C0B">
        <w:tab/>
        <w:t>The driver of a fatigue-regulated heavy vehicle who is a party to a two-up driving arrangement commits an offence if, in any period stated in the BFM hours for the driver, the driver—</w:t>
      </w:r>
    </w:p>
    <w:p w14:paraId="221AE74C" w14:textId="77777777" w:rsidR="00DB6E47" w:rsidRPr="005441A8" w:rsidRDefault="00DB6E47" w:rsidP="00DB6E47">
      <w:pPr>
        <w:pStyle w:val="Apara"/>
      </w:pPr>
      <w:r w:rsidRPr="005441A8">
        <w:tab/>
        <w:t>(a)</w:t>
      </w:r>
      <w:r w:rsidRPr="005441A8">
        <w:tab/>
        <w:t>works for more than the maximum work time stated in the BFM hours for the period; or</w:t>
      </w:r>
    </w:p>
    <w:p w14:paraId="7D280321" w14:textId="77777777" w:rsidR="00DB6E47" w:rsidRPr="005441A8" w:rsidRDefault="00DB6E47" w:rsidP="00DB6E47">
      <w:pPr>
        <w:pStyle w:val="Apara"/>
      </w:pPr>
      <w:r w:rsidRPr="005441A8">
        <w:tab/>
        <w:t>(b)</w:t>
      </w:r>
      <w:r w:rsidRPr="005441A8">
        <w:tab/>
        <w:t>rests for less than the minimum rest time stated in the BFM hours for the period.</w:t>
      </w:r>
    </w:p>
    <w:p w14:paraId="030D15DC" w14:textId="77777777" w:rsidR="00DB6E47" w:rsidRPr="006C3305" w:rsidRDefault="00DB6E47" w:rsidP="00DB6E47">
      <w:pPr>
        <w:pStyle w:val="Penalty"/>
      </w:pPr>
      <w:r w:rsidRPr="006C3305">
        <w:t>Maximum penalty—</w:t>
      </w:r>
    </w:p>
    <w:p w14:paraId="280C389E" w14:textId="77777777" w:rsidR="00DB6E47" w:rsidRPr="006C3305" w:rsidRDefault="00DB6E47" w:rsidP="00DB6E47">
      <w:pPr>
        <w:pStyle w:val="PenaltyPara"/>
      </w:pPr>
      <w:r>
        <w:tab/>
        <w:t>(a)</w:t>
      </w:r>
      <w:r w:rsidRPr="006C3305">
        <w:tab/>
        <w:t>for a minor risk breach—$4000; or</w:t>
      </w:r>
    </w:p>
    <w:p w14:paraId="77E4D8DE" w14:textId="77777777" w:rsidR="00DB6E47" w:rsidRPr="006C3305" w:rsidRDefault="00DB6E47" w:rsidP="00DB6E47">
      <w:pPr>
        <w:pStyle w:val="PenaltyPara"/>
      </w:pPr>
      <w:r>
        <w:tab/>
        <w:t>(b)</w:t>
      </w:r>
      <w:r w:rsidRPr="006C3305">
        <w:tab/>
        <w:t>for a substantial risk breach—$6000; or</w:t>
      </w:r>
    </w:p>
    <w:p w14:paraId="2160BAD4" w14:textId="77777777" w:rsidR="00DB6E47" w:rsidRPr="006C3305" w:rsidRDefault="00DB6E47" w:rsidP="00DB6E47">
      <w:pPr>
        <w:pStyle w:val="PenaltyPara"/>
      </w:pPr>
      <w:r>
        <w:tab/>
        <w:t>(c)</w:t>
      </w:r>
      <w:r w:rsidRPr="006C3305">
        <w:tab/>
        <w:t>for a severe risk breach—$10000; or</w:t>
      </w:r>
    </w:p>
    <w:p w14:paraId="16EC2C5D" w14:textId="77777777" w:rsidR="00DB6E47" w:rsidRPr="006C3305" w:rsidRDefault="00DB6E47" w:rsidP="00DB6E47">
      <w:pPr>
        <w:pStyle w:val="PenaltyPara"/>
      </w:pPr>
      <w:r>
        <w:tab/>
        <w:t>(d)</w:t>
      </w:r>
      <w:r w:rsidRPr="006C3305">
        <w:tab/>
        <w:t>for a critical risk breach—$15000.</w:t>
      </w:r>
    </w:p>
    <w:p w14:paraId="7D6E9AFD" w14:textId="77777777" w:rsidR="00DB6E47" w:rsidRPr="005E03F7" w:rsidRDefault="00DB6E47" w:rsidP="00DB6E47">
      <w:pPr>
        <w:pStyle w:val="AH3Div"/>
      </w:pPr>
      <w:bookmarkStart w:id="276" w:name="_Toc83625620"/>
      <w:r w:rsidRPr="005E03F7">
        <w:rPr>
          <w:rStyle w:val="CharDivNo"/>
        </w:rPr>
        <w:lastRenderedPageBreak/>
        <w:t xml:space="preserve">Division 4 </w:t>
      </w:r>
      <w:r w:rsidRPr="00A95F9A">
        <w:rPr>
          <w:rFonts w:ascii="Helvetica" w:hAnsi="Helvetica" w:cs="Helvetica"/>
          <w:iCs/>
          <w:szCs w:val="28"/>
        </w:rPr>
        <w:tab/>
      </w:r>
      <w:r w:rsidRPr="005E03F7">
        <w:rPr>
          <w:rStyle w:val="CharDivText"/>
          <w:rFonts w:ascii="Helvetica" w:hAnsi="Helvetica" w:cs="Helvetica"/>
          <w:iCs/>
          <w:szCs w:val="28"/>
        </w:rPr>
        <w:t>AFM work and rest arrangements</w:t>
      </w:r>
      <w:bookmarkEnd w:id="276"/>
    </w:p>
    <w:p w14:paraId="173CC663" w14:textId="77777777" w:rsidR="00DB6E47" w:rsidRPr="007E1F9A" w:rsidRDefault="00DB6E47" w:rsidP="00DB6E47">
      <w:pPr>
        <w:pStyle w:val="AH5Sec"/>
      </w:pPr>
      <w:bookmarkStart w:id="277" w:name="_Toc83625621"/>
      <w:r w:rsidRPr="005E03F7">
        <w:rPr>
          <w:rStyle w:val="CharSectNo"/>
        </w:rPr>
        <w:t>257</w:t>
      </w:r>
      <w:r w:rsidRPr="007E1F9A">
        <w:tab/>
        <w:t>AFM hours</w:t>
      </w:r>
      <w:bookmarkEnd w:id="277"/>
    </w:p>
    <w:p w14:paraId="11937BCA" w14:textId="77777777" w:rsidR="00DB6E47" w:rsidRPr="006958E0" w:rsidRDefault="00DB6E47" w:rsidP="006958E0">
      <w:pPr>
        <w:pStyle w:val="Amainreturn"/>
      </w:pPr>
      <w:r w:rsidRPr="006958E0">
        <w:rPr>
          <w:rStyle w:val="charBoldItals"/>
        </w:rPr>
        <w:t>AFM hours</w:t>
      </w:r>
      <w:r w:rsidRPr="006958E0">
        <w:t xml:space="preserve"> are the maximum work times and minimum rest times applying, for a period, to the driver of a fatigue-regulated heavy vehicle operating under an AFM accreditation, and stated in the accreditation certificate for the accreditation.</w:t>
      </w:r>
    </w:p>
    <w:p w14:paraId="6200B438" w14:textId="77777777" w:rsidR="00DB6E47" w:rsidRPr="007E1F9A" w:rsidRDefault="00DB6E47" w:rsidP="00DB6E47">
      <w:pPr>
        <w:pStyle w:val="AH5Sec"/>
      </w:pPr>
      <w:bookmarkStart w:id="278" w:name="_Toc83625622"/>
      <w:r w:rsidRPr="005E03F7">
        <w:rPr>
          <w:rStyle w:val="CharSectNo"/>
        </w:rPr>
        <w:t>258</w:t>
      </w:r>
      <w:r w:rsidRPr="007E1F9A">
        <w:tab/>
        <w:t>Operating under AFM hours</w:t>
      </w:r>
      <w:bookmarkEnd w:id="278"/>
    </w:p>
    <w:p w14:paraId="500EBF41" w14:textId="77777777" w:rsidR="00DB6E47" w:rsidRPr="00283AFC" w:rsidRDefault="00DB6E47" w:rsidP="00DB6E47">
      <w:pPr>
        <w:pStyle w:val="Amain"/>
      </w:pPr>
      <w:r w:rsidRPr="00283AFC">
        <w:tab/>
        <w:t>(1)</w:t>
      </w:r>
      <w:r w:rsidRPr="00283AFC">
        <w:tab/>
        <w:t>The driver of a fatigue-regulated heavy vehicle commits an offence if, in any period stated in the AFM hours for the driver, the driver—</w:t>
      </w:r>
    </w:p>
    <w:p w14:paraId="60CC0491" w14:textId="77777777" w:rsidR="00DB6E47" w:rsidRPr="00297A38" w:rsidRDefault="00DB6E47" w:rsidP="00DB6E47">
      <w:pPr>
        <w:pStyle w:val="Apara"/>
      </w:pPr>
      <w:r w:rsidRPr="00297A38">
        <w:tab/>
        <w:t>(a)</w:t>
      </w:r>
      <w:r w:rsidRPr="00297A38">
        <w:tab/>
        <w:t>works for more than the maximum work time stated in the AFM hours; or</w:t>
      </w:r>
    </w:p>
    <w:p w14:paraId="0DD8145B" w14:textId="77777777" w:rsidR="00DB6E47" w:rsidRPr="00297A38" w:rsidRDefault="00DB6E47" w:rsidP="00DB6E47">
      <w:pPr>
        <w:pStyle w:val="Apara"/>
      </w:pPr>
      <w:r w:rsidRPr="00297A38">
        <w:tab/>
        <w:t>(b)</w:t>
      </w:r>
      <w:r w:rsidRPr="00297A38">
        <w:tab/>
        <w:t>rests for less than the minimum rest time stated in the AFM hours.</w:t>
      </w:r>
    </w:p>
    <w:p w14:paraId="3591AD31" w14:textId="77777777" w:rsidR="00DB6E47" w:rsidRPr="006C3305" w:rsidRDefault="00DB6E47" w:rsidP="00DB6E47">
      <w:pPr>
        <w:pStyle w:val="Penalty"/>
      </w:pPr>
      <w:r w:rsidRPr="006C3305">
        <w:t>Maximum penalty—</w:t>
      </w:r>
    </w:p>
    <w:p w14:paraId="30AE0B3E" w14:textId="77777777" w:rsidR="00DB6E47" w:rsidRPr="006C3305" w:rsidRDefault="00DB6E47" w:rsidP="00DB6E47">
      <w:pPr>
        <w:pStyle w:val="PenaltyPara"/>
      </w:pPr>
      <w:r>
        <w:tab/>
        <w:t>(a)</w:t>
      </w:r>
      <w:r w:rsidRPr="006C3305">
        <w:tab/>
        <w:t>for a minor risk breach—$4000; or</w:t>
      </w:r>
    </w:p>
    <w:p w14:paraId="1FF20638" w14:textId="77777777" w:rsidR="00DB6E47" w:rsidRPr="006C3305" w:rsidRDefault="00DB6E47" w:rsidP="00DB6E47">
      <w:pPr>
        <w:pStyle w:val="PenaltyPara"/>
      </w:pPr>
      <w:r>
        <w:tab/>
        <w:t>(b)</w:t>
      </w:r>
      <w:r w:rsidRPr="006C3305">
        <w:tab/>
        <w:t>for a substantial risk breach—$6000; or</w:t>
      </w:r>
    </w:p>
    <w:p w14:paraId="22E54AC4" w14:textId="77777777" w:rsidR="00DB6E47" w:rsidRPr="006C3305" w:rsidRDefault="00DB6E47" w:rsidP="00DB6E47">
      <w:pPr>
        <w:pStyle w:val="PenaltyPara"/>
      </w:pPr>
      <w:r>
        <w:tab/>
        <w:t>(c)</w:t>
      </w:r>
      <w:r w:rsidRPr="006C3305">
        <w:tab/>
        <w:t>for a severe risk breach—$10000; or</w:t>
      </w:r>
    </w:p>
    <w:p w14:paraId="5172126D" w14:textId="77777777" w:rsidR="00DB6E47" w:rsidRPr="006C3305" w:rsidRDefault="00DB6E47" w:rsidP="00DB6E47">
      <w:pPr>
        <w:pStyle w:val="PenaltyPara"/>
      </w:pPr>
      <w:r>
        <w:tab/>
        <w:t>(d)</w:t>
      </w:r>
      <w:r w:rsidRPr="006C3305">
        <w:tab/>
        <w:t>for a critical risk breach—$15000.</w:t>
      </w:r>
    </w:p>
    <w:p w14:paraId="2039B58B" w14:textId="77777777" w:rsidR="00DB6E47" w:rsidRPr="005E03F7" w:rsidRDefault="00DB6E47" w:rsidP="00DB6E47">
      <w:pPr>
        <w:pStyle w:val="AH3Div"/>
      </w:pPr>
      <w:bookmarkStart w:id="279" w:name="_Toc83625623"/>
      <w:r w:rsidRPr="005E03F7">
        <w:rPr>
          <w:rStyle w:val="CharDivNo"/>
        </w:rPr>
        <w:lastRenderedPageBreak/>
        <w:t xml:space="preserve">Division 5 </w:t>
      </w:r>
      <w:r w:rsidRPr="00A95F9A">
        <w:rPr>
          <w:rFonts w:ascii="Helvetica" w:hAnsi="Helvetica" w:cs="Helvetica"/>
          <w:iCs/>
          <w:szCs w:val="28"/>
        </w:rPr>
        <w:tab/>
      </w:r>
      <w:r w:rsidRPr="005E03F7">
        <w:rPr>
          <w:rStyle w:val="CharDivText"/>
          <w:rFonts w:ascii="Helvetica" w:hAnsi="Helvetica" w:cs="Helvetica"/>
          <w:iCs/>
          <w:szCs w:val="28"/>
        </w:rPr>
        <w:t>Arrangements under work and rest hours exemption</w:t>
      </w:r>
      <w:bookmarkEnd w:id="279"/>
    </w:p>
    <w:p w14:paraId="60F65615" w14:textId="77777777" w:rsidR="00DB6E47" w:rsidRPr="007E1F9A" w:rsidRDefault="00DB6E47" w:rsidP="00DB6E47">
      <w:pPr>
        <w:pStyle w:val="AH5Sec"/>
      </w:pPr>
      <w:bookmarkStart w:id="280" w:name="_Toc83625624"/>
      <w:r w:rsidRPr="005E03F7">
        <w:rPr>
          <w:rStyle w:val="CharSectNo"/>
        </w:rPr>
        <w:t>259</w:t>
      </w:r>
      <w:r w:rsidRPr="007E1F9A">
        <w:tab/>
        <w:t>Exemption hours</w:t>
      </w:r>
      <w:bookmarkEnd w:id="280"/>
    </w:p>
    <w:p w14:paraId="6551537F" w14:textId="77777777" w:rsidR="00DB6E47" w:rsidRPr="006958E0" w:rsidRDefault="00DB6E47" w:rsidP="00A45BB5">
      <w:pPr>
        <w:pStyle w:val="Amain"/>
        <w:keepNext/>
        <w:keepLines/>
      </w:pPr>
      <w:r w:rsidRPr="006958E0">
        <w:tab/>
        <w:t>(1)</w:t>
      </w:r>
      <w:r w:rsidRPr="006958E0">
        <w:tab/>
      </w:r>
      <w:r w:rsidRPr="006958E0">
        <w:rPr>
          <w:rStyle w:val="charBoldItals"/>
        </w:rPr>
        <w:t>Exemption hours</w:t>
      </w:r>
      <w:r w:rsidRPr="006958E0">
        <w:t xml:space="preserve"> are the maximum work times and minimum rest times applying, for a period, to the driver of a fatigue-regulated heavy vehicle operating under a work and rest hours exemption, and stated in the relevant document for the exemption.</w:t>
      </w:r>
    </w:p>
    <w:p w14:paraId="7BFD103E" w14:textId="77777777" w:rsidR="00DB6E47" w:rsidRPr="00283AFC" w:rsidRDefault="00DB6E47" w:rsidP="0067431A">
      <w:pPr>
        <w:pStyle w:val="Amain"/>
        <w:keepNext/>
      </w:pPr>
      <w:r w:rsidRPr="00283AFC">
        <w:tab/>
        <w:t>(2)</w:t>
      </w:r>
      <w:r w:rsidRPr="00283AFC">
        <w:tab/>
        <w:t>In this section—</w:t>
      </w:r>
    </w:p>
    <w:p w14:paraId="366503F3" w14:textId="77777777" w:rsidR="00DB6E47" w:rsidRPr="00041046" w:rsidRDefault="00DB6E47" w:rsidP="00DB6E47">
      <w:pPr>
        <w:pStyle w:val="aDef"/>
        <w:rPr>
          <w:bCs/>
        </w:rPr>
      </w:pPr>
      <w:r w:rsidRPr="00041046">
        <w:rPr>
          <w:rStyle w:val="charBoldItals"/>
        </w:rPr>
        <w:t>relevant document</w:t>
      </w:r>
      <w:r w:rsidRPr="00041046">
        <w:t xml:space="preserve"> means—</w:t>
      </w:r>
    </w:p>
    <w:p w14:paraId="5C554AA1" w14:textId="77777777" w:rsidR="00DB6E47" w:rsidRPr="006958E0" w:rsidRDefault="00DB6E47" w:rsidP="00DB6E47">
      <w:pPr>
        <w:pStyle w:val="aDefpara"/>
      </w:pPr>
      <w:r w:rsidRPr="00FF4454">
        <w:tab/>
      </w:r>
      <w:r w:rsidRPr="00F04D8E">
        <w:rPr>
          <w:rFonts w:cs="Times"/>
          <w:bCs/>
          <w:iCs/>
        </w:rPr>
        <w:t>(a)</w:t>
      </w:r>
      <w:r w:rsidRPr="00FF4454">
        <w:rPr>
          <w:rStyle w:val="charBoldItals"/>
        </w:rPr>
        <w:tab/>
      </w:r>
      <w:r w:rsidRPr="006958E0">
        <w:t>for a work and rest hours exemption (notice)—the Commonwealth Gazette notice for the exemption; or</w:t>
      </w:r>
    </w:p>
    <w:p w14:paraId="4F1CFC05" w14:textId="77777777" w:rsidR="00DB6E47" w:rsidRPr="006958E0" w:rsidRDefault="00DB6E47" w:rsidP="00DB6E47">
      <w:pPr>
        <w:pStyle w:val="aDefpara"/>
      </w:pPr>
      <w:r w:rsidRPr="006958E0">
        <w:tab/>
        <w:t>(b)</w:t>
      </w:r>
      <w:r w:rsidRPr="006958E0">
        <w:tab/>
        <w:t>for a work and rest hours exemption (permit)—the permit for the exemption.</w:t>
      </w:r>
    </w:p>
    <w:p w14:paraId="25FD3D7C" w14:textId="77777777" w:rsidR="00DB6E47" w:rsidRPr="007E1F9A" w:rsidRDefault="00DB6E47" w:rsidP="00DB6E47">
      <w:pPr>
        <w:pStyle w:val="AH5Sec"/>
      </w:pPr>
      <w:bookmarkStart w:id="281" w:name="_Toc83625625"/>
      <w:r w:rsidRPr="005E03F7">
        <w:rPr>
          <w:rStyle w:val="CharSectNo"/>
        </w:rPr>
        <w:t>260</w:t>
      </w:r>
      <w:r w:rsidRPr="007E1F9A">
        <w:tab/>
        <w:t>Operating under exemption hours</w:t>
      </w:r>
      <w:bookmarkEnd w:id="281"/>
    </w:p>
    <w:p w14:paraId="7F2C8693" w14:textId="77777777" w:rsidR="00DB6E47" w:rsidRPr="00283AFC" w:rsidRDefault="00DB6E47" w:rsidP="00DB6E47">
      <w:pPr>
        <w:pStyle w:val="Amain"/>
      </w:pPr>
      <w:r w:rsidRPr="00283AFC">
        <w:tab/>
        <w:t>(1)</w:t>
      </w:r>
      <w:r w:rsidRPr="00283AFC">
        <w:tab/>
        <w:t>The driver of a fatigue-regulated heavy vehicle operating under a work and rest hours exemption commits an offence if, in any period stated in the exemption hours for the exemption, the driver—</w:t>
      </w:r>
    </w:p>
    <w:p w14:paraId="6A33AF02" w14:textId="77777777" w:rsidR="00DB6E47" w:rsidRPr="00297A38" w:rsidRDefault="00DB6E47" w:rsidP="00DB6E47">
      <w:pPr>
        <w:pStyle w:val="Apara"/>
      </w:pPr>
      <w:r w:rsidRPr="00297A38">
        <w:tab/>
        <w:t>(a)</w:t>
      </w:r>
      <w:r w:rsidRPr="00297A38">
        <w:tab/>
        <w:t>works for more than the maximum work time stated in the exemption hours; or</w:t>
      </w:r>
    </w:p>
    <w:p w14:paraId="5BCDD86F" w14:textId="77777777" w:rsidR="00DB6E47" w:rsidRPr="00297A38" w:rsidRDefault="00DB6E47" w:rsidP="00DB6E47">
      <w:pPr>
        <w:pStyle w:val="Apara"/>
      </w:pPr>
      <w:r w:rsidRPr="00297A38">
        <w:tab/>
        <w:t>(b)</w:t>
      </w:r>
      <w:r w:rsidRPr="00297A38">
        <w:tab/>
        <w:t>rests for less than the minimum rest time stated in the exemption hours.</w:t>
      </w:r>
    </w:p>
    <w:p w14:paraId="02F50C12" w14:textId="77777777" w:rsidR="00DB6E47" w:rsidRPr="006C3305" w:rsidRDefault="00DB6E47" w:rsidP="00DB6E47">
      <w:pPr>
        <w:pStyle w:val="Penalty"/>
      </w:pPr>
      <w:r w:rsidRPr="006C3305">
        <w:t>Maximum penalty—</w:t>
      </w:r>
    </w:p>
    <w:p w14:paraId="0DDCB7AE" w14:textId="77777777" w:rsidR="00DB6E47" w:rsidRPr="006C3305" w:rsidRDefault="00DB6E47" w:rsidP="00DB6E47">
      <w:pPr>
        <w:pStyle w:val="PenaltyPara"/>
      </w:pPr>
      <w:r>
        <w:tab/>
        <w:t>(a)</w:t>
      </w:r>
      <w:r w:rsidRPr="006C3305">
        <w:tab/>
        <w:t>for a minor risk breach—$4000; or</w:t>
      </w:r>
    </w:p>
    <w:p w14:paraId="677F36F9" w14:textId="77777777" w:rsidR="00DB6E47" w:rsidRPr="006C3305" w:rsidRDefault="00DB6E47" w:rsidP="00DB6E47">
      <w:pPr>
        <w:pStyle w:val="PenaltyPara"/>
      </w:pPr>
      <w:r>
        <w:tab/>
        <w:t>(b)</w:t>
      </w:r>
      <w:r w:rsidRPr="006C3305">
        <w:tab/>
        <w:t>for a substantial risk breach—$6000; or</w:t>
      </w:r>
    </w:p>
    <w:p w14:paraId="166CD81C" w14:textId="77777777" w:rsidR="00DB6E47" w:rsidRPr="006C3305" w:rsidRDefault="00DB6E47" w:rsidP="00DB6E47">
      <w:pPr>
        <w:pStyle w:val="PenaltyPara"/>
      </w:pPr>
      <w:r>
        <w:tab/>
        <w:t>(c)</w:t>
      </w:r>
      <w:r w:rsidRPr="006C3305">
        <w:tab/>
        <w:t>for a severe risk breach—$10000; or</w:t>
      </w:r>
    </w:p>
    <w:p w14:paraId="68AB61FE" w14:textId="77777777" w:rsidR="00DB6E47" w:rsidRPr="006C3305" w:rsidRDefault="00DB6E47" w:rsidP="00DB6E47">
      <w:pPr>
        <w:pStyle w:val="PenaltyPara"/>
      </w:pPr>
      <w:r>
        <w:tab/>
        <w:t>(d)</w:t>
      </w:r>
      <w:r w:rsidRPr="006C3305">
        <w:tab/>
        <w:t>for a critical risk breach—$15000.</w:t>
      </w:r>
    </w:p>
    <w:p w14:paraId="11DB337B" w14:textId="77777777" w:rsidR="00DB6E47" w:rsidRPr="005E03F7" w:rsidRDefault="00DB6E47" w:rsidP="00DB6E47">
      <w:pPr>
        <w:pStyle w:val="AH3Div"/>
      </w:pPr>
      <w:bookmarkStart w:id="282" w:name="_Toc83625626"/>
      <w:r w:rsidRPr="005E03F7">
        <w:rPr>
          <w:rStyle w:val="CharDivNo"/>
        </w:rPr>
        <w:lastRenderedPageBreak/>
        <w:t xml:space="preserve">Division 7 </w:t>
      </w:r>
      <w:r w:rsidRPr="00A95F9A">
        <w:rPr>
          <w:rFonts w:ascii="Helvetica" w:hAnsi="Helvetica" w:cs="Helvetica"/>
          <w:iCs/>
          <w:szCs w:val="28"/>
        </w:rPr>
        <w:tab/>
      </w:r>
      <w:r w:rsidRPr="005E03F7">
        <w:rPr>
          <w:rStyle w:val="CharDivText"/>
          <w:rFonts w:ascii="Helvetica" w:hAnsi="Helvetica" w:cs="Helvetica"/>
          <w:iCs/>
          <w:szCs w:val="28"/>
        </w:rPr>
        <w:t>Changing work and rest hours option</w:t>
      </w:r>
      <w:bookmarkEnd w:id="282"/>
    </w:p>
    <w:p w14:paraId="21529FDF" w14:textId="77777777" w:rsidR="00DB6E47" w:rsidRPr="007E1F9A" w:rsidRDefault="00DB6E47" w:rsidP="00DB6E47">
      <w:pPr>
        <w:pStyle w:val="AH5Sec"/>
      </w:pPr>
      <w:bookmarkStart w:id="283" w:name="_Toc83625627"/>
      <w:r w:rsidRPr="005E03F7">
        <w:rPr>
          <w:rStyle w:val="CharSectNo"/>
        </w:rPr>
        <w:t>262</w:t>
      </w:r>
      <w:r w:rsidRPr="007E1F9A">
        <w:tab/>
        <w:t>Changing work and rest hours option</w:t>
      </w:r>
      <w:bookmarkEnd w:id="283"/>
    </w:p>
    <w:p w14:paraId="79CBEB99" w14:textId="77777777" w:rsidR="00DB6E47" w:rsidRPr="00283AFC" w:rsidRDefault="00DB6E47" w:rsidP="00DB6E47">
      <w:pPr>
        <w:pStyle w:val="Amain"/>
      </w:pPr>
      <w:r w:rsidRPr="00283AFC">
        <w:tab/>
        <w:t>(1)</w:t>
      </w:r>
      <w:r w:rsidRPr="00283AFC">
        <w:tab/>
        <w:t>The driver of a fatigue-regulated heavy vehicle may operate under only 1 work and rest hours option at any 1 time.</w:t>
      </w:r>
    </w:p>
    <w:p w14:paraId="1F1A58A0" w14:textId="77777777" w:rsidR="00DB6E47" w:rsidRPr="00283AFC" w:rsidRDefault="00DB6E47" w:rsidP="00DB6E47">
      <w:pPr>
        <w:pStyle w:val="Amain"/>
      </w:pPr>
      <w:r w:rsidRPr="00283AFC">
        <w:tab/>
        <w:t>(2)</w:t>
      </w:r>
      <w:r w:rsidRPr="00283AFC">
        <w:tab/>
        <w:t>However, the driver of a fatigue-regulated heavy vehicle may change from 1 work and rest hours option to a different work and rest hours option.</w:t>
      </w:r>
    </w:p>
    <w:p w14:paraId="50C6B855" w14:textId="77777777" w:rsidR="00DB6E47" w:rsidRPr="007E1F9A" w:rsidRDefault="00DB6E47" w:rsidP="00DB6E47">
      <w:pPr>
        <w:pStyle w:val="AH5Sec"/>
      </w:pPr>
      <w:bookmarkStart w:id="284" w:name="_Toc83625628"/>
      <w:r w:rsidRPr="005E03F7">
        <w:rPr>
          <w:rStyle w:val="CharSectNo"/>
        </w:rPr>
        <w:t>263</w:t>
      </w:r>
      <w:r w:rsidRPr="007E1F9A">
        <w:tab/>
        <w:t>Operating under new work and rest hours option after change</w:t>
      </w:r>
      <w:bookmarkEnd w:id="284"/>
    </w:p>
    <w:p w14:paraId="729A7648" w14:textId="77777777" w:rsidR="00DB6E47" w:rsidRPr="00283AFC" w:rsidRDefault="00DB6E47" w:rsidP="00DB6E47">
      <w:pPr>
        <w:pStyle w:val="Amain"/>
      </w:pPr>
      <w:r w:rsidRPr="00283AFC">
        <w:tab/>
        <w:t>(1)</w:t>
      </w:r>
      <w:r w:rsidRPr="00283AFC">
        <w:tab/>
        <w:t>The driver of a fatigue-regulated heavy vehicle must not drive the vehicle after changing from 1 work and rest hours option to a different work and rest hours option unless—</w:t>
      </w:r>
    </w:p>
    <w:p w14:paraId="2AB8AD75" w14:textId="77777777" w:rsidR="00DB6E47" w:rsidRPr="00297A38" w:rsidRDefault="00DB6E47" w:rsidP="00DB6E47">
      <w:pPr>
        <w:pStyle w:val="Apara"/>
      </w:pPr>
      <w:r w:rsidRPr="00297A38">
        <w:tab/>
        <w:t>(a)</w:t>
      </w:r>
      <w:r w:rsidRPr="00297A38">
        <w:tab/>
        <w:t>if the change is from standard hours or BFM hours, either the driver—</w:t>
      </w:r>
    </w:p>
    <w:p w14:paraId="09E31A61" w14:textId="77777777" w:rsidR="00DB6E47" w:rsidRPr="00516F02" w:rsidRDefault="00DB6E47" w:rsidP="00DB6E47">
      <w:pPr>
        <w:pStyle w:val="Asubpara"/>
      </w:pPr>
      <w:r w:rsidRPr="00516F02">
        <w:tab/>
        <w:t>(i)</w:t>
      </w:r>
      <w:r w:rsidRPr="00516F02">
        <w:tab/>
        <w:t>is in compliance with all the maximum work requirements and minimum rest requirements under the work and rest hours option to which the driver has changed; or</w:t>
      </w:r>
    </w:p>
    <w:p w14:paraId="6877A98B" w14:textId="77777777" w:rsidR="00DB6E47" w:rsidRPr="00516F02" w:rsidRDefault="00DB6E47" w:rsidP="00DB6E47">
      <w:pPr>
        <w:pStyle w:val="Asubpara"/>
      </w:pPr>
      <w:r w:rsidRPr="00516F02">
        <w:tab/>
        <w:t>(ii)</w:t>
      </w:r>
      <w:r w:rsidRPr="00516F02">
        <w:tab/>
        <w:t>has had a reset rest break; and</w:t>
      </w:r>
    </w:p>
    <w:p w14:paraId="51B01D13" w14:textId="77777777" w:rsidR="00DB6E47" w:rsidRPr="00C96203" w:rsidRDefault="00DB6E47" w:rsidP="00DB6E47">
      <w:pPr>
        <w:pStyle w:val="aExamHdgss"/>
      </w:pPr>
      <w:r w:rsidRPr="00C96203">
        <w:rPr>
          <w:rFonts w:cs="Times"/>
          <w:bCs/>
          <w:iCs/>
        </w:rPr>
        <w:t>Examples for the purposes of paragraph (a)—</w:t>
      </w:r>
    </w:p>
    <w:p w14:paraId="6C584B19" w14:textId="77777777" w:rsidR="00DB6E47" w:rsidRPr="00C96203" w:rsidRDefault="00DB6E47" w:rsidP="00DB6E47">
      <w:pPr>
        <w:pStyle w:val="aExamINumss"/>
      </w:pPr>
      <w:r w:rsidRPr="00C96203">
        <w:t xml:space="preserve">1 </w:t>
      </w:r>
      <w:r w:rsidRPr="00C96203">
        <w:tab/>
        <w:t>If the driver of a fatigue-regulated heavy vehicle is changing from BFM hours to standard hours and the minimum rest requirements applying to drivers operating under standard hours requires the driver to have a longer rest time than is required under BFM hours, the driver may start driving under standard hours only if the driver has had the longer rest time or a reset rest break.</w:t>
      </w:r>
    </w:p>
    <w:p w14:paraId="1245FF30" w14:textId="77777777" w:rsidR="00DB6E47" w:rsidRPr="00C96203" w:rsidRDefault="00DB6E47" w:rsidP="00DB6E47">
      <w:pPr>
        <w:pStyle w:val="aExamINumss"/>
      </w:pPr>
      <w:r w:rsidRPr="00C96203">
        <w:t xml:space="preserve">2 </w:t>
      </w:r>
      <w:r w:rsidRPr="00C96203">
        <w:tab/>
        <w:t>If the driver of a fatigue-regulated heavy vehicle is changing from BFM hours to standard hours and the minimum rest requirements applying to drivers operating under standard hours requires the driver to have rest time earlier than is required under BFM hours, the driver may start driving under standard hours only if the driver has had the earlier rest time or a reset rest break.</w:t>
      </w:r>
    </w:p>
    <w:p w14:paraId="225B86B7" w14:textId="77777777" w:rsidR="00DB6E47" w:rsidRPr="00297A38" w:rsidRDefault="00DB6E47" w:rsidP="00DB6E47">
      <w:pPr>
        <w:pStyle w:val="Apara"/>
      </w:pPr>
      <w:r w:rsidRPr="00297A38">
        <w:tab/>
        <w:t>(b)</w:t>
      </w:r>
      <w:r w:rsidRPr="00297A38">
        <w:tab/>
        <w:t>if the change is from AFM hours or exemption hours, the driver has had a reset rest break; and</w:t>
      </w:r>
    </w:p>
    <w:p w14:paraId="2C4BEFC0" w14:textId="77777777" w:rsidR="00DB6E47" w:rsidRPr="00297A38" w:rsidRDefault="00DB6E47" w:rsidP="00904504">
      <w:pPr>
        <w:pStyle w:val="Apara"/>
        <w:keepNext/>
      </w:pPr>
      <w:r w:rsidRPr="00297A38">
        <w:lastRenderedPageBreak/>
        <w:tab/>
        <w:t>(c)</w:t>
      </w:r>
      <w:r w:rsidRPr="00297A38">
        <w:tab/>
        <w:t>the driver complies with all other requirements of the work and rest hours option to which the driver has changed.</w:t>
      </w:r>
    </w:p>
    <w:p w14:paraId="78396759" w14:textId="77777777" w:rsidR="00DB6E47" w:rsidRPr="00C96203" w:rsidRDefault="00DB6E47" w:rsidP="00DB6E47">
      <w:pPr>
        <w:pStyle w:val="aExamHdgss"/>
      </w:pPr>
      <w:r w:rsidRPr="00C96203">
        <w:rPr>
          <w:rFonts w:cs="Times"/>
          <w:bCs/>
          <w:iCs/>
        </w:rPr>
        <w:t>Example of other requirements for the purposes of paragraph (c)—</w:t>
      </w:r>
    </w:p>
    <w:p w14:paraId="4D3EAFED" w14:textId="77777777" w:rsidR="00DB6E47" w:rsidRPr="00C96203" w:rsidRDefault="00DB6E47" w:rsidP="00DB6E47">
      <w:pPr>
        <w:pStyle w:val="aExamss"/>
      </w:pPr>
      <w:r w:rsidRPr="00C96203">
        <w:t>If the driver is changing to BFM hours or AFM hours, the driver must be inducted into the relevant operator’s BFM or AFM fatigue management system.</w:t>
      </w:r>
    </w:p>
    <w:p w14:paraId="78EFF4D4" w14:textId="77777777" w:rsidR="00DB6E47" w:rsidRPr="006C3305" w:rsidRDefault="00DB6E47" w:rsidP="00DB6E47">
      <w:pPr>
        <w:pStyle w:val="Penalty"/>
      </w:pPr>
      <w:r w:rsidRPr="006C3305">
        <w:t>Maximum penalty—$4000.</w:t>
      </w:r>
    </w:p>
    <w:p w14:paraId="28907223" w14:textId="77777777" w:rsidR="00DB6E47" w:rsidRPr="00283AFC" w:rsidRDefault="00DB6E47" w:rsidP="00DB6E47">
      <w:pPr>
        <w:pStyle w:val="Amain"/>
      </w:pPr>
      <w:r w:rsidRPr="00283AFC">
        <w:tab/>
        <w:t>(2)</w:t>
      </w:r>
      <w:r w:rsidRPr="00283AFC">
        <w:tab/>
        <w:t>If the driver of a fatigue-regulated heavy vehicle has had a reset rest break between changing from 1 work and rest hours option to a different work and rest hours option, the period to which the new work and rest hours option applies must be counted forward from the end of the reset rest break.</w:t>
      </w:r>
    </w:p>
    <w:p w14:paraId="48776BC7" w14:textId="77777777" w:rsidR="00DB6E47" w:rsidRPr="00283AFC" w:rsidRDefault="00DB6E47" w:rsidP="00DB6E47">
      <w:pPr>
        <w:pStyle w:val="Amain"/>
      </w:pPr>
      <w:r w:rsidRPr="00283AFC">
        <w:tab/>
        <w:t>(5)</w:t>
      </w:r>
      <w:r w:rsidRPr="00283AFC">
        <w:tab/>
        <w:t>In this section—</w:t>
      </w:r>
    </w:p>
    <w:p w14:paraId="286E7A93" w14:textId="77777777" w:rsidR="00DB6E47" w:rsidRPr="00041046" w:rsidRDefault="00DB6E47" w:rsidP="00DB6E47">
      <w:pPr>
        <w:pStyle w:val="aDef"/>
        <w:rPr>
          <w:bCs/>
        </w:rPr>
      </w:pPr>
      <w:r w:rsidRPr="00041046">
        <w:rPr>
          <w:rStyle w:val="charBoldItals"/>
        </w:rPr>
        <w:t>reset rest break</w:t>
      </w:r>
      <w:r w:rsidRPr="00041046">
        <w:t xml:space="preserve"> means a period of rest time of at least 48 continuous hours.</w:t>
      </w:r>
    </w:p>
    <w:p w14:paraId="3161259B" w14:textId="77777777" w:rsidR="00DB6E47" w:rsidRPr="007E1F9A" w:rsidRDefault="00DB6E47" w:rsidP="00DB6E47">
      <w:pPr>
        <w:pStyle w:val="AH5Sec"/>
      </w:pPr>
      <w:bookmarkStart w:id="285" w:name="_Toc83625629"/>
      <w:r w:rsidRPr="005E03F7">
        <w:rPr>
          <w:rStyle w:val="CharSectNo"/>
        </w:rPr>
        <w:t>264</w:t>
      </w:r>
      <w:r w:rsidRPr="007E1F9A">
        <w:tab/>
        <w:t>Duty of employer, prime contractor, operator and scheduler to ensure driver compliance</w:t>
      </w:r>
      <w:bookmarkEnd w:id="285"/>
    </w:p>
    <w:p w14:paraId="76EC7ABB" w14:textId="77777777" w:rsidR="00DB6E47" w:rsidRPr="00283AFC" w:rsidRDefault="00DB6E47" w:rsidP="00DB6E47">
      <w:pPr>
        <w:pStyle w:val="Amain"/>
      </w:pPr>
      <w:r w:rsidRPr="00283AFC">
        <w:tab/>
        <w:t>(1)</w:t>
      </w:r>
      <w:r w:rsidRPr="00283AFC">
        <w:tab/>
        <w:t>This section applies if the driver of a fatigue-regulated heavy vehicle changes from 1 work and rest hours option to a different work and rest hours option.</w:t>
      </w:r>
    </w:p>
    <w:p w14:paraId="692D4673" w14:textId="77777777" w:rsidR="00DB6E47" w:rsidRPr="00283AFC" w:rsidRDefault="00DB6E47" w:rsidP="00DB6E47">
      <w:pPr>
        <w:pStyle w:val="Amain"/>
      </w:pPr>
      <w:r w:rsidRPr="00283AFC">
        <w:tab/>
        <w:t>(2)</w:t>
      </w:r>
      <w:r w:rsidRPr="00283AFC">
        <w:tab/>
        <w:t>A relevant party for the driver must</w:t>
      </w:r>
      <w:r w:rsidR="00B17297">
        <w:t xml:space="preserve"> </w:t>
      </w:r>
      <w:r w:rsidR="00B17297" w:rsidRPr="003323FC">
        <w:t>ensure, so far as is reasonably practicable, the driver</w:t>
      </w:r>
      <w:r w:rsidRPr="00283AFC">
        <w:t>—</w:t>
      </w:r>
    </w:p>
    <w:p w14:paraId="08F4A6FC" w14:textId="77777777" w:rsidR="00DB6E47" w:rsidRPr="00297A38" w:rsidRDefault="00DB6E47" w:rsidP="00DB6E47">
      <w:pPr>
        <w:pStyle w:val="Apara"/>
      </w:pPr>
      <w:r w:rsidRPr="00297A38">
        <w:tab/>
        <w:t>(a)</w:t>
      </w:r>
      <w:r w:rsidRPr="00297A38">
        <w:tab/>
        <w:t>does not drive a fatigue-regulated heavy vehicle after making the change unless the driver has complied with section 263; and</w:t>
      </w:r>
    </w:p>
    <w:p w14:paraId="2CB6D908" w14:textId="77777777" w:rsidR="00DB6E47" w:rsidRPr="00297A38" w:rsidRDefault="00DB6E47" w:rsidP="00DB6E47">
      <w:pPr>
        <w:pStyle w:val="Apara"/>
      </w:pPr>
      <w:r w:rsidRPr="00297A38">
        <w:tab/>
        <w:t>(b)</w:t>
      </w:r>
      <w:r w:rsidRPr="00297A38">
        <w:tab/>
        <w:t>can comply with his or her obligations in relation to the change.</w:t>
      </w:r>
    </w:p>
    <w:p w14:paraId="7DB0C651" w14:textId="77777777" w:rsidR="00DB6E47" w:rsidRPr="006C3305" w:rsidRDefault="00DB6E47" w:rsidP="00DB6E47">
      <w:pPr>
        <w:pStyle w:val="Penalty"/>
      </w:pPr>
      <w:r w:rsidRPr="006C3305">
        <w:t>Maximum penalty—$6000.</w:t>
      </w:r>
    </w:p>
    <w:p w14:paraId="01B51D65" w14:textId="77777777" w:rsidR="00DB6E47" w:rsidRPr="00283AFC" w:rsidRDefault="00DB6E47" w:rsidP="00A45BB5">
      <w:pPr>
        <w:pStyle w:val="Amain"/>
        <w:keepNext/>
      </w:pPr>
      <w:r w:rsidRPr="00283AFC">
        <w:lastRenderedPageBreak/>
        <w:tab/>
        <w:t>(5)</w:t>
      </w:r>
      <w:r w:rsidRPr="00283AFC">
        <w:tab/>
        <w:t>In this section—</w:t>
      </w:r>
    </w:p>
    <w:p w14:paraId="1C356ADC" w14:textId="77777777" w:rsidR="00DB6E47" w:rsidRPr="00041046" w:rsidRDefault="00DB6E47" w:rsidP="00A45BB5">
      <w:pPr>
        <w:pStyle w:val="aDef"/>
        <w:keepNext/>
        <w:rPr>
          <w:bCs/>
        </w:rPr>
      </w:pPr>
      <w:r w:rsidRPr="00041046">
        <w:rPr>
          <w:rStyle w:val="charBoldItals"/>
        </w:rPr>
        <w:t>relevant party</w:t>
      </w:r>
      <w:r w:rsidRPr="00041046">
        <w:t>, for the driver of a fatigue-regulated heavy vehicle, means—</w:t>
      </w:r>
    </w:p>
    <w:p w14:paraId="4851321F" w14:textId="77777777" w:rsidR="00DB6E47" w:rsidRPr="006958E0" w:rsidRDefault="00DB6E47" w:rsidP="00DB6E47">
      <w:pPr>
        <w:pStyle w:val="aDefpara"/>
      </w:pPr>
      <w:r w:rsidRPr="00FF4454">
        <w:tab/>
      </w:r>
      <w:r w:rsidRPr="00F04D8E">
        <w:rPr>
          <w:rFonts w:cs="Times"/>
          <w:bCs/>
          <w:iCs/>
        </w:rPr>
        <w:t>(a)</w:t>
      </w:r>
      <w:r w:rsidRPr="00FF4454">
        <w:rPr>
          <w:rStyle w:val="charBoldItals"/>
        </w:rPr>
        <w:tab/>
      </w:r>
      <w:r w:rsidRPr="006958E0">
        <w:t>an employer of the driver if the driver is an employed driver; or</w:t>
      </w:r>
    </w:p>
    <w:p w14:paraId="6DFCA294" w14:textId="77777777" w:rsidR="00DB6E47" w:rsidRPr="006958E0" w:rsidRDefault="00DB6E47" w:rsidP="00DB6E47">
      <w:pPr>
        <w:pStyle w:val="aDefpara"/>
      </w:pPr>
      <w:r w:rsidRPr="006958E0">
        <w:tab/>
        <w:t>(b)</w:t>
      </w:r>
      <w:r w:rsidRPr="006958E0">
        <w:tab/>
        <w:t>a prime contractor of the driver if the driver is a self-employed driver; or</w:t>
      </w:r>
    </w:p>
    <w:p w14:paraId="0FF6075F" w14:textId="77777777" w:rsidR="00DB6E47" w:rsidRPr="006958E0" w:rsidRDefault="00DB6E47" w:rsidP="00DB6E47">
      <w:pPr>
        <w:pStyle w:val="aDefpara"/>
      </w:pPr>
      <w:r w:rsidRPr="006958E0">
        <w:tab/>
        <w:t>(c)</w:t>
      </w:r>
      <w:r w:rsidRPr="006958E0">
        <w:tab/>
        <w:t>an operator of the vehicle if the driver is making a journey for the operator; or</w:t>
      </w:r>
    </w:p>
    <w:p w14:paraId="6C8587DF" w14:textId="77777777" w:rsidR="00DB6E47" w:rsidRPr="006958E0" w:rsidRDefault="00DB6E47" w:rsidP="00DB6E47">
      <w:pPr>
        <w:pStyle w:val="aDefpara"/>
      </w:pPr>
      <w:r w:rsidRPr="006958E0">
        <w:tab/>
        <w:t>(d)</w:t>
      </w:r>
      <w:r w:rsidRPr="006958E0">
        <w:tab/>
        <w:t>a scheduler for the vehicle.</w:t>
      </w:r>
    </w:p>
    <w:p w14:paraId="59BA7756" w14:textId="77777777" w:rsidR="00DB6E47" w:rsidRPr="005E03F7" w:rsidRDefault="00DB6E47" w:rsidP="00DB6E47">
      <w:pPr>
        <w:pStyle w:val="AH3Div"/>
      </w:pPr>
      <w:bookmarkStart w:id="286" w:name="_Toc83625630"/>
      <w:r w:rsidRPr="005E03F7">
        <w:rPr>
          <w:rStyle w:val="CharDivNo"/>
        </w:rPr>
        <w:t xml:space="preserve">Division 8 </w:t>
      </w:r>
      <w:r w:rsidRPr="00A95F9A">
        <w:rPr>
          <w:rFonts w:ascii="Helvetica" w:hAnsi="Helvetica" w:cs="Helvetica"/>
          <w:iCs/>
          <w:szCs w:val="28"/>
        </w:rPr>
        <w:tab/>
      </w:r>
      <w:r w:rsidRPr="005E03F7">
        <w:rPr>
          <w:rStyle w:val="CharDivText"/>
          <w:rFonts w:ascii="Helvetica" w:hAnsi="Helvetica" w:cs="Helvetica"/>
          <w:iCs/>
          <w:szCs w:val="28"/>
        </w:rPr>
        <w:t>Exemptions relating to work times and rest times</w:t>
      </w:r>
      <w:bookmarkEnd w:id="286"/>
    </w:p>
    <w:p w14:paraId="61810BDC" w14:textId="77777777" w:rsidR="00DB6E47" w:rsidRPr="00A95F9A" w:rsidRDefault="00DB6E47" w:rsidP="00DB6E47">
      <w:pPr>
        <w:pStyle w:val="AH4SubDiv"/>
      </w:pPr>
      <w:bookmarkStart w:id="287" w:name="_Toc83625631"/>
      <w:r w:rsidRPr="00A95F9A">
        <w:t xml:space="preserve">Subdivision 1 </w:t>
      </w:r>
      <w:r w:rsidRPr="00A95F9A">
        <w:tab/>
        <w:t>Exemption for emergency services</w:t>
      </w:r>
      <w:bookmarkEnd w:id="287"/>
    </w:p>
    <w:p w14:paraId="2EB0ED29" w14:textId="77777777" w:rsidR="00DB6E47" w:rsidRPr="007E1F9A" w:rsidRDefault="00DB6E47" w:rsidP="00DB6E47">
      <w:pPr>
        <w:pStyle w:val="AH5Sec"/>
      </w:pPr>
      <w:bookmarkStart w:id="288" w:name="_Toc83625632"/>
      <w:r w:rsidRPr="005E03F7">
        <w:rPr>
          <w:rStyle w:val="CharSectNo"/>
        </w:rPr>
        <w:t>265</w:t>
      </w:r>
      <w:r w:rsidRPr="007E1F9A">
        <w:tab/>
        <w:t>Emergency services exemption</w:t>
      </w:r>
      <w:bookmarkEnd w:id="288"/>
    </w:p>
    <w:p w14:paraId="5487097F" w14:textId="77777777" w:rsidR="00DB6E47" w:rsidRPr="00283AFC" w:rsidRDefault="00DB6E47" w:rsidP="00DB6E47">
      <w:pPr>
        <w:pStyle w:val="Amain"/>
      </w:pPr>
      <w:r w:rsidRPr="00283AFC">
        <w:tab/>
        <w:t>(1)</w:t>
      </w:r>
      <w:r w:rsidRPr="00283AFC">
        <w:tab/>
        <w:t>A person who is acting for an emergency service and who has time-critical duties on the way to, or during, an emergency is exempted in the course of carrying out the duties from compliance with this Part.</w:t>
      </w:r>
    </w:p>
    <w:p w14:paraId="5B84318A" w14:textId="77777777" w:rsidR="00DB6E47" w:rsidRPr="00283AFC" w:rsidRDefault="00DB6E47" w:rsidP="00DB6E47">
      <w:pPr>
        <w:pStyle w:val="Amain"/>
      </w:pPr>
      <w:r w:rsidRPr="00283AFC">
        <w:tab/>
        <w:t>(2)</w:t>
      </w:r>
      <w:r w:rsidRPr="00283AFC">
        <w:tab/>
        <w:t>A person who is acting for an emergency service and who is returning from attending an emergency is exempted from compliance with this Part if the person reasonably believes the noncompliance does not present an unreasonable danger to other road users.</w:t>
      </w:r>
    </w:p>
    <w:p w14:paraId="796D6441" w14:textId="77777777" w:rsidR="00DB6E47" w:rsidRPr="00283AFC" w:rsidRDefault="00DB6E47" w:rsidP="00DB6E47">
      <w:pPr>
        <w:pStyle w:val="Amain"/>
      </w:pPr>
      <w:r w:rsidRPr="00283AFC">
        <w:tab/>
        <w:t>(3)</w:t>
      </w:r>
      <w:r w:rsidRPr="00283AFC">
        <w:tab/>
        <w:t xml:space="preserve">A person who is acting for an emergency service is exempted from compliance </w:t>
      </w:r>
      <w:r w:rsidR="006958E0">
        <w:t xml:space="preserve">with this Part under subsection </w:t>
      </w:r>
      <w:r w:rsidRPr="00283AFC">
        <w:t>(1)</w:t>
      </w:r>
      <w:r w:rsidR="006958E0">
        <w:t xml:space="preserve"> or </w:t>
      </w:r>
      <w:r w:rsidRPr="00283AFC">
        <w:t>(2)</w:t>
      </w:r>
      <w:r w:rsidR="006958E0">
        <w:t xml:space="preserve"> </w:t>
      </w:r>
      <w:r w:rsidRPr="00283AFC">
        <w:t>only if, at the relevant time, the person complies with any guidelines regarding the management of fatigue issued by or on behalf of the emergency service or an authority responsible for oversight of the emergency service.</w:t>
      </w:r>
    </w:p>
    <w:p w14:paraId="74AC0BBE" w14:textId="77777777" w:rsidR="00DB6E47" w:rsidRPr="00283AFC" w:rsidRDefault="00DB6E47" w:rsidP="00A45BB5">
      <w:pPr>
        <w:pStyle w:val="Amain"/>
        <w:keepNext/>
      </w:pPr>
      <w:r w:rsidRPr="00283AFC">
        <w:lastRenderedPageBreak/>
        <w:tab/>
        <w:t>(4)</w:t>
      </w:r>
      <w:r w:rsidRPr="00283AFC">
        <w:tab/>
        <w:t>In this section—</w:t>
      </w:r>
    </w:p>
    <w:p w14:paraId="074B7B3A" w14:textId="77777777" w:rsidR="00DB6E47" w:rsidRPr="00041046" w:rsidRDefault="00DB6E47" w:rsidP="00DB6E47">
      <w:pPr>
        <w:pStyle w:val="aDef"/>
        <w:rPr>
          <w:bCs/>
        </w:rPr>
      </w:pPr>
      <w:r w:rsidRPr="00041046">
        <w:rPr>
          <w:rStyle w:val="charBoldItals"/>
        </w:rPr>
        <w:t>emergency</w:t>
      </w:r>
      <w:r w:rsidRPr="00041046">
        <w:t xml:space="preserve"> means an event, or an anticipated event, that—</w:t>
      </w:r>
    </w:p>
    <w:p w14:paraId="75C315A4" w14:textId="77777777" w:rsidR="00DB6E47" w:rsidRPr="006958E0" w:rsidRDefault="00DB6E47" w:rsidP="00DB6E47">
      <w:pPr>
        <w:pStyle w:val="aDefpara"/>
      </w:pPr>
      <w:r w:rsidRPr="00FF4454">
        <w:tab/>
      </w:r>
      <w:r w:rsidRPr="00F04D8E">
        <w:rPr>
          <w:rFonts w:cs="Times"/>
          <w:bCs/>
          <w:iCs/>
        </w:rPr>
        <w:t>(a)</w:t>
      </w:r>
      <w:r w:rsidRPr="00FF4454">
        <w:rPr>
          <w:rStyle w:val="charBoldItals"/>
        </w:rPr>
        <w:tab/>
      </w:r>
      <w:r w:rsidRPr="006958E0">
        <w:t>endangers, or may endanger, life, property or the environment; or</w:t>
      </w:r>
    </w:p>
    <w:p w14:paraId="58222FE9" w14:textId="77777777" w:rsidR="00DB6E47" w:rsidRPr="006958E0" w:rsidRDefault="00DB6E47" w:rsidP="00DB6E47">
      <w:pPr>
        <w:pStyle w:val="aDefpara"/>
      </w:pPr>
      <w:r w:rsidRPr="006958E0">
        <w:tab/>
        <w:t>(b)</w:t>
      </w:r>
      <w:r w:rsidRPr="006958E0">
        <w:tab/>
        <w:t>has disrupted, or may disrupt, communications, energy supply, water supply or sewerage services; or</w:t>
      </w:r>
    </w:p>
    <w:p w14:paraId="3294D6E3" w14:textId="77777777" w:rsidR="00DB6E47" w:rsidRPr="006958E0" w:rsidRDefault="00DB6E47" w:rsidP="00DB6E47">
      <w:pPr>
        <w:pStyle w:val="aDefpara"/>
      </w:pPr>
      <w:r w:rsidRPr="006958E0">
        <w:tab/>
        <w:t>(c)</w:t>
      </w:r>
      <w:r w:rsidRPr="006958E0">
        <w:tab/>
        <w:t>is declared to be an emergency or disaster by—</w:t>
      </w:r>
    </w:p>
    <w:p w14:paraId="130482C2" w14:textId="77777777" w:rsidR="00DB6E47" w:rsidRPr="006C3305" w:rsidRDefault="00DB6E47" w:rsidP="00DB6E47">
      <w:pPr>
        <w:pStyle w:val="aDefsubpara"/>
      </w:pPr>
      <w:r>
        <w:tab/>
      </w:r>
      <w:r w:rsidRPr="00F04D8E">
        <w:t>(i)</w:t>
      </w:r>
      <w:r w:rsidRPr="006C3305">
        <w:tab/>
        <w:t>the Commonwealth or a State or Territory; or</w:t>
      </w:r>
    </w:p>
    <w:p w14:paraId="2F18FA1C" w14:textId="77777777" w:rsidR="00DB6E47" w:rsidRPr="006958E0" w:rsidRDefault="00DB6E47" w:rsidP="006958E0">
      <w:pPr>
        <w:pStyle w:val="aDefsubpara"/>
      </w:pPr>
      <w:r w:rsidRPr="006958E0">
        <w:tab/>
        <w:t>(ii)</w:t>
      </w:r>
      <w:r w:rsidRPr="006958E0">
        <w:tab/>
        <w:t>a Commonwealth or State or Territory authority responsible for managing responses to emergencies or disasters.</w:t>
      </w:r>
    </w:p>
    <w:p w14:paraId="6C3FCF66" w14:textId="77777777" w:rsidR="00DB6E47" w:rsidRPr="00C96203" w:rsidRDefault="00DB6E47" w:rsidP="00DB6E47">
      <w:pPr>
        <w:pStyle w:val="aExamHdgss"/>
      </w:pPr>
      <w:r w:rsidRPr="00C96203">
        <w:rPr>
          <w:rFonts w:cs="Times"/>
          <w:bCs/>
          <w:iCs/>
        </w:rPr>
        <w:t>Examples of an emergency—</w:t>
      </w:r>
    </w:p>
    <w:p w14:paraId="670463FA" w14:textId="77777777" w:rsidR="00DB6E47" w:rsidRPr="00C96203" w:rsidRDefault="00DB6E47" w:rsidP="00DB6E47">
      <w:pPr>
        <w:pStyle w:val="aExamss"/>
      </w:pPr>
      <w:r w:rsidRPr="00C96203">
        <w:t>fire, explosion or natural disaster</w:t>
      </w:r>
    </w:p>
    <w:p w14:paraId="2E7C6BA0" w14:textId="77777777" w:rsidR="00DB6E47" w:rsidRPr="00041046" w:rsidRDefault="00DB6E47" w:rsidP="00DB6E47">
      <w:pPr>
        <w:pStyle w:val="aDef"/>
        <w:rPr>
          <w:bCs/>
        </w:rPr>
      </w:pPr>
      <w:r w:rsidRPr="00041046">
        <w:rPr>
          <w:rStyle w:val="charBoldItals"/>
        </w:rPr>
        <w:t>emergency service</w:t>
      </w:r>
      <w:r w:rsidRPr="00041046">
        <w:t xml:space="preserve"> means an entity that has a statutory responsibility to respond to an emergency and includes the following—</w:t>
      </w:r>
    </w:p>
    <w:p w14:paraId="7639B1FD" w14:textId="77777777" w:rsidR="00DB6E47" w:rsidRPr="006958E0" w:rsidRDefault="00DB6E47" w:rsidP="00DB6E47">
      <w:pPr>
        <w:pStyle w:val="aDefpara"/>
      </w:pPr>
      <w:r w:rsidRPr="00FF4454">
        <w:tab/>
      </w:r>
      <w:r w:rsidRPr="00F04D8E">
        <w:rPr>
          <w:rFonts w:cs="Times"/>
          <w:bCs/>
          <w:iCs/>
        </w:rPr>
        <w:t>(a)</w:t>
      </w:r>
      <w:r w:rsidRPr="00FF4454">
        <w:rPr>
          <w:rStyle w:val="charBoldItals"/>
        </w:rPr>
        <w:tab/>
      </w:r>
      <w:r w:rsidRPr="006958E0">
        <w:t>an ambulance service;</w:t>
      </w:r>
    </w:p>
    <w:p w14:paraId="1E6E2116" w14:textId="77777777" w:rsidR="00DB6E47" w:rsidRPr="006958E0" w:rsidRDefault="00DB6E47" w:rsidP="00DB6E47">
      <w:pPr>
        <w:pStyle w:val="aDefpara"/>
      </w:pPr>
      <w:r w:rsidRPr="006958E0">
        <w:tab/>
        <w:t>(b)</w:t>
      </w:r>
      <w:r w:rsidRPr="006958E0">
        <w:tab/>
        <w:t>a fire brigade, including a volunteer fire brigade;</w:t>
      </w:r>
    </w:p>
    <w:p w14:paraId="01F80B4F" w14:textId="77777777" w:rsidR="00DB6E47" w:rsidRPr="006958E0" w:rsidRDefault="00DB6E47" w:rsidP="00DB6E47">
      <w:pPr>
        <w:pStyle w:val="aDefpara"/>
      </w:pPr>
      <w:r w:rsidRPr="006958E0">
        <w:tab/>
        <w:t>(c)</w:t>
      </w:r>
      <w:r w:rsidRPr="006958E0">
        <w:tab/>
        <w:t>a police force or police service;</w:t>
      </w:r>
    </w:p>
    <w:p w14:paraId="23D67FA9" w14:textId="77777777" w:rsidR="00DB6E47" w:rsidRPr="006958E0" w:rsidRDefault="00DB6E47" w:rsidP="00DB6E47">
      <w:pPr>
        <w:pStyle w:val="aDefpara"/>
      </w:pPr>
      <w:r w:rsidRPr="006958E0">
        <w:tab/>
        <w:t>(d)</w:t>
      </w:r>
      <w:r w:rsidRPr="006958E0">
        <w:tab/>
        <w:t>a disaster or emergency organisation of the Commonwealth or a State or Territory.</w:t>
      </w:r>
    </w:p>
    <w:p w14:paraId="76EC4571" w14:textId="77777777" w:rsidR="00DB6E47" w:rsidRPr="00A95F9A" w:rsidRDefault="00DB6E47" w:rsidP="00DB6E47">
      <w:pPr>
        <w:pStyle w:val="AH4SubDiv"/>
      </w:pPr>
      <w:bookmarkStart w:id="289" w:name="_Toc83625633"/>
      <w:r w:rsidRPr="00A95F9A">
        <w:lastRenderedPageBreak/>
        <w:t xml:space="preserve">Subdivision 2 </w:t>
      </w:r>
      <w:r w:rsidRPr="00A95F9A">
        <w:tab/>
        <w:t>Exemptions by Commonwealth Gazette notice</w:t>
      </w:r>
      <w:bookmarkEnd w:id="289"/>
    </w:p>
    <w:p w14:paraId="61310918" w14:textId="77777777" w:rsidR="00DB6E47" w:rsidRPr="007E1F9A" w:rsidRDefault="00DB6E47" w:rsidP="00DB6E47">
      <w:pPr>
        <w:pStyle w:val="AH5Sec"/>
      </w:pPr>
      <w:bookmarkStart w:id="290" w:name="_Toc83625634"/>
      <w:r w:rsidRPr="005E03F7">
        <w:rPr>
          <w:rStyle w:val="CharSectNo"/>
        </w:rPr>
        <w:t>266</w:t>
      </w:r>
      <w:r w:rsidRPr="007E1F9A">
        <w:tab/>
        <w:t>Regulator’s power to exempt class of drivers from particular maximum work requirements and minimum rest requirements</w:t>
      </w:r>
      <w:bookmarkEnd w:id="290"/>
    </w:p>
    <w:p w14:paraId="3136C01A" w14:textId="77777777" w:rsidR="00DB6E47" w:rsidRPr="00283AFC" w:rsidRDefault="00DB6E47" w:rsidP="00A45BB5">
      <w:pPr>
        <w:pStyle w:val="Amain"/>
        <w:keepLines/>
      </w:pPr>
      <w:r w:rsidRPr="00283AFC">
        <w:tab/>
        <w:t>(1)</w:t>
      </w:r>
      <w:r w:rsidRPr="00283AFC">
        <w:tab/>
        <w:t>The Regulator may, by Commonwealth Gazette notice complying with section 270, grant an exemption to allow, for a period of not more than 3 years, a class of drivers of fatigue-regulated heavy vehicles to operate under the maximum work times and minimum rest times stated in the exemption.</w:t>
      </w:r>
    </w:p>
    <w:p w14:paraId="1C746BE1" w14:textId="77777777" w:rsidR="00DB6E47" w:rsidRPr="00283AFC" w:rsidRDefault="00DB6E47" w:rsidP="00DB6E47">
      <w:pPr>
        <w:pStyle w:val="Amain"/>
      </w:pPr>
      <w:r w:rsidRPr="00283AFC">
        <w:tab/>
        <w:t>(2</w:t>
      </w:r>
      <w:r w:rsidR="00574AE1">
        <w:t>)</w:t>
      </w:r>
      <w:r w:rsidR="00574AE1">
        <w:tab/>
        <w:t xml:space="preserve">An exemption under subsection </w:t>
      </w:r>
      <w:r w:rsidRPr="00283AFC">
        <w:t>(1)</w:t>
      </w:r>
      <w:r w:rsidR="00574AE1">
        <w:t xml:space="preserve"> </w:t>
      </w:r>
      <w:r w:rsidRPr="00283AFC">
        <w:t xml:space="preserve">is a </w:t>
      </w:r>
      <w:r w:rsidRPr="00FF4454">
        <w:rPr>
          <w:rStyle w:val="charBoldItals"/>
        </w:rPr>
        <w:t>work and rest hours exemption (notice)</w:t>
      </w:r>
      <w:r w:rsidRPr="00283AFC">
        <w:t>.</w:t>
      </w:r>
    </w:p>
    <w:p w14:paraId="395B66B0" w14:textId="77777777" w:rsidR="00DB6E47" w:rsidRPr="007E1F9A" w:rsidRDefault="00DB6E47" w:rsidP="00DB6E47">
      <w:pPr>
        <w:pStyle w:val="AH5Sec"/>
      </w:pPr>
      <w:bookmarkStart w:id="291" w:name="_Toc83625635"/>
      <w:r w:rsidRPr="005E03F7">
        <w:rPr>
          <w:rStyle w:val="CharSectNo"/>
        </w:rPr>
        <w:t>267</w:t>
      </w:r>
      <w:r w:rsidRPr="007E1F9A">
        <w:tab/>
        <w:t>Restriction on grant of work and rest hours exemption (notice)</w:t>
      </w:r>
      <w:bookmarkEnd w:id="291"/>
    </w:p>
    <w:p w14:paraId="027F4083" w14:textId="77777777" w:rsidR="00DB6E47" w:rsidRPr="00283AFC" w:rsidRDefault="00DB6E47" w:rsidP="00DB6E47">
      <w:pPr>
        <w:pStyle w:val="Amain"/>
      </w:pPr>
      <w:r w:rsidRPr="00283AFC">
        <w:tab/>
        <w:t>(1)</w:t>
      </w:r>
      <w:r w:rsidRPr="00283AFC">
        <w:tab/>
        <w:t>The Regulator may grant a work and rest hours exemption (notice) only if the Regulator is satisfied—</w:t>
      </w:r>
    </w:p>
    <w:p w14:paraId="66DA9B82" w14:textId="77777777" w:rsidR="00DB6E47" w:rsidRPr="00297A38" w:rsidRDefault="00DB6E47" w:rsidP="00DB6E47">
      <w:pPr>
        <w:pStyle w:val="Apara"/>
      </w:pPr>
      <w:r w:rsidRPr="00297A38">
        <w:tab/>
        <w:t>(a)</w:t>
      </w:r>
      <w:r w:rsidRPr="00297A38">
        <w:tab/>
        <w:t>requiring the class of drivers to whom the exemption is to apply to comply with the standard hours would be an unreasonable restriction on operations conducted by—</w:t>
      </w:r>
    </w:p>
    <w:p w14:paraId="6B8CB3BA" w14:textId="77777777" w:rsidR="00DB6E47" w:rsidRPr="00516F02" w:rsidRDefault="00DB6E47" w:rsidP="00DB6E47">
      <w:pPr>
        <w:pStyle w:val="Asubpara"/>
      </w:pPr>
      <w:r w:rsidRPr="00516F02">
        <w:tab/>
        <w:t>(i)</w:t>
      </w:r>
      <w:r w:rsidRPr="00516F02">
        <w:tab/>
        <w:t>the class of drivers; or</w:t>
      </w:r>
    </w:p>
    <w:p w14:paraId="0FD7CDD3" w14:textId="77777777" w:rsidR="00DB6E47" w:rsidRPr="00516F02" w:rsidRDefault="00DB6E47" w:rsidP="00DB6E47">
      <w:pPr>
        <w:pStyle w:val="Asubpara"/>
      </w:pPr>
      <w:r w:rsidRPr="00516F02">
        <w:tab/>
        <w:t>(ii)</w:t>
      </w:r>
      <w:r w:rsidRPr="00516F02">
        <w:tab/>
        <w:t>relevant parties for the class of drivers; and</w:t>
      </w:r>
    </w:p>
    <w:p w14:paraId="64FFD6D1" w14:textId="77777777" w:rsidR="00DB6E47" w:rsidRPr="00297A38" w:rsidRDefault="00DB6E47" w:rsidP="00DB6E47">
      <w:pPr>
        <w:pStyle w:val="Apara"/>
      </w:pPr>
      <w:r w:rsidRPr="00297A38">
        <w:tab/>
        <w:t>(b)</w:t>
      </w:r>
      <w:r w:rsidRPr="00297A38">
        <w:tab/>
        <w:t>if the maximum work times and minimum rest times to apply under the exemption could be accommodated within BFM hours or AFM hours—the requirements applying to BFM accreditation or AFM accreditation under this Law would, having regard to the nature of the operations, be unreasonable for the operations conducted by—</w:t>
      </w:r>
    </w:p>
    <w:p w14:paraId="45E0EE7C" w14:textId="77777777" w:rsidR="00DB6E47" w:rsidRPr="00516F02" w:rsidRDefault="00DB6E47" w:rsidP="00DB6E47">
      <w:pPr>
        <w:pStyle w:val="Asubpara"/>
      </w:pPr>
      <w:r w:rsidRPr="00516F02">
        <w:tab/>
        <w:t>(i)</w:t>
      </w:r>
      <w:r w:rsidRPr="00516F02">
        <w:tab/>
        <w:t>the class of drivers; or</w:t>
      </w:r>
    </w:p>
    <w:p w14:paraId="6129EDBA" w14:textId="77777777" w:rsidR="00DB6E47" w:rsidRPr="00516F02" w:rsidRDefault="00DB6E47" w:rsidP="00DB6E47">
      <w:pPr>
        <w:pStyle w:val="Asubpara"/>
      </w:pPr>
      <w:r w:rsidRPr="00516F02">
        <w:tab/>
        <w:t>(ii)</w:t>
      </w:r>
      <w:r w:rsidRPr="00516F02">
        <w:tab/>
        <w:t>relevant parties for the class of drivers; and</w:t>
      </w:r>
    </w:p>
    <w:p w14:paraId="2091DAE1" w14:textId="77777777" w:rsidR="00DB6E47" w:rsidRPr="00297A38" w:rsidRDefault="00DB6E47" w:rsidP="00DB6E47">
      <w:pPr>
        <w:pStyle w:val="Apara"/>
      </w:pPr>
      <w:r w:rsidRPr="00297A38">
        <w:lastRenderedPageBreak/>
        <w:tab/>
        <w:t>(c)</w:t>
      </w:r>
      <w:r w:rsidRPr="00297A38">
        <w:tab/>
        <w:t>the driver fatigue management practices that are to apply to drivers operating under the exemption would, if followed, safely manage fatigue risks; and</w:t>
      </w:r>
    </w:p>
    <w:p w14:paraId="1686A935" w14:textId="77777777" w:rsidR="00DB6E47" w:rsidRPr="00297A38" w:rsidRDefault="00DB6E47" w:rsidP="00DB6E47">
      <w:pPr>
        <w:pStyle w:val="Apara"/>
      </w:pPr>
      <w:r w:rsidRPr="00297A38">
        <w:tab/>
        <w:t>(d)</w:t>
      </w:r>
      <w:r w:rsidRPr="00297A38">
        <w:tab/>
        <w:t>the class of drivers to whom the exemption is to apply is likely to follow the practices consistently and effectively.</w:t>
      </w:r>
    </w:p>
    <w:p w14:paraId="471603F6" w14:textId="77777777" w:rsidR="00DB6E47" w:rsidRPr="00283AFC" w:rsidRDefault="00DB6E47" w:rsidP="00DB6E47">
      <w:pPr>
        <w:pStyle w:val="Amain"/>
      </w:pPr>
      <w:r w:rsidRPr="00283AFC">
        <w:tab/>
        <w:t>(2)</w:t>
      </w:r>
      <w:r w:rsidRPr="00283AFC">
        <w:tab/>
        <w:t>In deciding whether or not to grant a work and rest hours exemption (notice), the Regulator must have regard to the approved guidelines for granting work and rest hours exemptions.</w:t>
      </w:r>
    </w:p>
    <w:p w14:paraId="32A2C691" w14:textId="77777777" w:rsidR="00DB6E47" w:rsidRPr="00283AFC" w:rsidRDefault="00DB6E47" w:rsidP="00DB6E47">
      <w:pPr>
        <w:pStyle w:val="Amain"/>
      </w:pPr>
      <w:r w:rsidRPr="00283AFC">
        <w:tab/>
        <w:t>(3)</w:t>
      </w:r>
      <w:r w:rsidRPr="00283AFC">
        <w:tab/>
        <w:t>In this section—</w:t>
      </w:r>
    </w:p>
    <w:p w14:paraId="29A8661E" w14:textId="77777777" w:rsidR="00DB6E47" w:rsidRPr="00041046" w:rsidRDefault="00DB6E47" w:rsidP="00DB6E47">
      <w:pPr>
        <w:pStyle w:val="aDef"/>
        <w:rPr>
          <w:bCs/>
        </w:rPr>
      </w:pPr>
      <w:r w:rsidRPr="00041046">
        <w:rPr>
          <w:rStyle w:val="charBoldItals"/>
        </w:rPr>
        <w:t>relevant parties</w:t>
      </w:r>
      <w:r w:rsidRPr="00041046">
        <w:t>, for a class of drivers of fatigue-regulated heavy vehicles, means—</w:t>
      </w:r>
    </w:p>
    <w:p w14:paraId="3C6264A4" w14:textId="77777777" w:rsidR="00DB6E47" w:rsidRPr="00574AE1" w:rsidRDefault="00DB6E47" w:rsidP="00DB6E47">
      <w:pPr>
        <w:pStyle w:val="aDefpara"/>
      </w:pPr>
      <w:r w:rsidRPr="00FF4454">
        <w:tab/>
      </w:r>
      <w:r w:rsidRPr="00F04D8E">
        <w:rPr>
          <w:rFonts w:cs="Times"/>
          <w:bCs/>
          <w:iCs/>
        </w:rPr>
        <w:t>(a)</w:t>
      </w:r>
      <w:r w:rsidRPr="00FF4454">
        <w:rPr>
          <w:rStyle w:val="charBoldItals"/>
        </w:rPr>
        <w:tab/>
      </w:r>
      <w:r w:rsidRPr="00574AE1">
        <w:t>employers of the class of drivers if they are employed drivers; or</w:t>
      </w:r>
    </w:p>
    <w:p w14:paraId="25BBB5F4" w14:textId="77777777" w:rsidR="00DB6E47" w:rsidRPr="00574AE1" w:rsidRDefault="00DB6E47" w:rsidP="00DB6E47">
      <w:pPr>
        <w:pStyle w:val="aDefpara"/>
      </w:pPr>
      <w:r w:rsidRPr="00574AE1">
        <w:tab/>
        <w:t>(b)</w:t>
      </w:r>
      <w:r w:rsidRPr="00574AE1">
        <w:tab/>
        <w:t>prime contractors for the class of drivers if they are self-employed drivers; or</w:t>
      </w:r>
    </w:p>
    <w:p w14:paraId="2D402B55" w14:textId="77777777" w:rsidR="00DB6E47" w:rsidRPr="00574AE1" w:rsidRDefault="00DB6E47" w:rsidP="00DB6E47">
      <w:pPr>
        <w:pStyle w:val="aDefpara"/>
      </w:pPr>
      <w:r w:rsidRPr="00574AE1">
        <w:tab/>
        <w:t>(c)</w:t>
      </w:r>
      <w:r w:rsidRPr="00574AE1">
        <w:tab/>
        <w:t>operators of fatigue-regulated heavy vehicles if the drivers of the class are to make journeys for the operators using the vehicles.</w:t>
      </w:r>
    </w:p>
    <w:p w14:paraId="11CB1F9E" w14:textId="77777777" w:rsidR="00DB6E47" w:rsidRPr="007E1F9A" w:rsidRDefault="00DB6E47" w:rsidP="00DB6E47">
      <w:pPr>
        <w:pStyle w:val="AH5Sec"/>
      </w:pPr>
      <w:bookmarkStart w:id="292" w:name="_Toc83625636"/>
      <w:r w:rsidRPr="005E03F7">
        <w:rPr>
          <w:rStyle w:val="CharSectNo"/>
        </w:rPr>
        <w:t>268</w:t>
      </w:r>
      <w:r w:rsidRPr="007E1F9A">
        <w:tab/>
        <w:t>Conditions of work and rest hours exemption (notice)</w:t>
      </w:r>
      <w:bookmarkEnd w:id="292"/>
    </w:p>
    <w:p w14:paraId="3888ABAB" w14:textId="77777777" w:rsidR="00DB6E47" w:rsidRPr="006C3305" w:rsidRDefault="00DB6E47" w:rsidP="00DB6E47">
      <w:pPr>
        <w:pStyle w:val="Amainreturn"/>
      </w:pPr>
      <w:r w:rsidRPr="006C3305">
        <w:t>A work and rest hours exemption (notice) may be subject to any conditions the Regulator considers appropriate, including, for example—</w:t>
      </w:r>
    </w:p>
    <w:p w14:paraId="6E2E8C98" w14:textId="77777777" w:rsidR="00DB6E47" w:rsidRPr="00297A38" w:rsidRDefault="00DB6E47" w:rsidP="00DB6E47">
      <w:pPr>
        <w:pStyle w:val="Apara"/>
      </w:pPr>
      <w:r w:rsidRPr="00297A38">
        <w:tab/>
        <w:t>(a)</w:t>
      </w:r>
      <w:r w:rsidRPr="00297A38">
        <w:tab/>
        <w:t>conditions about driver fatigue management practices that are to apply to drivers operating under the exemption; and</w:t>
      </w:r>
    </w:p>
    <w:p w14:paraId="0AD49C62" w14:textId="77777777" w:rsidR="00DB6E47" w:rsidRPr="00297A38" w:rsidRDefault="00DB6E47" w:rsidP="00DB6E47">
      <w:pPr>
        <w:pStyle w:val="Apara"/>
      </w:pPr>
      <w:r w:rsidRPr="00297A38">
        <w:tab/>
        <w:t>(b)</w:t>
      </w:r>
      <w:r w:rsidRPr="00297A38">
        <w:tab/>
        <w:t>conditions about keeping records relating to the driver fatigue management practices; and</w:t>
      </w:r>
    </w:p>
    <w:p w14:paraId="19800424" w14:textId="77777777" w:rsidR="00DB6E47" w:rsidRPr="00297A38" w:rsidRDefault="00DB6E47" w:rsidP="00D80638">
      <w:pPr>
        <w:pStyle w:val="Apara"/>
        <w:keepNext/>
      </w:pPr>
      <w:r w:rsidRPr="00297A38">
        <w:lastRenderedPageBreak/>
        <w:tab/>
        <w:t>(c)</w:t>
      </w:r>
      <w:r w:rsidRPr="00297A38">
        <w:tab/>
        <w:t>a condition that the driver of a fatigue-regulated heavy vehicle who is operating under the exemption must keep in the driver’s possession a copy of—</w:t>
      </w:r>
    </w:p>
    <w:p w14:paraId="5F2B96D1" w14:textId="77777777" w:rsidR="00DB6E47" w:rsidRPr="00516F02" w:rsidRDefault="00DB6E47" w:rsidP="00DB6E47">
      <w:pPr>
        <w:pStyle w:val="Asubpara"/>
      </w:pPr>
      <w:r w:rsidRPr="00516F02">
        <w:tab/>
        <w:t>(i)</w:t>
      </w:r>
      <w:r w:rsidRPr="00516F02">
        <w:tab/>
        <w:t>the Commonwealth Gazette notice for the exemption; or</w:t>
      </w:r>
    </w:p>
    <w:p w14:paraId="2645C38B" w14:textId="77777777" w:rsidR="00DB6E47" w:rsidRPr="00516F02" w:rsidRDefault="00DB6E47" w:rsidP="00DB6E47">
      <w:pPr>
        <w:pStyle w:val="Asubpara"/>
      </w:pPr>
      <w:r w:rsidRPr="00516F02">
        <w:tab/>
        <w:t>(ii)</w:t>
      </w:r>
      <w:r w:rsidRPr="00516F02">
        <w:tab/>
        <w:t>an information sheet about the exemption published by the Regulator on the Regulator’s website.</w:t>
      </w:r>
    </w:p>
    <w:p w14:paraId="5D6B6963" w14:textId="77777777" w:rsidR="00DB6E47" w:rsidRPr="007E1F9A" w:rsidRDefault="00DB6E47" w:rsidP="00DB6E47">
      <w:pPr>
        <w:pStyle w:val="AH5Sec"/>
      </w:pPr>
      <w:bookmarkStart w:id="293" w:name="_Toc83625637"/>
      <w:r w:rsidRPr="005E03F7">
        <w:rPr>
          <w:rStyle w:val="CharSectNo"/>
        </w:rPr>
        <w:t>269</w:t>
      </w:r>
      <w:r w:rsidRPr="007E1F9A">
        <w:tab/>
        <w:t>Period for which work and rest hours exemption (notice) applies</w:t>
      </w:r>
      <w:bookmarkEnd w:id="293"/>
    </w:p>
    <w:p w14:paraId="7CB6D626" w14:textId="77777777" w:rsidR="00DB6E47" w:rsidRPr="00283AFC" w:rsidRDefault="00DB6E47" w:rsidP="00DB6E47">
      <w:pPr>
        <w:pStyle w:val="Amainreturn"/>
      </w:pPr>
      <w:r w:rsidRPr="00283AFC">
        <w:t>A work and rest hours exemption (notice)—</w:t>
      </w:r>
    </w:p>
    <w:p w14:paraId="0D42722F" w14:textId="77777777" w:rsidR="00DB6E47" w:rsidRPr="00297A38" w:rsidRDefault="00DB6E47" w:rsidP="00DB6E47">
      <w:pPr>
        <w:pStyle w:val="Apara"/>
      </w:pPr>
      <w:r w:rsidRPr="00297A38">
        <w:tab/>
        <w:t>(a)</w:t>
      </w:r>
      <w:r w:rsidRPr="00297A38">
        <w:tab/>
        <w:t>takes effect—</w:t>
      </w:r>
    </w:p>
    <w:p w14:paraId="49232AA6" w14:textId="77777777" w:rsidR="00DB6E47" w:rsidRPr="00516F02" w:rsidRDefault="00DB6E47" w:rsidP="00DB6E47">
      <w:pPr>
        <w:pStyle w:val="Asubpara"/>
      </w:pPr>
      <w:r w:rsidRPr="00516F02">
        <w:tab/>
        <w:t>(i)</w:t>
      </w:r>
      <w:r w:rsidRPr="00516F02">
        <w:tab/>
        <w:t>when the Commonwealth Gazette notice for the exemption is published; or</w:t>
      </w:r>
    </w:p>
    <w:p w14:paraId="6527F745" w14:textId="77777777" w:rsidR="00DB6E47" w:rsidRPr="00516F02" w:rsidRDefault="00DB6E47" w:rsidP="00DB6E47">
      <w:pPr>
        <w:pStyle w:val="Asubpara"/>
      </w:pPr>
      <w:r w:rsidRPr="00516F02">
        <w:tab/>
        <w:t>(ii)</w:t>
      </w:r>
      <w:r w:rsidRPr="00516F02">
        <w:tab/>
        <w:t>if a later time is stated in the Commonwealth Gazette notice, at the later time; and</w:t>
      </w:r>
    </w:p>
    <w:p w14:paraId="49461185" w14:textId="77777777" w:rsidR="00DB6E47" w:rsidRPr="00297A38" w:rsidRDefault="00DB6E47" w:rsidP="00DB6E47">
      <w:pPr>
        <w:pStyle w:val="Apara"/>
      </w:pPr>
      <w:r w:rsidRPr="00297A38">
        <w:tab/>
        <w:t>(b)</w:t>
      </w:r>
      <w:r w:rsidRPr="00297A38">
        <w:tab/>
        <w:t>applies for the period stated in the Commonwealth Gazette notice.</w:t>
      </w:r>
    </w:p>
    <w:p w14:paraId="201AF409" w14:textId="77777777" w:rsidR="00DB6E47" w:rsidRPr="007E1F9A" w:rsidRDefault="00DB6E47" w:rsidP="00DB6E47">
      <w:pPr>
        <w:pStyle w:val="AH5Sec"/>
      </w:pPr>
      <w:bookmarkStart w:id="294" w:name="_Toc83625638"/>
      <w:r w:rsidRPr="005E03F7">
        <w:rPr>
          <w:rStyle w:val="CharSectNo"/>
        </w:rPr>
        <w:t>270</w:t>
      </w:r>
      <w:r w:rsidRPr="007E1F9A">
        <w:tab/>
        <w:t>Requirements about Commonwealth Gazette notice</w:t>
      </w:r>
      <w:bookmarkEnd w:id="294"/>
    </w:p>
    <w:p w14:paraId="4510B325" w14:textId="77777777" w:rsidR="00DB6E47" w:rsidRPr="00283AFC" w:rsidRDefault="00DB6E47" w:rsidP="00DB6E47">
      <w:pPr>
        <w:pStyle w:val="Amain"/>
      </w:pPr>
      <w:r w:rsidRPr="00283AFC">
        <w:tab/>
        <w:t>(1)</w:t>
      </w:r>
      <w:r w:rsidRPr="00283AFC">
        <w:tab/>
        <w:t>A Commonwealth Gazette notice for a work and rest hours exemption (notice) must state the following—</w:t>
      </w:r>
    </w:p>
    <w:p w14:paraId="2CB55CEC" w14:textId="77777777" w:rsidR="00DB6E47" w:rsidRPr="00297A38" w:rsidRDefault="00DB6E47" w:rsidP="00DB6E47">
      <w:pPr>
        <w:pStyle w:val="Apara"/>
      </w:pPr>
      <w:r w:rsidRPr="00297A38">
        <w:tab/>
        <w:t>(a)</w:t>
      </w:r>
      <w:r w:rsidRPr="00297A38">
        <w:tab/>
        <w:t>the class of drivers of fatigue-regulated heavy vehicles to which the exemption applies;</w:t>
      </w:r>
    </w:p>
    <w:p w14:paraId="44BA9257" w14:textId="77777777" w:rsidR="00DB6E47" w:rsidRPr="00297A38" w:rsidRDefault="00DB6E47" w:rsidP="00DB6E47">
      <w:pPr>
        <w:pStyle w:val="Apara"/>
      </w:pPr>
      <w:r w:rsidRPr="00297A38">
        <w:tab/>
        <w:t>(b)</w:t>
      </w:r>
      <w:r w:rsidRPr="00297A38">
        <w:tab/>
        <w:t>the maximum work times and minimum rest times that are to apply to drivers operating under the exemption;</w:t>
      </w:r>
    </w:p>
    <w:p w14:paraId="448CEDD2" w14:textId="77777777" w:rsidR="00DB6E47" w:rsidRPr="00297A38" w:rsidRDefault="00DB6E47" w:rsidP="00DB6E47">
      <w:pPr>
        <w:pStyle w:val="Apara"/>
      </w:pPr>
      <w:r w:rsidRPr="00297A38">
        <w:tab/>
        <w:t>(c)</w:t>
      </w:r>
      <w:r w:rsidRPr="00297A38">
        <w:tab/>
        <w:t>the other conditions of the exemption;</w:t>
      </w:r>
    </w:p>
    <w:p w14:paraId="6D8C5F70" w14:textId="77777777" w:rsidR="00DB6E47" w:rsidRPr="00297A38" w:rsidRDefault="00DB6E47" w:rsidP="00DB6E47">
      <w:pPr>
        <w:pStyle w:val="Apara"/>
      </w:pPr>
      <w:r w:rsidRPr="00297A38">
        <w:tab/>
        <w:t>(d)</w:t>
      </w:r>
      <w:r w:rsidRPr="00297A38">
        <w:tab/>
        <w:t>the period for which the exemption applies.</w:t>
      </w:r>
    </w:p>
    <w:p w14:paraId="3D3636D6" w14:textId="77777777" w:rsidR="00DB6E47" w:rsidRPr="00283AFC" w:rsidRDefault="00DB6E47" w:rsidP="00DB6E47">
      <w:pPr>
        <w:pStyle w:val="Amain"/>
      </w:pPr>
      <w:r w:rsidRPr="00283AFC">
        <w:tab/>
        <w:t>(2)</w:t>
      </w:r>
      <w:r w:rsidRPr="00283AFC">
        <w:tab/>
        <w:t>The Regulator must publish a copy of the Commonwealth Gazette notice on the Regulator’s website.</w:t>
      </w:r>
    </w:p>
    <w:p w14:paraId="63E27FFD" w14:textId="77777777" w:rsidR="00DB6E47" w:rsidRPr="007E1F9A" w:rsidRDefault="00DB6E47" w:rsidP="00DB6E47">
      <w:pPr>
        <w:pStyle w:val="AH5Sec"/>
      </w:pPr>
      <w:bookmarkStart w:id="295" w:name="_Toc83625639"/>
      <w:r w:rsidRPr="005E03F7">
        <w:rPr>
          <w:rStyle w:val="CharSectNo"/>
        </w:rPr>
        <w:lastRenderedPageBreak/>
        <w:t>271</w:t>
      </w:r>
      <w:r w:rsidRPr="007E1F9A">
        <w:tab/>
        <w:t>Amendment or cancellation of work and rest hours exemption (notice)</w:t>
      </w:r>
      <w:bookmarkEnd w:id="295"/>
    </w:p>
    <w:p w14:paraId="0354FB5C" w14:textId="77777777" w:rsidR="00DB6E47" w:rsidRPr="00283AFC" w:rsidRDefault="00DB6E47" w:rsidP="00DB6E47">
      <w:pPr>
        <w:pStyle w:val="Amain"/>
      </w:pPr>
      <w:r w:rsidRPr="00283AFC">
        <w:tab/>
        <w:t>(1)</w:t>
      </w:r>
      <w:r w:rsidRPr="00283AFC">
        <w:tab/>
        <w:t>Each of the following is a ground for amending or cancelling a work and rest hours exemption (notice)—</w:t>
      </w:r>
    </w:p>
    <w:p w14:paraId="6E3BA1DB" w14:textId="77777777" w:rsidR="00DB6E47" w:rsidRPr="00297A38" w:rsidRDefault="00DB6E47" w:rsidP="00DB6E47">
      <w:pPr>
        <w:pStyle w:val="Apara"/>
      </w:pPr>
      <w:r w:rsidRPr="00297A38">
        <w:tab/>
        <w:t>(a)</w:t>
      </w:r>
      <w:r w:rsidRPr="00297A38">
        <w:tab/>
        <w:t>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14:paraId="00BD3990" w14:textId="77777777" w:rsidR="00DB6E47" w:rsidRPr="00297A38" w:rsidRDefault="00DB6E47" w:rsidP="00DB6E47">
      <w:pPr>
        <w:pStyle w:val="Apara"/>
      </w:pPr>
      <w:r w:rsidRPr="00297A38">
        <w:tab/>
        <w:t>(b)</w:t>
      </w:r>
      <w:r w:rsidRPr="00297A38">
        <w:tab/>
        <w:t>the use of fatigue-regulated heavy vehicles under the exemption has caused, or is likely to cause, a significant risk to public safety.</w:t>
      </w:r>
    </w:p>
    <w:p w14:paraId="7655FC30" w14:textId="77777777" w:rsidR="00DB6E47" w:rsidRPr="00283AFC" w:rsidRDefault="00DB6E47" w:rsidP="00DB6E47">
      <w:pPr>
        <w:pStyle w:val="Amain"/>
      </w:pPr>
      <w:r w:rsidRPr="00283AFC">
        <w:tab/>
        <w:t>(2)</w:t>
      </w:r>
      <w:r w:rsidRPr="00283AFC">
        <w:tab/>
        <w:t>If the Regulator considers a ground exists to amend or cancel a work and rest hours exemption (notice), the Regulator may amend or cancel the exemptio</w:t>
      </w:r>
      <w:r w:rsidR="00574AE1">
        <w:t xml:space="preserve">n by complying with subsections </w:t>
      </w:r>
      <w:r w:rsidRPr="00283AFC">
        <w:t>(3)</w:t>
      </w:r>
      <w:r w:rsidR="00574AE1">
        <w:t xml:space="preserve"> </w:t>
      </w:r>
      <w:r w:rsidRPr="00283AFC">
        <w:t>to (5).</w:t>
      </w:r>
    </w:p>
    <w:p w14:paraId="5BB8A417" w14:textId="77777777" w:rsidR="00DB6E47" w:rsidRPr="00283AFC" w:rsidRDefault="00DB6E47" w:rsidP="00DB6E47">
      <w:pPr>
        <w:pStyle w:val="Amain"/>
      </w:pPr>
      <w:r w:rsidRPr="00283AFC">
        <w:tab/>
        <w:t>(3)</w:t>
      </w:r>
      <w:r w:rsidRPr="00283AFC">
        <w:tab/>
        <w:t xml:space="preserve">The Regulator must publish a </w:t>
      </w:r>
      <w:r w:rsidR="00454E75" w:rsidRPr="003323FC">
        <w:t>public notice</w:t>
      </w:r>
      <w:r w:rsidRPr="00283AFC">
        <w:t>—</w:t>
      </w:r>
    </w:p>
    <w:p w14:paraId="557BE5E3" w14:textId="77777777" w:rsidR="00DB6E47" w:rsidRPr="00297A38" w:rsidRDefault="00DB6E47" w:rsidP="00DB6E47">
      <w:pPr>
        <w:pStyle w:val="Apara"/>
      </w:pPr>
      <w:r w:rsidRPr="00297A38">
        <w:tab/>
        <w:t>(a)</w:t>
      </w:r>
      <w:r w:rsidRPr="00297A38">
        <w:tab/>
        <w:t>stating that the Regulator believes a gro</w:t>
      </w:r>
      <w:r w:rsidR="00574AE1">
        <w:t>und mentioned in subsection (1)</w:t>
      </w:r>
      <w:r w:rsidRPr="00297A38">
        <w:t>(a)</w:t>
      </w:r>
      <w:r w:rsidR="00574AE1">
        <w:t xml:space="preserve"> or </w:t>
      </w:r>
      <w:r w:rsidRPr="00297A38">
        <w:t>(b)</w:t>
      </w:r>
      <w:r w:rsidR="00574AE1">
        <w:t xml:space="preserve"> </w:t>
      </w:r>
      <w:r w:rsidRPr="00297A38">
        <w:t xml:space="preserve">for amending or cancelling the exemption exists; and </w:t>
      </w:r>
    </w:p>
    <w:p w14:paraId="0D2F2603" w14:textId="77777777" w:rsidR="00DB6E47" w:rsidRPr="00297A38" w:rsidRDefault="00DB6E47" w:rsidP="00DB6E47">
      <w:pPr>
        <w:pStyle w:val="Apara"/>
      </w:pPr>
      <w:r w:rsidRPr="00297A38">
        <w:tab/>
        <w:t>(b)</w:t>
      </w:r>
      <w:r w:rsidRPr="00297A38">
        <w:tab/>
        <w:t xml:space="preserve">outlining the facts and circumstances forming the basis for the belief; and </w:t>
      </w:r>
    </w:p>
    <w:p w14:paraId="64D1EDD2" w14:textId="77777777" w:rsidR="00DB6E47" w:rsidRPr="00297A38" w:rsidRDefault="00DB6E47" w:rsidP="00DB6E47">
      <w:pPr>
        <w:pStyle w:val="Apara"/>
      </w:pPr>
      <w:r w:rsidRPr="00297A38">
        <w:tab/>
        <w:t>(c)</w:t>
      </w:r>
      <w:r w:rsidRPr="00297A38">
        <w:tab/>
        <w:t xml:space="preserve">stating the action the Regulator is proposing to take under this section (the </w:t>
      </w:r>
      <w:r w:rsidRPr="00FF4454">
        <w:rPr>
          <w:rStyle w:val="charBoldItals"/>
        </w:rPr>
        <w:t>proposed action</w:t>
      </w:r>
      <w:r w:rsidRPr="00297A38">
        <w:t>); and</w:t>
      </w:r>
    </w:p>
    <w:p w14:paraId="649D7BFC" w14:textId="77777777" w:rsidR="00DB6E47" w:rsidRPr="00297A38" w:rsidRDefault="00DB6E47" w:rsidP="008F2A46">
      <w:pPr>
        <w:pStyle w:val="Apara"/>
        <w:keepLines/>
      </w:pPr>
      <w:r w:rsidRPr="00297A38">
        <w:tab/>
        <w:t>(d)</w:t>
      </w:r>
      <w:r w:rsidRPr="00297A38">
        <w:tab/>
        <w:t>inviting persons who will be affected by the proposed action to make, within a stated time of at least 14 days after the Commonwealth Gazette notice is published, written representations about why the proposed action should not be taken.</w:t>
      </w:r>
    </w:p>
    <w:p w14:paraId="08AA6591" w14:textId="77777777" w:rsidR="00DB6E47" w:rsidRPr="00283AFC" w:rsidRDefault="00DB6E47" w:rsidP="00DB6E47">
      <w:pPr>
        <w:pStyle w:val="Amain"/>
      </w:pPr>
      <w:r w:rsidRPr="00283AFC">
        <w:lastRenderedPageBreak/>
        <w:tab/>
        <w:t>(4)</w:t>
      </w:r>
      <w:r w:rsidRPr="00283AFC">
        <w:tab/>
        <w:t>If, after considering all written repres</w:t>
      </w:r>
      <w:r w:rsidR="00AD37DA">
        <w:t>entations made under subsection </w:t>
      </w:r>
      <w:r w:rsidRPr="00283AFC">
        <w:t>(3)(d), the Regulator still considers a ground exists to take the proposed action, the Regulator may—</w:t>
      </w:r>
    </w:p>
    <w:p w14:paraId="0C071830" w14:textId="77777777" w:rsidR="00DB6E47" w:rsidRPr="00297A38" w:rsidRDefault="00DB6E47" w:rsidP="00DB6E47">
      <w:pPr>
        <w:pStyle w:val="Apara"/>
      </w:pPr>
      <w:r w:rsidRPr="00297A38">
        <w:tab/>
        <w:t>(a)</w:t>
      </w:r>
      <w:r w:rsidRPr="00297A38">
        <w:tab/>
        <w:t>if the proposed action was to amend the exemption—amend the exemption, including, for example, by imposing additional conditions on the exemption, in a way that is not substantially different from the proposed action; or</w:t>
      </w:r>
    </w:p>
    <w:p w14:paraId="073798DF" w14:textId="77777777" w:rsidR="00DB6E47" w:rsidRPr="00297A38" w:rsidRDefault="00DB6E47" w:rsidP="00DB6E47">
      <w:pPr>
        <w:pStyle w:val="Apara"/>
      </w:pPr>
      <w:r w:rsidRPr="00297A38">
        <w:tab/>
        <w:t>(b)</w:t>
      </w:r>
      <w:r w:rsidRPr="00297A38">
        <w:tab/>
        <w:t>if the proposed action was to cancel the exemption—</w:t>
      </w:r>
    </w:p>
    <w:p w14:paraId="7AF055A9" w14:textId="77777777" w:rsidR="00DB6E47" w:rsidRPr="00516F02" w:rsidRDefault="00DB6E47" w:rsidP="00DB6E47">
      <w:pPr>
        <w:pStyle w:val="Asubpara"/>
      </w:pPr>
      <w:r w:rsidRPr="00516F02">
        <w:tab/>
        <w:t>(i)</w:t>
      </w:r>
      <w:r w:rsidRPr="00516F02">
        <w:tab/>
        <w:t>amend the exemption, including, for example, by imposing additional conditions on the exemption; or</w:t>
      </w:r>
    </w:p>
    <w:p w14:paraId="71132C80" w14:textId="77777777" w:rsidR="00DB6E47" w:rsidRPr="00516F02" w:rsidRDefault="00DB6E47" w:rsidP="00DB6E47">
      <w:pPr>
        <w:pStyle w:val="Asubpara"/>
      </w:pPr>
      <w:r>
        <w:tab/>
      </w:r>
      <w:r w:rsidRPr="00516F02">
        <w:t>(ii)</w:t>
      </w:r>
      <w:r w:rsidRPr="00516F02">
        <w:tab/>
        <w:t>cancel the exemption.</w:t>
      </w:r>
    </w:p>
    <w:p w14:paraId="079F314D" w14:textId="77777777" w:rsidR="00454E75" w:rsidRDefault="00454E75" w:rsidP="00454E75">
      <w:pPr>
        <w:pStyle w:val="Amain"/>
        <w:rPr>
          <w:lang w:val="en"/>
        </w:rPr>
      </w:pPr>
      <w:r w:rsidRPr="003323FC">
        <w:tab/>
        <w:t>(5)</w:t>
      </w:r>
      <w:r w:rsidRPr="003323FC">
        <w:tab/>
      </w:r>
      <w:r>
        <w:rPr>
          <w:lang w:val="en"/>
        </w:rPr>
        <w:t>The Regulator must publish a public notice of the amendment or cancellation.</w:t>
      </w:r>
    </w:p>
    <w:p w14:paraId="013301C3" w14:textId="77777777" w:rsidR="00DB6E47" w:rsidRPr="00283AFC" w:rsidRDefault="00DB6E47" w:rsidP="00454E75">
      <w:pPr>
        <w:pStyle w:val="Amain"/>
      </w:pPr>
      <w:r w:rsidRPr="00283AFC">
        <w:tab/>
        <w:t>(6)</w:t>
      </w:r>
      <w:r w:rsidRPr="00283AFC">
        <w:tab/>
        <w:t>The amendment or cancellation takes effect—</w:t>
      </w:r>
    </w:p>
    <w:p w14:paraId="1CD73E74" w14:textId="77777777" w:rsidR="001D151C" w:rsidRDefault="001D151C" w:rsidP="001D151C">
      <w:pPr>
        <w:pStyle w:val="Apara"/>
        <w:rPr>
          <w:lang w:val="en"/>
        </w:rPr>
      </w:pPr>
      <w:r w:rsidRPr="003323FC">
        <w:tab/>
        <w:t>(a)</w:t>
      </w:r>
      <w:r w:rsidRPr="003323FC">
        <w:tab/>
      </w:r>
      <w:r>
        <w:rPr>
          <w:lang w:val="en"/>
        </w:rPr>
        <w:t>28 days after the Commonwealth Gazette notice is published under subsection (5); or</w:t>
      </w:r>
    </w:p>
    <w:p w14:paraId="0883ACDB" w14:textId="77777777" w:rsidR="00DB6E47" w:rsidRPr="00297A38" w:rsidRDefault="00DB6E47" w:rsidP="00DB6E47">
      <w:pPr>
        <w:pStyle w:val="Apara"/>
      </w:pPr>
      <w:r w:rsidRPr="00297A38">
        <w:tab/>
        <w:t>(b)</w:t>
      </w:r>
      <w:r w:rsidRPr="00297A38">
        <w:tab/>
        <w:t>if a later time is stated in the Commonwealth Gazette notice, at the later time.</w:t>
      </w:r>
    </w:p>
    <w:p w14:paraId="3E8AFBD4" w14:textId="77777777" w:rsidR="00DB6E47" w:rsidRPr="007E1F9A" w:rsidRDefault="00DB6E47" w:rsidP="00DB6E47">
      <w:pPr>
        <w:pStyle w:val="AH5Sec"/>
      </w:pPr>
      <w:bookmarkStart w:id="296" w:name="_Toc83625640"/>
      <w:r w:rsidRPr="005E03F7">
        <w:rPr>
          <w:rStyle w:val="CharSectNo"/>
        </w:rPr>
        <w:t>272</w:t>
      </w:r>
      <w:r w:rsidRPr="007E1F9A">
        <w:tab/>
        <w:t>Immediate suspension</w:t>
      </w:r>
      <w:bookmarkEnd w:id="296"/>
    </w:p>
    <w:p w14:paraId="74EBC0ED" w14:textId="77777777" w:rsidR="00DB6E47" w:rsidRPr="00283AFC" w:rsidRDefault="00DB6E47" w:rsidP="0067431A">
      <w:pPr>
        <w:pStyle w:val="Amain"/>
        <w:keepNext/>
      </w:pPr>
      <w:r w:rsidRPr="00283AFC">
        <w:tab/>
        <w:t>(1)</w:t>
      </w:r>
      <w:r w:rsidRPr="00283AFC">
        <w:tab/>
        <w:t>This section applies if the Regulator considers—</w:t>
      </w:r>
    </w:p>
    <w:p w14:paraId="13554294" w14:textId="77777777" w:rsidR="00DB6E47" w:rsidRPr="00297A38" w:rsidRDefault="00DB6E47" w:rsidP="00DB6E47">
      <w:pPr>
        <w:pStyle w:val="Apara"/>
      </w:pPr>
      <w:r w:rsidRPr="00297A38">
        <w:tab/>
        <w:t>(a)</w:t>
      </w:r>
      <w:r w:rsidRPr="00297A38">
        <w:tab/>
        <w:t>a ground exists to cancel a work and rest hours exemption (notice); and</w:t>
      </w:r>
    </w:p>
    <w:p w14:paraId="48E7F29E" w14:textId="77777777" w:rsidR="00DB6E47" w:rsidRPr="00297A38" w:rsidRDefault="00DB6E47" w:rsidP="00DB6E47">
      <w:pPr>
        <w:pStyle w:val="Apara"/>
      </w:pPr>
      <w:r w:rsidRPr="00297A38">
        <w:tab/>
        <w:t>(b)</w:t>
      </w:r>
      <w:r w:rsidRPr="00297A38">
        <w:tab/>
        <w:t>it is necessary to suspend the exemption immediately to prevent or minimise serious harm to public safety.</w:t>
      </w:r>
    </w:p>
    <w:p w14:paraId="055382D9" w14:textId="77777777" w:rsidR="001D151C" w:rsidRPr="001D151C" w:rsidRDefault="001D151C" w:rsidP="001D151C">
      <w:pPr>
        <w:pStyle w:val="Amain"/>
        <w:rPr>
          <w:lang w:val="en" w:eastAsia="en-AU"/>
        </w:rPr>
      </w:pPr>
      <w:r>
        <w:rPr>
          <w:lang w:val="en" w:eastAsia="en-AU"/>
        </w:rPr>
        <w:tab/>
      </w:r>
      <w:r w:rsidRPr="001D151C">
        <w:rPr>
          <w:lang w:val="en" w:eastAsia="en-AU"/>
        </w:rPr>
        <w:t>(2)</w:t>
      </w:r>
      <w:r>
        <w:rPr>
          <w:lang w:val="en" w:eastAsia="en-AU"/>
        </w:rPr>
        <w:tab/>
      </w:r>
      <w:r w:rsidRPr="001D151C">
        <w:rPr>
          <w:lang w:val="en" w:eastAsia="en-AU"/>
        </w:rPr>
        <w:t>The Regulator may, by public notice, immediately suspend the exemption until the earliest of the following—</w:t>
      </w:r>
    </w:p>
    <w:p w14:paraId="6FCF8470" w14:textId="77777777" w:rsidR="001D151C" w:rsidRPr="001D151C" w:rsidRDefault="00A835B2" w:rsidP="00A835B2">
      <w:pPr>
        <w:pStyle w:val="Apara"/>
        <w:rPr>
          <w:lang w:val="en" w:eastAsia="en-AU"/>
        </w:rPr>
      </w:pPr>
      <w:r>
        <w:rPr>
          <w:lang w:val="en" w:eastAsia="en-AU"/>
        </w:rPr>
        <w:tab/>
      </w:r>
      <w:r w:rsidR="001D151C" w:rsidRPr="001D151C">
        <w:rPr>
          <w:lang w:val="en" w:eastAsia="en-AU"/>
        </w:rPr>
        <w:t xml:space="preserve">(a) </w:t>
      </w:r>
      <w:r>
        <w:rPr>
          <w:lang w:val="en" w:eastAsia="en-AU"/>
        </w:rPr>
        <w:tab/>
      </w:r>
      <w:r w:rsidR="001D151C" w:rsidRPr="001D151C">
        <w:rPr>
          <w:lang w:val="en" w:eastAsia="en-AU"/>
        </w:rPr>
        <w:t>the end of 56 days after the day the public notice is published;</w:t>
      </w:r>
    </w:p>
    <w:p w14:paraId="0718B314" w14:textId="77777777" w:rsidR="001D151C" w:rsidRPr="001D151C" w:rsidRDefault="00A835B2" w:rsidP="00A835B2">
      <w:pPr>
        <w:pStyle w:val="Apara"/>
        <w:rPr>
          <w:lang w:val="en" w:eastAsia="en-AU"/>
        </w:rPr>
      </w:pPr>
      <w:r>
        <w:rPr>
          <w:lang w:val="en" w:eastAsia="en-AU"/>
        </w:rPr>
        <w:lastRenderedPageBreak/>
        <w:tab/>
      </w:r>
      <w:r w:rsidR="001D151C" w:rsidRPr="001D151C">
        <w:rPr>
          <w:lang w:val="en" w:eastAsia="en-AU"/>
        </w:rPr>
        <w:t>(b)</w:t>
      </w:r>
      <w:r>
        <w:rPr>
          <w:lang w:val="en" w:eastAsia="en-AU"/>
        </w:rPr>
        <w:tab/>
      </w:r>
      <w:r w:rsidR="001D151C" w:rsidRPr="001D151C">
        <w:rPr>
          <w:lang w:val="en" w:eastAsia="en-AU"/>
        </w:rPr>
        <w:t>the Regulator publishes a notice under section 271(5) and the amendment or cancellation takes effect under section 271(6);</w:t>
      </w:r>
    </w:p>
    <w:p w14:paraId="599AB971" w14:textId="77777777" w:rsidR="001D151C" w:rsidRPr="001D151C" w:rsidRDefault="00A835B2" w:rsidP="00A835B2">
      <w:pPr>
        <w:pStyle w:val="Apara"/>
        <w:rPr>
          <w:lang w:val="en" w:eastAsia="en-AU"/>
        </w:rPr>
      </w:pPr>
      <w:r>
        <w:rPr>
          <w:lang w:val="en" w:eastAsia="en-AU"/>
        </w:rPr>
        <w:tab/>
      </w:r>
      <w:r w:rsidR="001D151C" w:rsidRPr="001D151C">
        <w:rPr>
          <w:lang w:val="en" w:eastAsia="en-AU"/>
        </w:rPr>
        <w:t>(c)</w:t>
      </w:r>
      <w:r>
        <w:rPr>
          <w:lang w:val="en" w:eastAsia="en-AU"/>
        </w:rPr>
        <w:tab/>
      </w:r>
      <w:r w:rsidR="001D151C" w:rsidRPr="001D151C">
        <w:rPr>
          <w:lang w:val="en" w:eastAsia="en-AU"/>
        </w:rPr>
        <w:t>the Regulator cancels the suspension by public notice.</w:t>
      </w:r>
    </w:p>
    <w:p w14:paraId="1FC90037" w14:textId="77777777" w:rsidR="00DB6E47" w:rsidRPr="00283AFC" w:rsidRDefault="00DB6E47" w:rsidP="00DB6E47">
      <w:pPr>
        <w:pStyle w:val="Amain"/>
      </w:pPr>
      <w:r w:rsidRPr="00283AFC">
        <w:tab/>
        <w:t>(4)</w:t>
      </w:r>
      <w:r w:rsidRPr="00283AFC">
        <w:tab/>
        <w:t>The suspension, or (where relevant) the cancellation of the suspension, takes effect immediately after the Commonwealth Gazette notice is published under subsection (3).</w:t>
      </w:r>
    </w:p>
    <w:p w14:paraId="7D1A017D" w14:textId="77777777" w:rsidR="00DB6E47" w:rsidRPr="00283AFC" w:rsidRDefault="00DB6E47" w:rsidP="00DB6E47">
      <w:pPr>
        <w:pStyle w:val="Amain"/>
      </w:pPr>
      <w:r w:rsidRPr="00283AFC">
        <w:tab/>
        <w:t>(5)</w:t>
      </w:r>
      <w:r w:rsidRPr="00283AFC">
        <w:tab/>
        <w:t>This section applies despite section 271.</w:t>
      </w:r>
    </w:p>
    <w:p w14:paraId="69B80B7F" w14:textId="0FA34EB4" w:rsidR="00DB6E47" w:rsidRPr="00A95F9A" w:rsidRDefault="00DB6E47" w:rsidP="00DB6E47">
      <w:pPr>
        <w:pStyle w:val="AH4SubDiv"/>
      </w:pPr>
      <w:bookmarkStart w:id="297" w:name="_Toc83625641"/>
      <w:r w:rsidRPr="00A95F9A">
        <w:t>Sub</w:t>
      </w:r>
      <w:r w:rsidRPr="00DF5C50">
        <w:t>division</w:t>
      </w:r>
      <w:r w:rsidRPr="00A95F9A">
        <w:t xml:space="preserve"> 3</w:t>
      </w:r>
      <w:r w:rsidRPr="00A95F9A">
        <w:tab/>
        <w:t>Exemptions by permit</w:t>
      </w:r>
      <w:bookmarkEnd w:id="297"/>
    </w:p>
    <w:p w14:paraId="549E0757" w14:textId="77777777" w:rsidR="00DB6E47" w:rsidRPr="007E1F9A" w:rsidRDefault="00DB6E47" w:rsidP="00DB6E47">
      <w:pPr>
        <w:pStyle w:val="AH5Sec"/>
      </w:pPr>
      <w:bookmarkStart w:id="298" w:name="_Toc83625642"/>
      <w:r w:rsidRPr="005E03F7">
        <w:rPr>
          <w:rStyle w:val="CharSectNo"/>
        </w:rPr>
        <w:t>273</w:t>
      </w:r>
      <w:r w:rsidRPr="007E1F9A">
        <w:tab/>
        <w:t>Regulator’s power to exempt drivers from particular maximum work requirements and minimum rest requirements</w:t>
      </w:r>
      <w:bookmarkEnd w:id="298"/>
    </w:p>
    <w:p w14:paraId="4D8C6647" w14:textId="77777777" w:rsidR="00DB6E47" w:rsidRPr="00283AFC" w:rsidRDefault="00DB6E47" w:rsidP="00DB6E47">
      <w:pPr>
        <w:pStyle w:val="Amain"/>
      </w:pPr>
      <w:r w:rsidRPr="00283AFC">
        <w:tab/>
        <w:t>(1)</w:t>
      </w:r>
      <w:r w:rsidRPr="00283AFC">
        <w:tab/>
        <w:t>The Regulator may, by giving a person a permit as mentioned in section 278, grant an exemption to allow, for a period of not more than 3 years, a driver of a fatigue-regulated heavy vehicle, or a class of drivers of fatigue-regulated heavy vehicles, to operate under the maximum work times and minimum rest times stated in the exemption.</w:t>
      </w:r>
    </w:p>
    <w:p w14:paraId="1E3C8B2F" w14:textId="77777777" w:rsidR="00DB6E47" w:rsidRPr="00283AFC" w:rsidRDefault="00DB6E47" w:rsidP="00DB6E47">
      <w:pPr>
        <w:pStyle w:val="Amain"/>
      </w:pPr>
      <w:r w:rsidRPr="00283AFC">
        <w:tab/>
        <w:t>(2</w:t>
      </w:r>
      <w:r w:rsidR="00574AE1">
        <w:t>)</w:t>
      </w:r>
      <w:r w:rsidR="00574AE1">
        <w:tab/>
        <w:t xml:space="preserve">An exemption under subsection </w:t>
      </w:r>
      <w:r w:rsidRPr="00283AFC">
        <w:t>(1)</w:t>
      </w:r>
      <w:r w:rsidR="00574AE1">
        <w:t xml:space="preserve"> </w:t>
      </w:r>
      <w:r w:rsidRPr="00283AFC">
        <w:t xml:space="preserve">is a </w:t>
      </w:r>
      <w:r w:rsidRPr="00FF4454">
        <w:rPr>
          <w:rStyle w:val="charBoldItals"/>
        </w:rPr>
        <w:t>work and rest hours exemption (permit)</w:t>
      </w:r>
      <w:r w:rsidRPr="00283AFC">
        <w:t>.</w:t>
      </w:r>
    </w:p>
    <w:p w14:paraId="13B4584D" w14:textId="77777777" w:rsidR="00DB6E47" w:rsidRPr="00283AFC" w:rsidRDefault="00DB6E47" w:rsidP="00DB6E47">
      <w:pPr>
        <w:pStyle w:val="Amain"/>
      </w:pPr>
      <w:r w:rsidRPr="00283AFC">
        <w:tab/>
        <w:t>(3)</w:t>
      </w:r>
      <w:r w:rsidRPr="00283AFC">
        <w:tab/>
        <w:t>The Regulator may grant a work and rest hours exemption (permit) to the operator of a fatigue-regulated heavy vehicle in combination with the operator’s BFM accreditation or AFM accreditation.</w:t>
      </w:r>
    </w:p>
    <w:p w14:paraId="08AC4DBB" w14:textId="77777777" w:rsidR="00DB6E47" w:rsidRPr="00283AFC" w:rsidRDefault="00DB6E47" w:rsidP="00DB6E47">
      <w:pPr>
        <w:pStyle w:val="Amain"/>
      </w:pPr>
      <w:r w:rsidRPr="00283AFC">
        <w:tab/>
        <w:t>(4)</w:t>
      </w:r>
      <w:r w:rsidRPr="00283AFC">
        <w:tab/>
        <w:t>The Regulator may grant a work and rest hours exemption (permit)—</w:t>
      </w:r>
    </w:p>
    <w:p w14:paraId="552EA48C" w14:textId="77777777" w:rsidR="00DB6E47" w:rsidRPr="00297A38" w:rsidRDefault="00DB6E47" w:rsidP="00DB6E47">
      <w:pPr>
        <w:pStyle w:val="Apara"/>
      </w:pPr>
      <w:r w:rsidRPr="00297A38">
        <w:tab/>
        <w:t>(a)</w:t>
      </w:r>
      <w:r w:rsidRPr="00297A38">
        <w:tab/>
        <w:t>in a way that does not cover all the drivers sought by the applicant; or</w:t>
      </w:r>
    </w:p>
    <w:p w14:paraId="796B6FBD" w14:textId="77777777" w:rsidR="00DB6E47" w:rsidRPr="00297A38" w:rsidRDefault="00DB6E47" w:rsidP="00DB6E47">
      <w:pPr>
        <w:pStyle w:val="Apara"/>
      </w:pPr>
      <w:r w:rsidRPr="00297A38">
        <w:tab/>
        <w:t>(b)</w:t>
      </w:r>
      <w:r w:rsidRPr="00297A38">
        <w:tab/>
        <w:t>setting maximum work times and minimum rest times different to the maximum work times and minimum rest times sought by the applicant.</w:t>
      </w:r>
    </w:p>
    <w:p w14:paraId="29AAA08B" w14:textId="77777777" w:rsidR="00DB6E47" w:rsidRPr="007E1F9A" w:rsidRDefault="00DB6E47" w:rsidP="00DB6E47">
      <w:pPr>
        <w:pStyle w:val="AH5Sec"/>
      </w:pPr>
      <w:bookmarkStart w:id="299" w:name="_Toc83625643"/>
      <w:r w:rsidRPr="005E03F7">
        <w:rPr>
          <w:rStyle w:val="CharSectNo"/>
        </w:rPr>
        <w:lastRenderedPageBreak/>
        <w:t>274</w:t>
      </w:r>
      <w:r w:rsidRPr="007E1F9A">
        <w:tab/>
        <w:t>Application for work and rest hours exemption (permit)</w:t>
      </w:r>
      <w:bookmarkEnd w:id="299"/>
    </w:p>
    <w:p w14:paraId="11DDCA24" w14:textId="77777777" w:rsidR="00DB6E47" w:rsidRPr="00283AFC" w:rsidRDefault="00DB6E47" w:rsidP="00DB6E47">
      <w:pPr>
        <w:pStyle w:val="Amain"/>
      </w:pPr>
      <w:r w:rsidRPr="00283AFC">
        <w:tab/>
        <w:t>(1)</w:t>
      </w:r>
      <w:r w:rsidRPr="00283AFC">
        <w:tab/>
        <w:t>Any of the following persons may apply to the Regulator for a work and rest hours exemption (permit)—</w:t>
      </w:r>
    </w:p>
    <w:p w14:paraId="04A09229" w14:textId="77777777" w:rsidR="00DB6E47" w:rsidRPr="00297A38" w:rsidRDefault="00DB6E47" w:rsidP="00DB6E47">
      <w:pPr>
        <w:pStyle w:val="Apara"/>
      </w:pPr>
      <w:r w:rsidRPr="00297A38">
        <w:tab/>
        <w:t>(a)</w:t>
      </w:r>
      <w:r w:rsidRPr="00297A38">
        <w:tab/>
        <w:t>an employer of a driver of a fatigue-regulated heavy vehicle;</w:t>
      </w:r>
    </w:p>
    <w:p w14:paraId="1F13E286" w14:textId="77777777" w:rsidR="00DB6E47" w:rsidRPr="00297A38" w:rsidRDefault="00DB6E47" w:rsidP="00DB6E47">
      <w:pPr>
        <w:pStyle w:val="Apara"/>
      </w:pPr>
      <w:r w:rsidRPr="00297A38">
        <w:tab/>
        <w:t>(b)</w:t>
      </w:r>
      <w:r w:rsidRPr="00297A38">
        <w:tab/>
        <w:t>a prime contractor for a driver of a fatigue-regulated heavy vehicle;</w:t>
      </w:r>
    </w:p>
    <w:p w14:paraId="58E5E7EC" w14:textId="77777777" w:rsidR="00DB6E47" w:rsidRPr="00297A38" w:rsidRDefault="00DB6E47" w:rsidP="00DB6E47">
      <w:pPr>
        <w:pStyle w:val="Apara"/>
      </w:pPr>
      <w:r w:rsidRPr="00297A38">
        <w:tab/>
        <w:t>(c)</w:t>
      </w:r>
      <w:r w:rsidRPr="00297A38">
        <w:tab/>
        <w:t xml:space="preserve">an operator of a fatigue-regulated heavy vehicle; </w:t>
      </w:r>
    </w:p>
    <w:p w14:paraId="06FF4040" w14:textId="77777777" w:rsidR="00DB6E47" w:rsidRPr="00297A38" w:rsidRDefault="00DB6E47" w:rsidP="00DB6E47">
      <w:pPr>
        <w:pStyle w:val="Apara"/>
      </w:pPr>
      <w:r w:rsidRPr="00297A38">
        <w:tab/>
        <w:t>(d)</w:t>
      </w:r>
      <w:r w:rsidRPr="00297A38">
        <w:tab/>
        <w:t>a self-employed driver of a fatigue-regulated heavy vehicle.</w:t>
      </w:r>
    </w:p>
    <w:p w14:paraId="09507FDD" w14:textId="77777777" w:rsidR="00DB6E47" w:rsidRPr="00283AFC" w:rsidRDefault="00DB6E47" w:rsidP="00DB6E47">
      <w:pPr>
        <w:pStyle w:val="Amain"/>
      </w:pPr>
      <w:r w:rsidRPr="00283AFC">
        <w:tab/>
        <w:t>(2)</w:t>
      </w:r>
      <w:r w:rsidRPr="00283AFC">
        <w:tab/>
        <w:t>The application must—</w:t>
      </w:r>
    </w:p>
    <w:p w14:paraId="704605FE" w14:textId="77777777" w:rsidR="00DB6E47" w:rsidRPr="00297A38" w:rsidRDefault="00DB6E47" w:rsidP="00DB6E47">
      <w:pPr>
        <w:pStyle w:val="Apara"/>
      </w:pPr>
      <w:r w:rsidRPr="00297A38">
        <w:tab/>
        <w:t>(a)</w:t>
      </w:r>
      <w:r w:rsidRPr="00297A38">
        <w:tab/>
        <w:t>be in the approved form; and</w:t>
      </w:r>
    </w:p>
    <w:p w14:paraId="4960D0C4" w14:textId="77777777" w:rsidR="00DB6E47" w:rsidRPr="00297A38" w:rsidRDefault="00DB6E47" w:rsidP="00DB6E47">
      <w:pPr>
        <w:pStyle w:val="Apara"/>
      </w:pPr>
      <w:r w:rsidRPr="00297A38">
        <w:tab/>
        <w:t>(b)</w:t>
      </w:r>
      <w:r w:rsidRPr="00297A38">
        <w:tab/>
        <w:t>state the following—</w:t>
      </w:r>
    </w:p>
    <w:p w14:paraId="2235D3D5" w14:textId="77777777" w:rsidR="00DB6E47" w:rsidRPr="00516F02" w:rsidRDefault="00DB6E47" w:rsidP="00DB6E47">
      <w:pPr>
        <w:pStyle w:val="Asubpara"/>
      </w:pPr>
      <w:r w:rsidRPr="00516F02">
        <w:tab/>
        <w:t>(i)</w:t>
      </w:r>
      <w:r w:rsidRPr="00516F02">
        <w:tab/>
        <w:t>the period for which the exemption is sought;</w:t>
      </w:r>
    </w:p>
    <w:p w14:paraId="060C6A0D" w14:textId="77777777" w:rsidR="00DB6E47" w:rsidRPr="00516F02" w:rsidRDefault="00DB6E47" w:rsidP="00DB6E47">
      <w:pPr>
        <w:pStyle w:val="Asubpara"/>
      </w:pPr>
      <w:r w:rsidRPr="00516F02">
        <w:tab/>
        <w:t>(ii)</w:t>
      </w:r>
      <w:r w:rsidRPr="00516F02">
        <w:tab/>
        <w:t>any conditions to which the exemption is sought to be subject;</w:t>
      </w:r>
    </w:p>
    <w:p w14:paraId="254D15C5" w14:textId="77777777" w:rsidR="00DB6E47" w:rsidRPr="00516F02" w:rsidRDefault="00DB6E47" w:rsidP="00DB6E47">
      <w:pPr>
        <w:pStyle w:val="Asubpara"/>
      </w:pPr>
      <w:r w:rsidRPr="00516F02">
        <w:tab/>
        <w:t>(iii)</w:t>
      </w:r>
      <w:r w:rsidRPr="00516F02">
        <w:tab/>
        <w:t>the name of the driver of a fatigue-regulated heavy vehicle to whom the exemption is sought to apply, or details of the class of drivers of fatigue-regulated heavy vehicles to whom the exemption is sought to apply;</w:t>
      </w:r>
    </w:p>
    <w:p w14:paraId="1948DE04" w14:textId="77777777" w:rsidR="00DB6E47" w:rsidRPr="00516F02" w:rsidRDefault="00DB6E47" w:rsidP="00DB6E47">
      <w:pPr>
        <w:pStyle w:val="Asubpara"/>
      </w:pPr>
      <w:r w:rsidRPr="00516F02">
        <w:tab/>
        <w:t>(iv)</w:t>
      </w:r>
      <w:r w:rsidRPr="00516F02">
        <w:tab/>
        <w:t>the proposed maximum work times and minimum rest times that would be followed by drivers operating under the exemption;</w:t>
      </w:r>
    </w:p>
    <w:p w14:paraId="1B7A02D1" w14:textId="77777777" w:rsidR="00DB6E47" w:rsidRPr="00516F02" w:rsidRDefault="00DB6E47" w:rsidP="00B7551C">
      <w:pPr>
        <w:pStyle w:val="Asubpara"/>
        <w:keepNext/>
      </w:pPr>
      <w:r w:rsidRPr="00516F02">
        <w:tab/>
        <w:t>(v)</w:t>
      </w:r>
      <w:r w:rsidRPr="00516F02">
        <w:tab/>
        <w:t>if the proposed maximum work times and minimum rest times to apply under the exemption could be accommodated within BFM hours or AFM hours—</w:t>
      </w:r>
    </w:p>
    <w:p w14:paraId="32CACAB8" w14:textId="77777777" w:rsidR="00DB6E47" w:rsidRPr="00574AE1" w:rsidRDefault="00DB6E47" w:rsidP="007E5AFD">
      <w:pPr>
        <w:pStyle w:val="Asubsubpara"/>
      </w:pPr>
      <w:r w:rsidRPr="00FF4454">
        <w:tab/>
      </w:r>
      <w:r w:rsidRPr="00F04D8E">
        <w:rPr>
          <w:rFonts w:cs="Times"/>
          <w:bCs/>
          <w:iCs/>
        </w:rPr>
        <w:t>(</w:t>
      </w:r>
      <w:r w:rsidR="007E5AFD">
        <w:rPr>
          <w:rFonts w:cs="Times"/>
          <w:bCs/>
          <w:iCs/>
        </w:rPr>
        <w:t>A</w:t>
      </w:r>
      <w:r w:rsidRPr="00F04D8E">
        <w:rPr>
          <w:rFonts w:cs="Times"/>
          <w:bCs/>
          <w:iCs/>
        </w:rPr>
        <w:t>)</w:t>
      </w:r>
      <w:r w:rsidRPr="00FF4454">
        <w:rPr>
          <w:rStyle w:val="charBoldItals"/>
        </w:rPr>
        <w:tab/>
      </w:r>
      <w:r w:rsidRPr="00574AE1">
        <w:t>the driver fatigue management practices that would be followed by the applicant and drivers operating under the exemption; and</w:t>
      </w:r>
    </w:p>
    <w:p w14:paraId="28CFB090" w14:textId="77777777" w:rsidR="00DB6E47" w:rsidRPr="00574AE1" w:rsidRDefault="00DB6E47" w:rsidP="007E5AFD">
      <w:pPr>
        <w:pStyle w:val="Asubsubpara"/>
      </w:pPr>
      <w:r w:rsidRPr="00574AE1">
        <w:lastRenderedPageBreak/>
        <w:tab/>
        <w:t>(</w:t>
      </w:r>
      <w:r w:rsidR="007E5AFD">
        <w:t>B</w:t>
      </w:r>
      <w:r w:rsidRPr="00574AE1">
        <w:t>)</w:t>
      </w:r>
      <w:r w:rsidRPr="00574AE1">
        <w:tab/>
        <w:t>how the practices would safely manage fatigue risks; and</w:t>
      </w:r>
    </w:p>
    <w:p w14:paraId="42B5553C" w14:textId="77777777" w:rsidR="00DB6E47" w:rsidRPr="00574AE1" w:rsidRDefault="00DB6E47" w:rsidP="007E5AFD">
      <w:pPr>
        <w:pStyle w:val="Asubsubpara"/>
      </w:pPr>
      <w:r w:rsidRPr="00574AE1">
        <w:tab/>
        <w:t>(</w:t>
      </w:r>
      <w:r w:rsidR="007E5AFD">
        <w:t>C</w:t>
      </w:r>
      <w:r w:rsidRPr="00574AE1">
        <w:t>)</w:t>
      </w:r>
      <w:r w:rsidRPr="00574AE1">
        <w:tab/>
        <w:t>how the requirements applying to BFM accreditation or AFM accreditation under this Law would be unreasonable for the operations conducted by the applicant, having regard to the nature of the operations; and</w:t>
      </w:r>
    </w:p>
    <w:p w14:paraId="4193BF3B" w14:textId="77777777" w:rsidR="00DB6E47" w:rsidRPr="00297A38" w:rsidRDefault="00DB6E47" w:rsidP="007E5AFD">
      <w:pPr>
        <w:pStyle w:val="Asubsubpara"/>
      </w:pPr>
      <w:r w:rsidRPr="00297A38">
        <w:tab/>
        <w:t>(</w:t>
      </w:r>
      <w:r w:rsidR="007E5AFD">
        <w:t>D</w:t>
      </w:r>
      <w:r w:rsidRPr="00297A38">
        <w:t>)</w:t>
      </w:r>
      <w:r w:rsidRPr="00297A38">
        <w:tab/>
        <w:t>be accompanied by the prescribed fee for the application.</w:t>
      </w:r>
    </w:p>
    <w:p w14:paraId="5C1C0B81" w14:textId="77777777" w:rsidR="00DB6E47" w:rsidRPr="00283AFC" w:rsidRDefault="00DB6E47" w:rsidP="00DB6E47">
      <w:pPr>
        <w:pStyle w:val="Amain"/>
      </w:pPr>
      <w:r w:rsidRPr="00283AFC">
        <w:tab/>
        <w:t>(3)</w:t>
      </w:r>
      <w:r w:rsidRPr="00283AFC">
        <w:tab/>
        <w:t>The Regulator may, by notice given to the applicant, require the applicant to give the Regulator any additional information the Regulator reasonably requires to decide the application.</w:t>
      </w:r>
    </w:p>
    <w:p w14:paraId="3AF2423C" w14:textId="77777777" w:rsidR="00DB6E47" w:rsidRPr="007E1F9A" w:rsidRDefault="00DB6E47" w:rsidP="00DB6E47">
      <w:pPr>
        <w:pStyle w:val="AH5Sec"/>
      </w:pPr>
      <w:bookmarkStart w:id="300" w:name="_Toc83625644"/>
      <w:r w:rsidRPr="005E03F7">
        <w:rPr>
          <w:rStyle w:val="CharSectNo"/>
        </w:rPr>
        <w:t>275</w:t>
      </w:r>
      <w:r w:rsidRPr="007E1F9A">
        <w:tab/>
        <w:t>Restriction on grant of work and rest hours exemption (permit)</w:t>
      </w:r>
      <w:bookmarkEnd w:id="300"/>
    </w:p>
    <w:p w14:paraId="7AE3C0A0" w14:textId="77777777" w:rsidR="00DB6E47" w:rsidRPr="00283AFC" w:rsidRDefault="00DB6E47" w:rsidP="00DB6E47">
      <w:pPr>
        <w:pStyle w:val="Amain"/>
      </w:pPr>
      <w:r w:rsidRPr="00283AFC">
        <w:tab/>
        <w:t>(1)</w:t>
      </w:r>
      <w:r w:rsidRPr="00283AFC">
        <w:tab/>
        <w:t>The Regulator may grant a work and rest hours exemption (permit) only if the Regulator is satisfied—</w:t>
      </w:r>
    </w:p>
    <w:p w14:paraId="0E61A93F" w14:textId="77777777" w:rsidR="00DB6E47" w:rsidRPr="00297A38" w:rsidRDefault="00DB6E47" w:rsidP="00DB6E47">
      <w:pPr>
        <w:pStyle w:val="Apara"/>
      </w:pPr>
      <w:r w:rsidRPr="00297A38">
        <w:tab/>
        <w:t>(a)</w:t>
      </w:r>
      <w:r w:rsidRPr="00297A38">
        <w:tab/>
        <w:t>requiring the drivers to whom the exemption is to apply to comply with the standard hours would be an unreasonable restriction on operations conducted by the applicant; and</w:t>
      </w:r>
    </w:p>
    <w:p w14:paraId="53A697BF" w14:textId="77777777" w:rsidR="00DB6E47" w:rsidRPr="00297A38" w:rsidRDefault="00DB6E47" w:rsidP="00D80638">
      <w:pPr>
        <w:pStyle w:val="Apara"/>
        <w:keepLines/>
      </w:pPr>
      <w:r w:rsidRPr="00297A38">
        <w:tab/>
        <w:t>(b)</w:t>
      </w:r>
      <w:r w:rsidRPr="00297A38">
        <w:tab/>
        <w:t>if the maximum work times and minimum rest times to apply under the exemption could be accommodated within BFM hours or AFM hours—the requirements applying to BFM accreditation or AFM accreditation under this Law would be unreasonable for the operations conducted by the applicant, having regard to the nature of the operations; and</w:t>
      </w:r>
    </w:p>
    <w:p w14:paraId="39186DA1" w14:textId="77777777" w:rsidR="00DB6E47" w:rsidRPr="00297A38" w:rsidRDefault="00DB6E47" w:rsidP="00DB6E47">
      <w:pPr>
        <w:pStyle w:val="Apara"/>
      </w:pPr>
      <w:r w:rsidRPr="00297A38">
        <w:tab/>
        <w:t>(c)</w:t>
      </w:r>
      <w:r w:rsidRPr="00297A38">
        <w:tab/>
        <w:t>the driver fatigue management practices that are to apply to drivers operating under the exemption would, if followed, safely manage fatigue risks; and</w:t>
      </w:r>
    </w:p>
    <w:p w14:paraId="79327AE6" w14:textId="77777777" w:rsidR="00DB6E47" w:rsidRPr="00297A38" w:rsidRDefault="00DB6E47" w:rsidP="00DB6E47">
      <w:pPr>
        <w:pStyle w:val="Apara"/>
      </w:pPr>
      <w:r w:rsidRPr="00297A38">
        <w:tab/>
        <w:t>(d)</w:t>
      </w:r>
      <w:r w:rsidRPr="00297A38">
        <w:tab/>
        <w:t>the drivers to whom the exemption is to apply are likely to follow the practices consistently and effectively.</w:t>
      </w:r>
    </w:p>
    <w:p w14:paraId="20A1B95A" w14:textId="77777777" w:rsidR="00DB6E47" w:rsidRPr="00283AFC" w:rsidRDefault="00DB6E47" w:rsidP="00DB6E47">
      <w:pPr>
        <w:pStyle w:val="Amain"/>
      </w:pPr>
      <w:r w:rsidRPr="00283AFC">
        <w:lastRenderedPageBreak/>
        <w:tab/>
        <w:t>(2)</w:t>
      </w:r>
      <w:r w:rsidRPr="00283AFC">
        <w:tab/>
        <w:t>In deciding whether or not to grant a work and rest hours exemption (permit), the Regulator must have regard to the approved guidelines for granting work and rest hours exemptions.</w:t>
      </w:r>
    </w:p>
    <w:p w14:paraId="77506578" w14:textId="77777777" w:rsidR="00DB6E47" w:rsidRPr="007E1F9A" w:rsidRDefault="00DB6E47" w:rsidP="00DB6E47">
      <w:pPr>
        <w:pStyle w:val="AH5Sec"/>
      </w:pPr>
      <w:bookmarkStart w:id="301" w:name="_Toc83625645"/>
      <w:r w:rsidRPr="005E03F7">
        <w:rPr>
          <w:rStyle w:val="CharSectNo"/>
        </w:rPr>
        <w:t>276</w:t>
      </w:r>
      <w:r w:rsidRPr="007E1F9A">
        <w:tab/>
        <w:t>Conditions of work and rest hours exemption (permit)</w:t>
      </w:r>
      <w:bookmarkEnd w:id="301"/>
    </w:p>
    <w:p w14:paraId="62519A23" w14:textId="77777777" w:rsidR="00DB6E47" w:rsidRPr="00283AFC" w:rsidRDefault="00DB6E47" w:rsidP="00DB6E47">
      <w:pPr>
        <w:pStyle w:val="Amain"/>
      </w:pPr>
      <w:r w:rsidRPr="00283AFC">
        <w:tab/>
        <w:t>(1)</w:t>
      </w:r>
      <w:r w:rsidRPr="00283AFC">
        <w:tab/>
        <w:t>If the Regulator grants a work and rest hours exemption (permit) to the operator of a fatigue-regulated heavy vehicle in combination with the operator’s BFM accreditation or AFM accreditation, it is a condition of the exemption that the operator must comply with all the conditions of the operator’s BFM accreditation or AFM accreditation.</w:t>
      </w:r>
    </w:p>
    <w:p w14:paraId="6F932021" w14:textId="77777777" w:rsidR="00DB6E47" w:rsidRPr="00283AFC" w:rsidRDefault="00DB6E47" w:rsidP="00DB6E47">
      <w:pPr>
        <w:pStyle w:val="Amain"/>
      </w:pPr>
      <w:r w:rsidRPr="00283AFC">
        <w:tab/>
        <w:t>(2)</w:t>
      </w:r>
      <w:r w:rsidRPr="00283AFC">
        <w:tab/>
        <w:t>A work and rest hours exemption (permit) may be subject to any other conditions the Regulator considers appropriate, including, for example, conditions about—</w:t>
      </w:r>
    </w:p>
    <w:p w14:paraId="7A449602" w14:textId="77777777" w:rsidR="00DB6E47" w:rsidRPr="00297A38" w:rsidRDefault="00DB6E47" w:rsidP="00DB6E47">
      <w:pPr>
        <w:pStyle w:val="Apara"/>
      </w:pPr>
      <w:r w:rsidRPr="00297A38">
        <w:tab/>
        <w:t>(a)</w:t>
      </w:r>
      <w:r w:rsidRPr="00297A38">
        <w:tab/>
        <w:t>driver fatigue management practices that are to apply to drivers operating under the exemption; and</w:t>
      </w:r>
    </w:p>
    <w:p w14:paraId="343BCD07" w14:textId="77777777" w:rsidR="00DB6E47" w:rsidRPr="00297A38" w:rsidRDefault="00DB6E47" w:rsidP="00DB6E47">
      <w:pPr>
        <w:pStyle w:val="Apara"/>
      </w:pPr>
      <w:r w:rsidRPr="00297A38">
        <w:tab/>
        <w:t>(b)</w:t>
      </w:r>
      <w:r w:rsidRPr="00297A38">
        <w:tab/>
        <w:t>keeping records relating to the driver fatigue management practices.</w:t>
      </w:r>
    </w:p>
    <w:p w14:paraId="75355A95" w14:textId="77777777" w:rsidR="00DB6E47" w:rsidRPr="007E1F9A" w:rsidRDefault="00DB6E47" w:rsidP="00DB6E47">
      <w:pPr>
        <w:pStyle w:val="AH5Sec"/>
      </w:pPr>
      <w:bookmarkStart w:id="302" w:name="_Toc83625646"/>
      <w:r w:rsidRPr="005E03F7">
        <w:rPr>
          <w:rStyle w:val="CharSectNo"/>
        </w:rPr>
        <w:t>277</w:t>
      </w:r>
      <w:r w:rsidRPr="007E1F9A">
        <w:tab/>
        <w:t>Period for which work and rest hours exemption (permit) applies</w:t>
      </w:r>
      <w:bookmarkEnd w:id="302"/>
    </w:p>
    <w:p w14:paraId="1AE10C8E" w14:textId="77777777" w:rsidR="00DB6E47" w:rsidRPr="00283AFC" w:rsidRDefault="00DB6E47" w:rsidP="00DB6E47">
      <w:pPr>
        <w:pStyle w:val="Amain"/>
      </w:pPr>
      <w:r w:rsidRPr="00283AFC">
        <w:tab/>
        <w:t>(1)</w:t>
      </w:r>
      <w:r w:rsidRPr="00283AFC">
        <w:tab/>
        <w:t>A work and rest hours exemption (permit) applies for the period stated in the permit for the exemption.</w:t>
      </w:r>
    </w:p>
    <w:p w14:paraId="46AB51F7" w14:textId="77777777" w:rsidR="00DB6E47" w:rsidRPr="00283AFC" w:rsidRDefault="00DB6E47" w:rsidP="00DB6E47">
      <w:pPr>
        <w:pStyle w:val="Amain"/>
      </w:pPr>
      <w:r w:rsidRPr="00283AFC">
        <w:tab/>
        <w:t>(2)</w:t>
      </w:r>
      <w:r w:rsidRPr="00283AFC">
        <w:tab/>
        <w:t>The period may be less than the period sought by the applicant for the work and rest hours exemption (permit).</w:t>
      </w:r>
    </w:p>
    <w:p w14:paraId="35745B48" w14:textId="77777777" w:rsidR="00DB6E47" w:rsidRPr="007E1F9A" w:rsidRDefault="00DB6E47" w:rsidP="00DB6E47">
      <w:pPr>
        <w:pStyle w:val="AH5Sec"/>
      </w:pPr>
      <w:bookmarkStart w:id="303" w:name="_Toc83625647"/>
      <w:r w:rsidRPr="005E03F7">
        <w:rPr>
          <w:rStyle w:val="CharSectNo"/>
        </w:rPr>
        <w:t>278</w:t>
      </w:r>
      <w:r w:rsidRPr="007E1F9A">
        <w:tab/>
        <w:t>Permit for work and rest hours exemption (permit) etc.</w:t>
      </w:r>
      <w:bookmarkEnd w:id="303"/>
    </w:p>
    <w:p w14:paraId="4BDE97DF" w14:textId="77777777" w:rsidR="00DB6E47" w:rsidRPr="00283AFC" w:rsidRDefault="00DB6E47" w:rsidP="00DB6E47">
      <w:pPr>
        <w:pStyle w:val="Amain"/>
      </w:pPr>
      <w:r w:rsidRPr="00283AFC">
        <w:tab/>
        <w:t>(1)</w:t>
      </w:r>
      <w:r w:rsidRPr="00283AFC">
        <w:tab/>
        <w:t>If the Regulator grants a work and rest hours exemption (permit) to a person, the Regulator must give the person—</w:t>
      </w:r>
    </w:p>
    <w:p w14:paraId="35752120" w14:textId="77777777" w:rsidR="00DB6E47" w:rsidRPr="00297A38" w:rsidRDefault="00DB6E47" w:rsidP="00DB6E47">
      <w:pPr>
        <w:pStyle w:val="Apara"/>
      </w:pPr>
      <w:r w:rsidRPr="00297A38">
        <w:tab/>
        <w:t>(a)</w:t>
      </w:r>
      <w:r w:rsidRPr="00297A38">
        <w:tab/>
        <w:t>a permit for the exemption; and</w:t>
      </w:r>
    </w:p>
    <w:p w14:paraId="69849DAB" w14:textId="77777777" w:rsidR="00DB6E47" w:rsidRPr="00297A38" w:rsidRDefault="00DB6E47" w:rsidP="00DB6E47">
      <w:pPr>
        <w:pStyle w:val="Apara"/>
      </w:pPr>
      <w:r w:rsidRPr="00297A38">
        <w:lastRenderedPageBreak/>
        <w:tab/>
        <w:t>(b)</w:t>
      </w:r>
      <w:r w:rsidRPr="00297A38">
        <w:tab/>
        <w:t>if prescribed circumstances apply to the grant of the exemption—an information notice for the prescribed circumstances.</w:t>
      </w:r>
    </w:p>
    <w:p w14:paraId="1FA1892E" w14:textId="77777777" w:rsidR="00DB6E47" w:rsidRPr="00283AFC" w:rsidRDefault="00DB6E47" w:rsidP="00DB6E47">
      <w:pPr>
        <w:pStyle w:val="Amain"/>
      </w:pPr>
      <w:r w:rsidRPr="00283AFC">
        <w:tab/>
        <w:t>(2)</w:t>
      </w:r>
      <w:r w:rsidRPr="00283AFC">
        <w:tab/>
        <w:t>A permit for a work and rest hours exemption (permit) must state the following—</w:t>
      </w:r>
    </w:p>
    <w:p w14:paraId="13187E4F" w14:textId="77777777" w:rsidR="00DB6E47" w:rsidRPr="00297A38" w:rsidRDefault="00DB6E47" w:rsidP="00DB6E47">
      <w:pPr>
        <w:pStyle w:val="Apara"/>
      </w:pPr>
      <w:r w:rsidRPr="00297A38">
        <w:tab/>
        <w:t>(a)</w:t>
      </w:r>
      <w:r w:rsidRPr="00297A38">
        <w:tab/>
        <w:t>the name of the person to whom the permit is given;</w:t>
      </w:r>
    </w:p>
    <w:p w14:paraId="2DB252F3" w14:textId="77777777" w:rsidR="00DB6E47" w:rsidRPr="00297A38" w:rsidRDefault="00DB6E47" w:rsidP="00DB6E47">
      <w:pPr>
        <w:pStyle w:val="Apara"/>
      </w:pPr>
      <w:r w:rsidRPr="00297A38">
        <w:tab/>
        <w:t>(b)</w:t>
      </w:r>
      <w:r w:rsidRPr="00297A38">
        <w:tab/>
        <w:t>the driver of a fatigue-regulated heavy vehicle, or class of drivers of fatigue-regulated heavy vehicles, to which the exemption applies;</w:t>
      </w:r>
    </w:p>
    <w:p w14:paraId="2D24FB3C" w14:textId="77777777" w:rsidR="00DB6E47" w:rsidRPr="00297A38" w:rsidRDefault="00DB6E47" w:rsidP="00DB6E47">
      <w:pPr>
        <w:pStyle w:val="Apara"/>
      </w:pPr>
      <w:r w:rsidRPr="00297A38">
        <w:tab/>
        <w:t>(c)</w:t>
      </w:r>
      <w:r w:rsidRPr="00297A38">
        <w:tab/>
        <w:t>the maximum work times and minimum rest times that apply to drivers operating under the exemption;</w:t>
      </w:r>
    </w:p>
    <w:p w14:paraId="7EC70728" w14:textId="77777777" w:rsidR="00DB6E47" w:rsidRPr="00297A38" w:rsidRDefault="00DB6E47" w:rsidP="00DB6E47">
      <w:pPr>
        <w:pStyle w:val="Apara"/>
      </w:pPr>
      <w:r w:rsidRPr="00297A38">
        <w:tab/>
        <w:t>(d)</w:t>
      </w:r>
      <w:r w:rsidRPr="00297A38">
        <w:tab/>
        <w:t>the conditions of the exemption, including, if applicable, the condition mentioned in section 276(1);</w:t>
      </w:r>
    </w:p>
    <w:p w14:paraId="346A8BFC" w14:textId="77777777" w:rsidR="00DB6E47" w:rsidRPr="00297A38" w:rsidRDefault="00DB6E47" w:rsidP="00DB6E47">
      <w:pPr>
        <w:pStyle w:val="Apara"/>
      </w:pPr>
      <w:r w:rsidRPr="00297A38">
        <w:tab/>
        <w:t>(e)</w:t>
      </w:r>
      <w:r w:rsidRPr="00297A38">
        <w:tab/>
        <w:t>the period for which the exemption applies.</w:t>
      </w:r>
    </w:p>
    <w:p w14:paraId="7688FF29" w14:textId="77777777" w:rsidR="00DB6E47" w:rsidRPr="00283AFC" w:rsidRDefault="00DB6E47" w:rsidP="00D80638">
      <w:pPr>
        <w:pStyle w:val="Amain"/>
        <w:keepNext/>
      </w:pPr>
      <w:r w:rsidRPr="00283AFC">
        <w:tab/>
        <w:t>(3)</w:t>
      </w:r>
      <w:r w:rsidRPr="00283AFC">
        <w:tab/>
        <w:t>In this section—</w:t>
      </w:r>
    </w:p>
    <w:p w14:paraId="00B1C614" w14:textId="77777777" w:rsidR="00DB6E47" w:rsidRPr="00041046" w:rsidRDefault="00DB6E47" w:rsidP="00D80638">
      <w:pPr>
        <w:pStyle w:val="aDef"/>
        <w:keepNext/>
        <w:rPr>
          <w:bCs/>
        </w:rPr>
      </w:pPr>
      <w:r w:rsidRPr="00041046">
        <w:rPr>
          <w:rStyle w:val="charBoldItals"/>
        </w:rPr>
        <w:t>prescribed circumstances</w:t>
      </w:r>
      <w:r w:rsidRPr="00041046">
        <w:t>, for a work and rest hours exemption (permit), means the Regulator has—</w:t>
      </w:r>
    </w:p>
    <w:p w14:paraId="3F089C3F" w14:textId="77777777" w:rsidR="00DB6E47" w:rsidRPr="00574AE1" w:rsidRDefault="00DB6E47" w:rsidP="00DB6E47">
      <w:pPr>
        <w:pStyle w:val="aDefpara"/>
      </w:pPr>
      <w:r w:rsidRPr="00FF4454">
        <w:tab/>
      </w:r>
      <w:r w:rsidRPr="00F04D8E">
        <w:rPr>
          <w:rFonts w:cs="Times"/>
          <w:bCs/>
          <w:iCs/>
        </w:rPr>
        <w:t>(a)</w:t>
      </w:r>
      <w:r w:rsidRPr="00FF4454">
        <w:rPr>
          <w:rStyle w:val="charBoldItals"/>
        </w:rPr>
        <w:tab/>
      </w:r>
      <w:r w:rsidRPr="00574AE1">
        <w:t>imposed conditions on the exemption under section 276(2); or</w:t>
      </w:r>
    </w:p>
    <w:p w14:paraId="485EF275" w14:textId="77777777" w:rsidR="00DB6E47" w:rsidRPr="00574AE1" w:rsidRDefault="00DB6E47" w:rsidP="00DB6E47">
      <w:pPr>
        <w:pStyle w:val="aDefpara"/>
      </w:pPr>
      <w:r w:rsidRPr="00574AE1">
        <w:tab/>
        <w:t>(b)</w:t>
      </w:r>
      <w:r w:rsidRPr="00574AE1">
        <w:tab/>
        <w:t>granted the exemption in a way that does not cover all the drivers sought by the applicant for the exemption; or</w:t>
      </w:r>
    </w:p>
    <w:p w14:paraId="7D884213" w14:textId="77777777" w:rsidR="00DB6E47" w:rsidRPr="00574AE1" w:rsidRDefault="00DB6E47" w:rsidP="00DB6E47">
      <w:pPr>
        <w:pStyle w:val="aDefpara"/>
      </w:pPr>
      <w:r w:rsidRPr="00574AE1">
        <w:tab/>
        <w:t>(c)</w:t>
      </w:r>
      <w:r w:rsidRPr="00574AE1">
        <w:tab/>
        <w:t>granted the exemption setting maximum work times and minimum rest times different to the maximum work times and minimum rest times sought by the applicant for the exemption; or</w:t>
      </w:r>
    </w:p>
    <w:p w14:paraId="6F5BCF5B" w14:textId="77777777" w:rsidR="00DB6E47" w:rsidRPr="00574AE1" w:rsidRDefault="00DB6E47" w:rsidP="00DB6E47">
      <w:pPr>
        <w:pStyle w:val="aDefpara"/>
      </w:pPr>
      <w:r w:rsidRPr="00574AE1">
        <w:tab/>
        <w:t>(d)</w:t>
      </w:r>
      <w:r w:rsidRPr="00574AE1">
        <w:tab/>
        <w:t>granted the exemption for a period less than the period of not more than 3 years sought by the applicant for the exemption.</w:t>
      </w:r>
    </w:p>
    <w:p w14:paraId="302ECB06" w14:textId="77777777" w:rsidR="00DB6E47" w:rsidRPr="007E1F9A" w:rsidRDefault="00DB6E47" w:rsidP="00DB6E47">
      <w:pPr>
        <w:pStyle w:val="AH5Sec"/>
      </w:pPr>
      <w:bookmarkStart w:id="304" w:name="_Toc83625648"/>
      <w:r w:rsidRPr="005E03F7">
        <w:rPr>
          <w:rStyle w:val="CharSectNo"/>
        </w:rPr>
        <w:lastRenderedPageBreak/>
        <w:t>279</w:t>
      </w:r>
      <w:r w:rsidRPr="007E1F9A">
        <w:tab/>
        <w:t>Refusal of application for work and rest hours exemption (permit)</w:t>
      </w:r>
      <w:bookmarkEnd w:id="304"/>
    </w:p>
    <w:p w14:paraId="0E2F6D7D" w14:textId="77777777" w:rsidR="00DB6E47" w:rsidRPr="00283AFC" w:rsidRDefault="00DB6E47" w:rsidP="00DB6E47">
      <w:pPr>
        <w:pStyle w:val="Amainreturn"/>
      </w:pPr>
      <w:r w:rsidRPr="00283AFC">
        <w:t>If the Regulator refuses an application for a work and rest hours exemption (permit), the Regulator must give the applicant an information notice for the decision to refuse the application.</w:t>
      </w:r>
    </w:p>
    <w:p w14:paraId="4C8812C0" w14:textId="77777777" w:rsidR="00DB6E47" w:rsidRPr="007E1F9A" w:rsidRDefault="00DB6E47" w:rsidP="00DB6E47">
      <w:pPr>
        <w:pStyle w:val="AH5Sec"/>
      </w:pPr>
      <w:bookmarkStart w:id="305" w:name="_Toc83625649"/>
      <w:r w:rsidRPr="005E03F7">
        <w:rPr>
          <w:rStyle w:val="CharSectNo"/>
        </w:rPr>
        <w:t>280</w:t>
      </w:r>
      <w:r w:rsidRPr="007E1F9A">
        <w:tab/>
        <w:t>Amendment or cancellation of work and rest hours exemption (permit) on application by permit holder</w:t>
      </w:r>
      <w:bookmarkEnd w:id="305"/>
    </w:p>
    <w:p w14:paraId="1B442E63" w14:textId="77777777" w:rsidR="00DB6E47" w:rsidRPr="00283AFC" w:rsidRDefault="00DB6E47" w:rsidP="00DB6E47">
      <w:pPr>
        <w:pStyle w:val="Amain"/>
      </w:pPr>
      <w:r w:rsidRPr="00283AFC">
        <w:tab/>
        <w:t>(1)</w:t>
      </w:r>
      <w:r w:rsidRPr="00283AFC">
        <w:tab/>
        <w:t>The holder of a permit for a work and rest hours exemption (permit) may apply to the Regulator for an amendment or cancellation of the exemption.</w:t>
      </w:r>
    </w:p>
    <w:p w14:paraId="21B44F41" w14:textId="77777777" w:rsidR="00DB6E47" w:rsidRPr="00283AFC" w:rsidRDefault="00DB6E47" w:rsidP="00DB6E47">
      <w:pPr>
        <w:pStyle w:val="Amain"/>
      </w:pPr>
      <w:r w:rsidRPr="00283AFC">
        <w:tab/>
        <w:t>(2)</w:t>
      </w:r>
      <w:r w:rsidRPr="00283AFC">
        <w:tab/>
        <w:t>The application must—</w:t>
      </w:r>
    </w:p>
    <w:p w14:paraId="1D512870" w14:textId="77777777" w:rsidR="00DB6E47" w:rsidRPr="00297A38" w:rsidRDefault="00DB6E47" w:rsidP="00DB6E47">
      <w:pPr>
        <w:pStyle w:val="Apara"/>
      </w:pPr>
      <w:r w:rsidRPr="00297A38">
        <w:tab/>
        <w:t>(a)</w:t>
      </w:r>
      <w:r w:rsidRPr="00297A38">
        <w:tab/>
        <w:t>be in the approved form; and</w:t>
      </w:r>
    </w:p>
    <w:p w14:paraId="4D891087" w14:textId="77777777" w:rsidR="00DB6E47" w:rsidRPr="00297A38" w:rsidRDefault="00DB6E47" w:rsidP="00DB6E47">
      <w:pPr>
        <w:pStyle w:val="Apara"/>
      </w:pPr>
      <w:r w:rsidRPr="00297A38">
        <w:tab/>
        <w:t>(b)</w:t>
      </w:r>
      <w:r w:rsidRPr="00297A38">
        <w:tab/>
        <w:t>be accompanied by the prescribed fee for the application; and</w:t>
      </w:r>
    </w:p>
    <w:p w14:paraId="1E4BDB98" w14:textId="77777777" w:rsidR="00DB6E47" w:rsidRPr="00297A38" w:rsidRDefault="00DB6E47" w:rsidP="00DB6E47">
      <w:pPr>
        <w:pStyle w:val="Apara"/>
      </w:pPr>
      <w:r w:rsidRPr="00297A38">
        <w:tab/>
        <w:t>(c)</w:t>
      </w:r>
      <w:r w:rsidRPr="00297A38">
        <w:tab/>
        <w:t>if the application is for an amendment—state clearly the amendment sought and the reasons for the amendment; and</w:t>
      </w:r>
    </w:p>
    <w:p w14:paraId="5F3413CF" w14:textId="77777777" w:rsidR="00DB6E47" w:rsidRPr="00297A38" w:rsidRDefault="00DB6E47" w:rsidP="00DB6E47">
      <w:pPr>
        <w:pStyle w:val="Apara"/>
      </w:pPr>
      <w:r w:rsidRPr="00297A38">
        <w:tab/>
        <w:t>(d)</w:t>
      </w:r>
      <w:r w:rsidRPr="00297A38">
        <w:tab/>
        <w:t>be accompanied by the permit.</w:t>
      </w:r>
    </w:p>
    <w:p w14:paraId="6BE8D1E0" w14:textId="77777777" w:rsidR="00DB6E47" w:rsidRPr="00283AFC" w:rsidRDefault="00DB6E47" w:rsidP="00DB6E47">
      <w:pPr>
        <w:pStyle w:val="Amain"/>
      </w:pPr>
      <w:r w:rsidRPr="00283AFC">
        <w:tab/>
        <w:t>(3)</w:t>
      </w:r>
      <w:r w:rsidRPr="00283AFC">
        <w:tab/>
        <w:t>The Regulator may, by notice given to the applicant, require the applicant to give the Regulator any additional information the Regulator reasonably requires to decide the application.</w:t>
      </w:r>
    </w:p>
    <w:p w14:paraId="5DC86ADF" w14:textId="77777777" w:rsidR="00DB6E47" w:rsidRPr="00283AFC" w:rsidRDefault="00DB6E47" w:rsidP="00DB6E47">
      <w:pPr>
        <w:pStyle w:val="Amain"/>
      </w:pPr>
      <w:r w:rsidRPr="00283AFC">
        <w:tab/>
        <w:t>(4)</w:t>
      </w:r>
      <w:r w:rsidRPr="00283AFC">
        <w:tab/>
        <w:t>The Regulator must decide the application as soon as practicable after receiving it.</w:t>
      </w:r>
    </w:p>
    <w:p w14:paraId="6CB8C773" w14:textId="77777777" w:rsidR="00DB6E47" w:rsidRPr="00283AFC" w:rsidRDefault="00DB6E47" w:rsidP="00DB6E47">
      <w:pPr>
        <w:pStyle w:val="Amain"/>
      </w:pPr>
      <w:r w:rsidRPr="00283AFC">
        <w:tab/>
        <w:t>(5)</w:t>
      </w:r>
      <w:r w:rsidRPr="00283AFC">
        <w:tab/>
        <w:t>If the Regulator decides to grant the application—</w:t>
      </w:r>
    </w:p>
    <w:p w14:paraId="07C869D6" w14:textId="77777777" w:rsidR="00DB6E47" w:rsidRPr="00297A38" w:rsidRDefault="00DB6E47" w:rsidP="00DB6E47">
      <w:pPr>
        <w:pStyle w:val="Apara"/>
      </w:pPr>
      <w:r w:rsidRPr="00297A38">
        <w:tab/>
        <w:t>(a)</w:t>
      </w:r>
      <w:r w:rsidRPr="00297A38">
        <w:tab/>
        <w:t>the Regulator must give the applicant notice of the decision; and</w:t>
      </w:r>
    </w:p>
    <w:p w14:paraId="2E90EF50" w14:textId="77777777" w:rsidR="00DB6E47" w:rsidRPr="00297A38" w:rsidRDefault="00DB6E47" w:rsidP="00DB6E47">
      <w:pPr>
        <w:pStyle w:val="Apara"/>
      </w:pPr>
      <w:r w:rsidRPr="00297A38">
        <w:tab/>
        <w:t>(b)</w:t>
      </w:r>
      <w:r w:rsidRPr="00297A38">
        <w:tab/>
        <w:t>the amendment or cancellation takes effect—</w:t>
      </w:r>
    </w:p>
    <w:p w14:paraId="0939AF3A" w14:textId="77777777" w:rsidR="00DB6E47" w:rsidRPr="00516F02" w:rsidRDefault="00DB6E47" w:rsidP="00DB6E47">
      <w:pPr>
        <w:pStyle w:val="Asubpara"/>
      </w:pPr>
      <w:r w:rsidRPr="00516F02">
        <w:tab/>
        <w:t>(i)</w:t>
      </w:r>
      <w:r w:rsidRPr="00516F02">
        <w:tab/>
        <w:t>when notice of the decision is given to the applicant; or</w:t>
      </w:r>
    </w:p>
    <w:p w14:paraId="0503EB69" w14:textId="77777777" w:rsidR="00DB6E47" w:rsidRPr="00516F02" w:rsidRDefault="00DB6E47" w:rsidP="00DB6E47">
      <w:pPr>
        <w:pStyle w:val="Asubpara"/>
      </w:pPr>
      <w:r w:rsidRPr="00516F02">
        <w:tab/>
        <w:t>(ii)</w:t>
      </w:r>
      <w:r w:rsidRPr="00516F02">
        <w:tab/>
        <w:t>if a later time is stated in the notice, at the later time; and</w:t>
      </w:r>
    </w:p>
    <w:p w14:paraId="026ADC7C" w14:textId="77777777" w:rsidR="00DB6E47" w:rsidRPr="00297A38" w:rsidRDefault="00DB6E47" w:rsidP="00DB6E47">
      <w:pPr>
        <w:pStyle w:val="Apara"/>
      </w:pPr>
      <w:r w:rsidRPr="00297A38">
        <w:lastRenderedPageBreak/>
        <w:tab/>
        <w:t>(c)</w:t>
      </w:r>
      <w:r w:rsidRPr="00297A38">
        <w:tab/>
        <w:t>if the Regulator amended the exemption, the Regulator must give the applicant a replacement permit for the exemption as amended.</w:t>
      </w:r>
    </w:p>
    <w:p w14:paraId="58994382" w14:textId="77777777" w:rsidR="00DB6E47" w:rsidRPr="00283AFC" w:rsidRDefault="00DB6E47" w:rsidP="00DB6E47">
      <w:pPr>
        <w:pStyle w:val="Amain"/>
      </w:pPr>
      <w:r w:rsidRPr="00283AFC">
        <w:tab/>
        <w:t>(6)</w:t>
      </w:r>
      <w:r w:rsidRPr="00283AFC">
        <w:tab/>
        <w:t>If the Regulator decides not to amend or cancel the exemption as sought by the applicant, the Regulator must—</w:t>
      </w:r>
    </w:p>
    <w:p w14:paraId="0ABFB07E" w14:textId="77777777" w:rsidR="00DB6E47" w:rsidRPr="00297A38" w:rsidRDefault="00DB6E47" w:rsidP="00DB6E47">
      <w:pPr>
        <w:pStyle w:val="Apara"/>
      </w:pPr>
      <w:r w:rsidRPr="00297A38">
        <w:tab/>
        <w:t>(a)</w:t>
      </w:r>
      <w:r w:rsidRPr="00297A38">
        <w:tab/>
        <w:t>give the applicant an information notice for the decision; and</w:t>
      </w:r>
    </w:p>
    <w:p w14:paraId="76E28938" w14:textId="77777777" w:rsidR="00DB6E47" w:rsidRPr="00297A38" w:rsidRDefault="00DB6E47" w:rsidP="00DB6E47">
      <w:pPr>
        <w:pStyle w:val="Apara"/>
      </w:pPr>
      <w:r w:rsidRPr="00297A38">
        <w:tab/>
        <w:t>(b)</w:t>
      </w:r>
      <w:r w:rsidRPr="00297A38">
        <w:tab/>
        <w:t>return the permit for the exemption to the applicant.</w:t>
      </w:r>
    </w:p>
    <w:p w14:paraId="6BB71311" w14:textId="77777777" w:rsidR="00DB6E47" w:rsidRPr="007E1F9A" w:rsidRDefault="00DB6E47" w:rsidP="00DB6E47">
      <w:pPr>
        <w:pStyle w:val="AH5Sec"/>
      </w:pPr>
      <w:bookmarkStart w:id="306" w:name="_Toc83625650"/>
      <w:r w:rsidRPr="005E03F7">
        <w:rPr>
          <w:rStyle w:val="CharSectNo"/>
        </w:rPr>
        <w:t>281</w:t>
      </w:r>
      <w:r w:rsidRPr="007E1F9A">
        <w:tab/>
        <w:t>Amendment or cancellation of work and rest hours exemption (permit) on Regulator’s initiative</w:t>
      </w:r>
      <w:bookmarkEnd w:id="306"/>
    </w:p>
    <w:p w14:paraId="69635867" w14:textId="77777777" w:rsidR="00DB6E47" w:rsidRPr="00283AFC" w:rsidRDefault="00DB6E47" w:rsidP="00DB6E47">
      <w:pPr>
        <w:pStyle w:val="Amain"/>
      </w:pPr>
      <w:r w:rsidRPr="00283AFC">
        <w:tab/>
        <w:t>(1)</w:t>
      </w:r>
      <w:r w:rsidRPr="00283AFC">
        <w:tab/>
        <w:t>Each of the following is a ground for amending or cancelling a work and rest hours exemption (permit)—</w:t>
      </w:r>
    </w:p>
    <w:p w14:paraId="2343508B" w14:textId="77777777" w:rsidR="00DB6E47" w:rsidRPr="00297A38" w:rsidRDefault="00DB6E47" w:rsidP="00DB6E47">
      <w:pPr>
        <w:pStyle w:val="Apara"/>
      </w:pPr>
      <w:r w:rsidRPr="00297A38">
        <w:tab/>
        <w:t>(a)</w:t>
      </w:r>
      <w:r w:rsidRPr="00297A38">
        <w:tab/>
        <w:t>the exemption was granted because of a document or representation that was—</w:t>
      </w:r>
    </w:p>
    <w:p w14:paraId="6875B844" w14:textId="77777777" w:rsidR="00DB6E47" w:rsidRPr="006C3305" w:rsidRDefault="00DB6E47" w:rsidP="00DB6E47">
      <w:pPr>
        <w:pStyle w:val="aDefsubpara"/>
      </w:pPr>
      <w:r>
        <w:tab/>
      </w:r>
      <w:r w:rsidRPr="00F04D8E">
        <w:t>(i)</w:t>
      </w:r>
      <w:r w:rsidRPr="006C3305">
        <w:tab/>
        <w:t>false or misleading; or</w:t>
      </w:r>
    </w:p>
    <w:p w14:paraId="072AE565" w14:textId="77777777" w:rsidR="00DB6E47" w:rsidRPr="00574AE1" w:rsidRDefault="00DB6E47" w:rsidP="00574AE1">
      <w:pPr>
        <w:pStyle w:val="Asubpara"/>
      </w:pPr>
      <w:r w:rsidRPr="00574AE1">
        <w:tab/>
        <w:t>(ii)</w:t>
      </w:r>
      <w:r w:rsidRPr="00574AE1">
        <w:tab/>
        <w:t>obtained or made in an improper way;</w:t>
      </w:r>
    </w:p>
    <w:p w14:paraId="13AEFB42" w14:textId="77777777" w:rsidR="00DB6E47" w:rsidRPr="00297A38" w:rsidRDefault="00DB6E47" w:rsidP="00DB6E47">
      <w:pPr>
        <w:pStyle w:val="Apara"/>
      </w:pPr>
      <w:r w:rsidRPr="00297A38">
        <w:tab/>
        <w:t>(b)</w:t>
      </w:r>
      <w:r w:rsidRPr="00297A38">
        <w:tab/>
        <w:t>the holder of the permit for the exemption has contravened this Law or a corresponding fatigue law;</w:t>
      </w:r>
    </w:p>
    <w:p w14:paraId="3AE9C2DB" w14:textId="77777777" w:rsidR="00DB6E47" w:rsidRPr="00297A38" w:rsidRDefault="00DB6E47" w:rsidP="00DB6E47">
      <w:pPr>
        <w:pStyle w:val="Apara"/>
      </w:pPr>
      <w:r w:rsidRPr="00297A38">
        <w:tab/>
        <w:t>(c)</w:t>
      </w:r>
      <w:r w:rsidRPr="00297A38">
        <w:tab/>
        <w:t>a driver of a fatigue-regulated heavy vehicle to whom the exemption applies has contravened this Law or a corresponding fatigue law;</w:t>
      </w:r>
    </w:p>
    <w:p w14:paraId="34E52805" w14:textId="77777777" w:rsidR="00DB6E47" w:rsidRPr="00297A38" w:rsidRDefault="00DB6E47" w:rsidP="007E5AFD">
      <w:pPr>
        <w:pStyle w:val="Apara"/>
        <w:keepLines/>
      </w:pPr>
      <w:r w:rsidRPr="00297A38">
        <w:tab/>
        <w:t>(d)</w:t>
      </w:r>
      <w:r w:rsidRPr="00297A38">
        <w:tab/>
        <w:t>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14:paraId="563D2733" w14:textId="77777777" w:rsidR="00DB6E47" w:rsidRPr="00283AFC" w:rsidRDefault="00DB6E47" w:rsidP="0067431A">
      <w:pPr>
        <w:pStyle w:val="Amain"/>
        <w:keepLines/>
      </w:pPr>
      <w:r w:rsidRPr="00283AFC">
        <w:lastRenderedPageBreak/>
        <w:tab/>
        <w:t>(2)</w:t>
      </w:r>
      <w:r w:rsidRPr="00283AFC">
        <w:tab/>
        <w:t xml:space="preserve">If the Regulator considers a ground exists to amend or cancel a work and rest hours exemption (permit) (the </w:t>
      </w:r>
      <w:r w:rsidRPr="00FF4454">
        <w:rPr>
          <w:rStyle w:val="charBoldItals"/>
        </w:rPr>
        <w:t>proposed action</w:t>
      </w:r>
      <w:r w:rsidRPr="00283AFC">
        <w:t>), the Regulator must give the holder of the permit for the exemption a notice—</w:t>
      </w:r>
    </w:p>
    <w:p w14:paraId="0315B223" w14:textId="77777777" w:rsidR="00DB6E47" w:rsidRPr="00297A38" w:rsidRDefault="00DB6E47" w:rsidP="00DB6E47">
      <w:pPr>
        <w:pStyle w:val="Apara"/>
      </w:pPr>
      <w:r w:rsidRPr="00297A38">
        <w:tab/>
        <w:t>(a)</w:t>
      </w:r>
      <w:r w:rsidRPr="00297A38">
        <w:tab/>
        <w:t>stating the proposed action; and</w:t>
      </w:r>
    </w:p>
    <w:p w14:paraId="725F9DB0" w14:textId="77777777" w:rsidR="00DB6E47" w:rsidRPr="00297A38" w:rsidRDefault="00DB6E47" w:rsidP="00DB6E47">
      <w:pPr>
        <w:pStyle w:val="Apara"/>
      </w:pPr>
      <w:r w:rsidRPr="00297A38">
        <w:tab/>
        <w:t>(b)</w:t>
      </w:r>
      <w:r w:rsidRPr="00297A38">
        <w:tab/>
        <w:t>stating the ground for the proposed action; and</w:t>
      </w:r>
    </w:p>
    <w:p w14:paraId="593152E3" w14:textId="77777777" w:rsidR="00DB6E47" w:rsidRPr="00297A38" w:rsidRDefault="00DB6E47" w:rsidP="00DB6E47">
      <w:pPr>
        <w:pStyle w:val="Apara"/>
      </w:pPr>
      <w:r w:rsidRPr="00297A38">
        <w:tab/>
        <w:t>(c)</w:t>
      </w:r>
      <w:r w:rsidRPr="00297A38">
        <w:tab/>
        <w:t>outlining the facts and circumstances forming the basis for the ground; and</w:t>
      </w:r>
    </w:p>
    <w:p w14:paraId="5445B93D" w14:textId="77777777" w:rsidR="00DB6E47" w:rsidRPr="00297A38" w:rsidRDefault="00DB6E47" w:rsidP="00DB6E47">
      <w:pPr>
        <w:pStyle w:val="Apara"/>
      </w:pPr>
      <w:r w:rsidRPr="00297A38">
        <w:tab/>
        <w:t>(d)</w:t>
      </w:r>
      <w:r w:rsidRPr="00297A38">
        <w:tab/>
        <w:t>if the proposed action is to amend the exemption (including a condition of the exemption)—stating the proposed amendment; and</w:t>
      </w:r>
    </w:p>
    <w:p w14:paraId="11E02CC9" w14:textId="77777777" w:rsidR="00DB6E47" w:rsidRPr="00297A38" w:rsidRDefault="00DB6E47" w:rsidP="00DB6E47">
      <w:pPr>
        <w:pStyle w:val="Apara"/>
      </w:pPr>
      <w:r w:rsidRPr="00297A38">
        <w:tab/>
        <w:t>(e)</w:t>
      </w:r>
      <w:r w:rsidRPr="00297A38">
        <w:tab/>
        <w:t>inviting the holder to make, within a stated time of at least 14 days after the notice is given to the holder, written representations about why the proposed action should not be taken.</w:t>
      </w:r>
    </w:p>
    <w:p w14:paraId="6022C367" w14:textId="77777777" w:rsidR="00DB6E47" w:rsidRPr="006C3305" w:rsidRDefault="00DB6E47" w:rsidP="00D80638">
      <w:pPr>
        <w:pStyle w:val="Amain"/>
        <w:keepNext/>
      </w:pPr>
      <w:r>
        <w:tab/>
        <w:t>(</w:t>
      </w:r>
      <w:r w:rsidRPr="006C3305">
        <w:t>3)</w:t>
      </w:r>
      <w:r w:rsidRPr="006C3305">
        <w:tab/>
        <w:t>If, after considering all written representations made under subsection (2)(e), the Regulator still considers a ground exists to take the proposed action, the Regulator may—</w:t>
      </w:r>
    </w:p>
    <w:p w14:paraId="30AF42F3" w14:textId="77777777" w:rsidR="00DB6E47" w:rsidRPr="00297A38" w:rsidRDefault="00DB6E47" w:rsidP="00DB6E47">
      <w:pPr>
        <w:pStyle w:val="Apara"/>
      </w:pPr>
      <w:r w:rsidRPr="00297A38">
        <w:tab/>
        <w:t>(a)</w:t>
      </w:r>
      <w:r w:rsidRPr="00297A38">
        <w:tab/>
        <w:t>if the proposed action was to amend the exemption—amend the exemption, including, for example, by imposing additional conditions on the exemption, in a way that is not substantially different from the proposed action; or</w:t>
      </w:r>
    </w:p>
    <w:p w14:paraId="4EA839C5" w14:textId="77777777" w:rsidR="00DB6E47" w:rsidRPr="00297A38" w:rsidRDefault="00DB6E47" w:rsidP="007E5AFD">
      <w:pPr>
        <w:pStyle w:val="Apara"/>
        <w:keepNext/>
      </w:pPr>
      <w:r w:rsidRPr="00297A38">
        <w:tab/>
        <w:t>(b)</w:t>
      </w:r>
      <w:r w:rsidRPr="00297A38">
        <w:tab/>
        <w:t>if the proposed action was to cancel the exemption—</w:t>
      </w:r>
    </w:p>
    <w:p w14:paraId="26BD1E13" w14:textId="77777777" w:rsidR="00DB6E47" w:rsidRPr="00516F02" w:rsidRDefault="00DB6E47" w:rsidP="00DB6E47">
      <w:pPr>
        <w:pStyle w:val="Asubpara"/>
      </w:pPr>
      <w:r w:rsidRPr="00516F02">
        <w:tab/>
        <w:t>(i)</w:t>
      </w:r>
      <w:r w:rsidRPr="00516F02">
        <w:tab/>
        <w:t>amend the exemption, including, for example, by imposing additional conditions on the exemption; or</w:t>
      </w:r>
    </w:p>
    <w:p w14:paraId="40377AC5" w14:textId="77777777" w:rsidR="00DB6E47" w:rsidRPr="00516F02" w:rsidRDefault="00DB6E47" w:rsidP="00DB6E47">
      <w:pPr>
        <w:pStyle w:val="Asubpara"/>
      </w:pPr>
      <w:r w:rsidRPr="00516F02">
        <w:tab/>
        <w:t>(ii)</w:t>
      </w:r>
      <w:r w:rsidRPr="00516F02">
        <w:tab/>
        <w:t>cancel the exemption.</w:t>
      </w:r>
    </w:p>
    <w:p w14:paraId="2B6DB66D" w14:textId="77777777" w:rsidR="00DB6E47" w:rsidRPr="00283AFC" w:rsidRDefault="00DB6E47" w:rsidP="00DB6E47">
      <w:pPr>
        <w:pStyle w:val="Amain"/>
      </w:pPr>
      <w:r w:rsidRPr="00283AFC">
        <w:tab/>
        <w:t>(4)</w:t>
      </w:r>
      <w:r w:rsidRPr="00283AFC">
        <w:tab/>
        <w:t>The Regulator must give the holder an information notice for the decision.</w:t>
      </w:r>
    </w:p>
    <w:p w14:paraId="2AFC4BCA" w14:textId="77777777" w:rsidR="00DB6E47" w:rsidRPr="00283AFC" w:rsidRDefault="00DB6E47" w:rsidP="0067431A">
      <w:pPr>
        <w:pStyle w:val="Amain"/>
        <w:keepNext/>
      </w:pPr>
      <w:r w:rsidRPr="00283AFC">
        <w:lastRenderedPageBreak/>
        <w:tab/>
        <w:t>(5)</w:t>
      </w:r>
      <w:r w:rsidRPr="00283AFC">
        <w:tab/>
        <w:t>The amendment or cancellation takes effect—</w:t>
      </w:r>
    </w:p>
    <w:p w14:paraId="2BF45635" w14:textId="77777777" w:rsidR="00DB6E47" w:rsidRPr="00297A38" w:rsidRDefault="00DB6E47" w:rsidP="00DB6E47">
      <w:pPr>
        <w:pStyle w:val="Apara"/>
      </w:pPr>
      <w:r w:rsidRPr="00297A38">
        <w:tab/>
        <w:t>(a)</w:t>
      </w:r>
      <w:r w:rsidRPr="00297A38">
        <w:tab/>
        <w:t>when the information notice is given to the holder; or</w:t>
      </w:r>
    </w:p>
    <w:p w14:paraId="579BF037" w14:textId="77777777" w:rsidR="00DB6E47" w:rsidRPr="00297A38" w:rsidRDefault="00DB6E47" w:rsidP="00DB6E47">
      <w:pPr>
        <w:pStyle w:val="Apara"/>
      </w:pPr>
      <w:r w:rsidRPr="00297A38">
        <w:tab/>
        <w:t>(b)</w:t>
      </w:r>
      <w:r w:rsidRPr="00297A38">
        <w:tab/>
        <w:t>if a later time is stated in the information notice, at the later time.</w:t>
      </w:r>
    </w:p>
    <w:p w14:paraId="145B5A54" w14:textId="77777777" w:rsidR="00DB6E47" w:rsidRPr="007E1F9A" w:rsidRDefault="00DB6E47" w:rsidP="00DB6E47">
      <w:pPr>
        <w:pStyle w:val="AH5Sec"/>
      </w:pPr>
      <w:bookmarkStart w:id="307" w:name="_Toc83625651"/>
      <w:r w:rsidRPr="005E03F7">
        <w:rPr>
          <w:rStyle w:val="CharSectNo"/>
        </w:rPr>
        <w:t>282</w:t>
      </w:r>
      <w:r w:rsidRPr="007E1F9A">
        <w:tab/>
        <w:t>Immediate suspension of work and rest hours exemption (permit)</w:t>
      </w:r>
      <w:bookmarkEnd w:id="307"/>
    </w:p>
    <w:p w14:paraId="0FA51505" w14:textId="77777777" w:rsidR="00DB6E47" w:rsidRPr="006C3305" w:rsidRDefault="00DB6E47" w:rsidP="00DB6E47">
      <w:pPr>
        <w:pStyle w:val="Amain"/>
      </w:pPr>
      <w:r>
        <w:tab/>
        <w:t>(</w:t>
      </w:r>
      <w:r w:rsidRPr="006C3305">
        <w:t>1)</w:t>
      </w:r>
      <w:r w:rsidRPr="006C3305">
        <w:tab/>
        <w:t>This section applies if the Regulator considers—</w:t>
      </w:r>
    </w:p>
    <w:p w14:paraId="4B2425C0" w14:textId="77777777" w:rsidR="00DB6E47" w:rsidRPr="00297A38" w:rsidRDefault="00DB6E47" w:rsidP="00DB6E47">
      <w:pPr>
        <w:pStyle w:val="Apara"/>
      </w:pPr>
      <w:r w:rsidRPr="00297A38">
        <w:tab/>
        <w:t>(a)</w:t>
      </w:r>
      <w:r w:rsidRPr="00297A38">
        <w:tab/>
        <w:t>a ground exists to cancel a work and rest hours exemption (permit); and</w:t>
      </w:r>
    </w:p>
    <w:p w14:paraId="44C914C9" w14:textId="77777777" w:rsidR="00DB6E47" w:rsidRPr="00297A38" w:rsidRDefault="00DB6E47" w:rsidP="00DB6E47">
      <w:pPr>
        <w:pStyle w:val="Apara"/>
      </w:pPr>
      <w:r w:rsidRPr="00297A38">
        <w:tab/>
        <w:t>(b)</w:t>
      </w:r>
      <w:r w:rsidRPr="00297A38">
        <w:tab/>
        <w:t>it is necessary to suspend the exemption immediately to prevent or minimise serious harm to public safety.</w:t>
      </w:r>
    </w:p>
    <w:p w14:paraId="712F3B48" w14:textId="77777777" w:rsidR="00DB6E47" w:rsidRPr="00283AFC" w:rsidRDefault="00DB6E47" w:rsidP="00D80638">
      <w:pPr>
        <w:pStyle w:val="Amain"/>
        <w:keepNext/>
      </w:pPr>
      <w:r w:rsidRPr="00283AFC">
        <w:tab/>
        <w:t>(2)</w:t>
      </w:r>
      <w:r w:rsidRPr="00283AFC">
        <w:tab/>
        <w:t>The Regulator may, by notice (</w:t>
      </w:r>
      <w:r w:rsidRPr="00FF4454">
        <w:rPr>
          <w:rStyle w:val="charBoldItals"/>
        </w:rPr>
        <w:t>immediate suspension notice</w:t>
      </w:r>
      <w:r w:rsidRPr="00283AFC">
        <w:t>) given to the person to whom the permit for the exemption was given, immediately suspend the exemption until the earliest of the following—</w:t>
      </w:r>
    </w:p>
    <w:p w14:paraId="3C02384F" w14:textId="77777777" w:rsidR="00DB6E47" w:rsidRPr="00297A38" w:rsidRDefault="00DB6E47" w:rsidP="00DB6E47">
      <w:pPr>
        <w:pStyle w:val="Apara"/>
      </w:pPr>
      <w:r w:rsidRPr="00297A38">
        <w:tab/>
        <w:t>(a)</w:t>
      </w:r>
      <w:r w:rsidRPr="00297A38">
        <w:tab/>
        <w:t>the Regulator gives the ho</w:t>
      </w:r>
      <w:r w:rsidR="00574AE1">
        <w:t>lder a notice under section 281</w:t>
      </w:r>
      <w:r w:rsidRPr="00297A38">
        <w:t>(4)</w:t>
      </w:r>
      <w:r w:rsidR="00574AE1">
        <w:t xml:space="preserve"> </w:t>
      </w:r>
      <w:r w:rsidRPr="00297A38">
        <w:t>and the amendment or cancellation takes effect under section</w:t>
      </w:r>
      <w:r w:rsidR="00574AE1">
        <w:t> </w:t>
      </w:r>
      <w:r w:rsidRPr="00297A38">
        <w:t>281(5);</w:t>
      </w:r>
    </w:p>
    <w:p w14:paraId="3C3711FB" w14:textId="77777777" w:rsidR="00DB6E47" w:rsidRPr="00297A38" w:rsidRDefault="00DB6E47" w:rsidP="00DB6E47">
      <w:pPr>
        <w:pStyle w:val="Apara"/>
      </w:pPr>
      <w:r w:rsidRPr="00297A38">
        <w:tab/>
        <w:t>(b)</w:t>
      </w:r>
      <w:r w:rsidRPr="00297A38">
        <w:tab/>
        <w:t>the Regulator cancels the suspension;</w:t>
      </w:r>
    </w:p>
    <w:p w14:paraId="27B99783" w14:textId="77777777" w:rsidR="00DB6E47" w:rsidRPr="00297A38" w:rsidRDefault="00DB6E47" w:rsidP="00DB6E47">
      <w:pPr>
        <w:pStyle w:val="Apara"/>
      </w:pPr>
      <w:r w:rsidRPr="00297A38">
        <w:tab/>
        <w:t>(c)</w:t>
      </w:r>
      <w:r w:rsidRPr="00297A38">
        <w:tab/>
        <w:t>the end of 56 days after the day the immediate suspension notice is given to the holder.</w:t>
      </w:r>
    </w:p>
    <w:p w14:paraId="15F64174" w14:textId="77777777" w:rsidR="00DB6E47" w:rsidRPr="00283AFC" w:rsidRDefault="00DB6E47" w:rsidP="00DB6E47">
      <w:pPr>
        <w:pStyle w:val="Amain"/>
      </w:pPr>
      <w:r w:rsidRPr="00283AFC">
        <w:tab/>
        <w:t>(3)</w:t>
      </w:r>
      <w:r w:rsidRPr="00283AFC">
        <w:tab/>
        <w:t>This section applies despite sections 280 and 281.</w:t>
      </w:r>
    </w:p>
    <w:p w14:paraId="2339AFD9" w14:textId="77777777" w:rsidR="00DB6E47" w:rsidRPr="007E1F9A" w:rsidRDefault="00DB6E47" w:rsidP="00DB6E47">
      <w:pPr>
        <w:pStyle w:val="AH5Sec"/>
      </w:pPr>
      <w:bookmarkStart w:id="308" w:name="_Toc83625652"/>
      <w:r w:rsidRPr="005E03F7">
        <w:rPr>
          <w:rStyle w:val="CharSectNo"/>
        </w:rPr>
        <w:t>283</w:t>
      </w:r>
      <w:r w:rsidRPr="007E1F9A">
        <w:tab/>
        <w:t>Minor amendment of work and rest hours exemption (permit)</w:t>
      </w:r>
      <w:bookmarkEnd w:id="308"/>
    </w:p>
    <w:p w14:paraId="771BCDDA" w14:textId="77777777" w:rsidR="00DB6E47" w:rsidRPr="00283AFC" w:rsidRDefault="00DB6E47" w:rsidP="0067431A">
      <w:pPr>
        <w:pStyle w:val="Amainreturn"/>
        <w:keepNext/>
      </w:pPr>
      <w:r w:rsidRPr="00283AFC">
        <w:t>The Regulator may, by notice given to the holder of a permit for a work and rest hours exemption (permit), amend the exemption in a minor respect—</w:t>
      </w:r>
    </w:p>
    <w:p w14:paraId="00B522FA" w14:textId="77777777" w:rsidR="00DB6E47" w:rsidRPr="00297A38" w:rsidRDefault="00DB6E47" w:rsidP="00DB6E47">
      <w:pPr>
        <w:pStyle w:val="Apara"/>
      </w:pPr>
      <w:r w:rsidRPr="00297A38">
        <w:tab/>
        <w:t>(a)</w:t>
      </w:r>
      <w:r w:rsidRPr="00297A38">
        <w:tab/>
        <w:t>for a formal or clerical reason; or</w:t>
      </w:r>
    </w:p>
    <w:p w14:paraId="400B912F" w14:textId="77777777" w:rsidR="00DB6E47" w:rsidRPr="00297A38" w:rsidRDefault="00DB6E47" w:rsidP="00DB6E47">
      <w:pPr>
        <w:pStyle w:val="Apara"/>
      </w:pPr>
      <w:r w:rsidRPr="00297A38">
        <w:lastRenderedPageBreak/>
        <w:tab/>
        <w:t>(b)</w:t>
      </w:r>
      <w:r w:rsidRPr="00297A38">
        <w:tab/>
        <w:t>in another way that does not adversely affect the holder’s interests.</w:t>
      </w:r>
    </w:p>
    <w:p w14:paraId="16CD930B" w14:textId="77777777" w:rsidR="00DB6E47" w:rsidRPr="007E1F9A" w:rsidRDefault="00DB6E47" w:rsidP="00DB6E47">
      <w:pPr>
        <w:pStyle w:val="AH5Sec"/>
      </w:pPr>
      <w:bookmarkStart w:id="309" w:name="_Toc83625653"/>
      <w:r w:rsidRPr="005E03F7">
        <w:rPr>
          <w:rStyle w:val="CharSectNo"/>
        </w:rPr>
        <w:t>284</w:t>
      </w:r>
      <w:r w:rsidRPr="007E1F9A">
        <w:tab/>
        <w:t>Return of permit</w:t>
      </w:r>
      <w:bookmarkEnd w:id="309"/>
    </w:p>
    <w:p w14:paraId="678EB934" w14:textId="77777777" w:rsidR="00DB6E47" w:rsidRPr="00283AFC" w:rsidRDefault="00DB6E47" w:rsidP="00DB6E47">
      <w:pPr>
        <w:pStyle w:val="Amain"/>
      </w:pPr>
      <w:r w:rsidRPr="00283AFC">
        <w:tab/>
        <w:t>(1)</w:t>
      </w:r>
      <w:r w:rsidRPr="00283AFC">
        <w:tab/>
        <w:t>If a person’s work and rest hours exemption (permit) is amended or cancelled, the Regulator may, by notice given to the person, require the person to return the person’s permit for the exemption to the Regulator.</w:t>
      </w:r>
    </w:p>
    <w:p w14:paraId="6963E02C" w14:textId="77777777" w:rsidR="00DB6E47" w:rsidRPr="00283AFC" w:rsidRDefault="00DB6E47" w:rsidP="00DB6E47">
      <w:pPr>
        <w:pStyle w:val="Amain"/>
      </w:pPr>
      <w:r w:rsidRPr="00283AFC">
        <w:tab/>
        <w:t>(2)</w:t>
      </w:r>
      <w:r w:rsidRPr="00283AFC">
        <w:tab/>
        <w:t>The person must comply with the notice within 7 days after the notice is given to the person or, if a longer period is stated in the notice, within the longer period.</w:t>
      </w:r>
    </w:p>
    <w:p w14:paraId="379BE17C" w14:textId="77777777" w:rsidR="00DB6E47" w:rsidRPr="006C3305" w:rsidRDefault="00DB6E47" w:rsidP="00DB6E47">
      <w:pPr>
        <w:pStyle w:val="Penalty"/>
      </w:pPr>
      <w:r w:rsidRPr="006C3305">
        <w:t>Maximum penalty—$6000.</w:t>
      </w:r>
    </w:p>
    <w:p w14:paraId="7226224B" w14:textId="77777777" w:rsidR="00DB6E47" w:rsidRPr="00283AFC" w:rsidRDefault="00DB6E47" w:rsidP="00DB6E47">
      <w:pPr>
        <w:pStyle w:val="Amain"/>
      </w:pPr>
      <w:r w:rsidRPr="00283AFC">
        <w:tab/>
        <w:t>(3)</w:t>
      </w:r>
      <w:r w:rsidRPr="00283AFC">
        <w:tab/>
        <w:t>If the exemption has been amended, the Regulator must give the person a replacement permit for the exemption as amended.</w:t>
      </w:r>
    </w:p>
    <w:p w14:paraId="3BFE85B1" w14:textId="77777777" w:rsidR="00DB6E47" w:rsidRPr="007E1F9A" w:rsidRDefault="00DB6E47" w:rsidP="00DB6E47">
      <w:pPr>
        <w:pStyle w:val="AH5Sec"/>
      </w:pPr>
      <w:bookmarkStart w:id="310" w:name="_Toc83625654"/>
      <w:r w:rsidRPr="005E03F7">
        <w:rPr>
          <w:rStyle w:val="CharSectNo"/>
        </w:rPr>
        <w:t>285</w:t>
      </w:r>
      <w:r w:rsidRPr="007E1F9A">
        <w:tab/>
        <w:t>Replacement of defaced etc. permit</w:t>
      </w:r>
      <w:bookmarkEnd w:id="310"/>
    </w:p>
    <w:p w14:paraId="2E5BA740" w14:textId="77777777" w:rsidR="00DB6E47" w:rsidRPr="00283AFC" w:rsidRDefault="00DB6E47" w:rsidP="00DB6E47">
      <w:pPr>
        <w:pStyle w:val="Amain"/>
      </w:pPr>
      <w:r w:rsidRPr="00283AFC">
        <w:tab/>
        <w:t>(1)</w:t>
      </w:r>
      <w:r w:rsidRPr="00283AFC">
        <w:tab/>
        <w:t>If a person’s permit for a work and rest hours exemption (permit) is defaced, destroyed, lost or stolen, the person must, as soon as reasonably practicable after becoming aware of the matter, apply to the Regulator for a replacement permit.</w:t>
      </w:r>
    </w:p>
    <w:p w14:paraId="0D2C14D3" w14:textId="77777777" w:rsidR="00DB6E47" w:rsidRPr="006C3305" w:rsidRDefault="00DB6E47" w:rsidP="00DB6E47">
      <w:pPr>
        <w:pStyle w:val="Penalty"/>
      </w:pPr>
      <w:r w:rsidRPr="006C3305">
        <w:t>Maximum penalty—$4000.</w:t>
      </w:r>
    </w:p>
    <w:p w14:paraId="6F279C92" w14:textId="77777777" w:rsidR="00DB6E47" w:rsidRPr="00283AFC" w:rsidRDefault="00DB6E47" w:rsidP="00DB6E47">
      <w:pPr>
        <w:pStyle w:val="Amain"/>
      </w:pPr>
      <w:r w:rsidRPr="00283AFC">
        <w:tab/>
        <w:t>(2)</w:t>
      </w:r>
      <w:r w:rsidRPr="00283AFC">
        <w:tab/>
        <w:t>If the Regulator is satisfied the permit has been defaced, destroyed, lost or stolen, the Regulator must give the person a replacement permit as soon as practicable.</w:t>
      </w:r>
    </w:p>
    <w:p w14:paraId="5DAE7689" w14:textId="77777777" w:rsidR="00DB6E47" w:rsidRPr="00283AFC" w:rsidRDefault="00DB6E47" w:rsidP="00DB6E47">
      <w:pPr>
        <w:pStyle w:val="Amain"/>
      </w:pPr>
      <w:r w:rsidRPr="00283AFC">
        <w:tab/>
        <w:t>(3)</w:t>
      </w:r>
      <w:r w:rsidRPr="00283AFC">
        <w:tab/>
        <w:t>If the Regulator decides not to give a replacement permit to the person, the Regulator must give the person an information notice for the decision.</w:t>
      </w:r>
    </w:p>
    <w:p w14:paraId="09065C62" w14:textId="77777777" w:rsidR="00DB6E47" w:rsidRPr="00A95F9A" w:rsidRDefault="00DB6E47" w:rsidP="00DB6E47">
      <w:pPr>
        <w:pStyle w:val="AH4SubDiv"/>
      </w:pPr>
      <w:bookmarkStart w:id="311" w:name="_Toc83625655"/>
      <w:r w:rsidRPr="00A95F9A">
        <w:lastRenderedPageBreak/>
        <w:t xml:space="preserve">Subdivision 4 </w:t>
      </w:r>
      <w:r w:rsidRPr="00A95F9A">
        <w:tab/>
        <w:t>Offences relating to operating under work and rest hours exemption etc.</w:t>
      </w:r>
      <w:bookmarkEnd w:id="311"/>
    </w:p>
    <w:p w14:paraId="5412E3AF" w14:textId="77777777" w:rsidR="00DB6E47" w:rsidRPr="007E1F9A" w:rsidRDefault="00DB6E47" w:rsidP="00DB6E47">
      <w:pPr>
        <w:pStyle w:val="AH5Sec"/>
      </w:pPr>
      <w:bookmarkStart w:id="312" w:name="_Toc83625656"/>
      <w:r w:rsidRPr="005E03F7">
        <w:rPr>
          <w:rStyle w:val="CharSectNo"/>
        </w:rPr>
        <w:t>286</w:t>
      </w:r>
      <w:r w:rsidRPr="007E1F9A">
        <w:tab/>
        <w:t>Contravening condition of work and rest hours exemption</w:t>
      </w:r>
      <w:bookmarkEnd w:id="312"/>
    </w:p>
    <w:p w14:paraId="73B5805F" w14:textId="77777777" w:rsidR="00DB6E47" w:rsidRPr="00283AFC" w:rsidRDefault="00DB6E47" w:rsidP="00DB6E47">
      <w:pPr>
        <w:pStyle w:val="Amain"/>
      </w:pPr>
      <w:r w:rsidRPr="00283AFC">
        <w:tab/>
        <w:t>(1)</w:t>
      </w:r>
      <w:r w:rsidRPr="00283AFC">
        <w:tab/>
        <w:t>A person must not contravene a condition of a work and rest hours exemption.</w:t>
      </w:r>
    </w:p>
    <w:p w14:paraId="150AA783" w14:textId="77777777" w:rsidR="00DB6E47" w:rsidRPr="006C3305" w:rsidRDefault="00DB6E47" w:rsidP="00DB6E47">
      <w:pPr>
        <w:pStyle w:val="Penalty"/>
      </w:pPr>
      <w:r w:rsidRPr="006C3305">
        <w:t>Maximum penalty—$6000.</w:t>
      </w:r>
    </w:p>
    <w:p w14:paraId="54C90EC0" w14:textId="77777777" w:rsidR="00DB6E47" w:rsidRPr="00283AFC" w:rsidRDefault="00DB6E47" w:rsidP="00DB6E47">
      <w:pPr>
        <w:pStyle w:val="Amain"/>
      </w:pPr>
      <w:r w:rsidRPr="00283AFC">
        <w:tab/>
        <w:t>(2)</w:t>
      </w:r>
      <w:r w:rsidRPr="00283AFC">
        <w:tab/>
        <w:t>In this section—</w:t>
      </w:r>
    </w:p>
    <w:p w14:paraId="4047C480" w14:textId="77777777" w:rsidR="00DB6E47" w:rsidRPr="00041046" w:rsidRDefault="00DB6E47" w:rsidP="00DB6E47">
      <w:pPr>
        <w:pStyle w:val="aDef"/>
        <w:rPr>
          <w:bCs/>
        </w:rPr>
      </w:pPr>
      <w:r w:rsidRPr="00041046">
        <w:rPr>
          <w:rStyle w:val="charBoldItals"/>
        </w:rPr>
        <w:t>condition</w:t>
      </w:r>
      <w:r w:rsidRPr="00041046">
        <w:t>, of a work and rest hours exemption, does not include—</w:t>
      </w:r>
    </w:p>
    <w:p w14:paraId="1C4A39CB" w14:textId="77777777" w:rsidR="00DB6E47" w:rsidRPr="00574AE1" w:rsidRDefault="00DB6E47" w:rsidP="00DB6E47">
      <w:pPr>
        <w:pStyle w:val="aDefpara"/>
      </w:pPr>
      <w:r w:rsidRPr="00FF4454">
        <w:tab/>
      </w:r>
      <w:r w:rsidRPr="00F04D8E">
        <w:rPr>
          <w:rFonts w:cs="Times"/>
          <w:bCs/>
          <w:iCs/>
        </w:rPr>
        <w:t>(a)</w:t>
      </w:r>
      <w:r w:rsidRPr="00FF4454">
        <w:rPr>
          <w:rStyle w:val="charBoldItals"/>
        </w:rPr>
        <w:tab/>
      </w:r>
      <w:r w:rsidRPr="00574AE1">
        <w:t>a condition mentioned in section 287(1); or</w:t>
      </w:r>
    </w:p>
    <w:p w14:paraId="6697EBAC" w14:textId="77777777" w:rsidR="00DB6E47" w:rsidRPr="00574AE1" w:rsidRDefault="00DB6E47" w:rsidP="00DB6E47">
      <w:pPr>
        <w:pStyle w:val="aDefpara"/>
      </w:pPr>
      <w:r w:rsidRPr="00574AE1">
        <w:tab/>
        <w:t>(b)</w:t>
      </w:r>
      <w:r w:rsidRPr="00574AE1">
        <w:tab/>
        <w:t>anything stating the exemption hours for the exemption.</w:t>
      </w:r>
    </w:p>
    <w:p w14:paraId="6D3917E6" w14:textId="77777777" w:rsidR="00DB6E47" w:rsidRPr="007E1F9A" w:rsidRDefault="00DB6E47" w:rsidP="00DB6E47">
      <w:pPr>
        <w:pStyle w:val="AH5Sec"/>
      </w:pPr>
      <w:bookmarkStart w:id="313" w:name="_Toc83625657"/>
      <w:r w:rsidRPr="005E03F7">
        <w:rPr>
          <w:rStyle w:val="CharSectNo"/>
        </w:rPr>
        <w:t>287</w:t>
      </w:r>
      <w:r w:rsidRPr="007E1F9A">
        <w:tab/>
        <w:t>Keeping relevant document while operating under work and rest hours exemption (notice)</w:t>
      </w:r>
      <w:bookmarkEnd w:id="313"/>
    </w:p>
    <w:p w14:paraId="4256BA68" w14:textId="77777777" w:rsidR="00DB6E47" w:rsidRPr="00283AFC" w:rsidRDefault="00DB6E47" w:rsidP="00DB6E47">
      <w:pPr>
        <w:pStyle w:val="Amain"/>
      </w:pPr>
      <w:r w:rsidRPr="00283AFC">
        <w:tab/>
        <w:t>(1)</w:t>
      </w:r>
      <w:r w:rsidRPr="00283AFC">
        <w:tab/>
        <w:t>This section applies if a work and rest hours exemption (notice) is subject to the condition that the driver of a fatigue-regulated heavy vehicle who is operating under the exemption must keep a relevant document in the driver’s possession.</w:t>
      </w:r>
    </w:p>
    <w:p w14:paraId="1439F855" w14:textId="77777777" w:rsidR="00DB6E47" w:rsidRPr="00283AFC" w:rsidRDefault="00DB6E47" w:rsidP="00DB6E47">
      <w:pPr>
        <w:pStyle w:val="Amain"/>
      </w:pPr>
      <w:r w:rsidRPr="00283AFC">
        <w:tab/>
        <w:t>(2)</w:t>
      </w:r>
      <w:r w:rsidRPr="00283AFC">
        <w:tab/>
        <w:t>A driver of the fatigue-regulated heavy vehicle who is operating under the work and rest hours exemption (notice) must comply with the condition.</w:t>
      </w:r>
    </w:p>
    <w:p w14:paraId="0EF89279" w14:textId="77777777" w:rsidR="00DB6E47" w:rsidRPr="006C3305" w:rsidRDefault="00DB6E47" w:rsidP="00DB6E47">
      <w:pPr>
        <w:pStyle w:val="Penalty"/>
      </w:pPr>
      <w:r w:rsidRPr="006C3305">
        <w:t>Maximum penalty—$3000.</w:t>
      </w:r>
    </w:p>
    <w:p w14:paraId="7117EB45" w14:textId="77777777" w:rsidR="00D935B5" w:rsidRPr="00D935B5" w:rsidRDefault="00D935B5" w:rsidP="00D935B5">
      <w:pPr>
        <w:pStyle w:val="Amain"/>
        <w:rPr>
          <w:lang w:val="en" w:eastAsia="en-AU"/>
        </w:rPr>
      </w:pPr>
      <w:r>
        <w:rPr>
          <w:lang w:val="en" w:eastAsia="en-AU"/>
        </w:rPr>
        <w:tab/>
      </w:r>
      <w:r w:rsidRPr="00D935B5">
        <w:rPr>
          <w:lang w:val="en" w:eastAsia="en-AU"/>
        </w:rPr>
        <w:t>(3)</w:t>
      </w:r>
      <w:r>
        <w:rPr>
          <w:lang w:val="en" w:eastAsia="en-AU"/>
        </w:rPr>
        <w:tab/>
      </w:r>
      <w:r w:rsidRPr="00D935B5">
        <w:rPr>
          <w:lang w:val="en" w:eastAsia="en-AU"/>
        </w:rPr>
        <w:t>Each relevant party for a driver mentioned in subsection (2) must ensure the driver complies with subsection (2), unless the relevant party has a reasonable excuse.</w:t>
      </w:r>
    </w:p>
    <w:p w14:paraId="3DA9A290" w14:textId="77777777" w:rsidR="00D935B5" w:rsidRPr="00D935B5" w:rsidRDefault="00D935B5" w:rsidP="00D935B5">
      <w:pPr>
        <w:pStyle w:val="Penalty"/>
        <w:rPr>
          <w:lang w:val="en" w:eastAsia="en-AU"/>
        </w:rPr>
      </w:pPr>
      <w:r w:rsidRPr="00D935B5">
        <w:rPr>
          <w:lang w:val="en" w:eastAsia="en-AU"/>
        </w:rPr>
        <w:t>Maximum penalty—$3000.</w:t>
      </w:r>
    </w:p>
    <w:p w14:paraId="2FCE48C1" w14:textId="77777777" w:rsidR="00DB6E47" w:rsidRPr="00283AFC" w:rsidRDefault="00DB6E47" w:rsidP="00A77F94">
      <w:pPr>
        <w:pStyle w:val="Amain"/>
        <w:keepNext/>
      </w:pPr>
      <w:r w:rsidRPr="00283AFC">
        <w:lastRenderedPageBreak/>
        <w:tab/>
        <w:t>(7)</w:t>
      </w:r>
      <w:r w:rsidRPr="00283AFC">
        <w:tab/>
        <w:t>In this section—</w:t>
      </w:r>
    </w:p>
    <w:p w14:paraId="17C9D0CF" w14:textId="77777777" w:rsidR="00DB6E47" w:rsidRPr="00041046" w:rsidRDefault="00DB6E47" w:rsidP="00DB6E47">
      <w:pPr>
        <w:pStyle w:val="aDef"/>
        <w:rPr>
          <w:bCs/>
        </w:rPr>
      </w:pPr>
      <w:r w:rsidRPr="00041046">
        <w:rPr>
          <w:rStyle w:val="charBoldItals"/>
        </w:rPr>
        <w:t>relevant document</w:t>
      </w:r>
      <w:r w:rsidRPr="00041046">
        <w:t>, for a work and rest hours exemption (notice), means a copy of—</w:t>
      </w:r>
    </w:p>
    <w:p w14:paraId="345C4D9F" w14:textId="77777777" w:rsidR="00DB6E47" w:rsidRPr="00574AE1" w:rsidRDefault="00DB6E47" w:rsidP="00DB6E47">
      <w:pPr>
        <w:pStyle w:val="aDefpara"/>
      </w:pPr>
      <w:r w:rsidRPr="00FF4454">
        <w:tab/>
      </w:r>
      <w:r w:rsidRPr="00F04D8E">
        <w:rPr>
          <w:rFonts w:cs="Times"/>
          <w:bCs/>
          <w:iCs/>
        </w:rPr>
        <w:t>(a)</w:t>
      </w:r>
      <w:r w:rsidRPr="00FF4454">
        <w:rPr>
          <w:rStyle w:val="charBoldItals"/>
        </w:rPr>
        <w:tab/>
      </w:r>
      <w:r w:rsidRPr="00574AE1">
        <w:t>the Commonwealth Gazette notice for the exemption; or</w:t>
      </w:r>
    </w:p>
    <w:p w14:paraId="541A9DFC" w14:textId="77777777" w:rsidR="00DB6E47" w:rsidRPr="00574AE1" w:rsidRDefault="00DB6E47" w:rsidP="00DB6E47">
      <w:pPr>
        <w:pStyle w:val="aDefpara"/>
      </w:pPr>
      <w:r w:rsidRPr="00574AE1">
        <w:tab/>
        <w:t>(b)</w:t>
      </w:r>
      <w:r w:rsidRPr="00574AE1">
        <w:tab/>
        <w:t>an information sheet about the exemption published by the Regulator on the Regulator’s website.</w:t>
      </w:r>
    </w:p>
    <w:p w14:paraId="1C2BA27E" w14:textId="77777777" w:rsidR="00DB6E47" w:rsidRPr="00041046" w:rsidRDefault="00DB6E47" w:rsidP="00DB6E47">
      <w:pPr>
        <w:pStyle w:val="aDef"/>
        <w:rPr>
          <w:bCs/>
        </w:rPr>
      </w:pPr>
      <w:r w:rsidRPr="00041046">
        <w:rPr>
          <w:rStyle w:val="charBoldItals"/>
        </w:rPr>
        <w:t>relevant party</w:t>
      </w:r>
      <w:r w:rsidRPr="00041046">
        <w:t>, for the driver of a fatigue-regulated heavy vehicle, means—</w:t>
      </w:r>
    </w:p>
    <w:p w14:paraId="51057C5C" w14:textId="77777777" w:rsidR="00DB6E47" w:rsidRPr="00574AE1" w:rsidRDefault="00DB6E47" w:rsidP="00DB6E47">
      <w:pPr>
        <w:pStyle w:val="aDefpara"/>
      </w:pPr>
      <w:r w:rsidRPr="00FF4454">
        <w:tab/>
      </w:r>
      <w:r w:rsidRPr="00F04D8E">
        <w:rPr>
          <w:rFonts w:cs="Times"/>
          <w:bCs/>
          <w:iCs/>
        </w:rPr>
        <w:t>(a)</w:t>
      </w:r>
      <w:r w:rsidRPr="00FF4454">
        <w:rPr>
          <w:rStyle w:val="charBoldItals"/>
        </w:rPr>
        <w:tab/>
      </w:r>
      <w:r w:rsidRPr="00574AE1">
        <w:t>an employer of the driver if the driver is an employed driver; or</w:t>
      </w:r>
    </w:p>
    <w:p w14:paraId="5A80C54A" w14:textId="77777777" w:rsidR="00DB6E47" w:rsidRPr="00574AE1" w:rsidRDefault="00DB6E47" w:rsidP="00DB6E47">
      <w:pPr>
        <w:pStyle w:val="aDefpara"/>
      </w:pPr>
      <w:r w:rsidRPr="00574AE1">
        <w:tab/>
        <w:t>(b)</w:t>
      </w:r>
      <w:r w:rsidRPr="00574AE1">
        <w:tab/>
        <w:t>a prime contractor of the driver if the driver is a self-employed driver; or</w:t>
      </w:r>
    </w:p>
    <w:p w14:paraId="191D88FE" w14:textId="77777777" w:rsidR="00DB6E47" w:rsidRPr="00574AE1" w:rsidRDefault="00DB6E47" w:rsidP="00DB6E47">
      <w:pPr>
        <w:pStyle w:val="aDefpara"/>
      </w:pPr>
      <w:r w:rsidRPr="00574AE1">
        <w:tab/>
        <w:t>(c)</w:t>
      </w:r>
      <w:r w:rsidRPr="00574AE1">
        <w:tab/>
        <w:t>an operator of the vehicle if the driver is making a journey for the operator.</w:t>
      </w:r>
    </w:p>
    <w:p w14:paraId="1D1D3B56" w14:textId="77777777" w:rsidR="00DB6E47" w:rsidRPr="007E1F9A" w:rsidRDefault="00DB6E47" w:rsidP="00DB6E47">
      <w:pPr>
        <w:pStyle w:val="AH5Sec"/>
      </w:pPr>
      <w:bookmarkStart w:id="314" w:name="_Toc83625658"/>
      <w:r w:rsidRPr="005E03F7">
        <w:rPr>
          <w:rStyle w:val="CharSectNo"/>
        </w:rPr>
        <w:t>288</w:t>
      </w:r>
      <w:r w:rsidRPr="007E1F9A">
        <w:tab/>
        <w:t>Keeping copy of permit while driving under work and rest hours exemption (permit)</w:t>
      </w:r>
      <w:bookmarkEnd w:id="314"/>
    </w:p>
    <w:p w14:paraId="057A1B87" w14:textId="77777777" w:rsidR="00DB6E47" w:rsidRPr="00283AFC" w:rsidRDefault="00DB6E47" w:rsidP="00DB6E47">
      <w:pPr>
        <w:pStyle w:val="Amain"/>
      </w:pPr>
      <w:r w:rsidRPr="00283AFC">
        <w:tab/>
        <w:t>(1)</w:t>
      </w:r>
      <w:r w:rsidRPr="00283AFC">
        <w:tab/>
        <w:t>The driver of a fatigue-regulated heavy vehicle who is driving the vehicle under a work and rest hours exemption (permit) must keep a copy of the permit for the exemption in the driver’s possession.</w:t>
      </w:r>
    </w:p>
    <w:p w14:paraId="387EAFE2" w14:textId="77777777" w:rsidR="00DB6E47" w:rsidRPr="006C3305" w:rsidRDefault="00DB6E47" w:rsidP="00DB6E47">
      <w:pPr>
        <w:pStyle w:val="Penalty"/>
      </w:pPr>
      <w:r w:rsidRPr="006C3305">
        <w:t>Maximum penalty—$3000.</w:t>
      </w:r>
    </w:p>
    <w:p w14:paraId="6F2E4086" w14:textId="77777777" w:rsidR="00DB6E47" w:rsidRPr="00283AFC" w:rsidRDefault="00DB6E47" w:rsidP="00D80638">
      <w:pPr>
        <w:pStyle w:val="Amain"/>
        <w:keepNext/>
      </w:pPr>
      <w:r w:rsidRPr="00283AFC">
        <w:tab/>
        <w:t>(2)</w:t>
      </w:r>
      <w:r w:rsidRPr="00283AFC">
        <w:tab/>
        <w:t>If the driver of a fatigue-regulated heavy vehicle is operating under a work and rest hours exemption (permit) granted to a relevant party for the driver and the relevant party has given the driver a copy of a permit for the purpose of subsection (1), the driver must, as soon as reasonably practicable, return the copy to the relevant party if the driver—</w:t>
      </w:r>
    </w:p>
    <w:p w14:paraId="5C6E4333" w14:textId="77777777" w:rsidR="00DB6E47" w:rsidRPr="00297A38" w:rsidRDefault="00DB6E47" w:rsidP="00DB6E47">
      <w:pPr>
        <w:pStyle w:val="Apara"/>
      </w:pPr>
      <w:r w:rsidRPr="00297A38">
        <w:tab/>
        <w:t>(a)</w:t>
      </w:r>
      <w:r w:rsidRPr="00297A38">
        <w:tab/>
        <w:t>stops working for the relevant party; or</w:t>
      </w:r>
    </w:p>
    <w:p w14:paraId="0D14D25F" w14:textId="77777777" w:rsidR="00DB6E47" w:rsidRPr="00297A38" w:rsidRDefault="00DB6E47" w:rsidP="00DB6E47">
      <w:pPr>
        <w:pStyle w:val="Apara"/>
      </w:pPr>
      <w:r w:rsidRPr="00297A38">
        <w:tab/>
        <w:t>(b)</w:t>
      </w:r>
      <w:r w:rsidRPr="00297A38">
        <w:tab/>
        <w:t>stops operating under the relevant party’s exemption; or</w:t>
      </w:r>
    </w:p>
    <w:p w14:paraId="72D74DFE" w14:textId="77777777" w:rsidR="00DB6E47" w:rsidRPr="00297A38" w:rsidRDefault="00DB6E47" w:rsidP="00B13A18">
      <w:pPr>
        <w:pStyle w:val="Apara"/>
        <w:keepNext/>
      </w:pPr>
      <w:r w:rsidRPr="00297A38">
        <w:lastRenderedPageBreak/>
        <w:tab/>
        <w:t>(c)</w:t>
      </w:r>
      <w:r w:rsidRPr="00297A38">
        <w:tab/>
        <w:t>no longer meets the requirements relating to drivers under the relevant party’s exemption.</w:t>
      </w:r>
    </w:p>
    <w:p w14:paraId="48D7EE0D" w14:textId="77777777" w:rsidR="00DB6E47" w:rsidRPr="006C3305" w:rsidRDefault="00DB6E47" w:rsidP="00DB6E47">
      <w:pPr>
        <w:pStyle w:val="Penalty"/>
      </w:pPr>
      <w:r w:rsidRPr="006C3305">
        <w:t>Maximum penalty—$4000.</w:t>
      </w:r>
    </w:p>
    <w:p w14:paraId="1ED44E67" w14:textId="77777777" w:rsidR="00D935B5" w:rsidRPr="00D935B5" w:rsidRDefault="00D935B5" w:rsidP="00D935B5">
      <w:pPr>
        <w:pStyle w:val="Amain"/>
        <w:rPr>
          <w:lang w:val="en" w:eastAsia="en-AU"/>
        </w:rPr>
      </w:pPr>
      <w:r>
        <w:rPr>
          <w:lang w:val="en" w:eastAsia="en-AU"/>
        </w:rPr>
        <w:tab/>
      </w:r>
      <w:r w:rsidRPr="00D935B5">
        <w:rPr>
          <w:lang w:val="en" w:eastAsia="en-AU"/>
        </w:rPr>
        <w:t>(3)</w:t>
      </w:r>
      <w:r>
        <w:rPr>
          <w:lang w:val="en" w:eastAsia="en-AU"/>
        </w:rPr>
        <w:tab/>
      </w:r>
      <w:r w:rsidRPr="00D935B5">
        <w:rPr>
          <w:lang w:val="en" w:eastAsia="en-AU"/>
        </w:rPr>
        <w:t>Each relevant party for a driver mentioned in subsection (1) must ensure the driver complies with subsection (1), unless the relevant party has a reasonable excuse.</w:t>
      </w:r>
    </w:p>
    <w:p w14:paraId="51D08B8D" w14:textId="77777777" w:rsidR="00D935B5" w:rsidRPr="00D935B5" w:rsidRDefault="00D935B5" w:rsidP="00D935B5">
      <w:pPr>
        <w:pStyle w:val="Penalty"/>
        <w:rPr>
          <w:lang w:val="en" w:eastAsia="en-AU"/>
        </w:rPr>
      </w:pPr>
      <w:r w:rsidRPr="00D935B5">
        <w:rPr>
          <w:lang w:val="en" w:eastAsia="en-AU"/>
        </w:rPr>
        <w:t>Maximum penalty—$3000.</w:t>
      </w:r>
    </w:p>
    <w:p w14:paraId="48867AA9" w14:textId="77777777" w:rsidR="00DB6E47" w:rsidRPr="00283AFC" w:rsidRDefault="00DB6E47" w:rsidP="00DB6E47">
      <w:pPr>
        <w:pStyle w:val="Amain"/>
      </w:pPr>
      <w:r w:rsidRPr="00283AFC">
        <w:tab/>
        <w:t>(7)</w:t>
      </w:r>
      <w:r w:rsidRPr="00283AFC">
        <w:tab/>
        <w:t>In this section—</w:t>
      </w:r>
    </w:p>
    <w:p w14:paraId="6A1C8873" w14:textId="77777777" w:rsidR="00DB6E47" w:rsidRPr="00041046" w:rsidRDefault="00DB6E47" w:rsidP="00DB6E47">
      <w:pPr>
        <w:pStyle w:val="aDef"/>
        <w:rPr>
          <w:bCs/>
        </w:rPr>
      </w:pPr>
      <w:r w:rsidRPr="00041046">
        <w:rPr>
          <w:rStyle w:val="charBoldItals"/>
        </w:rPr>
        <w:t>relevant party</w:t>
      </w:r>
      <w:r w:rsidRPr="00041046">
        <w:t>, for the driver of a fatigue-regulated heavy vehicle, means—</w:t>
      </w:r>
    </w:p>
    <w:p w14:paraId="63AB828F" w14:textId="77777777" w:rsidR="00DB6E47" w:rsidRPr="00A84B34" w:rsidRDefault="00DB6E47" w:rsidP="00DB6E47">
      <w:pPr>
        <w:pStyle w:val="aDefpara"/>
      </w:pPr>
      <w:r w:rsidRPr="00FF4454">
        <w:tab/>
      </w:r>
      <w:r w:rsidRPr="00F04D8E">
        <w:rPr>
          <w:rFonts w:cs="Times"/>
          <w:bCs/>
          <w:iCs/>
        </w:rPr>
        <w:t>(a)</w:t>
      </w:r>
      <w:r w:rsidRPr="00FF4454">
        <w:rPr>
          <w:rStyle w:val="charBoldItals"/>
        </w:rPr>
        <w:tab/>
      </w:r>
      <w:r w:rsidRPr="00A84B34">
        <w:t>an employer of the driver if the driver is an employed driver; or</w:t>
      </w:r>
    </w:p>
    <w:p w14:paraId="45BC9F89" w14:textId="77777777" w:rsidR="00DB6E47" w:rsidRPr="00A84B34" w:rsidRDefault="00DB6E47" w:rsidP="00DB6E47">
      <w:pPr>
        <w:pStyle w:val="aDefpara"/>
      </w:pPr>
      <w:r w:rsidRPr="00A84B34">
        <w:tab/>
        <w:t>(b)</w:t>
      </w:r>
      <w:r w:rsidRPr="00A84B34">
        <w:tab/>
        <w:t>a prime contractor of the driver if the driver is a self-employed driver; or</w:t>
      </w:r>
    </w:p>
    <w:p w14:paraId="704120B6" w14:textId="77777777" w:rsidR="00DB6E47" w:rsidRPr="00A84B34" w:rsidRDefault="00DB6E47" w:rsidP="00DB6E47">
      <w:pPr>
        <w:pStyle w:val="aDefpara"/>
      </w:pPr>
      <w:r w:rsidRPr="00A84B34">
        <w:tab/>
        <w:t>(c)</w:t>
      </w:r>
      <w:r w:rsidRPr="00A84B34">
        <w:tab/>
        <w:t>an operator of the vehicle if the driver is making a journey for the operator.</w:t>
      </w:r>
    </w:p>
    <w:p w14:paraId="0D90CD12" w14:textId="77777777" w:rsidR="00DB6E47" w:rsidRPr="003D647F" w:rsidRDefault="00DB6E47" w:rsidP="00DB6E47">
      <w:pPr>
        <w:pStyle w:val="PageBreak"/>
        <w:rPr>
          <w:rFonts w:eastAsiaTheme="minorHAnsi"/>
        </w:rPr>
      </w:pPr>
      <w:r w:rsidRPr="003D647F">
        <w:rPr>
          <w:rFonts w:eastAsiaTheme="minorHAnsi"/>
        </w:rPr>
        <w:br w:type="page"/>
      </w:r>
    </w:p>
    <w:p w14:paraId="0717F533" w14:textId="77777777" w:rsidR="00DB6E47" w:rsidRPr="005E03F7" w:rsidRDefault="00DB6E47" w:rsidP="00DB6E47">
      <w:pPr>
        <w:pStyle w:val="AH2Part"/>
      </w:pPr>
      <w:bookmarkStart w:id="315" w:name="_Toc83625659"/>
      <w:r w:rsidRPr="005E03F7">
        <w:rPr>
          <w:rStyle w:val="CharPartNo"/>
        </w:rPr>
        <w:lastRenderedPageBreak/>
        <w:t xml:space="preserve">Part 6.4 </w:t>
      </w:r>
      <w:r w:rsidRPr="00A95F9A">
        <w:rPr>
          <w:rFonts w:ascii="Helvetica" w:hAnsi="Helvetica" w:cs="Helvetica"/>
          <w:iCs/>
          <w:szCs w:val="32"/>
        </w:rPr>
        <w:tab/>
      </w:r>
      <w:r w:rsidRPr="005E03F7">
        <w:rPr>
          <w:rStyle w:val="CharPartText"/>
          <w:rFonts w:ascii="Helvetica" w:hAnsi="Helvetica" w:cs="Helvetica"/>
          <w:iCs/>
          <w:szCs w:val="32"/>
        </w:rPr>
        <w:t>Requirements about record keeping</w:t>
      </w:r>
      <w:bookmarkEnd w:id="315"/>
    </w:p>
    <w:p w14:paraId="3D2647D8" w14:textId="77777777" w:rsidR="00DB6E47" w:rsidRPr="005E03F7" w:rsidRDefault="00DB6E47" w:rsidP="00DB6E47">
      <w:pPr>
        <w:pStyle w:val="AH3Div"/>
      </w:pPr>
      <w:bookmarkStart w:id="316" w:name="_Toc83625660"/>
      <w:r w:rsidRPr="005E03F7">
        <w:rPr>
          <w:rStyle w:val="CharDivNo"/>
        </w:rPr>
        <w:t xml:space="preserve">Division 1 </w:t>
      </w:r>
      <w:r w:rsidRPr="00A95F9A">
        <w:rPr>
          <w:rFonts w:ascii="Helvetica" w:hAnsi="Helvetica" w:cs="Helvetica"/>
          <w:iCs/>
          <w:szCs w:val="28"/>
        </w:rPr>
        <w:tab/>
      </w:r>
      <w:r w:rsidRPr="005E03F7">
        <w:rPr>
          <w:rStyle w:val="CharDivText"/>
          <w:rFonts w:ascii="Helvetica" w:hAnsi="Helvetica" w:cs="Helvetica"/>
          <w:iCs/>
          <w:szCs w:val="28"/>
        </w:rPr>
        <w:t>Preliminary</w:t>
      </w:r>
      <w:bookmarkEnd w:id="316"/>
    </w:p>
    <w:p w14:paraId="009F0AA8" w14:textId="77777777" w:rsidR="00DB6E47" w:rsidRPr="007E1F9A" w:rsidRDefault="00DB6E47" w:rsidP="00DB6E47">
      <w:pPr>
        <w:pStyle w:val="AH5Sec"/>
      </w:pPr>
      <w:bookmarkStart w:id="317" w:name="_Toc83625661"/>
      <w:r w:rsidRPr="005E03F7">
        <w:rPr>
          <w:rStyle w:val="CharSectNo"/>
        </w:rPr>
        <w:t>289</w:t>
      </w:r>
      <w:r w:rsidRPr="007E1F9A">
        <w:tab/>
        <w:t>What is 100km work and 100+km work</w:t>
      </w:r>
      <w:bookmarkEnd w:id="317"/>
    </w:p>
    <w:p w14:paraId="706872B2" w14:textId="77777777" w:rsidR="00DB6E47" w:rsidRPr="00283AFC" w:rsidRDefault="00DB6E47" w:rsidP="00DB6E47">
      <w:pPr>
        <w:pStyle w:val="Amain"/>
      </w:pPr>
      <w:r w:rsidRPr="00283AFC">
        <w:tab/>
        <w:t>(1)</w:t>
      </w:r>
      <w:r w:rsidRPr="00283AFC">
        <w:tab/>
        <w:t xml:space="preserve">The driver of a fatigue-regulated heavy vehicle is undertaking </w:t>
      </w:r>
      <w:r w:rsidRPr="00FF4454">
        <w:rPr>
          <w:rStyle w:val="charBoldItals"/>
        </w:rPr>
        <w:t>100km work</w:t>
      </w:r>
      <w:r w:rsidRPr="00283AFC">
        <w:t xml:space="preserve"> if the driver is driving in an area with a radius of 100km or less from the driver’s base.</w:t>
      </w:r>
    </w:p>
    <w:p w14:paraId="7205022F" w14:textId="77777777" w:rsidR="00DB6E47" w:rsidRPr="00283AFC" w:rsidRDefault="00DB6E47" w:rsidP="00DB6E47">
      <w:pPr>
        <w:pStyle w:val="Amain"/>
      </w:pPr>
      <w:r w:rsidRPr="00283AFC">
        <w:tab/>
        <w:t>(2)</w:t>
      </w:r>
      <w:r w:rsidRPr="00283AFC">
        <w:tab/>
        <w:t xml:space="preserve">The driver of a fatigue-regulated heavy vehicle is undertaking </w:t>
      </w:r>
      <w:r w:rsidRPr="00FF4454">
        <w:rPr>
          <w:rStyle w:val="charBoldItals"/>
        </w:rPr>
        <w:t>100+km work</w:t>
      </w:r>
      <w:r w:rsidRPr="00283AFC">
        <w:t xml:space="preserve"> if the driver is driving in an area with a radius of more than 100km from the driver’s base.</w:t>
      </w:r>
    </w:p>
    <w:p w14:paraId="4531C3A1" w14:textId="77777777" w:rsidR="00DB6E47" w:rsidRPr="00283AFC" w:rsidRDefault="00DB6E47" w:rsidP="00DB6E47">
      <w:pPr>
        <w:pStyle w:val="Amain"/>
      </w:pPr>
      <w:r w:rsidRPr="00283AFC">
        <w:tab/>
        <w:t>(3)</w:t>
      </w:r>
      <w:r w:rsidRPr="00283AFC">
        <w:tab/>
        <w:t>To remove any doubt, it is declared that the driver of a fatigue-regulated h</w:t>
      </w:r>
      <w:r w:rsidR="00A84B34">
        <w:t xml:space="preserve">eavy vehicle to whom subsection </w:t>
      </w:r>
      <w:r w:rsidRPr="00283AFC">
        <w:t>(2)</w:t>
      </w:r>
      <w:r w:rsidR="00A84B34">
        <w:t xml:space="preserve"> </w:t>
      </w:r>
      <w:r w:rsidRPr="00283AFC">
        <w:t>applies—</w:t>
      </w:r>
    </w:p>
    <w:p w14:paraId="212AC963" w14:textId="77777777" w:rsidR="00DB6E47" w:rsidRPr="00297A38" w:rsidRDefault="00DB6E47" w:rsidP="00DB6E47">
      <w:pPr>
        <w:pStyle w:val="Apara"/>
      </w:pPr>
      <w:r w:rsidRPr="00297A38">
        <w:tab/>
        <w:t>(a)</w:t>
      </w:r>
      <w:r w:rsidRPr="00297A38">
        <w:tab/>
        <w:t>is taken to be undertaking 100+km work even while the driver is driving in an area within a radius of 100km or less from the driver’s base; and</w:t>
      </w:r>
    </w:p>
    <w:p w14:paraId="017CA2E6" w14:textId="77777777" w:rsidR="00DB6E47" w:rsidRPr="00297A38" w:rsidRDefault="00DB6E47" w:rsidP="00DB6E47">
      <w:pPr>
        <w:pStyle w:val="Apara"/>
      </w:pPr>
      <w:r w:rsidRPr="00297A38">
        <w:tab/>
        <w:t>(b)</w:t>
      </w:r>
      <w:r w:rsidRPr="00297A38">
        <w:tab/>
        <w:t>if the driver is required to record information in a work diary under this Part, must record particulars of the journey in the driver’s work diary from the beginning of the journey.</w:t>
      </w:r>
    </w:p>
    <w:p w14:paraId="2582136B" w14:textId="77777777" w:rsidR="00DB6E47" w:rsidRPr="007E1F9A" w:rsidRDefault="00DB6E47" w:rsidP="00DB6E47">
      <w:pPr>
        <w:pStyle w:val="AH5Sec"/>
      </w:pPr>
      <w:bookmarkStart w:id="318" w:name="_Toc83625662"/>
      <w:r w:rsidRPr="005E03F7">
        <w:rPr>
          <w:rStyle w:val="CharSectNo"/>
        </w:rPr>
        <w:t>290</w:t>
      </w:r>
      <w:r w:rsidRPr="007E1F9A">
        <w:tab/>
        <w:t>What is a driver’s record location</w:t>
      </w:r>
      <w:bookmarkEnd w:id="318"/>
    </w:p>
    <w:p w14:paraId="0A2FBCC1" w14:textId="77777777" w:rsidR="00DB6E47" w:rsidRPr="00283AFC" w:rsidRDefault="00DB6E47" w:rsidP="00DB6E47">
      <w:pPr>
        <w:pStyle w:val="Amainreturn"/>
      </w:pPr>
      <w:r w:rsidRPr="00283AFC">
        <w:t xml:space="preserve">The </w:t>
      </w:r>
      <w:r w:rsidRPr="00FF4454">
        <w:rPr>
          <w:rStyle w:val="charBoldItals"/>
        </w:rPr>
        <w:t>record location</w:t>
      </w:r>
      <w:r w:rsidRPr="00283AFC">
        <w:t xml:space="preserve"> of the driver of a fatigue-regulated heavy vehicle is—</w:t>
      </w:r>
    </w:p>
    <w:p w14:paraId="6468DEA9" w14:textId="77777777" w:rsidR="00DB6E47" w:rsidRPr="00297A38" w:rsidRDefault="00DB6E47" w:rsidP="00DB6E47">
      <w:pPr>
        <w:pStyle w:val="Apara"/>
      </w:pPr>
      <w:r w:rsidRPr="00297A38">
        <w:tab/>
        <w:t>(a)</w:t>
      </w:r>
      <w:r w:rsidRPr="00297A38">
        <w:tab/>
        <w:t>if the driver’s record keeper has advised the driver of the place that is the driver’s record location—the place advised; or</w:t>
      </w:r>
    </w:p>
    <w:p w14:paraId="2632F7D7" w14:textId="77777777" w:rsidR="00DB6E47" w:rsidRPr="00297A38" w:rsidRDefault="00DB6E47" w:rsidP="00DB6E47">
      <w:pPr>
        <w:pStyle w:val="Apara"/>
      </w:pPr>
      <w:r w:rsidRPr="00297A38">
        <w:tab/>
        <w:t>(b)</w:t>
      </w:r>
      <w:r w:rsidRPr="00297A38">
        <w:tab/>
        <w:t>otherwise—the driver’s base.</w:t>
      </w:r>
    </w:p>
    <w:p w14:paraId="0C5AA742" w14:textId="77777777" w:rsidR="00DB6E47" w:rsidRPr="005E03F7" w:rsidRDefault="00DB6E47" w:rsidP="00DB6E47">
      <w:pPr>
        <w:pStyle w:val="AH3Div"/>
      </w:pPr>
      <w:bookmarkStart w:id="319" w:name="_Toc83625663"/>
      <w:r w:rsidRPr="005E03F7">
        <w:rPr>
          <w:rStyle w:val="CharDivNo"/>
        </w:rPr>
        <w:lastRenderedPageBreak/>
        <w:t xml:space="preserve">Division 2 </w:t>
      </w:r>
      <w:r w:rsidRPr="00A95F9A">
        <w:rPr>
          <w:rFonts w:ascii="Helvetica" w:hAnsi="Helvetica" w:cs="Helvetica"/>
          <w:iCs/>
          <w:szCs w:val="28"/>
        </w:rPr>
        <w:tab/>
      </w:r>
      <w:r w:rsidRPr="005E03F7">
        <w:rPr>
          <w:rStyle w:val="CharDivText"/>
          <w:rFonts w:ascii="Helvetica" w:hAnsi="Helvetica" w:cs="Helvetica"/>
          <w:iCs/>
          <w:szCs w:val="28"/>
        </w:rPr>
        <w:t>Work diary requirements</w:t>
      </w:r>
      <w:bookmarkEnd w:id="319"/>
    </w:p>
    <w:p w14:paraId="0CCF52A4" w14:textId="77777777" w:rsidR="00DB6E47" w:rsidRPr="00A95F9A" w:rsidRDefault="00DB6E47" w:rsidP="00DB6E47">
      <w:pPr>
        <w:pStyle w:val="AH4SubDiv"/>
      </w:pPr>
      <w:bookmarkStart w:id="320" w:name="_Toc83625664"/>
      <w:r w:rsidRPr="00A95F9A">
        <w:t xml:space="preserve">Subdivision 1 </w:t>
      </w:r>
      <w:r w:rsidRPr="00A95F9A">
        <w:tab/>
        <w:t>Requirement to carry work diary</w:t>
      </w:r>
      <w:bookmarkEnd w:id="320"/>
    </w:p>
    <w:p w14:paraId="08A211E2" w14:textId="77777777" w:rsidR="00DB6E47" w:rsidRPr="007E1F9A" w:rsidRDefault="00DB6E47" w:rsidP="00DB6E47">
      <w:pPr>
        <w:pStyle w:val="AH5Sec"/>
      </w:pPr>
      <w:bookmarkStart w:id="321" w:name="_Toc83625665"/>
      <w:r w:rsidRPr="005E03F7">
        <w:rPr>
          <w:rStyle w:val="CharSectNo"/>
        </w:rPr>
        <w:t>291</w:t>
      </w:r>
      <w:r w:rsidRPr="007E1F9A">
        <w:tab/>
        <w:t>Application of Sdiv 1</w:t>
      </w:r>
      <w:bookmarkEnd w:id="321"/>
    </w:p>
    <w:p w14:paraId="4C94B656" w14:textId="77777777" w:rsidR="00DB6E47" w:rsidRPr="006C3305" w:rsidRDefault="00DB6E47" w:rsidP="00DB6E47">
      <w:pPr>
        <w:pStyle w:val="Amainreturn"/>
      </w:pPr>
      <w:r w:rsidRPr="006C3305">
        <w:t>This Subdivision applies if the driver of a fatigue-regulated heavy vehicle—</w:t>
      </w:r>
    </w:p>
    <w:p w14:paraId="0023D3AB" w14:textId="77777777" w:rsidR="00DB6E47" w:rsidRPr="00297A38" w:rsidRDefault="00DB6E47" w:rsidP="00DB6E47">
      <w:pPr>
        <w:pStyle w:val="Apara"/>
      </w:pPr>
      <w:r w:rsidRPr="00297A38">
        <w:tab/>
        <w:t>(a)</w:t>
      </w:r>
      <w:r w:rsidRPr="00297A38">
        <w:tab/>
        <w:t>is undertaking 100+km work under standard hours; or</w:t>
      </w:r>
    </w:p>
    <w:p w14:paraId="797BF31A" w14:textId="77777777" w:rsidR="00DB6E47" w:rsidRPr="00297A38" w:rsidRDefault="00DB6E47" w:rsidP="00DB6E47">
      <w:pPr>
        <w:pStyle w:val="Apara"/>
      </w:pPr>
      <w:r w:rsidRPr="00297A38">
        <w:tab/>
        <w:t>(b)</w:t>
      </w:r>
      <w:r w:rsidRPr="00297A38">
        <w:tab/>
        <w:t>was undertaking 100+km work under standard hours in the last 28 days; or</w:t>
      </w:r>
    </w:p>
    <w:p w14:paraId="232A1E31" w14:textId="77777777" w:rsidR="00DB6E47" w:rsidRPr="00297A38" w:rsidRDefault="00DB6E47" w:rsidP="00DB6E47">
      <w:pPr>
        <w:pStyle w:val="Apara"/>
      </w:pPr>
      <w:r w:rsidRPr="00297A38">
        <w:tab/>
        <w:t>(c)</w:t>
      </w:r>
      <w:r w:rsidRPr="00297A38">
        <w:tab/>
        <w:t>is working under BFM hours, AFM hours or exemption hours; or</w:t>
      </w:r>
    </w:p>
    <w:p w14:paraId="21D4F553" w14:textId="77777777" w:rsidR="00DB6E47" w:rsidRPr="00297A38" w:rsidRDefault="00DB6E47" w:rsidP="00DB6E47">
      <w:pPr>
        <w:pStyle w:val="Apara"/>
      </w:pPr>
      <w:r w:rsidRPr="00297A38">
        <w:tab/>
        <w:t>(d)</w:t>
      </w:r>
      <w:r w:rsidRPr="00297A38">
        <w:tab/>
        <w:t>was working under BFM hours, AFM hours or exemption hours in the last 28 days.</w:t>
      </w:r>
    </w:p>
    <w:p w14:paraId="01D43B7C" w14:textId="77777777" w:rsidR="00DB6E47" w:rsidRPr="007E1F9A" w:rsidRDefault="00DB6E47" w:rsidP="00DB6E47">
      <w:pPr>
        <w:pStyle w:val="AH5Sec"/>
      </w:pPr>
      <w:bookmarkStart w:id="322" w:name="_Toc83625666"/>
      <w:r w:rsidRPr="005E03F7">
        <w:rPr>
          <w:rStyle w:val="CharSectNo"/>
        </w:rPr>
        <w:t>292</w:t>
      </w:r>
      <w:r w:rsidRPr="007E1F9A">
        <w:tab/>
        <w:t xml:space="preserve">Meaning of </w:t>
      </w:r>
      <w:r w:rsidRPr="00FF4454">
        <w:rPr>
          <w:rStyle w:val="charItals"/>
        </w:rPr>
        <w:t>work diary</w:t>
      </w:r>
      <w:r w:rsidRPr="007E1F9A">
        <w:t xml:space="preserve"> for Sdiv 1</w:t>
      </w:r>
      <w:bookmarkEnd w:id="322"/>
    </w:p>
    <w:p w14:paraId="45FABEB7" w14:textId="77777777" w:rsidR="00DB6E47" w:rsidRPr="006C3305" w:rsidRDefault="00DB6E47" w:rsidP="00DB6E47">
      <w:pPr>
        <w:pStyle w:val="Amain"/>
      </w:pPr>
      <w:r>
        <w:tab/>
        <w:t>(</w:t>
      </w:r>
      <w:r w:rsidRPr="006C3305">
        <w:t>1)</w:t>
      </w:r>
      <w:r w:rsidRPr="006C3305">
        <w:tab/>
        <w:t xml:space="preserve">In this Subdivision, a reference to a </w:t>
      </w:r>
      <w:r w:rsidRPr="00FF4454">
        <w:rPr>
          <w:rStyle w:val="charBoldItals"/>
        </w:rPr>
        <w:t>work diary</w:t>
      </w:r>
      <w:r w:rsidRPr="006C3305">
        <w:t xml:space="preserve"> in relation to the driver of a fatigue-regulated heavy vehicle is a reference to the following—</w:t>
      </w:r>
    </w:p>
    <w:p w14:paraId="3F7354F0" w14:textId="77777777" w:rsidR="00DB6E47" w:rsidRPr="00297A38" w:rsidRDefault="00DB6E47" w:rsidP="00DB6E47">
      <w:pPr>
        <w:pStyle w:val="Apara"/>
      </w:pPr>
      <w:r w:rsidRPr="00297A38">
        <w:tab/>
        <w:t>(a)</w:t>
      </w:r>
      <w:r w:rsidRPr="00297A38">
        <w:tab/>
        <w:t>if the driver has used only 1 or more written work diaries in the last 28 days—</w:t>
      </w:r>
    </w:p>
    <w:p w14:paraId="468E5F97" w14:textId="77777777" w:rsidR="00DB6E47" w:rsidRPr="00516F02" w:rsidRDefault="00DB6E47" w:rsidP="00DB6E47">
      <w:pPr>
        <w:pStyle w:val="Asubpara"/>
      </w:pPr>
      <w:r w:rsidRPr="00516F02">
        <w:tab/>
        <w:t>(i)</w:t>
      </w:r>
      <w:r w:rsidRPr="00516F02">
        <w:tab/>
        <w:t>the written work diary the driver is currently using; and</w:t>
      </w:r>
    </w:p>
    <w:p w14:paraId="5EF60CFA" w14:textId="77777777" w:rsidR="00DB6E47" w:rsidRPr="00516F02" w:rsidRDefault="00DB6E47" w:rsidP="00DB6E47">
      <w:pPr>
        <w:pStyle w:val="Asubpara"/>
      </w:pPr>
      <w:r w:rsidRPr="00516F02">
        <w:tab/>
        <w:t>(ii)</w:t>
      </w:r>
      <w:r w:rsidRPr="00516F02">
        <w:tab/>
        <w:t>any filled-up written work diary the driver has used during the last 28 days;</w:t>
      </w:r>
    </w:p>
    <w:p w14:paraId="205CCCF5" w14:textId="77777777" w:rsidR="00DB6E47" w:rsidRPr="0038686B" w:rsidRDefault="00DB6E47" w:rsidP="00F53410">
      <w:pPr>
        <w:pStyle w:val="Apara"/>
      </w:pPr>
      <w:r w:rsidRPr="00297A38">
        <w:tab/>
        <w:t>(b)</w:t>
      </w:r>
      <w:r w:rsidRPr="00297A38">
        <w:tab/>
      </w:r>
      <w:r w:rsidR="00F53410" w:rsidRPr="0038686B">
        <w:t>if the driver has used only 1 or more electronic work diaries in the last 28 days—information in each electronic work diary relating to any period during the last 28 days;</w:t>
      </w:r>
    </w:p>
    <w:p w14:paraId="232F8954" w14:textId="77777777" w:rsidR="00DB6E47" w:rsidRPr="0038686B" w:rsidRDefault="00DB6E47" w:rsidP="00D80638">
      <w:pPr>
        <w:pStyle w:val="Apara"/>
        <w:keepNext/>
      </w:pPr>
      <w:r w:rsidRPr="00297A38">
        <w:lastRenderedPageBreak/>
        <w:tab/>
      </w:r>
      <w:r w:rsidRPr="0038686B">
        <w:t>(c)</w:t>
      </w:r>
      <w:r w:rsidRPr="0038686B">
        <w:tab/>
      </w:r>
      <w:r w:rsidR="0038686B" w:rsidRPr="0038686B">
        <w:t>if the driver has used a combination of 1 or more written work diaries and 1 or more electronic work diaries in the last 28 days—</w:t>
      </w:r>
    </w:p>
    <w:p w14:paraId="71B42970" w14:textId="77777777" w:rsidR="00DB6E47" w:rsidRPr="0038686B" w:rsidRDefault="00DB6E47" w:rsidP="00DB6E47">
      <w:pPr>
        <w:pStyle w:val="Asubpara"/>
      </w:pPr>
      <w:r w:rsidRPr="0038686B">
        <w:tab/>
        <w:t>(i)</w:t>
      </w:r>
      <w:r w:rsidRPr="0038686B">
        <w:tab/>
      </w:r>
      <w:r w:rsidR="0038686B" w:rsidRPr="0038686B">
        <w:t>each of the written work diaries the driver is using or has used during the last 28 days; and</w:t>
      </w:r>
    </w:p>
    <w:p w14:paraId="27A6AA4C" w14:textId="77777777" w:rsidR="00DB6E47" w:rsidRPr="0038686B" w:rsidRDefault="00DB6E47" w:rsidP="00DB6E47">
      <w:pPr>
        <w:pStyle w:val="Asubpara"/>
      </w:pPr>
      <w:r w:rsidRPr="0038686B">
        <w:tab/>
        <w:t>(ii)</w:t>
      </w:r>
      <w:r w:rsidRPr="0038686B">
        <w:tab/>
      </w:r>
      <w:r w:rsidR="0038686B" w:rsidRPr="0038686B">
        <w:t>the information in each of the electronic work diaries the driver is using or has used during the last 28 days that relates to any period during the last 28 days.</w:t>
      </w:r>
    </w:p>
    <w:p w14:paraId="3FDFDBC8" w14:textId="77777777" w:rsidR="00DB6E47" w:rsidRPr="006C3305" w:rsidRDefault="00DB6E47" w:rsidP="00DB6E47">
      <w:pPr>
        <w:pStyle w:val="Amain"/>
      </w:pPr>
      <w:r>
        <w:tab/>
        <w:t>(</w:t>
      </w:r>
      <w:r w:rsidRPr="006C3305">
        <w:t>2)</w:t>
      </w:r>
      <w:r w:rsidRPr="006C3305">
        <w:tab/>
        <w:t>If the driver has made a supplementary record in the last 28 days, for this Subdivision, the supplementary record is taken to be part of the driver’s work diary.</w:t>
      </w:r>
    </w:p>
    <w:p w14:paraId="09FF6E03" w14:textId="77777777" w:rsidR="00DB6E47" w:rsidRPr="00C96203" w:rsidRDefault="00DB6E47" w:rsidP="00DB6E47">
      <w:pPr>
        <w:pStyle w:val="aNote"/>
      </w:pPr>
      <w:r w:rsidRPr="00FF4454">
        <w:rPr>
          <w:rStyle w:val="charItals"/>
        </w:rPr>
        <w:t>Note</w:t>
      </w:r>
      <w:r w:rsidRPr="00C96203">
        <w:rPr>
          <w:rFonts w:cs="Times"/>
          <w:bCs/>
          <w:iCs/>
        </w:rPr>
        <w:t>—</w:t>
      </w:r>
    </w:p>
    <w:p w14:paraId="272C2137" w14:textId="77777777" w:rsidR="00DB6E47" w:rsidRPr="00C96203" w:rsidRDefault="00A84B34" w:rsidP="00DB6E47">
      <w:pPr>
        <w:pStyle w:val="aNoteTextss"/>
      </w:pPr>
      <w:r>
        <w:t xml:space="preserve">Section 305 </w:t>
      </w:r>
      <w:r w:rsidR="00DB6E47" w:rsidRPr="00C96203">
        <w:t>(4)</w:t>
      </w:r>
      <w:r>
        <w:t xml:space="preserve"> </w:t>
      </w:r>
      <w:r w:rsidR="00DB6E47" w:rsidRPr="00C96203">
        <w:t>provides in effect that a driver can no longer use a supplementary record if the driver is issued with a new work diary, the driver’s existing electronic work diary is made capable of recording new information or is brought back into working order, or 7 business days have expired (whichever first happens).</w:t>
      </w:r>
    </w:p>
    <w:p w14:paraId="6302F054" w14:textId="77777777" w:rsidR="00DB6E47" w:rsidRPr="007E1F9A" w:rsidRDefault="00DB6E47" w:rsidP="00DB6E47">
      <w:pPr>
        <w:pStyle w:val="AH5Sec"/>
      </w:pPr>
      <w:bookmarkStart w:id="323" w:name="_Toc83625667"/>
      <w:r w:rsidRPr="005E03F7">
        <w:rPr>
          <w:rStyle w:val="CharSectNo"/>
        </w:rPr>
        <w:t>293</w:t>
      </w:r>
      <w:r w:rsidRPr="007E1F9A">
        <w:tab/>
        <w:t>Driver of fatigue-regulated heavy vehicle must carry work diary</w:t>
      </w:r>
      <w:bookmarkEnd w:id="323"/>
    </w:p>
    <w:p w14:paraId="02CAACF2" w14:textId="77777777" w:rsidR="00DB6E47" w:rsidRPr="00283AFC" w:rsidRDefault="00DB6E47" w:rsidP="00DB6E47">
      <w:pPr>
        <w:pStyle w:val="Amain"/>
      </w:pPr>
      <w:r w:rsidRPr="00283AFC">
        <w:tab/>
        <w:t>(1)</w:t>
      </w:r>
      <w:r w:rsidRPr="00283AFC">
        <w:tab/>
        <w:t>The driver of a fatigue-regulated heavy vehicle must—</w:t>
      </w:r>
    </w:p>
    <w:p w14:paraId="34597F01" w14:textId="77777777" w:rsidR="00DB6E47" w:rsidRPr="00297A38" w:rsidRDefault="00DB6E47" w:rsidP="00DB6E47">
      <w:pPr>
        <w:pStyle w:val="Apara"/>
      </w:pPr>
      <w:r w:rsidRPr="00297A38">
        <w:tab/>
        <w:t>(a)</w:t>
      </w:r>
      <w:r w:rsidRPr="00297A38">
        <w:tab/>
        <w:t>keep a work diary; and</w:t>
      </w:r>
    </w:p>
    <w:p w14:paraId="686A20F4" w14:textId="77777777" w:rsidR="00DB6E47" w:rsidRPr="00297A38" w:rsidRDefault="00DB6E47" w:rsidP="00DB6E47">
      <w:pPr>
        <w:pStyle w:val="Apara"/>
      </w:pPr>
      <w:r w:rsidRPr="00297A38">
        <w:tab/>
        <w:t>(b)</w:t>
      </w:r>
      <w:r w:rsidRPr="00297A38">
        <w:tab/>
        <w:t>ensure—</w:t>
      </w:r>
    </w:p>
    <w:p w14:paraId="4A7F2E72" w14:textId="77777777" w:rsidR="00DB6E47" w:rsidRPr="00516F02" w:rsidRDefault="00DB6E47" w:rsidP="00DB6E47">
      <w:pPr>
        <w:pStyle w:val="Asubpara"/>
      </w:pPr>
      <w:r w:rsidRPr="00516F02">
        <w:tab/>
        <w:t>(i)</w:t>
      </w:r>
      <w:r w:rsidRPr="00516F02">
        <w:tab/>
        <w:t>the driver’s work diary records the information required to be recorded under Subdivision 2 for each day in the previous 28 days; and</w:t>
      </w:r>
    </w:p>
    <w:p w14:paraId="0C25A448" w14:textId="77777777" w:rsidR="00DB6E47" w:rsidRPr="00516F02" w:rsidRDefault="00DB6E47" w:rsidP="00D80638">
      <w:pPr>
        <w:pStyle w:val="Asubpara"/>
        <w:keepNext/>
      </w:pPr>
      <w:r w:rsidRPr="00516F02">
        <w:lastRenderedPageBreak/>
        <w:tab/>
        <w:t>(ii)</w:t>
      </w:r>
      <w:r w:rsidRPr="00516F02">
        <w:tab/>
        <w:t>the driver’s work diary is in the driver’s possession while the driver is driving the vehicle.</w:t>
      </w:r>
    </w:p>
    <w:p w14:paraId="1B1C21F8" w14:textId="77777777" w:rsidR="00DB6E47" w:rsidRPr="006C3305" w:rsidRDefault="00DB6E47" w:rsidP="00D80638">
      <w:pPr>
        <w:pStyle w:val="Penalty"/>
        <w:keepNext/>
      </w:pPr>
      <w:r w:rsidRPr="006C3305">
        <w:t>Maximum penalty—$6000.</w:t>
      </w:r>
    </w:p>
    <w:p w14:paraId="214FE955" w14:textId="77777777" w:rsidR="00DB6E47" w:rsidRPr="00C96203" w:rsidRDefault="00DB6E47" w:rsidP="00D80638">
      <w:pPr>
        <w:pStyle w:val="aNote"/>
        <w:keepNext/>
      </w:pPr>
      <w:r w:rsidRPr="00FF4454">
        <w:rPr>
          <w:rStyle w:val="charItals"/>
        </w:rPr>
        <w:t>Note</w:t>
      </w:r>
      <w:r w:rsidRPr="00C96203">
        <w:rPr>
          <w:rFonts w:cs="Times"/>
          <w:bCs/>
          <w:iCs/>
        </w:rPr>
        <w:t>s—</w:t>
      </w:r>
    </w:p>
    <w:p w14:paraId="11B72B3D" w14:textId="77777777" w:rsidR="00DB6E47" w:rsidRPr="00C96203" w:rsidRDefault="00DB6E47" w:rsidP="00DB6E47">
      <w:pPr>
        <w:pStyle w:val="aExamINumss"/>
      </w:pPr>
      <w:r w:rsidRPr="00C96203">
        <w:t xml:space="preserve">1 </w:t>
      </w:r>
      <w:r w:rsidRPr="00C96203">
        <w:tab/>
        <w:t>For the requirement to record particular information in a supplementary record if the work diary of the driver of a fatigue-regulated heavy vehicle is filled up, destroyed, lost, stolen or, for an electronic diary, is malfunctioning, see section 305.</w:t>
      </w:r>
    </w:p>
    <w:p w14:paraId="3B026FF8" w14:textId="77777777" w:rsidR="00DB6E47" w:rsidRPr="00C96203" w:rsidRDefault="00DB6E47" w:rsidP="00DB6E47">
      <w:pPr>
        <w:pStyle w:val="aExamINumss"/>
      </w:pPr>
      <w:r w:rsidRPr="00C96203">
        <w:t xml:space="preserve">2 </w:t>
      </w:r>
      <w:r w:rsidRPr="00C96203">
        <w:tab/>
        <w:t>Under section 568, an authorised officer may require the driver of a fatigue-regulated heavy vehicle to produce for inspection the driver’s work diary.</w:t>
      </w:r>
    </w:p>
    <w:p w14:paraId="678E4865" w14:textId="77777777" w:rsidR="00DB6E47" w:rsidRPr="00283AFC" w:rsidRDefault="00A84B34" w:rsidP="00DB6E47">
      <w:pPr>
        <w:pStyle w:val="Amain"/>
      </w:pPr>
      <w:r>
        <w:tab/>
        <w:t>(2)</w:t>
      </w:r>
      <w:r>
        <w:tab/>
        <w:t xml:space="preserve">Subsection </w:t>
      </w:r>
      <w:r w:rsidR="00DB6E47" w:rsidRPr="00283AFC">
        <w:t>(1)</w:t>
      </w:r>
      <w:r>
        <w:t xml:space="preserve"> </w:t>
      </w:r>
      <w:r w:rsidR="00DB6E47" w:rsidRPr="00283AFC">
        <w:t>applies irrespective of the number of days in the previous 28 days the driver spent working in relation to a fatigue-regulated heavy vehicle.</w:t>
      </w:r>
    </w:p>
    <w:p w14:paraId="587C3996" w14:textId="77777777" w:rsidR="00DB6E47" w:rsidRPr="00283AFC" w:rsidRDefault="00DB6E47" w:rsidP="00DB6E47">
      <w:pPr>
        <w:pStyle w:val="Amain"/>
      </w:pPr>
      <w:r w:rsidRPr="00283AFC">
        <w:tab/>
        <w:t>(3)</w:t>
      </w:r>
      <w:r w:rsidRPr="00283AFC">
        <w:tab/>
        <w:t>In a proceeding fo</w:t>
      </w:r>
      <w:r w:rsidR="00A84B34">
        <w:t xml:space="preserve">r an offence against subsection </w:t>
      </w:r>
      <w:r w:rsidRPr="00283AFC">
        <w:t>(1)</w:t>
      </w:r>
      <w:r w:rsidR="00A84B34">
        <w:t xml:space="preserve"> </w:t>
      </w:r>
      <w:r w:rsidRPr="00283AFC">
        <w:t>relating to the driver failing to keep a work diary containing particular information, it is a defence for the driver to prove that—</w:t>
      </w:r>
    </w:p>
    <w:p w14:paraId="30BA02BD" w14:textId="77777777" w:rsidR="00DB6E47" w:rsidRPr="00297A38" w:rsidRDefault="00DB6E47" w:rsidP="00DB6E47">
      <w:pPr>
        <w:pStyle w:val="Apara"/>
      </w:pPr>
      <w:r w:rsidRPr="00297A38">
        <w:tab/>
        <w:t>(a)</w:t>
      </w:r>
      <w:r w:rsidRPr="00297A38">
        <w:tab/>
        <w:t>the information was recorded in a work diary that, at the time of the offence, has been destroyed (other than by the driver) or lost or stolen; or</w:t>
      </w:r>
    </w:p>
    <w:p w14:paraId="6B07DEEE" w14:textId="77777777" w:rsidR="00DB6E47" w:rsidRPr="00297A38" w:rsidRDefault="00DB6E47" w:rsidP="00DB6E47">
      <w:pPr>
        <w:pStyle w:val="Apara"/>
      </w:pPr>
      <w:r w:rsidRPr="00297A38">
        <w:tab/>
        <w:t>(b)</w:t>
      </w:r>
      <w:r w:rsidRPr="00297A38">
        <w:tab/>
        <w:t>the information was—</w:t>
      </w:r>
    </w:p>
    <w:p w14:paraId="28003B3C" w14:textId="77777777" w:rsidR="00DB6E47" w:rsidRPr="00516F02" w:rsidRDefault="00DB6E47" w:rsidP="00DB6E47">
      <w:pPr>
        <w:pStyle w:val="Asubpara"/>
      </w:pPr>
      <w:r w:rsidRPr="00516F02">
        <w:tab/>
        <w:t>(i)</w:t>
      </w:r>
      <w:r w:rsidRPr="00516F02">
        <w:tab/>
        <w:t>recorded in an electronic work diary; and</w:t>
      </w:r>
    </w:p>
    <w:p w14:paraId="2BED407E" w14:textId="77777777" w:rsidR="00DB6E47" w:rsidRPr="00516F02" w:rsidRDefault="00DB6E47" w:rsidP="00DB6E47">
      <w:pPr>
        <w:pStyle w:val="Asubpara"/>
      </w:pPr>
      <w:r w:rsidRPr="00516F02">
        <w:tab/>
        <w:t>(ii)</w:t>
      </w:r>
      <w:r w:rsidRPr="00516F02">
        <w:tab/>
        <w:t>destroyed or lost as a result of a malfunction of the electronic work diary before the information was given to the driver’s record keeper or recorded in any other way.</w:t>
      </w:r>
    </w:p>
    <w:p w14:paraId="47CFF77E" w14:textId="77777777" w:rsidR="00DB6E47" w:rsidRPr="00A95F9A" w:rsidRDefault="00DB6E47" w:rsidP="00DB6E47">
      <w:pPr>
        <w:pStyle w:val="AH4SubDiv"/>
      </w:pPr>
      <w:bookmarkStart w:id="324" w:name="_Toc83625668"/>
      <w:r w:rsidRPr="00A95F9A">
        <w:lastRenderedPageBreak/>
        <w:t xml:space="preserve">Subdivision 2 </w:t>
      </w:r>
      <w:r w:rsidRPr="00A95F9A">
        <w:tab/>
        <w:t>Information required to be included in work diary</w:t>
      </w:r>
      <w:bookmarkEnd w:id="324"/>
    </w:p>
    <w:p w14:paraId="10566ED3" w14:textId="77777777" w:rsidR="00DB6E47" w:rsidRPr="007E1F9A" w:rsidRDefault="00DB6E47" w:rsidP="00DB6E47">
      <w:pPr>
        <w:pStyle w:val="AH5Sec"/>
      </w:pPr>
      <w:bookmarkStart w:id="325" w:name="_Toc83625669"/>
      <w:r w:rsidRPr="005E03F7">
        <w:rPr>
          <w:rStyle w:val="CharSectNo"/>
        </w:rPr>
        <w:t>294</w:t>
      </w:r>
      <w:r w:rsidRPr="007E1F9A">
        <w:tab/>
        <w:t>Purpose of and definition for Sdiv 2</w:t>
      </w:r>
      <w:bookmarkEnd w:id="325"/>
    </w:p>
    <w:p w14:paraId="5EE64428" w14:textId="77777777" w:rsidR="00DB6E47" w:rsidRPr="00283AFC" w:rsidRDefault="00DB6E47" w:rsidP="00DB6E47">
      <w:pPr>
        <w:pStyle w:val="Amain"/>
      </w:pPr>
      <w:r w:rsidRPr="00283AFC">
        <w:tab/>
        <w:t>(1)</w:t>
      </w:r>
      <w:r w:rsidRPr="00283AFC">
        <w:tab/>
        <w:t>This Subdivision provides for the information the driver of a fatigue-regulated heavy vehicle must record in the driver’s work diary for each day on which the driver—</w:t>
      </w:r>
    </w:p>
    <w:p w14:paraId="42D19284" w14:textId="77777777" w:rsidR="00DB6E47" w:rsidRPr="00297A38" w:rsidRDefault="00DB6E47" w:rsidP="00DB6E47">
      <w:pPr>
        <w:pStyle w:val="Apara"/>
      </w:pPr>
      <w:r w:rsidRPr="00297A38">
        <w:tab/>
        <w:t>(a)</w:t>
      </w:r>
      <w:r w:rsidRPr="00297A38">
        <w:tab/>
        <w:t>undertakes 100+km work under standard hours; or</w:t>
      </w:r>
    </w:p>
    <w:p w14:paraId="7CEE9F93" w14:textId="77777777" w:rsidR="00DB6E47" w:rsidRPr="00297A38" w:rsidRDefault="00DB6E47" w:rsidP="00DB6E47">
      <w:pPr>
        <w:pStyle w:val="Apara"/>
      </w:pPr>
      <w:r w:rsidRPr="00297A38">
        <w:tab/>
        <w:t>(b)</w:t>
      </w:r>
      <w:r w:rsidRPr="00297A38">
        <w:tab/>
        <w:t>works under BFM hours, AFM hours or exemption hours.</w:t>
      </w:r>
    </w:p>
    <w:p w14:paraId="696CD17F" w14:textId="77777777" w:rsidR="00DB6E47" w:rsidRPr="00283AFC" w:rsidRDefault="00DB6E47" w:rsidP="00DB6E47">
      <w:pPr>
        <w:pStyle w:val="Amain"/>
      </w:pPr>
      <w:r w:rsidRPr="00283AFC">
        <w:tab/>
        <w:t>(2)</w:t>
      </w:r>
      <w:r w:rsidRPr="00283AFC">
        <w:tab/>
        <w:t>In this Subdivision—</w:t>
      </w:r>
    </w:p>
    <w:p w14:paraId="0EADE229" w14:textId="77777777" w:rsidR="00DB6E47" w:rsidRPr="00041046" w:rsidRDefault="00DB6E47" w:rsidP="00DB6E47">
      <w:pPr>
        <w:pStyle w:val="aDef"/>
        <w:rPr>
          <w:bCs/>
        </w:rPr>
      </w:pPr>
      <w:r w:rsidRPr="00041046">
        <w:rPr>
          <w:rStyle w:val="charBoldItals"/>
        </w:rPr>
        <w:t>required information</w:t>
      </w:r>
      <w:r w:rsidRPr="00041046">
        <w:t xml:space="preserve"> means information required by the national regulations under section 295 to be recorded in the driver’s work diary.</w:t>
      </w:r>
    </w:p>
    <w:p w14:paraId="3FC9FD63" w14:textId="77777777" w:rsidR="00DB6E47" w:rsidRPr="007E1F9A" w:rsidRDefault="00DB6E47" w:rsidP="00DB6E47">
      <w:pPr>
        <w:pStyle w:val="AH5Sec"/>
      </w:pPr>
      <w:bookmarkStart w:id="326" w:name="_Toc83625670"/>
      <w:r w:rsidRPr="005E03F7">
        <w:rPr>
          <w:rStyle w:val="CharSectNo"/>
        </w:rPr>
        <w:t>295</w:t>
      </w:r>
      <w:r w:rsidRPr="007E1F9A">
        <w:tab/>
        <w:t>National regulations for information to be included in work diary</w:t>
      </w:r>
      <w:bookmarkEnd w:id="326"/>
    </w:p>
    <w:p w14:paraId="430A852C" w14:textId="77777777" w:rsidR="00DB6E47" w:rsidRPr="00283AFC" w:rsidRDefault="00DB6E47" w:rsidP="00DB6E47">
      <w:pPr>
        <w:pStyle w:val="Amain"/>
      </w:pPr>
      <w:r w:rsidRPr="00283AFC">
        <w:tab/>
        <w:t>(1)</w:t>
      </w:r>
      <w:r w:rsidRPr="00283AFC">
        <w:tab/>
        <w:t>The national regulations may provide for—</w:t>
      </w:r>
    </w:p>
    <w:p w14:paraId="05A3CA65" w14:textId="77777777" w:rsidR="00DB6E47" w:rsidRPr="00297A38" w:rsidRDefault="00DB6E47" w:rsidP="00DB6E47">
      <w:pPr>
        <w:pStyle w:val="Apara"/>
      </w:pPr>
      <w:r w:rsidRPr="00297A38">
        <w:tab/>
        <w:t>(a)</w:t>
      </w:r>
      <w:r w:rsidRPr="00297A38">
        <w:tab/>
        <w:t>the information that is to be recorded in the driver’s work diary; and</w:t>
      </w:r>
    </w:p>
    <w:p w14:paraId="77983D42" w14:textId="77777777" w:rsidR="00DB6E47" w:rsidRPr="00297A38" w:rsidRDefault="00DB6E47" w:rsidP="00DB6E47">
      <w:pPr>
        <w:pStyle w:val="Apara"/>
      </w:pPr>
      <w:r w:rsidRPr="00297A38">
        <w:tab/>
        <w:t>(b)</w:t>
      </w:r>
      <w:r w:rsidRPr="00297A38">
        <w:tab/>
        <w:t>the manner in which information is to be recorded in the driver’s work diary; and</w:t>
      </w:r>
    </w:p>
    <w:p w14:paraId="26731280" w14:textId="77777777" w:rsidR="00DB6E47" w:rsidRPr="00297A38" w:rsidRDefault="00DB6E47" w:rsidP="00DB6E47">
      <w:pPr>
        <w:pStyle w:val="Apara"/>
      </w:pPr>
      <w:r w:rsidRPr="00297A38">
        <w:tab/>
        <w:t>(c)</w:t>
      </w:r>
      <w:r w:rsidRPr="00297A38">
        <w:tab/>
        <w:t>any other matter relating to information that is to be recorded in the driver’s work diary.</w:t>
      </w:r>
    </w:p>
    <w:p w14:paraId="2799865A" w14:textId="77777777" w:rsidR="00DB6E47" w:rsidRPr="00283AFC" w:rsidRDefault="00DB6E47" w:rsidP="00414B0A">
      <w:pPr>
        <w:pStyle w:val="Amain"/>
        <w:keepNext/>
      </w:pPr>
      <w:r w:rsidRPr="00283AFC">
        <w:tab/>
        <w:t>(2)</w:t>
      </w:r>
      <w:r w:rsidRPr="00283AFC">
        <w:tab/>
        <w:t>Without limiting subsection (1), the national regulations may provide—</w:t>
      </w:r>
    </w:p>
    <w:p w14:paraId="47C3F9F8" w14:textId="77777777" w:rsidR="00DB6E47" w:rsidRPr="00297A38" w:rsidRDefault="00DB6E47" w:rsidP="00DB6E47">
      <w:pPr>
        <w:pStyle w:val="Apara"/>
      </w:pPr>
      <w:r w:rsidRPr="00297A38">
        <w:tab/>
        <w:t>(a)</w:t>
      </w:r>
      <w:r w:rsidRPr="00297A38">
        <w:tab/>
        <w:t>for information to be recorded on a daily basis (including each period of work time and rest time the driver has on a day) or on some other stated basis; and</w:t>
      </w:r>
    </w:p>
    <w:p w14:paraId="44597FAD" w14:textId="77777777" w:rsidR="00DB6E47" w:rsidRPr="00297A38" w:rsidRDefault="00DB6E47" w:rsidP="00DB6E47">
      <w:pPr>
        <w:pStyle w:val="Apara"/>
      </w:pPr>
      <w:r w:rsidRPr="00297A38">
        <w:lastRenderedPageBreak/>
        <w:tab/>
        <w:t>(b)</w:t>
      </w:r>
      <w:r w:rsidRPr="00297A38">
        <w:tab/>
        <w:t>for information to be recorded immediately before or after a period of work time or rest time; and</w:t>
      </w:r>
    </w:p>
    <w:p w14:paraId="3883EEDC" w14:textId="77777777" w:rsidR="00DB6E47" w:rsidRPr="00297A38" w:rsidRDefault="00DB6E47" w:rsidP="00DB6E47">
      <w:pPr>
        <w:pStyle w:val="Apara"/>
      </w:pPr>
      <w:r w:rsidRPr="00297A38">
        <w:tab/>
        <w:t>(c)</w:t>
      </w:r>
      <w:r w:rsidRPr="00297A38">
        <w:tab/>
        <w:t>for information to be recorded when finishing work for a day; and</w:t>
      </w:r>
    </w:p>
    <w:p w14:paraId="386F2DB0" w14:textId="77777777" w:rsidR="00DB6E47" w:rsidRPr="00297A38" w:rsidRDefault="00DB6E47" w:rsidP="00DB6E47">
      <w:pPr>
        <w:pStyle w:val="Apara"/>
      </w:pPr>
      <w:r w:rsidRPr="00297A38">
        <w:tab/>
        <w:t>(d)</w:t>
      </w:r>
      <w:r w:rsidRPr="00297A38">
        <w:tab/>
        <w:t>for information to be recorded when there is a change of the driver’s base; and</w:t>
      </w:r>
    </w:p>
    <w:p w14:paraId="1C388285" w14:textId="77777777" w:rsidR="00DB6E47" w:rsidRPr="00297A38" w:rsidRDefault="00DB6E47" w:rsidP="00DB6E47">
      <w:pPr>
        <w:pStyle w:val="Apara"/>
      </w:pPr>
      <w:r w:rsidRPr="00297A38">
        <w:tab/>
        <w:t>(e)</w:t>
      </w:r>
      <w:r w:rsidRPr="00297A38">
        <w:tab/>
        <w:t>for information to be recorded when there is a change of the driver’s record location; and</w:t>
      </w:r>
    </w:p>
    <w:p w14:paraId="3EF3EA07" w14:textId="77777777" w:rsidR="00DB6E47" w:rsidRPr="00297A38" w:rsidRDefault="00DB6E47" w:rsidP="00DB6E47">
      <w:pPr>
        <w:pStyle w:val="Apara"/>
      </w:pPr>
      <w:r w:rsidRPr="00297A38">
        <w:tab/>
        <w:t>(f)</w:t>
      </w:r>
      <w:r w:rsidRPr="00297A38">
        <w:tab/>
        <w:t>for information to be recorded regarding the parties to a two-up driving arrangement.</w:t>
      </w:r>
    </w:p>
    <w:p w14:paraId="2E65F3D9" w14:textId="77777777" w:rsidR="00DB6E47" w:rsidRPr="00283AFC" w:rsidRDefault="00DB6E47" w:rsidP="00DB6E47">
      <w:pPr>
        <w:pStyle w:val="Amain"/>
      </w:pPr>
      <w:r w:rsidRPr="00283AFC">
        <w:tab/>
        <w:t>(</w:t>
      </w:r>
      <w:r w:rsidR="00A84B34">
        <w:t>3)</w:t>
      </w:r>
      <w:r w:rsidR="00A84B34">
        <w:tab/>
        <w:t xml:space="preserve">Without limiting subsections </w:t>
      </w:r>
      <w:r w:rsidRPr="00283AFC">
        <w:t>(1)</w:t>
      </w:r>
      <w:r w:rsidR="00A84B34">
        <w:t xml:space="preserve"> </w:t>
      </w:r>
      <w:r w:rsidRPr="00283AFC">
        <w:t>and (2), the national regulations may provide that, if the driver stops working on a day and starts a major rest break that will continue until the end of the day, the driver may stop recording information for the day when the driver stops working and starts the major rest break.</w:t>
      </w:r>
    </w:p>
    <w:p w14:paraId="1848957D" w14:textId="77777777" w:rsidR="00DB6E47" w:rsidRPr="007E1F9A" w:rsidRDefault="00DB6E47" w:rsidP="00DB6E47">
      <w:pPr>
        <w:pStyle w:val="AH5Sec"/>
      </w:pPr>
      <w:bookmarkStart w:id="327" w:name="_Toc83625671"/>
      <w:r w:rsidRPr="005E03F7">
        <w:rPr>
          <w:rStyle w:val="CharSectNo"/>
        </w:rPr>
        <w:t>296</w:t>
      </w:r>
      <w:r w:rsidRPr="007E1F9A">
        <w:tab/>
        <w:t>Recording information under the national regulations—general</w:t>
      </w:r>
      <w:bookmarkEnd w:id="327"/>
      <w:r w:rsidRPr="007E1F9A">
        <w:t xml:space="preserve"> </w:t>
      </w:r>
    </w:p>
    <w:p w14:paraId="339BA517" w14:textId="77777777" w:rsidR="00DB6E47" w:rsidRPr="00283AFC" w:rsidRDefault="00DB6E47" w:rsidP="00DB6E47">
      <w:pPr>
        <w:pStyle w:val="Amain"/>
      </w:pPr>
      <w:r w:rsidRPr="00283AFC">
        <w:tab/>
        <w:t>(1)</w:t>
      </w:r>
      <w:r w:rsidRPr="00283AFC">
        <w:tab/>
        <w:t>The driver must record the required information in the driver’s work diary in the manner and at the time prescribed by the national regulations.</w:t>
      </w:r>
    </w:p>
    <w:p w14:paraId="75194489" w14:textId="77777777" w:rsidR="00DB6E47" w:rsidRPr="006C3305" w:rsidRDefault="00DB6E47" w:rsidP="00DB6E47">
      <w:pPr>
        <w:pStyle w:val="Penalty"/>
      </w:pPr>
      <w:r w:rsidRPr="006C3305">
        <w:t>Maximum penalty—$1500.</w:t>
      </w:r>
    </w:p>
    <w:p w14:paraId="65672C29" w14:textId="77777777" w:rsidR="00DB6E47" w:rsidRPr="00283AFC" w:rsidRDefault="00A84B34" w:rsidP="00DB6E47">
      <w:pPr>
        <w:pStyle w:val="Amain"/>
      </w:pPr>
      <w:r>
        <w:tab/>
        <w:t>(2)</w:t>
      </w:r>
      <w:r>
        <w:tab/>
        <w:t xml:space="preserve">Subsection </w:t>
      </w:r>
      <w:r w:rsidR="00DB6E47" w:rsidRPr="00283AFC">
        <w:t>(1)</w:t>
      </w:r>
      <w:r>
        <w:t xml:space="preserve"> </w:t>
      </w:r>
      <w:r w:rsidR="00DB6E47" w:rsidRPr="00283AFC">
        <w:t>does not apply to information to which section 297 applies.</w:t>
      </w:r>
    </w:p>
    <w:p w14:paraId="42160C6B" w14:textId="77777777" w:rsidR="00DB6E47" w:rsidRPr="007E1F9A" w:rsidRDefault="00DB6E47" w:rsidP="00DB6E47">
      <w:pPr>
        <w:pStyle w:val="AH5Sec"/>
      </w:pPr>
      <w:bookmarkStart w:id="328" w:name="_Toc83625672"/>
      <w:r w:rsidRPr="005E03F7">
        <w:rPr>
          <w:rStyle w:val="CharSectNo"/>
        </w:rPr>
        <w:lastRenderedPageBreak/>
        <w:t>297</w:t>
      </w:r>
      <w:r w:rsidRPr="007E1F9A">
        <w:tab/>
        <w:t>Information required to be recorded immediately after starting work</w:t>
      </w:r>
      <w:bookmarkEnd w:id="328"/>
    </w:p>
    <w:p w14:paraId="62E73172" w14:textId="77777777" w:rsidR="00DB6E47" w:rsidRPr="00283AFC" w:rsidRDefault="00DB6E47" w:rsidP="00B27EE5">
      <w:pPr>
        <w:pStyle w:val="Amain"/>
        <w:keepNext/>
      </w:pPr>
      <w:r w:rsidRPr="00283AFC">
        <w:tab/>
        <w:t>(1)</w:t>
      </w:r>
      <w:r w:rsidRPr="00283AFC">
        <w:tab/>
        <w:t>This section applies to required information that the national regulations specify for the purposes of this section as required to be recorded immediately after the driver starts work on a day.</w:t>
      </w:r>
    </w:p>
    <w:p w14:paraId="5A60D4AE" w14:textId="77777777" w:rsidR="00DB6E47" w:rsidRPr="00283AFC" w:rsidRDefault="00DB6E47" w:rsidP="00DB6E47">
      <w:pPr>
        <w:pStyle w:val="Amain"/>
      </w:pPr>
      <w:r w:rsidRPr="00283AFC">
        <w:tab/>
        <w:t>(2)</w:t>
      </w:r>
      <w:r w:rsidRPr="00283AFC">
        <w:tab/>
        <w:t>The driver must record the required information to which this section applies immediately after starting work on a day.</w:t>
      </w:r>
    </w:p>
    <w:p w14:paraId="4FCBF120" w14:textId="77777777" w:rsidR="00DB6E47" w:rsidRPr="006C3305" w:rsidRDefault="00AE1FF6" w:rsidP="00DB6E47">
      <w:pPr>
        <w:pStyle w:val="Penalty"/>
      </w:pPr>
      <w:r>
        <w:t>Maximum penalty—$6</w:t>
      </w:r>
      <w:r w:rsidR="00DB6E47" w:rsidRPr="006C3305">
        <w:t>000.</w:t>
      </w:r>
    </w:p>
    <w:p w14:paraId="5DEE3143" w14:textId="77777777" w:rsidR="00DB6E47" w:rsidRPr="00283AFC" w:rsidRDefault="00DB6E47" w:rsidP="00DB6E47">
      <w:pPr>
        <w:pStyle w:val="Amain"/>
      </w:pPr>
      <w:r w:rsidRPr="00283AFC">
        <w:tab/>
        <w:t>(3)</w:t>
      </w:r>
      <w:r w:rsidRPr="00283AFC">
        <w:tab/>
        <w:t>In a proceeding fo</w:t>
      </w:r>
      <w:r w:rsidR="00A84B34">
        <w:t xml:space="preserve">r an offence against subsection </w:t>
      </w:r>
      <w:r w:rsidRPr="00283AFC">
        <w:t>(2)</w:t>
      </w:r>
      <w:r w:rsidR="00A84B34">
        <w:t xml:space="preserve"> </w:t>
      </w:r>
      <w:r w:rsidRPr="00283AFC">
        <w:t>in relation to the failure of the driver to record information immediately after starting to undertake 100+km work under standard hours on a day, it is a defence for the driver to prove that at the time of the offence—</w:t>
      </w:r>
    </w:p>
    <w:p w14:paraId="15E4D2F9" w14:textId="77777777" w:rsidR="00DB6E47" w:rsidRPr="00297A38" w:rsidRDefault="00DB6E47" w:rsidP="00DB6E47">
      <w:pPr>
        <w:pStyle w:val="Apara"/>
      </w:pPr>
      <w:r w:rsidRPr="00297A38">
        <w:tab/>
        <w:t>(a)</w:t>
      </w:r>
      <w:r w:rsidRPr="00297A38">
        <w:tab/>
        <w:t>the driver was unaware that the driver would be undertaking 100+km work under standard hours on the day; and</w:t>
      </w:r>
    </w:p>
    <w:p w14:paraId="067E6910" w14:textId="77777777" w:rsidR="00DB6E47" w:rsidRPr="00297A38" w:rsidRDefault="00DB6E47" w:rsidP="00DB6E47">
      <w:pPr>
        <w:pStyle w:val="Apara"/>
      </w:pPr>
      <w:r w:rsidRPr="00297A38">
        <w:tab/>
        <w:t>(b)</w:t>
      </w:r>
      <w:r w:rsidRPr="00297A38">
        <w:tab/>
        <w:t>the driver recorded the information in the driver’s work diary as soon as practicable after becoming aware that the driver would be undertaking 100+km work under standard hours on the day.</w:t>
      </w:r>
    </w:p>
    <w:p w14:paraId="3A912CAE" w14:textId="77777777" w:rsidR="00DB6E47" w:rsidRPr="007E1F9A" w:rsidRDefault="00DB6E47" w:rsidP="00DB6E47">
      <w:pPr>
        <w:pStyle w:val="AH5Sec"/>
      </w:pPr>
      <w:bookmarkStart w:id="329" w:name="_Toc83625673"/>
      <w:r w:rsidRPr="005E03F7">
        <w:rPr>
          <w:rStyle w:val="CharSectNo"/>
        </w:rPr>
        <w:t>298</w:t>
      </w:r>
      <w:r w:rsidRPr="007E1F9A">
        <w:tab/>
        <w:t>Failing to record information about odometer reading</w:t>
      </w:r>
      <w:bookmarkEnd w:id="329"/>
    </w:p>
    <w:p w14:paraId="6E6BECF2" w14:textId="77777777" w:rsidR="00DB6E47" w:rsidRPr="00283AFC" w:rsidRDefault="00DB6E47" w:rsidP="00DB6E47">
      <w:pPr>
        <w:pStyle w:val="Amain"/>
      </w:pPr>
      <w:r w:rsidRPr="00283AFC">
        <w:tab/>
        <w:t>(1)</w:t>
      </w:r>
      <w:r w:rsidRPr="00283AFC">
        <w:tab/>
        <w:t>The driver of a fatigue-regulated heavy vehicle must record the odometer reading in the manner prescribed by the national regulations if and when required to do so by the national regulations.</w:t>
      </w:r>
    </w:p>
    <w:p w14:paraId="3D6DE2AC" w14:textId="77777777" w:rsidR="00DB6E47" w:rsidRPr="006C3305" w:rsidRDefault="00DB6E47" w:rsidP="00DB6E47">
      <w:pPr>
        <w:pStyle w:val="Penalty"/>
      </w:pPr>
      <w:r w:rsidRPr="006C3305">
        <w:t>Maximum penalty—$1500.</w:t>
      </w:r>
    </w:p>
    <w:p w14:paraId="3B9DA38C" w14:textId="77777777" w:rsidR="00DB6E47" w:rsidRPr="00283AFC" w:rsidRDefault="00DB6E47" w:rsidP="00DB6E47">
      <w:pPr>
        <w:pStyle w:val="Amain"/>
      </w:pPr>
      <w:r w:rsidRPr="00283AFC">
        <w:tab/>
        <w:t>(2)</w:t>
      </w:r>
      <w:r w:rsidRPr="00283AFC">
        <w:tab/>
        <w:t>In a proceeding for the offence against subsection (1), it is a defence for the driver to prove that—</w:t>
      </w:r>
    </w:p>
    <w:p w14:paraId="2997FB24" w14:textId="77777777" w:rsidR="00DB6E47" w:rsidRPr="00297A38" w:rsidRDefault="00DB6E47" w:rsidP="00DB6E47">
      <w:pPr>
        <w:pStyle w:val="Apara"/>
      </w:pPr>
      <w:r w:rsidRPr="00297A38">
        <w:tab/>
        <w:t>(a)</w:t>
      </w:r>
      <w:r w:rsidRPr="00297A38">
        <w:tab/>
        <w:t>at the time of the offence, the odometer was malfunctioning; and</w:t>
      </w:r>
    </w:p>
    <w:p w14:paraId="468A6048" w14:textId="77777777" w:rsidR="00DB6E47" w:rsidRPr="00297A38" w:rsidRDefault="00DB6E47" w:rsidP="00DB6E47">
      <w:pPr>
        <w:pStyle w:val="Apara"/>
      </w:pPr>
      <w:r w:rsidRPr="00297A38">
        <w:tab/>
        <w:t>(b)</w:t>
      </w:r>
      <w:r w:rsidRPr="00297A38">
        <w:tab/>
        <w:t>the driver has complied with section 397.</w:t>
      </w:r>
    </w:p>
    <w:p w14:paraId="459C7995" w14:textId="77777777" w:rsidR="00DB6E47" w:rsidRPr="007E1F9A" w:rsidRDefault="00DB6E47" w:rsidP="00DB6E47">
      <w:pPr>
        <w:pStyle w:val="AH5Sec"/>
      </w:pPr>
      <w:bookmarkStart w:id="330" w:name="_Toc83625674"/>
      <w:r w:rsidRPr="005E03F7">
        <w:rPr>
          <w:rStyle w:val="CharSectNo"/>
        </w:rPr>
        <w:lastRenderedPageBreak/>
        <w:t>299</w:t>
      </w:r>
      <w:r w:rsidRPr="007E1F9A">
        <w:tab/>
        <w:t>Two-up driver to provide details</w:t>
      </w:r>
      <w:bookmarkEnd w:id="330"/>
    </w:p>
    <w:p w14:paraId="1EF1114A" w14:textId="77777777" w:rsidR="00DB6E47" w:rsidRPr="00283AFC" w:rsidRDefault="00DB6E47" w:rsidP="00D80638">
      <w:pPr>
        <w:pStyle w:val="Amainreturn"/>
        <w:keepLines/>
      </w:pPr>
      <w:r w:rsidRPr="00283AFC">
        <w:t xml:space="preserve">If the driver is a party to a two-up driving arrangement, the driver must, at the request of the other driver (the </w:t>
      </w:r>
      <w:r w:rsidRPr="00FF4454">
        <w:rPr>
          <w:rStyle w:val="charBoldItals"/>
        </w:rPr>
        <w:t>other driver</w:t>
      </w:r>
      <w:r w:rsidRPr="00283AFC">
        <w:t>) who is a party to the arrangement, provide the other driver with the details relating to the arrangement that are prescribed by the national regulations for the purposes of this section.</w:t>
      </w:r>
    </w:p>
    <w:p w14:paraId="2130F44A" w14:textId="77777777" w:rsidR="00DB6E47" w:rsidRPr="006C3305" w:rsidRDefault="00DB6E47" w:rsidP="00DB6E47">
      <w:pPr>
        <w:pStyle w:val="Penalty"/>
      </w:pPr>
      <w:r w:rsidRPr="006C3305">
        <w:t>Maximum penalty—$3000.</w:t>
      </w:r>
    </w:p>
    <w:p w14:paraId="6E187B65" w14:textId="77777777" w:rsidR="00DB6E47" w:rsidRPr="00A95F9A" w:rsidRDefault="00DB6E47" w:rsidP="00DB6E47">
      <w:pPr>
        <w:pStyle w:val="AH4SubDiv"/>
      </w:pPr>
      <w:bookmarkStart w:id="331" w:name="_Toc83625675"/>
      <w:r w:rsidRPr="00A95F9A">
        <w:t xml:space="preserve">Subdivision 3 </w:t>
      </w:r>
      <w:r w:rsidRPr="00A95F9A">
        <w:tab/>
        <w:t>How information must be recorded in work diary</w:t>
      </w:r>
      <w:bookmarkEnd w:id="331"/>
    </w:p>
    <w:p w14:paraId="3C42BA97" w14:textId="77777777" w:rsidR="00DB6E47" w:rsidRPr="007E1F9A" w:rsidRDefault="00DB6E47" w:rsidP="00DB6E47">
      <w:pPr>
        <w:pStyle w:val="AH5Sec"/>
      </w:pPr>
      <w:bookmarkStart w:id="332" w:name="_Toc83625676"/>
      <w:r w:rsidRPr="005E03F7">
        <w:rPr>
          <w:rStyle w:val="CharSectNo"/>
        </w:rPr>
        <w:t>300</w:t>
      </w:r>
      <w:r w:rsidRPr="007E1F9A">
        <w:tab/>
        <w:t>Purpose of Sdiv 3</w:t>
      </w:r>
      <w:bookmarkEnd w:id="332"/>
    </w:p>
    <w:p w14:paraId="66FD1815" w14:textId="77777777" w:rsidR="00DB6E47" w:rsidRPr="00283AFC" w:rsidRDefault="00DB6E47" w:rsidP="00DB6E47">
      <w:pPr>
        <w:pStyle w:val="Amainreturn"/>
      </w:pPr>
      <w:r w:rsidRPr="00283AFC">
        <w:t>This Subdivision states how the driver of a fatigue-regulated heavy vehicle who is required to record information in the driver’s work diary under Subdivision 2 must record the information.</w:t>
      </w:r>
    </w:p>
    <w:p w14:paraId="1691C6AE" w14:textId="77777777" w:rsidR="00DB6E47" w:rsidRPr="007E1F9A" w:rsidRDefault="00DB6E47" w:rsidP="00DB6E47">
      <w:pPr>
        <w:pStyle w:val="AH5Sec"/>
      </w:pPr>
      <w:bookmarkStart w:id="333" w:name="_Toc83625677"/>
      <w:r w:rsidRPr="005E03F7">
        <w:rPr>
          <w:rStyle w:val="CharSectNo"/>
        </w:rPr>
        <w:t>301</w:t>
      </w:r>
      <w:r w:rsidRPr="007E1F9A">
        <w:tab/>
        <w:t>Recording information in written work diary</w:t>
      </w:r>
      <w:bookmarkEnd w:id="333"/>
    </w:p>
    <w:p w14:paraId="717FCE02" w14:textId="77777777" w:rsidR="00DB6E47" w:rsidRPr="00283AFC" w:rsidRDefault="00DB6E47" w:rsidP="00DB6E47">
      <w:pPr>
        <w:pStyle w:val="Amainreturn"/>
      </w:pPr>
      <w:r w:rsidRPr="00283AFC">
        <w:t>If the driver’s work diary is a written work diary, the driver must record information in the work diary in the following way—</w:t>
      </w:r>
    </w:p>
    <w:p w14:paraId="4F0F29E6" w14:textId="77777777" w:rsidR="00DB6E47" w:rsidRPr="00297A38" w:rsidRDefault="00DB6E47" w:rsidP="00DB6E47">
      <w:pPr>
        <w:pStyle w:val="Apara"/>
      </w:pPr>
      <w:r w:rsidRPr="00297A38">
        <w:tab/>
        <w:t>(a)</w:t>
      </w:r>
      <w:r w:rsidRPr="00297A38">
        <w:tab/>
        <w:t>the information for each day must be written on a separate daily sheet in the work diary that has not been cancelled by the Regulator;</w:t>
      </w:r>
    </w:p>
    <w:p w14:paraId="13C72A1C" w14:textId="77777777" w:rsidR="00DB6E47" w:rsidRPr="00297A38" w:rsidRDefault="00DB6E47" w:rsidP="00DB6E47">
      <w:pPr>
        <w:pStyle w:val="Apara"/>
      </w:pPr>
      <w:r w:rsidRPr="00297A38">
        <w:tab/>
        <w:t>(b)</w:t>
      </w:r>
      <w:r w:rsidRPr="00297A38">
        <w:tab/>
        <w:t>if, on a day, the driver changes the work and rest hours option under which the driver is working, the information for the part of the day after the change must be written on a separate daily sheet in the work diary that has not been cancelled by the Regulator;</w:t>
      </w:r>
    </w:p>
    <w:p w14:paraId="5AA72792" w14:textId="77777777" w:rsidR="00DB6E47" w:rsidRPr="00297A38" w:rsidRDefault="00DB6E47" w:rsidP="00DB6E47">
      <w:pPr>
        <w:pStyle w:val="Apara"/>
      </w:pPr>
      <w:r w:rsidRPr="00297A38">
        <w:tab/>
        <w:t>(c)</w:t>
      </w:r>
      <w:r w:rsidRPr="00297A38">
        <w:tab/>
        <w:t>information must be written on a daily sheet in the way stated in the instructions in the work diary for recording information on daily sheets;</w:t>
      </w:r>
    </w:p>
    <w:p w14:paraId="59A5FD1B" w14:textId="77777777" w:rsidR="00DB6E47" w:rsidRPr="00297A38" w:rsidRDefault="00DB6E47" w:rsidP="00DB6E47">
      <w:pPr>
        <w:pStyle w:val="Apara"/>
      </w:pPr>
      <w:r w:rsidRPr="00297A38">
        <w:lastRenderedPageBreak/>
        <w:tab/>
        <w:t>(d)</w:t>
      </w:r>
      <w:r w:rsidRPr="00297A38">
        <w:tab/>
        <w:t>the daily sheets in the work diary must be used in turn from the front of the work diary;</w:t>
      </w:r>
    </w:p>
    <w:p w14:paraId="4FEBD252" w14:textId="77777777" w:rsidR="00DB6E47" w:rsidRPr="00297A38" w:rsidRDefault="00DB6E47" w:rsidP="00DB6E47">
      <w:pPr>
        <w:pStyle w:val="Apara"/>
      </w:pPr>
      <w:r w:rsidRPr="00297A38">
        <w:tab/>
        <w:t>(e)</w:t>
      </w:r>
      <w:r w:rsidRPr="00297A38">
        <w:tab/>
        <w:t>each daily sheet must be—</w:t>
      </w:r>
    </w:p>
    <w:p w14:paraId="24F061A4" w14:textId="77777777" w:rsidR="00DB6E47" w:rsidRPr="00516F02" w:rsidRDefault="00DB6E47" w:rsidP="00DB6E47">
      <w:pPr>
        <w:pStyle w:val="Asubpara"/>
      </w:pPr>
      <w:r w:rsidRPr="00516F02">
        <w:tab/>
        <w:t>(i)</w:t>
      </w:r>
      <w:r w:rsidRPr="00516F02">
        <w:tab/>
        <w:t>signed and dated by the driver; and</w:t>
      </w:r>
    </w:p>
    <w:p w14:paraId="34DE9FDA" w14:textId="77777777" w:rsidR="00DB6E47" w:rsidRPr="00516F02" w:rsidRDefault="00DB6E47" w:rsidP="00DB6E47">
      <w:pPr>
        <w:pStyle w:val="Asubpara"/>
      </w:pPr>
      <w:r w:rsidRPr="00516F02">
        <w:tab/>
        <w:t>(ii)</w:t>
      </w:r>
      <w:r w:rsidRPr="00516F02">
        <w:tab/>
        <w:t>if the driver is driving under a two-up driving arrangement—signed by the other driver who is a party to the arrangement;</w:t>
      </w:r>
    </w:p>
    <w:p w14:paraId="5BA74EC7" w14:textId="77777777" w:rsidR="00DB6E47" w:rsidRPr="00297A38" w:rsidRDefault="00DB6E47" w:rsidP="00DB6E47">
      <w:pPr>
        <w:pStyle w:val="Apara"/>
      </w:pPr>
      <w:r w:rsidRPr="00297A38">
        <w:tab/>
        <w:t>(f)</w:t>
      </w:r>
      <w:r w:rsidRPr="00297A38">
        <w:tab/>
        <w:t>information must be written on a daily sheet with enough pressure to ensure a readable record of the information appears on the duplicate daily sheets;</w:t>
      </w:r>
    </w:p>
    <w:p w14:paraId="3C86074D" w14:textId="77777777" w:rsidR="00DB6E47" w:rsidRPr="00297A38" w:rsidRDefault="00DB6E47" w:rsidP="00DB6E47">
      <w:pPr>
        <w:pStyle w:val="Apara"/>
      </w:pPr>
      <w:r w:rsidRPr="00297A38">
        <w:tab/>
        <w:t>(g)</w:t>
      </w:r>
      <w:r w:rsidRPr="00297A38">
        <w:tab/>
        <w:t>information recorded other than on a daily sheet must be written in the work diary in the way stated in the instructions in the work diary for the recording of the information.</w:t>
      </w:r>
    </w:p>
    <w:p w14:paraId="7CD2FB19" w14:textId="77777777" w:rsidR="00DB6E47" w:rsidRPr="006C3305" w:rsidRDefault="00DB6E47" w:rsidP="00DB6E47">
      <w:pPr>
        <w:pStyle w:val="Penalty"/>
      </w:pPr>
      <w:r w:rsidRPr="006C3305">
        <w:t>Maximum penalty—$1500.</w:t>
      </w:r>
    </w:p>
    <w:p w14:paraId="44F7DE06" w14:textId="77777777" w:rsidR="00DB6E47" w:rsidRPr="007E1F9A" w:rsidRDefault="00DB6E47" w:rsidP="00DB6E47">
      <w:pPr>
        <w:pStyle w:val="AH5Sec"/>
      </w:pPr>
      <w:bookmarkStart w:id="334" w:name="_Toc83625678"/>
      <w:r w:rsidRPr="005E03F7">
        <w:rPr>
          <w:rStyle w:val="CharSectNo"/>
        </w:rPr>
        <w:t>302</w:t>
      </w:r>
      <w:r w:rsidRPr="007E1F9A">
        <w:tab/>
        <w:t>Recording information in electronic work diary</w:t>
      </w:r>
      <w:bookmarkEnd w:id="334"/>
    </w:p>
    <w:p w14:paraId="740D7467" w14:textId="77777777" w:rsidR="00DB6E47" w:rsidRPr="00283AFC" w:rsidRDefault="00DB6E47" w:rsidP="00DB6E47">
      <w:pPr>
        <w:pStyle w:val="Amainreturn"/>
      </w:pPr>
      <w:r w:rsidRPr="00283AFC">
        <w:t>If the driver’s work diary is an electronic work diary, the driver must record information in the work diary in a way complying with—</w:t>
      </w:r>
    </w:p>
    <w:p w14:paraId="433786A8" w14:textId="77777777" w:rsidR="00DB6E47" w:rsidRPr="00297A38" w:rsidRDefault="00DB6E47" w:rsidP="00DB6E47">
      <w:pPr>
        <w:pStyle w:val="Apara"/>
      </w:pPr>
      <w:r w:rsidRPr="00297A38">
        <w:tab/>
        <w:t>(a)</w:t>
      </w:r>
      <w:r w:rsidRPr="00297A38">
        <w:tab/>
        <w:t>if the Regulator has, when approving the electronic recording system constituting the work diary, or of which the work diary is a part, imposed any conditions in relation to the way information must be recorded in the work diary—those conditions; and</w:t>
      </w:r>
    </w:p>
    <w:p w14:paraId="4435C2F5" w14:textId="77777777" w:rsidR="00DB6E47" w:rsidRPr="00297A38" w:rsidRDefault="00DB6E47" w:rsidP="00A77F94">
      <w:pPr>
        <w:pStyle w:val="Apara"/>
        <w:keepNext/>
        <w:keepLines/>
      </w:pPr>
      <w:r w:rsidRPr="00297A38">
        <w:lastRenderedPageBreak/>
        <w:tab/>
        <w:t>(b)</w:t>
      </w:r>
      <w:r w:rsidRPr="00297A38">
        <w:tab/>
      </w:r>
      <w:r w:rsidR="0073236E">
        <w:t xml:space="preserve">the manufacturer’s instructions, if any, </w:t>
      </w:r>
      <w:r w:rsidRPr="00297A38">
        <w:t>for recording information in the electronic work diary, to the extent the instructions are consistent with the con</w:t>
      </w:r>
      <w:r w:rsidR="00A84B34">
        <w:t xml:space="preserve">ditions mentioned in paragraph </w:t>
      </w:r>
      <w:r w:rsidRPr="00297A38">
        <w:t>(a).</w:t>
      </w:r>
    </w:p>
    <w:p w14:paraId="5D85085E" w14:textId="77777777" w:rsidR="00DB6E47" w:rsidRPr="006C3305" w:rsidRDefault="00DB6E47" w:rsidP="003F5A90">
      <w:pPr>
        <w:pStyle w:val="Penalty"/>
        <w:keepNext/>
      </w:pPr>
      <w:r w:rsidRPr="006C3305">
        <w:t>Maximum penalty—$1500.</w:t>
      </w:r>
    </w:p>
    <w:p w14:paraId="539EF668" w14:textId="77777777" w:rsidR="00DB6E47" w:rsidRPr="00C96203" w:rsidRDefault="00DB6E47" w:rsidP="003F5A90">
      <w:pPr>
        <w:pStyle w:val="aNote"/>
        <w:keepNext/>
      </w:pPr>
      <w:r w:rsidRPr="00FF4454">
        <w:rPr>
          <w:rStyle w:val="charItals"/>
        </w:rPr>
        <w:t>Note</w:t>
      </w:r>
      <w:r w:rsidRPr="00C96203">
        <w:rPr>
          <w:rFonts w:cs="Times"/>
          <w:bCs/>
          <w:iCs/>
        </w:rPr>
        <w:t>—</w:t>
      </w:r>
    </w:p>
    <w:p w14:paraId="145FE214" w14:textId="77777777" w:rsidR="00DB6E47" w:rsidRPr="00C96203" w:rsidRDefault="00DB6E47" w:rsidP="00DB6E47">
      <w:pPr>
        <w:pStyle w:val="aNoteTextss"/>
      </w:pPr>
      <w:r w:rsidRPr="00C96203">
        <w:t>The Regulator may impose conditions on the use of an electronic recording system under section 343.</w:t>
      </w:r>
    </w:p>
    <w:p w14:paraId="3D70DB21" w14:textId="77777777" w:rsidR="00DB6E47" w:rsidRPr="007E1F9A" w:rsidRDefault="00DB6E47" w:rsidP="00DB6E47">
      <w:pPr>
        <w:pStyle w:val="AH5Sec"/>
      </w:pPr>
      <w:bookmarkStart w:id="335" w:name="_Toc83625679"/>
      <w:r w:rsidRPr="005E03F7">
        <w:rPr>
          <w:rStyle w:val="CharSectNo"/>
        </w:rPr>
        <w:t>303</w:t>
      </w:r>
      <w:r w:rsidRPr="007E1F9A">
        <w:tab/>
        <w:t>Time zone of driver’s base must be used</w:t>
      </w:r>
      <w:bookmarkEnd w:id="335"/>
    </w:p>
    <w:p w14:paraId="2D934DDE" w14:textId="77777777" w:rsidR="00DB6E47" w:rsidRPr="00283AFC" w:rsidRDefault="00DB6E47" w:rsidP="00DB6E47">
      <w:pPr>
        <w:pStyle w:val="Amainreturn"/>
      </w:pPr>
      <w:r w:rsidRPr="00283AFC">
        <w:t>The driver must record time in the driver’s work diary according to the time zone in the place where the driver’s base is, rather than the time zone in the place where the driver is.</w:t>
      </w:r>
    </w:p>
    <w:p w14:paraId="071EFF11" w14:textId="77777777" w:rsidR="00DB6E47" w:rsidRPr="006C3305" w:rsidRDefault="00DB6E47" w:rsidP="00DB6E47">
      <w:pPr>
        <w:pStyle w:val="Penalty"/>
      </w:pPr>
      <w:r w:rsidRPr="006C3305">
        <w:t>Maximum penalty—$1500.</w:t>
      </w:r>
    </w:p>
    <w:p w14:paraId="4B2BD23E" w14:textId="77777777" w:rsidR="00DB6E47" w:rsidRPr="00C96203" w:rsidRDefault="00DB6E47" w:rsidP="00DB6E47">
      <w:pPr>
        <w:pStyle w:val="aNote"/>
      </w:pPr>
      <w:r w:rsidRPr="00FF4454">
        <w:rPr>
          <w:rStyle w:val="charItals"/>
        </w:rPr>
        <w:t>Note</w:t>
      </w:r>
      <w:r w:rsidRPr="00C96203">
        <w:rPr>
          <w:rFonts w:cs="Times"/>
          <w:bCs/>
          <w:iCs/>
        </w:rPr>
        <w:t>—</w:t>
      </w:r>
    </w:p>
    <w:p w14:paraId="6B2D6EA9" w14:textId="77777777" w:rsidR="00DB6E47" w:rsidRPr="00C96203" w:rsidRDefault="00DB6E47" w:rsidP="00DB6E47">
      <w:pPr>
        <w:pStyle w:val="aNoteTextss"/>
      </w:pPr>
      <w:r w:rsidRPr="00C96203">
        <w:t>See also section 248, which requires that time periods be counted by reference to the time zone of a driver’s base when the driver’s journey involves travelling into a different time zone.</w:t>
      </w:r>
    </w:p>
    <w:p w14:paraId="48FB36F1" w14:textId="77777777" w:rsidR="00DB6E47" w:rsidRPr="00A95F9A" w:rsidRDefault="00DB6E47" w:rsidP="00DB6E47">
      <w:pPr>
        <w:pStyle w:val="AH4SubDiv"/>
      </w:pPr>
      <w:bookmarkStart w:id="336" w:name="_Toc83625680"/>
      <w:r w:rsidRPr="00A95F9A">
        <w:t xml:space="preserve">Subdivision 4 </w:t>
      </w:r>
      <w:r w:rsidRPr="00A95F9A">
        <w:tab/>
        <w:t>Requirements about work diaries that are filled up etc.</w:t>
      </w:r>
      <w:bookmarkEnd w:id="336"/>
    </w:p>
    <w:p w14:paraId="6877849B" w14:textId="77777777" w:rsidR="00DB6E47" w:rsidRPr="007E1F9A" w:rsidRDefault="00DB6E47" w:rsidP="00DB6E47">
      <w:pPr>
        <w:pStyle w:val="AH5Sec"/>
      </w:pPr>
      <w:bookmarkStart w:id="337" w:name="_Toc83625681"/>
      <w:r w:rsidRPr="005E03F7">
        <w:rPr>
          <w:rStyle w:val="CharSectNo"/>
        </w:rPr>
        <w:t>304</w:t>
      </w:r>
      <w:r w:rsidRPr="007E1F9A">
        <w:tab/>
        <w:t>Application of Sdiv 4</w:t>
      </w:r>
      <w:bookmarkEnd w:id="337"/>
    </w:p>
    <w:p w14:paraId="4C270BF8" w14:textId="77777777" w:rsidR="00DB6E47" w:rsidRPr="00283AFC" w:rsidRDefault="00DB6E47" w:rsidP="00DB6E47">
      <w:pPr>
        <w:pStyle w:val="Amainreturn"/>
      </w:pPr>
      <w:r w:rsidRPr="00283AFC">
        <w:t>This Subdivision applies to the driver of a fatigue-regulated heavy vehicle who is required to record information in the driver’s work diary under Subdivision 2 if—</w:t>
      </w:r>
    </w:p>
    <w:p w14:paraId="110304E2" w14:textId="77777777" w:rsidR="00DB6E47" w:rsidRPr="00297A38" w:rsidRDefault="00DB6E47" w:rsidP="00DB6E47">
      <w:pPr>
        <w:pStyle w:val="Apara"/>
      </w:pPr>
      <w:r w:rsidRPr="00297A38">
        <w:tab/>
        <w:t>(a)</w:t>
      </w:r>
      <w:r w:rsidRPr="00297A38">
        <w:tab/>
        <w:t>for a driver who uses a written work diary—the driver’s work diary has been filled up, destroyed, lost or stolen; or</w:t>
      </w:r>
    </w:p>
    <w:p w14:paraId="3BDF1922" w14:textId="77777777" w:rsidR="00DB6E47" w:rsidRPr="00297A38" w:rsidRDefault="00DB6E47" w:rsidP="00DB6E47">
      <w:pPr>
        <w:pStyle w:val="Apara"/>
      </w:pPr>
      <w:r w:rsidRPr="00297A38">
        <w:tab/>
        <w:t>(b)</w:t>
      </w:r>
      <w:r w:rsidRPr="00297A38">
        <w:tab/>
        <w:t>for a driver who uses an electronic work diary—the driver’s work diary—</w:t>
      </w:r>
    </w:p>
    <w:p w14:paraId="78D40EAE" w14:textId="77777777" w:rsidR="00DB6E47" w:rsidRPr="00516F02" w:rsidRDefault="00DB6E47" w:rsidP="00DB6E47">
      <w:pPr>
        <w:pStyle w:val="Asubpara"/>
      </w:pPr>
      <w:r w:rsidRPr="00516F02">
        <w:tab/>
        <w:t>(i)</w:t>
      </w:r>
      <w:r w:rsidRPr="00516F02">
        <w:tab/>
        <w:t>has been filled up, destroyed, lost or stolen; or</w:t>
      </w:r>
    </w:p>
    <w:p w14:paraId="7A442789" w14:textId="77777777" w:rsidR="00DB6E47" w:rsidRPr="00516F02" w:rsidRDefault="00DB6E47" w:rsidP="00DB6E47">
      <w:pPr>
        <w:pStyle w:val="Asubpara"/>
      </w:pPr>
      <w:r w:rsidRPr="00516F02">
        <w:lastRenderedPageBreak/>
        <w:tab/>
        <w:t>(ii)</w:t>
      </w:r>
      <w:r w:rsidRPr="00516F02">
        <w:tab/>
        <w:t>is not in working order because a part of the diary has been destroyed, lost or stolen; or</w:t>
      </w:r>
    </w:p>
    <w:p w14:paraId="23ADBC91" w14:textId="77777777" w:rsidR="00DB6E47" w:rsidRPr="00516F02" w:rsidRDefault="00DB6E47" w:rsidP="00DB6E47">
      <w:pPr>
        <w:pStyle w:val="Asubpara"/>
      </w:pPr>
      <w:r w:rsidRPr="00516F02">
        <w:tab/>
        <w:t>(iii)</w:t>
      </w:r>
      <w:r w:rsidRPr="00516F02">
        <w:tab/>
        <w:t>is malfunctioning or has malfunctioned.</w:t>
      </w:r>
    </w:p>
    <w:p w14:paraId="5B27BBA6" w14:textId="77777777" w:rsidR="00DB6E47" w:rsidRPr="007E1F9A" w:rsidRDefault="00DB6E47" w:rsidP="00DB6E47">
      <w:pPr>
        <w:pStyle w:val="AH5Sec"/>
      </w:pPr>
      <w:bookmarkStart w:id="338" w:name="_Toc83625682"/>
      <w:r w:rsidRPr="005E03F7">
        <w:rPr>
          <w:rStyle w:val="CharSectNo"/>
        </w:rPr>
        <w:t>305</w:t>
      </w:r>
      <w:r w:rsidRPr="007E1F9A">
        <w:tab/>
        <w:t>Driver must make supplementary records in particular circumstances</w:t>
      </w:r>
      <w:bookmarkEnd w:id="338"/>
    </w:p>
    <w:p w14:paraId="1E56B941" w14:textId="77777777" w:rsidR="00DB6E47" w:rsidRPr="00283AFC" w:rsidRDefault="00DB6E47" w:rsidP="00DB6E47">
      <w:pPr>
        <w:pStyle w:val="Amain"/>
      </w:pPr>
      <w:r w:rsidRPr="00283AFC">
        <w:tab/>
        <w:t>(1)</w:t>
      </w:r>
      <w:r w:rsidRPr="00283AFC">
        <w:tab/>
        <w:t xml:space="preserve">During any period in which the driver of a fatigue-regulated heavy vehicle is unable to use the driver’s work diary (the </w:t>
      </w:r>
      <w:r w:rsidRPr="00FF4454">
        <w:rPr>
          <w:rStyle w:val="charBoldItals"/>
        </w:rPr>
        <w:t>existing work diary</w:t>
      </w:r>
      <w:r w:rsidRPr="00283AFC">
        <w:t>) because of circums</w:t>
      </w:r>
      <w:r w:rsidR="00A84B34">
        <w:t>tances mentioned in section 304</w:t>
      </w:r>
      <w:r w:rsidRPr="00283AFC">
        <w:t>(a)</w:t>
      </w:r>
      <w:r w:rsidR="00A84B34">
        <w:t xml:space="preserve"> </w:t>
      </w:r>
      <w:r w:rsidRPr="00283AFC">
        <w:t xml:space="preserve">or (b), the driver must record in a supplementary record the information the driver is required under Subdivision 2 to record for the period (the </w:t>
      </w:r>
      <w:r w:rsidRPr="00FF4454">
        <w:rPr>
          <w:rStyle w:val="charBoldItals"/>
        </w:rPr>
        <w:t>required information</w:t>
      </w:r>
      <w:r w:rsidRPr="00283AFC">
        <w:t>).</w:t>
      </w:r>
    </w:p>
    <w:p w14:paraId="000DC650" w14:textId="77777777" w:rsidR="00DB6E47" w:rsidRPr="006C3305" w:rsidRDefault="00DB6E47" w:rsidP="00DB6E47">
      <w:pPr>
        <w:pStyle w:val="Penalty"/>
      </w:pPr>
      <w:r w:rsidRPr="006C3305">
        <w:t>Maximum penalty—$6000.</w:t>
      </w:r>
    </w:p>
    <w:p w14:paraId="2B7D9A6B" w14:textId="77777777" w:rsidR="00DB6E47" w:rsidRPr="00C96203" w:rsidRDefault="00DB6E47" w:rsidP="00DB6E47">
      <w:pPr>
        <w:pStyle w:val="aNote"/>
      </w:pPr>
      <w:r w:rsidRPr="00FF4454">
        <w:rPr>
          <w:rStyle w:val="charItals"/>
        </w:rPr>
        <w:t>Note</w:t>
      </w:r>
      <w:r w:rsidRPr="00C96203">
        <w:rPr>
          <w:rFonts w:cs="Times"/>
          <w:bCs/>
          <w:iCs/>
        </w:rPr>
        <w:t>—</w:t>
      </w:r>
    </w:p>
    <w:p w14:paraId="0C99CCEC" w14:textId="77777777" w:rsidR="00DB6E47" w:rsidRPr="00C96203" w:rsidRDefault="00DB6E47" w:rsidP="00DB6E47">
      <w:pPr>
        <w:pStyle w:val="aNoteTextss"/>
      </w:pPr>
      <w:r w:rsidRPr="00C96203">
        <w:t>Under Subdivision 1, the driver of a fatigue-regulated heavy vehicle must keep a supplementary record for 28 days after it is made as part of the driver</w:t>
      </w:r>
      <w:r w:rsidR="00A84B34">
        <w:t>’s work diary. See sections 292</w:t>
      </w:r>
      <w:r w:rsidRPr="00C96203">
        <w:t>(2)</w:t>
      </w:r>
      <w:r w:rsidR="00A84B34">
        <w:t xml:space="preserve"> </w:t>
      </w:r>
      <w:r w:rsidRPr="00C96203">
        <w:t>and 293.</w:t>
      </w:r>
    </w:p>
    <w:p w14:paraId="035736E1" w14:textId="77777777" w:rsidR="00DB6E47" w:rsidRPr="00C96203" w:rsidRDefault="00DB6E47" w:rsidP="00DB6E47">
      <w:pPr>
        <w:pStyle w:val="aNoteTextss"/>
      </w:pPr>
      <w:r w:rsidRPr="00C96203">
        <w:t>Also, under section 341, the driver’s record keeper must keep the supplementary record for at least 3 years after it is made (if the record keeper is the driver) or received by the record keeper (if the record keeper is not the driver). However, the period can be less than 3 years if a condition of an exemption states a record must be kept for a period of less than 3 years.</w:t>
      </w:r>
    </w:p>
    <w:p w14:paraId="43E1119B" w14:textId="77777777" w:rsidR="00DB6E47" w:rsidRPr="00283AFC" w:rsidRDefault="00DB6E47" w:rsidP="00DB6E47">
      <w:pPr>
        <w:pStyle w:val="Amain"/>
      </w:pPr>
      <w:r w:rsidRPr="00283AFC">
        <w:tab/>
        <w:t>(2)</w:t>
      </w:r>
      <w:r w:rsidRPr="00283AFC">
        <w:tab/>
        <w:t>For a supplementary record that is not in electronic form, the required information must be recorded in the record as follows—</w:t>
      </w:r>
    </w:p>
    <w:p w14:paraId="2C6D462B" w14:textId="77777777" w:rsidR="00DB6E47" w:rsidRPr="00297A38" w:rsidRDefault="00DB6E47" w:rsidP="00DB6E47">
      <w:pPr>
        <w:pStyle w:val="Apara"/>
      </w:pPr>
      <w:r w:rsidRPr="00297A38">
        <w:tab/>
        <w:t>(a)</w:t>
      </w:r>
      <w:r w:rsidRPr="00297A38">
        <w:tab/>
        <w:t>the information for each day must be written on a separate page of the record;</w:t>
      </w:r>
    </w:p>
    <w:p w14:paraId="7729B7CF" w14:textId="77777777" w:rsidR="00DB6E47" w:rsidRPr="00297A38" w:rsidRDefault="00DB6E47" w:rsidP="00DB6E47">
      <w:pPr>
        <w:pStyle w:val="Apara"/>
      </w:pPr>
      <w:r w:rsidRPr="00297A38">
        <w:tab/>
        <w:t>(b)</w:t>
      </w:r>
      <w:r w:rsidRPr="00297A38">
        <w:tab/>
        <w:t>if, on a day, the driver changes the work and rest hours option under which the driver is working, the information for the part of the day after the change must be written on a separate page of the record;</w:t>
      </w:r>
    </w:p>
    <w:p w14:paraId="167D7863" w14:textId="77777777" w:rsidR="00DB6E47" w:rsidRPr="00297A38" w:rsidRDefault="00DB6E47" w:rsidP="00D80638">
      <w:pPr>
        <w:pStyle w:val="Apara"/>
        <w:keepNext/>
      </w:pPr>
      <w:r w:rsidRPr="00297A38">
        <w:lastRenderedPageBreak/>
        <w:tab/>
        <w:t>(c)</w:t>
      </w:r>
      <w:r w:rsidRPr="00297A38">
        <w:tab/>
        <w:t>each page of the record must be—</w:t>
      </w:r>
    </w:p>
    <w:p w14:paraId="66802EED" w14:textId="77777777" w:rsidR="00DB6E47" w:rsidRPr="00516F02" w:rsidRDefault="00DB6E47" w:rsidP="00DB6E47">
      <w:pPr>
        <w:pStyle w:val="Asubpara"/>
      </w:pPr>
      <w:r w:rsidRPr="00516F02">
        <w:tab/>
        <w:t>(i)</w:t>
      </w:r>
      <w:r w:rsidRPr="00516F02">
        <w:tab/>
        <w:t>signed and dated by the driver; and</w:t>
      </w:r>
    </w:p>
    <w:p w14:paraId="5E952671" w14:textId="77777777" w:rsidR="00DB6E47" w:rsidRPr="00516F02" w:rsidRDefault="00DB6E47" w:rsidP="00DB6E47">
      <w:pPr>
        <w:pStyle w:val="Asubpara"/>
      </w:pPr>
      <w:r w:rsidRPr="00516F02">
        <w:tab/>
        <w:t>(ii)</w:t>
      </w:r>
      <w:r w:rsidRPr="00516F02">
        <w:tab/>
        <w:t>if the driver is driving under a two-up driving arrangement—signed by the other driver who is a party to the arrangement.</w:t>
      </w:r>
    </w:p>
    <w:p w14:paraId="1AF0AFEB" w14:textId="77777777" w:rsidR="00DB6E47" w:rsidRPr="006C3305" w:rsidRDefault="00DB6E47" w:rsidP="00DB6E47">
      <w:pPr>
        <w:pStyle w:val="Penalty"/>
      </w:pPr>
      <w:r w:rsidRPr="006C3305">
        <w:t>Maximum penalty—$3000.</w:t>
      </w:r>
    </w:p>
    <w:p w14:paraId="1E998F4F" w14:textId="77777777" w:rsidR="00DB6E47" w:rsidRPr="00283AFC" w:rsidRDefault="00DB6E47" w:rsidP="00DB6E47">
      <w:pPr>
        <w:pStyle w:val="Amain"/>
      </w:pPr>
      <w:r w:rsidRPr="00283AFC">
        <w:tab/>
        <w:t>(3)</w:t>
      </w:r>
      <w:r w:rsidRPr="00283AFC">
        <w:tab/>
        <w:t>The driver must record time in the supplementary record according to the time zone in the place where the driver’s base is, rather than the time zone in the place where the driver is.</w:t>
      </w:r>
    </w:p>
    <w:p w14:paraId="041B8160" w14:textId="77777777" w:rsidR="00DB6E47" w:rsidRPr="006C3305" w:rsidRDefault="00DB6E47" w:rsidP="00DB6E47">
      <w:pPr>
        <w:pStyle w:val="Penalty"/>
      </w:pPr>
      <w:r w:rsidRPr="006C3305">
        <w:t>Maximum penalty—$1500.</w:t>
      </w:r>
    </w:p>
    <w:p w14:paraId="2E3EF1C7" w14:textId="77777777" w:rsidR="00DB6E47" w:rsidRPr="00283AFC" w:rsidRDefault="00A84B34" w:rsidP="00DB6E47">
      <w:pPr>
        <w:pStyle w:val="Amain"/>
      </w:pPr>
      <w:r>
        <w:tab/>
        <w:t>(4)</w:t>
      </w:r>
      <w:r>
        <w:tab/>
        <w:t xml:space="preserve">Subsections </w:t>
      </w:r>
      <w:r w:rsidR="00DB6E47" w:rsidRPr="00283AFC">
        <w:t>(1)</w:t>
      </w:r>
      <w:r>
        <w:t xml:space="preserve"> to </w:t>
      </w:r>
      <w:r w:rsidR="00DB6E47" w:rsidRPr="00283AFC">
        <w:t>(3)</w:t>
      </w:r>
      <w:r w:rsidR="004E3F26">
        <w:t xml:space="preserve"> </w:t>
      </w:r>
      <w:r w:rsidR="00DB6E47" w:rsidRPr="00283AFC">
        <w:t>cease to apply—</w:t>
      </w:r>
    </w:p>
    <w:p w14:paraId="3FCE3815" w14:textId="77777777" w:rsidR="00DB6E47" w:rsidRPr="00297A38" w:rsidRDefault="00DB6E47" w:rsidP="00DB6E47">
      <w:pPr>
        <w:pStyle w:val="Apara"/>
      </w:pPr>
      <w:r w:rsidRPr="00297A38">
        <w:tab/>
        <w:t>(a)</w:t>
      </w:r>
      <w:r w:rsidRPr="00297A38">
        <w:tab/>
        <w:t>if the existing work diary is a written work diary, when the first of the following happens—</w:t>
      </w:r>
    </w:p>
    <w:p w14:paraId="654A60D5" w14:textId="77777777" w:rsidR="00DB6E47" w:rsidRPr="00516F02" w:rsidRDefault="00DB6E47" w:rsidP="00DB6E47">
      <w:pPr>
        <w:pStyle w:val="Asubpara"/>
      </w:pPr>
      <w:r w:rsidRPr="00516F02">
        <w:tab/>
        <w:t>(i)</w:t>
      </w:r>
      <w:r w:rsidRPr="00516F02">
        <w:tab/>
        <w:t>the driver is issued a new written work diary, or obtains an electronic work diary that is in working order;</w:t>
      </w:r>
    </w:p>
    <w:p w14:paraId="7171B819" w14:textId="77777777" w:rsidR="00DB6E47" w:rsidRPr="00516F02" w:rsidRDefault="00DB6E47" w:rsidP="00DB6E47">
      <w:pPr>
        <w:pStyle w:val="Asubpara"/>
      </w:pPr>
      <w:r w:rsidRPr="00516F02">
        <w:tab/>
        <w:t>(ii)</w:t>
      </w:r>
      <w:r w:rsidRPr="00516F02">
        <w:tab/>
        <w:t>the expiry of 7 business days after the day on which the driver starts recording information under this section; or</w:t>
      </w:r>
    </w:p>
    <w:p w14:paraId="32B0866D" w14:textId="77777777" w:rsidR="00DB6E47" w:rsidRPr="00297A38" w:rsidRDefault="00DB6E47" w:rsidP="00DB6E47">
      <w:pPr>
        <w:pStyle w:val="Apara"/>
      </w:pPr>
      <w:r w:rsidRPr="00297A38">
        <w:tab/>
        <w:t>(b)</w:t>
      </w:r>
      <w:r w:rsidRPr="00297A38">
        <w:tab/>
        <w:t>if the existing work diary is an electronic work diary, when the first of the following happens—</w:t>
      </w:r>
    </w:p>
    <w:p w14:paraId="3921DA71" w14:textId="77777777" w:rsidR="00DB6E47" w:rsidRPr="00516F02" w:rsidRDefault="00DB6E47" w:rsidP="00DB6E47">
      <w:pPr>
        <w:pStyle w:val="Asubpara"/>
      </w:pPr>
      <w:r w:rsidRPr="00516F02">
        <w:tab/>
        <w:t>(i)</w:t>
      </w:r>
      <w:r w:rsidRPr="00516F02">
        <w:tab/>
        <w:t>the driver obtains a new electronic work diary that is in working order, or a written work diary;</w:t>
      </w:r>
    </w:p>
    <w:p w14:paraId="62C5E888" w14:textId="77777777" w:rsidR="00DB6E47" w:rsidRPr="00516F02" w:rsidRDefault="00DB6E47" w:rsidP="00DB6E47">
      <w:pPr>
        <w:pStyle w:val="Asubpara"/>
      </w:pPr>
      <w:r w:rsidRPr="00516F02">
        <w:tab/>
        <w:t>(ii)</w:t>
      </w:r>
      <w:r w:rsidRPr="00516F02">
        <w:tab/>
        <w:t>the existing work diary is—</w:t>
      </w:r>
    </w:p>
    <w:p w14:paraId="5D768E2F" w14:textId="77777777" w:rsidR="00DB6E47" w:rsidRPr="00A84B34" w:rsidRDefault="00DB6E47" w:rsidP="00414B0A">
      <w:pPr>
        <w:pStyle w:val="Asubsubpara"/>
      </w:pPr>
      <w:r w:rsidRPr="00FF4454">
        <w:tab/>
      </w:r>
      <w:r w:rsidRPr="00F04D8E">
        <w:rPr>
          <w:rFonts w:cs="Times"/>
          <w:bCs/>
          <w:iCs/>
        </w:rPr>
        <w:t>(</w:t>
      </w:r>
      <w:r w:rsidR="00414B0A">
        <w:rPr>
          <w:rFonts w:cs="Times"/>
          <w:bCs/>
          <w:iCs/>
        </w:rPr>
        <w:t>A</w:t>
      </w:r>
      <w:r w:rsidRPr="00F04D8E">
        <w:rPr>
          <w:rFonts w:cs="Times"/>
          <w:bCs/>
          <w:iCs/>
        </w:rPr>
        <w:t>)</w:t>
      </w:r>
      <w:r w:rsidRPr="00FF4454">
        <w:rPr>
          <w:rStyle w:val="charBoldItals"/>
        </w:rPr>
        <w:tab/>
      </w:r>
      <w:r w:rsidRPr="00A84B34">
        <w:t>if the diary is filled up—made capable of recording new information; or</w:t>
      </w:r>
    </w:p>
    <w:p w14:paraId="283986AE" w14:textId="77777777" w:rsidR="00DB6E47" w:rsidRPr="00A84B34" w:rsidRDefault="00DB6E47" w:rsidP="00414B0A">
      <w:pPr>
        <w:pStyle w:val="Asubsubpara"/>
      </w:pPr>
      <w:r w:rsidRPr="00A84B34">
        <w:tab/>
        <w:t>(</w:t>
      </w:r>
      <w:r w:rsidR="00414B0A">
        <w:t>B</w:t>
      </w:r>
      <w:r w:rsidRPr="00A84B34">
        <w:t>)</w:t>
      </w:r>
      <w:r w:rsidRPr="00A84B34">
        <w:tab/>
        <w:t>if the diary is not in working or</w:t>
      </w:r>
      <w:r w:rsidR="003F5A90">
        <w:t>der as mentioned in section 304(b)</w:t>
      </w:r>
      <w:r w:rsidRPr="00A84B34">
        <w:t>(ii)</w:t>
      </w:r>
      <w:r w:rsidR="003F5A90">
        <w:t xml:space="preserve"> </w:t>
      </w:r>
      <w:r w:rsidRPr="00A84B34">
        <w:t>or is malfunctioning—brought into working order;</w:t>
      </w:r>
    </w:p>
    <w:p w14:paraId="41F08060" w14:textId="77777777" w:rsidR="00DB6E47" w:rsidRPr="0073236E" w:rsidRDefault="00DB6E47" w:rsidP="00414B0A">
      <w:pPr>
        <w:pStyle w:val="Asubpara"/>
        <w:keepNext/>
      </w:pPr>
      <w:r w:rsidRPr="00516F02">
        <w:lastRenderedPageBreak/>
        <w:tab/>
      </w:r>
      <w:r w:rsidRPr="0073236E">
        <w:t>(iii)</w:t>
      </w:r>
      <w:r w:rsidRPr="0073236E">
        <w:tab/>
        <w:t xml:space="preserve">the expiry of 7 business </w:t>
      </w:r>
      <w:r w:rsidR="0073236E" w:rsidRPr="0073236E">
        <w:t>days after the day on which the driver starts recording information under this section.</w:t>
      </w:r>
    </w:p>
    <w:p w14:paraId="4279C16F" w14:textId="77777777" w:rsidR="00DB6E47" w:rsidRPr="00C96203" w:rsidRDefault="00DB6E47" w:rsidP="00DB6E47">
      <w:pPr>
        <w:pStyle w:val="aNote"/>
      </w:pPr>
      <w:r w:rsidRPr="00FF4454">
        <w:rPr>
          <w:rStyle w:val="charItals"/>
        </w:rPr>
        <w:t>Note</w:t>
      </w:r>
      <w:r w:rsidRPr="00C96203">
        <w:rPr>
          <w:rFonts w:cs="Times"/>
          <w:bCs/>
          <w:iCs/>
        </w:rPr>
        <w:t>—</w:t>
      </w:r>
    </w:p>
    <w:p w14:paraId="53FEA201" w14:textId="77777777" w:rsidR="00DB6E47" w:rsidRPr="00C96203" w:rsidRDefault="00DB6E47" w:rsidP="00DB6E47">
      <w:pPr>
        <w:pStyle w:val="aNoteTextss"/>
      </w:pPr>
      <w:r w:rsidRPr="00C96203">
        <w:t>If one of the circumstances in subsect</w:t>
      </w:r>
      <w:r w:rsidR="00A84B34">
        <w:t xml:space="preserve">ion </w:t>
      </w:r>
      <w:r w:rsidRPr="00C96203">
        <w:t>(4)</w:t>
      </w:r>
      <w:r w:rsidR="004E3F26">
        <w:t xml:space="preserve"> </w:t>
      </w:r>
      <w:r w:rsidRPr="00C96203">
        <w:t>applies, a driver may no longer use a supplementary record to record the information required to be recorded under Subdivision 2, and if the driver does not begin to keep a work diary in accordance with section 293 then the driver commits an offence against that section.</w:t>
      </w:r>
    </w:p>
    <w:p w14:paraId="6A99E2AB" w14:textId="77777777" w:rsidR="00DB6E47" w:rsidRPr="00283AFC" w:rsidRDefault="00DB6E47" w:rsidP="00DB6E47">
      <w:pPr>
        <w:pStyle w:val="Amain"/>
      </w:pPr>
      <w:r w:rsidRPr="00283AFC">
        <w:tab/>
        <w:t>(5)</w:t>
      </w:r>
      <w:r w:rsidRPr="00283AFC">
        <w:tab/>
        <w:t>In this section—</w:t>
      </w:r>
    </w:p>
    <w:p w14:paraId="2C999FF3" w14:textId="77777777" w:rsidR="00DB6E47" w:rsidRPr="00041046" w:rsidRDefault="00DB6E47" w:rsidP="00DB6E47">
      <w:pPr>
        <w:pStyle w:val="aDef"/>
        <w:rPr>
          <w:bCs/>
        </w:rPr>
      </w:pPr>
      <w:r w:rsidRPr="00041046">
        <w:rPr>
          <w:rStyle w:val="charBoldItals"/>
        </w:rPr>
        <w:t>supplementary record</w:t>
      </w:r>
      <w:r w:rsidRPr="00041046">
        <w:t xml:space="preserve"> means a record that—</w:t>
      </w:r>
    </w:p>
    <w:p w14:paraId="1C9A0159" w14:textId="77777777" w:rsidR="00DB6E47" w:rsidRPr="00A84B34" w:rsidRDefault="00DB6E47" w:rsidP="00DB6E47">
      <w:pPr>
        <w:pStyle w:val="aDefpara"/>
      </w:pPr>
      <w:r w:rsidRPr="00FF4454">
        <w:tab/>
      </w:r>
      <w:r w:rsidRPr="00F04D8E">
        <w:rPr>
          <w:rFonts w:cs="Times"/>
          <w:bCs/>
          <w:iCs/>
        </w:rPr>
        <w:t>(a)</w:t>
      </w:r>
      <w:r w:rsidRPr="00FF4454">
        <w:rPr>
          <w:rStyle w:val="charBoldItals"/>
        </w:rPr>
        <w:tab/>
      </w:r>
      <w:r w:rsidRPr="00A84B34">
        <w:t>is not made in a written or electronic work diary; but</w:t>
      </w:r>
    </w:p>
    <w:p w14:paraId="5B328587" w14:textId="77777777" w:rsidR="00DB6E47" w:rsidRPr="00A84B34" w:rsidRDefault="00DB6E47" w:rsidP="00DB6E47">
      <w:pPr>
        <w:pStyle w:val="aDefpara"/>
      </w:pPr>
      <w:r w:rsidRPr="00A84B34">
        <w:tab/>
        <w:t>(b)</w:t>
      </w:r>
      <w:r w:rsidRPr="00A84B34">
        <w:tab/>
        <w:t xml:space="preserve">is in a similar form to a written or electronic work diary. </w:t>
      </w:r>
    </w:p>
    <w:p w14:paraId="3C396FD9" w14:textId="77777777" w:rsidR="00DB6E47" w:rsidRPr="007E1F9A" w:rsidRDefault="00DB6E47" w:rsidP="00DB6E47">
      <w:pPr>
        <w:pStyle w:val="AH5Sec"/>
      </w:pPr>
      <w:bookmarkStart w:id="339" w:name="_Toc83625683"/>
      <w:r w:rsidRPr="005E03F7">
        <w:rPr>
          <w:rStyle w:val="CharSectNo"/>
        </w:rPr>
        <w:t>306</w:t>
      </w:r>
      <w:r w:rsidRPr="007E1F9A">
        <w:tab/>
        <w:t>Driver must notify Regulator if written work diary filled up etc.</w:t>
      </w:r>
      <w:bookmarkEnd w:id="339"/>
    </w:p>
    <w:p w14:paraId="0284AF94" w14:textId="77777777" w:rsidR="00DB6E47" w:rsidRPr="00283AFC" w:rsidRDefault="00DB6E47" w:rsidP="00DB6E47">
      <w:pPr>
        <w:pStyle w:val="Amainreturn"/>
      </w:pPr>
      <w:r w:rsidRPr="00283AFC">
        <w:t>Within 2 business days after the driver of a fatigue-regulated heavy vehicle becomes aware that the driver’s written work diary has been filled up, destroyed, lost or stolen, the driver must notify the Regulator in the approved form of that happening.</w:t>
      </w:r>
    </w:p>
    <w:p w14:paraId="375068C7" w14:textId="77777777" w:rsidR="00DB6E47" w:rsidRPr="006C3305" w:rsidRDefault="00DB6E47" w:rsidP="00DB6E47">
      <w:pPr>
        <w:pStyle w:val="Penalty"/>
      </w:pPr>
      <w:r w:rsidRPr="006C3305">
        <w:t>Maximum penalty—$3000.</w:t>
      </w:r>
    </w:p>
    <w:p w14:paraId="22D073FD" w14:textId="77777777" w:rsidR="00DB6E47" w:rsidRPr="007E1F9A" w:rsidRDefault="00DB6E47" w:rsidP="00DB6E47">
      <w:pPr>
        <w:pStyle w:val="AH5Sec"/>
      </w:pPr>
      <w:bookmarkStart w:id="340" w:name="_Toc83625684"/>
      <w:r w:rsidRPr="005E03F7">
        <w:rPr>
          <w:rStyle w:val="CharSectNo"/>
        </w:rPr>
        <w:t>307</w:t>
      </w:r>
      <w:r w:rsidRPr="007E1F9A">
        <w:tab/>
        <w:t>Driver</w:t>
      </w:r>
      <w:r w:rsidR="00B11085">
        <w:t xml:space="preserve"> </w:t>
      </w:r>
      <w:r w:rsidR="00B11085" w:rsidRPr="00B11085">
        <w:t>who is record keeper</w:t>
      </w:r>
      <w:r w:rsidRPr="00B11085">
        <w:t xml:space="preserve"> </w:t>
      </w:r>
      <w:r w:rsidRPr="007E1F9A">
        <w:t>must notify Regulator if electronic work diary filled up etc.</w:t>
      </w:r>
      <w:bookmarkEnd w:id="340"/>
    </w:p>
    <w:p w14:paraId="31FE6549" w14:textId="77777777" w:rsidR="00DB6E47" w:rsidRPr="00283AFC" w:rsidRDefault="00DB6E47" w:rsidP="00414B0A">
      <w:pPr>
        <w:pStyle w:val="Amain"/>
        <w:keepNext/>
      </w:pPr>
      <w:r w:rsidRPr="00283AFC">
        <w:tab/>
        <w:t>(1)</w:t>
      </w:r>
      <w:r w:rsidRPr="00283AFC">
        <w:tab/>
        <w:t>This section applies if the driver of a fatigue-regulated heavy vehicle</w:t>
      </w:r>
      <w:r w:rsidR="00B11085">
        <w:t xml:space="preserve"> </w:t>
      </w:r>
      <w:r w:rsidR="00B11085" w:rsidRPr="00B11085">
        <w:t>who is his or her own record keeper</w:t>
      </w:r>
      <w:r w:rsidRPr="00283AFC">
        <w:t>—</w:t>
      </w:r>
    </w:p>
    <w:p w14:paraId="07807A17" w14:textId="77777777" w:rsidR="00DB6E47" w:rsidRPr="00297A38" w:rsidRDefault="00DB6E47" w:rsidP="00DB6E47">
      <w:pPr>
        <w:pStyle w:val="Apara"/>
      </w:pPr>
      <w:r w:rsidRPr="00297A38">
        <w:tab/>
        <w:t>(a)</w:t>
      </w:r>
      <w:r w:rsidRPr="00297A38">
        <w:tab/>
        <w:t>becomes aware that the driver’s electronic work diary has been filled up, destroyed, lost or stolen or is not in working or</w:t>
      </w:r>
      <w:r w:rsidR="00A84B34">
        <w:t>der as mentioned in section 304</w:t>
      </w:r>
      <w:r w:rsidRPr="00297A38">
        <w:t>(b)(ii); or</w:t>
      </w:r>
    </w:p>
    <w:p w14:paraId="66D86C4A" w14:textId="77777777" w:rsidR="00DB6E47" w:rsidRPr="00297A38" w:rsidRDefault="00DB6E47" w:rsidP="00DB6E47">
      <w:pPr>
        <w:pStyle w:val="Apara"/>
      </w:pPr>
      <w:r w:rsidRPr="00297A38">
        <w:tab/>
        <w:t>(b)</w:t>
      </w:r>
      <w:r w:rsidRPr="00297A38">
        <w:tab/>
        <w:t>becomes aware or has reason to suspect that the driver’s electronic work diary is malfunctioning or has malfunctioned.</w:t>
      </w:r>
    </w:p>
    <w:p w14:paraId="17BF4BF8" w14:textId="77777777" w:rsidR="00DB6E47" w:rsidRPr="00283AFC" w:rsidRDefault="00DB6E47" w:rsidP="00DB6E47">
      <w:pPr>
        <w:pStyle w:val="Amain"/>
      </w:pPr>
      <w:r w:rsidRPr="00283AFC">
        <w:lastRenderedPageBreak/>
        <w:tab/>
        <w:t>(2)</w:t>
      </w:r>
      <w:r w:rsidRPr="00283AFC">
        <w:tab/>
        <w:t>The driver must notify the Regulator in the approved form of the matter within 2 business days.</w:t>
      </w:r>
    </w:p>
    <w:p w14:paraId="20D230F4" w14:textId="77777777" w:rsidR="00DB6E47" w:rsidRDefault="00DB6E47" w:rsidP="00DB6E47">
      <w:pPr>
        <w:pStyle w:val="Penalty"/>
      </w:pPr>
      <w:r w:rsidRPr="006C3305">
        <w:t>Maximum penalty—$3000.</w:t>
      </w:r>
    </w:p>
    <w:p w14:paraId="3AACBB89" w14:textId="77777777" w:rsidR="00B11085" w:rsidRDefault="00B11085" w:rsidP="00B11085">
      <w:pPr>
        <w:pStyle w:val="Amain"/>
      </w:pPr>
      <w:r>
        <w:tab/>
        <w:t>(3</w:t>
      </w:r>
      <w:r w:rsidRPr="00283AFC">
        <w:t>)</w:t>
      </w:r>
      <w:r w:rsidRPr="00283AFC">
        <w:tab/>
      </w:r>
      <w:r w:rsidRPr="00B11085">
        <w:t>Within a period required by the Regulator, the driver must ensure the electronic work diary is examined and brought into working order.</w:t>
      </w:r>
    </w:p>
    <w:p w14:paraId="0FA347C5" w14:textId="77777777" w:rsidR="00B11085" w:rsidRDefault="00B11085" w:rsidP="00B11085">
      <w:pPr>
        <w:pStyle w:val="Penalty"/>
      </w:pPr>
      <w:r w:rsidRPr="006C3305">
        <w:t>Maximum penalty—$3000.</w:t>
      </w:r>
    </w:p>
    <w:p w14:paraId="0605119C" w14:textId="77777777" w:rsidR="00DB6E47" w:rsidRPr="007E1F9A" w:rsidRDefault="00DB6E47" w:rsidP="00DB6E47">
      <w:pPr>
        <w:pStyle w:val="AH5Sec"/>
      </w:pPr>
      <w:bookmarkStart w:id="341" w:name="_Toc83625685"/>
      <w:r w:rsidRPr="005E03F7">
        <w:rPr>
          <w:rStyle w:val="CharSectNo"/>
        </w:rPr>
        <w:t>308</w:t>
      </w:r>
      <w:r w:rsidRPr="007E1F9A">
        <w:tab/>
        <w:t>What driver must do if lost or stolen written work diary found or returned</w:t>
      </w:r>
      <w:bookmarkEnd w:id="341"/>
    </w:p>
    <w:p w14:paraId="0B813443" w14:textId="77777777" w:rsidR="00DB6E47" w:rsidRPr="00283AFC" w:rsidRDefault="00DB6E47" w:rsidP="00DB6E47">
      <w:pPr>
        <w:pStyle w:val="Amain"/>
      </w:pPr>
      <w:r w:rsidRPr="00283AFC">
        <w:tab/>
        <w:t>(1)</w:t>
      </w:r>
      <w:r w:rsidRPr="00283AFC">
        <w:tab/>
        <w:t>If a lost or stolen written work diary (the old work diary) is found by or returned to the driver of a fatigue-regulated heavy vehicle after a replacement work diary has been issued to the driver, the driver must do the following—</w:t>
      </w:r>
    </w:p>
    <w:p w14:paraId="76BEB6B8" w14:textId="77777777" w:rsidR="00DB6E47" w:rsidRPr="00297A38" w:rsidRDefault="00DB6E47" w:rsidP="00DB6E47">
      <w:pPr>
        <w:pStyle w:val="Apara"/>
      </w:pPr>
      <w:r w:rsidRPr="00297A38">
        <w:tab/>
        <w:t>(a)</w:t>
      </w:r>
      <w:r w:rsidRPr="00297A38">
        <w:tab/>
        <w:t>immediately cancel any unused daily sheets in the old work diary;</w:t>
      </w:r>
    </w:p>
    <w:p w14:paraId="0D749C85" w14:textId="77777777" w:rsidR="00DB6E47" w:rsidRPr="00297A38" w:rsidRDefault="00DB6E47" w:rsidP="00DB6E47">
      <w:pPr>
        <w:pStyle w:val="Apara"/>
      </w:pPr>
      <w:r w:rsidRPr="00297A38">
        <w:tab/>
        <w:t>(b)</w:t>
      </w:r>
      <w:r w:rsidRPr="00297A38">
        <w:tab/>
        <w:t>if the old work diary is found or returned within 28 days after it was lost or stolen—</w:t>
      </w:r>
    </w:p>
    <w:p w14:paraId="4DA54E8A" w14:textId="77777777" w:rsidR="00DB6E47" w:rsidRPr="00516F02" w:rsidRDefault="00DB6E47" w:rsidP="00DB6E47">
      <w:pPr>
        <w:pStyle w:val="Asubpara"/>
      </w:pPr>
      <w:r w:rsidRPr="00516F02">
        <w:tab/>
        <w:t>(i)</w:t>
      </w:r>
      <w:r w:rsidRPr="00516F02">
        <w:tab/>
        <w:t>immediately notify the Regulator in the approved form that it has been found or returned; and</w:t>
      </w:r>
    </w:p>
    <w:p w14:paraId="59C2F520" w14:textId="77777777" w:rsidR="00DB6E47" w:rsidRPr="00516F02" w:rsidRDefault="00DB6E47" w:rsidP="00DB6E47">
      <w:pPr>
        <w:pStyle w:val="Asubpara"/>
      </w:pPr>
      <w:r w:rsidRPr="00516F02">
        <w:tab/>
        <w:t>(ii)</w:t>
      </w:r>
      <w:r w:rsidRPr="00516F02">
        <w:tab/>
        <w:t>give it to the Regulator within 2 business days after the 28-day period ends;</w:t>
      </w:r>
    </w:p>
    <w:p w14:paraId="2742A32B" w14:textId="77777777" w:rsidR="00DB6E47" w:rsidRPr="00297A38" w:rsidRDefault="00DB6E47" w:rsidP="00414B0A">
      <w:pPr>
        <w:pStyle w:val="Apara"/>
        <w:keepNext/>
      </w:pPr>
      <w:r w:rsidRPr="00297A38">
        <w:tab/>
        <w:t>(c)</w:t>
      </w:r>
      <w:r w:rsidRPr="00297A38">
        <w:tab/>
        <w:t>if the old work diary is found or returned later than 28 days after it was lost or stolen—give it to the Regulator as soon as practicable after it is found or returned.</w:t>
      </w:r>
    </w:p>
    <w:p w14:paraId="427A7A98" w14:textId="77777777" w:rsidR="00DB6E47" w:rsidRPr="006C3305" w:rsidRDefault="00DB6E47" w:rsidP="00DB6E47">
      <w:pPr>
        <w:pStyle w:val="Penalty"/>
      </w:pPr>
      <w:r w:rsidRPr="006C3305">
        <w:t>Maximum penalty—$3000.</w:t>
      </w:r>
    </w:p>
    <w:p w14:paraId="6FBDE81E" w14:textId="77777777" w:rsidR="00DB6E47" w:rsidRPr="00283AFC" w:rsidRDefault="00DB6E47" w:rsidP="00D80638">
      <w:pPr>
        <w:pStyle w:val="Amain"/>
        <w:keepNext/>
      </w:pPr>
      <w:r w:rsidRPr="00283AFC">
        <w:lastRenderedPageBreak/>
        <w:tab/>
        <w:t>(2)</w:t>
      </w:r>
      <w:r w:rsidRPr="00283AFC">
        <w:tab/>
        <w:t>If a driver of a fatigue-regulated heavy vehicle gives a previously lost or stolen written work diary to the Regulator under subsection</w:t>
      </w:r>
      <w:r w:rsidR="00414B0A">
        <w:t> </w:t>
      </w:r>
      <w:r w:rsidRPr="00283AFC">
        <w:t>(1), the Regulator must—</w:t>
      </w:r>
    </w:p>
    <w:p w14:paraId="637EAB00" w14:textId="77777777" w:rsidR="00DB6E47" w:rsidRPr="00297A38" w:rsidRDefault="00DB6E47" w:rsidP="00DB6E47">
      <w:pPr>
        <w:pStyle w:val="Apara"/>
      </w:pPr>
      <w:r w:rsidRPr="00297A38">
        <w:tab/>
        <w:t>(a)</w:t>
      </w:r>
      <w:r w:rsidRPr="00297A38">
        <w:tab/>
        <w:t>if the driver has n</w:t>
      </w:r>
      <w:r w:rsidR="00A84B34">
        <w:t>ot complied with subsection (1)</w:t>
      </w:r>
      <w:r w:rsidRPr="00297A38">
        <w:t>(a), cancel any unused daily sheets in the work diary; and</w:t>
      </w:r>
    </w:p>
    <w:p w14:paraId="0D73129E" w14:textId="77777777" w:rsidR="00DB6E47" w:rsidRPr="00297A38" w:rsidRDefault="00DB6E47" w:rsidP="00DB6E47">
      <w:pPr>
        <w:pStyle w:val="Apara"/>
      </w:pPr>
      <w:r w:rsidRPr="00297A38">
        <w:tab/>
        <w:t>(b)</w:t>
      </w:r>
      <w:r w:rsidRPr="00297A38">
        <w:tab/>
        <w:t>return the work diary to the driver.</w:t>
      </w:r>
    </w:p>
    <w:p w14:paraId="129DF54B" w14:textId="77777777" w:rsidR="00DB6E47" w:rsidRPr="007E1F9A" w:rsidRDefault="00DB6E47" w:rsidP="00DB6E47">
      <w:pPr>
        <w:pStyle w:val="AH5Sec"/>
      </w:pPr>
      <w:bookmarkStart w:id="342" w:name="_Toc83625686"/>
      <w:r w:rsidRPr="005E03F7">
        <w:rPr>
          <w:rStyle w:val="CharSectNo"/>
        </w:rPr>
        <w:t>309</w:t>
      </w:r>
      <w:r w:rsidRPr="007E1F9A">
        <w:tab/>
        <w:t>Driver must notify record keeper if electronic work diary filled up etc.</w:t>
      </w:r>
      <w:bookmarkEnd w:id="342"/>
    </w:p>
    <w:p w14:paraId="50D7F312" w14:textId="77777777" w:rsidR="00DB6E47" w:rsidRPr="00283AFC" w:rsidRDefault="00DB6E47" w:rsidP="00DB6E47">
      <w:pPr>
        <w:pStyle w:val="Amain"/>
      </w:pPr>
      <w:r w:rsidRPr="00283AFC">
        <w:tab/>
        <w:t>(1)</w:t>
      </w:r>
      <w:r w:rsidRPr="00283AFC">
        <w:tab/>
        <w:t>This section applies if—</w:t>
      </w:r>
    </w:p>
    <w:p w14:paraId="0794D58E" w14:textId="77777777" w:rsidR="00DB6E47" w:rsidRPr="00297A38" w:rsidRDefault="00DB6E47" w:rsidP="00DB6E47">
      <w:pPr>
        <w:pStyle w:val="Apara"/>
      </w:pPr>
      <w:r w:rsidRPr="00297A38">
        <w:tab/>
        <w:t>(a)</w:t>
      </w:r>
      <w:r w:rsidRPr="00297A38">
        <w:tab/>
        <w:t>the driver of a fatigue-regulated heavy vehicle—</w:t>
      </w:r>
    </w:p>
    <w:p w14:paraId="73D15E28" w14:textId="77777777" w:rsidR="00DB6E47" w:rsidRPr="00516F02" w:rsidRDefault="00DB6E47" w:rsidP="00DB6E47">
      <w:pPr>
        <w:pStyle w:val="Asubpara"/>
      </w:pPr>
      <w:r w:rsidRPr="00516F02">
        <w:tab/>
        <w:t>(i)</w:t>
      </w:r>
      <w:r w:rsidRPr="00516F02">
        <w:tab/>
        <w:t>becomes aware that the driver’s electronic work diary has been filled up, destroyed, lost or stolen or is not in working or</w:t>
      </w:r>
      <w:r w:rsidR="00A84B34">
        <w:t>der as mentioned in section 304</w:t>
      </w:r>
      <w:r w:rsidRPr="00516F02">
        <w:t>(b)(ii); or</w:t>
      </w:r>
    </w:p>
    <w:p w14:paraId="42161FDD" w14:textId="77777777" w:rsidR="00DB6E47" w:rsidRPr="00516F02" w:rsidRDefault="00DB6E47" w:rsidP="00DB6E47">
      <w:pPr>
        <w:pStyle w:val="Asubpara"/>
      </w:pPr>
      <w:r w:rsidRPr="00516F02">
        <w:tab/>
        <w:t>(ii)</w:t>
      </w:r>
      <w:r w:rsidRPr="00516F02">
        <w:tab/>
        <w:t>becomes aware or has reason to suspect that the driver’s electronic work diary is malfunctioning or has malfunctioned; and</w:t>
      </w:r>
    </w:p>
    <w:p w14:paraId="65D13A86" w14:textId="77777777" w:rsidR="00DB6E47" w:rsidRPr="00297A38" w:rsidRDefault="00DB6E47" w:rsidP="00DB6E47">
      <w:pPr>
        <w:pStyle w:val="Apara"/>
      </w:pPr>
      <w:r w:rsidRPr="00297A38">
        <w:tab/>
        <w:t>(b)</w:t>
      </w:r>
      <w:r w:rsidRPr="00297A38">
        <w:tab/>
        <w:t>the driver’s record keeper is a person other than the driver.</w:t>
      </w:r>
    </w:p>
    <w:p w14:paraId="26BF0D55" w14:textId="77777777" w:rsidR="00DB6E47" w:rsidRPr="00283AFC" w:rsidRDefault="00DB6E47" w:rsidP="00DB6E47">
      <w:pPr>
        <w:pStyle w:val="Amain"/>
      </w:pPr>
      <w:r w:rsidRPr="00283AFC">
        <w:tab/>
        <w:t>(2)</w:t>
      </w:r>
      <w:r w:rsidRPr="00283AFC">
        <w:tab/>
        <w:t>The driver must, within 2 business days after the driver becomes aware of the matter, inform the driver’s record keeper of the matter.</w:t>
      </w:r>
    </w:p>
    <w:p w14:paraId="0A6F49E1" w14:textId="77777777" w:rsidR="00DB6E47" w:rsidRPr="006C3305" w:rsidRDefault="00AE1FF6" w:rsidP="00DB6E47">
      <w:pPr>
        <w:pStyle w:val="Penalty"/>
      </w:pPr>
      <w:r>
        <w:t>Maximum penalty—$3</w:t>
      </w:r>
      <w:r w:rsidR="00DB6E47" w:rsidRPr="006C3305">
        <w:t>000.</w:t>
      </w:r>
    </w:p>
    <w:p w14:paraId="6A71E19A" w14:textId="77777777" w:rsidR="00DB6E47" w:rsidRPr="007E1F9A" w:rsidRDefault="00DB6E47" w:rsidP="00DB6E47">
      <w:pPr>
        <w:pStyle w:val="AH5Sec"/>
      </w:pPr>
      <w:bookmarkStart w:id="343" w:name="_Toc83625687"/>
      <w:r w:rsidRPr="005E03F7">
        <w:rPr>
          <w:rStyle w:val="CharSectNo"/>
        </w:rPr>
        <w:t>310</w:t>
      </w:r>
      <w:r w:rsidRPr="007E1F9A">
        <w:tab/>
        <w:t xml:space="preserve">Intelligent access </w:t>
      </w:r>
      <w:r w:rsidR="00CF7156">
        <w:t xml:space="preserve">program </w:t>
      </w:r>
      <w:r w:rsidRPr="007E1F9A">
        <w:t>reporting entity must notify record keeper if approved electronic recording system malfunctioning</w:t>
      </w:r>
      <w:bookmarkEnd w:id="343"/>
    </w:p>
    <w:p w14:paraId="2DE8B8DF" w14:textId="77777777" w:rsidR="00DB6E47" w:rsidRPr="00283AFC" w:rsidRDefault="00DB6E47" w:rsidP="00DB6E47">
      <w:pPr>
        <w:pStyle w:val="Amain"/>
      </w:pPr>
      <w:r w:rsidRPr="00283AFC">
        <w:tab/>
        <w:t>(1)</w:t>
      </w:r>
      <w:r w:rsidRPr="00283AFC">
        <w:tab/>
        <w:t>This section applies if—</w:t>
      </w:r>
    </w:p>
    <w:p w14:paraId="54091A61" w14:textId="77777777" w:rsidR="00DB6E47" w:rsidRPr="00297A38" w:rsidRDefault="00DB6E47" w:rsidP="00DB6E47">
      <w:pPr>
        <w:pStyle w:val="Apara"/>
      </w:pPr>
      <w:r w:rsidRPr="00297A38">
        <w:tab/>
        <w:t>(a)</w:t>
      </w:r>
      <w:r w:rsidRPr="00297A38">
        <w:tab/>
        <w:t>an approved electronic recording system—</w:t>
      </w:r>
    </w:p>
    <w:p w14:paraId="7C45CD22" w14:textId="77777777" w:rsidR="00DB6E47" w:rsidRPr="00516F02" w:rsidRDefault="00DB6E47" w:rsidP="00DB6E47">
      <w:pPr>
        <w:pStyle w:val="Asubpara"/>
      </w:pPr>
      <w:r w:rsidRPr="00516F02">
        <w:tab/>
        <w:t>(i)</w:t>
      </w:r>
      <w:r w:rsidRPr="00516F02">
        <w:tab/>
        <w:t>constitutes an electronic work diary or has a part that constitutes an electronic work diary; and</w:t>
      </w:r>
    </w:p>
    <w:p w14:paraId="1CDB7FA6" w14:textId="77777777" w:rsidR="00DB6E47" w:rsidRPr="00516F02" w:rsidRDefault="00DB6E47" w:rsidP="00DB6E47">
      <w:pPr>
        <w:pStyle w:val="Asubpara"/>
      </w:pPr>
      <w:r w:rsidRPr="00516F02">
        <w:lastRenderedPageBreak/>
        <w:tab/>
        <w:t>(ii)</w:t>
      </w:r>
      <w:r w:rsidRPr="00516F02">
        <w:tab/>
        <w:t>is or is part of an approved intelligent transport system; and</w:t>
      </w:r>
    </w:p>
    <w:p w14:paraId="2BBCC52B" w14:textId="77777777" w:rsidR="00DB6E47" w:rsidRPr="00297A38" w:rsidRDefault="00DB6E47" w:rsidP="003F5A90">
      <w:pPr>
        <w:pStyle w:val="Apara"/>
        <w:keepLines/>
      </w:pPr>
      <w:r w:rsidRPr="00297A38">
        <w:tab/>
        <w:t>(b)</w:t>
      </w:r>
      <w:r w:rsidRPr="00297A38">
        <w:tab/>
        <w:t xml:space="preserve">an intelligent access </w:t>
      </w:r>
      <w:r w:rsidR="00CF7156">
        <w:t xml:space="preserve">program </w:t>
      </w:r>
      <w:r w:rsidRPr="00297A38">
        <w:t>reporting entity for the approved intelligent transport system becomes aware or has reason to suspect that the approved electronic recording system is malfunctioning or has malfunctioned.</w:t>
      </w:r>
    </w:p>
    <w:p w14:paraId="03E4CF80" w14:textId="77777777" w:rsidR="00DB6E47" w:rsidRPr="00283AFC" w:rsidRDefault="00DB6E47" w:rsidP="00DB6E47">
      <w:pPr>
        <w:pStyle w:val="Amain"/>
      </w:pPr>
      <w:r w:rsidRPr="00283AFC">
        <w:tab/>
        <w:t>(2)</w:t>
      </w:r>
      <w:r w:rsidRPr="00283AFC">
        <w:tab/>
        <w:t xml:space="preserve">The intelligent access </w:t>
      </w:r>
      <w:r w:rsidR="00CF7156">
        <w:t xml:space="preserve">program </w:t>
      </w:r>
      <w:r w:rsidRPr="00283AFC">
        <w:t>reporting entity must inform the driver’s record keeper of the matter within 2 business days.</w:t>
      </w:r>
    </w:p>
    <w:p w14:paraId="7BF922E9" w14:textId="77777777" w:rsidR="00DB6E47" w:rsidRPr="006C3305" w:rsidRDefault="00DB6E47" w:rsidP="00DB6E47">
      <w:pPr>
        <w:pStyle w:val="Penalty"/>
      </w:pPr>
      <w:r w:rsidRPr="006C3305">
        <w:t>Maximum penalty—$6000.</w:t>
      </w:r>
    </w:p>
    <w:p w14:paraId="1FBD3471" w14:textId="77777777" w:rsidR="00DB6E47" w:rsidRPr="007E1F9A" w:rsidRDefault="00DB6E47" w:rsidP="00DB6E47">
      <w:pPr>
        <w:pStyle w:val="AH5Sec"/>
      </w:pPr>
      <w:bookmarkStart w:id="344" w:name="_Toc83625688"/>
      <w:r w:rsidRPr="005E03F7">
        <w:rPr>
          <w:rStyle w:val="CharSectNo"/>
        </w:rPr>
        <w:t>311</w:t>
      </w:r>
      <w:r w:rsidRPr="007E1F9A">
        <w:tab/>
        <w:t>What record keeper must do if electronic work diary filled up</w:t>
      </w:r>
      <w:bookmarkEnd w:id="344"/>
    </w:p>
    <w:p w14:paraId="389186D4" w14:textId="77777777" w:rsidR="00DB6E47" w:rsidRPr="00283AFC" w:rsidRDefault="00DB6E47" w:rsidP="00DB6E47">
      <w:pPr>
        <w:pStyle w:val="Amain"/>
      </w:pPr>
      <w:r w:rsidRPr="00283AFC">
        <w:tab/>
        <w:t>(1)</w:t>
      </w:r>
      <w:r w:rsidRPr="00283AFC">
        <w:tab/>
        <w:t>This section applies if—</w:t>
      </w:r>
    </w:p>
    <w:p w14:paraId="41EE3A33" w14:textId="77777777" w:rsidR="00DB6E47" w:rsidRPr="00297A38" w:rsidRDefault="00DB6E47" w:rsidP="00DB6E47">
      <w:pPr>
        <w:pStyle w:val="Apara"/>
      </w:pPr>
      <w:r w:rsidRPr="00297A38">
        <w:tab/>
        <w:t>(a)</w:t>
      </w:r>
      <w:r w:rsidRPr="00297A38">
        <w:tab/>
        <w:t>the record keeper for the driver of a fatigue-regulated heavy vehicle is a person other than the driver; and</w:t>
      </w:r>
    </w:p>
    <w:p w14:paraId="6B3B7F6E" w14:textId="77777777" w:rsidR="00DB6E47" w:rsidRPr="00297A38" w:rsidRDefault="00DB6E47" w:rsidP="00DB6E47">
      <w:pPr>
        <w:pStyle w:val="Apara"/>
      </w:pPr>
      <w:r w:rsidRPr="00297A38">
        <w:tab/>
        <w:t>(b)</w:t>
      </w:r>
      <w:r w:rsidRPr="00297A38">
        <w:tab/>
        <w:t>the driver uses an electronic work diary supplied to the driver by the record keeper; and</w:t>
      </w:r>
    </w:p>
    <w:p w14:paraId="6494950C" w14:textId="77777777" w:rsidR="00DB6E47" w:rsidRPr="00212D13" w:rsidRDefault="00DB6E47" w:rsidP="00DB6E47">
      <w:pPr>
        <w:pStyle w:val="Apara"/>
      </w:pPr>
      <w:r w:rsidRPr="00297A38">
        <w:tab/>
        <w:t>(c)</w:t>
      </w:r>
      <w:r w:rsidRPr="00297A38">
        <w:tab/>
      </w:r>
      <w:r w:rsidR="00212D13" w:rsidRPr="00212D13">
        <w:t>the record keeper becomes aware or has reason to suspect that the electronic work diary has been filled up.</w:t>
      </w:r>
    </w:p>
    <w:p w14:paraId="3326D164" w14:textId="77777777" w:rsidR="00DB6E47" w:rsidRPr="00283AFC" w:rsidRDefault="00DB6E47" w:rsidP="00DB6E47">
      <w:pPr>
        <w:pStyle w:val="Amain"/>
      </w:pPr>
      <w:r w:rsidRPr="00283AFC">
        <w:tab/>
        <w:t>(2)</w:t>
      </w:r>
      <w:r w:rsidRPr="00283AFC">
        <w:tab/>
      </w:r>
      <w:r w:rsidRPr="00212D13">
        <w:t xml:space="preserve">The record keeper must, as soon as reasonably practicable </w:t>
      </w:r>
      <w:r w:rsidR="00212D13" w:rsidRPr="00212D13">
        <w:t>after becoming aware of the matter or having reason to suspect the matter</w:t>
      </w:r>
      <w:r w:rsidRPr="00212D13">
        <w:t>—</w:t>
      </w:r>
    </w:p>
    <w:p w14:paraId="733BAF9C" w14:textId="77777777" w:rsidR="00DB6E47" w:rsidRPr="00297A38" w:rsidRDefault="00DB6E47" w:rsidP="00DB6E47">
      <w:pPr>
        <w:pStyle w:val="Apara"/>
      </w:pPr>
      <w:r w:rsidRPr="00297A38">
        <w:tab/>
        <w:t>(a)</w:t>
      </w:r>
      <w:r w:rsidRPr="00297A38">
        <w:tab/>
        <w:t>either—</w:t>
      </w:r>
    </w:p>
    <w:p w14:paraId="53CCDC0C" w14:textId="77777777" w:rsidR="00DB6E47" w:rsidRPr="00516F02" w:rsidRDefault="00DB6E47" w:rsidP="00DB6E47">
      <w:pPr>
        <w:pStyle w:val="Asubpara"/>
      </w:pPr>
      <w:r w:rsidRPr="00516F02">
        <w:tab/>
        <w:t>(i)</w:t>
      </w:r>
      <w:r w:rsidRPr="00516F02">
        <w:tab/>
        <w:t>make the electronic work diary capable of recording new information; or</w:t>
      </w:r>
    </w:p>
    <w:p w14:paraId="7522933F" w14:textId="77777777" w:rsidR="00DB6E47" w:rsidRPr="00516F02" w:rsidRDefault="00DB6E47" w:rsidP="00DB6E47">
      <w:pPr>
        <w:pStyle w:val="Asubpara"/>
      </w:pPr>
      <w:r w:rsidRPr="00516F02">
        <w:tab/>
        <w:t>(ii)</w:t>
      </w:r>
      <w:r w:rsidRPr="00516F02">
        <w:tab/>
        <w:t>give the driver a new electronic work diary that is in working order; and</w:t>
      </w:r>
    </w:p>
    <w:p w14:paraId="4A77BE63" w14:textId="77777777" w:rsidR="00DB6E47" w:rsidRDefault="00DB6E47" w:rsidP="00D80638">
      <w:pPr>
        <w:pStyle w:val="Apara"/>
        <w:keepLines/>
      </w:pPr>
      <w:r w:rsidRPr="00297A38">
        <w:lastRenderedPageBreak/>
        <w:tab/>
        <w:t>(b)</w:t>
      </w:r>
      <w:r w:rsidRPr="00297A38">
        <w:tab/>
        <w:t>if the record keeper removes any information relating to any period during the last 28 days from the work diary to make it capable of recording new information—</w:t>
      </w:r>
      <w:r w:rsidRPr="00212D13">
        <w:t xml:space="preserve">give the driver </w:t>
      </w:r>
      <w:r w:rsidR="00212D13" w:rsidRPr="00212D13">
        <w:t>the removed information in a way that makes the information readily available to the driver; and</w:t>
      </w:r>
    </w:p>
    <w:p w14:paraId="6ECFC862" w14:textId="77777777" w:rsidR="00212D13" w:rsidRPr="00212D13" w:rsidRDefault="00212D13" w:rsidP="00DB6E47">
      <w:pPr>
        <w:pStyle w:val="Apara"/>
      </w:pPr>
      <w:r>
        <w:tab/>
        <w:t>(c)</w:t>
      </w:r>
      <w:r>
        <w:tab/>
      </w:r>
      <w:r w:rsidRPr="00212D13">
        <w:t>notify the Regulator in the approved form that the electronic work diary has been filled up.</w:t>
      </w:r>
    </w:p>
    <w:p w14:paraId="34475170" w14:textId="77777777" w:rsidR="00DB6E47" w:rsidRPr="006C3305" w:rsidRDefault="00DB6E47" w:rsidP="00DB6E47">
      <w:pPr>
        <w:pStyle w:val="Penalty"/>
      </w:pPr>
      <w:r w:rsidRPr="006C3305">
        <w:t>Maximum penalty—$6000.</w:t>
      </w:r>
    </w:p>
    <w:p w14:paraId="2F0BF6A7" w14:textId="77777777" w:rsidR="00DB6E47" w:rsidRPr="00283AFC" w:rsidRDefault="00DB6E47" w:rsidP="00DB6E47">
      <w:pPr>
        <w:pStyle w:val="Amain"/>
      </w:pPr>
      <w:r w:rsidRPr="00283AFC">
        <w:tab/>
        <w:t>(3)</w:t>
      </w:r>
      <w:r w:rsidRPr="00283AFC">
        <w:tab/>
        <w:t>If the record keeper has engaged another person under a contract for ser</w:t>
      </w:r>
      <w:r w:rsidR="00F45507">
        <w:t xml:space="preserve">vices to comply with subsection </w:t>
      </w:r>
      <w:r w:rsidRPr="00283AFC">
        <w:t>(2)</w:t>
      </w:r>
      <w:r w:rsidR="00F45507">
        <w:t xml:space="preserve"> </w:t>
      </w:r>
      <w:r w:rsidRPr="00283AFC">
        <w:t>for the record keeper—</w:t>
      </w:r>
    </w:p>
    <w:p w14:paraId="79022AA6" w14:textId="77777777" w:rsidR="00DB6E47" w:rsidRPr="00297A38" w:rsidRDefault="00DB6E47" w:rsidP="00DB6E47">
      <w:pPr>
        <w:pStyle w:val="Apara"/>
      </w:pPr>
      <w:r w:rsidRPr="00297A38">
        <w:tab/>
        <w:t>(a)</w:t>
      </w:r>
      <w:r w:rsidRPr="00297A38">
        <w:tab/>
        <w:t>the record keeper remains liable for an offence against subsection (2); and</w:t>
      </w:r>
    </w:p>
    <w:p w14:paraId="632B152B" w14:textId="77777777" w:rsidR="00DB6E47" w:rsidRPr="00297A38" w:rsidRDefault="00DB6E47" w:rsidP="00DB6E47">
      <w:pPr>
        <w:pStyle w:val="Apara"/>
      </w:pPr>
      <w:r w:rsidRPr="00297A38">
        <w:tab/>
        <w:t>(b)</w:t>
      </w:r>
      <w:r w:rsidRPr="00297A38">
        <w:tab/>
        <w:t>the other person is also liable fo</w:t>
      </w:r>
      <w:r w:rsidR="00F45507">
        <w:t xml:space="preserve">r an offence against subsection </w:t>
      </w:r>
      <w:r w:rsidRPr="00297A38">
        <w:t>(2)</w:t>
      </w:r>
      <w:r w:rsidR="00F45507">
        <w:t xml:space="preserve"> </w:t>
      </w:r>
      <w:r w:rsidRPr="00297A38">
        <w:t>as if the other person were the record keeper mentioned in the subsection.</w:t>
      </w:r>
    </w:p>
    <w:p w14:paraId="06D7FDFF" w14:textId="77777777" w:rsidR="00DB6E47" w:rsidRPr="007E1F9A" w:rsidRDefault="00DB6E47" w:rsidP="00DB6E47">
      <w:pPr>
        <w:pStyle w:val="AH5Sec"/>
      </w:pPr>
      <w:bookmarkStart w:id="345" w:name="_Toc83625689"/>
      <w:r w:rsidRPr="005E03F7">
        <w:rPr>
          <w:rStyle w:val="CharSectNo"/>
        </w:rPr>
        <w:t>312</w:t>
      </w:r>
      <w:r w:rsidRPr="007E1F9A">
        <w:tab/>
        <w:t>What record keeper must do if electronic work diary destroyed, lost or stolen</w:t>
      </w:r>
      <w:bookmarkEnd w:id="345"/>
    </w:p>
    <w:p w14:paraId="2737DE47" w14:textId="77777777" w:rsidR="00DB6E47" w:rsidRPr="00283AFC" w:rsidRDefault="00DB6E47" w:rsidP="00DB6E47">
      <w:pPr>
        <w:pStyle w:val="Amain"/>
      </w:pPr>
      <w:r w:rsidRPr="00283AFC">
        <w:tab/>
        <w:t>(1)</w:t>
      </w:r>
      <w:r w:rsidRPr="00283AFC">
        <w:tab/>
        <w:t>This section applies if—</w:t>
      </w:r>
    </w:p>
    <w:p w14:paraId="25571DF0" w14:textId="77777777" w:rsidR="00DB6E47" w:rsidRPr="00297A38" w:rsidRDefault="00DB6E47" w:rsidP="00DB6E47">
      <w:pPr>
        <w:pStyle w:val="Apara"/>
      </w:pPr>
      <w:r w:rsidRPr="00297A38">
        <w:tab/>
        <w:t>(a)</w:t>
      </w:r>
      <w:r w:rsidRPr="00297A38">
        <w:tab/>
        <w:t>the record keeper for the driver of a fatigue-regulated heavy vehicle is a person other than the driver; and</w:t>
      </w:r>
    </w:p>
    <w:p w14:paraId="1A24595B" w14:textId="77777777" w:rsidR="00DB6E47" w:rsidRPr="00297A38" w:rsidRDefault="00DB6E47" w:rsidP="00DB6E47">
      <w:pPr>
        <w:pStyle w:val="Apara"/>
      </w:pPr>
      <w:r w:rsidRPr="00297A38">
        <w:tab/>
        <w:t>(b)</w:t>
      </w:r>
      <w:r w:rsidRPr="00297A38">
        <w:tab/>
        <w:t>the driver uses an electronic work diary supplied to the driver by the record keeper; and</w:t>
      </w:r>
    </w:p>
    <w:p w14:paraId="7F84B160" w14:textId="77777777" w:rsidR="00DB6E47" w:rsidRPr="004C4C27" w:rsidRDefault="00DB6E47" w:rsidP="00DB6E47">
      <w:pPr>
        <w:pStyle w:val="Apara"/>
      </w:pPr>
      <w:r w:rsidRPr="00297A38">
        <w:tab/>
        <w:t>(c)</w:t>
      </w:r>
      <w:r w:rsidRPr="00297A38">
        <w:tab/>
      </w:r>
      <w:r w:rsidR="004C4C27" w:rsidRPr="004C4C27">
        <w:t>the record keeper becomes aware or has reason to suspect that the electronic work diary has been destroyed, lost or stolen.</w:t>
      </w:r>
    </w:p>
    <w:p w14:paraId="2095AE5B" w14:textId="77777777" w:rsidR="00DB6E47" w:rsidRPr="00283AFC" w:rsidRDefault="00DB6E47" w:rsidP="00DB6E47">
      <w:pPr>
        <w:pStyle w:val="Amain"/>
      </w:pPr>
      <w:r w:rsidRPr="00283AFC">
        <w:tab/>
        <w:t>(2)</w:t>
      </w:r>
      <w:r w:rsidRPr="00283AFC">
        <w:tab/>
      </w:r>
      <w:r w:rsidR="00221769">
        <w:rPr>
          <w:spacing w:val="-1"/>
        </w:rPr>
        <w:t>The</w:t>
      </w:r>
      <w:r w:rsidR="00221769">
        <w:rPr>
          <w:spacing w:val="39"/>
        </w:rPr>
        <w:t xml:space="preserve"> </w:t>
      </w:r>
      <w:r w:rsidR="00221769">
        <w:rPr>
          <w:spacing w:val="-1"/>
        </w:rPr>
        <w:t>record</w:t>
      </w:r>
      <w:r w:rsidR="00221769">
        <w:rPr>
          <w:spacing w:val="39"/>
        </w:rPr>
        <w:t xml:space="preserve"> </w:t>
      </w:r>
      <w:r w:rsidR="00221769">
        <w:rPr>
          <w:spacing w:val="-2"/>
        </w:rPr>
        <w:t>keeper</w:t>
      </w:r>
      <w:r w:rsidR="00221769">
        <w:rPr>
          <w:spacing w:val="39"/>
        </w:rPr>
        <w:t xml:space="preserve"> </w:t>
      </w:r>
      <w:r w:rsidR="00221769">
        <w:rPr>
          <w:spacing w:val="-1"/>
        </w:rPr>
        <w:t>must,</w:t>
      </w:r>
      <w:r w:rsidR="00221769">
        <w:rPr>
          <w:spacing w:val="39"/>
        </w:rPr>
        <w:t xml:space="preserve"> </w:t>
      </w:r>
      <w:r w:rsidR="00221769">
        <w:rPr>
          <w:spacing w:val="-1"/>
        </w:rPr>
        <w:t>as</w:t>
      </w:r>
      <w:r w:rsidR="00221769">
        <w:rPr>
          <w:spacing w:val="39"/>
        </w:rPr>
        <w:t xml:space="preserve"> </w:t>
      </w:r>
      <w:r w:rsidR="00221769">
        <w:rPr>
          <w:spacing w:val="-1"/>
        </w:rPr>
        <w:t>soon</w:t>
      </w:r>
      <w:r w:rsidR="00221769">
        <w:rPr>
          <w:spacing w:val="39"/>
        </w:rPr>
        <w:t xml:space="preserve"> </w:t>
      </w:r>
      <w:r w:rsidR="00221769">
        <w:rPr>
          <w:spacing w:val="-1"/>
        </w:rPr>
        <w:t>as</w:t>
      </w:r>
      <w:r w:rsidR="00221769">
        <w:rPr>
          <w:spacing w:val="39"/>
        </w:rPr>
        <w:t xml:space="preserve"> </w:t>
      </w:r>
      <w:r w:rsidR="00221769">
        <w:rPr>
          <w:spacing w:val="-1"/>
        </w:rPr>
        <w:t>reasonably</w:t>
      </w:r>
      <w:r w:rsidR="00221769">
        <w:rPr>
          <w:spacing w:val="24"/>
        </w:rPr>
        <w:t xml:space="preserve"> </w:t>
      </w:r>
      <w:r w:rsidR="00221769">
        <w:t>practicable</w:t>
      </w:r>
      <w:r w:rsidR="00221769">
        <w:rPr>
          <w:spacing w:val="1"/>
        </w:rPr>
        <w:t xml:space="preserve"> </w:t>
      </w:r>
      <w:r w:rsidR="00221769">
        <w:t>after</w:t>
      </w:r>
      <w:r w:rsidR="00221769">
        <w:rPr>
          <w:spacing w:val="1"/>
        </w:rPr>
        <w:t xml:space="preserve"> </w:t>
      </w:r>
      <w:r w:rsidR="00221769">
        <w:t xml:space="preserve">becoming </w:t>
      </w:r>
      <w:r w:rsidR="00221769">
        <w:rPr>
          <w:spacing w:val="-2"/>
        </w:rPr>
        <w:t>aware</w:t>
      </w:r>
      <w:r w:rsidR="00221769">
        <w:rPr>
          <w:spacing w:val="1"/>
        </w:rPr>
        <w:t xml:space="preserve"> </w:t>
      </w:r>
      <w:r w:rsidR="00221769">
        <w:rPr>
          <w:spacing w:val="-1"/>
        </w:rPr>
        <w:t>of</w:t>
      </w:r>
      <w:r w:rsidR="00221769">
        <w:rPr>
          <w:spacing w:val="1"/>
        </w:rPr>
        <w:t xml:space="preserve"> </w:t>
      </w:r>
      <w:r w:rsidR="00221769">
        <w:rPr>
          <w:spacing w:val="-1"/>
        </w:rPr>
        <w:t>the</w:t>
      </w:r>
      <w:r w:rsidR="00221769">
        <w:rPr>
          <w:spacing w:val="1"/>
        </w:rPr>
        <w:t xml:space="preserve"> </w:t>
      </w:r>
      <w:r w:rsidR="00221769">
        <w:rPr>
          <w:spacing w:val="-1"/>
        </w:rPr>
        <w:t>matter</w:t>
      </w:r>
      <w:r w:rsidR="00221769">
        <w:rPr>
          <w:spacing w:val="1"/>
        </w:rPr>
        <w:t xml:space="preserve"> </w:t>
      </w:r>
      <w:r w:rsidR="00221769">
        <w:rPr>
          <w:spacing w:val="-1"/>
        </w:rPr>
        <w:t>or</w:t>
      </w:r>
      <w:r w:rsidR="00221769">
        <w:rPr>
          <w:spacing w:val="24"/>
        </w:rPr>
        <w:t xml:space="preserve"> </w:t>
      </w:r>
      <w:r w:rsidR="00221769">
        <w:rPr>
          <w:spacing w:val="-2"/>
        </w:rPr>
        <w:t>having</w:t>
      </w:r>
      <w:r w:rsidR="00221769">
        <w:rPr>
          <w:spacing w:val="-1"/>
        </w:rPr>
        <w:t xml:space="preserve"> reason to suspect the matter—</w:t>
      </w:r>
    </w:p>
    <w:p w14:paraId="294EA3EA" w14:textId="77777777" w:rsidR="00DB6E47" w:rsidRPr="00221769" w:rsidRDefault="00DB6E47" w:rsidP="00DB6E47">
      <w:pPr>
        <w:pStyle w:val="Apara"/>
      </w:pPr>
      <w:r w:rsidRPr="00221769">
        <w:tab/>
        <w:t>(a)</w:t>
      </w:r>
      <w:r w:rsidRPr="00221769">
        <w:tab/>
      </w:r>
      <w:r w:rsidR="00221769" w:rsidRPr="00221769">
        <w:t>inform the driver that the electronic work diary has been destroyed, lost or stolen unless the driver informed the record keeper about the fault under section 309; and</w:t>
      </w:r>
    </w:p>
    <w:p w14:paraId="48F30D17" w14:textId="77777777" w:rsidR="00DB6E47" w:rsidRPr="00221769" w:rsidRDefault="00DB6E47" w:rsidP="00DB6E47">
      <w:pPr>
        <w:pStyle w:val="Apara"/>
      </w:pPr>
      <w:r w:rsidRPr="00221769">
        <w:lastRenderedPageBreak/>
        <w:tab/>
        <w:t>(b)</w:t>
      </w:r>
      <w:r w:rsidRPr="00221769">
        <w:tab/>
      </w:r>
      <w:r w:rsidR="00221769" w:rsidRPr="00221769">
        <w:t>give the driver an electronic work diary that is in working order; and</w:t>
      </w:r>
    </w:p>
    <w:p w14:paraId="2F4A1754" w14:textId="77777777" w:rsidR="00221769" w:rsidRPr="00221769" w:rsidRDefault="00221769" w:rsidP="00DB6E47">
      <w:pPr>
        <w:pStyle w:val="Apara"/>
      </w:pPr>
      <w:r w:rsidRPr="00221769">
        <w:tab/>
        <w:t>(c)</w:t>
      </w:r>
      <w:r w:rsidRPr="00221769">
        <w:tab/>
        <w:t>give the driver any information, in a way that makes the information readily available to the driver, that was in the destroyed, lost or stolen electronic work diary that—</w:t>
      </w:r>
    </w:p>
    <w:p w14:paraId="486DC18A" w14:textId="77777777" w:rsidR="00DB6E47" w:rsidRPr="00221769" w:rsidRDefault="00DB6E47" w:rsidP="00DB6E47">
      <w:pPr>
        <w:pStyle w:val="Asubpara"/>
      </w:pPr>
      <w:r w:rsidRPr="00221769">
        <w:tab/>
        <w:t>(i)</w:t>
      </w:r>
      <w:r w:rsidRPr="00221769">
        <w:tab/>
      </w:r>
      <w:r w:rsidR="00221769" w:rsidRPr="00221769">
        <w:t>is accessible to the record keeper; and</w:t>
      </w:r>
    </w:p>
    <w:p w14:paraId="35A6A4AC" w14:textId="77777777" w:rsidR="00DB6E47" w:rsidRPr="00221769" w:rsidRDefault="00DB6E47" w:rsidP="00DB6E47">
      <w:pPr>
        <w:pStyle w:val="Asubpara"/>
      </w:pPr>
      <w:r w:rsidRPr="00221769">
        <w:tab/>
        <w:t>(ii)</w:t>
      </w:r>
      <w:r w:rsidRPr="00221769">
        <w:tab/>
      </w:r>
      <w:r w:rsidR="00221769" w:rsidRPr="00221769">
        <w:t>relates to any period during the last 28 days; and</w:t>
      </w:r>
    </w:p>
    <w:p w14:paraId="550836A5" w14:textId="77777777" w:rsidR="00DB6E47" w:rsidRPr="00221769" w:rsidRDefault="00DB6E47" w:rsidP="00DB6E47">
      <w:pPr>
        <w:pStyle w:val="Asubpara"/>
      </w:pPr>
      <w:r w:rsidRPr="00221769">
        <w:tab/>
        <w:t>(iii)</w:t>
      </w:r>
      <w:r w:rsidRPr="00221769">
        <w:tab/>
      </w:r>
      <w:r w:rsidR="00221769" w:rsidRPr="00221769">
        <w:t>is not stored in the new electronic work diary.</w:t>
      </w:r>
    </w:p>
    <w:p w14:paraId="372541D1" w14:textId="77777777" w:rsidR="00DB6E47" w:rsidRPr="006C3305" w:rsidRDefault="00DB6E47" w:rsidP="00DB6E47">
      <w:pPr>
        <w:pStyle w:val="Penalty"/>
      </w:pPr>
      <w:r w:rsidRPr="006C3305">
        <w:t>Maximum penalty—$6000.</w:t>
      </w:r>
    </w:p>
    <w:p w14:paraId="2B5ABBA7" w14:textId="77777777" w:rsidR="004444EA" w:rsidRDefault="004444EA" w:rsidP="00DB6E47">
      <w:pPr>
        <w:pStyle w:val="Amain"/>
        <w:rPr>
          <w:spacing w:val="-1"/>
        </w:rPr>
      </w:pPr>
      <w:r>
        <w:tab/>
        <w:t>(3)</w:t>
      </w:r>
      <w:r>
        <w:tab/>
      </w:r>
      <w:r>
        <w:rPr>
          <w:spacing w:val="-1"/>
        </w:rPr>
        <w:t>The</w:t>
      </w:r>
      <w:r>
        <w:rPr>
          <w:spacing w:val="35"/>
        </w:rPr>
        <w:t xml:space="preserve"> </w:t>
      </w:r>
      <w:r>
        <w:rPr>
          <w:spacing w:val="-1"/>
        </w:rPr>
        <w:t>record</w:t>
      </w:r>
      <w:r>
        <w:rPr>
          <w:spacing w:val="35"/>
        </w:rPr>
        <w:t xml:space="preserve"> </w:t>
      </w:r>
      <w:r>
        <w:rPr>
          <w:spacing w:val="-1"/>
        </w:rPr>
        <w:t>keeper</w:t>
      </w:r>
      <w:r>
        <w:rPr>
          <w:spacing w:val="35"/>
        </w:rPr>
        <w:t xml:space="preserve"> </w:t>
      </w:r>
      <w:r>
        <w:rPr>
          <w:spacing w:val="-1"/>
        </w:rPr>
        <w:t>must</w:t>
      </w:r>
      <w:r>
        <w:rPr>
          <w:spacing w:val="35"/>
        </w:rPr>
        <w:t xml:space="preserve"> </w:t>
      </w:r>
      <w:r>
        <w:rPr>
          <w:spacing w:val="-1"/>
        </w:rPr>
        <w:t>within</w:t>
      </w:r>
      <w:r>
        <w:rPr>
          <w:spacing w:val="35"/>
        </w:rPr>
        <w:t xml:space="preserve"> </w:t>
      </w:r>
      <w:r>
        <w:t>2</w:t>
      </w:r>
      <w:r>
        <w:rPr>
          <w:spacing w:val="35"/>
        </w:rPr>
        <w:t xml:space="preserve"> </w:t>
      </w:r>
      <w:r>
        <w:rPr>
          <w:spacing w:val="-2"/>
        </w:rPr>
        <w:t>business</w:t>
      </w:r>
      <w:r>
        <w:rPr>
          <w:spacing w:val="35"/>
        </w:rPr>
        <w:t xml:space="preserve"> </w:t>
      </w:r>
      <w:r>
        <w:rPr>
          <w:spacing w:val="-1"/>
        </w:rPr>
        <w:t>days</w:t>
      </w:r>
      <w:r>
        <w:rPr>
          <w:spacing w:val="20"/>
        </w:rPr>
        <w:t xml:space="preserve"> </w:t>
      </w:r>
      <w:r>
        <w:t>notify</w:t>
      </w:r>
      <w:r>
        <w:rPr>
          <w:spacing w:val="-6"/>
        </w:rPr>
        <w:t xml:space="preserve"> </w:t>
      </w:r>
      <w:r>
        <w:t>the</w:t>
      </w:r>
      <w:r>
        <w:rPr>
          <w:spacing w:val="-5"/>
        </w:rPr>
        <w:t xml:space="preserve"> </w:t>
      </w:r>
      <w:r>
        <w:rPr>
          <w:spacing w:val="-1"/>
        </w:rPr>
        <w:t>Regulator</w:t>
      </w:r>
      <w:r>
        <w:rPr>
          <w:spacing w:val="-4"/>
        </w:rPr>
        <w:t xml:space="preserve"> </w:t>
      </w:r>
      <w:r>
        <w:t>in</w:t>
      </w:r>
      <w:r>
        <w:rPr>
          <w:spacing w:val="-4"/>
        </w:rPr>
        <w:t xml:space="preserve"> </w:t>
      </w:r>
      <w:r>
        <w:rPr>
          <w:spacing w:val="-1"/>
        </w:rPr>
        <w:t>the</w:t>
      </w:r>
      <w:r>
        <w:rPr>
          <w:spacing w:val="-4"/>
        </w:rPr>
        <w:t xml:space="preserve"> </w:t>
      </w:r>
      <w:r>
        <w:rPr>
          <w:spacing w:val="-2"/>
        </w:rPr>
        <w:t>approved</w:t>
      </w:r>
      <w:r>
        <w:rPr>
          <w:spacing w:val="-4"/>
        </w:rPr>
        <w:t xml:space="preserve"> </w:t>
      </w:r>
      <w:r>
        <w:t>form</w:t>
      </w:r>
      <w:r>
        <w:rPr>
          <w:spacing w:val="-4"/>
        </w:rPr>
        <w:t xml:space="preserve"> </w:t>
      </w:r>
      <w:r>
        <w:t>that</w:t>
      </w:r>
      <w:r>
        <w:rPr>
          <w:spacing w:val="-4"/>
        </w:rPr>
        <w:t xml:space="preserve"> </w:t>
      </w:r>
      <w:r>
        <w:t>the</w:t>
      </w:r>
      <w:r>
        <w:rPr>
          <w:spacing w:val="25"/>
        </w:rPr>
        <w:t xml:space="preserve"> </w:t>
      </w:r>
      <w:r>
        <w:rPr>
          <w:spacing w:val="-1"/>
        </w:rPr>
        <w:t>electronic</w:t>
      </w:r>
      <w:r>
        <w:rPr>
          <w:spacing w:val="11"/>
        </w:rPr>
        <w:t xml:space="preserve"> </w:t>
      </w:r>
      <w:r>
        <w:rPr>
          <w:spacing w:val="-1"/>
        </w:rPr>
        <w:t>work</w:t>
      </w:r>
      <w:r>
        <w:rPr>
          <w:spacing w:val="11"/>
        </w:rPr>
        <w:t xml:space="preserve"> </w:t>
      </w:r>
      <w:r>
        <w:rPr>
          <w:spacing w:val="-1"/>
        </w:rPr>
        <w:t>diary</w:t>
      </w:r>
      <w:r>
        <w:rPr>
          <w:spacing w:val="11"/>
        </w:rPr>
        <w:t xml:space="preserve"> </w:t>
      </w:r>
      <w:r>
        <w:rPr>
          <w:spacing w:val="-1"/>
        </w:rPr>
        <w:t>has</w:t>
      </w:r>
      <w:r>
        <w:rPr>
          <w:spacing w:val="12"/>
        </w:rPr>
        <w:t xml:space="preserve"> </w:t>
      </w:r>
      <w:r>
        <w:rPr>
          <w:spacing w:val="-1"/>
        </w:rPr>
        <w:t>been</w:t>
      </w:r>
      <w:r>
        <w:rPr>
          <w:spacing w:val="11"/>
        </w:rPr>
        <w:t xml:space="preserve"> </w:t>
      </w:r>
      <w:r>
        <w:rPr>
          <w:spacing w:val="-2"/>
        </w:rPr>
        <w:t>destroyed,</w:t>
      </w:r>
      <w:r>
        <w:rPr>
          <w:spacing w:val="11"/>
        </w:rPr>
        <w:t xml:space="preserve"> </w:t>
      </w:r>
      <w:r>
        <w:rPr>
          <w:spacing w:val="-1"/>
        </w:rPr>
        <w:t>lost</w:t>
      </w:r>
      <w:r>
        <w:rPr>
          <w:spacing w:val="11"/>
        </w:rPr>
        <w:t xml:space="preserve"> </w:t>
      </w:r>
      <w:r>
        <w:rPr>
          <w:spacing w:val="-1"/>
        </w:rPr>
        <w:t>or</w:t>
      </w:r>
      <w:r>
        <w:rPr>
          <w:spacing w:val="28"/>
        </w:rPr>
        <w:t xml:space="preserve"> </w:t>
      </w:r>
      <w:r>
        <w:rPr>
          <w:spacing w:val="-1"/>
        </w:rPr>
        <w:t>stolen</w:t>
      </w:r>
      <w:r w:rsidR="00C1041B" w:rsidRPr="003323FC">
        <w:t>, unless the record keeper has a reasonable excuse</w:t>
      </w:r>
      <w:r>
        <w:rPr>
          <w:spacing w:val="-1"/>
        </w:rPr>
        <w:t>.</w:t>
      </w:r>
    </w:p>
    <w:p w14:paraId="52DDCF82" w14:textId="77777777" w:rsidR="004444EA" w:rsidRPr="006C3305" w:rsidRDefault="004444EA" w:rsidP="004444EA">
      <w:pPr>
        <w:pStyle w:val="Penalty"/>
      </w:pPr>
      <w:r w:rsidRPr="006C3305">
        <w:t>Maximum penalty—$6000.</w:t>
      </w:r>
    </w:p>
    <w:p w14:paraId="226E7FE7" w14:textId="77777777" w:rsidR="00DB6E47" w:rsidRPr="00283AFC" w:rsidRDefault="00221769" w:rsidP="00DB6E47">
      <w:pPr>
        <w:pStyle w:val="Amain"/>
      </w:pPr>
      <w:r>
        <w:tab/>
        <w:t>(4</w:t>
      </w:r>
      <w:r w:rsidR="00DB6E47" w:rsidRPr="00283AFC">
        <w:t>)</w:t>
      </w:r>
      <w:r w:rsidR="00DB6E47" w:rsidRPr="00283AFC">
        <w:tab/>
        <w:t>If the record keeper has engaged another person under a contract for ser</w:t>
      </w:r>
      <w:r w:rsidR="00F45507">
        <w:t xml:space="preserve">vices to comply with subsection </w:t>
      </w:r>
      <w:r w:rsidR="00DB6E47" w:rsidRPr="00283AFC">
        <w:t>(2)</w:t>
      </w:r>
      <w:r w:rsidR="004444EA">
        <w:t xml:space="preserve"> or (3)</w:t>
      </w:r>
      <w:r w:rsidR="00F45507">
        <w:t xml:space="preserve"> </w:t>
      </w:r>
      <w:r w:rsidR="00DB6E47" w:rsidRPr="00283AFC">
        <w:t>for the record keeper—</w:t>
      </w:r>
    </w:p>
    <w:p w14:paraId="042D73F3" w14:textId="77777777" w:rsidR="00DB6E47" w:rsidRPr="00297A38" w:rsidRDefault="00DB6E47" w:rsidP="00DB6E47">
      <w:pPr>
        <w:pStyle w:val="Apara"/>
      </w:pPr>
      <w:r w:rsidRPr="00297A38">
        <w:tab/>
        <w:t>(a)</w:t>
      </w:r>
      <w:r w:rsidRPr="00297A38">
        <w:tab/>
        <w:t>the record keeper remains liable for an offence against subsection (2)</w:t>
      </w:r>
      <w:r w:rsidR="004444EA">
        <w:t xml:space="preserve"> or (3)</w:t>
      </w:r>
      <w:r w:rsidRPr="00297A38">
        <w:t>; and</w:t>
      </w:r>
    </w:p>
    <w:p w14:paraId="5EC5D923" w14:textId="77777777" w:rsidR="00DB6E47" w:rsidRPr="00297A38" w:rsidRDefault="00DB6E47" w:rsidP="00DB6E47">
      <w:pPr>
        <w:pStyle w:val="Apara"/>
      </w:pPr>
      <w:r w:rsidRPr="00297A38">
        <w:tab/>
        <w:t>(b)</w:t>
      </w:r>
      <w:r w:rsidRPr="00297A38">
        <w:tab/>
        <w:t>the other person is also liable fo</w:t>
      </w:r>
      <w:r w:rsidR="00F45507">
        <w:t>r an offence against subsection </w:t>
      </w:r>
      <w:r w:rsidRPr="00297A38">
        <w:t>(2)</w:t>
      </w:r>
      <w:r w:rsidR="004444EA">
        <w:t xml:space="preserve"> or (3)</w:t>
      </w:r>
      <w:r w:rsidR="00F45507">
        <w:t xml:space="preserve"> </w:t>
      </w:r>
      <w:r w:rsidRPr="00297A38">
        <w:t>as if the other person were the record keeper mentioned in the subsection.</w:t>
      </w:r>
    </w:p>
    <w:p w14:paraId="672805D4" w14:textId="77777777" w:rsidR="00DB6E47" w:rsidRPr="007E1F9A" w:rsidRDefault="00DB6E47" w:rsidP="00DB6E47">
      <w:pPr>
        <w:pStyle w:val="AH5Sec"/>
      </w:pPr>
      <w:bookmarkStart w:id="346" w:name="_Toc83625690"/>
      <w:r w:rsidRPr="005E03F7">
        <w:rPr>
          <w:rStyle w:val="CharSectNo"/>
        </w:rPr>
        <w:t>313</w:t>
      </w:r>
      <w:r w:rsidRPr="007E1F9A">
        <w:tab/>
        <w:t>What record keeper must do if electronic work diary not in working order or malfunctioning</w:t>
      </w:r>
      <w:bookmarkEnd w:id="346"/>
    </w:p>
    <w:p w14:paraId="0574885C" w14:textId="77777777" w:rsidR="00DB6E47" w:rsidRPr="00283AFC" w:rsidRDefault="00DB6E47" w:rsidP="00DB6E47">
      <w:pPr>
        <w:pStyle w:val="Amain"/>
      </w:pPr>
      <w:r w:rsidRPr="00283AFC">
        <w:tab/>
        <w:t>(1)</w:t>
      </w:r>
      <w:r w:rsidRPr="00283AFC">
        <w:tab/>
        <w:t>This section applies if—</w:t>
      </w:r>
    </w:p>
    <w:p w14:paraId="629FEBF0" w14:textId="77777777" w:rsidR="00DB6E47" w:rsidRPr="00297A38" w:rsidRDefault="00DB6E47" w:rsidP="00DB6E47">
      <w:pPr>
        <w:pStyle w:val="Apara"/>
      </w:pPr>
      <w:r w:rsidRPr="00297A38">
        <w:tab/>
        <w:t>(a)</w:t>
      </w:r>
      <w:r w:rsidRPr="00297A38">
        <w:tab/>
        <w:t>the record keeper for the driver of a fatigue-regulated heavy vehicle is a person other than the driver; and</w:t>
      </w:r>
    </w:p>
    <w:p w14:paraId="2C2B5112" w14:textId="77777777" w:rsidR="00DB6E47" w:rsidRPr="00297A38" w:rsidRDefault="00DB6E47" w:rsidP="00DB6E47">
      <w:pPr>
        <w:pStyle w:val="Apara"/>
      </w:pPr>
      <w:r w:rsidRPr="00297A38">
        <w:tab/>
        <w:t>(b)</w:t>
      </w:r>
      <w:r w:rsidRPr="00297A38">
        <w:tab/>
        <w:t>the driver uses an electronic work diary supplied to the driver by the record keeper; and</w:t>
      </w:r>
    </w:p>
    <w:p w14:paraId="14D1F52F" w14:textId="77777777" w:rsidR="00DB6E47" w:rsidRPr="00F164C6" w:rsidRDefault="00DB6E47" w:rsidP="00DB6E47">
      <w:pPr>
        <w:pStyle w:val="Apara"/>
      </w:pPr>
      <w:r w:rsidRPr="00297A38">
        <w:lastRenderedPageBreak/>
        <w:tab/>
        <w:t>(c)</w:t>
      </w:r>
      <w:r w:rsidRPr="00F164C6">
        <w:tab/>
      </w:r>
      <w:r w:rsidR="00F164C6" w:rsidRPr="00F164C6">
        <w:t>the record keeper becomes aware of, or has reason to suspect, either of the following matters—</w:t>
      </w:r>
    </w:p>
    <w:p w14:paraId="55B7D727" w14:textId="77777777" w:rsidR="00DB6E47" w:rsidRPr="00F164C6" w:rsidRDefault="00DB6E47" w:rsidP="00DB6E47">
      <w:pPr>
        <w:pStyle w:val="Asubpara"/>
      </w:pPr>
      <w:r w:rsidRPr="00F164C6">
        <w:tab/>
        <w:t>(i)</w:t>
      </w:r>
      <w:r w:rsidRPr="00F164C6">
        <w:tab/>
      </w:r>
      <w:r w:rsidR="00F164C6" w:rsidRPr="00F164C6">
        <w:t>that the electronic work diary is not in working order;</w:t>
      </w:r>
    </w:p>
    <w:p w14:paraId="08C5CD29" w14:textId="77777777" w:rsidR="00DB6E47" w:rsidRDefault="00DB6E47" w:rsidP="00DB6E47">
      <w:pPr>
        <w:pStyle w:val="Asubpara"/>
      </w:pPr>
      <w:r w:rsidRPr="00F164C6">
        <w:tab/>
        <w:t>(ii)</w:t>
      </w:r>
      <w:r w:rsidRPr="00F164C6">
        <w:tab/>
      </w:r>
      <w:r w:rsidR="00F164C6" w:rsidRPr="00F164C6">
        <w:t>that the electronic work diary is malfunctioning or has malfunctioned.</w:t>
      </w:r>
    </w:p>
    <w:p w14:paraId="275C5724" w14:textId="77777777" w:rsidR="00F164C6" w:rsidRDefault="00F164C6" w:rsidP="00F164C6">
      <w:pPr>
        <w:pStyle w:val="aNotepar"/>
      </w:pPr>
      <w:r w:rsidRPr="00F164C6">
        <w:rPr>
          <w:rStyle w:val="charItals"/>
        </w:rPr>
        <w:t>Note</w:t>
      </w:r>
      <w:r w:rsidRPr="00F164C6">
        <w:t>—</w:t>
      </w:r>
    </w:p>
    <w:p w14:paraId="1C87D13A" w14:textId="77777777" w:rsidR="00F164C6" w:rsidRPr="00F164C6" w:rsidRDefault="00F164C6" w:rsidP="00F164C6">
      <w:pPr>
        <w:pStyle w:val="aNoteTextss"/>
      </w:pPr>
      <w:r w:rsidRPr="00F164C6">
        <w:t xml:space="preserve">The record keeper may become aware as mentioned in paragraph (c) whether or not the record keeper has been informed by the driver under section 309 or an intelligent access </w:t>
      </w:r>
      <w:r w:rsidR="003D1D23">
        <w:t xml:space="preserve">program </w:t>
      </w:r>
      <w:r w:rsidRPr="00F164C6">
        <w:t>reporting entity under section 310.</w:t>
      </w:r>
    </w:p>
    <w:p w14:paraId="21726D0C" w14:textId="77777777" w:rsidR="00DB6E47" w:rsidRDefault="00DB6E47" w:rsidP="00DB6E47">
      <w:pPr>
        <w:pStyle w:val="Amain"/>
      </w:pPr>
      <w:r w:rsidRPr="00283AFC">
        <w:tab/>
        <w:t>(2)</w:t>
      </w:r>
      <w:r w:rsidRPr="00283AFC">
        <w:tab/>
      </w:r>
      <w:r w:rsidR="0052459D" w:rsidRPr="0052459D">
        <w:t>The record keeper must as soon as reasonably practicable after becoming aware of the matter or having reason to suspect the matter inform the driver about the matter unless the driver informed the record keeper about the matter under section 309.</w:t>
      </w:r>
    </w:p>
    <w:p w14:paraId="3DCE2A12" w14:textId="77777777" w:rsidR="0052459D" w:rsidRPr="0052459D" w:rsidRDefault="0052459D" w:rsidP="0052459D">
      <w:pPr>
        <w:pStyle w:val="Penalty"/>
      </w:pPr>
      <w:r w:rsidRPr="0052459D">
        <w:t>Maximum penalty—$6000.</w:t>
      </w:r>
    </w:p>
    <w:p w14:paraId="2930BDAC" w14:textId="77777777" w:rsidR="0052459D" w:rsidRPr="00991A12" w:rsidRDefault="0052459D" w:rsidP="00DB6E47">
      <w:pPr>
        <w:pStyle w:val="Amain"/>
      </w:pPr>
      <w:r w:rsidRPr="00991A12">
        <w:tab/>
        <w:t>(3)</w:t>
      </w:r>
      <w:r w:rsidRPr="00991A12">
        <w:tab/>
        <w:t>The record keeper must, after becoming aware of the matter or having reason to suspect the matter—</w:t>
      </w:r>
    </w:p>
    <w:p w14:paraId="4DE92DC0" w14:textId="77777777" w:rsidR="00991A12" w:rsidRPr="00991A12" w:rsidRDefault="00991A12" w:rsidP="00991A12">
      <w:pPr>
        <w:pStyle w:val="Apara"/>
      </w:pPr>
      <w:r w:rsidRPr="00991A12">
        <w:tab/>
        <w:t>(a)</w:t>
      </w:r>
      <w:r w:rsidRPr="00991A12">
        <w:tab/>
        <w:t>as soon as reasonably practicable, direct the driver in the approved form to use a supplementary record in compliance with section 305; and</w:t>
      </w:r>
    </w:p>
    <w:p w14:paraId="058CF66C" w14:textId="77777777" w:rsidR="00991A12" w:rsidRPr="00991A12" w:rsidRDefault="00991A12" w:rsidP="00991A12">
      <w:pPr>
        <w:pStyle w:val="Apara"/>
      </w:pPr>
      <w:r w:rsidRPr="00991A12">
        <w:tab/>
        <w:t>(b)</w:t>
      </w:r>
      <w:r w:rsidRPr="00991A12">
        <w:tab/>
        <w:t>as soon as reasonably practicable, give the driver information that was in the electronic work diary, in a way that makes the information readily available to the driver, that—</w:t>
      </w:r>
    </w:p>
    <w:p w14:paraId="0BD62E48" w14:textId="77777777" w:rsidR="00991A12" w:rsidRPr="00991A12" w:rsidRDefault="00991A12" w:rsidP="00991A12">
      <w:pPr>
        <w:pStyle w:val="Asubpara"/>
      </w:pPr>
      <w:r w:rsidRPr="00991A12">
        <w:tab/>
        <w:t>(i)</w:t>
      </w:r>
      <w:r w:rsidRPr="00991A12">
        <w:tab/>
        <w:t>is accessible to the record keeper; and</w:t>
      </w:r>
    </w:p>
    <w:p w14:paraId="32BA379B" w14:textId="77777777" w:rsidR="00991A12" w:rsidRPr="00991A12" w:rsidRDefault="00991A12" w:rsidP="00991A12">
      <w:pPr>
        <w:pStyle w:val="Asubpara"/>
      </w:pPr>
      <w:r w:rsidRPr="00991A12">
        <w:tab/>
        <w:t>(ii)</w:t>
      </w:r>
      <w:r w:rsidRPr="00991A12">
        <w:tab/>
        <w:t>relates to any period during the last 28 days; and</w:t>
      </w:r>
    </w:p>
    <w:p w14:paraId="2CF3F8AC" w14:textId="77777777" w:rsidR="00991A12" w:rsidRPr="00991A12" w:rsidRDefault="00991A12" w:rsidP="00991A12">
      <w:pPr>
        <w:pStyle w:val="Asubpara"/>
      </w:pPr>
      <w:r w:rsidRPr="00991A12">
        <w:tab/>
        <w:t>(iii)</w:t>
      </w:r>
      <w:r w:rsidRPr="00991A12">
        <w:tab/>
        <w:t>is not stored in the electronic work diary because the electronic work diary is not in working order or is malfunctioning or has malfunctioned; and</w:t>
      </w:r>
    </w:p>
    <w:p w14:paraId="26979D47" w14:textId="77777777" w:rsidR="00991A12" w:rsidRPr="00991A12" w:rsidRDefault="00991A12" w:rsidP="00A77F94">
      <w:pPr>
        <w:pStyle w:val="Apara"/>
        <w:keepLines/>
      </w:pPr>
      <w:r w:rsidRPr="00991A12">
        <w:lastRenderedPageBreak/>
        <w:tab/>
        <w:t>(c)</w:t>
      </w:r>
      <w:r w:rsidRPr="00991A12">
        <w:tab/>
        <w:t>within 2 business days, notify the Regulator in the approved form that the electronic work diary is not in working order or is malfunctioning or has malfunctioned</w:t>
      </w:r>
      <w:r w:rsidR="00C1041B" w:rsidRPr="003323FC">
        <w:t>, unless the record keeper has a reasonable excuse</w:t>
      </w:r>
      <w:r w:rsidRPr="00991A12">
        <w:t>; and</w:t>
      </w:r>
    </w:p>
    <w:p w14:paraId="21796883" w14:textId="77777777" w:rsidR="00991A12" w:rsidRPr="00991A12" w:rsidRDefault="00991A12" w:rsidP="00991A12">
      <w:pPr>
        <w:pStyle w:val="Apara"/>
      </w:pPr>
      <w:r w:rsidRPr="00991A12">
        <w:tab/>
        <w:t>(d)</w:t>
      </w:r>
      <w:r w:rsidRPr="00991A12">
        <w:tab/>
        <w:t>within a period required by the Regulator, ensure the electronic work diary is examined and brought into working order and is not malfunctioning.</w:t>
      </w:r>
    </w:p>
    <w:p w14:paraId="49AB3A83" w14:textId="77777777" w:rsidR="00991A12" w:rsidRPr="00991A12" w:rsidRDefault="00991A12" w:rsidP="00991A12">
      <w:pPr>
        <w:pStyle w:val="Penalty"/>
      </w:pPr>
      <w:r w:rsidRPr="00991A12">
        <w:t>Maximum penalty—$6000.</w:t>
      </w:r>
    </w:p>
    <w:p w14:paraId="48F09406" w14:textId="77777777" w:rsidR="005C2955" w:rsidRPr="005C2955" w:rsidRDefault="005C2955" w:rsidP="00DB6E47">
      <w:pPr>
        <w:pStyle w:val="Amain"/>
      </w:pPr>
      <w:r w:rsidRPr="005C2955">
        <w:tab/>
        <w:t>(4)</w:t>
      </w:r>
      <w:r w:rsidRPr="005C2955">
        <w:tab/>
        <w:t>Subsection (5) applies if the driver of the vehicle changes during any period that is relevant to the duties imposed on the record keeper by subsection (2) or (3).</w:t>
      </w:r>
    </w:p>
    <w:p w14:paraId="506B7B40" w14:textId="77777777" w:rsidR="005C2955" w:rsidRPr="005C2955" w:rsidRDefault="005C2955" w:rsidP="00DB6E47">
      <w:pPr>
        <w:pStyle w:val="Amain"/>
      </w:pPr>
      <w:r w:rsidRPr="005C2955">
        <w:tab/>
        <w:t>(5)</w:t>
      </w:r>
      <w:r w:rsidRPr="005C2955">
        <w:tab/>
        <w:t>Each reference to the driver in subsection (2) or (3) is a reference to the driver of the vehicle when the record keeper acts under the subsection.</w:t>
      </w:r>
    </w:p>
    <w:p w14:paraId="4664349F" w14:textId="77777777" w:rsidR="00DB6E47" w:rsidRPr="00283AFC" w:rsidRDefault="002A130F" w:rsidP="00D80638">
      <w:pPr>
        <w:pStyle w:val="Amain"/>
        <w:keepNext/>
      </w:pPr>
      <w:r>
        <w:tab/>
        <w:t>(6</w:t>
      </w:r>
      <w:r w:rsidR="00DB6E47" w:rsidRPr="00283AFC">
        <w:t>)</w:t>
      </w:r>
      <w:r w:rsidR="00DB6E47" w:rsidRPr="00283AFC">
        <w:tab/>
        <w:t>If the record keeper has engaged another person under a contract for ser</w:t>
      </w:r>
      <w:r w:rsidR="00F45507">
        <w:t xml:space="preserve">vices to comply with subsection </w:t>
      </w:r>
      <w:r w:rsidR="00DB6E47" w:rsidRPr="00283AFC">
        <w:t>(2)</w:t>
      </w:r>
      <w:r w:rsidR="00EE6C3F">
        <w:t xml:space="preserve"> or (3)</w:t>
      </w:r>
      <w:r w:rsidR="00F45507">
        <w:t xml:space="preserve"> </w:t>
      </w:r>
      <w:r w:rsidR="00DB6E47" w:rsidRPr="00283AFC">
        <w:t>for the record keeper—</w:t>
      </w:r>
    </w:p>
    <w:p w14:paraId="0D438098" w14:textId="77777777" w:rsidR="00DB6E47" w:rsidRPr="00297A38" w:rsidRDefault="00DB6E47" w:rsidP="00DB6E47">
      <w:pPr>
        <w:pStyle w:val="Apara"/>
      </w:pPr>
      <w:r w:rsidRPr="00297A38">
        <w:tab/>
        <w:t>(a)</w:t>
      </w:r>
      <w:r w:rsidRPr="00297A38">
        <w:tab/>
        <w:t>the record keeper remains liable for an offence against subsection (2)</w:t>
      </w:r>
      <w:r w:rsidR="00EE6C3F">
        <w:t xml:space="preserve"> or (3)</w:t>
      </w:r>
      <w:r w:rsidRPr="00297A38">
        <w:t>; and</w:t>
      </w:r>
    </w:p>
    <w:p w14:paraId="71A90FF9" w14:textId="77777777" w:rsidR="00DB6E47" w:rsidRPr="00297A38" w:rsidRDefault="00DB6E47" w:rsidP="00DB6E47">
      <w:pPr>
        <w:pStyle w:val="Apara"/>
      </w:pPr>
      <w:r w:rsidRPr="00297A38">
        <w:tab/>
        <w:t>(b)</w:t>
      </w:r>
      <w:r w:rsidRPr="00297A38">
        <w:tab/>
        <w:t>the other person is also liable fo</w:t>
      </w:r>
      <w:r w:rsidR="00F45507">
        <w:t>r an offence against subsection </w:t>
      </w:r>
      <w:r w:rsidRPr="00297A38">
        <w:t>(2)</w:t>
      </w:r>
      <w:r w:rsidR="00EE6C3F">
        <w:t xml:space="preserve"> or (3)</w:t>
      </w:r>
      <w:r w:rsidR="00F45507">
        <w:t xml:space="preserve"> </w:t>
      </w:r>
      <w:r w:rsidRPr="00297A38">
        <w:t>as if the other person were the record keeper mentioned in the subsection.</w:t>
      </w:r>
    </w:p>
    <w:p w14:paraId="7DD6AB9B" w14:textId="77777777" w:rsidR="00DB6E47" w:rsidRPr="00283AFC" w:rsidRDefault="002A130F" w:rsidP="00DB6E47">
      <w:pPr>
        <w:pStyle w:val="Amain"/>
      </w:pPr>
      <w:r>
        <w:tab/>
        <w:t>(7</w:t>
      </w:r>
      <w:r w:rsidR="00F45507">
        <w:t>)</w:t>
      </w:r>
      <w:r w:rsidR="00F45507">
        <w:tab/>
        <w:t xml:space="preserve">Subsection </w:t>
      </w:r>
      <w:r w:rsidR="00EE6C3F">
        <w:t>(6</w:t>
      </w:r>
      <w:r w:rsidR="00DB6E47" w:rsidRPr="00283AFC">
        <w:t>)</w:t>
      </w:r>
      <w:r w:rsidR="00F45507">
        <w:t xml:space="preserve"> </w:t>
      </w:r>
      <w:r w:rsidR="00DB6E47" w:rsidRPr="00283AFC">
        <w:t>does not apply if the other person is engaged under a contract for services only to repair or otherwise bring the electronic work diary into working order.</w:t>
      </w:r>
    </w:p>
    <w:p w14:paraId="2F8245BB" w14:textId="77777777" w:rsidR="00DB6E47" w:rsidRPr="00C96203" w:rsidRDefault="00DB6E47" w:rsidP="00DB6E47">
      <w:pPr>
        <w:pStyle w:val="aExamHdgss"/>
      </w:pPr>
      <w:r w:rsidRPr="00C96203">
        <w:rPr>
          <w:rFonts w:cs="Times"/>
          <w:bCs/>
          <w:iCs/>
        </w:rPr>
        <w:t>Example for the purposes of subsection (</w:t>
      </w:r>
      <w:r w:rsidR="00EE6C3F">
        <w:rPr>
          <w:rFonts w:cs="Times"/>
          <w:bCs/>
          <w:iCs/>
        </w:rPr>
        <w:t>7</w:t>
      </w:r>
      <w:r w:rsidRPr="00C96203">
        <w:rPr>
          <w:rFonts w:cs="Times"/>
          <w:bCs/>
          <w:iCs/>
        </w:rPr>
        <w:t>)—</w:t>
      </w:r>
    </w:p>
    <w:p w14:paraId="33B9EA7B" w14:textId="77777777" w:rsidR="00DB6E47" w:rsidRPr="00C96203" w:rsidRDefault="00DB6E47" w:rsidP="00DB6E47">
      <w:pPr>
        <w:pStyle w:val="aExamss"/>
      </w:pPr>
      <w:r w:rsidRPr="00C96203">
        <w:t>A person in the business of repairing electronic recording systems is engaged under a contract for services to repair or otherwise bring the electronic work diary into working order on behalf of the record keeper.</w:t>
      </w:r>
    </w:p>
    <w:p w14:paraId="7E653876" w14:textId="77777777" w:rsidR="00DB6E47" w:rsidRPr="00A95F9A" w:rsidRDefault="00DB6E47" w:rsidP="00DB6E47">
      <w:pPr>
        <w:pStyle w:val="AH4SubDiv"/>
      </w:pPr>
      <w:bookmarkStart w:id="347" w:name="_Toc83625691"/>
      <w:r w:rsidRPr="00A95F9A">
        <w:lastRenderedPageBreak/>
        <w:t xml:space="preserve">Subdivision 5 </w:t>
      </w:r>
      <w:r w:rsidRPr="00A95F9A">
        <w:tab/>
        <w:t>Use of electronic work diaries</w:t>
      </w:r>
      <w:bookmarkEnd w:id="347"/>
    </w:p>
    <w:p w14:paraId="0C340786" w14:textId="77777777" w:rsidR="00DB6E47" w:rsidRPr="007E1F9A" w:rsidRDefault="00DB6E47" w:rsidP="00DB6E47">
      <w:pPr>
        <w:pStyle w:val="AH5Sec"/>
      </w:pPr>
      <w:bookmarkStart w:id="348" w:name="_Toc83625692"/>
      <w:r w:rsidRPr="005E03F7">
        <w:rPr>
          <w:rStyle w:val="CharSectNo"/>
        </w:rPr>
        <w:t>314</w:t>
      </w:r>
      <w:r w:rsidRPr="007E1F9A">
        <w:tab/>
        <w:t>How electronic work diary must be used</w:t>
      </w:r>
      <w:bookmarkEnd w:id="348"/>
    </w:p>
    <w:p w14:paraId="43114E83" w14:textId="77777777" w:rsidR="00DB6E47" w:rsidRPr="00283AFC" w:rsidRDefault="00DB6E47" w:rsidP="00DB6E47">
      <w:pPr>
        <w:pStyle w:val="Amain"/>
      </w:pPr>
      <w:r w:rsidRPr="00283AFC">
        <w:tab/>
        <w:t>(1)</w:t>
      </w:r>
      <w:r w:rsidRPr="00283AFC">
        <w:tab/>
        <w:t>This section applies if the driver of a fatigue-regulated heavy vehicle who is required to record information in the driver’s work diary under Subdivision 2 uses an electronic work diary.</w:t>
      </w:r>
    </w:p>
    <w:p w14:paraId="09FDBF3A" w14:textId="77777777" w:rsidR="00DB6E47" w:rsidRPr="00283AFC" w:rsidRDefault="00DB6E47" w:rsidP="00D80638">
      <w:pPr>
        <w:pStyle w:val="Amain"/>
        <w:keepNext/>
      </w:pPr>
      <w:r w:rsidRPr="00283AFC">
        <w:tab/>
        <w:t>(2)</w:t>
      </w:r>
      <w:r w:rsidRPr="00283AFC">
        <w:tab/>
        <w:t>The driver must use the electronic work diary in a way complying with—</w:t>
      </w:r>
    </w:p>
    <w:p w14:paraId="669DBA0F" w14:textId="77777777" w:rsidR="00DB6E47" w:rsidRPr="00297A38" w:rsidRDefault="00DB6E47" w:rsidP="00DB6E47">
      <w:pPr>
        <w:pStyle w:val="Apara"/>
      </w:pPr>
      <w:r w:rsidRPr="00297A38">
        <w:tab/>
        <w:t>(a)</w:t>
      </w:r>
      <w:r w:rsidRPr="00297A38">
        <w:tab/>
        <w:t>any conditions applying under this Law or a corresponding fatigue law in relation to the use of the approved electronic recording system constituting the work diary or of which the work diary is a part; and</w:t>
      </w:r>
    </w:p>
    <w:p w14:paraId="4BF7AECF" w14:textId="77777777" w:rsidR="00DB6E47" w:rsidRPr="00297A38" w:rsidRDefault="00DB6E47" w:rsidP="00DB6E47">
      <w:pPr>
        <w:pStyle w:val="Apara"/>
      </w:pPr>
      <w:r w:rsidRPr="00297A38">
        <w:tab/>
        <w:t>(b)</w:t>
      </w:r>
      <w:r w:rsidRPr="00297A38">
        <w:tab/>
        <w:t>the manufacturer’s specifications for the electronic recording system that is or includes the work diary, to the extent the specifications are consistent with the con</w:t>
      </w:r>
      <w:r w:rsidR="00F45507">
        <w:t xml:space="preserve">ditions mentioned in paragraph </w:t>
      </w:r>
      <w:r w:rsidRPr="00297A38">
        <w:t>(a).</w:t>
      </w:r>
    </w:p>
    <w:p w14:paraId="77FA2179" w14:textId="77777777" w:rsidR="00DB6E47" w:rsidRPr="006C3305" w:rsidRDefault="00DB6E47" w:rsidP="00DB6E47">
      <w:pPr>
        <w:pStyle w:val="Penalty"/>
      </w:pPr>
      <w:r w:rsidRPr="006C3305">
        <w:t>Maximum penalty—$3000.</w:t>
      </w:r>
    </w:p>
    <w:p w14:paraId="51E31CD6" w14:textId="77777777" w:rsidR="00DB6E47" w:rsidRPr="00C96203" w:rsidRDefault="00DB6E47" w:rsidP="00DB6E47">
      <w:pPr>
        <w:pStyle w:val="aNote"/>
      </w:pPr>
      <w:r w:rsidRPr="00FF4454">
        <w:rPr>
          <w:rStyle w:val="charItals"/>
        </w:rPr>
        <w:t>Note</w:t>
      </w:r>
      <w:r w:rsidRPr="00C96203">
        <w:rPr>
          <w:rFonts w:cs="Times"/>
          <w:bCs/>
          <w:iCs/>
        </w:rPr>
        <w:t>—</w:t>
      </w:r>
    </w:p>
    <w:p w14:paraId="10D61D94" w14:textId="77777777" w:rsidR="00DB6E47" w:rsidRPr="00C96203" w:rsidRDefault="00DB6E47" w:rsidP="00DB6E47">
      <w:pPr>
        <w:pStyle w:val="aNoteTextss"/>
      </w:pPr>
      <w:r w:rsidRPr="00C96203">
        <w:t>The Regulator may impose conditions on the use of an electronic recording system under section 343.</w:t>
      </w:r>
    </w:p>
    <w:p w14:paraId="01397675" w14:textId="77777777" w:rsidR="00DB6E47" w:rsidRPr="00283AFC" w:rsidRDefault="00DB6E47" w:rsidP="00DB6E47">
      <w:pPr>
        <w:pStyle w:val="Amain"/>
      </w:pPr>
      <w:r w:rsidRPr="00283AFC">
        <w:tab/>
        <w:t>(3)</w:t>
      </w:r>
      <w:r w:rsidRPr="00283AFC">
        <w:tab/>
        <w:t>The record keeper of a driver of a fatigue-regulated heavy vehicle who uses an electronic work diary must ensure the driver complies with the requirements of subsection (2).</w:t>
      </w:r>
    </w:p>
    <w:p w14:paraId="1482291E" w14:textId="77777777" w:rsidR="00DB6E47" w:rsidRPr="006C3305" w:rsidRDefault="00DB6E47" w:rsidP="00DB6E47">
      <w:pPr>
        <w:pStyle w:val="Penalty"/>
      </w:pPr>
      <w:r w:rsidRPr="006C3305">
        <w:t>Maximum penalty—$6000.</w:t>
      </w:r>
    </w:p>
    <w:p w14:paraId="607029BB" w14:textId="77777777" w:rsidR="00DB6E47" w:rsidRPr="00283AFC" w:rsidRDefault="00DB6E47" w:rsidP="00DB6E47">
      <w:pPr>
        <w:pStyle w:val="Amain"/>
      </w:pPr>
      <w:r w:rsidRPr="00283AFC">
        <w:tab/>
        <w:t>(4)</w:t>
      </w:r>
      <w:r w:rsidRPr="00283AFC">
        <w:tab/>
        <w:t>In a proceeding fo</w:t>
      </w:r>
      <w:r w:rsidR="00F45507">
        <w:t xml:space="preserve">r an offence against subsection </w:t>
      </w:r>
      <w:r w:rsidRPr="00283AFC">
        <w:t>(2)</w:t>
      </w:r>
      <w:r w:rsidR="00F45507">
        <w:t xml:space="preserve"> or </w:t>
      </w:r>
      <w:r w:rsidRPr="00283AFC">
        <w:t>(3)</w:t>
      </w:r>
      <w:r w:rsidR="004E3F26">
        <w:t xml:space="preserve"> </w:t>
      </w:r>
      <w:r w:rsidRPr="00283AFC">
        <w:t>involving a person failing to comply with a particular specification of the manufacturer of an electronic recording system, it is a defence for the person to prove that—</w:t>
      </w:r>
    </w:p>
    <w:p w14:paraId="49FDDB5D" w14:textId="77777777" w:rsidR="00DB6E47" w:rsidRPr="00297A38" w:rsidRDefault="00DB6E47" w:rsidP="00DB6E47">
      <w:pPr>
        <w:pStyle w:val="Apara"/>
      </w:pPr>
      <w:r w:rsidRPr="00297A38">
        <w:tab/>
        <w:t>(a)</w:t>
      </w:r>
      <w:r w:rsidRPr="00297A38">
        <w:tab/>
        <w:t>the specification was not integral to the effective operation of the electronic recording system; or</w:t>
      </w:r>
    </w:p>
    <w:p w14:paraId="2AD55AA6" w14:textId="77777777" w:rsidR="00DB6E47" w:rsidRPr="00297A38" w:rsidRDefault="00DB6E47" w:rsidP="00DB6E47">
      <w:pPr>
        <w:pStyle w:val="Apara"/>
      </w:pPr>
      <w:r w:rsidRPr="00297A38">
        <w:lastRenderedPageBreak/>
        <w:tab/>
        <w:t>(b)</w:t>
      </w:r>
      <w:r w:rsidRPr="00297A38">
        <w:tab/>
        <w:t>what was done or not done in relation to the specification was in accordance with industry practice in relation to the handling or maintenance of an electronic recording system of that type from that manufacturer.</w:t>
      </w:r>
    </w:p>
    <w:p w14:paraId="5603604E" w14:textId="77777777" w:rsidR="00DB6E47" w:rsidRPr="00A95F9A" w:rsidRDefault="00DB6E47" w:rsidP="00DB6E47">
      <w:pPr>
        <w:pStyle w:val="AH4SubDiv"/>
      </w:pPr>
      <w:bookmarkStart w:id="349" w:name="_Toc83625693"/>
      <w:r w:rsidRPr="00A95F9A">
        <w:t xml:space="preserve">Subdivision 6 </w:t>
      </w:r>
      <w:r w:rsidRPr="00A95F9A">
        <w:tab/>
        <w:t>Extended liability</w:t>
      </w:r>
      <w:bookmarkEnd w:id="349"/>
    </w:p>
    <w:p w14:paraId="5A926D8C" w14:textId="77777777" w:rsidR="00C1041B" w:rsidRPr="00C1041B" w:rsidRDefault="00C1041B" w:rsidP="00C1041B">
      <w:pPr>
        <w:pStyle w:val="AH5Sec"/>
        <w:rPr>
          <w:lang w:val="en" w:eastAsia="en-AU"/>
        </w:rPr>
      </w:pPr>
      <w:bookmarkStart w:id="350" w:name="_Toc83625694"/>
      <w:r w:rsidRPr="005E03F7">
        <w:rPr>
          <w:rStyle w:val="CharSectNo"/>
        </w:rPr>
        <w:t>315</w:t>
      </w:r>
      <w:r>
        <w:tab/>
      </w:r>
      <w:r w:rsidRPr="00C1041B">
        <w:rPr>
          <w:lang w:val="en" w:eastAsia="en-AU"/>
        </w:rPr>
        <w:t>Ensuring driver complies with Sdivs 1–4</w:t>
      </w:r>
      <w:bookmarkEnd w:id="350"/>
    </w:p>
    <w:p w14:paraId="3E816C33" w14:textId="77777777" w:rsidR="00C1041B" w:rsidRPr="00C1041B" w:rsidRDefault="00C1041B" w:rsidP="00C1041B">
      <w:pPr>
        <w:pStyle w:val="Amain"/>
        <w:rPr>
          <w:lang w:val="en" w:eastAsia="en-AU"/>
        </w:rPr>
      </w:pPr>
      <w:r>
        <w:rPr>
          <w:lang w:val="en" w:eastAsia="en-AU"/>
        </w:rPr>
        <w:tab/>
      </w:r>
      <w:r w:rsidRPr="00C1041B">
        <w:rPr>
          <w:lang w:val="en" w:eastAsia="en-AU"/>
        </w:rPr>
        <w:t>(1)</w:t>
      </w:r>
      <w:r>
        <w:rPr>
          <w:lang w:val="en" w:eastAsia="en-AU"/>
        </w:rPr>
        <w:tab/>
      </w:r>
      <w:r w:rsidRPr="00C1041B">
        <w:rPr>
          <w:lang w:val="en" w:eastAsia="en-AU"/>
        </w:rPr>
        <w:t>Each responsible party for the driver of a fatigue-regulated heavy vehicle must ensure, so far as is reasonably practicable, the driver complies with each of Subdivisions 1, 2, 3 and 4 so far as they are applicable.</w:t>
      </w:r>
    </w:p>
    <w:p w14:paraId="0620C04A" w14:textId="77777777" w:rsidR="00C1041B" w:rsidRPr="00C1041B" w:rsidRDefault="00C1041B" w:rsidP="00C1041B">
      <w:pPr>
        <w:pStyle w:val="Penalty"/>
        <w:rPr>
          <w:lang w:val="en" w:eastAsia="en-AU"/>
        </w:rPr>
      </w:pPr>
      <w:r w:rsidRPr="00C1041B">
        <w:rPr>
          <w:lang w:val="en" w:eastAsia="en-AU"/>
        </w:rPr>
        <w:t>Maximum penalty—$6000.</w:t>
      </w:r>
    </w:p>
    <w:p w14:paraId="317D8F9B" w14:textId="77777777" w:rsidR="00C1041B" w:rsidRPr="00C1041B" w:rsidRDefault="00C1041B" w:rsidP="00C1041B">
      <w:pPr>
        <w:pStyle w:val="Amain"/>
        <w:rPr>
          <w:lang w:val="en" w:eastAsia="en-AU"/>
        </w:rPr>
      </w:pPr>
      <w:r>
        <w:rPr>
          <w:lang w:val="en" w:eastAsia="en-AU"/>
        </w:rPr>
        <w:tab/>
      </w:r>
      <w:r w:rsidRPr="00C1041B">
        <w:rPr>
          <w:lang w:val="en" w:eastAsia="en-AU"/>
        </w:rPr>
        <w:t>(2)</w:t>
      </w:r>
      <w:r>
        <w:rPr>
          <w:lang w:val="en" w:eastAsia="en-AU"/>
        </w:rPr>
        <w:tab/>
      </w:r>
      <w:r w:rsidRPr="00C1041B">
        <w:rPr>
          <w:lang w:val="en" w:eastAsia="en-AU"/>
        </w:rPr>
        <w:t>In this section—</w:t>
      </w:r>
    </w:p>
    <w:p w14:paraId="38FAF40B" w14:textId="77777777" w:rsidR="00C1041B" w:rsidRPr="00C1041B" w:rsidRDefault="00C1041B" w:rsidP="00C1041B">
      <w:pPr>
        <w:pStyle w:val="aDef"/>
        <w:rPr>
          <w:lang w:val="en" w:eastAsia="en-AU"/>
        </w:rPr>
      </w:pPr>
      <w:r w:rsidRPr="00C1041B">
        <w:rPr>
          <w:b/>
          <w:bCs/>
          <w:i/>
          <w:iCs/>
          <w:lang w:val="en" w:eastAsia="en-AU"/>
        </w:rPr>
        <w:t>responsible party</w:t>
      </w:r>
      <w:r w:rsidRPr="00C1041B">
        <w:rPr>
          <w:lang w:val="en" w:eastAsia="en-AU"/>
        </w:rPr>
        <w:t>, for the driver of a fatigue-regulated heavy vehicle, means—</w:t>
      </w:r>
    </w:p>
    <w:p w14:paraId="0E710F75" w14:textId="77777777" w:rsidR="00C1041B" w:rsidRPr="00C1041B" w:rsidRDefault="004416B6" w:rsidP="004416B6">
      <w:pPr>
        <w:pStyle w:val="aDefpara"/>
        <w:rPr>
          <w:lang w:val="en" w:eastAsia="en-AU"/>
        </w:rPr>
      </w:pPr>
      <w:r>
        <w:rPr>
          <w:lang w:val="en" w:eastAsia="en-AU"/>
        </w:rPr>
        <w:tab/>
      </w:r>
      <w:r w:rsidR="00C1041B" w:rsidRPr="00C1041B">
        <w:rPr>
          <w:lang w:val="en" w:eastAsia="en-AU"/>
        </w:rPr>
        <w:t>(a)</w:t>
      </w:r>
      <w:r>
        <w:rPr>
          <w:lang w:val="en" w:eastAsia="en-AU"/>
        </w:rPr>
        <w:tab/>
      </w:r>
      <w:r w:rsidR="00C1041B" w:rsidRPr="00C1041B">
        <w:rPr>
          <w:lang w:val="en" w:eastAsia="en-AU"/>
        </w:rPr>
        <w:t>if the driver is an employed driver—an employer of the driver; or</w:t>
      </w:r>
    </w:p>
    <w:p w14:paraId="226ABD98" w14:textId="77777777" w:rsidR="00C1041B" w:rsidRPr="00C1041B" w:rsidRDefault="004416B6" w:rsidP="004416B6">
      <w:pPr>
        <w:pStyle w:val="aDefpara"/>
        <w:rPr>
          <w:lang w:val="en" w:eastAsia="en-AU"/>
        </w:rPr>
      </w:pPr>
      <w:r>
        <w:rPr>
          <w:lang w:val="en" w:eastAsia="en-AU"/>
        </w:rPr>
        <w:tab/>
      </w:r>
      <w:r w:rsidR="00C1041B" w:rsidRPr="00C1041B">
        <w:rPr>
          <w:lang w:val="en" w:eastAsia="en-AU"/>
        </w:rPr>
        <w:t>(b)</w:t>
      </w:r>
      <w:r>
        <w:rPr>
          <w:lang w:val="en" w:eastAsia="en-AU"/>
        </w:rPr>
        <w:tab/>
      </w:r>
      <w:r w:rsidR="00C1041B" w:rsidRPr="00C1041B">
        <w:rPr>
          <w:lang w:val="en" w:eastAsia="en-AU"/>
        </w:rPr>
        <w:t>if the driver is a self-employed driver—a prime contractor of the driver; or</w:t>
      </w:r>
    </w:p>
    <w:p w14:paraId="73F82BA2" w14:textId="77777777" w:rsidR="00C1041B" w:rsidRPr="00C1041B" w:rsidRDefault="004416B6" w:rsidP="004416B6">
      <w:pPr>
        <w:pStyle w:val="aDefpara"/>
        <w:rPr>
          <w:lang w:val="en" w:eastAsia="en-AU"/>
        </w:rPr>
      </w:pPr>
      <w:r>
        <w:rPr>
          <w:lang w:val="en" w:eastAsia="en-AU"/>
        </w:rPr>
        <w:tab/>
      </w:r>
      <w:r w:rsidR="00C1041B" w:rsidRPr="00C1041B">
        <w:rPr>
          <w:lang w:val="en" w:eastAsia="en-AU"/>
        </w:rPr>
        <w:t>(c)</w:t>
      </w:r>
      <w:r>
        <w:rPr>
          <w:lang w:val="en" w:eastAsia="en-AU"/>
        </w:rPr>
        <w:tab/>
      </w:r>
      <w:r w:rsidR="00C1041B" w:rsidRPr="00C1041B">
        <w:rPr>
          <w:lang w:val="en" w:eastAsia="en-AU"/>
        </w:rPr>
        <w:t>an operator of the vehicle; or</w:t>
      </w:r>
    </w:p>
    <w:p w14:paraId="12AEE7A1" w14:textId="77777777" w:rsidR="00C1041B" w:rsidRPr="00C1041B" w:rsidRDefault="004416B6" w:rsidP="004416B6">
      <w:pPr>
        <w:pStyle w:val="aDefpara"/>
        <w:rPr>
          <w:lang w:val="en" w:eastAsia="en-AU"/>
        </w:rPr>
      </w:pPr>
      <w:r>
        <w:rPr>
          <w:lang w:val="en" w:eastAsia="en-AU"/>
        </w:rPr>
        <w:tab/>
      </w:r>
      <w:r w:rsidR="00C1041B" w:rsidRPr="00C1041B">
        <w:rPr>
          <w:lang w:val="en" w:eastAsia="en-AU"/>
        </w:rPr>
        <w:t>(d)</w:t>
      </w:r>
      <w:r>
        <w:rPr>
          <w:lang w:val="en" w:eastAsia="en-AU"/>
        </w:rPr>
        <w:tab/>
      </w:r>
      <w:r w:rsidR="00C1041B" w:rsidRPr="00C1041B">
        <w:rPr>
          <w:lang w:val="en" w:eastAsia="en-AU"/>
        </w:rPr>
        <w:t>a scheduler for the vehicle.</w:t>
      </w:r>
    </w:p>
    <w:p w14:paraId="5AF8D60A" w14:textId="77777777" w:rsidR="00DB6E47" w:rsidRPr="005E03F7" w:rsidRDefault="00DB6E47" w:rsidP="00DB6E47">
      <w:pPr>
        <w:pStyle w:val="AH3Div"/>
      </w:pPr>
      <w:bookmarkStart w:id="351" w:name="_Toc83625695"/>
      <w:r w:rsidRPr="005E03F7">
        <w:rPr>
          <w:rStyle w:val="CharDivNo"/>
        </w:rPr>
        <w:lastRenderedPageBreak/>
        <w:t xml:space="preserve">Division 3 </w:t>
      </w:r>
      <w:r w:rsidRPr="00A95F9A">
        <w:rPr>
          <w:rFonts w:ascii="Helvetica" w:hAnsi="Helvetica" w:cs="Helvetica"/>
          <w:iCs/>
          <w:szCs w:val="28"/>
        </w:rPr>
        <w:tab/>
      </w:r>
      <w:r w:rsidRPr="005E03F7">
        <w:rPr>
          <w:rStyle w:val="CharDivText"/>
          <w:rFonts w:ascii="Helvetica" w:hAnsi="Helvetica" w:cs="Helvetica"/>
          <w:iCs/>
          <w:szCs w:val="28"/>
        </w:rPr>
        <w:t>Records relating to drivers</w:t>
      </w:r>
      <w:bookmarkEnd w:id="351"/>
    </w:p>
    <w:p w14:paraId="17383393" w14:textId="77777777" w:rsidR="00DB6E47" w:rsidRPr="00A95F9A" w:rsidRDefault="00DB6E47" w:rsidP="00DB6E47">
      <w:pPr>
        <w:pStyle w:val="AH4SubDiv"/>
      </w:pPr>
      <w:bookmarkStart w:id="352" w:name="_Toc83625696"/>
      <w:r w:rsidRPr="00A95F9A">
        <w:t xml:space="preserve">Subdivision 1 </w:t>
      </w:r>
      <w:r w:rsidRPr="00A95F9A">
        <w:tab/>
        <w:t>Preliminary</w:t>
      </w:r>
      <w:bookmarkEnd w:id="352"/>
    </w:p>
    <w:p w14:paraId="621F3E21" w14:textId="77777777" w:rsidR="00DB6E47" w:rsidRPr="007E1F9A" w:rsidRDefault="00DB6E47" w:rsidP="00DB6E47">
      <w:pPr>
        <w:pStyle w:val="AH5Sec"/>
      </w:pPr>
      <w:bookmarkStart w:id="353" w:name="_Toc83625697"/>
      <w:r w:rsidRPr="005E03F7">
        <w:rPr>
          <w:rStyle w:val="CharSectNo"/>
        </w:rPr>
        <w:t>316</w:t>
      </w:r>
      <w:r w:rsidRPr="007E1F9A">
        <w:tab/>
        <w:t>Application of Div 3</w:t>
      </w:r>
      <w:bookmarkEnd w:id="353"/>
    </w:p>
    <w:p w14:paraId="639F6CE0" w14:textId="77777777" w:rsidR="00DB6E47" w:rsidRPr="00283AFC" w:rsidRDefault="00DB6E47" w:rsidP="00A77F94">
      <w:pPr>
        <w:pStyle w:val="Amainreturn"/>
        <w:keepNext/>
      </w:pPr>
      <w:r w:rsidRPr="00283AFC">
        <w:t>This Division—</w:t>
      </w:r>
    </w:p>
    <w:p w14:paraId="7620B4FF" w14:textId="77777777" w:rsidR="00DB6E47" w:rsidRPr="00297A38" w:rsidRDefault="00DB6E47" w:rsidP="00DB6E47">
      <w:pPr>
        <w:pStyle w:val="Apara"/>
      </w:pPr>
      <w:r w:rsidRPr="00297A38">
        <w:tab/>
        <w:t>(a)</w:t>
      </w:r>
      <w:r w:rsidRPr="00297A38">
        <w:tab/>
        <w:t>applies in relation to each record keeper for the driver of a fatigue-regulated heavy vehicle; and</w:t>
      </w:r>
    </w:p>
    <w:p w14:paraId="5FCCA2DB" w14:textId="77777777" w:rsidR="00DB6E47" w:rsidRPr="00297A38" w:rsidRDefault="00DB6E47" w:rsidP="00DB6E47">
      <w:pPr>
        <w:pStyle w:val="Apara"/>
      </w:pPr>
      <w:r w:rsidRPr="00297A38">
        <w:tab/>
        <w:t>(b)</w:t>
      </w:r>
      <w:r w:rsidRPr="00297A38">
        <w:tab/>
        <w:t>if there is more than 1 record keeper for the driver of a fatigue-regulated heavy vehicle—applies only to the extent the driver is carrying out work in relation to which the record keeper is a record keeper for the driver.</w:t>
      </w:r>
    </w:p>
    <w:p w14:paraId="48908E17" w14:textId="77777777" w:rsidR="00DB6E47" w:rsidRPr="00C96203" w:rsidRDefault="00DB6E47" w:rsidP="00DB6E47">
      <w:pPr>
        <w:pStyle w:val="aExamHdgss"/>
      </w:pPr>
      <w:r w:rsidRPr="00C96203">
        <w:rPr>
          <w:rFonts w:cs="Times"/>
          <w:bCs/>
          <w:iCs/>
        </w:rPr>
        <w:t>Example for the purposes of paragraph (b)—</w:t>
      </w:r>
    </w:p>
    <w:p w14:paraId="6CA7DCB9" w14:textId="77777777" w:rsidR="00DB6E47" w:rsidRPr="00C96203" w:rsidRDefault="00DB6E47" w:rsidP="00DB6E47">
      <w:pPr>
        <w:pStyle w:val="aExamss"/>
      </w:pPr>
      <w:r w:rsidRPr="00C96203">
        <w:t>The driver of a fatigue-regulated heavy vehicle is an employed driver employed by employer A and employer B, each of whom is a record keeper of the driver. A’s obligations to record information under this Division apply only to the extent the information is about the work the driver carries out for A.</w:t>
      </w:r>
    </w:p>
    <w:p w14:paraId="7ECB9346" w14:textId="77777777" w:rsidR="00DB6E47" w:rsidRPr="00C96203" w:rsidRDefault="00DB6E47" w:rsidP="00DB6E47">
      <w:pPr>
        <w:pStyle w:val="aExamss"/>
      </w:pPr>
      <w:r w:rsidRPr="00C96203">
        <w:t>For example, under section 319, A need only record the registration numbers of the fatigue-regulated heavy vehicles the driver drives for carrying out work for A and the work times and rest times of the driver while carrying out that work. A does not need to record the registration numbers for the fatigue-regulated heavy vehicles the driver drives for carrying out work for B or the work times and rest times of the driver while carrying out that work.</w:t>
      </w:r>
    </w:p>
    <w:p w14:paraId="62DDDE30" w14:textId="77777777" w:rsidR="00DB6E47" w:rsidRPr="007E1F9A" w:rsidRDefault="00DB6E47" w:rsidP="00DB6E47">
      <w:pPr>
        <w:pStyle w:val="AH5Sec"/>
      </w:pPr>
      <w:bookmarkStart w:id="354" w:name="_Toc83625698"/>
      <w:r w:rsidRPr="005E03F7">
        <w:rPr>
          <w:rStyle w:val="CharSectNo"/>
        </w:rPr>
        <w:t>317</w:t>
      </w:r>
      <w:r w:rsidRPr="007E1F9A">
        <w:tab/>
        <w:t>Who is a driver’s record keeper</w:t>
      </w:r>
      <w:bookmarkEnd w:id="354"/>
    </w:p>
    <w:p w14:paraId="74A1B7B8" w14:textId="77777777" w:rsidR="00DB6E47" w:rsidRPr="00283AFC" w:rsidRDefault="00DB6E47" w:rsidP="00DB6E47">
      <w:pPr>
        <w:pStyle w:val="Amainreturn"/>
      </w:pPr>
      <w:r w:rsidRPr="00283AFC">
        <w:t>The following person is the record keeper for the driver of a fatigue-regulated heavy vehicle—</w:t>
      </w:r>
    </w:p>
    <w:p w14:paraId="7B11F757" w14:textId="77777777" w:rsidR="00DB6E47" w:rsidRPr="00297A38" w:rsidRDefault="00DB6E47" w:rsidP="00DB6E47">
      <w:pPr>
        <w:pStyle w:val="Apara"/>
      </w:pPr>
      <w:r w:rsidRPr="00297A38">
        <w:tab/>
        <w:t>(a)</w:t>
      </w:r>
      <w:r w:rsidRPr="00297A38">
        <w:tab/>
        <w:t>if the driver is operating under a BFM accreditation or AFM accreditation of an operator of the vehicle or a work and rest hours exemption (permit) granted in combination with an operator’s BFM accreditation or AFM accreditation—the operator;</w:t>
      </w:r>
    </w:p>
    <w:p w14:paraId="7B4ABB37" w14:textId="77777777" w:rsidR="00DB6E47" w:rsidRPr="00297A38" w:rsidRDefault="00DB6E47" w:rsidP="003F5A90">
      <w:pPr>
        <w:pStyle w:val="Apara"/>
        <w:keepNext/>
      </w:pPr>
      <w:r w:rsidRPr="00297A38">
        <w:lastRenderedPageBreak/>
        <w:tab/>
        <w:t>(b)</w:t>
      </w:r>
      <w:r w:rsidRPr="00297A38">
        <w:tab/>
        <w:t>otherwise—</w:t>
      </w:r>
    </w:p>
    <w:p w14:paraId="7CFD1B7F" w14:textId="77777777" w:rsidR="00DB6E47" w:rsidRPr="00516F02" w:rsidRDefault="00DB6E47" w:rsidP="00DB6E47">
      <w:pPr>
        <w:pStyle w:val="Asubpara"/>
      </w:pPr>
      <w:r w:rsidRPr="00516F02">
        <w:tab/>
        <w:t>(i)</w:t>
      </w:r>
      <w:r w:rsidRPr="00516F02">
        <w:tab/>
        <w:t>for an employed driver of a fatigue-regulated heavy vehicle—the driver’s employer; or</w:t>
      </w:r>
    </w:p>
    <w:p w14:paraId="1514D458" w14:textId="77777777" w:rsidR="00DB6E47" w:rsidRPr="00516F02" w:rsidRDefault="00DB6E47" w:rsidP="00DB6E47">
      <w:pPr>
        <w:pStyle w:val="Asubpara"/>
      </w:pPr>
      <w:r w:rsidRPr="00516F02">
        <w:tab/>
        <w:t>(ii)</w:t>
      </w:r>
      <w:r w:rsidRPr="00516F02">
        <w:tab/>
        <w:t>for a self-employed driver of a fatigue-regulated heavy vehicle—the driver.</w:t>
      </w:r>
    </w:p>
    <w:p w14:paraId="5B22FB86" w14:textId="77777777" w:rsidR="00DB6E47" w:rsidRPr="00A95F9A" w:rsidRDefault="00DB6E47" w:rsidP="00DB6E47">
      <w:pPr>
        <w:pStyle w:val="AH4SubDiv"/>
      </w:pPr>
      <w:bookmarkStart w:id="355" w:name="_Toc83625699"/>
      <w:r w:rsidRPr="00A95F9A">
        <w:t xml:space="preserve">Subdivision 2 </w:t>
      </w:r>
      <w:r w:rsidRPr="00A95F9A">
        <w:tab/>
        <w:t>Record keeping obligations relating to drivers undertaking 100km work under standard hours</w:t>
      </w:r>
      <w:bookmarkEnd w:id="355"/>
    </w:p>
    <w:p w14:paraId="68182F6D" w14:textId="77777777" w:rsidR="00DB6E47" w:rsidRPr="007E1F9A" w:rsidRDefault="00DB6E47" w:rsidP="00DB6E47">
      <w:pPr>
        <w:pStyle w:val="AH5Sec"/>
      </w:pPr>
      <w:bookmarkStart w:id="356" w:name="_Toc83625700"/>
      <w:r w:rsidRPr="005E03F7">
        <w:rPr>
          <w:rStyle w:val="CharSectNo"/>
        </w:rPr>
        <w:t>318</w:t>
      </w:r>
      <w:r w:rsidRPr="007E1F9A">
        <w:tab/>
        <w:t>Application of Sdiv 2</w:t>
      </w:r>
      <w:bookmarkEnd w:id="356"/>
    </w:p>
    <w:p w14:paraId="02E04A15" w14:textId="77777777" w:rsidR="00DB6E47" w:rsidRPr="00283AFC" w:rsidRDefault="00DB6E47" w:rsidP="00DB6E47">
      <w:pPr>
        <w:pStyle w:val="Amainreturn"/>
      </w:pPr>
      <w:r w:rsidRPr="00283AFC">
        <w:t>This Subdivision applies in relation to the driver of a fatigue-regulated heavy vehicle who is undertaking only 100km work under standard hours.</w:t>
      </w:r>
    </w:p>
    <w:p w14:paraId="7186C72A" w14:textId="77777777" w:rsidR="00DB6E47" w:rsidRPr="007E1F9A" w:rsidRDefault="00DB6E47" w:rsidP="00DB6E47">
      <w:pPr>
        <w:pStyle w:val="AH5Sec"/>
      </w:pPr>
      <w:bookmarkStart w:id="357" w:name="_Toc83625701"/>
      <w:r w:rsidRPr="005E03F7">
        <w:rPr>
          <w:rStyle w:val="CharSectNo"/>
        </w:rPr>
        <w:t>319</w:t>
      </w:r>
      <w:r w:rsidRPr="007E1F9A">
        <w:tab/>
        <w:t>Records record keeper must have</w:t>
      </w:r>
      <w:bookmarkEnd w:id="357"/>
    </w:p>
    <w:p w14:paraId="5A9397A9" w14:textId="77777777" w:rsidR="00DB6E47" w:rsidRPr="00283AFC" w:rsidRDefault="00DB6E47" w:rsidP="00DB6E47">
      <w:pPr>
        <w:pStyle w:val="Amain"/>
      </w:pPr>
      <w:r w:rsidRPr="00283AFC">
        <w:tab/>
        <w:t>(1)</w:t>
      </w:r>
      <w:r w:rsidRPr="00283AFC">
        <w:tab/>
        <w:t>The driver’s record keeper must</w:t>
      </w:r>
      <w:r w:rsidR="00C20E98" w:rsidRPr="003323FC">
        <w:t>, unless the record keeper has a reasonable excuse</w:t>
      </w:r>
      <w:r w:rsidRPr="00283AFC">
        <w:t>—</w:t>
      </w:r>
    </w:p>
    <w:p w14:paraId="6B2E1378" w14:textId="77777777" w:rsidR="00DB6E47" w:rsidRPr="00297A38" w:rsidRDefault="00DB6E47" w:rsidP="00DB6E47">
      <w:pPr>
        <w:pStyle w:val="Apara"/>
      </w:pPr>
      <w:r w:rsidRPr="00297A38">
        <w:tab/>
        <w:t>(a)</w:t>
      </w:r>
      <w:r w:rsidRPr="00297A38">
        <w:tab/>
        <w:t>record the following information within the prescribed period—</w:t>
      </w:r>
    </w:p>
    <w:p w14:paraId="61ADE411" w14:textId="77777777" w:rsidR="00DB6E47" w:rsidRPr="00516F02" w:rsidRDefault="00DB6E47" w:rsidP="00DB6E47">
      <w:pPr>
        <w:pStyle w:val="Asubpara"/>
      </w:pPr>
      <w:r w:rsidRPr="00516F02">
        <w:tab/>
        <w:t>(i)</w:t>
      </w:r>
      <w:r w:rsidRPr="00516F02">
        <w:tab/>
        <w:t>the driver’s name and contact details;</w:t>
      </w:r>
    </w:p>
    <w:p w14:paraId="67135B95" w14:textId="77777777" w:rsidR="00DB6E47" w:rsidRPr="00516F02" w:rsidRDefault="00DB6E47" w:rsidP="00DB6E47">
      <w:pPr>
        <w:pStyle w:val="Asubpara"/>
      </w:pPr>
      <w:r w:rsidRPr="00516F02">
        <w:tab/>
        <w:t>(ii)</w:t>
      </w:r>
      <w:r w:rsidRPr="00516F02">
        <w:tab/>
        <w:t>the driver’s current driver licence number and the jurisdiction in which the licence was issued;</w:t>
      </w:r>
    </w:p>
    <w:p w14:paraId="6CAD432F" w14:textId="77777777" w:rsidR="00DB6E47" w:rsidRPr="00516F02" w:rsidRDefault="00DB6E47" w:rsidP="00DB6E47">
      <w:pPr>
        <w:pStyle w:val="Asubpara"/>
      </w:pPr>
      <w:r w:rsidRPr="00516F02">
        <w:tab/>
        <w:t>(iii)</w:t>
      </w:r>
      <w:r w:rsidRPr="00516F02">
        <w:tab/>
        <w:t>the dates on which the driver drives a fatigue-regulated heavy vehicle on a road;</w:t>
      </w:r>
    </w:p>
    <w:p w14:paraId="4DF75D08" w14:textId="77777777" w:rsidR="00DB6E47" w:rsidRPr="00516F02" w:rsidRDefault="00DB6E47" w:rsidP="00DB6E47">
      <w:pPr>
        <w:pStyle w:val="Asubpara"/>
      </w:pPr>
      <w:r w:rsidRPr="00516F02">
        <w:tab/>
        <w:t>(iv)</w:t>
      </w:r>
      <w:r w:rsidRPr="00516F02">
        <w:tab/>
        <w:t>the registration number for each fatigue-regulated heavy vehicle the driver drives, being—</w:t>
      </w:r>
    </w:p>
    <w:p w14:paraId="25B8D898" w14:textId="77777777" w:rsidR="00DB6E47" w:rsidRPr="00F45507" w:rsidRDefault="00B85801" w:rsidP="00B85801">
      <w:pPr>
        <w:pStyle w:val="Asubsubpara"/>
      </w:pPr>
      <w:r>
        <w:rPr>
          <w:rFonts w:cs="Times"/>
          <w:bCs/>
          <w:iCs/>
        </w:rPr>
        <w:tab/>
      </w:r>
      <w:r w:rsidR="00DB6E47" w:rsidRPr="00F04D8E">
        <w:rPr>
          <w:rFonts w:cs="Times"/>
          <w:bCs/>
          <w:iCs/>
        </w:rPr>
        <w:t>(</w:t>
      </w:r>
      <w:r>
        <w:rPr>
          <w:rFonts w:cs="Times"/>
          <w:bCs/>
          <w:iCs/>
        </w:rPr>
        <w:t>A</w:t>
      </w:r>
      <w:r w:rsidR="00DB6E47" w:rsidRPr="00F04D8E">
        <w:rPr>
          <w:rFonts w:cs="Times"/>
          <w:bCs/>
          <w:iCs/>
        </w:rPr>
        <w:t>)</w:t>
      </w:r>
      <w:r w:rsidR="00DB6E47" w:rsidRPr="00FF4454">
        <w:rPr>
          <w:rStyle w:val="charBoldItals"/>
        </w:rPr>
        <w:tab/>
      </w:r>
      <w:r w:rsidR="00DB6E47" w:rsidRPr="00F45507">
        <w:t>in the case of a vehicle that is not in a combination—that vehicle; or</w:t>
      </w:r>
    </w:p>
    <w:p w14:paraId="3F5A0D25" w14:textId="77777777" w:rsidR="00DB6E47" w:rsidRPr="00F45507" w:rsidRDefault="00B85801" w:rsidP="00B85801">
      <w:pPr>
        <w:pStyle w:val="Asubsubpara"/>
      </w:pPr>
      <w:r>
        <w:tab/>
      </w:r>
      <w:r w:rsidR="00DB6E47" w:rsidRPr="00F45507">
        <w:t>(</w:t>
      </w:r>
      <w:r>
        <w:t>B</w:t>
      </w:r>
      <w:r w:rsidR="00DB6E47" w:rsidRPr="00F45507">
        <w:t>)</w:t>
      </w:r>
      <w:r w:rsidR="00DB6E47" w:rsidRPr="00F45507">
        <w:tab/>
        <w:t>in the case of a vehicle that is in a combination—the towing vehicle in the combination;</w:t>
      </w:r>
    </w:p>
    <w:p w14:paraId="7CB71AAE" w14:textId="77777777" w:rsidR="00DB6E47" w:rsidRPr="00516F02" w:rsidRDefault="00DB6E47" w:rsidP="00DB6E47">
      <w:pPr>
        <w:pStyle w:val="Asubpara"/>
      </w:pPr>
      <w:r w:rsidRPr="00516F02">
        <w:lastRenderedPageBreak/>
        <w:tab/>
        <w:t>(v)</w:t>
      </w:r>
      <w:r w:rsidRPr="00516F02">
        <w:tab/>
        <w:t>the total of the driver’s work times and rest times on each day on which the driver drives a fatigue-regulated heavy vehicle;</w:t>
      </w:r>
    </w:p>
    <w:p w14:paraId="1787880A" w14:textId="77777777" w:rsidR="00DB6E47" w:rsidRPr="00516F02" w:rsidRDefault="00DB6E47" w:rsidP="00DB6E47">
      <w:pPr>
        <w:pStyle w:val="Asubpara"/>
      </w:pPr>
      <w:r w:rsidRPr="00516F02">
        <w:tab/>
        <w:t>(vi)</w:t>
      </w:r>
      <w:r w:rsidRPr="00516F02">
        <w:tab/>
        <w:t>the total of the driver’s work times and rest times for each week during which the driver drives a fatigue-regulated heavy vehicle;</w:t>
      </w:r>
    </w:p>
    <w:p w14:paraId="457AA0CE" w14:textId="77777777" w:rsidR="00DB6E47" w:rsidRPr="00516F02" w:rsidRDefault="00DB6E47" w:rsidP="00DB6E47">
      <w:pPr>
        <w:pStyle w:val="Asubpara"/>
      </w:pPr>
      <w:r w:rsidRPr="00516F02">
        <w:tab/>
        <w:t>(vii)</w:t>
      </w:r>
      <w:r w:rsidRPr="00516F02">
        <w:tab/>
        <w:t xml:space="preserve">the driver’s rosters and trip schedules, including details of driver changeovers; </w:t>
      </w:r>
    </w:p>
    <w:p w14:paraId="0C77C905" w14:textId="77777777" w:rsidR="003F6F5A" w:rsidRPr="003F6F5A" w:rsidRDefault="003F6F5A" w:rsidP="003F6F5A">
      <w:pPr>
        <w:pStyle w:val="Asubpara"/>
        <w:rPr>
          <w:lang w:val="en" w:eastAsia="en-AU"/>
        </w:rPr>
      </w:pPr>
      <w:r>
        <w:rPr>
          <w:lang w:val="en" w:eastAsia="en-AU"/>
        </w:rPr>
        <w:tab/>
      </w:r>
      <w:r w:rsidRPr="003F6F5A">
        <w:rPr>
          <w:lang w:val="en" w:eastAsia="en-AU"/>
        </w:rPr>
        <w:t>(viii)</w:t>
      </w:r>
      <w:r>
        <w:rPr>
          <w:lang w:val="en" w:eastAsia="en-AU"/>
        </w:rPr>
        <w:tab/>
      </w:r>
      <w:r w:rsidRPr="003F6F5A">
        <w:rPr>
          <w:lang w:val="en" w:eastAsia="en-AU"/>
        </w:rPr>
        <w:t>the location of the driver’s base;</w:t>
      </w:r>
    </w:p>
    <w:p w14:paraId="6A67718C" w14:textId="77777777" w:rsidR="003F6F5A" w:rsidRPr="003F6F5A" w:rsidRDefault="003F6F5A" w:rsidP="003F6F5A">
      <w:pPr>
        <w:pStyle w:val="Asubpara"/>
        <w:rPr>
          <w:lang w:val="en" w:eastAsia="en-AU"/>
        </w:rPr>
      </w:pPr>
      <w:r>
        <w:rPr>
          <w:lang w:val="en" w:eastAsia="en-AU"/>
        </w:rPr>
        <w:tab/>
      </w:r>
      <w:r w:rsidRPr="003F6F5A">
        <w:rPr>
          <w:lang w:val="en" w:eastAsia="en-AU"/>
        </w:rPr>
        <w:t>(ix)</w:t>
      </w:r>
      <w:r>
        <w:rPr>
          <w:lang w:val="en" w:eastAsia="en-AU"/>
        </w:rPr>
        <w:tab/>
      </w:r>
      <w:r w:rsidRPr="003F6F5A">
        <w:rPr>
          <w:lang w:val="en" w:eastAsia="en-AU"/>
        </w:rPr>
        <w:t>if the location of the driver’s base changes—the date on which the location changes; and</w:t>
      </w:r>
    </w:p>
    <w:p w14:paraId="1D7BF28F" w14:textId="77777777" w:rsidR="00DB6E47" w:rsidRPr="00297A38" w:rsidRDefault="00DB6E47" w:rsidP="00DB6E47">
      <w:pPr>
        <w:pStyle w:val="Apara"/>
      </w:pPr>
      <w:r w:rsidRPr="00297A38">
        <w:tab/>
        <w:t>(b)</w:t>
      </w:r>
      <w:r w:rsidRPr="00297A38">
        <w:tab/>
        <w:t>keep a copy of payment records relating to the driver, including time sheet records if the driver is paid according to time at work.</w:t>
      </w:r>
    </w:p>
    <w:p w14:paraId="3715249A" w14:textId="77777777" w:rsidR="00DB6E47" w:rsidRPr="006C3305" w:rsidRDefault="00DB6E47" w:rsidP="00DB6E47">
      <w:pPr>
        <w:pStyle w:val="Penalty"/>
      </w:pPr>
      <w:r w:rsidRPr="006C3305">
        <w:t>Maximum penalty—$6000.</w:t>
      </w:r>
    </w:p>
    <w:p w14:paraId="4129FAD1" w14:textId="77777777" w:rsidR="00A07501" w:rsidRPr="00A07501" w:rsidRDefault="00A07501" w:rsidP="00DB6E47">
      <w:pPr>
        <w:pStyle w:val="Amain"/>
      </w:pPr>
      <w:r w:rsidRPr="00A07501">
        <w:tab/>
        <w:t>(2)</w:t>
      </w:r>
      <w:r w:rsidRPr="00A07501">
        <w:tab/>
        <w:t>A requirement imposed on a record keeper by subsection (1)(a)(ii) to (vi) is taken to be satisfied if an electronic work diary used by the driver, the information in which is maintained by the record keeper, includes the information mentioned in the provisions.</w:t>
      </w:r>
    </w:p>
    <w:p w14:paraId="0287F9B9" w14:textId="77777777" w:rsidR="00DB6E47" w:rsidRPr="00283AFC" w:rsidRDefault="00A07501" w:rsidP="00DB6E47">
      <w:pPr>
        <w:pStyle w:val="Amain"/>
      </w:pPr>
      <w:r>
        <w:tab/>
        <w:t>(3</w:t>
      </w:r>
      <w:r w:rsidR="00DB6E47" w:rsidRPr="00283AFC">
        <w:t>)</w:t>
      </w:r>
      <w:r w:rsidR="00DB6E47" w:rsidRPr="00283AFC">
        <w:tab/>
        <w:t>If the record keeper has engaged another person under a contract for ser</w:t>
      </w:r>
      <w:r w:rsidR="00B85801">
        <w:t xml:space="preserve">vices to comply with subsection </w:t>
      </w:r>
      <w:r w:rsidR="00DB6E47" w:rsidRPr="00283AFC">
        <w:t>(1)</w:t>
      </w:r>
      <w:r w:rsidR="004E3F26">
        <w:t xml:space="preserve"> </w:t>
      </w:r>
      <w:r w:rsidR="00DB6E47" w:rsidRPr="00283AFC">
        <w:t>for the record keeper—</w:t>
      </w:r>
    </w:p>
    <w:p w14:paraId="3583E0DC" w14:textId="77777777" w:rsidR="00DB6E47" w:rsidRPr="00297A38" w:rsidRDefault="00DB6E47" w:rsidP="00DB6E47">
      <w:pPr>
        <w:pStyle w:val="Apara"/>
      </w:pPr>
      <w:r w:rsidRPr="00297A38">
        <w:tab/>
        <w:t>(a)</w:t>
      </w:r>
      <w:r w:rsidRPr="00297A38">
        <w:tab/>
        <w:t>the record keeper remains liable for an offence against subsection (1); and</w:t>
      </w:r>
    </w:p>
    <w:p w14:paraId="1F5629AC" w14:textId="77777777" w:rsidR="00DB6E47" w:rsidRPr="00297A38" w:rsidRDefault="00DB6E47" w:rsidP="00DB6E47">
      <w:pPr>
        <w:pStyle w:val="Apara"/>
      </w:pPr>
      <w:r w:rsidRPr="00297A38">
        <w:tab/>
        <w:t>(b)</w:t>
      </w:r>
      <w:r w:rsidRPr="00297A38">
        <w:tab/>
        <w:t>the other person is also liable for an offence against subse</w:t>
      </w:r>
      <w:r w:rsidR="00B85801">
        <w:t>ction</w:t>
      </w:r>
      <w:r w:rsidR="00910F1A">
        <w:t> </w:t>
      </w:r>
      <w:r w:rsidRPr="00297A38">
        <w:t>(1)</w:t>
      </w:r>
      <w:r w:rsidR="00B85801">
        <w:t xml:space="preserve"> </w:t>
      </w:r>
      <w:r w:rsidRPr="00297A38">
        <w:t>as if the other person were the record keeper mentioned in the subsection.</w:t>
      </w:r>
    </w:p>
    <w:p w14:paraId="47897C7B" w14:textId="77777777" w:rsidR="00DB6E47" w:rsidRPr="00283AFC" w:rsidRDefault="00A07501" w:rsidP="005568E2">
      <w:pPr>
        <w:pStyle w:val="Amain"/>
        <w:keepNext/>
      </w:pPr>
      <w:r>
        <w:lastRenderedPageBreak/>
        <w:tab/>
        <w:t>(6</w:t>
      </w:r>
      <w:r w:rsidR="00DB6E47" w:rsidRPr="00283AFC">
        <w:t>)</w:t>
      </w:r>
      <w:r w:rsidR="00DB6E47" w:rsidRPr="00283AFC">
        <w:tab/>
        <w:t>In this section—</w:t>
      </w:r>
    </w:p>
    <w:p w14:paraId="00796217" w14:textId="77777777" w:rsidR="00DB6E47" w:rsidRPr="00041046" w:rsidRDefault="00DB6E47" w:rsidP="00A77F94">
      <w:pPr>
        <w:pStyle w:val="aDef"/>
        <w:keepNext/>
        <w:rPr>
          <w:bCs/>
        </w:rPr>
      </w:pPr>
      <w:r w:rsidRPr="00041046">
        <w:rPr>
          <w:rStyle w:val="charBoldItals"/>
        </w:rPr>
        <w:t>prescribed period</w:t>
      </w:r>
      <w:r w:rsidRPr="00041046">
        <w:t xml:space="preserve">, for recording information mentioned in </w:t>
      </w:r>
      <w:r w:rsidR="00EB41BE">
        <w:t>subsection </w:t>
      </w:r>
      <w:r w:rsidRPr="00041046">
        <w:t>(1)</w:t>
      </w:r>
      <w:r w:rsidR="004E3F26">
        <w:t xml:space="preserve"> </w:t>
      </w:r>
      <w:r w:rsidRPr="00041046">
        <w:t>relating to the driver of a fatigue-regulated heavy vehicle, means—</w:t>
      </w:r>
    </w:p>
    <w:p w14:paraId="4BB4B2F1" w14:textId="77777777" w:rsidR="00DB6E47" w:rsidRPr="00B85801" w:rsidRDefault="00DB6E47" w:rsidP="00DB6E47">
      <w:pPr>
        <w:pStyle w:val="aDefpara"/>
      </w:pPr>
      <w:r w:rsidRPr="00FF4454">
        <w:tab/>
      </w:r>
      <w:r w:rsidRPr="00F04D8E">
        <w:rPr>
          <w:rFonts w:cs="Times"/>
          <w:bCs/>
          <w:iCs/>
        </w:rPr>
        <w:t>(a)</w:t>
      </w:r>
      <w:r w:rsidRPr="00B85801">
        <w:tab/>
        <w:t>if the driver’s record keeper is the driver—within 24 hours after the driver stops working on a day for which the information is relevant; or</w:t>
      </w:r>
    </w:p>
    <w:p w14:paraId="6E41B64B" w14:textId="77777777" w:rsidR="00DB6E47" w:rsidRPr="00B85801" w:rsidRDefault="00DB6E47" w:rsidP="00DB6E47">
      <w:pPr>
        <w:pStyle w:val="aDefpara"/>
      </w:pPr>
      <w:r w:rsidRPr="00B85801">
        <w:tab/>
        <w:t>(b)</w:t>
      </w:r>
      <w:r w:rsidRPr="00B85801">
        <w:tab/>
        <w:t>if the driver’s record keeper is a person other than the driver—as soon as possible after the person receives the information.</w:t>
      </w:r>
    </w:p>
    <w:p w14:paraId="69FB5261" w14:textId="77777777" w:rsidR="00E15AA6" w:rsidRPr="00E15AA6" w:rsidRDefault="00E15AA6" w:rsidP="00E15AA6">
      <w:pPr>
        <w:pStyle w:val="AH5Sec"/>
        <w:rPr>
          <w:lang w:val="en" w:eastAsia="en-AU"/>
        </w:rPr>
      </w:pPr>
      <w:bookmarkStart w:id="358" w:name="_Toc83625702"/>
      <w:r w:rsidRPr="005E03F7">
        <w:rPr>
          <w:rStyle w:val="CharSectNo"/>
        </w:rPr>
        <w:t>319A</w:t>
      </w:r>
      <w:r>
        <w:rPr>
          <w:lang w:val="en" w:eastAsia="en-AU"/>
        </w:rPr>
        <w:tab/>
      </w:r>
      <w:r w:rsidRPr="00E15AA6">
        <w:rPr>
          <w:lang w:val="en" w:eastAsia="en-AU"/>
        </w:rPr>
        <w:t>General requirements about driver recording and giving information to record keeper</w:t>
      </w:r>
      <w:bookmarkEnd w:id="358"/>
    </w:p>
    <w:p w14:paraId="69944C3F" w14:textId="77777777" w:rsidR="00E15AA6" w:rsidRPr="00E15AA6" w:rsidRDefault="00E15AA6" w:rsidP="00E15AA6">
      <w:pPr>
        <w:pStyle w:val="Amain"/>
        <w:rPr>
          <w:lang w:val="en" w:eastAsia="en-AU"/>
        </w:rPr>
      </w:pPr>
      <w:r>
        <w:rPr>
          <w:lang w:val="en" w:eastAsia="en-AU"/>
        </w:rPr>
        <w:tab/>
      </w:r>
      <w:r w:rsidRPr="00E15AA6">
        <w:rPr>
          <w:lang w:val="en" w:eastAsia="en-AU"/>
        </w:rPr>
        <w:t>(1)</w:t>
      </w:r>
      <w:r>
        <w:rPr>
          <w:lang w:val="en" w:eastAsia="en-AU"/>
        </w:rPr>
        <w:tab/>
      </w:r>
      <w:r w:rsidRPr="00E15AA6">
        <w:rPr>
          <w:lang w:val="en" w:eastAsia="en-AU"/>
        </w:rPr>
        <w:t>This section applies if the driver’s record keeper on a relevant day is a person other than the driver.</w:t>
      </w:r>
    </w:p>
    <w:p w14:paraId="793DF422" w14:textId="77777777" w:rsidR="00E15AA6" w:rsidRPr="00E15AA6" w:rsidRDefault="00E15AA6" w:rsidP="00E15AA6">
      <w:pPr>
        <w:pStyle w:val="Amain"/>
        <w:rPr>
          <w:lang w:val="en" w:eastAsia="en-AU"/>
        </w:rPr>
      </w:pPr>
      <w:r>
        <w:rPr>
          <w:lang w:val="en" w:eastAsia="en-AU"/>
        </w:rPr>
        <w:tab/>
      </w:r>
      <w:r w:rsidRPr="00E15AA6">
        <w:rPr>
          <w:lang w:val="en" w:eastAsia="en-AU"/>
        </w:rPr>
        <w:t>(2)</w:t>
      </w:r>
      <w:r>
        <w:rPr>
          <w:lang w:val="en" w:eastAsia="en-AU"/>
        </w:rPr>
        <w:tab/>
      </w:r>
      <w:r w:rsidRPr="00E15AA6">
        <w:rPr>
          <w:lang w:val="en" w:eastAsia="en-AU"/>
        </w:rPr>
        <w:t>The driver must, unless the driver has a reasonable excuse—</w:t>
      </w:r>
    </w:p>
    <w:p w14:paraId="58CBC817" w14:textId="77777777" w:rsidR="00E15AA6" w:rsidRPr="00E15AA6" w:rsidRDefault="00E15AA6" w:rsidP="00E15AA6">
      <w:pPr>
        <w:pStyle w:val="Apara"/>
        <w:rPr>
          <w:lang w:val="en" w:eastAsia="en-AU"/>
        </w:rPr>
      </w:pPr>
      <w:r>
        <w:rPr>
          <w:lang w:val="en" w:eastAsia="en-AU"/>
        </w:rPr>
        <w:tab/>
      </w:r>
      <w:r w:rsidRPr="00E15AA6">
        <w:rPr>
          <w:lang w:val="en" w:eastAsia="en-AU"/>
        </w:rPr>
        <w:t>(a)</w:t>
      </w:r>
      <w:r>
        <w:rPr>
          <w:lang w:val="en" w:eastAsia="en-AU"/>
        </w:rPr>
        <w:tab/>
      </w:r>
      <w:r w:rsidRPr="00E15AA6">
        <w:rPr>
          <w:lang w:val="en" w:eastAsia="en-AU"/>
        </w:rPr>
        <w:t>within 24 hours after the driver stops working on the relevant day, record the information mentioned in section 319(1)(a)(iii) to (vi) for that day; and</w:t>
      </w:r>
    </w:p>
    <w:p w14:paraId="1CC8116B" w14:textId="77777777" w:rsidR="00E15AA6" w:rsidRPr="00E15AA6" w:rsidRDefault="00E15AA6" w:rsidP="00E15AA6">
      <w:pPr>
        <w:pStyle w:val="Apara"/>
        <w:rPr>
          <w:lang w:val="en" w:eastAsia="en-AU"/>
        </w:rPr>
      </w:pPr>
      <w:r>
        <w:rPr>
          <w:lang w:val="en" w:eastAsia="en-AU"/>
        </w:rPr>
        <w:tab/>
      </w:r>
      <w:r w:rsidRPr="00E15AA6">
        <w:rPr>
          <w:lang w:val="en" w:eastAsia="en-AU"/>
        </w:rPr>
        <w:t>(b)</w:t>
      </w:r>
      <w:r>
        <w:rPr>
          <w:lang w:val="en" w:eastAsia="en-AU"/>
        </w:rPr>
        <w:tab/>
      </w:r>
      <w:r w:rsidRPr="00E15AA6">
        <w:rPr>
          <w:lang w:val="en" w:eastAsia="en-AU"/>
        </w:rPr>
        <w:t>within 21 days after the relevant day, give the information mentioned in section 319(1) for that day to the driver’s record keeper.</w:t>
      </w:r>
    </w:p>
    <w:p w14:paraId="42510166" w14:textId="77777777" w:rsidR="00E15AA6" w:rsidRPr="00E15AA6" w:rsidRDefault="00E15AA6" w:rsidP="00E15AA6">
      <w:pPr>
        <w:pStyle w:val="Penalty"/>
        <w:rPr>
          <w:lang w:val="en" w:eastAsia="en-AU"/>
        </w:rPr>
      </w:pPr>
      <w:r w:rsidRPr="00E15AA6">
        <w:rPr>
          <w:lang w:val="en" w:eastAsia="en-AU"/>
        </w:rPr>
        <w:t>Maximum penalty—$3000.</w:t>
      </w:r>
    </w:p>
    <w:p w14:paraId="38AF837E" w14:textId="77777777" w:rsidR="00E15AA6" w:rsidRPr="00E15AA6" w:rsidRDefault="00E15AA6" w:rsidP="00E15AA6">
      <w:pPr>
        <w:pStyle w:val="Amain"/>
        <w:rPr>
          <w:lang w:val="en" w:eastAsia="en-AU"/>
        </w:rPr>
      </w:pPr>
      <w:r>
        <w:rPr>
          <w:lang w:val="en" w:eastAsia="en-AU"/>
        </w:rPr>
        <w:tab/>
      </w:r>
      <w:r w:rsidRPr="00E15AA6">
        <w:rPr>
          <w:lang w:val="en" w:eastAsia="en-AU"/>
        </w:rPr>
        <w:t>(3)</w:t>
      </w:r>
      <w:r>
        <w:rPr>
          <w:lang w:val="en" w:eastAsia="en-AU"/>
        </w:rPr>
        <w:tab/>
      </w:r>
      <w:r w:rsidRPr="00E15AA6">
        <w:rPr>
          <w:lang w:val="en" w:eastAsia="en-AU"/>
        </w:rPr>
        <w:t>The requirement imposed on the driver by subsection (2)(a) is taken to be satisfied if the record keeper records the information within the period mentioned in the provision.</w:t>
      </w:r>
    </w:p>
    <w:p w14:paraId="40543FA8" w14:textId="77777777" w:rsidR="00E15AA6" w:rsidRPr="00E15AA6" w:rsidRDefault="00E15AA6" w:rsidP="00A77F94">
      <w:pPr>
        <w:pStyle w:val="Amain"/>
        <w:keepNext/>
        <w:keepLines/>
        <w:rPr>
          <w:lang w:val="en" w:eastAsia="en-AU"/>
        </w:rPr>
      </w:pPr>
      <w:r>
        <w:rPr>
          <w:lang w:val="en" w:eastAsia="en-AU"/>
        </w:rPr>
        <w:lastRenderedPageBreak/>
        <w:tab/>
      </w:r>
      <w:r w:rsidRPr="00E15AA6">
        <w:rPr>
          <w:lang w:val="en" w:eastAsia="en-AU"/>
        </w:rPr>
        <w:t>(4)</w:t>
      </w:r>
      <w:r>
        <w:rPr>
          <w:lang w:val="en" w:eastAsia="en-AU"/>
        </w:rPr>
        <w:tab/>
      </w:r>
      <w:r w:rsidRPr="00E15AA6">
        <w:rPr>
          <w:lang w:val="en" w:eastAsia="en-AU"/>
        </w:rPr>
        <w:t>The requirement imposed on the driver by subsection (2)(b) is taken to be satisfied if the record keeper obtains the information within the period mentioned in the provision in any way, including, for example, because the information is recorded—</w:t>
      </w:r>
    </w:p>
    <w:p w14:paraId="7B1AE36C" w14:textId="77777777" w:rsidR="00E15AA6" w:rsidRPr="00E15AA6" w:rsidRDefault="00E15AA6" w:rsidP="00E15AA6">
      <w:pPr>
        <w:pStyle w:val="Apara"/>
        <w:rPr>
          <w:lang w:val="en" w:eastAsia="en-AU"/>
        </w:rPr>
      </w:pPr>
      <w:r>
        <w:rPr>
          <w:lang w:val="en" w:eastAsia="en-AU"/>
        </w:rPr>
        <w:tab/>
      </w:r>
      <w:r w:rsidRPr="00E15AA6">
        <w:rPr>
          <w:lang w:val="en" w:eastAsia="en-AU"/>
        </w:rPr>
        <w:t>(a)</w:t>
      </w:r>
      <w:r>
        <w:rPr>
          <w:lang w:val="en" w:eastAsia="en-AU"/>
        </w:rPr>
        <w:tab/>
      </w:r>
      <w:r w:rsidRPr="00E15AA6">
        <w:rPr>
          <w:lang w:val="en" w:eastAsia="en-AU"/>
        </w:rPr>
        <w:t>in an electronic work diary used by the driver, the information in which is maintained by the record keeper; or</w:t>
      </w:r>
    </w:p>
    <w:p w14:paraId="5193ACCE" w14:textId="77777777" w:rsidR="00E15AA6" w:rsidRPr="00E15AA6" w:rsidRDefault="00E15AA6" w:rsidP="00E15AA6">
      <w:pPr>
        <w:pStyle w:val="Apara"/>
        <w:rPr>
          <w:lang w:val="en" w:eastAsia="en-AU"/>
        </w:rPr>
      </w:pPr>
      <w:r>
        <w:rPr>
          <w:lang w:val="en" w:eastAsia="en-AU"/>
        </w:rPr>
        <w:tab/>
      </w:r>
      <w:r w:rsidRPr="00E15AA6">
        <w:rPr>
          <w:lang w:val="en" w:eastAsia="en-AU"/>
        </w:rPr>
        <w:t>(b)</w:t>
      </w:r>
      <w:r>
        <w:rPr>
          <w:lang w:val="en" w:eastAsia="en-AU"/>
        </w:rPr>
        <w:tab/>
      </w:r>
      <w:r w:rsidRPr="00E15AA6">
        <w:rPr>
          <w:lang w:val="en" w:eastAsia="en-AU"/>
        </w:rPr>
        <w:t>by the record keeper.</w:t>
      </w:r>
    </w:p>
    <w:p w14:paraId="29593D5E" w14:textId="77777777" w:rsidR="00E15AA6" w:rsidRPr="00E15AA6" w:rsidRDefault="00E15AA6" w:rsidP="00E15AA6">
      <w:pPr>
        <w:pStyle w:val="Amain"/>
        <w:rPr>
          <w:lang w:val="en" w:eastAsia="en-AU"/>
        </w:rPr>
      </w:pPr>
      <w:r>
        <w:rPr>
          <w:lang w:val="en" w:eastAsia="en-AU"/>
        </w:rPr>
        <w:tab/>
      </w:r>
      <w:r w:rsidRPr="00E15AA6">
        <w:rPr>
          <w:lang w:val="en" w:eastAsia="en-AU"/>
        </w:rPr>
        <w:t>(5)</w:t>
      </w:r>
      <w:r>
        <w:rPr>
          <w:lang w:val="en" w:eastAsia="en-AU"/>
        </w:rPr>
        <w:tab/>
      </w:r>
      <w:r w:rsidRPr="00E15AA6">
        <w:rPr>
          <w:lang w:val="en" w:eastAsia="en-AU"/>
        </w:rPr>
        <w:t>The record keeper must, so far as is reasonably practicable, ensure the driver complies with subsection (2)(b).</w:t>
      </w:r>
    </w:p>
    <w:p w14:paraId="5F941384" w14:textId="77777777" w:rsidR="00E15AA6" w:rsidRPr="00E15AA6" w:rsidRDefault="00E15AA6" w:rsidP="00E15AA6">
      <w:pPr>
        <w:pStyle w:val="Penalty"/>
        <w:rPr>
          <w:lang w:val="en" w:eastAsia="en-AU"/>
        </w:rPr>
      </w:pPr>
      <w:r w:rsidRPr="00E15AA6">
        <w:rPr>
          <w:lang w:val="en" w:eastAsia="en-AU"/>
        </w:rPr>
        <w:t>Maximum penalty—$3000.</w:t>
      </w:r>
    </w:p>
    <w:p w14:paraId="4EBD9D06" w14:textId="77777777" w:rsidR="00E15AA6" w:rsidRPr="00E15AA6" w:rsidRDefault="00E15AA6" w:rsidP="00E15AA6">
      <w:pPr>
        <w:pStyle w:val="Amain"/>
        <w:rPr>
          <w:lang w:val="en" w:eastAsia="en-AU"/>
        </w:rPr>
      </w:pPr>
      <w:r>
        <w:rPr>
          <w:lang w:val="en" w:eastAsia="en-AU"/>
        </w:rPr>
        <w:tab/>
      </w:r>
      <w:r w:rsidRPr="00E15AA6">
        <w:rPr>
          <w:lang w:val="en" w:eastAsia="en-AU"/>
        </w:rPr>
        <w:t>(6)</w:t>
      </w:r>
      <w:r>
        <w:rPr>
          <w:lang w:val="en" w:eastAsia="en-AU"/>
        </w:rPr>
        <w:tab/>
      </w:r>
      <w:r w:rsidRPr="00E15AA6">
        <w:rPr>
          <w:lang w:val="en" w:eastAsia="en-AU"/>
        </w:rPr>
        <w:t>If the record keeper has engaged another person under a contract for services to comply with subsection (5) for the record keeper—</w:t>
      </w:r>
    </w:p>
    <w:p w14:paraId="5B3DC280" w14:textId="77777777" w:rsidR="00E15AA6" w:rsidRPr="00E15AA6" w:rsidRDefault="00E15AA6" w:rsidP="00E15AA6">
      <w:pPr>
        <w:pStyle w:val="Apara"/>
        <w:rPr>
          <w:lang w:val="en" w:eastAsia="en-AU"/>
        </w:rPr>
      </w:pPr>
      <w:r>
        <w:rPr>
          <w:lang w:val="en" w:eastAsia="en-AU"/>
        </w:rPr>
        <w:tab/>
      </w:r>
      <w:r w:rsidRPr="00E15AA6">
        <w:rPr>
          <w:lang w:val="en" w:eastAsia="en-AU"/>
        </w:rPr>
        <w:t>(a)</w:t>
      </w:r>
      <w:r>
        <w:rPr>
          <w:lang w:val="en" w:eastAsia="en-AU"/>
        </w:rPr>
        <w:tab/>
      </w:r>
      <w:r w:rsidRPr="00E15AA6">
        <w:rPr>
          <w:lang w:val="en" w:eastAsia="en-AU"/>
        </w:rPr>
        <w:t>the record keeper remains liable for an offence against subsection (5); and</w:t>
      </w:r>
    </w:p>
    <w:p w14:paraId="6B5B81BD" w14:textId="77777777" w:rsidR="00E15AA6" w:rsidRPr="00E15AA6" w:rsidRDefault="00E15AA6" w:rsidP="00E15AA6">
      <w:pPr>
        <w:pStyle w:val="Apara"/>
        <w:rPr>
          <w:lang w:val="en" w:eastAsia="en-AU"/>
        </w:rPr>
      </w:pPr>
      <w:r>
        <w:rPr>
          <w:lang w:val="en" w:eastAsia="en-AU"/>
        </w:rPr>
        <w:tab/>
      </w:r>
      <w:r w:rsidRPr="00E15AA6">
        <w:rPr>
          <w:lang w:val="en" w:eastAsia="en-AU"/>
        </w:rPr>
        <w:t>(b)</w:t>
      </w:r>
      <w:r>
        <w:rPr>
          <w:lang w:val="en" w:eastAsia="en-AU"/>
        </w:rPr>
        <w:tab/>
      </w:r>
      <w:r w:rsidRPr="00E15AA6">
        <w:rPr>
          <w:lang w:val="en" w:eastAsia="en-AU"/>
        </w:rPr>
        <w:t>the other person is also liable for an offence against subsection (5) as if the other person were the record keeper mentioned in the subsection.</w:t>
      </w:r>
    </w:p>
    <w:p w14:paraId="308D1650" w14:textId="77777777" w:rsidR="00E15AA6" w:rsidRPr="00E15AA6" w:rsidRDefault="00E15AA6" w:rsidP="00E15AA6">
      <w:pPr>
        <w:pStyle w:val="Amain"/>
        <w:rPr>
          <w:lang w:val="en" w:eastAsia="en-AU"/>
        </w:rPr>
      </w:pPr>
      <w:r>
        <w:rPr>
          <w:lang w:val="en" w:eastAsia="en-AU"/>
        </w:rPr>
        <w:tab/>
      </w:r>
      <w:r w:rsidRPr="00E15AA6">
        <w:rPr>
          <w:lang w:val="en" w:eastAsia="en-AU"/>
        </w:rPr>
        <w:t>(7)</w:t>
      </w:r>
      <w:r>
        <w:rPr>
          <w:lang w:val="en" w:eastAsia="en-AU"/>
        </w:rPr>
        <w:tab/>
      </w:r>
      <w:r w:rsidRPr="00E15AA6">
        <w:rPr>
          <w:lang w:val="en" w:eastAsia="en-AU"/>
        </w:rPr>
        <w:t>In this section—</w:t>
      </w:r>
    </w:p>
    <w:p w14:paraId="2F9DCF35" w14:textId="77777777" w:rsidR="00E15AA6" w:rsidRPr="00E15AA6" w:rsidRDefault="00E15AA6" w:rsidP="00E15AA6">
      <w:pPr>
        <w:pStyle w:val="aDef"/>
        <w:rPr>
          <w:lang w:val="en" w:eastAsia="en-AU"/>
        </w:rPr>
      </w:pPr>
      <w:r w:rsidRPr="00E15AA6">
        <w:rPr>
          <w:b/>
          <w:bCs/>
          <w:i/>
          <w:iCs/>
          <w:lang w:val="en" w:eastAsia="en-AU"/>
        </w:rPr>
        <w:t>relevant day</w:t>
      </w:r>
      <w:r w:rsidRPr="00E15AA6">
        <w:rPr>
          <w:lang w:val="en" w:eastAsia="en-AU"/>
        </w:rPr>
        <w:t xml:space="preserve"> means a day on which the driver drives a fatigue-regulated heavy vehicle on a road.</w:t>
      </w:r>
    </w:p>
    <w:p w14:paraId="5422FD6B" w14:textId="77777777" w:rsidR="00A77F94" w:rsidRPr="00A77F94" w:rsidRDefault="00A77F94" w:rsidP="00A77F94">
      <w:pPr>
        <w:pStyle w:val="PageBreak"/>
      </w:pPr>
      <w:r w:rsidRPr="00A77F94">
        <w:br w:type="page"/>
      </w:r>
    </w:p>
    <w:p w14:paraId="5D60D18E" w14:textId="77777777" w:rsidR="00DB6E47" w:rsidRPr="00A95F9A" w:rsidRDefault="00DB6E47" w:rsidP="00DB6E47">
      <w:pPr>
        <w:pStyle w:val="AH4SubDiv"/>
      </w:pPr>
      <w:bookmarkStart w:id="359" w:name="_Toc83625703"/>
      <w:r w:rsidRPr="00A95F9A">
        <w:lastRenderedPageBreak/>
        <w:t xml:space="preserve">Subdivision 3 </w:t>
      </w:r>
      <w:r w:rsidRPr="00A95F9A">
        <w:tab/>
        <w:t>Record keeping obligations relating to drivers undertaking 100+km work under standard hours or operating under BFM hours, AFM hours or exemption hours</w:t>
      </w:r>
      <w:bookmarkEnd w:id="359"/>
    </w:p>
    <w:p w14:paraId="66540CB3" w14:textId="77777777" w:rsidR="00DB6E47" w:rsidRPr="007E1F9A" w:rsidRDefault="00DB6E47" w:rsidP="00DB6E47">
      <w:pPr>
        <w:pStyle w:val="AH5Sec"/>
      </w:pPr>
      <w:bookmarkStart w:id="360" w:name="_Toc83625704"/>
      <w:r w:rsidRPr="005E03F7">
        <w:rPr>
          <w:rStyle w:val="CharSectNo"/>
        </w:rPr>
        <w:t>320</w:t>
      </w:r>
      <w:r w:rsidRPr="007E1F9A">
        <w:tab/>
        <w:t>Application of Sdiv 3</w:t>
      </w:r>
      <w:bookmarkEnd w:id="360"/>
    </w:p>
    <w:p w14:paraId="4178203F" w14:textId="77777777" w:rsidR="00DB6E47" w:rsidRPr="00283AFC" w:rsidRDefault="00DB6E47" w:rsidP="00DB6E47">
      <w:pPr>
        <w:pStyle w:val="Amainreturn"/>
      </w:pPr>
      <w:r w:rsidRPr="00283AFC">
        <w:t>This Subdivision applies in relation to the driver of a fatigue-regulated heavy vehicle who is—</w:t>
      </w:r>
    </w:p>
    <w:p w14:paraId="3879D5F9" w14:textId="77777777" w:rsidR="00DB6E47" w:rsidRPr="00297A38" w:rsidRDefault="00DB6E47" w:rsidP="00DB6E47">
      <w:pPr>
        <w:pStyle w:val="Apara"/>
      </w:pPr>
      <w:r w:rsidRPr="00297A38">
        <w:tab/>
        <w:t>(a)</w:t>
      </w:r>
      <w:r w:rsidRPr="00297A38">
        <w:tab/>
        <w:t>undertaking 100+km work under standard hours; or</w:t>
      </w:r>
    </w:p>
    <w:p w14:paraId="35127711" w14:textId="77777777" w:rsidR="00DB6E47" w:rsidRPr="00297A38" w:rsidRDefault="00DB6E47" w:rsidP="00DB6E47">
      <w:pPr>
        <w:pStyle w:val="Apara"/>
      </w:pPr>
      <w:r w:rsidRPr="00297A38">
        <w:tab/>
        <w:t>(b)</w:t>
      </w:r>
      <w:r w:rsidRPr="00297A38">
        <w:tab/>
        <w:t>operating under BFM hours, AFM hours or exemption hours.</w:t>
      </w:r>
    </w:p>
    <w:p w14:paraId="206E9734" w14:textId="77777777" w:rsidR="00DB6E47" w:rsidRPr="007E1F9A" w:rsidRDefault="00DB6E47" w:rsidP="00DB6E47">
      <w:pPr>
        <w:pStyle w:val="AH5Sec"/>
      </w:pPr>
      <w:bookmarkStart w:id="361" w:name="_Toc83625705"/>
      <w:r w:rsidRPr="005E03F7">
        <w:rPr>
          <w:rStyle w:val="CharSectNo"/>
        </w:rPr>
        <w:t>321</w:t>
      </w:r>
      <w:r w:rsidRPr="007E1F9A">
        <w:tab/>
        <w:t>Records record keeper must have</w:t>
      </w:r>
      <w:bookmarkEnd w:id="361"/>
    </w:p>
    <w:p w14:paraId="4DAB5911" w14:textId="77777777" w:rsidR="00DB6E47" w:rsidRPr="00283AFC" w:rsidRDefault="00DB6E47" w:rsidP="00DB6E47">
      <w:pPr>
        <w:pStyle w:val="Amain"/>
      </w:pPr>
      <w:r w:rsidRPr="00283AFC">
        <w:tab/>
        <w:t>(1)</w:t>
      </w:r>
      <w:r w:rsidRPr="00283AFC">
        <w:tab/>
        <w:t>The driver’s record keeper must</w:t>
      </w:r>
      <w:r w:rsidR="00C20E98" w:rsidRPr="003323FC">
        <w:t>, unless the record keeper has a reasonable excuse</w:t>
      </w:r>
      <w:r w:rsidRPr="00283AFC">
        <w:t>—</w:t>
      </w:r>
    </w:p>
    <w:p w14:paraId="4184BD56" w14:textId="77777777" w:rsidR="00DB6E47" w:rsidRPr="00297A38" w:rsidRDefault="00DB6E47" w:rsidP="00DB6E47">
      <w:pPr>
        <w:pStyle w:val="Apara"/>
      </w:pPr>
      <w:r w:rsidRPr="00297A38">
        <w:tab/>
        <w:t>(a)</w:t>
      </w:r>
      <w:r w:rsidRPr="00297A38">
        <w:tab/>
        <w:t>record the following information within the prescribed period—</w:t>
      </w:r>
    </w:p>
    <w:p w14:paraId="1C60761E" w14:textId="77777777" w:rsidR="00DB6E47" w:rsidRPr="00516F02" w:rsidRDefault="00DB6E47" w:rsidP="00DB6E47">
      <w:pPr>
        <w:pStyle w:val="Asubpara"/>
      </w:pPr>
      <w:r w:rsidRPr="00516F02">
        <w:tab/>
        <w:t>(i)</w:t>
      </w:r>
      <w:r w:rsidRPr="00516F02">
        <w:tab/>
        <w:t>the driver’s name and contact details;</w:t>
      </w:r>
    </w:p>
    <w:p w14:paraId="3BA029A0" w14:textId="77777777" w:rsidR="00DB6E47" w:rsidRPr="00516F02" w:rsidRDefault="00DB6E47" w:rsidP="00DB6E47">
      <w:pPr>
        <w:pStyle w:val="Asubpara"/>
      </w:pPr>
      <w:r w:rsidRPr="00516F02">
        <w:tab/>
        <w:t>(ii)</w:t>
      </w:r>
      <w:r w:rsidRPr="00516F02">
        <w:tab/>
        <w:t>the driver’s current driver licence number and the jurisdiction in which the licence was issued;</w:t>
      </w:r>
    </w:p>
    <w:p w14:paraId="0A69B8F8" w14:textId="77777777" w:rsidR="00DB6E47" w:rsidRPr="00516F02" w:rsidRDefault="00DB6E47" w:rsidP="00DB6E47">
      <w:pPr>
        <w:pStyle w:val="Asubpara"/>
      </w:pPr>
      <w:r w:rsidRPr="00516F02">
        <w:tab/>
        <w:t>(iii)</w:t>
      </w:r>
      <w:r w:rsidRPr="00516F02">
        <w:tab/>
        <w:t>the driver’s rosters and trip schedules, including details of driver changeovers; and</w:t>
      </w:r>
    </w:p>
    <w:p w14:paraId="14E9AD68" w14:textId="77777777" w:rsidR="00DB6E47" w:rsidRPr="00297A38" w:rsidRDefault="00DB6E47" w:rsidP="00DB6E47">
      <w:pPr>
        <w:pStyle w:val="Apara"/>
      </w:pPr>
      <w:r w:rsidRPr="00297A38">
        <w:tab/>
        <w:t>(b)</w:t>
      </w:r>
      <w:r w:rsidRPr="00297A38">
        <w:tab/>
        <w:t>keep a copy of all duplicate pages</w:t>
      </w:r>
      <w:r w:rsidR="00A07501">
        <w:t>, if any,</w:t>
      </w:r>
      <w:r w:rsidRPr="00297A38">
        <w:t xml:space="preserve"> and other copies of work diary entries, including any entry made in a supplementary record—</w:t>
      </w:r>
    </w:p>
    <w:p w14:paraId="63AE21CE" w14:textId="77777777" w:rsidR="00DB6E47" w:rsidRPr="00516F02" w:rsidRDefault="00DB6E47" w:rsidP="00DB6E47">
      <w:pPr>
        <w:pStyle w:val="Asubpara"/>
      </w:pPr>
      <w:r w:rsidRPr="00516F02">
        <w:tab/>
        <w:t>(i)</w:t>
      </w:r>
      <w:r w:rsidRPr="00516F02">
        <w:tab/>
        <w:t>given to the record keeper under section 322; or</w:t>
      </w:r>
    </w:p>
    <w:p w14:paraId="2A53D06D" w14:textId="77777777" w:rsidR="00DB6E47" w:rsidRPr="00516F02" w:rsidRDefault="00DB6E47" w:rsidP="00DB6E47">
      <w:pPr>
        <w:pStyle w:val="Asubpara"/>
      </w:pPr>
      <w:r>
        <w:tab/>
      </w:r>
      <w:r w:rsidRPr="00516F02">
        <w:t>(ii)</w:t>
      </w:r>
      <w:r w:rsidRPr="00516F02">
        <w:tab/>
        <w:t>as required to be made by the record keeper as a self-employed driver under Division 2; and</w:t>
      </w:r>
    </w:p>
    <w:p w14:paraId="6C6FB159" w14:textId="77777777" w:rsidR="00DB6E47" w:rsidRPr="00297A38" w:rsidRDefault="00DB6E47" w:rsidP="00DB6E47">
      <w:pPr>
        <w:pStyle w:val="Apara"/>
      </w:pPr>
      <w:r w:rsidRPr="00297A38">
        <w:tab/>
        <w:t>(c)</w:t>
      </w:r>
      <w:r w:rsidRPr="00297A38">
        <w:tab/>
        <w:t>keep a copy of payment records relating to the driver, including time sheet records if the driver is paid according to time at work.</w:t>
      </w:r>
    </w:p>
    <w:p w14:paraId="13F395AD" w14:textId="77777777" w:rsidR="00DB6E47" w:rsidRPr="006C3305" w:rsidRDefault="00DB6E47" w:rsidP="00DB6E47">
      <w:pPr>
        <w:pStyle w:val="Penalty"/>
      </w:pPr>
      <w:r w:rsidRPr="006C3305">
        <w:t>Maximum penalty—$6000.</w:t>
      </w:r>
    </w:p>
    <w:p w14:paraId="02C1C885" w14:textId="77777777" w:rsidR="007306F1" w:rsidRPr="007306F1" w:rsidRDefault="007306F1" w:rsidP="00DB6E47">
      <w:pPr>
        <w:pStyle w:val="Amain"/>
      </w:pPr>
      <w:r>
        <w:lastRenderedPageBreak/>
        <w:tab/>
        <w:t>(2)</w:t>
      </w:r>
      <w:r w:rsidRPr="007306F1">
        <w:tab/>
        <w:t xml:space="preserve">The requirement imposed on </w:t>
      </w:r>
      <w:r w:rsidR="00EB41BE">
        <w:t>the record keeper by subsection </w:t>
      </w:r>
      <w:r w:rsidRPr="007306F1">
        <w:t>(1)(a)(ii) is taken to be satisfied if an electronic work diary used by the driver, the information in which is maintained by the record keeper, includes the information mentioned in the provision.</w:t>
      </w:r>
    </w:p>
    <w:p w14:paraId="5F365268" w14:textId="77777777" w:rsidR="00DB6E47" w:rsidRPr="00283AFC" w:rsidRDefault="00DB6E47" w:rsidP="00DB6E47">
      <w:pPr>
        <w:pStyle w:val="Amain"/>
      </w:pPr>
      <w:r w:rsidRPr="00283AFC">
        <w:tab/>
        <w:t>(</w:t>
      </w:r>
      <w:r w:rsidR="00A07501">
        <w:t>3</w:t>
      </w:r>
      <w:r w:rsidRPr="00283AFC">
        <w:t>)</w:t>
      </w:r>
      <w:r w:rsidRPr="00283AFC">
        <w:tab/>
        <w:t>If the driver is operating under BFM hours or AFM hours, the record keeper must</w:t>
      </w:r>
      <w:r w:rsidR="00C20E98" w:rsidRPr="003323FC">
        <w:t>, unless the record keeper has a reasonable excuse,</w:t>
      </w:r>
      <w:r w:rsidRPr="00283AFC">
        <w:t xml:space="preserve"> also record the following information—</w:t>
      </w:r>
    </w:p>
    <w:p w14:paraId="4204538C" w14:textId="77777777" w:rsidR="00DB6E47" w:rsidRPr="00297A38" w:rsidRDefault="00DB6E47" w:rsidP="00DB6E47">
      <w:pPr>
        <w:pStyle w:val="Apara"/>
      </w:pPr>
      <w:r w:rsidRPr="00297A38">
        <w:tab/>
        <w:t>(a)</w:t>
      </w:r>
      <w:r w:rsidRPr="00297A38">
        <w:tab/>
        <w:t>the information required to be kept by the record keeper as a condition of the BFM accreditation or AFM accreditation under which the driver is operating;</w:t>
      </w:r>
    </w:p>
    <w:p w14:paraId="3B0604B1" w14:textId="77777777" w:rsidR="00DB6E47" w:rsidRPr="00297A38" w:rsidRDefault="00DB6E47" w:rsidP="00DB6E47">
      <w:pPr>
        <w:pStyle w:val="Apara"/>
      </w:pPr>
      <w:r w:rsidRPr="00297A38">
        <w:tab/>
        <w:t>(b)</w:t>
      </w:r>
      <w:r w:rsidRPr="00297A38">
        <w:tab/>
        <w:t>the information required to be kept by the record keeper under the BFM standards and business rules or AFM standards and business rules.</w:t>
      </w:r>
    </w:p>
    <w:p w14:paraId="70EEC42D" w14:textId="77777777" w:rsidR="00DB6E47" w:rsidRPr="006C3305" w:rsidRDefault="00DB6E47" w:rsidP="00DB6E47">
      <w:pPr>
        <w:pStyle w:val="Penalty"/>
      </w:pPr>
      <w:r w:rsidRPr="006C3305">
        <w:t>Maximum penalty—$6000.</w:t>
      </w:r>
    </w:p>
    <w:p w14:paraId="12E8F64D" w14:textId="77777777" w:rsidR="00DB6E47" w:rsidRPr="00C96203" w:rsidRDefault="00DB6E47" w:rsidP="00DB6E47">
      <w:pPr>
        <w:pStyle w:val="aNote"/>
      </w:pPr>
      <w:r w:rsidRPr="00FF4454">
        <w:rPr>
          <w:rStyle w:val="charItals"/>
        </w:rPr>
        <w:t>Note</w:t>
      </w:r>
      <w:r w:rsidRPr="00C96203">
        <w:rPr>
          <w:rFonts w:cs="Times"/>
          <w:bCs/>
          <w:iCs/>
        </w:rPr>
        <w:t>—</w:t>
      </w:r>
    </w:p>
    <w:p w14:paraId="0E3D9682" w14:textId="77777777" w:rsidR="00DB6E47" w:rsidRPr="00C96203" w:rsidRDefault="00DB6E47" w:rsidP="00DB6E47">
      <w:pPr>
        <w:pStyle w:val="aNoteTextss"/>
      </w:pPr>
      <w:r w:rsidRPr="00C96203">
        <w:t>See also section 470 for other record-keeping requirements applying to a record keeper who is an operator operating under a BFM accreditation or AFM accreditation.</w:t>
      </w:r>
    </w:p>
    <w:p w14:paraId="6BC3A4FB" w14:textId="77777777" w:rsidR="00DB6E47" w:rsidRPr="00283AFC" w:rsidRDefault="00A07501" w:rsidP="00DB6E47">
      <w:pPr>
        <w:pStyle w:val="Amain"/>
      </w:pPr>
      <w:r>
        <w:tab/>
        <w:t>(4</w:t>
      </w:r>
      <w:r w:rsidR="00DB6E47" w:rsidRPr="00283AFC">
        <w:t>)</w:t>
      </w:r>
      <w:r w:rsidR="00DB6E47" w:rsidRPr="00283AFC">
        <w:tab/>
        <w:t>If the record keeper has engaged another person under a contract for servi</w:t>
      </w:r>
      <w:r w:rsidR="00B85801">
        <w:t xml:space="preserve">ces to comply with subsection </w:t>
      </w:r>
      <w:r w:rsidR="00DB6E47" w:rsidRPr="00283AFC">
        <w:t>(1)</w:t>
      </w:r>
      <w:r w:rsidR="00B85801">
        <w:t xml:space="preserve"> or </w:t>
      </w:r>
      <w:r w:rsidR="007306F1">
        <w:t>(3</w:t>
      </w:r>
      <w:r w:rsidR="00DB6E47" w:rsidRPr="00283AFC">
        <w:t>)</w:t>
      </w:r>
      <w:r w:rsidR="00B85801">
        <w:t xml:space="preserve"> </w:t>
      </w:r>
      <w:r w:rsidR="00DB6E47" w:rsidRPr="00283AFC">
        <w:t>for the record keeper—</w:t>
      </w:r>
    </w:p>
    <w:p w14:paraId="4B9D3462" w14:textId="77777777" w:rsidR="00DB6E47" w:rsidRPr="00297A38" w:rsidRDefault="00DB6E47" w:rsidP="00DB6E47">
      <w:pPr>
        <w:pStyle w:val="Apara"/>
      </w:pPr>
      <w:r w:rsidRPr="00297A38">
        <w:tab/>
        <w:t>(a)</w:t>
      </w:r>
      <w:r w:rsidRPr="00297A38">
        <w:tab/>
        <w:t>the record keeper remains liable for an offence against the subsection; and</w:t>
      </w:r>
    </w:p>
    <w:p w14:paraId="68EF6F89" w14:textId="77777777" w:rsidR="00DB6E47" w:rsidRPr="00297A38" w:rsidRDefault="00DB6E47" w:rsidP="00DB6E47">
      <w:pPr>
        <w:pStyle w:val="Apara"/>
      </w:pPr>
      <w:r w:rsidRPr="00297A38">
        <w:tab/>
        <w:t>(b)</w:t>
      </w:r>
      <w:r w:rsidRPr="00297A38">
        <w:tab/>
        <w:t>the other person is also liable for an offence against the subsection as if the other person were the record keeper mentioned in the subsection.</w:t>
      </w:r>
    </w:p>
    <w:p w14:paraId="4496D61A" w14:textId="77777777" w:rsidR="00DB6E47" w:rsidRPr="00283AFC" w:rsidRDefault="00A07501" w:rsidP="00DB6E47">
      <w:pPr>
        <w:pStyle w:val="Amain"/>
      </w:pPr>
      <w:r>
        <w:tab/>
        <w:t>(7</w:t>
      </w:r>
      <w:r w:rsidR="00DB6E47" w:rsidRPr="00283AFC">
        <w:t>)</w:t>
      </w:r>
      <w:r w:rsidR="00DB6E47" w:rsidRPr="00283AFC">
        <w:tab/>
        <w:t>This section does not apply to the record keeper for the driver of a fatigue-regulated heavy vehicle who—</w:t>
      </w:r>
    </w:p>
    <w:p w14:paraId="69A07C88" w14:textId="77777777" w:rsidR="00DB6E47" w:rsidRPr="00297A38" w:rsidRDefault="00DB6E47" w:rsidP="00DB6E47">
      <w:pPr>
        <w:pStyle w:val="Apara"/>
      </w:pPr>
      <w:r w:rsidRPr="00297A38">
        <w:tab/>
        <w:t>(a)</w:t>
      </w:r>
      <w:r w:rsidRPr="00297A38">
        <w:tab/>
        <w:t>is exempt from the requirements of Division 2 under section</w:t>
      </w:r>
      <w:r w:rsidR="0049445A">
        <w:t> </w:t>
      </w:r>
      <w:r w:rsidRPr="00297A38">
        <w:t>356; or</w:t>
      </w:r>
    </w:p>
    <w:p w14:paraId="4CD66C7C" w14:textId="77777777" w:rsidR="00DB6E47" w:rsidRPr="00297A38" w:rsidRDefault="00DB6E47" w:rsidP="00D80638">
      <w:pPr>
        <w:pStyle w:val="Apara"/>
        <w:keepNext/>
      </w:pPr>
      <w:r w:rsidRPr="00297A38">
        <w:lastRenderedPageBreak/>
        <w:tab/>
        <w:t>(b)</w:t>
      </w:r>
      <w:r w:rsidRPr="00297A38">
        <w:tab/>
        <w:t>is operating under a work diary exemption (notice).</w:t>
      </w:r>
    </w:p>
    <w:p w14:paraId="590CAD48" w14:textId="77777777" w:rsidR="00DB6E47" w:rsidRPr="00C96203" w:rsidRDefault="00DB6E47" w:rsidP="00D80638">
      <w:pPr>
        <w:pStyle w:val="aNote"/>
        <w:keepNext/>
      </w:pPr>
      <w:r w:rsidRPr="00FF4454">
        <w:rPr>
          <w:rStyle w:val="charItals"/>
        </w:rPr>
        <w:t>Note</w:t>
      </w:r>
      <w:r w:rsidRPr="00C96203">
        <w:rPr>
          <w:rFonts w:cs="Times"/>
          <w:bCs/>
          <w:iCs/>
        </w:rPr>
        <w:t>—</w:t>
      </w:r>
    </w:p>
    <w:p w14:paraId="566093FF" w14:textId="77777777" w:rsidR="00DB6E47" w:rsidRPr="00C96203" w:rsidRDefault="00DB6E47" w:rsidP="00D80638">
      <w:pPr>
        <w:pStyle w:val="aNoteTextss"/>
        <w:keepLines/>
      </w:pPr>
      <w:r w:rsidRPr="00C96203">
        <w:t>A record keeper for the driver of a fatigue-regulated heavy vehicle who is not exempt from the requirements of Division 2 under section 356 and who is operating under a work diary exemption (permit) is not exempt from this section and therefore is subject to its requirements.</w:t>
      </w:r>
    </w:p>
    <w:p w14:paraId="521A8C9B" w14:textId="77777777" w:rsidR="00DB6E47" w:rsidRPr="00283AFC" w:rsidRDefault="00A07501" w:rsidP="00DB6E47">
      <w:pPr>
        <w:pStyle w:val="Amain"/>
      </w:pPr>
      <w:r>
        <w:tab/>
        <w:t>(8</w:t>
      </w:r>
      <w:r w:rsidR="00DB6E47" w:rsidRPr="00283AFC">
        <w:t>)</w:t>
      </w:r>
      <w:r w:rsidR="00DB6E47" w:rsidRPr="00283AFC">
        <w:tab/>
        <w:t>In this section—</w:t>
      </w:r>
    </w:p>
    <w:p w14:paraId="5F90F085" w14:textId="77777777" w:rsidR="00DB6E47" w:rsidRPr="00041046" w:rsidRDefault="00DB6E47" w:rsidP="00DB6E47">
      <w:pPr>
        <w:pStyle w:val="aDef"/>
        <w:rPr>
          <w:bCs/>
        </w:rPr>
      </w:pPr>
      <w:r w:rsidRPr="00041046">
        <w:rPr>
          <w:rStyle w:val="charBoldItals"/>
        </w:rPr>
        <w:t xml:space="preserve">AFM standards and business rules </w:t>
      </w:r>
      <w:r w:rsidRPr="00041046">
        <w:t>h</w:t>
      </w:r>
      <w:r w:rsidR="00EB41BE">
        <w:t>as the meaning given by section </w:t>
      </w:r>
      <w:r w:rsidRPr="00041046">
        <w:t>457.</w:t>
      </w:r>
    </w:p>
    <w:p w14:paraId="566812D4" w14:textId="77777777" w:rsidR="00DB6E47" w:rsidRPr="00041046" w:rsidRDefault="00DB6E47" w:rsidP="00DB6E47">
      <w:pPr>
        <w:pStyle w:val="aDef"/>
        <w:rPr>
          <w:bCs/>
        </w:rPr>
      </w:pPr>
      <w:r w:rsidRPr="00041046">
        <w:rPr>
          <w:rStyle w:val="charBoldItals"/>
        </w:rPr>
        <w:t>BFM standards and business rules</w:t>
      </w:r>
      <w:r w:rsidRPr="00041046">
        <w:t xml:space="preserve"> h</w:t>
      </w:r>
      <w:r w:rsidR="00EB41BE">
        <w:t>as the meaning given by section </w:t>
      </w:r>
      <w:r w:rsidRPr="00041046">
        <w:t>457.</w:t>
      </w:r>
    </w:p>
    <w:p w14:paraId="71A73A29" w14:textId="77777777" w:rsidR="00DB6E47" w:rsidRPr="00041046" w:rsidRDefault="00DB6E47" w:rsidP="00DB6E47">
      <w:pPr>
        <w:pStyle w:val="aDef"/>
        <w:rPr>
          <w:bCs/>
        </w:rPr>
      </w:pPr>
      <w:r w:rsidRPr="00041046">
        <w:rPr>
          <w:rStyle w:val="charBoldItals"/>
        </w:rPr>
        <w:t>prescribed period</w:t>
      </w:r>
      <w:r w:rsidRPr="00041046">
        <w:t>, for recording info</w:t>
      </w:r>
      <w:r w:rsidR="00EB41BE">
        <w:t>rmation mentioned in subsection </w:t>
      </w:r>
      <w:r w:rsidRPr="00041046">
        <w:t>(1)</w:t>
      </w:r>
      <w:r w:rsidR="00B85801">
        <w:t xml:space="preserve"> </w:t>
      </w:r>
      <w:r w:rsidRPr="00041046">
        <w:t>relating to the driver of a fatigue-regulated heavy vehicle, means—</w:t>
      </w:r>
    </w:p>
    <w:p w14:paraId="376F2D5B" w14:textId="77777777" w:rsidR="00DB6E47" w:rsidRPr="00B85801" w:rsidRDefault="00DB6E47" w:rsidP="00DB6E47">
      <w:pPr>
        <w:pStyle w:val="aDefpara"/>
      </w:pPr>
      <w:r w:rsidRPr="00FF4454">
        <w:tab/>
      </w:r>
      <w:r w:rsidRPr="00F04D8E">
        <w:rPr>
          <w:rFonts w:cs="Times"/>
          <w:bCs/>
          <w:iCs/>
        </w:rPr>
        <w:t>(a)</w:t>
      </w:r>
      <w:r w:rsidRPr="00B85801">
        <w:tab/>
        <w:t>if the driver’s record keeper is the driver—within 24 hours after the driver stops working on a day for which the information is relevant; or</w:t>
      </w:r>
    </w:p>
    <w:p w14:paraId="3F2BDCA4" w14:textId="77777777" w:rsidR="00DB6E47" w:rsidRPr="00B85801" w:rsidRDefault="00DB6E47" w:rsidP="00DB6E47">
      <w:pPr>
        <w:pStyle w:val="aDefpara"/>
      </w:pPr>
      <w:r w:rsidRPr="00B85801">
        <w:tab/>
        <w:t>(b)</w:t>
      </w:r>
      <w:r w:rsidRPr="00B85801">
        <w:tab/>
        <w:t>if the driver’s record keeper is a person other than the driver—as soon as possible after the person receives the information.</w:t>
      </w:r>
    </w:p>
    <w:p w14:paraId="10BC5E97" w14:textId="77777777" w:rsidR="00DB6E47" w:rsidRPr="00C21C41" w:rsidRDefault="00DB6E47" w:rsidP="00DB6E47">
      <w:pPr>
        <w:pStyle w:val="AH5Sec"/>
      </w:pPr>
      <w:bookmarkStart w:id="362" w:name="_Toc83625706"/>
      <w:r w:rsidRPr="005E03F7">
        <w:rPr>
          <w:rStyle w:val="CharSectNo"/>
        </w:rPr>
        <w:t>322</w:t>
      </w:r>
      <w:r w:rsidRPr="007E1F9A">
        <w:tab/>
        <w:t xml:space="preserve">General requirements about driver giving information to </w:t>
      </w:r>
      <w:r w:rsidRPr="00C21C41">
        <w:t>record keeper</w:t>
      </w:r>
      <w:bookmarkEnd w:id="362"/>
    </w:p>
    <w:p w14:paraId="2585869F" w14:textId="77777777" w:rsidR="00DB6E47" w:rsidRPr="00283AFC" w:rsidRDefault="00DB6E47" w:rsidP="00DB6E47">
      <w:pPr>
        <w:pStyle w:val="Amain"/>
      </w:pPr>
      <w:r w:rsidRPr="00283AFC">
        <w:tab/>
        <w:t>(1)</w:t>
      </w:r>
      <w:r w:rsidRPr="00283AFC">
        <w:tab/>
        <w:t>This section applies if—</w:t>
      </w:r>
    </w:p>
    <w:p w14:paraId="0E8A4B58" w14:textId="77777777" w:rsidR="00DB6E47" w:rsidRPr="00297A38" w:rsidRDefault="00DB6E47" w:rsidP="00DB6E47">
      <w:pPr>
        <w:pStyle w:val="Apara"/>
      </w:pPr>
      <w:r w:rsidRPr="00297A38">
        <w:tab/>
        <w:t>(a)</w:t>
      </w:r>
      <w:r w:rsidRPr="00297A38">
        <w:tab/>
        <w:t>the driver of a fatigue-regulated heavy vehicle is required to record information in the driver’s work diary under Division 2; and</w:t>
      </w:r>
    </w:p>
    <w:p w14:paraId="6A7930AE" w14:textId="77777777" w:rsidR="00DB6E47" w:rsidRPr="00297A38" w:rsidRDefault="00DB6E47" w:rsidP="00DB6E47">
      <w:pPr>
        <w:pStyle w:val="Apara"/>
      </w:pPr>
      <w:r w:rsidRPr="00297A38">
        <w:tab/>
        <w:t>(b)</w:t>
      </w:r>
      <w:r w:rsidRPr="00297A38">
        <w:tab/>
        <w:t>the driver’s record keeper is a person other than the driver.</w:t>
      </w:r>
    </w:p>
    <w:p w14:paraId="464D6884" w14:textId="77777777" w:rsidR="00DB6E47" w:rsidRPr="00283AFC" w:rsidRDefault="00DB6E47" w:rsidP="00D80638">
      <w:pPr>
        <w:pStyle w:val="Amain"/>
        <w:keepLines/>
      </w:pPr>
      <w:r w:rsidRPr="00283AFC">
        <w:lastRenderedPageBreak/>
        <w:tab/>
        <w:t>(2)</w:t>
      </w:r>
      <w:r w:rsidRPr="00283AFC">
        <w:tab/>
        <w:t>The driver must, within 21 days after the day on which the driver drove the vehicle, give a copy of the work diary entry recording the information, including any entry made in a supplementary record recording the information for that day, to each person who was a record keeper for the driver on that day</w:t>
      </w:r>
      <w:r w:rsidR="00C20E98" w:rsidRPr="003323FC">
        <w:t>, unless the driver has a reasonable excuse</w:t>
      </w:r>
      <w:r w:rsidRPr="00283AFC">
        <w:t>.</w:t>
      </w:r>
    </w:p>
    <w:p w14:paraId="22AF599C" w14:textId="77777777" w:rsidR="00DB6E47" w:rsidRPr="006C3305" w:rsidRDefault="00DB6E47" w:rsidP="00DB6E47">
      <w:pPr>
        <w:pStyle w:val="Penalty"/>
      </w:pPr>
      <w:r w:rsidRPr="006C3305">
        <w:t>Maximum penalty—$3000.</w:t>
      </w:r>
    </w:p>
    <w:p w14:paraId="3C0D7E5A" w14:textId="77777777" w:rsidR="00DB6E47" w:rsidRPr="00E870A3" w:rsidRDefault="00DB6E47" w:rsidP="00DB6E47">
      <w:pPr>
        <w:pStyle w:val="Amain"/>
      </w:pPr>
      <w:r w:rsidRPr="00E870A3">
        <w:tab/>
        <w:t>(3)</w:t>
      </w:r>
      <w:r w:rsidRPr="00E870A3">
        <w:tab/>
      </w:r>
      <w:r w:rsidR="00E870A3" w:rsidRPr="00E870A3">
        <w:t>The requirement imposed on the driver by subsection (2) is taken to be satisfied if an electronic work diary used by the driver, the information in which is maintained by the record keeper, includes the information mentioned in the provision.</w:t>
      </w:r>
    </w:p>
    <w:p w14:paraId="6CB523E0" w14:textId="77777777" w:rsidR="00DB6E47" w:rsidRPr="00283AFC" w:rsidRDefault="00DB6E47" w:rsidP="00DB6E47">
      <w:pPr>
        <w:pStyle w:val="Amain"/>
      </w:pPr>
      <w:r w:rsidRPr="00283AFC">
        <w:tab/>
        <w:t>(4)</w:t>
      </w:r>
      <w:r w:rsidRPr="00283AFC">
        <w:tab/>
        <w:t>The record keeper must ensure</w:t>
      </w:r>
      <w:r w:rsidR="00C20E98" w:rsidRPr="003323FC">
        <w:t>, so far as is reasonably practicable,</w:t>
      </w:r>
      <w:r w:rsidRPr="00283AFC">
        <w:t xml:space="preserve"> the driver complies with subsection</w:t>
      </w:r>
      <w:r w:rsidR="00B85801">
        <w:t> </w:t>
      </w:r>
      <w:r w:rsidRPr="00283AFC">
        <w:t>(2).</w:t>
      </w:r>
    </w:p>
    <w:p w14:paraId="7C2E38C4" w14:textId="77777777" w:rsidR="00DB6E47" w:rsidRPr="006C3305" w:rsidRDefault="00DB6E47" w:rsidP="00DB6E47">
      <w:pPr>
        <w:pStyle w:val="Penalty"/>
      </w:pPr>
      <w:r w:rsidRPr="006C3305">
        <w:t>Maximum penalty—$3000.</w:t>
      </w:r>
    </w:p>
    <w:p w14:paraId="1444A2BA" w14:textId="77777777" w:rsidR="00DB6E47" w:rsidRPr="00283AFC" w:rsidRDefault="00DB6E47" w:rsidP="00DB6E47">
      <w:pPr>
        <w:pStyle w:val="Amain"/>
      </w:pPr>
      <w:r w:rsidRPr="00283AFC">
        <w:tab/>
        <w:t>(5)</w:t>
      </w:r>
      <w:r w:rsidRPr="00283AFC">
        <w:tab/>
        <w:t>If the record keeper has engaged another person under a contract for ser</w:t>
      </w:r>
      <w:r w:rsidR="00B85801">
        <w:t xml:space="preserve">vices to comply with subsection </w:t>
      </w:r>
      <w:r w:rsidRPr="00283AFC">
        <w:t>(4)</w:t>
      </w:r>
      <w:r w:rsidR="00B85801">
        <w:t xml:space="preserve"> </w:t>
      </w:r>
      <w:r w:rsidRPr="00283AFC">
        <w:t>for the record keeper—</w:t>
      </w:r>
    </w:p>
    <w:p w14:paraId="28238639" w14:textId="77777777" w:rsidR="00DB6E47" w:rsidRPr="00297A38" w:rsidRDefault="00DB6E47" w:rsidP="00DB6E47">
      <w:pPr>
        <w:pStyle w:val="Apara"/>
      </w:pPr>
      <w:r w:rsidRPr="00297A38">
        <w:tab/>
        <w:t>(a)</w:t>
      </w:r>
      <w:r w:rsidRPr="00297A38">
        <w:tab/>
        <w:t>the record keeper remains liable for an offence against subsection (4); and</w:t>
      </w:r>
    </w:p>
    <w:p w14:paraId="75E10B93" w14:textId="77777777" w:rsidR="00DB6E47" w:rsidRPr="00297A38" w:rsidRDefault="00DB6E47" w:rsidP="00DB6E47">
      <w:pPr>
        <w:pStyle w:val="Apara"/>
      </w:pPr>
      <w:r w:rsidRPr="00297A38">
        <w:tab/>
        <w:t>(b)</w:t>
      </w:r>
      <w:r w:rsidRPr="00297A38">
        <w:tab/>
        <w:t>the other person is also liable fo</w:t>
      </w:r>
      <w:r w:rsidR="00B85801">
        <w:t>r an offence against subsection </w:t>
      </w:r>
      <w:r w:rsidRPr="00297A38">
        <w:t>(4)</w:t>
      </w:r>
      <w:r w:rsidR="00B85801">
        <w:t xml:space="preserve"> </w:t>
      </w:r>
      <w:r w:rsidRPr="00297A38">
        <w:t>as if the other person were the record keeper mentioned in the subsection.</w:t>
      </w:r>
    </w:p>
    <w:p w14:paraId="5586028F" w14:textId="77777777" w:rsidR="00DB6E47" w:rsidRPr="007E1F9A" w:rsidRDefault="00DB6E47" w:rsidP="00DB6E47">
      <w:pPr>
        <w:pStyle w:val="AH5Sec"/>
      </w:pPr>
      <w:bookmarkStart w:id="363" w:name="_Toc83625707"/>
      <w:r w:rsidRPr="005E03F7">
        <w:rPr>
          <w:rStyle w:val="CharSectNo"/>
        </w:rPr>
        <w:t>323</w:t>
      </w:r>
      <w:r w:rsidRPr="007E1F9A">
        <w:tab/>
        <w:t>Requirements about driver giving information to record keeper if driver changes record keeper</w:t>
      </w:r>
      <w:bookmarkEnd w:id="363"/>
    </w:p>
    <w:p w14:paraId="111D010B" w14:textId="77777777" w:rsidR="00DB6E47" w:rsidRPr="00283AFC" w:rsidRDefault="00DB6E47" w:rsidP="00DB6E47">
      <w:pPr>
        <w:pStyle w:val="Amain"/>
      </w:pPr>
      <w:r w:rsidRPr="00283AFC">
        <w:tab/>
        <w:t>(1)</w:t>
      </w:r>
      <w:r w:rsidRPr="00283AFC">
        <w:tab/>
        <w:t>This section applies if—</w:t>
      </w:r>
    </w:p>
    <w:p w14:paraId="20BDB55A" w14:textId="77777777" w:rsidR="00DB6E47" w:rsidRPr="00297A38" w:rsidRDefault="00DB6E47" w:rsidP="00DB6E47">
      <w:pPr>
        <w:pStyle w:val="Apara"/>
      </w:pPr>
      <w:r w:rsidRPr="00297A38">
        <w:tab/>
        <w:t>(a)</w:t>
      </w:r>
      <w:r w:rsidRPr="00297A38">
        <w:tab/>
        <w:t>the driver of a fatigue-regulated heavy vehicle is, or was in the previous 28 days, required to record information in the driver’s work diary under Division 2; and</w:t>
      </w:r>
    </w:p>
    <w:p w14:paraId="28E2F392" w14:textId="77777777" w:rsidR="00DB6E47" w:rsidRPr="00297A38" w:rsidRDefault="00DB6E47" w:rsidP="00DB6E47">
      <w:pPr>
        <w:pStyle w:val="Apara"/>
      </w:pPr>
      <w:r w:rsidRPr="00297A38">
        <w:tab/>
        <w:t>(b)</w:t>
      </w:r>
      <w:r w:rsidRPr="00297A38">
        <w:tab/>
        <w:t>the driver changes record keepers; and</w:t>
      </w:r>
    </w:p>
    <w:p w14:paraId="25A6F285" w14:textId="77777777" w:rsidR="00DB6E47" w:rsidRPr="00297A38" w:rsidRDefault="00DB6E47" w:rsidP="00DB6E47">
      <w:pPr>
        <w:pStyle w:val="Apara"/>
      </w:pPr>
      <w:r w:rsidRPr="00297A38">
        <w:tab/>
        <w:t>(c)</w:t>
      </w:r>
      <w:r w:rsidRPr="00297A38">
        <w:tab/>
        <w:t>the new record keeper is a person other than the driver.</w:t>
      </w:r>
    </w:p>
    <w:p w14:paraId="10B2A0ED" w14:textId="77777777" w:rsidR="00DB6E47" w:rsidRPr="00283AFC" w:rsidRDefault="00DB6E47" w:rsidP="00DB6E47">
      <w:pPr>
        <w:pStyle w:val="Amain"/>
      </w:pPr>
      <w:r w:rsidRPr="00283AFC">
        <w:lastRenderedPageBreak/>
        <w:tab/>
        <w:t>(2)</w:t>
      </w:r>
      <w:r w:rsidRPr="00283AFC">
        <w:tab/>
        <w:t>The driver must, before driving a fatigue-regulated heavy vehicle for the driver’s new record keeper, give the new record keeper a copy of information the driver recorded in a work diary in the 28 days before the change happened that relates to that 28-day period</w:t>
      </w:r>
      <w:r w:rsidR="00C20E98" w:rsidRPr="003323FC">
        <w:t>, unless the driver has a reasonable excuse</w:t>
      </w:r>
      <w:r w:rsidRPr="00283AFC">
        <w:t>.</w:t>
      </w:r>
    </w:p>
    <w:p w14:paraId="2FD457F3" w14:textId="77777777" w:rsidR="00DB6E47" w:rsidRPr="006C3305" w:rsidRDefault="00DB6E47" w:rsidP="00DB6E47">
      <w:pPr>
        <w:pStyle w:val="Penalty"/>
      </w:pPr>
      <w:r w:rsidRPr="006C3305">
        <w:t>Maximum penalty—$3000.</w:t>
      </w:r>
    </w:p>
    <w:p w14:paraId="003ED36F" w14:textId="77777777" w:rsidR="00DB6E47" w:rsidRPr="00283AFC" w:rsidRDefault="00DB6E47" w:rsidP="00DB6E47">
      <w:pPr>
        <w:pStyle w:val="Amain"/>
      </w:pPr>
      <w:r w:rsidRPr="00283AFC">
        <w:tab/>
        <w:t>(3)</w:t>
      </w:r>
      <w:r w:rsidRPr="00283AFC">
        <w:tab/>
        <w:t>The new record keeper must ensure</w:t>
      </w:r>
      <w:r w:rsidR="00C20E98" w:rsidRPr="003323FC">
        <w:t>, so far as is reasonably practicable,</w:t>
      </w:r>
      <w:r w:rsidRPr="00283AFC">
        <w:t xml:space="preserve"> the driver complies with subsection (2).</w:t>
      </w:r>
    </w:p>
    <w:p w14:paraId="0541E7C0" w14:textId="77777777" w:rsidR="00DB6E47" w:rsidRPr="006C3305" w:rsidRDefault="00DB6E47" w:rsidP="00DB6E47">
      <w:pPr>
        <w:pStyle w:val="Penalty"/>
      </w:pPr>
      <w:r w:rsidRPr="006C3305">
        <w:t>Maximum penalty—$3000.</w:t>
      </w:r>
    </w:p>
    <w:p w14:paraId="4C645A7C" w14:textId="77777777" w:rsidR="00E870A3" w:rsidRPr="00E870A3" w:rsidRDefault="00E870A3" w:rsidP="00DB6E47">
      <w:pPr>
        <w:pStyle w:val="Amain"/>
      </w:pPr>
      <w:r>
        <w:tab/>
        <w:t>(4)</w:t>
      </w:r>
      <w:r>
        <w:tab/>
      </w:r>
      <w:r w:rsidRPr="00E870A3">
        <w:t>The requirement imposed on the driver or the record keeper by subsection (2) or (3) is taken to be satisfied if an electronic work diary used by the driver, the information in which is maintained by the record keeper, includes the information mentioned in the subsection.</w:t>
      </w:r>
    </w:p>
    <w:p w14:paraId="40F035ED" w14:textId="77777777" w:rsidR="00DB6E47" w:rsidRPr="00283AFC" w:rsidRDefault="00E870A3" w:rsidP="00DB6E47">
      <w:pPr>
        <w:pStyle w:val="Amain"/>
      </w:pPr>
      <w:r w:rsidRPr="00E870A3">
        <w:tab/>
        <w:t>(5</w:t>
      </w:r>
      <w:r w:rsidR="00DB6E47" w:rsidRPr="00E870A3">
        <w:t>)</w:t>
      </w:r>
      <w:r w:rsidR="00DB6E47" w:rsidRPr="00E870A3">
        <w:tab/>
        <w:t>If the new</w:t>
      </w:r>
      <w:r w:rsidR="00DB6E47" w:rsidRPr="00283AFC">
        <w:t xml:space="preserve"> record keeper has engaged another person under a contract for ser</w:t>
      </w:r>
      <w:r w:rsidR="00B85801">
        <w:t xml:space="preserve">vices to comply with subsection </w:t>
      </w:r>
      <w:r w:rsidR="00DB6E47" w:rsidRPr="00283AFC">
        <w:t>(3)</w:t>
      </w:r>
      <w:r w:rsidR="00B85801">
        <w:t xml:space="preserve"> </w:t>
      </w:r>
      <w:r w:rsidR="00DB6E47" w:rsidRPr="00283AFC">
        <w:t>for the new record keeper—</w:t>
      </w:r>
    </w:p>
    <w:p w14:paraId="5A51A7DA" w14:textId="77777777" w:rsidR="00DB6E47" w:rsidRPr="00297A38" w:rsidRDefault="00DB6E47" w:rsidP="00DB6E47">
      <w:pPr>
        <w:pStyle w:val="Apara"/>
      </w:pPr>
      <w:r w:rsidRPr="00297A38">
        <w:tab/>
        <w:t>(a)</w:t>
      </w:r>
      <w:r w:rsidRPr="00297A38">
        <w:tab/>
        <w:t>the new record keeper remains liable for an offence against subsection (3); and</w:t>
      </w:r>
    </w:p>
    <w:p w14:paraId="09A13F79" w14:textId="77777777" w:rsidR="00DB6E47" w:rsidRPr="00297A38" w:rsidRDefault="00DB6E47" w:rsidP="00DB6E47">
      <w:pPr>
        <w:pStyle w:val="Apara"/>
      </w:pPr>
      <w:r w:rsidRPr="00297A38">
        <w:tab/>
        <w:t>(b)</w:t>
      </w:r>
      <w:r w:rsidRPr="00297A38">
        <w:tab/>
        <w:t>the other person is also liable fo</w:t>
      </w:r>
      <w:r w:rsidR="00B85801">
        <w:t>r an offence against subsection </w:t>
      </w:r>
      <w:r w:rsidRPr="00297A38">
        <w:t>(3)</w:t>
      </w:r>
      <w:r w:rsidR="00B85801">
        <w:t xml:space="preserve"> </w:t>
      </w:r>
      <w:r w:rsidRPr="00297A38">
        <w:t>as if the other person were the new record keeper mentioned in the subsection.</w:t>
      </w:r>
    </w:p>
    <w:p w14:paraId="0A0CC04E" w14:textId="77777777" w:rsidR="00DB6E47" w:rsidRPr="007E1F9A" w:rsidRDefault="00DB6E47" w:rsidP="00DB6E47">
      <w:pPr>
        <w:pStyle w:val="AH5Sec"/>
      </w:pPr>
      <w:bookmarkStart w:id="364" w:name="_Toc83625708"/>
      <w:r w:rsidRPr="005E03F7">
        <w:rPr>
          <w:rStyle w:val="CharSectNo"/>
        </w:rPr>
        <w:t>324</w:t>
      </w:r>
      <w:r w:rsidRPr="007E1F9A">
        <w:tab/>
        <w:t>Record keeper must give information from electronic work diary</w:t>
      </w:r>
      <w:bookmarkEnd w:id="364"/>
    </w:p>
    <w:p w14:paraId="263A1E6B" w14:textId="77777777" w:rsidR="00DB6E47" w:rsidRPr="00283AFC" w:rsidRDefault="00DB6E47" w:rsidP="00DB6E47">
      <w:pPr>
        <w:pStyle w:val="Amain"/>
      </w:pPr>
      <w:r w:rsidRPr="00283AFC">
        <w:tab/>
        <w:t>(1)</w:t>
      </w:r>
      <w:r w:rsidRPr="00283AFC">
        <w:tab/>
        <w:t>This section applies if—</w:t>
      </w:r>
    </w:p>
    <w:p w14:paraId="1EADBD8C" w14:textId="77777777" w:rsidR="00DB6E47" w:rsidRPr="00297A38" w:rsidRDefault="00DB6E47" w:rsidP="00DB6E47">
      <w:pPr>
        <w:pStyle w:val="Apara"/>
      </w:pPr>
      <w:r w:rsidRPr="00297A38">
        <w:tab/>
        <w:t>(a)</w:t>
      </w:r>
      <w:r w:rsidRPr="00297A38">
        <w:tab/>
        <w:t>the driver of a fatigue-regulated heavy vehicle is required to record information in the driver’s work diary under Division 2; and</w:t>
      </w:r>
    </w:p>
    <w:p w14:paraId="0A4D7310" w14:textId="77777777" w:rsidR="00DB6E47" w:rsidRPr="00297A38" w:rsidRDefault="00DB6E47" w:rsidP="00DB6E47">
      <w:pPr>
        <w:pStyle w:val="Apara"/>
      </w:pPr>
      <w:r w:rsidRPr="00297A38">
        <w:tab/>
        <w:t>(b)</w:t>
      </w:r>
      <w:r w:rsidRPr="00297A38">
        <w:tab/>
        <w:t>the driver’s record keeper is a person other than the driver; and</w:t>
      </w:r>
    </w:p>
    <w:p w14:paraId="5843E010" w14:textId="77777777" w:rsidR="00DB6E47" w:rsidRPr="00297A38" w:rsidRDefault="00DB6E47" w:rsidP="00DB6E47">
      <w:pPr>
        <w:pStyle w:val="Apara"/>
      </w:pPr>
      <w:r w:rsidRPr="00297A38">
        <w:lastRenderedPageBreak/>
        <w:tab/>
        <w:t>(c)</w:t>
      </w:r>
      <w:r w:rsidRPr="00297A38">
        <w:tab/>
        <w:t>the driver is using an electronic work diary supplied to the driver by the driver’s record keeper.</w:t>
      </w:r>
    </w:p>
    <w:p w14:paraId="3EF7A8F1" w14:textId="77777777" w:rsidR="00DB6E47" w:rsidRPr="00283AFC" w:rsidRDefault="00DB6E47" w:rsidP="00DB6E47">
      <w:pPr>
        <w:pStyle w:val="Amain"/>
      </w:pPr>
      <w:r w:rsidRPr="00283AFC">
        <w:tab/>
        <w:t>(2)</w:t>
      </w:r>
      <w:r w:rsidRPr="00283AFC">
        <w:tab/>
        <w:t>If the driver stops using the electronic work diary, the driver’s record keeper m</w:t>
      </w:r>
      <w:r w:rsidR="00E870A3">
        <w:t>ust immediately give the driver,</w:t>
      </w:r>
      <w:r w:rsidR="00E870A3">
        <w:rPr>
          <w:spacing w:val="1"/>
        </w:rPr>
        <w:t xml:space="preserve"> </w:t>
      </w:r>
      <w:r w:rsidR="00E870A3">
        <w:t>in</w:t>
      </w:r>
      <w:r w:rsidR="00E870A3">
        <w:rPr>
          <w:spacing w:val="1"/>
        </w:rPr>
        <w:t xml:space="preserve"> </w:t>
      </w:r>
      <w:r w:rsidR="00E870A3">
        <w:t>a</w:t>
      </w:r>
      <w:r w:rsidR="00E870A3">
        <w:rPr>
          <w:spacing w:val="1"/>
        </w:rPr>
        <w:t xml:space="preserve"> </w:t>
      </w:r>
      <w:r w:rsidR="00E870A3">
        <w:rPr>
          <w:spacing w:val="-1"/>
        </w:rPr>
        <w:t>way</w:t>
      </w:r>
      <w:r w:rsidR="00E870A3">
        <w:rPr>
          <w:spacing w:val="1"/>
        </w:rPr>
        <w:t xml:space="preserve"> </w:t>
      </w:r>
      <w:r w:rsidR="00E870A3">
        <w:t>that</w:t>
      </w:r>
      <w:r w:rsidR="00E870A3">
        <w:rPr>
          <w:spacing w:val="1"/>
        </w:rPr>
        <w:t xml:space="preserve"> </w:t>
      </w:r>
      <w:r w:rsidR="00E870A3">
        <w:rPr>
          <w:spacing w:val="-1"/>
        </w:rPr>
        <w:t>makes</w:t>
      </w:r>
      <w:r w:rsidR="00E870A3">
        <w:rPr>
          <w:spacing w:val="1"/>
        </w:rPr>
        <w:t xml:space="preserve"> </w:t>
      </w:r>
      <w:r w:rsidR="00E870A3">
        <w:t>the</w:t>
      </w:r>
      <w:r w:rsidR="00E870A3">
        <w:rPr>
          <w:spacing w:val="1"/>
        </w:rPr>
        <w:t xml:space="preserve"> </w:t>
      </w:r>
      <w:r w:rsidR="00E870A3">
        <w:rPr>
          <w:spacing w:val="-1"/>
        </w:rPr>
        <w:t>information</w:t>
      </w:r>
      <w:r w:rsidR="00E870A3">
        <w:rPr>
          <w:spacing w:val="1"/>
        </w:rPr>
        <w:t xml:space="preserve"> </w:t>
      </w:r>
      <w:r w:rsidR="00E870A3">
        <w:rPr>
          <w:spacing w:val="-1"/>
        </w:rPr>
        <w:t>readily</w:t>
      </w:r>
      <w:r w:rsidR="00E870A3">
        <w:rPr>
          <w:spacing w:val="1"/>
        </w:rPr>
        <w:t xml:space="preserve"> </w:t>
      </w:r>
      <w:r w:rsidR="00E870A3">
        <w:rPr>
          <w:spacing w:val="-2"/>
        </w:rPr>
        <w:t>available</w:t>
      </w:r>
      <w:r w:rsidR="00E870A3">
        <w:rPr>
          <w:spacing w:val="24"/>
        </w:rPr>
        <w:t xml:space="preserve"> </w:t>
      </w:r>
      <w:r w:rsidR="00E870A3">
        <w:rPr>
          <w:spacing w:val="-1"/>
        </w:rPr>
        <w:t>to</w:t>
      </w:r>
      <w:r w:rsidR="00E870A3">
        <w:rPr>
          <w:spacing w:val="51"/>
        </w:rPr>
        <w:t xml:space="preserve"> </w:t>
      </w:r>
      <w:r w:rsidR="00E870A3">
        <w:rPr>
          <w:spacing w:val="-1"/>
        </w:rPr>
        <w:t>the</w:t>
      </w:r>
      <w:r w:rsidR="00E870A3">
        <w:rPr>
          <w:spacing w:val="51"/>
        </w:rPr>
        <w:t xml:space="preserve"> </w:t>
      </w:r>
      <w:r w:rsidR="00E870A3">
        <w:rPr>
          <w:spacing w:val="-4"/>
        </w:rPr>
        <w:t>driver,</w:t>
      </w:r>
      <w:r w:rsidR="00E870A3">
        <w:rPr>
          <w:spacing w:val="51"/>
        </w:rPr>
        <w:t xml:space="preserve"> </w:t>
      </w:r>
      <w:r w:rsidR="00E870A3">
        <w:rPr>
          <w:spacing w:val="-1"/>
        </w:rPr>
        <w:t>the</w:t>
      </w:r>
      <w:r w:rsidR="00E870A3">
        <w:rPr>
          <w:spacing w:val="51"/>
        </w:rPr>
        <w:t xml:space="preserve"> </w:t>
      </w:r>
      <w:r w:rsidR="00E870A3">
        <w:rPr>
          <w:spacing w:val="-1"/>
        </w:rPr>
        <w:t>information</w:t>
      </w:r>
      <w:r w:rsidR="00E870A3">
        <w:rPr>
          <w:spacing w:val="51"/>
        </w:rPr>
        <w:t xml:space="preserve"> </w:t>
      </w:r>
      <w:r w:rsidR="00E870A3">
        <w:rPr>
          <w:spacing w:val="-1"/>
        </w:rPr>
        <w:t>recorded</w:t>
      </w:r>
      <w:r w:rsidR="00E870A3">
        <w:rPr>
          <w:spacing w:val="51"/>
        </w:rPr>
        <w:t xml:space="preserve"> </w:t>
      </w:r>
      <w:r w:rsidR="00E870A3">
        <w:rPr>
          <w:spacing w:val="-1"/>
        </w:rPr>
        <w:t>in</w:t>
      </w:r>
      <w:r w:rsidR="00E870A3">
        <w:rPr>
          <w:spacing w:val="51"/>
        </w:rPr>
        <w:t xml:space="preserve"> </w:t>
      </w:r>
      <w:r w:rsidR="00E870A3">
        <w:rPr>
          <w:spacing w:val="-1"/>
        </w:rPr>
        <w:t>the</w:t>
      </w:r>
      <w:r w:rsidR="00E870A3">
        <w:rPr>
          <w:spacing w:val="51"/>
        </w:rPr>
        <w:t xml:space="preserve"> </w:t>
      </w:r>
      <w:r w:rsidR="00E870A3">
        <w:rPr>
          <w:spacing w:val="-1"/>
        </w:rPr>
        <w:t>work</w:t>
      </w:r>
      <w:r w:rsidR="00E870A3">
        <w:rPr>
          <w:spacing w:val="22"/>
        </w:rPr>
        <w:t xml:space="preserve"> </w:t>
      </w:r>
      <w:r w:rsidR="00E870A3">
        <w:t>diary</w:t>
      </w:r>
      <w:r w:rsidRPr="00283AFC">
        <w:t xml:space="preserve"> for each day on which the driver was using the electronic work </w:t>
      </w:r>
      <w:r w:rsidR="00072301" w:rsidRPr="003323FC">
        <w:t>diary, unless the record keeper has a reasonable excuse.</w:t>
      </w:r>
    </w:p>
    <w:p w14:paraId="3E190B4E" w14:textId="77777777" w:rsidR="00DB6E47" w:rsidRPr="006C3305" w:rsidRDefault="00DB6E47" w:rsidP="00DB6E47">
      <w:pPr>
        <w:pStyle w:val="Penalty"/>
      </w:pPr>
      <w:r w:rsidRPr="006C3305">
        <w:t>Maximum penalty—$3000.</w:t>
      </w:r>
    </w:p>
    <w:p w14:paraId="61D37C6F" w14:textId="77777777" w:rsidR="00DB6E47" w:rsidRPr="00283AFC" w:rsidRDefault="00DB6E47" w:rsidP="00DB6E47">
      <w:pPr>
        <w:pStyle w:val="Amain"/>
      </w:pPr>
      <w:r w:rsidRPr="00283AFC">
        <w:tab/>
        <w:t>(3)</w:t>
      </w:r>
      <w:r w:rsidRPr="00283AFC">
        <w:tab/>
        <w:t>If the record keeper has engaged another person under a contract for ser</w:t>
      </w:r>
      <w:r w:rsidR="00B85801">
        <w:t xml:space="preserve">vices to comply with subsection </w:t>
      </w:r>
      <w:r w:rsidRPr="00283AFC">
        <w:t>(2)</w:t>
      </w:r>
      <w:r w:rsidR="00B85801">
        <w:t xml:space="preserve"> </w:t>
      </w:r>
      <w:r w:rsidRPr="00283AFC">
        <w:t>for the record keeper—</w:t>
      </w:r>
    </w:p>
    <w:p w14:paraId="0959AB02" w14:textId="77777777" w:rsidR="00DB6E47" w:rsidRPr="00297A38" w:rsidRDefault="00DB6E47" w:rsidP="00DB6E47">
      <w:pPr>
        <w:pStyle w:val="Apara"/>
      </w:pPr>
      <w:r w:rsidRPr="00297A38">
        <w:tab/>
        <w:t>(a)</w:t>
      </w:r>
      <w:r w:rsidRPr="00297A38">
        <w:tab/>
        <w:t>the record keeper remains liable for an offence against subsection (2); and</w:t>
      </w:r>
    </w:p>
    <w:p w14:paraId="500228CB" w14:textId="77777777" w:rsidR="00DB6E47" w:rsidRPr="00297A38" w:rsidRDefault="00DB6E47" w:rsidP="00DB6E47">
      <w:pPr>
        <w:pStyle w:val="Apara"/>
      </w:pPr>
      <w:r w:rsidRPr="00297A38">
        <w:tab/>
        <w:t>(b)</w:t>
      </w:r>
      <w:r w:rsidRPr="00297A38">
        <w:tab/>
        <w:t>the other person is also liable fo</w:t>
      </w:r>
      <w:r w:rsidR="00B85801">
        <w:t>r an offence against subsection </w:t>
      </w:r>
      <w:r w:rsidRPr="00297A38">
        <w:t>(2)</w:t>
      </w:r>
      <w:r w:rsidR="00B85801">
        <w:t xml:space="preserve"> </w:t>
      </w:r>
      <w:r w:rsidRPr="00297A38">
        <w:t>as if the other person were the record keeper mentioned in the subsection.</w:t>
      </w:r>
    </w:p>
    <w:p w14:paraId="7DE3CF01" w14:textId="77777777" w:rsidR="00D11B9F" w:rsidRDefault="00D11B9F" w:rsidP="00D11B9F">
      <w:pPr>
        <w:pStyle w:val="AH5Sec"/>
      </w:pPr>
      <w:bookmarkStart w:id="365" w:name="_Toc83625709"/>
      <w:r w:rsidRPr="005E03F7">
        <w:rPr>
          <w:rStyle w:val="CharSectNo"/>
        </w:rPr>
        <w:t>324A</w:t>
      </w:r>
      <w:r>
        <w:tab/>
      </w:r>
      <w:r w:rsidRPr="00D11B9F">
        <w:t>Record keeper must give record to driver if requested</w:t>
      </w:r>
      <w:bookmarkEnd w:id="365"/>
    </w:p>
    <w:p w14:paraId="278962B5" w14:textId="77777777" w:rsidR="00D11B9F" w:rsidRDefault="00D11B9F" w:rsidP="00D11B9F">
      <w:pPr>
        <w:pStyle w:val="Amain"/>
      </w:pPr>
      <w:r>
        <w:tab/>
      </w:r>
      <w:r w:rsidRPr="00D11B9F">
        <w:t>(1)</w:t>
      </w:r>
      <w:r w:rsidRPr="00D11B9F">
        <w:tab/>
        <w:t>This section applies if—</w:t>
      </w:r>
    </w:p>
    <w:p w14:paraId="5C9C91A5" w14:textId="77777777" w:rsidR="00D11B9F" w:rsidRPr="00D11B9F" w:rsidRDefault="00D11B9F" w:rsidP="00D11B9F">
      <w:pPr>
        <w:pStyle w:val="Apara"/>
      </w:pPr>
      <w:r w:rsidRPr="00D11B9F">
        <w:tab/>
        <w:t>(a)</w:t>
      </w:r>
      <w:r w:rsidRPr="00D11B9F">
        <w:tab/>
        <w:t>the driver of a fatigue-regulated heavy vehicle is required to record information in the driver’s work diary under Division 2; and</w:t>
      </w:r>
    </w:p>
    <w:p w14:paraId="7D8C4340" w14:textId="77777777" w:rsidR="00D11B9F" w:rsidRPr="00D11B9F" w:rsidRDefault="00D11B9F" w:rsidP="00D11B9F">
      <w:pPr>
        <w:pStyle w:val="Apara"/>
      </w:pPr>
      <w:r w:rsidRPr="00D11B9F">
        <w:tab/>
        <w:t>(b)</w:t>
      </w:r>
      <w:r w:rsidRPr="00D11B9F">
        <w:tab/>
        <w:t>the driver’s record keeper is a person other than the driver; and</w:t>
      </w:r>
    </w:p>
    <w:p w14:paraId="08FCE610" w14:textId="77777777" w:rsidR="00D11B9F" w:rsidRDefault="00D11B9F" w:rsidP="00D11B9F">
      <w:pPr>
        <w:pStyle w:val="Apara"/>
      </w:pPr>
      <w:r w:rsidRPr="00D11B9F">
        <w:tab/>
        <w:t>(c)</w:t>
      </w:r>
      <w:r w:rsidRPr="00D11B9F">
        <w:tab/>
        <w:t>the driver requests a record held under this Division by the record keeper.</w:t>
      </w:r>
    </w:p>
    <w:p w14:paraId="6912B85F" w14:textId="77777777" w:rsidR="00D11B9F" w:rsidRPr="00D11B9F" w:rsidRDefault="00D11B9F" w:rsidP="00D11B9F">
      <w:pPr>
        <w:pStyle w:val="Amain"/>
      </w:pPr>
      <w:r w:rsidRPr="00D11B9F">
        <w:tab/>
        <w:t>(2)</w:t>
      </w:r>
      <w:r w:rsidRPr="00D11B9F">
        <w:tab/>
        <w:t>The driver’s record keeper must, as soon as reasonably practicable—</w:t>
      </w:r>
    </w:p>
    <w:p w14:paraId="0E37F612" w14:textId="77777777" w:rsidR="00D11B9F" w:rsidRPr="00D11B9F" w:rsidRDefault="00D11B9F" w:rsidP="00D11B9F">
      <w:pPr>
        <w:pStyle w:val="Apara"/>
      </w:pPr>
      <w:r w:rsidRPr="00D11B9F">
        <w:tab/>
        <w:t>(a)</w:t>
      </w:r>
      <w:r w:rsidRPr="00D11B9F">
        <w:tab/>
        <w:t>give the driver a copy of the record, or make the record available to the driver; or</w:t>
      </w:r>
    </w:p>
    <w:p w14:paraId="13E7D70D" w14:textId="77777777" w:rsidR="00D11B9F" w:rsidRPr="00D11B9F" w:rsidRDefault="00D11B9F" w:rsidP="00D11B9F">
      <w:pPr>
        <w:pStyle w:val="Apara"/>
      </w:pPr>
      <w:r w:rsidRPr="00D11B9F">
        <w:lastRenderedPageBreak/>
        <w:tab/>
        <w:t>(b)</w:t>
      </w:r>
      <w:r w:rsidRPr="00D11B9F">
        <w:tab/>
        <w:t>if the information is recorded in an electronic work diary—give the driver, in a way that makes the information readily available to the driver, the information recorded in the work diary.</w:t>
      </w:r>
    </w:p>
    <w:p w14:paraId="4031BE47" w14:textId="77777777" w:rsidR="00D11B9F" w:rsidRPr="00D11B9F" w:rsidRDefault="00D11B9F" w:rsidP="00D11B9F">
      <w:pPr>
        <w:pStyle w:val="Penalty"/>
      </w:pPr>
      <w:r w:rsidRPr="00D11B9F">
        <w:t>Maximum penalty—$1500.</w:t>
      </w:r>
    </w:p>
    <w:p w14:paraId="4F5D783E" w14:textId="77777777" w:rsidR="00DB6E47" w:rsidRPr="005E03F7" w:rsidRDefault="00DB6E47" w:rsidP="00DB6E47">
      <w:pPr>
        <w:pStyle w:val="AH3Div"/>
      </w:pPr>
      <w:bookmarkStart w:id="366" w:name="_Toc83625710"/>
      <w:r w:rsidRPr="005E03F7">
        <w:rPr>
          <w:rStyle w:val="CharDivNo"/>
        </w:rPr>
        <w:t xml:space="preserve">Division 4 </w:t>
      </w:r>
      <w:r w:rsidRPr="00A95F9A">
        <w:rPr>
          <w:rFonts w:ascii="Helvetica" w:hAnsi="Helvetica" w:cs="Helvetica"/>
          <w:iCs/>
          <w:szCs w:val="28"/>
        </w:rPr>
        <w:tab/>
      </w:r>
      <w:r w:rsidRPr="005E03F7">
        <w:rPr>
          <w:rStyle w:val="CharDivText"/>
          <w:rFonts w:ascii="Helvetica" w:hAnsi="Helvetica" w:cs="Helvetica"/>
          <w:iCs/>
          <w:szCs w:val="28"/>
        </w:rPr>
        <w:t>Provisions about false representations relating to work records</w:t>
      </w:r>
      <w:bookmarkEnd w:id="366"/>
    </w:p>
    <w:p w14:paraId="4FDAC32E" w14:textId="77777777" w:rsidR="00DB6E47" w:rsidRPr="007E1F9A" w:rsidRDefault="00DB6E47" w:rsidP="00DB6E47">
      <w:pPr>
        <w:pStyle w:val="AH5Sec"/>
      </w:pPr>
      <w:bookmarkStart w:id="367" w:name="_Toc83625711"/>
      <w:r w:rsidRPr="005E03F7">
        <w:rPr>
          <w:rStyle w:val="CharSectNo"/>
        </w:rPr>
        <w:t>325</w:t>
      </w:r>
      <w:r w:rsidRPr="007E1F9A">
        <w:tab/>
        <w:t>False or misleading entries</w:t>
      </w:r>
      <w:bookmarkEnd w:id="367"/>
    </w:p>
    <w:p w14:paraId="167EA1B1" w14:textId="77777777" w:rsidR="00DB6E47" w:rsidRPr="00283AFC" w:rsidRDefault="00DB6E47" w:rsidP="00DB6E47">
      <w:pPr>
        <w:pStyle w:val="Amain"/>
      </w:pPr>
      <w:r w:rsidRPr="00283AFC">
        <w:tab/>
        <w:t>(1)</w:t>
      </w:r>
      <w:r w:rsidRPr="00283AFC">
        <w:tab/>
        <w:t>A person must not record something in a work record that the person knows, or ought reasonably to know, is false or misleading.</w:t>
      </w:r>
    </w:p>
    <w:p w14:paraId="130DBEF2" w14:textId="77777777" w:rsidR="00DB6E47" w:rsidRPr="006C3305" w:rsidRDefault="00DB6E47" w:rsidP="00DB6E47">
      <w:pPr>
        <w:pStyle w:val="Penalty"/>
      </w:pPr>
      <w:r w:rsidRPr="006C3305">
        <w:t>Maximum penalty—$10000.</w:t>
      </w:r>
    </w:p>
    <w:p w14:paraId="116313DF" w14:textId="77777777" w:rsidR="00DB6E47" w:rsidRPr="00C96203" w:rsidRDefault="00DB6E47" w:rsidP="00DB6E47">
      <w:pPr>
        <w:pStyle w:val="aNote"/>
      </w:pPr>
      <w:r w:rsidRPr="00FF4454">
        <w:rPr>
          <w:rStyle w:val="charItals"/>
        </w:rPr>
        <w:t>Note</w:t>
      </w:r>
      <w:r w:rsidRPr="00C96203">
        <w:rPr>
          <w:rFonts w:cs="Times"/>
          <w:bCs/>
          <w:iCs/>
        </w:rPr>
        <w:t>—</w:t>
      </w:r>
    </w:p>
    <w:p w14:paraId="20FE1034" w14:textId="77777777" w:rsidR="00DB6E47" w:rsidRPr="00C96203" w:rsidRDefault="00DB6E47" w:rsidP="00DB6E47">
      <w:pPr>
        <w:pStyle w:val="aNoteTextss"/>
      </w:pPr>
      <w:r w:rsidRPr="00C96203">
        <w:t>See section 632 for the matters a court may consider when deciding whether a person ought reasonably to have known something.</w:t>
      </w:r>
    </w:p>
    <w:p w14:paraId="4DC06B96" w14:textId="77777777" w:rsidR="00DB6E47" w:rsidRPr="00283AFC" w:rsidRDefault="00DB6E47" w:rsidP="00DB6E47">
      <w:pPr>
        <w:pStyle w:val="Amain"/>
      </w:pPr>
      <w:r w:rsidRPr="00283AFC">
        <w:tab/>
        <w:t>(2)</w:t>
      </w:r>
      <w:r w:rsidRPr="00283AFC">
        <w:tab/>
        <w:t>In a proceeding for an offence against subsection (1), it is enough for a charge to state that the entry was ‘false or misleading’, without specifying whether it was false or whether it was misleading.</w:t>
      </w:r>
    </w:p>
    <w:p w14:paraId="69EC4B62" w14:textId="77777777" w:rsidR="00DB6E47" w:rsidRPr="003B1F59" w:rsidRDefault="00DB6E47" w:rsidP="00DB6E47">
      <w:pPr>
        <w:pStyle w:val="AH5Sec"/>
      </w:pPr>
      <w:bookmarkStart w:id="368" w:name="_Toc83625712"/>
      <w:r w:rsidRPr="005E03F7">
        <w:rPr>
          <w:rStyle w:val="CharSectNo"/>
        </w:rPr>
        <w:t>326</w:t>
      </w:r>
      <w:r w:rsidRPr="007E1F9A">
        <w:tab/>
      </w:r>
      <w:r w:rsidR="003B1F59" w:rsidRPr="003B1F59">
        <w:t>When possessing, or recording information in, more than 1 work diary relating to the same period is prohibited</w:t>
      </w:r>
      <w:bookmarkEnd w:id="368"/>
    </w:p>
    <w:p w14:paraId="2914CC0A" w14:textId="77777777" w:rsidR="00DB6E47" w:rsidRPr="00283AFC" w:rsidRDefault="00DB6E47" w:rsidP="005568E2">
      <w:pPr>
        <w:pStyle w:val="Amain"/>
        <w:keepNext/>
      </w:pPr>
      <w:r w:rsidRPr="00283AFC">
        <w:tab/>
        <w:t>(1)</w:t>
      </w:r>
      <w:r w:rsidRPr="00283AFC">
        <w:tab/>
        <w:t>The driver of a fatigue-regulated heavy vehicle must not have in the driver’s possession more than 1 written work diary in which information can be recorded on a daily sheet.</w:t>
      </w:r>
    </w:p>
    <w:p w14:paraId="1DE46284" w14:textId="77777777" w:rsidR="00DB6E47" w:rsidRPr="006C3305" w:rsidRDefault="00DB6E47" w:rsidP="00DB6E47">
      <w:pPr>
        <w:pStyle w:val="Penalty"/>
      </w:pPr>
      <w:r w:rsidRPr="006C3305">
        <w:t>Maximum penalty—$10000.</w:t>
      </w:r>
    </w:p>
    <w:p w14:paraId="5DA43559" w14:textId="77777777" w:rsidR="00DB6E47" w:rsidRPr="00283AFC" w:rsidRDefault="00DB6E47" w:rsidP="00DB6E47">
      <w:pPr>
        <w:pStyle w:val="Amain"/>
      </w:pPr>
      <w:r w:rsidRPr="00283AFC">
        <w:tab/>
        <w:t>(2)</w:t>
      </w:r>
      <w:r w:rsidRPr="00283AFC">
        <w:tab/>
        <w:t>The driver of a fatigue-regulated heavy vehicle must not record information for the same period in—</w:t>
      </w:r>
    </w:p>
    <w:p w14:paraId="7F9F7789" w14:textId="77777777" w:rsidR="00DB6E47" w:rsidRPr="00297A38" w:rsidRDefault="00DB6E47" w:rsidP="00DB6E47">
      <w:pPr>
        <w:pStyle w:val="Apara"/>
      </w:pPr>
      <w:r w:rsidRPr="00297A38">
        <w:tab/>
        <w:t>(a)</w:t>
      </w:r>
      <w:r w:rsidRPr="00297A38">
        <w:tab/>
        <w:t>a written work diary and an electronic work diary; or</w:t>
      </w:r>
    </w:p>
    <w:p w14:paraId="23B9CBAA" w14:textId="77777777" w:rsidR="00DB6E47" w:rsidRPr="00297A38" w:rsidRDefault="00DB6E47" w:rsidP="00AE43F2">
      <w:pPr>
        <w:pStyle w:val="Apara"/>
        <w:keepNext/>
      </w:pPr>
      <w:r w:rsidRPr="00297A38">
        <w:lastRenderedPageBreak/>
        <w:tab/>
        <w:t>(b)</w:t>
      </w:r>
      <w:r w:rsidRPr="00297A38">
        <w:tab/>
        <w:t>more than 1 electronic work diary.</w:t>
      </w:r>
    </w:p>
    <w:p w14:paraId="29C70D34" w14:textId="77777777" w:rsidR="00DB6E47" w:rsidRPr="00C96203" w:rsidRDefault="00DB6E47" w:rsidP="00AE43F2">
      <w:pPr>
        <w:pStyle w:val="aExamHdgss"/>
      </w:pPr>
      <w:r w:rsidRPr="00C96203">
        <w:rPr>
          <w:rFonts w:cs="Times"/>
          <w:bCs/>
          <w:iCs/>
        </w:rPr>
        <w:t>Example—</w:t>
      </w:r>
    </w:p>
    <w:p w14:paraId="54525290" w14:textId="77777777" w:rsidR="00DB6E47" w:rsidRPr="00C96203" w:rsidRDefault="00DB6E47" w:rsidP="00AE43F2">
      <w:pPr>
        <w:pStyle w:val="aExamss"/>
        <w:keepNext/>
      </w:pPr>
      <w:r w:rsidRPr="00C96203">
        <w:t>The driver of a fatigue-regulated heavy vehicle works for A and B. The driver keeps a written work diary for work done for A and an electronic work diary for work done for B. On a particular day, the driver works from 1p.m. to 5p.m. for A and from 6p.m. to 11p.m. for B.</w:t>
      </w:r>
    </w:p>
    <w:p w14:paraId="753653DF" w14:textId="77777777" w:rsidR="00DB6E47" w:rsidRPr="00C96203" w:rsidRDefault="00DB6E47" w:rsidP="00DB6E47">
      <w:pPr>
        <w:pStyle w:val="aExamss"/>
      </w:pPr>
      <w:r w:rsidRPr="00C96203">
        <w:t>The driver must record the information about the period between 1p.m. and 5p.m. in the written work diary kept for A, and the information for the period between 6p.m. and 11p.m. in the electronic work diary kept for B.</w:t>
      </w:r>
    </w:p>
    <w:p w14:paraId="403C91FD" w14:textId="77777777" w:rsidR="00DB6E47" w:rsidRPr="00C96203" w:rsidRDefault="00DB6E47" w:rsidP="00DB6E47">
      <w:pPr>
        <w:pStyle w:val="aExamss"/>
      </w:pPr>
      <w:r w:rsidRPr="00C96203">
        <w:t>The driver must not record information about the period between 1p.m. and 5p.m., or the period between 6p.m. to 11p.m., in both the written work diary and electronic work diary.</w:t>
      </w:r>
    </w:p>
    <w:p w14:paraId="6EB97A0A" w14:textId="77777777" w:rsidR="00DB6E47" w:rsidRPr="006C3305" w:rsidRDefault="00DB6E47" w:rsidP="00DB6E47">
      <w:pPr>
        <w:pStyle w:val="Penalty"/>
      </w:pPr>
      <w:r w:rsidRPr="006C3305">
        <w:t>Maximum penalty—$10000.</w:t>
      </w:r>
    </w:p>
    <w:p w14:paraId="5C8BB762" w14:textId="77777777" w:rsidR="00DB6E47" w:rsidRPr="007E1F9A" w:rsidRDefault="00DB6E47" w:rsidP="00DB6E47">
      <w:pPr>
        <w:pStyle w:val="AH5Sec"/>
      </w:pPr>
      <w:bookmarkStart w:id="369" w:name="_Toc83625713"/>
      <w:r w:rsidRPr="005E03F7">
        <w:rPr>
          <w:rStyle w:val="CharSectNo"/>
        </w:rPr>
        <w:t>327</w:t>
      </w:r>
      <w:r w:rsidRPr="007E1F9A">
        <w:tab/>
        <w:t>Possession of purported work records etc. prohibited</w:t>
      </w:r>
      <w:bookmarkEnd w:id="369"/>
    </w:p>
    <w:p w14:paraId="77071E36" w14:textId="77777777" w:rsidR="00DB6E47" w:rsidRPr="00283AFC" w:rsidRDefault="00DB6E47" w:rsidP="00DB6E47">
      <w:pPr>
        <w:pStyle w:val="Amainreturn"/>
      </w:pPr>
      <w:r w:rsidRPr="00283AFC">
        <w:t>The driver of a fatigue-regulated heavy vehicle or the record keeper for a driver of a fatigue-regulated heavy vehicle must not have in the driver’s or record keeper’s possession a thing purporting to be a work record if the driver or record keeper knows, or ought reasonably to know, that it is not a work record.</w:t>
      </w:r>
    </w:p>
    <w:p w14:paraId="671F083C" w14:textId="77777777" w:rsidR="00DB6E47" w:rsidRPr="006C3305" w:rsidRDefault="00DB6E47" w:rsidP="00DB6E47">
      <w:pPr>
        <w:pStyle w:val="Penalty"/>
      </w:pPr>
      <w:r w:rsidRPr="006C3305">
        <w:t>Maximum penalty—$10000.</w:t>
      </w:r>
    </w:p>
    <w:p w14:paraId="2C8BC123" w14:textId="77777777" w:rsidR="00DB6E47" w:rsidRPr="00C96203" w:rsidRDefault="00DB6E47" w:rsidP="00DB6E47">
      <w:pPr>
        <w:pStyle w:val="aNote"/>
      </w:pPr>
      <w:r w:rsidRPr="00FF4454">
        <w:rPr>
          <w:rStyle w:val="charItals"/>
        </w:rPr>
        <w:t>Note</w:t>
      </w:r>
      <w:r w:rsidRPr="00C96203">
        <w:rPr>
          <w:rFonts w:cs="Times"/>
          <w:bCs/>
          <w:iCs/>
        </w:rPr>
        <w:t>—</w:t>
      </w:r>
    </w:p>
    <w:p w14:paraId="087D1F4E" w14:textId="77777777" w:rsidR="00DB6E47" w:rsidRPr="00C96203" w:rsidRDefault="00DB6E47" w:rsidP="00DB6E47">
      <w:pPr>
        <w:pStyle w:val="aNoteTextss"/>
      </w:pPr>
      <w:r w:rsidRPr="00C96203">
        <w:t>See section 632 for the matters a court may consider when deciding whether a person ought reasonably to have known something.</w:t>
      </w:r>
    </w:p>
    <w:p w14:paraId="4326A0AB" w14:textId="77777777" w:rsidR="00DB6E47" w:rsidRPr="007E1F9A" w:rsidRDefault="00DB6E47" w:rsidP="00DB6E47">
      <w:pPr>
        <w:pStyle w:val="AH5Sec"/>
      </w:pPr>
      <w:bookmarkStart w:id="370" w:name="_Toc83625714"/>
      <w:r w:rsidRPr="005E03F7">
        <w:rPr>
          <w:rStyle w:val="CharSectNo"/>
        </w:rPr>
        <w:t>328</w:t>
      </w:r>
      <w:r w:rsidRPr="007E1F9A">
        <w:tab/>
        <w:t>False representation about work records prohibited</w:t>
      </w:r>
      <w:bookmarkEnd w:id="370"/>
    </w:p>
    <w:p w14:paraId="3BEE95D7" w14:textId="77777777" w:rsidR="00DB6E47" w:rsidRPr="00283AFC" w:rsidRDefault="00DB6E47" w:rsidP="00DB6E47">
      <w:pPr>
        <w:pStyle w:val="Amainreturn"/>
      </w:pPr>
      <w:r w:rsidRPr="00283AFC">
        <w:t>A person must not falsely represent that a work record was made by the person.</w:t>
      </w:r>
    </w:p>
    <w:p w14:paraId="4AF72B27" w14:textId="77777777" w:rsidR="00DB6E47" w:rsidRPr="006C3305" w:rsidRDefault="00DB6E47" w:rsidP="00DB6E47">
      <w:pPr>
        <w:pStyle w:val="Penalty"/>
      </w:pPr>
      <w:r w:rsidRPr="006C3305">
        <w:t>Maximum penalty—$10000.</w:t>
      </w:r>
    </w:p>
    <w:p w14:paraId="073F4D0A" w14:textId="77777777" w:rsidR="00DB6E47" w:rsidRPr="005E03F7" w:rsidRDefault="00DB6E47" w:rsidP="00DB6E47">
      <w:pPr>
        <w:pStyle w:val="AH3Div"/>
      </w:pPr>
      <w:bookmarkStart w:id="371" w:name="_Toc83625715"/>
      <w:r w:rsidRPr="005E03F7">
        <w:rPr>
          <w:rStyle w:val="CharDivNo"/>
        </w:rPr>
        <w:lastRenderedPageBreak/>
        <w:t xml:space="preserve">Division 5 </w:t>
      </w:r>
      <w:r w:rsidRPr="00A95F9A">
        <w:rPr>
          <w:rFonts w:ascii="Helvetica" w:hAnsi="Helvetica" w:cs="Helvetica"/>
          <w:iCs/>
          <w:szCs w:val="28"/>
        </w:rPr>
        <w:tab/>
      </w:r>
      <w:r w:rsidRPr="005E03F7">
        <w:rPr>
          <w:rStyle w:val="CharDivText"/>
          <w:rFonts w:ascii="Helvetica" w:hAnsi="Helvetica" w:cs="Helvetica"/>
          <w:iCs/>
          <w:szCs w:val="28"/>
        </w:rPr>
        <w:t>Interfering with work records</w:t>
      </w:r>
      <w:bookmarkEnd w:id="371"/>
    </w:p>
    <w:p w14:paraId="227B3241" w14:textId="77777777" w:rsidR="00DB6E47" w:rsidRPr="00A95F9A" w:rsidRDefault="00DB6E47" w:rsidP="00DB6E47">
      <w:pPr>
        <w:pStyle w:val="AH4SubDiv"/>
      </w:pPr>
      <w:bookmarkStart w:id="372" w:name="_Toc83625716"/>
      <w:r w:rsidRPr="00A95F9A">
        <w:t xml:space="preserve">Subdivision 1 </w:t>
      </w:r>
      <w:r w:rsidRPr="00A95F9A">
        <w:tab/>
        <w:t>Work records generally</w:t>
      </w:r>
      <w:bookmarkEnd w:id="372"/>
    </w:p>
    <w:p w14:paraId="6B43B53D" w14:textId="77777777" w:rsidR="00DB6E47" w:rsidRPr="007E1F9A" w:rsidRDefault="00DB6E47" w:rsidP="00DB6E47">
      <w:pPr>
        <w:pStyle w:val="AH5Sec"/>
      </w:pPr>
      <w:bookmarkStart w:id="373" w:name="_Toc83625717"/>
      <w:r w:rsidRPr="005E03F7">
        <w:rPr>
          <w:rStyle w:val="CharSectNo"/>
        </w:rPr>
        <w:t>329</w:t>
      </w:r>
      <w:r w:rsidRPr="007E1F9A">
        <w:tab/>
        <w:t>Defacing or changing work records etc. prohibited</w:t>
      </w:r>
      <w:bookmarkEnd w:id="373"/>
    </w:p>
    <w:p w14:paraId="1F8CC5E5" w14:textId="77777777" w:rsidR="00DB6E47" w:rsidRPr="00283AFC" w:rsidRDefault="00DB6E47" w:rsidP="00D80638">
      <w:pPr>
        <w:pStyle w:val="Amainreturn"/>
        <w:keepNext/>
      </w:pPr>
      <w:r w:rsidRPr="00283AFC">
        <w:t>A person must not deface or change a work record that the person knows, or ought reasonably to know, is correct.</w:t>
      </w:r>
    </w:p>
    <w:p w14:paraId="7690A8D9" w14:textId="77777777" w:rsidR="00DB6E47" w:rsidRPr="006C3305" w:rsidRDefault="00DB6E47" w:rsidP="00D80638">
      <w:pPr>
        <w:pStyle w:val="Penalty"/>
        <w:keepNext/>
      </w:pPr>
      <w:r w:rsidRPr="006C3305">
        <w:t>Maximum penalty—$10000.</w:t>
      </w:r>
    </w:p>
    <w:p w14:paraId="26AA71B0" w14:textId="77777777" w:rsidR="00DB6E47" w:rsidRPr="00C96203" w:rsidRDefault="00DB6E47" w:rsidP="00DB6E47">
      <w:pPr>
        <w:pStyle w:val="aNote"/>
      </w:pPr>
      <w:r w:rsidRPr="00FF4454">
        <w:rPr>
          <w:rStyle w:val="charItals"/>
        </w:rPr>
        <w:t>Note</w:t>
      </w:r>
      <w:r w:rsidRPr="00C96203">
        <w:rPr>
          <w:rFonts w:cs="Times"/>
          <w:bCs/>
          <w:iCs/>
        </w:rPr>
        <w:t>—</w:t>
      </w:r>
    </w:p>
    <w:p w14:paraId="73D8334B" w14:textId="77777777" w:rsidR="00DB6E47" w:rsidRPr="00C96203" w:rsidRDefault="00DB6E47" w:rsidP="00DB6E47">
      <w:pPr>
        <w:pStyle w:val="aExamINumss"/>
      </w:pPr>
      <w:r w:rsidRPr="00C96203">
        <w:t xml:space="preserve">1 </w:t>
      </w:r>
      <w:r w:rsidRPr="00C96203">
        <w:tab/>
        <w:t>Giving a false or misleading document to an official is prohibited by section</w:t>
      </w:r>
      <w:r w:rsidR="0049445A">
        <w:t> </w:t>
      </w:r>
      <w:r w:rsidRPr="00C96203">
        <w:t>702.</w:t>
      </w:r>
    </w:p>
    <w:p w14:paraId="4834B397" w14:textId="77777777" w:rsidR="00DB6E47" w:rsidRPr="00C96203" w:rsidRDefault="00DB6E47" w:rsidP="00DB6E47">
      <w:pPr>
        <w:pStyle w:val="aExamINumss"/>
      </w:pPr>
      <w:r w:rsidRPr="00C96203">
        <w:t xml:space="preserve">2 </w:t>
      </w:r>
      <w:r w:rsidRPr="00C96203">
        <w:tab/>
        <w:t>See section 341 for the requirement that the record keeper for the driver of a fatigue-regulated heavy vehicle keep particular records in a way that ensures they are readable and reasonably capable of being understood and capable of being used as evidence.</w:t>
      </w:r>
    </w:p>
    <w:p w14:paraId="28DA7EB3" w14:textId="77777777" w:rsidR="00DB6E47" w:rsidRPr="00C96203" w:rsidRDefault="00DB6E47" w:rsidP="00DB6E47">
      <w:pPr>
        <w:pStyle w:val="aExamINumss"/>
      </w:pPr>
      <w:r w:rsidRPr="00C96203">
        <w:t xml:space="preserve">3 </w:t>
      </w:r>
      <w:r w:rsidRPr="00C96203">
        <w:tab/>
        <w:t>See section 632 for the matters a court may consider when deciding whether a person ought reasonably to have known something.</w:t>
      </w:r>
    </w:p>
    <w:p w14:paraId="613B6082" w14:textId="77777777" w:rsidR="00DB6E47" w:rsidRPr="007E1F9A" w:rsidRDefault="00DB6E47" w:rsidP="00DB6E47">
      <w:pPr>
        <w:pStyle w:val="AH5Sec"/>
      </w:pPr>
      <w:bookmarkStart w:id="374" w:name="_Toc83625718"/>
      <w:r w:rsidRPr="005E03F7">
        <w:rPr>
          <w:rStyle w:val="CharSectNo"/>
        </w:rPr>
        <w:t>330</w:t>
      </w:r>
      <w:r w:rsidRPr="007E1F9A">
        <w:tab/>
        <w:t>Making entries in someone else’s work records prohibited</w:t>
      </w:r>
      <w:bookmarkEnd w:id="374"/>
    </w:p>
    <w:p w14:paraId="3DF24001" w14:textId="77777777" w:rsidR="00DB6E47" w:rsidRPr="00283AFC" w:rsidRDefault="00DB6E47" w:rsidP="00DB6E47">
      <w:pPr>
        <w:pStyle w:val="Amain"/>
      </w:pPr>
      <w:r w:rsidRPr="00283AFC">
        <w:tab/>
        <w:t>(1)</w:t>
      </w:r>
      <w:r w:rsidRPr="00283AFC">
        <w:tab/>
        <w:t>A person must not make an entry in someone else’s work record.</w:t>
      </w:r>
    </w:p>
    <w:p w14:paraId="118E4BF8" w14:textId="77777777" w:rsidR="00DB6E47" w:rsidRPr="006C3305" w:rsidRDefault="00DB6E47" w:rsidP="00DB6E47">
      <w:pPr>
        <w:pStyle w:val="Penalty"/>
      </w:pPr>
      <w:r w:rsidRPr="006C3305">
        <w:t>Maximum penalty—$10000.</w:t>
      </w:r>
    </w:p>
    <w:p w14:paraId="1B052843" w14:textId="77777777" w:rsidR="00DB6E47" w:rsidRPr="00283AFC" w:rsidRDefault="007E36B8" w:rsidP="00DB6E47">
      <w:pPr>
        <w:pStyle w:val="Amain"/>
      </w:pPr>
      <w:r>
        <w:tab/>
        <w:t>(2)</w:t>
      </w:r>
      <w:r>
        <w:tab/>
        <w:t xml:space="preserve">Subsection </w:t>
      </w:r>
      <w:r w:rsidR="00DB6E47" w:rsidRPr="00283AFC">
        <w:t>(1)</w:t>
      </w:r>
      <w:r>
        <w:t xml:space="preserve"> </w:t>
      </w:r>
      <w:r w:rsidR="00DB6E47" w:rsidRPr="00283AFC">
        <w:t>does not apply to—</w:t>
      </w:r>
    </w:p>
    <w:p w14:paraId="2FE64A8A" w14:textId="77777777" w:rsidR="00DB6E47" w:rsidRPr="00297A38" w:rsidRDefault="00DB6E47" w:rsidP="00DB6E47">
      <w:pPr>
        <w:pStyle w:val="Apara"/>
      </w:pPr>
      <w:r w:rsidRPr="00297A38">
        <w:tab/>
        <w:t>(a)</w:t>
      </w:r>
      <w:r w:rsidRPr="00297A38">
        <w:tab/>
        <w:t>a person who—</w:t>
      </w:r>
    </w:p>
    <w:p w14:paraId="30C64C74" w14:textId="77777777" w:rsidR="00DB6E47" w:rsidRPr="00516F02" w:rsidRDefault="00DB6E47" w:rsidP="00DB6E47">
      <w:pPr>
        <w:pStyle w:val="Asubpara"/>
      </w:pPr>
      <w:r w:rsidRPr="00516F02">
        <w:tab/>
        <w:t>(i)</w:t>
      </w:r>
      <w:r w:rsidRPr="00516F02">
        <w:tab/>
        <w:t>makes an entry in another person’s work diary under a work diary exemption (permit) applying to the other person; and</w:t>
      </w:r>
    </w:p>
    <w:p w14:paraId="426FBA15" w14:textId="77777777" w:rsidR="00DB6E47" w:rsidRPr="00516F02" w:rsidRDefault="00DB6E47" w:rsidP="00DB6E47">
      <w:pPr>
        <w:pStyle w:val="Asubpara"/>
      </w:pPr>
      <w:r w:rsidRPr="00516F02">
        <w:tab/>
        <w:t>(ii)</w:t>
      </w:r>
      <w:r w:rsidRPr="00516F02">
        <w:tab/>
        <w:t>is nominated by the other person to make the entry; or</w:t>
      </w:r>
    </w:p>
    <w:p w14:paraId="53429D75" w14:textId="77777777" w:rsidR="00DB6E47" w:rsidRPr="00297A38" w:rsidRDefault="00DB6E47" w:rsidP="00DB6E47">
      <w:pPr>
        <w:pStyle w:val="Apara"/>
      </w:pPr>
      <w:r w:rsidRPr="00297A38">
        <w:tab/>
        <w:t>(b)</w:t>
      </w:r>
      <w:r w:rsidRPr="00297A38">
        <w:tab/>
        <w:t>an authorised officer; or</w:t>
      </w:r>
    </w:p>
    <w:p w14:paraId="3D9F6593" w14:textId="77777777" w:rsidR="00DB6E47" w:rsidRPr="00297A38" w:rsidRDefault="00DB6E47" w:rsidP="00AE43F2">
      <w:pPr>
        <w:pStyle w:val="Apara"/>
        <w:keepNext/>
      </w:pPr>
      <w:r w:rsidRPr="00297A38">
        <w:lastRenderedPageBreak/>
        <w:tab/>
        <w:t>(c)</w:t>
      </w:r>
      <w:r w:rsidRPr="00297A38">
        <w:tab/>
        <w:t>a party to a two-up driving arrangement—</w:t>
      </w:r>
    </w:p>
    <w:p w14:paraId="27088A9A" w14:textId="77777777" w:rsidR="00DB6E47" w:rsidRPr="00516F02" w:rsidRDefault="00DB6E47" w:rsidP="00DB6E47">
      <w:pPr>
        <w:pStyle w:val="Asubpara"/>
      </w:pPr>
      <w:r w:rsidRPr="00516F02">
        <w:tab/>
        <w:t>(i)</w:t>
      </w:r>
      <w:r w:rsidRPr="00516F02">
        <w:tab/>
        <w:t>signing the written work diary of the other party to the arrangement; or</w:t>
      </w:r>
    </w:p>
    <w:p w14:paraId="0DB9F364" w14:textId="77777777" w:rsidR="00DB6E47" w:rsidRPr="00516F02" w:rsidRDefault="00DB6E47" w:rsidP="00DB6E47">
      <w:pPr>
        <w:pStyle w:val="Asubpara"/>
      </w:pPr>
      <w:r w:rsidRPr="00516F02">
        <w:tab/>
        <w:t>(ii)</w:t>
      </w:r>
      <w:r w:rsidRPr="00516F02">
        <w:tab/>
        <w:t>making an entry in the other party’s electronic work diary indicating the party’s approval of the information recorded in the work diary.</w:t>
      </w:r>
    </w:p>
    <w:p w14:paraId="31BAF4B5" w14:textId="77777777" w:rsidR="00DB6E47" w:rsidRPr="007E1F9A" w:rsidRDefault="00DB6E47" w:rsidP="00DB6E47">
      <w:pPr>
        <w:pStyle w:val="AH5Sec"/>
      </w:pPr>
      <w:bookmarkStart w:id="375" w:name="_Toc83625719"/>
      <w:r w:rsidRPr="005E03F7">
        <w:rPr>
          <w:rStyle w:val="CharSectNo"/>
        </w:rPr>
        <w:t>331</w:t>
      </w:r>
      <w:r w:rsidRPr="007E1F9A">
        <w:tab/>
        <w:t>Destruction of particular work records prohibited</w:t>
      </w:r>
      <w:bookmarkEnd w:id="375"/>
    </w:p>
    <w:p w14:paraId="6C4A9220" w14:textId="77777777" w:rsidR="00DB6E47" w:rsidRPr="00283AFC" w:rsidRDefault="00DB6E47" w:rsidP="00DB6E47">
      <w:pPr>
        <w:pStyle w:val="Amainreturn"/>
      </w:pPr>
      <w:r w:rsidRPr="00283AFC">
        <w:t>If a work record is required under (or by a condition under) this Part to be kept for a particular period by a person, the person or someone else must not destroy the record before the end of the period.</w:t>
      </w:r>
    </w:p>
    <w:p w14:paraId="03D4D5AE" w14:textId="77777777" w:rsidR="00DB6E47" w:rsidRPr="006C3305" w:rsidRDefault="00DB6E47" w:rsidP="00DB6E47">
      <w:pPr>
        <w:pStyle w:val="Penalty"/>
      </w:pPr>
      <w:r w:rsidRPr="006C3305">
        <w:t>Maximum penalty—$10000.</w:t>
      </w:r>
    </w:p>
    <w:p w14:paraId="17163806" w14:textId="77777777" w:rsidR="00DB6E47" w:rsidRPr="00C96203" w:rsidRDefault="00DB6E47" w:rsidP="00DB6E47">
      <w:pPr>
        <w:pStyle w:val="aNote"/>
      </w:pPr>
      <w:r w:rsidRPr="00FF4454">
        <w:rPr>
          <w:rStyle w:val="charItals"/>
        </w:rPr>
        <w:t>Note</w:t>
      </w:r>
      <w:r w:rsidRPr="00C96203">
        <w:rPr>
          <w:rFonts w:cs="Times"/>
          <w:bCs/>
          <w:iCs/>
        </w:rPr>
        <w:t>—</w:t>
      </w:r>
    </w:p>
    <w:p w14:paraId="4A70006A" w14:textId="77777777" w:rsidR="00DB6E47" w:rsidRPr="00C96203" w:rsidRDefault="00DB6E47" w:rsidP="00DB6E47">
      <w:pPr>
        <w:pStyle w:val="aNoteTextss"/>
      </w:pPr>
      <w:r w:rsidRPr="00C96203">
        <w:t>See section 341 for the period for which record keepers for drivers of fatigue-regulated heavy vehicles are required to keep particular work records.</w:t>
      </w:r>
    </w:p>
    <w:p w14:paraId="45CCD23A" w14:textId="77777777" w:rsidR="00DB6E47" w:rsidRPr="007E1F9A" w:rsidRDefault="00DB6E47" w:rsidP="00DB6E47">
      <w:pPr>
        <w:pStyle w:val="AH5Sec"/>
      </w:pPr>
      <w:bookmarkStart w:id="376" w:name="_Toc83625720"/>
      <w:r w:rsidRPr="005E03F7">
        <w:rPr>
          <w:rStyle w:val="CharSectNo"/>
        </w:rPr>
        <w:t>332</w:t>
      </w:r>
      <w:r w:rsidRPr="007E1F9A">
        <w:tab/>
        <w:t>Offence to remove pages from written work diary</w:t>
      </w:r>
      <w:bookmarkEnd w:id="376"/>
    </w:p>
    <w:p w14:paraId="5DA9CE3D" w14:textId="77777777" w:rsidR="00DB6E47" w:rsidRPr="00283AFC" w:rsidRDefault="00DB6E47" w:rsidP="00DB6E47">
      <w:pPr>
        <w:pStyle w:val="Amainreturn"/>
      </w:pPr>
      <w:r w:rsidRPr="00283AFC">
        <w:t>A person must not remove a daily sheet, or the duplicates of a daily sheet, from a written work diary except as required or authorised by this Law or a corresponding fatigue law.</w:t>
      </w:r>
    </w:p>
    <w:p w14:paraId="5659EBD3" w14:textId="77777777" w:rsidR="00DB6E47" w:rsidRPr="006C3305" w:rsidRDefault="00DB6E47" w:rsidP="00DB6E47">
      <w:pPr>
        <w:pStyle w:val="Penalty"/>
      </w:pPr>
      <w:r w:rsidRPr="006C3305">
        <w:t>Maximum penalty—$10000.</w:t>
      </w:r>
    </w:p>
    <w:p w14:paraId="52B8EC8C" w14:textId="77777777" w:rsidR="00A77F94" w:rsidRPr="00A77F94" w:rsidRDefault="00A77F94" w:rsidP="00A77F94">
      <w:pPr>
        <w:pStyle w:val="PageBreak"/>
      </w:pPr>
      <w:r w:rsidRPr="00A77F94">
        <w:br w:type="page"/>
      </w:r>
    </w:p>
    <w:p w14:paraId="1B578A1B" w14:textId="77777777" w:rsidR="00DB6E47" w:rsidRPr="00A95F9A" w:rsidRDefault="00DB6E47" w:rsidP="00DB6E47">
      <w:pPr>
        <w:pStyle w:val="AH4SubDiv"/>
      </w:pPr>
      <w:bookmarkStart w:id="377" w:name="_Toc83625721"/>
      <w:r w:rsidRPr="00A95F9A">
        <w:lastRenderedPageBreak/>
        <w:t xml:space="preserve">Subdivision 2 </w:t>
      </w:r>
      <w:r w:rsidRPr="00A95F9A">
        <w:tab/>
        <w:t>Approved electronic recording systems</w:t>
      </w:r>
      <w:bookmarkEnd w:id="377"/>
    </w:p>
    <w:p w14:paraId="085A0015" w14:textId="77777777" w:rsidR="00DB6E47" w:rsidRPr="007E1F9A" w:rsidRDefault="00DB6E47" w:rsidP="00DB6E47">
      <w:pPr>
        <w:pStyle w:val="AH5Sec"/>
      </w:pPr>
      <w:bookmarkStart w:id="378" w:name="_Toc83625722"/>
      <w:r w:rsidRPr="005E03F7">
        <w:rPr>
          <w:rStyle w:val="CharSectNo"/>
        </w:rPr>
        <w:t>333</w:t>
      </w:r>
      <w:r w:rsidRPr="007E1F9A">
        <w:tab/>
        <w:t>Application of Sdiv 2</w:t>
      </w:r>
      <w:bookmarkEnd w:id="378"/>
    </w:p>
    <w:p w14:paraId="7FC1EA09" w14:textId="77777777" w:rsidR="00DB6E47" w:rsidRPr="00283AFC" w:rsidRDefault="00DB6E47" w:rsidP="00DB6E47">
      <w:pPr>
        <w:pStyle w:val="Amainreturn"/>
      </w:pPr>
      <w:r w:rsidRPr="00283AFC">
        <w:t>This Subdivision applies to an approved electronic recording system constituting an electronic work diary or of which an electronic work diary is a part.</w:t>
      </w:r>
    </w:p>
    <w:p w14:paraId="4D3C5541" w14:textId="77777777" w:rsidR="00DB6E47" w:rsidRPr="007E1F9A" w:rsidRDefault="00DB6E47" w:rsidP="00DB6E47">
      <w:pPr>
        <w:pStyle w:val="AH5Sec"/>
      </w:pPr>
      <w:bookmarkStart w:id="379" w:name="_Toc83625723"/>
      <w:r w:rsidRPr="005E03F7">
        <w:rPr>
          <w:rStyle w:val="CharSectNo"/>
        </w:rPr>
        <w:t>334</w:t>
      </w:r>
      <w:r w:rsidRPr="007E1F9A">
        <w:tab/>
        <w:t xml:space="preserve">Meaning of </w:t>
      </w:r>
      <w:r w:rsidRPr="00FF4454">
        <w:rPr>
          <w:rStyle w:val="charItals"/>
        </w:rPr>
        <w:t>tamper</w:t>
      </w:r>
      <w:bookmarkEnd w:id="379"/>
    </w:p>
    <w:p w14:paraId="1E9F6D5E" w14:textId="77777777" w:rsidR="00DB6E47" w:rsidRPr="0049445A" w:rsidRDefault="00DB6E47" w:rsidP="00AE43F2">
      <w:pPr>
        <w:pStyle w:val="Amainreturn"/>
        <w:keepNext/>
      </w:pPr>
      <w:r w:rsidRPr="0049445A">
        <w:t>Tamper with an approved electronic recording system means—</w:t>
      </w:r>
    </w:p>
    <w:p w14:paraId="65335EF3" w14:textId="77777777" w:rsidR="00DB6E47" w:rsidRPr="006C3305" w:rsidRDefault="00DB6E47" w:rsidP="00DB6E47">
      <w:pPr>
        <w:pStyle w:val="aDefpara"/>
      </w:pPr>
      <w:r w:rsidRPr="00FF4454">
        <w:tab/>
      </w:r>
      <w:r w:rsidRPr="00F04D8E">
        <w:rPr>
          <w:rFonts w:cs="Times"/>
          <w:bCs/>
          <w:iCs/>
        </w:rPr>
        <w:t>(a)</w:t>
      </w:r>
      <w:r w:rsidRPr="00FF4454">
        <w:rPr>
          <w:rStyle w:val="charBoldItals"/>
        </w:rPr>
        <w:tab/>
      </w:r>
      <w:r w:rsidRPr="00092C0B">
        <w:t>engage in conduct that—</w:t>
      </w:r>
    </w:p>
    <w:p w14:paraId="7ECE8C21" w14:textId="77777777" w:rsidR="00DB6E47" w:rsidRPr="006C3305" w:rsidRDefault="00DB6E47" w:rsidP="00DB6E47">
      <w:pPr>
        <w:pStyle w:val="aDefsubpara"/>
      </w:pPr>
      <w:r>
        <w:tab/>
      </w:r>
      <w:r w:rsidRPr="00F04D8E">
        <w:t>(i)</w:t>
      </w:r>
      <w:r w:rsidRPr="006C3305">
        <w:tab/>
        <w:t>results in the system, or a part of the system, malfunctioning; or</w:t>
      </w:r>
    </w:p>
    <w:p w14:paraId="54E2D7DB" w14:textId="77777777" w:rsidR="00DB6E47" w:rsidRPr="007E36B8" w:rsidRDefault="00DB6E47" w:rsidP="007E36B8">
      <w:pPr>
        <w:pStyle w:val="Asubpara"/>
      </w:pPr>
      <w:r w:rsidRPr="007E36B8">
        <w:tab/>
        <w:t>(ii)</w:t>
      </w:r>
      <w:r w:rsidRPr="007E36B8">
        <w:tab/>
        <w:t>could result in the system, or a part of the system, malfunctioning; or</w:t>
      </w:r>
    </w:p>
    <w:p w14:paraId="1D7FCECB" w14:textId="77777777" w:rsidR="00DB6E47" w:rsidRPr="007E36B8" w:rsidRDefault="00DB6E47" w:rsidP="007E36B8">
      <w:pPr>
        <w:pStyle w:val="Asubpara"/>
      </w:pPr>
      <w:r w:rsidRPr="007E36B8">
        <w:tab/>
        <w:t>(iii)</w:t>
      </w:r>
      <w:r w:rsidRPr="007E36B8">
        <w:tab/>
        <w:t>alters any of the data recorded by the system or a part of the system; or</w:t>
      </w:r>
    </w:p>
    <w:p w14:paraId="4B2CFA3E" w14:textId="77777777" w:rsidR="00DB6E47" w:rsidRPr="007E36B8" w:rsidRDefault="00DB6E47" w:rsidP="007E36B8">
      <w:pPr>
        <w:pStyle w:val="Asubpara"/>
      </w:pPr>
      <w:r w:rsidRPr="007E36B8">
        <w:tab/>
        <w:t>(iv)</w:t>
      </w:r>
      <w:r w:rsidRPr="007E36B8">
        <w:tab/>
        <w:t>could alter any of the data recorded by the system or a part of the system; or</w:t>
      </w:r>
    </w:p>
    <w:p w14:paraId="1788F4B8" w14:textId="77777777" w:rsidR="00DB6E47" w:rsidRPr="007E36B8" w:rsidRDefault="00DB6E47" w:rsidP="007E36B8">
      <w:pPr>
        <w:pStyle w:val="Asubpara"/>
      </w:pPr>
      <w:r w:rsidRPr="007E36B8">
        <w:tab/>
        <w:t>(v)</w:t>
      </w:r>
      <w:r w:rsidRPr="007E36B8">
        <w:tab/>
        <w:t>results in inaccurate information being recorded by the system or a part of the system; or</w:t>
      </w:r>
    </w:p>
    <w:p w14:paraId="7C20E24C" w14:textId="77777777" w:rsidR="00DB6E47" w:rsidRPr="007E36B8" w:rsidRDefault="00DB6E47" w:rsidP="007E36B8">
      <w:pPr>
        <w:pStyle w:val="Asubpara"/>
      </w:pPr>
      <w:r w:rsidRPr="007E36B8">
        <w:tab/>
        <w:t>(vi)</w:t>
      </w:r>
      <w:r w:rsidRPr="007E36B8">
        <w:tab/>
        <w:t>could result in inaccurate information being recorded by the system or a part of the system; or</w:t>
      </w:r>
    </w:p>
    <w:p w14:paraId="14968B4D" w14:textId="77777777" w:rsidR="00DB6E47" w:rsidRPr="007E36B8" w:rsidRDefault="00DB6E47" w:rsidP="00DB6E47">
      <w:pPr>
        <w:pStyle w:val="aDefpara"/>
      </w:pPr>
      <w:r w:rsidRPr="00FF4454">
        <w:tab/>
      </w:r>
      <w:r w:rsidRPr="00F04D8E">
        <w:rPr>
          <w:rFonts w:cs="Times"/>
          <w:bCs/>
          <w:iCs/>
        </w:rPr>
        <w:t>(b)</w:t>
      </w:r>
      <w:r w:rsidRPr="00FF4454">
        <w:rPr>
          <w:rStyle w:val="charBoldItals"/>
        </w:rPr>
        <w:tab/>
      </w:r>
      <w:r w:rsidRPr="007E36B8">
        <w:t xml:space="preserve">engage in conduct that alters or otherwise interferes with an electronic signal sent to or from the system, or a part of the system, if the alteration or interference has or could have an effect mentioned in paragraph </w:t>
      </w:r>
      <w:r w:rsidR="007E36B8">
        <w:t>(a)</w:t>
      </w:r>
      <w:r w:rsidRPr="007E36B8">
        <w:t>(i)</w:t>
      </w:r>
      <w:r w:rsidR="007E36B8">
        <w:t xml:space="preserve">, </w:t>
      </w:r>
      <w:r w:rsidRPr="007E36B8">
        <w:t>(iii)</w:t>
      </w:r>
      <w:r w:rsidR="007E36B8">
        <w:t xml:space="preserve"> </w:t>
      </w:r>
      <w:r w:rsidRPr="007E36B8">
        <w:t>or (v).</w:t>
      </w:r>
    </w:p>
    <w:p w14:paraId="6E6ACF07" w14:textId="77777777" w:rsidR="00DB6E47" w:rsidRPr="007E1F9A" w:rsidRDefault="00DB6E47" w:rsidP="00DB6E47">
      <w:pPr>
        <w:pStyle w:val="AH5Sec"/>
      </w:pPr>
      <w:bookmarkStart w:id="380" w:name="_Toc83625724"/>
      <w:r w:rsidRPr="005E03F7">
        <w:rPr>
          <w:rStyle w:val="CharSectNo"/>
        </w:rPr>
        <w:lastRenderedPageBreak/>
        <w:t>335</w:t>
      </w:r>
      <w:r w:rsidRPr="007E1F9A">
        <w:tab/>
        <w:t>Person must not tamper with approved electronic recording system</w:t>
      </w:r>
      <w:bookmarkEnd w:id="380"/>
    </w:p>
    <w:p w14:paraId="12953961" w14:textId="77777777" w:rsidR="00DB6E47" w:rsidRPr="00283AFC" w:rsidRDefault="00DB6E47" w:rsidP="00DB6E47">
      <w:pPr>
        <w:pStyle w:val="Amain"/>
      </w:pPr>
      <w:r w:rsidRPr="00283AFC">
        <w:tab/>
        <w:t>(1)</w:t>
      </w:r>
      <w:r w:rsidRPr="00283AFC">
        <w:tab/>
        <w:t>A person must not tamper with an approved electronic recording system.</w:t>
      </w:r>
    </w:p>
    <w:p w14:paraId="01C6FF35" w14:textId="77777777" w:rsidR="00DB6E47" w:rsidRPr="006C3305" w:rsidRDefault="00DB6E47" w:rsidP="00DB6E47">
      <w:pPr>
        <w:pStyle w:val="Penalty"/>
      </w:pPr>
      <w:r w:rsidRPr="006C3305">
        <w:t>Maximum penalty—$10000.</w:t>
      </w:r>
    </w:p>
    <w:p w14:paraId="4A3933E0" w14:textId="77777777" w:rsidR="00DB6E47" w:rsidRPr="00283AFC" w:rsidRDefault="007E36B8" w:rsidP="00DB6E47">
      <w:pPr>
        <w:pStyle w:val="Amain"/>
      </w:pPr>
      <w:r>
        <w:tab/>
        <w:t>(2)</w:t>
      </w:r>
      <w:r>
        <w:tab/>
        <w:t xml:space="preserve">Subsection </w:t>
      </w:r>
      <w:r w:rsidR="00DB6E47" w:rsidRPr="00283AFC">
        <w:t>(1)</w:t>
      </w:r>
      <w:r>
        <w:t xml:space="preserve"> </w:t>
      </w:r>
      <w:r w:rsidR="00DB6E47" w:rsidRPr="00283AFC">
        <w:t>does not apply to—</w:t>
      </w:r>
    </w:p>
    <w:p w14:paraId="0F87E4E2" w14:textId="77777777" w:rsidR="00DB6E47" w:rsidRPr="00297A38" w:rsidRDefault="00DB6E47" w:rsidP="00DB6E47">
      <w:pPr>
        <w:pStyle w:val="Apara"/>
      </w:pPr>
      <w:r w:rsidRPr="00297A38">
        <w:tab/>
        <w:t>(a)</w:t>
      </w:r>
      <w:r w:rsidRPr="00297A38">
        <w:tab/>
        <w:t>conduct associated with repairing an approved electronic recording system, or a part of an approved electronic recording system, that is malfunctioning or has malfunctioned; or</w:t>
      </w:r>
    </w:p>
    <w:p w14:paraId="6B6467AC" w14:textId="77777777" w:rsidR="00DB6E47" w:rsidRPr="00297A38" w:rsidRDefault="00DB6E47" w:rsidP="00DB6E47">
      <w:pPr>
        <w:pStyle w:val="Apara"/>
      </w:pPr>
      <w:r w:rsidRPr="00297A38">
        <w:tab/>
        <w:t>(b)</w:t>
      </w:r>
      <w:r w:rsidRPr="00297A38">
        <w:tab/>
        <w:t>conduct associated with maintaining an approved electronic recording system; or</w:t>
      </w:r>
    </w:p>
    <w:p w14:paraId="05EA2CD2" w14:textId="77777777" w:rsidR="00DB6E47" w:rsidRPr="00297A38" w:rsidRDefault="00DB6E47" w:rsidP="00DB6E47">
      <w:pPr>
        <w:pStyle w:val="Apara"/>
      </w:pPr>
      <w:r w:rsidRPr="00297A38">
        <w:tab/>
        <w:t>(c)</w:t>
      </w:r>
      <w:r w:rsidRPr="00297A38">
        <w:tab/>
        <w:t>an authorised officer when exercising functions under this Law.</w:t>
      </w:r>
    </w:p>
    <w:p w14:paraId="03C6272B" w14:textId="77777777" w:rsidR="00DB6E47" w:rsidRPr="00283AFC" w:rsidRDefault="00DB6E47" w:rsidP="00DB6E47">
      <w:pPr>
        <w:pStyle w:val="Amain"/>
      </w:pPr>
      <w:r w:rsidRPr="00283AFC">
        <w:tab/>
        <w:t>(5)</w:t>
      </w:r>
      <w:r w:rsidRPr="00283AFC">
        <w:tab/>
      </w:r>
      <w:r w:rsidR="007750BD" w:rsidRPr="003323FC">
        <w:t>In</w:t>
      </w:r>
      <w:r w:rsidRPr="00283AFC">
        <w:t xml:space="preserve"> a proceeding fo</w:t>
      </w:r>
      <w:r w:rsidR="007E36B8">
        <w:t xml:space="preserve">r an offence against subsection </w:t>
      </w:r>
      <w:r w:rsidRPr="00283AFC">
        <w:t>(1)</w:t>
      </w:r>
      <w:r w:rsidR="007E36B8">
        <w:t xml:space="preserve"> </w:t>
      </w:r>
      <w:r w:rsidRPr="00283AFC">
        <w:t>involving a person engaging in conduct that alters or otherwise interferes with any electronic signal sent to or from an approved electronic recording system, or a part of an approved electronic recording system, it is a defence for the person to prove that the person was not aware, and could not reasonably be expected to have been aware, that the conduct would alter or otherwise interfere with the electronic signal.</w:t>
      </w:r>
    </w:p>
    <w:p w14:paraId="63D95CE8" w14:textId="77777777" w:rsidR="00DB6E47" w:rsidRPr="007E1F9A" w:rsidRDefault="00DB6E47" w:rsidP="00DB6E47">
      <w:pPr>
        <w:pStyle w:val="AH5Sec"/>
      </w:pPr>
      <w:bookmarkStart w:id="381" w:name="_Toc83625725"/>
      <w:r w:rsidRPr="005E03F7">
        <w:rPr>
          <w:rStyle w:val="CharSectNo"/>
        </w:rPr>
        <w:t>336</w:t>
      </w:r>
      <w:r w:rsidRPr="007E1F9A">
        <w:tab/>
        <w:t>Person using approved electronic recording system must not permit tampering with it</w:t>
      </w:r>
      <w:bookmarkEnd w:id="381"/>
    </w:p>
    <w:p w14:paraId="24CE2AA4" w14:textId="77777777" w:rsidR="00DB6E47" w:rsidRPr="00283AFC" w:rsidRDefault="00DB6E47" w:rsidP="00DB6E47">
      <w:pPr>
        <w:pStyle w:val="Amain"/>
      </w:pPr>
      <w:r w:rsidRPr="00283AFC">
        <w:tab/>
        <w:t>(1)</w:t>
      </w:r>
      <w:r w:rsidRPr="00283AFC">
        <w:tab/>
        <w:t>A person who uses an approved electronic recording system must not permit another person to tamper with the system.</w:t>
      </w:r>
    </w:p>
    <w:p w14:paraId="1446A0CF" w14:textId="77777777" w:rsidR="00DB6E47" w:rsidRPr="006C3305" w:rsidRDefault="00DB6E47" w:rsidP="00DB6E47">
      <w:pPr>
        <w:pStyle w:val="Penalty"/>
      </w:pPr>
      <w:r w:rsidRPr="006C3305">
        <w:t>Maximum penalty—$10000.</w:t>
      </w:r>
    </w:p>
    <w:p w14:paraId="7493E6C2" w14:textId="77777777" w:rsidR="00DB6E47" w:rsidRPr="00C96203" w:rsidRDefault="00DB6E47" w:rsidP="00DB6E47">
      <w:pPr>
        <w:pStyle w:val="aExamHdgss"/>
      </w:pPr>
      <w:r w:rsidRPr="00C96203">
        <w:rPr>
          <w:rFonts w:cs="Times"/>
          <w:bCs/>
          <w:iCs/>
        </w:rPr>
        <w:t>Examples of a person who uses an approved electronic recording system—</w:t>
      </w:r>
    </w:p>
    <w:p w14:paraId="69089E34" w14:textId="77777777" w:rsidR="00DB6E47" w:rsidRPr="00C96203" w:rsidRDefault="00DB6E47" w:rsidP="00DB6E47">
      <w:pPr>
        <w:pStyle w:val="aExamBulletss"/>
      </w:pPr>
      <w:r w:rsidRPr="00C96203">
        <w:t xml:space="preserve">• </w:t>
      </w:r>
      <w:r w:rsidRPr="00C96203">
        <w:tab/>
        <w:t>a driver of a heavy vehicle</w:t>
      </w:r>
    </w:p>
    <w:p w14:paraId="0AAA294E" w14:textId="77777777" w:rsidR="00DB6E47" w:rsidRPr="00C96203" w:rsidRDefault="00DB6E47" w:rsidP="00DB6E47">
      <w:pPr>
        <w:pStyle w:val="aExamBulletss"/>
      </w:pPr>
      <w:r w:rsidRPr="00C96203">
        <w:t xml:space="preserve">• </w:t>
      </w:r>
      <w:r w:rsidRPr="00C96203">
        <w:tab/>
        <w:t>a driver’s record keeper</w:t>
      </w:r>
    </w:p>
    <w:p w14:paraId="3CFF44D7" w14:textId="77777777" w:rsidR="002B5D7A" w:rsidRPr="002B5D7A" w:rsidRDefault="002B5D7A" w:rsidP="00DB6E47">
      <w:pPr>
        <w:pStyle w:val="AH5Sec"/>
      </w:pPr>
      <w:bookmarkStart w:id="382" w:name="_Toc83625726"/>
      <w:r w:rsidRPr="005E03F7">
        <w:rPr>
          <w:rStyle w:val="CharSectNo"/>
        </w:rPr>
        <w:lastRenderedPageBreak/>
        <w:t>336A</w:t>
      </w:r>
      <w:r>
        <w:rPr>
          <w:rStyle w:val="CharSectNo"/>
        </w:rPr>
        <w:tab/>
      </w:r>
      <w:r w:rsidRPr="002B5D7A">
        <w:t>Reporting tampering or suspected tampering with electronic work diary</w:t>
      </w:r>
      <w:bookmarkEnd w:id="382"/>
    </w:p>
    <w:p w14:paraId="2800CC17" w14:textId="77777777" w:rsidR="002B5D7A" w:rsidRPr="00272F17" w:rsidRDefault="002B5D7A" w:rsidP="002B5D7A">
      <w:pPr>
        <w:pStyle w:val="Amain"/>
      </w:pPr>
      <w:r w:rsidRPr="00272F17">
        <w:tab/>
        <w:t>(1)</w:t>
      </w:r>
      <w:r w:rsidRPr="00272F17">
        <w:tab/>
        <w:t>If the record keeper for the driver of a fatigue-regulated heavy vehicle knows, or has reasonable grounds to suspect, an electronic work diary has been tampered with, the record keeper must report the matter to the Regulator—</w:t>
      </w:r>
    </w:p>
    <w:p w14:paraId="41A25BFB" w14:textId="77777777" w:rsidR="002B5D7A" w:rsidRPr="00272F17" w:rsidRDefault="002B5D7A" w:rsidP="002B5D7A">
      <w:pPr>
        <w:pStyle w:val="Apara"/>
      </w:pPr>
      <w:r w:rsidRPr="00272F17">
        <w:tab/>
        <w:t>(a)</w:t>
      </w:r>
      <w:r w:rsidRPr="00272F17">
        <w:tab/>
        <w:t>within 2 business days; and</w:t>
      </w:r>
    </w:p>
    <w:p w14:paraId="0CAF8CEB" w14:textId="77777777" w:rsidR="002B5D7A" w:rsidRPr="00272F17" w:rsidRDefault="002B5D7A" w:rsidP="002B5D7A">
      <w:pPr>
        <w:pStyle w:val="Apara"/>
      </w:pPr>
      <w:r w:rsidRPr="00272F17">
        <w:tab/>
        <w:t>(b)</w:t>
      </w:r>
      <w:r w:rsidRPr="00272F17">
        <w:tab/>
        <w:t>in the approved form.</w:t>
      </w:r>
    </w:p>
    <w:p w14:paraId="45BDD9F4" w14:textId="77777777" w:rsidR="002B5D7A" w:rsidRPr="00272F17" w:rsidRDefault="002B5D7A" w:rsidP="002B5D7A">
      <w:pPr>
        <w:pStyle w:val="Penalty"/>
      </w:pPr>
      <w:r w:rsidRPr="00272F17">
        <w:t>Maximum penalty—$6000.</w:t>
      </w:r>
    </w:p>
    <w:p w14:paraId="1F5F4387" w14:textId="77777777" w:rsidR="002B5D7A" w:rsidRPr="00272F17" w:rsidRDefault="002B5D7A" w:rsidP="002B5D7A">
      <w:pPr>
        <w:pStyle w:val="Amain"/>
      </w:pPr>
      <w:r w:rsidRPr="00272F17">
        <w:tab/>
        <w:t>(2)</w:t>
      </w:r>
      <w:r w:rsidRPr="00272F17">
        <w:tab/>
        <w:t>If the record keeper has engaged another person under a contract for services to comply with subsection (1) for the record keeper—</w:t>
      </w:r>
    </w:p>
    <w:p w14:paraId="24AE5C60" w14:textId="77777777" w:rsidR="00272F17" w:rsidRPr="00272F17" w:rsidRDefault="00272F17" w:rsidP="00272F17">
      <w:pPr>
        <w:pStyle w:val="Apara"/>
      </w:pPr>
      <w:r w:rsidRPr="00272F17">
        <w:tab/>
        <w:t>(a)</w:t>
      </w:r>
      <w:r w:rsidRPr="00272F17">
        <w:tab/>
        <w:t>the record keeper remains liable for an offence against subsection (1); and</w:t>
      </w:r>
    </w:p>
    <w:p w14:paraId="501A898B" w14:textId="77777777" w:rsidR="00272F17" w:rsidRPr="00272F17" w:rsidRDefault="00272F17" w:rsidP="00272F17">
      <w:pPr>
        <w:pStyle w:val="Apara"/>
      </w:pPr>
      <w:r w:rsidRPr="00272F17">
        <w:tab/>
        <w:t>(b)</w:t>
      </w:r>
      <w:r w:rsidRPr="00272F17">
        <w:tab/>
        <w:t>the other person is also liable for an offence against subsection (1) as if the other person were the record keeper mentioned in the subsection.</w:t>
      </w:r>
    </w:p>
    <w:p w14:paraId="251B7BF4" w14:textId="77777777" w:rsidR="00DB6E47" w:rsidRPr="007E1F9A" w:rsidRDefault="00DB6E47" w:rsidP="00DB6E47">
      <w:pPr>
        <w:pStyle w:val="AH5Sec"/>
      </w:pPr>
      <w:bookmarkStart w:id="383" w:name="_Toc83625727"/>
      <w:r w:rsidRPr="005E03F7">
        <w:rPr>
          <w:rStyle w:val="CharSectNo"/>
        </w:rPr>
        <w:t>337</w:t>
      </w:r>
      <w:r w:rsidRPr="007E1F9A">
        <w:tab/>
        <w:t>Intelligent access</w:t>
      </w:r>
      <w:r w:rsidR="003D1D23">
        <w:t xml:space="preserve"> program</w:t>
      </w:r>
      <w:r w:rsidRPr="007E1F9A">
        <w:t xml:space="preserve"> reporting entity must not permit tampering with approved electronic recording system</w:t>
      </w:r>
      <w:bookmarkEnd w:id="383"/>
    </w:p>
    <w:p w14:paraId="2A6F0D0B" w14:textId="77777777" w:rsidR="00DB6E47" w:rsidRPr="00283AFC" w:rsidRDefault="00DB6E47" w:rsidP="00DB6E47">
      <w:pPr>
        <w:pStyle w:val="Amain"/>
      </w:pPr>
      <w:r w:rsidRPr="00283AFC">
        <w:tab/>
        <w:t>(1)</w:t>
      </w:r>
      <w:r w:rsidRPr="00283AFC">
        <w:tab/>
        <w:t>This section applies if an approved electronic recording system is or is part of an approved intelligent transport system.</w:t>
      </w:r>
    </w:p>
    <w:p w14:paraId="01542AD4" w14:textId="77777777" w:rsidR="00DB6E47" w:rsidRPr="00283AFC" w:rsidRDefault="00DB6E47" w:rsidP="00DB6E47">
      <w:pPr>
        <w:pStyle w:val="Amain"/>
      </w:pPr>
      <w:r w:rsidRPr="00283AFC">
        <w:tab/>
        <w:t>(2)</w:t>
      </w:r>
      <w:r w:rsidRPr="00283AFC">
        <w:tab/>
        <w:t xml:space="preserve">An intelligent access </w:t>
      </w:r>
      <w:r w:rsidR="003D1D23">
        <w:t xml:space="preserve">program </w:t>
      </w:r>
      <w:r w:rsidRPr="00283AFC">
        <w:t>reporting entity for the approved intelligent transport system must not permit another person to tamper with the approved electronic recording system.</w:t>
      </w:r>
    </w:p>
    <w:p w14:paraId="14FBB39A" w14:textId="77777777" w:rsidR="00DB6E47" w:rsidRPr="006C3305" w:rsidRDefault="00DB6E47" w:rsidP="00DB6E47">
      <w:pPr>
        <w:pStyle w:val="Penalty"/>
      </w:pPr>
      <w:r w:rsidRPr="006C3305">
        <w:t>Maximum penalty—$10000.</w:t>
      </w:r>
    </w:p>
    <w:p w14:paraId="1725D159" w14:textId="77777777" w:rsidR="00DB6E47" w:rsidRPr="005E03F7" w:rsidRDefault="00DB6E47" w:rsidP="00DB6E47">
      <w:pPr>
        <w:pStyle w:val="AH3Div"/>
      </w:pPr>
      <w:bookmarkStart w:id="384" w:name="_Toc83625728"/>
      <w:r w:rsidRPr="005E03F7">
        <w:rPr>
          <w:rStyle w:val="CharDivNo"/>
        </w:rPr>
        <w:lastRenderedPageBreak/>
        <w:t xml:space="preserve">Division 6 </w:t>
      </w:r>
      <w:r w:rsidRPr="00A95F9A">
        <w:rPr>
          <w:rFonts w:ascii="Helvetica" w:hAnsi="Helvetica" w:cs="Helvetica"/>
          <w:iCs/>
          <w:szCs w:val="28"/>
        </w:rPr>
        <w:tab/>
      </w:r>
      <w:r w:rsidRPr="005E03F7">
        <w:rPr>
          <w:rStyle w:val="CharDivText"/>
          <w:rFonts w:ascii="Helvetica" w:hAnsi="Helvetica" w:cs="Helvetica"/>
          <w:iCs/>
          <w:szCs w:val="28"/>
        </w:rPr>
        <w:t>Obtaining written work diary</w:t>
      </w:r>
      <w:bookmarkEnd w:id="384"/>
    </w:p>
    <w:p w14:paraId="20DCFD5E" w14:textId="77777777" w:rsidR="00DB6E47" w:rsidRPr="007E1F9A" w:rsidRDefault="00DB6E47" w:rsidP="00DB6E47">
      <w:pPr>
        <w:pStyle w:val="AH5Sec"/>
      </w:pPr>
      <w:bookmarkStart w:id="385" w:name="_Toc83625729"/>
      <w:r w:rsidRPr="005E03F7">
        <w:rPr>
          <w:rStyle w:val="CharSectNo"/>
        </w:rPr>
        <w:t>338</w:t>
      </w:r>
      <w:r w:rsidRPr="007E1F9A">
        <w:tab/>
        <w:t>Form of written work diary</w:t>
      </w:r>
      <w:bookmarkEnd w:id="385"/>
    </w:p>
    <w:p w14:paraId="58F0B98E" w14:textId="77777777" w:rsidR="00DB6E47" w:rsidRPr="00283AFC" w:rsidRDefault="00DB6E47" w:rsidP="00DB6E47">
      <w:pPr>
        <w:pStyle w:val="Amain"/>
      </w:pPr>
      <w:r w:rsidRPr="00283AFC">
        <w:tab/>
        <w:t>(1)</w:t>
      </w:r>
      <w:r w:rsidRPr="00283AFC">
        <w:tab/>
        <w:t>This section states the requirements for written work diaries issued by the Regulator under this Division.</w:t>
      </w:r>
    </w:p>
    <w:p w14:paraId="260B59D6" w14:textId="77777777" w:rsidR="00DB6E47" w:rsidRPr="00283AFC" w:rsidRDefault="00DB6E47" w:rsidP="00DB6E47">
      <w:pPr>
        <w:pStyle w:val="Amain"/>
      </w:pPr>
      <w:r w:rsidRPr="00283AFC">
        <w:tab/>
        <w:t>(2)</w:t>
      </w:r>
      <w:r w:rsidRPr="00283AFC">
        <w:tab/>
        <w:t>A written work diary must contain—</w:t>
      </w:r>
    </w:p>
    <w:p w14:paraId="1C822F6D" w14:textId="77777777" w:rsidR="00DB6E47" w:rsidRPr="00297A38" w:rsidRDefault="00DB6E47" w:rsidP="00DB6E47">
      <w:pPr>
        <w:pStyle w:val="Apara"/>
      </w:pPr>
      <w:r w:rsidRPr="00297A38">
        <w:tab/>
        <w:t>(a)</w:t>
      </w:r>
      <w:r w:rsidRPr="00297A38">
        <w:tab/>
        <w:t>a unique identifying number for the work diary; and</w:t>
      </w:r>
    </w:p>
    <w:p w14:paraId="4962236B" w14:textId="77777777" w:rsidR="00DB6E47" w:rsidRPr="00297A38" w:rsidRDefault="00DB6E47" w:rsidP="00DB6E47">
      <w:pPr>
        <w:pStyle w:val="Apara"/>
      </w:pPr>
      <w:r w:rsidRPr="00297A38">
        <w:tab/>
        <w:t>(b)</w:t>
      </w:r>
      <w:r w:rsidRPr="00297A38">
        <w:tab/>
        <w:t>sheets (</w:t>
      </w:r>
      <w:r w:rsidRPr="00FF4454">
        <w:rPr>
          <w:rStyle w:val="charBoldItals"/>
        </w:rPr>
        <w:t>daily sheets</w:t>
      </w:r>
      <w:r w:rsidRPr="00297A38">
        <w:t>) that—</w:t>
      </w:r>
    </w:p>
    <w:p w14:paraId="54F589E6" w14:textId="77777777" w:rsidR="00DB6E47" w:rsidRPr="00297A38" w:rsidRDefault="00DB6E47" w:rsidP="00910F1A">
      <w:pPr>
        <w:pStyle w:val="Asubpara"/>
      </w:pPr>
      <w:r w:rsidRPr="00297A38">
        <w:tab/>
        <w:t>(i)</w:t>
      </w:r>
      <w:r w:rsidRPr="00297A38">
        <w:tab/>
        <w:t>provide for recording information daily; and</w:t>
      </w:r>
    </w:p>
    <w:p w14:paraId="6AB82813" w14:textId="77777777" w:rsidR="00DB6E47" w:rsidRPr="00297A38" w:rsidRDefault="00DB6E47" w:rsidP="00910F1A">
      <w:pPr>
        <w:pStyle w:val="Asubpara"/>
      </w:pPr>
      <w:r w:rsidRPr="00297A38">
        <w:tab/>
        <w:t>(ii)</w:t>
      </w:r>
      <w:r w:rsidRPr="00297A38">
        <w:tab/>
        <w:t>are sequentially numbered; and</w:t>
      </w:r>
    </w:p>
    <w:p w14:paraId="35E653D8" w14:textId="77777777" w:rsidR="00DB6E47" w:rsidRPr="00297A38" w:rsidRDefault="00DB6E47" w:rsidP="00DB6E47">
      <w:pPr>
        <w:pStyle w:val="Apara"/>
      </w:pPr>
      <w:r w:rsidRPr="00297A38">
        <w:tab/>
        <w:t>(c)</w:t>
      </w:r>
      <w:r w:rsidRPr="00297A38">
        <w:tab/>
        <w:t>2 duplicates of each daily sheet; and</w:t>
      </w:r>
    </w:p>
    <w:p w14:paraId="602B515F" w14:textId="77777777" w:rsidR="00DB6E47" w:rsidRPr="00297A38" w:rsidRDefault="00DB6E47" w:rsidP="00DB6E47">
      <w:pPr>
        <w:pStyle w:val="Apara"/>
      </w:pPr>
      <w:r w:rsidRPr="00297A38">
        <w:tab/>
        <w:t>(d)</w:t>
      </w:r>
      <w:r w:rsidRPr="00297A38">
        <w:tab/>
        <w:t>a duplicate of any application form contained in the work diary under subsection (3); and</w:t>
      </w:r>
    </w:p>
    <w:p w14:paraId="78DD836C" w14:textId="77777777" w:rsidR="00DB6E47" w:rsidRPr="00297A38" w:rsidRDefault="00DB6E47" w:rsidP="00DB6E47">
      <w:pPr>
        <w:pStyle w:val="Apara"/>
      </w:pPr>
      <w:r w:rsidRPr="00297A38">
        <w:tab/>
        <w:t>(e)</w:t>
      </w:r>
      <w:r w:rsidRPr="00297A38">
        <w:tab/>
        <w:t>instructions for use of the work diary.</w:t>
      </w:r>
    </w:p>
    <w:p w14:paraId="6507C53C" w14:textId="77777777" w:rsidR="00DB6E47" w:rsidRPr="00283AFC" w:rsidRDefault="00DB6E47" w:rsidP="00DB6E47">
      <w:pPr>
        <w:pStyle w:val="Amain"/>
      </w:pPr>
      <w:r w:rsidRPr="00283AFC">
        <w:tab/>
        <w:t>(3)</w:t>
      </w:r>
      <w:r w:rsidRPr="00283AFC">
        <w:tab/>
        <w:t>A written work diary may contain an application in the approved form for the issue of another work diary.</w:t>
      </w:r>
    </w:p>
    <w:p w14:paraId="76268A80" w14:textId="77777777" w:rsidR="00DB6E47" w:rsidRPr="00283AFC" w:rsidRDefault="00DB6E47" w:rsidP="00DB6E47">
      <w:pPr>
        <w:pStyle w:val="Amain"/>
      </w:pPr>
      <w:r w:rsidRPr="00283AFC">
        <w:tab/>
        <w:t>(4)</w:t>
      </w:r>
      <w:r w:rsidRPr="00283AFC">
        <w:tab/>
        <w:t>Each daily sheet of a written work diary must be in a form that ensures that, if information is written on the daily sheet in the way stated in the instructions in the work diary or this Law, the information should be automatically copied on to the duplicates for the sheet.</w:t>
      </w:r>
    </w:p>
    <w:p w14:paraId="3F9C4C6F" w14:textId="77777777" w:rsidR="00DB6E47" w:rsidRPr="007E1F9A" w:rsidRDefault="00DB6E47" w:rsidP="00DB6E47">
      <w:pPr>
        <w:pStyle w:val="AH5Sec"/>
      </w:pPr>
      <w:bookmarkStart w:id="386" w:name="_Toc83625730"/>
      <w:r w:rsidRPr="005E03F7">
        <w:rPr>
          <w:rStyle w:val="CharSectNo"/>
        </w:rPr>
        <w:t>339</w:t>
      </w:r>
      <w:r w:rsidRPr="007E1F9A">
        <w:tab/>
        <w:t>Application for written work diary</w:t>
      </w:r>
      <w:bookmarkEnd w:id="386"/>
    </w:p>
    <w:p w14:paraId="6A2D0295" w14:textId="77777777" w:rsidR="00DB6E47" w:rsidRPr="00283AFC" w:rsidRDefault="00DB6E47" w:rsidP="00DB6E47">
      <w:pPr>
        <w:pStyle w:val="Amain"/>
      </w:pPr>
      <w:r w:rsidRPr="00283AFC">
        <w:tab/>
        <w:t>(1)</w:t>
      </w:r>
      <w:r w:rsidRPr="00283AFC">
        <w:tab/>
        <w:t>The driver of a fatigue-regulated heavy vehicle may apply to the Regulator for a written work diary.</w:t>
      </w:r>
    </w:p>
    <w:p w14:paraId="5BC8FA2D" w14:textId="77777777" w:rsidR="00DB6E47" w:rsidRPr="00283AFC" w:rsidRDefault="00DB6E47" w:rsidP="00DB6E47">
      <w:pPr>
        <w:pStyle w:val="Amain"/>
      </w:pPr>
      <w:r w:rsidRPr="00283AFC">
        <w:tab/>
        <w:t>(2)</w:t>
      </w:r>
      <w:r w:rsidRPr="00283AFC">
        <w:tab/>
        <w:t>The application must be—</w:t>
      </w:r>
    </w:p>
    <w:p w14:paraId="48326757" w14:textId="77777777" w:rsidR="00DB6E47" w:rsidRPr="00297A38" w:rsidRDefault="00DB6E47" w:rsidP="00DB6E47">
      <w:pPr>
        <w:pStyle w:val="Apara"/>
      </w:pPr>
      <w:r w:rsidRPr="00297A38">
        <w:tab/>
        <w:t>(a)</w:t>
      </w:r>
      <w:r w:rsidRPr="00297A38">
        <w:tab/>
        <w:t>in the approved form; and</w:t>
      </w:r>
    </w:p>
    <w:p w14:paraId="50B34A06" w14:textId="77777777" w:rsidR="00DB6E47" w:rsidRPr="00297A38" w:rsidRDefault="00DB6E47" w:rsidP="00DB6E47">
      <w:pPr>
        <w:pStyle w:val="Apara"/>
      </w:pPr>
      <w:r w:rsidRPr="00297A38">
        <w:tab/>
        <w:t>(b)</w:t>
      </w:r>
      <w:r w:rsidRPr="00297A38">
        <w:tab/>
        <w:t>accompanied by the prescribed fee for the application.</w:t>
      </w:r>
    </w:p>
    <w:p w14:paraId="092BA4B8" w14:textId="77777777" w:rsidR="00DB6E47" w:rsidRPr="00283AFC" w:rsidRDefault="00DB6E47" w:rsidP="00DB6E47">
      <w:pPr>
        <w:pStyle w:val="Amain"/>
      </w:pPr>
      <w:r w:rsidRPr="00283AFC">
        <w:lastRenderedPageBreak/>
        <w:tab/>
        <w:t>(3)</w:t>
      </w:r>
      <w:r w:rsidRPr="00283AFC">
        <w:tab/>
        <w:t xml:space="preserve">If the application is for a written work diary to replace a written work diary previously issued to the driver (the </w:t>
      </w:r>
      <w:r w:rsidRPr="00FF4454">
        <w:rPr>
          <w:rStyle w:val="charBoldItals"/>
        </w:rPr>
        <w:t>existing written work diary</w:t>
      </w:r>
      <w:r w:rsidRPr="00283AFC">
        <w:t>), the driver must give the existing written work diary to the Regulator with the application, unless the existing written work diary has been destroyed, lost or stolen.</w:t>
      </w:r>
    </w:p>
    <w:p w14:paraId="6A5AE6D5" w14:textId="77777777" w:rsidR="00DB6E47" w:rsidRPr="00283AFC" w:rsidRDefault="00DB6E47" w:rsidP="00DB6E47">
      <w:pPr>
        <w:pStyle w:val="Amain"/>
      </w:pPr>
      <w:r w:rsidRPr="00283AFC">
        <w:tab/>
        <w:t>(4)</w:t>
      </w:r>
      <w:r w:rsidRPr="00283AFC">
        <w:tab/>
        <w:t>If the driver gives the existing written work diary to the Regulator, the Regulator must—</w:t>
      </w:r>
    </w:p>
    <w:p w14:paraId="3C5657DD" w14:textId="77777777" w:rsidR="00DB6E47" w:rsidRPr="00297A38" w:rsidRDefault="00DB6E47" w:rsidP="00DB6E47">
      <w:pPr>
        <w:pStyle w:val="Apara"/>
      </w:pPr>
      <w:r w:rsidRPr="00297A38">
        <w:tab/>
        <w:t>(a)</w:t>
      </w:r>
      <w:r w:rsidRPr="00297A38">
        <w:tab/>
        <w:t>cancel any unused daily sheets in the written work diary; and</w:t>
      </w:r>
    </w:p>
    <w:p w14:paraId="577594FF" w14:textId="77777777" w:rsidR="00DB6E47" w:rsidRPr="00297A38" w:rsidRDefault="00DB6E47" w:rsidP="00DB6E47">
      <w:pPr>
        <w:pStyle w:val="Apara"/>
      </w:pPr>
      <w:r w:rsidRPr="00297A38">
        <w:tab/>
        <w:t>(b)</w:t>
      </w:r>
      <w:r w:rsidRPr="00297A38">
        <w:tab/>
        <w:t>return the written work diary to the driver when the Regulator issues the replacement written work diary to the driver.</w:t>
      </w:r>
    </w:p>
    <w:p w14:paraId="54E1E110" w14:textId="77777777" w:rsidR="00DB6E47" w:rsidRPr="00283AFC" w:rsidRDefault="00DB6E47" w:rsidP="00DB6E47">
      <w:pPr>
        <w:pStyle w:val="Amain"/>
      </w:pPr>
      <w:r w:rsidRPr="00283AFC">
        <w:tab/>
        <w:t>(5)</w:t>
      </w:r>
      <w:r w:rsidRPr="00283AFC">
        <w:tab/>
        <w:t>If the application is for a written work diary to replace a written work diary that has been destroyed, lost or stolen, the application must—</w:t>
      </w:r>
    </w:p>
    <w:p w14:paraId="78840843" w14:textId="77777777" w:rsidR="00DB6E47" w:rsidRPr="00297A38" w:rsidRDefault="00DB6E47" w:rsidP="00DB6E47">
      <w:pPr>
        <w:pStyle w:val="Apara"/>
      </w:pPr>
      <w:r w:rsidRPr="00297A38">
        <w:tab/>
        <w:t>(a)</w:t>
      </w:r>
      <w:r w:rsidRPr="00297A38">
        <w:tab/>
        <w:t>state the previous work diary’s number and that it has been destroyed, lost or stolen; and</w:t>
      </w:r>
    </w:p>
    <w:p w14:paraId="7C3DF04A" w14:textId="77777777" w:rsidR="00DB6E47" w:rsidRPr="00297A38" w:rsidRDefault="00DB6E47" w:rsidP="00DB6E47">
      <w:pPr>
        <w:pStyle w:val="Apara"/>
      </w:pPr>
      <w:r w:rsidRPr="00297A38">
        <w:tab/>
        <w:t>(b)</w:t>
      </w:r>
      <w:r w:rsidRPr="00297A38">
        <w:tab/>
        <w:t>briefly outline the circumstances of the destruction, loss or theft.</w:t>
      </w:r>
    </w:p>
    <w:p w14:paraId="6F38541F" w14:textId="77777777" w:rsidR="00DB6E47" w:rsidRPr="007E1F9A" w:rsidRDefault="00DB6E47" w:rsidP="00DB6E47">
      <w:pPr>
        <w:pStyle w:val="AH5Sec"/>
      </w:pPr>
      <w:bookmarkStart w:id="387" w:name="_Toc83625731"/>
      <w:r w:rsidRPr="005E03F7">
        <w:rPr>
          <w:rStyle w:val="CharSectNo"/>
        </w:rPr>
        <w:t>340</w:t>
      </w:r>
      <w:r w:rsidRPr="007E1F9A">
        <w:tab/>
        <w:t>Issue of written work diary</w:t>
      </w:r>
      <w:bookmarkEnd w:id="387"/>
    </w:p>
    <w:p w14:paraId="5F00123C" w14:textId="77777777" w:rsidR="00DB6E47" w:rsidRPr="00283AFC" w:rsidRDefault="00DB6E47" w:rsidP="00DB6E47">
      <w:pPr>
        <w:pStyle w:val="Amain"/>
      </w:pPr>
      <w:r w:rsidRPr="00283AFC">
        <w:tab/>
        <w:t>(1)</w:t>
      </w:r>
      <w:r w:rsidRPr="00283AFC">
        <w:tab/>
        <w:t>The Regulator must issue a written work diary to the driver of a fatigue-regulated heavy vehicle if the driver—</w:t>
      </w:r>
    </w:p>
    <w:p w14:paraId="20C87412" w14:textId="77777777" w:rsidR="00DB6E47" w:rsidRPr="00297A38" w:rsidRDefault="00DB6E47" w:rsidP="00DB6E47">
      <w:pPr>
        <w:pStyle w:val="Apara"/>
      </w:pPr>
      <w:r w:rsidRPr="00297A38">
        <w:tab/>
        <w:t>(a)</w:t>
      </w:r>
      <w:r w:rsidRPr="00297A38">
        <w:tab/>
        <w:t>applies for the work diary under section 339; and</w:t>
      </w:r>
    </w:p>
    <w:p w14:paraId="45199C13" w14:textId="77777777" w:rsidR="00DB6E47" w:rsidRPr="00297A38" w:rsidRDefault="00DB6E47" w:rsidP="00DB6E47">
      <w:pPr>
        <w:pStyle w:val="Apara"/>
      </w:pPr>
      <w:r w:rsidRPr="00297A38">
        <w:tab/>
        <w:t>(b)</w:t>
      </w:r>
      <w:r w:rsidRPr="00297A38">
        <w:tab/>
        <w:t>identifies himself or herself by showing his or her current driver licence to the Regulator; and</w:t>
      </w:r>
    </w:p>
    <w:p w14:paraId="02854DF6" w14:textId="77777777" w:rsidR="00DB6E47" w:rsidRPr="00297A38" w:rsidRDefault="00DB6E47" w:rsidP="00DB6E47">
      <w:pPr>
        <w:pStyle w:val="Apara"/>
      </w:pPr>
      <w:r w:rsidRPr="00297A38">
        <w:tab/>
        <w:t>(c)</w:t>
      </w:r>
      <w:r w:rsidRPr="00297A38">
        <w:tab/>
        <w:t>pays the prescribed fee for the issue of the work diary.</w:t>
      </w:r>
    </w:p>
    <w:p w14:paraId="4F0C8DAA" w14:textId="77777777" w:rsidR="00DB6E47" w:rsidRPr="00283AFC" w:rsidRDefault="00DB6E47" w:rsidP="00DB6E47">
      <w:pPr>
        <w:pStyle w:val="Amain"/>
      </w:pPr>
      <w:r w:rsidRPr="00283AFC">
        <w:tab/>
        <w:t>(2)</w:t>
      </w:r>
      <w:r w:rsidRPr="00283AFC">
        <w:tab/>
        <w:t>If the Regulator issues a written work diary to the driver of a fatigue-regulated heavy vehicle, the Regulator must note the date, time and place of issue on the written work diary.</w:t>
      </w:r>
    </w:p>
    <w:p w14:paraId="2FA38E8C" w14:textId="77777777" w:rsidR="00DB6E47" w:rsidRPr="00283AFC" w:rsidRDefault="00DB6E47" w:rsidP="00DB6E47">
      <w:pPr>
        <w:pStyle w:val="Amain"/>
      </w:pPr>
      <w:r w:rsidRPr="00283AFC">
        <w:tab/>
        <w:t>(3)</w:t>
      </w:r>
      <w:r w:rsidRPr="00283AFC">
        <w:tab/>
        <w:t>The Regulator may make other notes on the written work diary the Regulator considers appropriate.</w:t>
      </w:r>
    </w:p>
    <w:p w14:paraId="30A06EE5" w14:textId="77777777" w:rsidR="00DB6E47" w:rsidRPr="005E03F7" w:rsidRDefault="00DB6E47" w:rsidP="00DB6E47">
      <w:pPr>
        <w:pStyle w:val="AH3Div"/>
      </w:pPr>
      <w:bookmarkStart w:id="388" w:name="_Toc83625732"/>
      <w:r w:rsidRPr="005E03F7">
        <w:rPr>
          <w:rStyle w:val="CharDivNo"/>
        </w:rPr>
        <w:lastRenderedPageBreak/>
        <w:t>Division 6A</w:t>
      </w:r>
      <w:r w:rsidRPr="00A95F9A">
        <w:rPr>
          <w:rFonts w:ascii="Helvetica" w:hAnsi="Helvetica" w:cs="Helvetica"/>
          <w:iCs/>
          <w:szCs w:val="28"/>
        </w:rPr>
        <w:tab/>
      </w:r>
      <w:r w:rsidRPr="005E03F7">
        <w:rPr>
          <w:rStyle w:val="CharDivText"/>
          <w:rFonts w:ascii="Helvetica" w:hAnsi="Helvetica" w:cs="Helvetica"/>
          <w:iCs/>
          <w:szCs w:val="28"/>
        </w:rPr>
        <w:t>Requirements about records record keeper must make or keep</w:t>
      </w:r>
      <w:bookmarkEnd w:id="388"/>
    </w:p>
    <w:p w14:paraId="15CB1F76" w14:textId="77777777" w:rsidR="00DB6E47" w:rsidRPr="007E1F9A" w:rsidRDefault="00DB6E47" w:rsidP="00DB6E47">
      <w:pPr>
        <w:pStyle w:val="AH5Sec"/>
      </w:pPr>
      <w:bookmarkStart w:id="389" w:name="_Toc83625733"/>
      <w:r w:rsidRPr="005E03F7">
        <w:rPr>
          <w:rStyle w:val="CharSectNo"/>
        </w:rPr>
        <w:t>341</w:t>
      </w:r>
      <w:r w:rsidRPr="007E1F9A">
        <w:tab/>
        <w:t>Period for which, and way in which, records must be kept</w:t>
      </w:r>
      <w:bookmarkEnd w:id="389"/>
    </w:p>
    <w:p w14:paraId="2C82A44C" w14:textId="77777777" w:rsidR="00DB6E47" w:rsidRPr="00283AFC" w:rsidRDefault="00DB6E47" w:rsidP="00DB6E47">
      <w:pPr>
        <w:pStyle w:val="Amain"/>
      </w:pPr>
      <w:r w:rsidRPr="00283AFC">
        <w:tab/>
        <w:t>(1)</w:t>
      </w:r>
      <w:r w:rsidRPr="00283AFC">
        <w:tab/>
        <w:t>The record keeper of the driver of a fatigue-regulated heavy vehicle must</w:t>
      </w:r>
      <w:r w:rsidR="00A2416F" w:rsidRPr="003323FC">
        <w:t>, unless the record keeper has a reasonable excuse,</w:t>
      </w:r>
      <w:r w:rsidRPr="00283AFC">
        <w:t xml:space="preserve"> keep a record required to be made or kept under Division 3, or a copy of the record, for 3 years after—</w:t>
      </w:r>
    </w:p>
    <w:p w14:paraId="2AE5B474" w14:textId="77777777" w:rsidR="00DB6E47" w:rsidRPr="00297A38" w:rsidRDefault="00DB6E47" w:rsidP="00DB6E47">
      <w:pPr>
        <w:pStyle w:val="Apara"/>
      </w:pPr>
      <w:r w:rsidRPr="00297A38">
        <w:tab/>
        <w:t>(a)</w:t>
      </w:r>
      <w:r w:rsidRPr="00297A38">
        <w:tab/>
        <w:t>for a record made by the record keeper—the day the record keeper makes the record; or</w:t>
      </w:r>
    </w:p>
    <w:p w14:paraId="49488C80" w14:textId="77777777" w:rsidR="00DB6E47" w:rsidRPr="00297A38" w:rsidRDefault="00DB6E47" w:rsidP="00DB6E47">
      <w:pPr>
        <w:pStyle w:val="Apara"/>
      </w:pPr>
      <w:r w:rsidRPr="00297A38">
        <w:tab/>
        <w:t>(b)</w:t>
      </w:r>
      <w:r w:rsidRPr="00297A38">
        <w:tab/>
        <w:t>for another record—the day the record keeper receives the record.</w:t>
      </w:r>
    </w:p>
    <w:p w14:paraId="7F42D37A" w14:textId="77777777" w:rsidR="00DB6E47" w:rsidRPr="006C3305" w:rsidRDefault="00DB6E47" w:rsidP="00DB6E47">
      <w:pPr>
        <w:pStyle w:val="Penalty"/>
      </w:pPr>
      <w:r w:rsidRPr="006C3305">
        <w:t>Maximum penalty—$6000.</w:t>
      </w:r>
    </w:p>
    <w:p w14:paraId="41B7EC60" w14:textId="77777777" w:rsidR="00DB6E47" w:rsidRPr="00283AFC" w:rsidRDefault="00DB6E47" w:rsidP="00DB6E47">
      <w:pPr>
        <w:pStyle w:val="Amain"/>
      </w:pPr>
      <w:r w:rsidRPr="00283AFC">
        <w:tab/>
        <w:t>(2)</w:t>
      </w:r>
      <w:r w:rsidRPr="00283AFC">
        <w:tab/>
        <w:t>The record keeper of the driver of a fatigue-regulated heavy vehicle must</w:t>
      </w:r>
      <w:r w:rsidR="00A2416F" w:rsidRPr="003323FC">
        <w:t>, unless the record keeper has a reasonable excuse,</w:t>
      </w:r>
      <w:r w:rsidRPr="00283AFC">
        <w:t xml:space="preserve"> keep a record required to be made or kept under (or by a condition </w:t>
      </w:r>
      <w:r w:rsidR="00EB41BE">
        <w:t>under) Division </w:t>
      </w:r>
      <w:r w:rsidRPr="00283AFC">
        <w:t>8 or 8A, or a copy of the record, for a period of 3 years, or, if a condition of an exemption states a record must be kept for a period of less than 3 years, the period stated in the condition, after—</w:t>
      </w:r>
    </w:p>
    <w:p w14:paraId="47F3FEDC" w14:textId="77777777" w:rsidR="00DB6E47" w:rsidRPr="00297A38" w:rsidRDefault="00DB6E47" w:rsidP="00DB6E47">
      <w:pPr>
        <w:pStyle w:val="Apara"/>
      </w:pPr>
      <w:r w:rsidRPr="00297A38">
        <w:tab/>
        <w:t>(a)</w:t>
      </w:r>
      <w:r w:rsidRPr="00297A38">
        <w:tab/>
        <w:t xml:space="preserve">for a record made by the record keeper—the day the record keeper makes the record; or </w:t>
      </w:r>
    </w:p>
    <w:p w14:paraId="76850B8B" w14:textId="77777777" w:rsidR="00DB6E47" w:rsidRPr="00297A38" w:rsidRDefault="00DB6E47" w:rsidP="00DB6E47">
      <w:pPr>
        <w:pStyle w:val="Apara"/>
      </w:pPr>
      <w:r w:rsidRPr="00297A38">
        <w:tab/>
        <w:t>(b)</w:t>
      </w:r>
      <w:r w:rsidRPr="00297A38">
        <w:tab/>
        <w:t>for another record—the day the record keeper receives the record.</w:t>
      </w:r>
    </w:p>
    <w:p w14:paraId="6918DA97" w14:textId="77777777" w:rsidR="00DB6E47" w:rsidRPr="006C3305" w:rsidRDefault="00DB6E47" w:rsidP="00DB6E47">
      <w:pPr>
        <w:pStyle w:val="Penalty"/>
      </w:pPr>
      <w:r w:rsidRPr="00D91CC2">
        <w:rPr>
          <w:rFonts w:cs="Times"/>
          <w:bCs/>
          <w:iCs/>
        </w:rPr>
        <w:t>Maximum penalty—$6000.</w:t>
      </w:r>
    </w:p>
    <w:p w14:paraId="7986BFDF" w14:textId="77777777" w:rsidR="00DB6E47" w:rsidRPr="00283AFC" w:rsidRDefault="00DB6E47" w:rsidP="00DB6E47">
      <w:pPr>
        <w:pStyle w:val="Amain"/>
      </w:pPr>
      <w:r w:rsidRPr="00283AFC">
        <w:tab/>
        <w:t>(3)</w:t>
      </w:r>
      <w:r w:rsidRPr="00283AFC">
        <w:tab/>
        <w:t>Except where the driver is his or her own record keeper, the record keeper must</w:t>
      </w:r>
      <w:r w:rsidR="00A2416F" w:rsidRPr="003323FC">
        <w:t>, unless the record keeper has a reasonable excuse,</w:t>
      </w:r>
      <w:r w:rsidRPr="00283AFC">
        <w:t xml:space="preserve"> keep the record or copy at the driver’s record location in a way that ensures it is readily available to an authorised officer at the record location.</w:t>
      </w:r>
    </w:p>
    <w:p w14:paraId="417BD93B" w14:textId="77777777" w:rsidR="00DB6E47" w:rsidRPr="006C3305" w:rsidRDefault="00DB6E47" w:rsidP="00DB6E47">
      <w:pPr>
        <w:pStyle w:val="Penalty"/>
      </w:pPr>
      <w:r w:rsidRPr="00D91CC2">
        <w:rPr>
          <w:rFonts w:cs="Times"/>
          <w:bCs/>
          <w:iCs/>
        </w:rPr>
        <w:t>Maximum penalty—$3000.</w:t>
      </w:r>
    </w:p>
    <w:p w14:paraId="474972CB" w14:textId="77777777" w:rsidR="00DB6E47" w:rsidRPr="00283AFC" w:rsidRDefault="00DB6E47" w:rsidP="00DB6E47">
      <w:pPr>
        <w:pStyle w:val="Amain"/>
      </w:pPr>
      <w:r w:rsidRPr="00283AFC">
        <w:lastRenderedPageBreak/>
        <w:tab/>
        <w:t>(4)</w:t>
      </w:r>
      <w:r w:rsidRPr="00283AFC">
        <w:tab/>
        <w:t>If the driver is his or her own record keeper, the driver as record keeper must</w:t>
      </w:r>
      <w:r w:rsidR="00A2416F" w:rsidRPr="003323FC">
        <w:t>, unless the driver as record keeper has a reasonable excuse,</w:t>
      </w:r>
      <w:r w:rsidRPr="00283AFC">
        <w:t xml:space="preserve"> ensure the record or copy of the record is kept at the driver’s record location in a way that ensures it is readily available to an authorised officer at the record location by the end of the 21-day period after the day the record is made.</w:t>
      </w:r>
    </w:p>
    <w:p w14:paraId="67C59EB9" w14:textId="77777777" w:rsidR="00DB6E47" w:rsidRPr="006C3305" w:rsidRDefault="00DB6E47" w:rsidP="00DB6E47">
      <w:pPr>
        <w:pStyle w:val="Penalty"/>
      </w:pPr>
      <w:r w:rsidRPr="00D91CC2">
        <w:rPr>
          <w:rFonts w:cs="Times"/>
          <w:bCs/>
          <w:iCs/>
        </w:rPr>
        <w:t>Maximum penalty—$3000.</w:t>
      </w:r>
    </w:p>
    <w:p w14:paraId="23671C44" w14:textId="77777777" w:rsidR="00DB6E47" w:rsidRPr="00283AFC" w:rsidRDefault="00DB6E47" w:rsidP="00AE43F2">
      <w:pPr>
        <w:pStyle w:val="Amain"/>
        <w:keepNext/>
      </w:pPr>
      <w:r w:rsidRPr="00283AFC">
        <w:tab/>
        <w:t>(5)</w:t>
      </w:r>
      <w:r w:rsidRPr="00283AFC">
        <w:tab/>
        <w:t>The record keeper must</w:t>
      </w:r>
      <w:r w:rsidR="00A2416F" w:rsidRPr="003323FC">
        <w:t>, unless the record keeper has a reasonable excuse,</w:t>
      </w:r>
      <w:r w:rsidRPr="00283AFC">
        <w:t xml:space="preserve"> keep the record or copy in a way that ensures it is—</w:t>
      </w:r>
    </w:p>
    <w:p w14:paraId="45B4163F" w14:textId="77777777" w:rsidR="00DB6E47" w:rsidRPr="00297A38" w:rsidRDefault="00DB6E47" w:rsidP="00AE43F2">
      <w:pPr>
        <w:pStyle w:val="Apara"/>
        <w:keepNext/>
      </w:pPr>
      <w:r w:rsidRPr="00297A38">
        <w:tab/>
        <w:t>(a)</w:t>
      </w:r>
      <w:r w:rsidRPr="00297A38">
        <w:tab/>
        <w:t>readable and reasonably capable of being understood; and</w:t>
      </w:r>
    </w:p>
    <w:p w14:paraId="28C65BE9" w14:textId="77777777" w:rsidR="00DB6E47" w:rsidRPr="00297A38" w:rsidRDefault="00DB6E47" w:rsidP="00AE43F2">
      <w:pPr>
        <w:pStyle w:val="Apara"/>
        <w:keepNext/>
      </w:pPr>
      <w:r w:rsidRPr="00297A38">
        <w:tab/>
        <w:t>(b)</w:t>
      </w:r>
      <w:r w:rsidRPr="00297A38">
        <w:tab/>
        <w:t>capable of being used as evidence.</w:t>
      </w:r>
    </w:p>
    <w:p w14:paraId="5CC0B822" w14:textId="77777777" w:rsidR="00DB6E47" w:rsidRPr="00C96203" w:rsidRDefault="00DB6E47" w:rsidP="00DB6E47">
      <w:pPr>
        <w:pStyle w:val="aExamHdgss"/>
      </w:pPr>
      <w:r w:rsidRPr="00C96203">
        <w:rPr>
          <w:rFonts w:cs="Times"/>
          <w:bCs/>
          <w:iCs/>
        </w:rPr>
        <w:t>Example—</w:t>
      </w:r>
    </w:p>
    <w:p w14:paraId="6864DCEC" w14:textId="77777777" w:rsidR="00DB6E47" w:rsidRPr="00C96203" w:rsidRDefault="00DB6E47" w:rsidP="00DB6E47">
      <w:pPr>
        <w:pStyle w:val="aExamss"/>
      </w:pPr>
      <w:r w:rsidRPr="00C96203">
        <w:t>To ensure a record kept in a storage facility does not become unreadable, for example, by degrading, the record keeper could scan the hard copy of the record and keep it in an electronic format that is readable.</w:t>
      </w:r>
    </w:p>
    <w:p w14:paraId="007C2B25" w14:textId="77777777" w:rsidR="00DB6E47" w:rsidRPr="006C3305" w:rsidRDefault="00DB6E47" w:rsidP="00DB6E47">
      <w:pPr>
        <w:pStyle w:val="Penalty"/>
      </w:pPr>
      <w:r w:rsidRPr="00D91CC2">
        <w:rPr>
          <w:rFonts w:cs="Times"/>
          <w:bCs/>
          <w:iCs/>
        </w:rPr>
        <w:t>Maximum penalty—$6000.</w:t>
      </w:r>
    </w:p>
    <w:p w14:paraId="368FE303" w14:textId="77777777" w:rsidR="00FA1178" w:rsidRDefault="00FA1178" w:rsidP="00DB6E47">
      <w:pPr>
        <w:pStyle w:val="Amain"/>
        <w:rPr>
          <w:spacing w:val="-1"/>
        </w:rPr>
      </w:pPr>
      <w:r>
        <w:tab/>
        <w:t>(6)</w:t>
      </w:r>
      <w:r>
        <w:tab/>
        <w:t>A</w:t>
      </w:r>
      <w:r>
        <w:rPr>
          <w:spacing w:val="6"/>
        </w:rPr>
        <w:t xml:space="preserve"> </w:t>
      </w:r>
      <w:r>
        <w:rPr>
          <w:spacing w:val="-1"/>
        </w:rPr>
        <w:t>reference</w:t>
      </w:r>
      <w:r>
        <w:rPr>
          <w:spacing w:val="7"/>
        </w:rPr>
        <w:t xml:space="preserve"> </w:t>
      </w:r>
      <w:r>
        <w:rPr>
          <w:spacing w:val="-1"/>
        </w:rPr>
        <w:t>in</w:t>
      </w:r>
      <w:r>
        <w:rPr>
          <w:spacing w:val="7"/>
        </w:rPr>
        <w:t xml:space="preserve"> </w:t>
      </w:r>
      <w:r>
        <w:rPr>
          <w:spacing w:val="-1"/>
        </w:rPr>
        <w:t>subsection</w:t>
      </w:r>
      <w:r>
        <w:rPr>
          <w:spacing w:val="6"/>
        </w:rPr>
        <w:t xml:space="preserve"> </w:t>
      </w:r>
      <w:r>
        <w:rPr>
          <w:spacing w:val="-1"/>
        </w:rPr>
        <w:t>(1)</w:t>
      </w:r>
      <w:r>
        <w:rPr>
          <w:spacing w:val="6"/>
        </w:rPr>
        <w:t xml:space="preserve"> </w:t>
      </w:r>
      <w:r>
        <w:rPr>
          <w:spacing w:val="-1"/>
        </w:rPr>
        <w:t>to</w:t>
      </w:r>
      <w:r>
        <w:rPr>
          <w:spacing w:val="6"/>
        </w:rPr>
        <w:t xml:space="preserve"> </w:t>
      </w:r>
      <w:r>
        <w:rPr>
          <w:spacing w:val="-1"/>
        </w:rPr>
        <w:t>keeping</w:t>
      </w:r>
      <w:r>
        <w:rPr>
          <w:spacing w:val="6"/>
        </w:rPr>
        <w:t xml:space="preserve"> </w:t>
      </w:r>
      <w:r>
        <w:t>a</w:t>
      </w:r>
      <w:r>
        <w:rPr>
          <w:spacing w:val="6"/>
        </w:rPr>
        <w:t xml:space="preserve"> </w:t>
      </w:r>
      <w:r>
        <w:rPr>
          <w:spacing w:val="-1"/>
        </w:rPr>
        <w:t>record</w:t>
      </w:r>
      <w:r>
        <w:rPr>
          <w:spacing w:val="25"/>
        </w:rPr>
        <w:t xml:space="preserve"> </w:t>
      </w:r>
      <w:r>
        <w:t>of</w:t>
      </w:r>
      <w:r>
        <w:rPr>
          <w:spacing w:val="4"/>
        </w:rPr>
        <w:t xml:space="preserve"> </w:t>
      </w:r>
      <w:r>
        <w:t>information</w:t>
      </w:r>
      <w:r>
        <w:rPr>
          <w:spacing w:val="4"/>
        </w:rPr>
        <w:t xml:space="preserve"> </w:t>
      </w:r>
      <w:r>
        <w:t>required</w:t>
      </w:r>
      <w:r>
        <w:rPr>
          <w:spacing w:val="4"/>
        </w:rPr>
        <w:t xml:space="preserve"> </w:t>
      </w:r>
      <w:r>
        <w:t>to</w:t>
      </w:r>
      <w:r>
        <w:rPr>
          <w:spacing w:val="4"/>
        </w:rPr>
        <w:t xml:space="preserve"> </w:t>
      </w:r>
      <w:r>
        <w:t>be</w:t>
      </w:r>
      <w:r>
        <w:rPr>
          <w:spacing w:val="4"/>
        </w:rPr>
        <w:t xml:space="preserve"> </w:t>
      </w:r>
      <w:r>
        <w:t>made</w:t>
      </w:r>
      <w:r>
        <w:rPr>
          <w:spacing w:val="4"/>
        </w:rPr>
        <w:t xml:space="preserve"> </w:t>
      </w:r>
      <w:r>
        <w:t>or</w:t>
      </w:r>
      <w:r>
        <w:rPr>
          <w:spacing w:val="4"/>
        </w:rPr>
        <w:t xml:space="preserve"> </w:t>
      </w:r>
      <w:r>
        <w:rPr>
          <w:spacing w:val="-1"/>
        </w:rPr>
        <w:t>kept</w:t>
      </w:r>
      <w:r>
        <w:rPr>
          <w:spacing w:val="4"/>
        </w:rPr>
        <w:t xml:space="preserve"> </w:t>
      </w:r>
      <w:r>
        <w:t>under</w:t>
      </w:r>
      <w:r>
        <w:rPr>
          <w:spacing w:val="20"/>
        </w:rPr>
        <w:t xml:space="preserve"> </w:t>
      </w:r>
      <w:r>
        <w:rPr>
          <w:spacing w:val="-1"/>
        </w:rPr>
        <w:t>Division</w:t>
      </w:r>
      <w:r>
        <w:rPr>
          <w:spacing w:val="20"/>
        </w:rPr>
        <w:t xml:space="preserve"> </w:t>
      </w:r>
      <w:r>
        <w:t>3</w:t>
      </w:r>
      <w:r>
        <w:rPr>
          <w:spacing w:val="19"/>
        </w:rPr>
        <w:t xml:space="preserve"> </w:t>
      </w:r>
      <w:r>
        <w:t>includes</w:t>
      </w:r>
      <w:r>
        <w:rPr>
          <w:spacing w:val="20"/>
        </w:rPr>
        <w:t xml:space="preserve"> </w:t>
      </w:r>
      <w:r>
        <w:t>a</w:t>
      </w:r>
      <w:r>
        <w:rPr>
          <w:spacing w:val="19"/>
        </w:rPr>
        <w:t xml:space="preserve"> </w:t>
      </w:r>
      <w:r>
        <w:rPr>
          <w:spacing w:val="-1"/>
        </w:rPr>
        <w:t>reference</w:t>
      </w:r>
      <w:r>
        <w:rPr>
          <w:spacing w:val="20"/>
        </w:rPr>
        <w:t xml:space="preserve"> </w:t>
      </w:r>
      <w:r>
        <w:t>to</w:t>
      </w:r>
      <w:r>
        <w:rPr>
          <w:spacing w:val="20"/>
        </w:rPr>
        <w:t xml:space="preserve"> </w:t>
      </w:r>
      <w:r>
        <w:rPr>
          <w:spacing w:val="-1"/>
        </w:rPr>
        <w:t>maintaining</w:t>
      </w:r>
      <w:r>
        <w:rPr>
          <w:spacing w:val="20"/>
        </w:rPr>
        <w:t xml:space="preserve"> </w:t>
      </w:r>
      <w:r>
        <w:t>a</w:t>
      </w:r>
      <w:r>
        <w:rPr>
          <w:spacing w:val="41"/>
        </w:rPr>
        <w:t xml:space="preserve"> </w:t>
      </w:r>
      <w:r>
        <w:rPr>
          <w:spacing w:val="-1"/>
        </w:rPr>
        <w:t>record</w:t>
      </w:r>
      <w:r>
        <w:rPr>
          <w:spacing w:val="16"/>
        </w:rPr>
        <w:t xml:space="preserve"> </w:t>
      </w:r>
      <w:r>
        <w:rPr>
          <w:spacing w:val="-1"/>
        </w:rPr>
        <w:t>of</w:t>
      </w:r>
      <w:r>
        <w:rPr>
          <w:spacing w:val="17"/>
        </w:rPr>
        <w:t xml:space="preserve"> </w:t>
      </w:r>
      <w:r>
        <w:rPr>
          <w:spacing w:val="-1"/>
        </w:rPr>
        <w:t>the</w:t>
      </w:r>
      <w:r>
        <w:rPr>
          <w:spacing w:val="17"/>
        </w:rPr>
        <w:t xml:space="preserve"> </w:t>
      </w:r>
      <w:r>
        <w:rPr>
          <w:spacing w:val="-1"/>
        </w:rPr>
        <w:t>information</w:t>
      </w:r>
      <w:r>
        <w:rPr>
          <w:spacing w:val="17"/>
        </w:rPr>
        <w:t xml:space="preserve"> </w:t>
      </w:r>
      <w:r>
        <w:rPr>
          <w:spacing w:val="-1"/>
        </w:rPr>
        <w:t>that</w:t>
      </w:r>
      <w:r>
        <w:rPr>
          <w:spacing w:val="17"/>
        </w:rPr>
        <w:t xml:space="preserve"> </w:t>
      </w:r>
      <w:r>
        <w:rPr>
          <w:spacing w:val="-1"/>
        </w:rPr>
        <w:t>is</w:t>
      </w:r>
      <w:r>
        <w:rPr>
          <w:spacing w:val="17"/>
        </w:rPr>
        <w:t xml:space="preserve"> </w:t>
      </w:r>
      <w:r>
        <w:rPr>
          <w:spacing w:val="-1"/>
        </w:rPr>
        <w:t>in</w:t>
      </w:r>
      <w:r>
        <w:rPr>
          <w:spacing w:val="17"/>
        </w:rPr>
        <w:t xml:space="preserve"> </w:t>
      </w:r>
      <w:r>
        <w:rPr>
          <w:spacing w:val="-1"/>
        </w:rPr>
        <w:t>an</w:t>
      </w:r>
      <w:r>
        <w:rPr>
          <w:spacing w:val="17"/>
        </w:rPr>
        <w:t xml:space="preserve"> </w:t>
      </w:r>
      <w:r>
        <w:rPr>
          <w:spacing w:val="-1"/>
        </w:rPr>
        <w:t>electronic</w:t>
      </w:r>
      <w:r>
        <w:rPr>
          <w:spacing w:val="28"/>
        </w:rPr>
        <w:t xml:space="preserve"> </w:t>
      </w:r>
      <w:r>
        <w:rPr>
          <w:spacing w:val="-1"/>
        </w:rPr>
        <w:t>work</w:t>
      </w:r>
      <w:r>
        <w:rPr>
          <w:spacing w:val="-6"/>
        </w:rPr>
        <w:t xml:space="preserve"> </w:t>
      </w:r>
      <w:r>
        <w:rPr>
          <w:spacing w:val="-3"/>
        </w:rPr>
        <w:t>diary,</w:t>
      </w:r>
      <w:r>
        <w:rPr>
          <w:spacing w:val="-6"/>
        </w:rPr>
        <w:t xml:space="preserve"> </w:t>
      </w:r>
      <w:r>
        <w:t>if</w:t>
      </w:r>
      <w:r>
        <w:rPr>
          <w:spacing w:val="-6"/>
        </w:rPr>
        <w:t xml:space="preserve"> </w:t>
      </w:r>
      <w:r>
        <w:t>that</w:t>
      </w:r>
      <w:r>
        <w:rPr>
          <w:spacing w:val="-6"/>
        </w:rPr>
        <w:t xml:space="preserve"> </w:t>
      </w:r>
      <w:r>
        <w:rPr>
          <w:spacing w:val="-1"/>
        </w:rPr>
        <w:t>record</w:t>
      </w:r>
      <w:r>
        <w:rPr>
          <w:spacing w:val="-6"/>
        </w:rPr>
        <w:t xml:space="preserve"> </w:t>
      </w:r>
      <w:r>
        <w:t>is</w:t>
      </w:r>
      <w:r>
        <w:rPr>
          <w:spacing w:val="-7"/>
        </w:rPr>
        <w:t xml:space="preserve"> </w:t>
      </w:r>
      <w:r>
        <w:rPr>
          <w:spacing w:val="-1"/>
        </w:rPr>
        <w:t>taken</w:t>
      </w:r>
      <w:r>
        <w:rPr>
          <w:spacing w:val="-6"/>
        </w:rPr>
        <w:t xml:space="preserve"> </w:t>
      </w:r>
      <w:r>
        <w:t>to</w:t>
      </w:r>
      <w:r>
        <w:rPr>
          <w:spacing w:val="-6"/>
        </w:rPr>
        <w:t xml:space="preserve"> </w:t>
      </w:r>
      <w:r>
        <w:rPr>
          <w:spacing w:val="-3"/>
        </w:rPr>
        <w:t>have</w:t>
      </w:r>
      <w:r>
        <w:rPr>
          <w:spacing w:val="-7"/>
        </w:rPr>
        <w:t xml:space="preserve"> </w:t>
      </w:r>
      <w:r>
        <w:rPr>
          <w:spacing w:val="-1"/>
        </w:rPr>
        <w:t>satisfied</w:t>
      </w:r>
      <w:r>
        <w:rPr>
          <w:spacing w:val="31"/>
        </w:rPr>
        <w:t xml:space="preserve"> </w:t>
      </w:r>
      <w:r>
        <w:rPr>
          <w:spacing w:val="-1"/>
        </w:rPr>
        <w:t xml:space="preserve">the requirement under </w:t>
      </w:r>
      <w:r>
        <w:rPr>
          <w:spacing w:val="-2"/>
        </w:rPr>
        <w:t>Division</w:t>
      </w:r>
      <w:r>
        <w:rPr>
          <w:spacing w:val="-1"/>
        </w:rPr>
        <w:t xml:space="preserve"> 3.</w:t>
      </w:r>
    </w:p>
    <w:p w14:paraId="4904C940" w14:textId="77777777" w:rsidR="00FA1178" w:rsidRDefault="00FA1178" w:rsidP="00DB6E47">
      <w:pPr>
        <w:pStyle w:val="Amain"/>
        <w:rPr>
          <w:spacing w:val="-1"/>
        </w:rPr>
      </w:pPr>
      <w:r>
        <w:rPr>
          <w:spacing w:val="-1"/>
        </w:rPr>
        <w:tab/>
        <w:t>(7)</w:t>
      </w:r>
      <w:r>
        <w:rPr>
          <w:spacing w:val="-1"/>
        </w:rPr>
        <w:tab/>
        <w:t>If</w:t>
      </w:r>
      <w:r>
        <w:rPr>
          <w:spacing w:val="34"/>
        </w:rPr>
        <w:t xml:space="preserve"> </w:t>
      </w:r>
      <w:r>
        <w:rPr>
          <w:spacing w:val="-1"/>
        </w:rPr>
        <w:t>the</w:t>
      </w:r>
      <w:r>
        <w:rPr>
          <w:spacing w:val="34"/>
        </w:rPr>
        <w:t xml:space="preserve"> </w:t>
      </w:r>
      <w:r>
        <w:rPr>
          <w:spacing w:val="-4"/>
        </w:rPr>
        <w:t>driver’s</w:t>
      </w:r>
      <w:r>
        <w:rPr>
          <w:spacing w:val="35"/>
        </w:rPr>
        <w:t xml:space="preserve"> </w:t>
      </w:r>
      <w:r>
        <w:rPr>
          <w:spacing w:val="-1"/>
        </w:rPr>
        <w:t>work</w:t>
      </w:r>
      <w:r>
        <w:rPr>
          <w:spacing w:val="34"/>
        </w:rPr>
        <w:t xml:space="preserve"> </w:t>
      </w:r>
      <w:r>
        <w:rPr>
          <w:spacing w:val="-1"/>
        </w:rPr>
        <w:t>diary</w:t>
      </w:r>
      <w:r>
        <w:rPr>
          <w:spacing w:val="34"/>
        </w:rPr>
        <w:t xml:space="preserve"> </w:t>
      </w:r>
      <w:r>
        <w:rPr>
          <w:spacing w:val="-1"/>
        </w:rPr>
        <w:t>is</w:t>
      </w:r>
      <w:r>
        <w:rPr>
          <w:spacing w:val="34"/>
        </w:rPr>
        <w:t xml:space="preserve"> </w:t>
      </w:r>
      <w:r>
        <w:rPr>
          <w:spacing w:val="-1"/>
        </w:rPr>
        <w:t>an</w:t>
      </w:r>
      <w:r>
        <w:rPr>
          <w:spacing w:val="34"/>
        </w:rPr>
        <w:t xml:space="preserve"> </w:t>
      </w:r>
      <w:r>
        <w:rPr>
          <w:spacing w:val="-1"/>
        </w:rPr>
        <w:t>electronic</w:t>
      </w:r>
      <w:r>
        <w:rPr>
          <w:spacing w:val="34"/>
        </w:rPr>
        <w:t xml:space="preserve"> </w:t>
      </w:r>
      <w:r>
        <w:rPr>
          <w:spacing w:val="-1"/>
        </w:rPr>
        <w:t>work</w:t>
      </w:r>
      <w:r>
        <w:rPr>
          <w:spacing w:val="28"/>
        </w:rPr>
        <w:t xml:space="preserve"> </w:t>
      </w:r>
      <w:r>
        <w:rPr>
          <w:spacing w:val="-4"/>
        </w:rPr>
        <w:t>diary,</w:t>
      </w:r>
      <w:r>
        <w:rPr>
          <w:spacing w:val="15"/>
        </w:rPr>
        <w:t xml:space="preserve"> </w:t>
      </w:r>
      <w:r>
        <w:rPr>
          <w:spacing w:val="-1"/>
        </w:rPr>
        <w:t>the</w:t>
      </w:r>
      <w:r>
        <w:rPr>
          <w:spacing w:val="15"/>
        </w:rPr>
        <w:t xml:space="preserve"> </w:t>
      </w:r>
      <w:r>
        <w:rPr>
          <w:spacing w:val="-4"/>
        </w:rPr>
        <w:t>driver’s</w:t>
      </w:r>
      <w:r>
        <w:rPr>
          <w:spacing w:val="14"/>
        </w:rPr>
        <w:t xml:space="preserve"> </w:t>
      </w:r>
      <w:r>
        <w:rPr>
          <w:spacing w:val="-1"/>
        </w:rPr>
        <w:t>record</w:t>
      </w:r>
      <w:r>
        <w:rPr>
          <w:spacing w:val="13"/>
        </w:rPr>
        <w:t xml:space="preserve"> </w:t>
      </w:r>
      <w:r>
        <w:rPr>
          <w:spacing w:val="-1"/>
        </w:rPr>
        <w:t>keeper</w:t>
      </w:r>
      <w:r>
        <w:rPr>
          <w:spacing w:val="14"/>
        </w:rPr>
        <w:t xml:space="preserve"> </w:t>
      </w:r>
      <w:r>
        <w:rPr>
          <w:spacing w:val="-1"/>
        </w:rPr>
        <w:t>must</w:t>
      </w:r>
      <w:r w:rsidR="00A2416F" w:rsidRPr="003323FC">
        <w:t>, unless the record keeper has a reasonable excuse,</w:t>
      </w:r>
      <w:r>
        <w:rPr>
          <w:spacing w:val="14"/>
        </w:rPr>
        <w:t xml:space="preserve"> </w:t>
      </w:r>
      <w:r>
        <w:rPr>
          <w:spacing w:val="-1"/>
        </w:rPr>
        <w:t>maintain</w:t>
      </w:r>
      <w:r>
        <w:rPr>
          <w:spacing w:val="14"/>
        </w:rPr>
        <w:t xml:space="preserve"> </w:t>
      </w:r>
      <w:r>
        <w:t>a record</w:t>
      </w:r>
      <w:r>
        <w:rPr>
          <w:spacing w:val="22"/>
        </w:rPr>
        <w:t xml:space="preserve"> </w:t>
      </w:r>
      <w:r>
        <w:rPr>
          <w:spacing w:val="-1"/>
        </w:rPr>
        <w:t>of</w:t>
      </w:r>
      <w:r>
        <w:rPr>
          <w:spacing w:val="23"/>
        </w:rPr>
        <w:t xml:space="preserve"> </w:t>
      </w:r>
      <w:r>
        <w:t>the</w:t>
      </w:r>
      <w:r>
        <w:rPr>
          <w:spacing w:val="22"/>
        </w:rPr>
        <w:t xml:space="preserve"> </w:t>
      </w:r>
      <w:r>
        <w:rPr>
          <w:spacing w:val="-1"/>
        </w:rPr>
        <w:t>information</w:t>
      </w:r>
      <w:r>
        <w:rPr>
          <w:spacing w:val="23"/>
        </w:rPr>
        <w:t xml:space="preserve"> </w:t>
      </w:r>
      <w:r>
        <w:t>that</w:t>
      </w:r>
      <w:r>
        <w:rPr>
          <w:spacing w:val="23"/>
        </w:rPr>
        <w:t xml:space="preserve"> </w:t>
      </w:r>
      <w:r>
        <w:t>is</w:t>
      </w:r>
      <w:r>
        <w:rPr>
          <w:spacing w:val="23"/>
        </w:rPr>
        <w:t xml:space="preserve"> </w:t>
      </w:r>
      <w:r>
        <w:t>recorded</w:t>
      </w:r>
      <w:r>
        <w:rPr>
          <w:spacing w:val="23"/>
        </w:rPr>
        <w:t xml:space="preserve"> </w:t>
      </w:r>
      <w:r>
        <w:t>in</w:t>
      </w:r>
      <w:r>
        <w:rPr>
          <w:spacing w:val="23"/>
        </w:rPr>
        <w:t xml:space="preserve"> </w:t>
      </w:r>
      <w:r>
        <w:t>the</w:t>
      </w:r>
      <w:r>
        <w:rPr>
          <w:spacing w:val="28"/>
        </w:rPr>
        <w:t xml:space="preserve"> </w:t>
      </w:r>
      <w:r>
        <w:rPr>
          <w:spacing w:val="-1"/>
        </w:rPr>
        <w:t xml:space="preserve">work diary in </w:t>
      </w:r>
      <w:r>
        <w:t>a</w:t>
      </w:r>
      <w:r>
        <w:rPr>
          <w:spacing w:val="-1"/>
        </w:rPr>
        <w:t xml:space="preserve"> way complying with—</w:t>
      </w:r>
    </w:p>
    <w:p w14:paraId="57A9756A" w14:textId="77777777" w:rsidR="00FA1178" w:rsidRDefault="008324D3" w:rsidP="008324D3">
      <w:pPr>
        <w:pStyle w:val="Apara"/>
        <w:rPr>
          <w:spacing w:val="-1"/>
        </w:rPr>
      </w:pPr>
      <w:r>
        <w:tab/>
        <w:t>(a)</w:t>
      </w:r>
      <w:r>
        <w:tab/>
        <w:t>if</w:t>
      </w:r>
      <w:r>
        <w:rPr>
          <w:spacing w:val="59"/>
        </w:rPr>
        <w:t xml:space="preserve"> </w:t>
      </w:r>
      <w:r>
        <w:t>the</w:t>
      </w:r>
      <w:r>
        <w:rPr>
          <w:spacing w:val="59"/>
        </w:rPr>
        <w:t xml:space="preserve"> </w:t>
      </w:r>
      <w:r>
        <w:rPr>
          <w:spacing w:val="-1"/>
        </w:rPr>
        <w:t>Regulator</w:t>
      </w:r>
      <w:r>
        <w:rPr>
          <w:spacing w:val="59"/>
        </w:rPr>
        <w:t xml:space="preserve"> </w:t>
      </w:r>
      <w:r>
        <w:t>has,</w:t>
      </w:r>
      <w:r>
        <w:rPr>
          <w:spacing w:val="59"/>
        </w:rPr>
        <w:t xml:space="preserve"> </w:t>
      </w:r>
      <w:r>
        <w:rPr>
          <w:spacing w:val="-1"/>
        </w:rPr>
        <w:t>when</w:t>
      </w:r>
      <w:r>
        <w:rPr>
          <w:spacing w:val="59"/>
        </w:rPr>
        <w:t xml:space="preserve"> </w:t>
      </w:r>
      <w:r>
        <w:rPr>
          <w:spacing w:val="-2"/>
        </w:rPr>
        <w:t>approving</w:t>
      </w:r>
      <w:r>
        <w:rPr>
          <w:spacing w:val="59"/>
        </w:rPr>
        <w:t xml:space="preserve"> </w:t>
      </w:r>
      <w:r>
        <w:rPr>
          <w:spacing w:val="-1"/>
        </w:rPr>
        <w:t>the</w:t>
      </w:r>
      <w:r>
        <w:rPr>
          <w:spacing w:val="26"/>
        </w:rPr>
        <w:t xml:space="preserve"> </w:t>
      </w:r>
      <w:r>
        <w:rPr>
          <w:spacing w:val="-1"/>
        </w:rPr>
        <w:t>electronic</w:t>
      </w:r>
      <w:r>
        <w:rPr>
          <w:spacing w:val="15"/>
        </w:rPr>
        <w:t xml:space="preserve"> </w:t>
      </w:r>
      <w:r>
        <w:rPr>
          <w:spacing w:val="-1"/>
        </w:rPr>
        <w:t>recording</w:t>
      </w:r>
      <w:r>
        <w:rPr>
          <w:spacing w:val="15"/>
        </w:rPr>
        <w:t xml:space="preserve"> </w:t>
      </w:r>
      <w:r>
        <w:rPr>
          <w:spacing w:val="-1"/>
        </w:rPr>
        <w:t>system</w:t>
      </w:r>
      <w:r>
        <w:rPr>
          <w:spacing w:val="15"/>
        </w:rPr>
        <w:t xml:space="preserve"> </w:t>
      </w:r>
      <w:r>
        <w:rPr>
          <w:spacing w:val="-1"/>
        </w:rPr>
        <w:t>constituting</w:t>
      </w:r>
      <w:r>
        <w:rPr>
          <w:spacing w:val="15"/>
        </w:rPr>
        <w:t xml:space="preserve"> </w:t>
      </w:r>
      <w:r>
        <w:rPr>
          <w:spacing w:val="-1"/>
        </w:rPr>
        <w:t>the</w:t>
      </w:r>
      <w:r>
        <w:rPr>
          <w:spacing w:val="24"/>
        </w:rPr>
        <w:t xml:space="preserve"> </w:t>
      </w:r>
      <w:r>
        <w:rPr>
          <w:spacing w:val="-1"/>
        </w:rPr>
        <w:t>work</w:t>
      </w:r>
      <w:r>
        <w:rPr>
          <w:spacing w:val="18"/>
        </w:rPr>
        <w:t xml:space="preserve"> </w:t>
      </w:r>
      <w:r>
        <w:rPr>
          <w:spacing w:val="-3"/>
        </w:rPr>
        <w:t>diary,</w:t>
      </w:r>
      <w:r>
        <w:rPr>
          <w:spacing w:val="18"/>
        </w:rPr>
        <w:t xml:space="preserve"> </w:t>
      </w:r>
      <w:r>
        <w:t>or</w:t>
      </w:r>
      <w:r>
        <w:rPr>
          <w:spacing w:val="18"/>
        </w:rPr>
        <w:t xml:space="preserve"> </w:t>
      </w:r>
      <w:r>
        <w:t>of</w:t>
      </w:r>
      <w:r>
        <w:rPr>
          <w:spacing w:val="18"/>
        </w:rPr>
        <w:t xml:space="preserve"> </w:t>
      </w:r>
      <w:r>
        <w:t>which</w:t>
      </w:r>
      <w:r>
        <w:rPr>
          <w:spacing w:val="18"/>
        </w:rPr>
        <w:t xml:space="preserve"> </w:t>
      </w:r>
      <w:r>
        <w:t>the</w:t>
      </w:r>
      <w:r>
        <w:rPr>
          <w:spacing w:val="18"/>
        </w:rPr>
        <w:t xml:space="preserve"> </w:t>
      </w:r>
      <w:r>
        <w:rPr>
          <w:spacing w:val="-1"/>
        </w:rPr>
        <w:t>work</w:t>
      </w:r>
      <w:r>
        <w:rPr>
          <w:spacing w:val="18"/>
        </w:rPr>
        <w:t xml:space="preserve"> </w:t>
      </w:r>
      <w:r>
        <w:t>diary</w:t>
      </w:r>
      <w:r>
        <w:rPr>
          <w:spacing w:val="18"/>
        </w:rPr>
        <w:t xml:space="preserve"> </w:t>
      </w:r>
      <w:r>
        <w:t>is</w:t>
      </w:r>
      <w:r>
        <w:rPr>
          <w:spacing w:val="18"/>
        </w:rPr>
        <w:t xml:space="preserve"> </w:t>
      </w:r>
      <w:r>
        <w:t>a</w:t>
      </w:r>
      <w:r>
        <w:rPr>
          <w:spacing w:val="25"/>
        </w:rPr>
        <w:t xml:space="preserve"> </w:t>
      </w:r>
      <w:r>
        <w:rPr>
          <w:spacing w:val="-1"/>
        </w:rPr>
        <w:t>part,</w:t>
      </w:r>
      <w:r>
        <w:rPr>
          <w:spacing w:val="33"/>
        </w:rPr>
        <w:t xml:space="preserve"> </w:t>
      </w:r>
      <w:r>
        <w:rPr>
          <w:spacing w:val="-1"/>
        </w:rPr>
        <w:t>imposed</w:t>
      </w:r>
      <w:r>
        <w:rPr>
          <w:spacing w:val="33"/>
        </w:rPr>
        <w:t xml:space="preserve"> </w:t>
      </w:r>
      <w:r>
        <w:rPr>
          <w:spacing w:val="-2"/>
        </w:rPr>
        <w:t>any</w:t>
      </w:r>
      <w:r>
        <w:rPr>
          <w:spacing w:val="33"/>
        </w:rPr>
        <w:t xml:space="preserve"> </w:t>
      </w:r>
      <w:r>
        <w:rPr>
          <w:spacing w:val="-1"/>
        </w:rPr>
        <w:t>conditions</w:t>
      </w:r>
      <w:r>
        <w:rPr>
          <w:spacing w:val="33"/>
        </w:rPr>
        <w:t xml:space="preserve"> </w:t>
      </w:r>
      <w:r>
        <w:rPr>
          <w:spacing w:val="-1"/>
        </w:rPr>
        <w:t>in</w:t>
      </w:r>
      <w:r>
        <w:rPr>
          <w:spacing w:val="33"/>
        </w:rPr>
        <w:t xml:space="preserve"> </w:t>
      </w:r>
      <w:r>
        <w:rPr>
          <w:spacing w:val="-1"/>
        </w:rPr>
        <w:t>relation</w:t>
      </w:r>
      <w:r>
        <w:rPr>
          <w:spacing w:val="33"/>
        </w:rPr>
        <w:t xml:space="preserve"> </w:t>
      </w:r>
      <w:r>
        <w:rPr>
          <w:spacing w:val="-1"/>
        </w:rPr>
        <w:t>to</w:t>
      </w:r>
      <w:r>
        <w:rPr>
          <w:spacing w:val="26"/>
        </w:rPr>
        <w:t xml:space="preserve"> </w:t>
      </w:r>
      <w:r>
        <w:rPr>
          <w:spacing w:val="-1"/>
        </w:rPr>
        <w:t>the</w:t>
      </w:r>
      <w:r>
        <w:rPr>
          <w:spacing w:val="1"/>
        </w:rPr>
        <w:t xml:space="preserve"> </w:t>
      </w:r>
      <w:r>
        <w:rPr>
          <w:spacing w:val="-1"/>
        </w:rPr>
        <w:t>way</w:t>
      </w:r>
      <w:r>
        <w:rPr>
          <w:spacing w:val="1"/>
        </w:rPr>
        <w:t xml:space="preserve"> </w:t>
      </w:r>
      <w:r>
        <w:rPr>
          <w:spacing w:val="-1"/>
        </w:rPr>
        <w:t>information</w:t>
      </w:r>
      <w:r>
        <w:rPr>
          <w:spacing w:val="1"/>
        </w:rPr>
        <w:t xml:space="preserve"> </w:t>
      </w:r>
      <w:r>
        <w:rPr>
          <w:spacing w:val="-1"/>
        </w:rPr>
        <w:t>must</w:t>
      </w:r>
      <w:r>
        <w:rPr>
          <w:spacing w:val="1"/>
        </w:rPr>
        <w:t xml:space="preserve"> </w:t>
      </w:r>
      <w:r>
        <w:t>be</w:t>
      </w:r>
      <w:r>
        <w:rPr>
          <w:spacing w:val="1"/>
        </w:rPr>
        <w:t xml:space="preserve"> </w:t>
      </w:r>
      <w:r>
        <w:t>recorded</w:t>
      </w:r>
      <w:r>
        <w:rPr>
          <w:spacing w:val="1"/>
        </w:rPr>
        <w:t xml:space="preserve"> </w:t>
      </w:r>
      <w:r>
        <w:t>in</w:t>
      </w:r>
      <w:r>
        <w:rPr>
          <w:spacing w:val="1"/>
        </w:rPr>
        <w:t xml:space="preserve"> </w:t>
      </w:r>
      <w:r>
        <w:t>the</w:t>
      </w:r>
      <w:r>
        <w:rPr>
          <w:spacing w:val="23"/>
        </w:rPr>
        <w:t xml:space="preserve"> </w:t>
      </w:r>
      <w:r>
        <w:rPr>
          <w:spacing w:val="-1"/>
        </w:rPr>
        <w:t>work diary—those conditions; and</w:t>
      </w:r>
    </w:p>
    <w:p w14:paraId="1B0A4332" w14:textId="77777777" w:rsidR="008324D3" w:rsidRDefault="008324D3" w:rsidP="008324D3">
      <w:pPr>
        <w:pStyle w:val="Apara"/>
        <w:rPr>
          <w:spacing w:val="-1"/>
        </w:rPr>
      </w:pPr>
      <w:r>
        <w:rPr>
          <w:spacing w:val="-1"/>
        </w:rPr>
        <w:lastRenderedPageBreak/>
        <w:tab/>
        <w:t>(b)</w:t>
      </w:r>
      <w:r>
        <w:rPr>
          <w:spacing w:val="-1"/>
        </w:rPr>
        <w:tab/>
        <w:t>the</w:t>
      </w:r>
      <w:r>
        <w:rPr>
          <w:spacing w:val="48"/>
        </w:rPr>
        <w:t xml:space="preserve"> </w:t>
      </w:r>
      <w:r>
        <w:rPr>
          <w:spacing w:val="-2"/>
        </w:rPr>
        <w:t>manufacturer’s</w:t>
      </w:r>
      <w:r>
        <w:rPr>
          <w:spacing w:val="47"/>
        </w:rPr>
        <w:t xml:space="preserve"> </w:t>
      </w:r>
      <w:r>
        <w:rPr>
          <w:spacing w:val="-1"/>
        </w:rPr>
        <w:t>instructions,</w:t>
      </w:r>
      <w:r>
        <w:rPr>
          <w:spacing w:val="47"/>
        </w:rPr>
        <w:t xml:space="preserve"> </w:t>
      </w:r>
      <w:r>
        <w:rPr>
          <w:spacing w:val="-1"/>
        </w:rPr>
        <w:t>if</w:t>
      </w:r>
      <w:r>
        <w:rPr>
          <w:spacing w:val="47"/>
        </w:rPr>
        <w:t xml:space="preserve"> </w:t>
      </w:r>
      <w:r>
        <w:rPr>
          <w:spacing w:val="-6"/>
        </w:rPr>
        <w:t>any,</w:t>
      </w:r>
      <w:r>
        <w:rPr>
          <w:spacing w:val="47"/>
        </w:rPr>
        <w:t xml:space="preserve"> </w:t>
      </w:r>
      <w:r>
        <w:rPr>
          <w:spacing w:val="-1"/>
        </w:rPr>
        <w:t>for</w:t>
      </w:r>
      <w:r>
        <w:rPr>
          <w:spacing w:val="29"/>
        </w:rPr>
        <w:t xml:space="preserve"> </w:t>
      </w:r>
      <w:r>
        <w:rPr>
          <w:spacing w:val="-1"/>
        </w:rPr>
        <w:t>recording</w:t>
      </w:r>
      <w:r>
        <w:rPr>
          <w:spacing w:val="-3"/>
        </w:rPr>
        <w:t xml:space="preserve"> </w:t>
      </w:r>
      <w:r>
        <w:t>information</w:t>
      </w:r>
      <w:r>
        <w:rPr>
          <w:spacing w:val="-3"/>
        </w:rPr>
        <w:t xml:space="preserve"> </w:t>
      </w:r>
      <w:r>
        <w:t>in</w:t>
      </w:r>
      <w:r>
        <w:rPr>
          <w:spacing w:val="-3"/>
        </w:rPr>
        <w:t xml:space="preserve"> </w:t>
      </w:r>
      <w:r>
        <w:t>the</w:t>
      </w:r>
      <w:r>
        <w:rPr>
          <w:spacing w:val="-3"/>
        </w:rPr>
        <w:t xml:space="preserve"> </w:t>
      </w:r>
      <w:r>
        <w:rPr>
          <w:spacing w:val="-1"/>
        </w:rPr>
        <w:t>electronic</w:t>
      </w:r>
      <w:r>
        <w:rPr>
          <w:spacing w:val="-3"/>
        </w:rPr>
        <w:t xml:space="preserve"> </w:t>
      </w:r>
      <w:r>
        <w:rPr>
          <w:spacing w:val="-1"/>
        </w:rPr>
        <w:t>work</w:t>
      </w:r>
      <w:r>
        <w:rPr>
          <w:spacing w:val="37"/>
        </w:rPr>
        <w:t xml:space="preserve"> </w:t>
      </w:r>
      <w:r>
        <w:rPr>
          <w:spacing w:val="-3"/>
        </w:rPr>
        <w:t>diary,</w:t>
      </w:r>
      <w:r>
        <w:rPr>
          <w:spacing w:val="38"/>
        </w:rPr>
        <w:t xml:space="preserve"> </w:t>
      </w:r>
      <w:r>
        <w:t>to</w:t>
      </w:r>
      <w:r>
        <w:rPr>
          <w:spacing w:val="38"/>
        </w:rPr>
        <w:t xml:space="preserve"> </w:t>
      </w:r>
      <w:r>
        <w:t>the</w:t>
      </w:r>
      <w:r>
        <w:rPr>
          <w:spacing w:val="38"/>
        </w:rPr>
        <w:t xml:space="preserve"> </w:t>
      </w:r>
      <w:r>
        <w:rPr>
          <w:spacing w:val="-1"/>
        </w:rPr>
        <w:t>extent</w:t>
      </w:r>
      <w:r>
        <w:rPr>
          <w:spacing w:val="39"/>
        </w:rPr>
        <w:t xml:space="preserve"> </w:t>
      </w:r>
      <w:r>
        <w:rPr>
          <w:spacing w:val="-1"/>
        </w:rPr>
        <w:t>the</w:t>
      </w:r>
      <w:r>
        <w:rPr>
          <w:spacing w:val="38"/>
        </w:rPr>
        <w:t xml:space="preserve"> </w:t>
      </w:r>
      <w:r>
        <w:rPr>
          <w:spacing w:val="-1"/>
        </w:rPr>
        <w:t>instructions</w:t>
      </w:r>
      <w:r>
        <w:rPr>
          <w:spacing w:val="38"/>
        </w:rPr>
        <w:t xml:space="preserve"> </w:t>
      </w:r>
      <w:r>
        <w:rPr>
          <w:spacing w:val="-1"/>
        </w:rPr>
        <w:t>are</w:t>
      </w:r>
      <w:r>
        <w:rPr>
          <w:spacing w:val="25"/>
        </w:rPr>
        <w:t xml:space="preserve"> </w:t>
      </w:r>
      <w:r>
        <w:rPr>
          <w:spacing w:val="-1"/>
        </w:rPr>
        <w:t>consistent</w:t>
      </w:r>
      <w:r>
        <w:rPr>
          <w:spacing w:val="16"/>
        </w:rPr>
        <w:t xml:space="preserve"> </w:t>
      </w:r>
      <w:r>
        <w:rPr>
          <w:spacing w:val="-1"/>
        </w:rPr>
        <w:t>with</w:t>
      </w:r>
      <w:r>
        <w:rPr>
          <w:spacing w:val="16"/>
        </w:rPr>
        <w:t xml:space="preserve"> </w:t>
      </w:r>
      <w:r>
        <w:rPr>
          <w:spacing w:val="-1"/>
        </w:rPr>
        <w:t>the</w:t>
      </w:r>
      <w:r>
        <w:rPr>
          <w:spacing w:val="16"/>
        </w:rPr>
        <w:t xml:space="preserve"> </w:t>
      </w:r>
      <w:r>
        <w:rPr>
          <w:spacing w:val="-1"/>
        </w:rPr>
        <w:t>conditions</w:t>
      </w:r>
      <w:r>
        <w:rPr>
          <w:spacing w:val="16"/>
        </w:rPr>
        <w:t xml:space="preserve"> </w:t>
      </w:r>
      <w:r>
        <w:rPr>
          <w:spacing w:val="-1"/>
        </w:rPr>
        <w:t>mentioned</w:t>
      </w:r>
      <w:r>
        <w:rPr>
          <w:spacing w:val="16"/>
        </w:rPr>
        <w:t xml:space="preserve"> </w:t>
      </w:r>
      <w:r>
        <w:rPr>
          <w:spacing w:val="-1"/>
        </w:rPr>
        <w:t>in</w:t>
      </w:r>
      <w:r>
        <w:rPr>
          <w:spacing w:val="25"/>
        </w:rPr>
        <w:t xml:space="preserve"> </w:t>
      </w:r>
      <w:r>
        <w:rPr>
          <w:spacing w:val="-1"/>
        </w:rPr>
        <w:t>paragraph (a).</w:t>
      </w:r>
    </w:p>
    <w:p w14:paraId="73C086EA" w14:textId="77777777" w:rsidR="008324D3" w:rsidRDefault="008324D3" w:rsidP="008324D3">
      <w:pPr>
        <w:pStyle w:val="Penalty"/>
        <w:rPr>
          <w:spacing w:val="-1"/>
        </w:rPr>
      </w:pPr>
      <w:r>
        <w:rPr>
          <w:spacing w:val="-1"/>
        </w:rPr>
        <w:t>Maximum penalty—$1500.</w:t>
      </w:r>
    </w:p>
    <w:p w14:paraId="3C04B03A" w14:textId="77777777" w:rsidR="008324D3" w:rsidRPr="008324D3" w:rsidRDefault="008324D3" w:rsidP="008324D3">
      <w:pPr>
        <w:pStyle w:val="aNote"/>
      </w:pPr>
      <w:r w:rsidRPr="008324D3">
        <w:rPr>
          <w:rStyle w:val="charItals"/>
        </w:rPr>
        <w:t>Note</w:t>
      </w:r>
      <w:r w:rsidRPr="008324D3">
        <w:t>—</w:t>
      </w:r>
    </w:p>
    <w:p w14:paraId="1AE9663B" w14:textId="77777777" w:rsidR="008324D3" w:rsidRDefault="008324D3" w:rsidP="008324D3">
      <w:pPr>
        <w:pStyle w:val="aNoteTextss"/>
      </w:pPr>
      <w:r w:rsidRPr="008324D3">
        <w:t>The Regulator may impose conditions on the use of an electronic</w:t>
      </w:r>
      <w:r>
        <w:rPr>
          <w:spacing w:val="-8"/>
        </w:rPr>
        <w:t xml:space="preserve"> </w:t>
      </w:r>
      <w:r>
        <w:t>recording</w:t>
      </w:r>
      <w:r>
        <w:rPr>
          <w:spacing w:val="-8"/>
        </w:rPr>
        <w:t xml:space="preserve"> </w:t>
      </w:r>
      <w:r>
        <w:t>system</w:t>
      </w:r>
      <w:r>
        <w:rPr>
          <w:spacing w:val="-7"/>
        </w:rPr>
        <w:t xml:space="preserve"> </w:t>
      </w:r>
      <w:r>
        <w:t>under</w:t>
      </w:r>
      <w:r>
        <w:rPr>
          <w:spacing w:val="-7"/>
        </w:rPr>
        <w:t xml:space="preserve"> </w:t>
      </w:r>
      <w:r>
        <w:t>section</w:t>
      </w:r>
      <w:r>
        <w:rPr>
          <w:spacing w:val="-7"/>
        </w:rPr>
        <w:t xml:space="preserve"> </w:t>
      </w:r>
      <w:r>
        <w:t>343.</w:t>
      </w:r>
    </w:p>
    <w:p w14:paraId="0703B204" w14:textId="77777777" w:rsidR="00DB6E47" w:rsidRPr="00283AFC" w:rsidRDefault="00FA1178" w:rsidP="00DB6E47">
      <w:pPr>
        <w:pStyle w:val="Amain"/>
      </w:pPr>
      <w:r>
        <w:tab/>
        <w:t>(8</w:t>
      </w:r>
      <w:r w:rsidR="00DB6E47" w:rsidRPr="00283AFC">
        <w:t>)</w:t>
      </w:r>
      <w:r w:rsidR="00DB6E47" w:rsidRPr="00283AFC">
        <w:tab/>
        <w:t>If the record keeper has engaged another person under a contract for services to c</w:t>
      </w:r>
      <w:r w:rsidR="007E36B8">
        <w:t xml:space="preserve">omply with subsection (1), (2), </w:t>
      </w:r>
      <w:r w:rsidR="00DB6E47" w:rsidRPr="00283AFC">
        <w:t>(3)</w:t>
      </w:r>
      <w:r w:rsidR="0014046E">
        <w:t xml:space="preserve">, </w:t>
      </w:r>
      <w:r w:rsidR="00DB6E47" w:rsidRPr="00283AFC">
        <w:t>(5)</w:t>
      </w:r>
      <w:r w:rsidR="0014046E">
        <w:t xml:space="preserve"> or (7)</w:t>
      </w:r>
      <w:r w:rsidR="007E36B8">
        <w:t xml:space="preserve"> </w:t>
      </w:r>
      <w:r w:rsidR="00DB6E47" w:rsidRPr="00283AFC">
        <w:t>for the record keeper—</w:t>
      </w:r>
    </w:p>
    <w:p w14:paraId="33D0E8FE" w14:textId="77777777" w:rsidR="00DB6E47" w:rsidRPr="00297A38" w:rsidRDefault="00DB6E47" w:rsidP="00DB6E47">
      <w:pPr>
        <w:pStyle w:val="Apara"/>
      </w:pPr>
      <w:r w:rsidRPr="00297A38">
        <w:tab/>
        <w:t>(a)</w:t>
      </w:r>
      <w:r w:rsidRPr="00297A38">
        <w:tab/>
        <w:t>the record keeper remains liable for an offence against the subsection; and</w:t>
      </w:r>
    </w:p>
    <w:p w14:paraId="7087322F" w14:textId="77777777" w:rsidR="00DB6E47" w:rsidRPr="00297A38" w:rsidRDefault="00DB6E47" w:rsidP="00DB6E47">
      <w:pPr>
        <w:pStyle w:val="Apara"/>
      </w:pPr>
      <w:r w:rsidRPr="00297A38">
        <w:tab/>
        <w:t>(b)</w:t>
      </w:r>
      <w:r w:rsidRPr="00297A38">
        <w:tab/>
        <w:t>the other person is also liable for an offence against the subsection as if the other person were the record keeper mentioned in the subsection.</w:t>
      </w:r>
    </w:p>
    <w:p w14:paraId="0D9D3415" w14:textId="77777777" w:rsidR="00DB6E47" w:rsidRPr="005E03F7" w:rsidRDefault="00DB6E47" w:rsidP="00DB6E47">
      <w:pPr>
        <w:pStyle w:val="AH3Div"/>
      </w:pPr>
      <w:bookmarkStart w:id="390" w:name="_Toc83625734"/>
      <w:r w:rsidRPr="005E03F7">
        <w:rPr>
          <w:rStyle w:val="CharDivNo"/>
        </w:rPr>
        <w:t xml:space="preserve">Division 7 </w:t>
      </w:r>
      <w:r w:rsidRPr="00A95F9A">
        <w:rPr>
          <w:rFonts w:ascii="Helvetica" w:hAnsi="Helvetica" w:cs="Helvetica"/>
          <w:iCs/>
          <w:szCs w:val="28"/>
        </w:rPr>
        <w:tab/>
      </w:r>
      <w:r w:rsidRPr="005E03F7">
        <w:rPr>
          <w:rStyle w:val="CharDivText"/>
          <w:rFonts w:ascii="Helvetica" w:hAnsi="Helvetica" w:cs="Helvetica"/>
          <w:iCs/>
          <w:szCs w:val="28"/>
        </w:rPr>
        <w:t>Approval of electronic recording systems</w:t>
      </w:r>
      <w:bookmarkEnd w:id="390"/>
    </w:p>
    <w:p w14:paraId="62E3B89B" w14:textId="77777777" w:rsidR="00DB6E47" w:rsidRPr="00A95F9A" w:rsidRDefault="00DB6E47" w:rsidP="00DB6E47">
      <w:pPr>
        <w:pStyle w:val="AH4SubDiv"/>
      </w:pPr>
      <w:bookmarkStart w:id="391" w:name="_Toc83625735"/>
      <w:r w:rsidRPr="00A95F9A">
        <w:t xml:space="preserve">Subdivision 1 </w:t>
      </w:r>
      <w:r w:rsidRPr="00A95F9A">
        <w:tab/>
        <w:t>Approval of electronic recording systems</w:t>
      </w:r>
      <w:bookmarkEnd w:id="391"/>
    </w:p>
    <w:p w14:paraId="552E0E3D" w14:textId="77777777" w:rsidR="00DB6E47" w:rsidRPr="007E1F9A" w:rsidRDefault="00DB6E47" w:rsidP="00DB6E47">
      <w:pPr>
        <w:pStyle w:val="AH5Sec"/>
      </w:pPr>
      <w:bookmarkStart w:id="392" w:name="_Toc83625736"/>
      <w:r w:rsidRPr="005E03F7">
        <w:rPr>
          <w:rStyle w:val="CharSectNo"/>
        </w:rPr>
        <w:t>342</w:t>
      </w:r>
      <w:r w:rsidRPr="007E1F9A">
        <w:tab/>
        <w:t>Application for approval of electronic recording system</w:t>
      </w:r>
      <w:bookmarkEnd w:id="392"/>
    </w:p>
    <w:p w14:paraId="62E524A2" w14:textId="77777777" w:rsidR="00DB6E47" w:rsidRPr="00283AFC" w:rsidRDefault="00DB6E47" w:rsidP="00DB6E47">
      <w:pPr>
        <w:pStyle w:val="Amain"/>
      </w:pPr>
      <w:r w:rsidRPr="00283AFC">
        <w:tab/>
        <w:t>(1)</w:t>
      </w:r>
      <w:r w:rsidRPr="00283AFC">
        <w:tab/>
        <w:t>A person may apply to the Regulator for the approval of an electronic recording system.</w:t>
      </w:r>
    </w:p>
    <w:p w14:paraId="0BBB38F7" w14:textId="77777777" w:rsidR="00DB6E47" w:rsidRPr="00C96203" w:rsidRDefault="00DB6E47" w:rsidP="00DB6E47">
      <w:pPr>
        <w:pStyle w:val="aExamHdgss"/>
      </w:pPr>
      <w:r w:rsidRPr="00C96203">
        <w:rPr>
          <w:rFonts w:cs="Times"/>
          <w:bCs/>
          <w:iCs/>
        </w:rPr>
        <w:t>Examples of persons who may apply for an approval under this section—</w:t>
      </w:r>
    </w:p>
    <w:p w14:paraId="2885149A" w14:textId="77777777" w:rsidR="00DB6E47" w:rsidRPr="00C96203" w:rsidRDefault="00DB6E47" w:rsidP="00DB6E47">
      <w:pPr>
        <w:pStyle w:val="aExamBulletss"/>
      </w:pPr>
      <w:r w:rsidRPr="00C96203">
        <w:t xml:space="preserve">• </w:t>
      </w:r>
      <w:r w:rsidRPr="00C96203">
        <w:tab/>
        <w:t>manufacturers of electronic recording systems</w:t>
      </w:r>
    </w:p>
    <w:p w14:paraId="14742C9E" w14:textId="77777777" w:rsidR="00DB6E47" w:rsidRPr="00C96203" w:rsidRDefault="00DB6E47" w:rsidP="00DB6E47">
      <w:pPr>
        <w:pStyle w:val="aExamBulletss"/>
      </w:pPr>
      <w:r w:rsidRPr="00C96203">
        <w:t xml:space="preserve">• </w:t>
      </w:r>
      <w:r w:rsidRPr="00C96203">
        <w:tab/>
        <w:t>operators of fatigue-regulated heavy vehicles</w:t>
      </w:r>
    </w:p>
    <w:p w14:paraId="47E0669D" w14:textId="77777777" w:rsidR="00DB6E47" w:rsidRPr="00C96203" w:rsidRDefault="00DB6E47" w:rsidP="00DB6E47">
      <w:pPr>
        <w:pStyle w:val="aExamBulletss"/>
      </w:pPr>
      <w:r w:rsidRPr="00C96203">
        <w:t xml:space="preserve">• </w:t>
      </w:r>
      <w:r w:rsidRPr="00C96203">
        <w:tab/>
        <w:t>drivers of fatigue-regulated heavy vehicles</w:t>
      </w:r>
    </w:p>
    <w:p w14:paraId="06CD7E3D" w14:textId="77777777" w:rsidR="00DB6E47" w:rsidRPr="00283AFC" w:rsidRDefault="00DB6E47" w:rsidP="00AE43F2">
      <w:pPr>
        <w:pStyle w:val="Amain"/>
        <w:keepNext/>
      </w:pPr>
      <w:r w:rsidRPr="00283AFC">
        <w:lastRenderedPageBreak/>
        <w:tab/>
        <w:t>(2)</w:t>
      </w:r>
      <w:r w:rsidRPr="00283AFC">
        <w:tab/>
        <w:t>The application must be—</w:t>
      </w:r>
    </w:p>
    <w:p w14:paraId="14709E8A" w14:textId="77777777" w:rsidR="00DB6E47" w:rsidRPr="00297A38" w:rsidRDefault="00DB6E47" w:rsidP="00DB6E47">
      <w:pPr>
        <w:pStyle w:val="Apara"/>
      </w:pPr>
      <w:r w:rsidRPr="00297A38">
        <w:tab/>
        <w:t>(a)</w:t>
      </w:r>
      <w:r w:rsidRPr="00297A38">
        <w:tab/>
        <w:t>in the approved form; and</w:t>
      </w:r>
    </w:p>
    <w:p w14:paraId="3F7EC656" w14:textId="77777777" w:rsidR="00DB6E47" w:rsidRPr="00297A38" w:rsidRDefault="00DB6E47" w:rsidP="00DB6E47">
      <w:pPr>
        <w:pStyle w:val="Apara"/>
      </w:pPr>
      <w:r w:rsidRPr="00297A38">
        <w:tab/>
        <w:t>(b)</w:t>
      </w:r>
      <w:r w:rsidRPr="00297A38">
        <w:tab/>
        <w:t>accompanied by the prescribed fee for the application.</w:t>
      </w:r>
    </w:p>
    <w:p w14:paraId="7D8B9F8A" w14:textId="77777777" w:rsidR="00DB6E47" w:rsidRPr="007E1F9A" w:rsidRDefault="00DB6E47" w:rsidP="00DB6E47">
      <w:pPr>
        <w:pStyle w:val="AH5Sec"/>
      </w:pPr>
      <w:bookmarkStart w:id="393" w:name="_Toc83625737"/>
      <w:r w:rsidRPr="005E03F7">
        <w:rPr>
          <w:rStyle w:val="CharSectNo"/>
        </w:rPr>
        <w:t>343</w:t>
      </w:r>
      <w:r w:rsidRPr="007E1F9A">
        <w:tab/>
        <w:t>Deciding application for approval</w:t>
      </w:r>
      <w:bookmarkEnd w:id="393"/>
    </w:p>
    <w:p w14:paraId="70746A37" w14:textId="77777777" w:rsidR="00DB6E47" w:rsidRPr="00283AFC" w:rsidRDefault="00DB6E47" w:rsidP="00DB6E47">
      <w:pPr>
        <w:pStyle w:val="Amain"/>
      </w:pPr>
      <w:r w:rsidRPr="00283AFC">
        <w:tab/>
        <w:t>(1)</w:t>
      </w:r>
      <w:r w:rsidRPr="00283AFC">
        <w:tab/>
        <w:t>The Regulator must, as soon as practicable after receiving an application for an electronic recording system approval—</w:t>
      </w:r>
    </w:p>
    <w:p w14:paraId="3D1BAE33" w14:textId="77777777" w:rsidR="00DB6E47" w:rsidRPr="00297A38" w:rsidRDefault="00DB6E47" w:rsidP="00DB6E47">
      <w:pPr>
        <w:pStyle w:val="Apara"/>
      </w:pPr>
      <w:r w:rsidRPr="00297A38">
        <w:tab/>
        <w:t>(a)</w:t>
      </w:r>
      <w:r w:rsidRPr="00297A38">
        <w:tab/>
        <w:t>grant the approval, with or without conditions about the use or maintenance of the electronic recording system to which the approval relates; or</w:t>
      </w:r>
    </w:p>
    <w:p w14:paraId="69F6BBDB" w14:textId="77777777" w:rsidR="00DB6E47" w:rsidRPr="00297A38" w:rsidRDefault="00DB6E47" w:rsidP="00DB6E47">
      <w:pPr>
        <w:pStyle w:val="Apara"/>
      </w:pPr>
      <w:r w:rsidRPr="00297A38">
        <w:tab/>
        <w:t>(b)</w:t>
      </w:r>
      <w:r w:rsidRPr="00297A38">
        <w:tab/>
        <w:t>refuse the application.</w:t>
      </w:r>
    </w:p>
    <w:p w14:paraId="3991BEE3" w14:textId="77777777" w:rsidR="00DB6E47" w:rsidRPr="00283AFC" w:rsidRDefault="00DB6E47" w:rsidP="00DB6E47">
      <w:pPr>
        <w:pStyle w:val="Amain"/>
      </w:pPr>
      <w:r w:rsidRPr="00283AFC">
        <w:tab/>
        <w:t>(2)</w:t>
      </w:r>
      <w:r w:rsidRPr="00283AFC">
        <w:tab/>
        <w:t>The Regulator may approve an electronic recording system only if the Regulator is satisfied the system—</w:t>
      </w:r>
    </w:p>
    <w:p w14:paraId="2754EDBF" w14:textId="77777777" w:rsidR="00DB6E47" w:rsidRPr="00297A38" w:rsidRDefault="00DB6E47" w:rsidP="00DB6E47">
      <w:pPr>
        <w:pStyle w:val="Apara"/>
      </w:pPr>
      <w:r w:rsidRPr="00297A38">
        <w:tab/>
        <w:t>(a)</w:t>
      </w:r>
      <w:r w:rsidRPr="00297A38">
        <w:tab/>
        <w:t>is suitable or has a part that is suitable for fitting to, or for use in, a fatigue-regulated heavy vehicle; and</w:t>
      </w:r>
    </w:p>
    <w:p w14:paraId="003185B8" w14:textId="77777777" w:rsidR="00DB6E47" w:rsidRPr="00297A38" w:rsidRDefault="00DB6E47" w:rsidP="00DB6E47">
      <w:pPr>
        <w:pStyle w:val="Apara"/>
      </w:pPr>
      <w:r w:rsidRPr="00297A38">
        <w:tab/>
        <w:t>(b)</w:t>
      </w:r>
      <w:r w:rsidRPr="00297A38">
        <w:tab/>
        <w:t>has a mechanism that readily indicates to the driver of the fatigue-regulated heavy vehicle to which it or a part of it is fitted, or in which it or a part of it is used, that the system is or is not properly functioning; and</w:t>
      </w:r>
    </w:p>
    <w:p w14:paraId="06E38258" w14:textId="77777777" w:rsidR="00DB6E47" w:rsidRPr="00297A38" w:rsidRDefault="00DB6E47" w:rsidP="00DB6E47">
      <w:pPr>
        <w:pStyle w:val="Apara"/>
      </w:pPr>
      <w:r w:rsidRPr="00297A38">
        <w:tab/>
        <w:t>(c)</w:t>
      </w:r>
      <w:r w:rsidRPr="00297A38">
        <w:tab/>
        <w:t>is capable of—</w:t>
      </w:r>
    </w:p>
    <w:p w14:paraId="610C1AAC" w14:textId="77777777" w:rsidR="00DB6E47" w:rsidRPr="00516F02" w:rsidRDefault="00DB6E47" w:rsidP="00DB6E47">
      <w:pPr>
        <w:pStyle w:val="Asubpara"/>
      </w:pPr>
      <w:r w:rsidRPr="00516F02">
        <w:tab/>
        <w:t>(i)</w:t>
      </w:r>
      <w:r w:rsidRPr="00516F02">
        <w:tab/>
        <w:t>accurately monitoring and recording the work times and rest times of the driver of the fatigue-regulated heavy vehicle to which it or a part of it is fitted, or in which it or a part of it is used; and</w:t>
      </w:r>
    </w:p>
    <w:p w14:paraId="28682340" w14:textId="77777777" w:rsidR="00DB6E47" w:rsidRPr="00516F02" w:rsidRDefault="00DB6E47" w:rsidP="00DB6E47">
      <w:pPr>
        <w:pStyle w:val="Asubpara"/>
      </w:pPr>
      <w:r w:rsidRPr="00516F02">
        <w:tab/>
        <w:t>(ii)</w:t>
      </w:r>
      <w:r w:rsidRPr="00516F02">
        <w:tab/>
        <w:t>accurately recording any other information the driver is required by this Law to record in a work diary; and</w:t>
      </w:r>
    </w:p>
    <w:p w14:paraId="3E1D1296" w14:textId="77777777" w:rsidR="00DB6E47" w:rsidRPr="00297A38" w:rsidRDefault="00DB6E47" w:rsidP="00AE43F2">
      <w:pPr>
        <w:pStyle w:val="Apara"/>
        <w:keepNext/>
      </w:pPr>
      <w:r w:rsidRPr="00297A38">
        <w:lastRenderedPageBreak/>
        <w:tab/>
        <w:t>(d)</w:t>
      </w:r>
      <w:r w:rsidRPr="00297A38">
        <w:tab/>
        <w:t>if the system or a part of it is to be fitted to a fatigue-regulated heavy vehicle and is to be used by more than 1 driver of the vehicle, is capable of ensuring the following—</w:t>
      </w:r>
    </w:p>
    <w:p w14:paraId="7C5ED124" w14:textId="77777777" w:rsidR="00DB6E47" w:rsidRPr="00516F02" w:rsidRDefault="00DB6E47" w:rsidP="00DB6E47">
      <w:pPr>
        <w:pStyle w:val="Asubpara"/>
      </w:pPr>
      <w:r w:rsidRPr="00516F02">
        <w:tab/>
        <w:t>(i)</w:t>
      </w:r>
      <w:r w:rsidRPr="00516F02">
        <w:tab/>
        <w:t>all of the inf</w:t>
      </w:r>
      <w:r w:rsidR="007E36B8">
        <w:t xml:space="preserve">ormation mentioned in paragraph </w:t>
      </w:r>
      <w:r w:rsidRPr="00516F02">
        <w:t>(c)</w:t>
      </w:r>
      <w:r w:rsidR="007E36B8">
        <w:t xml:space="preserve"> </w:t>
      </w:r>
      <w:r w:rsidRPr="00516F02">
        <w:t>can be accurately monitored or recorded for each of the drivers;</w:t>
      </w:r>
    </w:p>
    <w:p w14:paraId="5C8A4B50" w14:textId="77777777" w:rsidR="00DB6E47" w:rsidRPr="00516F02" w:rsidRDefault="00DB6E47" w:rsidP="00DB6E47">
      <w:pPr>
        <w:pStyle w:val="Asubpara"/>
      </w:pPr>
      <w:r w:rsidRPr="00516F02">
        <w:tab/>
        <w:t>(ii)</w:t>
      </w:r>
      <w:r w:rsidRPr="00516F02">
        <w:tab/>
        <w:t>the details recorded by, or in relation to, 1 of the drivers are readily distinguishable from the details recorded by, or in relation to, the other drivers;</w:t>
      </w:r>
    </w:p>
    <w:p w14:paraId="40781201" w14:textId="77777777" w:rsidR="00DB6E47" w:rsidRPr="00516F02" w:rsidRDefault="00DB6E47" w:rsidP="00DB6E47">
      <w:pPr>
        <w:pStyle w:val="Asubpara"/>
      </w:pPr>
      <w:r w:rsidRPr="00516F02">
        <w:tab/>
        <w:t>(iii)</w:t>
      </w:r>
      <w:r w:rsidRPr="00516F02">
        <w:tab/>
        <w:t>the name of the driver in relation to whom details are recorded is shown whenever the details are accessed;</w:t>
      </w:r>
    </w:p>
    <w:p w14:paraId="59579750" w14:textId="77777777" w:rsidR="00DB6E47" w:rsidRPr="00516F02" w:rsidRDefault="00DB6E47" w:rsidP="00DB6E47">
      <w:pPr>
        <w:pStyle w:val="Asubpara"/>
      </w:pPr>
      <w:r w:rsidRPr="00516F02">
        <w:tab/>
        <w:t>(iv)</w:t>
      </w:r>
      <w:r w:rsidRPr="00516F02">
        <w:tab/>
        <w:t>1 of the drivers can not record any information, that the driver is required by this Law to record in a work diary, in the system for any of the other drivers; and</w:t>
      </w:r>
    </w:p>
    <w:p w14:paraId="1054C7EF" w14:textId="77777777" w:rsidR="00DB6E47" w:rsidRPr="00297A38" w:rsidRDefault="00DB6E47" w:rsidP="00DB6E47">
      <w:pPr>
        <w:pStyle w:val="Apara"/>
      </w:pPr>
      <w:r w:rsidRPr="00297A38">
        <w:tab/>
        <w:t>(e)</w:t>
      </w:r>
      <w:r w:rsidRPr="00297A38">
        <w:tab/>
        <w:t>has a mechanism to ensure the driver of the fatigue-regulated heavy vehicle to which it or a part of it is fitted, or in which it or a part of it is used, can not alter any information the driver records in the system once the driver has had an opportunity to confirm the accuracy of the information; and</w:t>
      </w:r>
    </w:p>
    <w:p w14:paraId="1F86D692" w14:textId="77777777" w:rsidR="00DB6E47" w:rsidRPr="00AE533B" w:rsidRDefault="00DB6E47" w:rsidP="00DB6E47">
      <w:pPr>
        <w:pStyle w:val="Apara"/>
      </w:pPr>
      <w:r w:rsidRPr="00297A38">
        <w:tab/>
        <w:t>(f)</w:t>
      </w:r>
      <w:r w:rsidRPr="00297A38">
        <w:tab/>
      </w:r>
      <w:r w:rsidR="00AE533B" w:rsidRPr="00AE533B">
        <w:t>is capable of enabling the driver of the fatigue-regulated heavy vehicle to which it or a part of it is fitted, or in which it or a part of it is used, to send information to the driver’s record keeper; and</w:t>
      </w:r>
    </w:p>
    <w:p w14:paraId="12E2621A" w14:textId="77777777" w:rsidR="00AE533B" w:rsidRPr="00AE533B" w:rsidRDefault="00AE533B" w:rsidP="00DB6E47">
      <w:pPr>
        <w:pStyle w:val="Apara"/>
      </w:pPr>
      <w:r w:rsidRPr="00AE533B">
        <w:tab/>
        <w:t>(g)</w:t>
      </w:r>
      <w:r w:rsidRPr="00AE533B">
        <w:tab/>
        <w:t>has a mechanism that, at least once each day, readily indicates to the driver whether information has or has not been sent to the record keeper; and</w:t>
      </w:r>
    </w:p>
    <w:p w14:paraId="11DA48BA" w14:textId="77777777" w:rsidR="00DB6E47" w:rsidRPr="00297A38" w:rsidRDefault="00330AF9" w:rsidP="00DB6E47">
      <w:pPr>
        <w:pStyle w:val="Apara"/>
      </w:pPr>
      <w:r>
        <w:tab/>
        <w:t>(h</w:t>
      </w:r>
      <w:r w:rsidR="00DB6E47" w:rsidRPr="00297A38">
        <w:t>)</w:t>
      </w:r>
      <w:r w:rsidR="00DB6E47" w:rsidRPr="00297A38">
        <w:tab/>
        <w:t>is capable of readily reproducing, on being accessed by the record keeper for the driver of the fatigue-regulated heavy vehicle to which it or a part of it is fitted, or in which it or a part of it is used, the information that the system contains; and</w:t>
      </w:r>
    </w:p>
    <w:p w14:paraId="7E24D3C5" w14:textId="77777777" w:rsidR="00DB6E47" w:rsidRPr="00297A38" w:rsidRDefault="00330AF9" w:rsidP="00AE43F2">
      <w:pPr>
        <w:pStyle w:val="Apara"/>
        <w:keepLines/>
      </w:pPr>
      <w:r>
        <w:lastRenderedPageBreak/>
        <w:tab/>
        <w:t>(i</w:t>
      </w:r>
      <w:r w:rsidR="00DB6E47" w:rsidRPr="00297A38">
        <w:t>)</w:t>
      </w:r>
      <w:r w:rsidR="00DB6E47" w:rsidRPr="00297A38">
        <w:tab/>
        <w:t>is capable of readily reproducing, on being accessed by an authorised officer while the vehicle to which it or a part of it is fitted, or in which it or a part of it is used, is on a road, the information the system contains in a form that—</w:t>
      </w:r>
    </w:p>
    <w:p w14:paraId="65DD225A" w14:textId="77777777" w:rsidR="00DB6E47" w:rsidRPr="00516F02" w:rsidRDefault="00DB6E47" w:rsidP="00DB6E47">
      <w:pPr>
        <w:pStyle w:val="Asubpara"/>
      </w:pPr>
      <w:r w:rsidRPr="00516F02">
        <w:tab/>
        <w:t>(i)</w:t>
      </w:r>
      <w:r w:rsidRPr="00516F02">
        <w:tab/>
        <w:t>is readily accessible by the officer; and</w:t>
      </w:r>
    </w:p>
    <w:p w14:paraId="6F7BC536" w14:textId="77777777" w:rsidR="00DB6E47" w:rsidRPr="00516F02" w:rsidRDefault="00DB6E47" w:rsidP="00DB6E47">
      <w:pPr>
        <w:pStyle w:val="Asubpara"/>
      </w:pPr>
      <w:r w:rsidRPr="00516F02">
        <w:tab/>
        <w:t>(ii)</w:t>
      </w:r>
      <w:r w:rsidRPr="00516F02">
        <w:tab/>
        <w:t>is reasonably capable of being understood by the officer; and</w:t>
      </w:r>
    </w:p>
    <w:p w14:paraId="7A49A5BF" w14:textId="77777777" w:rsidR="00DB6E47" w:rsidRPr="00516F02" w:rsidRDefault="00DB6E47" w:rsidP="00DB6E47">
      <w:pPr>
        <w:pStyle w:val="Asubpara"/>
      </w:pPr>
      <w:r w:rsidRPr="00516F02">
        <w:tab/>
        <w:t>(iii)</w:t>
      </w:r>
      <w:r w:rsidRPr="00516F02">
        <w:tab/>
        <w:t>can be used as evidence.</w:t>
      </w:r>
    </w:p>
    <w:p w14:paraId="76687769" w14:textId="77777777" w:rsidR="00DB6E47" w:rsidRPr="00283AFC" w:rsidRDefault="00DB6E47" w:rsidP="00DB6E47">
      <w:pPr>
        <w:pStyle w:val="Amain"/>
      </w:pPr>
      <w:r w:rsidRPr="00283AFC">
        <w:tab/>
        <w:t>(3)</w:t>
      </w:r>
      <w:r w:rsidRPr="00283AFC">
        <w:tab/>
        <w:t>In deciding whether or not to grant the approval, the Regulator must have regard to the approved guidelines for granting electronic recording system approvals.</w:t>
      </w:r>
    </w:p>
    <w:p w14:paraId="20B9EE0F" w14:textId="77777777" w:rsidR="00DB6E47" w:rsidRPr="00283AFC" w:rsidRDefault="00DB6E47" w:rsidP="00DB6E47">
      <w:pPr>
        <w:pStyle w:val="Amain"/>
      </w:pPr>
      <w:r w:rsidRPr="00283AFC">
        <w:tab/>
        <w:t>(4)</w:t>
      </w:r>
      <w:r w:rsidRPr="00283AFC">
        <w:tab/>
        <w:t>An approved electronic recording system may be, or be a part of, an approved intelligent transport system.</w:t>
      </w:r>
    </w:p>
    <w:p w14:paraId="17EE731E" w14:textId="77777777" w:rsidR="00DB6E47" w:rsidRPr="007E1F9A" w:rsidRDefault="00DB6E47" w:rsidP="00DB6E47">
      <w:pPr>
        <w:pStyle w:val="AH5Sec"/>
      </w:pPr>
      <w:bookmarkStart w:id="394" w:name="_Toc83625738"/>
      <w:r w:rsidRPr="005E03F7">
        <w:rPr>
          <w:rStyle w:val="CharSectNo"/>
        </w:rPr>
        <w:t>344</w:t>
      </w:r>
      <w:r w:rsidRPr="007E1F9A">
        <w:tab/>
        <w:t>Steps after decision to grant approval</w:t>
      </w:r>
      <w:bookmarkEnd w:id="394"/>
    </w:p>
    <w:p w14:paraId="31C30C2F" w14:textId="77777777" w:rsidR="00DB6E47" w:rsidRPr="00F74226" w:rsidRDefault="00DB6E47" w:rsidP="00F74226">
      <w:pPr>
        <w:pStyle w:val="Amain"/>
      </w:pPr>
      <w:r w:rsidRPr="00F74226">
        <w:tab/>
        <w:t>(1)</w:t>
      </w:r>
      <w:r w:rsidRPr="00F74226">
        <w:tab/>
      </w:r>
      <w:r w:rsidR="00F74226" w:rsidRPr="00F74226">
        <w:t>If the Regulator grants an approval under section 343, the Regulator must give the applicant a numbered certificate of approval.</w:t>
      </w:r>
    </w:p>
    <w:p w14:paraId="22B72917" w14:textId="77777777" w:rsidR="00DB6E47" w:rsidRPr="00283AFC" w:rsidRDefault="00DB6E47" w:rsidP="00DB6E47">
      <w:pPr>
        <w:pStyle w:val="Amain"/>
      </w:pPr>
      <w:r w:rsidRPr="00283AFC">
        <w:tab/>
        <w:t>(2)</w:t>
      </w:r>
      <w:r w:rsidRPr="00283AFC">
        <w:tab/>
        <w:t>If the Regulator imposes conditions on the approval, the certificate of approval given to the applicant must state the conditions.</w:t>
      </w:r>
    </w:p>
    <w:p w14:paraId="67B00BCE" w14:textId="77777777" w:rsidR="00DB6E47" w:rsidRPr="00283AFC" w:rsidRDefault="00DB6E47" w:rsidP="00DB6E47">
      <w:pPr>
        <w:pStyle w:val="Amain"/>
      </w:pPr>
      <w:r w:rsidRPr="00283AFC">
        <w:tab/>
        <w:t>(3)</w:t>
      </w:r>
      <w:r w:rsidRPr="00283AFC">
        <w:tab/>
        <w:t>If the Regulator imposes conditions on the approval not sought by the applicant, the Regulator must give the applicant an information notice for the decision to impose the conditions.</w:t>
      </w:r>
    </w:p>
    <w:p w14:paraId="67C1BD5E" w14:textId="77777777" w:rsidR="00DB6E47" w:rsidRPr="007E1F9A" w:rsidRDefault="00DB6E47" w:rsidP="00DB6E47">
      <w:pPr>
        <w:pStyle w:val="AH5Sec"/>
      </w:pPr>
      <w:bookmarkStart w:id="395" w:name="_Toc83625739"/>
      <w:r w:rsidRPr="005E03F7">
        <w:rPr>
          <w:rStyle w:val="CharSectNo"/>
        </w:rPr>
        <w:t>345</w:t>
      </w:r>
      <w:r w:rsidRPr="007E1F9A">
        <w:tab/>
        <w:t>Steps after decision to refuse application</w:t>
      </w:r>
      <w:bookmarkEnd w:id="395"/>
    </w:p>
    <w:p w14:paraId="0E8AAFB2" w14:textId="77777777" w:rsidR="00DB6E47" w:rsidRPr="00283AFC" w:rsidRDefault="00DB6E47" w:rsidP="00DB6E47">
      <w:pPr>
        <w:pStyle w:val="Amainreturn"/>
      </w:pPr>
      <w:r w:rsidRPr="00283AFC">
        <w:t>If the Regulator decides not to grant an application for an electronic recording system approval, the Regulator must give the applicant an information notice for the decision.</w:t>
      </w:r>
    </w:p>
    <w:p w14:paraId="7982EC65" w14:textId="77777777" w:rsidR="00DB6E47" w:rsidRPr="007E1F9A" w:rsidRDefault="00DB6E47" w:rsidP="00DB6E47">
      <w:pPr>
        <w:pStyle w:val="AH5Sec"/>
      </w:pPr>
      <w:bookmarkStart w:id="396" w:name="_Toc83625740"/>
      <w:r w:rsidRPr="005E03F7">
        <w:rPr>
          <w:rStyle w:val="CharSectNo"/>
        </w:rPr>
        <w:lastRenderedPageBreak/>
        <w:t>346</w:t>
      </w:r>
      <w:r w:rsidRPr="007E1F9A">
        <w:tab/>
        <w:t>Effect of approval</w:t>
      </w:r>
      <w:bookmarkEnd w:id="396"/>
    </w:p>
    <w:p w14:paraId="2EB3C964" w14:textId="77777777" w:rsidR="00DB6E47" w:rsidRPr="00283AFC" w:rsidRDefault="00DB6E47" w:rsidP="00DB6E47">
      <w:pPr>
        <w:pStyle w:val="Amain"/>
      </w:pPr>
      <w:r w:rsidRPr="00283AFC">
        <w:tab/>
        <w:t>(1)</w:t>
      </w:r>
      <w:r w:rsidRPr="00283AFC">
        <w:tab/>
        <w:t>An electronic recording system approval granted under this Subdivision applies to any system identical to the system given to the Regulator for approval.</w:t>
      </w:r>
    </w:p>
    <w:p w14:paraId="4241CDFB" w14:textId="77777777" w:rsidR="00DB6E47" w:rsidRPr="00283AFC" w:rsidRDefault="00DB6E47" w:rsidP="00DB6E47">
      <w:pPr>
        <w:pStyle w:val="Amain"/>
      </w:pPr>
      <w:r w:rsidRPr="00283AFC">
        <w:tab/>
        <w:t>(2)</w:t>
      </w:r>
      <w:r w:rsidRPr="00283AFC">
        <w:tab/>
        <w:t>The conditions imposed on the approval under section 343, or Subdivision 3, apply to each identical system to which the approval applies.</w:t>
      </w:r>
    </w:p>
    <w:p w14:paraId="7187E90D" w14:textId="77777777" w:rsidR="00DB6E47" w:rsidRPr="00F74226" w:rsidRDefault="00DB6E47" w:rsidP="00DB6E47">
      <w:pPr>
        <w:pStyle w:val="AH4SubDiv"/>
      </w:pPr>
      <w:bookmarkStart w:id="397" w:name="_Toc83625741"/>
      <w:r w:rsidRPr="00A95F9A">
        <w:t xml:space="preserve">Subdivision 2 </w:t>
      </w:r>
      <w:r w:rsidRPr="00A95F9A">
        <w:tab/>
      </w:r>
      <w:r w:rsidR="00F74226" w:rsidRPr="00F74226">
        <w:t>Using unapproved electronic recording system</w:t>
      </w:r>
      <w:bookmarkEnd w:id="397"/>
    </w:p>
    <w:p w14:paraId="060493E2" w14:textId="77777777" w:rsidR="00DB6E47" w:rsidRPr="00F74226" w:rsidRDefault="00DB6E47" w:rsidP="00DB6E47">
      <w:pPr>
        <w:pStyle w:val="AH5Sec"/>
      </w:pPr>
      <w:bookmarkStart w:id="398" w:name="_Toc83625742"/>
      <w:r w:rsidRPr="005E03F7">
        <w:rPr>
          <w:rStyle w:val="CharSectNo"/>
        </w:rPr>
        <w:t>347</w:t>
      </w:r>
      <w:r w:rsidRPr="007E1F9A">
        <w:tab/>
      </w:r>
      <w:r w:rsidR="00F74226" w:rsidRPr="00F74226">
        <w:t>Prohibition on using electronic work diary if it is not, and is not a part of, an approved electronic recording system</w:t>
      </w:r>
      <w:bookmarkEnd w:id="398"/>
    </w:p>
    <w:p w14:paraId="78A9F7D3" w14:textId="77777777" w:rsidR="00D720CE" w:rsidRPr="00D720CE" w:rsidRDefault="00D720CE" w:rsidP="00D720CE">
      <w:pPr>
        <w:pStyle w:val="Amainreturn"/>
      </w:pPr>
      <w:r w:rsidRPr="00D720CE">
        <w:t>A person must not use as an electronic work diary for the purposes of this Law an electronic recording system constituting an electronic work diary, or of which an electronic work diary is a part, if the person knows, or ought reasonably to know, the electronic recording system is not an approved electronic recording system.</w:t>
      </w:r>
    </w:p>
    <w:p w14:paraId="2B9558BB" w14:textId="77777777" w:rsidR="00DB6E47" w:rsidRDefault="00DB6E47" w:rsidP="00DB6E47">
      <w:pPr>
        <w:pStyle w:val="Penalty"/>
        <w:rPr>
          <w:rFonts w:cs="Times"/>
          <w:bCs/>
          <w:iCs/>
        </w:rPr>
      </w:pPr>
      <w:r w:rsidRPr="00D91CC2">
        <w:rPr>
          <w:rFonts w:cs="Times"/>
          <w:bCs/>
          <w:iCs/>
        </w:rPr>
        <w:t>Maximum penalty—$10000.</w:t>
      </w:r>
    </w:p>
    <w:p w14:paraId="1B79DA2C" w14:textId="77777777" w:rsidR="00FF67B1" w:rsidRPr="00FF67B1" w:rsidRDefault="00FF67B1" w:rsidP="00FF67B1">
      <w:pPr>
        <w:pStyle w:val="aNote"/>
      </w:pPr>
      <w:r w:rsidRPr="00FF67B1">
        <w:rPr>
          <w:rStyle w:val="charItals"/>
        </w:rPr>
        <w:t>Note</w:t>
      </w:r>
      <w:r w:rsidRPr="00FF67B1">
        <w:t>—</w:t>
      </w:r>
    </w:p>
    <w:p w14:paraId="2CB39477" w14:textId="77777777" w:rsidR="00FF67B1" w:rsidRPr="00FF67B1" w:rsidRDefault="00FF67B1" w:rsidP="00FF67B1">
      <w:pPr>
        <w:pStyle w:val="aNoteTextss"/>
      </w:pPr>
      <w:r w:rsidRPr="00FF67B1">
        <w:t>See section 632 for the matters a court may consider when deciding whether a person ought reasonably to have known something.</w:t>
      </w:r>
    </w:p>
    <w:p w14:paraId="005361D7" w14:textId="77777777" w:rsidR="00DB6E47" w:rsidRPr="00A95F9A" w:rsidRDefault="00DB6E47" w:rsidP="00DB6E47">
      <w:pPr>
        <w:pStyle w:val="AH4SubDiv"/>
      </w:pPr>
      <w:bookmarkStart w:id="399" w:name="_Toc83625743"/>
      <w:r w:rsidRPr="00A95F9A">
        <w:t xml:space="preserve">Subdivision 3 </w:t>
      </w:r>
      <w:r w:rsidRPr="00A95F9A">
        <w:tab/>
        <w:t>Amendment or cancellation of approval</w:t>
      </w:r>
      <w:bookmarkEnd w:id="399"/>
    </w:p>
    <w:p w14:paraId="19DD28F5" w14:textId="77777777" w:rsidR="00DB6E47" w:rsidRPr="007E1F9A" w:rsidRDefault="00DB6E47" w:rsidP="00DB6E47">
      <w:pPr>
        <w:pStyle w:val="AH5Sec"/>
      </w:pPr>
      <w:bookmarkStart w:id="400" w:name="_Toc83625744"/>
      <w:r w:rsidRPr="005E03F7">
        <w:rPr>
          <w:rStyle w:val="CharSectNo"/>
        </w:rPr>
        <w:t>351</w:t>
      </w:r>
      <w:r w:rsidRPr="007E1F9A">
        <w:tab/>
        <w:t>Amendment or cancellation of approval on application</w:t>
      </w:r>
      <w:bookmarkEnd w:id="400"/>
    </w:p>
    <w:p w14:paraId="54790D28" w14:textId="77777777" w:rsidR="00DB6E47" w:rsidRPr="00283AFC" w:rsidRDefault="00DB6E47" w:rsidP="00DB6E47">
      <w:pPr>
        <w:pStyle w:val="Amain"/>
      </w:pPr>
      <w:r w:rsidRPr="00283AFC">
        <w:tab/>
        <w:t>(1)</w:t>
      </w:r>
      <w:r w:rsidRPr="00283AFC">
        <w:tab/>
        <w:t>The holder of an electronic recording system approval may apply to the Regulator for an amendment or cancellation of the approval.</w:t>
      </w:r>
    </w:p>
    <w:p w14:paraId="42FA8AAF" w14:textId="77777777" w:rsidR="00DB6E47" w:rsidRPr="00283AFC" w:rsidRDefault="00DB6E47" w:rsidP="00DB6E47">
      <w:pPr>
        <w:pStyle w:val="Amain"/>
      </w:pPr>
      <w:r w:rsidRPr="00283AFC">
        <w:tab/>
        <w:t>(2)</w:t>
      </w:r>
      <w:r w:rsidRPr="00283AFC">
        <w:tab/>
        <w:t>The application must—</w:t>
      </w:r>
    </w:p>
    <w:p w14:paraId="20A72EBF" w14:textId="77777777" w:rsidR="00DB6E47" w:rsidRPr="00297A38" w:rsidRDefault="00DB6E47" w:rsidP="00DB6E47">
      <w:pPr>
        <w:pStyle w:val="Apara"/>
      </w:pPr>
      <w:r w:rsidRPr="00297A38">
        <w:tab/>
        <w:t>(a)</w:t>
      </w:r>
      <w:r w:rsidRPr="00297A38">
        <w:tab/>
        <w:t>be in writing; and</w:t>
      </w:r>
    </w:p>
    <w:p w14:paraId="48B920B0" w14:textId="77777777" w:rsidR="00DB6E47" w:rsidRPr="00297A38" w:rsidRDefault="00DB6E47" w:rsidP="00DB6E47">
      <w:pPr>
        <w:pStyle w:val="Apara"/>
      </w:pPr>
      <w:r w:rsidRPr="00297A38">
        <w:tab/>
        <w:t>(b)</w:t>
      </w:r>
      <w:r w:rsidRPr="00297A38">
        <w:tab/>
        <w:t>be accompanied by the prescribed fee for the application; and</w:t>
      </w:r>
    </w:p>
    <w:p w14:paraId="0127EED6" w14:textId="77777777" w:rsidR="00DB6E47" w:rsidRPr="00297A38" w:rsidRDefault="00DB6E47" w:rsidP="00DB6E47">
      <w:pPr>
        <w:pStyle w:val="Apara"/>
      </w:pPr>
      <w:r w:rsidRPr="00297A38">
        <w:lastRenderedPageBreak/>
        <w:tab/>
        <w:t>(c)</w:t>
      </w:r>
      <w:r w:rsidRPr="00297A38">
        <w:tab/>
        <w:t>if the application is for an amendment of the approval, state clearly the amendment sought and outline the reasons for the application; and</w:t>
      </w:r>
    </w:p>
    <w:p w14:paraId="7402349F" w14:textId="77777777" w:rsidR="00DB6E47" w:rsidRPr="00297A38" w:rsidRDefault="00DB6E47" w:rsidP="00DB6E47">
      <w:pPr>
        <w:pStyle w:val="Apara"/>
      </w:pPr>
      <w:r w:rsidRPr="00297A38">
        <w:tab/>
        <w:t>(d)</w:t>
      </w:r>
      <w:r w:rsidRPr="00297A38">
        <w:tab/>
        <w:t>be accompanied by the certificate of approval for the approval.</w:t>
      </w:r>
    </w:p>
    <w:p w14:paraId="13A9B067" w14:textId="77777777" w:rsidR="00DB6E47" w:rsidRPr="00283AFC" w:rsidRDefault="00DB6E47" w:rsidP="00DB6E47">
      <w:pPr>
        <w:pStyle w:val="Amain"/>
      </w:pPr>
      <w:r w:rsidRPr="00283AFC">
        <w:tab/>
        <w:t>(3)</w:t>
      </w:r>
      <w:r w:rsidRPr="00283AFC">
        <w:tab/>
        <w:t>The Regulator may, by notice given to the applicant, require the applicant to give the Regulator any additional information the Regulator reasonably requires to decide the application.</w:t>
      </w:r>
    </w:p>
    <w:p w14:paraId="6FE10900" w14:textId="77777777" w:rsidR="00DB6E47" w:rsidRPr="00283AFC" w:rsidRDefault="00DB6E47" w:rsidP="00DB6E47">
      <w:pPr>
        <w:pStyle w:val="Amain"/>
      </w:pPr>
      <w:r w:rsidRPr="00283AFC">
        <w:tab/>
        <w:t>(4)</w:t>
      </w:r>
      <w:r w:rsidRPr="00283AFC">
        <w:tab/>
        <w:t>The Regulator must decide the application as soon as practicable after receiving it.</w:t>
      </w:r>
    </w:p>
    <w:p w14:paraId="27233DF0" w14:textId="77777777" w:rsidR="00DB6E47" w:rsidRPr="00283AFC" w:rsidRDefault="00DB6E47" w:rsidP="00DB6E47">
      <w:pPr>
        <w:pStyle w:val="Amain"/>
      </w:pPr>
      <w:r w:rsidRPr="00283AFC">
        <w:tab/>
        <w:t>(5)</w:t>
      </w:r>
      <w:r w:rsidRPr="00283AFC">
        <w:tab/>
        <w:t>If the Regulator decides to grant the application—</w:t>
      </w:r>
    </w:p>
    <w:p w14:paraId="0E0BDA43" w14:textId="77777777" w:rsidR="00DB6E47" w:rsidRPr="00297A38" w:rsidRDefault="00DB6E47" w:rsidP="00DB6E47">
      <w:pPr>
        <w:pStyle w:val="Apara"/>
      </w:pPr>
      <w:r w:rsidRPr="00297A38">
        <w:tab/>
        <w:t>(a)</w:t>
      </w:r>
      <w:r w:rsidRPr="00297A38">
        <w:tab/>
        <w:t>the Regulator must give the applicant notice of the decision; and</w:t>
      </w:r>
    </w:p>
    <w:p w14:paraId="77C0E70C" w14:textId="77777777" w:rsidR="00DB6E47" w:rsidRPr="00297A38" w:rsidRDefault="00DB6E47" w:rsidP="00DB6E47">
      <w:pPr>
        <w:pStyle w:val="Apara"/>
      </w:pPr>
      <w:r w:rsidRPr="00297A38">
        <w:tab/>
        <w:t>(b)</w:t>
      </w:r>
      <w:r w:rsidRPr="00297A38">
        <w:tab/>
        <w:t>the amendment or cancellation takes effect—</w:t>
      </w:r>
    </w:p>
    <w:p w14:paraId="3E6CA5BB" w14:textId="77777777" w:rsidR="00DB6E47" w:rsidRPr="00516F02" w:rsidRDefault="00DB6E47" w:rsidP="00DB6E47">
      <w:pPr>
        <w:pStyle w:val="Asubpara"/>
      </w:pPr>
      <w:r w:rsidRPr="00516F02">
        <w:tab/>
        <w:t>(i)</w:t>
      </w:r>
      <w:r w:rsidRPr="00516F02">
        <w:tab/>
        <w:t>when notice of the decision is given to the applicant; or</w:t>
      </w:r>
    </w:p>
    <w:p w14:paraId="691EBFD6" w14:textId="77777777" w:rsidR="00DB6E47" w:rsidRPr="00516F02" w:rsidRDefault="00DB6E47" w:rsidP="00DB6E47">
      <w:pPr>
        <w:pStyle w:val="Asubpara"/>
      </w:pPr>
      <w:r w:rsidRPr="00516F02">
        <w:tab/>
        <w:t>(ii)</w:t>
      </w:r>
      <w:r w:rsidRPr="00516F02">
        <w:tab/>
        <w:t>if a later time is stated in the notice, at the later time; and</w:t>
      </w:r>
    </w:p>
    <w:p w14:paraId="5BB26AD4" w14:textId="77777777" w:rsidR="00DB6E47" w:rsidRPr="00297A38" w:rsidRDefault="00DB6E47" w:rsidP="00DB6E47">
      <w:pPr>
        <w:pStyle w:val="Apara"/>
      </w:pPr>
      <w:r w:rsidRPr="00297A38">
        <w:tab/>
        <w:t>(c)</w:t>
      </w:r>
      <w:r w:rsidRPr="00297A38">
        <w:tab/>
        <w:t>if the Regulator amended the approval, the Regulator must give the applicant a replacement certificate of approval for the approval as amended.</w:t>
      </w:r>
    </w:p>
    <w:p w14:paraId="66B92B0B" w14:textId="77777777" w:rsidR="00DB6E47" w:rsidRPr="00283AFC" w:rsidRDefault="00DB6E47" w:rsidP="00DB6E47">
      <w:pPr>
        <w:pStyle w:val="Amain"/>
      </w:pPr>
      <w:r w:rsidRPr="00283AFC">
        <w:tab/>
        <w:t>(6)</w:t>
      </w:r>
      <w:r w:rsidRPr="00283AFC">
        <w:tab/>
        <w:t>If the Regulator decides not to amend or cancel the approval as sought by the applicant, the Regulator must—</w:t>
      </w:r>
    </w:p>
    <w:p w14:paraId="68B531A4" w14:textId="77777777" w:rsidR="00DB6E47" w:rsidRPr="00297A38" w:rsidRDefault="00DB6E47" w:rsidP="00DB6E47">
      <w:pPr>
        <w:pStyle w:val="Apara"/>
      </w:pPr>
      <w:r w:rsidRPr="00297A38">
        <w:tab/>
        <w:t>(a)</w:t>
      </w:r>
      <w:r w:rsidRPr="00297A38">
        <w:tab/>
        <w:t>give the applicant an information notice for the decision; and</w:t>
      </w:r>
    </w:p>
    <w:p w14:paraId="0A3E48F5" w14:textId="77777777" w:rsidR="00DB6E47" w:rsidRPr="00297A38" w:rsidRDefault="00DB6E47" w:rsidP="00DB6E47">
      <w:pPr>
        <w:pStyle w:val="Apara"/>
      </w:pPr>
      <w:r w:rsidRPr="00297A38">
        <w:tab/>
        <w:t>(b)</w:t>
      </w:r>
      <w:r w:rsidRPr="00297A38">
        <w:tab/>
        <w:t>return the certificate of approval for the approval to the applicant.</w:t>
      </w:r>
    </w:p>
    <w:p w14:paraId="12819375" w14:textId="77777777" w:rsidR="00DB6E47" w:rsidRPr="00283AFC" w:rsidRDefault="00DB6E47" w:rsidP="00DB6E47">
      <w:pPr>
        <w:pStyle w:val="Amain"/>
      </w:pPr>
      <w:r w:rsidRPr="00283AFC">
        <w:tab/>
        <w:t>(7)</w:t>
      </w:r>
      <w:r w:rsidRPr="00283AFC">
        <w:tab/>
        <w:t>In this section—</w:t>
      </w:r>
    </w:p>
    <w:p w14:paraId="1002A8AD" w14:textId="77777777" w:rsidR="00DB6E47" w:rsidRPr="00041046" w:rsidRDefault="00DB6E47" w:rsidP="00DB6E47">
      <w:pPr>
        <w:pStyle w:val="aDef"/>
        <w:rPr>
          <w:bCs/>
        </w:rPr>
      </w:pPr>
      <w:r w:rsidRPr="00041046">
        <w:rPr>
          <w:rStyle w:val="charBoldItals"/>
        </w:rPr>
        <w:t>certificate of approval</w:t>
      </w:r>
      <w:r w:rsidRPr="00041046">
        <w:t>, for an electronic recording system approval, means the certificate of approval issued by the Regulator under section 344 for the approval.</w:t>
      </w:r>
    </w:p>
    <w:p w14:paraId="510DBF07" w14:textId="77777777" w:rsidR="00DB6E47" w:rsidRPr="007E1F9A" w:rsidRDefault="00DB6E47" w:rsidP="00DB6E47">
      <w:pPr>
        <w:pStyle w:val="AH5Sec"/>
      </w:pPr>
      <w:bookmarkStart w:id="401" w:name="_Toc83625745"/>
      <w:r w:rsidRPr="005E03F7">
        <w:rPr>
          <w:rStyle w:val="CharSectNo"/>
        </w:rPr>
        <w:lastRenderedPageBreak/>
        <w:t>352</w:t>
      </w:r>
      <w:r w:rsidRPr="007E1F9A">
        <w:tab/>
        <w:t>Amendment or cancellation of approval on Regulator’s initiative</w:t>
      </w:r>
      <w:bookmarkEnd w:id="401"/>
    </w:p>
    <w:p w14:paraId="176642A4" w14:textId="77777777" w:rsidR="00DB6E47" w:rsidRPr="00283AFC" w:rsidRDefault="00DB6E47" w:rsidP="00DB6E47">
      <w:pPr>
        <w:pStyle w:val="Amain"/>
      </w:pPr>
      <w:r w:rsidRPr="00283AFC">
        <w:tab/>
        <w:t>(1)</w:t>
      </w:r>
      <w:r w:rsidRPr="00283AFC">
        <w:tab/>
        <w:t>Each of the following is a ground for amending or cancelling an electronic recording system approval—</w:t>
      </w:r>
    </w:p>
    <w:p w14:paraId="491751EA" w14:textId="77777777" w:rsidR="00DB6E47" w:rsidRPr="00297A38" w:rsidRDefault="00DB6E47" w:rsidP="00DB6E47">
      <w:pPr>
        <w:pStyle w:val="Apara"/>
      </w:pPr>
      <w:r w:rsidRPr="00297A38">
        <w:tab/>
        <w:t>(a)</w:t>
      </w:r>
      <w:r w:rsidRPr="00297A38">
        <w:tab/>
        <w:t>the approval was granted because of a document or representation that was—</w:t>
      </w:r>
    </w:p>
    <w:p w14:paraId="1EAE4AA9" w14:textId="77777777" w:rsidR="00DB6E47" w:rsidRPr="00516F02" w:rsidRDefault="00DB6E47" w:rsidP="00DB6E47">
      <w:pPr>
        <w:pStyle w:val="Asubpara"/>
      </w:pPr>
      <w:r w:rsidRPr="00516F02">
        <w:tab/>
        <w:t>(i)</w:t>
      </w:r>
      <w:r w:rsidRPr="00516F02">
        <w:tab/>
        <w:t>false or misleading; or</w:t>
      </w:r>
    </w:p>
    <w:p w14:paraId="1F730844" w14:textId="77777777" w:rsidR="00DB6E47" w:rsidRPr="00516F02" w:rsidRDefault="00DB6E47" w:rsidP="00DB6E47">
      <w:pPr>
        <w:pStyle w:val="Asubpara"/>
      </w:pPr>
      <w:r w:rsidRPr="00516F02">
        <w:tab/>
        <w:t>(ii)</w:t>
      </w:r>
      <w:r w:rsidRPr="00516F02">
        <w:tab/>
        <w:t>obtained or made in an improper way;</w:t>
      </w:r>
    </w:p>
    <w:p w14:paraId="1B10EE80" w14:textId="77777777" w:rsidR="00DB6E47" w:rsidRPr="00297A38" w:rsidRDefault="00DB6E47" w:rsidP="005568E2">
      <w:pPr>
        <w:pStyle w:val="Apara"/>
        <w:keepLines/>
      </w:pPr>
      <w:r w:rsidRPr="00297A38">
        <w:tab/>
        <w:t>(b)</w:t>
      </w:r>
      <w:r w:rsidRPr="00297A38">
        <w:tab/>
        <w:t>since the approval was granted, there has been a change in the circumstances that were relevant to the Regulator’s decision to grant the approval and, had the changed circumstances existed when the approval was granted, the Regulator would not have granted the approval, or would have granted the approval subject to conditions or different conditions.</w:t>
      </w:r>
    </w:p>
    <w:p w14:paraId="739A5726" w14:textId="77777777" w:rsidR="00DB6E47" w:rsidRPr="00283AFC" w:rsidRDefault="00DB6E47" w:rsidP="00DB6E47">
      <w:pPr>
        <w:pStyle w:val="Amain"/>
      </w:pPr>
      <w:r w:rsidRPr="00283AFC">
        <w:tab/>
        <w:t>(2)</w:t>
      </w:r>
      <w:r w:rsidRPr="00283AFC">
        <w:tab/>
        <w:t xml:space="preserve">If the Regulator considers a ground exists to amend or cancel an electronic recording system approval (the </w:t>
      </w:r>
      <w:r w:rsidRPr="00FF4454">
        <w:rPr>
          <w:rStyle w:val="charBoldItals"/>
        </w:rPr>
        <w:t>proposed action</w:t>
      </w:r>
      <w:r w:rsidRPr="00283AFC">
        <w:t>), the Regulator must give the holder of the approval a notice—</w:t>
      </w:r>
    </w:p>
    <w:p w14:paraId="030E44EB" w14:textId="77777777" w:rsidR="00DB6E47" w:rsidRPr="00297A38" w:rsidRDefault="00DB6E47" w:rsidP="00DB6E47">
      <w:pPr>
        <w:pStyle w:val="Apara"/>
      </w:pPr>
      <w:r w:rsidRPr="00297A38">
        <w:tab/>
        <w:t>(a)</w:t>
      </w:r>
      <w:r w:rsidRPr="00297A38">
        <w:tab/>
        <w:t>stating the proposed action; and</w:t>
      </w:r>
    </w:p>
    <w:p w14:paraId="5576A571" w14:textId="77777777" w:rsidR="00DB6E47" w:rsidRPr="00297A38" w:rsidRDefault="00DB6E47" w:rsidP="00DB6E47">
      <w:pPr>
        <w:pStyle w:val="Apara"/>
      </w:pPr>
      <w:r w:rsidRPr="00297A38">
        <w:tab/>
        <w:t>(b)</w:t>
      </w:r>
      <w:r w:rsidRPr="00297A38">
        <w:tab/>
        <w:t>stating the ground for the proposed action; and</w:t>
      </w:r>
    </w:p>
    <w:p w14:paraId="43B5B120" w14:textId="77777777" w:rsidR="00DB6E47" w:rsidRPr="00297A38" w:rsidRDefault="00DB6E47" w:rsidP="00DB6E47">
      <w:pPr>
        <w:pStyle w:val="Apara"/>
      </w:pPr>
      <w:r w:rsidRPr="00297A38">
        <w:tab/>
        <w:t>(c)</w:t>
      </w:r>
      <w:r w:rsidRPr="00297A38">
        <w:tab/>
        <w:t>outlining the facts and circumstances forming the basis for the ground; and</w:t>
      </w:r>
    </w:p>
    <w:p w14:paraId="2C58F7A3" w14:textId="77777777" w:rsidR="00DB6E47" w:rsidRPr="00297A38" w:rsidRDefault="00DB6E47" w:rsidP="00DB6E47">
      <w:pPr>
        <w:pStyle w:val="Apara"/>
      </w:pPr>
      <w:r w:rsidRPr="00297A38">
        <w:tab/>
        <w:t>(d)</w:t>
      </w:r>
      <w:r w:rsidRPr="00297A38">
        <w:tab/>
        <w:t>if the proposed action is to amend the approval (including a condition of the approval)—stating the proposed amendment; and</w:t>
      </w:r>
    </w:p>
    <w:p w14:paraId="6C20E7FA" w14:textId="77777777" w:rsidR="00DB6E47" w:rsidRPr="00297A38" w:rsidRDefault="00DB6E47" w:rsidP="00DB6E47">
      <w:pPr>
        <w:pStyle w:val="Apara"/>
      </w:pPr>
      <w:r w:rsidRPr="00297A38">
        <w:tab/>
        <w:t>(e)</w:t>
      </w:r>
      <w:r w:rsidRPr="00297A38">
        <w:tab/>
        <w:t>inviting the holder to make, within a stated time of at least 14 days after the notice is given to the holder, written representations about why the proposed action should not be taken.</w:t>
      </w:r>
    </w:p>
    <w:p w14:paraId="457051C3" w14:textId="77777777" w:rsidR="00DB6E47" w:rsidRPr="006C3305" w:rsidRDefault="00DB6E47" w:rsidP="00DB6E47">
      <w:pPr>
        <w:pStyle w:val="Amain"/>
      </w:pPr>
      <w:r>
        <w:lastRenderedPageBreak/>
        <w:tab/>
        <w:t>(</w:t>
      </w:r>
      <w:r w:rsidRPr="006C3305">
        <w:t>3)</w:t>
      </w:r>
      <w:r w:rsidRPr="006C3305">
        <w:tab/>
        <w:t>If, after considering all written repres</w:t>
      </w:r>
      <w:r w:rsidR="00EB41BE">
        <w:t>entations made under subsection </w:t>
      </w:r>
      <w:r w:rsidRPr="006C3305">
        <w:t>(2)(e), the Regulator still considers a ground exists to take the proposed action, the Regulator may—</w:t>
      </w:r>
    </w:p>
    <w:p w14:paraId="00FD8E12" w14:textId="77777777" w:rsidR="00DB6E47" w:rsidRPr="00297A38" w:rsidRDefault="00DB6E47" w:rsidP="00DB6E47">
      <w:pPr>
        <w:pStyle w:val="Apara"/>
      </w:pPr>
      <w:r w:rsidRPr="00297A38">
        <w:tab/>
        <w:t>(a)</w:t>
      </w:r>
      <w:r w:rsidRPr="00297A38">
        <w:tab/>
        <w:t>if the proposed action was to amend the approval—amend the approval, including, for example, by imposing additional conditions on the approval, in a way that is not substantially different from the proposed action; or</w:t>
      </w:r>
    </w:p>
    <w:p w14:paraId="1A3FEF0E" w14:textId="77777777" w:rsidR="00DB6E47" w:rsidRPr="00297A38" w:rsidRDefault="00DB6E47" w:rsidP="00DB6E47">
      <w:pPr>
        <w:pStyle w:val="Apara"/>
      </w:pPr>
      <w:r w:rsidRPr="00297A38">
        <w:tab/>
        <w:t>(b)</w:t>
      </w:r>
      <w:r w:rsidRPr="00297A38">
        <w:tab/>
        <w:t>if the proposed action was to cancel the approval—</w:t>
      </w:r>
    </w:p>
    <w:p w14:paraId="21C2AD80" w14:textId="77777777" w:rsidR="00DB6E47" w:rsidRPr="00516F02" w:rsidRDefault="00DB6E47" w:rsidP="00DB6E47">
      <w:pPr>
        <w:pStyle w:val="Asubpara"/>
      </w:pPr>
      <w:r w:rsidRPr="00516F02">
        <w:tab/>
        <w:t>(i)</w:t>
      </w:r>
      <w:r w:rsidRPr="00516F02">
        <w:tab/>
        <w:t>amend the approval, including, for example, by imposing additional conditions on the approval; or</w:t>
      </w:r>
    </w:p>
    <w:p w14:paraId="4486DC6E" w14:textId="77777777" w:rsidR="00DB6E47" w:rsidRPr="00516F02" w:rsidRDefault="00DB6E47" w:rsidP="00DB6E47">
      <w:pPr>
        <w:pStyle w:val="Asubpara"/>
      </w:pPr>
      <w:r w:rsidRPr="00516F02">
        <w:tab/>
        <w:t>(ii)</w:t>
      </w:r>
      <w:r w:rsidRPr="00516F02">
        <w:tab/>
        <w:t>cancel the approval.</w:t>
      </w:r>
    </w:p>
    <w:p w14:paraId="04C350C1" w14:textId="77777777" w:rsidR="00DB6E47" w:rsidRPr="00283AFC" w:rsidRDefault="00DB6E47" w:rsidP="00DB6E47">
      <w:pPr>
        <w:pStyle w:val="Amain"/>
      </w:pPr>
      <w:r w:rsidRPr="00283AFC">
        <w:tab/>
        <w:t>(4)</w:t>
      </w:r>
      <w:r w:rsidRPr="00283AFC">
        <w:tab/>
        <w:t>The Regulator must give the holder an information notice for the decision.</w:t>
      </w:r>
    </w:p>
    <w:p w14:paraId="53FD9D61" w14:textId="77777777" w:rsidR="00DB6E47" w:rsidRPr="00283AFC" w:rsidRDefault="00DB6E47" w:rsidP="00DB6E47">
      <w:pPr>
        <w:pStyle w:val="Amain"/>
      </w:pPr>
      <w:r w:rsidRPr="00283AFC">
        <w:tab/>
        <w:t>(5)</w:t>
      </w:r>
      <w:r w:rsidRPr="00283AFC">
        <w:tab/>
        <w:t>The amendment or cancellation takes effect—</w:t>
      </w:r>
    </w:p>
    <w:p w14:paraId="438B84F4" w14:textId="77777777" w:rsidR="00DB6E47" w:rsidRPr="00297A38" w:rsidRDefault="00DB6E47" w:rsidP="00DB6E47">
      <w:pPr>
        <w:pStyle w:val="Apara"/>
      </w:pPr>
      <w:r w:rsidRPr="00297A38">
        <w:tab/>
        <w:t>(a)</w:t>
      </w:r>
      <w:r w:rsidRPr="00297A38">
        <w:tab/>
        <w:t>when the information notice is given to the holder; or</w:t>
      </w:r>
    </w:p>
    <w:p w14:paraId="5A786200" w14:textId="77777777" w:rsidR="00DB6E47" w:rsidRPr="00297A38" w:rsidRDefault="00DB6E47" w:rsidP="00DB6E47">
      <w:pPr>
        <w:pStyle w:val="Apara"/>
      </w:pPr>
      <w:r w:rsidRPr="00297A38">
        <w:tab/>
        <w:t>(b)</w:t>
      </w:r>
      <w:r w:rsidRPr="00297A38">
        <w:tab/>
        <w:t>if a later time is stated in the information notice, at the later time.</w:t>
      </w:r>
    </w:p>
    <w:p w14:paraId="57548047" w14:textId="77777777" w:rsidR="00DB6E47" w:rsidRPr="007E1F9A" w:rsidRDefault="00DB6E47" w:rsidP="00DB6E47">
      <w:pPr>
        <w:pStyle w:val="AH5Sec"/>
      </w:pPr>
      <w:bookmarkStart w:id="402" w:name="_Toc83625746"/>
      <w:r w:rsidRPr="005E03F7">
        <w:rPr>
          <w:rStyle w:val="CharSectNo"/>
        </w:rPr>
        <w:t>353</w:t>
      </w:r>
      <w:r w:rsidRPr="007E1F9A">
        <w:tab/>
        <w:t>Minor amendment of approval</w:t>
      </w:r>
      <w:bookmarkEnd w:id="402"/>
    </w:p>
    <w:p w14:paraId="5FC9FB4F" w14:textId="77777777" w:rsidR="00DB6E47" w:rsidRPr="00283AFC" w:rsidRDefault="00DB6E47" w:rsidP="00DB6E47">
      <w:pPr>
        <w:pStyle w:val="Amainreturn"/>
      </w:pPr>
      <w:r w:rsidRPr="00283AFC">
        <w:t>The Regulator may, by notice given to the holder of an electronic recording system approval, amend the approval in a minor respect—</w:t>
      </w:r>
    </w:p>
    <w:p w14:paraId="62BAE588" w14:textId="77777777" w:rsidR="00DB6E47" w:rsidRPr="00297A38" w:rsidRDefault="00DB6E47" w:rsidP="00DB6E47">
      <w:pPr>
        <w:pStyle w:val="Apara"/>
      </w:pPr>
      <w:r w:rsidRPr="00297A38">
        <w:tab/>
        <w:t>(a)</w:t>
      </w:r>
      <w:r w:rsidRPr="00297A38">
        <w:tab/>
        <w:t>for a formal or clerical reason; or</w:t>
      </w:r>
    </w:p>
    <w:p w14:paraId="37047876" w14:textId="77777777" w:rsidR="00DB6E47" w:rsidRPr="00297A38" w:rsidRDefault="00DB6E47" w:rsidP="00DB6E47">
      <w:pPr>
        <w:pStyle w:val="Apara"/>
      </w:pPr>
      <w:r w:rsidRPr="00297A38">
        <w:tab/>
        <w:t>(b)</w:t>
      </w:r>
      <w:r w:rsidRPr="00297A38">
        <w:tab/>
        <w:t>in another way that does not adversely affect the holder’s interests.</w:t>
      </w:r>
    </w:p>
    <w:p w14:paraId="418E097B" w14:textId="77777777" w:rsidR="00DB6E47" w:rsidRPr="007E1F9A" w:rsidRDefault="00DB6E47" w:rsidP="00DB6E47">
      <w:pPr>
        <w:pStyle w:val="AH5Sec"/>
      </w:pPr>
      <w:bookmarkStart w:id="403" w:name="_Toc83625747"/>
      <w:r w:rsidRPr="005E03F7">
        <w:rPr>
          <w:rStyle w:val="CharSectNo"/>
        </w:rPr>
        <w:t>354</w:t>
      </w:r>
      <w:r w:rsidRPr="007E1F9A">
        <w:tab/>
        <w:t>Requirements if approval amended</w:t>
      </w:r>
      <w:bookmarkEnd w:id="403"/>
    </w:p>
    <w:p w14:paraId="010E7985" w14:textId="77777777" w:rsidR="00DB6E47" w:rsidRPr="00283AFC" w:rsidRDefault="00DB6E47" w:rsidP="00AE43F2">
      <w:pPr>
        <w:pStyle w:val="Amain"/>
        <w:keepNext/>
      </w:pPr>
      <w:r w:rsidRPr="00283AFC">
        <w:tab/>
        <w:t>(1)</w:t>
      </w:r>
      <w:r w:rsidRPr="00283AFC">
        <w:tab/>
        <w:t>This section applies if, under this Subdivision—</w:t>
      </w:r>
    </w:p>
    <w:p w14:paraId="2358A1E2" w14:textId="77777777" w:rsidR="00DB6E47" w:rsidRPr="00297A38" w:rsidRDefault="00DB6E47" w:rsidP="00DB6E47">
      <w:pPr>
        <w:pStyle w:val="Apara"/>
      </w:pPr>
      <w:r w:rsidRPr="00297A38">
        <w:tab/>
        <w:t>(a)</w:t>
      </w:r>
      <w:r w:rsidRPr="00297A38">
        <w:tab/>
        <w:t>the Regulator amends an electronic recording system approval to change the conditions about the use or maintenance of the electronic recording system the subject of the approval; and</w:t>
      </w:r>
    </w:p>
    <w:p w14:paraId="1A472848" w14:textId="77777777" w:rsidR="00DB6E47" w:rsidRPr="00297A38" w:rsidRDefault="00DB6E47" w:rsidP="00DB6E47">
      <w:pPr>
        <w:pStyle w:val="Apara"/>
      </w:pPr>
      <w:r w:rsidRPr="00297A38">
        <w:lastRenderedPageBreak/>
        <w:tab/>
        <w:t>(b)</w:t>
      </w:r>
      <w:r w:rsidRPr="00297A38">
        <w:tab/>
        <w:t>in the Regulator’s opinion, the amendment will, or is likely to, significantly affect the way the electronic recording system the subject of the approval is to be used.</w:t>
      </w:r>
    </w:p>
    <w:p w14:paraId="36E11495" w14:textId="77777777" w:rsidR="00DB6E47" w:rsidRPr="00283AFC" w:rsidRDefault="00DB6E47" w:rsidP="00DB6E47">
      <w:pPr>
        <w:pStyle w:val="Amain"/>
      </w:pPr>
      <w:r w:rsidRPr="00283AFC">
        <w:tab/>
        <w:t>(2)</w:t>
      </w:r>
      <w:r w:rsidRPr="00283AFC">
        <w:tab/>
        <w:t>The Regulator may, by notice, direct the holder of the approval to give each person to whom the holder has supplied an electronic recording system the subject of the approval, or a device forming part of the system, a notice stating the amended conditions of the approval.</w:t>
      </w:r>
    </w:p>
    <w:p w14:paraId="73DF5FB8" w14:textId="77777777" w:rsidR="00DB6E47" w:rsidRPr="00283AFC" w:rsidRDefault="00DB6E47" w:rsidP="00DB6E47">
      <w:pPr>
        <w:pStyle w:val="Amain"/>
      </w:pPr>
      <w:r w:rsidRPr="00283AFC">
        <w:tab/>
        <w:t>(3)</w:t>
      </w:r>
      <w:r w:rsidRPr="00283AFC">
        <w:tab/>
        <w:t>If the Regulator gives the holder of the approval a direction under subsection (2), the holder must comply with the direction.</w:t>
      </w:r>
    </w:p>
    <w:p w14:paraId="5B681838" w14:textId="77777777" w:rsidR="00DB6E47" w:rsidRPr="006C3305" w:rsidRDefault="00DB6E47" w:rsidP="00DB6E47">
      <w:pPr>
        <w:pStyle w:val="Penalty"/>
      </w:pPr>
      <w:r w:rsidRPr="00D91CC2">
        <w:rPr>
          <w:rFonts w:cs="Times"/>
          <w:bCs/>
          <w:iCs/>
        </w:rPr>
        <w:t>Maximum penalty—$6000.</w:t>
      </w:r>
    </w:p>
    <w:p w14:paraId="4375F848" w14:textId="77777777" w:rsidR="00DB6E47" w:rsidRPr="00283AFC" w:rsidRDefault="00DB6E47" w:rsidP="00DB6E47">
      <w:pPr>
        <w:pStyle w:val="Amain"/>
      </w:pPr>
      <w:r w:rsidRPr="00283AFC">
        <w:tab/>
        <w:t>(4)</w:t>
      </w:r>
      <w:r w:rsidRPr="00283AFC">
        <w:tab/>
        <w:t>With the Regulator’s written consent, a pe</w:t>
      </w:r>
      <w:r w:rsidR="004E3F26">
        <w:t xml:space="preserve">rson may comply with subsection </w:t>
      </w:r>
      <w:r w:rsidRPr="00283AFC">
        <w:t>(3)</w:t>
      </w:r>
      <w:r w:rsidR="004E3F26">
        <w:t xml:space="preserve"> </w:t>
      </w:r>
      <w:r w:rsidRPr="00283AFC">
        <w:t>by publishing the amended conditions, and any further details stated by the Regulator, using at least 2 of the following methods—</w:t>
      </w:r>
    </w:p>
    <w:p w14:paraId="1FC2B721" w14:textId="77777777" w:rsidR="00DB6E47" w:rsidRPr="00297A38" w:rsidRDefault="00DB6E47" w:rsidP="00DB6E47">
      <w:pPr>
        <w:pStyle w:val="Apara"/>
      </w:pPr>
      <w:r w:rsidRPr="00297A38">
        <w:tab/>
        <w:t>(a)</w:t>
      </w:r>
      <w:r w:rsidRPr="00297A38">
        <w:tab/>
        <w:t>by notice published in a newspaper stated by the Regulator;</w:t>
      </w:r>
    </w:p>
    <w:p w14:paraId="0BF81FB8" w14:textId="77777777" w:rsidR="00DB6E47" w:rsidRPr="00297A38" w:rsidRDefault="00DB6E47" w:rsidP="00DB6E47">
      <w:pPr>
        <w:pStyle w:val="Apara"/>
      </w:pPr>
      <w:r w:rsidRPr="00297A38">
        <w:tab/>
        <w:t>(b)</w:t>
      </w:r>
      <w:r w:rsidRPr="00297A38">
        <w:tab/>
        <w:t>by notice published in a journal or newsletter stated by the Regulator;</w:t>
      </w:r>
    </w:p>
    <w:p w14:paraId="48E58832" w14:textId="77777777" w:rsidR="00DB6E47" w:rsidRPr="00297A38" w:rsidRDefault="00DB6E47" w:rsidP="00DB6E47">
      <w:pPr>
        <w:pStyle w:val="Apara"/>
      </w:pPr>
      <w:r w:rsidRPr="00297A38">
        <w:tab/>
        <w:t>(c)</w:t>
      </w:r>
      <w:r w:rsidRPr="00297A38">
        <w:tab/>
        <w:t>on a website stated by the Regulator.</w:t>
      </w:r>
    </w:p>
    <w:p w14:paraId="28A6C267" w14:textId="77777777" w:rsidR="00DB6E47" w:rsidRPr="00283AFC" w:rsidRDefault="00DB6E47" w:rsidP="00AE43F2">
      <w:pPr>
        <w:pStyle w:val="Amain"/>
        <w:keepNext/>
      </w:pPr>
      <w:r w:rsidRPr="00283AFC">
        <w:tab/>
        <w:t>(5)</w:t>
      </w:r>
      <w:r w:rsidRPr="00283AFC">
        <w:tab/>
        <w:t>If, under subsection (3), the holder of the approval gives a person a notice stating the amended conditions of the approval, the person must give a copy of the notice to each other person to whom the person has supplied an electronic recording system the subject of the approval, or a device forming part of the system.</w:t>
      </w:r>
    </w:p>
    <w:p w14:paraId="207CB3E6" w14:textId="77777777" w:rsidR="00DB6E47" w:rsidRPr="00C96203" w:rsidRDefault="00DB6E47" w:rsidP="00DB6E47">
      <w:pPr>
        <w:pStyle w:val="aExamHdgss"/>
      </w:pPr>
      <w:r w:rsidRPr="00C96203">
        <w:rPr>
          <w:rFonts w:cs="Times"/>
          <w:bCs/>
          <w:iCs/>
        </w:rPr>
        <w:t>Example for the purposes of subsection (5)—</w:t>
      </w:r>
    </w:p>
    <w:p w14:paraId="6B0E4728" w14:textId="77777777" w:rsidR="00DB6E47" w:rsidRPr="00C96203" w:rsidRDefault="00DB6E47" w:rsidP="00DB6E47">
      <w:pPr>
        <w:pStyle w:val="aExamss"/>
      </w:pPr>
      <w:r w:rsidRPr="00C96203">
        <w:t>The holder of an approval is a manufacturer and the manufacturer has supplied an electronic recording system the subject of the approval to an operator of a fatigue-regulated heavy vehicle who has supplied the system to the vehicle’s driver. If, under subsection (3), the manufacturer gives the operator a notice stating the amended conditions of the approval, the operator must, under subsection (5), give the driver a copy of the notice.</w:t>
      </w:r>
    </w:p>
    <w:p w14:paraId="1DCCCA1C" w14:textId="77777777" w:rsidR="00DB6E47" w:rsidRPr="006C3305" w:rsidRDefault="00DB6E47" w:rsidP="00DB6E47">
      <w:pPr>
        <w:pStyle w:val="Penalty"/>
      </w:pPr>
      <w:r w:rsidRPr="00D91CC2">
        <w:rPr>
          <w:rFonts w:cs="Times"/>
          <w:bCs/>
          <w:iCs/>
        </w:rPr>
        <w:t>Maximum penalty—$6000.</w:t>
      </w:r>
    </w:p>
    <w:p w14:paraId="54726252" w14:textId="77777777" w:rsidR="00DB6E47" w:rsidRPr="00283AFC" w:rsidRDefault="00DB6E47" w:rsidP="00DB6E47">
      <w:pPr>
        <w:pStyle w:val="Amain"/>
      </w:pPr>
      <w:r w:rsidRPr="00283AFC">
        <w:lastRenderedPageBreak/>
        <w:tab/>
        <w:t>(6)</w:t>
      </w:r>
      <w:r w:rsidRPr="00283AFC">
        <w:tab/>
        <w:t>Nothing in this section prevents the Regulator from publishing details of the amendment by whatever means the Regulator thinks appropriate.</w:t>
      </w:r>
    </w:p>
    <w:p w14:paraId="4332CEF0" w14:textId="77777777" w:rsidR="00DB6E47" w:rsidRPr="00C96203" w:rsidRDefault="00DB6E47" w:rsidP="00DB6E47">
      <w:pPr>
        <w:pStyle w:val="aExamHdgss"/>
      </w:pPr>
      <w:r w:rsidRPr="00C96203">
        <w:rPr>
          <w:rFonts w:cs="Times"/>
          <w:bCs/>
          <w:iCs/>
        </w:rPr>
        <w:t>Example—</w:t>
      </w:r>
    </w:p>
    <w:p w14:paraId="0F399D4A" w14:textId="77777777" w:rsidR="00DB6E47" w:rsidRPr="00C96203" w:rsidRDefault="00DB6E47" w:rsidP="00DB6E47">
      <w:pPr>
        <w:pStyle w:val="aExamss"/>
      </w:pPr>
      <w:r w:rsidRPr="00C96203">
        <w:t>The Regulator may publish the amended conditions in the Commonwealth Gazette or on a website.</w:t>
      </w:r>
    </w:p>
    <w:p w14:paraId="3053DA07" w14:textId="77777777" w:rsidR="00DB6E47" w:rsidRPr="00283AFC" w:rsidRDefault="00DB6E47" w:rsidP="005568E2">
      <w:pPr>
        <w:pStyle w:val="Amain"/>
        <w:keepNext/>
      </w:pPr>
      <w:r w:rsidRPr="00283AFC">
        <w:tab/>
        <w:t>(7)</w:t>
      </w:r>
      <w:r w:rsidRPr="00283AFC">
        <w:tab/>
        <w:t>In this section—</w:t>
      </w:r>
    </w:p>
    <w:p w14:paraId="1BE01696" w14:textId="77777777" w:rsidR="00DB6E47" w:rsidRPr="00041046" w:rsidRDefault="00DB6E47" w:rsidP="00DB6E47">
      <w:pPr>
        <w:pStyle w:val="aDef"/>
        <w:rPr>
          <w:bCs/>
        </w:rPr>
      </w:pPr>
      <w:r w:rsidRPr="00041046">
        <w:rPr>
          <w:rStyle w:val="charBoldItals"/>
        </w:rPr>
        <w:t>amended conditions</w:t>
      </w:r>
      <w:r w:rsidRPr="00041046">
        <w:t>, of an electronic recording system approval that has been amended under this Division, means the conditions of the approval as they apply after the amendment.</w:t>
      </w:r>
    </w:p>
    <w:p w14:paraId="7ECF3C60" w14:textId="77777777" w:rsidR="00DB6E47" w:rsidRPr="007E1F9A" w:rsidRDefault="00DB6E47" w:rsidP="00DB6E47">
      <w:pPr>
        <w:pStyle w:val="AH5Sec"/>
      </w:pPr>
      <w:bookmarkStart w:id="404" w:name="_Toc83625748"/>
      <w:r w:rsidRPr="005E03F7">
        <w:rPr>
          <w:rStyle w:val="CharSectNo"/>
        </w:rPr>
        <w:t>355</w:t>
      </w:r>
      <w:r w:rsidRPr="007E1F9A">
        <w:tab/>
        <w:t>Requirements if approval cancelled</w:t>
      </w:r>
      <w:bookmarkEnd w:id="404"/>
    </w:p>
    <w:p w14:paraId="6F4C1E71" w14:textId="77777777" w:rsidR="00DB6E47" w:rsidRPr="00283AFC" w:rsidRDefault="00DB6E47" w:rsidP="0024754E">
      <w:pPr>
        <w:pStyle w:val="Amain"/>
        <w:keepNext/>
      </w:pPr>
      <w:r w:rsidRPr="00283AFC">
        <w:tab/>
        <w:t>(1)</w:t>
      </w:r>
      <w:r w:rsidRPr="00283AFC">
        <w:tab/>
        <w:t>This section applies if, under this Subdivision, the Regulator notifies the holder of an electronic recording system approval that the approval has been cancelled.</w:t>
      </w:r>
    </w:p>
    <w:p w14:paraId="5638C0B9" w14:textId="77777777" w:rsidR="00DB6E47" w:rsidRPr="000666ED" w:rsidRDefault="00DB6E47" w:rsidP="00AE43F2">
      <w:pPr>
        <w:pStyle w:val="Amain"/>
        <w:keepLines/>
      </w:pPr>
      <w:r w:rsidRPr="000666ED">
        <w:tab/>
        <w:t>(2)</w:t>
      </w:r>
      <w:r w:rsidRPr="000666ED">
        <w:tab/>
      </w:r>
      <w:r w:rsidR="000666ED" w:rsidRPr="000666ED">
        <w:t>If the electronic recording system constitutes an electronic work diary, or if part of the electronic recording system is an electronic work diary, the holder of the approval must, within the period stated by the Regulator in the notification, remove any electronic message on the system’s visual display stating the system is or includes an electronic work diary.</w:t>
      </w:r>
    </w:p>
    <w:p w14:paraId="5A4653CB" w14:textId="77777777" w:rsidR="00DB6E47" w:rsidRPr="000666ED" w:rsidRDefault="00DB6E47" w:rsidP="00DB6E47">
      <w:pPr>
        <w:pStyle w:val="Penalty"/>
      </w:pPr>
      <w:r w:rsidRPr="000666ED">
        <w:t>Maximum penalty—$6000.</w:t>
      </w:r>
    </w:p>
    <w:p w14:paraId="570983BD" w14:textId="77777777" w:rsidR="00DB6E47" w:rsidRPr="000666ED" w:rsidRDefault="00DB6E47" w:rsidP="000666ED">
      <w:pPr>
        <w:pStyle w:val="Amain"/>
      </w:pPr>
      <w:r w:rsidRPr="000666ED">
        <w:tab/>
        <w:t>(3)</w:t>
      </w:r>
      <w:r w:rsidRPr="000666ED">
        <w:tab/>
      </w:r>
      <w:r w:rsidR="000666ED" w:rsidRPr="000666ED">
        <w:t>The Regulator may, by notice, direct the holder of the approval to give each person to whom the holder has supplied an electronic recording system the subject of the approval that constitutes an electronic work diary, or of which an electronic work diary is a part, a notice stating that the approval has been cancelled.</w:t>
      </w:r>
    </w:p>
    <w:p w14:paraId="230FC034" w14:textId="77777777" w:rsidR="00DB6E47" w:rsidRPr="00283AFC" w:rsidRDefault="00DB6E47" w:rsidP="00DB6E47">
      <w:pPr>
        <w:pStyle w:val="Amain"/>
      </w:pPr>
      <w:r w:rsidRPr="00283AFC">
        <w:tab/>
        <w:t>(4)</w:t>
      </w:r>
      <w:r w:rsidRPr="00283AFC">
        <w:tab/>
        <w:t>If the Regulator gives the holder of the approval a direction under subsection (3), the holder must comply with the direction.</w:t>
      </w:r>
    </w:p>
    <w:p w14:paraId="2E4D5CDD" w14:textId="77777777" w:rsidR="00DB6E47" w:rsidRPr="006C3305" w:rsidRDefault="00DB6E47" w:rsidP="00DB6E47">
      <w:pPr>
        <w:pStyle w:val="Penalty"/>
      </w:pPr>
      <w:r w:rsidRPr="00D91CC2">
        <w:rPr>
          <w:rFonts w:cs="Times"/>
          <w:bCs/>
          <w:iCs/>
        </w:rPr>
        <w:t>Maximum penalty—$6000.</w:t>
      </w:r>
    </w:p>
    <w:p w14:paraId="68F0592F" w14:textId="77777777" w:rsidR="00DB6E47" w:rsidRPr="00283AFC" w:rsidRDefault="00DB6E47" w:rsidP="00DB6E47">
      <w:pPr>
        <w:pStyle w:val="Amain"/>
      </w:pPr>
      <w:r w:rsidRPr="00283AFC">
        <w:lastRenderedPageBreak/>
        <w:tab/>
        <w:t>(5)</w:t>
      </w:r>
      <w:r w:rsidRPr="00283AFC">
        <w:tab/>
        <w:t>With the Regulator’s written consent, a person</w:t>
      </w:r>
      <w:r w:rsidR="004E3F26">
        <w:t xml:space="preserve"> may comply with subsection </w:t>
      </w:r>
      <w:r w:rsidRPr="00283AFC">
        <w:t>(4)</w:t>
      </w:r>
      <w:r w:rsidR="004E3F26">
        <w:t xml:space="preserve"> </w:t>
      </w:r>
      <w:r w:rsidRPr="00283AFC">
        <w:t>by publishing details of the cancellation, and any further details stated by the Regulator, using at least 2 of the following methods—</w:t>
      </w:r>
    </w:p>
    <w:p w14:paraId="679A442D" w14:textId="77777777" w:rsidR="00DB6E47" w:rsidRPr="00297A38" w:rsidRDefault="00DB6E47" w:rsidP="00DB6E47">
      <w:pPr>
        <w:pStyle w:val="Apara"/>
      </w:pPr>
      <w:r w:rsidRPr="00297A38">
        <w:tab/>
        <w:t>(a)</w:t>
      </w:r>
      <w:r w:rsidRPr="00297A38">
        <w:tab/>
        <w:t>by notice published in a newspaper stated by the Regulator;</w:t>
      </w:r>
    </w:p>
    <w:p w14:paraId="243665F7" w14:textId="77777777" w:rsidR="00DB6E47" w:rsidRPr="00297A38" w:rsidRDefault="00DB6E47" w:rsidP="00DB6E47">
      <w:pPr>
        <w:pStyle w:val="Apara"/>
      </w:pPr>
      <w:r w:rsidRPr="00297A38">
        <w:tab/>
        <w:t>(b)</w:t>
      </w:r>
      <w:r w:rsidRPr="00297A38">
        <w:tab/>
        <w:t>by notice published in a journal or newsletter stated by the Regulator;</w:t>
      </w:r>
    </w:p>
    <w:p w14:paraId="55F2729F" w14:textId="77777777" w:rsidR="00DB6E47" w:rsidRPr="00297A38" w:rsidRDefault="00DB6E47" w:rsidP="00DB6E47">
      <w:pPr>
        <w:pStyle w:val="Apara"/>
      </w:pPr>
      <w:r w:rsidRPr="00297A38">
        <w:tab/>
        <w:t>(c)</w:t>
      </w:r>
      <w:r w:rsidRPr="00297A38">
        <w:tab/>
        <w:t>on a website stated by the Regulator.</w:t>
      </w:r>
    </w:p>
    <w:p w14:paraId="512418F3" w14:textId="77777777" w:rsidR="00DB6E47" w:rsidRPr="002F4740" w:rsidRDefault="00DB6E47" w:rsidP="0024754E">
      <w:pPr>
        <w:pStyle w:val="Amain"/>
        <w:keepNext/>
        <w:keepLines/>
      </w:pPr>
      <w:r w:rsidRPr="00283AFC">
        <w:tab/>
        <w:t>(6)</w:t>
      </w:r>
      <w:r w:rsidRPr="00283AFC">
        <w:tab/>
      </w:r>
      <w:r w:rsidR="002F4740" w:rsidRPr="002F4740">
        <w:t>If, under subsection (4), the holder of the approval gives a person a notice that the approval has been cancelled, the person must give a notice to each other person to whom the person has supplied an electronic recording system the subject of the approval that constitutes an electronic work diary, or of which an electronic work diary is a part, stating that the approval has been cancelled.</w:t>
      </w:r>
    </w:p>
    <w:p w14:paraId="70DDFE49" w14:textId="77777777" w:rsidR="00DB6E47" w:rsidRPr="00C96203" w:rsidRDefault="00DB6E47" w:rsidP="00DB6E47">
      <w:pPr>
        <w:pStyle w:val="aExamHdgss"/>
      </w:pPr>
      <w:r w:rsidRPr="00C96203">
        <w:rPr>
          <w:rFonts w:cs="Times"/>
          <w:bCs/>
          <w:iCs/>
        </w:rPr>
        <w:t>Example for the purposes of subsection (6)—</w:t>
      </w:r>
    </w:p>
    <w:p w14:paraId="0F7138D3" w14:textId="77777777" w:rsidR="00DB6E47" w:rsidRPr="002F4740" w:rsidRDefault="002F4740" w:rsidP="00DB6E47">
      <w:pPr>
        <w:pStyle w:val="aExamss"/>
      </w:pPr>
      <w:r w:rsidRPr="002F4740">
        <w:t>The holder of an approval is a service provider who has supplied to the operator of a fatigue-regulated heavy vehicle an approved electronic recording system constituting an electronic work diary or of which an electronic work diary is a part. If, under subsection (4), the service provider gives the operator a notice stating the approval has been cancelled, the operator must give the driver of the vehicle a notice stating the approval has been cancelled.</w:t>
      </w:r>
    </w:p>
    <w:p w14:paraId="059DA556" w14:textId="77777777" w:rsidR="00DB6E47" w:rsidRPr="006C3305" w:rsidRDefault="00DB6E47" w:rsidP="00DB6E47">
      <w:pPr>
        <w:pStyle w:val="Penalty"/>
      </w:pPr>
      <w:r w:rsidRPr="00D91CC2">
        <w:rPr>
          <w:rFonts w:cs="Times"/>
          <w:bCs/>
          <w:iCs/>
        </w:rPr>
        <w:t>Maximum penalty—$6000.</w:t>
      </w:r>
    </w:p>
    <w:p w14:paraId="0BDC8DF1" w14:textId="77777777" w:rsidR="00DB6E47" w:rsidRPr="00283AFC" w:rsidRDefault="00DB6E47" w:rsidP="00DB6E47">
      <w:pPr>
        <w:pStyle w:val="Amain"/>
      </w:pPr>
      <w:r w:rsidRPr="00283AFC">
        <w:tab/>
        <w:t>(7)</w:t>
      </w:r>
      <w:r w:rsidRPr="00283AFC">
        <w:tab/>
        <w:t>Nothing in this section prevents the Regulator from publishing details of the cancellation by whatever means the Regulator thinks appropriate.</w:t>
      </w:r>
    </w:p>
    <w:p w14:paraId="273E04C9" w14:textId="77777777" w:rsidR="00DB6E47" w:rsidRPr="00C96203" w:rsidRDefault="00DB6E47" w:rsidP="00DB6E47">
      <w:pPr>
        <w:pStyle w:val="aExamHdgss"/>
      </w:pPr>
      <w:r w:rsidRPr="00C96203">
        <w:rPr>
          <w:rFonts w:cs="Times"/>
          <w:bCs/>
          <w:iCs/>
        </w:rPr>
        <w:t>Example—</w:t>
      </w:r>
    </w:p>
    <w:p w14:paraId="114A4945" w14:textId="77777777" w:rsidR="00DB6E47" w:rsidRPr="00C96203" w:rsidRDefault="00DB6E47" w:rsidP="00DB6E47">
      <w:pPr>
        <w:pStyle w:val="aExamss"/>
      </w:pPr>
      <w:r w:rsidRPr="00C96203">
        <w:t>The Regulator may publish the cancellation in the Commonwealth Gazette or on a website.</w:t>
      </w:r>
    </w:p>
    <w:p w14:paraId="69E9A305" w14:textId="77777777" w:rsidR="00DB6E47" w:rsidRPr="00283AFC" w:rsidRDefault="002F4740" w:rsidP="00DB6E47">
      <w:pPr>
        <w:pStyle w:val="Amain"/>
      </w:pPr>
      <w:r>
        <w:tab/>
        <w:t>(8</w:t>
      </w:r>
      <w:r w:rsidR="00DB6E47" w:rsidRPr="00283AFC">
        <w:t>)</w:t>
      </w:r>
      <w:r w:rsidR="00DB6E47" w:rsidRPr="00283AFC">
        <w:tab/>
        <w:t>In this section—</w:t>
      </w:r>
    </w:p>
    <w:p w14:paraId="431FF78B" w14:textId="77777777" w:rsidR="00DB6E47" w:rsidRPr="00041046" w:rsidRDefault="00DB6E47" w:rsidP="00DB6E47">
      <w:pPr>
        <w:pStyle w:val="aDef"/>
        <w:rPr>
          <w:bCs/>
        </w:rPr>
      </w:pPr>
      <w:r w:rsidRPr="00041046">
        <w:rPr>
          <w:rStyle w:val="charBoldItals"/>
        </w:rPr>
        <w:t>holder</w:t>
      </w:r>
      <w:r w:rsidRPr="00041046">
        <w:t>, of an electronic recording system approval that has been cancelled, means the person who, immediately before the cancellation took effect, held the approval.</w:t>
      </w:r>
    </w:p>
    <w:p w14:paraId="3C686B95" w14:textId="77777777" w:rsidR="00DB6E47" w:rsidRPr="005E03F7" w:rsidRDefault="00DB6E47" w:rsidP="00DB6E47">
      <w:pPr>
        <w:pStyle w:val="AH3Div"/>
      </w:pPr>
      <w:bookmarkStart w:id="405" w:name="_Toc83625749"/>
      <w:r w:rsidRPr="005E03F7">
        <w:rPr>
          <w:rStyle w:val="CharDivNo"/>
        </w:rPr>
        <w:lastRenderedPageBreak/>
        <w:t xml:space="preserve">Division 8 </w:t>
      </w:r>
      <w:r w:rsidRPr="00A95F9A">
        <w:rPr>
          <w:rFonts w:ascii="Helvetica" w:hAnsi="Helvetica" w:cs="Helvetica"/>
          <w:iCs/>
          <w:szCs w:val="28"/>
        </w:rPr>
        <w:tab/>
      </w:r>
      <w:r w:rsidRPr="005E03F7">
        <w:rPr>
          <w:rStyle w:val="CharDivText"/>
          <w:rFonts w:ascii="Helvetica" w:hAnsi="Helvetica" w:cs="Helvetica"/>
          <w:iCs/>
          <w:szCs w:val="28"/>
        </w:rPr>
        <w:t>Exemptions from work diary requirements of Division 2</w:t>
      </w:r>
      <w:bookmarkEnd w:id="405"/>
    </w:p>
    <w:p w14:paraId="0CF4160A" w14:textId="77777777" w:rsidR="00DB6E47" w:rsidRPr="00A95F9A" w:rsidRDefault="00DB6E47" w:rsidP="00DB6E47">
      <w:pPr>
        <w:pStyle w:val="AH4SubDiv"/>
      </w:pPr>
      <w:bookmarkStart w:id="406" w:name="_Toc83625750"/>
      <w:r w:rsidRPr="00A95F9A">
        <w:t xml:space="preserve">Subdivision 1 </w:t>
      </w:r>
      <w:r w:rsidRPr="00A95F9A">
        <w:tab/>
        <w:t>Exemption for emergency services</w:t>
      </w:r>
      <w:bookmarkEnd w:id="406"/>
    </w:p>
    <w:p w14:paraId="0AFE281F" w14:textId="77777777" w:rsidR="00DB6E47" w:rsidRPr="007E1F9A" w:rsidRDefault="00DB6E47" w:rsidP="00DB6E47">
      <w:pPr>
        <w:pStyle w:val="AH5Sec"/>
      </w:pPr>
      <w:bookmarkStart w:id="407" w:name="_Toc83625751"/>
      <w:r w:rsidRPr="005E03F7">
        <w:rPr>
          <w:rStyle w:val="CharSectNo"/>
        </w:rPr>
        <w:t>356</w:t>
      </w:r>
      <w:r w:rsidRPr="007E1F9A">
        <w:tab/>
        <w:t>Emergency services exemption</w:t>
      </w:r>
      <w:bookmarkEnd w:id="407"/>
    </w:p>
    <w:p w14:paraId="5355E05D" w14:textId="77777777" w:rsidR="00DB6E47" w:rsidRPr="00283AFC" w:rsidRDefault="00DB6E47" w:rsidP="00AE43F2">
      <w:pPr>
        <w:pStyle w:val="Amain"/>
        <w:keepLines/>
      </w:pPr>
      <w:r w:rsidRPr="00283AFC">
        <w:tab/>
        <w:t>(1)</w:t>
      </w:r>
      <w:r w:rsidRPr="00283AFC">
        <w:tab/>
        <w:t>A person who is acting for an emergency service and who has time-critical duties on the way to, or during, an emergency is exempted in the course of carrying out the duties from compliance with Division</w:t>
      </w:r>
      <w:r w:rsidR="00736BFE">
        <w:t> </w:t>
      </w:r>
      <w:r w:rsidRPr="00283AFC">
        <w:t>2.</w:t>
      </w:r>
    </w:p>
    <w:p w14:paraId="208D24FB" w14:textId="77777777" w:rsidR="00DB6E47" w:rsidRPr="00283AFC" w:rsidRDefault="00DB6E47" w:rsidP="00DB6E47">
      <w:pPr>
        <w:pStyle w:val="Amain"/>
      </w:pPr>
      <w:r w:rsidRPr="00283AFC">
        <w:tab/>
        <w:t>(2)</w:t>
      </w:r>
      <w:r w:rsidRPr="00283AFC">
        <w:tab/>
        <w:t>A person who is acting for an emergency service and who is returning from attending an emergency is exempted from compliance with Division 2 if the person reasonably believes the noncompliance does not present an unreasonable danger to other road users.</w:t>
      </w:r>
    </w:p>
    <w:p w14:paraId="61D078D0" w14:textId="77777777" w:rsidR="00DB6E47" w:rsidRPr="00283AFC" w:rsidRDefault="00DB6E47" w:rsidP="00DB6E47">
      <w:pPr>
        <w:pStyle w:val="Amain"/>
      </w:pPr>
      <w:r w:rsidRPr="00283AFC">
        <w:tab/>
        <w:t>(3)</w:t>
      </w:r>
      <w:r w:rsidRPr="00283AFC">
        <w:tab/>
        <w:t>A person who is acting for an emergency service is exempted from compliance w</w:t>
      </w:r>
      <w:r w:rsidR="00736BFE">
        <w:t xml:space="preserve">ith Division 2 under subsection </w:t>
      </w:r>
      <w:r w:rsidRPr="00283AFC">
        <w:t>(1)</w:t>
      </w:r>
      <w:r w:rsidR="00736BFE">
        <w:t xml:space="preserve"> or </w:t>
      </w:r>
      <w:r w:rsidRPr="00283AFC">
        <w:t>(2)</w:t>
      </w:r>
      <w:r w:rsidR="00736BFE">
        <w:t xml:space="preserve"> </w:t>
      </w:r>
      <w:r w:rsidRPr="00283AFC">
        <w:t>only if, at the relevant time, the person complies with any guidelines regarding the management of fatigue issued by or on behalf of the emergency service or an authority responsible for oversight of the emergency service.</w:t>
      </w:r>
    </w:p>
    <w:p w14:paraId="15B7B648" w14:textId="77777777" w:rsidR="00DB6E47" w:rsidRPr="00283AFC" w:rsidRDefault="00DB6E47" w:rsidP="00C72068">
      <w:pPr>
        <w:pStyle w:val="Amain"/>
        <w:keepNext/>
      </w:pPr>
      <w:r w:rsidRPr="00283AFC">
        <w:tab/>
        <w:t>(4)</w:t>
      </w:r>
      <w:r w:rsidRPr="00283AFC">
        <w:tab/>
        <w:t>In this section—</w:t>
      </w:r>
    </w:p>
    <w:p w14:paraId="43D89F27" w14:textId="77777777" w:rsidR="00DB6E47" w:rsidRPr="00041046" w:rsidRDefault="00DB6E47" w:rsidP="00DB6E47">
      <w:pPr>
        <w:pStyle w:val="aDef"/>
        <w:rPr>
          <w:bCs/>
        </w:rPr>
      </w:pPr>
      <w:r w:rsidRPr="00041046">
        <w:rPr>
          <w:rStyle w:val="charBoldItals"/>
        </w:rPr>
        <w:t>emergency</w:t>
      </w:r>
      <w:r w:rsidRPr="00041046">
        <w:t xml:space="preserve"> means an event, or an anticipated event, that—</w:t>
      </w:r>
    </w:p>
    <w:p w14:paraId="685E8171" w14:textId="77777777" w:rsidR="00DB6E47" w:rsidRPr="00736BFE" w:rsidRDefault="00DB6E47" w:rsidP="00DB6E47">
      <w:pPr>
        <w:pStyle w:val="aDefpara"/>
      </w:pPr>
      <w:r w:rsidRPr="00FF4454">
        <w:tab/>
      </w:r>
      <w:r w:rsidRPr="00F04D8E">
        <w:rPr>
          <w:rFonts w:cs="Times"/>
          <w:bCs/>
          <w:iCs/>
        </w:rPr>
        <w:t>(a)</w:t>
      </w:r>
      <w:r w:rsidRPr="00FF4454">
        <w:rPr>
          <w:rStyle w:val="charBoldItals"/>
        </w:rPr>
        <w:tab/>
      </w:r>
      <w:r w:rsidRPr="00736BFE">
        <w:t>endangers, or may endanger, life, property or the environment; or</w:t>
      </w:r>
    </w:p>
    <w:p w14:paraId="0C98C9EF" w14:textId="77777777" w:rsidR="00DB6E47" w:rsidRPr="00736BFE" w:rsidRDefault="00DB6E47" w:rsidP="00DB6E47">
      <w:pPr>
        <w:pStyle w:val="aDefpara"/>
      </w:pPr>
      <w:r w:rsidRPr="00736BFE">
        <w:tab/>
        <w:t>(b)</w:t>
      </w:r>
      <w:r w:rsidRPr="00736BFE">
        <w:tab/>
        <w:t>has disrupted, or may disrupt, communications, energy supply, water supply or sewerage services; or</w:t>
      </w:r>
    </w:p>
    <w:p w14:paraId="5C878F4B" w14:textId="77777777" w:rsidR="00DB6E47" w:rsidRPr="00736BFE" w:rsidRDefault="00DB6E47" w:rsidP="00DB6E47">
      <w:pPr>
        <w:pStyle w:val="aDefpara"/>
      </w:pPr>
      <w:r w:rsidRPr="00736BFE">
        <w:tab/>
        <w:t>(c)</w:t>
      </w:r>
      <w:r w:rsidRPr="00736BFE">
        <w:tab/>
        <w:t>is declared to be an emergency or disaster by—</w:t>
      </w:r>
    </w:p>
    <w:p w14:paraId="5791164C" w14:textId="77777777" w:rsidR="00DB6E47" w:rsidRPr="006C3305" w:rsidRDefault="00DB6E47" w:rsidP="00DB6E47">
      <w:pPr>
        <w:pStyle w:val="aDefsubpara"/>
      </w:pPr>
      <w:r>
        <w:tab/>
      </w:r>
      <w:r w:rsidRPr="00F04D8E">
        <w:t>(i)</w:t>
      </w:r>
      <w:r w:rsidRPr="006C3305">
        <w:tab/>
        <w:t>the Commonwealth or a State or Territory; or</w:t>
      </w:r>
    </w:p>
    <w:p w14:paraId="74114A95" w14:textId="77777777" w:rsidR="00DB6E47" w:rsidRPr="00736BFE" w:rsidRDefault="00DB6E47" w:rsidP="00AE43F2">
      <w:pPr>
        <w:pStyle w:val="aDefsubpara"/>
        <w:keepNext/>
      </w:pPr>
      <w:r w:rsidRPr="00736BFE">
        <w:lastRenderedPageBreak/>
        <w:tab/>
        <w:t>(ii)</w:t>
      </w:r>
      <w:r w:rsidRPr="00736BFE">
        <w:tab/>
        <w:t>a Commonwealth or State or Territory authority responsible for managing responses to emergencies or disasters.</w:t>
      </w:r>
    </w:p>
    <w:p w14:paraId="56672253" w14:textId="77777777" w:rsidR="00DB6E47" w:rsidRPr="00C96203" w:rsidRDefault="00DB6E47" w:rsidP="00DB6E47">
      <w:pPr>
        <w:pStyle w:val="aExamHdgss"/>
      </w:pPr>
      <w:r w:rsidRPr="00C96203">
        <w:rPr>
          <w:rFonts w:cs="Times"/>
          <w:bCs/>
          <w:iCs/>
        </w:rPr>
        <w:t>Examples of an emergency—</w:t>
      </w:r>
    </w:p>
    <w:p w14:paraId="4D9CAF15" w14:textId="77777777" w:rsidR="00DB6E47" w:rsidRPr="00C96203" w:rsidRDefault="00DB6E47" w:rsidP="00DB6E47">
      <w:pPr>
        <w:pStyle w:val="aExamss"/>
      </w:pPr>
      <w:r w:rsidRPr="00C96203">
        <w:t>fire, explosion or natural disaster</w:t>
      </w:r>
    </w:p>
    <w:p w14:paraId="0EF585CF" w14:textId="77777777" w:rsidR="00DB6E47" w:rsidRPr="00041046" w:rsidRDefault="00DB6E47" w:rsidP="00DB6E47">
      <w:pPr>
        <w:pStyle w:val="aDef"/>
        <w:rPr>
          <w:bCs/>
        </w:rPr>
      </w:pPr>
      <w:r w:rsidRPr="00041046">
        <w:rPr>
          <w:rStyle w:val="charBoldItals"/>
        </w:rPr>
        <w:t>emergency service</w:t>
      </w:r>
      <w:r w:rsidRPr="00041046">
        <w:t xml:space="preserve"> means an entity that has a statutory responsibility to respond to an emergency and includes the following—</w:t>
      </w:r>
    </w:p>
    <w:p w14:paraId="7C1B0D1E" w14:textId="77777777" w:rsidR="00DB6E47" w:rsidRPr="00736BFE" w:rsidRDefault="00DB6E47" w:rsidP="00DB6E47">
      <w:pPr>
        <w:pStyle w:val="aDefpara"/>
      </w:pPr>
      <w:r w:rsidRPr="00FF4454">
        <w:tab/>
      </w:r>
      <w:r w:rsidRPr="00F04D8E">
        <w:rPr>
          <w:rFonts w:cs="Times"/>
          <w:bCs/>
          <w:iCs/>
        </w:rPr>
        <w:t>(a)</w:t>
      </w:r>
      <w:r w:rsidRPr="00FF4454">
        <w:rPr>
          <w:rStyle w:val="charBoldItals"/>
        </w:rPr>
        <w:tab/>
      </w:r>
      <w:r w:rsidRPr="00736BFE">
        <w:t>an ambulance service;</w:t>
      </w:r>
    </w:p>
    <w:p w14:paraId="34D33D92" w14:textId="77777777" w:rsidR="00DB6E47" w:rsidRPr="00736BFE" w:rsidRDefault="00DB6E47" w:rsidP="00DB6E47">
      <w:pPr>
        <w:pStyle w:val="aDefpara"/>
      </w:pPr>
      <w:r w:rsidRPr="00736BFE">
        <w:tab/>
        <w:t>(b)</w:t>
      </w:r>
      <w:r w:rsidRPr="00736BFE">
        <w:tab/>
        <w:t>a fire brigade, including a volunteer fire brigade;</w:t>
      </w:r>
    </w:p>
    <w:p w14:paraId="26EDE5AE" w14:textId="77777777" w:rsidR="00DB6E47" w:rsidRPr="00736BFE" w:rsidRDefault="00DB6E47" w:rsidP="00DB6E47">
      <w:pPr>
        <w:pStyle w:val="aDefpara"/>
      </w:pPr>
      <w:r w:rsidRPr="00736BFE">
        <w:tab/>
        <w:t>(c)</w:t>
      </w:r>
      <w:r w:rsidRPr="00736BFE">
        <w:tab/>
        <w:t>a police force or police service;</w:t>
      </w:r>
    </w:p>
    <w:p w14:paraId="0F90FD4F" w14:textId="77777777" w:rsidR="00DB6E47" w:rsidRPr="00736BFE" w:rsidRDefault="00DB6E47" w:rsidP="00DB6E47">
      <w:pPr>
        <w:pStyle w:val="aDefpara"/>
      </w:pPr>
      <w:r w:rsidRPr="00736BFE">
        <w:tab/>
        <w:t>(d)</w:t>
      </w:r>
      <w:r w:rsidRPr="00736BFE">
        <w:tab/>
        <w:t>a disaster or emergency organisation of the Commonwealth or a State or Territory.</w:t>
      </w:r>
    </w:p>
    <w:p w14:paraId="485282E9" w14:textId="77777777" w:rsidR="00DB6E47" w:rsidRPr="00A95F9A" w:rsidRDefault="00DB6E47" w:rsidP="00DB6E47">
      <w:pPr>
        <w:pStyle w:val="AH4SubDiv"/>
      </w:pPr>
      <w:bookmarkStart w:id="408" w:name="_Toc83625752"/>
      <w:r w:rsidRPr="00A95F9A">
        <w:t xml:space="preserve">Subdivision 2 </w:t>
      </w:r>
      <w:r w:rsidRPr="00A95F9A">
        <w:tab/>
        <w:t>Exemptions by Commonwealth Gazette notice</w:t>
      </w:r>
      <w:bookmarkEnd w:id="408"/>
    </w:p>
    <w:p w14:paraId="2074FBDD" w14:textId="77777777" w:rsidR="00DB6E47" w:rsidRPr="007E1F9A" w:rsidRDefault="00DB6E47" w:rsidP="00DB6E47">
      <w:pPr>
        <w:pStyle w:val="AH5Sec"/>
      </w:pPr>
      <w:bookmarkStart w:id="409" w:name="_Toc83625753"/>
      <w:r w:rsidRPr="005E03F7">
        <w:rPr>
          <w:rStyle w:val="CharSectNo"/>
        </w:rPr>
        <w:t>357</w:t>
      </w:r>
      <w:r w:rsidRPr="007E1F9A">
        <w:tab/>
        <w:t>Regulator’s power to exempt particular drivers from work diary requirements</w:t>
      </w:r>
      <w:bookmarkEnd w:id="409"/>
    </w:p>
    <w:p w14:paraId="42EF113F" w14:textId="77777777" w:rsidR="00DB6E47" w:rsidRPr="00283AFC" w:rsidRDefault="00DB6E47" w:rsidP="00C72068">
      <w:pPr>
        <w:pStyle w:val="Amain"/>
        <w:keepLines/>
      </w:pPr>
      <w:r w:rsidRPr="00283AFC">
        <w:tab/>
        <w:t>(1)</w:t>
      </w:r>
      <w:r w:rsidRPr="00283AFC">
        <w:tab/>
        <w:t>The Regulator may, by Commonwealth Gazette notice complying with section 361, exempt, for a period of not more than 3 years, drivers of fatigue-regulated heavy vehicles carrying out a class of work from the requirement to comply with Subdivisions 1 to 5 of Division 2 for the work.</w:t>
      </w:r>
    </w:p>
    <w:p w14:paraId="68756E0F" w14:textId="77777777" w:rsidR="00DB6E47" w:rsidRPr="00283AFC" w:rsidRDefault="00DB6E47" w:rsidP="00DB6E47">
      <w:pPr>
        <w:pStyle w:val="Amain"/>
      </w:pPr>
      <w:r w:rsidRPr="00283AFC">
        <w:tab/>
        <w:t>(2</w:t>
      </w:r>
      <w:r w:rsidR="00736BFE">
        <w:t>)</w:t>
      </w:r>
      <w:r w:rsidR="00736BFE">
        <w:tab/>
        <w:t xml:space="preserve">An exemption under subsection </w:t>
      </w:r>
      <w:r w:rsidRPr="00283AFC">
        <w:t>(1)</w:t>
      </w:r>
      <w:r w:rsidR="00736BFE">
        <w:t xml:space="preserve"> </w:t>
      </w:r>
      <w:r w:rsidRPr="00283AFC">
        <w:t xml:space="preserve">is a </w:t>
      </w:r>
      <w:r w:rsidRPr="00FF4454">
        <w:rPr>
          <w:rStyle w:val="charBoldItals"/>
        </w:rPr>
        <w:t>work diary exemption (notice)</w:t>
      </w:r>
      <w:r w:rsidRPr="00283AFC">
        <w:t>.</w:t>
      </w:r>
    </w:p>
    <w:p w14:paraId="7C0C1CEC" w14:textId="77777777" w:rsidR="00DB6E47" w:rsidRPr="007E1F9A" w:rsidRDefault="00DB6E47" w:rsidP="00DB6E47">
      <w:pPr>
        <w:pStyle w:val="AH5Sec"/>
      </w:pPr>
      <w:bookmarkStart w:id="410" w:name="_Toc83625754"/>
      <w:r w:rsidRPr="005E03F7">
        <w:rPr>
          <w:rStyle w:val="CharSectNo"/>
        </w:rPr>
        <w:lastRenderedPageBreak/>
        <w:t>358</w:t>
      </w:r>
      <w:r w:rsidRPr="007E1F9A">
        <w:tab/>
        <w:t>Restriction on grant of work diary exemption (notice)</w:t>
      </w:r>
      <w:bookmarkEnd w:id="410"/>
    </w:p>
    <w:p w14:paraId="77BE8404" w14:textId="77777777" w:rsidR="00DB6E47" w:rsidRPr="00283AFC" w:rsidRDefault="00DB6E47" w:rsidP="00AE43F2">
      <w:pPr>
        <w:pStyle w:val="Amain"/>
        <w:keepNext/>
      </w:pPr>
      <w:r w:rsidRPr="00283AFC">
        <w:tab/>
        <w:t>(1)</w:t>
      </w:r>
      <w:r w:rsidRPr="00283AFC">
        <w:tab/>
        <w:t>The Regulator may grant a work diary exemption (notice) only if the Regulator is satisfied—</w:t>
      </w:r>
    </w:p>
    <w:p w14:paraId="62DB7813" w14:textId="77777777" w:rsidR="00DB6E47" w:rsidRPr="00297A38" w:rsidRDefault="00DB6E47" w:rsidP="00AE43F2">
      <w:pPr>
        <w:pStyle w:val="Apara"/>
        <w:keepLines/>
      </w:pPr>
      <w:r w:rsidRPr="00297A38">
        <w:tab/>
        <w:t>(a)</w:t>
      </w:r>
      <w:r w:rsidRPr="00297A38">
        <w:tab/>
        <w:t>requiring the drivers to whom the exemption is to apply to comply with Subdivisions 1 to 5 of Division 2 would be an unreasonable restriction on operations conducted by the drivers; and</w:t>
      </w:r>
    </w:p>
    <w:p w14:paraId="189A5D07" w14:textId="77777777" w:rsidR="00DB6E47" w:rsidRPr="00297A38" w:rsidRDefault="00DB6E47" w:rsidP="00DB6E47">
      <w:pPr>
        <w:pStyle w:val="Apara"/>
      </w:pPr>
      <w:r w:rsidRPr="00297A38">
        <w:tab/>
        <w:t>(b)</w:t>
      </w:r>
      <w:r w:rsidRPr="00297A38">
        <w:tab/>
        <w:t>the class of work to which the exemption is to apply will not pose—</w:t>
      </w:r>
    </w:p>
    <w:p w14:paraId="74EF8D23" w14:textId="77777777" w:rsidR="00DB6E47" w:rsidRPr="00516F02" w:rsidRDefault="00DB6E47" w:rsidP="00DB6E47">
      <w:pPr>
        <w:pStyle w:val="Asubpara"/>
      </w:pPr>
      <w:r w:rsidRPr="00516F02">
        <w:tab/>
        <w:t>(i)</w:t>
      </w:r>
      <w:r w:rsidRPr="00516F02">
        <w:tab/>
        <w:t>a significant risk to public safety; or</w:t>
      </w:r>
    </w:p>
    <w:p w14:paraId="25066F61" w14:textId="77777777" w:rsidR="00DB6E47" w:rsidRPr="00516F02" w:rsidRDefault="00DB6E47" w:rsidP="00DB6E47">
      <w:pPr>
        <w:pStyle w:val="Asubpara"/>
      </w:pPr>
      <w:r w:rsidRPr="00516F02">
        <w:tab/>
        <w:t>(ii)</w:t>
      </w:r>
      <w:r w:rsidRPr="00516F02">
        <w:tab/>
        <w:t>a significant risk of the drivers to whom the exemption is to apply driving on a road while impaired by fatigue.</w:t>
      </w:r>
    </w:p>
    <w:p w14:paraId="02EB92DD" w14:textId="77777777" w:rsidR="00DB6E47" w:rsidRPr="00283AFC" w:rsidRDefault="00DB6E47" w:rsidP="00DB6E47">
      <w:pPr>
        <w:pStyle w:val="Amain"/>
      </w:pPr>
      <w:r w:rsidRPr="00283AFC">
        <w:tab/>
        <w:t>(2)</w:t>
      </w:r>
      <w:r w:rsidRPr="00283AFC">
        <w:tab/>
        <w:t>In deciding whether or not to grant a work diary exemption (notice), the Regulator must have regard to the approved guidelines for granting work diary exemptions.</w:t>
      </w:r>
    </w:p>
    <w:p w14:paraId="226DEBB9" w14:textId="77777777" w:rsidR="00DB6E47" w:rsidRPr="007E1F9A" w:rsidRDefault="00DB6E47" w:rsidP="00DB6E47">
      <w:pPr>
        <w:pStyle w:val="AH5Sec"/>
      </w:pPr>
      <w:bookmarkStart w:id="411" w:name="_Toc83625755"/>
      <w:r w:rsidRPr="005E03F7">
        <w:rPr>
          <w:rStyle w:val="CharSectNo"/>
        </w:rPr>
        <w:t>359</w:t>
      </w:r>
      <w:r w:rsidRPr="007E1F9A">
        <w:tab/>
        <w:t>Conditions of work diary exemption (notice)</w:t>
      </w:r>
      <w:bookmarkEnd w:id="411"/>
    </w:p>
    <w:p w14:paraId="6DF8DDF7" w14:textId="77777777" w:rsidR="00DB6E47" w:rsidRPr="00283AFC" w:rsidRDefault="00DB6E47" w:rsidP="00DB6E47">
      <w:pPr>
        <w:pStyle w:val="Amainreturn"/>
      </w:pPr>
      <w:r w:rsidRPr="00283AFC">
        <w:t>A work diary exemption (notice) may be subject to any conditions the Regulator considers appropriate, including, for example—</w:t>
      </w:r>
    </w:p>
    <w:p w14:paraId="7F6841B1" w14:textId="77777777" w:rsidR="00DB6E47" w:rsidRPr="00297A38" w:rsidRDefault="00DB6E47" w:rsidP="00DB6E47">
      <w:pPr>
        <w:pStyle w:val="Apara"/>
      </w:pPr>
      <w:r w:rsidRPr="00297A38">
        <w:tab/>
        <w:t>(a)</w:t>
      </w:r>
      <w:r w:rsidRPr="00297A38">
        <w:tab/>
        <w:t>conditions about recording information about the work to which the exemption applies; and</w:t>
      </w:r>
    </w:p>
    <w:p w14:paraId="5DAD11F8" w14:textId="77777777" w:rsidR="00DB6E47" w:rsidRPr="00297A38" w:rsidRDefault="00DB6E47" w:rsidP="00DB6E47">
      <w:pPr>
        <w:pStyle w:val="Apara"/>
      </w:pPr>
      <w:r w:rsidRPr="00297A38">
        <w:tab/>
        <w:t>(b)</w:t>
      </w:r>
      <w:r w:rsidRPr="00297A38">
        <w:tab/>
        <w:t>a condition that the driver of a fatigue-regulated heavy vehicle who is operating under the exemption must keep in the driver’s possession a copy of—</w:t>
      </w:r>
    </w:p>
    <w:p w14:paraId="53973BDF" w14:textId="77777777" w:rsidR="00DB6E47" w:rsidRPr="00516F02" w:rsidRDefault="00DB6E47" w:rsidP="00DB6E47">
      <w:pPr>
        <w:pStyle w:val="Asubpara"/>
      </w:pPr>
      <w:r w:rsidRPr="00516F02">
        <w:tab/>
        <w:t>(i)</w:t>
      </w:r>
      <w:r w:rsidRPr="00516F02">
        <w:tab/>
        <w:t>the Commonwealth Gazette notice for the exemption; or</w:t>
      </w:r>
    </w:p>
    <w:p w14:paraId="6BE0BF9D" w14:textId="77777777" w:rsidR="00DB6E47" w:rsidRPr="00516F02" w:rsidRDefault="00DB6E47" w:rsidP="00DB6E47">
      <w:pPr>
        <w:pStyle w:val="Asubpara"/>
      </w:pPr>
      <w:r w:rsidRPr="00516F02">
        <w:tab/>
        <w:t>(ii)</w:t>
      </w:r>
      <w:r w:rsidRPr="00516F02">
        <w:tab/>
        <w:t>an information sheet about the exemption published by the Regulator on the Regulator’s website.</w:t>
      </w:r>
    </w:p>
    <w:p w14:paraId="2823CF91" w14:textId="77777777" w:rsidR="00DB6E47" w:rsidRPr="007E1F9A" w:rsidRDefault="00DB6E47" w:rsidP="00DB6E47">
      <w:pPr>
        <w:pStyle w:val="AH5Sec"/>
      </w:pPr>
      <w:bookmarkStart w:id="412" w:name="_Toc83625756"/>
      <w:r w:rsidRPr="005E03F7">
        <w:rPr>
          <w:rStyle w:val="CharSectNo"/>
        </w:rPr>
        <w:lastRenderedPageBreak/>
        <w:t>360</w:t>
      </w:r>
      <w:r w:rsidRPr="007E1F9A">
        <w:tab/>
        <w:t>Period for which work diary exemption (notice) applies</w:t>
      </w:r>
      <w:bookmarkEnd w:id="412"/>
    </w:p>
    <w:p w14:paraId="00DEA5F3" w14:textId="77777777" w:rsidR="00DB6E47" w:rsidRPr="00283AFC" w:rsidRDefault="00DB6E47" w:rsidP="00DB6E47">
      <w:pPr>
        <w:pStyle w:val="Amainreturn"/>
      </w:pPr>
      <w:r w:rsidRPr="00283AFC">
        <w:t>A work diary exemption (notice)—</w:t>
      </w:r>
    </w:p>
    <w:p w14:paraId="78911E8F" w14:textId="77777777" w:rsidR="00DB6E47" w:rsidRPr="00297A38" w:rsidRDefault="00DB6E47" w:rsidP="00DB6E47">
      <w:pPr>
        <w:pStyle w:val="Apara"/>
      </w:pPr>
      <w:r w:rsidRPr="00297A38">
        <w:tab/>
        <w:t>(a)</w:t>
      </w:r>
      <w:r w:rsidRPr="00297A38">
        <w:tab/>
        <w:t>takes effect—</w:t>
      </w:r>
    </w:p>
    <w:p w14:paraId="724E587F" w14:textId="77777777" w:rsidR="00DB6E47" w:rsidRPr="00516F02" w:rsidRDefault="00DB6E47" w:rsidP="00DB6E47">
      <w:pPr>
        <w:pStyle w:val="Asubpara"/>
      </w:pPr>
      <w:r w:rsidRPr="00516F02">
        <w:tab/>
        <w:t>(i)</w:t>
      </w:r>
      <w:r w:rsidRPr="00516F02">
        <w:tab/>
        <w:t>when the Commonwealth Gazette notice for the exemption is published; or</w:t>
      </w:r>
    </w:p>
    <w:p w14:paraId="42A5F1F4" w14:textId="77777777" w:rsidR="00DB6E47" w:rsidRPr="00516F02" w:rsidRDefault="00DB6E47" w:rsidP="00DB6E47">
      <w:pPr>
        <w:pStyle w:val="Asubpara"/>
      </w:pPr>
      <w:r w:rsidRPr="00516F02">
        <w:tab/>
        <w:t>(ii)</w:t>
      </w:r>
      <w:r w:rsidRPr="00516F02">
        <w:tab/>
        <w:t>if a later time is stated in the Commonwealth Gazette notice, at the later time; and</w:t>
      </w:r>
    </w:p>
    <w:p w14:paraId="733FF42E" w14:textId="77777777" w:rsidR="00DB6E47" w:rsidRPr="00297A38" w:rsidRDefault="00DB6E47" w:rsidP="00DB6E47">
      <w:pPr>
        <w:pStyle w:val="Apara"/>
      </w:pPr>
      <w:r w:rsidRPr="00297A38">
        <w:tab/>
        <w:t>(b)</w:t>
      </w:r>
      <w:r w:rsidRPr="00297A38">
        <w:tab/>
        <w:t>applies for the period stated in the Commonwealth Gazette notice.</w:t>
      </w:r>
    </w:p>
    <w:p w14:paraId="7787810B" w14:textId="77777777" w:rsidR="00DB6E47" w:rsidRPr="007E1F9A" w:rsidRDefault="00DB6E47" w:rsidP="00DB6E47">
      <w:pPr>
        <w:pStyle w:val="AH5Sec"/>
      </w:pPr>
      <w:bookmarkStart w:id="413" w:name="_Toc83625757"/>
      <w:r w:rsidRPr="005E03F7">
        <w:rPr>
          <w:rStyle w:val="CharSectNo"/>
        </w:rPr>
        <w:t>361</w:t>
      </w:r>
      <w:r w:rsidRPr="007E1F9A">
        <w:tab/>
        <w:t>Requirements about Commonwealth Gazette notice</w:t>
      </w:r>
      <w:bookmarkEnd w:id="413"/>
    </w:p>
    <w:p w14:paraId="246E7869" w14:textId="77777777" w:rsidR="00DB6E47" w:rsidRPr="00283AFC" w:rsidRDefault="00DB6E47" w:rsidP="00DB6E47">
      <w:pPr>
        <w:pStyle w:val="Amain"/>
      </w:pPr>
      <w:r w:rsidRPr="00283AFC">
        <w:tab/>
        <w:t>(1)</w:t>
      </w:r>
      <w:r w:rsidRPr="00283AFC">
        <w:tab/>
        <w:t>A Commonwealth Gazette notice for a work diary exemption (notice) must state the following—</w:t>
      </w:r>
    </w:p>
    <w:p w14:paraId="3D0E1FE6" w14:textId="77777777" w:rsidR="00DB6E47" w:rsidRPr="00297A38" w:rsidRDefault="00DB6E47" w:rsidP="00DB6E47">
      <w:pPr>
        <w:pStyle w:val="Apara"/>
      </w:pPr>
      <w:r w:rsidRPr="00297A38">
        <w:tab/>
        <w:t>(a)</w:t>
      </w:r>
      <w:r w:rsidRPr="00297A38">
        <w:tab/>
        <w:t>the class of work to which the exemption applies;</w:t>
      </w:r>
    </w:p>
    <w:p w14:paraId="61EA8688" w14:textId="77777777" w:rsidR="00DB6E47" w:rsidRPr="00297A38" w:rsidRDefault="00DB6E47" w:rsidP="00DB6E47">
      <w:pPr>
        <w:pStyle w:val="Apara"/>
      </w:pPr>
      <w:r w:rsidRPr="00297A38">
        <w:tab/>
        <w:t>(b)</w:t>
      </w:r>
      <w:r w:rsidRPr="00297A38">
        <w:tab/>
        <w:t>that drivers of fatigue-regulated heavy vehicles who carry out the class of work are exempt from the requirement to comply with Subdivisions 1 to 5 of Division 2 for the work;</w:t>
      </w:r>
    </w:p>
    <w:p w14:paraId="7D37F049" w14:textId="77777777" w:rsidR="00DB6E47" w:rsidRPr="00297A38" w:rsidRDefault="00DB6E47" w:rsidP="00DB6E47">
      <w:pPr>
        <w:pStyle w:val="Apara"/>
      </w:pPr>
      <w:r w:rsidRPr="00297A38">
        <w:tab/>
        <w:t>(c)</w:t>
      </w:r>
      <w:r w:rsidRPr="00297A38">
        <w:tab/>
        <w:t>the conditions of the exemption;</w:t>
      </w:r>
    </w:p>
    <w:p w14:paraId="660A1B66" w14:textId="77777777" w:rsidR="00DB6E47" w:rsidRPr="00297A38" w:rsidRDefault="00DB6E47" w:rsidP="00DB6E47">
      <w:pPr>
        <w:pStyle w:val="Apara"/>
      </w:pPr>
      <w:r w:rsidRPr="00297A38">
        <w:tab/>
        <w:t>(d)</w:t>
      </w:r>
      <w:r w:rsidRPr="00297A38">
        <w:tab/>
        <w:t>the period for which the exemption applies.</w:t>
      </w:r>
    </w:p>
    <w:p w14:paraId="2CCA1410" w14:textId="77777777" w:rsidR="00DB6E47" w:rsidRPr="00283AFC" w:rsidRDefault="00DB6E47" w:rsidP="00DB6E47">
      <w:pPr>
        <w:pStyle w:val="Amain"/>
      </w:pPr>
      <w:r w:rsidRPr="00283AFC">
        <w:tab/>
        <w:t>(2)</w:t>
      </w:r>
      <w:r w:rsidRPr="00283AFC">
        <w:tab/>
        <w:t>The Regulator must publish a copy of the Commonwealth Gazette notice on the Regulator’s website.</w:t>
      </w:r>
    </w:p>
    <w:p w14:paraId="5F7074E4" w14:textId="77777777" w:rsidR="00DB6E47" w:rsidRPr="007E1F9A" w:rsidRDefault="00DB6E47" w:rsidP="00DB6E47">
      <w:pPr>
        <w:pStyle w:val="AH5Sec"/>
      </w:pPr>
      <w:bookmarkStart w:id="414" w:name="_Toc83625758"/>
      <w:r w:rsidRPr="005E03F7">
        <w:rPr>
          <w:rStyle w:val="CharSectNo"/>
        </w:rPr>
        <w:lastRenderedPageBreak/>
        <w:t>362</w:t>
      </w:r>
      <w:r w:rsidRPr="007E1F9A">
        <w:tab/>
        <w:t>Amendment or cancellation of work diary exemption (notice)</w:t>
      </w:r>
      <w:bookmarkEnd w:id="414"/>
    </w:p>
    <w:p w14:paraId="784128D0" w14:textId="77777777" w:rsidR="00DB6E47" w:rsidRPr="00283AFC" w:rsidRDefault="00DB6E47" w:rsidP="00AE43F2">
      <w:pPr>
        <w:pStyle w:val="Amain"/>
        <w:keepLines/>
      </w:pPr>
      <w:r w:rsidRPr="00283AFC">
        <w:tab/>
        <w:t>(1)</w:t>
      </w:r>
      <w:r w:rsidRPr="00283AFC">
        <w:tab/>
        <w:t>It is a ground for amending or cancelling a work diary exemption (notice) if, 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14:paraId="76C7B988" w14:textId="77777777" w:rsidR="00DB6E47" w:rsidRPr="00283AFC" w:rsidRDefault="00DB6E47" w:rsidP="00DB6E47">
      <w:pPr>
        <w:pStyle w:val="Amain"/>
      </w:pPr>
      <w:r w:rsidRPr="00283AFC">
        <w:tab/>
        <w:t>(2)</w:t>
      </w:r>
      <w:r w:rsidRPr="00283AFC">
        <w:tab/>
        <w:t>If the Regulator considers a ground exists to amend or cancel the work diary exemption (notice), the Regulator may amend or cancel the exemptio</w:t>
      </w:r>
      <w:r w:rsidR="00736BFE">
        <w:t xml:space="preserve">n by complying with subsections </w:t>
      </w:r>
      <w:r w:rsidRPr="00283AFC">
        <w:t>(3)</w:t>
      </w:r>
      <w:r w:rsidR="00736BFE">
        <w:t xml:space="preserve"> </w:t>
      </w:r>
      <w:r w:rsidRPr="00283AFC">
        <w:t>to (5).</w:t>
      </w:r>
    </w:p>
    <w:p w14:paraId="67258DEA" w14:textId="77777777" w:rsidR="00DB6E47" w:rsidRPr="00283AFC" w:rsidRDefault="00DB6E47" w:rsidP="00DB6E47">
      <w:pPr>
        <w:pStyle w:val="Amain"/>
      </w:pPr>
      <w:r w:rsidRPr="00283AFC">
        <w:tab/>
        <w:t>(3)</w:t>
      </w:r>
      <w:r w:rsidRPr="00283AFC">
        <w:tab/>
        <w:t xml:space="preserve">The Regulator must publish a </w:t>
      </w:r>
      <w:r w:rsidR="0042375A" w:rsidRPr="003323FC">
        <w:t>public notice</w:t>
      </w:r>
      <w:r w:rsidRPr="00283AFC">
        <w:t>—</w:t>
      </w:r>
    </w:p>
    <w:p w14:paraId="26C23F6C" w14:textId="77777777" w:rsidR="00DB6E47" w:rsidRPr="00297A38" w:rsidRDefault="00DB6E47" w:rsidP="00DB6E47">
      <w:pPr>
        <w:pStyle w:val="Apara"/>
      </w:pPr>
      <w:r w:rsidRPr="00297A38">
        <w:tab/>
        <w:t>(a)</w:t>
      </w:r>
      <w:r w:rsidRPr="00297A38">
        <w:tab/>
        <w:t>stating that the Regulator believes a ground exists to amend or cancel the exemption; and</w:t>
      </w:r>
    </w:p>
    <w:p w14:paraId="0507DDEA" w14:textId="77777777" w:rsidR="00DB6E47" w:rsidRPr="00297A38" w:rsidRDefault="00DB6E47" w:rsidP="00DB6E47">
      <w:pPr>
        <w:pStyle w:val="Apara"/>
      </w:pPr>
      <w:r w:rsidRPr="00297A38">
        <w:tab/>
        <w:t>(b)</w:t>
      </w:r>
      <w:r w:rsidRPr="00297A38">
        <w:tab/>
        <w:t>outlining the facts and circumstances forming the basis for the belief; and</w:t>
      </w:r>
    </w:p>
    <w:p w14:paraId="19D91F05" w14:textId="77777777" w:rsidR="00DB6E47" w:rsidRPr="00297A38" w:rsidRDefault="00DB6E47" w:rsidP="00DB6E47">
      <w:pPr>
        <w:pStyle w:val="Apara"/>
      </w:pPr>
      <w:r w:rsidRPr="00297A38">
        <w:tab/>
        <w:t>(c)</w:t>
      </w:r>
      <w:r w:rsidRPr="00297A38">
        <w:tab/>
        <w:t xml:space="preserve">stating the action the Regulator is proposing to take under this section (the </w:t>
      </w:r>
      <w:r w:rsidRPr="00FF4454">
        <w:rPr>
          <w:rStyle w:val="charBoldItals"/>
        </w:rPr>
        <w:t>proposed action</w:t>
      </w:r>
      <w:r w:rsidRPr="00297A38">
        <w:t>); and</w:t>
      </w:r>
    </w:p>
    <w:p w14:paraId="3987C175" w14:textId="77777777" w:rsidR="00DB6E47" w:rsidRPr="00297A38" w:rsidRDefault="00DB6E47" w:rsidP="00DB6E47">
      <w:pPr>
        <w:pStyle w:val="Apara"/>
      </w:pPr>
      <w:r w:rsidRPr="00297A38">
        <w:tab/>
        <w:t>(d)</w:t>
      </w:r>
      <w:r w:rsidRPr="00297A38">
        <w:tab/>
        <w:t>inviting persons who will be affected by the proposed action to make, within a stated time of at least 14 days after the Commonwealth Gazette notice is published, written representations about why the proposed action should not be taken.</w:t>
      </w:r>
    </w:p>
    <w:p w14:paraId="281579A6" w14:textId="77777777" w:rsidR="00DB6E47" w:rsidRPr="00283AFC" w:rsidRDefault="00DB6E47" w:rsidP="00760B0D">
      <w:pPr>
        <w:pStyle w:val="Amain"/>
        <w:keepNext/>
        <w:keepLines/>
      </w:pPr>
      <w:r w:rsidRPr="00283AFC">
        <w:lastRenderedPageBreak/>
        <w:tab/>
        <w:t>(4)</w:t>
      </w:r>
      <w:r w:rsidRPr="00283AFC">
        <w:tab/>
        <w:t>If, after considering all written repres</w:t>
      </w:r>
      <w:r w:rsidR="00EB41BE">
        <w:t>entations made under subsection </w:t>
      </w:r>
      <w:r w:rsidRPr="00283AFC">
        <w:t>(3)(d), the Regulator still considers the circumstances in which the Regulator may grant the work diary exemption (notice) are no longer satisfied, the Regulator may—</w:t>
      </w:r>
    </w:p>
    <w:p w14:paraId="5AE8AE78" w14:textId="77777777" w:rsidR="00DB6E47" w:rsidRPr="00F04D8E" w:rsidRDefault="00DB6E47" w:rsidP="0024754E">
      <w:pPr>
        <w:pStyle w:val="aDefpara"/>
        <w:keepNext/>
      </w:pPr>
      <w:r w:rsidRPr="00F04D8E">
        <w:rPr>
          <w:bCs/>
        </w:rPr>
        <w:tab/>
        <w:t>(a)</w:t>
      </w:r>
      <w:r w:rsidRPr="00F04D8E">
        <w:rPr>
          <w:bCs/>
        </w:rPr>
        <w:tab/>
        <w:t>if the proposed action was to amend the exemption—amend the exemption in a way that is not substantially different from the proposed action, including, for example, by—</w:t>
      </w:r>
    </w:p>
    <w:p w14:paraId="2B7A1147" w14:textId="77777777" w:rsidR="00DB6E47" w:rsidRPr="00516F02" w:rsidRDefault="00DB6E47" w:rsidP="00DB6E47">
      <w:pPr>
        <w:pStyle w:val="Asubpara"/>
      </w:pPr>
      <w:r w:rsidRPr="00516F02">
        <w:tab/>
        <w:t>(i)</w:t>
      </w:r>
      <w:r w:rsidRPr="00516F02">
        <w:tab/>
        <w:t>amending the class of work to which the exemption applies; or</w:t>
      </w:r>
    </w:p>
    <w:p w14:paraId="04F5A8EA" w14:textId="77777777" w:rsidR="00DB6E47" w:rsidRPr="00516F02" w:rsidRDefault="00DB6E47" w:rsidP="00DB6E47">
      <w:pPr>
        <w:pStyle w:val="Asubpara"/>
      </w:pPr>
      <w:r w:rsidRPr="00516F02">
        <w:tab/>
        <w:t>(ii)</w:t>
      </w:r>
      <w:r w:rsidRPr="00516F02">
        <w:tab/>
        <w:t>amending the conditions of the exemption; or</w:t>
      </w:r>
    </w:p>
    <w:p w14:paraId="5F5DBD7F" w14:textId="77777777" w:rsidR="00DB6E47" w:rsidRPr="00297A38" w:rsidRDefault="00DB6E47" w:rsidP="00DB6E47">
      <w:pPr>
        <w:pStyle w:val="Apara"/>
      </w:pPr>
      <w:r w:rsidRPr="00297A38">
        <w:tab/>
        <w:t>(b)</w:t>
      </w:r>
      <w:r w:rsidRPr="00297A38">
        <w:tab/>
        <w:t>if the proposed action was to cancel the exemption—</w:t>
      </w:r>
    </w:p>
    <w:p w14:paraId="2A3B9C96" w14:textId="77777777" w:rsidR="00DB6E47" w:rsidRPr="00516F02" w:rsidRDefault="00DB6E47" w:rsidP="00DB6E47">
      <w:pPr>
        <w:pStyle w:val="Asubpara"/>
      </w:pPr>
      <w:r w:rsidRPr="00516F02">
        <w:tab/>
        <w:t>(i)</w:t>
      </w:r>
      <w:r w:rsidRPr="00516F02">
        <w:tab/>
        <w:t>amend the exemption, including, for example, by amending the exemption i</w:t>
      </w:r>
      <w:r w:rsidR="00736BFE">
        <w:t>n a way mentioned in paragraph (a)</w:t>
      </w:r>
      <w:r w:rsidRPr="00516F02">
        <w:t>(i)</w:t>
      </w:r>
      <w:r w:rsidR="00736BFE">
        <w:t xml:space="preserve"> </w:t>
      </w:r>
      <w:r w:rsidRPr="00516F02">
        <w:t>or (ii); or</w:t>
      </w:r>
    </w:p>
    <w:p w14:paraId="4BF2EC1A" w14:textId="77777777" w:rsidR="00DB6E47" w:rsidRPr="00516F02" w:rsidRDefault="00DB6E47" w:rsidP="00DB6E47">
      <w:pPr>
        <w:pStyle w:val="Asubpara"/>
      </w:pPr>
      <w:r w:rsidRPr="00516F02">
        <w:tab/>
        <w:t>(ii)</w:t>
      </w:r>
      <w:r w:rsidRPr="00516F02">
        <w:tab/>
        <w:t>cancel the exemption.</w:t>
      </w:r>
    </w:p>
    <w:p w14:paraId="41587178" w14:textId="77777777" w:rsidR="0042375A" w:rsidRPr="003323FC" w:rsidRDefault="0042375A" w:rsidP="00C72068">
      <w:pPr>
        <w:pStyle w:val="Amain"/>
        <w:keepNext/>
      </w:pPr>
      <w:r w:rsidRPr="003323FC">
        <w:tab/>
        <w:t>(5)</w:t>
      </w:r>
      <w:r w:rsidRPr="003323FC">
        <w:tab/>
        <w:t>The Regulator must publish a public notice of the amendment or cancellation.</w:t>
      </w:r>
    </w:p>
    <w:p w14:paraId="7905E221" w14:textId="77777777" w:rsidR="00DB6E47" w:rsidRPr="00283AFC" w:rsidRDefault="00DB6E47" w:rsidP="00C72068">
      <w:pPr>
        <w:pStyle w:val="Amain"/>
        <w:keepNext/>
      </w:pPr>
      <w:r w:rsidRPr="00283AFC">
        <w:tab/>
        <w:t>(6)</w:t>
      </w:r>
      <w:r w:rsidRPr="00283AFC">
        <w:tab/>
        <w:t>The amendment or cancellation takes effect—</w:t>
      </w:r>
    </w:p>
    <w:p w14:paraId="71C10E83" w14:textId="77777777" w:rsidR="00DB6E47" w:rsidRPr="00297A38" w:rsidRDefault="00DB6E47" w:rsidP="00DB6E47">
      <w:pPr>
        <w:pStyle w:val="Apara"/>
      </w:pPr>
      <w:r w:rsidRPr="00297A38">
        <w:tab/>
        <w:t>(a)</w:t>
      </w:r>
      <w:r w:rsidRPr="00297A38">
        <w:tab/>
        <w:t>28 days after the Commonwealth Gazette notice is published under subsection (5); or</w:t>
      </w:r>
    </w:p>
    <w:p w14:paraId="1656A19E" w14:textId="77777777" w:rsidR="00DB6E47" w:rsidRPr="00297A38" w:rsidRDefault="00DB6E47" w:rsidP="00DB6E47">
      <w:pPr>
        <w:pStyle w:val="Apara"/>
      </w:pPr>
      <w:r w:rsidRPr="00297A38">
        <w:tab/>
        <w:t>(b)</w:t>
      </w:r>
      <w:r w:rsidRPr="00297A38">
        <w:tab/>
        <w:t>if a later time is stated in the Commonwealth Gazette notice, at the later time.</w:t>
      </w:r>
    </w:p>
    <w:p w14:paraId="1482DEC7" w14:textId="77777777" w:rsidR="00DB6E47" w:rsidRPr="00A95F9A" w:rsidRDefault="00DB6E47" w:rsidP="00DB6E47">
      <w:pPr>
        <w:pStyle w:val="AH4SubDiv"/>
      </w:pPr>
      <w:bookmarkStart w:id="415" w:name="_Toc83625759"/>
      <w:r w:rsidRPr="00A95F9A">
        <w:lastRenderedPageBreak/>
        <w:t xml:space="preserve">Subdivision 3 </w:t>
      </w:r>
      <w:r w:rsidRPr="00A95F9A">
        <w:tab/>
        <w:t>Exemptions by permit</w:t>
      </w:r>
      <w:bookmarkEnd w:id="415"/>
    </w:p>
    <w:p w14:paraId="7BA92A7E" w14:textId="77777777" w:rsidR="00DB6E47" w:rsidRPr="007E1F9A" w:rsidRDefault="00DB6E47" w:rsidP="00DB6E47">
      <w:pPr>
        <w:pStyle w:val="AH5Sec"/>
      </w:pPr>
      <w:bookmarkStart w:id="416" w:name="_Toc83625760"/>
      <w:r w:rsidRPr="005E03F7">
        <w:rPr>
          <w:rStyle w:val="CharSectNo"/>
        </w:rPr>
        <w:t>363</w:t>
      </w:r>
      <w:r w:rsidRPr="007E1F9A">
        <w:tab/>
        <w:t>Regulator’s power to exempt driver of fatigue-regulated heavy vehicle from work diary requirement</w:t>
      </w:r>
      <w:bookmarkEnd w:id="416"/>
    </w:p>
    <w:p w14:paraId="23D01870" w14:textId="77777777" w:rsidR="00DB6E47" w:rsidRPr="00283AFC" w:rsidRDefault="00DB6E47" w:rsidP="0024754E">
      <w:pPr>
        <w:pStyle w:val="Amain"/>
        <w:keepLines/>
      </w:pPr>
      <w:r w:rsidRPr="00283AFC">
        <w:tab/>
        <w:t>(1)</w:t>
      </w:r>
      <w:r w:rsidRPr="00283AFC">
        <w:tab/>
        <w:t>The Regulator may, by giving a person a permit as mentioned in section 368, exempt, for a period of not more than 3 years, a driver of a fatigue-regulated heavy vehicle from the requirement to comply with Subdivisions 1 to 5 of Division 2.</w:t>
      </w:r>
    </w:p>
    <w:p w14:paraId="0146537D" w14:textId="77777777" w:rsidR="00DB6E47" w:rsidRPr="00283AFC" w:rsidRDefault="00DB6E47" w:rsidP="00DB6E47">
      <w:pPr>
        <w:pStyle w:val="Amain"/>
      </w:pPr>
      <w:r w:rsidRPr="00283AFC">
        <w:tab/>
        <w:t>(2</w:t>
      </w:r>
      <w:r w:rsidR="00736BFE">
        <w:t>)</w:t>
      </w:r>
      <w:r w:rsidR="00736BFE">
        <w:tab/>
        <w:t xml:space="preserve">An exemption under subsection </w:t>
      </w:r>
      <w:r w:rsidRPr="00283AFC">
        <w:t>(1)</w:t>
      </w:r>
      <w:r w:rsidR="00736BFE">
        <w:t xml:space="preserve"> </w:t>
      </w:r>
      <w:r w:rsidRPr="00283AFC">
        <w:t xml:space="preserve">is a </w:t>
      </w:r>
      <w:r w:rsidRPr="00FF4454">
        <w:rPr>
          <w:rStyle w:val="charBoldItals"/>
        </w:rPr>
        <w:t>work diary exemption (permit)</w:t>
      </w:r>
      <w:r w:rsidRPr="00283AFC">
        <w:t>.</w:t>
      </w:r>
    </w:p>
    <w:p w14:paraId="01FD8AE0" w14:textId="77777777" w:rsidR="00DB6E47" w:rsidRPr="007E1F9A" w:rsidRDefault="00DB6E47" w:rsidP="00DB6E47">
      <w:pPr>
        <w:pStyle w:val="AH5Sec"/>
      </w:pPr>
      <w:bookmarkStart w:id="417" w:name="_Toc83625761"/>
      <w:r w:rsidRPr="005E03F7">
        <w:rPr>
          <w:rStyle w:val="CharSectNo"/>
        </w:rPr>
        <w:t>364</w:t>
      </w:r>
      <w:r w:rsidRPr="007E1F9A">
        <w:tab/>
        <w:t>Application for work diary exemption (permit)</w:t>
      </w:r>
      <w:bookmarkEnd w:id="417"/>
    </w:p>
    <w:p w14:paraId="76C56A25" w14:textId="77777777" w:rsidR="00DB6E47" w:rsidRPr="00283AFC" w:rsidRDefault="00DB6E47" w:rsidP="00DB6E47">
      <w:pPr>
        <w:pStyle w:val="Amain"/>
      </w:pPr>
      <w:r w:rsidRPr="00283AFC">
        <w:tab/>
        <w:t>(1)</w:t>
      </w:r>
      <w:r w:rsidRPr="00283AFC">
        <w:tab/>
        <w:t>The driver of a fatigue-regulated heavy vehicle who is working under standard hours may apply to the Regulator for a work diary exemption (permit).</w:t>
      </w:r>
    </w:p>
    <w:p w14:paraId="0E8610AE" w14:textId="77777777" w:rsidR="00DB6E47" w:rsidRPr="00283AFC" w:rsidRDefault="00DB6E47" w:rsidP="00DB6E47">
      <w:pPr>
        <w:pStyle w:val="Amain"/>
      </w:pPr>
      <w:r w:rsidRPr="00283AFC">
        <w:tab/>
        <w:t>(2)</w:t>
      </w:r>
      <w:r w:rsidRPr="00283AFC">
        <w:tab/>
        <w:t>The application must—</w:t>
      </w:r>
    </w:p>
    <w:p w14:paraId="483A987C" w14:textId="77777777" w:rsidR="00DB6E47" w:rsidRPr="00297A38" w:rsidRDefault="00DB6E47" w:rsidP="00DB6E47">
      <w:pPr>
        <w:pStyle w:val="Apara"/>
      </w:pPr>
      <w:r w:rsidRPr="00297A38">
        <w:tab/>
        <w:t>(a)</w:t>
      </w:r>
      <w:r w:rsidRPr="00297A38">
        <w:tab/>
        <w:t>be in the approved form; and</w:t>
      </w:r>
    </w:p>
    <w:p w14:paraId="0AF8AC82" w14:textId="77777777" w:rsidR="00DB6E47" w:rsidRPr="00297A38" w:rsidRDefault="00DB6E47" w:rsidP="00DB6E47">
      <w:pPr>
        <w:pStyle w:val="Apara"/>
      </w:pPr>
      <w:r w:rsidRPr="00297A38">
        <w:tab/>
        <w:t>(b)</w:t>
      </w:r>
      <w:r w:rsidRPr="00297A38">
        <w:tab/>
        <w:t>state the following—</w:t>
      </w:r>
    </w:p>
    <w:p w14:paraId="00FEBA71" w14:textId="77777777" w:rsidR="00DB6E47" w:rsidRPr="00516F02" w:rsidRDefault="00DB6E47" w:rsidP="00DB6E47">
      <w:pPr>
        <w:pStyle w:val="Asubpara"/>
      </w:pPr>
      <w:r w:rsidRPr="00516F02">
        <w:tab/>
        <w:t>(i)</w:t>
      </w:r>
      <w:r w:rsidRPr="00516F02">
        <w:tab/>
        <w:t>the period for which the exemption is sought;</w:t>
      </w:r>
    </w:p>
    <w:p w14:paraId="474331E7" w14:textId="77777777" w:rsidR="00DB6E47" w:rsidRPr="00516F02" w:rsidRDefault="00DB6E47" w:rsidP="00DB6E47">
      <w:pPr>
        <w:pStyle w:val="Asubpara"/>
      </w:pPr>
      <w:r w:rsidRPr="00516F02">
        <w:tab/>
        <w:t>(ii)</w:t>
      </w:r>
      <w:r w:rsidRPr="00516F02">
        <w:tab/>
        <w:t>any conditions for the exemption sought by the applicant; and</w:t>
      </w:r>
    </w:p>
    <w:p w14:paraId="77DE553D" w14:textId="77777777" w:rsidR="00DB6E47" w:rsidRPr="00297A38" w:rsidRDefault="00DB6E47" w:rsidP="00DB6E47">
      <w:pPr>
        <w:pStyle w:val="Apara"/>
      </w:pPr>
      <w:r w:rsidRPr="00297A38">
        <w:tab/>
        <w:t>(c)</w:t>
      </w:r>
      <w:r w:rsidRPr="00297A38">
        <w:tab/>
        <w:t xml:space="preserve">nominate a person (the </w:t>
      </w:r>
      <w:r w:rsidRPr="00FF4454">
        <w:rPr>
          <w:rStyle w:val="charBoldItals"/>
        </w:rPr>
        <w:t>nominee</w:t>
      </w:r>
      <w:r w:rsidRPr="00297A38">
        <w:t>) to make written work records for the driver; and</w:t>
      </w:r>
    </w:p>
    <w:p w14:paraId="2779072A" w14:textId="77777777" w:rsidR="00DB6E47" w:rsidRPr="00297A38" w:rsidRDefault="00DB6E47" w:rsidP="00DB6E47">
      <w:pPr>
        <w:pStyle w:val="Apara"/>
      </w:pPr>
      <w:r w:rsidRPr="00297A38">
        <w:tab/>
        <w:t>(d)</w:t>
      </w:r>
      <w:r w:rsidRPr="00297A38">
        <w:tab/>
        <w:t>be accompanied by the nominee’s written agreement to the nomination; and</w:t>
      </w:r>
    </w:p>
    <w:p w14:paraId="69148F6D" w14:textId="77777777" w:rsidR="00DB6E47" w:rsidRPr="00297A38" w:rsidRDefault="00DB6E47" w:rsidP="00DB6E47">
      <w:pPr>
        <w:pStyle w:val="Apara"/>
      </w:pPr>
      <w:r w:rsidRPr="00297A38">
        <w:tab/>
        <w:t>(e)</w:t>
      </w:r>
      <w:r w:rsidRPr="00297A38">
        <w:tab/>
        <w:t>be accompanied by the prescribed fee for the application.</w:t>
      </w:r>
    </w:p>
    <w:p w14:paraId="54CF3924" w14:textId="77777777" w:rsidR="00DB6E47" w:rsidRPr="00283AFC" w:rsidRDefault="00DB6E47" w:rsidP="00DB6E47">
      <w:pPr>
        <w:pStyle w:val="Amain"/>
      </w:pPr>
      <w:r w:rsidRPr="00283AFC">
        <w:tab/>
        <w:t>(3)</w:t>
      </w:r>
      <w:r w:rsidRPr="00283AFC">
        <w:tab/>
        <w:t xml:space="preserve">An employer of the driver of a fatigue-regulated heavy vehicle may make </w:t>
      </w:r>
      <w:r w:rsidR="00736BFE">
        <w:t xml:space="preserve">an application under subsection </w:t>
      </w:r>
      <w:r w:rsidRPr="00283AFC">
        <w:t>(1)</w:t>
      </w:r>
      <w:r w:rsidR="00736BFE">
        <w:t xml:space="preserve"> </w:t>
      </w:r>
      <w:r w:rsidRPr="00283AFC">
        <w:t>on behalf of the driver.</w:t>
      </w:r>
    </w:p>
    <w:p w14:paraId="2CCFED2D" w14:textId="77777777" w:rsidR="00DB6E47" w:rsidRPr="00283AFC" w:rsidRDefault="00DB6E47" w:rsidP="00DB6E47">
      <w:pPr>
        <w:pStyle w:val="Amain"/>
      </w:pPr>
      <w:r w:rsidRPr="00283AFC">
        <w:lastRenderedPageBreak/>
        <w:tab/>
        <w:t>(4)</w:t>
      </w:r>
      <w:r w:rsidRPr="00283AFC">
        <w:tab/>
        <w:t>The Regulator may, by notice given to the applicant, require the applicant to give the Regulator any additional information the Regulator reasonably requires to decide the application.</w:t>
      </w:r>
    </w:p>
    <w:p w14:paraId="3FCA9BAF" w14:textId="77777777" w:rsidR="00DB6E47" w:rsidRPr="007E1F9A" w:rsidRDefault="00DB6E47" w:rsidP="00DB6E47">
      <w:pPr>
        <w:pStyle w:val="AH5Sec"/>
      </w:pPr>
      <w:bookmarkStart w:id="418" w:name="_Toc83625762"/>
      <w:r w:rsidRPr="005E03F7">
        <w:rPr>
          <w:rStyle w:val="CharSectNo"/>
        </w:rPr>
        <w:t>365</w:t>
      </w:r>
      <w:r w:rsidRPr="007E1F9A">
        <w:tab/>
        <w:t>Restriction on grant of work diary exemption (permit)</w:t>
      </w:r>
      <w:bookmarkEnd w:id="418"/>
    </w:p>
    <w:p w14:paraId="5AC35539" w14:textId="77777777" w:rsidR="00DB6E47" w:rsidRPr="00283AFC" w:rsidRDefault="00DB6E47" w:rsidP="00DB6E47">
      <w:pPr>
        <w:pStyle w:val="Amain"/>
      </w:pPr>
      <w:r w:rsidRPr="00283AFC">
        <w:tab/>
        <w:t>(1)</w:t>
      </w:r>
      <w:r w:rsidRPr="00283AFC">
        <w:tab/>
        <w:t>The Regulator may grant a work diary exemption (permit) only if the Regulator is satisfied—</w:t>
      </w:r>
    </w:p>
    <w:p w14:paraId="12A964F2" w14:textId="77777777" w:rsidR="00DB6E47" w:rsidRPr="00297A38" w:rsidRDefault="00DB6E47" w:rsidP="00DB6E47">
      <w:pPr>
        <w:pStyle w:val="Apara"/>
      </w:pPr>
      <w:r w:rsidRPr="00297A38">
        <w:tab/>
        <w:t>(a)</w:t>
      </w:r>
      <w:r w:rsidRPr="00297A38">
        <w:tab/>
        <w:t>the driver can not make records in the driver’s work diary because of the driver’s inadequate English literacy; and</w:t>
      </w:r>
    </w:p>
    <w:p w14:paraId="07924759" w14:textId="77777777" w:rsidR="00DB6E47" w:rsidRPr="00297A38" w:rsidRDefault="00DB6E47" w:rsidP="00DB6E47">
      <w:pPr>
        <w:pStyle w:val="Apara"/>
      </w:pPr>
      <w:r w:rsidRPr="00297A38">
        <w:tab/>
        <w:t>(b)</w:t>
      </w:r>
      <w:r w:rsidRPr="00297A38">
        <w:tab/>
        <w:t>the nominee for the driver will be able to make records that are no less complete or accurate than records made under Subdivisions 1 to 5 of Division 2; and</w:t>
      </w:r>
    </w:p>
    <w:p w14:paraId="11C7D3FD" w14:textId="77777777" w:rsidR="00DB6E47" w:rsidRPr="00297A38" w:rsidRDefault="00DB6E47" w:rsidP="00DB6E47">
      <w:pPr>
        <w:pStyle w:val="Apara"/>
      </w:pPr>
      <w:r w:rsidRPr="00297A38">
        <w:tab/>
        <w:t>(c)</w:t>
      </w:r>
      <w:r w:rsidRPr="00297A38">
        <w:tab/>
        <w:t>the driver works only under standard hours.</w:t>
      </w:r>
    </w:p>
    <w:p w14:paraId="3A1C3C4B" w14:textId="77777777" w:rsidR="00DB6E47" w:rsidRPr="00283AFC" w:rsidRDefault="00DB6E47" w:rsidP="00DB6E47">
      <w:pPr>
        <w:pStyle w:val="Amain"/>
      </w:pPr>
      <w:r w:rsidRPr="00283AFC">
        <w:tab/>
        <w:t>(2)</w:t>
      </w:r>
      <w:r w:rsidRPr="00283AFC">
        <w:tab/>
        <w:t>In deciding whether or not to grant a work diary exemption (permit), the Regulator must have regard to the approved guidelines for granting work diary exemptions.</w:t>
      </w:r>
    </w:p>
    <w:p w14:paraId="6841E99A" w14:textId="77777777" w:rsidR="00DB6E47" w:rsidRPr="00283AFC" w:rsidRDefault="00DB6E47" w:rsidP="00C72068">
      <w:pPr>
        <w:pStyle w:val="Amain"/>
        <w:keepNext/>
      </w:pPr>
      <w:r w:rsidRPr="00283AFC">
        <w:tab/>
        <w:t>(3)</w:t>
      </w:r>
      <w:r w:rsidRPr="00283AFC">
        <w:tab/>
        <w:t>In this section—</w:t>
      </w:r>
    </w:p>
    <w:p w14:paraId="43ABA96A" w14:textId="77777777" w:rsidR="00DB6E47" w:rsidRPr="00041046" w:rsidRDefault="00DB6E47" w:rsidP="00C72068">
      <w:pPr>
        <w:pStyle w:val="aDef"/>
        <w:keepLines/>
        <w:rPr>
          <w:bCs/>
        </w:rPr>
      </w:pPr>
      <w:r w:rsidRPr="00041046">
        <w:rPr>
          <w:rStyle w:val="charBoldItals"/>
        </w:rPr>
        <w:t>nominee</w:t>
      </w:r>
      <w:r w:rsidRPr="00041046">
        <w:t>, for the driver of a fatigue-regulated heavy vehicle, means the person nominated, in the application for the work diary exemption (permit), by the driver to make written work records for the driver.</w:t>
      </w:r>
    </w:p>
    <w:p w14:paraId="2B8F13A3" w14:textId="77777777" w:rsidR="00DB6E47" w:rsidRPr="007E1F9A" w:rsidRDefault="00DB6E47" w:rsidP="00DB6E47">
      <w:pPr>
        <w:pStyle w:val="AH5Sec"/>
      </w:pPr>
      <w:bookmarkStart w:id="419" w:name="_Toc83625763"/>
      <w:r w:rsidRPr="005E03F7">
        <w:rPr>
          <w:rStyle w:val="CharSectNo"/>
        </w:rPr>
        <w:lastRenderedPageBreak/>
        <w:t>366</w:t>
      </w:r>
      <w:r w:rsidRPr="007E1F9A">
        <w:tab/>
        <w:t>Conditions of work diary exemption (permit)</w:t>
      </w:r>
      <w:bookmarkEnd w:id="419"/>
    </w:p>
    <w:p w14:paraId="2AF11CAC" w14:textId="77777777" w:rsidR="00DB6E47" w:rsidRPr="00283AFC" w:rsidRDefault="00DB6E47" w:rsidP="0024754E">
      <w:pPr>
        <w:pStyle w:val="Amain"/>
        <w:keepNext/>
      </w:pPr>
      <w:r w:rsidRPr="00283AFC">
        <w:tab/>
        <w:t>(1)</w:t>
      </w:r>
      <w:r w:rsidRPr="00283AFC">
        <w:tab/>
        <w:t>A work diary exemption (permit) is subject to the condition that the driver to whom the exemption applies must carry out all work as a driver of fatigue-regulated heavy vehicles under standard hours only.</w:t>
      </w:r>
    </w:p>
    <w:p w14:paraId="7EE5BEC2" w14:textId="77777777" w:rsidR="00DB6E47" w:rsidRPr="00283AFC" w:rsidRDefault="00DB6E47" w:rsidP="0024754E">
      <w:pPr>
        <w:pStyle w:val="Amain"/>
        <w:keepNext/>
      </w:pPr>
      <w:r w:rsidRPr="00283AFC">
        <w:tab/>
        <w:t>(2)</w:t>
      </w:r>
      <w:r w:rsidRPr="00283AFC">
        <w:tab/>
        <w:t>A work diary exemption (permit) may be subject to any other conditions the Regulator considers appropriate, including, for example, conditions about—</w:t>
      </w:r>
    </w:p>
    <w:p w14:paraId="4ED4153B" w14:textId="77777777" w:rsidR="00DB6E47" w:rsidRPr="00297A38" w:rsidRDefault="00DB6E47" w:rsidP="00DB6E47">
      <w:pPr>
        <w:pStyle w:val="Apara"/>
      </w:pPr>
      <w:r w:rsidRPr="00297A38">
        <w:tab/>
        <w:t>(a)</w:t>
      </w:r>
      <w:r w:rsidRPr="00297A38">
        <w:tab/>
        <w:t>the information to be included in records about the work carried out by the driver of a fatigue-regulated heavy vehicle to whom the exemption applies; and</w:t>
      </w:r>
    </w:p>
    <w:p w14:paraId="393F62E8" w14:textId="77777777" w:rsidR="00DB6E47" w:rsidRPr="00297A38" w:rsidRDefault="00DB6E47" w:rsidP="00DB6E47">
      <w:pPr>
        <w:pStyle w:val="Apara"/>
      </w:pPr>
      <w:r w:rsidRPr="00297A38">
        <w:tab/>
        <w:t>(b)</w:t>
      </w:r>
      <w:r w:rsidRPr="00297A38">
        <w:tab/>
        <w:t>how the records are to be made.</w:t>
      </w:r>
    </w:p>
    <w:p w14:paraId="4FC23C64" w14:textId="77777777" w:rsidR="00DB6E47" w:rsidRPr="007E1F9A" w:rsidRDefault="00DB6E47" w:rsidP="00DB6E47">
      <w:pPr>
        <w:pStyle w:val="AH5Sec"/>
      </w:pPr>
      <w:bookmarkStart w:id="420" w:name="_Toc83625764"/>
      <w:r w:rsidRPr="005E03F7">
        <w:rPr>
          <w:rStyle w:val="CharSectNo"/>
        </w:rPr>
        <w:t>367</w:t>
      </w:r>
      <w:r w:rsidRPr="007E1F9A">
        <w:tab/>
        <w:t>Period for which work diary exemption (permit) applies</w:t>
      </w:r>
      <w:bookmarkEnd w:id="420"/>
    </w:p>
    <w:p w14:paraId="6993A78F" w14:textId="77777777" w:rsidR="00DB6E47" w:rsidRPr="00283AFC" w:rsidRDefault="00DB6E47" w:rsidP="00DB6E47">
      <w:pPr>
        <w:pStyle w:val="Amain"/>
      </w:pPr>
      <w:r w:rsidRPr="00283AFC">
        <w:tab/>
        <w:t>(1)</w:t>
      </w:r>
      <w:r w:rsidRPr="00283AFC">
        <w:tab/>
        <w:t>A work diary exemption (permit) applies for the period stated in the permit for the exemption.</w:t>
      </w:r>
    </w:p>
    <w:p w14:paraId="609013FB" w14:textId="77777777" w:rsidR="00DB6E47" w:rsidRPr="00283AFC" w:rsidRDefault="00DB6E47" w:rsidP="00DB6E47">
      <w:pPr>
        <w:pStyle w:val="Amain"/>
      </w:pPr>
      <w:r w:rsidRPr="00283AFC">
        <w:tab/>
        <w:t>(2)</w:t>
      </w:r>
      <w:r w:rsidRPr="00283AFC">
        <w:tab/>
        <w:t>The period may be less than the period sought by the applicant for the work diary exemption (permit).</w:t>
      </w:r>
    </w:p>
    <w:p w14:paraId="125B67C4" w14:textId="77777777" w:rsidR="00DB6E47" w:rsidRPr="007E1F9A" w:rsidRDefault="00DB6E47" w:rsidP="00DB6E47">
      <w:pPr>
        <w:pStyle w:val="AH5Sec"/>
      </w:pPr>
      <w:bookmarkStart w:id="421" w:name="_Toc83625765"/>
      <w:r w:rsidRPr="005E03F7">
        <w:rPr>
          <w:rStyle w:val="CharSectNo"/>
        </w:rPr>
        <w:t>368</w:t>
      </w:r>
      <w:r w:rsidRPr="007E1F9A">
        <w:tab/>
        <w:t>Permit for work diary exemption (permit) etc.</w:t>
      </w:r>
      <w:bookmarkEnd w:id="421"/>
    </w:p>
    <w:p w14:paraId="57A88D0A" w14:textId="77777777" w:rsidR="00DB6E47" w:rsidRPr="00283AFC" w:rsidRDefault="00DB6E47" w:rsidP="00DB6E47">
      <w:pPr>
        <w:pStyle w:val="Amain"/>
      </w:pPr>
      <w:r w:rsidRPr="00283AFC">
        <w:tab/>
        <w:t>(1)</w:t>
      </w:r>
      <w:r w:rsidRPr="00283AFC">
        <w:tab/>
        <w:t>If the Regulator grants a work diary exemption (permit) to a person, the Regulator must give the person—</w:t>
      </w:r>
    </w:p>
    <w:p w14:paraId="7837935E" w14:textId="77777777" w:rsidR="00DB6E47" w:rsidRPr="00297A38" w:rsidRDefault="00DB6E47" w:rsidP="00DB6E47">
      <w:pPr>
        <w:pStyle w:val="Apara"/>
      </w:pPr>
      <w:r w:rsidRPr="00297A38">
        <w:tab/>
        <w:t>(a)</w:t>
      </w:r>
      <w:r w:rsidRPr="00297A38">
        <w:tab/>
        <w:t>a permit for the exemption; and</w:t>
      </w:r>
    </w:p>
    <w:p w14:paraId="071D7C15" w14:textId="77777777" w:rsidR="00DB6E47" w:rsidRPr="00297A38" w:rsidRDefault="00DB6E47" w:rsidP="00EA7DF4">
      <w:pPr>
        <w:pStyle w:val="Apara"/>
        <w:keepLines/>
      </w:pPr>
      <w:r w:rsidRPr="00297A38">
        <w:tab/>
        <w:t>(b)</w:t>
      </w:r>
      <w:r w:rsidRPr="00297A38">
        <w:tab/>
        <w:t>if the Regulator has imposed conditions on the exemption under section 366 or has granted the exemption for a period less than the period of not more than 3 years sought by the person—an information notice for the decision to impose the conditions or grant the exemption for the shorter period.</w:t>
      </w:r>
    </w:p>
    <w:p w14:paraId="112DD9B8" w14:textId="77777777" w:rsidR="00DB6E47" w:rsidRPr="00283AFC" w:rsidRDefault="00DB6E47" w:rsidP="0024754E">
      <w:pPr>
        <w:pStyle w:val="Amain"/>
        <w:keepNext/>
      </w:pPr>
      <w:r w:rsidRPr="00283AFC">
        <w:lastRenderedPageBreak/>
        <w:tab/>
        <w:t>(2)</w:t>
      </w:r>
      <w:r w:rsidRPr="00283AFC">
        <w:tab/>
        <w:t>A permit for a work diary exemption (permit) must state the following—</w:t>
      </w:r>
    </w:p>
    <w:p w14:paraId="27062224" w14:textId="77777777" w:rsidR="00DB6E47" w:rsidRPr="00297A38" w:rsidRDefault="00DB6E47" w:rsidP="00DB6E47">
      <w:pPr>
        <w:pStyle w:val="Apara"/>
      </w:pPr>
      <w:r w:rsidRPr="00297A38">
        <w:tab/>
        <w:t>(a)</w:t>
      </w:r>
      <w:r w:rsidRPr="00297A38">
        <w:tab/>
        <w:t>the name of the driver of a fatigue-regulated heavy vehicle to whom the permit is given;</w:t>
      </w:r>
    </w:p>
    <w:p w14:paraId="31587EB2" w14:textId="77777777" w:rsidR="00DB6E47" w:rsidRPr="00297A38" w:rsidRDefault="00DB6E47" w:rsidP="00DB6E47">
      <w:pPr>
        <w:pStyle w:val="Apara"/>
      </w:pPr>
      <w:r w:rsidRPr="00297A38">
        <w:tab/>
        <w:t>(b)</w:t>
      </w:r>
      <w:r w:rsidRPr="00297A38">
        <w:tab/>
        <w:t>the name of the nominee for the driver;</w:t>
      </w:r>
    </w:p>
    <w:p w14:paraId="2B012E4F" w14:textId="77777777" w:rsidR="00DB6E47" w:rsidRPr="00297A38" w:rsidRDefault="00DB6E47" w:rsidP="00DB6E47">
      <w:pPr>
        <w:pStyle w:val="Apara"/>
      </w:pPr>
      <w:r w:rsidRPr="00297A38">
        <w:tab/>
        <w:t>(c)</w:t>
      </w:r>
      <w:r w:rsidRPr="00297A38">
        <w:tab/>
        <w:t>the conditions of the exemption;</w:t>
      </w:r>
    </w:p>
    <w:p w14:paraId="675A56A7" w14:textId="77777777" w:rsidR="00DB6E47" w:rsidRPr="00297A38" w:rsidRDefault="00DB6E47" w:rsidP="00DB6E47">
      <w:pPr>
        <w:pStyle w:val="Apara"/>
      </w:pPr>
      <w:r w:rsidRPr="00297A38">
        <w:tab/>
        <w:t>(d)</w:t>
      </w:r>
      <w:r w:rsidRPr="00297A38">
        <w:tab/>
        <w:t>the period for which the exemption applies.</w:t>
      </w:r>
    </w:p>
    <w:p w14:paraId="0FBB293A" w14:textId="77777777" w:rsidR="00DB6E47" w:rsidRPr="00283AFC" w:rsidRDefault="00DB6E47" w:rsidP="00DB6E47">
      <w:pPr>
        <w:pStyle w:val="Amain"/>
      </w:pPr>
      <w:r w:rsidRPr="00283AFC">
        <w:tab/>
        <w:t>(3)</w:t>
      </w:r>
      <w:r w:rsidRPr="00283AFC">
        <w:tab/>
        <w:t>In this section—</w:t>
      </w:r>
    </w:p>
    <w:p w14:paraId="1A294068" w14:textId="77777777" w:rsidR="00DB6E47" w:rsidRPr="00041046" w:rsidRDefault="00DB6E47" w:rsidP="00DB6E47">
      <w:pPr>
        <w:pStyle w:val="aDef"/>
        <w:rPr>
          <w:bCs/>
        </w:rPr>
      </w:pPr>
      <w:r w:rsidRPr="00041046">
        <w:rPr>
          <w:rStyle w:val="charBoldItals"/>
        </w:rPr>
        <w:t>nominee</w:t>
      </w:r>
      <w:r w:rsidRPr="00041046">
        <w:t>, for the driver of a fatigue-regulated heavy vehicle, means the person nominated, in the application for the work diary exemption (permit), by the driver to make written work records for the driver.</w:t>
      </w:r>
    </w:p>
    <w:p w14:paraId="3B98A14F" w14:textId="77777777" w:rsidR="00DB6E47" w:rsidRPr="007E1F9A" w:rsidRDefault="00DB6E47" w:rsidP="00DB6E47">
      <w:pPr>
        <w:pStyle w:val="AH5Sec"/>
      </w:pPr>
      <w:bookmarkStart w:id="422" w:name="_Toc83625766"/>
      <w:r w:rsidRPr="005E03F7">
        <w:rPr>
          <w:rStyle w:val="CharSectNo"/>
        </w:rPr>
        <w:t>369</w:t>
      </w:r>
      <w:r w:rsidRPr="007E1F9A">
        <w:tab/>
        <w:t>Refusal of application for work diary exemption (permit)</w:t>
      </w:r>
      <w:bookmarkEnd w:id="422"/>
    </w:p>
    <w:p w14:paraId="69713122" w14:textId="77777777" w:rsidR="00DB6E47" w:rsidRPr="00283AFC" w:rsidRDefault="00DB6E47" w:rsidP="00DB6E47">
      <w:pPr>
        <w:pStyle w:val="Amainreturn"/>
      </w:pPr>
      <w:r w:rsidRPr="00283AFC">
        <w:t>If the Regulator refuses an application for a work diary exemption (permit), the Regulator must give the applicant an information notice for the decision to refuse the application.</w:t>
      </w:r>
    </w:p>
    <w:p w14:paraId="3676D299" w14:textId="77777777" w:rsidR="00DB6E47" w:rsidRPr="007E1F9A" w:rsidRDefault="00DB6E47" w:rsidP="00DB6E47">
      <w:pPr>
        <w:pStyle w:val="AH5Sec"/>
      </w:pPr>
      <w:bookmarkStart w:id="423" w:name="_Toc83625767"/>
      <w:r w:rsidRPr="005E03F7">
        <w:rPr>
          <w:rStyle w:val="CharSectNo"/>
        </w:rPr>
        <w:t>370</w:t>
      </w:r>
      <w:r w:rsidRPr="007E1F9A">
        <w:tab/>
        <w:t>Amendment or cancellation of work diary exemption (permit) on application by permit holder</w:t>
      </w:r>
      <w:bookmarkEnd w:id="423"/>
    </w:p>
    <w:p w14:paraId="077A0AFB" w14:textId="77777777" w:rsidR="00DB6E47" w:rsidRPr="00283AFC" w:rsidRDefault="00DB6E47" w:rsidP="00DB6E47">
      <w:pPr>
        <w:pStyle w:val="Amain"/>
      </w:pPr>
      <w:r w:rsidRPr="00283AFC">
        <w:tab/>
        <w:t>(1)</w:t>
      </w:r>
      <w:r w:rsidRPr="00283AFC">
        <w:tab/>
        <w:t>The holder of a permit for a work diary exemption (permit) may apply to the Regulator for an amendment or cancellation of the exemption.</w:t>
      </w:r>
    </w:p>
    <w:p w14:paraId="7003F907" w14:textId="77777777" w:rsidR="00DB6E47" w:rsidRPr="00283AFC" w:rsidRDefault="00DB6E47" w:rsidP="00DB6E47">
      <w:pPr>
        <w:pStyle w:val="Amain"/>
      </w:pPr>
      <w:r w:rsidRPr="00283AFC">
        <w:tab/>
        <w:t>(2)</w:t>
      </w:r>
      <w:r w:rsidRPr="00283AFC">
        <w:tab/>
        <w:t>The application must—</w:t>
      </w:r>
    </w:p>
    <w:p w14:paraId="63756412" w14:textId="77777777" w:rsidR="00DB6E47" w:rsidRPr="00297A38" w:rsidRDefault="00DB6E47" w:rsidP="00DB6E47">
      <w:pPr>
        <w:pStyle w:val="Apara"/>
      </w:pPr>
      <w:r w:rsidRPr="00297A38">
        <w:tab/>
        <w:t>(a)</w:t>
      </w:r>
      <w:r w:rsidRPr="00297A38">
        <w:tab/>
        <w:t>be in the approved form; and</w:t>
      </w:r>
    </w:p>
    <w:p w14:paraId="298D0159" w14:textId="77777777" w:rsidR="00DB6E47" w:rsidRPr="00297A38" w:rsidRDefault="00DB6E47" w:rsidP="00DB6E47">
      <w:pPr>
        <w:pStyle w:val="Apara"/>
      </w:pPr>
      <w:r w:rsidRPr="00297A38">
        <w:tab/>
        <w:t>(b)</w:t>
      </w:r>
      <w:r w:rsidRPr="00297A38">
        <w:tab/>
        <w:t>be accompanied by the prescribed fee for the application; and</w:t>
      </w:r>
    </w:p>
    <w:p w14:paraId="21798202" w14:textId="77777777" w:rsidR="00DB6E47" w:rsidRPr="00297A38" w:rsidRDefault="00DB6E47" w:rsidP="00DB6E47">
      <w:pPr>
        <w:pStyle w:val="Apara"/>
      </w:pPr>
      <w:r w:rsidRPr="00297A38">
        <w:tab/>
        <w:t>(c)</w:t>
      </w:r>
      <w:r w:rsidRPr="00297A38">
        <w:tab/>
        <w:t>if the application is for an amendment—state clearly the amendment sought and the reasons for the amendment; and</w:t>
      </w:r>
    </w:p>
    <w:p w14:paraId="4D7D55ED" w14:textId="77777777" w:rsidR="00DB6E47" w:rsidRPr="00297A38" w:rsidRDefault="00DB6E47" w:rsidP="00760B0D">
      <w:pPr>
        <w:pStyle w:val="Apara"/>
        <w:keepLines/>
      </w:pPr>
      <w:r w:rsidRPr="00297A38">
        <w:lastRenderedPageBreak/>
        <w:tab/>
        <w:t>(d)</w:t>
      </w:r>
      <w:r w:rsidRPr="00297A38">
        <w:tab/>
        <w:t>if the application is for an amendment of the person nominated by the holder to make written work records for the holder—be accompanied by the nominee’s written agreement to the nomination; and</w:t>
      </w:r>
    </w:p>
    <w:p w14:paraId="5C563EB6" w14:textId="77777777" w:rsidR="00DB6E47" w:rsidRPr="00297A38" w:rsidRDefault="00DB6E47" w:rsidP="00DB6E47">
      <w:pPr>
        <w:pStyle w:val="Apara"/>
      </w:pPr>
      <w:r w:rsidRPr="00297A38">
        <w:tab/>
        <w:t>(e)</w:t>
      </w:r>
      <w:r w:rsidRPr="00297A38">
        <w:tab/>
        <w:t>be accompanied by the permit.</w:t>
      </w:r>
    </w:p>
    <w:p w14:paraId="73B0AF3F" w14:textId="77777777" w:rsidR="00DB6E47" w:rsidRPr="00283AFC" w:rsidRDefault="00DB6E47" w:rsidP="00DB6E47">
      <w:pPr>
        <w:pStyle w:val="Amain"/>
      </w:pPr>
      <w:r w:rsidRPr="00283AFC">
        <w:tab/>
        <w:t>(3)</w:t>
      </w:r>
      <w:r w:rsidRPr="00283AFC">
        <w:tab/>
        <w:t>The Regulator may, by notice given to the applicant, require the applicant to give the Regulator any additional information the Regulator reasonably requires to decide the application.</w:t>
      </w:r>
    </w:p>
    <w:p w14:paraId="5C3FE9A3" w14:textId="77777777" w:rsidR="00DB6E47" w:rsidRPr="00283AFC" w:rsidRDefault="00DB6E47" w:rsidP="00DB6E47">
      <w:pPr>
        <w:pStyle w:val="Amain"/>
      </w:pPr>
      <w:r w:rsidRPr="00283AFC">
        <w:tab/>
        <w:t>(4)</w:t>
      </w:r>
      <w:r w:rsidRPr="00283AFC">
        <w:tab/>
        <w:t>The Regulator must decide the application as soon as practicable after receiving it.</w:t>
      </w:r>
    </w:p>
    <w:p w14:paraId="1AF305D5" w14:textId="77777777" w:rsidR="00DB6E47" w:rsidRPr="00283AFC" w:rsidRDefault="00DB6E47" w:rsidP="00DB6E47">
      <w:pPr>
        <w:pStyle w:val="Amain"/>
      </w:pPr>
      <w:r w:rsidRPr="00283AFC">
        <w:tab/>
        <w:t>(5)</w:t>
      </w:r>
      <w:r w:rsidRPr="00283AFC">
        <w:tab/>
        <w:t>If the Regulator decides to grant the application—</w:t>
      </w:r>
    </w:p>
    <w:p w14:paraId="78337A44" w14:textId="77777777" w:rsidR="00DB6E47" w:rsidRPr="00297A38" w:rsidRDefault="00DB6E47" w:rsidP="00DB6E47">
      <w:pPr>
        <w:pStyle w:val="Apara"/>
      </w:pPr>
      <w:r w:rsidRPr="00297A38">
        <w:tab/>
        <w:t>(a)</w:t>
      </w:r>
      <w:r w:rsidRPr="00297A38">
        <w:tab/>
        <w:t>the Regulator must give the applicant notice of the decision; and</w:t>
      </w:r>
    </w:p>
    <w:p w14:paraId="69E68440" w14:textId="77777777" w:rsidR="00DB6E47" w:rsidRPr="00297A38" w:rsidRDefault="00DB6E47" w:rsidP="00DB6E47">
      <w:pPr>
        <w:pStyle w:val="Apara"/>
      </w:pPr>
      <w:r w:rsidRPr="00297A38">
        <w:tab/>
        <w:t>(b)</w:t>
      </w:r>
      <w:r w:rsidRPr="00297A38">
        <w:tab/>
        <w:t>the amendment or cancellation takes effect—</w:t>
      </w:r>
    </w:p>
    <w:p w14:paraId="4B6C8DB3" w14:textId="77777777" w:rsidR="00DB6E47" w:rsidRPr="00516F02" w:rsidRDefault="00DB6E47" w:rsidP="00DB6E47">
      <w:pPr>
        <w:pStyle w:val="Asubpara"/>
      </w:pPr>
      <w:r w:rsidRPr="00516F02">
        <w:tab/>
        <w:t>(i)</w:t>
      </w:r>
      <w:r w:rsidRPr="00516F02">
        <w:tab/>
        <w:t>when notice of the decision is given to the applicant; or</w:t>
      </w:r>
    </w:p>
    <w:p w14:paraId="1E84EEEF" w14:textId="77777777" w:rsidR="00DB6E47" w:rsidRPr="00516F02" w:rsidRDefault="00DB6E47" w:rsidP="00DB6E47">
      <w:pPr>
        <w:pStyle w:val="Asubpara"/>
      </w:pPr>
      <w:r w:rsidRPr="00516F02">
        <w:tab/>
        <w:t>(ii)</w:t>
      </w:r>
      <w:r w:rsidRPr="00516F02">
        <w:tab/>
        <w:t>if a later time is stated in the notice, at the later time; and</w:t>
      </w:r>
    </w:p>
    <w:p w14:paraId="6CCF17AB" w14:textId="77777777" w:rsidR="00DB6E47" w:rsidRPr="00297A38" w:rsidRDefault="00DB6E47" w:rsidP="00DB6E47">
      <w:pPr>
        <w:pStyle w:val="Apara"/>
      </w:pPr>
      <w:r w:rsidRPr="00297A38">
        <w:tab/>
        <w:t>(c)</w:t>
      </w:r>
      <w:r w:rsidRPr="00297A38">
        <w:tab/>
        <w:t>if the Regulator amends the exemption, the Regulator must give the applicant a replacement permit for the exemption as amended.</w:t>
      </w:r>
    </w:p>
    <w:p w14:paraId="5FCBFAF2" w14:textId="77777777" w:rsidR="00DB6E47" w:rsidRPr="00283AFC" w:rsidRDefault="00DB6E47" w:rsidP="00DB6E47">
      <w:pPr>
        <w:pStyle w:val="Amain"/>
      </w:pPr>
      <w:r w:rsidRPr="00283AFC">
        <w:tab/>
        <w:t>(6)</w:t>
      </w:r>
      <w:r w:rsidRPr="00283AFC">
        <w:tab/>
        <w:t>If the Regulator decides not to amend or cancel the work diary exemption (permit), as sought by the applicant, the Regulator must—</w:t>
      </w:r>
    </w:p>
    <w:p w14:paraId="2F67119F" w14:textId="77777777" w:rsidR="00DB6E47" w:rsidRPr="00297A38" w:rsidRDefault="00DB6E47" w:rsidP="00DB6E47">
      <w:pPr>
        <w:pStyle w:val="Apara"/>
      </w:pPr>
      <w:r w:rsidRPr="00297A38">
        <w:tab/>
        <w:t>(a)</w:t>
      </w:r>
      <w:r w:rsidRPr="00297A38">
        <w:tab/>
        <w:t>give the applicant an information notice for the decision; and</w:t>
      </w:r>
    </w:p>
    <w:p w14:paraId="201BD655" w14:textId="77777777" w:rsidR="00DB6E47" w:rsidRPr="00297A38" w:rsidRDefault="00DB6E47" w:rsidP="00DB6E47">
      <w:pPr>
        <w:pStyle w:val="Apara"/>
      </w:pPr>
      <w:r w:rsidRPr="00297A38">
        <w:tab/>
        <w:t>(b)</w:t>
      </w:r>
      <w:r w:rsidRPr="00297A38">
        <w:tab/>
        <w:t>return the permit for the exemption to the applicant.</w:t>
      </w:r>
    </w:p>
    <w:p w14:paraId="66FA3EFD" w14:textId="77777777" w:rsidR="00DB6E47" w:rsidRPr="007E1F9A" w:rsidRDefault="00DB6E47" w:rsidP="00DB6E47">
      <w:pPr>
        <w:pStyle w:val="AH5Sec"/>
      </w:pPr>
      <w:bookmarkStart w:id="424" w:name="_Toc83625768"/>
      <w:r w:rsidRPr="005E03F7">
        <w:rPr>
          <w:rStyle w:val="CharSectNo"/>
        </w:rPr>
        <w:lastRenderedPageBreak/>
        <w:t>371</w:t>
      </w:r>
      <w:r w:rsidRPr="007E1F9A">
        <w:tab/>
        <w:t>Amendment or cancellation of work diary exemption (permit) on Regulator’s initiative</w:t>
      </w:r>
      <w:bookmarkEnd w:id="424"/>
    </w:p>
    <w:p w14:paraId="294F4E06" w14:textId="77777777" w:rsidR="00DB6E47" w:rsidRPr="00283AFC" w:rsidRDefault="00DB6E47" w:rsidP="0024754E">
      <w:pPr>
        <w:pStyle w:val="Amain"/>
        <w:keepNext/>
      </w:pPr>
      <w:r w:rsidRPr="00283AFC">
        <w:tab/>
        <w:t>(1)</w:t>
      </w:r>
      <w:r w:rsidRPr="00283AFC">
        <w:tab/>
        <w:t>Each of the following is a ground for amending or cancelling a work diary exemption (permit)—</w:t>
      </w:r>
    </w:p>
    <w:p w14:paraId="6270F50C" w14:textId="77777777" w:rsidR="00DB6E47" w:rsidRPr="00297A38" w:rsidRDefault="00DB6E47" w:rsidP="00DB6E47">
      <w:pPr>
        <w:pStyle w:val="Apara"/>
      </w:pPr>
      <w:r w:rsidRPr="00297A38">
        <w:tab/>
        <w:t>(a)</w:t>
      </w:r>
      <w:r w:rsidRPr="00297A38">
        <w:tab/>
        <w:t>the exemption was granted because of a document or representation that was—</w:t>
      </w:r>
    </w:p>
    <w:p w14:paraId="2275C865" w14:textId="77777777" w:rsidR="00DB6E47" w:rsidRPr="00516F02" w:rsidRDefault="00DB6E47" w:rsidP="00DB6E47">
      <w:pPr>
        <w:pStyle w:val="Asubpara"/>
      </w:pPr>
      <w:r w:rsidRPr="00516F02">
        <w:tab/>
        <w:t>(i)</w:t>
      </w:r>
      <w:r w:rsidRPr="00516F02">
        <w:tab/>
        <w:t>false or misleading; or</w:t>
      </w:r>
    </w:p>
    <w:p w14:paraId="1B9587E9" w14:textId="77777777" w:rsidR="00DB6E47" w:rsidRPr="00516F02" w:rsidRDefault="00DB6E47" w:rsidP="00DB6E47">
      <w:pPr>
        <w:pStyle w:val="Asubpara"/>
      </w:pPr>
      <w:r w:rsidRPr="00516F02">
        <w:tab/>
        <w:t>(ii)</w:t>
      </w:r>
      <w:r w:rsidRPr="00516F02">
        <w:tab/>
        <w:t>obtained or made in an improper way;</w:t>
      </w:r>
    </w:p>
    <w:p w14:paraId="528BB87B" w14:textId="77777777" w:rsidR="00DB6E47" w:rsidRPr="00297A38" w:rsidRDefault="00DB6E47" w:rsidP="00DB6E47">
      <w:pPr>
        <w:pStyle w:val="Apara"/>
      </w:pPr>
      <w:r w:rsidRPr="00297A38">
        <w:tab/>
        <w:t>(b)</w:t>
      </w:r>
      <w:r w:rsidRPr="00297A38">
        <w:tab/>
        <w:t>the person to whom the exemption is granted has contravened this Law or a corresponding fatigue law;</w:t>
      </w:r>
    </w:p>
    <w:p w14:paraId="5531216C" w14:textId="77777777" w:rsidR="00DB6E47" w:rsidRPr="00297A38" w:rsidRDefault="00DB6E47" w:rsidP="00DB6E47">
      <w:pPr>
        <w:pStyle w:val="Apara"/>
      </w:pPr>
      <w:r w:rsidRPr="00297A38">
        <w:tab/>
        <w:t>(c)</w:t>
      </w:r>
      <w:r w:rsidRPr="00297A38">
        <w:tab/>
        <w:t>the nominee has contravened a condition of the exemption;</w:t>
      </w:r>
    </w:p>
    <w:p w14:paraId="58DC04CC" w14:textId="77777777" w:rsidR="00DB6E47" w:rsidRPr="00297A38" w:rsidRDefault="00DB6E47" w:rsidP="00DB6E47">
      <w:pPr>
        <w:pStyle w:val="Apara"/>
      </w:pPr>
      <w:r w:rsidRPr="00297A38">
        <w:tab/>
        <w:t>(d)</w:t>
      </w:r>
      <w:r w:rsidRPr="00297A38">
        <w:tab/>
        <w:t>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14:paraId="0BB0FAC7" w14:textId="77777777" w:rsidR="00DB6E47" w:rsidRPr="00283AFC" w:rsidRDefault="00DB6E47" w:rsidP="00DB6E47">
      <w:pPr>
        <w:pStyle w:val="Amain"/>
      </w:pPr>
      <w:r w:rsidRPr="00283AFC">
        <w:tab/>
        <w:t>(2)</w:t>
      </w:r>
      <w:r w:rsidRPr="00283AFC">
        <w:tab/>
        <w:t xml:space="preserve">If the Regulator considers a ground exists to amend or cancel a work diary exemption (permit) (the </w:t>
      </w:r>
      <w:r w:rsidRPr="00FF4454">
        <w:rPr>
          <w:rStyle w:val="charBoldItals"/>
        </w:rPr>
        <w:t>proposed action</w:t>
      </w:r>
      <w:r w:rsidRPr="00283AFC">
        <w:t>), the Regulator must give the holder of the permit for the exemption a notice—</w:t>
      </w:r>
    </w:p>
    <w:p w14:paraId="1F9150A7" w14:textId="77777777" w:rsidR="00DB6E47" w:rsidRPr="00297A38" w:rsidRDefault="00DB6E47" w:rsidP="00DB6E47">
      <w:pPr>
        <w:pStyle w:val="Apara"/>
      </w:pPr>
      <w:r w:rsidRPr="00297A38">
        <w:tab/>
        <w:t>(a)</w:t>
      </w:r>
      <w:r w:rsidRPr="00297A38">
        <w:tab/>
        <w:t>stating the proposed action; and</w:t>
      </w:r>
    </w:p>
    <w:p w14:paraId="24CFDE87" w14:textId="77777777" w:rsidR="00DB6E47" w:rsidRPr="00297A38" w:rsidRDefault="00DB6E47" w:rsidP="00DB6E47">
      <w:pPr>
        <w:pStyle w:val="Apara"/>
      </w:pPr>
      <w:r w:rsidRPr="00297A38">
        <w:tab/>
        <w:t>(b)</w:t>
      </w:r>
      <w:r w:rsidRPr="00297A38">
        <w:tab/>
        <w:t>stating the ground for the proposed action; and</w:t>
      </w:r>
    </w:p>
    <w:p w14:paraId="55989BF0" w14:textId="77777777" w:rsidR="00DB6E47" w:rsidRPr="00297A38" w:rsidRDefault="00DB6E47" w:rsidP="00DB6E47">
      <w:pPr>
        <w:pStyle w:val="Apara"/>
      </w:pPr>
      <w:r w:rsidRPr="00297A38">
        <w:tab/>
        <w:t>(c)</w:t>
      </w:r>
      <w:r w:rsidRPr="00297A38">
        <w:tab/>
        <w:t>outlining the facts and circumstances forming the basis for the ground; and</w:t>
      </w:r>
    </w:p>
    <w:p w14:paraId="5AA3172F" w14:textId="77777777" w:rsidR="00DB6E47" w:rsidRPr="00297A38" w:rsidRDefault="00DB6E47" w:rsidP="00DB6E47">
      <w:pPr>
        <w:pStyle w:val="Apara"/>
      </w:pPr>
      <w:r w:rsidRPr="00297A38">
        <w:tab/>
        <w:t>(d)</w:t>
      </w:r>
      <w:r w:rsidRPr="00297A38">
        <w:tab/>
        <w:t>if the proposed action is to amend the exemption (including a condition of the exemption)—stating the proposed amendment; and</w:t>
      </w:r>
    </w:p>
    <w:p w14:paraId="3DBD4D7A" w14:textId="77777777" w:rsidR="00DB6E47" w:rsidRPr="00297A38" w:rsidRDefault="00DB6E47" w:rsidP="00760B0D">
      <w:pPr>
        <w:pStyle w:val="Apara"/>
        <w:keepLines/>
      </w:pPr>
      <w:r w:rsidRPr="00297A38">
        <w:lastRenderedPageBreak/>
        <w:tab/>
        <w:t>(e)</w:t>
      </w:r>
      <w:r w:rsidRPr="00297A38">
        <w:tab/>
        <w:t>inviting the holder to make, within a stated time of at least 14 days after the notice is given to the holder, written representations about why the proposed action should not be taken.</w:t>
      </w:r>
    </w:p>
    <w:p w14:paraId="22520E46" w14:textId="77777777" w:rsidR="00DB6E47" w:rsidRPr="00283AFC" w:rsidRDefault="00DB6E47" w:rsidP="00DB6E47">
      <w:pPr>
        <w:pStyle w:val="Amain"/>
      </w:pPr>
      <w:r w:rsidRPr="00283AFC">
        <w:tab/>
        <w:t>(3)</w:t>
      </w:r>
      <w:r w:rsidRPr="00283AFC">
        <w:tab/>
        <w:t>If, after considering all written representations made und</w:t>
      </w:r>
      <w:r w:rsidR="00CE4A4A">
        <w:t>er subsection </w:t>
      </w:r>
      <w:r w:rsidRPr="00283AFC">
        <w:t>(2)(e), the Regulator still considers a ground exists to take the proposed action, the Regulator may—</w:t>
      </w:r>
    </w:p>
    <w:p w14:paraId="40FA5BD0" w14:textId="77777777" w:rsidR="00DB6E47" w:rsidRPr="00297A38" w:rsidRDefault="00DB6E47" w:rsidP="00DB6E47">
      <w:pPr>
        <w:pStyle w:val="Apara"/>
      </w:pPr>
      <w:r w:rsidRPr="00297A38">
        <w:tab/>
        <w:t>(a)</w:t>
      </w:r>
      <w:r w:rsidRPr="00297A38">
        <w:tab/>
        <w:t>if the proposed action was to amend the exemption—amend the exemption, including, for example, by imposing additional conditions on the exemption, in a way that is not substantially different from the proposed action; or</w:t>
      </w:r>
    </w:p>
    <w:p w14:paraId="5FA0FFDF" w14:textId="77777777" w:rsidR="00DB6E47" w:rsidRPr="00297A38" w:rsidRDefault="00DB6E47" w:rsidP="00DB6E47">
      <w:pPr>
        <w:pStyle w:val="Apara"/>
      </w:pPr>
      <w:r w:rsidRPr="00297A38">
        <w:tab/>
        <w:t>(b)</w:t>
      </w:r>
      <w:r w:rsidRPr="00297A38">
        <w:tab/>
        <w:t>if the proposed action was to cancel the exemption—</w:t>
      </w:r>
    </w:p>
    <w:p w14:paraId="3E84E887" w14:textId="77777777" w:rsidR="00DB6E47" w:rsidRPr="00516F02" w:rsidRDefault="00DB6E47" w:rsidP="00DB6E47">
      <w:pPr>
        <w:pStyle w:val="Asubpara"/>
      </w:pPr>
      <w:r w:rsidRPr="00516F02">
        <w:tab/>
        <w:t>(i)</w:t>
      </w:r>
      <w:r w:rsidRPr="00516F02">
        <w:tab/>
        <w:t>amend the exemption, including, for example, by imposing additional conditions on the exemption; or</w:t>
      </w:r>
    </w:p>
    <w:p w14:paraId="0BD946B5" w14:textId="77777777" w:rsidR="00DB6E47" w:rsidRPr="00516F02" w:rsidRDefault="00DB6E47" w:rsidP="00DB6E47">
      <w:pPr>
        <w:pStyle w:val="Asubpara"/>
      </w:pPr>
      <w:r w:rsidRPr="00516F02">
        <w:tab/>
        <w:t>(ii)</w:t>
      </w:r>
      <w:r w:rsidRPr="00516F02">
        <w:tab/>
        <w:t>cancel the exemption.</w:t>
      </w:r>
    </w:p>
    <w:p w14:paraId="297A420E" w14:textId="77777777" w:rsidR="00DB6E47" w:rsidRPr="00283AFC" w:rsidRDefault="00DB6E47" w:rsidP="00DB6E47">
      <w:pPr>
        <w:pStyle w:val="Amain"/>
      </w:pPr>
      <w:r w:rsidRPr="00283AFC">
        <w:tab/>
        <w:t>(4)</w:t>
      </w:r>
      <w:r w:rsidRPr="00283AFC">
        <w:tab/>
        <w:t>The Regulator must give the holder an information notice for the decision.</w:t>
      </w:r>
    </w:p>
    <w:p w14:paraId="5244E4AF" w14:textId="77777777" w:rsidR="00DB6E47" w:rsidRPr="00283AFC" w:rsidRDefault="00DB6E47" w:rsidP="00DB6E47">
      <w:pPr>
        <w:pStyle w:val="Amain"/>
      </w:pPr>
      <w:r w:rsidRPr="00283AFC">
        <w:tab/>
        <w:t>(5)</w:t>
      </w:r>
      <w:r w:rsidRPr="00283AFC">
        <w:tab/>
        <w:t>The amendment or cancellation takes effect—</w:t>
      </w:r>
    </w:p>
    <w:p w14:paraId="3805DFFF" w14:textId="77777777" w:rsidR="00DB6E47" w:rsidRPr="00297A38" w:rsidRDefault="00DB6E47" w:rsidP="00DB6E47">
      <w:pPr>
        <w:pStyle w:val="Apara"/>
      </w:pPr>
      <w:r w:rsidRPr="00297A38">
        <w:tab/>
        <w:t>(a)</w:t>
      </w:r>
      <w:r w:rsidRPr="00297A38">
        <w:tab/>
        <w:t>when the information notice is given to the holder; or</w:t>
      </w:r>
    </w:p>
    <w:p w14:paraId="546F0BFB" w14:textId="77777777" w:rsidR="00DB6E47" w:rsidRPr="00297A38" w:rsidRDefault="00DB6E47" w:rsidP="00DB6E47">
      <w:pPr>
        <w:pStyle w:val="Apara"/>
      </w:pPr>
      <w:r w:rsidRPr="00297A38">
        <w:tab/>
        <w:t>(b)</w:t>
      </w:r>
      <w:r w:rsidRPr="00297A38">
        <w:tab/>
        <w:t>if a later time is stated in the information notice, at the later time.</w:t>
      </w:r>
    </w:p>
    <w:p w14:paraId="432B8DED" w14:textId="77777777" w:rsidR="00DB6E47" w:rsidRPr="00C62D32" w:rsidRDefault="00DB6E47" w:rsidP="00DB6E47">
      <w:pPr>
        <w:pStyle w:val="Amain"/>
      </w:pPr>
      <w:r w:rsidRPr="00C62D32">
        <w:tab/>
        <w:t>(6)</w:t>
      </w:r>
      <w:r w:rsidRPr="00C62D32">
        <w:tab/>
        <w:t>In this section—</w:t>
      </w:r>
    </w:p>
    <w:p w14:paraId="78F08C98" w14:textId="77777777" w:rsidR="00DB6E47" w:rsidRPr="00041046" w:rsidRDefault="00DB6E47" w:rsidP="00DB6E47">
      <w:pPr>
        <w:pStyle w:val="aDef"/>
        <w:rPr>
          <w:bCs/>
        </w:rPr>
      </w:pPr>
      <w:r w:rsidRPr="00041046">
        <w:rPr>
          <w:rStyle w:val="charBoldItals"/>
        </w:rPr>
        <w:t>nominee</w:t>
      </w:r>
      <w:r w:rsidRPr="00041046">
        <w:t>, for the person to whom a work diary exemption (permit) is granted, means the person stated in the permit for the exemption as the person nominated by the person to make written work records for the person.</w:t>
      </w:r>
    </w:p>
    <w:p w14:paraId="3F4E98B5" w14:textId="77777777" w:rsidR="00DB6E47" w:rsidRPr="007E1F9A" w:rsidRDefault="00DB6E47" w:rsidP="00DB6E47">
      <w:pPr>
        <w:pStyle w:val="AH5Sec"/>
      </w:pPr>
      <w:bookmarkStart w:id="425" w:name="_Toc83625769"/>
      <w:r w:rsidRPr="005E03F7">
        <w:rPr>
          <w:rStyle w:val="CharSectNo"/>
        </w:rPr>
        <w:lastRenderedPageBreak/>
        <w:t>372</w:t>
      </w:r>
      <w:r w:rsidRPr="007E1F9A">
        <w:tab/>
        <w:t>Minor amendment of work diary exemption (permit)</w:t>
      </w:r>
      <w:bookmarkEnd w:id="425"/>
    </w:p>
    <w:p w14:paraId="45452A66" w14:textId="77777777" w:rsidR="00DB6E47" w:rsidRPr="00C62D32" w:rsidRDefault="00DB6E47" w:rsidP="00DB6E47">
      <w:pPr>
        <w:pStyle w:val="Amainreturn"/>
      </w:pPr>
      <w:r w:rsidRPr="00C62D32">
        <w:t>The Regulator may, by notice given to the holder of a permit for a work diary exemption (permit), amend the exemption in a minor respect—</w:t>
      </w:r>
    </w:p>
    <w:p w14:paraId="0978724F" w14:textId="77777777" w:rsidR="00DB6E47" w:rsidRPr="00297A38" w:rsidRDefault="00DB6E47" w:rsidP="00DB6E47">
      <w:pPr>
        <w:pStyle w:val="Apara"/>
      </w:pPr>
      <w:r w:rsidRPr="00297A38">
        <w:tab/>
        <w:t>(a)</w:t>
      </w:r>
      <w:r w:rsidRPr="00297A38">
        <w:tab/>
        <w:t>for a formal or clerical reason; or</w:t>
      </w:r>
    </w:p>
    <w:p w14:paraId="6CC5FFB6" w14:textId="77777777" w:rsidR="00DB6E47" w:rsidRPr="00297A38" w:rsidRDefault="00DB6E47" w:rsidP="00DB6E47">
      <w:pPr>
        <w:pStyle w:val="Apara"/>
      </w:pPr>
      <w:r w:rsidRPr="00297A38">
        <w:tab/>
        <w:t>(b)</w:t>
      </w:r>
      <w:r w:rsidRPr="00297A38">
        <w:tab/>
        <w:t>in another way that does not adversely affect the holder’s interests.</w:t>
      </w:r>
    </w:p>
    <w:p w14:paraId="02EFE01B" w14:textId="77777777" w:rsidR="00DB6E47" w:rsidRPr="007E1F9A" w:rsidRDefault="00DB6E47" w:rsidP="00DB6E47">
      <w:pPr>
        <w:pStyle w:val="AH5Sec"/>
      </w:pPr>
      <w:bookmarkStart w:id="426" w:name="_Toc83625770"/>
      <w:r w:rsidRPr="005E03F7">
        <w:rPr>
          <w:rStyle w:val="CharSectNo"/>
        </w:rPr>
        <w:t>373</w:t>
      </w:r>
      <w:r w:rsidRPr="007E1F9A">
        <w:tab/>
        <w:t>Return of permit</w:t>
      </w:r>
      <w:bookmarkEnd w:id="426"/>
    </w:p>
    <w:p w14:paraId="4775305E" w14:textId="77777777" w:rsidR="00DB6E47" w:rsidRPr="00C62D32" w:rsidRDefault="00DB6E47" w:rsidP="00DB6E47">
      <w:pPr>
        <w:pStyle w:val="Amain"/>
      </w:pPr>
      <w:r w:rsidRPr="00C62D32">
        <w:tab/>
        <w:t>(1)</w:t>
      </w:r>
      <w:r w:rsidRPr="00C62D32">
        <w:tab/>
        <w:t>If a person’s work diary exemption (permit) is amended or cancelled under this Subdivision, the Regulator may, by notice given to the person, require the person to return the person’s permit for the exemption to the Regulator.</w:t>
      </w:r>
    </w:p>
    <w:p w14:paraId="75CD67B4" w14:textId="77777777" w:rsidR="00DB6E47" w:rsidRPr="00C62D32" w:rsidRDefault="00DB6E47" w:rsidP="00DB6E47">
      <w:pPr>
        <w:pStyle w:val="Amain"/>
      </w:pPr>
      <w:r w:rsidRPr="00C62D32">
        <w:tab/>
        <w:t>(2)</w:t>
      </w:r>
      <w:r w:rsidRPr="00C62D32">
        <w:tab/>
        <w:t>The person must comply with the notice within 7 days after the notice is given to the person or, if a longer period is stated in the notice, within the longer period.</w:t>
      </w:r>
    </w:p>
    <w:p w14:paraId="64106843" w14:textId="77777777" w:rsidR="00DB6E47" w:rsidRPr="006C3305" w:rsidRDefault="00DB6E47" w:rsidP="00DB6E47">
      <w:pPr>
        <w:pStyle w:val="Penalty"/>
      </w:pPr>
      <w:r w:rsidRPr="00D91CC2">
        <w:rPr>
          <w:rFonts w:cs="Times"/>
          <w:bCs/>
          <w:iCs/>
        </w:rPr>
        <w:t>Maximum penalty—$6000.</w:t>
      </w:r>
    </w:p>
    <w:p w14:paraId="647CC68D" w14:textId="77777777" w:rsidR="00DB6E47" w:rsidRPr="00C62D32" w:rsidRDefault="00DB6E47" w:rsidP="00DB6E47">
      <w:pPr>
        <w:pStyle w:val="Amain"/>
      </w:pPr>
      <w:r w:rsidRPr="00C62D32">
        <w:tab/>
        <w:t>(3)</w:t>
      </w:r>
      <w:r w:rsidRPr="00C62D32">
        <w:tab/>
        <w:t>If the exemption has been amended, the Regulator must give the person a replacement permit for the exemption as amended.</w:t>
      </w:r>
    </w:p>
    <w:p w14:paraId="21DA04DD" w14:textId="77777777" w:rsidR="00DB6E47" w:rsidRPr="007E1F9A" w:rsidRDefault="00DB6E47" w:rsidP="00DB6E47">
      <w:pPr>
        <w:pStyle w:val="AH5Sec"/>
      </w:pPr>
      <w:bookmarkStart w:id="427" w:name="_Toc83625771"/>
      <w:r w:rsidRPr="005E03F7">
        <w:rPr>
          <w:rStyle w:val="CharSectNo"/>
        </w:rPr>
        <w:t>374</w:t>
      </w:r>
      <w:r w:rsidRPr="007E1F9A">
        <w:tab/>
        <w:t>Replacement of defaced etc. permit</w:t>
      </w:r>
      <w:bookmarkEnd w:id="427"/>
    </w:p>
    <w:p w14:paraId="43F94C81" w14:textId="77777777" w:rsidR="00DB6E47" w:rsidRPr="00C62D32" w:rsidRDefault="00DB6E47" w:rsidP="00DB6E47">
      <w:pPr>
        <w:pStyle w:val="Amain"/>
      </w:pPr>
      <w:r w:rsidRPr="00C62D32">
        <w:tab/>
        <w:t>(1)</w:t>
      </w:r>
      <w:r w:rsidRPr="00C62D32">
        <w:tab/>
        <w:t>If a person’s permit for a work diary exemption (permit) is defaced, destroyed, lost or stolen, the person must, as soon as reasonably practicable after becoming aware of the matter, apply to the Regulator for a replacement permit.</w:t>
      </w:r>
    </w:p>
    <w:p w14:paraId="4DF8CFDF" w14:textId="77777777" w:rsidR="00DB6E47" w:rsidRPr="006C3305" w:rsidRDefault="00DB6E47" w:rsidP="00DB6E47">
      <w:pPr>
        <w:pStyle w:val="Penalty"/>
      </w:pPr>
      <w:r w:rsidRPr="00D91CC2">
        <w:rPr>
          <w:rFonts w:cs="Times"/>
          <w:bCs/>
          <w:iCs/>
        </w:rPr>
        <w:t>Maximum penalty—$4000.</w:t>
      </w:r>
    </w:p>
    <w:p w14:paraId="5D4B8423" w14:textId="77777777" w:rsidR="00DB6E47" w:rsidRPr="00C62D32" w:rsidRDefault="00DB6E47" w:rsidP="00DB6E47">
      <w:pPr>
        <w:pStyle w:val="Amain"/>
      </w:pPr>
      <w:r w:rsidRPr="00C62D32">
        <w:tab/>
        <w:t>(2)</w:t>
      </w:r>
      <w:r w:rsidRPr="00C62D32">
        <w:tab/>
        <w:t>If the Regulator is satisfied the permit has been defaced, destroyed, lost or stolen, the Regulator must give the person a replacement permit as soon as practicable.</w:t>
      </w:r>
    </w:p>
    <w:p w14:paraId="351922A9" w14:textId="77777777" w:rsidR="00DB6E47" w:rsidRPr="00C62D32" w:rsidRDefault="00DB6E47" w:rsidP="00DB6E47">
      <w:pPr>
        <w:pStyle w:val="Amain"/>
      </w:pPr>
      <w:r w:rsidRPr="00C62D32">
        <w:lastRenderedPageBreak/>
        <w:tab/>
        <w:t>(3)</w:t>
      </w:r>
      <w:r w:rsidRPr="00C62D32">
        <w:tab/>
        <w:t>If the Regulator decides not to give a replacement permit to the person, the Regulator must give the person an information notice for the decision.</w:t>
      </w:r>
    </w:p>
    <w:p w14:paraId="20536F1C" w14:textId="77777777" w:rsidR="00DB6E47" w:rsidRPr="00A95F9A" w:rsidRDefault="00DB6E47" w:rsidP="00DB6E47">
      <w:pPr>
        <w:pStyle w:val="AH4SubDiv"/>
      </w:pPr>
      <w:bookmarkStart w:id="428" w:name="_Toc83625772"/>
      <w:r w:rsidRPr="00A95F9A">
        <w:t xml:space="preserve">Subdivision 4 </w:t>
      </w:r>
      <w:r w:rsidRPr="00A95F9A">
        <w:tab/>
        <w:t>Operating under work diary exemption</w:t>
      </w:r>
      <w:bookmarkEnd w:id="428"/>
    </w:p>
    <w:p w14:paraId="3BDA441D" w14:textId="77777777" w:rsidR="00DB6E47" w:rsidRPr="007E1F9A" w:rsidRDefault="00DB6E47" w:rsidP="00DB6E47">
      <w:pPr>
        <w:pStyle w:val="AH5Sec"/>
      </w:pPr>
      <w:bookmarkStart w:id="429" w:name="_Toc83625773"/>
      <w:r w:rsidRPr="005E03F7">
        <w:rPr>
          <w:rStyle w:val="CharSectNo"/>
        </w:rPr>
        <w:t>375</w:t>
      </w:r>
      <w:r w:rsidRPr="007E1F9A">
        <w:tab/>
        <w:t>Contravening condition of work diary exemption</w:t>
      </w:r>
      <w:bookmarkEnd w:id="429"/>
    </w:p>
    <w:p w14:paraId="3F73D631" w14:textId="77777777" w:rsidR="00DB6E47" w:rsidRPr="00C62D32" w:rsidRDefault="00DB6E47" w:rsidP="00DB6E47">
      <w:pPr>
        <w:pStyle w:val="Amainreturn"/>
      </w:pPr>
      <w:r w:rsidRPr="00C62D32">
        <w:t>A person must not contravene a condition of a work diary exemption.</w:t>
      </w:r>
    </w:p>
    <w:p w14:paraId="59ECDE7B" w14:textId="77777777" w:rsidR="00DB6E47" w:rsidRPr="006C3305" w:rsidRDefault="00DB6E47" w:rsidP="00DB6E47">
      <w:pPr>
        <w:pStyle w:val="Penalty"/>
      </w:pPr>
      <w:r w:rsidRPr="00D91CC2">
        <w:rPr>
          <w:rFonts w:cs="Times"/>
          <w:bCs/>
          <w:iCs/>
        </w:rPr>
        <w:t>Maximum penalty—$6000.</w:t>
      </w:r>
    </w:p>
    <w:p w14:paraId="6F1FF5DD" w14:textId="77777777" w:rsidR="00DB6E47" w:rsidRPr="007E1F9A" w:rsidRDefault="00DB6E47" w:rsidP="00DB6E47">
      <w:pPr>
        <w:pStyle w:val="AH5Sec"/>
      </w:pPr>
      <w:bookmarkStart w:id="430" w:name="_Toc83625774"/>
      <w:r w:rsidRPr="005E03F7">
        <w:rPr>
          <w:rStyle w:val="CharSectNo"/>
        </w:rPr>
        <w:t>376</w:t>
      </w:r>
      <w:r w:rsidRPr="007E1F9A">
        <w:tab/>
        <w:t>Keeping relevant document while operating under work diary exemption (notice)</w:t>
      </w:r>
      <w:bookmarkEnd w:id="430"/>
    </w:p>
    <w:p w14:paraId="38280FAE" w14:textId="77777777" w:rsidR="00DB6E47" w:rsidRPr="00C62D32" w:rsidRDefault="00DB6E47" w:rsidP="00DB6E47">
      <w:pPr>
        <w:pStyle w:val="Amain"/>
      </w:pPr>
      <w:r w:rsidRPr="00C62D32">
        <w:tab/>
        <w:t>(1)</w:t>
      </w:r>
      <w:r w:rsidRPr="00C62D32">
        <w:tab/>
        <w:t>This section applies if a work diary exemption (notice) is subject to the condition that the driver of a fatigue-regulated heavy vehicle who is operating under the exemption must keep a relevant document in the driver’s possession.</w:t>
      </w:r>
    </w:p>
    <w:p w14:paraId="73EE4B5E" w14:textId="77777777" w:rsidR="00DB6E47" w:rsidRPr="00C62D32" w:rsidRDefault="00DB6E47" w:rsidP="00DB6E47">
      <w:pPr>
        <w:pStyle w:val="Amain"/>
      </w:pPr>
      <w:r w:rsidRPr="00C62D32">
        <w:tab/>
        <w:t>(2)</w:t>
      </w:r>
      <w:r w:rsidRPr="00C62D32">
        <w:tab/>
        <w:t>A driver of the fatigue-regulated heavy vehicle who is operating under the work diary exemption (notice) must comply with the condition.</w:t>
      </w:r>
    </w:p>
    <w:p w14:paraId="17CE4817" w14:textId="77777777" w:rsidR="00DB6E47" w:rsidRPr="006C3305" w:rsidRDefault="00DB6E47" w:rsidP="00DB6E47">
      <w:pPr>
        <w:pStyle w:val="Penalty"/>
      </w:pPr>
      <w:r w:rsidRPr="00D91CC2">
        <w:rPr>
          <w:rFonts w:cs="Times"/>
          <w:bCs/>
          <w:iCs/>
        </w:rPr>
        <w:t>Maximum penalty—$3000.</w:t>
      </w:r>
    </w:p>
    <w:p w14:paraId="5FB06668" w14:textId="77777777" w:rsidR="00B97AB9" w:rsidRPr="00B97AB9" w:rsidRDefault="00B97AB9" w:rsidP="00B97AB9">
      <w:pPr>
        <w:pStyle w:val="Amain"/>
        <w:rPr>
          <w:lang w:val="en" w:eastAsia="en-AU"/>
        </w:rPr>
      </w:pPr>
      <w:r>
        <w:rPr>
          <w:lang w:val="en" w:eastAsia="en-AU"/>
        </w:rPr>
        <w:tab/>
      </w:r>
      <w:r w:rsidRPr="00B97AB9">
        <w:rPr>
          <w:lang w:val="en" w:eastAsia="en-AU"/>
        </w:rPr>
        <w:t>(3)</w:t>
      </w:r>
      <w:r>
        <w:rPr>
          <w:lang w:val="en" w:eastAsia="en-AU"/>
        </w:rPr>
        <w:tab/>
      </w:r>
      <w:r w:rsidRPr="00B97AB9">
        <w:rPr>
          <w:lang w:val="en" w:eastAsia="en-AU"/>
        </w:rPr>
        <w:t>Each relevant party for a driver mentioned in subsection (2) must ensure the driver complies with subsection (2), unless the relevant party has a reasonable excuse.</w:t>
      </w:r>
    </w:p>
    <w:p w14:paraId="0D558BA3" w14:textId="77777777" w:rsidR="00B97AB9" w:rsidRPr="00B97AB9" w:rsidRDefault="00B97AB9" w:rsidP="00B97AB9">
      <w:pPr>
        <w:pStyle w:val="Penalty"/>
        <w:rPr>
          <w:lang w:val="en" w:eastAsia="en-AU"/>
        </w:rPr>
      </w:pPr>
      <w:r w:rsidRPr="00B97AB9">
        <w:rPr>
          <w:lang w:val="en" w:eastAsia="en-AU"/>
        </w:rPr>
        <w:t>Maximum penalty—$3000.</w:t>
      </w:r>
    </w:p>
    <w:p w14:paraId="25DA9640" w14:textId="77777777" w:rsidR="00DB6E47" w:rsidRPr="00C62D32" w:rsidRDefault="00DB6E47" w:rsidP="00DB6E47">
      <w:pPr>
        <w:pStyle w:val="Amain"/>
      </w:pPr>
      <w:r w:rsidRPr="00C62D32">
        <w:tab/>
        <w:t>(7)</w:t>
      </w:r>
      <w:r w:rsidRPr="00C62D32">
        <w:tab/>
        <w:t>In this section—</w:t>
      </w:r>
    </w:p>
    <w:p w14:paraId="4DC2EB44" w14:textId="77777777" w:rsidR="00DB6E47" w:rsidRPr="00041046" w:rsidRDefault="00DB6E47" w:rsidP="00DB6E47">
      <w:pPr>
        <w:pStyle w:val="aDef"/>
        <w:rPr>
          <w:bCs/>
        </w:rPr>
      </w:pPr>
      <w:r w:rsidRPr="00041046">
        <w:rPr>
          <w:rStyle w:val="charBoldItals"/>
        </w:rPr>
        <w:t>relevant document</w:t>
      </w:r>
      <w:r w:rsidRPr="00041046">
        <w:t>, for a work diary exemption (notice), means a copy of—</w:t>
      </w:r>
    </w:p>
    <w:p w14:paraId="49C87D9F" w14:textId="77777777" w:rsidR="00DB6E47" w:rsidRPr="00736BFE" w:rsidRDefault="00DB6E47" w:rsidP="00DB6E47">
      <w:pPr>
        <w:pStyle w:val="aDefpara"/>
      </w:pPr>
      <w:r w:rsidRPr="00FF4454">
        <w:tab/>
      </w:r>
      <w:r w:rsidRPr="00F04D8E">
        <w:rPr>
          <w:rFonts w:cs="Times"/>
          <w:bCs/>
          <w:iCs/>
        </w:rPr>
        <w:t>(a)</w:t>
      </w:r>
      <w:r w:rsidRPr="00FF4454">
        <w:rPr>
          <w:rStyle w:val="charBoldItals"/>
        </w:rPr>
        <w:tab/>
      </w:r>
      <w:r w:rsidRPr="00736BFE">
        <w:t>the Commonwealth Gazette notice for the exemption; or</w:t>
      </w:r>
    </w:p>
    <w:p w14:paraId="2B882883" w14:textId="77777777" w:rsidR="00DB6E47" w:rsidRPr="00736BFE" w:rsidRDefault="00DB6E47" w:rsidP="00DB6E47">
      <w:pPr>
        <w:pStyle w:val="aDefpara"/>
      </w:pPr>
      <w:r w:rsidRPr="00736BFE">
        <w:tab/>
        <w:t>(b)</w:t>
      </w:r>
      <w:r w:rsidRPr="00736BFE">
        <w:tab/>
        <w:t>an information sheet about the exemption published by the Regulator on the Regulator’s website.</w:t>
      </w:r>
    </w:p>
    <w:p w14:paraId="2186E4B6" w14:textId="77777777" w:rsidR="00DB6E47" w:rsidRPr="00041046" w:rsidRDefault="00DB6E47" w:rsidP="00DB6E47">
      <w:pPr>
        <w:pStyle w:val="aDef"/>
        <w:rPr>
          <w:bCs/>
        </w:rPr>
      </w:pPr>
      <w:r w:rsidRPr="00041046">
        <w:rPr>
          <w:rStyle w:val="charBoldItals"/>
        </w:rPr>
        <w:lastRenderedPageBreak/>
        <w:t>relevant party</w:t>
      </w:r>
      <w:r w:rsidRPr="00041046">
        <w:t>, for the driver of a fatigue-regulated heavy vehicle, means—</w:t>
      </w:r>
    </w:p>
    <w:p w14:paraId="4F00D9A8" w14:textId="77777777" w:rsidR="00DB6E47" w:rsidRPr="00736BFE" w:rsidRDefault="00DB6E47" w:rsidP="00DB6E47">
      <w:pPr>
        <w:pStyle w:val="aDefpara"/>
      </w:pPr>
      <w:r w:rsidRPr="00FF4454">
        <w:tab/>
      </w:r>
      <w:r w:rsidRPr="00F04D8E">
        <w:rPr>
          <w:rFonts w:cs="Times"/>
          <w:bCs/>
          <w:iCs/>
        </w:rPr>
        <w:t>(a)</w:t>
      </w:r>
      <w:r w:rsidRPr="00FF4454">
        <w:rPr>
          <w:rStyle w:val="charBoldItals"/>
        </w:rPr>
        <w:tab/>
      </w:r>
      <w:r w:rsidRPr="00736BFE">
        <w:t>an employer of the driver if the driver is an employed driver; or</w:t>
      </w:r>
    </w:p>
    <w:p w14:paraId="6EAADD11" w14:textId="77777777" w:rsidR="00DB6E47" w:rsidRPr="00736BFE" w:rsidRDefault="00DB6E47" w:rsidP="00DB6E47">
      <w:pPr>
        <w:pStyle w:val="aDefpara"/>
      </w:pPr>
      <w:r w:rsidRPr="00736BFE">
        <w:tab/>
        <w:t>(b)</w:t>
      </w:r>
      <w:r w:rsidRPr="00736BFE">
        <w:tab/>
        <w:t>a prime contractor of the driver if the driver is a self-employed driver; or</w:t>
      </w:r>
    </w:p>
    <w:p w14:paraId="2BEFC99E" w14:textId="77777777" w:rsidR="00DB6E47" w:rsidRPr="00736BFE" w:rsidRDefault="00DB6E47" w:rsidP="00DB6E47">
      <w:pPr>
        <w:pStyle w:val="aDefpara"/>
      </w:pPr>
      <w:r w:rsidRPr="00736BFE">
        <w:tab/>
        <w:t>(c)</w:t>
      </w:r>
      <w:r w:rsidRPr="00736BFE">
        <w:tab/>
        <w:t>an operator of the vehicle if the driver is making a journey for the operator.</w:t>
      </w:r>
    </w:p>
    <w:p w14:paraId="2916705E" w14:textId="77777777" w:rsidR="00DB6E47" w:rsidRPr="007E1F9A" w:rsidRDefault="00DB6E47" w:rsidP="00DB6E47">
      <w:pPr>
        <w:pStyle w:val="AH5Sec"/>
      </w:pPr>
      <w:bookmarkStart w:id="431" w:name="_Toc83625775"/>
      <w:r w:rsidRPr="005E03F7">
        <w:rPr>
          <w:rStyle w:val="CharSectNo"/>
        </w:rPr>
        <w:t>377</w:t>
      </w:r>
      <w:r w:rsidRPr="007E1F9A">
        <w:tab/>
        <w:t>Keeping permit or copy while operating under work diary exemption (permit)</w:t>
      </w:r>
      <w:bookmarkEnd w:id="431"/>
    </w:p>
    <w:p w14:paraId="5CE181F1" w14:textId="77777777" w:rsidR="00DB6E47" w:rsidRPr="00C62D32" w:rsidRDefault="00DB6E47" w:rsidP="00DB6E47">
      <w:pPr>
        <w:pStyle w:val="Amainreturn"/>
      </w:pPr>
      <w:r w:rsidRPr="00C62D32">
        <w:t>The driver of a fatigue-regulated heavy vehicle who is operating under a work diary exemption (permit) must keep the permit or a copy of the permit in the driver’s possession.</w:t>
      </w:r>
    </w:p>
    <w:p w14:paraId="5242D271" w14:textId="77777777" w:rsidR="00DB6E47" w:rsidRPr="006C3305" w:rsidRDefault="00DB6E47" w:rsidP="00DB6E47">
      <w:pPr>
        <w:pStyle w:val="Penalty"/>
      </w:pPr>
      <w:r w:rsidRPr="00D91CC2">
        <w:rPr>
          <w:rFonts w:cs="Times"/>
          <w:bCs/>
          <w:iCs/>
        </w:rPr>
        <w:t>Maximum penalty—$3000.</w:t>
      </w:r>
    </w:p>
    <w:p w14:paraId="6890155C" w14:textId="77777777" w:rsidR="00DB6E47" w:rsidRPr="005E03F7" w:rsidRDefault="00DB6E47" w:rsidP="00DB6E47">
      <w:pPr>
        <w:pStyle w:val="AH3Div"/>
      </w:pPr>
      <w:bookmarkStart w:id="432" w:name="_Toc83625776"/>
      <w:r w:rsidRPr="005E03F7">
        <w:rPr>
          <w:rStyle w:val="CharDivNo"/>
        </w:rPr>
        <w:t xml:space="preserve">Division 8A </w:t>
      </w:r>
      <w:r w:rsidRPr="00A95F9A">
        <w:rPr>
          <w:rFonts w:ascii="Helvetica" w:hAnsi="Helvetica" w:cs="Helvetica"/>
          <w:iCs/>
          <w:szCs w:val="28"/>
        </w:rPr>
        <w:tab/>
      </w:r>
      <w:r w:rsidRPr="005E03F7">
        <w:rPr>
          <w:rStyle w:val="CharDivText"/>
          <w:rFonts w:ascii="Helvetica" w:hAnsi="Helvetica" w:cs="Helvetica"/>
          <w:iCs/>
          <w:szCs w:val="28"/>
        </w:rPr>
        <w:t>Exemptions from fatigue record keeping requirements of Division 3</w:t>
      </w:r>
      <w:bookmarkEnd w:id="432"/>
    </w:p>
    <w:p w14:paraId="7A90623B" w14:textId="77777777" w:rsidR="00DB6E47" w:rsidRPr="00A95F9A" w:rsidRDefault="00DB6E47" w:rsidP="00DB6E47">
      <w:pPr>
        <w:pStyle w:val="AH4SubDiv"/>
      </w:pPr>
      <w:bookmarkStart w:id="433" w:name="_Toc83625777"/>
      <w:r w:rsidRPr="00A95F9A">
        <w:t xml:space="preserve">Subdivision 1 </w:t>
      </w:r>
      <w:r w:rsidRPr="00A95F9A">
        <w:tab/>
        <w:t>Exemptions by Commonwealth Gazette notice</w:t>
      </w:r>
      <w:bookmarkEnd w:id="433"/>
    </w:p>
    <w:p w14:paraId="10155C49" w14:textId="77777777" w:rsidR="00DB6E47" w:rsidRPr="007E1F9A" w:rsidRDefault="00DB6E47" w:rsidP="00DB6E47">
      <w:pPr>
        <w:pStyle w:val="AH5Sec"/>
      </w:pPr>
      <w:bookmarkStart w:id="434" w:name="_Toc83625778"/>
      <w:r w:rsidRPr="005E03F7">
        <w:rPr>
          <w:rStyle w:val="CharSectNo"/>
        </w:rPr>
        <w:t>378</w:t>
      </w:r>
      <w:r w:rsidRPr="007E1F9A">
        <w:tab/>
        <w:t>Regulator’s power to exempt record keepers from fatigue record keeping requirements</w:t>
      </w:r>
      <w:bookmarkEnd w:id="434"/>
    </w:p>
    <w:p w14:paraId="1E8210E6" w14:textId="77777777" w:rsidR="00DB6E47" w:rsidRPr="00C62D32" w:rsidRDefault="00DB6E47" w:rsidP="00DB6E47">
      <w:pPr>
        <w:pStyle w:val="Amain"/>
      </w:pPr>
      <w:r w:rsidRPr="00C62D32">
        <w:tab/>
        <w:t>(1)</w:t>
      </w:r>
      <w:r w:rsidRPr="00C62D32">
        <w:tab/>
        <w:t>The Regulator may, by Commonwealth Gazette notice complying with section 381, exempt, for a period of not more than 3 years, record keepers for drivers of fatigue-regulated heavy vehicles carrying out a class of work from the requirement to comply with all or stated provisions of Division 3 for the work.</w:t>
      </w:r>
    </w:p>
    <w:p w14:paraId="7ECEF9C1" w14:textId="77777777" w:rsidR="00DB6E47" w:rsidRPr="00C62D32" w:rsidRDefault="00DB6E47" w:rsidP="00DB6E47">
      <w:pPr>
        <w:pStyle w:val="Amain"/>
      </w:pPr>
      <w:r w:rsidRPr="00C62D32">
        <w:tab/>
        <w:t>(2)</w:t>
      </w:r>
      <w:r w:rsidRPr="00C62D32">
        <w:tab/>
        <w:t xml:space="preserve">An </w:t>
      </w:r>
      <w:r w:rsidR="006679EE">
        <w:t xml:space="preserve">exemption under subsection </w:t>
      </w:r>
      <w:r w:rsidRPr="00C62D32">
        <w:t>(1)</w:t>
      </w:r>
      <w:r w:rsidR="006679EE">
        <w:t xml:space="preserve"> </w:t>
      </w:r>
      <w:r w:rsidRPr="00C62D32">
        <w:t xml:space="preserve">is a </w:t>
      </w:r>
      <w:r w:rsidRPr="0049445A">
        <w:rPr>
          <w:rStyle w:val="charBoldItals"/>
        </w:rPr>
        <w:t>f</w:t>
      </w:r>
      <w:r w:rsidRPr="00FF4454">
        <w:rPr>
          <w:rStyle w:val="charBoldItals"/>
        </w:rPr>
        <w:t>atigue record keeping exemption (notice)</w:t>
      </w:r>
      <w:r w:rsidRPr="00C62D32">
        <w:t>.</w:t>
      </w:r>
    </w:p>
    <w:p w14:paraId="655055C6" w14:textId="77777777" w:rsidR="00DB6E47" w:rsidRPr="0049445A" w:rsidRDefault="00DB6E47" w:rsidP="00DB6E47">
      <w:pPr>
        <w:pStyle w:val="Amain"/>
      </w:pPr>
      <w:r w:rsidRPr="00C62D32">
        <w:lastRenderedPageBreak/>
        <w:tab/>
        <w:t>(3)</w:t>
      </w:r>
      <w:r w:rsidRPr="00C62D32">
        <w:tab/>
        <w:t>In deciding whether or not to grant a fatigue record keeping exemption (notice), the Regulator must have regard to the approved</w:t>
      </w:r>
      <w:r w:rsidRPr="00FF4454">
        <w:rPr>
          <w:rStyle w:val="charBoldItals"/>
        </w:rPr>
        <w:t xml:space="preserve"> </w:t>
      </w:r>
      <w:r w:rsidRPr="0049445A">
        <w:t>guidelines for granting fatigue record keeping exemptions.</w:t>
      </w:r>
    </w:p>
    <w:p w14:paraId="55F78616" w14:textId="77777777" w:rsidR="00DB6E47" w:rsidRPr="007E1F9A" w:rsidRDefault="00DB6E47" w:rsidP="00DB6E47">
      <w:pPr>
        <w:pStyle w:val="AH5Sec"/>
      </w:pPr>
      <w:bookmarkStart w:id="435" w:name="_Toc83625779"/>
      <w:r w:rsidRPr="005E03F7">
        <w:rPr>
          <w:rStyle w:val="CharSectNo"/>
        </w:rPr>
        <w:t>379</w:t>
      </w:r>
      <w:r w:rsidRPr="007E1F9A">
        <w:tab/>
        <w:t>Conditions of fatigue record keeping exemption (notice)</w:t>
      </w:r>
      <w:bookmarkEnd w:id="435"/>
    </w:p>
    <w:p w14:paraId="13DFEF2F" w14:textId="77777777" w:rsidR="00DB6E47" w:rsidRPr="00C62D32" w:rsidRDefault="00DB6E47" w:rsidP="00EA7DF4">
      <w:pPr>
        <w:pStyle w:val="Amainreturn"/>
        <w:keepNext/>
      </w:pPr>
      <w:r w:rsidRPr="00C62D32">
        <w:t>A fatigue record keeping exemption (notice)—</w:t>
      </w:r>
    </w:p>
    <w:p w14:paraId="10E794DA" w14:textId="77777777" w:rsidR="00DB6E47" w:rsidRPr="00297A38" w:rsidRDefault="00DB6E47" w:rsidP="00DB6E47">
      <w:pPr>
        <w:pStyle w:val="Apara"/>
      </w:pPr>
      <w:r w:rsidRPr="00297A38">
        <w:tab/>
        <w:t>(a)</w:t>
      </w:r>
      <w:r w:rsidRPr="00297A38">
        <w:tab/>
        <w:t>is subject to conditions prescribed by the national regulations for the exemption; and</w:t>
      </w:r>
    </w:p>
    <w:p w14:paraId="1F461A35" w14:textId="77777777" w:rsidR="00DB6E47" w:rsidRPr="00297A38" w:rsidRDefault="00DB6E47" w:rsidP="00DB6E47">
      <w:pPr>
        <w:pStyle w:val="Apara"/>
      </w:pPr>
      <w:r w:rsidRPr="00297A38">
        <w:tab/>
        <w:t>(b)</w:t>
      </w:r>
      <w:r w:rsidRPr="00297A38">
        <w:tab/>
        <w:t>may be subject to any other conditions the Regulator considers appropriate, including, for example—</w:t>
      </w:r>
    </w:p>
    <w:p w14:paraId="5F6820C5" w14:textId="77777777" w:rsidR="00DB6E47" w:rsidRPr="00516F02" w:rsidRDefault="00DB6E47" w:rsidP="00DB6E47">
      <w:pPr>
        <w:pStyle w:val="Asubpara"/>
      </w:pPr>
      <w:r w:rsidRPr="00516F02">
        <w:tab/>
        <w:t>(i)</w:t>
      </w:r>
      <w:r w:rsidRPr="00516F02">
        <w:tab/>
        <w:t>conditions about recording information about the work to which the exemption applies; and</w:t>
      </w:r>
    </w:p>
    <w:p w14:paraId="38BE0447" w14:textId="77777777" w:rsidR="00DB6E47" w:rsidRPr="00516F02" w:rsidRDefault="00DB6E47" w:rsidP="00DB6E47">
      <w:pPr>
        <w:pStyle w:val="Asubpara"/>
      </w:pPr>
      <w:r>
        <w:tab/>
      </w:r>
      <w:r w:rsidRPr="00516F02">
        <w:t>(ii)</w:t>
      </w:r>
      <w:r w:rsidRPr="00516F02">
        <w:tab/>
        <w:t>a condition that a record keeper for the driver of a fatigue-regulated heavy vehicle who is operating under the exemption must keep in the record keeper’s possession—</w:t>
      </w:r>
    </w:p>
    <w:p w14:paraId="6CB6E20B" w14:textId="77777777" w:rsidR="00DB6E47" w:rsidRPr="006679EE" w:rsidRDefault="00DB6E47" w:rsidP="00910F1A">
      <w:pPr>
        <w:pStyle w:val="Asubsubpara"/>
      </w:pPr>
      <w:r w:rsidRPr="00F04D8E">
        <w:rPr>
          <w:rFonts w:cs="Times"/>
          <w:bCs/>
          <w:iCs/>
        </w:rPr>
        <w:tab/>
        <w:t>(</w:t>
      </w:r>
      <w:r w:rsidR="00910F1A">
        <w:rPr>
          <w:rFonts w:cs="Times"/>
          <w:bCs/>
          <w:iCs/>
        </w:rPr>
        <w:t>A</w:t>
      </w:r>
      <w:r w:rsidRPr="00F04D8E">
        <w:rPr>
          <w:rFonts w:cs="Times"/>
          <w:bCs/>
          <w:iCs/>
        </w:rPr>
        <w:t>)</w:t>
      </w:r>
      <w:r w:rsidRPr="006679EE">
        <w:tab/>
        <w:t>a copy of the Commonwealth Gazette notice for the exemption; or</w:t>
      </w:r>
    </w:p>
    <w:p w14:paraId="3F0AC06C" w14:textId="77777777" w:rsidR="00DB6E47" w:rsidRPr="006679EE" w:rsidRDefault="00DB6E47" w:rsidP="00910F1A">
      <w:pPr>
        <w:pStyle w:val="Asubsubpara"/>
      </w:pPr>
      <w:r w:rsidRPr="006679EE">
        <w:tab/>
        <w:t>(</w:t>
      </w:r>
      <w:r w:rsidR="00910F1A">
        <w:t>B</w:t>
      </w:r>
      <w:r w:rsidRPr="006679EE">
        <w:t>)</w:t>
      </w:r>
      <w:r w:rsidRPr="006679EE">
        <w:tab/>
        <w:t>a stated document or stated kind of document relating to the exemption.</w:t>
      </w:r>
    </w:p>
    <w:p w14:paraId="1A84D5F7" w14:textId="77777777" w:rsidR="00DB6E47" w:rsidRPr="007E1F9A" w:rsidRDefault="00DB6E47" w:rsidP="00DB6E47">
      <w:pPr>
        <w:pStyle w:val="AH5Sec"/>
      </w:pPr>
      <w:bookmarkStart w:id="436" w:name="_Toc83625780"/>
      <w:r w:rsidRPr="005E03F7">
        <w:rPr>
          <w:rStyle w:val="CharSectNo"/>
        </w:rPr>
        <w:t>380</w:t>
      </w:r>
      <w:r w:rsidRPr="007E1F9A">
        <w:tab/>
        <w:t>Period for which fatigue record keeping exemption (notice) applies</w:t>
      </w:r>
      <w:bookmarkEnd w:id="436"/>
    </w:p>
    <w:p w14:paraId="75111954" w14:textId="77777777" w:rsidR="00DB6E47" w:rsidRPr="00C62D32" w:rsidRDefault="00DB6E47" w:rsidP="00DB6E47">
      <w:pPr>
        <w:pStyle w:val="Amainreturn"/>
      </w:pPr>
      <w:r w:rsidRPr="00C62D32">
        <w:t>A fatigue record keeping exemption (notice)—</w:t>
      </w:r>
    </w:p>
    <w:p w14:paraId="2C0598FD" w14:textId="77777777" w:rsidR="00DB6E47" w:rsidRPr="00297A38" w:rsidRDefault="00DB6E47" w:rsidP="00DB6E47">
      <w:pPr>
        <w:pStyle w:val="Apara"/>
      </w:pPr>
      <w:r w:rsidRPr="00297A38">
        <w:tab/>
        <w:t>(a)</w:t>
      </w:r>
      <w:r w:rsidRPr="00297A38">
        <w:tab/>
        <w:t>takes effect—</w:t>
      </w:r>
    </w:p>
    <w:p w14:paraId="6DCAE3EB" w14:textId="77777777" w:rsidR="00DB6E47" w:rsidRPr="006C3305" w:rsidRDefault="00DB6E47" w:rsidP="00DB6E47">
      <w:pPr>
        <w:pStyle w:val="aDefsubpara"/>
      </w:pPr>
      <w:r>
        <w:tab/>
      </w:r>
      <w:r w:rsidRPr="00F04D8E">
        <w:t>(i)</w:t>
      </w:r>
      <w:r w:rsidRPr="006C3305">
        <w:tab/>
        <w:t>when the Commonwealth Gazette notice for the exemption is published; or</w:t>
      </w:r>
    </w:p>
    <w:p w14:paraId="1B96AF8D" w14:textId="77777777" w:rsidR="00DB6E47" w:rsidRPr="006679EE" w:rsidRDefault="00DB6E47" w:rsidP="006679EE">
      <w:pPr>
        <w:pStyle w:val="Asubpara"/>
      </w:pPr>
      <w:r w:rsidRPr="006679EE">
        <w:tab/>
        <w:t>(ii)</w:t>
      </w:r>
      <w:r w:rsidRPr="006679EE">
        <w:tab/>
        <w:t>if a later time is stated in the Commonwealth Gazette notice, at the later time; and</w:t>
      </w:r>
    </w:p>
    <w:p w14:paraId="7ED96D64" w14:textId="77777777" w:rsidR="00DB6E47" w:rsidRPr="00297A38" w:rsidRDefault="00DB6E47" w:rsidP="00DB6E47">
      <w:pPr>
        <w:pStyle w:val="Apara"/>
      </w:pPr>
      <w:r w:rsidRPr="00297A38">
        <w:lastRenderedPageBreak/>
        <w:tab/>
        <w:t>(b)</w:t>
      </w:r>
      <w:r w:rsidRPr="00297A38">
        <w:tab/>
        <w:t>applies for the period stated in the Commonwealth Gazette notice.</w:t>
      </w:r>
    </w:p>
    <w:p w14:paraId="764685DE" w14:textId="77777777" w:rsidR="00DB6E47" w:rsidRPr="007E1F9A" w:rsidRDefault="00DB6E47" w:rsidP="00DB6E47">
      <w:pPr>
        <w:pStyle w:val="AH5Sec"/>
      </w:pPr>
      <w:bookmarkStart w:id="437" w:name="_Toc83625781"/>
      <w:r w:rsidRPr="005E03F7">
        <w:rPr>
          <w:rStyle w:val="CharSectNo"/>
        </w:rPr>
        <w:t>381</w:t>
      </w:r>
      <w:r w:rsidRPr="007E1F9A">
        <w:tab/>
        <w:t>Requirements about Commonwealth Gazette notice</w:t>
      </w:r>
      <w:bookmarkEnd w:id="437"/>
    </w:p>
    <w:p w14:paraId="0A8A8F43" w14:textId="77777777" w:rsidR="00DB6E47" w:rsidRPr="00C62D32" w:rsidRDefault="00DB6E47" w:rsidP="00DB6E47">
      <w:pPr>
        <w:pStyle w:val="Amain"/>
      </w:pPr>
      <w:r w:rsidRPr="00C62D32">
        <w:tab/>
        <w:t>(1)</w:t>
      </w:r>
      <w:r w:rsidRPr="00C62D32">
        <w:tab/>
        <w:t>A Commonwealth Gazette notice for a fatigue record keeping exemption (notice) must state the following—</w:t>
      </w:r>
    </w:p>
    <w:p w14:paraId="00A6A954" w14:textId="77777777" w:rsidR="00DB6E47" w:rsidRPr="00297A38" w:rsidRDefault="00DB6E47" w:rsidP="00DB6E47">
      <w:pPr>
        <w:pStyle w:val="Apara"/>
      </w:pPr>
      <w:r w:rsidRPr="00297A38">
        <w:tab/>
        <w:t>(a)</w:t>
      </w:r>
      <w:r w:rsidRPr="00297A38">
        <w:tab/>
        <w:t>the class of work to which the exemption applies;</w:t>
      </w:r>
    </w:p>
    <w:p w14:paraId="14BAA088" w14:textId="77777777" w:rsidR="00DB6E47" w:rsidRPr="00297A38" w:rsidRDefault="00DB6E47" w:rsidP="00DB6E47">
      <w:pPr>
        <w:pStyle w:val="Apara"/>
      </w:pPr>
      <w:r w:rsidRPr="00297A38">
        <w:tab/>
        <w:t>(b)</w:t>
      </w:r>
      <w:r w:rsidRPr="00297A38">
        <w:tab/>
        <w:t>that record keepers for drivers of fatigue-regulated heavy vehicles who carry out the class of work are exempt from the requirement to comply with all or stated provisions of Division 3 for the work;</w:t>
      </w:r>
    </w:p>
    <w:p w14:paraId="56AD50E8" w14:textId="77777777" w:rsidR="00DB6E47" w:rsidRPr="00297A38" w:rsidRDefault="00DB6E47" w:rsidP="00DB6E47">
      <w:pPr>
        <w:pStyle w:val="Apara"/>
      </w:pPr>
      <w:r w:rsidRPr="00297A38">
        <w:tab/>
        <w:t>(c)</w:t>
      </w:r>
      <w:r w:rsidRPr="00297A38">
        <w:tab/>
        <w:t>the conditions of the exemption;</w:t>
      </w:r>
    </w:p>
    <w:p w14:paraId="5205AEE8" w14:textId="77777777" w:rsidR="00DB6E47" w:rsidRPr="00297A38" w:rsidRDefault="00DB6E47" w:rsidP="00DB6E47">
      <w:pPr>
        <w:pStyle w:val="Apara"/>
      </w:pPr>
      <w:r w:rsidRPr="00297A38">
        <w:tab/>
        <w:t>(d)</w:t>
      </w:r>
      <w:r w:rsidRPr="00297A38">
        <w:tab/>
        <w:t>the period for which the exemption applies.</w:t>
      </w:r>
    </w:p>
    <w:p w14:paraId="3F13DB8A" w14:textId="77777777" w:rsidR="00DB6E47" w:rsidRPr="00297A38" w:rsidRDefault="00DB6E47" w:rsidP="00DB6E47">
      <w:pPr>
        <w:pStyle w:val="Amain"/>
      </w:pPr>
      <w:r w:rsidRPr="00297A38">
        <w:tab/>
        <w:t>(2)</w:t>
      </w:r>
      <w:r w:rsidRPr="00297A38">
        <w:tab/>
        <w:t>The Regulator must publish a copy of the Commonwealth Gazette notice on the Regulator’s website.</w:t>
      </w:r>
    </w:p>
    <w:p w14:paraId="77DA0E21" w14:textId="77777777" w:rsidR="00DB6E47" w:rsidRPr="007E1F9A" w:rsidRDefault="00DB6E47" w:rsidP="00DB6E47">
      <w:pPr>
        <w:pStyle w:val="AH5Sec"/>
      </w:pPr>
      <w:bookmarkStart w:id="438" w:name="_Toc83625782"/>
      <w:r w:rsidRPr="005E03F7">
        <w:rPr>
          <w:rStyle w:val="CharSectNo"/>
        </w:rPr>
        <w:t>382</w:t>
      </w:r>
      <w:r w:rsidRPr="007E1F9A">
        <w:tab/>
        <w:t>Amendment or cancellation of fatigue record keeping exemption (notice)</w:t>
      </w:r>
      <w:bookmarkEnd w:id="438"/>
    </w:p>
    <w:p w14:paraId="035CEF65" w14:textId="77777777" w:rsidR="00DB6E47" w:rsidRPr="00C62D32" w:rsidRDefault="00DB6E47" w:rsidP="00DB6E47">
      <w:pPr>
        <w:pStyle w:val="Amain"/>
      </w:pPr>
      <w:r w:rsidRPr="00C62D32">
        <w:tab/>
        <w:t>(1)</w:t>
      </w:r>
      <w:r w:rsidRPr="00C62D32">
        <w:tab/>
        <w:t>It is a ground for amending or cancelling a fatigue record keeping exemption (notice) if, 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14:paraId="1F589C48" w14:textId="77777777" w:rsidR="00DB6E47" w:rsidRPr="00C62D32" w:rsidRDefault="00DB6E47" w:rsidP="00DB6E47">
      <w:pPr>
        <w:pStyle w:val="Amain"/>
      </w:pPr>
      <w:r w:rsidRPr="00C62D32">
        <w:tab/>
        <w:t>(2)</w:t>
      </w:r>
      <w:r w:rsidRPr="00C62D32">
        <w:tab/>
        <w:t>If the Regulator considers a ground exists to amend or cancel a fatigue record keeping exemption (notice), the Regulator may amend or cancel the exemptio</w:t>
      </w:r>
      <w:r w:rsidR="006679EE">
        <w:t xml:space="preserve">n by complying with subsections </w:t>
      </w:r>
      <w:r w:rsidRPr="00C62D32">
        <w:t>(3)</w:t>
      </w:r>
      <w:r w:rsidR="006679EE">
        <w:t xml:space="preserve"> </w:t>
      </w:r>
      <w:r w:rsidRPr="00C62D32">
        <w:t>to (5).</w:t>
      </w:r>
    </w:p>
    <w:p w14:paraId="25703E8A" w14:textId="77777777" w:rsidR="00DB6E47" w:rsidRPr="00C62D32" w:rsidRDefault="00DB6E47" w:rsidP="00AE43F2">
      <w:pPr>
        <w:pStyle w:val="Amain"/>
        <w:keepNext/>
      </w:pPr>
      <w:r w:rsidRPr="00C62D32">
        <w:lastRenderedPageBreak/>
        <w:tab/>
        <w:t>(3)</w:t>
      </w:r>
      <w:r w:rsidRPr="00C62D32">
        <w:tab/>
        <w:t xml:space="preserve">The Regulator must publish a </w:t>
      </w:r>
      <w:r w:rsidR="0042375A" w:rsidRPr="003323FC">
        <w:t>public notice</w:t>
      </w:r>
      <w:r w:rsidRPr="00C62D32">
        <w:t>—</w:t>
      </w:r>
    </w:p>
    <w:p w14:paraId="5E1BF971" w14:textId="77777777" w:rsidR="00DB6E47" w:rsidRPr="00297A38" w:rsidRDefault="00DB6E47" w:rsidP="00DB6E47">
      <w:pPr>
        <w:pStyle w:val="Apara"/>
      </w:pPr>
      <w:r w:rsidRPr="00297A38">
        <w:tab/>
        <w:t>(a)</w:t>
      </w:r>
      <w:r w:rsidRPr="00297A38">
        <w:tab/>
        <w:t>stating that the Regulator believes a ground exists to amend or cancel the exemption; and</w:t>
      </w:r>
    </w:p>
    <w:p w14:paraId="723D3E90" w14:textId="77777777" w:rsidR="00DB6E47" w:rsidRPr="00297A38" w:rsidRDefault="00DB6E47" w:rsidP="00DB6E47">
      <w:pPr>
        <w:pStyle w:val="Apara"/>
      </w:pPr>
      <w:r w:rsidRPr="00297A38">
        <w:tab/>
        <w:t>(b)</w:t>
      </w:r>
      <w:r w:rsidRPr="00297A38">
        <w:tab/>
        <w:t>outlining the facts and circumstances forming the basis for the belief; and</w:t>
      </w:r>
    </w:p>
    <w:p w14:paraId="32960456" w14:textId="77777777" w:rsidR="00DB6E47" w:rsidRPr="00297A38" w:rsidRDefault="00DB6E47" w:rsidP="00DB6E47">
      <w:pPr>
        <w:pStyle w:val="Apara"/>
      </w:pPr>
      <w:r w:rsidRPr="00297A38">
        <w:tab/>
        <w:t>(c)</w:t>
      </w:r>
      <w:r w:rsidRPr="00297A38">
        <w:tab/>
        <w:t xml:space="preserve">stating the action the Regulator is proposing to take under this section (the </w:t>
      </w:r>
      <w:r w:rsidRPr="00FF4454">
        <w:rPr>
          <w:rStyle w:val="charBoldItals"/>
        </w:rPr>
        <w:t>proposed action</w:t>
      </w:r>
      <w:r w:rsidRPr="00297A38">
        <w:t>); and</w:t>
      </w:r>
    </w:p>
    <w:p w14:paraId="403131FB" w14:textId="77777777" w:rsidR="00DB6E47" w:rsidRPr="00297A38" w:rsidRDefault="00DB6E47" w:rsidP="00DB6E47">
      <w:pPr>
        <w:pStyle w:val="Apara"/>
      </w:pPr>
      <w:r w:rsidRPr="00297A38">
        <w:tab/>
        <w:t>(d)</w:t>
      </w:r>
      <w:r w:rsidRPr="00297A38">
        <w:tab/>
        <w:t>inviting persons who will be affected by the proposed action to make, within a stated time of at least 14 days after the Commonwealth Gazette notice is published, written representations about why the proposed action should not be taken.</w:t>
      </w:r>
    </w:p>
    <w:p w14:paraId="3A5742C0" w14:textId="77777777" w:rsidR="00DB6E47" w:rsidRPr="00C62D32" w:rsidRDefault="00DB6E47" w:rsidP="00DB6E47">
      <w:pPr>
        <w:pStyle w:val="Amain"/>
      </w:pPr>
      <w:r w:rsidRPr="00C62D32">
        <w:tab/>
        <w:t>(4)</w:t>
      </w:r>
      <w:r w:rsidRPr="00C62D32">
        <w:tab/>
        <w:t>If, after considering all written repres</w:t>
      </w:r>
      <w:r w:rsidR="00CE4A4A">
        <w:t>entations made under subsection </w:t>
      </w:r>
      <w:r w:rsidRPr="00C62D32">
        <w:t>(3)(d), the Regulator still considers the circumstances in which the Regulator may grant the fatigue record keeping exemption (notice) are no longer satisfied, the Regulator may—</w:t>
      </w:r>
    </w:p>
    <w:p w14:paraId="40A88E0D" w14:textId="77777777" w:rsidR="00DB6E47" w:rsidRPr="00297A38" w:rsidRDefault="00DB6E47" w:rsidP="00DB6E47">
      <w:pPr>
        <w:pStyle w:val="Apara"/>
      </w:pPr>
      <w:r w:rsidRPr="00297A38">
        <w:tab/>
        <w:t>(a)</w:t>
      </w:r>
      <w:r w:rsidRPr="00297A38">
        <w:tab/>
        <w:t>if the proposed action was to amend the exemption—amend the exemption in a way that is not substantially different from the proposed action, including, for example, by—</w:t>
      </w:r>
    </w:p>
    <w:p w14:paraId="1D5E5B72" w14:textId="77777777" w:rsidR="00DB6E47" w:rsidRPr="00516F02" w:rsidRDefault="00DB6E47" w:rsidP="00DB6E47">
      <w:pPr>
        <w:pStyle w:val="Asubpara"/>
      </w:pPr>
      <w:r w:rsidRPr="00516F02">
        <w:tab/>
        <w:t>(i)</w:t>
      </w:r>
      <w:r w:rsidRPr="00516F02">
        <w:tab/>
        <w:t>amending the class of work to which the exemption applies; or</w:t>
      </w:r>
    </w:p>
    <w:p w14:paraId="47E6EC45" w14:textId="77777777" w:rsidR="00DB6E47" w:rsidRPr="00516F02" w:rsidRDefault="00DB6E47" w:rsidP="00DB6E47">
      <w:pPr>
        <w:pStyle w:val="Asubpara"/>
      </w:pPr>
      <w:r w:rsidRPr="00516F02">
        <w:tab/>
        <w:t>(ii)</w:t>
      </w:r>
      <w:r w:rsidRPr="00516F02">
        <w:tab/>
        <w:t>amending the conditions of the exemption; or</w:t>
      </w:r>
    </w:p>
    <w:p w14:paraId="0102F454" w14:textId="77777777" w:rsidR="00DB6E47" w:rsidRPr="00297A38" w:rsidRDefault="00DB6E47" w:rsidP="00DB6E47">
      <w:pPr>
        <w:pStyle w:val="Apara"/>
      </w:pPr>
      <w:r w:rsidRPr="00297A38">
        <w:tab/>
        <w:t>(b)</w:t>
      </w:r>
      <w:r w:rsidRPr="00297A38">
        <w:tab/>
        <w:t>if the proposed action was to cancel the exemption—</w:t>
      </w:r>
    </w:p>
    <w:p w14:paraId="6963E526" w14:textId="77777777" w:rsidR="00DB6E47" w:rsidRPr="00516F02" w:rsidRDefault="00DB6E47" w:rsidP="00DB6E47">
      <w:pPr>
        <w:pStyle w:val="Asubpara"/>
      </w:pPr>
      <w:r w:rsidRPr="00516F02">
        <w:tab/>
        <w:t>(i)</w:t>
      </w:r>
      <w:r w:rsidRPr="00516F02">
        <w:tab/>
        <w:t>amend the exemption, including, for example, by amending the exemption i</w:t>
      </w:r>
      <w:r w:rsidR="006679EE">
        <w:t>n a way mentioned in paragraph (a)</w:t>
      </w:r>
      <w:r w:rsidRPr="00516F02">
        <w:t>(i)</w:t>
      </w:r>
      <w:r w:rsidR="006679EE">
        <w:t xml:space="preserve"> </w:t>
      </w:r>
      <w:r w:rsidRPr="00516F02">
        <w:t>or (ii); or</w:t>
      </w:r>
    </w:p>
    <w:p w14:paraId="385ACA35" w14:textId="77777777" w:rsidR="00DB6E47" w:rsidRPr="00516F02" w:rsidRDefault="00DB6E47" w:rsidP="00DB6E47">
      <w:pPr>
        <w:pStyle w:val="Asubpara"/>
      </w:pPr>
      <w:r w:rsidRPr="00516F02">
        <w:tab/>
        <w:t>(ii)</w:t>
      </w:r>
      <w:r w:rsidRPr="00516F02">
        <w:tab/>
        <w:t>cancel the exemption.</w:t>
      </w:r>
    </w:p>
    <w:p w14:paraId="0E0C2BAC" w14:textId="77777777" w:rsidR="007929E9" w:rsidRPr="003323FC" w:rsidRDefault="007929E9" w:rsidP="00DB6E47">
      <w:pPr>
        <w:pStyle w:val="Amain"/>
      </w:pPr>
      <w:r w:rsidRPr="003323FC">
        <w:tab/>
        <w:t>(5)</w:t>
      </w:r>
      <w:r w:rsidRPr="003323FC">
        <w:tab/>
        <w:t>The Regulator must publish a public notice of the amendment or cancellation.</w:t>
      </w:r>
    </w:p>
    <w:p w14:paraId="03F425DA" w14:textId="77777777" w:rsidR="00DB6E47" w:rsidRPr="00C62D32" w:rsidRDefault="00DB6E47" w:rsidP="00DB6E47">
      <w:pPr>
        <w:pStyle w:val="Amain"/>
      </w:pPr>
      <w:r w:rsidRPr="00C62D32">
        <w:lastRenderedPageBreak/>
        <w:tab/>
        <w:t>(6)</w:t>
      </w:r>
      <w:r w:rsidRPr="00C62D32">
        <w:tab/>
        <w:t>The amendment or cancellation takes effect—</w:t>
      </w:r>
    </w:p>
    <w:p w14:paraId="485CD0CB" w14:textId="77777777" w:rsidR="00DB6E47" w:rsidRPr="00297A38" w:rsidRDefault="00DB6E47" w:rsidP="00DB6E47">
      <w:pPr>
        <w:pStyle w:val="Apara"/>
      </w:pPr>
      <w:r w:rsidRPr="00297A38">
        <w:tab/>
        <w:t>(a)</w:t>
      </w:r>
      <w:r w:rsidRPr="00297A38">
        <w:tab/>
        <w:t>28 days after the Commonwealth Gazette notice is published under subsection (5); or</w:t>
      </w:r>
    </w:p>
    <w:p w14:paraId="2BC2E938" w14:textId="77777777" w:rsidR="00DB6E47" w:rsidRPr="00297A38" w:rsidRDefault="00DB6E47" w:rsidP="00DB6E47">
      <w:pPr>
        <w:pStyle w:val="Apara"/>
      </w:pPr>
      <w:r w:rsidRPr="00297A38">
        <w:tab/>
        <w:t>(b)</w:t>
      </w:r>
      <w:r w:rsidRPr="00297A38">
        <w:tab/>
        <w:t>if a later time is stated in the Commonwealth Gazette notice, at the later time.</w:t>
      </w:r>
    </w:p>
    <w:p w14:paraId="6F79CB47" w14:textId="77777777" w:rsidR="00DB6E47" w:rsidRPr="00A95F9A" w:rsidRDefault="00DB6E47" w:rsidP="00DB6E47">
      <w:pPr>
        <w:pStyle w:val="AH4SubDiv"/>
      </w:pPr>
      <w:bookmarkStart w:id="439" w:name="_Toc83625783"/>
      <w:r w:rsidRPr="00A95F9A">
        <w:t xml:space="preserve">Subdivision 2 </w:t>
      </w:r>
      <w:r w:rsidRPr="00A95F9A">
        <w:tab/>
        <w:t>Exemptions by permit</w:t>
      </w:r>
      <w:bookmarkEnd w:id="439"/>
    </w:p>
    <w:p w14:paraId="2E785D01" w14:textId="77777777" w:rsidR="00DB6E47" w:rsidRPr="007E1F9A" w:rsidRDefault="00DB6E47" w:rsidP="00DB6E47">
      <w:pPr>
        <w:pStyle w:val="AH5Sec"/>
      </w:pPr>
      <w:bookmarkStart w:id="440" w:name="_Toc83625784"/>
      <w:r w:rsidRPr="005E03F7">
        <w:rPr>
          <w:rStyle w:val="CharSectNo"/>
        </w:rPr>
        <w:t>383</w:t>
      </w:r>
      <w:r w:rsidRPr="007E1F9A">
        <w:tab/>
        <w:t>Regulator’s power to exempt record keepers from fatigue record keeping requirements</w:t>
      </w:r>
      <w:bookmarkEnd w:id="440"/>
    </w:p>
    <w:p w14:paraId="5A94ACBA" w14:textId="77777777" w:rsidR="00DB6E47" w:rsidRPr="00C62D32" w:rsidRDefault="00DB6E47" w:rsidP="00AE43F2">
      <w:pPr>
        <w:pStyle w:val="Amain"/>
        <w:keepLines/>
      </w:pPr>
      <w:r w:rsidRPr="00C62D32">
        <w:tab/>
        <w:t>(1)</w:t>
      </w:r>
      <w:r w:rsidRPr="00C62D32">
        <w:tab/>
        <w:t>The Regulator may, by giving a person a permit as mentioned in section 387, exempt, for a period of not more than 3 years, a record keeper for one or more drivers of a fatigue-regulated heavy vehicle from the requirement to comply with all or stated provisions of Division 3.</w:t>
      </w:r>
    </w:p>
    <w:p w14:paraId="14B352B6" w14:textId="77777777" w:rsidR="00DB6E47" w:rsidRPr="00C62D32" w:rsidRDefault="00DB6E47" w:rsidP="00DB6E47">
      <w:pPr>
        <w:pStyle w:val="Amain"/>
      </w:pPr>
      <w:r w:rsidRPr="00C62D32">
        <w:tab/>
        <w:t>(2)</w:t>
      </w:r>
      <w:r w:rsidRPr="00C62D32">
        <w:tab/>
        <w:t>A</w:t>
      </w:r>
      <w:r w:rsidR="006679EE">
        <w:t xml:space="preserve">n exemption under subsection </w:t>
      </w:r>
      <w:r w:rsidRPr="00C62D32">
        <w:t>(1)</w:t>
      </w:r>
      <w:r w:rsidR="006679EE">
        <w:t xml:space="preserve"> </w:t>
      </w:r>
      <w:r w:rsidRPr="00C62D32">
        <w:t xml:space="preserve">is a </w:t>
      </w:r>
      <w:r w:rsidRPr="00FF4454">
        <w:rPr>
          <w:rStyle w:val="charBoldItals"/>
        </w:rPr>
        <w:t>fatigue record keeping exemption (permit)</w:t>
      </w:r>
      <w:r w:rsidRPr="00C62D32">
        <w:t>.</w:t>
      </w:r>
    </w:p>
    <w:p w14:paraId="3E78BC40" w14:textId="77777777" w:rsidR="00DB6E47" w:rsidRPr="00C62D32" w:rsidRDefault="00DB6E47" w:rsidP="00DB6E47">
      <w:pPr>
        <w:pStyle w:val="Amain"/>
      </w:pPr>
      <w:r w:rsidRPr="00C62D32">
        <w:tab/>
        <w:t>(3)</w:t>
      </w:r>
      <w:r w:rsidRPr="00C62D32">
        <w:tab/>
        <w:t>The Regulator may grant a fatigue record keeping exemption (permit) to the operator of a fatigue-regulated heavy vehicle in combination with the operator’s BFM accreditation or AFM accreditation.</w:t>
      </w:r>
    </w:p>
    <w:p w14:paraId="38DABC91" w14:textId="77777777" w:rsidR="00DB6E47" w:rsidRPr="00C62D32" w:rsidRDefault="00DB6E47" w:rsidP="00DB6E47">
      <w:pPr>
        <w:pStyle w:val="Amain"/>
      </w:pPr>
      <w:r w:rsidRPr="00C62D32">
        <w:tab/>
        <w:t>(4)</w:t>
      </w:r>
      <w:r w:rsidRPr="00C62D32">
        <w:tab/>
        <w:t>The Regulator may grant a fatigue record keeping exemption (permit)—</w:t>
      </w:r>
    </w:p>
    <w:p w14:paraId="3A80CDEF" w14:textId="77777777" w:rsidR="00DB6E47" w:rsidRPr="00297A38" w:rsidRDefault="00DB6E47" w:rsidP="00DB6E47">
      <w:pPr>
        <w:pStyle w:val="Apara"/>
      </w:pPr>
      <w:r w:rsidRPr="00297A38">
        <w:tab/>
        <w:t>(a)</w:t>
      </w:r>
      <w:r w:rsidRPr="00297A38">
        <w:tab/>
        <w:t>in a way that does not cover all the drivers sought by the applicant; or</w:t>
      </w:r>
    </w:p>
    <w:p w14:paraId="7A6919B2" w14:textId="77777777" w:rsidR="00DB6E47" w:rsidRPr="00297A38" w:rsidRDefault="00DB6E47" w:rsidP="00DB6E47">
      <w:pPr>
        <w:pStyle w:val="Apara"/>
      </w:pPr>
      <w:r w:rsidRPr="00297A38">
        <w:tab/>
        <w:t>(b)</w:t>
      </w:r>
      <w:r w:rsidRPr="00297A38">
        <w:tab/>
        <w:t>setting conditions different from those sought by the applicant.</w:t>
      </w:r>
    </w:p>
    <w:p w14:paraId="2D0BB3A2" w14:textId="77777777" w:rsidR="00DB6E47" w:rsidRPr="007E1F9A" w:rsidRDefault="00DB6E47" w:rsidP="00DB6E47">
      <w:pPr>
        <w:pStyle w:val="AH5Sec"/>
      </w:pPr>
      <w:bookmarkStart w:id="441" w:name="_Toc83625785"/>
      <w:r w:rsidRPr="005E03F7">
        <w:rPr>
          <w:rStyle w:val="CharSectNo"/>
        </w:rPr>
        <w:lastRenderedPageBreak/>
        <w:t>384</w:t>
      </w:r>
      <w:r w:rsidRPr="007E1F9A">
        <w:tab/>
        <w:t>Application for fatigue record keeping exemption (permit)</w:t>
      </w:r>
      <w:bookmarkEnd w:id="441"/>
    </w:p>
    <w:p w14:paraId="34F70BF8" w14:textId="77777777" w:rsidR="00DB6E47" w:rsidRPr="00C62D32" w:rsidRDefault="00DB6E47" w:rsidP="00760B0D">
      <w:pPr>
        <w:pStyle w:val="Amain"/>
        <w:keepNext/>
      </w:pPr>
      <w:r w:rsidRPr="00C62D32">
        <w:tab/>
        <w:t>(1)</w:t>
      </w:r>
      <w:r w:rsidRPr="00C62D32">
        <w:tab/>
        <w:t>The record keeper for a driver of a fatigue-regulated heavy vehicle may apply to the Regulator for a fatigue record keeping exemption (permit).</w:t>
      </w:r>
    </w:p>
    <w:p w14:paraId="0492F2D4" w14:textId="77777777" w:rsidR="00DB6E47" w:rsidRPr="00C62D32" w:rsidRDefault="00DB6E47" w:rsidP="00DB6E47">
      <w:pPr>
        <w:pStyle w:val="Amain"/>
      </w:pPr>
      <w:r w:rsidRPr="00C62D32">
        <w:tab/>
        <w:t>(2)</w:t>
      </w:r>
      <w:r w:rsidRPr="00C62D32">
        <w:tab/>
        <w:t>The application must—</w:t>
      </w:r>
    </w:p>
    <w:p w14:paraId="147A584E" w14:textId="77777777" w:rsidR="00DB6E47" w:rsidRPr="00297A38" w:rsidRDefault="00DB6E47" w:rsidP="00DB6E47">
      <w:pPr>
        <w:pStyle w:val="Apara"/>
      </w:pPr>
      <w:r w:rsidRPr="00297A38">
        <w:tab/>
        <w:t>(a)</w:t>
      </w:r>
      <w:r w:rsidRPr="00297A38">
        <w:tab/>
        <w:t>be in the approved form; and</w:t>
      </w:r>
    </w:p>
    <w:p w14:paraId="349A5F09" w14:textId="77777777" w:rsidR="00DB6E47" w:rsidRPr="00297A38" w:rsidRDefault="00DB6E47" w:rsidP="00DB6E47">
      <w:pPr>
        <w:pStyle w:val="Apara"/>
      </w:pPr>
      <w:r w:rsidRPr="00297A38">
        <w:tab/>
        <w:t>(b)</w:t>
      </w:r>
      <w:r w:rsidRPr="00297A38">
        <w:tab/>
        <w:t>state the following—</w:t>
      </w:r>
    </w:p>
    <w:p w14:paraId="213CA6AD" w14:textId="77777777" w:rsidR="00DB6E47" w:rsidRPr="00516F02" w:rsidRDefault="00DB6E47" w:rsidP="00DB6E47">
      <w:pPr>
        <w:pStyle w:val="Asubpara"/>
      </w:pPr>
      <w:r w:rsidRPr="00516F02">
        <w:tab/>
        <w:t>(i)</w:t>
      </w:r>
      <w:r w:rsidRPr="00516F02">
        <w:tab/>
        <w:t>the period for which the exemption is sought;</w:t>
      </w:r>
    </w:p>
    <w:p w14:paraId="2ED2FC7C" w14:textId="77777777" w:rsidR="00DB6E47" w:rsidRPr="00516F02" w:rsidRDefault="00DB6E47" w:rsidP="00DB6E47">
      <w:pPr>
        <w:pStyle w:val="Asubpara"/>
      </w:pPr>
      <w:r w:rsidRPr="00516F02">
        <w:tab/>
        <w:t>(ii)</w:t>
      </w:r>
      <w:r w:rsidRPr="00516F02">
        <w:tab/>
        <w:t>any conditions for the exemption sought by the applicant;</w:t>
      </w:r>
    </w:p>
    <w:p w14:paraId="6F2CFF61" w14:textId="77777777" w:rsidR="00DB6E47" w:rsidRPr="00516F02" w:rsidRDefault="00DB6E47" w:rsidP="00DB6E47">
      <w:pPr>
        <w:pStyle w:val="Asubpara"/>
      </w:pPr>
      <w:r>
        <w:tab/>
      </w:r>
      <w:r w:rsidRPr="00516F02">
        <w:t>(iii)</w:t>
      </w:r>
      <w:r w:rsidRPr="00516F02">
        <w:tab/>
        <w:t>the name and details of each driver of a fatigue-regulated heavy vehicle to whom the exemption sought is to apply;</w:t>
      </w:r>
    </w:p>
    <w:p w14:paraId="2C4E2061" w14:textId="77777777" w:rsidR="00DB6E47" w:rsidRPr="00516F02" w:rsidRDefault="00DB6E47" w:rsidP="00DB6E47">
      <w:pPr>
        <w:pStyle w:val="Asubpara"/>
      </w:pPr>
      <w:r>
        <w:tab/>
      </w:r>
      <w:r w:rsidRPr="00516F02">
        <w:t>(iv)</w:t>
      </w:r>
      <w:r w:rsidRPr="00516F02">
        <w:tab/>
        <w:t>any other details prescribed by the national regulations; and</w:t>
      </w:r>
    </w:p>
    <w:p w14:paraId="4C3CF1B2" w14:textId="77777777" w:rsidR="00DB6E47" w:rsidRPr="00297A38" w:rsidRDefault="00DB6E47" w:rsidP="00DB6E47">
      <w:pPr>
        <w:pStyle w:val="Apara"/>
      </w:pPr>
      <w:r w:rsidRPr="00297A38">
        <w:tab/>
        <w:t>(c)</w:t>
      </w:r>
      <w:r w:rsidRPr="00297A38">
        <w:tab/>
        <w:t>be accompanied by the prescribed fee for the application.</w:t>
      </w:r>
    </w:p>
    <w:p w14:paraId="591105F1" w14:textId="77777777" w:rsidR="00DB6E47" w:rsidRPr="00C62D32" w:rsidRDefault="00DB6E47" w:rsidP="00DB6E47">
      <w:pPr>
        <w:pStyle w:val="Amain"/>
      </w:pPr>
      <w:r w:rsidRPr="00C62D32">
        <w:tab/>
        <w:t>(3)</w:t>
      </w:r>
      <w:r w:rsidRPr="00C62D32">
        <w:tab/>
        <w:t>The Regulator may, by notice given to the applicant, require the applicant to give the Regulator any additional information the Regulator reasonably requires to decide the application.</w:t>
      </w:r>
    </w:p>
    <w:p w14:paraId="7D1DC4F1" w14:textId="77777777" w:rsidR="00DB6E47" w:rsidRPr="00C62D32" w:rsidRDefault="00DB6E47" w:rsidP="00DB6E47">
      <w:pPr>
        <w:pStyle w:val="Amain"/>
      </w:pPr>
      <w:r w:rsidRPr="00C62D32">
        <w:tab/>
        <w:t>(4)</w:t>
      </w:r>
      <w:r w:rsidRPr="00C62D32">
        <w:tab/>
        <w:t>In deciding whether or not to grant a fatigue record keeping exemption (permit), the Regulator must comply with any requirements prescribed by the national regulations for the purposes of this subsection and have regard to the approved guidelines for granting fatigue record keeping exemptions.</w:t>
      </w:r>
    </w:p>
    <w:p w14:paraId="7A193BF2" w14:textId="77777777" w:rsidR="00DB6E47" w:rsidRPr="007E1F9A" w:rsidRDefault="00DB6E47" w:rsidP="00DB6E47">
      <w:pPr>
        <w:pStyle w:val="AH5Sec"/>
      </w:pPr>
      <w:bookmarkStart w:id="442" w:name="_Toc83625786"/>
      <w:r w:rsidRPr="005E03F7">
        <w:rPr>
          <w:rStyle w:val="CharSectNo"/>
        </w:rPr>
        <w:t>385</w:t>
      </w:r>
      <w:r w:rsidRPr="007E1F9A">
        <w:tab/>
        <w:t>Conditions of fatigue record keeping exemption (permit)</w:t>
      </w:r>
      <w:bookmarkEnd w:id="442"/>
    </w:p>
    <w:p w14:paraId="351DB06C" w14:textId="77777777" w:rsidR="00DB6E47" w:rsidRPr="00C62D32" w:rsidRDefault="00DB6E47" w:rsidP="00DB6E47">
      <w:pPr>
        <w:pStyle w:val="Amainreturn"/>
      </w:pPr>
      <w:r w:rsidRPr="00C62D32">
        <w:t>A fatigue record keeping exemption (permit)—</w:t>
      </w:r>
    </w:p>
    <w:p w14:paraId="4F05DC4D" w14:textId="77777777" w:rsidR="00DB6E47" w:rsidRPr="00297A38" w:rsidRDefault="00DB6E47" w:rsidP="00DB6E47">
      <w:pPr>
        <w:pStyle w:val="Apara"/>
      </w:pPr>
      <w:r w:rsidRPr="00297A38">
        <w:tab/>
        <w:t>(a)</w:t>
      </w:r>
      <w:r w:rsidRPr="00297A38">
        <w:tab/>
        <w:t>is subject to conditions prescribed by the national regulations for the exemption; and</w:t>
      </w:r>
    </w:p>
    <w:p w14:paraId="2EE1513D" w14:textId="77777777" w:rsidR="00DB6E47" w:rsidRPr="00297A38" w:rsidRDefault="00DB6E47" w:rsidP="00DB6E47">
      <w:pPr>
        <w:pStyle w:val="Apara"/>
      </w:pPr>
      <w:r w:rsidRPr="00297A38">
        <w:lastRenderedPageBreak/>
        <w:tab/>
        <w:t>(b)</w:t>
      </w:r>
      <w:r w:rsidRPr="00297A38">
        <w:tab/>
        <w:t>may be subject to any other conditions the Regulator considers appropriate, including, for example—</w:t>
      </w:r>
    </w:p>
    <w:p w14:paraId="14F64DC8" w14:textId="77777777" w:rsidR="00DB6E47" w:rsidRPr="00516F02" w:rsidRDefault="00DB6E47" w:rsidP="00DB6E47">
      <w:pPr>
        <w:pStyle w:val="Asubpara"/>
      </w:pPr>
      <w:r w:rsidRPr="00516F02">
        <w:tab/>
        <w:t>(i)</w:t>
      </w:r>
      <w:r w:rsidRPr="00516F02">
        <w:tab/>
        <w:t>a condition about the information to be included in records about the work carried out by drivers of fatigue-regulated heavy vehicles to whom the exemption applies; and</w:t>
      </w:r>
    </w:p>
    <w:p w14:paraId="4812A31C" w14:textId="77777777" w:rsidR="00DB6E47" w:rsidRPr="00516F02" w:rsidRDefault="00DB6E47" w:rsidP="00DB6E47">
      <w:pPr>
        <w:pStyle w:val="Asubpara"/>
      </w:pPr>
      <w:r w:rsidRPr="00516F02">
        <w:tab/>
        <w:t>(ii)</w:t>
      </w:r>
      <w:r w:rsidRPr="00516F02">
        <w:tab/>
        <w:t>a condition about how the records are to be made; and</w:t>
      </w:r>
    </w:p>
    <w:p w14:paraId="0E083E85" w14:textId="77777777" w:rsidR="00DB6E47" w:rsidRPr="00516F02" w:rsidRDefault="00DB6E47" w:rsidP="00AE43F2">
      <w:pPr>
        <w:pStyle w:val="Asubpara"/>
        <w:keepNext/>
      </w:pPr>
      <w:r>
        <w:tab/>
      </w:r>
      <w:r w:rsidRPr="00516F02">
        <w:t>(iii)</w:t>
      </w:r>
      <w:r w:rsidRPr="00516F02">
        <w:tab/>
        <w:t>a condition that a record keeper for the driver of a fatigue-regulated heavy vehicle who is operating under the exemption must keep in the record keeper’s possession—</w:t>
      </w:r>
    </w:p>
    <w:p w14:paraId="6D532385" w14:textId="77777777" w:rsidR="00DB6E47" w:rsidRPr="006679EE" w:rsidRDefault="00DB6E47" w:rsidP="00910F1A">
      <w:pPr>
        <w:pStyle w:val="Asubsubpara"/>
      </w:pPr>
      <w:r w:rsidRPr="00F04D8E">
        <w:rPr>
          <w:rFonts w:cs="Times"/>
          <w:bCs/>
          <w:iCs/>
        </w:rPr>
        <w:tab/>
        <w:t>(</w:t>
      </w:r>
      <w:r w:rsidR="00910F1A">
        <w:rPr>
          <w:rFonts w:cs="Times"/>
          <w:bCs/>
          <w:iCs/>
        </w:rPr>
        <w:t>A</w:t>
      </w:r>
      <w:r w:rsidRPr="00F04D8E">
        <w:rPr>
          <w:rFonts w:cs="Times"/>
          <w:bCs/>
          <w:iCs/>
        </w:rPr>
        <w:t>)</w:t>
      </w:r>
      <w:r w:rsidRPr="00FF4454">
        <w:rPr>
          <w:rStyle w:val="charBoldItals"/>
        </w:rPr>
        <w:tab/>
      </w:r>
      <w:r w:rsidRPr="006679EE">
        <w:t>the permit for the exemption; or</w:t>
      </w:r>
    </w:p>
    <w:p w14:paraId="29868FCB" w14:textId="77777777" w:rsidR="00DB6E47" w:rsidRPr="006679EE" w:rsidRDefault="00DB6E47" w:rsidP="00910F1A">
      <w:pPr>
        <w:pStyle w:val="Asubsubpara"/>
      </w:pPr>
      <w:r w:rsidRPr="006679EE">
        <w:tab/>
        <w:t>(</w:t>
      </w:r>
      <w:r w:rsidR="00910F1A">
        <w:t>B</w:t>
      </w:r>
      <w:r w:rsidRPr="006679EE">
        <w:t>)</w:t>
      </w:r>
      <w:r w:rsidRPr="006679EE">
        <w:tab/>
        <w:t>a stated document or stated kind of document relating to the exemption.</w:t>
      </w:r>
    </w:p>
    <w:p w14:paraId="2A471692" w14:textId="77777777" w:rsidR="00DB6E47" w:rsidRPr="007E1F9A" w:rsidRDefault="00DB6E47" w:rsidP="00DB6E47">
      <w:pPr>
        <w:pStyle w:val="AH5Sec"/>
      </w:pPr>
      <w:bookmarkStart w:id="443" w:name="_Toc83625787"/>
      <w:r w:rsidRPr="005E03F7">
        <w:rPr>
          <w:rStyle w:val="CharSectNo"/>
        </w:rPr>
        <w:t>386</w:t>
      </w:r>
      <w:r w:rsidRPr="007E1F9A">
        <w:tab/>
        <w:t>Period for which fatigue record keeping exemption (permit) applies</w:t>
      </w:r>
      <w:bookmarkEnd w:id="443"/>
    </w:p>
    <w:p w14:paraId="04399EE2" w14:textId="77777777" w:rsidR="00DB6E47" w:rsidRPr="00C62D32" w:rsidRDefault="00DB6E47" w:rsidP="00DB6E47">
      <w:pPr>
        <w:pStyle w:val="Amain"/>
      </w:pPr>
      <w:r w:rsidRPr="00C62D32">
        <w:tab/>
        <w:t>(1)</w:t>
      </w:r>
      <w:r w:rsidRPr="00C62D32">
        <w:tab/>
        <w:t>A fatigue record keeping exemption (permit) applies for the period stated in the permit for the exemption.</w:t>
      </w:r>
    </w:p>
    <w:p w14:paraId="3190EE4A" w14:textId="77777777" w:rsidR="00DB6E47" w:rsidRPr="00C62D32" w:rsidRDefault="00DB6E47" w:rsidP="00DB6E47">
      <w:pPr>
        <w:pStyle w:val="Amain"/>
      </w:pPr>
      <w:r w:rsidRPr="00C62D32">
        <w:tab/>
        <w:t>(2)</w:t>
      </w:r>
      <w:r w:rsidRPr="00C62D32">
        <w:tab/>
        <w:t>The period may be less than the period sought by the applicant for the fatigue record keeping exemption (permit).</w:t>
      </w:r>
    </w:p>
    <w:p w14:paraId="20124A7A" w14:textId="77777777" w:rsidR="00DB6E47" w:rsidRPr="007E1F9A" w:rsidRDefault="00DB6E47" w:rsidP="00DB6E47">
      <w:pPr>
        <w:pStyle w:val="AH5Sec"/>
      </w:pPr>
      <w:bookmarkStart w:id="444" w:name="_Toc83625788"/>
      <w:r w:rsidRPr="005E03F7">
        <w:rPr>
          <w:rStyle w:val="CharSectNo"/>
        </w:rPr>
        <w:t>387</w:t>
      </w:r>
      <w:r w:rsidRPr="007E1F9A">
        <w:tab/>
        <w:t>Permit for fatigue record keeping exemption (permit) etc.</w:t>
      </w:r>
      <w:bookmarkEnd w:id="444"/>
    </w:p>
    <w:p w14:paraId="78BFE9A2" w14:textId="77777777" w:rsidR="00DB6E47" w:rsidRPr="00C62D32" w:rsidRDefault="00DB6E47" w:rsidP="00DB6E47">
      <w:pPr>
        <w:pStyle w:val="Amain"/>
      </w:pPr>
      <w:r w:rsidRPr="00C62D32">
        <w:tab/>
        <w:t>(1)</w:t>
      </w:r>
      <w:r w:rsidRPr="00C62D32">
        <w:tab/>
        <w:t>If the Regulator grants a fatigue record keeping exemption (permit) to a person, the Regulator must give the person—</w:t>
      </w:r>
    </w:p>
    <w:p w14:paraId="7572D858" w14:textId="77777777" w:rsidR="00DB6E47" w:rsidRPr="0070667A" w:rsidRDefault="00DB6E47" w:rsidP="00DB6E47">
      <w:pPr>
        <w:pStyle w:val="Apara"/>
      </w:pPr>
      <w:r w:rsidRPr="0070667A">
        <w:tab/>
        <w:t>(a)</w:t>
      </w:r>
      <w:r w:rsidRPr="0070667A">
        <w:tab/>
        <w:t>a permit for the exemption; and</w:t>
      </w:r>
    </w:p>
    <w:p w14:paraId="51E2A8C5" w14:textId="77777777" w:rsidR="00DB6E47" w:rsidRPr="0070667A" w:rsidRDefault="00DB6E47" w:rsidP="00DB6E47">
      <w:pPr>
        <w:pStyle w:val="Apara"/>
      </w:pPr>
      <w:r w:rsidRPr="0070667A">
        <w:tab/>
        <w:t>(b)</w:t>
      </w:r>
      <w:r w:rsidRPr="0070667A">
        <w:tab/>
        <w:t>if the Regulator has imposed conditions on the exemption under section 385 or has granted the exemption for a period less than the period of not more than 3 years sought by the person—an information notice for the decision to impose the conditions or grant the exemption for the shorter period.</w:t>
      </w:r>
    </w:p>
    <w:p w14:paraId="7F7170B1" w14:textId="77777777" w:rsidR="00DB6E47" w:rsidRPr="00C62D32" w:rsidRDefault="00DB6E47" w:rsidP="00DB6E47">
      <w:pPr>
        <w:pStyle w:val="Amain"/>
      </w:pPr>
      <w:r w:rsidRPr="00C62D32">
        <w:lastRenderedPageBreak/>
        <w:tab/>
        <w:t>(2)</w:t>
      </w:r>
      <w:r w:rsidRPr="00C62D32">
        <w:tab/>
        <w:t>A permit for a fatigue record keeping exemption (permit) must state the following—</w:t>
      </w:r>
    </w:p>
    <w:p w14:paraId="3DFD426B" w14:textId="77777777" w:rsidR="00DB6E47" w:rsidRPr="0070667A" w:rsidRDefault="00DB6E47" w:rsidP="00DB6E47">
      <w:pPr>
        <w:pStyle w:val="Apara"/>
      </w:pPr>
      <w:r w:rsidRPr="0070667A">
        <w:tab/>
        <w:t>(a)</w:t>
      </w:r>
      <w:r w:rsidRPr="0070667A">
        <w:tab/>
        <w:t>the name of the drivers of fatigue-regulated heavy vehicles to whom the permit applies;</w:t>
      </w:r>
    </w:p>
    <w:p w14:paraId="37E9D01F" w14:textId="77777777" w:rsidR="00DB6E47" w:rsidRPr="0070667A" w:rsidRDefault="00DB6E47" w:rsidP="00DB6E47">
      <w:pPr>
        <w:pStyle w:val="Apara"/>
      </w:pPr>
      <w:r w:rsidRPr="0070667A">
        <w:tab/>
        <w:t>(b)</w:t>
      </w:r>
      <w:r w:rsidRPr="0070667A">
        <w:tab/>
        <w:t>the conditions of the exemption;</w:t>
      </w:r>
    </w:p>
    <w:p w14:paraId="1FE21985" w14:textId="77777777" w:rsidR="00DB6E47" w:rsidRPr="0070667A" w:rsidRDefault="00DB6E47" w:rsidP="00DB6E47">
      <w:pPr>
        <w:pStyle w:val="Apara"/>
      </w:pPr>
      <w:r w:rsidRPr="0070667A">
        <w:tab/>
        <w:t>(c)</w:t>
      </w:r>
      <w:r w:rsidRPr="0070667A">
        <w:tab/>
        <w:t>the period for which the exemption applies.</w:t>
      </w:r>
    </w:p>
    <w:p w14:paraId="3FF9B824" w14:textId="77777777" w:rsidR="00DB6E47" w:rsidRPr="007E1F9A" w:rsidRDefault="00DB6E47" w:rsidP="00DB6E47">
      <w:pPr>
        <w:pStyle w:val="AH5Sec"/>
      </w:pPr>
      <w:bookmarkStart w:id="445" w:name="_Toc83625789"/>
      <w:r w:rsidRPr="005E03F7">
        <w:rPr>
          <w:rStyle w:val="CharSectNo"/>
        </w:rPr>
        <w:t>388</w:t>
      </w:r>
      <w:r w:rsidRPr="007E1F9A">
        <w:tab/>
        <w:t>Refusal of application for fatigue record keeping exemption (permit)</w:t>
      </w:r>
      <w:bookmarkEnd w:id="445"/>
    </w:p>
    <w:p w14:paraId="6A1A1916" w14:textId="77777777" w:rsidR="00DB6E47" w:rsidRPr="00C62D32" w:rsidRDefault="00DB6E47" w:rsidP="00DB6E47">
      <w:pPr>
        <w:pStyle w:val="Amainreturn"/>
      </w:pPr>
      <w:r w:rsidRPr="00C62D32">
        <w:t>If the Regulator refuses an application for a fatigue record keeping exemption (permit), the Regulator must give the applicant an information notice for the decision to refuse the application.</w:t>
      </w:r>
    </w:p>
    <w:p w14:paraId="0641634C" w14:textId="77777777" w:rsidR="00DB6E47" w:rsidRPr="007E1F9A" w:rsidRDefault="00DB6E47" w:rsidP="00DB6E47">
      <w:pPr>
        <w:pStyle w:val="AH5Sec"/>
      </w:pPr>
      <w:bookmarkStart w:id="446" w:name="_Toc83625790"/>
      <w:r w:rsidRPr="005E03F7">
        <w:rPr>
          <w:rStyle w:val="CharSectNo"/>
        </w:rPr>
        <w:t>389</w:t>
      </w:r>
      <w:r w:rsidRPr="007E1F9A">
        <w:tab/>
        <w:t>Amendment or cancellation of fatigue record keeping exemption (permit) on application by permit holder</w:t>
      </w:r>
      <w:bookmarkEnd w:id="446"/>
    </w:p>
    <w:p w14:paraId="158B0938" w14:textId="77777777" w:rsidR="00DB6E47" w:rsidRPr="00C62D32" w:rsidRDefault="00DB6E47" w:rsidP="00DB6E47">
      <w:pPr>
        <w:pStyle w:val="Amain"/>
      </w:pPr>
      <w:r w:rsidRPr="00C62D32">
        <w:tab/>
        <w:t>(1)</w:t>
      </w:r>
      <w:r w:rsidRPr="00C62D32">
        <w:tab/>
        <w:t>The holder of a permit for a fatigue record keeping exemption (permit) may apply to the Regulator for an amendment or cancellation of the exemption.</w:t>
      </w:r>
    </w:p>
    <w:p w14:paraId="11ED5C13" w14:textId="77777777" w:rsidR="00DB6E47" w:rsidRPr="00C62D32" w:rsidRDefault="00DB6E47" w:rsidP="00DB6E47">
      <w:pPr>
        <w:pStyle w:val="Amain"/>
      </w:pPr>
      <w:r w:rsidRPr="00C62D32">
        <w:tab/>
        <w:t>(2)</w:t>
      </w:r>
      <w:r w:rsidRPr="00C62D32">
        <w:tab/>
        <w:t>The application must—</w:t>
      </w:r>
    </w:p>
    <w:p w14:paraId="59F1F741" w14:textId="77777777" w:rsidR="00DB6E47" w:rsidRPr="0070667A" w:rsidRDefault="00DB6E47" w:rsidP="00DB6E47">
      <w:pPr>
        <w:pStyle w:val="Apara"/>
      </w:pPr>
      <w:r w:rsidRPr="0070667A">
        <w:tab/>
        <w:t>(a)</w:t>
      </w:r>
      <w:r w:rsidRPr="0070667A">
        <w:tab/>
        <w:t>be in the approved form; and</w:t>
      </w:r>
    </w:p>
    <w:p w14:paraId="32A754DA" w14:textId="77777777" w:rsidR="00DB6E47" w:rsidRPr="0070667A" w:rsidRDefault="00DB6E47" w:rsidP="00DB6E47">
      <w:pPr>
        <w:pStyle w:val="Apara"/>
      </w:pPr>
      <w:r w:rsidRPr="0070667A">
        <w:tab/>
        <w:t>(b)</w:t>
      </w:r>
      <w:r w:rsidRPr="0070667A">
        <w:tab/>
        <w:t>be accompanied by the prescribed fee for the application; and</w:t>
      </w:r>
    </w:p>
    <w:p w14:paraId="586EF9AC" w14:textId="77777777" w:rsidR="00DB6E47" w:rsidRPr="0070667A" w:rsidRDefault="00DB6E47" w:rsidP="00DB6E47">
      <w:pPr>
        <w:pStyle w:val="Apara"/>
      </w:pPr>
      <w:r w:rsidRPr="0070667A">
        <w:tab/>
        <w:t>(c)</w:t>
      </w:r>
      <w:r w:rsidRPr="0070667A">
        <w:tab/>
        <w:t>if the application is for an amendment—state clearly the amendment sought and the reasons for the amendment; and</w:t>
      </w:r>
    </w:p>
    <w:p w14:paraId="346D2A74" w14:textId="77777777" w:rsidR="00DB6E47" w:rsidRPr="0070667A" w:rsidRDefault="00DB6E47" w:rsidP="00DB6E47">
      <w:pPr>
        <w:pStyle w:val="Apara"/>
      </w:pPr>
      <w:r w:rsidRPr="0070667A">
        <w:tab/>
        <w:t>(d)</w:t>
      </w:r>
      <w:r w:rsidRPr="0070667A">
        <w:tab/>
        <w:t>be accompanied by the permit.</w:t>
      </w:r>
    </w:p>
    <w:p w14:paraId="5B027E5A" w14:textId="77777777" w:rsidR="00DB6E47" w:rsidRPr="00C62D32" w:rsidRDefault="00DB6E47" w:rsidP="00DB6E47">
      <w:pPr>
        <w:pStyle w:val="Amain"/>
      </w:pPr>
      <w:r w:rsidRPr="00C62D32">
        <w:tab/>
        <w:t>(3)</w:t>
      </w:r>
      <w:r w:rsidRPr="00C62D32">
        <w:tab/>
        <w:t>The Regulator may, by notice given to the applicant, require the applicant to give the Regulator any additional information the Regulator reasonably requires to decide the application.</w:t>
      </w:r>
    </w:p>
    <w:p w14:paraId="09B63736" w14:textId="77777777" w:rsidR="00DB6E47" w:rsidRPr="00C62D32" w:rsidRDefault="00DB6E47" w:rsidP="00DB6E47">
      <w:pPr>
        <w:pStyle w:val="Amain"/>
      </w:pPr>
      <w:r w:rsidRPr="00C62D32">
        <w:tab/>
        <w:t>(4)</w:t>
      </w:r>
      <w:r w:rsidRPr="00C62D32">
        <w:tab/>
        <w:t>The Regulator must decide the application as soon as practicable after receiving it.</w:t>
      </w:r>
    </w:p>
    <w:p w14:paraId="2E70D767" w14:textId="77777777" w:rsidR="00DB6E47" w:rsidRPr="00C62D32" w:rsidRDefault="00DB6E47" w:rsidP="00DB6E47">
      <w:pPr>
        <w:pStyle w:val="Amain"/>
      </w:pPr>
      <w:r w:rsidRPr="00C62D32">
        <w:lastRenderedPageBreak/>
        <w:tab/>
        <w:t>(5)</w:t>
      </w:r>
      <w:r w:rsidRPr="00C62D32">
        <w:tab/>
        <w:t>If the Regulator decides to grant the application—</w:t>
      </w:r>
    </w:p>
    <w:p w14:paraId="3A045A84" w14:textId="77777777" w:rsidR="00DB6E47" w:rsidRPr="0070667A" w:rsidRDefault="00DB6E47" w:rsidP="00DB6E47">
      <w:pPr>
        <w:pStyle w:val="Apara"/>
      </w:pPr>
      <w:r w:rsidRPr="0070667A">
        <w:tab/>
        <w:t>(a)</w:t>
      </w:r>
      <w:r w:rsidRPr="0070667A">
        <w:tab/>
        <w:t>the Regulator must give the applicant notice of the decision; and</w:t>
      </w:r>
    </w:p>
    <w:p w14:paraId="54115A76" w14:textId="77777777" w:rsidR="00DB6E47" w:rsidRPr="0070667A" w:rsidRDefault="00DB6E47" w:rsidP="00DB6E47">
      <w:pPr>
        <w:pStyle w:val="Apara"/>
      </w:pPr>
      <w:r w:rsidRPr="0070667A">
        <w:tab/>
        <w:t>(b)</w:t>
      </w:r>
      <w:r w:rsidRPr="0070667A">
        <w:tab/>
        <w:t>the amendment or cancellation takes effect—</w:t>
      </w:r>
    </w:p>
    <w:p w14:paraId="38C838E9" w14:textId="77777777" w:rsidR="00DB6E47" w:rsidRPr="00516F02" w:rsidRDefault="00DB6E47" w:rsidP="00DB6E47">
      <w:pPr>
        <w:pStyle w:val="Asubpara"/>
      </w:pPr>
      <w:r w:rsidRPr="00516F02">
        <w:tab/>
        <w:t>(i)</w:t>
      </w:r>
      <w:r w:rsidRPr="00516F02">
        <w:tab/>
        <w:t>when notice of the decision is given to the applicant; or</w:t>
      </w:r>
    </w:p>
    <w:p w14:paraId="743C0687" w14:textId="77777777" w:rsidR="00DB6E47" w:rsidRPr="00516F02" w:rsidRDefault="00DB6E47" w:rsidP="00DB6E47">
      <w:pPr>
        <w:pStyle w:val="Asubpara"/>
      </w:pPr>
      <w:r w:rsidRPr="00516F02">
        <w:tab/>
        <w:t>(ii)</w:t>
      </w:r>
      <w:r w:rsidRPr="00516F02">
        <w:tab/>
        <w:t>if a later time is stated in the notice, at the later time; and</w:t>
      </w:r>
    </w:p>
    <w:p w14:paraId="3DD3589D" w14:textId="77777777" w:rsidR="00DB6E47" w:rsidRPr="0070667A" w:rsidRDefault="00DB6E47" w:rsidP="00DB6E47">
      <w:pPr>
        <w:pStyle w:val="Apara"/>
      </w:pPr>
      <w:r w:rsidRPr="0070667A">
        <w:tab/>
        <w:t>(c)</w:t>
      </w:r>
      <w:r w:rsidRPr="0070667A">
        <w:tab/>
        <w:t>if the Regulator amended the exemption, the Regulator must give the applicant a replacement permit for the exemption as amended.</w:t>
      </w:r>
    </w:p>
    <w:p w14:paraId="6FFB4457" w14:textId="77777777" w:rsidR="00DB6E47" w:rsidRPr="00C62D32" w:rsidRDefault="00DB6E47" w:rsidP="00DB6E47">
      <w:pPr>
        <w:pStyle w:val="Amain"/>
      </w:pPr>
      <w:r w:rsidRPr="00C62D32">
        <w:tab/>
        <w:t>(6)</w:t>
      </w:r>
      <w:r w:rsidRPr="00C62D32">
        <w:tab/>
        <w:t>If the Regulator decides not to amend or cancel the exemption as sought by the applicant, the Regulator must—</w:t>
      </w:r>
    </w:p>
    <w:p w14:paraId="1579BE7C" w14:textId="77777777" w:rsidR="00DB6E47" w:rsidRPr="0070667A" w:rsidRDefault="00DB6E47" w:rsidP="00DB6E47">
      <w:pPr>
        <w:pStyle w:val="Apara"/>
      </w:pPr>
      <w:r w:rsidRPr="0070667A">
        <w:tab/>
        <w:t>(a)</w:t>
      </w:r>
      <w:r w:rsidRPr="0070667A">
        <w:tab/>
        <w:t>give the applicant an information notice for the decision; and</w:t>
      </w:r>
    </w:p>
    <w:p w14:paraId="7A8D5EB4" w14:textId="77777777" w:rsidR="00DB6E47" w:rsidRPr="0070667A" w:rsidRDefault="00DB6E47" w:rsidP="00DB6E47">
      <w:pPr>
        <w:pStyle w:val="Apara"/>
      </w:pPr>
      <w:r w:rsidRPr="0070667A">
        <w:tab/>
        <w:t>(b)</w:t>
      </w:r>
      <w:r w:rsidRPr="0070667A">
        <w:tab/>
        <w:t>return the permit for the exemption to the applicant.</w:t>
      </w:r>
    </w:p>
    <w:p w14:paraId="1C77206B" w14:textId="77777777" w:rsidR="00DB6E47" w:rsidRPr="007E1F9A" w:rsidRDefault="00DB6E47" w:rsidP="00DB6E47">
      <w:pPr>
        <w:pStyle w:val="AH5Sec"/>
      </w:pPr>
      <w:bookmarkStart w:id="447" w:name="_Toc83625791"/>
      <w:r w:rsidRPr="005E03F7">
        <w:rPr>
          <w:rStyle w:val="CharSectNo"/>
        </w:rPr>
        <w:t>390</w:t>
      </w:r>
      <w:r w:rsidRPr="007E1F9A">
        <w:tab/>
        <w:t>Amendment or cancellation of fatigue record keeping exemption (permit) on Regulator’s initiative</w:t>
      </w:r>
      <w:bookmarkEnd w:id="447"/>
    </w:p>
    <w:p w14:paraId="21237A9F" w14:textId="77777777" w:rsidR="00DB6E47" w:rsidRPr="00C62D32" w:rsidRDefault="00DB6E47" w:rsidP="00EA7DF4">
      <w:pPr>
        <w:pStyle w:val="Amain"/>
        <w:keepNext/>
      </w:pPr>
      <w:r w:rsidRPr="00C62D32">
        <w:tab/>
        <w:t>(1)</w:t>
      </w:r>
      <w:r w:rsidRPr="00C62D32">
        <w:tab/>
        <w:t>Each of the following is a ground for amending or cancelling a fatigue record keeping exemption (permit)—</w:t>
      </w:r>
    </w:p>
    <w:p w14:paraId="6923DFC1" w14:textId="77777777" w:rsidR="00DB6E47" w:rsidRPr="0070667A" w:rsidRDefault="00DB6E47" w:rsidP="00DB6E47">
      <w:pPr>
        <w:pStyle w:val="Apara"/>
      </w:pPr>
      <w:r w:rsidRPr="0070667A">
        <w:tab/>
        <w:t>(a)</w:t>
      </w:r>
      <w:r w:rsidRPr="0070667A">
        <w:tab/>
        <w:t>the exemption was granted because of a document or representation that was—</w:t>
      </w:r>
    </w:p>
    <w:p w14:paraId="204BDF95" w14:textId="77777777" w:rsidR="00DB6E47" w:rsidRPr="00516F02" w:rsidRDefault="00DB6E47" w:rsidP="00DB6E47">
      <w:pPr>
        <w:pStyle w:val="Asubpara"/>
      </w:pPr>
      <w:r w:rsidRPr="00516F02">
        <w:tab/>
        <w:t>(i)</w:t>
      </w:r>
      <w:r w:rsidRPr="00516F02">
        <w:tab/>
        <w:t>false or misleading; or</w:t>
      </w:r>
    </w:p>
    <w:p w14:paraId="19CD2342" w14:textId="77777777" w:rsidR="00DB6E47" w:rsidRPr="00516F02" w:rsidRDefault="00DB6E47" w:rsidP="00DB6E47">
      <w:pPr>
        <w:pStyle w:val="Asubpara"/>
      </w:pPr>
      <w:r w:rsidRPr="00516F02">
        <w:tab/>
        <w:t>(ii)</w:t>
      </w:r>
      <w:r w:rsidRPr="00516F02">
        <w:tab/>
        <w:t>obtained or made in an improper way;</w:t>
      </w:r>
    </w:p>
    <w:p w14:paraId="6DCE636E" w14:textId="77777777" w:rsidR="00DB6E47" w:rsidRPr="0070667A" w:rsidRDefault="00DB6E47" w:rsidP="00DB6E47">
      <w:pPr>
        <w:pStyle w:val="Apara"/>
      </w:pPr>
      <w:r w:rsidRPr="0070667A">
        <w:tab/>
        <w:t>(b)</w:t>
      </w:r>
      <w:r w:rsidRPr="0070667A">
        <w:tab/>
        <w:t>the holder of the permit for the exemption has contravened this Law or a corresponding fatigue law;</w:t>
      </w:r>
    </w:p>
    <w:p w14:paraId="21C9659A" w14:textId="77777777" w:rsidR="00DB6E47" w:rsidRPr="0070667A" w:rsidRDefault="00DB6E47" w:rsidP="00DB6E47">
      <w:pPr>
        <w:pStyle w:val="Apara"/>
      </w:pPr>
      <w:r w:rsidRPr="0070667A">
        <w:tab/>
        <w:t>(c)</w:t>
      </w:r>
      <w:r w:rsidRPr="0070667A">
        <w:tab/>
        <w:t>a driver of a fatigue-regulated heavy vehicle to whom the exemption applies has contravened this Law or a corresponding fatigue law;</w:t>
      </w:r>
    </w:p>
    <w:p w14:paraId="464B9B7D" w14:textId="77777777" w:rsidR="00DB6E47" w:rsidRPr="0070667A" w:rsidRDefault="00DB6E47" w:rsidP="00760B0D">
      <w:pPr>
        <w:pStyle w:val="Apara"/>
        <w:keepLines/>
      </w:pPr>
      <w:r w:rsidRPr="0070667A">
        <w:lastRenderedPageBreak/>
        <w:tab/>
        <w:t>(d)</w:t>
      </w:r>
      <w:r w:rsidRPr="0070667A">
        <w:tab/>
        <w:t>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14:paraId="5D98DC61" w14:textId="77777777" w:rsidR="00DB6E47" w:rsidRPr="00C62D32" w:rsidRDefault="00DB6E47" w:rsidP="00AE43F2">
      <w:pPr>
        <w:pStyle w:val="Amain"/>
        <w:keepLines/>
      </w:pPr>
      <w:r w:rsidRPr="00C62D32">
        <w:tab/>
        <w:t>(2)</w:t>
      </w:r>
      <w:r w:rsidRPr="00C62D32">
        <w:tab/>
        <w:t xml:space="preserve">If the Regulator considers a ground exists to amend or cancel a fatigue record keeping exemption (permit) (the </w:t>
      </w:r>
      <w:r w:rsidRPr="00FF4454">
        <w:rPr>
          <w:rStyle w:val="charBoldItals"/>
        </w:rPr>
        <w:t>proposed action</w:t>
      </w:r>
      <w:r w:rsidRPr="00C62D32">
        <w:t>), the Regulator must give the holder of the permit for the exemption a notice—</w:t>
      </w:r>
    </w:p>
    <w:p w14:paraId="4C4B6A80" w14:textId="77777777" w:rsidR="00DB6E47" w:rsidRPr="0070667A" w:rsidRDefault="00DB6E47" w:rsidP="00DB6E47">
      <w:pPr>
        <w:pStyle w:val="Apara"/>
      </w:pPr>
      <w:r w:rsidRPr="0070667A">
        <w:tab/>
        <w:t>(a)</w:t>
      </w:r>
      <w:r w:rsidRPr="0070667A">
        <w:tab/>
        <w:t>stating the proposed action; and</w:t>
      </w:r>
    </w:p>
    <w:p w14:paraId="0441949C" w14:textId="77777777" w:rsidR="00DB6E47" w:rsidRPr="0070667A" w:rsidRDefault="00DB6E47" w:rsidP="00DB6E47">
      <w:pPr>
        <w:pStyle w:val="Apara"/>
      </w:pPr>
      <w:r w:rsidRPr="0070667A">
        <w:tab/>
        <w:t>(b)</w:t>
      </w:r>
      <w:r w:rsidRPr="0070667A">
        <w:tab/>
        <w:t>stating the ground for the proposed action; and</w:t>
      </w:r>
    </w:p>
    <w:p w14:paraId="62EECB8F" w14:textId="77777777" w:rsidR="00DB6E47" w:rsidRPr="0070667A" w:rsidRDefault="00DB6E47" w:rsidP="00DB6E47">
      <w:pPr>
        <w:pStyle w:val="Apara"/>
      </w:pPr>
      <w:r w:rsidRPr="0070667A">
        <w:tab/>
        <w:t>(c)</w:t>
      </w:r>
      <w:r w:rsidRPr="0070667A">
        <w:tab/>
        <w:t>outlining the facts and circumstances forming the basis for the ground; and</w:t>
      </w:r>
    </w:p>
    <w:p w14:paraId="7E041133" w14:textId="77777777" w:rsidR="00DB6E47" w:rsidRPr="0070667A" w:rsidRDefault="00DB6E47" w:rsidP="00DB6E47">
      <w:pPr>
        <w:pStyle w:val="Apara"/>
      </w:pPr>
      <w:r w:rsidRPr="0070667A">
        <w:tab/>
        <w:t>(d)</w:t>
      </w:r>
      <w:r w:rsidRPr="0070667A">
        <w:tab/>
        <w:t>if the proposed action is to amend the exemption (including a condition of the exemption)—stating the proposed amendment; and</w:t>
      </w:r>
    </w:p>
    <w:p w14:paraId="7D14D313" w14:textId="77777777" w:rsidR="00DB6E47" w:rsidRPr="0070667A" w:rsidRDefault="00DB6E47" w:rsidP="00DB6E47">
      <w:pPr>
        <w:pStyle w:val="Apara"/>
      </w:pPr>
      <w:r w:rsidRPr="0070667A">
        <w:tab/>
        <w:t>(e)</w:t>
      </w:r>
      <w:r w:rsidRPr="0070667A">
        <w:tab/>
        <w:t>inviting the holder to make, within a stated time of at least 14 days after the notice is given to the holder, written representations about why the proposed action should not be taken.</w:t>
      </w:r>
    </w:p>
    <w:p w14:paraId="22F2825B" w14:textId="77777777" w:rsidR="00DB6E47" w:rsidRPr="006C3305" w:rsidRDefault="00DB6E47" w:rsidP="00DB6E47">
      <w:pPr>
        <w:pStyle w:val="Amain"/>
      </w:pPr>
      <w:r>
        <w:tab/>
        <w:t>(</w:t>
      </w:r>
      <w:r w:rsidRPr="006C3305">
        <w:t>3)</w:t>
      </w:r>
      <w:r w:rsidRPr="006C3305">
        <w:tab/>
        <w:t>If, after considering all written repres</w:t>
      </w:r>
      <w:r w:rsidR="00760B0D">
        <w:t>entations made under subsection </w:t>
      </w:r>
      <w:r w:rsidRPr="006C3305">
        <w:t>(2)(e), the Regulator still considers a ground exists to take the proposed action, the Regulator may—</w:t>
      </w:r>
    </w:p>
    <w:p w14:paraId="4C7F99AD" w14:textId="77777777" w:rsidR="00DB6E47" w:rsidRPr="0070667A" w:rsidRDefault="00DB6E47" w:rsidP="00DB6E47">
      <w:pPr>
        <w:pStyle w:val="Apara"/>
      </w:pPr>
      <w:r w:rsidRPr="0070667A">
        <w:tab/>
        <w:t>(a)</w:t>
      </w:r>
      <w:r w:rsidRPr="0070667A">
        <w:tab/>
        <w:t>if the proposed action was to amend the exemption—amend the exemption, including, for example, by imposing additional conditions on the exemption, in a way that is not substantially different from the proposed action; or</w:t>
      </w:r>
    </w:p>
    <w:p w14:paraId="563759AA" w14:textId="77777777" w:rsidR="00DB6E47" w:rsidRPr="0070667A" w:rsidRDefault="00DB6E47" w:rsidP="00760B0D">
      <w:pPr>
        <w:pStyle w:val="Apara"/>
        <w:keepNext/>
      </w:pPr>
      <w:r w:rsidRPr="0070667A">
        <w:lastRenderedPageBreak/>
        <w:tab/>
        <w:t>(b)</w:t>
      </w:r>
      <w:r w:rsidRPr="0070667A">
        <w:tab/>
        <w:t>if the proposed action was to cancel the exemption—</w:t>
      </w:r>
    </w:p>
    <w:p w14:paraId="2477A41A" w14:textId="77777777" w:rsidR="00DB6E47" w:rsidRPr="00516F02" w:rsidRDefault="00DB6E47" w:rsidP="00DB6E47">
      <w:pPr>
        <w:pStyle w:val="Asubpara"/>
      </w:pPr>
      <w:r w:rsidRPr="00516F02">
        <w:tab/>
        <w:t>(i)</w:t>
      </w:r>
      <w:r w:rsidRPr="00516F02">
        <w:tab/>
        <w:t>amend the exemption, including, for example, by imposing additional conditions on the exemption; or</w:t>
      </w:r>
    </w:p>
    <w:p w14:paraId="1CDF4F04" w14:textId="77777777" w:rsidR="00DB6E47" w:rsidRPr="00516F02" w:rsidRDefault="00DB6E47" w:rsidP="00DB6E47">
      <w:pPr>
        <w:pStyle w:val="Asubpara"/>
      </w:pPr>
      <w:r w:rsidRPr="00516F02">
        <w:tab/>
        <w:t>(ii)</w:t>
      </w:r>
      <w:r w:rsidRPr="00516F02">
        <w:tab/>
        <w:t>cancel the exemption.</w:t>
      </w:r>
    </w:p>
    <w:p w14:paraId="3DE71090" w14:textId="77777777" w:rsidR="00DB6E47" w:rsidRPr="00C62D32" w:rsidRDefault="00DB6E47" w:rsidP="00DB6E47">
      <w:pPr>
        <w:pStyle w:val="Amain"/>
      </w:pPr>
      <w:r w:rsidRPr="00C62D32">
        <w:tab/>
        <w:t>(4)</w:t>
      </w:r>
      <w:r w:rsidRPr="00C62D32">
        <w:tab/>
        <w:t>The Regulator must give the holder an information notice for the decision.</w:t>
      </w:r>
    </w:p>
    <w:p w14:paraId="6473426C" w14:textId="77777777" w:rsidR="00DB6E47" w:rsidRPr="00C62D32" w:rsidRDefault="00DB6E47" w:rsidP="00AE43F2">
      <w:pPr>
        <w:pStyle w:val="Amain"/>
        <w:keepNext/>
      </w:pPr>
      <w:r w:rsidRPr="00C62D32">
        <w:tab/>
        <w:t>(5)</w:t>
      </w:r>
      <w:r w:rsidRPr="00C62D32">
        <w:tab/>
        <w:t>The amendment or cancellation takes effect—</w:t>
      </w:r>
    </w:p>
    <w:p w14:paraId="34C80878" w14:textId="77777777" w:rsidR="00DB6E47" w:rsidRPr="0070667A" w:rsidRDefault="00DB6E47" w:rsidP="00DB6E47">
      <w:pPr>
        <w:pStyle w:val="Apara"/>
      </w:pPr>
      <w:r w:rsidRPr="0070667A">
        <w:tab/>
        <w:t>(a)</w:t>
      </w:r>
      <w:r w:rsidRPr="0070667A">
        <w:tab/>
        <w:t>when the information notice is given to the holder; or</w:t>
      </w:r>
    </w:p>
    <w:p w14:paraId="78F9B842" w14:textId="77777777" w:rsidR="00DB6E47" w:rsidRPr="0070667A" w:rsidRDefault="00DB6E47" w:rsidP="00DB6E47">
      <w:pPr>
        <w:pStyle w:val="Apara"/>
      </w:pPr>
      <w:r w:rsidRPr="0070667A">
        <w:tab/>
        <w:t>(b)</w:t>
      </w:r>
      <w:r w:rsidRPr="0070667A">
        <w:tab/>
        <w:t>if a later time is stated in the information notice, at the later time.</w:t>
      </w:r>
    </w:p>
    <w:p w14:paraId="1F1EC5EC" w14:textId="77777777" w:rsidR="00DB6E47" w:rsidRPr="007E1F9A" w:rsidRDefault="00DB6E47" w:rsidP="00DB6E47">
      <w:pPr>
        <w:pStyle w:val="AH5Sec"/>
      </w:pPr>
      <w:bookmarkStart w:id="448" w:name="_Toc83625792"/>
      <w:r w:rsidRPr="005E03F7">
        <w:rPr>
          <w:rStyle w:val="CharSectNo"/>
        </w:rPr>
        <w:t>391</w:t>
      </w:r>
      <w:r w:rsidRPr="007E1F9A">
        <w:tab/>
        <w:t>Minor amendment of fatigue record keeping exemption (permit)</w:t>
      </w:r>
      <w:bookmarkEnd w:id="448"/>
    </w:p>
    <w:p w14:paraId="7A9BB1A4" w14:textId="77777777" w:rsidR="00DB6E47" w:rsidRPr="00C62D32" w:rsidRDefault="00DB6E47" w:rsidP="00DB6E47">
      <w:pPr>
        <w:pStyle w:val="Amainreturn"/>
      </w:pPr>
      <w:r w:rsidRPr="00C62D32">
        <w:t>The Regulator may, by notice given to the holder of a permit for a fatigue record keeping exemption (permit), amend the exemption in a minor respect—</w:t>
      </w:r>
    </w:p>
    <w:p w14:paraId="41FAE8A6" w14:textId="77777777" w:rsidR="00DB6E47" w:rsidRPr="0070667A" w:rsidRDefault="00DB6E47" w:rsidP="00DB6E47">
      <w:pPr>
        <w:pStyle w:val="Apara"/>
      </w:pPr>
      <w:r w:rsidRPr="0070667A">
        <w:tab/>
        <w:t>(a)</w:t>
      </w:r>
      <w:r w:rsidRPr="0070667A">
        <w:tab/>
        <w:t>for a formal or clerical reason; or</w:t>
      </w:r>
    </w:p>
    <w:p w14:paraId="51BBFCC0" w14:textId="77777777" w:rsidR="00DB6E47" w:rsidRPr="0070667A" w:rsidRDefault="00DB6E47" w:rsidP="00DB6E47">
      <w:pPr>
        <w:pStyle w:val="Apara"/>
      </w:pPr>
      <w:r w:rsidRPr="0070667A">
        <w:tab/>
        <w:t>(b)</w:t>
      </w:r>
      <w:r w:rsidRPr="0070667A">
        <w:tab/>
        <w:t>in another way that does not adversely affect the holder’s interests.</w:t>
      </w:r>
    </w:p>
    <w:p w14:paraId="33DC206D" w14:textId="77777777" w:rsidR="00DB6E47" w:rsidRPr="007E1F9A" w:rsidRDefault="00DB6E47" w:rsidP="00DB6E47">
      <w:pPr>
        <w:pStyle w:val="AH5Sec"/>
      </w:pPr>
      <w:bookmarkStart w:id="449" w:name="_Toc83625793"/>
      <w:r w:rsidRPr="005E03F7">
        <w:rPr>
          <w:rStyle w:val="CharSectNo"/>
        </w:rPr>
        <w:t>392</w:t>
      </w:r>
      <w:r w:rsidRPr="007E1F9A">
        <w:tab/>
        <w:t>Return of permit</w:t>
      </w:r>
      <w:bookmarkEnd w:id="449"/>
    </w:p>
    <w:p w14:paraId="1ED4C4CD" w14:textId="77777777" w:rsidR="00DB6E47" w:rsidRPr="00C62D32" w:rsidRDefault="00DB6E47" w:rsidP="00DB6E47">
      <w:pPr>
        <w:pStyle w:val="Amain"/>
      </w:pPr>
      <w:r w:rsidRPr="00C62D32">
        <w:tab/>
        <w:t>(1)</w:t>
      </w:r>
      <w:r w:rsidRPr="00C62D32">
        <w:tab/>
        <w:t>If a person’s fatigue record keeping exemption (permit) is amended or cancelled, the Regulator may, by notice given to the person, require the person to return the person’s permit for the exemption to the Regulator.</w:t>
      </w:r>
    </w:p>
    <w:p w14:paraId="638E9FB9" w14:textId="77777777" w:rsidR="00DB6E47" w:rsidRPr="00C62D32" w:rsidRDefault="00DB6E47" w:rsidP="00DB6E47">
      <w:pPr>
        <w:pStyle w:val="Amain"/>
      </w:pPr>
      <w:r w:rsidRPr="00C62D32">
        <w:tab/>
        <w:t>(2)</w:t>
      </w:r>
      <w:r w:rsidRPr="00C62D32">
        <w:tab/>
        <w:t>The person must comply with the notice within 7 days after the notice is given to the person or, if a longer period is stated in the notice, within the longer period.</w:t>
      </w:r>
    </w:p>
    <w:p w14:paraId="71925F56" w14:textId="77777777" w:rsidR="00DB6E47" w:rsidRPr="006C3305" w:rsidRDefault="00DB6E47" w:rsidP="00DB6E47">
      <w:pPr>
        <w:pStyle w:val="Penalty"/>
      </w:pPr>
      <w:r w:rsidRPr="00D91CC2">
        <w:rPr>
          <w:rFonts w:cs="Times"/>
          <w:bCs/>
          <w:iCs/>
        </w:rPr>
        <w:t>Maximum penalty—$6000.</w:t>
      </w:r>
    </w:p>
    <w:p w14:paraId="17604BFF" w14:textId="77777777" w:rsidR="00DB6E47" w:rsidRPr="00C62D32" w:rsidRDefault="00DB6E47" w:rsidP="00DB6E47">
      <w:pPr>
        <w:pStyle w:val="Amain"/>
      </w:pPr>
      <w:r w:rsidRPr="00C62D32">
        <w:lastRenderedPageBreak/>
        <w:tab/>
        <w:t>(3)</w:t>
      </w:r>
      <w:r w:rsidRPr="00C62D32">
        <w:tab/>
        <w:t>If the exemption has been amended, the Regulator must give the person a replacement permit for the exemption as amended.</w:t>
      </w:r>
    </w:p>
    <w:p w14:paraId="645042E3" w14:textId="77777777" w:rsidR="00DB6E47" w:rsidRPr="007E1F9A" w:rsidRDefault="00DB6E47" w:rsidP="00DB6E47">
      <w:pPr>
        <w:pStyle w:val="AH5Sec"/>
      </w:pPr>
      <w:bookmarkStart w:id="450" w:name="_Toc83625794"/>
      <w:r w:rsidRPr="005E03F7">
        <w:rPr>
          <w:rStyle w:val="CharSectNo"/>
        </w:rPr>
        <w:t>393</w:t>
      </w:r>
      <w:r w:rsidRPr="007E1F9A">
        <w:tab/>
        <w:t>Replacement of defaced etc. permit</w:t>
      </w:r>
      <w:bookmarkEnd w:id="450"/>
    </w:p>
    <w:p w14:paraId="7622E2B7" w14:textId="77777777" w:rsidR="00DB6E47" w:rsidRPr="00C62D32" w:rsidRDefault="00DB6E47" w:rsidP="00AE43F2">
      <w:pPr>
        <w:pStyle w:val="Amain"/>
        <w:keepNext/>
      </w:pPr>
      <w:r w:rsidRPr="00C62D32">
        <w:tab/>
        <w:t>(1)</w:t>
      </w:r>
      <w:r w:rsidRPr="00C62D32">
        <w:tab/>
        <w:t>If a person’s permit for a fatigue record keeping exemption (permit) is defaced, destroyed, lost or stolen, the person must, as soon as reasonably practicable after becoming aware of the matter, apply to the Regulator for a replacement permit.</w:t>
      </w:r>
    </w:p>
    <w:p w14:paraId="33608808" w14:textId="77777777" w:rsidR="00DB6E47" w:rsidRPr="006C3305" w:rsidRDefault="00DB6E47" w:rsidP="00DB6E47">
      <w:pPr>
        <w:pStyle w:val="Penalty"/>
      </w:pPr>
      <w:r w:rsidRPr="00D91CC2">
        <w:rPr>
          <w:rFonts w:cs="Times"/>
          <w:bCs/>
          <w:iCs/>
        </w:rPr>
        <w:t>Maximum penalty—$4000.</w:t>
      </w:r>
    </w:p>
    <w:p w14:paraId="194F76FF" w14:textId="77777777" w:rsidR="00DB6E47" w:rsidRPr="00C62D32" w:rsidRDefault="00DB6E47" w:rsidP="00DB6E47">
      <w:pPr>
        <w:pStyle w:val="Amain"/>
      </w:pPr>
      <w:r w:rsidRPr="00C62D32">
        <w:tab/>
        <w:t>(2)</w:t>
      </w:r>
      <w:r w:rsidRPr="00C62D32">
        <w:tab/>
        <w:t>If the Regulator is satisfied the permit has been defaced, destroyed, lost or stolen, the Regulator must give the person a replacement permit as soon as practicable.</w:t>
      </w:r>
    </w:p>
    <w:p w14:paraId="1894D12E" w14:textId="77777777" w:rsidR="00DB6E47" w:rsidRPr="00C62D32" w:rsidRDefault="00DB6E47" w:rsidP="00DB6E47">
      <w:pPr>
        <w:pStyle w:val="Amain"/>
      </w:pPr>
      <w:r w:rsidRPr="00C62D32">
        <w:tab/>
        <w:t>(3)</w:t>
      </w:r>
      <w:r w:rsidRPr="00C62D32">
        <w:tab/>
        <w:t>If the Regulator decides not to give a replacement permit to the person, the Regulator must give the person an information notice for the decision.</w:t>
      </w:r>
    </w:p>
    <w:p w14:paraId="2029A290" w14:textId="77777777" w:rsidR="00DB6E47" w:rsidRPr="00EA7DF4" w:rsidRDefault="00DB6E47" w:rsidP="00EA7DF4">
      <w:pPr>
        <w:pStyle w:val="AH4SubDiv"/>
      </w:pPr>
      <w:bookmarkStart w:id="451" w:name="_Toc83625795"/>
      <w:r w:rsidRPr="00EA7DF4">
        <w:t>Subdivision 3</w:t>
      </w:r>
      <w:r w:rsidRPr="00EA7DF4">
        <w:tab/>
        <w:t>Exemptions by national regulations</w:t>
      </w:r>
      <w:bookmarkEnd w:id="451"/>
    </w:p>
    <w:p w14:paraId="784E2169" w14:textId="77777777" w:rsidR="00DB6E47" w:rsidRPr="007E1F9A" w:rsidRDefault="00DB6E47" w:rsidP="00DB6E47">
      <w:pPr>
        <w:pStyle w:val="AH5Sec"/>
      </w:pPr>
      <w:bookmarkStart w:id="452" w:name="_Toc83625796"/>
      <w:r w:rsidRPr="005E03F7">
        <w:rPr>
          <w:rStyle w:val="CharSectNo"/>
        </w:rPr>
        <w:t>394</w:t>
      </w:r>
      <w:r w:rsidRPr="007E1F9A">
        <w:tab/>
        <w:t>Exemptions from provisions of Division 3</w:t>
      </w:r>
      <w:bookmarkEnd w:id="452"/>
    </w:p>
    <w:p w14:paraId="6864B4B3" w14:textId="77777777" w:rsidR="00DB6E47" w:rsidRPr="00C62D32" w:rsidRDefault="00DB6E47" w:rsidP="00DB6E47">
      <w:pPr>
        <w:pStyle w:val="Amain"/>
      </w:pPr>
      <w:r w:rsidRPr="00C62D32">
        <w:tab/>
        <w:t>(1)</w:t>
      </w:r>
      <w:r w:rsidRPr="00C62D32">
        <w:tab/>
        <w:t>The national regulations may provide for the exemption of record keepers for drivers of fatigue-regulated heavy vehicles from the requirement to comply with all or stated provisions of Division 3.</w:t>
      </w:r>
    </w:p>
    <w:p w14:paraId="7A752518" w14:textId="77777777" w:rsidR="00DB6E47" w:rsidRPr="00C62D32" w:rsidRDefault="00DB6E47" w:rsidP="00DB6E47">
      <w:pPr>
        <w:pStyle w:val="Amain"/>
      </w:pPr>
      <w:r w:rsidRPr="00C62D32">
        <w:tab/>
        <w:t>(2)</w:t>
      </w:r>
      <w:r w:rsidRPr="00C62D32">
        <w:tab/>
        <w:t>Without limiting subsection (1), the national regulations may prescribe matters about—</w:t>
      </w:r>
    </w:p>
    <w:p w14:paraId="7B1D0366" w14:textId="77777777" w:rsidR="00DB6E47" w:rsidRPr="0070667A" w:rsidRDefault="00DB6E47" w:rsidP="00DB6E47">
      <w:pPr>
        <w:pStyle w:val="Apara"/>
      </w:pPr>
      <w:r w:rsidRPr="0070667A">
        <w:tab/>
        <w:t>(a)</w:t>
      </w:r>
      <w:r w:rsidRPr="0070667A">
        <w:tab/>
        <w:t>one or more classes of record keepers for which an exemption is to apply; and</w:t>
      </w:r>
    </w:p>
    <w:p w14:paraId="23185FA9" w14:textId="77777777" w:rsidR="00DB6E47" w:rsidRPr="0070667A" w:rsidRDefault="00DB6E47" w:rsidP="00DB6E47">
      <w:pPr>
        <w:pStyle w:val="Apara"/>
      </w:pPr>
      <w:r w:rsidRPr="0070667A">
        <w:tab/>
        <w:t>(b)</w:t>
      </w:r>
      <w:r w:rsidRPr="0070667A">
        <w:tab/>
        <w:t>one or more classes of drivers of fatigue-regulated heavy vehicles for which an exemption is to apply; and</w:t>
      </w:r>
    </w:p>
    <w:p w14:paraId="791A96C1" w14:textId="77777777" w:rsidR="00DB6E47" w:rsidRPr="0070667A" w:rsidRDefault="00DB6E47" w:rsidP="00DB6E47">
      <w:pPr>
        <w:pStyle w:val="Apara"/>
      </w:pPr>
      <w:r w:rsidRPr="0070667A">
        <w:tab/>
        <w:t>(c)</w:t>
      </w:r>
      <w:r w:rsidRPr="0070667A">
        <w:tab/>
        <w:t>conditions to which an exemption is to be subject.</w:t>
      </w:r>
    </w:p>
    <w:p w14:paraId="0C166B71" w14:textId="77777777" w:rsidR="00DB6E47" w:rsidRPr="00EA7DF4" w:rsidRDefault="00DB6E47" w:rsidP="00EA7DF4">
      <w:pPr>
        <w:pStyle w:val="AH4SubDiv"/>
      </w:pPr>
      <w:bookmarkStart w:id="453" w:name="_Toc83625797"/>
      <w:r w:rsidRPr="00EA7DF4">
        <w:lastRenderedPageBreak/>
        <w:t xml:space="preserve">Subdivision 4 </w:t>
      </w:r>
      <w:r w:rsidRPr="00EA7DF4">
        <w:tab/>
        <w:t>Other provisions</w:t>
      </w:r>
      <w:bookmarkEnd w:id="453"/>
    </w:p>
    <w:p w14:paraId="5324954F" w14:textId="77777777" w:rsidR="00DB6E47" w:rsidRPr="007E1F9A" w:rsidRDefault="00DB6E47" w:rsidP="00DB6E47">
      <w:pPr>
        <w:pStyle w:val="AH5Sec"/>
      </w:pPr>
      <w:bookmarkStart w:id="454" w:name="_Toc83625798"/>
      <w:r w:rsidRPr="005E03F7">
        <w:rPr>
          <w:rStyle w:val="CharSectNo"/>
        </w:rPr>
        <w:t>395</w:t>
      </w:r>
      <w:r w:rsidRPr="007E1F9A">
        <w:tab/>
        <w:t>Contravening condition of fatigue record keeping exemption</w:t>
      </w:r>
      <w:bookmarkEnd w:id="454"/>
    </w:p>
    <w:p w14:paraId="3D80C793" w14:textId="77777777" w:rsidR="00DB6E47" w:rsidRPr="00C62D32" w:rsidRDefault="00DB6E47" w:rsidP="00DB6E47">
      <w:pPr>
        <w:pStyle w:val="Amainreturn"/>
      </w:pPr>
      <w:r w:rsidRPr="00C62D32">
        <w:t>A person must not contravene a condition of a fatigue record keeping exemption.</w:t>
      </w:r>
    </w:p>
    <w:p w14:paraId="10751E02" w14:textId="77777777" w:rsidR="00DB6E47" w:rsidRPr="006C3305" w:rsidRDefault="00DB6E47" w:rsidP="00DB6E47">
      <w:pPr>
        <w:pStyle w:val="Penalty"/>
      </w:pPr>
      <w:r w:rsidRPr="00D91CC2">
        <w:rPr>
          <w:rFonts w:cs="Times"/>
          <w:bCs/>
          <w:iCs/>
        </w:rPr>
        <w:t>Maximum penalty—$6000.</w:t>
      </w:r>
    </w:p>
    <w:p w14:paraId="780CF0C4" w14:textId="77777777" w:rsidR="00DB6E47" w:rsidRPr="005E03F7" w:rsidRDefault="00DB6E47" w:rsidP="00DB6E47">
      <w:pPr>
        <w:pStyle w:val="AH3Div"/>
      </w:pPr>
      <w:bookmarkStart w:id="455" w:name="_Toc83625799"/>
      <w:r w:rsidRPr="005E03F7">
        <w:rPr>
          <w:rStyle w:val="CharDivNo"/>
        </w:rPr>
        <w:t xml:space="preserve">Division 9 </w:t>
      </w:r>
      <w:r w:rsidRPr="00A95F9A">
        <w:rPr>
          <w:rFonts w:ascii="Helvetica" w:hAnsi="Helvetica" w:cs="Helvetica"/>
          <w:iCs/>
          <w:szCs w:val="28"/>
        </w:rPr>
        <w:tab/>
      </w:r>
      <w:r w:rsidRPr="005E03F7">
        <w:rPr>
          <w:rStyle w:val="CharDivText"/>
          <w:rFonts w:ascii="Helvetica" w:hAnsi="Helvetica" w:cs="Helvetica"/>
          <w:iCs/>
          <w:szCs w:val="28"/>
        </w:rPr>
        <w:t>Requirements about odometers</w:t>
      </w:r>
      <w:bookmarkEnd w:id="455"/>
    </w:p>
    <w:p w14:paraId="237D7854" w14:textId="77777777" w:rsidR="00DB6E47" w:rsidRPr="007E1F9A" w:rsidRDefault="00DB6E47" w:rsidP="00DB6E47">
      <w:pPr>
        <w:pStyle w:val="AH5Sec"/>
      </w:pPr>
      <w:bookmarkStart w:id="456" w:name="_Toc83625800"/>
      <w:r w:rsidRPr="005E03F7">
        <w:rPr>
          <w:rStyle w:val="CharSectNo"/>
        </w:rPr>
        <w:t>396</w:t>
      </w:r>
      <w:r w:rsidRPr="007E1F9A">
        <w:tab/>
        <w:t>Owner must maintain odometer</w:t>
      </w:r>
      <w:bookmarkEnd w:id="456"/>
    </w:p>
    <w:p w14:paraId="1F7E025D" w14:textId="77777777" w:rsidR="00DB6E47" w:rsidRPr="00C62D32" w:rsidRDefault="00DB6E47" w:rsidP="00DB6E47">
      <w:pPr>
        <w:pStyle w:val="Amain"/>
      </w:pPr>
      <w:r w:rsidRPr="00F40DD7">
        <w:tab/>
        <w:t>(1)</w:t>
      </w:r>
      <w:r w:rsidRPr="00F40DD7">
        <w:tab/>
        <w:t xml:space="preserve">The national regulations may require the fitting and maintenance of </w:t>
      </w:r>
      <w:r w:rsidRPr="00C62D32">
        <w:t>an odometer to a fatigue-regulated heavy vehicle.</w:t>
      </w:r>
    </w:p>
    <w:p w14:paraId="402D6714" w14:textId="77777777" w:rsidR="00DB6E47" w:rsidRPr="00C62D32" w:rsidRDefault="00DB6E47" w:rsidP="00EA7DF4">
      <w:pPr>
        <w:pStyle w:val="Amain"/>
        <w:keepNext/>
      </w:pPr>
      <w:r w:rsidRPr="00C62D32">
        <w:tab/>
        <w:t>(2)</w:t>
      </w:r>
      <w:r w:rsidRPr="00C62D32">
        <w:tab/>
        <w:t xml:space="preserve">An owner of a fatigue-regulated heavy vehicle required by the national regulations to be fitted with an odometer must maintain the odometer in accordance with the requirements prescribed by the national </w:t>
      </w:r>
      <w:r w:rsidR="00B97AB9" w:rsidRPr="003323FC">
        <w:t>regulations, unless the owner has a reasonable excuse.</w:t>
      </w:r>
    </w:p>
    <w:p w14:paraId="28D83412" w14:textId="77777777" w:rsidR="00DB6E47" w:rsidRPr="006C3305" w:rsidRDefault="00DB6E47" w:rsidP="00DB6E47">
      <w:pPr>
        <w:pStyle w:val="Penalty"/>
      </w:pPr>
      <w:r w:rsidRPr="00D91CC2">
        <w:rPr>
          <w:rFonts w:cs="Times"/>
          <w:bCs/>
          <w:iCs/>
        </w:rPr>
        <w:t>Maximum penalty—$6000.</w:t>
      </w:r>
    </w:p>
    <w:p w14:paraId="09526D29" w14:textId="77777777" w:rsidR="00DB6E47" w:rsidRPr="007E1F9A" w:rsidRDefault="00DB6E47" w:rsidP="00DB6E47">
      <w:pPr>
        <w:pStyle w:val="AH5Sec"/>
      </w:pPr>
      <w:bookmarkStart w:id="457" w:name="_Toc83625801"/>
      <w:r w:rsidRPr="005E03F7">
        <w:rPr>
          <w:rStyle w:val="CharSectNo"/>
        </w:rPr>
        <w:t>397</w:t>
      </w:r>
      <w:r w:rsidRPr="007E1F9A">
        <w:tab/>
        <w:t>Driver must report malfunctioning odometer</w:t>
      </w:r>
      <w:bookmarkEnd w:id="457"/>
    </w:p>
    <w:p w14:paraId="3A327079" w14:textId="77777777" w:rsidR="00DB6E47" w:rsidRPr="00C62D32" w:rsidRDefault="00DB6E47" w:rsidP="00496F44">
      <w:pPr>
        <w:pStyle w:val="Amain"/>
        <w:keepNext/>
      </w:pPr>
      <w:r w:rsidRPr="00C62D32">
        <w:tab/>
        <w:t>(1)</w:t>
      </w:r>
      <w:r w:rsidRPr="00C62D32">
        <w:tab/>
        <w:t>This section applies if the driver of a fatigue-regulated heavy vehicle becomes aware or has reason to suspect an odometer fitted to the vehicle is malfunctioning or has malfunctioned.</w:t>
      </w:r>
    </w:p>
    <w:p w14:paraId="3C119CBC" w14:textId="77777777" w:rsidR="00DB6E47" w:rsidRPr="00C62D32" w:rsidRDefault="00DB6E47" w:rsidP="00DB6E47">
      <w:pPr>
        <w:pStyle w:val="Amain"/>
      </w:pPr>
      <w:r w:rsidRPr="00C62D32">
        <w:tab/>
        <w:t>(2)</w:t>
      </w:r>
      <w:r w:rsidRPr="00C62D32">
        <w:tab/>
        <w:t>The driver must inform the following persons of the matter within 2 business days—</w:t>
      </w:r>
    </w:p>
    <w:p w14:paraId="0AB6BCC7" w14:textId="77777777" w:rsidR="00DB6E47" w:rsidRPr="0070667A" w:rsidRDefault="00DB6E47" w:rsidP="00DB6E47">
      <w:pPr>
        <w:pStyle w:val="Apara"/>
      </w:pPr>
      <w:r w:rsidRPr="0070667A">
        <w:tab/>
        <w:t>(a)</w:t>
      </w:r>
      <w:r w:rsidRPr="0070667A">
        <w:tab/>
        <w:t>each owner of the vehicle;</w:t>
      </w:r>
    </w:p>
    <w:p w14:paraId="1F74E806" w14:textId="77777777" w:rsidR="00DB6E47" w:rsidRPr="0070667A" w:rsidRDefault="00DB6E47" w:rsidP="00DB6E47">
      <w:pPr>
        <w:pStyle w:val="Apara"/>
      </w:pPr>
      <w:r w:rsidRPr="0070667A">
        <w:tab/>
        <w:t>(b)</w:t>
      </w:r>
      <w:r w:rsidRPr="0070667A">
        <w:tab/>
        <w:t>the driver’s employer if the driver is an employed driver;</w:t>
      </w:r>
    </w:p>
    <w:p w14:paraId="62F5FDD4" w14:textId="77777777" w:rsidR="00DB6E47" w:rsidRPr="0070667A" w:rsidRDefault="00DB6E47" w:rsidP="00DB6E47">
      <w:pPr>
        <w:pStyle w:val="Apara"/>
      </w:pPr>
      <w:r w:rsidRPr="0070667A">
        <w:tab/>
        <w:t>(c)</w:t>
      </w:r>
      <w:r w:rsidRPr="0070667A">
        <w:tab/>
        <w:t>each operator of the vehicle.</w:t>
      </w:r>
    </w:p>
    <w:p w14:paraId="12178B14" w14:textId="77777777" w:rsidR="00DB6E47" w:rsidRPr="006C3305" w:rsidRDefault="00DB6E47" w:rsidP="00DB6E47">
      <w:pPr>
        <w:pStyle w:val="Penalty"/>
      </w:pPr>
      <w:r w:rsidRPr="00D91CC2">
        <w:rPr>
          <w:rFonts w:cs="Times"/>
          <w:bCs/>
          <w:iCs/>
        </w:rPr>
        <w:t>Maximum penalty—$3000.</w:t>
      </w:r>
    </w:p>
    <w:p w14:paraId="2C3F48AC" w14:textId="77777777" w:rsidR="00DB6E47" w:rsidRPr="00C62D32" w:rsidRDefault="006679EE" w:rsidP="00DB6E47">
      <w:pPr>
        <w:pStyle w:val="Amain"/>
      </w:pPr>
      <w:r>
        <w:lastRenderedPageBreak/>
        <w:tab/>
        <w:t>(3)</w:t>
      </w:r>
      <w:r>
        <w:tab/>
        <w:t xml:space="preserve">Subsection </w:t>
      </w:r>
      <w:r w:rsidR="00DB6E47" w:rsidRPr="00C62D32">
        <w:t>(2)</w:t>
      </w:r>
      <w:r>
        <w:t xml:space="preserve"> </w:t>
      </w:r>
      <w:r w:rsidR="00DB6E47" w:rsidRPr="00C62D32">
        <w:t>does not apply to the driver of a fatigue-regulated heavy vehicle in relation to a malfunction of an odometer if another driver of the vehicle has complied with the subsection in relation to the malfunction.</w:t>
      </w:r>
    </w:p>
    <w:p w14:paraId="12D3B020" w14:textId="77777777" w:rsidR="00DB6E47" w:rsidRPr="007E1F9A" w:rsidRDefault="00DB6E47" w:rsidP="00DB6E47">
      <w:pPr>
        <w:pStyle w:val="AH5Sec"/>
      </w:pPr>
      <w:bookmarkStart w:id="458" w:name="_Toc83625802"/>
      <w:r w:rsidRPr="005E03F7">
        <w:rPr>
          <w:rStyle w:val="CharSectNo"/>
        </w:rPr>
        <w:t>398</w:t>
      </w:r>
      <w:r w:rsidRPr="007E1F9A">
        <w:tab/>
        <w:t>What owner must do if odometer malfunctioning</w:t>
      </w:r>
      <w:bookmarkEnd w:id="458"/>
    </w:p>
    <w:p w14:paraId="5E187398" w14:textId="77777777" w:rsidR="00DB6E47" w:rsidRPr="00C62D32" w:rsidRDefault="00DB6E47" w:rsidP="00DB6E47">
      <w:pPr>
        <w:pStyle w:val="Amain"/>
      </w:pPr>
      <w:r w:rsidRPr="00C62D32">
        <w:tab/>
        <w:t>(1)</w:t>
      </w:r>
      <w:r w:rsidRPr="00C62D32">
        <w:tab/>
        <w:t>This section applies if an owner of a fatigue-regulated heavy vehicle is informed under section 397 of malfunctioning or suspected malfunctioning of the vehicle’s odometer.</w:t>
      </w:r>
    </w:p>
    <w:p w14:paraId="6B17825B" w14:textId="77777777" w:rsidR="00DB6E47" w:rsidRPr="00C62D32" w:rsidRDefault="00DB6E47" w:rsidP="00DB6E47">
      <w:pPr>
        <w:pStyle w:val="Amain"/>
      </w:pPr>
      <w:r w:rsidRPr="00C62D32">
        <w:tab/>
        <w:t>(2)</w:t>
      </w:r>
      <w:r w:rsidRPr="00C62D32">
        <w:tab/>
        <w:t>The owner must, as soon as reasonably practicable after being informed of the matter, ensure the odometer is examined and brought into working order.</w:t>
      </w:r>
    </w:p>
    <w:p w14:paraId="7FF0CBB9" w14:textId="77777777" w:rsidR="00DB6E47" w:rsidRPr="006C3305" w:rsidRDefault="00DB6E47" w:rsidP="00DB6E47">
      <w:pPr>
        <w:pStyle w:val="Penalty"/>
      </w:pPr>
      <w:r w:rsidRPr="00D91CC2">
        <w:rPr>
          <w:rFonts w:cs="Times"/>
          <w:bCs/>
          <w:iCs/>
        </w:rPr>
        <w:t>Maximum penalty—$6000.</w:t>
      </w:r>
    </w:p>
    <w:p w14:paraId="53C48359" w14:textId="77777777" w:rsidR="00DB6E47" w:rsidRPr="007E1F9A" w:rsidRDefault="00DB6E47" w:rsidP="00DB6E47">
      <w:pPr>
        <w:pStyle w:val="AH5Sec"/>
      </w:pPr>
      <w:bookmarkStart w:id="459" w:name="_Toc83625803"/>
      <w:r w:rsidRPr="005E03F7">
        <w:rPr>
          <w:rStyle w:val="CharSectNo"/>
        </w:rPr>
        <w:t>399</w:t>
      </w:r>
      <w:r w:rsidRPr="007E1F9A">
        <w:tab/>
        <w:t>What employer or operator must do if odometer malfunctioning</w:t>
      </w:r>
      <w:bookmarkEnd w:id="459"/>
    </w:p>
    <w:p w14:paraId="34EFD303" w14:textId="77777777" w:rsidR="00DB6E47" w:rsidRPr="00C62D32" w:rsidRDefault="00DB6E47" w:rsidP="00DB6E47">
      <w:pPr>
        <w:pStyle w:val="Amain"/>
      </w:pPr>
      <w:r w:rsidRPr="00C62D32">
        <w:tab/>
        <w:t>(1)</w:t>
      </w:r>
      <w:r w:rsidRPr="00C62D32">
        <w:tab/>
        <w:t>This section applies if an employer of the driver of a fatigue</w:t>
      </w:r>
      <w:r w:rsidR="0049445A">
        <w:noBreakHyphen/>
      </w:r>
      <w:r w:rsidRPr="00C62D32">
        <w:t>regulated heavy vehicle or an operator of a fatigue-regulated heavy vehicle is informed under section 397 of malfunctioning or suspected malfunctioning of the vehicle’s odometer.</w:t>
      </w:r>
    </w:p>
    <w:p w14:paraId="6F7EE038" w14:textId="77777777" w:rsidR="00DB6E47" w:rsidRPr="00C62D32" w:rsidRDefault="00DB6E47" w:rsidP="00DB6E47">
      <w:pPr>
        <w:pStyle w:val="Amain"/>
      </w:pPr>
      <w:r w:rsidRPr="00C62D32">
        <w:tab/>
        <w:t>(2)</w:t>
      </w:r>
      <w:r w:rsidRPr="00C62D32">
        <w:tab/>
        <w:t>The employer or operator must not</w:t>
      </w:r>
      <w:r w:rsidR="00B97AB9" w:rsidRPr="003323FC">
        <w:t>, without a reasonable excuse,</w:t>
      </w:r>
      <w:r w:rsidRPr="00C62D32">
        <w:t xml:space="preserve"> drive, or permit another person to drive, the fatigue-regulated heavy vehicle unless the owner of the vehicle has complied with section 398.</w:t>
      </w:r>
    </w:p>
    <w:p w14:paraId="716CC525" w14:textId="77777777" w:rsidR="00DB6E47" w:rsidRPr="006C3305" w:rsidRDefault="00DB6E47" w:rsidP="00DB6E47">
      <w:pPr>
        <w:pStyle w:val="Penalty"/>
      </w:pPr>
      <w:r w:rsidRPr="00D91CC2">
        <w:rPr>
          <w:rFonts w:cs="Times"/>
          <w:bCs/>
          <w:iCs/>
        </w:rPr>
        <w:t>Maximum penalty—$6000.</w:t>
      </w:r>
    </w:p>
    <w:p w14:paraId="74D3FF92" w14:textId="77777777" w:rsidR="00DB6E47" w:rsidRPr="003D647F" w:rsidRDefault="00DB6E47" w:rsidP="00DB6E47">
      <w:pPr>
        <w:pStyle w:val="PageBreak"/>
      </w:pPr>
      <w:r w:rsidRPr="003D647F">
        <w:br w:type="page"/>
      </w:r>
    </w:p>
    <w:p w14:paraId="040069DF" w14:textId="77777777" w:rsidR="00DB6E47" w:rsidRPr="005E03F7" w:rsidRDefault="00DB6E47" w:rsidP="00DB6E47">
      <w:pPr>
        <w:pStyle w:val="AH1Chapter"/>
      </w:pPr>
      <w:bookmarkStart w:id="460" w:name="_Toc83625804"/>
      <w:r w:rsidRPr="005E03F7">
        <w:rPr>
          <w:rStyle w:val="CharChapNo"/>
        </w:rPr>
        <w:lastRenderedPageBreak/>
        <w:t xml:space="preserve">Chapter 7 </w:t>
      </w:r>
      <w:r w:rsidRPr="00A95F9A">
        <w:rPr>
          <w:rFonts w:ascii="Helvetica" w:hAnsi="Helvetica" w:cs="Helvetica"/>
          <w:iCs/>
          <w:sz w:val="36"/>
          <w:szCs w:val="36"/>
        </w:rPr>
        <w:tab/>
      </w:r>
      <w:r w:rsidRPr="005E03F7">
        <w:rPr>
          <w:rStyle w:val="CharChapText"/>
          <w:rFonts w:ascii="Helvetica" w:hAnsi="Helvetica" w:cs="Helvetica"/>
          <w:iCs/>
          <w:sz w:val="36"/>
          <w:szCs w:val="36"/>
        </w:rPr>
        <w:t>Intelligent Access Program</w:t>
      </w:r>
      <w:bookmarkEnd w:id="460"/>
    </w:p>
    <w:p w14:paraId="1EEA3DCC" w14:textId="77777777" w:rsidR="00DB6E47" w:rsidRPr="005E03F7" w:rsidRDefault="00DB6E47" w:rsidP="00DB6E47">
      <w:pPr>
        <w:pStyle w:val="AH2Part"/>
      </w:pPr>
      <w:bookmarkStart w:id="461" w:name="_Toc83625805"/>
      <w:r w:rsidRPr="005E03F7">
        <w:rPr>
          <w:rStyle w:val="CharPartNo"/>
        </w:rPr>
        <w:t xml:space="preserve">Part 7.1 </w:t>
      </w:r>
      <w:r w:rsidRPr="00A95F9A">
        <w:rPr>
          <w:rFonts w:ascii="Helvetica" w:hAnsi="Helvetica" w:cs="Helvetica"/>
          <w:iCs/>
          <w:szCs w:val="32"/>
        </w:rPr>
        <w:tab/>
      </w:r>
      <w:r w:rsidRPr="005E03F7">
        <w:rPr>
          <w:rStyle w:val="CharPartText"/>
          <w:rFonts w:ascii="Helvetica" w:hAnsi="Helvetica" w:cs="Helvetica"/>
          <w:iCs/>
          <w:szCs w:val="32"/>
        </w:rPr>
        <w:t>Preliminary</w:t>
      </w:r>
      <w:bookmarkEnd w:id="461"/>
    </w:p>
    <w:p w14:paraId="1B516DEA" w14:textId="77777777" w:rsidR="00EA7DF4" w:rsidRDefault="00EA7DF4" w:rsidP="00EA7DF4">
      <w:pPr>
        <w:pStyle w:val="Placeholder"/>
        <w:suppressLineNumbers/>
      </w:pPr>
      <w:r>
        <w:rPr>
          <w:rStyle w:val="CharDivNo"/>
          <w:rFonts w:eastAsiaTheme="minorEastAsia"/>
        </w:rPr>
        <w:t xml:space="preserve">  </w:t>
      </w:r>
      <w:r>
        <w:rPr>
          <w:rStyle w:val="CharDivText"/>
        </w:rPr>
        <w:t xml:space="preserve">  </w:t>
      </w:r>
    </w:p>
    <w:p w14:paraId="1DF26355" w14:textId="77777777" w:rsidR="00DB6E47" w:rsidRPr="007E1F9A" w:rsidRDefault="00DB6E47" w:rsidP="00DB6E47">
      <w:pPr>
        <w:pStyle w:val="AH5Sec"/>
      </w:pPr>
      <w:bookmarkStart w:id="462" w:name="_Toc83625806"/>
      <w:r w:rsidRPr="005E03F7">
        <w:rPr>
          <w:rStyle w:val="CharSectNo"/>
        </w:rPr>
        <w:t>400</w:t>
      </w:r>
      <w:r w:rsidRPr="007E1F9A">
        <w:tab/>
        <w:t>Main purposes of Ch 7</w:t>
      </w:r>
      <w:bookmarkEnd w:id="462"/>
    </w:p>
    <w:p w14:paraId="76D965A1" w14:textId="77777777" w:rsidR="00DB6E47" w:rsidRPr="00C62D32" w:rsidRDefault="00DB6E47" w:rsidP="00DB6E47">
      <w:pPr>
        <w:pStyle w:val="Amain"/>
      </w:pPr>
      <w:r w:rsidRPr="00C62D32">
        <w:tab/>
        <w:t>(1)</w:t>
      </w:r>
      <w:r w:rsidRPr="00C62D32">
        <w:tab/>
        <w:t>The main purposes of this Chapter are—</w:t>
      </w:r>
    </w:p>
    <w:p w14:paraId="0D1CC2B5" w14:textId="77777777" w:rsidR="00DB6E47" w:rsidRPr="0070667A" w:rsidRDefault="00DB6E47" w:rsidP="00DB6E47">
      <w:pPr>
        <w:pStyle w:val="Apara"/>
      </w:pPr>
      <w:r w:rsidRPr="0070667A">
        <w:tab/>
        <w:t>(a)</w:t>
      </w:r>
      <w:r w:rsidRPr="0070667A">
        <w:tab/>
        <w:t xml:space="preserve">to ensure the integrity of systems used for compliance with intelligent access </w:t>
      </w:r>
      <w:r w:rsidR="00E10D6F">
        <w:t xml:space="preserve">program </w:t>
      </w:r>
      <w:r w:rsidRPr="0070667A">
        <w:t>conditions; and</w:t>
      </w:r>
    </w:p>
    <w:p w14:paraId="23665EEA" w14:textId="77777777" w:rsidR="00DB6E47" w:rsidRPr="0070667A" w:rsidRDefault="00DB6E47" w:rsidP="00DB6E47">
      <w:pPr>
        <w:pStyle w:val="Apara"/>
      </w:pPr>
      <w:r w:rsidRPr="0070667A">
        <w:tab/>
        <w:t>(b)</w:t>
      </w:r>
      <w:r w:rsidRPr="0070667A">
        <w:tab/>
        <w:t xml:space="preserve">to provide for appropriate collection, keeping and handling of intelligent access </w:t>
      </w:r>
      <w:r w:rsidR="005C333E">
        <w:t xml:space="preserve">program </w:t>
      </w:r>
      <w:r w:rsidRPr="0070667A">
        <w:t>information.</w:t>
      </w:r>
    </w:p>
    <w:p w14:paraId="29540396" w14:textId="77777777" w:rsidR="00DB6E47" w:rsidRPr="00C62D32" w:rsidRDefault="00DB6E47" w:rsidP="00DB6E47">
      <w:pPr>
        <w:pStyle w:val="Amain"/>
      </w:pPr>
      <w:r w:rsidRPr="00C62D32">
        <w:tab/>
        <w:t>(2)</w:t>
      </w:r>
      <w:r w:rsidRPr="00C62D32">
        <w:tab/>
        <w:t>The purp</w:t>
      </w:r>
      <w:r w:rsidR="006679EE">
        <w:t>ose mentioned in subsection (1)</w:t>
      </w:r>
      <w:r w:rsidRPr="00C62D32">
        <w:t>(a)</w:t>
      </w:r>
      <w:r w:rsidR="006679EE">
        <w:t xml:space="preserve"> </w:t>
      </w:r>
      <w:r w:rsidRPr="00C62D32">
        <w:t>is achieved by—</w:t>
      </w:r>
    </w:p>
    <w:p w14:paraId="171A5D66" w14:textId="77777777" w:rsidR="00DB6E47" w:rsidRPr="0070667A" w:rsidRDefault="00DB6E47" w:rsidP="00DB6E47">
      <w:pPr>
        <w:pStyle w:val="Apara"/>
      </w:pPr>
      <w:r w:rsidRPr="0070667A">
        <w:tab/>
        <w:t>(a)</w:t>
      </w:r>
      <w:r w:rsidRPr="0070667A">
        <w:tab/>
        <w:t xml:space="preserve">requiring particular entities to report relevant contraventions for intelligent access </w:t>
      </w:r>
      <w:r w:rsidR="0089066C">
        <w:t xml:space="preserve">program </w:t>
      </w:r>
      <w:r w:rsidRPr="0070667A">
        <w:t>vehicles; and</w:t>
      </w:r>
    </w:p>
    <w:p w14:paraId="697DC59A" w14:textId="77777777" w:rsidR="00DB6E47" w:rsidRPr="0070667A" w:rsidRDefault="00DB6E47" w:rsidP="00DB6E47">
      <w:pPr>
        <w:pStyle w:val="Apara"/>
      </w:pPr>
      <w:r w:rsidRPr="0070667A">
        <w:tab/>
        <w:t>(b)</w:t>
      </w:r>
      <w:r w:rsidRPr="0070667A">
        <w:tab/>
        <w:t>requiring particular entities to report tampering or suspected tampering with, or malfunctioning of, approved intelligent transport systems; and</w:t>
      </w:r>
    </w:p>
    <w:p w14:paraId="1912A3F4" w14:textId="77777777" w:rsidR="00DB6E47" w:rsidRPr="0070667A" w:rsidRDefault="00DB6E47" w:rsidP="00DB6E47">
      <w:pPr>
        <w:pStyle w:val="Apara"/>
      </w:pPr>
      <w:r w:rsidRPr="0070667A">
        <w:tab/>
        <w:t>(c)</w:t>
      </w:r>
      <w:r w:rsidRPr="0070667A">
        <w:tab/>
        <w:t>prohibiting persons from tampering with approved intelligent transport systems; and</w:t>
      </w:r>
    </w:p>
    <w:p w14:paraId="7B28768B" w14:textId="77777777" w:rsidR="00DB6E47" w:rsidRPr="0070667A" w:rsidRDefault="00DB6E47" w:rsidP="00DB6E47">
      <w:pPr>
        <w:pStyle w:val="Apara"/>
      </w:pPr>
      <w:r w:rsidRPr="0070667A">
        <w:tab/>
        <w:t>(d)</w:t>
      </w:r>
      <w:r w:rsidRPr="0070667A">
        <w:tab/>
        <w:t xml:space="preserve">giving particular entities functions and powers to audit the activities of intelligent access </w:t>
      </w:r>
      <w:r w:rsidR="000B70A7">
        <w:t xml:space="preserve">program </w:t>
      </w:r>
      <w:r w:rsidRPr="0070667A">
        <w:t>service providers.</w:t>
      </w:r>
    </w:p>
    <w:p w14:paraId="5A58A775" w14:textId="77777777" w:rsidR="00DB6E47" w:rsidRPr="00C62D32" w:rsidRDefault="00DB6E47" w:rsidP="00DB6E47">
      <w:pPr>
        <w:pStyle w:val="Amain"/>
      </w:pPr>
      <w:r w:rsidRPr="00C62D32">
        <w:tab/>
        <w:t>(3)</w:t>
      </w:r>
      <w:r w:rsidRPr="00C62D32">
        <w:tab/>
        <w:t>The purp</w:t>
      </w:r>
      <w:r w:rsidR="006679EE">
        <w:t>ose mentioned in subsection (1)</w:t>
      </w:r>
      <w:r w:rsidRPr="00C62D32">
        <w:t>(b)</w:t>
      </w:r>
      <w:r w:rsidR="006679EE">
        <w:t xml:space="preserve"> </w:t>
      </w:r>
      <w:r w:rsidRPr="00C62D32">
        <w:t>is achieved by—</w:t>
      </w:r>
    </w:p>
    <w:p w14:paraId="161D222D" w14:textId="77777777" w:rsidR="00DB6E47" w:rsidRPr="0070667A" w:rsidRDefault="00DB6E47" w:rsidP="00DB6E47">
      <w:pPr>
        <w:pStyle w:val="Apara"/>
      </w:pPr>
      <w:r w:rsidRPr="0070667A">
        <w:tab/>
        <w:t>(a)</w:t>
      </w:r>
      <w:r w:rsidRPr="0070667A">
        <w:tab/>
        <w:t xml:space="preserve">allowing entities to collect, hold, use and disclose intelligent access </w:t>
      </w:r>
      <w:r w:rsidR="005C333E">
        <w:t xml:space="preserve">program </w:t>
      </w:r>
      <w:r w:rsidRPr="0070667A">
        <w:t>information for only limited purposes and subject to restrictions; and</w:t>
      </w:r>
    </w:p>
    <w:p w14:paraId="76B4D6AF" w14:textId="77777777" w:rsidR="00DB6E47" w:rsidRPr="0070667A" w:rsidRDefault="00DB6E47" w:rsidP="00DB6E47">
      <w:pPr>
        <w:pStyle w:val="Apara"/>
      </w:pPr>
      <w:r w:rsidRPr="0070667A">
        <w:tab/>
        <w:t>(b)</w:t>
      </w:r>
      <w:r w:rsidRPr="0070667A">
        <w:tab/>
        <w:t xml:space="preserve">requiring entities with monitoring or auditing functions to ensure intelligent access </w:t>
      </w:r>
      <w:r w:rsidR="005C333E">
        <w:t xml:space="preserve">program </w:t>
      </w:r>
      <w:r w:rsidRPr="0070667A">
        <w:t>information collected is accurate, complete and up to date; and</w:t>
      </w:r>
    </w:p>
    <w:p w14:paraId="129CFC93" w14:textId="77777777" w:rsidR="00DB6E47" w:rsidRPr="0070667A" w:rsidRDefault="00DB6E47" w:rsidP="00DB6E47">
      <w:pPr>
        <w:pStyle w:val="Apara"/>
      </w:pPr>
      <w:r w:rsidRPr="0070667A">
        <w:lastRenderedPageBreak/>
        <w:tab/>
        <w:t>(c)</w:t>
      </w:r>
      <w:r w:rsidRPr="0070667A">
        <w:tab/>
        <w:t>requiring entities who collect intelligent access</w:t>
      </w:r>
      <w:r w:rsidR="005C333E">
        <w:t xml:space="preserve"> program</w:t>
      </w:r>
      <w:r w:rsidRPr="0070667A">
        <w:t xml:space="preserve"> information to protect the information and destroy it when it is no longer required by the entities; and</w:t>
      </w:r>
    </w:p>
    <w:p w14:paraId="2B9256C4" w14:textId="77777777" w:rsidR="00DB6E47" w:rsidRPr="0070667A" w:rsidRDefault="00DB6E47" w:rsidP="00DB6E47">
      <w:pPr>
        <w:pStyle w:val="Apara"/>
      </w:pPr>
      <w:r w:rsidRPr="0070667A">
        <w:tab/>
        <w:t>(d)</w:t>
      </w:r>
      <w:r w:rsidRPr="0070667A">
        <w:tab/>
        <w:t>providing for persons about whom an entity holds personal information to have access to the information and have it corrected in appropriate circumstances.</w:t>
      </w:r>
    </w:p>
    <w:p w14:paraId="28175BFF" w14:textId="77777777" w:rsidR="00DB6E47" w:rsidRPr="007E1F9A" w:rsidRDefault="00DB6E47" w:rsidP="00DB6E47">
      <w:pPr>
        <w:pStyle w:val="AH5Sec"/>
      </w:pPr>
      <w:bookmarkStart w:id="463" w:name="_Toc83625807"/>
      <w:r w:rsidRPr="005E03F7">
        <w:rPr>
          <w:rStyle w:val="CharSectNo"/>
        </w:rPr>
        <w:t>401</w:t>
      </w:r>
      <w:r w:rsidRPr="007E1F9A">
        <w:tab/>
        <w:t>What the Intelligent Access Program is</w:t>
      </w:r>
      <w:bookmarkEnd w:id="463"/>
    </w:p>
    <w:p w14:paraId="2331015B" w14:textId="77777777" w:rsidR="00DB6E47" w:rsidRPr="00C62D32" w:rsidRDefault="00DB6E47" w:rsidP="00DB6E47">
      <w:pPr>
        <w:pStyle w:val="Amainreturn"/>
      </w:pPr>
      <w:r w:rsidRPr="00C62D32">
        <w:t>The Intelligent Access Program is a program to allow heavy vehicles to have access, or improved access, to the road network in return for monitoring, by an intelligent transport system, of their compliance with stated access conditions.</w:t>
      </w:r>
    </w:p>
    <w:p w14:paraId="2A0DD0FC" w14:textId="77777777" w:rsidR="00DB6E47" w:rsidRPr="007E1F9A" w:rsidRDefault="00DB6E47" w:rsidP="00DB6E47">
      <w:pPr>
        <w:pStyle w:val="AH5Sec"/>
      </w:pPr>
      <w:bookmarkStart w:id="464" w:name="_Toc83625808"/>
      <w:r w:rsidRPr="005E03F7">
        <w:rPr>
          <w:rStyle w:val="CharSectNo"/>
        </w:rPr>
        <w:t>402</w:t>
      </w:r>
      <w:r w:rsidRPr="007E1F9A">
        <w:tab/>
        <w:t>Application of Ch 7</w:t>
      </w:r>
      <w:bookmarkEnd w:id="464"/>
    </w:p>
    <w:p w14:paraId="6F170D9D" w14:textId="77777777" w:rsidR="00DB6E47" w:rsidRPr="00C62D32" w:rsidRDefault="00DB6E47" w:rsidP="00DB6E47">
      <w:pPr>
        <w:pStyle w:val="Amain"/>
      </w:pPr>
      <w:r w:rsidRPr="00C62D32">
        <w:tab/>
        <w:t>(1)</w:t>
      </w:r>
      <w:r w:rsidRPr="00C62D32">
        <w:tab/>
        <w:t>This Chapter applies in relation to a heavy vehicle for which a mass or dimension authority is in force with the following conditions (</w:t>
      </w:r>
      <w:r w:rsidRPr="00FF4454">
        <w:rPr>
          <w:rStyle w:val="charBoldItals"/>
        </w:rPr>
        <w:t xml:space="preserve">intelligent access </w:t>
      </w:r>
      <w:r w:rsidR="005655A7">
        <w:rPr>
          <w:rStyle w:val="charBoldItals"/>
        </w:rPr>
        <w:t xml:space="preserve">program </w:t>
      </w:r>
      <w:r w:rsidRPr="00FF4454">
        <w:rPr>
          <w:rStyle w:val="charBoldItals"/>
        </w:rPr>
        <w:t>conditions</w:t>
      </w:r>
      <w:r w:rsidRPr="00C62D32">
        <w:t>)—</w:t>
      </w:r>
    </w:p>
    <w:p w14:paraId="62723778" w14:textId="77777777" w:rsidR="00DB6E47" w:rsidRPr="0070667A" w:rsidRDefault="00DB6E47" w:rsidP="00DB6E47">
      <w:pPr>
        <w:pStyle w:val="Apara"/>
      </w:pPr>
      <w:r w:rsidRPr="0070667A">
        <w:tab/>
        <w:t>(a)</w:t>
      </w:r>
      <w:r w:rsidRPr="0070667A">
        <w:tab/>
        <w:t>a condition about the areas or routes to which the authority applies;</w:t>
      </w:r>
    </w:p>
    <w:p w14:paraId="52C6E51D" w14:textId="77777777" w:rsidR="00DB6E47" w:rsidRPr="0070667A" w:rsidRDefault="00DB6E47" w:rsidP="00DB6E47">
      <w:pPr>
        <w:pStyle w:val="Apara"/>
      </w:pPr>
      <w:r w:rsidRPr="0070667A">
        <w:tab/>
        <w:t>(b)</w:t>
      </w:r>
      <w:r w:rsidRPr="0070667A">
        <w:tab/>
        <w:t>conditions about the use of a heavy vehicle on a road under the authority, including, for example, conditions about one or more of the following—</w:t>
      </w:r>
    </w:p>
    <w:p w14:paraId="3350604E" w14:textId="77777777" w:rsidR="00DB6E47" w:rsidRPr="00516F02" w:rsidRDefault="00DB6E47" w:rsidP="00DB6E47">
      <w:pPr>
        <w:pStyle w:val="Asubpara"/>
      </w:pPr>
      <w:r w:rsidRPr="00516F02">
        <w:tab/>
        <w:t>(i)</w:t>
      </w:r>
      <w:r w:rsidRPr="00516F02">
        <w:tab/>
        <w:t>the maximum permissible mass of the vehicle, or the vehicle together with its load, while it is being used on the road under the authority;</w:t>
      </w:r>
    </w:p>
    <w:p w14:paraId="2D8B50DA" w14:textId="77777777" w:rsidR="00DB6E47" w:rsidRPr="00516F02" w:rsidRDefault="00DB6E47" w:rsidP="00DB6E47">
      <w:pPr>
        <w:pStyle w:val="Asubpara"/>
      </w:pPr>
      <w:r w:rsidRPr="00516F02">
        <w:tab/>
        <w:t>(ii)</w:t>
      </w:r>
      <w:r w:rsidRPr="00516F02">
        <w:tab/>
        <w:t>the times when the vehicle may be used on the road under the authority;</w:t>
      </w:r>
    </w:p>
    <w:p w14:paraId="54A97DBB" w14:textId="77777777" w:rsidR="00DB6E47" w:rsidRPr="00516F02" w:rsidRDefault="00DB6E47" w:rsidP="00DB6E47">
      <w:pPr>
        <w:pStyle w:val="Asubpara"/>
      </w:pPr>
      <w:r w:rsidRPr="00516F02">
        <w:tab/>
        <w:t>(iii)</w:t>
      </w:r>
      <w:r w:rsidRPr="00516F02">
        <w:tab/>
        <w:t>the maximum speed at which the vehicle may be driven on the road under the authority;</w:t>
      </w:r>
    </w:p>
    <w:p w14:paraId="0549542A" w14:textId="77777777" w:rsidR="00DB6E47" w:rsidRPr="0070667A" w:rsidRDefault="00DB6E47" w:rsidP="00EA7DF4">
      <w:pPr>
        <w:pStyle w:val="Apara"/>
        <w:keepNext/>
      </w:pPr>
      <w:r w:rsidRPr="0070667A">
        <w:lastRenderedPageBreak/>
        <w:tab/>
        <w:t>(c)</w:t>
      </w:r>
      <w:r w:rsidRPr="0070667A">
        <w:tab/>
        <w:t>conditions that—</w:t>
      </w:r>
    </w:p>
    <w:p w14:paraId="692E91F1" w14:textId="77777777" w:rsidR="00DB6E47" w:rsidRPr="00516F02" w:rsidRDefault="00DB6E47" w:rsidP="00DB6E47">
      <w:pPr>
        <w:pStyle w:val="Asubpara"/>
      </w:pPr>
      <w:r w:rsidRPr="00516F02">
        <w:tab/>
        <w:t>(i)</w:t>
      </w:r>
      <w:r w:rsidRPr="00516F02">
        <w:tab/>
        <w:t>a heavy vehicle’s compliance with the con</w:t>
      </w:r>
      <w:r w:rsidR="006679EE">
        <w:t xml:space="preserve">ditions mentioned in paragraphs </w:t>
      </w:r>
      <w:r w:rsidRPr="00516F02">
        <w:t>(a)</w:t>
      </w:r>
      <w:r w:rsidR="006679EE">
        <w:t xml:space="preserve"> and </w:t>
      </w:r>
      <w:r w:rsidRPr="00516F02">
        <w:t>(b)</w:t>
      </w:r>
      <w:r w:rsidR="006679EE">
        <w:t xml:space="preserve"> </w:t>
      </w:r>
      <w:r w:rsidRPr="00516F02">
        <w:t xml:space="preserve">is monitored by an approved intelligent transport system used by an intelligent access </w:t>
      </w:r>
      <w:r w:rsidR="00542C4E">
        <w:t xml:space="preserve">program </w:t>
      </w:r>
      <w:r w:rsidRPr="00516F02">
        <w:t>service provider; and</w:t>
      </w:r>
    </w:p>
    <w:p w14:paraId="3AA1BDB7" w14:textId="77777777" w:rsidR="00DB6E47" w:rsidRPr="00516F02" w:rsidRDefault="00DB6E47" w:rsidP="00DB6E47">
      <w:pPr>
        <w:pStyle w:val="Asubpara"/>
      </w:pPr>
      <w:r w:rsidRPr="00516F02">
        <w:tab/>
        <w:t>(ii)</w:t>
      </w:r>
      <w:r w:rsidRPr="00516F02">
        <w:tab/>
        <w:t>any noncompliance reports made by the system are sent to the Regulator within a stated period.</w:t>
      </w:r>
    </w:p>
    <w:p w14:paraId="69F7F649" w14:textId="77777777" w:rsidR="00DB6E47" w:rsidRPr="00C62D32" w:rsidRDefault="00DB6E47" w:rsidP="00DB6E47">
      <w:pPr>
        <w:pStyle w:val="Amain"/>
      </w:pPr>
      <w:r w:rsidRPr="00C62D32">
        <w:tab/>
        <w:t>(2)</w:t>
      </w:r>
      <w:r w:rsidRPr="00C62D32">
        <w:tab/>
        <w:t xml:space="preserve">This Chapter also applies in relation to a heavy vehicle for which an HML authority is in force with the conditions (also </w:t>
      </w:r>
      <w:r w:rsidRPr="00FF4454">
        <w:rPr>
          <w:rStyle w:val="charBoldItals"/>
        </w:rPr>
        <w:t xml:space="preserve">intelligent access </w:t>
      </w:r>
      <w:r w:rsidR="005655A7">
        <w:rPr>
          <w:rStyle w:val="charBoldItals"/>
        </w:rPr>
        <w:t xml:space="preserve">program </w:t>
      </w:r>
      <w:r w:rsidRPr="00FF4454">
        <w:rPr>
          <w:rStyle w:val="charBoldItals"/>
        </w:rPr>
        <w:t>conditions</w:t>
      </w:r>
      <w:r w:rsidRPr="00C62D32">
        <w:t>) that—</w:t>
      </w:r>
    </w:p>
    <w:p w14:paraId="68B0426E" w14:textId="77777777" w:rsidR="00DB6E47" w:rsidRPr="00516F02" w:rsidRDefault="00DB6E47" w:rsidP="00DB6E47">
      <w:pPr>
        <w:pStyle w:val="Apara"/>
      </w:pPr>
      <w:r w:rsidRPr="00516F02">
        <w:tab/>
        <w:t>(a)</w:t>
      </w:r>
      <w:r w:rsidRPr="00516F02">
        <w:tab/>
        <w:t xml:space="preserve">either or both of the following is monitored by an approved intelligent transport system used by an intelligent access </w:t>
      </w:r>
      <w:r w:rsidR="00A85615">
        <w:t xml:space="preserve">program </w:t>
      </w:r>
      <w:r w:rsidRPr="00516F02">
        <w:t>service provider—</w:t>
      </w:r>
    </w:p>
    <w:p w14:paraId="4CF17616" w14:textId="77777777" w:rsidR="00DB6E47" w:rsidRPr="00516F02" w:rsidRDefault="00DB6E47" w:rsidP="00DB6E47">
      <w:pPr>
        <w:pStyle w:val="Asubpara"/>
      </w:pPr>
      <w:r w:rsidRPr="00516F02">
        <w:tab/>
        <w:t>(i)</w:t>
      </w:r>
      <w:r w:rsidRPr="00516F02">
        <w:tab/>
        <w:t>the roads on which the vehicle is used under the higher mass limits;</w:t>
      </w:r>
    </w:p>
    <w:p w14:paraId="664C1B0F" w14:textId="77777777" w:rsidR="00DB6E47" w:rsidRPr="00516F02" w:rsidRDefault="00DB6E47" w:rsidP="00DB6E47">
      <w:pPr>
        <w:pStyle w:val="Asubpara"/>
      </w:pPr>
      <w:r w:rsidRPr="00516F02">
        <w:tab/>
        <w:t>(ii)</w:t>
      </w:r>
      <w:r w:rsidRPr="00516F02">
        <w:tab/>
        <w:t>the vehicle’s compliance with conditions about the use of a heavy vehicle on a road under the higher mass limits, including, for example, conditions about one or more of the following—</w:t>
      </w:r>
    </w:p>
    <w:p w14:paraId="10B6EBF7" w14:textId="77777777" w:rsidR="00DB6E47" w:rsidRPr="006679EE" w:rsidRDefault="00DB6E47" w:rsidP="006679EE">
      <w:pPr>
        <w:pStyle w:val="Asubsubpara"/>
      </w:pPr>
      <w:r w:rsidRPr="00FF4454">
        <w:tab/>
      </w:r>
      <w:r w:rsidRPr="00F04D8E">
        <w:rPr>
          <w:rFonts w:cs="Times"/>
          <w:bCs/>
          <w:iCs/>
        </w:rPr>
        <w:t>(</w:t>
      </w:r>
      <w:r w:rsidR="006679EE">
        <w:rPr>
          <w:rFonts w:cs="Times"/>
          <w:bCs/>
          <w:iCs/>
        </w:rPr>
        <w:t>A</w:t>
      </w:r>
      <w:r w:rsidRPr="00F04D8E">
        <w:rPr>
          <w:rFonts w:cs="Times"/>
          <w:bCs/>
          <w:iCs/>
        </w:rPr>
        <w:t>)</w:t>
      </w:r>
      <w:r w:rsidRPr="00FF4454">
        <w:rPr>
          <w:rStyle w:val="charBoldItals"/>
        </w:rPr>
        <w:tab/>
      </w:r>
      <w:r w:rsidRPr="006679EE">
        <w:t>the times when the vehicle may be driven on the road under the higher mass limits;</w:t>
      </w:r>
    </w:p>
    <w:p w14:paraId="54870A37" w14:textId="77777777" w:rsidR="00DB6E47" w:rsidRPr="006679EE" w:rsidRDefault="00DB6E47" w:rsidP="006679EE">
      <w:pPr>
        <w:pStyle w:val="Asubsubpara"/>
      </w:pPr>
      <w:r w:rsidRPr="006679EE">
        <w:tab/>
        <w:t>(</w:t>
      </w:r>
      <w:r w:rsidR="006679EE">
        <w:t>B</w:t>
      </w:r>
      <w:r w:rsidRPr="006679EE">
        <w:t>)</w:t>
      </w:r>
      <w:r w:rsidRPr="006679EE">
        <w:tab/>
        <w:t>the maximum speed at which the vehicle may be driven on the road under the higher mass limits; and</w:t>
      </w:r>
    </w:p>
    <w:p w14:paraId="5B9FD59E" w14:textId="77777777" w:rsidR="00DB6E47" w:rsidRPr="00516F02" w:rsidRDefault="00DB6E47" w:rsidP="00DB6E47">
      <w:pPr>
        <w:pStyle w:val="Apara"/>
      </w:pPr>
      <w:r w:rsidRPr="00516F02">
        <w:tab/>
        <w:t>(b)</w:t>
      </w:r>
      <w:r w:rsidRPr="00516F02">
        <w:tab/>
        <w:t>any noncompliance reports made by the system are sent to the Regulator within a stated period.</w:t>
      </w:r>
    </w:p>
    <w:p w14:paraId="1DD2EEFC" w14:textId="77777777" w:rsidR="00DB6E47" w:rsidRPr="007E1F9A" w:rsidRDefault="00DB6E47" w:rsidP="00DB6E47">
      <w:pPr>
        <w:pStyle w:val="AH5Sec"/>
      </w:pPr>
      <w:bookmarkStart w:id="465" w:name="_Toc83625809"/>
      <w:r w:rsidRPr="005E03F7">
        <w:rPr>
          <w:rStyle w:val="CharSectNo"/>
        </w:rPr>
        <w:lastRenderedPageBreak/>
        <w:t>403</w:t>
      </w:r>
      <w:r w:rsidRPr="007E1F9A">
        <w:tab/>
        <w:t>Definitions for Ch 7</w:t>
      </w:r>
      <w:bookmarkEnd w:id="465"/>
    </w:p>
    <w:p w14:paraId="4026F231" w14:textId="77777777" w:rsidR="00DB6E47" w:rsidRPr="006C3305" w:rsidRDefault="00DB6E47" w:rsidP="00EA7DF4">
      <w:pPr>
        <w:pStyle w:val="Amainreturn"/>
        <w:keepNext/>
      </w:pPr>
      <w:r w:rsidRPr="006C3305">
        <w:t>In this Chapter—</w:t>
      </w:r>
    </w:p>
    <w:p w14:paraId="312627EE" w14:textId="77777777" w:rsidR="00DB6E47" w:rsidRPr="00041046" w:rsidRDefault="00DB6E47" w:rsidP="00EA7DF4">
      <w:pPr>
        <w:pStyle w:val="aDef"/>
        <w:keepLines/>
        <w:rPr>
          <w:bCs/>
        </w:rPr>
      </w:pPr>
      <w:r w:rsidRPr="00041046">
        <w:rPr>
          <w:rStyle w:val="charBoldItals"/>
        </w:rPr>
        <w:t>approved intelligent transport system</w:t>
      </w:r>
      <w:r w:rsidRPr="00041046">
        <w:t xml:space="preserve"> means an intelligent transport system approved by TCA, for the purposes of the Intelligent Access Program, for use by an intelligent access</w:t>
      </w:r>
      <w:r w:rsidR="00542C4E">
        <w:t xml:space="preserve"> program</w:t>
      </w:r>
      <w:r w:rsidRPr="00041046">
        <w:t xml:space="preserve"> service provider to monitor the relevant monitoring matters for an intelligent access </w:t>
      </w:r>
      <w:r w:rsidR="00542C4E">
        <w:t xml:space="preserve">program </w:t>
      </w:r>
      <w:r w:rsidRPr="00041046">
        <w:t>vehicle.</w:t>
      </w:r>
    </w:p>
    <w:p w14:paraId="1FD69F0B" w14:textId="77777777" w:rsidR="00DB6E47" w:rsidRPr="00041046" w:rsidRDefault="00DB6E47" w:rsidP="00DB6E47">
      <w:pPr>
        <w:pStyle w:val="aDef"/>
        <w:rPr>
          <w:bCs/>
        </w:rPr>
      </w:pPr>
      <w:r w:rsidRPr="00041046">
        <w:rPr>
          <w:rStyle w:val="charBoldItals"/>
        </w:rPr>
        <w:t>higher mass limits</w:t>
      </w:r>
      <w:r w:rsidRPr="00041046">
        <w:t xml:space="preserve"> means the higher mass limits applying under the mass requirements.</w:t>
      </w:r>
    </w:p>
    <w:p w14:paraId="07A02AB6" w14:textId="77777777" w:rsidR="00DB6E47" w:rsidRPr="00041046" w:rsidRDefault="00DB6E47" w:rsidP="00DB6E47">
      <w:pPr>
        <w:pStyle w:val="aDef"/>
        <w:rPr>
          <w:bCs/>
        </w:rPr>
      </w:pPr>
      <w:r w:rsidRPr="00041046">
        <w:rPr>
          <w:rStyle w:val="charBoldItals"/>
        </w:rPr>
        <w:t>HML authority</w:t>
      </w:r>
      <w:r w:rsidRPr="00041046">
        <w:t xml:space="preserve"> means a declaration made, or permit granted, under the national regulations allowing a heavy vehicle to be used on a road under the higher mass limits.</w:t>
      </w:r>
    </w:p>
    <w:p w14:paraId="2693470F" w14:textId="77777777" w:rsidR="00DB6E47" w:rsidRPr="00041046" w:rsidRDefault="00DB6E47" w:rsidP="00DB6E47">
      <w:pPr>
        <w:pStyle w:val="aDef"/>
        <w:rPr>
          <w:bCs/>
        </w:rPr>
      </w:pPr>
      <w:r w:rsidRPr="00041046">
        <w:rPr>
          <w:rStyle w:val="charBoldItals"/>
        </w:rPr>
        <w:t xml:space="preserve">intelligent access </w:t>
      </w:r>
      <w:r w:rsidR="00083687">
        <w:rPr>
          <w:rStyle w:val="charBoldItals"/>
        </w:rPr>
        <w:t xml:space="preserve">program </w:t>
      </w:r>
      <w:r w:rsidRPr="00041046">
        <w:rPr>
          <w:rStyle w:val="charBoldItals"/>
        </w:rPr>
        <w:t>agreement</w:t>
      </w:r>
      <w:r w:rsidRPr="00041046">
        <w:t xml:space="preserve"> means an agreement between the operator of a heavy vehicle and an intelligent access</w:t>
      </w:r>
      <w:r w:rsidR="00542C4E">
        <w:t xml:space="preserve"> program</w:t>
      </w:r>
      <w:r w:rsidRPr="00041046">
        <w:t xml:space="preserve"> service provider under which the service provider agrees to monitor, by using an approved intelligent transport system, the relevant monitoring matters for the vehicle.</w:t>
      </w:r>
    </w:p>
    <w:p w14:paraId="7B19D41A" w14:textId="77777777" w:rsidR="00DB6E47" w:rsidRPr="00041046" w:rsidRDefault="00DB6E47" w:rsidP="00DB6E47">
      <w:pPr>
        <w:pStyle w:val="aDef"/>
        <w:rPr>
          <w:bCs/>
        </w:rPr>
      </w:pPr>
      <w:r w:rsidRPr="00041046">
        <w:rPr>
          <w:rStyle w:val="charBoldItals"/>
        </w:rPr>
        <w:t xml:space="preserve">intelligent access </w:t>
      </w:r>
      <w:r w:rsidR="00461C89">
        <w:rPr>
          <w:rStyle w:val="charBoldItals"/>
        </w:rPr>
        <w:t xml:space="preserve">program </w:t>
      </w:r>
      <w:r w:rsidRPr="00041046">
        <w:rPr>
          <w:rStyle w:val="charBoldItals"/>
        </w:rPr>
        <w:t>audit</w:t>
      </w:r>
      <w:r w:rsidRPr="00041046">
        <w:t xml:space="preserve"> means the process of doing 1 or more of the following—</w:t>
      </w:r>
    </w:p>
    <w:p w14:paraId="28EAD87E" w14:textId="77777777" w:rsidR="00DB6E47" w:rsidRPr="006679EE" w:rsidRDefault="00DB6E47" w:rsidP="00DB6E47">
      <w:pPr>
        <w:pStyle w:val="aDefpara"/>
      </w:pPr>
      <w:r w:rsidRPr="00FF4454">
        <w:tab/>
      </w:r>
      <w:r w:rsidRPr="00F04D8E">
        <w:rPr>
          <w:rFonts w:cs="Times"/>
          <w:bCs/>
          <w:iCs/>
        </w:rPr>
        <w:t>(a)</w:t>
      </w:r>
      <w:r w:rsidRPr="00FF4454">
        <w:rPr>
          <w:rStyle w:val="charBoldItals"/>
        </w:rPr>
        <w:tab/>
      </w:r>
      <w:r w:rsidRPr="006679EE">
        <w:t xml:space="preserve">reviewing intelligent access </w:t>
      </w:r>
      <w:r w:rsidR="005C333E">
        <w:t xml:space="preserve">program </w:t>
      </w:r>
      <w:r w:rsidRPr="006679EE">
        <w:t xml:space="preserve">information held by an intelligent access </w:t>
      </w:r>
      <w:r w:rsidR="00542C4E">
        <w:t xml:space="preserve">program </w:t>
      </w:r>
      <w:r w:rsidRPr="006679EE">
        <w:t>service provider to assess whether the information is accurate, complete and up to date;</w:t>
      </w:r>
    </w:p>
    <w:p w14:paraId="548014BE" w14:textId="77777777" w:rsidR="00DB6E47" w:rsidRPr="006679EE" w:rsidRDefault="00DB6E47" w:rsidP="00DB6E47">
      <w:pPr>
        <w:pStyle w:val="aDefpara"/>
      </w:pPr>
      <w:r w:rsidRPr="006679EE">
        <w:tab/>
        <w:t>(b)</w:t>
      </w:r>
      <w:r w:rsidRPr="006679EE">
        <w:tab/>
        <w:t xml:space="preserve">reviewing the processes by which intelligent access </w:t>
      </w:r>
      <w:r w:rsidR="005C333E">
        <w:t xml:space="preserve">program </w:t>
      </w:r>
      <w:r w:rsidRPr="006679EE">
        <w:t xml:space="preserve">information held by an intelligent access </w:t>
      </w:r>
      <w:r w:rsidR="00542C4E">
        <w:t xml:space="preserve">program </w:t>
      </w:r>
      <w:r w:rsidRPr="006679EE">
        <w:t>service provider is generated, recorded, stored, displayed, analysed, transmitted and reported;</w:t>
      </w:r>
    </w:p>
    <w:p w14:paraId="50A894FD" w14:textId="77777777" w:rsidR="00DB6E47" w:rsidRPr="006679EE" w:rsidRDefault="00DB6E47" w:rsidP="00DB6E47">
      <w:pPr>
        <w:pStyle w:val="aDefpara"/>
      </w:pPr>
      <w:r w:rsidRPr="006679EE">
        <w:tab/>
        <w:t>(c)</w:t>
      </w:r>
      <w:r w:rsidRPr="006679EE">
        <w:tab/>
        <w:t xml:space="preserve">examining how intelligent access </w:t>
      </w:r>
      <w:r w:rsidR="005C333E">
        <w:t xml:space="preserve">program </w:t>
      </w:r>
      <w:r w:rsidRPr="006679EE">
        <w:t xml:space="preserve">information held by an intelligent access </w:t>
      </w:r>
      <w:r w:rsidR="00542C4E">
        <w:t xml:space="preserve">program </w:t>
      </w:r>
      <w:r w:rsidRPr="006679EE">
        <w:t>service provider is used and disclosed by the service provider;</w:t>
      </w:r>
    </w:p>
    <w:p w14:paraId="6E689130" w14:textId="77777777" w:rsidR="00DB6E47" w:rsidRPr="006679EE" w:rsidRDefault="00DB6E47" w:rsidP="00DB6E47">
      <w:pPr>
        <w:pStyle w:val="aDefpara"/>
      </w:pPr>
      <w:r w:rsidRPr="006679EE">
        <w:tab/>
        <w:t>(d)</w:t>
      </w:r>
      <w:r w:rsidRPr="006679EE">
        <w:tab/>
        <w:t xml:space="preserve">examining an approved intelligent transport system. </w:t>
      </w:r>
    </w:p>
    <w:p w14:paraId="3C96D221" w14:textId="77777777" w:rsidR="00DB6E47" w:rsidRPr="00041046" w:rsidRDefault="00DB6E47" w:rsidP="00DB6E47">
      <w:pPr>
        <w:pStyle w:val="aDef"/>
        <w:rPr>
          <w:bCs/>
        </w:rPr>
      </w:pPr>
      <w:r w:rsidRPr="00041046">
        <w:rPr>
          <w:rStyle w:val="charBoldItals"/>
        </w:rPr>
        <w:lastRenderedPageBreak/>
        <w:t xml:space="preserve">intelligent access </w:t>
      </w:r>
      <w:r w:rsidR="005655A7">
        <w:rPr>
          <w:rStyle w:val="charBoldItals"/>
        </w:rPr>
        <w:t xml:space="preserve">program </w:t>
      </w:r>
      <w:r w:rsidRPr="00041046">
        <w:rPr>
          <w:rStyle w:val="charBoldItals"/>
        </w:rPr>
        <w:t>conditions</w:t>
      </w:r>
      <w:r w:rsidRPr="00041046">
        <w:t xml:space="preserve"> has the meaning given by section 402.</w:t>
      </w:r>
    </w:p>
    <w:p w14:paraId="010800DA" w14:textId="77777777" w:rsidR="00DB6E47" w:rsidRPr="00041046" w:rsidRDefault="00DB6E47" w:rsidP="00DB6E47">
      <w:pPr>
        <w:pStyle w:val="aDef"/>
        <w:rPr>
          <w:bCs/>
        </w:rPr>
      </w:pPr>
      <w:r w:rsidRPr="00041046">
        <w:rPr>
          <w:rStyle w:val="charBoldItals"/>
        </w:rPr>
        <w:t xml:space="preserve">intelligent access </w:t>
      </w:r>
      <w:r w:rsidR="005C333E">
        <w:rPr>
          <w:rStyle w:val="charBoldItals"/>
        </w:rPr>
        <w:t xml:space="preserve">program </w:t>
      </w:r>
      <w:r w:rsidRPr="00041046">
        <w:rPr>
          <w:rStyle w:val="charBoldItals"/>
        </w:rPr>
        <w:t>information</w:t>
      </w:r>
      <w:r w:rsidRPr="00041046">
        <w:t xml:space="preserve"> means information generated, recorded, stored, displayed, analysed, transmitted or reported by an approved intelligent transport system for any purpose relating to the Intelligent Access Program.</w:t>
      </w:r>
    </w:p>
    <w:p w14:paraId="2B155BE6" w14:textId="77777777" w:rsidR="00DB6E47" w:rsidRPr="00041046" w:rsidRDefault="00DB6E47" w:rsidP="00DB6E47">
      <w:pPr>
        <w:pStyle w:val="aDef"/>
        <w:rPr>
          <w:bCs/>
        </w:rPr>
      </w:pPr>
      <w:r w:rsidRPr="00041046">
        <w:rPr>
          <w:rStyle w:val="charBoldItals"/>
        </w:rPr>
        <w:t>Intelligent Access Program</w:t>
      </w:r>
      <w:r w:rsidRPr="00041046">
        <w:t xml:space="preserve"> has the meaning given in section 401.</w:t>
      </w:r>
    </w:p>
    <w:p w14:paraId="6D7362F1" w14:textId="77777777" w:rsidR="00DB6E47" w:rsidRPr="00041046" w:rsidRDefault="00DB6E47" w:rsidP="00DB6E47">
      <w:pPr>
        <w:pStyle w:val="aDef"/>
        <w:rPr>
          <w:bCs/>
        </w:rPr>
      </w:pPr>
      <w:r w:rsidRPr="00041046">
        <w:rPr>
          <w:rStyle w:val="charBoldItals"/>
        </w:rPr>
        <w:t xml:space="preserve">intelligent access </w:t>
      </w:r>
      <w:r w:rsidR="000426D8">
        <w:rPr>
          <w:rStyle w:val="charBoldItals"/>
        </w:rPr>
        <w:t xml:space="preserve">program </w:t>
      </w:r>
      <w:r w:rsidRPr="00041046">
        <w:rPr>
          <w:rStyle w:val="charBoldItals"/>
        </w:rPr>
        <w:t>service provider</w:t>
      </w:r>
      <w:r w:rsidRPr="00041046">
        <w:t xml:space="preserve"> means a person certified by TCA as a service provider for monitoring, by using an approved intelligent transport system, the relevant monitoring matters for an intelligent access </w:t>
      </w:r>
      <w:r w:rsidR="00542C4E">
        <w:t xml:space="preserve">program </w:t>
      </w:r>
      <w:r w:rsidRPr="00041046">
        <w:t>vehicle.</w:t>
      </w:r>
    </w:p>
    <w:p w14:paraId="7EA79B77" w14:textId="77777777" w:rsidR="00DB6E47" w:rsidRPr="00041046" w:rsidRDefault="00DB6E47" w:rsidP="00DB6E47">
      <w:pPr>
        <w:pStyle w:val="aDef"/>
        <w:rPr>
          <w:bCs/>
        </w:rPr>
      </w:pPr>
      <w:r w:rsidRPr="00041046">
        <w:rPr>
          <w:rStyle w:val="charBoldItals"/>
        </w:rPr>
        <w:t xml:space="preserve">intelligent access </w:t>
      </w:r>
      <w:r w:rsidR="000A4E7F">
        <w:rPr>
          <w:rStyle w:val="charBoldItals"/>
        </w:rPr>
        <w:t xml:space="preserve">program </w:t>
      </w:r>
      <w:r w:rsidRPr="00041046">
        <w:rPr>
          <w:rStyle w:val="charBoldItals"/>
        </w:rPr>
        <w:t>vehicle</w:t>
      </w:r>
      <w:r w:rsidRPr="00041046">
        <w:t xml:space="preserve"> means a heavy vehicle—</w:t>
      </w:r>
    </w:p>
    <w:p w14:paraId="7F0419A4" w14:textId="77777777" w:rsidR="00DB6E47" w:rsidRPr="006679EE" w:rsidRDefault="00DB6E47" w:rsidP="00DB6E47">
      <w:pPr>
        <w:pStyle w:val="aDefpara"/>
      </w:pPr>
      <w:r w:rsidRPr="00F04D8E">
        <w:rPr>
          <w:rFonts w:cs="Times"/>
          <w:bCs/>
          <w:iCs/>
        </w:rPr>
        <w:tab/>
        <w:t>(a)</w:t>
      </w:r>
      <w:r w:rsidRPr="00FF4454">
        <w:rPr>
          <w:rStyle w:val="charBoldItals"/>
        </w:rPr>
        <w:tab/>
      </w:r>
      <w:r w:rsidRPr="006679EE">
        <w:t xml:space="preserve">for which a mass or dimension exemption is in force with intelligent access </w:t>
      </w:r>
      <w:r w:rsidR="005655A7">
        <w:t xml:space="preserve">program </w:t>
      </w:r>
      <w:r w:rsidRPr="006679EE">
        <w:t>condit</w:t>
      </w:r>
      <w:r w:rsidR="005655A7">
        <w:t>ions (as referred to in section </w:t>
      </w:r>
      <w:r w:rsidRPr="006679EE">
        <w:t>402(1)); or</w:t>
      </w:r>
    </w:p>
    <w:p w14:paraId="5B589AB1" w14:textId="77777777" w:rsidR="00DB6E47" w:rsidRPr="006679EE" w:rsidRDefault="00DB6E47" w:rsidP="00DB6E47">
      <w:pPr>
        <w:pStyle w:val="aDefpara"/>
      </w:pPr>
      <w:r w:rsidRPr="006679EE">
        <w:tab/>
        <w:t>(b)</w:t>
      </w:r>
      <w:r w:rsidRPr="006679EE">
        <w:tab/>
        <w:t xml:space="preserve">for which an HML authority is in force with intelligent access </w:t>
      </w:r>
      <w:r w:rsidR="005655A7">
        <w:t xml:space="preserve">program </w:t>
      </w:r>
      <w:r w:rsidRPr="006679EE">
        <w:t>conditions (as referred to in section 402(2)).</w:t>
      </w:r>
    </w:p>
    <w:p w14:paraId="71336AB7" w14:textId="77777777" w:rsidR="00DB6E47" w:rsidRPr="00041046" w:rsidRDefault="00DB6E47" w:rsidP="00DB6E47">
      <w:pPr>
        <w:pStyle w:val="aDef"/>
        <w:rPr>
          <w:bCs/>
        </w:rPr>
      </w:pPr>
      <w:r w:rsidRPr="00041046">
        <w:rPr>
          <w:rStyle w:val="charBoldItals"/>
        </w:rPr>
        <w:t>law enforcement purposes</w:t>
      </w:r>
      <w:r w:rsidRPr="00041046">
        <w:t xml:space="preserve"> means the purposes of investigating or prosecuting an offence against an Australian road law.</w:t>
      </w:r>
    </w:p>
    <w:p w14:paraId="5C91D654" w14:textId="77777777" w:rsidR="00DB6E47" w:rsidRPr="00041046" w:rsidRDefault="00DB6E47" w:rsidP="00DB6E47">
      <w:pPr>
        <w:pStyle w:val="aDef"/>
        <w:rPr>
          <w:bCs/>
        </w:rPr>
      </w:pPr>
      <w:r w:rsidRPr="00041046">
        <w:rPr>
          <w:rStyle w:val="charBoldItals"/>
        </w:rPr>
        <w:t>malfunction</w:t>
      </w:r>
      <w:r w:rsidRPr="00041046">
        <w:t>, in relation to an approved intelligent transport system, means the system—</w:t>
      </w:r>
    </w:p>
    <w:p w14:paraId="61D84B6D" w14:textId="77777777" w:rsidR="00DB6E47" w:rsidRPr="006679EE" w:rsidRDefault="00DB6E47" w:rsidP="00DB6E47">
      <w:pPr>
        <w:pStyle w:val="aDefpara"/>
      </w:pPr>
      <w:r w:rsidRPr="00FF4454">
        <w:tab/>
      </w:r>
      <w:r w:rsidRPr="00F04D8E">
        <w:rPr>
          <w:rFonts w:cs="Times"/>
          <w:bCs/>
          <w:iCs/>
        </w:rPr>
        <w:t>(a)</w:t>
      </w:r>
      <w:r w:rsidRPr="00FF4454">
        <w:rPr>
          <w:rStyle w:val="charBoldItals"/>
        </w:rPr>
        <w:tab/>
      </w:r>
      <w:r w:rsidRPr="006679EE">
        <w:t>ceases to work at all, or works only intermittently; or</w:t>
      </w:r>
    </w:p>
    <w:p w14:paraId="41D2788D" w14:textId="77777777" w:rsidR="00DB6E47" w:rsidRPr="006679EE" w:rsidRDefault="00DB6E47" w:rsidP="00DB6E47">
      <w:pPr>
        <w:pStyle w:val="aDefpara"/>
      </w:pPr>
      <w:r w:rsidRPr="006679EE">
        <w:tab/>
        <w:t>(b)</w:t>
      </w:r>
      <w:r w:rsidRPr="006679EE">
        <w:tab/>
        <w:t xml:space="preserve">does not perform one or more functions required under the Intelligent Access Program; or </w:t>
      </w:r>
    </w:p>
    <w:p w14:paraId="42679EE7" w14:textId="77777777" w:rsidR="00DB6E47" w:rsidRPr="006679EE" w:rsidRDefault="00DB6E47" w:rsidP="00DB6E47">
      <w:pPr>
        <w:pStyle w:val="aDefpara"/>
      </w:pPr>
      <w:r w:rsidRPr="006679EE">
        <w:tab/>
        <w:t>(c)</w:t>
      </w:r>
      <w:r w:rsidRPr="006679EE">
        <w:tab/>
        <w:t>performs a function mentioned in paragraph (b)—</w:t>
      </w:r>
    </w:p>
    <w:p w14:paraId="1C47CA0E" w14:textId="77777777" w:rsidR="00DB6E47" w:rsidRPr="006C3305" w:rsidRDefault="00DB6E47" w:rsidP="00DB6E47">
      <w:pPr>
        <w:pStyle w:val="aDefsubpara"/>
      </w:pPr>
      <w:r>
        <w:tab/>
      </w:r>
      <w:r w:rsidRPr="00F04D8E">
        <w:t>(i)</w:t>
      </w:r>
      <w:r w:rsidRPr="006C3305">
        <w:tab/>
        <w:t>only intermittently; or</w:t>
      </w:r>
    </w:p>
    <w:p w14:paraId="091F2F2A" w14:textId="77777777" w:rsidR="00DB6E47" w:rsidRPr="006679EE" w:rsidRDefault="00DB6E47" w:rsidP="006679EE">
      <w:pPr>
        <w:pStyle w:val="Asubpara"/>
      </w:pPr>
      <w:r w:rsidRPr="006679EE">
        <w:tab/>
        <w:t>(ii)</w:t>
      </w:r>
      <w:r w:rsidRPr="006679EE">
        <w:tab/>
        <w:t>in a way that the results of it doing so are inaccurate or unreliable, including intermittently inaccurate or unreliable.</w:t>
      </w:r>
    </w:p>
    <w:p w14:paraId="0C611AF4" w14:textId="77777777" w:rsidR="00DB6E47" w:rsidRPr="00041046" w:rsidRDefault="00DB6E47" w:rsidP="00DB6E47">
      <w:pPr>
        <w:pStyle w:val="aDef"/>
        <w:rPr>
          <w:bCs/>
        </w:rPr>
      </w:pPr>
      <w:r w:rsidRPr="00041046">
        <w:rPr>
          <w:rStyle w:val="charBoldItals"/>
        </w:rPr>
        <w:lastRenderedPageBreak/>
        <w:t>noncompliance report</w:t>
      </w:r>
      <w:r w:rsidRPr="00041046">
        <w:t xml:space="preserve"> means a report made by an approved intelligent transport system that reports either or both of the following—</w:t>
      </w:r>
    </w:p>
    <w:p w14:paraId="0453BB11" w14:textId="77777777" w:rsidR="00DB6E47" w:rsidRPr="006679EE" w:rsidRDefault="00DB6E47" w:rsidP="00DB6E47">
      <w:pPr>
        <w:pStyle w:val="aDefpara"/>
      </w:pPr>
      <w:r w:rsidRPr="00FF4454">
        <w:tab/>
      </w:r>
      <w:r w:rsidRPr="00F04D8E">
        <w:rPr>
          <w:rFonts w:cs="Times"/>
          <w:bCs/>
          <w:iCs/>
        </w:rPr>
        <w:t>(a)</w:t>
      </w:r>
      <w:r w:rsidRPr="00FF4454">
        <w:rPr>
          <w:rStyle w:val="charBoldItals"/>
        </w:rPr>
        <w:tab/>
      </w:r>
      <w:r w:rsidRPr="006679EE">
        <w:t xml:space="preserve">a relevant contravention for an intelligent access </w:t>
      </w:r>
      <w:r w:rsidR="00542C4E">
        <w:t xml:space="preserve">program </w:t>
      </w:r>
      <w:r w:rsidRPr="006679EE">
        <w:t>vehicle;</w:t>
      </w:r>
    </w:p>
    <w:p w14:paraId="1B3C260A" w14:textId="77777777" w:rsidR="00DB6E47" w:rsidRPr="006679EE" w:rsidRDefault="00DB6E47" w:rsidP="00DB6E47">
      <w:pPr>
        <w:pStyle w:val="aDefpara"/>
      </w:pPr>
      <w:r w:rsidRPr="006679EE">
        <w:tab/>
        <w:t>(b)</w:t>
      </w:r>
      <w:r w:rsidRPr="006679EE">
        <w:tab/>
        <w:t>apparent tampering with, or malfunctioning of, the system.</w:t>
      </w:r>
    </w:p>
    <w:p w14:paraId="6D8BFD36" w14:textId="77777777" w:rsidR="00DB6E47" w:rsidRPr="00041046" w:rsidRDefault="00DB6E47" w:rsidP="00DB6E47">
      <w:pPr>
        <w:pStyle w:val="aDef"/>
        <w:rPr>
          <w:bCs/>
        </w:rPr>
      </w:pPr>
      <w:r w:rsidRPr="00041046">
        <w:rPr>
          <w:rStyle w:val="charBoldItals"/>
        </w:rPr>
        <w:t>personal information</w:t>
      </w:r>
      <w:r w:rsidRPr="00041046">
        <w:t xml:space="preserve"> means personal information that is intelligent access </w:t>
      </w:r>
      <w:r w:rsidR="005C333E">
        <w:t xml:space="preserve">program </w:t>
      </w:r>
      <w:r w:rsidRPr="00041046">
        <w:t>information or otherwise collected for the purposes of this Chapter.</w:t>
      </w:r>
    </w:p>
    <w:p w14:paraId="2E7DE792" w14:textId="77777777" w:rsidR="00DB6E47" w:rsidRPr="00C96203" w:rsidRDefault="00DB6E47" w:rsidP="00DB6E47">
      <w:pPr>
        <w:pStyle w:val="aNote"/>
      </w:pPr>
      <w:r w:rsidRPr="00FF4454">
        <w:rPr>
          <w:rStyle w:val="charItals"/>
        </w:rPr>
        <w:t>Note</w:t>
      </w:r>
      <w:r w:rsidRPr="00C96203">
        <w:rPr>
          <w:rFonts w:cs="Times"/>
          <w:bCs/>
          <w:iCs/>
        </w:rPr>
        <w:t>—</w:t>
      </w:r>
    </w:p>
    <w:p w14:paraId="2F2995B2" w14:textId="77777777" w:rsidR="00DB6E47" w:rsidRPr="00C96203" w:rsidRDefault="00DB6E47" w:rsidP="00DB6E47">
      <w:pPr>
        <w:pStyle w:val="aNoteTextss"/>
      </w:pPr>
      <w:r w:rsidRPr="00C96203">
        <w:t>See also definition personal information in section 5.</w:t>
      </w:r>
    </w:p>
    <w:p w14:paraId="69609658" w14:textId="77777777" w:rsidR="00DB6E47" w:rsidRPr="00041046" w:rsidRDefault="00DB6E47" w:rsidP="00DB6E47">
      <w:pPr>
        <w:pStyle w:val="aDef"/>
        <w:rPr>
          <w:bCs/>
        </w:rPr>
      </w:pPr>
      <w:r w:rsidRPr="00041046">
        <w:rPr>
          <w:rStyle w:val="charBoldItals"/>
        </w:rPr>
        <w:t>relevant contravention</w:t>
      </w:r>
      <w:r w:rsidRPr="00041046">
        <w:t xml:space="preserve"> means—</w:t>
      </w:r>
    </w:p>
    <w:p w14:paraId="39748F27" w14:textId="77777777" w:rsidR="00DB6E47" w:rsidRPr="00A27494" w:rsidRDefault="00DB6E47" w:rsidP="00DB6E47">
      <w:pPr>
        <w:pStyle w:val="aDefpara"/>
      </w:pPr>
      <w:r w:rsidRPr="00FF4454">
        <w:tab/>
      </w:r>
      <w:r w:rsidRPr="00F04D8E">
        <w:rPr>
          <w:rFonts w:cs="Times"/>
          <w:bCs/>
          <w:iCs/>
        </w:rPr>
        <w:t>(a)</w:t>
      </w:r>
      <w:r w:rsidRPr="00FF4454">
        <w:rPr>
          <w:rStyle w:val="charBoldItals"/>
        </w:rPr>
        <w:tab/>
      </w:r>
      <w:r w:rsidRPr="00A27494">
        <w:t xml:space="preserve">for an intelligent access </w:t>
      </w:r>
      <w:r w:rsidR="00542C4E">
        <w:t xml:space="preserve">program </w:t>
      </w:r>
      <w:r w:rsidRPr="00A27494">
        <w:t>vehicle used under a mass or dimension exemption—the vehicle’s contravention of conditions</w:t>
      </w:r>
      <w:r w:rsidR="00A27494">
        <w:t xml:space="preserve"> mentioned in section 402(1)</w:t>
      </w:r>
      <w:r w:rsidRPr="00A27494">
        <w:t>(a)</w:t>
      </w:r>
      <w:r w:rsidR="00A27494">
        <w:t xml:space="preserve"> or </w:t>
      </w:r>
      <w:r w:rsidRPr="00A27494">
        <w:t>(b)</w:t>
      </w:r>
      <w:r w:rsidR="00A27494">
        <w:t xml:space="preserve"> </w:t>
      </w:r>
      <w:r w:rsidRPr="00A27494">
        <w:t>applying to the vehicle; or</w:t>
      </w:r>
    </w:p>
    <w:p w14:paraId="47A49532" w14:textId="77777777" w:rsidR="00DB6E47" w:rsidRPr="00A27494" w:rsidRDefault="00DB6E47" w:rsidP="00DB6E47">
      <w:pPr>
        <w:pStyle w:val="aDefpara"/>
      </w:pPr>
      <w:r w:rsidRPr="00A27494">
        <w:tab/>
        <w:t>(b)</w:t>
      </w:r>
      <w:r w:rsidRPr="00A27494">
        <w:tab/>
        <w:t>for an intelligent access</w:t>
      </w:r>
      <w:r w:rsidR="00542C4E">
        <w:t xml:space="preserve"> program</w:t>
      </w:r>
      <w:r w:rsidRPr="00A27494">
        <w:t xml:space="preserve"> vehicle used under the higher mass limits—</w:t>
      </w:r>
    </w:p>
    <w:p w14:paraId="0FFC8AB0" w14:textId="77777777" w:rsidR="00DB6E47" w:rsidRPr="006C3305" w:rsidRDefault="00DB6E47" w:rsidP="00DB6E47">
      <w:pPr>
        <w:pStyle w:val="aDefsubpara"/>
      </w:pPr>
      <w:r>
        <w:tab/>
      </w:r>
      <w:r w:rsidRPr="00F04D8E">
        <w:t>(i)</w:t>
      </w:r>
      <w:r w:rsidRPr="006C3305">
        <w:tab/>
        <w:t>the vehicle’s use under the higher mass limits on a road to which the higher mass limits do not apply; or</w:t>
      </w:r>
    </w:p>
    <w:p w14:paraId="66614E83" w14:textId="77777777" w:rsidR="00DB6E47" w:rsidRPr="00A27494" w:rsidRDefault="00DB6E47" w:rsidP="00A27494">
      <w:pPr>
        <w:pStyle w:val="Asubpara"/>
      </w:pPr>
      <w:r w:rsidRPr="00A27494">
        <w:tab/>
        <w:t>(ii)</w:t>
      </w:r>
      <w:r w:rsidRPr="00A27494">
        <w:tab/>
        <w:t>the vehicle’s contravention of a condition about the use of the vehicle on a road under the higher mass limits.</w:t>
      </w:r>
    </w:p>
    <w:p w14:paraId="3E0DE9DB" w14:textId="77777777" w:rsidR="00DB6E47" w:rsidRPr="00041046" w:rsidRDefault="00DB6E47" w:rsidP="00DB6E47">
      <w:pPr>
        <w:pStyle w:val="aDef"/>
        <w:rPr>
          <w:bCs/>
        </w:rPr>
      </w:pPr>
      <w:r w:rsidRPr="00041046">
        <w:rPr>
          <w:rStyle w:val="charBoldItals"/>
        </w:rPr>
        <w:t>relevant monitoring matters</w:t>
      </w:r>
      <w:r w:rsidRPr="00041046">
        <w:t xml:space="preserve"> means—</w:t>
      </w:r>
    </w:p>
    <w:p w14:paraId="36D15079" w14:textId="77777777" w:rsidR="00DB6E47" w:rsidRPr="00A27494" w:rsidRDefault="00DB6E47" w:rsidP="00DB6E47">
      <w:pPr>
        <w:pStyle w:val="aDefpara"/>
      </w:pPr>
      <w:r w:rsidRPr="00FF4454">
        <w:tab/>
      </w:r>
      <w:r w:rsidRPr="00F04D8E">
        <w:rPr>
          <w:rFonts w:cs="Times"/>
          <w:bCs/>
          <w:iCs/>
        </w:rPr>
        <w:t>(a)</w:t>
      </w:r>
      <w:r w:rsidRPr="00FF4454">
        <w:rPr>
          <w:rStyle w:val="charBoldItals"/>
        </w:rPr>
        <w:tab/>
      </w:r>
      <w:r w:rsidRPr="00A27494">
        <w:t>for a heavy vehicle used under a mass or dimension exemption—the vehicle’s compliance with conditions m</w:t>
      </w:r>
      <w:r w:rsidR="00A27494">
        <w:t>entioned in section 402(1)</w:t>
      </w:r>
      <w:r w:rsidRPr="00A27494">
        <w:t>(a)</w:t>
      </w:r>
      <w:r w:rsidR="00A27494">
        <w:t xml:space="preserve"> or </w:t>
      </w:r>
      <w:r w:rsidRPr="00A27494">
        <w:t>(b)</w:t>
      </w:r>
      <w:r w:rsidR="00A27494">
        <w:t xml:space="preserve"> </w:t>
      </w:r>
      <w:r w:rsidRPr="00A27494">
        <w:t>applying to the vehicle; or</w:t>
      </w:r>
    </w:p>
    <w:p w14:paraId="17090A9A" w14:textId="77777777" w:rsidR="00DB6E47" w:rsidRPr="00A27494" w:rsidRDefault="00DB6E47" w:rsidP="00DB6E47">
      <w:pPr>
        <w:pStyle w:val="aDefpara"/>
      </w:pPr>
      <w:r w:rsidRPr="00A27494">
        <w:tab/>
        <w:t>(b)</w:t>
      </w:r>
      <w:r w:rsidRPr="00A27494">
        <w:tab/>
        <w:t>for a heavy vehicle used under the higher mass limits—the matters mentioned in section 402(2)(a)(i)</w:t>
      </w:r>
      <w:r w:rsidR="00A27494">
        <w:t xml:space="preserve"> or </w:t>
      </w:r>
      <w:r w:rsidRPr="00A27494">
        <w:t>(ii)</w:t>
      </w:r>
      <w:r w:rsidR="00A27494">
        <w:t xml:space="preserve"> </w:t>
      </w:r>
      <w:r w:rsidRPr="00A27494">
        <w:t>for the vehicle.</w:t>
      </w:r>
    </w:p>
    <w:p w14:paraId="50E864DA" w14:textId="77777777" w:rsidR="00DB6E47" w:rsidRPr="00041046" w:rsidRDefault="00DB6E47" w:rsidP="00DB6E47">
      <w:pPr>
        <w:pStyle w:val="aDef"/>
        <w:rPr>
          <w:bCs/>
        </w:rPr>
      </w:pPr>
      <w:r w:rsidRPr="00041046">
        <w:rPr>
          <w:rStyle w:val="charBoldItals"/>
        </w:rPr>
        <w:lastRenderedPageBreak/>
        <w:t>tamper</w:t>
      </w:r>
      <w:r w:rsidRPr="00041046">
        <w:t>, with an approved intelligent transport system, means engage in conduct that has the result that—</w:t>
      </w:r>
    </w:p>
    <w:p w14:paraId="7E71CDCB" w14:textId="77777777" w:rsidR="00DB6E47" w:rsidRPr="00A27494" w:rsidRDefault="00DB6E47" w:rsidP="00DB6E47">
      <w:pPr>
        <w:pStyle w:val="aDefpara"/>
      </w:pPr>
      <w:r w:rsidRPr="00FF4454">
        <w:tab/>
      </w:r>
      <w:r w:rsidRPr="00F04D8E">
        <w:rPr>
          <w:rFonts w:cs="Times"/>
          <w:bCs/>
          <w:iCs/>
        </w:rPr>
        <w:t>(a)</w:t>
      </w:r>
      <w:r w:rsidRPr="00FF4454">
        <w:rPr>
          <w:rStyle w:val="charBoldItals"/>
        </w:rPr>
        <w:tab/>
      </w:r>
      <w:r w:rsidRPr="00A27494">
        <w:t>the system is changed; or</w:t>
      </w:r>
    </w:p>
    <w:p w14:paraId="6EF0D356" w14:textId="77777777" w:rsidR="00DB6E47" w:rsidRPr="00A27494" w:rsidRDefault="00DB6E47" w:rsidP="00DB6E47">
      <w:pPr>
        <w:pStyle w:val="aDefpara"/>
      </w:pPr>
      <w:r w:rsidRPr="00A27494">
        <w:tab/>
        <w:t>(b)</w:t>
      </w:r>
      <w:r w:rsidRPr="00A27494">
        <w:tab/>
        <w:t>the system is installed or used in a way that is not in accordance with the conditions of its approval by TCA; or</w:t>
      </w:r>
    </w:p>
    <w:p w14:paraId="27E88E58" w14:textId="77777777" w:rsidR="00DB6E47" w:rsidRPr="00A27494" w:rsidRDefault="00DB6E47" w:rsidP="00DB6E47">
      <w:pPr>
        <w:pStyle w:val="aDefpara"/>
      </w:pPr>
      <w:r w:rsidRPr="00A27494">
        <w:tab/>
        <w:t>(c)</w:t>
      </w:r>
      <w:r w:rsidRPr="00A27494">
        <w:tab/>
        <w:t>any operating software that the system uses internally is changed.</w:t>
      </w:r>
    </w:p>
    <w:p w14:paraId="1FA98270" w14:textId="77777777" w:rsidR="00DB6E47" w:rsidRPr="003D647F" w:rsidRDefault="00DB6E47" w:rsidP="00DB6E47">
      <w:pPr>
        <w:pStyle w:val="PageBreak"/>
        <w:rPr>
          <w:rFonts w:eastAsiaTheme="minorHAnsi"/>
        </w:rPr>
      </w:pPr>
      <w:r w:rsidRPr="003D647F">
        <w:rPr>
          <w:rFonts w:eastAsiaTheme="minorHAnsi"/>
        </w:rPr>
        <w:br w:type="page"/>
      </w:r>
    </w:p>
    <w:p w14:paraId="44FDCC91" w14:textId="77777777" w:rsidR="00DB6E47" w:rsidRPr="005E03F7" w:rsidRDefault="00DB6E47" w:rsidP="00DB6E47">
      <w:pPr>
        <w:pStyle w:val="AH2Part"/>
      </w:pPr>
      <w:bookmarkStart w:id="466" w:name="_Toc83625810"/>
      <w:r w:rsidRPr="005E03F7">
        <w:rPr>
          <w:rStyle w:val="CharPartNo"/>
        </w:rPr>
        <w:lastRenderedPageBreak/>
        <w:t xml:space="preserve">Part 7.2 </w:t>
      </w:r>
      <w:r w:rsidRPr="00A95F9A">
        <w:rPr>
          <w:rFonts w:ascii="Helvetica" w:hAnsi="Helvetica" w:cs="Helvetica"/>
          <w:iCs/>
          <w:szCs w:val="32"/>
        </w:rPr>
        <w:tab/>
      </w:r>
      <w:r w:rsidRPr="005E03F7">
        <w:rPr>
          <w:rStyle w:val="CharPartText"/>
          <w:rFonts w:ascii="Helvetica" w:hAnsi="Helvetica" w:cs="Helvetica"/>
          <w:iCs/>
          <w:szCs w:val="32"/>
        </w:rPr>
        <w:t xml:space="preserve">Duties and obligations of operators of intelligent access </w:t>
      </w:r>
      <w:r w:rsidR="0089066C" w:rsidRPr="005E03F7">
        <w:rPr>
          <w:rStyle w:val="CharPartText"/>
          <w:rFonts w:ascii="Helvetica" w:hAnsi="Helvetica" w:cs="Helvetica"/>
          <w:iCs/>
          <w:szCs w:val="32"/>
        </w:rPr>
        <w:t xml:space="preserve">program </w:t>
      </w:r>
      <w:r w:rsidRPr="005E03F7">
        <w:rPr>
          <w:rStyle w:val="CharPartText"/>
          <w:rFonts w:ascii="Helvetica" w:hAnsi="Helvetica" w:cs="Helvetica"/>
          <w:iCs/>
          <w:szCs w:val="32"/>
        </w:rPr>
        <w:t>vehicles</w:t>
      </w:r>
      <w:bookmarkEnd w:id="466"/>
    </w:p>
    <w:p w14:paraId="579DB443" w14:textId="77777777" w:rsidR="00DB6E47" w:rsidRPr="007E1F9A" w:rsidRDefault="00DB6E47" w:rsidP="00DB6E47">
      <w:pPr>
        <w:pStyle w:val="AH5Sec"/>
      </w:pPr>
      <w:bookmarkStart w:id="467" w:name="_Toc83625811"/>
      <w:r w:rsidRPr="005E03F7">
        <w:rPr>
          <w:rStyle w:val="CharSectNo"/>
        </w:rPr>
        <w:t>404</w:t>
      </w:r>
      <w:r w:rsidRPr="007E1F9A">
        <w:tab/>
        <w:t>Offence to give false or misleading information to intelligent access</w:t>
      </w:r>
      <w:r w:rsidR="000426D8">
        <w:t xml:space="preserve"> program </w:t>
      </w:r>
      <w:r w:rsidRPr="007E1F9A">
        <w:t> service provider</w:t>
      </w:r>
      <w:bookmarkEnd w:id="467"/>
    </w:p>
    <w:p w14:paraId="58194328" w14:textId="77777777" w:rsidR="00DB6E47" w:rsidRPr="00C62D32" w:rsidRDefault="00DB6E47" w:rsidP="00DB6E47">
      <w:pPr>
        <w:pStyle w:val="Amain"/>
      </w:pPr>
      <w:r w:rsidRPr="00C62D32">
        <w:tab/>
        <w:t>(1)</w:t>
      </w:r>
      <w:r w:rsidRPr="00C62D32">
        <w:tab/>
        <w:t xml:space="preserve">The operator of an intelligent access </w:t>
      </w:r>
      <w:r w:rsidR="000A4E7F">
        <w:t xml:space="preserve">program </w:t>
      </w:r>
      <w:r w:rsidRPr="00C62D32">
        <w:t>vehicle commits an offence if—</w:t>
      </w:r>
    </w:p>
    <w:p w14:paraId="5C32470C" w14:textId="77777777" w:rsidR="00DB6E47" w:rsidRPr="0070667A" w:rsidRDefault="00DB6E47" w:rsidP="00DB6E47">
      <w:pPr>
        <w:pStyle w:val="Apara"/>
      </w:pPr>
      <w:r w:rsidRPr="0070667A">
        <w:tab/>
        <w:t>(a)</w:t>
      </w:r>
      <w:r w:rsidRPr="0070667A">
        <w:tab/>
        <w:t xml:space="preserve">the operator gives information to an intelligent access </w:t>
      </w:r>
      <w:r w:rsidR="000426D8">
        <w:t xml:space="preserve">program </w:t>
      </w:r>
      <w:r w:rsidRPr="0070667A">
        <w:t xml:space="preserve">service provider with whom the operator has entered into an intelligent access </w:t>
      </w:r>
      <w:r w:rsidR="00083687">
        <w:t xml:space="preserve">program </w:t>
      </w:r>
      <w:r w:rsidRPr="0070667A">
        <w:t>agreement for the vehicle; and</w:t>
      </w:r>
    </w:p>
    <w:p w14:paraId="0FDC7852" w14:textId="77777777" w:rsidR="00DB6E47" w:rsidRPr="0070667A" w:rsidRDefault="00DB6E47" w:rsidP="00DB6E47">
      <w:pPr>
        <w:pStyle w:val="Apara"/>
      </w:pPr>
      <w:r w:rsidRPr="0070667A">
        <w:tab/>
        <w:t>(b)</w:t>
      </w:r>
      <w:r w:rsidRPr="0070667A">
        <w:tab/>
        <w:t>the information is relevant to the use of the vehicle; and</w:t>
      </w:r>
    </w:p>
    <w:p w14:paraId="180096EA" w14:textId="77777777" w:rsidR="00DB6E47" w:rsidRPr="0070667A" w:rsidRDefault="00DB6E47" w:rsidP="00DB6E47">
      <w:pPr>
        <w:pStyle w:val="Apara"/>
      </w:pPr>
      <w:r w:rsidRPr="0070667A">
        <w:tab/>
        <w:t>(c)</w:t>
      </w:r>
      <w:r w:rsidRPr="0070667A">
        <w:tab/>
        <w:t>the operator knows, or ought reasonably to know, the information is false or misleading.</w:t>
      </w:r>
    </w:p>
    <w:p w14:paraId="69AA6087" w14:textId="77777777" w:rsidR="00DB6E47" w:rsidRPr="006C3305" w:rsidRDefault="00DB6E47" w:rsidP="00DB6E47">
      <w:pPr>
        <w:pStyle w:val="Penalty"/>
      </w:pPr>
      <w:r w:rsidRPr="00D91CC2">
        <w:rPr>
          <w:rFonts w:cs="Times"/>
          <w:bCs/>
          <w:iCs/>
        </w:rPr>
        <w:t>Maximum penalty—$10000.</w:t>
      </w:r>
    </w:p>
    <w:p w14:paraId="48460CDC" w14:textId="77777777" w:rsidR="00DB6E47" w:rsidRPr="00C96203" w:rsidRDefault="00DB6E47" w:rsidP="00DB6E47">
      <w:pPr>
        <w:pStyle w:val="aNote"/>
      </w:pPr>
      <w:r w:rsidRPr="00FF4454">
        <w:rPr>
          <w:rStyle w:val="charItals"/>
        </w:rPr>
        <w:t>Note</w:t>
      </w:r>
      <w:r w:rsidRPr="00C96203">
        <w:rPr>
          <w:rFonts w:cs="Times"/>
          <w:bCs/>
          <w:iCs/>
        </w:rPr>
        <w:t>—</w:t>
      </w:r>
    </w:p>
    <w:p w14:paraId="42682A64" w14:textId="77777777" w:rsidR="00DB6E47" w:rsidRPr="00C96203" w:rsidRDefault="00DB6E47" w:rsidP="00DB6E47">
      <w:pPr>
        <w:pStyle w:val="aNoteTextss"/>
      </w:pPr>
      <w:r w:rsidRPr="00C96203">
        <w:t>See section 632 for the matters a court may consider when deciding whether a person ought reasonably to have known something.</w:t>
      </w:r>
    </w:p>
    <w:p w14:paraId="312F0955" w14:textId="77777777" w:rsidR="00DB6E47" w:rsidRPr="00C62D32" w:rsidRDefault="00DB6E47" w:rsidP="00DB6E47">
      <w:pPr>
        <w:pStyle w:val="Amain"/>
      </w:pPr>
      <w:r w:rsidRPr="00C62D32">
        <w:tab/>
        <w:t>(2)</w:t>
      </w:r>
      <w:r w:rsidRPr="00C62D32">
        <w:tab/>
      </w:r>
      <w:r w:rsidR="00A27494">
        <w:t xml:space="preserve">Subsection </w:t>
      </w:r>
      <w:r w:rsidRPr="00C62D32">
        <w:t>(1)</w:t>
      </w:r>
      <w:r w:rsidR="00A27494">
        <w:t xml:space="preserve"> </w:t>
      </w:r>
      <w:r w:rsidRPr="00C62D32">
        <w:t>does not apply if the operator gives the information in writing and, when giving the information—</w:t>
      </w:r>
    </w:p>
    <w:p w14:paraId="7485D4E6" w14:textId="77777777" w:rsidR="00DB6E47" w:rsidRPr="0070667A" w:rsidRDefault="00DB6E47" w:rsidP="00DB6E47">
      <w:pPr>
        <w:pStyle w:val="Apara"/>
      </w:pPr>
      <w:r w:rsidRPr="0070667A">
        <w:tab/>
        <w:t>(a)</w:t>
      </w:r>
      <w:r w:rsidRPr="0070667A">
        <w:tab/>
        <w:t xml:space="preserve">tells the intelligent access </w:t>
      </w:r>
      <w:r w:rsidR="000426D8">
        <w:t xml:space="preserve">program </w:t>
      </w:r>
      <w:r w:rsidRPr="0070667A">
        <w:t>service provider, to the best of the operator’s ability, how it is false or misleading; and</w:t>
      </w:r>
    </w:p>
    <w:p w14:paraId="4D455F49" w14:textId="77777777" w:rsidR="00DB6E47" w:rsidRPr="0070667A" w:rsidRDefault="00DB6E47" w:rsidP="00DB6E47">
      <w:pPr>
        <w:pStyle w:val="Apara"/>
      </w:pPr>
      <w:r w:rsidRPr="0070667A">
        <w:tab/>
        <w:t>(b)</w:t>
      </w:r>
      <w:r w:rsidRPr="0070667A">
        <w:tab/>
        <w:t>if the operator has, or can reasonably obtain, the correct information—gives the correct information in writing.</w:t>
      </w:r>
    </w:p>
    <w:p w14:paraId="7965445D" w14:textId="77777777" w:rsidR="00DB6E47" w:rsidRPr="00C62D32" w:rsidRDefault="00DB6E47" w:rsidP="00DB6E47">
      <w:pPr>
        <w:pStyle w:val="Amain"/>
      </w:pPr>
      <w:r w:rsidRPr="00C62D32">
        <w:tab/>
        <w:t>(3)</w:t>
      </w:r>
      <w:r w:rsidRPr="00C62D32">
        <w:tab/>
        <w:t xml:space="preserve">Without limiting subsection (1)(b), information about the intelligent access </w:t>
      </w:r>
      <w:r w:rsidR="005655A7">
        <w:t xml:space="preserve">program </w:t>
      </w:r>
      <w:r w:rsidRPr="00C62D32">
        <w:t xml:space="preserve">conditions applying to an intelligent access </w:t>
      </w:r>
      <w:r w:rsidR="000A4E7F">
        <w:t xml:space="preserve">program </w:t>
      </w:r>
      <w:r w:rsidRPr="00C62D32">
        <w:t>vehicle is relevant to the use of the vehicle.</w:t>
      </w:r>
    </w:p>
    <w:p w14:paraId="3CFCA39D" w14:textId="77777777" w:rsidR="00DB6E47" w:rsidRPr="00C62D32" w:rsidRDefault="00DB6E47" w:rsidP="00092C0B">
      <w:pPr>
        <w:pStyle w:val="Amain"/>
        <w:keepNext/>
      </w:pPr>
      <w:r w:rsidRPr="00C62D32">
        <w:lastRenderedPageBreak/>
        <w:tab/>
        <w:t>(4)</w:t>
      </w:r>
      <w:r w:rsidRPr="00C62D32">
        <w:tab/>
        <w:t>The operator of a heavy vehicle commits an offence if—</w:t>
      </w:r>
    </w:p>
    <w:p w14:paraId="431D9361" w14:textId="77777777" w:rsidR="00DB6E47" w:rsidRPr="0070667A" w:rsidRDefault="00DB6E47" w:rsidP="00DB6E47">
      <w:pPr>
        <w:pStyle w:val="Apara"/>
      </w:pPr>
      <w:r w:rsidRPr="0070667A">
        <w:tab/>
        <w:t>(a)</w:t>
      </w:r>
      <w:r w:rsidRPr="0070667A">
        <w:tab/>
        <w:t xml:space="preserve">the operator gives information to an intelligent access </w:t>
      </w:r>
      <w:r w:rsidR="000426D8">
        <w:t xml:space="preserve">program </w:t>
      </w:r>
      <w:r w:rsidRPr="0070667A">
        <w:t>service provider; and</w:t>
      </w:r>
    </w:p>
    <w:p w14:paraId="60ABC5CE" w14:textId="77777777" w:rsidR="00DB6E47" w:rsidRPr="0070667A" w:rsidRDefault="00DB6E47" w:rsidP="00DB6E47">
      <w:pPr>
        <w:pStyle w:val="Apara"/>
      </w:pPr>
      <w:r w:rsidRPr="0070667A">
        <w:tab/>
        <w:t>(b)</w:t>
      </w:r>
      <w:r w:rsidRPr="0070667A">
        <w:tab/>
        <w:t xml:space="preserve">the operator intends that the intelligent access </w:t>
      </w:r>
      <w:r w:rsidR="000426D8">
        <w:t xml:space="preserve">program </w:t>
      </w:r>
      <w:r w:rsidRPr="0070667A">
        <w:t xml:space="preserve">service provider will enter into an intelligent access </w:t>
      </w:r>
      <w:r w:rsidR="00986B9F">
        <w:t xml:space="preserve">program </w:t>
      </w:r>
      <w:r w:rsidRPr="0070667A">
        <w:t>agreement with the operator in reliance on the information; and</w:t>
      </w:r>
    </w:p>
    <w:p w14:paraId="38D05A4F" w14:textId="77777777" w:rsidR="00DB6E47" w:rsidRPr="0070667A" w:rsidRDefault="00DB6E47" w:rsidP="00DB6E47">
      <w:pPr>
        <w:pStyle w:val="Apara"/>
      </w:pPr>
      <w:r w:rsidRPr="0070667A">
        <w:tab/>
        <w:t>(c)</w:t>
      </w:r>
      <w:r w:rsidRPr="0070667A">
        <w:tab/>
        <w:t>the operator knows, or ought reasonably to know, the information is false or misleading.</w:t>
      </w:r>
    </w:p>
    <w:p w14:paraId="2C2566D0" w14:textId="77777777" w:rsidR="00DB6E47" w:rsidRPr="006C3305" w:rsidRDefault="00DB6E47" w:rsidP="00DB6E47">
      <w:pPr>
        <w:pStyle w:val="Penalty"/>
      </w:pPr>
      <w:r w:rsidRPr="00D91CC2">
        <w:rPr>
          <w:rFonts w:cs="Times"/>
          <w:bCs/>
          <w:iCs/>
        </w:rPr>
        <w:t>Maximum penalty—$10000.</w:t>
      </w:r>
    </w:p>
    <w:p w14:paraId="31E5F26F" w14:textId="77777777" w:rsidR="00DB6E47" w:rsidRPr="00C96203" w:rsidRDefault="00DB6E47" w:rsidP="00DB6E47">
      <w:pPr>
        <w:pStyle w:val="aNote"/>
      </w:pPr>
      <w:r w:rsidRPr="00FF4454">
        <w:rPr>
          <w:rStyle w:val="charItals"/>
        </w:rPr>
        <w:t>Note</w:t>
      </w:r>
      <w:r w:rsidRPr="00C96203">
        <w:rPr>
          <w:rFonts w:cs="Times"/>
          <w:bCs/>
          <w:iCs/>
        </w:rPr>
        <w:t>—</w:t>
      </w:r>
    </w:p>
    <w:p w14:paraId="5D9260FE" w14:textId="77777777" w:rsidR="00DB6E47" w:rsidRPr="00C96203" w:rsidRDefault="00DB6E47" w:rsidP="00DB6E47">
      <w:pPr>
        <w:pStyle w:val="aNoteTextss"/>
      </w:pPr>
      <w:r w:rsidRPr="00C96203">
        <w:t>See section 632 for the matters a court may consider when deciding whether a person ought reasonably to have known something.</w:t>
      </w:r>
    </w:p>
    <w:p w14:paraId="539FD3DA" w14:textId="77777777" w:rsidR="00DB6E47" w:rsidRPr="00C62D32" w:rsidRDefault="00A27494" w:rsidP="00DB6E47">
      <w:pPr>
        <w:pStyle w:val="Amain"/>
      </w:pPr>
      <w:r>
        <w:tab/>
        <w:t>(5)</w:t>
      </w:r>
      <w:r>
        <w:tab/>
        <w:t xml:space="preserve">Subsection </w:t>
      </w:r>
      <w:r w:rsidR="00DB6E47" w:rsidRPr="00C62D32">
        <w:t>(4)</w:t>
      </w:r>
      <w:r>
        <w:t xml:space="preserve"> </w:t>
      </w:r>
      <w:r w:rsidR="00DB6E47" w:rsidRPr="00C62D32">
        <w:t>does not apply if the operator gives the information in writing and, when giving the information—</w:t>
      </w:r>
    </w:p>
    <w:p w14:paraId="358F3B65" w14:textId="77777777" w:rsidR="00DB6E47" w:rsidRPr="0070667A" w:rsidRDefault="00DB6E47" w:rsidP="00DB6E47">
      <w:pPr>
        <w:pStyle w:val="Apara"/>
      </w:pPr>
      <w:r w:rsidRPr="0070667A">
        <w:tab/>
        <w:t>(a)</w:t>
      </w:r>
      <w:r w:rsidRPr="0070667A">
        <w:tab/>
        <w:t xml:space="preserve">tells the intelligent access </w:t>
      </w:r>
      <w:r w:rsidR="000426D8">
        <w:t xml:space="preserve">program </w:t>
      </w:r>
      <w:r w:rsidRPr="0070667A">
        <w:t>service provider, to the best of the operator’s ability, how it is false or misleading; and</w:t>
      </w:r>
    </w:p>
    <w:p w14:paraId="52E66C6E" w14:textId="77777777" w:rsidR="00DB6E47" w:rsidRPr="0070667A" w:rsidRDefault="00DB6E47" w:rsidP="00DB6E47">
      <w:pPr>
        <w:pStyle w:val="Apara"/>
      </w:pPr>
      <w:r w:rsidRPr="0070667A">
        <w:tab/>
        <w:t>(b)</w:t>
      </w:r>
      <w:r w:rsidRPr="0070667A">
        <w:tab/>
        <w:t>if the operator has, or can reasonably obtain, the correct information—gives the correct information in writing.</w:t>
      </w:r>
    </w:p>
    <w:p w14:paraId="6CDA9086" w14:textId="77777777" w:rsidR="00DB6E47" w:rsidRPr="00C62D32" w:rsidRDefault="00DB6E47" w:rsidP="00DB6E47">
      <w:pPr>
        <w:pStyle w:val="Amain"/>
      </w:pPr>
      <w:r w:rsidRPr="00C62D32">
        <w:tab/>
        <w:t>(6)</w:t>
      </w:r>
      <w:r w:rsidRPr="00C62D32">
        <w:tab/>
        <w:t>In a proceeding for an offence against subsection</w:t>
      </w:r>
      <w:r w:rsidR="00A27494">
        <w:t xml:space="preserve"> </w:t>
      </w:r>
      <w:r w:rsidRPr="00C62D32">
        <w:t>(1)</w:t>
      </w:r>
      <w:r w:rsidR="00A27494">
        <w:t xml:space="preserve"> </w:t>
      </w:r>
      <w:r w:rsidRPr="00C62D32">
        <w:t>or (4), it is enough for a charge to state that the information given was ‘false or misleading’ to the operator’s knowledge, without specifying whether it was false or whether it was misleading.</w:t>
      </w:r>
    </w:p>
    <w:p w14:paraId="17E75959" w14:textId="77777777" w:rsidR="00DB6E47" w:rsidRPr="007E1F9A" w:rsidRDefault="00DB6E47" w:rsidP="00DB6E47">
      <w:pPr>
        <w:pStyle w:val="AH5Sec"/>
      </w:pPr>
      <w:bookmarkStart w:id="468" w:name="_Toc83625812"/>
      <w:r w:rsidRPr="005E03F7">
        <w:rPr>
          <w:rStyle w:val="CharSectNo"/>
        </w:rPr>
        <w:t>405</w:t>
      </w:r>
      <w:r w:rsidRPr="007E1F9A">
        <w:tab/>
        <w:t>Advising vehicle driver of collection of information by intelligent access</w:t>
      </w:r>
      <w:r w:rsidR="000426D8">
        <w:t xml:space="preserve"> program</w:t>
      </w:r>
      <w:r w:rsidRPr="007E1F9A">
        <w:t> service provider</w:t>
      </w:r>
      <w:bookmarkEnd w:id="468"/>
    </w:p>
    <w:p w14:paraId="215B57C4" w14:textId="77777777" w:rsidR="00DB6E47" w:rsidRPr="00C62D32" w:rsidRDefault="00DB6E47" w:rsidP="00DB6E47">
      <w:pPr>
        <w:pStyle w:val="Amain"/>
      </w:pPr>
      <w:r w:rsidRPr="00C62D32">
        <w:tab/>
        <w:t>(1)</w:t>
      </w:r>
      <w:r w:rsidRPr="00C62D32">
        <w:tab/>
        <w:t xml:space="preserve">The operator of an intelligent access </w:t>
      </w:r>
      <w:r w:rsidR="00542C4E">
        <w:t xml:space="preserve">program </w:t>
      </w:r>
      <w:r w:rsidRPr="00C62D32">
        <w:t xml:space="preserve">vehicle must </w:t>
      </w:r>
      <w:r w:rsidR="009249C3" w:rsidRPr="003323FC">
        <w:t>, unless the operator has a reasonable excuse, ensure the vehicle’s driver is given the following information</w:t>
      </w:r>
      <w:r w:rsidRPr="00C62D32">
        <w:t xml:space="preserve"> before the vehicle begins a journey—</w:t>
      </w:r>
    </w:p>
    <w:p w14:paraId="4842C907" w14:textId="77777777" w:rsidR="00DB6E47" w:rsidRPr="0070667A" w:rsidRDefault="00DB6E47" w:rsidP="00DB6E47">
      <w:pPr>
        <w:pStyle w:val="Apara"/>
      </w:pPr>
      <w:r w:rsidRPr="0070667A">
        <w:tab/>
        <w:t>(a)</w:t>
      </w:r>
      <w:r w:rsidRPr="0070667A">
        <w:tab/>
        <w:t xml:space="preserve">that the vehicle will be monitored by an intelligent access </w:t>
      </w:r>
      <w:r w:rsidR="000426D8">
        <w:t xml:space="preserve">program </w:t>
      </w:r>
      <w:r w:rsidRPr="0070667A">
        <w:t>service provider;</w:t>
      </w:r>
    </w:p>
    <w:p w14:paraId="4526EEAE" w14:textId="77777777" w:rsidR="00DB6E47" w:rsidRPr="0070667A" w:rsidRDefault="00DB6E47" w:rsidP="00DB6E47">
      <w:pPr>
        <w:pStyle w:val="Apara"/>
      </w:pPr>
      <w:r w:rsidRPr="0070667A">
        <w:lastRenderedPageBreak/>
        <w:tab/>
        <w:t>(b)</w:t>
      </w:r>
      <w:r w:rsidRPr="0070667A">
        <w:tab/>
        <w:t xml:space="preserve">that this Chapter provides for the collection of information by the intelligent access </w:t>
      </w:r>
      <w:r w:rsidR="000426D8">
        <w:t xml:space="preserve">program </w:t>
      </w:r>
      <w:r w:rsidRPr="0070667A">
        <w:t>service provider;</w:t>
      </w:r>
    </w:p>
    <w:p w14:paraId="019F5A96" w14:textId="77777777" w:rsidR="00DB6E47" w:rsidRPr="0070667A" w:rsidRDefault="00DB6E47" w:rsidP="00DB6E47">
      <w:pPr>
        <w:pStyle w:val="Apara"/>
      </w:pPr>
      <w:r w:rsidRPr="0070667A">
        <w:tab/>
        <w:t>(c)</w:t>
      </w:r>
      <w:r w:rsidRPr="0070667A">
        <w:tab/>
        <w:t xml:space="preserve">the information that will be collected by the intelligent access </w:t>
      </w:r>
      <w:r w:rsidR="000426D8">
        <w:t xml:space="preserve">program </w:t>
      </w:r>
      <w:r w:rsidRPr="0070667A">
        <w:t>service provider;</w:t>
      </w:r>
    </w:p>
    <w:p w14:paraId="5962EA02" w14:textId="77777777" w:rsidR="00DB6E47" w:rsidRPr="0070667A" w:rsidRDefault="00DB6E47" w:rsidP="00DB6E47">
      <w:pPr>
        <w:pStyle w:val="Apara"/>
      </w:pPr>
      <w:r w:rsidRPr="0070667A">
        <w:tab/>
        <w:t>(d)</w:t>
      </w:r>
      <w:r w:rsidRPr="0070667A">
        <w:tab/>
        <w:t>the purposes for which the information will be collected;</w:t>
      </w:r>
    </w:p>
    <w:p w14:paraId="42B82D70" w14:textId="77777777" w:rsidR="00DB6E47" w:rsidRPr="0070667A" w:rsidRDefault="00DB6E47" w:rsidP="00DB6E47">
      <w:pPr>
        <w:pStyle w:val="Apara"/>
      </w:pPr>
      <w:r w:rsidRPr="0070667A">
        <w:tab/>
        <w:t>(e)</w:t>
      </w:r>
      <w:r w:rsidRPr="0070667A">
        <w:tab/>
        <w:t>the entities to whom the information collected may be disclosed;</w:t>
      </w:r>
    </w:p>
    <w:p w14:paraId="2EB3F768" w14:textId="77777777" w:rsidR="00DB6E47" w:rsidRPr="0070667A" w:rsidRDefault="00DB6E47" w:rsidP="00DB6E47">
      <w:pPr>
        <w:pStyle w:val="Apara"/>
      </w:pPr>
      <w:r w:rsidRPr="0070667A">
        <w:tab/>
        <w:t>(f)</w:t>
      </w:r>
      <w:r w:rsidRPr="0070667A">
        <w:tab/>
        <w:t>that, under this Chapter, the driver has rights of access to personal information or to have personal information changed to ensure it is accurate, complete and up to date;</w:t>
      </w:r>
    </w:p>
    <w:p w14:paraId="492722D4" w14:textId="77777777" w:rsidR="00DB6E47" w:rsidRPr="0070667A" w:rsidRDefault="00DB6E47" w:rsidP="00DB6E47">
      <w:pPr>
        <w:pStyle w:val="Apara"/>
      </w:pPr>
      <w:r w:rsidRPr="0070667A">
        <w:tab/>
        <w:t>(g)</w:t>
      </w:r>
      <w:r w:rsidRPr="0070667A">
        <w:tab/>
        <w:t>how th</w:t>
      </w:r>
      <w:r w:rsidR="00A27494">
        <w:t xml:space="preserve">e rights mentioned in paragraph </w:t>
      </w:r>
      <w:r w:rsidRPr="0070667A">
        <w:t>(f)</w:t>
      </w:r>
      <w:r w:rsidR="00A27494">
        <w:t xml:space="preserve"> </w:t>
      </w:r>
      <w:r w:rsidRPr="0070667A">
        <w:t>can be exercised;</w:t>
      </w:r>
    </w:p>
    <w:p w14:paraId="7D6FF4E1" w14:textId="77777777" w:rsidR="00DB6E47" w:rsidRPr="0070667A" w:rsidRDefault="00DB6E47" w:rsidP="00DB6E47">
      <w:pPr>
        <w:pStyle w:val="Apara"/>
      </w:pPr>
      <w:r w:rsidRPr="0070667A">
        <w:tab/>
        <w:t>(h)</w:t>
      </w:r>
      <w:r w:rsidRPr="0070667A">
        <w:tab/>
        <w:t xml:space="preserve">the name and address of the intelligent access </w:t>
      </w:r>
      <w:r w:rsidR="000426D8">
        <w:t xml:space="preserve">program </w:t>
      </w:r>
      <w:r w:rsidRPr="0070667A">
        <w:t>service provider.</w:t>
      </w:r>
    </w:p>
    <w:p w14:paraId="4B126216" w14:textId="77777777" w:rsidR="00DB6E47" w:rsidRPr="006C3305" w:rsidRDefault="00DB6E47" w:rsidP="00DB6E47">
      <w:pPr>
        <w:pStyle w:val="Penalty"/>
      </w:pPr>
      <w:r w:rsidRPr="00D91CC2">
        <w:rPr>
          <w:rFonts w:cs="Times"/>
          <w:bCs/>
          <w:iCs/>
        </w:rPr>
        <w:t>Maximum penalty—$6000.</w:t>
      </w:r>
    </w:p>
    <w:p w14:paraId="1B49B3B2" w14:textId="77777777" w:rsidR="00DB6E47" w:rsidRPr="00C62D32" w:rsidRDefault="00DB6E47" w:rsidP="00DB6E47">
      <w:pPr>
        <w:pStyle w:val="Amain"/>
      </w:pPr>
      <w:r w:rsidRPr="00C62D32">
        <w:tab/>
        <w:t>(2)</w:t>
      </w:r>
      <w:r w:rsidRPr="00C62D32">
        <w:tab/>
        <w:t xml:space="preserve">The operator of an intelligent access </w:t>
      </w:r>
      <w:r w:rsidR="00001FEA">
        <w:t xml:space="preserve">program </w:t>
      </w:r>
      <w:r w:rsidRPr="00C62D32">
        <w:t>vehicle is taken t</w:t>
      </w:r>
      <w:r w:rsidR="00A27494">
        <w:t xml:space="preserve">o comply with subsection </w:t>
      </w:r>
      <w:r w:rsidRPr="00C62D32">
        <w:t>(1)</w:t>
      </w:r>
      <w:r w:rsidR="00A27494">
        <w:t xml:space="preserve"> </w:t>
      </w:r>
      <w:r w:rsidRPr="00C62D32">
        <w:t>if the operator—</w:t>
      </w:r>
    </w:p>
    <w:p w14:paraId="757F7500" w14:textId="77777777" w:rsidR="00DB6E47" w:rsidRPr="0070667A" w:rsidRDefault="00DB6E47" w:rsidP="00DB6E47">
      <w:pPr>
        <w:pStyle w:val="Apara"/>
      </w:pPr>
      <w:r w:rsidRPr="0070667A">
        <w:tab/>
        <w:t>(a)</w:t>
      </w:r>
      <w:r w:rsidRPr="0070667A">
        <w:tab/>
        <w:t xml:space="preserve">gives the intelligent access </w:t>
      </w:r>
      <w:r w:rsidR="0089066C">
        <w:t xml:space="preserve">program </w:t>
      </w:r>
      <w:r w:rsidRPr="0070667A">
        <w:t>vehicle’s driver a notice stating the information mentioned in the subsection, including, for example, by placing it in the vehicle’s driving cabin in a clearly visible position; or</w:t>
      </w:r>
    </w:p>
    <w:p w14:paraId="35B869D3" w14:textId="77777777" w:rsidR="00DB6E47" w:rsidRPr="0070667A" w:rsidRDefault="00DB6E47" w:rsidP="00DB6E47">
      <w:pPr>
        <w:pStyle w:val="Apara"/>
      </w:pPr>
      <w:r w:rsidRPr="0070667A">
        <w:tab/>
        <w:t>(b)</w:t>
      </w:r>
      <w:r w:rsidRPr="0070667A">
        <w:tab/>
        <w:t xml:space="preserve">includes the information mentioned in the subsection in a written contract of employment between the operator and the intelligent access </w:t>
      </w:r>
      <w:r w:rsidR="00542C4E">
        <w:t xml:space="preserve">program </w:t>
      </w:r>
      <w:r w:rsidRPr="0070667A">
        <w:t>vehicle’s driver.</w:t>
      </w:r>
    </w:p>
    <w:p w14:paraId="7EC0A1FC" w14:textId="77777777" w:rsidR="00DB6E47" w:rsidRPr="00C62D32" w:rsidRDefault="00DB6E47" w:rsidP="00DB6E47">
      <w:pPr>
        <w:pStyle w:val="Amain"/>
      </w:pPr>
      <w:r w:rsidRPr="00C62D32">
        <w:tab/>
        <w:t>(3)</w:t>
      </w:r>
      <w:r w:rsidRPr="00C62D32">
        <w:tab/>
        <w:t>The national regulations may prescribe—</w:t>
      </w:r>
    </w:p>
    <w:p w14:paraId="3F1334B0" w14:textId="77777777" w:rsidR="00DB6E47" w:rsidRPr="0070667A" w:rsidRDefault="00DB6E47" w:rsidP="00DB6E47">
      <w:pPr>
        <w:pStyle w:val="Apara"/>
      </w:pPr>
      <w:r w:rsidRPr="0070667A">
        <w:tab/>
        <w:t>(a)</w:t>
      </w:r>
      <w:r w:rsidRPr="0070667A">
        <w:tab/>
        <w:t>a form of notice that may be used under s</w:t>
      </w:r>
      <w:r w:rsidR="00A27494">
        <w:t>ubsection (2)</w:t>
      </w:r>
      <w:r w:rsidRPr="0070667A">
        <w:t>(a); and</w:t>
      </w:r>
    </w:p>
    <w:p w14:paraId="5ED90C64" w14:textId="77777777" w:rsidR="00DB6E47" w:rsidRPr="0070667A" w:rsidRDefault="00DB6E47" w:rsidP="00DB6E47">
      <w:pPr>
        <w:pStyle w:val="Apara"/>
      </w:pPr>
      <w:r w:rsidRPr="0070667A">
        <w:tab/>
        <w:t>(b)</w:t>
      </w:r>
      <w:r w:rsidRPr="0070667A">
        <w:tab/>
        <w:t>for</w:t>
      </w:r>
      <w:r w:rsidR="00A27494">
        <w:t xml:space="preserve"> the purposes of subsection (2)</w:t>
      </w:r>
      <w:r w:rsidRPr="0070667A">
        <w:t>(b), a standard form of words that may be used as part of a written contract of employment.</w:t>
      </w:r>
    </w:p>
    <w:p w14:paraId="47BD4AF8" w14:textId="77777777" w:rsidR="00DB6E47" w:rsidRPr="007E1F9A" w:rsidRDefault="00DB6E47" w:rsidP="00DB6E47">
      <w:pPr>
        <w:pStyle w:val="AH5Sec"/>
      </w:pPr>
      <w:bookmarkStart w:id="469" w:name="_Toc83625813"/>
      <w:r w:rsidRPr="005E03F7">
        <w:rPr>
          <w:rStyle w:val="CharSectNo"/>
        </w:rPr>
        <w:lastRenderedPageBreak/>
        <w:t>406</w:t>
      </w:r>
      <w:r w:rsidRPr="007E1F9A">
        <w:tab/>
        <w:t>Reporting system malfunctions to Regulator</w:t>
      </w:r>
      <w:bookmarkEnd w:id="469"/>
    </w:p>
    <w:p w14:paraId="43F1E27C" w14:textId="77777777" w:rsidR="00DB6E47" w:rsidRPr="00C62D32" w:rsidRDefault="00DB6E47" w:rsidP="00DB6E47">
      <w:pPr>
        <w:pStyle w:val="Amain"/>
      </w:pPr>
      <w:r w:rsidRPr="00C62D32">
        <w:tab/>
        <w:t>(1)</w:t>
      </w:r>
      <w:r w:rsidRPr="00C62D32">
        <w:tab/>
        <w:t xml:space="preserve">If an operator of an intelligent access </w:t>
      </w:r>
      <w:r w:rsidR="00001FEA">
        <w:t xml:space="preserve">program </w:t>
      </w:r>
      <w:r w:rsidRPr="00C62D32">
        <w:t>vehicle becomes aware that a part of an approved intelligent transport system fitted to the vehicle is malfunctioning or has malfunctioned, the operator must as soon as practicable report the matter to the Regulator in person or by radio, telephone, fax or email.</w:t>
      </w:r>
    </w:p>
    <w:p w14:paraId="318A9972" w14:textId="77777777" w:rsidR="00DB6E47" w:rsidRPr="006C3305" w:rsidRDefault="00DB6E47" w:rsidP="00DB6E47">
      <w:pPr>
        <w:pStyle w:val="Penalty"/>
      </w:pPr>
      <w:r w:rsidRPr="00D91CC2">
        <w:rPr>
          <w:rFonts w:cs="Times"/>
          <w:bCs/>
          <w:iCs/>
        </w:rPr>
        <w:t>Maximum penalty—$6000.</w:t>
      </w:r>
    </w:p>
    <w:p w14:paraId="2D2D818F" w14:textId="77777777" w:rsidR="00DB6E47" w:rsidRPr="00C62D32" w:rsidRDefault="00DB6E47" w:rsidP="00DB6E47">
      <w:pPr>
        <w:pStyle w:val="Amain"/>
      </w:pPr>
      <w:r w:rsidRPr="00C62D32">
        <w:tab/>
        <w:t>(2)</w:t>
      </w:r>
      <w:r w:rsidRPr="00C62D32">
        <w:tab/>
        <w:t>The operator must keep, for at least 4 years, a written record of a report of a malfunction under subsection (1), containing the following particulars—</w:t>
      </w:r>
    </w:p>
    <w:p w14:paraId="45D007F1" w14:textId="77777777" w:rsidR="00DB6E47" w:rsidRPr="0070667A" w:rsidRDefault="00DB6E47" w:rsidP="00DB6E47">
      <w:pPr>
        <w:pStyle w:val="Apara"/>
      </w:pPr>
      <w:r w:rsidRPr="0070667A">
        <w:tab/>
        <w:t>(a)</w:t>
      </w:r>
      <w:r w:rsidRPr="0070667A">
        <w:tab/>
        <w:t>the type of malfunction to which the report relates;</w:t>
      </w:r>
    </w:p>
    <w:p w14:paraId="58CD7CD8" w14:textId="77777777" w:rsidR="00DB6E47" w:rsidRPr="0070667A" w:rsidRDefault="00DB6E47" w:rsidP="00DB6E47">
      <w:pPr>
        <w:pStyle w:val="Apara"/>
      </w:pPr>
      <w:r w:rsidRPr="0070667A">
        <w:tab/>
        <w:t>(b)</w:t>
      </w:r>
      <w:r w:rsidRPr="0070667A">
        <w:tab/>
        <w:t>the date and time the operator became aware of the malfunction;</w:t>
      </w:r>
    </w:p>
    <w:p w14:paraId="5E3B5192" w14:textId="77777777" w:rsidR="00DB6E47" w:rsidRPr="0070667A" w:rsidRDefault="00DB6E47" w:rsidP="00DB6E47">
      <w:pPr>
        <w:pStyle w:val="Apara"/>
      </w:pPr>
      <w:r w:rsidRPr="0070667A">
        <w:tab/>
        <w:t>(c)</w:t>
      </w:r>
      <w:r w:rsidRPr="0070667A">
        <w:tab/>
        <w:t>the location of the vehicle when the operator became aware of the malfunction;</w:t>
      </w:r>
    </w:p>
    <w:p w14:paraId="24B5257B" w14:textId="77777777" w:rsidR="00DB6E47" w:rsidRPr="0070667A" w:rsidRDefault="00DB6E47" w:rsidP="00DB6E47">
      <w:pPr>
        <w:pStyle w:val="Apara"/>
      </w:pPr>
      <w:r w:rsidRPr="0070667A">
        <w:tab/>
        <w:t>(d)</w:t>
      </w:r>
      <w:r w:rsidRPr="0070667A">
        <w:tab/>
        <w:t>the date and time the report was made;</w:t>
      </w:r>
    </w:p>
    <w:p w14:paraId="546BB88C" w14:textId="77777777" w:rsidR="00DB6E47" w:rsidRPr="0070667A" w:rsidRDefault="00DB6E47" w:rsidP="00DB6E47">
      <w:pPr>
        <w:pStyle w:val="Apara"/>
      </w:pPr>
      <w:r w:rsidRPr="0070667A">
        <w:tab/>
        <w:t>(e)</w:t>
      </w:r>
      <w:r w:rsidRPr="0070667A">
        <w:tab/>
        <w:t>the location of the vehicle when the report was made;</w:t>
      </w:r>
    </w:p>
    <w:p w14:paraId="4393BD08" w14:textId="77777777" w:rsidR="00DB6E47" w:rsidRPr="0070667A" w:rsidRDefault="00DB6E47" w:rsidP="00DB6E47">
      <w:pPr>
        <w:pStyle w:val="Apara"/>
      </w:pPr>
      <w:r w:rsidRPr="0070667A">
        <w:tab/>
        <w:t>(f)</w:t>
      </w:r>
      <w:r w:rsidRPr="0070667A">
        <w:tab/>
        <w:t>the way, in person or by radio, telephone, fax or email, that the report was made;</w:t>
      </w:r>
    </w:p>
    <w:p w14:paraId="15C7C482" w14:textId="77777777" w:rsidR="00DB6E47" w:rsidRPr="0070667A" w:rsidRDefault="00DB6E47" w:rsidP="00DB6E47">
      <w:pPr>
        <w:pStyle w:val="Apara"/>
      </w:pPr>
      <w:r w:rsidRPr="0070667A">
        <w:tab/>
        <w:t>(g)</w:t>
      </w:r>
      <w:r w:rsidRPr="0070667A">
        <w:tab/>
        <w:t>the name of the operator or, if someone else made the report on behalf of the operator, the name of the person who made the report;</w:t>
      </w:r>
    </w:p>
    <w:p w14:paraId="2BCA7895" w14:textId="77777777" w:rsidR="00DB6E47" w:rsidRPr="0070667A" w:rsidRDefault="00DB6E47" w:rsidP="00DB6E47">
      <w:pPr>
        <w:pStyle w:val="Apara"/>
      </w:pPr>
      <w:r w:rsidRPr="0070667A">
        <w:tab/>
        <w:t>(h)</w:t>
      </w:r>
      <w:r w:rsidRPr="0070667A">
        <w:tab/>
        <w:t>the name of the individual to whom the report was made.</w:t>
      </w:r>
    </w:p>
    <w:p w14:paraId="1180BF4D" w14:textId="77777777" w:rsidR="00DB6E47" w:rsidRPr="006C3305" w:rsidRDefault="00DB6E47" w:rsidP="00DB6E47">
      <w:pPr>
        <w:pStyle w:val="Penalty"/>
      </w:pPr>
      <w:r w:rsidRPr="00D91CC2">
        <w:rPr>
          <w:rFonts w:cs="Times"/>
          <w:bCs/>
          <w:iCs/>
        </w:rPr>
        <w:t>Maximum penalty—$6000.</w:t>
      </w:r>
    </w:p>
    <w:p w14:paraId="1337B847" w14:textId="77777777" w:rsidR="00DB6E47" w:rsidRPr="007E1F9A" w:rsidRDefault="00DB6E47" w:rsidP="00DB6E47">
      <w:pPr>
        <w:pStyle w:val="AH5Sec"/>
      </w:pPr>
      <w:bookmarkStart w:id="470" w:name="_Toc83625814"/>
      <w:r w:rsidRPr="005E03F7">
        <w:rPr>
          <w:rStyle w:val="CharSectNo"/>
        </w:rPr>
        <w:lastRenderedPageBreak/>
        <w:t>407</w:t>
      </w:r>
      <w:r w:rsidRPr="007E1F9A">
        <w:tab/>
        <w:t>Advising driver of driver’s obligations about reporting system malfunctions</w:t>
      </w:r>
      <w:bookmarkEnd w:id="470"/>
    </w:p>
    <w:p w14:paraId="5BA54452" w14:textId="77777777" w:rsidR="00DB6E47" w:rsidRPr="00C62D32" w:rsidRDefault="00DB6E47" w:rsidP="000D0122">
      <w:pPr>
        <w:pStyle w:val="Amain"/>
        <w:keepNext/>
      </w:pPr>
      <w:r w:rsidRPr="00C62D32">
        <w:tab/>
        <w:t>(1)</w:t>
      </w:r>
      <w:r w:rsidRPr="00C62D32">
        <w:tab/>
        <w:t xml:space="preserve">The operator of an intelligent access </w:t>
      </w:r>
      <w:r w:rsidR="00001FEA">
        <w:t xml:space="preserve">program </w:t>
      </w:r>
      <w:r w:rsidR="00190AA2">
        <w:t>vehicle</w:t>
      </w:r>
      <w:r w:rsidR="00190AA2" w:rsidRPr="003323FC">
        <w:t>, before the vehicle begins a journey, must, unless the operator has a reasonable excuse, ensure the vehicle’s driver is told</w:t>
      </w:r>
      <w:r w:rsidRPr="00C62D32">
        <w:t>—</w:t>
      </w:r>
    </w:p>
    <w:p w14:paraId="6E3AF765" w14:textId="77777777" w:rsidR="00DB6E47" w:rsidRPr="0070667A" w:rsidRDefault="00DB6E47" w:rsidP="00DB6E47">
      <w:pPr>
        <w:pStyle w:val="Apara"/>
      </w:pPr>
      <w:r w:rsidRPr="0070667A">
        <w:tab/>
        <w:t>(a)</w:t>
      </w:r>
      <w:r w:rsidRPr="0070667A">
        <w:tab/>
        <w:t>about the vehicle driver’s obligation under section 408; and</w:t>
      </w:r>
    </w:p>
    <w:p w14:paraId="6731D653" w14:textId="77777777" w:rsidR="00DB6E47" w:rsidRPr="0070667A" w:rsidRDefault="00DB6E47" w:rsidP="00DB6E47">
      <w:pPr>
        <w:pStyle w:val="Apara"/>
      </w:pPr>
      <w:r w:rsidRPr="0070667A">
        <w:tab/>
        <w:t>(b)</w:t>
      </w:r>
      <w:r w:rsidRPr="0070667A">
        <w:tab/>
        <w:t>how the vehicle’s driver can make the reports required by that obligation.</w:t>
      </w:r>
    </w:p>
    <w:p w14:paraId="7DF81912" w14:textId="77777777" w:rsidR="00DB6E47" w:rsidRPr="006C3305" w:rsidRDefault="00DB6E47" w:rsidP="00DB6E47">
      <w:pPr>
        <w:pStyle w:val="Penalty"/>
      </w:pPr>
      <w:r w:rsidRPr="00D91CC2">
        <w:rPr>
          <w:rFonts w:cs="Times"/>
          <w:bCs/>
          <w:iCs/>
        </w:rPr>
        <w:t>Maximum penalty—$6000.</w:t>
      </w:r>
    </w:p>
    <w:p w14:paraId="31E6CF76" w14:textId="77777777" w:rsidR="00DB6E47" w:rsidRPr="00C62D32" w:rsidRDefault="00DB6E47" w:rsidP="00DB6E47">
      <w:pPr>
        <w:pStyle w:val="Amain"/>
      </w:pPr>
      <w:r w:rsidRPr="00C62D32">
        <w:tab/>
        <w:t>(2)</w:t>
      </w:r>
      <w:r w:rsidRPr="00C62D32">
        <w:tab/>
        <w:t xml:space="preserve">The operator of an intelligent access </w:t>
      </w:r>
      <w:r w:rsidR="00001FEA">
        <w:t xml:space="preserve">program </w:t>
      </w:r>
      <w:r w:rsidRPr="00C62D32">
        <w:t>vehicle is taken to comply with subsec</w:t>
      </w:r>
      <w:r w:rsidR="00A27494">
        <w:t xml:space="preserve">tion </w:t>
      </w:r>
      <w:r w:rsidRPr="00C62D32">
        <w:t>(1)</w:t>
      </w:r>
      <w:r w:rsidR="00A27494">
        <w:t xml:space="preserve"> </w:t>
      </w:r>
      <w:r w:rsidRPr="00C62D32">
        <w:t>if the operator—</w:t>
      </w:r>
    </w:p>
    <w:p w14:paraId="7EB1A885" w14:textId="77777777" w:rsidR="00DB6E47" w:rsidRPr="0070667A" w:rsidRDefault="00DB6E47" w:rsidP="00DB6E47">
      <w:pPr>
        <w:pStyle w:val="Apara"/>
      </w:pPr>
      <w:r w:rsidRPr="0070667A">
        <w:tab/>
        <w:t>(a)</w:t>
      </w:r>
      <w:r w:rsidRPr="0070667A">
        <w:tab/>
        <w:t>gives the vehicle’s driver a notice stating the information mentioned in the subsection, including, for example, by placing it in the vehicle’s driving cabin in a clearly visible position; or</w:t>
      </w:r>
    </w:p>
    <w:p w14:paraId="009B018A" w14:textId="77777777" w:rsidR="00DB6E47" w:rsidRPr="0070667A" w:rsidRDefault="00DB6E47" w:rsidP="00DB6E47">
      <w:pPr>
        <w:pStyle w:val="Apara"/>
      </w:pPr>
      <w:r w:rsidRPr="0070667A">
        <w:tab/>
        <w:t>(b)</w:t>
      </w:r>
      <w:r w:rsidRPr="0070667A">
        <w:tab/>
        <w:t>includes the information mentioned in the subsection in a written contract of employment between the operator and the vehicle’s driver.</w:t>
      </w:r>
    </w:p>
    <w:p w14:paraId="5596AB20" w14:textId="77777777" w:rsidR="00DB6E47" w:rsidRPr="00C62D32" w:rsidRDefault="00DB6E47" w:rsidP="00DB6E47">
      <w:pPr>
        <w:pStyle w:val="Amain"/>
      </w:pPr>
      <w:r w:rsidRPr="00C62D32">
        <w:tab/>
        <w:t>(3)</w:t>
      </w:r>
      <w:r w:rsidRPr="00C62D32">
        <w:tab/>
        <w:t>The national regulations may prescribe—</w:t>
      </w:r>
    </w:p>
    <w:p w14:paraId="102FD9F9" w14:textId="77777777" w:rsidR="00DB6E47" w:rsidRPr="0070667A" w:rsidRDefault="00DB6E47" w:rsidP="00DB6E47">
      <w:pPr>
        <w:pStyle w:val="Apara"/>
      </w:pPr>
      <w:r w:rsidRPr="0070667A">
        <w:tab/>
        <w:t>(a)</w:t>
      </w:r>
      <w:r w:rsidRPr="0070667A">
        <w:tab/>
        <w:t>a form of notice that m</w:t>
      </w:r>
      <w:r w:rsidR="00A27494">
        <w:t>ay be used under subsection (2)</w:t>
      </w:r>
      <w:r w:rsidRPr="0070667A">
        <w:t>(a); and</w:t>
      </w:r>
    </w:p>
    <w:p w14:paraId="16C9E141" w14:textId="77777777" w:rsidR="00DB6E47" w:rsidRPr="0070667A" w:rsidRDefault="00DB6E47" w:rsidP="00DB6E47">
      <w:pPr>
        <w:pStyle w:val="Apara"/>
      </w:pPr>
      <w:r w:rsidRPr="0070667A">
        <w:tab/>
        <w:t>(b)</w:t>
      </w:r>
      <w:r w:rsidRPr="0070667A">
        <w:tab/>
        <w:t>for the purposes of subsection</w:t>
      </w:r>
      <w:r w:rsidR="00A27494">
        <w:t xml:space="preserve"> (2)</w:t>
      </w:r>
      <w:r w:rsidRPr="0070667A">
        <w:t>(b), a standard form of words that may be used as part of a written contract of employment.</w:t>
      </w:r>
    </w:p>
    <w:p w14:paraId="59D32C24" w14:textId="77777777" w:rsidR="00DB6E47" w:rsidRPr="003D647F" w:rsidRDefault="00DB6E47" w:rsidP="00DB6E47">
      <w:pPr>
        <w:pStyle w:val="PageBreak"/>
      </w:pPr>
      <w:r w:rsidRPr="003D647F">
        <w:br w:type="page"/>
      </w:r>
    </w:p>
    <w:p w14:paraId="15513D65" w14:textId="77777777" w:rsidR="00DB6E47" w:rsidRPr="005E03F7" w:rsidRDefault="00DB6E47" w:rsidP="00DB6E47">
      <w:pPr>
        <w:pStyle w:val="AH2Part"/>
      </w:pPr>
      <w:bookmarkStart w:id="471" w:name="_Toc83625815"/>
      <w:r w:rsidRPr="005E03F7">
        <w:rPr>
          <w:rStyle w:val="CharPartNo"/>
        </w:rPr>
        <w:lastRenderedPageBreak/>
        <w:t xml:space="preserve">Part 7.3 </w:t>
      </w:r>
      <w:r w:rsidRPr="00A95F9A">
        <w:rPr>
          <w:rFonts w:ascii="Helvetica" w:hAnsi="Helvetica" w:cs="Helvetica"/>
          <w:iCs/>
          <w:szCs w:val="32"/>
        </w:rPr>
        <w:tab/>
      </w:r>
      <w:r w:rsidRPr="005E03F7">
        <w:rPr>
          <w:rStyle w:val="CharPartText"/>
          <w:rFonts w:ascii="Helvetica" w:hAnsi="Helvetica" w:cs="Helvetica"/>
          <w:iCs/>
          <w:szCs w:val="32"/>
        </w:rPr>
        <w:t xml:space="preserve">Obligations of drivers of intelligent access </w:t>
      </w:r>
      <w:r w:rsidR="0089066C" w:rsidRPr="005E03F7">
        <w:rPr>
          <w:rStyle w:val="CharPartText"/>
          <w:rFonts w:ascii="Helvetica" w:hAnsi="Helvetica" w:cs="Helvetica"/>
          <w:iCs/>
          <w:szCs w:val="32"/>
        </w:rPr>
        <w:t xml:space="preserve">program </w:t>
      </w:r>
      <w:r w:rsidRPr="005E03F7">
        <w:rPr>
          <w:rStyle w:val="CharPartText"/>
          <w:rFonts w:ascii="Helvetica" w:hAnsi="Helvetica" w:cs="Helvetica"/>
          <w:iCs/>
          <w:szCs w:val="32"/>
        </w:rPr>
        <w:t>vehicles</w:t>
      </w:r>
      <w:bookmarkEnd w:id="471"/>
    </w:p>
    <w:p w14:paraId="68ACF6C6" w14:textId="77777777" w:rsidR="00DB6E47" w:rsidRPr="007E1F9A" w:rsidRDefault="00DB6E47" w:rsidP="00DB6E47">
      <w:pPr>
        <w:pStyle w:val="AH5Sec"/>
      </w:pPr>
      <w:bookmarkStart w:id="472" w:name="_Toc83625816"/>
      <w:r w:rsidRPr="005E03F7">
        <w:rPr>
          <w:rStyle w:val="CharSectNo"/>
        </w:rPr>
        <w:t>408</w:t>
      </w:r>
      <w:r w:rsidRPr="007E1F9A">
        <w:tab/>
        <w:t>Reporting system malfunctions to operator</w:t>
      </w:r>
      <w:bookmarkEnd w:id="472"/>
    </w:p>
    <w:p w14:paraId="4E83F4C7" w14:textId="77777777" w:rsidR="00DB6E47" w:rsidRPr="00C62D32" w:rsidRDefault="00DB6E47" w:rsidP="00DB6E47">
      <w:pPr>
        <w:pStyle w:val="Amain"/>
      </w:pPr>
      <w:r w:rsidRPr="00C62D32">
        <w:tab/>
        <w:t>(1)</w:t>
      </w:r>
      <w:r w:rsidRPr="00C62D32">
        <w:tab/>
        <w:t xml:space="preserve">If the driver of an intelligent access </w:t>
      </w:r>
      <w:r w:rsidR="00001FEA">
        <w:t xml:space="preserve">program </w:t>
      </w:r>
      <w:r w:rsidRPr="00C62D32">
        <w:t>vehicle becomes aware that a part of an approved intelligent transport system fitted to the vehicle is malfunctioning or has malfunctioned, the driver must as soon as practicable report the malfunction to the vehicle’s operator in person or by radio, telephone, fax or email.</w:t>
      </w:r>
    </w:p>
    <w:p w14:paraId="375250E2" w14:textId="77777777" w:rsidR="00DB6E47" w:rsidRPr="006C3305" w:rsidRDefault="00DB6E47" w:rsidP="00DB6E47">
      <w:pPr>
        <w:pStyle w:val="Penalty"/>
      </w:pPr>
      <w:r w:rsidRPr="00D91CC2">
        <w:rPr>
          <w:rFonts w:cs="Times"/>
          <w:bCs/>
          <w:iCs/>
        </w:rPr>
        <w:t>Maximum penalty—$6000.</w:t>
      </w:r>
    </w:p>
    <w:p w14:paraId="6BF5B8BA" w14:textId="77777777" w:rsidR="00DB6E47" w:rsidRPr="00C62D32" w:rsidRDefault="00DB6E47" w:rsidP="00DB6E47">
      <w:pPr>
        <w:pStyle w:val="Amain"/>
      </w:pPr>
      <w:r w:rsidRPr="00C62D32">
        <w:tab/>
        <w:t>(2)</w:t>
      </w:r>
      <w:r w:rsidRPr="00C62D32">
        <w:tab/>
        <w:t>The driver must keep, for at least 4 years, a written record of a report of a malfunction under subsection (1), containing the following particulars—</w:t>
      </w:r>
    </w:p>
    <w:p w14:paraId="4CBCB47A" w14:textId="77777777" w:rsidR="00DB6E47" w:rsidRPr="0070667A" w:rsidRDefault="00DB6E47" w:rsidP="00DB6E47">
      <w:pPr>
        <w:pStyle w:val="Apara"/>
      </w:pPr>
      <w:r w:rsidRPr="0070667A">
        <w:tab/>
        <w:t>(a)</w:t>
      </w:r>
      <w:r w:rsidRPr="0070667A">
        <w:tab/>
        <w:t>the type of malfunction to which the report relates;</w:t>
      </w:r>
    </w:p>
    <w:p w14:paraId="7E647E5D" w14:textId="77777777" w:rsidR="00DB6E47" w:rsidRPr="0070667A" w:rsidRDefault="00DB6E47" w:rsidP="00DB6E47">
      <w:pPr>
        <w:pStyle w:val="Apara"/>
      </w:pPr>
      <w:r w:rsidRPr="0070667A">
        <w:tab/>
        <w:t>(b)</w:t>
      </w:r>
      <w:r w:rsidRPr="0070667A">
        <w:tab/>
        <w:t>the date and time the driver became aware of the malfunction;</w:t>
      </w:r>
    </w:p>
    <w:p w14:paraId="7050B203" w14:textId="77777777" w:rsidR="00DB6E47" w:rsidRPr="0070667A" w:rsidRDefault="00DB6E47" w:rsidP="00DB6E47">
      <w:pPr>
        <w:pStyle w:val="Apara"/>
      </w:pPr>
      <w:r w:rsidRPr="0070667A">
        <w:tab/>
        <w:t>(c)</w:t>
      </w:r>
      <w:r w:rsidRPr="0070667A">
        <w:tab/>
        <w:t>the location of the vehicle when the driver became aware of the malfunction;</w:t>
      </w:r>
    </w:p>
    <w:p w14:paraId="62CA2396" w14:textId="77777777" w:rsidR="00DB6E47" w:rsidRPr="0070667A" w:rsidRDefault="00DB6E47" w:rsidP="00DB6E47">
      <w:pPr>
        <w:pStyle w:val="Apara"/>
      </w:pPr>
      <w:r w:rsidRPr="0070667A">
        <w:tab/>
        <w:t>(d)</w:t>
      </w:r>
      <w:r w:rsidRPr="0070667A">
        <w:tab/>
        <w:t xml:space="preserve">the date and time the report was made; </w:t>
      </w:r>
    </w:p>
    <w:p w14:paraId="7FC40D20" w14:textId="77777777" w:rsidR="00DB6E47" w:rsidRPr="0070667A" w:rsidRDefault="00DB6E47" w:rsidP="00DB6E47">
      <w:pPr>
        <w:pStyle w:val="Apara"/>
      </w:pPr>
      <w:r w:rsidRPr="0070667A">
        <w:tab/>
        <w:t>(e)</w:t>
      </w:r>
      <w:r w:rsidRPr="0070667A">
        <w:tab/>
        <w:t xml:space="preserve">the location of the vehicle when the report was made; </w:t>
      </w:r>
    </w:p>
    <w:p w14:paraId="1F388A73" w14:textId="77777777" w:rsidR="00DB6E47" w:rsidRPr="0070667A" w:rsidRDefault="00DB6E47" w:rsidP="00DB6E47">
      <w:pPr>
        <w:pStyle w:val="Apara"/>
      </w:pPr>
      <w:r w:rsidRPr="0070667A">
        <w:tab/>
        <w:t>(f)</w:t>
      </w:r>
      <w:r w:rsidRPr="0070667A">
        <w:tab/>
        <w:t>the way, in person or by radio, telephone, fax or email, that the report was made;</w:t>
      </w:r>
    </w:p>
    <w:p w14:paraId="57242123" w14:textId="77777777" w:rsidR="00DB6E47" w:rsidRPr="0070667A" w:rsidRDefault="00DB6E47" w:rsidP="00DB6E47">
      <w:pPr>
        <w:pStyle w:val="Apara"/>
      </w:pPr>
      <w:r w:rsidRPr="0070667A">
        <w:tab/>
        <w:t>(g)</w:t>
      </w:r>
      <w:r w:rsidRPr="0070667A">
        <w:tab/>
        <w:t>the driver’s name;</w:t>
      </w:r>
    </w:p>
    <w:p w14:paraId="201820DF" w14:textId="77777777" w:rsidR="00DB6E47" w:rsidRPr="0070667A" w:rsidRDefault="00DB6E47" w:rsidP="00DB6E47">
      <w:pPr>
        <w:pStyle w:val="Apara"/>
      </w:pPr>
      <w:r w:rsidRPr="0070667A">
        <w:tab/>
        <w:t>(h)</w:t>
      </w:r>
      <w:r w:rsidRPr="0070667A">
        <w:tab/>
        <w:t>the name of the individual to whom the report was made.</w:t>
      </w:r>
    </w:p>
    <w:p w14:paraId="58B1C6BA" w14:textId="77777777" w:rsidR="00DB6E47" w:rsidRPr="006C3305" w:rsidRDefault="00DB6E47" w:rsidP="00DB6E47">
      <w:pPr>
        <w:pStyle w:val="Penalty"/>
      </w:pPr>
      <w:r w:rsidRPr="00D91CC2">
        <w:rPr>
          <w:rFonts w:cs="Times"/>
          <w:bCs/>
          <w:iCs/>
        </w:rPr>
        <w:t>Maximum penalty—$6000.</w:t>
      </w:r>
    </w:p>
    <w:p w14:paraId="3721C4DB" w14:textId="77777777" w:rsidR="00DB6E47" w:rsidRPr="00C62D32" w:rsidRDefault="00A27494" w:rsidP="00496F44">
      <w:pPr>
        <w:pStyle w:val="Amain"/>
        <w:keepLines/>
      </w:pPr>
      <w:r>
        <w:lastRenderedPageBreak/>
        <w:tab/>
        <w:t>(3)</w:t>
      </w:r>
      <w:r>
        <w:tab/>
        <w:t xml:space="preserve">Subsection </w:t>
      </w:r>
      <w:r w:rsidR="00DB6E47" w:rsidRPr="00C62D32">
        <w:t>(1)</w:t>
      </w:r>
      <w:r>
        <w:t xml:space="preserve"> </w:t>
      </w:r>
      <w:r w:rsidR="00DB6E47" w:rsidRPr="00C62D32">
        <w:t>does not apply to the driver of a heavy vehicle in relation to a malfunction of a part of an approved intelligent transport system if another driver of the vehicle has complied with the subsection in relation to the malfunction.</w:t>
      </w:r>
    </w:p>
    <w:p w14:paraId="2589E5FE" w14:textId="77777777" w:rsidR="00DB6E47" w:rsidRPr="003D647F" w:rsidRDefault="00DB6E47" w:rsidP="00DB6E47">
      <w:pPr>
        <w:pStyle w:val="PageBreak"/>
      </w:pPr>
      <w:r w:rsidRPr="003D647F">
        <w:br w:type="page"/>
      </w:r>
    </w:p>
    <w:p w14:paraId="36491259" w14:textId="77777777" w:rsidR="00DB6E47" w:rsidRPr="005E03F7" w:rsidRDefault="00DB6E47" w:rsidP="00DB6E47">
      <w:pPr>
        <w:pStyle w:val="AH2Part"/>
      </w:pPr>
      <w:bookmarkStart w:id="473" w:name="_Toc83625817"/>
      <w:r w:rsidRPr="005E03F7">
        <w:rPr>
          <w:rStyle w:val="CharPartNo"/>
        </w:rPr>
        <w:lastRenderedPageBreak/>
        <w:t xml:space="preserve">Part 7.4 </w:t>
      </w:r>
      <w:r w:rsidRPr="00A95F9A">
        <w:rPr>
          <w:rFonts w:ascii="Helvetica" w:hAnsi="Helvetica" w:cs="Helvetica"/>
          <w:iCs/>
          <w:szCs w:val="32"/>
        </w:rPr>
        <w:tab/>
      </w:r>
      <w:r w:rsidRPr="005E03F7">
        <w:rPr>
          <w:rStyle w:val="CharPartText"/>
          <w:rFonts w:ascii="Helvetica" w:hAnsi="Helvetica" w:cs="Helvetica"/>
          <w:iCs/>
          <w:szCs w:val="32"/>
        </w:rPr>
        <w:t xml:space="preserve">Powers, duties and obligations of intelligent access </w:t>
      </w:r>
      <w:r w:rsidR="000B70A7" w:rsidRPr="005E03F7">
        <w:rPr>
          <w:rStyle w:val="CharPartText"/>
          <w:rFonts w:ascii="Helvetica" w:hAnsi="Helvetica" w:cs="Helvetica"/>
          <w:iCs/>
          <w:szCs w:val="32"/>
        </w:rPr>
        <w:t xml:space="preserve">program </w:t>
      </w:r>
      <w:r w:rsidRPr="005E03F7">
        <w:rPr>
          <w:rStyle w:val="CharPartText"/>
          <w:rFonts w:ascii="Helvetica" w:hAnsi="Helvetica" w:cs="Helvetica"/>
          <w:iCs/>
          <w:szCs w:val="32"/>
        </w:rPr>
        <w:t>service providers</w:t>
      </w:r>
      <w:bookmarkEnd w:id="473"/>
    </w:p>
    <w:p w14:paraId="2C51A857" w14:textId="77777777" w:rsidR="00DB6E47" w:rsidRPr="007E1F9A" w:rsidRDefault="00DB6E47" w:rsidP="00DB6E47">
      <w:pPr>
        <w:pStyle w:val="AH5Sec"/>
      </w:pPr>
      <w:bookmarkStart w:id="474" w:name="_Toc83625818"/>
      <w:r w:rsidRPr="005E03F7">
        <w:rPr>
          <w:rStyle w:val="CharSectNo"/>
        </w:rPr>
        <w:t>409</w:t>
      </w:r>
      <w:r w:rsidRPr="007E1F9A">
        <w:tab/>
        <w:t xml:space="preserve">Powers to collect and hold intelligent access </w:t>
      </w:r>
      <w:r w:rsidR="007F03C4">
        <w:t xml:space="preserve">program </w:t>
      </w:r>
      <w:r w:rsidRPr="007E1F9A">
        <w:t>information</w:t>
      </w:r>
      <w:bookmarkEnd w:id="474"/>
    </w:p>
    <w:p w14:paraId="53B3DA6F" w14:textId="77777777" w:rsidR="00DB6E47" w:rsidRPr="00C62D32" w:rsidRDefault="00DB6E47" w:rsidP="00DB6E47">
      <w:pPr>
        <w:pStyle w:val="Amainreturn"/>
      </w:pPr>
      <w:r w:rsidRPr="00C62D32">
        <w:t xml:space="preserve">An intelligent access </w:t>
      </w:r>
      <w:r w:rsidR="004B0AEB">
        <w:t xml:space="preserve">program </w:t>
      </w:r>
      <w:r w:rsidRPr="00C62D32">
        <w:t xml:space="preserve">service provider may collect and hold intelligent access </w:t>
      </w:r>
      <w:r w:rsidR="007F03C4">
        <w:t xml:space="preserve">program </w:t>
      </w:r>
      <w:r w:rsidRPr="00C62D32">
        <w:t>information for monitoring the relevant monitoring matters for an intelligent access</w:t>
      </w:r>
      <w:r w:rsidR="00001FEA">
        <w:t xml:space="preserve"> program</w:t>
      </w:r>
      <w:r w:rsidRPr="00C62D32">
        <w:t xml:space="preserve"> vehicle.</w:t>
      </w:r>
    </w:p>
    <w:p w14:paraId="35CFC372" w14:textId="77777777" w:rsidR="00DB6E47" w:rsidRPr="007E1F9A" w:rsidRDefault="00DB6E47" w:rsidP="00DB6E47">
      <w:pPr>
        <w:pStyle w:val="AH5Sec"/>
      </w:pPr>
      <w:bookmarkStart w:id="475" w:name="_Toc83625819"/>
      <w:r w:rsidRPr="005E03F7">
        <w:rPr>
          <w:rStyle w:val="CharSectNo"/>
        </w:rPr>
        <w:t>410</w:t>
      </w:r>
      <w:r w:rsidRPr="007E1F9A">
        <w:tab/>
        <w:t xml:space="preserve">Collecting intelligent access </w:t>
      </w:r>
      <w:r w:rsidR="007F03C4">
        <w:t xml:space="preserve">program </w:t>
      </w:r>
      <w:r w:rsidRPr="007E1F9A">
        <w:t>information</w:t>
      </w:r>
      <w:bookmarkEnd w:id="475"/>
    </w:p>
    <w:p w14:paraId="7E89AE33" w14:textId="77777777" w:rsidR="00DB6E47" w:rsidRPr="00C62D32" w:rsidRDefault="00DB6E47" w:rsidP="00DB6E47">
      <w:pPr>
        <w:pStyle w:val="Amain"/>
      </w:pPr>
      <w:r w:rsidRPr="00C62D32">
        <w:tab/>
        <w:t>(1)</w:t>
      </w:r>
      <w:r w:rsidRPr="00C62D32">
        <w:tab/>
        <w:t xml:space="preserve">An intelligent access </w:t>
      </w:r>
      <w:r w:rsidR="004B0AEB">
        <w:t xml:space="preserve">program </w:t>
      </w:r>
      <w:r w:rsidRPr="00C62D32">
        <w:t xml:space="preserve">service provider must </w:t>
      </w:r>
      <w:r w:rsidR="00190AA2" w:rsidRPr="003323FC">
        <w:t>ensure, so far as is reasonably practicable,</w:t>
      </w:r>
      <w:r w:rsidRPr="00C62D32">
        <w:t xml:space="preserve"> the intelligent access </w:t>
      </w:r>
      <w:r w:rsidR="007F03C4">
        <w:t xml:space="preserve">program </w:t>
      </w:r>
      <w:r w:rsidRPr="00C62D32">
        <w:t>information the service provider collects—</w:t>
      </w:r>
    </w:p>
    <w:p w14:paraId="02ECC6CE" w14:textId="77777777" w:rsidR="00DB6E47" w:rsidRPr="0070667A" w:rsidRDefault="00DB6E47" w:rsidP="00DB6E47">
      <w:pPr>
        <w:pStyle w:val="Apara"/>
      </w:pPr>
      <w:r w:rsidRPr="0070667A">
        <w:tab/>
        <w:t>(a)</w:t>
      </w:r>
      <w:r w:rsidRPr="0070667A">
        <w:tab/>
        <w:t>is necessary for the purpose for which it is collected or a directly related purpose; and</w:t>
      </w:r>
    </w:p>
    <w:p w14:paraId="50936C15" w14:textId="77777777" w:rsidR="00DB6E47" w:rsidRPr="0070667A" w:rsidRDefault="00DB6E47" w:rsidP="00DB6E47">
      <w:pPr>
        <w:pStyle w:val="Apara"/>
      </w:pPr>
      <w:r w:rsidRPr="0070667A">
        <w:tab/>
        <w:t>(b)</w:t>
      </w:r>
      <w:r w:rsidRPr="0070667A">
        <w:tab/>
        <w:t>is not excessive for that purpose; and</w:t>
      </w:r>
    </w:p>
    <w:p w14:paraId="42A631A8" w14:textId="77777777" w:rsidR="00DB6E47" w:rsidRPr="0070667A" w:rsidRDefault="00DB6E47" w:rsidP="00DB6E47">
      <w:pPr>
        <w:pStyle w:val="Apara"/>
      </w:pPr>
      <w:r w:rsidRPr="0070667A">
        <w:tab/>
        <w:t>(c)</w:t>
      </w:r>
      <w:r w:rsidRPr="0070667A">
        <w:tab/>
        <w:t>is accurate, complete and up to date.</w:t>
      </w:r>
    </w:p>
    <w:p w14:paraId="7CCBC435" w14:textId="77777777" w:rsidR="00DB6E47" w:rsidRPr="006C3305" w:rsidRDefault="00DB6E47" w:rsidP="00DB6E47">
      <w:pPr>
        <w:pStyle w:val="Penalty"/>
      </w:pPr>
      <w:r w:rsidRPr="00D91CC2">
        <w:rPr>
          <w:rFonts w:cs="Times"/>
          <w:bCs/>
          <w:iCs/>
        </w:rPr>
        <w:t>Maximum penalty—$6000.</w:t>
      </w:r>
    </w:p>
    <w:p w14:paraId="30331EB7" w14:textId="77777777" w:rsidR="00DB6E47" w:rsidRPr="00C62D32" w:rsidRDefault="00DB6E47" w:rsidP="00DB6E47">
      <w:pPr>
        <w:pStyle w:val="Amain"/>
      </w:pPr>
      <w:r w:rsidRPr="00C62D32">
        <w:tab/>
        <w:t>(2)</w:t>
      </w:r>
      <w:r w:rsidRPr="00C62D32">
        <w:tab/>
        <w:t xml:space="preserve">An intelligent access </w:t>
      </w:r>
      <w:r w:rsidR="004B0AEB">
        <w:t xml:space="preserve">program </w:t>
      </w:r>
      <w:r w:rsidRPr="00C62D32">
        <w:t xml:space="preserve">service provider must </w:t>
      </w:r>
      <w:r w:rsidR="00190AA2" w:rsidRPr="003323FC">
        <w:t>ensure, so far as is reasonably practicable,</w:t>
      </w:r>
      <w:r w:rsidRPr="00C62D32">
        <w:t xml:space="preserve"> the collection of intelligent access </w:t>
      </w:r>
      <w:r w:rsidR="007F03C4">
        <w:t xml:space="preserve">program </w:t>
      </w:r>
      <w:r w:rsidRPr="00C62D32">
        <w:t>information by the service provider does not intrude to an unreasonable extent on the personal privacy of any individual to whom the information relates.</w:t>
      </w:r>
    </w:p>
    <w:p w14:paraId="342E16E4" w14:textId="77777777" w:rsidR="00DB6E47" w:rsidRPr="006C3305" w:rsidRDefault="00DB6E47" w:rsidP="00DB6E47">
      <w:pPr>
        <w:pStyle w:val="Penalty"/>
      </w:pPr>
      <w:r w:rsidRPr="00D91CC2">
        <w:rPr>
          <w:rFonts w:cs="Times"/>
          <w:bCs/>
          <w:iCs/>
        </w:rPr>
        <w:t>Maximum penalty—$6000.</w:t>
      </w:r>
    </w:p>
    <w:p w14:paraId="6730FC72" w14:textId="77777777" w:rsidR="00DB6E47" w:rsidRPr="007E1F9A" w:rsidRDefault="00DB6E47" w:rsidP="00DB6E47">
      <w:pPr>
        <w:pStyle w:val="AH5Sec"/>
      </w:pPr>
      <w:bookmarkStart w:id="476" w:name="_Toc83625820"/>
      <w:r w:rsidRPr="005E03F7">
        <w:rPr>
          <w:rStyle w:val="CharSectNo"/>
        </w:rPr>
        <w:lastRenderedPageBreak/>
        <w:t>411</w:t>
      </w:r>
      <w:r w:rsidRPr="007E1F9A">
        <w:tab/>
        <w:t>Keeping records of intelligent access</w:t>
      </w:r>
      <w:r w:rsidR="007F03C4">
        <w:t xml:space="preserve"> program</w:t>
      </w:r>
      <w:r w:rsidRPr="007E1F9A">
        <w:t xml:space="preserve"> information collected</w:t>
      </w:r>
      <w:bookmarkEnd w:id="476"/>
    </w:p>
    <w:p w14:paraId="5D519687" w14:textId="77777777" w:rsidR="00DB6E47" w:rsidRPr="00C62D32" w:rsidRDefault="00DB6E47" w:rsidP="00DB6E47">
      <w:pPr>
        <w:pStyle w:val="Amain"/>
      </w:pPr>
      <w:r w:rsidRPr="00C62D32">
        <w:tab/>
        <w:t>(1)</w:t>
      </w:r>
      <w:r w:rsidRPr="00C62D32">
        <w:tab/>
        <w:t>An intelligent access</w:t>
      </w:r>
      <w:r w:rsidR="004B0AEB">
        <w:t xml:space="preserve"> program</w:t>
      </w:r>
      <w:r w:rsidRPr="00C62D32">
        <w:t xml:space="preserve"> service provider must keep, in a way complying with subsection (2), records of the intelligent access </w:t>
      </w:r>
      <w:r w:rsidR="007F03C4">
        <w:t xml:space="preserve">program </w:t>
      </w:r>
      <w:r w:rsidRPr="00C62D32">
        <w:t>information collected by the service provider.</w:t>
      </w:r>
    </w:p>
    <w:p w14:paraId="1E088F37" w14:textId="77777777" w:rsidR="00DB6E47" w:rsidRPr="006C3305" w:rsidRDefault="00DB6E47" w:rsidP="00DB6E47">
      <w:pPr>
        <w:pStyle w:val="Penalty"/>
      </w:pPr>
      <w:r w:rsidRPr="00D91CC2">
        <w:rPr>
          <w:rFonts w:cs="Times"/>
          <w:bCs/>
          <w:iCs/>
        </w:rPr>
        <w:t>Maximum penalty—$6000.</w:t>
      </w:r>
    </w:p>
    <w:p w14:paraId="496AE01C" w14:textId="77777777" w:rsidR="00DB6E47" w:rsidRPr="00C62D32" w:rsidRDefault="00DB6E47" w:rsidP="00DB6E47">
      <w:pPr>
        <w:pStyle w:val="Amain"/>
      </w:pPr>
      <w:r w:rsidRPr="00C62D32">
        <w:tab/>
        <w:t>(2</w:t>
      </w:r>
      <w:r w:rsidR="00A27494">
        <w:t>)</w:t>
      </w:r>
      <w:r w:rsidR="00A27494">
        <w:tab/>
        <w:t xml:space="preserve">Records kept under subsection </w:t>
      </w:r>
      <w:r w:rsidRPr="00C62D32">
        <w:t>(1)</w:t>
      </w:r>
      <w:r w:rsidR="00A27494">
        <w:t xml:space="preserve"> </w:t>
      </w:r>
      <w:r w:rsidRPr="00C62D32">
        <w:t xml:space="preserve">must be organised in a way that allows the records to be conveniently and properly audited by an intelligent access </w:t>
      </w:r>
      <w:r w:rsidR="00DA1F96">
        <w:t xml:space="preserve">program </w:t>
      </w:r>
      <w:r w:rsidRPr="00C62D32">
        <w:t>auditor.</w:t>
      </w:r>
    </w:p>
    <w:p w14:paraId="242475AE" w14:textId="77777777" w:rsidR="00DB6E47" w:rsidRPr="007E1F9A" w:rsidRDefault="00DB6E47" w:rsidP="00DB6E47">
      <w:pPr>
        <w:pStyle w:val="AH5Sec"/>
      </w:pPr>
      <w:bookmarkStart w:id="477" w:name="_Toc83625821"/>
      <w:r w:rsidRPr="005E03F7">
        <w:rPr>
          <w:rStyle w:val="CharSectNo"/>
        </w:rPr>
        <w:t>412</w:t>
      </w:r>
      <w:r w:rsidRPr="007E1F9A">
        <w:tab/>
        <w:t xml:space="preserve">Protecting intelligent access </w:t>
      </w:r>
      <w:r w:rsidR="007F03C4">
        <w:t xml:space="preserve">program </w:t>
      </w:r>
      <w:r w:rsidRPr="007E1F9A">
        <w:t>information</w:t>
      </w:r>
      <w:bookmarkEnd w:id="477"/>
    </w:p>
    <w:p w14:paraId="25C35015" w14:textId="77777777" w:rsidR="00DB6E47" w:rsidRPr="00C62D32" w:rsidRDefault="00DB6E47" w:rsidP="00DB6E47">
      <w:pPr>
        <w:pStyle w:val="Amainreturn"/>
      </w:pPr>
      <w:r w:rsidRPr="00C62D32">
        <w:t xml:space="preserve">An intelligent access </w:t>
      </w:r>
      <w:r w:rsidR="004B0AEB">
        <w:t xml:space="preserve">program </w:t>
      </w:r>
      <w:r w:rsidRPr="00C62D32">
        <w:t xml:space="preserve">service provider must </w:t>
      </w:r>
      <w:r w:rsidR="00190AA2" w:rsidRPr="003323FC">
        <w:t>ensure, so far as is reasonably practicable, intelligent access</w:t>
      </w:r>
      <w:r w:rsidR="006733F1">
        <w:t xml:space="preserve"> program</w:t>
      </w:r>
      <w:r w:rsidR="00190AA2" w:rsidRPr="003323FC">
        <w:t xml:space="preserve"> information collected by the service provider is protected</w:t>
      </w:r>
      <w:r w:rsidRPr="00C62D32">
        <w:t xml:space="preserve"> against unauthorised access, unauthorised use, misuse, loss, modification or unauthorised disclosure.</w:t>
      </w:r>
    </w:p>
    <w:p w14:paraId="50E3EE20" w14:textId="77777777" w:rsidR="00DB6E47" w:rsidRPr="006C3305" w:rsidRDefault="00BD08BE" w:rsidP="00DB6E47">
      <w:pPr>
        <w:pStyle w:val="Penalty"/>
      </w:pPr>
      <w:r>
        <w:rPr>
          <w:rFonts w:cs="Times"/>
          <w:bCs/>
          <w:iCs/>
        </w:rPr>
        <w:t>Maximum penalty—$20</w:t>
      </w:r>
      <w:r w:rsidR="00DB6E47" w:rsidRPr="00D91CC2">
        <w:rPr>
          <w:rFonts w:cs="Times"/>
          <w:bCs/>
          <w:iCs/>
        </w:rPr>
        <w:t>000.</w:t>
      </w:r>
    </w:p>
    <w:p w14:paraId="533319D1" w14:textId="77777777" w:rsidR="00DB6E47" w:rsidRPr="007E1F9A" w:rsidRDefault="00DB6E47" w:rsidP="00DB6E47">
      <w:pPr>
        <w:pStyle w:val="AH5Sec"/>
      </w:pPr>
      <w:bookmarkStart w:id="478" w:name="_Toc83625822"/>
      <w:r w:rsidRPr="005E03F7">
        <w:rPr>
          <w:rStyle w:val="CharSectNo"/>
        </w:rPr>
        <w:t>413</w:t>
      </w:r>
      <w:r w:rsidRPr="007E1F9A">
        <w:tab/>
        <w:t>Making individuals aware of personal information held</w:t>
      </w:r>
      <w:bookmarkEnd w:id="478"/>
    </w:p>
    <w:p w14:paraId="6A7238BF" w14:textId="77777777" w:rsidR="00DB6E47" w:rsidRPr="00C62D32" w:rsidRDefault="00DB6E47" w:rsidP="00DB6E47">
      <w:pPr>
        <w:pStyle w:val="Amain"/>
      </w:pPr>
      <w:r w:rsidRPr="00C62D32">
        <w:tab/>
        <w:t>(1)</w:t>
      </w:r>
      <w:r w:rsidRPr="00C62D32">
        <w:tab/>
        <w:t xml:space="preserve">An intelligent access </w:t>
      </w:r>
      <w:r w:rsidR="004B0AEB">
        <w:t xml:space="preserve">program </w:t>
      </w:r>
      <w:r w:rsidRPr="00C62D32">
        <w:t>service provider must prepare, and make publicly available, a document setting out the service provider’s policies on the management of personal information held by the service provider.</w:t>
      </w:r>
    </w:p>
    <w:p w14:paraId="3AF7DEB7" w14:textId="77777777" w:rsidR="00DB6E47" w:rsidRPr="00C96203" w:rsidRDefault="00DB6E47" w:rsidP="00DB6E47">
      <w:pPr>
        <w:pStyle w:val="aExamHdgss"/>
      </w:pPr>
      <w:r w:rsidRPr="00C96203">
        <w:rPr>
          <w:rFonts w:cs="Times"/>
          <w:bCs/>
          <w:iCs/>
        </w:rPr>
        <w:t>Examples of how a document is made publicly available—</w:t>
      </w:r>
    </w:p>
    <w:p w14:paraId="5227D876" w14:textId="77777777" w:rsidR="00DB6E47" w:rsidRPr="00C96203" w:rsidRDefault="00DB6E47" w:rsidP="00DB6E47">
      <w:pPr>
        <w:pStyle w:val="aExamBulletss"/>
      </w:pPr>
      <w:r w:rsidRPr="00C96203">
        <w:t xml:space="preserve">• </w:t>
      </w:r>
      <w:r w:rsidRPr="00C96203">
        <w:tab/>
        <w:t>making a document available at the service provider’s office</w:t>
      </w:r>
    </w:p>
    <w:p w14:paraId="5DA819BB" w14:textId="77777777" w:rsidR="00DB6E47" w:rsidRPr="00C96203" w:rsidRDefault="00DB6E47" w:rsidP="00DB6E47">
      <w:pPr>
        <w:pStyle w:val="aExamBulletss"/>
      </w:pPr>
      <w:r w:rsidRPr="00C96203">
        <w:t xml:space="preserve">• </w:t>
      </w:r>
      <w:r w:rsidRPr="00C96203">
        <w:tab/>
        <w:t>making a document available on the service provider’s website</w:t>
      </w:r>
    </w:p>
    <w:p w14:paraId="14F0063C" w14:textId="77777777" w:rsidR="00DB6E47" w:rsidRPr="006C3305" w:rsidRDefault="00DB6E47" w:rsidP="00DB6E47">
      <w:pPr>
        <w:pStyle w:val="Penalty"/>
      </w:pPr>
      <w:r w:rsidRPr="00D91CC2">
        <w:rPr>
          <w:rFonts w:cs="Times"/>
          <w:bCs/>
          <w:iCs/>
        </w:rPr>
        <w:t>Maximum penalty—$6000.</w:t>
      </w:r>
    </w:p>
    <w:p w14:paraId="572BE378" w14:textId="77777777" w:rsidR="00DB6E47" w:rsidRPr="00C62D32" w:rsidRDefault="00DB6E47" w:rsidP="00496F44">
      <w:pPr>
        <w:pStyle w:val="Amain"/>
        <w:keepLines/>
      </w:pPr>
      <w:r w:rsidRPr="00C62D32">
        <w:lastRenderedPageBreak/>
        <w:tab/>
        <w:t>(2)</w:t>
      </w:r>
      <w:r w:rsidRPr="00C62D32">
        <w:tab/>
        <w:t xml:space="preserve">If asked by an individual about whom an intelligent access </w:t>
      </w:r>
      <w:r w:rsidR="004B0AEB">
        <w:t xml:space="preserve">program </w:t>
      </w:r>
      <w:r w:rsidRPr="00C62D32">
        <w:t>service provider holds personal information, the service provider must, within 28 days after receiving the request, give the individual the following information if the service provider can reasonably give the information—</w:t>
      </w:r>
    </w:p>
    <w:p w14:paraId="49C24ADC" w14:textId="77777777" w:rsidR="00DB6E47" w:rsidRPr="0070667A" w:rsidRDefault="00DB6E47" w:rsidP="00DB6E47">
      <w:pPr>
        <w:pStyle w:val="Apara"/>
      </w:pPr>
      <w:r w:rsidRPr="0070667A">
        <w:tab/>
        <w:t>(a)</w:t>
      </w:r>
      <w:r w:rsidRPr="0070667A">
        <w:tab/>
        <w:t>the kind of information the service provider holds about the individual;</w:t>
      </w:r>
    </w:p>
    <w:p w14:paraId="3DBEB2B6" w14:textId="77777777" w:rsidR="00DB6E47" w:rsidRPr="0070667A" w:rsidRDefault="00DB6E47" w:rsidP="00DB6E47">
      <w:pPr>
        <w:pStyle w:val="Apara"/>
      </w:pPr>
      <w:r w:rsidRPr="0070667A">
        <w:tab/>
        <w:t>(b)</w:t>
      </w:r>
      <w:r w:rsidRPr="0070667A">
        <w:tab/>
        <w:t>the purpose for which the information is held;</w:t>
      </w:r>
    </w:p>
    <w:p w14:paraId="57DAD352" w14:textId="77777777" w:rsidR="00DB6E47" w:rsidRPr="0070667A" w:rsidRDefault="00DB6E47" w:rsidP="00DB6E47">
      <w:pPr>
        <w:pStyle w:val="Apara"/>
      </w:pPr>
      <w:r w:rsidRPr="0070667A">
        <w:tab/>
        <w:t>(c)</w:t>
      </w:r>
      <w:r w:rsidRPr="0070667A">
        <w:tab/>
        <w:t xml:space="preserve"> the way in which the service provider collects, holds, uses and discloses the information;</w:t>
      </w:r>
    </w:p>
    <w:p w14:paraId="00E9DD84" w14:textId="77777777" w:rsidR="00DB6E47" w:rsidRPr="0070667A" w:rsidRDefault="00DB6E47" w:rsidP="00DB6E47">
      <w:pPr>
        <w:pStyle w:val="Apara"/>
      </w:pPr>
      <w:r w:rsidRPr="0070667A">
        <w:tab/>
        <w:t>(d)</w:t>
      </w:r>
      <w:r w:rsidRPr="0070667A">
        <w:tab/>
        <w:t>the entities to whom the information may be disclosed;</w:t>
      </w:r>
    </w:p>
    <w:p w14:paraId="26E3B392" w14:textId="77777777" w:rsidR="00DB6E47" w:rsidRPr="0070667A" w:rsidRDefault="00DB6E47" w:rsidP="00DB6E47">
      <w:pPr>
        <w:pStyle w:val="Apara"/>
      </w:pPr>
      <w:r w:rsidRPr="0070667A">
        <w:tab/>
        <w:t>(e)</w:t>
      </w:r>
      <w:r w:rsidRPr="0070667A">
        <w:tab/>
        <w:t>that, under this Chapter, the individual has rights of access to the information or to have the information changed to ensure it is accurate, complete and up to date;</w:t>
      </w:r>
    </w:p>
    <w:p w14:paraId="086CBEBC" w14:textId="77777777" w:rsidR="00DB6E47" w:rsidRPr="0070667A" w:rsidRDefault="00DB6E47" w:rsidP="00DB6E47">
      <w:pPr>
        <w:pStyle w:val="Apara"/>
      </w:pPr>
      <w:r w:rsidRPr="0070667A">
        <w:tab/>
        <w:t>(f)</w:t>
      </w:r>
      <w:r w:rsidRPr="0070667A">
        <w:tab/>
        <w:t>how th</w:t>
      </w:r>
      <w:r w:rsidR="00A27494">
        <w:t xml:space="preserve">e rights mentioned in paragraph </w:t>
      </w:r>
      <w:r w:rsidRPr="0070667A">
        <w:t>(e)</w:t>
      </w:r>
      <w:r w:rsidR="00A27494">
        <w:t xml:space="preserve"> </w:t>
      </w:r>
      <w:r w:rsidRPr="0070667A">
        <w:t>can be exercised.</w:t>
      </w:r>
    </w:p>
    <w:p w14:paraId="4EDDF758" w14:textId="77777777" w:rsidR="00DB6E47" w:rsidRPr="006C3305" w:rsidRDefault="00DB6E47" w:rsidP="00DB6E47">
      <w:pPr>
        <w:pStyle w:val="Penalty"/>
      </w:pPr>
      <w:r w:rsidRPr="00D91CC2">
        <w:rPr>
          <w:rFonts w:cs="Times"/>
          <w:bCs/>
          <w:iCs/>
        </w:rPr>
        <w:t>Maximum penalty—$6000.</w:t>
      </w:r>
    </w:p>
    <w:p w14:paraId="3466C047" w14:textId="77777777" w:rsidR="00DB6E47" w:rsidRPr="00C62D32" w:rsidRDefault="00A27494" w:rsidP="00DB6E47">
      <w:pPr>
        <w:pStyle w:val="Amain"/>
      </w:pPr>
      <w:r>
        <w:tab/>
        <w:t>(3)</w:t>
      </w:r>
      <w:r>
        <w:tab/>
        <w:t xml:space="preserve">Subsection </w:t>
      </w:r>
      <w:r w:rsidR="00DB6E47" w:rsidRPr="00C62D32">
        <w:t>(2)</w:t>
      </w:r>
      <w:r>
        <w:t xml:space="preserve"> </w:t>
      </w:r>
      <w:r w:rsidR="00DB6E47" w:rsidRPr="00C62D32">
        <w:t xml:space="preserve">does not require an intelligent access </w:t>
      </w:r>
      <w:r w:rsidR="004B0AEB">
        <w:t xml:space="preserve">program </w:t>
      </w:r>
      <w:r w:rsidR="00DB6E47" w:rsidRPr="00C62D32">
        <w:t>service provider to inform an individual that a report under section 422 or 423 exists or has been made.</w:t>
      </w:r>
    </w:p>
    <w:p w14:paraId="64EB22BB" w14:textId="77777777" w:rsidR="00DB6E47" w:rsidRPr="007E1F9A" w:rsidRDefault="00DB6E47" w:rsidP="00DB6E47">
      <w:pPr>
        <w:pStyle w:val="AH5Sec"/>
      </w:pPr>
      <w:bookmarkStart w:id="479" w:name="_Toc83625823"/>
      <w:r w:rsidRPr="005E03F7">
        <w:rPr>
          <w:rStyle w:val="CharSectNo"/>
        </w:rPr>
        <w:t>414</w:t>
      </w:r>
      <w:r w:rsidRPr="007E1F9A">
        <w:tab/>
        <w:t>Giving individuals access to their personal information</w:t>
      </w:r>
      <w:bookmarkEnd w:id="479"/>
    </w:p>
    <w:p w14:paraId="2BA04FF4" w14:textId="77777777" w:rsidR="00DB6E47" w:rsidRPr="0070667A" w:rsidRDefault="00DB6E47" w:rsidP="00DB6E47">
      <w:pPr>
        <w:pStyle w:val="Amain"/>
      </w:pPr>
      <w:r w:rsidRPr="0070667A">
        <w:tab/>
        <w:t>(1)</w:t>
      </w:r>
      <w:r w:rsidRPr="0070667A">
        <w:tab/>
        <w:t xml:space="preserve">An intelligent access </w:t>
      </w:r>
      <w:r w:rsidR="004B0AEB">
        <w:t xml:space="preserve">program </w:t>
      </w:r>
      <w:r w:rsidRPr="0070667A">
        <w:t>service provider must, if asked by an individual about whom the service provider holds personal information, give the individual access to the information as soon as practicable and without cost.</w:t>
      </w:r>
    </w:p>
    <w:p w14:paraId="40280C52" w14:textId="77777777" w:rsidR="00DB6E47" w:rsidRPr="006C3305" w:rsidRDefault="00DB6E47" w:rsidP="00DB6E47">
      <w:pPr>
        <w:pStyle w:val="Penalty"/>
      </w:pPr>
      <w:r w:rsidRPr="00D91CC2">
        <w:rPr>
          <w:rFonts w:cs="Times"/>
          <w:bCs/>
          <w:iCs/>
        </w:rPr>
        <w:t>Maximum penalty—$6000.</w:t>
      </w:r>
    </w:p>
    <w:p w14:paraId="5B6D86F8" w14:textId="77777777" w:rsidR="00DB6E47" w:rsidRPr="00C62D32" w:rsidRDefault="00A27494" w:rsidP="00DB6E47">
      <w:pPr>
        <w:pStyle w:val="Amain"/>
      </w:pPr>
      <w:r>
        <w:tab/>
        <w:t>(2)</w:t>
      </w:r>
      <w:r>
        <w:tab/>
        <w:t xml:space="preserve">Subsection </w:t>
      </w:r>
      <w:r w:rsidR="00DB6E47" w:rsidRPr="00C62D32">
        <w:t>(1)</w:t>
      </w:r>
      <w:r>
        <w:t xml:space="preserve"> </w:t>
      </w:r>
      <w:r w:rsidR="00DB6E47" w:rsidRPr="00C62D32">
        <w:t xml:space="preserve">does not require an intelligent access </w:t>
      </w:r>
      <w:r w:rsidR="004B0AEB">
        <w:t xml:space="preserve">program </w:t>
      </w:r>
      <w:r w:rsidR="00DB6E47" w:rsidRPr="00C62D32">
        <w:t>service provider to give an individual access</w:t>
      </w:r>
      <w:r w:rsidR="000D0122">
        <w:t xml:space="preserve"> to a report made under section </w:t>
      </w:r>
      <w:r w:rsidR="00DB6E47" w:rsidRPr="00C62D32">
        <w:t>422 or 423 or information showing that a report of that kind exists or has been made.</w:t>
      </w:r>
    </w:p>
    <w:p w14:paraId="13DFC87D" w14:textId="77777777" w:rsidR="00DB6E47" w:rsidRPr="007E1F9A" w:rsidRDefault="00DB6E47" w:rsidP="00DB6E47">
      <w:pPr>
        <w:pStyle w:val="AH5Sec"/>
      </w:pPr>
      <w:bookmarkStart w:id="480" w:name="_Toc83625824"/>
      <w:r w:rsidRPr="005E03F7">
        <w:rPr>
          <w:rStyle w:val="CharSectNo"/>
        </w:rPr>
        <w:lastRenderedPageBreak/>
        <w:t>415</w:t>
      </w:r>
      <w:r w:rsidRPr="007E1F9A">
        <w:tab/>
        <w:t>Correcting errors etc.</w:t>
      </w:r>
      <w:bookmarkEnd w:id="480"/>
    </w:p>
    <w:p w14:paraId="0B1B2893" w14:textId="77777777" w:rsidR="00DB6E47" w:rsidRPr="00C62D32" w:rsidRDefault="00DB6E47" w:rsidP="00DB6E47">
      <w:pPr>
        <w:pStyle w:val="Amain"/>
      </w:pPr>
      <w:r w:rsidRPr="00C62D32">
        <w:tab/>
        <w:t>(1)</w:t>
      </w:r>
      <w:r w:rsidRPr="00C62D32">
        <w:tab/>
        <w:t xml:space="preserve">This section applies if an individual about whom an intelligent access </w:t>
      </w:r>
      <w:r w:rsidR="004B0AEB">
        <w:t xml:space="preserve">program </w:t>
      </w:r>
      <w:r w:rsidRPr="00C62D32">
        <w:t xml:space="preserve">service provider holds personal information asks the service provider to make a particular change to the personal information. </w:t>
      </w:r>
    </w:p>
    <w:p w14:paraId="2BF0359E" w14:textId="77777777" w:rsidR="00DB6E47" w:rsidRPr="00C62D32" w:rsidRDefault="00DB6E47" w:rsidP="00DB6E47">
      <w:pPr>
        <w:pStyle w:val="Amain"/>
      </w:pPr>
      <w:r w:rsidRPr="00C62D32">
        <w:tab/>
        <w:t>(2)</w:t>
      </w:r>
      <w:r w:rsidRPr="00C62D32">
        <w:tab/>
        <w:t xml:space="preserve">The intelligent access </w:t>
      </w:r>
      <w:r w:rsidR="004B0AEB">
        <w:t xml:space="preserve">program </w:t>
      </w:r>
      <w:r w:rsidRPr="00C62D32">
        <w:t>service provider must make the change if the service provider is satisfied the change is appropriate to ensure the personal information is accurate, complete and up to date.</w:t>
      </w:r>
    </w:p>
    <w:p w14:paraId="3945BA4D" w14:textId="77777777" w:rsidR="00DB6E47" w:rsidRPr="006C3305" w:rsidRDefault="00DB6E47" w:rsidP="00DB6E47">
      <w:pPr>
        <w:pStyle w:val="Penalty"/>
      </w:pPr>
      <w:r w:rsidRPr="00D91CC2">
        <w:rPr>
          <w:rFonts w:cs="Times"/>
          <w:bCs/>
          <w:iCs/>
        </w:rPr>
        <w:t>Maximum penalty—$6000.</w:t>
      </w:r>
    </w:p>
    <w:p w14:paraId="4308F5E3" w14:textId="77777777" w:rsidR="00DB6E47" w:rsidRPr="00C62D32" w:rsidRDefault="00DB6E47" w:rsidP="00DB6E47">
      <w:pPr>
        <w:pStyle w:val="Amain"/>
      </w:pPr>
      <w:r w:rsidRPr="00C62D32">
        <w:tab/>
        <w:t>(3)</w:t>
      </w:r>
      <w:r w:rsidRPr="00C62D32">
        <w:tab/>
        <w:t xml:space="preserve">If the intelligent access </w:t>
      </w:r>
      <w:r w:rsidR="004B0AEB">
        <w:t xml:space="preserve">program </w:t>
      </w:r>
      <w:r w:rsidRPr="00C62D32">
        <w:t>service provider is not satisfied as mentioned in subsection (2), the service provider may refuse to comply with the request.</w:t>
      </w:r>
    </w:p>
    <w:p w14:paraId="49CDDE1B" w14:textId="77777777" w:rsidR="00DB6E47" w:rsidRPr="00C62D32" w:rsidRDefault="00DB6E47" w:rsidP="00DB6E47">
      <w:pPr>
        <w:pStyle w:val="Amain"/>
      </w:pPr>
      <w:r w:rsidRPr="00C62D32">
        <w:tab/>
        <w:t>(4)</w:t>
      </w:r>
      <w:r w:rsidRPr="00C62D32">
        <w:tab/>
        <w:t xml:space="preserve">If, under subsection (3), an intelligent access </w:t>
      </w:r>
      <w:r w:rsidR="004B0AEB">
        <w:t xml:space="preserve">program </w:t>
      </w:r>
      <w:r w:rsidRPr="00C62D32">
        <w:t>service provider refuses to comply with an individual’s request under subsection (1), the service provider must—</w:t>
      </w:r>
    </w:p>
    <w:p w14:paraId="79CE8713" w14:textId="77777777" w:rsidR="00DB6E47" w:rsidRPr="0070667A" w:rsidRDefault="00DB6E47" w:rsidP="00DB6E47">
      <w:pPr>
        <w:pStyle w:val="Apara"/>
      </w:pPr>
      <w:r w:rsidRPr="0070667A">
        <w:tab/>
        <w:t>(a)</w:t>
      </w:r>
      <w:r w:rsidRPr="0070667A">
        <w:tab/>
        <w:t>give the individual a notice stating—</w:t>
      </w:r>
    </w:p>
    <w:p w14:paraId="0320D8DF" w14:textId="77777777" w:rsidR="00DB6E47" w:rsidRPr="00516F02" w:rsidRDefault="00DB6E47" w:rsidP="00DB6E47">
      <w:pPr>
        <w:pStyle w:val="Asubpara"/>
      </w:pPr>
      <w:r w:rsidRPr="00516F02">
        <w:tab/>
        <w:t>(i)</w:t>
      </w:r>
      <w:r w:rsidRPr="00516F02">
        <w:tab/>
        <w:t>the service provider’s reasons for refusing; and</w:t>
      </w:r>
    </w:p>
    <w:p w14:paraId="1E2C84F5" w14:textId="77777777" w:rsidR="00DB6E47" w:rsidRPr="00516F02" w:rsidRDefault="00DB6E47" w:rsidP="00DB6E47">
      <w:pPr>
        <w:pStyle w:val="Asubpara"/>
      </w:pPr>
      <w:r w:rsidRPr="00516F02">
        <w:tab/>
        <w:t>(ii)</w:t>
      </w:r>
      <w:r w:rsidRPr="00516F02">
        <w:tab/>
        <w:t>that the individual may ask the service provider to attach to or include with the personal information the individual’s request or a record of it; and</w:t>
      </w:r>
    </w:p>
    <w:p w14:paraId="2CF56959" w14:textId="77777777" w:rsidR="00DB6E47" w:rsidRPr="0070667A" w:rsidRDefault="00DB6E47" w:rsidP="00DB6E47">
      <w:pPr>
        <w:pStyle w:val="Apara"/>
      </w:pPr>
      <w:r w:rsidRPr="0070667A">
        <w:tab/>
        <w:t>(b)</w:t>
      </w:r>
      <w:r w:rsidRPr="0070667A">
        <w:tab/>
        <w:t>if asked by the individual, attach to or include with the personal information the request or a record of the request.</w:t>
      </w:r>
    </w:p>
    <w:p w14:paraId="5DD74A9B" w14:textId="77777777" w:rsidR="00DB6E47" w:rsidRPr="006C3305" w:rsidRDefault="00DB6E47" w:rsidP="00DB6E47">
      <w:pPr>
        <w:pStyle w:val="Penalty"/>
      </w:pPr>
      <w:r w:rsidRPr="00D91CC2">
        <w:rPr>
          <w:rFonts w:cs="Times"/>
          <w:bCs/>
          <w:iCs/>
        </w:rPr>
        <w:t>Maximum penalty—$6000.</w:t>
      </w:r>
    </w:p>
    <w:p w14:paraId="2755FCE5" w14:textId="77777777" w:rsidR="00DB6E47" w:rsidRPr="007E1F9A" w:rsidRDefault="00DB6E47" w:rsidP="00DB6E47">
      <w:pPr>
        <w:pStyle w:val="AH5Sec"/>
      </w:pPr>
      <w:bookmarkStart w:id="481" w:name="_Toc83625825"/>
      <w:r w:rsidRPr="005E03F7">
        <w:rPr>
          <w:rStyle w:val="CharSectNo"/>
        </w:rPr>
        <w:t>416</w:t>
      </w:r>
      <w:r w:rsidRPr="007E1F9A">
        <w:tab/>
        <w:t xml:space="preserve">General restriction on use and disclosure of intelligent access </w:t>
      </w:r>
      <w:r w:rsidR="007F03C4">
        <w:t xml:space="preserve">program </w:t>
      </w:r>
      <w:r w:rsidRPr="007E1F9A">
        <w:t>information</w:t>
      </w:r>
      <w:bookmarkEnd w:id="481"/>
    </w:p>
    <w:p w14:paraId="28D395D7" w14:textId="77777777" w:rsidR="00DB6E47" w:rsidRPr="00C62D32" w:rsidRDefault="00DB6E47" w:rsidP="00496F44">
      <w:pPr>
        <w:pStyle w:val="Amainreturn"/>
        <w:keepNext/>
      </w:pPr>
      <w:r w:rsidRPr="00C62D32">
        <w:t xml:space="preserve">An intelligent access </w:t>
      </w:r>
      <w:r w:rsidR="004B0AEB">
        <w:t xml:space="preserve">program </w:t>
      </w:r>
      <w:r w:rsidRPr="00C62D32">
        <w:t>service provider must not use or disclose intelligent access</w:t>
      </w:r>
      <w:r w:rsidR="007F03C4">
        <w:t xml:space="preserve"> program</w:t>
      </w:r>
      <w:r w:rsidRPr="00C62D32">
        <w:t xml:space="preserve"> information other than as required or authorised under this Law or another law.</w:t>
      </w:r>
    </w:p>
    <w:p w14:paraId="582818DE" w14:textId="77777777" w:rsidR="00DB6E47" w:rsidRPr="006C3305" w:rsidRDefault="00BD08BE" w:rsidP="00DB6E47">
      <w:pPr>
        <w:pStyle w:val="Penalty"/>
      </w:pPr>
      <w:r>
        <w:rPr>
          <w:rFonts w:cs="Times"/>
          <w:bCs/>
          <w:iCs/>
        </w:rPr>
        <w:t>Maximum penalty—$20</w:t>
      </w:r>
      <w:r w:rsidR="00DB6E47" w:rsidRPr="00D91CC2">
        <w:rPr>
          <w:rFonts w:cs="Times"/>
          <w:bCs/>
          <w:iCs/>
        </w:rPr>
        <w:t>000.</w:t>
      </w:r>
    </w:p>
    <w:p w14:paraId="154EEC98" w14:textId="77777777" w:rsidR="00DB6E47" w:rsidRPr="007E1F9A" w:rsidRDefault="00DB6E47" w:rsidP="00DB6E47">
      <w:pPr>
        <w:pStyle w:val="AH5Sec"/>
      </w:pPr>
      <w:bookmarkStart w:id="482" w:name="_Toc83625826"/>
      <w:r w:rsidRPr="005E03F7">
        <w:rPr>
          <w:rStyle w:val="CharSectNo"/>
        </w:rPr>
        <w:lastRenderedPageBreak/>
        <w:t>417</w:t>
      </w:r>
      <w:r w:rsidRPr="007E1F9A">
        <w:tab/>
        <w:t xml:space="preserve">Giving intelligent access </w:t>
      </w:r>
      <w:r w:rsidR="00DA1F96">
        <w:t xml:space="preserve">program </w:t>
      </w:r>
      <w:r w:rsidRPr="007E1F9A">
        <w:t>auditor access to records</w:t>
      </w:r>
      <w:bookmarkEnd w:id="482"/>
    </w:p>
    <w:p w14:paraId="0FD744EF" w14:textId="77777777" w:rsidR="00DB6E47" w:rsidRPr="00C62D32" w:rsidRDefault="00DB6E47" w:rsidP="00DB6E47">
      <w:pPr>
        <w:pStyle w:val="Amainreturn"/>
      </w:pPr>
      <w:r w:rsidRPr="00C62D32">
        <w:t xml:space="preserve">An intelligent access </w:t>
      </w:r>
      <w:r w:rsidR="00283CA2">
        <w:t xml:space="preserve">program </w:t>
      </w:r>
      <w:r w:rsidRPr="00C62D32">
        <w:t xml:space="preserve">service provider must give an intelligent access </w:t>
      </w:r>
      <w:r w:rsidR="00DA1F96">
        <w:t xml:space="preserve">program </w:t>
      </w:r>
      <w:r w:rsidRPr="00C62D32">
        <w:t>auditor access to a record kept by the service provider for the purposes of this Chapter.</w:t>
      </w:r>
    </w:p>
    <w:p w14:paraId="507C43C3" w14:textId="77777777" w:rsidR="00DB6E47" w:rsidRPr="006C3305" w:rsidRDefault="00DB6E47" w:rsidP="00DB6E47">
      <w:pPr>
        <w:pStyle w:val="Penalty"/>
      </w:pPr>
      <w:r w:rsidRPr="00D91CC2">
        <w:rPr>
          <w:rFonts w:cs="Times"/>
          <w:bCs/>
          <w:iCs/>
        </w:rPr>
        <w:t>Maximum penalty—$6000.</w:t>
      </w:r>
    </w:p>
    <w:p w14:paraId="4A407FDB" w14:textId="77777777" w:rsidR="00DB6E47" w:rsidRPr="007E1F9A" w:rsidRDefault="00DB6E47" w:rsidP="00DB6E47">
      <w:pPr>
        <w:pStyle w:val="AH5Sec"/>
      </w:pPr>
      <w:bookmarkStart w:id="483" w:name="_Toc83625827"/>
      <w:r w:rsidRPr="005E03F7">
        <w:rPr>
          <w:rStyle w:val="CharSectNo"/>
        </w:rPr>
        <w:t>418</w:t>
      </w:r>
      <w:r w:rsidRPr="007E1F9A">
        <w:tab/>
        <w:t xml:space="preserve">Powers to use and disclose intelligent access </w:t>
      </w:r>
      <w:r w:rsidR="00F727EC">
        <w:t xml:space="preserve">program </w:t>
      </w:r>
      <w:r w:rsidRPr="007E1F9A">
        <w:t>information</w:t>
      </w:r>
      <w:bookmarkEnd w:id="483"/>
    </w:p>
    <w:p w14:paraId="2775E39B" w14:textId="77777777" w:rsidR="00DB6E47" w:rsidRPr="00C62D32" w:rsidRDefault="00DB6E47" w:rsidP="00DB6E47">
      <w:pPr>
        <w:pStyle w:val="Amain"/>
      </w:pPr>
      <w:r w:rsidRPr="00C62D32">
        <w:tab/>
        <w:t>(1)</w:t>
      </w:r>
      <w:r w:rsidRPr="00C62D32">
        <w:tab/>
        <w:t xml:space="preserve">An intelligent access </w:t>
      </w:r>
      <w:r w:rsidR="00283CA2">
        <w:t xml:space="preserve">program </w:t>
      </w:r>
      <w:r w:rsidRPr="00C62D32">
        <w:t xml:space="preserve">service provider may use intelligent access </w:t>
      </w:r>
      <w:r w:rsidR="00F727EC">
        <w:t xml:space="preserve">program </w:t>
      </w:r>
      <w:r w:rsidRPr="00C62D32">
        <w:t xml:space="preserve">information for monitoring the relevant monitoring matters for an intelligent access </w:t>
      </w:r>
      <w:r w:rsidR="00B75569">
        <w:t xml:space="preserve">program </w:t>
      </w:r>
      <w:r w:rsidRPr="00C62D32">
        <w:t>vehicle.</w:t>
      </w:r>
    </w:p>
    <w:p w14:paraId="70A96C20" w14:textId="77777777" w:rsidR="00DB6E47" w:rsidRPr="00C62D32" w:rsidRDefault="00DB6E47" w:rsidP="00DB6E47">
      <w:pPr>
        <w:pStyle w:val="Amain"/>
      </w:pPr>
      <w:r w:rsidRPr="00C62D32">
        <w:tab/>
        <w:t>(2)</w:t>
      </w:r>
      <w:r w:rsidRPr="00C62D32">
        <w:tab/>
        <w:t xml:space="preserve">An intelligent access </w:t>
      </w:r>
      <w:r w:rsidR="00283CA2">
        <w:t xml:space="preserve">program </w:t>
      </w:r>
      <w:r w:rsidRPr="00C62D32">
        <w:t xml:space="preserve">service provider may disclose intelligent access </w:t>
      </w:r>
      <w:r w:rsidR="00F727EC">
        <w:t xml:space="preserve">program </w:t>
      </w:r>
      <w:r w:rsidRPr="00C62D32">
        <w:t>information to the Regulator for compliance purposes.</w:t>
      </w:r>
    </w:p>
    <w:p w14:paraId="2EA5F805" w14:textId="77777777" w:rsidR="00DB6E47" w:rsidRPr="00C62D32" w:rsidRDefault="00DB6E47" w:rsidP="00DB6E47">
      <w:pPr>
        <w:pStyle w:val="Amain"/>
      </w:pPr>
      <w:r w:rsidRPr="00C62D32">
        <w:tab/>
        <w:t>(3)</w:t>
      </w:r>
      <w:r w:rsidRPr="00C62D32">
        <w:tab/>
        <w:t xml:space="preserve">An intelligent access </w:t>
      </w:r>
      <w:r w:rsidR="00283CA2">
        <w:t xml:space="preserve">program </w:t>
      </w:r>
      <w:r w:rsidRPr="00C62D32">
        <w:t xml:space="preserve">service provider may disclose intelligent access </w:t>
      </w:r>
      <w:r w:rsidR="00F727EC">
        <w:t xml:space="preserve">program </w:t>
      </w:r>
      <w:r w:rsidRPr="00C62D32">
        <w:t>information to—</w:t>
      </w:r>
    </w:p>
    <w:p w14:paraId="30289CFA" w14:textId="77777777" w:rsidR="00DB6E47" w:rsidRPr="0070667A" w:rsidRDefault="00DB6E47" w:rsidP="00DB6E47">
      <w:pPr>
        <w:pStyle w:val="Apara"/>
      </w:pPr>
      <w:r w:rsidRPr="0070667A">
        <w:tab/>
        <w:t>(a)</w:t>
      </w:r>
      <w:r w:rsidRPr="0070667A">
        <w:tab/>
        <w:t>an authorised officer, other than a police officer, for law enforcement purposes if so authorised by a warrant issued under this Law; or</w:t>
      </w:r>
    </w:p>
    <w:p w14:paraId="211AEF66" w14:textId="77777777" w:rsidR="00DB6E47" w:rsidRPr="0070667A" w:rsidRDefault="00DB6E47" w:rsidP="00DB6E47">
      <w:pPr>
        <w:pStyle w:val="Apara"/>
      </w:pPr>
      <w:r w:rsidRPr="0070667A">
        <w:tab/>
        <w:t>(b)</w:t>
      </w:r>
      <w:r w:rsidRPr="0070667A">
        <w:tab/>
        <w:t>an authorised officer who is a police officer, for law enforcement purposes if so authorised by a warrant issued under this Law or another law.</w:t>
      </w:r>
    </w:p>
    <w:p w14:paraId="215EE7F6" w14:textId="77777777" w:rsidR="00DB6E47" w:rsidRPr="00C62D32" w:rsidRDefault="00DB6E47" w:rsidP="00DB6E47">
      <w:pPr>
        <w:pStyle w:val="Amain"/>
      </w:pPr>
      <w:r w:rsidRPr="00C62D32">
        <w:tab/>
        <w:t>(4)</w:t>
      </w:r>
      <w:r w:rsidRPr="00C62D32">
        <w:tab/>
        <w:t xml:space="preserve">If an intelligent access </w:t>
      </w:r>
      <w:r w:rsidR="00283CA2">
        <w:t xml:space="preserve">program </w:t>
      </w:r>
      <w:r w:rsidRPr="00C62D32">
        <w:t xml:space="preserve">service provider discloses intelligent access </w:t>
      </w:r>
      <w:r w:rsidR="00F727EC">
        <w:t xml:space="preserve">program </w:t>
      </w:r>
      <w:r w:rsidRPr="00C62D32">
        <w:t>information to an authorised officer or a police officer under this section, the officer must not use the information, or disclose it to any other person, unless—</w:t>
      </w:r>
    </w:p>
    <w:p w14:paraId="50F57BEB" w14:textId="77777777" w:rsidR="00DB6E47" w:rsidRPr="0070667A" w:rsidRDefault="00DB6E47" w:rsidP="00DB6E47">
      <w:pPr>
        <w:pStyle w:val="Apara"/>
      </w:pPr>
      <w:r w:rsidRPr="0070667A">
        <w:tab/>
        <w:t>(a)</w:t>
      </w:r>
      <w:r w:rsidRPr="0070667A">
        <w:tab/>
        <w:t>the officer believes the use or disclosure is reasonably necessary for law enforcement purposes; or</w:t>
      </w:r>
    </w:p>
    <w:p w14:paraId="749FBF02" w14:textId="77777777" w:rsidR="00DB6E47" w:rsidRPr="0070667A" w:rsidRDefault="00DB6E47" w:rsidP="00DB6E47">
      <w:pPr>
        <w:pStyle w:val="Apara"/>
      </w:pPr>
      <w:r w:rsidRPr="0070667A">
        <w:lastRenderedPageBreak/>
        <w:tab/>
        <w:t>(b)</w:t>
      </w:r>
      <w:r w:rsidRPr="0070667A">
        <w:tab/>
        <w:t>the use or disclosure is otherwise authorised under this Law or any other law.</w:t>
      </w:r>
    </w:p>
    <w:p w14:paraId="2F6FAB5C" w14:textId="77777777" w:rsidR="00DB6E47" w:rsidRPr="00C62D32" w:rsidRDefault="00DB6E47" w:rsidP="00DB6E47">
      <w:pPr>
        <w:pStyle w:val="Amain"/>
      </w:pPr>
      <w:r w:rsidRPr="00C62D32">
        <w:tab/>
        <w:t>(5)</w:t>
      </w:r>
      <w:r w:rsidRPr="00C62D32">
        <w:tab/>
        <w:t xml:space="preserve">An intelligent access </w:t>
      </w:r>
      <w:r w:rsidR="00283CA2">
        <w:t xml:space="preserve">program </w:t>
      </w:r>
      <w:r w:rsidRPr="00C62D32">
        <w:t xml:space="preserve">service provider may disclose intelligent access </w:t>
      </w:r>
      <w:r w:rsidR="00F727EC">
        <w:t xml:space="preserve">program </w:t>
      </w:r>
      <w:r w:rsidRPr="00C62D32">
        <w:t xml:space="preserve">information about an operator of an intelligent access </w:t>
      </w:r>
      <w:r w:rsidR="00B75569">
        <w:t xml:space="preserve">program </w:t>
      </w:r>
      <w:r w:rsidRPr="00C62D32">
        <w:t>vehicle to the operator.</w:t>
      </w:r>
    </w:p>
    <w:p w14:paraId="6A0DB72B" w14:textId="77777777" w:rsidR="00DB6E47" w:rsidRPr="00C62D32" w:rsidRDefault="00A27494" w:rsidP="00DB6E47">
      <w:pPr>
        <w:pStyle w:val="Amain"/>
      </w:pPr>
      <w:r>
        <w:tab/>
        <w:t>(6)</w:t>
      </w:r>
      <w:r>
        <w:tab/>
        <w:t xml:space="preserve">Subsection </w:t>
      </w:r>
      <w:r w:rsidR="00DB6E47" w:rsidRPr="00C62D32">
        <w:t>(5)</w:t>
      </w:r>
      <w:r>
        <w:t xml:space="preserve"> </w:t>
      </w:r>
      <w:r w:rsidR="00DB6E47" w:rsidRPr="00C62D32">
        <w:t>does not apply to the following—</w:t>
      </w:r>
    </w:p>
    <w:p w14:paraId="2B38E927" w14:textId="77777777" w:rsidR="00DB6E47" w:rsidRPr="0070667A" w:rsidRDefault="00DB6E47" w:rsidP="00DB6E47">
      <w:pPr>
        <w:pStyle w:val="Apara"/>
      </w:pPr>
      <w:r w:rsidRPr="0070667A">
        <w:tab/>
        <w:t>(a)</w:t>
      </w:r>
      <w:r w:rsidRPr="0070667A">
        <w:tab/>
        <w:t xml:space="preserve">a noncompliance report about an intelligent access </w:t>
      </w:r>
      <w:r w:rsidR="00B75569">
        <w:t xml:space="preserve">program </w:t>
      </w:r>
      <w:r w:rsidRPr="0070667A">
        <w:t>vehicle operated by the operator;</w:t>
      </w:r>
    </w:p>
    <w:p w14:paraId="415552A9" w14:textId="77777777" w:rsidR="00DB6E47" w:rsidRPr="0070667A" w:rsidRDefault="00DB6E47" w:rsidP="00DB6E47">
      <w:pPr>
        <w:pStyle w:val="Apara"/>
      </w:pPr>
      <w:r w:rsidRPr="0070667A">
        <w:tab/>
        <w:t>(b)</w:t>
      </w:r>
      <w:r w:rsidRPr="0070667A">
        <w:tab/>
        <w:t xml:space="preserve">information that a noncompliance report has been made about an intelligent access </w:t>
      </w:r>
      <w:r w:rsidR="00B75569">
        <w:t xml:space="preserve">program </w:t>
      </w:r>
      <w:r w:rsidRPr="0070667A">
        <w:t>vehicle operated by the operator;</w:t>
      </w:r>
    </w:p>
    <w:p w14:paraId="015100E7" w14:textId="77777777" w:rsidR="00DB6E47" w:rsidRPr="0070667A" w:rsidRDefault="00DB6E47" w:rsidP="00DB6E47">
      <w:pPr>
        <w:pStyle w:val="Apara"/>
      </w:pPr>
      <w:r w:rsidRPr="0070667A">
        <w:tab/>
        <w:t>(c)</w:t>
      </w:r>
      <w:r w:rsidRPr="0070667A">
        <w:tab/>
        <w:t>information disclosed under the authority of a warrant as referred to in subsection (3).</w:t>
      </w:r>
    </w:p>
    <w:p w14:paraId="1B9C59CA" w14:textId="77777777" w:rsidR="00DB6E47" w:rsidRPr="00C62D32" w:rsidRDefault="00DB6E47" w:rsidP="00DB6E47">
      <w:pPr>
        <w:pStyle w:val="Amain"/>
      </w:pPr>
      <w:r w:rsidRPr="00C62D32">
        <w:tab/>
        <w:t>(7)</w:t>
      </w:r>
      <w:r w:rsidRPr="00C62D32">
        <w:tab/>
        <w:t xml:space="preserve">An intelligent access </w:t>
      </w:r>
      <w:r w:rsidR="00283CA2">
        <w:t xml:space="preserve">program </w:t>
      </w:r>
      <w:r w:rsidRPr="00C62D32">
        <w:t xml:space="preserve">service provider may, with the written consent of an operator of an intelligent access </w:t>
      </w:r>
      <w:r w:rsidR="00B75569">
        <w:t xml:space="preserve">program </w:t>
      </w:r>
      <w:r w:rsidRPr="00C62D32">
        <w:t xml:space="preserve">vehicle, disclose intelligent access </w:t>
      </w:r>
      <w:r w:rsidR="00F727EC">
        <w:t xml:space="preserve">program </w:t>
      </w:r>
      <w:r w:rsidRPr="00C62D32">
        <w:t>information about the operator to a person other than the operator for any purpose if the information—</w:t>
      </w:r>
    </w:p>
    <w:p w14:paraId="582D52E1" w14:textId="77777777" w:rsidR="00DB6E47" w:rsidRPr="0070667A" w:rsidRDefault="00DB6E47" w:rsidP="00DB6E47">
      <w:pPr>
        <w:pStyle w:val="Apara"/>
      </w:pPr>
      <w:r w:rsidRPr="0070667A">
        <w:tab/>
        <w:t>(a)</w:t>
      </w:r>
      <w:r w:rsidRPr="0070667A">
        <w:tab/>
        <w:t>does not identify any individual other than the operator; and</w:t>
      </w:r>
    </w:p>
    <w:p w14:paraId="5DD1656E" w14:textId="77777777" w:rsidR="00DB6E47" w:rsidRPr="0070667A" w:rsidRDefault="00DB6E47" w:rsidP="00DB6E47">
      <w:pPr>
        <w:pStyle w:val="Apara"/>
      </w:pPr>
      <w:r w:rsidRPr="0070667A">
        <w:tab/>
        <w:t>(b)</w:t>
      </w:r>
      <w:r w:rsidRPr="0070667A">
        <w:tab/>
        <w:t>contains nothing by which the identity of any individual, other than the operator, can reasonably be found out.</w:t>
      </w:r>
    </w:p>
    <w:p w14:paraId="452D0D78" w14:textId="77777777" w:rsidR="00DB6E47" w:rsidRPr="00C62D32" w:rsidRDefault="00DB6E47" w:rsidP="00DB6E47">
      <w:pPr>
        <w:pStyle w:val="Amain"/>
      </w:pPr>
      <w:r w:rsidRPr="00C62D32">
        <w:tab/>
        <w:t>(8)</w:t>
      </w:r>
      <w:r w:rsidRPr="00C62D32">
        <w:tab/>
        <w:t xml:space="preserve">An intelligent access </w:t>
      </w:r>
      <w:r w:rsidR="00283CA2">
        <w:t xml:space="preserve">program </w:t>
      </w:r>
      <w:r w:rsidRPr="00C62D32">
        <w:t xml:space="preserve">service provider may use or disclose intelligent access </w:t>
      </w:r>
      <w:r w:rsidR="00F727EC">
        <w:t xml:space="preserve">program </w:t>
      </w:r>
      <w:r w:rsidRPr="00C62D32">
        <w:t>information that is personal information with the written consent of the individual to whom the personal information relates.</w:t>
      </w:r>
    </w:p>
    <w:p w14:paraId="6C6A8CA2" w14:textId="77777777" w:rsidR="00DB6E47" w:rsidRPr="00C62D32" w:rsidRDefault="00DB6E47" w:rsidP="00DB6E47">
      <w:pPr>
        <w:pStyle w:val="Amain"/>
      </w:pPr>
      <w:r w:rsidRPr="00C62D32">
        <w:tab/>
        <w:t>(9)</w:t>
      </w:r>
      <w:r w:rsidRPr="00C62D32">
        <w:tab/>
        <w:t>This section is subject to section 424.</w:t>
      </w:r>
    </w:p>
    <w:p w14:paraId="4EA20D19" w14:textId="77777777" w:rsidR="00DB6E47" w:rsidRPr="007E1F9A" w:rsidRDefault="00DB6E47" w:rsidP="00DB6E47">
      <w:pPr>
        <w:pStyle w:val="AH5Sec"/>
      </w:pPr>
      <w:bookmarkStart w:id="484" w:name="_Toc83625828"/>
      <w:r w:rsidRPr="005E03F7">
        <w:rPr>
          <w:rStyle w:val="CharSectNo"/>
        </w:rPr>
        <w:lastRenderedPageBreak/>
        <w:t>419</w:t>
      </w:r>
      <w:r w:rsidRPr="007E1F9A">
        <w:tab/>
        <w:t xml:space="preserve">Keeping record of use or disclosure of intelligent access </w:t>
      </w:r>
      <w:r w:rsidR="00F727EC">
        <w:t xml:space="preserve">program </w:t>
      </w:r>
      <w:r w:rsidRPr="007E1F9A">
        <w:t>information</w:t>
      </w:r>
      <w:bookmarkEnd w:id="484"/>
    </w:p>
    <w:p w14:paraId="39DD67CD" w14:textId="77777777" w:rsidR="00DB6E47" w:rsidRPr="00C62D32" w:rsidRDefault="00DB6E47" w:rsidP="000D0122">
      <w:pPr>
        <w:pStyle w:val="Amain"/>
        <w:keepLines/>
      </w:pPr>
      <w:r w:rsidRPr="00C62D32">
        <w:tab/>
        <w:t>(1)</w:t>
      </w:r>
      <w:r w:rsidRPr="00C62D32">
        <w:tab/>
        <w:t xml:space="preserve">If an intelligent access </w:t>
      </w:r>
      <w:r w:rsidR="00283CA2">
        <w:t xml:space="preserve">program </w:t>
      </w:r>
      <w:r w:rsidRPr="00C62D32">
        <w:t xml:space="preserve">service provider uses or discloses intelligent access </w:t>
      </w:r>
      <w:r w:rsidR="00F727EC">
        <w:t xml:space="preserve">program </w:t>
      </w:r>
      <w:r w:rsidRPr="00C62D32">
        <w:t>information, the service provider must, within 7 days after the use or disclosure, make a record of the use or disclosure that—</w:t>
      </w:r>
    </w:p>
    <w:p w14:paraId="7DE3F6A4" w14:textId="77777777" w:rsidR="00DB6E47" w:rsidRPr="0070667A" w:rsidRDefault="00DB6E47" w:rsidP="00DB6E47">
      <w:pPr>
        <w:pStyle w:val="Apara"/>
      </w:pPr>
      <w:r w:rsidRPr="0070667A">
        <w:tab/>
        <w:t>(a)</w:t>
      </w:r>
      <w:r w:rsidRPr="0070667A">
        <w:tab/>
        <w:t>contains the information mentioned in subsection (2); and</w:t>
      </w:r>
    </w:p>
    <w:p w14:paraId="2D79E33F" w14:textId="77777777" w:rsidR="00DB6E47" w:rsidRPr="0070667A" w:rsidRDefault="00DB6E47" w:rsidP="00DB6E47">
      <w:pPr>
        <w:pStyle w:val="Apara"/>
      </w:pPr>
      <w:r w:rsidRPr="0070667A">
        <w:tab/>
        <w:t>(b)</w:t>
      </w:r>
      <w:r w:rsidRPr="0070667A">
        <w:tab/>
        <w:t xml:space="preserve">is in a form that ensures the record is readily accessible by an intelligent access </w:t>
      </w:r>
      <w:r w:rsidR="00DA1F96">
        <w:t xml:space="preserve">program </w:t>
      </w:r>
      <w:r w:rsidRPr="0070667A">
        <w:t>auditor at the place where it is kept.</w:t>
      </w:r>
    </w:p>
    <w:p w14:paraId="380FB07E" w14:textId="77777777" w:rsidR="00DB6E47" w:rsidRPr="006C3305" w:rsidRDefault="00DB6E47" w:rsidP="00DB6E47">
      <w:pPr>
        <w:pStyle w:val="Penalty"/>
      </w:pPr>
      <w:r w:rsidRPr="00D91CC2">
        <w:rPr>
          <w:rFonts w:cs="Times"/>
          <w:bCs/>
          <w:iCs/>
        </w:rPr>
        <w:t>Maximum penalty—$6000.</w:t>
      </w:r>
    </w:p>
    <w:p w14:paraId="4CF2ABFD" w14:textId="77777777" w:rsidR="00DB6E47" w:rsidRPr="00C62D32" w:rsidRDefault="00DB6E47" w:rsidP="00F433E2">
      <w:pPr>
        <w:pStyle w:val="Amain"/>
        <w:keepNext/>
      </w:pPr>
      <w:r w:rsidRPr="00C62D32">
        <w:tab/>
        <w:t>(2)</w:t>
      </w:r>
      <w:r w:rsidRPr="00C62D32">
        <w:tab/>
        <w:t>The record must contain the following information—</w:t>
      </w:r>
    </w:p>
    <w:p w14:paraId="14BCD710" w14:textId="77777777" w:rsidR="00DB6E47" w:rsidRPr="0070667A" w:rsidRDefault="00DB6E47" w:rsidP="00F433E2">
      <w:pPr>
        <w:pStyle w:val="Apara"/>
        <w:keepLines/>
      </w:pPr>
      <w:r w:rsidRPr="0070667A">
        <w:tab/>
        <w:t>(a)</w:t>
      </w:r>
      <w:r w:rsidRPr="0070667A">
        <w:tab/>
        <w:t xml:space="preserve">the intelligent access </w:t>
      </w:r>
      <w:r w:rsidR="00283CA2">
        <w:t xml:space="preserve">program </w:t>
      </w:r>
      <w:r w:rsidRPr="0070667A">
        <w:t xml:space="preserve">service provider’s name or, if someone else used or disclosed the intelligent access </w:t>
      </w:r>
      <w:r w:rsidR="00F727EC">
        <w:t xml:space="preserve">program </w:t>
      </w:r>
      <w:r w:rsidRPr="0070667A">
        <w:t xml:space="preserve">information on behalf of the service provider, the name of the person who used or disclosed the intelligent access </w:t>
      </w:r>
      <w:r w:rsidR="00F727EC">
        <w:t xml:space="preserve">program </w:t>
      </w:r>
      <w:r w:rsidRPr="0070667A">
        <w:t>information;</w:t>
      </w:r>
    </w:p>
    <w:p w14:paraId="2B934599" w14:textId="77777777" w:rsidR="00DB6E47" w:rsidRPr="0070667A" w:rsidRDefault="00DB6E47" w:rsidP="00DB6E47">
      <w:pPr>
        <w:pStyle w:val="Apara"/>
      </w:pPr>
      <w:r w:rsidRPr="0070667A">
        <w:tab/>
        <w:t>(b)</w:t>
      </w:r>
      <w:r w:rsidRPr="0070667A">
        <w:tab/>
        <w:t>the date of the use or disclosure;</w:t>
      </w:r>
    </w:p>
    <w:p w14:paraId="4BE1CEAE" w14:textId="77777777" w:rsidR="00DB6E47" w:rsidRPr="0070667A" w:rsidRDefault="00DB6E47" w:rsidP="00DB6E47">
      <w:pPr>
        <w:pStyle w:val="Apara"/>
      </w:pPr>
      <w:r w:rsidRPr="0070667A">
        <w:tab/>
        <w:t>(c)</w:t>
      </w:r>
      <w:r w:rsidRPr="0070667A">
        <w:tab/>
        <w:t xml:space="preserve">for a use of intelligent access </w:t>
      </w:r>
      <w:r w:rsidR="00F727EC">
        <w:t xml:space="preserve">program </w:t>
      </w:r>
      <w:r w:rsidRPr="0070667A">
        <w:t xml:space="preserve">information by or on behalf of the intelligent access </w:t>
      </w:r>
      <w:r w:rsidR="00283CA2">
        <w:t xml:space="preserve">program </w:t>
      </w:r>
      <w:r w:rsidRPr="0070667A">
        <w:t>service provider, a brief description of how the information was used;</w:t>
      </w:r>
    </w:p>
    <w:p w14:paraId="30C2C9B8" w14:textId="77777777" w:rsidR="00DB6E47" w:rsidRPr="0070667A" w:rsidRDefault="00DB6E47" w:rsidP="00DB6E47">
      <w:pPr>
        <w:pStyle w:val="Apara"/>
      </w:pPr>
      <w:r w:rsidRPr="0070667A">
        <w:tab/>
        <w:t>(d)</w:t>
      </w:r>
      <w:r w:rsidRPr="0070667A">
        <w:tab/>
        <w:t xml:space="preserve">for a disclosure of intelligent access </w:t>
      </w:r>
      <w:r w:rsidR="00F727EC">
        <w:t xml:space="preserve">program </w:t>
      </w:r>
      <w:r w:rsidRPr="0070667A">
        <w:t xml:space="preserve">information by or on behalf of the intelligent access </w:t>
      </w:r>
      <w:r w:rsidR="00283CA2">
        <w:t xml:space="preserve">program </w:t>
      </w:r>
      <w:r w:rsidRPr="0070667A">
        <w:t>service provider, the entity to whom the information was disclosed;</w:t>
      </w:r>
    </w:p>
    <w:p w14:paraId="3BC16FE3" w14:textId="77777777" w:rsidR="00DB6E47" w:rsidRPr="0070667A" w:rsidRDefault="00DB6E47" w:rsidP="00DB6E47">
      <w:pPr>
        <w:pStyle w:val="Apara"/>
      </w:pPr>
      <w:r w:rsidRPr="0070667A">
        <w:tab/>
        <w:t>(e)</w:t>
      </w:r>
      <w:r w:rsidRPr="0070667A">
        <w:tab/>
        <w:t xml:space="preserve">the provision of this Law or another law the intelligent access </w:t>
      </w:r>
      <w:r w:rsidR="00283CA2">
        <w:t xml:space="preserve">program </w:t>
      </w:r>
      <w:r w:rsidRPr="0070667A">
        <w:t>service provider believes authorises the use or disclosure;</w:t>
      </w:r>
    </w:p>
    <w:p w14:paraId="06EE1B5B" w14:textId="77777777" w:rsidR="00DB6E47" w:rsidRPr="0070667A" w:rsidRDefault="00DB6E47" w:rsidP="00DB6E47">
      <w:pPr>
        <w:pStyle w:val="Apara"/>
      </w:pPr>
      <w:r w:rsidRPr="0070667A">
        <w:tab/>
        <w:t>(f)</w:t>
      </w:r>
      <w:r w:rsidRPr="0070667A">
        <w:tab/>
        <w:t>if the use or disclosure is authorised only under a particular document (including, for example, a warrant, a certificate or a consent), a copy of the document.</w:t>
      </w:r>
    </w:p>
    <w:p w14:paraId="779C14E6" w14:textId="77777777" w:rsidR="00DB6E47" w:rsidRPr="00C62D32" w:rsidRDefault="00DB6E47" w:rsidP="00DB6E47">
      <w:pPr>
        <w:pStyle w:val="Amain"/>
      </w:pPr>
      <w:r w:rsidRPr="00C62D32">
        <w:lastRenderedPageBreak/>
        <w:tab/>
        <w:t>(3)</w:t>
      </w:r>
      <w:r w:rsidRPr="00C62D32">
        <w:tab/>
        <w:t>An intelligent access</w:t>
      </w:r>
      <w:r w:rsidR="00283CA2">
        <w:t xml:space="preserve"> program</w:t>
      </w:r>
      <w:r w:rsidRPr="00C62D32">
        <w:t xml:space="preserve"> service provider must keep a record made under this section for at least 2 years.</w:t>
      </w:r>
    </w:p>
    <w:p w14:paraId="39DAA727" w14:textId="77777777" w:rsidR="00DB6E47" w:rsidRPr="006C3305" w:rsidRDefault="00DB6E47" w:rsidP="00DB6E47">
      <w:pPr>
        <w:pStyle w:val="Penalty"/>
      </w:pPr>
      <w:r w:rsidRPr="00D91CC2">
        <w:rPr>
          <w:rFonts w:cs="Times"/>
          <w:bCs/>
          <w:iCs/>
        </w:rPr>
        <w:t>Maximum penalty—$6000.</w:t>
      </w:r>
    </w:p>
    <w:p w14:paraId="144B56B7" w14:textId="77777777" w:rsidR="00DB6E47" w:rsidRPr="007E1F9A" w:rsidRDefault="00DB6E47" w:rsidP="00DB6E47">
      <w:pPr>
        <w:pStyle w:val="AH5Sec"/>
      </w:pPr>
      <w:bookmarkStart w:id="485" w:name="_Toc83625829"/>
      <w:r w:rsidRPr="005E03F7">
        <w:rPr>
          <w:rStyle w:val="CharSectNo"/>
        </w:rPr>
        <w:t>420</w:t>
      </w:r>
      <w:r w:rsidRPr="007E1F9A">
        <w:tab/>
        <w:t>Keeping noncompliance report etc.</w:t>
      </w:r>
      <w:bookmarkEnd w:id="485"/>
    </w:p>
    <w:p w14:paraId="294A7243" w14:textId="77777777" w:rsidR="00DB6E47" w:rsidRPr="00C62D32" w:rsidRDefault="00DB6E47" w:rsidP="00DB6E47">
      <w:pPr>
        <w:pStyle w:val="Amain"/>
      </w:pPr>
      <w:r w:rsidRPr="00C62D32">
        <w:tab/>
        <w:t>(1)</w:t>
      </w:r>
      <w:r w:rsidRPr="00C62D32">
        <w:tab/>
        <w:t>This section applies if a noncompliance report is made by an approved intelligent transport system operated by an intelligent access</w:t>
      </w:r>
      <w:r w:rsidR="00283CA2">
        <w:t xml:space="preserve"> program</w:t>
      </w:r>
      <w:r w:rsidRPr="00C62D32">
        <w:t xml:space="preserve"> service provider.</w:t>
      </w:r>
    </w:p>
    <w:p w14:paraId="280E4EA1" w14:textId="77777777" w:rsidR="00DB6E47" w:rsidRPr="00C62D32" w:rsidRDefault="00DB6E47" w:rsidP="00DB6E47">
      <w:pPr>
        <w:pStyle w:val="Amain"/>
      </w:pPr>
      <w:r w:rsidRPr="00C62D32">
        <w:tab/>
        <w:t>(2)</w:t>
      </w:r>
      <w:r w:rsidRPr="00C62D32">
        <w:tab/>
        <w:t xml:space="preserve">The intelligent access </w:t>
      </w:r>
      <w:r w:rsidR="00283CA2">
        <w:t xml:space="preserve">program </w:t>
      </w:r>
      <w:r w:rsidRPr="00C62D32">
        <w:t>service provider must keep the following for at least 4 years after the noncompliance report is made—</w:t>
      </w:r>
    </w:p>
    <w:p w14:paraId="47EB4B9B" w14:textId="77777777" w:rsidR="00DB6E47" w:rsidRPr="0070667A" w:rsidRDefault="00DB6E47" w:rsidP="00DB6E47">
      <w:pPr>
        <w:pStyle w:val="Apara"/>
      </w:pPr>
      <w:r w:rsidRPr="0070667A">
        <w:tab/>
        <w:t>(a)</w:t>
      </w:r>
      <w:r w:rsidRPr="0070667A">
        <w:tab/>
        <w:t>a copy of the report;</w:t>
      </w:r>
    </w:p>
    <w:p w14:paraId="28C06056" w14:textId="77777777" w:rsidR="00DB6E47" w:rsidRPr="0070667A" w:rsidRDefault="00DB6E47" w:rsidP="00F433E2">
      <w:pPr>
        <w:pStyle w:val="Apara"/>
        <w:keepNext/>
      </w:pPr>
      <w:r w:rsidRPr="0070667A">
        <w:tab/>
        <w:t>(b)</w:t>
      </w:r>
      <w:r w:rsidRPr="0070667A">
        <w:tab/>
        <w:t>the information relied on to make the report.</w:t>
      </w:r>
    </w:p>
    <w:p w14:paraId="773C93B6" w14:textId="77777777" w:rsidR="00DB6E47" w:rsidRPr="00C96203" w:rsidRDefault="00DB6E47" w:rsidP="00DB6E47">
      <w:pPr>
        <w:pStyle w:val="aExamHdgss"/>
      </w:pPr>
      <w:r w:rsidRPr="00C96203">
        <w:rPr>
          <w:rFonts w:cs="Times"/>
          <w:bCs/>
          <w:iCs/>
        </w:rPr>
        <w:t>Example of information that could be relied on to make a noncompliance report—</w:t>
      </w:r>
    </w:p>
    <w:p w14:paraId="69FBB077" w14:textId="77777777" w:rsidR="00DB6E47" w:rsidRPr="00C96203" w:rsidRDefault="00DB6E47" w:rsidP="00DB6E47">
      <w:pPr>
        <w:pStyle w:val="aExamss"/>
      </w:pPr>
      <w:r w:rsidRPr="00C96203">
        <w:t>GPS information about a vehicle’s position at a particular time</w:t>
      </w:r>
    </w:p>
    <w:p w14:paraId="77ADAF1A" w14:textId="77777777" w:rsidR="00DB6E47" w:rsidRPr="006C3305" w:rsidRDefault="00DB6E47" w:rsidP="00DB6E47">
      <w:pPr>
        <w:pStyle w:val="Penalty"/>
      </w:pPr>
      <w:r w:rsidRPr="00D91CC2">
        <w:rPr>
          <w:rFonts w:cs="Times"/>
          <w:bCs/>
          <w:iCs/>
        </w:rPr>
        <w:t>Maximum penalty—$6000.</w:t>
      </w:r>
    </w:p>
    <w:p w14:paraId="5D236B89" w14:textId="77777777" w:rsidR="00DB6E47" w:rsidRPr="007E1F9A" w:rsidRDefault="00DB6E47" w:rsidP="00DB6E47">
      <w:pPr>
        <w:pStyle w:val="AH5Sec"/>
      </w:pPr>
      <w:bookmarkStart w:id="486" w:name="_Toc83625830"/>
      <w:r w:rsidRPr="005E03F7">
        <w:rPr>
          <w:rStyle w:val="CharSectNo"/>
        </w:rPr>
        <w:t>421</w:t>
      </w:r>
      <w:r w:rsidRPr="007E1F9A">
        <w:tab/>
        <w:t xml:space="preserve">Destroying intelligent access </w:t>
      </w:r>
      <w:r w:rsidR="00F727EC">
        <w:t xml:space="preserve">program </w:t>
      </w:r>
      <w:r w:rsidRPr="007E1F9A">
        <w:t>information etc.</w:t>
      </w:r>
      <w:bookmarkEnd w:id="486"/>
    </w:p>
    <w:p w14:paraId="32E1409C" w14:textId="77777777" w:rsidR="00190AA2" w:rsidRPr="00190AA2" w:rsidRDefault="00190AA2" w:rsidP="00190AA2">
      <w:pPr>
        <w:pStyle w:val="Amain"/>
        <w:rPr>
          <w:lang w:val="en" w:eastAsia="en-AU"/>
        </w:rPr>
      </w:pPr>
      <w:r>
        <w:rPr>
          <w:lang w:val="en" w:eastAsia="en-AU"/>
        </w:rPr>
        <w:tab/>
      </w:r>
      <w:r w:rsidRPr="00190AA2">
        <w:rPr>
          <w:lang w:val="en" w:eastAsia="en-AU"/>
        </w:rPr>
        <w:t>(1)</w:t>
      </w:r>
      <w:r>
        <w:rPr>
          <w:lang w:val="en" w:eastAsia="en-AU"/>
        </w:rPr>
        <w:tab/>
      </w:r>
      <w:r w:rsidRPr="00190AA2">
        <w:rPr>
          <w:lang w:val="en" w:eastAsia="en-AU"/>
        </w:rPr>
        <w:t xml:space="preserve">An intelligent access </w:t>
      </w:r>
      <w:r w:rsidR="006733F1">
        <w:rPr>
          <w:lang w:val="en" w:eastAsia="en-AU"/>
        </w:rPr>
        <w:t xml:space="preserve">program </w:t>
      </w:r>
      <w:r w:rsidRPr="00190AA2">
        <w:rPr>
          <w:lang w:val="en" w:eastAsia="en-AU"/>
        </w:rPr>
        <w:t>service provider must ensure, so far as is reasonably practicable—</w:t>
      </w:r>
    </w:p>
    <w:p w14:paraId="06787259" w14:textId="77777777" w:rsidR="00190AA2" w:rsidRPr="00190AA2" w:rsidRDefault="001E3138" w:rsidP="001E3138">
      <w:pPr>
        <w:pStyle w:val="Apara"/>
        <w:rPr>
          <w:lang w:val="en" w:eastAsia="en-AU"/>
        </w:rPr>
      </w:pPr>
      <w:r>
        <w:rPr>
          <w:lang w:val="en" w:eastAsia="en-AU"/>
        </w:rPr>
        <w:tab/>
      </w:r>
      <w:r w:rsidR="00190AA2" w:rsidRPr="00190AA2">
        <w:rPr>
          <w:lang w:val="en" w:eastAsia="en-AU"/>
        </w:rPr>
        <w:t>(a)</w:t>
      </w:r>
      <w:r>
        <w:rPr>
          <w:lang w:val="en" w:eastAsia="en-AU"/>
        </w:rPr>
        <w:tab/>
      </w:r>
      <w:r w:rsidR="00190AA2" w:rsidRPr="00190AA2">
        <w:rPr>
          <w:lang w:val="en" w:eastAsia="en-AU"/>
        </w:rPr>
        <w:t>intelligent access</w:t>
      </w:r>
      <w:r w:rsidR="006733F1">
        <w:rPr>
          <w:lang w:val="en" w:eastAsia="en-AU"/>
        </w:rPr>
        <w:t xml:space="preserve"> program</w:t>
      </w:r>
      <w:r w:rsidR="00190AA2" w:rsidRPr="00190AA2">
        <w:rPr>
          <w:lang w:val="en" w:eastAsia="en-AU"/>
        </w:rPr>
        <w:t xml:space="preserve"> information collected by the service provider is destroyed 1 year after the information is collected; and</w:t>
      </w:r>
    </w:p>
    <w:p w14:paraId="55C7735B" w14:textId="77777777" w:rsidR="00190AA2" w:rsidRPr="00190AA2" w:rsidRDefault="001E3138" w:rsidP="001E3138">
      <w:pPr>
        <w:pStyle w:val="Apara"/>
        <w:rPr>
          <w:lang w:val="en" w:eastAsia="en-AU"/>
        </w:rPr>
      </w:pPr>
      <w:r>
        <w:rPr>
          <w:lang w:val="en" w:eastAsia="en-AU"/>
        </w:rPr>
        <w:tab/>
      </w:r>
      <w:r w:rsidR="00190AA2" w:rsidRPr="00190AA2">
        <w:rPr>
          <w:lang w:val="en" w:eastAsia="en-AU"/>
        </w:rPr>
        <w:t>(b)</w:t>
      </w:r>
      <w:r>
        <w:rPr>
          <w:lang w:val="en" w:eastAsia="en-AU"/>
        </w:rPr>
        <w:tab/>
      </w:r>
      <w:r w:rsidR="00190AA2" w:rsidRPr="00190AA2">
        <w:rPr>
          <w:lang w:val="en" w:eastAsia="en-AU"/>
        </w:rPr>
        <w:t>a record that the service provider is required to keep under section 419 is destroyed within 1 year after the service provider is no longer required to keep the record under that section.</w:t>
      </w:r>
    </w:p>
    <w:p w14:paraId="5FA15EA5" w14:textId="77777777" w:rsidR="00190AA2" w:rsidRPr="00190AA2" w:rsidRDefault="00190AA2" w:rsidP="001E3138">
      <w:pPr>
        <w:pStyle w:val="Penalty"/>
        <w:rPr>
          <w:lang w:val="en" w:eastAsia="en-AU"/>
        </w:rPr>
      </w:pPr>
      <w:r w:rsidRPr="00190AA2">
        <w:rPr>
          <w:lang w:val="en" w:eastAsia="en-AU"/>
        </w:rPr>
        <w:t>Maximum penalty—$6000.</w:t>
      </w:r>
    </w:p>
    <w:p w14:paraId="4CB8D20F" w14:textId="77777777" w:rsidR="00DB6E47" w:rsidRPr="00C62D32" w:rsidRDefault="00DB6E47" w:rsidP="00DB6E47">
      <w:pPr>
        <w:pStyle w:val="Amain"/>
      </w:pPr>
      <w:r w:rsidRPr="00C62D32">
        <w:lastRenderedPageBreak/>
        <w:tab/>
        <w:t>(2)</w:t>
      </w:r>
      <w:r w:rsidRPr="00C62D32">
        <w:tab/>
        <w:t xml:space="preserve">This section does not apply to a noncompliance report or information the intelligent access </w:t>
      </w:r>
      <w:r w:rsidR="008701E6">
        <w:t xml:space="preserve">program </w:t>
      </w:r>
      <w:r w:rsidRPr="00C62D32">
        <w:t>service provider is required to keep under section 420.</w:t>
      </w:r>
    </w:p>
    <w:p w14:paraId="695F556D" w14:textId="77777777" w:rsidR="00DB6E47" w:rsidRPr="007E1F9A" w:rsidRDefault="00DB6E47" w:rsidP="00DB6E47">
      <w:pPr>
        <w:pStyle w:val="AH5Sec"/>
      </w:pPr>
      <w:bookmarkStart w:id="487" w:name="_Toc83625831"/>
      <w:r w:rsidRPr="005E03F7">
        <w:rPr>
          <w:rStyle w:val="CharSectNo"/>
        </w:rPr>
        <w:t>422</w:t>
      </w:r>
      <w:r w:rsidRPr="007E1F9A">
        <w:tab/>
        <w:t>Reporting relevant contraventions to Regulator</w:t>
      </w:r>
      <w:bookmarkEnd w:id="487"/>
    </w:p>
    <w:p w14:paraId="095D177C" w14:textId="77777777" w:rsidR="00DB6E47" w:rsidRPr="00C62D32" w:rsidRDefault="00DB6E47" w:rsidP="00DB6E47">
      <w:pPr>
        <w:pStyle w:val="Amain"/>
      </w:pPr>
      <w:r w:rsidRPr="00C62D32">
        <w:tab/>
        <w:t>(1)</w:t>
      </w:r>
      <w:r w:rsidRPr="00C62D32">
        <w:tab/>
        <w:t xml:space="preserve">This section applies if an intelligent access </w:t>
      </w:r>
      <w:r w:rsidR="008701E6">
        <w:t xml:space="preserve">program </w:t>
      </w:r>
      <w:r w:rsidRPr="00C62D32">
        <w:t xml:space="preserve">service provider knows of a relevant contravention for an intelligent access </w:t>
      </w:r>
      <w:r w:rsidR="00B75569">
        <w:t xml:space="preserve">program </w:t>
      </w:r>
      <w:r w:rsidRPr="00C62D32">
        <w:t>vehicle.</w:t>
      </w:r>
    </w:p>
    <w:p w14:paraId="535A9E34" w14:textId="77777777" w:rsidR="00DB6E47" w:rsidRPr="00C62D32" w:rsidRDefault="00DB6E47" w:rsidP="00DB6E47">
      <w:pPr>
        <w:pStyle w:val="Amain"/>
      </w:pPr>
      <w:r w:rsidRPr="00C62D32">
        <w:tab/>
        <w:t>(2)</w:t>
      </w:r>
      <w:r w:rsidRPr="00C62D32">
        <w:tab/>
        <w:t xml:space="preserve">The intelligent access </w:t>
      </w:r>
      <w:r w:rsidR="008701E6">
        <w:t xml:space="preserve">program </w:t>
      </w:r>
      <w:r w:rsidRPr="00C62D32">
        <w:t>service provider must, within 7 days, give the Regulator a report about the relevant contravention in the approved form.</w:t>
      </w:r>
    </w:p>
    <w:p w14:paraId="56740688" w14:textId="77777777" w:rsidR="00DB6E47" w:rsidRPr="006C3305" w:rsidRDefault="00DB6E47" w:rsidP="00DB6E47">
      <w:pPr>
        <w:pStyle w:val="Penalty"/>
      </w:pPr>
      <w:r w:rsidRPr="00D91CC2">
        <w:rPr>
          <w:rFonts w:cs="Times"/>
          <w:bCs/>
          <w:iCs/>
        </w:rPr>
        <w:t>Maximum penalty—$6000.</w:t>
      </w:r>
    </w:p>
    <w:p w14:paraId="3C2B80D9" w14:textId="77777777" w:rsidR="00DB6E47" w:rsidRPr="00C62D32" w:rsidRDefault="00DB6E47" w:rsidP="00F433E2">
      <w:pPr>
        <w:pStyle w:val="Amain"/>
        <w:keepLines/>
      </w:pPr>
      <w:r w:rsidRPr="00C62D32">
        <w:tab/>
        <w:t>(3)</w:t>
      </w:r>
      <w:r w:rsidRPr="00C62D32">
        <w:tab/>
        <w:t xml:space="preserve">For the purposes of subsection (1), an intelligent access </w:t>
      </w:r>
      <w:r w:rsidR="008701E6">
        <w:t xml:space="preserve">program </w:t>
      </w:r>
      <w:r w:rsidRPr="00C62D32">
        <w:t xml:space="preserve">service provider is taken to know of a relevant contravention for an intelligent access </w:t>
      </w:r>
      <w:r w:rsidR="00B75569">
        <w:t xml:space="preserve">program </w:t>
      </w:r>
      <w:r w:rsidRPr="00C62D32">
        <w:t>vehicle if the service provider’s approved intelligent transport system has detected the contravention.</w:t>
      </w:r>
    </w:p>
    <w:p w14:paraId="6BFADED2" w14:textId="77777777" w:rsidR="00DB6E47" w:rsidRPr="007E1F9A" w:rsidRDefault="00DB6E47" w:rsidP="00DB6E47">
      <w:pPr>
        <w:pStyle w:val="AH5Sec"/>
      </w:pPr>
      <w:bookmarkStart w:id="488" w:name="_Toc83625832"/>
      <w:r w:rsidRPr="005E03F7">
        <w:rPr>
          <w:rStyle w:val="CharSectNo"/>
        </w:rPr>
        <w:t>423</w:t>
      </w:r>
      <w:r w:rsidRPr="007E1F9A">
        <w:tab/>
        <w:t>Reporting tampering or suspected tampering with approved intelligent transport system</w:t>
      </w:r>
      <w:bookmarkEnd w:id="488"/>
    </w:p>
    <w:p w14:paraId="1242FDE7" w14:textId="77777777" w:rsidR="00DB6E47" w:rsidRPr="00C62D32" w:rsidRDefault="00DB6E47" w:rsidP="00DB6E47">
      <w:pPr>
        <w:pStyle w:val="Amain"/>
      </w:pPr>
      <w:r w:rsidRPr="00C62D32">
        <w:tab/>
        <w:t>(1)</w:t>
      </w:r>
      <w:r w:rsidRPr="00C62D32">
        <w:tab/>
        <w:t xml:space="preserve">If an intelligent access </w:t>
      </w:r>
      <w:r w:rsidR="008701E6">
        <w:t xml:space="preserve">program </w:t>
      </w:r>
      <w:r w:rsidRPr="00C62D32">
        <w:t>service provider knows, or has reasonable grounds to suspect, an approved intelligent transport system has been tampered with, the service provider must report the matter to the Regulator—</w:t>
      </w:r>
    </w:p>
    <w:p w14:paraId="2F1331B4" w14:textId="77777777" w:rsidR="00DB6E47" w:rsidRPr="0070667A" w:rsidRDefault="00DB6E47" w:rsidP="00DB6E47">
      <w:pPr>
        <w:pStyle w:val="Apara"/>
      </w:pPr>
      <w:r w:rsidRPr="0070667A">
        <w:tab/>
        <w:t>(a)</w:t>
      </w:r>
      <w:r w:rsidRPr="0070667A">
        <w:tab/>
        <w:t>within 7 days; and</w:t>
      </w:r>
    </w:p>
    <w:p w14:paraId="0E66955E" w14:textId="77777777" w:rsidR="00DB6E47" w:rsidRPr="0070667A" w:rsidRDefault="00DB6E47" w:rsidP="00DB6E47">
      <w:pPr>
        <w:pStyle w:val="Apara"/>
      </w:pPr>
      <w:r w:rsidRPr="0070667A">
        <w:tab/>
        <w:t>(b)</w:t>
      </w:r>
      <w:r w:rsidRPr="0070667A">
        <w:tab/>
        <w:t>in the approved form.</w:t>
      </w:r>
    </w:p>
    <w:p w14:paraId="107CFBDC" w14:textId="77777777" w:rsidR="00DB6E47" w:rsidRPr="006C3305" w:rsidRDefault="00DB6E47" w:rsidP="00DB6E47">
      <w:pPr>
        <w:pStyle w:val="Penalty"/>
      </w:pPr>
      <w:r w:rsidRPr="00D91CC2">
        <w:rPr>
          <w:rFonts w:cs="Times"/>
          <w:bCs/>
          <w:iCs/>
        </w:rPr>
        <w:t>Maximum penalty—$6000.</w:t>
      </w:r>
    </w:p>
    <w:p w14:paraId="25D6F00E" w14:textId="77777777" w:rsidR="00DB6E47" w:rsidRPr="00C62D32" w:rsidRDefault="00DB6E47" w:rsidP="006733F1">
      <w:pPr>
        <w:pStyle w:val="Amain"/>
        <w:keepNext/>
        <w:keepLines/>
      </w:pPr>
      <w:r w:rsidRPr="00C62D32">
        <w:lastRenderedPageBreak/>
        <w:tab/>
        <w:t>(2)</w:t>
      </w:r>
      <w:r w:rsidRPr="00C62D32">
        <w:tab/>
        <w:t xml:space="preserve">If an intelligent access </w:t>
      </w:r>
      <w:r w:rsidR="008701E6">
        <w:t xml:space="preserve">program </w:t>
      </w:r>
      <w:r w:rsidRPr="00C62D32">
        <w:t>service provider knows, or has reasonable grounds to suspect, a back-office intelligent transport system has been tampered with, the service provider must report the matter to TCA—</w:t>
      </w:r>
    </w:p>
    <w:p w14:paraId="41C4075A" w14:textId="77777777" w:rsidR="00DB6E47" w:rsidRPr="0070667A" w:rsidRDefault="00DB6E47" w:rsidP="00DB6E47">
      <w:pPr>
        <w:pStyle w:val="Apara"/>
      </w:pPr>
      <w:r w:rsidRPr="0070667A">
        <w:tab/>
        <w:t>(a)</w:t>
      </w:r>
      <w:r w:rsidRPr="0070667A">
        <w:tab/>
        <w:t>within 7 days; and</w:t>
      </w:r>
    </w:p>
    <w:p w14:paraId="185ADF5D" w14:textId="77777777" w:rsidR="00DB6E47" w:rsidRPr="0070667A" w:rsidRDefault="00DB6E47" w:rsidP="00DB6E47">
      <w:pPr>
        <w:pStyle w:val="Apara"/>
      </w:pPr>
      <w:r w:rsidRPr="0070667A">
        <w:tab/>
        <w:t>(b)</w:t>
      </w:r>
      <w:r w:rsidRPr="0070667A">
        <w:tab/>
        <w:t>in the approved form.</w:t>
      </w:r>
    </w:p>
    <w:p w14:paraId="7137BA30" w14:textId="77777777" w:rsidR="00DB6E47" w:rsidRPr="006C3305" w:rsidRDefault="00DB6E47" w:rsidP="00DB6E47">
      <w:pPr>
        <w:pStyle w:val="Penalty"/>
      </w:pPr>
      <w:r w:rsidRPr="00D91CC2">
        <w:rPr>
          <w:rFonts w:cs="Times"/>
          <w:bCs/>
          <w:iCs/>
        </w:rPr>
        <w:t>Maximum penalty—$6000.</w:t>
      </w:r>
    </w:p>
    <w:p w14:paraId="01EEC79D" w14:textId="77777777" w:rsidR="00DB6E47" w:rsidRPr="00C62D32" w:rsidRDefault="00DB6E47" w:rsidP="00DB6E47">
      <w:pPr>
        <w:pStyle w:val="Amain"/>
      </w:pPr>
      <w:r w:rsidRPr="00C62D32">
        <w:tab/>
        <w:t>(3)</w:t>
      </w:r>
      <w:r w:rsidRPr="00C62D32">
        <w:tab/>
      </w:r>
      <w:r w:rsidR="00A27494">
        <w:t xml:space="preserve">For the purposes of subsections </w:t>
      </w:r>
      <w:r w:rsidRPr="00C62D32">
        <w:t>(1)</w:t>
      </w:r>
      <w:r w:rsidR="00A27494">
        <w:t xml:space="preserve"> </w:t>
      </w:r>
      <w:r w:rsidRPr="00C62D32">
        <w:t xml:space="preserve">and (2), an intelligent access </w:t>
      </w:r>
      <w:r w:rsidR="008701E6">
        <w:t xml:space="preserve">program </w:t>
      </w:r>
      <w:r w:rsidRPr="00C62D32">
        <w:t>service provider does not know, or have reasonable grounds to suspect, an approved intelligent transport system or back-office intelligent transport system has been tampered with merely because the service provider has—</w:t>
      </w:r>
    </w:p>
    <w:p w14:paraId="406C9565" w14:textId="77777777" w:rsidR="00DB6E47" w:rsidRPr="0070667A" w:rsidRDefault="00DB6E47" w:rsidP="00DB6E47">
      <w:pPr>
        <w:pStyle w:val="Apara"/>
      </w:pPr>
      <w:r w:rsidRPr="0070667A">
        <w:tab/>
        <w:t>(a)</w:t>
      </w:r>
      <w:r w:rsidRPr="0070667A">
        <w:tab/>
        <w:t>accessed a report made by the system (including a noncompliance report) indicating that apparent tampering with the system has been detected electronically; or</w:t>
      </w:r>
    </w:p>
    <w:p w14:paraId="20AC28D9" w14:textId="77777777" w:rsidR="00DB6E47" w:rsidRPr="0070667A" w:rsidRDefault="00DB6E47" w:rsidP="00DB6E47">
      <w:pPr>
        <w:pStyle w:val="Apara"/>
      </w:pPr>
      <w:r w:rsidRPr="0070667A">
        <w:tab/>
        <w:t>(b)</w:t>
      </w:r>
      <w:r w:rsidRPr="0070667A">
        <w:tab/>
        <w:t>analysed information generated by the system.</w:t>
      </w:r>
    </w:p>
    <w:p w14:paraId="07A7DF8E" w14:textId="77777777" w:rsidR="00DB6E47" w:rsidRPr="00C62D32" w:rsidRDefault="00DB6E47" w:rsidP="00DB6E47">
      <w:pPr>
        <w:pStyle w:val="Amain"/>
      </w:pPr>
      <w:r w:rsidRPr="00C62D32">
        <w:tab/>
        <w:t>(4)</w:t>
      </w:r>
      <w:r w:rsidRPr="00C62D32">
        <w:tab/>
        <w:t>In this section—</w:t>
      </w:r>
    </w:p>
    <w:p w14:paraId="4E381271" w14:textId="77777777" w:rsidR="00DB6E47" w:rsidRPr="00041046" w:rsidRDefault="00DB6E47" w:rsidP="00DB6E47">
      <w:pPr>
        <w:pStyle w:val="aDef"/>
        <w:rPr>
          <w:bCs/>
        </w:rPr>
      </w:pPr>
      <w:r w:rsidRPr="00041046">
        <w:rPr>
          <w:rStyle w:val="charBoldItals"/>
        </w:rPr>
        <w:t>back-office intelligent transport system</w:t>
      </w:r>
      <w:r w:rsidRPr="00041046">
        <w:t xml:space="preserve"> means that part of an approved intelligent transport system that is not fitted, and is not intended to be fitted, to an intelligent access </w:t>
      </w:r>
      <w:r w:rsidR="00B75569">
        <w:t xml:space="preserve">program </w:t>
      </w:r>
      <w:r w:rsidRPr="00041046">
        <w:t>vehicle.</w:t>
      </w:r>
    </w:p>
    <w:p w14:paraId="58285A4E" w14:textId="77777777" w:rsidR="00DB6E47" w:rsidRPr="007E1F9A" w:rsidRDefault="00DB6E47" w:rsidP="00DB6E47">
      <w:pPr>
        <w:pStyle w:val="AH5Sec"/>
      </w:pPr>
      <w:bookmarkStart w:id="489" w:name="_Toc83625833"/>
      <w:r w:rsidRPr="005E03F7">
        <w:rPr>
          <w:rStyle w:val="CharSectNo"/>
        </w:rPr>
        <w:lastRenderedPageBreak/>
        <w:t>424</w:t>
      </w:r>
      <w:r w:rsidRPr="007E1F9A">
        <w:tab/>
        <w:t>Restriction on disclosing information about tampering or suspected tampering with approved intelligent transport system</w:t>
      </w:r>
      <w:bookmarkEnd w:id="489"/>
    </w:p>
    <w:p w14:paraId="1F1D59B3" w14:textId="77777777" w:rsidR="00DB6E47" w:rsidRPr="00C62D32" w:rsidRDefault="00DB6E47" w:rsidP="00CE4A4A">
      <w:pPr>
        <w:pStyle w:val="Amain"/>
        <w:keepNext/>
        <w:keepLines/>
      </w:pPr>
      <w:r w:rsidRPr="00C62D32">
        <w:tab/>
        <w:t>(1)</w:t>
      </w:r>
      <w:r w:rsidRPr="00C62D32">
        <w:tab/>
        <w:t xml:space="preserve">If an intelligent access </w:t>
      </w:r>
      <w:r w:rsidR="008701E6">
        <w:t xml:space="preserve">program </w:t>
      </w:r>
      <w:r w:rsidRPr="00C62D32">
        <w:t>service provider knows, or has reasonable grounds to suspect, an approved intelligent transport system has been tampered with, the service provider must not disclose to any entity (other than the Regulator and TCA) the following—</w:t>
      </w:r>
    </w:p>
    <w:p w14:paraId="4406E911" w14:textId="77777777" w:rsidR="00DB6E47" w:rsidRPr="0070667A" w:rsidRDefault="00DB6E47" w:rsidP="00CE4A4A">
      <w:pPr>
        <w:pStyle w:val="Apara"/>
        <w:keepNext/>
      </w:pPr>
      <w:r w:rsidRPr="0070667A">
        <w:tab/>
        <w:t>(a)</w:t>
      </w:r>
      <w:r w:rsidRPr="0070667A">
        <w:tab/>
        <w:t>information that the service provider has that knowledge or suspicion;</w:t>
      </w:r>
    </w:p>
    <w:p w14:paraId="5827FE20" w14:textId="77777777" w:rsidR="00DB6E47" w:rsidRPr="0070667A" w:rsidRDefault="00DB6E47" w:rsidP="00DB6E47">
      <w:pPr>
        <w:pStyle w:val="Apara"/>
      </w:pPr>
      <w:r w:rsidRPr="0070667A">
        <w:tab/>
        <w:t>(b)</w:t>
      </w:r>
      <w:r w:rsidRPr="0070667A">
        <w:tab/>
        <w:t>information from which it could reasonably be inferred that the service provider has that knowledge or suspicion.</w:t>
      </w:r>
    </w:p>
    <w:p w14:paraId="114D005F" w14:textId="77777777" w:rsidR="00DB6E47" w:rsidRPr="006C3305" w:rsidRDefault="00DB6E47" w:rsidP="00DB6E47">
      <w:pPr>
        <w:pStyle w:val="Penalty"/>
      </w:pPr>
      <w:r w:rsidRPr="00D91CC2">
        <w:rPr>
          <w:rFonts w:cs="Times"/>
          <w:bCs/>
          <w:iCs/>
        </w:rPr>
        <w:t>Maximum penalty—$6000.</w:t>
      </w:r>
    </w:p>
    <w:p w14:paraId="521401D2" w14:textId="77777777" w:rsidR="00DB6E47" w:rsidRPr="00C62D32" w:rsidRDefault="00DB6E47" w:rsidP="000D0122">
      <w:pPr>
        <w:pStyle w:val="Amain"/>
        <w:keepNext/>
        <w:keepLines/>
      </w:pPr>
      <w:r w:rsidRPr="00C62D32">
        <w:tab/>
        <w:t>(2)</w:t>
      </w:r>
      <w:r w:rsidRPr="00C62D32">
        <w:tab/>
        <w:t xml:space="preserve">For the purposes of subsection (1), an intelligent access </w:t>
      </w:r>
      <w:r w:rsidR="008701E6">
        <w:t xml:space="preserve">program </w:t>
      </w:r>
      <w:r w:rsidRPr="00C62D32">
        <w:t>service provider does not know, or have reasonable grounds to suspect, an approved intelligent transport system has been tampered with merely because the service provider has—</w:t>
      </w:r>
    </w:p>
    <w:p w14:paraId="6496AFCD" w14:textId="77777777" w:rsidR="00DB6E47" w:rsidRPr="0070667A" w:rsidRDefault="00DB6E47" w:rsidP="00DB6E47">
      <w:pPr>
        <w:pStyle w:val="Apara"/>
      </w:pPr>
      <w:r w:rsidRPr="0070667A">
        <w:tab/>
        <w:t>(a)</w:t>
      </w:r>
      <w:r w:rsidRPr="0070667A">
        <w:tab/>
        <w:t>accessed a report made by the system (including a noncompliance report) indicating that apparent tampering with the system has been detected electronically; or</w:t>
      </w:r>
    </w:p>
    <w:p w14:paraId="03E33580" w14:textId="77777777" w:rsidR="00DB6E47" w:rsidRPr="0070667A" w:rsidRDefault="00DB6E47" w:rsidP="00DB6E47">
      <w:pPr>
        <w:pStyle w:val="Apara"/>
      </w:pPr>
      <w:r w:rsidRPr="0070667A">
        <w:tab/>
        <w:t>(b)</w:t>
      </w:r>
      <w:r w:rsidRPr="0070667A">
        <w:tab/>
        <w:t>analysed information generated by the system.</w:t>
      </w:r>
    </w:p>
    <w:p w14:paraId="3E8823CD" w14:textId="77777777" w:rsidR="00DB6E47" w:rsidRPr="00C62D32" w:rsidRDefault="00DB6E47" w:rsidP="00DB6E47">
      <w:pPr>
        <w:pStyle w:val="Amain"/>
      </w:pPr>
      <w:r w:rsidRPr="00C62D32">
        <w:tab/>
        <w:t>(3)</w:t>
      </w:r>
      <w:r w:rsidRPr="00C62D32">
        <w:tab/>
        <w:t xml:space="preserve">If an intelligent access </w:t>
      </w:r>
      <w:r w:rsidR="008701E6">
        <w:t xml:space="preserve">program </w:t>
      </w:r>
      <w:r w:rsidRPr="00C62D32">
        <w:t xml:space="preserve">service provider has made a report to </w:t>
      </w:r>
      <w:r w:rsidR="00A27494">
        <w:t xml:space="preserve">the Regulator under section 423 </w:t>
      </w:r>
      <w:r w:rsidRPr="00C62D32">
        <w:t>(1)</w:t>
      </w:r>
      <w:r w:rsidR="00A27494">
        <w:t xml:space="preserve"> </w:t>
      </w:r>
      <w:r w:rsidRPr="00C62D32">
        <w:t>of apparent or suspected tampering, the service provider must not disclose to any entity (other than the Regulator) the following—</w:t>
      </w:r>
    </w:p>
    <w:p w14:paraId="07D24113" w14:textId="77777777" w:rsidR="00DB6E47" w:rsidRPr="0070667A" w:rsidRDefault="00DB6E47" w:rsidP="00DB6E47">
      <w:pPr>
        <w:pStyle w:val="Apara"/>
      </w:pPr>
      <w:r w:rsidRPr="0070667A">
        <w:tab/>
        <w:t>(a)</w:t>
      </w:r>
      <w:r w:rsidRPr="0070667A">
        <w:tab/>
        <w:t>information that the report has been made;</w:t>
      </w:r>
    </w:p>
    <w:p w14:paraId="281721F6" w14:textId="77777777" w:rsidR="00DB6E47" w:rsidRPr="0070667A" w:rsidRDefault="00DB6E47" w:rsidP="00DB6E47">
      <w:pPr>
        <w:pStyle w:val="Apara"/>
      </w:pPr>
      <w:r w:rsidRPr="0070667A">
        <w:tab/>
        <w:t>(b)</w:t>
      </w:r>
      <w:r w:rsidRPr="0070667A">
        <w:tab/>
        <w:t>information from which it could reasonably be inferred that the service provider has made the report.</w:t>
      </w:r>
    </w:p>
    <w:p w14:paraId="1A7EACB7" w14:textId="77777777" w:rsidR="00DB6E47" w:rsidRPr="006C3305" w:rsidRDefault="00DB6E47" w:rsidP="00DB6E47">
      <w:pPr>
        <w:pStyle w:val="Penalty"/>
      </w:pPr>
      <w:r w:rsidRPr="00D91CC2">
        <w:rPr>
          <w:rFonts w:cs="Times"/>
          <w:bCs/>
          <w:iCs/>
        </w:rPr>
        <w:t>Maximum penalty—$6000.</w:t>
      </w:r>
    </w:p>
    <w:p w14:paraId="08B4B3DD" w14:textId="77777777" w:rsidR="00DB6E47" w:rsidRPr="00C62D32" w:rsidRDefault="00DB6E47" w:rsidP="00DB6E47">
      <w:pPr>
        <w:pStyle w:val="Amain"/>
      </w:pPr>
      <w:r w:rsidRPr="00C62D32">
        <w:lastRenderedPageBreak/>
        <w:tab/>
        <w:t>(4)</w:t>
      </w:r>
      <w:r w:rsidRPr="00C62D32">
        <w:tab/>
        <w:t xml:space="preserve">If an intelligent access </w:t>
      </w:r>
      <w:r w:rsidR="008701E6">
        <w:t xml:space="preserve">program </w:t>
      </w:r>
      <w:r w:rsidRPr="00C62D32">
        <w:t>service provider has made a re</w:t>
      </w:r>
      <w:r w:rsidR="00A27494">
        <w:t>port to TCA under section 423</w:t>
      </w:r>
      <w:r w:rsidRPr="00C62D32">
        <w:t>(2)</w:t>
      </w:r>
      <w:r w:rsidR="00A27494">
        <w:t xml:space="preserve"> </w:t>
      </w:r>
      <w:r w:rsidRPr="00C62D32">
        <w:t>of apparent or suspected tampering, the service provider must not disclose to any entity (other than the Regulator and TCA) the following—</w:t>
      </w:r>
    </w:p>
    <w:p w14:paraId="1764CE6C" w14:textId="77777777" w:rsidR="00DB6E47" w:rsidRPr="0070667A" w:rsidRDefault="00DB6E47" w:rsidP="00DB6E47">
      <w:pPr>
        <w:pStyle w:val="Apara"/>
      </w:pPr>
      <w:r w:rsidRPr="0070667A">
        <w:tab/>
        <w:t>(a)</w:t>
      </w:r>
      <w:r w:rsidRPr="0070667A">
        <w:tab/>
        <w:t>information that the report has been made;</w:t>
      </w:r>
    </w:p>
    <w:p w14:paraId="114FD45D" w14:textId="77777777" w:rsidR="00DB6E47" w:rsidRPr="0070667A" w:rsidRDefault="00DB6E47" w:rsidP="00DB6E47">
      <w:pPr>
        <w:pStyle w:val="Apara"/>
      </w:pPr>
      <w:r w:rsidRPr="0070667A">
        <w:tab/>
        <w:t>(b)</w:t>
      </w:r>
      <w:r w:rsidRPr="0070667A">
        <w:tab/>
        <w:t>information from which it could reasonably be inferred that the service provider has made the report.</w:t>
      </w:r>
    </w:p>
    <w:p w14:paraId="3E92A011" w14:textId="77777777" w:rsidR="00DB6E47" w:rsidRPr="006C3305" w:rsidRDefault="00DB6E47" w:rsidP="00DB6E47">
      <w:pPr>
        <w:pStyle w:val="Penalty"/>
      </w:pPr>
      <w:r w:rsidRPr="00D91CC2">
        <w:rPr>
          <w:rFonts w:cs="Times"/>
          <w:bCs/>
          <w:iCs/>
        </w:rPr>
        <w:t>Maximum penalty—$6000.</w:t>
      </w:r>
    </w:p>
    <w:p w14:paraId="1A13936E" w14:textId="77777777" w:rsidR="00DB6E47" w:rsidRPr="00C62D32" w:rsidRDefault="00A27494" w:rsidP="00DB6E47">
      <w:pPr>
        <w:pStyle w:val="Amain"/>
      </w:pPr>
      <w:r>
        <w:tab/>
        <w:t>(5)</w:t>
      </w:r>
      <w:r>
        <w:tab/>
        <w:t xml:space="preserve">Subsection (1), </w:t>
      </w:r>
      <w:r w:rsidR="00DB6E47" w:rsidRPr="00C62D32">
        <w:t>(3)</w:t>
      </w:r>
      <w:r>
        <w:t xml:space="preserve"> or </w:t>
      </w:r>
      <w:r w:rsidR="00DB6E47" w:rsidRPr="00C62D32">
        <w:t>(4)</w:t>
      </w:r>
      <w:r>
        <w:t xml:space="preserve"> </w:t>
      </w:r>
      <w:r w:rsidR="00DB6E47" w:rsidRPr="00C62D32">
        <w:t>does not apply if the disclosure of the information to which the subsection applies is authorised under another law.</w:t>
      </w:r>
    </w:p>
    <w:p w14:paraId="7C0BA1F9" w14:textId="77777777" w:rsidR="00DB6E47" w:rsidRPr="003D647F" w:rsidRDefault="00DB6E47" w:rsidP="00DB6E47">
      <w:pPr>
        <w:pStyle w:val="PageBreak"/>
      </w:pPr>
      <w:r w:rsidRPr="003D647F">
        <w:br w:type="page"/>
      </w:r>
    </w:p>
    <w:p w14:paraId="6551C471" w14:textId="77777777" w:rsidR="00DB6E47" w:rsidRPr="005E03F7" w:rsidRDefault="00DB6E47" w:rsidP="00DB6E47">
      <w:pPr>
        <w:pStyle w:val="AH2Part"/>
      </w:pPr>
      <w:bookmarkStart w:id="490" w:name="_Toc83625834"/>
      <w:r w:rsidRPr="005E03F7">
        <w:rPr>
          <w:rStyle w:val="CharPartNo"/>
        </w:rPr>
        <w:lastRenderedPageBreak/>
        <w:t xml:space="preserve">Part 7.5 </w:t>
      </w:r>
      <w:r w:rsidRPr="00A95F9A">
        <w:rPr>
          <w:rFonts w:ascii="Helvetica" w:hAnsi="Helvetica" w:cs="Helvetica"/>
          <w:iCs/>
          <w:szCs w:val="32"/>
        </w:rPr>
        <w:tab/>
      </w:r>
      <w:r w:rsidRPr="005E03F7">
        <w:rPr>
          <w:rStyle w:val="CharPartText"/>
          <w:rFonts w:ascii="Helvetica" w:hAnsi="Helvetica" w:cs="Helvetica"/>
          <w:iCs/>
          <w:szCs w:val="32"/>
        </w:rPr>
        <w:t>Functions, powers, duties and obligations of TCA</w:t>
      </w:r>
      <w:bookmarkEnd w:id="490"/>
    </w:p>
    <w:p w14:paraId="0CEA0DFA" w14:textId="77777777" w:rsidR="00DB6E47" w:rsidRPr="007E1F9A" w:rsidRDefault="00DB6E47" w:rsidP="00DB6E47">
      <w:pPr>
        <w:pStyle w:val="AH5Sec"/>
      </w:pPr>
      <w:bookmarkStart w:id="491" w:name="_Toc83625835"/>
      <w:r w:rsidRPr="005E03F7">
        <w:rPr>
          <w:rStyle w:val="CharSectNo"/>
        </w:rPr>
        <w:t>425</w:t>
      </w:r>
      <w:r w:rsidRPr="007E1F9A">
        <w:tab/>
        <w:t>Functions of TCA</w:t>
      </w:r>
      <w:bookmarkEnd w:id="491"/>
    </w:p>
    <w:p w14:paraId="0A26EB04" w14:textId="77777777" w:rsidR="00DB6E47" w:rsidRPr="00C62D32" w:rsidRDefault="00DB6E47" w:rsidP="00DB6E47">
      <w:pPr>
        <w:pStyle w:val="Amain"/>
      </w:pPr>
      <w:r w:rsidRPr="00C62D32">
        <w:tab/>
        <w:t>(1)</w:t>
      </w:r>
      <w:r w:rsidRPr="00C62D32">
        <w:tab/>
        <w:t>TCA has the following functions for the purposes of this Chapter—</w:t>
      </w:r>
    </w:p>
    <w:p w14:paraId="1212BEF7" w14:textId="77777777" w:rsidR="00DB6E47" w:rsidRPr="0070667A" w:rsidRDefault="00DB6E47" w:rsidP="00DB6E47">
      <w:pPr>
        <w:pStyle w:val="Apara"/>
      </w:pPr>
      <w:r w:rsidRPr="0070667A">
        <w:tab/>
        <w:t>(a)</w:t>
      </w:r>
      <w:r w:rsidRPr="0070667A">
        <w:tab/>
        <w:t xml:space="preserve">approving, and cancelling the approval of, intelligent transport systems for use by intelligent access </w:t>
      </w:r>
      <w:r w:rsidR="000B70A7">
        <w:t xml:space="preserve">program </w:t>
      </w:r>
      <w:r w:rsidRPr="0070667A">
        <w:t xml:space="preserve">service providers to monitor the relevant monitoring matters for an intelligent access </w:t>
      </w:r>
      <w:r w:rsidR="00B75569">
        <w:t xml:space="preserve">program </w:t>
      </w:r>
      <w:r w:rsidRPr="0070667A">
        <w:t>vehicle;</w:t>
      </w:r>
    </w:p>
    <w:p w14:paraId="7434BA48" w14:textId="77777777" w:rsidR="00DB6E47" w:rsidRPr="0070667A" w:rsidRDefault="00DB6E47" w:rsidP="00DB6E47">
      <w:pPr>
        <w:pStyle w:val="Apara"/>
      </w:pPr>
      <w:r w:rsidRPr="0070667A">
        <w:tab/>
        <w:t>(b)</w:t>
      </w:r>
      <w:r w:rsidRPr="0070667A">
        <w:tab/>
        <w:t>managing the certification and audit regime for the Intelligent Access Program;</w:t>
      </w:r>
    </w:p>
    <w:p w14:paraId="25DB50F9" w14:textId="77777777" w:rsidR="00DB6E47" w:rsidRPr="0070667A" w:rsidRDefault="00DB6E47" w:rsidP="00DB6E47">
      <w:pPr>
        <w:pStyle w:val="Apara"/>
      </w:pPr>
      <w:r w:rsidRPr="0070667A">
        <w:tab/>
        <w:t>(c)</w:t>
      </w:r>
      <w:r w:rsidRPr="0070667A">
        <w:tab/>
        <w:t xml:space="preserve">certifying and auditing, and cancelling the certification of, intelligent access </w:t>
      </w:r>
      <w:r w:rsidR="000B70A7">
        <w:t xml:space="preserve">program </w:t>
      </w:r>
      <w:r w:rsidRPr="0070667A">
        <w:t xml:space="preserve">service providers; </w:t>
      </w:r>
    </w:p>
    <w:p w14:paraId="69BE1AD3" w14:textId="77777777" w:rsidR="00DB6E47" w:rsidRPr="0070667A" w:rsidRDefault="00DB6E47" w:rsidP="00DB6E47">
      <w:pPr>
        <w:pStyle w:val="Apara"/>
      </w:pPr>
      <w:r w:rsidRPr="0070667A">
        <w:tab/>
        <w:t>(d)</w:t>
      </w:r>
      <w:r w:rsidRPr="0070667A">
        <w:tab/>
        <w:t>engaging individuals, consultants and contractors to assist TCA in the exercise of its auditing activities.</w:t>
      </w:r>
    </w:p>
    <w:p w14:paraId="3D17FD99" w14:textId="77777777" w:rsidR="00DB6E47" w:rsidRPr="00C62D32" w:rsidRDefault="00DB6E47" w:rsidP="00DB6E47">
      <w:pPr>
        <w:pStyle w:val="Amain"/>
      </w:pPr>
      <w:r w:rsidRPr="00C62D32">
        <w:tab/>
        <w:t>(2)</w:t>
      </w:r>
      <w:r w:rsidRPr="00C62D32">
        <w:tab/>
        <w:t>An approval, certification</w:t>
      </w:r>
      <w:r w:rsidR="00581CBC">
        <w:t xml:space="preserve"> or engagement under subsection </w:t>
      </w:r>
      <w:r w:rsidRPr="00C62D32">
        <w:t>(1)</w:t>
      </w:r>
      <w:r w:rsidR="00581CBC">
        <w:t xml:space="preserve"> </w:t>
      </w:r>
      <w:r w:rsidRPr="00C62D32">
        <w:t>may be given or made unconditionally or subject to stated conditions imposed or varied from time to time.</w:t>
      </w:r>
    </w:p>
    <w:p w14:paraId="5C68B477" w14:textId="77777777" w:rsidR="00DB6E47" w:rsidRPr="007E1F9A" w:rsidRDefault="00DB6E47" w:rsidP="00DB6E47">
      <w:pPr>
        <w:pStyle w:val="AH5Sec"/>
      </w:pPr>
      <w:bookmarkStart w:id="492" w:name="_Toc83625836"/>
      <w:r w:rsidRPr="005E03F7">
        <w:rPr>
          <w:rStyle w:val="CharSectNo"/>
        </w:rPr>
        <w:t>426</w:t>
      </w:r>
      <w:r w:rsidRPr="007E1F9A">
        <w:tab/>
        <w:t>Powers to collect and hold intelligent access</w:t>
      </w:r>
      <w:r w:rsidR="00F727EC">
        <w:t xml:space="preserve"> program</w:t>
      </w:r>
      <w:r w:rsidRPr="007E1F9A">
        <w:t xml:space="preserve"> information</w:t>
      </w:r>
      <w:bookmarkEnd w:id="492"/>
    </w:p>
    <w:p w14:paraId="37E029EC" w14:textId="77777777" w:rsidR="00DB6E47" w:rsidRPr="00C62D32" w:rsidRDefault="00DB6E47" w:rsidP="00DB6E47">
      <w:pPr>
        <w:pStyle w:val="Amainreturn"/>
      </w:pPr>
      <w:r w:rsidRPr="00C62D32">
        <w:t xml:space="preserve">TCA may collect and hold intelligent access </w:t>
      </w:r>
      <w:r w:rsidR="00F727EC">
        <w:t xml:space="preserve">program </w:t>
      </w:r>
      <w:r w:rsidRPr="00C62D32">
        <w:t>information—</w:t>
      </w:r>
    </w:p>
    <w:p w14:paraId="2DB523C5" w14:textId="77777777" w:rsidR="00DB6E47" w:rsidRPr="0070667A" w:rsidRDefault="00DB6E47" w:rsidP="00DB6E47">
      <w:pPr>
        <w:pStyle w:val="Apara"/>
      </w:pPr>
      <w:r w:rsidRPr="0070667A">
        <w:tab/>
        <w:t>(a)</w:t>
      </w:r>
      <w:r w:rsidRPr="0070667A">
        <w:tab/>
        <w:t>for the exercise of its functions mentioned in section 425; or</w:t>
      </w:r>
    </w:p>
    <w:p w14:paraId="1929F8A9" w14:textId="77777777" w:rsidR="00DB6E47" w:rsidRPr="0070667A" w:rsidRDefault="00DB6E47" w:rsidP="00DB6E47">
      <w:pPr>
        <w:pStyle w:val="Apara"/>
      </w:pPr>
      <w:r w:rsidRPr="0070667A">
        <w:tab/>
        <w:t>(b)</w:t>
      </w:r>
      <w:r w:rsidRPr="0070667A">
        <w:tab/>
        <w:t>for law enforcement purposes.</w:t>
      </w:r>
    </w:p>
    <w:p w14:paraId="7A3538CB" w14:textId="77777777" w:rsidR="00DB6E47" w:rsidRPr="007E1F9A" w:rsidRDefault="00DB6E47" w:rsidP="00DB6E47">
      <w:pPr>
        <w:pStyle w:val="AH5Sec"/>
      </w:pPr>
      <w:bookmarkStart w:id="493" w:name="_Toc83625837"/>
      <w:r w:rsidRPr="005E03F7">
        <w:rPr>
          <w:rStyle w:val="CharSectNo"/>
        </w:rPr>
        <w:lastRenderedPageBreak/>
        <w:t>427</w:t>
      </w:r>
      <w:r w:rsidRPr="007E1F9A">
        <w:tab/>
        <w:t xml:space="preserve">Collecting intelligent access </w:t>
      </w:r>
      <w:r w:rsidR="00855D52">
        <w:t xml:space="preserve">program </w:t>
      </w:r>
      <w:r w:rsidRPr="007E1F9A">
        <w:t>information</w:t>
      </w:r>
      <w:bookmarkEnd w:id="493"/>
    </w:p>
    <w:p w14:paraId="66D0B5EF" w14:textId="77777777" w:rsidR="00DB6E47" w:rsidRPr="00C62D32" w:rsidRDefault="00DB6E47" w:rsidP="00496F44">
      <w:pPr>
        <w:pStyle w:val="Amain"/>
        <w:keepNext/>
      </w:pPr>
      <w:r w:rsidRPr="00C62D32">
        <w:tab/>
        <w:t>(1)</w:t>
      </w:r>
      <w:r w:rsidRPr="00C62D32">
        <w:tab/>
        <w:t xml:space="preserve">TCA must </w:t>
      </w:r>
      <w:r w:rsidR="001E3138" w:rsidRPr="003323FC">
        <w:t>ensure, so far as is reasonably practicable,</w:t>
      </w:r>
      <w:r w:rsidRPr="00C62D32">
        <w:t xml:space="preserve"> the intelligent access </w:t>
      </w:r>
      <w:r w:rsidR="00855D52">
        <w:t xml:space="preserve">program </w:t>
      </w:r>
      <w:r w:rsidRPr="00C62D32">
        <w:t>information it collects—</w:t>
      </w:r>
    </w:p>
    <w:p w14:paraId="6FE08B21" w14:textId="77777777" w:rsidR="00DB6E47" w:rsidRPr="0070667A" w:rsidRDefault="00DB6E47" w:rsidP="00DB6E47">
      <w:pPr>
        <w:pStyle w:val="Apara"/>
      </w:pPr>
      <w:r w:rsidRPr="0070667A">
        <w:tab/>
        <w:t>(a)</w:t>
      </w:r>
      <w:r w:rsidRPr="0070667A">
        <w:tab/>
        <w:t>is necessary for the purpose for which it is collected or a directly related purpose; and</w:t>
      </w:r>
    </w:p>
    <w:p w14:paraId="1446741E" w14:textId="77777777" w:rsidR="00DB6E47" w:rsidRPr="0070667A" w:rsidRDefault="00DB6E47" w:rsidP="00DB6E47">
      <w:pPr>
        <w:pStyle w:val="Apara"/>
      </w:pPr>
      <w:r w:rsidRPr="0070667A">
        <w:tab/>
        <w:t>(b)</w:t>
      </w:r>
      <w:r w:rsidRPr="0070667A">
        <w:tab/>
        <w:t>is not excessive for that purpose; and</w:t>
      </w:r>
    </w:p>
    <w:p w14:paraId="6DE15194" w14:textId="77777777" w:rsidR="00DB6E47" w:rsidRPr="0070667A" w:rsidRDefault="00DB6E47" w:rsidP="00DB6E47">
      <w:pPr>
        <w:pStyle w:val="Apara"/>
      </w:pPr>
      <w:r w:rsidRPr="0070667A">
        <w:tab/>
        <w:t>(c)</w:t>
      </w:r>
      <w:r w:rsidRPr="0070667A">
        <w:tab/>
        <w:t>is accurate, complete and up to date.</w:t>
      </w:r>
    </w:p>
    <w:p w14:paraId="78037AD2" w14:textId="77777777" w:rsidR="00DB6E47" w:rsidRPr="006C3305" w:rsidRDefault="00DB6E47" w:rsidP="00DB6E47">
      <w:pPr>
        <w:pStyle w:val="Penalty"/>
      </w:pPr>
      <w:r w:rsidRPr="00D91CC2">
        <w:rPr>
          <w:rFonts w:cs="Times"/>
          <w:bCs/>
          <w:iCs/>
        </w:rPr>
        <w:t>Maximum penalty—$6000.</w:t>
      </w:r>
    </w:p>
    <w:p w14:paraId="388BC566" w14:textId="77777777" w:rsidR="00DB6E47" w:rsidRPr="00C62D32" w:rsidRDefault="00DB6E47" w:rsidP="00DB6E47">
      <w:pPr>
        <w:pStyle w:val="Amain"/>
      </w:pPr>
      <w:r w:rsidRPr="00C62D32">
        <w:tab/>
        <w:t>(2)</w:t>
      </w:r>
      <w:r w:rsidRPr="00C62D32">
        <w:tab/>
        <w:t xml:space="preserve">TCA must </w:t>
      </w:r>
      <w:r w:rsidR="00E255DB" w:rsidRPr="003323FC">
        <w:t>ensure, so far as is reasonably practicable,</w:t>
      </w:r>
      <w:r w:rsidR="00E255DB" w:rsidRPr="00C62D32">
        <w:t xml:space="preserve"> </w:t>
      </w:r>
      <w:r w:rsidRPr="00C62D32">
        <w:t xml:space="preserve">the collection of intelligent access </w:t>
      </w:r>
      <w:r w:rsidR="00855D52">
        <w:t xml:space="preserve">program </w:t>
      </w:r>
      <w:r w:rsidRPr="00C62D32">
        <w:t>information by it does not intrude to an unreasonable extent on the personal privacy of any individual to whom the information relates.</w:t>
      </w:r>
    </w:p>
    <w:p w14:paraId="65209E50" w14:textId="77777777" w:rsidR="00DB6E47" w:rsidRPr="006C3305" w:rsidRDefault="00DB6E47" w:rsidP="00DB6E47">
      <w:pPr>
        <w:pStyle w:val="Penalty"/>
      </w:pPr>
      <w:r w:rsidRPr="00D91CC2">
        <w:rPr>
          <w:rFonts w:cs="Times"/>
          <w:bCs/>
          <w:iCs/>
        </w:rPr>
        <w:t>Maximum penalty—$6000.</w:t>
      </w:r>
    </w:p>
    <w:p w14:paraId="2F664F1C" w14:textId="77777777" w:rsidR="00DB6E47" w:rsidRPr="007E1F9A" w:rsidRDefault="00DB6E47" w:rsidP="00DB6E47">
      <w:pPr>
        <w:pStyle w:val="AH5Sec"/>
      </w:pPr>
      <w:bookmarkStart w:id="494" w:name="_Toc83625838"/>
      <w:r w:rsidRPr="005E03F7">
        <w:rPr>
          <w:rStyle w:val="CharSectNo"/>
        </w:rPr>
        <w:t>428</w:t>
      </w:r>
      <w:r w:rsidRPr="007E1F9A">
        <w:tab/>
        <w:t>Protecting intelligent access</w:t>
      </w:r>
      <w:r w:rsidR="00855D52">
        <w:t xml:space="preserve"> program</w:t>
      </w:r>
      <w:r w:rsidRPr="007E1F9A">
        <w:t xml:space="preserve"> information collected</w:t>
      </w:r>
      <w:bookmarkEnd w:id="494"/>
    </w:p>
    <w:p w14:paraId="02F5BC2B" w14:textId="77777777" w:rsidR="00DB6E47" w:rsidRPr="00C62D32" w:rsidRDefault="00DB6E47" w:rsidP="00DB6E47">
      <w:pPr>
        <w:pStyle w:val="Amainreturn"/>
      </w:pPr>
      <w:r w:rsidRPr="00C62D32">
        <w:t xml:space="preserve">TCA must </w:t>
      </w:r>
      <w:r w:rsidR="001E3138" w:rsidRPr="003323FC">
        <w:t>ensure, so far as is reasonably practicable, intelligent access</w:t>
      </w:r>
      <w:r w:rsidR="007C3AC0">
        <w:t xml:space="preserve"> program</w:t>
      </w:r>
      <w:r w:rsidR="001E3138" w:rsidRPr="003323FC">
        <w:t xml:space="preserve"> information collected by TCA is protected</w:t>
      </w:r>
      <w:r w:rsidRPr="00C62D32">
        <w:t xml:space="preserve"> against unauthorised access, unauthorised use, misuse, loss, modification or unauthorised disclosure.</w:t>
      </w:r>
    </w:p>
    <w:p w14:paraId="28406CAE" w14:textId="77777777" w:rsidR="00DB6E47" w:rsidRPr="006C3305" w:rsidRDefault="00BD08BE" w:rsidP="00DB6E47">
      <w:pPr>
        <w:pStyle w:val="Penalty"/>
      </w:pPr>
      <w:r>
        <w:rPr>
          <w:rFonts w:cs="Times"/>
          <w:bCs/>
          <w:iCs/>
        </w:rPr>
        <w:t>Maximum penalty—$20</w:t>
      </w:r>
      <w:r w:rsidR="00DB6E47" w:rsidRPr="00D91CC2">
        <w:rPr>
          <w:rFonts w:cs="Times"/>
          <w:bCs/>
          <w:iCs/>
        </w:rPr>
        <w:t>000.</w:t>
      </w:r>
    </w:p>
    <w:p w14:paraId="4A960563" w14:textId="77777777" w:rsidR="00DB6E47" w:rsidRPr="007E1F9A" w:rsidRDefault="00DB6E47" w:rsidP="00DB6E47">
      <w:pPr>
        <w:pStyle w:val="AH5Sec"/>
      </w:pPr>
      <w:bookmarkStart w:id="495" w:name="_Toc83625839"/>
      <w:r w:rsidRPr="005E03F7">
        <w:rPr>
          <w:rStyle w:val="CharSectNo"/>
        </w:rPr>
        <w:t>429</w:t>
      </w:r>
      <w:r w:rsidRPr="007E1F9A">
        <w:tab/>
        <w:t>Making individuals aware of personal information held</w:t>
      </w:r>
      <w:bookmarkEnd w:id="495"/>
    </w:p>
    <w:p w14:paraId="78597DF4" w14:textId="77777777" w:rsidR="00DB6E47" w:rsidRPr="00C62D32" w:rsidRDefault="00DB6E47" w:rsidP="00DB6E47">
      <w:pPr>
        <w:pStyle w:val="Amain"/>
      </w:pPr>
      <w:r w:rsidRPr="00C62D32">
        <w:tab/>
        <w:t>(1)</w:t>
      </w:r>
      <w:r w:rsidRPr="00C62D32">
        <w:tab/>
        <w:t>TCA must prepare, and make publicly available, a document setting out its policies on the management of personal information held by it.</w:t>
      </w:r>
    </w:p>
    <w:p w14:paraId="1C41F56D" w14:textId="77777777" w:rsidR="00DB6E47" w:rsidRPr="00C96203" w:rsidRDefault="00DB6E47" w:rsidP="00DB6E47">
      <w:pPr>
        <w:pStyle w:val="aExamHdgss"/>
      </w:pPr>
      <w:r w:rsidRPr="00C96203">
        <w:rPr>
          <w:rFonts w:cs="Times"/>
          <w:bCs/>
          <w:iCs/>
        </w:rPr>
        <w:t>Examples of how a document is made publicly available—</w:t>
      </w:r>
    </w:p>
    <w:p w14:paraId="29710CC6" w14:textId="77777777" w:rsidR="00DB6E47" w:rsidRPr="00C96203" w:rsidRDefault="00DB6E47" w:rsidP="00DB6E47">
      <w:pPr>
        <w:pStyle w:val="aExamBulletss"/>
      </w:pPr>
      <w:r w:rsidRPr="00C96203">
        <w:t xml:space="preserve">• </w:t>
      </w:r>
      <w:r w:rsidRPr="00C96203">
        <w:tab/>
        <w:t>making a document available at TCA’s office</w:t>
      </w:r>
    </w:p>
    <w:p w14:paraId="7103C7EA" w14:textId="77777777" w:rsidR="00DB6E47" w:rsidRPr="00C96203" w:rsidRDefault="00DB6E47" w:rsidP="00DB6E47">
      <w:pPr>
        <w:pStyle w:val="aExamBulletss"/>
      </w:pPr>
      <w:r w:rsidRPr="00C96203">
        <w:t xml:space="preserve">• </w:t>
      </w:r>
      <w:r w:rsidRPr="00C96203">
        <w:tab/>
        <w:t>making a document available on TCA’s website</w:t>
      </w:r>
    </w:p>
    <w:p w14:paraId="391960DB" w14:textId="77777777" w:rsidR="00DB6E47" w:rsidRPr="006C3305" w:rsidRDefault="00DB6E47" w:rsidP="00DB6E47">
      <w:pPr>
        <w:pStyle w:val="Penalty"/>
      </w:pPr>
      <w:r w:rsidRPr="00D91CC2">
        <w:rPr>
          <w:rFonts w:cs="Times"/>
          <w:bCs/>
          <w:iCs/>
        </w:rPr>
        <w:t>Maximum penalty—$6000.</w:t>
      </w:r>
    </w:p>
    <w:p w14:paraId="1DA58D59" w14:textId="77777777" w:rsidR="00DB6E47" w:rsidRPr="00C62D32" w:rsidRDefault="00DB6E47" w:rsidP="00DB6E47">
      <w:pPr>
        <w:pStyle w:val="Amain"/>
      </w:pPr>
      <w:r w:rsidRPr="00C62D32">
        <w:lastRenderedPageBreak/>
        <w:tab/>
        <w:t>(2)</w:t>
      </w:r>
      <w:r w:rsidRPr="00C62D32">
        <w:tab/>
        <w:t>If asked by an individual about whom TCA holds personal information, TCA must, within 28 days after receiving the request, give the individual the following information if it can reasonably give the information—</w:t>
      </w:r>
    </w:p>
    <w:p w14:paraId="732C565C" w14:textId="77777777" w:rsidR="00DB6E47" w:rsidRPr="0070667A" w:rsidRDefault="00DB6E47" w:rsidP="00DB6E47">
      <w:pPr>
        <w:pStyle w:val="Apara"/>
      </w:pPr>
      <w:r w:rsidRPr="0070667A">
        <w:tab/>
        <w:t>(a)</w:t>
      </w:r>
      <w:r w:rsidRPr="0070667A">
        <w:tab/>
        <w:t>the kind of information it holds about the individual;</w:t>
      </w:r>
    </w:p>
    <w:p w14:paraId="06FA0F1F" w14:textId="77777777" w:rsidR="00DB6E47" w:rsidRPr="0070667A" w:rsidRDefault="00DB6E47" w:rsidP="00DB6E47">
      <w:pPr>
        <w:pStyle w:val="Apara"/>
      </w:pPr>
      <w:r w:rsidRPr="0070667A">
        <w:tab/>
        <w:t>(b)</w:t>
      </w:r>
      <w:r w:rsidRPr="0070667A">
        <w:tab/>
        <w:t>the purpose for which the information is held;</w:t>
      </w:r>
    </w:p>
    <w:p w14:paraId="4222C9F0" w14:textId="77777777" w:rsidR="00DB6E47" w:rsidRPr="0070667A" w:rsidRDefault="00DB6E47" w:rsidP="00DB6E47">
      <w:pPr>
        <w:pStyle w:val="Apara"/>
      </w:pPr>
      <w:r w:rsidRPr="0070667A">
        <w:tab/>
        <w:t>(c)</w:t>
      </w:r>
      <w:r w:rsidRPr="0070667A">
        <w:tab/>
        <w:t>the way in which it collects, holds, uses and discloses the information;</w:t>
      </w:r>
    </w:p>
    <w:p w14:paraId="4BA9E66F" w14:textId="77777777" w:rsidR="00DB6E47" w:rsidRPr="0070667A" w:rsidRDefault="00DB6E47" w:rsidP="00DB6E47">
      <w:pPr>
        <w:pStyle w:val="Apara"/>
      </w:pPr>
      <w:r w:rsidRPr="0070667A">
        <w:tab/>
        <w:t>(d)</w:t>
      </w:r>
      <w:r w:rsidRPr="0070667A">
        <w:tab/>
        <w:t>the entities to whom the information may be disclosed;</w:t>
      </w:r>
    </w:p>
    <w:p w14:paraId="4FFA1FE4" w14:textId="77777777" w:rsidR="00DB6E47" w:rsidRPr="0070667A" w:rsidRDefault="00DB6E47" w:rsidP="00DB6E47">
      <w:pPr>
        <w:pStyle w:val="Apara"/>
      </w:pPr>
      <w:r w:rsidRPr="0070667A">
        <w:tab/>
        <w:t>(e)</w:t>
      </w:r>
      <w:r w:rsidRPr="0070667A">
        <w:tab/>
        <w:t>that, under this Chapter, the individual has rights of access to the information or to have the information changed to ensure it is accurate, complete and up to date;</w:t>
      </w:r>
    </w:p>
    <w:p w14:paraId="49A6596D" w14:textId="77777777" w:rsidR="00DB6E47" w:rsidRPr="0070667A" w:rsidRDefault="00DB6E47" w:rsidP="00DB6E47">
      <w:pPr>
        <w:pStyle w:val="Apara"/>
      </w:pPr>
      <w:r w:rsidRPr="0070667A">
        <w:tab/>
        <w:t>(f)</w:t>
      </w:r>
      <w:r w:rsidRPr="0070667A">
        <w:tab/>
        <w:t>how th</w:t>
      </w:r>
      <w:r w:rsidR="00581CBC">
        <w:t xml:space="preserve">e rights mentioned in paragraph </w:t>
      </w:r>
      <w:r w:rsidRPr="0070667A">
        <w:t>(e)</w:t>
      </w:r>
      <w:r w:rsidR="00581CBC">
        <w:t xml:space="preserve"> </w:t>
      </w:r>
      <w:r w:rsidRPr="0070667A">
        <w:t>can be exercised.</w:t>
      </w:r>
    </w:p>
    <w:p w14:paraId="0DC17E25" w14:textId="77777777" w:rsidR="00DB6E47" w:rsidRPr="006C3305" w:rsidRDefault="00DB6E47" w:rsidP="00DB6E47">
      <w:pPr>
        <w:pStyle w:val="Penalty"/>
      </w:pPr>
      <w:r w:rsidRPr="00D91CC2">
        <w:rPr>
          <w:rFonts w:cs="Times"/>
          <w:bCs/>
          <w:iCs/>
        </w:rPr>
        <w:t>Maximum penalty—$6000.</w:t>
      </w:r>
    </w:p>
    <w:p w14:paraId="53111939" w14:textId="77777777" w:rsidR="00DB6E47" w:rsidRPr="00C62D32" w:rsidRDefault="00581CBC" w:rsidP="00DB6E47">
      <w:pPr>
        <w:pStyle w:val="Amain"/>
      </w:pPr>
      <w:r>
        <w:tab/>
        <w:t>(3)</w:t>
      </w:r>
      <w:r>
        <w:tab/>
        <w:t xml:space="preserve">Subsection </w:t>
      </w:r>
      <w:r w:rsidR="00DB6E47" w:rsidRPr="00C62D32">
        <w:t>(2)</w:t>
      </w:r>
      <w:r>
        <w:t xml:space="preserve"> </w:t>
      </w:r>
      <w:r w:rsidR="00DB6E47" w:rsidRPr="00C62D32">
        <w:t>does not require TCA to inform an individual that a report under section 422, 423, 438, 451 or 452 exists or has been made.</w:t>
      </w:r>
    </w:p>
    <w:p w14:paraId="520179FF" w14:textId="77777777" w:rsidR="00DB6E47" w:rsidRPr="007E1F9A" w:rsidRDefault="00DB6E47" w:rsidP="00DB6E47">
      <w:pPr>
        <w:pStyle w:val="AH5Sec"/>
      </w:pPr>
      <w:bookmarkStart w:id="496" w:name="_Toc83625840"/>
      <w:r w:rsidRPr="005E03F7">
        <w:rPr>
          <w:rStyle w:val="CharSectNo"/>
        </w:rPr>
        <w:t>430</w:t>
      </w:r>
      <w:r w:rsidRPr="007E1F9A">
        <w:tab/>
        <w:t>Giving individuals access to their personal information</w:t>
      </w:r>
      <w:bookmarkEnd w:id="496"/>
    </w:p>
    <w:p w14:paraId="1DB200C2" w14:textId="77777777" w:rsidR="00DB6E47" w:rsidRPr="00C62D32" w:rsidRDefault="00DB6E47" w:rsidP="00DB6E47">
      <w:pPr>
        <w:pStyle w:val="Amain"/>
      </w:pPr>
      <w:r w:rsidRPr="00C62D32">
        <w:tab/>
        <w:t>(1)</w:t>
      </w:r>
      <w:r w:rsidRPr="00C62D32">
        <w:tab/>
        <w:t>TCA must, if asked by an individual about whom TCA holds personal information, give the individual access to the information as soon as practicable and without cost.</w:t>
      </w:r>
    </w:p>
    <w:p w14:paraId="50D3D324" w14:textId="77777777" w:rsidR="00DB6E47" w:rsidRPr="006C3305" w:rsidRDefault="00DB6E47" w:rsidP="00DB6E47">
      <w:pPr>
        <w:pStyle w:val="Penalty"/>
      </w:pPr>
      <w:r w:rsidRPr="00D91CC2">
        <w:rPr>
          <w:rFonts w:cs="Times"/>
          <w:bCs/>
          <w:iCs/>
        </w:rPr>
        <w:t>Maximum penalty—$6000.</w:t>
      </w:r>
    </w:p>
    <w:p w14:paraId="6957DC8D" w14:textId="77777777" w:rsidR="00DB6E47" w:rsidRPr="00C62D32" w:rsidRDefault="00581CBC" w:rsidP="00DB6E47">
      <w:pPr>
        <w:pStyle w:val="Amain"/>
      </w:pPr>
      <w:r>
        <w:tab/>
        <w:t>(2)</w:t>
      </w:r>
      <w:r>
        <w:tab/>
        <w:t xml:space="preserve">Subsection </w:t>
      </w:r>
      <w:r w:rsidR="00DB6E47" w:rsidRPr="00C62D32">
        <w:t>(1)</w:t>
      </w:r>
      <w:r>
        <w:t xml:space="preserve"> </w:t>
      </w:r>
      <w:r w:rsidR="00DB6E47" w:rsidRPr="00C62D32">
        <w:t>does not require TCA to give an individual access to a report made under section 422, 423, 438, 451 or 452 or information showing that a report of that kind exists or has been made.</w:t>
      </w:r>
    </w:p>
    <w:p w14:paraId="6AB4EA35" w14:textId="77777777" w:rsidR="00DB6E47" w:rsidRPr="007E1F9A" w:rsidRDefault="00DB6E47" w:rsidP="00DB6E47">
      <w:pPr>
        <w:pStyle w:val="AH5Sec"/>
      </w:pPr>
      <w:bookmarkStart w:id="497" w:name="_Toc83625841"/>
      <w:r w:rsidRPr="005E03F7">
        <w:rPr>
          <w:rStyle w:val="CharSectNo"/>
        </w:rPr>
        <w:lastRenderedPageBreak/>
        <w:t>431</w:t>
      </w:r>
      <w:r w:rsidRPr="007E1F9A">
        <w:tab/>
        <w:t>Correcting errors etc.</w:t>
      </w:r>
      <w:bookmarkEnd w:id="497"/>
    </w:p>
    <w:p w14:paraId="3989DD0E" w14:textId="77777777" w:rsidR="00DB6E47" w:rsidRPr="00C62D32" w:rsidRDefault="00DB6E47" w:rsidP="00DB6E47">
      <w:pPr>
        <w:pStyle w:val="Amain"/>
      </w:pPr>
      <w:r w:rsidRPr="00C62D32">
        <w:tab/>
        <w:t>(1)</w:t>
      </w:r>
      <w:r w:rsidRPr="00C62D32">
        <w:tab/>
        <w:t>This section applies if an individual about whom TCA holds personal information asks TCA to make a particular change to the personal information.</w:t>
      </w:r>
    </w:p>
    <w:p w14:paraId="78F227D7" w14:textId="77777777" w:rsidR="00DB6E47" w:rsidRPr="00C62D32" w:rsidRDefault="00DB6E47" w:rsidP="00DB6E47">
      <w:pPr>
        <w:pStyle w:val="Amain"/>
      </w:pPr>
      <w:r w:rsidRPr="00C62D32">
        <w:tab/>
        <w:t>(2)</w:t>
      </w:r>
      <w:r w:rsidRPr="00C62D32">
        <w:tab/>
        <w:t>TCA must make the change if it is satisfied the change is appropriate to ensure the personal information is accurate, complete and up to date.</w:t>
      </w:r>
    </w:p>
    <w:p w14:paraId="7CEF676D" w14:textId="77777777" w:rsidR="00DB6E47" w:rsidRPr="006C3305" w:rsidRDefault="00DB6E47" w:rsidP="00DB6E47">
      <w:pPr>
        <w:pStyle w:val="Penalty"/>
      </w:pPr>
      <w:r w:rsidRPr="00D91CC2">
        <w:rPr>
          <w:rFonts w:cs="Times"/>
          <w:bCs/>
          <w:iCs/>
        </w:rPr>
        <w:t>Maximum penalty—$6000.</w:t>
      </w:r>
    </w:p>
    <w:p w14:paraId="075FB869" w14:textId="77777777" w:rsidR="00DB6E47" w:rsidRPr="00C62D32" w:rsidRDefault="00DB6E47" w:rsidP="00DB6E47">
      <w:pPr>
        <w:pStyle w:val="Amain"/>
      </w:pPr>
      <w:r w:rsidRPr="00C62D32">
        <w:tab/>
        <w:t>(3)</w:t>
      </w:r>
      <w:r w:rsidRPr="00C62D32">
        <w:tab/>
        <w:t>If TCA is not satisfied as mentioned in subsection (2), it may refuse to comply with the request.</w:t>
      </w:r>
    </w:p>
    <w:p w14:paraId="7E3258B3" w14:textId="77777777" w:rsidR="00DB6E47" w:rsidRPr="00C62D32" w:rsidRDefault="00DB6E47" w:rsidP="00DB6E47">
      <w:pPr>
        <w:pStyle w:val="Amain"/>
      </w:pPr>
      <w:r w:rsidRPr="00C62D32">
        <w:tab/>
        <w:t>(4)</w:t>
      </w:r>
      <w:r w:rsidRPr="00C62D32">
        <w:tab/>
        <w:t>If TCA refuses, under subsection (3), to comply with an individual’s request, it must give the individual a notice stating—</w:t>
      </w:r>
    </w:p>
    <w:p w14:paraId="6C81D2F2" w14:textId="77777777" w:rsidR="00DB6E47" w:rsidRPr="0070667A" w:rsidRDefault="00DB6E47" w:rsidP="00DB6E47">
      <w:pPr>
        <w:pStyle w:val="Apara"/>
      </w:pPr>
      <w:r w:rsidRPr="0070667A">
        <w:tab/>
        <w:t>(a)</w:t>
      </w:r>
      <w:r w:rsidRPr="0070667A">
        <w:tab/>
        <w:t>TCA’s reasons for refusing; and</w:t>
      </w:r>
    </w:p>
    <w:p w14:paraId="4B867AEF" w14:textId="77777777" w:rsidR="00DB6E47" w:rsidRPr="0070667A" w:rsidRDefault="00DB6E47" w:rsidP="00DB6E47">
      <w:pPr>
        <w:pStyle w:val="Apara"/>
      </w:pPr>
      <w:r w:rsidRPr="0070667A">
        <w:tab/>
        <w:t>(b)</w:t>
      </w:r>
      <w:r w:rsidRPr="0070667A">
        <w:tab/>
        <w:t>that the individual may ask TCA to attach to or include with the personal information the individual’s request or a record of it.</w:t>
      </w:r>
    </w:p>
    <w:p w14:paraId="012707C2" w14:textId="77777777" w:rsidR="00DB6E47" w:rsidRPr="00C62D32" w:rsidRDefault="00DB6E47" w:rsidP="00DB6E47">
      <w:pPr>
        <w:pStyle w:val="Amain"/>
      </w:pPr>
      <w:r w:rsidRPr="00C62D32">
        <w:tab/>
        <w:t>(5)</w:t>
      </w:r>
      <w:r w:rsidRPr="00C62D32">
        <w:tab/>
        <w:t>If an indiv</w:t>
      </w:r>
      <w:r w:rsidR="00581CBC">
        <w:t xml:space="preserve">idual referred to in subsection </w:t>
      </w:r>
      <w:r w:rsidRPr="00C62D32">
        <w:t>(4)</w:t>
      </w:r>
      <w:r w:rsidR="00581CBC">
        <w:t xml:space="preserve"> </w:t>
      </w:r>
      <w:r w:rsidRPr="00C62D32">
        <w:t>asks TCA to do so, it must attach to or include with the personal information the request or a record of the request.</w:t>
      </w:r>
    </w:p>
    <w:p w14:paraId="5161444A" w14:textId="77777777" w:rsidR="00DB6E47" w:rsidRPr="006C3305" w:rsidRDefault="00DB6E47" w:rsidP="00DB6E47">
      <w:pPr>
        <w:pStyle w:val="Penalty"/>
      </w:pPr>
      <w:r w:rsidRPr="00D91CC2">
        <w:rPr>
          <w:rFonts w:cs="Times"/>
          <w:bCs/>
          <w:iCs/>
        </w:rPr>
        <w:t>Maximum penalty—$6000.</w:t>
      </w:r>
    </w:p>
    <w:p w14:paraId="1B85A82C" w14:textId="77777777" w:rsidR="00DB6E47" w:rsidRPr="007E1F9A" w:rsidRDefault="00DB6E47" w:rsidP="00DB6E47">
      <w:pPr>
        <w:pStyle w:val="AH5Sec"/>
      </w:pPr>
      <w:bookmarkStart w:id="498" w:name="_Toc83625842"/>
      <w:r w:rsidRPr="005E03F7">
        <w:rPr>
          <w:rStyle w:val="CharSectNo"/>
        </w:rPr>
        <w:t>432</w:t>
      </w:r>
      <w:r w:rsidRPr="007E1F9A">
        <w:tab/>
        <w:t>General restriction on use and disclosure of intelligent access</w:t>
      </w:r>
      <w:r w:rsidR="00855D52">
        <w:t xml:space="preserve"> program</w:t>
      </w:r>
      <w:r w:rsidRPr="007E1F9A">
        <w:t xml:space="preserve"> information</w:t>
      </w:r>
      <w:bookmarkEnd w:id="498"/>
    </w:p>
    <w:p w14:paraId="71916464" w14:textId="77777777" w:rsidR="00DB6E47" w:rsidRPr="00C62D32" w:rsidRDefault="00DB6E47" w:rsidP="00DB6E47">
      <w:pPr>
        <w:pStyle w:val="Amainreturn"/>
      </w:pPr>
      <w:r w:rsidRPr="00C62D32">
        <w:t xml:space="preserve">TCA must not use or disclose intelligent access </w:t>
      </w:r>
      <w:r w:rsidR="00855D52">
        <w:t xml:space="preserve">program </w:t>
      </w:r>
      <w:r w:rsidRPr="00C62D32">
        <w:t>information other than as required or authorised under this Law or another law.</w:t>
      </w:r>
    </w:p>
    <w:p w14:paraId="71C54A4F" w14:textId="77777777" w:rsidR="00DB6E47" w:rsidRPr="006C3305" w:rsidRDefault="00BD08BE" w:rsidP="00DB6E47">
      <w:pPr>
        <w:pStyle w:val="Penalty"/>
      </w:pPr>
      <w:r>
        <w:rPr>
          <w:rFonts w:cs="Times"/>
          <w:bCs/>
          <w:iCs/>
        </w:rPr>
        <w:t>Maximum penalty—$20</w:t>
      </w:r>
      <w:r w:rsidR="00DB6E47" w:rsidRPr="00D91CC2">
        <w:rPr>
          <w:rFonts w:cs="Times"/>
          <w:bCs/>
          <w:iCs/>
        </w:rPr>
        <w:t>000.</w:t>
      </w:r>
    </w:p>
    <w:p w14:paraId="38C0ADD0" w14:textId="77777777" w:rsidR="00DB6E47" w:rsidRPr="007E1F9A" w:rsidRDefault="00DB6E47" w:rsidP="00DB6E47">
      <w:pPr>
        <w:pStyle w:val="AH5Sec"/>
      </w:pPr>
      <w:bookmarkStart w:id="499" w:name="_Toc83625843"/>
      <w:r w:rsidRPr="005E03F7">
        <w:rPr>
          <w:rStyle w:val="CharSectNo"/>
        </w:rPr>
        <w:lastRenderedPageBreak/>
        <w:t>433</w:t>
      </w:r>
      <w:r w:rsidRPr="007E1F9A">
        <w:tab/>
        <w:t>Powers to use and disclose intelligent access</w:t>
      </w:r>
      <w:r w:rsidR="00855D52">
        <w:t xml:space="preserve"> program</w:t>
      </w:r>
      <w:r w:rsidRPr="007E1F9A">
        <w:t xml:space="preserve"> information</w:t>
      </w:r>
      <w:bookmarkEnd w:id="499"/>
    </w:p>
    <w:p w14:paraId="52D8DACE" w14:textId="77777777" w:rsidR="00DB6E47" w:rsidRPr="00C62D32" w:rsidRDefault="00DB6E47" w:rsidP="00B03621">
      <w:pPr>
        <w:pStyle w:val="Amain"/>
        <w:keepNext/>
      </w:pPr>
      <w:r w:rsidRPr="00C62D32">
        <w:tab/>
        <w:t>(1)</w:t>
      </w:r>
      <w:r w:rsidRPr="00C62D32">
        <w:tab/>
        <w:t xml:space="preserve">TCA may use or disclose intelligent access </w:t>
      </w:r>
      <w:r w:rsidR="00855D52">
        <w:t xml:space="preserve">program </w:t>
      </w:r>
      <w:r w:rsidRPr="00C62D32">
        <w:t>information—</w:t>
      </w:r>
    </w:p>
    <w:p w14:paraId="644EED4C" w14:textId="77777777" w:rsidR="00DB6E47" w:rsidRPr="0070667A" w:rsidRDefault="00DB6E47" w:rsidP="00DB6E47">
      <w:pPr>
        <w:pStyle w:val="Apara"/>
      </w:pPr>
      <w:r w:rsidRPr="0070667A">
        <w:tab/>
        <w:t>(a)</w:t>
      </w:r>
      <w:r w:rsidRPr="0070667A">
        <w:tab/>
        <w:t>for the exercise of its functions mentioned in section 425; or</w:t>
      </w:r>
    </w:p>
    <w:p w14:paraId="42F25BFE" w14:textId="77777777" w:rsidR="00DB6E47" w:rsidRPr="0070667A" w:rsidRDefault="00DB6E47" w:rsidP="00DB6E47">
      <w:pPr>
        <w:pStyle w:val="Apara"/>
      </w:pPr>
      <w:r w:rsidRPr="0070667A">
        <w:tab/>
        <w:t>(b)</w:t>
      </w:r>
      <w:r w:rsidRPr="0070667A">
        <w:tab/>
        <w:t>for law enforcement purposes.</w:t>
      </w:r>
    </w:p>
    <w:p w14:paraId="66C001E1" w14:textId="77777777" w:rsidR="00DB6E47" w:rsidRPr="00C62D32" w:rsidRDefault="00DB6E47" w:rsidP="00DB6E47">
      <w:pPr>
        <w:pStyle w:val="Amain"/>
      </w:pPr>
      <w:r w:rsidRPr="00C62D32">
        <w:tab/>
        <w:t>(2)</w:t>
      </w:r>
      <w:r w:rsidRPr="00C62D32">
        <w:tab/>
        <w:t xml:space="preserve">TCA may disclose intelligent access </w:t>
      </w:r>
      <w:r w:rsidR="00855D52">
        <w:t xml:space="preserve">program </w:t>
      </w:r>
      <w:r w:rsidRPr="00C62D32">
        <w:t>information to the Regulator if it is satisfied the information is relevant to the Regulator’s functions under this Law.</w:t>
      </w:r>
    </w:p>
    <w:p w14:paraId="6F14F013" w14:textId="77777777" w:rsidR="00DB6E47" w:rsidRPr="00C62D32" w:rsidRDefault="00DB6E47" w:rsidP="00DB6E47">
      <w:pPr>
        <w:pStyle w:val="Amain"/>
      </w:pPr>
      <w:r w:rsidRPr="00C62D32">
        <w:tab/>
        <w:t>(3)</w:t>
      </w:r>
      <w:r w:rsidRPr="00C62D32">
        <w:tab/>
        <w:t xml:space="preserve">TCA may disclose intelligent access </w:t>
      </w:r>
      <w:r w:rsidR="00855D52">
        <w:t xml:space="preserve">program </w:t>
      </w:r>
      <w:r w:rsidRPr="00C62D32">
        <w:t xml:space="preserve">information to an intelligent access </w:t>
      </w:r>
      <w:r w:rsidR="00DA1F96">
        <w:t xml:space="preserve">program </w:t>
      </w:r>
      <w:r w:rsidRPr="00C62D32">
        <w:t xml:space="preserve">auditor if it is satisfied the information is relevant to an intelligent access </w:t>
      </w:r>
      <w:r w:rsidR="00461C89">
        <w:t xml:space="preserve">program </w:t>
      </w:r>
      <w:r w:rsidRPr="00C62D32">
        <w:t>audit the auditor is conducting.</w:t>
      </w:r>
    </w:p>
    <w:p w14:paraId="114AF2DB" w14:textId="77777777" w:rsidR="00DB6E47" w:rsidRPr="00C62D32" w:rsidRDefault="00DB6E47" w:rsidP="00DB6E47">
      <w:pPr>
        <w:pStyle w:val="Amain"/>
      </w:pPr>
      <w:r w:rsidRPr="00C62D32">
        <w:tab/>
        <w:t>(4)</w:t>
      </w:r>
      <w:r w:rsidRPr="00C62D32">
        <w:tab/>
        <w:t xml:space="preserve">TCA may disclose intelligent access </w:t>
      </w:r>
      <w:r w:rsidR="00855D52">
        <w:t xml:space="preserve">program </w:t>
      </w:r>
      <w:r w:rsidRPr="00C62D32">
        <w:t xml:space="preserve">information relating to a particular operator of an intelligent access </w:t>
      </w:r>
      <w:r w:rsidR="00542C4E">
        <w:t xml:space="preserve">program </w:t>
      </w:r>
      <w:r w:rsidRPr="00C62D32">
        <w:t>vehicle to the operator.</w:t>
      </w:r>
    </w:p>
    <w:p w14:paraId="0353690B" w14:textId="77777777" w:rsidR="00DB6E47" w:rsidRPr="00C62D32" w:rsidRDefault="00DB6E47" w:rsidP="00DB6E47">
      <w:pPr>
        <w:pStyle w:val="Amain"/>
      </w:pPr>
      <w:r w:rsidRPr="00C62D32">
        <w:tab/>
        <w:t>(5)</w:t>
      </w:r>
      <w:r w:rsidRPr="00C62D32">
        <w:tab/>
        <w:t xml:space="preserve">TCA may, with the written consent of an operator of an intelligent access </w:t>
      </w:r>
      <w:r w:rsidR="00B75569">
        <w:t xml:space="preserve">program </w:t>
      </w:r>
      <w:r w:rsidRPr="00C62D32">
        <w:t xml:space="preserve">vehicle, disclose intelligent access </w:t>
      </w:r>
      <w:r w:rsidR="00855D52">
        <w:t xml:space="preserve">program </w:t>
      </w:r>
      <w:r w:rsidRPr="00C62D32">
        <w:t>information about the operator to a person other than the operator for any purpose if the information—</w:t>
      </w:r>
    </w:p>
    <w:p w14:paraId="31F1884A" w14:textId="77777777" w:rsidR="00DB6E47" w:rsidRPr="0070667A" w:rsidRDefault="00DB6E47" w:rsidP="00DB6E47">
      <w:pPr>
        <w:pStyle w:val="Apara"/>
      </w:pPr>
      <w:r w:rsidRPr="0070667A">
        <w:tab/>
        <w:t>(a)</w:t>
      </w:r>
      <w:r w:rsidRPr="0070667A">
        <w:tab/>
        <w:t>does not identify any individual other than the operator; and</w:t>
      </w:r>
    </w:p>
    <w:p w14:paraId="1A0648B1" w14:textId="77777777" w:rsidR="00DB6E47" w:rsidRPr="0070667A" w:rsidRDefault="00DB6E47" w:rsidP="00DB6E47">
      <w:pPr>
        <w:pStyle w:val="Apara"/>
      </w:pPr>
      <w:r w:rsidRPr="0070667A">
        <w:tab/>
        <w:t>(b)</w:t>
      </w:r>
      <w:r w:rsidRPr="0070667A">
        <w:tab/>
        <w:t>contains nothing by which the identity of any individual, other than the operator, can reasonably be found out.</w:t>
      </w:r>
    </w:p>
    <w:p w14:paraId="7E1F758E" w14:textId="77777777" w:rsidR="00DB6E47" w:rsidRPr="00C62D32" w:rsidRDefault="00DB6E47" w:rsidP="00DB6E47">
      <w:pPr>
        <w:pStyle w:val="Amain"/>
      </w:pPr>
      <w:r w:rsidRPr="00C62D32">
        <w:tab/>
        <w:t>(6)</w:t>
      </w:r>
      <w:r w:rsidRPr="00C62D32">
        <w:tab/>
        <w:t>TCA may use or disclose intelligent access</w:t>
      </w:r>
      <w:r w:rsidR="00855D52">
        <w:t xml:space="preserve"> program</w:t>
      </w:r>
      <w:r w:rsidRPr="00C62D32">
        <w:t xml:space="preserve"> information for research purposes if the information contains no personal information.</w:t>
      </w:r>
    </w:p>
    <w:p w14:paraId="17EDBED3" w14:textId="77777777" w:rsidR="00DB6E47" w:rsidRPr="00C62D32" w:rsidRDefault="00DB6E47" w:rsidP="00DB6E47">
      <w:pPr>
        <w:pStyle w:val="Amain"/>
      </w:pPr>
      <w:r w:rsidRPr="00C62D32">
        <w:tab/>
        <w:t>(7)</w:t>
      </w:r>
      <w:r w:rsidRPr="00C62D32">
        <w:tab/>
        <w:t xml:space="preserve">TCA may use or disclose intelligent access </w:t>
      </w:r>
      <w:r w:rsidR="00855D52">
        <w:t xml:space="preserve">program </w:t>
      </w:r>
      <w:r w:rsidRPr="00C62D32">
        <w:t>information that is personal information with the written consent of the individual to whom the personal information relates.</w:t>
      </w:r>
    </w:p>
    <w:p w14:paraId="16BE7068" w14:textId="77777777" w:rsidR="00DB6E47" w:rsidRPr="00C62D32" w:rsidRDefault="00DB6E47" w:rsidP="00DB6E47">
      <w:pPr>
        <w:pStyle w:val="Amain"/>
      </w:pPr>
      <w:r w:rsidRPr="00C62D32">
        <w:tab/>
        <w:t>(8)</w:t>
      </w:r>
      <w:r w:rsidRPr="00C62D32">
        <w:tab/>
        <w:t>This section is subject to section 439.</w:t>
      </w:r>
    </w:p>
    <w:p w14:paraId="22EB11C3" w14:textId="77777777" w:rsidR="00DB6E47" w:rsidRPr="007E1F9A" w:rsidRDefault="00DB6E47" w:rsidP="00DB6E47">
      <w:pPr>
        <w:pStyle w:val="AH5Sec"/>
      </w:pPr>
      <w:bookmarkStart w:id="500" w:name="_Toc83625844"/>
      <w:r w:rsidRPr="005E03F7">
        <w:rPr>
          <w:rStyle w:val="CharSectNo"/>
        </w:rPr>
        <w:lastRenderedPageBreak/>
        <w:t>434</w:t>
      </w:r>
      <w:r w:rsidRPr="007E1F9A">
        <w:tab/>
        <w:t>Restriction about intelligent access</w:t>
      </w:r>
      <w:r w:rsidR="00855D52">
        <w:t xml:space="preserve"> program</w:t>
      </w:r>
      <w:r w:rsidRPr="007E1F9A">
        <w:t xml:space="preserve"> information that may be used or disclosed</w:t>
      </w:r>
      <w:bookmarkEnd w:id="500"/>
    </w:p>
    <w:p w14:paraId="2F15205C" w14:textId="77777777" w:rsidR="00DB6E47" w:rsidRPr="00C62D32" w:rsidRDefault="00DB6E47" w:rsidP="00DB6E47">
      <w:pPr>
        <w:pStyle w:val="Amainreturn"/>
      </w:pPr>
      <w:r w:rsidRPr="00C62D32">
        <w:t xml:space="preserve">TCA must not use or disclose intelligent access </w:t>
      </w:r>
      <w:r w:rsidR="00855D52">
        <w:t xml:space="preserve">program </w:t>
      </w:r>
      <w:r w:rsidRPr="00C62D32">
        <w:t>information unless TCA is reasonably satisfied, having regard to the purpose for which the information is to be used or disclosed, the information is accurate, complete and up to date.</w:t>
      </w:r>
    </w:p>
    <w:p w14:paraId="58873DF1" w14:textId="77777777" w:rsidR="00DB6E47" w:rsidRPr="006C3305" w:rsidRDefault="00DB6E47" w:rsidP="00DB6E47">
      <w:pPr>
        <w:pStyle w:val="Penalty"/>
      </w:pPr>
      <w:r w:rsidRPr="00D91CC2">
        <w:rPr>
          <w:rFonts w:cs="Times"/>
          <w:bCs/>
          <w:iCs/>
        </w:rPr>
        <w:t>Maximum penalty—$6000.</w:t>
      </w:r>
    </w:p>
    <w:p w14:paraId="57601C31" w14:textId="77777777" w:rsidR="00DB6E47" w:rsidRPr="007E1F9A" w:rsidRDefault="00DB6E47" w:rsidP="00DB6E47">
      <w:pPr>
        <w:pStyle w:val="AH5Sec"/>
      </w:pPr>
      <w:bookmarkStart w:id="501" w:name="_Toc83625845"/>
      <w:r w:rsidRPr="005E03F7">
        <w:rPr>
          <w:rStyle w:val="CharSectNo"/>
        </w:rPr>
        <w:t>435</w:t>
      </w:r>
      <w:r w:rsidRPr="007E1F9A">
        <w:tab/>
        <w:t xml:space="preserve">Keeping record of use or disclosure of intelligent access </w:t>
      </w:r>
      <w:r w:rsidR="00855D52">
        <w:t xml:space="preserve">program </w:t>
      </w:r>
      <w:r w:rsidRPr="007E1F9A">
        <w:t>information</w:t>
      </w:r>
      <w:bookmarkEnd w:id="501"/>
    </w:p>
    <w:p w14:paraId="1D26753F" w14:textId="77777777" w:rsidR="00DB6E47" w:rsidRPr="00C62D32" w:rsidRDefault="00DB6E47" w:rsidP="00DB6E47">
      <w:pPr>
        <w:pStyle w:val="Amain"/>
      </w:pPr>
      <w:r w:rsidRPr="00C62D32">
        <w:tab/>
        <w:t>(1)</w:t>
      </w:r>
      <w:r w:rsidRPr="00C62D32">
        <w:tab/>
        <w:t xml:space="preserve">If TCA uses or discloses intelligent access </w:t>
      </w:r>
      <w:r w:rsidR="00855D52">
        <w:t xml:space="preserve">program </w:t>
      </w:r>
      <w:r w:rsidRPr="00C62D32">
        <w:t>information, TCA must, within 7 days after the use or disclosure, make a record of the use or disclosure that—</w:t>
      </w:r>
    </w:p>
    <w:p w14:paraId="676CA583" w14:textId="77777777" w:rsidR="00DB6E47" w:rsidRPr="00516F02" w:rsidRDefault="00DB6E47" w:rsidP="00DB6E47">
      <w:pPr>
        <w:pStyle w:val="Asubpara"/>
      </w:pPr>
      <w:r w:rsidRPr="00516F02">
        <w:tab/>
        <w:t>(a)</w:t>
      </w:r>
      <w:r w:rsidRPr="00516F02">
        <w:tab/>
        <w:t>contains the information mentioned in subsection (2); and</w:t>
      </w:r>
    </w:p>
    <w:p w14:paraId="4E167233" w14:textId="77777777" w:rsidR="00DB6E47" w:rsidRPr="00516F02" w:rsidRDefault="00DB6E47" w:rsidP="00DB6E47">
      <w:pPr>
        <w:pStyle w:val="Asubpara"/>
      </w:pPr>
      <w:r w:rsidRPr="00516F02">
        <w:tab/>
        <w:t>(b)</w:t>
      </w:r>
      <w:r w:rsidRPr="00516F02">
        <w:tab/>
        <w:t>is in a form that ensures the record is readily accessible by an authorised officer at the place where it is kept.</w:t>
      </w:r>
    </w:p>
    <w:p w14:paraId="4E27DFAD" w14:textId="77777777" w:rsidR="00DB6E47" w:rsidRPr="006C3305" w:rsidRDefault="00DB6E47" w:rsidP="00DB6E47">
      <w:pPr>
        <w:pStyle w:val="Penalty"/>
      </w:pPr>
      <w:r w:rsidRPr="00D91CC2">
        <w:rPr>
          <w:rFonts w:cs="Times"/>
          <w:bCs/>
          <w:iCs/>
        </w:rPr>
        <w:t>Maximum penalty—$6000.</w:t>
      </w:r>
    </w:p>
    <w:p w14:paraId="6ABCBED2" w14:textId="77777777" w:rsidR="00DB6E47" w:rsidRPr="00C62D32" w:rsidRDefault="00DB6E47" w:rsidP="00DB6E47">
      <w:pPr>
        <w:pStyle w:val="Amain"/>
      </w:pPr>
      <w:r w:rsidRPr="00C62D32">
        <w:tab/>
        <w:t>(2)</w:t>
      </w:r>
      <w:r w:rsidRPr="00C62D32">
        <w:tab/>
        <w:t>The record must contain the following information—</w:t>
      </w:r>
    </w:p>
    <w:p w14:paraId="65F1695C" w14:textId="77777777" w:rsidR="00DB6E47" w:rsidRPr="0070667A" w:rsidRDefault="00DB6E47" w:rsidP="00DB6E47">
      <w:pPr>
        <w:pStyle w:val="Apara"/>
      </w:pPr>
      <w:r w:rsidRPr="0070667A">
        <w:tab/>
        <w:t>(a)</w:t>
      </w:r>
      <w:r w:rsidRPr="0070667A">
        <w:tab/>
        <w:t xml:space="preserve">the name of the person who used or disclosed the intelligent access </w:t>
      </w:r>
      <w:r w:rsidR="00CF4ED6">
        <w:t xml:space="preserve">program </w:t>
      </w:r>
      <w:r w:rsidRPr="0070667A">
        <w:t>information on behalf of TCA;</w:t>
      </w:r>
    </w:p>
    <w:p w14:paraId="7963DDE9" w14:textId="77777777" w:rsidR="00DB6E47" w:rsidRPr="0070667A" w:rsidRDefault="00DB6E47" w:rsidP="00DB6E47">
      <w:pPr>
        <w:pStyle w:val="Apara"/>
      </w:pPr>
      <w:r w:rsidRPr="0070667A">
        <w:tab/>
        <w:t>(b)</w:t>
      </w:r>
      <w:r w:rsidRPr="0070667A">
        <w:tab/>
        <w:t>the date of the use or disclosure;</w:t>
      </w:r>
    </w:p>
    <w:p w14:paraId="07453EA4" w14:textId="77777777" w:rsidR="00DB6E47" w:rsidRPr="0070667A" w:rsidRDefault="00DB6E47" w:rsidP="00DB6E47">
      <w:pPr>
        <w:pStyle w:val="Apara"/>
      </w:pPr>
      <w:r w:rsidRPr="0070667A">
        <w:tab/>
        <w:t>(c)</w:t>
      </w:r>
      <w:r w:rsidRPr="0070667A">
        <w:tab/>
        <w:t xml:space="preserve">for a use of intelligent access </w:t>
      </w:r>
      <w:r w:rsidR="00CF4ED6">
        <w:t xml:space="preserve">program </w:t>
      </w:r>
      <w:r w:rsidRPr="0070667A">
        <w:t>information by or on behalf of TCA, a brief description of how the information was used;</w:t>
      </w:r>
    </w:p>
    <w:p w14:paraId="0680CAF6" w14:textId="77777777" w:rsidR="00DB6E47" w:rsidRPr="0070667A" w:rsidRDefault="00DB6E47" w:rsidP="00DB6E47">
      <w:pPr>
        <w:pStyle w:val="Apara"/>
      </w:pPr>
      <w:r w:rsidRPr="0070667A">
        <w:tab/>
        <w:t>(d)</w:t>
      </w:r>
      <w:r w:rsidRPr="0070667A">
        <w:tab/>
        <w:t xml:space="preserve">for a disclosure of intelligent access </w:t>
      </w:r>
      <w:r w:rsidR="00CF4ED6">
        <w:t xml:space="preserve">program </w:t>
      </w:r>
      <w:r w:rsidRPr="0070667A">
        <w:t>information by or on behalf of TCA, the entity to whom the information was disclosed;</w:t>
      </w:r>
    </w:p>
    <w:p w14:paraId="15F6E762" w14:textId="77777777" w:rsidR="00DB6E47" w:rsidRPr="0070667A" w:rsidRDefault="00DB6E47" w:rsidP="00DB6E47">
      <w:pPr>
        <w:pStyle w:val="Apara"/>
      </w:pPr>
      <w:r w:rsidRPr="0070667A">
        <w:tab/>
        <w:t>(e)</w:t>
      </w:r>
      <w:r w:rsidRPr="0070667A">
        <w:tab/>
        <w:t>the provision of this Law or another law TCA believes authorises the use or disclosure;</w:t>
      </w:r>
    </w:p>
    <w:p w14:paraId="3C174DEE" w14:textId="77777777" w:rsidR="00DB6E47" w:rsidRPr="0070667A" w:rsidRDefault="00DB6E47" w:rsidP="00DB6E47">
      <w:pPr>
        <w:pStyle w:val="Apara"/>
      </w:pPr>
      <w:r w:rsidRPr="0070667A">
        <w:lastRenderedPageBreak/>
        <w:tab/>
        <w:t>(f)</w:t>
      </w:r>
      <w:r w:rsidRPr="0070667A">
        <w:tab/>
        <w:t>if the use or disclosure is authorised only with a particular document (including, for example, a warrant, a certificate or a consent), a copy of the document.</w:t>
      </w:r>
    </w:p>
    <w:p w14:paraId="65156732" w14:textId="77777777" w:rsidR="00DB6E47" w:rsidRPr="00C62D32" w:rsidRDefault="00DB6E47" w:rsidP="00DB6E47">
      <w:pPr>
        <w:pStyle w:val="Amain"/>
      </w:pPr>
      <w:r w:rsidRPr="00C62D32">
        <w:tab/>
        <w:t>(3)</w:t>
      </w:r>
      <w:r w:rsidRPr="00C62D32">
        <w:tab/>
        <w:t xml:space="preserve">TCA must keep a record made under this section for at least 2 years. </w:t>
      </w:r>
    </w:p>
    <w:p w14:paraId="0124CACD" w14:textId="77777777" w:rsidR="00DB6E47" w:rsidRPr="006C3305" w:rsidRDefault="00DB6E47" w:rsidP="00DB6E47">
      <w:pPr>
        <w:pStyle w:val="Penalty"/>
      </w:pPr>
      <w:r w:rsidRPr="00D91CC2">
        <w:rPr>
          <w:rFonts w:cs="Times"/>
          <w:bCs/>
          <w:iCs/>
        </w:rPr>
        <w:t>Maximum penalty—$6000.</w:t>
      </w:r>
    </w:p>
    <w:p w14:paraId="7B84C195" w14:textId="77777777" w:rsidR="00DB6E47" w:rsidRPr="007E1F9A" w:rsidRDefault="00DB6E47" w:rsidP="00DB6E47">
      <w:pPr>
        <w:pStyle w:val="AH5Sec"/>
      </w:pPr>
      <w:bookmarkStart w:id="502" w:name="_Toc83625846"/>
      <w:r w:rsidRPr="005E03F7">
        <w:rPr>
          <w:rStyle w:val="CharSectNo"/>
        </w:rPr>
        <w:t>436</w:t>
      </w:r>
      <w:r w:rsidRPr="007E1F9A">
        <w:tab/>
        <w:t>Keeping noncompliance reports</w:t>
      </w:r>
      <w:bookmarkEnd w:id="502"/>
    </w:p>
    <w:p w14:paraId="2F036A4A" w14:textId="77777777" w:rsidR="00DB6E47" w:rsidRPr="00C62D32" w:rsidRDefault="00DB6E47" w:rsidP="00DB6E47">
      <w:pPr>
        <w:pStyle w:val="Amainreturn"/>
      </w:pPr>
      <w:r w:rsidRPr="00C62D32">
        <w:t>TCA must keep any noncompliance report received by it for at least 4 years after its receipt.</w:t>
      </w:r>
    </w:p>
    <w:p w14:paraId="31117353" w14:textId="77777777" w:rsidR="00DB6E47" w:rsidRPr="006C3305" w:rsidRDefault="00DB6E47" w:rsidP="00DB6E47">
      <w:pPr>
        <w:pStyle w:val="Penalty"/>
      </w:pPr>
      <w:r w:rsidRPr="00D91CC2">
        <w:rPr>
          <w:rFonts w:cs="Times"/>
          <w:bCs/>
          <w:iCs/>
        </w:rPr>
        <w:t>Maximum penalty—$6000.</w:t>
      </w:r>
    </w:p>
    <w:p w14:paraId="0581F3D9" w14:textId="77777777" w:rsidR="00DB6E47" w:rsidRPr="007E1F9A" w:rsidRDefault="00DB6E47" w:rsidP="00DB6E47">
      <w:pPr>
        <w:pStyle w:val="AH5Sec"/>
      </w:pPr>
      <w:bookmarkStart w:id="503" w:name="_Toc83625847"/>
      <w:r w:rsidRPr="005E03F7">
        <w:rPr>
          <w:rStyle w:val="CharSectNo"/>
        </w:rPr>
        <w:t>437</w:t>
      </w:r>
      <w:r w:rsidRPr="007E1F9A">
        <w:tab/>
        <w:t xml:space="preserve">Destroying intelligent access </w:t>
      </w:r>
      <w:r w:rsidR="00CF4ED6">
        <w:t xml:space="preserve">program </w:t>
      </w:r>
      <w:r w:rsidRPr="007E1F9A">
        <w:t>information or removing personal information from it</w:t>
      </w:r>
      <w:bookmarkEnd w:id="503"/>
    </w:p>
    <w:p w14:paraId="65748440" w14:textId="77777777" w:rsidR="001E3138" w:rsidRPr="001E3138" w:rsidRDefault="001E3138" w:rsidP="001E3138">
      <w:pPr>
        <w:pStyle w:val="Amain"/>
        <w:rPr>
          <w:lang w:val="en" w:eastAsia="en-AU"/>
        </w:rPr>
      </w:pPr>
      <w:r>
        <w:rPr>
          <w:lang w:val="en" w:eastAsia="en-AU"/>
        </w:rPr>
        <w:tab/>
      </w:r>
      <w:r w:rsidRPr="001E3138">
        <w:rPr>
          <w:lang w:val="en" w:eastAsia="en-AU"/>
        </w:rPr>
        <w:t>(1)</w:t>
      </w:r>
      <w:r>
        <w:rPr>
          <w:lang w:val="en" w:eastAsia="en-AU"/>
        </w:rPr>
        <w:tab/>
      </w:r>
      <w:r w:rsidRPr="001E3138">
        <w:rPr>
          <w:lang w:val="en" w:eastAsia="en-AU"/>
        </w:rPr>
        <w:t>TCA must ensure, so far as is reasonably practicable, intelligent access</w:t>
      </w:r>
      <w:r w:rsidR="007C3AC0">
        <w:rPr>
          <w:lang w:val="en" w:eastAsia="en-AU"/>
        </w:rPr>
        <w:t xml:space="preserve"> program</w:t>
      </w:r>
      <w:r w:rsidRPr="001E3138">
        <w:rPr>
          <w:lang w:val="en" w:eastAsia="en-AU"/>
        </w:rPr>
        <w:t xml:space="preserve"> information collected by TCA is destroyed—</w:t>
      </w:r>
    </w:p>
    <w:p w14:paraId="420282D6" w14:textId="77777777" w:rsidR="001E3138" w:rsidRPr="001E3138" w:rsidRDefault="001E3138" w:rsidP="001E3138">
      <w:pPr>
        <w:pStyle w:val="Apara"/>
        <w:rPr>
          <w:lang w:val="en" w:eastAsia="en-AU"/>
        </w:rPr>
      </w:pPr>
      <w:r>
        <w:rPr>
          <w:lang w:val="en" w:eastAsia="en-AU"/>
        </w:rPr>
        <w:tab/>
      </w:r>
      <w:r w:rsidRPr="001E3138">
        <w:rPr>
          <w:lang w:val="en" w:eastAsia="en-AU"/>
        </w:rPr>
        <w:t>(a)</w:t>
      </w:r>
      <w:r>
        <w:rPr>
          <w:lang w:val="en" w:eastAsia="en-AU"/>
        </w:rPr>
        <w:tab/>
      </w:r>
      <w:r w:rsidRPr="001E3138">
        <w:rPr>
          <w:lang w:val="en" w:eastAsia="en-AU"/>
        </w:rPr>
        <w:t>generally—1 year after the information is collected; or</w:t>
      </w:r>
    </w:p>
    <w:p w14:paraId="756221AF" w14:textId="77777777" w:rsidR="001E3138" w:rsidRPr="001E3138" w:rsidRDefault="001E3138" w:rsidP="001E3138">
      <w:pPr>
        <w:pStyle w:val="Apara"/>
        <w:rPr>
          <w:lang w:val="en" w:eastAsia="en-AU"/>
        </w:rPr>
      </w:pPr>
      <w:r>
        <w:rPr>
          <w:lang w:val="en" w:eastAsia="en-AU"/>
        </w:rPr>
        <w:tab/>
      </w:r>
      <w:r w:rsidRPr="001E3138">
        <w:rPr>
          <w:lang w:val="en" w:eastAsia="en-AU"/>
        </w:rPr>
        <w:t>(b)</w:t>
      </w:r>
      <w:r>
        <w:rPr>
          <w:lang w:val="en" w:eastAsia="en-AU"/>
        </w:rPr>
        <w:tab/>
      </w:r>
      <w:r w:rsidRPr="001E3138">
        <w:rPr>
          <w:lang w:val="en" w:eastAsia="en-AU"/>
        </w:rPr>
        <w:t>if, at the end of that 1 year, the information is required for law enforcement purposes—as soon as practicable after the information is no longer required for law enforcement purposes.</w:t>
      </w:r>
    </w:p>
    <w:p w14:paraId="50B31D86" w14:textId="77777777" w:rsidR="001E3138" w:rsidRPr="001E3138" w:rsidRDefault="001E3138" w:rsidP="001E3138">
      <w:pPr>
        <w:pStyle w:val="Penalty"/>
        <w:rPr>
          <w:lang w:val="en" w:eastAsia="en-AU"/>
        </w:rPr>
      </w:pPr>
      <w:r w:rsidRPr="001E3138">
        <w:rPr>
          <w:lang w:val="en" w:eastAsia="en-AU"/>
        </w:rPr>
        <w:t>Maximum penalty—$6000.</w:t>
      </w:r>
    </w:p>
    <w:p w14:paraId="02808DB4" w14:textId="77777777" w:rsidR="00DB6E47" w:rsidRPr="00C62D32" w:rsidRDefault="00DB6E47" w:rsidP="00DB6E47">
      <w:pPr>
        <w:pStyle w:val="Amain"/>
      </w:pPr>
      <w:r w:rsidRPr="00C62D32">
        <w:tab/>
        <w:t>(2)</w:t>
      </w:r>
      <w:r w:rsidRPr="00C62D32">
        <w:tab/>
        <w:t>TCA is taken t</w:t>
      </w:r>
      <w:r w:rsidR="00581CBC">
        <w:t xml:space="preserve">o have complied with subsection </w:t>
      </w:r>
      <w:r w:rsidRPr="00C62D32">
        <w:t>(1)</w:t>
      </w:r>
      <w:r w:rsidR="00581CBC">
        <w:t xml:space="preserve"> </w:t>
      </w:r>
      <w:r w:rsidRPr="00C62D32">
        <w:t xml:space="preserve">for intelligent access </w:t>
      </w:r>
      <w:r w:rsidR="00CF4ED6">
        <w:t xml:space="preserve">program </w:t>
      </w:r>
      <w:r w:rsidRPr="00C62D32">
        <w:t>information if it permanently removes anything by which an individual can be identified from the information.</w:t>
      </w:r>
    </w:p>
    <w:p w14:paraId="18C8D4B6" w14:textId="77777777" w:rsidR="00DB6E47" w:rsidRPr="00C62D32" w:rsidRDefault="00DB6E47" w:rsidP="00DB6E47">
      <w:pPr>
        <w:pStyle w:val="Amain"/>
      </w:pPr>
      <w:r w:rsidRPr="00C62D32">
        <w:tab/>
        <w:t>(3)</w:t>
      </w:r>
      <w:r w:rsidRPr="00C62D32">
        <w:tab/>
        <w:t>This section does not apply to a noncompliance report TCA is required to keep under section 436.</w:t>
      </w:r>
    </w:p>
    <w:p w14:paraId="6B9504F0" w14:textId="77777777" w:rsidR="00DB6E47" w:rsidRPr="007E1F9A" w:rsidRDefault="00DB6E47" w:rsidP="00DB6E47">
      <w:pPr>
        <w:pStyle w:val="AH5Sec"/>
      </w:pPr>
      <w:bookmarkStart w:id="504" w:name="_Toc83625848"/>
      <w:r w:rsidRPr="005E03F7">
        <w:rPr>
          <w:rStyle w:val="CharSectNo"/>
        </w:rPr>
        <w:lastRenderedPageBreak/>
        <w:t>438</w:t>
      </w:r>
      <w:r w:rsidRPr="007E1F9A">
        <w:tab/>
        <w:t>Reporting tampering or suspected tampering with, or malfunction or suspected malfunction of, approved intelligent transport system to Regulator</w:t>
      </w:r>
      <w:bookmarkEnd w:id="504"/>
    </w:p>
    <w:p w14:paraId="4EEB4C38" w14:textId="77777777" w:rsidR="00DB6E47" w:rsidRPr="00C62D32" w:rsidRDefault="00DB6E47" w:rsidP="00DB6E47">
      <w:pPr>
        <w:pStyle w:val="Amain"/>
      </w:pPr>
      <w:r w:rsidRPr="00C62D32">
        <w:tab/>
        <w:t>(1)</w:t>
      </w:r>
      <w:r w:rsidRPr="00C62D32">
        <w:tab/>
        <w:t>If TCA knows, or has reasonable grounds to suspect, an approved intelligent transport system has been tampered with or has malfunctioned, TCA must report the matter to the Regulator within 7 days.</w:t>
      </w:r>
    </w:p>
    <w:p w14:paraId="33D7E2E0" w14:textId="77777777" w:rsidR="00DB6E47" w:rsidRPr="006C3305" w:rsidRDefault="00DB6E47" w:rsidP="00DB6E47">
      <w:pPr>
        <w:pStyle w:val="Penalty"/>
      </w:pPr>
      <w:r w:rsidRPr="00D91CC2">
        <w:rPr>
          <w:rFonts w:cs="Times"/>
          <w:bCs/>
          <w:iCs/>
        </w:rPr>
        <w:t>Maximum penalty—$6000.</w:t>
      </w:r>
    </w:p>
    <w:p w14:paraId="7C277FBE" w14:textId="77777777" w:rsidR="00DB6E47" w:rsidRPr="00C62D32" w:rsidRDefault="00DB6E47" w:rsidP="005D18E7">
      <w:pPr>
        <w:pStyle w:val="Amain"/>
        <w:keepNext/>
      </w:pPr>
      <w:r w:rsidRPr="00C62D32">
        <w:tab/>
        <w:t>(2)</w:t>
      </w:r>
      <w:r w:rsidRPr="00C62D32">
        <w:tab/>
        <w:t>For the purposes of subsection (1), TCA does not know, or have reasonable grounds to suspect, an approved intelligent transport system has been tampered with or has malfunctioned merely because it has—</w:t>
      </w:r>
    </w:p>
    <w:p w14:paraId="125C8A19" w14:textId="77777777" w:rsidR="00DB6E47" w:rsidRPr="0070667A" w:rsidRDefault="00DB6E47" w:rsidP="005D18E7">
      <w:pPr>
        <w:pStyle w:val="Apara"/>
        <w:keepLines/>
      </w:pPr>
      <w:r w:rsidRPr="0070667A">
        <w:tab/>
        <w:t>(a)</w:t>
      </w:r>
      <w:r w:rsidRPr="0070667A">
        <w:tab/>
        <w:t>accessed a report made by the system (including a noncompliance report) indicating that apparent tampering with, or malfunctioning of, the system has been detected electronically; or</w:t>
      </w:r>
    </w:p>
    <w:p w14:paraId="032A8E1E" w14:textId="77777777" w:rsidR="00DB6E47" w:rsidRPr="0070667A" w:rsidRDefault="00DB6E47" w:rsidP="00DB6E47">
      <w:pPr>
        <w:pStyle w:val="Apara"/>
      </w:pPr>
      <w:r w:rsidRPr="0070667A">
        <w:tab/>
        <w:t>(b)</w:t>
      </w:r>
      <w:r w:rsidRPr="0070667A">
        <w:tab/>
        <w:t>analysed information generated by the system.</w:t>
      </w:r>
    </w:p>
    <w:p w14:paraId="129ACEBF" w14:textId="77777777" w:rsidR="00DB6E47" w:rsidRPr="007E1F9A" w:rsidRDefault="00DB6E47" w:rsidP="00DB6E47">
      <w:pPr>
        <w:pStyle w:val="AH5Sec"/>
      </w:pPr>
      <w:bookmarkStart w:id="505" w:name="_Toc83625849"/>
      <w:r w:rsidRPr="005E03F7">
        <w:rPr>
          <w:rStyle w:val="CharSectNo"/>
        </w:rPr>
        <w:t>439</w:t>
      </w:r>
      <w:r w:rsidRPr="007E1F9A">
        <w:tab/>
      </w:r>
      <w:r w:rsidRPr="007E1F9A">
        <w:rPr>
          <w:rFonts w:ascii="Helvetica" w:hAnsi="Helvetica" w:cs="Helvetica"/>
          <w:iCs/>
        </w:rPr>
        <w:t>Restriction on disclosing information about tampering or suspected tampering with approved intelligent transport system</w:t>
      </w:r>
      <w:bookmarkEnd w:id="505"/>
    </w:p>
    <w:p w14:paraId="57FA318E" w14:textId="77777777" w:rsidR="00DB6E47" w:rsidRPr="00C62D32" w:rsidRDefault="00DB6E47" w:rsidP="00DB6E47">
      <w:pPr>
        <w:pStyle w:val="Amain"/>
      </w:pPr>
      <w:r w:rsidRPr="00C62D32">
        <w:tab/>
        <w:t>(1)</w:t>
      </w:r>
      <w:r w:rsidRPr="00C62D32">
        <w:tab/>
        <w:t>If TCA knows, or has reasonable grounds to suspect, an approved intelligent transport system has been tampered with, TCA must not disclose the following to any entity other than the Regulator—</w:t>
      </w:r>
    </w:p>
    <w:p w14:paraId="344BFFF6" w14:textId="77777777" w:rsidR="00DB6E47" w:rsidRPr="0070667A" w:rsidRDefault="00DB6E47" w:rsidP="00DB6E47">
      <w:pPr>
        <w:pStyle w:val="Apara"/>
      </w:pPr>
      <w:r w:rsidRPr="0070667A">
        <w:tab/>
        <w:t>(a)</w:t>
      </w:r>
      <w:r w:rsidRPr="0070667A">
        <w:tab/>
        <w:t>information that TCA has that knowledge or suspicion;</w:t>
      </w:r>
    </w:p>
    <w:p w14:paraId="62A73F01" w14:textId="77777777" w:rsidR="00DB6E47" w:rsidRPr="0070667A" w:rsidRDefault="00DB6E47" w:rsidP="00DB6E47">
      <w:pPr>
        <w:pStyle w:val="Apara"/>
      </w:pPr>
      <w:r w:rsidRPr="0070667A">
        <w:tab/>
        <w:t>(b)</w:t>
      </w:r>
      <w:r w:rsidRPr="0070667A">
        <w:tab/>
        <w:t>information from which it could reasonably be inferred that TCA has that knowledge or suspicion.</w:t>
      </w:r>
    </w:p>
    <w:p w14:paraId="452903DF" w14:textId="77777777" w:rsidR="00DB6E47" w:rsidRPr="006C3305" w:rsidRDefault="00DB6E47" w:rsidP="00DB6E47">
      <w:pPr>
        <w:pStyle w:val="Penalty"/>
      </w:pPr>
      <w:r w:rsidRPr="00D91CC2">
        <w:rPr>
          <w:rFonts w:cs="Times"/>
          <w:bCs/>
          <w:iCs/>
        </w:rPr>
        <w:t>Maximum penalty—$6000.</w:t>
      </w:r>
    </w:p>
    <w:p w14:paraId="51865B2D" w14:textId="77777777" w:rsidR="00DB6E47" w:rsidRPr="00C62D32" w:rsidRDefault="00DB6E47" w:rsidP="00DB6E47">
      <w:pPr>
        <w:pStyle w:val="Amain"/>
      </w:pPr>
      <w:r w:rsidRPr="00C62D32">
        <w:lastRenderedPageBreak/>
        <w:tab/>
        <w:t>(2)</w:t>
      </w:r>
      <w:r w:rsidRPr="00C62D32">
        <w:tab/>
        <w:t>For the purposes of subsection (1), TCA does not know or have reasonable grounds to suspect an approved intelligent transport system has been tampered with merely because it has—</w:t>
      </w:r>
    </w:p>
    <w:p w14:paraId="2A64AD08" w14:textId="77777777" w:rsidR="00DB6E47" w:rsidRPr="0070667A" w:rsidRDefault="00DB6E47" w:rsidP="00DB6E47">
      <w:pPr>
        <w:pStyle w:val="Apara"/>
      </w:pPr>
      <w:r w:rsidRPr="0070667A">
        <w:tab/>
        <w:t>(a)</w:t>
      </w:r>
      <w:r w:rsidRPr="0070667A">
        <w:tab/>
        <w:t>accessed a report made by the system (including a noncompliance report) indicating that apparent tampering with the system has been detected electronically; or</w:t>
      </w:r>
    </w:p>
    <w:p w14:paraId="734EE405" w14:textId="77777777" w:rsidR="00DB6E47" w:rsidRPr="0070667A" w:rsidRDefault="00DB6E47" w:rsidP="00DB6E47">
      <w:pPr>
        <w:pStyle w:val="Apara"/>
      </w:pPr>
      <w:r w:rsidRPr="0070667A">
        <w:tab/>
        <w:t>(b)</w:t>
      </w:r>
      <w:r w:rsidRPr="0070667A">
        <w:tab/>
        <w:t>analysed information generated by the system.</w:t>
      </w:r>
    </w:p>
    <w:p w14:paraId="348E8509" w14:textId="77777777" w:rsidR="00DB6E47" w:rsidRPr="00C62D32" w:rsidRDefault="00DB6E47" w:rsidP="005D18E7">
      <w:pPr>
        <w:pStyle w:val="Amain"/>
        <w:keepNext/>
      </w:pPr>
      <w:r w:rsidRPr="00C62D32">
        <w:tab/>
        <w:t>(3)</w:t>
      </w:r>
      <w:r w:rsidRPr="00C62D32">
        <w:tab/>
        <w:t>If TCA has made a report of apparent or suspected tampering to the Regulator under section 438, TCA must not disclose to any entity other than the Regulator the following—</w:t>
      </w:r>
    </w:p>
    <w:p w14:paraId="5A926F6D" w14:textId="77777777" w:rsidR="00DB6E47" w:rsidRPr="0070667A" w:rsidRDefault="00DB6E47" w:rsidP="00DB6E47">
      <w:pPr>
        <w:pStyle w:val="Apara"/>
      </w:pPr>
      <w:r w:rsidRPr="0070667A">
        <w:tab/>
        <w:t>(a)</w:t>
      </w:r>
      <w:r w:rsidRPr="0070667A">
        <w:tab/>
        <w:t>information that the report has been made;</w:t>
      </w:r>
    </w:p>
    <w:p w14:paraId="3EC99B8A" w14:textId="77777777" w:rsidR="00DB6E47" w:rsidRPr="0070667A" w:rsidRDefault="00DB6E47" w:rsidP="00DB6E47">
      <w:pPr>
        <w:pStyle w:val="Apara"/>
      </w:pPr>
      <w:r w:rsidRPr="0070667A">
        <w:tab/>
        <w:t>(b)</w:t>
      </w:r>
      <w:r w:rsidRPr="0070667A">
        <w:tab/>
        <w:t>information from which it could reasonably be inferred that TCA has made the report.</w:t>
      </w:r>
    </w:p>
    <w:p w14:paraId="5760C909" w14:textId="77777777" w:rsidR="00DB6E47" w:rsidRPr="006C3305" w:rsidRDefault="00DB6E47" w:rsidP="00DB6E47">
      <w:pPr>
        <w:pStyle w:val="Penalty"/>
      </w:pPr>
      <w:r w:rsidRPr="00D91CC2">
        <w:rPr>
          <w:rFonts w:cs="Times"/>
          <w:bCs/>
          <w:iCs/>
        </w:rPr>
        <w:t>Maximum penalty—$6000.</w:t>
      </w:r>
    </w:p>
    <w:p w14:paraId="370D382F" w14:textId="77777777" w:rsidR="00DB6E47" w:rsidRPr="00C62D32" w:rsidRDefault="00581CBC" w:rsidP="00DB6E47">
      <w:pPr>
        <w:pStyle w:val="Amain"/>
      </w:pPr>
      <w:r>
        <w:tab/>
        <w:t>(4)</w:t>
      </w:r>
      <w:r>
        <w:tab/>
        <w:t xml:space="preserve">Subsection (1) or </w:t>
      </w:r>
      <w:r w:rsidR="00DB6E47" w:rsidRPr="00C62D32">
        <w:t>(3)</w:t>
      </w:r>
      <w:r>
        <w:t xml:space="preserve"> </w:t>
      </w:r>
      <w:r w:rsidR="00DB6E47" w:rsidRPr="00C62D32">
        <w:t>does not apply if the disclosure of the information to which the subsection applies is authorised under another law.</w:t>
      </w:r>
    </w:p>
    <w:p w14:paraId="11313BB8" w14:textId="77777777" w:rsidR="00DB6E47" w:rsidRPr="003D647F" w:rsidRDefault="00DB6E47" w:rsidP="00DB6E47">
      <w:pPr>
        <w:pStyle w:val="PageBreak"/>
      </w:pPr>
      <w:r w:rsidRPr="003D647F">
        <w:br w:type="page"/>
      </w:r>
    </w:p>
    <w:p w14:paraId="28CCB0C0" w14:textId="77777777" w:rsidR="00DB6E47" w:rsidRPr="005E03F7" w:rsidRDefault="00DB6E47" w:rsidP="00DB6E47">
      <w:pPr>
        <w:pStyle w:val="AH2Part"/>
      </w:pPr>
      <w:bookmarkStart w:id="506" w:name="_Toc83625850"/>
      <w:r w:rsidRPr="005E03F7">
        <w:rPr>
          <w:rStyle w:val="CharPartNo"/>
        </w:rPr>
        <w:lastRenderedPageBreak/>
        <w:t xml:space="preserve">Part 7.6 </w:t>
      </w:r>
      <w:r w:rsidRPr="00A95F9A">
        <w:rPr>
          <w:rFonts w:ascii="Helvetica" w:hAnsi="Helvetica" w:cs="Helvetica"/>
          <w:iCs/>
          <w:szCs w:val="32"/>
        </w:rPr>
        <w:tab/>
      </w:r>
      <w:r w:rsidRPr="005E03F7">
        <w:rPr>
          <w:rStyle w:val="CharPartText"/>
          <w:rFonts w:ascii="Helvetica" w:hAnsi="Helvetica" w:cs="Helvetica"/>
          <w:iCs/>
          <w:szCs w:val="32"/>
        </w:rPr>
        <w:t xml:space="preserve">Powers, duties and obligations of intelligent access </w:t>
      </w:r>
      <w:r w:rsidR="00F425DD" w:rsidRPr="005E03F7">
        <w:rPr>
          <w:rStyle w:val="CharPartText"/>
          <w:rFonts w:ascii="Helvetica" w:hAnsi="Helvetica" w:cs="Helvetica"/>
          <w:iCs/>
          <w:szCs w:val="32"/>
        </w:rPr>
        <w:t xml:space="preserve">program </w:t>
      </w:r>
      <w:r w:rsidRPr="005E03F7">
        <w:rPr>
          <w:rStyle w:val="CharPartText"/>
          <w:rFonts w:ascii="Helvetica" w:hAnsi="Helvetica" w:cs="Helvetica"/>
          <w:iCs/>
          <w:szCs w:val="32"/>
        </w:rPr>
        <w:t>auditors</w:t>
      </w:r>
      <w:bookmarkEnd w:id="506"/>
    </w:p>
    <w:p w14:paraId="4FA58459" w14:textId="77777777" w:rsidR="00DB6E47" w:rsidRPr="007E1F9A" w:rsidRDefault="00DB6E47" w:rsidP="00DB6E47">
      <w:pPr>
        <w:pStyle w:val="AH5Sec"/>
      </w:pPr>
      <w:bookmarkStart w:id="507" w:name="_Toc83625851"/>
      <w:r w:rsidRPr="005E03F7">
        <w:rPr>
          <w:rStyle w:val="CharSectNo"/>
        </w:rPr>
        <w:t>440</w:t>
      </w:r>
      <w:r w:rsidRPr="007E1F9A">
        <w:tab/>
      </w:r>
      <w:r w:rsidRPr="007E1F9A">
        <w:rPr>
          <w:rFonts w:ascii="Helvetica" w:hAnsi="Helvetica" w:cs="Helvetica"/>
          <w:iCs/>
        </w:rPr>
        <w:t xml:space="preserve">Powers to collect and hold intelligent access </w:t>
      </w:r>
      <w:r w:rsidR="00CF4ED6">
        <w:rPr>
          <w:rFonts w:ascii="Helvetica" w:hAnsi="Helvetica" w:cs="Helvetica"/>
          <w:iCs/>
        </w:rPr>
        <w:t xml:space="preserve">program </w:t>
      </w:r>
      <w:r w:rsidRPr="007E1F9A">
        <w:rPr>
          <w:rFonts w:ascii="Helvetica" w:hAnsi="Helvetica" w:cs="Helvetica"/>
          <w:iCs/>
        </w:rPr>
        <w:t>information</w:t>
      </w:r>
      <w:bookmarkEnd w:id="507"/>
    </w:p>
    <w:p w14:paraId="1BD338EE" w14:textId="77777777" w:rsidR="00DB6E47" w:rsidRPr="00C62D32" w:rsidRDefault="00DB6E47" w:rsidP="00DB6E47">
      <w:pPr>
        <w:pStyle w:val="Amainreturn"/>
      </w:pPr>
      <w:r w:rsidRPr="00C62D32">
        <w:t xml:space="preserve">An intelligent access </w:t>
      </w:r>
      <w:r w:rsidR="00DA1F96">
        <w:t xml:space="preserve">program </w:t>
      </w:r>
      <w:r w:rsidRPr="00C62D32">
        <w:t xml:space="preserve">auditor may collect and hold intelligent access </w:t>
      </w:r>
      <w:r w:rsidR="00CF4ED6">
        <w:t xml:space="preserve">program </w:t>
      </w:r>
      <w:r w:rsidRPr="00C62D32">
        <w:t xml:space="preserve">information for conducting an intelligent access </w:t>
      </w:r>
      <w:r w:rsidR="00461C89">
        <w:t xml:space="preserve">program </w:t>
      </w:r>
      <w:r w:rsidRPr="00C62D32">
        <w:t>audit.</w:t>
      </w:r>
    </w:p>
    <w:p w14:paraId="113BB9D6" w14:textId="77777777" w:rsidR="00DB6E47" w:rsidRPr="007E1F9A" w:rsidRDefault="00DB6E47" w:rsidP="00DB6E47">
      <w:pPr>
        <w:pStyle w:val="AH5Sec"/>
      </w:pPr>
      <w:bookmarkStart w:id="508" w:name="_Toc83625852"/>
      <w:r w:rsidRPr="005E03F7">
        <w:rPr>
          <w:rStyle w:val="CharSectNo"/>
        </w:rPr>
        <w:t>441</w:t>
      </w:r>
      <w:r w:rsidRPr="007E1F9A">
        <w:tab/>
      </w:r>
      <w:r w:rsidRPr="007E1F9A">
        <w:rPr>
          <w:rFonts w:ascii="Helvetica" w:hAnsi="Helvetica" w:cs="Helvetica"/>
          <w:iCs/>
        </w:rPr>
        <w:t xml:space="preserve">Collecting intelligent access </w:t>
      </w:r>
      <w:r w:rsidR="00CF4ED6">
        <w:rPr>
          <w:rFonts w:ascii="Helvetica" w:hAnsi="Helvetica" w:cs="Helvetica"/>
          <w:iCs/>
        </w:rPr>
        <w:t xml:space="preserve">program </w:t>
      </w:r>
      <w:r w:rsidRPr="007E1F9A">
        <w:rPr>
          <w:rFonts w:ascii="Helvetica" w:hAnsi="Helvetica" w:cs="Helvetica"/>
          <w:iCs/>
        </w:rPr>
        <w:t>information</w:t>
      </w:r>
      <w:bookmarkEnd w:id="508"/>
    </w:p>
    <w:p w14:paraId="3B550323" w14:textId="77777777" w:rsidR="00DB6E47" w:rsidRPr="00C62D32" w:rsidRDefault="00DB6E47" w:rsidP="00DB6E47">
      <w:pPr>
        <w:pStyle w:val="Amain"/>
      </w:pPr>
      <w:r w:rsidRPr="00C62D32">
        <w:tab/>
        <w:t>(1)</w:t>
      </w:r>
      <w:r w:rsidRPr="00C62D32">
        <w:tab/>
        <w:t xml:space="preserve">An intelligent access </w:t>
      </w:r>
      <w:r w:rsidR="00DA1F96">
        <w:t xml:space="preserve">program </w:t>
      </w:r>
      <w:r w:rsidRPr="00C62D32">
        <w:t xml:space="preserve">auditor must </w:t>
      </w:r>
      <w:r w:rsidR="00566E32" w:rsidRPr="003323FC">
        <w:t>ensure, so far as is reasonably practicable,</w:t>
      </w:r>
      <w:r w:rsidRPr="00C62D32">
        <w:t xml:space="preserve"> intelligent access </w:t>
      </w:r>
      <w:r w:rsidR="00CF4ED6">
        <w:t xml:space="preserve">program </w:t>
      </w:r>
      <w:r w:rsidRPr="00C62D32">
        <w:t>information the auditor collects—</w:t>
      </w:r>
    </w:p>
    <w:p w14:paraId="476618A0" w14:textId="77777777" w:rsidR="00DB6E47" w:rsidRPr="0070667A" w:rsidRDefault="00DB6E47" w:rsidP="00DB6E47">
      <w:pPr>
        <w:pStyle w:val="Apara"/>
      </w:pPr>
      <w:r w:rsidRPr="0070667A">
        <w:tab/>
        <w:t>(a)</w:t>
      </w:r>
      <w:r w:rsidRPr="0070667A">
        <w:tab/>
        <w:t>is necessary for the purpose for which it is collected or a directly related purpose; and</w:t>
      </w:r>
    </w:p>
    <w:p w14:paraId="32CB93D5" w14:textId="77777777" w:rsidR="00DB6E47" w:rsidRPr="0070667A" w:rsidRDefault="00DB6E47" w:rsidP="00DB6E47">
      <w:pPr>
        <w:pStyle w:val="Apara"/>
      </w:pPr>
      <w:r w:rsidRPr="0070667A">
        <w:tab/>
        <w:t>(b)</w:t>
      </w:r>
      <w:r w:rsidRPr="0070667A">
        <w:tab/>
        <w:t>is not excessive for that purpose; and</w:t>
      </w:r>
    </w:p>
    <w:p w14:paraId="46F326D3" w14:textId="77777777" w:rsidR="00DB6E47" w:rsidRPr="0070667A" w:rsidRDefault="00DB6E47" w:rsidP="00DB6E47">
      <w:pPr>
        <w:pStyle w:val="Apara"/>
      </w:pPr>
      <w:r w:rsidRPr="0070667A">
        <w:tab/>
        <w:t>(c)</w:t>
      </w:r>
      <w:r w:rsidRPr="0070667A">
        <w:tab/>
        <w:t>is accurate, complete and up to date.</w:t>
      </w:r>
    </w:p>
    <w:p w14:paraId="79253B53" w14:textId="77777777" w:rsidR="00DB6E47" w:rsidRPr="006C3305" w:rsidRDefault="00DB6E47" w:rsidP="00DB6E47">
      <w:pPr>
        <w:pStyle w:val="Penalty"/>
      </w:pPr>
      <w:r w:rsidRPr="00D91CC2">
        <w:rPr>
          <w:rFonts w:cs="Times"/>
          <w:bCs/>
          <w:iCs/>
        </w:rPr>
        <w:t>Maximum penalty—$6000.</w:t>
      </w:r>
    </w:p>
    <w:p w14:paraId="2461D4B8" w14:textId="77777777" w:rsidR="00DB6E47" w:rsidRPr="00C62D32" w:rsidRDefault="00DB6E47" w:rsidP="00DB6E47">
      <w:pPr>
        <w:pStyle w:val="Amain"/>
      </w:pPr>
      <w:r w:rsidRPr="00C62D32">
        <w:tab/>
        <w:t>(2)</w:t>
      </w:r>
      <w:r w:rsidRPr="00C62D32">
        <w:tab/>
        <w:t xml:space="preserve">An intelligent access </w:t>
      </w:r>
      <w:r w:rsidR="00DA1F96">
        <w:t xml:space="preserve">program </w:t>
      </w:r>
      <w:r w:rsidRPr="00C62D32">
        <w:t xml:space="preserve">auditor must </w:t>
      </w:r>
      <w:r w:rsidR="00566E32" w:rsidRPr="003323FC">
        <w:t>ensure, so far as is reasonably practicable,</w:t>
      </w:r>
      <w:r w:rsidRPr="00C62D32">
        <w:t xml:space="preserve"> the collection of intelligent access </w:t>
      </w:r>
      <w:r w:rsidR="00CF4ED6">
        <w:t xml:space="preserve">program </w:t>
      </w:r>
      <w:r w:rsidRPr="00C62D32">
        <w:t>information by the auditor does not intrude to an unreasonable extent on the personal privacy of any individual to whom the information relates.</w:t>
      </w:r>
    </w:p>
    <w:p w14:paraId="582A4A2B" w14:textId="77777777" w:rsidR="00DB6E47" w:rsidRPr="006C3305" w:rsidRDefault="00DB6E47" w:rsidP="00DB6E47">
      <w:pPr>
        <w:pStyle w:val="Penalty"/>
      </w:pPr>
      <w:r w:rsidRPr="00D91CC2">
        <w:rPr>
          <w:rFonts w:cs="Times"/>
          <w:bCs/>
          <w:iCs/>
        </w:rPr>
        <w:t>Maximum penalty—$6000.</w:t>
      </w:r>
    </w:p>
    <w:p w14:paraId="696C3DB8" w14:textId="77777777" w:rsidR="00DB6E47" w:rsidRPr="007E1F9A" w:rsidRDefault="00DB6E47" w:rsidP="00DB6E47">
      <w:pPr>
        <w:pStyle w:val="AH5Sec"/>
      </w:pPr>
      <w:bookmarkStart w:id="509" w:name="_Toc83625853"/>
      <w:r w:rsidRPr="005E03F7">
        <w:rPr>
          <w:rStyle w:val="CharSectNo"/>
        </w:rPr>
        <w:lastRenderedPageBreak/>
        <w:t>442</w:t>
      </w:r>
      <w:r w:rsidRPr="007E1F9A">
        <w:tab/>
      </w:r>
      <w:r w:rsidRPr="007E1F9A">
        <w:rPr>
          <w:rFonts w:ascii="Helvetica" w:hAnsi="Helvetica" w:cs="Helvetica"/>
          <w:iCs/>
        </w:rPr>
        <w:t xml:space="preserve">Protecting intelligent access </w:t>
      </w:r>
      <w:r w:rsidR="00CF4ED6">
        <w:rPr>
          <w:rFonts w:ascii="Helvetica" w:hAnsi="Helvetica" w:cs="Helvetica"/>
          <w:iCs/>
        </w:rPr>
        <w:t xml:space="preserve">program </w:t>
      </w:r>
      <w:r w:rsidRPr="007E1F9A">
        <w:rPr>
          <w:rFonts w:ascii="Helvetica" w:hAnsi="Helvetica" w:cs="Helvetica"/>
          <w:iCs/>
        </w:rPr>
        <w:t>information collected</w:t>
      </w:r>
      <w:bookmarkEnd w:id="509"/>
    </w:p>
    <w:p w14:paraId="78889D79" w14:textId="77777777" w:rsidR="00DB6E47" w:rsidRPr="00C62D32" w:rsidRDefault="00DB6E47" w:rsidP="00D63BA6">
      <w:pPr>
        <w:pStyle w:val="Amainreturn"/>
        <w:keepLines/>
      </w:pPr>
      <w:r w:rsidRPr="00C62D32">
        <w:t xml:space="preserve">An intelligent access </w:t>
      </w:r>
      <w:r w:rsidR="00DA1F96">
        <w:t xml:space="preserve">program </w:t>
      </w:r>
      <w:r w:rsidRPr="00C62D32">
        <w:t xml:space="preserve">auditor must </w:t>
      </w:r>
      <w:r w:rsidR="00566E32" w:rsidRPr="003323FC">
        <w:t>ensure, so far as is reasonably practicable, intelligent access</w:t>
      </w:r>
      <w:r w:rsidR="007C3AC0">
        <w:t xml:space="preserve"> program</w:t>
      </w:r>
      <w:r w:rsidR="00566E32" w:rsidRPr="003323FC">
        <w:t xml:space="preserve"> information collected by the auditor is protected</w:t>
      </w:r>
      <w:r w:rsidRPr="00C62D32">
        <w:t xml:space="preserve"> against unauthorised access, unauthorised use, misuse, loss, modification or unauthorised disclosure.</w:t>
      </w:r>
    </w:p>
    <w:p w14:paraId="2C0E1ECC" w14:textId="77777777" w:rsidR="00DB6E47" w:rsidRPr="006C3305" w:rsidRDefault="00BD08BE" w:rsidP="00DB6E47">
      <w:pPr>
        <w:pStyle w:val="Penalty"/>
      </w:pPr>
      <w:r>
        <w:rPr>
          <w:rFonts w:cs="Times"/>
          <w:bCs/>
          <w:iCs/>
        </w:rPr>
        <w:t>Maximum penalty—$20</w:t>
      </w:r>
      <w:r w:rsidR="00DB6E47" w:rsidRPr="00D91CC2">
        <w:rPr>
          <w:rFonts w:cs="Times"/>
          <w:bCs/>
          <w:iCs/>
        </w:rPr>
        <w:t>000.</w:t>
      </w:r>
    </w:p>
    <w:p w14:paraId="34C04B0E" w14:textId="77777777" w:rsidR="00DB6E47" w:rsidRPr="007E1F9A" w:rsidRDefault="00DB6E47" w:rsidP="00DB6E47">
      <w:pPr>
        <w:pStyle w:val="AH5Sec"/>
      </w:pPr>
      <w:bookmarkStart w:id="510" w:name="_Toc83625854"/>
      <w:r w:rsidRPr="005E03F7">
        <w:rPr>
          <w:rStyle w:val="CharSectNo"/>
        </w:rPr>
        <w:t>443</w:t>
      </w:r>
      <w:r w:rsidRPr="007E1F9A">
        <w:tab/>
      </w:r>
      <w:r w:rsidRPr="007E1F9A">
        <w:rPr>
          <w:rFonts w:ascii="Helvetica" w:hAnsi="Helvetica" w:cs="Helvetica"/>
          <w:iCs/>
        </w:rPr>
        <w:t>Making individuals aware of personal information held</w:t>
      </w:r>
      <w:bookmarkEnd w:id="510"/>
    </w:p>
    <w:p w14:paraId="500C34D9" w14:textId="77777777" w:rsidR="00DB6E47" w:rsidRPr="00C62D32" w:rsidRDefault="00DB6E47" w:rsidP="00DB6E47">
      <w:pPr>
        <w:pStyle w:val="Amain"/>
      </w:pPr>
      <w:r w:rsidRPr="00C62D32">
        <w:tab/>
        <w:t>(1)</w:t>
      </w:r>
      <w:r w:rsidRPr="00C62D32">
        <w:tab/>
        <w:t xml:space="preserve">If asked by an individual about whom an intelligent access </w:t>
      </w:r>
      <w:r w:rsidR="00B445A6">
        <w:t xml:space="preserve">program </w:t>
      </w:r>
      <w:r w:rsidRPr="00C62D32">
        <w:t>auditor holds personal information, the auditor must, within 28 days after receiving the request, give the individual the following information if the auditor can reasonably give the information—</w:t>
      </w:r>
    </w:p>
    <w:p w14:paraId="7F543DB9" w14:textId="77777777" w:rsidR="00DB6E47" w:rsidRPr="0070667A" w:rsidRDefault="00DB6E47" w:rsidP="00DB6E47">
      <w:pPr>
        <w:pStyle w:val="Apara"/>
      </w:pPr>
      <w:r w:rsidRPr="0070667A">
        <w:tab/>
        <w:t>(a)</w:t>
      </w:r>
      <w:r w:rsidRPr="0070667A">
        <w:tab/>
        <w:t>the kind of information the auditor holds about the individual;</w:t>
      </w:r>
    </w:p>
    <w:p w14:paraId="5DD0DAB1" w14:textId="77777777" w:rsidR="00DB6E47" w:rsidRPr="0070667A" w:rsidRDefault="00DB6E47" w:rsidP="00DB6E47">
      <w:pPr>
        <w:pStyle w:val="Apara"/>
      </w:pPr>
      <w:r w:rsidRPr="0070667A">
        <w:tab/>
        <w:t>(b)</w:t>
      </w:r>
      <w:r w:rsidRPr="0070667A">
        <w:tab/>
        <w:t>the purpose for which the information is held;</w:t>
      </w:r>
    </w:p>
    <w:p w14:paraId="30629523" w14:textId="77777777" w:rsidR="00DB6E47" w:rsidRPr="0070667A" w:rsidRDefault="00DB6E47" w:rsidP="00DB6E47">
      <w:pPr>
        <w:pStyle w:val="Apara"/>
      </w:pPr>
      <w:r w:rsidRPr="0070667A">
        <w:tab/>
        <w:t>(c)</w:t>
      </w:r>
      <w:r w:rsidRPr="0070667A">
        <w:tab/>
        <w:t>the entities to whom the information may be disclosed;</w:t>
      </w:r>
    </w:p>
    <w:p w14:paraId="51003B94" w14:textId="77777777" w:rsidR="00DB6E47" w:rsidRPr="0070667A" w:rsidRDefault="00DB6E47" w:rsidP="00DB6E47">
      <w:pPr>
        <w:pStyle w:val="Apara"/>
      </w:pPr>
      <w:r w:rsidRPr="0070667A">
        <w:tab/>
        <w:t>(d)</w:t>
      </w:r>
      <w:r w:rsidRPr="0070667A">
        <w:tab/>
        <w:t>that, under this Chapter, the individual has rights of access to the information or to have the information changed to ensure it is accurate, complete and up to date;</w:t>
      </w:r>
    </w:p>
    <w:p w14:paraId="10FA6AC5" w14:textId="77777777" w:rsidR="00DB6E47" w:rsidRPr="0070667A" w:rsidRDefault="00DB6E47" w:rsidP="00DB6E47">
      <w:pPr>
        <w:pStyle w:val="Apara"/>
      </w:pPr>
      <w:r w:rsidRPr="0070667A">
        <w:tab/>
        <w:t>(e)</w:t>
      </w:r>
      <w:r w:rsidRPr="0070667A">
        <w:tab/>
        <w:t>how th</w:t>
      </w:r>
      <w:r w:rsidR="00581CBC">
        <w:t xml:space="preserve">e rights mentioned in paragraph </w:t>
      </w:r>
      <w:r w:rsidRPr="0070667A">
        <w:t>(d)</w:t>
      </w:r>
      <w:r w:rsidR="00581CBC">
        <w:t xml:space="preserve"> </w:t>
      </w:r>
      <w:r w:rsidRPr="0070667A">
        <w:t>can be exercised.</w:t>
      </w:r>
    </w:p>
    <w:p w14:paraId="71DEBE69" w14:textId="77777777" w:rsidR="00DB6E47" w:rsidRPr="006C3305" w:rsidRDefault="00DB6E47" w:rsidP="00DB6E47">
      <w:pPr>
        <w:pStyle w:val="Penalty"/>
      </w:pPr>
      <w:r w:rsidRPr="00D91CC2">
        <w:rPr>
          <w:rFonts w:cs="Times"/>
          <w:bCs/>
          <w:iCs/>
        </w:rPr>
        <w:t>Maximum penalty—$6000.</w:t>
      </w:r>
    </w:p>
    <w:p w14:paraId="093BC0DA" w14:textId="77777777" w:rsidR="00DB6E47" w:rsidRPr="00C62D32" w:rsidRDefault="00581CBC" w:rsidP="00DB6E47">
      <w:pPr>
        <w:pStyle w:val="Amain"/>
      </w:pPr>
      <w:r>
        <w:tab/>
        <w:t>(2)</w:t>
      </w:r>
      <w:r>
        <w:tab/>
        <w:t xml:space="preserve">Subsection </w:t>
      </w:r>
      <w:r w:rsidR="00DB6E47" w:rsidRPr="00C62D32">
        <w:t>(1)</w:t>
      </w:r>
      <w:r>
        <w:t xml:space="preserve"> </w:t>
      </w:r>
      <w:r w:rsidR="00DB6E47" w:rsidRPr="00C62D32">
        <w:t xml:space="preserve">does not require an intelligent access </w:t>
      </w:r>
      <w:r w:rsidR="00B445A6">
        <w:t xml:space="preserve">program </w:t>
      </w:r>
      <w:r w:rsidR="00DB6E47" w:rsidRPr="00C62D32">
        <w:t>auditor to inform an individual that a report under section 422, 423, 438, 451 or 452 exists or has been made.</w:t>
      </w:r>
    </w:p>
    <w:p w14:paraId="546224AA" w14:textId="77777777" w:rsidR="00DB6E47" w:rsidRPr="007E1F9A" w:rsidRDefault="00DB6E47" w:rsidP="00DB6E47">
      <w:pPr>
        <w:pStyle w:val="AH5Sec"/>
      </w:pPr>
      <w:bookmarkStart w:id="511" w:name="_Toc83625855"/>
      <w:r w:rsidRPr="005E03F7">
        <w:rPr>
          <w:rStyle w:val="CharSectNo"/>
        </w:rPr>
        <w:lastRenderedPageBreak/>
        <w:t>444</w:t>
      </w:r>
      <w:r w:rsidRPr="007E1F9A">
        <w:tab/>
      </w:r>
      <w:r w:rsidRPr="007E1F9A">
        <w:rPr>
          <w:rFonts w:ascii="Helvetica" w:hAnsi="Helvetica" w:cs="Helvetica"/>
          <w:iCs/>
        </w:rPr>
        <w:t>Giving individuals access to their personal information</w:t>
      </w:r>
      <w:bookmarkEnd w:id="511"/>
    </w:p>
    <w:p w14:paraId="542573CF" w14:textId="77777777" w:rsidR="00DB6E47" w:rsidRPr="00C62D32" w:rsidRDefault="00DB6E47" w:rsidP="00B03621">
      <w:pPr>
        <w:pStyle w:val="Amain"/>
        <w:keepNext/>
        <w:keepLines/>
      </w:pPr>
      <w:r w:rsidRPr="00C62D32">
        <w:tab/>
        <w:t>(1)</w:t>
      </w:r>
      <w:r w:rsidRPr="00C62D32">
        <w:tab/>
        <w:t xml:space="preserve">An intelligent access </w:t>
      </w:r>
      <w:r w:rsidR="00B445A6">
        <w:t xml:space="preserve">program </w:t>
      </w:r>
      <w:r w:rsidRPr="00C62D32">
        <w:t>auditor must, if asked by an individual about whom the auditor holds personal information, give the individual access to the information as soon as practicable and without cost.</w:t>
      </w:r>
    </w:p>
    <w:p w14:paraId="3BD8B52D" w14:textId="77777777" w:rsidR="00DB6E47" w:rsidRPr="006C3305" w:rsidRDefault="00DB6E47" w:rsidP="00DB6E47">
      <w:pPr>
        <w:pStyle w:val="Penalty"/>
      </w:pPr>
      <w:r w:rsidRPr="00D91CC2">
        <w:rPr>
          <w:rFonts w:cs="Times"/>
          <w:bCs/>
          <w:iCs/>
        </w:rPr>
        <w:t>Maximum penalty—$6000.</w:t>
      </w:r>
    </w:p>
    <w:p w14:paraId="03AB452F" w14:textId="77777777" w:rsidR="00DB6E47" w:rsidRPr="00C62D32" w:rsidRDefault="00581CBC" w:rsidP="00DB6E47">
      <w:pPr>
        <w:pStyle w:val="Amain"/>
      </w:pPr>
      <w:r>
        <w:tab/>
        <w:t>(2)</w:t>
      </w:r>
      <w:r>
        <w:tab/>
        <w:t xml:space="preserve">Subsection </w:t>
      </w:r>
      <w:r w:rsidR="00DB6E47" w:rsidRPr="00C62D32">
        <w:t>(1)</w:t>
      </w:r>
      <w:r>
        <w:t xml:space="preserve"> </w:t>
      </w:r>
      <w:r w:rsidR="00DB6E47" w:rsidRPr="00C62D32">
        <w:t xml:space="preserve">does not require an intelligent access </w:t>
      </w:r>
      <w:r w:rsidR="00B445A6">
        <w:t xml:space="preserve">program </w:t>
      </w:r>
      <w:r w:rsidR="00DB6E47" w:rsidRPr="00C62D32">
        <w:t>auditor to give an individual access to a report made under section 422, 423, 438, 451 or 452.</w:t>
      </w:r>
    </w:p>
    <w:p w14:paraId="5C89DAA3" w14:textId="77777777" w:rsidR="00DB6E47" w:rsidRPr="007E1F9A" w:rsidRDefault="00DB6E47" w:rsidP="00DB6E47">
      <w:pPr>
        <w:pStyle w:val="AH5Sec"/>
      </w:pPr>
      <w:bookmarkStart w:id="512" w:name="_Toc83625856"/>
      <w:r w:rsidRPr="005E03F7">
        <w:rPr>
          <w:rStyle w:val="CharSectNo"/>
        </w:rPr>
        <w:t>445</w:t>
      </w:r>
      <w:r w:rsidRPr="007E1F9A">
        <w:tab/>
      </w:r>
      <w:r w:rsidRPr="007E1F9A">
        <w:rPr>
          <w:rFonts w:ascii="Helvetica" w:hAnsi="Helvetica" w:cs="Helvetica"/>
          <w:iCs/>
        </w:rPr>
        <w:t>Correcting errors etc.</w:t>
      </w:r>
      <w:bookmarkEnd w:id="512"/>
    </w:p>
    <w:p w14:paraId="2F9592C1" w14:textId="77777777" w:rsidR="00DB6E47" w:rsidRPr="00C62D32" w:rsidRDefault="00DB6E47" w:rsidP="00DB6E47">
      <w:pPr>
        <w:pStyle w:val="Amain"/>
      </w:pPr>
      <w:r w:rsidRPr="00C62D32">
        <w:tab/>
        <w:t>(1)</w:t>
      </w:r>
      <w:r w:rsidRPr="00C62D32">
        <w:tab/>
        <w:t xml:space="preserve">This section applies if an individual about whom an intelligent access </w:t>
      </w:r>
      <w:r w:rsidR="00B445A6">
        <w:t xml:space="preserve">program </w:t>
      </w:r>
      <w:r w:rsidRPr="00C62D32">
        <w:t>auditor holds personal information asks the auditor to make a particular change to the personal information.</w:t>
      </w:r>
    </w:p>
    <w:p w14:paraId="182BD367" w14:textId="77777777" w:rsidR="00DB6E47" w:rsidRPr="00C62D32" w:rsidRDefault="00DB6E47" w:rsidP="00DB6E47">
      <w:pPr>
        <w:pStyle w:val="Amain"/>
      </w:pPr>
      <w:r w:rsidRPr="00C62D32">
        <w:tab/>
        <w:t>(2)</w:t>
      </w:r>
      <w:r w:rsidRPr="00C62D32">
        <w:tab/>
        <w:t xml:space="preserve">The intelligent access </w:t>
      </w:r>
      <w:r w:rsidR="00B445A6">
        <w:t xml:space="preserve">program </w:t>
      </w:r>
      <w:r w:rsidRPr="00C62D32">
        <w:t>auditor must make the change if the auditor is satisfied the change is appropriate to ensure the personal information is accurate, complete and up to date.</w:t>
      </w:r>
    </w:p>
    <w:p w14:paraId="6459CF5D" w14:textId="77777777" w:rsidR="00DB6E47" w:rsidRPr="006C3305" w:rsidRDefault="00DB6E47" w:rsidP="00DB6E47">
      <w:pPr>
        <w:pStyle w:val="Penalty"/>
      </w:pPr>
      <w:r w:rsidRPr="00D91CC2">
        <w:rPr>
          <w:rFonts w:cs="Times"/>
          <w:bCs/>
          <w:iCs/>
        </w:rPr>
        <w:t>Maximum penalty—$6000.</w:t>
      </w:r>
    </w:p>
    <w:p w14:paraId="6474FE6C" w14:textId="77777777" w:rsidR="00DB6E47" w:rsidRPr="00C62D32" w:rsidRDefault="00DB6E47" w:rsidP="00DB6E47">
      <w:pPr>
        <w:pStyle w:val="Amain"/>
      </w:pPr>
      <w:r w:rsidRPr="00C62D32">
        <w:tab/>
        <w:t>(3)</w:t>
      </w:r>
      <w:r w:rsidRPr="00C62D32">
        <w:tab/>
        <w:t xml:space="preserve">If the intelligent access </w:t>
      </w:r>
      <w:r w:rsidR="00B445A6">
        <w:t xml:space="preserve">program </w:t>
      </w:r>
      <w:r w:rsidRPr="00C62D32">
        <w:t>auditor is not satisfied as mentioned in subsection (2), the auditor may refuse to comply with the request.</w:t>
      </w:r>
    </w:p>
    <w:p w14:paraId="775154B1" w14:textId="77777777" w:rsidR="00DB6E47" w:rsidRPr="00C62D32" w:rsidRDefault="00DB6E47" w:rsidP="00DB6E47">
      <w:pPr>
        <w:pStyle w:val="Amain"/>
      </w:pPr>
      <w:r w:rsidRPr="00C62D32">
        <w:tab/>
        <w:t>(4)</w:t>
      </w:r>
      <w:r w:rsidRPr="00C62D32">
        <w:tab/>
        <w:t xml:space="preserve">If, under subsection (3), an intelligent access </w:t>
      </w:r>
      <w:r w:rsidR="00B445A6">
        <w:t xml:space="preserve">program </w:t>
      </w:r>
      <w:r w:rsidRPr="00C62D32">
        <w:t>auditor refuses to comply with an individual’s request, the auditor must—</w:t>
      </w:r>
    </w:p>
    <w:p w14:paraId="062AF3E1" w14:textId="77777777" w:rsidR="00DB6E47" w:rsidRPr="0070667A" w:rsidRDefault="00DB6E47" w:rsidP="00DB6E47">
      <w:pPr>
        <w:pStyle w:val="Apara"/>
      </w:pPr>
      <w:r w:rsidRPr="0070667A">
        <w:tab/>
        <w:t>(a)</w:t>
      </w:r>
      <w:r w:rsidRPr="0070667A">
        <w:tab/>
        <w:t>give the individual a notice stating—</w:t>
      </w:r>
    </w:p>
    <w:p w14:paraId="38DAAFAB" w14:textId="77777777" w:rsidR="00DB6E47" w:rsidRPr="00516F02" w:rsidRDefault="00DB6E47" w:rsidP="00DB6E47">
      <w:pPr>
        <w:pStyle w:val="Asubpara"/>
      </w:pPr>
      <w:r w:rsidRPr="00516F02">
        <w:tab/>
        <w:t>(i)</w:t>
      </w:r>
      <w:r w:rsidRPr="00516F02">
        <w:tab/>
        <w:t>the auditor’s reasons for refusing; and</w:t>
      </w:r>
    </w:p>
    <w:p w14:paraId="3891FE0D" w14:textId="77777777" w:rsidR="00DB6E47" w:rsidRPr="00516F02" w:rsidRDefault="00DB6E47" w:rsidP="00DB6E47">
      <w:pPr>
        <w:pStyle w:val="Asubpara"/>
      </w:pPr>
      <w:r w:rsidRPr="00516F02">
        <w:tab/>
        <w:t>(ii)</w:t>
      </w:r>
      <w:r w:rsidRPr="00516F02">
        <w:tab/>
        <w:t>that the individual may ask the auditor to attach to or include with the personal information the individual’s request or a record of it; and</w:t>
      </w:r>
    </w:p>
    <w:p w14:paraId="53CC04C6" w14:textId="77777777" w:rsidR="00DB6E47" w:rsidRPr="0070667A" w:rsidRDefault="00DB6E47" w:rsidP="00B03621">
      <w:pPr>
        <w:pStyle w:val="Apara"/>
        <w:keepNext/>
      </w:pPr>
      <w:r w:rsidRPr="0070667A">
        <w:lastRenderedPageBreak/>
        <w:tab/>
        <w:t>(b)</w:t>
      </w:r>
      <w:r w:rsidRPr="0070667A">
        <w:tab/>
        <w:t>if asked by the individual, attach to or include with the personal information the request or a record of the request.</w:t>
      </w:r>
    </w:p>
    <w:p w14:paraId="54E007C8" w14:textId="77777777" w:rsidR="00DB6E47" w:rsidRPr="006C3305" w:rsidRDefault="00DB6E47" w:rsidP="00DB6E47">
      <w:pPr>
        <w:pStyle w:val="Penalty"/>
      </w:pPr>
      <w:r w:rsidRPr="00D91CC2">
        <w:rPr>
          <w:rFonts w:cs="Times"/>
          <w:bCs/>
          <w:iCs/>
        </w:rPr>
        <w:t>Maximum penalty—$6000.</w:t>
      </w:r>
    </w:p>
    <w:p w14:paraId="3197540E" w14:textId="77777777" w:rsidR="00DB6E47" w:rsidRPr="007E1F9A" w:rsidRDefault="00DB6E47" w:rsidP="00DB6E47">
      <w:pPr>
        <w:pStyle w:val="AH5Sec"/>
      </w:pPr>
      <w:bookmarkStart w:id="513" w:name="_Toc83625857"/>
      <w:r w:rsidRPr="005E03F7">
        <w:rPr>
          <w:rStyle w:val="CharSectNo"/>
        </w:rPr>
        <w:t>446</w:t>
      </w:r>
      <w:r w:rsidRPr="007E1F9A">
        <w:tab/>
      </w:r>
      <w:r w:rsidRPr="007E1F9A">
        <w:rPr>
          <w:rFonts w:ascii="Helvetica" w:hAnsi="Helvetica" w:cs="Helvetica"/>
          <w:iCs/>
        </w:rPr>
        <w:t xml:space="preserve">General restriction on use and disclosure of intelligent access </w:t>
      </w:r>
      <w:r w:rsidR="00CF4ED6">
        <w:rPr>
          <w:rFonts w:ascii="Helvetica" w:hAnsi="Helvetica" w:cs="Helvetica"/>
          <w:iCs/>
        </w:rPr>
        <w:t xml:space="preserve">program </w:t>
      </w:r>
      <w:r w:rsidRPr="007E1F9A">
        <w:rPr>
          <w:rFonts w:ascii="Helvetica" w:hAnsi="Helvetica" w:cs="Helvetica"/>
          <w:iCs/>
        </w:rPr>
        <w:t>information</w:t>
      </w:r>
      <w:bookmarkEnd w:id="513"/>
    </w:p>
    <w:p w14:paraId="1580731B" w14:textId="77777777" w:rsidR="00DB6E47" w:rsidRPr="00C62D32" w:rsidRDefault="00DB6E47" w:rsidP="00DB6E47">
      <w:pPr>
        <w:pStyle w:val="Amainreturn"/>
      </w:pPr>
      <w:r w:rsidRPr="00C62D32">
        <w:t xml:space="preserve">An intelligent access </w:t>
      </w:r>
      <w:r w:rsidR="00B445A6">
        <w:t xml:space="preserve">program </w:t>
      </w:r>
      <w:r w:rsidRPr="00C62D32">
        <w:t>auditor must not use or disclose intelligent access</w:t>
      </w:r>
      <w:r w:rsidR="00CF4ED6">
        <w:t xml:space="preserve"> program</w:t>
      </w:r>
      <w:r w:rsidRPr="00C62D32">
        <w:t xml:space="preserve"> information other than as required or authorised under this Law or another law.</w:t>
      </w:r>
    </w:p>
    <w:p w14:paraId="7BCC9A5D" w14:textId="77777777" w:rsidR="00DB6E47" w:rsidRPr="006C3305" w:rsidRDefault="00DB6E47" w:rsidP="00DB6E47">
      <w:pPr>
        <w:pStyle w:val="Penalty"/>
      </w:pPr>
      <w:r w:rsidRPr="00D91CC2">
        <w:rPr>
          <w:rFonts w:cs="Times"/>
          <w:bCs/>
          <w:iCs/>
        </w:rPr>
        <w:t>Maximum penalty—$</w:t>
      </w:r>
      <w:r w:rsidR="00BD08BE">
        <w:rPr>
          <w:rFonts w:cs="Times"/>
          <w:bCs/>
          <w:iCs/>
        </w:rPr>
        <w:t>20</w:t>
      </w:r>
      <w:r w:rsidRPr="00D91CC2">
        <w:rPr>
          <w:rFonts w:cs="Times"/>
          <w:bCs/>
          <w:iCs/>
        </w:rPr>
        <w:t>000.</w:t>
      </w:r>
    </w:p>
    <w:p w14:paraId="734ACD87" w14:textId="77777777" w:rsidR="00DB6E47" w:rsidRPr="007E1F9A" w:rsidRDefault="00DB6E47" w:rsidP="00DB6E47">
      <w:pPr>
        <w:pStyle w:val="AH5Sec"/>
      </w:pPr>
      <w:bookmarkStart w:id="514" w:name="_Toc83625858"/>
      <w:r w:rsidRPr="005E03F7">
        <w:rPr>
          <w:rStyle w:val="CharSectNo"/>
        </w:rPr>
        <w:t>447</w:t>
      </w:r>
      <w:r w:rsidRPr="007E1F9A">
        <w:tab/>
      </w:r>
      <w:r w:rsidRPr="007E1F9A">
        <w:rPr>
          <w:rFonts w:ascii="Helvetica" w:hAnsi="Helvetica" w:cs="Helvetica"/>
          <w:iCs/>
        </w:rPr>
        <w:t xml:space="preserve">Powers to use and disclose intelligent access </w:t>
      </w:r>
      <w:r w:rsidR="00CF4ED6">
        <w:rPr>
          <w:rFonts w:ascii="Helvetica" w:hAnsi="Helvetica" w:cs="Helvetica"/>
          <w:iCs/>
        </w:rPr>
        <w:t xml:space="preserve">program </w:t>
      </w:r>
      <w:r w:rsidRPr="007E1F9A">
        <w:rPr>
          <w:rFonts w:ascii="Helvetica" w:hAnsi="Helvetica" w:cs="Helvetica"/>
          <w:iCs/>
        </w:rPr>
        <w:t>information</w:t>
      </w:r>
      <w:bookmarkEnd w:id="514"/>
    </w:p>
    <w:p w14:paraId="17BBBC0A" w14:textId="77777777" w:rsidR="00DB6E47" w:rsidRPr="00C62D32" w:rsidRDefault="00DB6E47" w:rsidP="00DB6E47">
      <w:pPr>
        <w:pStyle w:val="Amain"/>
      </w:pPr>
      <w:r w:rsidRPr="00C62D32">
        <w:tab/>
        <w:t>(1)</w:t>
      </w:r>
      <w:r w:rsidRPr="00C62D32">
        <w:tab/>
        <w:t>An intelligent access</w:t>
      </w:r>
      <w:r w:rsidR="00B445A6">
        <w:t xml:space="preserve"> program</w:t>
      </w:r>
      <w:r w:rsidRPr="00C62D32">
        <w:t xml:space="preserve"> auditor may use and disclose intelligent access </w:t>
      </w:r>
      <w:r w:rsidR="00CF4ED6">
        <w:t xml:space="preserve">program </w:t>
      </w:r>
      <w:r w:rsidRPr="00C62D32">
        <w:t>information for—</w:t>
      </w:r>
    </w:p>
    <w:p w14:paraId="18299930" w14:textId="77777777" w:rsidR="00DB6E47" w:rsidRPr="0070667A" w:rsidRDefault="00DB6E47" w:rsidP="00DB6E47">
      <w:pPr>
        <w:pStyle w:val="Apara"/>
      </w:pPr>
      <w:r w:rsidRPr="0070667A">
        <w:tab/>
        <w:t>(a)</w:t>
      </w:r>
      <w:r w:rsidRPr="0070667A">
        <w:tab/>
        <w:t xml:space="preserve">conducting an intelligent access </w:t>
      </w:r>
      <w:r w:rsidR="00B2046E">
        <w:t xml:space="preserve">program </w:t>
      </w:r>
      <w:r w:rsidRPr="0070667A">
        <w:t>audit; or</w:t>
      </w:r>
    </w:p>
    <w:p w14:paraId="0EE679D7" w14:textId="77777777" w:rsidR="00DB6E47" w:rsidRPr="0070667A" w:rsidRDefault="00DB6E47" w:rsidP="00DB6E47">
      <w:pPr>
        <w:pStyle w:val="Apara"/>
      </w:pPr>
      <w:r w:rsidRPr="0070667A">
        <w:tab/>
        <w:t>(b)</w:t>
      </w:r>
      <w:r w:rsidRPr="0070667A">
        <w:tab/>
        <w:t>reporting, to TCA, any of the following—</w:t>
      </w:r>
    </w:p>
    <w:p w14:paraId="3ADCF7CF" w14:textId="77777777" w:rsidR="00DB6E47" w:rsidRPr="00516F02" w:rsidRDefault="00DB6E47" w:rsidP="00DB6E47">
      <w:pPr>
        <w:pStyle w:val="Asubpara"/>
      </w:pPr>
      <w:r w:rsidRPr="00516F02">
        <w:tab/>
        <w:t>(i)</w:t>
      </w:r>
      <w:r w:rsidRPr="00516F02">
        <w:tab/>
        <w:t xml:space="preserve">a relevant contravention for an intelligent access </w:t>
      </w:r>
      <w:r w:rsidR="00B75569">
        <w:t xml:space="preserve">program </w:t>
      </w:r>
      <w:r w:rsidRPr="00516F02">
        <w:t>vehicle;</w:t>
      </w:r>
    </w:p>
    <w:p w14:paraId="4A1B9DB6" w14:textId="77777777" w:rsidR="00DB6E47" w:rsidRPr="00516F02" w:rsidRDefault="00DB6E47" w:rsidP="00DB6E47">
      <w:pPr>
        <w:pStyle w:val="Asubpara"/>
      </w:pPr>
      <w:r w:rsidRPr="00516F02">
        <w:tab/>
        <w:t>(ii)</w:t>
      </w:r>
      <w:r w:rsidRPr="00516F02">
        <w:tab/>
        <w:t xml:space="preserve">tampering or suspected tampering with an approved intelligent transport system by an operator of an intelligent access </w:t>
      </w:r>
      <w:r w:rsidR="00B75569">
        <w:t xml:space="preserve">program </w:t>
      </w:r>
      <w:r w:rsidRPr="00516F02">
        <w:t>vehicle;</w:t>
      </w:r>
    </w:p>
    <w:p w14:paraId="207E1CF8" w14:textId="77777777" w:rsidR="00DB6E47" w:rsidRPr="00516F02" w:rsidRDefault="00DB6E47" w:rsidP="00DB6E47">
      <w:pPr>
        <w:pStyle w:val="Asubpara"/>
      </w:pPr>
      <w:r>
        <w:tab/>
      </w:r>
      <w:r w:rsidRPr="00516F02">
        <w:t>(iii)</w:t>
      </w:r>
      <w:r w:rsidRPr="00516F02">
        <w:tab/>
        <w:t xml:space="preserve">tampering or suspected tampering with an approved intelligent transport system by an intelligent access </w:t>
      </w:r>
      <w:r w:rsidR="008701E6">
        <w:t xml:space="preserve">program </w:t>
      </w:r>
      <w:r w:rsidRPr="00516F02">
        <w:t>service provider;</w:t>
      </w:r>
    </w:p>
    <w:p w14:paraId="212A255F" w14:textId="77777777" w:rsidR="00DB6E47" w:rsidRPr="00516F02" w:rsidRDefault="00DB6E47" w:rsidP="00DB6E47">
      <w:pPr>
        <w:pStyle w:val="Asubpara"/>
      </w:pPr>
      <w:r w:rsidRPr="00516F02">
        <w:tab/>
        <w:t>(iv)</w:t>
      </w:r>
      <w:r w:rsidRPr="00516F02">
        <w:tab/>
        <w:t xml:space="preserve">a failure by an intelligent access </w:t>
      </w:r>
      <w:r w:rsidR="008701E6">
        <w:t xml:space="preserve">program </w:t>
      </w:r>
      <w:r w:rsidRPr="00516F02">
        <w:t>service provider to comply with the service provider’s obligations under this Chapter.</w:t>
      </w:r>
    </w:p>
    <w:p w14:paraId="68E867BB" w14:textId="77777777" w:rsidR="00DB6E47" w:rsidRPr="006C3305" w:rsidRDefault="00DB6E47" w:rsidP="00D63BA6">
      <w:pPr>
        <w:pStyle w:val="Amain"/>
        <w:keepLines/>
      </w:pPr>
      <w:r>
        <w:lastRenderedPageBreak/>
        <w:tab/>
        <w:t>(</w:t>
      </w:r>
      <w:r w:rsidRPr="006C3305">
        <w:t>2)</w:t>
      </w:r>
      <w:r w:rsidRPr="006C3305">
        <w:tab/>
        <w:t xml:space="preserve">An intelligent access </w:t>
      </w:r>
      <w:r w:rsidR="00B445A6">
        <w:t xml:space="preserve">program </w:t>
      </w:r>
      <w:r w:rsidRPr="006C3305">
        <w:t xml:space="preserve">auditor may disclose intelligent access </w:t>
      </w:r>
      <w:r w:rsidR="00930437">
        <w:t xml:space="preserve">program </w:t>
      </w:r>
      <w:r w:rsidRPr="006C3305">
        <w:t>information to the Regulator if the auditor is reasonably satisfied the information is relevant to the Regulator’s functions under this Law.</w:t>
      </w:r>
    </w:p>
    <w:p w14:paraId="36E04FF2" w14:textId="77777777" w:rsidR="00DB6E47" w:rsidRPr="006C3305" w:rsidRDefault="00DB6E47" w:rsidP="00DB6E47">
      <w:pPr>
        <w:pStyle w:val="Amain"/>
      </w:pPr>
      <w:r>
        <w:tab/>
        <w:t>(</w:t>
      </w:r>
      <w:r w:rsidRPr="006C3305">
        <w:t>3)</w:t>
      </w:r>
      <w:r w:rsidRPr="006C3305">
        <w:tab/>
        <w:t xml:space="preserve">An intelligent access </w:t>
      </w:r>
      <w:r w:rsidR="00B445A6">
        <w:t xml:space="preserve">program </w:t>
      </w:r>
      <w:r w:rsidRPr="006C3305">
        <w:t xml:space="preserve">auditor may disclose intelligent access </w:t>
      </w:r>
      <w:r w:rsidR="00930437">
        <w:t xml:space="preserve">program </w:t>
      </w:r>
      <w:r w:rsidRPr="006C3305">
        <w:t>information to TCA if the auditor is reasonably satisfied the information is relevant to TCA’s functions under this Chapter.</w:t>
      </w:r>
    </w:p>
    <w:p w14:paraId="5667B6AD" w14:textId="77777777" w:rsidR="00DB6E47" w:rsidRPr="006C3305" w:rsidRDefault="00DB6E47" w:rsidP="00DB6E47">
      <w:pPr>
        <w:pStyle w:val="Amain"/>
      </w:pPr>
      <w:r>
        <w:tab/>
        <w:t>(</w:t>
      </w:r>
      <w:r w:rsidRPr="006C3305">
        <w:t>4)</w:t>
      </w:r>
      <w:r w:rsidRPr="006C3305">
        <w:tab/>
        <w:t xml:space="preserve">An intelligent access </w:t>
      </w:r>
      <w:r w:rsidR="00B445A6">
        <w:t xml:space="preserve">program </w:t>
      </w:r>
      <w:r w:rsidRPr="006C3305">
        <w:t xml:space="preserve">auditor may disclose intelligent access </w:t>
      </w:r>
      <w:r w:rsidR="00930437">
        <w:t xml:space="preserve">program </w:t>
      </w:r>
      <w:r w:rsidRPr="006C3305">
        <w:t xml:space="preserve">information relating to a particular operator of an intelligent access </w:t>
      </w:r>
      <w:r w:rsidR="0089066C">
        <w:t xml:space="preserve">program </w:t>
      </w:r>
      <w:r w:rsidRPr="006C3305">
        <w:t>vehicle to the operator.</w:t>
      </w:r>
    </w:p>
    <w:p w14:paraId="63D7FACA" w14:textId="77777777" w:rsidR="00DB6E47" w:rsidRPr="006C3305" w:rsidRDefault="00DB6E47" w:rsidP="00DB6E47">
      <w:pPr>
        <w:pStyle w:val="Amain"/>
      </w:pPr>
      <w:r>
        <w:tab/>
        <w:t>(</w:t>
      </w:r>
      <w:r w:rsidRPr="006C3305">
        <w:t>5)</w:t>
      </w:r>
      <w:r w:rsidRPr="006C3305">
        <w:tab/>
        <w:t xml:space="preserve">An intelligent access </w:t>
      </w:r>
      <w:r w:rsidR="00B445A6">
        <w:t xml:space="preserve">program </w:t>
      </w:r>
      <w:r w:rsidRPr="006C3305">
        <w:t xml:space="preserve">auditor may use and disclose intelligent access </w:t>
      </w:r>
      <w:r w:rsidR="00930437">
        <w:t xml:space="preserve">program </w:t>
      </w:r>
      <w:r w:rsidRPr="006C3305">
        <w:t>information that is personal information with the written consent of the individual to whom the personal information relates.</w:t>
      </w:r>
    </w:p>
    <w:p w14:paraId="6FBCFF75" w14:textId="77777777" w:rsidR="00DB6E47" w:rsidRPr="006C3305" w:rsidRDefault="00DB6E47" w:rsidP="00DB6E47">
      <w:pPr>
        <w:pStyle w:val="Amain"/>
      </w:pPr>
      <w:r>
        <w:tab/>
        <w:t>(</w:t>
      </w:r>
      <w:r w:rsidRPr="006C3305">
        <w:t>6)</w:t>
      </w:r>
      <w:r w:rsidRPr="006C3305">
        <w:tab/>
        <w:t>This section is subject to section 453.</w:t>
      </w:r>
    </w:p>
    <w:p w14:paraId="40A110CF" w14:textId="77777777" w:rsidR="00DB6E47" w:rsidRPr="007E1F9A" w:rsidRDefault="00DB6E47" w:rsidP="00DB6E47">
      <w:pPr>
        <w:pStyle w:val="AH5Sec"/>
      </w:pPr>
      <w:bookmarkStart w:id="515" w:name="_Toc83625859"/>
      <w:r w:rsidRPr="005E03F7">
        <w:rPr>
          <w:rStyle w:val="CharSectNo"/>
        </w:rPr>
        <w:t>448</w:t>
      </w:r>
      <w:r w:rsidRPr="007E1F9A">
        <w:tab/>
      </w:r>
      <w:r w:rsidRPr="007E1F9A">
        <w:rPr>
          <w:rFonts w:ascii="Helvetica" w:hAnsi="Helvetica" w:cs="Helvetica"/>
          <w:iCs/>
        </w:rPr>
        <w:t xml:space="preserve">Restriction about intelligent access </w:t>
      </w:r>
      <w:r w:rsidR="0034426C">
        <w:rPr>
          <w:rFonts w:ascii="Helvetica" w:hAnsi="Helvetica" w:cs="Helvetica"/>
          <w:iCs/>
        </w:rPr>
        <w:t xml:space="preserve">program </w:t>
      </w:r>
      <w:r w:rsidRPr="007E1F9A">
        <w:rPr>
          <w:rFonts w:ascii="Helvetica" w:hAnsi="Helvetica" w:cs="Helvetica"/>
          <w:iCs/>
        </w:rPr>
        <w:t>information that may be used or disclosed</w:t>
      </w:r>
      <w:bookmarkEnd w:id="515"/>
    </w:p>
    <w:p w14:paraId="7E0E9EDA" w14:textId="77777777" w:rsidR="00DB6E47" w:rsidRPr="00C62D32" w:rsidRDefault="00DB6E47" w:rsidP="00DB6E47">
      <w:pPr>
        <w:pStyle w:val="Amainreturn"/>
      </w:pPr>
      <w:r w:rsidRPr="00C62D32">
        <w:t xml:space="preserve">An intelligent access </w:t>
      </w:r>
      <w:r w:rsidR="00B512EF">
        <w:t xml:space="preserve">program </w:t>
      </w:r>
      <w:r w:rsidRPr="00C62D32">
        <w:t xml:space="preserve">auditor must not use or disclose intelligent access </w:t>
      </w:r>
      <w:r w:rsidR="0034426C">
        <w:t xml:space="preserve">program </w:t>
      </w:r>
      <w:r w:rsidRPr="00C62D32">
        <w:t>information unless the auditor is reasonably satisfied, having regard to the purpose for which the information is to be used or disclosed, the information is accurate, complete and up to date.</w:t>
      </w:r>
    </w:p>
    <w:p w14:paraId="11F1003E" w14:textId="77777777" w:rsidR="00DB6E47" w:rsidRPr="006C3305" w:rsidRDefault="00DB6E47" w:rsidP="00DB6E47">
      <w:pPr>
        <w:pStyle w:val="Penalty"/>
      </w:pPr>
      <w:r w:rsidRPr="00D91CC2">
        <w:rPr>
          <w:rFonts w:cs="Times"/>
          <w:bCs/>
          <w:iCs/>
        </w:rPr>
        <w:t>Maximum penalty—$6000.</w:t>
      </w:r>
    </w:p>
    <w:p w14:paraId="65A3057D" w14:textId="77777777" w:rsidR="00DB6E47" w:rsidRPr="007E1F9A" w:rsidRDefault="00DB6E47" w:rsidP="00DB6E47">
      <w:pPr>
        <w:pStyle w:val="AH5Sec"/>
      </w:pPr>
      <w:bookmarkStart w:id="516" w:name="_Toc83625860"/>
      <w:r w:rsidRPr="005E03F7">
        <w:rPr>
          <w:rStyle w:val="CharSectNo"/>
        </w:rPr>
        <w:t>449</w:t>
      </w:r>
      <w:r w:rsidRPr="007E1F9A">
        <w:tab/>
      </w:r>
      <w:r w:rsidRPr="007E1F9A">
        <w:rPr>
          <w:rFonts w:ascii="Helvetica" w:hAnsi="Helvetica" w:cs="Helvetica"/>
          <w:iCs/>
        </w:rPr>
        <w:t xml:space="preserve">Keeping record of use or disclosure of intelligent access </w:t>
      </w:r>
      <w:r w:rsidR="0034426C">
        <w:rPr>
          <w:rFonts w:ascii="Helvetica" w:hAnsi="Helvetica" w:cs="Helvetica"/>
          <w:iCs/>
        </w:rPr>
        <w:t xml:space="preserve">program </w:t>
      </w:r>
      <w:r w:rsidRPr="007E1F9A">
        <w:rPr>
          <w:rFonts w:ascii="Helvetica" w:hAnsi="Helvetica" w:cs="Helvetica"/>
          <w:iCs/>
        </w:rPr>
        <w:t>information</w:t>
      </w:r>
      <w:bookmarkEnd w:id="516"/>
    </w:p>
    <w:p w14:paraId="3A168ABD" w14:textId="77777777" w:rsidR="00DB6E47" w:rsidRPr="00C62D32" w:rsidRDefault="00DB6E47" w:rsidP="00D63BA6">
      <w:pPr>
        <w:pStyle w:val="Amain"/>
        <w:keepNext/>
      </w:pPr>
      <w:r w:rsidRPr="00C62D32">
        <w:tab/>
        <w:t>(1)</w:t>
      </w:r>
      <w:r w:rsidRPr="00C62D32">
        <w:tab/>
        <w:t xml:space="preserve">If an intelligent access </w:t>
      </w:r>
      <w:r w:rsidR="00B445A6">
        <w:t xml:space="preserve">program </w:t>
      </w:r>
      <w:r w:rsidRPr="00C62D32">
        <w:t xml:space="preserve">auditor uses or discloses intelligent access </w:t>
      </w:r>
      <w:r w:rsidR="0034426C">
        <w:t xml:space="preserve">program </w:t>
      </w:r>
      <w:r w:rsidRPr="00C62D32">
        <w:t>information, the auditor must, within 7 days after the use or disclosure, make a record of the use or disclosure that—</w:t>
      </w:r>
    </w:p>
    <w:p w14:paraId="0DD557F2" w14:textId="77777777" w:rsidR="00DB6E47" w:rsidRPr="00516F02" w:rsidRDefault="00DB6E47" w:rsidP="00DB6E47">
      <w:pPr>
        <w:pStyle w:val="Asubpara"/>
      </w:pPr>
      <w:r w:rsidRPr="00516F02">
        <w:tab/>
        <w:t>(a)</w:t>
      </w:r>
      <w:r w:rsidRPr="00516F02">
        <w:tab/>
        <w:t>contains the information mentioned in subsection (2); and</w:t>
      </w:r>
    </w:p>
    <w:p w14:paraId="4C9B85E0" w14:textId="77777777" w:rsidR="00DB6E47" w:rsidRPr="00516F02" w:rsidRDefault="00DB6E47" w:rsidP="00CE4A4A">
      <w:pPr>
        <w:pStyle w:val="Asubpara"/>
        <w:keepNext/>
      </w:pPr>
      <w:r w:rsidRPr="00516F02">
        <w:lastRenderedPageBreak/>
        <w:tab/>
        <w:t>(b)</w:t>
      </w:r>
      <w:r w:rsidRPr="00516F02">
        <w:tab/>
        <w:t>is in a form that ensures the record is readily accessible by an authorised officer at the place where it is kept.</w:t>
      </w:r>
    </w:p>
    <w:p w14:paraId="056BCD9A" w14:textId="77777777" w:rsidR="00DB6E47" w:rsidRPr="006C3305" w:rsidRDefault="00DB6E47" w:rsidP="00DB6E47">
      <w:pPr>
        <w:pStyle w:val="Penalty"/>
      </w:pPr>
      <w:r w:rsidRPr="00D91CC2">
        <w:rPr>
          <w:rFonts w:cs="Times"/>
          <w:bCs/>
          <w:iCs/>
        </w:rPr>
        <w:t>Maximum penalty—$6000.</w:t>
      </w:r>
    </w:p>
    <w:p w14:paraId="13BB3DA7" w14:textId="77777777" w:rsidR="00DB6E47" w:rsidRPr="00C62D32" w:rsidRDefault="00DB6E47" w:rsidP="00DB6E47">
      <w:pPr>
        <w:pStyle w:val="Amain"/>
      </w:pPr>
      <w:r w:rsidRPr="00C62D32">
        <w:tab/>
        <w:t>(2)</w:t>
      </w:r>
      <w:r w:rsidRPr="00C62D32">
        <w:tab/>
        <w:t>The record must contain the following information—</w:t>
      </w:r>
    </w:p>
    <w:p w14:paraId="1138E5B2" w14:textId="77777777" w:rsidR="00DB6E47" w:rsidRPr="0070667A" w:rsidRDefault="00DB6E47" w:rsidP="00DB6E47">
      <w:pPr>
        <w:pStyle w:val="Apara"/>
      </w:pPr>
      <w:r w:rsidRPr="0070667A">
        <w:tab/>
        <w:t>(a)</w:t>
      </w:r>
      <w:r w:rsidRPr="0070667A">
        <w:tab/>
        <w:t xml:space="preserve">the intelligent access </w:t>
      </w:r>
      <w:r w:rsidR="009328D2">
        <w:t xml:space="preserve">program </w:t>
      </w:r>
      <w:r w:rsidRPr="0070667A">
        <w:t xml:space="preserve">auditor’s name or, if someone else used or disclosed the intelligent access </w:t>
      </w:r>
      <w:r w:rsidR="0034426C">
        <w:t xml:space="preserve">program </w:t>
      </w:r>
      <w:r w:rsidRPr="0070667A">
        <w:t xml:space="preserve">information on behalf of the auditor, the name of the person who used or disclosed the intelligent access </w:t>
      </w:r>
      <w:r w:rsidR="00542C4E">
        <w:t xml:space="preserve">program </w:t>
      </w:r>
      <w:r w:rsidRPr="0070667A">
        <w:t>information;</w:t>
      </w:r>
    </w:p>
    <w:p w14:paraId="4ED08FB7" w14:textId="77777777" w:rsidR="00DB6E47" w:rsidRPr="0070667A" w:rsidRDefault="00DB6E47" w:rsidP="00DB6E47">
      <w:pPr>
        <w:pStyle w:val="Apara"/>
      </w:pPr>
      <w:r w:rsidRPr="0070667A">
        <w:tab/>
        <w:t>(b)</w:t>
      </w:r>
      <w:r w:rsidRPr="0070667A">
        <w:tab/>
        <w:t>the date of the use or disclosure;</w:t>
      </w:r>
    </w:p>
    <w:p w14:paraId="32264635" w14:textId="77777777" w:rsidR="00DB6E47" w:rsidRPr="0070667A" w:rsidRDefault="00DB6E47" w:rsidP="00DB6E47">
      <w:pPr>
        <w:pStyle w:val="Apara"/>
      </w:pPr>
      <w:r w:rsidRPr="0070667A">
        <w:tab/>
        <w:t>(c)</w:t>
      </w:r>
      <w:r w:rsidRPr="0070667A">
        <w:tab/>
        <w:t>for a use of intelligent access</w:t>
      </w:r>
      <w:r w:rsidR="0034426C">
        <w:t xml:space="preserve"> program</w:t>
      </w:r>
      <w:r w:rsidRPr="0070667A">
        <w:t xml:space="preserve"> information by or on behalf of the auditor, a brief description of how the information was used;</w:t>
      </w:r>
    </w:p>
    <w:p w14:paraId="01603A39" w14:textId="77777777" w:rsidR="00DB6E47" w:rsidRPr="0070667A" w:rsidRDefault="00DB6E47" w:rsidP="00DB6E47">
      <w:pPr>
        <w:pStyle w:val="Apara"/>
      </w:pPr>
      <w:r w:rsidRPr="0070667A">
        <w:tab/>
        <w:t>(d)</w:t>
      </w:r>
      <w:r w:rsidRPr="0070667A">
        <w:tab/>
        <w:t xml:space="preserve">for a disclosure of intelligent access </w:t>
      </w:r>
      <w:r w:rsidR="0034426C">
        <w:t xml:space="preserve">program </w:t>
      </w:r>
      <w:r w:rsidRPr="0070667A">
        <w:t>information by or on behalf of the auditor, the entity to whom the information was disclosed;</w:t>
      </w:r>
    </w:p>
    <w:p w14:paraId="63A63D73" w14:textId="77777777" w:rsidR="00DB6E47" w:rsidRPr="0070667A" w:rsidRDefault="00DB6E47" w:rsidP="00DB6E47">
      <w:pPr>
        <w:pStyle w:val="Apara"/>
      </w:pPr>
      <w:r w:rsidRPr="0070667A">
        <w:tab/>
        <w:t>(e)</w:t>
      </w:r>
      <w:r w:rsidRPr="0070667A">
        <w:tab/>
        <w:t>the provision of this Law or another law the auditor believes authorises the use or disclosure;</w:t>
      </w:r>
    </w:p>
    <w:p w14:paraId="7B904D13" w14:textId="77777777" w:rsidR="00DB6E47" w:rsidRPr="0070667A" w:rsidRDefault="00DB6E47" w:rsidP="00DB6E47">
      <w:pPr>
        <w:pStyle w:val="Apara"/>
      </w:pPr>
      <w:r w:rsidRPr="0070667A">
        <w:tab/>
        <w:t>(f)</w:t>
      </w:r>
      <w:r w:rsidRPr="0070667A">
        <w:tab/>
        <w:t>if the use or disclosure is authorised only under a particular document (including, for example, a warrant, a certificate or a consent), a copy of the document.</w:t>
      </w:r>
    </w:p>
    <w:p w14:paraId="69E9D792" w14:textId="77777777" w:rsidR="00DB6E47" w:rsidRPr="006C3305" w:rsidRDefault="00DB6E47" w:rsidP="00DB6E47">
      <w:pPr>
        <w:pStyle w:val="Penalty"/>
      </w:pPr>
      <w:r w:rsidRPr="00D91CC2">
        <w:rPr>
          <w:rFonts w:cs="Times"/>
          <w:bCs/>
          <w:iCs/>
        </w:rPr>
        <w:t>Maximum penalty—$6000.</w:t>
      </w:r>
    </w:p>
    <w:p w14:paraId="4AFFFE0A" w14:textId="77777777" w:rsidR="00DB6E47" w:rsidRPr="00C62D32" w:rsidRDefault="00DB6E47" w:rsidP="00DB6E47">
      <w:pPr>
        <w:pStyle w:val="Amain"/>
      </w:pPr>
      <w:r w:rsidRPr="00C62D32">
        <w:tab/>
        <w:t>(3)</w:t>
      </w:r>
      <w:r w:rsidRPr="00C62D32">
        <w:tab/>
        <w:t xml:space="preserve">An intelligent access </w:t>
      </w:r>
      <w:r w:rsidR="00B512EF">
        <w:t xml:space="preserve">program </w:t>
      </w:r>
      <w:r w:rsidRPr="00C62D32">
        <w:t>auditor must keep a record made under this section for at least 2 years.</w:t>
      </w:r>
    </w:p>
    <w:p w14:paraId="59C1A517" w14:textId="77777777" w:rsidR="00DB6E47" w:rsidRPr="006C3305" w:rsidRDefault="00DB6E47" w:rsidP="00DB6E47">
      <w:pPr>
        <w:pStyle w:val="Penalty"/>
      </w:pPr>
      <w:r w:rsidRPr="00D91CC2">
        <w:rPr>
          <w:rFonts w:cs="Times"/>
          <w:bCs/>
          <w:iCs/>
        </w:rPr>
        <w:t>Maximum penalty—$6000.</w:t>
      </w:r>
    </w:p>
    <w:p w14:paraId="74E74CED" w14:textId="77777777" w:rsidR="00DB6E47" w:rsidRPr="007E1F9A" w:rsidRDefault="00DB6E47" w:rsidP="00DB6E47">
      <w:pPr>
        <w:pStyle w:val="AH5Sec"/>
      </w:pPr>
      <w:bookmarkStart w:id="517" w:name="_Toc83625861"/>
      <w:r w:rsidRPr="005E03F7">
        <w:rPr>
          <w:rStyle w:val="CharSectNo"/>
        </w:rPr>
        <w:lastRenderedPageBreak/>
        <w:t>450</w:t>
      </w:r>
      <w:r w:rsidRPr="007E1F9A">
        <w:tab/>
      </w:r>
      <w:r w:rsidRPr="007E1F9A">
        <w:rPr>
          <w:rFonts w:ascii="Helvetica" w:hAnsi="Helvetica" w:cs="Helvetica"/>
          <w:iCs/>
        </w:rPr>
        <w:t xml:space="preserve">Destroying intelligent access </w:t>
      </w:r>
      <w:r w:rsidR="00A0759C">
        <w:rPr>
          <w:rFonts w:ascii="Helvetica" w:hAnsi="Helvetica" w:cs="Helvetica"/>
          <w:iCs/>
        </w:rPr>
        <w:t xml:space="preserve">program </w:t>
      </w:r>
      <w:r w:rsidRPr="007E1F9A">
        <w:rPr>
          <w:rFonts w:ascii="Helvetica" w:hAnsi="Helvetica" w:cs="Helvetica"/>
          <w:iCs/>
        </w:rPr>
        <w:t>information or removing personal information from it</w:t>
      </w:r>
      <w:bookmarkEnd w:id="517"/>
    </w:p>
    <w:p w14:paraId="687F1DAD" w14:textId="77777777" w:rsidR="00DB6E47" w:rsidRPr="00C62D32" w:rsidRDefault="00DB6E47" w:rsidP="00B03621">
      <w:pPr>
        <w:pStyle w:val="Amain"/>
        <w:keepLines/>
      </w:pPr>
      <w:r w:rsidRPr="00C62D32">
        <w:tab/>
        <w:t>(1)</w:t>
      </w:r>
      <w:r w:rsidRPr="00C62D32">
        <w:tab/>
        <w:t xml:space="preserve">An intelligent access </w:t>
      </w:r>
      <w:r w:rsidR="00F425DD">
        <w:t xml:space="preserve">program </w:t>
      </w:r>
      <w:r w:rsidRPr="00C62D32">
        <w:t xml:space="preserve">auditor must </w:t>
      </w:r>
      <w:r w:rsidR="00566E32" w:rsidRPr="003323FC">
        <w:t>ensure, so far as is reasonably practicable, intelligent access</w:t>
      </w:r>
      <w:r w:rsidR="00B54ACA">
        <w:t xml:space="preserve"> program</w:t>
      </w:r>
      <w:r w:rsidR="00566E32" w:rsidRPr="003323FC">
        <w:t xml:space="preserve"> information held by the auditor is destroyed as soon as practicable after the information</w:t>
      </w:r>
      <w:r w:rsidRPr="00C62D32">
        <w:t xml:space="preserve"> is no longer needed for an intelligent access </w:t>
      </w:r>
      <w:r w:rsidR="00B2046E">
        <w:t xml:space="preserve">program </w:t>
      </w:r>
      <w:r w:rsidRPr="00C62D32">
        <w:t>audit conducted by the auditor.</w:t>
      </w:r>
    </w:p>
    <w:p w14:paraId="6FA2602B" w14:textId="77777777" w:rsidR="00DB6E47" w:rsidRPr="006C3305" w:rsidRDefault="00DB6E47" w:rsidP="00DB6E47">
      <w:pPr>
        <w:pStyle w:val="Penalty"/>
      </w:pPr>
      <w:r w:rsidRPr="00D91CC2">
        <w:rPr>
          <w:rFonts w:cs="Times"/>
          <w:bCs/>
          <w:iCs/>
        </w:rPr>
        <w:t>Maximum penalty—$6000.</w:t>
      </w:r>
    </w:p>
    <w:p w14:paraId="43504828" w14:textId="77777777" w:rsidR="00DB6E47" w:rsidRPr="00C62D32" w:rsidRDefault="00DB6E47" w:rsidP="00DB6E47">
      <w:pPr>
        <w:pStyle w:val="Amain"/>
      </w:pPr>
      <w:r w:rsidRPr="00C62D32">
        <w:tab/>
        <w:t>(2)</w:t>
      </w:r>
      <w:r w:rsidRPr="00C62D32">
        <w:tab/>
        <w:t xml:space="preserve">An intelligent access </w:t>
      </w:r>
      <w:r w:rsidR="00F425DD">
        <w:t xml:space="preserve">program </w:t>
      </w:r>
      <w:r w:rsidRPr="00C62D32">
        <w:t>auditor is taken to have complied with subsect</w:t>
      </w:r>
      <w:r w:rsidR="00581CBC">
        <w:t xml:space="preserve">ion </w:t>
      </w:r>
      <w:r w:rsidRPr="00C62D32">
        <w:t>(1)</w:t>
      </w:r>
      <w:r w:rsidR="00581CBC">
        <w:t xml:space="preserve"> </w:t>
      </w:r>
      <w:r w:rsidRPr="00C62D32">
        <w:t xml:space="preserve">for intelligent access </w:t>
      </w:r>
      <w:r w:rsidR="00A0759C">
        <w:t xml:space="preserve">program </w:t>
      </w:r>
      <w:r w:rsidRPr="00C62D32">
        <w:t>information if the auditor permanently removes anything by which an individual can be identified from the information.</w:t>
      </w:r>
    </w:p>
    <w:p w14:paraId="79ED0E27" w14:textId="77777777" w:rsidR="00DB6E47" w:rsidRPr="007E1F9A" w:rsidRDefault="00DB6E47" w:rsidP="00DB6E47">
      <w:pPr>
        <w:pStyle w:val="AH5Sec"/>
      </w:pPr>
      <w:bookmarkStart w:id="518" w:name="_Toc83625862"/>
      <w:r w:rsidRPr="005E03F7">
        <w:rPr>
          <w:rStyle w:val="CharSectNo"/>
        </w:rPr>
        <w:t>451</w:t>
      </w:r>
      <w:r w:rsidRPr="007E1F9A">
        <w:tab/>
      </w:r>
      <w:r w:rsidRPr="007E1F9A">
        <w:rPr>
          <w:rFonts w:ascii="Helvetica" w:hAnsi="Helvetica" w:cs="Helvetica"/>
          <w:iCs/>
        </w:rPr>
        <w:t xml:space="preserve">Reporting contraventions by intelligent access </w:t>
      </w:r>
      <w:r w:rsidR="000A4E7F">
        <w:rPr>
          <w:rFonts w:ascii="Helvetica" w:hAnsi="Helvetica" w:cs="Helvetica"/>
          <w:iCs/>
        </w:rPr>
        <w:t xml:space="preserve">program </w:t>
      </w:r>
      <w:r w:rsidRPr="007E1F9A">
        <w:rPr>
          <w:rFonts w:ascii="Helvetica" w:hAnsi="Helvetica" w:cs="Helvetica"/>
          <w:iCs/>
        </w:rPr>
        <w:t>service providers to TCA</w:t>
      </w:r>
      <w:bookmarkEnd w:id="518"/>
    </w:p>
    <w:p w14:paraId="1644F664" w14:textId="77777777" w:rsidR="00DB6E47" w:rsidRPr="00C62D32" w:rsidRDefault="00DB6E47" w:rsidP="00DB6E47">
      <w:pPr>
        <w:pStyle w:val="Amainreturn"/>
      </w:pPr>
      <w:r w:rsidRPr="00C62D32">
        <w:t xml:space="preserve">If an intelligent access </w:t>
      </w:r>
      <w:r w:rsidR="00F425DD">
        <w:t xml:space="preserve">program </w:t>
      </w:r>
      <w:r w:rsidRPr="00C62D32">
        <w:t xml:space="preserve">auditor knows, or has reasonable grounds to suspect, an intelligent access </w:t>
      </w:r>
      <w:r w:rsidR="00A155CC">
        <w:t xml:space="preserve">program </w:t>
      </w:r>
      <w:r w:rsidRPr="00C62D32">
        <w:t>service provider has contravened an obligation under this Chapter, the auditor must, as soon as practicable, report the matter to TCA.</w:t>
      </w:r>
    </w:p>
    <w:p w14:paraId="6EAD167E" w14:textId="77777777" w:rsidR="00DB6E47" w:rsidRPr="006C3305" w:rsidRDefault="00DB6E47" w:rsidP="00DB6E47">
      <w:pPr>
        <w:pStyle w:val="Penalty"/>
      </w:pPr>
      <w:r w:rsidRPr="00D91CC2">
        <w:rPr>
          <w:rFonts w:cs="Times"/>
          <w:bCs/>
          <w:iCs/>
        </w:rPr>
        <w:t>Maximum penalty—$6000.</w:t>
      </w:r>
    </w:p>
    <w:p w14:paraId="0144DA83" w14:textId="77777777" w:rsidR="00DB6E47" w:rsidRPr="007E1F9A" w:rsidRDefault="00DB6E47" w:rsidP="00DB6E47">
      <w:pPr>
        <w:pStyle w:val="AH5Sec"/>
      </w:pPr>
      <w:bookmarkStart w:id="519" w:name="_Toc83625863"/>
      <w:r w:rsidRPr="005E03F7">
        <w:rPr>
          <w:rStyle w:val="CharSectNo"/>
        </w:rPr>
        <w:t>452</w:t>
      </w:r>
      <w:r w:rsidRPr="007E1F9A">
        <w:tab/>
      </w:r>
      <w:r w:rsidRPr="007E1F9A">
        <w:rPr>
          <w:rFonts w:ascii="Helvetica" w:hAnsi="Helvetica" w:cs="Helvetica"/>
          <w:iCs/>
        </w:rPr>
        <w:t>Reporting tampering or suspected tampering with approved intelligent transport system to Regulator or TCA</w:t>
      </w:r>
      <w:bookmarkEnd w:id="519"/>
    </w:p>
    <w:p w14:paraId="497F7515" w14:textId="77777777" w:rsidR="00DB6E47" w:rsidRPr="00C62D32" w:rsidRDefault="00DB6E47" w:rsidP="00D63BA6">
      <w:pPr>
        <w:pStyle w:val="Amainreturn"/>
        <w:keepNext/>
      </w:pPr>
      <w:r w:rsidRPr="00C62D32">
        <w:t xml:space="preserve">If an intelligent access </w:t>
      </w:r>
      <w:r w:rsidR="00F425DD">
        <w:t xml:space="preserve">program </w:t>
      </w:r>
      <w:r w:rsidRPr="00C62D32">
        <w:t>auditor knows, or has reasonable grounds to suspect, an approved intelligent transport system has been tampered with, the auditor must, as soon as practicable, report the matter—</w:t>
      </w:r>
    </w:p>
    <w:p w14:paraId="39BB87E3" w14:textId="77777777" w:rsidR="00DB6E47" w:rsidRPr="0070667A" w:rsidRDefault="00DB6E47" w:rsidP="00DB6E47">
      <w:pPr>
        <w:pStyle w:val="Apara"/>
      </w:pPr>
      <w:r w:rsidRPr="0070667A">
        <w:tab/>
        <w:t>(a)</w:t>
      </w:r>
      <w:r w:rsidRPr="0070667A">
        <w:tab/>
        <w:t xml:space="preserve">for tampering or suspected tampering by an operator of an intelligent access </w:t>
      </w:r>
      <w:r w:rsidR="0089066C">
        <w:t xml:space="preserve">program </w:t>
      </w:r>
      <w:r w:rsidRPr="0070667A">
        <w:t>vehicle—to the Regulator; or</w:t>
      </w:r>
    </w:p>
    <w:p w14:paraId="6A58EBED" w14:textId="77777777" w:rsidR="00DB6E47" w:rsidRPr="0070667A" w:rsidRDefault="00DB6E47" w:rsidP="00DB6E47">
      <w:pPr>
        <w:pStyle w:val="Apara"/>
      </w:pPr>
      <w:r w:rsidRPr="0070667A">
        <w:lastRenderedPageBreak/>
        <w:tab/>
        <w:t>(b)</w:t>
      </w:r>
      <w:r w:rsidRPr="0070667A">
        <w:tab/>
        <w:t xml:space="preserve">for tampering or suspected tampering by an intelligent access </w:t>
      </w:r>
      <w:r w:rsidR="00A155CC">
        <w:t xml:space="preserve">program </w:t>
      </w:r>
      <w:r w:rsidRPr="0070667A">
        <w:t>service provider—to TCA.</w:t>
      </w:r>
    </w:p>
    <w:p w14:paraId="705FC27B" w14:textId="77777777" w:rsidR="00DB6E47" w:rsidRPr="006C3305" w:rsidRDefault="00DB6E47" w:rsidP="00DB6E47">
      <w:pPr>
        <w:pStyle w:val="Penalty"/>
      </w:pPr>
      <w:r w:rsidRPr="00D91CC2">
        <w:rPr>
          <w:rFonts w:cs="Times"/>
          <w:bCs/>
          <w:iCs/>
        </w:rPr>
        <w:t>Maximum penalty—$6000.</w:t>
      </w:r>
    </w:p>
    <w:p w14:paraId="24B4CB4B" w14:textId="77777777" w:rsidR="00DB6E47" w:rsidRPr="007E1F9A" w:rsidRDefault="00DB6E47" w:rsidP="00DB6E47">
      <w:pPr>
        <w:pStyle w:val="AH5Sec"/>
      </w:pPr>
      <w:bookmarkStart w:id="520" w:name="_Toc83625864"/>
      <w:r w:rsidRPr="005E03F7">
        <w:rPr>
          <w:rStyle w:val="CharSectNo"/>
        </w:rPr>
        <w:t>453</w:t>
      </w:r>
      <w:r w:rsidRPr="007E1F9A">
        <w:tab/>
      </w:r>
      <w:r w:rsidRPr="007E1F9A">
        <w:rPr>
          <w:rFonts w:ascii="Helvetica" w:hAnsi="Helvetica" w:cs="Helvetica"/>
          <w:iCs/>
        </w:rPr>
        <w:t>Restriction on disclosing information about tampering or suspected tampering with approved intelligent transport system</w:t>
      </w:r>
      <w:bookmarkEnd w:id="520"/>
    </w:p>
    <w:p w14:paraId="46E7B138" w14:textId="77777777" w:rsidR="00DB6E47" w:rsidRPr="00C62D32" w:rsidRDefault="00DB6E47" w:rsidP="00DB6E47">
      <w:pPr>
        <w:pStyle w:val="Amain"/>
      </w:pPr>
      <w:r w:rsidRPr="00C62D32">
        <w:tab/>
        <w:t>(1)</w:t>
      </w:r>
      <w:r w:rsidRPr="00C62D32">
        <w:tab/>
        <w:t xml:space="preserve">If an intelligent access </w:t>
      </w:r>
      <w:r w:rsidR="00F425DD">
        <w:t xml:space="preserve">program </w:t>
      </w:r>
      <w:r w:rsidRPr="00C62D32">
        <w:t>auditor knows, or has reasonable grounds to suspect, an approved intelligent transport system has been tampered with, the auditor must not disclose the following to any entity other than the Regulator or TCA—</w:t>
      </w:r>
    </w:p>
    <w:p w14:paraId="41869B4B" w14:textId="77777777" w:rsidR="00DB6E47" w:rsidRPr="0070667A" w:rsidRDefault="00DB6E47" w:rsidP="00DB6E47">
      <w:pPr>
        <w:pStyle w:val="Apara"/>
      </w:pPr>
      <w:r w:rsidRPr="0070667A">
        <w:tab/>
        <w:t>(a)</w:t>
      </w:r>
      <w:r w:rsidRPr="0070667A">
        <w:tab/>
        <w:t>information that the auditor has that knowledge or suspicion;</w:t>
      </w:r>
    </w:p>
    <w:p w14:paraId="64005FF0" w14:textId="77777777" w:rsidR="00DB6E47" w:rsidRPr="0070667A" w:rsidRDefault="00DB6E47" w:rsidP="00DB6E47">
      <w:pPr>
        <w:pStyle w:val="Apara"/>
      </w:pPr>
      <w:r w:rsidRPr="0070667A">
        <w:tab/>
        <w:t>(b)</w:t>
      </w:r>
      <w:r w:rsidRPr="0070667A">
        <w:tab/>
        <w:t>information from which it could reasonably be inferred that the auditor has that knowledge or suspicion.</w:t>
      </w:r>
    </w:p>
    <w:p w14:paraId="7D6D7644" w14:textId="77777777" w:rsidR="00DB6E47" w:rsidRPr="006C3305" w:rsidRDefault="00DB6E47" w:rsidP="00DB6E47">
      <w:pPr>
        <w:pStyle w:val="Penalty"/>
      </w:pPr>
      <w:r w:rsidRPr="00D91CC2">
        <w:rPr>
          <w:rFonts w:cs="Times"/>
          <w:bCs/>
          <w:iCs/>
        </w:rPr>
        <w:t>Maximum penalty—$6000.</w:t>
      </w:r>
    </w:p>
    <w:p w14:paraId="6B5F071C" w14:textId="77777777" w:rsidR="00DB6E47" w:rsidRPr="00C62D32" w:rsidRDefault="00DB6E47" w:rsidP="00DB6E47">
      <w:pPr>
        <w:pStyle w:val="Amain"/>
      </w:pPr>
      <w:r w:rsidRPr="00C62D32">
        <w:tab/>
        <w:t>(2)</w:t>
      </w:r>
      <w:r w:rsidRPr="00C62D32">
        <w:tab/>
        <w:t>If an intelligent access</w:t>
      </w:r>
      <w:r w:rsidR="00F425DD">
        <w:t xml:space="preserve"> program</w:t>
      </w:r>
      <w:r w:rsidRPr="00C62D32">
        <w:t xml:space="preserve"> auditor has made a report to the Regulator or TCA under section 452 of apparent or suspected tampering, the auditor must not disclose the following to any entity other than the Regulator or TCA—</w:t>
      </w:r>
    </w:p>
    <w:p w14:paraId="37A0B97B" w14:textId="77777777" w:rsidR="00DB6E47" w:rsidRPr="0070667A" w:rsidRDefault="00DB6E47" w:rsidP="00DB6E47">
      <w:pPr>
        <w:pStyle w:val="Apara"/>
      </w:pPr>
      <w:r w:rsidRPr="0070667A">
        <w:tab/>
        <w:t>(a)</w:t>
      </w:r>
      <w:r w:rsidRPr="0070667A">
        <w:tab/>
        <w:t>information that the report has been made;</w:t>
      </w:r>
    </w:p>
    <w:p w14:paraId="2BF86459" w14:textId="77777777" w:rsidR="00DB6E47" w:rsidRPr="0070667A" w:rsidRDefault="00DB6E47" w:rsidP="00F433E2">
      <w:pPr>
        <w:pStyle w:val="Apara"/>
        <w:keepNext/>
      </w:pPr>
      <w:r w:rsidRPr="0070667A">
        <w:tab/>
        <w:t>(b)</w:t>
      </w:r>
      <w:r w:rsidRPr="0070667A">
        <w:tab/>
        <w:t>information from which it could reasonably be inferred that the auditor has made the report.</w:t>
      </w:r>
    </w:p>
    <w:p w14:paraId="732E7ACD" w14:textId="77777777" w:rsidR="00DB6E47" w:rsidRPr="006C3305" w:rsidRDefault="00DB6E47" w:rsidP="00DB6E47">
      <w:pPr>
        <w:pStyle w:val="Penalty"/>
      </w:pPr>
      <w:r w:rsidRPr="00D91CC2">
        <w:rPr>
          <w:rFonts w:cs="Times"/>
          <w:bCs/>
          <w:iCs/>
        </w:rPr>
        <w:t>Maximum penalty—$6000.</w:t>
      </w:r>
    </w:p>
    <w:p w14:paraId="592A0DD2" w14:textId="77777777" w:rsidR="00DB6E47" w:rsidRPr="00C62D32" w:rsidRDefault="00581CBC" w:rsidP="00DB6E47">
      <w:pPr>
        <w:pStyle w:val="Amain"/>
      </w:pPr>
      <w:r>
        <w:tab/>
        <w:t>(3)</w:t>
      </w:r>
      <w:r>
        <w:tab/>
        <w:t xml:space="preserve">Subsection </w:t>
      </w:r>
      <w:r w:rsidR="00DB6E47" w:rsidRPr="00C62D32">
        <w:t>(1)</w:t>
      </w:r>
      <w:r>
        <w:t xml:space="preserve"> or </w:t>
      </w:r>
      <w:r w:rsidR="00DB6E47" w:rsidRPr="00C62D32">
        <w:t>(2)</w:t>
      </w:r>
      <w:r>
        <w:t xml:space="preserve"> </w:t>
      </w:r>
      <w:r w:rsidR="00DB6E47" w:rsidRPr="00C62D32">
        <w:t>does not apply if the disclosure of the information to which the subsection applies is authorised under another law.</w:t>
      </w:r>
    </w:p>
    <w:p w14:paraId="3D611B2A" w14:textId="77777777" w:rsidR="00DB6E47" w:rsidRPr="003D647F" w:rsidRDefault="00DB6E47" w:rsidP="00DB6E47">
      <w:pPr>
        <w:pStyle w:val="PageBreak"/>
      </w:pPr>
      <w:r w:rsidRPr="003D647F">
        <w:br w:type="page"/>
      </w:r>
    </w:p>
    <w:p w14:paraId="515BE6FC" w14:textId="77777777" w:rsidR="00DB6E47" w:rsidRPr="005E03F7" w:rsidRDefault="00DB6E47" w:rsidP="00DB6E47">
      <w:pPr>
        <w:pStyle w:val="AH2Part"/>
      </w:pPr>
      <w:bookmarkStart w:id="521" w:name="_Toc83625865"/>
      <w:r w:rsidRPr="005E03F7">
        <w:rPr>
          <w:rStyle w:val="CharPartNo"/>
        </w:rPr>
        <w:lastRenderedPageBreak/>
        <w:t xml:space="preserve">Part 7.7 </w:t>
      </w:r>
      <w:r w:rsidRPr="00A95F9A">
        <w:rPr>
          <w:rFonts w:ascii="Helvetica" w:hAnsi="Helvetica" w:cs="Helvetica"/>
          <w:iCs/>
          <w:szCs w:val="32"/>
        </w:rPr>
        <w:tab/>
      </w:r>
      <w:r w:rsidRPr="005E03F7">
        <w:rPr>
          <w:rStyle w:val="CharPartText"/>
          <w:rFonts w:ascii="Helvetica" w:hAnsi="Helvetica" w:cs="Helvetica"/>
          <w:iCs/>
          <w:szCs w:val="32"/>
        </w:rPr>
        <w:t>Other provisions</w:t>
      </w:r>
      <w:bookmarkEnd w:id="521"/>
    </w:p>
    <w:p w14:paraId="4DB92B63" w14:textId="77777777" w:rsidR="00DB6E47" w:rsidRPr="007E1F9A" w:rsidRDefault="00DB6E47" w:rsidP="00DB6E47">
      <w:pPr>
        <w:pStyle w:val="AH5Sec"/>
      </w:pPr>
      <w:bookmarkStart w:id="522" w:name="_Toc83625866"/>
      <w:r w:rsidRPr="005E03F7">
        <w:rPr>
          <w:rStyle w:val="CharSectNo"/>
        </w:rPr>
        <w:t>454</w:t>
      </w:r>
      <w:r w:rsidRPr="007E1F9A">
        <w:tab/>
      </w:r>
      <w:r w:rsidRPr="007E1F9A">
        <w:rPr>
          <w:rFonts w:ascii="Helvetica" w:hAnsi="Helvetica" w:cs="Helvetica"/>
          <w:iCs/>
        </w:rPr>
        <w:t>Offence to tamper with approved intelligent transport system</w:t>
      </w:r>
      <w:bookmarkEnd w:id="522"/>
    </w:p>
    <w:p w14:paraId="53C246A3" w14:textId="77777777" w:rsidR="00DB6E47" w:rsidRPr="00C62D32" w:rsidRDefault="00DB6E47" w:rsidP="00DB6E47">
      <w:pPr>
        <w:pStyle w:val="Amain"/>
      </w:pPr>
      <w:r w:rsidRPr="00C62D32">
        <w:tab/>
        <w:t>(1)</w:t>
      </w:r>
      <w:r w:rsidRPr="00C62D32">
        <w:tab/>
        <w:t>A person commits an offence if—</w:t>
      </w:r>
    </w:p>
    <w:p w14:paraId="5F1CB49A" w14:textId="77777777" w:rsidR="00DB6E47" w:rsidRPr="0070667A" w:rsidRDefault="00DB6E47" w:rsidP="00DB6E47">
      <w:pPr>
        <w:pStyle w:val="Apara"/>
      </w:pPr>
      <w:r w:rsidRPr="0070667A">
        <w:tab/>
        <w:t>(a)</w:t>
      </w:r>
      <w:r w:rsidRPr="0070667A">
        <w:tab/>
        <w:t>the person tampers with an approved intelligent transport system; and</w:t>
      </w:r>
    </w:p>
    <w:p w14:paraId="6B496C88" w14:textId="77777777" w:rsidR="00DB6E47" w:rsidRPr="0070667A" w:rsidRDefault="00DB6E47" w:rsidP="00DB6E47">
      <w:pPr>
        <w:pStyle w:val="Apara"/>
      </w:pPr>
      <w:r w:rsidRPr="0070667A">
        <w:tab/>
        <w:t>(b)</w:t>
      </w:r>
      <w:r w:rsidRPr="0070667A">
        <w:tab/>
        <w:t>the person does so with the intention of causing the system to—</w:t>
      </w:r>
    </w:p>
    <w:p w14:paraId="7AD58F85" w14:textId="77777777" w:rsidR="00DB6E47" w:rsidRPr="00516F02" w:rsidRDefault="00DB6E47" w:rsidP="00DB6E47">
      <w:pPr>
        <w:pStyle w:val="Asubpara"/>
      </w:pPr>
      <w:r w:rsidRPr="00516F02">
        <w:tab/>
        <w:t>(i)</w:t>
      </w:r>
      <w:r w:rsidRPr="00516F02">
        <w:tab/>
        <w:t xml:space="preserve">fail to generate, record, store, display, analyse, transmit or report intelligent access </w:t>
      </w:r>
      <w:r w:rsidR="00A0759C">
        <w:t xml:space="preserve">program </w:t>
      </w:r>
      <w:r w:rsidRPr="00516F02">
        <w:t>information; or</w:t>
      </w:r>
    </w:p>
    <w:p w14:paraId="6DEFD3BB" w14:textId="77777777" w:rsidR="00DB6E47" w:rsidRPr="00516F02" w:rsidRDefault="00DB6E47" w:rsidP="00DB6E47">
      <w:pPr>
        <w:pStyle w:val="Asubpara"/>
      </w:pPr>
      <w:r w:rsidRPr="00516F02">
        <w:tab/>
        <w:t>(ii)</w:t>
      </w:r>
      <w:r w:rsidRPr="00516F02">
        <w:tab/>
        <w:t xml:space="preserve">fail to generate, record, store, display, analyse, transmit or report intelligent access </w:t>
      </w:r>
      <w:r w:rsidR="00A0759C">
        <w:t xml:space="preserve">program </w:t>
      </w:r>
      <w:r w:rsidRPr="00516F02">
        <w:t>information correctly.</w:t>
      </w:r>
    </w:p>
    <w:p w14:paraId="249A94DC" w14:textId="77777777" w:rsidR="00DB6E47" w:rsidRPr="006C3305" w:rsidRDefault="00DB6E47" w:rsidP="00DB6E47">
      <w:pPr>
        <w:pStyle w:val="Penalty"/>
      </w:pPr>
      <w:r w:rsidRPr="00D91CC2">
        <w:rPr>
          <w:rFonts w:cs="Times"/>
          <w:bCs/>
          <w:iCs/>
        </w:rPr>
        <w:t>Maximum penalty—$10000.</w:t>
      </w:r>
    </w:p>
    <w:p w14:paraId="594D935D" w14:textId="77777777" w:rsidR="00DB6E47" w:rsidRPr="00C62D32" w:rsidRDefault="00DB6E47" w:rsidP="00DB6E47">
      <w:pPr>
        <w:pStyle w:val="Amain"/>
      </w:pPr>
      <w:r w:rsidRPr="00C62D32">
        <w:tab/>
        <w:t>(2)</w:t>
      </w:r>
      <w:r w:rsidRPr="00C62D32">
        <w:tab/>
        <w:t>A person commits an offence if—</w:t>
      </w:r>
    </w:p>
    <w:p w14:paraId="101B2FA7" w14:textId="77777777" w:rsidR="00DB6E47" w:rsidRPr="0070667A" w:rsidRDefault="00DB6E47" w:rsidP="00DB6E47">
      <w:pPr>
        <w:pStyle w:val="Apara"/>
      </w:pPr>
      <w:r w:rsidRPr="0070667A">
        <w:tab/>
        <w:t>(a)</w:t>
      </w:r>
      <w:r w:rsidRPr="0070667A">
        <w:tab/>
        <w:t>the person tampers with an approved intelligent transport system; and</w:t>
      </w:r>
    </w:p>
    <w:p w14:paraId="7DFFDD7A" w14:textId="77777777" w:rsidR="00DB6E47" w:rsidRPr="0070667A" w:rsidRDefault="00DB6E47" w:rsidP="00DB6E47">
      <w:pPr>
        <w:pStyle w:val="Apara"/>
      </w:pPr>
      <w:r w:rsidRPr="0070667A">
        <w:tab/>
        <w:t>(b)</w:t>
      </w:r>
      <w:r w:rsidRPr="0070667A">
        <w:tab/>
        <w:t>the person is negligent or reckless as to whether, as a result of the tampering, the system may—</w:t>
      </w:r>
    </w:p>
    <w:p w14:paraId="5BE079EB" w14:textId="77777777" w:rsidR="00DB6E47" w:rsidRPr="00516F02" w:rsidRDefault="00DB6E47" w:rsidP="00DB6E47">
      <w:pPr>
        <w:pStyle w:val="Asubpara"/>
      </w:pPr>
      <w:r w:rsidRPr="00516F02">
        <w:tab/>
        <w:t>(i)</w:t>
      </w:r>
      <w:r w:rsidRPr="00516F02">
        <w:tab/>
        <w:t xml:space="preserve">fail to generate, record, store, display, analyse, transmit or report intelligent access </w:t>
      </w:r>
      <w:r w:rsidR="00A0759C">
        <w:t xml:space="preserve">program </w:t>
      </w:r>
      <w:r w:rsidRPr="00516F02">
        <w:t>information; or</w:t>
      </w:r>
    </w:p>
    <w:p w14:paraId="4DB21C17" w14:textId="77777777" w:rsidR="00DB6E47" w:rsidRPr="00516F02" w:rsidRDefault="00DB6E47" w:rsidP="00DB6E47">
      <w:pPr>
        <w:pStyle w:val="Asubpara"/>
      </w:pPr>
      <w:r w:rsidRPr="00516F02">
        <w:tab/>
        <w:t>(ii)</w:t>
      </w:r>
      <w:r w:rsidRPr="00516F02">
        <w:tab/>
        <w:t xml:space="preserve">fail to generate, record, store, display, analyse, transmit or report intelligent access </w:t>
      </w:r>
      <w:r w:rsidR="00A0759C">
        <w:t xml:space="preserve">program </w:t>
      </w:r>
      <w:r w:rsidRPr="00516F02">
        <w:t>information correctly.</w:t>
      </w:r>
    </w:p>
    <w:p w14:paraId="44EC7187" w14:textId="77777777" w:rsidR="00DB6E47" w:rsidRPr="006C3305" w:rsidRDefault="00DB6E47" w:rsidP="00DB6E47">
      <w:pPr>
        <w:pStyle w:val="Penalty"/>
      </w:pPr>
      <w:r w:rsidRPr="00D91CC2">
        <w:rPr>
          <w:rFonts w:cs="Times"/>
          <w:bCs/>
          <w:iCs/>
        </w:rPr>
        <w:t>Maximum penalty—$8000.</w:t>
      </w:r>
    </w:p>
    <w:p w14:paraId="3DCC1359" w14:textId="77777777" w:rsidR="00DB6E47" w:rsidRPr="00C62D32" w:rsidRDefault="00DB6E47" w:rsidP="00F433E2">
      <w:pPr>
        <w:pStyle w:val="Amain"/>
        <w:keepNext/>
      </w:pPr>
      <w:r w:rsidRPr="00C62D32">
        <w:lastRenderedPageBreak/>
        <w:tab/>
        <w:t>(3)</w:t>
      </w:r>
      <w:r w:rsidRPr="00C62D32">
        <w:tab/>
        <w:t>In this section—</w:t>
      </w:r>
    </w:p>
    <w:p w14:paraId="590F05DD" w14:textId="77777777" w:rsidR="00DB6E47" w:rsidRPr="00041046" w:rsidRDefault="00DB6E47" w:rsidP="00F433E2">
      <w:pPr>
        <w:pStyle w:val="aDef"/>
        <w:keepNext/>
        <w:rPr>
          <w:bCs/>
        </w:rPr>
      </w:pPr>
      <w:r w:rsidRPr="00041046">
        <w:rPr>
          <w:rStyle w:val="charBoldItals"/>
        </w:rPr>
        <w:t>fail</w:t>
      </w:r>
      <w:r w:rsidRPr="00041046">
        <w:t>—</w:t>
      </w:r>
    </w:p>
    <w:p w14:paraId="3060C288" w14:textId="77777777" w:rsidR="00DB6E47" w:rsidRPr="00581CBC" w:rsidRDefault="00DB6E47" w:rsidP="00DB6E47">
      <w:pPr>
        <w:pStyle w:val="aDefpara"/>
      </w:pPr>
      <w:r w:rsidRPr="00FF4454">
        <w:tab/>
      </w:r>
      <w:r w:rsidRPr="00F04D8E">
        <w:rPr>
          <w:rFonts w:cs="Times"/>
          <w:bCs/>
          <w:iCs/>
        </w:rPr>
        <w:t>(a)</w:t>
      </w:r>
      <w:r w:rsidRPr="00FF4454">
        <w:rPr>
          <w:rStyle w:val="charBoldItals"/>
        </w:rPr>
        <w:tab/>
      </w:r>
      <w:r w:rsidRPr="00581CBC">
        <w:t>means does not perform as intended in relation to accuracy, timeliness, reliability, verifiability or any other performance requirement or standard; and</w:t>
      </w:r>
    </w:p>
    <w:p w14:paraId="0B13ADAE" w14:textId="77777777" w:rsidR="00DB6E47" w:rsidRPr="00581CBC" w:rsidRDefault="00DB6E47" w:rsidP="00DB6E47">
      <w:pPr>
        <w:pStyle w:val="aDefpara"/>
      </w:pPr>
      <w:r w:rsidRPr="00581CBC">
        <w:tab/>
        <w:t>(b)</w:t>
      </w:r>
      <w:r w:rsidRPr="00581CBC">
        <w:tab/>
        <w:t xml:space="preserve">includes fail permanently, fail temporarily, fail on a particular occasion and fail in particular circumstances. </w:t>
      </w:r>
    </w:p>
    <w:p w14:paraId="0CFAB0A0" w14:textId="77777777" w:rsidR="00DB6E47" w:rsidRPr="007E1F9A" w:rsidRDefault="00DB6E47" w:rsidP="00DB6E47">
      <w:pPr>
        <w:pStyle w:val="AH5Sec"/>
      </w:pPr>
      <w:bookmarkStart w:id="523" w:name="_Toc83625867"/>
      <w:r w:rsidRPr="005E03F7">
        <w:rPr>
          <w:rStyle w:val="CharSectNo"/>
        </w:rPr>
        <w:t>455</w:t>
      </w:r>
      <w:r w:rsidRPr="007E1F9A">
        <w:tab/>
      </w:r>
      <w:r w:rsidRPr="007E1F9A">
        <w:rPr>
          <w:rFonts w:ascii="Helvetica" w:hAnsi="Helvetica" w:cs="Helvetica"/>
          <w:iCs/>
        </w:rPr>
        <w:t xml:space="preserve">Regulator may issue intelligent access </w:t>
      </w:r>
      <w:r w:rsidR="00791E85">
        <w:rPr>
          <w:rFonts w:ascii="Helvetica" w:hAnsi="Helvetica" w:cs="Helvetica"/>
          <w:iCs/>
        </w:rPr>
        <w:t xml:space="preserve">program </w:t>
      </w:r>
      <w:r w:rsidRPr="007E1F9A">
        <w:rPr>
          <w:rFonts w:ascii="Helvetica" w:hAnsi="Helvetica" w:cs="Helvetica"/>
          <w:iCs/>
        </w:rPr>
        <w:t>identifiers</w:t>
      </w:r>
      <w:bookmarkEnd w:id="523"/>
    </w:p>
    <w:p w14:paraId="08569763" w14:textId="77777777" w:rsidR="00DB6E47" w:rsidRPr="00C62D32" w:rsidRDefault="00DB6E47" w:rsidP="00DB6E47">
      <w:pPr>
        <w:pStyle w:val="Amain"/>
      </w:pPr>
      <w:r w:rsidRPr="00C62D32">
        <w:tab/>
        <w:t>(1)</w:t>
      </w:r>
      <w:r w:rsidRPr="00C62D32">
        <w:tab/>
        <w:t xml:space="preserve">The Regulator may issue a distinguishing number for an intelligent access </w:t>
      </w:r>
      <w:r w:rsidR="0089066C">
        <w:t xml:space="preserve">program </w:t>
      </w:r>
      <w:r w:rsidRPr="00C62D32">
        <w:t xml:space="preserve">vehicle that indicates the vehicle is an intelligent access </w:t>
      </w:r>
      <w:r w:rsidR="0089066C">
        <w:t xml:space="preserve">program </w:t>
      </w:r>
      <w:r w:rsidRPr="00C62D32">
        <w:t xml:space="preserve">vehicle (an </w:t>
      </w:r>
      <w:r w:rsidRPr="00FF4454">
        <w:rPr>
          <w:rStyle w:val="charBoldItals"/>
        </w:rPr>
        <w:t xml:space="preserve">intelligent access </w:t>
      </w:r>
      <w:r w:rsidR="00791E85">
        <w:rPr>
          <w:rStyle w:val="charBoldItals"/>
        </w:rPr>
        <w:t xml:space="preserve">program </w:t>
      </w:r>
      <w:r w:rsidRPr="00FF4454">
        <w:rPr>
          <w:rStyle w:val="charBoldItals"/>
        </w:rPr>
        <w:t>identifier</w:t>
      </w:r>
      <w:r w:rsidRPr="00C62D32">
        <w:t>).</w:t>
      </w:r>
    </w:p>
    <w:p w14:paraId="7CFA5959" w14:textId="77777777" w:rsidR="00DB6E47" w:rsidRPr="00C62D32" w:rsidRDefault="00DB6E47" w:rsidP="00DB6E47">
      <w:pPr>
        <w:pStyle w:val="Amain"/>
      </w:pPr>
      <w:r w:rsidRPr="00C62D32">
        <w:tab/>
        <w:t>(2)</w:t>
      </w:r>
      <w:r w:rsidRPr="00C62D32">
        <w:tab/>
        <w:t xml:space="preserve">The intelligent access </w:t>
      </w:r>
      <w:r w:rsidR="00791E85">
        <w:t xml:space="preserve">program </w:t>
      </w:r>
      <w:r w:rsidRPr="00C62D32">
        <w:t>identifier may consist of numbers or letters or a combination of numbers and letters.</w:t>
      </w:r>
    </w:p>
    <w:p w14:paraId="2B42A7DD" w14:textId="77777777" w:rsidR="00DB6E47" w:rsidRPr="00C62D32" w:rsidRDefault="00DB6E47" w:rsidP="00DB6E47">
      <w:pPr>
        <w:pStyle w:val="Amain"/>
      </w:pPr>
      <w:r w:rsidRPr="00C62D32">
        <w:tab/>
        <w:t>(3)</w:t>
      </w:r>
      <w:r w:rsidRPr="00C62D32">
        <w:tab/>
        <w:t xml:space="preserve">If an intelligent access </w:t>
      </w:r>
      <w:r w:rsidR="00791E85">
        <w:t xml:space="preserve">program </w:t>
      </w:r>
      <w:r w:rsidRPr="00C62D32">
        <w:t>identifier is, or becomes, known to an entity that has the ability to associate it with a particular individual, the entity must treat the identifier as personal information for the purposes of this Chapter or a law relating to privacy.</w:t>
      </w:r>
    </w:p>
    <w:p w14:paraId="372E9EEE" w14:textId="77777777" w:rsidR="00DB6E47" w:rsidRPr="003D647F" w:rsidRDefault="00DB6E47" w:rsidP="00DB6E47">
      <w:pPr>
        <w:pStyle w:val="PageBreak"/>
      </w:pPr>
      <w:r w:rsidRPr="003D647F">
        <w:br w:type="page"/>
      </w:r>
    </w:p>
    <w:p w14:paraId="1293DB8B" w14:textId="77777777" w:rsidR="00DB6E47" w:rsidRPr="005E03F7" w:rsidRDefault="00DB6E47" w:rsidP="00DB6E47">
      <w:pPr>
        <w:pStyle w:val="AH1Chapter"/>
      </w:pPr>
      <w:bookmarkStart w:id="524" w:name="_Toc83625868"/>
      <w:r w:rsidRPr="005E03F7">
        <w:rPr>
          <w:rStyle w:val="CharChapNo"/>
        </w:rPr>
        <w:lastRenderedPageBreak/>
        <w:t xml:space="preserve">Chapter 8 </w:t>
      </w:r>
      <w:r w:rsidRPr="00A95F9A">
        <w:rPr>
          <w:rFonts w:ascii="Helvetica" w:hAnsi="Helvetica" w:cs="Helvetica"/>
          <w:iCs/>
          <w:sz w:val="36"/>
          <w:szCs w:val="36"/>
        </w:rPr>
        <w:tab/>
      </w:r>
      <w:r w:rsidRPr="005E03F7">
        <w:rPr>
          <w:rStyle w:val="CharChapText"/>
          <w:rFonts w:ascii="Helvetica" w:hAnsi="Helvetica" w:cs="Helvetica"/>
          <w:iCs/>
          <w:sz w:val="36"/>
          <w:szCs w:val="36"/>
        </w:rPr>
        <w:t>Accreditation</w:t>
      </w:r>
      <w:bookmarkEnd w:id="524"/>
    </w:p>
    <w:p w14:paraId="4D5A171F" w14:textId="77777777" w:rsidR="00DB6E47" w:rsidRPr="005E03F7" w:rsidRDefault="00DB6E47" w:rsidP="00DB6E47">
      <w:pPr>
        <w:pStyle w:val="AH2Part"/>
      </w:pPr>
      <w:bookmarkStart w:id="525" w:name="_Toc83625869"/>
      <w:r w:rsidRPr="005E03F7">
        <w:rPr>
          <w:rStyle w:val="CharPartNo"/>
        </w:rPr>
        <w:t xml:space="preserve">Part 8.1 </w:t>
      </w:r>
      <w:r w:rsidRPr="00A95F9A">
        <w:rPr>
          <w:rFonts w:ascii="Helvetica" w:hAnsi="Helvetica" w:cs="Helvetica"/>
          <w:iCs/>
          <w:szCs w:val="32"/>
        </w:rPr>
        <w:tab/>
      </w:r>
      <w:r w:rsidRPr="005E03F7">
        <w:rPr>
          <w:rStyle w:val="CharPartText"/>
          <w:rFonts w:ascii="Helvetica" w:hAnsi="Helvetica" w:cs="Helvetica"/>
          <w:iCs/>
          <w:szCs w:val="32"/>
        </w:rPr>
        <w:t>Preliminary</w:t>
      </w:r>
      <w:bookmarkEnd w:id="525"/>
    </w:p>
    <w:p w14:paraId="1435DFE0" w14:textId="77777777" w:rsidR="00DB6E47" w:rsidRPr="007E1F9A" w:rsidRDefault="00DB6E47" w:rsidP="00DB6E47">
      <w:pPr>
        <w:pStyle w:val="AH5Sec"/>
      </w:pPr>
      <w:bookmarkStart w:id="526" w:name="_Toc83625870"/>
      <w:r w:rsidRPr="005E03F7">
        <w:rPr>
          <w:rStyle w:val="CharSectNo"/>
        </w:rPr>
        <w:t>456</w:t>
      </w:r>
      <w:r w:rsidRPr="007E1F9A">
        <w:tab/>
      </w:r>
      <w:r w:rsidRPr="007E1F9A">
        <w:rPr>
          <w:rFonts w:ascii="Helvetica" w:hAnsi="Helvetica" w:cs="Helvetica"/>
          <w:iCs/>
        </w:rPr>
        <w:t>Purpose of Ch 8</w:t>
      </w:r>
      <w:bookmarkEnd w:id="526"/>
    </w:p>
    <w:p w14:paraId="71DA3F28" w14:textId="77777777" w:rsidR="00DB6E47" w:rsidRPr="00C62D32" w:rsidRDefault="00DB6E47" w:rsidP="00DB6E47">
      <w:pPr>
        <w:pStyle w:val="Amainreturn"/>
      </w:pPr>
      <w:r w:rsidRPr="00C62D32">
        <w:t>The purpose of accreditation under this Law is to allow operators of heavy vehicles who implement management systems that achieve the objectives of particular aspects of this Law to be subject to alternative requirements under this Law, in relation to the aspects, that are more suited to the operators’ business operations.</w:t>
      </w:r>
    </w:p>
    <w:p w14:paraId="5CB5D6DE" w14:textId="77777777" w:rsidR="00DB6E47" w:rsidRPr="007E1F9A" w:rsidRDefault="00DB6E47" w:rsidP="00DB6E47">
      <w:pPr>
        <w:pStyle w:val="AH5Sec"/>
      </w:pPr>
      <w:bookmarkStart w:id="527" w:name="_Toc83625871"/>
      <w:r w:rsidRPr="005E03F7">
        <w:rPr>
          <w:rStyle w:val="CharSectNo"/>
        </w:rPr>
        <w:t>457</w:t>
      </w:r>
      <w:r w:rsidRPr="007E1F9A">
        <w:tab/>
      </w:r>
      <w:r w:rsidRPr="007E1F9A">
        <w:rPr>
          <w:rFonts w:ascii="Helvetica" w:hAnsi="Helvetica" w:cs="Helvetica"/>
          <w:iCs/>
        </w:rPr>
        <w:t>Definitions for Ch 8</w:t>
      </w:r>
      <w:bookmarkEnd w:id="527"/>
    </w:p>
    <w:p w14:paraId="4700EDDF" w14:textId="77777777" w:rsidR="00DB6E47" w:rsidRPr="00C62D32" w:rsidRDefault="00DB6E47" w:rsidP="00DB6E47">
      <w:pPr>
        <w:pStyle w:val="Amainreturn"/>
      </w:pPr>
      <w:r w:rsidRPr="00C62D32">
        <w:t>In this Chapter—</w:t>
      </w:r>
    </w:p>
    <w:p w14:paraId="09B25B15" w14:textId="77777777" w:rsidR="00DB6E47" w:rsidRPr="00041046" w:rsidRDefault="00DB6E47" w:rsidP="00DB6E47">
      <w:pPr>
        <w:pStyle w:val="aDef"/>
        <w:rPr>
          <w:bCs/>
        </w:rPr>
      </w:pPr>
      <w:r w:rsidRPr="00041046">
        <w:rPr>
          <w:rStyle w:val="charBoldItals"/>
        </w:rPr>
        <w:t>AFM fatigue management system</w:t>
      </w:r>
      <w:r w:rsidRPr="00041046">
        <w:t>, for an operator of a fatigue-regulated heavy vehicle, means the operator’s management system for ensuring compliance with the AFM standards and business rules, including by—</w:t>
      </w:r>
    </w:p>
    <w:p w14:paraId="1A5CEAA8" w14:textId="77777777" w:rsidR="00DB6E47" w:rsidRPr="00581CBC" w:rsidRDefault="00DB6E47" w:rsidP="00DB6E47">
      <w:pPr>
        <w:pStyle w:val="aDefpara"/>
      </w:pPr>
      <w:r w:rsidRPr="00FF4454">
        <w:tab/>
      </w:r>
      <w:r w:rsidRPr="00F04D8E">
        <w:rPr>
          <w:rFonts w:cs="Times"/>
          <w:bCs/>
          <w:iCs/>
        </w:rPr>
        <w:t>(a)</w:t>
      </w:r>
      <w:r w:rsidRPr="00FF4454">
        <w:rPr>
          <w:rStyle w:val="charBoldItals"/>
        </w:rPr>
        <w:tab/>
      </w:r>
      <w:r w:rsidRPr="00581CBC">
        <w:t>recording the name, current driver licence number and contact details of each driver who is currently operating under the operator’s AFM accreditation; and</w:t>
      </w:r>
    </w:p>
    <w:p w14:paraId="79A2E115" w14:textId="77777777" w:rsidR="00DB6E47" w:rsidRPr="00581CBC" w:rsidRDefault="00DB6E47" w:rsidP="00DB6E47">
      <w:pPr>
        <w:pStyle w:val="aDefpara"/>
      </w:pPr>
      <w:r w:rsidRPr="00581CBC">
        <w:tab/>
        <w:t>(b)</w:t>
      </w:r>
      <w:r w:rsidRPr="00581CBC">
        <w:tab/>
        <w:t>ensuring each of the drivers is in a fit state—</w:t>
      </w:r>
    </w:p>
    <w:p w14:paraId="78A1C95A" w14:textId="77777777" w:rsidR="00DB6E47" w:rsidRPr="006C3305" w:rsidRDefault="00DB6E47" w:rsidP="00DB6E47">
      <w:pPr>
        <w:pStyle w:val="aDefsubpara"/>
      </w:pPr>
      <w:r>
        <w:tab/>
      </w:r>
      <w:r w:rsidRPr="00F04D8E">
        <w:t>(i)</w:t>
      </w:r>
      <w:r w:rsidRPr="006C3305">
        <w:tab/>
        <w:t>to safely perform required duties; and</w:t>
      </w:r>
    </w:p>
    <w:p w14:paraId="71B68318" w14:textId="77777777" w:rsidR="00DB6E47" w:rsidRPr="00581CBC" w:rsidRDefault="00DB6E47" w:rsidP="00581CBC">
      <w:pPr>
        <w:pStyle w:val="Asubpara"/>
      </w:pPr>
      <w:r w:rsidRPr="00581CBC">
        <w:tab/>
        <w:t>(ii)</w:t>
      </w:r>
      <w:r w:rsidRPr="00581CBC">
        <w:tab/>
        <w:t>to meet any specified medical requirements; and</w:t>
      </w:r>
    </w:p>
    <w:p w14:paraId="01D0243D" w14:textId="77777777" w:rsidR="00DB6E47" w:rsidRPr="00581CBC" w:rsidRDefault="00DB6E47" w:rsidP="00DB6E47">
      <w:pPr>
        <w:pStyle w:val="aDefpara"/>
      </w:pPr>
      <w:r w:rsidRPr="00FF4454">
        <w:tab/>
      </w:r>
      <w:r w:rsidRPr="00F04D8E">
        <w:rPr>
          <w:rFonts w:cs="Times"/>
          <w:bCs/>
          <w:iCs/>
        </w:rPr>
        <w:t>(c)</w:t>
      </w:r>
      <w:r w:rsidRPr="00581CBC">
        <w:tab/>
        <w:t>ensuring each of the drivers—</w:t>
      </w:r>
    </w:p>
    <w:p w14:paraId="290AD6A8" w14:textId="77777777" w:rsidR="00DB6E47" w:rsidRPr="006C3305" w:rsidRDefault="00DB6E47" w:rsidP="00DB6E47">
      <w:pPr>
        <w:pStyle w:val="aDefsubpara"/>
      </w:pPr>
      <w:r>
        <w:tab/>
      </w:r>
      <w:r w:rsidRPr="00F04D8E">
        <w:t>(i)</w:t>
      </w:r>
      <w:r w:rsidRPr="006C3305">
        <w:tab/>
        <w:t>has been inducted into the system; and</w:t>
      </w:r>
    </w:p>
    <w:p w14:paraId="1FD9C21A" w14:textId="77777777" w:rsidR="00DB6E47" w:rsidRPr="00581CBC" w:rsidRDefault="00DB6E47" w:rsidP="00581CBC">
      <w:pPr>
        <w:pStyle w:val="Asubpara"/>
      </w:pPr>
      <w:r w:rsidRPr="00581CBC">
        <w:tab/>
        <w:t>(ii)</w:t>
      </w:r>
      <w:r w:rsidRPr="00581CBC">
        <w:tab/>
        <w:t>has been informed of the AFM hours applying under the operator’s AFM accreditation; and</w:t>
      </w:r>
    </w:p>
    <w:p w14:paraId="7FF82C78" w14:textId="77777777" w:rsidR="00DB6E47" w:rsidRPr="00581CBC" w:rsidRDefault="00DB6E47" w:rsidP="00DB6E47">
      <w:pPr>
        <w:pStyle w:val="aDefpara"/>
      </w:pPr>
      <w:r w:rsidRPr="00FF4454">
        <w:lastRenderedPageBreak/>
        <w:tab/>
      </w:r>
      <w:r w:rsidRPr="00F04D8E">
        <w:rPr>
          <w:rFonts w:cs="Times"/>
          <w:bCs/>
          <w:iCs/>
        </w:rPr>
        <w:t>(d)</w:t>
      </w:r>
      <w:r w:rsidRPr="00FF4454">
        <w:rPr>
          <w:rStyle w:val="charBoldItals"/>
        </w:rPr>
        <w:tab/>
      </w:r>
      <w:r w:rsidRPr="00581CBC">
        <w:t>ensuring anyone employed in the operator’s business, who has responsibilities relating to scheduling or managing the fatigue of the drivers—</w:t>
      </w:r>
    </w:p>
    <w:p w14:paraId="6ECEED4E" w14:textId="77777777" w:rsidR="00DB6E47" w:rsidRPr="006C3305" w:rsidRDefault="00DB6E47" w:rsidP="00DB6E47">
      <w:pPr>
        <w:pStyle w:val="aDefsubpara"/>
      </w:pPr>
      <w:r>
        <w:tab/>
      </w:r>
      <w:r w:rsidRPr="00F04D8E">
        <w:t>(i)</w:t>
      </w:r>
      <w:r w:rsidRPr="006C3305">
        <w:tab/>
        <w:t>has been inducted into the system; and</w:t>
      </w:r>
    </w:p>
    <w:p w14:paraId="1372B0F7" w14:textId="77777777" w:rsidR="00DB6E47" w:rsidRPr="00581CBC" w:rsidRDefault="00DB6E47" w:rsidP="00581CBC">
      <w:pPr>
        <w:pStyle w:val="Asubpara"/>
      </w:pPr>
      <w:r w:rsidRPr="00581CBC">
        <w:tab/>
        <w:t>(ii)</w:t>
      </w:r>
      <w:r w:rsidRPr="00581CBC">
        <w:tab/>
        <w:t>has been informed of the AFM hours applying under the operator’s AFM accreditation.</w:t>
      </w:r>
    </w:p>
    <w:p w14:paraId="31FBAF4D" w14:textId="77777777" w:rsidR="00DB6E47" w:rsidRPr="00041046" w:rsidRDefault="00DB6E47" w:rsidP="00DB6E47">
      <w:pPr>
        <w:pStyle w:val="aDef"/>
        <w:rPr>
          <w:bCs/>
        </w:rPr>
      </w:pPr>
      <w:r w:rsidRPr="00041046">
        <w:rPr>
          <w:rStyle w:val="charBoldItals"/>
        </w:rPr>
        <w:t>AFM standards and business rules</w:t>
      </w:r>
      <w:r w:rsidRPr="00041046">
        <w:t xml:space="preserve"> means the standards and business rules for advanced fatigue management approved by the responsible Ministers.</w:t>
      </w:r>
    </w:p>
    <w:p w14:paraId="1F80DFF6" w14:textId="77777777" w:rsidR="00DB6E47" w:rsidRPr="00C96203" w:rsidRDefault="00DB6E47" w:rsidP="00DB6E47">
      <w:pPr>
        <w:pStyle w:val="aNote"/>
      </w:pPr>
      <w:r w:rsidRPr="00FF4454">
        <w:rPr>
          <w:rStyle w:val="charItals"/>
        </w:rPr>
        <w:t>Note</w:t>
      </w:r>
      <w:r w:rsidRPr="00C96203">
        <w:rPr>
          <w:rFonts w:cs="Times"/>
          <w:bCs/>
          <w:iCs/>
        </w:rPr>
        <w:t>—</w:t>
      </w:r>
    </w:p>
    <w:p w14:paraId="2E1CA2AE" w14:textId="77777777" w:rsidR="00DB6E47" w:rsidRPr="00C96203" w:rsidRDefault="00DB6E47" w:rsidP="00DB6E47">
      <w:pPr>
        <w:pStyle w:val="aNoteTextss"/>
      </w:pPr>
      <w:r w:rsidRPr="00C96203">
        <w:t>A copy of the AFM standards and business rules is published on the Regulator’s website.</w:t>
      </w:r>
    </w:p>
    <w:p w14:paraId="1B99BD89" w14:textId="77777777" w:rsidR="00DB6E47" w:rsidRPr="00041046" w:rsidRDefault="00DB6E47" w:rsidP="00DB6E47">
      <w:pPr>
        <w:pStyle w:val="aDef"/>
        <w:rPr>
          <w:bCs/>
        </w:rPr>
      </w:pPr>
      <w:r w:rsidRPr="00041046">
        <w:rPr>
          <w:rStyle w:val="charBoldItals"/>
        </w:rPr>
        <w:t>approved</w:t>
      </w:r>
      <w:r w:rsidRPr="00041046">
        <w:t>, by the responsible Ministers, means approved by the responsible Ministers under section 654.</w:t>
      </w:r>
    </w:p>
    <w:p w14:paraId="7408FFD1" w14:textId="77777777" w:rsidR="00DB6E47" w:rsidRPr="00041046" w:rsidRDefault="00DB6E47" w:rsidP="00DB6E47">
      <w:pPr>
        <w:pStyle w:val="aDef"/>
        <w:rPr>
          <w:bCs/>
        </w:rPr>
      </w:pPr>
      <w:r w:rsidRPr="00041046">
        <w:rPr>
          <w:rStyle w:val="charBoldItals"/>
        </w:rPr>
        <w:t>approved auditor</w:t>
      </w:r>
      <w:r w:rsidRPr="00041046">
        <w:t xml:space="preserve"> means an auditor of a class approved by the responsible Ministers.</w:t>
      </w:r>
    </w:p>
    <w:p w14:paraId="184AE6F8" w14:textId="77777777" w:rsidR="00DB6E47" w:rsidRPr="00C96203" w:rsidRDefault="00DB6E47" w:rsidP="00DB6E47">
      <w:pPr>
        <w:pStyle w:val="aNote"/>
      </w:pPr>
      <w:r w:rsidRPr="00FF4454">
        <w:rPr>
          <w:rStyle w:val="charItals"/>
        </w:rPr>
        <w:t>Note</w:t>
      </w:r>
      <w:r w:rsidRPr="00C96203">
        <w:rPr>
          <w:rFonts w:cs="Times"/>
          <w:bCs/>
          <w:iCs/>
        </w:rPr>
        <w:t>—</w:t>
      </w:r>
    </w:p>
    <w:p w14:paraId="0C8B7D42" w14:textId="77777777" w:rsidR="00DB6E47" w:rsidRPr="00C96203" w:rsidRDefault="00DB6E47" w:rsidP="00DB6E47">
      <w:pPr>
        <w:pStyle w:val="aNoteTextss"/>
      </w:pPr>
      <w:r w:rsidRPr="00C96203">
        <w:t>Details of the approved classes are published on the Regulator’s website.</w:t>
      </w:r>
    </w:p>
    <w:p w14:paraId="5E50F330" w14:textId="77777777" w:rsidR="00DB6E47" w:rsidRPr="00041046" w:rsidRDefault="00DB6E47" w:rsidP="00DB6E47">
      <w:pPr>
        <w:pStyle w:val="aDef"/>
        <w:rPr>
          <w:bCs/>
        </w:rPr>
      </w:pPr>
      <w:r w:rsidRPr="00041046">
        <w:rPr>
          <w:rStyle w:val="charBoldItals"/>
        </w:rPr>
        <w:t>BFM fatigue management system</w:t>
      </w:r>
      <w:r w:rsidRPr="00041046">
        <w:t>, for an operator of a fatigue-regulated heavy vehicle, means the operator’s management system for ensuring compliance with the BFM standards and business rules, including by—</w:t>
      </w:r>
    </w:p>
    <w:p w14:paraId="628E6AB4" w14:textId="77777777"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recording the name, current driver licence number and contact details of each driver who is currently operating under the operator’s BFM accreditation; and</w:t>
      </w:r>
    </w:p>
    <w:p w14:paraId="0CA0554F" w14:textId="77777777" w:rsidR="00DB6E47" w:rsidRPr="003945F2" w:rsidRDefault="00DB6E47" w:rsidP="00DB6E47">
      <w:pPr>
        <w:pStyle w:val="aDefpara"/>
      </w:pPr>
      <w:r w:rsidRPr="003945F2">
        <w:tab/>
        <w:t>(b)</w:t>
      </w:r>
      <w:r w:rsidRPr="003945F2">
        <w:tab/>
        <w:t>ensuring each of the drivers is in a fit state—</w:t>
      </w:r>
    </w:p>
    <w:p w14:paraId="7DF569F9" w14:textId="77777777" w:rsidR="00DB6E47" w:rsidRPr="006C3305" w:rsidRDefault="00DB6E47" w:rsidP="00DB6E47">
      <w:pPr>
        <w:pStyle w:val="aDefsubpara"/>
      </w:pPr>
      <w:r>
        <w:tab/>
      </w:r>
      <w:r w:rsidRPr="00F04D8E">
        <w:t>(i)</w:t>
      </w:r>
      <w:r w:rsidRPr="006C3305">
        <w:tab/>
        <w:t>to safely perform required duties; and</w:t>
      </w:r>
    </w:p>
    <w:p w14:paraId="4AEF7117" w14:textId="77777777" w:rsidR="00DB6E47" w:rsidRPr="003945F2" w:rsidRDefault="00DB6E47" w:rsidP="003945F2">
      <w:pPr>
        <w:pStyle w:val="Asubpara"/>
      </w:pPr>
      <w:r w:rsidRPr="003945F2">
        <w:tab/>
        <w:t>(ii)</w:t>
      </w:r>
      <w:r w:rsidRPr="003945F2">
        <w:tab/>
        <w:t>to meet any specified medical requirements; and</w:t>
      </w:r>
    </w:p>
    <w:p w14:paraId="5ED24E1B" w14:textId="77777777" w:rsidR="00DB6E47" w:rsidRPr="006C3305" w:rsidRDefault="00DB6E47" w:rsidP="00B03621">
      <w:pPr>
        <w:pStyle w:val="aDefpara"/>
        <w:keepNext/>
      </w:pPr>
      <w:r w:rsidRPr="00FF4454">
        <w:lastRenderedPageBreak/>
        <w:tab/>
      </w:r>
      <w:r w:rsidRPr="00F04D8E">
        <w:rPr>
          <w:rFonts w:cs="Times"/>
          <w:bCs/>
          <w:iCs/>
        </w:rPr>
        <w:t>(c)</w:t>
      </w:r>
      <w:r w:rsidRPr="00FF4454">
        <w:rPr>
          <w:rStyle w:val="charBoldItals"/>
        </w:rPr>
        <w:tab/>
        <w:t>ensuring each of the drivers—</w:t>
      </w:r>
    </w:p>
    <w:p w14:paraId="450B37FA" w14:textId="77777777" w:rsidR="00DB6E47" w:rsidRPr="006C3305" w:rsidRDefault="00DB6E47" w:rsidP="00DB6E47">
      <w:pPr>
        <w:pStyle w:val="aDefsubpara"/>
      </w:pPr>
      <w:r>
        <w:tab/>
      </w:r>
      <w:r w:rsidRPr="00F04D8E">
        <w:t>(i)</w:t>
      </w:r>
      <w:r w:rsidRPr="006C3305">
        <w:tab/>
        <w:t>has been inducted into the system; and</w:t>
      </w:r>
    </w:p>
    <w:p w14:paraId="5A6F4750" w14:textId="77777777" w:rsidR="00DB6E47" w:rsidRPr="003945F2" w:rsidRDefault="00DB6E47" w:rsidP="003945F2">
      <w:pPr>
        <w:pStyle w:val="Asubpara"/>
      </w:pPr>
      <w:r w:rsidRPr="003945F2">
        <w:tab/>
        <w:t>(ii)</w:t>
      </w:r>
      <w:r w:rsidRPr="003945F2">
        <w:tab/>
        <w:t>has been informed of the BFM hours; and</w:t>
      </w:r>
    </w:p>
    <w:p w14:paraId="7A0FAB90" w14:textId="77777777" w:rsidR="00DB6E47" w:rsidRPr="003945F2" w:rsidRDefault="00DB6E47" w:rsidP="00DB6E47">
      <w:pPr>
        <w:pStyle w:val="aDefpara"/>
      </w:pPr>
      <w:r w:rsidRPr="00FF4454">
        <w:tab/>
      </w:r>
      <w:r w:rsidRPr="00F04D8E">
        <w:rPr>
          <w:rFonts w:cs="Times"/>
          <w:bCs/>
          <w:iCs/>
        </w:rPr>
        <w:t>(d)</w:t>
      </w:r>
      <w:r w:rsidRPr="003945F2">
        <w:tab/>
        <w:t>ensuring anyone employed in the operator’s business, who has responsibilities relating to scheduling or managing the fatigue of the drivers—</w:t>
      </w:r>
    </w:p>
    <w:p w14:paraId="4635BBE8" w14:textId="77777777" w:rsidR="00DB6E47" w:rsidRPr="006C3305" w:rsidRDefault="00DB6E47" w:rsidP="00DB6E47">
      <w:pPr>
        <w:pStyle w:val="aDefsubpara"/>
      </w:pPr>
      <w:r>
        <w:tab/>
      </w:r>
      <w:r w:rsidRPr="00F04D8E">
        <w:t>(i)</w:t>
      </w:r>
      <w:r w:rsidRPr="006C3305">
        <w:tab/>
        <w:t>has been inducted into the system; and</w:t>
      </w:r>
    </w:p>
    <w:p w14:paraId="16769238" w14:textId="77777777" w:rsidR="00DB6E47" w:rsidRPr="003945F2" w:rsidRDefault="00DB6E47" w:rsidP="003945F2">
      <w:pPr>
        <w:pStyle w:val="Asubpara"/>
      </w:pPr>
      <w:r w:rsidRPr="003945F2">
        <w:tab/>
        <w:t>(ii)</w:t>
      </w:r>
      <w:r w:rsidRPr="003945F2">
        <w:tab/>
        <w:t>has been informed of the BFM hours.</w:t>
      </w:r>
    </w:p>
    <w:p w14:paraId="5DD42723" w14:textId="77777777" w:rsidR="00DB6E47" w:rsidRPr="00041046" w:rsidRDefault="00DB6E47" w:rsidP="00DB6E47">
      <w:pPr>
        <w:pStyle w:val="aDef"/>
        <w:rPr>
          <w:bCs/>
        </w:rPr>
      </w:pPr>
      <w:r w:rsidRPr="00041046">
        <w:rPr>
          <w:rStyle w:val="charBoldItals"/>
        </w:rPr>
        <w:t xml:space="preserve">BFM standards and business rules </w:t>
      </w:r>
      <w:r w:rsidRPr="00041046">
        <w:t>means the standards and business rules for basic fatigue management approved by the responsible Ministers.</w:t>
      </w:r>
    </w:p>
    <w:p w14:paraId="2EEE5DC8" w14:textId="77777777" w:rsidR="00DB6E47" w:rsidRPr="00C96203" w:rsidRDefault="00DB6E47" w:rsidP="00DB6E47">
      <w:pPr>
        <w:pStyle w:val="aNote"/>
      </w:pPr>
      <w:r w:rsidRPr="00FF4454">
        <w:rPr>
          <w:rStyle w:val="charItals"/>
        </w:rPr>
        <w:t>Note</w:t>
      </w:r>
      <w:r w:rsidRPr="00C96203">
        <w:rPr>
          <w:rFonts w:cs="Times"/>
          <w:bCs/>
          <w:iCs/>
        </w:rPr>
        <w:t>—</w:t>
      </w:r>
    </w:p>
    <w:p w14:paraId="099082FF" w14:textId="77777777" w:rsidR="00DB6E47" w:rsidRPr="00C96203" w:rsidRDefault="00DB6E47" w:rsidP="00DB6E47">
      <w:pPr>
        <w:pStyle w:val="aNoteTextss"/>
      </w:pPr>
      <w:r w:rsidRPr="00C96203">
        <w:t>A copy of the BFM standards and business rules is published on the Regulator’s website.</w:t>
      </w:r>
    </w:p>
    <w:p w14:paraId="07FE331A" w14:textId="77777777" w:rsidR="00DB6E47" w:rsidRPr="00041046" w:rsidRDefault="00DB6E47" w:rsidP="00DB6E47">
      <w:pPr>
        <w:pStyle w:val="aDef"/>
        <w:rPr>
          <w:bCs/>
        </w:rPr>
      </w:pPr>
      <w:r w:rsidRPr="00041046">
        <w:rPr>
          <w:rStyle w:val="charBoldItals"/>
        </w:rPr>
        <w:t>maintenance management standards and business rules</w:t>
      </w:r>
      <w:r w:rsidRPr="00041046">
        <w:t xml:space="preserve"> means the standards and business rules for heavy vehicle maintenance management approved by the responsible Ministers.</w:t>
      </w:r>
    </w:p>
    <w:p w14:paraId="3DFB2458" w14:textId="77777777" w:rsidR="00DB6E47" w:rsidRPr="00C96203" w:rsidRDefault="00DB6E47" w:rsidP="00DB6E47">
      <w:pPr>
        <w:pStyle w:val="aNote"/>
      </w:pPr>
      <w:r w:rsidRPr="00FF4454">
        <w:rPr>
          <w:rStyle w:val="charItals"/>
        </w:rPr>
        <w:t>Note</w:t>
      </w:r>
      <w:r w:rsidRPr="00C96203">
        <w:rPr>
          <w:rFonts w:cs="Times"/>
          <w:bCs/>
          <w:iCs/>
        </w:rPr>
        <w:t>—</w:t>
      </w:r>
    </w:p>
    <w:p w14:paraId="66AE0AC6" w14:textId="77777777" w:rsidR="00DB6E47" w:rsidRPr="00C96203" w:rsidRDefault="00DB6E47" w:rsidP="00DB6E47">
      <w:pPr>
        <w:pStyle w:val="aNoteTextss"/>
      </w:pPr>
      <w:r w:rsidRPr="00C96203">
        <w:t>A copy of the maintenance management standards and business rules is published on the Regulator’s website.</w:t>
      </w:r>
    </w:p>
    <w:p w14:paraId="3DE040B8" w14:textId="77777777" w:rsidR="00DB6E47" w:rsidRPr="00041046" w:rsidRDefault="00DB6E47" w:rsidP="00DB6E47">
      <w:pPr>
        <w:pStyle w:val="aDef"/>
        <w:rPr>
          <w:bCs/>
        </w:rPr>
      </w:pPr>
      <w:r w:rsidRPr="00041046">
        <w:rPr>
          <w:rStyle w:val="charBoldItals"/>
        </w:rPr>
        <w:t>maintenance management system</w:t>
      </w:r>
      <w:r w:rsidRPr="00041046">
        <w:t>, for an operator of a heavy vehicle, means the operator’s management system for ensuring compliance with the maintenance management standards and business rules, including by—</w:t>
      </w:r>
    </w:p>
    <w:p w14:paraId="5F1FB72C" w14:textId="77777777"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identifying each heavy vehicle currently being operated in accordance with the management system; and</w:t>
      </w:r>
    </w:p>
    <w:p w14:paraId="5EC2F524" w14:textId="77777777" w:rsidR="00DB6E47" w:rsidRPr="003945F2" w:rsidRDefault="00DB6E47" w:rsidP="005D18E7">
      <w:pPr>
        <w:pStyle w:val="aDefpara"/>
        <w:keepNext/>
      </w:pPr>
      <w:r w:rsidRPr="003945F2">
        <w:lastRenderedPageBreak/>
        <w:tab/>
        <w:t>(b)</w:t>
      </w:r>
      <w:r w:rsidRPr="003945F2">
        <w:tab/>
        <w:t>for each heavy vehicle being operated in accordance with the management system, having measures for the following—</w:t>
      </w:r>
    </w:p>
    <w:p w14:paraId="78433DF7" w14:textId="77777777" w:rsidR="00DB6E47" w:rsidRPr="006C3305" w:rsidRDefault="00DB6E47" w:rsidP="00DB6E47">
      <w:pPr>
        <w:pStyle w:val="aDefsubpara"/>
      </w:pPr>
      <w:r>
        <w:tab/>
      </w:r>
      <w:r w:rsidRPr="00F04D8E">
        <w:t>(i)</w:t>
      </w:r>
      <w:r w:rsidRPr="006C3305">
        <w:tab/>
        <w:t>daily checks of the condition of the vehicle, and its components and equipment, for each day on which the vehicle is driven on a road;</w:t>
      </w:r>
    </w:p>
    <w:p w14:paraId="46AD2F68" w14:textId="77777777" w:rsidR="00DB6E47" w:rsidRPr="003945F2" w:rsidRDefault="00DB6E47" w:rsidP="003945F2">
      <w:pPr>
        <w:pStyle w:val="Asubpara"/>
      </w:pPr>
      <w:r w:rsidRPr="003945F2">
        <w:tab/>
        <w:t>(ii)</w:t>
      </w:r>
      <w:r w:rsidRPr="003945F2">
        <w:tab/>
        <w:t>recording and reporting vehicle faults;</w:t>
      </w:r>
    </w:p>
    <w:p w14:paraId="7D007A3A" w14:textId="77777777" w:rsidR="00DB6E47" w:rsidRPr="003945F2" w:rsidRDefault="00DB6E47" w:rsidP="003945F2">
      <w:pPr>
        <w:pStyle w:val="Asubpara"/>
      </w:pPr>
      <w:r w:rsidRPr="003945F2">
        <w:tab/>
        <w:t>(iii)</w:t>
      </w:r>
      <w:r w:rsidRPr="003945F2">
        <w:tab/>
        <w:t>identifying, assessing and rectifying all identified faults;</w:t>
      </w:r>
    </w:p>
    <w:p w14:paraId="165DEDEC" w14:textId="77777777" w:rsidR="00DB6E47" w:rsidRPr="003945F2" w:rsidRDefault="00DB6E47" w:rsidP="003945F2">
      <w:pPr>
        <w:pStyle w:val="Asubpara"/>
      </w:pPr>
      <w:r w:rsidRPr="003945F2">
        <w:tab/>
        <w:t>(iv)</w:t>
      </w:r>
      <w:r w:rsidRPr="003945F2">
        <w:tab/>
        <w:t>periodic maintenance of the vehicle; and</w:t>
      </w:r>
    </w:p>
    <w:p w14:paraId="2C7D2B1C" w14:textId="77777777" w:rsidR="00DB6E47" w:rsidRPr="003945F2" w:rsidRDefault="00DB6E47" w:rsidP="00DB6E47">
      <w:pPr>
        <w:pStyle w:val="aDefpara"/>
      </w:pPr>
      <w:r w:rsidRPr="00FF4454">
        <w:tab/>
      </w:r>
      <w:r w:rsidRPr="00F04D8E">
        <w:rPr>
          <w:rFonts w:cs="Times"/>
          <w:bCs/>
          <w:iCs/>
        </w:rPr>
        <w:t>(c)</w:t>
      </w:r>
      <w:r w:rsidRPr="00FF4454">
        <w:rPr>
          <w:rStyle w:val="charBoldItals"/>
        </w:rPr>
        <w:tab/>
      </w:r>
      <w:r w:rsidRPr="003945F2">
        <w:t>keeping records relating to the operation of the management system.</w:t>
      </w:r>
    </w:p>
    <w:p w14:paraId="58EBA9BC" w14:textId="77777777" w:rsidR="00DB6E47" w:rsidRPr="00041046" w:rsidRDefault="00DB6E47" w:rsidP="00DB6E47">
      <w:pPr>
        <w:pStyle w:val="aDef"/>
        <w:rPr>
          <w:bCs/>
        </w:rPr>
      </w:pPr>
      <w:r w:rsidRPr="00041046">
        <w:rPr>
          <w:rStyle w:val="charBoldItals"/>
        </w:rPr>
        <w:t>mass management standards and business rules</w:t>
      </w:r>
      <w:r w:rsidRPr="00041046">
        <w:t xml:space="preserve"> means the standards and business rules for heavy vehicle mass management approved by the responsible Ministers.</w:t>
      </w:r>
    </w:p>
    <w:p w14:paraId="63DB85F5" w14:textId="77777777" w:rsidR="00DB6E47" w:rsidRPr="00C96203" w:rsidRDefault="00DB6E47" w:rsidP="00DB6E47">
      <w:pPr>
        <w:pStyle w:val="aNote"/>
      </w:pPr>
      <w:r w:rsidRPr="00FF4454">
        <w:rPr>
          <w:rStyle w:val="charItals"/>
        </w:rPr>
        <w:t>Note</w:t>
      </w:r>
      <w:r w:rsidRPr="00C96203">
        <w:rPr>
          <w:rFonts w:cs="Times"/>
          <w:bCs/>
          <w:iCs/>
        </w:rPr>
        <w:t>—</w:t>
      </w:r>
    </w:p>
    <w:p w14:paraId="77AF0116" w14:textId="77777777" w:rsidR="00DB6E47" w:rsidRPr="00C96203" w:rsidRDefault="00DB6E47" w:rsidP="00DB6E47">
      <w:pPr>
        <w:pStyle w:val="aNoteTextss"/>
      </w:pPr>
      <w:r w:rsidRPr="00C96203">
        <w:t>A copy of the mass management standards and business rules is published on the Regulator’s website.</w:t>
      </w:r>
    </w:p>
    <w:p w14:paraId="0FC99737" w14:textId="77777777" w:rsidR="00DB6E47" w:rsidRPr="00041046" w:rsidRDefault="00DB6E47" w:rsidP="00DB6E47">
      <w:pPr>
        <w:pStyle w:val="aDef"/>
        <w:rPr>
          <w:bCs/>
        </w:rPr>
      </w:pPr>
      <w:r w:rsidRPr="00041046">
        <w:rPr>
          <w:rStyle w:val="charBoldItals"/>
        </w:rPr>
        <w:t>mass management system</w:t>
      </w:r>
      <w:r w:rsidRPr="00041046">
        <w:t>, for an operator of a heavy vehicle, means the operator’s management system for ensuring compliance with the mass management standards and business rules, including by—</w:t>
      </w:r>
    </w:p>
    <w:p w14:paraId="43BAD3F3" w14:textId="77777777"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identifying each heavy vehicle currently being operated in accordance with the management system; and</w:t>
      </w:r>
    </w:p>
    <w:p w14:paraId="7161E93E" w14:textId="77777777" w:rsidR="00DB6E47" w:rsidRPr="003945F2" w:rsidRDefault="00DB6E47" w:rsidP="00DB6E47">
      <w:pPr>
        <w:pStyle w:val="aDefpara"/>
      </w:pPr>
      <w:r w:rsidRPr="003945F2">
        <w:tab/>
        <w:t>(b)</w:t>
      </w:r>
      <w:r w:rsidRPr="003945F2">
        <w:tab/>
        <w:t>for each heavy vehicle being operated in accordance with the management system, having measures for the following—</w:t>
      </w:r>
    </w:p>
    <w:p w14:paraId="543DD2CD" w14:textId="77777777" w:rsidR="007929E9" w:rsidRPr="003323FC" w:rsidRDefault="007929E9" w:rsidP="00DB6E47">
      <w:pPr>
        <w:pStyle w:val="aDefsubpara"/>
      </w:pPr>
      <w:r w:rsidRPr="003323FC">
        <w:tab/>
        <w:t>(i)</w:t>
      </w:r>
      <w:r w:rsidRPr="003323FC">
        <w:tab/>
        <w:t>weighing or otherwise assessing the weight of the vehicle and its load before the vehicle starts a journey, or starts a part of a journey, after the load is increased;</w:t>
      </w:r>
    </w:p>
    <w:p w14:paraId="62CCF63C" w14:textId="77777777" w:rsidR="00DB6E47" w:rsidRPr="006C3305" w:rsidRDefault="00DB6E47" w:rsidP="00DB6E47">
      <w:pPr>
        <w:pStyle w:val="aDefsubpara"/>
      </w:pPr>
      <w:r>
        <w:tab/>
        <w:t>(ii)</w:t>
      </w:r>
      <w:r w:rsidRPr="006C3305">
        <w:tab/>
        <w:t>recording each measurement made under subparagraph</w:t>
      </w:r>
      <w:r w:rsidR="003945F2">
        <w:t xml:space="preserve"> </w:t>
      </w:r>
      <w:r w:rsidRPr="00F04D8E">
        <w:t>(i)</w:t>
      </w:r>
      <w:r w:rsidR="003945F2">
        <w:t xml:space="preserve"> </w:t>
      </w:r>
      <w:r w:rsidRPr="006C3305">
        <w:t>in a form that allows the record to be readily available for inspection by an approved auditor;</w:t>
      </w:r>
    </w:p>
    <w:p w14:paraId="6C0F4DFC" w14:textId="77777777" w:rsidR="00DB6E47" w:rsidRPr="003945F2" w:rsidRDefault="00DB6E47" w:rsidP="003945F2">
      <w:pPr>
        <w:pStyle w:val="Asubpara"/>
      </w:pPr>
      <w:r w:rsidRPr="003945F2">
        <w:lastRenderedPageBreak/>
        <w:tab/>
        <w:t>(iii)</w:t>
      </w:r>
      <w:r w:rsidRPr="003945F2">
        <w:tab/>
        <w:t>ensuring the vehicle’s suspension system accords with the specifications given by its manufacturer or a qualified mechanical engineer; and</w:t>
      </w:r>
    </w:p>
    <w:p w14:paraId="222FB5DC" w14:textId="77777777" w:rsidR="00DB6E47" w:rsidRPr="003945F2" w:rsidRDefault="00DB6E47" w:rsidP="00DB6E47">
      <w:pPr>
        <w:pStyle w:val="aDefpara"/>
      </w:pPr>
      <w:r w:rsidRPr="00FF4454">
        <w:tab/>
      </w:r>
      <w:r w:rsidRPr="00F04D8E">
        <w:rPr>
          <w:rFonts w:cs="Times"/>
          <w:bCs/>
          <w:iCs/>
        </w:rPr>
        <w:t>(c)</w:t>
      </w:r>
      <w:r w:rsidRPr="00FF4454">
        <w:rPr>
          <w:rStyle w:val="charBoldItals"/>
        </w:rPr>
        <w:tab/>
      </w:r>
      <w:r w:rsidRPr="003945F2">
        <w:t>keeping records relating to the operation of the management system.</w:t>
      </w:r>
    </w:p>
    <w:p w14:paraId="1B606F66" w14:textId="77777777" w:rsidR="00DB6E47" w:rsidRPr="00041046" w:rsidRDefault="00DB6E47" w:rsidP="00DB6E47">
      <w:pPr>
        <w:pStyle w:val="aDef"/>
        <w:rPr>
          <w:bCs/>
        </w:rPr>
      </w:pPr>
      <w:r w:rsidRPr="00041046">
        <w:rPr>
          <w:rStyle w:val="charBoldItals"/>
        </w:rPr>
        <w:t>relevant management system</w:t>
      </w:r>
      <w:r w:rsidRPr="00041046">
        <w:t xml:space="preserve"> means—</w:t>
      </w:r>
    </w:p>
    <w:p w14:paraId="5D9E518D" w14:textId="77777777"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for maintenance management accreditation—a maintenance management system; or</w:t>
      </w:r>
    </w:p>
    <w:p w14:paraId="1DAB8297" w14:textId="77777777" w:rsidR="00DB6E47" w:rsidRPr="003945F2" w:rsidRDefault="00DB6E47" w:rsidP="00DB6E47">
      <w:pPr>
        <w:pStyle w:val="aDefpara"/>
      </w:pPr>
      <w:r w:rsidRPr="003945F2">
        <w:tab/>
        <w:t>(b)</w:t>
      </w:r>
      <w:r w:rsidRPr="003945F2">
        <w:tab/>
        <w:t>for mass management accreditation—a mass management system; or</w:t>
      </w:r>
    </w:p>
    <w:p w14:paraId="57BD91B4" w14:textId="77777777" w:rsidR="00DB6E47" w:rsidRPr="003945F2" w:rsidRDefault="00DB6E47" w:rsidP="00DB6E47">
      <w:pPr>
        <w:pStyle w:val="aDefpara"/>
      </w:pPr>
      <w:r w:rsidRPr="003945F2">
        <w:tab/>
        <w:t>(c)</w:t>
      </w:r>
      <w:r w:rsidRPr="003945F2">
        <w:tab/>
        <w:t>for BFM accreditation—a BFM fatigue management system; or</w:t>
      </w:r>
    </w:p>
    <w:p w14:paraId="1E8B7EBC" w14:textId="77777777" w:rsidR="00DB6E47" w:rsidRPr="003945F2" w:rsidRDefault="00DB6E47" w:rsidP="00DB6E47">
      <w:pPr>
        <w:pStyle w:val="aDefpara"/>
      </w:pPr>
      <w:r w:rsidRPr="003945F2">
        <w:tab/>
        <w:t>(d)</w:t>
      </w:r>
      <w:r w:rsidRPr="003945F2">
        <w:tab/>
        <w:t>for AFM accreditation—an AFM fatigue management system.</w:t>
      </w:r>
    </w:p>
    <w:p w14:paraId="6889ABB1" w14:textId="77777777" w:rsidR="00DB6E47" w:rsidRPr="00041046" w:rsidRDefault="00DB6E47" w:rsidP="00DB6E47">
      <w:pPr>
        <w:pStyle w:val="aDef"/>
        <w:rPr>
          <w:bCs/>
        </w:rPr>
      </w:pPr>
      <w:r w:rsidRPr="00041046">
        <w:rPr>
          <w:rStyle w:val="charBoldItals"/>
        </w:rPr>
        <w:t>relevant standards and business rules</w:t>
      </w:r>
      <w:r w:rsidRPr="00041046">
        <w:t xml:space="preserve"> means—</w:t>
      </w:r>
    </w:p>
    <w:p w14:paraId="048C8464" w14:textId="77777777"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for maintenance management accreditation—the maintenance management standards and business rules; or</w:t>
      </w:r>
    </w:p>
    <w:p w14:paraId="1DBF90B3" w14:textId="77777777" w:rsidR="00DB6E47" w:rsidRPr="003945F2" w:rsidRDefault="00DB6E47" w:rsidP="00DB6E47">
      <w:pPr>
        <w:pStyle w:val="aDefpara"/>
      </w:pPr>
      <w:r w:rsidRPr="003945F2">
        <w:tab/>
        <w:t>(b)</w:t>
      </w:r>
      <w:r w:rsidRPr="003945F2">
        <w:tab/>
        <w:t>for mass management accreditation—the mass management standards and business rules; or</w:t>
      </w:r>
    </w:p>
    <w:p w14:paraId="591EE87C" w14:textId="77777777" w:rsidR="00DB6E47" w:rsidRPr="003945F2" w:rsidRDefault="00DB6E47" w:rsidP="00DB6E47">
      <w:pPr>
        <w:pStyle w:val="aDefpara"/>
      </w:pPr>
      <w:r w:rsidRPr="003945F2">
        <w:tab/>
        <w:t>(c)</w:t>
      </w:r>
      <w:r w:rsidRPr="003945F2">
        <w:tab/>
        <w:t>for BFM accreditation—the BFM standards and business rules; or</w:t>
      </w:r>
    </w:p>
    <w:p w14:paraId="11C9C580" w14:textId="77777777" w:rsidR="00DB6E47" w:rsidRPr="003945F2" w:rsidRDefault="00DB6E47" w:rsidP="00DB6E47">
      <w:pPr>
        <w:pStyle w:val="aDefpara"/>
      </w:pPr>
      <w:r w:rsidRPr="003945F2">
        <w:tab/>
        <w:t>(d)</w:t>
      </w:r>
      <w:r w:rsidRPr="003945F2">
        <w:tab/>
        <w:t>for AFM accreditation—the AFM standards and business rules.</w:t>
      </w:r>
    </w:p>
    <w:p w14:paraId="04AA7AEC" w14:textId="77777777" w:rsidR="00DB6E47" w:rsidRPr="003D647F" w:rsidRDefault="00DB6E47" w:rsidP="00DB6E47">
      <w:pPr>
        <w:pStyle w:val="PageBreak"/>
        <w:rPr>
          <w:rFonts w:eastAsiaTheme="minorHAnsi"/>
        </w:rPr>
      </w:pPr>
      <w:r w:rsidRPr="003D647F">
        <w:rPr>
          <w:rFonts w:eastAsiaTheme="minorHAnsi"/>
        </w:rPr>
        <w:br w:type="page"/>
      </w:r>
    </w:p>
    <w:p w14:paraId="1B3A64C9" w14:textId="77777777" w:rsidR="00DB6E47" w:rsidRPr="005E03F7" w:rsidRDefault="00DB6E47" w:rsidP="00DB6E47">
      <w:pPr>
        <w:pStyle w:val="AH2Part"/>
      </w:pPr>
      <w:bookmarkStart w:id="528" w:name="_Toc83625872"/>
      <w:r w:rsidRPr="005E03F7">
        <w:rPr>
          <w:rStyle w:val="CharPartNo"/>
        </w:rPr>
        <w:lastRenderedPageBreak/>
        <w:t xml:space="preserve">Part 8.2 </w:t>
      </w:r>
      <w:r w:rsidRPr="00A95F9A">
        <w:rPr>
          <w:rFonts w:ascii="Helvetica" w:hAnsi="Helvetica" w:cs="Helvetica"/>
          <w:iCs/>
          <w:szCs w:val="32"/>
        </w:rPr>
        <w:tab/>
      </w:r>
      <w:r w:rsidRPr="005E03F7">
        <w:rPr>
          <w:rStyle w:val="CharPartText"/>
          <w:rFonts w:ascii="Helvetica" w:hAnsi="Helvetica" w:cs="Helvetica"/>
          <w:iCs/>
          <w:szCs w:val="32"/>
        </w:rPr>
        <w:t>Grant of heavy vehicle accreditation</w:t>
      </w:r>
      <w:bookmarkEnd w:id="528"/>
    </w:p>
    <w:p w14:paraId="2A393D93" w14:textId="77777777" w:rsidR="00DB6E47" w:rsidRPr="007E1F9A" w:rsidRDefault="00DB6E47" w:rsidP="00DB6E47">
      <w:pPr>
        <w:pStyle w:val="AH5Sec"/>
      </w:pPr>
      <w:bookmarkStart w:id="529" w:name="_Toc83625873"/>
      <w:r w:rsidRPr="005E03F7">
        <w:rPr>
          <w:rStyle w:val="CharSectNo"/>
        </w:rPr>
        <w:t>458</w:t>
      </w:r>
      <w:r w:rsidRPr="007E1F9A">
        <w:tab/>
      </w:r>
      <w:r w:rsidRPr="007E1F9A">
        <w:rPr>
          <w:rFonts w:ascii="Helvetica" w:hAnsi="Helvetica" w:cs="Helvetica"/>
          <w:iCs/>
        </w:rPr>
        <w:t>Regulator’s power to grant heavy vehicle accreditation</w:t>
      </w:r>
      <w:bookmarkEnd w:id="529"/>
    </w:p>
    <w:p w14:paraId="70FBFFF9" w14:textId="77777777" w:rsidR="00DB6E47" w:rsidRPr="008B5FD9" w:rsidRDefault="008B5FD9" w:rsidP="008B5FD9">
      <w:pPr>
        <w:pStyle w:val="Amainreturn"/>
      </w:pPr>
      <w:r w:rsidRPr="008B5FD9">
        <w:t>The Regulator may grant heavy vehicle accreditation.</w:t>
      </w:r>
    </w:p>
    <w:p w14:paraId="0E97EFEB" w14:textId="77777777" w:rsidR="00DB6E47" w:rsidRPr="007E1F9A" w:rsidRDefault="00DB6E47" w:rsidP="00DB6E47">
      <w:pPr>
        <w:pStyle w:val="AH5Sec"/>
      </w:pPr>
      <w:bookmarkStart w:id="530" w:name="_Toc83625874"/>
      <w:r w:rsidRPr="005E03F7">
        <w:rPr>
          <w:rStyle w:val="CharSectNo"/>
        </w:rPr>
        <w:t>459</w:t>
      </w:r>
      <w:r w:rsidRPr="007E1F9A">
        <w:tab/>
      </w:r>
      <w:r w:rsidRPr="007E1F9A">
        <w:rPr>
          <w:rFonts w:ascii="Helvetica" w:hAnsi="Helvetica" w:cs="Helvetica"/>
          <w:iCs/>
        </w:rPr>
        <w:t>Application for heavy vehicle accreditation</w:t>
      </w:r>
      <w:bookmarkEnd w:id="530"/>
    </w:p>
    <w:p w14:paraId="75DBB29B" w14:textId="77777777" w:rsidR="00DB6E47" w:rsidRPr="00C62D32" w:rsidRDefault="00DB6E47" w:rsidP="00DB6E47">
      <w:pPr>
        <w:pStyle w:val="Amain"/>
      </w:pPr>
      <w:r w:rsidRPr="00C62D32">
        <w:tab/>
        <w:t>(1)</w:t>
      </w:r>
      <w:r w:rsidRPr="00C62D32">
        <w:tab/>
        <w:t>An operator of a heavy vehicle may apply to the Regulator for heavy vehicle accreditation under this Law.</w:t>
      </w:r>
    </w:p>
    <w:p w14:paraId="085FD2E8" w14:textId="77777777" w:rsidR="00DB6E47" w:rsidRPr="00C62D32" w:rsidRDefault="00DB6E47" w:rsidP="00DB6E47">
      <w:pPr>
        <w:pStyle w:val="Amain"/>
      </w:pPr>
      <w:r w:rsidRPr="00C62D32">
        <w:tab/>
        <w:t>(2)</w:t>
      </w:r>
      <w:r w:rsidRPr="00C62D32">
        <w:tab/>
        <w:t>The application must be—</w:t>
      </w:r>
    </w:p>
    <w:p w14:paraId="5F2AC5A7" w14:textId="77777777" w:rsidR="00DB6E47" w:rsidRPr="00544ED5" w:rsidRDefault="00DB6E47" w:rsidP="00DB6E47">
      <w:pPr>
        <w:pStyle w:val="Apara"/>
      </w:pPr>
      <w:r w:rsidRPr="00544ED5">
        <w:tab/>
        <w:t>(a)</w:t>
      </w:r>
      <w:r w:rsidRPr="00544ED5">
        <w:tab/>
        <w:t>in the approved form; and</w:t>
      </w:r>
    </w:p>
    <w:p w14:paraId="06ED7A6D" w14:textId="77777777" w:rsidR="00DB6E47" w:rsidRPr="00544ED5" w:rsidRDefault="00DB6E47" w:rsidP="00DB6E47">
      <w:pPr>
        <w:pStyle w:val="Apara"/>
      </w:pPr>
      <w:r w:rsidRPr="00544ED5">
        <w:tab/>
        <w:t>(b)</w:t>
      </w:r>
      <w:r w:rsidRPr="00544ED5">
        <w:tab/>
        <w:t>accompanied by the following—</w:t>
      </w:r>
    </w:p>
    <w:p w14:paraId="5F7E6A82" w14:textId="77777777" w:rsidR="00DB6E47" w:rsidRPr="00516F02" w:rsidRDefault="00DB6E47" w:rsidP="00DB6E47">
      <w:pPr>
        <w:pStyle w:val="Asubpara"/>
      </w:pPr>
      <w:r w:rsidRPr="00516F02">
        <w:tab/>
        <w:t>(i)</w:t>
      </w:r>
      <w:r w:rsidRPr="00516F02">
        <w:tab/>
        <w:t>a statement by the applicant that the applicant has a relevant management system for ensuring compliance with the relevant standards and business rules;</w:t>
      </w:r>
    </w:p>
    <w:p w14:paraId="0FC8DEF0" w14:textId="77777777" w:rsidR="00DB6E47" w:rsidRPr="00516F02" w:rsidRDefault="00DB6E47" w:rsidP="00DB6E47">
      <w:pPr>
        <w:pStyle w:val="Asubpara"/>
      </w:pPr>
      <w:r w:rsidRPr="00516F02">
        <w:tab/>
        <w:t>(ii)</w:t>
      </w:r>
      <w:r w:rsidRPr="00516F02">
        <w:tab/>
        <w:t>a statement from an approved auditor that the auditor considers the applicant’s relevant management system will ensure compliance with the relevant standards and business rules;</w:t>
      </w:r>
    </w:p>
    <w:p w14:paraId="281D4B45" w14:textId="77777777" w:rsidR="00DB6E47" w:rsidRPr="00516F02" w:rsidRDefault="00DB6E47" w:rsidP="00DB6E47">
      <w:pPr>
        <w:pStyle w:val="Asubpara"/>
      </w:pPr>
      <w:r w:rsidRPr="00516F02">
        <w:tab/>
        <w:t>(iii)</w:t>
      </w:r>
      <w:r w:rsidRPr="00516F02">
        <w:tab/>
        <w:t>any other information required for the application under the relevant standards and business rules;</w:t>
      </w:r>
    </w:p>
    <w:p w14:paraId="06DD64BF" w14:textId="77777777" w:rsidR="00DB6E47" w:rsidRPr="00516F02" w:rsidRDefault="00DB6E47" w:rsidP="00DB6E47">
      <w:pPr>
        <w:pStyle w:val="Asubpara"/>
      </w:pPr>
      <w:r w:rsidRPr="00516F02">
        <w:tab/>
        <w:t>(iv)</w:t>
      </w:r>
      <w:r w:rsidRPr="00516F02">
        <w:tab/>
        <w:t>the prescribed fee for the application.</w:t>
      </w:r>
    </w:p>
    <w:p w14:paraId="766E9C38" w14:textId="77777777" w:rsidR="00DB6E47" w:rsidRPr="00C62D32" w:rsidRDefault="00DB6E47" w:rsidP="00B03621">
      <w:pPr>
        <w:pStyle w:val="Amain"/>
        <w:keepNext/>
        <w:keepLines/>
      </w:pPr>
      <w:r w:rsidRPr="00C62D32">
        <w:lastRenderedPageBreak/>
        <w:tab/>
        <w:t>(3)</w:t>
      </w:r>
      <w:r w:rsidRPr="00C62D32">
        <w:tab/>
        <w:t xml:space="preserve">The application must also be accompanied by a declaration by the applicant, declared to be made after having </w:t>
      </w:r>
      <w:r w:rsidR="00566E32" w:rsidRPr="003323FC">
        <w:t>exercised reasonable diligence</w:t>
      </w:r>
      <w:r w:rsidRPr="00C62D32">
        <w:t xml:space="preserve"> to find out the following information, of the applicant’s knowledge of that information—</w:t>
      </w:r>
    </w:p>
    <w:p w14:paraId="0C6C1053" w14:textId="77777777" w:rsidR="00DB6E47" w:rsidRPr="00544ED5" w:rsidRDefault="00DB6E47" w:rsidP="003C6640">
      <w:pPr>
        <w:pStyle w:val="Apara"/>
        <w:keepLines/>
      </w:pPr>
      <w:r w:rsidRPr="00544ED5">
        <w:tab/>
        <w:t>(a)</w:t>
      </w:r>
      <w:r w:rsidRPr="00544ED5">
        <w:tab/>
        <w:t>whether, in the 5 years immediately before the application was made, the applicant or an associate of the applicant has been convicted of any of the following offences and, if so, details of the conviction—</w:t>
      </w:r>
    </w:p>
    <w:p w14:paraId="28BAFCEC" w14:textId="77777777" w:rsidR="00DB6E47" w:rsidRPr="00516F02" w:rsidRDefault="00DB6E47" w:rsidP="00DB6E47">
      <w:pPr>
        <w:pStyle w:val="Asubpara"/>
      </w:pPr>
      <w:r w:rsidRPr="00516F02">
        <w:tab/>
        <w:t>(i)</w:t>
      </w:r>
      <w:r w:rsidRPr="00516F02">
        <w:tab/>
        <w:t>an offence against this Law or a previous corresponding law;</w:t>
      </w:r>
    </w:p>
    <w:p w14:paraId="2885A920" w14:textId="77777777" w:rsidR="00DB6E47" w:rsidRPr="00516F02" w:rsidRDefault="00DB6E47" w:rsidP="00DB6E47">
      <w:pPr>
        <w:pStyle w:val="Asubpara"/>
      </w:pPr>
      <w:r w:rsidRPr="00516F02">
        <w:tab/>
        <w:t>(ii)</w:t>
      </w:r>
      <w:r w:rsidRPr="00516F02">
        <w:tab/>
        <w:t>an offence involving fraud or dishonesty punishable on conviction by imprisonment of 6 months or more, whether committed in this jurisdiction or elsewhere;</w:t>
      </w:r>
    </w:p>
    <w:p w14:paraId="2AB5FDBA" w14:textId="77777777" w:rsidR="00DB6E47" w:rsidRPr="00544ED5" w:rsidRDefault="00DB6E47" w:rsidP="00DB6E47">
      <w:pPr>
        <w:pStyle w:val="Apara"/>
      </w:pPr>
      <w:r w:rsidRPr="00544ED5">
        <w:tab/>
        <w:t>(b)</w:t>
      </w:r>
      <w:r w:rsidRPr="00544ED5">
        <w:tab/>
        <w:t>whether the applicant or an associate of the applicant has had the applicant’s or associate’s accreditation under this Chapter or a previous corresponding law, amended, suspended or cancelled under this Chapter or that law and, if so, details of the amendment, suspension or cancellation.</w:t>
      </w:r>
    </w:p>
    <w:p w14:paraId="22D39EE4" w14:textId="77777777" w:rsidR="00DB6E47" w:rsidRPr="00C62D32" w:rsidRDefault="003945F2" w:rsidP="00DB6E47">
      <w:pPr>
        <w:pStyle w:val="Amain"/>
      </w:pPr>
      <w:r>
        <w:tab/>
        <w:t>(4)</w:t>
      </w:r>
      <w:r>
        <w:tab/>
        <w:t>Subsection (3)</w:t>
      </w:r>
      <w:r w:rsidR="00DB6E47" w:rsidRPr="00C62D32">
        <w:t>(b)</w:t>
      </w:r>
      <w:r>
        <w:t xml:space="preserve"> </w:t>
      </w:r>
      <w:r w:rsidR="00DB6E47" w:rsidRPr="00C62D32">
        <w:t>does not require the applicant to declare information about an amendment, suspension or cancellation of an accreditation that happened because of a conviction if the operator is not required to declare the information about the conviction under subsection (3)(a).</w:t>
      </w:r>
    </w:p>
    <w:p w14:paraId="2B834DE5" w14:textId="77777777" w:rsidR="00DB6E47" w:rsidRPr="00C62D32" w:rsidRDefault="00DB6E47" w:rsidP="00DB6E47">
      <w:pPr>
        <w:pStyle w:val="Amain"/>
      </w:pPr>
      <w:r w:rsidRPr="00C62D32">
        <w:tab/>
        <w:t>(5)</w:t>
      </w:r>
      <w:r w:rsidRPr="00C62D32">
        <w:tab/>
        <w:t>The Regulator may, by notice given to the applicant, require the applicant—</w:t>
      </w:r>
    </w:p>
    <w:p w14:paraId="67502574" w14:textId="77777777" w:rsidR="00DB6E47" w:rsidRPr="00544ED5" w:rsidRDefault="00DB6E47" w:rsidP="00DB6E47">
      <w:pPr>
        <w:pStyle w:val="Apara"/>
      </w:pPr>
      <w:r w:rsidRPr="00544ED5">
        <w:tab/>
        <w:t>(a)</w:t>
      </w:r>
      <w:r w:rsidRPr="00544ED5">
        <w:tab/>
        <w:t>to give the Regulator any additional information the Regulator reasonably requires to decide the application; or</w:t>
      </w:r>
    </w:p>
    <w:p w14:paraId="08B9B620" w14:textId="77777777" w:rsidR="00DB6E47" w:rsidRPr="00544ED5" w:rsidRDefault="00DB6E47" w:rsidP="00DB6E47">
      <w:pPr>
        <w:pStyle w:val="Apara"/>
      </w:pPr>
      <w:r w:rsidRPr="00544ED5">
        <w:tab/>
        <w:t>(b)</w:t>
      </w:r>
      <w:r w:rsidRPr="00544ED5">
        <w:tab/>
        <w:t>to verify by statutory declaration any information relating to the application given to the Regulator.</w:t>
      </w:r>
    </w:p>
    <w:p w14:paraId="578C9B14" w14:textId="77777777" w:rsidR="00DB6E47" w:rsidRPr="007E1F9A" w:rsidRDefault="00DB6E47" w:rsidP="00DB6E47">
      <w:pPr>
        <w:pStyle w:val="AH5Sec"/>
      </w:pPr>
      <w:bookmarkStart w:id="531" w:name="_Toc83625875"/>
      <w:r w:rsidRPr="005E03F7">
        <w:rPr>
          <w:rStyle w:val="CharSectNo"/>
        </w:rPr>
        <w:lastRenderedPageBreak/>
        <w:t>460</w:t>
      </w:r>
      <w:r w:rsidRPr="007E1F9A">
        <w:tab/>
      </w:r>
      <w:r w:rsidRPr="007E1F9A">
        <w:rPr>
          <w:rFonts w:ascii="Helvetica" w:hAnsi="Helvetica" w:cs="Helvetica"/>
          <w:iCs/>
        </w:rPr>
        <w:t>Obtaining criminal history information about applicant</w:t>
      </w:r>
      <w:bookmarkEnd w:id="531"/>
    </w:p>
    <w:p w14:paraId="4826239C" w14:textId="77777777" w:rsidR="00DB6E47" w:rsidRPr="00C62D32" w:rsidRDefault="00DB6E47" w:rsidP="00DB6E47">
      <w:pPr>
        <w:pStyle w:val="Amain"/>
      </w:pPr>
      <w:r w:rsidRPr="00C62D32">
        <w:tab/>
        <w:t>(1)</w:t>
      </w:r>
      <w:r w:rsidRPr="00C62D32">
        <w:tab/>
        <w:t>The Regulator may, by notice, ask an applicant for heavy vehicle accreditation under this Law for written consent for the Regulator to obtain the applicant’s prescribed criminal history.</w:t>
      </w:r>
    </w:p>
    <w:p w14:paraId="7A30ED3D" w14:textId="77777777" w:rsidR="00DB6E47" w:rsidRPr="00C62D32" w:rsidRDefault="00DB6E47" w:rsidP="00DB6E47">
      <w:pPr>
        <w:pStyle w:val="Amain"/>
      </w:pPr>
      <w:r w:rsidRPr="00C62D32">
        <w:tab/>
        <w:t>(2)</w:t>
      </w:r>
      <w:r w:rsidRPr="00C62D32">
        <w:tab/>
        <w:t>If the applicant does not consent, or withdraws his or her consent, to the Regulator obtaining the applicant’s prescribed criminal history, the application is taken to have been withdrawn.</w:t>
      </w:r>
    </w:p>
    <w:p w14:paraId="420A27A2" w14:textId="77777777" w:rsidR="00DB6E47" w:rsidRPr="00C62D32" w:rsidRDefault="00DB6E47" w:rsidP="00DB6E47">
      <w:pPr>
        <w:pStyle w:val="Amain"/>
      </w:pPr>
      <w:r w:rsidRPr="00C62D32">
        <w:tab/>
        <w:t>(3)</w:t>
      </w:r>
      <w:r w:rsidRPr="00C62D32">
        <w:tab/>
        <w:t>If the applicant gives written consent to the Regulator obtaining the applicant’s prescribed criminal history, the Regulator may ask a police commissioner for a written report about the applicant’s prescribed criminal history.</w:t>
      </w:r>
    </w:p>
    <w:p w14:paraId="1A9F500A" w14:textId="77777777" w:rsidR="00DB6E47" w:rsidRPr="00C62D32" w:rsidRDefault="00DB6E47" w:rsidP="00DB6E47">
      <w:pPr>
        <w:pStyle w:val="Amain"/>
      </w:pPr>
      <w:r w:rsidRPr="00C62D32">
        <w:tab/>
        <w:t>(4)</w:t>
      </w:r>
      <w:r w:rsidRPr="00C62D32">
        <w:tab/>
        <w:t>The request may include the following—</w:t>
      </w:r>
    </w:p>
    <w:p w14:paraId="6CCE4F78" w14:textId="77777777" w:rsidR="00DB6E47" w:rsidRPr="00544ED5" w:rsidRDefault="00DB6E47" w:rsidP="00DB6E47">
      <w:pPr>
        <w:pStyle w:val="Apara"/>
      </w:pPr>
      <w:r w:rsidRPr="00544ED5">
        <w:tab/>
        <w:t>(a)</w:t>
      </w:r>
      <w:r w:rsidRPr="00544ED5">
        <w:tab/>
        <w:t>the applicant’s name and any other name the Regulator believes the applicant may use or may have used;</w:t>
      </w:r>
    </w:p>
    <w:p w14:paraId="41CBA581" w14:textId="77777777" w:rsidR="00DB6E47" w:rsidRPr="00544ED5" w:rsidRDefault="00DB6E47" w:rsidP="00DB6E47">
      <w:pPr>
        <w:pStyle w:val="Apara"/>
      </w:pPr>
      <w:r w:rsidRPr="00544ED5">
        <w:tab/>
        <w:t>(b)</w:t>
      </w:r>
      <w:r w:rsidRPr="00544ED5">
        <w:tab/>
        <w:t>the applicant’s date and place of birth, gender and address.</w:t>
      </w:r>
    </w:p>
    <w:p w14:paraId="3C9929E5" w14:textId="77777777" w:rsidR="00DB6E47" w:rsidRPr="00C62D32" w:rsidRDefault="00DB6E47" w:rsidP="00DB6E47">
      <w:pPr>
        <w:pStyle w:val="Amain"/>
      </w:pPr>
      <w:r w:rsidRPr="00C62D32">
        <w:tab/>
        <w:t>(5)</w:t>
      </w:r>
      <w:r w:rsidRPr="00C62D32">
        <w:tab/>
        <w:t>The police commissioner must give the requested report to the Regulator.</w:t>
      </w:r>
    </w:p>
    <w:p w14:paraId="5AE8FC79" w14:textId="77777777" w:rsidR="00DB6E47" w:rsidRPr="00C62D32" w:rsidRDefault="00DB6E47" w:rsidP="00DB6E47">
      <w:pPr>
        <w:pStyle w:val="Amain"/>
      </w:pPr>
      <w:r w:rsidRPr="00C62D32">
        <w:tab/>
        <w:t>(6)</w:t>
      </w:r>
      <w:r w:rsidRPr="00C62D32">
        <w:tab/>
        <w:t>In this section—</w:t>
      </w:r>
    </w:p>
    <w:p w14:paraId="372A9655" w14:textId="77777777" w:rsidR="00DB6E47" w:rsidRPr="00041046" w:rsidRDefault="00DB6E47" w:rsidP="00DB6E47">
      <w:pPr>
        <w:pStyle w:val="aDef"/>
        <w:rPr>
          <w:bCs/>
        </w:rPr>
      </w:pPr>
      <w:r w:rsidRPr="00041046">
        <w:rPr>
          <w:rStyle w:val="charBoldItals"/>
        </w:rPr>
        <w:t>prescribed criminal history</w:t>
      </w:r>
      <w:r w:rsidRPr="00041046">
        <w:t>, of an applicant for heavy vehicle accreditation under this Law, means information about each conviction of the applicant, within the 5 years immediately before the application was made, of—</w:t>
      </w:r>
    </w:p>
    <w:p w14:paraId="77D615B0" w14:textId="77777777"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an offence against this Law or a previous corresponding law; or</w:t>
      </w:r>
    </w:p>
    <w:p w14:paraId="6B0B06D5" w14:textId="77777777" w:rsidR="00DB6E47" w:rsidRPr="003945F2" w:rsidRDefault="00DB6E47" w:rsidP="00DB6E47">
      <w:pPr>
        <w:pStyle w:val="aDefpara"/>
      </w:pPr>
      <w:r w:rsidRPr="003945F2">
        <w:tab/>
        <w:t>(b)</w:t>
      </w:r>
      <w:r w:rsidRPr="003945F2">
        <w:tab/>
        <w:t>an offence involving fraud or dishonesty punishable on conviction by imprisonment of 6 months or more, whether committed in this jurisdiction or elsewhere.</w:t>
      </w:r>
    </w:p>
    <w:p w14:paraId="21120A00" w14:textId="77777777" w:rsidR="00DB6E47" w:rsidRPr="007E1F9A" w:rsidRDefault="00DB6E47" w:rsidP="00DB6E47">
      <w:pPr>
        <w:pStyle w:val="AH5Sec"/>
      </w:pPr>
      <w:bookmarkStart w:id="532" w:name="_Toc83625876"/>
      <w:r w:rsidRPr="005E03F7">
        <w:rPr>
          <w:rStyle w:val="CharSectNo"/>
        </w:rPr>
        <w:lastRenderedPageBreak/>
        <w:t>461</w:t>
      </w:r>
      <w:r w:rsidRPr="007E1F9A">
        <w:tab/>
      </w:r>
      <w:r w:rsidRPr="007E1F9A">
        <w:rPr>
          <w:rFonts w:ascii="Helvetica" w:hAnsi="Helvetica" w:cs="Helvetica"/>
          <w:iCs/>
        </w:rPr>
        <w:t>Restriction on grant of heavy vehicle accreditation</w:t>
      </w:r>
      <w:bookmarkEnd w:id="532"/>
    </w:p>
    <w:p w14:paraId="4C1655C6" w14:textId="77777777" w:rsidR="00DB6E47" w:rsidRPr="00C62D32" w:rsidRDefault="00DB6E47" w:rsidP="00DB6E47">
      <w:pPr>
        <w:pStyle w:val="Amain"/>
      </w:pPr>
      <w:r w:rsidRPr="00C62D32">
        <w:tab/>
        <w:t>(1)</w:t>
      </w:r>
      <w:r w:rsidRPr="00C62D32">
        <w:tab/>
        <w:t>The Regulator may grant an applicant heavy vehicle accreditation only if the Regulator is satisfied—</w:t>
      </w:r>
    </w:p>
    <w:p w14:paraId="0FE57A7A" w14:textId="77777777" w:rsidR="00DB6E47" w:rsidRPr="00544ED5" w:rsidRDefault="00DB6E47" w:rsidP="00DB6E47">
      <w:pPr>
        <w:pStyle w:val="Apara"/>
      </w:pPr>
      <w:r w:rsidRPr="00544ED5">
        <w:tab/>
        <w:t>(a)</w:t>
      </w:r>
      <w:r w:rsidRPr="00544ED5">
        <w:tab/>
        <w:t>the applicant has in place a relevant management system for operations to be carried out under the accreditation; and</w:t>
      </w:r>
    </w:p>
    <w:p w14:paraId="71986339" w14:textId="77777777" w:rsidR="00DB6E47" w:rsidRPr="00544ED5" w:rsidRDefault="00DB6E47" w:rsidP="00DB6E47">
      <w:pPr>
        <w:pStyle w:val="Apara"/>
      </w:pPr>
      <w:r w:rsidRPr="00544ED5">
        <w:tab/>
        <w:t>(b)</w:t>
      </w:r>
      <w:r w:rsidRPr="00544ED5">
        <w:tab/>
        <w:t>the applicant is able to comply with this Law, having regard to—</w:t>
      </w:r>
    </w:p>
    <w:p w14:paraId="7E2377CA" w14:textId="77777777" w:rsidR="00DB6E47" w:rsidRPr="00516F02" w:rsidRDefault="00DB6E47" w:rsidP="00DB6E47">
      <w:pPr>
        <w:pStyle w:val="Asubpara"/>
      </w:pPr>
      <w:r w:rsidRPr="00516F02">
        <w:tab/>
        <w:t>(i)</w:t>
      </w:r>
      <w:r w:rsidRPr="00516F02">
        <w:tab/>
        <w:t>the information provided to the Regulator under this Part; and</w:t>
      </w:r>
    </w:p>
    <w:p w14:paraId="31B78AC7" w14:textId="77777777" w:rsidR="00DB6E47" w:rsidRPr="00516F02" w:rsidRDefault="00DB6E47" w:rsidP="00DB6E47">
      <w:pPr>
        <w:pStyle w:val="Asubpara"/>
      </w:pPr>
      <w:r w:rsidRPr="00516F02">
        <w:tab/>
        <w:t>(ii)</w:t>
      </w:r>
      <w:r w:rsidRPr="00516F02">
        <w:tab/>
        <w:t>the matters to which the Regulator may or must have regard under subsection (4); and</w:t>
      </w:r>
    </w:p>
    <w:p w14:paraId="6953BAA6" w14:textId="77777777" w:rsidR="00DB6E47" w:rsidRPr="00544ED5" w:rsidRDefault="00DB6E47" w:rsidP="00DB6E47">
      <w:pPr>
        <w:pStyle w:val="Apara"/>
      </w:pPr>
      <w:r w:rsidRPr="00544ED5">
        <w:tab/>
        <w:t>(c)</w:t>
      </w:r>
      <w:r w:rsidRPr="00544ED5">
        <w:tab/>
        <w:t>the applicant is a suitable person to be granted the accreditation, having regard to—</w:t>
      </w:r>
    </w:p>
    <w:p w14:paraId="4C2C61A6" w14:textId="77777777" w:rsidR="00DB6E47" w:rsidRPr="00516F02" w:rsidRDefault="00DB6E47" w:rsidP="00DB6E47">
      <w:pPr>
        <w:pStyle w:val="Asubpara"/>
      </w:pPr>
      <w:r w:rsidRPr="00516F02">
        <w:tab/>
        <w:t>(i)</w:t>
      </w:r>
      <w:r w:rsidRPr="00516F02">
        <w:tab/>
        <w:t>the information provided to the Regulator under this Part; and</w:t>
      </w:r>
    </w:p>
    <w:p w14:paraId="5DAAF3FF" w14:textId="77777777" w:rsidR="00DB6E47" w:rsidRPr="00516F02" w:rsidRDefault="00DB6E47" w:rsidP="00DB6E47">
      <w:pPr>
        <w:pStyle w:val="Asubpara"/>
      </w:pPr>
      <w:r w:rsidRPr="00516F02">
        <w:tab/>
        <w:t>(ii)</w:t>
      </w:r>
      <w:r w:rsidRPr="00516F02">
        <w:tab/>
        <w:t>the matters to which the Regulator may or must have regard under subsection (4); and</w:t>
      </w:r>
    </w:p>
    <w:p w14:paraId="025F5D8D" w14:textId="77777777" w:rsidR="00DB6E47" w:rsidRPr="00544ED5" w:rsidRDefault="00DB6E47" w:rsidP="00DB6E47">
      <w:pPr>
        <w:pStyle w:val="Apara"/>
      </w:pPr>
      <w:r w:rsidRPr="00544ED5">
        <w:tab/>
        <w:t>(d)</w:t>
      </w:r>
      <w:r w:rsidRPr="00544ED5">
        <w:tab/>
        <w:t>for AFM accreditation—</w:t>
      </w:r>
    </w:p>
    <w:p w14:paraId="1F948A85" w14:textId="77777777" w:rsidR="00DB6E47" w:rsidRPr="00516F02" w:rsidRDefault="00DB6E47" w:rsidP="00DB6E47">
      <w:pPr>
        <w:pStyle w:val="Asubpara"/>
      </w:pPr>
      <w:r w:rsidRPr="00516F02">
        <w:tab/>
        <w:t>(i)</w:t>
      </w:r>
      <w:r w:rsidRPr="00516F02">
        <w:tab/>
        <w:t>the driver fatigue management practices stated in the applicant’s AFM fatigue management system, together with the maximum work times and minimum rest times that are to apply to drivers operating under the accreditation would, if complied with, safely manage the risk of driver fatigue; and</w:t>
      </w:r>
    </w:p>
    <w:p w14:paraId="2092CED0" w14:textId="77777777" w:rsidR="00DB6E47" w:rsidRPr="00516F02" w:rsidRDefault="00DB6E47" w:rsidP="00DB6E47">
      <w:pPr>
        <w:pStyle w:val="Asubpara"/>
      </w:pPr>
      <w:r w:rsidRPr="00516F02">
        <w:tab/>
        <w:t>(ii)</w:t>
      </w:r>
      <w:r w:rsidRPr="00516F02">
        <w:tab/>
        <w:t>the applicant and drivers operating under the accreditation are likely to follow the driver fatigue management practices consistently and effectively; and</w:t>
      </w:r>
    </w:p>
    <w:p w14:paraId="3B14B869" w14:textId="77777777" w:rsidR="00DB6E47" w:rsidRPr="00516F02" w:rsidRDefault="00DB6E47" w:rsidP="003C6640">
      <w:pPr>
        <w:pStyle w:val="Asubpara"/>
        <w:keepLines/>
      </w:pPr>
      <w:r w:rsidRPr="00516F02">
        <w:lastRenderedPageBreak/>
        <w:tab/>
        <w:t>(iii)</w:t>
      </w:r>
      <w:r w:rsidRPr="00516F02">
        <w:tab/>
        <w:t>the drivers operating under the accreditation are likely to comply with the maximum work times and minimum rest times that are to apply to the drivers under the accreditation.</w:t>
      </w:r>
    </w:p>
    <w:p w14:paraId="24F36C7D" w14:textId="77777777" w:rsidR="00DB6E47" w:rsidRPr="00C62D32" w:rsidRDefault="00DB6E47" w:rsidP="00DB6E47">
      <w:pPr>
        <w:pStyle w:val="Amain"/>
      </w:pPr>
      <w:r w:rsidRPr="00C62D32">
        <w:tab/>
        <w:t>(2)</w:t>
      </w:r>
      <w:r w:rsidRPr="00C62D32">
        <w:tab/>
        <w:t>In considering the maximum work times and minimum rest times that are to apply to drivers operating under an AFM accreditation, the Regulator—</w:t>
      </w:r>
    </w:p>
    <w:p w14:paraId="2995B0CF" w14:textId="77777777" w:rsidR="00DB6E47" w:rsidRPr="00544ED5" w:rsidRDefault="00DB6E47" w:rsidP="00DB6E47">
      <w:pPr>
        <w:pStyle w:val="Apara"/>
      </w:pPr>
      <w:r w:rsidRPr="00544ED5">
        <w:tab/>
        <w:t>(a)</w:t>
      </w:r>
      <w:r w:rsidRPr="00544ED5">
        <w:tab/>
        <w:t>must be satisfied the maximum work times and minimum rest times appear to provide a safe balance between work, rest, risk management and fatigue countermeasures; and</w:t>
      </w:r>
    </w:p>
    <w:p w14:paraId="6EACADEB" w14:textId="77777777" w:rsidR="00DB6E47" w:rsidRPr="00544ED5" w:rsidRDefault="00DB6E47" w:rsidP="00DB6E47">
      <w:pPr>
        <w:pStyle w:val="Apara"/>
      </w:pPr>
      <w:r w:rsidRPr="00544ED5">
        <w:tab/>
        <w:t>(b)</w:t>
      </w:r>
      <w:r w:rsidRPr="00544ED5">
        <w:tab/>
        <w:t>must not set maximum work times and minimum rest times the Regulator considers would be unsafe, having regard to the applicant’s AFM fatigue management system and any relevant body of fatigue knowledge.</w:t>
      </w:r>
    </w:p>
    <w:p w14:paraId="7198FD77" w14:textId="77777777" w:rsidR="00DB6E47" w:rsidRPr="00C62D32" w:rsidRDefault="00DB6E47" w:rsidP="00DB6E47">
      <w:pPr>
        <w:pStyle w:val="Amain"/>
      </w:pPr>
      <w:r w:rsidRPr="00C62D32">
        <w:tab/>
        <w:t>(3)</w:t>
      </w:r>
      <w:r w:rsidRPr="00C62D32">
        <w:tab/>
        <w:t>The Regulator may grant an AFM accreditation setting maximum work times and minimum rest times different to the maximum work times and minimum rest times sought by the applicant.</w:t>
      </w:r>
    </w:p>
    <w:p w14:paraId="1540AA0E" w14:textId="77777777" w:rsidR="00DB6E47" w:rsidRPr="00C62D32" w:rsidRDefault="00DB6E47" w:rsidP="00DB6E47">
      <w:pPr>
        <w:pStyle w:val="Amain"/>
      </w:pPr>
      <w:r w:rsidRPr="00C62D32">
        <w:tab/>
        <w:t>(4)</w:t>
      </w:r>
      <w:r w:rsidRPr="00C62D32">
        <w:tab/>
        <w:t>In deciding an application for a heavy vehicle accreditation, the Regulator—</w:t>
      </w:r>
    </w:p>
    <w:p w14:paraId="6CC89D3F" w14:textId="77777777" w:rsidR="00DB6E47" w:rsidRPr="00544ED5" w:rsidRDefault="00DB6E47" w:rsidP="00DB6E47">
      <w:pPr>
        <w:pStyle w:val="Apara"/>
      </w:pPr>
      <w:r w:rsidRPr="00544ED5">
        <w:tab/>
        <w:t>(a)</w:t>
      </w:r>
      <w:r w:rsidRPr="00544ED5">
        <w:tab/>
        <w:t>may have regard to anything the Regulator considers relevant including—</w:t>
      </w:r>
    </w:p>
    <w:p w14:paraId="674562A2" w14:textId="77777777" w:rsidR="00DB6E47" w:rsidRPr="00516F02" w:rsidRDefault="00DB6E47" w:rsidP="00DB6E47">
      <w:pPr>
        <w:pStyle w:val="Asubpara"/>
      </w:pPr>
      <w:r w:rsidRPr="00516F02">
        <w:tab/>
        <w:t>(i)</w:t>
      </w:r>
      <w:r w:rsidRPr="00516F02">
        <w:tab/>
        <w:t>the results of any audits carried out on the applicant’s relevant management system; and</w:t>
      </w:r>
    </w:p>
    <w:p w14:paraId="6BE5DEA7" w14:textId="77777777" w:rsidR="00DB6E47" w:rsidRPr="00516F02" w:rsidRDefault="00DB6E47" w:rsidP="00DB6E47">
      <w:pPr>
        <w:pStyle w:val="Asubpara"/>
      </w:pPr>
      <w:r w:rsidRPr="00516F02">
        <w:tab/>
        <w:t>(ii)</w:t>
      </w:r>
      <w:r w:rsidRPr="00516F02">
        <w:tab/>
        <w:t>for assessing an applicant’s AFM fatigue management system—any relevant body of fatigue knowledge; and</w:t>
      </w:r>
    </w:p>
    <w:p w14:paraId="6C9BABE5" w14:textId="77777777" w:rsidR="00DB6E47" w:rsidRPr="00544ED5" w:rsidRDefault="00DB6E47" w:rsidP="00DB6E47">
      <w:pPr>
        <w:pStyle w:val="Apara"/>
      </w:pPr>
      <w:r w:rsidRPr="00544ED5">
        <w:tab/>
        <w:t>(b)</w:t>
      </w:r>
      <w:r w:rsidRPr="00544ED5">
        <w:tab/>
        <w:t>must have regard to the approved guidelines for granting heavy vehicle accreditations under this Law.</w:t>
      </w:r>
    </w:p>
    <w:p w14:paraId="2B1E5A84" w14:textId="77777777" w:rsidR="00DB6E47" w:rsidRPr="007E1F9A" w:rsidRDefault="00DB6E47" w:rsidP="00DB6E47">
      <w:pPr>
        <w:pStyle w:val="AH5Sec"/>
      </w:pPr>
      <w:bookmarkStart w:id="533" w:name="_Toc83625877"/>
      <w:r w:rsidRPr="005E03F7">
        <w:rPr>
          <w:rStyle w:val="CharSectNo"/>
        </w:rPr>
        <w:lastRenderedPageBreak/>
        <w:t>462</w:t>
      </w:r>
      <w:r w:rsidRPr="007E1F9A">
        <w:tab/>
      </w:r>
      <w:r w:rsidRPr="007E1F9A">
        <w:rPr>
          <w:rFonts w:ascii="Helvetica" w:hAnsi="Helvetica" w:cs="Helvetica"/>
          <w:iCs/>
        </w:rPr>
        <w:t>Conditions of heavy vehicle accreditation</w:t>
      </w:r>
      <w:bookmarkEnd w:id="533"/>
    </w:p>
    <w:p w14:paraId="46834A34" w14:textId="77777777" w:rsidR="00DB6E47" w:rsidRPr="00C62D32" w:rsidRDefault="00DB6E47" w:rsidP="00DB6E47">
      <w:pPr>
        <w:pStyle w:val="Amain"/>
      </w:pPr>
      <w:r w:rsidRPr="00C62D32">
        <w:tab/>
        <w:t>(1)</w:t>
      </w:r>
      <w:r w:rsidRPr="00C62D32">
        <w:tab/>
        <w:t>A heavy vehicle accreditation granted under this Law is subject to the condition that the operator who holds the accreditation must comply with the relevant standards and business rules.</w:t>
      </w:r>
    </w:p>
    <w:p w14:paraId="35C274F9" w14:textId="77777777" w:rsidR="00DB6E47" w:rsidRPr="00C62D32" w:rsidRDefault="00DB6E47" w:rsidP="00DB6E47">
      <w:pPr>
        <w:pStyle w:val="Amain"/>
      </w:pPr>
      <w:r w:rsidRPr="00C62D32">
        <w:tab/>
        <w:t>(2)</w:t>
      </w:r>
      <w:r w:rsidRPr="00C62D32">
        <w:tab/>
        <w:t>A heavy vehicle accreditation granted under this Law may be subject to any other conditions the Regulator considers appropriate, including, for example—</w:t>
      </w:r>
    </w:p>
    <w:p w14:paraId="000E4443" w14:textId="77777777" w:rsidR="00DB6E47" w:rsidRPr="00544ED5" w:rsidRDefault="00DB6E47" w:rsidP="00DB6E47">
      <w:pPr>
        <w:pStyle w:val="Apara"/>
      </w:pPr>
      <w:r w:rsidRPr="00544ED5">
        <w:tab/>
        <w:t>(a)</w:t>
      </w:r>
      <w:r w:rsidRPr="00544ED5">
        <w:tab/>
        <w:t>a condition that a named person can not operate under the operator’s accreditation for a stated period; and</w:t>
      </w:r>
    </w:p>
    <w:p w14:paraId="3E5D5C9C" w14:textId="77777777" w:rsidR="00DB6E47" w:rsidRPr="00544ED5" w:rsidRDefault="00DB6E47" w:rsidP="00DB6E47">
      <w:pPr>
        <w:pStyle w:val="Apara"/>
      </w:pPr>
      <w:r w:rsidRPr="00544ED5">
        <w:tab/>
        <w:t>(b)</w:t>
      </w:r>
      <w:r w:rsidRPr="00544ED5">
        <w:tab/>
        <w:t>a condition that a named employee or associate of the operator can not be involved in the operator’s relevant management system at all or for a stated period; and</w:t>
      </w:r>
    </w:p>
    <w:p w14:paraId="1EB6B533" w14:textId="77777777" w:rsidR="00DB6E47" w:rsidRPr="00544ED5" w:rsidRDefault="00DB6E47" w:rsidP="00DB6E47">
      <w:pPr>
        <w:pStyle w:val="Apara"/>
      </w:pPr>
      <w:r w:rsidRPr="00544ED5">
        <w:tab/>
        <w:t>(c)</w:t>
      </w:r>
      <w:r w:rsidRPr="00544ED5">
        <w:tab/>
        <w:t>a condition requiring additional records to be kept, and audits to be performed, to ensure practices (for example, driver fatigue management practices) applying under the accreditation are followed consistently and effectively.</w:t>
      </w:r>
    </w:p>
    <w:p w14:paraId="6252358D" w14:textId="77777777" w:rsidR="00DB6E47" w:rsidRPr="007E1F9A" w:rsidRDefault="00DB6E47" w:rsidP="00DB6E47">
      <w:pPr>
        <w:pStyle w:val="AH5Sec"/>
      </w:pPr>
      <w:bookmarkStart w:id="534" w:name="_Toc83625878"/>
      <w:r w:rsidRPr="005E03F7">
        <w:rPr>
          <w:rStyle w:val="CharSectNo"/>
        </w:rPr>
        <w:t>463</w:t>
      </w:r>
      <w:r w:rsidRPr="007E1F9A">
        <w:tab/>
      </w:r>
      <w:r w:rsidRPr="007E1F9A">
        <w:rPr>
          <w:rFonts w:ascii="Helvetica" w:hAnsi="Helvetica" w:cs="Helvetica"/>
          <w:iCs/>
        </w:rPr>
        <w:t>Period for which heavy vehicle accreditation applies</w:t>
      </w:r>
      <w:bookmarkEnd w:id="534"/>
    </w:p>
    <w:p w14:paraId="06DD3BC4" w14:textId="77777777" w:rsidR="00DB6E47" w:rsidRPr="00C62D32" w:rsidRDefault="00DB6E47" w:rsidP="00DB6E47">
      <w:pPr>
        <w:pStyle w:val="Amain"/>
      </w:pPr>
      <w:r w:rsidRPr="00C62D32">
        <w:tab/>
        <w:t>(1)</w:t>
      </w:r>
      <w:r w:rsidRPr="00C62D32">
        <w:tab/>
        <w:t>A heavy vehicle accreditation granted under this Law applies for the period stated in the accreditation certificate for the accreditation.</w:t>
      </w:r>
    </w:p>
    <w:p w14:paraId="704A8400" w14:textId="77777777" w:rsidR="00DB6E47" w:rsidRDefault="00DB6E47" w:rsidP="00DB6E47">
      <w:pPr>
        <w:pStyle w:val="Amain"/>
      </w:pPr>
      <w:r w:rsidRPr="00C62D32">
        <w:tab/>
        <w:t>(2)</w:t>
      </w:r>
      <w:r w:rsidRPr="00C62D32">
        <w:tab/>
        <w:t>The period may be less than the period sought by the applicant for the heavy vehicle accreditation.</w:t>
      </w:r>
    </w:p>
    <w:p w14:paraId="75B6DDDF" w14:textId="77777777" w:rsidR="00ED79CC" w:rsidRPr="00ED79CC" w:rsidRDefault="00ED79CC" w:rsidP="00DB6E47">
      <w:pPr>
        <w:pStyle w:val="Amain"/>
      </w:pPr>
      <w:r>
        <w:tab/>
        <w:t>(3)</w:t>
      </w:r>
      <w:r>
        <w:tab/>
      </w:r>
      <w:r w:rsidRPr="00ED79CC">
        <w:t>The maximum period for which the Regulator may grant heavy vehicle accreditation is 3 years.</w:t>
      </w:r>
    </w:p>
    <w:p w14:paraId="036AA72E" w14:textId="77777777" w:rsidR="00DB6E47" w:rsidRPr="007E1F9A" w:rsidRDefault="00DB6E47" w:rsidP="00DB6E47">
      <w:pPr>
        <w:pStyle w:val="AH5Sec"/>
      </w:pPr>
      <w:bookmarkStart w:id="535" w:name="_Toc83625879"/>
      <w:r w:rsidRPr="005E03F7">
        <w:rPr>
          <w:rStyle w:val="CharSectNo"/>
        </w:rPr>
        <w:lastRenderedPageBreak/>
        <w:t>464</w:t>
      </w:r>
      <w:r w:rsidRPr="007E1F9A">
        <w:tab/>
      </w:r>
      <w:r w:rsidRPr="007E1F9A">
        <w:rPr>
          <w:rFonts w:ascii="Helvetica" w:hAnsi="Helvetica" w:cs="Helvetica"/>
          <w:iCs/>
        </w:rPr>
        <w:t>Accreditation certificate for heavy vehicle accreditation etc.</w:t>
      </w:r>
      <w:bookmarkEnd w:id="535"/>
    </w:p>
    <w:p w14:paraId="2D9C4A3B" w14:textId="77777777" w:rsidR="00DB6E47" w:rsidRPr="00C62D32" w:rsidRDefault="00DB6E47" w:rsidP="003C6640">
      <w:pPr>
        <w:pStyle w:val="Amain"/>
        <w:keepNext/>
      </w:pPr>
      <w:r w:rsidRPr="00C62D32">
        <w:tab/>
        <w:t>(1)</w:t>
      </w:r>
      <w:r w:rsidRPr="00C62D32">
        <w:tab/>
        <w:t>If the Regulator grants a heavy vehicle accreditation under this Law to an operator of a heavy vehicle, the Regulator must give the operator—</w:t>
      </w:r>
    </w:p>
    <w:p w14:paraId="5FD88DF3" w14:textId="77777777" w:rsidR="00DB6E47" w:rsidRPr="00544ED5" w:rsidRDefault="00DB6E47" w:rsidP="00DB6E47">
      <w:pPr>
        <w:pStyle w:val="Apara"/>
      </w:pPr>
      <w:r w:rsidRPr="00544ED5">
        <w:tab/>
        <w:t>(a)</w:t>
      </w:r>
      <w:r w:rsidRPr="00544ED5">
        <w:tab/>
        <w:t>an accreditation certificate in the approved form; and</w:t>
      </w:r>
    </w:p>
    <w:p w14:paraId="11CA9F49" w14:textId="77777777" w:rsidR="00DB6E47" w:rsidRPr="00544ED5" w:rsidRDefault="00DB6E47" w:rsidP="00DB6E47">
      <w:pPr>
        <w:pStyle w:val="Apara"/>
      </w:pPr>
      <w:r w:rsidRPr="00544ED5">
        <w:tab/>
        <w:t>(b)</w:t>
      </w:r>
      <w:r w:rsidRPr="00544ED5">
        <w:tab/>
        <w:t>if prescribed circumstances apply to the grant of the accreditation—an information notice for the prescribed circumstances.</w:t>
      </w:r>
    </w:p>
    <w:p w14:paraId="254D7E9A" w14:textId="77777777" w:rsidR="00DB6E47" w:rsidRPr="00C62D32" w:rsidRDefault="00DB6E47" w:rsidP="00DB6E47">
      <w:pPr>
        <w:pStyle w:val="Amain"/>
      </w:pPr>
      <w:r w:rsidRPr="00C62D32">
        <w:tab/>
        <w:t>(2)</w:t>
      </w:r>
      <w:r w:rsidRPr="00C62D32">
        <w:tab/>
        <w:t>An accreditation certificate for a heavy vehicle accreditation must state the following—</w:t>
      </w:r>
    </w:p>
    <w:p w14:paraId="28FE8D93" w14:textId="77777777" w:rsidR="00DB6E47" w:rsidRPr="00544ED5" w:rsidRDefault="00DB6E47" w:rsidP="00DB6E47">
      <w:pPr>
        <w:pStyle w:val="Apara"/>
      </w:pPr>
      <w:r w:rsidRPr="00544ED5">
        <w:tab/>
        <w:t>(a)</w:t>
      </w:r>
      <w:r w:rsidRPr="00544ED5">
        <w:tab/>
        <w:t>the name of the operator who has been granted the accreditation;</w:t>
      </w:r>
    </w:p>
    <w:p w14:paraId="4889F9A6" w14:textId="77777777" w:rsidR="00DB6E47" w:rsidRPr="00544ED5" w:rsidRDefault="00DB6E47" w:rsidP="00DB6E47">
      <w:pPr>
        <w:pStyle w:val="Apara"/>
      </w:pPr>
      <w:r w:rsidRPr="00544ED5">
        <w:tab/>
        <w:t>(b)</w:t>
      </w:r>
      <w:r w:rsidRPr="00544ED5">
        <w:tab/>
        <w:t>the number identifying the accreditation;</w:t>
      </w:r>
    </w:p>
    <w:p w14:paraId="703B2673" w14:textId="77777777" w:rsidR="00DB6E47" w:rsidRPr="00544ED5" w:rsidRDefault="00DB6E47" w:rsidP="00DB6E47">
      <w:pPr>
        <w:pStyle w:val="Apara"/>
      </w:pPr>
      <w:r w:rsidRPr="00544ED5">
        <w:tab/>
        <w:t>(c)</w:t>
      </w:r>
      <w:r w:rsidRPr="00544ED5">
        <w:tab/>
        <w:t>any conditions imposed on the accreditation by the Regulator;</w:t>
      </w:r>
    </w:p>
    <w:p w14:paraId="283EFF1E" w14:textId="77777777" w:rsidR="00DB6E47" w:rsidRPr="00544ED5" w:rsidRDefault="00DB6E47" w:rsidP="00DB6E47">
      <w:pPr>
        <w:pStyle w:val="Apara"/>
      </w:pPr>
      <w:r w:rsidRPr="00544ED5">
        <w:tab/>
        <w:t>(d)</w:t>
      </w:r>
      <w:r w:rsidRPr="00544ED5">
        <w:tab/>
        <w:t>for an AFM accreditation, the maximum work times and minimum rest times that apply to drivers of fatigue-regulated heavy vehicles operating under the accreditation;</w:t>
      </w:r>
    </w:p>
    <w:p w14:paraId="13CDE6C3" w14:textId="77777777" w:rsidR="00DB6E47" w:rsidRPr="00544ED5" w:rsidRDefault="00DB6E47" w:rsidP="00DB6E47">
      <w:pPr>
        <w:pStyle w:val="Apara"/>
      </w:pPr>
      <w:r w:rsidRPr="00544ED5">
        <w:tab/>
        <w:t>(e)</w:t>
      </w:r>
      <w:r w:rsidRPr="00544ED5">
        <w:tab/>
        <w:t>the period for which the accreditation applies.</w:t>
      </w:r>
    </w:p>
    <w:p w14:paraId="5D1A778B" w14:textId="77777777" w:rsidR="00DB6E47" w:rsidRPr="00C62D32" w:rsidRDefault="00DB6E47" w:rsidP="00DB6E47">
      <w:pPr>
        <w:pStyle w:val="Amain"/>
      </w:pPr>
      <w:r w:rsidRPr="00C62D32">
        <w:tab/>
        <w:t>(3)</w:t>
      </w:r>
      <w:r w:rsidRPr="00C62D32">
        <w:tab/>
        <w:t>In this section—</w:t>
      </w:r>
    </w:p>
    <w:p w14:paraId="5B68EBE2" w14:textId="77777777" w:rsidR="00DB6E47" w:rsidRPr="00041046" w:rsidRDefault="00DB6E47" w:rsidP="00DB6E47">
      <w:pPr>
        <w:pStyle w:val="aDef"/>
        <w:rPr>
          <w:bCs/>
        </w:rPr>
      </w:pPr>
      <w:r w:rsidRPr="00041046">
        <w:rPr>
          <w:rStyle w:val="charBoldItals"/>
        </w:rPr>
        <w:t>prescribed circumstances</w:t>
      </w:r>
      <w:r w:rsidRPr="00041046">
        <w:t>, for a heavy vehicle accreditation, means the Regulator has—</w:t>
      </w:r>
    </w:p>
    <w:p w14:paraId="632E1584" w14:textId="77777777"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imposed a condition on the accreditation that was not sought by the applicant for the accreditation; or</w:t>
      </w:r>
    </w:p>
    <w:p w14:paraId="79FC4FAD" w14:textId="77777777" w:rsidR="00DB6E47" w:rsidRPr="003945F2" w:rsidRDefault="00DB6E47" w:rsidP="00DB6E47">
      <w:pPr>
        <w:pStyle w:val="aDefpara"/>
      </w:pPr>
      <w:r w:rsidRPr="003945F2">
        <w:tab/>
        <w:t>(b)</w:t>
      </w:r>
      <w:r w:rsidRPr="003945F2">
        <w:tab/>
        <w:t>granted the accreditation for a period less than the period of not more than 3 years sought by the applicant for the accreditation; or</w:t>
      </w:r>
    </w:p>
    <w:p w14:paraId="5F89A12C" w14:textId="77777777" w:rsidR="00DB6E47" w:rsidRPr="003945F2" w:rsidRDefault="00DB6E47" w:rsidP="00B03621">
      <w:pPr>
        <w:pStyle w:val="aDefpara"/>
        <w:keepLines/>
      </w:pPr>
      <w:r w:rsidRPr="003945F2">
        <w:lastRenderedPageBreak/>
        <w:tab/>
        <w:t>(c)</w:t>
      </w:r>
      <w:r w:rsidRPr="003945F2">
        <w:tab/>
        <w:t>for AFM accreditation, granted the AFM accreditation setting maximum work times and minimum rest times different to the maximum work times and minimum rest times sought by the applicant for the accreditation.</w:t>
      </w:r>
    </w:p>
    <w:p w14:paraId="3DF9029B" w14:textId="77777777" w:rsidR="00DB6E47" w:rsidRPr="007E1F9A" w:rsidRDefault="00DB6E47" w:rsidP="00DB6E47">
      <w:pPr>
        <w:pStyle w:val="AH5Sec"/>
      </w:pPr>
      <w:bookmarkStart w:id="536" w:name="_Toc83625880"/>
      <w:r w:rsidRPr="005E03F7">
        <w:rPr>
          <w:rStyle w:val="CharSectNo"/>
        </w:rPr>
        <w:t>465</w:t>
      </w:r>
      <w:r w:rsidRPr="007E1F9A">
        <w:tab/>
      </w:r>
      <w:r w:rsidRPr="007E1F9A">
        <w:rPr>
          <w:rFonts w:ascii="Helvetica" w:hAnsi="Helvetica" w:cs="Helvetica"/>
          <w:iCs/>
        </w:rPr>
        <w:t>Refusal of application for heavy vehicle accreditation</w:t>
      </w:r>
      <w:bookmarkEnd w:id="536"/>
    </w:p>
    <w:p w14:paraId="14E5C42F" w14:textId="77777777" w:rsidR="00DB6E47" w:rsidRPr="00C62D32" w:rsidRDefault="00DB6E47" w:rsidP="00DB6E47">
      <w:pPr>
        <w:pStyle w:val="Amainreturn"/>
      </w:pPr>
      <w:r w:rsidRPr="00C62D32">
        <w:t>If the Regulator refuses an application for heavy vehicle accreditation, the Regulator must give the applicant an information notice for the decision to refuse the application.</w:t>
      </w:r>
    </w:p>
    <w:p w14:paraId="4DA40AAD" w14:textId="77777777" w:rsidR="00DB6E47" w:rsidRPr="007E1F9A" w:rsidRDefault="00DB6E47" w:rsidP="00DB6E47">
      <w:pPr>
        <w:pStyle w:val="AH5Sec"/>
      </w:pPr>
      <w:bookmarkStart w:id="537" w:name="_Toc83625881"/>
      <w:r w:rsidRPr="005E03F7">
        <w:rPr>
          <w:rStyle w:val="CharSectNo"/>
        </w:rPr>
        <w:t>466</w:t>
      </w:r>
      <w:r w:rsidRPr="007E1F9A">
        <w:tab/>
      </w:r>
      <w:r w:rsidRPr="007E1F9A">
        <w:rPr>
          <w:rFonts w:ascii="Helvetica" w:hAnsi="Helvetica" w:cs="Helvetica"/>
          <w:iCs/>
        </w:rPr>
        <w:t>Accreditation labels for maintenance management accreditation and mass management accreditation</w:t>
      </w:r>
      <w:bookmarkEnd w:id="537"/>
    </w:p>
    <w:p w14:paraId="293A7341" w14:textId="77777777" w:rsidR="00DB6E47" w:rsidRPr="00C62D32" w:rsidRDefault="00DB6E47" w:rsidP="00DB6E47">
      <w:pPr>
        <w:pStyle w:val="Amain"/>
      </w:pPr>
      <w:r w:rsidRPr="00C62D32">
        <w:tab/>
        <w:t>(1)</w:t>
      </w:r>
      <w:r w:rsidRPr="00C62D32">
        <w:tab/>
        <w:t>If the Regulator grants maintenance management accreditation or mass management accreditation to an operator of a heavy vehicle, the Regulator must give the operator an accreditation label for each relevant vehicle for the accreditation.</w:t>
      </w:r>
    </w:p>
    <w:p w14:paraId="42644760" w14:textId="77777777" w:rsidR="00DB6E47" w:rsidRPr="00C62D32" w:rsidRDefault="00DB6E47" w:rsidP="00DB6E47">
      <w:pPr>
        <w:pStyle w:val="Amain"/>
      </w:pPr>
      <w:r w:rsidRPr="00C62D32">
        <w:tab/>
        <w:t>(2)</w:t>
      </w:r>
      <w:r w:rsidRPr="00C62D32">
        <w:tab/>
        <w:t>If the operator amends the relevant management system to identify a new relevant vehicle for the accreditation—</w:t>
      </w:r>
    </w:p>
    <w:p w14:paraId="1C1301A6" w14:textId="77777777" w:rsidR="00DB6E47" w:rsidRPr="00544ED5" w:rsidRDefault="00DB6E47" w:rsidP="00DB6E47">
      <w:pPr>
        <w:pStyle w:val="Apara"/>
      </w:pPr>
      <w:r w:rsidRPr="00544ED5">
        <w:tab/>
        <w:t>(a)</w:t>
      </w:r>
      <w:r w:rsidRPr="00544ED5">
        <w:tab/>
        <w:t>the operator may ask the Regulator for an accreditation label for the new relevant vehicle; and</w:t>
      </w:r>
    </w:p>
    <w:p w14:paraId="2032F3A1" w14:textId="77777777" w:rsidR="00DB6E47" w:rsidRPr="00544ED5" w:rsidRDefault="00DB6E47" w:rsidP="00DB6E47">
      <w:pPr>
        <w:pStyle w:val="Apara"/>
      </w:pPr>
      <w:r w:rsidRPr="00544ED5">
        <w:tab/>
        <w:t>(b)</w:t>
      </w:r>
      <w:r w:rsidRPr="00544ED5">
        <w:tab/>
        <w:t>the Regulator must give the accreditation label to the operator.</w:t>
      </w:r>
    </w:p>
    <w:p w14:paraId="5DB9356A" w14:textId="77777777" w:rsidR="00FB78ED" w:rsidRPr="00FB78ED" w:rsidRDefault="00FB78ED" w:rsidP="00FB78ED">
      <w:pPr>
        <w:pStyle w:val="Amain"/>
        <w:rPr>
          <w:lang w:val="en" w:eastAsia="en-AU"/>
        </w:rPr>
      </w:pPr>
      <w:r>
        <w:rPr>
          <w:lang w:val="en" w:eastAsia="en-AU"/>
        </w:rPr>
        <w:tab/>
      </w:r>
      <w:r w:rsidRPr="00FB78ED">
        <w:rPr>
          <w:lang w:val="en" w:eastAsia="en-AU"/>
        </w:rPr>
        <w:t>(2A)</w:t>
      </w:r>
      <w:r>
        <w:rPr>
          <w:lang w:val="en" w:eastAsia="en-AU"/>
        </w:rPr>
        <w:tab/>
      </w:r>
      <w:r w:rsidRPr="00FB78ED">
        <w:rPr>
          <w:lang w:val="en" w:eastAsia="en-AU"/>
        </w:rPr>
        <w:t>The operator must attach the accreditation label for a relevant vehicle to the vehicle in a way that the label—</w:t>
      </w:r>
    </w:p>
    <w:p w14:paraId="2542F9C1" w14:textId="77777777" w:rsidR="00FB78ED" w:rsidRPr="00FB78ED" w:rsidRDefault="00FB78ED" w:rsidP="00FB78ED">
      <w:pPr>
        <w:pStyle w:val="Apara"/>
        <w:rPr>
          <w:lang w:val="en" w:eastAsia="en-AU"/>
        </w:rPr>
      </w:pPr>
      <w:r>
        <w:rPr>
          <w:lang w:val="en" w:eastAsia="en-AU"/>
        </w:rPr>
        <w:tab/>
      </w:r>
      <w:r w:rsidRPr="00FB78ED">
        <w:rPr>
          <w:lang w:val="en" w:eastAsia="en-AU"/>
        </w:rPr>
        <w:t>(a)</w:t>
      </w:r>
      <w:r>
        <w:rPr>
          <w:lang w:val="en" w:eastAsia="en-AU"/>
        </w:rPr>
        <w:tab/>
      </w:r>
      <w:r w:rsidRPr="00FB78ED">
        <w:rPr>
          <w:lang w:val="en" w:eastAsia="en-AU"/>
        </w:rPr>
        <w:t>is readable from outside the vehicle; and</w:t>
      </w:r>
    </w:p>
    <w:p w14:paraId="15741737" w14:textId="77777777" w:rsidR="00FB78ED" w:rsidRPr="00FB78ED" w:rsidRDefault="00FB78ED" w:rsidP="00FB78ED">
      <w:pPr>
        <w:pStyle w:val="Apara"/>
        <w:rPr>
          <w:lang w:val="en" w:eastAsia="en-AU"/>
        </w:rPr>
      </w:pPr>
      <w:r>
        <w:rPr>
          <w:lang w:val="en" w:eastAsia="en-AU"/>
        </w:rPr>
        <w:tab/>
      </w:r>
      <w:r w:rsidRPr="00FB78ED">
        <w:rPr>
          <w:lang w:val="en" w:eastAsia="en-AU"/>
        </w:rPr>
        <w:t>(b)</w:t>
      </w:r>
      <w:r>
        <w:rPr>
          <w:lang w:val="en" w:eastAsia="en-AU"/>
        </w:rPr>
        <w:tab/>
      </w:r>
      <w:r w:rsidRPr="00FB78ED">
        <w:rPr>
          <w:lang w:val="en" w:eastAsia="en-AU"/>
        </w:rPr>
        <w:t>is not wholly or partly obscured, defaced or otherwise not legible.</w:t>
      </w:r>
    </w:p>
    <w:p w14:paraId="21AB5201" w14:textId="77777777" w:rsidR="00FB78ED" w:rsidRPr="00FB78ED" w:rsidRDefault="00FB78ED" w:rsidP="00FB78ED">
      <w:pPr>
        <w:pStyle w:val="Penalty"/>
        <w:rPr>
          <w:lang w:val="en" w:eastAsia="en-AU"/>
        </w:rPr>
      </w:pPr>
      <w:r w:rsidRPr="00FB78ED">
        <w:rPr>
          <w:lang w:val="en" w:eastAsia="en-AU"/>
        </w:rPr>
        <w:t>Maximum penalty—$3000.</w:t>
      </w:r>
    </w:p>
    <w:p w14:paraId="4475AC9B" w14:textId="77777777" w:rsidR="00FB78ED" w:rsidRPr="00FB78ED" w:rsidRDefault="00FB78ED" w:rsidP="00CE4A4A">
      <w:pPr>
        <w:pStyle w:val="Amain"/>
        <w:keepNext/>
      </w:pPr>
      <w:r w:rsidRPr="003323FC">
        <w:lastRenderedPageBreak/>
        <w:tab/>
        <w:t>(2B</w:t>
      </w:r>
      <w:r w:rsidRPr="00FB78ED">
        <w:t>)</w:t>
      </w:r>
      <w:r>
        <w:tab/>
      </w:r>
      <w:r w:rsidRPr="00FB78ED">
        <w:t>A person must not drive a relevant vehicle if the vehicle’s accreditation label—</w:t>
      </w:r>
    </w:p>
    <w:p w14:paraId="716B91A5" w14:textId="77777777" w:rsidR="00FB78ED" w:rsidRPr="00FB78ED" w:rsidRDefault="00FB78ED" w:rsidP="00CE4A4A">
      <w:pPr>
        <w:pStyle w:val="Apara"/>
        <w:keepNext/>
        <w:rPr>
          <w:lang w:val="en" w:eastAsia="en-AU"/>
        </w:rPr>
      </w:pPr>
      <w:r>
        <w:rPr>
          <w:lang w:val="en" w:eastAsia="en-AU"/>
        </w:rPr>
        <w:tab/>
      </w:r>
      <w:r w:rsidRPr="00FB78ED">
        <w:rPr>
          <w:lang w:val="en" w:eastAsia="en-AU"/>
        </w:rPr>
        <w:t>(a)</w:t>
      </w:r>
      <w:r>
        <w:rPr>
          <w:lang w:val="en" w:eastAsia="en-AU"/>
        </w:rPr>
        <w:tab/>
      </w:r>
      <w:r w:rsidRPr="00FB78ED">
        <w:rPr>
          <w:lang w:val="en" w:eastAsia="en-AU"/>
        </w:rPr>
        <w:t>is not attached to the vehicle; or</w:t>
      </w:r>
    </w:p>
    <w:p w14:paraId="46BF50E4" w14:textId="77777777" w:rsidR="00FB78ED" w:rsidRPr="00FB78ED" w:rsidRDefault="00FB78ED" w:rsidP="00FB78ED">
      <w:pPr>
        <w:pStyle w:val="Apara"/>
        <w:rPr>
          <w:lang w:val="en" w:eastAsia="en-AU"/>
        </w:rPr>
      </w:pPr>
      <w:r>
        <w:rPr>
          <w:lang w:val="en" w:eastAsia="en-AU"/>
        </w:rPr>
        <w:tab/>
      </w:r>
      <w:r w:rsidRPr="00FB78ED">
        <w:rPr>
          <w:lang w:val="en" w:eastAsia="en-AU"/>
        </w:rPr>
        <w:t>(b)</w:t>
      </w:r>
      <w:r>
        <w:rPr>
          <w:lang w:val="en" w:eastAsia="en-AU"/>
        </w:rPr>
        <w:tab/>
      </w:r>
      <w:r w:rsidRPr="00FB78ED">
        <w:rPr>
          <w:lang w:val="en" w:eastAsia="en-AU"/>
        </w:rPr>
        <w:t>is attached to the vehicle in a way that the label is wholly or partly obscured, defaced or otherwise not legible.</w:t>
      </w:r>
    </w:p>
    <w:p w14:paraId="348F0EAD" w14:textId="77777777" w:rsidR="00FB78ED" w:rsidRPr="00FB78ED" w:rsidRDefault="00FB78ED" w:rsidP="00FB78ED">
      <w:pPr>
        <w:pStyle w:val="Penalty"/>
        <w:rPr>
          <w:lang w:val="en" w:eastAsia="en-AU"/>
        </w:rPr>
      </w:pPr>
      <w:r w:rsidRPr="00FB78ED">
        <w:rPr>
          <w:lang w:val="en" w:eastAsia="en-AU"/>
        </w:rPr>
        <w:t>Maximum penalty—$3000.</w:t>
      </w:r>
    </w:p>
    <w:p w14:paraId="6F32C023" w14:textId="77777777" w:rsidR="00DB6E47" w:rsidRPr="00C62D32" w:rsidRDefault="00DB6E47" w:rsidP="00DB6E47">
      <w:pPr>
        <w:pStyle w:val="Amain"/>
      </w:pPr>
      <w:r w:rsidRPr="00C62D32">
        <w:tab/>
        <w:t>(3)</w:t>
      </w:r>
      <w:r w:rsidRPr="00C62D32">
        <w:tab/>
        <w:t>In this section—</w:t>
      </w:r>
    </w:p>
    <w:p w14:paraId="0901EEE3" w14:textId="77777777" w:rsidR="00DB6E47" w:rsidRPr="00041046" w:rsidRDefault="00DB6E47" w:rsidP="00DB6E47">
      <w:pPr>
        <w:pStyle w:val="aDef"/>
        <w:rPr>
          <w:bCs/>
        </w:rPr>
      </w:pPr>
      <w:r w:rsidRPr="00041046">
        <w:rPr>
          <w:rStyle w:val="charBoldItals"/>
        </w:rPr>
        <w:t>accreditation label</w:t>
      </w:r>
      <w:r w:rsidRPr="00041046">
        <w:t>, for a relevant vehicle for a maintenance management accreditation or mass management accreditation, means a label stating the number identifying the accreditation for attaching to the vehicle.</w:t>
      </w:r>
    </w:p>
    <w:p w14:paraId="2A362ACC" w14:textId="77777777" w:rsidR="00DB6E47" w:rsidRPr="00041046" w:rsidRDefault="00DB6E47" w:rsidP="00DB6E47">
      <w:pPr>
        <w:pStyle w:val="aDef"/>
        <w:rPr>
          <w:bCs/>
        </w:rPr>
      </w:pPr>
      <w:r w:rsidRPr="00041046">
        <w:rPr>
          <w:rStyle w:val="charBoldItals"/>
        </w:rPr>
        <w:t>relevant vehicle</w:t>
      </w:r>
      <w:r w:rsidRPr="00041046">
        <w:t>, for a maintenance management accreditation or mass management accreditation, means a vehicle identified in the relevant management system as currently being operated in accordance with the management system.</w:t>
      </w:r>
    </w:p>
    <w:p w14:paraId="7B148DA7" w14:textId="77777777" w:rsidR="00DB6E47" w:rsidRPr="003D647F" w:rsidRDefault="00DB6E47" w:rsidP="00DB6E47">
      <w:pPr>
        <w:pStyle w:val="PageBreak"/>
        <w:rPr>
          <w:rFonts w:eastAsiaTheme="minorHAnsi"/>
        </w:rPr>
      </w:pPr>
      <w:r w:rsidRPr="003D647F">
        <w:rPr>
          <w:rFonts w:eastAsiaTheme="minorHAnsi"/>
        </w:rPr>
        <w:br w:type="page"/>
      </w:r>
    </w:p>
    <w:p w14:paraId="5E8B2CB0" w14:textId="77777777" w:rsidR="00DB6E47" w:rsidRPr="005E03F7" w:rsidRDefault="00DB6E47" w:rsidP="00DB6E47">
      <w:pPr>
        <w:pStyle w:val="AH2Part"/>
      </w:pPr>
      <w:bookmarkStart w:id="538" w:name="_Toc83625882"/>
      <w:r w:rsidRPr="005E03F7">
        <w:rPr>
          <w:rStyle w:val="CharPartNo"/>
        </w:rPr>
        <w:lastRenderedPageBreak/>
        <w:t xml:space="preserve">Part 8.3 </w:t>
      </w:r>
      <w:r w:rsidRPr="00A95F9A">
        <w:rPr>
          <w:rFonts w:ascii="Helvetica" w:hAnsi="Helvetica" w:cs="Helvetica"/>
          <w:iCs/>
          <w:szCs w:val="32"/>
        </w:rPr>
        <w:tab/>
      </w:r>
      <w:r w:rsidRPr="005E03F7">
        <w:rPr>
          <w:rStyle w:val="CharPartText"/>
          <w:rFonts w:ascii="Helvetica" w:hAnsi="Helvetica" w:cs="Helvetica"/>
          <w:iCs/>
          <w:szCs w:val="32"/>
        </w:rPr>
        <w:t>Operating under heavy vehicle accreditation</w:t>
      </w:r>
      <w:bookmarkEnd w:id="538"/>
    </w:p>
    <w:p w14:paraId="1C3E40DE" w14:textId="77777777" w:rsidR="00DB6E47" w:rsidRPr="007E1F9A" w:rsidRDefault="00DB6E47" w:rsidP="00DB6E47">
      <w:pPr>
        <w:pStyle w:val="AH5Sec"/>
      </w:pPr>
      <w:bookmarkStart w:id="539" w:name="_Toc83625883"/>
      <w:r w:rsidRPr="005E03F7">
        <w:rPr>
          <w:rStyle w:val="CharSectNo"/>
        </w:rPr>
        <w:t>467</w:t>
      </w:r>
      <w:r w:rsidRPr="007E1F9A">
        <w:tab/>
      </w:r>
      <w:r w:rsidRPr="007E1F9A">
        <w:rPr>
          <w:rFonts w:ascii="Helvetica" w:hAnsi="Helvetica" w:cs="Helvetica"/>
          <w:iCs/>
        </w:rPr>
        <w:t>Compliance with conditions of BFM accreditation or AFM accreditation</w:t>
      </w:r>
      <w:bookmarkEnd w:id="539"/>
    </w:p>
    <w:p w14:paraId="1B4B51D4" w14:textId="77777777" w:rsidR="00DB6E47" w:rsidRPr="006C3305" w:rsidRDefault="00DB6E47" w:rsidP="00DB6E47">
      <w:pPr>
        <w:pStyle w:val="Amainreturn"/>
      </w:pPr>
      <w:r w:rsidRPr="006C3305">
        <w:t>The holder of a BFM accreditation or AFM accreditation must comply with the conditions of the accreditation.</w:t>
      </w:r>
    </w:p>
    <w:p w14:paraId="338EE8F0" w14:textId="77777777" w:rsidR="00DB6E47" w:rsidRPr="006C3305" w:rsidRDefault="00DB6E47" w:rsidP="00DB6E47">
      <w:pPr>
        <w:pStyle w:val="Penalty"/>
      </w:pPr>
      <w:r w:rsidRPr="00D91CC2">
        <w:rPr>
          <w:rFonts w:cs="Times"/>
          <w:bCs/>
          <w:iCs/>
        </w:rPr>
        <w:t>Maximum penalty—$6000.</w:t>
      </w:r>
    </w:p>
    <w:p w14:paraId="0C8B1E80" w14:textId="77777777" w:rsidR="00726C68" w:rsidRDefault="00726C68" w:rsidP="00726C68">
      <w:pPr>
        <w:pStyle w:val="AH5Sec"/>
        <w:rPr>
          <w:rFonts w:ascii="Helvetica" w:hAnsi="Helvetica" w:cs="Helvetica"/>
          <w:iCs/>
        </w:rPr>
      </w:pPr>
      <w:bookmarkStart w:id="540" w:name="_Toc83625884"/>
      <w:r w:rsidRPr="005E03F7">
        <w:rPr>
          <w:rStyle w:val="CharSectNo"/>
        </w:rPr>
        <w:t>468</w:t>
      </w:r>
      <w:r w:rsidRPr="007E1F9A">
        <w:tab/>
      </w:r>
      <w:r w:rsidRPr="007E1F9A">
        <w:rPr>
          <w:rFonts w:ascii="Helvetica" w:hAnsi="Helvetica" w:cs="Helvetica"/>
          <w:iCs/>
        </w:rPr>
        <w:t>Driver</w:t>
      </w:r>
      <w:r>
        <w:rPr>
          <w:rFonts w:ascii="Helvetica" w:hAnsi="Helvetica" w:cs="Helvetica"/>
          <w:iCs/>
        </w:rPr>
        <w:t xml:space="preserve"> operating under BFM accreditation or AFM accreditation</w:t>
      </w:r>
      <w:r w:rsidRPr="007E1F9A">
        <w:rPr>
          <w:rFonts w:ascii="Helvetica" w:hAnsi="Helvetica" w:cs="Helvetica"/>
          <w:iCs/>
        </w:rPr>
        <w:t xml:space="preserve"> must carry accreditation details</w:t>
      </w:r>
      <w:bookmarkEnd w:id="540"/>
    </w:p>
    <w:p w14:paraId="501DC9C6" w14:textId="77777777" w:rsidR="00726C68" w:rsidRPr="00C62D32" w:rsidRDefault="00726C68" w:rsidP="00726C68">
      <w:pPr>
        <w:pStyle w:val="Amain"/>
      </w:pPr>
      <w:r w:rsidRPr="00C62D32">
        <w:tab/>
        <w:t>(1)</w:t>
      </w:r>
      <w:r w:rsidRPr="00C62D32">
        <w:tab/>
        <w:t xml:space="preserve">The driver of a heavy vehicle who is operating under a </w:t>
      </w:r>
      <w:r>
        <w:rPr>
          <w:color w:val="000000"/>
          <w:shd w:val="clear" w:color="auto" w:fill="FFFFFF"/>
        </w:rPr>
        <w:t>BFM accreditation or AFM accreditation</w:t>
      </w:r>
      <w:r w:rsidRPr="00C62D32">
        <w:t xml:space="preserve"> must keep in the driver’s possession—</w:t>
      </w:r>
    </w:p>
    <w:p w14:paraId="21D29064" w14:textId="77777777" w:rsidR="00726C68" w:rsidRPr="00544ED5" w:rsidRDefault="00726C68" w:rsidP="00726C68">
      <w:pPr>
        <w:pStyle w:val="Apara"/>
      </w:pPr>
      <w:r w:rsidRPr="00544ED5">
        <w:tab/>
        <w:t>(a)</w:t>
      </w:r>
      <w:r w:rsidRPr="00544ED5">
        <w:tab/>
        <w:t>a copy of the accreditation certificate for the accreditation; and</w:t>
      </w:r>
    </w:p>
    <w:p w14:paraId="25FA0F8A" w14:textId="77777777" w:rsidR="00726C68" w:rsidRPr="00544ED5" w:rsidRDefault="00726C68" w:rsidP="00726C68">
      <w:pPr>
        <w:pStyle w:val="Apara"/>
      </w:pPr>
      <w:r w:rsidRPr="00544ED5">
        <w:tab/>
        <w:t>(b)</w:t>
      </w:r>
      <w:r w:rsidRPr="00544ED5">
        <w:tab/>
        <w:t>a document, signed by the operator of the vehicle who holds the accreditation, stating that the driver—</w:t>
      </w:r>
    </w:p>
    <w:p w14:paraId="0532F85A" w14:textId="77777777" w:rsidR="00726C68" w:rsidRPr="00516F02" w:rsidRDefault="00726C68" w:rsidP="00726C68">
      <w:pPr>
        <w:pStyle w:val="Asubpara"/>
      </w:pPr>
      <w:r w:rsidRPr="00516F02">
        <w:tab/>
        <w:t>(i)</w:t>
      </w:r>
      <w:r w:rsidRPr="00516F02">
        <w:tab/>
        <w:t>is operating under the operator’s heavy vehicle accreditation; and</w:t>
      </w:r>
    </w:p>
    <w:p w14:paraId="0F6E58A9" w14:textId="77777777" w:rsidR="00726C68" w:rsidRPr="00516F02" w:rsidRDefault="00726C68" w:rsidP="00726C68">
      <w:pPr>
        <w:pStyle w:val="Asubpara"/>
      </w:pPr>
      <w:r w:rsidRPr="00516F02">
        <w:tab/>
        <w:t>(ii)</w:t>
      </w:r>
      <w:r w:rsidRPr="00516F02">
        <w:tab/>
        <w:t>has been inducted into the operator’s relevant management system; and</w:t>
      </w:r>
    </w:p>
    <w:p w14:paraId="174BF535" w14:textId="77777777" w:rsidR="00726C68" w:rsidRPr="00516F02" w:rsidRDefault="00726C68" w:rsidP="00726C68">
      <w:pPr>
        <w:pStyle w:val="Asubpara"/>
      </w:pPr>
      <w:r w:rsidRPr="00516F02">
        <w:tab/>
        <w:t>(iii)</w:t>
      </w:r>
      <w:r w:rsidRPr="00516F02">
        <w:tab/>
        <w:t>meets the requirements relating to drivers operating under the operator’s heavy vehicle accreditation (if any); and</w:t>
      </w:r>
    </w:p>
    <w:p w14:paraId="580AB35E" w14:textId="77777777" w:rsidR="00726C68" w:rsidRPr="00544ED5" w:rsidRDefault="00726C68" w:rsidP="00726C68">
      <w:pPr>
        <w:pStyle w:val="Apara"/>
      </w:pPr>
      <w:r w:rsidRPr="00544ED5">
        <w:tab/>
        <w:t>(c)</w:t>
      </w:r>
      <w:r w:rsidRPr="00544ED5">
        <w:tab/>
        <w:t>for a driver operating under AFM accreditation, a document stating the AFM hours applying under the accreditation.</w:t>
      </w:r>
    </w:p>
    <w:p w14:paraId="2D8FF112" w14:textId="77777777" w:rsidR="00726C68" w:rsidRPr="00C96203" w:rsidRDefault="00726C68" w:rsidP="00726C68">
      <w:pPr>
        <w:pStyle w:val="aExamHdgss"/>
      </w:pPr>
      <w:r w:rsidRPr="00C96203">
        <w:rPr>
          <w:rFonts w:cs="Times"/>
          <w:bCs/>
          <w:iCs/>
        </w:rPr>
        <w:t>Example for the purposes of paragraph (c)—</w:t>
      </w:r>
    </w:p>
    <w:p w14:paraId="062003CD" w14:textId="77777777" w:rsidR="00726C68" w:rsidRPr="00C96203" w:rsidRDefault="00726C68" w:rsidP="00726C68">
      <w:pPr>
        <w:pStyle w:val="aExamss"/>
      </w:pPr>
      <w:r w:rsidRPr="00C96203">
        <w:t>The driver records a statement of the AFM hours applying under the AFM accreditation in the driver’s electronic work diary (which is a document).</w:t>
      </w:r>
    </w:p>
    <w:p w14:paraId="153E9529" w14:textId="77777777" w:rsidR="00726C68" w:rsidRPr="006C3305" w:rsidRDefault="00726C68" w:rsidP="00726C68">
      <w:pPr>
        <w:pStyle w:val="Penalty"/>
      </w:pPr>
      <w:r w:rsidRPr="00D91CC2">
        <w:rPr>
          <w:rFonts w:cs="Times"/>
          <w:bCs/>
          <w:iCs/>
        </w:rPr>
        <w:t>Maximum penalty—$3000.</w:t>
      </w:r>
    </w:p>
    <w:p w14:paraId="1CECF687" w14:textId="77777777" w:rsidR="00DB6E47" w:rsidRPr="00C62D32" w:rsidRDefault="003945F2" w:rsidP="00DB6E47">
      <w:pPr>
        <w:pStyle w:val="Amain"/>
      </w:pPr>
      <w:r>
        <w:lastRenderedPageBreak/>
        <w:tab/>
        <w:t>(2)</w:t>
      </w:r>
      <w:r>
        <w:tab/>
        <w:t xml:space="preserve">Subsection </w:t>
      </w:r>
      <w:r w:rsidR="00DB6E47" w:rsidRPr="00C62D32">
        <w:t>(1)</w:t>
      </w:r>
      <w:r>
        <w:t xml:space="preserve"> </w:t>
      </w:r>
      <w:r w:rsidR="00DB6E47" w:rsidRPr="00C62D32">
        <w:t>applies even if the driver and operator are the same person.</w:t>
      </w:r>
    </w:p>
    <w:p w14:paraId="49BA4819" w14:textId="77777777" w:rsidR="00B81402" w:rsidRPr="00B81402" w:rsidRDefault="00B81402" w:rsidP="00D72714">
      <w:pPr>
        <w:pStyle w:val="Amain"/>
        <w:keepNext/>
        <w:rPr>
          <w:lang w:val="en" w:eastAsia="en-AU"/>
        </w:rPr>
      </w:pPr>
      <w:r>
        <w:rPr>
          <w:lang w:val="en" w:eastAsia="en-AU"/>
        </w:rPr>
        <w:tab/>
      </w:r>
      <w:r w:rsidRPr="00B81402">
        <w:rPr>
          <w:lang w:val="en" w:eastAsia="en-AU"/>
        </w:rPr>
        <w:t>(3)</w:t>
      </w:r>
      <w:r>
        <w:rPr>
          <w:lang w:val="en" w:eastAsia="en-AU"/>
        </w:rPr>
        <w:tab/>
      </w:r>
      <w:r w:rsidRPr="00B81402">
        <w:rPr>
          <w:lang w:val="en" w:eastAsia="en-AU"/>
        </w:rPr>
        <w:t>The operator of the vehicle must ensure the driver complies with subsection (1), unless the operator has a reasonable excuse.</w:t>
      </w:r>
    </w:p>
    <w:p w14:paraId="0A6CC39F" w14:textId="77777777" w:rsidR="00B81402" w:rsidRPr="00B81402" w:rsidRDefault="00B81402" w:rsidP="00B81402">
      <w:pPr>
        <w:pStyle w:val="Penalty"/>
        <w:rPr>
          <w:lang w:val="en" w:eastAsia="en-AU"/>
        </w:rPr>
      </w:pPr>
      <w:r w:rsidRPr="00B81402">
        <w:rPr>
          <w:lang w:val="en" w:eastAsia="en-AU"/>
        </w:rPr>
        <w:t>Maximum penalty—$3000.</w:t>
      </w:r>
    </w:p>
    <w:p w14:paraId="09996AC1" w14:textId="77777777" w:rsidR="00B53FCC" w:rsidRPr="007E1F9A" w:rsidRDefault="00B53FCC" w:rsidP="00B53FCC">
      <w:pPr>
        <w:pStyle w:val="AH5Sec"/>
      </w:pPr>
      <w:bookmarkStart w:id="541" w:name="_Toc83625885"/>
      <w:r w:rsidRPr="005E03F7">
        <w:rPr>
          <w:rStyle w:val="CharSectNo"/>
        </w:rPr>
        <w:t>469</w:t>
      </w:r>
      <w:r w:rsidRPr="007E1F9A">
        <w:tab/>
      </w:r>
      <w:r w:rsidRPr="007E1F9A">
        <w:rPr>
          <w:rFonts w:ascii="Helvetica" w:hAnsi="Helvetica" w:cs="Helvetica"/>
          <w:iCs/>
        </w:rPr>
        <w:t>Driver must return particular documents if stops operating under</w:t>
      </w:r>
      <w:r>
        <w:rPr>
          <w:rFonts w:ascii="Helvetica" w:hAnsi="Helvetica" w:cs="Helvetica"/>
          <w:iCs/>
        </w:rPr>
        <w:t xml:space="preserve"> </w:t>
      </w:r>
      <w:r w:rsidRPr="00F331ED">
        <w:rPr>
          <w:rFonts w:ascii="Helvetica" w:hAnsi="Helvetica" w:cs="Helvetica"/>
          <w:iCs/>
        </w:rPr>
        <w:t>BFM accreditation or AFM</w:t>
      </w:r>
      <w:r w:rsidRPr="007E1F9A">
        <w:rPr>
          <w:rFonts w:ascii="Helvetica" w:hAnsi="Helvetica" w:cs="Helvetica"/>
          <w:iCs/>
        </w:rPr>
        <w:t xml:space="preserve"> accreditation etc.</w:t>
      </w:r>
      <w:bookmarkEnd w:id="541"/>
    </w:p>
    <w:p w14:paraId="5DA1263C" w14:textId="77777777" w:rsidR="00B53FCC" w:rsidRPr="00C62D32" w:rsidRDefault="00B53FCC" w:rsidP="00B53FCC">
      <w:pPr>
        <w:pStyle w:val="Amain"/>
        <w:keepNext/>
      </w:pPr>
      <w:r w:rsidRPr="00C62D32">
        <w:tab/>
        <w:t>(1)</w:t>
      </w:r>
      <w:r w:rsidRPr="00C62D32">
        <w:tab/>
        <w:t>This section applies if—</w:t>
      </w:r>
    </w:p>
    <w:p w14:paraId="0A44A783" w14:textId="77777777" w:rsidR="00B53FCC" w:rsidRPr="00544ED5" w:rsidRDefault="00B53FCC" w:rsidP="00B53FCC">
      <w:pPr>
        <w:pStyle w:val="Apara"/>
      </w:pPr>
      <w:r w:rsidRPr="00544ED5">
        <w:tab/>
        <w:t>(a)</w:t>
      </w:r>
      <w:r w:rsidRPr="00544ED5">
        <w:tab/>
        <w:t xml:space="preserve">the driver of a heavy vehicle is operating under a </w:t>
      </w:r>
      <w:r w:rsidRPr="00D2468D">
        <w:t>BFM accreditation or AFM accreditation</w:t>
      </w:r>
      <w:r w:rsidRPr="00544ED5">
        <w:t>; and</w:t>
      </w:r>
    </w:p>
    <w:p w14:paraId="06DB0CA8" w14:textId="77777777" w:rsidR="00B53FCC" w:rsidRPr="00544ED5" w:rsidRDefault="00B53FCC" w:rsidP="00B53FCC">
      <w:pPr>
        <w:pStyle w:val="Apara"/>
      </w:pPr>
      <w:r w:rsidRPr="00544ED5">
        <w:tab/>
        <w:t>(b)</w:t>
      </w:r>
      <w:r w:rsidRPr="00544ED5">
        <w:tab/>
        <w:t>the operator of the heavy vehicle has given the driver a document for the purposes of section 468(1); and</w:t>
      </w:r>
    </w:p>
    <w:p w14:paraId="1C814820" w14:textId="77777777" w:rsidR="00B53FCC" w:rsidRPr="00544ED5" w:rsidRDefault="00B53FCC" w:rsidP="00B53FCC">
      <w:pPr>
        <w:pStyle w:val="Apara"/>
      </w:pPr>
      <w:r w:rsidRPr="00544ED5">
        <w:tab/>
        <w:t>(c)</w:t>
      </w:r>
      <w:r w:rsidRPr="00544ED5">
        <w:tab/>
        <w:t>the driver—</w:t>
      </w:r>
    </w:p>
    <w:p w14:paraId="26B8A4DB" w14:textId="77777777" w:rsidR="00B53FCC" w:rsidRPr="00516F02" w:rsidRDefault="00B53FCC" w:rsidP="00B53FCC">
      <w:pPr>
        <w:pStyle w:val="Asubpara"/>
      </w:pPr>
      <w:r w:rsidRPr="00516F02">
        <w:tab/>
        <w:t>(i)</w:t>
      </w:r>
      <w:r w:rsidRPr="00516F02">
        <w:tab/>
        <w:t>stops operating under the operator’s</w:t>
      </w:r>
      <w:r w:rsidRPr="00D2468D">
        <w:t xml:space="preserve"> BFM accreditation or AFM accreditation; </w:t>
      </w:r>
      <w:r w:rsidRPr="00516F02">
        <w:t>or</w:t>
      </w:r>
    </w:p>
    <w:p w14:paraId="14992600" w14:textId="77777777" w:rsidR="00B53FCC" w:rsidRPr="00516F02" w:rsidRDefault="00B53FCC" w:rsidP="00B53FCC">
      <w:pPr>
        <w:pStyle w:val="Asubpara"/>
      </w:pPr>
      <w:r w:rsidRPr="00516F02">
        <w:tab/>
        <w:t>(ii)</w:t>
      </w:r>
      <w:r w:rsidRPr="00516F02">
        <w:tab/>
        <w:t>no longer meets the requirements relating to drivers operating under the operator’s</w:t>
      </w:r>
      <w:r w:rsidRPr="00D2468D">
        <w:t xml:space="preserve"> BFM accreditation or AFM accreditation</w:t>
      </w:r>
      <w:r w:rsidRPr="00516F02">
        <w:t xml:space="preserve"> (if any).</w:t>
      </w:r>
    </w:p>
    <w:p w14:paraId="52538991" w14:textId="77777777" w:rsidR="00B53FCC" w:rsidRPr="00C62D32" w:rsidRDefault="00B53FCC" w:rsidP="00B53FCC">
      <w:pPr>
        <w:pStyle w:val="Amain"/>
      </w:pPr>
      <w:r w:rsidRPr="00C62D32">
        <w:tab/>
        <w:t>(2)</w:t>
      </w:r>
      <w:r w:rsidRPr="00C62D32">
        <w:tab/>
        <w:t>The driver must return the document to the operator as soon as reasonably practicable.</w:t>
      </w:r>
    </w:p>
    <w:p w14:paraId="69D16906" w14:textId="77777777" w:rsidR="00B53FCC" w:rsidRPr="006C3305" w:rsidRDefault="00B53FCC" w:rsidP="00B53FCC">
      <w:pPr>
        <w:pStyle w:val="Penalty"/>
      </w:pPr>
      <w:r w:rsidRPr="00D91CC2">
        <w:rPr>
          <w:rFonts w:cs="Times"/>
          <w:bCs/>
          <w:iCs/>
        </w:rPr>
        <w:t>Maximum penalty—$4000.</w:t>
      </w:r>
    </w:p>
    <w:p w14:paraId="21B6F3DB" w14:textId="77777777" w:rsidR="00B53FCC" w:rsidRPr="007E1F9A" w:rsidRDefault="00B53FCC" w:rsidP="00B53FCC">
      <w:pPr>
        <w:pStyle w:val="AH5Sec"/>
      </w:pPr>
      <w:bookmarkStart w:id="542" w:name="_Toc83625886"/>
      <w:r w:rsidRPr="005E03F7">
        <w:rPr>
          <w:rStyle w:val="CharSectNo"/>
        </w:rPr>
        <w:lastRenderedPageBreak/>
        <w:t>470</w:t>
      </w:r>
      <w:r w:rsidRPr="007E1F9A">
        <w:tab/>
      </w:r>
      <w:r w:rsidRPr="007E1F9A">
        <w:rPr>
          <w:rFonts w:ascii="Helvetica" w:hAnsi="Helvetica" w:cs="Helvetica"/>
          <w:iCs/>
        </w:rPr>
        <w:t>General requirements applying to operator with heavy vehicle accreditation</w:t>
      </w:r>
      <w:bookmarkEnd w:id="542"/>
    </w:p>
    <w:p w14:paraId="02B5E8E3" w14:textId="77777777" w:rsidR="00B53FCC" w:rsidRPr="00C62D32" w:rsidRDefault="00B53FCC" w:rsidP="00D049AC">
      <w:pPr>
        <w:pStyle w:val="Amain"/>
        <w:keepNext/>
      </w:pPr>
      <w:r w:rsidRPr="00C62D32">
        <w:tab/>
        <w:t>(1)</w:t>
      </w:r>
      <w:r w:rsidRPr="00C62D32">
        <w:tab/>
        <w:t>This section applies to an operator of a heavy vehicle who holds a heavy vehicle accreditation.</w:t>
      </w:r>
    </w:p>
    <w:p w14:paraId="17B3F527" w14:textId="77777777" w:rsidR="00B53FCC" w:rsidRPr="00DA0366" w:rsidRDefault="00B53FCC" w:rsidP="00B53FCC">
      <w:pPr>
        <w:pStyle w:val="Amain"/>
      </w:pPr>
      <w:r w:rsidRPr="00DA0366">
        <w:tab/>
        <w:t>(2)</w:t>
      </w:r>
      <w:r w:rsidRPr="00DA0366">
        <w:tab/>
      </w:r>
      <w:r w:rsidRPr="00DA0366">
        <w:rPr>
          <w:rFonts w:eastAsiaTheme="majorEastAsia"/>
        </w:rPr>
        <w:t>If the accreditation is BFM accreditation or AFM accreditation, the operator</w:t>
      </w:r>
      <w:r w:rsidRPr="00DA0366">
        <w:t xml:space="preserve"> must ensure each driver who operates under the accreditation—</w:t>
      </w:r>
    </w:p>
    <w:p w14:paraId="6DD0A4D8" w14:textId="77777777" w:rsidR="00B53FCC" w:rsidRPr="00544ED5" w:rsidRDefault="00B53FCC" w:rsidP="00B53FCC">
      <w:pPr>
        <w:pStyle w:val="Apara"/>
      </w:pPr>
      <w:r w:rsidRPr="00544ED5">
        <w:tab/>
        <w:t>(a)</w:t>
      </w:r>
      <w:r w:rsidRPr="00544ED5">
        <w:tab/>
        <w:t>is inducted into the operator’s relevant management system; and</w:t>
      </w:r>
    </w:p>
    <w:p w14:paraId="7850F4D7" w14:textId="77777777" w:rsidR="00B53FCC" w:rsidRPr="00544ED5" w:rsidRDefault="00B53FCC" w:rsidP="00B53FCC">
      <w:pPr>
        <w:pStyle w:val="Apara"/>
      </w:pPr>
      <w:r w:rsidRPr="00544ED5">
        <w:tab/>
        <w:t>(b)</w:t>
      </w:r>
      <w:r w:rsidRPr="00544ED5">
        <w:tab/>
        <w:t>at all times, meets the requirements relating to drivers operating under the accreditation (if any).</w:t>
      </w:r>
    </w:p>
    <w:p w14:paraId="54CDDE68" w14:textId="77777777" w:rsidR="00B53FCC" w:rsidRPr="006C3305" w:rsidRDefault="00B53FCC" w:rsidP="00B53FCC">
      <w:pPr>
        <w:pStyle w:val="Penalty"/>
      </w:pPr>
      <w:r w:rsidRPr="00D91CC2">
        <w:rPr>
          <w:rFonts w:cs="Times"/>
          <w:bCs/>
          <w:iCs/>
        </w:rPr>
        <w:t>Maximum penalty—$6000.</w:t>
      </w:r>
    </w:p>
    <w:p w14:paraId="78DA10D2" w14:textId="77777777" w:rsidR="00B53FCC" w:rsidRPr="00C62D32" w:rsidRDefault="00B53FCC" w:rsidP="00B53FCC">
      <w:pPr>
        <w:pStyle w:val="Amain"/>
      </w:pPr>
      <w:r w:rsidRPr="00C62D32">
        <w:tab/>
        <w:t>(3)</w:t>
      </w:r>
      <w:r w:rsidRPr="00C62D32">
        <w:tab/>
        <w:t>If the accreditation is AFM accreditation, the operator must also ensure each driver who operates under the accreditation is informed of the AFM hours applying under the accreditation.</w:t>
      </w:r>
    </w:p>
    <w:p w14:paraId="60C44EB5" w14:textId="77777777" w:rsidR="00B53FCC" w:rsidRPr="006C3305" w:rsidRDefault="00B53FCC" w:rsidP="00B53FCC">
      <w:pPr>
        <w:pStyle w:val="Penalty"/>
      </w:pPr>
      <w:r w:rsidRPr="00D91CC2">
        <w:rPr>
          <w:rFonts w:cs="Times"/>
          <w:bCs/>
          <w:iCs/>
        </w:rPr>
        <w:t>Maximum penalty—$6000.</w:t>
      </w:r>
    </w:p>
    <w:p w14:paraId="660C70DC" w14:textId="77777777" w:rsidR="00B53FCC" w:rsidRPr="00C62D32" w:rsidRDefault="00B53FCC" w:rsidP="00B53FCC">
      <w:pPr>
        <w:pStyle w:val="Amain"/>
        <w:keepNext/>
      </w:pPr>
      <w:r w:rsidRPr="00C62D32">
        <w:tab/>
        <w:t>(4)</w:t>
      </w:r>
      <w:r w:rsidRPr="00C62D32">
        <w:tab/>
        <w:t>The operator must keep—</w:t>
      </w:r>
    </w:p>
    <w:p w14:paraId="06529279" w14:textId="77777777" w:rsidR="00B53FCC" w:rsidRPr="00E05D7B" w:rsidRDefault="00B53FCC" w:rsidP="00B53FCC">
      <w:pPr>
        <w:pStyle w:val="Apara"/>
      </w:pPr>
      <w:r w:rsidRPr="00E05D7B">
        <w:tab/>
        <w:t>(a)</w:t>
      </w:r>
      <w:r w:rsidRPr="00E05D7B">
        <w:tab/>
        <w:t>the accreditation certificate for the operator’s heavy vehicle accreditation; and</w:t>
      </w:r>
    </w:p>
    <w:p w14:paraId="28C9EAAC" w14:textId="77777777" w:rsidR="00B53FCC" w:rsidRPr="00E05D7B" w:rsidRDefault="00B53FCC" w:rsidP="00B53FCC">
      <w:pPr>
        <w:pStyle w:val="Apara"/>
        <w:rPr>
          <w:rFonts w:eastAsiaTheme="majorEastAsia"/>
        </w:rPr>
      </w:pPr>
      <w:r w:rsidRPr="00E05D7B">
        <w:tab/>
        <w:t>(b)</w:t>
      </w:r>
      <w:r w:rsidRPr="00E05D7B">
        <w:tab/>
      </w:r>
      <w:r w:rsidRPr="00E05D7B">
        <w:rPr>
          <w:rFonts w:eastAsiaTheme="majorEastAsia"/>
        </w:rPr>
        <w:t>if the operator’s heavy vehicle accreditation is BFM accreditation or AFM accreditation—</w:t>
      </w:r>
    </w:p>
    <w:p w14:paraId="653CA398" w14:textId="77777777" w:rsidR="00B53FCC" w:rsidRPr="00E05D7B" w:rsidRDefault="00B53FCC" w:rsidP="00B53FCC">
      <w:pPr>
        <w:pStyle w:val="Asubpara"/>
      </w:pPr>
      <w:r w:rsidRPr="00E05D7B">
        <w:tab/>
        <w:t>(i)</w:t>
      </w:r>
      <w:r w:rsidRPr="00E05D7B">
        <w:tab/>
      </w:r>
      <w:r w:rsidRPr="00E05D7B">
        <w:rPr>
          <w:rFonts w:eastAsiaTheme="majorEastAsia"/>
        </w:rPr>
        <w:t>a current list of drivers operating under the operator’s accreditation; and</w:t>
      </w:r>
    </w:p>
    <w:p w14:paraId="625CF9A0" w14:textId="77777777" w:rsidR="00B53FCC" w:rsidRPr="00E05D7B" w:rsidRDefault="00B53FCC" w:rsidP="00B53FCC">
      <w:pPr>
        <w:pStyle w:val="Asubpara"/>
        <w:rPr>
          <w:rFonts w:eastAsiaTheme="majorEastAsia"/>
        </w:rPr>
      </w:pPr>
      <w:r w:rsidRPr="00E05D7B">
        <w:tab/>
        <w:t>(ii)</w:t>
      </w:r>
      <w:r w:rsidRPr="00E05D7B">
        <w:tab/>
      </w:r>
      <w:r w:rsidRPr="00E05D7B">
        <w:rPr>
          <w:rFonts w:eastAsiaTheme="majorEastAsia"/>
        </w:rPr>
        <w:t>records demonstrating the operator has complied with—</w:t>
      </w:r>
    </w:p>
    <w:p w14:paraId="23E14F2F" w14:textId="77777777" w:rsidR="00B53FCC" w:rsidRPr="00E05D7B" w:rsidRDefault="00B53FCC" w:rsidP="00B53FCC">
      <w:pPr>
        <w:pStyle w:val="Asubsubpara"/>
      </w:pPr>
      <w:r w:rsidRPr="00E05D7B">
        <w:tab/>
        <w:t>(A)</w:t>
      </w:r>
      <w:r w:rsidRPr="00E05D7B">
        <w:tab/>
      </w:r>
      <w:r w:rsidRPr="00E05D7B">
        <w:rPr>
          <w:rFonts w:eastAsiaTheme="majorEastAsia"/>
        </w:rPr>
        <w:t>if the operator’s heavy vehicle accreditation is BFM accreditation—subsection (2); or</w:t>
      </w:r>
    </w:p>
    <w:p w14:paraId="15A792AC" w14:textId="77777777" w:rsidR="00B53FCC" w:rsidRPr="00E05D7B" w:rsidRDefault="00B53FCC" w:rsidP="00B53FCC">
      <w:pPr>
        <w:pStyle w:val="Asubsubpara"/>
      </w:pPr>
      <w:r w:rsidRPr="00E05D7B">
        <w:tab/>
        <w:t>(B)</w:t>
      </w:r>
      <w:r w:rsidRPr="00E05D7B">
        <w:tab/>
      </w:r>
      <w:r w:rsidRPr="00E05D7B">
        <w:rPr>
          <w:rFonts w:eastAsiaTheme="majorEastAsia"/>
        </w:rPr>
        <w:t>if the operator’s heavy vehicle accreditation is AFM accreditation—subsections (2) and (3); and</w:t>
      </w:r>
    </w:p>
    <w:p w14:paraId="58B286BB" w14:textId="77777777" w:rsidR="00B53FCC" w:rsidRPr="00544ED5" w:rsidRDefault="00B53FCC" w:rsidP="00B53FCC">
      <w:pPr>
        <w:pStyle w:val="Apara"/>
      </w:pPr>
      <w:r w:rsidRPr="00544ED5">
        <w:lastRenderedPageBreak/>
        <w:tab/>
        <w:t>(c)</w:t>
      </w:r>
      <w:r w:rsidRPr="00544ED5">
        <w:tab/>
        <w:t>if the operator’s heavy vehicle accreditation is mass management accreditation or maintenance management accreditation—a current list of heavy vehicles to which the operator’s accreditation relates; and</w:t>
      </w:r>
    </w:p>
    <w:p w14:paraId="53E7A141" w14:textId="77777777" w:rsidR="00B53FCC" w:rsidRPr="006C3305" w:rsidRDefault="00B53FCC" w:rsidP="00B53FCC">
      <w:pPr>
        <w:pStyle w:val="Penalty"/>
      </w:pPr>
      <w:r w:rsidRPr="00D91CC2">
        <w:rPr>
          <w:rFonts w:cs="Times"/>
          <w:bCs/>
          <w:iCs/>
        </w:rPr>
        <w:t>Maximum penalty—$6000.</w:t>
      </w:r>
    </w:p>
    <w:p w14:paraId="782214F9" w14:textId="77777777" w:rsidR="00B53FCC" w:rsidRPr="00C62D32" w:rsidRDefault="00B53FCC" w:rsidP="00B53FCC">
      <w:pPr>
        <w:pStyle w:val="Amain"/>
      </w:pPr>
      <w:r w:rsidRPr="00C62D32">
        <w:tab/>
        <w:t>(5)</w:t>
      </w:r>
      <w:r w:rsidRPr="00C62D32">
        <w:tab/>
        <w:t>The operator must keep a document requi</w:t>
      </w:r>
      <w:r>
        <w:t xml:space="preserve">red to be kept under subsection </w:t>
      </w:r>
      <w:r w:rsidRPr="00C62D32">
        <w:t>(4)</w:t>
      </w:r>
      <w:r>
        <w:t xml:space="preserve"> </w:t>
      </w:r>
      <w:r w:rsidRPr="00C62D32">
        <w:t>for the following period—</w:t>
      </w:r>
    </w:p>
    <w:p w14:paraId="4E8B96E8" w14:textId="77777777" w:rsidR="00B53FCC" w:rsidRPr="00544ED5" w:rsidRDefault="00B53FCC" w:rsidP="00B53FCC">
      <w:pPr>
        <w:pStyle w:val="Apara"/>
      </w:pPr>
      <w:r w:rsidRPr="00544ED5">
        <w:tab/>
        <w:t>(a)</w:t>
      </w:r>
      <w:r w:rsidRPr="00544ED5">
        <w:tab/>
        <w:t>for an accreditation certificate—while the operator’s heavy vehicle accreditation is current;</w:t>
      </w:r>
    </w:p>
    <w:p w14:paraId="5C292543" w14:textId="77777777" w:rsidR="00B53FCC" w:rsidRPr="006E6AE5" w:rsidRDefault="00B53FCC" w:rsidP="00B53FCC">
      <w:pPr>
        <w:pStyle w:val="Apara"/>
      </w:pPr>
      <w:r w:rsidRPr="006E6AE5">
        <w:tab/>
        <w:t>(b)</w:t>
      </w:r>
      <w:r w:rsidRPr="006E6AE5">
        <w:tab/>
      </w:r>
      <w:r w:rsidRPr="006E6AE5">
        <w:rPr>
          <w:rFonts w:eastAsiaTheme="majorEastAsia"/>
        </w:rPr>
        <w:t>for each list or record made under subsection</w:t>
      </w:r>
      <w:r>
        <w:rPr>
          <w:rFonts w:eastAsiaTheme="majorEastAsia"/>
        </w:rPr>
        <w:t xml:space="preserve"> </w:t>
      </w:r>
      <w:r w:rsidRPr="006E6AE5">
        <w:rPr>
          <w:rFonts w:eastAsiaTheme="majorEastAsia"/>
        </w:rPr>
        <w:t>(4)(b) or (c)—at least 3 years after the list or record is made.</w:t>
      </w:r>
    </w:p>
    <w:p w14:paraId="31875328" w14:textId="77777777" w:rsidR="00B53FCC" w:rsidRPr="006C3305" w:rsidRDefault="00B53FCC" w:rsidP="00B53FCC">
      <w:pPr>
        <w:pStyle w:val="Penalty"/>
      </w:pPr>
      <w:r w:rsidRPr="00D91CC2">
        <w:rPr>
          <w:rFonts w:cs="Times"/>
          <w:bCs/>
          <w:iCs/>
        </w:rPr>
        <w:t>Maximum penalty—$6000.</w:t>
      </w:r>
    </w:p>
    <w:p w14:paraId="2F8DFAE0" w14:textId="77777777" w:rsidR="00B53FCC" w:rsidRPr="00C62D32" w:rsidRDefault="00B53FCC" w:rsidP="00B53FCC">
      <w:pPr>
        <w:pStyle w:val="Amain"/>
      </w:pPr>
      <w:r w:rsidRPr="00C62D32">
        <w:tab/>
        <w:t>(6)</w:t>
      </w:r>
      <w:r w:rsidRPr="00C62D32">
        <w:tab/>
        <w:t>The operator must keep a document requi</w:t>
      </w:r>
      <w:r>
        <w:t xml:space="preserve">red to be kept under subsection </w:t>
      </w:r>
      <w:r w:rsidRPr="00C62D32">
        <w:t>(4)</w:t>
      </w:r>
      <w:r>
        <w:t xml:space="preserve"> </w:t>
      </w:r>
      <w:r w:rsidRPr="00C62D32">
        <w:t>in a way that ensures it is—</w:t>
      </w:r>
    </w:p>
    <w:p w14:paraId="74DE38F1" w14:textId="77777777" w:rsidR="00B53FCC" w:rsidRPr="00544ED5" w:rsidRDefault="00B53FCC" w:rsidP="00B53FCC">
      <w:pPr>
        <w:pStyle w:val="Apara"/>
      </w:pPr>
      <w:r w:rsidRPr="00544ED5">
        <w:tab/>
        <w:t>(a)</w:t>
      </w:r>
      <w:r w:rsidRPr="00544ED5">
        <w:tab/>
        <w:t>readily accessible by an authorised officer at the place where the document is kept; and</w:t>
      </w:r>
    </w:p>
    <w:p w14:paraId="0C3B6007" w14:textId="77777777" w:rsidR="00B53FCC" w:rsidRPr="00544ED5" w:rsidRDefault="00B53FCC" w:rsidP="00B53FCC">
      <w:pPr>
        <w:pStyle w:val="Apara"/>
      </w:pPr>
      <w:r w:rsidRPr="00544ED5">
        <w:tab/>
        <w:t>(b)</w:t>
      </w:r>
      <w:r w:rsidRPr="00544ED5">
        <w:tab/>
        <w:t>reasonably capable of being understood by the authorised officer; and</w:t>
      </w:r>
    </w:p>
    <w:p w14:paraId="5CDFA45D" w14:textId="77777777" w:rsidR="00B53FCC" w:rsidRPr="00544ED5" w:rsidRDefault="00B53FCC" w:rsidP="00B53FCC">
      <w:pPr>
        <w:pStyle w:val="Apara"/>
      </w:pPr>
      <w:r w:rsidRPr="00544ED5">
        <w:tab/>
        <w:t>(c)</w:t>
      </w:r>
      <w:r w:rsidRPr="00544ED5">
        <w:tab/>
        <w:t>capable of being used as evidence.</w:t>
      </w:r>
    </w:p>
    <w:p w14:paraId="0AB169FE" w14:textId="77777777" w:rsidR="00B53FCC" w:rsidRPr="006C3305" w:rsidRDefault="00B53FCC" w:rsidP="00B53FCC">
      <w:pPr>
        <w:pStyle w:val="Penalty"/>
      </w:pPr>
      <w:r w:rsidRPr="00D91CC2">
        <w:rPr>
          <w:rFonts w:cs="Times"/>
          <w:bCs/>
          <w:iCs/>
        </w:rPr>
        <w:t>Maximum penalty—$3000.</w:t>
      </w:r>
    </w:p>
    <w:p w14:paraId="533BDF75" w14:textId="77777777" w:rsidR="00B53FCC" w:rsidRPr="00C62D32" w:rsidRDefault="00B53FCC" w:rsidP="00B53FCC">
      <w:pPr>
        <w:pStyle w:val="Amain"/>
      </w:pPr>
      <w:r w:rsidRPr="00C62D32">
        <w:tab/>
        <w:t>(7)</w:t>
      </w:r>
      <w:r w:rsidRPr="00C62D32">
        <w:tab/>
        <w:t>The Regulator may, by notice, require the operator to give the Regulator, in the form and within the time required by the Regulator—</w:t>
      </w:r>
    </w:p>
    <w:p w14:paraId="3AF86F75" w14:textId="77777777" w:rsidR="00B53FCC" w:rsidRPr="00544ED5" w:rsidRDefault="00B53FCC" w:rsidP="00B53FCC">
      <w:pPr>
        <w:pStyle w:val="Apara"/>
      </w:pPr>
      <w:r w:rsidRPr="00544ED5">
        <w:tab/>
        <w:t>(a)</w:t>
      </w:r>
      <w:r w:rsidRPr="00544ED5">
        <w:tab/>
        <w:t>a copy of the l</w:t>
      </w:r>
      <w:r>
        <w:t xml:space="preserve">ist mentioned in </w:t>
      </w:r>
      <w:r w:rsidRPr="005A3497">
        <w:t>subsection (4)(b)(i) or (c)</w:t>
      </w:r>
      <w:r w:rsidRPr="00544ED5">
        <w:t>; and</w:t>
      </w:r>
    </w:p>
    <w:p w14:paraId="67D8C12E" w14:textId="77777777" w:rsidR="00B53FCC" w:rsidRPr="00544ED5" w:rsidRDefault="00B53FCC" w:rsidP="00B53FCC">
      <w:pPr>
        <w:pStyle w:val="Apara"/>
      </w:pPr>
      <w:r w:rsidRPr="00544ED5">
        <w:tab/>
        <w:t>(b)</w:t>
      </w:r>
      <w:r w:rsidRPr="00544ED5">
        <w:tab/>
        <w:t>details of any change to the list.</w:t>
      </w:r>
    </w:p>
    <w:p w14:paraId="0177EE36" w14:textId="77777777" w:rsidR="00B53FCC" w:rsidRPr="00D64D85" w:rsidRDefault="00B53FCC" w:rsidP="00B53FCC">
      <w:pPr>
        <w:pStyle w:val="Amain"/>
      </w:pPr>
      <w:r w:rsidRPr="00D64D85">
        <w:tab/>
        <w:t>(8)</w:t>
      </w:r>
      <w:r w:rsidRPr="00D64D85">
        <w:tab/>
        <w:t>The operator must comply with a requirement made under subsection (7), unless the operator has a reasonable excuse.</w:t>
      </w:r>
    </w:p>
    <w:p w14:paraId="70FA41B1" w14:textId="77777777" w:rsidR="00B53FCC" w:rsidRPr="00D64D85" w:rsidRDefault="00B53FCC" w:rsidP="00B53FCC">
      <w:pPr>
        <w:pStyle w:val="Penalty"/>
      </w:pPr>
      <w:r w:rsidRPr="00D64D85">
        <w:t>Maximum penalty—$3000.</w:t>
      </w:r>
    </w:p>
    <w:p w14:paraId="4BB7065B" w14:textId="77777777" w:rsidR="00B53FCC" w:rsidRPr="00C62D32" w:rsidRDefault="00B53FCC" w:rsidP="00B53FCC">
      <w:pPr>
        <w:pStyle w:val="Amain"/>
      </w:pPr>
      <w:r>
        <w:lastRenderedPageBreak/>
        <w:tab/>
        <w:t>(9)</w:t>
      </w:r>
      <w:r>
        <w:tab/>
        <w:t xml:space="preserve">Subsections </w:t>
      </w:r>
      <w:r w:rsidRPr="00C62D32">
        <w:t>(4)</w:t>
      </w:r>
      <w:r>
        <w:t xml:space="preserve"> to </w:t>
      </w:r>
      <w:r w:rsidRPr="00C62D32">
        <w:t>(6)</w:t>
      </w:r>
      <w:r>
        <w:t xml:space="preserve"> </w:t>
      </w:r>
      <w:r w:rsidRPr="00C62D32">
        <w:t>do not apply in relation to—</w:t>
      </w:r>
    </w:p>
    <w:p w14:paraId="477BBB62" w14:textId="77777777" w:rsidR="00B53FCC" w:rsidRPr="00544ED5" w:rsidRDefault="00B53FCC" w:rsidP="00B53FCC">
      <w:pPr>
        <w:pStyle w:val="Apara"/>
      </w:pPr>
      <w:r w:rsidRPr="00544ED5">
        <w:tab/>
        <w:t>(a)</w:t>
      </w:r>
      <w:r w:rsidRPr="00544ED5">
        <w:tab/>
        <w:t>an accreditation certificate given to the Regulator under section</w:t>
      </w:r>
      <w:r>
        <w:t> </w:t>
      </w:r>
      <w:r w:rsidRPr="00544ED5">
        <w:t>472 or 476, unless the Regulator has returned it or given the operator a replacement accreditation certificate; or</w:t>
      </w:r>
    </w:p>
    <w:p w14:paraId="70D06EC6" w14:textId="77777777" w:rsidR="00B53FCC" w:rsidRPr="00544ED5" w:rsidRDefault="00B53FCC" w:rsidP="00B53FCC">
      <w:pPr>
        <w:pStyle w:val="Apara"/>
      </w:pPr>
      <w:r w:rsidRPr="00544ED5">
        <w:tab/>
        <w:t>(b)</w:t>
      </w:r>
      <w:r w:rsidRPr="00544ED5">
        <w:tab/>
        <w:t>an accreditation certificate that has been defaced, destroyed, lost or stolen, unless the Regulator has given the operator a replacement accreditation certificate.</w:t>
      </w:r>
    </w:p>
    <w:p w14:paraId="07368969" w14:textId="77777777" w:rsidR="00B53FCC" w:rsidRPr="00C96203" w:rsidRDefault="00B53FCC" w:rsidP="00B53FCC">
      <w:pPr>
        <w:pStyle w:val="aNote"/>
      </w:pPr>
      <w:r w:rsidRPr="00FF4454">
        <w:rPr>
          <w:rStyle w:val="charItals"/>
        </w:rPr>
        <w:t>Note</w:t>
      </w:r>
      <w:r w:rsidRPr="00C96203">
        <w:rPr>
          <w:rFonts w:cs="Times"/>
          <w:bCs/>
          <w:iCs/>
        </w:rPr>
        <w:t>—</w:t>
      </w:r>
    </w:p>
    <w:p w14:paraId="52422EC6" w14:textId="77777777" w:rsidR="00B53FCC" w:rsidRPr="00C96203" w:rsidRDefault="00B53FCC" w:rsidP="00B53FCC">
      <w:pPr>
        <w:pStyle w:val="aNoteTextss"/>
      </w:pPr>
      <w:r w:rsidRPr="00C96203">
        <w:t>See section 477 for the requirement to apply to the Regulator for a replacement accreditation certificate for a defaced, destroyed, lost or stolen accreditation certificate.</w:t>
      </w:r>
    </w:p>
    <w:p w14:paraId="50095385" w14:textId="77777777" w:rsidR="00DB6E47" w:rsidRPr="007E1F9A" w:rsidRDefault="00DB6E47" w:rsidP="00DB6E47">
      <w:pPr>
        <w:pStyle w:val="AH5Sec"/>
      </w:pPr>
      <w:bookmarkStart w:id="543" w:name="_Toc83625887"/>
      <w:r w:rsidRPr="005E03F7">
        <w:rPr>
          <w:rStyle w:val="CharSectNo"/>
        </w:rPr>
        <w:t>471</w:t>
      </w:r>
      <w:r w:rsidRPr="007E1F9A">
        <w:tab/>
      </w:r>
      <w:r w:rsidRPr="007E1F9A">
        <w:rPr>
          <w:rFonts w:ascii="Helvetica" w:hAnsi="Helvetica" w:cs="Helvetica"/>
          <w:iCs/>
        </w:rPr>
        <w:t>Operator must give notice of amendment, suspension or ending of heavy vehicle accreditation</w:t>
      </w:r>
      <w:bookmarkEnd w:id="543"/>
    </w:p>
    <w:p w14:paraId="10D5FD3F" w14:textId="77777777" w:rsidR="00DB6E47" w:rsidRPr="00C62D32" w:rsidRDefault="00DB6E47" w:rsidP="00DB6E47">
      <w:pPr>
        <w:pStyle w:val="Amain"/>
      </w:pPr>
      <w:r w:rsidRPr="00C62D32">
        <w:tab/>
        <w:t>(1)</w:t>
      </w:r>
      <w:r w:rsidRPr="00C62D32">
        <w:tab/>
        <w:t>This section applies if—</w:t>
      </w:r>
    </w:p>
    <w:p w14:paraId="7C610AE3" w14:textId="77777777" w:rsidR="00DB6E47" w:rsidRPr="00544ED5" w:rsidRDefault="00DB6E47" w:rsidP="00DB6E47">
      <w:pPr>
        <w:pStyle w:val="Apara"/>
      </w:pPr>
      <w:r w:rsidRPr="00544ED5">
        <w:tab/>
        <w:t>(a)</w:t>
      </w:r>
      <w:r w:rsidRPr="00544ED5">
        <w:tab/>
        <w:t>an operator of a heavy vehicle holds a heavy vehicle accreditation; and</w:t>
      </w:r>
    </w:p>
    <w:p w14:paraId="31EB9EBA" w14:textId="77777777" w:rsidR="00DB6E47" w:rsidRPr="00544ED5" w:rsidRDefault="00DB6E47" w:rsidP="00DB6E47">
      <w:pPr>
        <w:pStyle w:val="Apara"/>
      </w:pPr>
      <w:r w:rsidRPr="00544ED5">
        <w:tab/>
        <w:t>(b)</w:t>
      </w:r>
      <w:r w:rsidRPr="00544ED5">
        <w:tab/>
        <w:t>the accreditation is amended or suspended, or the operator ceases to hold the accreditation.</w:t>
      </w:r>
    </w:p>
    <w:p w14:paraId="37350D94" w14:textId="77777777" w:rsidR="00DB6E47" w:rsidRPr="00C62D32" w:rsidRDefault="00DB6E47" w:rsidP="00DB6E47">
      <w:pPr>
        <w:pStyle w:val="Amain"/>
      </w:pPr>
      <w:r w:rsidRPr="00C62D32">
        <w:tab/>
        <w:t>(2)</w:t>
      </w:r>
      <w:r w:rsidRPr="00C62D32">
        <w:tab/>
        <w:t>The operator must as soon as practicable after the amendment, suspension or cessation happens give notice of the amendment, suspension or cessation to any driver of, or scheduler for, a heavy vehicle who may be affected by the amendment, suspension or cessation.</w:t>
      </w:r>
    </w:p>
    <w:p w14:paraId="0956AF99" w14:textId="77777777" w:rsidR="00DB6E47" w:rsidRPr="006C3305" w:rsidRDefault="00DB6E47" w:rsidP="00DB6E47">
      <w:pPr>
        <w:pStyle w:val="Penalty"/>
      </w:pPr>
      <w:r w:rsidRPr="00D91CC2">
        <w:rPr>
          <w:rFonts w:cs="Times"/>
          <w:bCs/>
          <w:iCs/>
        </w:rPr>
        <w:t>Maximum penalty—$6000.</w:t>
      </w:r>
    </w:p>
    <w:p w14:paraId="5D9B4956" w14:textId="77777777" w:rsidR="00DB6E47" w:rsidRPr="00C62D32" w:rsidRDefault="00DB6E47" w:rsidP="00B03621">
      <w:pPr>
        <w:pStyle w:val="Amain"/>
        <w:keepLines/>
      </w:pPr>
      <w:r w:rsidRPr="00C62D32">
        <w:tab/>
        <w:t>(3)</w:t>
      </w:r>
      <w:r w:rsidRPr="00C62D32">
        <w:tab/>
        <w:t>If the driver of a heavy vehicle is given a notice under subsection (2), the driver must, as soon as reasonably practicable, return to the operator any document relevant to the notice given to the driver by the operator for the purposes of section 468(1).</w:t>
      </w:r>
    </w:p>
    <w:p w14:paraId="29595065" w14:textId="77777777" w:rsidR="00DB6E47" w:rsidRPr="006C3305" w:rsidRDefault="00DB6E47" w:rsidP="00DB6E47">
      <w:pPr>
        <w:pStyle w:val="Penalty"/>
      </w:pPr>
      <w:r w:rsidRPr="00D91CC2">
        <w:rPr>
          <w:rFonts w:cs="Times"/>
          <w:bCs/>
          <w:iCs/>
        </w:rPr>
        <w:t>Maximum penalty—$4000.</w:t>
      </w:r>
    </w:p>
    <w:p w14:paraId="626DF899" w14:textId="77777777" w:rsidR="00DB6E47" w:rsidRPr="003D647F" w:rsidRDefault="00DB6E47" w:rsidP="00DB6E47">
      <w:pPr>
        <w:pStyle w:val="PageBreak"/>
      </w:pPr>
      <w:r w:rsidRPr="003D647F">
        <w:br w:type="page"/>
      </w:r>
    </w:p>
    <w:p w14:paraId="2FE6F17B" w14:textId="77777777" w:rsidR="00DB6E47" w:rsidRPr="005E03F7" w:rsidRDefault="00DB6E47" w:rsidP="00DB6E47">
      <w:pPr>
        <w:pStyle w:val="AH2Part"/>
      </w:pPr>
      <w:bookmarkStart w:id="544" w:name="_Toc83625888"/>
      <w:r w:rsidRPr="005E03F7">
        <w:rPr>
          <w:rStyle w:val="CharPartNo"/>
        </w:rPr>
        <w:lastRenderedPageBreak/>
        <w:t xml:space="preserve">Part 8.4 </w:t>
      </w:r>
      <w:r w:rsidRPr="00A95F9A">
        <w:rPr>
          <w:rFonts w:ascii="Helvetica" w:hAnsi="Helvetica" w:cs="Helvetica"/>
          <w:iCs/>
          <w:szCs w:val="32"/>
        </w:rPr>
        <w:tab/>
      </w:r>
      <w:r w:rsidRPr="005E03F7">
        <w:rPr>
          <w:rStyle w:val="CharPartText"/>
          <w:rFonts w:ascii="Helvetica" w:hAnsi="Helvetica" w:cs="Helvetica"/>
          <w:iCs/>
          <w:szCs w:val="32"/>
        </w:rPr>
        <w:t>Amendment or cancellation of heavy vehicle accreditation</w:t>
      </w:r>
      <w:bookmarkEnd w:id="544"/>
    </w:p>
    <w:p w14:paraId="49CAC4BD" w14:textId="77777777" w:rsidR="00DB6E47" w:rsidRPr="007E1F9A" w:rsidRDefault="00DB6E47" w:rsidP="00DB6E47">
      <w:pPr>
        <w:pStyle w:val="AH5Sec"/>
      </w:pPr>
      <w:bookmarkStart w:id="545" w:name="_Toc83625889"/>
      <w:r w:rsidRPr="005E03F7">
        <w:rPr>
          <w:rStyle w:val="CharSectNo"/>
        </w:rPr>
        <w:t>472</w:t>
      </w:r>
      <w:r w:rsidRPr="007E1F9A">
        <w:tab/>
      </w:r>
      <w:r w:rsidRPr="007E1F9A">
        <w:rPr>
          <w:rFonts w:ascii="Helvetica" w:hAnsi="Helvetica" w:cs="Helvetica"/>
          <w:iCs/>
        </w:rPr>
        <w:t>Amendment or cancellation of heavy vehicle accreditation on application</w:t>
      </w:r>
      <w:bookmarkEnd w:id="545"/>
    </w:p>
    <w:p w14:paraId="02EA6453" w14:textId="77777777" w:rsidR="00DB6E47" w:rsidRPr="00C62D32" w:rsidRDefault="00DB6E47" w:rsidP="00DB6E47">
      <w:pPr>
        <w:pStyle w:val="Amain"/>
      </w:pPr>
      <w:r w:rsidRPr="00C62D32">
        <w:tab/>
        <w:t>(1)</w:t>
      </w:r>
      <w:r w:rsidRPr="00C62D32">
        <w:tab/>
        <w:t>A person may apply to the Regulator for an amendment or cancellation of the person’s heavy vehicle accreditation granted under this Law.</w:t>
      </w:r>
    </w:p>
    <w:p w14:paraId="75177993" w14:textId="77777777" w:rsidR="00DB6E47" w:rsidRPr="00C62D32" w:rsidRDefault="00DB6E47" w:rsidP="00DB6E47">
      <w:pPr>
        <w:pStyle w:val="Amain"/>
      </w:pPr>
      <w:r w:rsidRPr="00C62D32">
        <w:tab/>
        <w:t>(2)</w:t>
      </w:r>
      <w:r w:rsidRPr="00C62D32">
        <w:tab/>
        <w:t>The application must—</w:t>
      </w:r>
    </w:p>
    <w:p w14:paraId="209FE9CD" w14:textId="77777777" w:rsidR="00DB6E47" w:rsidRPr="00544ED5" w:rsidRDefault="00DB6E47" w:rsidP="00DB6E47">
      <w:pPr>
        <w:pStyle w:val="Apara"/>
      </w:pPr>
      <w:r w:rsidRPr="00544ED5">
        <w:tab/>
        <w:t>(a)</w:t>
      </w:r>
      <w:r w:rsidRPr="00544ED5">
        <w:tab/>
        <w:t>be in writing; and</w:t>
      </w:r>
    </w:p>
    <w:p w14:paraId="31D92F85" w14:textId="77777777" w:rsidR="00DB6E47" w:rsidRPr="00544ED5" w:rsidRDefault="00DB6E47" w:rsidP="00DB6E47">
      <w:pPr>
        <w:pStyle w:val="Apara"/>
      </w:pPr>
      <w:r w:rsidRPr="00544ED5">
        <w:tab/>
        <w:t>(b)</w:t>
      </w:r>
      <w:r w:rsidRPr="00544ED5">
        <w:tab/>
        <w:t>be accompanied by the prescribed fee for the application; and</w:t>
      </w:r>
    </w:p>
    <w:p w14:paraId="7400D72E" w14:textId="77777777" w:rsidR="00DB6E47" w:rsidRPr="00544ED5" w:rsidRDefault="00DB6E47" w:rsidP="00DB6E47">
      <w:pPr>
        <w:pStyle w:val="Apara"/>
      </w:pPr>
      <w:r w:rsidRPr="00544ED5">
        <w:tab/>
        <w:t>(c)</w:t>
      </w:r>
      <w:r w:rsidRPr="00544ED5">
        <w:tab/>
        <w:t>if the application is for an amendment—state clearly the amendment sought and the reasons for the amendment; and</w:t>
      </w:r>
    </w:p>
    <w:p w14:paraId="5F4C060E" w14:textId="77777777" w:rsidR="00DB6E47" w:rsidRPr="00544ED5" w:rsidRDefault="00DB6E47" w:rsidP="00DB6E47">
      <w:pPr>
        <w:pStyle w:val="Apara"/>
      </w:pPr>
      <w:r w:rsidRPr="00544ED5">
        <w:tab/>
        <w:t>(d)</w:t>
      </w:r>
      <w:r w:rsidRPr="00544ED5">
        <w:tab/>
        <w:t>be accompanied by the accreditation certificate for the accreditation.</w:t>
      </w:r>
    </w:p>
    <w:p w14:paraId="02913B27" w14:textId="77777777" w:rsidR="00DB6E47" w:rsidRPr="00C62D32" w:rsidRDefault="00DB6E47" w:rsidP="00DB6E47">
      <w:pPr>
        <w:pStyle w:val="Amain"/>
      </w:pPr>
      <w:r w:rsidRPr="00C62D32">
        <w:tab/>
        <w:t>(3)</w:t>
      </w:r>
      <w:r w:rsidRPr="00C62D32">
        <w:tab/>
        <w:t>The Regulator may, by notice given to the applicant, require the applicant to give the Regulator any additional information the Regulator reasonably requires to decide the application.</w:t>
      </w:r>
    </w:p>
    <w:p w14:paraId="18970882" w14:textId="77777777" w:rsidR="00DB6E47" w:rsidRPr="00C62D32" w:rsidRDefault="00DB6E47" w:rsidP="00DB6E47">
      <w:pPr>
        <w:pStyle w:val="Amain"/>
      </w:pPr>
      <w:r w:rsidRPr="00C62D32">
        <w:tab/>
        <w:t>(4)</w:t>
      </w:r>
      <w:r w:rsidRPr="00C62D32">
        <w:tab/>
        <w:t>The Regulator must decide the application as soon as practicable after receiving it.</w:t>
      </w:r>
    </w:p>
    <w:p w14:paraId="752E25B0" w14:textId="77777777" w:rsidR="00DB6E47" w:rsidRPr="00C62D32" w:rsidRDefault="00DB6E47" w:rsidP="00DB6E47">
      <w:pPr>
        <w:pStyle w:val="Amain"/>
      </w:pPr>
      <w:r w:rsidRPr="00C62D32">
        <w:tab/>
        <w:t>(5)</w:t>
      </w:r>
      <w:r w:rsidRPr="00C62D32">
        <w:tab/>
        <w:t>If the Regulator decides to grant the application—</w:t>
      </w:r>
    </w:p>
    <w:p w14:paraId="0668C634" w14:textId="77777777" w:rsidR="00DB6E47" w:rsidRPr="00544ED5" w:rsidRDefault="00DB6E47" w:rsidP="00DB6E47">
      <w:pPr>
        <w:pStyle w:val="Apara"/>
      </w:pPr>
      <w:r w:rsidRPr="00544ED5">
        <w:tab/>
        <w:t>(a)</w:t>
      </w:r>
      <w:r w:rsidRPr="00544ED5">
        <w:tab/>
        <w:t>the Regulator must give the applicant notice of the decision; and</w:t>
      </w:r>
    </w:p>
    <w:p w14:paraId="7C8876B4" w14:textId="77777777" w:rsidR="00DB6E47" w:rsidRPr="00544ED5" w:rsidRDefault="00DB6E47" w:rsidP="00DB6E47">
      <w:pPr>
        <w:pStyle w:val="Apara"/>
      </w:pPr>
      <w:r w:rsidRPr="00544ED5">
        <w:tab/>
        <w:t>(b)</w:t>
      </w:r>
      <w:r w:rsidRPr="00544ED5">
        <w:tab/>
        <w:t>the amendment or cancellation takes effect—</w:t>
      </w:r>
    </w:p>
    <w:p w14:paraId="1A3ED1FA" w14:textId="77777777" w:rsidR="00DB6E47" w:rsidRPr="00516F02" w:rsidRDefault="00DB6E47" w:rsidP="00DB6E47">
      <w:pPr>
        <w:pStyle w:val="Asubpara"/>
      </w:pPr>
      <w:r w:rsidRPr="00516F02">
        <w:tab/>
        <w:t>(i)</w:t>
      </w:r>
      <w:r w:rsidRPr="00516F02">
        <w:tab/>
        <w:t>when notice of the decision is given to the applicant; or</w:t>
      </w:r>
    </w:p>
    <w:p w14:paraId="770A1D96" w14:textId="77777777" w:rsidR="00DB6E47" w:rsidRPr="00516F02" w:rsidRDefault="00DB6E47" w:rsidP="00DB6E47">
      <w:pPr>
        <w:pStyle w:val="Asubpara"/>
      </w:pPr>
      <w:r w:rsidRPr="00516F02">
        <w:tab/>
        <w:t>(ii)</w:t>
      </w:r>
      <w:r w:rsidRPr="00516F02">
        <w:tab/>
        <w:t>if a later time is stated in the notice, at the later time; and</w:t>
      </w:r>
    </w:p>
    <w:p w14:paraId="5A1E056B" w14:textId="77777777" w:rsidR="00DB6E47" w:rsidRPr="00544ED5" w:rsidRDefault="00DB6E47" w:rsidP="00DB6E47">
      <w:pPr>
        <w:pStyle w:val="Apara"/>
      </w:pPr>
      <w:r w:rsidRPr="00544ED5">
        <w:tab/>
        <w:t>(c)</w:t>
      </w:r>
      <w:r w:rsidRPr="00544ED5">
        <w:tab/>
        <w:t>if the Regulator amended the accreditation, the Regulator must give the applicant a replacement accreditation certificate for the accreditation as amended.</w:t>
      </w:r>
    </w:p>
    <w:p w14:paraId="4CC2B283" w14:textId="77777777" w:rsidR="00DB6E47" w:rsidRPr="00C62D32" w:rsidRDefault="00DB6E47" w:rsidP="00CE4A4A">
      <w:pPr>
        <w:pStyle w:val="Amain"/>
        <w:keepNext/>
      </w:pPr>
      <w:r w:rsidRPr="00C62D32">
        <w:lastRenderedPageBreak/>
        <w:tab/>
        <w:t>(6)</w:t>
      </w:r>
      <w:r w:rsidRPr="00C62D32">
        <w:tab/>
        <w:t>If the Regulator decides not to amend or cancel the accreditation as sought by the applicant, the Regulator must—</w:t>
      </w:r>
    </w:p>
    <w:p w14:paraId="644720DB" w14:textId="77777777" w:rsidR="00DB6E47" w:rsidRPr="00544ED5" w:rsidRDefault="00DB6E47" w:rsidP="00DB6E47">
      <w:pPr>
        <w:pStyle w:val="Apara"/>
      </w:pPr>
      <w:r w:rsidRPr="00544ED5">
        <w:tab/>
        <w:t>(a)</w:t>
      </w:r>
      <w:r w:rsidRPr="00544ED5">
        <w:tab/>
        <w:t>give the applicant an information notice for the decision; and</w:t>
      </w:r>
    </w:p>
    <w:p w14:paraId="17C46686" w14:textId="77777777" w:rsidR="00DB6E47" w:rsidRPr="00544ED5" w:rsidRDefault="00DB6E47" w:rsidP="00DB6E47">
      <w:pPr>
        <w:pStyle w:val="Apara"/>
      </w:pPr>
      <w:r w:rsidRPr="00544ED5">
        <w:tab/>
        <w:t>(b)</w:t>
      </w:r>
      <w:r w:rsidRPr="00544ED5">
        <w:tab/>
        <w:t>return the accreditation certificate to the applicant.</w:t>
      </w:r>
    </w:p>
    <w:p w14:paraId="649DEAE9" w14:textId="77777777" w:rsidR="00DB6E47" w:rsidRPr="007E1F9A" w:rsidRDefault="00DB6E47" w:rsidP="00DB6E47">
      <w:pPr>
        <w:pStyle w:val="AH5Sec"/>
      </w:pPr>
      <w:bookmarkStart w:id="546" w:name="_Toc83625890"/>
      <w:r w:rsidRPr="005E03F7">
        <w:rPr>
          <w:rStyle w:val="CharSectNo"/>
        </w:rPr>
        <w:t>473</w:t>
      </w:r>
      <w:r w:rsidRPr="007E1F9A">
        <w:tab/>
      </w:r>
      <w:r w:rsidRPr="007E1F9A">
        <w:rPr>
          <w:rFonts w:ascii="Helvetica" w:hAnsi="Helvetica" w:cs="Helvetica"/>
          <w:iCs/>
        </w:rPr>
        <w:t>Amendment, suspension or cancellation of heavy vehicle accreditation on Regulator’s initiative</w:t>
      </w:r>
      <w:bookmarkEnd w:id="546"/>
    </w:p>
    <w:p w14:paraId="1949CA62" w14:textId="77777777" w:rsidR="00DB6E47" w:rsidRPr="00C62D32" w:rsidRDefault="00DB6E47" w:rsidP="00DB6E47">
      <w:pPr>
        <w:pStyle w:val="Amain"/>
      </w:pPr>
      <w:r w:rsidRPr="00C62D32">
        <w:tab/>
        <w:t>(1)</w:t>
      </w:r>
      <w:r w:rsidRPr="00C62D32">
        <w:tab/>
        <w:t>Each of the following is a ground for amending, suspending or cancelling a heavy vehicle accreditation granted under this Law—</w:t>
      </w:r>
    </w:p>
    <w:p w14:paraId="3EE5CDFF" w14:textId="77777777" w:rsidR="00DB6E47" w:rsidRPr="00544ED5" w:rsidRDefault="00DB6E47" w:rsidP="00DB6E47">
      <w:pPr>
        <w:pStyle w:val="Apara"/>
      </w:pPr>
      <w:r w:rsidRPr="00544ED5">
        <w:tab/>
        <w:t>(a)</w:t>
      </w:r>
      <w:r w:rsidRPr="00544ED5">
        <w:tab/>
        <w:t>the accreditation was granted because of a document or representation that was—</w:t>
      </w:r>
    </w:p>
    <w:p w14:paraId="111C728D" w14:textId="77777777" w:rsidR="00DB6E47" w:rsidRPr="00516F02" w:rsidRDefault="00DB6E47" w:rsidP="00DB6E47">
      <w:pPr>
        <w:pStyle w:val="Asubpara"/>
      </w:pPr>
      <w:r w:rsidRPr="00516F02">
        <w:tab/>
        <w:t>(i)</w:t>
      </w:r>
      <w:r w:rsidRPr="00516F02">
        <w:tab/>
        <w:t>false or misleading; or</w:t>
      </w:r>
    </w:p>
    <w:p w14:paraId="0B634692" w14:textId="77777777" w:rsidR="00DB6E47" w:rsidRPr="00516F02" w:rsidRDefault="00DB6E47" w:rsidP="00DB6E47">
      <w:pPr>
        <w:pStyle w:val="Asubpara"/>
      </w:pPr>
      <w:r w:rsidRPr="00516F02">
        <w:tab/>
        <w:t>(ii)</w:t>
      </w:r>
      <w:r w:rsidRPr="00516F02">
        <w:tab/>
        <w:t>obtained or made in an improper way;</w:t>
      </w:r>
    </w:p>
    <w:p w14:paraId="7A96FD1E" w14:textId="77777777" w:rsidR="00DB6E47" w:rsidRPr="00544ED5" w:rsidRDefault="00DB6E47" w:rsidP="00DB6E47">
      <w:pPr>
        <w:pStyle w:val="Apara"/>
      </w:pPr>
      <w:r w:rsidRPr="00544ED5">
        <w:tab/>
        <w:t>(b)</w:t>
      </w:r>
      <w:r w:rsidRPr="00544ED5">
        <w:tab/>
        <w:t>the holder of the accreditation has contravened a condition of the accreditation;</w:t>
      </w:r>
    </w:p>
    <w:p w14:paraId="0D795CF1" w14:textId="77777777" w:rsidR="00DB6E47" w:rsidRPr="00544ED5" w:rsidRDefault="00DB6E47" w:rsidP="00DB6E47">
      <w:pPr>
        <w:pStyle w:val="Apara"/>
      </w:pPr>
      <w:r w:rsidRPr="00544ED5">
        <w:tab/>
        <w:t>(c)</w:t>
      </w:r>
      <w:r w:rsidRPr="00544ED5">
        <w:tab/>
        <w:t>the holder of the accreditation, or an associate of the holder, has been convicted of—</w:t>
      </w:r>
    </w:p>
    <w:p w14:paraId="03EF328A" w14:textId="77777777" w:rsidR="00DB6E47" w:rsidRPr="00516F02" w:rsidRDefault="00DB6E47" w:rsidP="00DB6E47">
      <w:pPr>
        <w:pStyle w:val="Asubpara"/>
      </w:pPr>
      <w:r w:rsidRPr="00516F02">
        <w:tab/>
        <w:t>(i)</w:t>
      </w:r>
      <w:r w:rsidRPr="00516F02">
        <w:tab/>
        <w:t>an offence against this Law or a previous corresponding law; or</w:t>
      </w:r>
    </w:p>
    <w:p w14:paraId="0A729953" w14:textId="77777777" w:rsidR="00DB6E47" w:rsidRPr="00516F02" w:rsidRDefault="00DB6E47" w:rsidP="00DB6E47">
      <w:pPr>
        <w:pStyle w:val="Asubpara"/>
      </w:pPr>
      <w:r w:rsidRPr="00516F02">
        <w:tab/>
        <w:t>(ii)</w:t>
      </w:r>
      <w:r w:rsidRPr="00516F02">
        <w:tab/>
        <w:t>an offence involving fraud or dishonesty punishable on conviction by imprisonment of 6 months or more, whether committed in this jurisdiction or elsewhere;</w:t>
      </w:r>
    </w:p>
    <w:p w14:paraId="6970B9AD" w14:textId="77777777" w:rsidR="00DB6E47" w:rsidRPr="00544ED5" w:rsidRDefault="00DB6E47" w:rsidP="00C80C84">
      <w:pPr>
        <w:pStyle w:val="Apara"/>
        <w:keepLines/>
      </w:pPr>
      <w:r w:rsidRPr="00544ED5">
        <w:tab/>
        <w:t>(d)</w:t>
      </w:r>
      <w:r w:rsidRPr="00544ED5">
        <w:tab/>
        <w:t>since the accreditation was granted, there has been a change in the circumstances that were relevant to the Regulator’s decision to grant the accreditation and, had the changed circumstances existed when the accreditation was granted, the Regulator would not have granted the accreditation, or would have granted the accreditation subject to conditions or different conditions;</w:t>
      </w:r>
    </w:p>
    <w:p w14:paraId="2490085A" w14:textId="77777777" w:rsidR="00DB6E47" w:rsidRPr="00544ED5" w:rsidRDefault="00DB6E47" w:rsidP="00DB6E47">
      <w:pPr>
        <w:pStyle w:val="Apara"/>
      </w:pPr>
      <w:r w:rsidRPr="00544ED5">
        <w:lastRenderedPageBreak/>
        <w:tab/>
        <w:t>(e)</w:t>
      </w:r>
      <w:r w:rsidRPr="00544ED5">
        <w:tab/>
        <w:t>for a maintenance management accreditation or mass management accreditation—</w:t>
      </w:r>
    </w:p>
    <w:p w14:paraId="449D2AC1" w14:textId="77777777" w:rsidR="00DB6E47" w:rsidRPr="00516F02" w:rsidRDefault="00DB6E47" w:rsidP="00DB6E47">
      <w:pPr>
        <w:pStyle w:val="Asubpara"/>
      </w:pPr>
      <w:r w:rsidRPr="00516F02">
        <w:tab/>
        <w:t>(i)</w:t>
      </w:r>
      <w:r w:rsidRPr="00516F02">
        <w:tab/>
        <w:t>public safety has been endangered, or is likely to be endangered, because of the accreditation; or</w:t>
      </w:r>
    </w:p>
    <w:p w14:paraId="5C7E0195" w14:textId="77777777" w:rsidR="00DB6E47" w:rsidRPr="00516F02" w:rsidRDefault="00DB6E47" w:rsidP="00DB6E47">
      <w:pPr>
        <w:pStyle w:val="Asubpara"/>
      </w:pPr>
      <w:r w:rsidRPr="00516F02">
        <w:tab/>
        <w:t>(ii)</w:t>
      </w:r>
      <w:r w:rsidRPr="00516F02">
        <w:tab/>
        <w:t>road infrastructure has been damaged, or is likely to be damaged, because of the accreditation;</w:t>
      </w:r>
    </w:p>
    <w:p w14:paraId="690F984E" w14:textId="77777777" w:rsidR="00DB6E47" w:rsidRPr="00544ED5" w:rsidRDefault="00DB6E47" w:rsidP="00DB6E47">
      <w:pPr>
        <w:pStyle w:val="Apara"/>
      </w:pPr>
      <w:r w:rsidRPr="00544ED5">
        <w:tab/>
        <w:t>(f)</w:t>
      </w:r>
      <w:r w:rsidRPr="00544ED5">
        <w:tab/>
        <w:t>for a BFM accreditation or AFM accreditation—public safety has been endangered, or is likely to be endangered, because of the accreditation;</w:t>
      </w:r>
    </w:p>
    <w:p w14:paraId="1652C6C0" w14:textId="77777777" w:rsidR="00DB6E47" w:rsidRPr="00544ED5" w:rsidRDefault="00DB6E47" w:rsidP="00DB6E47">
      <w:pPr>
        <w:pStyle w:val="Apara"/>
      </w:pPr>
      <w:r w:rsidRPr="00544ED5">
        <w:tab/>
        <w:t>(g)</w:t>
      </w:r>
      <w:r w:rsidRPr="00544ED5">
        <w:tab/>
        <w:t>the Regulator considers it necessary in the public interest.</w:t>
      </w:r>
    </w:p>
    <w:p w14:paraId="009F6223" w14:textId="77777777" w:rsidR="00DB6E47" w:rsidRPr="00C62D32" w:rsidRDefault="00DB6E47" w:rsidP="00DB6E47">
      <w:pPr>
        <w:pStyle w:val="Amain"/>
      </w:pPr>
      <w:r w:rsidRPr="00C62D32">
        <w:tab/>
        <w:t>(2)</w:t>
      </w:r>
      <w:r w:rsidRPr="00C62D32">
        <w:tab/>
        <w:t xml:space="preserve">If the Regulator considers a ground exists to amend, suspend or cancel a heavy vehicle accreditation granted under this Law (the </w:t>
      </w:r>
      <w:r w:rsidRPr="00FF4454">
        <w:rPr>
          <w:rStyle w:val="charBoldItals"/>
        </w:rPr>
        <w:t>proposed action</w:t>
      </w:r>
      <w:r w:rsidRPr="00C62D32">
        <w:t>), the Regulator must give the holder of the accreditation a notice—</w:t>
      </w:r>
    </w:p>
    <w:p w14:paraId="7D847688" w14:textId="77777777" w:rsidR="00DB6E47" w:rsidRPr="00544ED5" w:rsidRDefault="00DB6E47" w:rsidP="00DB6E47">
      <w:pPr>
        <w:pStyle w:val="Apara"/>
      </w:pPr>
      <w:r w:rsidRPr="00544ED5">
        <w:tab/>
        <w:t>(a)</w:t>
      </w:r>
      <w:r w:rsidRPr="00544ED5">
        <w:tab/>
        <w:t>stating the proposed action; and</w:t>
      </w:r>
    </w:p>
    <w:p w14:paraId="5DC44AD9" w14:textId="77777777" w:rsidR="00DB6E47" w:rsidRPr="00544ED5" w:rsidRDefault="00DB6E47" w:rsidP="00DB6E47">
      <w:pPr>
        <w:pStyle w:val="Apara"/>
      </w:pPr>
      <w:r w:rsidRPr="00544ED5">
        <w:tab/>
        <w:t>(b)</w:t>
      </w:r>
      <w:r w:rsidRPr="00544ED5">
        <w:tab/>
        <w:t>stating the ground for the proposed action; and</w:t>
      </w:r>
    </w:p>
    <w:p w14:paraId="4E784D8F" w14:textId="77777777" w:rsidR="00DB6E47" w:rsidRPr="00544ED5" w:rsidRDefault="00DB6E47" w:rsidP="00DB6E47">
      <w:pPr>
        <w:pStyle w:val="Apara"/>
      </w:pPr>
      <w:r w:rsidRPr="00544ED5">
        <w:tab/>
        <w:t>(c)</w:t>
      </w:r>
      <w:r w:rsidRPr="00544ED5">
        <w:tab/>
        <w:t>outlining the facts and circumstances forming the basis for the ground; and</w:t>
      </w:r>
    </w:p>
    <w:p w14:paraId="784441E9" w14:textId="77777777" w:rsidR="00DB6E47" w:rsidRPr="00544ED5" w:rsidRDefault="00DB6E47" w:rsidP="00DB6E47">
      <w:pPr>
        <w:pStyle w:val="Apara"/>
      </w:pPr>
      <w:r w:rsidRPr="00544ED5">
        <w:tab/>
        <w:t>(d)</w:t>
      </w:r>
      <w:r w:rsidRPr="00544ED5">
        <w:tab/>
        <w:t>if the proposed action is to amend the accreditation (including a condition of the accreditation)—stating the proposed amendment; and</w:t>
      </w:r>
    </w:p>
    <w:p w14:paraId="6DA1751D" w14:textId="77777777" w:rsidR="00DB6E47" w:rsidRPr="00544ED5" w:rsidRDefault="00DB6E47" w:rsidP="00DB6E47">
      <w:pPr>
        <w:pStyle w:val="Apara"/>
      </w:pPr>
      <w:r w:rsidRPr="00544ED5">
        <w:tab/>
        <w:t>(e)</w:t>
      </w:r>
      <w:r w:rsidRPr="00544ED5">
        <w:tab/>
        <w:t>if the proposed action is to suspend the accreditation—stating the proposed suspension period; and</w:t>
      </w:r>
    </w:p>
    <w:p w14:paraId="6616C1E9" w14:textId="77777777" w:rsidR="00DB6E47" w:rsidRPr="00544ED5" w:rsidRDefault="00DB6E47" w:rsidP="00DB6E47">
      <w:pPr>
        <w:pStyle w:val="Apara"/>
      </w:pPr>
      <w:r w:rsidRPr="00544ED5">
        <w:tab/>
        <w:t>(f)</w:t>
      </w:r>
      <w:r w:rsidRPr="00544ED5">
        <w:tab/>
        <w:t>inviting the holder to make, within a stated time of at least 14</w:t>
      </w:r>
      <w:r w:rsidR="008B4E35">
        <w:t> </w:t>
      </w:r>
      <w:r w:rsidRPr="00544ED5">
        <w:t>days after the notice is given to the holder, written representations about why the proposed action should not be taken.</w:t>
      </w:r>
    </w:p>
    <w:p w14:paraId="1219E289" w14:textId="77777777" w:rsidR="00DB6E47" w:rsidRPr="006C3305" w:rsidRDefault="00DB6E47" w:rsidP="00DB6E47">
      <w:pPr>
        <w:pStyle w:val="Amain"/>
      </w:pPr>
      <w:r>
        <w:lastRenderedPageBreak/>
        <w:tab/>
        <w:t>(</w:t>
      </w:r>
      <w:r w:rsidRPr="006C3305">
        <w:t>3)</w:t>
      </w:r>
      <w:r w:rsidRPr="006C3305">
        <w:tab/>
        <w:t>If, after considering all written repres</w:t>
      </w:r>
      <w:r w:rsidR="00B03621">
        <w:t>entations made under subsection </w:t>
      </w:r>
      <w:r w:rsidRPr="006C3305">
        <w:t>(2)(f), the Regulator still considers a ground exists to take the proposed action, the Regulator may—</w:t>
      </w:r>
    </w:p>
    <w:p w14:paraId="061461E9" w14:textId="77777777" w:rsidR="00DB6E47" w:rsidRPr="00544ED5" w:rsidRDefault="00DB6E47" w:rsidP="00DB6E47">
      <w:pPr>
        <w:pStyle w:val="Apara"/>
      </w:pPr>
      <w:r w:rsidRPr="00544ED5">
        <w:tab/>
        <w:t>(a)</w:t>
      </w:r>
      <w:r w:rsidRPr="00544ED5">
        <w:tab/>
        <w:t>if the proposed action was to amend the accreditation—amend the accreditation, including, for example, by imposing additional conditions on the accreditation, in a way that is not substantially different from the proposed action; or</w:t>
      </w:r>
    </w:p>
    <w:p w14:paraId="56FCEDB4" w14:textId="77777777" w:rsidR="00DB6E47" w:rsidRPr="00544ED5" w:rsidRDefault="00DB6E47" w:rsidP="00DB6E47">
      <w:pPr>
        <w:pStyle w:val="Apara"/>
      </w:pPr>
      <w:r w:rsidRPr="00544ED5">
        <w:tab/>
        <w:t>(b)</w:t>
      </w:r>
      <w:r w:rsidRPr="00544ED5">
        <w:tab/>
        <w:t>if the proposed action was to suspend the accreditation—suspend the accreditation for no longer than the period stated in the notice; or</w:t>
      </w:r>
    </w:p>
    <w:p w14:paraId="4037E5DC" w14:textId="77777777" w:rsidR="00DB6E47" w:rsidRPr="00544ED5" w:rsidRDefault="00DB6E47" w:rsidP="00DB6E47">
      <w:pPr>
        <w:pStyle w:val="Apara"/>
      </w:pPr>
      <w:r w:rsidRPr="00544ED5">
        <w:tab/>
        <w:t>(c)</w:t>
      </w:r>
      <w:r w:rsidRPr="00544ED5">
        <w:tab/>
        <w:t>if the proposed action was to cancel the accreditation—</w:t>
      </w:r>
    </w:p>
    <w:p w14:paraId="3B7A1019" w14:textId="77777777" w:rsidR="00DB6E47" w:rsidRPr="00516F02" w:rsidRDefault="00DB6E47" w:rsidP="00DB6E47">
      <w:pPr>
        <w:pStyle w:val="Asubpara"/>
      </w:pPr>
      <w:r w:rsidRPr="00516F02">
        <w:tab/>
        <w:t>(i)</w:t>
      </w:r>
      <w:r w:rsidRPr="00516F02">
        <w:tab/>
        <w:t>amend the accreditation, including, for example, by imposing additional conditions on the accreditation; or</w:t>
      </w:r>
    </w:p>
    <w:p w14:paraId="54C86D7E" w14:textId="77777777" w:rsidR="00DB6E47" w:rsidRPr="00516F02" w:rsidRDefault="00DB6E47" w:rsidP="00DB6E47">
      <w:pPr>
        <w:pStyle w:val="Asubpara"/>
      </w:pPr>
      <w:r w:rsidRPr="00516F02">
        <w:tab/>
        <w:t>(ii)</w:t>
      </w:r>
      <w:r w:rsidRPr="00516F02">
        <w:tab/>
        <w:t>suspend the accreditation for a period; or</w:t>
      </w:r>
    </w:p>
    <w:p w14:paraId="281D4F85" w14:textId="77777777" w:rsidR="00DB6E47" w:rsidRPr="00516F02" w:rsidRDefault="00DB6E47" w:rsidP="00DB6E47">
      <w:pPr>
        <w:pStyle w:val="Asubpara"/>
      </w:pPr>
      <w:r w:rsidRPr="00516F02">
        <w:tab/>
        <w:t>(iii)</w:t>
      </w:r>
      <w:r w:rsidRPr="00516F02">
        <w:tab/>
        <w:t>cancel the accreditation.</w:t>
      </w:r>
    </w:p>
    <w:p w14:paraId="07806581" w14:textId="77777777" w:rsidR="00DB6E47" w:rsidRPr="00C62D32" w:rsidRDefault="00DB6E47" w:rsidP="00DB6E47">
      <w:pPr>
        <w:pStyle w:val="Amain"/>
      </w:pPr>
      <w:r w:rsidRPr="00C62D32">
        <w:tab/>
        <w:t>(4)</w:t>
      </w:r>
      <w:r w:rsidRPr="00C62D32">
        <w:tab/>
        <w:t>The Regulator must give the holder an information notice for the decision.</w:t>
      </w:r>
    </w:p>
    <w:p w14:paraId="63C2C494" w14:textId="77777777" w:rsidR="00DB6E47" w:rsidRPr="00C62D32" w:rsidRDefault="00DB6E47" w:rsidP="00DB6E47">
      <w:pPr>
        <w:pStyle w:val="Amain"/>
      </w:pPr>
      <w:r w:rsidRPr="00C62D32">
        <w:tab/>
        <w:t>(5)</w:t>
      </w:r>
      <w:r w:rsidRPr="00C62D32">
        <w:tab/>
        <w:t>The decision takes effect—</w:t>
      </w:r>
    </w:p>
    <w:p w14:paraId="41FC3CE1" w14:textId="77777777" w:rsidR="00DB6E47" w:rsidRPr="00544ED5" w:rsidRDefault="00DB6E47" w:rsidP="00DB6E47">
      <w:pPr>
        <w:pStyle w:val="Apara"/>
      </w:pPr>
      <w:r w:rsidRPr="00544ED5">
        <w:tab/>
        <w:t>(a)</w:t>
      </w:r>
      <w:r w:rsidRPr="00544ED5">
        <w:tab/>
        <w:t>when the information notice is given to the holder; or</w:t>
      </w:r>
    </w:p>
    <w:p w14:paraId="04B858C9" w14:textId="77777777" w:rsidR="00DB6E47" w:rsidRPr="00544ED5" w:rsidRDefault="00DB6E47" w:rsidP="00DB6E47">
      <w:pPr>
        <w:pStyle w:val="Apara"/>
      </w:pPr>
      <w:r w:rsidRPr="00544ED5">
        <w:tab/>
        <w:t>(b)</w:t>
      </w:r>
      <w:r w:rsidRPr="00544ED5">
        <w:tab/>
        <w:t>if a later time is stated in the information notice, at the later time.</w:t>
      </w:r>
    </w:p>
    <w:p w14:paraId="2F32D0B7" w14:textId="77777777" w:rsidR="00DB6E47" w:rsidRPr="007E1F9A" w:rsidRDefault="00DB6E47" w:rsidP="00DB6E47">
      <w:pPr>
        <w:pStyle w:val="AH5Sec"/>
      </w:pPr>
      <w:bookmarkStart w:id="547" w:name="_Toc83625891"/>
      <w:r w:rsidRPr="005E03F7">
        <w:rPr>
          <w:rStyle w:val="CharSectNo"/>
        </w:rPr>
        <w:t>474</w:t>
      </w:r>
      <w:r w:rsidRPr="007E1F9A">
        <w:tab/>
      </w:r>
      <w:r w:rsidRPr="007E1F9A">
        <w:rPr>
          <w:rFonts w:ascii="Helvetica" w:hAnsi="Helvetica" w:cs="Helvetica"/>
          <w:iCs/>
        </w:rPr>
        <w:t>Immediate suspension of heavy vehicle accreditation</w:t>
      </w:r>
      <w:bookmarkEnd w:id="547"/>
    </w:p>
    <w:p w14:paraId="4B7DD113" w14:textId="77777777" w:rsidR="00DB6E47" w:rsidRPr="00C62D32" w:rsidRDefault="00DB6E47" w:rsidP="00C80C84">
      <w:pPr>
        <w:pStyle w:val="Amain"/>
        <w:keepNext/>
      </w:pPr>
      <w:r w:rsidRPr="00C62D32">
        <w:tab/>
        <w:t>(1)</w:t>
      </w:r>
      <w:r w:rsidRPr="00C62D32">
        <w:tab/>
        <w:t>This section applies if the Regulator considers—</w:t>
      </w:r>
    </w:p>
    <w:p w14:paraId="34CAA284" w14:textId="77777777" w:rsidR="00DB6E47" w:rsidRPr="00544ED5" w:rsidRDefault="00DB6E47" w:rsidP="00DB6E47">
      <w:pPr>
        <w:pStyle w:val="Apara"/>
      </w:pPr>
      <w:r w:rsidRPr="00544ED5">
        <w:tab/>
        <w:t>(a)</w:t>
      </w:r>
      <w:r w:rsidRPr="00544ED5">
        <w:tab/>
        <w:t>a ground exists to suspend or cancel a heavy vehicle accreditation granted under this Law; and</w:t>
      </w:r>
    </w:p>
    <w:p w14:paraId="5CC968E9" w14:textId="77777777" w:rsidR="00DB6E47" w:rsidRPr="00544ED5" w:rsidRDefault="00DB6E47" w:rsidP="00DB6E47">
      <w:pPr>
        <w:pStyle w:val="Apara"/>
      </w:pPr>
      <w:r w:rsidRPr="00544ED5">
        <w:tab/>
        <w:t>(b)</w:t>
      </w:r>
      <w:r w:rsidRPr="00544ED5">
        <w:tab/>
        <w:t>it is necessary to suspend the accreditation immediately to prevent or minimise serious harm to public safety.</w:t>
      </w:r>
    </w:p>
    <w:p w14:paraId="35CA8D02" w14:textId="77777777" w:rsidR="00DB6E47" w:rsidRPr="00C62D32" w:rsidRDefault="00DB6E47" w:rsidP="00DB6E47">
      <w:pPr>
        <w:pStyle w:val="Amain"/>
      </w:pPr>
      <w:r w:rsidRPr="00C62D32">
        <w:lastRenderedPageBreak/>
        <w:tab/>
        <w:t>(2)</w:t>
      </w:r>
      <w:r w:rsidRPr="00C62D32">
        <w:tab/>
        <w:t>The Regulator may, by notice given to the holder, immediately suspend the heavy vehicle accreditation until the earliest of the following—</w:t>
      </w:r>
    </w:p>
    <w:p w14:paraId="369061D0" w14:textId="77777777" w:rsidR="00DB6E47" w:rsidRPr="00544ED5" w:rsidRDefault="00DB6E47" w:rsidP="00DB6E47">
      <w:pPr>
        <w:pStyle w:val="Apara"/>
      </w:pPr>
      <w:r w:rsidRPr="00544ED5">
        <w:tab/>
        <w:t>(a)</w:t>
      </w:r>
      <w:r w:rsidRPr="00544ED5">
        <w:tab/>
        <w:t>the Regulator gives the holder an infor</w:t>
      </w:r>
      <w:r w:rsidR="00D64D85">
        <w:t>mation notice under section 473</w:t>
      </w:r>
      <w:r w:rsidRPr="00544ED5">
        <w:t>(4)</w:t>
      </w:r>
      <w:r w:rsidR="00D64D85">
        <w:t xml:space="preserve"> </w:t>
      </w:r>
      <w:r w:rsidRPr="00544ED5">
        <w:t>and the decision takes effect under section</w:t>
      </w:r>
      <w:r w:rsidR="00D64D85">
        <w:t> </w:t>
      </w:r>
      <w:r w:rsidRPr="00544ED5">
        <w:t>473(5);</w:t>
      </w:r>
    </w:p>
    <w:p w14:paraId="5C054B77" w14:textId="77777777" w:rsidR="00DB6E47" w:rsidRPr="00544ED5" w:rsidRDefault="00DB6E47" w:rsidP="00DB6E47">
      <w:pPr>
        <w:pStyle w:val="Apara"/>
      </w:pPr>
      <w:r w:rsidRPr="00544ED5">
        <w:tab/>
        <w:t>(b)</w:t>
      </w:r>
      <w:r w:rsidRPr="00544ED5">
        <w:tab/>
        <w:t>the Regulator cancels the suspension;</w:t>
      </w:r>
    </w:p>
    <w:p w14:paraId="522D0B71" w14:textId="77777777" w:rsidR="00DB6E47" w:rsidRPr="00544ED5" w:rsidRDefault="00DB6E47" w:rsidP="00DB6E47">
      <w:pPr>
        <w:pStyle w:val="Apara"/>
      </w:pPr>
      <w:r w:rsidRPr="00544ED5">
        <w:tab/>
        <w:t>(c)</w:t>
      </w:r>
      <w:r w:rsidRPr="00544ED5">
        <w:tab/>
        <w:t>the end of 56 days after the day the notice is given to the holder.</w:t>
      </w:r>
    </w:p>
    <w:p w14:paraId="251CC784" w14:textId="77777777" w:rsidR="00DB6E47" w:rsidRPr="00C62D32" w:rsidRDefault="00DB6E47" w:rsidP="00DB6E47">
      <w:pPr>
        <w:pStyle w:val="Amain"/>
      </w:pPr>
      <w:r w:rsidRPr="00C62D32">
        <w:tab/>
        <w:t>(3)</w:t>
      </w:r>
      <w:r w:rsidRPr="00C62D32">
        <w:tab/>
        <w:t>This section applies despite sections 472 and 473.</w:t>
      </w:r>
    </w:p>
    <w:p w14:paraId="5C1EE825" w14:textId="77777777" w:rsidR="00DB6E47" w:rsidRPr="007E1F9A" w:rsidRDefault="00DB6E47" w:rsidP="00DB6E47">
      <w:pPr>
        <w:pStyle w:val="AH5Sec"/>
      </w:pPr>
      <w:bookmarkStart w:id="548" w:name="_Toc83625892"/>
      <w:r w:rsidRPr="005E03F7">
        <w:rPr>
          <w:rStyle w:val="CharSectNo"/>
        </w:rPr>
        <w:t>475</w:t>
      </w:r>
      <w:r w:rsidRPr="007E1F9A">
        <w:tab/>
      </w:r>
      <w:r w:rsidRPr="007E1F9A">
        <w:rPr>
          <w:rFonts w:ascii="Helvetica" w:hAnsi="Helvetica" w:cs="Helvetica"/>
          <w:iCs/>
        </w:rPr>
        <w:t>Minor amendment of heavy vehicle accreditation</w:t>
      </w:r>
      <w:bookmarkEnd w:id="548"/>
    </w:p>
    <w:p w14:paraId="28BCC170" w14:textId="77777777" w:rsidR="00DB6E47" w:rsidRPr="00C62D32" w:rsidRDefault="00DB6E47" w:rsidP="00DB6E47">
      <w:pPr>
        <w:pStyle w:val="Amainreturn"/>
      </w:pPr>
      <w:r w:rsidRPr="00C62D32">
        <w:t>The Regulator may, by notice given to the holder of a heavy vehicle accreditation granted under this Law, amend the accreditation in a minor respect—</w:t>
      </w:r>
    </w:p>
    <w:p w14:paraId="6C55B209" w14:textId="77777777" w:rsidR="00DB6E47" w:rsidRPr="00544ED5" w:rsidRDefault="00DB6E47" w:rsidP="00DB6E47">
      <w:pPr>
        <w:pStyle w:val="Apara"/>
      </w:pPr>
      <w:r w:rsidRPr="00544ED5">
        <w:tab/>
        <w:t>(a)</w:t>
      </w:r>
      <w:r w:rsidRPr="00544ED5">
        <w:tab/>
        <w:t>for a formal or clerical reason; or</w:t>
      </w:r>
    </w:p>
    <w:p w14:paraId="2E9C06FF" w14:textId="77777777" w:rsidR="00DB6E47" w:rsidRPr="00544ED5" w:rsidRDefault="00DB6E47" w:rsidP="00DB6E47">
      <w:pPr>
        <w:pStyle w:val="Apara"/>
      </w:pPr>
      <w:r w:rsidRPr="00544ED5">
        <w:tab/>
        <w:t>(b)</w:t>
      </w:r>
      <w:r w:rsidRPr="00544ED5">
        <w:tab/>
        <w:t>in another way that does not adversely affect the holder’s interests.</w:t>
      </w:r>
    </w:p>
    <w:p w14:paraId="32C524B4" w14:textId="77777777" w:rsidR="00DB6E47" w:rsidRPr="003D647F" w:rsidRDefault="00DB6E47" w:rsidP="00DB6E47">
      <w:pPr>
        <w:pStyle w:val="PageBreak"/>
      </w:pPr>
      <w:r w:rsidRPr="003D647F">
        <w:br w:type="page"/>
      </w:r>
    </w:p>
    <w:p w14:paraId="501DCC7B" w14:textId="77777777" w:rsidR="00DB6E47" w:rsidRPr="005E03F7" w:rsidRDefault="00DB6E47" w:rsidP="00DB6E47">
      <w:pPr>
        <w:pStyle w:val="AH2Part"/>
      </w:pPr>
      <w:bookmarkStart w:id="549" w:name="_Toc83625893"/>
      <w:r w:rsidRPr="005E03F7">
        <w:rPr>
          <w:rStyle w:val="CharPartNo"/>
        </w:rPr>
        <w:lastRenderedPageBreak/>
        <w:t xml:space="preserve">Part 8.5 </w:t>
      </w:r>
      <w:r w:rsidRPr="00A95F9A">
        <w:rPr>
          <w:rFonts w:ascii="Helvetica" w:hAnsi="Helvetica" w:cs="Helvetica"/>
          <w:iCs/>
          <w:szCs w:val="32"/>
        </w:rPr>
        <w:tab/>
      </w:r>
      <w:r w:rsidRPr="005E03F7">
        <w:rPr>
          <w:rStyle w:val="CharPartText"/>
          <w:rFonts w:ascii="Helvetica" w:hAnsi="Helvetica" w:cs="Helvetica"/>
          <w:iCs/>
          <w:szCs w:val="32"/>
        </w:rPr>
        <w:t>Other provisions about heavy vehicle accreditations</w:t>
      </w:r>
      <w:bookmarkEnd w:id="549"/>
    </w:p>
    <w:p w14:paraId="223A6247" w14:textId="77777777" w:rsidR="00DB6E47" w:rsidRPr="007E1F9A" w:rsidRDefault="00DB6E47" w:rsidP="00DB6E47">
      <w:pPr>
        <w:pStyle w:val="AH5Sec"/>
      </w:pPr>
      <w:bookmarkStart w:id="550" w:name="_Toc83625894"/>
      <w:r w:rsidRPr="005E03F7">
        <w:rPr>
          <w:rStyle w:val="CharSectNo"/>
        </w:rPr>
        <w:t>476</w:t>
      </w:r>
      <w:r w:rsidRPr="007E1F9A">
        <w:tab/>
      </w:r>
      <w:r w:rsidRPr="007E1F9A">
        <w:rPr>
          <w:rFonts w:ascii="Helvetica" w:hAnsi="Helvetica" w:cs="Helvetica"/>
          <w:iCs/>
        </w:rPr>
        <w:t>Return of accreditation certificate</w:t>
      </w:r>
      <w:bookmarkEnd w:id="550"/>
    </w:p>
    <w:p w14:paraId="34D8FE3B" w14:textId="77777777" w:rsidR="00DB6E47" w:rsidRPr="00C62D32" w:rsidRDefault="00DB6E47" w:rsidP="00DB6E47">
      <w:pPr>
        <w:pStyle w:val="Amain"/>
      </w:pPr>
      <w:r w:rsidRPr="00C62D32">
        <w:tab/>
        <w:t>(1)</w:t>
      </w:r>
      <w:r w:rsidRPr="00C62D32">
        <w:tab/>
        <w:t>If a person’s heavy vehicle accreditation granted under this Law is amended, suspended or cancelled, the Regulator may, by notice, require the person to return the person’s accreditation certificate to the Regulator.</w:t>
      </w:r>
    </w:p>
    <w:p w14:paraId="039DFF5E" w14:textId="77777777" w:rsidR="00DB6E47" w:rsidRPr="00C62D32" w:rsidRDefault="00DB6E47" w:rsidP="00DB6E47">
      <w:pPr>
        <w:pStyle w:val="Amain"/>
      </w:pPr>
      <w:r w:rsidRPr="00C62D32">
        <w:tab/>
        <w:t>(2)</w:t>
      </w:r>
      <w:r w:rsidRPr="00C62D32">
        <w:tab/>
        <w:t>The person must comply with the notice within 7 days after the notice is given to the person or, if a longer period is stated in the notice, within the longer period.</w:t>
      </w:r>
    </w:p>
    <w:p w14:paraId="5F5A7C22" w14:textId="77777777" w:rsidR="00DB6E47" w:rsidRPr="006C3305" w:rsidRDefault="00DB6E47" w:rsidP="00DB6E47">
      <w:pPr>
        <w:pStyle w:val="Penalty"/>
      </w:pPr>
      <w:r w:rsidRPr="00D91CC2">
        <w:rPr>
          <w:rFonts w:cs="Times"/>
          <w:bCs/>
          <w:iCs/>
        </w:rPr>
        <w:t>Maximum penalty—$6000.</w:t>
      </w:r>
    </w:p>
    <w:p w14:paraId="2D590D07" w14:textId="77777777" w:rsidR="00DB6E47" w:rsidRPr="00C62D32" w:rsidRDefault="00DB6E47" w:rsidP="00DB6E47">
      <w:pPr>
        <w:pStyle w:val="Amain"/>
      </w:pPr>
      <w:r w:rsidRPr="00C62D32">
        <w:tab/>
        <w:t>(3)</w:t>
      </w:r>
      <w:r w:rsidRPr="00C62D32">
        <w:tab/>
        <w:t>If the heavy vehicle accreditation has been amended, the Regulator must give the person a replacement accreditation certificate for the accreditation as amended.</w:t>
      </w:r>
    </w:p>
    <w:p w14:paraId="4C5595DE" w14:textId="77777777" w:rsidR="00DB6E47" w:rsidRPr="00C62D32" w:rsidRDefault="00DB6E47" w:rsidP="00DB6E47">
      <w:pPr>
        <w:pStyle w:val="Amain"/>
      </w:pPr>
      <w:r w:rsidRPr="00C62D32">
        <w:tab/>
        <w:t>(4)</w:t>
      </w:r>
      <w:r w:rsidRPr="00C62D32">
        <w:tab/>
        <w:t>If the heavy vehicle accreditation has been suspended, the Regulator must give the person the accreditation certificate for the accreditation or, if the accreditation has also been amended, a replacement accreditation certificate for the accreditation as amended, as soon as practicable after the suspension ends.</w:t>
      </w:r>
    </w:p>
    <w:p w14:paraId="0A6334B4" w14:textId="77777777" w:rsidR="00DB6E47" w:rsidRPr="007E1F9A" w:rsidRDefault="00DB6E47" w:rsidP="00DB6E47">
      <w:pPr>
        <w:pStyle w:val="AH5Sec"/>
      </w:pPr>
      <w:bookmarkStart w:id="551" w:name="_Toc83625895"/>
      <w:r w:rsidRPr="005E03F7">
        <w:rPr>
          <w:rStyle w:val="CharSectNo"/>
        </w:rPr>
        <w:t>477</w:t>
      </w:r>
      <w:r w:rsidRPr="007E1F9A">
        <w:tab/>
      </w:r>
      <w:r w:rsidRPr="007E1F9A">
        <w:rPr>
          <w:rFonts w:ascii="Helvetica" w:hAnsi="Helvetica" w:cs="Helvetica"/>
          <w:iCs/>
        </w:rPr>
        <w:t>Replacement of defaced etc. accreditation certificate</w:t>
      </w:r>
      <w:bookmarkEnd w:id="551"/>
    </w:p>
    <w:p w14:paraId="1AE982B5" w14:textId="77777777" w:rsidR="00DB6E47" w:rsidRPr="00C62D32" w:rsidRDefault="00DB6E47" w:rsidP="00DB6E47">
      <w:pPr>
        <w:pStyle w:val="Amain"/>
      </w:pPr>
      <w:r w:rsidRPr="00C62D32">
        <w:tab/>
        <w:t>(1)</w:t>
      </w:r>
      <w:r w:rsidRPr="00C62D32">
        <w:tab/>
        <w:t>If a person’s accreditation certificate for a heavy vehicle accreditation granted under this Law is defaced, destroyed, lost or stolen, the person must, as soon as reasonably practicable after becoming aware of the matter, apply to the Regulator for a replacement accreditation certificate.</w:t>
      </w:r>
    </w:p>
    <w:p w14:paraId="0B481EC4" w14:textId="77777777" w:rsidR="00DB6E47" w:rsidRPr="006C3305" w:rsidRDefault="00DB6E47" w:rsidP="00DB6E47">
      <w:pPr>
        <w:pStyle w:val="Penalty"/>
      </w:pPr>
      <w:r w:rsidRPr="00D91CC2">
        <w:rPr>
          <w:rFonts w:cs="Times"/>
          <w:bCs/>
          <w:iCs/>
        </w:rPr>
        <w:t>Maximum penalty—$4000.</w:t>
      </w:r>
    </w:p>
    <w:p w14:paraId="68D103D7" w14:textId="77777777" w:rsidR="00DB6E47" w:rsidRPr="00C96203" w:rsidRDefault="00DB6E47" w:rsidP="00DB6E47">
      <w:pPr>
        <w:pStyle w:val="aNote"/>
      </w:pPr>
      <w:r w:rsidRPr="00FF4454">
        <w:rPr>
          <w:rStyle w:val="charItals"/>
        </w:rPr>
        <w:t>Note</w:t>
      </w:r>
      <w:r w:rsidRPr="00C96203">
        <w:rPr>
          <w:rFonts w:cs="Times"/>
          <w:bCs/>
          <w:iCs/>
        </w:rPr>
        <w:t>—</w:t>
      </w:r>
    </w:p>
    <w:p w14:paraId="358D499D" w14:textId="77777777" w:rsidR="00DB6E47" w:rsidRPr="00C96203" w:rsidRDefault="00DB6E47" w:rsidP="00DB6E47">
      <w:pPr>
        <w:pStyle w:val="aNoteTextss"/>
      </w:pPr>
      <w:r w:rsidRPr="00C96203">
        <w:t>See section 470 for the requirement to keep an accreditation certificate for a heavy vehicle accreditation while the accreditation is current.</w:t>
      </w:r>
    </w:p>
    <w:p w14:paraId="084DE534" w14:textId="77777777" w:rsidR="00DB6E47" w:rsidRPr="00C62D32" w:rsidRDefault="00DB6E47" w:rsidP="00DB6E47">
      <w:pPr>
        <w:pStyle w:val="Amain"/>
      </w:pPr>
      <w:r w:rsidRPr="00C62D32">
        <w:lastRenderedPageBreak/>
        <w:tab/>
        <w:t>(2)</w:t>
      </w:r>
      <w:r w:rsidRPr="00C62D32">
        <w:tab/>
        <w:t>If the Regulator is satisfied the accreditation certificate has been defaced, destroyed, lost or stolen, the Regulator must give the person a replacement accreditation certificate as soon as practicable.</w:t>
      </w:r>
    </w:p>
    <w:p w14:paraId="2F5EB536" w14:textId="77777777" w:rsidR="00DB6E47" w:rsidRPr="00C62D32" w:rsidRDefault="00DB6E47" w:rsidP="00DB6E47">
      <w:pPr>
        <w:pStyle w:val="Amain"/>
      </w:pPr>
      <w:r w:rsidRPr="00C62D32">
        <w:tab/>
        <w:t>(3)</w:t>
      </w:r>
      <w:r w:rsidRPr="00C62D32">
        <w:tab/>
        <w:t>If the Regulator decides not to give the person a replacement accreditation certificate, the Regulator must give the person an information notice for the decision.</w:t>
      </w:r>
    </w:p>
    <w:p w14:paraId="5F5AB0BB" w14:textId="77777777" w:rsidR="00DB6E47" w:rsidRPr="007E1F9A" w:rsidRDefault="00DB6E47" w:rsidP="00DB6E47">
      <w:pPr>
        <w:pStyle w:val="AH5Sec"/>
      </w:pPr>
      <w:bookmarkStart w:id="552" w:name="_Toc83625896"/>
      <w:r w:rsidRPr="005E03F7">
        <w:rPr>
          <w:rStyle w:val="CharSectNo"/>
        </w:rPr>
        <w:t>478</w:t>
      </w:r>
      <w:r w:rsidRPr="007E1F9A">
        <w:tab/>
      </w:r>
      <w:r w:rsidRPr="007E1F9A">
        <w:rPr>
          <w:rFonts w:ascii="Helvetica" w:hAnsi="Helvetica" w:cs="Helvetica"/>
          <w:iCs/>
        </w:rPr>
        <w:t>Offences relating to auditors</w:t>
      </w:r>
      <w:bookmarkEnd w:id="552"/>
    </w:p>
    <w:p w14:paraId="353AE727" w14:textId="77777777" w:rsidR="00DB6E47" w:rsidRPr="00C62D32" w:rsidRDefault="00DB6E47" w:rsidP="00DB6E47">
      <w:pPr>
        <w:pStyle w:val="Amain"/>
      </w:pPr>
      <w:r w:rsidRPr="00C62D32">
        <w:tab/>
        <w:t>(1)</w:t>
      </w:r>
      <w:r w:rsidRPr="00C62D32">
        <w:tab/>
        <w:t>A person must not falsely represent that the person is an approved auditor.</w:t>
      </w:r>
    </w:p>
    <w:p w14:paraId="2FC28841" w14:textId="77777777" w:rsidR="00DB6E47" w:rsidRPr="006C3305" w:rsidRDefault="00DB6E47" w:rsidP="00DB6E47">
      <w:pPr>
        <w:pStyle w:val="Penalty"/>
      </w:pPr>
      <w:r w:rsidRPr="00D91CC2">
        <w:rPr>
          <w:rFonts w:cs="Times"/>
          <w:bCs/>
          <w:iCs/>
        </w:rPr>
        <w:t>Maximum penalty—$10000.</w:t>
      </w:r>
    </w:p>
    <w:p w14:paraId="54F1EB39" w14:textId="77777777" w:rsidR="00DB6E47" w:rsidRPr="00C62D32" w:rsidRDefault="00DB6E47" w:rsidP="00DB6E47">
      <w:pPr>
        <w:pStyle w:val="Amain"/>
      </w:pPr>
      <w:r w:rsidRPr="00C62D32">
        <w:tab/>
        <w:t>(2)</w:t>
      </w:r>
      <w:r w:rsidRPr="00C62D32">
        <w:tab/>
        <w:t>An approved auditor must not falsely represent that the person is an auditor of a particular approved class.</w:t>
      </w:r>
    </w:p>
    <w:p w14:paraId="5FD9B9BB" w14:textId="77777777" w:rsidR="00DB6E47" w:rsidRPr="006C3305" w:rsidRDefault="00DB6E47" w:rsidP="00DB6E47">
      <w:pPr>
        <w:pStyle w:val="Penalty"/>
      </w:pPr>
      <w:r w:rsidRPr="00D91CC2">
        <w:rPr>
          <w:rFonts w:cs="Times"/>
          <w:bCs/>
          <w:iCs/>
        </w:rPr>
        <w:t>Maximum penalty—$10000.</w:t>
      </w:r>
    </w:p>
    <w:p w14:paraId="3EB71479" w14:textId="77777777" w:rsidR="00DB6E47" w:rsidRPr="00C62D32" w:rsidRDefault="00DB6E47" w:rsidP="00DB6E47">
      <w:pPr>
        <w:pStyle w:val="Amain"/>
      </w:pPr>
      <w:r w:rsidRPr="00C62D32">
        <w:tab/>
        <w:t>(3)</w:t>
      </w:r>
      <w:r w:rsidRPr="00C62D32">
        <w:tab/>
        <w:t>An approved auditor must not falsely represent that the person has audited an operator’s relevant management system.</w:t>
      </w:r>
    </w:p>
    <w:p w14:paraId="1099421F" w14:textId="77777777" w:rsidR="00DB6E47" w:rsidRPr="006C3305" w:rsidRDefault="00DB6E47" w:rsidP="00DB6E47">
      <w:pPr>
        <w:pStyle w:val="Penalty"/>
      </w:pPr>
      <w:r w:rsidRPr="00D91CC2">
        <w:rPr>
          <w:rFonts w:cs="Times"/>
          <w:bCs/>
          <w:iCs/>
        </w:rPr>
        <w:t>Maximum penalty—$10000.</w:t>
      </w:r>
    </w:p>
    <w:p w14:paraId="628A62C5" w14:textId="77777777" w:rsidR="00DB6E47" w:rsidRPr="00C62D32" w:rsidRDefault="00DB6E47" w:rsidP="00DB6E47">
      <w:pPr>
        <w:pStyle w:val="Amain"/>
      </w:pPr>
      <w:r w:rsidRPr="00C62D32">
        <w:tab/>
        <w:t>(4)</w:t>
      </w:r>
      <w:r w:rsidRPr="00C62D32">
        <w:tab/>
        <w:t>A person must not falsely represent the opinion of an approved auditor in relation to an operator’s relevant management system.</w:t>
      </w:r>
    </w:p>
    <w:p w14:paraId="71FC12A7" w14:textId="77777777" w:rsidR="00DB6E47" w:rsidRPr="006C3305" w:rsidRDefault="00DB6E47" w:rsidP="00DB6E47">
      <w:pPr>
        <w:pStyle w:val="Penalty"/>
      </w:pPr>
      <w:r w:rsidRPr="00D91CC2">
        <w:rPr>
          <w:rFonts w:cs="Times"/>
          <w:bCs/>
          <w:iCs/>
        </w:rPr>
        <w:t>Maximum penalty—$10000.</w:t>
      </w:r>
    </w:p>
    <w:p w14:paraId="6E6490DE" w14:textId="77777777" w:rsidR="00DB6E47" w:rsidRPr="00C62D32" w:rsidRDefault="00DB6E47" w:rsidP="00DB6E47">
      <w:pPr>
        <w:pStyle w:val="Amain"/>
      </w:pPr>
      <w:r w:rsidRPr="00C62D32">
        <w:tab/>
        <w:t>(5)</w:t>
      </w:r>
      <w:r w:rsidRPr="00C62D32">
        <w:tab/>
        <w:t>In this section—</w:t>
      </w:r>
    </w:p>
    <w:p w14:paraId="23168CC3" w14:textId="77777777" w:rsidR="00DB6E47" w:rsidRPr="00041046" w:rsidRDefault="00DB6E47" w:rsidP="00DB6E47">
      <w:pPr>
        <w:pStyle w:val="aDef"/>
        <w:rPr>
          <w:bCs/>
        </w:rPr>
      </w:pPr>
      <w:r w:rsidRPr="00041046">
        <w:rPr>
          <w:rStyle w:val="charBoldItals"/>
        </w:rPr>
        <w:t>approved class</w:t>
      </w:r>
      <w:r w:rsidRPr="00041046">
        <w:t xml:space="preserve"> means a class of auditors approved by the responsible Ministers under section 654.</w:t>
      </w:r>
    </w:p>
    <w:p w14:paraId="3322CEE9" w14:textId="77777777" w:rsidR="00DB6E47" w:rsidRPr="003D647F" w:rsidRDefault="00DB6E47" w:rsidP="00DB6E47">
      <w:pPr>
        <w:pStyle w:val="PageBreak"/>
        <w:rPr>
          <w:rFonts w:eastAsiaTheme="minorHAnsi"/>
        </w:rPr>
      </w:pPr>
      <w:r w:rsidRPr="003D647F">
        <w:rPr>
          <w:rFonts w:eastAsiaTheme="minorHAnsi"/>
        </w:rPr>
        <w:br w:type="page"/>
      </w:r>
    </w:p>
    <w:p w14:paraId="596891B7" w14:textId="77777777" w:rsidR="00DB6E47" w:rsidRPr="005E03F7" w:rsidRDefault="00DB6E47" w:rsidP="00DB6E47">
      <w:pPr>
        <w:pStyle w:val="AH1Chapter"/>
      </w:pPr>
      <w:bookmarkStart w:id="553" w:name="_Toc83625897"/>
      <w:r w:rsidRPr="005E03F7">
        <w:rPr>
          <w:rStyle w:val="CharChapNo"/>
        </w:rPr>
        <w:lastRenderedPageBreak/>
        <w:t xml:space="preserve">Chapter 9 </w:t>
      </w:r>
      <w:r w:rsidRPr="00A95F9A">
        <w:rPr>
          <w:rFonts w:ascii="Helvetica" w:hAnsi="Helvetica" w:cs="Helvetica"/>
          <w:iCs/>
          <w:sz w:val="36"/>
          <w:szCs w:val="36"/>
        </w:rPr>
        <w:tab/>
      </w:r>
      <w:r w:rsidRPr="005E03F7">
        <w:rPr>
          <w:rStyle w:val="CharChapText"/>
          <w:rFonts w:ascii="Helvetica" w:hAnsi="Helvetica" w:cs="Helvetica"/>
          <w:iCs/>
          <w:sz w:val="36"/>
          <w:szCs w:val="36"/>
        </w:rPr>
        <w:t>Enforcement</w:t>
      </w:r>
      <w:bookmarkEnd w:id="553"/>
    </w:p>
    <w:p w14:paraId="1BAB07DA" w14:textId="77777777" w:rsidR="00DB6E47" w:rsidRPr="005E03F7" w:rsidRDefault="00DB6E47" w:rsidP="00DB6E47">
      <w:pPr>
        <w:pStyle w:val="AH2Part"/>
      </w:pPr>
      <w:bookmarkStart w:id="554" w:name="_Toc83625898"/>
      <w:r w:rsidRPr="005E03F7">
        <w:rPr>
          <w:rStyle w:val="CharPartNo"/>
        </w:rPr>
        <w:t xml:space="preserve">Part 9.1 </w:t>
      </w:r>
      <w:r w:rsidRPr="00A95F9A">
        <w:rPr>
          <w:rFonts w:ascii="Helvetica" w:hAnsi="Helvetica" w:cs="Helvetica"/>
          <w:iCs/>
          <w:szCs w:val="32"/>
        </w:rPr>
        <w:tab/>
      </w:r>
      <w:r w:rsidRPr="005E03F7">
        <w:rPr>
          <w:rStyle w:val="CharPartText"/>
          <w:rFonts w:ascii="Helvetica" w:hAnsi="Helvetica" w:cs="Helvetica"/>
          <w:iCs/>
          <w:szCs w:val="32"/>
        </w:rPr>
        <w:t>General matters about authorised officers</w:t>
      </w:r>
      <w:bookmarkEnd w:id="554"/>
    </w:p>
    <w:p w14:paraId="0B58FF07" w14:textId="77777777" w:rsidR="00DB6E47" w:rsidRPr="005E03F7" w:rsidRDefault="00DB6E47" w:rsidP="00DB6E47">
      <w:pPr>
        <w:pStyle w:val="AH3Div"/>
      </w:pPr>
      <w:bookmarkStart w:id="555" w:name="_Toc83625899"/>
      <w:r w:rsidRPr="005E03F7">
        <w:rPr>
          <w:rStyle w:val="CharDivNo"/>
        </w:rPr>
        <w:t xml:space="preserve">Division 1 </w:t>
      </w:r>
      <w:r w:rsidRPr="00A95F9A">
        <w:rPr>
          <w:rFonts w:ascii="Helvetica" w:hAnsi="Helvetica" w:cs="Helvetica"/>
          <w:iCs/>
          <w:szCs w:val="28"/>
        </w:rPr>
        <w:tab/>
      </w:r>
      <w:r w:rsidRPr="005E03F7">
        <w:rPr>
          <w:rStyle w:val="CharDivText"/>
          <w:rFonts w:ascii="Helvetica" w:hAnsi="Helvetica" w:cs="Helvetica"/>
          <w:iCs/>
          <w:szCs w:val="28"/>
        </w:rPr>
        <w:t>Functions</w:t>
      </w:r>
      <w:bookmarkEnd w:id="555"/>
    </w:p>
    <w:p w14:paraId="703C784C" w14:textId="77777777" w:rsidR="00DB6E47" w:rsidRPr="007E1F9A" w:rsidRDefault="00DB6E47" w:rsidP="00DB6E47">
      <w:pPr>
        <w:pStyle w:val="AH5Sec"/>
      </w:pPr>
      <w:bookmarkStart w:id="556" w:name="_Toc83625900"/>
      <w:r w:rsidRPr="005E03F7">
        <w:rPr>
          <w:rStyle w:val="CharSectNo"/>
        </w:rPr>
        <w:t>479</w:t>
      </w:r>
      <w:r w:rsidRPr="007E1F9A">
        <w:tab/>
      </w:r>
      <w:r w:rsidRPr="007E1F9A">
        <w:rPr>
          <w:rFonts w:ascii="Helvetica" w:hAnsi="Helvetica" w:cs="Helvetica"/>
          <w:iCs/>
        </w:rPr>
        <w:t>Functions of authorised officers</w:t>
      </w:r>
      <w:bookmarkEnd w:id="556"/>
    </w:p>
    <w:p w14:paraId="5ADFE3C2" w14:textId="77777777" w:rsidR="00DB6E47" w:rsidRPr="00C62D32" w:rsidRDefault="00E946C8" w:rsidP="00E946C8">
      <w:pPr>
        <w:pStyle w:val="Amain"/>
      </w:pPr>
      <w:r>
        <w:tab/>
        <w:t>(1)</w:t>
      </w:r>
      <w:r>
        <w:tab/>
      </w:r>
      <w:r w:rsidR="00DB6E47" w:rsidRPr="00C62D32">
        <w:t>An authorised officer has the following functions under this Law—</w:t>
      </w:r>
    </w:p>
    <w:p w14:paraId="5A3175E6" w14:textId="77777777" w:rsidR="00DB6E47" w:rsidRPr="00544ED5" w:rsidRDefault="00DB6E47" w:rsidP="00DB6E47">
      <w:pPr>
        <w:pStyle w:val="Apara"/>
      </w:pPr>
      <w:r w:rsidRPr="00544ED5">
        <w:tab/>
        <w:t>(a)</w:t>
      </w:r>
      <w:r w:rsidRPr="00544ED5">
        <w:tab/>
        <w:t>to monitor, investigate and enforce compliance with this Law;</w:t>
      </w:r>
    </w:p>
    <w:p w14:paraId="3684CC07" w14:textId="77777777" w:rsidR="00DB6E47" w:rsidRPr="00544ED5" w:rsidRDefault="00DB6E47" w:rsidP="00DB6E47">
      <w:pPr>
        <w:pStyle w:val="Apara"/>
      </w:pPr>
      <w:r w:rsidRPr="00544ED5">
        <w:tab/>
        <w:t>(b)</w:t>
      </w:r>
      <w:r w:rsidRPr="00544ED5">
        <w:tab/>
        <w:t>to monitor or investigate whether an occasion has arisen for the exercise of powers under this Law;</w:t>
      </w:r>
    </w:p>
    <w:p w14:paraId="1F93E95C" w14:textId="77777777" w:rsidR="00DB6E47" w:rsidRDefault="00DB6E47" w:rsidP="00DB6E47">
      <w:pPr>
        <w:pStyle w:val="Apara"/>
      </w:pPr>
      <w:r w:rsidRPr="00544ED5">
        <w:tab/>
        <w:t>(c)</w:t>
      </w:r>
      <w:r w:rsidRPr="00544ED5">
        <w:tab/>
        <w:t>to facilitate the exercise of powers under this Law.</w:t>
      </w:r>
    </w:p>
    <w:p w14:paraId="086C2679" w14:textId="77777777" w:rsidR="00E946C8" w:rsidRPr="00544ED5" w:rsidRDefault="00E946C8" w:rsidP="00E946C8">
      <w:pPr>
        <w:pStyle w:val="Amain"/>
      </w:pPr>
      <w:r>
        <w:rPr>
          <w:rStyle w:val="listnumber"/>
          <w:color w:val="000000"/>
          <w:sz w:val="23"/>
          <w:szCs w:val="23"/>
          <w:lang w:val="en"/>
        </w:rPr>
        <w:tab/>
        <w:t>(2)</w:t>
      </w:r>
      <w:r>
        <w:rPr>
          <w:rStyle w:val="listnumber"/>
          <w:color w:val="000000"/>
          <w:sz w:val="23"/>
          <w:szCs w:val="23"/>
          <w:lang w:val="en"/>
        </w:rPr>
        <w:tab/>
      </w:r>
      <w:r>
        <w:rPr>
          <w:lang w:val="en"/>
        </w:rPr>
        <w:t>Also, an authorised officer who is not a police officer has the function under this Law to provide advice, information and education to persons with duties or obligations under this Law about compliance with the duties or obligations.</w:t>
      </w:r>
    </w:p>
    <w:p w14:paraId="380C9E57" w14:textId="77777777" w:rsidR="00DB6E47" w:rsidRPr="005E03F7" w:rsidRDefault="00DB6E47" w:rsidP="00DB6E47">
      <w:pPr>
        <w:pStyle w:val="AH3Div"/>
      </w:pPr>
      <w:bookmarkStart w:id="557" w:name="_Toc83625901"/>
      <w:r w:rsidRPr="005E03F7">
        <w:rPr>
          <w:rStyle w:val="CharDivNo"/>
        </w:rPr>
        <w:t xml:space="preserve">Division 2 </w:t>
      </w:r>
      <w:r w:rsidRPr="00A95F9A">
        <w:rPr>
          <w:rFonts w:ascii="Helvetica" w:hAnsi="Helvetica" w:cs="Helvetica"/>
          <w:iCs/>
          <w:szCs w:val="28"/>
        </w:rPr>
        <w:tab/>
      </w:r>
      <w:r w:rsidRPr="005E03F7">
        <w:rPr>
          <w:rStyle w:val="CharDivText"/>
          <w:rFonts w:ascii="Helvetica" w:hAnsi="Helvetica" w:cs="Helvetica"/>
          <w:iCs/>
          <w:szCs w:val="28"/>
        </w:rPr>
        <w:t>Appointment</w:t>
      </w:r>
      <w:bookmarkEnd w:id="557"/>
    </w:p>
    <w:p w14:paraId="572333CA" w14:textId="77777777" w:rsidR="00DB6E47" w:rsidRPr="007E1F9A" w:rsidRDefault="00DB6E47" w:rsidP="00DB6E47">
      <w:pPr>
        <w:pStyle w:val="AH5Sec"/>
      </w:pPr>
      <w:bookmarkStart w:id="558" w:name="_Toc83625902"/>
      <w:r w:rsidRPr="005E03F7">
        <w:rPr>
          <w:rStyle w:val="CharSectNo"/>
        </w:rPr>
        <w:t>480</w:t>
      </w:r>
      <w:r w:rsidRPr="007E1F9A">
        <w:tab/>
      </w:r>
      <w:r w:rsidRPr="007E1F9A">
        <w:rPr>
          <w:rFonts w:ascii="Helvetica" w:hAnsi="Helvetica" w:cs="Helvetica"/>
          <w:iCs/>
        </w:rPr>
        <w:t>Application of Div 2</w:t>
      </w:r>
      <w:bookmarkEnd w:id="558"/>
    </w:p>
    <w:p w14:paraId="7C86B175" w14:textId="77777777" w:rsidR="00DB6E47" w:rsidRPr="00C62D32" w:rsidRDefault="00DB6E47" w:rsidP="00DB6E47">
      <w:pPr>
        <w:pStyle w:val="Amainreturn"/>
      </w:pPr>
      <w:r w:rsidRPr="00C62D32">
        <w:t>This Division does not apply to an authorised officer who is a police officer.</w:t>
      </w:r>
    </w:p>
    <w:p w14:paraId="5652D6FB" w14:textId="77777777" w:rsidR="00DB6E47" w:rsidRPr="007E1F9A" w:rsidRDefault="00DB6E47" w:rsidP="00DB6E47">
      <w:pPr>
        <w:pStyle w:val="AH5Sec"/>
      </w:pPr>
      <w:bookmarkStart w:id="559" w:name="_Toc83625903"/>
      <w:r w:rsidRPr="005E03F7">
        <w:rPr>
          <w:rStyle w:val="CharSectNo"/>
        </w:rPr>
        <w:t>481</w:t>
      </w:r>
      <w:r w:rsidRPr="007E1F9A">
        <w:tab/>
      </w:r>
      <w:r w:rsidRPr="007E1F9A">
        <w:rPr>
          <w:rFonts w:ascii="Helvetica" w:hAnsi="Helvetica" w:cs="Helvetica"/>
          <w:iCs/>
        </w:rPr>
        <w:t>Appointment and qualifications</w:t>
      </w:r>
      <w:bookmarkEnd w:id="559"/>
    </w:p>
    <w:p w14:paraId="430E303A" w14:textId="77777777" w:rsidR="00DB6E47" w:rsidRPr="00C62D32" w:rsidRDefault="00DB6E47" w:rsidP="00DB6E47">
      <w:pPr>
        <w:pStyle w:val="Amain"/>
      </w:pPr>
      <w:r w:rsidRPr="00C62D32">
        <w:tab/>
        <w:t>(1)</w:t>
      </w:r>
      <w:r w:rsidRPr="00C62D32">
        <w:tab/>
        <w:t>The Regulator may, by instrument, appoint any of the following individuals as an authorised officer for the purposes of this Law—</w:t>
      </w:r>
    </w:p>
    <w:p w14:paraId="125D0122" w14:textId="77777777" w:rsidR="00DB6E47" w:rsidRPr="00544ED5" w:rsidRDefault="00DB6E47" w:rsidP="00DB6E47">
      <w:pPr>
        <w:pStyle w:val="Apara"/>
      </w:pPr>
      <w:r w:rsidRPr="00544ED5">
        <w:tab/>
        <w:t>(a)</w:t>
      </w:r>
      <w:r w:rsidRPr="00544ED5">
        <w:tab/>
        <w:t>an individual who is—</w:t>
      </w:r>
    </w:p>
    <w:p w14:paraId="15012396" w14:textId="77777777" w:rsidR="00DB6E47" w:rsidRPr="00516F02" w:rsidRDefault="00DB6E47" w:rsidP="00DB6E47">
      <w:pPr>
        <w:pStyle w:val="Asubpara"/>
      </w:pPr>
      <w:r w:rsidRPr="00516F02">
        <w:tab/>
        <w:t>(i)</w:t>
      </w:r>
      <w:r w:rsidRPr="00516F02">
        <w:tab/>
        <w:t>a member of the staff of the Regulator; or</w:t>
      </w:r>
    </w:p>
    <w:p w14:paraId="67BEE7BD" w14:textId="77777777" w:rsidR="00DB6E47" w:rsidRPr="00516F02" w:rsidRDefault="00DB6E47" w:rsidP="00DB6E47">
      <w:pPr>
        <w:pStyle w:val="Asubpara"/>
      </w:pPr>
      <w:r>
        <w:lastRenderedPageBreak/>
        <w:tab/>
      </w:r>
      <w:r w:rsidRPr="00516F02">
        <w:t>(ii)</w:t>
      </w:r>
      <w:r w:rsidRPr="00516F02">
        <w:tab/>
        <w:t>a person whose services are being used under an arrangement under section 685; or</w:t>
      </w:r>
    </w:p>
    <w:p w14:paraId="21CD2AFC" w14:textId="77777777" w:rsidR="00DB6E47" w:rsidRPr="00516F02" w:rsidRDefault="00DB6E47" w:rsidP="00DB6E47">
      <w:pPr>
        <w:pStyle w:val="Asubpara"/>
      </w:pPr>
      <w:r w:rsidRPr="00516F02">
        <w:tab/>
        <w:t>(iii)</w:t>
      </w:r>
      <w:r w:rsidRPr="00516F02">
        <w:tab/>
        <w:t>a consultant or contractor engaged by the Regulator under section 686;</w:t>
      </w:r>
    </w:p>
    <w:p w14:paraId="56F6B98C" w14:textId="77777777" w:rsidR="00DB6E47" w:rsidRPr="00544ED5" w:rsidRDefault="00DB6E47" w:rsidP="00DB6E47">
      <w:pPr>
        <w:pStyle w:val="Apara"/>
      </w:pPr>
      <w:r w:rsidRPr="00544ED5">
        <w:tab/>
        <w:t>(b)</w:t>
      </w:r>
      <w:r w:rsidRPr="00544ED5">
        <w:tab/>
        <w:t>an employee of the State;</w:t>
      </w:r>
    </w:p>
    <w:p w14:paraId="52390BF2" w14:textId="77777777" w:rsidR="00DB6E47" w:rsidRPr="00544ED5" w:rsidRDefault="00DB6E47" w:rsidP="00DB6E47">
      <w:pPr>
        <w:pStyle w:val="Apara"/>
      </w:pPr>
      <w:r w:rsidRPr="00544ED5">
        <w:tab/>
        <w:t>(c)</w:t>
      </w:r>
      <w:r w:rsidRPr="00544ED5">
        <w:tab/>
        <w:t>an employee of a local government authority;</w:t>
      </w:r>
    </w:p>
    <w:p w14:paraId="718C25D1" w14:textId="77777777" w:rsidR="00DB6E47" w:rsidRPr="00544ED5" w:rsidRDefault="00DB6E47" w:rsidP="00DB6E47">
      <w:pPr>
        <w:pStyle w:val="Apara"/>
      </w:pPr>
      <w:r w:rsidRPr="00544ED5">
        <w:tab/>
        <w:t>(d)</w:t>
      </w:r>
      <w:r w:rsidRPr="00544ED5">
        <w:tab/>
        <w:t>an individual of a class prescribed by the national regulations.</w:t>
      </w:r>
    </w:p>
    <w:p w14:paraId="2893BA23" w14:textId="77777777" w:rsidR="00DB6E47" w:rsidRPr="00C62D32" w:rsidRDefault="00DB6E47" w:rsidP="00DB6E47">
      <w:pPr>
        <w:pStyle w:val="Amain"/>
      </w:pPr>
      <w:r w:rsidRPr="00C62D32">
        <w:tab/>
        <w:t>(2)</w:t>
      </w:r>
      <w:r w:rsidRPr="00C62D32">
        <w:tab/>
        <w:t>However, the Regulator may appoint a person as an authorised officer only if the Regulator is satisfied the person is qualified for appointment because the person has the necessary expertise or experience.</w:t>
      </w:r>
    </w:p>
    <w:p w14:paraId="4658AA41" w14:textId="77777777" w:rsidR="00DB6E47" w:rsidRPr="007E1F9A" w:rsidRDefault="00DB6E47" w:rsidP="00DB6E47">
      <w:pPr>
        <w:pStyle w:val="AH5Sec"/>
      </w:pPr>
      <w:bookmarkStart w:id="560" w:name="_Toc83625904"/>
      <w:r w:rsidRPr="005E03F7">
        <w:rPr>
          <w:rStyle w:val="CharSectNo"/>
        </w:rPr>
        <w:t>482</w:t>
      </w:r>
      <w:r w:rsidRPr="007E1F9A">
        <w:tab/>
      </w:r>
      <w:r w:rsidRPr="007E1F9A">
        <w:rPr>
          <w:rFonts w:ascii="Helvetica" w:hAnsi="Helvetica" w:cs="Helvetica"/>
          <w:iCs/>
        </w:rPr>
        <w:t>Appointment conditions and limit on powers</w:t>
      </w:r>
      <w:bookmarkEnd w:id="560"/>
    </w:p>
    <w:p w14:paraId="52885BC6" w14:textId="77777777" w:rsidR="00DB6E47" w:rsidRPr="00C62D32" w:rsidRDefault="00DB6E47" w:rsidP="00DB6E47">
      <w:pPr>
        <w:pStyle w:val="Amain"/>
      </w:pPr>
      <w:r w:rsidRPr="00C62D32">
        <w:tab/>
        <w:t>(1)</w:t>
      </w:r>
      <w:r w:rsidRPr="00C62D32">
        <w:tab/>
        <w:t>An authorised officer holds office on any conditions stated in—</w:t>
      </w:r>
    </w:p>
    <w:p w14:paraId="5435A4CD" w14:textId="77777777" w:rsidR="00DB6E47" w:rsidRPr="00544ED5" w:rsidRDefault="00DB6E47" w:rsidP="00DB6E47">
      <w:pPr>
        <w:pStyle w:val="Apara"/>
      </w:pPr>
      <w:r w:rsidRPr="00544ED5">
        <w:tab/>
        <w:t>(a)</w:t>
      </w:r>
      <w:r w:rsidRPr="00544ED5">
        <w:tab/>
        <w:t>the officer’s instrument of appointment; or</w:t>
      </w:r>
    </w:p>
    <w:p w14:paraId="29003F90" w14:textId="77777777" w:rsidR="00DB6E47" w:rsidRPr="00544ED5" w:rsidRDefault="00DB6E47" w:rsidP="00DB6E47">
      <w:pPr>
        <w:pStyle w:val="Apara"/>
      </w:pPr>
      <w:r w:rsidRPr="00544ED5">
        <w:tab/>
        <w:t>(b)</w:t>
      </w:r>
      <w:r w:rsidRPr="00544ED5">
        <w:tab/>
        <w:t>a notice signed by the Regulator given to the officer; or</w:t>
      </w:r>
    </w:p>
    <w:p w14:paraId="09935128" w14:textId="77777777" w:rsidR="00DB6E47" w:rsidRPr="00544ED5" w:rsidRDefault="00DB6E47" w:rsidP="00DB6E47">
      <w:pPr>
        <w:pStyle w:val="Apara"/>
      </w:pPr>
      <w:r w:rsidRPr="00544ED5">
        <w:tab/>
        <w:t>(c)</w:t>
      </w:r>
      <w:r w:rsidRPr="00544ED5">
        <w:tab/>
        <w:t>the national regulations.</w:t>
      </w:r>
    </w:p>
    <w:p w14:paraId="739D16D6" w14:textId="77777777" w:rsidR="00DB6E47" w:rsidRPr="00C62D32" w:rsidRDefault="00DB6E47" w:rsidP="00DB6E47">
      <w:pPr>
        <w:pStyle w:val="Amain"/>
      </w:pPr>
      <w:r w:rsidRPr="00C62D32">
        <w:tab/>
        <w:t>(2)</w:t>
      </w:r>
      <w:r w:rsidRPr="00C62D32">
        <w:tab/>
        <w:t>The instrument of appointment, a signed notice given to the authorised officer, or the national regulations may limit the officer’s powers.</w:t>
      </w:r>
    </w:p>
    <w:p w14:paraId="6C820F7E" w14:textId="77777777" w:rsidR="00DB6E47" w:rsidRPr="007E1F9A" w:rsidRDefault="00DB6E47" w:rsidP="00DB6E47">
      <w:pPr>
        <w:pStyle w:val="AH5Sec"/>
      </w:pPr>
      <w:bookmarkStart w:id="561" w:name="_Toc83625905"/>
      <w:r w:rsidRPr="005E03F7">
        <w:rPr>
          <w:rStyle w:val="CharSectNo"/>
        </w:rPr>
        <w:t>483</w:t>
      </w:r>
      <w:r w:rsidRPr="007E1F9A">
        <w:tab/>
      </w:r>
      <w:r w:rsidRPr="007E1F9A">
        <w:rPr>
          <w:rFonts w:ascii="Helvetica" w:hAnsi="Helvetica" w:cs="Helvetica"/>
          <w:iCs/>
        </w:rPr>
        <w:t>When office ends</w:t>
      </w:r>
      <w:bookmarkEnd w:id="561"/>
    </w:p>
    <w:p w14:paraId="54994970" w14:textId="77777777" w:rsidR="00DB6E47" w:rsidRPr="00C62D32" w:rsidRDefault="00DB6E47" w:rsidP="00DB6E47">
      <w:pPr>
        <w:pStyle w:val="Amain"/>
      </w:pPr>
      <w:r w:rsidRPr="00C62D32">
        <w:tab/>
        <w:t>(1)</w:t>
      </w:r>
      <w:r w:rsidRPr="00C62D32">
        <w:tab/>
        <w:t>The office of a person as an authorised officer ends if any of the following happens—</w:t>
      </w:r>
    </w:p>
    <w:p w14:paraId="17A3207C" w14:textId="77777777" w:rsidR="00DB6E47" w:rsidRPr="00544ED5" w:rsidRDefault="00DB6E47" w:rsidP="00DB6E47">
      <w:pPr>
        <w:pStyle w:val="Apara"/>
      </w:pPr>
      <w:r w:rsidRPr="00544ED5">
        <w:tab/>
        <w:t>(a)</w:t>
      </w:r>
      <w:r w:rsidRPr="00544ED5">
        <w:tab/>
        <w:t>the term of office stated in a condition of office ends;</w:t>
      </w:r>
    </w:p>
    <w:p w14:paraId="682203DF" w14:textId="77777777" w:rsidR="00DB6E47" w:rsidRPr="00544ED5" w:rsidRDefault="00DB6E47" w:rsidP="00DB6E47">
      <w:pPr>
        <w:pStyle w:val="Apara"/>
      </w:pPr>
      <w:r w:rsidRPr="00544ED5">
        <w:tab/>
        <w:t>(b)</w:t>
      </w:r>
      <w:r w:rsidRPr="00544ED5">
        <w:tab/>
        <w:t>under another condition of office, the office ends;</w:t>
      </w:r>
    </w:p>
    <w:p w14:paraId="7BFB5F25" w14:textId="77777777" w:rsidR="00DB6E47" w:rsidRPr="00544ED5" w:rsidRDefault="00DB6E47" w:rsidP="00DB6E47">
      <w:pPr>
        <w:pStyle w:val="Apara"/>
      </w:pPr>
      <w:r w:rsidRPr="00544ED5">
        <w:tab/>
        <w:t>(c)</w:t>
      </w:r>
      <w:r w:rsidRPr="00544ED5">
        <w:tab/>
        <w:t>the officer’s resignation under section 484 takes effect.</w:t>
      </w:r>
    </w:p>
    <w:p w14:paraId="757E062D" w14:textId="77777777" w:rsidR="00DB6E47" w:rsidRPr="00C62D32" w:rsidRDefault="00D64D85" w:rsidP="00DB6E47">
      <w:pPr>
        <w:pStyle w:val="Amain"/>
      </w:pPr>
      <w:r>
        <w:lastRenderedPageBreak/>
        <w:tab/>
        <w:t>(2)</w:t>
      </w:r>
      <w:r>
        <w:tab/>
        <w:t xml:space="preserve">Subsection </w:t>
      </w:r>
      <w:r w:rsidR="00DB6E47" w:rsidRPr="00C62D32">
        <w:t>(1)</w:t>
      </w:r>
      <w:r>
        <w:t xml:space="preserve"> </w:t>
      </w:r>
      <w:r w:rsidR="00DB6E47" w:rsidRPr="00C62D32">
        <w:t>does not limit the ways an authorised officer may cease to hold office.</w:t>
      </w:r>
    </w:p>
    <w:p w14:paraId="7EBFD060" w14:textId="77777777" w:rsidR="00DB6E47" w:rsidRPr="00C62D32" w:rsidRDefault="00DB6E47" w:rsidP="00C80C84">
      <w:pPr>
        <w:pStyle w:val="Amain"/>
        <w:keepNext/>
      </w:pPr>
      <w:r w:rsidRPr="00C62D32">
        <w:tab/>
        <w:t>(3)</w:t>
      </w:r>
      <w:r w:rsidRPr="00C62D32">
        <w:tab/>
        <w:t>In this section—</w:t>
      </w:r>
    </w:p>
    <w:p w14:paraId="1FA9DF99" w14:textId="77777777" w:rsidR="00DB6E47" w:rsidRPr="00041046" w:rsidRDefault="00DB6E47" w:rsidP="00DB6E47">
      <w:pPr>
        <w:pStyle w:val="aDef"/>
        <w:rPr>
          <w:bCs/>
        </w:rPr>
      </w:pPr>
      <w:r w:rsidRPr="00041046">
        <w:rPr>
          <w:rStyle w:val="charBoldItals"/>
        </w:rPr>
        <w:t>condition of office</w:t>
      </w:r>
      <w:r w:rsidRPr="00041046">
        <w:t xml:space="preserve"> means a condition under which the authorised officer holds office.</w:t>
      </w:r>
    </w:p>
    <w:p w14:paraId="52F3B9A3" w14:textId="77777777" w:rsidR="00DB6E47" w:rsidRPr="007E1F9A" w:rsidRDefault="00DB6E47" w:rsidP="00DB6E47">
      <w:pPr>
        <w:pStyle w:val="AH5Sec"/>
      </w:pPr>
      <w:bookmarkStart w:id="562" w:name="_Toc83625906"/>
      <w:r w:rsidRPr="005E03F7">
        <w:rPr>
          <w:rStyle w:val="CharSectNo"/>
        </w:rPr>
        <w:t>484</w:t>
      </w:r>
      <w:r w:rsidRPr="007E1F9A">
        <w:tab/>
      </w:r>
      <w:r w:rsidRPr="007E1F9A">
        <w:rPr>
          <w:rFonts w:ascii="Helvetica" w:hAnsi="Helvetica" w:cs="Helvetica"/>
          <w:iCs/>
        </w:rPr>
        <w:t>Resignation</w:t>
      </w:r>
      <w:bookmarkEnd w:id="562"/>
    </w:p>
    <w:p w14:paraId="6B257FDF" w14:textId="77777777" w:rsidR="00DB6E47" w:rsidRPr="00C62D32" w:rsidRDefault="00DB6E47" w:rsidP="00DB6E47">
      <w:pPr>
        <w:pStyle w:val="Amain"/>
      </w:pPr>
      <w:r w:rsidRPr="00C62D32">
        <w:tab/>
        <w:t>(1)</w:t>
      </w:r>
      <w:r w:rsidRPr="00C62D32">
        <w:tab/>
        <w:t>An authorised officer may resign by signed notice given to the Regulator.</w:t>
      </w:r>
    </w:p>
    <w:p w14:paraId="18A7902A" w14:textId="77777777" w:rsidR="00DB6E47" w:rsidRPr="00C62D32" w:rsidRDefault="00DB6E47" w:rsidP="00DB6E47">
      <w:pPr>
        <w:pStyle w:val="Amain"/>
      </w:pPr>
      <w:r w:rsidRPr="00C62D32">
        <w:tab/>
        <w:t>(2)</w:t>
      </w:r>
      <w:r w:rsidRPr="00C62D32">
        <w:tab/>
        <w:t>However, if holding office as an authorised officer is a condition of the officer holding another office, the officer may not resign as an authorised officer without resigning from the other office.</w:t>
      </w:r>
    </w:p>
    <w:p w14:paraId="6F52625D" w14:textId="77777777" w:rsidR="00DB6E47" w:rsidRPr="005E03F7" w:rsidRDefault="00DB6E47" w:rsidP="00DB6E47">
      <w:pPr>
        <w:pStyle w:val="AH3Div"/>
      </w:pPr>
      <w:bookmarkStart w:id="563" w:name="_Toc83625907"/>
      <w:r w:rsidRPr="005E03F7">
        <w:rPr>
          <w:rStyle w:val="CharDivNo"/>
        </w:rPr>
        <w:t xml:space="preserve">Division 3 </w:t>
      </w:r>
      <w:r w:rsidRPr="00A95F9A">
        <w:rPr>
          <w:rFonts w:ascii="Helvetica" w:hAnsi="Helvetica" w:cs="Helvetica"/>
          <w:iCs/>
          <w:szCs w:val="28"/>
        </w:rPr>
        <w:tab/>
      </w:r>
      <w:r w:rsidRPr="005E03F7">
        <w:rPr>
          <w:rStyle w:val="CharDivText"/>
          <w:rFonts w:ascii="Helvetica" w:hAnsi="Helvetica" w:cs="Helvetica"/>
          <w:iCs/>
          <w:szCs w:val="28"/>
        </w:rPr>
        <w:t>Identity cards</w:t>
      </w:r>
      <w:bookmarkEnd w:id="563"/>
    </w:p>
    <w:p w14:paraId="46947216" w14:textId="77777777" w:rsidR="00DB6E47" w:rsidRPr="007E1F9A" w:rsidRDefault="00DB6E47" w:rsidP="00DB6E47">
      <w:pPr>
        <w:pStyle w:val="AH5Sec"/>
      </w:pPr>
      <w:bookmarkStart w:id="564" w:name="_Toc83625908"/>
      <w:r w:rsidRPr="005E03F7">
        <w:rPr>
          <w:rStyle w:val="CharSectNo"/>
        </w:rPr>
        <w:t>485</w:t>
      </w:r>
      <w:r w:rsidRPr="007E1F9A">
        <w:tab/>
      </w:r>
      <w:r w:rsidRPr="007E1F9A">
        <w:rPr>
          <w:rFonts w:ascii="Helvetica" w:hAnsi="Helvetica" w:cs="Helvetica"/>
          <w:iCs/>
        </w:rPr>
        <w:t>Application of Div 3</w:t>
      </w:r>
      <w:bookmarkEnd w:id="564"/>
    </w:p>
    <w:p w14:paraId="47E989D6" w14:textId="77777777" w:rsidR="00DB6E47" w:rsidRPr="00C62D32" w:rsidRDefault="00DB6E47" w:rsidP="00DB6E47">
      <w:pPr>
        <w:pStyle w:val="Amainreturn"/>
      </w:pPr>
      <w:r w:rsidRPr="00C62D32">
        <w:t>This Division does not apply to an authorised officer who is a police officer.</w:t>
      </w:r>
    </w:p>
    <w:p w14:paraId="6559BA65" w14:textId="77777777" w:rsidR="00DB6E47" w:rsidRPr="007E1F9A" w:rsidRDefault="00DB6E47" w:rsidP="00DB6E47">
      <w:pPr>
        <w:pStyle w:val="AH5Sec"/>
      </w:pPr>
      <w:bookmarkStart w:id="565" w:name="_Toc83625909"/>
      <w:r w:rsidRPr="005E03F7">
        <w:rPr>
          <w:rStyle w:val="CharSectNo"/>
        </w:rPr>
        <w:t>486</w:t>
      </w:r>
      <w:r w:rsidRPr="007E1F9A">
        <w:tab/>
      </w:r>
      <w:r w:rsidRPr="007E1F9A">
        <w:rPr>
          <w:rFonts w:ascii="Helvetica" w:hAnsi="Helvetica" w:cs="Helvetica"/>
          <w:iCs/>
        </w:rPr>
        <w:t>Issue of identity card</w:t>
      </w:r>
      <w:bookmarkEnd w:id="565"/>
    </w:p>
    <w:p w14:paraId="3E50A4DC" w14:textId="77777777" w:rsidR="00DB6E47" w:rsidRPr="00C62D32" w:rsidRDefault="00DB6E47" w:rsidP="00DB6E47">
      <w:pPr>
        <w:pStyle w:val="Amain"/>
      </w:pPr>
      <w:r w:rsidRPr="00C62D32">
        <w:tab/>
        <w:t>(1)</w:t>
      </w:r>
      <w:r w:rsidRPr="00C62D32">
        <w:tab/>
        <w:t>The Regulator must issue an identity card to each authorised officer.</w:t>
      </w:r>
    </w:p>
    <w:p w14:paraId="36D1628A" w14:textId="77777777" w:rsidR="00DB6E47" w:rsidRPr="00C62D32" w:rsidRDefault="00DB6E47" w:rsidP="00DB6E47">
      <w:pPr>
        <w:pStyle w:val="Amain"/>
      </w:pPr>
      <w:r w:rsidRPr="00C62D32">
        <w:tab/>
        <w:t>(2)</w:t>
      </w:r>
      <w:r w:rsidRPr="00C62D32">
        <w:tab/>
        <w:t>The identity card must—</w:t>
      </w:r>
    </w:p>
    <w:p w14:paraId="19BE2113" w14:textId="77777777" w:rsidR="00DB6E47" w:rsidRPr="00544ED5" w:rsidRDefault="00DB6E47" w:rsidP="00DB6E47">
      <w:pPr>
        <w:pStyle w:val="Apara"/>
      </w:pPr>
      <w:r w:rsidRPr="00544ED5">
        <w:tab/>
        <w:t>(a)</w:t>
      </w:r>
      <w:r w:rsidRPr="00544ED5">
        <w:tab/>
        <w:t>contain a recent photo of the authorised officer; and</w:t>
      </w:r>
    </w:p>
    <w:p w14:paraId="2E07A0AF" w14:textId="77777777" w:rsidR="00DB6E47" w:rsidRPr="00544ED5" w:rsidRDefault="00DB6E47" w:rsidP="00DB6E47">
      <w:pPr>
        <w:pStyle w:val="Apara"/>
      </w:pPr>
      <w:r w:rsidRPr="00544ED5">
        <w:tab/>
        <w:t>(b)</w:t>
      </w:r>
      <w:r w:rsidRPr="00544ED5">
        <w:tab/>
        <w:t>contain a copy of the authorised officer’s signature; and</w:t>
      </w:r>
    </w:p>
    <w:p w14:paraId="75AC17B0" w14:textId="77777777" w:rsidR="00DB6E47" w:rsidRPr="00544ED5" w:rsidRDefault="00DB6E47" w:rsidP="00DB6E47">
      <w:pPr>
        <w:pStyle w:val="Apara"/>
      </w:pPr>
      <w:r w:rsidRPr="00544ED5">
        <w:tab/>
        <w:t>(c)</w:t>
      </w:r>
      <w:r w:rsidRPr="00544ED5">
        <w:tab/>
        <w:t>identify the person as an authorised officer for the purposes of this Law; and</w:t>
      </w:r>
    </w:p>
    <w:p w14:paraId="6615AB07" w14:textId="77777777" w:rsidR="00DB6E47" w:rsidRPr="00544ED5" w:rsidRDefault="00DB6E47" w:rsidP="00DB6E47">
      <w:pPr>
        <w:pStyle w:val="Apara"/>
      </w:pPr>
      <w:r w:rsidRPr="00544ED5">
        <w:tab/>
        <w:t>(d)</w:t>
      </w:r>
      <w:r w:rsidRPr="00544ED5">
        <w:tab/>
        <w:t>state the identification number allocated to the authorised officer; and</w:t>
      </w:r>
    </w:p>
    <w:p w14:paraId="684F218E" w14:textId="77777777" w:rsidR="00DB6E47" w:rsidRPr="00544ED5" w:rsidRDefault="00DB6E47" w:rsidP="00DB6E47">
      <w:pPr>
        <w:pStyle w:val="Apara"/>
      </w:pPr>
      <w:r w:rsidRPr="00544ED5">
        <w:tab/>
        <w:t>(e)</w:t>
      </w:r>
      <w:r w:rsidRPr="00544ED5">
        <w:tab/>
        <w:t>state an expiry date for the card.</w:t>
      </w:r>
    </w:p>
    <w:p w14:paraId="3EC721A6" w14:textId="77777777" w:rsidR="00DB6E47" w:rsidRPr="00C62D32" w:rsidRDefault="00DB6E47" w:rsidP="00DB6E47">
      <w:pPr>
        <w:pStyle w:val="Amain"/>
      </w:pPr>
      <w:r w:rsidRPr="00C62D32">
        <w:lastRenderedPageBreak/>
        <w:tab/>
        <w:t>(3)</w:t>
      </w:r>
      <w:r w:rsidRPr="00C62D32">
        <w:tab/>
        <w:t>This section does not prevent the issue of a single identity card to a person for the purposes of this Law and other purposes.</w:t>
      </w:r>
    </w:p>
    <w:p w14:paraId="7862A7B5" w14:textId="77777777" w:rsidR="00DB6E47" w:rsidRPr="007E1F9A" w:rsidRDefault="00DB6E47" w:rsidP="00DB6E47">
      <w:pPr>
        <w:pStyle w:val="AH5Sec"/>
      </w:pPr>
      <w:bookmarkStart w:id="566" w:name="_Toc83625910"/>
      <w:r w:rsidRPr="005E03F7">
        <w:rPr>
          <w:rStyle w:val="CharSectNo"/>
        </w:rPr>
        <w:t>487</w:t>
      </w:r>
      <w:r w:rsidRPr="007E1F9A">
        <w:tab/>
      </w:r>
      <w:r w:rsidRPr="007E1F9A">
        <w:rPr>
          <w:rFonts w:ascii="Helvetica" w:hAnsi="Helvetica" w:cs="Helvetica"/>
          <w:iCs/>
        </w:rPr>
        <w:t>Production or display of identity card</w:t>
      </w:r>
      <w:bookmarkEnd w:id="566"/>
    </w:p>
    <w:p w14:paraId="7BC8B2C0" w14:textId="77777777" w:rsidR="00DB6E47" w:rsidRPr="00C62D32" w:rsidRDefault="00DB6E47" w:rsidP="003C6640">
      <w:pPr>
        <w:pStyle w:val="Amain"/>
        <w:keepNext/>
      </w:pPr>
      <w:r w:rsidRPr="00C62D32">
        <w:tab/>
        <w:t>(1)</w:t>
      </w:r>
      <w:r w:rsidRPr="00C62D32">
        <w:tab/>
        <w:t>In exercising a power in relation to a person in the person’s presence, an authorised officer must—</w:t>
      </w:r>
    </w:p>
    <w:p w14:paraId="5D7E7472" w14:textId="77777777" w:rsidR="00DB6E47" w:rsidRPr="00544ED5" w:rsidRDefault="00DB6E47" w:rsidP="00DB6E47">
      <w:pPr>
        <w:pStyle w:val="Apara"/>
      </w:pPr>
      <w:r w:rsidRPr="00544ED5">
        <w:tab/>
        <w:t>(a)</w:t>
      </w:r>
      <w:r w:rsidRPr="00544ED5">
        <w:tab/>
        <w:t>produce the officer’s identity card for the person’s inspection before exercising the power; or</w:t>
      </w:r>
    </w:p>
    <w:p w14:paraId="57462DA0" w14:textId="77777777" w:rsidR="00DB6E47" w:rsidRPr="00544ED5" w:rsidRDefault="00DB6E47" w:rsidP="00DB6E47">
      <w:pPr>
        <w:pStyle w:val="Apara"/>
      </w:pPr>
      <w:r w:rsidRPr="00544ED5">
        <w:tab/>
        <w:t>(b)</w:t>
      </w:r>
      <w:r w:rsidRPr="00544ED5">
        <w:tab/>
        <w:t>have the identity card displayed so it is clearly visible to the person when exercising the power.</w:t>
      </w:r>
    </w:p>
    <w:p w14:paraId="3A5148C3" w14:textId="77777777" w:rsidR="00DB6E47" w:rsidRPr="00C62D32" w:rsidRDefault="00DB6E47" w:rsidP="00DB6E47">
      <w:pPr>
        <w:pStyle w:val="Amain"/>
      </w:pPr>
      <w:r w:rsidRPr="00C62D32">
        <w:tab/>
        <w:t>(2)</w:t>
      </w:r>
      <w:r w:rsidRPr="00C62D32">
        <w:tab/>
        <w:t>However, if it is not practicable to comply with subsection (1), the authorised officer must produce the identity card for the person’s inspection at the first reasonable opportunity.</w:t>
      </w:r>
    </w:p>
    <w:p w14:paraId="5B61416C" w14:textId="77777777" w:rsidR="00DB6E47" w:rsidRPr="00C62D32" w:rsidRDefault="00DB6E47" w:rsidP="00DB6E47">
      <w:pPr>
        <w:pStyle w:val="Amain"/>
      </w:pPr>
      <w:r w:rsidRPr="00C62D32">
        <w:tab/>
        <w:t>(3)</w:t>
      </w:r>
      <w:r w:rsidRPr="00C62D32">
        <w:tab/>
        <w:t>For the purposes of subsection (1), an authorised officer does not exercise a power in relation to a person only because the officer has entered a place</w:t>
      </w:r>
      <w:r w:rsidR="00D64D85">
        <w:t xml:space="preserve"> as mentioned in section 495(1)</w:t>
      </w:r>
      <w:r w:rsidRPr="00C62D32">
        <w:t>(b)</w:t>
      </w:r>
      <w:r w:rsidR="00D64D85">
        <w:t xml:space="preserve"> or 497(1)</w:t>
      </w:r>
      <w:r w:rsidRPr="00C62D32">
        <w:t>(b)</w:t>
      </w:r>
      <w:r w:rsidR="00D64D85">
        <w:t xml:space="preserve"> </w:t>
      </w:r>
      <w:r w:rsidRPr="00C62D32">
        <w:t>or (d).</w:t>
      </w:r>
    </w:p>
    <w:p w14:paraId="3D17AB3E" w14:textId="77777777" w:rsidR="00DB6E47" w:rsidRPr="00C96203" w:rsidRDefault="00DB6E47" w:rsidP="00DB6E47">
      <w:pPr>
        <w:pStyle w:val="aNote"/>
      </w:pPr>
      <w:r w:rsidRPr="00FF4454">
        <w:rPr>
          <w:rStyle w:val="charItals"/>
        </w:rPr>
        <w:t>Note</w:t>
      </w:r>
      <w:r w:rsidRPr="00C96203">
        <w:rPr>
          <w:rFonts w:cs="Times"/>
          <w:bCs/>
          <w:iCs/>
        </w:rPr>
        <w:t>—</w:t>
      </w:r>
    </w:p>
    <w:p w14:paraId="50114FA6" w14:textId="77777777" w:rsidR="00DB6E47" w:rsidRPr="00C96203" w:rsidRDefault="00DB6E47" w:rsidP="00DB6E47">
      <w:pPr>
        <w:pStyle w:val="aNoteTextss"/>
      </w:pPr>
      <w:r w:rsidRPr="00C96203">
        <w:t>Sections 505 and 510 include provisions requiring the production of identification by an authorised officer in circumstanc</w:t>
      </w:r>
      <w:r w:rsidR="00D64D85">
        <w:t>es mentioned in those sections.</w:t>
      </w:r>
    </w:p>
    <w:p w14:paraId="4329833F" w14:textId="77777777" w:rsidR="00DB6E47" w:rsidRPr="007E1F9A" w:rsidRDefault="00DB6E47" w:rsidP="00DB6E47">
      <w:pPr>
        <w:pStyle w:val="AH5Sec"/>
      </w:pPr>
      <w:bookmarkStart w:id="567" w:name="_Toc83625911"/>
      <w:r w:rsidRPr="005E03F7">
        <w:rPr>
          <w:rStyle w:val="CharSectNo"/>
        </w:rPr>
        <w:t>488</w:t>
      </w:r>
      <w:r w:rsidRPr="007E1F9A">
        <w:tab/>
      </w:r>
      <w:r w:rsidRPr="007E1F9A">
        <w:rPr>
          <w:rFonts w:ascii="Helvetica" w:hAnsi="Helvetica" w:cs="Helvetica"/>
          <w:iCs/>
        </w:rPr>
        <w:t>Return of identity card</w:t>
      </w:r>
      <w:bookmarkEnd w:id="567"/>
    </w:p>
    <w:p w14:paraId="2A9CEFF7" w14:textId="77777777" w:rsidR="00DB6E47" w:rsidRPr="006C3305" w:rsidRDefault="00DB6E47" w:rsidP="00DB6E47">
      <w:pPr>
        <w:pStyle w:val="Amainreturn"/>
      </w:pPr>
      <w:r w:rsidRPr="006C3305">
        <w:t>If the office of a person as an authorised officer ends, the person must return the person’s identity card to the Regulator within 21</w:t>
      </w:r>
      <w:r w:rsidR="008B4E35">
        <w:t> </w:t>
      </w:r>
      <w:r w:rsidRPr="006C3305">
        <w:t>days after the office ends unless the person has a reasonable excuse.</w:t>
      </w:r>
    </w:p>
    <w:p w14:paraId="61AE95AB" w14:textId="77777777" w:rsidR="00DB6E47" w:rsidRPr="006C3305" w:rsidRDefault="00BD08BE" w:rsidP="00DB6E47">
      <w:pPr>
        <w:pStyle w:val="Penalty"/>
      </w:pPr>
      <w:r>
        <w:rPr>
          <w:rFonts w:cs="Times"/>
          <w:bCs/>
          <w:iCs/>
        </w:rPr>
        <w:t>Maximum penalty—$4</w:t>
      </w:r>
      <w:r w:rsidR="00DB6E47" w:rsidRPr="00D91CC2">
        <w:rPr>
          <w:rFonts w:cs="Times"/>
          <w:bCs/>
          <w:iCs/>
        </w:rPr>
        <w:t>000.</w:t>
      </w:r>
    </w:p>
    <w:p w14:paraId="01B0B125" w14:textId="77777777" w:rsidR="009556BA" w:rsidRPr="009556BA" w:rsidRDefault="009556BA" w:rsidP="009556BA">
      <w:pPr>
        <w:pStyle w:val="PageBreak"/>
      </w:pPr>
      <w:r w:rsidRPr="009556BA">
        <w:br w:type="page"/>
      </w:r>
    </w:p>
    <w:p w14:paraId="72887AC1" w14:textId="77777777" w:rsidR="00DB6E47" w:rsidRPr="005E03F7" w:rsidRDefault="00DB6E47" w:rsidP="00DB6E47">
      <w:pPr>
        <w:pStyle w:val="AH3Div"/>
      </w:pPr>
      <w:bookmarkStart w:id="568" w:name="_Toc83625912"/>
      <w:r w:rsidRPr="005E03F7">
        <w:rPr>
          <w:rStyle w:val="CharDivNo"/>
        </w:rPr>
        <w:lastRenderedPageBreak/>
        <w:t xml:space="preserve">Division 4 </w:t>
      </w:r>
      <w:r w:rsidRPr="00A95F9A">
        <w:rPr>
          <w:rFonts w:ascii="Helvetica" w:hAnsi="Helvetica" w:cs="Helvetica"/>
          <w:iCs/>
          <w:szCs w:val="28"/>
        </w:rPr>
        <w:tab/>
      </w:r>
      <w:r w:rsidRPr="005E03F7">
        <w:rPr>
          <w:rStyle w:val="CharDivText"/>
          <w:rFonts w:ascii="Helvetica" w:hAnsi="Helvetica" w:cs="Helvetica"/>
          <w:iCs/>
          <w:szCs w:val="28"/>
        </w:rPr>
        <w:t>Miscellaneous provisions</w:t>
      </w:r>
      <w:bookmarkEnd w:id="568"/>
    </w:p>
    <w:p w14:paraId="78DA45A8" w14:textId="77777777" w:rsidR="00DB6E47" w:rsidRPr="007E1F9A" w:rsidRDefault="00DB6E47" w:rsidP="00DB6E47">
      <w:pPr>
        <w:pStyle w:val="AH5Sec"/>
      </w:pPr>
      <w:bookmarkStart w:id="569" w:name="_Toc83625913"/>
      <w:r w:rsidRPr="005E03F7">
        <w:rPr>
          <w:rStyle w:val="CharSectNo"/>
        </w:rPr>
        <w:t>489</w:t>
      </w:r>
      <w:r w:rsidRPr="007E1F9A">
        <w:tab/>
      </w:r>
      <w:r w:rsidRPr="007E1F9A">
        <w:rPr>
          <w:rFonts w:ascii="Helvetica" w:hAnsi="Helvetica" w:cs="Helvetica"/>
          <w:iCs/>
        </w:rPr>
        <w:t>References to exercise of powers</w:t>
      </w:r>
      <w:bookmarkEnd w:id="569"/>
    </w:p>
    <w:p w14:paraId="68AF456D" w14:textId="77777777" w:rsidR="00DB6E47" w:rsidRPr="00C62D32" w:rsidRDefault="00DB6E47" w:rsidP="003C6640">
      <w:pPr>
        <w:pStyle w:val="Amainreturn"/>
        <w:keepNext/>
      </w:pPr>
      <w:r w:rsidRPr="00C62D32">
        <w:t>If—</w:t>
      </w:r>
    </w:p>
    <w:p w14:paraId="27074921" w14:textId="77777777" w:rsidR="00DB6E47" w:rsidRPr="00544ED5" w:rsidRDefault="00DB6E47" w:rsidP="00DB6E47">
      <w:pPr>
        <w:pStyle w:val="Apara"/>
      </w:pPr>
      <w:r w:rsidRPr="00544ED5">
        <w:tab/>
        <w:t>(a)</w:t>
      </w:r>
      <w:r w:rsidRPr="00544ED5">
        <w:tab/>
        <w:t>a provision of this Chapter refers to the exercise of a power by an authorised officer; and</w:t>
      </w:r>
    </w:p>
    <w:p w14:paraId="5D8D4B5B" w14:textId="77777777" w:rsidR="00DB6E47" w:rsidRPr="00544ED5" w:rsidRDefault="00DB6E47" w:rsidP="00DB6E47">
      <w:pPr>
        <w:pStyle w:val="Apara"/>
      </w:pPr>
      <w:r w:rsidRPr="00544ED5">
        <w:tab/>
        <w:t>(b)</w:t>
      </w:r>
      <w:r w:rsidRPr="00544ED5">
        <w:tab/>
        <w:t>there is no reference to a specific power;</w:t>
      </w:r>
    </w:p>
    <w:p w14:paraId="1090D022" w14:textId="77777777" w:rsidR="00DB6E47" w:rsidRPr="00C62D32" w:rsidRDefault="00DB6E47" w:rsidP="00DB6E47">
      <w:pPr>
        <w:pStyle w:val="Amainreturn"/>
      </w:pPr>
      <w:r w:rsidRPr="00C62D32">
        <w:t>the reference is to the exercise of all or any authorised officers’ powers under this Chapter or a warrant, to the extent the powers are relevant.</w:t>
      </w:r>
    </w:p>
    <w:p w14:paraId="1E8D5550" w14:textId="77777777" w:rsidR="00DB6E47" w:rsidRPr="007E1F9A" w:rsidRDefault="00DB6E47" w:rsidP="00DB6E47">
      <w:pPr>
        <w:pStyle w:val="AH5Sec"/>
      </w:pPr>
      <w:bookmarkStart w:id="570" w:name="_Toc83625914"/>
      <w:r w:rsidRPr="005E03F7">
        <w:rPr>
          <w:rStyle w:val="CharSectNo"/>
        </w:rPr>
        <w:t>490</w:t>
      </w:r>
      <w:r w:rsidRPr="007E1F9A">
        <w:tab/>
      </w:r>
      <w:r w:rsidRPr="007E1F9A">
        <w:rPr>
          <w:rFonts w:ascii="Helvetica" w:hAnsi="Helvetica" w:cs="Helvetica"/>
          <w:iCs/>
        </w:rPr>
        <w:t>Reference to document includes reference to reproduction from electronic document</w:t>
      </w:r>
      <w:bookmarkEnd w:id="570"/>
    </w:p>
    <w:p w14:paraId="2F0E90F1" w14:textId="77777777" w:rsidR="00DB6E47" w:rsidRPr="00C62D32" w:rsidRDefault="00DB6E47" w:rsidP="00DB6E47">
      <w:pPr>
        <w:pStyle w:val="Amainreturn"/>
      </w:pPr>
      <w:r w:rsidRPr="00C62D32">
        <w:t>A reference in this Chapter to a document includes a reference to an image or writing—</w:t>
      </w:r>
    </w:p>
    <w:p w14:paraId="5CDB2DD6" w14:textId="77777777" w:rsidR="00DB6E47" w:rsidRPr="00544ED5" w:rsidRDefault="00DB6E47" w:rsidP="00DB6E47">
      <w:pPr>
        <w:pStyle w:val="Apara"/>
      </w:pPr>
      <w:r w:rsidRPr="00544ED5">
        <w:tab/>
        <w:t>(a)</w:t>
      </w:r>
      <w:r w:rsidRPr="00544ED5">
        <w:tab/>
        <w:t>produced from an electronic document; or</w:t>
      </w:r>
    </w:p>
    <w:p w14:paraId="5F7A6519" w14:textId="77777777" w:rsidR="00DB6E47" w:rsidRPr="00544ED5" w:rsidRDefault="00DB6E47" w:rsidP="00DB6E47">
      <w:pPr>
        <w:pStyle w:val="Apara"/>
      </w:pPr>
      <w:r w:rsidRPr="00544ED5">
        <w:tab/>
        <w:t>(b)</w:t>
      </w:r>
      <w:r w:rsidRPr="00544ED5">
        <w:tab/>
        <w:t>not yet produced, but reasonably capable of being produced from an electronic document, with or without the aid of another article or device.</w:t>
      </w:r>
    </w:p>
    <w:p w14:paraId="758561AC" w14:textId="77777777" w:rsidR="00CF1A2A" w:rsidRPr="00CF1A2A" w:rsidRDefault="00CF1A2A" w:rsidP="00CF1A2A">
      <w:pPr>
        <w:pStyle w:val="aNote"/>
        <w:rPr>
          <w:lang w:val="en" w:eastAsia="en-AU"/>
        </w:rPr>
      </w:pPr>
      <w:r w:rsidRPr="00CF1A2A">
        <w:rPr>
          <w:rStyle w:val="charItals"/>
        </w:rPr>
        <w:t>Note</w:t>
      </w:r>
      <w:r w:rsidRPr="00CF1A2A">
        <w:rPr>
          <w:lang w:val="en" w:eastAsia="en-AU"/>
        </w:rPr>
        <w:t>—</w:t>
      </w:r>
    </w:p>
    <w:p w14:paraId="1900EB6A" w14:textId="77777777" w:rsidR="00CF1A2A" w:rsidRPr="00CF1A2A" w:rsidRDefault="00CF1A2A" w:rsidP="00CF1A2A">
      <w:pPr>
        <w:pStyle w:val="aNoteTextss"/>
        <w:rPr>
          <w:lang w:val="en" w:eastAsia="en-AU"/>
        </w:rPr>
      </w:pPr>
      <w:r w:rsidRPr="00CF1A2A">
        <w:rPr>
          <w:lang w:val="en" w:eastAsia="en-AU"/>
        </w:rPr>
        <w:t xml:space="preserve">See the definition </w:t>
      </w:r>
      <w:r w:rsidRPr="00CF1A2A">
        <w:rPr>
          <w:i/>
          <w:iCs/>
          <w:lang w:val="en" w:eastAsia="en-AU"/>
        </w:rPr>
        <w:t>document</w:t>
      </w:r>
      <w:r w:rsidRPr="00CF1A2A">
        <w:rPr>
          <w:lang w:val="en" w:eastAsia="en-AU"/>
        </w:rPr>
        <w:t xml:space="preserve"> in section 12 of Schedule 1.</w:t>
      </w:r>
    </w:p>
    <w:p w14:paraId="5353F296" w14:textId="77777777" w:rsidR="00DB6E47" w:rsidRPr="007E1F9A" w:rsidRDefault="00DB6E47" w:rsidP="00DB6E47">
      <w:pPr>
        <w:pStyle w:val="AH5Sec"/>
      </w:pPr>
      <w:bookmarkStart w:id="571" w:name="_Toc83625915"/>
      <w:r w:rsidRPr="005E03F7">
        <w:rPr>
          <w:rStyle w:val="CharSectNo"/>
        </w:rPr>
        <w:t>491</w:t>
      </w:r>
      <w:r w:rsidRPr="007E1F9A">
        <w:tab/>
      </w:r>
      <w:r w:rsidRPr="007E1F9A">
        <w:rPr>
          <w:rFonts w:ascii="Helvetica" w:hAnsi="Helvetica" w:cs="Helvetica"/>
          <w:iCs/>
        </w:rPr>
        <w:t>Use of force against persons</w:t>
      </w:r>
      <w:bookmarkEnd w:id="571"/>
    </w:p>
    <w:p w14:paraId="568E3D5B" w14:textId="77777777" w:rsidR="00DB6E47" w:rsidRPr="00C62D32" w:rsidRDefault="00DB6E47" w:rsidP="00DB6E47">
      <w:pPr>
        <w:pStyle w:val="Amain"/>
      </w:pPr>
      <w:r w:rsidRPr="00C62D32">
        <w:tab/>
        <w:t>(1)</w:t>
      </w:r>
      <w:r w:rsidRPr="00C62D32">
        <w:tab/>
        <w:t>This Chapter does not authorise—</w:t>
      </w:r>
    </w:p>
    <w:p w14:paraId="29D4B63C" w14:textId="77777777" w:rsidR="00DB6E47" w:rsidRPr="00544ED5" w:rsidRDefault="00DB6E47" w:rsidP="00DB6E47">
      <w:pPr>
        <w:pStyle w:val="Apara"/>
      </w:pPr>
      <w:r w:rsidRPr="00544ED5">
        <w:tab/>
        <w:t>(a)</w:t>
      </w:r>
      <w:r w:rsidRPr="00544ED5">
        <w:tab/>
        <w:t>an authorised officer (or a person assisting or otherwise acting under the direction or authority of an authorised officer) to use force against a person in the exercise or purported exercise of a function under this Chapter; or</w:t>
      </w:r>
    </w:p>
    <w:p w14:paraId="605FDE08" w14:textId="77777777" w:rsidR="00DB6E47" w:rsidRPr="00544ED5" w:rsidRDefault="00DB6E47" w:rsidP="00DB6E47">
      <w:pPr>
        <w:pStyle w:val="Apara"/>
      </w:pPr>
      <w:r w:rsidRPr="00544ED5">
        <w:tab/>
      </w:r>
      <w:r w:rsidR="00D64D85">
        <w:t>(b)</w:t>
      </w:r>
      <w:r w:rsidR="00D64D85">
        <w:tab/>
        <w:t xml:space="preserve">without limiting paragraph </w:t>
      </w:r>
      <w:r w:rsidRPr="00544ED5">
        <w:t xml:space="preserve">(a), a warrant to be issued under this Chapter authorising a person to use force against a person. </w:t>
      </w:r>
    </w:p>
    <w:p w14:paraId="58D5C8A0" w14:textId="77777777" w:rsidR="00DB6E47" w:rsidRPr="00C62D32" w:rsidRDefault="00D64D85" w:rsidP="00DB6E47">
      <w:pPr>
        <w:pStyle w:val="Amain"/>
      </w:pPr>
      <w:r>
        <w:lastRenderedPageBreak/>
        <w:tab/>
        <w:t>(2)</w:t>
      </w:r>
      <w:r>
        <w:tab/>
        <w:t xml:space="preserve">However, subsection </w:t>
      </w:r>
      <w:r w:rsidR="00DB6E47" w:rsidRPr="00C62D32">
        <w:t>(1)</w:t>
      </w:r>
      <w:r>
        <w:t xml:space="preserve"> </w:t>
      </w:r>
      <w:r w:rsidR="00DB6E47" w:rsidRPr="00C62D32">
        <w:t>does not affect the powers of a police officer to the extent (if any) the police officer is authorised to use force against a person under the Application Act of this jurisdiction.</w:t>
      </w:r>
    </w:p>
    <w:p w14:paraId="1C7E754C" w14:textId="77777777" w:rsidR="00DB6E47" w:rsidRPr="00C62D32" w:rsidRDefault="00DB6E47" w:rsidP="00DB6E47">
      <w:pPr>
        <w:pStyle w:val="Amain"/>
      </w:pPr>
      <w:r w:rsidRPr="00C62D32">
        <w:tab/>
        <w:t>(3)</w:t>
      </w:r>
      <w:r w:rsidRPr="00C62D32">
        <w:tab/>
        <w:t>This section has effect despite any other provision of this Chapter in relation to the use of force against a person, even if the other provision is expressed as authorising the use of force for the purposes of the provision.</w:t>
      </w:r>
    </w:p>
    <w:p w14:paraId="3A66AFEA" w14:textId="77777777" w:rsidR="00DB6E47" w:rsidRPr="007E1F9A" w:rsidRDefault="00DB6E47" w:rsidP="00DB6E47">
      <w:pPr>
        <w:pStyle w:val="AH5Sec"/>
      </w:pPr>
      <w:bookmarkStart w:id="572" w:name="_Toc83625916"/>
      <w:r w:rsidRPr="005E03F7">
        <w:rPr>
          <w:rStyle w:val="CharSectNo"/>
        </w:rPr>
        <w:t>492</w:t>
      </w:r>
      <w:r w:rsidRPr="007E1F9A">
        <w:tab/>
      </w:r>
      <w:r w:rsidRPr="007E1F9A">
        <w:rPr>
          <w:rFonts w:ascii="Helvetica" w:hAnsi="Helvetica" w:cs="Helvetica"/>
          <w:iCs/>
        </w:rPr>
        <w:t>Use of force against property</w:t>
      </w:r>
      <w:bookmarkEnd w:id="572"/>
    </w:p>
    <w:p w14:paraId="10776C8B" w14:textId="77777777" w:rsidR="00DB6E47" w:rsidRPr="00C62D32" w:rsidRDefault="00DB6E47" w:rsidP="00DB6E47">
      <w:pPr>
        <w:pStyle w:val="Amain"/>
      </w:pPr>
      <w:r w:rsidRPr="00C62D32">
        <w:tab/>
        <w:t>(1)</w:t>
      </w:r>
      <w:r w:rsidRPr="00C62D32">
        <w:tab/>
        <w:t>A power to use force against property under another section of this Chapter in the exercise or purported exercise of a function in relation to this jurisdiction cannot be exercised by an authorised officer (or a person assisting or otherwise acting under the direction or authority of the authorised officer) unless—</w:t>
      </w:r>
    </w:p>
    <w:p w14:paraId="508BBD61" w14:textId="77777777" w:rsidR="00DB6E47" w:rsidRPr="00544ED5" w:rsidRDefault="00DB6E47" w:rsidP="00DB6E47">
      <w:pPr>
        <w:pStyle w:val="Apara"/>
      </w:pPr>
      <w:r w:rsidRPr="00544ED5">
        <w:tab/>
        <w:t>(a)</w:t>
      </w:r>
      <w:r w:rsidRPr="00544ED5">
        <w:tab/>
        <w:t>the authorised officer is a police officer; or</w:t>
      </w:r>
    </w:p>
    <w:p w14:paraId="1BED0483" w14:textId="77777777" w:rsidR="00DB6E47" w:rsidRPr="00544ED5" w:rsidRDefault="00DB6E47" w:rsidP="00DB6E47">
      <w:pPr>
        <w:pStyle w:val="Apara"/>
      </w:pPr>
      <w:r w:rsidRPr="00544ED5">
        <w:tab/>
        <w:t>(b)</w:t>
      </w:r>
      <w:r w:rsidRPr="00544ED5">
        <w:tab/>
        <w:t>the exercise of the power to use force is authorised under the Application Act of this jurisdiction.</w:t>
      </w:r>
    </w:p>
    <w:p w14:paraId="6ED2D9FF" w14:textId="77777777" w:rsidR="00DB6E47" w:rsidRPr="00C62D32" w:rsidRDefault="00DB6E47" w:rsidP="00DB6E47">
      <w:pPr>
        <w:pStyle w:val="Amain"/>
      </w:pPr>
      <w:r w:rsidRPr="00C62D32">
        <w:tab/>
        <w:t>(2)</w:t>
      </w:r>
      <w:r w:rsidRPr="00C62D32">
        <w:tab/>
        <w:t>Subsection (1)—</w:t>
      </w:r>
    </w:p>
    <w:p w14:paraId="2A02059F" w14:textId="77777777" w:rsidR="00DB6E47" w:rsidRPr="00544ED5" w:rsidRDefault="00DB6E47" w:rsidP="00DB6E47">
      <w:pPr>
        <w:pStyle w:val="Apara"/>
      </w:pPr>
      <w:r w:rsidRPr="00544ED5">
        <w:tab/>
        <w:t>(a)</w:t>
      </w:r>
      <w:r w:rsidRPr="00544ED5">
        <w:tab/>
        <w:t>has effect despite any other section of this Chapter in relation to the use of force against property, even if the other section is expressed as authorising the use of force for the purposes of the section; but</w:t>
      </w:r>
    </w:p>
    <w:p w14:paraId="2A9E7383" w14:textId="77777777" w:rsidR="00DB6E47" w:rsidRPr="00544ED5" w:rsidRDefault="00DB6E47" w:rsidP="00DB6E47">
      <w:pPr>
        <w:pStyle w:val="Apara"/>
      </w:pPr>
      <w:r w:rsidRPr="00544ED5">
        <w:tab/>
        <w:t>(b)</w:t>
      </w:r>
      <w:r w:rsidRPr="00544ED5">
        <w:tab/>
        <w:t>does not affect any prohibition or restriction on a power to use force set out in the other section.</w:t>
      </w:r>
    </w:p>
    <w:p w14:paraId="1BC23EC3" w14:textId="77777777" w:rsidR="00DB6E47" w:rsidRPr="00C62D32" w:rsidRDefault="00D64D85" w:rsidP="00DB6E47">
      <w:pPr>
        <w:pStyle w:val="Amain"/>
      </w:pPr>
      <w:r>
        <w:tab/>
        <w:t>(3)</w:t>
      </w:r>
      <w:r>
        <w:tab/>
        <w:t xml:space="preserve">Subsections </w:t>
      </w:r>
      <w:r w:rsidR="00DB6E47" w:rsidRPr="00C62D32">
        <w:t>(1)</w:t>
      </w:r>
      <w:r>
        <w:t xml:space="preserve"> and </w:t>
      </w:r>
      <w:r w:rsidR="00DB6E47" w:rsidRPr="00C62D32">
        <w:t>(2)</w:t>
      </w:r>
      <w:r>
        <w:t xml:space="preserve"> </w:t>
      </w:r>
      <w:r w:rsidR="00DB6E47" w:rsidRPr="00C62D32">
        <w:t>apply to a power to use force against property whether the power is express or implied.</w:t>
      </w:r>
    </w:p>
    <w:p w14:paraId="05EE6DF9" w14:textId="77777777" w:rsidR="00DB6E47" w:rsidRPr="00C62D32" w:rsidRDefault="00D64D85" w:rsidP="003C6640">
      <w:pPr>
        <w:pStyle w:val="Amain"/>
        <w:keepLines/>
      </w:pPr>
      <w:r>
        <w:lastRenderedPageBreak/>
        <w:tab/>
        <w:t>(4)</w:t>
      </w:r>
      <w:r>
        <w:tab/>
        <w:t xml:space="preserve">Despite subsections </w:t>
      </w:r>
      <w:r w:rsidR="00DB6E47" w:rsidRPr="00C62D32">
        <w:t>(1)</w:t>
      </w:r>
      <w:r>
        <w:t xml:space="preserve"> to </w:t>
      </w:r>
      <w:r w:rsidR="00DB6E47" w:rsidRPr="00C62D32">
        <w:t>(3)</w:t>
      </w:r>
      <w:r>
        <w:t xml:space="preserve"> </w:t>
      </w:r>
      <w:r w:rsidR="00DB6E47" w:rsidRPr="00C62D32">
        <w:t>and any other section of this Chapter, this Chapter does not preclude the inclusion of additional circumstances in the Application Act of this jurisdiction in which an authorised officer, whether or not a police officer, may use force against property in the exercise or purported exercise of a function under this Chapter in relation to this jurisdiction.</w:t>
      </w:r>
    </w:p>
    <w:p w14:paraId="26FDA69A" w14:textId="77777777" w:rsidR="00DB6E47" w:rsidRPr="007E1F9A" w:rsidRDefault="00DB6E47" w:rsidP="00DB6E47">
      <w:pPr>
        <w:pStyle w:val="AH5Sec"/>
      </w:pPr>
      <w:bookmarkStart w:id="573" w:name="_Toc83625917"/>
      <w:r w:rsidRPr="005E03F7">
        <w:rPr>
          <w:rStyle w:val="CharSectNo"/>
        </w:rPr>
        <w:t>493</w:t>
      </w:r>
      <w:r w:rsidRPr="007E1F9A">
        <w:tab/>
      </w:r>
      <w:r w:rsidRPr="007E1F9A">
        <w:rPr>
          <w:rFonts w:ascii="Helvetica" w:hAnsi="Helvetica" w:cs="Helvetica"/>
          <w:iCs/>
        </w:rPr>
        <w:t>Exercise of functions in relation to light vehicles</w:t>
      </w:r>
      <w:bookmarkEnd w:id="573"/>
    </w:p>
    <w:p w14:paraId="6BED1DD0" w14:textId="77777777" w:rsidR="00DB6E47" w:rsidRPr="00C62D32" w:rsidRDefault="00DB6E47" w:rsidP="00DB6E47">
      <w:pPr>
        <w:pStyle w:val="Amain"/>
      </w:pPr>
      <w:r w:rsidRPr="00C62D32">
        <w:tab/>
        <w:t>(1)</w:t>
      </w:r>
      <w:r w:rsidRPr="00C62D32">
        <w:tab/>
        <w:t>This Chapter does not authorise the exercise of any function under this Chapter in relation to a vehicle that is not a heavy vehicle.</w:t>
      </w:r>
    </w:p>
    <w:p w14:paraId="029D936D" w14:textId="77777777" w:rsidR="00DB6E47" w:rsidRPr="00C62D32" w:rsidRDefault="00DB6E47" w:rsidP="00DB6E47">
      <w:pPr>
        <w:pStyle w:val="Amain"/>
      </w:pPr>
      <w:r w:rsidRPr="00C62D32">
        <w:tab/>
        <w:t>(2)</w:t>
      </w:r>
      <w:r w:rsidRPr="00C62D32">
        <w:tab/>
        <w:t>However, a function under this Chapter may be exercised in relation to—</w:t>
      </w:r>
    </w:p>
    <w:p w14:paraId="722D6E92" w14:textId="77777777" w:rsidR="00DB6E47" w:rsidRPr="00544ED5" w:rsidRDefault="00DB6E47" w:rsidP="00DB6E47">
      <w:pPr>
        <w:pStyle w:val="Apara"/>
      </w:pPr>
      <w:r w:rsidRPr="00544ED5">
        <w:tab/>
        <w:t>(a)</w:t>
      </w:r>
      <w:r w:rsidRPr="00544ED5">
        <w:tab/>
        <w:t>a pilot vehicle or escort vehicle; or</w:t>
      </w:r>
    </w:p>
    <w:p w14:paraId="53F7DD2A" w14:textId="77777777" w:rsidR="00DB6E47" w:rsidRPr="00544ED5" w:rsidRDefault="00DB6E47" w:rsidP="00DB6E47">
      <w:pPr>
        <w:pStyle w:val="Apara"/>
      </w:pPr>
      <w:r w:rsidRPr="00544ED5">
        <w:tab/>
        <w:t>(b)</w:t>
      </w:r>
      <w:r w:rsidRPr="00544ED5">
        <w:tab/>
        <w:t>a vehicle to the extent (if any) that it is reasonably necessary for the purpose of determining if the vehicle is or is not a heavy vehicle.</w:t>
      </w:r>
    </w:p>
    <w:p w14:paraId="66EC640E" w14:textId="77777777" w:rsidR="00DB6E47" w:rsidRPr="003D647F" w:rsidRDefault="00DB6E47" w:rsidP="00DB6E47">
      <w:pPr>
        <w:pStyle w:val="PageBreak"/>
      </w:pPr>
      <w:r w:rsidRPr="003D647F">
        <w:br w:type="page"/>
      </w:r>
    </w:p>
    <w:p w14:paraId="15C75816" w14:textId="77777777" w:rsidR="00DB6E47" w:rsidRPr="005E03F7" w:rsidRDefault="00DB6E47" w:rsidP="00DB6E47">
      <w:pPr>
        <w:pStyle w:val="AH2Part"/>
      </w:pPr>
      <w:bookmarkStart w:id="574" w:name="_Toc83625918"/>
      <w:r w:rsidRPr="005E03F7">
        <w:rPr>
          <w:rStyle w:val="CharPartNo"/>
        </w:rPr>
        <w:lastRenderedPageBreak/>
        <w:t xml:space="preserve">Part 9.2 </w:t>
      </w:r>
      <w:r w:rsidRPr="00A95F9A">
        <w:rPr>
          <w:rFonts w:ascii="Helvetica" w:hAnsi="Helvetica" w:cs="Helvetica"/>
          <w:iCs/>
          <w:szCs w:val="32"/>
        </w:rPr>
        <w:tab/>
      </w:r>
      <w:r w:rsidRPr="005E03F7">
        <w:rPr>
          <w:rStyle w:val="CharPartText"/>
          <w:rFonts w:ascii="Helvetica" w:hAnsi="Helvetica" w:cs="Helvetica"/>
          <w:iCs/>
          <w:szCs w:val="32"/>
        </w:rPr>
        <w:t>Powers in relation to places</w:t>
      </w:r>
      <w:bookmarkEnd w:id="574"/>
    </w:p>
    <w:p w14:paraId="1B8B0628" w14:textId="77777777" w:rsidR="00DB6E47" w:rsidRPr="005E03F7" w:rsidRDefault="00DB6E47" w:rsidP="00DB6E47">
      <w:pPr>
        <w:pStyle w:val="AH3Div"/>
      </w:pPr>
      <w:bookmarkStart w:id="575" w:name="_Toc83625919"/>
      <w:r w:rsidRPr="005E03F7">
        <w:rPr>
          <w:rStyle w:val="CharDivNo"/>
        </w:rPr>
        <w:t xml:space="preserve">Division 1 </w:t>
      </w:r>
      <w:r w:rsidRPr="00A95F9A">
        <w:rPr>
          <w:rFonts w:ascii="Helvetica" w:hAnsi="Helvetica" w:cs="Helvetica"/>
          <w:iCs/>
          <w:szCs w:val="28"/>
        </w:rPr>
        <w:tab/>
      </w:r>
      <w:r w:rsidRPr="005E03F7">
        <w:rPr>
          <w:rStyle w:val="CharDivText"/>
          <w:rFonts w:ascii="Helvetica" w:hAnsi="Helvetica" w:cs="Helvetica"/>
          <w:iCs/>
          <w:szCs w:val="28"/>
        </w:rPr>
        <w:t>Preliminary</w:t>
      </w:r>
      <w:bookmarkEnd w:id="575"/>
    </w:p>
    <w:p w14:paraId="3F77EEEB" w14:textId="77777777" w:rsidR="00DB6E47" w:rsidRPr="007E1F9A" w:rsidRDefault="00DB6E47" w:rsidP="00DB6E47">
      <w:pPr>
        <w:pStyle w:val="AH5Sec"/>
      </w:pPr>
      <w:bookmarkStart w:id="576" w:name="_Toc83625920"/>
      <w:r w:rsidRPr="005E03F7">
        <w:rPr>
          <w:rStyle w:val="CharSectNo"/>
        </w:rPr>
        <w:t>494</w:t>
      </w:r>
      <w:r w:rsidRPr="007E1F9A">
        <w:tab/>
      </w:r>
      <w:r w:rsidRPr="007E1F9A">
        <w:rPr>
          <w:rFonts w:ascii="Helvetica" w:hAnsi="Helvetica" w:cs="Helvetica"/>
          <w:iCs/>
        </w:rPr>
        <w:t>Definitions for Pt 9.2</w:t>
      </w:r>
      <w:bookmarkEnd w:id="576"/>
    </w:p>
    <w:p w14:paraId="771584A9" w14:textId="77777777" w:rsidR="00DB6E47" w:rsidRPr="00C62D32" w:rsidRDefault="00DB6E47" w:rsidP="00DB6E47">
      <w:pPr>
        <w:pStyle w:val="Amain"/>
      </w:pPr>
      <w:r w:rsidRPr="00C62D32">
        <w:tab/>
        <w:t>(1)</w:t>
      </w:r>
      <w:r w:rsidRPr="00C62D32">
        <w:tab/>
        <w:t>In this Part—</w:t>
      </w:r>
    </w:p>
    <w:p w14:paraId="0F8F38B0" w14:textId="77777777" w:rsidR="00DB6E47" w:rsidRPr="00041046" w:rsidRDefault="00DB6E47" w:rsidP="00DB6E47">
      <w:pPr>
        <w:pStyle w:val="aDef"/>
        <w:rPr>
          <w:bCs/>
        </w:rPr>
      </w:pPr>
      <w:r w:rsidRPr="00041046">
        <w:rPr>
          <w:rStyle w:val="charBoldItals"/>
        </w:rPr>
        <w:t>place of business</w:t>
      </w:r>
      <w:r w:rsidRPr="00041046">
        <w:t>, of a responsible person for a heavy vehicle, means a place—</w:t>
      </w:r>
    </w:p>
    <w:p w14:paraId="047E83FE" w14:textId="77777777" w:rsidR="00DB6E47" w:rsidRPr="00544ED5" w:rsidRDefault="00DB6E47" w:rsidP="00DB6E47">
      <w:pPr>
        <w:pStyle w:val="Apara"/>
      </w:pPr>
      <w:r w:rsidRPr="00544ED5">
        <w:tab/>
        <w:t>(a)</w:t>
      </w:r>
      <w:r w:rsidRPr="00544ED5">
        <w:tab/>
        <w:t>at or from which the person carries on a business; or</w:t>
      </w:r>
    </w:p>
    <w:p w14:paraId="049A68C4" w14:textId="77777777" w:rsidR="00DB6E47" w:rsidRPr="00544ED5" w:rsidRDefault="00DB6E47" w:rsidP="00DB6E47">
      <w:pPr>
        <w:pStyle w:val="Apara"/>
      </w:pPr>
      <w:r w:rsidRPr="00544ED5">
        <w:tab/>
        <w:t>(b)</w:t>
      </w:r>
      <w:r w:rsidRPr="00544ED5">
        <w:tab/>
        <w:t>occupied by the person in connection with a business carried on by the person; or</w:t>
      </w:r>
    </w:p>
    <w:p w14:paraId="32B1D13D" w14:textId="77777777" w:rsidR="00DB6E47" w:rsidRPr="00544ED5" w:rsidRDefault="00DB6E47" w:rsidP="00DB6E47">
      <w:pPr>
        <w:pStyle w:val="Apara"/>
      </w:pPr>
      <w:r w:rsidRPr="00544ED5">
        <w:tab/>
        <w:t>(c)</w:t>
      </w:r>
      <w:r w:rsidRPr="00544ED5">
        <w:tab/>
        <w:t xml:space="preserve">that is the registered office of the person if the person is a body corporate. </w:t>
      </w:r>
    </w:p>
    <w:p w14:paraId="6AB4E72D" w14:textId="77777777" w:rsidR="00DB6E47" w:rsidRPr="00041046" w:rsidRDefault="00DB6E47" w:rsidP="00DB6E47">
      <w:pPr>
        <w:pStyle w:val="aDef"/>
        <w:rPr>
          <w:bCs/>
        </w:rPr>
      </w:pPr>
      <w:r w:rsidRPr="00041046">
        <w:rPr>
          <w:rStyle w:val="charBoldItals"/>
        </w:rPr>
        <w:t>relevant place</w:t>
      </w:r>
      <w:r w:rsidR="00ED79CC">
        <w:rPr>
          <w:rStyle w:val="charBoldItals"/>
        </w:rPr>
        <w:t xml:space="preserve"> </w:t>
      </w:r>
      <w:r w:rsidR="00ED79CC" w:rsidRPr="00544ED5">
        <w:t>means</w:t>
      </w:r>
      <w:r w:rsidRPr="00041046">
        <w:t>—</w:t>
      </w:r>
    </w:p>
    <w:p w14:paraId="39159745" w14:textId="77777777" w:rsidR="00DB6E47" w:rsidRPr="00ED79CC" w:rsidRDefault="00DB6E47" w:rsidP="00ED79CC">
      <w:pPr>
        <w:pStyle w:val="Apara"/>
      </w:pPr>
      <w:r w:rsidRPr="00ED79CC">
        <w:tab/>
        <w:t>(a)</w:t>
      </w:r>
      <w:r w:rsidRPr="00ED79CC">
        <w:tab/>
      </w:r>
      <w:r w:rsidR="00ED79CC" w:rsidRPr="00ED79CC">
        <w:t>a place of business of a responsible person for a heavy vehicle; or</w:t>
      </w:r>
    </w:p>
    <w:p w14:paraId="0C58F774" w14:textId="77777777" w:rsidR="00DB6E47" w:rsidRPr="00ED79CC" w:rsidRDefault="00DB6E47" w:rsidP="00DB6E47">
      <w:pPr>
        <w:pStyle w:val="Apara"/>
      </w:pPr>
      <w:r w:rsidRPr="00ED79CC">
        <w:tab/>
        <w:t>(b)</w:t>
      </w:r>
      <w:r w:rsidRPr="00ED79CC">
        <w:tab/>
      </w:r>
      <w:r w:rsidR="00ED79CC" w:rsidRPr="00ED79CC">
        <w:t>the relevant garage address of a heavy vehicle; or</w:t>
      </w:r>
    </w:p>
    <w:p w14:paraId="4C19D842" w14:textId="77777777" w:rsidR="00ED79CC" w:rsidRPr="00ED79CC" w:rsidRDefault="00ED79CC" w:rsidP="00DB6E47">
      <w:pPr>
        <w:pStyle w:val="Apara"/>
      </w:pPr>
      <w:r w:rsidRPr="00ED79CC">
        <w:tab/>
        <w:t>(c)</w:t>
      </w:r>
      <w:r w:rsidRPr="00ED79CC">
        <w:tab/>
        <w:t>the base of the driver or drivers of a heavy vehicle; or</w:t>
      </w:r>
    </w:p>
    <w:p w14:paraId="168A41E2" w14:textId="77777777" w:rsidR="00ED79CC" w:rsidRDefault="00ED79CC" w:rsidP="00DB6E47">
      <w:pPr>
        <w:pStyle w:val="Apara"/>
      </w:pPr>
      <w:r w:rsidRPr="00ED79CC">
        <w:tab/>
        <w:t>(d)</w:t>
      </w:r>
      <w:r w:rsidRPr="00ED79CC">
        <w:tab/>
        <w:t>a place where records required to be kept under this Law or a heavy vehicle accreditation are located or are required to be located under this Law or a heavy vehicle accreditation.</w:t>
      </w:r>
    </w:p>
    <w:p w14:paraId="510E2FC7" w14:textId="77777777" w:rsidR="00ED79CC" w:rsidRPr="00ED79CC" w:rsidRDefault="00ED79CC" w:rsidP="00ED79CC">
      <w:pPr>
        <w:pStyle w:val="aDef"/>
      </w:pPr>
      <w:r w:rsidRPr="00ED79CC">
        <w:rPr>
          <w:rStyle w:val="charBoldItals"/>
        </w:rPr>
        <w:t>residence</w:t>
      </w:r>
      <w:r w:rsidRPr="00ED79CC">
        <w:t>, that is a relevant place, means a place or part of a place mentioned in the definition relevant place used predominantly for residential purposes.</w:t>
      </w:r>
    </w:p>
    <w:p w14:paraId="284BB35F" w14:textId="77777777" w:rsidR="00DB6E47" w:rsidRDefault="00DB6E47" w:rsidP="00C80C84">
      <w:pPr>
        <w:pStyle w:val="Amain"/>
        <w:keepLines/>
      </w:pPr>
      <w:r w:rsidRPr="00C62D32">
        <w:tab/>
        <w:t>(2)</w:t>
      </w:r>
      <w:r w:rsidRPr="00C62D32">
        <w:tab/>
        <w:t>For the purposes of this Part, a place or part of a place is taken not to be used for residential purposes merely because temporary or casual sleeping or other accommodation is provided there for drivers of heavy vehicles.</w:t>
      </w:r>
    </w:p>
    <w:p w14:paraId="7B2D0153" w14:textId="77777777" w:rsidR="00E91FAE" w:rsidRPr="005E03F7" w:rsidRDefault="00E91FAE" w:rsidP="00E91FAE">
      <w:pPr>
        <w:pStyle w:val="AH3Div"/>
      </w:pPr>
      <w:bookmarkStart w:id="577" w:name="_Toc83625921"/>
      <w:r w:rsidRPr="005E03F7">
        <w:rPr>
          <w:rStyle w:val="CharDivNo"/>
        </w:rPr>
        <w:lastRenderedPageBreak/>
        <w:t>Division 1A</w:t>
      </w:r>
      <w:r>
        <w:rPr>
          <w:lang w:val="en" w:eastAsia="en-AU"/>
        </w:rPr>
        <w:tab/>
      </w:r>
      <w:r w:rsidRPr="005E03F7">
        <w:rPr>
          <w:rStyle w:val="CharDivText"/>
        </w:rPr>
        <w:t>Entry of relevant places for advice purposes</w:t>
      </w:r>
      <w:bookmarkEnd w:id="577"/>
    </w:p>
    <w:p w14:paraId="0898C7BD" w14:textId="77777777" w:rsidR="00E91FAE" w:rsidRPr="00E91FAE" w:rsidRDefault="00E91FAE" w:rsidP="00E91FAE">
      <w:pPr>
        <w:pStyle w:val="AH5Sec"/>
        <w:rPr>
          <w:lang w:val="en" w:eastAsia="en-AU"/>
        </w:rPr>
      </w:pPr>
      <w:bookmarkStart w:id="578" w:name="_Toc83625922"/>
      <w:r w:rsidRPr="005E03F7">
        <w:rPr>
          <w:rStyle w:val="CharSectNo"/>
        </w:rPr>
        <w:t>494A</w:t>
      </w:r>
      <w:r>
        <w:tab/>
      </w:r>
      <w:r w:rsidRPr="00E91FAE">
        <w:rPr>
          <w:lang w:val="en" w:eastAsia="en-AU"/>
        </w:rPr>
        <w:t>Non-application to police officers</w:t>
      </w:r>
      <w:bookmarkEnd w:id="578"/>
    </w:p>
    <w:p w14:paraId="6833576E" w14:textId="77777777" w:rsidR="00E91FAE" w:rsidRPr="00E91FAE" w:rsidRDefault="00E91FAE" w:rsidP="00E91FAE">
      <w:pPr>
        <w:pStyle w:val="Amainreturn"/>
        <w:rPr>
          <w:lang w:val="en" w:eastAsia="en-AU"/>
        </w:rPr>
      </w:pPr>
      <w:r w:rsidRPr="00E91FAE">
        <w:rPr>
          <w:lang w:val="en" w:eastAsia="en-AU"/>
        </w:rPr>
        <w:t>This Division does not apply to an authorised officer who is a police officer.</w:t>
      </w:r>
    </w:p>
    <w:p w14:paraId="14ADF287" w14:textId="77777777" w:rsidR="00E91FAE" w:rsidRPr="00E91FAE" w:rsidRDefault="00E91FAE" w:rsidP="00E91FAE">
      <w:pPr>
        <w:pStyle w:val="AH5Sec"/>
        <w:rPr>
          <w:lang w:val="en" w:eastAsia="en-AU"/>
        </w:rPr>
      </w:pPr>
      <w:bookmarkStart w:id="579" w:name="_Toc83625923"/>
      <w:r w:rsidRPr="005E03F7">
        <w:rPr>
          <w:rStyle w:val="CharSectNo"/>
        </w:rPr>
        <w:t>494B</w:t>
      </w:r>
      <w:r>
        <w:tab/>
      </w:r>
      <w:r w:rsidRPr="00E91FAE">
        <w:rPr>
          <w:lang w:val="en" w:eastAsia="en-AU"/>
        </w:rPr>
        <w:t>Power to enter relevant place</w:t>
      </w:r>
      <w:bookmarkEnd w:id="579"/>
    </w:p>
    <w:p w14:paraId="703DD72B" w14:textId="77777777" w:rsidR="00E91FAE" w:rsidRPr="00E91FAE" w:rsidRDefault="00E91FAE" w:rsidP="00F028D9">
      <w:pPr>
        <w:pStyle w:val="Amainreturn"/>
        <w:rPr>
          <w:lang w:val="en" w:eastAsia="en-AU"/>
        </w:rPr>
      </w:pPr>
      <w:r w:rsidRPr="00E91FAE">
        <w:t>An authorised officer may, fo</w:t>
      </w:r>
      <w:r w:rsidRPr="00E91FAE">
        <w:rPr>
          <w:lang w:val="en" w:eastAsia="en-AU"/>
        </w:rPr>
        <w:t>r advice purposes, enter a relevant place if—</w:t>
      </w:r>
    </w:p>
    <w:p w14:paraId="0F747A52" w14:textId="77777777" w:rsidR="00E91FAE" w:rsidRPr="00E91FAE" w:rsidRDefault="00E91FAE" w:rsidP="00E91FAE">
      <w:pPr>
        <w:pStyle w:val="Apara"/>
        <w:rPr>
          <w:lang w:val="en" w:eastAsia="en-AU"/>
        </w:rPr>
      </w:pPr>
      <w:r>
        <w:rPr>
          <w:lang w:val="en" w:eastAsia="en-AU"/>
        </w:rPr>
        <w:tab/>
      </w:r>
      <w:r w:rsidRPr="00E91FAE">
        <w:rPr>
          <w:lang w:val="en" w:eastAsia="en-AU"/>
        </w:rPr>
        <w:t>(a)</w:t>
      </w:r>
      <w:r>
        <w:rPr>
          <w:lang w:val="en" w:eastAsia="en-AU"/>
        </w:rPr>
        <w:tab/>
      </w:r>
      <w:r w:rsidRPr="00E91FAE">
        <w:rPr>
          <w:lang w:val="en" w:eastAsia="en-AU"/>
        </w:rPr>
        <w:t>an occupier of the place consents under Division 4 to the entry and section 503 has been complied with for the occupier; or</w:t>
      </w:r>
    </w:p>
    <w:p w14:paraId="02854C46" w14:textId="77777777" w:rsidR="00E91FAE" w:rsidRPr="00E91FAE" w:rsidRDefault="00E91FAE" w:rsidP="00E91FAE">
      <w:pPr>
        <w:pStyle w:val="Apara"/>
        <w:rPr>
          <w:lang w:val="en" w:eastAsia="en-AU"/>
        </w:rPr>
      </w:pPr>
      <w:r>
        <w:rPr>
          <w:lang w:val="en" w:eastAsia="en-AU"/>
        </w:rPr>
        <w:tab/>
      </w:r>
      <w:r w:rsidRPr="00E91FAE">
        <w:rPr>
          <w:lang w:val="en" w:eastAsia="en-AU"/>
        </w:rPr>
        <w:t>(b)</w:t>
      </w:r>
      <w:r>
        <w:rPr>
          <w:lang w:val="en" w:eastAsia="en-AU"/>
        </w:rPr>
        <w:tab/>
      </w:r>
      <w:r w:rsidRPr="00E91FAE">
        <w:rPr>
          <w:lang w:val="en" w:eastAsia="en-AU"/>
        </w:rPr>
        <w:t>the place is not a residence and is—</w:t>
      </w:r>
    </w:p>
    <w:p w14:paraId="4ECBBA8C" w14:textId="77777777" w:rsidR="00E91FAE" w:rsidRPr="00E91FAE" w:rsidRDefault="00E91FAE" w:rsidP="00E91FAE">
      <w:pPr>
        <w:pStyle w:val="Asubpara"/>
        <w:rPr>
          <w:lang w:val="en" w:eastAsia="en-AU"/>
        </w:rPr>
      </w:pPr>
      <w:r>
        <w:rPr>
          <w:lang w:val="en" w:eastAsia="en-AU"/>
        </w:rPr>
        <w:tab/>
      </w:r>
      <w:r w:rsidRPr="00E91FAE">
        <w:rPr>
          <w:lang w:val="en" w:eastAsia="en-AU"/>
        </w:rPr>
        <w:t>(i)</w:t>
      </w:r>
      <w:r>
        <w:rPr>
          <w:lang w:val="en" w:eastAsia="en-AU"/>
        </w:rPr>
        <w:tab/>
      </w:r>
      <w:r w:rsidRPr="00E91FAE">
        <w:rPr>
          <w:lang w:val="en" w:eastAsia="en-AU"/>
        </w:rPr>
        <w:t>open for carrying on a business; or</w:t>
      </w:r>
    </w:p>
    <w:p w14:paraId="78C071A3" w14:textId="77777777" w:rsidR="00E91FAE" w:rsidRPr="00E91FAE" w:rsidRDefault="00E91FAE" w:rsidP="00E91FAE">
      <w:pPr>
        <w:pStyle w:val="Asubpara"/>
        <w:rPr>
          <w:lang w:val="en" w:eastAsia="en-AU"/>
        </w:rPr>
      </w:pPr>
      <w:r>
        <w:rPr>
          <w:lang w:val="en" w:eastAsia="en-AU"/>
        </w:rPr>
        <w:tab/>
      </w:r>
      <w:r w:rsidRPr="00E91FAE">
        <w:rPr>
          <w:lang w:val="en" w:eastAsia="en-AU"/>
        </w:rPr>
        <w:t>(ii)</w:t>
      </w:r>
      <w:r>
        <w:rPr>
          <w:lang w:val="en" w:eastAsia="en-AU"/>
        </w:rPr>
        <w:tab/>
      </w:r>
      <w:r w:rsidRPr="00E91FAE">
        <w:rPr>
          <w:lang w:val="en" w:eastAsia="en-AU"/>
        </w:rPr>
        <w:t>otherwise open for entry; or</w:t>
      </w:r>
    </w:p>
    <w:p w14:paraId="09D476D3" w14:textId="77777777" w:rsidR="00E91FAE" w:rsidRPr="00E91FAE" w:rsidRDefault="00E91FAE" w:rsidP="00E91FAE">
      <w:pPr>
        <w:pStyle w:val="Asubpara"/>
        <w:rPr>
          <w:lang w:val="en" w:eastAsia="en-AU"/>
        </w:rPr>
      </w:pPr>
      <w:r>
        <w:rPr>
          <w:lang w:val="en" w:eastAsia="en-AU"/>
        </w:rPr>
        <w:tab/>
      </w:r>
      <w:r w:rsidRPr="00E91FAE">
        <w:rPr>
          <w:lang w:val="en" w:eastAsia="en-AU"/>
        </w:rPr>
        <w:t>(iii)</w:t>
      </w:r>
      <w:r>
        <w:rPr>
          <w:lang w:val="en" w:eastAsia="en-AU"/>
        </w:rPr>
        <w:tab/>
      </w:r>
      <w:r w:rsidRPr="00E91FAE">
        <w:rPr>
          <w:lang w:val="en" w:eastAsia="en-AU"/>
        </w:rPr>
        <w:t>required to be open for inspection under this Law.</w:t>
      </w:r>
    </w:p>
    <w:p w14:paraId="36DF32D4" w14:textId="77777777" w:rsidR="00E91FAE" w:rsidRPr="00E91FAE" w:rsidRDefault="00E91FAE" w:rsidP="00E91FAE">
      <w:pPr>
        <w:pStyle w:val="AH5Sec"/>
        <w:rPr>
          <w:lang w:val="en" w:eastAsia="en-AU"/>
        </w:rPr>
      </w:pPr>
      <w:bookmarkStart w:id="580" w:name="_Toc83625924"/>
      <w:r w:rsidRPr="005E03F7">
        <w:rPr>
          <w:rStyle w:val="CharSectNo"/>
        </w:rPr>
        <w:t>494C</w:t>
      </w:r>
      <w:r>
        <w:tab/>
      </w:r>
      <w:r w:rsidRPr="00E91FAE">
        <w:rPr>
          <w:lang w:val="en" w:eastAsia="en-AU"/>
        </w:rPr>
        <w:t>Power after entering relevant place</w:t>
      </w:r>
      <w:bookmarkEnd w:id="580"/>
    </w:p>
    <w:p w14:paraId="2BADAF02" w14:textId="77777777" w:rsidR="00E91FAE" w:rsidRPr="00E91FAE" w:rsidRDefault="00E91FAE" w:rsidP="00E91FAE">
      <w:pPr>
        <w:pStyle w:val="Amainreturn"/>
        <w:rPr>
          <w:lang w:val="en" w:eastAsia="en-AU"/>
        </w:rPr>
      </w:pPr>
      <w:r w:rsidRPr="00E91FAE">
        <w:rPr>
          <w:lang w:val="en" w:eastAsia="en-AU"/>
        </w:rPr>
        <w:t>If an authorised officer enters a relevant place under this Division, the officer may, for advice purposes, provide advice, information and education.</w:t>
      </w:r>
    </w:p>
    <w:p w14:paraId="411F97D9" w14:textId="36FCB5A0" w:rsidR="00DB6E47" w:rsidRPr="005E03F7" w:rsidRDefault="00DB6E47" w:rsidP="00DB6E47">
      <w:pPr>
        <w:pStyle w:val="AH3Div"/>
      </w:pPr>
      <w:bookmarkStart w:id="581" w:name="_Toc83625925"/>
      <w:r w:rsidRPr="005E03F7">
        <w:rPr>
          <w:rStyle w:val="CharDivNo"/>
        </w:rPr>
        <w:t>Division 2</w:t>
      </w:r>
      <w:r w:rsidRPr="00A95F9A">
        <w:rPr>
          <w:rFonts w:ascii="Helvetica" w:hAnsi="Helvetica" w:cs="Helvetica"/>
          <w:iCs/>
          <w:szCs w:val="28"/>
        </w:rPr>
        <w:tab/>
      </w:r>
      <w:r w:rsidRPr="005E03F7">
        <w:rPr>
          <w:rStyle w:val="CharDivText"/>
          <w:rFonts w:ascii="Helvetica" w:hAnsi="Helvetica" w:cs="Helvetica"/>
          <w:iCs/>
          <w:szCs w:val="28"/>
        </w:rPr>
        <w:t>Entry of relevant places for monitoring purposes</w:t>
      </w:r>
      <w:bookmarkEnd w:id="581"/>
    </w:p>
    <w:p w14:paraId="74113B8B" w14:textId="77777777" w:rsidR="00DB6E47" w:rsidRPr="007E1F9A" w:rsidRDefault="00DB6E47" w:rsidP="00DB6E47">
      <w:pPr>
        <w:pStyle w:val="AH5Sec"/>
      </w:pPr>
      <w:bookmarkStart w:id="582" w:name="_Toc83625926"/>
      <w:r w:rsidRPr="005E03F7">
        <w:rPr>
          <w:rStyle w:val="CharSectNo"/>
        </w:rPr>
        <w:t>495</w:t>
      </w:r>
      <w:r w:rsidRPr="007E1F9A">
        <w:tab/>
      </w:r>
      <w:r w:rsidRPr="007E1F9A">
        <w:rPr>
          <w:rFonts w:ascii="Helvetica" w:hAnsi="Helvetica" w:cs="Helvetica"/>
          <w:iCs/>
        </w:rPr>
        <w:t>Power to enter relevant place</w:t>
      </w:r>
      <w:bookmarkEnd w:id="582"/>
    </w:p>
    <w:p w14:paraId="542629EC" w14:textId="77777777" w:rsidR="00DB6E47" w:rsidRPr="00C62D32" w:rsidRDefault="00DB6E47" w:rsidP="00DB6E47">
      <w:pPr>
        <w:pStyle w:val="Amain"/>
      </w:pPr>
      <w:r w:rsidRPr="00C62D32">
        <w:tab/>
        <w:t>(1)</w:t>
      </w:r>
      <w:r w:rsidRPr="00C62D32">
        <w:tab/>
        <w:t>An authorised officer may, for monitoring purposes, enter a relevant place if—</w:t>
      </w:r>
    </w:p>
    <w:p w14:paraId="57232843" w14:textId="77777777" w:rsidR="00DB6E47" w:rsidRPr="00544ED5" w:rsidRDefault="00DB6E47" w:rsidP="00DB6E47">
      <w:pPr>
        <w:pStyle w:val="Apara"/>
      </w:pPr>
      <w:r w:rsidRPr="00544ED5">
        <w:tab/>
        <w:t>(a)</w:t>
      </w:r>
      <w:r w:rsidRPr="00544ED5">
        <w:tab/>
        <w:t>an occupier of the place consents under Division 4 to the entry and section 503 has been complied with for the occupier; or</w:t>
      </w:r>
    </w:p>
    <w:p w14:paraId="7ACC70E5" w14:textId="77777777" w:rsidR="00DB6E47" w:rsidRPr="00544ED5" w:rsidRDefault="00DB6E47" w:rsidP="00DB6E47">
      <w:pPr>
        <w:pStyle w:val="Apara"/>
      </w:pPr>
      <w:r w:rsidRPr="00544ED5">
        <w:lastRenderedPageBreak/>
        <w:tab/>
        <w:t>(b)</w:t>
      </w:r>
      <w:r w:rsidRPr="00544ED5">
        <w:tab/>
        <w:t>the place is</w:t>
      </w:r>
      <w:r w:rsidR="00A2031F">
        <w:t xml:space="preserve"> </w:t>
      </w:r>
      <w:r w:rsidR="00A2031F" w:rsidRPr="00A2031F">
        <w:t>not a residence and is</w:t>
      </w:r>
      <w:r w:rsidRPr="00544ED5">
        <w:t>—</w:t>
      </w:r>
    </w:p>
    <w:p w14:paraId="10140A3D" w14:textId="77777777" w:rsidR="00DB6E47" w:rsidRPr="00516F02" w:rsidRDefault="00DB6E47" w:rsidP="00DB6E47">
      <w:pPr>
        <w:pStyle w:val="Asubpara"/>
      </w:pPr>
      <w:r w:rsidRPr="00516F02">
        <w:tab/>
        <w:t>(i)</w:t>
      </w:r>
      <w:r w:rsidRPr="00516F02">
        <w:tab/>
        <w:t>open for carrying on a business; or</w:t>
      </w:r>
    </w:p>
    <w:p w14:paraId="6BD9822D" w14:textId="77777777" w:rsidR="00DB6E47" w:rsidRPr="00516F02" w:rsidRDefault="00DB6E47" w:rsidP="00DB6E47">
      <w:pPr>
        <w:pStyle w:val="Asubpara"/>
      </w:pPr>
      <w:r w:rsidRPr="00516F02">
        <w:tab/>
        <w:t>(ii)</w:t>
      </w:r>
      <w:r w:rsidRPr="00516F02">
        <w:tab/>
        <w:t>otherwise open for entry; or</w:t>
      </w:r>
    </w:p>
    <w:p w14:paraId="1263E526" w14:textId="77777777" w:rsidR="00DB6E47" w:rsidRPr="00516F02" w:rsidRDefault="00DB6E47" w:rsidP="00DB6E47">
      <w:pPr>
        <w:pStyle w:val="Asubpara"/>
      </w:pPr>
      <w:r w:rsidRPr="00516F02">
        <w:tab/>
        <w:t>(iii)</w:t>
      </w:r>
      <w:r w:rsidRPr="00516F02">
        <w:tab/>
        <w:t>required to be open for inspection under this Law.</w:t>
      </w:r>
    </w:p>
    <w:p w14:paraId="1D5A8C64" w14:textId="77777777" w:rsidR="00DB6E47" w:rsidRPr="00C62D32" w:rsidRDefault="00DB6E47" w:rsidP="00DB6E47">
      <w:pPr>
        <w:pStyle w:val="Amain"/>
      </w:pPr>
      <w:r w:rsidRPr="00C62D32">
        <w:tab/>
        <w:t>(2)</w:t>
      </w:r>
      <w:r w:rsidRPr="00C62D32">
        <w:tab/>
        <w:t>If the power to enter arose only because an occupier of the place consented to the entry, the power is subject to any conditions of the consent and ceases if the consent is withdrawn.</w:t>
      </w:r>
    </w:p>
    <w:p w14:paraId="35C8AAE6" w14:textId="77777777" w:rsidR="00DB6E47" w:rsidRPr="00C62D32" w:rsidRDefault="00D64D85" w:rsidP="00DB6E47">
      <w:pPr>
        <w:pStyle w:val="Amain"/>
      </w:pPr>
      <w:r>
        <w:tab/>
        <w:t>(3)</w:t>
      </w:r>
      <w:r>
        <w:tab/>
        <w:t>Subsection (1)</w:t>
      </w:r>
      <w:r w:rsidR="00DB6E47" w:rsidRPr="00C62D32">
        <w:t>(b)</w:t>
      </w:r>
      <w:r>
        <w:t xml:space="preserve"> </w:t>
      </w:r>
      <w:r w:rsidR="00DB6E47" w:rsidRPr="00C62D32">
        <w:t>does not authorise an authorised officer, without the occupier’s consent or a warrant, to enter a relevant place that is unattended, unless the officer reasonably believes the place is attended.</w:t>
      </w:r>
    </w:p>
    <w:p w14:paraId="6E5119D6" w14:textId="77777777" w:rsidR="00DB6E47" w:rsidRPr="00C62D32" w:rsidRDefault="00DB6E47" w:rsidP="00DB6E47">
      <w:pPr>
        <w:pStyle w:val="Amain"/>
      </w:pPr>
      <w:r w:rsidRPr="00C62D32">
        <w:tab/>
        <w:t>(4)</w:t>
      </w:r>
      <w:r w:rsidRPr="00C62D32">
        <w:tab/>
        <w:t>If an authorised officer enters a place reasonably believing the place is attended, the officer must leave the place immediately after finding the place is or appears to be unattended.</w:t>
      </w:r>
    </w:p>
    <w:p w14:paraId="3859103E" w14:textId="77777777" w:rsidR="00DB6E47" w:rsidRPr="00C62D32" w:rsidRDefault="00DB6E47" w:rsidP="00DB6E47">
      <w:pPr>
        <w:pStyle w:val="Amain"/>
      </w:pPr>
      <w:r w:rsidRPr="00C62D32">
        <w:tab/>
        <w:t>(5)</w:t>
      </w:r>
      <w:r w:rsidRPr="00C62D32">
        <w:tab/>
        <w:t>An authorised officer may open unlocked doors and other unlocked panels and things at a place for gaining entry to the place under subsection (1).</w:t>
      </w:r>
    </w:p>
    <w:p w14:paraId="4BD0EAC5" w14:textId="77777777" w:rsidR="00DB6E47" w:rsidRPr="00C62D32" w:rsidRDefault="00DB6E47" w:rsidP="00DB6E47">
      <w:pPr>
        <w:pStyle w:val="Amain"/>
      </w:pPr>
      <w:r w:rsidRPr="00C62D32">
        <w:tab/>
        <w:t>(6)</w:t>
      </w:r>
      <w:r w:rsidRPr="00C62D32">
        <w:tab/>
        <w:t>This section does not authorise an authorised officer to use force for exercising a power under this section.</w:t>
      </w:r>
    </w:p>
    <w:p w14:paraId="28CB7603" w14:textId="77777777" w:rsidR="00DB6E47" w:rsidRPr="007E1F9A" w:rsidRDefault="00DB6E47" w:rsidP="00DB6E47">
      <w:pPr>
        <w:pStyle w:val="AH5Sec"/>
      </w:pPr>
      <w:bookmarkStart w:id="583" w:name="_Toc83625927"/>
      <w:r w:rsidRPr="005E03F7">
        <w:rPr>
          <w:rStyle w:val="CharSectNo"/>
        </w:rPr>
        <w:t>496</w:t>
      </w:r>
      <w:r w:rsidRPr="007E1F9A">
        <w:tab/>
      </w:r>
      <w:r w:rsidRPr="007E1F9A">
        <w:rPr>
          <w:rFonts w:ascii="Helvetica" w:hAnsi="Helvetica" w:cs="Helvetica"/>
          <w:iCs/>
        </w:rPr>
        <w:t>General powers after entering relevant place</w:t>
      </w:r>
      <w:bookmarkEnd w:id="583"/>
    </w:p>
    <w:p w14:paraId="207B20E4" w14:textId="77777777" w:rsidR="00DB6E47" w:rsidRPr="00C62D32" w:rsidRDefault="00DB6E47" w:rsidP="00DB6E47">
      <w:pPr>
        <w:pStyle w:val="Amain"/>
      </w:pPr>
      <w:r w:rsidRPr="00C62D32">
        <w:tab/>
        <w:t>(1)</w:t>
      </w:r>
      <w:r w:rsidRPr="00C62D32">
        <w:tab/>
        <w:t xml:space="preserve">If an authorised officer enters a relevant place under this Division, the officer may, for monitoring purposes, do any of the following (each a </w:t>
      </w:r>
      <w:r w:rsidRPr="00FF4454">
        <w:rPr>
          <w:rStyle w:val="charBoldItals"/>
        </w:rPr>
        <w:t>general power</w:t>
      </w:r>
      <w:r w:rsidRPr="00C62D32">
        <w:t>)—</w:t>
      </w:r>
    </w:p>
    <w:p w14:paraId="2EA98F77" w14:textId="77777777" w:rsidR="00DB6E47" w:rsidRPr="00544ED5" w:rsidRDefault="00DB6E47" w:rsidP="00DB6E47">
      <w:pPr>
        <w:pStyle w:val="Apara"/>
      </w:pPr>
      <w:r w:rsidRPr="00544ED5">
        <w:tab/>
        <w:t>(a)</w:t>
      </w:r>
      <w:r w:rsidRPr="00544ED5">
        <w:tab/>
        <w:t>inspect any part of the place or a vehicle at the place;</w:t>
      </w:r>
    </w:p>
    <w:p w14:paraId="39F18A65" w14:textId="77777777" w:rsidR="00DB6E47" w:rsidRPr="00544ED5" w:rsidRDefault="00DB6E47" w:rsidP="00DB6E47">
      <w:pPr>
        <w:pStyle w:val="Apara"/>
      </w:pPr>
      <w:r w:rsidRPr="00544ED5">
        <w:tab/>
        <w:t>(b)</w:t>
      </w:r>
      <w:r w:rsidRPr="00544ED5">
        <w:tab/>
        <w:t>inspect a relevant document at the place;</w:t>
      </w:r>
    </w:p>
    <w:p w14:paraId="02570715" w14:textId="77777777" w:rsidR="00DB6E47" w:rsidRPr="00544ED5" w:rsidRDefault="00DB6E47" w:rsidP="00DB6E47">
      <w:pPr>
        <w:pStyle w:val="Apara"/>
      </w:pPr>
      <w:r w:rsidRPr="00544ED5">
        <w:tab/>
        <w:t>(c)</w:t>
      </w:r>
      <w:r w:rsidRPr="00544ED5">
        <w:tab/>
        <w:t>copy, or take an extract from, a relevant document at the place;</w:t>
      </w:r>
    </w:p>
    <w:p w14:paraId="5FB7618E" w14:textId="77777777" w:rsidR="00DB6E47" w:rsidRPr="00544ED5" w:rsidRDefault="00DB6E47" w:rsidP="00D049AC">
      <w:pPr>
        <w:pStyle w:val="Apara"/>
        <w:keepLines/>
      </w:pPr>
      <w:r w:rsidRPr="00544ED5">
        <w:lastRenderedPageBreak/>
        <w:tab/>
        <w:t>(d)</w:t>
      </w:r>
      <w:r w:rsidRPr="00544ED5">
        <w:tab/>
        <w:t>produce an image or writing at the place from an electronic relevant document at the place or, if it is not practicable to produce the image or writing at the place, take a thing containing the electronic relevant document to another place to produce the image or writing;</w:t>
      </w:r>
    </w:p>
    <w:p w14:paraId="192675E2" w14:textId="77777777" w:rsidR="00DB6E47" w:rsidRPr="00544ED5" w:rsidRDefault="00DB6E47" w:rsidP="00DB6E47">
      <w:pPr>
        <w:pStyle w:val="Apara"/>
      </w:pPr>
      <w:r w:rsidRPr="00544ED5">
        <w:tab/>
        <w:t>(e)</w:t>
      </w:r>
      <w:r w:rsidRPr="00544ED5">
        <w:tab/>
        <w:t>look for, and inspect, a relevant device at the place;</w:t>
      </w:r>
    </w:p>
    <w:p w14:paraId="73851BCA" w14:textId="77777777" w:rsidR="00DB6E47" w:rsidRPr="00544ED5" w:rsidRDefault="00DB6E47" w:rsidP="00DB6E47">
      <w:pPr>
        <w:pStyle w:val="Apara"/>
      </w:pPr>
      <w:r w:rsidRPr="00544ED5">
        <w:tab/>
        <w:t>(f)</w:t>
      </w:r>
      <w:r w:rsidRPr="00544ED5">
        <w:tab/>
        <w:t>take an extract from a relevant device at the place, including, for example—</w:t>
      </w:r>
    </w:p>
    <w:p w14:paraId="54881988" w14:textId="77777777" w:rsidR="00DB6E47" w:rsidRPr="00516F02" w:rsidRDefault="00DB6E47" w:rsidP="00DB6E47">
      <w:pPr>
        <w:pStyle w:val="Asubpara"/>
      </w:pPr>
      <w:r w:rsidRPr="00516F02">
        <w:tab/>
        <w:t>(i)</w:t>
      </w:r>
      <w:r w:rsidRPr="00516F02">
        <w:tab/>
        <w:t>by taking a copy of, or an extract from, a readout or other data obtained from the device; or</w:t>
      </w:r>
    </w:p>
    <w:p w14:paraId="044847B5" w14:textId="77777777" w:rsidR="00DB6E47" w:rsidRPr="00516F02" w:rsidRDefault="00DB6E47" w:rsidP="00DB6E47">
      <w:pPr>
        <w:pStyle w:val="Asubpara"/>
      </w:pPr>
      <w:r w:rsidRPr="00516F02">
        <w:tab/>
        <w:t>(ii)</w:t>
      </w:r>
      <w:r w:rsidRPr="00516F02">
        <w:tab/>
        <w:t>by accessing and downloading information from the device;</w:t>
      </w:r>
    </w:p>
    <w:p w14:paraId="63F3A14D" w14:textId="77777777" w:rsidR="00DB6E47" w:rsidRPr="00544ED5" w:rsidRDefault="00DB6E47" w:rsidP="00DB6E47">
      <w:pPr>
        <w:pStyle w:val="Apara"/>
      </w:pPr>
      <w:r w:rsidRPr="00544ED5">
        <w:tab/>
        <w:t>(g)</w:t>
      </w:r>
      <w:r w:rsidRPr="00544ED5">
        <w:tab/>
        <w:t>exercise a power in relation to a heavy vehicle at the place that the authorised officer may exercise under section 520;</w:t>
      </w:r>
    </w:p>
    <w:p w14:paraId="147FE9CE" w14:textId="77777777" w:rsidR="00DB6E47" w:rsidRPr="00544ED5" w:rsidRDefault="00DB6E47" w:rsidP="00DB6E47">
      <w:pPr>
        <w:pStyle w:val="Apara"/>
      </w:pPr>
      <w:r w:rsidRPr="00544ED5">
        <w:tab/>
        <w:t>(h)</w:t>
      </w:r>
      <w:r w:rsidRPr="00544ED5">
        <w:tab/>
        <w:t>take to, into or onto the place and use any persons, equipment, materials, vehicles or other things the officer reasonably requires for exercising the officer’s powers under this section.</w:t>
      </w:r>
    </w:p>
    <w:p w14:paraId="0A394DB8" w14:textId="77777777" w:rsidR="00DB6E47" w:rsidRPr="006C3305" w:rsidRDefault="00DB6E47" w:rsidP="00E43165">
      <w:pPr>
        <w:pStyle w:val="Amain"/>
        <w:keepNext/>
      </w:pPr>
      <w:r>
        <w:tab/>
        <w:t>(</w:t>
      </w:r>
      <w:r w:rsidRPr="006C3305">
        <w:t>2)</w:t>
      </w:r>
      <w:r w:rsidRPr="006C3305">
        <w:tab/>
        <w:t>The authorised officer may take a necessary step to allow the exercise of a general power, including, for example—</w:t>
      </w:r>
    </w:p>
    <w:p w14:paraId="53674311" w14:textId="77777777" w:rsidR="00DB6E47" w:rsidRPr="00544ED5" w:rsidRDefault="00DB6E47" w:rsidP="006505F1">
      <w:pPr>
        <w:pStyle w:val="Apara"/>
        <w:keepNext/>
      </w:pPr>
      <w:r w:rsidRPr="00544ED5">
        <w:tab/>
        <w:t>(a)</w:t>
      </w:r>
      <w:r w:rsidRPr="00544ED5">
        <w:tab/>
        <w:t>open an unlocked door or an unlocked panel or thing at the place; and</w:t>
      </w:r>
    </w:p>
    <w:p w14:paraId="3B84B7FF" w14:textId="77777777" w:rsidR="00DB6E47" w:rsidRPr="00544ED5" w:rsidRDefault="00DB6E47" w:rsidP="00DB6E47">
      <w:pPr>
        <w:pStyle w:val="Apara"/>
      </w:pPr>
      <w:r w:rsidRPr="00544ED5">
        <w:tab/>
        <w:t>(b)</w:t>
      </w:r>
      <w:r w:rsidRPr="00544ED5">
        <w:tab/>
        <w:t>move but not take away anything that is not locked up or sealed.</w:t>
      </w:r>
    </w:p>
    <w:p w14:paraId="6D937CCA" w14:textId="77777777" w:rsidR="00DB6E47" w:rsidRPr="00C62D32" w:rsidRDefault="00DB6E47" w:rsidP="00DB6E47">
      <w:pPr>
        <w:pStyle w:val="Amain"/>
      </w:pPr>
      <w:r w:rsidRPr="00C62D32">
        <w:tab/>
        <w:t>(3)</w:t>
      </w:r>
      <w:r w:rsidRPr="00C62D32">
        <w:tab/>
        <w:t>For exercisi</w:t>
      </w:r>
      <w:r w:rsidR="00D64D85">
        <w:t>ng a power under subsection (1)</w:t>
      </w:r>
      <w:r w:rsidRPr="00C62D32">
        <w:t>(c)</w:t>
      </w:r>
      <w:r w:rsidR="00D64D85">
        <w:t xml:space="preserve"> </w:t>
      </w:r>
      <w:r w:rsidRPr="00C62D32">
        <w:t>or (f), the authorised officer may use photocopying equipment at the place free of charge.</w:t>
      </w:r>
    </w:p>
    <w:p w14:paraId="4E273257" w14:textId="77777777" w:rsidR="00DB6E47" w:rsidRPr="00C96203" w:rsidRDefault="00DB6E47" w:rsidP="00DB6E47">
      <w:pPr>
        <w:pStyle w:val="aNote"/>
      </w:pPr>
      <w:r w:rsidRPr="00FF4454">
        <w:rPr>
          <w:rStyle w:val="charItals"/>
        </w:rPr>
        <w:t>Note</w:t>
      </w:r>
      <w:r w:rsidRPr="00C96203">
        <w:rPr>
          <w:rFonts w:cs="Times"/>
          <w:bCs/>
          <w:iCs/>
        </w:rPr>
        <w:t>—</w:t>
      </w:r>
    </w:p>
    <w:p w14:paraId="50C30F3E" w14:textId="77777777" w:rsidR="00DB6E47" w:rsidRPr="00C96203" w:rsidRDefault="00DB6E47" w:rsidP="00DB6E47">
      <w:pPr>
        <w:pStyle w:val="aNoteTextss"/>
      </w:pPr>
      <w:r w:rsidRPr="00C96203">
        <w:t>See also sections 543 and 544 for use of particular equipment at a place, or in a vehicle, entered under this Chapter.</w:t>
      </w:r>
    </w:p>
    <w:p w14:paraId="662C9CFB" w14:textId="77777777" w:rsidR="00DB6E47" w:rsidRPr="00C62D32" w:rsidRDefault="00DB6E47" w:rsidP="00D049AC">
      <w:pPr>
        <w:pStyle w:val="Amain"/>
        <w:keepLines/>
      </w:pPr>
      <w:r w:rsidRPr="00C62D32">
        <w:lastRenderedPageBreak/>
        <w:tab/>
        <w:t>(4)</w:t>
      </w:r>
      <w:r w:rsidRPr="00C62D32">
        <w:tab/>
        <w:t>If the authorised officer takes from the place a thing containing an electronic relevant document to produce an image or writing from the document, the image or writing must be produced, and the thing must be returned to the place, as soon as practicable.</w:t>
      </w:r>
    </w:p>
    <w:p w14:paraId="588F32C2" w14:textId="77777777" w:rsidR="00DB6E47" w:rsidRPr="00C62D32" w:rsidRDefault="00DB6E47" w:rsidP="00DB6E47">
      <w:pPr>
        <w:pStyle w:val="Amain"/>
      </w:pPr>
      <w:r w:rsidRPr="00C62D32">
        <w:tab/>
        <w:t>(5)</w:t>
      </w:r>
      <w:r w:rsidRPr="00C62D32">
        <w:tab/>
        <w:t>However, if the authorised officer entered the place under section</w:t>
      </w:r>
      <w:r w:rsidR="00144A36">
        <w:t> </w:t>
      </w:r>
      <w:r w:rsidRPr="00C62D32">
        <w:t>495(1)(a), the officer’s powers under this section are subject to the conditions of the consent.</w:t>
      </w:r>
    </w:p>
    <w:p w14:paraId="089B13B2" w14:textId="77777777" w:rsidR="00DB6E47" w:rsidRDefault="00DB6E47" w:rsidP="00DB6E47">
      <w:pPr>
        <w:pStyle w:val="Amain"/>
      </w:pPr>
      <w:r w:rsidRPr="00C62D32">
        <w:tab/>
        <w:t>(6)</w:t>
      </w:r>
      <w:r w:rsidRPr="00C62D32">
        <w:tab/>
        <w:t>This section does not authorise an authorised officer to use force for exercising a power under this section.</w:t>
      </w:r>
    </w:p>
    <w:p w14:paraId="404F57A0" w14:textId="77777777" w:rsidR="00900924" w:rsidRPr="00632649" w:rsidRDefault="00900924" w:rsidP="00DB6E47">
      <w:pPr>
        <w:pStyle w:val="Amain"/>
      </w:pPr>
      <w:r w:rsidRPr="00632649">
        <w:tab/>
        <w:t>(6A)</w:t>
      </w:r>
      <w:r w:rsidRPr="00632649">
        <w:tab/>
        <w:t>If the authorised officer is not a police officer, the officer may, for advice purposes, provide advice, information and education.</w:t>
      </w:r>
    </w:p>
    <w:p w14:paraId="3EE1654C" w14:textId="77777777" w:rsidR="00DB6E47" w:rsidRPr="00C62D32" w:rsidRDefault="00DB6E47" w:rsidP="00DB6E47">
      <w:pPr>
        <w:pStyle w:val="Amain"/>
      </w:pPr>
      <w:r w:rsidRPr="00C62D32">
        <w:tab/>
        <w:t>(7)</w:t>
      </w:r>
      <w:r w:rsidRPr="00C62D32">
        <w:tab/>
        <w:t>In this section—</w:t>
      </w:r>
    </w:p>
    <w:p w14:paraId="67F7FC15" w14:textId="77777777" w:rsidR="00DB6E47" w:rsidRPr="00041046" w:rsidRDefault="00DB6E47" w:rsidP="00DB6E47">
      <w:pPr>
        <w:pStyle w:val="aDef"/>
        <w:rPr>
          <w:bCs/>
        </w:rPr>
      </w:pPr>
      <w:r w:rsidRPr="00041046">
        <w:rPr>
          <w:rStyle w:val="charBoldItals"/>
        </w:rPr>
        <w:t>electronic relevant document</w:t>
      </w:r>
      <w:r w:rsidRPr="00041046">
        <w:t xml:space="preserve"> means a relevant document that is an electronic document.</w:t>
      </w:r>
    </w:p>
    <w:p w14:paraId="2F8EABEA" w14:textId="77777777" w:rsidR="00DB6E47" w:rsidRPr="00041046" w:rsidRDefault="00DB6E47" w:rsidP="00DB6E47">
      <w:pPr>
        <w:pStyle w:val="aDef"/>
        <w:rPr>
          <w:bCs/>
        </w:rPr>
      </w:pPr>
      <w:r w:rsidRPr="00041046">
        <w:rPr>
          <w:rStyle w:val="charBoldItals"/>
        </w:rPr>
        <w:t>relevant device</w:t>
      </w:r>
      <w:r w:rsidRPr="00041046">
        <w:t xml:space="preserve"> means a device relating to a heavy vehicle and required to be installed, used or maintained under this Law or a heavy vehicle accreditation.</w:t>
      </w:r>
    </w:p>
    <w:p w14:paraId="0F65F445" w14:textId="77777777" w:rsidR="00DB6E47" w:rsidRPr="00C96203" w:rsidRDefault="00DB6E47" w:rsidP="00DB6E47">
      <w:pPr>
        <w:pStyle w:val="aExamHdgss"/>
      </w:pPr>
      <w:r w:rsidRPr="00C96203">
        <w:rPr>
          <w:rFonts w:cs="Times"/>
          <w:bCs/>
          <w:iCs/>
        </w:rPr>
        <w:t>Example of a device that may be a relevant device—</w:t>
      </w:r>
    </w:p>
    <w:p w14:paraId="5558C0C0" w14:textId="77777777" w:rsidR="00DB6E47" w:rsidRPr="00C96203" w:rsidRDefault="00DB6E47" w:rsidP="00DB6E47">
      <w:pPr>
        <w:pStyle w:val="aExamss"/>
      </w:pPr>
      <w:r w:rsidRPr="00C96203">
        <w:t>a weighing, measuring, recording or monitoring device</w:t>
      </w:r>
    </w:p>
    <w:p w14:paraId="48E75CBE" w14:textId="77777777" w:rsidR="00DB6E47" w:rsidRPr="00041046" w:rsidRDefault="00DB6E47" w:rsidP="00DB6E47">
      <w:pPr>
        <w:pStyle w:val="aDef"/>
        <w:rPr>
          <w:bCs/>
        </w:rPr>
      </w:pPr>
      <w:r w:rsidRPr="00041046">
        <w:rPr>
          <w:rStyle w:val="charBoldItals"/>
        </w:rPr>
        <w:t>relevant document</w:t>
      </w:r>
      <w:r w:rsidRPr="00041046">
        <w:t xml:space="preserve"> means a document relating to a heavy vehicle and required to be kept under this Law or a heavy vehicle accreditation.</w:t>
      </w:r>
    </w:p>
    <w:p w14:paraId="6EDDBA70" w14:textId="77777777" w:rsidR="00DB6E47" w:rsidRPr="005E03F7" w:rsidRDefault="00DB6E47" w:rsidP="00DB6E47">
      <w:pPr>
        <w:pStyle w:val="AH3Div"/>
      </w:pPr>
      <w:bookmarkStart w:id="584" w:name="_Toc83625928"/>
      <w:r w:rsidRPr="005E03F7">
        <w:rPr>
          <w:rStyle w:val="CharDivNo"/>
        </w:rPr>
        <w:t xml:space="preserve">Division 3 </w:t>
      </w:r>
      <w:r w:rsidRPr="00A95F9A">
        <w:rPr>
          <w:rFonts w:ascii="Helvetica" w:hAnsi="Helvetica" w:cs="Helvetica"/>
          <w:iCs/>
          <w:szCs w:val="28"/>
        </w:rPr>
        <w:tab/>
      </w:r>
      <w:r w:rsidRPr="005E03F7">
        <w:rPr>
          <w:rStyle w:val="CharDivText"/>
          <w:rFonts w:ascii="Helvetica" w:hAnsi="Helvetica" w:cs="Helvetica"/>
          <w:iCs/>
          <w:szCs w:val="28"/>
        </w:rPr>
        <w:t>Entry of places for investigation purposes</w:t>
      </w:r>
      <w:bookmarkEnd w:id="584"/>
    </w:p>
    <w:p w14:paraId="4B465D96" w14:textId="77777777" w:rsidR="00DB6E47" w:rsidRPr="007E1F9A" w:rsidRDefault="00DB6E47" w:rsidP="00DB6E47">
      <w:pPr>
        <w:pStyle w:val="AH5Sec"/>
      </w:pPr>
      <w:bookmarkStart w:id="585" w:name="_Toc83625929"/>
      <w:r w:rsidRPr="005E03F7">
        <w:rPr>
          <w:rStyle w:val="CharSectNo"/>
        </w:rPr>
        <w:t>497</w:t>
      </w:r>
      <w:r w:rsidRPr="007E1F9A">
        <w:tab/>
      </w:r>
      <w:r w:rsidRPr="007E1F9A">
        <w:rPr>
          <w:rFonts w:ascii="Helvetica" w:hAnsi="Helvetica" w:cs="Helvetica"/>
          <w:iCs/>
        </w:rPr>
        <w:t>General power to enter places</w:t>
      </w:r>
      <w:bookmarkEnd w:id="585"/>
    </w:p>
    <w:p w14:paraId="658129EB" w14:textId="77777777" w:rsidR="00DB6E47" w:rsidRPr="00C62D32" w:rsidRDefault="00DB6E47" w:rsidP="00DB6E47">
      <w:pPr>
        <w:pStyle w:val="Amain"/>
      </w:pPr>
      <w:r w:rsidRPr="00C62D32">
        <w:tab/>
        <w:t>(1)</w:t>
      </w:r>
      <w:r w:rsidRPr="00C62D32">
        <w:tab/>
        <w:t>An authorised officer may, for investigation purposes, enter a place if—</w:t>
      </w:r>
    </w:p>
    <w:p w14:paraId="273201D3" w14:textId="77777777" w:rsidR="00DB6E47" w:rsidRPr="00544ED5" w:rsidRDefault="00DB6E47" w:rsidP="00DB6E47">
      <w:pPr>
        <w:pStyle w:val="Apara"/>
      </w:pPr>
      <w:r w:rsidRPr="00544ED5">
        <w:tab/>
        <w:t>(a)</w:t>
      </w:r>
      <w:r w:rsidRPr="00544ED5">
        <w:tab/>
        <w:t>an occupier of the place consents under Division 4 to the entry and section 503 has been complied with for the occupier; or</w:t>
      </w:r>
    </w:p>
    <w:p w14:paraId="447CD33E" w14:textId="77777777" w:rsidR="00DB6E47" w:rsidRPr="00544ED5" w:rsidRDefault="00DB6E47" w:rsidP="00DB6E47">
      <w:pPr>
        <w:pStyle w:val="Apara"/>
      </w:pPr>
      <w:r w:rsidRPr="00544ED5">
        <w:lastRenderedPageBreak/>
        <w:tab/>
        <w:t>(b)</w:t>
      </w:r>
      <w:r w:rsidRPr="00544ED5">
        <w:tab/>
        <w:t>it is a public place and the entry is made when it is open to the public; or</w:t>
      </w:r>
    </w:p>
    <w:p w14:paraId="03C0D854" w14:textId="77777777" w:rsidR="00DB6E47" w:rsidRPr="00544ED5" w:rsidRDefault="00DB6E47" w:rsidP="00DB6E47">
      <w:pPr>
        <w:pStyle w:val="Apara"/>
      </w:pPr>
      <w:r w:rsidRPr="00544ED5">
        <w:tab/>
        <w:t>(c)</w:t>
      </w:r>
      <w:r w:rsidRPr="00544ED5">
        <w:tab/>
        <w:t>the entry is authorised under a warrant and, if there is an occupier at the place, section 510 has been complied with for the occupier; or</w:t>
      </w:r>
    </w:p>
    <w:p w14:paraId="1837CA16" w14:textId="77777777" w:rsidR="00DB6E47" w:rsidRPr="00544ED5" w:rsidRDefault="00DB6E47" w:rsidP="00DB6E47">
      <w:pPr>
        <w:pStyle w:val="Apara"/>
      </w:pPr>
      <w:r w:rsidRPr="00544ED5">
        <w:tab/>
        <w:t>(d)</w:t>
      </w:r>
      <w:r w:rsidRPr="00544ED5">
        <w:tab/>
        <w:t>it is a relevant place</w:t>
      </w:r>
      <w:r w:rsidR="002B7616">
        <w:t xml:space="preserve"> </w:t>
      </w:r>
      <w:r w:rsidR="002B7616" w:rsidRPr="002B7616">
        <w:t>other than a residence</w:t>
      </w:r>
      <w:r w:rsidRPr="002B7616">
        <w:t xml:space="preserve"> a</w:t>
      </w:r>
      <w:r w:rsidRPr="00544ED5">
        <w:t>nd is—</w:t>
      </w:r>
    </w:p>
    <w:p w14:paraId="2F5070FB" w14:textId="77777777" w:rsidR="00DB6E47" w:rsidRPr="00516F02" w:rsidRDefault="00DB6E47" w:rsidP="00DB6E47">
      <w:pPr>
        <w:pStyle w:val="Asubpara"/>
      </w:pPr>
      <w:r w:rsidRPr="00516F02">
        <w:tab/>
        <w:t>(i)</w:t>
      </w:r>
      <w:r w:rsidRPr="00516F02">
        <w:tab/>
        <w:t>open for carrying on a business; or</w:t>
      </w:r>
    </w:p>
    <w:p w14:paraId="3C0B0F7F" w14:textId="77777777" w:rsidR="00DB6E47" w:rsidRPr="00516F02" w:rsidRDefault="00DB6E47" w:rsidP="00DB6E47">
      <w:pPr>
        <w:pStyle w:val="Asubpara"/>
      </w:pPr>
      <w:r w:rsidRPr="00516F02">
        <w:tab/>
        <w:t>(ii)</w:t>
      </w:r>
      <w:r w:rsidRPr="00516F02">
        <w:tab/>
        <w:t>otherwise open for entry; or</w:t>
      </w:r>
    </w:p>
    <w:p w14:paraId="0F5E4B77" w14:textId="77777777" w:rsidR="00DB6E47" w:rsidRPr="00516F02" w:rsidRDefault="00DB6E47" w:rsidP="00DB6E47">
      <w:pPr>
        <w:pStyle w:val="Asubpara"/>
      </w:pPr>
      <w:r w:rsidRPr="00516F02">
        <w:tab/>
        <w:t>(iii)</w:t>
      </w:r>
      <w:r w:rsidRPr="00516F02">
        <w:tab/>
        <w:t>required to be open for inspection under this Law; or</w:t>
      </w:r>
    </w:p>
    <w:p w14:paraId="2F81BCEB" w14:textId="77777777" w:rsidR="00DB6E47" w:rsidRPr="00544ED5" w:rsidRDefault="00DB6E47" w:rsidP="00DB6E47">
      <w:pPr>
        <w:pStyle w:val="Apara"/>
      </w:pPr>
      <w:r w:rsidRPr="00544ED5">
        <w:tab/>
        <w:t>(e)</w:t>
      </w:r>
      <w:r w:rsidRPr="00544ED5">
        <w:tab/>
        <w:t>the entry is authorised under section 498 or 499.</w:t>
      </w:r>
    </w:p>
    <w:p w14:paraId="1F394F0D" w14:textId="77777777" w:rsidR="00DB6E47" w:rsidRPr="00C62D32" w:rsidRDefault="00DB6E47" w:rsidP="00DB6E47">
      <w:pPr>
        <w:pStyle w:val="Amain"/>
      </w:pPr>
      <w:r w:rsidRPr="00C62D32">
        <w:tab/>
        <w:t>(2)</w:t>
      </w:r>
      <w:r w:rsidRPr="00C62D32">
        <w:tab/>
        <w:t>The authorised officer may exercise powers under this section at the place even if entry to the place was originally effected under Division 2 for monitoring purposes.</w:t>
      </w:r>
    </w:p>
    <w:p w14:paraId="749A6ABB" w14:textId="77777777" w:rsidR="00DB6E47" w:rsidRPr="00C62D32" w:rsidRDefault="00DB6E47" w:rsidP="00DB6E47">
      <w:pPr>
        <w:pStyle w:val="Amain"/>
      </w:pPr>
      <w:r w:rsidRPr="00C62D32">
        <w:tab/>
        <w:t>(3)</w:t>
      </w:r>
      <w:r w:rsidRPr="00C62D32">
        <w:tab/>
        <w:t>If the power to enter arose only because an occupier of the place consented to the entry, the power is subject to any conditions of the consent and ceases if the consent is withdrawn.</w:t>
      </w:r>
    </w:p>
    <w:p w14:paraId="62FD6CEF" w14:textId="77777777" w:rsidR="00DB6E47" w:rsidRPr="00C62D32" w:rsidRDefault="00DB6E47" w:rsidP="00E43165">
      <w:pPr>
        <w:pStyle w:val="Amain"/>
        <w:keepNext/>
      </w:pPr>
      <w:r w:rsidRPr="00C62D32">
        <w:tab/>
        <w:t>(4)</w:t>
      </w:r>
      <w:r w:rsidRPr="00C62D32">
        <w:tab/>
        <w:t>If the power to enter is under a warrant—</w:t>
      </w:r>
    </w:p>
    <w:p w14:paraId="2F490755" w14:textId="77777777" w:rsidR="00DB6E47" w:rsidRPr="00544ED5" w:rsidRDefault="00DB6E47" w:rsidP="00DB6E47">
      <w:pPr>
        <w:pStyle w:val="Apara"/>
      </w:pPr>
      <w:r w:rsidRPr="00544ED5">
        <w:tab/>
        <w:t>(a)</w:t>
      </w:r>
      <w:r w:rsidRPr="00544ED5">
        <w:tab/>
        <w:t>the authorised officer may use force that is reasonably necessary for gaining entry to the place; and</w:t>
      </w:r>
    </w:p>
    <w:p w14:paraId="1FAB210C" w14:textId="77777777" w:rsidR="00DB6E47" w:rsidRPr="00544ED5" w:rsidRDefault="00DB6E47" w:rsidP="00DB6E47">
      <w:pPr>
        <w:pStyle w:val="Apara"/>
      </w:pPr>
      <w:r w:rsidRPr="00544ED5">
        <w:tab/>
        <w:t>(b)</w:t>
      </w:r>
      <w:r w:rsidRPr="00544ED5">
        <w:tab/>
        <w:t>the power to enter is subject to the terms of the warrant.</w:t>
      </w:r>
    </w:p>
    <w:p w14:paraId="031F82AF" w14:textId="77777777" w:rsidR="00DB6E47" w:rsidRPr="00C62D32" w:rsidRDefault="00144A36" w:rsidP="00DB6E47">
      <w:pPr>
        <w:pStyle w:val="Amain"/>
      </w:pPr>
      <w:r>
        <w:tab/>
        <w:t>(5)</w:t>
      </w:r>
      <w:r>
        <w:tab/>
        <w:t>Subsection (1)</w:t>
      </w:r>
      <w:r w:rsidR="00DB6E47" w:rsidRPr="00C62D32">
        <w:t>(d)</w:t>
      </w:r>
      <w:r>
        <w:t xml:space="preserve"> </w:t>
      </w:r>
      <w:r w:rsidR="00DB6E47" w:rsidRPr="00C62D32">
        <w:t>does not authorise an authorised officer, without the occupier’s consent or a warrant, to enter—</w:t>
      </w:r>
    </w:p>
    <w:p w14:paraId="6AE52553" w14:textId="77777777" w:rsidR="00DB6E47" w:rsidRPr="00544ED5" w:rsidRDefault="00DB6E47" w:rsidP="00DB6E47">
      <w:pPr>
        <w:pStyle w:val="Apara"/>
      </w:pPr>
      <w:r w:rsidRPr="00544ED5">
        <w:tab/>
        <w:t>(a)</w:t>
      </w:r>
      <w:r w:rsidRPr="00544ED5">
        <w:tab/>
        <w:t>a place that is unattended, unless the officer reasonably believes the place is attended; or</w:t>
      </w:r>
    </w:p>
    <w:p w14:paraId="73D5D25E" w14:textId="77777777" w:rsidR="00DB6E47" w:rsidRPr="00544ED5" w:rsidRDefault="00DB6E47" w:rsidP="00DB6E47">
      <w:pPr>
        <w:pStyle w:val="Apara"/>
      </w:pPr>
      <w:r w:rsidRPr="00544ED5">
        <w:tab/>
        <w:t>(b)</w:t>
      </w:r>
      <w:r w:rsidRPr="00544ED5">
        <w:tab/>
        <w:t>a place, or part of a place, used predominantly for res</w:t>
      </w:r>
      <w:r w:rsidR="00144A36">
        <w:t>idential purposes.</w:t>
      </w:r>
    </w:p>
    <w:p w14:paraId="6CF46299" w14:textId="77777777" w:rsidR="00DB6E47" w:rsidRPr="00C62D32" w:rsidRDefault="00DB6E47" w:rsidP="00DB6E47">
      <w:pPr>
        <w:pStyle w:val="Amain"/>
      </w:pPr>
      <w:r w:rsidRPr="00C62D32">
        <w:lastRenderedPageBreak/>
        <w:tab/>
        <w:t>(6)</w:t>
      </w:r>
      <w:r w:rsidRPr="00C62D32">
        <w:tab/>
        <w:t>If an authorised officer enters a place reasonably believing the place is attended, the officer must leave the place immediately after finding the place is or appears to be unattended.</w:t>
      </w:r>
    </w:p>
    <w:p w14:paraId="76776A8F" w14:textId="77777777" w:rsidR="00DB6E47" w:rsidRPr="00C62D32" w:rsidRDefault="00DB6E47" w:rsidP="00DB6E47">
      <w:pPr>
        <w:pStyle w:val="Amain"/>
      </w:pPr>
      <w:r w:rsidRPr="00C62D32">
        <w:tab/>
        <w:t>(7)</w:t>
      </w:r>
      <w:r w:rsidRPr="00C62D32">
        <w:tab/>
        <w:t xml:space="preserve">An authorised officer may open unlocked doors and other unlocked panels and things at a place for gaining entry to </w:t>
      </w:r>
      <w:r w:rsidR="00144A36">
        <w:t>the place under subsection (1).</w:t>
      </w:r>
    </w:p>
    <w:p w14:paraId="5E3FEE34" w14:textId="77777777" w:rsidR="00DB6E47" w:rsidRPr="00C62D32" w:rsidRDefault="00DB6E47" w:rsidP="00DB6E47">
      <w:pPr>
        <w:pStyle w:val="Amain"/>
      </w:pPr>
      <w:r w:rsidRPr="00C62D32">
        <w:tab/>
        <w:t>(8)</w:t>
      </w:r>
      <w:r w:rsidRPr="00C62D32">
        <w:tab/>
        <w:t>This section does not authorise an authorised officer to use force for exercising a power under this section unless the power is exercised under a warrant.</w:t>
      </w:r>
    </w:p>
    <w:p w14:paraId="55A21D47" w14:textId="77777777" w:rsidR="00DB6E47" w:rsidRPr="007E1F9A" w:rsidRDefault="00DB6E47" w:rsidP="00DB6E47">
      <w:pPr>
        <w:pStyle w:val="AH5Sec"/>
      </w:pPr>
      <w:bookmarkStart w:id="586" w:name="_Toc83625930"/>
      <w:r w:rsidRPr="005E03F7">
        <w:rPr>
          <w:rStyle w:val="CharSectNo"/>
        </w:rPr>
        <w:t>498</w:t>
      </w:r>
      <w:r w:rsidRPr="007E1F9A">
        <w:tab/>
      </w:r>
      <w:r w:rsidRPr="007E1F9A">
        <w:rPr>
          <w:rFonts w:ascii="Helvetica" w:hAnsi="Helvetica" w:cs="Helvetica"/>
          <w:iCs/>
        </w:rPr>
        <w:t>Power to enter a place if evidence suspected to be at the place</w:t>
      </w:r>
      <w:bookmarkEnd w:id="586"/>
    </w:p>
    <w:p w14:paraId="474A0535" w14:textId="77777777" w:rsidR="00DB6E47" w:rsidRPr="00C62D32" w:rsidRDefault="00DB6E47" w:rsidP="00DB6E47">
      <w:pPr>
        <w:pStyle w:val="Amain"/>
      </w:pPr>
      <w:r w:rsidRPr="00C62D32">
        <w:tab/>
        <w:t>(1)</w:t>
      </w:r>
      <w:r w:rsidRPr="00C62D32">
        <w:tab/>
        <w:t>This section applies if an authorised officer reasonably believes that—</w:t>
      </w:r>
    </w:p>
    <w:p w14:paraId="7DB6A8FA" w14:textId="77777777" w:rsidR="00DB6E47" w:rsidRPr="00544ED5" w:rsidRDefault="00DB6E47" w:rsidP="00DB6E47">
      <w:pPr>
        <w:pStyle w:val="Apara"/>
      </w:pPr>
      <w:r w:rsidRPr="00544ED5">
        <w:tab/>
        <w:t>(a)</w:t>
      </w:r>
      <w:r w:rsidRPr="00544ED5">
        <w:tab/>
        <w:t>either—</w:t>
      </w:r>
    </w:p>
    <w:p w14:paraId="637D8025" w14:textId="77777777" w:rsidR="00DB6E47" w:rsidRPr="00516F02" w:rsidRDefault="00DB6E47" w:rsidP="00DB6E47">
      <w:pPr>
        <w:pStyle w:val="Asubpara"/>
      </w:pPr>
      <w:r w:rsidRPr="00516F02">
        <w:tab/>
        <w:t>(i)</w:t>
      </w:r>
      <w:r w:rsidRPr="00516F02">
        <w:tab/>
        <w:t>a heavy vehicle is or has been at a place; or</w:t>
      </w:r>
    </w:p>
    <w:p w14:paraId="60A9F90F" w14:textId="77777777" w:rsidR="00DB6E47" w:rsidRPr="00516F02" w:rsidRDefault="00DB6E47" w:rsidP="00DB6E47">
      <w:pPr>
        <w:pStyle w:val="Asubpara"/>
      </w:pPr>
      <w:r w:rsidRPr="00516F02">
        <w:tab/>
        <w:t>(ii)</w:t>
      </w:r>
      <w:r w:rsidRPr="00516F02">
        <w:tab/>
        <w:t>transport documentation or journey documentation is at a place; and</w:t>
      </w:r>
    </w:p>
    <w:p w14:paraId="73C4AAAF" w14:textId="77777777" w:rsidR="00DB6E47" w:rsidRPr="00544ED5" w:rsidRDefault="00DB6E47" w:rsidP="00DB6E47">
      <w:pPr>
        <w:pStyle w:val="Apara"/>
      </w:pPr>
      <w:r w:rsidRPr="00544ED5">
        <w:tab/>
        <w:t>(b)</w:t>
      </w:r>
      <w:r w:rsidRPr="00544ED5">
        <w:tab/>
        <w:t>there may be at the place evidence of an offence against this Law that may be concealed or destroyed unless the place is immediately entered and searched.</w:t>
      </w:r>
    </w:p>
    <w:p w14:paraId="5AD4ED8A" w14:textId="77777777" w:rsidR="00DB6E47" w:rsidRPr="00C62D32" w:rsidRDefault="00DB6E47" w:rsidP="00DB6E47">
      <w:pPr>
        <w:pStyle w:val="Amain"/>
      </w:pPr>
      <w:r w:rsidRPr="00C62D32">
        <w:tab/>
        <w:t>(2)</w:t>
      </w:r>
      <w:r w:rsidRPr="00C62D32">
        <w:tab/>
        <w:t>The authorised officer may enter the place if it is—</w:t>
      </w:r>
    </w:p>
    <w:p w14:paraId="35A9AB9D" w14:textId="77777777" w:rsidR="00DB6E47" w:rsidRPr="00544ED5" w:rsidRDefault="00DB6E47" w:rsidP="00DB6E47">
      <w:pPr>
        <w:pStyle w:val="Apara"/>
      </w:pPr>
      <w:r w:rsidRPr="00544ED5">
        <w:tab/>
        <w:t>(a)</w:t>
      </w:r>
      <w:r w:rsidRPr="00544ED5">
        <w:tab/>
        <w:t>open for carrying on a business; or</w:t>
      </w:r>
    </w:p>
    <w:p w14:paraId="49296FC4" w14:textId="77777777" w:rsidR="00DB6E47" w:rsidRPr="00544ED5" w:rsidRDefault="00DB6E47" w:rsidP="00DB6E47">
      <w:pPr>
        <w:pStyle w:val="Apara"/>
      </w:pPr>
      <w:r w:rsidRPr="00544ED5">
        <w:tab/>
        <w:t>(b)</w:t>
      </w:r>
      <w:r w:rsidRPr="00544ED5">
        <w:tab/>
        <w:t>otherwise open for entry; or</w:t>
      </w:r>
    </w:p>
    <w:p w14:paraId="55B181DA" w14:textId="77777777" w:rsidR="00DB6E47" w:rsidRPr="00544ED5" w:rsidRDefault="00DB6E47" w:rsidP="00DB6E47">
      <w:pPr>
        <w:pStyle w:val="Apara"/>
      </w:pPr>
      <w:r w:rsidRPr="00544ED5">
        <w:tab/>
        <w:t>(c)</w:t>
      </w:r>
      <w:r w:rsidRPr="00544ED5">
        <w:tab/>
        <w:t>required to be open for inspection under this Law.</w:t>
      </w:r>
    </w:p>
    <w:p w14:paraId="15CF6542" w14:textId="77777777" w:rsidR="00DB6E47" w:rsidRPr="00C62D32" w:rsidRDefault="00144A36" w:rsidP="00DB6E47">
      <w:pPr>
        <w:pStyle w:val="Amain"/>
      </w:pPr>
      <w:r>
        <w:tab/>
        <w:t>(3)</w:t>
      </w:r>
      <w:r>
        <w:tab/>
        <w:t xml:space="preserve">Subsection </w:t>
      </w:r>
      <w:r w:rsidR="00DB6E47" w:rsidRPr="00C62D32">
        <w:t>(2)</w:t>
      </w:r>
      <w:r>
        <w:t xml:space="preserve"> </w:t>
      </w:r>
      <w:r w:rsidR="00DB6E47" w:rsidRPr="00C62D32">
        <w:t>does not authorise an authorised officer to enter—</w:t>
      </w:r>
    </w:p>
    <w:p w14:paraId="506C5F61" w14:textId="77777777" w:rsidR="00DB6E47" w:rsidRPr="00544ED5" w:rsidRDefault="00DB6E47" w:rsidP="00DB6E47">
      <w:pPr>
        <w:pStyle w:val="Apara"/>
      </w:pPr>
      <w:r w:rsidRPr="00544ED5">
        <w:tab/>
        <w:t>(a)</w:t>
      </w:r>
      <w:r w:rsidRPr="00544ED5">
        <w:tab/>
        <w:t>a place that is unattended, unless the officer reasonably believes the place is attended; or</w:t>
      </w:r>
    </w:p>
    <w:p w14:paraId="6893F43D" w14:textId="77777777" w:rsidR="00DB6E47" w:rsidRPr="00544ED5" w:rsidRDefault="00DB6E47" w:rsidP="00DB6E47">
      <w:pPr>
        <w:pStyle w:val="Apara"/>
      </w:pPr>
      <w:r w:rsidRPr="00544ED5">
        <w:lastRenderedPageBreak/>
        <w:tab/>
        <w:t>(b)</w:t>
      </w:r>
      <w:r w:rsidRPr="00544ED5">
        <w:tab/>
        <w:t>a place, or part of a place, used predominantly for residential purposes.</w:t>
      </w:r>
    </w:p>
    <w:p w14:paraId="0F0DA680" w14:textId="77777777" w:rsidR="00DB6E47" w:rsidRPr="00C62D32" w:rsidRDefault="00DB6E47" w:rsidP="00DB6E47">
      <w:pPr>
        <w:pStyle w:val="Amain"/>
      </w:pPr>
      <w:r w:rsidRPr="00C62D32">
        <w:tab/>
        <w:t>(4)</w:t>
      </w:r>
      <w:r w:rsidRPr="00C62D32">
        <w:tab/>
        <w:t>If an authorised officer enters a place reasonably believing the place is attended, the officer must leave the place immediately after finding the place is or appears to be unattended.</w:t>
      </w:r>
    </w:p>
    <w:p w14:paraId="19B923EA" w14:textId="77777777" w:rsidR="00DB6E47" w:rsidRPr="00C62D32" w:rsidRDefault="00DB6E47" w:rsidP="00DB6E47">
      <w:pPr>
        <w:pStyle w:val="Amain"/>
      </w:pPr>
      <w:r w:rsidRPr="00C62D32">
        <w:tab/>
        <w:t>(5)</w:t>
      </w:r>
      <w:r w:rsidRPr="00C62D32">
        <w:tab/>
        <w:t>An authorised officer may open unlocked doors and other unlocked panels and things at a place for gaining entry to the place under subsection (2).</w:t>
      </w:r>
    </w:p>
    <w:p w14:paraId="6EA39050" w14:textId="77777777" w:rsidR="00DB6E47" w:rsidRPr="00C62D32" w:rsidRDefault="00DB6E47" w:rsidP="00DB6E47">
      <w:pPr>
        <w:pStyle w:val="Amain"/>
      </w:pPr>
      <w:r w:rsidRPr="00C62D32">
        <w:tab/>
        <w:t>(6)</w:t>
      </w:r>
      <w:r w:rsidRPr="00C62D32">
        <w:tab/>
        <w:t>An authorised officer may use force that is reasonably necessary for gaining entry to a place mentioned in subsection (2)(c).</w:t>
      </w:r>
    </w:p>
    <w:p w14:paraId="13E431C5" w14:textId="77777777" w:rsidR="00DB6E47" w:rsidRPr="00C62D32" w:rsidRDefault="00DB6E47" w:rsidP="00DB6E47">
      <w:pPr>
        <w:pStyle w:val="Amain"/>
      </w:pPr>
      <w:r w:rsidRPr="00C62D32">
        <w:tab/>
        <w:t>(7)</w:t>
      </w:r>
      <w:r w:rsidRPr="00C62D32">
        <w:tab/>
        <w:t>This section does not authorise an authorised officer to use force for exercising a power under this section other than as provided by subsection (6).</w:t>
      </w:r>
    </w:p>
    <w:p w14:paraId="34560AD7" w14:textId="77777777" w:rsidR="00DB6E47" w:rsidRPr="007E1F9A" w:rsidRDefault="00DB6E47" w:rsidP="00DB6E47">
      <w:pPr>
        <w:pStyle w:val="AH5Sec"/>
      </w:pPr>
      <w:bookmarkStart w:id="587" w:name="_Toc83625931"/>
      <w:r w:rsidRPr="005E03F7">
        <w:rPr>
          <w:rStyle w:val="CharSectNo"/>
        </w:rPr>
        <w:t>499</w:t>
      </w:r>
      <w:r w:rsidRPr="007E1F9A">
        <w:tab/>
      </w:r>
      <w:r w:rsidRPr="007E1F9A">
        <w:rPr>
          <w:rFonts w:ascii="Helvetica" w:hAnsi="Helvetica" w:cs="Helvetica"/>
          <w:iCs/>
        </w:rPr>
        <w:t>Power to enter particular places if incident involving death, injury or damage</w:t>
      </w:r>
      <w:bookmarkEnd w:id="587"/>
    </w:p>
    <w:p w14:paraId="63EA9D64" w14:textId="77777777" w:rsidR="00DB6E47" w:rsidRPr="00C62D32" w:rsidRDefault="00DB6E47" w:rsidP="00DB6E47">
      <w:pPr>
        <w:pStyle w:val="Amain"/>
      </w:pPr>
      <w:r w:rsidRPr="00C62D32">
        <w:tab/>
        <w:t>(1)</w:t>
      </w:r>
      <w:r w:rsidRPr="00C62D32">
        <w:tab/>
        <w:t>An authorised officer, without an occupier’s consent or a warrant, may enter a place at any time if the officer reasonably believes—</w:t>
      </w:r>
    </w:p>
    <w:p w14:paraId="3AA4E383" w14:textId="77777777" w:rsidR="00DB6E47" w:rsidRPr="00544ED5" w:rsidRDefault="00DB6E47" w:rsidP="00DB6E47">
      <w:pPr>
        <w:pStyle w:val="Apara"/>
      </w:pPr>
      <w:r w:rsidRPr="00544ED5">
        <w:tab/>
        <w:t>(a)</w:t>
      </w:r>
      <w:r w:rsidRPr="00544ED5">
        <w:tab/>
        <w:t>an incident involving the death of, or injury to, a person or damage to property involves or may have involved a heavy vehicle; and</w:t>
      </w:r>
    </w:p>
    <w:p w14:paraId="62B8FECA" w14:textId="77777777" w:rsidR="00DB6E47" w:rsidRPr="00544ED5" w:rsidRDefault="00DB6E47" w:rsidP="00DB6E47">
      <w:pPr>
        <w:pStyle w:val="Apara"/>
      </w:pPr>
      <w:r w:rsidRPr="00544ED5">
        <w:tab/>
        <w:t>(b)</w:t>
      </w:r>
      <w:r w:rsidRPr="00544ED5">
        <w:tab/>
        <w:t>the incident may have involved an offence against this Law; and</w:t>
      </w:r>
    </w:p>
    <w:p w14:paraId="6E13824B" w14:textId="77777777" w:rsidR="00DB6E47" w:rsidRPr="00544ED5" w:rsidRDefault="00DB6E47" w:rsidP="00DB6E47">
      <w:pPr>
        <w:pStyle w:val="Apara"/>
      </w:pPr>
      <w:r w:rsidRPr="00544ED5">
        <w:tab/>
        <w:t>(c)</w:t>
      </w:r>
      <w:r w:rsidRPr="00544ED5">
        <w:tab/>
        <w:t>there is a connection between the place and the heavy vehicle; and</w:t>
      </w:r>
    </w:p>
    <w:p w14:paraId="7D7A5B32" w14:textId="77777777" w:rsidR="00DB6E47" w:rsidRPr="00544ED5" w:rsidRDefault="00DB6E47" w:rsidP="00DB6E47">
      <w:pPr>
        <w:pStyle w:val="Apara"/>
      </w:pPr>
      <w:r w:rsidRPr="00544ED5">
        <w:tab/>
        <w:t>(d)</w:t>
      </w:r>
      <w:r w:rsidRPr="00544ED5">
        <w:tab/>
        <w:t>there may be at the place evidence of the</w:t>
      </w:r>
      <w:r w:rsidR="00144A36">
        <w:t xml:space="preserve"> offence mentioned in paragraph </w:t>
      </w:r>
      <w:r w:rsidRPr="00544ED5">
        <w:t>(b)</w:t>
      </w:r>
      <w:r w:rsidR="00144A36">
        <w:t xml:space="preserve"> </w:t>
      </w:r>
      <w:r w:rsidRPr="00544ED5">
        <w:t>that may be concealed or destroyed unless the place is immediately entered and searched.</w:t>
      </w:r>
    </w:p>
    <w:p w14:paraId="5A09995B" w14:textId="77777777" w:rsidR="00DB6E47" w:rsidRPr="00C62D32" w:rsidRDefault="00DB6E47" w:rsidP="00D049AC">
      <w:pPr>
        <w:pStyle w:val="Amain"/>
        <w:keepNext/>
      </w:pPr>
      <w:r w:rsidRPr="00C62D32">
        <w:lastRenderedPageBreak/>
        <w:tab/>
        <w:t>(2)</w:t>
      </w:r>
      <w:r w:rsidRPr="00C62D32">
        <w:tab/>
        <w:t>For the purposes of subsection (1), there is a connection between a place and a heavy vehicle if—</w:t>
      </w:r>
    </w:p>
    <w:p w14:paraId="3D4D0C34" w14:textId="77777777" w:rsidR="00DB6E47" w:rsidRPr="00544ED5" w:rsidRDefault="00DB6E47" w:rsidP="00DB6E47">
      <w:pPr>
        <w:pStyle w:val="Apara"/>
      </w:pPr>
      <w:r w:rsidRPr="00544ED5">
        <w:tab/>
        <w:t>(a)</w:t>
      </w:r>
      <w:r w:rsidRPr="00544ED5">
        <w:tab/>
        <w:t>the place is the vehicle’s garage address or, if the vehicle is a combination, the garage address of a heavy vehicle in the combination; or</w:t>
      </w:r>
    </w:p>
    <w:p w14:paraId="4FDA000E" w14:textId="77777777" w:rsidR="00DB6E47" w:rsidRPr="00544ED5" w:rsidRDefault="00DB6E47" w:rsidP="00DB6E47">
      <w:pPr>
        <w:pStyle w:val="Apara"/>
      </w:pPr>
      <w:r w:rsidRPr="00544ED5">
        <w:tab/>
        <w:t>(b)</w:t>
      </w:r>
      <w:r w:rsidRPr="00544ED5">
        <w:tab/>
        <w:t>the vehicle is, or within the past 72 hours has been, located at the place; or</w:t>
      </w:r>
    </w:p>
    <w:p w14:paraId="7940F8C4" w14:textId="77777777" w:rsidR="00DB6E47" w:rsidRPr="00544ED5" w:rsidRDefault="00DB6E47" w:rsidP="00DB6E47">
      <w:pPr>
        <w:pStyle w:val="Apara"/>
      </w:pPr>
      <w:r w:rsidRPr="00544ED5">
        <w:tab/>
        <w:t>(c)</w:t>
      </w:r>
      <w:r w:rsidRPr="00544ED5">
        <w:tab/>
        <w:t>the place is, or may be, otherwise directly or indirectly connected with the vehicle or any part of its equipment or load.</w:t>
      </w:r>
    </w:p>
    <w:p w14:paraId="4C9475AE" w14:textId="77777777" w:rsidR="00DB6E47" w:rsidRPr="00C62D32" w:rsidRDefault="00DB6E47" w:rsidP="00DB6E47">
      <w:pPr>
        <w:pStyle w:val="Amain"/>
      </w:pPr>
      <w:r w:rsidRPr="00C62D32">
        <w:tab/>
        <w:t>(3)</w:t>
      </w:r>
      <w:r w:rsidRPr="00C62D32">
        <w:tab/>
        <w:t>This section does not authorise an authorised officer to enter a place in relation to an incident that involves the death, or injury to, a person unless the authorised officer is a police officer.</w:t>
      </w:r>
    </w:p>
    <w:p w14:paraId="7673856D" w14:textId="77777777" w:rsidR="00DB6E47" w:rsidRPr="00C62D32" w:rsidRDefault="00DB6E47" w:rsidP="00DB6E47">
      <w:pPr>
        <w:pStyle w:val="Amain"/>
      </w:pPr>
      <w:r w:rsidRPr="00C62D32">
        <w:tab/>
        <w:t>(4)</w:t>
      </w:r>
      <w:r w:rsidRPr="00C62D32">
        <w:tab/>
        <w:t>This section does not authorise an authorised officer, without the occupier’s consent or a warrant, to enter—</w:t>
      </w:r>
    </w:p>
    <w:p w14:paraId="48D2920B" w14:textId="77777777" w:rsidR="00DB6E47" w:rsidRPr="00544ED5" w:rsidRDefault="00DB6E47" w:rsidP="00DB6E47">
      <w:pPr>
        <w:pStyle w:val="Apara"/>
      </w:pPr>
      <w:r w:rsidRPr="00544ED5">
        <w:tab/>
        <w:t>(a)</w:t>
      </w:r>
      <w:r w:rsidRPr="00544ED5">
        <w:tab/>
        <w:t>a place that is unattended, unless the officer reasonably believes the place is attended; or</w:t>
      </w:r>
    </w:p>
    <w:p w14:paraId="51399C1E" w14:textId="77777777" w:rsidR="00DB6E47" w:rsidRPr="00544ED5" w:rsidRDefault="00DB6E47" w:rsidP="00DB6E47">
      <w:pPr>
        <w:pStyle w:val="Apara"/>
      </w:pPr>
      <w:r w:rsidRPr="00544ED5">
        <w:tab/>
        <w:t>(b)</w:t>
      </w:r>
      <w:r w:rsidRPr="00544ED5">
        <w:tab/>
        <w:t>a place, or part of a place, used predominantly for residential purposes.</w:t>
      </w:r>
    </w:p>
    <w:p w14:paraId="2A2708DC" w14:textId="77777777" w:rsidR="00DB6E47" w:rsidRPr="00C62D32" w:rsidRDefault="00DB6E47" w:rsidP="00DB6E47">
      <w:pPr>
        <w:pStyle w:val="Amain"/>
      </w:pPr>
      <w:r w:rsidRPr="00C62D32">
        <w:tab/>
        <w:t>(5)</w:t>
      </w:r>
      <w:r w:rsidRPr="00C62D32">
        <w:tab/>
        <w:t>If an authorised officer enters a place without the occupier’s consent or a warrant, reasonably believing the place is attended, the officer must leave the place immediately after finding the place is or appears to be unattended.</w:t>
      </w:r>
    </w:p>
    <w:p w14:paraId="368BB138" w14:textId="77777777" w:rsidR="00DB6E47" w:rsidRPr="00C62D32" w:rsidRDefault="00DB6E47" w:rsidP="00DB6E47">
      <w:pPr>
        <w:pStyle w:val="Amain"/>
      </w:pPr>
      <w:r w:rsidRPr="00C62D32">
        <w:tab/>
        <w:t>(6)</w:t>
      </w:r>
      <w:r w:rsidRPr="00C62D32">
        <w:tab/>
        <w:t>An authorised officer may open unlocked doors and other unlocked panels and things at a place for gaining entry to the place under subsection (1).</w:t>
      </w:r>
    </w:p>
    <w:p w14:paraId="281A8E42" w14:textId="77777777" w:rsidR="00DB6E47" w:rsidRPr="00C62D32" w:rsidRDefault="00DB6E47" w:rsidP="00DB6E47">
      <w:pPr>
        <w:pStyle w:val="Amain"/>
      </w:pPr>
      <w:r w:rsidRPr="00C62D32">
        <w:tab/>
        <w:t>(7)</w:t>
      </w:r>
      <w:r w:rsidRPr="00C62D32">
        <w:tab/>
        <w:t>This section does not authorise an authorised officer to use force for exercising a power under this section.</w:t>
      </w:r>
    </w:p>
    <w:p w14:paraId="1DD03672" w14:textId="77777777" w:rsidR="00DB6E47" w:rsidRPr="007E1F9A" w:rsidRDefault="00DB6E47" w:rsidP="00DB6E47">
      <w:pPr>
        <w:pStyle w:val="AH5Sec"/>
      </w:pPr>
      <w:bookmarkStart w:id="588" w:name="_Toc83625932"/>
      <w:r w:rsidRPr="005E03F7">
        <w:rPr>
          <w:rStyle w:val="CharSectNo"/>
        </w:rPr>
        <w:lastRenderedPageBreak/>
        <w:t>500</w:t>
      </w:r>
      <w:r w:rsidRPr="007E1F9A">
        <w:tab/>
      </w:r>
      <w:r w:rsidRPr="007E1F9A">
        <w:rPr>
          <w:rFonts w:ascii="Helvetica" w:hAnsi="Helvetica" w:cs="Helvetica"/>
          <w:iCs/>
        </w:rPr>
        <w:t>General powers after entering a place</w:t>
      </w:r>
      <w:bookmarkEnd w:id="588"/>
    </w:p>
    <w:p w14:paraId="57C57D4B" w14:textId="77777777" w:rsidR="00DB6E47" w:rsidRPr="00C62D32" w:rsidRDefault="00DB6E47" w:rsidP="00DB6E47">
      <w:pPr>
        <w:pStyle w:val="Amain"/>
      </w:pPr>
      <w:r w:rsidRPr="00C62D32">
        <w:tab/>
        <w:t>(1)</w:t>
      </w:r>
      <w:r w:rsidRPr="00C62D32">
        <w:tab/>
        <w:t xml:space="preserve">If an authorised officer enters a place under section 497(1), the officer may, for investigation purposes, do any of the following (each a </w:t>
      </w:r>
      <w:r w:rsidRPr="00FF4454">
        <w:rPr>
          <w:rStyle w:val="charBoldItals"/>
        </w:rPr>
        <w:t>general power</w:t>
      </w:r>
      <w:r w:rsidRPr="00C62D32">
        <w:t>)—</w:t>
      </w:r>
    </w:p>
    <w:p w14:paraId="4E6483D5" w14:textId="77777777" w:rsidR="00DB6E47" w:rsidRPr="00544ED5" w:rsidRDefault="00DB6E47" w:rsidP="00DB6E47">
      <w:pPr>
        <w:pStyle w:val="Apara"/>
      </w:pPr>
      <w:r w:rsidRPr="00544ED5">
        <w:tab/>
        <w:t>(a)</w:t>
      </w:r>
      <w:r w:rsidRPr="00544ED5">
        <w:tab/>
        <w:t>search any part of the place or a vehicle at the place, including—</w:t>
      </w:r>
    </w:p>
    <w:p w14:paraId="01225734" w14:textId="77777777" w:rsidR="00DB6E47" w:rsidRPr="00516F02" w:rsidRDefault="00DB6E47" w:rsidP="00DB6E47">
      <w:pPr>
        <w:pStyle w:val="Asubpara"/>
      </w:pPr>
      <w:r w:rsidRPr="00516F02">
        <w:tab/>
        <w:t>(i)</w:t>
      </w:r>
      <w:r w:rsidRPr="00516F02">
        <w:tab/>
        <w:t>searching any part of the place or a vehicle at the place for evidence of an offence against this Law; and</w:t>
      </w:r>
    </w:p>
    <w:p w14:paraId="1D780AAF" w14:textId="77777777" w:rsidR="00DB6E47" w:rsidRPr="00516F02" w:rsidRDefault="00DB6E47" w:rsidP="00DB6E47">
      <w:pPr>
        <w:pStyle w:val="Asubpara"/>
      </w:pPr>
      <w:r w:rsidRPr="00516F02">
        <w:tab/>
        <w:t>(ii)</w:t>
      </w:r>
      <w:r w:rsidRPr="00516F02">
        <w:tab/>
        <w:t>searching any part of the place or a vehicle at the place for a document, device or other thing relating to a heavy vehicle or any part of its equipment or load;</w:t>
      </w:r>
    </w:p>
    <w:p w14:paraId="213E962C" w14:textId="77777777" w:rsidR="00DB6E47" w:rsidRPr="00544ED5" w:rsidRDefault="00DB6E47" w:rsidP="00DB6E47">
      <w:pPr>
        <w:pStyle w:val="Apara"/>
      </w:pPr>
      <w:r w:rsidRPr="00544ED5">
        <w:tab/>
        <w:t>(b)</w:t>
      </w:r>
      <w:r w:rsidRPr="00544ED5">
        <w:tab/>
        <w:t>inspect, examine or film any part of the place or anything at the place;</w:t>
      </w:r>
    </w:p>
    <w:p w14:paraId="7913D69B" w14:textId="77777777" w:rsidR="00DB6E47" w:rsidRPr="00544ED5" w:rsidRDefault="00DB6E47" w:rsidP="00DB6E47">
      <w:pPr>
        <w:pStyle w:val="Apara"/>
      </w:pPr>
      <w:r w:rsidRPr="00544ED5">
        <w:tab/>
        <w:t>(c)</w:t>
      </w:r>
      <w:r w:rsidRPr="00544ED5">
        <w:tab/>
        <w:t>take a thing, or a sample of or from a thing, at the place for examination;</w:t>
      </w:r>
    </w:p>
    <w:p w14:paraId="091CFED9" w14:textId="77777777" w:rsidR="00DB6E47" w:rsidRPr="00544ED5" w:rsidRDefault="00DB6E47" w:rsidP="00DB6E47">
      <w:pPr>
        <w:pStyle w:val="Apara"/>
      </w:pPr>
      <w:r w:rsidRPr="00544ED5">
        <w:tab/>
        <w:t>(d)</w:t>
      </w:r>
      <w:r w:rsidRPr="00544ED5">
        <w:tab/>
        <w:t>place an identifying mark in or on anything at the place;</w:t>
      </w:r>
    </w:p>
    <w:p w14:paraId="3869705F" w14:textId="77777777" w:rsidR="00DB6E47" w:rsidRPr="00544ED5" w:rsidRDefault="00DB6E47" w:rsidP="00DB6E47">
      <w:pPr>
        <w:pStyle w:val="Apara"/>
      </w:pPr>
      <w:r w:rsidRPr="00544ED5">
        <w:tab/>
        <w:t>(e)</w:t>
      </w:r>
      <w:r w:rsidRPr="00544ED5">
        <w:tab/>
        <w:t>take an extract from a document, device or other thing at the place, including, for example—</w:t>
      </w:r>
    </w:p>
    <w:p w14:paraId="4008C66D" w14:textId="77777777" w:rsidR="00DB6E47" w:rsidRPr="00516F02" w:rsidRDefault="00DB6E47" w:rsidP="00DB6E47">
      <w:pPr>
        <w:pStyle w:val="Asubpara"/>
      </w:pPr>
      <w:r w:rsidRPr="00516F02">
        <w:tab/>
        <w:t>(i)</w:t>
      </w:r>
      <w:r w:rsidRPr="00516F02">
        <w:tab/>
        <w:t>by taking a copy of, or an extract from, a readout or other data obtained from a device or other thing at the place; or</w:t>
      </w:r>
    </w:p>
    <w:p w14:paraId="2BB11C3D" w14:textId="77777777" w:rsidR="00DB6E47" w:rsidRPr="00516F02" w:rsidRDefault="00DB6E47" w:rsidP="00DB6E47">
      <w:pPr>
        <w:pStyle w:val="Asubpara"/>
      </w:pPr>
      <w:r w:rsidRPr="00516F02">
        <w:tab/>
        <w:t>(ii)</w:t>
      </w:r>
      <w:r w:rsidRPr="00516F02">
        <w:tab/>
        <w:t>by accessing and downloading information from a device or other thing at the place;</w:t>
      </w:r>
    </w:p>
    <w:p w14:paraId="4495256E" w14:textId="77777777" w:rsidR="00DB6E47" w:rsidRPr="00C96203" w:rsidRDefault="00DB6E47" w:rsidP="00DB6E47">
      <w:pPr>
        <w:pStyle w:val="aExamHdgss"/>
      </w:pPr>
      <w:r w:rsidRPr="00C96203">
        <w:rPr>
          <w:rFonts w:cs="Times"/>
          <w:bCs/>
          <w:iCs/>
        </w:rPr>
        <w:t>Example of device or other thing—</w:t>
      </w:r>
    </w:p>
    <w:p w14:paraId="28C9BB90" w14:textId="77777777" w:rsidR="00DB6E47" w:rsidRPr="00C96203" w:rsidRDefault="00DB6E47" w:rsidP="00DB6E47">
      <w:pPr>
        <w:pStyle w:val="aExamss"/>
      </w:pPr>
      <w:r w:rsidRPr="00C96203">
        <w:t>an intelligent transport system</w:t>
      </w:r>
    </w:p>
    <w:p w14:paraId="5E2D4B8B" w14:textId="77777777" w:rsidR="00DB6E47" w:rsidRPr="00544ED5" w:rsidRDefault="00DB6E47" w:rsidP="00C80C84">
      <w:pPr>
        <w:pStyle w:val="Apara"/>
        <w:keepNext/>
      </w:pPr>
      <w:r w:rsidRPr="00544ED5">
        <w:lastRenderedPageBreak/>
        <w:tab/>
        <w:t>(f)</w:t>
      </w:r>
      <w:r w:rsidRPr="00544ED5">
        <w:tab/>
        <w:t>copy a document at the place, or take a document at the place to another place to copy it;</w:t>
      </w:r>
    </w:p>
    <w:p w14:paraId="0AB7F13C" w14:textId="77777777" w:rsidR="00DB6E47" w:rsidRPr="00C96203" w:rsidRDefault="00DB6E47" w:rsidP="00DB6E47">
      <w:pPr>
        <w:pStyle w:val="aExamHdgss"/>
      </w:pPr>
      <w:r w:rsidRPr="00C96203">
        <w:rPr>
          <w:rFonts w:cs="Times"/>
          <w:bCs/>
          <w:iCs/>
        </w:rPr>
        <w:t>Examples of documents</w:t>
      </w:r>
      <w:r w:rsidR="00144A36">
        <w:rPr>
          <w:rFonts w:cs="Times"/>
          <w:bCs/>
          <w:iCs/>
        </w:rPr>
        <w:t xml:space="preserve"> for the purposes of paragraphs </w:t>
      </w:r>
      <w:r w:rsidRPr="00C96203">
        <w:rPr>
          <w:rFonts w:cs="Times"/>
          <w:bCs/>
          <w:iCs/>
        </w:rPr>
        <w:t>(e)</w:t>
      </w:r>
      <w:r w:rsidR="00144A36">
        <w:rPr>
          <w:rFonts w:cs="Times"/>
          <w:bCs/>
          <w:iCs/>
        </w:rPr>
        <w:t xml:space="preserve"> </w:t>
      </w:r>
      <w:r w:rsidRPr="00C96203">
        <w:rPr>
          <w:rFonts w:cs="Times"/>
          <w:bCs/>
          <w:iCs/>
        </w:rPr>
        <w:t>and (f)—</w:t>
      </w:r>
    </w:p>
    <w:p w14:paraId="4DAE4730" w14:textId="77777777" w:rsidR="00DB6E47" w:rsidRPr="00C96203" w:rsidRDefault="00DB6E47" w:rsidP="009556BA">
      <w:pPr>
        <w:pStyle w:val="aExamBulletss"/>
        <w:keepNext/>
      </w:pPr>
      <w:r w:rsidRPr="00C96203">
        <w:t xml:space="preserve">• </w:t>
      </w:r>
      <w:r w:rsidRPr="00C96203">
        <w:tab/>
        <w:t>a document required to be kept at the place under this Law or a heavy vehicle accreditation</w:t>
      </w:r>
    </w:p>
    <w:p w14:paraId="31EDE5B7" w14:textId="77777777" w:rsidR="00DB6E47" w:rsidRPr="00C96203" w:rsidRDefault="00DB6E47" w:rsidP="009556BA">
      <w:pPr>
        <w:pStyle w:val="aExamBulletss"/>
        <w:keepNext/>
      </w:pPr>
      <w:r w:rsidRPr="00C96203">
        <w:t xml:space="preserve">• </w:t>
      </w:r>
      <w:r w:rsidRPr="00C96203">
        <w:tab/>
        <w:t>transport documentation</w:t>
      </w:r>
    </w:p>
    <w:p w14:paraId="0E9258D4" w14:textId="77777777" w:rsidR="00DB6E47" w:rsidRPr="00C96203" w:rsidRDefault="00DB6E47" w:rsidP="00DB6E47">
      <w:pPr>
        <w:pStyle w:val="aExamBulletss"/>
      </w:pPr>
      <w:r w:rsidRPr="00C96203">
        <w:t xml:space="preserve">• </w:t>
      </w:r>
      <w:r w:rsidRPr="00C96203">
        <w:tab/>
        <w:t>journey documentation</w:t>
      </w:r>
    </w:p>
    <w:p w14:paraId="1F666B19" w14:textId="77777777" w:rsidR="00DB6E47" w:rsidRPr="00C96203" w:rsidRDefault="00DB6E47" w:rsidP="00DB6E47">
      <w:pPr>
        <w:pStyle w:val="aExamBulletss"/>
      </w:pPr>
      <w:r w:rsidRPr="00C96203">
        <w:t xml:space="preserve">• </w:t>
      </w:r>
      <w:r w:rsidRPr="00C96203">
        <w:tab/>
        <w:t>a document the authorised officer reasonably believes provides, or may provide on further inspection, evidence of an offence against this Law</w:t>
      </w:r>
    </w:p>
    <w:p w14:paraId="37276CC2" w14:textId="77777777" w:rsidR="00DB6E47" w:rsidRPr="00544ED5" w:rsidRDefault="00DB6E47" w:rsidP="00DB6E47">
      <w:pPr>
        <w:pStyle w:val="Apara"/>
      </w:pPr>
      <w:r w:rsidRPr="00544ED5">
        <w:tab/>
        <w:t>(g)</w:t>
      </w:r>
      <w:r w:rsidRPr="00544ED5">
        <w:tab/>
        <w:t>produce an image or writing at the place from an electronic document at the place or, if it is not practicable to produce the image or writing at the place, take a thing containing the electronic document to another place to produce the image or writing;</w:t>
      </w:r>
    </w:p>
    <w:p w14:paraId="7E841DAC" w14:textId="77777777" w:rsidR="00DB6E47" w:rsidRPr="00544ED5" w:rsidRDefault="00DB6E47" w:rsidP="00DB6E47">
      <w:pPr>
        <w:pStyle w:val="Apara"/>
      </w:pPr>
      <w:r w:rsidRPr="00544ED5">
        <w:tab/>
        <w:t>(h)</w:t>
      </w:r>
      <w:r w:rsidRPr="00544ED5">
        <w:tab/>
        <w:t>exercise a power in relation to a heavy vehicle at the place that the authorised officer may exercise under Part 9.3;</w:t>
      </w:r>
    </w:p>
    <w:p w14:paraId="2D734F77" w14:textId="77777777" w:rsidR="00DB6E47" w:rsidRPr="00544ED5" w:rsidRDefault="00DB6E47" w:rsidP="00DB6E47">
      <w:pPr>
        <w:pStyle w:val="Apara"/>
      </w:pPr>
      <w:r w:rsidRPr="00544ED5">
        <w:tab/>
        <w:t>(i)</w:t>
      </w:r>
      <w:r w:rsidRPr="00544ED5">
        <w:tab/>
        <w:t>take to, into or onto the place and use any persons, equipment, materials, vehicles or other things the officer reasonably requires for exercising the officer’s powers under this section.</w:t>
      </w:r>
    </w:p>
    <w:p w14:paraId="3BBC44FF" w14:textId="77777777" w:rsidR="00DB6E47" w:rsidRPr="00C96203" w:rsidRDefault="00DB6E47" w:rsidP="00DB6E47">
      <w:pPr>
        <w:pStyle w:val="aNote"/>
      </w:pPr>
      <w:r w:rsidRPr="00FF4454">
        <w:rPr>
          <w:rStyle w:val="charItals"/>
        </w:rPr>
        <w:t>Note</w:t>
      </w:r>
      <w:r w:rsidRPr="00C96203">
        <w:rPr>
          <w:rFonts w:cs="Times"/>
          <w:bCs/>
          <w:iCs/>
        </w:rPr>
        <w:t>—</w:t>
      </w:r>
    </w:p>
    <w:p w14:paraId="40AFD064" w14:textId="77777777" w:rsidR="00DB6E47" w:rsidRPr="00C96203" w:rsidRDefault="00DB6E47" w:rsidP="00DB6E47">
      <w:pPr>
        <w:pStyle w:val="aNoteTextss"/>
      </w:pPr>
      <w:r w:rsidRPr="00C96203">
        <w:t>The term ‘public place’ is defined in section 5 as a place or part of a place—</w:t>
      </w:r>
    </w:p>
    <w:p w14:paraId="33DA596E" w14:textId="77777777" w:rsidR="00DB6E47" w:rsidRPr="00C96203" w:rsidRDefault="00DB6E47" w:rsidP="00DB6E47">
      <w:pPr>
        <w:pStyle w:val="aNotePara"/>
      </w:pPr>
      <w:r w:rsidRPr="00C96203">
        <w:tab/>
        <w:t>(a)</w:t>
      </w:r>
      <w:r w:rsidRPr="00C96203">
        <w:tab/>
        <w:t>that the public is entitled to use, is open to members of the public or is used by the public, whether or not on payment of money; or</w:t>
      </w:r>
    </w:p>
    <w:p w14:paraId="5AA5A747" w14:textId="77777777" w:rsidR="00DB6E47" w:rsidRPr="00C96203" w:rsidRDefault="00DB6E47" w:rsidP="00DB6E47">
      <w:pPr>
        <w:pStyle w:val="aNotePara"/>
      </w:pPr>
      <w:r w:rsidRPr="00C96203">
        <w:tab/>
        <w:t>(b)</w:t>
      </w:r>
      <w:r w:rsidRPr="00C96203">
        <w:tab/>
        <w:t>the occupier of which allows members of the public to enter, whether or not on payment of money.</w:t>
      </w:r>
    </w:p>
    <w:p w14:paraId="200F323A" w14:textId="77777777" w:rsidR="00DB6E47" w:rsidRPr="00C96203" w:rsidRDefault="00DB6E47" w:rsidP="00DB6E47">
      <w:pPr>
        <w:pStyle w:val="aNoteTextss"/>
      </w:pPr>
      <w:r w:rsidRPr="00C96203">
        <w:t>Accordingly, the term ‘public place’ does not include an office area or an area behind a reception counter, unless the public have access to the area as provided in the definition.</w:t>
      </w:r>
    </w:p>
    <w:p w14:paraId="02068FF9" w14:textId="77777777" w:rsidR="00DB6E47" w:rsidRPr="00CC4412" w:rsidRDefault="00DB6E47" w:rsidP="00DB6E47">
      <w:pPr>
        <w:pStyle w:val="Amain"/>
      </w:pPr>
      <w:r w:rsidRPr="00CC4412">
        <w:tab/>
        <w:t>(2)</w:t>
      </w:r>
      <w:r w:rsidRPr="00CC4412">
        <w:tab/>
        <w:t>The authorised officer may take a necessary step to allow the exercise of a general power, including, for example—</w:t>
      </w:r>
    </w:p>
    <w:p w14:paraId="50CE0013" w14:textId="77777777" w:rsidR="00DB6E47" w:rsidRPr="00544ED5" w:rsidRDefault="00DB6E47" w:rsidP="00DB6E47">
      <w:pPr>
        <w:pStyle w:val="Apara"/>
      </w:pPr>
      <w:r w:rsidRPr="00544ED5">
        <w:tab/>
        <w:t>(a)</w:t>
      </w:r>
      <w:r w:rsidRPr="00544ED5">
        <w:tab/>
        <w:t>open an unlocked door or an unlocked panel or thing at the place; and</w:t>
      </w:r>
    </w:p>
    <w:p w14:paraId="09E5B0B9" w14:textId="77777777" w:rsidR="00DB6E47" w:rsidRPr="00544ED5" w:rsidRDefault="00DB6E47" w:rsidP="00DB6E47">
      <w:pPr>
        <w:pStyle w:val="Apara"/>
      </w:pPr>
      <w:r w:rsidRPr="00544ED5">
        <w:lastRenderedPageBreak/>
        <w:tab/>
        <w:t>(b)</w:t>
      </w:r>
      <w:r w:rsidRPr="00544ED5">
        <w:tab/>
        <w:t>move anything that is not locked up or sealed; and</w:t>
      </w:r>
    </w:p>
    <w:p w14:paraId="4BB96F31" w14:textId="77777777" w:rsidR="00DB6E47" w:rsidRPr="00544ED5" w:rsidRDefault="00DB6E47" w:rsidP="00DB6E47">
      <w:pPr>
        <w:pStyle w:val="Apara"/>
      </w:pPr>
      <w:r w:rsidRPr="00544ED5">
        <w:tab/>
        <w:t>(c)</w:t>
      </w:r>
      <w:r w:rsidRPr="00544ED5">
        <w:tab/>
        <w:t>if the authorised officer entered the place under section</w:t>
      </w:r>
      <w:r w:rsidR="00144A36">
        <w:t> </w:t>
      </w:r>
      <w:r w:rsidRPr="00544ED5">
        <w:t>497(1)(c), use the force that is reasonably necessary for the exercise of the power.</w:t>
      </w:r>
    </w:p>
    <w:p w14:paraId="23EB774E" w14:textId="77777777" w:rsidR="00DB6E47" w:rsidRPr="00CC4412" w:rsidRDefault="00DB6E47" w:rsidP="00DB6E47">
      <w:pPr>
        <w:pStyle w:val="Amain"/>
      </w:pPr>
      <w:r w:rsidRPr="00CC4412">
        <w:tab/>
        <w:t>(3)</w:t>
      </w:r>
      <w:r w:rsidRPr="00CC4412">
        <w:tab/>
        <w:t>If an authorised officer takes, or authorises another person to take, a thing or sample for examination under subsection (1)(c), the officer must—</w:t>
      </w:r>
    </w:p>
    <w:p w14:paraId="1B4CB046" w14:textId="77777777" w:rsidR="00DB6E47" w:rsidRPr="00544ED5" w:rsidRDefault="00DB6E47" w:rsidP="00DB6E47">
      <w:pPr>
        <w:pStyle w:val="Apara"/>
      </w:pPr>
      <w:r w:rsidRPr="00544ED5">
        <w:tab/>
        <w:t>(a)</w:t>
      </w:r>
      <w:r w:rsidRPr="00544ED5">
        <w:tab/>
        <w:t>give a receipt for the thing or sample to—</w:t>
      </w:r>
    </w:p>
    <w:p w14:paraId="68132519" w14:textId="77777777" w:rsidR="00DB6E47" w:rsidRPr="00516F02" w:rsidRDefault="00DB6E47" w:rsidP="00DB6E47">
      <w:pPr>
        <w:pStyle w:val="Asubpara"/>
      </w:pPr>
      <w:r w:rsidRPr="00516F02">
        <w:tab/>
        <w:t>(i)</w:t>
      </w:r>
      <w:r w:rsidRPr="00516F02">
        <w:tab/>
        <w:t>the person in possession of the thing or sample or the thing from which the sample was taken; or</w:t>
      </w:r>
    </w:p>
    <w:p w14:paraId="41832EB6" w14:textId="77777777" w:rsidR="00DB6E47" w:rsidRPr="00516F02" w:rsidRDefault="00DB6E47" w:rsidP="00DB6E47">
      <w:pPr>
        <w:pStyle w:val="Asubpara"/>
      </w:pPr>
      <w:r w:rsidRPr="00516F02">
        <w:tab/>
        <w:t>(ii)</w:t>
      </w:r>
      <w:r w:rsidRPr="00516F02">
        <w:tab/>
        <w:t>the person in charge of the place from which the thing or sample was taken; and</w:t>
      </w:r>
    </w:p>
    <w:p w14:paraId="60A3D4E8" w14:textId="77777777" w:rsidR="00DB6E47" w:rsidRPr="00544ED5" w:rsidRDefault="00DB6E47" w:rsidP="00DB6E47">
      <w:pPr>
        <w:pStyle w:val="Apara"/>
      </w:pPr>
      <w:r w:rsidRPr="00544ED5">
        <w:tab/>
        <w:t>(b)</w:t>
      </w:r>
      <w:r w:rsidRPr="00544ED5">
        <w:tab/>
        <w:t>at the end of 6 months after the thing or sample was taken, return it to the person who appears to be an owner of it, a person to whom a re</w:t>
      </w:r>
      <w:r w:rsidR="00144A36">
        <w:t xml:space="preserve">ceipt was given under paragraph </w:t>
      </w:r>
      <w:r w:rsidRPr="00544ED5">
        <w:t>(a)</w:t>
      </w:r>
      <w:r w:rsidR="00144A36">
        <w:t xml:space="preserve"> </w:t>
      </w:r>
      <w:r w:rsidRPr="00544ED5">
        <w:t>for it, or a person in charge of the place from which it was taken, unless the thing or sample—</w:t>
      </w:r>
    </w:p>
    <w:p w14:paraId="082BAB7D" w14:textId="77777777" w:rsidR="00DB6E47" w:rsidRPr="00516F02" w:rsidRDefault="00DB6E47" w:rsidP="00DB6E47">
      <w:pPr>
        <w:pStyle w:val="Asubpara"/>
      </w:pPr>
      <w:r w:rsidRPr="00516F02">
        <w:tab/>
        <w:t>(i)</w:t>
      </w:r>
      <w:r w:rsidRPr="00516F02">
        <w:tab/>
        <w:t>has been seized under section 549; or</w:t>
      </w:r>
    </w:p>
    <w:p w14:paraId="0E5EA0C5" w14:textId="77777777" w:rsidR="00DB6E47" w:rsidRPr="00516F02" w:rsidRDefault="00DB6E47" w:rsidP="00DB6E47">
      <w:pPr>
        <w:pStyle w:val="Asubpara"/>
      </w:pPr>
      <w:r w:rsidRPr="00516F02">
        <w:tab/>
        <w:t>(ii)</w:t>
      </w:r>
      <w:r w:rsidRPr="00516F02">
        <w:tab/>
        <w:t>does not have any intrinsic value.</w:t>
      </w:r>
    </w:p>
    <w:p w14:paraId="5F4A6E8C" w14:textId="77777777" w:rsidR="00DB6E47" w:rsidRPr="00C96203" w:rsidRDefault="00DB6E47" w:rsidP="00DB6E47">
      <w:pPr>
        <w:pStyle w:val="aNote"/>
      </w:pPr>
      <w:r w:rsidRPr="00FF4454">
        <w:rPr>
          <w:rStyle w:val="charItals"/>
        </w:rPr>
        <w:t>Note</w:t>
      </w:r>
      <w:r w:rsidRPr="00C96203">
        <w:rPr>
          <w:rFonts w:cs="Times"/>
          <w:bCs/>
          <w:iCs/>
        </w:rPr>
        <w:t>—</w:t>
      </w:r>
    </w:p>
    <w:p w14:paraId="457FC78D" w14:textId="77777777" w:rsidR="00DB6E47" w:rsidRPr="00C96203" w:rsidRDefault="00DB6E47" w:rsidP="00DB6E47">
      <w:pPr>
        <w:pStyle w:val="aNoteTextss"/>
      </w:pPr>
      <w:r w:rsidRPr="00C96203">
        <w:t>See section 561 for what happens if a thing or sample can not be returned to its owner or the owner can not be found.</w:t>
      </w:r>
    </w:p>
    <w:p w14:paraId="52174C21" w14:textId="77777777" w:rsidR="00DB6E47" w:rsidRPr="00CC4412" w:rsidRDefault="00DB6E47" w:rsidP="00DB6E47">
      <w:pPr>
        <w:pStyle w:val="Amain"/>
      </w:pPr>
      <w:r w:rsidRPr="00CC4412">
        <w:tab/>
        <w:t>(4)</w:t>
      </w:r>
      <w:r w:rsidRPr="00CC4412">
        <w:tab/>
        <w:t>However, if for any reason it is not practicable to comply with subsection (3)(a), the authorised officer must leave the receipt at the place in a conspicuous position and in a reasonably secure way.</w:t>
      </w:r>
    </w:p>
    <w:p w14:paraId="62D07B02" w14:textId="77777777" w:rsidR="00DB6E47" w:rsidRPr="00CC4412" w:rsidRDefault="00DB6E47" w:rsidP="00DB6E47">
      <w:pPr>
        <w:pStyle w:val="Amain"/>
      </w:pPr>
      <w:r w:rsidRPr="00CC4412">
        <w:tab/>
        <w:t>(5)</w:t>
      </w:r>
      <w:r w:rsidRPr="00CC4412">
        <w:tab/>
        <w:t>For exercising a power under subsection (1)(f), the authorised officer may use photocopying equipment at the place free of charge.</w:t>
      </w:r>
    </w:p>
    <w:p w14:paraId="730BE094" w14:textId="77777777" w:rsidR="00DB6E47" w:rsidRPr="00C96203" w:rsidRDefault="00DB6E47" w:rsidP="00DB6E47">
      <w:pPr>
        <w:pStyle w:val="aNote"/>
      </w:pPr>
      <w:r w:rsidRPr="00FF4454">
        <w:rPr>
          <w:rStyle w:val="charItals"/>
        </w:rPr>
        <w:t>Note</w:t>
      </w:r>
      <w:r w:rsidRPr="00C96203">
        <w:rPr>
          <w:rFonts w:cs="Times"/>
          <w:bCs/>
          <w:iCs/>
        </w:rPr>
        <w:t>—</w:t>
      </w:r>
    </w:p>
    <w:p w14:paraId="29B37A57" w14:textId="77777777" w:rsidR="00DB6E47" w:rsidRPr="00C96203" w:rsidRDefault="00DB6E47" w:rsidP="00DB6E47">
      <w:pPr>
        <w:pStyle w:val="aNoteTextss"/>
      </w:pPr>
      <w:r w:rsidRPr="00C96203">
        <w:t>See also sections 543 and 544 for use of particular equipment at a place, or in a vehicle, entered under this Chapter.</w:t>
      </w:r>
    </w:p>
    <w:p w14:paraId="656916B9" w14:textId="77777777" w:rsidR="00DB6E47" w:rsidRPr="00CC4412" w:rsidRDefault="00DB6E47" w:rsidP="00DB6E47">
      <w:pPr>
        <w:pStyle w:val="Amain"/>
      </w:pPr>
      <w:r w:rsidRPr="00CC4412">
        <w:lastRenderedPageBreak/>
        <w:tab/>
        <w:t>(6)</w:t>
      </w:r>
      <w:r w:rsidRPr="00CC4412">
        <w:tab/>
        <w:t>If the authorised officer takes a document from the place to copy it, the document must be copied and returned to the place as soon as practicable.</w:t>
      </w:r>
    </w:p>
    <w:p w14:paraId="0B999D1D" w14:textId="77777777" w:rsidR="00DB6E47" w:rsidRPr="00CC4412" w:rsidRDefault="00DB6E47" w:rsidP="00DB6E47">
      <w:pPr>
        <w:pStyle w:val="Amain"/>
      </w:pPr>
      <w:r w:rsidRPr="00CC4412">
        <w:tab/>
        <w:t>(7)</w:t>
      </w:r>
      <w:r w:rsidRPr="00CC4412">
        <w:tab/>
        <w:t>If the authorised officer takes from the place a thing containing an electronic document to produce an image or writing from the document, the image or writing must be produced, and the thing must be returned to the place, as soon as practicable.</w:t>
      </w:r>
    </w:p>
    <w:p w14:paraId="1F2D1636" w14:textId="77777777" w:rsidR="00DB6E47" w:rsidRPr="00CC4412" w:rsidRDefault="00DB6E47" w:rsidP="00DB6E47">
      <w:pPr>
        <w:pStyle w:val="Amain"/>
      </w:pPr>
      <w:r w:rsidRPr="00CC4412">
        <w:tab/>
        <w:t>(8)</w:t>
      </w:r>
      <w:r w:rsidRPr="00CC4412">
        <w:tab/>
        <w:t>However—</w:t>
      </w:r>
    </w:p>
    <w:p w14:paraId="1FB9E3B2" w14:textId="77777777" w:rsidR="00DB6E47" w:rsidRPr="00544ED5" w:rsidRDefault="00DB6E47" w:rsidP="00DB6E47">
      <w:pPr>
        <w:pStyle w:val="Apara"/>
      </w:pPr>
      <w:r w:rsidRPr="00544ED5">
        <w:tab/>
        <w:t>(a)</w:t>
      </w:r>
      <w:r w:rsidRPr="00544ED5">
        <w:tab/>
        <w:t>if the authorised officer entered</w:t>
      </w:r>
      <w:r w:rsidR="00144A36">
        <w:t xml:space="preserve"> the place under section 497(1)</w:t>
      </w:r>
      <w:r w:rsidRPr="00544ED5">
        <w:t>(a), the officer’s powers under this section are subject to the conditions of the consent; and</w:t>
      </w:r>
    </w:p>
    <w:p w14:paraId="3960E17B" w14:textId="77777777" w:rsidR="00DB6E47" w:rsidRPr="00544ED5" w:rsidRDefault="00DB6E47" w:rsidP="00DB6E47">
      <w:pPr>
        <w:pStyle w:val="Apara"/>
      </w:pPr>
      <w:r w:rsidRPr="00544ED5">
        <w:tab/>
        <w:t>(b)</w:t>
      </w:r>
      <w:r w:rsidRPr="00544ED5">
        <w:tab/>
        <w:t>if the authorised officer entered the plac</w:t>
      </w:r>
      <w:r w:rsidR="00144A36">
        <w:t>e under section 497(1)</w:t>
      </w:r>
      <w:r w:rsidRPr="00544ED5">
        <w:t>(c), the officer’s powers under this section are subject to the terms of the warrant.</w:t>
      </w:r>
    </w:p>
    <w:p w14:paraId="54B6FFE7" w14:textId="77777777" w:rsidR="00DB6E47" w:rsidRPr="00CC4412" w:rsidRDefault="00DB6E47" w:rsidP="00DB6E47">
      <w:pPr>
        <w:pStyle w:val="Amain"/>
      </w:pPr>
      <w:r w:rsidRPr="00CC4412">
        <w:tab/>
        <w:t>(9)</w:t>
      </w:r>
      <w:r w:rsidRPr="00CC4412">
        <w:tab/>
        <w:t>Without limiting section 497(2), the authorised officer may exercise powers under this section at the place even if entry to the place was originally effected under Division 2 for monitoring purposes.</w:t>
      </w:r>
    </w:p>
    <w:p w14:paraId="0B84210E" w14:textId="77777777" w:rsidR="00DB6E47" w:rsidRDefault="00DB6E47" w:rsidP="00DB6E47">
      <w:pPr>
        <w:pStyle w:val="Amain"/>
      </w:pPr>
      <w:r w:rsidRPr="00CC4412">
        <w:tab/>
        <w:t>(10)</w:t>
      </w:r>
      <w:r w:rsidRPr="00CC4412">
        <w:tab/>
        <w:t>The power to search under this section does not include a power to search a person.</w:t>
      </w:r>
    </w:p>
    <w:p w14:paraId="66F4CB48" w14:textId="77777777" w:rsidR="00900924" w:rsidRPr="00485FC9" w:rsidRDefault="00900924" w:rsidP="00DB6E47">
      <w:pPr>
        <w:pStyle w:val="Amain"/>
      </w:pPr>
      <w:r w:rsidRPr="00485FC9">
        <w:tab/>
        <w:t>(11)</w:t>
      </w:r>
      <w:r w:rsidRPr="00485FC9">
        <w:tab/>
        <w:t>If the authorised officer is not a police officer, the officer may, for advice purposes, provide advice, information and education.</w:t>
      </w:r>
    </w:p>
    <w:p w14:paraId="58278802" w14:textId="77777777" w:rsidR="009556BA" w:rsidRPr="009556BA" w:rsidRDefault="009556BA" w:rsidP="009556BA">
      <w:pPr>
        <w:pStyle w:val="PageBreak"/>
      </w:pPr>
      <w:r w:rsidRPr="009556BA">
        <w:br w:type="page"/>
      </w:r>
    </w:p>
    <w:p w14:paraId="7F99A26B" w14:textId="4B5C9C57" w:rsidR="00DB6E47" w:rsidRPr="005E03F7" w:rsidRDefault="00DB6E47" w:rsidP="00DB6E47">
      <w:pPr>
        <w:pStyle w:val="AH3Div"/>
      </w:pPr>
      <w:bookmarkStart w:id="589" w:name="_Toc83625933"/>
      <w:r w:rsidRPr="005E03F7">
        <w:rPr>
          <w:rStyle w:val="CharDivNo"/>
        </w:rPr>
        <w:lastRenderedPageBreak/>
        <w:t>Division 4</w:t>
      </w:r>
      <w:r w:rsidRPr="00A95F9A">
        <w:rPr>
          <w:rFonts w:ascii="Helvetica" w:hAnsi="Helvetica" w:cs="Helvetica"/>
          <w:iCs/>
          <w:szCs w:val="28"/>
        </w:rPr>
        <w:tab/>
      </w:r>
      <w:r w:rsidRPr="005E03F7">
        <w:rPr>
          <w:rStyle w:val="CharDivText"/>
          <w:rFonts w:ascii="Helvetica" w:hAnsi="Helvetica" w:cs="Helvetica"/>
          <w:iCs/>
          <w:szCs w:val="28"/>
        </w:rPr>
        <w:t>Procedure for entry by consent</w:t>
      </w:r>
      <w:bookmarkEnd w:id="589"/>
    </w:p>
    <w:p w14:paraId="43F8E014" w14:textId="77777777" w:rsidR="00DB6E47" w:rsidRPr="007E1F9A" w:rsidRDefault="00DB6E47" w:rsidP="00DB6E47">
      <w:pPr>
        <w:pStyle w:val="AH5Sec"/>
      </w:pPr>
      <w:bookmarkStart w:id="590" w:name="_Toc83625934"/>
      <w:r w:rsidRPr="005E03F7">
        <w:rPr>
          <w:rStyle w:val="CharSectNo"/>
        </w:rPr>
        <w:t>501</w:t>
      </w:r>
      <w:r w:rsidRPr="007E1F9A">
        <w:tab/>
      </w:r>
      <w:r w:rsidRPr="007E1F9A">
        <w:rPr>
          <w:rFonts w:ascii="Helvetica" w:hAnsi="Helvetica" w:cs="Helvetica"/>
          <w:iCs/>
        </w:rPr>
        <w:t>Application of Div 4</w:t>
      </w:r>
      <w:bookmarkEnd w:id="590"/>
    </w:p>
    <w:p w14:paraId="3DB926D3" w14:textId="77777777" w:rsidR="00DB6E47" w:rsidRPr="00CC4412" w:rsidRDefault="00DB6E47" w:rsidP="00DB6E47">
      <w:pPr>
        <w:pStyle w:val="Amainreturn"/>
      </w:pPr>
      <w:r w:rsidRPr="00CC4412">
        <w:t>This Division applies if an authorised officer intends to ask an occupier of a place for consent to the officer or another authorised officer entering</w:t>
      </w:r>
      <w:r w:rsidR="00144A36">
        <w:t xml:space="preserve"> the place under section </w:t>
      </w:r>
      <w:r w:rsidR="00900924" w:rsidRPr="00485FC9">
        <w:t xml:space="preserve">494B(a), </w:t>
      </w:r>
      <w:r w:rsidR="00144A36">
        <w:t>495(1)</w:t>
      </w:r>
      <w:r w:rsidRPr="00CC4412">
        <w:t>(a)</w:t>
      </w:r>
      <w:r w:rsidR="00144A36">
        <w:t xml:space="preserve"> </w:t>
      </w:r>
      <w:r w:rsidRPr="00CC4412">
        <w:t>or 497(1)(a).</w:t>
      </w:r>
    </w:p>
    <w:p w14:paraId="0313320A" w14:textId="77777777" w:rsidR="00DB6E47" w:rsidRPr="007E1F9A" w:rsidRDefault="00DB6E47" w:rsidP="00DB6E47">
      <w:pPr>
        <w:pStyle w:val="AH5Sec"/>
      </w:pPr>
      <w:bookmarkStart w:id="591" w:name="_Toc83625935"/>
      <w:r w:rsidRPr="005E03F7">
        <w:rPr>
          <w:rStyle w:val="CharSectNo"/>
        </w:rPr>
        <w:t>502</w:t>
      </w:r>
      <w:r w:rsidRPr="007E1F9A">
        <w:tab/>
      </w:r>
      <w:r w:rsidRPr="007E1F9A">
        <w:rPr>
          <w:rFonts w:ascii="Helvetica" w:hAnsi="Helvetica" w:cs="Helvetica"/>
          <w:iCs/>
        </w:rPr>
        <w:t>Incidental entry to ask for access</w:t>
      </w:r>
      <w:bookmarkEnd w:id="591"/>
    </w:p>
    <w:p w14:paraId="127364C1" w14:textId="77777777" w:rsidR="00DB6E47" w:rsidRPr="00CC4412" w:rsidRDefault="00DB6E47" w:rsidP="00C80C84">
      <w:pPr>
        <w:pStyle w:val="Amain"/>
        <w:keepNext/>
      </w:pPr>
      <w:r w:rsidRPr="00CC4412">
        <w:tab/>
        <w:t>(1)</w:t>
      </w:r>
      <w:r w:rsidRPr="00CC4412">
        <w:tab/>
        <w:t>For the purpose of asking the occupier for the consent, the authorised officer may, without the occupier’s consent or a warrant—</w:t>
      </w:r>
    </w:p>
    <w:p w14:paraId="6FECFFA7" w14:textId="77777777" w:rsidR="00DB6E47" w:rsidRPr="00544ED5" w:rsidRDefault="00DB6E47" w:rsidP="00DB6E47">
      <w:pPr>
        <w:pStyle w:val="Apara"/>
      </w:pPr>
      <w:r w:rsidRPr="00544ED5">
        <w:tab/>
        <w:t>(a)</w:t>
      </w:r>
      <w:r w:rsidRPr="00544ED5">
        <w:tab/>
        <w:t>enter land around a building or other structure at the place to an extent that is reasonable to contact the occupier; or</w:t>
      </w:r>
    </w:p>
    <w:p w14:paraId="72189BB5" w14:textId="77777777" w:rsidR="00DB6E47" w:rsidRPr="00544ED5" w:rsidRDefault="00DB6E47" w:rsidP="00DB6E47">
      <w:pPr>
        <w:pStyle w:val="Apara"/>
      </w:pPr>
      <w:r w:rsidRPr="00544ED5">
        <w:tab/>
        <w:t>(b)</w:t>
      </w:r>
      <w:r w:rsidRPr="00544ED5">
        <w:tab/>
        <w:t>enter part of the place the officer reasonably believes members of the public ordinarily are allowed to enter when they wish to contact the occupier.</w:t>
      </w:r>
    </w:p>
    <w:p w14:paraId="351A5A47" w14:textId="77777777" w:rsidR="00DB6E47" w:rsidRPr="00CC4412" w:rsidRDefault="00DB6E47" w:rsidP="00DB6E47">
      <w:pPr>
        <w:pStyle w:val="Amain"/>
      </w:pPr>
      <w:r w:rsidRPr="00CC4412">
        <w:tab/>
        <w:t>(2)</w:t>
      </w:r>
      <w:r w:rsidRPr="00CC4412">
        <w:tab/>
        <w:t>The authorised officer must not enter land or a p</w:t>
      </w:r>
      <w:r w:rsidR="00144A36">
        <w:t xml:space="preserve">art of a place under subsection </w:t>
      </w:r>
      <w:r w:rsidRPr="00CC4412">
        <w:t>(1)</w:t>
      </w:r>
      <w:r w:rsidR="00144A36">
        <w:t xml:space="preserve"> </w:t>
      </w:r>
      <w:r w:rsidRPr="00CC4412">
        <w:t>if the officer knows or ought reasonably to know the place is unattended.</w:t>
      </w:r>
    </w:p>
    <w:p w14:paraId="4F062272" w14:textId="77777777" w:rsidR="00DB6E47" w:rsidRPr="00CC4412" w:rsidRDefault="00DB6E47" w:rsidP="00DB6E47">
      <w:pPr>
        <w:pStyle w:val="Amain"/>
      </w:pPr>
      <w:r w:rsidRPr="00CC4412">
        <w:tab/>
        <w:t>(3)</w:t>
      </w:r>
      <w:r w:rsidRPr="00CC4412">
        <w:tab/>
        <w:t>If the authorised officer enters land or a part of a place under subsection (1), the officer must leave it immediately after finding the place is or appears to be unattended.</w:t>
      </w:r>
    </w:p>
    <w:p w14:paraId="39644249" w14:textId="77777777" w:rsidR="00DB6E47" w:rsidRPr="007E1F9A" w:rsidRDefault="00DB6E47" w:rsidP="00DB6E47">
      <w:pPr>
        <w:pStyle w:val="AH5Sec"/>
      </w:pPr>
      <w:bookmarkStart w:id="592" w:name="_Toc83625936"/>
      <w:r w:rsidRPr="005E03F7">
        <w:rPr>
          <w:rStyle w:val="CharSectNo"/>
        </w:rPr>
        <w:t>503</w:t>
      </w:r>
      <w:r w:rsidRPr="007E1F9A">
        <w:tab/>
      </w:r>
      <w:r w:rsidRPr="007E1F9A">
        <w:rPr>
          <w:rFonts w:ascii="Helvetica" w:hAnsi="Helvetica" w:cs="Helvetica"/>
          <w:iCs/>
        </w:rPr>
        <w:t>Matters authorised officer must tell occupier</w:t>
      </w:r>
      <w:bookmarkEnd w:id="592"/>
    </w:p>
    <w:p w14:paraId="564FC050" w14:textId="77777777" w:rsidR="00DB6E47" w:rsidRPr="00CC4412" w:rsidRDefault="00DB6E47" w:rsidP="00DB6E47">
      <w:pPr>
        <w:pStyle w:val="Amainreturn"/>
      </w:pPr>
      <w:r w:rsidRPr="00CC4412">
        <w:t>Before asking for the consent, the authorised officer must give a reasonable explanation to the occupier about the following—</w:t>
      </w:r>
    </w:p>
    <w:p w14:paraId="4C919614" w14:textId="77777777" w:rsidR="00DB6E47" w:rsidRPr="00544ED5" w:rsidRDefault="00DB6E47" w:rsidP="00DB6E47">
      <w:pPr>
        <w:pStyle w:val="Apara"/>
      </w:pPr>
      <w:r w:rsidRPr="00544ED5">
        <w:tab/>
        <w:t>(a)</w:t>
      </w:r>
      <w:r w:rsidRPr="00544ED5">
        <w:tab/>
        <w:t>the purpose of the entry;</w:t>
      </w:r>
    </w:p>
    <w:p w14:paraId="08374F04" w14:textId="77777777" w:rsidR="00DB6E47" w:rsidRPr="00544ED5" w:rsidRDefault="00DB6E47" w:rsidP="00DB6E47">
      <w:pPr>
        <w:pStyle w:val="Apara"/>
      </w:pPr>
      <w:r w:rsidRPr="00544ED5">
        <w:tab/>
        <w:t>(b)</w:t>
      </w:r>
      <w:r w:rsidRPr="00544ED5">
        <w:tab/>
        <w:t>that the occupier is not required to consent;</w:t>
      </w:r>
    </w:p>
    <w:p w14:paraId="4CDF0672" w14:textId="77777777" w:rsidR="00DB6E47" w:rsidRPr="00544ED5" w:rsidRDefault="00DB6E47" w:rsidP="00DB6E47">
      <w:pPr>
        <w:pStyle w:val="Apara"/>
      </w:pPr>
      <w:r w:rsidRPr="00544ED5">
        <w:tab/>
        <w:t>(c)</w:t>
      </w:r>
      <w:r w:rsidRPr="00544ED5">
        <w:tab/>
        <w:t>that the consent may be given subject to conditions and may be withdrawn at any time;</w:t>
      </w:r>
    </w:p>
    <w:p w14:paraId="230733E2" w14:textId="77777777" w:rsidR="00DB6E47" w:rsidRPr="00544ED5" w:rsidRDefault="00DB6E47" w:rsidP="00DB6E47">
      <w:pPr>
        <w:pStyle w:val="Apara"/>
      </w:pPr>
      <w:r w:rsidRPr="00544ED5">
        <w:lastRenderedPageBreak/>
        <w:tab/>
        <w:t>(d)</w:t>
      </w:r>
      <w:r w:rsidRPr="00544ED5">
        <w:tab/>
        <w:t>any other powers intended to be exercised to achieve the purpose of the entry.</w:t>
      </w:r>
    </w:p>
    <w:p w14:paraId="665E313A" w14:textId="77777777" w:rsidR="00DB6E47" w:rsidRPr="007E1F9A" w:rsidRDefault="00DB6E47" w:rsidP="00DB6E47">
      <w:pPr>
        <w:pStyle w:val="AH5Sec"/>
      </w:pPr>
      <w:bookmarkStart w:id="593" w:name="_Toc83625937"/>
      <w:r w:rsidRPr="005E03F7">
        <w:rPr>
          <w:rStyle w:val="CharSectNo"/>
        </w:rPr>
        <w:t>504</w:t>
      </w:r>
      <w:r w:rsidRPr="007E1F9A">
        <w:tab/>
      </w:r>
      <w:r w:rsidRPr="007E1F9A">
        <w:rPr>
          <w:rFonts w:ascii="Helvetica" w:hAnsi="Helvetica" w:cs="Helvetica"/>
          <w:iCs/>
        </w:rPr>
        <w:t>Consent acknowledgement</w:t>
      </w:r>
      <w:bookmarkEnd w:id="593"/>
    </w:p>
    <w:p w14:paraId="46936CE4" w14:textId="77777777" w:rsidR="00DB6E47" w:rsidRPr="00CC4412" w:rsidRDefault="00DB6E47" w:rsidP="00D63BA6">
      <w:pPr>
        <w:pStyle w:val="Amain"/>
        <w:keepNext/>
      </w:pPr>
      <w:r w:rsidRPr="00CC4412">
        <w:tab/>
        <w:t>(1)</w:t>
      </w:r>
      <w:r w:rsidRPr="00CC4412">
        <w:tab/>
        <w:t>If the consent is given, the authorised officer may ask the occupier to sign an acknowledgement of the consent.</w:t>
      </w:r>
    </w:p>
    <w:p w14:paraId="20C5331B" w14:textId="77777777" w:rsidR="00DB6E47" w:rsidRPr="00CC4412" w:rsidRDefault="00DB6E47" w:rsidP="00DB6E47">
      <w:pPr>
        <w:pStyle w:val="Amain"/>
      </w:pPr>
      <w:r w:rsidRPr="00CC4412">
        <w:tab/>
        <w:t>(2)</w:t>
      </w:r>
      <w:r w:rsidRPr="00CC4412">
        <w:tab/>
        <w:t>The acknowledgement must state—</w:t>
      </w:r>
    </w:p>
    <w:p w14:paraId="48466933" w14:textId="77777777" w:rsidR="00DB6E47" w:rsidRPr="00544ED5" w:rsidRDefault="00DB6E47" w:rsidP="00DB6E47">
      <w:pPr>
        <w:pStyle w:val="Apara"/>
      </w:pPr>
      <w:r w:rsidRPr="00544ED5">
        <w:tab/>
        <w:t>(a)</w:t>
      </w:r>
      <w:r w:rsidRPr="00544ED5">
        <w:tab/>
        <w:t>the purpose of the entry, including the powers intended to be exercised to achieve the purpose of the entry; and</w:t>
      </w:r>
    </w:p>
    <w:p w14:paraId="503EB3ED" w14:textId="77777777" w:rsidR="00DB6E47" w:rsidRPr="00544ED5" w:rsidRDefault="00DB6E47" w:rsidP="00DB6E47">
      <w:pPr>
        <w:pStyle w:val="Apara"/>
      </w:pPr>
      <w:r w:rsidRPr="00544ED5">
        <w:tab/>
        <w:t>(b)</w:t>
      </w:r>
      <w:r w:rsidRPr="00544ED5">
        <w:tab/>
        <w:t>that the following have been explained to the occupier—</w:t>
      </w:r>
    </w:p>
    <w:p w14:paraId="1089623E" w14:textId="77777777" w:rsidR="00DB6E47" w:rsidRPr="00516F02" w:rsidRDefault="00DB6E47" w:rsidP="00DB6E47">
      <w:pPr>
        <w:pStyle w:val="Asubpara"/>
      </w:pPr>
      <w:r w:rsidRPr="00516F02">
        <w:tab/>
        <w:t>(i)</w:t>
      </w:r>
      <w:r w:rsidRPr="00516F02">
        <w:tab/>
        <w:t>the purpose of the entry, including the powers intended to be exercised to achieve the purpose of the entry;</w:t>
      </w:r>
    </w:p>
    <w:p w14:paraId="018AA185" w14:textId="77777777" w:rsidR="00DB6E47" w:rsidRPr="00516F02" w:rsidRDefault="00DB6E47" w:rsidP="00DB6E47">
      <w:pPr>
        <w:pStyle w:val="Asubpara"/>
      </w:pPr>
      <w:r w:rsidRPr="00516F02">
        <w:tab/>
        <w:t>(ii)</w:t>
      </w:r>
      <w:r w:rsidRPr="00516F02">
        <w:tab/>
        <w:t>that the occupier is not required to consent; and</w:t>
      </w:r>
    </w:p>
    <w:p w14:paraId="3E63193F" w14:textId="77777777" w:rsidR="00DB6E47" w:rsidRPr="00544ED5" w:rsidRDefault="00DB6E47" w:rsidP="00DB6E47">
      <w:pPr>
        <w:pStyle w:val="Apara"/>
      </w:pPr>
      <w:r w:rsidRPr="00544ED5">
        <w:tab/>
        <w:t>(c)</w:t>
      </w:r>
      <w:r w:rsidRPr="00544ED5">
        <w:tab/>
        <w:t>that the occupier gives the authorised officer consent to enter the place and exercise the powers; and</w:t>
      </w:r>
    </w:p>
    <w:p w14:paraId="7ACC6CFC" w14:textId="77777777" w:rsidR="00DB6E47" w:rsidRPr="00544ED5" w:rsidRDefault="00DB6E47" w:rsidP="00DB6E47">
      <w:pPr>
        <w:pStyle w:val="Apara"/>
      </w:pPr>
      <w:r w:rsidRPr="00544ED5">
        <w:tab/>
        <w:t>(d)</w:t>
      </w:r>
      <w:r w:rsidRPr="00544ED5">
        <w:tab/>
        <w:t>the time and day the consent was given; and</w:t>
      </w:r>
    </w:p>
    <w:p w14:paraId="0F7E08D2" w14:textId="77777777" w:rsidR="00DB6E47" w:rsidRPr="00544ED5" w:rsidRDefault="00DB6E47" w:rsidP="00DB6E47">
      <w:pPr>
        <w:pStyle w:val="Apara"/>
      </w:pPr>
      <w:r w:rsidRPr="00544ED5">
        <w:tab/>
        <w:t>(e)</w:t>
      </w:r>
      <w:r w:rsidRPr="00544ED5">
        <w:tab/>
        <w:t>any conditions of the consent.</w:t>
      </w:r>
    </w:p>
    <w:p w14:paraId="71250AC5" w14:textId="77777777" w:rsidR="00DB6E47" w:rsidRPr="006C3305" w:rsidRDefault="00DB6E47" w:rsidP="00DB6E47">
      <w:pPr>
        <w:pStyle w:val="Amain"/>
      </w:pPr>
      <w:r>
        <w:tab/>
        <w:t>(</w:t>
      </w:r>
      <w:r w:rsidRPr="006C3305">
        <w:t>3)</w:t>
      </w:r>
      <w:r w:rsidRPr="006C3305">
        <w:tab/>
        <w:t>If the occupier signs the acknowledgement, the authorised officer must immediately give a copy to the occupier.</w:t>
      </w:r>
    </w:p>
    <w:p w14:paraId="351B2765" w14:textId="77777777" w:rsidR="00DB6E47" w:rsidRPr="00CC4412" w:rsidRDefault="00DB6E47" w:rsidP="00DB6E47">
      <w:pPr>
        <w:pStyle w:val="Amain"/>
      </w:pPr>
      <w:r w:rsidRPr="00CC4412">
        <w:tab/>
        <w:t>(4)</w:t>
      </w:r>
      <w:r w:rsidRPr="00CC4412">
        <w:tab/>
        <w:t>However, if it is impractical for the authorised officer to give the occupier a copy of the acknowledgement immediately, the officer must give the copy as soon as practicable.</w:t>
      </w:r>
    </w:p>
    <w:p w14:paraId="6DC32308" w14:textId="77777777" w:rsidR="00DB6E47" w:rsidRPr="00CC4412" w:rsidRDefault="00DB6E47" w:rsidP="00DB6E47">
      <w:pPr>
        <w:pStyle w:val="Amain"/>
      </w:pPr>
      <w:r w:rsidRPr="00CC4412">
        <w:tab/>
        <w:t>(5)</w:t>
      </w:r>
      <w:r w:rsidRPr="00CC4412">
        <w:tab/>
        <w:t>If the acknowledgment states some but not all the powers exercised or intended to be exercised to achieve the purpose of the entry—</w:t>
      </w:r>
    </w:p>
    <w:p w14:paraId="7223E5D6" w14:textId="77777777" w:rsidR="00DB6E47" w:rsidRPr="00544ED5" w:rsidRDefault="00DB6E47" w:rsidP="00DB6E47">
      <w:pPr>
        <w:pStyle w:val="Apara"/>
      </w:pPr>
      <w:r w:rsidRPr="00544ED5">
        <w:tab/>
        <w:t>(a)</w:t>
      </w:r>
      <w:r w:rsidRPr="00544ED5">
        <w:tab/>
        <w:t>the acknowledgment is not necessarily invalid merely because of the omission; but</w:t>
      </w:r>
    </w:p>
    <w:p w14:paraId="66352D5D" w14:textId="77777777" w:rsidR="00DB6E47" w:rsidRPr="00544ED5" w:rsidRDefault="00DB6E47" w:rsidP="00456CD9">
      <w:pPr>
        <w:pStyle w:val="Apara"/>
        <w:keepLines/>
      </w:pPr>
      <w:r w:rsidRPr="00544ED5">
        <w:lastRenderedPageBreak/>
        <w:tab/>
        <w:t>(b)</w:t>
      </w:r>
      <w:r w:rsidRPr="00544ED5">
        <w:tab/>
        <w:t>if an issue arises in a proceeding about the validity of the acknowledgment—the court has a discretion to decide if the acknowledgment is invalid on the ground that the exercise of the power was of such significance in the particular circumstances as to have warranted its i</w:t>
      </w:r>
      <w:r w:rsidR="00144A36">
        <w:t>nclusion in the acknowledgment.</w:t>
      </w:r>
    </w:p>
    <w:p w14:paraId="211A34E9" w14:textId="77777777" w:rsidR="00DB6E47" w:rsidRPr="00CC4412" w:rsidRDefault="00DB6E47" w:rsidP="00C80C84">
      <w:pPr>
        <w:pStyle w:val="Amain"/>
        <w:keepNext/>
      </w:pPr>
      <w:r w:rsidRPr="00CC4412">
        <w:tab/>
        <w:t>(6)</w:t>
      </w:r>
      <w:r w:rsidRPr="00CC4412">
        <w:tab/>
        <w:t>If—</w:t>
      </w:r>
    </w:p>
    <w:p w14:paraId="056C863F" w14:textId="77777777" w:rsidR="00DB6E47" w:rsidRPr="00544ED5" w:rsidRDefault="00DB6E47" w:rsidP="00DB6E47">
      <w:pPr>
        <w:pStyle w:val="Apara"/>
      </w:pPr>
      <w:r w:rsidRPr="00544ED5">
        <w:tab/>
        <w:t>(a)</w:t>
      </w:r>
      <w:r w:rsidRPr="00544ED5">
        <w:tab/>
        <w:t>an issue arises in a proceeding about whether the occupier consented to the entry; and</w:t>
      </w:r>
    </w:p>
    <w:p w14:paraId="2F66C9D2" w14:textId="77777777" w:rsidR="00DB6E47" w:rsidRPr="00544ED5" w:rsidRDefault="00DB6E47" w:rsidP="00DB6E47">
      <w:pPr>
        <w:pStyle w:val="Apara"/>
      </w:pPr>
      <w:r w:rsidRPr="00544ED5">
        <w:tab/>
        <w:t>(b)</w:t>
      </w:r>
      <w:r w:rsidRPr="00544ED5">
        <w:tab/>
        <w:t>an acknowledgement</w:t>
      </w:r>
      <w:r w:rsidR="00144A36">
        <w:t xml:space="preserve"> complying with subsection </w:t>
      </w:r>
      <w:r w:rsidRPr="00544ED5">
        <w:t>(2)</w:t>
      </w:r>
      <w:r w:rsidR="00144A36">
        <w:t xml:space="preserve"> </w:t>
      </w:r>
      <w:r w:rsidRPr="00544ED5">
        <w:t>for the entry is not produced in evidence;</w:t>
      </w:r>
    </w:p>
    <w:p w14:paraId="15595A34" w14:textId="77777777" w:rsidR="00DB6E47" w:rsidRPr="00CC4412" w:rsidRDefault="00DB6E47" w:rsidP="00DB6E47">
      <w:pPr>
        <w:pStyle w:val="Amainreturn"/>
      </w:pPr>
      <w:r w:rsidRPr="00CC4412">
        <w:t>the onus of proof is on the person relying on the lawfulness of the entry to prove the occupier consented.</w:t>
      </w:r>
    </w:p>
    <w:p w14:paraId="1FE6395C" w14:textId="77777777" w:rsidR="00DB6E47" w:rsidRPr="007E1F9A" w:rsidRDefault="00DB6E47" w:rsidP="00DB6E47">
      <w:pPr>
        <w:pStyle w:val="AH5Sec"/>
      </w:pPr>
      <w:bookmarkStart w:id="594" w:name="_Toc83625938"/>
      <w:r w:rsidRPr="005E03F7">
        <w:rPr>
          <w:rStyle w:val="CharSectNo"/>
        </w:rPr>
        <w:t>505</w:t>
      </w:r>
      <w:r w:rsidRPr="007E1F9A">
        <w:tab/>
      </w:r>
      <w:r w:rsidRPr="007E1F9A">
        <w:rPr>
          <w:rFonts w:ascii="Helvetica" w:hAnsi="Helvetica" w:cs="Helvetica"/>
          <w:iCs/>
        </w:rPr>
        <w:t>Procedure for entry with consent</w:t>
      </w:r>
      <w:bookmarkEnd w:id="594"/>
    </w:p>
    <w:p w14:paraId="5E33484D" w14:textId="77777777" w:rsidR="00DB6E47" w:rsidRPr="00CC4412" w:rsidRDefault="00DB6E47" w:rsidP="00DB6E47">
      <w:pPr>
        <w:pStyle w:val="Amain"/>
      </w:pPr>
      <w:r w:rsidRPr="00CC4412">
        <w:tab/>
        <w:t>(1)</w:t>
      </w:r>
      <w:r w:rsidRPr="00CC4412">
        <w:tab/>
        <w:t>This section applies if an authorised officer is intending to ask the occupier for consent to enter a place under this Division (otherwise than under section 502).</w:t>
      </w:r>
    </w:p>
    <w:p w14:paraId="70698F8E" w14:textId="77777777" w:rsidR="00DB6E47" w:rsidRPr="00CC4412" w:rsidRDefault="00DB6E47" w:rsidP="00DB6E47">
      <w:pPr>
        <w:pStyle w:val="Amain"/>
      </w:pPr>
      <w:r w:rsidRPr="00CC4412">
        <w:tab/>
        <w:t>(2)</w:t>
      </w:r>
      <w:r w:rsidRPr="00CC4412">
        <w:tab/>
        <w:t>Before asking for consent, the authorised officer must identify himself or herself to a person who is an occupier of the place and is present by producing—</w:t>
      </w:r>
    </w:p>
    <w:p w14:paraId="1CB535C5" w14:textId="77777777" w:rsidR="00DB6E47" w:rsidRPr="00544ED5" w:rsidRDefault="00DB6E47" w:rsidP="00DB6E47">
      <w:pPr>
        <w:pStyle w:val="Apara"/>
      </w:pPr>
      <w:r w:rsidRPr="00544ED5">
        <w:tab/>
        <w:t>(a)</w:t>
      </w:r>
      <w:r w:rsidRPr="00544ED5">
        <w:tab/>
        <w:t>for an authorised officer who is a police officer—an identity card or other document evidencing the officer’s appointment as a police officer; or</w:t>
      </w:r>
    </w:p>
    <w:p w14:paraId="6EDC91B8" w14:textId="77777777" w:rsidR="00DB6E47" w:rsidRPr="00544ED5" w:rsidRDefault="00DB6E47" w:rsidP="00DB6E47">
      <w:pPr>
        <w:pStyle w:val="Apara"/>
      </w:pPr>
      <w:r w:rsidRPr="00544ED5">
        <w:tab/>
        <w:t>(b)</w:t>
      </w:r>
      <w:r w:rsidRPr="00544ED5">
        <w:tab/>
        <w:t>for an authorised officer who is not a police officer—the identity card issued to the officer under this Law or another document evidencing the officer’s appointment as an authorised officer.</w:t>
      </w:r>
    </w:p>
    <w:p w14:paraId="1ECF20CE" w14:textId="77777777" w:rsidR="00DB6E47" w:rsidRPr="00CC4412" w:rsidRDefault="00144A36" w:rsidP="00DB6E47">
      <w:pPr>
        <w:pStyle w:val="Amain"/>
      </w:pPr>
      <w:r>
        <w:tab/>
        <w:t>(3)</w:t>
      </w:r>
      <w:r>
        <w:tab/>
        <w:t>Subsection (2)</w:t>
      </w:r>
      <w:r w:rsidR="00DB6E47" w:rsidRPr="00CC4412">
        <w:t>(a)</w:t>
      </w:r>
      <w:r>
        <w:t xml:space="preserve"> </w:t>
      </w:r>
      <w:r w:rsidR="00DB6E47" w:rsidRPr="00CC4412">
        <w:t>does not apply to a police officer in uniform.</w:t>
      </w:r>
    </w:p>
    <w:p w14:paraId="0B2A341D" w14:textId="4714D92C" w:rsidR="00DB6E47" w:rsidRPr="005E03F7" w:rsidRDefault="00DB6E47" w:rsidP="00DB6E47">
      <w:pPr>
        <w:pStyle w:val="AH3Div"/>
      </w:pPr>
      <w:bookmarkStart w:id="595" w:name="_Toc83625939"/>
      <w:r w:rsidRPr="005E03F7">
        <w:rPr>
          <w:rStyle w:val="CharDivNo"/>
        </w:rPr>
        <w:lastRenderedPageBreak/>
        <w:t>Division 5</w:t>
      </w:r>
      <w:r w:rsidRPr="00A95F9A">
        <w:rPr>
          <w:rFonts w:ascii="Helvetica" w:hAnsi="Helvetica" w:cs="Helvetica"/>
          <w:iCs/>
          <w:szCs w:val="28"/>
        </w:rPr>
        <w:tab/>
      </w:r>
      <w:r w:rsidRPr="005E03F7">
        <w:rPr>
          <w:rStyle w:val="CharDivText"/>
          <w:rFonts w:ascii="Helvetica" w:hAnsi="Helvetica" w:cs="Helvetica"/>
          <w:iCs/>
          <w:szCs w:val="28"/>
        </w:rPr>
        <w:t>Entry under warrant</w:t>
      </w:r>
      <w:bookmarkEnd w:id="595"/>
    </w:p>
    <w:p w14:paraId="6D1DF5A1" w14:textId="77777777" w:rsidR="00DB6E47" w:rsidRPr="007E1F9A" w:rsidRDefault="00DB6E47" w:rsidP="00DB6E47">
      <w:pPr>
        <w:pStyle w:val="AH5Sec"/>
      </w:pPr>
      <w:bookmarkStart w:id="596" w:name="_Toc83625940"/>
      <w:r w:rsidRPr="005E03F7">
        <w:rPr>
          <w:rStyle w:val="CharSectNo"/>
        </w:rPr>
        <w:t>506</w:t>
      </w:r>
      <w:r w:rsidRPr="007E1F9A">
        <w:tab/>
      </w:r>
      <w:r w:rsidRPr="007E1F9A">
        <w:rPr>
          <w:rFonts w:ascii="Helvetica" w:hAnsi="Helvetica" w:cs="Helvetica"/>
          <w:iCs/>
        </w:rPr>
        <w:t>Application for warrant</w:t>
      </w:r>
      <w:bookmarkEnd w:id="596"/>
    </w:p>
    <w:p w14:paraId="31650B10" w14:textId="77777777" w:rsidR="00DB6E47" w:rsidRPr="00CC4412" w:rsidRDefault="00DB6E47" w:rsidP="00C80C84">
      <w:pPr>
        <w:pStyle w:val="Amain"/>
        <w:keepNext/>
      </w:pPr>
      <w:r w:rsidRPr="00CC4412">
        <w:tab/>
        <w:t>(1)</w:t>
      </w:r>
      <w:r w:rsidRPr="00CC4412">
        <w:tab/>
        <w:t>An authorised officer may apply to an authorised warrant official for a warrant for a place.</w:t>
      </w:r>
    </w:p>
    <w:p w14:paraId="0C663C1C" w14:textId="77777777" w:rsidR="00DB6E47" w:rsidRPr="00CC4412" w:rsidRDefault="00DB6E47" w:rsidP="00DB6E47">
      <w:pPr>
        <w:pStyle w:val="Amain"/>
      </w:pPr>
      <w:r w:rsidRPr="00CC4412">
        <w:tab/>
        <w:t>(2)</w:t>
      </w:r>
      <w:r w:rsidRPr="00CC4412">
        <w:tab/>
        <w:t>The authorised officer must prepare a written application stating the grounds on which the warrant is sought.</w:t>
      </w:r>
    </w:p>
    <w:p w14:paraId="491CA2BD" w14:textId="77777777" w:rsidR="00DB6E47" w:rsidRPr="00CC4412" w:rsidRDefault="00DB6E47" w:rsidP="00DB6E47">
      <w:pPr>
        <w:pStyle w:val="Amain"/>
      </w:pPr>
      <w:r w:rsidRPr="00CC4412">
        <w:tab/>
        <w:t>(3)</w:t>
      </w:r>
      <w:r w:rsidRPr="00CC4412">
        <w:tab/>
        <w:t>The written application must be sworn.</w:t>
      </w:r>
    </w:p>
    <w:p w14:paraId="6A9BF8B6" w14:textId="77777777" w:rsidR="00DB6E47" w:rsidRPr="00CC4412" w:rsidRDefault="00DB6E47" w:rsidP="00DB6E47">
      <w:pPr>
        <w:pStyle w:val="Amain"/>
      </w:pPr>
      <w:r w:rsidRPr="00CC4412">
        <w:tab/>
        <w:t>(4)</w:t>
      </w:r>
      <w:r w:rsidRPr="00CC4412">
        <w:tab/>
        <w:t>The authorised warrant official may refuse to consider the application until the authorised officer gives the official all the information the official requires about the application in the way the official requires.</w:t>
      </w:r>
    </w:p>
    <w:p w14:paraId="7CA145F7" w14:textId="77777777" w:rsidR="00DB6E47" w:rsidRPr="00C96203" w:rsidRDefault="00DB6E47" w:rsidP="00DB6E47">
      <w:pPr>
        <w:pStyle w:val="aExamHdgss"/>
      </w:pPr>
      <w:r w:rsidRPr="00C96203">
        <w:rPr>
          <w:rFonts w:cs="Times"/>
          <w:bCs/>
          <w:iCs/>
        </w:rPr>
        <w:t>Example—</w:t>
      </w:r>
    </w:p>
    <w:p w14:paraId="52060B7E" w14:textId="77777777" w:rsidR="00DB6E47" w:rsidRPr="00C96203" w:rsidRDefault="00DB6E47" w:rsidP="00DB6E47">
      <w:pPr>
        <w:pStyle w:val="aExamss"/>
      </w:pPr>
      <w:r w:rsidRPr="00C96203">
        <w:t>The authorised warrant official may require additional information supporting the written application to be given by statutory declaration.</w:t>
      </w:r>
    </w:p>
    <w:p w14:paraId="4CF3B6DE" w14:textId="77777777" w:rsidR="00DB6E47" w:rsidRPr="007E1F9A" w:rsidRDefault="00DB6E47" w:rsidP="00DB6E47">
      <w:pPr>
        <w:pStyle w:val="AH5Sec"/>
      </w:pPr>
      <w:bookmarkStart w:id="597" w:name="_Toc83625941"/>
      <w:r w:rsidRPr="005E03F7">
        <w:rPr>
          <w:rStyle w:val="CharSectNo"/>
        </w:rPr>
        <w:t>507</w:t>
      </w:r>
      <w:r w:rsidRPr="007E1F9A">
        <w:tab/>
      </w:r>
      <w:r w:rsidRPr="007E1F9A">
        <w:rPr>
          <w:rFonts w:ascii="Helvetica" w:hAnsi="Helvetica" w:cs="Helvetica"/>
          <w:iCs/>
        </w:rPr>
        <w:t>Issue of warrant</w:t>
      </w:r>
      <w:bookmarkEnd w:id="597"/>
    </w:p>
    <w:p w14:paraId="3CBB312C" w14:textId="77777777" w:rsidR="00DB6E47" w:rsidRPr="00CC4412" w:rsidRDefault="00DB6E47" w:rsidP="00DB6E47">
      <w:pPr>
        <w:pStyle w:val="Amain"/>
      </w:pPr>
      <w:r w:rsidRPr="00CC4412">
        <w:tab/>
        <w:t>(1)</w:t>
      </w:r>
      <w:r w:rsidRPr="00CC4412">
        <w:tab/>
        <w:t>The authorised warrant official may issue the warrant for the place only if the official is satisfied there are reasonable grounds for suspecting there is at the place, or will be at the place within the next 72 hours, a particular thing or activity that may provide evidence of an offence against this Law.</w:t>
      </w:r>
    </w:p>
    <w:p w14:paraId="745A4C9B" w14:textId="77777777" w:rsidR="00DB6E47" w:rsidRPr="00CC4412" w:rsidRDefault="00DB6E47" w:rsidP="00DB6E47">
      <w:pPr>
        <w:pStyle w:val="Amain"/>
      </w:pPr>
      <w:r w:rsidRPr="00CC4412">
        <w:tab/>
        <w:t>(2)</w:t>
      </w:r>
      <w:r w:rsidRPr="00CC4412">
        <w:tab/>
        <w:t>The warrant must state the following—</w:t>
      </w:r>
    </w:p>
    <w:p w14:paraId="4739DE87" w14:textId="77777777" w:rsidR="00DB6E47" w:rsidRPr="00544ED5" w:rsidRDefault="00DB6E47" w:rsidP="00DB6E47">
      <w:pPr>
        <w:pStyle w:val="Apara"/>
      </w:pPr>
      <w:r w:rsidRPr="00544ED5">
        <w:tab/>
        <w:t>(a)</w:t>
      </w:r>
      <w:r w:rsidRPr="00544ED5">
        <w:tab/>
        <w:t>the place to which the warrant applies;</w:t>
      </w:r>
    </w:p>
    <w:p w14:paraId="121AC394" w14:textId="77777777" w:rsidR="00DB6E47" w:rsidRPr="00544ED5" w:rsidRDefault="00DB6E47" w:rsidP="00DB6E47">
      <w:pPr>
        <w:pStyle w:val="Apara"/>
      </w:pPr>
      <w:r w:rsidRPr="00544ED5">
        <w:tab/>
        <w:t>(b)</w:t>
      </w:r>
      <w:r w:rsidRPr="00544ED5">
        <w:tab/>
        <w:t>that a stated authorised officer or any authorised officer may, with necessary and reasonable help and force—</w:t>
      </w:r>
    </w:p>
    <w:p w14:paraId="27CDB2C6" w14:textId="77777777" w:rsidR="00DB6E47" w:rsidRPr="00516F02" w:rsidRDefault="00DB6E47" w:rsidP="00DB6E47">
      <w:pPr>
        <w:pStyle w:val="Asubpara"/>
      </w:pPr>
      <w:r w:rsidRPr="00516F02">
        <w:tab/>
        <w:t>(i)</w:t>
      </w:r>
      <w:r w:rsidRPr="00516F02">
        <w:tab/>
        <w:t>enter the place and any other place necessary for entry to the place; and</w:t>
      </w:r>
    </w:p>
    <w:p w14:paraId="19501DA4" w14:textId="77777777" w:rsidR="00DB6E47" w:rsidRPr="00516F02" w:rsidRDefault="00DB6E47" w:rsidP="00DB6E47">
      <w:pPr>
        <w:pStyle w:val="Asubpara"/>
      </w:pPr>
      <w:r w:rsidRPr="00516F02">
        <w:tab/>
        <w:t>(ii)</w:t>
      </w:r>
      <w:r w:rsidRPr="00516F02">
        <w:tab/>
        <w:t>exercise the authorised officer’s powers;</w:t>
      </w:r>
    </w:p>
    <w:p w14:paraId="318DC989" w14:textId="77777777" w:rsidR="00DB6E47" w:rsidRPr="00544ED5" w:rsidRDefault="00DB6E47" w:rsidP="00DB6E47">
      <w:pPr>
        <w:pStyle w:val="Apara"/>
      </w:pPr>
      <w:r w:rsidRPr="00544ED5">
        <w:tab/>
        <w:t>(c)</w:t>
      </w:r>
      <w:r w:rsidRPr="00544ED5">
        <w:tab/>
        <w:t>particulars of the offence that the authorised warrant official considers appropriate in the circumstances;</w:t>
      </w:r>
    </w:p>
    <w:p w14:paraId="27796603" w14:textId="77777777" w:rsidR="00DB6E47" w:rsidRPr="00544ED5" w:rsidRDefault="00DB6E47" w:rsidP="00DB6E47">
      <w:pPr>
        <w:pStyle w:val="Apara"/>
      </w:pPr>
      <w:r w:rsidRPr="00544ED5">
        <w:lastRenderedPageBreak/>
        <w:tab/>
        <w:t>(d)</w:t>
      </w:r>
      <w:r w:rsidRPr="00544ED5">
        <w:tab/>
        <w:t>the name of the person suspected of having committed the offence unless the name is unknown or the authorised warrant official considers it inappropriate to state the name;</w:t>
      </w:r>
    </w:p>
    <w:p w14:paraId="774B4160" w14:textId="77777777" w:rsidR="00DB6E47" w:rsidRPr="00544ED5" w:rsidRDefault="00DB6E47" w:rsidP="00DB6E47">
      <w:pPr>
        <w:pStyle w:val="Apara"/>
      </w:pPr>
      <w:r w:rsidRPr="00544ED5">
        <w:tab/>
        <w:t>(e)</w:t>
      </w:r>
      <w:r w:rsidRPr="00544ED5">
        <w:tab/>
        <w:t>the evidence that may be seized under the warrant;</w:t>
      </w:r>
    </w:p>
    <w:p w14:paraId="1D17FA3C" w14:textId="77777777" w:rsidR="00DB6E47" w:rsidRPr="00544ED5" w:rsidRDefault="00DB6E47" w:rsidP="00DB6E47">
      <w:pPr>
        <w:pStyle w:val="Apara"/>
      </w:pPr>
      <w:r w:rsidRPr="00544ED5">
        <w:tab/>
        <w:t>(f)</w:t>
      </w:r>
      <w:r w:rsidRPr="00544ED5">
        <w:tab/>
        <w:t>the hours of the day or night when the place may be entered;</w:t>
      </w:r>
    </w:p>
    <w:p w14:paraId="3BE79B1A" w14:textId="77777777" w:rsidR="00DB6E47" w:rsidRPr="00544ED5" w:rsidRDefault="00DB6E47" w:rsidP="00DB6E47">
      <w:pPr>
        <w:pStyle w:val="Apara"/>
      </w:pPr>
      <w:r w:rsidRPr="00544ED5">
        <w:tab/>
        <w:t>(g)</w:t>
      </w:r>
      <w:r w:rsidRPr="00544ED5">
        <w:tab/>
        <w:t>the authorised warrant official’s name;</w:t>
      </w:r>
    </w:p>
    <w:p w14:paraId="3F35FCFA" w14:textId="77777777" w:rsidR="00DB6E47" w:rsidRPr="00544ED5" w:rsidRDefault="00DB6E47" w:rsidP="00DB6E47">
      <w:pPr>
        <w:pStyle w:val="Apara"/>
      </w:pPr>
      <w:r w:rsidRPr="00544ED5">
        <w:tab/>
        <w:t>(h)</w:t>
      </w:r>
      <w:r w:rsidRPr="00544ED5">
        <w:tab/>
        <w:t>the date and time of the warrant’s issue;</w:t>
      </w:r>
    </w:p>
    <w:p w14:paraId="1536D612" w14:textId="77777777" w:rsidR="00DB6E47" w:rsidRPr="00544ED5" w:rsidRDefault="00DB6E47" w:rsidP="00DB6E47">
      <w:pPr>
        <w:pStyle w:val="Apara"/>
      </w:pPr>
      <w:r w:rsidRPr="00544ED5">
        <w:tab/>
        <w:t>(i)</w:t>
      </w:r>
      <w:r w:rsidRPr="00544ED5">
        <w:tab/>
        <w:t>the day, within 14 days after the warrant’s issue, the warrant ends.</w:t>
      </w:r>
    </w:p>
    <w:p w14:paraId="73BF1C72" w14:textId="77777777" w:rsidR="00DB6E47" w:rsidRPr="007E1F9A" w:rsidRDefault="00DB6E47" w:rsidP="00DB6E47">
      <w:pPr>
        <w:pStyle w:val="AH5Sec"/>
      </w:pPr>
      <w:bookmarkStart w:id="598" w:name="_Toc83625942"/>
      <w:r w:rsidRPr="005E03F7">
        <w:rPr>
          <w:rStyle w:val="CharSectNo"/>
        </w:rPr>
        <w:t>508</w:t>
      </w:r>
      <w:r w:rsidRPr="007E1F9A">
        <w:tab/>
      </w:r>
      <w:r w:rsidRPr="007E1F9A">
        <w:rPr>
          <w:rFonts w:ascii="Helvetica" w:hAnsi="Helvetica" w:cs="Helvetica"/>
          <w:iCs/>
        </w:rPr>
        <w:t>Application by electronic communication and duplicate warrant</w:t>
      </w:r>
      <w:bookmarkEnd w:id="598"/>
    </w:p>
    <w:p w14:paraId="05B32C31" w14:textId="77777777" w:rsidR="00DB6E47" w:rsidRPr="00CC4412" w:rsidRDefault="00DB6E47" w:rsidP="00DB6E47">
      <w:pPr>
        <w:pStyle w:val="Amain"/>
      </w:pPr>
      <w:r w:rsidRPr="00CC4412">
        <w:tab/>
        <w:t>(1)</w:t>
      </w:r>
      <w:r w:rsidRPr="00CC4412">
        <w:tab/>
        <w:t>An application under section 506 may be made by radio, telephone, fax, email, video conferencing or another form of electronic communication if the authorised officer reasonably believes it necessary because of—</w:t>
      </w:r>
    </w:p>
    <w:p w14:paraId="45B30122" w14:textId="77777777" w:rsidR="00DB6E47" w:rsidRPr="00544ED5" w:rsidRDefault="00DB6E47" w:rsidP="00DB6E47">
      <w:pPr>
        <w:pStyle w:val="Apara"/>
      </w:pPr>
      <w:r w:rsidRPr="00544ED5">
        <w:tab/>
        <w:t>(a)</w:t>
      </w:r>
      <w:r w:rsidRPr="00544ED5">
        <w:tab/>
        <w:t>urgent circumstances; or</w:t>
      </w:r>
    </w:p>
    <w:p w14:paraId="7F3F4B11" w14:textId="77777777" w:rsidR="00DB6E47" w:rsidRPr="00544ED5" w:rsidRDefault="00DB6E47" w:rsidP="00DB6E47">
      <w:pPr>
        <w:pStyle w:val="Apara"/>
      </w:pPr>
      <w:r w:rsidRPr="00544ED5">
        <w:tab/>
        <w:t>(b)</w:t>
      </w:r>
      <w:r w:rsidRPr="00544ED5">
        <w:tab/>
        <w:t>other special circumstances, including, for example, the officer’s remote location.</w:t>
      </w:r>
    </w:p>
    <w:p w14:paraId="3A2FC396" w14:textId="77777777" w:rsidR="00DB6E47" w:rsidRPr="00CC4412" w:rsidRDefault="00DB6E47" w:rsidP="00DB6E47">
      <w:pPr>
        <w:pStyle w:val="Amain"/>
      </w:pPr>
      <w:r w:rsidRPr="00CC4412">
        <w:tab/>
        <w:t>(2)</w:t>
      </w:r>
      <w:r w:rsidRPr="00CC4412">
        <w:tab/>
        <w:t>The application—</w:t>
      </w:r>
    </w:p>
    <w:p w14:paraId="556F276F" w14:textId="77777777" w:rsidR="00DB6E47" w:rsidRPr="00544ED5" w:rsidRDefault="00DB6E47" w:rsidP="00DB6E47">
      <w:pPr>
        <w:pStyle w:val="Apara"/>
      </w:pPr>
      <w:r w:rsidRPr="00544ED5">
        <w:tab/>
        <w:t>(a)</w:t>
      </w:r>
      <w:r w:rsidRPr="00544ED5">
        <w:tab/>
        <w:t>may not be made before the authorised officer prepares the written application under section 506(2); but</w:t>
      </w:r>
    </w:p>
    <w:p w14:paraId="2448B447" w14:textId="77777777" w:rsidR="00DB6E47" w:rsidRPr="00544ED5" w:rsidRDefault="00DB6E47" w:rsidP="00DB6E47">
      <w:pPr>
        <w:pStyle w:val="Apara"/>
      </w:pPr>
      <w:r w:rsidRPr="00544ED5">
        <w:tab/>
        <w:t>(b)</w:t>
      </w:r>
      <w:r w:rsidRPr="00544ED5">
        <w:tab/>
        <w:t>may be made before the written application is sworn.</w:t>
      </w:r>
    </w:p>
    <w:p w14:paraId="1438D14D" w14:textId="77777777" w:rsidR="00DB6E47" w:rsidRPr="00CC4412" w:rsidRDefault="00DB6E47" w:rsidP="00E43165">
      <w:pPr>
        <w:pStyle w:val="Amain"/>
        <w:keepNext/>
      </w:pPr>
      <w:r w:rsidRPr="00CC4412">
        <w:tab/>
        <w:t>(3)</w:t>
      </w:r>
      <w:r w:rsidRPr="00CC4412">
        <w:tab/>
        <w:t xml:space="preserve">The authorised warrant official may issue the warrant (the </w:t>
      </w:r>
      <w:r w:rsidRPr="00FF4454">
        <w:rPr>
          <w:rStyle w:val="charBoldItals"/>
        </w:rPr>
        <w:t>original warrant</w:t>
      </w:r>
      <w:r w:rsidRPr="00CC4412">
        <w:t>) onl</w:t>
      </w:r>
      <w:r w:rsidR="00E43165">
        <w:t>y if the official is satisfied—</w:t>
      </w:r>
    </w:p>
    <w:p w14:paraId="62C231B7" w14:textId="77777777" w:rsidR="00DB6E47" w:rsidRPr="00544ED5" w:rsidRDefault="00DB6E47" w:rsidP="00DB6E47">
      <w:pPr>
        <w:pStyle w:val="Apara"/>
      </w:pPr>
      <w:r w:rsidRPr="00544ED5">
        <w:tab/>
        <w:t>(a)</w:t>
      </w:r>
      <w:r w:rsidRPr="00544ED5">
        <w:tab/>
        <w:t>it was necessary to make the application under subsection (1); and</w:t>
      </w:r>
    </w:p>
    <w:p w14:paraId="4EFA22E7" w14:textId="77777777" w:rsidR="00DB6E47" w:rsidRPr="00544ED5" w:rsidRDefault="00DB6E47" w:rsidP="00DB6E47">
      <w:pPr>
        <w:pStyle w:val="Apara"/>
      </w:pPr>
      <w:r w:rsidRPr="00544ED5">
        <w:lastRenderedPageBreak/>
        <w:tab/>
        <w:t>(b)</w:t>
      </w:r>
      <w:r w:rsidRPr="00544ED5">
        <w:tab/>
        <w:t>the way the applic</w:t>
      </w:r>
      <w:r w:rsidR="00144A36">
        <w:t xml:space="preserve">ation was made under subsection </w:t>
      </w:r>
      <w:r w:rsidRPr="00544ED5">
        <w:t>(1)</w:t>
      </w:r>
      <w:r w:rsidR="00144A36">
        <w:t xml:space="preserve"> </w:t>
      </w:r>
      <w:r w:rsidRPr="00544ED5">
        <w:t>was appropriate.</w:t>
      </w:r>
    </w:p>
    <w:p w14:paraId="6D19E78F" w14:textId="77777777" w:rsidR="00DB6E47" w:rsidRPr="00CC4412" w:rsidRDefault="00DB6E47" w:rsidP="00DB6E47">
      <w:pPr>
        <w:pStyle w:val="Amain"/>
      </w:pPr>
      <w:r w:rsidRPr="00CC4412">
        <w:tab/>
        <w:t>(4)</w:t>
      </w:r>
      <w:r w:rsidRPr="00CC4412">
        <w:tab/>
        <w:t>After the authorised warrant official issues the original warrant—</w:t>
      </w:r>
    </w:p>
    <w:p w14:paraId="15D54B84" w14:textId="77777777" w:rsidR="00DB6E47" w:rsidRPr="00544ED5" w:rsidRDefault="00DB6E47" w:rsidP="00DB6E47">
      <w:pPr>
        <w:pStyle w:val="Apara"/>
      </w:pPr>
      <w:r w:rsidRPr="00544ED5">
        <w:tab/>
        <w:t>(a)</w:t>
      </w:r>
      <w:r w:rsidRPr="00544ED5">
        <w:tab/>
        <w:t>if there is a reasonably practicable way of immediately giving a copy of the warrant to the authorised officer, for example, by sending a copy by fax or email, the official must immediately give a copy of the warrant to the officer; or</w:t>
      </w:r>
    </w:p>
    <w:p w14:paraId="32BED674" w14:textId="77777777" w:rsidR="00DB6E47" w:rsidRPr="00544ED5" w:rsidRDefault="00DB6E47" w:rsidP="00DB6E47">
      <w:pPr>
        <w:pStyle w:val="Apara"/>
      </w:pPr>
      <w:r w:rsidRPr="00544ED5">
        <w:tab/>
        <w:t>(b)</w:t>
      </w:r>
      <w:r w:rsidRPr="00544ED5">
        <w:tab/>
        <w:t>otherwise—</w:t>
      </w:r>
    </w:p>
    <w:p w14:paraId="5E35EF43" w14:textId="77777777" w:rsidR="00DB6E47" w:rsidRPr="00516F02" w:rsidRDefault="00DB6E47" w:rsidP="00DB6E47">
      <w:pPr>
        <w:pStyle w:val="Asubpara"/>
      </w:pPr>
      <w:r w:rsidRPr="00516F02">
        <w:tab/>
        <w:t>(i)</w:t>
      </w:r>
      <w:r w:rsidRPr="00516F02">
        <w:tab/>
        <w:t>the official must tell the authorised officer the information mentioned in section 507(2); and</w:t>
      </w:r>
    </w:p>
    <w:p w14:paraId="5628D659" w14:textId="77777777" w:rsidR="00DB6E47" w:rsidRPr="00516F02" w:rsidRDefault="00DB6E47" w:rsidP="00DB6E47">
      <w:pPr>
        <w:pStyle w:val="Asubpara"/>
      </w:pPr>
      <w:r w:rsidRPr="00516F02">
        <w:tab/>
        <w:t>(ii)</w:t>
      </w:r>
      <w:r w:rsidRPr="00516F02">
        <w:tab/>
        <w:t>the authorised officer must complete a form of warrant, including by writing on it the infor</w:t>
      </w:r>
      <w:r w:rsidR="00144A36">
        <w:t>mation mentioned in section 507</w:t>
      </w:r>
      <w:r w:rsidRPr="00516F02">
        <w:t>(2)</w:t>
      </w:r>
      <w:r w:rsidR="00144A36">
        <w:t xml:space="preserve"> </w:t>
      </w:r>
      <w:r w:rsidRPr="00516F02">
        <w:t>provided by the official.</w:t>
      </w:r>
    </w:p>
    <w:p w14:paraId="77B3FB95" w14:textId="77777777" w:rsidR="00DB6E47" w:rsidRPr="00CC4412" w:rsidRDefault="00DB6E47" w:rsidP="00DB6E47">
      <w:pPr>
        <w:pStyle w:val="Amain"/>
      </w:pPr>
      <w:r w:rsidRPr="00CC4412">
        <w:tab/>
        <w:t>(5)</w:t>
      </w:r>
      <w:r w:rsidRPr="00CC4412">
        <w:tab/>
        <w:t>The copy of the warrant mentioned in subsection (4)(a), or the form of warrant</w:t>
      </w:r>
      <w:r w:rsidR="00144A36">
        <w:t xml:space="preserve"> completed under subsection (4)</w:t>
      </w:r>
      <w:r w:rsidRPr="00CC4412">
        <w:t>(b)</w:t>
      </w:r>
      <w:r w:rsidR="00144A36">
        <w:t xml:space="preserve"> </w:t>
      </w:r>
      <w:r w:rsidRPr="00CC4412">
        <w:t xml:space="preserve">(in either case the </w:t>
      </w:r>
      <w:r w:rsidRPr="00FF4454">
        <w:rPr>
          <w:rStyle w:val="charBoldItals"/>
        </w:rPr>
        <w:t>duplicate warrant</w:t>
      </w:r>
      <w:r w:rsidRPr="00CC4412">
        <w:t>), is a duplicate of, and as effectual as, the original warrant.</w:t>
      </w:r>
    </w:p>
    <w:p w14:paraId="4EC76882" w14:textId="77777777" w:rsidR="00DB6E47" w:rsidRPr="00CC4412" w:rsidRDefault="00DB6E47" w:rsidP="00DB6E47">
      <w:pPr>
        <w:pStyle w:val="Amain"/>
      </w:pPr>
      <w:r w:rsidRPr="00CC4412">
        <w:tab/>
        <w:t>(6)</w:t>
      </w:r>
      <w:r w:rsidRPr="00CC4412">
        <w:tab/>
        <w:t>The authorised officer must, at the first reasonable opportunity, send to the authorised warrant official—</w:t>
      </w:r>
    </w:p>
    <w:p w14:paraId="530113EC" w14:textId="77777777" w:rsidR="00DB6E47" w:rsidRPr="00544ED5" w:rsidRDefault="00DB6E47" w:rsidP="00DB6E47">
      <w:pPr>
        <w:pStyle w:val="Apara"/>
      </w:pPr>
      <w:r w:rsidRPr="00544ED5">
        <w:tab/>
        <w:t>(a)</w:t>
      </w:r>
      <w:r w:rsidRPr="00544ED5">
        <w:tab/>
        <w:t>the written applica</w:t>
      </w:r>
      <w:r w:rsidR="00144A36">
        <w:t>tion complying with section 506</w:t>
      </w:r>
      <w:r w:rsidRPr="00544ED5">
        <w:t>(2)</w:t>
      </w:r>
      <w:r w:rsidR="00144A36">
        <w:t xml:space="preserve"> </w:t>
      </w:r>
      <w:r w:rsidRPr="00544ED5">
        <w:t>and (3); and</w:t>
      </w:r>
    </w:p>
    <w:p w14:paraId="6B6636A0" w14:textId="77777777" w:rsidR="00DB6E47" w:rsidRPr="00544ED5" w:rsidRDefault="00DB6E47" w:rsidP="00DB6E47">
      <w:pPr>
        <w:pStyle w:val="Apara"/>
      </w:pPr>
      <w:r w:rsidRPr="00544ED5">
        <w:tab/>
        <w:t>(b)</w:t>
      </w:r>
      <w:r w:rsidRPr="00544ED5">
        <w:tab/>
        <w:t xml:space="preserve">if the officer completed a form </w:t>
      </w:r>
      <w:r w:rsidR="00144A36">
        <w:t>of warrant under subsection (4)</w:t>
      </w:r>
      <w:r w:rsidRPr="00544ED5">
        <w:t>(b)—the completed form of warrant.</w:t>
      </w:r>
    </w:p>
    <w:p w14:paraId="4B4A758F" w14:textId="77777777" w:rsidR="00DB6E47" w:rsidRPr="00CC4412" w:rsidRDefault="00DB6E47" w:rsidP="00E43165">
      <w:pPr>
        <w:pStyle w:val="Amain"/>
        <w:keepNext/>
      </w:pPr>
      <w:r w:rsidRPr="00CC4412">
        <w:tab/>
        <w:t>(7)</w:t>
      </w:r>
      <w:r w:rsidRPr="00CC4412">
        <w:tab/>
        <w:t>The authorised warrant official must keep the original warrant and, on receiving the documents under subsection (6)—</w:t>
      </w:r>
    </w:p>
    <w:p w14:paraId="028CDC46" w14:textId="77777777" w:rsidR="00DB6E47" w:rsidRPr="00544ED5" w:rsidRDefault="00DB6E47" w:rsidP="00DB6E47">
      <w:pPr>
        <w:pStyle w:val="Apara"/>
      </w:pPr>
      <w:r w:rsidRPr="00544ED5">
        <w:tab/>
        <w:t>(a)</w:t>
      </w:r>
      <w:r w:rsidRPr="00544ED5">
        <w:tab/>
        <w:t>attach the documents to the original warrant; and</w:t>
      </w:r>
    </w:p>
    <w:p w14:paraId="70EB1D6D" w14:textId="77777777" w:rsidR="00DB6E47" w:rsidRPr="00544ED5" w:rsidRDefault="00DB6E47" w:rsidP="00DB6E47">
      <w:pPr>
        <w:pStyle w:val="Apara"/>
      </w:pPr>
      <w:r w:rsidRPr="00544ED5">
        <w:tab/>
        <w:t>(b)</w:t>
      </w:r>
      <w:r w:rsidRPr="00544ED5">
        <w:tab/>
        <w:t>file the original warrant and documents in the relevant court.</w:t>
      </w:r>
    </w:p>
    <w:p w14:paraId="06D4E10E" w14:textId="77777777" w:rsidR="00DB6E47" w:rsidRPr="00CC4412" w:rsidRDefault="00DB6E47" w:rsidP="007A5E66">
      <w:pPr>
        <w:pStyle w:val="Amain"/>
        <w:keepNext/>
      </w:pPr>
      <w:r w:rsidRPr="00CC4412">
        <w:lastRenderedPageBreak/>
        <w:tab/>
        <w:t>(8)</w:t>
      </w:r>
      <w:r w:rsidRPr="00CC4412">
        <w:tab/>
        <w:t>Despite subsection (5), if—</w:t>
      </w:r>
    </w:p>
    <w:p w14:paraId="2FCA8345" w14:textId="77777777" w:rsidR="00DB6E47" w:rsidRPr="00544ED5" w:rsidRDefault="00DB6E47" w:rsidP="00DB6E47">
      <w:pPr>
        <w:pStyle w:val="Apara"/>
      </w:pPr>
      <w:r w:rsidRPr="00544ED5">
        <w:tab/>
        <w:t>(a)</w:t>
      </w:r>
      <w:r w:rsidRPr="00544ED5">
        <w:tab/>
        <w:t>an issue arises in a proceeding about whether an exercise of a power was authorised by a warrant issued under this section; and</w:t>
      </w:r>
    </w:p>
    <w:p w14:paraId="071AB5DA" w14:textId="77777777" w:rsidR="00DB6E47" w:rsidRPr="00544ED5" w:rsidRDefault="00DB6E47" w:rsidP="00DB6E47">
      <w:pPr>
        <w:pStyle w:val="Apara"/>
      </w:pPr>
      <w:r w:rsidRPr="00544ED5">
        <w:tab/>
        <w:t>(b)</w:t>
      </w:r>
      <w:r w:rsidRPr="00544ED5">
        <w:tab/>
        <w:t>the original warrant is not produced in evidence;</w:t>
      </w:r>
    </w:p>
    <w:p w14:paraId="26BF201F" w14:textId="77777777" w:rsidR="00DB6E47" w:rsidRPr="006C3305" w:rsidRDefault="00DB6E47" w:rsidP="00DB6E47">
      <w:pPr>
        <w:pStyle w:val="Amainreturn"/>
      </w:pPr>
      <w:r w:rsidRPr="006C3305">
        <w:t>the onus of proof is on the person relying on the lawfulness of the exercise of the power to prove a warrant authorised the exercise of the power.</w:t>
      </w:r>
    </w:p>
    <w:p w14:paraId="0D401A62" w14:textId="77777777" w:rsidR="00DB6E47" w:rsidRPr="00CC4412" w:rsidRDefault="00DB6E47" w:rsidP="00DB6E47">
      <w:pPr>
        <w:pStyle w:val="Amain"/>
      </w:pPr>
      <w:r w:rsidRPr="00CC4412">
        <w:tab/>
        <w:t>(9)</w:t>
      </w:r>
      <w:r w:rsidRPr="00CC4412">
        <w:tab/>
        <w:t>This section does not limit section 506.</w:t>
      </w:r>
    </w:p>
    <w:p w14:paraId="6F40E243" w14:textId="77777777" w:rsidR="00DB6E47" w:rsidRPr="007E1F9A" w:rsidRDefault="00DB6E47" w:rsidP="00DB6E47">
      <w:pPr>
        <w:pStyle w:val="AH5Sec"/>
      </w:pPr>
      <w:bookmarkStart w:id="599" w:name="_Toc83625943"/>
      <w:r w:rsidRPr="005E03F7">
        <w:rPr>
          <w:rStyle w:val="CharSectNo"/>
        </w:rPr>
        <w:t>509</w:t>
      </w:r>
      <w:r w:rsidRPr="007E1F9A">
        <w:tab/>
      </w:r>
      <w:r w:rsidRPr="007E1F9A">
        <w:rPr>
          <w:rFonts w:ascii="Helvetica" w:hAnsi="Helvetica" w:cs="Helvetica"/>
          <w:iCs/>
        </w:rPr>
        <w:t>Defect in relation to a warrant</w:t>
      </w:r>
      <w:bookmarkEnd w:id="599"/>
    </w:p>
    <w:p w14:paraId="27351B2E" w14:textId="77777777" w:rsidR="00DB6E47" w:rsidRPr="00CC4412" w:rsidRDefault="00DB6E47" w:rsidP="00DB6E47">
      <w:pPr>
        <w:pStyle w:val="Amain"/>
      </w:pPr>
      <w:r w:rsidRPr="00CC4412">
        <w:tab/>
        <w:t>(1)</w:t>
      </w:r>
      <w:r w:rsidRPr="00CC4412">
        <w:tab/>
        <w:t>A warrant is not invalidated by a defect in—</w:t>
      </w:r>
    </w:p>
    <w:p w14:paraId="3B606A7C" w14:textId="77777777" w:rsidR="00DB6E47" w:rsidRPr="00544ED5" w:rsidRDefault="00DB6E47" w:rsidP="00DB6E47">
      <w:pPr>
        <w:pStyle w:val="Apara"/>
      </w:pPr>
      <w:r w:rsidRPr="00544ED5">
        <w:tab/>
        <w:t>(a)</w:t>
      </w:r>
      <w:r w:rsidRPr="00544ED5">
        <w:tab/>
        <w:t>the warrant; or</w:t>
      </w:r>
    </w:p>
    <w:p w14:paraId="7CE1E86A" w14:textId="77777777" w:rsidR="00DB6E47" w:rsidRPr="00544ED5" w:rsidRDefault="00DB6E47" w:rsidP="00DB6E47">
      <w:pPr>
        <w:pStyle w:val="Apara"/>
      </w:pPr>
      <w:r w:rsidRPr="00544ED5">
        <w:tab/>
        <w:t>(b)</w:t>
      </w:r>
      <w:r w:rsidRPr="00544ED5">
        <w:tab/>
        <w:t>compliance with this Division;</w:t>
      </w:r>
    </w:p>
    <w:p w14:paraId="019E34C1" w14:textId="77777777" w:rsidR="00DB6E47" w:rsidRPr="00CC4412" w:rsidRDefault="00DB6E47" w:rsidP="00DB6E47">
      <w:pPr>
        <w:pStyle w:val="Amainreturn"/>
      </w:pPr>
      <w:r w:rsidRPr="00CC4412">
        <w:t>unless the defect affects the substance of the warrant in a material particular.</w:t>
      </w:r>
    </w:p>
    <w:p w14:paraId="2D5A8889" w14:textId="77777777" w:rsidR="00DB6E47" w:rsidRPr="00CC4412" w:rsidRDefault="00DB6E47" w:rsidP="00DB6E47">
      <w:pPr>
        <w:pStyle w:val="Amain"/>
      </w:pPr>
      <w:r w:rsidRPr="00CC4412">
        <w:tab/>
        <w:t>(2)</w:t>
      </w:r>
      <w:r w:rsidRPr="00CC4412">
        <w:tab/>
        <w:t>In this section—</w:t>
      </w:r>
    </w:p>
    <w:p w14:paraId="0534C0FF" w14:textId="77777777" w:rsidR="00DB6E47" w:rsidRPr="00041046" w:rsidRDefault="00DB6E47" w:rsidP="00DB6E47">
      <w:pPr>
        <w:pStyle w:val="aDef"/>
        <w:rPr>
          <w:bCs/>
        </w:rPr>
      </w:pPr>
      <w:r w:rsidRPr="00041046">
        <w:rPr>
          <w:rStyle w:val="charBoldItals"/>
        </w:rPr>
        <w:t>warrant</w:t>
      </w:r>
      <w:r w:rsidRPr="00041046">
        <w:t xml:space="preserve"> includes a duplicate warrant mentioned in section 508(5).</w:t>
      </w:r>
    </w:p>
    <w:p w14:paraId="53DCB1B7" w14:textId="77777777" w:rsidR="00DB6E47" w:rsidRPr="007E1F9A" w:rsidRDefault="00DB6E47" w:rsidP="00DB6E47">
      <w:pPr>
        <w:pStyle w:val="AH5Sec"/>
      </w:pPr>
      <w:bookmarkStart w:id="600" w:name="_Toc83625944"/>
      <w:r w:rsidRPr="005E03F7">
        <w:rPr>
          <w:rStyle w:val="CharSectNo"/>
        </w:rPr>
        <w:t>510</w:t>
      </w:r>
      <w:r w:rsidRPr="007E1F9A">
        <w:tab/>
      </w:r>
      <w:r w:rsidRPr="007E1F9A">
        <w:rPr>
          <w:rFonts w:ascii="Helvetica" w:hAnsi="Helvetica" w:cs="Helvetica"/>
          <w:iCs/>
        </w:rPr>
        <w:t>Procedure for entry under warrant</w:t>
      </w:r>
      <w:bookmarkEnd w:id="600"/>
    </w:p>
    <w:p w14:paraId="549AAF14" w14:textId="77777777" w:rsidR="00DB6E47" w:rsidRPr="00CC4412" w:rsidRDefault="00DB6E47" w:rsidP="00456CD9">
      <w:pPr>
        <w:pStyle w:val="Amain"/>
        <w:keepNext/>
      </w:pPr>
      <w:r w:rsidRPr="00CC4412">
        <w:tab/>
        <w:t>(1)</w:t>
      </w:r>
      <w:r w:rsidRPr="00CC4412">
        <w:tab/>
        <w:t>This section applies if an authorised officer is intending to enter a place under a warrant issued under this Division.</w:t>
      </w:r>
    </w:p>
    <w:p w14:paraId="4D3B8282" w14:textId="77777777" w:rsidR="00DB6E47" w:rsidRPr="00CC4412" w:rsidRDefault="00DB6E47" w:rsidP="003C6640">
      <w:pPr>
        <w:pStyle w:val="Amain"/>
        <w:keepNext/>
      </w:pPr>
      <w:r w:rsidRPr="00CC4412">
        <w:tab/>
        <w:t>(2)</w:t>
      </w:r>
      <w:r w:rsidRPr="00CC4412">
        <w:tab/>
        <w:t>Before entering the place, the authorised officer must do or make a reasonable attempt to do the following things—</w:t>
      </w:r>
    </w:p>
    <w:p w14:paraId="7F0A92CF" w14:textId="77777777" w:rsidR="00DB6E47" w:rsidRPr="00544ED5" w:rsidRDefault="00DB6E47" w:rsidP="00DB6E47">
      <w:pPr>
        <w:pStyle w:val="Apara"/>
      </w:pPr>
      <w:r w:rsidRPr="00544ED5">
        <w:tab/>
        <w:t>(a)</w:t>
      </w:r>
      <w:r w:rsidRPr="00544ED5">
        <w:tab/>
        <w:t>identify himself or herself to a person who is an occupier of the place and is present by producing—</w:t>
      </w:r>
    </w:p>
    <w:p w14:paraId="53AF0A61" w14:textId="77777777" w:rsidR="00DB6E47" w:rsidRPr="00516F02" w:rsidRDefault="00DB6E47" w:rsidP="00DB6E47">
      <w:pPr>
        <w:pStyle w:val="Asubpara"/>
      </w:pPr>
      <w:r w:rsidRPr="00516F02">
        <w:tab/>
        <w:t>(i)</w:t>
      </w:r>
      <w:r w:rsidRPr="00516F02">
        <w:tab/>
        <w:t>for an authorised officer who is a police officer—an identity card or other document evidencing the officer’s appointment as a police officer; or</w:t>
      </w:r>
    </w:p>
    <w:p w14:paraId="7D2E1CC0" w14:textId="77777777" w:rsidR="00DB6E47" w:rsidRPr="00516F02" w:rsidRDefault="00DB6E47" w:rsidP="00DB6E47">
      <w:pPr>
        <w:pStyle w:val="Asubpara"/>
      </w:pPr>
      <w:r w:rsidRPr="00516F02">
        <w:lastRenderedPageBreak/>
        <w:tab/>
        <w:t>(ii)</w:t>
      </w:r>
      <w:r w:rsidRPr="00516F02">
        <w:tab/>
        <w:t>for an authorised officer who is not a police officer—the identity card issued to the officer under this Law or another document evidencing the officer’s appointment as an authorised officer;</w:t>
      </w:r>
    </w:p>
    <w:p w14:paraId="6D11F911" w14:textId="77777777" w:rsidR="00DB6E47" w:rsidRPr="00544ED5" w:rsidRDefault="00DB6E47" w:rsidP="00DB6E47">
      <w:pPr>
        <w:pStyle w:val="Apara"/>
      </w:pPr>
      <w:r w:rsidRPr="00544ED5">
        <w:tab/>
        <w:t>(b)</w:t>
      </w:r>
      <w:r w:rsidRPr="00544ED5">
        <w:tab/>
        <w:t>give the person a copy of the warrant;</w:t>
      </w:r>
    </w:p>
    <w:p w14:paraId="658D032D" w14:textId="77777777" w:rsidR="00DB6E47" w:rsidRPr="00544ED5" w:rsidRDefault="00DB6E47" w:rsidP="00DB6E47">
      <w:pPr>
        <w:pStyle w:val="Apara"/>
      </w:pPr>
      <w:r w:rsidRPr="00544ED5">
        <w:tab/>
        <w:t>(c)</w:t>
      </w:r>
      <w:r w:rsidRPr="00544ED5">
        <w:tab/>
        <w:t>tell the person the officer is permitted by the warrant to enter the place;</w:t>
      </w:r>
    </w:p>
    <w:p w14:paraId="6DBFB4E1" w14:textId="77777777" w:rsidR="00DB6E47" w:rsidRPr="00544ED5" w:rsidRDefault="00DB6E47" w:rsidP="00DB6E47">
      <w:pPr>
        <w:pStyle w:val="Apara"/>
      </w:pPr>
      <w:r w:rsidRPr="00544ED5">
        <w:tab/>
        <w:t>(d)</w:t>
      </w:r>
      <w:r w:rsidRPr="00544ED5">
        <w:tab/>
        <w:t>give the person an opportunity to allow the officer immediate entry to the place without using force.</w:t>
      </w:r>
    </w:p>
    <w:p w14:paraId="6E8B0C47" w14:textId="77777777" w:rsidR="00DB6E47" w:rsidRPr="00CC4412" w:rsidRDefault="00DB6E47" w:rsidP="00DB6E47">
      <w:pPr>
        <w:pStyle w:val="Amain"/>
      </w:pPr>
      <w:r w:rsidRPr="00CC4412">
        <w:tab/>
        <w:t>(3)</w:t>
      </w:r>
      <w:r w:rsidRPr="00CC4412">
        <w:tab/>
        <w:t xml:space="preserve">However, the authorised officer </w:t>
      </w:r>
      <w:r w:rsidR="00C63ECD">
        <w:t>need not comply with subsection </w:t>
      </w:r>
      <w:r w:rsidRPr="00CC4412">
        <w:t>(2)</w:t>
      </w:r>
      <w:r w:rsidR="00C63ECD">
        <w:t xml:space="preserve"> </w:t>
      </w:r>
      <w:r w:rsidRPr="00CC4412">
        <w:t>if the officer reasonably believes that entry to the place is required to ensure the execution of the warrant is not frustrated.</w:t>
      </w:r>
    </w:p>
    <w:p w14:paraId="6762F966" w14:textId="77777777" w:rsidR="00DB6E47" w:rsidRPr="00CC4412" w:rsidRDefault="00C63ECD" w:rsidP="00DB6E47">
      <w:pPr>
        <w:pStyle w:val="Amain"/>
      </w:pPr>
      <w:r>
        <w:tab/>
        <w:t>(4)</w:t>
      </w:r>
      <w:r>
        <w:tab/>
        <w:t>Subsection (2)(a)</w:t>
      </w:r>
      <w:r w:rsidR="00DB6E47" w:rsidRPr="00CC4412">
        <w:t>(i)</w:t>
      </w:r>
      <w:r>
        <w:t xml:space="preserve"> </w:t>
      </w:r>
      <w:r w:rsidR="00DB6E47" w:rsidRPr="00CC4412">
        <w:t>does not apply to a police officer in uniform.</w:t>
      </w:r>
    </w:p>
    <w:p w14:paraId="5B06B6C3" w14:textId="77777777" w:rsidR="00DB6E47" w:rsidRPr="00CC4412" w:rsidRDefault="00DB6E47" w:rsidP="00DB6E47">
      <w:pPr>
        <w:pStyle w:val="Amain"/>
      </w:pPr>
      <w:r w:rsidRPr="00CC4412">
        <w:tab/>
        <w:t>(5)</w:t>
      </w:r>
      <w:r w:rsidRPr="00CC4412">
        <w:tab/>
        <w:t>In this section—</w:t>
      </w:r>
    </w:p>
    <w:p w14:paraId="2B9E4895" w14:textId="77777777" w:rsidR="00DB6E47" w:rsidRPr="00041046" w:rsidRDefault="00DB6E47" w:rsidP="00DB6E47">
      <w:pPr>
        <w:pStyle w:val="aDef"/>
        <w:rPr>
          <w:bCs/>
        </w:rPr>
      </w:pPr>
      <w:r w:rsidRPr="00041046">
        <w:rPr>
          <w:rStyle w:val="charBoldItals"/>
        </w:rPr>
        <w:t>warrant</w:t>
      </w:r>
      <w:r w:rsidRPr="00041046">
        <w:t xml:space="preserve"> includes a duplicate warrant mentioned in section 508(5).</w:t>
      </w:r>
    </w:p>
    <w:p w14:paraId="72534BA0" w14:textId="77777777" w:rsidR="00DB6E47" w:rsidRPr="003D647F" w:rsidRDefault="00DB6E47" w:rsidP="00DB6E47">
      <w:pPr>
        <w:pStyle w:val="PageBreak"/>
        <w:rPr>
          <w:rFonts w:eastAsiaTheme="minorHAnsi"/>
        </w:rPr>
      </w:pPr>
      <w:r w:rsidRPr="003D647F">
        <w:rPr>
          <w:rFonts w:eastAsiaTheme="minorHAnsi"/>
        </w:rPr>
        <w:br w:type="page"/>
      </w:r>
    </w:p>
    <w:p w14:paraId="00892E9E" w14:textId="77777777" w:rsidR="00DB6E47" w:rsidRPr="005E03F7" w:rsidRDefault="00DB6E47" w:rsidP="00DB6E47">
      <w:pPr>
        <w:pStyle w:val="AH2Part"/>
      </w:pPr>
      <w:bookmarkStart w:id="601" w:name="_Toc83625945"/>
      <w:r w:rsidRPr="005E03F7">
        <w:rPr>
          <w:rStyle w:val="CharPartNo"/>
        </w:rPr>
        <w:lastRenderedPageBreak/>
        <w:t xml:space="preserve">Part 9.3 </w:t>
      </w:r>
      <w:r w:rsidRPr="00A95F9A">
        <w:rPr>
          <w:rFonts w:ascii="Helvetica" w:hAnsi="Helvetica" w:cs="Helvetica"/>
          <w:iCs/>
          <w:szCs w:val="32"/>
        </w:rPr>
        <w:tab/>
      </w:r>
      <w:r w:rsidRPr="005E03F7">
        <w:rPr>
          <w:rStyle w:val="CharPartText"/>
          <w:rFonts w:ascii="Helvetica" w:hAnsi="Helvetica" w:cs="Helvetica"/>
          <w:iCs/>
          <w:szCs w:val="32"/>
        </w:rPr>
        <w:t>Powers in relation to heavy vehicles</w:t>
      </w:r>
      <w:bookmarkEnd w:id="601"/>
    </w:p>
    <w:p w14:paraId="29CE0FAF" w14:textId="77777777" w:rsidR="00DB6E47" w:rsidRPr="005E03F7" w:rsidRDefault="00DB6E47" w:rsidP="00DB6E47">
      <w:pPr>
        <w:pStyle w:val="AH3Div"/>
      </w:pPr>
      <w:bookmarkStart w:id="602" w:name="_Toc83625946"/>
      <w:r w:rsidRPr="005E03F7">
        <w:rPr>
          <w:rStyle w:val="CharDivNo"/>
        </w:rPr>
        <w:t xml:space="preserve">Division 1 </w:t>
      </w:r>
      <w:r w:rsidRPr="00A95F9A">
        <w:rPr>
          <w:rFonts w:ascii="Helvetica" w:hAnsi="Helvetica" w:cs="Helvetica"/>
          <w:iCs/>
          <w:szCs w:val="28"/>
        </w:rPr>
        <w:tab/>
      </w:r>
      <w:r w:rsidRPr="005E03F7">
        <w:rPr>
          <w:rStyle w:val="CharDivText"/>
          <w:rFonts w:ascii="Helvetica" w:hAnsi="Helvetica" w:cs="Helvetica"/>
          <w:iCs/>
          <w:szCs w:val="28"/>
        </w:rPr>
        <w:t>Preliminary</w:t>
      </w:r>
      <w:bookmarkEnd w:id="602"/>
    </w:p>
    <w:p w14:paraId="613C6D76" w14:textId="77777777" w:rsidR="00DB6E47" w:rsidRPr="007E1F9A" w:rsidRDefault="00DB6E47" w:rsidP="00DB6E47">
      <w:pPr>
        <w:pStyle w:val="AH5Sec"/>
      </w:pPr>
      <w:bookmarkStart w:id="603" w:name="_Toc83625947"/>
      <w:r w:rsidRPr="005E03F7">
        <w:rPr>
          <w:rStyle w:val="CharSectNo"/>
        </w:rPr>
        <w:t>511</w:t>
      </w:r>
      <w:r w:rsidRPr="007E1F9A">
        <w:tab/>
      </w:r>
      <w:r w:rsidRPr="007E1F9A">
        <w:rPr>
          <w:rFonts w:ascii="Helvetica" w:hAnsi="Helvetica" w:cs="Helvetica"/>
          <w:iCs/>
        </w:rPr>
        <w:t>Application of Pt 9.3</w:t>
      </w:r>
      <w:bookmarkEnd w:id="603"/>
    </w:p>
    <w:p w14:paraId="664038BF" w14:textId="77777777" w:rsidR="00DB6E47" w:rsidRPr="00CC4412" w:rsidRDefault="00DB6E47" w:rsidP="00DB6E47">
      <w:pPr>
        <w:pStyle w:val="Amainreturn"/>
      </w:pPr>
      <w:r w:rsidRPr="00CC4412">
        <w:t>Unless otherwise stated in this Part, this Part applies to a heavy vehicle—</w:t>
      </w:r>
    </w:p>
    <w:p w14:paraId="48CDD6B2" w14:textId="77777777" w:rsidR="00DB6E47" w:rsidRPr="00544ED5" w:rsidRDefault="00DB6E47" w:rsidP="00DB6E47">
      <w:pPr>
        <w:pStyle w:val="Apara"/>
      </w:pPr>
      <w:r w:rsidRPr="00544ED5">
        <w:tab/>
        <w:t>(a)</w:t>
      </w:r>
      <w:r w:rsidRPr="00544ED5">
        <w:tab/>
        <w:t>on a road; or</w:t>
      </w:r>
    </w:p>
    <w:p w14:paraId="1BB2464E" w14:textId="77777777" w:rsidR="00DB6E47" w:rsidRPr="00544ED5" w:rsidRDefault="00DB6E47" w:rsidP="00DB6E47">
      <w:pPr>
        <w:pStyle w:val="Apara"/>
      </w:pPr>
      <w:r w:rsidRPr="00544ED5">
        <w:tab/>
        <w:t>(b)</w:t>
      </w:r>
      <w:r w:rsidRPr="00544ED5">
        <w:tab/>
        <w:t>in or at a public place; or</w:t>
      </w:r>
    </w:p>
    <w:p w14:paraId="213FD76F" w14:textId="77777777" w:rsidR="00DB6E47" w:rsidRPr="00544ED5" w:rsidRDefault="00DB6E47" w:rsidP="00DB6E47">
      <w:pPr>
        <w:pStyle w:val="Apara"/>
      </w:pPr>
      <w:r w:rsidRPr="00544ED5">
        <w:tab/>
        <w:t>(c)</w:t>
      </w:r>
      <w:r w:rsidRPr="00544ED5">
        <w:tab/>
        <w:t>in or at a place owned or occupied by a road authority or by another public authority; or</w:t>
      </w:r>
    </w:p>
    <w:p w14:paraId="29388089" w14:textId="77777777" w:rsidR="00DB6E47" w:rsidRPr="00544ED5" w:rsidRDefault="00DB6E47" w:rsidP="00DB6E47">
      <w:pPr>
        <w:pStyle w:val="Apara"/>
      </w:pPr>
      <w:r w:rsidRPr="00544ED5">
        <w:tab/>
        <w:t>(d)</w:t>
      </w:r>
      <w:r w:rsidRPr="00544ED5">
        <w:tab/>
        <w:t>in or at a place entered by an authorised officer under Part 9.2.</w:t>
      </w:r>
    </w:p>
    <w:p w14:paraId="77A7DEFC" w14:textId="77777777" w:rsidR="00DB6E47" w:rsidRPr="007E1F9A" w:rsidRDefault="00DB6E47" w:rsidP="00DB6E47">
      <w:pPr>
        <w:pStyle w:val="AH5Sec"/>
      </w:pPr>
      <w:bookmarkStart w:id="604" w:name="_Toc83625948"/>
      <w:r w:rsidRPr="005E03F7">
        <w:rPr>
          <w:rStyle w:val="CharSectNo"/>
        </w:rPr>
        <w:t>512</w:t>
      </w:r>
      <w:r w:rsidRPr="007E1F9A">
        <w:tab/>
      </w:r>
      <w:r w:rsidRPr="007E1F9A">
        <w:rPr>
          <w:rFonts w:ascii="Helvetica" w:hAnsi="Helvetica" w:cs="Helvetica"/>
          <w:iCs/>
        </w:rPr>
        <w:t>Persons who are drivers for this Part</w:t>
      </w:r>
      <w:bookmarkEnd w:id="604"/>
    </w:p>
    <w:p w14:paraId="7E2253DE" w14:textId="77777777" w:rsidR="00DB6E47" w:rsidRPr="00CC4412" w:rsidRDefault="00DB6E47" w:rsidP="00DB6E47">
      <w:pPr>
        <w:pStyle w:val="Amainreturn"/>
      </w:pPr>
      <w:r w:rsidRPr="00CC4412">
        <w:t>In this Part, a reference to the driver of a heavy vehicle includes a reference to a person in, on or in the vicinity of the vehicle whom an authorised officer present at the scene reasonably believes is the vehicle’s driver.</w:t>
      </w:r>
    </w:p>
    <w:p w14:paraId="05F86244" w14:textId="77777777" w:rsidR="00DB6E47" w:rsidRPr="005E03F7" w:rsidRDefault="00DB6E47" w:rsidP="00DB6E47">
      <w:pPr>
        <w:pStyle w:val="AH3Div"/>
      </w:pPr>
      <w:bookmarkStart w:id="605" w:name="_Toc83625949"/>
      <w:r w:rsidRPr="005E03F7">
        <w:rPr>
          <w:rStyle w:val="CharDivNo"/>
        </w:rPr>
        <w:t xml:space="preserve">Division 2 </w:t>
      </w:r>
      <w:r w:rsidRPr="00A95F9A">
        <w:rPr>
          <w:rFonts w:ascii="Helvetica" w:hAnsi="Helvetica" w:cs="Helvetica"/>
          <w:iCs/>
          <w:szCs w:val="28"/>
        </w:rPr>
        <w:tab/>
      </w:r>
      <w:r w:rsidRPr="005E03F7">
        <w:rPr>
          <w:rStyle w:val="CharDivText"/>
          <w:rFonts w:ascii="Helvetica" w:hAnsi="Helvetica" w:cs="Helvetica"/>
          <w:iCs/>
          <w:szCs w:val="28"/>
        </w:rPr>
        <w:t>Stopping, not moving or not interfering with heavy vehicle etc.</w:t>
      </w:r>
      <w:bookmarkEnd w:id="605"/>
    </w:p>
    <w:p w14:paraId="24DE6C7F" w14:textId="77777777" w:rsidR="00DB6E47" w:rsidRPr="007E1F9A" w:rsidRDefault="00DB6E47" w:rsidP="00DB6E47">
      <w:pPr>
        <w:pStyle w:val="AH5Sec"/>
      </w:pPr>
      <w:bookmarkStart w:id="606" w:name="_Toc83625950"/>
      <w:r w:rsidRPr="005E03F7">
        <w:rPr>
          <w:rStyle w:val="CharSectNo"/>
        </w:rPr>
        <w:t>513</w:t>
      </w:r>
      <w:r w:rsidRPr="007E1F9A">
        <w:tab/>
      </w:r>
      <w:r w:rsidRPr="007E1F9A">
        <w:rPr>
          <w:rFonts w:ascii="Helvetica" w:hAnsi="Helvetica" w:cs="Helvetica"/>
          <w:iCs/>
        </w:rPr>
        <w:t>Direction to stop heavy vehicle to enable exercise of other powers</w:t>
      </w:r>
      <w:bookmarkEnd w:id="606"/>
    </w:p>
    <w:p w14:paraId="03F51AE8" w14:textId="77777777" w:rsidR="00DB6E47" w:rsidRPr="00CC4412" w:rsidRDefault="00DB6E47" w:rsidP="00C80C84">
      <w:pPr>
        <w:pStyle w:val="Amain"/>
        <w:keepNext/>
      </w:pPr>
      <w:r w:rsidRPr="00CC4412">
        <w:tab/>
        <w:t>(1)</w:t>
      </w:r>
      <w:r w:rsidRPr="00CC4412">
        <w:tab/>
        <w:t>To enable an authorised officer to exercise a power under this Law, the officer may direct the driver of a heavy vehicle to stop the vehicle.</w:t>
      </w:r>
    </w:p>
    <w:p w14:paraId="6D15F6CB" w14:textId="77777777" w:rsidR="00DB6E47" w:rsidRPr="00C96203" w:rsidRDefault="00DB6E47" w:rsidP="00DB6E47">
      <w:pPr>
        <w:pStyle w:val="aExamHdgss"/>
      </w:pPr>
      <w:r w:rsidRPr="00C96203">
        <w:rPr>
          <w:rFonts w:cs="Times"/>
          <w:bCs/>
          <w:iCs/>
        </w:rPr>
        <w:t>Example—</w:t>
      </w:r>
    </w:p>
    <w:p w14:paraId="7EA9B2A4" w14:textId="77777777" w:rsidR="00DB6E47" w:rsidRPr="00C96203" w:rsidRDefault="00DB6E47" w:rsidP="00DB6E47">
      <w:pPr>
        <w:pStyle w:val="aExamss"/>
      </w:pPr>
      <w:r w:rsidRPr="00C96203">
        <w:t>An authorised officer may direct the driver of a heavy vehicle to stop the vehicle so that the authorised officer can enter and inspect it under section 520 or enter and search it under section 521.</w:t>
      </w:r>
    </w:p>
    <w:p w14:paraId="4F37492B" w14:textId="77777777" w:rsidR="00DB6E47" w:rsidRPr="00CC4412" w:rsidRDefault="00DB6E47" w:rsidP="00DB6E47">
      <w:pPr>
        <w:pStyle w:val="Amain"/>
      </w:pPr>
      <w:r w:rsidRPr="00CC4412">
        <w:lastRenderedPageBreak/>
        <w:tab/>
        <w:t>(2)</w:t>
      </w:r>
      <w:r w:rsidRPr="00CC4412">
        <w:tab/>
        <w:t>The direction may be given orally or in any other way, including, for example, by way of a sign or electronic or other signal.</w:t>
      </w:r>
    </w:p>
    <w:p w14:paraId="16FEDFC0" w14:textId="77777777" w:rsidR="00DB6E47" w:rsidRPr="00CC4412" w:rsidRDefault="00DB6E47" w:rsidP="00DB6E47">
      <w:pPr>
        <w:pStyle w:val="Amain"/>
      </w:pPr>
      <w:r w:rsidRPr="00CC4412">
        <w:tab/>
        <w:t>(3)</w:t>
      </w:r>
      <w:r w:rsidRPr="00CC4412">
        <w:tab/>
        <w:t>The direction may require the heavy vehicle to be—</w:t>
      </w:r>
    </w:p>
    <w:p w14:paraId="4ADA7628" w14:textId="77777777" w:rsidR="00DB6E47" w:rsidRPr="00544ED5" w:rsidRDefault="00DB6E47" w:rsidP="00DB6E47">
      <w:pPr>
        <w:pStyle w:val="Apara"/>
      </w:pPr>
      <w:r w:rsidRPr="00544ED5">
        <w:tab/>
        <w:t>(a)</w:t>
      </w:r>
      <w:r w:rsidRPr="00544ED5">
        <w:tab/>
        <w:t>stopped immediately; or</w:t>
      </w:r>
    </w:p>
    <w:p w14:paraId="39F3B938" w14:textId="77777777" w:rsidR="00DB6E47" w:rsidRPr="00544ED5" w:rsidRDefault="00DB6E47" w:rsidP="00DB6E47">
      <w:pPr>
        <w:pStyle w:val="Apara"/>
      </w:pPr>
      <w:r w:rsidRPr="00544ED5">
        <w:tab/>
        <w:t>(b)</w:t>
      </w:r>
      <w:r w:rsidRPr="00544ED5">
        <w:tab/>
        <w:t>stopped at a place indicated by the authorised officer as the nearest place for it to be safely stopped.</w:t>
      </w:r>
    </w:p>
    <w:p w14:paraId="56156745" w14:textId="77777777" w:rsidR="00DB6E47" w:rsidRPr="00CC4412" w:rsidRDefault="00DB6E47" w:rsidP="00DB6E47">
      <w:pPr>
        <w:pStyle w:val="Amain"/>
      </w:pPr>
      <w:r w:rsidRPr="00CC4412">
        <w:tab/>
        <w:t>(4)</w:t>
      </w:r>
      <w:r w:rsidRPr="00CC4412">
        <w:tab/>
        <w:t>A person giv</w:t>
      </w:r>
      <w:r w:rsidR="00C63ECD">
        <w:t xml:space="preserve">en a direction under subsection </w:t>
      </w:r>
      <w:r w:rsidRPr="00CC4412">
        <w:t>(1)</w:t>
      </w:r>
      <w:r w:rsidR="00C63ECD">
        <w:t xml:space="preserve"> </w:t>
      </w:r>
      <w:r w:rsidRPr="00CC4412">
        <w:t>must comply with the direction, unless the person has a reasonable excuse.</w:t>
      </w:r>
    </w:p>
    <w:p w14:paraId="0E279850" w14:textId="77777777" w:rsidR="00DB6E47" w:rsidRPr="006C3305" w:rsidRDefault="00DB6E47" w:rsidP="00DB6E47">
      <w:pPr>
        <w:pStyle w:val="Penalty"/>
      </w:pPr>
      <w:r w:rsidRPr="00D91CC2">
        <w:rPr>
          <w:rFonts w:cs="Times"/>
          <w:bCs/>
          <w:iCs/>
        </w:rPr>
        <w:t>Maximum penalty—$6000.</w:t>
      </w:r>
    </w:p>
    <w:p w14:paraId="200AEB2A" w14:textId="77777777" w:rsidR="00DB6E47" w:rsidRPr="00CC4412" w:rsidRDefault="00DB6E47" w:rsidP="00DB6E47">
      <w:pPr>
        <w:pStyle w:val="Amain"/>
      </w:pPr>
      <w:r w:rsidRPr="00CC4412">
        <w:tab/>
        <w:t>(5)</w:t>
      </w:r>
      <w:r w:rsidRPr="00CC4412">
        <w:tab/>
        <w:t>When the heavy vehicle stops, the authorised officer must as soon as practicable produce for the inspection of the vehicle’s driver—</w:t>
      </w:r>
    </w:p>
    <w:p w14:paraId="5DEC6347" w14:textId="77777777" w:rsidR="00DB6E47" w:rsidRPr="00544ED5" w:rsidRDefault="00DB6E47" w:rsidP="00DB6E47">
      <w:pPr>
        <w:pStyle w:val="Apara"/>
      </w:pPr>
      <w:r w:rsidRPr="00544ED5">
        <w:tab/>
        <w:t>(a)</w:t>
      </w:r>
      <w:r w:rsidRPr="00544ED5">
        <w:tab/>
        <w:t>for an authorised officer who is a police officer—an identity card or other document evidencing the officer’s appointment as a police officer; or</w:t>
      </w:r>
    </w:p>
    <w:p w14:paraId="50A97D66" w14:textId="77777777" w:rsidR="00DB6E47" w:rsidRPr="00FF4454" w:rsidRDefault="00DB6E47" w:rsidP="00DB6E47">
      <w:pPr>
        <w:pStyle w:val="Apara"/>
        <w:rPr>
          <w:rStyle w:val="charBoldItals"/>
        </w:rPr>
      </w:pPr>
      <w:r w:rsidRPr="00544ED5">
        <w:tab/>
        <w:t>(b)</w:t>
      </w:r>
      <w:r w:rsidRPr="00544ED5">
        <w:tab/>
        <w:t>for an authorised officer who is not a police officer—the identity card issued to the officer under this Law or another document evidencing the officer’s appointment as an</w:t>
      </w:r>
      <w:r w:rsidRPr="00FF4454">
        <w:rPr>
          <w:rStyle w:val="charBoldItals"/>
        </w:rPr>
        <w:t xml:space="preserve"> authorised officer.</w:t>
      </w:r>
    </w:p>
    <w:p w14:paraId="113C8D65" w14:textId="77777777" w:rsidR="00DB6E47" w:rsidRPr="00CC4412" w:rsidRDefault="00C63ECD" w:rsidP="00DB6E47">
      <w:pPr>
        <w:pStyle w:val="Amain"/>
      </w:pPr>
      <w:r>
        <w:tab/>
        <w:t>(6)</w:t>
      </w:r>
      <w:r>
        <w:tab/>
        <w:t>Subsection (5)</w:t>
      </w:r>
      <w:r w:rsidR="00DB6E47" w:rsidRPr="00CC4412">
        <w:t>(a)</w:t>
      </w:r>
      <w:r>
        <w:t xml:space="preserve"> </w:t>
      </w:r>
      <w:r w:rsidR="00DB6E47" w:rsidRPr="00CC4412">
        <w:t>does not apply to a police officer in uniform.</w:t>
      </w:r>
    </w:p>
    <w:p w14:paraId="5B091F47" w14:textId="77777777" w:rsidR="00DB6E47" w:rsidRPr="00CC4412" w:rsidRDefault="00DB6E47" w:rsidP="00DB6E47">
      <w:pPr>
        <w:pStyle w:val="Amain"/>
      </w:pPr>
      <w:r w:rsidRPr="00CC4412">
        <w:tab/>
        <w:t>(7)</w:t>
      </w:r>
      <w:r w:rsidRPr="00CC4412">
        <w:tab/>
        <w:t>In this section—</w:t>
      </w:r>
    </w:p>
    <w:p w14:paraId="0801BA7E" w14:textId="77777777" w:rsidR="00DB6E47" w:rsidRPr="00041046" w:rsidRDefault="00DB6E47" w:rsidP="00DB6E47">
      <w:pPr>
        <w:pStyle w:val="aDef"/>
        <w:rPr>
          <w:bCs/>
        </w:rPr>
      </w:pPr>
      <w:r w:rsidRPr="00041046">
        <w:rPr>
          <w:rStyle w:val="charBoldItals"/>
        </w:rPr>
        <w:t>stop a heavy vehicle</w:t>
      </w:r>
      <w:r w:rsidRPr="00041046">
        <w:t xml:space="preserve"> means to stop the vehicle and keep it stationary.</w:t>
      </w:r>
    </w:p>
    <w:p w14:paraId="455C2321" w14:textId="77777777" w:rsidR="00DB6E47" w:rsidRPr="007E1F9A" w:rsidRDefault="00DB6E47" w:rsidP="00DB6E47">
      <w:pPr>
        <w:pStyle w:val="AH5Sec"/>
      </w:pPr>
      <w:bookmarkStart w:id="607" w:name="_Toc83625951"/>
      <w:r w:rsidRPr="005E03F7">
        <w:rPr>
          <w:rStyle w:val="CharSectNo"/>
        </w:rPr>
        <w:t>514</w:t>
      </w:r>
      <w:r w:rsidRPr="007E1F9A">
        <w:tab/>
      </w:r>
      <w:r w:rsidRPr="007E1F9A">
        <w:rPr>
          <w:rFonts w:ascii="Helvetica" w:hAnsi="Helvetica" w:cs="Helvetica"/>
          <w:iCs/>
        </w:rPr>
        <w:t>Direction not to move or interfere with heavy vehicle etc. to enable exercise of other powers</w:t>
      </w:r>
      <w:bookmarkEnd w:id="607"/>
    </w:p>
    <w:p w14:paraId="7ABC7B08" w14:textId="77777777" w:rsidR="00DB6E47" w:rsidRPr="00CC4412" w:rsidRDefault="00DB6E47" w:rsidP="00DB6E47">
      <w:pPr>
        <w:pStyle w:val="Amain"/>
      </w:pPr>
      <w:r w:rsidRPr="00CC4412">
        <w:tab/>
        <w:t>(1)</w:t>
      </w:r>
      <w:r w:rsidRPr="00CC4412">
        <w:tab/>
        <w:t>To enable an authorised officer to exercise a power under this Law, the officer may direct the driver of a heavy vehicle or any other person not to—</w:t>
      </w:r>
    </w:p>
    <w:p w14:paraId="2BC8DE24" w14:textId="77777777" w:rsidR="00DB6E47" w:rsidRPr="00544ED5" w:rsidRDefault="00DB6E47" w:rsidP="00DB6E47">
      <w:pPr>
        <w:pStyle w:val="Apara"/>
      </w:pPr>
      <w:r w:rsidRPr="00544ED5">
        <w:tab/>
        <w:t>(a)</w:t>
      </w:r>
      <w:r w:rsidRPr="00544ED5">
        <w:tab/>
        <w:t>move the vehicle; or</w:t>
      </w:r>
    </w:p>
    <w:p w14:paraId="53FEC4D9" w14:textId="77777777" w:rsidR="00DB6E47" w:rsidRPr="00544ED5" w:rsidRDefault="00DB6E47" w:rsidP="00DB6E47">
      <w:pPr>
        <w:pStyle w:val="Apara"/>
      </w:pPr>
      <w:r w:rsidRPr="00544ED5">
        <w:tab/>
        <w:t>(b)</w:t>
      </w:r>
      <w:r w:rsidRPr="00544ED5">
        <w:tab/>
        <w:t>interfere with the vehicle or any equipment in it; or</w:t>
      </w:r>
    </w:p>
    <w:p w14:paraId="6FD29464" w14:textId="77777777" w:rsidR="00DB6E47" w:rsidRPr="00544ED5" w:rsidRDefault="00DB6E47" w:rsidP="00DB6E47">
      <w:pPr>
        <w:pStyle w:val="Apara"/>
      </w:pPr>
      <w:r w:rsidRPr="00544ED5">
        <w:lastRenderedPageBreak/>
        <w:tab/>
        <w:t>(c)</w:t>
      </w:r>
      <w:r w:rsidRPr="00544ED5">
        <w:tab/>
        <w:t>interfere with the vehicle’s load.</w:t>
      </w:r>
    </w:p>
    <w:p w14:paraId="7C93BF2E" w14:textId="77777777" w:rsidR="00DB6E47" w:rsidRPr="00CC4412" w:rsidRDefault="00DB6E47" w:rsidP="00DB6E47">
      <w:pPr>
        <w:pStyle w:val="Amain"/>
      </w:pPr>
      <w:r w:rsidRPr="00CC4412">
        <w:tab/>
        <w:t>(2)</w:t>
      </w:r>
      <w:r w:rsidRPr="00CC4412">
        <w:tab/>
        <w:t>The direction may be given orally or in any other way, including, for example, by way of a sign or electronic or other signal.</w:t>
      </w:r>
    </w:p>
    <w:p w14:paraId="4B1A357B" w14:textId="77777777" w:rsidR="00DB6E47" w:rsidRPr="00CC4412" w:rsidRDefault="00DB6E47" w:rsidP="00DB6E47">
      <w:pPr>
        <w:pStyle w:val="Amain"/>
      </w:pPr>
      <w:r w:rsidRPr="00CC4412">
        <w:tab/>
        <w:t>(3)</w:t>
      </w:r>
      <w:r w:rsidRPr="00CC4412">
        <w:tab/>
        <w:t>A person given a direc</w:t>
      </w:r>
      <w:r w:rsidR="00C63ECD">
        <w:t xml:space="preserve">tion under subsection </w:t>
      </w:r>
      <w:r w:rsidRPr="00CC4412">
        <w:t>(1)</w:t>
      </w:r>
      <w:r w:rsidR="00C63ECD">
        <w:t xml:space="preserve"> </w:t>
      </w:r>
      <w:r w:rsidRPr="00CC4412">
        <w:t>must comply with the direction, unless the person has a reasonable excuse.</w:t>
      </w:r>
    </w:p>
    <w:p w14:paraId="47828D92" w14:textId="77777777" w:rsidR="00DB6E47" w:rsidRPr="006C3305" w:rsidRDefault="00DB6E47" w:rsidP="00DB6E47">
      <w:pPr>
        <w:pStyle w:val="Penalty"/>
      </w:pPr>
      <w:r w:rsidRPr="00D91CC2">
        <w:rPr>
          <w:rFonts w:cs="Times"/>
          <w:bCs/>
          <w:iCs/>
        </w:rPr>
        <w:t>Maximum penalty—$6000.</w:t>
      </w:r>
    </w:p>
    <w:p w14:paraId="767DE45D" w14:textId="5E9A2F5F" w:rsidR="00DB6E47" w:rsidRPr="005E03F7" w:rsidRDefault="00DB6E47" w:rsidP="00DB6E47">
      <w:pPr>
        <w:pStyle w:val="AH3Div"/>
      </w:pPr>
      <w:bookmarkStart w:id="608" w:name="_Toc83625952"/>
      <w:r w:rsidRPr="005E03F7">
        <w:rPr>
          <w:rStyle w:val="CharDivNo"/>
        </w:rPr>
        <w:t>Division 3</w:t>
      </w:r>
      <w:r w:rsidRPr="00A95F9A">
        <w:rPr>
          <w:rFonts w:ascii="Helvetica" w:hAnsi="Helvetica" w:cs="Helvetica"/>
          <w:iCs/>
          <w:szCs w:val="28"/>
        </w:rPr>
        <w:tab/>
      </w:r>
      <w:r w:rsidRPr="005E03F7">
        <w:rPr>
          <w:rStyle w:val="CharDivText"/>
          <w:rFonts w:ascii="Helvetica" w:hAnsi="Helvetica" w:cs="Helvetica"/>
          <w:iCs/>
          <w:szCs w:val="28"/>
        </w:rPr>
        <w:t>Moving heavy vehicle</w:t>
      </w:r>
      <w:bookmarkEnd w:id="608"/>
    </w:p>
    <w:p w14:paraId="56AECB2E" w14:textId="77777777" w:rsidR="00DB6E47" w:rsidRPr="007E1F9A" w:rsidRDefault="00DB6E47" w:rsidP="00DB6E47">
      <w:pPr>
        <w:pStyle w:val="AH5Sec"/>
      </w:pPr>
      <w:bookmarkStart w:id="609" w:name="_Toc83625953"/>
      <w:r w:rsidRPr="005E03F7">
        <w:rPr>
          <w:rStyle w:val="CharSectNo"/>
        </w:rPr>
        <w:t>515</w:t>
      </w:r>
      <w:r w:rsidRPr="007E1F9A">
        <w:tab/>
      </w:r>
      <w:r w:rsidRPr="007E1F9A">
        <w:rPr>
          <w:rFonts w:ascii="Helvetica" w:hAnsi="Helvetica" w:cs="Helvetica"/>
          <w:iCs/>
        </w:rPr>
        <w:t>Definition for Div 3</w:t>
      </w:r>
      <w:bookmarkEnd w:id="609"/>
    </w:p>
    <w:p w14:paraId="0AB5863F" w14:textId="77777777" w:rsidR="00DB6E47" w:rsidRPr="00CC4412" w:rsidRDefault="00DB6E47" w:rsidP="00DB6E47">
      <w:pPr>
        <w:pStyle w:val="Amainreturn"/>
      </w:pPr>
      <w:r w:rsidRPr="00CC4412">
        <w:t>In this Division—</w:t>
      </w:r>
    </w:p>
    <w:p w14:paraId="70EBCCE4" w14:textId="77777777" w:rsidR="00DB6E47" w:rsidRPr="00041046" w:rsidRDefault="00DB6E47" w:rsidP="00DB6E47">
      <w:pPr>
        <w:pStyle w:val="aDef"/>
        <w:rPr>
          <w:bCs/>
        </w:rPr>
      </w:pPr>
      <w:r w:rsidRPr="00041046">
        <w:rPr>
          <w:rStyle w:val="charBoldItals"/>
        </w:rPr>
        <w:t>unattended</w:t>
      </w:r>
      <w:r w:rsidRPr="00041046">
        <w:t>, for a heavy vehicle, means—</w:t>
      </w:r>
    </w:p>
    <w:p w14:paraId="212034E6" w14:textId="77777777" w:rsidR="00DB6E47" w:rsidRPr="00C63ECD" w:rsidRDefault="00DB6E47" w:rsidP="00DB6E47">
      <w:pPr>
        <w:pStyle w:val="aDefpara"/>
      </w:pPr>
      <w:r w:rsidRPr="00FF4454">
        <w:tab/>
      </w:r>
      <w:r w:rsidRPr="00F04D8E">
        <w:rPr>
          <w:rFonts w:cs="Times"/>
          <w:bCs/>
          <w:iCs/>
        </w:rPr>
        <w:t>(a)</w:t>
      </w:r>
      <w:r w:rsidRPr="00FF4454">
        <w:rPr>
          <w:rStyle w:val="charBoldItals"/>
        </w:rPr>
        <w:tab/>
      </w:r>
      <w:r w:rsidRPr="00C63ECD">
        <w:t>there is no-one in or near the vehicle who appears to be its driver; or</w:t>
      </w:r>
    </w:p>
    <w:p w14:paraId="6B9A2EF3" w14:textId="77777777" w:rsidR="00DB6E47" w:rsidRPr="00C63ECD" w:rsidRDefault="00DB6E47" w:rsidP="00E43165">
      <w:pPr>
        <w:pStyle w:val="aDefpara"/>
        <w:keepNext/>
      </w:pPr>
      <w:r w:rsidRPr="00C63ECD">
        <w:tab/>
        <w:t>(b)</w:t>
      </w:r>
      <w:r w:rsidRPr="00C63ECD">
        <w:tab/>
        <w:t>there is a person in or near the vehicle who appears to be its driver but the person is—</w:t>
      </w:r>
    </w:p>
    <w:p w14:paraId="1508007D" w14:textId="77777777" w:rsidR="00DB6E47" w:rsidRPr="006C3305" w:rsidRDefault="00DB6E47" w:rsidP="00DB6E47">
      <w:pPr>
        <w:pStyle w:val="aDefsubpara"/>
      </w:pPr>
      <w:r>
        <w:tab/>
      </w:r>
      <w:r w:rsidRPr="00F04D8E">
        <w:t>(i)</w:t>
      </w:r>
      <w:r w:rsidRPr="006C3305">
        <w:tab/>
        <w:t>unwilling, or not qualified or fit, to drive the vehicle; or</w:t>
      </w:r>
    </w:p>
    <w:p w14:paraId="6F077793" w14:textId="77777777" w:rsidR="00DB6E47" w:rsidRPr="00C63ECD" w:rsidRDefault="00DB6E47" w:rsidP="00C63ECD">
      <w:pPr>
        <w:pStyle w:val="Asubpara"/>
      </w:pPr>
      <w:r w:rsidRPr="00C63ECD">
        <w:tab/>
        <w:t>(ii)</w:t>
      </w:r>
      <w:r w:rsidRPr="00C63ECD">
        <w:tab/>
        <w:t>not authorised by the operator of the vehicle to drive it; or</w:t>
      </w:r>
    </w:p>
    <w:p w14:paraId="0C833D23" w14:textId="77777777" w:rsidR="00DB6E47" w:rsidRPr="00C63ECD" w:rsidRDefault="00DB6E47" w:rsidP="00C63ECD">
      <w:pPr>
        <w:pStyle w:val="Asubpara"/>
      </w:pPr>
      <w:r w:rsidRPr="00C63ECD">
        <w:tab/>
        <w:t>(iii)</w:t>
      </w:r>
      <w:r w:rsidRPr="00C63ECD">
        <w:tab/>
        <w:t>subject to a direction under section 524.</w:t>
      </w:r>
    </w:p>
    <w:p w14:paraId="21CD2F93" w14:textId="77777777" w:rsidR="00DB6E47" w:rsidRPr="007E1F9A" w:rsidRDefault="00DB6E47" w:rsidP="00DB6E47">
      <w:pPr>
        <w:pStyle w:val="AH5Sec"/>
      </w:pPr>
      <w:bookmarkStart w:id="610" w:name="_Toc83625954"/>
      <w:r w:rsidRPr="005E03F7">
        <w:rPr>
          <w:rStyle w:val="CharSectNo"/>
        </w:rPr>
        <w:t>516</w:t>
      </w:r>
      <w:r w:rsidRPr="007E1F9A">
        <w:tab/>
      </w:r>
      <w:r w:rsidRPr="007E1F9A">
        <w:rPr>
          <w:rFonts w:ascii="Helvetica" w:hAnsi="Helvetica" w:cs="Helvetica"/>
          <w:iCs/>
        </w:rPr>
        <w:t>Direction to move heavy vehicle to enable exercise of other powers</w:t>
      </w:r>
      <w:bookmarkEnd w:id="610"/>
    </w:p>
    <w:p w14:paraId="57A6D54B" w14:textId="77777777" w:rsidR="00DB6E47" w:rsidRPr="00CC4412" w:rsidRDefault="00DB6E47" w:rsidP="00DB6E47">
      <w:pPr>
        <w:pStyle w:val="Amain"/>
      </w:pPr>
      <w:r w:rsidRPr="00CC4412">
        <w:tab/>
        <w:t>(1)</w:t>
      </w:r>
      <w:r w:rsidRPr="00CC4412">
        <w:tab/>
        <w:t>To enable an authorised officer to exercise a power under this Law, the officer may direct the driver or operator of a heavy vehicle that is stationary or has been stopped under section 513 to move the vehicle, or cause it to be moved, to a stated reasonable place within a 30km radius from—</w:t>
      </w:r>
    </w:p>
    <w:p w14:paraId="3651959C" w14:textId="77777777" w:rsidR="00DB6E47" w:rsidRPr="00544ED5" w:rsidRDefault="00DB6E47" w:rsidP="00DB6E47">
      <w:pPr>
        <w:pStyle w:val="Apara"/>
      </w:pPr>
      <w:r w:rsidRPr="00544ED5">
        <w:tab/>
        <w:t>(a)</w:t>
      </w:r>
      <w:r w:rsidRPr="00544ED5">
        <w:tab/>
        <w:t>where the vehicle was stationary or stopped; or</w:t>
      </w:r>
    </w:p>
    <w:p w14:paraId="72E542B5" w14:textId="77777777" w:rsidR="00DB6E47" w:rsidRPr="00544ED5" w:rsidRDefault="00DB6E47" w:rsidP="00DB6E47">
      <w:pPr>
        <w:pStyle w:val="Apara"/>
      </w:pPr>
      <w:r w:rsidRPr="00544ED5">
        <w:lastRenderedPageBreak/>
        <w:tab/>
        <w:t>(b)</w:t>
      </w:r>
      <w:r w:rsidRPr="00544ED5">
        <w:tab/>
        <w:t>if the direction is given within the course of the vehicle’s journey—any point along the forward route of the journey.</w:t>
      </w:r>
    </w:p>
    <w:p w14:paraId="603D0D11" w14:textId="77777777" w:rsidR="00DB6E47" w:rsidRPr="00C96203" w:rsidRDefault="00DB6E47" w:rsidP="00DB6E47">
      <w:pPr>
        <w:pStyle w:val="aExamHdgss"/>
      </w:pPr>
      <w:r w:rsidRPr="00C96203">
        <w:rPr>
          <w:rFonts w:cs="Times"/>
          <w:bCs/>
          <w:iCs/>
        </w:rPr>
        <w:t>Example—</w:t>
      </w:r>
    </w:p>
    <w:p w14:paraId="212B33FF" w14:textId="77777777" w:rsidR="00DB6E47" w:rsidRPr="00C96203" w:rsidRDefault="00DB6E47" w:rsidP="00DB6E47">
      <w:pPr>
        <w:pStyle w:val="aExamss"/>
      </w:pPr>
      <w:r w:rsidRPr="00C96203">
        <w:t>An authorised officer may direct the driver of a heavy vehicle to move the vehicle onto a weighing or testing device.</w:t>
      </w:r>
    </w:p>
    <w:p w14:paraId="117689EB" w14:textId="77777777" w:rsidR="00DB6E47" w:rsidRPr="00CC4412" w:rsidRDefault="00DB6E47" w:rsidP="00DB6E47">
      <w:pPr>
        <w:pStyle w:val="Amain"/>
      </w:pPr>
      <w:r w:rsidRPr="00CC4412">
        <w:tab/>
        <w:t>(2)</w:t>
      </w:r>
      <w:r w:rsidRPr="00CC4412">
        <w:tab/>
        <w:t>The direction may be made orally or in any other way, including, for example—</w:t>
      </w:r>
    </w:p>
    <w:p w14:paraId="0B95AC67" w14:textId="77777777" w:rsidR="00DB6E47" w:rsidRPr="00544ED5" w:rsidRDefault="00DB6E47" w:rsidP="00DB6E47">
      <w:pPr>
        <w:pStyle w:val="Apara"/>
      </w:pPr>
      <w:r w:rsidRPr="00544ED5">
        <w:tab/>
        <w:t>(a)</w:t>
      </w:r>
      <w:r w:rsidRPr="00544ED5">
        <w:tab/>
        <w:t>for a direction given to the driver of a heavy vehicle—by way of a sign or electronic or other signal; or</w:t>
      </w:r>
    </w:p>
    <w:p w14:paraId="0803AF75" w14:textId="77777777" w:rsidR="00DB6E47" w:rsidRPr="00544ED5" w:rsidRDefault="00DB6E47" w:rsidP="00DB6E47">
      <w:pPr>
        <w:pStyle w:val="Apara"/>
      </w:pPr>
      <w:r w:rsidRPr="00544ED5">
        <w:tab/>
        <w:t>(b)</w:t>
      </w:r>
      <w:r w:rsidRPr="00544ED5">
        <w:tab/>
        <w:t>for a direction given to the operator of a heavy vehicle—by radio, telephone, fax or email.</w:t>
      </w:r>
    </w:p>
    <w:p w14:paraId="106ECC49" w14:textId="77777777" w:rsidR="00DB6E47" w:rsidRPr="00CC4412" w:rsidRDefault="00DB6E47" w:rsidP="00DB6E47">
      <w:pPr>
        <w:pStyle w:val="Amain"/>
      </w:pPr>
      <w:r w:rsidRPr="00CC4412">
        <w:tab/>
        <w:t>(3)</w:t>
      </w:r>
      <w:r w:rsidRPr="00CC4412">
        <w:tab/>
        <w:t>A person giv</w:t>
      </w:r>
      <w:r w:rsidR="00C63ECD">
        <w:t xml:space="preserve">en a direction under subsection </w:t>
      </w:r>
      <w:r w:rsidRPr="00CC4412">
        <w:t>(1)</w:t>
      </w:r>
      <w:r w:rsidR="00C63ECD">
        <w:t xml:space="preserve"> </w:t>
      </w:r>
      <w:r w:rsidRPr="00CC4412">
        <w:t>must comply with the direction, unless the person has a reasonable excuse.</w:t>
      </w:r>
    </w:p>
    <w:p w14:paraId="059FC984" w14:textId="77777777" w:rsidR="00DB6E47" w:rsidRPr="006C3305" w:rsidRDefault="00DB6E47" w:rsidP="00DB6E47">
      <w:pPr>
        <w:pStyle w:val="Penalty"/>
      </w:pPr>
      <w:r w:rsidRPr="00D91CC2">
        <w:rPr>
          <w:rFonts w:cs="Times"/>
          <w:bCs/>
          <w:iCs/>
        </w:rPr>
        <w:t>Maximum penalty—$6000.</w:t>
      </w:r>
    </w:p>
    <w:p w14:paraId="5E027AE2" w14:textId="77777777" w:rsidR="00DB6E47" w:rsidRPr="00CC4412" w:rsidRDefault="00DB6E47" w:rsidP="00DB6E47">
      <w:pPr>
        <w:pStyle w:val="Amain"/>
      </w:pPr>
      <w:r w:rsidRPr="00CC4412">
        <w:tab/>
        <w:t>(4)</w:t>
      </w:r>
      <w:r w:rsidRPr="00CC4412">
        <w:tab/>
        <w:t>Without limiting what may be a reasonable excuse for the purposes of subsection (3), in a proceeding for an offence against the subsection, it is a defence for the person charged to prove that—</w:t>
      </w:r>
    </w:p>
    <w:p w14:paraId="20311735" w14:textId="77777777" w:rsidR="00DB6E47" w:rsidRPr="00544ED5" w:rsidRDefault="00DB6E47" w:rsidP="00DB6E47">
      <w:pPr>
        <w:pStyle w:val="Apara"/>
      </w:pPr>
      <w:r w:rsidRPr="00544ED5">
        <w:tab/>
        <w:t>(a)</w:t>
      </w:r>
      <w:r w:rsidRPr="00544ED5">
        <w:tab/>
        <w:t>it was not possible to move the heavy vehicle because it was broken down; and</w:t>
      </w:r>
    </w:p>
    <w:p w14:paraId="1653FD56" w14:textId="77777777" w:rsidR="00DB6E47" w:rsidRPr="00544ED5" w:rsidRDefault="00DB6E47" w:rsidP="00DB6E47">
      <w:pPr>
        <w:pStyle w:val="Apara"/>
      </w:pPr>
      <w:r w:rsidRPr="00544ED5">
        <w:tab/>
        <w:t>(b)</w:t>
      </w:r>
      <w:r w:rsidRPr="00544ED5">
        <w:tab/>
        <w:t>the breakdown happened for a physical reason beyond the person’s control; and</w:t>
      </w:r>
    </w:p>
    <w:p w14:paraId="2F2A7EBF" w14:textId="77777777" w:rsidR="00DB6E47" w:rsidRPr="00544ED5" w:rsidRDefault="00DB6E47" w:rsidP="00DB6E47">
      <w:pPr>
        <w:pStyle w:val="Apara"/>
      </w:pPr>
      <w:r w:rsidRPr="00544ED5">
        <w:tab/>
        <w:t>(c)</w:t>
      </w:r>
      <w:r w:rsidRPr="00544ED5">
        <w:tab/>
        <w:t>the breakdown could not be readily rectified in a way that would enable the direction to be complied with within a reasonable time.</w:t>
      </w:r>
    </w:p>
    <w:p w14:paraId="0C4D2933" w14:textId="77777777" w:rsidR="00DB6E47" w:rsidRPr="007E1F9A" w:rsidRDefault="00DB6E47" w:rsidP="00DB6E47">
      <w:pPr>
        <w:pStyle w:val="AH5Sec"/>
      </w:pPr>
      <w:bookmarkStart w:id="611" w:name="_Toc83625955"/>
      <w:r w:rsidRPr="005E03F7">
        <w:rPr>
          <w:rStyle w:val="CharSectNo"/>
        </w:rPr>
        <w:t>517</w:t>
      </w:r>
      <w:r w:rsidRPr="007E1F9A">
        <w:tab/>
      </w:r>
      <w:r w:rsidRPr="007E1F9A">
        <w:rPr>
          <w:rFonts w:ascii="Helvetica" w:hAnsi="Helvetica" w:cs="Helvetica"/>
          <w:iCs/>
        </w:rPr>
        <w:t>Direction to move heavy vehicle if causing harm etc.</w:t>
      </w:r>
      <w:bookmarkEnd w:id="611"/>
    </w:p>
    <w:p w14:paraId="07324BC5" w14:textId="77777777" w:rsidR="00DB6E47" w:rsidRPr="00CC4412" w:rsidRDefault="00DB6E47" w:rsidP="00DB6E47">
      <w:pPr>
        <w:pStyle w:val="Amain"/>
      </w:pPr>
      <w:r w:rsidRPr="00CC4412">
        <w:tab/>
        <w:t>(1)</w:t>
      </w:r>
      <w:r w:rsidRPr="00CC4412">
        <w:tab/>
        <w:t>This section applies if an authorised officer reasonably believes a stationary heavy vehicle is—</w:t>
      </w:r>
    </w:p>
    <w:p w14:paraId="2F91678F" w14:textId="77777777" w:rsidR="00DB6E47" w:rsidRPr="00544ED5" w:rsidRDefault="00DB6E47" w:rsidP="00DB6E47">
      <w:pPr>
        <w:pStyle w:val="Apara"/>
      </w:pPr>
      <w:r w:rsidRPr="00544ED5">
        <w:tab/>
        <w:t>(a)</w:t>
      </w:r>
      <w:r w:rsidRPr="00544ED5">
        <w:tab/>
        <w:t>causing, or creating a risk of, serious harm to public safety, the environment or road infrastructure; or</w:t>
      </w:r>
    </w:p>
    <w:p w14:paraId="783EAC1E" w14:textId="77777777" w:rsidR="00DB6E47" w:rsidRPr="00544ED5" w:rsidRDefault="00DB6E47" w:rsidP="00DB6E47">
      <w:pPr>
        <w:pStyle w:val="Apara"/>
      </w:pPr>
      <w:r w:rsidRPr="00544ED5">
        <w:lastRenderedPageBreak/>
        <w:tab/>
        <w:t>(b)</w:t>
      </w:r>
      <w:r w:rsidRPr="00544ED5">
        <w:tab/>
        <w:t>obstructing traffic or likely to obstruct traffic.</w:t>
      </w:r>
    </w:p>
    <w:p w14:paraId="175DEC91" w14:textId="77777777" w:rsidR="00DB6E47" w:rsidRPr="00CC4412" w:rsidRDefault="00DB6E47" w:rsidP="00DB6E47">
      <w:pPr>
        <w:pStyle w:val="Amain"/>
      </w:pPr>
      <w:r w:rsidRPr="00CC4412">
        <w:tab/>
        <w:t>(2)</w:t>
      </w:r>
      <w:r w:rsidRPr="00CC4412">
        <w:tab/>
        <w:t>The authorised officer may direct the driver or operator of the heavy vehicle to do either or both of the following—</w:t>
      </w:r>
    </w:p>
    <w:p w14:paraId="09493F49" w14:textId="77777777" w:rsidR="00DB6E47" w:rsidRPr="00544ED5" w:rsidRDefault="00DB6E47" w:rsidP="00DB6E47">
      <w:pPr>
        <w:pStyle w:val="Apara"/>
      </w:pPr>
      <w:r w:rsidRPr="00544ED5">
        <w:tab/>
        <w:t>(a)</w:t>
      </w:r>
      <w:r w:rsidRPr="00544ED5">
        <w:tab/>
        <w:t>move the vehicle, or cause it to be moved, to the extent necessary to avoid the harm or obstruction;</w:t>
      </w:r>
    </w:p>
    <w:p w14:paraId="5A0D875E" w14:textId="77777777" w:rsidR="00DB6E47" w:rsidRPr="00544ED5" w:rsidRDefault="00DB6E47" w:rsidP="00DB6E47">
      <w:pPr>
        <w:pStyle w:val="Apara"/>
      </w:pPr>
      <w:r w:rsidRPr="00544ED5">
        <w:tab/>
        <w:t>(b)</w:t>
      </w:r>
      <w:r w:rsidRPr="00544ED5">
        <w:tab/>
        <w:t>do, or cause to be done, anything else the officer reasonably requires to avoid the harm or obstruction.</w:t>
      </w:r>
    </w:p>
    <w:p w14:paraId="540F15A9" w14:textId="77777777" w:rsidR="00DB6E47" w:rsidRPr="00CC4412" w:rsidRDefault="00DB6E47" w:rsidP="00DB6E47">
      <w:pPr>
        <w:pStyle w:val="Amain"/>
      </w:pPr>
      <w:r w:rsidRPr="00CC4412">
        <w:tab/>
        <w:t>(3)</w:t>
      </w:r>
      <w:r w:rsidRPr="00CC4412">
        <w:tab/>
        <w:t>The direction may be made orally or in any other way, including, for example—</w:t>
      </w:r>
    </w:p>
    <w:p w14:paraId="61BEDF8A" w14:textId="77777777" w:rsidR="00DB6E47" w:rsidRPr="00544ED5" w:rsidRDefault="00DB6E47" w:rsidP="00DB6E47">
      <w:pPr>
        <w:pStyle w:val="Apara"/>
      </w:pPr>
      <w:r w:rsidRPr="00544ED5">
        <w:tab/>
        <w:t>(a)</w:t>
      </w:r>
      <w:r w:rsidRPr="00544ED5">
        <w:tab/>
        <w:t>for a direction given to the driver of a heavy vehicle—by way of a sign or electronic or other signal; or</w:t>
      </w:r>
    </w:p>
    <w:p w14:paraId="7292A797" w14:textId="77777777" w:rsidR="00DB6E47" w:rsidRPr="00544ED5" w:rsidRDefault="00DB6E47" w:rsidP="00DB6E47">
      <w:pPr>
        <w:pStyle w:val="Apara"/>
      </w:pPr>
      <w:r w:rsidRPr="00544ED5">
        <w:tab/>
        <w:t>(b)</w:t>
      </w:r>
      <w:r w:rsidRPr="00544ED5">
        <w:tab/>
        <w:t>for a direction given to the operator of a heavy vehicle—by radio, telephone, fax or email.</w:t>
      </w:r>
    </w:p>
    <w:p w14:paraId="7F3452B9" w14:textId="77777777" w:rsidR="00DB6E47" w:rsidRPr="00CC4412" w:rsidRDefault="00DB6E47" w:rsidP="00DB6E47">
      <w:pPr>
        <w:pStyle w:val="Amain"/>
      </w:pPr>
      <w:r w:rsidRPr="00CC4412">
        <w:tab/>
        <w:t>(4)</w:t>
      </w:r>
      <w:r w:rsidRPr="00CC4412">
        <w:tab/>
        <w:t>A person giv</w:t>
      </w:r>
      <w:r w:rsidR="00C63ECD">
        <w:t xml:space="preserve">en a direction under subsection </w:t>
      </w:r>
      <w:r w:rsidRPr="00CC4412">
        <w:t>(2)</w:t>
      </w:r>
      <w:r w:rsidR="00C63ECD">
        <w:t xml:space="preserve"> </w:t>
      </w:r>
      <w:r w:rsidRPr="00CC4412">
        <w:t>must comply with the direction, unless the person has a reasonable excuse.</w:t>
      </w:r>
    </w:p>
    <w:p w14:paraId="1556819D" w14:textId="77777777" w:rsidR="00DB6E47" w:rsidRPr="006C3305" w:rsidRDefault="00DB6E47" w:rsidP="00DB6E47">
      <w:pPr>
        <w:pStyle w:val="Penalty"/>
      </w:pPr>
      <w:r w:rsidRPr="00D91CC2">
        <w:rPr>
          <w:rFonts w:cs="Times"/>
          <w:bCs/>
          <w:iCs/>
        </w:rPr>
        <w:t>Maximum penalty—$6000.</w:t>
      </w:r>
    </w:p>
    <w:p w14:paraId="32B727FF" w14:textId="77777777" w:rsidR="00DB6E47" w:rsidRPr="00CC4412" w:rsidRDefault="00DB6E47" w:rsidP="00DB6E47">
      <w:pPr>
        <w:pStyle w:val="Amain"/>
      </w:pPr>
      <w:r w:rsidRPr="00CC4412">
        <w:tab/>
        <w:t>(5)</w:t>
      </w:r>
      <w:r w:rsidRPr="00CC4412">
        <w:tab/>
        <w:t>Without limiting what may be a reasonable excuse for the purposes of subsection (4), in a proceeding for an offence against the subsection, it is a defence for the person charged to prove that—</w:t>
      </w:r>
    </w:p>
    <w:p w14:paraId="378631D0" w14:textId="77777777" w:rsidR="00DB6E47" w:rsidRPr="00544ED5" w:rsidRDefault="00DB6E47" w:rsidP="00DB6E47">
      <w:pPr>
        <w:pStyle w:val="Apara"/>
      </w:pPr>
      <w:r w:rsidRPr="00544ED5">
        <w:tab/>
        <w:t>(a)</w:t>
      </w:r>
      <w:r w:rsidRPr="00544ED5">
        <w:tab/>
        <w:t>it was not possible to move the heavy vehicle because it was broken down; and</w:t>
      </w:r>
    </w:p>
    <w:p w14:paraId="3231B9AD" w14:textId="77777777" w:rsidR="00DB6E47" w:rsidRPr="00544ED5" w:rsidRDefault="00DB6E47" w:rsidP="00DB6E47">
      <w:pPr>
        <w:pStyle w:val="Apara"/>
      </w:pPr>
      <w:r w:rsidRPr="00544ED5">
        <w:tab/>
        <w:t>(b)</w:t>
      </w:r>
      <w:r w:rsidRPr="00544ED5">
        <w:tab/>
        <w:t>the breakdown happened for a physical reason beyond the person’s control; and</w:t>
      </w:r>
    </w:p>
    <w:p w14:paraId="38ACF5C5" w14:textId="77777777" w:rsidR="00DB6E47" w:rsidRPr="00544ED5" w:rsidRDefault="00DB6E47" w:rsidP="00DB6E47">
      <w:pPr>
        <w:pStyle w:val="Apara"/>
      </w:pPr>
      <w:r w:rsidRPr="00544ED5">
        <w:tab/>
        <w:t>(c)</w:t>
      </w:r>
      <w:r w:rsidRPr="00544ED5">
        <w:tab/>
        <w:t>the breakdown could not be readily rectified in a way that would enable the direction to be complied with within a reasonable time.</w:t>
      </w:r>
    </w:p>
    <w:p w14:paraId="5E5D4AD3" w14:textId="77777777" w:rsidR="00DB6E47" w:rsidRPr="007E1F9A" w:rsidRDefault="00DB6E47" w:rsidP="00DB6E47">
      <w:pPr>
        <w:pStyle w:val="AH5Sec"/>
      </w:pPr>
      <w:bookmarkStart w:id="612" w:name="_Toc83625956"/>
      <w:r w:rsidRPr="005E03F7">
        <w:rPr>
          <w:rStyle w:val="CharSectNo"/>
        </w:rPr>
        <w:lastRenderedPageBreak/>
        <w:t>518</w:t>
      </w:r>
      <w:r w:rsidRPr="007E1F9A">
        <w:tab/>
      </w:r>
      <w:r w:rsidRPr="007E1F9A">
        <w:rPr>
          <w:rFonts w:ascii="Helvetica" w:hAnsi="Helvetica" w:cs="Helvetica"/>
          <w:iCs/>
        </w:rPr>
        <w:t>Moving unattended heavy vehicle on road to exercise another power</w:t>
      </w:r>
      <w:bookmarkEnd w:id="612"/>
    </w:p>
    <w:p w14:paraId="3C0C6CB3" w14:textId="77777777" w:rsidR="00DB6E47" w:rsidRPr="00CC4412" w:rsidRDefault="00DB6E47" w:rsidP="00DB6E47">
      <w:pPr>
        <w:pStyle w:val="Amain"/>
      </w:pPr>
      <w:r w:rsidRPr="00CC4412">
        <w:tab/>
        <w:t>(1)</w:t>
      </w:r>
      <w:r w:rsidRPr="00CC4412">
        <w:tab/>
        <w:t>This section applies if an authorised officer—</w:t>
      </w:r>
    </w:p>
    <w:p w14:paraId="43B2E605" w14:textId="77777777" w:rsidR="00DB6E47" w:rsidRPr="00544ED5" w:rsidRDefault="00DB6E47" w:rsidP="00DB6E47">
      <w:pPr>
        <w:pStyle w:val="Apara"/>
      </w:pPr>
      <w:r w:rsidRPr="00544ED5">
        <w:tab/>
        <w:t>(a)</w:t>
      </w:r>
      <w:r w:rsidRPr="00544ED5">
        <w:tab/>
        <w:t>reasonably believes a heavy vehicle on a road is unattended; and</w:t>
      </w:r>
    </w:p>
    <w:p w14:paraId="412F233C" w14:textId="77777777" w:rsidR="00DB6E47" w:rsidRPr="00544ED5" w:rsidRDefault="00DB6E47" w:rsidP="00DB6E47">
      <w:pPr>
        <w:pStyle w:val="Apara"/>
      </w:pPr>
      <w:r w:rsidRPr="00544ED5">
        <w:tab/>
        <w:t>(b)</w:t>
      </w:r>
      <w:r w:rsidRPr="00544ED5">
        <w:tab/>
        <w:t>intends to exercise a power under this Law in relation to the heavy vehicle; and</w:t>
      </w:r>
    </w:p>
    <w:p w14:paraId="48679155" w14:textId="77777777" w:rsidR="00DB6E47" w:rsidRPr="00544ED5" w:rsidRDefault="00DB6E47" w:rsidP="00DB6E47">
      <w:pPr>
        <w:pStyle w:val="Apara"/>
      </w:pPr>
      <w:r w:rsidRPr="00544ED5">
        <w:tab/>
        <w:t>(c)</w:t>
      </w:r>
      <w:r w:rsidRPr="00544ED5">
        <w:tab/>
        <w:t>reasonably believes it is necessary to move the heavy vehicle to enable the exercise of the power.</w:t>
      </w:r>
    </w:p>
    <w:p w14:paraId="483F503B" w14:textId="77777777" w:rsidR="00DB6E47" w:rsidRPr="00CC4412" w:rsidRDefault="00DB6E47" w:rsidP="00DB6E47">
      <w:pPr>
        <w:pStyle w:val="Amain"/>
      </w:pPr>
      <w:r w:rsidRPr="00CC4412">
        <w:tab/>
        <w:t>(2)</w:t>
      </w:r>
      <w:r w:rsidRPr="00CC4412">
        <w:tab/>
        <w:t>To the extent reasonably necessary to enable the exercise of the power, the authorised officer—</w:t>
      </w:r>
    </w:p>
    <w:p w14:paraId="3FF5C5EB" w14:textId="77777777" w:rsidR="00DB6E47" w:rsidRPr="00544ED5" w:rsidRDefault="00DB6E47" w:rsidP="00DB6E47">
      <w:pPr>
        <w:pStyle w:val="Apara"/>
      </w:pPr>
      <w:r w:rsidRPr="00544ED5">
        <w:tab/>
        <w:t>(a)</w:t>
      </w:r>
      <w:r w:rsidRPr="00544ED5">
        <w:tab/>
        <w:t>may move the heavy vehicle; or</w:t>
      </w:r>
    </w:p>
    <w:p w14:paraId="52B6A415" w14:textId="77777777" w:rsidR="00DB6E47" w:rsidRPr="00544ED5" w:rsidRDefault="00DB6E47" w:rsidP="00E43165">
      <w:pPr>
        <w:pStyle w:val="Apara"/>
        <w:keepNext/>
      </w:pPr>
      <w:r w:rsidRPr="00544ED5">
        <w:tab/>
        <w:t>(b)</w:t>
      </w:r>
      <w:r w:rsidRPr="00544ED5">
        <w:tab/>
        <w:t xml:space="preserve">authorise someone else (the </w:t>
      </w:r>
      <w:r w:rsidRPr="00FF4454">
        <w:rPr>
          <w:rStyle w:val="charBoldItals"/>
        </w:rPr>
        <w:t>assistant</w:t>
      </w:r>
      <w:r w:rsidRPr="00544ED5">
        <w:t>) to move the heavy vehicle.</w:t>
      </w:r>
    </w:p>
    <w:p w14:paraId="43C1A00E" w14:textId="77777777" w:rsidR="00DB6E47" w:rsidRPr="00C96203" w:rsidRDefault="00DB6E47" w:rsidP="00DB6E47">
      <w:pPr>
        <w:pStyle w:val="aExamHdgss"/>
      </w:pPr>
      <w:r w:rsidRPr="00C96203">
        <w:rPr>
          <w:rFonts w:cs="Times"/>
          <w:bCs/>
          <w:iCs/>
        </w:rPr>
        <w:t>Example—</w:t>
      </w:r>
    </w:p>
    <w:p w14:paraId="76261E89" w14:textId="77777777" w:rsidR="00DB6E47" w:rsidRPr="00C96203" w:rsidRDefault="00DB6E47" w:rsidP="00DB6E47">
      <w:pPr>
        <w:pStyle w:val="aExamss"/>
      </w:pPr>
      <w:r w:rsidRPr="00C96203">
        <w:t>by driving, pushing or towing the heavy vehicle</w:t>
      </w:r>
    </w:p>
    <w:p w14:paraId="2F6E6BBA" w14:textId="77777777" w:rsidR="00DB6E47" w:rsidRPr="00CC4412" w:rsidRDefault="00DB6E47" w:rsidP="00DB6E47">
      <w:pPr>
        <w:pStyle w:val="Amain"/>
      </w:pPr>
      <w:r w:rsidRPr="00CC4412">
        <w:tab/>
        <w:t>(3)</w:t>
      </w:r>
      <w:r w:rsidRPr="00CC4412">
        <w:tab/>
        <w:t>The authorised officer or assistant may enter the heavy vehicle to enable the authorised officer or assistant to move it.</w:t>
      </w:r>
    </w:p>
    <w:p w14:paraId="3A277F16" w14:textId="77777777" w:rsidR="00DB6E47" w:rsidRPr="00CC4412" w:rsidRDefault="00DB6E47" w:rsidP="00DB6E47">
      <w:pPr>
        <w:pStyle w:val="Amain"/>
      </w:pPr>
      <w:r w:rsidRPr="00CC4412">
        <w:tab/>
        <w:t>(4)</w:t>
      </w:r>
      <w:r w:rsidRPr="00CC4412">
        <w:tab/>
        <w:t>Despite subsection (2), the authorised officer—</w:t>
      </w:r>
    </w:p>
    <w:p w14:paraId="18433188" w14:textId="77777777" w:rsidR="00DB6E47" w:rsidRPr="00544ED5" w:rsidRDefault="00DB6E47" w:rsidP="00DB6E47">
      <w:pPr>
        <w:pStyle w:val="Apara"/>
      </w:pPr>
      <w:r w:rsidRPr="00544ED5">
        <w:tab/>
        <w:t>(a)</w:t>
      </w:r>
      <w:r w:rsidRPr="00544ED5">
        <w:tab/>
        <w:t>may only drive the heavy vehicle if the officer is qualified and fit to drive it; and</w:t>
      </w:r>
    </w:p>
    <w:p w14:paraId="64CFED45" w14:textId="77777777" w:rsidR="00DB6E47" w:rsidRPr="00544ED5" w:rsidRDefault="00DB6E47" w:rsidP="00DB6E47">
      <w:pPr>
        <w:pStyle w:val="Apara"/>
      </w:pPr>
      <w:r w:rsidRPr="00544ED5">
        <w:tab/>
        <w:t>(b)</w:t>
      </w:r>
      <w:r w:rsidRPr="00544ED5">
        <w:tab/>
        <w:t>may only authorise the assistant to drive the heavy vehicle if the assistant is qualified and fit to drive it.</w:t>
      </w:r>
    </w:p>
    <w:p w14:paraId="17CE591E" w14:textId="77777777" w:rsidR="00DB6E47" w:rsidRPr="00CC4412" w:rsidRDefault="00DB6E47" w:rsidP="00DB6E47">
      <w:pPr>
        <w:pStyle w:val="Amain"/>
      </w:pPr>
      <w:r w:rsidRPr="00CC4412">
        <w:tab/>
        <w:t>(5)</w:t>
      </w:r>
      <w:r w:rsidRPr="00CC4412">
        <w:tab/>
        <w:t>It is immaterial that—</w:t>
      </w:r>
    </w:p>
    <w:p w14:paraId="623DA0B3" w14:textId="77777777" w:rsidR="00DB6E47" w:rsidRPr="00544ED5" w:rsidRDefault="00DB6E47" w:rsidP="00DB6E47">
      <w:pPr>
        <w:pStyle w:val="Apara"/>
      </w:pPr>
      <w:r w:rsidRPr="00544ED5">
        <w:tab/>
        <w:t>(a)</w:t>
      </w:r>
      <w:r w:rsidRPr="00544ED5">
        <w:tab/>
        <w:t>the assistant is not the operator of the heavy vehicle; or</w:t>
      </w:r>
    </w:p>
    <w:p w14:paraId="714AD3D5" w14:textId="77777777" w:rsidR="00DB6E47" w:rsidRPr="00544ED5" w:rsidRDefault="00DB6E47" w:rsidP="00DB6E47">
      <w:pPr>
        <w:pStyle w:val="Apara"/>
      </w:pPr>
      <w:r w:rsidRPr="00544ED5">
        <w:tab/>
        <w:t>(b)</w:t>
      </w:r>
      <w:r w:rsidRPr="00544ED5">
        <w:tab/>
        <w:t>the authorised officer or assistant is not authorised by the operator to drive the heavy vehicle.</w:t>
      </w:r>
    </w:p>
    <w:p w14:paraId="5EAD864B" w14:textId="77777777" w:rsidR="00DB6E47" w:rsidRPr="00CC4412" w:rsidRDefault="00DB6E47" w:rsidP="007A5E66">
      <w:pPr>
        <w:pStyle w:val="Amain"/>
        <w:keepNext/>
      </w:pPr>
      <w:r w:rsidRPr="00CC4412">
        <w:lastRenderedPageBreak/>
        <w:tab/>
        <w:t>(6)</w:t>
      </w:r>
      <w:r w:rsidRPr="00CC4412">
        <w:tab/>
        <w:t>The authorised officer or assistant may—</w:t>
      </w:r>
    </w:p>
    <w:p w14:paraId="4205C516" w14:textId="77777777" w:rsidR="00DB6E47" w:rsidRPr="00544ED5" w:rsidRDefault="00DB6E47" w:rsidP="00DB6E47">
      <w:pPr>
        <w:pStyle w:val="Apara"/>
      </w:pPr>
      <w:r w:rsidRPr="00544ED5">
        <w:tab/>
        <w:t>(a)</w:t>
      </w:r>
      <w:r w:rsidRPr="00544ED5">
        <w:tab/>
        <w:t>open unlocked doors and other unlocked panels and things in the heavy vehicle; and</w:t>
      </w:r>
    </w:p>
    <w:p w14:paraId="7266AEA9" w14:textId="77777777" w:rsidR="00DB6E47" w:rsidRPr="00544ED5" w:rsidRDefault="00DB6E47" w:rsidP="00DB6E47">
      <w:pPr>
        <w:pStyle w:val="Apara"/>
      </w:pPr>
      <w:r w:rsidRPr="00544ED5">
        <w:tab/>
        <w:t>(b)</w:t>
      </w:r>
      <w:r w:rsidRPr="00544ED5">
        <w:tab/>
        <w:t>use the force that is reasonably necessary to—</w:t>
      </w:r>
    </w:p>
    <w:p w14:paraId="68478925" w14:textId="77777777" w:rsidR="00DB6E47" w:rsidRPr="00516F02" w:rsidRDefault="00DB6E47" w:rsidP="00DB6E47">
      <w:pPr>
        <w:pStyle w:val="Asubpara"/>
      </w:pPr>
      <w:r w:rsidRPr="00516F02">
        <w:tab/>
        <w:t>(i)</w:t>
      </w:r>
      <w:r w:rsidRPr="00516F02">
        <w:tab/>
        <w:t>gain access to the heavy vehicle, its engine or other mechanical components to enable it to be moved; or</w:t>
      </w:r>
    </w:p>
    <w:p w14:paraId="1B65451B" w14:textId="77777777" w:rsidR="00DB6E47" w:rsidRPr="00516F02" w:rsidRDefault="00DB6E47" w:rsidP="00DB6E47">
      <w:pPr>
        <w:pStyle w:val="Asubpara"/>
      </w:pPr>
      <w:r w:rsidRPr="00516F02">
        <w:tab/>
        <w:t>(ii)</w:t>
      </w:r>
      <w:r w:rsidRPr="00516F02">
        <w:tab/>
        <w:t>enable the heavy vehicle to be towed.</w:t>
      </w:r>
    </w:p>
    <w:p w14:paraId="1718EF88" w14:textId="77777777" w:rsidR="00DB6E47" w:rsidRPr="00CC4412" w:rsidRDefault="00DB6E47" w:rsidP="00DB6E47">
      <w:pPr>
        <w:pStyle w:val="Amain"/>
      </w:pPr>
      <w:r w:rsidRPr="00CC4412">
        <w:tab/>
        <w:t>(7)</w:t>
      </w:r>
      <w:r w:rsidRPr="00CC4412">
        <w:tab/>
        <w:t xml:space="preserve">The authorised officer must </w:t>
      </w:r>
      <w:r w:rsidR="00A40B27" w:rsidRPr="003323FC">
        <w:t>exercise reasonable diligence to ensure</w:t>
      </w:r>
      <w:r w:rsidRPr="00CC4412">
        <w:t xml:space="preserve"> the driver or operator is notified that the vehicle has been moved and the place to which it has been moved.</w:t>
      </w:r>
    </w:p>
    <w:p w14:paraId="32A9FC43" w14:textId="77777777" w:rsidR="00DB6E47" w:rsidRPr="00CC4412" w:rsidRDefault="00DB6E47" w:rsidP="00DB6E47">
      <w:pPr>
        <w:pStyle w:val="Amain"/>
      </w:pPr>
      <w:r w:rsidRPr="00CC4412">
        <w:tab/>
        <w:t>(8)</w:t>
      </w:r>
      <w:r w:rsidRPr="00CC4412">
        <w:tab/>
        <w:t>The notification may be given orally or in any other way, including, for example, by radio, telephone, fax or email.</w:t>
      </w:r>
    </w:p>
    <w:p w14:paraId="3E3F7799" w14:textId="77777777" w:rsidR="00DB6E47" w:rsidRPr="007E1F9A" w:rsidRDefault="00DB6E47" w:rsidP="00DB6E47">
      <w:pPr>
        <w:pStyle w:val="AH5Sec"/>
      </w:pPr>
      <w:bookmarkStart w:id="613" w:name="_Toc83625957"/>
      <w:r w:rsidRPr="005E03F7">
        <w:rPr>
          <w:rStyle w:val="CharSectNo"/>
        </w:rPr>
        <w:t>519</w:t>
      </w:r>
      <w:r w:rsidRPr="007E1F9A">
        <w:tab/>
      </w:r>
      <w:r w:rsidRPr="007E1F9A">
        <w:rPr>
          <w:rFonts w:ascii="Helvetica" w:hAnsi="Helvetica" w:cs="Helvetica"/>
          <w:iCs/>
        </w:rPr>
        <w:t>Moving unattended heavy vehicle on road if causing harm etc.</w:t>
      </w:r>
      <w:bookmarkEnd w:id="613"/>
    </w:p>
    <w:p w14:paraId="23DBF995" w14:textId="77777777" w:rsidR="00DB6E47" w:rsidRPr="00CC4412" w:rsidRDefault="00DB6E47" w:rsidP="00DB6E47">
      <w:pPr>
        <w:pStyle w:val="Amain"/>
      </w:pPr>
      <w:r w:rsidRPr="00CC4412">
        <w:tab/>
        <w:t>(1)</w:t>
      </w:r>
      <w:r w:rsidRPr="00CC4412">
        <w:tab/>
        <w:t>This section applies if an authorised officer reasonably believes—</w:t>
      </w:r>
    </w:p>
    <w:p w14:paraId="49028A2B" w14:textId="77777777" w:rsidR="00DB6E47" w:rsidRPr="00544ED5" w:rsidRDefault="00DB6E47" w:rsidP="00DB6E47">
      <w:pPr>
        <w:pStyle w:val="Apara"/>
      </w:pPr>
      <w:r w:rsidRPr="00544ED5">
        <w:tab/>
        <w:t>(a)</w:t>
      </w:r>
      <w:r w:rsidRPr="00544ED5">
        <w:tab/>
        <w:t>a heavy vehicle on a road is unattended; and</w:t>
      </w:r>
    </w:p>
    <w:p w14:paraId="017B6094" w14:textId="77777777" w:rsidR="00DB6E47" w:rsidRPr="00544ED5" w:rsidRDefault="00DB6E47" w:rsidP="00DB6E47">
      <w:pPr>
        <w:pStyle w:val="Apara"/>
      </w:pPr>
      <w:r w:rsidRPr="00544ED5">
        <w:tab/>
        <w:t>(b)</w:t>
      </w:r>
      <w:r w:rsidRPr="00544ED5">
        <w:tab/>
        <w:t>the heavy vehicle is—</w:t>
      </w:r>
    </w:p>
    <w:p w14:paraId="7534AFC8" w14:textId="77777777" w:rsidR="00DB6E47" w:rsidRPr="00516F02" w:rsidRDefault="00DB6E47" w:rsidP="00DB6E47">
      <w:pPr>
        <w:pStyle w:val="Asubpara"/>
      </w:pPr>
      <w:r w:rsidRPr="00516F02">
        <w:tab/>
        <w:t>(i)</w:t>
      </w:r>
      <w:r w:rsidRPr="00516F02">
        <w:tab/>
        <w:t>causing, or creating an imminent risk of, serious harm to public safety, the environment or road infrastructure; or</w:t>
      </w:r>
    </w:p>
    <w:p w14:paraId="01487755" w14:textId="77777777" w:rsidR="00DB6E47" w:rsidRPr="00516F02" w:rsidRDefault="00DB6E47" w:rsidP="00DB6E47">
      <w:pPr>
        <w:pStyle w:val="Asubpara"/>
      </w:pPr>
      <w:r w:rsidRPr="00516F02">
        <w:tab/>
        <w:t>(ii)</w:t>
      </w:r>
      <w:r w:rsidRPr="00516F02">
        <w:tab/>
        <w:t>obstructing traffic or likely to obstruct traffic.</w:t>
      </w:r>
    </w:p>
    <w:p w14:paraId="5416B7A4" w14:textId="77777777" w:rsidR="00DB6E47" w:rsidRPr="00CC4412" w:rsidRDefault="00DB6E47" w:rsidP="00DB6E47">
      <w:pPr>
        <w:pStyle w:val="Amain"/>
      </w:pPr>
      <w:r w:rsidRPr="00CC4412">
        <w:tab/>
        <w:t>(2)</w:t>
      </w:r>
      <w:r w:rsidRPr="00CC4412">
        <w:tab/>
        <w:t xml:space="preserve">The authorised officer may move or authorise someone else (the </w:t>
      </w:r>
      <w:r w:rsidRPr="00FF4454">
        <w:rPr>
          <w:rStyle w:val="charBoldItals"/>
        </w:rPr>
        <w:t>assistant</w:t>
      </w:r>
      <w:r w:rsidRPr="00CC4412">
        <w:t>) to move the heavy vehicle or, if it is a combination, any component vehicle of the combination, to the extent it is reasonably necessary to avoid the harm or obstruction.</w:t>
      </w:r>
    </w:p>
    <w:p w14:paraId="068FFE87" w14:textId="77777777" w:rsidR="00DB6E47" w:rsidRPr="00C96203" w:rsidRDefault="00DB6E47" w:rsidP="00DB6E47">
      <w:pPr>
        <w:pStyle w:val="aExamHdgss"/>
      </w:pPr>
      <w:r w:rsidRPr="00C96203">
        <w:rPr>
          <w:rFonts w:cs="Times"/>
          <w:bCs/>
          <w:iCs/>
        </w:rPr>
        <w:t>Example—</w:t>
      </w:r>
    </w:p>
    <w:p w14:paraId="5D2427DB" w14:textId="77777777" w:rsidR="00DB6E47" w:rsidRPr="00C96203" w:rsidRDefault="00DB6E47" w:rsidP="00DB6E47">
      <w:pPr>
        <w:pStyle w:val="aExamss"/>
      </w:pPr>
      <w:r w:rsidRPr="00C96203">
        <w:t>by driving, pushing or towing the vehicle</w:t>
      </w:r>
    </w:p>
    <w:p w14:paraId="4F19D9D8" w14:textId="77777777" w:rsidR="00DB6E47" w:rsidRPr="006C3305" w:rsidRDefault="00DB6E47" w:rsidP="007A5E66">
      <w:pPr>
        <w:pStyle w:val="Amain"/>
        <w:keepNext/>
      </w:pPr>
      <w:r>
        <w:lastRenderedPageBreak/>
        <w:tab/>
        <w:t>(</w:t>
      </w:r>
      <w:r w:rsidRPr="006C3305">
        <w:t>3)</w:t>
      </w:r>
      <w:r w:rsidRPr="006C3305">
        <w:tab/>
        <w:t>The authorised officer or assistant may—</w:t>
      </w:r>
    </w:p>
    <w:p w14:paraId="2DC712C7" w14:textId="77777777" w:rsidR="00DB6E47" w:rsidRPr="00544ED5" w:rsidRDefault="00DB6E47" w:rsidP="00DB6E47">
      <w:pPr>
        <w:pStyle w:val="Apara"/>
      </w:pPr>
      <w:r w:rsidRPr="00544ED5">
        <w:tab/>
        <w:t>(a)</w:t>
      </w:r>
      <w:r w:rsidRPr="00544ED5">
        <w:tab/>
        <w:t>enter the heavy vehicle to enable the authorised officer or assistant to move it; and</w:t>
      </w:r>
    </w:p>
    <w:p w14:paraId="492837EE" w14:textId="77777777" w:rsidR="00DB6E47" w:rsidRPr="00544ED5" w:rsidRDefault="00DB6E47" w:rsidP="00DB6E47">
      <w:pPr>
        <w:pStyle w:val="Apara"/>
      </w:pPr>
      <w:r w:rsidRPr="00544ED5">
        <w:tab/>
        <w:t>(b)</w:t>
      </w:r>
      <w:r w:rsidRPr="00544ED5">
        <w:tab/>
        <w:t>for a combination—separate any or all of the component vehicles of the combination for the purpose of moving 1 or more of them.</w:t>
      </w:r>
    </w:p>
    <w:p w14:paraId="26F684EC" w14:textId="77777777" w:rsidR="00DB6E47" w:rsidRPr="00CC4412" w:rsidRDefault="00DB6E47" w:rsidP="00DB6E47">
      <w:pPr>
        <w:pStyle w:val="Amain"/>
      </w:pPr>
      <w:r w:rsidRPr="00CC4412">
        <w:tab/>
        <w:t>(4)</w:t>
      </w:r>
      <w:r w:rsidRPr="00CC4412">
        <w:tab/>
        <w:t>The authorised officer or assistant may drive the heavy vehicle even if the officer or assistant is not qualified to drive it if the authorised officer reasonably believes there is no-one else in or near the vehicle who is more capable of driving it and fit and willing to drive it.</w:t>
      </w:r>
    </w:p>
    <w:p w14:paraId="5A5614F2" w14:textId="77777777" w:rsidR="00DB6E47" w:rsidRPr="00CC4412" w:rsidRDefault="00DB6E47" w:rsidP="00DB6E47">
      <w:pPr>
        <w:pStyle w:val="Amain"/>
      </w:pPr>
      <w:r w:rsidRPr="00CC4412">
        <w:tab/>
        <w:t>(5)</w:t>
      </w:r>
      <w:r w:rsidRPr="00CC4412">
        <w:tab/>
        <w:t>It is immaterial that—</w:t>
      </w:r>
    </w:p>
    <w:p w14:paraId="336E5F22" w14:textId="77777777" w:rsidR="00DB6E47" w:rsidRPr="00544ED5" w:rsidRDefault="00DB6E47" w:rsidP="00DB6E47">
      <w:pPr>
        <w:pStyle w:val="Apara"/>
      </w:pPr>
      <w:r w:rsidRPr="00544ED5">
        <w:tab/>
        <w:t>(a)</w:t>
      </w:r>
      <w:r w:rsidRPr="00544ED5">
        <w:tab/>
        <w:t>the assistant is not the operator of the heavy vehicle; or</w:t>
      </w:r>
    </w:p>
    <w:p w14:paraId="2C445F50" w14:textId="77777777" w:rsidR="00DB6E47" w:rsidRPr="00544ED5" w:rsidRDefault="00DB6E47" w:rsidP="00DB6E47">
      <w:pPr>
        <w:pStyle w:val="Apara"/>
      </w:pPr>
      <w:r w:rsidRPr="00544ED5">
        <w:tab/>
        <w:t>(b)</w:t>
      </w:r>
      <w:r w:rsidRPr="00544ED5">
        <w:tab/>
        <w:t>the authorised officer or assistant is not authorised by the operator to drive the heavy vehicle.</w:t>
      </w:r>
    </w:p>
    <w:p w14:paraId="5609503C" w14:textId="77777777" w:rsidR="00DB6E47" w:rsidRPr="00CC4412" w:rsidRDefault="00DB6E47" w:rsidP="00DB6E47">
      <w:pPr>
        <w:pStyle w:val="Amain"/>
      </w:pPr>
      <w:r w:rsidRPr="00CC4412">
        <w:tab/>
        <w:t>(6)</w:t>
      </w:r>
      <w:r w:rsidRPr="00CC4412">
        <w:tab/>
        <w:t>In driving the heavy vehicle under subsection (4), the authorised officer or assistant is exempt from a provision of an Australian road law to the extent the provision would require the authorised officer or assistant to be qualified to drive the vehicle.</w:t>
      </w:r>
    </w:p>
    <w:p w14:paraId="3E57F546" w14:textId="77777777" w:rsidR="00DB6E47" w:rsidRPr="00CC4412" w:rsidRDefault="00DB6E47" w:rsidP="00DB6E47">
      <w:pPr>
        <w:pStyle w:val="Amain"/>
      </w:pPr>
      <w:r w:rsidRPr="00CC4412">
        <w:tab/>
        <w:t>(7)</w:t>
      </w:r>
      <w:r w:rsidRPr="00CC4412">
        <w:tab/>
        <w:t>The authorised officer or assistant may use the force that is reasonably necessary to do anything that is reasonably necessary to</w:t>
      </w:r>
      <w:r w:rsidR="00C63ECD">
        <w:t xml:space="preserve"> avoid the harm or obstruction.</w:t>
      </w:r>
    </w:p>
    <w:p w14:paraId="4F695259" w14:textId="77777777" w:rsidR="007A5E66" w:rsidRPr="007A5E66" w:rsidRDefault="007A5E66" w:rsidP="007A5E66">
      <w:pPr>
        <w:pStyle w:val="PageBreak"/>
      </w:pPr>
      <w:r w:rsidRPr="007A5E66">
        <w:br w:type="page"/>
      </w:r>
    </w:p>
    <w:p w14:paraId="16890AF5" w14:textId="0420F6C0" w:rsidR="00DB6E47" w:rsidRPr="005E03F7" w:rsidRDefault="00DB6E47" w:rsidP="00DB6E47">
      <w:pPr>
        <w:pStyle w:val="AH3Div"/>
      </w:pPr>
      <w:bookmarkStart w:id="614" w:name="_Toc83625958"/>
      <w:r w:rsidRPr="005E03F7">
        <w:rPr>
          <w:rStyle w:val="CharDivNo"/>
        </w:rPr>
        <w:lastRenderedPageBreak/>
        <w:t>Division 4</w:t>
      </w:r>
      <w:r w:rsidRPr="00A95F9A">
        <w:rPr>
          <w:rFonts w:ascii="Helvetica" w:hAnsi="Helvetica" w:cs="Helvetica"/>
          <w:iCs/>
          <w:szCs w:val="28"/>
        </w:rPr>
        <w:tab/>
      </w:r>
      <w:r w:rsidRPr="005E03F7">
        <w:rPr>
          <w:rStyle w:val="CharDivText"/>
          <w:rFonts w:ascii="Helvetica" w:hAnsi="Helvetica" w:cs="Helvetica"/>
          <w:iCs/>
          <w:szCs w:val="28"/>
        </w:rPr>
        <w:t>Inspecting and searching heavy vehicles</w:t>
      </w:r>
      <w:bookmarkEnd w:id="614"/>
    </w:p>
    <w:p w14:paraId="22761EB0" w14:textId="77777777" w:rsidR="00DB6E47" w:rsidRPr="007E1F9A" w:rsidRDefault="00DB6E47" w:rsidP="00DB6E47">
      <w:pPr>
        <w:pStyle w:val="AH5Sec"/>
      </w:pPr>
      <w:bookmarkStart w:id="615" w:name="_Toc83625959"/>
      <w:r w:rsidRPr="005E03F7">
        <w:rPr>
          <w:rStyle w:val="CharSectNo"/>
        </w:rPr>
        <w:t>520</w:t>
      </w:r>
      <w:r w:rsidRPr="007E1F9A">
        <w:tab/>
      </w:r>
      <w:r w:rsidRPr="007E1F9A">
        <w:rPr>
          <w:rFonts w:ascii="Helvetica" w:hAnsi="Helvetica" w:cs="Helvetica"/>
          <w:iCs/>
        </w:rPr>
        <w:t>Power to enter and inspect heavy vehicles for monitoring purposes</w:t>
      </w:r>
      <w:bookmarkEnd w:id="615"/>
    </w:p>
    <w:p w14:paraId="28841CEE" w14:textId="77777777" w:rsidR="00DB6E47" w:rsidRPr="00CC4412" w:rsidRDefault="00DB6E47" w:rsidP="00DB6E47">
      <w:pPr>
        <w:pStyle w:val="Amain"/>
      </w:pPr>
      <w:r w:rsidRPr="00CC4412">
        <w:tab/>
        <w:t>(1)</w:t>
      </w:r>
      <w:r w:rsidRPr="00CC4412">
        <w:tab/>
        <w:t>An authorised officer may enter and inspect a heavy vehicle for monitoring purposes.</w:t>
      </w:r>
    </w:p>
    <w:p w14:paraId="6F56ABE0" w14:textId="77777777" w:rsidR="00DB6E47" w:rsidRPr="00CC4412" w:rsidRDefault="00DB6E47" w:rsidP="00DB6E47">
      <w:pPr>
        <w:pStyle w:val="Amain"/>
      </w:pPr>
      <w:r w:rsidRPr="00CC4412">
        <w:tab/>
        <w:t>(2)</w:t>
      </w:r>
      <w:r w:rsidRPr="00CC4412">
        <w:tab/>
        <w:t>Without limiting subsection (1), the authorised officer may—</w:t>
      </w:r>
    </w:p>
    <w:p w14:paraId="6B0CB346" w14:textId="77777777" w:rsidR="00DB6E47" w:rsidRPr="00544ED5" w:rsidRDefault="00DB6E47" w:rsidP="00DB6E47">
      <w:pPr>
        <w:pStyle w:val="Apara"/>
      </w:pPr>
      <w:r w:rsidRPr="00544ED5">
        <w:tab/>
        <w:t>(a)</w:t>
      </w:r>
      <w:r w:rsidRPr="00544ED5">
        <w:tab/>
        <w:t>inspect, examine or film any part of the heavy vehicle or any part of its equipment or load; and</w:t>
      </w:r>
    </w:p>
    <w:p w14:paraId="61466ADB" w14:textId="77777777" w:rsidR="00150AE9" w:rsidRPr="00FC35BA" w:rsidRDefault="00150AE9" w:rsidP="00FC35BA">
      <w:pPr>
        <w:pStyle w:val="Apara"/>
      </w:pPr>
      <w:r w:rsidRPr="00FC35BA">
        <w:tab/>
        <w:t>(b)</w:t>
      </w:r>
      <w:r w:rsidRPr="00FC35BA">
        <w:tab/>
      </w:r>
      <w:r w:rsidR="00FC35BA" w:rsidRPr="00FC35BA">
        <w:t>without limiting paragraph (a), look for, check the details of, or film a registration item, label or other thing required to be displayed on the heavy vehicle under an Australian road law; and</w:t>
      </w:r>
    </w:p>
    <w:p w14:paraId="657E3916" w14:textId="77777777" w:rsidR="00DB6E47" w:rsidRPr="00544ED5" w:rsidRDefault="00DB6E47" w:rsidP="00DB6E47">
      <w:pPr>
        <w:pStyle w:val="Apara"/>
      </w:pPr>
      <w:r w:rsidRPr="00544ED5">
        <w:tab/>
        <w:t>(c)</w:t>
      </w:r>
      <w:r w:rsidRPr="00544ED5">
        <w:tab/>
        <w:t>inspect a relevant document in the heavy vehicle; and</w:t>
      </w:r>
    </w:p>
    <w:p w14:paraId="3660DF8D" w14:textId="77777777" w:rsidR="00DB6E47" w:rsidRPr="00544ED5" w:rsidRDefault="00DB6E47" w:rsidP="00DB6E47">
      <w:pPr>
        <w:pStyle w:val="Apara"/>
      </w:pPr>
      <w:r w:rsidRPr="00544ED5">
        <w:tab/>
        <w:t>(d)</w:t>
      </w:r>
      <w:r w:rsidRPr="00544ED5">
        <w:tab/>
        <w:t>copy, or take an extract from, a relevant document in the heavy vehicle; and</w:t>
      </w:r>
    </w:p>
    <w:p w14:paraId="3D6D06E7" w14:textId="77777777" w:rsidR="00DB6E47" w:rsidRPr="00544ED5" w:rsidRDefault="00DB6E47" w:rsidP="00DB6E47">
      <w:pPr>
        <w:pStyle w:val="Apara"/>
      </w:pPr>
      <w:r w:rsidRPr="00544ED5">
        <w:tab/>
        <w:t>(e)</w:t>
      </w:r>
      <w:r w:rsidRPr="00544ED5">
        <w:tab/>
        <w:t>produce an image or writing in or near the vehicle from an electronic relevant document in the vehicle or, if it is not practicable to produce the image or writing in or near the vehicle, take a thing containing the electronic relevant document somewhere else to produce the image or writing; and</w:t>
      </w:r>
    </w:p>
    <w:p w14:paraId="1AAEAE3A" w14:textId="77777777" w:rsidR="00DB6E47" w:rsidRPr="00544ED5" w:rsidRDefault="00DB6E47" w:rsidP="00DB6E47">
      <w:pPr>
        <w:pStyle w:val="Apara"/>
      </w:pPr>
      <w:r w:rsidRPr="00544ED5">
        <w:tab/>
        <w:t>(f)</w:t>
      </w:r>
      <w:r w:rsidRPr="00544ED5">
        <w:tab/>
        <w:t>take an extract of relevant information from a device or other thing found in the heavy vehicle, including, for example—</w:t>
      </w:r>
    </w:p>
    <w:p w14:paraId="3A5EA689" w14:textId="77777777" w:rsidR="00DB6E47" w:rsidRPr="00516F02" w:rsidRDefault="00DB6E47" w:rsidP="00DB6E47">
      <w:pPr>
        <w:pStyle w:val="Asubpara"/>
      </w:pPr>
      <w:r w:rsidRPr="00516F02">
        <w:tab/>
        <w:t>(i)</w:t>
      </w:r>
      <w:r w:rsidRPr="00516F02">
        <w:tab/>
        <w:t>by taking a copy of, or an extract from, a readout or other data obtained from the device or other thing; or</w:t>
      </w:r>
    </w:p>
    <w:p w14:paraId="5C27A9D6" w14:textId="77777777" w:rsidR="00DB6E47" w:rsidRPr="00516F02" w:rsidRDefault="00DB6E47" w:rsidP="00DB6E47">
      <w:pPr>
        <w:pStyle w:val="Asubpara"/>
      </w:pPr>
      <w:r w:rsidRPr="00516F02">
        <w:tab/>
        <w:t>(ii)</w:t>
      </w:r>
      <w:r w:rsidRPr="00516F02">
        <w:tab/>
        <w:t>by accessing and downloading relevant information from the device or other thing.</w:t>
      </w:r>
    </w:p>
    <w:p w14:paraId="78AB6F4C" w14:textId="77777777" w:rsidR="00DB6E47" w:rsidRPr="00C96203" w:rsidRDefault="00DB6E47" w:rsidP="00DB6E47">
      <w:pPr>
        <w:pStyle w:val="aExamHdgss"/>
      </w:pPr>
      <w:r w:rsidRPr="00C96203">
        <w:rPr>
          <w:rFonts w:cs="Times"/>
          <w:bCs/>
          <w:iCs/>
        </w:rPr>
        <w:t>Example of device or other thing—</w:t>
      </w:r>
    </w:p>
    <w:p w14:paraId="63D9C0C6" w14:textId="77777777" w:rsidR="00DB6E47" w:rsidRPr="00C96203" w:rsidRDefault="00DB6E47" w:rsidP="00DB6E47">
      <w:pPr>
        <w:pStyle w:val="aExamss"/>
      </w:pPr>
      <w:r w:rsidRPr="00C96203">
        <w:t>an intelligent transport system</w:t>
      </w:r>
    </w:p>
    <w:p w14:paraId="33C56A09" w14:textId="77777777" w:rsidR="00DB6E47" w:rsidRPr="00CC4412" w:rsidRDefault="00DB6E47" w:rsidP="00DB6E47">
      <w:pPr>
        <w:pStyle w:val="Amain"/>
      </w:pPr>
      <w:r w:rsidRPr="00CC4412">
        <w:lastRenderedPageBreak/>
        <w:tab/>
        <w:t>(3)</w:t>
      </w:r>
      <w:r w:rsidRPr="00CC4412">
        <w:tab/>
        <w:t>The authorised officer may take a necessary step to allow the exerc</w:t>
      </w:r>
      <w:r w:rsidR="00C63ECD">
        <w:t xml:space="preserve">ise of a power under subsection </w:t>
      </w:r>
      <w:r w:rsidRPr="00CC4412">
        <w:t>(1)</w:t>
      </w:r>
      <w:r w:rsidR="00C63ECD">
        <w:t xml:space="preserve"> </w:t>
      </w:r>
      <w:r w:rsidRPr="00CC4412">
        <w:t>or (2), including, for example—</w:t>
      </w:r>
    </w:p>
    <w:p w14:paraId="3781A9A5" w14:textId="77777777" w:rsidR="00DB6E47" w:rsidRPr="00544ED5" w:rsidRDefault="00DB6E47" w:rsidP="00DB6E47">
      <w:pPr>
        <w:pStyle w:val="Apara"/>
      </w:pPr>
      <w:r w:rsidRPr="00544ED5">
        <w:tab/>
        <w:t>(a)</w:t>
      </w:r>
      <w:r w:rsidRPr="00544ED5">
        <w:tab/>
        <w:t>open an unlocked door or an unlocked panel or thing on the heavy vehicle; and</w:t>
      </w:r>
    </w:p>
    <w:p w14:paraId="0455F8A2" w14:textId="77777777" w:rsidR="00DB6E47" w:rsidRPr="00544ED5" w:rsidRDefault="00DB6E47" w:rsidP="00DB6E47">
      <w:pPr>
        <w:pStyle w:val="Apara"/>
      </w:pPr>
      <w:r w:rsidRPr="00544ED5">
        <w:tab/>
        <w:t>(b)</w:t>
      </w:r>
      <w:r w:rsidRPr="00544ED5">
        <w:tab/>
        <w:t>move but not take away anything that is not locked up or sealed.</w:t>
      </w:r>
    </w:p>
    <w:p w14:paraId="71302296" w14:textId="77777777" w:rsidR="00DB6E47" w:rsidRPr="00CC4412" w:rsidRDefault="00DB6E47" w:rsidP="00DB6E47">
      <w:pPr>
        <w:pStyle w:val="Amain"/>
      </w:pPr>
      <w:r w:rsidRPr="00CC4412">
        <w:tab/>
        <w:t>(4)</w:t>
      </w:r>
      <w:r w:rsidRPr="00CC4412">
        <w:tab/>
        <w:t>However, this section does not authorise an authorised officer to use force for exercising a power under this section.</w:t>
      </w:r>
    </w:p>
    <w:p w14:paraId="5EABB61F" w14:textId="77777777" w:rsidR="00DB6E47" w:rsidRPr="00CC4412" w:rsidRDefault="00DB6E47" w:rsidP="00DB6E47">
      <w:pPr>
        <w:pStyle w:val="Amain"/>
      </w:pPr>
      <w:r w:rsidRPr="00CC4412">
        <w:tab/>
        <w:t>(5)</w:t>
      </w:r>
      <w:r w:rsidRPr="00CC4412">
        <w:tab/>
        <w:t>If the authorised officer takes from the heavy vehicle a thing containing an electronic relevant document to produce an image or writing from the document, the image or writing must be produced, and the thing must be returned to the vehicle, as soon as practicable.</w:t>
      </w:r>
    </w:p>
    <w:p w14:paraId="7C76B72C" w14:textId="77777777" w:rsidR="00DB6E47" w:rsidRPr="00CC4412" w:rsidRDefault="00DB6E47" w:rsidP="00DB6E47">
      <w:pPr>
        <w:pStyle w:val="Amain"/>
      </w:pPr>
      <w:r w:rsidRPr="00CC4412">
        <w:tab/>
        <w:t>(6)</w:t>
      </w:r>
      <w:r w:rsidRPr="00CC4412">
        <w:tab/>
        <w:t>In this section—</w:t>
      </w:r>
    </w:p>
    <w:p w14:paraId="715E131C" w14:textId="77777777" w:rsidR="00DB6E47" w:rsidRPr="00041046" w:rsidRDefault="00DB6E47" w:rsidP="00DB6E47">
      <w:pPr>
        <w:pStyle w:val="aDef"/>
        <w:rPr>
          <w:bCs/>
        </w:rPr>
      </w:pPr>
      <w:r w:rsidRPr="00041046">
        <w:rPr>
          <w:rStyle w:val="charBoldItals"/>
        </w:rPr>
        <w:t>electronic relevant document</w:t>
      </w:r>
      <w:r w:rsidRPr="00041046">
        <w:t xml:space="preserve"> means a relevant document that is an electronic document.</w:t>
      </w:r>
    </w:p>
    <w:p w14:paraId="41100A64" w14:textId="77777777" w:rsidR="00DB6E47" w:rsidRPr="00041046" w:rsidRDefault="00DB6E47" w:rsidP="00DB6E47">
      <w:pPr>
        <w:pStyle w:val="aDef"/>
        <w:rPr>
          <w:bCs/>
        </w:rPr>
      </w:pPr>
      <w:r w:rsidRPr="00041046">
        <w:rPr>
          <w:rStyle w:val="charBoldItals"/>
        </w:rPr>
        <w:t>relevant document</w:t>
      </w:r>
      <w:r w:rsidRPr="00041046">
        <w:t xml:space="preserve"> means a document relating to a heavy vehicle and required to be kept under this Law or a heavy vehicle accreditation, including, for example, a document required to be kept in the possession of the driver of a heavy vehicle.</w:t>
      </w:r>
    </w:p>
    <w:p w14:paraId="1F6B637D" w14:textId="77777777" w:rsidR="00DB6E47" w:rsidRPr="00041046" w:rsidRDefault="00DB6E47" w:rsidP="00DB6E47">
      <w:pPr>
        <w:pStyle w:val="aDef"/>
        <w:rPr>
          <w:bCs/>
        </w:rPr>
      </w:pPr>
      <w:r w:rsidRPr="00041046">
        <w:rPr>
          <w:rStyle w:val="charBoldItals"/>
        </w:rPr>
        <w:t>relevant information</w:t>
      </w:r>
      <w:r w:rsidRPr="00041046">
        <w:t xml:space="preserve"> means information relating to a heavy vehicle required to be kept under this Law or a heavy vehicle accreditation.</w:t>
      </w:r>
    </w:p>
    <w:p w14:paraId="75D47EFC" w14:textId="77777777" w:rsidR="00DB6E47" w:rsidRPr="007E1F9A" w:rsidRDefault="00DB6E47" w:rsidP="00DB6E47">
      <w:pPr>
        <w:pStyle w:val="AH5Sec"/>
      </w:pPr>
      <w:bookmarkStart w:id="616" w:name="_Toc83625960"/>
      <w:r w:rsidRPr="005E03F7">
        <w:rPr>
          <w:rStyle w:val="CharSectNo"/>
        </w:rPr>
        <w:t>521</w:t>
      </w:r>
      <w:r w:rsidRPr="007E1F9A">
        <w:tab/>
      </w:r>
      <w:r w:rsidRPr="007E1F9A">
        <w:rPr>
          <w:rFonts w:ascii="Helvetica" w:hAnsi="Helvetica" w:cs="Helvetica"/>
          <w:iCs/>
        </w:rPr>
        <w:t>Power to enter and search heavy vehicle involved, or suspected to be involved, in an offence etc.</w:t>
      </w:r>
      <w:bookmarkEnd w:id="616"/>
    </w:p>
    <w:p w14:paraId="74187BCF" w14:textId="77777777" w:rsidR="00DB6E47" w:rsidRPr="00CC4412" w:rsidRDefault="00DB6E47" w:rsidP="00DB6E47">
      <w:pPr>
        <w:pStyle w:val="Amain"/>
      </w:pPr>
      <w:r w:rsidRPr="00CC4412">
        <w:tab/>
        <w:t>(1)</w:t>
      </w:r>
      <w:r w:rsidRPr="00CC4412">
        <w:tab/>
        <w:t>An authorised officer may, using necessary and reasonable help and force, enter and search a heavy vehicle for investigation purposes if the officer reasonably believes—</w:t>
      </w:r>
    </w:p>
    <w:p w14:paraId="6A52B48D" w14:textId="77777777" w:rsidR="00DB6E47" w:rsidRPr="00544ED5" w:rsidRDefault="00DB6E47" w:rsidP="00DB6E47">
      <w:pPr>
        <w:pStyle w:val="Apara"/>
      </w:pPr>
      <w:r w:rsidRPr="00544ED5">
        <w:tab/>
        <w:t>(a)</w:t>
      </w:r>
      <w:r w:rsidRPr="00544ED5">
        <w:tab/>
        <w:t>the vehicle is being, or has been, used to commit an offence against this Law; or</w:t>
      </w:r>
    </w:p>
    <w:p w14:paraId="01E564E9" w14:textId="77777777" w:rsidR="00DB6E47" w:rsidRPr="00544ED5" w:rsidRDefault="00DB6E47" w:rsidP="00DB6E47">
      <w:pPr>
        <w:pStyle w:val="Apara"/>
      </w:pPr>
      <w:r w:rsidRPr="00544ED5">
        <w:lastRenderedPageBreak/>
        <w:tab/>
        <w:t>(b)</w:t>
      </w:r>
      <w:r w:rsidRPr="00544ED5">
        <w:tab/>
        <w:t>the vehicle, or a thing in the vehicle, may provide evidence of an offence against this Law that is being, or has been, committed; or</w:t>
      </w:r>
    </w:p>
    <w:p w14:paraId="585CF065" w14:textId="77777777" w:rsidR="00DB6E47" w:rsidRPr="00544ED5" w:rsidRDefault="00DB6E47" w:rsidP="00DB6E47">
      <w:pPr>
        <w:pStyle w:val="Apara"/>
      </w:pPr>
      <w:r w:rsidRPr="00544ED5">
        <w:tab/>
        <w:t>(c)</w:t>
      </w:r>
      <w:r w:rsidRPr="00544ED5">
        <w:tab/>
        <w:t>the vehicle has been or may have been involved in an incident involving the death of, or injury to, a person or damage to property.</w:t>
      </w:r>
    </w:p>
    <w:p w14:paraId="007F43EA" w14:textId="77777777" w:rsidR="00DB6E47" w:rsidRPr="00CC4412" w:rsidRDefault="00DB6E47" w:rsidP="00DB6E47">
      <w:pPr>
        <w:pStyle w:val="Amain"/>
      </w:pPr>
      <w:r w:rsidRPr="00CC4412">
        <w:tab/>
        <w:t>(2)</w:t>
      </w:r>
      <w:r w:rsidRPr="00CC4412">
        <w:tab/>
        <w:t>The authorised officer may form the necessary belief—</w:t>
      </w:r>
    </w:p>
    <w:p w14:paraId="2D5D1DBC" w14:textId="77777777" w:rsidR="00DB6E47" w:rsidRPr="00544ED5" w:rsidRDefault="00DB6E47" w:rsidP="00DB6E47">
      <w:pPr>
        <w:pStyle w:val="Apara"/>
      </w:pPr>
      <w:r w:rsidRPr="00544ED5">
        <w:tab/>
        <w:t>(a)</w:t>
      </w:r>
      <w:r w:rsidRPr="00544ED5">
        <w:tab/>
        <w:t>during or after an inspection of the heavy vehicle under Part</w:t>
      </w:r>
      <w:r w:rsidR="00C63ECD">
        <w:t> </w:t>
      </w:r>
      <w:r w:rsidRPr="00544ED5">
        <w:t>9.2 or section 520; or</w:t>
      </w:r>
    </w:p>
    <w:p w14:paraId="684A71D7" w14:textId="77777777" w:rsidR="00DB6E47" w:rsidRPr="00544ED5" w:rsidRDefault="00DB6E47" w:rsidP="00DB6E47">
      <w:pPr>
        <w:pStyle w:val="Apara"/>
      </w:pPr>
      <w:r w:rsidRPr="00544ED5">
        <w:tab/>
        <w:t>(b)</w:t>
      </w:r>
      <w:r w:rsidRPr="00544ED5">
        <w:tab/>
        <w:t>independently of an inspection of the heavy vehicle under Part</w:t>
      </w:r>
      <w:r w:rsidR="00C63ECD">
        <w:t> </w:t>
      </w:r>
      <w:r w:rsidRPr="00544ED5">
        <w:t>9.2 or section 520.</w:t>
      </w:r>
    </w:p>
    <w:p w14:paraId="0AFE2175" w14:textId="77777777" w:rsidR="00DB6E47" w:rsidRPr="00CC4412" w:rsidRDefault="00DB6E47" w:rsidP="00DB6E47">
      <w:pPr>
        <w:pStyle w:val="Amain"/>
      </w:pPr>
      <w:r w:rsidRPr="00CC4412">
        <w:tab/>
        <w:t>(3)</w:t>
      </w:r>
      <w:r w:rsidRPr="00CC4412">
        <w:tab/>
        <w:t>Without limiting subsection (1), the authorised officer may—</w:t>
      </w:r>
    </w:p>
    <w:p w14:paraId="5256474A" w14:textId="77777777" w:rsidR="00DB6E47" w:rsidRPr="00544ED5" w:rsidRDefault="00DB6E47" w:rsidP="00DB6E47">
      <w:pPr>
        <w:pStyle w:val="Apara"/>
      </w:pPr>
      <w:r w:rsidRPr="00544ED5">
        <w:tab/>
        <w:t>(a)</w:t>
      </w:r>
      <w:r w:rsidRPr="00544ED5">
        <w:tab/>
        <w:t>search any part of the heavy vehicle or any part of its equipment or load for evidence of an offence against this Law; and</w:t>
      </w:r>
    </w:p>
    <w:p w14:paraId="52F9CE27" w14:textId="77777777" w:rsidR="00DB6E47" w:rsidRPr="00544ED5" w:rsidRDefault="00DB6E47" w:rsidP="00DB6E47">
      <w:pPr>
        <w:pStyle w:val="Apara"/>
      </w:pPr>
      <w:r w:rsidRPr="00544ED5">
        <w:tab/>
        <w:t>(b)</w:t>
      </w:r>
      <w:r w:rsidRPr="00544ED5">
        <w:tab/>
        <w:t>inspect, examine or film any part of the heavy vehicle or any part of its equipment or load; and</w:t>
      </w:r>
    </w:p>
    <w:p w14:paraId="54669A10" w14:textId="77777777" w:rsidR="00150AE9" w:rsidRPr="00FC35BA" w:rsidRDefault="00150AE9" w:rsidP="00FC35BA">
      <w:pPr>
        <w:pStyle w:val="Apara"/>
      </w:pPr>
      <w:r w:rsidRPr="00FC35BA">
        <w:tab/>
        <w:t>(c)</w:t>
      </w:r>
      <w:r w:rsidRPr="00FC35BA">
        <w:tab/>
      </w:r>
      <w:r w:rsidR="00FC35BA" w:rsidRPr="00FC35BA">
        <w:t>without limiting paragraph (b), look for, check the details of, or film a registration item, label or other thing required to be displayed on the heavy vehicle under an Australian road law; and</w:t>
      </w:r>
    </w:p>
    <w:p w14:paraId="7F31473A" w14:textId="77777777" w:rsidR="00DB6E47" w:rsidRPr="00544ED5" w:rsidRDefault="00DB6E47" w:rsidP="00DB6E47">
      <w:pPr>
        <w:pStyle w:val="Apara"/>
      </w:pPr>
      <w:r w:rsidRPr="00544ED5">
        <w:tab/>
        <w:t>(d)</w:t>
      </w:r>
      <w:r w:rsidRPr="00544ED5">
        <w:tab/>
        <w:t>search for and inspect a document, device or other thing in the heavy vehicle; and</w:t>
      </w:r>
    </w:p>
    <w:p w14:paraId="20868019" w14:textId="77777777" w:rsidR="00DB6E47" w:rsidRPr="00544ED5" w:rsidRDefault="00DB6E47" w:rsidP="00DB6E47">
      <w:pPr>
        <w:pStyle w:val="Apara"/>
      </w:pPr>
      <w:r w:rsidRPr="00544ED5">
        <w:tab/>
        <w:t>(e)</w:t>
      </w:r>
      <w:r w:rsidRPr="00544ED5">
        <w:tab/>
        <w:t>take an extract from a document, device or other thing in the heavy vehicle, including, for example—</w:t>
      </w:r>
    </w:p>
    <w:p w14:paraId="62ECF4A7" w14:textId="77777777" w:rsidR="00DB6E47" w:rsidRPr="00516F02" w:rsidRDefault="00DB6E47" w:rsidP="00DB6E47">
      <w:pPr>
        <w:pStyle w:val="Asubpara"/>
      </w:pPr>
      <w:r w:rsidRPr="00516F02">
        <w:tab/>
        <w:t>(i)</w:t>
      </w:r>
      <w:r w:rsidRPr="00516F02">
        <w:tab/>
        <w:t>by taking a copy of, or an extract from, a readout or other data obtained from a device or other thing in the vehicle; or</w:t>
      </w:r>
    </w:p>
    <w:p w14:paraId="3772A600" w14:textId="77777777" w:rsidR="00DB6E47" w:rsidRPr="00516F02" w:rsidRDefault="00DB6E47" w:rsidP="007A5E66">
      <w:pPr>
        <w:pStyle w:val="Asubpara"/>
        <w:keepNext/>
      </w:pPr>
      <w:r w:rsidRPr="00516F02">
        <w:lastRenderedPageBreak/>
        <w:tab/>
        <w:t>(ii)</w:t>
      </w:r>
      <w:r w:rsidRPr="00516F02">
        <w:tab/>
        <w:t>by accessing and downloading information from a device or other thing in the vehicle; and</w:t>
      </w:r>
    </w:p>
    <w:p w14:paraId="44572717" w14:textId="77777777" w:rsidR="00DB6E47" w:rsidRPr="00C96203" w:rsidRDefault="00DB6E47" w:rsidP="00DB6E47">
      <w:pPr>
        <w:pStyle w:val="aExamHdgss"/>
      </w:pPr>
      <w:r w:rsidRPr="00C96203">
        <w:rPr>
          <w:rFonts w:cs="Times"/>
          <w:bCs/>
          <w:iCs/>
        </w:rPr>
        <w:t>Example of device or other thing—</w:t>
      </w:r>
    </w:p>
    <w:p w14:paraId="5E837612" w14:textId="77777777" w:rsidR="00DB6E47" w:rsidRPr="00C96203" w:rsidRDefault="00DB6E47" w:rsidP="00DB6E47">
      <w:pPr>
        <w:pStyle w:val="aExamss"/>
      </w:pPr>
      <w:r w:rsidRPr="00C96203">
        <w:t>an intelligent transport system</w:t>
      </w:r>
    </w:p>
    <w:p w14:paraId="74556CC6" w14:textId="77777777" w:rsidR="00DB6E47" w:rsidRPr="00544ED5" w:rsidRDefault="00DB6E47" w:rsidP="00DB6E47">
      <w:pPr>
        <w:pStyle w:val="Apara"/>
      </w:pPr>
      <w:r w:rsidRPr="00544ED5">
        <w:tab/>
        <w:t>(f)</w:t>
      </w:r>
      <w:r w:rsidRPr="00544ED5">
        <w:tab/>
        <w:t>copy a document in the heavy vehicle, or take a document in the heavy vehicle somewhere else to copy it; and</w:t>
      </w:r>
    </w:p>
    <w:p w14:paraId="0C3AD8C6" w14:textId="77777777" w:rsidR="00DB6E47" w:rsidRPr="00C96203" w:rsidRDefault="00DB6E47" w:rsidP="00DB6E47">
      <w:pPr>
        <w:pStyle w:val="aExamHdgss"/>
      </w:pPr>
      <w:r w:rsidRPr="00C96203">
        <w:rPr>
          <w:rFonts w:cs="Times"/>
          <w:bCs/>
          <w:iCs/>
        </w:rPr>
        <w:t>Examples of documents</w:t>
      </w:r>
      <w:r w:rsidR="00C63ECD">
        <w:rPr>
          <w:rFonts w:cs="Times"/>
          <w:bCs/>
          <w:iCs/>
        </w:rPr>
        <w:t xml:space="preserve"> for the purposes of paragraphs </w:t>
      </w:r>
      <w:r w:rsidRPr="00C96203">
        <w:rPr>
          <w:rFonts w:cs="Times"/>
          <w:bCs/>
          <w:iCs/>
        </w:rPr>
        <w:t>(e)</w:t>
      </w:r>
      <w:r w:rsidR="00C63ECD">
        <w:rPr>
          <w:rFonts w:cs="Times"/>
          <w:bCs/>
          <w:iCs/>
        </w:rPr>
        <w:t xml:space="preserve"> </w:t>
      </w:r>
      <w:r w:rsidRPr="00C96203">
        <w:rPr>
          <w:rFonts w:cs="Times"/>
          <w:bCs/>
          <w:iCs/>
        </w:rPr>
        <w:t>and (f)—</w:t>
      </w:r>
    </w:p>
    <w:p w14:paraId="489AECAF" w14:textId="77777777" w:rsidR="00DB6E47" w:rsidRPr="00C96203" w:rsidRDefault="00DB6E47" w:rsidP="00DB6E47">
      <w:pPr>
        <w:pStyle w:val="aExamBulletss"/>
      </w:pPr>
      <w:r w:rsidRPr="00C96203">
        <w:t xml:space="preserve">• </w:t>
      </w:r>
      <w:r w:rsidRPr="00C96203">
        <w:tab/>
        <w:t>a document required to be kept in the vehicle under this Law or a heavy vehicle accreditation</w:t>
      </w:r>
    </w:p>
    <w:p w14:paraId="7A76DDB9" w14:textId="77777777" w:rsidR="00DB6E47" w:rsidRPr="00C96203" w:rsidRDefault="00DB6E47" w:rsidP="00DB6E47">
      <w:pPr>
        <w:pStyle w:val="aExamBulletss"/>
      </w:pPr>
      <w:r w:rsidRPr="00C96203">
        <w:t xml:space="preserve">• </w:t>
      </w:r>
      <w:r w:rsidRPr="00C96203">
        <w:tab/>
        <w:t>transport documentation</w:t>
      </w:r>
    </w:p>
    <w:p w14:paraId="3D24EE7B" w14:textId="77777777" w:rsidR="00DB6E47" w:rsidRPr="00C96203" w:rsidRDefault="00DB6E47" w:rsidP="00DB6E47">
      <w:pPr>
        <w:pStyle w:val="aExamBulletss"/>
      </w:pPr>
      <w:r w:rsidRPr="00C96203">
        <w:t xml:space="preserve">• </w:t>
      </w:r>
      <w:r w:rsidRPr="00C96203">
        <w:tab/>
        <w:t>journey documentation</w:t>
      </w:r>
    </w:p>
    <w:p w14:paraId="4CDDAA4B" w14:textId="77777777" w:rsidR="00DB6E47" w:rsidRPr="00C96203" w:rsidRDefault="00DB6E47" w:rsidP="00DB6E47">
      <w:pPr>
        <w:pStyle w:val="aExamBulletss"/>
      </w:pPr>
      <w:r w:rsidRPr="00C96203">
        <w:t xml:space="preserve">• </w:t>
      </w:r>
      <w:r w:rsidRPr="00C96203">
        <w:tab/>
        <w:t>a document the authorised officer reasonably believes provides, or may provide on further inspection, evidence of an offence against this Law</w:t>
      </w:r>
    </w:p>
    <w:p w14:paraId="6EDACF44" w14:textId="77777777" w:rsidR="00DB6E47" w:rsidRPr="00544ED5" w:rsidRDefault="00DB6E47" w:rsidP="001906C7">
      <w:pPr>
        <w:pStyle w:val="Apara"/>
        <w:keepLines/>
      </w:pPr>
      <w:r w:rsidRPr="00544ED5">
        <w:tab/>
        <w:t>(g)</w:t>
      </w:r>
      <w:r w:rsidRPr="00544ED5">
        <w:tab/>
        <w:t>produce an image or writing in or near the vehicle from an electronic document in the vehicle or, if it is not practicable to produce the image or writing in or near the vehicle, take a thing containing the electronic document somewhere else to produce the image or writing; and</w:t>
      </w:r>
    </w:p>
    <w:p w14:paraId="5B4E639B" w14:textId="77777777" w:rsidR="00DB6E47" w:rsidRPr="00544ED5" w:rsidRDefault="00DB6E47" w:rsidP="00DB6E47">
      <w:pPr>
        <w:pStyle w:val="Apara"/>
      </w:pPr>
      <w:r w:rsidRPr="00544ED5">
        <w:tab/>
        <w:t>(h)</w:t>
      </w:r>
      <w:r w:rsidRPr="00544ED5">
        <w:tab/>
        <w:t>take the persons, equipment or materials the officer reasonably requires into or onto the heavy vehicle.</w:t>
      </w:r>
    </w:p>
    <w:p w14:paraId="69500D8B" w14:textId="77777777" w:rsidR="00DB6E47" w:rsidRPr="00CC4412" w:rsidRDefault="00DB6E47" w:rsidP="00DB6E47">
      <w:pPr>
        <w:pStyle w:val="Amain"/>
      </w:pPr>
      <w:r w:rsidRPr="00CC4412">
        <w:tab/>
        <w:t>(4)</w:t>
      </w:r>
      <w:r w:rsidRPr="00CC4412">
        <w:tab/>
        <w:t>If the authorised officer takes a document from the heavy vehicle to copy it, the document must be copied and returned to the vehicle as soon as practicable.</w:t>
      </w:r>
    </w:p>
    <w:p w14:paraId="3F247E57" w14:textId="77777777" w:rsidR="00DB6E47" w:rsidRPr="00CC4412" w:rsidRDefault="00DB6E47" w:rsidP="00DB6E47">
      <w:pPr>
        <w:pStyle w:val="Amain"/>
      </w:pPr>
      <w:r w:rsidRPr="00CC4412">
        <w:tab/>
        <w:t>(5)</w:t>
      </w:r>
      <w:r w:rsidRPr="00CC4412">
        <w:tab/>
        <w:t>If the authorised officer takes from the heavy vehicle a thing containing an electronic document to produce an image or writing from the document, the image or writing must be produced, and the thing must be returned to the v</w:t>
      </w:r>
      <w:r w:rsidR="00C63ECD">
        <w:t>ehicle, as soon as practicable.</w:t>
      </w:r>
    </w:p>
    <w:p w14:paraId="760F9835" w14:textId="77777777" w:rsidR="00DB6E47" w:rsidRPr="00CC4412" w:rsidRDefault="00DB6E47" w:rsidP="00DB6E47">
      <w:pPr>
        <w:pStyle w:val="Amain"/>
      </w:pPr>
      <w:r w:rsidRPr="00CC4412">
        <w:tab/>
        <w:t>(6)</w:t>
      </w:r>
      <w:r w:rsidRPr="00CC4412">
        <w:tab/>
        <w:t>This section does not authorise an authorised officer to exercise a power under this section in relation to an incident that involves the death of, or injury to, a person unless the authorised officer is a police officer</w:t>
      </w:r>
      <w:r w:rsidR="00E108BD">
        <w:t xml:space="preserve"> </w:t>
      </w:r>
      <w:r w:rsidR="00E108BD" w:rsidRPr="00E108BD">
        <w:t>or is acting under the direction of a police officer</w:t>
      </w:r>
      <w:r w:rsidRPr="00CC4412">
        <w:t>.</w:t>
      </w:r>
    </w:p>
    <w:p w14:paraId="4F4F29D5" w14:textId="77777777" w:rsidR="00DB6E47" w:rsidRPr="00CC4412" w:rsidRDefault="00DB6E47" w:rsidP="00DB6E47">
      <w:pPr>
        <w:pStyle w:val="Amain"/>
      </w:pPr>
      <w:r w:rsidRPr="00CC4412">
        <w:lastRenderedPageBreak/>
        <w:tab/>
        <w:t>(7)</w:t>
      </w:r>
      <w:r w:rsidRPr="00CC4412">
        <w:tab/>
        <w:t>The power to search under this section does not include a power to search a person.</w:t>
      </w:r>
    </w:p>
    <w:p w14:paraId="2B049E88" w14:textId="77777777" w:rsidR="00DB6E47" w:rsidRPr="007E1F9A" w:rsidRDefault="00DB6E47" w:rsidP="00DB6E47">
      <w:pPr>
        <w:pStyle w:val="AH5Sec"/>
      </w:pPr>
      <w:bookmarkStart w:id="617" w:name="_Toc83625961"/>
      <w:r w:rsidRPr="005E03F7">
        <w:rPr>
          <w:rStyle w:val="CharSectNo"/>
        </w:rPr>
        <w:t>522</w:t>
      </w:r>
      <w:r w:rsidRPr="007E1F9A">
        <w:tab/>
      </w:r>
      <w:r w:rsidRPr="007E1F9A">
        <w:rPr>
          <w:rFonts w:ascii="Helvetica" w:hAnsi="Helvetica" w:cs="Helvetica"/>
          <w:iCs/>
        </w:rPr>
        <w:t>Power to order presentation of heavy vehicles for inspection</w:t>
      </w:r>
      <w:bookmarkEnd w:id="617"/>
    </w:p>
    <w:p w14:paraId="6B428C30" w14:textId="77777777" w:rsidR="00DB6E47" w:rsidRPr="00CC4412" w:rsidRDefault="00DB6E47" w:rsidP="00DB6E47">
      <w:pPr>
        <w:pStyle w:val="Amain"/>
      </w:pPr>
      <w:r w:rsidRPr="00CC4412">
        <w:tab/>
        <w:t>(1)</w:t>
      </w:r>
      <w:r w:rsidRPr="00CC4412">
        <w:tab/>
        <w:t>An authorised officer may, by notice under subsection (2), require to be produced for inspection at a place and time stated in the notice, a heavy vehicle—</w:t>
      </w:r>
    </w:p>
    <w:p w14:paraId="730903E5" w14:textId="77777777" w:rsidR="00DB6E47" w:rsidRPr="00544ED5" w:rsidRDefault="00DB6E47" w:rsidP="00DB6E47">
      <w:pPr>
        <w:pStyle w:val="Apara"/>
      </w:pPr>
      <w:r w:rsidRPr="00544ED5">
        <w:tab/>
        <w:t>(a)</w:t>
      </w:r>
      <w:r w:rsidRPr="00544ED5">
        <w:tab/>
        <w:t xml:space="preserve">that the officer reasonably believes has within the preceding </w:t>
      </w:r>
      <w:r w:rsidR="00A10DED">
        <w:t>60 </w:t>
      </w:r>
      <w:r w:rsidR="00A10DED" w:rsidRPr="00A10DED">
        <w:t>days</w:t>
      </w:r>
      <w:r w:rsidRPr="00544ED5">
        <w:t xml:space="preserve"> been used or will be used on a road if the officer reasonably believes that—</w:t>
      </w:r>
    </w:p>
    <w:p w14:paraId="3BE76F23" w14:textId="77777777" w:rsidR="00DB6E47" w:rsidRPr="00516F02" w:rsidRDefault="00DB6E47" w:rsidP="00DB6E47">
      <w:pPr>
        <w:pStyle w:val="Asubpara"/>
      </w:pPr>
      <w:r w:rsidRPr="00516F02">
        <w:tab/>
        <w:t>(i)</w:t>
      </w:r>
      <w:r w:rsidRPr="00516F02">
        <w:tab/>
        <w:t>the driver of the vehicle has not complied with this Law in driving a heavy vehicle of that kind; or</w:t>
      </w:r>
    </w:p>
    <w:p w14:paraId="389F70CD" w14:textId="77777777" w:rsidR="00DB6E47" w:rsidRPr="00516F02" w:rsidRDefault="00DB6E47" w:rsidP="00DB6E47">
      <w:pPr>
        <w:pStyle w:val="Asubpara"/>
      </w:pPr>
      <w:r w:rsidRPr="00516F02">
        <w:tab/>
        <w:t>(ii)</w:t>
      </w:r>
      <w:r w:rsidRPr="00516F02">
        <w:tab/>
        <w:t>the vehicle does not comply with this Law; or</w:t>
      </w:r>
    </w:p>
    <w:p w14:paraId="57B72F34" w14:textId="77777777" w:rsidR="00DB6E47" w:rsidRPr="00516F02" w:rsidRDefault="00DB6E47" w:rsidP="00DB6E47">
      <w:pPr>
        <w:pStyle w:val="Asubpara"/>
      </w:pPr>
      <w:r>
        <w:tab/>
      </w:r>
      <w:r w:rsidRPr="00516F02">
        <w:t>(iii)</w:t>
      </w:r>
      <w:r w:rsidRPr="00516F02">
        <w:tab/>
        <w:t>the vehicle is a defective heavy vehicle as defined in section 525; or</w:t>
      </w:r>
    </w:p>
    <w:p w14:paraId="299AC9B7" w14:textId="77777777" w:rsidR="00DB6E47" w:rsidRPr="00544ED5" w:rsidRDefault="00DB6E47" w:rsidP="00DB6E47">
      <w:pPr>
        <w:pStyle w:val="Apara"/>
      </w:pPr>
      <w:r w:rsidRPr="00544ED5">
        <w:tab/>
      </w:r>
      <w:r w:rsidR="00C63ECD">
        <w:t>(b)</w:t>
      </w:r>
      <w:r w:rsidR="00C63ECD">
        <w:tab/>
        <w:t xml:space="preserve">without limiting paragraph </w:t>
      </w:r>
      <w:r w:rsidRPr="00544ED5">
        <w:t>(a), for the purpose of deciding if a vehicle defect notice for the vehicle can be cleared under section 530.</w:t>
      </w:r>
    </w:p>
    <w:p w14:paraId="32393392" w14:textId="77777777" w:rsidR="00A10DED" w:rsidRPr="00A10DED" w:rsidRDefault="00A10DED" w:rsidP="00A10DED">
      <w:pPr>
        <w:pStyle w:val="Amain"/>
        <w:rPr>
          <w:lang w:val="en" w:eastAsia="en-AU"/>
        </w:rPr>
      </w:pPr>
      <w:r>
        <w:rPr>
          <w:lang w:val="en" w:eastAsia="en-AU"/>
        </w:rPr>
        <w:tab/>
      </w:r>
      <w:r w:rsidRPr="00A10DED">
        <w:rPr>
          <w:lang w:val="en" w:eastAsia="en-AU"/>
        </w:rPr>
        <w:t>(1A)</w:t>
      </w:r>
      <w:r>
        <w:rPr>
          <w:lang w:val="en" w:eastAsia="en-AU"/>
        </w:rPr>
        <w:tab/>
      </w:r>
      <w:r w:rsidRPr="00A10DED">
        <w:rPr>
          <w:lang w:val="en" w:eastAsia="en-AU"/>
        </w:rPr>
        <w:t>An authorised officer may, by notice under subsection (2), require to be produced for inspection at a place and time stated in the notice, vehicles in a category of heavy vehicles that the officer reasonably believes have within the preceding 60 days been used or will be used on a road if the officer reasonably believes that—</w:t>
      </w:r>
    </w:p>
    <w:p w14:paraId="577C2375" w14:textId="77777777" w:rsidR="00A10DED" w:rsidRPr="00A10DED" w:rsidRDefault="00A10DED" w:rsidP="00A10DED">
      <w:pPr>
        <w:pStyle w:val="Apara"/>
        <w:rPr>
          <w:lang w:val="en" w:eastAsia="en-AU"/>
        </w:rPr>
      </w:pPr>
      <w:r>
        <w:rPr>
          <w:lang w:val="en" w:eastAsia="en-AU"/>
        </w:rPr>
        <w:tab/>
      </w:r>
      <w:r w:rsidRPr="00A10DED">
        <w:rPr>
          <w:lang w:val="en" w:eastAsia="en-AU"/>
        </w:rPr>
        <w:t>(a)</w:t>
      </w:r>
      <w:r>
        <w:rPr>
          <w:lang w:val="en" w:eastAsia="en-AU"/>
        </w:rPr>
        <w:tab/>
      </w:r>
      <w:r w:rsidRPr="00A10DED">
        <w:rPr>
          <w:lang w:val="en" w:eastAsia="en-AU"/>
        </w:rPr>
        <w:t>the vehicles in that category do not comply with this Law; or</w:t>
      </w:r>
    </w:p>
    <w:p w14:paraId="50691AEA" w14:textId="77777777" w:rsidR="00A10DED" w:rsidRPr="00A10DED" w:rsidRDefault="00A10DED" w:rsidP="00A10DED">
      <w:pPr>
        <w:pStyle w:val="Apara"/>
        <w:rPr>
          <w:lang w:val="en" w:eastAsia="en-AU"/>
        </w:rPr>
      </w:pPr>
      <w:r>
        <w:rPr>
          <w:lang w:val="en" w:eastAsia="en-AU"/>
        </w:rPr>
        <w:tab/>
      </w:r>
      <w:r w:rsidRPr="00A10DED">
        <w:rPr>
          <w:lang w:val="en" w:eastAsia="en-AU"/>
        </w:rPr>
        <w:t>(b)</w:t>
      </w:r>
      <w:r>
        <w:rPr>
          <w:lang w:val="en" w:eastAsia="en-AU"/>
        </w:rPr>
        <w:tab/>
      </w:r>
      <w:r w:rsidRPr="00A10DED">
        <w:rPr>
          <w:lang w:val="en" w:eastAsia="en-AU"/>
        </w:rPr>
        <w:t>the vehicles in that category are defective heavy vehicles as defined in section 525.</w:t>
      </w:r>
    </w:p>
    <w:p w14:paraId="6B3A73EC" w14:textId="77777777" w:rsidR="00A10DED" w:rsidRPr="00A10DED" w:rsidRDefault="00A10DED" w:rsidP="00A10DED">
      <w:pPr>
        <w:pStyle w:val="Amain"/>
        <w:rPr>
          <w:lang w:val="en" w:eastAsia="en-AU"/>
        </w:rPr>
      </w:pPr>
      <w:r>
        <w:rPr>
          <w:lang w:val="en" w:eastAsia="en-AU"/>
        </w:rPr>
        <w:tab/>
      </w:r>
      <w:r w:rsidRPr="00A10DED">
        <w:rPr>
          <w:lang w:val="en" w:eastAsia="en-AU"/>
        </w:rPr>
        <w:t>(2)</w:t>
      </w:r>
      <w:r>
        <w:rPr>
          <w:lang w:val="en" w:eastAsia="en-AU"/>
        </w:rPr>
        <w:tab/>
      </w:r>
      <w:r w:rsidRPr="00A10DED">
        <w:rPr>
          <w:lang w:val="en" w:eastAsia="en-AU"/>
        </w:rPr>
        <w:t>A notice must be served on—</w:t>
      </w:r>
    </w:p>
    <w:p w14:paraId="3C7E1AAC" w14:textId="77777777" w:rsidR="00A10DED" w:rsidRPr="00A10DED" w:rsidRDefault="00A10DED" w:rsidP="00A10DED">
      <w:pPr>
        <w:pStyle w:val="Apara"/>
        <w:rPr>
          <w:lang w:val="en" w:eastAsia="en-AU"/>
        </w:rPr>
      </w:pPr>
      <w:r>
        <w:rPr>
          <w:lang w:val="en" w:eastAsia="en-AU"/>
        </w:rPr>
        <w:tab/>
      </w:r>
      <w:r w:rsidRPr="00A10DED">
        <w:rPr>
          <w:lang w:val="en" w:eastAsia="en-AU"/>
        </w:rPr>
        <w:t>(a)</w:t>
      </w:r>
      <w:r>
        <w:rPr>
          <w:lang w:val="en" w:eastAsia="en-AU"/>
        </w:rPr>
        <w:tab/>
      </w:r>
      <w:r w:rsidRPr="00A10DED">
        <w:rPr>
          <w:lang w:val="en" w:eastAsia="en-AU"/>
        </w:rPr>
        <w:t>the person in charge of the heavy vehicle or category of heavy vehicles; or</w:t>
      </w:r>
    </w:p>
    <w:p w14:paraId="4CD20EBA" w14:textId="77777777" w:rsidR="00A10DED" w:rsidRPr="00A10DED" w:rsidRDefault="00A10DED" w:rsidP="00A10DED">
      <w:pPr>
        <w:pStyle w:val="Apara"/>
        <w:rPr>
          <w:lang w:val="en" w:eastAsia="en-AU"/>
        </w:rPr>
      </w:pPr>
      <w:r>
        <w:rPr>
          <w:lang w:val="en" w:eastAsia="en-AU"/>
        </w:rPr>
        <w:lastRenderedPageBreak/>
        <w:tab/>
      </w:r>
      <w:r w:rsidRPr="00A10DED">
        <w:rPr>
          <w:lang w:val="en" w:eastAsia="en-AU"/>
        </w:rPr>
        <w:t>(b)</w:t>
      </w:r>
      <w:r>
        <w:rPr>
          <w:lang w:val="en" w:eastAsia="en-AU"/>
        </w:rPr>
        <w:tab/>
      </w:r>
      <w:r w:rsidRPr="00A10DED">
        <w:rPr>
          <w:lang w:val="en" w:eastAsia="en-AU"/>
        </w:rPr>
        <w:t>the registered operator or, if the heavy vehicle or category of heavy vehicles is not registered, an owner.</w:t>
      </w:r>
    </w:p>
    <w:p w14:paraId="318BD208" w14:textId="77777777" w:rsidR="00DB6E47" w:rsidRPr="00CC4412" w:rsidRDefault="00DB6E47" w:rsidP="00DB6E47">
      <w:pPr>
        <w:pStyle w:val="Amain"/>
      </w:pPr>
      <w:r w:rsidRPr="00CC4412">
        <w:tab/>
        <w:t>(3)</w:t>
      </w:r>
      <w:r w:rsidRPr="00CC4412">
        <w:tab/>
        <w:t>If a notice has been served on a person under this section—</w:t>
      </w:r>
    </w:p>
    <w:p w14:paraId="5C055C4A" w14:textId="77777777" w:rsidR="00DB6E47" w:rsidRPr="00544ED5" w:rsidRDefault="00DB6E47" w:rsidP="00DB6E47">
      <w:pPr>
        <w:pStyle w:val="Apara"/>
      </w:pPr>
      <w:r w:rsidRPr="00544ED5">
        <w:tab/>
        <w:t>(a)</w:t>
      </w:r>
      <w:r w:rsidRPr="00544ED5">
        <w:tab/>
        <w:t>the person may, not later than 24 hours before the time stated in the notice, request an authorised officer to change the place or time of inspection or both; and</w:t>
      </w:r>
    </w:p>
    <w:p w14:paraId="54B2657D" w14:textId="77777777" w:rsidR="00DB6E47" w:rsidRPr="00544ED5" w:rsidRDefault="00C63ECD" w:rsidP="00DB6E47">
      <w:pPr>
        <w:pStyle w:val="Apara"/>
      </w:pPr>
      <w:r>
        <w:tab/>
        <w:t>(b)</w:t>
      </w:r>
      <w:r>
        <w:tab/>
        <w:t xml:space="preserve">subject to paragraph </w:t>
      </w:r>
      <w:r w:rsidR="00DB6E47" w:rsidRPr="00544ED5">
        <w:t>(c), the authorised officer must—</w:t>
      </w:r>
    </w:p>
    <w:p w14:paraId="5AEC47BF" w14:textId="77777777" w:rsidR="00DB6E47" w:rsidRPr="00516F02" w:rsidRDefault="00DB6E47" w:rsidP="00DB6E47">
      <w:pPr>
        <w:pStyle w:val="Asubpara"/>
      </w:pPr>
      <w:r w:rsidRPr="00516F02">
        <w:tab/>
        <w:t>(i)</w:t>
      </w:r>
      <w:r w:rsidRPr="00516F02">
        <w:tab/>
        <w:t>consider the request; and</w:t>
      </w:r>
    </w:p>
    <w:p w14:paraId="35895456" w14:textId="77777777" w:rsidR="00DB6E47" w:rsidRPr="00516F02" w:rsidRDefault="00DB6E47" w:rsidP="00DB6E47">
      <w:pPr>
        <w:pStyle w:val="Asubpara"/>
      </w:pPr>
      <w:r>
        <w:tab/>
      </w:r>
      <w:r w:rsidRPr="00516F02">
        <w:t>(ii)</w:t>
      </w:r>
      <w:r w:rsidRPr="00516F02">
        <w:tab/>
        <w:t>vary the notice by changing the place or time; and</w:t>
      </w:r>
    </w:p>
    <w:p w14:paraId="70753AEF" w14:textId="77777777" w:rsidR="00DB6E47" w:rsidRPr="00516F02" w:rsidRDefault="00DB6E47" w:rsidP="00DB6E47">
      <w:pPr>
        <w:pStyle w:val="Asubpara"/>
      </w:pPr>
      <w:r>
        <w:tab/>
      </w:r>
      <w:r w:rsidRPr="00516F02">
        <w:t>(iii)</w:t>
      </w:r>
      <w:r w:rsidRPr="00516F02">
        <w:tab/>
        <w:t>notify the person of the change; and</w:t>
      </w:r>
    </w:p>
    <w:p w14:paraId="5C62DEE7" w14:textId="77777777" w:rsidR="00DB6E47" w:rsidRPr="00544ED5" w:rsidRDefault="00DB6E47" w:rsidP="00DB6E47">
      <w:pPr>
        <w:pStyle w:val="Apara"/>
      </w:pPr>
      <w:r w:rsidRPr="00544ED5">
        <w:tab/>
        <w:t>(c)</w:t>
      </w:r>
      <w:r w:rsidRPr="00544ED5">
        <w:tab/>
        <w:t>the authorised officer may refuse the request if the officer considers—</w:t>
      </w:r>
    </w:p>
    <w:p w14:paraId="580E3C54" w14:textId="77777777" w:rsidR="00DB6E47" w:rsidRPr="00516F02" w:rsidRDefault="00DB6E47" w:rsidP="00DB6E47">
      <w:pPr>
        <w:pStyle w:val="Asubpara"/>
      </w:pPr>
      <w:r w:rsidRPr="00516F02">
        <w:tab/>
        <w:t>(i)</w:t>
      </w:r>
      <w:r w:rsidRPr="00516F02">
        <w:tab/>
        <w:t>there may be a safety risk in acceding to the request; or</w:t>
      </w:r>
    </w:p>
    <w:p w14:paraId="352D3862" w14:textId="77777777" w:rsidR="00DB6E47" w:rsidRPr="00516F02" w:rsidRDefault="00DB6E47" w:rsidP="00DB6E47">
      <w:pPr>
        <w:pStyle w:val="Asubpara"/>
      </w:pPr>
      <w:r>
        <w:tab/>
      </w:r>
      <w:r w:rsidRPr="00516F02">
        <w:t>(ii)</w:t>
      </w:r>
      <w:r w:rsidRPr="00516F02">
        <w:tab/>
        <w:t>the request is made for an improper reason; or</w:t>
      </w:r>
    </w:p>
    <w:p w14:paraId="22D8E796" w14:textId="77777777" w:rsidR="00DB6E47" w:rsidRPr="00516F02" w:rsidRDefault="00DB6E47" w:rsidP="00DB6E47">
      <w:pPr>
        <w:pStyle w:val="Asubpara"/>
      </w:pPr>
      <w:r>
        <w:tab/>
      </w:r>
      <w:r w:rsidRPr="00516F02">
        <w:t>(iii)</w:t>
      </w:r>
      <w:r w:rsidRPr="00516F02">
        <w:tab/>
        <w:t>it is otherwise not reasonable to vary the notice.</w:t>
      </w:r>
    </w:p>
    <w:p w14:paraId="7639331D" w14:textId="77777777" w:rsidR="00DB6E47" w:rsidRPr="00CC4412" w:rsidRDefault="00DB6E47" w:rsidP="00DB6E47">
      <w:pPr>
        <w:pStyle w:val="Amain"/>
      </w:pPr>
      <w:r w:rsidRPr="00CC4412">
        <w:tab/>
        <w:t>(4)</w:t>
      </w:r>
      <w:r w:rsidRPr="00CC4412">
        <w:tab/>
        <w:t>An inspection may include any tests an authorised officer decides to be appropriate.</w:t>
      </w:r>
    </w:p>
    <w:p w14:paraId="0B6AE6A2" w14:textId="77777777" w:rsidR="00DB6E47" w:rsidRPr="00CC4412" w:rsidRDefault="00DB6E47" w:rsidP="001906C7">
      <w:pPr>
        <w:pStyle w:val="Amain"/>
        <w:keepNext/>
      </w:pPr>
      <w:r w:rsidRPr="00CC4412">
        <w:tab/>
        <w:t>(5)</w:t>
      </w:r>
      <w:r w:rsidRPr="00CC4412">
        <w:tab/>
        <w:t>A person must not fail to produce a heavy vehicle for inspection—</w:t>
      </w:r>
    </w:p>
    <w:p w14:paraId="1F1E9B83" w14:textId="77777777" w:rsidR="00DB6E47" w:rsidRPr="00544ED5" w:rsidRDefault="00C63ECD" w:rsidP="00DB6E47">
      <w:pPr>
        <w:pStyle w:val="Apara"/>
      </w:pPr>
      <w:r>
        <w:tab/>
        <w:t>(a)</w:t>
      </w:r>
      <w:r>
        <w:tab/>
        <w:t xml:space="preserve">subject to paragraph </w:t>
      </w:r>
      <w:r w:rsidR="00DB6E47" w:rsidRPr="00544ED5">
        <w:t>(b), at the place and time stated in the notice served on the person; or</w:t>
      </w:r>
    </w:p>
    <w:p w14:paraId="7440AF14" w14:textId="77777777" w:rsidR="00DB6E47" w:rsidRPr="00544ED5" w:rsidRDefault="00DB6E47" w:rsidP="00DB6E47">
      <w:pPr>
        <w:pStyle w:val="Apara"/>
      </w:pPr>
      <w:r w:rsidRPr="00544ED5">
        <w:tab/>
        <w:t>(b)</w:t>
      </w:r>
      <w:r w:rsidRPr="00544ED5">
        <w:tab/>
        <w:t>if the notice has been varied under this section, at the place and time stated in the notice as varied.</w:t>
      </w:r>
    </w:p>
    <w:p w14:paraId="70897ED6" w14:textId="77777777" w:rsidR="00DB6E47" w:rsidRPr="006C3305" w:rsidRDefault="00DB6E47" w:rsidP="00DB6E47">
      <w:pPr>
        <w:pStyle w:val="Penalty"/>
      </w:pPr>
      <w:r w:rsidRPr="00D91CC2">
        <w:rPr>
          <w:rFonts w:cs="Times"/>
          <w:bCs/>
          <w:iCs/>
        </w:rPr>
        <w:t>Maximum penalty—$6000.</w:t>
      </w:r>
    </w:p>
    <w:p w14:paraId="65D3B939" w14:textId="77777777" w:rsidR="00A10DED" w:rsidRPr="00A10DED" w:rsidRDefault="00A10DED" w:rsidP="00A10DED">
      <w:pPr>
        <w:pStyle w:val="Amain"/>
        <w:rPr>
          <w:lang w:val="en" w:eastAsia="en-AU"/>
        </w:rPr>
      </w:pPr>
      <w:r>
        <w:rPr>
          <w:lang w:val="en" w:eastAsia="en-AU"/>
        </w:rPr>
        <w:tab/>
      </w:r>
      <w:r w:rsidRPr="00A10DED">
        <w:rPr>
          <w:lang w:val="en" w:eastAsia="en-AU"/>
        </w:rPr>
        <w:t>(6)</w:t>
      </w:r>
      <w:r>
        <w:rPr>
          <w:lang w:val="en" w:eastAsia="en-AU"/>
        </w:rPr>
        <w:tab/>
      </w:r>
      <w:r w:rsidRPr="00A10DED">
        <w:rPr>
          <w:lang w:val="en" w:eastAsia="en-AU"/>
        </w:rPr>
        <w:t>An authorised officer may act under subsection (1A) only if—</w:t>
      </w:r>
    </w:p>
    <w:p w14:paraId="0675A5B0" w14:textId="77777777" w:rsidR="00A10DED" w:rsidRPr="00A10DED" w:rsidRDefault="00A10DED" w:rsidP="00A10DED">
      <w:pPr>
        <w:pStyle w:val="Apara"/>
        <w:rPr>
          <w:lang w:val="en" w:eastAsia="en-AU"/>
        </w:rPr>
      </w:pPr>
      <w:r>
        <w:rPr>
          <w:lang w:val="en" w:eastAsia="en-AU"/>
        </w:rPr>
        <w:tab/>
      </w:r>
      <w:r w:rsidRPr="00A10DED">
        <w:rPr>
          <w:lang w:val="en" w:eastAsia="en-AU"/>
        </w:rPr>
        <w:t>(a)</w:t>
      </w:r>
      <w:r>
        <w:rPr>
          <w:lang w:val="en" w:eastAsia="en-AU"/>
        </w:rPr>
        <w:tab/>
      </w:r>
      <w:r w:rsidRPr="00A10DED">
        <w:rPr>
          <w:lang w:val="en" w:eastAsia="en-AU"/>
        </w:rPr>
        <w:t>for an authorised officer who is a police officer—the officer has the relevant police commissioner’s written authority to act under subsection (1A); or</w:t>
      </w:r>
    </w:p>
    <w:p w14:paraId="6A620C94" w14:textId="77777777" w:rsidR="00A10DED" w:rsidRPr="00A10DED" w:rsidRDefault="00A10DED" w:rsidP="00A10DED">
      <w:pPr>
        <w:pStyle w:val="Apara"/>
        <w:rPr>
          <w:lang w:val="en" w:eastAsia="en-AU"/>
        </w:rPr>
      </w:pPr>
      <w:r>
        <w:rPr>
          <w:lang w:val="en" w:eastAsia="en-AU"/>
        </w:rPr>
        <w:lastRenderedPageBreak/>
        <w:tab/>
      </w:r>
      <w:r w:rsidRPr="00A10DED">
        <w:rPr>
          <w:lang w:val="en" w:eastAsia="en-AU"/>
        </w:rPr>
        <w:t>(b)</w:t>
      </w:r>
      <w:r>
        <w:rPr>
          <w:lang w:val="en" w:eastAsia="en-AU"/>
        </w:rPr>
        <w:tab/>
      </w:r>
      <w:r w:rsidRPr="00A10DED">
        <w:rPr>
          <w:lang w:val="en" w:eastAsia="en-AU"/>
        </w:rPr>
        <w:t>for an authorised officer who is not a police officer—the officer’s instrument of appointment provides that the authorised officer may act under subsection (1A).</w:t>
      </w:r>
    </w:p>
    <w:p w14:paraId="4E897A15" w14:textId="41C80C37" w:rsidR="00DB6E47" w:rsidRPr="005E03F7" w:rsidRDefault="00DB6E47" w:rsidP="00DB6E47">
      <w:pPr>
        <w:pStyle w:val="AH3Div"/>
      </w:pPr>
      <w:bookmarkStart w:id="618" w:name="_Toc83625962"/>
      <w:r w:rsidRPr="005E03F7">
        <w:rPr>
          <w:rStyle w:val="CharDivNo"/>
        </w:rPr>
        <w:t>Division 5</w:t>
      </w:r>
      <w:r w:rsidRPr="00A95F9A">
        <w:rPr>
          <w:rFonts w:ascii="Helvetica" w:hAnsi="Helvetica" w:cs="Helvetica"/>
          <w:iCs/>
          <w:szCs w:val="28"/>
        </w:rPr>
        <w:tab/>
      </w:r>
      <w:r w:rsidRPr="005E03F7">
        <w:rPr>
          <w:rStyle w:val="CharDivText"/>
          <w:rFonts w:ascii="Helvetica" w:hAnsi="Helvetica" w:cs="Helvetica"/>
          <w:iCs/>
          <w:szCs w:val="28"/>
        </w:rPr>
        <w:t>Other powers in relation to all heavy vehicles</w:t>
      </w:r>
      <w:bookmarkEnd w:id="618"/>
    </w:p>
    <w:p w14:paraId="0B1D5C30" w14:textId="77777777" w:rsidR="00DB6E47" w:rsidRPr="007E1F9A" w:rsidRDefault="00DB6E47" w:rsidP="00DB6E47">
      <w:pPr>
        <w:pStyle w:val="AH5Sec"/>
      </w:pPr>
      <w:bookmarkStart w:id="619" w:name="_Toc83625963"/>
      <w:r w:rsidRPr="005E03F7">
        <w:rPr>
          <w:rStyle w:val="CharSectNo"/>
        </w:rPr>
        <w:t>523</w:t>
      </w:r>
      <w:r w:rsidRPr="007E1F9A">
        <w:tab/>
      </w:r>
      <w:r w:rsidRPr="007E1F9A">
        <w:rPr>
          <w:rFonts w:ascii="Helvetica" w:hAnsi="Helvetica" w:cs="Helvetica"/>
          <w:iCs/>
        </w:rPr>
        <w:t>Starting or stopping heavy vehicle engine</w:t>
      </w:r>
      <w:bookmarkEnd w:id="619"/>
    </w:p>
    <w:p w14:paraId="006647C7" w14:textId="77777777" w:rsidR="00DB6E47" w:rsidRPr="00CC4412" w:rsidRDefault="00DB6E47" w:rsidP="00DB6E47">
      <w:pPr>
        <w:pStyle w:val="Amain"/>
      </w:pPr>
      <w:r w:rsidRPr="00CC4412">
        <w:tab/>
        <w:t>(1)</w:t>
      </w:r>
      <w:r w:rsidRPr="00CC4412">
        <w:tab/>
        <w:t xml:space="preserve">To enable an authorised officer to effectively exercise a power under this Law in relation to a heavy vehicle, the officer may enter the vehicle and start or stop its engine (take the </w:t>
      </w:r>
      <w:r w:rsidRPr="00FF4454">
        <w:rPr>
          <w:rStyle w:val="charBoldItals"/>
        </w:rPr>
        <w:t>prescribed action</w:t>
      </w:r>
      <w:r w:rsidRPr="00CC4412">
        <w:t xml:space="preserve">) or authorise someone else (the </w:t>
      </w:r>
      <w:r w:rsidRPr="00FF4454">
        <w:rPr>
          <w:rStyle w:val="charBoldItals"/>
        </w:rPr>
        <w:t>assistant</w:t>
      </w:r>
      <w:r w:rsidRPr="00CC4412">
        <w:t>) to enter the vehicle and take the prescribed action if—</w:t>
      </w:r>
    </w:p>
    <w:p w14:paraId="6EDC4274" w14:textId="77777777" w:rsidR="00DB6E47" w:rsidRPr="00544ED5" w:rsidRDefault="00DB6E47" w:rsidP="00DB6E47">
      <w:pPr>
        <w:pStyle w:val="Apara"/>
      </w:pPr>
      <w:r w:rsidRPr="00544ED5">
        <w:tab/>
        <w:t>(a)</w:t>
      </w:r>
      <w:r w:rsidRPr="00544ED5">
        <w:tab/>
        <w:t>a person fails to comply with a requirement made by an authorised officer under section 577 to take the prescribed action; or</w:t>
      </w:r>
    </w:p>
    <w:p w14:paraId="12EE5FF2" w14:textId="77777777" w:rsidR="00DB6E47" w:rsidRPr="00544ED5" w:rsidRDefault="00DB6E47" w:rsidP="00DB6E47">
      <w:pPr>
        <w:pStyle w:val="Apara"/>
      </w:pPr>
      <w:r w:rsidRPr="00544ED5">
        <w:tab/>
        <w:t>(b)</w:t>
      </w:r>
      <w:r w:rsidRPr="00544ED5">
        <w:tab/>
        <w:t>no responsible person for the heavy vehicle is available or willing to take the prescribed action; or</w:t>
      </w:r>
    </w:p>
    <w:p w14:paraId="5DE375E5" w14:textId="77777777" w:rsidR="00DB6E47" w:rsidRPr="00544ED5" w:rsidRDefault="00DB6E47" w:rsidP="00DB6E47">
      <w:pPr>
        <w:pStyle w:val="Apara"/>
      </w:pPr>
      <w:r w:rsidRPr="00544ED5">
        <w:tab/>
        <w:t>(c)</w:t>
      </w:r>
      <w:r w:rsidRPr="00544ED5">
        <w:tab/>
        <w:t>the authorised officer reasonably believes there is no-one else in or near the vehicle who is more capable of taking the prescribed action and is fit and willing to do so.</w:t>
      </w:r>
    </w:p>
    <w:p w14:paraId="7A2EA7C2" w14:textId="77777777" w:rsidR="00DB6E47" w:rsidRPr="006C3305" w:rsidRDefault="00DB6E47" w:rsidP="00DB6E47">
      <w:pPr>
        <w:pStyle w:val="Amain"/>
      </w:pPr>
      <w:r>
        <w:tab/>
        <w:t>(</w:t>
      </w:r>
      <w:r w:rsidRPr="006C3305">
        <w:t>2)</w:t>
      </w:r>
      <w:r w:rsidRPr="006C3305">
        <w:tab/>
        <w:t>The authorised officer or assistant may use the force that is reasonably necessary to enter the heavy vehicle and take the prescribed action.</w:t>
      </w:r>
    </w:p>
    <w:p w14:paraId="6AE6A7F3" w14:textId="77777777" w:rsidR="00DB6E47" w:rsidRPr="00CC4412" w:rsidRDefault="00C63ECD" w:rsidP="00DB6E47">
      <w:pPr>
        <w:pStyle w:val="Amain"/>
      </w:pPr>
      <w:r>
        <w:tab/>
        <w:t>(3)</w:t>
      </w:r>
      <w:r>
        <w:tab/>
        <w:t xml:space="preserve">Subsection </w:t>
      </w:r>
      <w:r w:rsidR="00DB6E47" w:rsidRPr="00CC4412">
        <w:t>(2)</w:t>
      </w:r>
      <w:r>
        <w:t xml:space="preserve"> </w:t>
      </w:r>
      <w:r w:rsidR="00DB6E47" w:rsidRPr="00CC4412">
        <w:t>does not authorise the authorised officer or assistant to use force against a person.</w:t>
      </w:r>
    </w:p>
    <w:p w14:paraId="2DC5F377" w14:textId="77777777" w:rsidR="00DB6E47" w:rsidRPr="00CC4412" w:rsidRDefault="00DB6E47" w:rsidP="00DB6E47">
      <w:pPr>
        <w:pStyle w:val="Amain"/>
      </w:pPr>
      <w:r w:rsidRPr="00CC4412">
        <w:tab/>
        <w:t>(4)</w:t>
      </w:r>
      <w:r w:rsidRPr="00CC4412">
        <w:tab/>
        <w:t>It is immaterial that—</w:t>
      </w:r>
    </w:p>
    <w:p w14:paraId="1E19DC26" w14:textId="77777777" w:rsidR="00DB6E47" w:rsidRPr="00544ED5" w:rsidRDefault="00DB6E47" w:rsidP="00DB6E47">
      <w:pPr>
        <w:pStyle w:val="Apara"/>
      </w:pPr>
      <w:r w:rsidRPr="00544ED5">
        <w:tab/>
        <w:t>(a)</w:t>
      </w:r>
      <w:r w:rsidRPr="00544ED5">
        <w:tab/>
        <w:t>the assistant is not the operator of the heavy vehicle; or</w:t>
      </w:r>
    </w:p>
    <w:p w14:paraId="611F4EF5" w14:textId="77777777" w:rsidR="00DB6E47" w:rsidRPr="00544ED5" w:rsidRDefault="00DB6E47" w:rsidP="00DB6E47">
      <w:pPr>
        <w:pStyle w:val="Apara"/>
      </w:pPr>
      <w:r w:rsidRPr="00544ED5">
        <w:tab/>
        <w:t>(b)</w:t>
      </w:r>
      <w:r w:rsidRPr="00544ED5">
        <w:tab/>
        <w:t>the authorised officer or assistant is not—</w:t>
      </w:r>
    </w:p>
    <w:p w14:paraId="0924ECD7" w14:textId="77777777" w:rsidR="00DB6E47" w:rsidRPr="00516F02" w:rsidRDefault="00DB6E47" w:rsidP="00DB6E47">
      <w:pPr>
        <w:pStyle w:val="Asubpara"/>
      </w:pPr>
      <w:r w:rsidRPr="00516F02">
        <w:tab/>
        <w:t>(i)</w:t>
      </w:r>
      <w:r w:rsidRPr="00516F02">
        <w:tab/>
        <w:t>authorised by the operator to take the prescribed action; or</w:t>
      </w:r>
    </w:p>
    <w:p w14:paraId="689EB3CB" w14:textId="77777777" w:rsidR="00DB6E47" w:rsidRPr="00516F02" w:rsidRDefault="00DB6E47" w:rsidP="00DB6E47">
      <w:pPr>
        <w:pStyle w:val="Asubpara"/>
      </w:pPr>
      <w:r w:rsidRPr="00516F02">
        <w:tab/>
        <w:t>(ii)</w:t>
      </w:r>
      <w:r w:rsidRPr="00516F02">
        <w:tab/>
        <w:t>qualified to take the prescribed action.</w:t>
      </w:r>
    </w:p>
    <w:p w14:paraId="2B645BB9" w14:textId="77777777" w:rsidR="00DB6E47" w:rsidRPr="00CC4412" w:rsidRDefault="00DB6E47" w:rsidP="00DB6E47">
      <w:pPr>
        <w:pStyle w:val="Amain"/>
      </w:pPr>
      <w:r w:rsidRPr="00CC4412">
        <w:lastRenderedPageBreak/>
        <w:tab/>
        <w:t>(5)</w:t>
      </w:r>
      <w:r w:rsidRPr="00CC4412">
        <w:tab/>
        <w:t>This section does not authorise the authorised officer or assistant to drive the heavy vehicle.</w:t>
      </w:r>
    </w:p>
    <w:p w14:paraId="441F8E0A" w14:textId="77777777" w:rsidR="00DB6E47" w:rsidRPr="00CC4412" w:rsidRDefault="00DB6E47" w:rsidP="00DB6E47">
      <w:pPr>
        <w:pStyle w:val="Amain"/>
      </w:pPr>
      <w:r w:rsidRPr="00CC4412">
        <w:tab/>
        <w:t>(6)</w:t>
      </w:r>
      <w:r w:rsidRPr="00CC4412">
        <w:tab/>
        <w:t>In taking the prescribed action, the authorised officer or assistant is exempt from a provision of an Australian road law to the extent the provision would require the authorised officer or assistant to be qualified to take the prescribed action.</w:t>
      </w:r>
    </w:p>
    <w:p w14:paraId="0998FA91" w14:textId="77777777" w:rsidR="00DB6E47" w:rsidRPr="00CC4412" w:rsidRDefault="00DB6E47" w:rsidP="00DB6E47">
      <w:pPr>
        <w:pStyle w:val="Amain"/>
      </w:pPr>
      <w:r w:rsidRPr="00CC4412">
        <w:tab/>
        <w:t>(7)</w:t>
      </w:r>
      <w:r w:rsidRPr="00CC4412">
        <w:tab/>
        <w:t>In this section—</w:t>
      </w:r>
    </w:p>
    <w:p w14:paraId="4CD1337D" w14:textId="77777777" w:rsidR="00DB6E47" w:rsidRPr="00041046" w:rsidRDefault="00DB6E47" w:rsidP="00DB6E47">
      <w:pPr>
        <w:pStyle w:val="aDef"/>
        <w:rPr>
          <w:bCs/>
        </w:rPr>
      </w:pPr>
      <w:r w:rsidRPr="00041046">
        <w:rPr>
          <w:rStyle w:val="charBoldItals"/>
        </w:rPr>
        <w:t>start</w:t>
      </w:r>
      <w:r w:rsidRPr="00041046">
        <w:t>, in relation to a heavy vehicle’s engine, includes run the engine.</w:t>
      </w:r>
    </w:p>
    <w:p w14:paraId="10B11FB3" w14:textId="77777777" w:rsidR="00DB6E47" w:rsidRPr="007E1F9A" w:rsidRDefault="00DB6E47" w:rsidP="00DB6E47">
      <w:pPr>
        <w:pStyle w:val="AH5Sec"/>
      </w:pPr>
      <w:bookmarkStart w:id="620" w:name="_Toc83625964"/>
      <w:r w:rsidRPr="005E03F7">
        <w:rPr>
          <w:rStyle w:val="CharSectNo"/>
        </w:rPr>
        <w:t>524</w:t>
      </w:r>
      <w:r w:rsidRPr="007E1F9A">
        <w:tab/>
      </w:r>
      <w:r w:rsidRPr="007E1F9A">
        <w:rPr>
          <w:rFonts w:ascii="Helvetica" w:hAnsi="Helvetica" w:cs="Helvetica"/>
          <w:iCs/>
        </w:rPr>
        <w:t>Direction to leave heavy vehicle</w:t>
      </w:r>
      <w:bookmarkEnd w:id="620"/>
    </w:p>
    <w:p w14:paraId="7619CEF8" w14:textId="77777777" w:rsidR="00DB6E47" w:rsidRPr="00CC4412" w:rsidRDefault="00DB6E47" w:rsidP="00DB6E47">
      <w:pPr>
        <w:pStyle w:val="Amain"/>
      </w:pPr>
      <w:r w:rsidRPr="00CC4412">
        <w:tab/>
        <w:t>(1)</w:t>
      </w:r>
      <w:r w:rsidRPr="00CC4412">
        <w:tab/>
        <w:t>This section applies if—</w:t>
      </w:r>
    </w:p>
    <w:p w14:paraId="57260218" w14:textId="77777777" w:rsidR="00DB6E47" w:rsidRPr="00544ED5" w:rsidRDefault="00DB6E47" w:rsidP="00DB6E47">
      <w:pPr>
        <w:pStyle w:val="Apara"/>
      </w:pPr>
      <w:r w:rsidRPr="00544ED5">
        <w:tab/>
        <w:t>(a)</w:t>
      </w:r>
      <w:r w:rsidRPr="00544ED5">
        <w:tab/>
        <w:t>the driver of a heavy vehicle fails to comply with a direction given by an authorised officer under this Chapter; or</w:t>
      </w:r>
    </w:p>
    <w:p w14:paraId="682B3240" w14:textId="77777777" w:rsidR="00DB6E47" w:rsidRPr="00544ED5" w:rsidRDefault="00DB6E47" w:rsidP="00DB6E47">
      <w:pPr>
        <w:pStyle w:val="Apara"/>
      </w:pPr>
      <w:r w:rsidRPr="00544ED5">
        <w:tab/>
        <w:t>(b)</w:t>
      </w:r>
      <w:r w:rsidRPr="00544ED5">
        <w:tab/>
        <w:t>an authorised officer reasonably believes the driver of a heavy vehicle is not qualified, fit or authorised by the operator to drive the vehicle in order to comply with a direction the authorised officer may give under this Chapter; or</w:t>
      </w:r>
    </w:p>
    <w:p w14:paraId="5C33B1CA" w14:textId="77777777" w:rsidR="00DB6E47" w:rsidRPr="00544ED5" w:rsidRDefault="00DB6E47" w:rsidP="001906C7">
      <w:pPr>
        <w:pStyle w:val="Apara"/>
        <w:keepLines/>
      </w:pPr>
      <w:r w:rsidRPr="00544ED5">
        <w:tab/>
        <w:t>(c)</w:t>
      </w:r>
      <w:r w:rsidRPr="00544ED5">
        <w:tab/>
        <w:t>an authorised officer reasonably believes it would be unsafe to inspect or search a heavy vehicle or any part of it or any part of its equipment or load while the driver occupies the driver’s seat or is in the vehicle or another person accompanying the driver is in the vehicle.</w:t>
      </w:r>
    </w:p>
    <w:p w14:paraId="46388BD7" w14:textId="77777777" w:rsidR="00DB6E47" w:rsidRPr="00CC4412" w:rsidRDefault="00DB6E47" w:rsidP="00DB6E47">
      <w:pPr>
        <w:pStyle w:val="Amain"/>
      </w:pPr>
      <w:r w:rsidRPr="00CC4412">
        <w:tab/>
        <w:t>(2)</w:t>
      </w:r>
      <w:r w:rsidRPr="00CC4412">
        <w:tab/>
        <w:t>The authorised officer may direct the driver to do 1 or more of the following—</w:t>
      </w:r>
    </w:p>
    <w:p w14:paraId="0259A1CF" w14:textId="77777777" w:rsidR="00DB6E47" w:rsidRPr="00544ED5" w:rsidRDefault="00DB6E47" w:rsidP="00DB6E47">
      <w:pPr>
        <w:pStyle w:val="Apara"/>
      </w:pPr>
      <w:r w:rsidRPr="00544ED5">
        <w:tab/>
        <w:t>(a)</w:t>
      </w:r>
      <w:r w:rsidRPr="00544ED5">
        <w:tab/>
        <w:t>to vacate the driver’s seat;</w:t>
      </w:r>
    </w:p>
    <w:p w14:paraId="43A1287D" w14:textId="77777777" w:rsidR="00DB6E47" w:rsidRPr="00544ED5" w:rsidRDefault="00DB6E47" w:rsidP="00DB6E47">
      <w:pPr>
        <w:pStyle w:val="Apara"/>
      </w:pPr>
      <w:r w:rsidRPr="00544ED5">
        <w:tab/>
        <w:t>(b)</w:t>
      </w:r>
      <w:r w:rsidRPr="00544ED5">
        <w:tab/>
        <w:t>to leave the heavy vehicle;</w:t>
      </w:r>
    </w:p>
    <w:p w14:paraId="189B1649" w14:textId="77777777" w:rsidR="00DB6E47" w:rsidRPr="00544ED5" w:rsidRDefault="00DB6E47" w:rsidP="00DB6E47">
      <w:pPr>
        <w:pStyle w:val="Apara"/>
      </w:pPr>
      <w:r w:rsidRPr="00544ED5">
        <w:tab/>
        <w:t>(c)</w:t>
      </w:r>
      <w:r w:rsidRPr="00544ED5">
        <w:tab/>
        <w:t>not to occupy the driver’s seat until permitted by an authorised officer;</w:t>
      </w:r>
    </w:p>
    <w:p w14:paraId="10B2B4F5" w14:textId="77777777" w:rsidR="00DB6E47" w:rsidRPr="00544ED5" w:rsidRDefault="00DB6E47" w:rsidP="00DB6E47">
      <w:pPr>
        <w:pStyle w:val="Apara"/>
      </w:pPr>
      <w:r w:rsidRPr="00544ED5">
        <w:lastRenderedPageBreak/>
        <w:tab/>
        <w:t>(d)</w:t>
      </w:r>
      <w:r w:rsidRPr="00544ED5">
        <w:tab/>
        <w:t>not to enter the heavy vehicle until permitted by an authorised officer.</w:t>
      </w:r>
    </w:p>
    <w:p w14:paraId="32D4C497" w14:textId="77777777" w:rsidR="00DB6E47" w:rsidRPr="00CC4412" w:rsidRDefault="00DB6E47" w:rsidP="00DB6E47">
      <w:pPr>
        <w:pStyle w:val="Amain"/>
      </w:pPr>
      <w:r w:rsidRPr="00CC4412">
        <w:tab/>
        <w:t>(3)</w:t>
      </w:r>
      <w:r w:rsidRPr="00CC4412">
        <w:tab/>
        <w:t>The authorised officer may direct any other person accompanying the driver of the heavy vehicle to do either or both of the following—</w:t>
      </w:r>
    </w:p>
    <w:p w14:paraId="2786A76E" w14:textId="77777777" w:rsidR="00DB6E47" w:rsidRPr="00544ED5" w:rsidRDefault="00DB6E47" w:rsidP="00DB6E47">
      <w:pPr>
        <w:pStyle w:val="Apara"/>
      </w:pPr>
      <w:r w:rsidRPr="00544ED5">
        <w:tab/>
        <w:t>(a)</w:t>
      </w:r>
      <w:r w:rsidRPr="00544ED5">
        <w:tab/>
        <w:t>to leave the vehicle;</w:t>
      </w:r>
    </w:p>
    <w:p w14:paraId="73D1E0E1" w14:textId="77777777" w:rsidR="00DB6E47" w:rsidRPr="00544ED5" w:rsidRDefault="00DB6E47" w:rsidP="00DB6E47">
      <w:pPr>
        <w:pStyle w:val="Apara"/>
      </w:pPr>
      <w:r w:rsidRPr="00544ED5">
        <w:tab/>
        <w:t>(b)</w:t>
      </w:r>
      <w:r w:rsidRPr="00544ED5">
        <w:tab/>
        <w:t>not to enter the vehicle until permitted by an authorised officer.</w:t>
      </w:r>
    </w:p>
    <w:p w14:paraId="55AD013C" w14:textId="77777777" w:rsidR="00DB6E47" w:rsidRPr="00CC4412" w:rsidRDefault="00DB6E47" w:rsidP="00DB6E47">
      <w:pPr>
        <w:pStyle w:val="Amain"/>
      </w:pPr>
      <w:r w:rsidRPr="00CC4412">
        <w:tab/>
        <w:t>(</w:t>
      </w:r>
      <w:r w:rsidR="00C63ECD">
        <w:t>4)</w:t>
      </w:r>
      <w:r w:rsidR="00C63ECD">
        <w:tab/>
        <w:t xml:space="preserve">A direction under subsection </w:t>
      </w:r>
      <w:r w:rsidRPr="00CC4412">
        <w:t>(2)</w:t>
      </w:r>
      <w:r w:rsidR="00C63ECD">
        <w:t xml:space="preserve"> or </w:t>
      </w:r>
      <w:r w:rsidRPr="00CC4412">
        <w:t>(3)</w:t>
      </w:r>
      <w:r w:rsidR="004E3F26">
        <w:t xml:space="preserve"> </w:t>
      </w:r>
      <w:r w:rsidRPr="00CC4412">
        <w:t>may be made orally or in any other way, including, for example, by way of a sign or electronic or other signal.</w:t>
      </w:r>
    </w:p>
    <w:p w14:paraId="69155168" w14:textId="77777777" w:rsidR="00DB6E47" w:rsidRPr="00CC4412" w:rsidRDefault="00DB6E47" w:rsidP="00DB6E47">
      <w:pPr>
        <w:pStyle w:val="Amain"/>
      </w:pPr>
      <w:r w:rsidRPr="00CC4412">
        <w:tab/>
        <w:t>(5)</w:t>
      </w:r>
      <w:r w:rsidRPr="00CC4412">
        <w:tab/>
        <w:t>A person giv</w:t>
      </w:r>
      <w:r w:rsidR="00C63ECD">
        <w:t xml:space="preserve">en a direction under subsection </w:t>
      </w:r>
      <w:r w:rsidRPr="00CC4412">
        <w:t>(2)</w:t>
      </w:r>
      <w:r w:rsidR="00C63ECD">
        <w:t xml:space="preserve"> or </w:t>
      </w:r>
      <w:r w:rsidRPr="00CC4412">
        <w:t>(3)</w:t>
      </w:r>
      <w:r w:rsidR="00C63ECD">
        <w:t xml:space="preserve"> </w:t>
      </w:r>
      <w:r w:rsidRPr="00CC4412">
        <w:t>must comply with the direction, unless the person has a reasonable excuse.</w:t>
      </w:r>
    </w:p>
    <w:p w14:paraId="71E0F139" w14:textId="77777777" w:rsidR="00DB6E47" w:rsidRPr="006C3305" w:rsidRDefault="00DB6E47" w:rsidP="00DB6E47">
      <w:pPr>
        <w:pStyle w:val="Penalty"/>
      </w:pPr>
      <w:r w:rsidRPr="00D91CC2">
        <w:rPr>
          <w:rFonts w:cs="Times"/>
          <w:bCs/>
          <w:iCs/>
        </w:rPr>
        <w:t>Maximum penalty—$6000.</w:t>
      </w:r>
    </w:p>
    <w:p w14:paraId="5D930DDE" w14:textId="3D0328B5" w:rsidR="00DB6E47" w:rsidRPr="005E03F7" w:rsidRDefault="00DB6E47" w:rsidP="00DB6E47">
      <w:pPr>
        <w:pStyle w:val="AH3Div"/>
      </w:pPr>
      <w:bookmarkStart w:id="621" w:name="_Toc83625965"/>
      <w:r w:rsidRPr="005E03F7">
        <w:rPr>
          <w:rStyle w:val="CharDivNo"/>
        </w:rPr>
        <w:t>Division 6</w:t>
      </w:r>
      <w:r w:rsidRPr="00A95F9A">
        <w:rPr>
          <w:rFonts w:ascii="Helvetica" w:hAnsi="Helvetica" w:cs="Helvetica"/>
          <w:iCs/>
          <w:szCs w:val="28"/>
        </w:rPr>
        <w:tab/>
      </w:r>
      <w:r w:rsidRPr="005E03F7">
        <w:rPr>
          <w:rStyle w:val="CharDivText"/>
          <w:rFonts w:ascii="Helvetica" w:hAnsi="Helvetica" w:cs="Helvetica"/>
          <w:iCs/>
          <w:szCs w:val="28"/>
        </w:rPr>
        <w:t>Further powers in relation to heavy vehicles concerning heavy vehicle standards</w:t>
      </w:r>
      <w:bookmarkEnd w:id="621"/>
    </w:p>
    <w:p w14:paraId="6D87E8B8" w14:textId="77777777" w:rsidR="00DB6E47" w:rsidRPr="007E1F9A" w:rsidRDefault="00DB6E47" w:rsidP="00DB6E47">
      <w:pPr>
        <w:pStyle w:val="AH5Sec"/>
      </w:pPr>
      <w:bookmarkStart w:id="622" w:name="_Toc83625966"/>
      <w:r w:rsidRPr="005E03F7">
        <w:rPr>
          <w:rStyle w:val="CharSectNo"/>
        </w:rPr>
        <w:t>525</w:t>
      </w:r>
      <w:r w:rsidRPr="007E1F9A">
        <w:tab/>
      </w:r>
      <w:r w:rsidRPr="007E1F9A">
        <w:rPr>
          <w:rFonts w:ascii="Helvetica" w:hAnsi="Helvetica" w:cs="Helvetica"/>
          <w:iCs/>
        </w:rPr>
        <w:t>Definitions for Div 6</w:t>
      </w:r>
      <w:bookmarkEnd w:id="622"/>
    </w:p>
    <w:p w14:paraId="11F7CA57" w14:textId="77777777" w:rsidR="00DB6E47" w:rsidRPr="00CC4412" w:rsidRDefault="00DB6E47" w:rsidP="00DB6E47">
      <w:pPr>
        <w:pStyle w:val="Amainreturn"/>
      </w:pPr>
      <w:r w:rsidRPr="00CC4412">
        <w:t>In this Division—</w:t>
      </w:r>
    </w:p>
    <w:p w14:paraId="6A1A29DE" w14:textId="77777777" w:rsidR="00DB6E47" w:rsidRPr="00041046" w:rsidRDefault="00DB6E47" w:rsidP="00DB6E47">
      <w:pPr>
        <w:pStyle w:val="aDef"/>
        <w:rPr>
          <w:bCs/>
        </w:rPr>
      </w:pPr>
      <w:r w:rsidRPr="00041046">
        <w:rPr>
          <w:rStyle w:val="charBoldItals"/>
        </w:rPr>
        <w:t xml:space="preserve">defective heavy vehicle </w:t>
      </w:r>
      <w:r w:rsidRPr="00041046">
        <w:t>means a heavy vehicle that—</w:t>
      </w:r>
    </w:p>
    <w:p w14:paraId="08C527AE" w14:textId="77777777" w:rsidR="00DB6E47" w:rsidRPr="00C63ECD" w:rsidRDefault="00DB6E47" w:rsidP="00DB6E47">
      <w:pPr>
        <w:pStyle w:val="aDefpara"/>
      </w:pPr>
      <w:r w:rsidRPr="00FF4454">
        <w:tab/>
      </w:r>
      <w:r w:rsidRPr="00F04D8E">
        <w:rPr>
          <w:rFonts w:cs="Times"/>
          <w:bCs/>
          <w:iCs/>
        </w:rPr>
        <w:t>(a)</w:t>
      </w:r>
      <w:r w:rsidRPr="00FF4454">
        <w:rPr>
          <w:rStyle w:val="charBoldItals"/>
        </w:rPr>
        <w:tab/>
      </w:r>
      <w:r w:rsidRPr="00C63ECD">
        <w:t>contravenes the heavy vehicle standards; or</w:t>
      </w:r>
    </w:p>
    <w:p w14:paraId="0E90059F" w14:textId="77777777" w:rsidR="00DB6E47" w:rsidRPr="00C63ECD" w:rsidRDefault="00DB6E47" w:rsidP="00DB6E47">
      <w:pPr>
        <w:pStyle w:val="aDefpara"/>
      </w:pPr>
      <w:r w:rsidRPr="00C63ECD">
        <w:tab/>
        <w:t>(b)</w:t>
      </w:r>
      <w:r w:rsidRPr="00C63ECD">
        <w:tab/>
        <w:t>has a part that—</w:t>
      </w:r>
    </w:p>
    <w:p w14:paraId="46345C35" w14:textId="77777777" w:rsidR="00DB6E47" w:rsidRPr="006C3305" w:rsidRDefault="00DB6E47" w:rsidP="00DB6E47">
      <w:pPr>
        <w:pStyle w:val="aDefsubpara"/>
      </w:pPr>
      <w:r>
        <w:tab/>
      </w:r>
      <w:r w:rsidRPr="00F04D8E">
        <w:t>(i)</w:t>
      </w:r>
      <w:r w:rsidRPr="006C3305">
        <w:tab/>
        <w:t>does not perform its intended function; or</w:t>
      </w:r>
    </w:p>
    <w:p w14:paraId="61C246FA" w14:textId="77777777" w:rsidR="00DB6E47" w:rsidRPr="00C63ECD" w:rsidRDefault="00DB6E47" w:rsidP="00C63ECD">
      <w:pPr>
        <w:pStyle w:val="Asubpara"/>
      </w:pPr>
      <w:r w:rsidRPr="00C63ECD">
        <w:tab/>
        <w:t>(ii)</w:t>
      </w:r>
      <w:r w:rsidRPr="00C63ECD">
        <w:tab/>
        <w:t>has deteriorated to an extent that it can not be reasonably relied on to perform its intended function.</w:t>
      </w:r>
    </w:p>
    <w:p w14:paraId="7529C9F8" w14:textId="77777777" w:rsidR="00DB6E47" w:rsidRPr="00041046" w:rsidRDefault="00DB6E47" w:rsidP="006505F1">
      <w:pPr>
        <w:pStyle w:val="aDef"/>
        <w:keepNext/>
        <w:rPr>
          <w:bCs/>
        </w:rPr>
      </w:pPr>
      <w:r w:rsidRPr="00041046">
        <w:rPr>
          <w:rStyle w:val="charBoldItals"/>
        </w:rPr>
        <w:lastRenderedPageBreak/>
        <w:t>defective vehicle label</w:t>
      </w:r>
      <w:r w:rsidRPr="00041046">
        <w:t xml:space="preserve"> means a label—</w:t>
      </w:r>
    </w:p>
    <w:p w14:paraId="5F363789" w14:textId="77777777" w:rsidR="00DB6E47" w:rsidRPr="00C63ECD" w:rsidRDefault="00DB6E47" w:rsidP="006505F1">
      <w:pPr>
        <w:pStyle w:val="aDefpara"/>
        <w:keepNext/>
      </w:pPr>
      <w:r w:rsidRPr="00FF4454">
        <w:tab/>
      </w:r>
      <w:r w:rsidRPr="00F04D8E">
        <w:rPr>
          <w:rFonts w:cs="Times"/>
          <w:bCs/>
          <w:iCs/>
        </w:rPr>
        <w:t>(a)</w:t>
      </w:r>
      <w:r w:rsidRPr="00C63ECD">
        <w:tab/>
        <w:t xml:space="preserve">for attaching to a heavy vehicle to which a </w:t>
      </w:r>
      <w:r w:rsidR="000048F5" w:rsidRPr="00A942A2">
        <w:t>major defect notice or minor defect notice</w:t>
      </w:r>
      <w:r w:rsidRPr="00A942A2">
        <w:t xml:space="preserve"> applies</w:t>
      </w:r>
      <w:r w:rsidRPr="00C63ECD">
        <w:t>; and</w:t>
      </w:r>
    </w:p>
    <w:p w14:paraId="3DFD7A21" w14:textId="77777777" w:rsidR="00DB6E47" w:rsidRPr="00C63ECD" w:rsidRDefault="00DB6E47" w:rsidP="00DB6E47">
      <w:pPr>
        <w:pStyle w:val="aDefpara"/>
      </w:pPr>
      <w:r w:rsidRPr="00C63ECD">
        <w:tab/>
        <w:t>(b)</w:t>
      </w:r>
      <w:r w:rsidRPr="00C63ECD">
        <w:tab/>
        <w:t>stating—</w:t>
      </w:r>
    </w:p>
    <w:p w14:paraId="40432B64" w14:textId="77777777" w:rsidR="00DB6E47" w:rsidRPr="002A3BA9" w:rsidRDefault="00DB6E47" w:rsidP="00DB6E47">
      <w:pPr>
        <w:pStyle w:val="aDefsubpara"/>
      </w:pPr>
      <w:r>
        <w:tab/>
      </w:r>
      <w:r w:rsidRPr="00F04D8E">
        <w:t>(i)</w:t>
      </w:r>
      <w:r w:rsidRPr="006C3305">
        <w:tab/>
      </w:r>
      <w:r w:rsidR="002A3BA9" w:rsidRPr="002A3BA9">
        <w:t>the vehicle’s registration number or, if the vehicle is not registered, a vehicle identifier of the vehicle; and</w:t>
      </w:r>
    </w:p>
    <w:p w14:paraId="6BE46847" w14:textId="77777777" w:rsidR="00DB6E47" w:rsidRPr="00C63ECD" w:rsidRDefault="00DB6E47" w:rsidP="00C63ECD">
      <w:pPr>
        <w:pStyle w:val="Asubpara"/>
      </w:pPr>
      <w:r w:rsidRPr="00C63ECD">
        <w:tab/>
        <w:t>(ii)</w:t>
      </w:r>
      <w:r w:rsidRPr="00C63ECD">
        <w:tab/>
        <w:t>that the vehicle must not be used on a road except as specified in the notice; and</w:t>
      </w:r>
    </w:p>
    <w:p w14:paraId="34815A8A" w14:textId="77777777" w:rsidR="00DB6E47" w:rsidRPr="00C63ECD" w:rsidRDefault="00DB6E47" w:rsidP="00C63ECD">
      <w:pPr>
        <w:pStyle w:val="Asubpara"/>
      </w:pPr>
      <w:r w:rsidRPr="00C63ECD">
        <w:tab/>
        <w:t>(iii)</w:t>
      </w:r>
      <w:r w:rsidRPr="00C63ECD">
        <w:tab/>
        <w:t>the identification details for the authorised officer who issued the notice; and</w:t>
      </w:r>
    </w:p>
    <w:p w14:paraId="617B2597" w14:textId="77777777" w:rsidR="00DB6E47" w:rsidRPr="00C63ECD" w:rsidRDefault="00DB6E47" w:rsidP="00C63ECD">
      <w:pPr>
        <w:pStyle w:val="Asubpara"/>
      </w:pPr>
      <w:r w:rsidRPr="00C63ECD">
        <w:tab/>
        <w:t>(iv)</w:t>
      </w:r>
      <w:r w:rsidRPr="00C63ECD">
        <w:tab/>
        <w:t>the day and time the notice was issued; and</w:t>
      </w:r>
    </w:p>
    <w:p w14:paraId="4C5DFA4E" w14:textId="77777777" w:rsidR="00DB6E47" w:rsidRPr="00C63ECD" w:rsidRDefault="00DB6E47" w:rsidP="00C63ECD">
      <w:pPr>
        <w:pStyle w:val="Asubpara"/>
      </w:pPr>
      <w:r w:rsidRPr="00C63ECD">
        <w:tab/>
        <w:t>(v)</w:t>
      </w:r>
      <w:r w:rsidRPr="00C63ECD">
        <w:tab/>
        <w:t>the number of the notice.</w:t>
      </w:r>
    </w:p>
    <w:p w14:paraId="4C58641E" w14:textId="77777777" w:rsidR="00DB6E47" w:rsidRPr="00041046" w:rsidRDefault="00DB6E47" w:rsidP="003C6640">
      <w:pPr>
        <w:pStyle w:val="aDef"/>
        <w:keepNext/>
        <w:rPr>
          <w:bCs/>
        </w:rPr>
      </w:pPr>
      <w:r w:rsidRPr="00041046">
        <w:rPr>
          <w:rStyle w:val="charBoldItals"/>
        </w:rPr>
        <w:t>identification details</w:t>
      </w:r>
      <w:r w:rsidRPr="00041046">
        <w:t>, for an authorised officer, means details to identify the authorised officer, including, for example—</w:t>
      </w:r>
    </w:p>
    <w:p w14:paraId="7605AE4F" w14:textId="77777777" w:rsidR="00DB6E47" w:rsidRPr="00C63ECD" w:rsidRDefault="00DB6E47" w:rsidP="003C6640">
      <w:pPr>
        <w:pStyle w:val="aDefpara"/>
        <w:keepNext/>
      </w:pPr>
      <w:r w:rsidRPr="00FF4454">
        <w:tab/>
      </w:r>
      <w:r w:rsidRPr="00F04D8E">
        <w:rPr>
          <w:rFonts w:cs="Times"/>
          <w:bCs/>
          <w:iCs/>
        </w:rPr>
        <w:t>(a)</w:t>
      </w:r>
      <w:r w:rsidRPr="00C63ECD">
        <w:tab/>
        <w:t>the officer’s name; or</w:t>
      </w:r>
    </w:p>
    <w:p w14:paraId="52FCFD9E" w14:textId="77777777" w:rsidR="00DB6E47" w:rsidRDefault="00DB6E47" w:rsidP="00DB6E47">
      <w:pPr>
        <w:pStyle w:val="aDefpara"/>
      </w:pPr>
      <w:r w:rsidRPr="00C63ECD">
        <w:tab/>
        <w:t>(b)</w:t>
      </w:r>
      <w:r w:rsidRPr="00C63ECD">
        <w:tab/>
        <w:t>an identification number allocated to the officer under this Law or another law.</w:t>
      </w:r>
    </w:p>
    <w:p w14:paraId="4E9A660C" w14:textId="77777777" w:rsidR="002A3BA9" w:rsidRDefault="002A3BA9" w:rsidP="002A3BA9">
      <w:pPr>
        <w:pStyle w:val="aDef"/>
      </w:pPr>
      <w:r w:rsidRPr="002A3BA9">
        <w:rPr>
          <w:rStyle w:val="charBoldItals"/>
        </w:rPr>
        <w:t>vehicle identifier</w:t>
      </w:r>
      <w:r w:rsidRPr="002A3BA9">
        <w:t xml:space="preserve"> means—</w:t>
      </w:r>
    </w:p>
    <w:p w14:paraId="1449B76C" w14:textId="77777777" w:rsidR="002A3BA9" w:rsidRPr="002A3BA9" w:rsidRDefault="002A3BA9" w:rsidP="002A3BA9">
      <w:pPr>
        <w:pStyle w:val="aDefpara"/>
      </w:pPr>
      <w:r w:rsidRPr="002A3BA9">
        <w:tab/>
        <w:t>(a)</w:t>
      </w:r>
      <w:r w:rsidRPr="002A3BA9">
        <w:tab/>
        <w:t>a VIN; or</w:t>
      </w:r>
    </w:p>
    <w:p w14:paraId="6B0E74A3" w14:textId="77777777" w:rsidR="002A3BA9" w:rsidRPr="002A3BA9" w:rsidRDefault="002A3BA9" w:rsidP="002A3BA9">
      <w:pPr>
        <w:pStyle w:val="aDefpara"/>
        <w:spacing w:before="240"/>
      </w:pPr>
      <w:r w:rsidRPr="002A3BA9">
        <w:tab/>
        <w:t>(b)</w:t>
      </w:r>
      <w:r w:rsidRPr="002A3BA9">
        <w:tab/>
        <w:t>engine number; or</w:t>
      </w:r>
    </w:p>
    <w:p w14:paraId="249D7938" w14:textId="77777777" w:rsidR="002A3BA9" w:rsidRPr="002A3BA9" w:rsidRDefault="002A3BA9" w:rsidP="002A3BA9">
      <w:pPr>
        <w:pStyle w:val="aDefpara"/>
        <w:spacing w:before="240"/>
      </w:pPr>
      <w:r w:rsidRPr="002A3BA9">
        <w:tab/>
        <w:t>(c)</w:t>
      </w:r>
      <w:r w:rsidRPr="002A3BA9">
        <w:tab/>
        <w:t>chassis number; or</w:t>
      </w:r>
    </w:p>
    <w:p w14:paraId="48401151" w14:textId="77777777" w:rsidR="002A3BA9" w:rsidRDefault="002A3BA9" w:rsidP="002A3BA9">
      <w:pPr>
        <w:pStyle w:val="aDefpara"/>
        <w:spacing w:before="240"/>
      </w:pPr>
      <w:r w:rsidRPr="002A3BA9">
        <w:tab/>
        <w:t>(d)</w:t>
      </w:r>
      <w:r w:rsidRPr="002A3BA9">
        <w:tab/>
        <w:t>another identifying number issued by a registration authority.</w:t>
      </w:r>
    </w:p>
    <w:p w14:paraId="5CE51E33" w14:textId="77777777" w:rsidR="002A3BA9" w:rsidRPr="002A3BA9" w:rsidRDefault="002A3BA9" w:rsidP="002A3BA9">
      <w:pPr>
        <w:pStyle w:val="aExamHdgpar"/>
      </w:pPr>
      <w:r w:rsidRPr="002A3BA9">
        <w:t>Example—</w:t>
      </w:r>
    </w:p>
    <w:p w14:paraId="5CC47932" w14:textId="77777777" w:rsidR="002A3BA9" w:rsidRPr="0046637F" w:rsidRDefault="0046637F" w:rsidP="0046637F">
      <w:pPr>
        <w:pStyle w:val="aExampar"/>
      </w:pPr>
      <w:r w:rsidRPr="0046637F">
        <w:t>an unregistered vehicle permit number</w:t>
      </w:r>
    </w:p>
    <w:p w14:paraId="786A57DD" w14:textId="77777777" w:rsidR="00DB6E47" w:rsidRPr="007E1F9A" w:rsidRDefault="00DB6E47" w:rsidP="00DB6E47">
      <w:pPr>
        <w:pStyle w:val="AH5Sec"/>
      </w:pPr>
      <w:bookmarkStart w:id="623" w:name="_Toc83625967"/>
      <w:r w:rsidRPr="005E03F7">
        <w:rPr>
          <w:rStyle w:val="CharSectNo"/>
        </w:rPr>
        <w:lastRenderedPageBreak/>
        <w:t>526</w:t>
      </w:r>
      <w:r w:rsidRPr="007E1F9A">
        <w:tab/>
      </w:r>
      <w:r w:rsidRPr="007E1F9A">
        <w:rPr>
          <w:rFonts w:ascii="Helvetica" w:hAnsi="Helvetica" w:cs="Helvetica"/>
          <w:iCs/>
        </w:rPr>
        <w:t>Issue of vehicle defect notice</w:t>
      </w:r>
      <w:bookmarkEnd w:id="623"/>
    </w:p>
    <w:p w14:paraId="22B9BE49" w14:textId="77777777" w:rsidR="000048F5" w:rsidRPr="000048F5" w:rsidRDefault="000048F5" w:rsidP="000048F5">
      <w:pPr>
        <w:pStyle w:val="Amain"/>
        <w:rPr>
          <w:lang w:val="en" w:eastAsia="en-AU"/>
        </w:rPr>
      </w:pPr>
      <w:r>
        <w:rPr>
          <w:lang w:val="en" w:eastAsia="en-AU"/>
        </w:rPr>
        <w:tab/>
      </w:r>
      <w:r w:rsidRPr="000048F5">
        <w:rPr>
          <w:lang w:val="en" w:eastAsia="en-AU"/>
        </w:rPr>
        <w:t>(1)</w:t>
      </w:r>
      <w:r>
        <w:rPr>
          <w:lang w:val="en" w:eastAsia="en-AU"/>
        </w:rPr>
        <w:tab/>
      </w:r>
      <w:r w:rsidRPr="000048F5">
        <w:rPr>
          <w:lang w:val="en" w:eastAsia="en-AU"/>
        </w:rPr>
        <w:t>This section applies if an authorised officer who has inspected a heavy vehicle under this Law reasonably believes—</w:t>
      </w:r>
    </w:p>
    <w:p w14:paraId="4AC5B9E1" w14:textId="77777777" w:rsidR="000048F5" w:rsidRPr="000048F5" w:rsidRDefault="000048F5" w:rsidP="000048F5">
      <w:pPr>
        <w:pStyle w:val="Apara"/>
        <w:rPr>
          <w:lang w:val="en" w:eastAsia="en-AU"/>
        </w:rPr>
      </w:pPr>
      <w:r>
        <w:rPr>
          <w:lang w:val="en" w:eastAsia="en-AU"/>
        </w:rPr>
        <w:tab/>
      </w:r>
      <w:r w:rsidRPr="000048F5">
        <w:rPr>
          <w:lang w:val="en" w:eastAsia="en-AU"/>
        </w:rPr>
        <w:t>(a)</w:t>
      </w:r>
      <w:r>
        <w:rPr>
          <w:lang w:val="en" w:eastAsia="en-AU"/>
        </w:rPr>
        <w:tab/>
      </w:r>
      <w:r w:rsidRPr="000048F5">
        <w:rPr>
          <w:lang w:val="en" w:eastAsia="en-AU"/>
        </w:rPr>
        <w:t>the vehicle is a defective heavy vehicle; or</w:t>
      </w:r>
    </w:p>
    <w:p w14:paraId="1E78D1E5" w14:textId="77777777" w:rsidR="000048F5" w:rsidRPr="000048F5" w:rsidRDefault="000048F5" w:rsidP="000048F5">
      <w:pPr>
        <w:pStyle w:val="Apara"/>
        <w:rPr>
          <w:lang w:val="en" w:eastAsia="en-AU"/>
        </w:rPr>
      </w:pPr>
      <w:r>
        <w:rPr>
          <w:lang w:val="en" w:eastAsia="en-AU"/>
        </w:rPr>
        <w:tab/>
      </w:r>
      <w:r w:rsidRPr="000048F5">
        <w:rPr>
          <w:lang w:val="en" w:eastAsia="en-AU"/>
        </w:rPr>
        <w:t>(b)</w:t>
      </w:r>
      <w:r>
        <w:rPr>
          <w:lang w:val="en" w:eastAsia="en-AU"/>
        </w:rPr>
        <w:tab/>
      </w:r>
      <w:r w:rsidRPr="000048F5">
        <w:rPr>
          <w:lang w:val="en" w:eastAsia="en-AU"/>
        </w:rPr>
        <w:t>a number plate of the vehicle is wholly or partly obscured, defaced or otherwise not legible.</w:t>
      </w:r>
    </w:p>
    <w:p w14:paraId="1C18F9E9" w14:textId="77777777" w:rsidR="000048F5" w:rsidRPr="000048F5" w:rsidRDefault="000048F5" w:rsidP="000048F5">
      <w:pPr>
        <w:pStyle w:val="Amain"/>
        <w:rPr>
          <w:lang w:val="en" w:eastAsia="en-AU"/>
        </w:rPr>
      </w:pPr>
      <w:r>
        <w:rPr>
          <w:lang w:val="en" w:eastAsia="en-AU"/>
        </w:rPr>
        <w:tab/>
      </w:r>
      <w:r w:rsidRPr="000048F5">
        <w:rPr>
          <w:lang w:val="en" w:eastAsia="en-AU"/>
        </w:rPr>
        <w:t>(2)</w:t>
      </w:r>
      <w:r>
        <w:rPr>
          <w:lang w:val="en" w:eastAsia="en-AU"/>
        </w:rPr>
        <w:tab/>
      </w:r>
      <w:r w:rsidRPr="000048F5">
        <w:rPr>
          <w:lang w:val="en" w:eastAsia="en-AU"/>
        </w:rPr>
        <w:t>The authorised officer may issue the following vehicle defect notice in relation to the heavy vehicle, in the way mentioned in subsection</w:t>
      </w:r>
      <w:r>
        <w:rPr>
          <w:lang w:val="en" w:eastAsia="en-AU"/>
        </w:rPr>
        <w:t> </w:t>
      </w:r>
      <w:r w:rsidRPr="000048F5">
        <w:rPr>
          <w:lang w:val="en" w:eastAsia="en-AU"/>
        </w:rPr>
        <w:t>(3)—</w:t>
      </w:r>
    </w:p>
    <w:p w14:paraId="05383092" w14:textId="77777777" w:rsidR="000048F5" w:rsidRPr="000048F5" w:rsidRDefault="000048F5" w:rsidP="000048F5">
      <w:pPr>
        <w:pStyle w:val="Apara"/>
        <w:rPr>
          <w:lang w:val="en" w:eastAsia="en-AU"/>
        </w:rPr>
      </w:pPr>
      <w:r>
        <w:rPr>
          <w:lang w:val="en" w:eastAsia="en-AU"/>
        </w:rPr>
        <w:tab/>
      </w:r>
      <w:r w:rsidRPr="000048F5">
        <w:rPr>
          <w:lang w:val="en" w:eastAsia="en-AU"/>
        </w:rPr>
        <w:t>(a)</w:t>
      </w:r>
      <w:r>
        <w:rPr>
          <w:lang w:val="en" w:eastAsia="en-AU"/>
        </w:rPr>
        <w:tab/>
      </w:r>
      <w:r w:rsidRPr="000048F5">
        <w:rPr>
          <w:lang w:val="en" w:eastAsia="en-AU"/>
        </w:rPr>
        <w:t>if the officer reasonably believes the vehicle is a defective heavy vehicle and use of the vehicle on a road poses an imminent and serious safety risk—a major defect notice;</w:t>
      </w:r>
    </w:p>
    <w:p w14:paraId="57AC0B1B" w14:textId="77777777" w:rsidR="000048F5" w:rsidRPr="000048F5" w:rsidRDefault="000048F5" w:rsidP="000048F5">
      <w:pPr>
        <w:pStyle w:val="Apara"/>
        <w:rPr>
          <w:lang w:val="en" w:eastAsia="en-AU"/>
        </w:rPr>
      </w:pPr>
      <w:r>
        <w:rPr>
          <w:lang w:val="en" w:eastAsia="en-AU"/>
        </w:rPr>
        <w:tab/>
      </w:r>
      <w:r w:rsidRPr="000048F5">
        <w:rPr>
          <w:lang w:val="en" w:eastAsia="en-AU"/>
        </w:rPr>
        <w:t>(b)</w:t>
      </w:r>
      <w:r>
        <w:rPr>
          <w:lang w:val="en" w:eastAsia="en-AU"/>
        </w:rPr>
        <w:tab/>
      </w:r>
      <w:r w:rsidRPr="000048F5">
        <w:rPr>
          <w:lang w:val="en" w:eastAsia="en-AU"/>
        </w:rPr>
        <w:t>if the officer reasonably believes the vehicle is a defective heavy vehicle and use of the vehicle on a road poses a safety risk other than an imminent and serious safety risk—a minor defect notice;</w:t>
      </w:r>
    </w:p>
    <w:p w14:paraId="7E33023E" w14:textId="77777777" w:rsidR="000048F5" w:rsidRPr="000048F5" w:rsidRDefault="000048F5" w:rsidP="000048F5">
      <w:pPr>
        <w:pStyle w:val="Apara"/>
        <w:rPr>
          <w:lang w:val="en" w:eastAsia="en-AU"/>
        </w:rPr>
      </w:pPr>
      <w:r>
        <w:rPr>
          <w:lang w:val="en" w:eastAsia="en-AU"/>
        </w:rPr>
        <w:tab/>
      </w:r>
      <w:r w:rsidRPr="000048F5">
        <w:rPr>
          <w:lang w:val="en" w:eastAsia="en-AU"/>
        </w:rPr>
        <w:t>(c)</w:t>
      </w:r>
      <w:r>
        <w:rPr>
          <w:lang w:val="en" w:eastAsia="en-AU"/>
        </w:rPr>
        <w:tab/>
      </w:r>
      <w:r w:rsidRPr="000048F5">
        <w:rPr>
          <w:lang w:val="en" w:eastAsia="en-AU"/>
        </w:rPr>
        <w:t>if the officer reasonably believes that use of the vehicle on a road does not pose a safety risk or subsection (1)(b) applies—a self-clearing defect notice.</w:t>
      </w:r>
    </w:p>
    <w:p w14:paraId="05E9F2E6" w14:textId="77777777" w:rsidR="00DB6E47" w:rsidRPr="00CC4412" w:rsidRDefault="00DB6E47" w:rsidP="00DB6E47">
      <w:pPr>
        <w:pStyle w:val="Amain"/>
      </w:pPr>
      <w:r w:rsidRPr="00CC4412">
        <w:tab/>
        <w:t>(3)</w:t>
      </w:r>
      <w:r w:rsidRPr="00CC4412">
        <w:tab/>
        <w:t>The authorised officer may issue the vehicle defect notice by—</w:t>
      </w:r>
    </w:p>
    <w:p w14:paraId="7B180418" w14:textId="77777777" w:rsidR="00DB6E47" w:rsidRPr="00544ED5" w:rsidRDefault="00DB6E47" w:rsidP="00DB6E47">
      <w:pPr>
        <w:pStyle w:val="Apara"/>
      </w:pPr>
      <w:r w:rsidRPr="00544ED5">
        <w:tab/>
        <w:t>(a)</w:t>
      </w:r>
      <w:r w:rsidRPr="00544ED5">
        <w:tab/>
        <w:t>if the driver of the heavy vehicle is present—giving the notice to the driver; or</w:t>
      </w:r>
    </w:p>
    <w:p w14:paraId="636202CE" w14:textId="77777777" w:rsidR="00DB6E47" w:rsidRPr="00544ED5" w:rsidRDefault="00DB6E47" w:rsidP="00DB6E47">
      <w:pPr>
        <w:pStyle w:val="Apara"/>
      </w:pPr>
      <w:r w:rsidRPr="00544ED5">
        <w:tab/>
        <w:t>(b)</w:t>
      </w:r>
      <w:r w:rsidRPr="00544ED5">
        <w:tab/>
        <w:t>if the driver of the heavy vehicle is not present—attaching the notice to the vehicle.</w:t>
      </w:r>
    </w:p>
    <w:p w14:paraId="42127CDE" w14:textId="77777777" w:rsidR="000048F5" w:rsidRPr="000048F5" w:rsidRDefault="000048F5" w:rsidP="000048F5">
      <w:pPr>
        <w:pStyle w:val="Amain"/>
        <w:rPr>
          <w:lang w:val="en" w:eastAsia="en-AU"/>
        </w:rPr>
      </w:pPr>
      <w:r>
        <w:rPr>
          <w:lang w:val="en" w:eastAsia="en-AU"/>
        </w:rPr>
        <w:tab/>
      </w:r>
      <w:r w:rsidRPr="000048F5">
        <w:rPr>
          <w:lang w:val="en" w:eastAsia="en-AU"/>
        </w:rPr>
        <w:t>(4)</w:t>
      </w:r>
      <w:r>
        <w:rPr>
          <w:lang w:val="en" w:eastAsia="en-AU"/>
        </w:rPr>
        <w:tab/>
      </w:r>
      <w:r w:rsidRPr="000048F5">
        <w:rPr>
          <w:lang w:val="en" w:eastAsia="en-AU"/>
        </w:rPr>
        <w:t>If the driver of a heavy vehicle for which a vehicle defect notice is issued under this section is not the operator of the vehicle, the driver must give the notice to the operator as soon as practicable, but not more than 14 days, after the notice is issued.</w:t>
      </w:r>
    </w:p>
    <w:p w14:paraId="5A4D16EE" w14:textId="77777777" w:rsidR="000048F5" w:rsidRPr="000048F5" w:rsidRDefault="000048F5" w:rsidP="000048F5">
      <w:pPr>
        <w:pStyle w:val="Penalty"/>
        <w:rPr>
          <w:lang w:val="en" w:eastAsia="en-AU"/>
        </w:rPr>
      </w:pPr>
      <w:r w:rsidRPr="000048F5">
        <w:rPr>
          <w:lang w:val="en" w:eastAsia="en-AU"/>
        </w:rPr>
        <w:t>Maximum penalty—$3000.</w:t>
      </w:r>
    </w:p>
    <w:p w14:paraId="5A7590D6" w14:textId="77777777" w:rsidR="00DB6E47" w:rsidRPr="007E1F9A" w:rsidRDefault="00DB6E47" w:rsidP="00DB6E47">
      <w:pPr>
        <w:pStyle w:val="AH5Sec"/>
      </w:pPr>
      <w:bookmarkStart w:id="624" w:name="_Toc83625968"/>
      <w:r w:rsidRPr="005E03F7">
        <w:rPr>
          <w:rStyle w:val="CharSectNo"/>
        </w:rPr>
        <w:lastRenderedPageBreak/>
        <w:t>527</w:t>
      </w:r>
      <w:r w:rsidRPr="007E1F9A">
        <w:tab/>
      </w:r>
      <w:r w:rsidRPr="007E1F9A">
        <w:rPr>
          <w:rFonts w:ascii="Helvetica" w:hAnsi="Helvetica" w:cs="Helvetica"/>
          <w:iCs/>
        </w:rPr>
        <w:t>Requirements about vehicle defect notice</w:t>
      </w:r>
      <w:bookmarkEnd w:id="624"/>
    </w:p>
    <w:p w14:paraId="6B423C8E" w14:textId="77777777" w:rsidR="00DB6E47" w:rsidRPr="00CC4412" w:rsidRDefault="00DB6E47" w:rsidP="00DB6E47">
      <w:pPr>
        <w:pStyle w:val="Amain"/>
      </w:pPr>
      <w:r w:rsidRPr="00CC4412">
        <w:tab/>
        <w:t>(1)</w:t>
      </w:r>
      <w:r w:rsidRPr="00CC4412">
        <w:tab/>
        <w:t>A vehicle defect notice for a heavy vehicle must be in the approved form and state the following—</w:t>
      </w:r>
    </w:p>
    <w:p w14:paraId="6719F31E" w14:textId="77777777" w:rsidR="000048F5" w:rsidRPr="000048F5" w:rsidRDefault="000048F5" w:rsidP="000048F5">
      <w:pPr>
        <w:pStyle w:val="Apara"/>
        <w:rPr>
          <w:lang w:val="en" w:eastAsia="en-AU"/>
        </w:rPr>
      </w:pPr>
      <w:r>
        <w:rPr>
          <w:lang w:val="en" w:eastAsia="en-AU"/>
        </w:rPr>
        <w:tab/>
      </w:r>
      <w:r w:rsidRPr="000048F5">
        <w:rPr>
          <w:lang w:val="en" w:eastAsia="en-AU"/>
        </w:rPr>
        <w:t>(a)</w:t>
      </w:r>
      <w:r>
        <w:rPr>
          <w:lang w:val="en" w:eastAsia="en-AU"/>
        </w:rPr>
        <w:tab/>
      </w:r>
      <w:r w:rsidRPr="000048F5">
        <w:rPr>
          <w:lang w:val="en" w:eastAsia="en-AU"/>
        </w:rPr>
        <w:t>that the notice is a major defect notice, minor defect notice or self-clearing defect notice;</w:t>
      </w:r>
    </w:p>
    <w:p w14:paraId="6990B683" w14:textId="77777777" w:rsidR="000048F5" w:rsidRPr="000048F5" w:rsidRDefault="000048F5" w:rsidP="000048F5">
      <w:pPr>
        <w:pStyle w:val="Apara"/>
        <w:rPr>
          <w:lang w:val="en" w:eastAsia="en-AU"/>
        </w:rPr>
      </w:pPr>
      <w:r>
        <w:rPr>
          <w:lang w:val="en" w:eastAsia="en-AU"/>
        </w:rPr>
        <w:tab/>
      </w:r>
      <w:r w:rsidRPr="000048F5">
        <w:rPr>
          <w:lang w:val="en" w:eastAsia="en-AU"/>
        </w:rPr>
        <w:t>(aa)</w:t>
      </w:r>
      <w:r>
        <w:rPr>
          <w:lang w:val="en" w:eastAsia="en-AU"/>
        </w:rPr>
        <w:tab/>
      </w:r>
      <w:r w:rsidRPr="000048F5">
        <w:rPr>
          <w:lang w:val="en" w:eastAsia="en-AU"/>
        </w:rPr>
        <w:t>that—</w:t>
      </w:r>
    </w:p>
    <w:p w14:paraId="6FB6C004" w14:textId="77777777" w:rsidR="000048F5" w:rsidRPr="000048F5" w:rsidRDefault="000048F5" w:rsidP="000048F5">
      <w:pPr>
        <w:pStyle w:val="Asubpara"/>
        <w:rPr>
          <w:lang w:val="en" w:eastAsia="en-AU"/>
        </w:rPr>
      </w:pPr>
      <w:r>
        <w:rPr>
          <w:lang w:val="en" w:eastAsia="en-AU"/>
        </w:rPr>
        <w:tab/>
      </w:r>
      <w:r w:rsidRPr="000048F5">
        <w:rPr>
          <w:lang w:val="en" w:eastAsia="en-AU"/>
        </w:rPr>
        <w:t>(i)</w:t>
      </w:r>
      <w:r>
        <w:rPr>
          <w:lang w:val="en" w:eastAsia="en-AU"/>
        </w:rPr>
        <w:tab/>
      </w:r>
      <w:r w:rsidRPr="000048F5">
        <w:rPr>
          <w:lang w:val="en" w:eastAsia="en-AU"/>
        </w:rPr>
        <w:t>the vehicle is a defective heavy vehicle; or</w:t>
      </w:r>
    </w:p>
    <w:p w14:paraId="50F14007" w14:textId="77777777" w:rsidR="000048F5" w:rsidRPr="000048F5" w:rsidRDefault="000048F5" w:rsidP="000048F5">
      <w:pPr>
        <w:pStyle w:val="Asubpara"/>
        <w:rPr>
          <w:lang w:val="en" w:eastAsia="en-AU"/>
        </w:rPr>
      </w:pPr>
      <w:r>
        <w:rPr>
          <w:lang w:val="en" w:eastAsia="en-AU"/>
        </w:rPr>
        <w:tab/>
      </w:r>
      <w:r w:rsidRPr="000048F5">
        <w:rPr>
          <w:lang w:val="en" w:eastAsia="en-AU"/>
        </w:rPr>
        <w:t>(ii)</w:t>
      </w:r>
      <w:r>
        <w:rPr>
          <w:lang w:val="en" w:eastAsia="en-AU"/>
        </w:rPr>
        <w:tab/>
      </w:r>
      <w:r w:rsidRPr="000048F5">
        <w:rPr>
          <w:lang w:val="en" w:eastAsia="en-AU"/>
        </w:rPr>
        <w:t>a number plate of the vehicle is wholly or partly obscured, defaced or otherwise not legible;</w:t>
      </w:r>
    </w:p>
    <w:p w14:paraId="52324002" w14:textId="77777777" w:rsidR="000048F5" w:rsidRPr="000048F5" w:rsidRDefault="000048F5" w:rsidP="000048F5">
      <w:pPr>
        <w:pStyle w:val="Apara"/>
        <w:rPr>
          <w:lang w:val="en" w:eastAsia="en-AU"/>
        </w:rPr>
      </w:pPr>
      <w:r>
        <w:rPr>
          <w:lang w:val="en" w:eastAsia="en-AU"/>
        </w:rPr>
        <w:tab/>
      </w:r>
      <w:r w:rsidRPr="000048F5">
        <w:rPr>
          <w:lang w:val="en" w:eastAsia="en-AU"/>
        </w:rPr>
        <w:t>(ab)</w:t>
      </w:r>
      <w:r>
        <w:rPr>
          <w:lang w:val="en" w:eastAsia="en-AU"/>
        </w:rPr>
        <w:tab/>
      </w:r>
      <w:r w:rsidRPr="000048F5">
        <w:rPr>
          <w:lang w:val="en" w:eastAsia="en-AU"/>
        </w:rPr>
        <w:t>if the vehicle is a defective heavy vehicle—details of how the vehicle is a defective heavy vehicle;</w:t>
      </w:r>
    </w:p>
    <w:p w14:paraId="6CCE630B" w14:textId="77777777" w:rsidR="00DB6E47" w:rsidRPr="003270BA" w:rsidRDefault="00DB6E47" w:rsidP="007A5E66">
      <w:pPr>
        <w:pStyle w:val="Apara"/>
        <w:keepLines/>
      </w:pPr>
      <w:r w:rsidRPr="00544ED5">
        <w:tab/>
        <w:t>(b)</w:t>
      </w:r>
      <w:r w:rsidRPr="00544ED5">
        <w:tab/>
        <w:t>for a</w:t>
      </w:r>
      <w:r w:rsidRPr="008A3AD2">
        <w:t xml:space="preserve"> </w:t>
      </w:r>
      <w:r w:rsidR="000048F5" w:rsidRPr="008A3AD2">
        <w:t>major defect notice</w:t>
      </w:r>
      <w:r w:rsidRPr="00544ED5">
        <w:t xml:space="preserve">—that the vehicle must not be used on a road </w:t>
      </w:r>
      <w:r w:rsidRPr="003270BA">
        <w:t xml:space="preserve">after the notice is issued other than to move it to </w:t>
      </w:r>
      <w:r w:rsidR="003270BA" w:rsidRPr="003270BA">
        <w:t>one or more locations stated in the notice in one or more ways stated in the notice</w:t>
      </w:r>
      <w:r w:rsidRPr="003270BA">
        <w:t>;</w:t>
      </w:r>
    </w:p>
    <w:p w14:paraId="44BA806D" w14:textId="77777777" w:rsidR="001A3D6F" w:rsidRPr="001A3D6F" w:rsidRDefault="001A3D6F" w:rsidP="001A3D6F">
      <w:pPr>
        <w:pStyle w:val="Apara"/>
        <w:rPr>
          <w:lang w:val="en" w:eastAsia="en-AU"/>
        </w:rPr>
      </w:pPr>
      <w:r>
        <w:rPr>
          <w:lang w:val="en" w:eastAsia="en-AU"/>
        </w:rPr>
        <w:tab/>
      </w:r>
      <w:r w:rsidRPr="001A3D6F">
        <w:rPr>
          <w:lang w:val="en" w:eastAsia="en-AU"/>
        </w:rPr>
        <w:t>(c)</w:t>
      </w:r>
      <w:r>
        <w:rPr>
          <w:lang w:val="en" w:eastAsia="en-AU"/>
        </w:rPr>
        <w:tab/>
      </w:r>
      <w:r w:rsidRPr="001A3D6F">
        <w:rPr>
          <w:lang w:val="en" w:eastAsia="en-AU"/>
        </w:rPr>
        <w:t>for a minor defect notice—</w:t>
      </w:r>
    </w:p>
    <w:p w14:paraId="41DDB0EF" w14:textId="77777777" w:rsidR="001A3D6F" w:rsidRPr="001A3D6F" w:rsidRDefault="001A3D6F" w:rsidP="001A3D6F">
      <w:pPr>
        <w:pStyle w:val="Asubpara"/>
        <w:rPr>
          <w:lang w:val="en" w:eastAsia="en-AU"/>
        </w:rPr>
      </w:pPr>
      <w:r>
        <w:rPr>
          <w:lang w:val="en" w:eastAsia="en-AU"/>
        </w:rPr>
        <w:tab/>
      </w:r>
      <w:r w:rsidRPr="001A3D6F">
        <w:rPr>
          <w:lang w:val="en" w:eastAsia="en-AU"/>
        </w:rPr>
        <w:t>(i)</w:t>
      </w:r>
      <w:r>
        <w:rPr>
          <w:lang w:val="en" w:eastAsia="en-AU"/>
        </w:rPr>
        <w:tab/>
      </w:r>
      <w:r w:rsidRPr="001A3D6F">
        <w:rPr>
          <w:lang w:val="en" w:eastAsia="en-AU"/>
        </w:rPr>
        <w:t xml:space="preserve">that corrective action must be taken by a stated time (the </w:t>
      </w:r>
      <w:r w:rsidRPr="001A3D6F">
        <w:rPr>
          <w:b/>
          <w:bCs/>
          <w:i/>
          <w:iCs/>
          <w:lang w:val="en" w:eastAsia="en-AU"/>
        </w:rPr>
        <w:t>due time</w:t>
      </w:r>
      <w:r w:rsidRPr="001A3D6F">
        <w:rPr>
          <w:lang w:val="en" w:eastAsia="en-AU"/>
        </w:rPr>
        <w:t>); and</w:t>
      </w:r>
    </w:p>
    <w:p w14:paraId="70D9AAC5" w14:textId="77777777" w:rsidR="001A3D6F" w:rsidRPr="001A3D6F" w:rsidRDefault="001A3D6F" w:rsidP="001A3D6F">
      <w:pPr>
        <w:pStyle w:val="Asubpara"/>
        <w:rPr>
          <w:lang w:val="en" w:eastAsia="en-AU"/>
        </w:rPr>
      </w:pPr>
      <w:r>
        <w:rPr>
          <w:lang w:val="en" w:eastAsia="en-AU"/>
        </w:rPr>
        <w:tab/>
      </w:r>
      <w:r w:rsidRPr="001A3D6F">
        <w:rPr>
          <w:lang w:val="en" w:eastAsia="en-AU"/>
        </w:rPr>
        <w:t>(ii)</w:t>
      </w:r>
      <w:r>
        <w:rPr>
          <w:lang w:val="en" w:eastAsia="en-AU"/>
        </w:rPr>
        <w:tab/>
      </w:r>
      <w:r w:rsidRPr="001A3D6F">
        <w:rPr>
          <w:lang w:val="en" w:eastAsia="en-AU"/>
        </w:rPr>
        <w:t>that, after the due time, the vehicle must not be used on a road unless corrective action has been taken;</w:t>
      </w:r>
    </w:p>
    <w:p w14:paraId="6979419F" w14:textId="77777777" w:rsidR="001A3D6F" w:rsidRPr="001A3D6F" w:rsidRDefault="001A3D6F" w:rsidP="001A3D6F">
      <w:pPr>
        <w:pStyle w:val="Apara"/>
        <w:rPr>
          <w:lang w:val="en" w:eastAsia="en-AU"/>
        </w:rPr>
      </w:pPr>
      <w:r>
        <w:rPr>
          <w:lang w:val="en" w:eastAsia="en-AU"/>
        </w:rPr>
        <w:tab/>
      </w:r>
      <w:r w:rsidRPr="001A3D6F">
        <w:rPr>
          <w:lang w:val="en" w:eastAsia="en-AU"/>
        </w:rPr>
        <w:t>(ca)</w:t>
      </w:r>
      <w:r>
        <w:rPr>
          <w:lang w:val="en" w:eastAsia="en-AU"/>
        </w:rPr>
        <w:tab/>
      </w:r>
      <w:r w:rsidRPr="001A3D6F">
        <w:rPr>
          <w:lang w:val="en" w:eastAsia="en-AU"/>
        </w:rPr>
        <w:t>for a self-clearing defect notice—</w:t>
      </w:r>
    </w:p>
    <w:p w14:paraId="6BD76CEA" w14:textId="77777777" w:rsidR="001A3D6F" w:rsidRPr="001A3D6F" w:rsidRDefault="001A3D6F" w:rsidP="001A3D6F">
      <w:pPr>
        <w:pStyle w:val="Asubpara"/>
        <w:rPr>
          <w:lang w:val="en" w:eastAsia="en-AU"/>
        </w:rPr>
      </w:pPr>
      <w:r>
        <w:rPr>
          <w:lang w:val="en" w:eastAsia="en-AU"/>
        </w:rPr>
        <w:tab/>
      </w:r>
      <w:r w:rsidRPr="001A3D6F">
        <w:rPr>
          <w:lang w:val="en" w:eastAsia="en-AU"/>
        </w:rPr>
        <w:t>(i)</w:t>
      </w:r>
      <w:r>
        <w:rPr>
          <w:lang w:val="en" w:eastAsia="en-AU"/>
        </w:rPr>
        <w:tab/>
      </w:r>
      <w:r w:rsidRPr="001A3D6F">
        <w:rPr>
          <w:lang w:val="en" w:eastAsia="en-AU"/>
        </w:rPr>
        <w:t xml:space="preserve">that corrective action must be taken by a stated day (the </w:t>
      </w:r>
      <w:r w:rsidRPr="001A3D6F">
        <w:rPr>
          <w:b/>
          <w:bCs/>
          <w:i/>
          <w:iCs/>
          <w:lang w:val="en" w:eastAsia="en-AU"/>
        </w:rPr>
        <w:t>due day</w:t>
      </w:r>
      <w:r w:rsidRPr="001A3D6F">
        <w:rPr>
          <w:lang w:val="en" w:eastAsia="en-AU"/>
        </w:rPr>
        <w:t>) not more than 28 days after the notice is issued; and</w:t>
      </w:r>
    </w:p>
    <w:p w14:paraId="427A4C63" w14:textId="77777777" w:rsidR="001A3D6F" w:rsidRPr="001A3D6F" w:rsidRDefault="001A3D6F" w:rsidP="001A3D6F">
      <w:pPr>
        <w:pStyle w:val="Asubpara"/>
        <w:rPr>
          <w:lang w:val="en" w:eastAsia="en-AU"/>
        </w:rPr>
      </w:pPr>
      <w:r>
        <w:rPr>
          <w:lang w:val="en" w:eastAsia="en-AU"/>
        </w:rPr>
        <w:tab/>
      </w:r>
      <w:r w:rsidRPr="001A3D6F">
        <w:rPr>
          <w:lang w:val="en" w:eastAsia="en-AU"/>
        </w:rPr>
        <w:t>(ii)</w:t>
      </w:r>
      <w:r>
        <w:rPr>
          <w:lang w:val="en" w:eastAsia="en-AU"/>
        </w:rPr>
        <w:tab/>
      </w:r>
      <w:r w:rsidRPr="001A3D6F">
        <w:rPr>
          <w:lang w:val="en" w:eastAsia="en-AU"/>
        </w:rPr>
        <w:t>that, after the due day, the vehicle must not be used on a road unless corrective action has been taken;</w:t>
      </w:r>
    </w:p>
    <w:p w14:paraId="68D143B6" w14:textId="77777777" w:rsidR="00DB6E47" w:rsidRPr="00544ED5" w:rsidRDefault="00DB6E47" w:rsidP="00570761">
      <w:pPr>
        <w:pStyle w:val="Apara"/>
        <w:keepLines/>
      </w:pPr>
      <w:r w:rsidRPr="00544ED5">
        <w:lastRenderedPageBreak/>
        <w:tab/>
        <w:t>(d)</w:t>
      </w:r>
      <w:r w:rsidRPr="00544ED5">
        <w:tab/>
        <w:t>the name of the vehicle’s driver if known by the authorised officer issuing the notice when the notice is issued or, if the driver is not present or the driver’s name is not known by the authorised officer issuing the notice when the notice is issued, the term ‘registered operator’;</w:t>
      </w:r>
    </w:p>
    <w:p w14:paraId="3F1F7D7A" w14:textId="77777777" w:rsidR="00DB6E47" w:rsidRPr="00544ED5" w:rsidRDefault="00DB6E47" w:rsidP="001906C7">
      <w:pPr>
        <w:pStyle w:val="Apara"/>
        <w:keepNext/>
      </w:pPr>
      <w:r w:rsidRPr="00544ED5">
        <w:tab/>
        <w:t>(e)</w:t>
      </w:r>
      <w:r w:rsidRPr="00544ED5">
        <w:tab/>
        <w:t>details to identify the vehicle, including, for example—</w:t>
      </w:r>
    </w:p>
    <w:p w14:paraId="361D7B6D" w14:textId="77777777" w:rsidR="00DB6E47" w:rsidRPr="003270BA" w:rsidRDefault="00DB6E47" w:rsidP="001906C7">
      <w:pPr>
        <w:pStyle w:val="Asubpara"/>
        <w:keepLines/>
      </w:pPr>
      <w:r w:rsidRPr="003270BA">
        <w:tab/>
        <w:t>(i)</w:t>
      </w:r>
      <w:r w:rsidRPr="003270BA">
        <w:tab/>
      </w:r>
      <w:r w:rsidR="003270BA" w:rsidRPr="003270BA">
        <w:t>the vehicle’s registration number, or if the vehicle is not registered, a vehicle identifier of the vehicle; or</w:t>
      </w:r>
    </w:p>
    <w:p w14:paraId="2414D0BA" w14:textId="77777777" w:rsidR="00DB6E47" w:rsidRPr="003270BA" w:rsidRDefault="00DB6E47" w:rsidP="00DB6E47">
      <w:pPr>
        <w:pStyle w:val="Asubpara"/>
      </w:pPr>
      <w:r w:rsidRPr="003270BA">
        <w:tab/>
        <w:t>(ii)</w:t>
      </w:r>
      <w:r w:rsidRPr="003270BA">
        <w:tab/>
      </w:r>
      <w:r w:rsidR="003270BA" w:rsidRPr="003270BA">
        <w:t>the vehicle’s make and category;</w:t>
      </w:r>
    </w:p>
    <w:p w14:paraId="4D983807" w14:textId="77777777" w:rsidR="00DB6E47" w:rsidRPr="00544ED5" w:rsidRDefault="00DB6E47" w:rsidP="00DB6E47">
      <w:pPr>
        <w:pStyle w:val="Apara"/>
      </w:pPr>
      <w:r w:rsidRPr="00544ED5">
        <w:tab/>
        <w:t>(f)</w:t>
      </w:r>
      <w:r w:rsidRPr="00544ED5">
        <w:tab/>
        <w:t>the nature of the inspection that led to the notice being issued;</w:t>
      </w:r>
    </w:p>
    <w:p w14:paraId="63AA30D1" w14:textId="77777777" w:rsidR="00DB6E47" w:rsidRPr="00544ED5" w:rsidRDefault="00DB6E47" w:rsidP="00DB6E47">
      <w:pPr>
        <w:pStyle w:val="Apara"/>
      </w:pPr>
      <w:r w:rsidRPr="00544ED5">
        <w:tab/>
        <w:t>(g)</w:t>
      </w:r>
      <w:r w:rsidRPr="00544ED5">
        <w:tab/>
        <w:t>whether an infringement notice was also given when the notice was issued;</w:t>
      </w:r>
    </w:p>
    <w:p w14:paraId="131FBEAF" w14:textId="77777777" w:rsidR="00DB6E47" w:rsidRPr="00544ED5" w:rsidRDefault="00DB6E47" w:rsidP="00DB6E47">
      <w:pPr>
        <w:pStyle w:val="Apara"/>
      </w:pPr>
      <w:r w:rsidRPr="00544ED5">
        <w:tab/>
        <w:t>(h)</w:t>
      </w:r>
      <w:r w:rsidRPr="00544ED5">
        <w:tab/>
        <w:t>the identification details for the authorised officer who issued the notice;</w:t>
      </w:r>
    </w:p>
    <w:p w14:paraId="43E3039C" w14:textId="77777777" w:rsidR="001A3D6F" w:rsidRPr="001A3D6F" w:rsidRDefault="001A3D6F" w:rsidP="001A3D6F">
      <w:pPr>
        <w:pStyle w:val="Apara"/>
        <w:rPr>
          <w:lang w:val="en" w:eastAsia="en-AU"/>
        </w:rPr>
      </w:pPr>
      <w:r>
        <w:rPr>
          <w:lang w:val="en" w:eastAsia="en-AU"/>
        </w:rPr>
        <w:tab/>
      </w:r>
      <w:r w:rsidRPr="001A3D6F">
        <w:rPr>
          <w:lang w:val="en" w:eastAsia="en-AU"/>
        </w:rPr>
        <w:t>(i)</w:t>
      </w:r>
      <w:r>
        <w:rPr>
          <w:lang w:val="en" w:eastAsia="en-AU"/>
        </w:rPr>
        <w:tab/>
      </w:r>
      <w:r w:rsidRPr="001A3D6F">
        <w:rPr>
          <w:lang w:val="en" w:eastAsia="en-AU"/>
        </w:rPr>
        <w:t>the day and time the notice was issued;</w:t>
      </w:r>
    </w:p>
    <w:p w14:paraId="770E4ECF" w14:textId="77777777" w:rsidR="001A3D6F" w:rsidRPr="001A3D6F" w:rsidRDefault="001A3D6F" w:rsidP="001A3D6F">
      <w:pPr>
        <w:pStyle w:val="Apara"/>
        <w:rPr>
          <w:lang w:val="en" w:eastAsia="en-AU"/>
        </w:rPr>
      </w:pPr>
      <w:r>
        <w:rPr>
          <w:lang w:val="en" w:eastAsia="en-AU"/>
        </w:rPr>
        <w:tab/>
      </w:r>
      <w:r w:rsidRPr="001A3D6F">
        <w:rPr>
          <w:lang w:val="en" w:eastAsia="en-AU"/>
        </w:rPr>
        <w:t>(j)</w:t>
      </w:r>
      <w:r>
        <w:rPr>
          <w:lang w:val="en" w:eastAsia="en-AU"/>
        </w:rPr>
        <w:tab/>
      </w:r>
      <w:r w:rsidRPr="001A3D6F">
        <w:rPr>
          <w:lang w:val="en" w:eastAsia="en-AU"/>
        </w:rPr>
        <w:t>for a major defect notice or minor defect notice—</w:t>
      </w:r>
    </w:p>
    <w:p w14:paraId="7AF264EA" w14:textId="77777777" w:rsidR="001A3D6F" w:rsidRPr="001A3D6F" w:rsidRDefault="001A3D6F" w:rsidP="001A3D6F">
      <w:pPr>
        <w:pStyle w:val="Asubpara"/>
        <w:rPr>
          <w:lang w:val="en" w:eastAsia="en-AU"/>
        </w:rPr>
      </w:pPr>
      <w:r>
        <w:rPr>
          <w:lang w:val="en" w:eastAsia="en-AU"/>
        </w:rPr>
        <w:tab/>
      </w:r>
      <w:r w:rsidRPr="001A3D6F">
        <w:rPr>
          <w:lang w:val="en" w:eastAsia="en-AU"/>
        </w:rPr>
        <w:t>(i)</w:t>
      </w:r>
      <w:r>
        <w:rPr>
          <w:lang w:val="en" w:eastAsia="en-AU"/>
        </w:rPr>
        <w:tab/>
      </w:r>
      <w:r w:rsidRPr="001A3D6F">
        <w:rPr>
          <w:lang w:val="en" w:eastAsia="en-AU"/>
        </w:rPr>
        <w:t>that, if the notice is not cleared by the Regulator under section 530, the vehicle’s registration may be suspended and subsequently cancelled by a registration authority under an Australian road law; and</w:t>
      </w:r>
    </w:p>
    <w:p w14:paraId="40165FD1" w14:textId="77777777" w:rsidR="001A3D6F" w:rsidRPr="001A3D6F" w:rsidRDefault="001A3D6F" w:rsidP="001A3D6F">
      <w:pPr>
        <w:pStyle w:val="Asubpara"/>
        <w:rPr>
          <w:lang w:val="en" w:eastAsia="en-AU"/>
        </w:rPr>
      </w:pPr>
      <w:r>
        <w:rPr>
          <w:lang w:val="en" w:eastAsia="en-AU"/>
        </w:rPr>
        <w:tab/>
      </w:r>
      <w:r w:rsidRPr="001A3D6F">
        <w:rPr>
          <w:lang w:val="en" w:eastAsia="en-AU"/>
        </w:rPr>
        <w:t>(ii)</w:t>
      </w:r>
      <w:r>
        <w:rPr>
          <w:lang w:val="en" w:eastAsia="en-AU"/>
        </w:rPr>
        <w:tab/>
      </w:r>
      <w:r w:rsidRPr="001A3D6F">
        <w:rPr>
          <w:lang w:val="en" w:eastAsia="en-AU"/>
        </w:rPr>
        <w:t>any conditions imposed under subsection (2).</w:t>
      </w:r>
    </w:p>
    <w:p w14:paraId="3566A3AD" w14:textId="77777777" w:rsidR="00DB6E47" w:rsidRPr="00CC4412" w:rsidRDefault="00DB6E47" w:rsidP="00DB6E47">
      <w:pPr>
        <w:pStyle w:val="Amain"/>
      </w:pPr>
      <w:r w:rsidRPr="00CC4412">
        <w:tab/>
        <w:t>(2)</w:t>
      </w:r>
      <w:r w:rsidRPr="00CC4412">
        <w:tab/>
        <w:t>The authorised officer issuing a</w:t>
      </w:r>
      <w:r w:rsidRPr="00844C43">
        <w:t xml:space="preserve"> </w:t>
      </w:r>
      <w:r w:rsidR="003A3435" w:rsidRPr="00844C43">
        <w:t>major defect notice or minor defect notice</w:t>
      </w:r>
      <w:r w:rsidRPr="00CC4412">
        <w:t xml:space="preserve"> may impose any conditions on the use of the defective heavy vehicle the officer considers appropriate for use of the vehicle on a road.</w:t>
      </w:r>
    </w:p>
    <w:p w14:paraId="3DA1FA04" w14:textId="77777777" w:rsidR="00DB6E47" w:rsidRDefault="00DB6E47" w:rsidP="00DB6E47">
      <w:pPr>
        <w:pStyle w:val="Amain"/>
      </w:pPr>
      <w:r w:rsidRPr="00CC4412">
        <w:tab/>
        <w:t>(3)</w:t>
      </w:r>
      <w:r w:rsidRPr="00CC4412">
        <w:tab/>
        <w:t>Any cond</w:t>
      </w:r>
      <w:r w:rsidR="00D75CAB">
        <w:t xml:space="preserve">itions imposed under subsection </w:t>
      </w:r>
      <w:r w:rsidRPr="00CC4412">
        <w:t>(2)</w:t>
      </w:r>
      <w:r w:rsidR="00D75CAB">
        <w:t xml:space="preserve"> </w:t>
      </w:r>
      <w:r w:rsidRPr="00CC4412">
        <w:t>are taken to form part of the vehicle defect notice concerned.</w:t>
      </w:r>
    </w:p>
    <w:p w14:paraId="0A0140F3" w14:textId="77777777" w:rsidR="003A3435" w:rsidRPr="003A3435" w:rsidRDefault="003A3435" w:rsidP="00570761">
      <w:pPr>
        <w:pStyle w:val="Amain"/>
        <w:keepNext/>
        <w:rPr>
          <w:lang w:val="en" w:eastAsia="en-AU"/>
        </w:rPr>
      </w:pPr>
      <w:r>
        <w:rPr>
          <w:lang w:val="en" w:eastAsia="en-AU"/>
        </w:rPr>
        <w:lastRenderedPageBreak/>
        <w:tab/>
      </w:r>
      <w:r w:rsidRPr="003A3435">
        <w:rPr>
          <w:lang w:val="en" w:eastAsia="en-AU"/>
        </w:rPr>
        <w:t>(4)</w:t>
      </w:r>
      <w:r>
        <w:rPr>
          <w:lang w:val="en" w:eastAsia="en-AU"/>
        </w:rPr>
        <w:tab/>
      </w:r>
      <w:r w:rsidRPr="003A3435">
        <w:rPr>
          <w:lang w:val="en" w:eastAsia="en-AU"/>
        </w:rPr>
        <w:t>In this section—</w:t>
      </w:r>
    </w:p>
    <w:p w14:paraId="6D25676B" w14:textId="77777777" w:rsidR="003A3435" w:rsidRPr="003A3435" w:rsidRDefault="003A3435" w:rsidP="003A3435">
      <w:pPr>
        <w:pStyle w:val="aDef"/>
        <w:rPr>
          <w:lang w:val="en" w:eastAsia="en-AU"/>
        </w:rPr>
      </w:pPr>
      <w:r w:rsidRPr="003A3435">
        <w:rPr>
          <w:b/>
          <w:bCs/>
          <w:i/>
          <w:iCs/>
          <w:lang w:val="en" w:eastAsia="en-AU"/>
        </w:rPr>
        <w:t>corrective action</w:t>
      </w:r>
      <w:r w:rsidRPr="003A3435">
        <w:rPr>
          <w:lang w:val="en" w:eastAsia="en-AU"/>
        </w:rPr>
        <w:t>, for a vehicle, means action that stops—</w:t>
      </w:r>
    </w:p>
    <w:p w14:paraId="4EFD561A" w14:textId="77777777" w:rsidR="003A3435" w:rsidRPr="003A3435" w:rsidRDefault="003A3435" w:rsidP="003A3435">
      <w:pPr>
        <w:pStyle w:val="aDefpara"/>
        <w:rPr>
          <w:lang w:val="en" w:eastAsia="en-AU"/>
        </w:rPr>
      </w:pPr>
      <w:r>
        <w:rPr>
          <w:lang w:val="en" w:eastAsia="en-AU"/>
        </w:rPr>
        <w:tab/>
      </w:r>
      <w:r w:rsidRPr="003A3435">
        <w:rPr>
          <w:lang w:val="en" w:eastAsia="en-AU"/>
        </w:rPr>
        <w:t>(a)</w:t>
      </w:r>
      <w:r>
        <w:rPr>
          <w:lang w:val="en" w:eastAsia="en-AU"/>
        </w:rPr>
        <w:tab/>
      </w:r>
      <w:r w:rsidRPr="003A3435">
        <w:rPr>
          <w:lang w:val="en" w:eastAsia="en-AU"/>
        </w:rPr>
        <w:t>the vehicle from being a defective heavy vehicle; or</w:t>
      </w:r>
    </w:p>
    <w:p w14:paraId="67DD0261" w14:textId="77777777" w:rsidR="003A3435" w:rsidRPr="003A3435" w:rsidRDefault="003A3435" w:rsidP="003A3435">
      <w:pPr>
        <w:pStyle w:val="aDefpara"/>
        <w:rPr>
          <w:lang w:val="en" w:eastAsia="en-AU"/>
        </w:rPr>
      </w:pPr>
      <w:r>
        <w:rPr>
          <w:lang w:val="en" w:eastAsia="en-AU"/>
        </w:rPr>
        <w:tab/>
      </w:r>
      <w:r w:rsidRPr="003A3435">
        <w:rPr>
          <w:lang w:val="en" w:eastAsia="en-AU"/>
        </w:rPr>
        <w:t>(b)</w:t>
      </w:r>
      <w:r>
        <w:rPr>
          <w:lang w:val="en" w:eastAsia="en-AU"/>
        </w:rPr>
        <w:tab/>
      </w:r>
      <w:r w:rsidRPr="003A3435">
        <w:rPr>
          <w:lang w:val="en" w:eastAsia="en-AU"/>
        </w:rPr>
        <w:t>a number plate of the vehicle being wholly or partly obscured, defaced or otherwise not legible.</w:t>
      </w:r>
    </w:p>
    <w:p w14:paraId="24B12266" w14:textId="77777777" w:rsidR="00DB6E47" w:rsidRPr="007E1F9A" w:rsidRDefault="00DB6E47" w:rsidP="00DB6E47">
      <w:pPr>
        <w:pStyle w:val="AH5Sec"/>
      </w:pPr>
      <w:bookmarkStart w:id="625" w:name="_Toc83625969"/>
      <w:r w:rsidRPr="005E03F7">
        <w:rPr>
          <w:rStyle w:val="CharSectNo"/>
        </w:rPr>
        <w:t>528</w:t>
      </w:r>
      <w:r w:rsidRPr="007E1F9A">
        <w:tab/>
      </w:r>
      <w:r w:rsidRPr="007E1F9A">
        <w:rPr>
          <w:rFonts w:ascii="Helvetica" w:hAnsi="Helvetica" w:cs="Helvetica"/>
          <w:iCs/>
        </w:rPr>
        <w:t>Defective vehicle labels</w:t>
      </w:r>
      <w:bookmarkEnd w:id="625"/>
    </w:p>
    <w:p w14:paraId="3A8170C2" w14:textId="77777777" w:rsidR="00DB6E47" w:rsidRPr="00CC4412" w:rsidRDefault="00DB6E47" w:rsidP="00456CD9">
      <w:pPr>
        <w:pStyle w:val="Amain"/>
        <w:keepNext/>
      </w:pPr>
      <w:r w:rsidRPr="00CC4412">
        <w:tab/>
        <w:t>(1)</w:t>
      </w:r>
      <w:r w:rsidRPr="00CC4412">
        <w:tab/>
        <w:t>If an authorised officer issues a major defect notice for a heavy vehicle, the authorised officer must attach a defective vehicle label to the vehicle.</w:t>
      </w:r>
    </w:p>
    <w:p w14:paraId="12CF83D1" w14:textId="77777777" w:rsidR="00DB6E47" w:rsidRPr="00CC4412" w:rsidRDefault="00DB6E47" w:rsidP="00DB6E47">
      <w:pPr>
        <w:pStyle w:val="Amain"/>
      </w:pPr>
      <w:r w:rsidRPr="00CC4412">
        <w:tab/>
        <w:t>(2)</w:t>
      </w:r>
      <w:r w:rsidRPr="00CC4412">
        <w:tab/>
        <w:t>If an authorised officer issues a minor defect notice for a heavy vehicle, the authorised officer may attach a defective vehicle label to the vehicle.</w:t>
      </w:r>
    </w:p>
    <w:p w14:paraId="3E00AB63" w14:textId="77777777" w:rsidR="00DB6E47" w:rsidRPr="00CC4412" w:rsidRDefault="00DB6E47" w:rsidP="00DB6E47">
      <w:pPr>
        <w:pStyle w:val="Amain"/>
      </w:pPr>
      <w:r w:rsidRPr="00CC4412">
        <w:tab/>
        <w:t>(3)</w:t>
      </w:r>
      <w:r w:rsidRPr="00CC4412">
        <w:tab/>
        <w:t>A person must not remove or deface a defective vehicle label attached to a</w:t>
      </w:r>
      <w:r w:rsidR="00D75CAB">
        <w:t xml:space="preserve"> heavy vehicle under subsection </w:t>
      </w:r>
      <w:r w:rsidRPr="00CC4412">
        <w:t>(1)</w:t>
      </w:r>
      <w:r w:rsidR="00D75CAB">
        <w:t xml:space="preserve"> </w:t>
      </w:r>
      <w:r w:rsidRPr="00CC4412">
        <w:t>or (2).</w:t>
      </w:r>
    </w:p>
    <w:p w14:paraId="3ABBD33A" w14:textId="77777777" w:rsidR="00DB6E47" w:rsidRPr="00CC4412" w:rsidRDefault="00DB6E47" w:rsidP="00DB6E47">
      <w:pPr>
        <w:pStyle w:val="Penalty"/>
      </w:pPr>
      <w:r w:rsidRPr="00D91CC2">
        <w:t>Maximum penalty—$3000.</w:t>
      </w:r>
    </w:p>
    <w:p w14:paraId="52A31EE0" w14:textId="77777777" w:rsidR="00DB6E47" w:rsidRPr="00CC4412" w:rsidRDefault="00D75CAB" w:rsidP="00DB6E47">
      <w:pPr>
        <w:pStyle w:val="Amain"/>
      </w:pPr>
      <w:r>
        <w:tab/>
        <w:t>(4)</w:t>
      </w:r>
      <w:r>
        <w:tab/>
        <w:t xml:space="preserve">Subsection </w:t>
      </w:r>
      <w:r w:rsidR="00DB6E47" w:rsidRPr="00CC4412">
        <w:t>(3)</w:t>
      </w:r>
      <w:r>
        <w:t xml:space="preserve"> </w:t>
      </w:r>
      <w:r w:rsidR="00DB6E47" w:rsidRPr="00CC4412">
        <w:t xml:space="preserve">does not apply to a person removing a defective </w:t>
      </w:r>
      <w:r>
        <w:t>vehicle label under section 530</w:t>
      </w:r>
      <w:r w:rsidR="00DB6E47" w:rsidRPr="00CC4412">
        <w:t>(2)</w:t>
      </w:r>
      <w:r>
        <w:t xml:space="preserve"> </w:t>
      </w:r>
      <w:r w:rsidR="00920958">
        <w:t>or 531(5</w:t>
      </w:r>
      <w:r w:rsidR="00DB6E47" w:rsidRPr="00CC4412">
        <w:t>).</w:t>
      </w:r>
    </w:p>
    <w:p w14:paraId="56E46A2A" w14:textId="77777777" w:rsidR="00D76B3F" w:rsidRPr="00D76B3F" w:rsidRDefault="00D76B3F" w:rsidP="00DB6E47">
      <w:pPr>
        <w:pStyle w:val="AH5Sec"/>
      </w:pPr>
      <w:bookmarkStart w:id="626" w:name="_Toc83625970"/>
      <w:r w:rsidRPr="005E03F7">
        <w:rPr>
          <w:rStyle w:val="CharSectNo"/>
        </w:rPr>
        <w:t>528A</w:t>
      </w:r>
      <w:r>
        <w:rPr>
          <w:rStyle w:val="CharSectNo"/>
        </w:rPr>
        <w:tab/>
      </w:r>
      <w:r w:rsidRPr="00D76B3F">
        <w:t>Information not included in notice or label</w:t>
      </w:r>
      <w:bookmarkEnd w:id="626"/>
    </w:p>
    <w:p w14:paraId="13C9B197" w14:textId="77777777" w:rsidR="00D76B3F" w:rsidRPr="00D76B3F" w:rsidRDefault="00D76B3F" w:rsidP="00D76B3F">
      <w:pPr>
        <w:pStyle w:val="Amain"/>
      </w:pPr>
      <w:r>
        <w:tab/>
        <w:t>(1)</w:t>
      </w:r>
      <w:r>
        <w:tab/>
      </w:r>
      <w:r w:rsidRPr="00D76B3F">
        <w:t>This section applies to information required to be included—</w:t>
      </w:r>
    </w:p>
    <w:p w14:paraId="3BAEA9A6" w14:textId="77777777" w:rsidR="00D76B3F" w:rsidRDefault="00D76B3F" w:rsidP="00D76B3F">
      <w:pPr>
        <w:pStyle w:val="Apara"/>
      </w:pPr>
      <w:r>
        <w:tab/>
        <w:t>(a)</w:t>
      </w:r>
      <w:r>
        <w:tab/>
      </w:r>
      <w:r w:rsidRPr="00D76B3F">
        <w:t xml:space="preserve">in a defective vehicle label under section 525, definition </w:t>
      </w:r>
      <w:r w:rsidRPr="00D76B3F">
        <w:rPr>
          <w:rStyle w:val="charBoldItals"/>
        </w:rPr>
        <w:t>defective vehicle label</w:t>
      </w:r>
      <w:r w:rsidRPr="00D76B3F">
        <w:t xml:space="preserve"> paragraph (b)(i); or</w:t>
      </w:r>
    </w:p>
    <w:p w14:paraId="36AF1D32" w14:textId="77777777" w:rsidR="00D76B3F" w:rsidRPr="00D76B3F" w:rsidRDefault="00D76B3F" w:rsidP="00D76B3F">
      <w:pPr>
        <w:pStyle w:val="Apara"/>
      </w:pPr>
      <w:r w:rsidRPr="00D76B3F">
        <w:tab/>
        <w:t>(b)</w:t>
      </w:r>
      <w:r w:rsidRPr="00D76B3F">
        <w:tab/>
        <w:t>in a vehicle defect notice under section 527(1)(e).</w:t>
      </w:r>
    </w:p>
    <w:p w14:paraId="76FFE379" w14:textId="77777777" w:rsidR="00D76B3F" w:rsidRPr="00D76B3F" w:rsidRDefault="00D76B3F" w:rsidP="00D76B3F">
      <w:pPr>
        <w:pStyle w:val="Amain"/>
      </w:pPr>
      <w:r>
        <w:tab/>
        <w:t>(2)</w:t>
      </w:r>
      <w:r>
        <w:tab/>
      </w:r>
      <w:r w:rsidRPr="00D76B3F">
        <w:t>The information need only be included if it is reasonably practicable and safe for the authorised officer to obtain the information.</w:t>
      </w:r>
    </w:p>
    <w:p w14:paraId="51C690C4" w14:textId="77777777" w:rsidR="00DB6E47" w:rsidRPr="007E1F9A" w:rsidRDefault="00DB6E47" w:rsidP="00DB6E47">
      <w:pPr>
        <w:pStyle w:val="AH5Sec"/>
      </w:pPr>
      <w:bookmarkStart w:id="627" w:name="_Toc83625971"/>
      <w:r w:rsidRPr="005E03F7">
        <w:rPr>
          <w:rStyle w:val="CharSectNo"/>
        </w:rPr>
        <w:lastRenderedPageBreak/>
        <w:t>529</w:t>
      </w:r>
      <w:r w:rsidRPr="007E1F9A">
        <w:tab/>
      </w:r>
      <w:r w:rsidRPr="007E1F9A">
        <w:rPr>
          <w:rFonts w:ascii="Helvetica" w:hAnsi="Helvetica" w:cs="Helvetica"/>
          <w:iCs/>
        </w:rPr>
        <w:t>Using heavy vehicles contrary to vehicle defect notice</w:t>
      </w:r>
      <w:bookmarkEnd w:id="627"/>
    </w:p>
    <w:p w14:paraId="49AC9A20" w14:textId="77777777" w:rsidR="00DB6E47" w:rsidRPr="00CC4412" w:rsidRDefault="00DB6E47" w:rsidP="00DB6E47">
      <w:pPr>
        <w:pStyle w:val="Amainreturn"/>
      </w:pPr>
      <w:r w:rsidRPr="00CC4412">
        <w:t>A person must not use, or permit to be used, on a road a heavy vehicle in contravention of a vehicle defect notice.</w:t>
      </w:r>
    </w:p>
    <w:p w14:paraId="7DA19F2E" w14:textId="77777777" w:rsidR="003A3435" w:rsidRPr="003A3435" w:rsidRDefault="003A3435" w:rsidP="003A3435">
      <w:pPr>
        <w:pStyle w:val="Penalty"/>
        <w:rPr>
          <w:lang w:val="en" w:eastAsia="en-AU"/>
        </w:rPr>
      </w:pPr>
      <w:r w:rsidRPr="003A3435">
        <w:rPr>
          <w:lang w:val="en" w:eastAsia="en-AU"/>
        </w:rPr>
        <w:t>Maximum penalty—</w:t>
      </w:r>
    </w:p>
    <w:p w14:paraId="3C649495" w14:textId="77777777" w:rsidR="003A3435" w:rsidRPr="003A3435" w:rsidRDefault="003A3435" w:rsidP="003A3435">
      <w:pPr>
        <w:pStyle w:val="PenaltyPara"/>
        <w:rPr>
          <w:lang w:val="en" w:eastAsia="en-AU"/>
        </w:rPr>
      </w:pPr>
      <w:r>
        <w:rPr>
          <w:lang w:val="en" w:eastAsia="en-AU"/>
        </w:rPr>
        <w:tab/>
      </w:r>
      <w:r w:rsidRPr="003A3435">
        <w:rPr>
          <w:lang w:val="en" w:eastAsia="en-AU"/>
        </w:rPr>
        <w:t>(a)</w:t>
      </w:r>
      <w:r>
        <w:rPr>
          <w:lang w:val="en" w:eastAsia="en-AU"/>
        </w:rPr>
        <w:tab/>
      </w:r>
      <w:r w:rsidRPr="003A3435">
        <w:rPr>
          <w:lang w:val="en" w:eastAsia="en-AU"/>
        </w:rPr>
        <w:t>for a major defect notice or minor defect notice—$6000; or</w:t>
      </w:r>
    </w:p>
    <w:p w14:paraId="79A4EF1E" w14:textId="77777777" w:rsidR="003A3435" w:rsidRPr="003A3435" w:rsidRDefault="003A3435" w:rsidP="003A3435">
      <w:pPr>
        <w:pStyle w:val="PenaltyPara"/>
        <w:rPr>
          <w:lang w:val="en" w:eastAsia="en-AU"/>
        </w:rPr>
      </w:pPr>
      <w:r>
        <w:rPr>
          <w:lang w:val="en" w:eastAsia="en-AU"/>
        </w:rPr>
        <w:tab/>
      </w:r>
      <w:r w:rsidRPr="003A3435">
        <w:rPr>
          <w:lang w:val="en" w:eastAsia="en-AU"/>
        </w:rPr>
        <w:t>(b)</w:t>
      </w:r>
      <w:r>
        <w:rPr>
          <w:lang w:val="en" w:eastAsia="en-AU"/>
        </w:rPr>
        <w:tab/>
      </w:r>
      <w:r w:rsidRPr="003A3435">
        <w:rPr>
          <w:lang w:val="en" w:eastAsia="en-AU"/>
        </w:rPr>
        <w:t>for a self-clearing defect notice—$3000.</w:t>
      </w:r>
    </w:p>
    <w:p w14:paraId="47764DAE" w14:textId="77777777" w:rsidR="00BD5F33" w:rsidRPr="00BD5F33" w:rsidRDefault="00BD5F33" w:rsidP="00BD5F33">
      <w:pPr>
        <w:pStyle w:val="AH5Sec"/>
        <w:rPr>
          <w:lang w:val="en" w:eastAsia="en-AU"/>
        </w:rPr>
      </w:pPr>
      <w:bookmarkStart w:id="628" w:name="_Toc83625972"/>
      <w:r w:rsidRPr="005E03F7">
        <w:rPr>
          <w:rStyle w:val="CharSectNo"/>
        </w:rPr>
        <w:t>529AA</w:t>
      </w:r>
      <w:r>
        <w:tab/>
      </w:r>
      <w:r w:rsidRPr="00BD5F33">
        <w:rPr>
          <w:lang w:val="en" w:eastAsia="en-AU"/>
        </w:rPr>
        <w:t>Permission to use vehicle the subject of a self-clearing defect notice</w:t>
      </w:r>
      <w:bookmarkEnd w:id="628"/>
    </w:p>
    <w:p w14:paraId="208EE8C0" w14:textId="77777777" w:rsidR="00BD5F33" w:rsidRPr="00BD5F33" w:rsidRDefault="00BD5F33" w:rsidP="00BD5F33">
      <w:pPr>
        <w:pStyle w:val="Amain"/>
        <w:rPr>
          <w:lang w:val="en" w:eastAsia="en-AU"/>
        </w:rPr>
      </w:pPr>
      <w:r>
        <w:rPr>
          <w:lang w:val="en" w:eastAsia="en-AU"/>
        </w:rPr>
        <w:tab/>
      </w:r>
      <w:r w:rsidRPr="00BD5F33">
        <w:rPr>
          <w:lang w:val="en" w:eastAsia="en-AU"/>
        </w:rPr>
        <w:t>(1)</w:t>
      </w:r>
      <w:r>
        <w:rPr>
          <w:lang w:val="en" w:eastAsia="en-AU"/>
        </w:rPr>
        <w:tab/>
      </w:r>
      <w:r w:rsidRPr="00BD5F33">
        <w:rPr>
          <w:lang w:val="en" w:eastAsia="en-AU"/>
        </w:rPr>
        <w:t>An authorised officer may, on request made by the operator of a heavy vehicle that is the subject of a self-clearing defect notice, give written permission for the vehicle to be used on a road during a period stated in the permission.</w:t>
      </w:r>
    </w:p>
    <w:p w14:paraId="2583CDBE" w14:textId="77777777" w:rsidR="00BD5F33" w:rsidRPr="00BD5F33" w:rsidRDefault="00BD5F33" w:rsidP="00BD5F33">
      <w:pPr>
        <w:pStyle w:val="Amain"/>
        <w:rPr>
          <w:lang w:val="en" w:eastAsia="en-AU"/>
        </w:rPr>
      </w:pPr>
      <w:r>
        <w:rPr>
          <w:lang w:val="en" w:eastAsia="en-AU"/>
        </w:rPr>
        <w:tab/>
      </w:r>
      <w:r w:rsidRPr="00BD5F33">
        <w:rPr>
          <w:lang w:val="en" w:eastAsia="en-AU"/>
        </w:rPr>
        <w:t>(2)</w:t>
      </w:r>
      <w:r>
        <w:rPr>
          <w:lang w:val="en" w:eastAsia="en-AU"/>
        </w:rPr>
        <w:tab/>
      </w:r>
      <w:r w:rsidRPr="00BD5F33">
        <w:rPr>
          <w:lang w:val="en" w:eastAsia="en-AU"/>
        </w:rPr>
        <w:t>The permission is subject to the condition that the vehicle will be used only for the purpose of driving the vehicle to and from a place where repairs are to be carried out.</w:t>
      </w:r>
    </w:p>
    <w:p w14:paraId="4C78AA25" w14:textId="77777777" w:rsidR="00BD5F33" w:rsidRPr="00BD5F33" w:rsidRDefault="00BD5F33" w:rsidP="00BD5F33">
      <w:pPr>
        <w:pStyle w:val="Amain"/>
        <w:rPr>
          <w:lang w:val="en" w:eastAsia="en-AU"/>
        </w:rPr>
      </w:pPr>
      <w:r>
        <w:rPr>
          <w:lang w:val="en" w:eastAsia="en-AU"/>
        </w:rPr>
        <w:tab/>
      </w:r>
      <w:r w:rsidRPr="00BD5F33">
        <w:rPr>
          <w:lang w:val="en" w:eastAsia="en-AU"/>
        </w:rPr>
        <w:t>(3)</w:t>
      </w:r>
      <w:r>
        <w:rPr>
          <w:lang w:val="en" w:eastAsia="en-AU"/>
        </w:rPr>
        <w:tab/>
      </w:r>
      <w:r w:rsidRPr="00BD5F33">
        <w:rPr>
          <w:lang w:val="en" w:eastAsia="en-AU"/>
        </w:rPr>
        <w:t>The use of the vehicle under the permission, in accordance with the condition, is not a contravention of the self-clearing defect notice.</w:t>
      </w:r>
    </w:p>
    <w:p w14:paraId="4C242927" w14:textId="77777777" w:rsidR="00BD5F33" w:rsidRPr="00BD5F33" w:rsidRDefault="00BD5F33" w:rsidP="00BD5F33">
      <w:pPr>
        <w:pStyle w:val="AH5Sec"/>
        <w:rPr>
          <w:lang w:val="en" w:eastAsia="en-AU"/>
        </w:rPr>
      </w:pPr>
      <w:bookmarkStart w:id="629" w:name="_Toc83625973"/>
      <w:r w:rsidRPr="005E03F7">
        <w:rPr>
          <w:rStyle w:val="CharSectNo"/>
        </w:rPr>
        <w:t>529A</w:t>
      </w:r>
      <w:r>
        <w:tab/>
      </w:r>
      <w:r w:rsidRPr="00BD5F33">
        <w:rPr>
          <w:lang w:val="en" w:eastAsia="en-AU"/>
        </w:rPr>
        <w:t>Permission to use vehicle the subject of a major or minor defect notice</w:t>
      </w:r>
      <w:bookmarkEnd w:id="629"/>
    </w:p>
    <w:p w14:paraId="224BA399" w14:textId="77777777" w:rsidR="00BD5F33" w:rsidRPr="00BD5F33" w:rsidRDefault="00BD5F33" w:rsidP="00BD5F33">
      <w:pPr>
        <w:pStyle w:val="Amain"/>
        <w:rPr>
          <w:lang w:val="en" w:eastAsia="en-AU"/>
        </w:rPr>
      </w:pPr>
      <w:r>
        <w:rPr>
          <w:lang w:val="en" w:eastAsia="en-AU"/>
        </w:rPr>
        <w:tab/>
      </w:r>
      <w:r w:rsidRPr="00BD5F33">
        <w:rPr>
          <w:lang w:val="en" w:eastAsia="en-AU"/>
        </w:rPr>
        <w:t>(1)</w:t>
      </w:r>
      <w:r>
        <w:rPr>
          <w:lang w:val="en" w:eastAsia="en-AU"/>
        </w:rPr>
        <w:tab/>
      </w:r>
      <w:r w:rsidRPr="00BD5F33">
        <w:rPr>
          <w:lang w:val="en" w:eastAsia="en-AU"/>
        </w:rPr>
        <w:t>An authorised officer may, on request made by the operator of a heavy vehicle that is the subject of a major defect notice or minor defect notice, give written permission for the vehicle to be used on a road during a period stated in the permission.</w:t>
      </w:r>
    </w:p>
    <w:p w14:paraId="4ACFE3AC" w14:textId="77777777" w:rsidR="00BD5F33" w:rsidRPr="00BD5F33" w:rsidRDefault="00BD5F33" w:rsidP="00BD5F33">
      <w:pPr>
        <w:pStyle w:val="Amain"/>
        <w:rPr>
          <w:lang w:val="en" w:eastAsia="en-AU"/>
        </w:rPr>
      </w:pPr>
      <w:r>
        <w:rPr>
          <w:lang w:val="en" w:eastAsia="en-AU"/>
        </w:rPr>
        <w:tab/>
      </w:r>
      <w:r w:rsidRPr="00BD5F33">
        <w:rPr>
          <w:lang w:val="en" w:eastAsia="en-AU"/>
        </w:rPr>
        <w:t>(2)</w:t>
      </w:r>
      <w:r>
        <w:rPr>
          <w:lang w:val="en" w:eastAsia="en-AU"/>
        </w:rPr>
        <w:tab/>
      </w:r>
      <w:r w:rsidRPr="00BD5F33">
        <w:rPr>
          <w:lang w:val="en" w:eastAsia="en-AU"/>
        </w:rPr>
        <w:t>The authorised officer may give the permission only if—</w:t>
      </w:r>
    </w:p>
    <w:p w14:paraId="245E1514" w14:textId="77777777" w:rsidR="00BD5F33" w:rsidRPr="00BD5F33" w:rsidRDefault="00BD5F33" w:rsidP="00BD5F33">
      <w:pPr>
        <w:pStyle w:val="Apara"/>
        <w:rPr>
          <w:lang w:val="en" w:eastAsia="en-AU"/>
        </w:rPr>
      </w:pPr>
      <w:r>
        <w:rPr>
          <w:lang w:val="en" w:eastAsia="en-AU"/>
        </w:rPr>
        <w:tab/>
      </w:r>
      <w:r w:rsidRPr="00BD5F33">
        <w:rPr>
          <w:lang w:val="en" w:eastAsia="en-AU"/>
        </w:rPr>
        <w:t>(a)</w:t>
      </w:r>
      <w:r>
        <w:rPr>
          <w:lang w:val="en" w:eastAsia="en-AU"/>
        </w:rPr>
        <w:tab/>
      </w:r>
      <w:r w:rsidRPr="00BD5F33">
        <w:rPr>
          <w:lang w:val="en" w:eastAsia="en-AU"/>
        </w:rPr>
        <w:t>the officer is satisfied—</w:t>
      </w:r>
    </w:p>
    <w:p w14:paraId="485B60B4" w14:textId="77777777" w:rsidR="00BD5F33" w:rsidRPr="00BD5F33" w:rsidRDefault="00BD5F33" w:rsidP="00BD5F33">
      <w:pPr>
        <w:pStyle w:val="Asubpara"/>
        <w:rPr>
          <w:lang w:val="en" w:eastAsia="en-AU"/>
        </w:rPr>
      </w:pPr>
      <w:r>
        <w:rPr>
          <w:lang w:val="en" w:eastAsia="en-AU"/>
        </w:rPr>
        <w:tab/>
      </w:r>
      <w:r w:rsidRPr="00BD5F33">
        <w:rPr>
          <w:lang w:val="en" w:eastAsia="en-AU"/>
        </w:rPr>
        <w:t>(i)</w:t>
      </w:r>
      <w:r>
        <w:rPr>
          <w:lang w:val="en" w:eastAsia="en-AU"/>
        </w:rPr>
        <w:tab/>
      </w:r>
      <w:r w:rsidRPr="00BD5F33">
        <w:rPr>
          <w:lang w:val="en" w:eastAsia="en-AU"/>
        </w:rPr>
        <w:t>the vehicle will be used only for the purpose of driving the vehicle to and from a place where repairs are to be carried out; and</w:t>
      </w:r>
    </w:p>
    <w:p w14:paraId="7499BB52" w14:textId="77777777" w:rsidR="00BD5F33" w:rsidRPr="00BD5F33" w:rsidRDefault="00BD5F33" w:rsidP="00BD5F33">
      <w:pPr>
        <w:pStyle w:val="Asubpara"/>
        <w:rPr>
          <w:lang w:val="en" w:eastAsia="en-AU"/>
        </w:rPr>
      </w:pPr>
      <w:r>
        <w:rPr>
          <w:lang w:val="en" w:eastAsia="en-AU"/>
        </w:rPr>
        <w:lastRenderedPageBreak/>
        <w:tab/>
      </w:r>
      <w:r w:rsidRPr="00BD5F33">
        <w:rPr>
          <w:lang w:val="en" w:eastAsia="en-AU"/>
        </w:rPr>
        <w:t>(ii)</w:t>
      </w:r>
      <w:r>
        <w:rPr>
          <w:lang w:val="en" w:eastAsia="en-AU"/>
        </w:rPr>
        <w:tab/>
      </w:r>
      <w:r w:rsidRPr="00BD5F33">
        <w:rPr>
          <w:lang w:val="en" w:eastAsia="en-AU"/>
        </w:rPr>
        <w:t>the use of the vehicle will not pose an imminent and serious safety risk; and</w:t>
      </w:r>
    </w:p>
    <w:p w14:paraId="48B42223" w14:textId="77777777" w:rsidR="00BD5F33" w:rsidRPr="00BD5F33" w:rsidRDefault="00BD5F33" w:rsidP="00BD5F33">
      <w:pPr>
        <w:pStyle w:val="Asubpara"/>
        <w:rPr>
          <w:lang w:val="en" w:eastAsia="en-AU"/>
        </w:rPr>
      </w:pPr>
      <w:r>
        <w:rPr>
          <w:lang w:val="en" w:eastAsia="en-AU"/>
        </w:rPr>
        <w:tab/>
      </w:r>
      <w:r w:rsidRPr="00BD5F33">
        <w:rPr>
          <w:lang w:val="en" w:eastAsia="en-AU"/>
        </w:rPr>
        <w:t>(iii)</w:t>
      </w:r>
      <w:r>
        <w:rPr>
          <w:lang w:val="en" w:eastAsia="en-AU"/>
        </w:rPr>
        <w:tab/>
      </w:r>
      <w:r w:rsidRPr="00BD5F33">
        <w:rPr>
          <w:lang w:val="en" w:eastAsia="en-AU"/>
        </w:rPr>
        <w:t>the request is necessary and reasonable; or</w:t>
      </w:r>
    </w:p>
    <w:p w14:paraId="418E818A" w14:textId="77777777" w:rsidR="00BD5F33" w:rsidRPr="00BD5F33" w:rsidRDefault="00BD5F33" w:rsidP="00BD5F33">
      <w:pPr>
        <w:pStyle w:val="Apara"/>
        <w:rPr>
          <w:lang w:val="en" w:eastAsia="en-AU"/>
        </w:rPr>
      </w:pPr>
      <w:r>
        <w:rPr>
          <w:lang w:val="en" w:eastAsia="en-AU"/>
        </w:rPr>
        <w:tab/>
      </w:r>
      <w:r w:rsidRPr="00BD5F33">
        <w:rPr>
          <w:lang w:val="en" w:eastAsia="en-AU"/>
        </w:rPr>
        <w:t>(b)</w:t>
      </w:r>
      <w:r>
        <w:rPr>
          <w:lang w:val="en" w:eastAsia="en-AU"/>
        </w:rPr>
        <w:tab/>
      </w:r>
      <w:r w:rsidRPr="00BD5F33">
        <w:rPr>
          <w:lang w:val="en" w:eastAsia="en-AU"/>
        </w:rPr>
        <w:t>the officer is satisfied—</w:t>
      </w:r>
    </w:p>
    <w:p w14:paraId="130C6965" w14:textId="77777777" w:rsidR="00BD5F33" w:rsidRPr="00BD5F33" w:rsidRDefault="00BD5F33" w:rsidP="00BD5F33">
      <w:pPr>
        <w:pStyle w:val="Asubpara"/>
        <w:rPr>
          <w:lang w:val="en" w:eastAsia="en-AU"/>
        </w:rPr>
      </w:pPr>
      <w:r>
        <w:rPr>
          <w:lang w:val="en" w:eastAsia="en-AU"/>
        </w:rPr>
        <w:tab/>
      </w:r>
      <w:r w:rsidRPr="00BD5F33">
        <w:rPr>
          <w:lang w:val="en" w:eastAsia="en-AU"/>
        </w:rPr>
        <w:t>(i)</w:t>
      </w:r>
      <w:r>
        <w:rPr>
          <w:lang w:val="en" w:eastAsia="en-AU"/>
        </w:rPr>
        <w:tab/>
      </w:r>
      <w:r w:rsidRPr="00BD5F33">
        <w:rPr>
          <w:lang w:val="en" w:eastAsia="en-AU"/>
        </w:rPr>
        <w:t>the relevant repairs have been carried out and the vehicle will be taken within the stated period to be inspected for the purpose of enabling the vehicle defect notice to be cleared under section 530; and</w:t>
      </w:r>
    </w:p>
    <w:p w14:paraId="5E340E7F" w14:textId="77777777" w:rsidR="00BD5F33" w:rsidRPr="00BD5F33" w:rsidRDefault="00BD5F33" w:rsidP="00BD5F33">
      <w:pPr>
        <w:pStyle w:val="Asubpara"/>
        <w:rPr>
          <w:lang w:val="en" w:eastAsia="en-AU"/>
        </w:rPr>
      </w:pPr>
      <w:r>
        <w:rPr>
          <w:lang w:val="en" w:eastAsia="en-AU"/>
        </w:rPr>
        <w:tab/>
      </w:r>
      <w:r w:rsidRPr="00BD5F33">
        <w:rPr>
          <w:lang w:val="en" w:eastAsia="en-AU"/>
        </w:rPr>
        <w:t>(ii)</w:t>
      </w:r>
      <w:r>
        <w:rPr>
          <w:lang w:val="en" w:eastAsia="en-AU"/>
        </w:rPr>
        <w:tab/>
      </w:r>
      <w:r w:rsidRPr="00BD5F33">
        <w:rPr>
          <w:lang w:val="en" w:eastAsia="en-AU"/>
        </w:rPr>
        <w:t>the use of the vehicle will not pose a safety risk; and</w:t>
      </w:r>
    </w:p>
    <w:p w14:paraId="0E1D10EE" w14:textId="77777777" w:rsidR="00BD5F33" w:rsidRPr="00BD5F33" w:rsidRDefault="00BD5F33" w:rsidP="00BD5F33">
      <w:pPr>
        <w:pStyle w:val="Asubpara"/>
        <w:rPr>
          <w:lang w:val="en" w:eastAsia="en-AU"/>
        </w:rPr>
      </w:pPr>
      <w:r>
        <w:rPr>
          <w:lang w:val="en" w:eastAsia="en-AU"/>
        </w:rPr>
        <w:tab/>
      </w:r>
      <w:r w:rsidRPr="00BD5F33">
        <w:rPr>
          <w:lang w:val="en" w:eastAsia="en-AU"/>
        </w:rPr>
        <w:t>(iii)</w:t>
      </w:r>
      <w:r>
        <w:rPr>
          <w:lang w:val="en" w:eastAsia="en-AU"/>
        </w:rPr>
        <w:tab/>
      </w:r>
      <w:r w:rsidRPr="00BD5F33">
        <w:rPr>
          <w:lang w:val="en" w:eastAsia="en-AU"/>
        </w:rPr>
        <w:t>the request is necessary and reasonable.</w:t>
      </w:r>
    </w:p>
    <w:p w14:paraId="0C1F386E" w14:textId="77777777" w:rsidR="00BD5F33" w:rsidRPr="00BD5F33" w:rsidRDefault="00BD5F33" w:rsidP="00BD5F33">
      <w:pPr>
        <w:pStyle w:val="Amain"/>
        <w:rPr>
          <w:lang w:val="en" w:eastAsia="en-AU"/>
        </w:rPr>
      </w:pPr>
      <w:r>
        <w:rPr>
          <w:lang w:val="en" w:eastAsia="en-AU"/>
        </w:rPr>
        <w:tab/>
      </w:r>
      <w:r w:rsidRPr="00BD5F33">
        <w:rPr>
          <w:lang w:val="en" w:eastAsia="en-AU"/>
        </w:rPr>
        <w:t>(3)</w:t>
      </w:r>
      <w:r>
        <w:rPr>
          <w:lang w:val="en" w:eastAsia="en-AU"/>
        </w:rPr>
        <w:tab/>
      </w:r>
      <w:r w:rsidRPr="00BD5F33">
        <w:rPr>
          <w:lang w:val="en" w:eastAsia="en-AU"/>
        </w:rPr>
        <w:t>For the purpose of subsection (2)(a)(ii) or (b)(ii), an authorised officer may require evidence of adequate repairs or other measures.</w:t>
      </w:r>
    </w:p>
    <w:p w14:paraId="24C48FC1" w14:textId="77777777" w:rsidR="00BD5F33" w:rsidRPr="00BD5F33" w:rsidRDefault="00BD5F33" w:rsidP="00BD5F33">
      <w:pPr>
        <w:pStyle w:val="Amain"/>
        <w:rPr>
          <w:lang w:val="en" w:eastAsia="en-AU"/>
        </w:rPr>
      </w:pPr>
      <w:r>
        <w:rPr>
          <w:lang w:val="en" w:eastAsia="en-AU"/>
        </w:rPr>
        <w:tab/>
      </w:r>
      <w:r w:rsidRPr="00BD5F33">
        <w:rPr>
          <w:lang w:val="en" w:eastAsia="en-AU"/>
        </w:rPr>
        <w:t>(4)</w:t>
      </w:r>
      <w:r>
        <w:rPr>
          <w:lang w:val="en" w:eastAsia="en-AU"/>
        </w:rPr>
        <w:tab/>
      </w:r>
      <w:r w:rsidRPr="00BD5F33">
        <w:rPr>
          <w:lang w:val="en" w:eastAsia="en-AU"/>
        </w:rPr>
        <w:t>The permission is subject to conditions that—</w:t>
      </w:r>
    </w:p>
    <w:p w14:paraId="23CBB702" w14:textId="77777777" w:rsidR="00BD5F33" w:rsidRPr="00BD5F33" w:rsidRDefault="00BD5F33" w:rsidP="00BD5F33">
      <w:pPr>
        <w:pStyle w:val="Apara"/>
        <w:rPr>
          <w:lang w:val="en" w:eastAsia="en-AU"/>
        </w:rPr>
      </w:pPr>
      <w:r>
        <w:rPr>
          <w:lang w:val="en" w:eastAsia="en-AU"/>
        </w:rPr>
        <w:tab/>
      </w:r>
      <w:r w:rsidRPr="00BD5F33">
        <w:rPr>
          <w:lang w:val="en" w:eastAsia="en-AU"/>
        </w:rPr>
        <w:t>(a)</w:t>
      </w:r>
      <w:r>
        <w:rPr>
          <w:lang w:val="en" w:eastAsia="en-AU"/>
        </w:rPr>
        <w:tab/>
      </w:r>
      <w:r w:rsidRPr="00BD5F33">
        <w:rPr>
          <w:lang w:val="en" w:eastAsia="en-AU"/>
        </w:rPr>
        <w:t>the use of the vehicle will be as mentioned in subsection (2)(a)(i) or (b)(i); and</w:t>
      </w:r>
    </w:p>
    <w:p w14:paraId="59387DAC" w14:textId="77777777" w:rsidR="00BD5F33" w:rsidRPr="00BD5F33" w:rsidRDefault="00BD5F33" w:rsidP="00BD5F33">
      <w:pPr>
        <w:pStyle w:val="Apara"/>
        <w:rPr>
          <w:lang w:val="en" w:eastAsia="en-AU"/>
        </w:rPr>
      </w:pPr>
      <w:r>
        <w:rPr>
          <w:lang w:val="en" w:eastAsia="en-AU"/>
        </w:rPr>
        <w:tab/>
      </w:r>
      <w:r w:rsidRPr="00BD5F33">
        <w:rPr>
          <w:lang w:val="en" w:eastAsia="en-AU"/>
        </w:rPr>
        <w:t>(b)</w:t>
      </w:r>
      <w:r>
        <w:rPr>
          <w:lang w:val="en" w:eastAsia="en-AU"/>
        </w:rPr>
        <w:tab/>
      </w:r>
      <w:r w:rsidRPr="00BD5F33">
        <w:rPr>
          <w:lang w:val="en" w:eastAsia="en-AU"/>
        </w:rPr>
        <w:t>in relation to the use of the vehicle mentioned in subsection (2)(a)(i)—the vehicle will not be used to carry goods or passengers.</w:t>
      </w:r>
    </w:p>
    <w:p w14:paraId="673A274B" w14:textId="77777777" w:rsidR="00BD5F33" w:rsidRPr="00BD5F33" w:rsidRDefault="00BD5F33" w:rsidP="00BD5F33">
      <w:pPr>
        <w:pStyle w:val="Amain"/>
        <w:rPr>
          <w:lang w:val="en" w:eastAsia="en-AU"/>
        </w:rPr>
      </w:pPr>
      <w:r>
        <w:rPr>
          <w:lang w:val="en" w:eastAsia="en-AU"/>
        </w:rPr>
        <w:tab/>
      </w:r>
      <w:r w:rsidRPr="00BD5F33">
        <w:rPr>
          <w:lang w:val="en" w:eastAsia="en-AU"/>
        </w:rPr>
        <w:t>(5)</w:t>
      </w:r>
      <w:r>
        <w:rPr>
          <w:lang w:val="en" w:eastAsia="en-AU"/>
        </w:rPr>
        <w:tab/>
      </w:r>
      <w:r w:rsidRPr="00BD5F33">
        <w:rPr>
          <w:lang w:val="en" w:eastAsia="en-AU"/>
        </w:rPr>
        <w:t>The authorised officer may also impose other reasonable conditions on the permission.</w:t>
      </w:r>
    </w:p>
    <w:p w14:paraId="3D025318" w14:textId="77777777" w:rsidR="00BD5F33" w:rsidRPr="00BD5F33" w:rsidRDefault="00BD5F33" w:rsidP="00BD5F33">
      <w:pPr>
        <w:pStyle w:val="Amain"/>
        <w:rPr>
          <w:lang w:val="en" w:eastAsia="en-AU"/>
        </w:rPr>
      </w:pPr>
      <w:r>
        <w:rPr>
          <w:lang w:val="en" w:eastAsia="en-AU"/>
        </w:rPr>
        <w:tab/>
      </w:r>
      <w:r w:rsidRPr="00BD5F33">
        <w:rPr>
          <w:lang w:val="en" w:eastAsia="en-AU"/>
        </w:rPr>
        <w:t>(6)</w:t>
      </w:r>
      <w:r>
        <w:rPr>
          <w:lang w:val="en" w:eastAsia="en-AU"/>
        </w:rPr>
        <w:tab/>
      </w:r>
      <w:r w:rsidRPr="00BD5F33">
        <w:rPr>
          <w:lang w:val="en" w:eastAsia="en-AU"/>
        </w:rPr>
        <w:t>The use of the vehicle under the permission is not a contravention of the vehicle defect notice.</w:t>
      </w:r>
    </w:p>
    <w:p w14:paraId="1D3A9A4F" w14:textId="77777777" w:rsidR="00BD5F33" w:rsidRPr="00BD5F33" w:rsidRDefault="00BD5F33" w:rsidP="00BD5F33">
      <w:pPr>
        <w:pStyle w:val="Amain"/>
        <w:rPr>
          <w:lang w:val="en" w:eastAsia="en-AU"/>
        </w:rPr>
      </w:pPr>
      <w:r>
        <w:rPr>
          <w:lang w:val="en" w:eastAsia="en-AU"/>
        </w:rPr>
        <w:tab/>
      </w:r>
      <w:r w:rsidRPr="00BD5F33">
        <w:rPr>
          <w:lang w:val="en" w:eastAsia="en-AU"/>
        </w:rPr>
        <w:t>(7)</w:t>
      </w:r>
      <w:r>
        <w:rPr>
          <w:lang w:val="en" w:eastAsia="en-AU"/>
        </w:rPr>
        <w:tab/>
      </w:r>
      <w:r w:rsidRPr="00BD5F33">
        <w:rPr>
          <w:lang w:val="en" w:eastAsia="en-AU"/>
        </w:rPr>
        <w:t>The use of a vehicle in contravention of a condition under subsection</w:t>
      </w:r>
      <w:r w:rsidR="00105663">
        <w:rPr>
          <w:lang w:val="en" w:eastAsia="en-AU"/>
        </w:rPr>
        <w:t> </w:t>
      </w:r>
      <w:r w:rsidRPr="00BD5F33">
        <w:rPr>
          <w:lang w:val="en" w:eastAsia="en-AU"/>
        </w:rPr>
        <w:t>(4) or (5) is a contravention of the vehicle defect notice.</w:t>
      </w:r>
    </w:p>
    <w:p w14:paraId="6C3E9353" w14:textId="77777777" w:rsidR="00052D85" w:rsidRPr="00052D85" w:rsidRDefault="00052D85" w:rsidP="00052D85">
      <w:pPr>
        <w:pStyle w:val="AH5Sec"/>
      </w:pPr>
      <w:bookmarkStart w:id="630" w:name="_Toc83625974"/>
      <w:r w:rsidRPr="005E03F7">
        <w:rPr>
          <w:rStyle w:val="CharSectNo"/>
        </w:rPr>
        <w:lastRenderedPageBreak/>
        <w:t>529B</w:t>
      </w:r>
      <w:r>
        <w:tab/>
      </w:r>
      <w:r w:rsidRPr="00052D85">
        <w:t xml:space="preserve">Permitted use of vehicle the subject of a </w:t>
      </w:r>
      <w:r w:rsidR="00105663" w:rsidRPr="00EA523E">
        <w:t xml:space="preserve">major or minor </w:t>
      </w:r>
      <w:r w:rsidR="00105663">
        <w:rPr>
          <w:color w:val="000000"/>
          <w:sz w:val="23"/>
          <w:szCs w:val="23"/>
          <w:lang w:val="en"/>
        </w:rPr>
        <w:t>defect</w:t>
      </w:r>
      <w:r w:rsidRPr="00052D85">
        <w:t xml:space="preserve"> notice without permission of authorised officer</w:t>
      </w:r>
      <w:bookmarkEnd w:id="630"/>
    </w:p>
    <w:p w14:paraId="37A6D40F" w14:textId="77777777" w:rsidR="00052D85" w:rsidRPr="00052D85" w:rsidRDefault="00052D85" w:rsidP="00570761">
      <w:pPr>
        <w:pStyle w:val="Amain"/>
        <w:keepNext/>
      </w:pPr>
      <w:r w:rsidRPr="00052D85">
        <w:tab/>
        <w:t>(1)</w:t>
      </w:r>
      <w:r w:rsidRPr="00052D85">
        <w:tab/>
        <w:t xml:space="preserve">A heavy vehicle that is the subject of a </w:t>
      </w:r>
      <w:r w:rsidR="00105663">
        <w:rPr>
          <w:color w:val="000000"/>
          <w:sz w:val="23"/>
          <w:szCs w:val="23"/>
          <w:lang w:val="en"/>
        </w:rPr>
        <w:t>major defect notice or minor defect notice</w:t>
      </w:r>
      <w:r w:rsidRPr="00052D85">
        <w:t xml:space="preserve"> may be used on a road if—</w:t>
      </w:r>
    </w:p>
    <w:p w14:paraId="16221580" w14:textId="77777777" w:rsidR="00052D85" w:rsidRPr="00052D85" w:rsidRDefault="00052D85" w:rsidP="00052D85">
      <w:pPr>
        <w:pStyle w:val="Apara"/>
      </w:pPr>
      <w:r w:rsidRPr="00052D85">
        <w:tab/>
        <w:t>(a)</w:t>
      </w:r>
      <w:r w:rsidRPr="00052D85">
        <w:tab/>
        <w:t>the relevant repairs have been carried out; and</w:t>
      </w:r>
    </w:p>
    <w:p w14:paraId="349F7F01" w14:textId="77777777" w:rsidR="00052D85" w:rsidRPr="00052D85" w:rsidRDefault="00052D85" w:rsidP="00052D85">
      <w:pPr>
        <w:pStyle w:val="Apara"/>
      </w:pPr>
      <w:r w:rsidRPr="00052D85">
        <w:tab/>
        <w:t>(b)</w:t>
      </w:r>
      <w:r w:rsidRPr="00052D85">
        <w:tab/>
        <w:t>the vehicle is being taken to a place to be inspected for the purpose of enabling the</w:t>
      </w:r>
      <w:r w:rsidRPr="00EA523E">
        <w:t xml:space="preserve"> </w:t>
      </w:r>
      <w:r w:rsidR="00105663" w:rsidRPr="00EA523E">
        <w:t>major defect notice or minor defect notice</w:t>
      </w:r>
      <w:r w:rsidRPr="00EA523E">
        <w:t xml:space="preserve"> </w:t>
      </w:r>
      <w:r w:rsidRPr="00052D85">
        <w:t>to be cleared under section 530; and</w:t>
      </w:r>
    </w:p>
    <w:p w14:paraId="65D82958" w14:textId="77777777" w:rsidR="00052D85" w:rsidRPr="00052D85" w:rsidRDefault="00052D85" w:rsidP="00052D85">
      <w:pPr>
        <w:pStyle w:val="Apara"/>
      </w:pPr>
      <w:r w:rsidRPr="00052D85">
        <w:tab/>
        <w:t>(c)</w:t>
      </w:r>
      <w:r w:rsidRPr="00052D85">
        <w:tab/>
        <w:t>the vehicle is not carrying goods or passengers; and</w:t>
      </w:r>
    </w:p>
    <w:p w14:paraId="30B708F6" w14:textId="77777777" w:rsidR="00052D85" w:rsidRPr="00052D85" w:rsidRDefault="00052D85" w:rsidP="00052D85">
      <w:pPr>
        <w:pStyle w:val="Apara"/>
      </w:pPr>
      <w:r w:rsidRPr="00052D85">
        <w:tab/>
        <w:t>(d)</w:t>
      </w:r>
      <w:r w:rsidRPr="00052D85">
        <w:tab/>
        <w:t>the use of the vehicle does not pose a safety risk.</w:t>
      </w:r>
    </w:p>
    <w:p w14:paraId="78DF7FBC" w14:textId="77777777" w:rsidR="00052D85" w:rsidRPr="00052D85" w:rsidRDefault="00052D85" w:rsidP="007A069F">
      <w:pPr>
        <w:pStyle w:val="Amain"/>
      </w:pPr>
      <w:r w:rsidRPr="00052D85">
        <w:tab/>
        <w:t>(2)</w:t>
      </w:r>
      <w:r w:rsidRPr="00052D85">
        <w:tab/>
        <w:t>An authorised officer may require a driver of the heavy vehicle to produce evidence of the relevant repairs to the authorised officer within a reasonable time, and in a reasonable way, stated by the officer.</w:t>
      </w:r>
    </w:p>
    <w:p w14:paraId="31343C3E" w14:textId="77777777" w:rsidR="00052D85" w:rsidRPr="00052D85" w:rsidRDefault="00052D85" w:rsidP="007A069F">
      <w:pPr>
        <w:pStyle w:val="Amain"/>
      </w:pPr>
      <w:r w:rsidRPr="00052D85">
        <w:tab/>
        <w:t>(3)</w:t>
      </w:r>
      <w:r w:rsidRPr="00052D85">
        <w:tab/>
        <w:t>Subsection (1) stops applying to the vehicle if the driver fails to comply with the requirement.</w:t>
      </w:r>
    </w:p>
    <w:p w14:paraId="3BF7F48F" w14:textId="77777777" w:rsidR="00052D85" w:rsidRPr="007A069F" w:rsidRDefault="00052D85" w:rsidP="007A069F">
      <w:pPr>
        <w:pStyle w:val="Amain"/>
      </w:pPr>
      <w:r w:rsidRPr="00052D85">
        <w:tab/>
        <w:t>(4)</w:t>
      </w:r>
      <w:r w:rsidRPr="00052D85">
        <w:tab/>
        <w:t>The use of the heavy vehicle under subsection (1) is not a</w:t>
      </w:r>
      <w:r>
        <w:rPr>
          <w:spacing w:val="-5"/>
        </w:rPr>
        <w:t xml:space="preserve"> </w:t>
      </w:r>
      <w:r>
        <w:rPr>
          <w:spacing w:val="-2"/>
        </w:rPr>
        <w:t>contravention</w:t>
      </w:r>
      <w:r>
        <w:rPr>
          <w:spacing w:val="-5"/>
        </w:rPr>
        <w:t xml:space="preserve"> </w:t>
      </w:r>
      <w:r>
        <w:rPr>
          <w:spacing w:val="-1"/>
        </w:rPr>
        <w:t>of</w:t>
      </w:r>
      <w:r>
        <w:rPr>
          <w:spacing w:val="-5"/>
        </w:rPr>
        <w:t xml:space="preserve"> </w:t>
      </w:r>
      <w:r>
        <w:t>the</w:t>
      </w:r>
      <w:r>
        <w:rPr>
          <w:spacing w:val="-5"/>
        </w:rPr>
        <w:t xml:space="preserve"> </w:t>
      </w:r>
      <w:r>
        <w:rPr>
          <w:spacing w:val="-1"/>
        </w:rPr>
        <w:t>vehicle</w:t>
      </w:r>
      <w:r>
        <w:rPr>
          <w:spacing w:val="-5"/>
        </w:rPr>
        <w:t xml:space="preserve"> </w:t>
      </w:r>
      <w:r>
        <w:t>defect</w:t>
      </w:r>
      <w:r>
        <w:rPr>
          <w:spacing w:val="-5"/>
        </w:rPr>
        <w:t xml:space="preserve"> </w:t>
      </w:r>
      <w:r>
        <w:rPr>
          <w:spacing w:val="-1"/>
        </w:rPr>
        <w:t>notice.</w:t>
      </w:r>
    </w:p>
    <w:p w14:paraId="326DEA37" w14:textId="77777777" w:rsidR="00DB6E47" w:rsidRPr="007E1F9A" w:rsidRDefault="00DB6E47" w:rsidP="00DB6E47">
      <w:pPr>
        <w:pStyle w:val="AH5Sec"/>
      </w:pPr>
      <w:bookmarkStart w:id="631" w:name="_Toc83625975"/>
      <w:r w:rsidRPr="005E03F7">
        <w:rPr>
          <w:rStyle w:val="CharSectNo"/>
        </w:rPr>
        <w:t>530</w:t>
      </w:r>
      <w:r w:rsidRPr="007E1F9A">
        <w:tab/>
      </w:r>
      <w:r w:rsidRPr="007E1F9A">
        <w:rPr>
          <w:rFonts w:ascii="Helvetica" w:hAnsi="Helvetica" w:cs="Helvetica"/>
          <w:iCs/>
        </w:rPr>
        <w:t xml:space="preserve">Clearance of </w:t>
      </w:r>
      <w:r w:rsidR="00105663" w:rsidRPr="007B0BCF">
        <w:t xml:space="preserve">major or minor </w:t>
      </w:r>
      <w:r w:rsidRPr="007B0BCF">
        <w:t>defect notices</w:t>
      </w:r>
      <w:bookmarkEnd w:id="631"/>
    </w:p>
    <w:p w14:paraId="3DBF18C5" w14:textId="77777777" w:rsidR="00DB6E47" w:rsidRPr="00CC4412" w:rsidRDefault="00DB6E47" w:rsidP="00DB6E47">
      <w:pPr>
        <w:pStyle w:val="Amain"/>
      </w:pPr>
      <w:r w:rsidRPr="00CC4412">
        <w:tab/>
        <w:t>(1)</w:t>
      </w:r>
      <w:r w:rsidRPr="00CC4412">
        <w:tab/>
        <w:t xml:space="preserve">A </w:t>
      </w:r>
      <w:r w:rsidR="00105663" w:rsidRPr="007B0BCF">
        <w:t>major defect notice or minor defect notice</w:t>
      </w:r>
      <w:r w:rsidRPr="00CC4412">
        <w:t xml:space="preserve"> may be cleared by the Regulator if—</w:t>
      </w:r>
    </w:p>
    <w:p w14:paraId="672620C5" w14:textId="77777777" w:rsidR="00DB6E47" w:rsidRPr="00544ED5" w:rsidRDefault="00DB6E47" w:rsidP="00DB6E47">
      <w:pPr>
        <w:pStyle w:val="Apara"/>
      </w:pPr>
      <w:r w:rsidRPr="00544ED5">
        <w:tab/>
        <w:t>(a)</w:t>
      </w:r>
      <w:r w:rsidRPr="00544ED5">
        <w:tab/>
        <w:t>the Regulator decides the vehicle is no longer a defective heavy vehicle; or</w:t>
      </w:r>
    </w:p>
    <w:p w14:paraId="3CC4124A" w14:textId="77777777" w:rsidR="00DB6E47" w:rsidRPr="00544ED5" w:rsidRDefault="00DB6E47" w:rsidP="00DB6E47">
      <w:pPr>
        <w:pStyle w:val="Apara"/>
      </w:pPr>
      <w:r w:rsidRPr="00544ED5">
        <w:tab/>
        <w:t>(b)</w:t>
      </w:r>
      <w:r w:rsidRPr="00544ED5">
        <w:tab/>
        <w:t>the Regulator receives a notice, in the approved form, from an authorised officer stating that the heavy vehicle is no longer a defective heavy vehicle.</w:t>
      </w:r>
    </w:p>
    <w:p w14:paraId="48FE69DD" w14:textId="77777777" w:rsidR="00DB6E47" w:rsidRPr="00CC4412" w:rsidRDefault="00DB6E47" w:rsidP="00DB6E47">
      <w:pPr>
        <w:pStyle w:val="Amain"/>
      </w:pPr>
      <w:r w:rsidRPr="00CC4412">
        <w:lastRenderedPageBreak/>
        <w:tab/>
        <w:t>(2)</w:t>
      </w:r>
      <w:r w:rsidRPr="00CC4412">
        <w:tab/>
        <w:t xml:space="preserve">If the Regulator clears a </w:t>
      </w:r>
      <w:r w:rsidR="00105663" w:rsidRPr="007B0BCF">
        <w:t>major defect notice or minor defect notice</w:t>
      </w:r>
      <w:r w:rsidRPr="00CC4412">
        <w:t xml:space="preserve"> applying to a heavy vehicle, the Regulator must arrange for any defective vehicle label for the vehicle to be removed from the vehicle.</w:t>
      </w:r>
    </w:p>
    <w:p w14:paraId="633019FA" w14:textId="77777777" w:rsidR="00DB6E47" w:rsidRPr="007E1F9A" w:rsidRDefault="00DB6E47" w:rsidP="00DB6E47">
      <w:pPr>
        <w:pStyle w:val="AH5Sec"/>
      </w:pPr>
      <w:bookmarkStart w:id="632" w:name="_Toc83625976"/>
      <w:r w:rsidRPr="005E03F7">
        <w:rPr>
          <w:rStyle w:val="CharSectNo"/>
        </w:rPr>
        <w:t>531</w:t>
      </w:r>
      <w:r w:rsidRPr="007E1F9A">
        <w:tab/>
      </w:r>
      <w:r w:rsidRPr="007E1F9A">
        <w:rPr>
          <w:rFonts w:ascii="Helvetica" w:hAnsi="Helvetica" w:cs="Helvetica"/>
          <w:iCs/>
        </w:rPr>
        <w:t>Amendment or withdrawal of vehicle defect notices</w:t>
      </w:r>
      <w:bookmarkEnd w:id="632"/>
    </w:p>
    <w:p w14:paraId="47616BBA" w14:textId="77777777" w:rsidR="00DB6E47" w:rsidRPr="00CC4412" w:rsidRDefault="00DB6E47" w:rsidP="001906C7">
      <w:pPr>
        <w:pStyle w:val="Amain"/>
        <w:keepNext/>
      </w:pPr>
      <w:r w:rsidRPr="00CC4412">
        <w:tab/>
        <w:t>(1)</w:t>
      </w:r>
      <w:r w:rsidRPr="00CC4412">
        <w:tab/>
        <w:t>A vehicle defect notice issued in this jurisdiction by an authorised officer who is a police officer may be amended or withdrawn by any authorised officer who—</w:t>
      </w:r>
    </w:p>
    <w:p w14:paraId="7F6EAB96" w14:textId="77777777" w:rsidR="00DB6E47" w:rsidRPr="00544ED5" w:rsidRDefault="00DB6E47" w:rsidP="00DB6E47">
      <w:pPr>
        <w:pStyle w:val="Apara"/>
      </w:pPr>
      <w:r w:rsidRPr="00544ED5">
        <w:tab/>
        <w:t>(a)</w:t>
      </w:r>
      <w:r w:rsidRPr="00544ED5">
        <w:tab/>
        <w:t>is a police officer of this jurisdiction; or</w:t>
      </w:r>
    </w:p>
    <w:p w14:paraId="53B9A4B5" w14:textId="77777777" w:rsidR="00DB6E47" w:rsidRPr="00544ED5" w:rsidRDefault="00DB6E47" w:rsidP="00DB6E47">
      <w:pPr>
        <w:pStyle w:val="Apara"/>
      </w:pPr>
      <w:r w:rsidRPr="00544ED5">
        <w:tab/>
        <w:t>(b)</w:t>
      </w:r>
      <w:r w:rsidRPr="00544ED5">
        <w:tab/>
        <w:t>is a police officer of another jurisdiction if the Application Act of this jurisdiction permits this to be done; or</w:t>
      </w:r>
    </w:p>
    <w:p w14:paraId="13F0A07A" w14:textId="77777777" w:rsidR="00DB6E47" w:rsidRPr="00544ED5" w:rsidRDefault="00DB6E47" w:rsidP="00DB6E47">
      <w:pPr>
        <w:pStyle w:val="Apara"/>
      </w:pPr>
      <w:r w:rsidRPr="00544ED5">
        <w:tab/>
        <w:t>(c)</w:t>
      </w:r>
      <w:r w:rsidRPr="00544ED5">
        <w:tab/>
        <w:t>is not a police officer but is of a class of authorised officers for the time being approved by the Regulator for the purposes of this subsection.</w:t>
      </w:r>
    </w:p>
    <w:p w14:paraId="1149314E" w14:textId="77777777" w:rsidR="00DB6E47" w:rsidRPr="00CC4412" w:rsidRDefault="00DB6E47" w:rsidP="00DB6E47">
      <w:pPr>
        <w:pStyle w:val="Amain"/>
      </w:pPr>
      <w:r w:rsidRPr="00CC4412">
        <w:tab/>
        <w:t>(2)</w:t>
      </w:r>
      <w:r w:rsidRPr="00CC4412">
        <w:tab/>
        <w:t>A vehicle defect notice issued by an authorised officer who is not a police officer may be amended or withdrawn by any authorised officer who is of a class of authorised officers for the time being approved by the Regulator for the purposes of this subsection.</w:t>
      </w:r>
    </w:p>
    <w:p w14:paraId="3FF52DAA" w14:textId="77777777" w:rsidR="00DB6E47" w:rsidRDefault="00DB6E47" w:rsidP="00DB6E47">
      <w:pPr>
        <w:pStyle w:val="Amain"/>
      </w:pPr>
      <w:r w:rsidRPr="00CC4412">
        <w:tab/>
        <w:t>(3)</w:t>
      </w:r>
      <w:r w:rsidRPr="00CC4412">
        <w:tab/>
        <w:t>If an authorised officer amends or withdraws a vehicle defect notice for a heavy vehicle, the officer must give notice of</w:t>
      </w:r>
      <w:r w:rsidR="007F3344">
        <w:t xml:space="preserve"> the amendment or withdrawal to—</w:t>
      </w:r>
    </w:p>
    <w:p w14:paraId="3BE5B2AB" w14:textId="77777777" w:rsidR="007F3344" w:rsidRPr="00E4281A" w:rsidRDefault="00E4281A" w:rsidP="00E4281A">
      <w:pPr>
        <w:pStyle w:val="Apara"/>
      </w:pPr>
      <w:r w:rsidRPr="00E4281A">
        <w:tab/>
        <w:t>(a)</w:t>
      </w:r>
      <w:r w:rsidRPr="00E4281A">
        <w:tab/>
        <w:t>the Regulator; and</w:t>
      </w:r>
    </w:p>
    <w:p w14:paraId="760410C7" w14:textId="77777777" w:rsidR="00E4281A" w:rsidRPr="00E4281A" w:rsidRDefault="00E4281A" w:rsidP="00E4281A">
      <w:pPr>
        <w:pStyle w:val="Apara"/>
      </w:pPr>
      <w:r w:rsidRPr="00E4281A">
        <w:tab/>
        <w:t>(b)</w:t>
      </w:r>
      <w:r w:rsidRPr="00E4281A">
        <w:tab/>
        <w:t>one of the following—</w:t>
      </w:r>
    </w:p>
    <w:p w14:paraId="15048726" w14:textId="77777777" w:rsidR="00E4281A" w:rsidRPr="00E4281A" w:rsidRDefault="00E4281A" w:rsidP="00E4281A">
      <w:pPr>
        <w:pStyle w:val="Asubpara"/>
      </w:pPr>
      <w:r w:rsidRPr="00E4281A">
        <w:tab/>
        <w:t>(i)</w:t>
      </w:r>
      <w:r w:rsidRPr="00E4281A">
        <w:tab/>
        <w:t>the person to whom the vehicle defect notice was given;</w:t>
      </w:r>
    </w:p>
    <w:p w14:paraId="69C18329" w14:textId="77777777" w:rsidR="00E4281A" w:rsidRPr="00E4281A" w:rsidRDefault="00E4281A" w:rsidP="00E4281A">
      <w:pPr>
        <w:pStyle w:val="Asubpara"/>
      </w:pPr>
      <w:r w:rsidRPr="00E4281A">
        <w:tab/>
        <w:t>(ii)</w:t>
      </w:r>
      <w:r w:rsidRPr="00E4281A">
        <w:tab/>
        <w:t>the person in charge of the vehicle;</w:t>
      </w:r>
    </w:p>
    <w:p w14:paraId="3FD1AB3D" w14:textId="77777777" w:rsidR="00E4281A" w:rsidRPr="00E4281A" w:rsidRDefault="00E4281A" w:rsidP="00E4281A">
      <w:pPr>
        <w:pStyle w:val="Asubpara"/>
      </w:pPr>
      <w:r w:rsidRPr="00E4281A">
        <w:tab/>
        <w:t>(iii)</w:t>
      </w:r>
      <w:r w:rsidRPr="00E4281A">
        <w:tab/>
        <w:t>the registered operator;</w:t>
      </w:r>
    </w:p>
    <w:p w14:paraId="69A319DA" w14:textId="77777777" w:rsidR="00E4281A" w:rsidRPr="00E4281A" w:rsidRDefault="00E4281A" w:rsidP="00E4281A">
      <w:pPr>
        <w:pStyle w:val="Asubpara"/>
      </w:pPr>
      <w:r w:rsidRPr="00E4281A">
        <w:tab/>
        <w:t>(iv)</w:t>
      </w:r>
      <w:r w:rsidRPr="00E4281A">
        <w:tab/>
        <w:t>if the vehicle is not registered—an owner.</w:t>
      </w:r>
    </w:p>
    <w:p w14:paraId="3123A01B" w14:textId="77777777" w:rsidR="00E4281A" w:rsidRDefault="00E4281A" w:rsidP="00DB6E47">
      <w:pPr>
        <w:pStyle w:val="Amain"/>
      </w:pPr>
      <w:r>
        <w:lastRenderedPageBreak/>
        <w:tab/>
        <w:t>(4)</w:t>
      </w:r>
      <w:r w:rsidRPr="00E4281A">
        <w:tab/>
        <w:t>If the person given the notice of amendment or withdrawal is not the operator of the vehicle, the person must, as soon as reasonably practicable, give the notice to the operator.</w:t>
      </w:r>
    </w:p>
    <w:p w14:paraId="3EC1F277" w14:textId="77777777" w:rsidR="00E4281A" w:rsidRPr="006C3305" w:rsidRDefault="00E4281A" w:rsidP="00E4281A">
      <w:pPr>
        <w:pStyle w:val="Penalty"/>
      </w:pPr>
      <w:r>
        <w:rPr>
          <w:rFonts w:cs="Times"/>
          <w:bCs/>
          <w:iCs/>
        </w:rPr>
        <w:t>Maximum penalty—$3</w:t>
      </w:r>
      <w:r w:rsidRPr="00D91CC2">
        <w:rPr>
          <w:rFonts w:cs="Times"/>
          <w:bCs/>
          <w:iCs/>
        </w:rPr>
        <w:t>000.</w:t>
      </w:r>
    </w:p>
    <w:p w14:paraId="317FA416" w14:textId="77777777" w:rsidR="00DB6E47" w:rsidRPr="00CC4412" w:rsidRDefault="00E4281A" w:rsidP="00DB6E47">
      <w:pPr>
        <w:pStyle w:val="Amain"/>
      </w:pPr>
      <w:r>
        <w:tab/>
        <w:t>(5</w:t>
      </w:r>
      <w:r w:rsidR="00DB6E47" w:rsidRPr="00CC4412">
        <w:t>)</w:t>
      </w:r>
      <w:r w:rsidR="00DB6E47" w:rsidRPr="00CC4412">
        <w:tab/>
        <w:t>If an authorised officer withdraws a vehicle defect notice applying to a heavy vehicle, the Regulator must arrange for the defective vehicle label for the vehicle to be removed from the vehicle.</w:t>
      </w:r>
    </w:p>
    <w:p w14:paraId="4926311D" w14:textId="77777777" w:rsidR="00945118" w:rsidRDefault="00945118">
      <w:pPr>
        <w:pStyle w:val="02Text"/>
        <w:sectPr w:rsidR="00945118" w:rsidSect="00945118">
          <w:headerReference w:type="even" r:id="rId71"/>
          <w:headerReference w:type="default" r:id="rId72"/>
          <w:footerReference w:type="even" r:id="rId73"/>
          <w:footerReference w:type="default" r:id="rId74"/>
          <w:footerReference w:type="first" r:id="rId75"/>
          <w:pgSz w:w="11907" w:h="16839" w:code="9"/>
          <w:pgMar w:top="3880" w:right="1900" w:bottom="3100" w:left="2300" w:header="1920" w:footer="1760" w:gutter="0"/>
          <w:cols w:space="720"/>
          <w:docGrid w:linePitch="254"/>
        </w:sectPr>
      </w:pPr>
      <w:bookmarkStart w:id="633" w:name="_Toc83625977"/>
    </w:p>
    <w:p w14:paraId="08C6A634" w14:textId="77777777" w:rsidR="00DB6E47" w:rsidRPr="005E03F7" w:rsidRDefault="00DB6E47" w:rsidP="00DB6E47">
      <w:pPr>
        <w:pStyle w:val="AH3Div"/>
      </w:pPr>
      <w:r w:rsidRPr="005E03F7">
        <w:rPr>
          <w:rStyle w:val="CharDivNo"/>
        </w:rPr>
        <w:lastRenderedPageBreak/>
        <w:t>Division 7</w:t>
      </w:r>
      <w:r w:rsidRPr="00A95F9A">
        <w:rPr>
          <w:rFonts w:ascii="Helvetica" w:hAnsi="Helvetica" w:cs="Helvetica"/>
          <w:iCs/>
          <w:szCs w:val="28"/>
        </w:rPr>
        <w:tab/>
      </w:r>
      <w:r w:rsidRPr="005E03F7">
        <w:rPr>
          <w:rStyle w:val="CharDivText"/>
          <w:rFonts w:ascii="Helvetica" w:hAnsi="Helvetica" w:cs="Helvetica"/>
          <w:iCs/>
          <w:szCs w:val="28"/>
        </w:rPr>
        <w:t>Further powers in relation to heavy vehicles concerning mass, dimension or loading requirements</w:t>
      </w:r>
      <w:bookmarkEnd w:id="633"/>
    </w:p>
    <w:p w14:paraId="47E2D3EF" w14:textId="77777777" w:rsidR="00DB6E47" w:rsidRPr="007E1F9A" w:rsidRDefault="00DB6E47" w:rsidP="00DB6E47">
      <w:pPr>
        <w:pStyle w:val="AH5Sec"/>
      </w:pPr>
      <w:bookmarkStart w:id="634" w:name="_Toc83625978"/>
      <w:r w:rsidRPr="005E03F7">
        <w:rPr>
          <w:rStyle w:val="CharSectNo"/>
        </w:rPr>
        <w:t>532</w:t>
      </w:r>
      <w:r w:rsidRPr="007E1F9A">
        <w:tab/>
      </w:r>
      <w:r w:rsidRPr="007E1F9A">
        <w:rPr>
          <w:rFonts w:ascii="Helvetica" w:hAnsi="Helvetica" w:cs="Helvetica"/>
          <w:iCs/>
        </w:rPr>
        <w:t>Application of Div 7</w:t>
      </w:r>
      <w:bookmarkEnd w:id="634"/>
    </w:p>
    <w:p w14:paraId="63E956C2" w14:textId="77777777" w:rsidR="00DB6E47" w:rsidRPr="00CC4412" w:rsidRDefault="00DB6E47" w:rsidP="00DB6E47">
      <w:pPr>
        <w:pStyle w:val="Amainreturn"/>
      </w:pPr>
      <w:r w:rsidRPr="00CC4412">
        <w:t>This Division applies to a heavy vehicle regardless of whether the vehicle is, has been, or becomes the subject of a direction or requirement given or made by an authorised officer under another provision of this Chapter.</w:t>
      </w:r>
    </w:p>
    <w:p w14:paraId="09B22FA4" w14:textId="77777777" w:rsidR="00DB6E47" w:rsidRPr="007E1F9A" w:rsidRDefault="00DB6E47" w:rsidP="00DB6E47">
      <w:pPr>
        <w:pStyle w:val="AH5Sec"/>
      </w:pPr>
      <w:bookmarkStart w:id="635" w:name="_Toc83625979"/>
      <w:r w:rsidRPr="005E03F7">
        <w:rPr>
          <w:rStyle w:val="CharSectNo"/>
        </w:rPr>
        <w:t>533</w:t>
      </w:r>
      <w:r w:rsidRPr="007E1F9A">
        <w:tab/>
      </w:r>
      <w:r w:rsidRPr="007E1F9A">
        <w:rPr>
          <w:rFonts w:ascii="Helvetica" w:hAnsi="Helvetica" w:cs="Helvetica"/>
          <w:iCs/>
        </w:rPr>
        <w:t>Powers for minor risk breach of mass, dimension or loading requirement</w:t>
      </w:r>
      <w:bookmarkEnd w:id="635"/>
    </w:p>
    <w:p w14:paraId="13DA4DEB" w14:textId="77777777" w:rsidR="00DB6E47" w:rsidRPr="00CC4412" w:rsidRDefault="00DB6E47" w:rsidP="00DB6E47">
      <w:pPr>
        <w:pStyle w:val="Amain"/>
      </w:pPr>
      <w:r w:rsidRPr="00CC4412">
        <w:tab/>
        <w:t>(1)</w:t>
      </w:r>
      <w:r w:rsidRPr="00CC4412">
        <w:tab/>
        <w:t>This section applies if an authorised officer reasonably believes a heavy vehicle—</w:t>
      </w:r>
    </w:p>
    <w:p w14:paraId="38EBF1B6" w14:textId="77777777" w:rsidR="00DB6E47" w:rsidRPr="00544ED5" w:rsidRDefault="00DB6E47" w:rsidP="00DB6E47">
      <w:pPr>
        <w:pStyle w:val="Apara"/>
      </w:pPr>
      <w:r w:rsidRPr="00544ED5">
        <w:tab/>
        <w:t>(a)</w:t>
      </w:r>
      <w:r w:rsidRPr="00544ED5">
        <w:tab/>
        <w:t>is the subject of 1 or more minor risk breaches of mass, dimension or loading requirements; and</w:t>
      </w:r>
    </w:p>
    <w:p w14:paraId="4EA49594" w14:textId="77777777" w:rsidR="00DB6E47" w:rsidRPr="00544ED5" w:rsidRDefault="00DB6E47" w:rsidP="00DB6E47">
      <w:pPr>
        <w:pStyle w:val="Apara"/>
      </w:pPr>
      <w:r w:rsidRPr="00544ED5">
        <w:tab/>
        <w:t>(b)</w:t>
      </w:r>
      <w:r w:rsidRPr="00544ED5">
        <w:tab/>
        <w:t>is not, or is no longer, also the subject of a substantial, or severe, risk breach of a mass, dimension or loading requirement.</w:t>
      </w:r>
    </w:p>
    <w:p w14:paraId="1B0B2D07" w14:textId="77777777" w:rsidR="00DB6E47" w:rsidRPr="00CC4412" w:rsidRDefault="00DB6E47" w:rsidP="00DB6E47">
      <w:pPr>
        <w:pStyle w:val="Amain"/>
      </w:pPr>
      <w:r w:rsidRPr="00CC4412">
        <w:tab/>
        <w:t>(2)</w:t>
      </w:r>
      <w:r w:rsidRPr="00CC4412">
        <w:tab/>
        <w:t>If the authorised officer reasonably believes it appropriate in the circumstances, the officer may direct the driver or operator of the heavy vehicle—</w:t>
      </w:r>
    </w:p>
    <w:p w14:paraId="16CB2C5A" w14:textId="77777777" w:rsidR="00DB6E47" w:rsidRPr="00544ED5" w:rsidRDefault="00DB6E47" w:rsidP="00DB6E47">
      <w:pPr>
        <w:pStyle w:val="Apara"/>
      </w:pPr>
      <w:r w:rsidRPr="00544ED5">
        <w:tab/>
        <w:t>(a)</w:t>
      </w:r>
      <w:r w:rsidRPr="00544ED5">
        <w:tab/>
        <w:t>to immediately rectify stated breaches of mass, dimension or loading requirements relating to the vehicle; or</w:t>
      </w:r>
    </w:p>
    <w:p w14:paraId="0B714520" w14:textId="77777777" w:rsidR="00DB6E47" w:rsidRPr="00544ED5" w:rsidRDefault="00DB6E47" w:rsidP="003C6640">
      <w:pPr>
        <w:pStyle w:val="Apara"/>
        <w:keepNext/>
      </w:pPr>
      <w:r w:rsidRPr="00544ED5">
        <w:tab/>
        <w:t>(b)</w:t>
      </w:r>
      <w:r w:rsidRPr="00544ED5">
        <w:tab/>
        <w:t>to move the vehicle, or cause it to be moved, to a stated place and not to move the vehicle, or cause it to be moved, from there until stated breaches of mass, dimension or loading requirements relating to the vehicle are rectified.</w:t>
      </w:r>
    </w:p>
    <w:p w14:paraId="13759A98" w14:textId="77777777" w:rsidR="00DB6E47" w:rsidRPr="00C96203" w:rsidRDefault="00DB6E47" w:rsidP="00DB6E47">
      <w:pPr>
        <w:pStyle w:val="aExamHdgss"/>
      </w:pPr>
      <w:r w:rsidRPr="00C96203">
        <w:rPr>
          <w:rFonts w:cs="Times"/>
          <w:bCs/>
          <w:iCs/>
        </w:rPr>
        <w:t>Examples of circumstances for the purposes of subsection (2)—</w:t>
      </w:r>
    </w:p>
    <w:p w14:paraId="21B87504" w14:textId="77777777" w:rsidR="00DB6E47" w:rsidRPr="00C96203" w:rsidRDefault="00DB6E47" w:rsidP="00DB6E47">
      <w:pPr>
        <w:pStyle w:val="aExamINumss"/>
      </w:pPr>
      <w:r w:rsidRPr="00C96203">
        <w:t xml:space="preserve">1 </w:t>
      </w:r>
      <w:r w:rsidRPr="00C96203">
        <w:tab/>
        <w:t>Rectification is reasonable and can be carried out easily.</w:t>
      </w:r>
    </w:p>
    <w:p w14:paraId="3C6DCBFB" w14:textId="77777777" w:rsidR="00DB6E47" w:rsidRPr="00C96203" w:rsidRDefault="00DB6E47" w:rsidP="00DB6E47">
      <w:pPr>
        <w:pStyle w:val="aExamINumss"/>
      </w:pPr>
      <w:r w:rsidRPr="00C96203">
        <w:lastRenderedPageBreak/>
        <w:t xml:space="preserve">2 </w:t>
      </w:r>
      <w:r w:rsidRPr="00C96203">
        <w:tab/>
        <w:t>Rectification is necessary in the public interest to avoid a safety risk, damage to road infrastructure or an adverse effect on public amenity.</w:t>
      </w:r>
    </w:p>
    <w:p w14:paraId="5B37387E" w14:textId="77777777" w:rsidR="00DB6E47" w:rsidRPr="00CC4412" w:rsidRDefault="00DB6E47" w:rsidP="00DB6E47">
      <w:pPr>
        <w:pStyle w:val="Amain"/>
      </w:pPr>
      <w:r w:rsidRPr="00CC4412">
        <w:tab/>
        <w:t>(3)</w:t>
      </w:r>
      <w:r w:rsidRPr="00CC4412">
        <w:tab/>
        <w:t>A pl</w:t>
      </w:r>
      <w:r w:rsidR="00D75CAB">
        <w:t>ace mentioned in subsection (2)</w:t>
      </w:r>
      <w:r w:rsidRPr="00CC4412">
        <w:t>(b)</w:t>
      </w:r>
      <w:r w:rsidR="00D75CAB">
        <w:t xml:space="preserve"> </w:t>
      </w:r>
      <w:r w:rsidRPr="00CC4412">
        <w:t>must be—</w:t>
      </w:r>
    </w:p>
    <w:p w14:paraId="707F3195" w14:textId="77777777" w:rsidR="00DB6E47" w:rsidRPr="00544ED5" w:rsidRDefault="00DB6E47" w:rsidP="00DB6E47">
      <w:pPr>
        <w:pStyle w:val="Apara"/>
      </w:pPr>
      <w:r w:rsidRPr="00544ED5">
        <w:tab/>
        <w:t>(a)</w:t>
      </w:r>
      <w:r w:rsidRPr="00544ED5">
        <w:tab/>
        <w:t>a place the authorised officer reasonably believes is suitable for the purpose of complying with the direction; and</w:t>
      </w:r>
    </w:p>
    <w:p w14:paraId="5A9E0BFA" w14:textId="77777777" w:rsidR="00DB6E47" w:rsidRPr="00544ED5" w:rsidRDefault="00DB6E47" w:rsidP="00DB6E47">
      <w:pPr>
        <w:pStyle w:val="Apara"/>
      </w:pPr>
      <w:r w:rsidRPr="00544ED5">
        <w:tab/>
        <w:t>(b)</w:t>
      </w:r>
      <w:r w:rsidRPr="00544ED5">
        <w:tab/>
        <w:t>within a 30km radius from—</w:t>
      </w:r>
    </w:p>
    <w:p w14:paraId="7C3E508E" w14:textId="77777777" w:rsidR="00DB6E47" w:rsidRPr="006C3305" w:rsidRDefault="00DB6E47" w:rsidP="00DB6E47">
      <w:pPr>
        <w:pStyle w:val="Asubpara"/>
      </w:pPr>
      <w:r>
        <w:tab/>
      </w:r>
      <w:r w:rsidRPr="00352CBD">
        <w:t>(i)</w:t>
      </w:r>
      <w:r w:rsidRPr="006C3305">
        <w:tab/>
        <w:t>where the heavy vehicle is located when the direction is given; or</w:t>
      </w:r>
    </w:p>
    <w:p w14:paraId="7DA55683" w14:textId="77777777" w:rsidR="00DB6E47" w:rsidRPr="006C3305" w:rsidRDefault="00DB6E47" w:rsidP="00DB6E47">
      <w:pPr>
        <w:pStyle w:val="Asubpara"/>
      </w:pPr>
      <w:r>
        <w:tab/>
        <w:t>(ii)</w:t>
      </w:r>
      <w:r w:rsidRPr="006C3305">
        <w:tab/>
        <w:t>if the direction is given in the course of the heavy vehicle’s journey—any point along the forward route of the journey.</w:t>
      </w:r>
    </w:p>
    <w:p w14:paraId="4AF4D467" w14:textId="77777777" w:rsidR="00DB6E47" w:rsidRPr="00CC4412" w:rsidRDefault="00DB6E47" w:rsidP="00DB6E47">
      <w:pPr>
        <w:pStyle w:val="Amain"/>
      </w:pPr>
      <w:r w:rsidRPr="00CC4412">
        <w:tab/>
        <w:t>(4)</w:t>
      </w:r>
      <w:r w:rsidRPr="00CC4412">
        <w:tab/>
        <w:t>If the authorised officer does not give the driver or operator of a heavy vehic</w:t>
      </w:r>
      <w:r w:rsidR="00D75CAB">
        <w:t xml:space="preserve">le a direction under subsection </w:t>
      </w:r>
      <w:r w:rsidRPr="00CC4412">
        <w:t>(2)</w:t>
      </w:r>
      <w:r w:rsidR="00D75CAB">
        <w:t xml:space="preserve"> </w:t>
      </w:r>
      <w:r w:rsidRPr="00CC4412">
        <w:t>and the authorised officer reasonably believes the driver or operator is not, or is no longer, subject to a direction for the rectification of a minor risk breach of a mass, dimension or loading requirement relating to the vehicle, the officer may authorise the driver or operator to continue the vehicle’s journey.</w:t>
      </w:r>
    </w:p>
    <w:p w14:paraId="2D855427" w14:textId="77777777" w:rsidR="00DB6E47" w:rsidRPr="00CC4412" w:rsidRDefault="00DB6E47" w:rsidP="00DB6E47">
      <w:pPr>
        <w:pStyle w:val="Amain"/>
      </w:pPr>
      <w:r w:rsidRPr="00CC4412">
        <w:tab/>
        <w:t>(5)</w:t>
      </w:r>
      <w:r w:rsidRPr="00CC4412">
        <w:tab/>
        <w:t>A d</w:t>
      </w:r>
      <w:r w:rsidR="00D75CAB">
        <w:t xml:space="preserve">irection given under subsection </w:t>
      </w:r>
      <w:r w:rsidRPr="00CC4412">
        <w:t>(2)</w:t>
      </w:r>
      <w:r w:rsidR="00D75CAB">
        <w:t xml:space="preserve"> </w:t>
      </w:r>
      <w:r w:rsidRPr="00CC4412">
        <w:t>must be in writing and may be given with or without conditions.</w:t>
      </w:r>
    </w:p>
    <w:p w14:paraId="6EFA22BF" w14:textId="77777777" w:rsidR="00DB6E47" w:rsidRPr="00CC4412" w:rsidRDefault="00DB6E47" w:rsidP="00DB6E47">
      <w:pPr>
        <w:pStyle w:val="Amain"/>
      </w:pPr>
      <w:r w:rsidRPr="00CC4412">
        <w:tab/>
        <w:t>(6)</w:t>
      </w:r>
      <w:r w:rsidRPr="00CC4412">
        <w:tab/>
        <w:t>Despite subsection (5), a direction to move a heavy vehicle may be given orally if the moving of the vehicle is carried out in the presence, or under the supervision, of an authorised officer.</w:t>
      </w:r>
    </w:p>
    <w:p w14:paraId="0D13FDA3" w14:textId="77777777" w:rsidR="00DB6E47" w:rsidRPr="00CC4412" w:rsidRDefault="00DB6E47" w:rsidP="00570761">
      <w:pPr>
        <w:pStyle w:val="Amain"/>
        <w:keepNext/>
      </w:pPr>
      <w:r w:rsidRPr="00CC4412">
        <w:tab/>
        <w:t>(7)</w:t>
      </w:r>
      <w:r w:rsidRPr="00CC4412">
        <w:tab/>
        <w:t>The person to whom a direction is given under this section must comply with the direction, unless the person has a reasonable excuse.</w:t>
      </w:r>
    </w:p>
    <w:p w14:paraId="52F6209E" w14:textId="77777777" w:rsidR="00DB6E47" w:rsidRPr="006C3305" w:rsidRDefault="00DB6E47" w:rsidP="00DB6E47">
      <w:pPr>
        <w:pStyle w:val="Penalty"/>
      </w:pPr>
      <w:r w:rsidRPr="00D91CC2">
        <w:rPr>
          <w:rFonts w:cs="Times"/>
          <w:bCs/>
          <w:iCs/>
        </w:rPr>
        <w:t>Maximum penalty—$10000.</w:t>
      </w:r>
    </w:p>
    <w:p w14:paraId="474E3566" w14:textId="77777777" w:rsidR="00DB6E47" w:rsidRPr="00CC4412" w:rsidRDefault="00DB6E47" w:rsidP="00DB6E47">
      <w:pPr>
        <w:pStyle w:val="Amain"/>
      </w:pPr>
      <w:r w:rsidRPr="00CC4412">
        <w:tab/>
        <w:t>(8)</w:t>
      </w:r>
      <w:r w:rsidRPr="00CC4412">
        <w:tab/>
        <w:t>In this section—</w:t>
      </w:r>
    </w:p>
    <w:p w14:paraId="1E636864" w14:textId="77777777" w:rsidR="00DB6E47" w:rsidRPr="00041046" w:rsidRDefault="00DB6E47" w:rsidP="00DB6E47">
      <w:pPr>
        <w:pStyle w:val="aDef"/>
        <w:rPr>
          <w:bCs/>
        </w:rPr>
      </w:pPr>
      <w:r w:rsidRPr="00041046">
        <w:rPr>
          <w:rStyle w:val="charBoldItals"/>
        </w:rPr>
        <w:t>stated</w:t>
      </w:r>
      <w:r w:rsidRPr="00041046">
        <w:t xml:space="preserve"> means stated by the authorised officer.</w:t>
      </w:r>
    </w:p>
    <w:p w14:paraId="66A8921A" w14:textId="77777777" w:rsidR="00DB6E47" w:rsidRPr="007E1F9A" w:rsidRDefault="00DB6E47" w:rsidP="00DB6E47">
      <w:pPr>
        <w:pStyle w:val="AH5Sec"/>
      </w:pPr>
      <w:bookmarkStart w:id="636" w:name="_Toc83625980"/>
      <w:r w:rsidRPr="005E03F7">
        <w:rPr>
          <w:rStyle w:val="CharSectNo"/>
        </w:rPr>
        <w:lastRenderedPageBreak/>
        <w:t>534</w:t>
      </w:r>
      <w:r w:rsidRPr="007E1F9A">
        <w:tab/>
      </w:r>
      <w:r w:rsidRPr="007E1F9A">
        <w:rPr>
          <w:rFonts w:ascii="Helvetica" w:hAnsi="Helvetica" w:cs="Helvetica"/>
          <w:iCs/>
        </w:rPr>
        <w:t>Powers for substantial risk breach of mass, dimension or loading requirement</w:t>
      </w:r>
      <w:bookmarkEnd w:id="636"/>
    </w:p>
    <w:p w14:paraId="6BF9DE1D" w14:textId="77777777" w:rsidR="00DB6E47" w:rsidRPr="00CC4412" w:rsidRDefault="00DB6E47" w:rsidP="006505F1">
      <w:pPr>
        <w:pStyle w:val="Amain"/>
        <w:keepNext/>
      </w:pPr>
      <w:r w:rsidRPr="00CC4412">
        <w:tab/>
        <w:t>(1)</w:t>
      </w:r>
      <w:r w:rsidRPr="00CC4412">
        <w:tab/>
        <w:t>This section applies if an authorised officer reasonably believes—</w:t>
      </w:r>
    </w:p>
    <w:p w14:paraId="6BCAE33D" w14:textId="77777777" w:rsidR="00DB6E47" w:rsidRPr="00544ED5" w:rsidRDefault="00DB6E47" w:rsidP="00DB6E47">
      <w:pPr>
        <w:pStyle w:val="Apara"/>
      </w:pPr>
      <w:r w:rsidRPr="00544ED5">
        <w:tab/>
        <w:t>(a)</w:t>
      </w:r>
      <w:r w:rsidRPr="00544ED5">
        <w:tab/>
        <w:t>a heavy vehicle is the subject of 1 or more substantial risk breaches of mass, dimension or loading requirements; and</w:t>
      </w:r>
    </w:p>
    <w:p w14:paraId="617C79CB" w14:textId="77777777" w:rsidR="00DB6E47" w:rsidRPr="00544ED5" w:rsidRDefault="00DB6E47" w:rsidP="00DB6E47">
      <w:pPr>
        <w:pStyle w:val="Apara"/>
      </w:pPr>
      <w:r w:rsidRPr="00544ED5">
        <w:tab/>
        <w:t>(b)</w:t>
      </w:r>
      <w:r w:rsidRPr="00544ED5">
        <w:tab/>
        <w:t>the heavy vehicle is not, or is no longer, also the subject of a severe risk breach of a mass, dimension or loading requirement.</w:t>
      </w:r>
    </w:p>
    <w:p w14:paraId="7F594A77" w14:textId="77777777" w:rsidR="00DB6E47" w:rsidRPr="00CC4412" w:rsidRDefault="00DB6E47" w:rsidP="00DB6E47">
      <w:pPr>
        <w:pStyle w:val="Amain"/>
      </w:pPr>
      <w:r w:rsidRPr="00CC4412">
        <w:tab/>
        <w:t>(2)</w:t>
      </w:r>
      <w:r w:rsidRPr="00CC4412">
        <w:tab/>
        <w:t>The authorised officer must direct the driver or operator of the heavy vehicle—</w:t>
      </w:r>
    </w:p>
    <w:p w14:paraId="1F8AC2C0" w14:textId="77777777" w:rsidR="00DB6E47" w:rsidRPr="00544ED5" w:rsidRDefault="00DB6E47" w:rsidP="00DB6E47">
      <w:pPr>
        <w:pStyle w:val="Apara"/>
      </w:pPr>
      <w:r w:rsidRPr="00544ED5">
        <w:tab/>
        <w:t>(a)</w:t>
      </w:r>
      <w:r w:rsidRPr="00544ED5">
        <w:tab/>
        <w:t>not to move the vehicle until stated breaches of mass, dimension or loading requirements relating to the vehicle are rectified; or</w:t>
      </w:r>
    </w:p>
    <w:p w14:paraId="295DFB9F" w14:textId="77777777" w:rsidR="00DB6E47" w:rsidRPr="00544ED5" w:rsidRDefault="00DB6E47" w:rsidP="00DB6E47">
      <w:pPr>
        <w:pStyle w:val="Apara"/>
      </w:pPr>
      <w:r w:rsidRPr="00544ED5">
        <w:tab/>
        <w:t>(b)</w:t>
      </w:r>
      <w:r w:rsidRPr="00544ED5">
        <w:tab/>
        <w:t>to move the vehicle, or cause it to be moved, to a stated reasonable place and not to move it, or cause it to be moved, from there until stated breaches of mass, dimension or loading requirements relating to the vehicle are rectified.</w:t>
      </w:r>
    </w:p>
    <w:p w14:paraId="158ABB43" w14:textId="77777777" w:rsidR="00DB6E47" w:rsidRPr="00C96203" w:rsidRDefault="00DB6E47" w:rsidP="00DB6E47">
      <w:pPr>
        <w:pStyle w:val="aExamHdgss"/>
      </w:pPr>
      <w:r w:rsidRPr="00C96203">
        <w:rPr>
          <w:rFonts w:cs="Times"/>
          <w:bCs/>
          <w:iCs/>
        </w:rPr>
        <w:t>Examples of reasonable place for the purposes of paragraph (b)—</w:t>
      </w:r>
    </w:p>
    <w:p w14:paraId="063EAB2C" w14:textId="77777777" w:rsidR="00DB6E47" w:rsidRPr="00C96203" w:rsidRDefault="00DB6E47" w:rsidP="00DB6E47">
      <w:pPr>
        <w:pStyle w:val="aExamBulletss"/>
      </w:pPr>
      <w:r w:rsidRPr="00C96203">
        <w:t xml:space="preserve">• </w:t>
      </w:r>
      <w:r w:rsidRPr="00C96203">
        <w:tab/>
        <w:t>the intended destination of the heavy vehicle’s journey</w:t>
      </w:r>
    </w:p>
    <w:p w14:paraId="2D396272" w14:textId="77777777" w:rsidR="00DB6E47" w:rsidRPr="00C96203" w:rsidRDefault="00DB6E47" w:rsidP="00DB6E47">
      <w:pPr>
        <w:pStyle w:val="aExamBulletss"/>
      </w:pPr>
      <w:r w:rsidRPr="00C96203">
        <w:t xml:space="preserve">• </w:t>
      </w:r>
      <w:r w:rsidRPr="00C96203">
        <w:tab/>
        <w:t>a depot of the heavy vehicle or, if the heavy vehicle is a combination, a depot of a vehicle in the combination</w:t>
      </w:r>
    </w:p>
    <w:p w14:paraId="0D827061" w14:textId="77777777" w:rsidR="00DB6E47" w:rsidRPr="00C96203" w:rsidRDefault="00DB6E47" w:rsidP="00DB6E47">
      <w:pPr>
        <w:pStyle w:val="aExamBulletss"/>
      </w:pPr>
      <w:r w:rsidRPr="00C96203">
        <w:t xml:space="preserve">• </w:t>
      </w:r>
      <w:r w:rsidRPr="00C96203">
        <w:tab/>
        <w:t>a weighbridge</w:t>
      </w:r>
    </w:p>
    <w:p w14:paraId="601DFF38" w14:textId="77777777" w:rsidR="00DB6E47" w:rsidRPr="00C96203" w:rsidRDefault="00DB6E47" w:rsidP="00DB6E47">
      <w:pPr>
        <w:pStyle w:val="aExamBulletss"/>
      </w:pPr>
      <w:r w:rsidRPr="00C96203">
        <w:t xml:space="preserve">• </w:t>
      </w:r>
      <w:r w:rsidRPr="00C96203">
        <w:tab/>
        <w:t>a rest area</w:t>
      </w:r>
    </w:p>
    <w:p w14:paraId="79D4FA35" w14:textId="77777777" w:rsidR="00DB6E47" w:rsidRPr="00C96203" w:rsidRDefault="00DB6E47" w:rsidP="00DB6E47">
      <w:pPr>
        <w:pStyle w:val="aExamBulletss"/>
      </w:pPr>
      <w:r w:rsidRPr="00C96203">
        <w:t xml:space="preserve">• </w:t>
      </w:r>
      <w:r w:rsidRPr="00C96203">
        <w:tab/>
        <w:t>a place where the heavy vehicle can be loaded or unloaded</w:t>
      </w:r>
    </w:p>
    <w:p w14:paraId="7A8FAE8C" w14:textId="77777777" w:rsidR="00DB6E47" w:rsidRPr="00CC4412" w:rsidRDefault="00DB6E47" w:rsidP="00DB6E47">
      <w:pPr>
        <w:pStyle w:val="Amain"/>
      </w:pPr>
      <w:r w:rsidRPr="00CC4412">
        <w:tab/>
        <w:t>(3)</w:t>
      </w:r>
      <w:r w:rsidRPr="00CC4412">
        <w:tab/>
        <w:t>A d</w:t>
      </w:r>
      <w:r w:rsidR="00D75CAB">
        <w:t xml:space="preserve">irection given under subsection </w:t>
      </w:r>
      <w:r w:rsidRPr="00CC4412">
        <w:t>(2)</w:t>
      </w:r>
      <w:r w:rsidR="00D75CAB">
        <w:t xml:space="preserve"> </w:t>
      </w:r>
      <w:r w:rsidRPr="00CC4412">
        <w:t>must be in writing and may be given with or without conditions.</w:t>
      </w:r>
    </w:p>
    <w:p w14:paraId="75283541" w14:textId="77777777" w:rsidR="00DB6E47" w:rsidRPr="00CC4412" w:rsidRDefault="00DB6E47" w:rsidP="00DB6E47">
      <w:pPr>
        <w:pStyle w:val="Amain"/>
      </w:pPr>
      <w:r w:rsidRPr="00CC4412">
        <w:tab/>
        <w:t>(4)</w:t>
      </w:r>
      <w:r w:rsidRPr="00CC4412">
        <w:tab/>
        <w:t>Despite subsection (3), a direction to move a heavy vehicle may be given orally if the moving of the vehicle is carried out in the presence, or under the supervision, of an authorised officer.</w:t>
      </w:r>
    </w:p>
    <w:p w14:paraId="228FFD52" w14:textId="77777777" w:rsidR="00DB6E47" w:rsidRPr="00CC4412" w:rsidRDefault="00DB6E47" w:rsidP="00DB6E47">
      <w:pPr>
        <w:pStyle w:val="Amain"/>
      </w:pPr>
      <w:r w:rsidRPr="00CC4412">
        <w:tab/>
        <w:t>(5)</w:t>
      </w:r>
      <w:r w:rsidRPr="00CC4412">
        <w:tab/>
        <w:t>The person to whom a direction is given under this section must comply with the direction, unless the person has a reasonable excuse.</w:t>
      </w:r>
    </w:p>
    <w:p w14:paraId="08F5EC43" w14:textId="77777777" w:rsidR="00DB6E47" w:rsidRPr="006C3305" w:rsidRDefault="00DB6E47" w:rsidP="00DB6E47">
      <w:pPr>
        <w:pStyle w:val="Penalty"/>
      </w:pPr>
      <w:r w:rsidRPr="00D91CC2">
        <w:rPr>
          <w:rFonts w:cs="Times"/>
          <w:bCs/>
          <w:iCs/>
        </w:rPr>
        <w:t>Maximum penalty—$10000.</w:t>
      </w:r>
    </w:p>
    <w:p w14:paraId="5D758607" w14:textId="77777777" w:rsidR="00DB6E47" w:rsidRPr="00CC4412" w:rsidRDefault="00DB6E47" w:rsidP="006505F1">
      <w:pPr>
        <w:pStyle w:val="Amain"/>
        <w:keepNext/>
      </w:pPr>
      <w:r w:rsidRPr="00CC4412">
        <w:lastRenderedPageBreak/>
        <w:tab/>
        <w:t>(6)</w:t>
      </w:r>
      <w:r w:rsidRPr="00CC4412">
        <w:tab/>
        <w:t>In this section—</w:t>
      </w:r>
    </w:p>
    <w:p w14:paraId="00A3A386" w14:textId="77777777" w:rsidR="00DB6E47" w:rsidRPr="00041046" w:rsidRDefault="00DB6E47" w:rsidP="00DB6E47">
      <w:pPr>
        <w:pStyle w:val="aDef"/>
        <w:rPr>
          <w:bCs/>
        </w:rPr>
      </w:pPr>
      <w:r w:rsidRPr="00041046">
        <w:rPr>
          <w:rStyle w:val="charBoldItals"/>
        </w:rPr>
        <w:t>stated</w:t>
      </w:r>
      <w:r w:rsidRPr="00041046">
        <w:t xml:space="preserve"> means stated by the authorised officer.</w:t>
      </w:r>
    </w:p>
    <w:p w14:paraId="20C4EB27" w14:textId="77777777" w:rsidR="00DB6E47" w:rsidRPr="007E1F9A" w:rsidRDefault="00DB6E47" w:rsidP="00DB6E47">
      <w:pPr>
        <w:pStyle w:val="AH5Sec"/>
      </w:pPr>
      <w:bookmarkStart w:id="637" w:name="_Toc83625981"/>
      <w:r w:rsidRPr="005E03F7">
        <w:rPr>
          <w:rStyle w:val="CharSectNo"/>
        </w:rPr>
        <w:t>535</w:t>
      </w:r>
      <w:r w:rsidRPr="007E1F9A">
        <w:tab/>
      </w:r>
      <w:r w:rsidRPr="007E1F9A">
        <w:rPr>
          <w:rFonts w:ascii="Helvetica" w:hAnsi="Helvetica" w:cs="Helvetica"/>
          <w:iCs/>
        </w:rPr>
        <w:t>Powers for severe risk breach of mass, dimension or loading requirement</w:t>
      </w:r>
      <w:bookmarkEnd w:id="637"/>
    </w:p>
    <w:p w14:paraId="3D7DF5BC" w14:textId="77777777" w:rsidR="00DB6E47" w:rsidRPr="00CC4412" w:rsidRDefault="00DB6E47" w:rsidP="000E08E8">
      <w:pPr>
        <w:pStyle w:val="Amain"/>
        <w:keepNext/>
      </w:pPr>
      <w:r w:rsidRPr="00CC4412">
        <w:tab/>
        <w:t>(1)</w:t>
      </w:r>
      <w:r w:rsidRPr="00CC4412">
        <w:tab/>
        <w:t>This section applies if an authorised officer reasonably believes a heavy vehicle is the subject of 1 or more severe risk breaches of mass, dimension or loading requirements.</w:t>
      </w:r>
    </w:p>
    <w:p w14:paraId="244905FA" w14:textId="77777777" w:rsidR="00DB6E47" w:rsidRPr="00CC4412" w:rsidRDefault="00DB6E47" w:rsidP="000E08E8">
      <w:pPr>
        <w:pStyle w:val="Amain"/>
        <w:keepNext/>
      </w:pPr>
      <w:r w:rsidRPr="00CC4412">
        <w:tab/>
        <w:t>(2)</w:t>
      </w:r>
      <w:r w:rsidRPr="00CC4412">
        <w:tab/>
        <w:t>The authorised officer must direct the driver or operator of the heavy vehicle—</w:t>
      </w:r>
    </w:p>
    <w:p w14:paraId="20770D5B" w14:textId="77777777" w:rsidR="00DB6E47" w:rsidRPr="00544ED5" w:rsidRDefault="00DB6E47" w:rsidP="00DB6E47">
      <w:pPr>
        <w:pStyle w:val="Apara"/>
      </w:pPr>
      <w:r w:rsidRPr="00544ED5">
        <w:tab/>
        <w:t>(a)</w:t>
      </w:r>
      <w:r w:rsidRPr="00544ED5">
        <w:tab/>
        <w:t>not to move the heavy vehicle until stated breaches of mass, dimension or loading requirements relating to the vehicle are rectified; or</w:t>
      </w:r>
    </w:p>
    <w:p w14:paraId="1248251E" w14:textId="77777777" w:rsidR="00DB6E47" w:rsidRPr="00544ED5" w:rsidRDefault="00DB6E47" w:rsidP="00456CD9">
      <w:pPr>
        <w:pStyle w:val="Apara"/>
        <w:keepNext/>
      </w:pPr>
      <w:r w:rsidRPr="00544ED5">
        <w:tab/>
        <w:t>(b)</w:t>
      </w:r>
      <w:r w:rsidRPr="00544ED5">
        <w:tab/>
        <w:t>if the prescribed circumstances exist—</w:t>
      </w:r>
    </w:p>
    <w:p w14:paraId="74C4A731" w14:textId="77777777" w:rsidR="00DB6E47" w:rsidRPr="00516F02" w:rsidRDefault="00DB6E47" w:rsidP="00DB6E47">
      <w:pPr>
        <w:pStyle w:val="Asubpara"/>
      </w:pPr>
      <w:r w:rsidRPr="00516F02">
        <w:tab/>
        <w:t>(i)</w:t>
      </w:r>
      <w:r w:rsidRPr="00516F02">
        <w:tab/>
        <w:t>to move the vehicle, or cause it to be moved, to the nearest stated safe location; and</w:t>
      </w:r>
    </w:p>
    <w:p w14:paraId="374F04F4" w14:textId="77777777" w:rsidR="00DB6E47" w:rsidRPr="00516F02" w:rsidRDefault="00DB6E47" w:rsidP="00DB6E47">
      <w:pPr>
        <w:pStyle w:val="Asubpara"/>
      </w:pPr>
      <w:r w:rsidRPr="00516F02">
        <w:tab/>
        <w:t>(ii)</w:t>
      </w:r>
      <w:r w:rsidRPr="00516F02">
        <w:tab/>
        <w:t>not to proceed from there until stated breaches of mass, dimension or loading requirements relating to the vehicle are rectified.</w:t>
      </w:r>
    </w:p>
    <w:p w14:paraId="6D7DCBBF" w14:textId="77777777" w:rsidR="00DB6E47" w:rsidRPr="00CC4412" w:rsidRDefault="00DB6E47" w:rsidP="00DB6E47">
      <w:pPr>
        <w:pStyle w:val="Amain"/>
      </w:pPr>
      <w:r w:rsidRPr="00CC4412">
        <w:tab/>
        <w:t>(3)</w:t>
      </w:r>
      <w:r w:rsidRPr="00CC4412">
        <w:tab/>
        <w:t>A d</w:t>
      </w:r>
      <w:r w:rsidR="00D75CAB">
        <w:t xml:space="preserve">irection given under subsection </w:t>
      </w:r>
      <w:r w:rsidRPr="00CC4412">
        <w:t>(2)</w:t>
      </w:r>
      <w:r w:rsidR="00D75CAB">
        <w:t xml:space="preserve"> </w:t>
      </w:r>
      <w:r w:rsidRPr="00CC4412">
        <w:t xml:space="preserve">must be in writing and may be given with or without conditions. </w:t>
      </w:r>
    </w:p>
    <w:p w14:paraId="0DFE46B1" w14:textId="77777777" w:rsidR="00DB6E47" w:rsidRPr="00CC4412" w:rsidRDefault="00DB6E47" w:rsidP="00DB6E47">
      <w:pPr>
        <w:pStyle w:val="Amain"/>
      </w:pPr>
      <w:r w:rsidRPr="00CC4412">
        <w:tab/>
        <w:t>(4)</w:t>
      </w:r>
      <w:r w:rsidRPr="00CC4412">
        <w:tab/>
        <w:t>Despite subsection (3), a direction to move a heavy vehicle may be given orally if the moving of the vehicle is carried out in the presence, or under the supervision, of an authorised officer.</w:t>
      </w:r>
    </w:p>
    <w:p w14:paraId="6EEAA1C8" w14:textId="77777777" w:rsidR="00DB6E47" w:rsidRPr="00CC4412" w:rsidRDefault="00DB6E47" w:rsidP="00DB6E47">
      <w:pPr>
        <w:pStyle w:val="Amain"/>
      </w:pPr>
      <w:r w:rsidRPr="00CC4412">
        <w:tab/>
        <w:t>(5)</w:t>
      </w:r>
      <w:r w:rsidRPr="00CC4412">
        <w:tab/>
        <w:t>The person to whom a direction is given under this section must comply with the direction, unless the person has a reasonable excuse.</w:t>
      </w:r>
    </w:p>
    <w:p w14:paraId="3A4D5950" w14:textId="77777777" w:rsidR="00DB6E47" w:rsidRPr="006C3305" w:rsidRDefault="00DB6E47" w:rsidP="00DB6E47">
      <w:pPr>
        <w:pStyle w:val="Penalty"/>
      </w:pPr>
      <w:r w:rsidRPr="00D91CC2">
        <w:rPr>
          <w:rFonts w:cs="Times"/>
          <w:bCs/>
          <w:iCs/>
        </w:rPr>
        <w:t>Maximum penalty—$10000.</w:t>
      </w:r>
    </w:p>
    <w:p w14:paraId="44681C04" w14:textId="77777777" w:rsidR="00DB6E47" w:rsidRPr="00CC4412" w:rsidRDefault="00DB6E47" w:rsidP="006505F1">
      <w:pPr>
        <w:pStyle w:val="Amain"/>
        <w:keepLines/>
      </w:pPr>
      <w:r w:rsidRPr="00CC4412">
        <w:lastRenderedPageBreak/>
        <w:tab/>
        <w:t>(6)</w:t>
      </w:r>
      <w:r w:rsidRPr="00CC4412">
        <w:tab/>
        <w:t>Nothing in this section prevents an authorised officer from taking into account the safety of the heavy vehicle or any load in it if the officer reasonably believes the officer can do so without prejudicing the safety of other property, people, the environment, road infrastructure or public amenity.</w:t>
      </w:r>
    </w:p>
    <w:p w14:paraId="6907AA01" w14:textId="77777777" w:rsidR="00DB6E47" w:rsidRPr="00CC4412" w:rsidRDefault="00DB6E47" w:rsidP="00DB6E47">
      <w:pPr>
        <w:pStyle w:val="Amain"/>
      </w:pPr>
      <w:r w:rsidRPr="00CC4412">
        <w:tab/>
        <w:t>(7)</w:t>
      </w:r>
      <w:r w:rsidRPr="00CC4412">
        <w:tab/>
        <w:t>In this section—</w:t>
      </w:r>
    </w:p>
    <w:p w14:paraId="6611DF6C" w14:textId="77777777" w:rsidR="00DB6E47" w:rsidRPr="00041046" w:rsidRDefault="00DB6E47" w:rsidP="00DB6E47">
      <w:pPr>
        <w:pStyle w:val="aDef"/>
        <w:rPr>
          <w:bCs/>
        </w:rPr>
      </w:pPr>
      <w:r w:rsidRPr="00041046">
        <w:rPr>
          <w:rStyle w:val="charBoldItals"/>
        </w:rPr>
        <w:t>prescribed circumstances</w:t>
      </w:r>
      <w:r w:rsidRPr="00041046">
        <w:t xml:space="preserve"> means—</w:t>
      </w:r>
    </w:p>
    <w:p w14:paraId="56B52420" w14:textId="77777777" w:rsidR="00DB6E47" w:rsidRPr="00D75CAB" w:rsidRDefault="00DB6E47" w:rsidP="00DB6E47">
      <w:pPr>
        <w:pStyle w:val="aDefpara"/>
      </w:pPr>
      <w:r w:rsidRPr="00FF4454">
        <w:tab/>
      </w:r>
      <w:r w:rsidRPr="00F04D8E">
        <w:rPr>
          <w:rFonts w:cs="Times"/>
          <w:bCs/>
          <w:iCs/>
        </w:rPr>
        <w:t>(a)</w:t>
      </w:r>
      <w:r w:rsidRPr="00FF4454">
        <w:rPr>
          <w:rStyle w:val="charBoldItals"/>
        </w:rPr>
        <w:tab/>
      </w:r>
      <w:r w:rsidRPr="00D75CAB">
        <w:t>there is a risk of harm to public safety; or</w:t>
      </w:r>
    </w:p>
    <w:p w14:paraId="7E37BD0F" w14:textId="77777777" w:rsidR="00DB6E47" w:rsidRPr="00D75CAB" w:rsidRDefault="00DB6E47" w:rsidP="00DB6E47">
      <w:pPr>
        <w:pStyle w:val="aDefpara"/>
      </w:pPr>
      <w:r w:rsidRPr="00D75CAB">
        <w:tab/>
        <w:t>(b)</w:t>
      </w:r>
      <w:r w:rsidRPr="00D75CAB">
        <w:tab/>
        <w:t>there is an appreciable risk of harm to the environment, road infrastructure or public amenity.</w:t>
      </w:r>
    </w:p>
    <w:p w14:paraId="3B5CD5B2" w14:textId="77777777" w:rsidR="00DB6E47" w:rsidRPr="00D75CAB" w:rsidRDefault="00DB6E47" w:rsidP="00DB6E47">
      <w:pPr>
        <w:pStyle w:val="aDef"/>
      </w:pPr>
      <w:r w:rsidRPr="00D75CAB">
        <w:t>risk of harm to public safety, in relation to a heavy vehicle—</w:t>
      </w:r>
    </w:p>
    <w:p w14:paraId="737EE135" w14:textId="77777777" w:rsidR="00DB6E47" w:rsidRPr="00D75CAB" w:rsidRDefault="00DB6E47" w:rsidP="00DB6E47">
      <w:pPr>
        <w:pStyle w:val="aDefpara"/>
      </w:pPr>
      <w:r w:rsidRPr="00D75CAB">
        <w:tab/>
        <w:t>(a)</w:t>
      </w:r>
      <w:r w:rsidRPr="00D75CAB">
        <w:tab/>
        <w:t>includes the risk of harm to the safety of people, or live animals, in the vehicle; but</w:t>
      </w:r>
    </w:p>
    <w:p w14:paraId="65929C66" w14:textId="77777777" w:rsidR="00DB6E47" w:rsidRPr="00D75CAB" w:rsidRDefault="00DB6E47" w:rsidP="00DB6E47">
      <w:pPr>
        <w:pStyle w:val="aDefpara"/>
      </w:pPr>
      <w:r w:rsidRPr="00D75CAB">
        <w:tab/>
        <w:t>(b)</w:t>
      </w:r>
      <w:r w:rsidRPr="00D75CAB">
        <w:tab/>
        <w:t>does not include the risk of harm to the safety of the vehicle or goods, other than a live animal, in the vehicle.</w:t>
      </w:r>
    </w:p>
    <w:p w14:paraId="4486CF7E" w14:textId="77777777" w:rsidR="00DB6E47" w:rsidRPr="00041046" w:rsidRDefault="00DB6E47" w:rsidP="00570761">
      <w:pPr>
        <w:pStyle w:val="aDef"/>
        <w:keepNext/>
        <w:keepLines/>
        <w:rPr>
          <w:bCs/>
        </w:rPr>
      </w:pPr>
      <w:r w:rsidRPr="00041046">
        <w:rPr>
          <w:rStyle w:val="charBoldItals"/>
        </w:rPr>
        <w:t>safe location</w:t>
      </w:r>
      <w:r w:rsidRPr="00041046">
        <w:t xml:space="preserve"> means a location where the authorised officer reasonably believes the heavy vehicle will pose a reduced risk or no appreciable risk of harm to public safety, the environment, road infrastructure or public amenity.</w:t>
      </w:r>
    </w:p>
    <w:p w14:paraId="02D2F7D5" w14:textId="77777777" w:rsidR="00DB6E47" w:rsidRPr="00C96203" w:rsidRDefault="00DB6E47" w:rsidP="00DB6E47">
      <w:pPr>
        <w:pStyle w:val="aExamHdgss"/>
      </w:pPr>
      <w:r w:rsidRPr="00C96203">
        <w:rPr>
          <w:rFonts w:cs="Times"/>
          <w:bCs/>
          <w:iCs/>
        </w:rPr>
        <w:t>Example of a safe location—</w:t>
      </w:r>
    </w:p>
    <w:p w14:paraId="727A5ECC" w14:textId="77777777" w:rsidR="00DB6E47" w:rsidRPr="00C96203" w:rsidRDefault="00DB6E47" w:rsidP="00570761">
      <w:pPr>
        <w:pStyle w:val="aExamBulletss"/>
        <w:keepNext/>
      </w:pPr>
      <w:r w:rsidRPr="00C96203">
        <w:t xml:space="preserve">• </w:t>
      </w:r>
      <w:r w:rsidRPr="00C96203">
        <w:tab/>
        <w:t>a depot of the heavy vehicle or, if the heavy vehicle is a combination, a depot of a vehicle in the combination</w:t>
      </w:r>
    </w:p>
    <w:p w14:paraId="5B93AFB2" w14:textId="77777777" w:rsidR="00DB6E47" w:rsidRPr="00C96203" w:rsidRDefault="00DB6E47" w:rsidP="00570761">
      <w:pPr>
        <w:pStyle w:val="aExamBulletss"/>
        <w:keepNext/>
      </w:pPr>
      <w:r w:rsidRPr="00C96203">
        <w:t xml:space="preserve">• </w:t>
      </w:r>
      <w:r w:rsidRPr="00C96203">
        <w:tab/>
        <w:t>a weighbridge</w:t>
      </w:r>
    </w:p>
    <w:p w14:paraId="4BC82CAF" w14:textId="77777777" w:rsidR="00DB6E47" w:rsidRPr="00C96203" w:rsidRDefault="00DB6E47" w:rsidP="00DB6E47">
      <w:pPr>
        <w:pStyle w:val="aExamBulletss"/>
      </w:pPr>
      <w:r w:rsidRPr="00C96203">
        <w:t xml:space="preserve">• </w:t>
      </w:r>
      <w:r w:rsidRPr="00C96203">
        <w:tab/>
        <w:t>a rest area</w:t>
      </w:r>
    </w:p>
    <w:p w14:paraId="59671A6D" w14:textId="77777777" w:rsidR="00DB6E47" w:rsidRPr="00C96203" w:rsidRDefault="00DB6E47" w:rsidP="00DB6E47">
      <w:pPr>
        <w:pStyle w:val="aExamBulletss"/>
      </w:pPr>
      <w:r w:rsidRPr="00C96203">
        <w:t xml:space="preserve">• </w:t>
      </w:r>
      <w:r w:rsidRPr="00C96203">
        <w:tab/>
        <w:t>a place where the heavy vehicle can be loaded or unloaded</w:t>
      </w:r>
    </w:p>
    <w:p w14:paraId="636DB42B" w14:textId="77777777" w:rsidR="00DB6E47" w:rsidRPr="00041046" w:rsidRDefault="00DB6E47" w:rsidP="00DB6E47">
      <w:pPr>
        <w:pStyle w:val="aDef"/>
        <w:rPr>
          <w:bCs/>
        </w:rPr>
      </w:pPr>
      <w:r w:rsidRPr="00041046">
        <w:rPr>
          <w:rStyle w:val="charBoldItals"/>
        </w:rPr>
        <w:t>stated</w:t>
      </w:r>
      <w:r w:rsidRPr="00041046">
        <w:t xml:space="preserve"> means stated by the authorised officer.</w:t>
      </w:r>
    </w:p>
    <w:p w14:paraId="02A5B708" w14:textId="77777777" w:rsidR="00DB6E47" w:rsidRPr="007E1F9A" w:rsidRDefault="00DB6E47" w:rsidP="00DB6E47">
      <w:pPr>
        <w:pStyle w:val="AH5Sec"/>
      </w:pPr>
      <w:bookmarkStart w:id="638" w:name="_Toc83625982"/>
      <w:r w:rsidRPr="005E03F7">
        <w:rPr>
          <w:rStyle w:val="CharSectNo"/>
        </w:rPr>
        <w:lastRenderedPageBreak/>
        <w:t>536</w:t>
      </w:r>
      <w:r w:rsidRPr="007E1F9A">
        <w:tab/>
      </w:r>
      <w:r w:rsidRPr="007E1F9A">
        <w:rPr>
          <w:rFonts w:ascii="Helvetica" w:hAnsi="Helvetica" w:cs="Helvetica"/>
          <w:iCs/>
        </w:rPr>
        <w:t>Operation of direction in relation to a combination</w:t>
      </w:r>
      <w:bookmarkEnd w:id="638"/>
    </w:p>
    <w:p w14:paraId="2A6B667B" w14:textId="77777777" w:rsidR="00DB6E47" w:rsidRPr="00CC4412" w:rsidRDefault="00DB6E47" w:rsidP="000E08E8">
      <w:pPr>
        <w:pStyle w:val="Amain"/>
        <w:keepNext/>
      </w:pPr>
      <w:r w:rsidRPr="00CC4412">
        <w:tab/>
        <w:t>(1)</w:t>
      </w:r>
      <w:r w:rsidRPr="00CC4412">
        <w:tab/>
        <w:t>This section applies if a direction is given under this Division in relation to a heavy combination.</w:t>
      </w:r>
    </w:p>
    <w:p w14:paraId="7547357B" w14:textId="77777777" w:rsidR="00DB6E47" w:rsidRPr="00CC4412" w:rsidRDefault="00DB6E47" w:rsidP="000E08E8">
      <w:pPr>
        <w:pStyle w:val="Amain"/>
        <w:keepNext/>
      </w:pPr>
      <w:r w:rsidRPr="00CC4412">
        <w:tab/>
        <w:t>(2)</w:t>
      </w:r>
      <w:r w:rsidRPr="00CC4412">
        <w:tab/>
        <w:t>Subject to subsection (3), nothing in this Division prevents a component vehicle of the heavy combination from being separately driven or moved if—</w:t>
      </w:r>
    </w:p>
    <w:p w14:paraId="47DB9463" w14:textId="77777777" w:rsidR="00DB6E47" w:rsidRPr="00544ED5" w:rsidRDefault="00DB6E47" w:rsidP="00DB6E47">
      <w:pPr>
        <w:pStyle w:val="Apara"/>
      </w:pPr>
      <w:r w:rsidRPr="00544ED5">
        <w:tab/>
        <w:t>(a)</w:t>
      </w:r>
      <w:r w:rsidRPr="00544ED5">
        <w:tab/>
        <w:t>the component vehicle is not itself the subject of a contravention of a mass, dimension or loading requirement; and</w:t>
      </w:r>
    </w:p>
    <w:p w14:paraId="4DD87899" w14:textId="77777777" w:rsidR="00DB6E47" w:rsidRPr="00544ED5" w:rsidRDefault="00DB6E47" w:rsidP="00DB6E47">
      <w:pPr>
        <w:pStyle w:val="Apara"/>
      </w:pPr>
      <w:r w:rsidRPr="00544ED5">
        <w:tab/>
        <w:t>(b)</w:t>
      </w:r>
      <w:r w:rsidRPr="00544ED5">
        <w:tab/>
        <w:t>it is not otherwise unlawful for the component vehicle to be driven or moved.</w:t>
      </w:r>
    </w:p>
    <w:p w14:paraId="04976F3C" w14:textId="77777777" w:rsidR="00DB6E47" w:rsidRPr="00CC4412" w:rsidRDefault="00D75CAB" w:rsidP="00DB6E47">
      <w:pPr>
        <w:pStyle w:val="Amain"/>
      </w:pPr>
      <w:r>
        <w:tab/>
        <w:t>(3)</w:t>
      </w:r>
      <w:r>
        <w:tab/>
        <w:t xml:space="preserve">Subsection </w:t>
      </w:r>
      <w:r w:rsidR="00DB6E47" w:rsidRPr="00CC4412">
        <w:t>(2)</w:t>
      </w:r>
      <w:r>
        <w:t xml:space="preserve"> </w:t>
      </w:r>
      <w:r w:rsidR="00DB6E47" w:rsidRPr="00CC4412">
        <w:t>does not apply if a condition of the direction prevents the component vehicle from being separately driven or moved.</w:t>
      </w:r>
    </w:p>
    <w:p w14:paraId="6B2DFC09" w14:textId="77777777" w:rsidR="00C85D3A" w:rsidRDefault="00C85D3A">
      <w:pPr>
        <w:pStyle w:val="02Text"/>
        <w:sectPr w:rsidR="00C85D3A" w:rsidSect="00C85D3A">
          <w:headerReference w:type="even" r:id="rId76"/>
          <w:headerReference w:type="default" r:id="rId77"/>
          <w:footerReference w:type="even" r:id="rId78"/>
          <w:footerReference w:type="default" r:id="rId79"/>
          <w:footerReference w:type="first" r:id="rId80"/>
          <w:pgSz w:w="11907" w:h="16839" w:code="9"/>
          <w:pgMar w:top="3880" w:right="1900" w:bottom="3100" w:left="2300" w:header="1920" w:footer="1760" w:gutter="0"/>
          <w:cols w:space="720"/>
          <w:docGrid w:linePitch="254"/>
        </w:sectPr>
      </w:pPr>
      <w:bookmarkStart w:id="639" w:name="_Toc83625983"/>
    </w:p>
    <w:p w14:paraId="4093089E" w14:textId="77777777" w:rsidR="00DB6E47" w:rsidRPr="005E03F7" w:rsidRDefault="00DB6E47" w:rsidP="00DB6E47">
      <w:pPr>
        <w:pStyle w:val="AH3Div"/>
      </w:pPr>
      <w:r w:rsidRPr="005E03F7">
        <w:rPr>
          <w:rStyle w:val="CharDivNo"/>
        </w:rPr>
        <w:lastRenderedPageBreak/>
        <w:t xml:space="preserve">Division 8 </w:t>
      </w:r>
      <w:r w:rsidRPr="00A95F9A">
        <w:rPr>
          <w:rFonts w:ascii="Helvetica" w:hAnsi="Helvetica" w:cs="Helvetica"/>
          <w:iCs/>
          <w:szCs w:val="28"/>
        </w:rPr>
        <w:tab/>
      </w:r>
      <w:r w:rsidRPr="005E03F7">
        <w:rPr>
          <w:rStyle w:val="CharDivText"/>
          <w:rFonts w:ascii="Helvetica" w:hAnsi="Helvetica" w:cs="Helvetica"/>
          <w:iCs/>
          <w:szCs w:val="28"/>
        </w:rPr>
        <w:t>Further powers in relation to fatigue-regulated heavy vehicles</w:t>
      </w:r>
      <w:bookmarkEnd w:id="639"/>
    </w:p>
    <w:p w14:paraId="63BE7B99" w14:textId="77777777" w:rsidR="00DB6E47" w:rsidRPr="007E1F9A" w:rsidRDefault="00DB6E47" w:rsidP="00DB6E47">
      <w:pPr>
        <w:pStyle w:val="AH5Sec"/>
      </w:pPr>
      <w:bookmarkStart w:id="640" w:name="_Toc83625984"/>
      <w:r w:rsidRPr="005E03F7">
        <w:rPr>
          <w:rStyle w:val="CharSectNo"/>
        </w:rPr>
        <w:t>537</w:t>
      </w:r>
      <w:r w:rsidRPr="007E1F9A">
        <w:tab/>
      </w:r>
      <w:r w:rsidRPr="007E1F9A">
        <w:rPr>
          <w:rFonts w:ascii="Helvetica" w:hAnsi="Helvetica" w:cs="Helvetica"/>
          <w:iCs/>
        </w:rPr>
        <w:t>Application of Div 8</w:t>
      </w:r>
      <w:bookmarkEnd w:id="640"/>
    </w:p>
    <w:p w14:paraId="1D98937F" w14:textId="77777777" w:rsidR="00DB6E47" w:rsidRPr="00CC4412" w:rsidRDefault="00DB6E47" w:rsidP="00570761">
      <w:pPr>
        <w:pStyle w:val="Amainreturn"/>
        <w:keepLines/>
      </w:pPr>
      <w:r w:rsidRPr="00CC4412">
        <w:t>This Division applies to a fatigue-regulated heavy vehicle regardless of whether the vehicle is, has been, or becomes the subject of a direction or requirement given or made by an authorised officer under another provision of this Chapter.</w:t>
      </w:r>
    </w:p>
    <w:p w14:paraId="015F2CBB" w14:textId="77777777" w:rsidR="00DB6E47" w:rsidRPr="007E1F9A" w:rsidRDefault="00DB6E47" w:rsidP="00DB6E47">
      <w:pPr>
        <w:pStyle w:val="AH5Sec"/>
      </w:pPr>
      <w:bookmarkStart w:id="641" w:name="_Toc83625985"/>
      <w:r w:rsidRPr="005E03F7">
        <w:rPr>
          <w:rStyle w:val="CharSectNo"/>
        </w:rPr>
        <w:t>538</w:t>
      </w:r>
      <w:r w:rsidRPr="007E1F9A">
        <w:tab/>
      </w:r>
      <w:r w:rsidRPr="007E1F9A">
        <w:rPr>
          <w:rFonts w:ascii="Helvetica" w:hAnsi="Helvetica" w:cs="Helvetica"/>
          <w:iCs/>
        </w:rPr>
        <w:t>Requiring driver to rest for contravention of maximum work requirement</w:t>
      </w:r>
      <w:bookmarkEnd w:id="641"/>
    </w:p>
    <w:p w14:paraId="3B43C140" w14:textId="77777777" w:rsidR="00DB6E47" w:rsidRPr="00CC4412" w:rsidRDefault="00DB6E47" w:rsidP="000E08E8">
      <w:pPr>
        <w:pStyle w:val="Amain"/>
        <w:keepNext/>
        <w:keepLines/>
      </w:pPr>
      <w:r w:rsidRPr="00CC4412">
        <w:tab/>
        <w:t>(1)</w:t>
      </w:r>
      <w:r w:rsidRPr="00CC4412">
        <w:tab/>
        <w:t>This section applies if an authorised officer reasonably believes the driver of a fatigue-regulated heavy vehicle has contravened a maximum work requirement by working for a period in excess of the maximum work time allowed under the requirement.</w:t>
      </w:r>
    </w:p>
    <w:p w14:paraId="31597A63" w14:textId="77777777" w:rsidR="00DB6E47" w:rsidRPr="00CC4412" w:rsidRDefault="00DB6E47" w:rsidP="000E08E8">
      <w:pPr>
        <w:pStyle w:val="Amain"/>
        <w:keepNext/>
      </w:pPr>
      <w:r w:rsidRPr="00CC4412">
        <w:tab/>
        <w:t>(2)</w:t>
      </w:r>
      <w:r w:rsidRPr="00CC4412">
        <w:tab/>
        <w:t>If the authorised officer reasonably believes the contravention is a critical risk breach or severe risk breach, the authorised officer must, by notice, require the driver—</w:t>
      </w:r>
    </w:p>
    <w:p w14:paraId="50B8E781" w14:textId="77777777" w:rsidR="00DB6E47" w:rsidRPr="00544ED5" w:rsidRDefault="00DB6E47" w:rsidP="00DB6E47">
      <w:pPr>
        <w:pStyle w:val="Apara"/>
      </w:pPr>
      <w:r w:rsidRPr="00544ED5">
        <w:tab/>
        <w:t>(a)</w:t>
      </w:r>
      <w:r w:rsidRPr="00544ED5">
        <w:tab/>
        <w:t>to immediately rest for a stated period in accordance with a minimum rest requirement applying to the driver; and</w:t>
      </w:r>
    </w:p>
    <w:p w14:paraId="60961AE6" w14:textId="77777777" w:rsidR="00DB6E47" w:rsidRPr="00544ED5" w:rsidRDefault="00DB6E47" w:rsidP="00DB6E47">
      <w:pPr>
        <w:pStyle w:val="Apara"/>
      </w:pPr>
      <w:r w:rsidRPr="00544ED5">
        <w:tab/>
        <w:t>(b)</w:t>
      </w:r>
      <w:r w:rsidRPr="00544ED5">
        <w:tab/>
        <w:t>to work for a stated shorter period when the driver next works to compensate for the excess period worked.</w:t>
      </w:r>
    </w:p>
    <w:p w14:paraId="7992DDFD" w14:textId="77777777" w:rsidR="00DB6E47" w:rsidRPr="00CC4412" w:rsidRDefault="00DB6E47" w:rsidP="00DB6E47">
      <w:pPr>
        <w:pStyle w:val="Amain"/>
      </w:pPr>
      <w:r w:rsidRPr="00CC4412">
        <w:tab/>
        <w:t>(3)</w:t>
      </w:r>
      <w:r w:rsidRPr="00CC4412">
        <w:tab/>
        <w:t>If the authorised officer reasonably believes the contravention is a substantial risk breach or minor risk breach, the authorised officer may, by notice, require the driver—</w:t>
      </w:r>
    </w:p>
    <w:p w14:paraId="125B3D75" w14:textId="77777777" w:rsidR="00DB6E47" w:rsidRPr="00544ED5" w:rsidRDefault="00DB6E47" w:rsidP="00DB6E47">
      <w:pPr>
        <w:pStyle w:val="Apara"/>
      </w:pPr>
      <w:r w:rsidRPr="00544ED5">
        <w:tab/>
        <w:t>(a)</w:t>
      </w:r>
      <w:r w:rsidRPr="00544ED5">
        <w:tab/>
        <w:t>to immediately rest for a stated period in accordance with a minimum rest requirement applying to the driver; and</w:t>
      </w:r>
    </w:p>
    <w:p w14:paraId="51515F6F" w14:textId="77777777" w:rsidR="00DB6E47" w:rsidRPr="00544ED5" w:rsidRDefault="00DB6E47" w:rsidP="00DB6E47">
      <w:pPr>
        <w:pStyle w:val="Apara"/>
      </w:pPr>
      <w:r w:rsidRPr="00544ED5">
        <w:tab/>
        <w:t>(b)</w:t>
      </w:r>
      <w:r w:rsidRPr="00544ED5">
        <w:tab/>
        <w:t>to work for a stated shorter period when the driver next works to compensate for the excess period worked.</w:t>
      </w:r>
    </w:p>
    <w:p w14:paraId="39C70C6D" w14:textId="77777777" w:rsidR="00DB6E47" w:rsidRPr="00CC4412" w:rsidRDefault="00DB6E47" w:rsidP="00DB6E47">
      <w:pPr>
        <w:pStyle w:val="Amain"/>
      </w:pPr>
      <w:r w:rsidRPr="00CC4412">
        <w:lastRenderedPageBreak/>
        <w:tab/>
        <w:t>(4)</w:t>
      </w:r>
      <w:r w:rsidRPr="00CC4412">
        <w:tab/>
        <w:t>If the authorised officer imposes</w:t>
      </w:r>
      <w:r w:rsidR="00D75CAB">
        <w:t xml:space="preserve"> a requirement under subsection </w:t>
      </w:r>
      <w:r w:rsidRPr="00CC4412">
        <w:t>(2)</w:t>
      </w:r>
      <w:r w:rsidR="00D75CAB">
        <w:t xml:space="preserve"> </w:t>
      </w:r>
      <w:r w:rsidRPr="00CC4412">
        <w:t>or (3), the authorised officer must record details of the requirement in the driver’s work diary.</w:t>
      </w:r>
    </w:p>
    <w:p w14:paraId="2434890A" w14:textId="77777777" w:rsidR="00DB6E47" w:rsidRPr="00C96203" w:rsidRDefault="00DB6E47" w:rsidP="00DB6E47">
      <w:pPr>
        <w:pStyle w:val="aNote"/>
      </w:pPr>
      <w:r w:rsidRPr="00FF4454">
        <w:rPr>
          <w:rStyle w:val="charItals"/>
        </w:rPr>
        <w:t>Note</w:t>
      </w:r>
      <w:r w:rsidRPr="00C96203">
        <w:rPr>
          <w:rFonts w:cs="Times"/>
          <w:bCs/>
          <w:iCs/>
        </w:rPr>
        <w:t>—</w:t>
      </w:r>
    </w:p>
    <w:p w14:paraId="0E7A1D80" w14:textId="77777777" w:rsidR="00DB6E47" w:rsidRPr="00C96203" w:rsidRDefault="00DB6E47" w:rsidP="00DB6E47">
      <w:pPr>
        <w:pStyle w:val="aNoteTextss"/>
      </w:pPr>
      <w:r w:rsidRPr="00C96203">
        <w:t>Section 541 deals with the situation where the driver does not produce the work diary or produces something as a work diary that the authorised officer reasonably believes to be unacceptable.</w:t>
      </w:r>
    </w:p>
    <w:p w14:paraId="7DCA7B4F" w14:textId="77777777" w:rsidR="00DB6E47" w:rsidRPr="007E1F9A" w:rsidRDefault="00DB6E47" w:rsidP="00DB6E47">
      <w:pPr>
        <w:pStyle w:val="AH5Sec"/>
      </w:pPr>
      <w:bookmarkStart w:id="642" w:name="_Toc83625986"/>
      <w:r w:rsidRPr="005E03F7">
        <w:rPr>
          <w:rStyle w:val="CharSectNo"/>
        </w:rPr>
        <w:t>539</w:t>
      </w:r>
      <w:r w:rsidRPr="007E1F9A">
        <w:tab/>
      </w:r>
      <w:r w:rsidRPr="007E1F9A">
        <w:rPr>
          <w:rFonts w:ascii="Helvetica" w:hAnsi="Helvetica" w:cs="Helvetica"/>
          <w:iCs/>
        </w:rPr>
        <w:t>Requiring driver to rest for contravention of minimum rest requirement</w:t>
      </w:r>
      <w:bookmarkEnd w:id="642"/>
    </w:p>
    <w:p w14:paraId="5BE96E4C" w14:textId="77777777" w:rsidR="00DB6E47" w:rsidRPr="00CC4412" w:rsidRDefault="00DB6E47" w:rsidP="00DB6E47">
      <w:pPr>
        <w:pStyle w:val="Amain"/>
      </w:pPr>
      <w:r w:rsidRPr="00CC4412">
        <w:tab/>
        <w:t>(1)</w:t>
      </w:r>
      <w:r w:rsidRPr="00CC4412">
        <w:tab/>
        <w:t>This section applies if an authorised officer reasonably believes the driver of a fatigue-regulated heavy vehicle has contravened a minimum rest requirement by resting for a period shorter than the minimum rest time required under the requirement.</w:t>
      </w:r>
    </w:p>
    <w:p w14:paraId="25394954" w14:textId="77777777" w:rsidR="00DB6E47" w:rsidRPr="00CC4412" w:rsidRDefault="00DB6E47" w:rsidP="00DB6E47">
      <w:pPr>
        <w:pStyle w:val="Amain"/>
      </w:pPr>
      <w:r w:rsidRPr="00CC4412">
        <w:tab/>
        <w:t>(2)</w:t>
      </w:r>
      <w:r w:rsidRPr="00CC4412">
        <w:tab/>
        <w:t>If the authorised officer reasonably believes the contravention is a critical risk breach or severe risk breach, the authorised officer must, by notice, require the driver—</w:t>
      </w:r>
    </w:p>
    <w:p w14:paraId="21BEEEB0" w14:textId="77777777" w:rsidR="00DB6E47" w:rsidRPr="00544ED5" w:rsidRDefault="00DB6E47" w:rsidP="00DB6E47">
      <w:pPr>
        <w:pStyle w:val="Apara"/>
      </w:pPr>
      <w:r w:rsidRPr="00544ED5">
        <w:tab/>
        <w:t>(a)</w:t>
      </w:r>
      <w:r w:rsidRPr="00544ED5">
        <w:tab/>
        <w:t>to immediately rest for a stated period to compensate for the shortfall between the period of rest the driver had and the minimum rest time required under the minimum rest requirement; and</w:t>
      </w:r>
    </w:p>
    <w:p w14:paraId="34D7A13E" w14:textId="77777777" w:rsidR="00DB6E47" w:rsidRPr="00544ED5" w:rsidRDefault="00DB6E47" w:rsidP="001906C7">
      <w:pPr>
        <w:pStyle w:val="Apara"/>
        <w:keepLines/>
      </w:pPr>
      <w:r w:rsidRPr="00544ED5">
        <w:tab/>
        <w:t>(b)</w:t>
      </w:r>
      <w:r w:rsidRPr="00544ED5">
        <w:tab/>
        <w:t>if the driver has failed to have 1 or more night rest breaks required under a minimum rest requirement—to have 1 or more night rest breaks to compensate for the shortfall between the number of night rest breaks the driver had and the number of night rest breaks required under the minimum rest requirement.</w:t>
      </w:r>
    </w:p>
    <w:p w14:paraId="4F51900E" w14:textId="77777777" w:rsidR="00DB6E47" w:rsidRPr="00CC4412" w:rsidRDefault="00DB6E47" w:rsidP="003C6640">
      <w:pPr>
        <w:pStyle w:val="Amain"/>
        <w:keepNext/>
      </w:pPr>
      <w:r w:rsidRPr="00CC4412">
        <w:lastRenderedPageBreak/>
        <w:tab/>
        <w:t>(3)</w:t>
      </w:r>
      <w:r w:rsidRPr="00CC4412">
        <w:tab/>
        <w:t>If the authorised officer reasonably believes the contravention is a substantial risk breach or minor risk breach, the authorised officer may, by notice, require the driver—</w:t>
      </w:r>
    </w:p>
    <w:p w14:paraId="07103C56" w14:textId="77777777" w:rsidR="00DB6E47" w:rsidRPr="00544ED5" w:rsidRDefault="00DB6E47" w:rsidP="003C6640">
      <w:pPr>
        <w:pStyle w:val="Apara"/>
        <w:keepLines/>
      </w:pPr>
      <w:r w:rsidRPr="00544ED5">
        <w:tab/>
        <w:t>(a)</w:t>
      </w:r>
      <w:r w:rsidRPr="00544ED5">
        <w:tab/>
        <w:t>to immediately rest for a stated period to compensate for the shortfall between the period of rest the driver had and the minimum rest time required under the minimum rest requirement; or</w:t>
      </w:r>
    </w:p>
    <w:p w14:paraId="14E75B27" w14:textId="77777777" w:rsidR="00DB6E47" w:rsidRPr="00544ED5" w:rsidRDefault="00DB6E47" w:rsidP="00DB6E47">
      <w:pPr>
        <w:pStyle w:val="Apara"/>
      </w:pPr>
      <w:r w:rsidRPr="00544ED5">
        <w:tab/>
        <w:t>(b)</w:t>
      </w:r>
      <w:r w:rsidRPr="00544ED5">
        <w:tab/>
        <w:t>to rest for an additional stated period, at the next rest break the driver is required to have under a maximum work requirement or minimum rest requirement, to compensate for the shortfall between the period of rest the driver had and the minimum rest time required under the minimum rest requirement; or</w:t>
      </w:r>
    </w:p>
    <w:p w14:paraId="0AA0AB95" w14:textId="77777777" w:rsidR="00DB6E47" w:rsidRPr="00544ED5" w:rsidRDefault="00DB6E47" w:rsidP="00DB6E47">
      <w:pPr>
        <w:pStyle w:val="Apara"/>
      </w:pPr>
      <w:r w:rsidRPr="00544ED5">
        <w:tab/>
        <w:t>(c)</w:t>
      </w:r>
      <w:r w:rsidRPr="00544ED5">
        <w:tab/>
        <w:t>if the driver has failed to have 1 or more night rest breaks required under a minimum rest requirement—to have 1 or more night rest breaks to compensate for the shortfall between the number of night rest breaks the driver had and the number of night rest breaks required under the minimum rest requirement.</w:t>
      </w:r>
    </w:p>
    <w:p w14:paraId="50E32063" w14:textId="77777777" w:rsidR="00DB6E47" w:rsidRPr="00CC4412" w:rsidRDefault="00DB6E47" w:rsidP="00DB6E47">
      <w:pPr>
        <w:pStyle w:val="Amain"/>
      </w:pPr>
      <w:r w:rsidRPr="00CC4412">
        <w:tab/>
        <w:t>(4)</w:t>
      </w:r>
      <w:r w:rsidRPr="00CC4412">
        <w:tab/>
        <w:t>If the authorised officer imposes</w:t>
      </w:r>
      <w:r w:rsidR="00D75CAB">
        <w:t xml:space="preserve"> a requirement under subsection </w:t>
      </w:r>
      <w:r w:rsidRPr="00CC4412">
        <w:t>(2)</w:t>
      </w:r>
      <w:r w:rsidR="00D75CAB">
        <w:t xml:space="preserve"> </w:t>
      </w:r>
      <w:r w:rsidRPr="00CC4412">
        <w:t>or (3), the authorised officer must record the details of the requirement in the driver’s work diary.</w:t>
      </w:r>
    </w:p>
    <w:p w14:paraId="345E44B7" w14:textId="77777777" w:rsidR="00DB6E47" w:rsidRPr="00C96203" w:rsidRDefault="00DB6E47" w:rsidP="00DB6E47">
      <w:pPr>
        <w:pStyle w:val="aNote"/>
      </w:pPr>
      <w:r w:rsidRPr="00FF4454">
        <w:rPr>
          <w:rStyle w:val="charItals"/>
        </w:rPr>
        <w:t>Note</w:t>
      </w:r>
      <w:r w:rsidRPr="00C96203">
        <w:rPr>
          <w:rFonts w:cs="Times"/>
          <w:bCs/>
          <w:iCs/>
        </w:rPr>
        <w:t>—</w:t>
      </w:r>
    </w:p>
    <w:p w14:paraId="1F7EF6A6" w14:textId="77777777" w:rsidR="00DB6E47" w:rsidRPr="00C96203" w:rsidRDefault="00DB6E47" w:rsidP="00DB6E47">
      <w:pPr>
        <w:pStyle w:val="aNoteTextss"/>
      </w:pPr>
      <w:r w:rsidRPr="00C96203">
        <w:t>Section 541 deals with the situation where the driver does not produce the work diary or produces something as a work diary that the authorised officer reasonably believes to be unacceptable.</w:t>
      </w:r>
    </w:p>
    <w:p w14:paraId="64C913CC" w14:textId="77777777" w:rsidR="00DB6E47" w:rsidRPr="007E1F9A" w:rsidRDefault="00DB6E47" w:rsidP="00DB6E47">
      <w:pPr>
        <w:pStyle w:val="AH5Sec"/>
      </w:pPr>
      <w:bookmarkStart w:id="643" w:name="_Toc83625987"/>
      <w:r w:rsidRPr="005E03F7">
        <w:rPr>
          <w:rStyle w:val="CharSectNo"/>
        </w:rPr>
        <w:t>540</w:t>
      </w:r>
      <w:r w:rsidRPr="007E1F9A">
        <w:tab/>
      </w:r>
      <w:r w:rsidRPr="007E1F9A">
        <w:rPr>
          <w:rFonts w:ascii="Helvetica" w:hAnsi="Helvetica" w:cs="Helvetica"/>
          <w:iCs/>
        </w:rPr>
        <w:t>Requiring driver to stop working if impaired by fatigue</w:t>
      </w:r>
      <w:bookmarkEnd w:id="643"/>
    </w:p>
    <w:p w14:paraId="11095C9E" w14:textId="77777777" w:rsidR="00DB6E47" w:rsidRPr="00CC4412" w:rsidRDefault="00DB6E47" w:rsidP="00DB6E47">
      <w:pPr>
        <w:pStyle w:val="Amain"/>
      </w:pPr>
      <w:r w:rsidRPr="00CC4412">
        <w:tab/>
        <w:t>(1)</w:t>
      </w:r>
      <w:r w:rsidRPr="00CC4412">
        <w:tab/>
        <w:t>This section applies if an authorised officer reasonably believes the driver of a fatigue-regulated heavy vehicle is impaired by fatigue.</w:t>
      </w:r>
    </w:p>
    <w:p w14:paraId="2F32D544" w14:textId="77777777" w:rsidR="00DB6E47" w:rsidRPr="00CC4412" w:rsidRDefault="00DB6E47" w:rsidP="00DB6E47">
      <w:pPr>
        <w:pStyle w:val="Amain"/>
      </w:pPr>
      <w:r w:rsidRPr="00CC4412">
        <w:tab/>
        <w:t>(2)</w:t>
      </w:r>
      <w:r w:rsidRPr="00CC4412">
        <w:tab/>
        <w:t>The authorised officer may, by notice—</w:t>
      </w:r>
    </w:p>
    <w:p w14:paraId="4C2C7090" w14:textId="77777777" w:rsidR="00DB6E47" w:rsidRPr="00544ED5" w:rsidRDefault="00DB6E47" w:rsidP="00DB6E47">
      <w:pPr>
        <w:pStyle w:val="Apara"/>
      </w:pPr>
      <w:r w:rsidRPr="00544ED5">
        <w:tab/>
        <w:t>(a)</w:t>
      </w:r>
      <w:r w:rsidRPr="00544ED5">
        <w:tab/>
        <w:t>require the driver to immediately stop work and not work again for a stated period; and</w:t>
      </w:r>
    </w:p>
    <w:p w14:paraId="5FE71C80" w14:textId="77777777" w:rsidR="00DB6E47" w:rsidRPr="00544ED5" w:rsidRDefault="00DB6E47" w:rsidP="00DB6E47">
      <w:pPr>
        <w:pStyle w:val="Apara"/>
      </w:pPr>
      <w:r w:rsidRPr="00544ED5">
        <w:lastRenderedPageBreak/>
        <w:tab/>
        <w:t>(b)</w:t>
      </w:r>
      <w:r w:rsidRPr="00544ED5">
        <w:tab/>
        <w:t>if the officer has observed the driver driving in a way the officer considers on reasonable grounds to be dangerous, require the driver to also immediately stop being in control of the fatigue-regulated heavy vehicle.</w:t>
      </w:r>
    </w:p>
    <w:p w14:paraId="403D52AF" w14:textId="77777777" w:rsidR="00DB6E47" w:rsidRPr="00CC4412" w:rsidRDefault="00DB6E47" w:rsidP="00DB6E47">
      <w:pPr>
        <w:pStyle w:val="Amain"/>
      </w:pPr>
      <w:r w:rsidRPr="00CC4412">
        <w:tab/>
        <w:t>(3)</w:t>
      </w:r>
      <w:r w:rsidRPr="00CC4412">
        <w:tab/>
        <w:t>A sta</w:t>
      </w:r>
      <w:r w:rsidR="00D75CAB">
        <w:t>ted period under subsection (2)</w:t>
      </w:r>
      <w:r w:rsidRPr="00CC4412">
        <w:t>(a)</w:t>
      </w:r>
      <w:r w:rsidR="00D75CAB">
        <w:t xml:space="preserve"> </w:t>
      </w:r>
      <w:r w:rsidRPr="00CC4412">
        <w:t>must be a reasonable period having regard to the matters prescribed for the purposes of this section by the national regulations.</w:t>
      </w:r>
    </w:p>
    <w:p w14:paraId="0B99EAE7" w14:textId="77777777" w:rsidR="00DB6E47" w:rsidRPr="00CC4412" w:rsidRDefault="00DB6E47" w:rsidP="000E08E8">
      <w:pPr>
        <w:pStyle w:val="Amain"/>
        <w:keepNext/>
      </w:pPr>
      <w:r w:rsidRPr="00CC4412">
        <w:tab/>
        <w:t>(4)</w:t>
      </w:r>
      <w:r w:rsidRPr="00CC4412">
        <w:tab/>
        <w:t>If the authorised officer imposes a requirement under subsection</w:t>
      </w:r>
      <w:r w:rsidR="00D75CAB">
        <w:t> </w:t>
      </w:r>
      <w:r w:rsidRPr="00CC4412">
        <w:t>(2)(a), the authorised officer must record details of the requirement in the driver’s work diary.</w:t>
      </w:r>
    </w:p>
    <w:p w14:paraId="2AD565E7" w14:textId="77777777" w:rsidR="00DB6E47" w:rsidRPr="00C96203" w:rsidRDefault="00DB6E47" w:rsidP="000E08E8">
      <w:pPr>
        <w:pStyle w:val="aNote"/>
        <w:keepNext/>
      </w:pPr>
      <w:r w:rsidRPr="00FF4454">
        <w:rPr>
          <w:rStyle w:val="charItals"/>
        </w:rPr>
        <w:t>Note</w:t>
      </w:r>
      <w:r w:rsidRPr="00C96203">
        <w:rPr>
          <w:rFonts w:cs="Times"/>
          <w:bCs/>
          <w:iCs/>
        </w:rPr>
        <w:t>—</w:t>
      </w:r>
    </w:p>
    <w:p w14:paraId="57B31B6B" w14:textId="77777777" w:rsidR="00DB6E47" w:rsidRPr="00C96203" w:rsidRDefault="00DB6E47" w:rsidP="00DB6E47">
      <w:pPr>
        <w:pStyle w:val="aNoteTextss"/>
      </w:pPr>
      <w:r w:rsidRPr="00C96203">
        <w:t>Section 541 deals with the situation where the driver does not produce the work diary or produces something as a work diary that the authorised officer reasonably believes to be unacceptable.</w:t>
      </w:r>
    </w:p>
    <w:p w14:paraId="0D2FC32C" w14:textId="77777777" w:rsidR="00DB6E47" w:rsidRPr="00CC4412" w:rsidRDefault="00DB6E47" w:rsidP="00DB6E47">
      <w:pPr>
        <w:pStyle w:val="Amain"/>
      </w:pPr>
      <w:r w:rsidRPr="00CC4412">
        <w:tab/>
        <w:t>(5)</w:t>
      </w:r>
      <w:r w:rsidRPr="00CC4412">
        <w:tab/>
        <w:t>If the authorised officer imposes a requirement under subsection</w:t>
      </w:r>
      <w:r w:rsidR="00D75CAB">
        <w:t> </w:t>
      </w:r>
      <w:r w:rsidRPr="00CC4412">
        <w:t>(2)(b), the authorised officer may authorise a person to move the fatigue-regulated heavy vehicle to a suitable rest place for fatigue-regulated heavy vehicles but only if the person is qualified and fit to drive the vehicle.</w:t>
      </w:r>
    </w:p>
    <w:p w14:paraId="7C5F26A7" w14:textId="77777777" w:rsidR="00DB6E47" w:rsidRPr="00CC4412" w:rsidRDefault="00DB6E47" w:rsidP="00DB6E47">
      <w:pPr>
        <w:pStyle w:val="Amain"/>
      </w:pPr>
      <w:r w:rsidRPr="00CC4412">
        <w:tab/>
        <w:t>(6)</w:t>
      </w:r>
      <w:r w:rsidRPr="00CC4412">
        <w:tab/>
        <w:t>The national regulations may prescribe the matters to which the authorised officer, or a court, must or may have regard when deciding whether or not a person was impaired by fatigue for the purposes of this section.</w:t>
      </w:r>
    </w:p>
    <w:p w14:paraId="695AD34B" w14:textId="77777777" w:rsidR="00DB6E47" w:rsidRPr="007E1F9A" w:rsidRDefault="00DB6E47" w:rsidP="00DB6E47">
      <w:pPr>
        <w:pStyle w:val="AH5Sec"/>
      </w:pPr>
      <w:bookmarkStart w:id="644" w:name="_Toc83625988"/>
      <w:r w:rsidRPr="005E03F7">
        <w:rPr>
          <w:rStyle w:val="CharSectNo"/>
        </w:rPr>
        <w:lastRenderedPageBreak/>
        <w:t>541</w:t>
      </w:r>
      <w:r w:rsidRPr="007E1F9A">
        <w:tab/>
      </w:r>
      <w:r w:rsidRPr="007E1F9A">
        <w:rPr>
          <w:rFonts w:ascii="Helvetica" w:hAnsi="Helvetica" w:cs="Helvetica"/>
          <w:iCs/>
        </w:rPr>
        <w:t>Requiring driver to stop working if work diary not produced or unreliable</w:t>
      </w:r>
      <w:bookmarkEnd w:id="644"/>
    </w:p>
    <w:p w14:paraId="5C68E38C" w14:textId="77777777" w:rsidR="00DB6E47" w:rsidRPr="00CC4412" w:rsidRDefault="00DB6E47" w:rsidP="003C6640">
      <w:pPr>
        <w:pStyle w:val="Amain"/>
        <w:keepNext/>
      </w:pPr>
      <w:r w:rsidRPr="00CC4412">
        <w:tab/>
        <w:t>(1)</w:t>
      </w:r>
      <w:r w:rsidRPr="00CC4412">
        <w:tab/>
        <w:t>This section applies if—</w:t>
      </w:r>
    </w:p>
    <w:p w14:paraId="3EEE6300" w14:textId="77777777" w:rsidR="00DB6E47" w:rsidRPr="00544ED5" w:rsidRDefault="00DB6E47" w:rsidP="003C6640">
      <w:pPr>
        <w:pStyle w:val="Apara"/>
        <w:keepNext/>
      </w:pPr>
      <w:r w:rsidRPr="00544ED5">
        <w:tab/>
        <w:t>(a)</w:t>
      </w:r>
      <w:r w:rsidRPr="00544ED5">
        <w:tab/>
        <w:t>an authorised officer has, under section 568, asked the driver of a fatigue-regulated heavy vehicle to produce a work diary the driver is required to keep under this Law; and</w:t>
      </w:r>
    </w:p>
    <w:p w14:paraId="5A58DB7A" w14:textId="77777777" w:rsidR="00DB6E47" w:rsidRPr="00544ED5" w:rsidRDefault="00DB6E47" w:rsidP="003C6640">
      <w:pPr>
        <w:pStyle w:val="Apara"/>
        <w:keepNext/>
      </w:pPr>
      <w:r w:rsidRPr="00544ED5">
        <w:tab/>
        <w:t>(b)</w:t>
      </w:r>
      <w:r w:rsidRPr="00544ED5">
        <w:tab/>
        <w:t>either—</w:t>
      </w:r>
    </w:p>
    <w:p w14:paraId="1DE8C76A" w14:textId="77777777" w:rsidR="00DB6E47" w:rsidRPr="00516F02" w:rsidRDefault="00DB6E47" w:rsidP="00DB6E47">
      <w:pPr>
        <w:pStyle w:val="Asubpara"/>
      </w:pPr>
      <w:r w:rsidRPr="00516F02">
        <w:tab/>
        <w:t>(i)</w:t>
      </w:r>
      <w:r w:rsidRPr="00516F02">
        <w:tab/>
        <w:t>the driver has failed to produce the diary without a reasonable excuse; or</w:t>
      </w:r>
    </w:p>
    <w:p w14:paraId="0636FD29" w14:textId="77777777" w:rsidR="00DB6E47" w:rsidRPr="00516F02" w:rsidRDefault="00DB6E47" w:rsidP="00DB6E47">
      <w:pPr>
        <w:pStyle w:val="Asubpara"/>
      </w:pPr>
      <w:r w:rsidRPr="00516F02">
        <w:tab/>
        <w:t>(ii)</w:t>
      </w:r>
      <w:r w:rsidRPr="00516F02">
        <w:tab/>
        <w:t>the driver produces a document that the authorised officer reasonably believes is not the work diary the driver is required to keep under this Law; or</w:t>
      </w:r>
    </w:p>
    <w:p w14:paraId="069AC499" w14:textId="77777777" w:rsidR="00DB6E47" w:rsidRPr="00516F02" w:rsidRDefault="00DB6E47" w:rsidP="000E08E8">
      <w:pPr>
        <w:pStyle w:val="Asubpara"/>
        <w:keepLines/>
      </w:pPr>
      <w:r w:rsidRPr="00516F02">
        <w:tab/>
        <w:t>(iii)</w:t>
      </w:r>
      <w:r w:rsidRPr="00516F02">
        <w:tab/>
        <w:t>the authorised officer reasonably believes the work diary, or purported work diary, produced by the driver can not be relied on as an accurate record of the time the driver recently spent working or resting.</w:t>
      </w:r>
    </w:p>
    <w:p w14:paraId="7A74C59F" w14:textId="77777777" w:rsidR="00DB6E47" w:rsidRPr="00C96203" w:rsidRDefault="00DB6E47" w:rsidP="00DB6E47">
      <w:pPr>
        <w:pStyle w:val="aExamHdgss"/>
      </w:pPr>
      <w:r w:rsidRPr="00C96203">
        <w:rPr>
          <w:rFonts w:cs="Times"/>
          <w:bCs/>
          <w:iCs/>
        </w:rPr>
        <w:t>Examples for the purposes of subparagraph (iii)—</w:t>
      </w:r>
    </w:p>
    <w:p w14:paraId="6CCE4CC3" w14:textId="77777777" w:rsidR="00DB6E47" w:rsidRPr="00C96203" w:rsidRDefault="00DB6E47" w:rsidP="00DB6E47">
      <w:pPr>
        <w:pStyle w:val="aExamBulletss"/>
      </w:pPr>
      <w:r w:rsidRPr="00C96203">
        <w:t xml:space="preserve">• </w:t>
      </w:r>
      <w:r w:rsidRPr="00C96203">
        <w:tab/>
        <w:t>Information in the work diary appears to be incorrect.</w:t>
      </w:r>
    </w:p>
    <w:p w14:paraId="4163B32D" w14:textId="77777777" w:rsidR="00DB6E47" w:rsidRPr="00C96203" w:rsidRDefault="00DB6E47" w:rsidP="00DB6E47">
      <w:pPr>
        <w:pStyle w:val="aExamBulletss"/>
      </w:pPr>
      <w:r w:rsidRPr="00C96203">
        <w:t xml:space="preserve">• </w:t>
      </w:r>
      <w:r w:rsidRPr="00C96203">
        <w:tab/>
        <w:t>Particular information appears to be missing from the work diary.</w:t>
      </w:r>
    </w:p>
    <w:p w14:paraId="28DD9333" w14:textId="77777777" w:rsidR="00DB6E47" w:rsidRPr="00C96203" w:rsidRDefault="00DB6E47" w:rsidP="00DB6E47">
      <w:pPr>
        <w:pStyle w:val="aExamBulletss"/>
      </w:pPr>
      <w:r w:rsidRPr="00C96203">
        <w:t xml:space="preserve">• </w:t>
      </w:r>
      <w:r w:rsidRPr="00C96203">
        <w:tab/>
        <w:t>The work diary appears to have been tampered with.</w:t>
      </w:r>
    </w:p>
    <w:p w14:paraId="5764DACD" w14:textId="77777777" w:rsidR="00DB6E47" w:rsidRPr="00CC4412" w:rsidRDefault="00DB6E47" w:rsidP="00DB6E47">
      <w:pPr>
        <w:pStyle w:val="Amain"/>
      </w:pPr>
      <w:r w:rsidRPr="00CC4412">
        <w:tab/>
        <w:t>(2)</w:t>
      </w:r>
      <w:r w:rsidRPr="00CC4412">
        <w:tab/>
        <w:t>The authorised officer may, by notice, require the driver to immediately stop work and to not work again for a stated period of up to 24 hours.</w:t>
      </w:r>
    </w:p>
    <w:p w14:paraId="532ACB0E" w14:textId="77777777" w:rsidR="00DB6E47" w:rsidRPr="007E1F9A" w:rsidRDefault="00DB6E47" w:rsidP="00DB6E47">
      <w:pPr>
        <w:pStyle w:val="AH5Sec"/>
      </w:pPr>
      <w:bookmarkStart w:id="645" w:name="_Toc83625989"/>
      <w:r w:rsidRPr="005E03F7">
        <w:rPr>
          <w:rStyle w:val="CharSectNo"/>
        </w:rPr>
        <w:lastRenderedPageBreak/>
        <w:t>542</w:t>
      </w:r>
      <w:r w:rsidRPr="007E1F9A">
        <w:tab/>
      </w:r>
      <w:r w:rsidRPr="007E1F9A">
        <w:rPr>
          <w:rFonts w:ascii="Helvetica" w:hAnsi="Helvetica" w:cs="Helvetica"/>
          <w:iCs/>
        </w:rPr>
        <w:t>Compliance with requirement under this Division</w:t>
      </w:r>
      <w:bookmarkEnd w:id="645"/>
    </w:p>
    <w:p w14:paraId="2BBCB719" w14:textId="77777777" w:rsidR="00DB6E47" w:rsidRPr="00CC4412" w:rsidRDefault="00DB6E47" w:rsidP="003C6640">
      <w:pPr>
        <w:pStyle w:val="Amain"/>
        <w:keepNext/>
      </w:pPr>
      <w:r w:rsidRPr="00CC4412">
        <w:tab/>
        <w:t>(1)</w:t>
      </w:r>
      <w:r w:rsidRPr="00CC4412">
        <w:tab/>
        <w:t>A person given a notice under this Division must comply with the notice, unless the person has a reasonable excuse.</w:t>
      </w:r>
    </w:p>
    <w:p w14:paraId="01C8F9DA" w14:textId="77777777" w:rsidR="00DB6E47" w:rsidRPr="006C3305" w:rsidRDefault="00DB6E47" w:rsidP="003C6640">
      <w:pPr>
        <w:pStyle w:val="Penalty"/>
        <w:keepNext/>
      </w:pPr>
      <w:r w:rsidRPr="00D91CC2">
        <w:rPr>
          <w:rFonts w:cs="Times"/>
          <w:bCs/>
          <w:iCs/>
        </w:rPr>
        <w:t>Maximum penalty—$10000.</w:t>
      </w:r>
    </w:p>
    <w:p w14:paraId="1625C36A" w14:textId="77777777" w:rsidR="00DB6E47" w:rsidRPr="00CC4412" w:rsidRDefault="00DB6E47" w:rsidP="001906C7">
      <w:pPr>
        <w:pStyle w:val="Amain"/>
        <w:keepLines/>
      </w:pPr>
      <w:r w:rsidRPr="00CC4412">
        <w:tab/>
        <w:t>(2)</w:t>
      </w:r>
      <w:r w:rsidRPr="00CC4412">
        <w:tab/>
        <w:t>An authorised officer who gives a person a notice under section 538, 539 or 541 may, by stating it in the notice, allow the person to delay complying with the notice for a period of up to 1 hour if the authorised officer reasonably believes—</w:t>
      </w:r>
    </w:p>
    <w:p w14:paraId="41C67B39" w14:textId="77777777" w:rsidR="00DB6E47" w:rsidRPr="00544ED5" w:rsidRDefault="00DB6E47" w:rsidP="00DB6E47">
      <w:pPr>
        <w:pStyle w:val="Apara"/>
      </w:pPr>
      <w:r w:rsidRPr="00544ED5">
        <w:tab/>
        <w:t>(a)</w:t>
      </w:r>
      <w:r w:rsidRPr="00544ED5">
        <w:tab/>
        <w:t>the delay is necessary to allow the person time to drive the relevant fatigue-regulated heavy vehicle to the nearest suitable rest place for fatigue-regulated heavy vehicles and it is reasonably safe to allow the person to continue driving the vehicle to that place; or</w:t>
      </w:r>
    </w:p>
    <w:p w14:paraId="76720FA6" w14:textId="77777777" w:rsidR="00DB6E47" w:rsidRPr="00544ED5" w:rsidRDefault="00DB6E47" w:rsidP="00DB6E47">
      <w:pPr>
        <w:pStyle w:val="Apara"/>
      </w:pPr>
      <w:r w:rsidRPr="00544ED5">
        <w:tab/>
        <w:t>(b)</w:t>
      </w:r>
      <w:r w:rsidRPr="00544ED5">
        <w:tab/>
        <w:t>the delay is necessary to allow the person time to attend to, or to secure, the load on the relevant fatigue-regulated heavy vehicle before resting.</w:t>
      </w:r>
    </w:p>
    <w:p w14:paraId="10CF3A42" w14:textId="77777777" w:rsidR="00DB6E47" w:rsidRPr="003D647F" w:rsidRDefault="00DB6E47" w:rsidP="00DB6E47">
      <w:pPr>
        <w:pStyle w:val="PageBreak"/>
      </w:pPr>
      <w:r w:rsidRPr="003D647F">
        <w:br w:type="page"/>
      </w:r>
    </w:p>
    <w:p w14:paraId="78FABFA1" w14:textId="77777777" w:rsidR="00DB6E47" w:rsidRPr="005E03F7" w:rsidRDefault="00DB6E47" w:rsidP="00DB6E47">
      <w:pPr>
        <w:pStyle w:val="AH2Part"/>
      </w:pPr>
      <w:bookmarkStart w:id="646" w:name="_Toc83625990"/>
      <w:r w:rsidRPr="005E03F7">
        <w:rPr>
          <w:rStyle w:val="CharPartNo"/>
        </w:rPr>
        <w:lastRenderedPageBreak/>
        <w:t xml:space="preserve">Part 9.4 </w:t>
      </w:r>
      <w:r w:rsidRPr="00A95F9A">
        <w:rPr>
          <w:rFonts w:ascii="Helvetica" w:hAnsi="Helvetica" w:cs="Helvetica"/>
          <w:iCs/>
          <w:szCs w:val="32"/>
        </w:rPr>
        <w:tab/>
      </w:r>
      <w:r w:rsidRPr="005E03F7">
        <w:rPr>
          <w:rStyle w:val="CharPartText"/>
          <w:rFonts w:ascii="Helvetica" w:hAnsi="Helvetica" w:cs="Helvetica"/>
          <w:iCs/>
          <w:szCs w:val="32"/>
        </w:rPr>
        <w:t>Other powers</w:t>
      </w:r>
      <w:bookmarkEnd w:id="646"/>
    </w:p>
    <w:p w14:paraId="46967288" w14:textId="77777777" w:rsidR="00DB6E47" w:rsidRPr="005E03F7" w:rsidRDefault="00DB6E47" w:rsidP="00DB6E47">
      <w:pPr>
        <w:pStyle w:val="AH3Div"/>
      </w:pPr>
      <w:bookmarkStart w:id="647" w:name="_Toc83625991"/>
      <w:r w:rsidRPr="005E03F7">
        <w:rPr>
          <w:rStyle w:val="CharDivNo"/>
        </w:rPr>
        <w:t xml:space="preserve">Division 1 </w:t>
      </w:r>
      <w:r w:rsidRPr="00A95F9A">
        <w:rPr>
          <w:rFonts w:ascii="Helvetica" w:hAnsi="Helvetica" w:cs="Helvetica"/>
          <w:iCs/>
          <w:szCs w:val="28"/>
        </w:rPr>
        <w:tab/>
      </w:r>
      <w:r w:rsidRPr="005E03F7">
        <w:rPr>
          <w:rStyle w:val="CharDivText"/>
          <w:rFonts w:ascii="Helvetica" w:hAnsi="Helvetica" w:cs="Helvetica"/>
          <w:iCs/>
          <w:szCs w:val="28"/>
        </w:rPr>
        <w:t>Powers relating to equipment</w:t>
      </w:r>
      <w:bookmarkEnd w:id="647"/>
    </w:p>
    <w:p w14:paraId="14B4ACBE" w14:textId="77777777" w:rsidR="00DB6E47" w:rsidRPr="007E1F9A" w:rsidRDefault="00DB6E47" w:rsidP="00DB6E47">
      <w:pPr>
        <w:pStyle w:val="AH5Sec"/>
      </w:pPr>
      <w:bookmarkStart w:id="648" w:name="_Toc83625992"/>
      <w:r w:rsidRPr="005E03F7">
        <w:rPr>
          <w:rStyle w:val="CharSectNo"/>
        </w:rPr>
        <w:t>543</w:t>
      </w:r>
      <w:r w:rsidRPr="007E1F9A">
        <w:tab/>
      </w:r>
      <w:r w:rsidRPr="007E1F9A">
        <w:rPr>
          <w:rFonts w:ascii="Helvetica" w:hAnsi="Helvetica" w:cs="Helvetica"/>
          <w:iCs/>
        </w:rPr>
        <w:t>Power to use equipment to access information</w:t>
      </w:r>
      <w:bookmarkEnd w:id="648"/>
    </w:p>
    <w:p w14:paraId="7253A6A0" w14:textId="77777777" w:rsidR="00DB6E47" w:rsidRPr="00CC4412" w:rsidRDefault="00DB6E47" w:rsidP="00DB6E47">
      <w:pPr>
        <w:pStyle w:val="Amain"/>
      </w:pPr>
      <w:r w:rsidRPr="00CC4412">
        <w:tab/>
        <w:t>(1)</w:t>
      </w:r>
      <w:r w:rsidRPr="00CC4412">
        <w:tab/>
        <w:t>This section applies if—</w:t>
      </w:r>
    </w:p>
    <w:p w14:paraId="0E2C2B69" w14:textId="77777777" w:rsidR="00DB6E47" w:rsidRPr="00544ED5" w:rsidRDefault="00DB6E47" w:rsidP="00DB6E47">
      <w:pPr>
        <w:pStyle w:val="Apara"/>
      </w:pPr>
      <w:r>
        <w:tab/>
      </w:r>
      <w:r w:rsidRPr="00544ED5">
        <w:t>(a)</w:t>
      </w:r>
      <w:r w:rsidRPr="00544ED5">
        <w:tab/>
        <w:t xml:space="preserve">a thing found at a place, or in a vehicle, entered by an authorised officer under this Chapter is, or includes, a disc, tape or other device used for storing information (the </w:t>
      </w:r>
      <w:r w:rsidRPr="00FF4454">
        <w:rPr>
          <w:rStyle w:val="charBoldItals"/>
        </w:rPr>
        <w:t>storage device</w:t>
      </w:r>
      <w:r w:rsidRPr="00544ED5">
        <w:t>); and</w:t>
      </w:r>
    </w:p>
    <w:p w14:paraId="4F8A022E" w14:textId="77777777" w:rsidR="00DB6E47" w:rsidRPr="00544ED5" w:rsidRDefault="00DB6E47" w:rsidP="00DB6E47">
      <w:pPr>
        <w:pStyle w:val="Apara"/>
      </w:pPr>
      <w:r w:rsidRPr="00544ED5">
        <w:tab/>
        <w:t>(b)</w:t>
      </w:r>
      <w:r w:rsidRPr="00544ED5">
        <w:tab/>
        <w:t>equipment at the place, or in the vehicle, may be used with the storage device to access information on the storage device; and</w:t>
      </w:r>
    </w:p>
    <w:p w14:paraId="7C8290E6" w14:textId="77777777" w:rsidR="00DB6E47" w:rsidRPr="00544ED5" w:rsidRDefault="00DB6E47" w:rsidP="00DB6E47">
      <w:pPr>
        <w:pStyle w:val="Apara"/>
      </w:pPr>
      <w:r w:rsidRPr="00544ED5">
        <w:tab/>
        <w:t>(c)</w:t>
      </w:r>
      <w:r w:rsidRPr="00544ED5">
        <w:tab/>
        <w:t>the authorised officer reasonably believes information stored on the storage device may be relevant for deciding whether this Law is being complied with.</w:t>
      </w:r>
    </w:p>
    <w:p w14:paraId="37FDC0DD" w14:textId="77777777" w:rsidR="00DB6E47" w:rsidRPr="00CC4412" w:rsidRDefault="00DB6E47" w:rsidP="00DB6E47">
      <w:pPr>
        <w:pStyle w:val="Amain"/>
      </w:pPr>
      <w:r w:rsidRPr="00CC4412">
        <w:tab/>
        <w:t>(2)</w:t>
      </w:r>
      <w:r w:rsidRPr="00CC4412">
        <w:tab/>
        <w:t>The authorised officer, or a person helping the officer, may operate the equipment to access the information.</w:t>
      </w:r>
    </w:p>
    <w:p w14:paraId="1CDCBB20" w14:textId="77777777" w:rsidR="00DB6E47" w:rsidRPr="00CC4412" w:rsidRDefault="00DB6E47" w:rsidP="00DB6E47">
      <w:pPr>
        <w:pStyle w:val="Amain"/>
      </w:pPr>
      <w:r w:rsidRPr="00CC4412">
        <w:tab/>
        <w:t>(3)</w:t>
      </w:r>
      <w:r w:rsidRPr="00CC4412">
        <w:tab/>
        <w:t>A person may ope</w:t>
      </w:r>
      <w:r w:rsidR="00D75CAB">
        <w:t xml:space="preserve">rate equipment under subsection </w:t>
      </w:r>
      <w:r w:rsidRPr="00CC4412">
        <w:t>(2)</w:t>
      </w:r>
      <w:r w:rsidR="00D75CAB">
        <w:t xml:space="preserve"> </w:t>
      </w:r>
      <w:r w:rsidRPr="00CC4412">
        <w:t>only if the person reasonably believes the operation can be carried out without damaging the equipment.</w:t>
      </w:r>
    </w:p>
    <w:p w14:paraId="5B03701F" w14:textId="77777777" w:rsidR="00DB6E47" w:rsidRPr="00C96203" w:rsidRDefault="00DB6E47" w:rsidP="00DB6E47">
      <w:pPr>
        <w:pStyle w:val="aNote"/>
      </w:pPr>
      <w:r w:rsidRPr="00FF4454">
        <w:rPr>
          <w:rStyle w:val="charItals"/>
        </w:rPr>
        <w:t>Note</w:t>
      </w:r>
      <w:r w:rsidRPr="00C96203">
        <w:rPr>
          <w:rFonts w:cs="Times"/>
          <w:bCs/>
          <w:iCs/>
        </w:rPr>
        <w:t>—</w:t>
      </w:r>
    </w:p>
    <w:p w14:paraId="2DF149A0" w14:textId="77777777" w:rsidR="00DB6E47" w:rsidRPr="00C96203" w:rsidRDefault="00DB6E47" w:rsidP="00DB6E47">
      <w:pPr>
        <w:pStyle w:val="aNoteTextss"/>
      </w:pPr>
      <w:r w:rsidRPr="00C96203">
        <w:t>See section 548 for action an authorised officer may take if the officer, or a person helping the officer, finds a disc, tape or other device containing information the officer reasonably believes is relevant for deciding whether this Law has been contravened.</w:t>
      </w:r>
    </w:p>
    <w:p w14:paraId="1CA25C57" w14:textId="77777777" w:rsidR="00DB6E47" w:rsidRPr="00CC4412" w:rsidRDefault="00DB6E47" w:rsidP="00DB6E47">
      <w:pPr>
        <w:pStyle w:val="Amain"/>
      </w:pPr>
      <w:r w:rsidRPr="00CC4412">
        <w:tab/>
        <w:t>(4)</w:t>
      </w:r>
      <w:r w:rsidRPr="00CC4412">
        <w:tab/>
        <w:t>In this section—</w:t>
      </w:r>
    </w:p>
    <w:p w14:paraId="1BBD2796" w14:textId="77777777" w:rsidR="00DB6E47" w:rsidRPr="00041046" w:rsidRDefault="00DB6E47" w:rsidP="00DB6E47">
      <w:pPr>
        <w:pStyle w:val="aDef"/>
        <w:rPr>
          <w:bCs/>
        </w:rPr>
      </w:pPr>
      <w:r w:rsidRPr="00041046">
        <w:rPr>
          <w:rStyle w:val="charBoldItals"/>
        </w:rPr>
        <w:t>equipment</w:t>
      </w:r>
      <w:r w:rsidRPr="00041046">
        <w:t>, at a place or in a vehicle, includes equipment taken into the place or vehicle by the authorised officer.</w:t>
      </w:r>
    </w:p>
    <w:p w14:paraId="42A45EE3" w14:textId="77777777" w:rsidR="00DB6E47" w:rsidRPr="007E1F9A" w:rsidRDefault="00DB6E47" w:rsidP="00DB6E47">
      <w:pPr>
        <w:pStyle w:val="AH5Sec"/>
      </w:pPr>
      <w:bookmarkStart w:id="649" w:name="_Toc83625993"/>
      <w:r w:rsidRPr="005E03F7">
        <w:rPr>
          <w:rStyle w:val="CharSectNo"/>
        </w:rPr>
        <w:lastRenderedPageBreak/>
        <w:t>544</w:t>
      </w:r>
      <w:r w:rsidRPr="007E1F9A">
        <w:tab/>
      </w:r>
      <w:r w:rsidRPr="007E1F9A">
        <w:rPr>
          <w:rFonts w:ascii="Helvetica" w:hAnsi="Helvetica" w:cs="Helvetica"/>
          <w:iCs/>
        </w:rPr>
        <w:t>Power to use equipment to examine or process a thing</w:t>
      </w:r>
      <w:bookmarkEnd w:id="649"/>
    </w:p>
    <w:p w14:paraId="36D9098D" w14:textId="77777777" w:rsidR="00DB6E47" w:rsidRPr="00CC4412" w:rsidRDefault="00DB6E47" w:rsidP="000E08E8">
      <w:pPr>
        <w:pStyle w:val="Amain"/>
        <w:keepLines/>
      </w:pPr>
      <w:r w:rsidRPr="00CC4412">
        <w:tab/>
        <w:t>(1)</w:t>
      </w:r>
      <w:r w:rsidRPr="00CC4412">
        <w:tab/>
        <w:t>An authorised officer, or a person helping an authorised officer, may operate equipment at a place, or in a vehicle, entered under this Chapter to examine or process a thing found at the place, or in the vehicle, in order to decide whether it is a thing that may be seized under this Chapter.</w:t>
      </w:r>
    </w:p>
    <w:p w14:paraId="3F502CF5" w14:textId="77777777" w:rsidR="00DB6E47" w:rsidRPr="00CC4412" w:rsidRDefault="00DB6E47" w:rsidP="00DB6E47">
      <w:pPr>
        <w:pStyle w:val="Amain"/>
      </w:pPr>
      <w:r w:rsidRPr="00CC4412">
        <w:tab/>
        <w:t>(2)</w:t>
      </w:r>
      <w:r w:rsidRPr="00CC4412">
        <w:tab/>
        <w:t>Also, for a heavy vehicle entered under section 521, an authorised officer, or a person helping the authorised officer, may, for deciding whether a thing may be seized under section 547—</w:t>
      </w:r>
    </w:p>
    <w:p w14:paraId="01D97877" w14:textId="77777777" w:rsidR="00DB6E47" w:rsidRPr="00544ED5" w:rsidRDefault="00DB6E47" w:rsidP="00DB6E47">
      <w:pPr>
        <w:pStyle w:val="Apara"/>
      </w:pPr>
      <w:r w:rsidRPr="00544ED5">
        <w:tab/>
        <w:t>(a)</w:t>
      </w:r>
      <w:r w:rsidRPr="00544ED5">
        <w:tab/>
        <w:t>operate equipment in the vehicle to examine or process the thing; or</w:t>
      </w:r>
    </w:p>
    <w:p w14:paraId="0EEF2F52" w14:textId="77777777" w:rsidR="00DB6E47" w:rsidRPr="00544ED5" w:rsidRDefault="00DB6E47" w:rsidP="00DB6E47">
      <w:pPr>
        <w:pStyle w:val="Apara"/>
      </w:pPr>
      <w:r w:rsidRPr="00544ED5">
        <w:tab/>
        <w:t>(b)</w:t>
      </w:r>
      <w:r w:rsidRPr="00544ED5">
        <w:tab/>
        <w:t>move the thing to another place if it is not practicable to examine or process the thing where it is found, or the vehicle’s driver consents in writing, and operate equipment at that place to examine or process the thing.</w:t>
      </w:r>
    </w:p>
    <w:p w14:paraId="08F71837" w14:textId="77777777" w:rsidR="00DB6E47" w:rsidRPr="00CC4412" w:rsidRDefault="00D75CAB" w:rsidP="00DB6E47">
      <w:pPr>
        <w:pStyle w:val="Amain"/>
      </w:pPr>
      <w:r>
        <w:tab/>
        <w:t>(3)</w:t>
      </w:r>
      <w:r>
        <w:tab/>
        <w:t xml:space="preserve">However, subsections </w:t>
      </w:r>
      <w:r w:rsidR="00DB6E47" w:rsidRPr="00CC4412">
        <w:t>(1)</w:t>
      </w:r>
      <w:r>
        <w:t xml:space="preserve"> and </w:t>
      </w:r>
      <w:r w:rsidR="00DB6E47" w:rsidRPr="00CC4412">
        <w:t>(2)</w:t>
      </w:r>
      <w:r>
        <w:t xml:space="preserve"> </w:t>
      </w:r>
      <w:r w:rsidR="00DB6E47" w:rsidRPr="00CC4412">
        <w:t>only apply if the authorised officer or person reasonably believes—</w:t>
      </w:r>
    </w:p>
    <w:p w14:paraId="0A689BAC" w14:textId="77777777" w:rsidR="00DB6E47" w:rsidRPr="00544ED5" w:rsidRDefault="00DB6E47" w:rsidP="00DB6E47">
      <w:pPr>
        <w:pStyle w:val="Apara"/>
      </w:pPr>
      <w:r w:rsidRPr="00544ED5">
        <w:tab/>
        <w:t>(a)</w:t>
      </w:r>
      <w:r w:rsidRPr="00544ED5">
        <w:tab/>
        <w:t>the equipment is suitable for exercising the power; and</w:t>
      </w:r>
    </w:p>
    <w:p w14:paraId="6A28D6F8" w14:textId="77777777" w:rsidR="00DB6E47" w:rsidRPr="00544ED5" w:rsidRDefault="00DB6E47" w:rsidP="00DB6E47">
      <w:pPr>
        <w:pStyle w:val="Apara"/>
      </w:pPr>
      <w:r w:rsidRPr="00544ED5">
        <w:tab/>
        <w:t>(b)</w:t>
      </w:r>
      <w:r w:rsidRPr="00544ED5">
        <w:tab/>
        <w:t>the power can be exercised without damaging the equipment or thing.</w:t>
      </w:r>
    </w:p>
    <w:p w14:paraId="3BCBDEDB" w14:textId="77777777" w:rsidR="00DB6E47" w:rsidRPr="00CC4412" w:rsidRDefault="00DB6E47" w:rsidP="00DB6E47">
      <w:pPr>
        <w:pStyle w:val="Amain"/>
      </w:pPr>
      <w:r w:rsidRPr="00CC4412">
        <w:tab/>
        <w:t>(4)</w:t>
      </w:r>
      <w:r w:rsidRPr="00CC4412">
        <w:tab/>
        <w:t>In this section—</w:t>
      </w:r>
    </w:p>
    <w:p w14:paraId="17314D94" w14:textId="77777777" w:rsidR="00DB6E47" w:rsidRPr="00041046" w:rsidRDefault="00DB6E47" w:rsidP="00DB6E47">
      <w:pPr>
        <w:pStyle w:val="aDef"/>
        <w:rPr>
          <w:bCs/>
        </w:rPr>
      </w:pPr>
      <w:r w:rsidRPr="00041046">
        <w:rPr>
          <w:rStyle w:val="charBoldItals"/>
        </w:rPr>
        <w:t>equipment</w:t>
      </w:r>
      <w:r w:rsidRPr="00041046">
        <w:t>, at a place or in a vehicle, includes equipment taken into the place or vehicle by the authorised officer.</w:t>
      </w:r>
    </w:p>
    <w:p w14:paraId="5979EE52" w14:textId="77777777" w:rsidR="00DB6E47" w:rsidRPr="005E03F7" w:rsidRDefault="00DB6E47" w:rsidP="00DB6E47">
      <w:pPr>
        <w:pStyle w:val="AH3Div"/>
      </w:pPr>
      <w:bookmarkStart w:id="650" w:name="_Toc83625994"/>
      <w:r w:rsidRPr="005E03F7">
        <w:rPr>
          <w:rStyle w:val="CharDivNo"/>
        </w:rPr>
        <w:lastRenderedPageBreak/>
        <w:t xml:space="preserve">Division 2 </w:t>
      </w:r>
      <w:r w:rsidRPr="00A95F9A">
        <w:rPr>
          <w:rFonts w:ascii="Helvetica" w:hAnsi="Helvetica" w:cs="Helvetica"/>
          <w:iCs/>
          <w:szCs w:val="28"/>
        </w:rPr>
        <w:tab/>
      </w:r>
      <w:r w:rsidRPr="005E03F7">
        <w:rPr>
          <w:rStyle w:val="CharDivText"/>
          <w:rFonts w:ascii="Helvetica" w:hAnsi="Helvetica" w:cs="Helvetica"/>
          <w:iCs/>
          <w:szCs w:val="28"/>
        </w:rPr>
        <w:t>Seizure and embargo notices</w:t>
      </w:r>
      <w:bookmarkEnd w:id="650"/>
    </w:p>
    <w:p w14:paraId="35B8AB89" w14:textId="77777777" w:rsidR="00DB6E47" w:rsidRPr="00A95F9A" w:rsidRDefault="00DB6E47" w:rsidP="00DB6E47">
      <w:pPr>
        <w:pStyle w:val="AH4SubDiv"/>
      </w:pPr>
      <w:bookmarkStart w:id="651" w:name="_Toc83625995"/>
      <w:r w:rsidRPr="00A95F9A">
        <w:t xml:space="preserve">Subdivision 1 </w:t>
      </w:r>
      <w:r w:rsidRPr="00A95F9A">
        <w:tab/>
        <w:t>Power to seize</w:t>
      </w:r>
      <w:bookmarkEnd w:id="651"/>
    </w:p>
    <w:p w14:paraId="08998841" w14:textId="77777777" w:rsidR="00DB6E47" w:rsidRPr="007E1F9A" w:rsidRDefault="00DB6E47" w:rsidP="00DB6E47">
      <w:pPr>
        <w:pStyle w:val="AH5Sec"/>
      </w:pPr>
      <w:bookmarkStart w:id="652" w:name="_Toc83625996"/>
      <w:r w:rsidRPr="005E03F7">
        <w:rPr>
          <w:rStyle w:val="CharSectNo"/>
        </w:rPr>
        <w:t>545</w:t>
      </w:r>
      <w:r w:rsidRPr="007E1F9A">
        <w:tab/>
      </w:r>
      <w:r w:rsidRPr="007E1F9A">
        <w:rPr>
          <w:rFonts w:ascii="Helvetica" w:hAnsi="Helvetica" w:cs="Helvetica"/>
          <w:iCs/>
        </w:rPr>
        <w:t>Seizing evidence at a place that may be entered without consent or warrant</w:t>
      </w:r>
      <w:bookmarkEnd w:id="652"/>
    </w:p>
    <w:p w14:paraId="050CE528" w14:textId="77777777" w:rsidR="00DB6E47" w:rsidRPr="00CC4412" w:rsidRDefault="00DB6E47" w:rsidP="00DB6E47">
      <w:pPr>
        <w:pStyle w:val="Amainreturn"/>
      </w:pPr>
      <w:r w:rsidRPr="00CC4412">
        <w:t>An authorised officer who enters a place the officer may enter under this Chapter without the consent of its occupier and without a warrant may seize a thing at the place if the officer reasonably believes the thing is evidence of an offence against this Law.</w:t>
      </w:r>
    </w:p>
    <w:p w14:paraId="5ABFE434" w14:textId="77777777" w:rsidR="00DB6E47" w:rsidRPr="007E1F9A" w:rsidRDefault="00DB6E47" w:rsidP="00DB6E47">
      <w:pPr>
        <w:pStyle w:val="AH5Sec"/>
      </w:pPr>
      <w:bookmarkStart w:id="653" w:name="_Toc83625997"/>
      <w:r w:rsidRPr="005E03F7">
        <w:rPr>
          <w:rStyle w:val="CharSectNo"/>
        </w:rPr>
        <w:t>546</w:t>
      </w:r>
      <w:r w:rsidRPr="007E1F9A">
        <w:tab/>
      </w:r>
      <w:r w:rsidRPr="007E1F9A">
        <w:rPr>
          <w:rFonts w:ascii="Helvetica" w:hAnsi="Helvetica" w:cs="Helvetica"/>
          <w:iCs/>
        </w:rPr>
        <w:t>Seizing evidence at a place that may be entered only with consent or warrant</w:t>
      </w:r>
      <w:bookmarkEnd w:id="653"/>
    </w:p>
    <w:p w14:paraId="0EA29355" w14:textId="77777777" w:rsidR="00DB6E47" w:rsidRPr="00CC4412" w:rsidRDefault="00DB6E47" w:rsidP="00DB6E47">
      <w:pPr>
        <w:pStyle w:val="Amain"/>
      </w:pPr>
      <w:r w:rsidRPr="00CC4412">
        <w:tab/>
        <w:t>(1)</w:t>
      </w:r>
      <w:r w:rsidRPr="00CC4412">
        <w:tab/>
        <w:t>This section applies if—</w:t>
      </w:r>
    </w:p>
    <w:p w14:paraId="0DFAE1B3" w14:textId="77777777" w:rsidR="00DB6E47" w:rsidRPr="00544ED5" w:rsidRDefault="00DB6E47" w:rsidP="00DB6E47">
      <w:pPr>
        <w:pStyle w:val="Apara"/>
      </w:pPr>
      <w:r w:rsidRPr="00544ED5">
        <w:tab/>
        <w:t>(a)</w:t>
      </w:r>
      <w:r w:rsidRPr="00544ED5">
        <w:tab/>
        <w:t>an authorised officer is authorised to enter a place only with the consent of an occupier at the place or a warrant; and</w:t>
      </w:r>
    </w:p>
    <w:p w14:paraId="6CB13DE2" w14:textId="77777777" w:rsidR="00DB6E47" w:rsidRPr="00544ED5" w:rsidRDefault="00DB6E47" w:rsidP="00DB6E47">
      <w:pPr>
        <w:pStyle w:val="Apara"/>
      </w:pPr>
      <w:r w:rsidRPr="00544ED5">
        <w:tab/>
        <w:t>(b)</w:t>
      </w:r>
      <w:r w:rsidRPr="00544ED5">
        <w:tab/>
        <w:t>the authorised officer enters the place after obtaining the necessary consent or under a warrant.</w:t>
      </w:r>
    </w:p>
    <w:p w14:paraId="669FE73C" w14:textId="77777777" w:rsidR="00DB6E47" w:rsidRPr="00CC4412" w:rsidRDefault="00DB6E47" w:rsidP="00DB6E47">
      <w:pPr>
        <w:pStyle w:val="Amain"/>
      </w:pPr>
      <w:r w:rsidRPr="00CC4412">
        <w:tab/>
        <w:t>(2)</w:t>
      </w:r>
      <w:r w:rsidRPr="00CC4412">
        <w:tab/>
        <w:t>If the authorised officer enters the place with the occupier’s consent, the officer may seize a thing at the place if—</w:t>
      </w:r>
    </w:p>
    <w:p w14:paraId="1F76C470" w14:textId="77777777" w:rsidR="00DB6E47" w:rsidRPr="00544ED5" w:rsidRDefault="00DB6E47" w:rsidP="00DB6E47">
      <w:pPr>
        <w:pStyle w:val="Apara"/>
      </w:pPr>
      <w:r w:rsidRPr="00544ED5">
        <w:tab/>
        <w:t>(a)</w:t>
      </w:r>
      <w:r w:rsidRPr="00544ED5">
        <w:tab/>
        <w:t>the officer reasonably believes the thing is evidence of an offence against this Law; and</w:t>
      </w:r>
    </w:p>
    <w:p w14:paraId="2A5AB5C9" w14:textId="77777777" w:rsidR="00DB6E47" w:rsidRPr="00544ED5" w:rsidRDefault="00DB6E47" w:rsidP="00DB6E47">
      <w:pPr>
        <w:pStyle w:val="Apara"/>
      </w:pPr>
      <w:r w:rsidRPr="00544ED5">
        <w:tab/>
        <w:t>(b)</w:t>
      </w:r>
      <w:r w:rsidRPr="00544ED5">
        <w:tab/>
        <w:t>seizure of the thing is consistent with the purpose of entry as explained to the occupier when asking for the occupier’s consent.</w:t>
      </w:r>
    </w:p>
    <w:p w14:paraId="74FCA33A" w14:textId="77777777" w:rsidR="00DB6E47" w:rsidRPr="00CC4412" w:rsidRDefault="00DB6E47" w:rsidP="00DB6E47">
      <w:pPr>
        <w:pStyle w:val="Amain"/>
      </w:pPr>
      <w:r w:rsidRPr="00CC4412">
        <w:tab/>
        <w:t>(3)</w:t>
      </w:r>
      <w:r w:rsidRPr="00CC4412">
        <w:tab/>
        <w:t>If the authorised officer enters the place under a warrant, the officer may seize the evidence for which the warrant was issued.</w:t>
      </w:r>
    </w:p>
    <w:p w14:paraId="1B0EE5A7" w14:textId="77777777" w:rsidR="00DB6E47" w:rsidRPr="00CC4412" w:rsidRDefault="00DB6E47" w:rsidP="00DB6E47">
      <w:pPr>
        <w:pStyle w:val="Amain"/>
      </w:pPr>
      <w:r w:rsidRPr="00CC4412">
        <w:tab/>
        <w:t>(4)</w:t>
      </w:r>
      <w:r w:rsidRPr="00CC4412">
        <w:tab/>
        <w:t>The authorised officer may also seize anything else at the place if the officer reasonably believes—</w:t>
      </w:r>
    </w:p>
    <w:p w14:paraId="258CFBA1" w14:textId="77777777" w:rsidR="00DB6E47" w:rsidRPr="00544ED5" w:rsidRDefault="00DB6E47" w:rsidP="00DB6E47">
      <w:pPr>
        <w:pStyle w:val="Apara"/>
      </w:pPr>
      <w:r w:rsidRPr="00544ED5">
        <w:tab/>
        <w:t>(a)</w:t>
      </w:r>
      <w:r w:rsidRPr="00544ED5">
        <w:tab/>
        <w:t>the thing is evidence of an offence against this Law; and</w:t>
      </w:r>
    </w:p>
    <w:p w14:paraId="2C9E1FAA" w14:textId="77777777" w:rsidR="00DB6E47" w:rsidRPr="00544ED5" w:rsidRDefault="00DB6E47" w:rsidP="00DB6E47">
      <w:pPr>
        <w:pStyle w:val="Apara"/>
      </w:pPr>
      <w:r w:rsidRPr="00544ED5">
        <w:lastRenderedPageBreak/>
        <w:tab/>
        <w:t>(b)</w:t>
      </w:r>
      <w:r w:rsidRPr="00544ED5">
        <w:tab/>
        <w:t>the seizure is necessary to prevent the thing being—</w:t>
      </w:r>
    </w:p>
    <w:p w14:paraId="49317DDF" w14:textId="77777777" w:rsidR="00DB6E47" w:rsidRPr="00516F02" w:rsidRDefault="00DB6E47" w:rsidP="00DB6E47">
      <w:pPr>
        <w:pStyle w:val="Asubpara"/>
      </w:pPr>
      <w:r w:rsidRPr="00516F02">
        <w:tab/>
        <w:t>(i)</w:t>
      </w:r>
      <w:r w:rsidRPr="00516F02">
        <w:tab/>
        <w:t>hidden, lost or destroyed; or</w:t>
      </w:r>
    </w:p>
    <w:p w14:paraId="0AB6A7EF" w14:textId="77777777" w:rsidR="00DB6E47" w:rsidRPr="00516F02" w:rsidRDefault="00DB6E47" w:rsidP="00DB6E47">
      <w:pPr>
        <w:pStyle w:val="Asubpara"/>
      </w:pPr>
      <w:r w:rsidRPr="00516F02">
        <w:tab/>
        <w:t>(ii)</w:t>
      </w:r>
      <w:r w:rsidRPr="00516F02">
        <w:tab/>
        <w:t>used to continue, or repeat, the offence.</w:t>
      </w:r>
    </w:p>
    <w:p w14:paraId="1C554016" w14:textId="77777777" w:rsidR="00DB6E47" w:rsidRPr="007E1F9A" w:rsidRDefault="00DB6E47" w:rsidP="00DB6E47">
      <w:pPr>
        <w:pStyle w:val="AH5Sec"/>
      </w:pPr>
      <w:bookmarkStart w:id="654" w:name="_Toc83625998"/>
      <w:r w:rsidRPr="005E03F7">
        <w:rPr>
          <w:rStyle w:val="CharSectNo"/>
        </w:rPr>
        <w:t>547</w:t>
      </w:r>
      <w:r w:rsidRPr="007E1F9A">
        <w:tab/>
      </w:r>
      <w:r w:rsidRPr="007E1F9A">
        <w:rPr>
          <w:rFonts w:ascii="Helvetica" w:hAnsi="Helvetica" w:cs="Helvetica"/>
          <w:iCs/>
        </w:rPr>
        <w:t>Seizing evidence in a heavy vehicle entered under s 521</w:t>
      </w:r>
      <w:bookmarkEnd w:id="654"/>
    </w:p>
    <w:p w14:paraId="0D8851AE" w14:textId="77777777" w:rsidR="00DB6E47" w:rsidRPr="00CC4412" w:rsidRDefault="00DB6E47" w:rsidP="00DB6E47">
      <w:pPr>
        <w:pStyle w:val="Amainreturn"/>
      </w:pPr>
      <w:r w:rsidRPr="00CC4412">
        <w:t>An authorised officer who enters a heavy vehicle under section 521 may seize a thing in the heavy vehicle if the officer reasonably believes the thing is evidence of an offence against this Law.</w:t>
      </w:r>
    </w:p>
    <w:p w14:paraId="41B230D7" w14:textId="77777777" w:rsidR="00DB6E47" w:rsidRPr="007E1F9A" w:rsidRDefault="00DB6E47" w:rsidP="00DB6E47">
      <w:pPr>
        <w:pStyle w:val="AH5Sec"/>
      </w:pPr>
      <w:bookmarkStart w:id="655" w:name="_Toc83625999"/>
      <w:r w:rsidRPr="005E03F7">
        <w:rPr>
          <w:rStyle w:val="CharSectNo"/>
        </w:rPr>
        <w:t>548</w:t>
      </w:r>
      <w:r w:rsidRPr="007E1F9A">
        <w:tab/>
      </w:r>
      <w:r w:rsidRPr="007E1F9A">
        <w:rPr>
          <w:rFonts w:ascii="Helvetica" w:hAnsi="Helvetica" w:cs="Helvetica"/>
          <w:iCs/>
        </w:rPr>
        <w:t>Additional seizure power relating to information stored electronically</w:t>
      </w:r>
      <w:bookmarkEnd w:id="655"/>
    </w:p>
    <w:p w14:paraId="6C087D85" w14:textId="77777777" w:rsidR="00DB6E47" w:rsidRPr="00CC4412" w:rsidRDefault="00DB6E47" w:rsidP="00DB6E47">
      <w:pPr>
        <w:pStyle w:val="Amain"/>
      </w:pPr>
      <w:r w:rsidRPr="00CC4412">
        <w:tab/>
        <w:t>(1)</w:t>
      </w:r>
      <w:r w:rsidRPr="00CC4412">
        <w:tab/>
        <w:t>This section applies if, under this Chapter, an authorised officer, or a person helping an authorised officer—</w:t>
      </w:r>
    </w:p>
    <w:p w14:paraId="1CC45A38" w14:textId="77777777" w:rsidR="00DB6E47" w:rsidRPr="00544ED5" w:rsidRDefault="00DB6E47" w:rsidP="00DB6E47">
      <w:pPr>
        <w:pStyle w:val="Apara"/>
      </w:pPr>
      <w:r w:rsidRPr="00544ED5">
        <w:tab/>
        <w:t>(a)</w:t>
      </w:r>
      <w:r w:rsidRPr="00544ED5">
        <w:tab/>
        <w:t>enters a place or heavy vehicle; and</w:t>
      </w:r>
    </w:p>
    <w:p w14:paraId="33C5D669" w14:textId="77777777" w:rsidR="00DB6E47" w:rsidRPr="00544ED5" w:rsidRDefault="00DB6E47" w:rsidP="00DB6E47">
      <w:pPr>
        <w:pStyle w:val="Apara"/>
      </w:pPr>
      <w:r w:rsidRPr="00544ED5">
        <w:tab/>
        <w:t>(b)</w:t>
      </w:r>
      <w:r w:rsidRPr="00544ED5">
        <w:tab/>
        <w:t xml:space="preserve">finds a disc, tape or other device used for storing information (the </w:t>
      </w:r>
      <w:r w:rsidRPr="00FF4454">
        <w:rPr>
          <w:rStyle w:val="charBoldItals"/>
        </w:rPr>
        <w:t>original information storage device</w:t>
      </w:r>
      <w:r w:rsidRPr="00544ED5">
        <w:t>) containing information the authorised officer reasonably believes is relevant for deciding whether this Law has been contravened.</w:t>
      </w:r>
    </w:p>
    <w:p w14:paraId="47BF393C" w14:textId="77777777" w:rsidR="00DB6E47" w:rsidRPr="006C3305" w:rsidRDefault="00DB6E47" w:rsidP="00DB6E47">
      <w:pPr>
        <w:pStyle w:val="Amain"/>
      </w:pPr>
      <w:r>
        <w:tab/>
        <w:t>(</w:t>
      </w:r>
      <w:r w:rsidRPr="006C3305">
        <w:t>2)</w:t>
      </w:r>
      <w:r w:rsidRPr="006C3305">
        <w:tab/>
        <w:t>The authorised officer or person may—</w:t>
      </w:r>
    </w:p>
    <w:p w14:paraId="0E038A64" w14:textId="77777777" w:rsidR="00DB6E47" w:rsidRPr="00544ED5" w:rsidRDefault="00DB6E47" w:rsidP="00DB6E47">
      <w:pPr>
        <w:pStyle w:val="Apara"/>
      </w:pPr>
      <w:r w:rsidRPr="00544ED5">
        <w:tab/>
        <w:t>(a)</w:t>
      </w:r>
      <w:r w:rsidRPr="00544ED5">
        <w:tab/>
        <w:t>put the information in documentary form and seize the document; or</w:t>
      </w:r>
    </w:p>
    <w:p w14:paraId="38E0DEC4" w14:textId="77777777" w:rsidR="00DB6E47" w:rsidRPr="00544ED5" w:rsidRDefault="00DB6E47" w:rsidP="00DB6E47">
      <w:pPr>
        <w:pStyle w:val="Apara"/>
      </w:pPr>
      <w:r w:rsidRPr="00544ED5">
        <w:tab/>
        <w:t>(b)</w:t>
      </w:r>
      <w:r w:rsidRPr="00544ED5">
        <w:tab/>
        <w:t>copy the information from the original information storage device to another information storage device and seize the other information storage device; or</w:t>
      </w:r>
    </w:p>
    <w:p w14:paraId="25CEE723" w14:textId="77777777" w:rsidR="00DB6E47" w:rsidRPr="00544ED5" w:rsidRDefault="00DB6E47" w:rsidP="00DB6E47">
      <w:pPr>
        <w:pStyle w:val="Apara"/>
      </w:pPr>
      <w:r w:rsidRPr="00544ED5">
        <w:tab/>
        <w:t>(c)</w:t>
      </w:r>
      <w:r w:rsidRPr="00544ED5">
        <w:tab/>
        <w:t>seize the original information storage device and any equipment at the place or in the vehicle necessary for accessing the information contained in the device if—</w:t>
      </w:r>
    </w:p>
    <w:p w14:paraId="0D85ECB4" w14:textId="77777777" w:rsidR="00DB6E47" w:rsidRPr="00516F02" w:rsidRDefault="00DB6E47" w:rsidP="00DB6E47">
      <w:pPr>
        <w:pStyle w:val="Asubpara"/>
      </w:pPr>
      <w:r w:rsidRPr="00516F02">
        <w:tab/>
        <w:t>(i)</w:t>
      </w:r>
      <w:r w:rsidRPr="00516F02">
        <w:tab/>
        <w:t xml:space="preserve">it is not practicable to take action, at the place or </w:t>
      </w:r>
      <w:r w:rsidR="00D75CAB">
        <w:t xml:space="preserve">in the vehicle, under paragraph </w:t>
      </w:r>
      <w:r w:rsidRPr="00516F02">
        <w:t>(a)</w:t>
      </w:r>
      <w:r w:rsidR="00D75CAB">
        <w:t xml:space="preserve"> or </w:t>
      </w:r>
      <w:r w:rsidRPr="00516F02">
        <w:t>(b)</w:t>
      </w:r>
      <w:r w:rsidR="00D75CAB">
        <w:t xml:space="preserve"> </w:t>
      </w:r>
      <w:r w:rsidRPr="00516F02">
        <w:t>in relation to the information; and</w:t>
      </w:r>
    </w:p>
    <w:p w14:paraId="65D677B3" w14:textId="77777777" w:rsidR="00DB6E47" w:rsidRPr="00516F02" w:rsidRDefault="00DB6E47" w:rsidP="00DB6E47">
      <w:pPr>
        <w:pStyle w:val="Asubpara"/>
      </w:pPr>
      <w:r w:rsidRPr="00516F02">
        <w:lastRenderedPageBreak/>
        <w:tab/>
        <w:t>(ii)</w:t>
      </w:r>
      <w:r w:rsidRPr="00516F02">
        <w:tab/>
        <w:t>the officer or person reasonably believes the device and equipment can be seized without being damaged.</w:t>
      </w:r>
    </w:p>
    <w:p w14:paraId="6FBB04B6" w14:textId="77777777" w:rsidR="00DB6E47" w:rsidRPr="007E1F9A" w:rsidRDefault="00DB6E47" w:rsidP="00DB6E47">
      <w:pPr>
        <w:pStyle w:val="AH5Sec"/>
      </w:pPr>
      <w:bookmarkStart w:id="656" w:name="_Toc83626000"/>
      <w:r w:rsidRPr="005E03F7">
        <w:rPr>
          <w:rStyle w:val="CharSectNo"/>
        </w:rPr>
        <w:t>549</w:t>
      </w:r>
      <w:r w:rsidRPr="007E1F9A">
        <w:tab/>
      </w:r>
      <w:r w:rsidRPr="007E1F9A">
        <w:rPr>
          <w:rFonts w:ascii="Helvetica" w:hAnsi="Helvetica" w:cs="Helvetica"/>
          <w:iCs/>
        </w:rPr>
        <w:t>Seizing thing or sample taken for examination under s 500</w:t>
      </w:r>
      <w:bookmarkEnd w:id="656"/>
    </w:p>
    <w:p w14:paraId="74B0AF87" w14:textId="77777777" w:rsidR="00DB6E47" w:rsidRPr="00CC4412" w:rsidRDefault="00DB6E47" w:rsidP="00DB6E47">
      <w:pPr>
        <w:pStyle w:val="Amainreturn"/>
      </w:pPr>
      <w:r w:rsidRPr="00CC4412">
        <w:t>An authorised officer who takes a thing or sample for e</w:t>
      </w:r>
      <w:r w:rsidR="00D75CAB">
        <w:t>xamination under section 500(1)</w:t>
      </w:r>
      <w:r w:rsidRPr="00CC4412">
        <w:t>(c)</w:t>
      </w:r>
      <w:r w:rsidR="00D75CAB">
        <w:t xml:space="preserve"> </w:t>
      </w:r>
      <w:r w:rsidRPr="00CC4412">
        <w:t>may, after examining it, seize the thing or sample if—</w:t>
      </w:r>
    </w:p>
    <w:p w14:paraId="394AC029" w14:textId="77777777" w:rsidR="00DB6E47" w:rsidRPr="00544ED5" w:rsidRDefault="00DB6E47" w:rsidP="00DB6E47">
      <w:pPr>
        <w:pStyle w:val="Apara"/>
      </w:pPr>
      <w:r w:rsidRPr="00544ED5">
        <w:tab/>
        <w:t>(a)</w:t>
      </w:r>
      <w:r w:rsidRPr="00544ED5">
        <w:tab/>
        <w:t>the officer reasonably believes the thing or sample is evidence of an offence against this Law; and</w:t>
      </w:r>
    </w:p>
    <w:p w14:paraId="03BAB0F3" w14:textId="77777777" w:rsidR="00DB6E47" w:rsidRPr="00544ED5" w:rsidRDefault="00DB6E47" w:rsidP="00DB6E47">
      <w:pPr>
        <w:pStyle w:val="Apara"/>
      </w:pPr>
      <w:r w:rsidRPr="00544ED5">
        <w:tab/>
        <w:t>(b)</w:t>
      </w:r>
      <w:r w:rsidRPr="00544ED5">
        <w:tab/>
        <w:t>had the officer had the reasonable belief when the thing or sample was taken, the officer could have seized the thing or the thing from which the sample was taken under section 545 to 548.</w:t>
      </w:r>
    </w:p>
    <w:p w14:paraId="2C231BC4" w14:textId="77777777" w:rsidR="00DB6E47" w:rsidRPr="007E1F9A" w:rsidRDefault="00DB6E47" w:rsidP="00DB6E47">
      <w:pPr>
        <w:pStyle w:val="AH5Sec"/>
      </w:pPr>
      <w:bookmarkStart w:id="657" w:name="_Toc83626001"/>
      <w:r w:rsidRPr="005E03F7">
        <w:rPr>
          <w:rStyle w:val="CharSectNo"/>
        </w:rPr>
        <w:t>550</w:t>
      </w:r>
      <w:r w:rsidRPr="007E1F9A">
        <w:tab/>
      </w:r>
      <w:r w:rsidRPr="007E1F9A">
        <w:rPr>
          <w:rFonts w:ascii="Helvetica" w:hAnsi="Helvetica" w:cs="Helvetica"/>
          <w:iCs/>
        </w:rPr>
        <w:t>Seizure of property subject to security</w:t>
      </w:r>
      <w:bookmarkEnd w:id="657"/>
    </w:p>
    <w:p w14:paraId="59ECFE9A" w14:textId="77777777" w:rsidR="00DB6E47" w:rsidRPr="00CC4412" w:rsidRDefault="00DB6E47" w:rsidP="00DB6E47">
      <w:pPr>
        <w:pStyle w:val="Amain"/>
      </w:pPr>
      <w:r w:rsidRPr="00CC4412">
        <w:tab/>
        <w:t>(1)</w:t>
      </w:r>
      <w:r w:rsidRPr="00CC4412">
        <w:tab/>
        <w:t>An authorised officer may seize a thing under this Chapter, and exercise powers relating to the thing, despite a lien or other security over it claimed by another person.</w:t>
      </w:r>
    </w:p>
    <w:p w14:paraId="73F02FF6" w14:textId="77777777" w:rsidR="00DB6E47" w:rsidRPr="00CC4412" w:rsidRDefault="00DB6E47" w:rsidP="00DB6E47">
      <w:pPr>
        <w:pStyle w:val="Amain"/>
      </w:pPr>
      <w:r w:rsidRPr="00CC4412">
        <w:tab/>
        <w:t>(2)</w:t>
      </w:r>
      <w:r w:rsidRPr="00CC4412">
        <w:tab/>
        <w:t>However, the seizure does not affect the other person’s claim to the lien or other security against a person other than the authorised officer or a person helping the officer.</w:t>
      </w:r>
    </w:p>
    <w:p w14:paraId="606CDE49" w14:textId="77777777" w:rsidR="00DB6E47" w:rsidRPr="007E1F9A" w:rsidRDefault="00DB6E47" w:rsidP="00DB6E47">
      <w:pPr>
        <w:pStyle w:val="AH5Sec"/>
      </w:pPr>
      <w:bookmarkStart w:id="658" w:name="_Toc83626002"/>
      <w:r w:rsidRPr="005E03F7">
        <w:rPr>
          <w:rStyle w:val="CharSectNo"/>
        </w:rPr>
        <w:t>551</w:t>
      </w:r>
      <w:r w:rsidRPr="007E1F9A">
        <w:tab/>
      </w:r>
      <w:r w:rsidRPr="007E1F9A">
        <w:rPr>
          <w:rFonts w:ascii="Helvetica" w:hAnsi="Helvetica" w:cs="Helvetica"/>
          <w:iCs/>
        </w:rPr>
        <w:t>Seizure of number plates</w:t>
      </w:r>
      <w:bookmarkEnd w:id="658"/>
    </w:p>
    <w:p w14:paraId="4B988257" w14:textId="77777777" w:rsidR="00DB6E47" w:rsidRPr="00CC4412" w:rsidRDefault="00DB6E47" w:rsidP="00DB6E47">
      <w:pPr>
        <w:pStyle w:val="Amain"/>
      </w:pPr>
      <w:r w:rsidRPr="00CC4412">
        <w:tab/>
        <w:t>(1)</w:t>
      </w:r>
      <w:r w:rsidRPr="00CC4412">
        <w:tab/>
        <w:t>Without limiting any other provision of this Chapter, a power under this Chapter for an authorised officer to seize a thing includes a power to seize a number plate for a</w:t>
      </w:r>
      <w:r w:rsidR="00D75CAB">
        <w:t xml:space="preserve"> heavy vehicle under subsection </w:t>
      </w:r>
      <w:r w:rsidRPr="00CC4412">
        <w:t>(2)</w:t>
      </w:r>
      <w:r w:rsidR="004E3F26">
        <w:t xml:space="preserve"> </w:t>
      </w:r>
      <w:r w:rsidRPr="00CC4412">
        <w:t>or (3).</w:t>
      </w:r>
    </w:p>
    <w:p w14:paraId="34CD2C0E" w14:textId="77777777" w:rsidR="00DB6E47" w:rsidRPr="00CC4412" w:rsidRDefault="00DB6E47" w:rsidP="003C6640">
      <w:pPr>
        <w:pStyle w:val="Amain"/>
        <w:keepNext/>
      </w:pPr>
      <w:r w:rsidRPr="00CC4412">
        <w:tab/>
        <w:t>(2)</w:t>
      </w:r>
      <w:r w:rsidRPr="00CC4412">
        <w:tab/>
        <w:t>An authorised officer may seize a number plate (whether or not displayed on a heavy vehicle) if the officer reasonably believes—</w:t>
      </w:r>
    </w:p>
    <w:p w14:paraId="3E1FF6DE" w14:textId="77777777" w:rsidR="00DB6E47" w:rsidRPr="00085BBD" w:rsidRDefault="00DB6E47" w:rsidP="00085BBD">
      <w:pPr>
        <w:pStyle w:val="Apara"/>
      </w:pPr>
      <w:r w:rsidRPr="00085BBD">
        <w:tab/>
        <w:t>(a)</w:t>
      </w:r>
      <w:r w:rsidRPr="00085BBD">
        <w:tab/>
        <w:t xml:space="preserve">that the number plate is being used other than in accordance with </w:t>
      </w:r>
      <w:r w:rsidR="00085BBD" w:rsidRPr="00085BBD">
        <w:t>an Australian road law</w:t>
      </w:r>
      <w:r w:rsidRPr="00085BBD">
        <w:t>; or</w:t>
      </w:r>
    </w:p>
    <w:p w14:paraId="6B4E7E0F" w14:textId="77777777" w:rsidR="00DB6E47" w:rsidRPr="00085BBD" w:rsidRDefault="00DB6E47" w:rsidP="00085BBD">
      <w:pPr>
        <w:pStyle w:val="Apara"/>
      </w:pPr>
      <w:r w:rsidRPr="00085BBD">
        <w:lastRenderedPageBreak/>
        <w:tab/>
        <w:t>(b)</w:t>
      </w:r>
      <w:r w:rsidRPr="00085BBD">
        <w:tab/>
        <w:t xml:space="preserve">that the number plate was not issued in accordance with </w:t>
      </w:r>
      <w:r w:rsidR="00085BBD" w:rsidRPr="00085BBD">
        <w:t>an Australian road law</w:t>
      </w:r>
      <w:r w:rsidRPr="00085BBD">
        <w:t>.</w:t>
      </w:r>
    </w:p>
    <w:p w14:paraId="3D46F65E" w14:textId="77777777" w:rsidR="00DB6E47" w:rsidRPr="00CC4412" w:rsidRDefault="00DB6E47" w:rsidP="00DB6E47">
      <w:pPr>
        <w:pStyle w:val="Amain"/>
      </w:pPr>
      <w:r w:rsidRPr="00CC4412">
        <w:tab/>
        <w:t>(3)</w:t>
      </w:r>
      <w:r w:rsidRPr="00CC4412">
        <w:tab/>
        <w:t>An authorised officer may seize a number plate if it is displayed on a heavy vehicle and the officer reasonably believes—</w:t>
      </w:r>
    </w:p>
    <w:p w14:paraId="666643CC" w14:textId="77777777" w:rsidR="00DB6E47" w:rsidRPr="00544ED5" w:rsidRDefault="00DB6E47" w:rsidP="00DB6E47">
      <w:pPr>
        <w:pStyle w:val="Apara"/>
      </w:pPr>
      <w:r w:rsidRPr="00544ED5">
        <w:tab/>
        <w:t>(a)</w:t>
      </w:r>
      <w:r w:rsidRPr="00544ED5">
        <w:tab/>
        <w:t>that the number plate does not bear the registration number last assigned to the vehicle; or</w:t>
      </w:r>
    </w:p>
    <w:p w14:paraId="7C43C62B" w14:textId="77777777" w:rsidR="00DB6E47" w:rsidRPr="00544ED5" w:rsidRDefault="00DB6E47" w:rsidP="00DB6E47">
      <w:pPr>
        <w:pStyle w:val="Apara"/>
      </w:pPr>
      <w:r w:rsidRPr="00544ED5">
        <w:tab/>
        <w:t>(b)</w:t>
      </w:r>
      <w:r w:rsidRPr="00544ED5">
        <w:tab/>
        <w:t>that—</w:t>
      </w:r>
    </w:p>
    <w:p w14:paraId="4F165063" w14:textId="77777777" w:rsidR="00DB6E47" w:rsidRPr="00516F02" w:rsidRDefault="00DB6E47" w:rsidP="00DB6E47">
      <w:pPr>
        <w:pStyle w:val="Asubpara"/>
      </w:pPr>
      <w:r w:rsidRPr="00516F02">
        <w:tab/>
        <w:t>(i)</w:t>
      </w:r>
      <w:r w:rsidRPr="00516F02">
        <w:tab/>
        <w:t>the vehicle is not registered or exempted from registration; and</w:t>
      </w:r>
    </w:p>
    <w:p w14:paraId="2616CE0B" w14:textId="77777777" w:rsidR="00DB6E47" w:rsidRPr="00516F02" w:rsidRDefault="00DB6E47" w:rsidP="00DB6E47">
      <w:pPr>
        <w:pStyle w:val="Asubpara"/>
      </w:pPr>
      <w:r w:rsidRPr="00516F02">
        <w:tab/>
        <w:t>(ii)</w:t>
      </w:r>
      <w:r w:rsidRPr="00516F02">
        <w:tab/>
        <w:t>the period during which the registration of the vehicle may be renewed has expired.</w:t>
      </w:r>
    </w:p>
    <w:p w14:paraId="53EB3AEF" w14:textId="77777777" w:rsidR="00DB6E47" w:rsidRPr="00CC4412" w:rsidRDefault="00DB6E47" w:rsidP="00DB6E47">
      <w:pPr>
        <w:pStyle w:val="Amain"/>
      </w:pPr>
      <w:r w:rsidRPr="00CC4412">
        <w:tab/>
        <w:t>(4)</w:t>
      </w:r>
      <w:r w:rsidRPr="00CC4412">
        <w:tab/>
        <w:t>An authorised officer may retain—</w:t>
      </w:r>
    </w:p>
    <w:p w14:paraId="0240D2D9" w14:textId="77777777" w:rsidR="00DB6E47" w:rsidRPr="007275B1" w:rsidRDefault="00DB6E47" w:rsidP="007275B1">
      <w:pPr>
        <w:pStyle w:val="Apara"/>
      </w:pPr>
      <w:r w:rsidRPr="007275B1">
        <w:tab/>
        <w:t>(a)</w:t>
      </w:r>
      <w:r w:rsidRPr="007275B1">
        <w:tab/>
        <w:t>a numbe</w:t>
      </w:r>
      <w:r w:rsidR="00D75CAB" w:rsidRPr="007275B1">
        <w:t xml:space="preserve">r plate seized under subsection </w:t>
      </w:r>
      <w:r w:rsidRPr="007275B1">
        <w:t>(2)</w:t>
      </w:r>
      <w:r w:rsidR="00D75CAB" w:rsidRPr="007275B1">
        <w:t xml:space="preserve"> </w:t>
      </w:r>
      <w:r w:rsidRPr="007275B1">
        <w:t xml:space="preserve">until the officer is satisfied that it was not being so used and that it was issued in accordance with </w:t>
      </w:r>
      <w:r w:rsidR="007275B1" w:rsidRPr="007275B1">
        <w:t>an Australian road law</w:t>
      </w:r>
      <w:r w:rsidRPr="007275B1">
        <w:t>; or</w:t>
      </w:r>
    </w:p>
    <w:p w14:paraId="0BE57127" w14:textId="77777777" w:rsidR="00DB6E47" w:rsidRPr="00544ED5" w:rsidRDefault="00DB6E47" w:rsidP="00DB6E47">
      <w:pPr>
        <w:pStyle w:val="Apara"/>
      </w:pPr>
      <w:r w:rsidRPr="00544ED5">
        <w:tab/>
        <w:t>(b)</w:t>
      </w:r>
      <w:r w:rsidRPr="00544ED5">
        <w:tab/>
        <w:t>a numbe</w:t>
      </w:r>
      <w:r w:rsidR="00D75CAB">
        <w:t xml:space="preserve">r plate seized under subsection </w:t>
      </w:r>
      <w:r w:rsidRPr="00544ED5">
        <w:t>(3)</w:t>
      </w:r>
      <w:r w:rsidR="00D75CAB">
        <w:t xml:space="preserve"> </w:t>
      </w:r>
      <w:r w:rsidRPr="00544ED5">
        <w:t>until the officer is satisfied that circumstances exist that allow it to be used without being subject to retention under this subsection.</w:t>
      </w:r>
    </w:p>
    <w:p w14:paraId="7C329FFC" w14:textId="77777777" w:rsidR="00DB6E47" w:rsidRPr="00CC4412" w:rsidRDefault="00DB6E47" w:rsidP="00DB6E47">
      <w:pPr>
        <w:pStyle w:val="Amain"/>
      </w:pPr>
      <w:r w:rsidRPr="00CC4412">
        <w:tab/>
        <w:t>(5)</w:t>
      </w:r>
      <w:r w:rsidRPr="00CC4412">
        <w:tab/>
        <w:t>An authorised officer must return a numbe</w:t>
      </w:r>
      <w:r w:rsidR="00D75CAB">
        <w:t xml:space="preserve">r plate seized under subsection </w:t>
      </w:r>
      <w:r w:rsidRPr="00CC4412">
        <w:t>(2)</w:t>
      </w:r>
      <w:r w:rsidR="00D75CAB">
        <w:t xml:space="preserve"> or </w:t>
      </w:r>
      <w:r w:rsidRPr="00CC4412">
        <w:t>(3)</w:t>
      </w:r>
      <w:r w:rsidR="00D75CAB">
        <w:t xml:space="preserve"> </w:t>
      </w:r>
      <w:r w:rsidRPr="00CC4412">
        <w:t>to—</w:t>
      </w:r>
    </w:p>
    <w:p w14:paraId="3D308DEF" w14:textId="77777777" w:rsidR="00DB6E47" w:rsidRPr="00544ED5" w:rsidRDefault="00DB6E47" w:rsidP="00DB6E47">
      <w:pPr>
        <w:pStyle w:val="Apara"/>
      </w:pPr>
      <w:r w:rsidRPr="00544ED5">
        <w:tab/>
        <w:t>(a)</w:t>
      </w:r>
      <w:r w:rsidRPr="00544ED5">
        <w:tab/>
        <w:t>the driver or operator of the vehicle, if the officer is satisfied as to the relevant matters referred to in subsection (4); or</w:t>
      </w:r>
    </w:p>
    <w:p w14:paraId="0AC1DD13" w14:textId="77777777" w:rsidR="00DB6E47" w:rsidRPr="00544ED5" w:rsidRDefault="00DB6E47" w:rsidP="00DB6E47">
      <w:pPr>
        <w:pStyle w:val="Apara"/>
      </w:pPr>
      <w:r w:rsidRPr="00544ED5">
        <w:tab/>
        <w:t>(b)</w:t>
      </w:r>
      <w:r w:rsidRPr="00544ED5">
        <w:tab/>
        <w:t>an appropriate authority, if the officer is not satisfied as to those matters after a reasonable period.</w:t>
      </w:r>
    </w:p>
    <w:p w14:paraId="4A4ACDCF" w14:textId="77777777" w:rsidR="00DB6E47" w:rsidRPr="00CC4412" w:rsidRDefault="00DB6E47" w:rsidP="00DB6E47">
      <w:pPr>
        <w:pStyle w:val="Amain"/>
      </w:pPr>
      <w:r w:rsidRPr="00CC4412">
        <w:tab/>
        <w:t>(6)</w:t>
      </w:r>
      <w:r w:rsidRPr="00CC4412">
        <w:tab/>
        <w:t>The national regulations may prescribe, or prescribe guidelines for determining, an appropriate authority for the purposes of subsection</w:t>
      </w:r>
      <w:r w:rsidR="00D75CAB">
        <w:t> </w:t>
      </w:r>
      <w:r w:rsidRPr="00CC4412">
        <w:t>(5).</w:t>
      </w:r>
    </w:p>
    <w:p w14:paraId="32C668F9" w14:textId="77777777" w:rsidR="00DB6E47" w:rsidRPr="007E1F9A" w:rsidRDefault="00DB6E47" w:rsidP="00DB6E47">
      <w:pPr>
        <w:pStyle w:val="AH5Sec"/>
      </w:pPr>
      <w:bookmarkStart w:id="659" w:name="_Toc83626003"/>
      <w:r w:rsidRPr="005E03F7">
        <w:rPr>
          <w:rStyle w:val="CharSectNo"/>
        </w:rPr>
        <w:lastRenderedPageBreak/>
        <w:t>552</w:t>
      </w:r>
      <w:r w:rsidRPr="007E1F9A">
        <w:tab/>
      </w:r>
      <w:r w:rsidRPr="007E1F9A">
        <w:rPr>
          <w:rFonts w:ascii="Helvetica" w:hAnsi="Helvetica" w:cs="Helvetica"/>
          <w:iCs/>
        </w:rPr>
        <w:t>Restriction on power to seize certain things</w:t>
      </w:r>
      <w:bookmarkEnd w:id="659"/>
    </w:p>
    <w:p w14:paraId="00B5EC15" w14:textId="77777777" w:rsidR="00DB6E47" w:rsidRPr="00CC4412" w:rsidRDefault="00DB6E47" w:rsidP="00DB6E47">
      <w:pPr>
        <w:pStyle w:val="Amain"/>
      </w:pPr>
      <w:r w:rsidRPr="00CC4412">
        <w:tab/>
        <w:t>(1)</w:t>
      </w:r>
      <w:r w:rsidRPr="00CC4412">
        <w:tab/>
        <w:t>This Chapter does not authorise an authorised officer to seize—</w:t>
      </w:r>
    </w:p>
    <w:p w14:paraId="5E2E8A04" w14:textId="77777777" w:rsidR="00DB6E47" w:rsidRPr="00544ED5" w:rsidRDefault="00DB6E47" w:rsidP="00DB6E47">
      <w:pPr>
        <w:pStyle w:val="Apara"/>
      </w:pPr>
      <w:r w:rsidRPr="00544ED5">
        <w:tab/>
        <w:t>(a)</w:t>
      </w:r>
      <w:r w:rsidRPr="00544ED5">
        <w:tab/>
        <w:t>a heavy vehicle; or</w:t>
      </w:r>
    </w:p>
    <w:p w14:paraId="3A71919F" w14:textId="77777777" w:rsidR="00DB6E47" w:rsidRPr="00544ED5" w:rsidRDefault="00DB6E47" w:rsidP="00DB6E47">
      <w:pPr>
        <w:pStyle w:val="Apara"/>
      </w:pPr>
      <w:r w:rsidRPr="00544ED5">
        <w:tab/>
        <w:t>(b)</w:t>
      </w:r>
      <w:r w:rsidRPr="00544ED5">
        <w:tab/>
        <w:t>a thing, or a thing of a class, prescribed by the national regulations.</w:t>
      </w:r>
    </w:p>
    <w:p w14:paraId="31EC61B8" w14:textId="77777777" w:rsidR="00DB6E47" w:rsidRPr="00CC4412" w:rsidRDefault="00D75CAB" w:rsidP="00DB6E47">
      <w:pPr>
        <w:pStyle w:val="Amain"/>
      </w:pPr>
      <w:r>
        <w:tab/>
        <w:t>(2)</w:t>
      </w:r>
      <w:r>
        <w:tab/>
        <w:t xml:space="preserve">Subsection </w:t>
      </w:r>
      <w:r w:rsidR="00DB6E47" w:rsidRPr="00CC4412">
        <w:t>(1)</w:t>
      </w:r>
      <w:r>
        <w:t xml:space="preserve"> </w:t>
      </w:r>
      <w:r w:rsidR="00DB6E47" w:rsidRPr="00CC4412">
        <w:t>does not apply if the Application Act of the participating jurisdiction in which the vehicle or thing is located provides that the heavy vehicle or thing can be impounded or seized under a law of that jurisdiction.</w:t>
      </w:r>
    </w:p>
    <w:p w14:paraId="546DAB55" w14:textId="77777777" w:rsidR="00DB6E47" w:rsidRPr="00A95F9A" w:rsidRDefault="00DB6E47" w:rsidP="00DB6E47">
      <w:pPr>
        <w:pStyle w:val="AH4SubDiv"/>
      </w:pPr>
      <w:bookmarkStart w:id="660" w:name="_Toc83626004"/>
      <w:r w:rsidRPr="00A95F9A">
        <w:t xml:space="preserve">Subdivision 2 </w:t>
      </w:r>
      <w:r w:rsidRPr="00A95F9A">
        <w:tab/>
        <w:t>Powers to support seizure</w:t>
      </w:r>
      <w:bookmarkEnd w:id="660"/>
    </w:p>
    <w:p w14:paraId="0E52AD67" w14:textId="77777777" w:rsidR="00DB6E47" w:rsidRPr="007E1F9A" w:rsidRDefault="00DB6E47" w:rsidP="00DB6E47">
      <w:pPr>
        <w:pStyle w:val="AH5Sec"/>
      </w:pPr>
      <w:bookmarkStart w:id="661" w:name="_Toc83626005"/>
      <w:r w:rsidRPr="005E03F7">
        <w:rPr>
          <w:rStyle w:val="CharSectNo"/>
        </w:rPr>
        <w:t>553</w:t>
      </w:r>
      <w:r w:rsidRPr="007E1F9A">
        <w:tab/>
      </w:r>
      <w:r w:rsidRPr="007E1F9A">
        <w:rPr>
          <w:rFonts w:ascii="Helvetica" w:hAnsi="Helvetica" w:cs="Helvetica"/>
          <w:iCs/>
        </w:rPr>
        <w:t>Requirement of person in control of thing to be seized</w:t>
      </w:r>
      <w:bookmarkEnd w:id="661"/>
    </w:p>
    <w:p w14:paraId="14D313E0" w14:textId="77777777" w:rsidR="00DB6E47" w:rsidRPr="00CC4412" w:rsidRDefault="00DB6E47" w:rsidP="00DB6E47">
      <w:pPr>
        <w:pStyle w:val="Amain"/>
      </w:pPr>
      <w:r w:rsidRPr="00CC4412">
        <w:tab/>
        <w:t>(1)</w:t>
      </w:r>
      <w:r w:rsidRPr="00CC4412">
        <w:tab/>
        <w:t>To enable a thing to be seized under this Chapter, an authorised officer may require the person in control of it—</w:t>
      </w:r>
    </w:p>
    <w:p w14:paraId="00AE287C" w14:textId="77777777" w:rsidR="00DB6E47" w:rsidRPr="00544ED5" w:rsidRDefault="00DB6E47" w:rsidP="00DB6E47">
      <w:pPr>
        <w:pStyle w:val="Apara"/>
      </w:pPr>
      <w:r w:rsidRPr="00544ED5">
        <w:tab/>
        <w:t>(a)</w:t>
      </w:r>
      <w:r w:rsidRPr="00544ED5">
        <w:tab/>
        <w:t>to take it to a stated reasonable place by a stated reasonable time; and</w:t>
      </w:r>
    </w:p>
    <w:p w14:paraId="3453C1B0" w14:textId="77777777" w:rsidR="00DB6E47" w:rsidRPr="00544ED5" w:rsidRDefault="00DB6E47" w:rsidP="00DB6E47">
      <w:pPr>
        <w:pStyle w:val="Apara"/>
      </w:pPr>
      <w:r w:rsidRPr="00544ED5">
        <w:tab/>
        <w:t>(b)</w:t>
      </w:r>
      <w:r w:rsidRPr="00544ED5">
        <w:tab/>
        <w:t>if necessary, to remain in control of it at the stated place for a stated reasonable period.</w:t>
      </w:r>
    </w:p>
    <w:p w14:paraId="0C3A4FF6" w14:textId="77777777" w:rsidR="00DB6E47" w:rsidRPr="00CC4412" w:rsidRDefault="00DB6E47" w:rsidP="00DB6E47">
      <w:pPr>
        <w:pStyle w:val="Amain"/>
      </w:pPr>
      <w:r w:rsidRPr="00CC4412">
        <w:tab/>
        <w:t>(2)</w:t>
      </w:r>
      <w:r w:rsidRPr="00CC4412">
        <w:tab/>
        <w:t>The requirement—</w:t>
      </w:r>
    </w:p>
    <w:p w14:paraId="341A593C" w14:textId="77777777" w:rsidR="00DB6E47" w:rsidRPr="00544ED5" w:rsidRDefault="00DB6E47" w:rsidP="00DB6E47">
      <w:pPr>
        <w:pStyle w:val="Apara"/>
      </w:pPr>
      <w:r w:rsidRPr="00544ED5">
        <w:tab/>
        <w:t>(a)</w:t>
      </w:r>
      <w:r w:rsidRPr="00544ED5">
        <w:tab/>
        <w:t>must be made by notice; or</w:t>
      </w:r>
    </w:p>
    <w:p w14:paraId="71DE3237" w14:textId="77777777" w:rsidR="00DB6E47" w:rsidRPr="00544ED5" w:rsidRDefault="00DB6E47" w:rsidP="00DB6E47">
      <w:pPr>
        <w:pStyle w:val="Apara"/>
      </w:pPr>
      <w:r w:rsidRPr="00544ED5">
        <w:tab/>
        <w:t>(b)</w:t>
      </w:r>
      <w:r w:rsidRPr="00544ED5">
        <w:tab/>
        <w:t>if for any reason it is not practicable to give a notice, may be made orally and confirmed by notice as soon as practicable.</w:t>
      </w:r>
    </w:p>
    <w:p w14:paraId="74396140" w14:textId="77777777" w:rsidR="00DB6E47" w:rsidRPr="00CC4412" w:rsidRDefault="00DB6E47" w:rsidP="003C6640">
      <w:pPr>
        <w:pStyle w:val="Amain"/>
        <w:keepNext/>
      </w:pPr>
      <w:r w:rsidRPr="00CC4412">
        <w:tab/>
        <w:t>(3)</w:t>
      </w:r>
      <w:r w:rsidRPr="00CC4412">
        <w:tab/>
        <w:t>A person of whom a requirement is made under this section must comply with the requirement, unless the person has a reasonable excuse.</w:t>
      </w:r>
    </w:p>
    <w:p w14:paraId="5854C0D2" w14:textId="77777777" w:rsidR="00DB6E47" w:rsidRPr="006C3305" w:rsidRDefault="00DB6E47" w:rsidP="00DB6E47">
      <w:pPr>
        <w:pStyle w:val="Penalty"/>
      </w:pPr>
      <w:r w:rsidRPr="00D91CC2">
        <w:rPr>
          <w:rFonts w:cs="Times"/>
          <w:bCs/>
          <w:iCs/>
        </w:rPr>
        <w:t>Maximum penalty—$10000.</w:t>
      </w:r>
    </w:p>
    <w:p w14:paraId="467619C5" w14:textId="77777777" w:rsidR="00DB6E47" w:rsidRPr="00A95F9A" w:rsidRDefault="00DB6E47" w:rsidP="00DB6E47">
      <w:pPr>
        <w:pStyle w:val="AH4SubDiv"/>
      </w:pPr>
      <w:bookmarkStart w:id="662" w:name="_Toc83626006"/>
      <w:r w:rsidRPr="00A95F9A">
        <w:lastRenderedPageBreak/>
        <w:t xml:space="preserve">Subdivision 3 </w:t>
      </w:r>
      <w:r w:rsidRPr="00A95F9A">
        <w:tab/>
        <w:t>Safeguards for seized things or samples</w:t>
      </w:r>
      <w:bookmarkEnd w:id="662"/>
    </w:p>
    <w:p w14:paraId="3BC78078" w14:textId="77777777" w:rsidR="00DB6E47" w:rsidRPr="007E1F9A" w:rsidRDefault="00DB6E47" w:rsidP="00DB6E47">
      <w:pPr>
        <w:pStyle w:val="AH5Sec"/>
      </w:pPr>
      <w:bookmarkStart w:id="663" w:name="_Toc83626007"/>
      <w:r w:rsidRPr="005E03F7">
        <w:rPr>
          <w:rStyle w:val="CharSectNo"/>
        </w:rPr>
        <w:t>554</w:t>
      </w:r>
      <w:r w:rsidRPr="007E1F9A">
        <w:tab/>
      </w:r>
      <w:r w:rsidRPr="007E1F9A">
        <w:rPr>
          <w:rFonts w:ascii="Helvetica" w:hAnsi="Helvetica" w:cs="Helvetica"/>
          <w:iCs/>
        </w:rPr>
        <w:t>Receipt for seized thing or sample</w:t>
      </w:r>
      <w:bookmarkEnd w:id="663"/>
    </w:p>
    <w:p w14:paraId="6F9856A1" w14:textId="77777777" w:rsidR="00DB6E47" w:rsidRPr="00CC4412" w:rsidRDefault="00DB6E47" w:rsidP="00DB6E47">
      <w:pPr>
        <w:pStyle w:val="Amain"/>
      </w:pPr>
      <w:r w:rsidRPr="00CC4412">
        <w:tab/>
        <w:t>(1)</w:t>
      </w:r>
      <w:r w:rsidRPr="00CC4412">
        <w:tab/>
        <w:t>This section applies if an authorised officer seizes a thing or sample under this Chapter unless—</w:t>
      </w:r>
    </w:p>
    <w:p w14:paraId="424052ED" w14:textId="77777777" w:rsidR="00DB6E47" w:rsidRPr="00544ED5" w:rsidRDefault="00DB6E47" w:rsidP="00DB6E47">
      <w:pPr>
        <w:pStyle w:val="Apara"/>
      </w:pPr>
      <w:r w:rsidRPr="00544ED5">
        <w:tab/>
        <w:t>(a)</w:t>
      </w:r>
      <w:r w:rsidRPr="00544ED5">
        <w:tab/>
        <w:t>it is impracticable or unreasonable for the officer to account for the thing or sample given its condition, nature and value; or</w:t>
      </w:r>
    </w:p>
    <w:p w14:paraId="38BA326D" w14:textId="77777777" w:rsidR="00DB6E47" w:rsidRPr="00544ED5" w:rsidRDefault="00DB6E47" w:rsidP="00DB6E47">
      <w:pPr>
        <w:pStyle w:val="Apara"/>
      </w:pPr>
      <w:r w:rsidRPr="00544ED5">
        <w:tab/>
        <w:t>(b)</w:t>
      </w:r>
      <w:r w:rsidRPr="00544ED5">
        <w:tab/>
        <w:t>for a thing seized other than under section 549—the officer reasonably believes there is no-one apparently in possession of the thing or the thing has been abandoned.</w:t>
      </w:r>
    </w:p>
    <w:p w14:paraId="5A2D61C1" w14:textId="77777777" w:rsidR="00DB6E47" w:rsidRPr="00CC4412" w:rsidRDefault="00DB6E47" w:rsidP="00DB6E47">
      <w:pPr>
        <w:pStyle w:val="Amain"/>
      </w:pPr>
      <w:r w:rsidRPr="00CC4412">
        <w:tab/>
        <w:t>(2)</w:t>
      </w:r>
      <w:r w:rsidRPr="00CC4412">
        <w:tab/>
        <w:t>The authorised officer must, as soon as practicable after the thing or sample is seized, give the relevant person for the thing or sample a receipt that generally describes the thing or sample and its condition.</w:t>
      </w:r>
    </w:p>
    <w:p w14:paraId="1A0C0102" w14:textId="77777777" w:rsidR="00DB6E47" w:rsidRPr="00CC4412" w:rsidRDefault="00DB6E47" w:rsidP="00DB6E47">
      <w:pPr>
        <w:pStyle w:val="Amain"/>
      </w:pPr>
      <w:r w:rsidRPr="00CC4412">
        <w:tab/>
        <w:t>(3)</w:t>
      </w:r>
      <w:r w:rsidRPr="00CC4412">
        <w:tab/>
        <w:t>However, for a thing seized other than under section 549, if a relevant person for the thing is not present when the thing is seized, the receipt may be given by leaving it in a conspicuous position and in a reasonably secure way at the place at which the thing was seized.</w:t>
      </w:r>
    </w:p>
    <w:p w14:paraId="598F5FAC" w14:textId="77777777" w:rsidR="00DB6E47" w:rsidRPr="00CC4412" w:rsidRDefault="00DB6E47" w:rsidP="00DB6E47">
      <w:pPr>
        <w:pStyle w:val="Amain"/>
      </w:pPr>
      <w:r w:rsidRPr="00CC4412">
        <w:tab/>
        <w:t>(4)</w:t>
      </w:r>
      <w:r w:rsidRPr="00CC4412">
        <w:tab/>
        <w:t>The receipt may relate to more than 1 seized thing.</w:t>
      </w:r>
    </w:p>
    <w:p w14:paraId="6C56414B" w14:textId="77777777" w:rsidR="00DB6E47" w:rsidRPr="00CC4412" w:rsidRDefault="00DB6E47" w:rsidP="00B41BF6">
      <w:pPr>
        <w:pStyle w:val="Amain"/>
        <w:keepNext/>
      </w:pPr>
      <w:r w:rsidRPr="00CC4412">
        <w:tab/>
        <w:t>(5)</w:t>
      </w:r>
      <w:r w:rsidRPr="00CC4412">
        <w:tab/>
        <w:t>In this section—</w:t>
      </w:r>
    </w:p>
    <w:p w14:paraId="4413C518" w14:textId="77777777" w:rsidR="00DB6E47" w:rsidRPr="00041046" w:rsidRDefault="00DB6E47" w:rsidP="00B41BF6">
      <w:pPr>
        <w:pStyle w:val="aDef"/>
        <w:keepNext/>
        <w:rPr>
          <w:bCs/>
        </w:rPr>
      </w:pPr>
      <w:r w:rsidRPr="00041046">
        <w:rPr>
          <w:rStyle w:val="charBoldItals"/>
        </w:rPr>
        <w:t>relevant</w:t>
      </w:r>
      <w:r w:rsidRPr="00041046">
        <w:t xml:space="preserve"> person means—</w:t>
      </w:r>
    </w:p>
    <w:p w14:paraId="457D0475" w14:textId="77777777" w:rsidR="00DB6E47" w:rsidRPr="00AE2A67" w:rsidRDefault="00DB6E47" w:rsidP="00B41BF6">
      <w:pPr>
        <w:pStyle w:val="aDefpara"/>
        <w:keepNext/>
      </w:pPr>
      <w:r w:rsidRPr="00FF4454">
        <w:tab/>
      </w:r>
      <w:r w:rsidRPr="00F04D8E">
        <w:rPr>
          <w:rFonts w:cs="Times"/>
          <w:bCs/>
          <w:iCs/>
        </w:rPr>
        <w:t>(a)</w:t>
      </w:r>
      <w:r w:rsidRPr="00FF4454">
        <w:rPr>
          <w:rStyle w:val="charBoldItals"/>
        </w:rPr>
        <w:tab/>
      </w:r>
      <w:r w:rsidRPr="00AE2A67">
        <w:t>for a thing or sample seized under section 549—</w:t>
      </w:r>
    </w:p>
    <w:p w14:paraId="6820D511" w14:textId="77777777" w:rsidR="00DB6E47" w:rsidRPr="006C3305" w:rsidRDefault="00DB6E47" w:rsidP="00B41BF6">
      <w:pPr>
        <w:pStyle w:val="aDefsubpara"/>
        <w:keepNext/>
      </w:pPr>
      <w:r>
        <w:tab/>
      </w:r>
      <w:r w:rsidRPr="00F04D8E">
        <w:t>(i)</w:t>
      </w:r>
      <w:r w:rsidRPr="006C3305">
        <w:tab/>
        <w:t>an owner of the thing or sample; or</w:t>
      </w:r>
    </w:p>
    <w:p w14:paraId="4E9AE1D7" w14:textId="77777777" w:rsidR="00DB6E47" w:rsidRPr="006C3305" w:rsidRDefault="00DB6E47" w:rsidP="00DB6E47">
      <w:pPr>
        <w:pStyle w:val="aDefsubpara"/>
      </w:pPr>
      <w:r>
        <w:tab/>
        <w:t>(ii)</w:t>
      </w:r>
      <w:r w:rsidRPr="006C3305">
        <w:tab/>
        <w:t>a person in possession of the thing, or the thing from which the sample was taken, before the thing or sample was taken for examination under section 500(1)</w:t>
      </w:r>
      <w:r w:rsidRPr="00F04D8E">
        <w:t>(c)</w:t>
      </w:r>
      <w:r w:rsidRPr="006C3305">
        <w:t>; or</w:t>
      </w:r>
    </w:p>
    <w:p w14:paraId="26D6C7D4" w14:textId="77777777" w:rsidR="00DB6E47" w:rsidRPr="00AE2A67" w:rsidRDefault="00DB6E47" w:rsidP="006505F1">
      <w:pPr>
        <w:pStyle w:val="aDefpara"/>
        <w:keepNext/>
      </w:pPr>
      <w:r w:rsidRPr="00FF4454">
        <w:lastRenderedPageBreak/>
        <w:tab/>
      </w:r>
      <w:r w:rsidRPr="00F04D8E">
        <w:rPr>
          <w:rFonts w:cs="Times"/>
          <w:bCs/>
          <w:iCs/>
        </w:rPr>
        <w:t>(b)</w:t>
      </w:r>
      <w:r w:rsidRPr="00FF4454">
        <w:rPr>
          <w:rStyle w:val="charBoldItals"/>
        </w:rPr>
        <w:tab/>
      </w:r>
      <w:r w:rsidRPr="00AE2A67">
        <w:t>for a thing seized under this Chapter other than under section</w:t>
      </w:r>
      <w:r w:rsidR="001906C7">
        <w:t> </w:t>
      </w:r>
      <w:r w:rsidRPr="00AE2A67">
        <w:t>549—</w:t>
      </w:r>
    </w:p>
    <w:p w14:paraId="18BCD7E0" w14:textId="77777777" w:rsidR="00DB6E47" w:rsidRPr="006C3305" w:rsidRDefault="00DB6E47" w:rsidP="006505F1">
      <w:pPr>
        <w:pStyle w:val="aDefsubpara"/>
        <w:keepNext/>
      </w:pPr>
      <w:r>
        <w:tab/>
      </w:r>
      <w:r w:rsidRPr="00F04D8E">
        <w:t>(i)</w:t>
      </w:r>
      <w:r w:rsidRPr="006C3305">
        <w:tab/>
        <w:t>an owner of the thing; or</w:t>
      </w:r>
    </w:p>
    <w:p w14:paraId="1FB26745" w14:textId="77777777" w:rsidR="00DB6E47" w:rsidRPr="00AE2A67" w:rsidRDefault="00DB6E47" w:rsidP="00AE2A67">
      <w:pPr>
        <w:pStyle w:val="Asubpara"/>
      </w:pPr>
      <w:r w:rsidRPr="00AE2A67">
        <w:tab/>
        <w:t>(ii)</w:t>
      </w:r>
      <w:r w:rsidRPr="00AE2A67">
        <w:tab/>
        <w:t>a person in possession of the thing before it was seized.</w:t>
      </w:r>
    </w:p>
    <w:p w14:paraId="1A309311" w14:textId="77777777" w:rsidR="00DB6E47" w:rsidRPr="007E1F9A" w:rsidRDefault="00DB6E47" w:rsidP="00DB6E47">
      <w:pPr>
        <w:pStyle w:val="AH5Sec"/>
      </w:pPr>
      <w:bookmarkStart w:id="664" w:name="_Toc83626008"/>
      <w:r w:rsidRPr="005E03F7">
        <w:rPr>
          <w:rStyle w:val="CharSectNo"/>
        </w:rPr>
        <w:t>555</w:t>
      </w:r>
      <w:r w:rsidRPr="007E1F9A">
        <w:tab/>
      </w:r>
      <w:r w:rsidRPr="007E1F9A">
        <w:rPr>
          <w:rFonts w:ascii="Helvetica" w:hAnsi="Helvetica" w:cs="Helvetica"/>
          <w:iCs/>
        </w:rPr>
        <w:t>Access to seized thing</w:t>
      </w:r>
      <w:bookmarkEnd w:id="664"/>
    </w:p>
    <w:p w14:paraId="5486B436" w14:textId="77777777" w:rsidR="00DB6E47" w:rsidRPr="00CC4412" w:rsidRDefault="00DB6E47" w:rsidP="00DB6E47">
      <w:pPr>
        <w:pStyle w:val="Amain"/>
      </w:pPr>
      <w:r w:rsidRPr="00CC4412">
        <w:tab/>
        <w:t>(1)</w:t>
      </w:r>
      <w:r w:rsidRPr="00CC4412">
        <w:tab/>
        <w:t>Until a thing seized under this Chapter is forfeited or returned, the authorised officer who seized the thing must allow any owner of the thing—</w:t>
      </w:r>
    </w:p>
    <w:p w14:paraId="4EBC6EEE" w14:textId="77777777" w:rsidR="00DB6E47" w:rsidRPr="00544ED5" w:rsidRDefault="00DB6E47" w:rsidP="00DB6E47">
      <w:pPr>
        <w:pStyle w:val="Apara"/>
      </w:pPr>
      <w:r w:rsidRPr="00544ED5">
        <w:tab/>
        <w:t>(a)</w:t>
      </w:r>
      <w:r w:rsidRPr="00544ED5">
        <w:tab/>
        <w:t>to inspect it at any reasonable time and from time to time; and</w:t>
      </w:r>
    </w:p>
    <w:p w14:paraId="2DF88F35" w14:textId="77777777" w:rsidR="00DB6E47" w:rsidRPr="00544ED5" w:rsidRDefault="00DB6E47" w:rsidP="00DB6E47">
      <w:pPr>
        <w:pStyle w:val="Apara"/>
      </w:pPr>
      <w:r w:rsidRPr="00544ED5">
        <w:tab/>
        <w:t>(b)</w:t>
      </w:r>
      <w:r w:rsidRPr="00544ED5">
        <w:tab/>
        <w:t>if it is a document—to copy it.</w:t>
      </w:r>
    </w:p>
    <w:p w14:paraId="339AA990" w14:textId="77777777" w:rsidR="00DB6E47" w:rsidRPr="00CC4412" w:rsidRDefault="00AE2A67" w:rsidP="00DB6E47">
      <w:pPr>
        <w:pStyle w:val="Amain"/>
      </w:pPr>
      <w:r>
        <w:tab/>
        <w:t>(2)</w:t>
      </w:r>
      <w:r>
        <w:tab/>
        <w:t xml:space="preserve">Subsection </w:t>
      </w:r>
      <w:r w:rsidR="00DB6E47" w:rsidRPr="00CC4412">
        <w:t>(1)</w:t>
      </w:r>
      <w:r>
        <w:t xml:space="preserve"> </w:t>
      </w:r>
      <w:r w:rsidR="00DB6E47" w:rsidRPr="00CC4412">
        <w:t>does not apply if it is impracticable or would be unreasonable to allow the inspection or copying.</w:t>
      </w:r>
    </w:p>
    <w:p w14:paraId="4F67D3D3" w14:textId="77777777" w:rsidR="00DB6E47" w:rsidRPr="00CC4412" w:rsidRDefault="00DB6E47" w:rsidP="00DB6E47">
      <w:pPr>
        <w:pStyle w:val="Amain"/>
      </w:pPr>
      <w:r w:rsidRPr="00CC4412">
        <w:tab/>
        <w:t>(3)</w:t>
      </w:r>
      <w:r w:rsidRPr="00CC4412">
        <w:tab/>
        <w:t>The inspection or copying must be allowed free of charge.</w:t>
      </w:r>
    </w:p>
    <w:p w14:paraId="5D362FAD" w14:textId="77777777" w:rsidR="00DB6E47" w:rsidRPr="007E1F9A" w:rsidRDefault="00DB6E47" w:rsidP="00DB6E47">
      <w:pPr>
        <w:pStyle w:val="AH5Sec"/>
      </w:pPr>
      <w:bookmarkStart w:id="665" w:name="_Toc83626009"/>
      <w:r w:rsidRPr="005E03F7">
        <w:rPr>
          <w:rStyle w:val="CharSectNo"/>
        </w:rPr>
        <w:t>556</w:t>
      </w:r>
      <w:r w:rsidRPr="007E1F9A">
        <w:tab/>
      </w:r>
      <w:r w:rsidRPr="007E1F9A">
        <w:rPr>
          <w:rFonts w:ascii="Helvetica" w:hAnsi="Helvetica" w:cs="Helvetica"/>
          <w:iCs/>
        </w:rPr>
        <w:t>Return of seized things or samples</w:t>
      </w:r>
      <w:bookmarkEnd w:id="665"/>
    </w:p>
    <w:p w14:paraId="02CFDA84" w14:textId="77777777" w:rsidR="00DB6E47" w:rsidRPr="00CC4412" w:rsidRDefault="00DB6E47" w:rsidP="00DB6E47">
      <w:pPr>
        <w:pStyle w:val="Amain"/>
      </w:pPr>
      <w:r w:rsidRPr="00CC4412">
        <w:tab/>
        <w:t>(1)</w:t>
      </w:r>
      <w:r w:rsidRPr="00CC4412">
        <w:tab/>
        <w:t>This section applies if—</w:t>
      </w:r>
    </w:p>
    <w:p w14:paraId="7AFEA52F" w14:textId="77777777" w:rsidR="00DB6E47" w:rsidRPr="00544ED5" w:rsidRDefault="00DB6E47" w:rsidP="00DB6E47">
      <w:pPr>
        <w:pStyle w:val="Apara"/>
      </w:pPr>
      <w:r w:rsidRPr="00544ED5">
        <w:tab/>
        <w:t>(a)</w:t>
      </w:r>
      <w:r w:rsidRPr="00544ED5">
        <w:tab/>
        <w:t>an authorised officer has seized a thing or sample under this Chapter; and</w:t>
      </w:r>
    </w:p>
    <w:p w14:paraId="1613F4DD" w14:textId="77777777" w:rsidR="00DB6E47" w:rsidRPr="00544ED5" w:rsidRDefault="00DB6E47" w:rsidP="00DB6E47">
      <w:pPr>
        <w:pStyle w:val="Apara"/>
      </w:pPr>
      <w:r w:rsidRPr="00544ED5">
        <w:tab/>
        <w:t>(b)</w:t>
      </w:r>
      <w:r w:rsidRPr="00544ED5">
        <w:tab/>
        <w:t>the thing or sample is not forfeited under Division 3.</w:t>
      </w:r>
    </w:p>
    <w:p w14:paraId="16A58559" w14:textId="77777777" w:rsidR="00DB6E47" w:rsidRPr="00CC4412" w:rsidRDefault="00DB6E47" w:rsidP="00DB6E47">
      <w:pPr>
        <w:pStyle w:val="Amain"/>
      </w:pPr>
      <w:r w:rsidRPr="00CC4412">
        <w:tab/>
        <w:t>(2)</w:t>
      </w:r>
      <w:r w:rsidRPr="00CC4412">
        <w:tab/>
        <w:t>If an authorised officer is satisfied that—</w:t>
      </w:r>
    </w:p>
    <w:p w14:paraId="66F9709C" w14:textId="77777777" w:rsidR="00DB6E47" w:rsidRPr="00544ED5" w:rsidRDefault="00DB6E47" w:rsidP="00DB6E47">
      <w:pPr>
        <w:pStyle w:val="Apara"/>
      </w:pPr>
      <w:r w:rsidRPr="00544ED5">
        <w:tab/>
        <w:t>(a)</w:t>
      </w:r>
      <w:r w:rsidRPr="00544ED5">
        <w:tab/>
        <w:t>the thing or sample is not required (or is no longer required) as evidence of an offence against this Law; and</w:t>
      </w:r>
    </w:p>
    <w:p w14:paraId="0A62033E" w14:textId="77777777" w:rsidR="00DB6E47" w:rsidRPr="00544ED5" w:rsidRDefault="00DB6E47" w:rsidP="00DB6E47">
      <w:pPr>
        <w:pStyle w:val="Apara"/>
      </w:pPr>
      <w:r w:rsidRPr="00544ED5">
        <w:tab/>
        <w:t>(b)</w:t>
      </w:r>
      <w:r w:rsidRPr="00544ED5">
        <w:tab/>
        <w:t>the continued retention of the thing or sample is not necessary to prevent the thing or sample being used to continue, or repeat, an offence against this Law; and</w:t>
      </w:r>
    </w:p>
    <w:p w14:paraId="6D230A95" w14:textId="77777777" w:rsidR="00DB6E47" w:rsidRPr="00544ED5" w:rsidRDefault="00DB6E47" w:rsidP="000E08E8">
      <w:pPr>
        <w:pStyle w:val="Apara"/>
        <w:keepNext/>
        <w:keepLines/>
      </w:pPr>
      <w:r w:rsidRPr="00544ED5">
        <w:lastRenderedPageBreak/>
        <w:tab/>
        <w:t>(c)</w:t>
      </w:r>
      <w:r w:rsidRPr="00544ED5">
        <w:tab/>
        <w:t xml:space="preserve">the thing or sample is not subject to a dispute as to ownership, which would be appropriately resolved by making </w:t>
      </w:r>
      <w:r w:rsidR="001906C7">
        <w:t xml:space="preserve">an application under subsection </w:t>
      </w:r>
      <w:r w:rsidRPr="00544ED5">
        <w:t>(3)</w:t>
      </w:r>
      <w:r w:rsidR="001906C7">
        <w:t xml:space="preserve"> </w:t>
      </w:r>
      <w:r w:rsidRPr="00544ED5">
        <w:t>for the return of the thing or sample;</w:t>
      </w:r>
    </w:p>
    <w:p w14:paraId="7459E4A5" w14:textId="77777777" w:rsidR="00DB6E47" w:rsidRPr="006C3305" w:rsidRDefault="00DB6E47" w:rsidP="00DB6E47">
      <w:pPr>
        <w:pStyle w:val="Amainreturn"/>
      </w:pPr>
      <w:r w:rsidRPr="006C3305">
        <w:t xml:space="preserve">the authorised officer must </w:t>
      </w:r>
      <w:r w:rsidR="00A40B27" w:rsidRPr="003323FC">
        <w:t>exercise reasonable diligence</w:t>
      </w:r>
      <w:r w:rsidRPr="006C3305">
        <w:t xml:space="preserve"> to return the thing or sample to the person from whom it was seized or to the owner if that person is not entitled to possess it.</w:t>
      </w:r>
    </w:p>
    <w:p w14:paraId="37A58B26" w14:textId="77777777" w:rsidR="00DB6E47" w:rsidRPr="00CC4412" w:rsidRDefault="00DB6E47" w:rsidP="00DB6E47">
      <w:pPr>
        <w:pStyle w:val="Amain"/>
      </w:pPr>
      <w:r w:rsidRPr="00CC4412">
        <w:tab/>
        <w:t>(3)</w:t>
      </w:r>
      <w:r w:rsidRPr="00CC4412">
        <w:tab/>
        <w:t>An application for the return of the thing or sample may be made to the relevant tribunal or court by—</w:t>
      </w:r>
    </w:p>
    <w:p w14:paraId="64D7F85C" w14:textId="77777777" w:rsidR="00DB6E47" w:rsidRPr="00544ED5" w:rsidRDefault="00DB6E47" w:rsidP="00DB6E47">
      <w:pPr>
        <w:pStyle w:val="Apara"/>
      </w:pPr>
      <w:r w:rsidRPr="00544ED5">
        <w:tab/>
        <w:t>(a)</w:t>
      </w:r>
      <w:r w:rsidRPr="00544ED5">
        <w:tab/>
        <w:t>the person from whom it was seized; or</w:t>
      </w:r>
    </w:p>
    <w:p w14:paraId="4C5FCD2B" w14:textId="77777777" w:rsidR="00DB6E47" w:rsidRPr="00544ED5" w:rsidRDefault="00DB6E47" w:rsidP="00DB6E47">
      <w:pPr>
        <w:pStyle w:val="Apara"/>
      </w:pPr>
      <w:r w:rsidRPr="00544ED5">
        <w:tab/>
        <w:t>(b)</w:t>
      </w:r>
      <w:r w:rsidRPr="00544ED5">
        <w:tab/>
        <w:t>a person who claims to be the owner; or</w:t>
      </w:r>
    </w:p>
    <w:p w14:paraId="124ECC1B" w14:textId="77777777" w:rsidR="00DB6E47" w:rsidRPr="00544ED5" w:rsidRDefault="00DB6E47" w:rsidP="00DB6E47">
      <w:pPr>
        <w:pStyle w:val="Apara"/>
      </w:pPr>
      <w:r w:rsidRPr="00544ED5">
        <w:tab/>
        <w:t>(c)</w:t>
      </w:r>
      <w:r w:rsidRPr="00544ED5">
        <w:tab/>
        <w:t>an authorised officer.</w:t>
      </w:r>
    </w:p>
    <w:p w14:paraId="73F8E758" w14:textId="77777777" w:rsidR="00DB6E47" w:rsidRPr="00CC4412" w:rsidRDefault="00DB6E47" w:rsidP="00DB6E47">
      <w:pPr>
        <w:pStyle w:val="Amain"/>
      </w:pPr>
      <w:r w:rsidRPr="00CC4412">
        <w:tab/>
        <w:t>(4)</w:t>
      </w:r>
      <w:r w:rsidRPr="00CC4412">
        <w:tab/>
        <w:t>If the relevant tribunal or court is satisfied that—</w:t>
      </w:r>
    </w:p>
    <w:p w14:paraId="2ED01C5F" w14:textId="77777777" w:rsidR="00DB6E47" w:rsidRPr="00544ED5" w:rsidRDefault="00DB6E47" w:rsidP="00DB6E47">
      <w:pPr>
        <w:pStyle w:val="Apara"/>
      </w:pPr>
      <w:r w:rsidRPr="00544ED5">
        <w:tab/>
        <w:t>(a)</w:t>
      </w:r>
      <w:r w:rsidRPr="00544ED5">
        <w:tab/>
        <w:t>the thing or sample is not required (or is no longer required) as evidence of an offence against this Law; and</w:t>
      </w:r>
    </w:p>
    <w:p w14:paraId="00DD36AB" w14:textId="77777777" w:rsidR="00DB6E47" w:rsidRPr="00544ED5" w:rsidRDefault="00DB6E47" w:rsidP="00DB6E47">
      <w:pPr>
        <w:pStyle w:val="Apara"/>
      </w:pPr>
      <w:r w:rsidRPr="00544ED5">
        <w:tab/>
        <w:t>(b)</w:t>
      </w:r>
      <w:r w:rsidRPr="00544ED5">
        <w:tab/>
        <w:t>the continued retention of the thing or sample is not necessary to prevent the thing or sample being used to continue, or repeat, an offence against this Law; and</w:t>
      </w:r>
    </w:p>
    <w:p w14:paraId="4186DC8B" w14:textId="77777777" w:rsidR="00DB6E47" w:rsidRPr="00544ED5" w:rsidRDefault="00DB6E47" w:rsidP="00B41BF6">
      <w:pPr>
        <w:pStyle w:val="Apara"/>
        <w:keepNext/>
      </w:pPr>
      <w:r w:rsidRPr="00544ED5">
        <w:tab/>
        <w:t>(c)</w:t>
      </w:r>
      <w:r w:rsidRPr="00544ED5">
        <w:tab/>
        <w:t>there are no reasonable grounds to suspect that the thing or sample is likely to be used by any person in the commission of an offence of a kind prescribed by the national regulations for the purposes of this subsection;</w:t>
      </w:r>
    </w:p>
    <w:p w14:paraId="6DC79098" w14:textId="77777777" w:rsidR="00DB6E47" w:rsidRPr="00CC4412" w:rsidRDefault="00DB6E47" w:rsidP="00DB6E47">
      <w:pPr>
        <w:pStyle w:val="Amainreturn"/>
      </w:pPr>
      <w:r w:rsidRPr="00CC4412">
        <w:t>the relevant tribunal or court may make an order for the return of the thing or sample to the person from whom it was seized or to the owner if that person is not entitled to possess it.</w:t>
      </w:r>
    </w:p>
    <w:p w14:paraId="1C030331" w14:textId="77777777" w:rsidR="00DB6E47" w:rsidRPr="00CC4412" w:rsidRDefault="00DB6E47" w:rsidP="000E08E8">
      <w:pPr>
        <w:pStyle w:val="Amain"/>
        <w:keepNext/>
      </w:pPr>
      <w:r w:rsidRPr="00CC4412">
        <w:lastRenderedPageBreak/>
        <w:tab/>
        <w:t>(5)</w:t>
      </w:r>
      <w:r w:rsidRPr="00CC4412">
        <w:tab/>
        <w:t>The national regulations may—</w:t>
      </w:r>
    </w:p>
    <w:p w14:paraId="3A9E3EE6" w14:textId="77777777" w:rsidR="00DB6E47" w:rsidRPr="00544ED5" w:rsidRDefault="00DB6E47" w:rsidP="000E08E8">
      <w:pPr>
        <w:pStyle w:val="Apara"/>
        <w:keepNext/>
      </w:pPr>
      <w:r w:rsidRPr="00544ED5">
        <w:tab/>
        <w:t>(a)</w:t>
      </w:r>
      <w:r w:rsidRPr="00544ED5">
        <w:tab/>
        <w:t>provide for the procedures to be followed when an application is made under subsection (3); and</w:t>
      </w:r>
    </w:p>
    <w:p w14:paraId="63DFDE0F" w14:textId="77777777" w:rsidR="00DB6E47" w:rsidRPr="00544ED5" w:rsidRDefault="00DB6E47" w:rsidP="000E08E8">
      <w:pPr>
        <w:pStyle w:val="Apara"/>
        <w:keepNext/>
      </w:pPr>
      <w:r w:rsidRPr="00544ED5">
        <w:tab/>
      </w:r>
      <w:r w:rsidR="00AE2A67">
        <w:t>(b)</w:t>
      </w:r>
      <w:r w:rsidR="00AE2A67">
        <w:tab/>
        <w:t xml:space="preserve">without limiting paragraph </w:t>
      </w:r>
      <w:r w:rsidRPr="00544ED5">
        <w:t>(a)—</w:t>
      </w:r>
    </w:p>
    <w:p w14:paraId="1E56E3DB" w14:textId="77777777" w:rsidR="00DB6E47" w:rsidRPr="00516F02" w:rsidRDefault="00DB6E47" w:rsidP="00DB6E47">
      <w:pPr>
        <w:pStyle w:val="Asubpara"/>
      </w:pPr>
      <w:r w:rsidRPr="00516F02">
        <w:tab/>
        <w:t>(i)</w:t>
      </w:r>
      <w:r w:rsidRPr="00516F02">
        <w:tab/>
        <w:t>provide for the notification of the Regulator or an authorised officer (or both) of the making of the application if it is made by a person who is not an authorised officer; and</w:t>
      </w:r>
    </w:p>
    <w:p w14:paraId="06700C73" w14:textId="77777777" w:rsidR="00DB6E47" w:rsidRPr="00516F02" w:rsidRDefault="00DB6E47" w:rsidP="00DB6E47">
      <w:pPr>
        <w:pStyle w:val="Asubpara"/>
      </w:pPr>
      <w:r>
        <w:tab/>
      </w:r>
      <w:r w:rsidRPr="00516F02">
        <w:t>(ii)</w:t>
      </w:r>
      <w:r w:rsidRPr="00516F02">
        <w:tab/>
        <w:t>specify the information that is to be included in the notification.</w:t>
      </w:r>
    </w:p>
    <w:p w14:paraId="139A3A9F" w14:textId="77777777" w:rsidR="00DB6E47" w:rsidRPr="00CC4412" w:rsidRDefault="00DB6E47" w:rsidP="00DB6E47">
      <w:pPr>
        <w:pStyle w:val="Amain"/>
      </w:pPr>
      <w:r w:rsidRPr="00CC4412">
        <w:tab/>
        <w:t>(6)</w:t>
      </w:r>
      <w:r w:rsidRPr="00CC4412">
        <w:tab/>
        <w:t>Nothing in this section affects a lien or other security over a thing.</w:t>
      </w:r>
    </w:p>
    <w:p w14:paraId="1EC7AAFF" w14:textId="77777777" w:rsidR="00DB6E47" w:rsidRPr="00CC4412" w:rsidRDefault="00DB6E47" w:rsidP="00DB6E47">
      <w:pPr>
        <w:pStyle w:val="Amain"/>
      </w:pPr>
      <w:r w:rsidRPr="00CC4412">
        <w:tab/>
        <w:t>(7)</w:t>
      </w:r>
      <w:r w:rsidRPr="00CC4412">
        <w:tab/>
        <w:t>Nothing in this section prevents the return of a thing or sample to its owner at any time if the Regulator considers there is no reason for its continued retention.</w:t>
      </w:r>
    </w:p>
    <w:p w14:paraId="6CF7CC2E" w14:textId="77777777" w:rsidR="00DB6E47" w:rsidRPr="00A95F9A" w:rsidRDefault="00DB6E47" w:rsidP="00DB6E47">
      <w:pPr>
        <w:pStyle w:val="AH4SubDiv"/>
      </w:pPr>
      <w:bookmarkStart w:id="666" w:name="_Toc83626010"/>
      <w:r w:rsidRPr="00A95F9A">
        <w:t xml:space="preserve">Subdivision 4 </w:t>
      </w:r>
      <w:r w:rsidRPr="00A95F9A">
        <w:tab/>
        <w:t>Embargo notices</w:t>
      </w:r>
      <w:bookmarkEnd w:id="666"/>
    </w:p>
    <w:p w14:paraId="7960EEDA" w14:textId="77777777" w:rsidR="00DB6E47" w:rsidRPr="007E1F9A" w:rsidRDefault="00DB6E47" w:rsidP="00DB6E47">
      <w:pPr>
        <w:pStyle w:val="AH5Sec"/>
      </w:pPr>
      <w:bookmarkStart w:id="667" w:name="_Toc83626011"/>
      <w:r w:rsidRPr="005E03F7">
        <w:rPr>
          <w:rStyle w:val="CharSectNo"/>
        </w:rPr>
        <w:t>557</w:t>
      </w:r>
      <w:r w:rsidRPr="007E1F9A">
        <w:tab/>
      </w:r>
      <w:r w:rsidRPr="007E1F9A">
        <w:rPr>
          <w:rFonts w:ascii="Helvetica" w:hAnsi="Helvetica" w:cs="Helvetica"/>
          <w:iCs/>
        </w:rPr>
        <w:t>Power to issue embargo notice</w:t>
      </w:r>
      <w:bookmarkEnd w:id="667"/>
    </w:p>
    <w:p w14:paraId="16B82200" w14:textId="77777777" w:rsidR="00DB6E47" w:rsidRPr="00CC4412" w:rsidRDefault="00DB6E47" w:rsidP="00DB6E47">
      <w:pPr>
        <w:pStyle w:val="Amain"/>
      </w:pPr>
      <w:r w:rsidRPr="00CC4412">
        <w:tab/>
        <w:t>(1)</w:t>
      </w:r>
      <w:r w:rsidRPr="00CC4412">
        <w:tab/>
        <w:t>This section applies if—</w:t>
      </w:r>
    </w:p>
    <w:p w14:paraId="30FD16C5" w14:textId="77777777" w:rsidR="00DB6E47" w:rsidRPr="00544ED5" w:rsidRDefault="00DB6E47" w:rsidP="00DB6E47">
      <w:pPr>
        <w:pStyle w:val="Apara"/>
      </w:pPr>
      <w:r w:rsidRPr="00544ED5">
        <w:tab/>
        <w:t>(a)</w:t>
      </w:r>
      <w:r w:rsidRPr="00544ED5">
        <w:tab/>
        <w:t>an authorised officer may seize a thing under this Chapter; and</w:t>
      </w:r>
    </w:p>
    <w:p w14:paraId="785F42F4" w14:textId="77777777" w:rsidR="00DB6E47" w:rsidRPr="00544ED5" w:rsidRDefault="00DB6E47" w:rsidP="00DB6E47">
      <w:pPr>
        <w:pStyle w:val="Apara"/>
      </w:pPr>
      <w:r w:rsidRPr="00544ED5">
        <w:tab/>
        <w:t>(b)</w:t>
      </w:r>
      <w:r w:rsidRPr="00544ED5">
        <w:tab/>
        <w:t>the thing can not, or can not readily, be physically seized and removed.</w:t>
      </w:r>
    </w:p>
    <w:p w14:paraId="79987E1A" w14:textId="77777777" w:rsidR="00DB6E47" w:rsidRPr="00CC4412" w:rsidRDefault="00DB6E47" w:rsidP="00DB6E47">
      <w:pPr>
        <w:pStyle w:val="Amain"/>
      </w:pPr>
      <w:r w:rsidRPr="00CC4412">
        <w:tab/>
        <w:t>(2)</w:t>
      </w:r>
      <w:r w:rsidRPr="00CC4412">
        <w:tab/>
        <w:t xml:space="preserve">The authorised officer may issue a notice (an </w:t>
      </w:r>
      <w:r w:rsidRPr="00FF4454">
        <w:rPr>
          <w:rStyle w:val="charBoldItals"/>
        </w:rPr>
        <w:t>embargo notice</w:t>
      </w:r>
      <w:r w:rsidRPr="00CC4412">
        <w:t>) under this section prohibiting any dealing with the thing or any part of it without the written consent of the Regulator or an authorised officer.</w:t>
      </w:r>
    </w:p>
    <w:p w14:paraId="6A2AA833" w14:textId="77777777" w:rsidR="00DB6E47" w:rsidRPr="00CC4412" w:rsidRDefault="00DB6E47" w:rsidP="00DB6E47">
      <w:pPr>
        <w:pStyle w:val="Amain"/>
      </w:pPr>
      <w:r w:rsidRPr="00CC4412">
        <w:tab/>
        <w:t>(3)</w:t>
      </w:r>
      <w:r w:rsidRPr="00CC4412">
        <w:tab/>
        <w:t>The embargo notice—</w:t>
      </w:r>
    </w:p>
    <w:p w14:paraId="01839701" w14:textId="77777777" w:rsidR="00DB6E47" w:rsidRPr="00544ED5" w:rsidRDefault="00DB6E47" w:rsidP="00DB6E47">
      <w:pPr>
        <w:pStyle w:val="Apara"/>
      </w:pPr>
      <w:r w:rsidRPr="00544ED5">
        <w:tab/>
        <w:t>(a)</w:t>
      </w:r>
      <w:r w:rsidRPr="00544ED5">
        <w:tab/>
        <w:t>must be in the approved form; and</w:t>
      </w:r>
    </w:p>
    <w:p w14:paraId="3044B91C" w14:textId="77777777" w:rsidR="00DB6E47" w:rsidRPr="00544ED5" w:rsidRDefault="00DB6E47" w:rsidP="00DB6E47">
      <w:pPr>
        <w:pStyle w:val="Apara"/>
      </w:pPr>
      <w:r w:rsidRPr="00544ED5">
        <w:tab/>
        <w:t>(b)</w:t>
      </w:r>
      <w:r w:rsidRPr="00544ED5">
        <w:tab/>
        <w:t>must list the activities it prohibits; and</w:t>
      </w:r>
    </w:p>
    <w:p w14:paraId="577E4668" w14:textId="77777777" w:rsidR="00DB6E47" w:rsidRPr="00544ED5" w:rsidRDefault="00DB6E47" w:rsidP="00DB6E47">
      <w:pPr>
        <w:pStyle w:val="Apara"/>
      </w:pPr>
      <w:r w:rsidRPr="00544ED5">
        <w:lastRenderedPageBreak/>
        <w:tab/>
        <w:t>(c)</w:t>
      </w:r>
      <w:r w:rsidRPr="00544ED5">
        <w:tab/>
        <w:t>must include a copy of section 558.</w:t>
      </w:r>
    </w:p>
    <w:p w14:paraId="225FE3F4" w14:textId="77777777" w:rsidR="00DB6E47" w:rsidRPr="003D139A" w:rsidRDefault="00DB6E47" w:rsidP="00DB6E47">
      <w:pPr>
        <w:pStyle w:val="Amain"/>
      </w:pPr>
      <w:r w:rsidRPr="003D139A">
        <w:tab/>
        <w:t>(4)</w:t>
      </w:r>
      <w:r w:rsidRPr="003D139A">
        <w:tab/>
        <w:t>The authorised officer may issue the embargo notice—</w:t>
      </w:r>
    </w:p>
    <w:p w14:paraId="53B8D378" w14:textId="77777777" w:rsidR="00DB6E47" w:rsidRPr="00544ED5" w:rsidRDefault="00DB6E47" w:rsidP="00DB6E47">
      <w:pPr>
        <w:pStyle w:val="Apara"/>
      </w:pPr>
      <w:r w:rsidRPr="00544ED5">
        <w:tab/>
        <w:t>(a)</w:t>
      </w:r>
      <w:r w:rsidRPr="00544ED5">
        <w:tab/>
        <w:t>by causing a copy of it to be served on the relevant entity; or</w:t>
      </w:r>
    </w:p>
    <w:p w14:paraId="74957589" w14:textId="77777777" w:rsidR="00DB6E47" w:rsidRPr="00544ED5" w:rsidRDefault="00DB6E47" w:rsidP="00DB6E47">
      <w:pPr>
        <w:pStyle w:val="Apara"/>
      </w:pPr>
      <w:r w:rsidRPr="00544ED5">
        <w:tab/>
        <w:t>(b)</w:t>
      </w:r>
      <w:r w:rsidRPr="00544ED5">
        <w:tab/>
        <w:t xml:space="preserve">if a relevant entity can not be located after </w:t>
      </w:r>
      <w:r w:rsidR="00A40B27" w:rsidRPr="003323FC">
        <w:t>the authorised officer exercises reasonable diligence</w:t>
      </w:r>
      <w:r w:rsidRPr="00544ED5">
        <w:t xml:space="preserve"> to do so, by fixing a copy of the notice on the thing the subject of the notice in a conspicuous position and in a reasonably secure way.</w:t>
      </w:r>
    </w:p>
    <w:p w14:paraId="24CB0BE5" w14:textId="77777777" w:rsidR="00DB6E47" w:rsidRPr="003D139A" w:rsidRDefault="00DB6E47" w:rsidP="00DB6E47">
      <w:pPr>
        <w:pStyle w:val="Amain"/>
      </w:pPr>
      <w:r w:rsidRPr="003D139A">
        <w:tab/>
        <w:t>(5)</w:t>
      </w:r>
      <w:r w:rsidRPr="003D139A">
        <w:tab/>
        <w:t>In this section—</w:t>
      </w:r>
    </w:p>
    <w:p w14:paraId="1C94253D" w14:textId="77777777" w:rsidR="00DB6E47" w:rsidRPr="00041046" w:rsidRDefault="00DB6E47" w:rsidP="00DB6E47">
      <w:pPr>
        <w:pStyle w:val="aDef"/>
        <w:rPr>
          <w:bCs/>
        </w:rPr>
      </w:pPr>
      <w:r w:rsidRPr="00041046">
        <w:rPr>
          <w:rStyle w:val="charBoldItals"/>
        </w:rPr>
        <w:t>dealing</w:t>
      </w:r>
      <w:r w:rsidRPr="00041046">
        <w:t>, with a thing or part of a thing, includes—</w:t>
      </w:r>
    </w:p>
    <w:p w14:paraId="7A654EDA" w14:textId="77777777" w:rsidR="00DB6E47" w:rsidRPr="00AE2A67" w:rsidRDefault="00DB6E47" w:rsidP="00DB6E47">
      <w:pPr>
        <w:pStyle w:val="aDefpara"/>
      </w:pPr>
      <w:r w:rsidRPr="00FF4454">
        <w:tab/>
      </w:r>
      <w:r w:rsidRPr="00F04D8E">
        <w:rPr>
          <w:rFonts w:cs="Times"/>
          <w:bCs/>
          <w:iCs/>
        </w:rPr>
        <w:t>(a)</w:t>
      </w:r>
      <w:r w:rsidRPr="00FF4454">
        <w:rPr>
          <w:rStyle w:val="charBoldItals"/>
        </w:rPr>
        <w:tab/>
      </w:r>
      <w:r w:rsidRPr="00AE2A67">
        <w:t>moving, selling, leasing or transferring the thing or part; and</w:t>
      </w:r>
    </w:p>
    <w:p w14:paraId="1B8EFC28" w14:textId="77777777" w:rsidR="00DB6E47" w:rsidRPr="00AE2A67" w:rsidRDefault="00DB6E47" w:rsidP="00DB6E47">
      <w:pPr>
        <w:pStyle w:val="aDefpara"/>
      </w:pPr>
      <w:r w:rsidRPr="00AE2A67">
        <w:tab/>
        <w:t>(b)</w:t>
      </w:r>
      <w:r w:rsidRPr="00AE2A67">
        <w:tab/>
        <w:t>changing information on, or deleting information from, the thing or part.</w:t>
      </w:r>
    </w:p>
    <w:p w14:paraId="576C40DA" w14:textId="77777777" w:rsidR="00DB6E47" w:rsidRPr="00041046" w:rsidRDefault="00DB6E47" w:rsidP="00DB6E47">
      <w:pPr>
        <w:pStyle w:val="aDef"/>
        <w:rPr>
          <w:bCs/>
        </w:rPr>
      </w:pPr>
      <w:r w:rsidRPr="00041046">
        <w:rPr>
          <w:rStyle w:val="charBoldItals"/>
        </w:rPr>
        <w:t>relevant entity</w:t>
      </w:r>
      <w:r w:rsidRPr="00041046">
        <w:t>, for an embargo notice, means—</w:t>
      </w:r>
    </w:p>
    <w:p w14:paraId="6F00DF7B" w14:textId="77777777" w:rsidR="00DB6E47" w:rsidRPr="00AE2A67" w:rsidRDefault="00DB6E47" w:rsidP="00DB6E47">
      <w:pPr>
        <w:pStyle w:val="aDefpara"/>
      </w:pPr>
      <w:r w:rsidRPr="00FF4454">
        <w:tab/>
      </w:r>
      <w:r w:rsidRPr="00F04D8E">
        <w:rPr>
          <w:rFonts w:cs="Times"/>
          <w:bCs/>
          <w:iCs/>
        </w:rPr>
        <w:t>(a)</w:t>
      </w:r>
      <w:r w:rsidRPr="00FF4454">
        <w:rPr>
          <w:rStyle w:val="charBoldItals"/>
        </w:rPr>
        <w:tab/>
      </w:r>
      <w:r w:rsidRPr="00AE2A67">
        <w:t>the driver of the heavy vehicle to which the thing the subject of the notice relates; or</w:t>
      </w:r>
    </w:p>
    <w:p w14:paraId="0F8A6E4B" w14:textId="77777777" w:rsidR="00DB6E47" w:rsidRPr="00AE2A67" w:rsidRDefault="00DB6E47" w:rsidP="00DB6E47">
      <w:pPr>
        <w:pStyle w:val="aDefpara"/>
      </w:pPr>
      <w:r w:rsidRPr="00AE2A67">
        <w:tab/>
        <w:t>(b)</w:t>
      </w:r>
      <w:r w:rsidRPr="00AE2A67">
        <w:tab/>
        <w:t>the occupier of the place in which the thing the subject of the notice is located.</w:t>
      </w:r>
    </w:p>
    <w:p w14:paraId="4CB5E96B" w14:textId="77777777" w:rsidR="00DB6E47" w:rsidRPr="007E1F9A" w:rsidRDefault="00DB6E47" w:rsidP="00DB6E47">
      <w:pPr>
        <w:pStyle w:val="AH5Sec"/>
      </w:pPr>
      <w:bookmarkStart w:id="668" w:name="_Toc83626012"/>
      <w:r w:rsidRPr="005E03F7">
        <w:rPr>
          <w:rStyle w:val="CharSectNo"/>
        </w:rPr>
        <w:t>558</w:t>
      </w:r>
      <w:r w:rsidRPr="007E1F9A">
        <w:tab/>
      </w:r>
      <w:r w:rsidRPr="007E1F9A">
        <w:rPr>
          <w:rFonts w:ascii="Helvetica" w:hAnsi="Helvetica" w:cs="Helvetica"/>
          <w:iCs/>
        </w:rPr>
        <w:t>Noncompliance with embargo notice</w:t>
      </w:r>
      <w:bookmarkEnd w:id="668"/>
    </w:p>
    <w:p w14:paraId="79C89438" w14:textId="77777777" w:rsidR="00DB6E47" w:rsidRPr="003D139A" w:rsidRDefault="00DB6E47" w:rsidP="00B41BF6">
      <w:pPr>
        <w:pStyle w:val="Amain"/>
        <w:keepNext/>
      </w:pPr>
      <w:r w:rsidRPr="003D139A">
        <w:tab/>
        <w:t>(1)</w:t>
      </w:r>
      <w:r w:rsidRPr="003D139A">
        <w:tab/>
        <w:t xml:space="preserve">A person (the </w:t>
      </w:r>
      <w:r w:rsidRPr="00FF4454">
        <w:rPr>
          <w:rStyle w:val="charBoldItals"/>
        </w:rPr>
        <w:t>relevant person</w:t>
      </w:r>
      <w:r w:rsidRPr="003D139A">
        <w:t>) who knows an embargo notice relates to a thing must not—</w:t>
      </w:r>
    </w:p>
    <w:p w14:paraId="1EEB2D32" w14:textId="77777777" w:rsidR="00DB6E47" w:rsidRPr="00544ED5" w:rsidRDefault="00DB6E47" w:rsidP="00DB6E47">
      <w:pPr>
        <w:pStyle w:val="Apara"/>
      </w:pPr>
      <w:r w:rsidRPr="00544ED5">
        <w:tab/>
        <w:t>(a)</w:t>
      </w:r>
      <w:r w:rsidRPr="00544ED5">
        <w:tab/>
        <w:t>do anything the notice prohibits; or</w:t>
      </w:r>
    </w:p>
    <w:p w14:paraId="3F318C97" w14:textId="77777777" w:rsidR="00DB6E47" w:rsidRPr="00544ED5" w:rsidRDefault="00DB6E47" w:rsidP="00DB6E47">
      <w:pPr>
        <w:pStyle w:val="Apara"/>
      </w:pPr>
      <w:r w:rsidRPr="00544ED5">
        <w:tab/>
        <w:t>(b)</w:t>
      </w:r>
      <w:r w:rsidRPr="00544ED5">
        <w:tab/>
        <w:t xml:space="preserve">instruct someone else (the </w:t>
      </w:r>
      <w:r w:rsidRPr="00FF4454">
        <w:rPr>
          <w:rStyle w:val="charBoldItals"/>
        </w:rPr>
        <w:t>other person</w:t>
      </w:r>
      <w:r w:rsidRPr="00544ED5">
        <w:t>) to do anything the notice prohibits—</w:t>
      </w:r>
    </w:p>
    <w:p w14:paraId="6AEB43E3" w14:textId="77777777" w:rsidR="00DB6E47" w:rsidRPr="00516F02" w:rsidRDefault="00DB6E47" w:rsidP="00DB6E47">
      <w:pPr>
        <w:pStyle w:val="Asubpara"/>
      </w:pPr>
      <w:r w:rsidRPr="00516F02">
        <w:tab/>
        <w:t>(i)</w:t>
      </w:r>
      <w:r w:rsidRPr="00516F02">
        <w:tab/>
        <w:t>anyone from doing; or</w:t>
      </w:r>
    </w:p>
    <w:p w14:paraId="5E983CCC" w14:textId="77777777" w:rsidR="00DB6E47" w:rsidRPr="00516F02" w:rsidRDefault="00DB6E47" w:rsidP="00DB6E47">
      <w:pPr>
        <w:pStyle w:val="Asubpara"/>
      </w:pPr>
      <w:r w:rsidRPr="00516F02">
        <w:tab/>
        <w:t>(ii)</w:t>
      </w:r>
      <w:r w:rsidRPr="00516F02">
        <w:tab/>
        <w:t>the relevant person or other person from doing.</w:t>
      </w:r>
    </w:p>
    <w:p w14:paraId="11613627" w14:textId="77777777" w:rsidR="00DB6E47" w:rsidRPr="006C3305" w:rsidRDefault="00DB6E47" w:rsidP="00DB6E47">
      <w:pPr>
        <w:pStyle w:val="Penalty"/>
      </w:pPr>
      <w:r w:rsidRPr="00D91CC2">
        <w:rPr>
          <w:rFonts w:cs="Times"/>
          <w:bCs/>
          <w:iCs/>
        </w:rPr>
        <w:t>Maximum penalty—$10000.</w:t>
      </w:r>
    </w:p>
    <w:p w14:paraId="59673A0D" w14:textId="77777777" w:rsidR="00DB6E47" w:rsidRPr="003D139A" w:rsidRDefault="00DB6E47" w:rsidP="00DB6E47">
      <w:pPr>
        <w:pStyle w:val="Amain"/>
      </w:pPr>
      <w:r w:rsidRPr="003D139A">
        <w:lastRenderedPageBreak/>
        <w:tab/>
        <w:t>(2)</w:t>
      </w:r>
      <w:r w:rsidRPr="003D139A">
        <w:tab/>
        <w:t>In a proceeding fo</w:t>
      </w:r>
      <w:r w:rsidR="00AE2A67">
        <w:t xml:space="preserve">r an offence against subsection </w:t>
      </w:r>
      <w:r w:rsidRPr="003D139A">
        <w:t>(1)</w:t>
      </w:r>
      <w:r w:rsidR="00AE2A67">
        <w:t xml:space="preserve"> </w:t>
      </w:r>
      <w:r w:rsidRPr="003D139A">
        <w:t>to the extent it relates to a charge that the person charged with the offence (</w:t>
      </w:r>
      <w:r w:rsidRPr="00FF4454">
        <w:rPr>
          <w:rStyle w:val="charBoldItals"/>
        </w:rPr>
        <w:t>defendant</w:t>
      </w:r>
      <w:r w:rsidRPr="003D139A">
        <w:t>) moved an embargoed thing, or a part of an embargoed thing, it is a defence for the defendant to prove that he or she—</w:t>
      </w:r>
    </w:p>
    <w:p w14:paraId="682AF44A" w14:textId="77777777" w:rsidR="00DB6E47" w:rsidRPr="00544ED5" w:rsidRDefault="00DB6E47" w:rsidP="00DB6E47">
      <w:pPr>
        <w:pStyle w:val="Apara"/>
      </w:pPr>
      <w:r w:rsidRPr="00544ED5">
        <w:tab/>
        <w:t>(a)</w:t>
      </w:r>
      <w:r w:rsidRPr="00544ED5">
        <w:tab/>
        <w:t>moved the embargoed thing, or part, to protect or preserve it; and</w:t>
      </w:r>
    </w:p>
    <w:p w14:paraId="52EAA67B" w14:textId="77777777" w:rsidR="00DB6E47" w:rsidRPr="00544ED5" w:rsidRDefault="00DB6E47" w:rsidP="00DB6E47">
      <w:pPr>
        <w:pStyle w:val="Apara"/>
      </w:pPr>
      <w:r w:rsidRPr="00544ED5">
        <w:tab/>
        <w:t>(b)</w:t>
      </w:r>
      <w:r w:rsidRPr="00544ED5">
        <w:tab/>
        <w:t>notified the authorised officer who issued the embargo notice of the move and new location of the embargoed thing, or part, within 48 hours after the move.</w:t>
      </w:r>
    </w:p>
    <w:p w14:paraId="0F01903B" w14:textId="77777777" w:rsidR="00DB6E47" w:rsidRPr="006C3305" w:rsidRDefault="00DB6E47" w:rsidP="00DB6E47">
      <w:pPr>
        <w:pStyle w:val="Amain"/>
      </w:pPr>
      <w:r>
        <w:tab/>
        <w:t>(</w:t>
      </w:r>
      <w:r w:rsidRPr="006C3305">
        <w:t>3)</w:t>
      </w:r>
      <w:r w:rsidRPr="006C3305">
        <w:tab/>
        <w:t xml:space="preserve">A person served with an embargo notice must </w:t>
      </w:r>
      <w:r w:rsidR="00A40B27" w:rsidRPr="003323FC">
        <w:t>ensure, so far as is reasonably practicable, another person does not do</w:t>
      </w:r>
      <w:r w:rsidRPr="006C3305">
        <w:t xml:space="preserve"> anything prohibited by the notice.</w:t>
      </w:r>
    </w:p>
    <w:p w14:paraId="4A06EF37" w14:textId="77777777" w:rsidR="00DB6E47" w:rsidRPr="006C3305" w:rsidRDefault="00DB6E47" w:rsidP="00DB6E47">
      <w:pPr>
        <w:pStyle w:val="Penalty"/>
      </w:pPr>
      <w:r w:rsidRPr="00D91CC2">
        <w:rPr>
          <w:rFonts w:cs="Times"/>
          <w:bCs/>
          <w:iCs/>
        </w:rPr>
        <w:t>Maximum penalty—$10000.</w:t>
      </w:r>
    </w:p>
    <w:p w14:paraId="0713EB46" w14:textId="77777777" w:rsidR="00DB6E47" w:rsidRPr="003D139A" w:rsidRDefault="00DB6E47" w:rsidP="00DB6E47">
      <w:pPr>
        <w:pStyle w:val="Amain"/>
      </w:pPr>
      <w:r w:rsidRPr="003D139A">
        <w:tab/>
        <w:t>(4)</w:t>
      </w:r>
      <w:r w:rsidRPr="003D139A">
        <w:tab/>
        <w:t>Despite any other Act or law, a sale, lease, transfer or other dealing with an embargoed thing in contravention of this section is void.</w:t>
      </w:r>
    </w:p>
    <w:p w14:paraId="22358B30" w14:textId="77777777" w:rsidR="00DB6E47" w:rsidRPr="007E1F9A" w:rsidRDefault="00DB6E47" w:rsidP="00DB6E47">
      <w:pPr>
        <w:pStyle w:val="AH5Sec"/>
      </w:pPr>
      <w:bookmarkStart w:id="669" w:name="_Toc83626013"/>
      <w:r w:rsidRPr="005E03F7">
        <w:rPr>
          <w:rStyle w:val="CharSectNo"/>
        </w:rPr>
        <w:t>559</w:t>
      </w:r>
      <w:r w:rsidRPr="007E1F9A">
        <w:tab/>
      </w:r>
      <w:r w:rsidRPr="007E1F9A">
        <w:rPr>
          <w:rFonts w:ascii="Helvetica" w:hAnsi="Helvetica" w:cs="Helvetica"/>
          <w:iCs/>
        </w:rPr>
        <w:t>Power to secure embargoed thing</w:t>
      </w:r>
      <w:bookmarkEnd w:id="669"/>
    </w:p>
    <w:p w14:paraId="7B297119" w14:textId="77777777" w:rsidR="00DB6E47" w:rsidRPr="003D139A" w:rsidRDefault="00DB6E47" w:rsidP="00B41BF6">
      <w:pPr>
        <w:pStyle w:val="Amain"/>
        <w:keepNext/>
      </w:pPr>
      <w:r w:rsidRPr="003D139A">
        <w:tab/>
        <w:t>(1)</w:t>
      </w:r>
      <w:r w:rsidRPr="003D139A">
        <w:tab/>
        <w:t>An authorised officer may take reasonable action to restrict access to an embargoed thing.</w:t>
      </w:r>
    </w:p>
    <w:p w14:paraId="7FE4C2EA" w14:textId="77777777" w:rsidR="00DB6E47" w:rsidRPr="003D139A" w:rsidRDefault="00DB6E47" w:rsidP="00DB6E47">
      <w:pPr>
        <w:pStyle w:val="Amain"/>
      </w:pPr>
      <w:r w:rsidRPr="003D139A">
        <w:tab/>
        <w:t>(2)</w:t>
      </w:r>
      <w:r w:rsidRPr="003D139A">
        <w:tab/>
        <w:t>For the purposes of subsection (1), the authorised officer may, for example—</w:t>
      </w:r>
    </w:p>
    <w:p w14:paraId="06168E83" w14:textId="77777777" w:rsidR="00DB6E47" w:rsidRPr="00544ED5" w:rsidRDefault="00DB6E47" w:rsidP="00DB6E47">
      <w:pPr>
        <w:pStyle w:val="Apara"/>
      </w:pPr>
      <w:r w:rsidRPr="00544ED5">
        <w:tab/>
        <w:t>(a)</w:t>
      </w:r>
      <w:r w:rsidRPr="00544ED5">
        <w:tab/>
        <w:t>seal the embargoed thing, or the entrance to the place where the embargoed thing is located, and mark the thing or place to show access to the thing or place is restricted; or</w:t>
      </w:r>
    </w:p>
    <w:p w14:paraId="2A65E2AD" w14:textId="77777777" w:rsidR="00DB6E47" w:rsidRPr="00544ED5" w:rsidRDefault="00DB6E47" w:rsidP="00DB6E47">
      <w:pPr>
        <w:pStyle w:val="Apara"/>
      </w:pPr>
      <w:r w:rsidRPr="00544ED5">
        <w:tab/>
        <w:t>(b)</w:t>
      </w:r>
      <w:r w:rsidRPr="00544ED5">
        <w:tab/>
        <w:t>for equipment—make it inoperable; or</w:t>
      </w:r>
    </w:p>
    <w:p w14:paraId="21B5CB56" w14:textId="77777777" w:rsidR="00DB6E47" w:rsidRPr="00C96203" w:rsidRDefault="00DB6E47" w:rsidP="00DB6E47">
      <w:pPr>
        <w:pStyle w:val="aExamHdgss"/>
      </w:pPr>
      <w:r w:rsidRPr="00C96203">
        <w:rPr>
          <w:rFonts w:cs="Times"/>
          <w:bCs/>
          <w:iCs/>
        </w:rPr>
        <w:t>Example—</w:t>
      </w:r>
    </w:p>
    <w:p w14:paraId="56465677" w14:textId="77777777" w:rsidR="00DB6E47" w:rsidRPr="00C96203" w:rsidRDefault="00DB6E47" w:rsidP="00DB6E47">
      <w:pPr>
        <w:pStyle w:val="aExamss"/>
      </w:pPr>
      <w:r w:rsidRPr="00C96203">
        <w:t>dismantling equipment or removing a component of equipment without which the equipment can not be used</w:t>
      </w:r>
    </w:p>
    <w:p w14:paraId="63700438" w14:textId="77777777" w:rsidR="00DB6E47" w:rsidRPr="00544ED5" w:rsidRDefault="00DB6E47" w:rsidP="000E08E8">
      <w:pPr>
        <w:pStyle w:val="Apara"/>
        <w:keepLines/>
      </w:pPr>
      <w:r w:rsidRPr="00544ED5">
        <w:lastRenderedPageBreak/>
        <w:tab/>
        <w:t>(c)</w:t>
      </w:r>
      <w:r w:rsidRPr="00544ED5">
        <w:tab/>
        <w:t>require a person the authorised officer reasonably believes is in control of the embargoed thing, or the place where the embargoed thing is located, to d</w:t>
      </w:r>
      <w:r w:rsidR="006505F1">
        <w:t>o an act mentioned in paragraph </w:t>
      </w:r>
      <w:r w:rsidRPr="00544ED5">
        <w:t>(a)</w:t>
      </w:r>
      <w:r w:rsidR="00AE2A67">
        <w:t xml:space="preserve"> or </w:t>
      </w:r>
      <w:r w:rsidRPr="00544ED5">
        <w:t>(b)</w:t>
      </w:r>
      <w:r w:rsidR="00AE2A67">
        <w:t xml:space="preserve"> </w:t>
      </w:r>
      <w:r w:rsidRPr="00544ED5">
        <w:t>or anything else an authorised officer could do under subsection (1).</w:t>
      </w:r>
    </w:p>
    <w:p w14:paraId="5B5ED53F" w14:textId="77777777" w:rsidR="00DB6E47" w:rsidRPr="003D139A" w:rsidRDefault="00DB6E47" w:rsidP="00DB6E47">
      <w:pPr>
        <w:pStyle w:val="Amain"/>
      </w:pPr>
      <w:r w:rsidRPr="003D139A">
        <w:tab/>
        <w:t>(3)</w:t>
      </w:r>
      <w:r w:rsidRPr="003D139A">
        <w:tab/>
        <w:t>A person of whom a requireme</w:t>
      </w:r>
      <w:r w:rsidR="00AE2A67">
        <w:t>nt is made under subsection (2)</w:t>
      </w:r>
      <w:r w:rsidRPr="003D139A">
        <w:t>(c)</w:t>
      </w:r>
      <w:r w:rsidR="00AE2A67">
        <w:t xml:space="preserve"> </w:t>
      </w:r>
      <w:r w:rsidRPr="003D139A">
        <w:t>must comply with the requirement, unless the person has a reasonable excuse.</w:t>
      </w:r>
    </w:p>
    <w:p w14:paraId="6027CA38" w14:textId="77777777" w:rsidR="00DB6E47" w:rsidRPr="006C3305" w:rsidRDefault="00DB6E47" w:rsidP="00DB6E47">
      <w:pPr>
        <w:pStyle w:val="Penalty"/>
      </w:pPr>
      <w:r w:rsidRPr="00D91CC2">
        <w:rPr>
          <w:rFonts w:cs="Times"/>
          <w:bCs/>
          <w:iCs/>
        </w:rPr>
        <w:t>Maximum penalty—$10000.</w:t>
      </w:r>
    </w:p>
    <w:p w14:paraId="7185BB9B" w14:textId="77777777" w:rsidR="00DB6E47" w:rsidRPr="003D139A" w:rsidRDefault="00DB6E47" w:rsidP="00DB6E47">
      <w:pPr>
        <w:pStyle w:val="Amain"/>
      </w:pPr>
      <w:r w:rsidRPr="003D139A">
        <w:tab/>
        <w:t>(4)</w:t>
      </w:r>
      <w:r w:rsidRPr="003D139A">
        <w:tab/>
        <w:t>If access to an embargoed thing is restricted under this section, a person must not tamper with the thing or with anything used to restrict access to the thing without—</w:t>
      </w:r>
    </w:p>
    <w:p w14:paraId="327B0D6A" w14:textId="77777777" w:rsidR="00DB6E47" w:rsidRPr="00544ED5" w:rsidRDefault="00DB6E47" w:rsidP="00DB6E47">
      <w:pPr>
        <w:pStyle w:val="Apara"/>
      </w:pPr>
      <w:r w:rsidRPr="00544ED5">
        <w:tab/>
        <w:t>(a)</w:t>
      </w:r>
      <w:r w:rsidRPr="00544ED5">
        <w:tab/>
        <w:t>an authorised officer’s approval; or</w:t>
      </w:r>
    </w:p>
    <w:p w14:paraId="35BE68C3" w14:textId="77777777" w:rsidR="00DB6E47" w:rsidRPr="00544ED5" w:rsidRDefault="00DB6E47" w:rsidP="00DB6E47">
      <w:pPr>
        <w:pStyle w:val="Apara"/>
      </w:pPr>
      <w:r w:rsidRPr="00544ED5">
        <w:tab/>
        <w:t>(b)</w:t>
      </w:r>
      <w:r w:rsidRPr="00544ED5">
        <w:tab/>
        <w:t>a reasonable excuse.</w:t>
      </w:r>
    </w:p>
    <w:p w14:paraId="64C5BEBB" w14:textId="77777777" w:rsidR="00DB6E47" w:rsidRPr="006C3305" w:rsidRDefault="00DB6E47" w:rsidP="00DB6E47">
      <w:pPr>
        <w:pStyle w:val="Penalty"/>
      </w:pPr>
      <w:r w:rsidRPr="00D91CC2">
        <w:rPr>
          <w:rFonts w:cs="Times"/>
          <w:bCs/>
          <w:iCs/>
        </w:rPr>
        <w:t>Maximum penalty—$10000.</w:t>
      </w:r>
    </w:p>
    <w:p w14:paraId="1132E720" w14:textId="77777777" w:rsidR="00DB6E47" w:rsidRPr="003D139A" w:rsidRDefault="00DB6E47" w:rsidP="00DB6E47">
      <w:pPr>
        <w:pStyle w:val="Amain"/>
      </w:pPr>
      <w:r w:rsidRPr="003D139A">
        <w:tab/>
        <w:t>(5)</w:t>
      </w:r>
      <w:r w:rsidRPr="003D139A">
        <w:tab/>
        <w:t>If access to a place is restricted under this section, a person must not enter the place in contravention of the restriction or tamper with anything used to restrict access to the place without—</w:t>
      </w:r>
    </w:p>
    <w:p w14:paraId="68D96C46" w14:textId="77777777" w:rsidR="00DB6E47" w:rsidRPr="00544ED5" w:rsidRDefault="00DB6E47" w:rsidP="00DB6E47">
      <w:pPr>
        <w:pStyle w:val="Apara"/>
      </w:pPr>
      <w:r w:rsidRPr="00544ED5">
        <w:tab/>
        <w:t>(a)</w:t>
      </w:r>
      <w:r w:rsidRPr="00544ED5">
        <w:tab/>
        <w:t>an authorised officer’s approval; or</w:t>
      </w:r>
    </w:p>
    <w:p w14:paraId="781B955D" w14:textId="77777777" w:rsidR="00DB6E47" w:rsidRPr="00544ED5" w:rsidRDefault="00DB6E47" w:rsidP="00DB6E47">
      <w:pPr>
        <w:pStyle w:val="Apara"/>
      </w:pPr>
      <w:r w:rsidRPr="00544ED5">
        <w:tab/>
        <w:t>(b)</w:t>
      </w:r>
      <w:r w:rsidRPr="00544ED5">
        <w:tab/>
        <w:t>a reasonable excuse.</w:t>
      </w:r>
    </w:p>
    <w:p w14:paraId="553E0C1E" w14:textId="77777777" w:rsidR="00DB6E47" w:rsidRPr="006C3305" w:rsidRDefault="00DB6E47" w:rsidP="00DB6E47">
      <w:pPr>
        <w:pStyle w:val="Penalty"/>
      </w:pPr>
      <w:r w:rsidRPr="00D91CC2">
        <w:rPr>
          <w:rFonts w:cs="Times"/>
          <w:bCs/>
          <w:iCs/>
        </w:rPr>
        <w:t>Maximum penalty—$10000.</w:t>
      </w:r>
    </w:p>
    <w:p w14:paraId="4863B423" w14:textId="77777777" w:rsidR="00DB6E47" w:rsidRPr="003D139A" w:rsidRDefault="00DB6E47" w:rsidP="00DB6E47">
      <w:pPr>
        <w:pStyle w:val="Amain"/>
      </w:pPr>
      <w:r w:rsidRPr="003D139A">
        <w:tab/>
        <w:t>(6)</w:t>
      </w:r>
      <w:r w:rsidRPr="003D139A">
        <w:tab/>
        <w:t>The restricted access to an embargoed thing, or a place where an embargoed thing is located, under this section applies only for the period the thing is an embargoed thing.</w:t>
      </w:r>
    </w:p>
    <w:p w14:paraId="3402895E" w14:textId="77777777" w:rsidR="00DB6E47" w:rsidRPr="007E1F9A" w:rsidRDefault="00DB6E47" w:rsidP="00DB6E47">
      <w:pPr>
        <w:pStyle w:val="AH5Sec"/>
      </w:pPr>
      <w:bookmarkStart w:id="670" w:name="_Toc83626014"/>
      <w:r w:rsidRPr="005E03F7">
        <w:rPr>
          <w:rStyle w:val="CharSectNo"/>
        </w:rPr>
        <w:lastRenderedPageBreak/>
        <w:t>560</w:t>
      </w:r>
      <w:r w:rsidRPr="007E1F9A">
        <w:tab/>
      </w:r>
      <w:r w:rsidRPr="007E1F9A">
        <w:rPr>
          <w:rFonts w:ascii="Helvetica" w:hAnsi="Helvetica" w:cs="Helvetica"/>
          <w:iCs/>
        </w:rPr>
        <w:t>Withdrawal of embargo notice</w:t>
      </w:r>
      <w:bookmarkEnd w:id="670"/>
    </w:p>
    <w:p w14:paraId="605CAF24" w14:textId="77777777" w:rsidR="00DB6E47" w:rsidRPr="003D139A" w:rsidRDefault="00DB6E47" w:rsidP="000E08E8">
      <w:pPr>
        <w:pStyle w:val="Amain"/>
        <w:keepNext/>
      </w:pPr>
      <w:r w:rsidRPr="003D139A">
        <w:tab/>
        <w:t>(1)</w:t>
      </w:r>
      <w:r w:rsidRPr="003D139A">
        <w:tab/>
        <w:t>This section applies if—</w:t>
      </w:r>
    </w:p>
    <w:p w14:paraId="5EB7E9AB" w14:textId="77777777" w:rsidR="00DB6E47" w:rsidRPr="00544ED5" w:rsidRDefault="00DB6E47" w:rsidP="000E08E8">
      <w:pPr>
        <w:pStyle w:val="Apara"/>
        <w:keepNext/>
      </w:pPr>
      <w:r w:rsidRPr="00544ED5">
        <w:tab/>
        <w:t>(a)</w:t>
      </w:r>
      <w:r w:rsidRPr="00544ED5">
        <w:tab/>
        <w:t>an authorised officer has issued an embargo notice for a thing; and</w:t>
      </w:r>
    </w:p>
    <w:p w14:paraId="508C2D0C" w14:textId="77777777" w:rsidR="00DB6E47" w:rsidRPr="00544ED5" w:rsidRDefault="00DB6E47" w:rsidP="00DB6E47">
      <w:pPr>
        <w:pStyle w:val="Apara"/>
      </w:pPr>
      <w:r w:rsidRPr="00544ED5">
        <w:tab/>
        <w:t>(b)</w:t>
      </w:r>
      <w:r w:rsidRPr="00544ED5">
        <w:tab/>
        <w:t>the thing has not been forfeited under Division 3.</w:t>
      </w:r>
    </w:p>
    <w:p w14:paraId="2CA8FCBA" w14:textId="77777777" w:rsidR="00DB6E47" w:rsidRPr="003D139A" w:rsidRDefault="00DB6E47" w:rsidP="00DB6E47">
      <w:pPr>
        <w:pStyle w:val="Amain"/>
      </w:pPr>
      <w:r w:rsidRPr="003D139A">
        <w:tab/>
        <w:t>(2)</w:t>
      </w:r>
      <w:r w:rsidRPr="003D139A">
        <w:tab/>
        <w:t>The authorised officer must withdraw the embargo notice—</w:t>
      </w:r>
    </w:p>
    <w:p w14:paraId="69F43D77" w14:textId="77777777" w:rsidR="00DB6E47" w:rsidRPr="00544ED5" w:rsidRDefault="00DB6E47" w:rsidP="00DB6E47">
      <w:pPr>
        <w:pStyle w:val="Apara"/>
      </w:pPr>
      <w:r w:rsidRPr="00544ED5">
        <w:tab/>
        <w:t>(a)</w:t>
      </w:r>
      <w:r w:rsidRPr="00544ED5">
        <w:tab/>
        <w:t>generally—at the end of 3 months after it is issued; or</w:t>
      </w:r>
    </w:p>
    <w:p w14:paraId="59E6EC86" w14:textId="77777777" w:rsidR="00DB6E47" w:rsidRPr="00544ED5" w:rsidRDefault="00DB6E47" w:rsidP="00DB6E47">
      <w:pPr>
        <w:pStyle w:val="Apara"/>
      </w:pPr>
      <w:r w:rsidRPr="00544ED5">
        <w:tab/>
        <w:t>(b)</w:t>
      </w:r>
      <w:r w:rsidRPr="00544ED5">
        <w:tab/>
        <w:t>if a relevant tribunal or court has made an order under subsec</w:t>
      </w:r>
      <w:r w:rsidR="00AE2A67">
        <w:t xml:space="preserve">tion </w:t>
      </w:r>
      <w:r w:rsidRPr="00544ED5">
        <w:t>(5)</w:t>
      </w:r>
      <w:r w:rsidR="00AE2A67">
        <w:t xml:space="preserve"> </w:t>
      </w:r>
      <w:r w:rsidRPr="00544ED5">
        <w:t>extending the time for withdrawing the notice—at the end of the extended time; or</w:t>
      </w:r>
    </w:p>
    <w:p w14:paraId="0B0CB8E9" w14:textId="77777777" w:rsidR="00DB6E47" w:rsidRPr="00544ED5" w:rsidRDefault="00DB6E47" w:rsidP="00DB6E47">
      <w:pPr>
        <w:pStyle w:val="Apara"/>
      </w:pPr>
      <w:r w:rsidRPr="00544ED5">
        <w:tab/>
        <w:t>(c)</w:t>
      </w:r>
      <w:r w:rsidRPr="00544ED5">
        <w:tab/>
        <w:t>if a proceeding for an offence involving the thing is started before the notice mu</w:t>
      </w:r>
      <w:r w:rsidR="00AE2A67">
        <w:t xml:space="preserve">st be withdrawn under paragraph </w:t>
      </w:r>
      <w:r w:rsidRPr="00544ED5">
        <w:t>(a)</w:t>
      </w:r>
      <w:r w:rsidR="00AE2A67">
        <w:t xml:space="preserve"> or </w:t>
      </w:r>
      <w:r w:rsidRPr="00544ED5">
        <w:t>(b)—at the end of the proceeding and any appeal from the proceeding.</w:t>
      </w:r>
    </w:p>
    <w:p w14:paraId="021E6929" w14:textId="77777777" w:rsidR="00DB6E47" w:rsidRPr="003D139A" w:rsidRDefault="00DB6E47" w:rsidP="00B41BF6">
      <w:pPr>
        <w:pStyle w:val="Amain"/>
        <w:keepNext/>
      </w:pPr>
      <w:r w:rsidRPr="003D139A">
        <w:tab/>
        <w:t>(3)</w:t>
      </w:r>
      <w:r w:rsidRPr="003D139A">
        <w:tab/>
        <w:t>Despite subsection (2), if the embargo notice is issued on the basis that the thing may provide evidence of an offence against this Law, the authorised officer must as soon as practicable withdraw the notice if the officer is satisfied—</w:t>
      </w:r>
    </w:p>
    <w:p w14:paraId="63B50B4E" w14:textId="77777777" w:rsidR="00DB6E47" w:rsidRPr="00544ED5" w:rsidRDefault="00DB6E47" w:rsidP="00DB6E47">
      <w:pPr>
        <w:pStyle w:val="Apara"/>
      </w:pPr>
      <w:r w:rsidRPr="00544ED5">
        <w:tab/>
        <w:t>(a)</w:t>
      </w:r>
      <w:r w:rsidRPr="00544ED5">
        <w:tab/>
        <w:t>the thing is no longer required as evidence of an offence against this Law; and</w:t>
      </w:r>
    </w:p>
    <w:p w14:paraId="337F9F22" w14:textId="77777777" w:rsidR="00DB6E47" w:rsidRPr="00544ED5" w:rsidRDefault="00DB6E47" w:rsidP="00DB6E47">
      <w:pPr>
        <w:pStyle w:val="Apara"/>
      </w:pPr>
      <w:r w:rsidRPr="00544ED5">
        <w:tab/>
        <w:t>(b)</w:t>
      </w:r>
      <w:r w:rsidRPr="00544ED5">
        <w:tab/>
        <w:t>it is not necessary for the notice to continue to prevent the thing being used to continue, or repeat, the offence.</w:t>
      </w:r>
    </w:p>
    <w:p w14:paraId="4208A621" w14:textId="77777777" w:rsidR="00DB6E47" w:rsidRPr="003D139A" w:rsidRDefault="00DB6E47" w:rsidP="00DB6E47">
      <w:pPr>
        <w:pStyle w:val="Amain"/>
      </w:pPr>
      <w:r w:rsidRPr="003D139A">
        <w:tab/>
        <w:t>(4)</w:t>
      </w:r>
      <w:r w:rsidRPr="003D139A">
        <w:tab/>
        <w:t>An authorised officer may apply to a relevant tribunal or court within 3 months after the embargo notice is issued for an extension of the time by which the notice must be withdrawn under this section.</w:t>
      </w:r>
    </w:p>
    <w:p w14:paraId="60DA2477" w14:textId="77777777" w:rsidR="00DB6E47" w:rsidRPr="003D139A" w:rsidRDefault="00DB6E47" w:rsidP="00DB6E47">
      <w:pPr>
        <w:pStyle w:val="Amain"/>
      </w:pPr>
      <w:r w:rsidRPr="003D139A">
        <w:tab/>
        <w:t>(5)</w:t>
      </w:r>
      <w:r w:rsidRPr="003D139A">
        <w:tab/>
        <w:t>The relevant tribunal or court may order the extension if it is satisfied the continued operation of the embargo notice is necessary for investigation purposes.</w:t>
      </w:r>
    </w:p>
    <w:p w14:paraId="2BB5D953" w14:textId="77777777" w:rsidR="00DB6E47" w:rsidRPr="005E03F7" w:rsidRDefault="00DB6E47" w:rsidP="00DB6E47">
      <w:pPr>
        <w:pStyle w:val="AH3Div"/>
      </w:pPr>
      <w:bookmarkStart w:id="671" w:name="_Toc83626015"/>
      <w:r w:rsidRPr="005E03F7">
        <w:rPr>
          <w:rStyle w:val="CharDivNo"/>
        </w:rPr>
        <w:lastRenderedPageBreak/>
        <w:t xml:space="preserve">Division 3 </w:t>
      </w:r>
      <w:r w:rsidRPr="00A95F9A">
        <w:rPr>
          <w:rFonts w:ascii="Helvetica" w:hAnsi="Helvetica" w:cs="Helvetica"/>
          <w:iCs/>
          <w:szCs w:val="28"/>
        </w:rPr>
        <w:tab/>
      </w:r>
      <w:r w:rsidRPr="005E03F7">
        <w:rPr>
          <w:rStyle w:val="CharDivText"/>
          <w:rFonts w:ascii="Helvetica" w:hAnsi="Helvetica" w:cs="Helvetica"/>
          <w:iCs/>
          <w:szCs w:val="28"/>
        </w:rPr>
        <w:t>Forfeiture and transfers</w:t>
      </w:r>
      <w:bookmarkEnd w:id="671"/>
    </w:p>
    <w:p w14:paraId="7A5F14CC" w14:textId="77777777" w:rsidR="00DB6E47" w:rsidRPr="007E1F9A" w:rsidRDefault="00DB6E47" w:rsidP="00DB6E47">
      <w:pPr>
        <w:pStyle w:val="AH5Sec"/>
      </w:pPr>
      <w:bookmarkStart w:id="672" w:name="_Toc83626016"/>
      <w:r w:rsidRPr="005E03F7">
        <w:rPr>
          <w:rStyle w:val="CharSectNo"/>
        </w:rPr>
        <w:t>561</w:t>
      </w:r>
      <w:r w:rsidRPr="007E1F9A">
        <w:tab/>
      </w:r>
      <w:r w:rsidRPr="007E1F9A">
        <w:rPr>
          <w:rFonts w:ascii="Helvetica" w:hAnsi="Helvetica" w:cs="Helvetica"/>
          <w:iCs/>
        </w:rPr>
        <w:t>Power to forfeit particular things or samples</w:t>
      </w:r>
      <w:bookmarkEnd w:id="672"/>
    </w:p>
    <w:p w14:paraId="2CADD989" w14:textId="77777777" w:rsidR="00DB6E47" w:rsidRPr="003D139A" w:rsidRDefault="00DB6E47" w:rsidP="00DB6E47">
      <w:pPr>
        <w:pStyle w:val="Amain"/>
      </w:pPr>
      <w:r w:rsidRPr="003D139A">
        <w:tab/>
        <w:t>(1)</w:t>
      </w:r>
      <w:r w:rsidRPr="003D139A">
        <w:tab/>
        <w:t>If, under this Chapter, a thing or sample is taken for examination by an authorised officer or a person authorised by an authorised officer, or a thing or sample is seized by an authorised officer, the Regulator may decide it is forfeited to the Regulator if an authorised officer—</w:t>
      </w:r>
    </w:p>
    <w:p w14:paraId="247F2753" w14:textId="77777777" w:rsidR="00DB6E47" w:rsidRPr="00544ED5" w:rsidRDefault="00DB6E47" w:rsidP="00DB6E47">
      <w:pPr>
        <w:pStyle w:val="Apara"/>
      </w:pPr>
      <w:r w:rsidRPr="00544ED5">
        <w:tab/>
        <w:t>(a)</w:t>
      </w:r>
      <w:r w:rsidRPr="00544ED5">
        <w:tab/>
        <w:t>after making reasonable inquiries, can not find its owner; or</w:t>
      </w:r>
    </w:p>
    <w:p w14:paraId="3D146ABA" w14:textId="77777777" w:rsidR="00DB6E47" w:rsidRPr="00544ED5" w:rsidRDefault="00DB6E47" w:rsidP="00DB6E47">
      <w:pPr>
        <w:pStyle w:val="Apara"/>
      </w:pPr>
      <w:r w:rsidRPr="00544ED5">
        <w:tab/>
        <w:t>(b)</w:t>
      </w:r>
      <w:r w:rsidRPr="00544ED5">
        <w:tab/>
        <w:t>after making reasonable efforts, can not return it to its owner.</w:t>
      </w:r>
    </w:p>
    <w:p w14:paraId="534F37A9" w14:textId="77777777" w:rsidR="00DB6E47" w:rsidRPr="003D139A" w:rsidRDefault="00DB6E47" w:rsidP="00DB6E47">
      <w:pPr>
        <w:pStyle w:val="Amain"/>
      </w:pPr>
      <w:r w:rsidRPr="003D139A">
        <w:tab/>
        <w:t>(2)</w:t>
      </w:r>
      <w:r w:rsidRPr="003D139A">
        <w:tab/>
        <w:t>However, the authorised officer is not required to—</w:t>
      </w:r>
    </w:p>
    <w:p w14:paraId="21174349" w14:textId="77777777" w:rsidR="00DB6E47" w:rsidRPr="00544ED5" w:rsidRDefault="00DB6E47" w:rsidP="00DB6E47">
      <w:pPr>
        <w:pStyle w:val="Apara"/>
      </w:pPr>
      <w:r w:rsidRPr="00544ED5">
        <w:tab/>
        <w:t>(a)</w:t>
      </w:r>
      <w:r w:rsidRPr="00544ED5">
        <w:tab/>
        <w:t>make inquiries if it would be unreasonable to make inquiries to find the owner; or</w:t>
      </w:r>
    </w:p>
    <w:p w14:paraId="147D08C9" w14:textId="77777777" w:rsidR="00DB6E47" w:rsidRPr="00544ED5" w:rsidRDefault="00DB6E47" w:rsidP="00B41BF6">
      <w:pPr>
        <w:pStyle w:val="Apara"/>
        <w:keepNext/>
      </w:pPr>
      <w:r w:rsidRPr="00544ED5">
        <w:tab/>
        <w:t>(b)</w:t>
      </w:r>
      <w:r w:rsidRPr="00544ED5">
        <w:tab/>
        <w:t>make efforts if it would be unreasonable to make efforts to return the thing or sample to its owner.</w:t>
      </w:r>
    </w:p>
    <w:p w14:paraId="1BC6C284" w14:textId="77777777" w:rsidR="00DB6E47" w:rsidRPr="00C96203" w:rsidRDefault="00DB6E47" w:rsidP="00DB6E47">
      <w:pPr>
        <w:pStyle w:val="aExamHdgss"/>
      </w:pPr>
      <w:r w:rsidRPr="00C96203">
        <w:rPr>
          <w:rFonts w:cs="Times"/>
          <w:bCs/>
          <w:iCs/>
        </w:rPr>
        <w:t>Example for the purposes of paragraph (b)—</w:t>
      </w:r>
    </w:p>
    <w:p w14:paraId="3320FDF9" w14:textId="77777777" w:rsidR="00DB6E47" w:rsidRPr="00C96203" w:rsidRDefault="00DB6E47" w:rsidP="00DB6E47">
      <w:pPr>
        <w:pStyle w:val="aExamss"/>
      </w:pPr>
      <w:r w:rsidRPr="00C96203">
        <w:t>the owner of the thing or sample has migrated to another country</w:t>
      </w:r>
    </w:p>
    <w:p w14:paraId="13BBFFE5" w14:textId="77777777" w:rsidR="00DB6E47" w:rsidRPr="003D139A" w:rsidRDefault="00DB6E47" w:rsidP="00DB6E47">
      <w:pPr>
        <w:pStyle w:val="Amain"/>
      </w:pPr>
      <w:r w:rsidRPr="003D139A">
        <w:tab/>
        <w:t>(3)</w:t>
      </w:r>
      <w:r w:rsidRPr="003D139A">
        <w:tab/>
        <w:t>Regard must be had to the thing’s or sample’s condition, nature and value in deciding—</w:t>
      </w:r>
    </w:p>
    <w:p w14:paraId="2E549DC7" w14:textId="77777777" w:rsidR="00DB6E47" w:rsidRPr="00544ED5" w:rsidRDefault="00DB6E47" w:rsidP="00DB6E47">
      <w:pPr>
        <w:pStyle w:val="Apara"/>
      </w:pPr>
      <w:r w:rsidRPr="00544ED5">
        <w:tab/>
        <w:t>(a)</w:t>
      </w:r>
      <w:r w:rsidRPr="00544ED5">
        <w:tab/>
        <w:t>whether it is reasonable to make inquiries or efforts; and</w:t>
      </w:r>
    </w:p>
    <w:p w14:paraId="7F35ADDC" w14:textId="77777777" w:rsidR="00DB6E47" w:rsidRPr="00544ED5" w:rsidRDefault="00DB6E47" w:rsidP="00DB6E47">
      <w:pPr>
        <w:pStyle w:val="Apara"/>
      </w:pPr>
      <w:r w:rsidRPr="00544ED5">
        <w:tab/>
        <w:t>(b)</w:t>
      </w:r>
      <w:r w:rsidRPr="00544ED5">
        <w:tab/>
        <w:t>if inquiries or efforts are made—what inquiries or efforts, including the period over which they are made, are reasonable.</w:t>
      </w:r>
    </w:p>
    <w:p w14:paraId="495BD791" w14:textId="77777777" w:rsidR="00DB6E47" w:rsidRPr="003D139A" w:rsidRDefault="00DB6E47" w:rsidP="00DB6E47">
      <w:pPr>
        <w:pStyle w:val="Amain"/>
      </w:pPr>
      <w:r w:rsidRPr="003D139A">
        <w:tab/>
        <w:t>(4)</w:t>
      </w:r>
      <w:r w:rsidRPr="003D139A">
        <w:tab/>
        <w:t>A thing or sample seized under this Chapter by a police officer can not be forfeited to the Regulator but must be dealt with under—</w:t>
      </w:r>
    </w:p>
    <w:p w14:paraId="6369BF3F" w14:textId="77777777" w:rsidR="00DB6E47" w:rsidRPr="00544ED5" w:rsidRDefault="00DB6E47" w:rsidP="00DB6E47">
      <w:pPr>
        <w:pStyle w:val="Apara"/>
      </w:pPr>
      <w:r w:rsidRPr="00544ED5">
        <w:tab/>
        <w:t>(a)</w:t>
      </w:r>
      <w:r w:rsidRPr="00544ED5">
        <w:tab/>
        <w:t>the national regulations, e</w:t>
      </w:r>
      <w:r w:rsidR="00AE2A67">
        <w:t xml:space="preserve">xcept as provided by paragraph </w:t>
      </w:r>
      <w:r w:rsidRPr="00544ED5">
        <w:t>(b); or</w:t>
      </w:r>
    </w:p>
    <w:p w14:paraId="6ADAD177" w14:textId="77777777" w:rsidR="00DB6E47" w:rsidRPr="00544ED5" w:rsidRDefault="00DB6E47" w:rsidP="00DB6E47">
      <w:pPr>
        <w:pStyle w:val="Apara"/>
      </w:pPr>
      <w:r w:rsidRPr="00544ED5">
        <w:tab/>
        <w:t>(b)</w:t>
      </w:r>
      <w:r w:rsidRPr="00544ED5">
        <w:tab/>
        <w:t>applicable legislation of the relevant State or Territory.</w:t>
      </w:r>
    </w:p>
    <w:p w14:paraId="67A2AC8D" w14:textId="77777777" w:rsidR="00DB6E47" w:rsidRPr="007E1F9A" w:rsidRDefault="00DB6E47" w:rsidP="00DB6E47">
      <w:pPr>
        <w:pStyle w:val="AH5Sec"/>
      </w:pPr>
      <w:bookmarkStart w:id="673" w:name="_Toc83626017"/>
      <w:r w:rsidRPr="005E03F7">
        <w:rPr>
          <w:rStyle w:val="CharSectNo"/>
        </w:rPr>
        <w:lastRenderedPageBreak/>
        <w:t>562</w:t>
      </w:r>
      <w:r w:rsidRPr="007E1F9A">
        <w:tab/>
      </w:r>
      <w:r w:rsidRPr="007E1F9A">
        <w:rPr>
          <w:rFonts w:ascii="Helvetica" w:hAnsi="Helvetica" w:cs="Helvetica"/>
          <w:iCs/>
        </w:rPr>
        <w:t>Information notice for forfeiture decision</w:t>
      </w:r>
      <w:bookmarkEnd w:id="673"/>
    </w:p>
    <w:p w14:paraId="66C293D5" w14:textId="77777777" w:rsidR="00DB6E47" w:rsidRPr="003D139A" w:rsidRDefault="00DB6E47" w:rsidP="00DB6E47">
      <w:pPr>
        <w:pStyle w:val="Amain"/>
      </w:pPr>
      <w:r w:rsidRPr="003D139A">
        <w:tab/>
        <w:t>(1)</w:t>
      </w:r>
      <w:r w:rsidRPr="003D139A">
        <w:tab/>
        <w:t>If the Regu</w:t>
      </w:r>
      <w:r w:rsidR="00AE2A67">
        <w:t>lator decides under section 561</w:t>
      </w:r>
      <w:r w:rsidRPr="003D139A">
        <w:t>(1)</w:t>
      </w:r>
      <w:r w:rsidR="00AE2A67">
        <w:t xml:space="preserve"> </w:t>
      </w:r>
      <w:r w:rsidRPr="003D139A">
        <w:t>to forfeit a thing or sample, the Regulator must as soon as practicable give an information notice for the decision to—</w:t>
      </w:r>
    </w:p>
    <w:p w14:paraId="51AE40D3" w14:textId="77777777" w:rsidR="00DB6E47" w:rsidRPr="00544ED5" w:rsidRDefault="00DB6E47" w:rsidP="00DB6E47">
      <w:pPr>
        <w:pStyle w:val="Apara"/>
      </w:pPr>
      <w:r w:rsidRPr="00544ED5">
        <w:tab/>
        <w:t>(a)</w:t>
      </w:r>
      <w:r w:rsidRPr="00544ED5">
        <w:tab/>
        <w:t>the person from whom the thing or sample was seized; and</w:t>
      </w:r>
    </w:p>
    <w:p w14:paraId="24F9AE74" w14:textId="77777777" w:rsidR="00DB6E47" w:rsidRPr="00544ED5" w:rsidRDefault="00DB6E47" w:rsidP="00DB6E47">
      <w:pPr>
        <w:pStyle w:val="Apara"/>
      </w:pPr>
      <w:r w:rsidRPr="00544ED5">
        <w:tab/>
        <w:t>(b)</w:t>
      </w:r>
      <w:r w:rsidRPr="00544ED5">
        <w:tab/>
        <w:t>the person who was the owner of the thing or sample immediately before the forfeiture; and</w:t>
      </w:r>
    </w:p>
    <w:p w14:paraId="19A65CC7" w14:textId="77777777" w:rsidR="00DB6E47" w:rsidRPr="00544ED5" w:rsidRDefault="00DB6E47" w:rsidP="00DB6E47">
      <w:pPr>
        <w:pStyle w:val="Apara"/>
      </w:pPr>
      <w:r w:rsidRPr="00544ED5">
        <w:tab/>
        <w:t>(c)</w:t>
      </w:r>
      <w:r w:rsidRPr="00544ED5">
        <w:tab/>
        <w:t>each person having a registered interest in the thing or sample.</w:t>
      </w:r>
    </w:p>
    <w:p w14:paraId="1E420075" w14:textId="77777777" w:rsidR="00DB6E47" w:rsidRPr="003D139A" w:rsidRDefault="00DB6E47" w:rsidP="00481E75">
      <w:pPr>
        <w:pStyle w:val="Amain"/>
        <w:keepNext/>
      </w:pPr>
      <w:r w:rsidRPr="003D139A">
        <w:tab/>
        <w:t>(2)</w:t>
      </w:r>
      <w:r w:rsidRPr="003D139A">
        <w:tab/>
        <w:t>The information notice may be given—</w:t>
      </w:r>
    </w:p>
    <w:p w14:paraId="65184AE3" w14:textId="77777777" w:rsidR="00DB6E47" w:rsidRPr="00544ED5" w:rsidRDefault="00DB6E47" w:rsidP="00B41BF6">
      <w:pPr>
        <w:pStyle w:val="Apara"/>
        <w:keepNext/>
      </w:pPr>
      <w:r w:rsidRPr="00544ED5">
        <w:tab/>
        <w:t>(a)</w:t>
      </w:r>
      <w:r w:rsidRPr="00544ED5">
        <w:tab/>
        <w:t>by post; or</w:t>
      </w:r>
    </w:p>
    <w:p w14:paraId="6FFDE41E" w14:textId="77777777" w:rsidR="00DB6E47" w:rsidRPr="00544ED5" w:rsidRDefault="00DB6E47" w:rsidP="00B41BF6">
      <w:pPr>
        <w:pStyle w:val="Apara"/>
        <w:keepNext/>
      </w:pPr>
      <w:r w:rsidRPr="00544ED5">
        <w:tab/>
        <w:t>(b)</w:t>
      </w:r>
      <w:r w:rsidRPr="00544ED5">
        <w:tab/>
        <w:t>in the case of the person from whom the thing or sample was seized, by leaving the notice in a conspicuous position and in a reasonably secure way at—</w:t>
      </w:r>
    </w:p>
    <w:p w14:paraId="7A254430" w14:textId="77777777" w:rsidR="00DB6E47" w:rsidRPr="00516F02" w:rsidRDefault="00DB6E47" w:rsidP="00DB6E47">
      <w:pPr>
        <w:pStyle w:val="Asubpara"/>
      </w:pPr>
      <w:r w:rsidRPr="00516F02">
        <w:tab/>
        <w:t>(i)</w:t>
      </w:r>
      <w:r w:rsidRPr="00516F02">
        <w:tab/>
        <w:t>for a thing or sample taken for examination, whether or not it is seized under section 549—the place where the thing or sample was taken; or</w:t>
      </w:r>
    </w:p>
    <w:p w14:paraId="02B5D7DB" w14:textId="77777777" w:rsidR="00DB6E47" w:rsidRPr="00516F02" w:rsidRDefault="00DB6E47" w:rsidP="00DB6E47">
      <w:pPr>
        <w:pStyle w:val="Asubpara"/>
      </w:pPr>
      <w:r w:rsidRPr="00516F02">
        <w:tab/>
        <w:t>(ii)</w:t>
      </w:r>
      <w:r w:rsidRPr="00516F02">
        <w:tab/>
        <w:t>for a thing or sample seized under this Chapter other than under section 549—the place where the thing or sample was seized.</w:t>
      </w:r>
    </w:p>
    <w:p w14:paraId="1526AE20" w14:textId="77777777" w:rsidR="00DB6E47" w:rsidRPr="003D139A" w:rsidRDefault="00AE2A67" w:rsidP="00DB6E47">
      <w:pPr>
        <w:pStyle w:val="Amain"/>
      </w:pPr>
      <w:r>
        <w:tab/>
        <w:t>(3)</w:t>
      </w:r>
      <w:r>
        <w:tab/>
        <w:t>However, subsection (2)</w:t>
      </w:r>
      <w:r w:rsidR="00DB6E47" w:rsidRPr="003D139A">
        <w:t>(b)</w:t>
      </w:r>
      <w:r>
        <w:t xml:space="preserve"> </w:t>
      </w:r>
      <w:r w:rsidR="00DB6E47" w:rsidRPr="003D139A">
        <w:t>does not apply if the place is—</w:t>
      </w:r>
    </w:p>
    <w:p w14:paraId="07F2B2A2" w14:textId="77777777" w:rsidR="00DB6E47" w:rsidRPr="00544ED5" w:rsidRDefault="00DB6E47" w:rsidP="00DB6E47">
      <w:pPr>
        <w:pStyle w:val="Apara"/>
      </w:pPr>
      <w:r w:rsidRPr="00544ED5">
        <w:tab/>
        <w:t>(a)</w:t>
      </w:r>
      <w:r w:rsidRPr="00544ED5">
        <w:tab/>
        <w:t>a public place; or</w:t>
      </w:r>
    </w:p>
    <w:p w14:paraId="04BBB364" w14:textId="77777777" w:rsidR="00DB6E47" w:rsidRPr="00544ED5" w:rsidRDefault="00DB6E47" w:rsidP="00DB6E47">
      <w:pPr>
        <w:pStyle w:val="Apara"/>
      </w:pPr>
      <w:r w:rsidRPr="00544ED5">
        <w:tab/>
        <w:t>(b)</w:t>
      </w:r>
      <w:r w:rsidRPr="00544ED5">
        <w:tab/>
        <w:t>a place where the notice is unlikely to be read by the person for whom it is intended.</w:t>
      </w:r>
    </w:p>
    <w:p w14:paraId="2FDDC232" w14:textId="77777777" w:rsidR="00DB6E47" w:rsidRPr="007E1F9A" w:rsidRDefault="00DB6E47" w:rsidP="00DB6E47">
      <w:pPr>
        <w:pStyle w:val="AH5Sec"/>
      </w:pPr>
      <w:bookmarkStart w:id="674" w:name="_Toc83626018"/>
      <w:r w:rsidRPr="005E03F7">
        <w:rPr>
          <w:rStyle w:val="CharSectNo"/>
        </w:rPr>
        <w:lastRenderedPageBreak/>
        <w:t>563</w:t>
      </w:r>
      <w:r w:rsidRPr="007E1F9A">
        <w:tab/>
      </w:r>
      <w:r w:rsidRPr="007E1F9A">
        <w:rPr>
          <w:rFonts w:ascii="Helvetica" w:hAnsi="Helvetica" w:cs="Helvetica"/>
          <w:iCs/>
        </w:rPr>
        <w:t>Forfeited or transferred thing or sample becomes property of the Regulator</w:t>
      </w:r>
      <w:bookmarkEnd w:id="674"/>
    </w:p>
    <w:p w14:paraId="696FBAD9" w14:textId="77777777" w:rsidR="00DB6E47" w:rsidRPr="003D139A" w:rsidRDefault="00DB6E47" w:rsidP="000E08E8">
      <w:pPr>
        <w:pStyle w:val="Amainreturn"/>
        <w:keepNext/>
      </w:pPr>
      <w:r w:rsidRPr="003D139A">
        <w:t>A thing or sample becomes the property of the Regulator if—</w:t>
      </w:r>
    </w:p>
    <w:p w14:paraId="7E6009FE" w14:textId="77777777" w:rsidR="00DB6E47" w:rsidRPr="00544ED5" w:rsidRDefault="00DB6E47" w:rsidP="00DB6E47">
      <w:pPr>
        <w:pStyle w:val="Apara"/>
      </w:pPr>
      <w:r w:rsidRPr="00544ED5">
        <w:tab/>
        <w:t>(a)</w:t>
      </w:r>
      <w:r w:rsidRPr="00544ED5">
        <w:tab/>
        <w:t>the thing or sample is forfeited to the Regulator under section</w:t>
      </w:r>
      <w:r w:rsidR="00AE2A67">
        <w:t> </w:t>
      </w:r>
      <w:r w:rsidRPr="00544ED5">
        <w:t>561(1); or</w:t>
      </w:r>
    </w:p>
    <w:p w14:paraId="456C5C72" w14:textId="77777777" w:rsidR="00DB6E47" w:rsidRPr="00544ED5" w:rsidRDefault="00DB6E47" w:rsidP="00DB6E47">
      <w:pPr>
        <w:pStyle w:val="Apara"/>
      </w:pPr>
      <w:r w:rsidRPr="00544ED5">
        <w:tab/>
        <w:t>(b)</w:t>
      </w:r>
      <w:r w:rsidRPr="00544ED5">
        <w:tab/>
        <w:t>the owner of the thing or sample and the Regulator agree, in writing, to the transfer of the ownership of the thing or sample to the Regulator.</w:t>
      </w:r>
    </w:p>
    <w:p w14:paraId="69234EF6" w14:textId="77777777" w:rsidR="00DB6E47" w:rsidRPr="007E1F9A" w:rsidRDefault="00DB6E47" w:rsidP="00DB6E47">
      <w:pPr>
        <w:pStyle w:val="AH5Sec"/>
      </w:pPr>
      <w:bookmarkStart w:id="675" w:name="_Toc83626019"/>
      <w:r w:rsidRPr="005E03F7">
        <w:rPr>
          <w:rStyle w:val="CharSectNo"/>
        </w:rPr>
        <w:t>564</w:t>
      </w:r>
      <w:r w:rsidRPr="007E1F9A">
        <w:tab/>
      </w:r>
      <w:r w:rsidRPr="007E1F9A">
        <w:rPr>
          <w:rFonts w:ascii="Helvetica" w:hAnsi="Helvetica" w:cs="Helvetica"/>
          <w:iCs/>
        </w:rPr>
        <w:t>How property may be dealt with</w:t>
      </w:r>
      <w:bookmarkEnd w:id="675"/>
    </w:p>
    <w:p w14:paraId="0A993380" w14:textId="77777777" w:rsidR="00DB6E47" w:rsidRPr="006C3305" w:rsidRDefault="00DB6E47" w:rsidP="00520FCC">
      <w:pPr>
        <w:pStyle w:val="Amain"/>
        <w:keepNext/>
      </w:pPr>
      <w:r>
        <w:tab/>
        <w:t>(</w:t>
      </w:r>
      <w:r w:rsidRPr="006C3305">
        <w:t>1)</w:t>
      </w:r>
      <w:r w:rsidRPr="006C3305">
        <w:tab/>
        <w:t>This section applies if, under section 563, a thing or sample becomes the property of the Regulator.</w:t>
      </w:r>
    </w:p>
    <w:p w14:paraId="325959D7" w14:textId="77777777" w:rsidR="00DB6E47" w:rsidRPr="006C3305" w:rsidRDefault="00DB6E47" w:rsidP="00DB6E47">
      <w:pPr>
        <w:pStyle w:val="Amain"/>
      </w:pPr>
      <w:r>
        <w:tab/>
        <w:t>(</w:t>
      </w:r>
      <w:r w:rsidRPr="006C3305">
        <w:t>2)</w:t>
      </w:r>
      <w:r w:rsidRPr="006C3305">
        <w:tab/>
        <w:t>The Regulator may take action under this section after giving 28 days’ notice of the intention to do so to—</w:t>
      </w:r>
    </w:p>
    <w:p w14:paraId="28D86A9E" w14:textId="77777777" w:rsidR="00DB6E47" w:rsidRPr="00544ED5" w:rsidRDefault="00DB6E47" w:rsidP="00DB6E47">
      <w:pPr>
        <w:pStyle w:val="Apara"/>
      </w:pPr>
      <w:r w:rsidRPr="00544ED5">
        <w:tab/>
        <w:t>(a)</w:t>
      </w:r>
      <w:r w:rsidRPr="00544ED5">
        <w:tab/>
        <w:t>the person from whom the thing or sample was seized; and</w:t>
      </w:r>
    </w:p>
    <w:p w14:paraId="117EFD41" w14:textId="77777777" w:rsidR="00DB6E47" w:rsidRPr="00544ED5" w:rsidRDefault="00DB6E47" w:rsidP="00DB6E47">
      <w:pPr>
        <w:pStyle w:val="Apara"/>
      </w:pPr>
      <w:r w:rsidRPr="00544ED5">
        <w:tab/>
        <w:t>(b)</w:t>
      </w:r>
      <w:r w:rsidRPr="00544ED5">
        <w:tab/>
        <w:t>the person who was the owner of the thing or sample immediately before the forfeiture; and</w:t>
      </w:r>
    </w:p>
    <w:p w14:paraId="4FC64F86" w14:textId="77777777" w:rsidR="00DB6E47" w:rsidRPr="00544ED5" w:rsidRDefault="00DB6E47" w:rsidP="00DB6E47">
      <w:pPr>
        <w:pStyle w:val="Apara"/>
      </w:pPr>
      <w:r w:rsidRPr="00544ED5">
        <w:tab/>
        <w:t>(c)</w:t>
      </w:r>
      <w:r w:rsidRPr="00544ED5">
        <w:tab/>
        <w:t>each person having a registered interest in the thing or sample.</w:t>
      </w:r>
    </w:p>
    <w:p w14:paraId="05E5A844" w14:textId="77777777" w:rsidR="00DB6E47" w:rsidRPr="003D139A" w:rsidRDefault="00DB6E47" w:rsidP="00DB6E47">
      <w:pPr>
        <w:pStyle w:val="Amain"/>
      </w:pPr>
      <w:r w:rsidRPr="003D139A">
        <w:tab/>
        <w:t>(3)</w:t>
      </w:r>
      <w:r w:rsidRPr="003D139A">
        <w:tab/>
        <w:t>The Regulator may deal with the thing or sample as the Regulator considers appropriate, including, for example, by destroying it or giving it away.</w:t>
      </w:r>
    </w:p>
    <w:p w14:paraId="5674F159" w14:textId="77777777" w:rsidR="00DB6E47" w:rsidRPr="003D139A" w:rsidRDefault="00DB6E47" w:rsidP="00DB6E47">
      <w:pPr>
        <w:pStyle w:val="Amain"/>
      </w:pPr>
      <w:r w:rsidRPr="003D139A">
        <w:tab/>
        <w:t>(4)</w:t>
      </w:r>
      <w:r w:rsidRPr="003D139A">
        <w:tab/>
        <w:t>The Regulator must not deal with the thing or sample in a way that could prejudice the outcome of a review of the decision to forfeit the thing or sample, or an appeal against the decision on that review, under this Law.</w:t>
      </w:r>
    </w:p>
    <w:p w14:paraId="5F5BC975" w14:textId="77777777" w:rsidR="00DB6E47" w:rsidRPr="003D139A" w:rsidRDefault="00DB6E47" w:rsidP="00DB6E47">
      <w:pPr>
        <w:pStyle w:val="Amain"/>
      </w:pPr>
      <w:r w:rsidRPr="003D139A">
        <w:tab/>
        <w:t>(5)</w:t>
      </w:r>
      <w:r w:rsidRPr="003D139A">
        <w:tab/>
        <w:t>If the Regulator sells the thing or sample, the Regulator may, after deducting the costs of the sale, return the proceeds of the sale to the person who was the owner of the thing or sample immediately before the forfeiture.</w:t>
      </w:r>
    </w:p>
    <w:p w14:paraId="5F4C7D72" w14:textId="77777777" w:rsidR="00DB6E47" w:rsidRPr="007E1F9A" w:rsidRDefault="00DB6E47" w:rsidP="00DB6E47">
      <w:pPr>
        <w:pStyle w:val="AH5Sec"/>
      </w:pPr>
      <w:bookmarkStart w:id="676" w:name="_Toc83626020"/>
      <w:r w:rsidRPr="005E03F7">
        <w:rPr>
          <w:rStyle w:val="CharSectNo"/>
        </w:rPr>
        <w:lastRenderedPageBreak/>
        <w:t>565</w:t>
      </w:r>
      <w:r w:rsidRPr="007E1F9A">
        <w:tab/>
      </w:r>
      <w:r w:rsidRPr="007E1F9A">
        <w:rPr>
          <w:rFonts w:ascii="Helvetica" w:hAnsi="Helvetica" w:cs="Helvetica"/>
          <w:iCs/>
        </w:rPr>
        <w:t>Third party protection</w:t>
      </w:r>
      <w:bookmarkEnd w:id="676"/>
    </w:p>
    <w:p w14:paraId="1475667E" w14:textId="77777777" w:rsidR="00DB6E47" w:rsidRPr="003D139A" w:rsidRDefault="00DB6E47" w:rsidP="00DB6E47">
      <w:pPr>
        <w:pStyle w:val="Amain"/>
      </w:pPr>
      <w:r w:rsidRPr="003D139A">
        <w:tab/>
        <w:t>(1)</w:t>
      </w:r>
      <w:r w:rsidRPr="003D139A">
        <w:tab/>
        <w:t>This section applies if, under section 563, a thing or sample becomes the property of the Regulator and applies to the following parties—</w:t>
      </w:r>
    </w:p>
    <w:p w14:paraId="76E9AEB6" w14:textId="77777777" w:rsidR="00DB6E47" w:rsidRPr="00544ED5" w:rsidRDefault="00DB6E47" w:rsidP="00DB6E47">
      <w:pPr>
        <w:pStyle w:val="Apara"/>
      </w:pPr>
      <w:r w:rsidRPr="00544ED5">
        <w:tab/>
        <w:t>(a)</w:t>
      </w:r>
      <w:r w:rsidRPr="00544ED5">
        <w:tab/>
        <w:t>the owner of the thing or sample, except where the owner</w:t>
      </w:r>
      <w:r w:rsidR="00AE2A67">
        <w:t xml:space="preserve"> gave consent under section 563</w:t>
      </w:r>
      <w:r w:rsidRPr="00544ED5">
        <w:t>(b);</w:t>
      </w:r>
    </w:p>
    <w:p w14:paraId="7DE06C22" w14:textId="77777777" w:rsidR="00DB6E47" w:rsidRPr="00544ED5" w:rsidRDefault="00DB6E47" w:rsidP="00DB6E47">
      <w:pPr>
        <w:pStyle w:val="Apara"/>
      </w:pPr>
      <w:r w:rsidRPr="00544ED5">
        <w:tab/>
        <w:t>(b)</w:t>
      </w:r>
      <w:r w:rsidRPr="00544ED5">
        <w:tab/>
        <w:t>a person who has a registered interest in the thing or sample.</w:t>
      </w:r>
    </w:p>
    <w:p w14:paraId="25A14379" w14:textId="77777777" w:rsidR="00DB6E47" w:rsidRPr="003D139A" w:rsidRDefault="00DB6E47" w:rsidP="00481E75">
      <w:pPr>
        <w:pStyle w:val="Amain"/>
        <w:keepNext/>
      </w:pPr>
      <w:r w:rsidRPr="003D139A">
        <w:tab/>
        <w:t>(2)</w:t>
      </w:r>
      <w:r w:rsidRPr="003D139A">
        <w:tab/>
      </w:r>
      <w:r w:rsidR="00AE2A67">
        <w:t xml:space="preserve">A party mentioned in subsection </w:t>
      </w:r>
      <w:r w:rsidRPr="003D139A">
        <w:t>(1)</w:t>
      </w:r>
      <w:r w:rsidR="00AE2A67">
        <w:t xml:space="preserve"> </w:t>
      </w:r>
      <w:r w:rsidRPr="003D139A">
        <w:t xml:space="preserve">may apply to a relevant tribunal or court for an order— </w:t>
      </w:r>
    </w:p>
    <w:p w14:paraId="36A63AD2" w14:textId="77777777" w:rsidR="00DB6E47" w:rsidRPr="00544ED5" w:rsidRDefault="00DB6E47" w:rsidP="00481E75">
      <w:pPr>
        <w:pStyle w:val="Apara"/>
        <w:keepLines/>
      </w:pPr>
      <w:r w:rsidRPr="00544ED5">
        <w:tab/>
        <w:t>(a)</w:t>
      </w:r>
      <w:r w:rsidRPr="00544ED5">
        <w:tab/>
        <w:t xml:space="preserve">that ownership of the thing or sample be transferred to the applicant, if the applicant had full ownership of the thing or sample immediately before the thing or sample became the property of the Regulator under section 561; or </w:t>
      </w:r>
    </w:p>
    <w:p w14:paraId="222B572B" w14:textId="77777777" w:rsidR="00DB6E47" w:rsidRPr="00544ED5" w:rsidRDefault="00DB6E47" w:rsidP="00DB6E47">
      <w:pPr>
        <w:pStyle w:val="Apara"/>
      </w:pPr>
      <w:r w:rsidRPr="00544ED5">
        <w:tab/>
        <w:t>(b)</w:t>
      </w:r>
      <w:r w:rsidRPr="00544ED5">
        <w:tab/>
        <w:t>that, if the applicant had a registered interest in the thing or sample immediately before it became the property of the Regulator—</w:t>
      </w:r>
    </w:p>
    <w:p w14:paraId="73BBCE08" w14:textId="77777777" w:rsidR="00DB6E47" w:rsidRPr="00516F02" w:rsidRDefault="00DB6E47" w:rsidP="00DB6E47">
      <w:pPr>
        <w:pStyle w:val="Asubpara"/>
      </w:pPr>
      <w:r w:rsidRPr="00516F02">
        <w:tab/>
        <w:t>(i)</w:t>
      </w:r>
      <w:r w:rsidRPr="00516F02">
        <w:tab/>
        <w:t>the thing or sample be sold; and</w:t>
      </w:r>
    </w:p>
    <w:p w14:paraId="06DBF8B4" w14:textId="77777777" w:rsidR="00DB6E47" w:rsidRPr="00516F02" w:rsidRDefault="00DB6E47" w:rsidP="00DB6E47">
      <w:pPr>
        <w:pStyle w:val="Asubpara"/>
      </w:pPr>
      <w:r>
        <w:tab/>
      </w:r>
      <w:r w:rsidRPr="00516F02">
        <w:t>(ii)</w:t>
      </w:r>
      <w:r w:rsidRPr="00516F02">
        <w:tab/>
        <w:t>the Regulator pay to the applicant, and any other persons with a registered interest in the thing or sample, an amount commensurate with the value of their respective interest.</w:t>
      </w:r>
    </w:p>
    <w:p w14:paraId="3FE0C52B" w14:textId="77777777" w:rsidR="00DB6E47" w:rsidRPr="003D139A" w:rsidRDefault="00DB6E47" w:rsidP="00DB6E47">
      <w:pPr>
        <w:pStyle w:val="Amain"/>
      </w:pPr>
      <w:r w:rsidRPr="003D139A">
        <w:tab/>
        <w:t>(3)</w:t>
      </w:r>
      <w:r w:rsidRPr="003D139A">
        <w:tab/>
        <w:t xml:space="preserve">If the thing or sample has been sold or otherwise disposed of, the Regulator must pay to— </w:t>
      </w:r>
    </w:p>
    <w:p w14:paraId="2CF8C9CE" w14:textId="77777777" w:rsidR="00DB6E47" w:rsidRPr="00544ED5" w:rsidRDefault="00DB6E47" w:rsidP="00DB6E47">
      <w:pPr>
        <w:pStyle w:val="Apara"/>
      </w:pPr>
      <w:r w:rsidRPr="00544ED5">
        <w:tab/>
        <w:t>(a)</w:t>
      </w:r>
      <w:r w:rsidRPr="00544ED5">
        <w:tab/>
        <w:t>an applicant who had a registered interest in the thing or sample immediately before the thing or sample was sold or otherwise disposed of, an amount commensurate with the value of the applicant’s interest; or</w:t>
      </w:r>
    </w:p>
    <w:p w14:paraId="5F62ACBD" w14:textId="77777777" w:rsidR="00DB6E47" w:rsidRPr="00544ED5" w:rsidRDefault="00DB6E47" w:rsidP="00DB6E47">
      <w:pPr>
        <w:pStyle w:val="Apara"/>
      </w:pPr>
      <w:r w:rsidRPr="00544ED5">
        <w:tab/>
        <w:t>(b)</w:t>
      </w:r>
      <w:r w:rsidRPr="00544ED5">
        <w:tab/>
        <w:t>an applicant who was an owner of the thing or sample, the amount obtained through its sale or disposal.</w:t>
      </w:r>
    </w:p>
    <w:p w14:paraId="6789C4BF" w14:textId="77777777" w:rsidR="00DB6E47" w:rsidRPr="003D139A" w:rsidRDefault="00DB6E47" w:rsidP="00DB6E47">
      <w:pPr>
        <w:pStyle w:val="Amain"/>
      </w:pPr>
      <w:r w:rsidRPr="003D139A">
        <w:lastRenderedPageBreak/>
        <w:tab/>
        <w:t>(4)</w:t>
      </w:r>
      <w:r w:rsidRPr="003D139A">
        <w:tab/>
        <w:t>Leave of the relevant tribunal or court is required to bring an application if 6 months or more have elapsed since the thing or sample became the property of the Regulator.</w:t>
      </w:r>
    </w:p>
    <w:p w14:paraId="2B4DB76B" w14:textId="77777777" w:rsidR="00DB6E47" w:rsidRPr="003D139A" w:rsidRDefault="00DB6E47" w:rsidP="00DB6E47">
      <w:pPr>
        <w:pStyle w:val="Amain"/>
      </w:pPr>
      <w:r w:rsidRPr="003D139A">
        <w:tab/>
        <w:t>(5)</w:t>
      </w:r>
      <w:r w:rsidRPr="003D139A">
        <w:tab/>
        <w:t>The relevant tribunal or court may grant leave under s</w:t>
      </w:r>
      <w:r w:rsidR="00481E75">
        <w:t xml:space="preserve">ubsection </w:t>
      </w:r>
      <w:r w:rsidRPr="003D139A">
        <w:t>(4)</w:t>
      </w:r>
      <w:r w:rsidR="00481E75">
        <w:t xml:space="preserve"> </w:t>
      </w:r>
      <w:r w:rsidRPr="003D139A">
        <w:t>only if it is satisfied that the delay in making the application was not due to the applicant’s neglect.</w:t>
      </w:r>
    </w:p>
    <w:p w14:paraId="5F824A27" w14:textId="77777777" w:rsidR="00DB6E47" w:rsidRPr="003D139A" w:rsidRDefault="00DB6E47" w:rsidP="00481E75">
      <w:pPr>
        <w:pStyle w:val="Amain"/>
        <w:keepNext/>
      </w:pPr>
      <w:r w:rsidRPr="003D139A">
        <w:tab/>
        <w:t>(6)</w:t>
      </w:r>
      <w:r w:rsidRPr="003D139A">
        <w:tab/>
        <w:t xml:space="preserve">The relevant tribunal or court may make an order— </w:t>
      </w:r>
    </w:p>
    <w:p w14:paraId="2463A28C" w14:textId="77777777" w:rsidR="00DB6E47" w:rsidRPr="00544ED5" w:rsidRDefault="00DB6E47" w:rsidP="00DB6E47">
      <w:pPr>
        <w:pStyle w:val="Apara"/>
      </w:pPr>
      <w:r w:rsidRPr="00544ED5">
        <w:tab/>
        <w:t>(a)</w:t>
      </w:r>
      <w:r w:rsidRPr="00544ED5">
        <w:tab/>
        <w:t>declaring the nature, extent and, if necessary for the order, the value (at the time the declaration is made) of the applicant’s registered interest; and</w:t>
      </w:r>
    </w:p>
    <w:p w14:paraId="1D5F8950" w14:textId="77777777" w:rsidR="00DB6E47" w:rsidRPr="00544ED5" w:rsidRDefault="00DB6E47" w:rsidP="00DB6E47">
      <w:pPr>
        <w:pStyle w:val="Apara"/>
      </w:pPr>
      <w:r w:rsidRPr="00544ED5">
        <w:tab/>
        <w:t>(b)</w:t>
      </w:r>
      <w:r w:rsidRPr="00544ED5">
        <w:tab/>
        <w:t xml:space="preserve">directing the Regulator— </w:t>
      </w:r>
    </w:p>
    <w:p w14:paraId="75237B3B" w14:textId="77777777" w:rsidR="00DB6E47" w:rsidRPr="00516F02" w:rsidRDefault="00DB6E47" w:rsidP="00DB6E47">
      <w:pPr>
        <w:pStyle w:val="Asubpara"/>
      </w:pPr>
      <w:r w:rsidRPr="00516F02">
        <w:tab/>
        <w:t>(i)</w:t>
      </w:r>
      <w:r w:rsidRPr="00516F02">
        <w:tab/>
        <w:t>if the thing or sample is vested in the Regulator and the applicant has full ownership of the thing or sample, to transfer ownership of the thing or sample to the applicant; or</w:t>
      </w:r>
    </w:p>
    <w:p w14:paraId="6D3B76F9" w14:textId="77777777" w:rsidR="00DB6E47" w:rsidRPr="00516F02" w:rsidRDefault="00DB6E47" w:rsidP="00DB6E47">
      <w:pPr>
        <w:pStyle w:val="Asubpara"/>
      </w:pPr>
      <w:r w:rsidRPr="00516F02">
        <w:tab/>
        <w:t>(ii)</w:t>
      </w:r>
      <w:r w:rsidRPr="00516F02">
        <w:tab/>
        <w:t>if the thing or sample is no longer vested in the Regulator, or if the applicant does not have full ownership of the thing or sample, to pay to the applicant the value of the applicant’s registered interest in the thing or sample.</w:t>
      </w:r>
    </w:p>
    <w:p w14:paraId="1D502811" w14:textId="77777777" w:rsidR="00DB6E47" w:rsidRPr="003D139A" w:rsidRDefault="00DB6E47" w:rsidP="00DB6E47">
      <w:pPr>
        <w:pStyle w:val="Amain"/>
      </w:pPr>
      <w:r w:rsidRPr="003D139A">
        <w:tab/>
        <w:t>(7)</w:t>
      </w:r>
      <w:r w:rsidRPr="003D139A">
        <w:tab/>
        <w:t>The relevant tribunal or court may</w:t>
      </w:r>
      <w:r w:rsidR="00561BDE">
        <w:t xml:space="preserve"> make an order under subsection </w:t>
      </w:r>
      <w:r w:rsidRPr="003D139A">
        <w:t>(6)</w:t>
      </w:r>
      <w:r w:rsidR="00561BDE">
        <w:t xml:space="preserve"> </w:t>
      </w:r>
      <w:r w:rsidRPr="003D139A">
        <w:t>only if it is satisfied that the offence with respect to which the thing or sample was seized occurred without the knowledge or consent of the applicant.</w:t>
      </w:r>
    </w:p>
    <w:p w14:paraId="271DE686" w14:textId="77777777" w:rsidR="00DB6E47" w:rsidRPr="003D139A" w:rsidRDefault="00DB6E47" w:rsidP="00DB6E47">
      <w:pPr>
        <w:pStyle w:val="Amain"/>
      </w:pPr>
      <w:r w:rsidRPr="003D139A">
        <w:tab/>
        <w:t>(8)</w:t>
      </w:r>
      <w:r w:rsidRPr="003D139A">
        <w:tab/>
        <w:t xml:space="preserve">Any amount to be paid under this section is to be paid out of the proceeds (if any) of the sale of the thing or sample. </w:t>
      </w:r>
    </w:p>
    <w:p w14:paraId="41216E0F" w14:textId="77777777" w:rsidR="00DB6E47" w:rsidRPr="003D139A" w:rsidRDefault="00DB6E47" w:rsidP="00DB6E47">
      <w:pPr>
        <w:pStyle w:val="Amain"/>
      </w:pPr>
      <w:r w:rsidRPr="003D139A">
        <w:tab/>
        <w:t>(9)</w:t>
      </w:r>
      <w:r w:rsidRPr="003D139A">
        <w:tab/>
        <w:t>The Regulator may deduct any reasonable costs incurred in dealing with the thing or sample from an amount ordered to be paid under this section.</w:t>
      </w:r>
    </w:p>
    <w:p w14:paraId="3A8804F3" w14:textId="77777777" w:rsidR="00DB6E47" w:rsidRPr="007E1F9A" w:rsidRDefault="00DB6E47" w:rsidP="00DB6E47">
      <w:pPr>
        <w:pStyle w:val="AH5Sec"/>
      </w:pPr>
      <w:bookmarkStart w:id="677" w:name="_Toc83626021"/>
      <w:r w:rsidRPr="005E03F7">
        <w:rPr>
          <w:rStyle w:val="CharSectNo"/>
        </w:rPr>
        <w:lastRenderedPageBreak/>
        <w:t>566</w:t>
      </w:r>
      <w:r w:rsidRPr="007E1F9A">
        <w:tab/>
      </w:r>
      <w:r w:rsidRPr="007E1F9A">
        <w:rPr>
          <w:rFonts w:ascii="Helvetica" w:hAnsi="Helvetica" w:cs="Helvetica"/>
          <w:iCs/>
        </w:rPr>
        <w:t>National regulations</w:t>
      </w:r>
      <w:bookmarkEnd w:id="677"/>
      <w:r w:rsidRPr="007E1F9A">
        <w:rPr>
          <w:rFonts w:ascii="Helvetica" w:hAnsi="Helvetica" w:cs="Helvetica"/>
          <w:iCs/>
        </w:rPr>
        <w:t xml:space="preserve"> </w:t>
      </w:r>
    </w:p>
    <w:p w14:paraId="0F32AD68" w14:textId="77777777" w:rsidR="00DB6E47" w:rsidRPr="003D139A" w:rsidRDefault="00DB6E47" w:rsidP="00DB6E47">
      <w:pPr>
        <w:pStyle w:val="Amainreturn"/>
      </w:pPr>
      <w:r w:rsidRPr="003D139A">
        <w:t>The national regulations may prescribe—</w:t>
      </w:r>
    </w:p>
    <w:p w14:paraId="26331B11" w14:textId="7FF77A24" w:rsidR="00DB6E47" w:rsidRPr="00544ED5" w:rsidRDefault="00DB6E47" w:rsidP="00DB6E47">
      <w:pPr>
        <w:pStyle w:val="Apara"/>
      </w:pPr>
      <w:r w:rsidRPr="00544ED5">
        <w:tab/>
        <w:t>(a)</w:t>
      </w:r>
      <w:r w:rsidRPr="00544ED5">
        <w:tab/>
        <w:t xml:space="preserve">the circumstances in which the Regulator must apply to the Registrar of Personal Property Securities under the </w:t>
      </w:r>
      <w:hyperlink r:id="rId81" w:tooltip="Act 2009 No 130 (Cwlth)" w:history="1">
        <w:r w:rsidR="00561BDE" w:rsidRPr="001172F8">
          <w:rPr>
            <w:rStyle w:val="charCitHyperlinkItal"/>
          </w:rPr>
          <w:t>Personal Property Securities Act 2009</w:t>
        </w:r>
      </w:hyperlink>
      <w:r w:rsidRPr="00544ED5">
        <w:t xml:space="preserve"> of the Commonwealth to register, amend or cancel an instrument in relation to a sample or thing referred to in this Division; and</w:t>
      </w:r>
    </w:p>
    <w:p w14:paraId="11A21C11" w14:textId="77777777" w:rsidR="00DB6E47" w:rsidRPr="00544ED5" w:rsidRDefault="00DB6E47" w:rsidP="00DB6E47">
      <w:pPr>
        <w:pStyle w:val="Apara"/>
      </w:pPr>
      <w:r w:rsidRPr="00544ED5">
        <w:tab/>
        <w:t>(b)</w:t>
      </w:r>
      <w:r w:rsidRPr="00544ED5">
        <w:tab/>
        <w:t>the priority in which the proceeds of the disposal of anything under this Division are to be applied.</w:t>
      </w:r>
    </w:p>
    <w:p w14:paraId="131B7732" w14:textId="77777777" w:rsidR="00DB6E47" w:rsidRPr="005E03F7" w:rsidRDefault="00DB6E47" w:rsidP="00DB6E47">
      <w:pPr>
        <w:pStyle w:val="AH3Div"/>
      </w:pPr>
      <w:bookmarkStart w:id="678" w:name="_Toc83626022"/>
      <w:r w:rsidRPr="005E03F7">
        <w:rPr>
          <w:rStyle w:val="CharDivNo"/>
        </w:rPr>
        <w:t xml:space="preserve">Division 4 </w:t>
      </w:r>
      <w:r w:rsidRPr="00A95F9A">
        <w:rPr>
          <w:rFonts w:ascii="Helvetica" w:hAnsi="Helvetica" w:cs="Helvetica"/>
          <w:iCs/>
          <w:szCs w:val="28"/>
        </w:rPr>
        <w:tab/>
      </w:r>
      <w:r w:rsidRPr="005E03F7">
        <w:rPr>
          <w:rStyle w:val="CharDivText"/>
          <w:rFonts w:ascii="Helvetica" w:hAnsi="Helvetica" w:cs="Helvetica"/>
          <w:iCs/>
          <w:szCs w:val="28"/>
        </w:rPr>
        <w:t>Information-gathering powers</w:t>
      </w:r>
      <w:bookmarkEnd w:id="678"/>
    </w:p>
    <w:p w14:paraId="1FB8636D" w14:textId="77777777" w:rsidR="00DB6E47" w:rsidRPr="007E1F9A" w:rsidRDefault="00DB6E47" w:rsidP="00DB6E47">
      <w:pPr>
        <w:pStyle w:val="AH5Sec"/>
      </w:pPr>
      <w:bookmarkStart w:id="679" w:name="_Toc83626023"/>
      <w:r w:rsidRPr="005E03F7">
        <w:rPr>
          <w:rStyle w:val="CharSectNo"/>
        </w:rPr>
        <w:t>567</w:t>
      </w:r>
      <w:r w:rsidRPr="007E1F9A">
        <w:tab/>
      </w:r>
      <w:r w:rsidRPr="007E1F9A">
        <w:rPr>
          <w:rFonts w:ascii="Helvetica" w:hAnsi="Helvetica" w:cs="Helvetica"/>
          <w:iCs/>
        </w:rPr>
        <w:t>Power to require name, address and date of birth</w:t>
      </w:r>
      <w:bookmarkEnd w:id="679"/>
    </w:p>
    <w:p w14:paraId="7FCB1127" w14:textId="77777777" w:rsidR="00DB6E47" w:rsidRPr="003D139A" w:rsidRDefault="00DB6E47" w:rsidP="00DB6E47">
      <w:pPr>
        <w:pStyle w:val="Amain"/>
      </w:pPr>
      <w:r w:rsidRPr="003D139A">
        <w:tab/>
        <w:t>(1)</w:t>
      </w:r>
      <w:r w:rsidRPr="003D139A">
        <w:tab/>
        <w:t>This section applies if an authorised officer—</w:t>
      </w:r>
    </w:p>
    <w:p w14:paraId="2C5E0D17" w14:textId="77777777" w:rsidR="00DB6E47" w:rsidRPr="00544ED5" w:rsidRDefault="00DB6E47" w:rsidP="00DB6E47">
      <w:pPr>
        <w:pStyle w:val="Apara"/>
      </w:pPr>
      <w:r w:rsidRPr="00544ED5">
        <w:tab/>
        <w:t>(a)</w:t>
      </w:r>
      <w:r w:rsidRPr="00544ED5">
        <w:tab/>
        <w:t>finds a person committing an offence against this Law; or</w:t>
      </w:r>
    </w:p>
    <w:p w14:paraId="2F28F204" w14:textId="77777777" w:rsidR="00DB6E47" w:rsidRPr="00544ED5" w:rsidRDefault="00DB6E47" w:rsidP="00DB6E47">
      <w:pPr>
        <w:pStyle w:val="Apara"/>
      </w:pPr>
      <w:r w:rsidRPr="00544ED5">
        <w:tab/>
        <w:t>(b)</w:t>
      </w:r>
      <w:r w:rsidRPr="00544ED5">
        <w:tab/>
        <w:t>finds a person in circumstances that lead the officer to reasonably suspect the person has committed an offence against this Law; or</w:t>
      </w:r>
    </w:p>
    <w:p w14:paraId="50D941F1" w14:textId="77777777" w:rsidR="00DB6E47" w:rsidRPr="00544ED5" w:rsidRDefault="00DB6E47" w:rsidP="00DB6E47">
      <w:pPr>
        <w:pStyle w:val="Apara"/>
      </w:pPr>
      <w:r w:rsidRPr="00544ED5">
        <w:tab/>
        <w:t>(c)</w:t>
      </w:r>
      <w:r w:rsidRPr="00544ED5">
        <w:tab/>
        <w:t>has information that leads the officer to reasonably suspect a person has committed an offence against this Law; or</w:t>
      </w:r>
    </w:p>
    <w:p w14:paraId="39C3A71F" w14:textId="77777777" w:rsidR="00DB6E47" w:rsidRPr="00544ED5" w:rsidRDefault="00DB6E47" w:rsidP="00DB6E47">
      <w:pPr>
        <w:pStyle w:val="Apara"/>
      </w:pPr>
      <w:r w:rsidRPr="00544ED5">
        <w:tab/>
        <w:t>(d)</w:t>
      </w:r>
      <w:r w:rsidRPr="00544ED5">
        <w:tab/>
        <w:t>reasonably suspects a person is or was the driver of or other person in charge of a heavy vehicle that has been or may have been involved in an incident involving the death of, or injury to, a person or damage to property; or</w:t>
      </w:r>
    </w:p>
    <w:p w14:paraId="21EF31AC" w14:textId="77777777" w:rsidR="00DB6E47" w:rsidRPr="00544ED5" w:rsidRDefault="00DB6E47" w:rsidP="00DB6E47">
      <w:pPr>
        <w:pStyle w:val="Apara"/>
      </w:pPr>
      <w:r w:rsidRPr="00544ED5">
        <w:tab/>
        <w:t>(e)</w:t>
      </w:r>
      <w:r w:rsidRPr="00544ED5">
        <w:tab/>
        <w:t>reasonably suspects a person is or may be a responsible person for a heavy vehicle; or</w:t>
      </w:r>
    </w:p>
    <w:p w14:paraId="70514C0D" w14:textId="77777777" w:rsidR="00DB6E47" w:rsidRPr="00544ED5" w:rsidRDefault="00DB6E47" w:rsidP="00DB6E47">
      <w:pPr>
        <w:pStyle w:val="Apara"/>
      </w:pPr>
      <w:r w:rsidRPr="00544ED5">
        <w:tab/>
        <w:t>(f)</w:t>
      </w:r>
      <w:r w:rsidRPr="00544ED5">
        <w:tab/>
        <w:t>reasonably suspects a person is or may be able to help in the investigation of an offence against this Law.</w:t>
      </w:r>
    </w:p>
    <w:p w14:paraId="79DF943E" w14:textId="77777777" w:rsidR="00DB6E47" w:rsidRPr="003D139A" w:rsidRDefault="00DB6E47" w:rsidP="00DB6E47">
      <w:pPr>
        <w:pStyle w:val="Amain"/>
      </w:pPr>
      <w:r w:rsidRPr="003D139A">
        <w:tab/>
        <w:t>(2)</w:t>
      </w:r>
      <w:r w:rsidRPr="003D139A">
        <w:tab/>
        <w:t>The authorised officer may require the person to state the person’s name, address and date of birth.</w:t>
      </w:r>
    </w:p>
    <w:p w14:paraId="114702BE" w14:textId="77777777" w:rsidR="00DB6E47" w:rsidRPr="003D139A" w:rsidRDefault="00DB6E47" w:rsidP="00DB6E47">
      <w:pPr>
        <w:pStyle w:val="Amain"/>
      </w:pPr>
      <w:r w:rsidRPr="003D139A">
        <w:lastRenderedPageBreak/>
        <w:tab/>
        <w:t>(3)</w:t>
      </w:r>
      <w:r w:rsidRPr="003D139A">
        <w:tab/>
        <w:t>The authorised officer may also require the person to give evidence of the correctness of the stated name, address or date of birth if—</w:t>
      </w:r>
    </w:p>
    <w:p w14:paraId="6C40DC02" w14:textId="77777777" w:rsidR="00DB6E47" w:rsidRPr="00544ED5" w:rsidRDefault="00DB6E47" w:rsidP="00DB6E47">
      <w:pPr>
        <w:pStyle w:val="Apara"/>
      </w:pPr>
      <w:r w:rsidRPr="00544ED5">
        <w:tab/>
        <w:t>(a)</w:t>
      </w:r>
      <w:r w:rsidRPr="00544ED5">
        <w:tab/>
        <w:t>the officer reasonably suspects that the stated name, address or date of birth is incorrect; and</w:t>
      </w:r>
    </w:p>
    <w:p w14:paraId="0F452048" w14:textId="77777777" w:rsidR="00DB6E47" w:rsidRPr="00544ED5" w:rsidRDefault="00DB6E47" w:rsidP="00B41BF6">
      <w:pPr>
        <w:pStyle w:val="Apara"/>
        <w:keepNext/>
      </w:pPr>
      <w:r w:rsidRPr="00544ED5">
        <w:tab/>
        <w:t>(b)</w:t>
      </w:r>
      <w:r w:rsidRPr="00544ED5">
        <w:tab/>
        <w:t>in the circumstances, it would be reasonable to expect the person to—</w:t>
      </w:r>
    </w:p>
    <w:p w14:paraId="69F41ED4" w14:textId="77777777" w:rsidR="00DB6E47" w:rsidRPr="00516F02" w:rsidRDefault="00DB6E47" w:rsidP="00DB6E47">
      <w:pPr>
        <w:pStyle w:val="Asubpara"/>
      </w:pPr>
      <w:r w:rsidRPr="00516F02">
        <w:tab/>
        <w:t>(i)</w:t>
      </w:r>
      <w:r w:rsidRPr="00516F02">
        <w:tab/>
        <w:t>be in possession of evidence of the correctness of the stated name, address or date of birth; or</w:t>
      </w:r>
    </w:p>
    <w:p w14:paraId="554F9F74" w14:textId="77777777" w:rsidR="00DB6E47" w:rsidRPr="00516F02" w:rsidRDefault="00DB6E47" w:rsidP="00DB6E47">
      <w:pPr>
        <w:pStyle w:val="Asubpara"/>
      </w:pPr>
      <w:r w:rsidRPr="00516F02">
        <w:tab/>
        <w:t>(ii)</w:t>
      </w:r>
      <w:r w:rsidRPr="00516F02">
        <w:tab/>
        <w:t>otherwise be able to give the evidence.</w:t>
      </w:r>
    </w:p>
    <w:p w14:paraId="6AA50951" w14:textId="77777777" w:rsidR="00DB6E47" w:rsidRPr="003D139A" w:rsidRDefault="00DB6E47" w:rsidP="00DB6E47">
      <w:pPr>
        <w:pStyle w:val="Amain"/>
      </w:pPr>
      <w:r w:rsidRPr="003D139A">
        <w:tab/>
        <w:t>(4)</w:t>
      </w:r>
      <w:r w:rsidRPr="003D139A">
        <w:tab/>
        <w:t>A person of whom a requi</w:t>
      </w:r>
      <w:r w:rsidR="00561BDE">
        <w:t xml:space="preserve">rement is made under subsection </w:t>
      </w:r>
      <w:r w:rsidRPr="003D139A">
        <w:t>(2)</w:t>
      </w:r>
      <w:r w:rsidR="00561BDE">
        <w:t xml:space="preserve"> or </w:t>
      </w:r>
      <w:r w:rsidRPr="003D139A">
        <w:t>(3)</w:t>
      </w:r>
      <w:r w:rsidR="00561BDE">
        <w:t xml:space="preserve"> </w:t>
      </w:r>
      <w:r w:rsidRPr="003D139A">
        <w:t>must comply with the requirement, unless the person has a reasonable excuse.</w:t>
      </w:r>
    </w:p>
    <w:p w14:paraId="58636302" w14:textId="77777777" w:rsidR="00DB6E47" w:rsidRPr="006C3305" w:rsidRDefault="00DB6E47" w:rsidP="00DB6E47">
      <w:pPr>
        <w:pStyle w:val="Penalty"/>
      </w:pPr>
      <w:r w:rsidRPr="00D91CC2">
        <w:rPr>
          <w:rFonts w:cs="Times"/>
          <w:bCs/>
          <w:iCs/>
        </w:rPr>
        <w:t>Maximum penalty—$3000.</w:t>
      </w:r>
    </w:p>
    <w:p w14:paraId="77DA23DB" w14:textId="77777777" w:rsidR="00DB6E47" w:rsidRPr="003D139A" w:rsidRDefault="00DB6E47" w:rsidP="00DB6E47">
      <w:pPr>
        <w:pStyle w:val="Amain"/>
      </w:pPr>
      <w:r w:rsidRPr="003D139A">
        <w:tab/>
        <w:t>(5)</w:t>
      </w:r>
      <w:r w:rsidRPr="003D139A">
        <w:tab/>
        <w:t>If a person of whom a requirement is made under subs</w:t>
      </w:r>
      <w:r w:rsidR="00561BDE">
        <w:t xml:space="preserve">ection </w:t>
      </w:r>
      <w:r w:rsidRPr="003D139A">
        <w:t>(2)</w:t>
      </w:r>
      <w:r w:rsidR="00561BDE">
        <w:t xml:space="preserve"> or </w:t>
      </w:r>
      <w:r w:rsidRPr="003D139A">
        <w:t>(3)</w:t>
      </w:r>
      <w:r w:rsidR="00561BDE">
        <w:t xml:space="preserve"> </w:t>
      </w:r>
      <w:r w:rsidRPr="003D139A">
        <w:t>requests, when the requirement is made, the authorised officer to produce the officer’s identification details, the officer must as soon as practicable produce for the inspection of the person—</w:t>
      </w:r>
    </w:p>
    <w:p w14:paraId="069E8A7D" w14:textId="77777777" w:rsidR="00DB6E47" w:rsidRPr="00544ED5" w:rsidRDefault="00DB6E47" w:rsidP="00DB6E47">
      <w:pPr>
        <w:pStyle w:val="Apara"/>
      </w:pPr>
      <w:r w:rsidRPr="00544ED5">
        <w:tab/>
        <w:t>(a)</w:t>
      </w:r>
      <w:r w:rsidRPr="00544ED5">
        <w:tab/>
        <w:t>for an authorised officer who is a police officer—an identity card or other document evidencing the officer’s appointment as a police officer; or</w:t>
      </w:r>
    </w:p>
    <w:p w14:paraId="0B338FB1" w14:textId="77777777" w:rsidR="00DB6E47" w:rsidRPr="00544ED5" w:rsidRDefault="00DB6E47" w:rsidP="00DB6E47">
      <w:pPr>
        <w:pStyle w:val="Apara"/>
      </w:pPr>
      <w:r w:rsidRPr="00544ED5">
        <w:tab/>
        <w:t>(b)</w:t>
      </w:r>
      <w:r w:rsidRPr="00544ED5">
        <w:tab/>
        <w:t>for an authorised officer who is not a police officer—the identity card issued to the officer under this Law or another document evidencing the officer’s appointment as an authorised officer.</w:t>
      </w:r>
    </w:p>
    <w:p w14:paraId="541C2834" w14:textId="77777777" w:rsidR="00DB6E47" w:rsidRPr="003D139A" w:rsidRDefault="00561BDE" w:rsidP="00DB6E47">
      <w:pPr>
        <w:pStyle w:val="Amain"/>
      </w:pPr>
      <w:r>
        <w:tab/>
        <w:t>(6)</w:t>
      </w:r>
      <w:r>
        <w:tab/>
        <w:t>Subsection (5)</w:t>
      </w:r>
      <w:r w:rsidR="00DB6E47" w:rsidRPr="003D139A">
        <w:t>(a)</w:t>
      </w:r>
      <w:r>
        <w:t xml:space="preserve"> </w:t>
      </w:r>
      <w:r w:rsidR="00DB6E47" w:rsidRPr="003D139A">
        <w:t>does not apply to a police officer in uniform.</w:t>
      </w:r>
    </w:p>
    <w:p w14:paraId="573F47DA" w14:textId="77777777" w:rsidR="00DB6E47" w:rsidRPr="003D139A" w:rsidRDefault="00DB6E47" w:rsidP="00DB6E47">
      <w:pPr>
        <w:pStyle w:val="Amain"/>
      </w:pPr>
      <w:r w:rsidRPr="003D139A">
        <w:tab/>
        <w:t>(7)</w:t>
      </w:r>
      <w:r w:rsidRPr="003D139A">
        <w:tab/>
        <w:t>In a proceeding for an offence of contravening a re</w:t>
      </w:r>
      <w:r w:rsidR="00561BDE">
        <w:t xml:space="preserve">quirement made under subsection </w:t>
      </w:r>
      <w:r w:rsidRPr="003D139A">
        <w:t>(2)</w:t>
      </w:r>
      <w:r w:rsidR="00561BDE">
        <w:t xml:space="preserve"> </w:t>
      </w:r>
      <w:r w:rsidRPr="003D139A">
        <w:t>to state a business address, it is a defence for the person charged to prove that—</w:t>
      </w:r>
    </w:p>
    <w:p w14:paraId="31B464CA" w14:textId="77777777" w:rsidR="00DB6E47" w:rsidRPr="00544ED5" w:rsidRDefault="00DB6E47" w:rsidP="00DB6E47">
      <w:pPr>
        <w:pStyle w:val="Apara"/>
      </w:pPr>
      <w:r w:rsidRPr="00544ED5">
        <w:tab/>
        <w:t>(a)</w:t>
      </w:r>
      <w:r w:rsidRPr="00544ED5">
        <w:tab/>
        <w:t>the person did not have a business address; or</w:t>
      </w:r>
    </w:p>
    <w:p w14:paraId="708B771E" w14:textId="77777777" w:rsidR="00DB6E47" w:rsidRPr="00544ED5" w:rsidRDefault="00DB6E47" w:rsidP="00DB6E47">
      <w:pPr>
        <w:pStyle w:val="Apara"/>
      </w:pPr>
      <w:r w:rsidRPr="00544ED5">
        <w:lastRenderedPageBreak/>
        <w:tab/>
        <w:t>(b)</w:t>
      </w:r>
      <w:r w:rsidRPr="00544ED5">
        <w:tab/>
        <w:t>the person’s business address was not connected, directly or indirectly, with road transport involving heavy vehicles.</w:t>
      </w:r>
    </w:p>
    <w:p w14:paraId="31659CA8" w14:textId="77777777" w:rsidR="00DB6E47" w:rsidRPr="003D139A" w:rsidRDefault="00DB6E47" w:rsidP="00B41BF6">
      <w:pPr>
        <w:pStyle w:val="Amain"/>
        <w:keepLines/>
      </w:pPr>
      <w:r w:rsidRPr="003D139A">
        <w:tab/>
        <w:t>(8)</w:t>
      </w:r>
      <w:r w:rsidRPr="003D139A">
        <w:tab/>
        <w:t>This section does not authorise an authorised officer to impose a requirement under this section in relation to an incident that involves the death of, or injury to, a person unless the authorised officer is a police officer.</w:t>
      </w:r>
    </w:p>
    <w:p w14:paraId="22379C18" w14:textId="77777777" w:rsidR="00DB6E47" w:rsidRPr="003D139A" w:rsidRDefault="00DB6E47" w:rsidP="00DB6E47">
      <w:pPr>
        <w:pStyle w:val="Amain"/>
      </w:pPr>
      <w:r w:rsidRPr="003D139A">
        <w:tab/>
        <w:t>(9)</w:t>
      </w:r>
      <w:r w:rsidRPr="003D139A">
        <w:tab/>
        <w:t>In this section—</w:t>
      </w:r>
    </w:p>
    <w:p w14:paraId="4A6C0E00" w14:textId="77777777" w:rsidR="00DB6E47" w:rsidRPr="00041046" w:rsidRDefault="00DB6E47" w:rsidP="00DB6E47">
      <w:pPr>
        <w:pStyle w:val="aDef"/>
        <w:rPr>
          <w:bCs/>
        </w:rPr>
      </w:pPr>
      <w:r w:rsidRPr="00041046">
        <w:rPr>
          <w:rStyle w:val="charBoldItals"/>
        </w:rPr>
        <w:t>address</w:t>
      </w:r>
      <w:r w:rsidRPr="00041046">
        <w:t>, of a person, includes the person’s residential and business address and, for a person temporarily in this jurisdiction, includes the place where the person is living in this jurisdiction.</w:t>
      </w:r>
    </w:p>
    <w:p w14:paraId="2E61E234" w14:textId="77777777" w:rsidR="00150AE9" w:rsidRPr="009D47B1" w:rsidRDefault="00150AE9" w:rsidP="00150AE9">
      <w:pPr>
        <w:pStyle w:val="AH5Sec"/>
        <w:shd w:val="clear" w:color="auto" w:fill="D9D9D9" w:themeFill="background1" w:themeFillShade="D9"/>
        <w:rPr>
          <w:lang w:eastAsia="en-AU"/>
        </w:rPr>
      </w:pPr>
      <w:bookmarkStart w:id="680" w:name="_Toc83626024"/>
      <w:r w:rsidRPr="005E03F7">
        <w:rPr>
          <w:rStyle w:val="CharSectNo"/>
        </w:rPr>
        <w:t>567A</w:t>
      </w:r>
      <w:r w:rsidRPr="009D47B1">
        <w:rPr>
          <w:lang w:eastAsia="en-AU"/>
        </w:rPr>
        <w:tab/>
        <w:t>Power to require production of driver licence</w:t>
      </w:r>
      <w:bookmarkEnd w:id="680"/>
    </w:p>
    <w:p w14:paraId="7C2FB450" w14:textId="77777777" w:rsidR="00150AE9" w:rsidRPr="009D47B1" w:rsidRDefault="00150AE9" w:rsidP="00150AE9">
      <w:pPr>
        <w:pStyle w:val="Amain"/>
        <w:shd w:val="clear" w:color="auto" w:fill="D9D9D9" w:themeFill="background1" w:themeFillShade="D9"/>
        <w:rPr>
          <w:lang w:eastAsia="en-AU"/>
        </w:rPr>
      </w:pPr>
      <w:r w:rsidRPr="009D47B1">
        <w:rPr>
          <w:lang w:eastAsia="en-AU"/>
        </w:rPr>
        <w:tab/>
        <w:t>(1)</w:t>
      </w:r>
      <w:r w:rsidRPr="009D47B1">
        <w:rPr>
          <w:lang w:eastAsia="en-AU"/>
        </w:rPr>
        <w:tab/>
        <w:t>An authorised officer may, for compliance purposes, require the driver of a heavy vehicle to produce for inspection by the officer the driver’s driver licence.</w:t>
      </w:r>
    </w:p>
    <w:p w14:paraId="4D254F95" w14:textId="77777777" w:rsidR="00150AE9" w:rsidRPr="009D47B1" w:rsidRDefault="00150AE9" w:rsidP="00150AE9">
      <w:pPr>
        <w:pStyle w:val="Amain"/>
        <w:shd w:val="clear" w:color="auto" w:fill="D9D9D9" w:themeFill="background1" w:themeFillShade="D9"/>
        <w:rPr>
          <w:lang w:eastAsia="en-AU"/>
        </w:rPr>
      </w:pPr>
      <w:r w:rsidRPr="009D47B1">
        <w:rPr>
          <w:noProof/>
        </w:rPr>
        <w:tab/>
        <w:t>(2)</w:t>
      </w:r>
      <w:r w:rsidRPr="009D47B1">
        <w:rPr>
          <w:noProof/>
        </w:rPr>
        <w:tab/>
      </w:r>
      <w:r w:rsidRPr="009D47B1">
        <w:rPr>
          <w:lang w:eastAsia="en-AU"/>
        </w:rPr>
        <w:t>A person of whom a requirement is made under subsection (1) must comply with the requirement.</w:t>
      </w:r>
    </w:p>
    <w:p w14:paraId="2B6ADDF9" w14:textId="77777777" w:rsidR="00150AE9" w:rsidRPr="009D47B1" w:rsidRDefault="00150AE9" w:rsidP="00150AE9">
      <w:pPr>
        <w:pStyle w:val="Penalty"/>
        <w:keepNext/>
        <w:shd w:val="clear" w:color="auto" w:fill="D9D9D9" w:themeFill="background1" w:themeFillShade="D9"/>
      </w:pPr>
      <w:r w:rsidRPr="009D47B1">
        <w:t>Maximum penalty:  20 penalty units.</w:t>
      </w:r>
    </w:p>
    <w:p w14:paraId="3DD260F0" w14:textId="5415A393" w:rsidR="00150AE9" w:rsidRPr="009D47B1" w:rsidRDefault="00150AE9" w:rsidP="00150AE9">
      <w:pPr>
        <w:pStyle w:val="aNote"/>
        <w:shd w:val="clear" w:color="auto" w:fill="D9D9D9" w:themeFill="background1" w:themeFillShade="D9"/>
        <w:rPr>
          <w:lang w:eastAsia="en-AU"/>
        </w:rPr>
      </w:pPr>
      <w:r w:rsidRPr="009D47B1">
        <w:rPr>
          <w:rStyle w:val="charItals"/>
        </w:rPr>
        <w:t>Note</w:t>
      </w:r>
      <w:r w:rsidRPr="009D47B1">
        <w:rPr>
          <w:rStyle w:val="charItals"/>
        </w:rPr>
        <w:tab/>
      </w:r>
      <w:r w:rsidRPr="009D47B1">
        <w:rPr>
          <w:lang w:eastAsia="en-AU"/>
        </w:rPr>
        <w:t xml:space="preserve">It is an offence to produce false or misleading documents (see </w:t>
      </w:r>
      <w:hyperlink r:id="rId82" w:tooltip="A2002-51" w:history="1">
        <w:r w:rsidRPr="009D47B1">
          <w:rPr>
            <w:rStyle w:val="charCitHyperlinkItal"/>
          </w:rPr>
          <w:t>Criminal Code 2002</w:t>
        </w:r>
      </w:hyperlink>
      <w:r w:rsidRPr="009D47B1">
        <w:rPr>
          <w:lang w:eastAsia="en-AU"/>
        </w:rPr>
        <w:t>, s 339).</w:t>
      </w:r>
    </w:p>
    <w:p w14:paraId="4ADDBBF7" w14:textId="77777777" w:rsidR="00150AE9" w:rsidRPr="009D47B1" w:rsidRDefault="00150AE9" w:rsidP="00150AE9">
      <w:pPr>
        <w:pStyle w:val="Amain"/>
        <w:shd w:val="clear" w:color="auto" w:fill="D9D9D9" w:themeFill="background1" w:themeFillShade="D9"/>
        <w:rPr>
          <w:lang w:eastAsia="en-AU"/>
        </w:rPr>
      </w:pPr>
      <w:r w:rsidRPr="009D47B1">
        <w:tab/>
        <w:t>(3)</w:t>
      </w:r>
      <w:r w:rsidRPr="009D47B1">
        <w:tab/>
      </w:r>
      <w:r w:rsidRPr="009D47B1">
        <w:rPr>
          <w:lang w:eastAsia="en-AU"/>
        </w:rPr>
        <w:t>An offence against this section is a strict liability offence.</w:t>
      </w:r>
    </w:p>
    <w:p w14:paraId="3780D856" w14:textId="77777777" w:rsidR="00150AE9" w:rsidRPr="009D47B1" w:rsidRDefault="00150AE9" w:rsidP="00150AE9">
      <w:pPr>
        <w:pStyle w:val="Amain"/>
        <w:shd w:val="clear" w:color="auto" w:fill="D9D9D9" w:themeFill="background1" w:themeFillShade="D9"/>
      </w:pPr>
      <w:r w:rsidRPr="009D47B1">
        <w:tab/>
        <w:t>(4)</w:t>
      </w:r>
      <w:r w:rsidRPr="009D47B1">
        <w:tab/>
        <w:t>It is a defence to a prosecution for an offence against subsection (2) if the defendant proves that the defendant—</w:t>
      </w:r>
    </w:p>
    <w:p w14:paraId="64F81A68" w14:textId="77777777" w:rsidR="00150AE9" w:rsidRPr="009D47B1" w:rsidRDefault="00150AE9" w:rsidP="00150AE9">
      <w:pPr>
        <w:pStyle w:val="Apara"/>
        <w:shd w:val="clear" w:color="auto" w:fill="D9D9D9" w:themeFill="background1" w:themeFillShade="D9"/>
      </w:pPr>
      <w:r w:rsidRPr="009D47B1">
        <w:tab/>
        <w:t>(a)</w:t>
      </w:r>
      <w:r w:rsidRPr="009D47B1">
        <w:tab/>
        <w:t>was not the driver of a heavy vehicle when required to produce the licence; and</w:t>
      </w:r>
    </w:p>
    <w:p w14:paraId="1D19E658" w14:textId="77777777" w:rsidR="00150AE9" w:rsidRPr="009D47B1" w:rsidRDefault="00150AE9" w:rsidP="00150AE9">
      <w:pPr>
        <w:pStyle w:val="Apara"/>
        <w:shd w:val="clear" w:color="auto" w:fill="D9D9D9" w:themeFill="background1" w:themeFillShade="D9"/>
      </w:pPr>
      <w:r w:rsidRPr="009D47B1">
        <w:tab/>
        <w:t>(b)</w:t>
      </w:r>
      <w:r w:rsidRPr="009D47B1">
        <w:tab/>
        <w:t>has a reasonable excuse for failing to produce the licence when required to do so; and</w:t>
      </w:r>
    </w:p>
    <w:p w14:paraId="05A67A4A" w14:textId="77777777" w:rsidR="00150AE9" w:rsidRPr="009D47B1" w:rsidRDefault="00150AE9" w:rsidP="000E08E8">
      <w:pPr>
        <w:pStyle w:val="Apara"/>
        <w:keepNext/>
        <w:shd w:val="clear" w:color="auto" w:fill="D9D9D9" w:themeFill="background1" w:themeFillShade="D9"/>
      </w:pPr>
      <w:r w:rsidRPr="009D47B1">
        <w:lastRenderedPageBreak/>
        <w:tab/>
        <w:t>(c)</w:t>
      </w:r>
      <w:r w:rsidRPr="009D47B1">
        <w:tab/>
        <w:t>within 3 days after being required to produce the licence, produces the licence as directed by the authorised officer.</w:t>
      </w:r>
    </w:p>
    <w:p w14:paraId="5EAE24D3" w14:textId="5D3118D7" w:rsidR="00150AE9" w:rsidRPr="009D47B1" w:rsidRDefault="00150AE9" w:rsidP="00150AE9">
      <w:pPr>
        <w:pStyle w:val="aNote"/>
        <w:shd w:val="clear" w:color="auto" w:fill="D9D9D9" w:themeFill="background1" w:themeFillShade="D9"/>
      </w:pPr>
      <w:r w:rsidRPr="009D47B1">
        <w:rPr>
          <w:rStyle w:val="charItals"/>
        </w:rPr>
        <w:t>Note </w:t>
      </w:r>
      <w:r w:rsidRPr="009D47B1">
        <w:rPr>
          <w:rStyle w:val="charItals"/>
        </w:rPr>
        <w:tab/>
      </w:r>
      <w:r w:rsidRPr="009D47B1">
        <w:t xml:space="preserve">A defendant has a legal burden in relation to the matters mentioned in s (4) (see </w:t>
      </w:r>
      <w:hyperlink r:id="rId83" w:tooltip="A2002-51" w:history="1">
        <w:r w:rsidRPr="009D47B1">
          <w:rPr>
            <w:rStyle w:val="charCitHyperlinkItal"/>
          </w:rPr>
          <w:t>Criminal Code 2002</w:t>
        </w:r>
      </w:hyperlink>
      <w:r w:rsidRPr="009D47B1">
        <w:t>, s 59).</w:t>
      </w:r>
    </w:p>
    <w:p w14:paraId="59C7987B" w14:textId="77777777" w:rsidR="00150AE9" w:rsidRPr="009D47B1" w:rsidRDefault="00150AE9" w:rsidP="00150AE9">
      <w:pPr>
        <w:pStyle w:val="Amain"/>
        <w:shd w:val="clear" w:color="auto" w:fill="D9D9D9" w:themeFill="background1" w:themeFillShade="D9"/>
        <w:rPr>
          <w:lang w:eastAsia="en-AU"/>
        </w:rPr>
      </w:pPr>
      <w:r w:rsidRPr="009D47B1">
        <w:rPr>
          <w:lang w:eastAsia="en-AU"/>
        </w:rPr>
        <w:tab/>
        <w:t>(5)</w:t>
      </w:r>
      <w:r w:rsidRPr="009D47B1">
        <w:rPr>
          <w:lang w:eastAsia="en-AU"/>
        </w:rPr>
        <w:tab/>
        <w:t>The authorised officer may take a copy of, or an extract from, the driver’s driver licence.</w:t>
      </w:r>
    </w:p>
    <w:p w14:paraId="59317AC0" w14:textId="3F92D329" w:rsidR="00150AE9" w:rsidRPr="009D47B1" w:rsidRDefault="00150AE9" w:rsidP="00150AE9">
      <w:pPr>
        <w:pStyle w:val="Amain"/>
        <w:shd w:val="clear" w:color="auto" w:fill="D9D9D9" w:themeFill="background1" w:themeFillShade="D9"/>
      </w:pPr>
      <w:r w:rsidRPr="009D47B1">
        <w:rPr>
          <w:lang w:eastAsia="en-AU"/>
        </w:rPr>
        <w:tab/>
        <w:t>(6)</w:t>
      </w:r>
      <w:r w:rsidRPr="009D47B1">
        <w:rPr>
          <w:lang w:eastAsia="en-AU"/>
        </w:rPr>
        <w:tab/>
        <w:t xml:space="preserve">The </w:t>
      </w:r>
      <w:hyperlink r:id="rId84" w:tooltip="A2001-14" w:history="1">
        <w:r w:rsidRPr="009D47B1">
          <w:rPr>
            <w:rStyle w:val="charCitHyperlinkItal"/>
          </w:rPr>
          <w:t>Legislation Act 2001</w:t>
        </w:r>
      </w:hyperlink>
      <w:r w:rsidRPr="009D47B1">
        <w:rPr>
          <w:lang w:eastAsia="en-AU"/>
        </w:rPr>
        <w:t xml:space="preserve">, sections 133 </w:t>
      </w:r>
      <w:r w:rsidRPr="009D47B1">
        <w:t>and 134 apply to this section.</w:t>
      </w:r>
    </w:p>
    <w:p w14:paraId="5A3F104F" w14:textId="77777777" w:rsidR="00150AE9" w:rsidRPr="009D47B1" w:rsidRDefault="00150AE9" w:rsidP="00150AE9">
      <w:pPr>
        <w:pStyle w:val="AH5Sec"/>
        <w:shd w:val="clear" w:color="auto" w:fill="D9D9D9" w:themeFill="background1" w:themeFillShade="D9"/>
        <w:rPr>
          <w:rStyle w:val="charItals"/>
        </w:rPr>
      </w:pPr>
      <w:bookmarkStart w:id="681" w:name="_Toc83626025"/>
      <w:r w:rsidRPr="005E03F7">
        <w:rPr>
          <w:rStyle w:val="CharSectNo"/>
        </w:rPr>
        <w:t>567B</w:t>
      </w:r>
      <w:r w:rsidRPr="009D47B1">
        <w:tab/>
        <w:t>Power to require people to disclose identity of driver</w:t>
      </w:r>
      <w:bookmarkEnd w:id="681"/>
    </w:p>
    <w:p w14:paraId="40618A81" w14:textId="77777777" w:rsidR="00150AE9" w:rsidRPr="009D47B1" w:rsidRDefault="00150AE9" w:rsidP="00150AE9">
      <w:pPr>
        <w:pStyle w:val="Amain"/>
        <w:shd w:val="clear" w:color="auto" w:fill="D9D9D9" w:themeFill="background1" w:themeFillShade="D9"/>
      </w:pPr>
      <w:r w:rsidRPr="009D47B1">
        <w:rPr>
          <w:noProof/>
        </w:rPr>
        <w:tab/>
        <w:t>(1)</w:t>
      </w:r>
      <w:r w:rsidRPr="009D47B1">
        <w:rPr>
          <w:noProof/>
        </w:rPr>
        <w:tab/>
      </w:r>
      <w:r w:rsidRPr="009D47B1">
        <w:t>If the driver of a heavy vehicle is alleged to have committed an offence against this Law—</w:t>
      </w:r>
    </w:p>
    <w:p w14:paraId="790B4E9A" w14:textId="77777777" w:rsidR="00150AE9" w:rsidRPr="009D47B1" w:rsidRDefault="00150AE9" w:rsidP="00150AE9">
      <w:pPr>
        <w:pStyle w:val="Apara"/>
        <w:shd w:val="clear" w:color="auto" w:fill="D9D9D9" w:themeFill="background1" w:themeFillShade="D9"/>
      </w:pPr>
      <w:r w:rsidRPr="009D47B1">
        <w:tab/>
        <w:t>(a)</w:t>
      </w:r>
      <w:r w:rsidRPr="009D47B1">
        <w:tab/>
        <w:t>the responsible person for the vehicle, or the person in possession of the vehicle, must, when required to do so by an authorised officer, give information (which must, if so required, be given in the form of a written statement signed by the person) about the name and home address of the driver at the time of the offence; and</w:t>
      </w:r>
    </w:p>
    <w:p w14:paraId="41D35EAF" w14:textId="77777777" w:rsidR="00150AE9" w:rsidRPr="009D47B1" w:rsidRDefault="00150AE9" w:rsidP="00150AE9">
      <w:pPr>
        <w:pStyle w:val="Apara"/>
        <w:shd w:val="clear" w:color="auto" w:fill="D9D9D9" w:themeFill="background1" w:themeFillShade="D9"/>
      </w:pPr>
      <w:r w:rsidRPr="009D47B1">
        <w:tab/>
        <w:t>(b)</w:t>
      </w:r>
      <w:r w:rsidRPr="009D47B1">
        <w:tab/>
        <w:t>anyone else must, when required to do so by an authorised officer, give any information that the person can give that may lead to the identification of the driver.</w:t>
      </w:r>
    </w:p>
    <w:p w14:paraId="64E43969" w14:textId="77777777" w:rsidR="00150AE9" w:rsidRPr="009D47B1" w:rsidRDefault="00150AE9" w:rsidP="00150AE9">
      <w:pPr>
        <w:pStyle w:val="Penalty"/>
        <w:shd w:val="clear" w:color="auto" w:fill="D9D9D9" w:themeFill="background1" w:themeFillShade="D9"/>
      </w:pPr>
      <w:r w:rsidRPr="009D47B1">
        <w:t>Maximum penalty:  20 penalty units.</w:t>
      </w:r>
    </w:p>
    <w:p w14:paraId="227B692F" w14:textId="77777777" w:rsidR="00150AE9" w:rsidRPr="009D47B1" w:rsidRDefault="00150AE9" w:rsidP="00150AE9">
      <w:pPr>
        <w:pStyle w:val="Amain"/>
        <w:shd w:val="clear" w:color="auto" w:fill="D9D9D9" w:themeFill="background1" w:themeFillShade="D9"/>
      </w:pPr>
      <w:r w:rsidRPr="009D47B1">
        <w:rPr>
          <w:noProof/>
        </w:rPr>
        <w:tab/>
        <w:t>(2)</w:t>
      </w:r>
      <w:r w:rsidRPr="009D47B1">
        <w:rPr>
          <w:noProof/>
        </w:rPr>
        <w:tab/>
      </w:r>
      <w:r w:rsidRPr="009D47B1">
        <w:t>It is a defence to a prosecution for an offence against subsection (1)(a) if the defendant proves that the defendant did not know and could not with reasonable diligence have found out the driver’s name and home address.</w:t>
      </w:r>
    </w:p>
    <w:p w14:paraId="737EE319" w14:textId="7EBBAAAD" w:rsidR="00150AE9" w:rsidRPr="009D47B1" w:rsidRDefault="00150AE9" w:rsidP="00150AE9">
      <w:pPr>
        <w:pStyle w:val="aNote"/>
        <w:shd w:val="clear" w:color="auto" w:fill="D9D9D9" w:themeFill="background1" w:themeFillShade="D9"/>
      </w:pPr>
      <w:r w:rsidRPr="009D47B1">
        <w:rPr>
          <w:rStyle w:val="charItals"/>
        </w:rPr>
        <w:t>Note </w:t>
      </w:r>
      <w:r w:rsidRPr="009D47B1">
        <w:rPr>
          <w:rStyle w:val="charItals"/>
        </w:rPr>
        <w:tab/>
      </w:r>
      <w:r w:rsidRPr="009D47B1">
        <w:t xml:space="preserve">A defendant has a legal burden in relation to the matters mentioned in s (2) (see </w:t>
      </w:r>
      <w:hyperlink r:id="rId85" w:tooltip="A2002-51" w:history="1">
        <w:r w:rsidRPr="009D47B1">
          <w:rPr>
            <w:rStyle w:val="charCitHyperlinkItal"/>
          </w:rPr>
          <w:t>Criminal Code 2002</w:t>
        </w:r>
      </w:hyperlink>
      <w:r w:rsidRPr="009D47B1">
        <w:t>, s 59).</w:t>
      </w:r>
    </w:p>
    <w:p w14:paraId="65DB2AAB" w14:textId="77777777" w:rsidR="00150AE9" w:rsidRPr="009D47B1" w:rsidRDefault="00150AE9" w:rsidP="000E08E8">
      <w:pPr>
        <w:pStyle w:val="Amain"/>
        <w:keepNext/>
        <w:shd w:val="clear" w:color="auto" w:fill="D9D9D9" w:themeFill="background1" w:themeFillShade="D9"/>
      </w:pPr>
      <w:r w:rsidRPr="009D47B1">
        <w:rPr>
          <w:noProof/>
        </w:rPr>
        <w:lastRenderedPageBreak/>
        <w:tab/>
        <w:t>(3)</w:t>
      </w:r>
      <w:r w:rsidRPr="009D47B1">
        <w:rPr>
          <w:noProof/>
        </w:rPr>
        <w:tab/>
      </w:r>
      <w:r w:rsidRPr="009D47B1">
        <w:t>If—</w:t>
      </w:r>
    </w:p>
    <w:p w14:paraId="2400D43D" w14:textId="77777777" w:rsidR="00150AE9" w:rsidRPr="009D47B1" w:rsidRDefault="00150AE9" w:rsidP="000E08E8">
      <w:pPr>
        <w:pStyle w:val="Apara"/>
        <w:keepLines/>
        <w:shd w:val="clear" w:color="auto" w:fill="D9D9D9" w:themeFill="background1" w:themeFillShade="D9"/>
      </w:pPr>
      <w:r w:rsidRPr="009D47B1">
        <w:tab/>
        <w:t>(a)</w:t>
      </w:r>
      <w:r w:rsidRPr="009D47B1">
        <w:tab/>
        <w:t>a written statement purporting to be given under subsection (1)(a) is produced in court in a prosecution of the person named in the statement as the driver of a vehicle at the time of an alleged offence against this Law; and</w:t>
      </w:r>
    </w:p>
    <w:p w14:paraId="4EDAF423" w14:textId="77777777" w:rsidR="00150AE9" w:rsidRPr="009D47B1" w:rsidRDefault="00150AE9" w:rsidP="00150AE9">
      <w:pPr>
        <w:pStyle w:val="Apara"/>
        <w:shd w:val="clear" w:color="auto" w:fill="D9D9D9" w:themeFill="background1" w:themeFillShade="D9"/>
      </w:pPr>
      <w:r w:rsidRPr="009D47B1">
        <w:tab/>
        <w:t>(b)</w:t>
      </w:r>
      <w:r w:rsidRPr="009D47B1">
        <w:tab/>
        <w:t>the person does not appear before the court; and</w:t>
      </w:r>
    </w:p>
    <w:p w14:paraId="40D4C399" w14:textId="77777777" w:rsidR="00150AE9" w:rsidRPr="009D47B1" w:rsidRDefault="00150AE9" w:rsidP="00150AE9">
      <w:pPr>
        <w:pStyle w:val="Apara"/>
        <w:shd w:val="clear" w:color="auto" w:fill="D9D9D9" w:themeFill="background1" w:themeFillShade="D9"/>
      </w:pPr>
      <w:r w:rsidRPr="009D47B1">
        <w:tab/>
        <w:t>(c)</w:t>
      </w:r>
      <w:r w:rsidRPr="009D47B1">
        <w:tab/>
        <w:t>a copy of the statement was served on the person before the proceeding was begun;</w:t>
      </w:r>
    </w:p>
    <w:p w14:paraId="3D60991A" w14:textId="77777777" w:rsidR="00150AE9" w:rsidRPr="009D47B1" w:rsidRDefault="00150AE9" w:rsidP="00150AE9">
      <w:pPr>
        <w:pStyle w:val="Amainreturn"/>
        <w:shd w:val="clear" w:color="auto" w:fill="D9D9D9" w:themeFill="background1" w:themeFillShade="D9"/>
      </w:pPr>
      <w:r w:rsidRPr="009D47B1">
        <w:t>the statement is evidence without proof of signature that the named person was the driver of the vehicle at that time.</w:t>
      </w:r>
    </w:p>
    <w:p w14:paraId="3DDE5017" w14:textId="008FA670" w:rsidR="00150AE9" w:rsidRPr="009D47B1" w:rsidRDefault="00150AE9" w:rsidP="00150AE9">
      <w:pPr>
        <w:pStyle w:val="Amain"/>
        <w:shd w:val="clear" w:color="auto" w:fill="D9D9D9" w:themeFill="background1" w:themeFillShade="D9"/>
      </w:pPr>
      <w:r w:rsidRPr="009D47B1">
        <w:rPr>
          <w:lang w:eastAsia="en-AU"/>
        </w:rPr>
        <w:tab/>
        <w:t>(4)</w:t>
      </w:r>
      <w:r w:rsidRPr="009D47B1">
        <w:rPr>
          <w:lang w:eastAsia="en-AU"/>
        </w:rPr>
        <w:tab/>
        <w:t xml:space="preserve">The </w:t>
      </w:r>
      <w:hyperlink r:id="rId86" w:tooltip="A2001-14" w:history="1">
        <w:r w:rsidRPr="009D47B1">
          <w:rPr>
            <w:rStyle w:val="charCitHyperlinkItal"/>
          </w:rPr>
          <w:t>Legislation Act 2001</w:t>
        </w:r>
      </w:hyperlink>
      <w:r w:rsidRPr="009D47B1">
        <w:rPr>
          <w:lang w:eastAsia="en-AU"/>
        </w:rPr>
        <w:t xml:space="preserve">, sections 133 </w:t>
      </w:r>
      <w:r w:rsidRPr="009D47B1">
        <w:t>and 134 apply to this section.</w:t>
      </w:r>
    </w:p>
    <w:p w14:paraId="14B34D70" w14:textId="77777777" w:rsidR="00DB6E47" w:rsidRPr="007E1F9A" w:rsidRDefault="00DB6E47" w:rsidP="00DB6E47">
      <w:pPr>
        <w:pStyle w:val="AH5Sec"/>
      </w:pPr>
      <w:bookmarkStart w:id="682" w:name="_Toc83626026"/>
      <w:r w:rsidRPr="005E03F7">
        <w:rPr>
          <w:rStyle w:val="CharSectNo"/>
        </w:rPr>
        <w:t>568</w:t>
      </w:r>
      <w:r w:rsidRPr="007E1F9A">
        <w:tab/>
      </w:r>
      <w:r w:rsidRPr="007E1F9A">
        <w:rPr>
          <w:rFonts w:ascii="Helvetica" w:hAnsi="Helvetica" w:cs="Helvetica"/>
          <w:iCs/>
        </w:rPr>
        <w:t>Power to require production of document etc. required to be in driver’s possession</w:t>
      </w:r>
      <w:bookmarkEnd w:id="682"/>
    </w:p>
    <w:p w14:paraId="3DAE7550" w14:textId="77777777" w:rsidR="00DB6E47" w:rsidRPr="003D139A" w:rsidRDefault="00DB6E47" w:rsidP="00DB6E47">
      <w:pPr>
        <w:pStyle w:val="Amain"/>
      </w:pPr>
      <w:r w:rsidRPr="003D139A">
        <w:tab/>
        <w:t>(1)</w:t>
      </w:r>
      <w:r w:rsidRPr="003D139A">
        <w:tab/>
        <w:t>This section applies if a heavy vehicle—</w:t>
      </w:r>
    </w:p>
    <w:p w14:paraId="68D75DAB" w14:textId="77777777" w:rsidR="00DB6E47" w:rsidRPr="00544ED5" w:rsidRDefault="00DB6E47" w:rsidP="00DB6E47">
      <w:pPr>
        <w:pStyle w:val="Apara"/>
      </w:pPr>
      <w:r w:rsidRPr="00544ED5">
        <w:tab/>
        <w:t>(a)</w:t>
      </w:r>
      <w:r w:rsidRPr="00544ED5">
        <w:tab/>
        <w:t>is stationary on a road; or</w:t>
      </w:r>
    </w:p>
    <w:p w14:paraId="293160A2" w14:textId="77777777" w:rsidR="00DB6E47" w:rsidRPr="00544ED5" w:rsidRDefault="00DB6E47" w:rsidP="00DB6E47">
      <w:pPr>
        <w:pStyle w:val="Apara"/>
      </w:pPr>
      <w:r w:rsidRPr="00544ED5">
        <w:tab/>
        <w:t>(b)</w:t>
      </w:r>
      <w:r w:rsidRPr="00544ED5">
        <w:tab/>
        <w:t>is in or at a place entered by an authorised officer under Part</w:t>
      </w:r>
      <w:r w:rsidR="00561BDE">
        <w:t> </w:t>
      </w:r>
      <w:r w:rsidRPr="00544ED5">
        <w:t>9.2; or</w:t>
      </w:r>
    </w:p>
    <w:p w14:paraId="6654F5D3" w14:textId="77777777" w:rsidR="00DB6E47" w:rsidRPr="00544ED5" w:rsidRDefault="00DB6E47" w:rsidP="00DB6E47">
      <w:pPr>
        <w:pStyle w:val="Apara"/>
      </w:pPr>
      <w:r w:rsidRPr="00544ED5">
        <w:tab/>
        <w:t>(c)</w:t>
      </w:r>
      <w:r w:rsidRPr="00544ED5">
        <w:tab/>
        <w:t>has been stopped under section 513.</w:t>
      </w:r>
    </w:p>
    <w:p w14:paraId="64678AB9" w14:textId="77777777" w:rsidR="003163CF" w:rsidRPr="003163CF" w:rsidRDefault="003163CF" w:rsidP="003163CF">
      <w:pPr>
        <w:pStyle w:val="Amain"/>
        <w:rPr>
          <w:lang w:val="en" w:eastAsia="en-AU"/>
        </w:rPr>
      </w:pPr>
      <w:r>
        <w:rPr>
          <w:lang w:val="en" w:eastAsia="en-AU"/>
        </w:rPr>
        <w:tab/>
      </w:r>
      <w:r w:rsidRPr="003163CF">
        <w:rPr>
          <w:lang w:val="en" w:eastAsia="en-AU"/>
        </w:rPr>
        <w:t>(2)</w:t>
      </w:r>
      <w:r>
        <w:rPr>
          <w:lang w:val="en" w:eastAsia="en-AU"/>
        </w:rPr>
        <w:tab/>
      </w:r>
      <w:r w:rsidRPr="003163CF">
        <w:rPr>
          <w:lang w:val="en" w:eastAsia="en-AU"/>
        </w:rPr>
        <w:t>An authorised officer may, for compliance purposes, require the driver of the heavy vehicle to produce for inspection by the officer—</w:t>
      </w:r>
    </w:p>
    <w:p w14:paraId="7341CAB3" w14:textId="77777777" w:rsidR="003163CF" w:rsidRPr="003163CF" w:rsidRDefault="003163CF" w:rsidP="003163CF">
      <w:pPr>
        <w:pStyle w:val="Apara"/>
        <w:rPr>
          <w:lang w:val="en" w:eastAsia="en-AU"/>
        </w:rPr>
      </w:pPr>
      <w:r>
        <w:rPr>
          <w:lang w:val="en" w:eastAsia="en-AU"/>
        </w:rPr>
        <w:tab/>
      </w:r>
      <w:r w:rsidRPr="003163CF">
        <w:rPr>
          <w:lang w:val="en" w:eastAsia="en-AU"/>
        </w:rPr>
        <w:t>(a)</w:t>
      </w:r>
      <w:r>
        <w:rPr>
          <w:lang w:val="en" w:eastAsia="en-AU"/>
        </w:rPr>
        <w:tab/>
      </w:r>
      <w:r w:rsidRPr="003163CF">
        <w:rPr>
          <w:lang w:val="en" w:eastAsia="en-AU"/>
        </w:rPr>
        <w:t>if the driver is required by another law of this jurisdiction to keep their driver licence in their possession while driving the vehicle—the driver’s driver licence; or</w:t>
      </w:r>
    </w:p>
    <w:p w14:paraId="3E0A19A8" w14:textId="77777777" w:rsidR="003163CF" w:rsidRPr="003163CF" w:rsidRDefault="003163CF" w:rsidP="000E08E8">
      <w:pPr>
        <w:pStyle w:val="Apara"/>
        <w:keepNext/>
        <w:rPr>
          <w:lang w:val="en" w:eastAsia="en-AU"/>
        </w:rPr>
      </w:pPr>
      <w:r>
        <w:rPr>
          <w:lang w:val="en" w:eastAsia="en-AU"/>
        </w:rPr>
        <w:lastRenderedPageBreak/>
        <w:tab/>
      </w:r>
      <w:r w:rsidRPr="003163CF">
        <w:rPr>
          <w:lang w:val="en" w:eastAsia="en-AU"/>
        </w:rPr>
        <w:t>(b)</w:t>
      </w:r>
      <w:r>
        <w:rPr>
          <w:lang w:val="en" w:eastAsia="en-AU"/>
        </w:rPr>
        <w:tab/>
      </w:r>
      <w:r w:rsidRPr="003163CF">
        <w:rPr>
          <w:lang w:val="en" w:eastAsia="en-AU"/>
        </w:rPr>
        <w:t>a document, device or other thing the driver is required under this Law to keep in the driver’s possession while driving the vehicle.</w:t>
      </w:r>
    </w:p>
    <w:p w14:paraId="248719C6" w14:textId="77777777" w:rsidR="003163CF" w:rsidRPr="003163CF" w:rsidRDefault="003163CF" w:rsidP="000E08E8">
      <w:pPr>
        <w:pStyle w:val="aExamHdgss"/>
        <w:rPr>
          <w:lang w:val="en" w:eastAsia="en-AU"/>
        </w:rPr>
      </w:pPr>
      <w:r w:rsidRPr="003163CF">
        <w:rPr>
          <w:lang w:val="en" w:eastAsia="en-AU"/>
        </w:rPr>
        <w:t>Examples—</w:t>
      </w:r>
    </w:p>
    <w:p w14:paraId="6DF48F4D" w14:textId="77777777" w:rsidR="003163CF" w:rsidRPr="003163CF" w:rsidRDefault="003163CF" w:rsidP="000E08E8">
      <w:pPr>
        <w:pStyle w:val="aExamBulletss"/>
        <w:keepNext/>
        <w:rPr>
          <w:lang w:val="en" w:eastAsia="en-AU"/>
        </w:rPr>
      </w:pPr>
      <w:r w:rsidRPr="003163CF">
        <w:rPr>
          <w:lang w:val="en" w:eastAsia="en-AU"/>
        </w:rPr>
        <w:t>•</w:t>
      </w:r>
      <w:r>
        <w:rPr>
          <w:lang w:val="en" w:eastAsia="en-AU"/>
        </w:rPr>
        <w:tab/>
      </w:r>
      <w:r w:rsidRPr="003163CF">
        <w:rPr>
          <w:lang w:val="en" w:eastAsia="en-AU"/>
        </w:rPr>
        <w:t>a copy of a Commonwealth Gazette notice or permit</w:t>
      </w:r>
    </w:p>
    <w:p w14:paraId="5A2A7D06" w14:textId="77777777" w:rsidR="003163CF" w:rsidRPr="003163CF" w:rsidRDefault="003163CF" w:rsidP="003163CF">
      <w:pPr>
        <w:pStyle w:val="aExamBulletss"/>
        <w:rPr>
          <w:lang w:val="en" w:eastAsia="en-AU"/>
        </w:rPr>
      </w:pPr>
      <w:r w:rsidRPr="003163CF">
        <w:rPr>
          <w:lang w:val="en" w:eastAsia="en-AU"/>
        </w:rPr>
        <w:t>•</w:t>
      </w:r>
      <w:r>
        <w:rPr>
          <w:lang w:val="en" w:eastAsia="en-AU"/>
        </w:rPr>
        <w:tab/>
      </w:r>
      <w:r w:rsidRPr="003163CF">
        <w:rPr>
          <w:lang w:val="en" w:eastAsia="en-AU"/>
        </w:rPr>
        <w:t>a work diary</w:t>
      </w:r>
    </w:p>
    <w:p w14:paraId="2B0B395B" w14:textId="77777777" w:rsidR="003163CF" w:rsidRPr="003163CF" w:rsidRDefault="003163CF" w:rsidP="003163CF">
      <w:pPr>
        <w:pStyle w:val="aNote"/>
        <w:rPr>
          <w:lang w:val="en" w:eastAsia="en-AU"/>
        </w:rPr>
      </w:pPr>
      <w:r w:rsidRPr="003163CF">
        <w:rPr>
          <w:rStyle w:val="charItals"/>
        </w:rPr>
        <w:t>Note</w:t>
      </w:r>
      <w:r w:rsidRPr="003163CF">
        <w:rPr>
          <w:lang w:val="en" w:eastAsia="en-AU"/>
        </w:rPr>
        <w:t>—</w:t>
      </w:r>
    </w:p>
    <w:p w14:paraId="68A41A4B" w14:textId="77777777" w:rsidR="003163CF" w:rsidRPr="003163CF" w:rsidRDefault="003163CF" w:rsidP="003163CF">
      <w:pPr>
        <w:pStyle w:val="aNoteTextss"/>
        <w:rPr>
          <w:lang w:val="en" w:eastAsia="en-AU"/>
        </w:rPr>
      </w:pPr>
      <w:r w:rsidRPr="003163CF">
        <w:rPr>
          <w:lang w:val="en" w:eastAsia="en-AU"/>
        </w:rPr>
        <w:t>Section 17 of Schedule 1 and section 490 deal with the production of documents and other information kept electronically.</w:t>
      </w:r>
    </w:p>
    <w:p w14:paraId="7A919EF6" w14:textId="77777777" w:rsidR="003163CF" w:rsidRPr="003163CF" w:rsidRDefault="00513502" w:rsidP="00513502">
      <w:pPr>
        <w:pStyle w:val="Amain"/>
        <w:rPr>
          <w:lang w:val="en" w:eastAsia="en-AU"/>
        </w:rPr>
      </w:pPr>
      <w:r>
        <w:rPr>
          <w:lang w:val="en" w:eastAsia="en-AU"/>
        </w:rPr>
        <w:tab/>
      </w:r>
      <w:r w:rsidR="003163CF" w:rsidRPr="003163CF">
        <w:rPr>
          <w:lang w:val="en" w:eastAsia="en-AU"/>
        </w:rPr>
        <w:t>(3)</w:t>
      </w:r>
      <w:r>
        <w:rPr>
          <w:lang w:val="en" w:eastAsia="en-AU"/>
        </w:rPr>
        <w:tab/>
      </w:r>
      <w:r w:rsidR="003163CF" w:rsidRPr="003163CF">
        <w:rPr>
          <w:lang w:val="en" w:eastAsia="en-AU"/>
        </w:rPr>
        <w:t>A person of whom a requirement is made under subsection (2) must comply with the requirement, unless the person has a reasonable excuse.</w:t>
      </w:r>
    </w:p>
    <w:p w14:paraId="3F8C3CE7" w14:textId="77777777" w:rsidR="003163CF" w:rsidRPr="003163CF" w:rsidRDefault="003163CF" w:rsidP="00513502">
      <w:pPr>
        <w:pStyle w:val="Penalty"/>
        <w:rPr>
          <w:lang w:val="en" w:eastAsia="en-AU"/>
        </w:rPr>
      </w:pPr>
      <w:r w:rsidRPr="003163CF">
        <w:rPr>
          <w:lang w:val="en" w:eastAsia="en-AU"/>
        </w:rPr>
        <w:t>Maximum penalty—</w:t>
      </w:r>
    </w:p>
    <w:p w14:paraId="02093560" w14:textId="77777777" w:rsidR="003163CF" w:rsidRPr="003163CF" w:rsidRDefault="00513502" w:rsidP="00513502">
      <w:pPr>
        <w:pStyle w:val="PenaltyPara"/>
        <w:rPr>
          <w:lang w:val="en" w:eastAsia="en-AU"/>
        </w:rPr>
      </w:pPr>
      <w:r>
        <w:rPr>
          <w:lang w:val="en" w:eastAsia="en-AU"/>
        </w:rPr>
        <w:tab/>
      </w:r>
      <w:r w:rsidR="003163CF" w:rsidRPr="003163CF">
        <w:rPr>
          <w:lang w:val="en" w:eastAsia="en-AU"/>
        </w:rPr>
        <w:t>(a)</w:t>
      </w:r>
      <w:r>
        <w:rPr>
          <w:lang w:val="en" w:eastAsia="en-AU"/>
        </w:rPr>
        <w:tab/>
      </w:r>
      <w:r w:rsidR="003163CF" w:rsidRPr="003163CF">
        <w:rPr>
          <w:lang w:val="en" w:eastAsia="en-AU"/>
        </w:rPr>
        <w:t>for a requirement under paragraph (2)(a)—$6000; or</w:t>
      </w:r>
    </w:p>
    <w:p w14:paraId="365153FB" w14:textId="77777777" w:rsidR="003163CF" w:rsidRPr="003163CF" w:rsidRDefault="00513502" w:rsidP="00513502">
      <w:pPr>
        <w:pStyle w:val="PenaltyPara"/>
        <w:rPr>
          <w:lang w:val="en" w:eastAsia="en-AU"/>
        </w:rPr>
      </w:pPr>
      <w:r>
        <w:rPr>
          <w:lang w:val="en" w:eastAsia="en-AU"/>
        </w:rPr>
        <w:tab/>
      </w:r>
      <w:r w:rsidR="003163CF" w:rsidRPr="003163CF">
        <w:rPr>
          <w:lang w:val="en" w:eastAsia="en-AU"/>
        </w:rPr>
        <w:t>(b)</w:t>
      </w:r>
      <w:r>
        <w:rPr>
          <w:lang w:val="en" w:eastAsia="en-AU"/>
        </w:rPr>
        <w:tab/>
      </w:r>
      <w:r w:rsidR="003163CF" w:rsidRPr="003163CF">
        <w:rPr>
          <w:lang w:val="en" w:eastAsia="en-AU"/>
        </w:rPr>
        <w:t>for a requirement under paragraph (2)(b)—an amount equal to the amount of the maximum penalty for an offence of failing to keep the document, device or other thing in the driver’s possession.</w:t>
      </w:r>
    </w:p>
    <w:p w14:paraId="690F8F30" w14:textId="77777777" w:rsidR="00DB6E47" w:rsidRPr="003D139A" w:rsidRDefault="00DB6E47" w:rsidP="00B41BF6">
      <w:pPr>
        <w:pStyle w:val="Amain"/>
        <w:keepNext/>
      </w:pPr>
      <w:r w:rsidRPr="003D139A">
        <w:tab/>
        <w:t>(4)</w:t>
      </w:r>
      <w:r w:rsidRPr="003D139A">
        <w:tab/>
        <w:t>It is not a reasonable excuse for the person to fail to comply with a requirement made under subsection (2)—</w:t>
      </w:r>
    </w:p>
    <w:p w14:paraId="14F50E77" w14:textId="77777777" w:rsidR="00DB6E47" w:rsidRPr="00544ED5" w:rsidRDefault="00DB6E47" w:rsidP="00DB6E47">
      <w:pPr>
        <w:pStyle w:val="Apara"/>
      </w:pPr>
      <w:r w:rsidRPr="00544ED5">
        <w:tab/>
        <w:t>(a)</w:t>
      </w:r>
      <w:r w:rsidRPr="00544ED5">
        <w:tab/>
        <w:t xml:space="preserve">that the person does not have the </w:t>
      </w:r>
      <w:r w:rsidR="00513502" w:rsidRPr="00513502">
        <w:t>licence</w:t>
      </w:r>
      <w:r w:rsidR="00513502" w:rsidRPr="003323FC">
        <w:t xml:space="preserve">, </w:t>
      </w:r>
      <w:r w:rsidRPr="00544ED5">
        <w:t>document, device or other thing in his or her immediate possession; or</w:t>
      </w:r>
    </w:p>
    <w:p w14:paraId="18389F88" w14:textId="77777777" w:rsidR="00DB6E47" w:rsidRPr="00544ED5" w:rsidRDefault="00DB6E47" w:rsidP="00DB6E47">
      <w:pPr>
        <w:pStyle w:val="Apara"/>
      </w:pPr>
      <w:r w:rsidRPr="00544ED5">
        <w:tab/>
        <w:t>(b)</w:t>
      </w:r>
      <w:r w:rsidRPr="00544ED5">
        <w:tab/>
        <w:t>that complying with the requirement might tend to incriminate the person or make the person liable to a penalty.</w:t>
      </w:r>
    </w:p>
    <w:p w14:paraId="4F4CF601" w14:textId="77777777" w:rsidR="00513502" w:rsidRPr="00513502" w:rsidRDefault="00513502" w:rsidP="00513502">
      <w:pPr>
        <w:pStyle w:val="aNote"/>
        <w:rPr>
          <w:lang w:val="en" w:eastAsia="en-AU"/>
        </w:rPr>
      </w:pPr>
      <w:r w:rsidRPr="00513502">
        <w:rPr>
          <w:rStyle w:val="charItals"/>
        </w:rPr>
        <w:t>Note</w:t>
      </w:r>
      <w:r w:rsidRPr="00513502">
        <w:rPr>
          <w:lang w:val="en" w:eastAsia="en-AU"/>
        </w:rPr>
        <w:t>—</w:t>
      </w:r>
    </w:p>
    <w:p w14:paraId="568656C9" w14:textId="77777777" w:rsidR="00513502" w:rsidRPr="00513502" w:rsidRDefault="00513502" w:rsidP="00513502">
      <w:pPr>
        <w:pStyle w:val="aNoteTextss"/>
        <w:rPr>
          <w:lang w:val="en" w:eastAsia="en-AU"/>
        </w:rPr>
      </w:pPr>
      <w:r w:rsidRPr="00513502">
        <w:rPr>
          <w:lang w:val="en" w:eastAsia="en-AU"/>
        </w:rPr>
        <w:t>Section 587 also deals with self-incrimination when complying with a requirement of an authorised officer.</w:t>
      </w:r>
    </w:p>
    <w:p w14:paraId="7ABC2F5D" w14:textId="77777777" w:rsidR="00DB6E47" w:rsidRPr="003D139A" w:rsidRDefault="00DB6E47" w:rsidP="00DB6E47">
      <w:pPr>
        <w:pStyle w:val="Amain"/>
      </w:pPr>
      <w:r w:rsidRPr="003D139A">
        <w:tab/>
        <w:t>(5)</w:t>
      </w:r>
      <w:r w:rsidRPr="003D139A">
        <w:tab/>
        <w:t>The authorised officer may—</w:t>
      </w:r>
    </w:p>
    <w:p w14:paraId="2071F487" w14:textId="77777777" w:rsidR="00DB6E47" w:rsidRPr="00544ED5" w:rsidRDefault="00DB6E47" w:rsidP="00DB6E47">
      <w:pPr>
        <w:pStyle w:val="Apara"/>
      </w:pPr>
      <w:r w:rsidRPr="00544ED5">
        <w:tab/>
        <w:t>(a)</w:t>
      </w:r>
      <w:r w:rsidRPr="00544ED5">
        <w:tab/>
        <w:t xml:space="preserve">take a copy of, or an extract from, a </w:t>
      </w:r>
      <w:r w:rsidR="00513502" w:rsidRPr="00513502">
        <w:t xml:space="preserve">licence or </w:t>
      </w:r>
      <w:r w:rsidRPr="00544ED5">
        <w:t>document mentioned in subsection (2); or</w:t>
      </w:r>
    </w:p>
    <w:p w14:paraId="4EBEAEB1" w14:textId="77777777" w:rsidR="00DB6E47" w:rsidRPr="00544ED5" w:rsidRDefault="00DB6E47" w:rsidP="00DB6E47">
      <w:pPr>
        <w:pStyle w:val="Apara"/>
      </w:pPr>
      <w:r w:rsidRPr="00544ED5">
        <w:lastRenderedPageBreak/>
        <w:tab/>
        <w:t>(b)</w:t>
      </w:r>
      <w:r w:rsidRPr="00544ED5">
        <w:tab/>
        <w:t>produce an image or writing from a d</w:t>
      </w:r>
      <w:r w:rsidR="00561BDE">
        <w:t xml:space="preserve">ocument mentioned in subsection </w:t>
      </w:r>
      <w:r w:rsidRPr="00544ED5">
        <w:t>(2)</w:t>
      </w:r>
      <w:r w:rsidR="00561BDE">
        <w:t xml:space="preserve"> </w:t>
      </w:r>
      <w:r w:rsidRPr="00544ED5">
        <w:t>that is an electronic document; or</w:t>
      </w:r>
    </w:p>
    <w:p w14:paraId="0440995E" w14:textId="77777777" w:rsidR="00DB6E47" w:rsidRPr="00544ED5" w:rsidRDefault="00DB6E47" w:rsidP="00DB6E47">
      <w:pPr>
        <w:pStyle w:val="Apara"/>
      </w:pPr>
      <w:r w:rsidRPr="00544ED5">
        <w:tab/>
        <w:t>(c)</w:t>
      </w:r>
      <w:r w:rsidRPr="00544ED5">
        <w:tab/>
        <w:t>take an extract from a device or other thing mentioned in subsection (2), including, for example—</w:t>
      </w:r>
    </w:p>
    <w:p w14:paraId="3D484F30" w14:textId="77777777" w:rsidR="00DB6E47" w:rsidRPr="006C3305" w:rsidRDefault="00DB6E47" w:rsidP="00DB6E47">
      <w:pPr>
        <w:pStyle w:val="Asubpara"/>
      </w:pPr>
      <w:r>
        <w:tab/>
      </w:r>
      <w:r w:rsidRPr="00352CBD">
        <w:t>(i)</w:t>
      </w:r>
      <w:r w:rsidRPr="006C3305">
        <w:tab/>
        <w:t>by taking a copy of, or an extract from, a readout or other data obtained from the device or other thing; or</w:t>
      </w:r>
    </w:p>
    <w:p w14:paraId="1A12CC71" w14:textId="77777777" w:rsidR="00DB6E47" w:rsidRPr="006C3305" w:rsidRDefault="00DB6E47" w:rsidP="00DB6E47">
      <w:pPr>
        <w:pStyle w:val="Asubpara"/>
      </w:pPr>
      <w:r>
        <w:tab/>
        <w:t>(ii)</w:t>
      </w:r>
      <w:r w:rsidRPr="006C3305">
        <w:tab/>
        <w:t>by accessing and downloading information from the device or other thing; or</w:t>
      </w:r>
    </w:p>
    <w:p w14:paraId="5E39C305" w14:textId="77777777" w:rsidR="00DB6E47" w:rsidRPr="00544ED5" w:rsidRDefault="00DB6E47" w:rsidP="00DB6E47">
      <w:pPr>
        <w:pStyle w:val="Apara"/>
      </w:pPr>
      <w:r w:rsidRPr="00544ED5">
        <w:tab/>
        <w:t>(d)</w:t>
      </w:r>
      <w:r w:rsidRPr="00544ED5">
        <w:tab/>
        <w:t>seize a document, device or othe</w:t>
      </w:r>
      <w:r w:rsidR="00561BDE">
        <w:t xml:space="preserve">r thing mentioned in subsection </w:t>
      </w:r>
      <w:r w:rsidRPr="00544ED5">
        <w:t>(2)</w:t>
      </w:r>
      <w:r w:rsidR="00561BDE">
        <w:t xml:space="preserve"> </w:t>
      </w:r>
      <w:r w:rsidRPr="00544ED5">
        <w:t>if the authorised officer reasonably believes the document, device or other thing may provide evidence of an offence against this Law.</w:t>
      </w:r>
    </w:p>
    <w:p w14:paraId="68FB8AF4" w14:textId="77777777" w:rsidR="001D3C15" w:rsidRDefault="001D3C15" w:rsidP="001D3C15">
      <w:pPr>
        <w:pStyle w:val="Amain"/>
        <w:rPr>
          <w:lang w:val="en"/>
        </w:rPr>
      </w:pPr>
      <w:r w:rsidRPr="003323FC">
        <w:tab/>
      </w:r>
      <w:r w:rsidRPr="001D3C15">
        <w:t>(6)</w:t>
      </w:r>
      <w:r w:rsidRPr="003323FC">
        <w:tab/>
      </w:r>
      <w:r>
        <w:rPr>
          <w:lang w:val="en"/>
        </w:rPr>
        <w:t>If, under subsection (5), the authorised officer copies, takes an extract from, or produces an image or writing from, a licence or document or an entry in a document, the officer may require the person responsible for keeping the licence or document to certify the copy as a true copy of the licence, document or entry.</w:t>
      </w:r>
    </w:p>
    <w:p w14:paraId="150EA150" w14:textId="77777777" w:rsidR="00DB6E47" w:rsidRPr="003D139A" w:rsidRDefault="00DB6E47" w:rsidP="00B41BF6">
      <w:pPr>
        <w:pStyle w:val="Amain"/>
        <w:keepNext/>
      </w:pPr>
      <w:r w:rsidRPr="003D139A">
        <w:tab/>
        <w:t>(7)</w:t>
      </w:r>
      <w:r w:rsidRPr="003D139A">
        <w:tab/>
        <w:t>A person of whom a requi</w:t>
      </w:r>
      <w:r w:rsidR="00561BDE">
        <w:t xml:space="preserve">rement is made under subsection </w:t>
      </w:r>
      <w:r w:rsidRPr="003D139A">
        <w:t>(6)</w:t>
      </w:r>
      <w:r w:rsidR="00561BDE">
        <w:t xml:space="preserve"> </w:t>
      </w:r>
      <w:r w:rsidRPr="003D139A">
        <w:t>must comply with the requirement, unless the person has a reasonable excuse.</w:t>
      </w:r>
    </w:p>
    <w:p w14:paraId="6D4F3867" w14:textId="77777777" w:rsidR="00DB6E47" w:rsidRPr="006C3305" w:rsidRDefault="00DB6E47" w:rsidP="00DB6E47">
      <w:pPr>
        <w:pStyle w:val="Penalty"/>
      </w:pPr>
      <w:r w:rsidRPr="00D91CC2">
        <w:rPr>
          <w:rFonts w:cs="Times"/>
          <w:bCs/>
          <w:iCs/>
        </w:rPr>
        <w:t>Maximum penalty—$3000.</w:t>
      </w:r>
    </w:p>
    <w:p w14:paraId="1333A60E" w14:textId="77777777" w:rsidR="00DB6E47" w:rsidRPr="003D139A" w:rsidRDefault="00DB6E47" w:rsidP="00DB6E47">
      <w:pPr>
        <w:pStyle w:val="Amain"/>
      </w:pPr>
      <w:r w:rsidRPr="003D139A">
        <w:tab/>
        <w:t>(8)</w:t>
      </w:r>
      <w:r w:rsidRPr="003D139A">
        <w:tab/>
        <w:t xml:space="preserve">If a </w:t>
      </w:r>
      <w:r w:rsidR="00513502" w:rsidRPr="00513502">
        <w:t>licence,</w:t>
      </w:r>
      <w:r w:rsidR="00513502" w:rsidRPr="003323FC">
        <w:t xml:space="preserve"> </w:t>
      </w:r>
      <w:r w:rsidRPr="003D139A">
        <w:t>document, device or other thing is produced to an authorised officer under this section and it is not seized under subsection (5)(d), the officer must return it to the person who produced it—</w:t>
      </w:r>
    </w:p>
    <w:p w14:paraId="3F762A72" w14:textId="77777777" w:rsidR="00DB6E47" w:rsidRPr="00544ED5" w:rsidRDefault="00DB6E47" w:rsidP="00DB6E47">
      <w:pPr>
        <w:pStyle w:val="Apara"/>
      </w:pPr>
      <w:r w:rsidRPr="00544ED5">
        <w:tab/>
        <w:t>(a)</w:t>
      </w:r>
      <w:r w:rsidRPr="00544ED5">
        <w:tab/>
        <w:t>as soon as practicable after the officer inspects it; or</w:t>
      </w:r>
    </w:p>
    <w:p w14:paraId="33473C91" w14:textId="77777777" w:rsidR="00DB6E47" w:rsidRPr="00544ED5" w:rsidRDefault="00DB6E47" w:rsidP="00DB6E47">
      <w:pPr>
        <w:pStyle w:val="Apara"/>
      </w:pPr>
      <w:r w:rsidRPr="00544ED5">
        <w:tab/>
        <w:t>(b)</w:t>
      </w:r>
      <w:r w:rsidRPr="00544ED5">
        <w:tab/>
        <w:t>if the officer takes a copy of, extract from, or produces an image or writin</w:t>
      </w:r>
      <w:r w:rsidR="00561BDE">
        <w:t xml:space="preserve">g from, it under subsection (5)(a), </w:t>
      </w:r>
      <w:r w:rsidRPr="00544ED5">
        <w:t>(b)</w:t>
      </w:r>
      <w:r w:rsidR="00561BDE">
        <w:t xml:space="preserve"> or </w:t>
      </w:r>
      <w:r w:rsidRPr="00544ED5">
        <w:t>(c), as soon as practicable after the copy or extract is taken or the image or writing is produced.</w:t>
      </w:r>
    </w:p>
    <w:p w14:paraId="4EEB68C2" w14:textId="77777777" w:rsidR="00DB6E47" w:rsidRPr="003D139A" w:rsidRDefault="00DB6E47" w:rsidP="00DB6E47">
      <w:pPr>
        <w:pStyle w:val="Amain"/>
      </w:pPr>
      <w:r w:rsidRPr="003D139A">
        <w:lastRenderedPageBreak/>
        <w:tab/>
        <w:t>(9)</w:t>
      </w:r>
      <w:r w:rsidRPr="003D139A">
        <w:tab/>
        <w:t>However, if a requirement is made</w:t>
      </w:r>
      <w:r w:rsidR="00561BDE">
        <w:t xml:space="preserve"> of the person under subsection </w:t>
      </w:r>
      <w:r w:rsidRPr="003D139A">
        <w:t>(6)</w:t>
      </w:r>
      <w:r w:rsidR="00561BDE">
        <w:t xml:space="preserve"> </w:t>
      </w:r>
      <w:r w:rsidRPr="003D139A">
        <w:t>for a document, the authorised officer may keep the document until the person complies with the requirement.</w:t>
      </w:r>
    </w:p>
    <w:p w14:paraId="381EAB66" w14:textId="77777777" w:rsidR="00DB6E47" w:rsidRPr="007E1F9A" w:rsidRDefault="00DB6E47" w:rsidP="00DB6E47">
      <w:pPr>
        <w:pStyle w:val="AH5Sec"/>
      </w:pPr>
      <w:bookmarkStart w:id="683" w:name="_Toc83626027"/>
      <w:r w:rsidRPr="005E03F7">
        <w:rPr>
          <w:rStyle w:val="CharSectNo"/>
        </w:rPr>
        <w:t>569</w:t>
      </w:r>
      <w:r w:rsidRPr="007E1F9A">
        <w:tab/>
      </w:r>
      <w:r w:rsidRPr="007E1F9A">
        <w:rPr>
          <w:rFonts w:ascii="Helvetica" w:hAnsi="Helvetica" w:cs="Helvetica"/>
          <w:iCs/>
        </w:rPr>
        <w:t>Power to require production of documents etc. generally</w:t>
      </w:r>
      <w:bookmarkEnd w:id="683"/>
    </w:p>
    <w:p w14:paraId="0BA2487E" w14:textId="77777777" w:rsidR="00DB6E47" w:rsidRPr="003D139A" w:rsidRDefault="00DB6E47" w:rsidP="00DB6E47">
      <w:pPr>
        <w:pStyle w:val="Amain"/>
      </w:pPr>
      <w:r w:rsidRPr="003D139A">
        <w:tab/>
        <w:t>(1)</w:t>
      </w:r>
      <w:r w:rsidRPr="003D139A">
        <w:tab/>
        <w:t>An authorised officer may require a responsible person for a heavy vehicle to make available for inspection by an authorised officer, or to produce to an authorised officer for inspection, at a reasonable time and place nominated by the officer—</w:t>
      </w:r>
    </w:p>
    <w:p w14:paraId="6BC3B47B" w14:textId="77777777" w:rsidR="00DB6E47" w:rsidRPr="00544ED5" w:rsidRDefault="00DB6E47" w:rsidP="00DB6E47">
      <w:pPr>
        <w:pStyle w:val="Apara"/>
      </w:pPr>
      <w:r w:rsidRPr="00544ED5">
        <w:tab/>
        <w:t>(a)</w:t>
      </w:r>
      <w:r w:rsidRPr="00544ED5">
        <w:tab/>
        <w:t>a document issued to the person under this Law; or</w:t>
      </w:r>
    </w:p>
    <w:p w14:paraId="4DEFC10D" w14:textId="77777777" w:rsidR="00DB6E47" w:rsidRPr="00544ED5" w:rsidRDefault="00DB6E47" w:rsidP="00DB6E47">
      <w:pPr>
        <w:pStyle w:val="Apara"/>
      </w:pPr>
      <w:r w:rsidRPr="00544ED5">
        <w:tab/>
        <w:t>(b)</w:t>
      </w:r>
      <w:r w:rsidRPr="00544ED5">
        <w:tab/>
        <w:t>a document, device or other thing required to be kept by the person under this Law or a heavy vehicle accreditation; or</w:t>
      </w:r>
    </w:p>
    <w:p w14:paraId="01CDFEFF" w14:textId="77777777" w:rsidR="00DB6E47" w:rsidRPr="00544ED5" w:rsidRDefault="00DB6E47" w:rsidP="00DB6E47">
      <w:pPr>
        <w:pStyle w:val="Apara"/>
      </w:pPr>
      <w:r w:rsidRPr="00544ED5">
        <w:tab/>
        <w:t>(c)</w:t>
      </w:r>
      <w:r w:rsidRPr="00544ED5">
        <w:tab/>
        <w:t>transport documentation or journey documentation in the person’s possession or under the person’s control; or</w:t>
      </w:r>
    </w:p>
    <w:p w14:paraId="56BC25FF" w14:textId="77777777" w:rsidR="00DB6E47" w:rsidRPr="00544ED5" w:rsidRDefault="00DB6E47" w:rsidP="00DB6E47">
      <w:pPr>
        <w:pStyle w:val="Apara"/>
      </w:pPr>
      <w:r w:rsidRPr="00544ED5">
        <w:tab/>
        <w:t>(d)</w:t>
      </w:r>
      <w:r w:rsidRPr="00544ED5">
        <w:tab/>
        <w:t>a document in the person’s possession or under the person’s control relating to—</w:t>
      </w:r>
    </w:p>
    <w:p w14:paraId="0B0A8BAC" w14:textId="77777777" w:rsidR="00DB6E47" w:rsidRPr="00CC71DF" w:rsidRDefault="00DB6E47" w:rsidP="00DB6E47">
      <w:pPr>
        <w:pStyle w:val="Asubpara"/>
      </w:pPr>
      <w:r w:rsidRPr="00CC71DF">
        <w:tab/>
        <w:t>(i)</w:t>
      </w:r>
      <w:r w:rsidRPr="00CC71DF">
        <w:tab/>
        <w:t>the use, performance or condition of a heavy vehicle; or</w:t>
      </w:r>
    </w:p>
    <w:p w14:paraId="2E9CFC69" w14:textId="77777777" w:rsidR="00DB6E47" w:rsidRPr="00CC71DF" w:rsidRDefault="00DB6E47" w:rsidP="00DB6E47">
      <w:pPr>
        <w:pStyle w:val="Asubpara"/>
      </w:pPr>
      <w:r w:rsidRPr="00CC71DF">
        <w:tab/>
        <w:t>(ii)</w:t>
      </w:r>
      <w:r w:rsidRPr="00CC71DF">
        <w:tab/>
        <w:t>the ownership, insurance, licensing or registration of a heavy vehicle; or</w:t>
      </w:r>
    </w:p>
    <w:p w14:paraId="578C0117" w14:textId="77777777" w:rsidR="00DB6E47" w:rsidRPr="00CC71DF" w:rsidRDefault="00DB6E47" w:rsidP="00DB6E47">
      <w:pPr>
        <w:pStyle w:val="Asubpara"/>
      </w:pPr>
      <w:r w:rsidRPr="00CC71DF">
        <w:tab/>
        <w:t>(iii)</w:t>
      </w:r>
      <w:r w:rsidRPr="00CC71DF">
        <w:tab/>
        <w:t>the load or equipment carried or intended to be carried by a heavy vehicle, including, for example, a document relating to insurance of the load or equipment; or</w:t>
      </w:r>
    </w:p>
    <w:p w14:paraId="3112AAFE" w14:textId="77777777" w:rsidR="00DB6E47" w:rsidRPr="00544ED5" w:rsidRDefault="00DB6E47" w:rsidP="00DB6E47">
      <w:pPr>
        <w:pStyle w:val="Apara"/>
      </w:pPr>
      <w:r w:rsidRPr="00544ED5">
        <w:tab/>
        <w:t>(e)</w:t>
      </w:r>
      <w:r w:rsidRPr="00544ED5">
        <w:tab/>
        <w:t>a document in the person’s possession or under the person’s control relating to any business practices; or</w:t>
      </w:r>
    </w:p>
    <w:p w14:paraId="3436B1BC" w14:textId="77777777" w:rsidR="00DB6E47" w:rsidRPr="00AB2B1E" w:rsidRDefault="00DB6E47" w:rsidP="000E08E8">
      <w:pPr>
        <w:pStyle w:val="Apara"/>
        <w:keepNext/>
        <w:keepLines/>
      </w:pPr>
      <w:r w:rsidRPr="00AB2B1E">
        <w:lastRenderedPageBreak/>
        <w:tab/>
        <w:t>(f)</w:t>
      </w:r>
      <w:r w:rsidRPr="00AB2B1E">
        <w:tab/>
      </w:r>
      <w:r w:rsidR="00AB2B1E" w:rsidRPr="00AB2B1E">
        <w:t>a document in the person’s possession or under the person’s control showing that a heavy vehicle’s garage address recorded on a vehicle register, however named, kept under another Australian road law is or is not the vehicle’s actual garage address.</w:t>
      </w:r>
    </w:p>
    <w:p w14:paraId="314D3C82" w14:textId="77777777" w:rsidR="001D3C15" w:rsidRPr="001D3C15" w:rsidRDefault="001D3C15" w:rsidP="000E08E8">
      <w:pPr>
        <w:pStyle w:val="aNote"/>
        <w:keepNext/>
        <w:rPr>
          <w:lang w:val="en" w:eastAsia="en-AU"/>
        </w:rPr>
      </w:pPr>
      <w:r w:rsidRPr="001D3C15">
        <w:rPr>
          <w:rStyle w:val="charItals"/>
        </w:rPr>
        <w:t>Note</w:t>
      </w:r>
      <w:r w:rsidRPr="001D3C15">
        <w:rPr>
          <w:lang w:val="en" w:eastAsia="en-AU"/>
        </w:rPr>
        <w:t>—</w:t>
      </w:r>
    </w:p>
    <w:p w14:paraId="7B171E71" w14:textId="77777777" w:rsidR="001D3C15" w:rsidRPr="001D3C15" w:rsidRDefault="001D3C15" w:rsidP="001D3C15">
      <w:pPr>
        <w:pStyle w:val="aNoteTextss"/>
        <w:rPr>
          <w:lang w:val="en" w:eastAsia="en-AU"/>
        </w:rPr>
      </w:pPr>
      <w:r w:rsidRPr="001D3C15">
        <w:rPr>
          <w:lang w:val="en" w:eastAsia="en-AU"/>
        </w:rPr>
        <w:t>Section 17 of Schedule 1 and section 490 deal with the production of documents and other information kept electronically.</w:t>
      </w:r>
    </w:p>
    <w:p w14:paraId="40F7BF60" w14:textId="77777777" w:rsidR="00DB6E47" w:rsidRPr="003D139A" w:rsidRDefault="00DB6E47" w:rsidP="00DB6E47">
      <w:pPr>
        <w:pStyle w:val="Amain"/>
      </w:pPr>
      <w:r w:rsidRPr="003D139A">
        <w:tab/>
        <w:t>(2)</w:t>
      </w:r>
      <w:r w:rsidRPr="003D139A">
        <w:tab/>
        <w:t>A person of whom a requirement</w:t>
      </w:r>
      <w:r w:rsidR="004E3F26">
        <w:t xml:space="preserve"> is made under subsection </w:t>
      </w:r>
      <w:r w:rsidRPr="003D139A">
        <w:t>(1)</w:t>
      </w:r>
      <w:r w:rsidR="004E3F26">
        <w:t xml:space="preserve"> </w:t>
      </w:r>
      <w:r w:rsidRPr="003D139A">
        <w:t>must comply with the requirement, unless the person has a reasonable excuse.</w:t>
      </w:r>
    </w:p>
    <w:p w14:paraId="7B75961F" w14:textId="77777777" w:rsidR="00DB6E47" w:rsidRPr="006C3305" w:rsidRDefault="00DB6E47" w:rsidP="00DB6E47">
      <w:pPr>
        <w:pStyle w:val="Penalty"/>
      </w:pPr>
      <w:r w:rsidRPr="00D91CC2">
        <w:rPr>
          <w:rFonts w:cs="Times"/>
          <w:bCs/>
          <w:iCs/>
        </w:rPr>
        <w:t>Maximum penalty—$6000.</w:t>
      </w:r>
    </w:p>
    <w:p w14:paraId="690D11B4" w14:textId="77777777" w:rsidR="001D3C15" w:rsidRPr="001D3C15" w:rsidRDefault="001D3C15" w:rsidP="001D3C15">
      <w:pPr>
        <w:pStyle w:val="Amain"/>
        <w:rPr>
          <w:lang w:val="en" w:eastAsia="en-AU"/>
        </w:rPr>
      </w:pPr>
      <w:r>
        <w:rPr>
          <w:lang w:val="en" w:eastAsia="en-AU"/>
        </w:rPr>
        <w:tab/>
      </w:r>
      <w:r w:rsidRPr="001D3C15">
        <w:rPr>
          <w:lang w:val="en" w:eastAsia="en-AU"/>
        </w:rPr>
        <w:t>(3)</w:t>
      </w:r>
      <w:r>
        <w:rPr>
          <w:lang w:val="en" w:eastAsia="en-AU"/>
        </w:rPr>
        <w:tab/>
      </w:r>
      <w:r w:rsidRPr="001D3C15">
        <w:rPr>
          <w:lang w:val="en" w:eastAsia="en-AU"/>
        </w:rPr>
        <w:t>If, under subsection (1), an authorised officer requires a responsible person to make available or produce an electronic document—</w:t>
      </w:r>
    </w:p>
    <w:p w14:paraId="356D1CB4" w14:textId="77777777" w:rsidR="001D3C15" w:rsidRPr="001D3C15" w:rsidRDefault="001D3C15" w:rsidP="001D3C15">
      <w:pPr>
        <w:pStyle w:val="Apara"/>
        <w:rPr>
          <w:lang w:val="en" w:eastAsia="en-AU"/>
        </w:rPr>
      </w:pPr>
      <w:r>
        <w:rPr>
          <w:lang w:val="en" w:eastAsia="en-AU"/>
        </w:rPr>
        <w:tab/>
      </w:r>
      <w:r w:rsidRPr="001D3C15">
        <w:rPr>
          <w:lang w:val="en" w:eastAsia="en-AU"/>
        </w:rPr>
        <w:t>(a)</w:t>
      </w:r>
      <w:r>
        <w:rPr>
          <w:lang w:val="en" w:eastAsia="en-AU"/>
        </w:rPr>
        <w:tab/>
      </w:r>
      <w:r w:rsidRPr="001D3C15">
        <w:rPr>
          <w:lang w:val="en" w:eastAsia="en-AU"/>
        </w:rPr>
        <w:t>the authorised officer may require the responsible person to make available or produce—</w:t>
      </w:r>
    </w:p>
    <w:p w14:paraId="35F2F7F6" w14:textId="77777777" w:rsidR="001D3C15" w:rsidRPr="001D3C15" w:rsidRDefault="001D3C15" w:rsidP="001D3C15">
      <w:pPr>
        <w:pStyle w:val="Asubpara"/>
        <w:rPr>
          <w:lang w:val="en" w:eastAsia="en-AU"/>
        </w:rPr>
      </w:pPr>
      <w:r>
        <w:rPr>
          <w:lang w:val="en" w:eastAsia="en-AU"/>
        </w:rPr>
        <w:tab/>
      </w:r>
      <w:r w:rsidRPr="001D3C15">
        <w:rPr>
          <w:lang w:val="en" w:eastAsia="en-AU"/>
        </w:rPr>
        <w:t>(i)</w:t>
      </w:r>
      <w:r>
        <w:rPr>
          <w:lang w:val="en" w:eastAsia="en-AU"/>
        </w:rPr>
        <w:tab/>
      </w:r>
      <w:r w:rsidRPr="001D3C15">
        <w:rPr>
          <w:lang w:val="en" w:eastAsia="en-AU"/>
        </w:rPr>
        <w:t>a printed copy of the electronic document; or</w:t>
      </w:r>
    </w:p>
    <w:p w14:paraId="451F78A6" w14:textId="77777777" w:rsidR="001D3C15" w:rsidRPr="001D3C15" w:rsidRDefault="001D3C15" w:rsidP="001D3C15">
      <w:pPr>
        <w:pStyle w:val="Asubpara"/>
        <w:rPr>
          <w:lang w:val="en" w:eastAsia="en-AU"/>
        </w:rPr>
      </w:pPr>
      <w:r>
        <w:rPr>
          <w:lang w:val="en" w:eastAsia="en-AU"/>
        </w:rPr>
        <w:tab/>
      </w:r>
      <w:r w:rsidRPr="001D3C15">
        <w:rPr>
          <w:lang w:val="en" w:eastAsia="en-AU"/>
        </w:rPr>
        <w:t>(ii)</w:t>
      </w:r>
      <w:r>
        <w:rPr>
          <w:lang w:val="en" w:eastAsia="en-AU"/>
        </w:rPr>
        <w:tab/>
      </w:r>
      <w:r w:rsidRPr="001D3C15">
        <w:rPr>
          <w:lang w:val="en" w:eastAsia="en-AU"/>
        </w:rPr>
        <w:t>an electronic copy of the document; and</w:t>
      </w:r>
    </w:p>
    <w:p w14:paraId="636461CD" w14:textId="77777777" w:rsidR="001D3C15" w:rsidRPr="001D3C15" w:rsidRDefault="001D3C15" w:rsidP="001D3C15">
      <w:pPr>
        <w:pStyle w:val="Apara"/>
        <w:rPr>
          <w:lang w:val="en" w:eastAsia="en-AU"/>
        </w:rPr>
      </w:pPr>
      <w:r>
        <w:rPr>
          <w:lang w:val="en" w:eastAsia="en-AU"/>
        </w:rPr>
        <w:tab/>
      </w:r>
      <w:r w:rsidRPr="001D3C15">
        <w:rPr>
          <w:lang w:val="en" w:eastAsia="en-AU"/>
        </w:rPr>
        <w:t>(b)</w:t>
      </w:r>
      <w:r>
        <w:rPr>
          <w:lang w:val="en" w:eastAsia="en-AU"/>
        </w:rPr>
        <w:tab/>
      </w:r>
      <w:r w:rsidRPr="001D3C15">
        <w:rPr>
          <w:lang w:val="en" w:eastAsia="en-AU"/>
        </w:rPr>
        <w:t>compliance with the requirement made under subsection (1) requires the making available or production of the document in the way required under paragraph (a).</w:t>
      </w:r>
    </w:p>
    <w:p w14:paraId="1D08EC16" w14:textId="77777777" w:rsidR="001D3C15" w:rsidRPr="001D3C15" w:rsidRDefault="001D3C15" w:rsidP="001D3C15">
      <w:pPr>
        <w:pStyle w:val="aNote"/>
        <w:rPr>
          <w:lang w:val="en" w:eastAsia="en-AU"/>
        </w:rPr>
      </w:pPr>
      <w:r w:rsidRPr="001D3C15">
        <w:rPr>
          <w:rStyle w:val="charItals"/>
        </w:rPr>
        <w:t>Notes</w:t>
      </w:r>
      <w:r w:rsidRPr="001D3C15">
        <w:rPr>
          <w:lang w:val="en" w:eastAsia="en-AU"/>
        </w:rPr>
        <w:t>—</w:t>
      </w:r>
    </w:p>
    <w:p w14:paraId="7A55D012" w14:textId="77777777" w:rsidR="001D3C15" w:rsidRPr="001D3C15" w:rsidRDefault="0000103F" w:rsidP="0000103F">
      <w:pPr>
        <w:pStyle w:val="aNotePara"/>
        <w:rPr>
          <w:lang w:val="en" w:eastAsia="en-AU"/>
        </w:rPr>
      </w:pPr>
      <w:r>
        <w:rPr>
          <w:lang w:val="en" w:eastAsia="en-AU"/>
        </w:rPr>
        <w:tab/>
      </w:r>
      <w:r w:rsidR="001D3C15" w:rsidRPr="001D3C15">
        <w:rPr>
          <w:lang w:val="en" w:eastAsia="en-AU"/>
        </w:rPr>
        <w:t>1</w:t>
      </w:r>
      <w:r>
        <w:rPr>
          <w:lang w:val="en" w:eastAsia="en-AU"/>
        </w:rPr>
        <w:tab/>
      </w:r>
      <w:r w:rsidR="001D3C15" w:rsidRPr="001D3C15">
        <w:rPr>
          <w:lang w:val="en" w:eastAsia="en-AU"/>
        </w:rPr>
        <w:t xml:space="preserve">See the definitions </w:t>
      </w:r>
      <w:r w:rsidR="001D3C15" w:rsidRPr="001D3C15">
        <w:rPr>
          <w:i/>
          <w:iCs/>
          <w:lang w:val="en" w:eastAsia="en-AU"/>
        </w:rPr>
        <w:t>document</w:t>
      </w:r>
      <w:r w:rsidR="001D3C15" w:rsidRPr="001D3C15">
        <w:rPr>
          <w:lang w:val="en" w:eastAsia="en-AU"/>
        </w:rPr>
        <w:t xml:space="preserve"> and </w:t>
      </w:r>
      <w:r w:rsidR="001D3C15" w:rsidRPr="001D3C15">
        <w:rPr>
          <w:i/>
          <w:iCs/>
          <w:lang w:val="en" w:eastAsia="en-AU"/>
        </w:rPr>
        <w:t>printed</w:t>
      </w:r>
      <w:r w:rsidR="001D3C15" w:rsidRPr="001D3C15">
        <w:rPr>
          <w:lang w:val="en" w:eastAsia="en-AU"/>
        </w:rPr>
        <w:t xml:space="preserve"> in section 12 of Schedule 1.</w:t>
      </w:r>
    </w:p>
    <w:p w14:paraId="491C38B3" w14:textId="77777777" w:rsidR="001D3C15" w:rsidRPr="001D3C15" w:rsidRDefault="0000103F" w:rsidP="0000103F">
      <w:pPr>
        <w:pStyle w:val="aNotePara"/>
        <w:rPr>
          <w:lang w:val="en" w:eastAsia="en-AU"/>
        </w:rPr>
      </w:pPr>
      <w:r>
        <w:rPr>
          <w:lang w:val="en" w:eastAsia="en-AU"/>
        </w:rPr>
        <w:tab/>
      </w:r>
      <w:r w:rsidR="001D3C15" w:rsidRPr="001D3C15">
        <w:rPr>
          <w:lang w:val="en" w:eastAsia="en-AU"/>
        </w:rPr>
        <w:t>2</w:t>
      </w:r>
      <w:r>
        <w:rPr>
          <w:lang w:val="en" w:eastAsia="en-AU"/>
        </w:rPr>
        <w:tab/>
      </w:r>
      <w:r w:rsidR="001D3C15" w:rsidRPr="001D3C15">
        <w:rPr>
          <w:lang w:val="en" w:eastAsia="en-AU"/>
        </w:rPr>
        <w:t>Section 17 of Schedule 1 and section 490 also deal with the production of documents and other information kept electronically.</w:t>
      </w:r>
    </w:p>
    <w:p w14:paraId="5AB81619" w14:textId="77777777" w:rsidR="00DB6E47" w:rsidRPr="003D139A" w:rsidRDefault="00DB6E47" w:rsidP="000E08E8">
      <w:pPr>
        <w:pStyle w:val="Amain"/>
        <w:keepNext/>
        <w:keepLines/>
      </w:pPr>
      <w:r w:rsidRPr="003D139A">
        <w:lastRenderedPageBreak/>
        <w:tab/>
        <w:t>(4)</w:t>
      </w:r>
      <w:r w:rsidRPr="003D139A">
        <w:tab/>
        <w:t>It is not a reasonable excuse for the person to fail to comply with a re</w:t>
      </w:r>
      <w:r w:rsidR="00561BDE">
        <w:t xml:space="preserve">quirement made under subsection </w:t>
      </w:r>
      <w:r w:rsidRPr="003D139A">
        <w:t>(1)</w:t>
      </w:r>
      <w:r w:rsidR="00561BDE">
        <w:t xml:space="preserve"> </w:t>
      </w:r>
      <w:r w:rsidRPr="003D139A">
        <w:t>that complying with the requirement might tend to incriminate the person or make the person liable to a penalty.</w:t>
      </w:r>
    </w:p>
    <w:p w14:paraId="6334AC93" w14:textId="77777777" w:rsidR="0000103F" w:rsidRPr="0000103F" w:rsidRDefault="0000103F" w:rsidP="0000103F">
      <w:pPr>
        <w:pStyle w:val="aNote"/>
        <w:rPr>
          <w:lang w:val="en" w:eastAsia="en-AU"/>
        </w:rPr>
      </w:pPr>
      <w:r w:rsidRPr="0000103F">
        <w:rPr>
          <w:rStyle w:val="charItals"/>
        </w:rPr>
        <w:t>Notes</w:t>
      </w:r>
      <w:r w:rsidRPr="0000103F">
        <w:rPr>
          <w:lang w:val="en" w:eastAsia="en-AU"/>
        </w:rPr>
        <w:t>—</w:t>
      </w:r>
    </w:p>
    <w:p w14:paraId="76CD6807" w14:textId="77777777" w:rsidR="0000103F" w:rsidRPr="0000103F" w:rsidRDefault="0000103F" w:rsidP="0000103F">
      <w:pPr>
        <w:pStyle w:val="aNotePara"/>
        <w:rPr>
          <w:lang w:val="en" w:eastAsia="en-AU"/>
        </w:rPr>
      </w:pPr>
      <w:r>
        <w:rPr>
          <w:lang w:val="en" w:eastAsia="en-AU"/>
        </w:rPr>
        <w:tab/>
      </w:r>
      <w:r w:rsidRPr="0000103F">
        <w:rPr>
          <w:lang w:val="en" w:eastAsia="en-AU"/>
        </w:rPr>
        <w:t>1</w:t>
      </w:r>
      <w:r>
        <w:rPr>
          <w:lang w:val="en" w:eastAsia="en-AU"/>
        </w:rPr>
        <w:tab/>
      </w:r>
      <w:r w:rsidRPr="0000103F">
        <w:rPr>
          <w:lang w:val="en" w:eastAsia="en-AU"/>
        </w:rPr>
        <w:t>Section 587 also deals with self-incrimination when complying with a requirement of an authorised officer.</w:t>
      </w:r>
    </w:p>
    <w:p w14:paraId="411CD293" w14:textId="77777777" w:rsidR="0000103F" w:rsidRPr="0000103F" w:rsidRDefault="0000103F" w:rsidP="0000103F">
      <w:pPr>
        <w:pStyle w:val="aNotePara"/>
        <w:rPr>
          <w:lang w:val="en" w:eastAsia="en-AU"/>
        </w:rPr>
      </w:pPr>
      <w:r>
        <w:rPr>
          <w:lang w:val="en" w:eastAsia="en-AU"/>
        </w:rPr>
        <w:tab/>
      </w:r>
      <w:r w:rsidRPr="0000103F">
        <w:rPr>
          <w:lang w:val="en" w:eastAsia="en-AU"/>
        </w:rPr>
        <w:t>2</w:t>
      </w:r>
      <w:r>
        <w:rPr>
          <w:lang w:val="en" w:eastAsia="en-AU"/>
        </w:rPr>
        <w:tab/>
      </w:r>
      <w:r w:rsidRPr="0000103F">
        <w:rPr>
          <w:lang w:val="en" w:eastAsia="en-AU"/>
        </w:rPr>
        <w:t>Section 588 deals with the admissibility of information provided in complying with a requirement under this section.</w:t>
      </w:r>
    </w:p>
    <w:p w14:paraId="09C718F6" w14:textId="77777777" w:rsidR="00DB6E47" w:rsidRPr="003D139A" w:rsidRDefault="00DB6E47" w:rsidP="00DB6E47">
      <w:pPr>
        <w:pStyle w:val="Amain"/>
      </w:pPr>
      <w:r w:rsidRPr="003D139A">
        <w:tab/>
        <w:t>(5)</w:t>
      </w:r>
      <w:r w:rsidRPr="003D139A">
        <w:tab/>
        <w:t>The authorised officer may—</w:t>
      </w:r>
    </w:p>
    <w:p w14:paraId="36155AC0" w14:textId="77777777" w:rsidR="00DB6E47" w:rsidRPr="00544ED5" w:rsidRDefault="00DB6E47" w:rsidP="00DB6E47">
      <w:pPr>
        <w:pStyle w:val="Apara"/>
      </w:pPr>
      <w:r w:rsidRPr="00544ED5">
        <w:tab/>
        <w:t>(a)</w:t>
      </w:r>
      <w:r w:rsidRPr="00544ED5">
        <w:tab/>
        <w:t>take a copy of, or an extract from, a document mentioned in subsection (1); or</w:t>
      </w:r>
    </w:p>
    <w:p w14:paraId="6C47593B" w14:textId="77777777" w:rsidR="00DB6E47" w:rsidRPr="00544ED5" w:rsidRDefault="00DB6E47" w:rsidP="00DB6E47">
      <w:pPr>
        <w:pStyle w:val="Apara"/>
      </w:pPr>
      <w:r w:rsidRPr="00544ED5">
        <w:tab/>
        <w:t>(b)</w:t>
      </w:r>
      <w:r w:rsidRPr="00544ED5">
        <w:tab/>
        <w:t>produce an image or writing from a document mentioned in s</w:t>
      </w:r>
      <w:r w:rsidR="00561BDE">
        <w:t xml:space="preserve">ubsection </w:t>
      </w:r>
      <w:r w:rsidRPr="00544ED5">
        <w:t>(1)</w:t>
      </w:r>
      <w:r w:rsidR="00561BDE">
        <w:t xml:space="preserve"> </w:t>
      </w:r>
      <w:r w:rsidRPr="00544ED5">
        <w:t>that is an electronic document; or</w:t>
      </w:r>
    </w:p>
    <w:p w14:paraId="08371257" w14:textId="77777777" w:rsidR="00DB6E47" w:rsidRPr="00544ED5" w:rsidRDefault="00DB6E47" w:rsidP="00B41BF6">
      <w:pPr>
        <w:pStyle w:val="Apara"/>
        <w:keepNext/>
      </w:pPr>
      <w:r w:rsidRPr="00544ED5">
        <w:tab/>
        <w:t>(c)</w:t>
      </w:r>
      <w:r w:rsidRPr="00544ED5">
        <w:tab/>
        <w:t>take an extract from a device or other th</w:t>
      </w:r>
      <w:r w:rsidR="00561BDE">
        <w:t>ing mentioned in subsection (1)</w:t>
      </w:r>
      <w:r w:rsidRPr="00544ED5">
        <w:t>(b), including, for example—</w:t>
      </w:r>
    </w:p>
    <w:p w14:paraId="43C74848" w14:textId="77777777" w:rsidR="00DB6E47" w:rsidRPr="00CC71DF" w:rsidRDefault="00DB6E47" w:rsidP="00DB6E47">
      <w:pPr>
        <w:pStyle w:val="Asubpara"/>
      </w:pPr>
      <w:r w:rsidRPr="00CC71DF">
        <w:tab/>
        <w:t>(i)</w:t>
      </w:r>
      <w:r w:rsidRPr="00CC71DF">
        <w:tab/>
        <w:t>by taking a copy of, or an extract from, a readout or other data obtained from the device or other thing; or</w:t>
      </w:r>
    </w:p>
    <w:p w14:paraId="4F2CC03B" w14:textId="77777777" w:rsidR="00DB6E47" w:rsidRPr="00CC71DF" w:rsidRDefault="00DB6E47" w:rsidP="00DB6E47">
      <w:pPr>
        <w:pStyle w:val="Asubpara"/>
      </w:pPr>
      <w:r w:rsidRPr="00CC71DF">
        <w:tab/>
        <w:t>(ii)</w:t>
      </w:r>
      <w:r w:rsidRPr="00CC71DF">
        <w:tab/>
        <w:t>by accessing and downloading information from the device or other thing; or</w:t>
      </w:r>
    </w:p>
    <w:p w14:paraId="02D77B9E" w14:textId="77777777" w:rsidR="00DB6E47" w:rsidRPr="00544ED5" w:rsidRDefault="00DB6E47" w:rsidP="00DB6E47">
      <w:pPr>
        <w:pStyle w:val="Apara"/>
      </w:pPr>
      <w:r w:rsidRPr="00544ED5">
        <w:tab/>
        <w:t>(d)</w:t>
      </w:r>
      <w:r w:rsidRPr="00544ED5">
        <w:tab/>
        <w:t>seize a document, device or othe</w:t>
      </w:r>
      <w:r w:rsidR="00561BDE">
        <w:t xml:space="preserve">r thing mentioned in subsection </w:t>
      </w:r>
      <w:r w:rsidRPr="00544ED5">
        <w:t>(1)</w:t>
      </w:r>
      <w:r w:rsidR="00561BDE">
        <w:t xml:space="preserve"> </w:t>
      </w:r>
      <w:r w:rsidRPr="00544ED5">
        <w:t>if the authorised officer reasonably believes the document, device or other thing may provide evidence of an offence against this Law.</w:t>
      </w:r>
    </w:p>
    <w:p w14:paraId="1FAE0A42" w14:textId="77777777" w:rsidR="00DB6E47" w:rsidRPr="003D139A" w:rsidRDefault="00DB6E47" w:rsidP="00DB6E47">
      <w:pPr>
        <w:pStyle w:val="Amain"/>
      </w:pPr>
      <w:r w:rsidRPr="003D139A">
        <w:tab/>
        <w:t>(6)</w:t>
      </w:r>
      <w:r w:rsidRPr="003D139A">
        <w:tab/>
        <w:t>If, under subsection (5), the authorised officer copies, takes an extract from, or produces an image or writing from, a document or an entry in a document, the officer may require the person responsible for keeping the document to certify the copy as a true copy of the document or entry.</w:t>
      </w:r>
    </w:p>
    <w:p w14:paraId="72CC3FBF" w14:textId="77777777" w:rsidR="00DB6E47" w:rsidRPr="003D139A" w:rsidRDefault="00DB6E47" w:rsidP="00DB6E47">
      <w:pPr>
        <w:pStyle w:val="Amain"/>
      </w:pPr>
      <w:r w:rsidRPr="003D139A">
        <w:lastRenderedPageBreak/>
        <w:tab/>
        <w:t>(7)</w:t>
      </w:r>
      <w:r w:rsidRPr="003D139A">
        <w:tab/>
        <w:t>A person of whom a requi</w:t>
      </w:r>
      <w:r w:rsidR="00561BDE">
        <w:t xml:space="preserve">rement is made under subsection </w:t>
      </w:r>
      <w:r w:rsidRPr="003D139A">
        <w:t>(6)</w:t>
      </w:r>
      <w:r w:rsidR="00561BDE">
        <w:t xml:space="preserve"> </w:t>
      </w:r>
      <w:r w:rsidRPr="003D139A">
        <w:t>must comply with the requirement, unless the person has a reasonable excuse.</w:t>
      </w:r>
    </w:p>
    <w:p w14:paraId="20B674F4" w14:textId="77777777" w:rsidR="00DB6E47" w:rsidRPr="006C3305" w:rsidRDefault="00DB6E47" w:rsidP="00DB6E47">
      <w:pPr>
        <w:pStyle w:val="Penalty"/>
      </w:pPr>
      <w:r w:rsidRPr="00D91CC2">
        <w:rPr>
          <w:rFonts w:cs="Times"/>
          <w:bCs/>
          <w:iCs/>
        </w:rPr>
        <w:t>Maximum penalty—$3000.</w:t>
      </w:r>
    </w:p>
    <w:p w14:paraId="12B18425" w14:textId="77777777" w:rsidR="00DB6E47" w:rsidRPr="003D139A" w:rsidRDefault="00DB6E47" w:rsidP="00DB6E47">
      <w:pPr>
        <w:pStyle w:val="Amain"/>
      </w:pPr>
      <w:r w:rsidRPr="003D139A">
        <w:tab/>
        <w:t>(8)</w:t>
      </w:r>
      <w:r w:rsidRPr="003D139A">
        <w:tab/>
        <w:t>If a document, device or other thing is produced to an authorised officer under this section and it is not seized under subsection (5)(d), the officer must return it to the person who produced it—</w:t>
      </w:r>
    </w:p>
    <w:p w14:paraId="3F272834" w14:textId="77777777" w:rsidR="00DB6E47" w:rsidRPr="00544ED5" w:rsidRDefault="00DB6E47" w:rsidP="00DB6E47">
      <w:pPr>
        <w:pStyle w:val="Apara"/>
      </w:pPr>
      <w:r w:rsidRPr="00544ED5">
        <w:tab/>
        <w:t>(a)</w:t>
      </w:r>
      <w:r w:rsidRPr="00544ED5">
        <w:tab/>
        <w:t>as soon as practicable after the officer inspects it; or</w:t>
      </w:r>
    </w:p>
    <w:p w14:paraId="5C3E2589" w14:textId="77777777" w:rsidR="00DB6E47" w:rsidRPr="00544ED5" w:rsidRDefault="00DB6E47" w:rsidP="00DB6E47">
      <w:pPr>
        <w:pStyle w:val="Apara"/>
      </w:pPr>
      <w:r w:rsidRPr="00544ED5">
        <w:tab/>
        <w:t>(b)</w:t>
      </w:r>
      <w:r w:rsidRPr="00544ED5">
        <w:tab/>
        <w:t>if the officer takes a copy of, extract from, or produces an image or writin</w:t>
      </w:r>
      <w:r w:rsidR="00561BDE">
        <w:t xml:space="preserve">g from, it under subsection (5)(a), </w:t>
      </w:r>
      <w:r w:rsidRPr="00544ED5">
        <w:t>(b)</w:t>
      </w:r>
      <w:r w:rsidR="00561BDE">
        <w:t xml:space="preserve"> or </w:t>
      </w:r>
      <w:r w:rsidRPr="00544ED5">
        <w:t>(c), as soon as practicable after the copy or extract is taken or the image or writing is produced.</w:t>
      </w:r>
    </w:p>
    <w:p w14:paraId="5732E005" w14:textId="77777777" w:rsidR="00DB6E47" w:rsidRPr="003D139A" w:rsidRDefault="00DB6E47" w:rsidP="00DB6E47">
      <w:pPr>
        <w:pStyle w:val="Amain"/>
      </w:pPr>
      <w:r w:rsidRPr="003D139A">
        <w:tab/>
        <w:t>(9)</w:t>
      </w:r>
      <w:r w:rsidRPr="003D139A">
        <w:tab/>
        <w:t>However, if a requirement is made</w:t>
      </w:r>
      <w:r w:rsidR="00561BDE">
        <w:t xml:space="preserve"> of the person under subsection </w:t>
      </w:r>
      <w:r w:rsidRPr="003D139A">
        <w:t>(6)</w:t>
      </w:r>
      <w:r w:rsidR="00561BDE">
        <w:t xml:space="preserve"> </w:t>
      </w:r>
      <w:r w:rsidRPr="003D139A">
        <w:t>for a document, the authorised officer may keep the document until the person complies with the requirement.</w:t>
      </w:r>
    </w:p>
    <w:p w14:paraId="55C90532" w14:textId="77777777" w:rsidR="00DB6E47" w:rsidRPr="007E1F9A" w:rsidRDefault="00DB6E47" w:rsidP="00DB6E47">
      <w:pPr>
        <w:pStyle w:val="AH5Sec"/>
      </w:pPr>
      <w:bookmarkStart w:id="684" w:name="_Toc83626028"/>
      <w:r w:rsidRPr="005E03F7">
        <w:rPr>
          <w:rStyle w:val="CharSectNo"/>
        </w:rPr>
        <w:t>570</w:t>
      </w:r>
      <w:r w:rsidRPr="007E1F9A">
        <w:tab/>
      </w:r>
      <w:r w:rsidRPr="007E1F9A">
        <w:rPr>
          <w:rFonts w:ascii="Helvetica" w:hAnsi="Helvetica" w:cs="Helvetica"/>
          <w:iCs/>
        </w:rPr>
        <w:t>Power to require information about heavy vehicles</w:t>
      </w:r>
      <w:bookmarkEnd w:id="684"/>
    </w:p>
    <w:p w14:paraId="1BD91FCA" w14:textId="77777777" w:rsidR="00DB6E47" w:rsidRPr="003D139A" w:rsidRDefault="00DB6E47" w:rsidP="00DB6E47">
      <w:pPr>
        <w:pStyle w:val="Amain"/>
      </w:pPr>
      <w:r w:rsidRPr="003D139A">
        <w:tab/>
        <w:t>(1)</w:t>
      </w:r>
      <w:r w:rsidRPr="003D139A">
        <w:tab/>
        <w:t>An authorised officer may, for compliance purposes, require a responsible person for a heavy vehicle to give the officer—</w:t>
      </w:r>
    </w:p>
    <w:p w14:paraId="73A54CF0" w14:textId="77777777" w:rsidR="00DB6E47" w:rsidRPr="00544ED5" w:rsidRDefault="00DB6E47" w:rsidP="00DB6E47">
      <w:pPr>
        <w:pStyle w:val="Apara"/>
      </w:pPr>
      <w:r w:rsidRPr="00544ED5">
        <w:tab/>
        <w:t>(a)</w:t>
      </w:r>
      <w:r w:rsidRPr="00544ED5">
        <w:tab/>
        <w:t>information about the vehicle or any load or equipment carried or intended to be carried by the vehicle; or</w:t>
      </w:r>
    </w:p>
    <w:p w14:paraId="27859B1C" w14:textId="77777777" w:rsidR="0000103F" w:rsidRPr="003323FC" w:rsidRDefault="00DB6E47" w:rsidP="0000103F">
      <w:pPr>
        <w:pStyle w:val="Apara"/>
      </w:pPr>
      <w:r w:rsidRPr="00544ED5">
        <w:tab/>
        <w:t>(b)</w:t>
      </w:r>
      <w:r w:rsidRPr="00544ED5">
        <w:tab/>
        <w:t xml:space="preserve">personal details known to the responsible person about any other responsible person for the </w:t>
      </w:r>
      <w:r w:rsidR="0000103F" w:rsidRPr="003323FC">
        <w:t>vehicle; or</w:t>
      </w:r>
    </w:p>
    <w:p w14:paraId="4B9C47D4" w14:textId="77777777" w:rsidR="0000103F" w:rsidRPr="0000103F" w:rsidRDefault="0000103F" w:rsidP="0000103F">
      <w:pPr>
        <w:pStyle w:val="Apara"/>
        <w:rPr>
          <w:lang w:val="en" w:eastAsia="en-AU"/>
        </w:rPr>
      </w:pPr>
      <w:r>
        <w:rPr>
          <w:lang w:val="en" w:eastAsia="en-AU"/>
        </w:rPr>
        <w:tab/>
      </w:r>
      <w:r w:rsidRPr="0000103F">
        <w:rPr>
          <w:lang w:val="en" w:eastAsia="en-AU"/>
        </w:rPr>
        <w:t>(c)</w:t>
      </w:r>
      <w:r>
        <w:rPr>
          <w:lang w:val="en" w:eastAsia="en-AU"/>
        </w:rPr>
        <w:tab/>
      </w:r>
      <w:r w:rsidRPr="0000103F">
        <w:rPr>
          <w:lang w:val="en" w:eastAsia="en-AU"/>
        </w:rPr>
        <w:t>personal details known to the responsible person about anyone else the responsible person reasonably believes holds information about the heavy vehicle.</w:t>
      </w:r>
    </w:p>
    <w:p w14:paraId="457C74DE" w14:textId="77777777" w:rsidR="0000103F" w:rsidRPr="0000103F" w:rsidRDefault="0000103F" w:rsidP="0000103F">
      <w:pPr>
        <w:pStyle w:val="aNote"/>
        <w:rPr>
          <w:lang w:val="en" w:eastAsia="en-AU"/>
        </w:rPr>
      </w:pPr>
      <w:r w:rsidRPr="0000103F">
        <w:rPr>
          <w:rStyle w:val="charItals"/>
        </w:rPr>
        <w:t>Note</w:t>
      </w:r>
      <w:r w:rsidRPr="0000103F">
        <w:rPr>
          <w:lang w:val="en" w:eastAsia="en-AU"/>
        </w:rPr>
        <w:t>—</w:t>
      </w:r>
    </w:p>
    <w:p w14:paraId="529C5538" w14:textId="77777777" w:rsidR="0000103F" w:rsidRPr="0000103F" w:rsidRDefault="0000103F" w:rsidP="0000103F">
      <w:pPr>
        <w:pStyle w:val="aNoteTextss"/>
        <w:rPr>
          <w:lang w:val="en" w:eastAsia="en-AU"/>
        </w:rPr>
      </w:pPr>
      <w:r w:rsidRPr="0000103F">
        <w:rPr>
          <w:lang w:val="en" w:eastAsia="en-AU"/>
        </w:rPr>
        <w:t>Section 17 of Schedule 1 and section 490 deal with the production of documents and other information kept electronically.</w:t>
      </w:r>
    </w:p>
    <w:p w14:paraId="527E26C0" w14:textId="77777777" w:rsidR="00DB6E47" w:rsidRPr="003D139A" w:rsidRDefault="00DB6E47" w:rsidP="00DB6E47">
      <w:pPr>
        <w:pStyle w:val="Amain"/>
      </w:pPr>
      <w:r w:rsidRPr="003D139A">
        <w:lastRenderedPageBreak/>
        <w:tab/>
        <w:t>(2)</w:t>
      </w:r>
      <w:r w:rsidRPr="003D139A">
        <w:tab/>
        <w:t xml:space="preserve">Without limiting subsection (1), a responsible person who is associated with a particular vehicle may be required to provide information about </w:t>
      </w:r>
      <w:r w:rsidR="00F20A2A" w:rsidRPr="00F20A2A">
        <w:t>a past, current or intended journey</w:t>
      </w:r>
      <w:r w:rsidRPr="00F20A2A">
        <w:t xml:space="preserve"> </w:t>
      </w:r>
      <w:r w:rsidRPr="003D139A">
        <w:t>of the vehicle, including, for example, the following—</w:t>
      </w:r>
    </w:p>
    <w:p w14:paraId="4CA172AF" w14:textId="77777777" w:rsidR="00DB6E47" w:rsidRPr="00544ED5" w:rsidRDefault="00DB6E47" w:rsidP="00DB6E47">
      <w:pPr>
        <w:pStyle w:val="Apara"/>
      </w:pPr>
      <w:r w:rsidRPr="00544ED5">
        <w:tab/>
        <w:t>(a)</w:t>
      </w:r>
      <w:r w:rsidRPr="00544ED5">
        <w:tab/>
        <w:t>the location of the start or intended start of the journey;</w:t>
      </w:r>
    </w:p>
    <w:p w14:paraId="68B982BB" w14:textId="77777777" w:rsidR="00DB6E47" w:rsidRPr="00544ED5" w:rsidRDefault="00DB6E47" w:rsidP="00DB6E47">
      <w:pPr>
        <w:pStyle w:val="Apara"/>
      </w:pPr>
      <w:r w:rsidRPr="00544ED5">
        <w:tab/>
        <w:t>(b)</w:t>
      </w:r>
      <w:r w:rsidRPr="00544ED5">
        <w:tab/>
        <w:t>the route or intended route of the journey;</w:t>
      </w:r>
    </w:p>
    <w:p w14:paraId="2FD93400" w14:textId="77777777" w:rsidR="00DB6E47" w:rsidRPr="00544ED5" w:rsidRDefault="00DB6E47" w:rsidP="00DB6E47">
      <w:pPr>
        <w:pStyle w:val="Apara"/>
      </w:pPr>
      <w:r w:rsidRPr="00544ED5">
        <w:tab/>
        <w:t>(c)</w:t>
      </w:r>
      <w:r w:rsidRPr="00544ED5">
        <w:tab/>
        <w:t>the location of the destination or intended destination of the journey.</w:t>
      </w:r>
    </w:p>
    <w:p w14:paraId="3AACA557" w14:textId="77777777" w:rsidR="00F20A2A" w:rsidRPr="00F20A2A" w:rsidRDefault="00F20A2A" w:rsidP="00F20A2A">
      <w:pPr>
        <w:pStyle w:val="Amain"/>
        <w:rPr>
          <w:lang w:val="en" w:eastAsia="en-AU"/>
        </w:rPr>
      </w:pPr>
      <w:r>
        <w:rPr>
          <w:lang w:val="en" w:eastAsia="en-AU"/>
        </w:rPr>
        <w:tab/>
      </w:r>
      <w:r w:rsidRPr="00F20A2A">
        <w:rPr>
          <w:lang w:val="en" w:eastAsia="en-AU"/>
        </w:rPr>
        <w:t>(2A)</w:t>
      </w:r>
      <w:r>
        <w:rPr>
          <w:lang w:val="en" w:eastAsia="en-AU"/>
        </w:rPr>
        <w:tab/>
      </w:r>
      <w:r w:rsidRPr="00F20A2A">
        <w:rPr>
          <w:lang w:val="en" w:eastAsia="en-AU"/>
        </w:rPr>
        <w:t>An authorised officer requiring pe</w:t>
      </w:r>
      <w:r w:rsidR="000E08E8">
        <w:rPr>
          <w:lang w:val="en" w:eastAsia="en-AU"/>
        </w:rPr>
        <w:t>rsonal details under subsection </w:t>
      </w:r>
      <w:r w:rsidRPr="00F20A2A">
        <w:rPr>
          <w:lang w:val="en" w:eastAsia="en-AU"/>
        </w:rPr>
        <w:t>(1)(c) must give the responsible person a notice stating—</w:t>
      </w:r>
    </w:p>
    <w:p w14:paraId="0C4FBD12" w14:textId="77777777" w:rsidR="00F20A2A" w:rsidRPr="00F20A2A" w:rsidRDefault="00F20A2A" w:rsidP="00F20A2A">
      <w:pPr>
        <w:pStyle w:val="Apara"/>
        <w:rPr>
          <w:lang w:val="en" w:eastAsia="en-AU"/>
        </w:rPr>
      </w:pPr>
      <w:r>
        <w:rPr>
          <w:lang w:val="en" w:eastAsia="en-AU"/>
        </w:rPr>
        <w:tab/>
      </w:r>
      <w:r w:rsidRPr="00F20A2A">
        <w:rPr>
          <w:lang w:val="en" w:eastAsia="en-AU"/>
        </w:rPr>
        <w:t>(a)</w:t>
      </w:r>
      <w:r>
        <w:rPr>
          <w:lang w:val="en" w:eastAsia="en-AU"/>
        </w:rPr>
        <w:tab/>
      </w:r>
      <w:r w:rsidRPr="00F20A2A">
        <w:rPr>
          <w:lang w:val="en" w:eastAsia="en-AU"/>
        </w:rPr>
        <w:t>that the requirement is made under this section; and</w:t>
      </w:r>
    </w:p>
    <w:p w14:paraId="6A15136F" w14:textId="77777777" w:rsidR="00F20A2A" w:rsidRPr="00F20A2A" w:rsidRDefault="00F20A2A" w:rsidP="00F20A2A">
      <w:pPr>
        <w:pStyle w:val="Apara"/>
        <w:rPr>
          <w:lang w:val="en" w:eastAsia="en-AU"/>
        </w:rPr>
      </w:pPr>
      <w:r>
        <w:rPr>
          <w:lang w:val="en" w:eastAsia="en-AU"/>
        </w:rPr>
        <w:tab/>
      </w:r>
      <w:r w:rsidRPr="00F20A2A">
        <w:rPr>
          <w:lang w:val="en" w:eastAsia="en-AU"/>
        </w:rPr>
        <w:t>(b)</w:t>
      </w:r>
      <w:r>
        <w:rPr>
          <w:lang w:val="en" w:eastAsia="en-AU"/>
        </w:rPr>
        <w:tab/>
      </w:r>
      <w:r w:rsidRPr="00F20A2A">
        <w:rPr>
          <w:lang w:val="en" w:eastAsia="en-AU"/>
        </w:rPr>
        <w:t>that failing to comply with the requirement is an offence; and</w:t>
      </w:r>
    </w:p>
    <w:p w14:paraId="4597767F" w14:textId="77777777" w:rsidR="00F20A2A" w:rsidRPr="00F20A2A" w:rsidRDefault="00F20A2A" w:rsidP="00F20A2A">
      <w:pPr>
        <w:pStyle w:val="Apara"/>
        <w:rPr>
          <w:lang w:val="en" w:eastAsia="en-AU"/>
        </w:rPr>
      </w:pPr>
      <w:r>
        <w:rPr>
          <w:lang w:val="en" w:eastAsia="en-AU"/>
        </w:rPr>
        <w:tab/>
      </w:r>
      <w:r w:rsidRPr="00F20A2A">
        <w:rPr>
          <w:lang w:val="en" w:eastAsia="en-AU"/>
        </w:rPr>
        <w:t>(c)</w:t>
      </w:r>
      <w:r>
        <w:rPr>
          <w:lang w:val="en" w:eastAsia="en-AU"/>
        </w:rPr>
        <w:tab/>
      </w:r>
      <w:r w:rsidRPr="00F20A2A">
        <w:rPr>
          <w:lang w:val="en" w:eastAsia="en-AU"/>
        </w:rPr>
        <w:t>the time, that is reasonable in the circumstances, in which the person must give the personal details; and</w:t>
      </w:r>
    </w:p>
    <w:p w14:paraId="5EA9B290" w14:textId="77777777" w:rsidR="00F20A2A" w:rsidRPr="00F20A2A" w:rsidRDefault="00F20A2A" w:rsidP="00F20A2A">
      <w:pPr>
        <w:pStyle w:val="Apara"/>
        <w:rPr>
          <w:lang w:val="en" w:eastAsia="en-AU"/>
        </w:rPr>
      </w:pPr>
      <w:r>
        <w:rPr>
          <w:lang w:val="en" w:eastAsia="en-AU"/>
        </w:rPr>
        <w:tab/>
      </w:r>
      <w:r w:rsidRPr="00F20A2A">
        <w:rPr>
          <w:lang w:val="en" w:eastAsia="en-AU"/>
        </w:rPr>
        <w:t>(d)</w:t>
      </w:r>
      <w:r>
        <w:rPr>
          <w:lang w:val="en" w:eastAsia="en-AU"/>
        </w:rPr>
        <w:tab/>
      </w:r>
      <w:r w:rsidRPr="00F20A2A">
        <w:rPr>
          <w:lang w:val="en" w:eastAsia="en-AU"/>
        </w:rPr>
        <w:t>the effect of subsection (5A) and section 735A.</w:t>
      </w:r>
    </w:p>
    <w:p w14:paraId="2F3422A5" w14:textId="77777777" w:rsidR="00DB6E47" w:rsidRPr="003D139A" w:rsidRDefault="00DB6E47" w:rsidP="00DB6E47">
      <w:pPr>
        <w:pStyle w:val="Amain"/>
      </w:pPr>
      <w:r w:rsidRPr="003D139A">
        <w:tab/>
        <w:t>(3)</w:t>
      </w:r>
      <w:r w:rsidRPr="003D139A">
        <w:tab/>
        <w:t>A person of whom a requi</w:t>
      </w:r>
      <w:r w:rsidR="00561BDE">
        <w:t xml:space="preserve">rement is made under subsection </w:t>
      </w:r>
      <w:r w:rsidRPr="003D139A">
        <w:t>(1)</w:t>
      </w:r>
      <w:r w:rsidR="00561BDE">
        <w:t xml:space="preserve"> </w:t>
      </w:r>
      <w:r w:rsidRPr="003D139A">
        <w:t>must comply with the requirement, unless the person has a reasonable excuse.</w:t>
      </w:r>
    </w:p>
    <w:p w14:paraId="7E21CFBB" w14:textId="77777777" w:rsidR="00DB6E47" w:rsidRPr="006C3305" w:rsidRDefault="00DB6E47" w:rsidP="00DB6E47">
      <w:pPr>
        <w:pStyle w:val="Penalty"/>
      </w:pPr>
      <w:r w:rsidRPr="00D91CC2">
        <w:rPr>
          <w:rFonts w:cs="Times"/>
          <w:bCs/>
          <w:iCs/>
        </w:rPr>
        <w:t>Maximum penalty—$6000.</w:t>
      </w:r>
    </w:p>
    <w:p w14:paraId="722B372F" w14:textId="77777777" w:rsidR="00DB6E47" w:rsidRPr="003D139A" w:rsidRDefault="00DB6E47" w:rsidP="00DB6E47">
      <w:pPr>
        <w:pStyle w:val="Amain"/>
      </w:pPr>
      <w:r w:rsidRPr="003D139A">
        <w:tab/>
        <w:t>(4)</w:t>
      </w:r>
      <w:r w:rsidRPr="003D139A">
        <w:tab/>
        <w:t>Without limiting what may be a reasonable excuse for the purposes of subsection (3), in a proceeding for an offence of contravening a requirement under subsection (1), it is a defence for the person charged to prove that the person did not know, and could not be reasonably expected to know or ascertain, the required information.</w:t>
      </w:r>
    </w:p>
    <w:p w14:paraId="7EF108D2" w14:textId="77777777" w:rsidR="00DB6E47" w:rsidRPr="003D139A" w:rsidRDefault="00DB6E47" w:rsidP="000E08E8">
      <w:pPr>
        <w:pStyle w:val="Amain"/>
        <w:keepNext/>
        <w:keepLines/>
      </w:pPr>
      <w:r w:rsidRPr="003D139A">
        <w:lastRenderedPageBreak/>
        <w:tab/>
        <w:t>(5)</w:t>
      </w:r>
      <w:r w:rsidRPr="003D139A">
        <w:tab/>
        <w:t>It is not a reasonable excuse for a person to fail to comply with a re</w:t>
      </w:r>
      <w:r w:rsidR="00561BDE">
        <w:t xml:space="preserve">quirement made under subsection </w:t>
      </w:r>
      <w:r w:rsidRPr="003D139A">
        <w:t>(1)</w:t>
      </w:r>
      <w:r w:rsidR="00561BDE">
        <w:t xml:space="preserve"> </w:t>
      </w:r>
      <w:r w:rsidRPr="003D139A">
        <w:t>that complying with the requirement might tend to incriminate the person or make the person liable to a penalty.</w:t>
      </w:r>
    </w:p>
    <w:p w14:paraId="7FEC5F24" w14:textId="77777777" w:rsidR="00F20A2A" w:rsidRPr="00F20A2A" w:rsidRDefault="00F20A2A" w:rsidP="000E08E8">
      <w:pPr>
        <w:pStyle w:val="aNote"/>
        <w:keepNext/>
        <w:rPr>
          <w:lang w:val="en" w:eastAsia="en-AU"/>
        </w:rPr>
      </w:pPr>
      <w:r w:rsidRPr="00F20A2A">
        <w:rPr>
          <w:rStyle w:val="charItals"/>
        </w:rPr>
        <w:t>Note</w:t>
      </w:r>
      <w:r w:rsidRPr="00F20A2A">
        <w:rPr>
          <w:lang w:val="en" w:eastAsia="en-AU"/>
        </w:rPr>
        <w:t>—</w:t>
      </w:r>
    </w:p>
    <w:p w14:paraId="2A0AD5DA" w14:textId="77777777" w:rsidR="00F20A2A" w:rsidRPr="00F20A2A" w:rsidRDefault="00F20A2A" w:rsidP="00F20A2A">
      <w:pPr>
        <w:pStyle w:val="aNoteTextss"/>
        <w:rPr>
          <w:lang w:val="en" w:eastAsia="en-AU"/>
        </w:rPr>
      </w:pPr>
      <w:r w:rsidRPr="00F20A2A">
        <w:rPr>
          <w:lang w:val="en" w:eastAsia="en-AU"/>
        </w:rPr>
        <w:t>Section 587 also deals with self-incrimination when complying with a requirement of an authorised officer.</w:t>
      </w:r>
    </w:p>
    <w:p w14:paraId="7CBAC3B7" w14:textId="77777777" w:rsidR="00712B69" w:rsidRPr="00712B69" w:rsidRDefault="00712B69" w:rsidP="00712B69">
      <w:pPr>
        <w:pStyle w:val="Amain"/>
        <w:rPr>
          <w:lang w:val="en" w:eastAsia="en-AU"/>
        </w:rPr>
      </w:pPr>
      <w:r>
        <w:rPr>
          <w:lang w:val="en" w:eastAsia="en-AU"/>
        </w:rPr>
        <w:tab/>
      </w:r>
      <w:r w:rsidRPr="00712B69">
        <w:rPr>
          <w:lang w:val="en" w:eastAsia="en-AU"/>
        </w:rPr>
        <w:t>(5A)</w:t>
      </w:r>
      <w:r>
        <w:rPr>
          <w:lang w:val="en" w:eastAsia="en-AU"/>
        </w:rPr>
        <w:tab/>
      </w:r>
      <w:r w:rsidRPr="00712B69">
        <w:rPr>
          <w:lang w:val="en" w:eastAsia="en-AU"/>
        </w:rPr>
        <w:t>However, the following information is not admissible as evidence against an individual in a civil or criminal proceeding, other than a proceeding for false or misleading information—</w:t>
      </w:r>
    </w:p>
    <w:p w14:paraId="23F3342D" w14:textId="77777777" w:rsidR="00712B69" w:rsidRPr="00712B69" w:rsidRDefault="00712B69" w:rsidP="00712B69">
      <w:pPr>
        <w:pStyle w:val="Apara"/>
        <w:rPr>
          <w:lang w:val="en" w:eastAsia="en-AU"/>
        </w:rPr>
      </w:pPr>
      <w:r>
        <w:rPr>
          <w:lang w:val="en" w:eastAsia="en-AU"/>
        </w:rPr>
        <w:tab/>
      </w:r>
      <w:r w:rsidRPr="00712B69">
        <w:rPr>
          <w:lang w:val="en" w:eastAsia="en-AU"/>
        </w:rPr>
        <w:t>(a)</w:t>
      </w:r>
      <w:r>
        <w:rPr>
          <w:lang w:val="en" w:eastAsia="en-AU"/>
        </w:rPr>
        <w:tab/>
      </w:r>
      <w:r w:rsidRPr="00712B69">
        <w:rPr>
          <w:lang w:val="en" w:eastAsia="en-AU"/>
        </w:rPr>
        <w:t>information, other than information in the form of a document, that the individual gives in complying with a requirement under subsection (1)(c);</w:t>
      </w:r>
    </w:p>
    <w:p w14:paraId="44255D04" w14:textId="77777777" w:rsidR="00712B69" w:rsidRPr="00712B69" w:rsidRDefault="00712B69" w:rsidP="00712B69">
      <w:pPr>
        <w:pStyle w:val="Apara"/>
        <w:rPr>
          <w:lang w:val="en" w:eastAsia="en-AU"/>
        </w:rPr>
      </w:pPr>
      <w:r>
        <w:rPr>
          <w:lang w:val="en" w:eastAsia="en-AU"/>
        </w:rPr>
        <w:tab/>
      </w:r>
      <w:r w:rsidRPr="00712B69">
        <w:rPr>
          <w:lang w:val="en" w:eastAsia="en-AU"/>
        </w:rPr>
        <w:t>(b)</w:t>
      </w:r>
      <w:r>
        <w:rPr>
          <w:lang w:val="en" w:eastAsia="en-AU"/>
        </w:rPr>
        <w:tab/>
      </w:r>
      <w:r w:rsidRPr="00712B69">
        <w:rPr>
          <w:lang w:val="en" w:eastAsia="en-AU"/>
        </w:rPr>
        <w:t>information that is directly or indirectly derived from information to which paragraph (a) applies.</w:t>
      </w:r>
    </w:p>
    <w:p w14:paraId="686E44E8" w14:textId="77777777" w:rsidR="00712B69" w:rsidRPr="00712B69" w:rsidRDefault="00712B69" w:rsidP="00712B69">
      <w:pPr>
        <w:pStyle w:val="aNote"/>
        <w:rPr>
          <w:lang w:val="en" w:eastAsia="en-AU"/>
        </w:rPr>
      </w:pPr>
      <w:r w:rsidRPr="00712B69">
        <w:rPr>
          <w:rStyle w:val="charItals"/>
        </w:rPr>
        <w:t>Note</w:t>
      </w:r>
      <w:r w:rsidRPr="00712B69">
        <w:rPr>
          <w:lang w:val="en" w:eastAsia="en-AU"/>
        </w:rPr>
        <w:t>—</w:t>
      </w:r>
    </w:p>
    <w:p w14:paraId="69566C0B" w14:textId="77777777" w:rsidR="00712B69" w:rsidRPr="00712B69" w:rsidRDefault="00712B69" w:rsidP="00712B69">
      <w:pPr>
        <w:pStyle w:val="aNoteTextss"/>
        <w:rPr>
          <w:lang w:val="en" w:eastAsia="en-AU"/>
        </w:rPr>
      </w:pPr>
      <w:r w:rsidRPr="00712B69">
        <w:rPr>
          <w:lang w:val="en" w:eastAsia="en-AU"/>
        </w:rPr>
        <w:t>Section 588 deals with the admissibility of information provided in complying with a requirement under subsection (1)(a) and (b).</w:t>
      </w:r>
    </w:p>
    <w:p w14:paraId="337BD430" w14:textId="77777777" w:rsidR="00DB6E47" w:rsidRPr="003D139A" w:rsidRDefault="00DB6E47" w:rsidP="00DB6E47">
      <w:pPr>
        <w:pStyle w:val="Amain"/>
      </w:pPr>
      <w:r w:rsidRPr="003D139A">
        <w:tab/>
        <w:t>(6)</w:t>
      </w:r>
      <w:r w:rsidRPr="003D139A">
        <w:tab/>
        <w:t>In this section—</w:t>
      </w:r>
    </w:p>
    <w:p w14:paraId="30880862" w14:textId="77777777" w:rsidR="00DB6E47" w:rsidRPr="00041046" w:rsidRDefault="00DB6E47" w:rsidP="00DB6E47">
      <w:pPr>
        <w:pStyle w:val="aDef"/>
        <w:rPr>
          <w:bCs/>
        </w:rPr>
      </w:pPr>
      <w:r w:rsidRPr="00041046">
        <w:rPr>
          <w:rStyle w:val="charBoldItals"/>
        </w:rPr>
        <w:t>personal details</w:t>
      </w:r>
      <w:r w:rsidRPr="00041046">
        <w:t>, about a responsible person, means—</w:t>
      </w:r>
    </w:p>
    <w:p w14:paraId="6DB6745C" w14:textId="77777777" w:rsidR="00DB6E47" w:rsidRPr="009C5297" w:rsidRDefault="00DB6E47" w:rsidP="00DB6E47">
      <w:pPr>
        <w:pStyle w:val="aDefpara"/>
      </w:pPr>
      <w:r w:rsidRPr="00FF4454">
        <w:tab/>
      </w:r>
      <w:r w:rsidRPr="00F04D8E">
        <w:rPr>
          <w:rFonts w:cs="Times"/>
          <w:bCs/>
          <w:iCs/>
        </w:rPr>
        <w:t>(a)</w:t>
      </w:r>
      <w:r w:rsidRPr="00FF4454">
        <w:rPr>
          <w:rStyle w:val="charBoldItals"/>
        </w:rPr>
        <w:tab/>
      </w:r>
      <w:r w:rsidRPr="009C5297">
        <w:t>the person’s name; or</w:t>
      </w:r>
    </w:p>
    <w:p w14:paraId="0B9AE8AF" w14:textId="77777777" w:rsidR="00DB6E47" w:rsidRPr="009C5297" w:rsidRDefault="00DB6E47" w:rsidP="00DB6E47">
      <w:pPr>
        <w:pStyle w:val="aDefpara"/>
      </w:pPr>
      <w:r w:rsidRPr="009C5297">
        <w:tab/>
        <w:t>(b)</w:t>
      </w:r>
      <w:r w:rsidRPr="009C5297">
        <w:tab/>
        <w:t>the person’s residential address or business address.</w:t>
      </w:r>
    </w:p>
    <w:p w14:paraId="50DD2D68" w14:textId="77777777" w:rsidR="00DB6E47" w:rsidRPr="00041046" w:rsidRDefault="00DB6E47" w:rsidP="00DB6E47">
      <w:pPr>
        <w:pStyle w:val="aDef"/>
        <w:rPr>
          <w:bCs/>
        </w:rPr>
      </w:pPr>
      <w:r w:rsidRPr="00041046">
        <w:rPr>
          <w:rStyle w:val="charBoldItals"/>
        </w:rPr>
        <w:t>responsible person</w:t>
      </w:r>
      <w:r w:rsidRPr="00041046">
        <w:t>, for a heavy vehicle, for the exercise of a power under this section in relation to a speeding offence, does not include—</w:t>
      </w:r>
    </w:p>
    <w:p w14:paraId="5023D296" w14:textId="77777777" w:rsidR="00DB6E47" w:rsidRPr="009C5297" w:rsidRDefault="00DB6E47" w:rsidP="00DB6E47">
      <w:pPr>
        <w:pStyle w:val="aDefpara"/>
      </w:pPr>
      <w:r w:rsidRPr="00FF4454">
        <w:tab/>
      </w:r>
      <w:r w:rsidRPr="00F04D8E">
        <w:rPr>
          <w:rFonts w:cs="Times"/>
          <w:bCs/>
          <w:iCs/>
        </w:rPr>
        <w:t>(a)</w:t>
      </w:r>
      <w:r w:rsidRPr="00FF4454">
        <w:rPr>
          <w:rStyle w:val="charBoldItals"/>
        </w:rPr>
        <w:tab/>
      </w:r>
      <w:r w:rsidRPr="009C5297">
        <w:t>a person mentioned in section 5, definition responsible person, paragraph (i), (j)</w:t>
      </w:r>
      <w:r w:rsidR="009C5297">
        <w:t xml:space="preserve">, </w:t>
      </w:r>
      <w:r w:rsidRPr="009C5297">
        <w:t>(k)</w:t>
      </w:r>
      <w:r w:rsidR="009C5297">
        <w:t xml:space="preserve"> </w:t>
      </w:r>
      <w:r w:rsidRPr="009C5297">
        <w:t>or (n); or</w:t>
      </w:r>
    </w:p>
    <w:p w14:paraId="09529C3D" w14:textId="77777777" w:rsidR="00DB6E47" w:rsidRPr="00C96203" w:rsidRDefault="00DB6E47" w:rsidP="00DB6E47">
      <w:pPr>
        <w:pStyle w:val="aNote"/>
      </w:pPr>
      <w:r w:rsidRPr="00FF4454">
        <w:rPr>
          <w:rStyle w:val="charItals"/>
        </w:rPr>
        <w:t>Note</w:t>
      </w:r>
      <w:r w:rsidRPr="00C96203">
        <w:rPr>
          <w:rFonts w:cs="Times"/>
          <w:bCs/>
          <w:iCs/>
        </w:rPr>
        <w:t>—</w:t>
      </w:r>
    </w:p>
    <w:p w14:paraId="4140782C" w14:textId="77777777" w:rsidR="00DB6E47" w:rsidRPr="00C96203" w:rsidRDefault="00DB6E47" w:rsidP="00DB6E47">
      <w:pPr>
        <w:pStyle w:val="aNoteTextss"/>
      </w:pPr>
      <w:r w:rsidRPr="00C96203">
        <w:t>Those paragraphs deal with persons who pack, load or unload goods or containers, and owners and operators etc. of weighbridges or weighbridge facilities.</w:t>
      </w:r>
    </w:p>
    <w:p w14:paraId="614F09AC" w14:textId="77777777" w:rsidR="00DB6E47" w:rsidRPr="009C5297" w:rsidRDefault="00DB6E47" w:rsidP="00DB6E47">
      <w:pPr>
        <w:pStyle w:val="aDefpara"/>
      </w:pPr>
      <w:r w:rsidRPr="00FF4454">
        <w:lastRenderedPageBreak/>
        <w:tab/>
      </w:r>
      <w:r w:rsidRPr="00F04D8E">
        <w:rPr>
          <w:rFonts w:cs="Times"/>
          <w:bCs/>
          <w:iCs/>
        </w:rPr>
        <w:t>(b)</w:t>
      </w:r>
      <w:r w:rsidRPr="00FF4454">
        <w:rPr>
          <w:rStyle w:val="charBoldItals"/>
        </w:rPr>
        <w:tab/>
      </w:r>
      <w:r w:rsidRPr="009C5297">
        <w:t>an employer, employee, agent or subcontractor of that person.</w:t>
      </w:r>
    </w:p>
    <w:p w14:paraId="3032F596" w14:textId="77777777" w:rsidR="00DB6E47" w:rsidRPr="00041046" w:rsidRDefault="00DB6E47" w:rsidP="00DB6E47">
      <w:pPr>
        <w:pStyle w:val="aDef"/>
        <w:rPr>
          <w:bCs/>
        </w:rPr>
      </w:pPr>
      <w:r w:rsidRPr="00041046">
        <w:rPr>
          <w:rStyle w:val="charBoldItals"/>
        </w:rPr>
        <w:t>speeding offence</w:t>
      </w:r>
      <w:r w:rsidRPr="00041046">
        <w:t xml:space="preserve"> means an offence committed by the driver of a heavy vehicle because the driver exceeded a speed limit applying to the driver.</w:t>
      </w:r>
    </w:p>
    <w:p w14:paraId="2E0436C3" w14:textId="77777777" w:rsidR="00E7379C" w:rsidRPr="00E7379C" w:rsidRDefault="00E7379C" w:rsidP="00E7379C">
      <w:pPr>
        <w:pStyle w:val="AH5Sec"/>
        <w:rPr>
          <w:lang w:val="en" w:eastAsia="en-AU"/>
        </w:rPr>
      </w:pPr>
      <w:bookmarkStart w:id="685" w:name="_Toc83626029"/>
      <w:r w:rsidRPr="005E03F7">
        <w:rPr>
          <w:rStyle w:val="CharSectNo"/>
        </w:rPr>
        <w:t>570A</w:t>
      </w:r>
      <w:r>
        <w:rPr>
          <w:lang w:val="en" w:eastAsia="en-AU"/>
        </w:rPr>
        <w:tab/>
      </w:r>
      <w:r w:rsidRPr="00E7379C">
        <w:rPr>
          <w:lang w:val="en" w:eastAsia="en-AU"/>
        </w:rPr>
        <w:t>Requiring information</w:t>
      </w:r>
      <w:bookmarkEnd w:id="685"/>
    </w:p>
    <w:p w14:paraId="72B5A450" w14:textId="77777777" w:rsidR="00712B69" w:rsidRPr="00712B69" w:rsidRDefault="00712B69" w:rsidP="00712B69">
      <w:pPr>
        <w:pStyle w:val="Amain"/>
        <w:rPr>
          <w:lang w:val="en" w:eastAsia="en-AU"/>
        </w:rPr>
      </w:pPr>
      <w:r>
        <w:rPr>
          <w:lang w:val="en" w:eastAsia="en-AU"/>
        </w:rPr>
        <w:tab/>
      </w:r>
      <w:r w:rsidRPr="00712B69">
        <w:rPr>
          <w:lang w:val="en" w:eastAsia="en-AU"/>
        </w:rPr>
        <w:t>(1)</w:t>
      </w:r>
      <w:r>
        <w:rPr>
          <w:lang w:val="en" w:eastAsia="en-AU"/>
        </w:rPr>
        <w:tab/>
      </w:r>
      <w:r w:rsidRPr="00712B69">
        <w:rPr>
          <w:lang w:val="en" w:eastAsia="en-AU"/>
        </w:rPr>
        <w:t>This section applies if an authorised officer reasonably believes that a person is capable of giving information, providing documents or giving evidence—</w:t>
      </w:r>
    </w:p>
    <w:p w14:paraId="3D6D8A39" w14:textId="77777777" w:rsidR="00712B69" w:rsidRPr="00712B69" w:rsidRDefault="00712B69" w:rsidP="00712B69">
      <w:pPr>
        <w:pStyle w:val="Apara"/>
        <w:rPr>
          <w:lang w:val="en" w:eastAsia="en-AU"/>
        </w:rPr>
      </w:pPr>
      <w:r>
        <w:rPr>
          <w:lang w:val="en" w:eastAsia="en-AU"/>
        </w:rPr>
        <w:tab/>
      </w:r>
      <w:r w:rsidRPr="00712B69">
        <w:rPr>
          <w:lang w:val="en" w:eastAsia="en-AU"/>
        </w:rPr>
        <w:t>(a)</w:t>
      </w:r>
      <w:r>
        <w:rPr>
          <w:lang w:val="en" w:eastAsia="en-AU"/>
        </w:rPr>
        <w:tab/>
      </w:r>
      <w:r w:rsidRPr="00712B69">
        <w:rPr>
          <w:lang w:val="en" w:eastAsia="en-AU"/>
        </w:rPr>
        <w:t>in relation to a possible contravention of—</w:t>
      </w:r>
    </w:p>
    <w:p w14:paraId="2E5C7B9C" w14:textId="77777777" w:rsidR="00712B69" w:rsidRPr="00712B69" w:rsidRDefault="00712B69" w:rsidP="00712B69">
      <w:pPr>
        <w:pStyle w:val="Asubpara"/>
        <w:rPr>
          <w:lang w:val="en" w:eastAsia="en-AU"/>
        </w:rPr>
      </w:pPr>
      <w:r>
        <w:rPr>
          <w:lang w:val="en" w:eastAsia="en-AU"/>
        </w:rPr>
        <w:tab/>
      </w:r>
      <w:r w:rsidRPr="00712B69">
        <w:rPr>
          <w:lang w:val="en" w:eastAsia="en-AU"/>
        </w:rPr>
        <w:t>(i)</w:t>
      </w:r>
      <w:r>
        <w:rPr>
          <w:lang w:val="en" w:eastAsia="en-AU"/>
        </w:rPr>
        <w:tab/>
      </w:r>
      <w:r w:rsidRPr="00712B69">
        <w:rPr>
          <w:lang w:val="en" w:eastAsia="en-AU"/>
        </w:rPr>
        <w:t>a safety duty; or</w:t>
      </w:r>
    </w:p>
    <w:p w14:paraId="2CFECD6A" w14:textId="77777777" w:rsidR="00712B69" w:rsidRPr="00712B69" w:rsidRDefault="00712B69" w:rsidP="00712B69">
      <w:pPr>
        <w:pStyle w:val="Asubpara"/>
        <w:rPr>
          <w:lang w:val="en" w:eastAsia="en-AU"/>
        </w:rPr>
      </w:pPr>
      <w:r>
        <w:rPr>
          <w:lang w:val="en" w:eastAsia="en-AU"/>
        </w:rPr>
        <w:tab/>
      </w:r>
      <w:r w:rsidRPr="00712B69">
        <w:rPr>
          <w:lang w:val="en" w:eastAsia="en-AU"/>
        </w:rPr>
        <w:t>(ii)</w:t>
      </w:r>
      <w:r>
        <w:rPr>
          <w:lang w:val="en" w:eastAsia="en-AU"/>
        </w:rPr>
        <w:tab/>
      </w:r>
      <w:r w:rsidRPr="00712B69">
        <w:rPr>
          <w:lang w:val="en" w:eastAsia="en-AU"/>
        </w:rPr>
        <w:t>a duty of an executive under section 26D; or</w:t>
      </w:r>
    </w:p>
    <w:p w14:paraId="461B28C2" w14:textId="77777777" w:rsidR="00712B69" w:rsidRPr="00712B69" w:rsidRDefault="00712B69" w:rsidP="00712B69">
      <w:pPr>
        <w:pStyle w:val="Apara"/>
        <w:rPr>
          <w:lang w:val="en" w:eastAsia="en-AU"/>
        </w:rPr>
      </w:pPr>
      <w:r>
        <w:rPr>
          <w:lang w:val="en" w:eastAsia="en-AU"/>
        </w:rPr>
        <w:tab/>
      </w:r>
      <w:r w:rsidRPr="00712B69">
        <w:rPr>
          <w:lang w:val="en" w:eastAsia="en-AU"/>
        </w:rPr>
        <w:t>(b)</w:t>
      </w:r>
      <w:r>
        <w:rPr>
          <w:lang w:val="en" w:eastAsia="en-AU"/>
        </w:rPr>
        <w:tab/>
      </w:r>
      <w:r w:rsidRPr="00712B69">
        <w:rPr>
          <w:lang w:val="en" w:eastAsia="en-AU"/>
        </w:rPr>
        <w:t>that will assist the authorised officer to monitor or enforce compliance with—</w:t>
      </w:r>
    </w:p>
    <w:p w14:paraId="1AF77EBC" w14:textId="77777777" w:rsidR="00712B69" w:rsidRPr="00712B69" w:rsidRDefault="00712B69" w:rsidP="00712B69">
      <w:pPr>
        <w:pStyle w:val="Asubpara"/>
        <w:rPr>
          <w:lang w:val="en" w:eastAsia="en-AU"/>
        </w:rPr>
      </w:pPr>
      <w:r>
        <w:rPr>
          <w:lang w:val="en" w:eastAsia="en-AU"/>
        </w:rPr>
        <w:tab/>
      </w:r>
      <w:r w:rsidRPr="00712B69">
        <w:rPr>
          <w:lang w:val="en" w:eastAsia="en-AU"/>
        </w:rPr>
        <w:t>(i)</w:t>
      </w:r>
      <w:r>
        <w:rPr>
          <w:lang w:val="en" w:eastAsia="en-AU"/>
        </w:rPr>
        <w:tab/>
      </w:r>
      <w:r w:rsidRPr="00712B69">
        <w:rPr>
          <w:lang w:val="en" w:eastAsia="en-AU"/>
        </w:rPr>
        <w:t>a safety duty; or</w:t>
      </w:r>
    </w:p>
    <w:p w14:paraId="23C5A720" w14:textId="77777777" w:rsidR="00712B69" w:rsidRPr="00712B69" w:rsidRDefault="00712B69" w:rsidP="00712B69">
      <w:pPr>
        <w:pStyle w:val="Asubpara"/>
        <w:rPr>
          <w:lang w:val="en" w:eastAsia="en-AU"/>
        </w:rPr>
      </w:pPr>
      <w:r>
        <w:rPr>
          <w:lang w:val="en" w:eastAsia="en-AU"/>
        </w:rPr>
        <w:tab/>
      </w:r>
      <w:r w:rsidRPr="00712B69">
        <w:rPr>
          <w:lang w:val="en" w:eastAsia="en-AU"/>
        </w:rPr>
        <w:t>(ii)</w:t>
      </w:r>
      <w:r>
        <w:rPr>
          <w:lang w:val="en" w:eastAsia="en-AU"/>
        </w:rPr>
        <w:tab/>
      </w:r>
      <w:r w:rsidRPr="00712B69">
        <w:rPr>
          <w:lang w:val="en" w:eastAsia="en-AU"/>
        </w:rPr>
        <w:t>a duty of an executive under section 26D.</w:t>
      </w:r>
    </w:p>
    <w:p w14:paraId="70A92C45" w14:textId="77777777" w:rsidR="00712B69" w:rsidRPr="00712B69" w:rsidRDefault="00712B69" w:rsidP="00712B69">
      <w:pPr>
        <w:pStyle w:val="aNote"/>
        <w:rPr>
          <w:lang w:val="en" w:eastAsia="en-AU"/>
        </w:rPr>
      </w:pPr>
      <w:r w:rsidRPr="00712B69">
        <w:rPr>
          <w:rStyle w:val="charItals"/>
        </w:rPr>
        <w:t>Note</w:t>
      </w:r>
      <w:r w:rsidRPr="00712B69">
        <w:rPr>
          <w:lang w:val="en" w:eastAsia="en-AU"/>
        </w:rPr>
        <w:t>—</w:t>
      </w:r>
    </w:p>
    <w:p w14:paraId="2514555E" w14:textId="77777777" w:rsidR="00712B69" w:rsidRPr="00712B69" w:rsidRDefault="00712B69" w:rsidP="00712B69">
      <w:pPr>
        <w:pStyle w:val="aNoteTextss"/>
        <w:rPr>
          <w:lang w:val="en" w:eastAsia="en-AU"/>
        </w:rPr>
      </w:pPr>
      <w:r w:rsidRPr="00712B69">
        <w:rPr>
          <w:lang w:val="en" w:eastAsia="en-AU"/>
        </w:rPr>
        <w:t>Section 17 of Schedule 1 and section 490 deal with the production of documents and other information kept electronically.</w:t>
      </w:r>
    </w:p>
    <w:p w14:paraId="181BCC32" w14:textId="77777777" w:rsidR="00712B69" w:rsidRPr="00712B69" w:rsidRDefault="00712B69" w:rsidP="00712B69">
      <w:pPr>
        <w:pStyle w:val="Amain"/>
        <w:rPr>
          <w:lang w:val="en" w:eastAsia="en-AU"/>
        </w:rPr>
      </w:pPr>
      <w:r>
        <w:rPr>
          <w:lang w:val="en" w:eastAsia="en-AU"/>
        </w:rPr>
        <w:tab/>
      </w:r>
      <w:r w:rsidRPr="00712B69">
        <w:rPr>
          <w:lang w:val="en" w:eastAsia="en-AU"/>
        </w:rPr>
        <w:t>(2)</w:t>
      </w:r>
      <w:r>
        <w:rPr>
          <w:lang w:val="en" w:eastAsia="en-AU"/>
        </w:rPr>
        <w:tab/>
      </w:r>
      <w:r w:rsidRPr="00712B69">
        <w:rPr>
          <w:lang w:val="en" w:eastAsia="en-AU"/>
        </w:rPr>
        <w:t>The authorised officer may, by notice, require the person to give the information, documents or evidence to the authorised officer.</w:t>
      </w:r>
    </w:p>
    <w:p w14:paraId="7D7553DB" w14:textId="77777777" w:rsidR="00712B69" w:rsidRPr="00712B69" w:rsidRDefault="00712B69" w:rsidP="00712B69">
      <w:pPr>
        <w:pStyle w:val="Amain"/>
        <w:rPr>
          <w:lang w:val="en" w:eastAsia="en-AU"/>
        </w:rPr>
      </w:pPr>
      <w:r>
        <w:rPr>
          <w:lang w:val="en" w:eastAsia="en-AU"/>
        </w:rPr>
        <w:tab/>
      </w:r>
      <w:r w:rsidRPr="00712B69">
        <w:rPr>
          <w:lang w:val="en" w:eastAsia="en-AU"/>
        </w:rPr>
        <w:t>(3)</w:t>
      </w:r>
      <w:r>
        <w:rPr>
          <w:lang w:val="en" w:eastAsia="en-AU"/>
        </w:rPr>
        <w:tab/>
      </w:r>
      <w:r w:rsidRPr="00712B69">
        <w:rPr>
          <w:lang w:val="en" w:eastAsia="en-AU"/>
        </w:rPr>
        <w:t>If the authorised officer, despite reasonable diligence, has not been able to obtain the information, documents or evidence under subsection (2), the authorised officer may, by notice given to the person, require the person to do either or both of the following—</w:t>
      </w:r>
    </w:p>
    <w:p w14:paraId="191EF385" w14:textId="77777777" w:rsidR="00712B69" w:rsidRPr="00712B69" w:rsidRDefault="00712B69" w:rsidP="00712B69">
      <w:pPr>
        <w:pStyle w:val="Apara"/>
        <w:rPr>
          <w:lang w:val="en" w:eastAsia="en-AU"/>
        </w:rPr>
      </w:pPr>
      <w:r>
        <w:rPr>
          <w:lang w:val="en" w:eastAsia="en-AU"/>
        </w:rPr>
        <w:tab/>
      </w:r>
      <w:r w:rsidRPr="00712B69">
        <w:rPr>
          <w:lang w:val="en" w:eastAsia="en-AU"/>
        </w:rPr>
        <w:t>(a)</w:t>
      </w:r>
      <w:r>
        <w:rPr>
          <w:lang w:val="en" w:eastAsia="en-AU"/>
        </w:rPr>
        <w:tab/>
      </w:r>
      <w:r w:rsidRPr="00712B69">
        <w:rPr>
          <w:lang w:val="en" w:eastAsia="en-AU"/>
        </w:rPr>
        <w:t>give information or produce documents to the authorised officer within the time and in the way stated in the notice;</w:t>
      </w:r>
    </w:p>
    <w:p w14:paraId="5370EBA3" w14:textId="77777777" w:rsidR="00712B69" w:rsidRPr="00712B69" w:rsidRDefault="00712B69" w:rsidP="00712B69">
      <w:pPr>
        <w:pStyle w:val="Apara"/>
        <w:rPr>
          <w:lang w:val="en" w:eastAsia="en-AU"/>
        </w:rPr>
      </w:pPr>
      <w:r>
        <w:rPr>
          <w:lang w:val="en" w:eastAsia="en-AU"/>
        </w:rPr>
        <w:lastRenderedPageBreak/>
        <w:tab/>
      </w:r>
      <w:r w:rsidRPr="00712B69">
        <w:rPr>
          <w:lang w:val="en" w:eastAsia="en-AU"/>
        </w:rPr>
        <w:t>(b)</w:t>
      </w:r>
      <w:r>
        <w:rPr>
          <w:lang w:val="en" w:eastAsia="en-AU"/>
        </w:rPr>
        <w:tab/>
      </w:r>
      <w:r w:rsidRPr="00712B69">
        <w:rPr>
          <w:lang w:val="en" w:eastAsia="en-AU"/>
        </w:rPr>
        <w:t>appear before a person appointed by the authorised officer on a day, and at a time and place, stated in the notice and give oral evidence.</w:t>
      </w:r>
    </w:p>
    <w:p w14:paraId="2E0CC081" w14:textId="77777777" w:rsidR="00712B69" w:rsidRPr="00712B69" w:rsidRDefault="004C773F" w:rsidP="004C773F">
      <w:pPr>
        <w:pStyle w:val="Amain"/>
        <w:rPr>
          <w:lang w:val="en" w:eastAsia="en-AU"/>
        </w:rPr>
      </w:pPr>
      <w:r>
        <w:rPr>
          <w:lang w:val="en" w:eastAsia="en-AU"/>
        </w:rPr>
        <w:tab/>
      </w:r>
      <w:r w:rsidR="00712B69" w:rsidRPr="00712B69">
        <w:rPr>
          <w:lang w:val="en" w:eastAsia="en-AU"/>
        </w:rPr>
        <w:t>(4)</w:t>
      </w:r>
      <w:r>
        <w:rPr>
          <w:lang w:val="en" w:eastAsia="en-AU"/>
        </w:rPr>
        <w:tab/>
      </w:r>
      <w:r w:rsidR="00712B69" w:rsidRPr="00712B69">
        <w:rPr>
          <w:lang w:val="en" w:eastAsia="en-AU"/>
        </w:rPr>
        <w:t>The notice must state—</w:t>
      </w:r>
    </w:p>
    <w:p w14:paraId="3A41EB1B" w14:textId="77777777" w:rsidR="00712B69" w:rsidRPr="00712B69" w:rsidRDefault="004C773F" w:rsidP="004C773F">
      <w:pPr>
        <w:pStyle w:val="Apara"/>
        <w:rPr>
          <w:lang w:val="en" w:eastAsia="en-AU"/>
        </w:rPr>
      </w:pPr>
      <w:r>
        <w:rPr>
          <w:lang w:val="en" w:eastAsia="en-AU"/>
        </w:rPr>
        <w:tab/>
      </w:r>
      <w:r w:rsidR="00712B69" w:rsidRPr="00712B69">
        <w:rPr>
          <w:lang w:val="en" w:eastAsia="en-AU"/>
        </w:rPr>
        <w:t>(a)</w:t>
      </w:r>
      <w:r>
        <w:rPr>
          <w:lang w:val="en" w:eastAsia="en-AU"/>
        </w:rPr>
        <w:tab/>
      </w:r>
      <w:r w:rsidR="00712B69" w:rsidRPr="00712B69">
        <w:rPr>
          <w:lang w:val="en" w:eastAsia="en-AU"/>
        </w:rPr>
        <w:t>that—</w:t>
      </w:r>
    </w:p>
    <w:p w14:paraId="0DE54746" w14:textId="77777777" w:rsidR="00712B69" w:rsidRPr="00712B69" w:rsidRDefault="004C773F" w:rsidP="004C773F">
      <w:pPr>
        <w:pStyle w:val="Asubpara"/>
        <w:rPr>
          <w:lang w:val="en" w:eastAsia="en-AU"/>
        </w:rPr>
      </w:pPr>
      <w:r>
        <w:rPr>
          <w:lang w:val="en" w:eastAsia="en-AU"/>
        </w:rPr>
        <w:tab/>
      </w:r>
      <w:r w:rsidR="00712B69" w:rsidRPr="00712B69">
        <w:rPr>
          <w:lang w:val="en" w:eastAsia="en-AU"/>
        </w:rPr>
        <w:t>(i)</w:t>
      </w:r>
      <w:r>
        <w:rPr>
          <w:lang w:val="en" w:eastAsia="en-AU"/>
        </w:rPr>
        <w:tab/>
      </w:r>
      <w:r w:rsidR="00712B69" w:rsidRPr="00712B69">
        <w:rPr>
          <w:lang w:val="en" w:eastAsia="en-AU"/>
        </w:rPr>
        <w:t>the requirement is made under this section; and</w:t>
      </w:r>
    </w:p>
    <w:p w14:paraId="2FEC0174" w14:textId="77777777" w:rsidR="00712B69" w:rsidRPr="00712B69" w:rsidRDefault="004C773F" w:rsidP="004C773F">
      <w:pPr>
        <w:pStyle w:val="Asubpara"/>
        <w:rPr>
          <w:lang w:val="en" w:eastAsia="en-AU"/>
        </w:rPr>
      </w:pPr>
      <w:r>
        <w:rPr>
          <w:lang w:val="en" w:eastAsia="en-AU"/>
        </w:rPr>
        <w:tab/>
      </w:r>
      <w:r w:rsidR="00712B69" w:rsidRPr="00712B69">
        <w:rPr>
          <w:lang w:val="en" w:eastAsia="en-AU"/>
        </w:rPr>
        <w:t>(ii)</w:t>
      </w:r>
      <w:r>
        <w:rPr>
          <w:lang w:val="en" w:eastAsia="en-AU"/>
        </w:rPr>
        <w:tab/>
      </w:r>
      <w:r w:rsidR="00712B69" w:rsidRPr="00712B69">
        <w:rPr>
          <w:lang w:val="en" w:eastAsia="en-AU"/>
        </w:rPr>
        <w:t>failing to comply with the requirement is an offence; and</w:t>
      </w:r>
    </w:p>
    <w:p w14:paraId="0C007B63" w14:textId="77777777" w:rsidR="00712B69" w:rsidRPr="00712B69" w:rsidRDefault="004C773F" w:rsidP="004C773F">
      <w:pPr>
        <w:pStyle w:val="Apara"/>
        <w:rPr>
          <w:lang w:val="en" w:eastAsia="en-AU"/>
        </w:rPr>
      </w:pPr>
      <w:r>
        <w:rPr>
          <w:lang w:val="en" w:eastAsia="en-AU"/>
        </w:rPr>
        <w:tab/>
      </w:r>
      <w:r w:rsidR="00712B69" w:rsidRPr="00712B69">
        <w:rPr>
          <w:lang w:val="en" w:eastAsia="en-AU"/>
        </w:rPr>
        <w:t>(b)</w:t>
      </w:r>
      <w:r>
        <w:rPr>
          <w:lang w:val="en" w:eastAsia="en-AU"/>
        </w:rPr>
        <w:tab/>
      </w:r>
      <w:r w:rsidR="00712B69" w:rsidRPr="00712B69">
        <w:rPr>
          <w:lang w:val="en" w:eastAsia="en-AU"/>
        </w:rPr>
        <w:t>if the notice requires the person to give information or produce documents to the authorised officer—the time and way, that is reasonable in the circumstances, in which the person must give the information or documents; and</w:t>
      </w:r>
    </w:p>
    <w:p w14:paraId="098A39F1" w14:textId="77777777" w:rsidR="00712B69" w:rsidRPr="00712B69" w:rsidRDefault="004C773F" w:rsidP="004C773F">
      <w:pPr>
        <w:pStyle w:val="Apara"/>
        <w:rPr>
          <w:lang w:val="en" w:eastAsia="en-AU"/>
        </w:rPr>
      </w:pPr>
      <w:r>
        <w:rPr>
          <w:lang w:val="en" w:eastAsia="en-AU"/>
        </w:rPr>
        <w:tab/>
      </w:r>
      <w:r w:rsidR="00712B69" w:rsidRPr="00712B69">
        <w:rPr>
          <w:lang w:val="en" w:eastAsia="en-AU"/>
        </w:rPr>
        <w:t>(c)</w:t>
      </w:r>
      <w:r>
        <w:rPr>
          <w:lang w:val="en" w:eastAsia="en-AU"/>
        </w:rPr>
        <w:tab/>
      </w:r>
      <w:r w:rsidR="00712B69" w:rsidRPr="00712B69">
        <w:rPr>
          <w:lang w:val="en" w:eastAsia="en-AU"/>
        </w:rPr>
        <w:t>if the notice requires the person to give oral evidence—</w:t>
      </w:r>
    </w:p>
    <w:p w14:paraId="16DD9624" w14:textId="77777777" w:rsidR="00712B69" w:rsidRPr="00712B69" w:rsidRDefault="004C773F" w:rsidP="004C773F">
      <w:pPr>
        <w:pStyle w:val="Asubpara"/>
        <w:rPr>
          <w:lang w:val="en" w:eastAsia="en-AU"/>
        </w:rPr>
      </w:pPr>
      <w:r>
        <w:rPr>
          <w:lang w:val="en" w:eastAsia="en-AU"/>
        </w:rPr>
        <w:tab/>
      </w:r>
      <w:r w:rsidR="00712B69" w:rsidRPr="00712B69">
        <w:rPr>
          <w:lang w:val="en" w:eastAsia="en-AU"/>
        </w:rPr>
        <w:t>(i)</w:t>
      </w:r>
      <w:r>
        <w:rPr>
          <w:lang w:val="en" w:eastAsia="en-AU"/>
        </w:rPr>
        <w:tab/>
      </w:r>
      <w:r w:rsidR="00712B69" w:rsidRPr="00712B69">
        <w:rPr>
          <w:lang w:val="en" w:eastAsia="en-AU"/>
        </w:rPr>
        <w:t>the day, time and place, that is reasonable in the circumstances, for the person to appear before the person appointed by the authorised officer; and</w:t>
      </w:r>
    </w:p>
    <w:p w14:paraId="4DD59069" w14:textId="77777777" w:rsidR="00712B69" w:rsidRPr="00712B69" w:rsidRDefault="004C773F" w:rsidP="004C773F">
      <w:pPr>
        <w:pStyle w:val="Asubpara"/>
        <w:rPr>
          <w:lang w:val="en" w:eastAsia="en-AU"/>
        </w:rPr>
      </w:pPr>
      <w:r>
        <w:rPr>
          <w:lang w:val="en" w:eastAsia="en-AU"/>
        </w:rPr>
        <w:tab/>
      </w:r>
      <w:r w:rsidR="00712B69" w:rsidRPr="00712B69">
        <w:rPr>
          <w:lang w:val="en" w:eastAsia="en-AU"/>
        </w:rPr>
        <w:t>(ii)</w:t>
      </w:r>
      <w:r>
        <w:rPr>
          <w:lang w:val="en" w:eastAsia="en-AU"/>
        </w:rPr>
        <w:tab/>
      </w:r>
      <w:r w:rsidR="00712B69" w:rsidRPr="00712B69">
        <w:rPr>
          <w:lang w:val="en" w:eastAsia="en-AU"/>
        </w:rPr>
        <w:t>that the person may appear with an Australian legal practitioner; and</w:t>
      </w:r>
    </w:p>
    <w:p w14:paraId="1511E1DE" w14:textId="77777777" w:rsidR="00712B69" w:rsidRPr="00712B69" w:rsidRDefault="004C773F" w:rsidP="004C773F">
      <w:pPr>
        <w:pStyle w:val="Apara"/>
        <w:rPr>
          <w:lang w:val="en" w:eastAsia="en-AU"/>
        </w:rPr>
      </w:pPr>
      <w:r>
        <w:rPr>
          <w:lang w:val="en" w:eastAsia="en-AU"/>
        </w:rPr>
        <w:tab/>
      </w:r>
      <w:r w:rsidR="00712B69" w:rsidRPr="00712B69">
        <w:rPr>
          <w:lang w:val="en" w:eastAsia="en-AU"/>
        </w:rPr>
        <w:t>(d)</w:t>
      </w:r>
      <w:r>
        <w:rPr>
          <w:lang w:val="en" w:eastAsia="en-AU"/>
        </w:rPr>
        <w:tab/>
      </w:r>
      <w:r w:rsidR="00712B69" w:rsidRPr="00712B69">
        <w:rPr>
          <w:lang w:val="en" w:eastAsia="en-AU"/>
        </w:rPr>
        <w:t>the effect of—</w:t>
      </w:r>
    </w:p>
    <w:p w14:paraId="6A12AD54" w14:textId="77777777" w:rsidR="00712B69" w:rsidRPr="00712B69" w:rsidRDefault="004C773F" w:rsidP="004C773F">
      <w:pPr>
        <w:pStyle w:val="Asubpara"/>
        <w:rPr>
          <w:lang w:val="en" w:eastAsia="en-AU"/>
        </w:rPr>
      </w:pPr>
      <w:r>
        <w:rPr>
          <w:lang w:val="en" w:eastAsia="en-AU"/>
        </w:rPr>
        <w:tab/>
      </w:r>
      <w:r w:rsidR="00712B69" w:rsidRPr="00712B69">
        <w:rPr>
          <w:lang w:val="en" w:eastAsia="en-AU"/>
        </w:rPr>
        <w:t>(i)</w:t>
      </w:r>
      <w:r>
        <w:rPr>
          <w:lang w:val="en" w:eastAsia="en-AU"/>
        </w:rPr>
        <w:tab/>
      </w:r>
      <w:r w:rsidR="00712B69" w:rsidRPr="00712B69">
        <w:rPr>
          <w:lang w:val="en" w:eastAsia="en-AU"/>
        </w:rPr>
        <w:t>subsections (7) and (8); and</w:t>
      </w:r>
    </w:p>
    <w:p w14:paraId="69906BBF" w14:textId="77777777" w:rsidR="00712B69" w:rsidRPr="00712B69" w:rsidRDefault="004C773F" w:rsidP="004C773F">
      <w:pPr>
        <w:pStyle w:val="Asubpara"/>
        <w:rPr>
          <w:lang w:val="en" w:eastAsia="en-AU"/>
        </w:rPr>
      </w:pPr>
      <w:r>
        <w:rPr>
          <w:lang w:val="en" w:eastAsia="en-AU"/>
        </w:rPr>
        <w:tab/>
      </w:r>
      <w:r w:rsidR="00712B69" w:rsidRPr="00712B69">
        <w:rPr>
          <w:lang w:val="en" w:eastAsia="en-AU"/>
        </w:rPr>
        <w:t>(ii)</w:t>
      </w:r>
      <w:r>
        <w:rPr>
          <w:lang w:val="en" w:eastAsia="en-AU"/>
        </w:rPr>
        <w:tab/>
      </w:r>
      <w:r w:rsidR="00712B69" w:rsidRPr="00712B69">
        <w:rPr>
          <w:lang w:val="en" w:eastAsia="en-AU"/>
        </w:rPr>
        <w:t>section 735A.</w:t>
      </w:r>
    </w:p>
    <w:p w14:paraId="64825E5E" w14:textId="77777777" w:rsidR="00E7379C" w:rsidRPr="00E7379C" w:rsidRDefault="00E7379C" w:rsidP="00E7379C">
      <w:pPr>
        <w:pStyle w:val="Amain"/>
        <w:rPr>
          <w:lang w:val="en" w:eastAsia="en-AU"/>
        </w:rPr>
      </w:pPr>
      <w:r>
        <w:rPr>
          <w:lang w:val="en" w:eastAsia="en-AU"/>
        </w:rPr>
        <w:tab/>
      </w:r>
      <w:r w:rsidRPr="00E7379C">
        <w:rPr>
          <w:lang w:val="en" w:eastAsia="en-AU"/>
        </w:rPr>
        <w:t>(5)</w:t>
      </w:r>
      <w:r>
        <w:rPr>
          <w:lang w:val="en" w:eastAsia="en-AU"/>
        </w:rPr>
        <w:tab/>
      </w:r>
      <w:r w:rsidRPr="00E7379C">
        <w:rPr>
          <w:lang w:val="en" w:eastAsia="en-AU"/>
        </w:rPr>
        <w:t>The person must comply with a requirement under this section, unless the person has a reasonable excuse.</w:t>
      </w:r>
    </w:p>
    <w:p w14:paraId="786B3022" w14:textId="77777777" w:rsidR="00E7379C" w:rsidRPr="00E7379C" w:rsidRDefault="00E7379C" w:rsidP="00E7379C">
      <w:pPr>
        <w:pStyle w:val="Penalty"/>
        <w:rPr>
          <w:lang w:val="en" w:eastAsia="en-AU"/>
        </w:rPr>
      </w:pPr>
      <w:r w:rsidRPr="00E7379C">
        <w:rPr>
          <w:lang w:val="en" w:eastAsia="en-AU"/>
        </w:rPr>
        <w:t>Maximum penalty—$10000.</w:t>
      </w:r>
    </w:p>
    <w:p w14:paraId="43228F73" w14:textId="77777777" w:rsidR="00E7379C" w:rsidRPr="00E7379C" w:rsidRDefault="00E7379C" w:rsidP="000E08E8">
      <w:pPr>
        <w:pStyle w:val="Amain"/>
        <w:keepNext/>
        <w:keepLines/>
        <w:rPr>
          <w:lang w:val="en" w:eastAsia="en-AU"/>
        </w:rPr>
      </w:pPr>
      <w:r>
        <w:rPr>
          <w:lang w:val="en" w:eastAsia="en-AU"/>
        </w:rPr>
        <w:lastRenderedPageBreak/>
        <w:tab/>
      </w:r>
      <w:r w:rsidRPr="00E7379C">
        <w:rPr>
          <w:lang w:val="en" w:eastAsia="en-AU"/>
        </w:rPr>
        <w:t>(6)</w:t>
      </w:r>
      <w:r>
        <w:rPr>
          <w:lang w:val="en" w:eastAsia="en-AU"/>
        </w:rPr>
        <w:tab/>
      </w:r>
      <w:r w:rsidRPr="00E7379C">
        <w:rPr>
          <w:lang w:val="en" w:eastAsia="en-AU"/>
        </w:rPr>
        <w:t>It is not a reasonable excuse for the person to fail to comply with a requirement made under this section on the ground that complying with the requirement might tend to incriminate the person or make the person liable to a penalty.</w:t>
      </w:r>
    </w:p>
    <w:p w14:paraId="1FE5F570" w14:textId="77777777" w:rsidR="004C773F" w:rsidRPr="004C773F" w:rsidRDefault="004C773F" w:rsidP="000E08E8">
      <w:pPr>
        <w:pStyle w:val="aNote"/>
        <w:keepNext/>
        <w:rPr>
          <w:lang w:val="en" w:eastAsia="en-AU"/>
        </w:rPr>
      </w:pPr>
      <w:r w:rsidRPr="004C773F">
        <w:rPr>
          <w:rStyle w:val="charItals"/>
        </w:rPr>
        <w:t>Note</w:t>
      </w:r>
      <w:r w:rsidRPr="004C773F">
        <w:rPr>
          <w:lang w:val="en" w:eastAsia="en-AU"/>
        </w:rPr>
        <w:t>—</w:t>
      </w:r>
    </w:p>
    <w:p w14:paraId="5405882D" w14:textId="77777777" w:rsidR="004C773F" w:rsidRPr="004C773F" w:rsidRDefault="004C773F" w:rsidP="004C773F">
      <w:pPr>
        <w:pStyle w:val="aNoteTextss"/>
        <w:rPr>
          <w:lang w:val="en" w:eastAsia="en-AU"/>
        </w:rPr>
      </w:pPr>
      <w:r w:rsidRPr="004C773F">
        <w:rPr>
          <w:lang w:val="en" w:eastAsia="en-AU"/>
        </w:rPr>
        <w:t>Section 587 also deals with self-incrimination when complying with a requirement of an authorised officer.</w:t>
      </w:r>
    </w:p>
    <w:p w14:paraId="734612EA" w14:textId="77777777" w:rsidR="00A97DE4" w:rsidRPr="00A97DE4" w:rsidRDefault="00A97DE4" w:rsidP="00A97DE4">
      <w:pPr>
        <w:pStyle w:val="Amain"/>
        <w:rPr>
          <w:lang w:val="en" w:eastAsia="en-AU"/>
        </w:rPr>
      </w:pPr>
      <w:r>
        <w:rPr>
          <w:lang w:val="en" w:eastAsia="en-AU"/>
        </w:rPr>
        <w:tab/>
      </w:r>
      <w:r w:rsidRPr="00A97DE4">
        <w:rPr>
          <w:lang w:val="en" w:eastAsia="en-AU"/>
        </w:rPr>
        <w:t>(7)</w:t>
      </w:r>
      <w:r>
        <w:rPr>
          <w:lang w:val="en" w:eastAsia="en-AU"/>
        </w:rPr>
        <w:tab/>
      </w:r>
      <w:r w:rsidRPr="00A97DE4">
        <w:rPr>
          <w:lang w:val="en" w:eastAsia="en-AU"/>
        </w:rPr>
        <w:t>However, the following information, documents and evidence are not admissible as evidence against an individual in a civil or criminal proceeding, other than a proceeding for false or misleading information—</w:t>
      </w:r>
    </w:p>
    <w:p w14:paraId="6250A2C7" w14:textId="77777777" w:rsidR="00A97DE4" w:rsidRPr="00A97DE4" w:rsidRDefault="00A97DE4" w:rsidP="00A97DE4">
      <w:pPr>
        <w:pStyle w:val="Apara"/>
        <w:rPr>
          <w:lang w:val="en" w:eastAsia="en-AU"/>
        </w:rPr>
      </w:pPr>
      <w:r>
        <w:rPr>
          <w:lang w:val="en" w:eastAsia="en-AU"/>
        </w:rPr>
        <w:tab/>
      </w:r>
      <w:r w:rsidRPr="00A97DE4">
        <w:rPr>
          <w:lang w:val="en" w:eastAsia="en-AU"/>
        </w:rPr>
        <w:t>(a)</w:t>
      </w:r>
      <w:r>
        <w:rPr>
          <w:lang w:val="en" w:eastAsia="en-AU"/>
        </w:rPr>
        <w:tab/>
      </w:r>
      <w:r w:rsidRPr="00A97DE4">
        <w:rPr>
          <w:lang w:val="en" w:eastAsia="en-AU"/>
        </w:rPr>
        <w:t>information, documents and evidence that the individual gives in complying with a requirement under this section;</w:t>
      </w:r>
    </w:p>
    <w:p w14:paraId="4A818B3A" w14:textId="77777777" w:rsidR="00A97DE4" w:rsidRPr="00A97DE4" w:rsidRDefault="00A97DE4" w:rsidP="00A97DE4">
      <w:pPr>
        <w:pStyle w:val="Apara"/>
        <w:rPr>
          <w:lang w:val="en" w:eastAsia="en-AU"/>
        </w:rPr>
      </w:pPr>
      <w:r>
        <w:rPr>
          <w:lang w:val="en" w:eastAsia="en-AU"/>
        </w:rPr>
        <w:tab/>
      </w:r>
      <w:r w:rsidRPr="00A97DE4">
        <w:rPr>
          <w:lang w:val="en" w:eastAsia="en-AU"/>
        </w:rPr>
        <w:t>(b)</w:t>
      </w:r>
      <w:r>
        <w:rPr>
          <w:lang w:val="en" w:eastAsia="en-AU"/>
        </w:rPr>
        <w:tab/>
      </w:r>
      <w:r w:rsidRPr="00A97DE4">
        <w:rPr>
          <w:lang w:val="en" w:eastAsia="en-AU"/>
        </w:rPr>
        <w:t>information, documents and evidence that is directly or indirectly derived from information, documents or evidence mentioned in paragraph (a).</w:t>
      </w:r>
    </w:p>
    <w:p w14:paraId="66C70F3A" w14:textId="77777777" w:rsidR="00E7379C" w:rsidRPr="00E7379C" w:rsidRDefault="00E7379C" w:rsidP="00E7379C">
      <w:pPr>
        <w:pStyle w:val="Amain"/>
        <w:rPr>
          <w:lang w:val="en" w:eastAsia="en-AU"/>
        </w:rPr>
      </w:pPr>
      <w:r>
        <w:rPr>
          <w:lang w:val="en" w:eastAsia="en-AU"/>
        </w:rPr>
        <w:tab/>
      </w:r>
      <w:r w:rsidRPr="00E7379C">
        <w:rPr>
          <w:lang w:val="en" w:eastAsia="en-AU"/>
        </w:rPr>
        <w:t>(8)</w:t>
      </w:r>
      <w:r>
        <w:rPr>
          <w:lang w:val="en" w:eastAsia="en-AU"/>
        </w:rPr>
        <w:tab/>
      </w:r>
      <w:r w:rsidRPr="00E7379C">
        <w:rPr>
          <w:lang w:val="en" w:eastAsia="en-AU"/>
        </w:rPr>
        <w:t>An authorised officer may act under this section only if—</w:t>
      </w:r>
    </w:p>
    <w:p w14:paraId="7DA01821" w14:textId="77777777" w:rsidR="00E7379C" w:rsidRPr="00E7379C" w:rsidRDefault="00E7379C" w:rsidP="00E7379C">
      <w:pPr>
        <w:pStyle w:val="Apara"/>
        <w:rPr>
          <w:lang w:val="en" w:eastAsia="en-AU"/>
        </w:rPr>
      </w:pPr>
      <w:r>
        <w:rPr>
          <w:lang w:val="en" w:eastAsia="en-AU"/>
        </w:rPr>
        <w:tab/>
      </w:r>
      <w:r w:rsidRPr="00E7379C">
        <w:rPr>
          <w:lang w:val="en" w:eastAsia="en-AU"/>
        </w:rPr>
        <w:t>(a)</w:t>
      </w:r>
      <w:r>
        <w:rPr>
          <w:lang w:val="en" w:eastAsia="en-AU"/>
        </w:rPr>
        <w:tab/>
      </w:r>
      <w:r w:rsidRPr="00E7379C">
        <w:rPr>
          <w:lang w:val="en" w:eastAsia="en-AU"/>
        </w:rPr>
        <w:t>for an authorised officer who is a police officer—the officer has the relevant police commissioner’s written authority to act under this section; or</w:t>
      </w:r>
    </w:p>
    <w:p w14:paraId="01CAB80E" w14:textId="77777777" w:rsidR="00E7379C" w:rsidRPr="00E7379C" w:rsidRDefault="00E7379C" w:rsidP="00E7379C">
      <w:pPr>
        <w:pStyle w:val="Apara"/>
        <w:rPr>
          <w:lang w:val="en" w:eastAsia="en-AU"/>
        </w:rPr>
      </w:pPr>
      <w:r>
        <w:rPr>
          <w:lang w:val="en" w:eastAsia="en-AU"/>
        </w:rPr>
        <w:tab/>
      </w:r>
      <w:r w:rsidRPr="00E7379C">
        <w:rPr>
          <w:lang w:val="en" w:eastAsia="en-AU"/>
        </w:rPr>
        <w:t>(b)</w:t>
      </w:r>
      <w:r>
        <w:rPr>
          <w:lang w:val="en" w:eastAsia="en-AU"/>
        </w:rPr>
        <w:tab/>
      </w:r>
      <w:r w:rsidRPr="00E7379C">
        <w:rPr>
          <w:lang w:val="en" w:eastAsia="en-AU"/>
        </w:rPr>
        <w:t>for an authorised officer who is not a police officer—the officer’s instrument of appointment provides that the authorised officer may act under this section.</w:t>
      </w:r>
    </w:p>
    <w:p w14:paraId="5903B38C" w14:textId="77777777" w:rsidR="00DB6E47" w:rsidRPr="005E03F7" w:rsidRDefault="00DB6E47" w:rsidP="00DB6E47">
      <w:pPr>
        <w:pStyle w:val="AH3Div"/>
      </w:pPr>
      <w:bookmarkStart w:id="686" w:name="_Toc83626030"/>
      <w:r w:rsidRPr="005E03F7">
        <w:rPr>
          <w:rStyle w:val="CharDivNo"/>
        </w:rPr>
        <w:lastRenderedPageBreak/>
        <w:t xml:space="preserve">Division 5 </w:t>
      </w:r>
      <w:r w:rsidRPr="00A95F9A">
        <w:rPr>
          <w:rFonts w:ascii="Helvetica" w:hAnsi="Helvetica" w:cs="Helvetica"/>
          <w:iCs/>
          <w:szCs w:val="28"/>
        </w:rPr>
        <w:tab/>
      </w:r>
      <w:r w:rsidRPr="005E03F7">
        <w:rPr>
          <w:rStyle w:val="CharDivText"/>
          <w:rFonts w:ascii="Helvetica" w:hAnsi="Helvetica" w:cs="Helvetica"/>
          <w:iCs/>
          <w:szCs w:val="28"/>
        </w:rPr>
        <w:t>Improvement notices</w:t>
      </w:r>
      <w:bookmarkEnd w:id="686"/>
    </w:p>
    <w:p w14:paraId="7E0BE01E" w14:textId="77777777" w:rsidR="00DB6E47" w:rsidRPr="007E1F9A" w:rsidRDefault="00DB6E47" w:rsidP="00DB6E47">
      <w:pPr>
        <w:pStyle w:val="AH5Sec"/>
      </w:pPr>
      <w:bookmarkStart w:id="687" w:name="_Toc83626031"/>
      <w:r w:rsidRPr="005E03F7">
        <w:rPr>
          <w:rStyle w:val="CharSectNo"/>
        </w:rPr>
        <w:t>571</w:t>
      </w:r>
      <w:r w:rsidRPr="007E1F9A">
        <w:tab/>
      </w:r>
      <w:r w:rsidRPr="007E1F9A">
        <w:rPr>
          <w:rFonts w:ascii="Helvetica" w:hAnsi="Helvetica" w:cs="Helvetica"/>
          <w:iCs/>
        </w:rPr>
        <w:t>Authorised officers to whom Division applies</w:t>
      </w:r>
      <w:bookmarkEnd w:id="687"/>
    </w:p>
    <w:p w14:paraId="28A1E313" w14:textId="77777777" w:rsidR="00DB6E47" w:rsidRPr="003D139A" w:rsidRDefault="00DB6E47" w:rsidP="00520FCC">
      <w:pPr>
        <w:pStyle w:val="Amain"/>
        <w:keepNext/>
      </w:pPr>
      <w:r w:rsidRPr="003D139A">
        <w:tab/>
        <w:t>(1)</w:t>
      </w:r>
      <w:r w:rsidRPr="003D139A">
        <w:tab/>
        <w:t>This Division applies to an authorised officer who is a police officer only if the police officer has the relevant police commissioner’s written authority to issue improvement notices under this Division.</w:t>
      </w:r>
    </w:p>
    <w:p w14:paraId="65911343" w14:textId="77777777" w:rsidR="00DB6E47" w:rsidRPr="003D139A" w:rsidRDefault="00DB6E47" w:rsidP="00DB6E47">
      <w:pPr>
        <w:pStyle w:val="Amain"/>
      </w:pPr>
      <w:r w:rsidRPr="003D139A">
        <w:tab/>
        <w:t>(2)</w:t>
      </w:r>
      <w:r w:rsidRPr="003D139A">
        <w:tab/>
        <w:t>This Division applies to an authorised officer who is not a police officer only if the officer’s instrument of appointment provides that the authorised officer may issue improvement notices under this Division.</w:t>
      </w:r>
    </w:p>
    <w:p w14:paraId="099CD67F" w14:textId="77777777" w:rsidR="00DB6E47" w:rsidRPr="007E1F9A" w:rsidRDefault="00DB6E47" w:rsidP="00DB6E47">
      <w:pPr>
        <w:pStyle w:val="AH5Sec"/>
      </w:pPr>
      <w:bookmarkStart w:id="688" w:name="_Toc83626032"/>
      <w:r w:rsidRPr="005E03F7">
        <w:rPr>
          <w:rStyle w:val="CharSectNo"/>
        </w:rPr>
        <w:t>572</w:t>
      </w:r>
      <w:r w:rsidRPr="007E1F9A">
        <w:tab/>
      </w:r>
      <w:r w:rsidRPr="007E1F9A">
        <w:rPr>
          <w:rFonts w:ascii="Helvetica" w:hAnsi="Helvetica" w:cs="Helvetica"/>
          <w:iCs/>
        </w:rPr>
        <w:t>Improvement notices</w:t>
      </w:r>
      <w:bookmarkEnd w:id="688"/>
    </w:p>
    <w:p w14:paraId="60DD81DA" w14:textId="77777777" w:rsidR="00DB6E47" w:rsidRPr="003D139A" w:rsidRDefault="00DB6E47" w:rsidP="00DB6E47">
      <w:pPr>
        <w:pStyle w:val="Amain"/>
      </w:pPr>
      <w:r w:rsidRPr="003D139A">
        <w:tab/>
        <w:t>(1)</w:t>
      </w:r>
      <w:r w:rsidRPr="003D139A">
        <w:tab/>
        <w:t xml:space="preserve">This section applies if an authorised officer reasonably believes a person has contravened or is contravening a provision of this Law in circumstances that make it likely that the contravention will continue or be repeated. </w:t>
      </w:r>
    </w:p>
    <w:p w14:paraId="2CCB7F7C" w14:textId="77777777" w:rsidR="00DB6E47" w:rsidRPr="003D139A" w:rsidRDefault="00DB6E47" w:rsidP="00481E75">
      <w:pPr>
        <w:pStyle w:val="Amain"/>
        <w:keepLines/>
      </w:pPr>
      <w:r w:rsidRPr="003D139A">
        <w:tab/>
        <w:t>(2)</w:t>
      </w:r>
      <w:r w:rsidRPr="003D139A">
        <w:tab/>
        <w:t xml:space="preserve">The authorised officer may give the person a notice (an </w:t>
      </w:r>
      <w:r w:rsidRPr="00FF4454">
        <w:rPr>
          <w:rStyle w:val="charBoldItals"/>
        </w:rPr>
        <w:t>improvement notice</w:t>
      </w:r>
      <w:r w:rsidRPr="003D139A">
        <w:t>) requiring the person to take action within a stated period to stop the contravention from continuing or occurring again or to remedy the matters or activities occasioning the contravention.</w:t>
      </w:r>
    </w:p>
    <w:p w14:paraId="15E6721F" w14:textId="77777777" w:rsidR="00DB6E47" w:rsidRPr="003D139A" w:rsidRDefault="00DB6E47" w:rsidP="00DB6E47">
      <w:pPr>
        <w:pStyle w:val="Amain"/>
      </w:pPr>
      <w:r w:rsidRPr="003D139A">
        <w:tab/>
        <w:t>(3)</w:t>
      </w:r>
      <w:r w:rsidRPr="003D139A">
        <w:tab/>
        <w:t>The period stated in the improvement notice within which the person is required to comply with the notice must be at least 7 days after the notice is given unless the authorised officer is satisfied it is reasonable to require the person to comply with the notice in a shorter period because—</w:t>
      </w:r>
    </w:p>
    <w:p w14:paraId="44B4B9F9" w14:textId="77777777" w:rsidR="00DB6E47" w:rsidRPr="00544ED5" w:rsidRDefault="00DB6E47" w:rsidP="00DB6E47">
      <w:pPr>
        <w:pStyle w:val="Apara"/>
      </w:pPr>
      <w:r w:rsidRPr="00544ED5">
        <w:tab/>
        <w:t>(a)</w:t>
      </w:r>
      <w:r w:rsidRPr="00544ED5">
        <w:tab/>
        <w:t>it is reasonably practicable for the person to comply with the notice within the shorter period; and</w:t>
      </w:r>
    </w:p>
    <w:p w14:paraId="644F4D76" w14:textId="77777777" w:rsidR="00DB6E47" w:rsidRPr="00544ED5" w:rsidRDefault="00DB6E47" w:rsidP="00DB6E47">
      <w:pPr>
        <w:pStyle w:val="Apara"/>
      </w:pPr>
      <w:r w:rsidRPr="00544ED5">
        <w:tab/>
        <w:t>(b)</w:t>
      </w:r>
      <w:r w:rsidRPr="00544ED5">
        <w:tab/>
        <w:t>requiring the person to comply with the notice within the shorter period is not likely to involve—</w:t>
      </w:r>
    </w:p>
    <w:p w14:paraId="515B970F" w14:textId="77777777" w:rsidR="00DB6E47" w:rsidRPr="00CC71DF" w:rsidRDefault="00DB6E47" w:rsidP="00DB6E47">
      <w:pPr>
        <w:pStyle w:val="Asubpara"/>
      </w:pPr>
      <w:r w:rsidRPr="00CC71DF">
        <w:tab/>
        <w:t>(i)</w:t>
      </w:r>
      <w:r w:rsidRPr="00CC71DF">
        <w:tab/>
        <w:t>a higher cost to the person to comply with the notice; or</w:t>
      </w:r>
    </w:p>
    <w:p w14:paraId="41BF0991" w14:textId="77777777" w:rsidR="00DB6E47" w:rsidRPr="00CC71DF" w:rsidRDefault="00DB6E47" w:rsidP="00DB6E47">
      <w:pPr>
        <w:pStyle w:val="Asubpara"/>
      </w:pPr>
      <w:r w:rsidRPr="00CC71DF">
        <w:tab/>
        <w:t>(ii)</w:t>
      </w:r>
      <w:r w:rsidRPr="00CC71DF">
        <w:tab/>
        <w:t>a more adverse effect on the person’s business operations.</w:t>
      </w:r>
    </w:p>
    <w:p w14:paraId="58DEE7D3" w14:textId="77777777" w:rsidR="00DB6E47" w:rsidRPr="003D139A" w:rsidRDefault="00DB6E47" w:rsidP="00B41BF6">
      <w:pPr>
        <w:pStyle w:val="Amain"/>
        <w:keepNext/>
      </w:pPr>
      <w:r w:rsidRPr="003D139A">
        <w:lastRenderedPageBreak/>
        <w:tab/>
        <w:t>(4)</w:t>
      </w:r>
      <w:r w:rsidRPr="003D139A">
        <w:tab/>
        <w:t>The improvement notice must be in the approved form and state the following—</w:t>
      </w:r>
    </w:p>
    <w:p w14:paraId="7A7075EC" w14:textId="77777777" w:rsidR="00DB6E47" w:rsidRPr="00544ED5" w:rsidRDefault="00DB6E47" w:rsidP="00B41BF6">
      <w:pPr>
        <w:pStyle w:val="Apara"/>
        <w:keepLines/>
      </w:pPr>
      <w:r w:rsidRPr="00544ED5">
        <w:tab/>
        <w:t>(a)</w:t>
      </w:r>
      <w:r w:rsidRPr="00544ED5">
        <w:tab/>
        <w:t>that the authorised officer reasonably believes the person has contravened or is contravening a provision of this Law in circumstances that make it likely that the contravention will continue or be repeated;</w:t>
      </w:r>
    </w:p>
    <w:p w14:paraId="4768CAA2" w14:textId="77777777" w:rsidR="00DB6E47" w:rsidRPr="00544ED5" w:rsidRDefault="00DB6E47" w:rsidP="00DB6E47">
      <w:pPr>
        <w:pStyle w:val="Apara"/>
      </w:pPr>
      <w:r w:rsidRPr="00544ED5">
        <w:tab/>
        <w:t>(b)</w:t>
      </w:r>
      <w:r w:rsidRPr="00544ED5">
        <w:tab/>
        <w:t>the reasons for that belief;</w:t>
      </w:r>
    </w:p>
    <w:p w14:paraId="1A3271E9" w14:textId="77777777" w:rsidR="00DB6E47" w:rsidRPr="00544ED5" w:rsidRDefault="00DB6E47" w:rsidP="00DB6E47">
      <w:pPr>
        <w:pStyle w:val="Apara"/>
      </w:pPr>
      <w:r w:rsidRPr="00544ED5">
        <w:tab/>
        <w:t>(c)</w:t>
      </w:r>
      <w:r w:rsidRPr="00544ED5">
        <w:tab/>
        <w:t>the provision of this Law in relation to which that belief is held;</w:t>
      </w:r>
    </w:p>
    <w:p w14:paraId="1C48AEF2" w14:textId="77777777" w:rsidR="00DB6E47" w:rsidRPr="00544ED5" w:rsidRDefault="00DB6E47" w:rsidP="00DB6E47">
      <w:pPr>
        <w:pStyle w:val="Apara"/>
      </w:pPr>
      <w:r w:rsidRPr="00544ED5">
        <w:tab/>
        <w:t>(d)</w:t>
      </w:r>
      <w:r w:rsidRPr="00544ED5">
        <w:tab/>
        <w:t>that the person must take action within a stated period to stop the contravention from continuing or occurring again or to remedy the matters or activities occasioning the contravention;</w:t>
      </w:r>
    </w:p>
    <w:p w14:paraId="2B6C2F57" w14:textId="77777777" w:rsidR="00DB6E47" w:rsidRPr="00544ED5" w:rsidRDefault="00DB6E47" w:rsidP="00DB6E47">
      <w:pPr>
        <w:pStyle w:val="Apara"/>
      </w:pPr>
      <w:r w:rsidRPr="00544ED5">
        <w:tab/>
        <w:t>(e)</w:t>
      </w:r>
      <w:r w:rsidRPr="00544ED5">
        <w:tab/>
        <w:t>the review and appeal information for the decision to give the notice;</w:t>
      </w:r>
    </w:p>
    <w:p w14:paraId="7060E3A3" w14:textId="77777777" w:rsidR="00DB6E47" w:rsidRPr="00544ED5" w:rsidRDefault="00DB6E47" w:rsidP="00DB6E47">
      <w:pPr>
        <w:pStyle w:val="Apara"/>
      </w:pPr>
      <w:r w:rsidRPr="00544ED5">
        <w:tab/>
        <w:t>(f)</w:t>
      </w:r>
      <w:r w:rsidRPr="00544ED5">
        <w:tab/>
        <w:t>that the notice is given under this section.</w:t>
      </w:r>
    </w:p>
    <w:p w14:paraId="5009C58C" w14:textId="77777777" w:rsidR="00DB6E47" w:rsidRPr="003D139A" w:rsidRDefault="00DB6E47" w:rsidP="00DB6E47">
      <w:pPr>
        <w:pStyle w:val="Amain"/>
      </w:pPr>
      <w:r w:rsidRPr="003D139A">
        <w:tab/>
        <w:t>(5)</w:t>
      </w:r>
      <w:r w:rsidRPr="003D139A">
        <w:tab/>
        <w:t>The improvement notice may state the way the action is to be taken.</w:t>
      </w:r>
    </w:p>
    <w:p w14:paraId="21EC63E7" w14:textId="77777777" w:rsidR="00DB6E47" w:rsidRPr="007E1F9A" w:rsidRDefault="00DB6E47" w:rsidP="00DB6E47">
      <w:pPr>
        <w:pStyle w:val="AH5Sec"/>
      </w:pPr>
      <w:bookmarkStart w:id="689" w:name="_Toc83626033"/>
      <w:r w:rsidRPr="005E03F7">
        <w:rPr>
          <w:rStyle w:val="CharSectNo"/>
        </w:rPr>
        <w:t>573</w:t>
      </w:r>
      <w:r w:rsidRPr="007E1F9A">
        <w:tab/>
      </w:r>
      <w:r w:rsidRPr="007E1F9A">
        <w:rPr>
          <w:rFonts w:ascii="Helvetica" w:hAnsi="Helvetica" w:cs="Helvetica"/>
          <w:iCs/>
        </w:rPr>
        <w:t>Contravention of improvement notice</w:t>
      </w:r>
      <w:bookmarkEnd w:id="689"/>
    </w:p>
    <w:p w14:paraId="04C158CF" w14:textId="77777777" w:rsidR="00DB6E47" w:rsidRPr="003D139A" w:rsidRDefault="00DB6E47" w:rsidP="00DB6E47">
      <w:pPr>
        <w:pStyle w:val="Amain"/>
      </w:pPr>
      <w:r w:rsidRPr="003D139A">
        <w:tab/>
        <w:t>(1)</w:t>
      </w:r>
      <w:r w:rsidRPr="003D139A">
        <w:tab/>
        <w:t>A person given an improvement notice must comply with the notice, unless the person has a reasonable excuse.</w:t>
      </w:r>
    </w:p>
    <w:p w14:paraId="0878A00B" w14:textId="77777777" w:rsidR="00DB6E47" w:rsidRPr="006C3305" w:rsidRDefault="00DB6E47" w:rsidP="00DB6E47">
      <w:pPr>
        <w:pStyle w:val="Penalty"/>
      </w:pPr>
      <w:r w:rsidRPr="00D91CC2">
        <w:rPr>
          <w:rFonts w:cs="Times"/>
          <w:bCs/>
          <w:iCs/>
        </w:rPr>
        <w:t>Maximum penalty—$10000.</w:t>
      </w:r>
    </w:p>
    <w:p w14:paraId="16A08B3C" w14:textId="77777777" w:rsidR="00DB6E47" w:rsidRPr="003D139A" w:rsidRDefault="00DB6E47" w:rsidP="00DB6E47">
      <w:pPr>
        <w:pStyle w:val="Amain"/>
      </w:pPr>
      <w:r w:rsidRPr="003D139A">
        <w:tab/>
        <w:t>(2)</w:t>
      </w:r>
      <w:r w:rsidRPr="003D139A">
        <w:tab/>
        <w:t>In a proceeding for an offence against subsection (1), it is a defence for the person charged to prove that the alleged contravention, or the matters or activities occasioning the alleged contravention, were remedied within the period stated in the improvement notice, though in a way different to that stated in the notice.</w:t>
      </w:r>
    </w:p>
    <w:p w14:paraId="280A29FB" w14:textId="77777777" w:rsidR="00DB6E47" w:rsidRPr="003D139A" w:rsidRDefault="00DB6E47" w:rsidP="00B41BF6">
      <w:pPr>
        <w:pStyle w:val="Amain"/>
        <w:keepNext/>
      </w:pPr>
      <w:r w:rsidRPr="003D139A">
        <w:lastRenderedPageBreak/>
        <w:tab/>
        <w:t>(3)</w:t>
      </w:r>
      <w:r w:rsidRPr="003D139A">
        <w:tab/>
        <w:t>A person who is given an improvement notice in relation to a contravention of a provision of this Law can not be proceeded against for an offence constituted by the contravention unless—</w:t>
      </w:r>
    </w:p>
    <w:p w14:paraId="28F949F7" w14:textId="77777777" w:rsidR="00DB6E47" w:rsidRPr="00544ED5" w:rsidRDefault="00DB6E47" w:rsidP="00DB6E47">
      <w:pPr>
        <w:pStyle w:val="Apara"/>
      </w:pPr>
      <w:r w:rsidRPr="00544ED5">
        <w:tab/>
        <w:t>(a)</w:t>
      </w:r>
      <w:r w:rsidRPr="00544ED5">
        <w:tab/>
        <w:t>the person fails to comply with the improvement notice and does not have a reasonable excuse for the noncompliance; or</w:t>
      </w:r>
    </w:p>
    <w:p w14:paraId="7E976304" w14:textId="77777777" w:rsidR="00DB6E47" w:rsidRPr="00544ED5" w:rsidRDefault="00DB6E47" w:rsidP="00DB6E47">
      <w:pPr>
        <w:pStyle w:val="Apara"/>
      </w:pPr>
      <w:r w:rsidRPr="00544ED5">
        <w:tab/>
        <w:t>(b)</w:t>
      </w:r>
      <w:r w:rsidRPr="00544ED5">
        <w:tab/>
        <w:t>the improvement notice is revoked under section 575.</w:t>
      </w:r>
    </w:p>
    <w:p w14:paraId="10BE8BF0" w14:textId="77777777" w:rsidR="00DB6E47" w:rsidRPr="007E1F9A" w:rsidRDefault="00DB6E47" w:rsidP="00DB6E47">
      <w:pPr>
        <w:pStyle w:val="AH5Sec"/>
      </w:pPr>
      <w:bookmarkStart w:id="690" w:name="_Toc83626034"/>
      <w:r w:rsidRPr="005E03F7">
        <w:rPr>
          <w:rStyle w:val="CharSectNo"/>
        </w:rPr>
        <w:t>574</w:t>
      </w:r>
      <w:r w:rsidRPr="007E1F9A">
        <w:tab/>
      </w:r>
      <w:r w:rsidRPr="007E1F9A">
        <w:rPr>
          <w:rFonts w:ascii="Helvetica" w:hAnsi="Helvetica" w:cs="Helvetica"/>
          <w:iCs/>
        </w:rPr>
        <w:t>Amendment of improvement notice</w:t>
      </w:r>
      <w:bookmarkEnd w:id="690"/>
    </w:p>
    <w:p w14:paraId="790B36D9" w14:textId="77777777" w:rsidR="00DB6E47" w:rsidRPr="003D139A" w:rsidRDefault="00DB6E47" w:rsidP="00DB6E47">
      <w:pPr>
        <w:pStyle w:val="Amain"/>
      </w:pPr>
      <w:r w:rsidRPr="003D139A">
        <w:tab/>
        <w:t>(1)</w:t>
      </w:r>
      <w:r w:rsidRPr="003D139A">
        <w:tab/>
        <w:t>An improvement notice given by an authorised officer who is a police officer may be amended by any authorised officer who is a police officer and who has the relevant police commissioner’s written authority to issue improvement notices under this Division.</w:t>
      </w:r>
    </w:p>
    <w:p w14:paraId="3E4419AB" w14:textId="77777777" w:rsidR="00DB6E47" w:rsidRPr="003D139A" w:rsidRDefault="00DB6E47" w:rsidP="00DB6E47">
      <w:pPr>
        <w:pStyle w:val="Amain"/>
      </w:pPr>
      <w:r w:rsidRPr="003D139A">
        <w:tab/>
        <w:t>(2)</w:t>
      </w:r>
      <w:r w:rsidRPr="003D139A">
        <w:tab/>
        <w:t>An improvement notice given by an authorised officer who is not a police officer may be amended by any authorised officer who is not a police officer.</w:t>
      </w:r>
    </w:p>
    <w:p w14:paraId="55999242" w14:textId="77777777" w:rsidR="00DB6E47" w:rsidRPr="003D139A" w:rsidRDefault="00DB6E47" w:rsidP="00481E75">
      <w:pPr>
        <w:pStyle w:val="Amain"/>
        <w:keepLines/>
      </w:pPr>
      <w:r w:rsidRPr="003D139A">
        <w:tab/>
        <w:t>(3)</w:t>
      </w:r>
      <w:r w:rsidRPr="003D139A">
        <w:tab/>
        <w:t>An amendment of an improvement notice given to a person is ineffective to the extent it purports to deal with a contravention of a different provision of this Law to that dealt with in the improvement notice when first given.</w:t>
      </w:r>
    </w:p>
    <w:p w14:paraId="7F8CBF58" w14:textId="77777777" w:rsidR="00DB6E47" w:rsidRPr="003D139A" w:rsidRDefault="00DB6E47" w:rsidP="00DB6E47">
      <w:pPr>
        <w:pStyle w:val="Amain"/>
      </w:pPr>
      <w:r w:rsidRPr="003D139A">
        <w:tab/>
        <w:t>(4)</w:t>
      </w:r>
      <w:r w:rsidRPr="003D139A">
        <w:tab/>
        <w:t>If an authorised officer decides to amend an improvement notice given to a person, the officer must give the person notice of the amendment stating the following—</w:t>
      </w:r>
    </w:p>
    <w:p w14:paraId="55959D36" w14:textId="77777777" w:rsidR="00DB6E47" w:rsidRPr="00544ED5" w:rsidRDefault="00DB6E47" w:rsidP="00DB6E47">
      <w:pPr>
        <w:pStyle w:val="Apara"/>
      </w:pPr>
      <w:r w:rsidRPr="00544ED5">
        <w:tab/>
        <w:t>(a)</w:t>
      </w:r>
      <w:r w:rsidRPr="00544ED5">
        <w:tab/>
        <w:t>the amendment;</w:t>
      </w:r>
    </w:p>
    <w:p w14:paraId="67BCFF66" w14:textId="77777777" w:rsidR="00DB6E47" w:rsidRPr="00544ED5" w:rsidRDefault="00DB6E47" w:rsidP="00DB6E47">
      <w:pPr>
        <w:pStyle w:val="Apara"/>
      </w:pPr>
      <w:r w:rsidRPr="00544ED5">
        <w:tab/>
        <w:t>(b)</w:t>
      </w:r>
      <w:r w:rsidRPr="00544ED5">
        <w:tab/>
        <w:t>the reasons for the amendment;</w:t>
      </w:r>
    </w:p>
    <w:p w14:paraId="589EE3A4" w14:textId="77777777" w:rsidR="00DB6E47" w:rsidRPr="00544ED5" w:rsidRDefault="00DB6E47" w:rsidP="00DB6E47">
      <w:pPr>
        <w:pStyle w:val="Apara"/>
      </w:pPr>
      <w:r w:rsidRPr="00544ED5">
        <w:tab/>
        <w:t>(c)</w:t>
      </w:r>
      <w:r w:rsidRPr="00544ED5">
        <w:tab/>
        <w:t>the review and appeal information for the decision to amend the improvement notice.</w:t>
      </w:r>
    </w:p>
    <w:p w14:paraId="628FE085" w14:textId="77777777" w:rsidR="00DB6E47" w:rsidRPr="00C96203" w:rsidRDefault="00DB6E47" w:rsidP="00DB6E47">
      <w:pPr>
        <w:pStyle w:val="aNote"/>
      </w:pPr>
      <w:r w:rsidRPr="00FF4454">
        <w:rPr>
          <w:rStyle w:val="charItals"/>
        </w:rPr>
        <w:t>Note</w:t>
      </w:r>
      <w:r w:rsidRPr="00C96203">
        <w:rPr>
          <w:rFonts w:cs="Times"/>
          <w:bCs/>
          <w:iCs/>
        </w:rPr>
        <w:t>—</w:t>
      </w:r>
    </w:p>
    <w:p w14:paraId="44A53545" w14:textId="77777777" w:rsidR="00DB6E47" w:rsidRPr="00C96203" w:rsidRDefault="00DB6E47" w:rsidP="00DB6E47">
      <w:pPr>
        <w:pStyle w:val="aNoteTextss"/>
      </w:pPr>
      <w:r w:rsidRPr="00C96203">
        <w:t>Section 23 of Schedule 1 allows for the amendment of an improvement notice.</w:t>
      </w:r>
    </w:p>
    <w:p w14:paraId="10F96193" w14:textId="77777777" w:rsidR="00DB6E47" w:rsidRPr="007E1F9A" w:rsidRDefault="00DB6E47" w:rsidP="00DB6E47">
      <w:pPr>
        <w:pStyle w:val="AH5Sec"/>
      </w:pPr>
      <w:bookmarkStart w:id="691" w:name="_Toc83626035"/>
      <w:r w:rsidRPr="005E03F7">
        <w:rPr>
          <w:rStyle w:val="CharSectNo"/>
        </w:rPr>
        <w:lastRenderedPageBreak/>
        <w:t>575</w:t>
      </w:r>
      <w:r w:rsidRPr="007E1F9A">
        <w:tab/>
      </w:r>
      <w:r w:rsidRPr="007E1F9A">
        <w:rPr>
          <w:rFonts w:ascii="Helvetica" w:hAnsi="Helvetica" w:cs="Helvetica"/>
          <w:iCs/>
        </w:rPr>
        <w:t>Revocation of an improvement notice</w:t>
      </w:r>
      <w:bookmarkEnd w:id="691"/>
    </w:p>
    <w:p w14:paraId="4A20FF25" w14:textId="77777777" w:rsidR="00DB6E47" w:rsidRPr="003D139A" w:rsidRDefault="00DB6E47" w:rsidP="00DB6E47">
      <w:pPr>
        <w:pStyle w:val="Amain"/>
      </w:pPr>
      <w:r w:rsidRPr="003D139A">
        <w:tab/>
        <w:t>(1)</w:t>
      </w:r>
      <w:r w:rsidRPr="003D139A">
        <w:tab/>
        <w:t>An improvement notice given to a person by an authorised officer who is a police officer may be revoked, by giving notice of the revocation to the person, by—</w:t>
      </w:r>
    </w:p>
    <w:p w14:paraId="6EE917DD" w14:textId="77777777" w:rsidR="00DB6E47" w:rsidRPr="00544ED5" w:rsidRDefault="00DB6E47" w:rsidP="00DB6E47">
      <w:pPr>
        <w:pStyle w:val="Apara"/>
      </w:pPr>
      <w:r w:rsidRPr="00544ED5">
        <w:tab/>
        <w:t>(a)</w:t>
      </w:r>
      <w:r w:rsidRPr="00544ED5">
        <w:tab/>
        <w:t>the relevant police commissioner; or</w:t>
      </w:r>
    </w:p>
    <w:p w14:paraId="7F4568ED" w14:textId="77777777" w:rsidR="00DB6E47" w:rsidRPr="00544ED5" w:rsidRDefault="00DB6E47" w:rsidP="00DB6E47">
      <w:pPr>
        <w:pStyle w:val="Apara"/>
      </w:pPr>
      <w:r w:rsidRPr="00544ED5">
        <w:tab/>
        <w:t>(b)</w:t>
      </w:r>
      <w:r w:rsidRPr="00544ED5">
        <w:tab/>
        <w:t>an authorised officer who—</w:t>
      </w:r>
    </w:p>
    <w:p w14:paraId="24D73ED1" w14:textId="77777777" w:rsidR="00DB6E47" w:rsidRPr="00CC71DF" w:rsidRDefault="00DB6E47" w:rsidP="00DB6E47">
      <w:pPr>
        <w:pStyle w:val="Asubpara"/>
      </w:pPr>
      <w:r w:rsidRPr="00CC71DF">
        <w:tab/>
        <w:t>(i)</w:t>
      </w:r>
      <w:r w:rsidRPr="00CC71DF">
        <w:tab/>
        <w:t>is a police officer; and</w:t>
      </w:r>
    </w:p>
    <w:p w14:paraId="70918EFF" w14:textId="77777777" w:rsidR="00DB6E47" w:rsidRPr="00CC71DF" w:rsidRDefault="00DB6E47" w:rsidP="00DB6E47">
      <w:pPr>
        <w:pStyle w:val="Asubpara"/>
      </w:pPr>
      <w:r w:rsidRPr="00CC71DF">
        <w:tab/>
        <w:t>(ii)</w:t>
      </w:r>
      <w:r w:rsidRPr="00CC71DF">
        <w:tab/>
        <w:t>has the relevant police commissioner’s written authority to issue improvement notices under this Division; and</w:t>
      </w:r>
    </w:p>
    <w:p w14:paraId="1B27B9E2" w14:textId="77777777" w:rsidR="00DB6E47" w:rsidRPr="00CC71DF" w:rsidRDefault="00DB6E47" w:rsidP="00DB6E47">
      <w:pPr>
        <w:pStyle w:val="Asubpara"/>
      </w:pPr>
      <w:r w:rsidRPr="00CC71DF">
        <w:tab/>
        <w:t>(iii)</w:t>
      </w:r>
      <w:r w:rsidRPr="00CC71DF">
        <w:tab/>
        <w:t>is more senior in rank to the police officer who gave the notice to the person.</w:t>
      </w:r>
    </w:p>
    <w:p w14:paraId="5E12E6A5" w14:textId="77777777" w:rsidR="00DB6E47" w:rsidRPr="003D139A" w:rsidRDefault="00DB6E47" w:rsidP="00DB6E47">
      <w:pPr>
        <w:pStyle w:val="Amain"/>
      </w:pPr>
      <w:r w:rsidRPr="003D139A">
        <w:tab/>
        <w:t>(2)</w:t>
      </w:r>
      <w:r w:rsidRPr="003D139A">
        <w:tab/>
        <w:t>An improvement notice given to a person by an authorised officer who is not a police officer may be revoked by the Regulator by giving notice of the revocation to the person.</w:t>
      </w:r>
    </w:p>
    <w:p w14:paraId="16273617" w14:textId="77777777" w:rsidR="00DB6E47" w:rsidRPr="003D139A" w:rsidRDefault="00DB6E47" w:rsidP="00DB6E47">
      <w:pPr>
        <w:pStyle w:val="Amain"/>
      </w:pPr>
      <w:r w:rsidRPr="003D139A">
        <w:tab/>
        <w:t>(3)</w:t>
      </w:r>
      <w:r w:rsidRPr="003D139A">
        <w:tab/>
        <w:t>Section 23 of Schedule 1 does not apply in relation to the revocation of the improvement notice.</w:t>
      </w:r>
    </w:p>
    <w:p w14:paraId="7952C447" w14:textId="77777777" w:rsidR="00DB6E47" w:rsidRPr="007E1F9A" w:rsidRDefault="00DB6E47" w:rsidP="00DB6E47">
      <w:pPr>
        <w:pStyle w:val="AH5Sec"/>
      </w:pPr>
      <w:bookmarkStart w:id="692" w:name="_Toc83626036"/>
      <w:r w:rsidRPr="005E03F7">
        <w:rPr>
          <w:rStyle w:val="CharSectNo"/>
        </w:rPr>
        <w:t>576</w:t>
      </w:r>
      <w:r w:rsidRPr="007E1F9A">
        <w:tab/>
      </w:r>
      <w:r w:rsidRPr="007E1F9A">
        <w:rPr>
          <w:rFonts w:ascii="Helvetica" w:hAnsi="Helvetica" w:cs="Helvetica"/>
          <w:iCs/>
        </w:rPr>
        <w:t>Clearance certificate</w:t>
      </w:r>
      <w:bookmarkEnd w:id="692"/>
    </w:p>
    <w:p w14:paraId="7740D346" w14:textId="77777777" w:rsidR="00DB6E47" w:rsidRPr="003D139A" w:rsidRDefault="00DB6E47" w:rsidP="00DB6E47">
      <w:pPr>
        <w:pStyle w:val="Amain"/>
      </w:pPr>
      <w:r w:rsidRPr="003D139A">
        <w:tab/>
        <w:t>(1)</w:t>
      </w:r>
      <w:r w:rsidRPr="003D139A">
        <w:tab/>
        <w:t xml:space="preserve">An approved authorised officer may issue a certificate (a </w:t>
      </w:r>
      <w:r w:rsidRPr="00FF4454">
        <w:rPr>
          <w:rStyle w:val="charBoldItals"/>
        </w:rPr>
        <w:t>clearance certificate</w:t>
      </w:r>
      <w:r w:rsidRPr="003D139A">
        <w:t>) stating that all or stated requirements of an improvement notice have been complied with.</w:t>
      </w:r>
    </w:p>
    <w:p w14:paraId="0CF60B76" w14:textId="77777777" w:rsidR="00DB6E47" w:rsidRPr="003D139A" w:rsidRDefault="00DB6E47" w:rsidP="00DB6E47">
      <w:pPr>
        <w:pStyle w:val="Amain"/>
      </w:pPr>
      <w:r w:rsidRPr="003D139A">
        <w:tab/>
        <w:t>(2)</w:t>
      </w:r>
      <w:r w:rsidRPr="003D139A">
        <w:tab/>
        <w:t>If a person to whom an improvement notice is given receives a clearance certificate about the improvement notice, each requirement of the improvement notice that the certificate states has been complied with stops being operative.</w:t>
      </w:r>
    </w:p>
    <w:p w14:paraId="5622580D" w14:textId="77777777" w:rsidR="00DB6E47" w:rsidRPr="003D139A" w:rsidRDefault="00DB6E47" w:rsidP="00B41BF6">
      <w:pPr>
        <w:pStyle w:val="Amain"/>
        <w:keepNext/>
      </w:pPr>
      <w:r w:rsidRPr="003D139A">
        <w:lastRenderedPageBreak/>
        <w:tab/>
        <w:t>(3)</w:t>
      </w:r>
      <w:r w:rsidRPr="003D139A">
        <w:tab/>
        <w:t>In this section—</w:t>
      </w:r>
    </w:p>
    <w:p w14:paraId="7E98CEAC" w14:textId="77777777" w:rsidR="00DB6E47" w:rsidRPr="00041046" w:rsidRDefault="00DB6E47" w:rsidP="00B41BF6">
      <w:pPr>
        <w:pStyle w:val="aDef"/>
        <w:keepNext/>
        <w:rPr>
          <w:bCs/>
        </w:rPr>
      </w:pPr>
      <w:r w:rsidRPr="00041046">
        <w:rPr>
          <w:rStyle w:val="charBoldItals"/>
        </w:rPr>
        <w:t>approved authorised officer</w:t>
      </w:r>
      <w:r w:rsidRPr="00041046">
        <w:t xml:space="preserve"> means—</w:t>
      </w:r>
    </w:p>
    <w:p w14:paraId="473DA886" w14:textId="77777777" w:rsidR="00DB6E47" w:rsidRPr="009C5297" w:rsidRDefault="00DB6E47" w:rsidP="00B41BF6">
      <w:pPr>
        <w:pStyle w:val="aDefpara"/>
        <w:keepLines/>
      </w:pPr>
      <w:r w:rsidRPr="00FF4454">
        <w:tab/>
      </w:r>
      <w:r w:rsidRPr="00F04D8E">
        <w:rPr>
          <w:rFonts w:cs="Times"/>
          <w:bCs/>
          <w:iCs/>
        </w:rPr>
        <w:t>(a)</w:t>
      </w:r>
      <w:r w:rsidRPr="00FF4454">
        <w:rPr>
          <w:rStyle w:val="charBoldItals"/>
        </w:rPr>
        <w:tab/>
      </w:r>
      <w:r w:rsidRPr="009C5297">
        <w:t>for an improvement notice given by an authorised officer who is a police officer—any authorised officer who is a police officer and who has the relevant police commissioner’s written authority to issue improvement notices under this Division; or</w:t>
      </w:r>
    </w:p>
    <w:p w14:paraId="23770941" w14:textId="77777777" w:rsidR="00DB6E47" w:rsidRPr="009C5297" w:rsidRDefault="00DB6E47" w:rsidP="00DB6E47">
      <w:pPr>
        <w:pStyle w:val="aDefpara"/>
      </w:pPr>
      <w:r w:rsidRPr="009C5297">
        <w:tab/>
        <w:t>(b)</w:t>
      </w:r>
      <w:r w:rsidRPr="009C5297">
        <w:tab/>
        <w:t>for an improvement notice given by an authorised officer who is not a police officer—any authorised officer who is not a police officer.</w:t>
      </w:r>
    </w:p>
    <w:p w14:paraId="28AABDA9" w14:textId="77777777" w:rsidR="00A97DE4" w:rsidRPr="005E03F7" w:rsidRDefault="00A97DE4" w:rsidP="00A97DE4">
      <w:pPr>
        <w:pStyle w:val="AH3Div"/>
      </w:pPr>
      <w:bookmarkStart w:id="693" w:name="_Toc83626037"/>
      <w:r w:rsidRPr="005E03F7">
        <w:rPr>
          <w:rStyle w:val="CharDivNo"/>
        </w:rPr>
        <w:t>Division 5A</w:t>
      </w:r>
      <w:r>
        <w:rPr>
          <w:lang w:val="en" w:eastAsia="en-AU"/>
        </w:rPr>
        <w:tab/>
      </w:r>
      <w:r w:rsidRPr="005E03F7">
        <w:rPr>
          <w:rStyle w:val="CharDivText"/>
          <w:lang w:val="en" w:eastAsia="en-AU"/>
        </w:rPr>
        <w:t>Prohibition notices</w:t>
      </w:r>
      <w:bookmarkEnd w:id="693"/>
    </w:p>
    <w:p w14:paraId="393AB4F7" w14:textId="77777777" w:rsidR="00A97DE4" w:rsidRPr="00A97DE4" w:rsidRDefault="00A97DE4" w:rsidP="00A97DE4">
      <w:pPr>
        <w:pStyle w:val="AH5Sec"/>
        <w:rPr>
          <w:lang w:val="en" w:eastAsia="en-AU"/>
        </w:rPr>
      </w:pPr>
      <w:bookmarkStart w:id="694" w:name="_Toc83626038"/>
      <w:r w:rsidRPr="005E03F7">
        <w:rPr>
          <w:rStyle w:val="CharSectNo"/>
        </w:rPr>
        <w:t>576A</w:t>
      </w:r>
      <w:r>
        <w:rPr>
          <w:lang w:val="en" w:eastAsia="en-AU"/>
        </w:rPr>
        <w:tab/>
      </w:r>
      <w:r w:rsidRPr="00A97DE4">
        <w:rPr>
          <w:lang w:val="en" w:eastAsia="en-AU"/>
        </w:rPr>
        <w:t>Power to issue prohibition notice</w:t>
      </w:r>
      <w:bookmarkEnd w:id="694"/>
    </w:p>
    <w:p w14:paraId="1C3D46E4" w14:textId="77777777" w:rsidR="00A97DE4" w:rsidRPr="00A97DE4" w:rsidRDefault="00A97DE4" w:rsidP="00A97DE4">
      <w:pPr>
        <w:pStyle w:val="Amain"/>
        <w:rPr>
          <w:lang w:val="en" w:eastAsia="en-AU"/>
        </w:rPr>
      </w:pPr>
      <w:r>
        <w:rPr>
          <w:lang w:val="en" w:eastAsia="en-AU"/>
        </w:rPr>
        <w:tab/>
      </w:r>
      <w:r w:rsidRPr="00A97DE4">
        <w:rPr>
          <w:lang w:val="en" w:eastAsia="en-AU"/>
        </w:rPr>
        <w:t>(1)</w:t>
      </w:r>
      <w:r>
        <w:rPr>
          <w:lang w:val="en" w:eastAsia="en-AU"/>
        </w:rPr>
        <w:tab/>
      </w:r>
      <w:r w:rsidRPr="00A97DE4">
        <w:rPr>
          <w:lang w:val="en" w:eastAsia="en-AU"/>
        </w:rPr>
        <w:t>This section applies if an authorised officer reasonably believes that an activity involving a heavy vehicle—</w:t>
      </w:r>
    </w:p>
    <w:p w14:paraId="75D56687" w14:textId="77777777" w:rsidR="00A97DE4" w:rsidRPr="00A97DE4" w:rsidRDefault="00A97DE4" w:rsidP="00A97DE4">
      <w:pPr>
        <w:pStyle w:val="Apara"/>
        <w:rPr>
          <w:lang w:val="en" w:eastAsia="en-AU"/>
        </w:rPr>
      </w:pPr>
      <w:r>
        <w:rPr>
          <w:lang w:val="en" w:eastAsia="en-AU"/>
        </w:rPr>
        <w:tab/>
      </w:r>
      <w:r w:rsidRPr="00A97DE4">
        <w:rPr>
          <w:lang w:val="en" w:eastAsia="en-AU"/>
        </w:rPr>
        <w:t>(a)</w:t>
      </w:r>
      <w:r>
        <w:rPr>
          <w:lang w:val="en" w:eastAsia="en-AU"/>
        </w:rPr>
        <w:tab/>
      </w:r>
      <w:r w:rsidRPr="00A97DE4">
        <w:rPr>
          <w:lang w:val="en" w:eastAsia="en-AU"/>
        </w:rPr>
        <w:t>is occurring and involves, or will involve, an immediate or imminent serious risk to the health or safety of a person; or</w:t>
      </w:r>
    </w:p>
    <w:p w14:paraId="16CB30BF" w14:textId="77777777" w:rsidR="00A97DE4" w:rsidRPr="00A97DE4" w:rsidRDefault="00A97DE4" w:rsidP="00A97DE4">
      <w:pPr>
        <w:pStyle w:val="Apara"/>
        <w:rPr>
          <w:lang w:val="en" w:eastAsia="en-AU"/>
        </w:rPr>
      </w:pPr>
      <w:r>
        <w:rPr>
          <w:lang w:val="en" w:eastAsia="en-AU"/>
        </w:rPr>
        <w:tab/>
      </w:r>
      <w:r w:rsidRPr="00A97DE4">
        <w:rPr>
          <w:lang w:val="en" w:eastAsia="en-AU"/>
        </w:rPr>
        <w:t>(b)</w:t>
      </w:r>
      <w:r>
        <w:rPr>
          <w:lang w:val="en" w:eastAsia="en-AU"/>
        </w:rPr>
        <w:tab/>
      </w:r>
      <w:r w:rsidRPr="00A97DE4">
        <w:rPr>
          <w:lang w:val="en" w:eastAsia="en-AU"/>
        </w:rPr>
        <w:t>may occur and, if it occurs, will involve an immediate or imminent serious risk to the health or safety of a person.</w:t>
      </w:r>
    </w:p>
    <w:p w14:paraId="0C19D1DA" w14:textId="77777777" w:rsidR="00A97DE4" w:rsidRPr="00A97DE4" w:rsidRDefault="00A97DE4" w:rsidP="00A97DE4">
      <w:pPr>
        <w:pStyle w:val="Amain"/>
        <w:rPr>
          <w:lang w:val="en" w:eastAsia="en-AU"/>
        </w:rPr>
      </w:pPr>
      <w:r>
        <w:rPr>
          <w:lang w:val="en" w:eastAsia="en-AU"/>
        </w:rPr>
        <w:tab/>
      </w:r>
      <w:r w:rsidRPr="00A97DE4">
        <w:rPr>
          <w:lang w:val="en" w:eastAsia="en-AU"/>
        </w:rPr>
        <w:t>(2)</w:t>
      </w:r>
      <w:r>
        <w:rPr>
          <w:lang w:val="en" w:eastAsia="en-AU"/>
        </w:rPr>
        <w:tab/>
      </w:r>
      <w:r w:rsidRPr="00A97DE4">
        <w:rPr>
          <w:lang w:val="en" w:eastAsia="en-AU"/>
        </w:rPr>
        <w:t>The authorised officer may give a person who has control over the activity a direction prohibiting the carrying on of the activity, or the carrying on of the activity in a specified way, until an authorised officer is satisfied that the matters that give or will give rise to the risk have been remedied.</w:t>
      </w:r>
    </w:p>
    <w:p w14:paraId="55945017" w14:textId="77777777" w:rsidR="00A97DE4" w:rsidRPr="00A97DE4" w:rsidRDefault="00A97DE4" w:rsidP="00A97DE4">
      <w:pPr>
        <w:pStyle w:val="Amain"/>
        <w:rPr>
          <w:lang w:val="en" w:eastAsia="en-AU"/>
        </w:rPr>
      </w:pPr>
      <w:r>
        <w:rPr>
          <w:lang w:val="en" w:eastAsia="en-AU"/>
        </w:rPr>
        <w:tab/>
      </w:r>
      <w:r w:rsidRPr="00A97DE4">
        <w:rPr>
          <w:lang w:val="en" w:eastAsia="en-AU"/>
        </w:rPr>
        <w:t>(3)</w:t>
      </w:r>
      <w:r>
        <w:rPr>
          <w:lang w:val="en" w:eastAsia="en-AU"/>
        </w:rPr>
        <w:tab/>
      </w:r>
      <w:r w:rsidRPr="00A97DE4">
        <w:rPr>
          <w:lang w:val="en" w:eastAsia="en-AU"/>
        </w:rPr>
        <w:t xml:space="preserve">The direction may be given orally, but must be confirmed by written notice (a </w:t>
      </w:r>
      <w:r w:rsidRPr="00A97DE4">
        <w:rPr>
          <w:b/>
          <w:bCs/>
          <w:i/>
          <w:iCs/>
          <w:lang w:val="en" w:eastAsia="en-AU"/>
        </w:rPr>
        <w:t>prohibition notice</w:t>
      </w:r>
      <w:r w:rsidRPr="00A97DE4">
        <w:rPr>
          <w:lang w:val="en" w:eastAsia="en-AU"/>
        </w:rPr>
        <w:t>) given to the person as soon as practicable.</w:t>
      </w:r>
    </w:p>
    <w:p w14:paraId="35D16F87" w14:textId="77777777" w:rsidR="00A97DE4" w:rsidRPr="00A97DE4" w:rsidRDefault="00A97DE4" w:rsidP="00A97DE4">
      <w:pPr>
        <w:pStyle w:val="AH5Sec"/>
        <w:rPr>
          <w:lang w:val="en" w:eastAsia="en-AU"/>
        </w:rPr>
      </w:pPr>
      <w:bookmarkStart w:id="695" w:name="_Toc83626039"/>
      <w:r w:rsidRPr="005E03F7">
        <w:rPr>
          <w:rStyle w:val="CharSectNo"/>
        </w:rPr>
        <w:lastRenderedPageBreak/>
        <w:t>576B</w:t>
      </w:r>
      <w:r>
        <w:rPr>
          <w:lang w:val="en" w:eastAsia="en-AU"/>
        </w:rPr>
        <w:tab/>
      </w:r>
      <w:r w:rsidRPr="00A97DE4">
        <w:rPr>
          <w:lang w:val="en" w:eastAsia="en-AU"/>
        </w:rPr>
        <w:t>Contents of prohibition notice</w:t>
      </w:r>
      <w:bookmarkEnd w:id="695"/>
    </w:p>
    <w:p w14:paraId="3EB05A78" w14:textId="77777777" w:rsidR="00A97DE4" w:rsidRPr="00A97DE4" w:rsidRDefault="00A97DE4" w:rsidP="000E08E8">
      <w:pPr>
        <w:pStyle w:val="Amain"/>
        <w:keepNext/>
        <w:rPr>
          <w:lang w:val="en" w:eastAsia="en-AU"/>
        </w:rPr>
      </w:pPr>
      <w:r>
        <w:rPr>
          <w:lang w:val="en" w:eastAsia="en-AU"/>
        </w:rPr>
        <w:tab/>
      </w:r>
      <w:r w:rsidRPr="00A97DE4">
        <w:rPr>
          <w:lang w:val="en" w:eastAsia="en-AU"/>
        </w:rPr>
        <w:t>(1)</w:t>
      </w:r>
      <w:r>
        <w:rPr>
          <w:lang w:val="en" w:eastAsia="en-AU"/>
        </w:rPr>
        <w:tab/>
      </w:r>
      <w:r w:rsidRPr="00A97DE4">
        <w:rPr>
          <w:lang w:val="en" w:eastAsia="en-AU"/>
        </w:rPr>
        <w:t>A prohibition notice must state—</w:t>
      </w:r>
    </w:p>
    <w:p w14:paraId="0E8B91ED" w14:textId="77777777" w:rsidR="00A97DE4" w:rsidRPr="00A97DE4" w:rsidRDefault="00A97DE4" w:rsidP="00A97DE4">
      <w:pPr>
        <w:pStyle w:val="Apara"/>
        <w:rPr>
          <w:lang w:val="en" w:eastAsia="en-AU"/>
        </w:rPr>
      </w:pPr>
      <w:r>
        <w:rPr>
          <w:lang w:val="en" w:eastAsia="en-AU"/>
        </w:rPr>
        <w:tab/>
      </w:r>
      <w:r w:rsidRPr="00A97DE4">
        <w:rPr>
          <w:lang w:val="en" w:eastAsia="en-AU"/>
        </w:rPr>
        <w:t>(a)</w:t>
      </w:r>
      <w:r>
        <w:rPr>
          <w:lang w:val="en" w:eastAsia="en-AU"/>
        </w:rPr>
        <w:tab/>
      </w:r>
      <w:r w:rsidRPr="00A97DE4">
        <w:rPr>
          <w:lang w:val="en" w:eastAsia="en-AU"/>
        </w:rPr>
        <w:t>that the authorised officer believes that grounds for the issue of the prohibition notice exist and the basis for that belief; and</w:t>
      </w:r>
    </w:p>
    <w:p w14:paraId="1B69ECE5" w14:textId="77777777" w:rsidR="00A97DE4" w:rsidRPr="00A97DE4" w:rsidRDefault="00A97DE4" w:rsidP="00A97DE4">
      <w:pPr>
        <w:pStyle w:val="Apara"/>
        <w:rPr>
          <w:lang w:val="en" w:eastAsia="en-AU"/>
        </w:rPr>
      </w:pPr>
      <w:r>
        <w:rPr>
          <w:lang w:val="en" w:eastAsia="en-AU"/>
        </w:rPr>
        <w:tab/>
      </w:r>
      <w:r w:rsidRPr="00A97DE4">
        <w:rPr>
          <w:lang w:val="en" w:eastAsia="en-AU"/>
        </w:rPr>
        <w:t>(b)</w:t>
      </w:r>
      <w:r>
        <w:rPr>
          <w:lang w:val="en" w:eastAsia="en-AU"/>
        </w:rPr>
        <w:tab/>
      </w:r>
      <w:r w:rsidRPr="00A97DE4">
        <w:rPr>
          <w:lang w:val="en" w:eastAsia="en-AU"/>
        </w:rPr>
        <w:t>briefly, the activity that the authorised officer believes involves or will involve the risk and the matters that give or will give rise to the risk; and</w:t>
      </w:r>
    </w:p>
    <w:p w14:paraId="49B1BEB8" w14:textId="77777777" w:rsidR="00A97DE4" w:rsidRPr="00A97DE4" w:rsidRDefault="00A97DE4" w:rsidP="00A97DE4">
      <w:pPr>
        <w:pStyle w:val="Apara"/>
        <w:rPr>
          <w:lang w:val="en" w:eastAsia="en-AU"/>
        </w:rPr>
      </w:pPr>
      <w:r>
        <w:rPr>
          <w:lang w:val="en" w:eastAsia="en-AU"/>
        </w:rPr>
        <w:tab/>
      </w:r>
      <w:r w:rsidRPr="00A97DE4">
        <w:rPr>
          <w:lang w:val="en" w:eastAsia="en-AU"/>
        </w:rPr>
        <w:t>(c)</w:t>
      </w:r>
      <w:r>
        <w:rPr>
          <w:lang w:val="en" w:eastAsia="en-AU"/>
        </w:rPr>
        <w:tab/>
      </w:r>
      <w:r w:rsidRPr="00A97DE4">
        <w:rPr>
          <w:lang w:val="en" w:eastAsia="en-AU"/>
        </w:rPr>
        <w:t>the provision of this Law that the authorised officer believes is being, or is likely to be, contravened by that activity.</w:t>
      </w:r>
    </w:p>
    <w:p w14:paraId="42EE7528" w14:textId="77777777" w:rsidR="00A97DE4" w:rsidRPr="00A97DE4" w:rsidRDefault="00A97DE4" w:rsidP="00A97DE4">
      <w:pPr>
        <w:pStyle w:val="Amain"/>
        <w:rPr>
          <w:lang w:val="en" w:eastAsia="en-AU"/>
        </w:rPr>
      </w:pPr>
      <w:r>
        <w:rPr>
          <w:lang w:val="en" w:eastAsia="en-AU"/>
        </w:rPr>
        <w:tab/>
      </w:r>
      <w:r w:rsidRPr="00A97DE4">
        <w:rPr>
          <w:lang w:val="en" w:eastAsia="en-AU"/>
        </w:rPr>
        <w:t>(2)</w:t>
      </w:r>
      <w:r>
        <w:rPr>
          <w:lang w:val="en" w:eastAsia="en-AU"/>
        </w:rPr>
        <w:tab/>
      </w:r>
      <w:r w:rsidRPr="00A97DE4">
        <w:rPr>
          <w:lang w:val="en" w:eastAsia="en-AU"/>
        </w:rPr>
        <w:t>A prohibition notice may include directions on the measures to be taken to remedy the risk, activities or matters to which the notice relates, or the contravention or likely contravention mentioned in subsection (1)(c).</w:t>
      </w:r>
    </w:p>
    <w:p w14:paraId="511150FA" w14:textId="77777777" w:rsidR="00A97DE4" w:rsidRPr="00A97DE4" w:rsidRDefault="00A97DE4" w:rsidP="00A97DE4">
      <w:pPr>
        <w:pStyle w:val="Amain"/>
        <w:rPr>
          <w:lang w:val="en" w:eastAsia="en-AU"/>
        </w:rPr>
      </w:pPr>
      <w:r>
        <w:rPr>
          <w:lang w:val="en" w:eastAsia="en-AU"/>
        </w:rPr>
        <w:tab/>
      </w:r>
      <w:r w:rsidRPr="00A97DE4">
        <w:rPr>
          <w:lang w:val="en" w:eastAsia="en-AU"/>
        </w:rPr>
        <w:t>(3)</w:t>
      </w:r>
      <w:r>
        <w:rPr>
          <w:lang w:val="en" w:eastAsia="en-AU"/>
        </w:rPr>
        <w:tab/>
      </w:r>
      <w:r w:rsidRPr="00A97DE4">
        <w:rPr>
          <w:lang w:val="en" w:eastAsia="en-AU"/>
        </w:rPr>
        <w:t>Without limiting section 576A, a prohibition notice that prohibits the carrying on of an activity in a specified way may do so by stating 1 or more of the following—</w:t>
      </w:r>
    </w:p>
    <w:p w14:paraId="205C71AC" w14:textId="77777777" w:rsidR="00A97DE4" w:rsidRPr="00A97DE4" w:rsidRDefault="00A97DE4" w:rsidP="00A97DE4">
      <w:pPr>
        <w:pStyle w:val="Apara"/>
        <w:rPr>
          <w:lang w:val="en" w:eastAsia="en-AU"/>
        </w:rPr>
      </w:pPr>
      <w:r>
        <w:rPr>
          <w:lang w:val="en" w:eastAsia="en-AU"/>
        </w:rPr>
        <w:tab/>
      </w:r>
      <w:r w:rsidRPr="00A97DE4">
        <w:rPr>
          <w:lang w:val="en" w:eastAsia="en-AU"/>
        </w:rPr>
        <w:t>(a)</w:t>
      </w:r>
      <w:r>
        <w:rPr>
          <w:lang w:val="en" w:eastAsia="en-AU"/>
        </w:rPr>
        <w:tab/>
      </w:r>
      <w:r w:rsidRPr="00A97DE4">
        <w:rPr>
          <w:lang w:val="en" w:eastAsia="en-AU"/>
        </w:rPr>
        <w:t>a heavy vehicle, or part of a heavy vehicle, in which the activity is not to be carried out;</w:t>
      </w:r>
    </w:p>
    <w:p w14:paraId="158187B6" w14:textId="77777777" w:rsidR="00A97DE4" w:rsidRPr="00A97DE4" w:rsidRDefault="00A97DE4" w:rsidP="00A97DE4">
      <w:pPr>
        <w:pStyle w:val="Apara"/>
        <w:rPr>
          <w:lang w:val="en" w:eastAsia="en-AU"/>
        </w:rPr>
      </w:pPr>
      <w:r>
        <w:rPr>
          <w:lang w:val="en" w:eastAsia="en-AU"/>
        </w:rPr>
        <w:tab/>
      </w:r>
      <w:r w:rsidRPr="00A97DE4">
        <w:rPr>
          <w:lang w:val="en" w:eastAsia="en-AU"/>
        </w:rPr>
        <w:t>(b)</w:t>
      </w:r>
      <w:r>
        <w:rPr>
          <w:lang w:val="en" w:eastAsia="en-AU"/>
        </w:rPr>
        <w:tab/>
      </w:r>
      <w:r w:rsidRPr="00A97DE4">
        <w:rPr>
          <w:lang w:val="en" w:eastAsia="en-AU"/>
        </w:rPr>
        <w:t>anything that is not to be used in connection with the activity;</w:t>
      </w:r>
    </w:p>
    <w:p w14:paraId="25401BBF" w14:textId="77777777" w:rsidR="00A97DE4" w:rsidRPr="00A97DE4" w:rsidRDefault="00A97DE4" w:rsidP="00A97DE4">
      <w:pPr>
        <w:pStyle w:val="Apara"/>
        <w:rPr>
          <w:lang w:val="en" w:eastAsia="en-AU"/>
        </w:rPr>
      </w:pPr>
      <w:r>
        <w:rPr>
          <w:lang w:val="en" w:eastAsia="en-AU"/>
        </w:rPr>
        <w:tab/>
      </w:r>
      <w:r w:rsidRPr="00A97DE4">
        <w:rPr>
          <w:lang w:val="en" w:eastAsia="en-AU"/>
        </w:rPr>
        <w:t>(c)</w:t>
      </w:r>
      <w:r>
        <w:rPr>
          <w:lang w:val="en" w:eastAsia="en-AU"/>
        </w:rPr>
        <w:tab/>
      </w:r>
      <w:r w:rsidRPr="00A97DE4">
        <w:rPr>
          <w:lang w:val="en" w:eastAsia="en-AU"/>
        </w:rPr>
        <w:t>any procedure that is not to be followed in connection with the activity.</w:t>
      </w:r>
    </w:p>
    <w:p w14:paraId="277544EE" w14:textId="77777777" w:rsidR="00A97DE4" w:rsidRPr="00A97DE4" w:rsidRDefault="00A97DE4" w:rsidP="00A97DE4">
      <w:pPr>
        <w:pStyle w:val="AH5Sec"/>
        <w:rPr>
          <w:lang w:val="en" w:eastAsia="en-AU"/>
        </w:rPr>
      </w:pPr>
      <w:bookmarkStart w:id="696" w:name="_Toc83626040"/>
      <w:r w:rsidRPr="005E03F7">
        <w:rPr>
          <w:rStyle w:val="CharSectNo"/>
        </w:rPr>
        <w:t>576C</w:t>
      </w:r>
      <w:r>
        <w:rPr>
          <w:lang w:val="en" w:eastAsia="en-AU"/>
        </w:rPr>
        <w:tab/>
      </w:r>
      <w:r w:rsidRPr="00A97DE4">
        <w:rPr>
          <w:lang w:val="en" w:eastAsia="en-AU"/>
        </w:rPr>
        <w:t>Compliance with prohibition notice</w:t>
      </w:r>
      <w:bookmarkEnd w:id="696"/>
    </w:p>
    <w:p w14:paraId="58E2306E" w14:textId="77777777" w:rsidR="00A97DE4" w:rsidRPr="00A97DE4" w:rsidRDefault="00A97DE4" w:rsidP="00A97DE4">
      <w:pPr>
        <w:pStyle w:val="Amainreturn"/>
        <w:rPr>
          <w:lang w:val="en" w:eastAsia="en-AU"/>
        </w:rPr>
      </w:pPr>
      <w:r w:rsidRPr="00A97DE4">
        <w:rPr>
          <w:lang w:val="en" w:eastAsia="en-AU"/>
        </w:rPr>
        <w:t>A person given a direction under section 576A(2) or a prohibition notice must comply with the direction or notice.</w:t>
      </w:r>
    </w:p>
    <w:p w14:paraId="7868E138" w14:textId="77777777" w:rsidR="00A97DE4" w:rsidRPr="00A97DE4" w:rsidRDefault="00A97DE4" w:rsidP="00A97DE4">
      <w:pPr>
        <w:pStyle w:val="Penalty"/>
        <w:rPr>
          <w:lang w:val="en" w:eastAsia="en-AU"/>
        </w:rPr>
      </w:pPr>
      <w:r w:rsidRPr="00A97DE4">
        <w:rPr>
          <w:lang w:val="en" w:eastAsia="en-AU"/>
        </w:rPr>
        <w:t>Maximum penalty—$10000.</w:t>
      </w:r>
    </w:p>
    <w:p w14:paraId="6A952BCF" w14:textId="77777777" w:rsidR="00A97DE4" w:rsidRPr="005E03F7" w:rsidRDefault="00A97DE4" w:rsidP="0033155A">
      <w:pPr>
        <w:pStyle w:val="AH3Div"/>
      </w:pPr>
      <w:bookmarkStart w:id="697" w:name="_Toc83626041"/>
      <w:r w:rsidRPr="005E03F7">
        <w:rPr>
          <w:rStyle w:val="CharDivNo"/>
        </w:rPr>
        <w:lastRenderedPageBreak/>
        <w:t>Division 5B</w:t>
      </w:r>
      <w:r w:rsidR="0033155A">
        <w:rPr>
          <w:lang w:val="en" w:eastAsia="en-AU"/>
        </w:rPr>
        <w:tab/>
      </w:r>
      <w:r w:rsidRPr="005E03F7">
        <w:rPr>
          <w:rStyle w:val="CharDivText"/>
          <w:lang w:val="en" w:eastAsia="en-AU"/>
        </w:rPr>
        <w:t>Injunctions</w:t>
      </w:r>
      <w:bookmarkEnd w:id="697"/>
    </w:p>
    <w:p w14:paraId="77BE97CF" w14:textId="77777777" w:rsidR="00A97DE4" w:rsidRPr="00A97DE4" w:rsidRDefault="0033155A" w:rsidP="0033155A">
      <w:pPr>
        <w:pStyle w:val="AH5Sec"/>
        <w:rPr>
          <w:lang w:val="en" w:eastAsia="en-AU"/>
        </w:rPr>
      </w:pPr>
      <w:bookmarkStart w:id="698" w:name="_Toc83626042"/>
      <w:r w:rsidRPr="005E03F7">
        <w:rPr>
          <w:rStyle w:val="CharSectNo"/>
        </w:rPr>
        <w:t>576D</w:t>
      </w:r>
      <w:r>
        <w:rPr>
          <w:lang w:val="en" w:eastAsia="en-AU"/>
        </w:rPr>
        <w:tab/>
      </w:r>
      <w:r w:rsidR="00A97DE4" w:rsidRPr="00A97DE4">
        <w:rPr>
          <w:lang w:val="en" w:eastAsia="en-AU"/>
        </w:rPr>
        <w:t>Application of Div 5B</w:t>
      </w:r>
      <w:bookmarkEnd w:id="698"/>
    </w:p>
    <w:p w14:paraId="65D2EAD1" w14:textId="77777777" w:rsidR="00A97DE4" w:rsidRPr="00A97DE4" w:rsidRDefault="00A97DE4" w:rsidP="0033155A">
      <w:pPr>
        <w:pStyle w:val="Amainreturn"/>
        <w:rPr>
          <w:lang w:val="en" w:eastAsia="en-AU"/>
        </w:rPr>
      </w:pPr>
      <w:r w:rsidRPr="00A97DE4">
        <w:rPr>
          <w:lang w:val="en" w:eastAsia="en-AU"/>
        </w:rPr>
        <w:t>In this Division—</w:t>
      </w:r>
    </w:p>
    <w:p w14:paraId="67872F43" w14:textId="77777777" w:rsidR="00A97DE4" w:rsidRPr="00A97DE4" w:rsidRDefault="00A97DE4" w:rsidP="0033155A">
      <w:pPr>
        <w:pStyle w:val="aDef"/>
        <w:rPr>
          <w:lang w:val="en" w:eastAsia="en-AU"/>
        </w:rPr>
      </w:pPr>
      <w:r w:rsidRPr="00A97DE4">
        <w:rPr>
          <w:b/>
          <w:bCs/>
          <w:i/>
          <w:iCs/>
          <w:lang w:val="en" w:eastAsia="en-AU"/>
        </w:rPr>
        <w:t>notice</w:t>
      </w:r>
      <w:r w:rsidRPr="00A97DE4">
        <w:rPr>
          <w:lang w:val="en" w:eastAsia="en-AU"/>
        </w:rPr>
        <w:t xml:space="preserve"> means an improvement notice or a prohibition notice.</w:t>
      </w:r>
    </w:p>
    <w:p w14:paraId="482D074A" w14:textId="77777777" w:rsidR="00A97DE4" w:rsidRPr="00A97DE4" w:rsidRDefault="0033155A" w:rsidP="0033155A">
      <w:pPr>
        <w:pStyle w:val="AH5Sec"/>
        <w:rPr>
          <w:lang w:val="en" w:eastAsia="en-AU"/>
        </w:rPr>
      </w:pPr>
      <w:bookmarkStart w:id="699" w:name="_Toc83626043"/>
      <w:r w:rsidRPr="005E03F7">
        <w:rPr>
          <w:rStyle w:val="CharSectNo"/>
        </w:rPr>
        <w:t>576E</w:t>
      </w:r>
      <w:r>
        <w:rPr>
          <w:lang w:val="en" w:eastAsia="en-AU"/>
        </w:rPr>
        <w:tab/>
      </w:r>
      <w:r w:rsidR="00A97DE4" w:rsidRPr="00A97DE4">
        <w:rPr>
          <w:lang w:val="en" w:eastAsia="en-AU"/>
        </w:rPr>
        <w:t>Injunction for noncompliance with notice</w:t>
      </w:r>
      <w:bookmarkEnd w:id="699"/>
    </w:p>
    <w:p w14:paraId="027D7595" w14:textId="77777777" w:rsidR="00A97DE4" w:rsidRPr="00A97DE4" w:rsidRDefault="0033155A" w:rsidP="0033155A">
      <w:pPr>
        <w:pStyle w:val="Amain"/>
        <w:rPr>
          <w:lang w:val="en" w:eastAsia="en-AU"/>
        </w:rPr>
      </w:pPr>
      <w:r>
        <w:rPr>
          <w:lang w:val="en" w:eastAsia="en-AU"/>
        </w:rPr>
        <w:tab/>
      </w:r>
      <w:r w:rsidR="00A97DE4" w:rsidRPr="00A97DE4">
        <w:rPr>
          <w:lang w:val="en" w:eastAsia="en-AU"/>
        </w:rPr>
        <w:t>(1)</w:t>
      </w:r>
      <w:r>
        <w:rPr>
          <w:lang w:val="en" w:eastAsia="en-AU"/>
        </w:rPr>
        <w:tab/>
      </w:r>
      <w:r w:rsidR="00A97DE4" w:rsidRPr="00A97DE4">
        <w:rPr>
          <w:lang w:val="en" w:eastAsia="en-AU"/>
        </w:rPr>
        <w:t>An authorised officer may apply to the Supreme Court for an injunction—</w:t>
      </w:r>
    </w:p>
    <w:p w14:paraId="2214847C" w14:textId="77777777" w:rsidR="00A97DE4" w:rsidRPr="00A97DE4" w:rsidRDefault="0033155A" w:rsidP="0033155A">
      <w:pPr>
        <w:pStyle w:val="Apara"/>
        <w:rPr>
          <w:lang w:val="en" w:eastAsia="en-AU"/>
        </w:rPr>
      </w:pPr>
      <w:r>
        <w:rPr>
          <w:lang w:val="en" w:eastAsia="en-AU"/>
        </w:rPr>
        <w:tab/>
      </w:r>
      <w:r w:rsidR="00A97DE4" w:rsidRPr="00A97DE4">
        <w:rPr>
          <w:lang w:val="en" w:eastAsia="en-AU"/>
        </w:rPr>
        <w:t>(a)</w:t>
      </w:r>
      <w:r>
        <w:rPr>
          <w:lang w:val="en" w:eastAsia="en-AU"/>
        </w:rPr>
        <w:tab/>
      </w:r>
      <w:r w:rsidR="00A97DE4" w:rsidRPr="00A97DE4">
        <w:rPr>
          <w:lang w:val="en" w:eastAsia="en-AU"/>
        </w:rPr>
        <w:t>compelling a person to comply with a notice; or</w:t>
      </w:r>
    </w:p>
    <w:p w14:paraId="082B5B19" w14:textId="77777777" w:rsidR="00A97DE4" w:rsidRPr="00A97DE4" w:rsidRDefault="0033155A" w:rsidP="0033155A">
      <w:pPr>
        <w:pStyle w:val="Apara"/>
        <w:rPr>
          <w:lang w:val="en" w:eastAsia="en-AU"/>
        </w:rPr>
      </w:pPr>
      <w:r>
        <w:rPr>
          <w:lang w:val="en" w:eastAsia="en-AU"/>
        </w:rPr>
        <w:tab/>
      </w:r>
      <w:r w:rsidR="00A97DE4" w:rsidRPr="00A97DE4">
        <w:rPr>
          <w:lang w:val="en" w:eastAsia="en-AU"/>
        </w:rPr>
        <w:t>(b)</w:t>
      </w:r>
      <w:r>
        <w:rPr>
          <w:lang w:val="en" w:eastAsia="en-AU"/>
        </w:rPr>
        <w:tab/>
      </w:r>
      <w:r w:rsidR="00A97DE4" w:rsidRPr="00A97DE4">
        <w:rPr>
          <w:lang w:val="en" w:eastAsia="en-AU"/>
        </w:rPr>
        <w:t>restraining a person from contravening a notice.</w:t>
      </w:r>
    </w:p>
    <w:p w14:paraId="02529498" w14:textId="77777777" w:rsidR="00A97DE4" w:rsidRPr="00A97DE4" w:rsidRDefault="0033155A" w:rsidP="0033155A">
      <w:pPr>
        <w:pStyle w:val="Amain"/>
        <w:rPr>
          <w:lang w:val="en" w:eastAsia="en-AU"/>
        </w:rPr>
      </w:pPr>
      <w:r>
        <w:rPr>
          <w:lang w:val="en" w:eastAsia="en-AU"/>
        </w:rPr>
        <w:tab/>
      </w:r>
      <w:r w:rsidR="00A97DE4" w:rsidRPr="00A97DE4">
        <w:rPr>
          <w:lang w:val="en" w:eastAsia="en-AU"/>
        </w:rPr>
        <w:t>(2)</w:t>
      </w:r>
      <w:r>
        <w:rPr>
          <w:lang w:val="en" w:eastAsia="en-AU"/>
        </w:rPr>
        <w:tab/>
      </w:r>
      <w:r w:rsidR="00A97DE4" w:rsidRPr="00A97DE4">
        <w:rPr>
          <w:lang w:val="en" w:eastAsia="en-AU"/>
        </w:rPr>
        <w:t>The authorised officer may do so—</w:t>
      </w:r>
    </w:p>
    <w:p w14:paraId="351B3BC6" w14:textId="77777777" w:rsidR="00A97DE4" w:rsidRPr="00A97DE4" w:rsidRDefault="0033155A" w:rsidP="0033155A">
      <w:pPr>
        <w:pStyle w:val="Apara"/>
        <w:rPr>
          <w:lang w:val="en" w:eastAsia="en-AU"/>
        </w:rPr>
      </w:pPr>
      <w:r>
        <w:rPr>
          <w:lang w:val="en" w:eastAsia="en-AU"/>
        </w:rPr>
        <w:tab/>
      </w:r>
      <w:r w:rsidR="00A97DE4" w:rsidRPr="00A97DE4">
        <w:rPr>
          <w:lang w:val="en" w:eastAsia="en-AU"/>
        </w:rPr>
        <w:t>(a)</w:t>
      </w:r>
      <w:r>
        <w:rPr>
          <w:lang w:val="en" w:eastAsia="en-AU"/>
        </w:rPr>
        <w:tab/>
      </w:r>
      <w:r w:rsidR="00A97DE4" w:rsidRPr="00A97DE4">
        <w:rPr>
          <w:lang w:val="en" w:eastAsia="en-AU"/>
        </w:rPr>
        <w:t>whether or not a proceeding has been brought for an offence against this Law in connection with any matter in relation to which the notice was issued; and</w:t>
      </w:r>
    </w:p>
    <w:p w14:paraId="70D0E961" w14:textId="77777777" w:rsidR="00A97DE4" w:rsidRPr="00A97DE4" w:rsidRDefault="0033155A" w:rsidP="0033155A">
      <w:pPr>
        <w:pStyle w:val="Apara"/>
        <w:rPr>
          <w:lang w:val="en" w:eastAsia="en-AU"/>
        </w:rPr>
      </w:pPr>
      <w:r>
        <w:rPr>
          <w:lang w:val="en" w:eastAsia="en-AU"/>
        </w:rPr>
        <w:tab/>
      </w:r>
      <w:r w:rsidR="00A97DE4" w:rsidRPr="00A97DE4">
        <w:rPr>
          <w:lang w:val="en" w:eastAsia="en-AU"/>
        </w:rPr>
        <w:t>(b)</w:t>
      </w:r>
      <w:r>
        <w:rPr>
          <w:lang w:val="en" w:eastAsia="en-AU"/>
        </w:rPr>
        <w:tab/>
      </w:r>
      <w:r w:rsidR="00A97DE4" w:rsidRPr="00A97DE4">
        <w:rPr>
          <w:lang w:val="en" w:eastAsia="en-AU"/>
        </w:rPr>
        <w:t>whether any period for compliance with the notice has expired.</w:t>
      </w:r>
    </w:p>
    <w:p w14:paraId="199625E7" w14:textId="77777777" w:rsidR="00A97DE4" w:rsidRPr="00A97DE4" w:rsidRDefault="0033155A" w:rsidP="0033155A">
      <w:pPr>
        <w:pStyle w:val="Amain"/>
        <w:rPr>
          <w:lang w:val="en" w:eastAsia="en-AU"/>
        </w:rPr>
      </w:pPr>
      <w:r>
        <w:rPr>
          <w:lang w:val="en" w:eastAsia="en-AU"/>
        </w:rPr>
        <w:tab/>
      </w:r>
      <w:r w:rsidR="00A97DE4" w:rsidRPr="00A97DE4">
        <w:rPr>
          <w:lang w:val="en" w:eastAsia="en-AU"/>
        </w:rPr>
        <w:t>(3)</w:t>
      </w:r>
      <w:r>
        <w:rPr>
          <w:lang w:val="en" w:eastAsia="en-AU"/>
        </w:rPr>
        <w:tab/>
      </w:r>
      <w:r w:rsidR="00A97DE4" w:rsidRPr="00A97DE4">
        <w:rPr>
          <w:lang w:val="en" w:eastAsia="en-AU"/>
        </w:rPr>
        <w:t>An authorised officer may make an application under this section only if—</w:t>
      </w:r>
    </w:p>
    <w:p w14:paraId="3038C58B" w14:textId="77777777" w:rsidR="00A97DE4" w:rsidRPr="00A97DE4" w:rsidRDefault="0033155A" w:rsidP="0033155A">
      <w:pPr>
        <w:pStyle w:val="Apara"/>
        <w:rPr>
          <w:lang w:val="en" w:eastAsia="en-AU"/>
        </w:rPr>
      </w:pPr>
      <w:r>
        <w:rPr>
          <w:lang w:val="en" w:eastAsia="en-AU"/>
        </w:rPr>
        <w:tab/>
      </w:r>
      <w:r w:rsidR="00A97DE4" w:rsidRPr="00A97DE4">
        <w:rPr>
          <w:lang w:val="en" w:eastAsia="en-AU"/>
        </w:rPr>
        <w:t>(a)</w:t>
      </w:r>
      <w:r>
        <w:rPr>
          <w:lang w:val="en" w:eastAsia="en-AU"/>
        </w:rPr>
        <w:tab/>
      </w:r>
      <w:r w:rsidR="00A97DE4" w:rsidRPr="00A97DE4">
        <w:rPr>
          <w:lang w:val="en" w:eastAsia="en-AU"/>
        </w:rPr>
        <w:t>for an authorised officer who is a police officer—the officer has the relevant police commissioner’s written authority to make the application; or</w:t>
      </w:r>
    </w:p>
    <w:p w14:paraId="0CFF28EF" w14:textId="77777777" w:rsidR="00A97DE4" w:rsidRPr="00A97DE4" w:rsidRDefault="0033155A" w:rsidP="0033155A">
      <w:pPr>
        <w:pStyle w:val="Apara"/>
        <w:rPr>
          <w:lang w:val="en" w:eastAsia="en-AU"/>
        </w:rPr>
      </w:pPr>
      <w:r>
        <w:rPr>
          <w:lang w:val="en" w:eastAsia="en-AU"/>
        </w:rPr>
        <w:tab/>
      </w:r>
      <w:r w:rsidR="00A97DE4" w:rsidRPr="00A97DE4">
        <w:rPr>
          <w:lang w:val="en" w:eastAsia="en-AU"/>
        </w:rPr>
        <w:t>(b)</w:t>
      </w:r>
      <w:r>
        <w:rPr>
          <w:lang w:val="en" w:eastAsia="en-AU"/>
        </w:rPr>
        <w:tab/>
      </w:r>
      <w:r w:rsidR="00A97DE4" w:rsidRPr="00A97DE4">
        <w:rPr>
          <w:lang w:val="en" w:eastAsia="en-AU"/>
        </w:rPr>
        <w:t>for an authorised officer who is not a police officer—the officer’s instrument of appointment provides that the authorised officer may make the application.</w:t>
      </w:r>
    </w:p>
    <w:p w14:paraId="33D21E95" w14:textId="77777777" w:rsidR="00DB6E47" w:rsidRPr="005E03F7" w:rsidRDefault="00DB6E47" w:rsidP="00DB6E47">
      <w:pPr>
        <w:pStyle w:val="AH3Div"/>
      </w:pPr>
      <w:bookmarkStart w:id="700" w:name="_Toc83626044"/>
      <w:r w:rsidRPr="005E03F7">
        <w:rPr>
          <w:rStyle w:val="CharDivNo"/>
        </w:rPr>
        <w:lastRenderedPageBreak/>
        <w:t xml:space="preserve">Division 6 </w:t>
      </w:r>
      <w:r w:rsidRPr="00A95F9A">
        <w:rPr>
          <w:rFonts w:ascii="Helvetica" w:hAnsi="Helvetica" w:cs="Helvetica"/>
          <w:iCs/>
          <w:szCs w:val="28"/>
        </w:rPr>
        <w:tab/>
      </w:r>
      <w:r w:rsidRPr="005E03F7">
        <w:rPr>
          <w:rStyle w:val="CharDivText"/>
          <w:rFonts w:ascii="Helvetica" w:hAnsi="Helvetica" w:cs="Helvetica"/>
          <w:iCs/>
          <w:szCs w:val="28"/>
        </w:rPr>
        <w:t>Power to require reasonable help</w:t>
      </w:r>
      <w:bookmarkEnd w:id="700"/>
    </w:p>
    <w:p w14:paraId="1EEC1817" w14:textId="77777777" w:rsidR="00DB6E47" w:rsidRPr="007E1F9A" w:rsidRDefault="00DB6E47" w:rsidP="00DB6E47">
      <w:pPr>
        <w:pStyle w:val="AH5Sec"/>
      </w:pPr>
      <w:bookmarkStart w:id="701" w:name="_Toc83626045"/>
      <w:r w:rsidRPr="005E03F7">
        <w:rPr>
          <w:rStyle w:val="CharSectNo"/>
        </w:rPr>
        <w:t>577</w:t>
      </w:r>
      <w:r w:rsidRPr="007E1F9A">
        <w:tab/>
      </w:r>
      <w:r w:rsidRPr="007E1F9A">
        <w:rPr>
          <w:rFonts w:ascii="Helvetica" w:hAnsi="Helvetica" w:cs="Helvetica"/>
          <w:iCs/>
        </w:rPr>
        <w:t>Power to require reasonable help</w:t>
      </w:r>
      <w:bookmarkEnd w:id="701"/>
    </w:p>
    <w:p w14:paraId="6264FBA7" w14:textId="77777777" w:rsidR="00DB6E47" w:rsidRPr="003D139A" w:rsidRDefault="00DB6E47" w:rsidP="00DB6E47">
      <w:pPr>
        <w:pStyle w:val="Amain"/>
      </w:pPr>
      <w:r w:rsidRPr="003D139A">
        <w:tab/>
        <w:t>(1)</w:t>
      </w:r>
      <w:r w:rsidRPr="003D139A">
        <w:tab/>
        <w:t>An authorised officer who enters a place under this Chapter may require an occupier of the place or a person at the place to give the officer reasonable help to exercise a power under this Chapter.</w:t>
      </w:r>
    </w:p>
    <w:p w14:paraId="57171294" w14:textId="77777777" w:rsidR="00DB6E47" w:rsidRPr="003D139A" w:rsidRDefault="00DB6E47" w:rsidP="00DB6E47">
      <w:pPr>
        <w:pStyle w:val="Amain"/>
      </w:pPr>
      <w:r w:rsidRPr="003D139A">
        <w:tab/>
        <w:t>(2)</w:t>
      </w:r>
      <w:r w:rsidRPr="003D139A">
        <w:tab/>
        <w:t>An authorised officer who is exercising a power under this Chapter in relation to a heavy vehicle on a road may require the vehicle’s driver to give the officer reasonable help to exercise the power.</w:t>
      </w:r>
    </w:p>
    <w:p w14:paraId="2B309A99" w14:textId="77777777" w:rsidR="00DB6E47" w:rsidRPr="003D139A" w:rsidRDefault="00DB6E47" w:rsidP="00DB6E47">
      <w:pPr>
        <w:pStyle w:val="Amain"/>
      </w:pPr>
      <w:r w:rsidRPr="003D139A">
        <w:tab/>
      </w:r>
      <w:r w:rsidR="009C5297">
        <w:t>(3)</w:t>
      </w:r>
      <w:r w:rsidR="009C5297">
        <w:tab/>
        <w:t xml:space="preserve">Without limiting subsection </w:t>
      </w:r>
      <w:r w:rsidRPr="003D139A">
        <w:t>(1)</w:t>
      </w:r>
      <w:r w:rsidR="009C5297">
        <w:t xml:space="preserve"> </w:t>
      </w:r>
      <w:r w:rsidRPr="003D139A">
        <w:t>or (2), a requirement under the subsection may be that the occupier, person or driver—</w:t>
      </w:r>
    </w:p>
    <w:p w14:paraId="02A7A977" w14:textId="77777777" w:rsidR="00DB6E47" w:rsidRPr="00544ED5" w:rsidRDefault="00DB6E47" w:rsidP="00DB6E47">
      <w:pPr>
        <w:pStyle w:val="Apara"/>
      </w:pPr>
      <w:r w:rsidRPr="00544ED5">
        <w:tab/>
        <w:t>(a)</w:t>
      </w:r>
      <w:r w:rsidRPr="00544ED5">
        <w:tab/>
        <w:t>produce a document or give information to the authorised officer; or</w:t>
      </w:r>
    </w:p>
    <w:p w14:paraId="751CF173" w14:textId="77777777" w:rsidR="00DB6E47" w:rsidRPr="00C96203" w:rsidRDefault="00DB6E47" w:rsidP="00DB6E47">
      <w:pPr>
        <w:pStyle w:val="aExamHdgss"/>
      </w:pPr>
      <w:r w:rsidRPr="00C96203">
        <w:rPr>
          <w:rFonts w:cs="Times"/>
          <w:bCs/>
          <w:iCs/>
        </w:rPr>
        <w:t>Example—</w:t>
      </w:r>
    </w:p>
    <w:p w14:paraId="7267C3F6" w14:textId="77777777" w:rsidR="00DB6E47" w:rsidRPr="00C96203" w:rsidRDefault="00DB6E47" w:rsidP="00DB6E47">
      <w:pPr>
        <w:pStyle w:val="aExamss"/>
      </w:pPr>
      <w:r w:rsidRPr="00C96203">
        <w:t>The authorised officer wishes to obtain information relating to the purpose of the entry. Information of that type is stored or recorded on a computer at the place. The authorised officer may require the occupier to give reasonable help to produce a reproduction of the information from the computer.</w:t>
      </w:r>
    </w:p>
    <w:p w14:paraId="11D5969A" w14:textId="77777777" w:rsidR="00F848EE" w:rsidRPr="00F848EE" w:rsidRDefault="00F848EE" w:rsidP="00F848EE">
      <w:pPr>
        <w:pStyle w:val="aNote"/>
        <w:rPr>
          <w:lang w:val="en" w:eastAsia="en-AU"/>
        </w:rPr>
      </w:pPr>
      <w:r w:rsidRPr="00F848EE">
        <w:rPr>
          <w:rStyle w:val="charItals"/>
        </w:rPr>
        <w:t>Note</w:t>
      </w:r>
      <w:r w:rsidRPr="00F848EE">
        <w:rPr>
          <w:lang w:val="en" w:eastAsia="en-AU"/>
        </w:rPr>
        <w:t>—</w:t>
      </w:r>
    </w:p>
    <w:p w14:paraId="49FF4A84" w14:textId="77777777" w:rsidR="00F848EE" w:rsidRPr="00F848EE" w:rsidRDefault="00F848EE" w:rsidP="00F848EE">
      <w:pPr>
        <w:pStyle w:val="aNoteTextss"/>
        <w:rPr>
          <w:lang w:val="en" w:eastAsia="en-AU"/>
        </w:rPr>
      </w:pPr>
      <w:r w:rsidRPr="00F848EE">
        <w:rPr>
          <w:lang w:val="en" w:eastAsia="en-AU"/>
        </w:rPr>
        <w:t>Section 17 of Schedule 1 and section 490 deal with the production of documents and other information kept electronically.</w:t>
      </w:r>
    </w:p>
    <w:p w14:paraId="61DA891C" w14:textId="77777777" w:rsidR="00DB6E47" w:rsidRPr="00544ED5" w:rsidRDefault="00DB6E47" w:rsidP="00B41BF6">
      <w:pPr>
        <w:pStyle w:val="Apara"/>
        <w:keepNext/>
      </w:pPr>
      <w:r w:rsidRPr="00544ED5">
        <w:tab/>
        <w:t>(b)</w:t>
      </w:r>
      <w:r w:rsidRPr="00544ED5">
        <w:tab/>
        <w:t>help the authorised officer to find and gain access to a document or information, including electronically stored information; or</w:t>
      </w:r>
    </w:p>
    <w:p w14:paraId="17CAEB3D" w14:textId="77777777" w:rsidR="00DB6E47" w:rsidRPr="00C96203" w:rsidRDefault="00DB6E47" w:rsidP="00DB6E47">
      <w:pPr>
        <w:pStyle w:val="aExamHdgss"/>
      </w:pPr>
      <w:r w:rsidRPr="00C96203">
        <w:rPr>
          <w:rFonts w:cs="Times"/>
          <w:bCs/>
          <w:iCs/>
        </w:rPr>
        <w:t>Examples of documents or information—</w:t>
      </w:r>
    </w:p>
    <w:p w14:paraId="5EAF447F" w14:textId="77777777" w:rsidR="00DB6E47" w:rsidRPr="00C96203" w:rsidRDefault="00DB6E47" w:rsidP="00DB6E47">
      <w:pPr>
        <w:pStyle w:val="aExamBulletss"/>
      </w:pPr>
      <w:r w:rsidRPr="00C96203">
        <w:t xml:space="preserve">• </w:t>
      </w:r>
      <w:r w:rsidRPr="00C96203">
        <w:tab/>
        <w:t>a document about the heavy vehicle’s performance, specifications (including the dimensions and other physical attributes of the vehicle or its fittings), functional capabilities (including the vehicle’s GVM, GCM and speed capabilities) or authorised operations required to be kept in the vehicle under this Law or a heavy vehicle accreditation</w:t>
      </w:r>
    </w:p>
    <w:p w14:paraId="04E3A4F7" w14:textId="77777777" w:rsidR="00DB6E47" w:rsidRPr="00C96203" w:rsidRDefault="00DB6E47" w:rsidP="00DB6E47">
      <w:pPr>
        <w:pStyle w:val="aExamBulletss"/>
      </w:pPr>
      <w:r w:rsidRPr="00C96203">
        <w:t xml:space="preserve">• </w:t>
      </w:r>
      <w:r w:rsidRPr="00C96203">
        <w:tab/>
        <w:t>a weighing document for a container loaded on to the heavy vehicle</w:t>
      </w:r>
    </w:p>
    <w:p w14:paraId="2C3C4FA1" w14:textId="77777777" w:rsidR="00DB6E47" w:rsidRPr="00C96203" w:rsidRDefault="00DB6E47" w:rsidP="00DB6E47">
      <w:pPr>
        <w:pStyle w:val="aExamBulletss"/>
      </w:pPr>
      <w:r w:rsidRPr="00C96203">
        <w:t xml:space="preserve">• </w:t>
      </w:r>
      <w:r w:rsidRPr="00C96203">
        <w:tab/>
        <w:t>a telephone record</w:t>
      </w:r>
    </w:p>
    <w:p w14:paraId="20C79A4C" w14:textId="77777777" w:rsidR="00DB6E47" w:rsidRPr="00544ED5" w:rsidRDefault="00DB6E47" w:rsidP="000E08E8">
      <w:pPr>
        <w:pStyle w:val="Apara"/>
        <w:keepNext/>
      </w:pPr>
      <w:r w:rsidRPr="00544ED5">
        <w:lastRenderedPageBreak/>
        <w:tab/>
        <w:t>(c)</w:t>
      </w:r>
      <w:r w:rsidRPr="00544ED5">
        <w:tab/>
        <w:t>help the authorised officer to weigh or measure—</w:t>
      </w:r>
    </w:p>
    <w:p w14:paraId="2477220A" w14:textId="77777777" w:rsidR="00DB6E47" w:rsidRPr="00CC71DF" w:rsidRDefault="00DB6E47" w:rsidP="00DB6E47">
      <w:pPr>
        <w:pStyle w:val="Asubpara"/>
      </w:pPr>
      <w:r w:rsidRPr="00CC71DF">
        <w:tab/>
        <w:t>(i)</w:t>
      </w:r>
      <w:r w:rsidRPr="00CC71DF">
        <w:tab/>
        <w:t>a heavy vehicle or a component of a heavy vehicle; or</w:t>
      </w:r>
    </w:p>
    <w:p w14:paraId="0961979A" w14:textId="77777777" w:rsidR="00DB6E47" w:rsidRPr="00CC71DF" w:rsidRDefault="00DB6E47" w:rsidP="00DB6E47">
      <w:pPr>
        <w:pStyle w:val="Asubpara"/>
      </w:pPr>
      <w:r w:rsidRPr="00CC71DF">
        <w:tab/>
        <w:t>(ii)</w:t>
      </w:r>
      <w:r w:rsidRPr="00CC71DF">
        <w:tab/>
        <w:t>the whole or part of a heavy vehicle’s load or equipment; or</w:t>
      </w:r>
    </w:p>
    <w:p w14:paraId="0001AABE" w14:textId="77777777" w:rsidR="00DB6E47" w:rsidRPr="00544ED5" w:rsidRDefault="00DB6E47" w:rsidP="00DB6E47">
      <w:pPr>
        <w:pStyle w:val="Apara"/>
      </w:pPr>
      <w:r w:rsidRPr="00544ED5">
        <w:tab/>
        <w:t>(d)</w:t>
      </w:r>
      <w:r w:rsidRPr="00544ED5">
        <w:tab/>
        <w:t>start or stop the engine of a heavy vehicle under section 523; or</w:t>
      </w:r>
    </w:p>
    <w:p w14:paraId="5AFFEC8D" w14:textId="77777777" w:rsidR="00DB6E47" w:rsidRPr="00544ED5" w:rsidRDefault="00DB6E47" w:rsidP="00DB6E47">
      <w:pPr>
        <w:pStyle w:val="Apara"/>
      </w:pPr>
      <w:r w:rsidRPr="00544ED5">
        <w:tab/>
        <w:t>(e)</w:t>
      </w:r>
      <w:r w:rsidRPr="00544ED5">
        <w:tab/>
        <w:t>help the authorised officer to operate equipment or facilities for a purpose relevant to the power being or proposed to be exercised; or</w:t>
      </w:r>
    </w:p>
    <w:p w14:paraId="2722B98A" w14:textId="77777777" w:rsidR="00DB6E47" w:rsidRPr="00544ED5" w:rsidRDefault="00DB6E47" w:rsidP="00DB6E47">
      <w:pPr>
        <w:pStyle w:val="Apara"/>
      </w:pPr>
      <w:r w:rsidRPr="00544ED5">
        <w:tab/>
        <w:t>(f)</w:t>
      </w:r>
      <w:r w:rsidRPr="00544ED5">
        <w:tab/>
        <w:t>provide access free of charge to photocopying equipment for the purpose of copying any records or other material.</w:t>
      </w:r>
    </w:p>
    <w:p w14:paraId="7A349C13" w14:textId="77777777" w:rsidR="00DB6E47" w:rsidRPr="003D139A" w:rsidRDefault="00DB6E47" w:rsidP="00DB6E47">
      <w:pPr>
        <w:pStyle w:val="Amain"/>
      </w:pPr>
      <w:r w:rsidRPr="003D139A">
        <w:tab/>
        <w:t>(4)</w:t>
      </w:r>
      <w:r w:rsidRPr="003D139A">
        <w:tab/>
        <w:t>A person of whom a requi</w:t>
      </w:r>
      <w:r w:rsidR="009C5297">
        <w:t xml:space="preserve">rement is made under subsection (1) or </w:t>
      </w:r>
      <w:r w:rsidRPr="003D139A">
        <w:t>(2)</w:t>
      </w:r>
      <w:r w:rsidR="009C5297">
        <w:t xml:space="preserve"> </w:t>
      </w:r>
      <w:r w:rsidRPr="003D139A">
        <w:t>must comply with the requirement, unless the person has a reasonable excuse.</w:t>
      </w:r>
    </w:p>
    <w:p w14:paraId="4F5486E7" w14:textId="77777777" w:rsidR="00DB6E47" w:rsidRPr="006C3305" w:rsidRDefault="00DB6E47" w:rsidP="00DB6E47">
      <w:pPr>
        <w:pStyle w:val="Penalty"/>
      </w:pPr>
      <w:r w:rsidRPr="00D91CC2">
        <w:rPr>
          <w:rFonts w:cs="Times"/>
          <w:bCs/>
          <w:iCs/>
        </w:rPr>
        <w:t>Maximum penalty—$10000.</w:t>
      </w:r>
    </w:p>
    <w:p w14:paraId="78C82B73" w14:textId="77777777" w:rsidR="00DB6E47" w:rsidRPr="003D139A" w:rsidRDefault="00DB6E47" w:rsidP="00DB6E47">
      <w:pPr>
        <w:pStyle w:val="Amain"/>
      </w:pPr>
      <w:r w:rsidRPr="003D139A">
        <w:tab/>
        <w:t>(5)</w:t>
      </w:r>
      <w:r w:rsidRPr="003D139A">
        <w:tab/>
        <w:t>Without limiting what may be a reasonable excuse for the purposes of subsection (4), it is a reasonable excuse for a person not to comply with a re</w:t>
      </w:r>
      <w:r w:rsidR="009C5297">
        <w:t xml:space="preserve">quirement made under subsection </w:t>
      </w:r>
      <w:r w:rsidRPr="003D139A">
        <w:t>(1)</w:t>
      </w:r>
      <w:r w:rsidR="009C5297">
        <w:t xml:space="preserve"> or </w:t>
      </w:r>
      <w:r w:rsidRPr="003D139A">
        <w:t>(2)</w:t>
      </w:r>
      <w:r w:rsidR="009C5297">
        <w:t xml:space="preserve"> </w:t>
      </w:r>
      <w:r w:rsidRPr="003D139A">
        <w:t>if doing so would require the person to take action that is outside the scope of the business or other activities of the person.</w:t>
      </w:r>
    </w:p>
    <w:p w14:paraId="3237CB52" w14:textId="77777777" w:rsidR="00DB6E47" w:rsidRPr="003D139A" w:rsidRDefault="00DB6E47" w:rsidP="00DB6E47">
      <w:pPr>
        <w:pStyle w:val="Amain"/>
      </w:pPr>
      <w:r w:rsidRPr="003D139A">
        <w:tab/>
        <w:t>(6)</w:t>
      </w:r>
      <w:r w:rsidRPr="003D139A">
        <w:tab/>
        <w:t>It is not a reasonable excuse for a person to fail to comply with a re</w:t>
      </w:r>
      <w:r w:rsidR="009C5297">
        <w:t xml:space="preserve">quirement made under subsection </w:t>
      </w:r>
      <w:r w:rsidRPr="003D139A">
        <w:t>(1)</w:t>
      </w:r>
      <w:r w:rsidR="009C5297">
        <w:t xml:space="preserve"> </w:t>
      </w:r>
      <w:r w:rsidRPr="003D139A">
        <w:t>or (2), in relation to a document or information that is the subject of the requirement, if doing so might tend to incriminate the person or make the person liable to a penalty.</w:t>
      </w:r>
    </w:p>
    <w:p w14:paraId="217FDC09" w14:textId="77777777" w:rsidR="00F848EE" w:rsidRPr="00F848EE" w:rsidRDefault="00F848EE" w:rsidP="00F848EE">
      <w:pPr>
        <w:pStyle w:val="aNote"/>
        <w:rPr>
          <w:lang w:val="en" w:eastAsia="en-AU"/>
        </w:rPr>
      </w:pPr>
      <w:r w:rsidRPr="00F848EE">
        <w:rPr>
          <w:rStyle w:val="charItals"/>
        </w:rPr>
        <w:t>Notes</w:t>
      </w:r>
      <w:r w:rsidRPr="00F848EE">
        <w:rPr>
          <w:lang w:val="en" w:eastAsia="en-AU"/>
        </w:rPr>
        <w:t>—</w:t>
      </w:r>
    </w:p>
    <w:p w14:paraId="4129178B" w14:textId="77777777" w:rsidR="00F848EE" w:rsidRPr="00F848EE" w:rsidRDefault="00F848EE" w:rsidP="00F848EE">
      <w:pPr>
        <w:pStyle w:val="aNotePara"/>
        <w:rPr>
          <w:lang w:val="en" w:eastAsia="en-AU"/>
        </w:rPr>
      </w:pPr>
      <w:r>
        <w:rPr>
          <w:lang w:val="en" w:eastAsia="en-AU"/>
        </w:rPr>
        <w:tab/>
      </w:r>
      <w:r w:rsidRPr="00F848EE">
        <w:rPr>
          <w:lang w:val="en" w:eastAsia="en-AU"/>
        </w:rPr>
        <w:t>1</w:t>
      </w:r>
      <w:r>
        <w:rPr>
          <w:lang w:val="en" w:eastAsia="en-AU"/>
        </w:rPr>
        <w:tab/>
      </w:r>
      <w:r w:rsidRPr="00F848EE">
        <w:rPr>
          <w:lang w:val="en" w:eastAsia="en-AU"/>
        </w:rPr>
        <w:t>Section 587 also deals with self-incrimination when complying with a requirement of an authorised officer.</w:t>
      </w:r>
    </w:p>
    <w:p w14:paraId="6078F3E7" w14:textId="77777777" w:rsidR="00F848EE" w:rsidRPr="00F848EE" w:rsidRDefault="00F848EE" w:rsidP="00F848EE">
      <w:pPr>
        <w:pStyle w:val="aNotePara"/>
        <w:rPr>
          <w:lang w:val="en" w:eastAsia="en-AU"/>
        </w:rPr>
      </w:pPr>
      <w:r>
        <w:rPr>
          <w:lang w:val="en" w:eastAsia="en-AU"/>
        </w:rPr>
        <w:tab/>
      </w:r>
      <w:r w:rsidRPr="00F848EE">
        <w:rPr>
          <w:lang w:val="en" w:eastAsia="en-AU"/>
        </w:rPr>
        <w:t>2</w:t>
      </w:r>
      <w:r>
        <w:rPr>
          <w:lang w:val="en" w:eastAsia="en-AU"/>
        </w:rPr>
        <w:tab/>
      </w:r>
      <w:r w:rsidRPr="00F848EE">
        <w:rPr>
          <w:lang w:val="en" w:eastAsia="en-AU"/>
        </w:rPr>
        <w:t>Section 588 deals with the admissibility of information provided in complying with a requirement under this section.</w:t>
      </w:r>
    </w:p>
    <w:p w14:paraId="1B31DEE7" w14:textId="77777777" w:rsidR="00DB6E47" w:rsidRPr="003D139A" w:rsidRDefault="00DB6E47" w:rsidP="00DB6E47">
      <w:pPr>
        <w:pStyle w:val="Amain"/>
      </w:pPr>
      <w:r w:rsidRPr="003D139A">
        <w:lastRenderedPageBreak/>
        <w:tab/>
        <w:t>(7)</w:t>
      </w:r>
      <w:r w:rsidRPr="003D139A">
        <w:tab/>
        <w:t>If a re</w:t>
      </w:r>
      <w:r w:rsidR="009C5297">
        <w:t xml:space="preserve">quirement made under subsection </w:t>
      </w:r>
      <w:r w:rsidRPr="003D139A">
        <w:t>(1)</w:t>
      </w:r>
      <w:r w:rsidR="009C5297">
        <w:t xml:space="preserve"> or </w:t>
      </w:r>
      <w:r w:rsidRPr="003D139A">
        <w:t>(2)</w:t>
      </w:r>
      <w:r w:rsidR="009C5297">
        <w:t xml:space="preserve"> </w:t>
      </w:r>
      <w:r w:rsidRPr="003D139A">
        <w:t>is that the occupier of, or person at, a place start or stop the engine of a heavy vehicle—</w:t>
      </w:r>
    </w:p>
    <w:p w14:paraId="634112AA" w14:textId="77777777" w:rsidR="00DB6E47" w:rsidRPr="00544ED5" w:rsidRDefault="00DB6E47" w:rsidP="00DB6E47">
      <w:pPr>
        <w:pStyle w:val="Apara"/>
      </w:pPr>
      <w:r w:rsidRPr="00544ED5">
        <w:tab/>
        <w:t>(a)</w:t>
      </w:r>
      <w:r w:rsidRPr="00544ED5">
        <w:tab/>
        <w:t>it is immaterial that the occupier or person is not—</w:t>
      </w:r>
    </w:p>
    <w:p w14:paraId="5276004A" w14:textId="77777777" w:rsidR="00DB6E47" w:rsidRPr="00CC71DF" w:rsidRDefault="00DB6E47" w:rsidP="00DB6E47">
      <w:pPr>
        <w:pStyle w:val="Asubpara"/>
      </w:pPr>
      <w:r w:rsidRPr="00CC71DF">
        <w:tab/>
        <w:t>(i)</w:t>
      </w:r>
      <w:r w:rsidRPr="00CC71DF">
        <w:tab/>
        <w:t>the operator of the vehicle; or</w:t>
      </w:r>
    </w:p>
    <w:p w14:paraId="13F5EC61" w14:textId="77777777" w:rsidR="00DB6E47" w:rsidRPr="00CC71DF" w:rsidRDefault="00DB6E47" w:rsidP="00DB6E47">
      <w:pPr>
        <w:pStyle w:val="Asubpara"/>
      </w:pPr>
      <w:r w:rsidRPr="00CC71DF">
        <w:tab/>
        <w:t>(ii)</w:t>
      </w:r>
      <w:r w:rsidRPr="00CC71DF">
        <w:tab/>
        <w:t>authorised by the operator to drive the vehicle or start or stop its engine; or</w:t>
      </w:r>
    </w:p>
    <w:p w14:paraId="5C7A0261" w14:textId="77777777" w:rsidR="00DB6E47" w:rsidRPr="00CC71DF" w:rsidRDefault="00DB6E47" w:rsidP="00DB6E47">
      <w:pPr>
        <w:pStyle w:val="Asubpara"/>
      </w:pPr>
      <w:r w:rsidRPr="00CC71DF">
        <w:tab/>
        <w:t>(iii)</w:t>
      </w:r>
      <w:r w:rsidRPr="00CC71DF">
        <w:tab/>
        <w:t>qualified to drive the vehicle or start or stop its engine; and</w:t>
      </w:r>
    </w:p>
    <w:p w14:paraId="4FBA2578" w14:textId="77777777" w:rsidR="00DB6E47" w:rsidRPr="00544ED5" w:rsidRDefault="00DB6E47" w:rsidP="00DB6E47">
      <w:pPr>
        <w:pStyle w:val="Apara"/>
      </w:pPr>
      <w:r w:rsidRPr="00544ED5">
        <w:tab/>
        <w:t>(b)</w:t>
      </w:r>
      <w:r w:rsidRPr="00544ED5">
        <w:tab/>
        <w:t>in starting or stopping the engine of the vehicle in compliance with the requirement, the occupier or person is exempt from a provision of an Australian road law to the extent the provision would require the occupier or person to be qualified to start or stop the engine.</w:t>
      </w:r>
    </w:p>
    <w:p w14:paraId="333C4B74" w14:textId="77777777" w:rsidR="00DB6E47" w:rsidRPr="003D647F" w:rsidRDefault="00DB6E47" w:rsidP="00DB6E47">
      <w:pPr>
        <w:pStyle w:val="PageBreak"/>
      </w:pPr>
      <w:r w:rsidRPr="003D647F">
        <w:br w:type="page"/>
      </w:r>
    </w:p>
    <w:p w14:paraId="2B277955" w14:textId="77777777" w:rsidR="00DB6E47" w:rsidRPr="005E03F7" w:rsidRDefault="00DB6E47" w:rsidP="00DB6E47">
      <w:pPr>
        <w:pStyle w:val="AH2Part"/>
      </w:pPr>
      <w:bookmarkStart w:id="702" w:name="_Toc83626046"/>
      <w:r w:rsidRPr="005E03F7">
        <w:rPr>
          <w:rStyle w:val="CharPartNo"/>
        </w:rPr>
        <w:lastRenderedPageBreak/>
        <w:t xml:space="preserve">Part 9.5 </w:t>
      </w:r>
      <w:r w:rsidRPr="00A95F9A">
        <w:rPr>
          <w:rFonts w:ascii="Helvetica" w:hAnsi="Helvetica" w:cs="Helvetica"/>
          <w:iCs/>
          <w:szCs w:val="32"/>
        </w:rPr>
        <w:tab/>
      </w:r>
      <w:r w:rsidRPr="005E03F7">
        <w:rPr>
          <w:rStyle w:val="CharPartText"/>
          <w:rFonts w:ascii="Helvetica" w:hAnsi="Helvetica" w:cs="Helvetica"/>
          <w:iCs/>
          <w:szCs w:val="32"/>
        </w:rPr>
        <w:t>Provisions about exercise of powers</w:t>
      </w:r>
      <w:bookmarkEnd w:id="702"/>
    </w:p>
    <w:p w14:paraId="246683B4" w14:textId="77777777" w:rsidR="00DB6E47" w:rsidRPr="005E03F7" w:rsidRDefault="00DB6E47" w:rsidP="00DB6E47">
      <w:pPr>
        <w:pStyle w:val="AH3Div"/>
      </w:pPr>
      <w:bookmarkStart w:id="703" w:name="_Toc83626047"/>
      <w:r w:rsidRPr="005E03F7">
        <w:rPr>
          <w:rStyle w:val="CharDivNo"/>
        </w:rPr>
        <w:t xml:space="preserve">Division 1 </w:t>
      </w:r>
      <w:r w:rsidRPr="00A95F9A">
        <w:rPr>
          <w:rFonts w:ascii="Helvetica" w:hAnsi="Helvetica" w:cs="Helvetica"/>
          <w:iCs/>
          <w:szCs w:val="28"/>
        </w:rPr>
        <w:tab/>
      </w:r>
      <w:r w:rsidRPr="005E03F7">
        <w:rPr>
          <w:rStyle w:val="CharDivText"/>
          <w:rFonts w:ascii="Helvetica" w:hAnsi="Helvetica" w:cs="Helvetica"/>
          <w:iCs/>
          <w:szCs w:val="28"/>
        </w:rPr>
        <w:t>Damage in exercising powers</w:t>
      </w:r>
      <w:bookmarkEnd w:id="703"/>
    </w:p>
    <w:p w14:paraId="0BD7515B" w14:textId="77777777" w:rsidR="00DB6E47" w:rsidRPr="007E1F9A" w:rsidRDefault="00DB6E47" w:rsidP="00DB6E47">
      <w:pPr>
        <w:pStyle w:val="AH5Sec"/>
      </w:pPr>
      <w:bookmarkStart w:id="704" w:name="_Toc83626048"/>
      <w:r w:rsidRPr="005E03F7">
        <w:rPr>
          <w:rStyle w:val="CharSectNo"/>
        </w:rPr>
        <w:t>578</w:t>
      </w:r>
      <w:r w:rsidRPr="007E1F9A">
        <w:tab/>
      </w:r>
      <w:r w:rsidRPr="007E1F9A">
        <w:rPr>
          <w:rFonts w:ascii="Helvetica" w:hAnsi="Helvetica" w:cs="Helvetica"/>
          <w:iCs/>
        </w:rPr>
        <w:t>Duty to minimise inconvenience or damage</w:t>
      </w:r>
      <w:bookmarkEnd w:id="704"/>
    </w:p>
    <w:p w14:paraId="5E58D60A" w14:textId="77777777" w:rsidR="00DB6E47" w:rsidRPr="003D139A" w:rsidRDefault="00DB6E47" w:rsidP="00DB6E47">
      <w:pPr>
        <w:pStyle w:val="Amain"/>
      </w:pPr>
      <w:r w:rsidRPr="003D139A">
        <w:tab/>
        <w:t>(1)</w:t>
      </w:r>
      <w:r w:rsidRPr="003D139A">
        <w:tab/>
        <w:t xml:space="preserve">In exercising a power under this Law, an authorised officer must </w:t>
      </w:r>
      <w:r w:rsidR="00297690" w:rsidRPr="003323FC">
        <w:t xml:space="preserve">exercise reasonable diligence </w:t>
      </w:r>
      <w:r w:rsidRPr="003D139A">
        <w:t>to cause as little inconvenience, and do as little damage, as possible.</w:t>
      </w:r>
    </w:p>
    <w:p w14:paraId="11183080" w14:textId="77777777" w:rsidR="00DB6E47" w:rsidRPr="003D139A" w:rsidRDefault="009C5297" w:rsidP="00DB6E47">
      <w:pPr>
        <w:pStyle w:val="Amain"/>
      </w:pPr>
      <w:r>
        <w:tab/>
        <w:t>(2)</w:t>
      </w:r>
      <w:r>
        <w:tab/>
        <w:t xml:space="preserve">Subsection </w:t>
      </w:r>
      <w:r w:rsidR="00DB6E47" w:rsidRPr="003D139A">
        <w:t>(1)</w:t>
      </w:r>
      <w:r>
        <w:t xml:space="preserve"> </w:t>
      </w:r>
      <w:r w:rsidR="00DB6E47" w:rsidRPr="003D139A">
        <w:t>does not provide for a statutory right of compensation other than as provided under Division 2.</w:t>
      </w:r>
    </w:p>
    <w:p w14:paraId="6809636F" w14:textId="77777777" w:rsidR="00DB6E47" w:rsidRPr="00C96203" w:rsidRDefault="00DB6E47" w:rsidP="00DB6E47">
      <w:pPr>
        <w:pStyle w:val="aNote"/>
      </w:pPr>
      <w:r w:rsidRPr="00FF4454">
        <w:rPr>
          <w:rStyle w:val="charItals"/>
        </w:rPr>
        <w:t>Note</w:t>
      </w:r>
      <w:r w:rsidRPr="00C96203">
        <w:rPr>
          <w:rFonts w:cs="Times"/>
          <w:bCs/>
          <w:iCs/>
        </w:rPr>
        <w:t>—</w:t>
      </w:r>
    </w:p>
    <w:p w14:paraId="4B38775C" w14:textId="77777777" w:rsidR="00DB6E47" w:rsidRPr="00C96203" w:rsidRDefault="00DB6E47" w:rsidP="00DB6E47">
      <w:pPr>
        <w:pStyle w:val="aNoteTextss"/>
      </w:pPr>
      <w:r w:rsidRPr="00C96203">
        <w:t>Division 2 provides for compensation for costs, damage or loss incurred because of the exercise of a power by an authorised officer under this Chapter.</w:t>
      </w:r>
    </w:p>
    <w:p w14:paraId="5047DCB0" w14:textId="77777777" w:rsidR="00DB6E47" w:rsidRPr="007E1F9A" w:rsidRDefault="00DB6E47" w:rsidP="00DB6E47">
      <w:pPr>
        <w:pStyle w:val="AH5Sec"/>
      </w:pPr>
      <w:bookmarkStart w:id="705" w:name="_Toc83626049"/>
      <w:r w:rsidRPr="005E03F7">
        <w:rPr>
          <w:rStyle w:val="CharSectNo"/>
        </w:rPr>
        <w:t>579</w:t>
      </w:r>
      <w:r w:rsidRPr="007E1F9A">
        <w:tab/>
      </w:r>
      <w:r w:rsidRPr="007E1F9A">
        <w:rPr>
          <w:rFonts w:ascii="Helvetica" w:hAnsi="Helvetica" w:cs="Helvetica"/>
          <w:iCs/>
        </w:rPr>
        <w:t>Restoring damaged thing</w:t>
      </w:r>
      <w:bookmarkEnd w:id="705"/>
    </w:p>
    <w:p w14:paraId="6FEA24BA" w14:textId="77777777" w:rsidR="00DB6E47" w:rsidRPr="003D139A" w:rsidRDefault="00DB6E47" w:rsidP="00DB6E47">
      <w:pPr>
        <w:pStyle w:val="Amain"/>
      </w:pPr>
      <w:r w:rsidRPr="003D139A">
        <w:tab/>
        <w:t>(1)</w:t>
      </w:r>
      <w:r w:rsidRPr="003D139A">
        <w:tab/>
        <w:t>This section applies if—</w:t>
      </w:r>
    </w:p>
    <w:p w14:paraId="048FD6C8" w14:textId="77777777" w:rsidR="00DB6E47" w:rsidRPr="00544ED5" w:rsidRDefault="00DB6E47" w:rsidP="00DB6E47">
      <w:pPr>
        <w:pStyle w:val="Apara"/>
      </w:pPr>
      <w:r w:rsidRPr="00544ED5">
        <w:tab/>
        <w:t>(a)</w:t>
      </w:r>
      <w:r w:rsidRPr="00544ED5">
        <w:tab/>
        <w:t>an authorised officer damages something when exercising, or purporting to exercise, a power under this Law and the damage was caused by an improper or unreasonable exercise of the power or the use of unauthorised force; or</w:t>
      </w:r>
    </w:p>
    <w:p w14:paraId="1D2F56A7" w14:textId="77777777" w:rsidR="00DB6E47" w:rsidRPr="00544ED5" w:rsidRDefault="00DB6E47" w:rsidP="00DB6E47">
      <w:pPr>
        <w:pStyle w:val="Apara"/>
      </w:pPr>
      <w:r w:rsidRPr="00544ED5">
        <w:tab/>
        <w:t>(b)</w:t>
      </w:r>
      <w:r w:rsidRPr="00544ED5">
        <w:tab/>
        <w:t xml:space="preserve">a person (the </w:t>
      </w:r>
      <w:r w:rsidRPr="00FF4454">
        <w:rPr>
          <w:rStyle w:val="charBoldItals"/>
        </w:rPr>
        <w:t>assistant</w:t>
      </w:r>
      <w:r w:rsidRPr="00544ED5">
        <w:t>) acting under the direction or authority of an authorised officer damages something and the damage was caused by an improper or unreasonable exercise of a power or the use of unauthorised force.</w:t>
      </w:r>
    </w:p>
    <w:p w14:paraId="3C1C0DA6" w14:textId="77777777" w:rsidR="00DB6E47" w:rsidRPr="003D139A" w:rsidRDefault="00DB6E47" w:rsidP="00DB6E47">
      <w:pPr>
        <w:pStyle w:val="Amain"/>
      </w:pPr>
      <w:r w:rsidRPr="003D139A">
        <w:tab/>
        <w:t>(2)</w:t>
      </w:r>
      <w:r w:rsidRPr="003D139A">
        <w:tab/>
        <w:t xml:space="preserve">The authorised officer must </w:t>
      </w:r>
      <w:r w:rsidR="00DB41F5" w:rsidRPr="003323FC">
        <w:t>exercise reasonable diligence</w:t>
      </w:r>
      <w:r w:rsidRPr="003D139A">
        <w:t xml:space="preserve"> to restore the thing to the condition it was in immediately before the officer exercised the power, or the assistant took action under the officer’s direction or authority.</w:t>
      </w:r>
    </w:p>
    <w:p w14:paraId="1B447000" w14:textId="77777777" w:rsidR="00DB6E47" w:rsidRPr="007E1F9A" w:rsidRDefault="00DB6E47" w:rsidP="00DB6E47">
      <w:pPr>
        <w:pStyle w:val="AH5Sec"/>
      </w:pPr>
      <w:bookmarkStart w:id="706" w:name="_Toc83626050"/>
      <w:r w:rsidRPr="005E03F7">
        <w:rPr>
          <w:rStyle w:val="CharSectNo"/>
        </w:rPr>
        <w:lastRenderedPageBreak/>
        <w:t>580</w:t>
      </w:r>
      <w:r w:rsidRPr="007E1F9A">
        <w:tab/>
      </w:r>
      <w:r w:rsidRPr="007E1F9A">
        <w:rPr>
          <w:rFonts w:ascii="Helvetica" w:hAnsi="Helvetica" w:cs="Helvetica"/>
          <w:iCs/>
        </w:rPr>
        <w:t>Notice of damage</w:t>
      </w:r>
      <w:bookmarkEnd w:id="706"/>
    </w:p>
    <w:p w14:paraId="2B89698C" w14:textId="77777777" w:rsidR="00DB6E47" w:rsidRPr="003D139A" w:rsidRDefault="00DB6E47" w:rsidP="00DB6E47">
      <w:pPr>
        <w:pStyle w:val="Amain"/>
      </w:pPr>
      <w:r w:rsidRPr="003D139A">
        <w:tab/>
        <w:t>(1)</w:t>
      </w:r>
      <w:r w:rsidRPr="003D139A">
        <w:tab/>
        <w:t>This section applies if—</w:t>
      </w:r>
    </w:p>
    <w:p w14:paraId="51A2E684" w14:textId="77777777" w:rsidR="00DB6E47" w:rsidRPr="00544ED5" w:rsidRDefault="00DB6E47" w:rsidP="00DB6E47">
      <w:pPr>
        <w:pStyle w:val="Apara"/>
      </w:pPr>
      <w:r w:rsidRPr="00544ED5">
        <w:tab/>
        <w:t>(a)</w:t>
      </w:r>
      <w:r w:rsidRPr="00544ED5">
        <w:tab/>
        <w:t>an authorised officer damages something when exercising, or purporting to exercise, a power under this Law; or</w:t>
      </w:r>
    </w:p>
    <w:p w14:paraId="71723ACE" w14:textId="77777777" w:rsidR="00DB6E47" w:rsidRPr="00544ED5" w:rsidRDefault="00DB6E47" w:rsidP="00DB6E47">
      <w:pPr>
        <w:pStyle w:val="Apara"/>
      </w:pPr>
      <w:r w:rsidRPr="00544ED5">
        <w:tab/>
        <w:t>(b)</w:t>
      </w:r>
      <w:r w:rsidRPr="00544ED5">
        <w:tab/>
        <w:t xml:space="preserve">a person (the </w:t>
      </w:r>
      <w:r w:rsidRPr="00FF4454">
        <w:rPr>
          <w:rStyle w:val="charBoldItals"/>
        </w:rPr>
        <w:t>assistant</w:t>
      </w:r>
      <w:r w:rsidRPr="00544ED5">
        <w:t>) acting under the direction or authority of an authorised officer damages something.</w:t>
      </w:r>
    </w:p>
    <w:p w14:paraId="4646DD68" w14:textId="77777777" w:rsidR="00DB6E47" w:rsidRPr="003D139A" w:rsidRDefault="00DB6E47" w:rsidP="00DB6E47">
      <w:pPr>
        <w:pStyle w:val="Amain"/>
      </w:pPr>
      <w:r w:rsidRPr="003D139A">
        <w:tab/>
        <w:t>(2)</w:t>
      </w:r>
      <w:r w:rsidRPr="003D139A">
        <w:tab/>
        <w:t>However, this section does not apply to damage if the authorised officer reasonably believes—</w:t>
      </w:r>
    </w:p>
    <w:p w14:paraId="27A8C044" w14:textId="77777777" w:rsidR="00DB6E47" w:rsidRPr="00544ED5" w:rsidRDefault="00DB6E47" w:rsidP="00DB6E47">
      <w:pPr>
        <w:pStyle w:val="Apara"/>
      </w:pPr>
      <w:r w:rsidRPr="00544ED5">
        <w:tab/>
        <w:t>(a)</w:t>
      </w:r>
      <w:r w:rsidRPr="00544ED5">
        <w:tab/>
        <w:t>the thing has been restored to the condition it was in immediately before the officer exercised the power, or the assistant took action under the officer’s direction or authority; or</w:t>
      </w:r>
    </w:p>
    <w:p w14:paraId="0FE4B03F" w14:textId="77777777" w:rsidR="00DB6E47" w:rsidRPr="00544ED5" w:rsidRDefault="00DB6E47" w:rsidP="00DB6E47">
      <w:pPr>
        <w:pStyle w:val="Apara"/>
      </w:pPr>
      <w:r w:rsidRPr="00544ED5">
        <w:tab/>
        <w:t>(b)</w:t>
      </w:r>
      <w:r w:rsidRPr="00544ED5">
        <w:tab/>
        <w:t>the damage is trivial; or</w:t>
      </w:r>
    </w:p>
    <w:p w14:paraId="534A158F" w14:textId="77777777" w:rsidR="00DB6E47" w:rsidRPr="00544ED5" w:rsidRDefault="00DB6E47" w:rsidP="00DB6E47">
      <w:pPr>
        <w:pStyle w:val="Apara"/>
      </w:pPr>
      <w:r w:rsidRPr="00544ED5">
        <w:tab/>
        <w:t>(c)</w:t>
      </w:r>
      <w:r w:rsidRPr="00544ED5">
        <w:tab/>
        <w:t>there is no-one apparently in possession of the thing; or</w:t>
      </w:r>
    </w:p>
    <w:p w14:paraId="5C2A0363" w14:textId="77777777" w:rsidR="00DB6E47" w:rsidRPr="00544ED5" w:rsidRDefault="00DB6E47" w:rsidP="00DB6E47">
      <w:pPr>
        <w:pStyle w:val="Apara"/>
      </w:pPr>
      <w:r w:rsidRPr="00544ED5">
        <w:tab/>
        <w:t>(d)</w:t>
      </w:r>
      <w:r w:rsidRPr="00544ED5">
        <w:tab/>
        <w:t>the thing has been abandoned; or</w:t>
      </w:r>
    </w:p>
    <w:p w14:paraId="52D0D125" w14:textId="77777777" w:rsidR="00DB6E47" w:rsidRPr="00544ED5" w:rsidRDefault="00DB6E47" w:rsidP="00DB6E47">
      <w:pPr>
        <w:pStyle w:val="Apara"/>
      </w:pPr>
      <w:r w:rsidRPr="00544ED5">
        <w:tab/>
        <w:t>(e)</w:t>
      </w:r>
      <w:r w:rsidRPr="00544ED5">
        <w:tab/>
        <w:t>the damage was not caused by an improper or unreasonable exercise of a power or the use of unauthorised force.</w:t>
      </w:r>
    </w:p>
    <w:p w14:paraId="2FF44CAA" w14:textId="77777777" w:rsidR="00DB6E47" w:rsidRPr="003D139A" w:rsidRDefault="00DB6E47" w:rsidP="00DB6E47">
      <w:pPr>
        <w:pStyle w:val="Amain"/>
      </w:pPr>
      <w:r w:rsidRPr="003D139A">
        <w:tab/>
        <w:t>(3)</w:t>
      </w:r>
      <w:r w:rsidRPr="003D139A">
        <w:tab/>
        <w:t>The authorised officer must give notice of the damage to the person who appears to the officer to be an owner, or person in control, of the thing.</w:t>
      </w:r>
    </w:p>
    <w:p w14:paraId="4A2DCF87" w14:textId="77777777" w:rsidR="00DB6E47" w:rsidRPr="003D139A" w:rsidRDefault="00DB6E47" w:rsidP="00DB6E47">
      <w:pPr>
        <w:pStyle w:val="Amain"/>
      </w:pPr>
      <w:r w:rsidRPr="003D139A">
        <w:tab/>
        <w:t>(4)</w:t>
      </w:r>
      <w:r w:rsidRPr="003D139A">
        <w:tab/>
        <w:t>However, if for any reason it is not practicable to comply with subsection (3), the authorised officer must—</w:t>
      </w:r>
    </w:p>
    <w:p w14:paraId="5A7F499B" w14:textId="77777777" w:rsidR="00DB6E47" w:rsidRPr="00544ED5" w:rsidRDefault="00DB6E47" w:rsidP="00DB6E47">
      <w:pPr>
        <w:pStyle w:val="Apara"/>
      </w:pPr>
      <w:r w:rsidRPr="00544ED5">
        <w:tab/>
        <w:t>(a)</w:t>
      </w:r>
      <w:r w:rsidRPr="00544ED5">
        <w:tab/>
        <w:t>leave the notice at the place where the damage happened; and</w:t>
      </w:r>
    </w:p>
    <w:p w14:paraId="603797CC" w14:textId="77777777" w:rsidR="00DB6E47" w:rsidRPr="00544ED5" w:rsidRDefault="00DB6E47" w:rsidP="00DB6E47">
      <w:pPr>
        <w:pStyle w:val="Apara"/>
      </w:pPr>
      <w:r w:rsidRPr="00544ED5">
        <w:tab/>
        <w:t>(b)</w:t>
      </w:r>
      <w:r w:rsidRPr="00544ED5">
        <w:tab/>
        <w:t>ensure it is left in a conspicuous position and in a reasonably secure way.</w:t>
      </w:r>
    </w:p>
    <w:p w14:paraId="4FC75ACE" w14:textId="77777777" w:rsidR="00DB6E47" w:rsidRPr="003D139A" w:rsidRDefault="00DB6E47" w:rsidP="00B41BF6">
      <w:pPr>
        <w:pStyle w:val="Amain"/>
        <w:keepNext/>
      </w:pPr>
      <w:r w:rsidRPr="003D139A">
        <w:lastRenderedPageBreak/>
        <w:tab/>
        <w:t>(5)</w:t>
      </w:r>
      <w:r w:rsidRPr="003D139A">
        <w:tab/>
        <w:t>The notice must state—</w:t>
      </w:r>
    </w:p>
    <w:p w14:paraId="2DF367AE" w14:textId="77777777" w:rsidR="00DB6E47" w:rsidRPr="00544ED5" w:rsidRDefault="00DB6E47" w:rsidP="00B41BF6">
      <w:pPr>
        <w:pStyle w:val="Apara"/>
        <w:keepNext/>
      </w:pPr>
      <w:r w:rsidRPr="00544ED5">
        <w:tab/>
        <w:t>(a)</w:t>
      </w:r>
      <w:r w:rsidRPr="00544ED5">
        <w:tab/>
        <w:t>particulars of the damage; and</w:t>
      </w:r>
    </w:p>
    <w:p w14:paraId="6DDD45B1" w14:textId="77777777" w:rsidR="00DB6E47" w:rsidRPr="00544ED5" w:rsidRDefault="00DB6E47" w:rsidP="00DB6E47">
      <w:pPr>
        <w:pStyle w:val="Apara"/>
      </w:pPr>
      <w:r w:rsidRPr="00544ED5">
        <w:tab/>
        <w:t>(b)</w:t>
      </w:r>
      <w:r w:rsidRPr="00544ED5">
        <w:tab/>
        <w:t>that the person who suffered the damage may claim compensation under section 581.</w:t>
      </w:r>
    </w:p>
    <w:p w14:paraId="5CC77C14" w14:textId="77777777" w:rsidR="00DB6E47" w:rsidRPr="003D139A" w:rsidRDefault="00DB6E47" w:rsidP="00DB6E47">
      <w:pPr>
        <w:pStyle w:val="Amain"/>
      </w:pPr>
      <w:r w:rsidRPr="003D139A">
        <w:tab/>
        <w:t>(6)</w:t>
      </w:r>
      <w:r w:rsidRPr="003D139A">
        <w:tab/>
        <w:t>If the authorised officer believes the damage was caused by a latent defect in the thing or circumstances beyond the control of the officer or the assistant the officer may state the belief in the notice.</w:t>
      </w:r>
    </w:p>
    <w:p w14:paraId="6BEFF0F1" w14:textId="77777777" w:rsidR="00DB6E47" w:rsidRPr="003D139A" w:rsidRDefault="00DB6E47" w:rsidP="00DB6E47">
      <w:pPr>
        <w:pStyle w:val="Amain"/>
      </w:pPr>
      <w:r w:rsidRPr="003D139A">
        <w:tab/>
        <w:t>(7)</w:t>
      </w:r>
      <w:r w:rsidRPr="003D139A">
        <w:tab/>
        <w:t xml:space="preserve">The authorised officer may </w:t>
      </w:r>
      <w:r w:rsidR="009C5297">
        <w:t xml:space="preserve">delay complying with subsection </w:t>
      </w:r>
      <w:r w:rsidRPr="003D139A">
        <w:t>(3)</w:t>
      </w:r>
      <w:r w:rsidR="009C5297">
        <w:t xml:space="preserve"> or </w:t>
      </w:r>
      <w:r w:rsidRPr="003D139A">
        <w:t>(4)</w:t>
      </w:r>
      <w:r w:rsidR="009C5297">
        <w:t xml:space="preserve"> </w:t>
      </w:r>
      <w:r w:rsidRPr="003D139A">
        <w:t>if the officer reasonably suspects complying with the subsection may frustrate or otherwise hinder an investigation by the officer under this Law.</w:t>
      </w:r>
    </w:p>
    <w:p w14:paraId="6EFB3A0B" w14:textId="77777777" w:rsidR="00DB6E47" w:rsidRPr="003D139A" w:rsidRDefault="00DB6E47" w:rsidP="00DB6E47">
      <w:pPr>
        <w:pStyle w:val="Amain"/>
      </w:pPr>
      <w:r w:rsidRPr="003D139A">
        <w:tab/>
        <w:t>(8)</w:t>
      </w:r>
      <w:r w:rsidRPr="003D139A">
        <w:tab/>
        <w:t>The delay may be only for so long as the authorised officer continues to have the reasonable suspicion and remains in the vicinity of the place.</w:t>
      </w:r>
    </w:p>
    <w:p w14:paraId="36EEB8CC" w14:textId="77777777" w:rsidR="00DB6E47" w:rsidRPr="005E03F7" w:rsidRDefault="00DB6E47" w:rsidP="00DB6E47">
      <w:pPr>
        <w:pStyle w:val="AH3Div"/>
      </w:pPr>
      <w:bookmarkStart w:id="707" w:name="_Toc83626051"/>
      <w:r w:rsidRPr="005E03F7">
        <w:rPr>
          <w:rStyle w:val="CharDivNo"/>
        </w:rPr>
        <w:t xml:space="preserve">Division 2 </w:t>
      </w:r>
      <w:r w:rsidRPr="00A95F9A">
        <w:rPr>
          <w:rFonts w:ascii="Helvetica" w:hAnsi="Helvetica" w:cs="Helvetica"/>
          <w:iCs/>
          <w:szCs w:val="28"/>
        </w:rPr>
        <w:tab/>
      </w:r>
      <w:r w:rsidRPr="005E03F7">
        <w:rPr>
          <w:rStyle w:val="CharDivText"/>
          <w:rFonts w:ascii="Helvetica" w:hAnsi="Helvetica" w:cs="Helvetica"/>
          <w:iCs/>
          <w:szCs w:val="28"/>
        </w:rPr>
        <w:t>Compensation</w:t>
      </w:r>
      <w:bookmarkEnd w:id="707"/>
    </w:p>
    <w:p w14:paraId="7F344D3C" w14:textId="77777777" w:rsidR="00DB6E47" w:rsidRPr="007E1F9A" w:rsidRDefault="00DB6E47" w:rsidP="00DB6E47">
      <w:pPr>
        <w:pStyle w:val="AH5Sec"/>
      </w:pPr>
      <w:bookmarkStart w:id="708" w:name="_Toc83626052"/>
      <w:r w:rsidRPr="005E03F7">
        <w:rPr>
          <w:rStyle w:val="CharSectNo"/>
        </w:rPr>
        <w:t>581</w:t>
      </w:r>
      <w:r w:rsidRPr="007E1F9A">
        <w:tab/>
      </w:r>
      <w:r w:rsidRPr="007E1F9A">
        <w:rPr>
          <w:rFonts w:ascii="Helvetica" w:hAnsi="Helvetica" w:cs="Helvetica"/>
          <w:iCs/>
        </w:rPr>
        <w:t>Compensation because of exercise of powers</w:t>
      </w:r>
      <w:bookmarkEnd w:id="708"/>
    </w:p>
    <w:p w14:paraId="148402EA" w14:textId="77777777" w:rsidR="00DB6E47" w:rsidRPr="003D139A" w:rsidRDefault="00DB6E47" w:rsidP="00DB6E47">
      <w:pPr>
        <w:pStyle w:val="Amain"/>
      </w:pPr>
      <w:r w:rsidRPr="003D139A">
        <w:tab/>
        <w:t>(1)</w:t>
      </w:r>
      <w:r w:rsidRPr="003D139A">
        <w:tab/>
        <w:t>A person may claim compensation from the Regulator if the person incurs costs, damage or loss because of the exercise, or purported exercise, of a power by or for an authorised officer, including costs, damage or loss incurred because of compliance with a requirement made of the person under this Chapter.</w:t>
      </w:r>
    </w:p>
    <w:p w14:paraId="27709843" w14:textId="77777777" w:rsidR="00DB6E47" w:rsidRPr="003D139A" w:rsidRDefault="009C5297" w:rsidP="00DB6E47">
      <w:pPr>
        <w:pStyle w:val="Amain"/>
      </w:pPr>
      <w:r>
        <w:tab/>
        <w:t>(2)</w:t>
      </w:r>
      <w:r>
        <w:tab/>
        <w:t xml:space="preserve">However, subsection </w:t>
      </w:r>
      <w:r w:rsidR="00DB6E47" w:rsidRPr="003D139A">
        <w:t>(1)</w:t>
      </w:r>
      <w:r>
        <w:t xml:space="preserve"> </w:t>
      </w:r>
      <w:r w:rsidR="00DB6E47" w:rsidRPr="003D139A">
        <w:t>does not apply—</w:t>
      </w:r>
    </w:p>
    <w:p w14:paraId="258E003C" w14:textId="77777777" w:rsidR="00DB6E47" w:rsidRPr="00544ED5" w:rsidRDefault="00DB6E47" w:rsidP="00DB6E47">
      <w:pPr>
        <w:pStyle w:val="Apara"/>
      </w:pPr>
      <w:r w:rsidRPr="00544ED5">
        <w:tab/>
        <w:t>(a)</w:t>
      </w:r>
      <w:r w:rsidRPr="00544ED5">
        <w:tab/>
        <w:t>to costs, damage or loss incurred because of a lawful seizure or forfeiture; or</w:t>
      </w:r>
    </w:p>
    <w:p w14:paraId="53ABB29F" w14:textId="77777777" w:rsidR="00DB6E47" w:rsidRPr="00544ED5" w:rsidRDefault="00DB6E47" w:rsidP="00DB6E47">
      <w:pPr>
        <w:pStyle w:val="Apara"/>
      </w:pPr>
      <w:r w:rsidRPr="00544ED5">
        <w:tab/>
        <w:t>(b)</w:t>
      </w:r>
      <w:r w:rsidRPr="00544ED5">
        <w:tab/>
        <w:t>if the costs, damage or loss was not caused by an improper or unreasonable exercise of a power or the use of unauthorised force.</w:t>
      </w:r>
    </w:p>
    <w:p w14:paraId="7CF059C5" w14:textId="77777777" w:rsidR="00DB6E47" w:rsidRPr="003D139A" w:rsidRDefault="00DB6E47" w:rsidP="00B41BF6">
      <w:pPr>
        <w:pStyle w:val="Amain"/>
        <w:keepNext/>
      </w:pPr>
      <w:r w:rsidRPr="003D139A">
        <w:lastRenderedPageBreak/>
        <w:tab/>
        <w:t>(3)</w:t>
      </w:r>
      <w:r w:rsidRPr="003D139A">
        <w:tab/>
        <w:t>The compensation may be claimed and ordered in a proceeding—</w:t>
      </w:r>
    </w:p>
    <w:p w14:paraId="2BB0DCDE" w14:textId="77777777" w:rsidR="00DB6E47" w:rsidRPr="00544ED5" w:rsidRDefault="00DB6E47" w:rsidP="00DB6E47">
      <w:pPr>
        <w:pStyle w:val="Apara"/>
      </w:pPr>
      <w:r w:rsidRPr="00544ED5">
        <w:tab/>
        <w:t>(a)</w:t>
      </w:r>
      <w:r w:rsidRPr="00544ED5">
        <w:tab/>
        <w:t>brought in a court with jurisdiction for the recovery of the amount of compensation claimed; or</w:t>
      </w:r>
    </w:p>
    <w:p w14:paraId="3B1605B1" w14:textId="77777777" w:rsidR="00DB6E47" w:rsidRPr="00544ED5" w:rsidRDefault="00DB6E47" w:rsidP="00DB6E47">
      <w:pPr>
        <w:pStyle w:val="Apara"/>
      </w:pPr>
      <w:r w:rsidRPr="00544ED5">
        <w:tab/>
        <w:t>(b)</w:t>
      </w:r>
      <w:r w:rsidRPr="00544ED5">
        <w:tab/>
        <w:t>for an offence against this Law in relation to which the power was exercised or purportedly exercised.</w:t>
      </w:r>
    </w:p>
    <w:p w14:paraId="56E5375C" w14:textId="77777777" w:rsidR="00DB6E47" w:rsidRPr="003D139A" w:rsidRDefault="00DB6E47" w:rsidP="00DB6E47">
      <w:pPr>
        <w:pStyle w:val="Amain"/>
      </w:pPr>
      <w:r w:rsidRPr="003D139A">
        <w:tab/>
        <w:t>(4)</w:t>
      </w:r>
      <w:r w:rsidRPr="003D139A">
        <w:tab/>
        <w:t>A court may order the payment of compensation only if it is satisfied it is just to make the order in the circumstances of the particular case.</w:t>
      </w:r>
    </w:p>
    <w:p w14:paraId="32899904" w14:textId="77777777" w:rsidR="00DB6E47" w:rsidRPr="003D139A" w:rsidRDefault="00DB6E47" w:rsidP="00DB6E47">
      <w:pPr>
        <w:pStyle w:val="Amain"/>
      </w:pPr>
      <w:r w:rsidRPr="003D139A">
        <w:tab/>
        <w:t>(5)</w:t>
      </w:r>
      <w:r w:rsidRPr="003D139A">
        <w:tab/>
        <w:t>In considering whether it is just to order compensation, the court must have regard to any relevant offence committed by the claimant.</w:t>
      </w:r>
    </w:p>
    <w:p w14:paraId="63C00B10" w14:textId="77777777" w:rsidR="00DB6E47" w:rsidRPr="003D139A" w:rsidRDefault="00DB6E47" w:rsidP="00DB6E47">
      <w:pPr>
        <w:pStyle w:val="Amain"/>
      </w:pPr>
      <w:r w:rsidRPr="003D139A">
        <w:tab/>
        <w:t>(6)</w:t>
      </w:r>
      <w:r w:rsidRPr="003D139A">
        <w:tab/>
        <w:t>The national regulations may prescribe other matters that may, or must, be taken into account by the court when considering whether it is just to order compensation.</w:t>
      </w:r>
    </w:p>
    <w:p w14:paraId="59755222" w14:textId="77777777" w:rsidR="00DB6E47" w:rsidRPr="005E03F7" w:rsidRDefault="00DB6E47" w:rsidP="00DB6E47">
      <w:pPr>
        <w:pStyle w:val="AH3Div"/>
      </w:pPr>
      <w:bookmarkStart w:id="709" w:name="_Toc83626053"/>
      <w:r w:rsidRPr="005E03F7">
        <w:rPr>
          <w:rStyle w:val="CharDivNo"/>
        </w:rPr>
        <w:t xml:space="preserve">Division 3 </w:t>
      </w:r>
      <w:r w:rsidRPr="00A95F9A">
        <w:rPr>
          <w:rFonts w:ascii="Helvetica" w:hAnsi="Helvetica" w:cs="Helvetica"/>
          <w:iCs/>
          <w:szCs w:val="28"/>
        </w:rPr>
        <w:tab/>
      </w:r>
      <w:r w:rsidRPr="005E03F7">
        <w:rPr>
          <w:rStyle w:val="CharDivText"/>
          <w:rFonts w:ascii="Helvetica" w:hAnsi="Helvetica" w:cs="Helvetica"/>
          <w:iCs/>
          <w:szCs w:val="28"/>
        </w:rPr>
        <w:t>Provision about exercise of particular powers</w:t>
      </w:r>
      <w:bookmarkEnd w:id="709"/>
    </w:p>
    <w:p w14:paraId="04DCBCB8" w14:textId="77777777" w:rsidR="00DB6E47" w:rsidRPr="007E1F9A" w:rsidRDefault="00DB6E47" w:rsidP="00DB6E47">
      <w:pPr>
        <w:pStyle w:val="AH5Sec"/>
      </w:pPr>
      <w:bookmarkStart w:id="710" w:name="_Toc83626054"/>
      <w:r w:rsidRPr="005E03F7">
        <w:rPr>
          <w:rStyle w:val="CharSectNo"/>
        </w:rPr>
        <w:t>582</w:t>
      </w:r>
      <w:r w:rsidRPr="007E1F9A">
        <w:tab/>
      </w:r>
      <w:r w:rsidRPr="007E1F9A">
        <w:rPr>
          <w:rFonts w:ascii="Helvetica" w:hAnsi="Helvetica" w:cs="Helvetica"/>
          <w:iCs/>
        </w:rPr>
        <w:t>Duty to record particular information in driver’s work diary</w:t>
      </w:r>
      <w:bookmarkEnd w:id="710"/>
    </w:p>
    <w:p w14:paraId="23409492" w14:textId="77777777" w:rsidR="00DB6E47" w:rsidRPr="003D139A" w:rsidRDefault="00DB6E47" w:rsidP="00DB6E47">
      <w:pPr>
        <w:pStyle w:val="Amain"/>
      </w:pPr>
      <w:r w:rsidRPr="003D139A">
        <w:tab/>
        <w:t>(1)</w:t>
      </w:r>
      <w:r w:rsidRPr="003D139A">
        <w:tab/>
        <w:t>This section applies if, under this Law, an authorised officer directs the driver of a fatigue-regulated heavy vehicle to stop the vehicle for compliance purposes.</w:t>
      </w:r>
    </w:p>
    <w:p w14:paraId="7F906194" w14:textId="77777777" w:rsidR="00DB6E47" w:rsidRPr="003D139A" w:rsidRDefault="00DB6E47" w:rsidP="00DB6E47">
      <w:pPr>
        <w:pStyle w:val="Amain"/>
      </w:pPr>
      <w:r w:rsidRPr="003D139A">
        <w:tab/>
        <w:t>(2)</w:t>
      </w:r>
      <w:r w:rsidRPr="003D139A">
        <w:tab/>
        <w:t>If, for the exercise or purported exercise of a power under this Law, the authorised officer detains the driver for 5 minutes or longer, the driver may ask the officer to record the following details in the driver’s work diary—</w:t>
      </w:r>
    </w:p>
    <w:p w14:paraId="60FC61FA" w14:textId="77777777" w:rsidR="00DB6E47" w:rsidRPr="00544ED5" w:rsidRDefault="00DB6E47" w:rsidP="00DB6E47">
      <w:pPr>
        <w:pStyle w:val="Apara"/>
      </w:pPr>
      <w:r w:rsidRPr="00544ED5">
        <w:tab/>
        <w:t>(a)</w:t>
      </w:r>
      <w:r w:rsidRPr="00544ED5">
        <w:tab/>
        <w:t>the officer’s identifying details;</w:t>
      </w:r>
    </w:p>
    <w:p w14:paraId="4D478D5C" w14:textId="77777777" w:rsidR="00DB6E47" w:rsidRPr="00544ED5" w:rsidRDefault="00DB6E47" w:rsidP="00DB6E47">
      <w:pPr>
        <w:pStyle w:val="Apara"/>
      </w:pPr>
      <w:r w:rsidRPr="00544ED5">
        <w:tab/>
        <w:t>(b)</w:t>
      </w:r>
      <w:r w:rsidRPr="00544ED5">
        <w:tab/>
        <w:t>the time, date and place at which the driver stopped the heavy vehicle in compliance with the officer’s direction;</w:t>
      </w:r>
    </w:p>
    <w:p w14:paraId="4D06DE95" w14:textId="77777777" w:rsidR="00DB6E47" w:rsidRPr="00544ED5" w:rsidRDefault="00DB6E47" w:rsidP="00DB6E47">
      <w:pPr>
        <w:pStyle w:val="Apara"/>
      </w:pPr>
      <w:r w:rsidRPr="00544ED5">
        <w:tab/>
        <w:t>(c)</w:t>
      </w:r>
      <w:r w:rsidRPr="00544ED5">
        <w:tab/>
        <w:t>the length of time the driver spent talking to the officer in the exercise or purported exercise of a power under this Law.</w:t>
      </w:r>
    </w:p>
    <w:p w14:paraId="1B95E401" w14:textId="77777777" w:rsidR="00DB6E47" w:rsidRPr="003D139A" w:rsidRDefault="00DB6E47" w:rsidP="00DB6E47">
      <w:pPr>
        <w:pStyle w:val="Amain"/>
      </w:pPr>
      <w:r w:rsidRPr="003D139A">
        <w:lastRenderedPageBreak/>
        <w:tab/>
        <w:t>(3)</w:t>
      </w:r>
      <w:r w:rsidRPr="003D139A">
        <w:tab/>
        <w:t>The authorised officer must comply with the request.</w:t>
      </w:r>
    </w:p>
    <w:p w14:paraId="6058C717" w14:textId="77777777" w:rsidR="00DB6E47" w:rsidRPr="003D139A" w:rsidRDefault="00DB6E47" w:rsidP="00DB6E47">
      <w:pPr>
        <w:pStyle w:val="Amain"/>
      </w:pPr>
      <w:r w:rsidRPr="003D139A">
        <w:tab/>
        <w:t>(4)</w:t>
      </w:r>
      <w:r w:rsidRPr="003D139A">
        <w:tab/>
        <w:t>An authorised offic</w:t>
      </w:r>
      <w:r w:rsidR="009C5297">
        <w:t>er complies with subsection (2)</w:t>
      </w:r>
      <w:r w:rsidRPr="003D139A">
        <w:t>(a)</w:t>
      </w:r>
      <w:r w:rsidR="009C5297">
        <w:t xml:space="preserve"> </w:t>
      </w:r>
      <w:r w:rsidRPr="003D139A">
        <w:t>by recording either his or her name, or his or her identification number.</w:t>
      </w:r>
    </w:p>
    <w:p w14:paraId="48DA9732" w14:textId="77777777" w:rsidR="00DB6E47" w:rsidRPr="003D647F" w:rsidRDefault="00DB6E47" w:rsidP="00DB6E47">
      <w:pPr>
        <w:pStyle w:val="PageBreak"/>
      </w:pPr>
      <w:r w:rsidRPr="003D647F">
        <w:br w:type="page"/>
      </w:r>
    </w:p>
    <w:p w14:paraId="04E72AD7" w14:textId="77777777" w:rsidR="00DB6E47" w:rsidRPr="005E03F7" w:rsidRDefault="00DB6E47" w:rsidP="00DB6E47">
      <w:pPr>
        <w:pStyle w:val="AH2Part"/>
      </w:pPr>
      <w:bookmarkStart w:id="711" w:name="_Toc83626055"/>
      <w:r w:rsidRPr="005E03F7">
        <w:rPr>
          <w:rStyle w:val="CharPartNo"/>
        </w:rPr>
        <w:lastRenderedPageBreak/>
        <w:t xml:space="preserve">Part 9.6 </w:t>
      </w:r>
      <w:r w:rsidRPr="00A95F9A">
        <w:rPr>
          <w:rFonts w:ascii="Helvetica" w:hAnsi="Helvetica" w:cs="Helvetica"/>
          <w:iCs/>
          <w:szCs w:val="32"/>
        </w:rPr>
        <w:tab/>
      </w:r>
      <w:r w:rsidRPr="005E03F7">
        <w:rPr>
          <w:rStyle w:val="CharPartText"/>
          <w:rFonts w:ascii="Helvetica" w:hAnsi="Helvetica" w:cs="Helvetica"/>
          <w:iCs/>
          <w:szCs w:val="32"/>
        </w:rPr>
        <w:t>Miscellaneous provisions</w:t>
      </w:r>
      <w:bookmarkEnd w:id="711"/>
    </w:p>
    <w:p w14:paraId="33632D22" w14:textId="77777777" w:rsidR="00DB6E47" w:rsidRPr="005E03F7" w:rsidRDefault="00DB6E47" w:rsidP="00DB6E47">
      <w:pPr>
        <w:pStyle w:val="AH3Div"/>
      </w:pPr>
      <w:bookmarkStart w:id="712" w:name="_Toc83626056"/>
      <w:r w:rsidRPr="005E03F7">
        <w:rPr>
          <w:rStyle w:val="CharDivNo"/>
        </w:rPr>
        <w:t xml:space="preserve">Division 1 </w:t>
      </w:r>
      <w:r w:rsidRPr="00A95F9A">
        <w:rPr>
          <w:rFonts w:ascii="Helvetica" w:hAnsi="Helvetica" w:cs="Helvetica"/>
          <w:iCs/>
          <w:szCs w:val="28"/>
        </w:rPr>
        <w:tab/>
      </w:r>
      <w:r w:rsidRPr="005E03F7">
        <w:rPr>
          <w:rStyle w:val="CharDivText"/>
          <w:rFonts w:ascii="Helvetica" w:hAnsi="Helvetica" w:cs="Helvetica"/>
          <w:iCs/>
          <w:szCs w:val="28"/>
        </w:rPr>
        <w:t>Powers of Regulator</w:t>
      </w:r>
      <w:bookmarkEnd w:id="712"/>
    </w:p>
    <w:p w14:paraId="7EC73F93" w14:textId="77777777" w:rsidR="00DB6E47" w:rsidRPr="007E1F9A" w:rsidRDefault="00DB6E47" w:rsidP="00DB6E47">
      <w:pPr>
        <w:pStyle w:val="AH5Sec"/>
      </w:pPr>
      <w:bookmarkStart w:id="713" w:name="_Toc83626057"/>
      <w:r w:rsidRPr="005E03F7">
        <w:rPr>
          <w:rStyle w:val="CharSectNo"/>
        </w:rPr>
        <w:t>583</w:t>
      </w:r>
      <w:r w:rsidRPr="007E1F9A">
        <w:tab/>
      </w:r>
      <w:r w:rsidRPr="007E1F9A">
        <w:rPr>
          <w:rFonts w:ascii="Helvetica" w:hAnsi="Helvetica" w:cs="Helvetica"/>
          <w:iCs/>
        </w:rPr>
        <w:t>Regulator may exercise powers of authorised officers</w:t>
      </w:r>
      <w:bookmarkEnd w:id="713"/>
    </w:p>
    <w:p w14:paraId="3CDEDC85" w14:textId="77777777" w:rsidR="00DB6E47" w:rsidRPr="003D139A" w:rsidRDefault="00DB6E47" w:rsidP="00DB6E47">
      <w:pPr>
        <w:pStyle w:val="Amain"/>
      </w:pPr>
      <w:r w:rsidRPr="003D139A">
        <w:tab/>
        <w:t>(1)</w:t>
      </w:r>
      <w:r w:rsidRPr="003D139A">
        <w:tab/>
        <w:t>The Regulator may exercise a power that is conferred on authorised officers under this Law, and accordingly the functions of the Regulator include the powers exercisable by the Regulator under this subsection.</w:t>
      </w:r>
    </w:p>
    <w:p w14:paraId="4CBEA65E" w14:textId="77777777" w:rsidR="00DB6E47" w:rsidRPr="003D139A" w:rsidRDefault="009C5297" w:rsidP="00DB6E47">
      <w:pPr>
        <w:pStyle w:val="Amain"/>
      </w:pPr>
      <w:r>
        <w:tab/>
        <w:t>(2)</w:t>
      </w:r>
      <w:r>
        <w:tab/>
        <w:t xml:space="preserve">Subsection </w:t>
      </w:r>
      <w:r w:rsidR="00DB6E47" w:rsidRPr="003D139A">
        <w:t>(1)</w:t>
      </w:r>
      <w:r>
        <w:t xml:space="preserve"> </w:t>
      </w:r>
      <w:r w:rsidR="00DB6E47" w:rsidRPr="003D139A">
        <w:t>does not apply to a power that requires the physical presence of an authorised officer.</w:t>
      </w:r>
    </w:p>
    <w:p w14:paraId="49014C00" w14:textId="77777777" w:rsidR="00DB6E47" w:rsidRPr="005E03F7" w:rsidRDefault="00DB6E47" w:rsidP="00DB6E47">
      <w:pPr>
        <w:pStyle w:val="AH3Div"/>
      </w:pPr>
      <w:bookmarkStart w:id="714" w:name="_Toc83626058"/>
      <w:r w:rsidRPr="005E03F7">
        <w:rPr>
          <w:rStyle w:val="CharDivNo"/>
        </w:rPr>
        <w:t xml:space="preserve">Division 2 </w:t>
      </w:r>
      <w:r w:rsidRPr="00A95F9A">
        <w:rPr>
          <w:rFonts w:ascii="Helvetica" w:hAnsi="Helvetica" w:cs="Helvetica"/>
          <w:iCs/>
          <w:szCs w:val="28"/>
        </w:rPr>
        <w:tab/>
      </w:r>
      <w:r w:rsidRPr="005E03F7">
        <w:rPr>
          <w:rStyle w:val="CharDivText"/>
          <w:rFonts w:ascii="Helvetica" w:hAnsi="Helvetica" w:cs="Helvetica"/>
          <w:iCs/>
          <w:szCs w:val="28"/>
        </w:rPr>
        <w:t>Other offences relating to authorised officers</w:t>
      </w:r>
      <w:bookmarkEnd w:id="714"/>
    </w:p>
    <w:p w14:paraId="51CD6C66" w14:textId="77777777" w:rsidR="00DB6E47" w:rsidRPr="007E1F9A" w:rsidRDefault="00DB6E47" w:rsidP="00DB6E47">
      <w:pPr>
        <w:pStyle w:val="AH5Sec"/>
      </w:pPr>
      <w:bookmarkStart w:id="715" w:name="_Toc83626059"/>
      <w:r w:rsidRPr="005E03F7">
        <w:rPr>
          <w:rStyle w:val="CharSectNo"/>
        </w:rPr>
        <w:t>584</w:t>
      </w:r>
      <w:r w:rsidRPr="007E1F9A">
        <w:tab/>
      </w:r>
      <w:r w:rsidRPr="007E1F9A">
        <w:rPr>
          <w:rFonts w:ascii="Helvetica" w:hAnsi="Helvetica" w:cs="Helvetica"/>
          <w:iCs/>
        </w:rPr>
        <w:t>Obstructing authorised officer</w:t>
      </w:r>
      <w:bookmarkEnd w:id="715"/>
    </w:p>
    <w:p w14:paraId="50C45B12" w14:textId="77777777" w:rsidR="00DB6E47" w:rsidRPr="003D139A" w:rsidRDefault="00DB6E47" w:rsidP="00DB6E47">
      <w:pPr>
        <w:pStyle w:val="Amain"/>
      </w:pPr>
      <w:r w:rsidRPr="003D139A">
        <w:tab/>
        <w:t>(1)</w:t>
      </w:r>
      <w:r w:rsidRPr="003D139A">
        <w:tab/>
        <w:t>A person must not obstruct—</w:t>
      </w:r>
    </w:p>
    <w:p w14:paraId="17E6AF76" w14:textId="77777777" w:rsidR="00DB6E47" w:rsidRPr="00544ED5" w:rsidRDefault="00DB6E47" w:rsidP="00DB6E47">
      <w:pPr>
        <w:pStyle w:val="Apara"/>
      </w:pPr>
      <w:r w:rsidRPr="00544ED5">
        <w:tab/>
        <w:t>(a)</w:t>
      </w:r>
      <w:r w:rsidRPr="00544ED5">
        <w:tab/>
        <w:t>an authorised officer, or someone helping an authorised officer, exercising a power under this Law; or</w:t>
      </w:r>
    </w:p>
    <w:p w14:paraId="07E60741" w14:textId="77777777" w:rsidR="00DB6E47" w:rsidRPr="00544ED5" w:rsidRDefault="00DB6E47" w:rsidP="00DB6E47">
      <w:pPr>
        <w:pStyle w:val="Apara"/>
      </w:pPr>
      <w:r w:rsidRPr="00544ED5">
        <w:tab/>
        <w:t>(b)</w:t>
      </w:r>
      <w:r w:rsidRPr="00544ED5">
        <w:tab/>
        <w:t>an assistant mentioned in section 518, 519 or 523 exercising a power under that section.</w:t>
      </w:r>
    </w:p>
    <w:p w14:paraId="1EB103BC" w14:textId="77777777" w:rsidR="00DB6E47" w:rsidRPr="006C3305" w:rsidRDefault="00DB6E47" w:rsidP="00DB6E47">
      <w:pPr>
        <w:pStyle w:val="Penalty"/>
      </w:pPr>
      <w:r w:rsidRPr="00D91CC2">
        <w:rPr>
          <w:rFonts w:cs="Times"/>
          <w:bCs/>
          <w:iCs/>
        </w:rPr>
        <w:t>Maximum penalty—$10000.</w:t>
      </w:r>
    </w:p>
    <w:p w14:paraId="07E902D7" w14:textId="77777777" w:rsidR="00DB6E47" w:rsidRPr="003D139A" w:rsidRDefault="00DB6E47" w:rsidP="00DB6E47">
      <w:pPr>
        <w:pStyle w:val="Amain"/>
      </w:pPr>
      <w:r w:rsidRPr="003D139A">
        <w:tab/>
        <w:t>(2)</w:t>
      </w:r>
      <w:r w:rsidRPr="003D139A">
        <w:tab/>
        <w:t>In this section—</w:t>
      </w:r>
    </w:p>
    <w:p w14:paraId="111EA6C9" w14:textId="77777777" w:rsidR="00DB6E47" w:rsidRPr="00041046" w:rsidRDefault="00DB6E47" w:rsidP="00DB6E47">
      <w:pPr>
        <w:pStyle w:val="aDef"/>
        <w:rPr>
          <w:bCs/>
        </w:rPr>
      </w:pPr>
      <w:r w:rsidRPr="00041046">
        <w:rPr>
          <w:rStyle w:val="charBoldItals"/>
        </w:rPr>
        <w:t>obstruct</w:t>
      </w:r>
      <w:r w:rsidRPr="00041046">
        <w:t xml:space="preserve"> includes assault, hinder, resist, attempt to obstruct and threaten to obstruct.</w:t>
      </w:r>
    </w:p>
    <w:p w14:paraId="5FF114BB" w14:textId="77777777" w:rsidR="00DB6E47" w:rsidRPr="007E1F9A" w:rsidRDefault="00DB6E47" w:rsidP="00DB6E47">
      <w:pPr>
        <w:pStyle w:val="AH5Sec"/>
      </w:pPr>
      <w:bookmarkStart w:id="716" w:name="_Toc83626060"/>
      <w:r w:rsidRPr="005E03F7">
        <w:rPr>
          <w:rStyle w:val="CharSectNo"/>
        </w:rPr>
        <w:t>585</w:t>
      </w:r>
      <w:r w:rsidRPr="007E1F9A">
        <w:tab/>
      </w:r>
      <w:r w:rsidRPr="007E1F9A">
        <w:rPr>
          <w:rFonts w:ascii="Helvetica" w:hAnsi="Helvetica" w:cs="Helvetica"/>
          <w:iCs/>
        </w:rPr>
        <w:t>Impersonating authorised officer</w:t>
      </w:r>
      <w:bookmarkEnd w:id="716"/>
    </w:p>
    <w:p w14:paraId="3EB52E1D" w14:textId="77777777" w:rsidR="00DB6E47" w:rsidRPr="003D139A" w:rsidRDefault="00DB6E47" w:rsidP="00DB6E47">
      <w:pPr>
        <w:pStyle w:val="Amainreturn"/>
      </w:pPr>
      <w:r w:rsidRPr="003D139A">
        <w:t>A person must not impersonate an authorised officer.</w:t>
      </w:r>
    </w:p>
    <w:p w14:paraId="47B6E2C1" w14:textId="77777777" w:rsidR="00DB6E47" w:rsidRPr="006C3305" w:rsidRDefault="00DB6E47" w:rsidP="00DB6E47">
      <w:pPr>
        <w:pStyle w:val="Penalty"/>
      </w:pPr>
      <w:r w:rsidRPr="00D91CC2">
        <w:rPr>
          <w:rFonts w:cs="Times"/>
          <w:bCs/>
          <w:iCs/>
        </w:rPr>
        <w:t>Maximum penalty—$10000.</w:t>
      </w:r>
    </w:p>
    <w:p w14:paraId="4E25E63F" w14:textId="77777777" w:rsidR="00DB6E47" w:rsidRPr="005E03F7" w:rsidRDefault="00DB6E47" w:rsidP="00DB6E47">
      <w:pPr>
        <w:pStyle w:val="AH3Div"/>
      </w:pPr>
      <w:bookmarkStart w:id="717" w:name="_Toc83626061"/>
      <w:r w:rsidRPr="005E03F7">
        <w:rPr>
          <w:rStyle w:val="CharDivNo"/>
        </w:rPr>
        <w:lastRenderedPageBreak/>
        <w:t xml:space="preserve">Division 3 </w:t>
      </w:r>
      <w:r w:rsidRPr="00A95F9A">
        <w:rPr>
          <w:rFonts w:ascii="Helvetica" w:hAnsi="Helvetica" w:cs="Helvetica"/>
          <w:iCs/>
          <w:szCs w:val="28"/>
        </w:rPr>
        <w:tab/>
      </w:r>
      <w:r w:rsidRPr="005E03F7">
        <w:rPr>
          <w:rStyle w:val="CharDivText"/>
          <w:rFonts w:ascii="Helvetica" w:hAnsi="Helvetica" w:cs="Helvetica"/>
          <w:iCs/>
          <w:szCs w:val="28"/>
        </w:rPr>
        <w:t>Other provisions</w:t>
      </w:r>
      <w:bookmarkEnd w:id="717"/>
    </w:p>
    <w:p w14:paraId="1EFEDA74" w14:textId="77777777" w:rsidR="00DB6E47" w:rsidRPr="007E1F9A" w:rsidRDefault="00DB6E47" w:rsidP="00DB6E47">
      <w:pPr>
        <w:pStyle w:val="AH5Sec"/>
      </w:pPr>
      <w:bookmarkStart w:id="718" w:name="_Toc83626062"/>
      <w:r w:rsidRPr="005E03F7">
        <w:rPr>
          <w:rStyle w:val="CharSectNo"/>
        </w:rPr>
        <w:t>586</w:t>
      </w:r>
      <w:r w:rsidRPr="007E1F9A">
        <w:tab/>
      </w:r>
      <w:r w:rsidRPr="007E1F9A">
        <w:rPr>
          <w:rFonts w:ascii="Helvetica" w:hAnsi="Helvetica" w:cs="Helvetica"/>
          <w:iCs/>
        </w:rPr>
        <w:t>Multiple requirements</w:t>
      </w:r>
      <w:bookmarkEnd w:id="718"/>
    </w:p>
    <w:p w14:paraId="320F4645" w14:textId="77777777" w:rsidR="00DB6E47" w:rsidRPr="003D139A" w:rsidRDefault="00DB6E47" w:rsidP="00DB6E47">
      <w:pPr>
        <w:pStyle w:val="Amainreturn"/>
      </w:pPr>
      <w:r w:rsidRPr="003D139A">
        <w:t>An authorised officer may—</w:t>
      </w:r>
    </w:p>
    <w:p w14:paraId="0F078C67" w14:textId="77777777" w:rsidR="00DB6E47" w:rsidRPr="00544ED5" w:rsidRDefault="00DB6E47" w:rsidP="00DB6E47">
      <w:pPr>
        <w:pStyle w:val="Apara"/>
      </w:pPr>
      <w:r w:rsidRPr="00544ED5">
        <w:tab/>
        <w:t>(a)</w:t>
      </w:r>
      <w:r w:rsidRPr="00544ED5">
        <w:tab/>
        <w:t>on the same occasion—</w:t>
      </w:r>
    </w:p>
    <w:p w14:paraId="2FA1FBE6" w14:textId="77777777" w:rsidR="00DB6E47" w:rsidRPr="00CC71DF" w:rsidRDefault="00DB6E47" w:rsidP="00DB6E47">
      <w:pPr>
        <w:pStyle w:val="Asubpara"/>
      </w:pPr>
      <w:r w:rsidRPr="00CC71DF">
        <w:tab/>
        <w:t>(i)</w:t>
      </w:r>
      <w:r w:rsidRPr="00CC71DF">
        <w:tab/>
        <w:t>give more than 1 direction</w:t>
      </w:r>
      <w:r w:rsidR="005F2FE3">
        <w:t xml:space="preserve"> </w:t>
      </w:r>
      <w:r w:rsidR="005F2FE3" w:rsidRPr="003323FC">
        <w:t>or notice</w:t>
      </w:r>
      <w:r w:rsidRPr="00CC71DF">
        <w:t xml:space="preserve"> to, or make more than 1 requirement of, a person under a provision of this Chapter; or</w:t>
      </w:r>
    </w:p>
    <w:p w14:paraId="74496E09" w14:textId="77777777" w:rsidR="00DB6E47" w:rsidRPr="00CC71DF" w:rsidRDefault="00DB6E47" w:rsidP="00DB6E47">
      <w:pPr>
        <w:pStyle w:val="Asubpara"/>
      </w:pPr>
      <w:r w:rsidRPr="00CC71DF">
        <w:tab/>
        <w:t>(ii)</w:t>
      </w:r>
      <w:r w:rsidRPr="00CC71DF">
        <w:tab/>
        <w:t xml:space="preserve">give a direction </w:t>
      </w:r>
      <w:r w:rsidR="005F2FE3" w:rsidRPr="003323FC">
        <w:t xml:space="preserve">or notice </w:t>
      </w:r>
      <w:r w:rsidRPr="00CC71DF">
        <w:t>to, or make a requirement of, a person under a provision of this Chapter and give a direction to, or make a requirement of, the person under 1 or more other provisions of this Chapter; or</w:t>
      </w:r>
    </w:p>
    <w:p w14:paraId="400F340C" w14:textId="77777777" w:rsidR="00DB6E47" w:rsidRPr="00544ED5" w:rsidRDefault="00DB6E47" w:rsidP="00DB6E47">
      <w:pPr>
        <w:pStyle w:val="Apara"/>
      </w:pPr>
      <w:r w:rsidRPr="00544ED5">
        <w:tab/>
        <w:t>(b)</w:t>
      </w:r>
      <w:r w:rsidRPr="00544ED5">
        <w:tab/>
        <w:t xml:space="preserve">give a direction </w:t>
      </w:r>
      <w:r w:rsidR="005F2FE3" w:rsidRPr="003323FC">
        <w:t xml:space="preserve">or notice </w:t>
      </w:r>
      <w:r w:rsidRPr="00544ED5">
        <w:t>to, or make a requirement of, a person under a provision and give a further direction</w:t>
      </w:r>
      <w:r w:rsidR="005F2FE3">
        <w:t xml:space="preserve"> </w:t>
      </w:r>
      <w:r w:rsidR="005F2FE3" w:rsidRPr="003323FC">
        <w:t>or notice</w:t>
      </w:r>
      <w:r w:rsidRPr="00544ED5">
        <w:t xml:space="preserve"> to, or make a further requirement of, the person under the same provision; or</w:t>
      </w:r>
    </w:p>
    <w:p w14:paraId="224C960A" w14:textId="77777777" w:rsidR="005F2FE3" w:rsidRPr="003323FC" w:rsidRDefault="005F2FE3" w:rsidP="00DB6E47">
      <w:pPr>
        <w:pStyle w:val="Apara"/>
      </w:pPr>
      <w:r w:rsidRPr="003323FC">
        <w:tab/>
        <w:t>(ba)</w:t>
      </w:r>
      <w:r w:rsidRPr="003323FC">
        <w:tab/>
        <w:t>give a notice to a person in relation to a heavy vehicle under a provision of this Chapter and give a notice to a person in relation to the same heavy vehicle under the same provision or 1 or more other provisions of this Chapter; or</w:t>
      </w:r>
    </w:p>
    <w:p w14:paraId="6F24C3C3" w14:textId="77777777" w:rsidR="00DB6E47" w:rsidRPr="00544ED5" w:rsidRDefault="00DB6E47" w:rsidP="00DB6E47">
      <w:pPr>
        <w:pStyle w:val="Apara"/>
      </w:pPr>
      <w:r w:rsidRPr="00544ED5">
        <w:tab/>
        <w:t>(c)</w:t>
      </w:r>
      <w:r w:rsidRPr="00544ED5">
        <w:tab/>
        <w:t>make a combination of directions</w:t>
      </w:r>
      <w:r w:rsidR="005F2FE3" w:rsidRPr="003323FC">
        <w:t>, notices</w:t>
      </w:r>
      <w:r w:rsidRPr="00544ED5">
        <w:t xml:space="preserve"> o</w:t>
      </w:r>
      <w:r w:rsidR="009C5297">
        <w:t>r requirements under paragraph (a)</w:t>
      </w:r>
      <w:r w:rsidRPr="00544ED5">
        <w:t>(i)</w:t>
      </w:r>
      <w:r w:rsidR="009C5297">
        <w:t xml:space="preserve"> or (ii)</w:t>
      </w:r>
      <w:r w:rsidR="005F2FE3" w:rsidRPr="003323FC">
        <w:t>, (b) or (ba)</w:t>
      </w:r>
      <w:r w:rsidRPr="00544ED5">
        <w:t>.</w:t>
      </w:r>
    </w:p>
    <w:p w14:paraId="707710A4" w14:textId="77777777" w:rsidR="00DB6E47" w:rsidRPr="007E1F9A" w:rsidRDefault="00DB6E47" w:rsidP="00DB6E47">
      <w:pPr>
        <w:pStyle w:val="AH5Sec"/>
      </w:pPr>
      <w:bookmarkStart w:id="719" w:name="_Toc83626063"/>
      <w:r w:rsidRPr="005E03F7">
        <w:rPr>
          <w:rStyle w:val="CharSectNo"/>
        </w:rPr>
        <w:t>587</w:t>
      </w:r>
      <w:r w:rsidRPr="007E1F9A">
        <w:tab/>
      </w:r>
      <w:r w:rsidRPr="007E1F9A">
        <w:rPr>
          <w:rFonts w:ascii="Helvetica" w:hAnsi="Helvetica" w:cs="Helvetica"/>
          <w:iCs/>
        </w:rPr>
        <w:t>Compliance with particular requirements</w:t>
      </w:r>
      <w:bookmarkEnd w:id="719"/>
    </w:p>
    <w:p w14:paraId="22C646B6" w14:textId="77777777" w:rsidR="00DB6E47" w:rsidRPr="003D139A" w:rsidRDefault="00DB6E47" w:rsidP="00DB6E47">
      <w:pPr>
        <w:pStyle w:val="Amain"/>
      </w:pPr>
      <w:r w:rsidRPr="003D139A">
        <w:tab/>
        <w:t>(1)</w:t>
      </w:r>
      <w:r w:rsidRPr="003D139A">
        <w:tab/>
        <w:t>A person is not excused from compliance with a requirement imposed by an authorised officer under this Chapter on the ground that compliance might incriminate the person or make the person liable to a penalty.</w:t>
      </w:r>
    </w:p>
    <w:p w14:paraId="2B937395" w14:textId="77777777" w:rsidR="00DB6E47" w:rsidRPr="00544ED5" w:rsidRDefault="009C5297" w:rsidP="00DB6E47">
      <w:pPr>
        <w:pStyle w:val="Amain"/>
      </w:pPr>
      <w:r>
        <w:tab/>
        <w:t>(2)</w:t>
      </w:r>
      <w:r>
        <w:tab/>
        <w:t xml:space="preserve">Subsection </w:t>
      </w:r>
      <w:r w:rsidR="00DB6E47" w:rsidRPr="00544ED5">
        <w:t>(1)</w:t>
      </w:r>
      <w:r>
        <w:t xml:space="preserve"> </w:t>
      </w:r>
      <w:r w:rsidR="00DB6E47" w:rsidRPr="00544ED5">
        <w:t>has effect subject to section 588.</w:t>
      </w:r>
    </w:p>
    <w:p w14:paraId="52C5EF33" w14:textId="77777777" w:rsidR="00DB6E47" w:rsidRPr="007E1F9A" w:rsidRDefault="00DB6E47" w:rsidP="00DB6E47">
      <w:pPr>
        <w:pStyle w:val="AH5Sec"/>
      </w:pPr>
      <w:bookmarkStart w:id="720" w:name="_Toc83626064"/>
      <w:r w:rsidRPr="005E03F7">
        <w:rPr>
          <w:rStyle w:val="CharSectNo"/>
        </w:rPr>
        <w:lastRenderedPageBreak/>
        <w:t>588</w:t>
      </w:r>
      <w:r w:rsidRPr="007E1F9A">
        <w:tab/>
      </w:r>
      <w:r w:rsidRPr="007E1F9A">
        <w:rPr>
          <w:rFonts w:ascii="Helvetica" w:hAnsi="Helvetica" w:cs="Helvetica"/>
          <w:iCs/>
        </w:rPr>
        <w:t>Evidential immunity for individuals complying with particular requirements</w:t>
      </w:r>
      <w:bookmarkEnd w:id="720"/>
    </w:p>
    <w:p w14:paraId="0E7649BA" w14:textId="77777777" w:rsidR="00DB6E47" w:rsidRPr="003D139A" w:rsidRDefault="00DB6E47" w:rsidP="00DB6E47">
      <w:pPr>
        <w:pStyle w:val="Amain"/>
      </w:pPr>
      <w:r w:rsidRPr="003D139A">
        <w:tab/>
        <w:t>(1)</w:t>
      </w:r>
      <w:r w:rsidRPr="003D139A">
        <w:tab/>
        <w:t>This section applies to a requirement made by an authoris</w:t>
      </w:r>
      <w:r w:rsidR="009C5297">
        <w:t>ed officer under section 569(1)</w:t>
      </w:r>
      <w:r w:rsidRPr="003D139A">
        <w:t>(c)</w:t>
      </w:r>
      <w:r w:rsidR="009C5297">
        <w:t xml:space="preserve"> </w:t>
      </w:r>
      <w:r w:rsidRPr="003D139A">
        <w:t>to (f),</w:t>
      </w:r>
      <w:r w:rsidRPr="00F848EE">
        <w:t xml:space="preserve"> </w:t>
      </w:r>
      <w:r w:rsidR="00F848EE" w:rsidRPr="00F848EE">
        <w:t>570(1)(a) and (b)</w:t>
      </w:r>
      <w:r w:rsidRPr="003D139A">
        <w:t xml:space="preserve"> or 577.</w:t>
      </w:r>
    </w:p>
    <w:p w14:paraId="6AF72202" w14:textId="77777777" w:rsidR="00DB6E47" w:rsidRPr="003D139A" w:rsidRDefault="00DB6E47" w:rsidP="00DB6E47">
      <w:pPr>
        <w:pStyle w:val="Amain"/>
      </w:pPr>
      <w:r w:rsidRPr="003D139A">
        <w:tab/>
        <w:t>(2)</w:t>
      </w:r>
      <w:r w:rsidRPr="003D139A">
        <w:tab/>
        <w:t>The following is not admissible in evidence against an individual in a criminal proceeding (except a proceeding for an offence against this Chapter)—</w:t>
      </w:r>
    </w:p>
    <w:p w14:paraId="25E0A4D5" w14:textId="77777777" w:rsidR="00DB41F5" w:rsidRPr="00DB41F5" w:rsidRDefault="00DB41F5" w:rsidP="00DB41F5">
      <w:pPr>
        <w:pStyle w:val="Apara"/>
        <w:rPr>
          <w:lang w:val="en" w:eastAsia="en-AU"/>
        </w:rPr>
      </w:pPr>
      <w:r>
        <w:rPr>
          <w:lang w:val="en" w:eastAsia="en-AU"/>
        </w:rPr>
        <w:tab/>
      </w:r>
      <w:r w:rsidRPr="00DB41F5">
        <w:rPr>
          <w:lang w:val="en" w:eastAsia="en-AU"/>
        </w:rPr>
        <w:t>(a)</w:t>
      </w:r>
      <w:r>
        <w:rPr>
          <w:lang w:val="en" w:eastAsia="en-AU"/>
        </w:rPr>
        <w:tab/>
      </w:r>
      <w:r w:rsidRPr="00DB41F5">
        <w:rPr>
          <w:lang w:val="en" w:eastAsia="en-AU"/>
        </w:rPr>
        <w:t>information, other than information in the form of a document, that the individual gives in complying with the requirement;</w:t>
      </w:r>
    </w:p>
    <w:p w14:paraId="36204DD4" w14:textId="77777777" w:rsidR="00DB41F5" w:rsidRPr="00DB41F5" w:rsidRDefault="00DB41F5" w:rsidP="00DB41F5">
      <w:pPr>
        <w:pStyle w:val="Apara"/>
        <w:rPr>
          <w:lang w:val="en" w:eastAsia="en-AU"/>
        </w:rPr>
      </w:pPr>
      <w:r>
        <w:rPr>
          <w:lang w:val="en" w:eastAsia="en-AU"/>
        </w:rPr>
        <w:tab/>
      </w:r>
      <w:r w:rsidRPr="00DB41F5">
        <w:rPr>
          <w:lang w:val="en" w:eastAsia="en-AU"/>
        </w:rPr>
        <w:t>(b)</w:t>
      </w:r>
      <w:r>
        <w:rPr>
          <w:lang w:val="en" w:eastAsia="en-AU"/>
        </w:rPr>
        <w:tab/>
      </w:r>
      <w:r w:rsidRPr="00DB41F5">
        <w:rPr>
          <w:lang w:val="en" w:eastAsia="en-AU"/>
        </w:rPr>
        <w:t>information that is directly or indirectly derived from information to which paragraph (a) applies.</w:t>
      </w:r>
    </w:p>
    <w:p w14:paraId="10569EAD" w14:textId="77777777" w:rsidR="00DB6E47" w:rsidRPr="003D139A" w:rsidRDefault="00DB6E47" w:rsidP="00DB6E47">
      <w:pPr>
        <w:pStyle w:val="Amain"/>
      </w:pPr>
      <w:r w:rsidRPr="003D139A">
        <w:tab/>
        <w:t>(3)</w:t>
      </w:r>
      <w:r w:rsidRPr="003D139A">
        <w:tab/>
        <w:t>Any document produced by an individual in compliance with the requirement is not inadmissible in evidence against the individual in a criminal proceeding on the ground that the document might incriminate the individual.</w:t>
      </w:r>
    </w:p>
    <w:p w14:paraId="66121276" w14:textId="77777777" w:rsidR="00DB6E47" w:rsidRPr="003D139A" w:rsidRDefault="00DB6E47" w:rsidP="00DB6E47">
      <w:pPr>
        <w:pStyle w:val="Amain"/>
      </w:pPr>
      <w:r w:rsidRPr="003D139A">
        <w:tab/>
        <w:t>(4)</w:t>
      </w:r>
      <w:r w:rsidRPr="003D139A">
        <w:tab/>
        <w:t>Subsecti</w:t>
      </w:r>
      <w:r w:rsidR="009C5297">
        <w:t xml:space="preserve">on </w:t>
      </w:r>
      <w:r w:rsidRPr="003D139A">
        <w:t>(2)</w:t>
      </w:r>
      <w:r w:rsidR="009C5297">
        <w:t xml:space="preserve"> </w:t>
      </w:r>
      <w:r w:rsidRPr="003D139A">
        <w:t>does not apply to a proceeding about the false or misleading nature of anything in the information or in which the false or misleading nature of the information is relevant evidence.</w:t>
      </w:r>
    </w:p>
    <w:p w14:paraId="5E5B1ADF" w14:textId="77777777" w:rsidR="00DB6E47" w:rsidRPr="007E1F9A" w:rsidRDefault="00DB6E47" w:rsidP="00DB6E47">
      <w:pPr>
        <w:pStyle w:val="AH5Sec"/>
      </w:pPr>
      <w:bookmarkStart w:id="721" w:name="_Toc83626065"/>
      <w:r w:rsidRPr="005E03F7">
        <w:rPr>
          <w:rStyle w:val="CharSectNo"/>
        </w:rPr>
        <w:t>589</w:t>
      </w:r>
      <w:r w:rsidRPr="007E1F9A">
        <w:tab/>
      </w:r>
      <w:r w:rsidRPr="007E1F9A">
        <w:rPr>
          <w:rFonts w:ascii="Helvetica" w:hAnsi="Helvetica" w:cs="Helvetica"/>
          <w:iCs/>
        </w:rPr>
        <w:t>Effect of withdrawal of consent to enter under this Chapter</w:t>
      </w:r>
      <w:bookmarkEnd w:id="721"/>
    </w:p>
    <w:p w14:paraId="6822CD54" w14:textId="77777777" w:rsidR="00DB6E47" w:rsidRPr="003D139A" w:rsidRDefault="00DB6E47" w:rsidP="00DB6E47">
      <w:pPr>
        <w:pStyle w:val="Amain"/>
      </w:pPr>
      <w:r w:rsidRPr="003D139A">
        <w:tab/>
        <w:t>(1)</w:t>
      </w:r>
      <w:r w:rsidRPr="003D139A">
        <w:tab/>
        <w:t>This section applies if—</w:t>
      </w:r>
    </w:p>
    <w:p w14:paraId="1A2BF412" w14:textId="77777777" w:rsidR="00DB6E47" w:rsidRPr="00544ED5" w:rsidRDefault="00DB6E47" w:rsidP="00DB6E47">
      <w:pPr>
        <w:pStyle w:val="Apara"/>
      </w:pPr>
      <w:r w:rsidRPr="00544ED5">
        <w:tab/>
        <w:t>(a)</w:t>
      </w:r>
      <w:r w:rsidRPr="00544ED5">
        <w:tab/>
        <w:t>an authorised officer enters a place with the occupier’s consent and has obtained evidence at the place; but</w:t>
      </w:r>
    </w:p>
    <w:p w14:paraId="233F273D" w14:textId="77777777" w:rsidR="00DB6E47" w:rsidRPr="00544ED5" w:rsidRDefault="00DB6E47" w:rsidP="00DB6E47">
      <w:pPr>
        <w:pStyle w:val="Apara"/>
      </w:pPr>
      <w:r w:rsidRPr="00544ED5">
        <w:tab/>
        <w:t>(b)</w:t>
      </w:r>
      <w:r w:rsidRPr="00544ED5">
        <w:tab/>
        <w:t>the occupier’s consent is later withdrawn.</w:t>
      </w:r>
    </w:p>
    <w:p w14:paraId="48D11AB0" w14:textId="77777777" w:rsidR="00DB6E47" w:rsidRPr="003D139A" w:rsidRDefault="00DB6E47" w:rsidP="00DB6E47">
      <w:pPr>
        <w:pStyle w:val="Amain"/>
      </w:pPr>
      <w:r w:rsidRPr="003D139A">
        <w:tab/>
        <w:t>(2)</w:t>
      </w:r>
      <w:r w:rsidRPr="003D139A">
        <w:tab/>
        <w:t>The evidence obtained (including any evidence seized) up to the time the consent is withdrawn is not invalid or inadmissible in proceedings for a contravention of this Law merely because the consent was withdrawn.</w:t>
      </w:r>
    </w:p>
    <w:p w14:paraId="18F9AF60" w14:textId="77777777" w:rsidR="00DB6E47" w:rsidRPr="003D647F" w:rsidRDefault="00DB6E47" w:rsidP="00DB6E47">
      <w:pPr>
        <w:pStyle w:val="PageBreak"/>
      </w:pPr>
      <w:r w:rsidRPr="003D647F">
        <w:br w:type="page"/>
      </w:r>
    </w:p>
    <w:p w14:paraId="3DC9BCC2" w14:textId="77777777" w:rsidR="00DB6E47" w:rsidRPr="005E03F7" w:rsidRDefault="00DB6E47" w:rsidP="00DB6E47">
      <w:pPr>
        <w:pStyle w:val="AH1Chapter"/>
      </w:pPr>
      <w:bookmarkStart w:id="722" w:name="_Toc83626066"/>
      <w:r w:rsidRPr="005E03F7">
        <w:rPr>
          <w:rStyle w:val="CharChapNo"/>
        </w:rPr>
        <w:lastRenderedPageBreak/>
        <w:t xml:space="preserve">Chapter 10 </w:t>
      </w:r>
      <w:r w:rsidRPr="00A95F9A">
        <w:rPr>
          <w:rFonts w:ascii="Helvetica" w:hAnsi="Helvetica" w:cs="Helvetica"/>
          <w:iCs/>
          <w:sz w:val="36"/>
          <w:szCs w:val="36"/>
        </w:rPr>
        <w:tab/>
      </w:r>
      <w:r w:rsidRPr="005E03F7">
        <w:rPr>
          <w:rStyle w:val="CharChapText"/>
          <w:rFonts w:ascii="Helvetica" w:hAnsi="Helvetica" w:cs="Helvetica"/>
          <w:iCs/>
          <w:sz w:val="36"/>
          <w:szCs w:val="36"/>
        </w:rPr>
        <w:t>Sanctions and provisions about liability for offences</w:t>
      </w:r>
      <w:bookmarkEnd w:id="722"/>
    </w:p>
    <w:p w14:paraId="7F5B31DE" w14:textId="77777777" w:rsidR="00DB6E47" w:rsidRPr="005E03F7" w:rsidRDefault="00DB6E47" w:rsidP="00DB6E47">
      <w:pPr>
        <w:pStyle w:val="AH2Part"/>
      </w:pPr>
      <w:bookmarkStart w:id="723" w:name="_Toc83626067"/>
      <w:r w:rsidRPr="005E03F7">
        <w:rPr>
          <w:rStyle w:val="CharPartNo"/>
        </w:rPr>
        <w:t xml:space="preserve">Part 10.1 </w:t>
      </w:r>
      <w:r w:rsidRPr="00A95F9A">
        <w:rPr>
          <w:rFonts w:ascii="Helvetica" w:hAnsi="Helvetica" w:cs="Helvetica"/>
          <w:iCs/>
          <w:szCs w:val="32"/>
        </w:rPr>
        <w:tab/>
      </w:r>
      <w:r w:rsidRPr="005E03F7">
        <w:rPr>
          <w:rStyle w:val="CharPartText"/>
          <w:rFonts w:ascii="Helvetica" w:hAnsi="Helvetica" w:cs="Helvetica"/>
          <w:iCs/>
          <w:szCs w:val="32"/>
        </w:rPr>
        <w:t>Formal warnings</w:t>
      </w:r>
      <w:bookmarkEnd w:id="723"/>
    </w:p>
    <w:p w14:paraId="68951838" w14:textId="77777777" w:rsidR="00997DC5" w:rsidRDefault="00997DC5" w:rsidP="00997DC5">
      <w:pPr>
        <w:pStyle w:val="Placeholder"/>
        <w:suppressLineNumbers/>
      </w:pPr>
      <w:r>
        <w:rPr>
          <w:rStyle w:val="CharDivNo"/>
          <w:rFonts w:eastAsiaTheme="minorEastAsia"/>
        </w:rPr>
        <w:t xml:space="preserve">  </w:t>
      </w:r>
      <w:r>
        <w:rPr>
          <w:rStyle w:val="CharDivText"/>
        </w:rPr>
        <w:t xml:space="preserve">  </w:t>
      </w:r>
    </w:p>
    <w:p w14:paraId="3ACEFEE0" w14:textId="77777777" w:rsidR="00DB6E47" w:rsidRPr="007E1F9A" w:rsidRDefault="00DB6E47" w:rsidP="00DB6E47">
      <w:pPr>
        <w:pStyle w:val="AH5Sec"/>
      </w:pPr>
      <w:bookmarkStart w:id="724" w:name="_Toc83626068"/>
      <w:r w:rsidRPr="005E03F7">
        <w:rPr>
          <w:rStyle w:val="CharSectNo"/>
        </w:rPr>
        <w:t>590</w:t>
      </w:r>
      <w:r w:rsidRPr="007E1F9A">
        <w:tab/>
      </w:r>
      <w:r w:rsidRPr="007E1F9A">
        <w:rPr>
          <w:rFonts w:ascii="Helvetica" w:hAnsi="Helvetica" w:cs="Helvetica"/>
          <w:iCs/>
        </w:rPr>
        <w:t>Formal warning</w:t>
      </w:r>
      <w:bookmarkEnd w:id="724"/>
    </w:p>
    <w:p w14:paraId="3214ABBF" w14:textId="77777777" w:rsidR="00DB6E47" w:rsidRPr="003D139A" w:rsidRDefault="00DB6E47" w:rsidP="00DB6E47">
      <w:pPr>
        <w:pStyle w:val="Amain"/>
      </w:pPr>
      <w:r w:rsidRPr="003D139A">
        <w:tab/>
        <w:t>(1)</w:t>
      </w:r>
      <w:r w:rsidRPr="003D139A">
        <w:tab/>
        <w:t>This section applies if an authorised officer reasonably believes—</w:t>
      </w:r>
    </w:p>
    <w:p w14:paraId="5E0D8617" w14:textId="77777777" w:rsidR="00DB6E47" w:rsidRPr="00544ED5" w:rsidRDefault="00DB6E47" w:rsidP="00DB6E47">
      <w:pPr>
        <w:pStyle w:val="Apara"/>
      </w:pPr>
      <w:r w:rsidRPr="00544ED5">
        <w:tab/>
        <w:t>(a)</w:t>
      </w:r>
      <w:r w:rsidRPr="00544ED5">
        <w:tab/>
        <w:t>a person has contravened this Law; and</w:t>
      </w:r>
    </w:p>
    <w:p w14:paraId="47DE1A0A" w14:textId="77777777" w:rsidR="00DB6E47" w:rsidRPr="00544ED5" w:rsidRDefault="00DB6E47" w:rsidP="00DB6E47">
      <w:pPr>
        <w:pStyle w:val="Apara"/>
      </w:pPr>
      <w:r w:rsidRPr="00544ED5">
        <w:tab/>
        <w:t>(b)</w:t>
      </w:r>
      <w:r w:rsidRPr="00544ED5">
        <w:tab/>
        <w:t xml:space="preserve">the person had </w:t>
      </w:r>
      <w:r w:rsidR="00DB41F5" w:rsidRPr="003323FC">
        <w:t>exercised reasonable diligence</w:t>
      </w:r>
      <w:r w:rsidRPr="00544ED5">
        <w:t xml:space="preserve"> to prevent the contravention and was unaware of the contravention; and</w:t>
      </w:r>
    </w:p>
    <w:p w14:paraId="2E99CAE0" w14:textId="77777777" w:rsidR="00DB6E47" w:rsidRPr="00544ED5" w:rsidRDefault="00DB6E47" w:rsidP="00DB6E47">
      <w:pPr>
        <w:pStyle w:val="Apara"/>
      </w:pPr>
      <w:r w:rsidRPr="00544ED5">
        <w:tab/>
        <w:t>(c)</w:t>
      </w:r>
      <w:r w:rsidRPr="00544ED5">
        <w:tab/>
        <w:t>the contravention may appropriately be dealt with by way of a warning under this section.</w:t>
      </w:r>
    </w:p>
    <w:p w14:paraId="5D08B3A9" w14:textId="77777777" w:rsidR="00DB6E47" w:rsidRPr="003D139A" w:rsidRDefault="00DB6E47" w:rsidP="00DB6E47">
      <w:pPr>
        <w:pStyle w:val="Amain"/>
      </w:pPr>
      <w:r w:rsidRPr="003D139A">
        <w:tab/>
        <w:t>(2)</w:t>
      </w:r>
      <w:r w:rsidRPr="003D139A">
        <w:tab/>
        <w:t>The authorised officer may give the person a written warning.</w:t>
      </w:r>
    </w:p>
    <w:p w14:paraId="31E154C1" w14:textId="77777777" w:rsidR="00DB6E47" w:rsidRPr="004C22AA" w:rsidRDefault="00DB6E47" w:rsidP="00DB6E47">
      <w:pPr>
        <w:pStyle w:val="Amain"/>
      </w:pPr>
      <w:r w:rsidRPr="004C22AA">
        <w:tab/>
        <w:t>(3)</w:t>
      </w:r>
      <w:r w:rsidRPr="004C22AA">
        <w:tab/>
      </w:r>
      <w:r w:rsidR="004C22AA" w:rsidRPr="004C22AA">
        <w:t>However, a warning must not be given for—</w:t>
      </w:r>
    </w:p>
    <w:p w14:paraId="2C7D3B58" w14:textId="77777777" w:rsidR="00806779" w:rsidRPr="004C22AA" w:rsidRDefault="00806779" w:rsidP="00806779">
      <w:pPr>
        <w:pStyle w:val="Apara"/>
      </w:pPr>
      <w:r w:rsidRPr="004C22AA">
        <w:tab/>
        <w:t>(a)</w:t>
      </w:r>
      <w:r w:rsidRPr="004C22AA">
        <w:tab/>
      </w:r>
      <w:r w:rsidR="004C22AA" w:rsidRPr="004C22AA">
        <w:t>a contravention of a mass, dimension or loading requirement constituting a substantial risk breach or severe risk breach; or</w:t>
      </w:r>
    </w:p>
    <w:p w14:paraId="5B5A6088" w14:textId="77777777" w:rsidR="00806779" w:rsidRPr="004C22AA" w:rsidRDefault="00806779" w:rsidP="00806779">
      <w:pPr>
        <w:pStyle w:val="Apara"/>
      </w:pPr>
      <w:r w:rsidRPr="004C22AA">
        <w:tab/>
        <w:t>(b)</w:t>
      </w:r>
      <w:r w:rsidRPr="004C22AA">
        <w:tab/>
      </w:r>
      <w:r w:rsidR="004C22AA" w:rsidRPr="004C22AA">
        <w:t>a contravention of a maximum work requirement or a minimum rest requirement constituting a substantial risk breach, severe risk breach or a critical risk breach.</w:t>
      </w:r>
    </w:p>
    <w:p w14:paraId="353618C6" w14:textId="77777777" w:rsidR="00DB6E47" w:rsidRPr="003D139A" w:rsidRDefault="00DB6E47" w:rsidP="00DB6E47">
      <w:pPr>
        <w:pStyle w:val="Amain"/>
      </w:pPr>
      <w:r w:rsidRPr="003D139A">
        <w:tab/>
        <w:t>(4)</w:t>
      </w:r>
      <w:r w:rsidRPr="003D139A">
        <w:tab/>
        <w:t>Subject to subsection (6), if a warning is given to a person under this section for a contravention of this Law, the person can not be proceeded against for an offence against this Law constituted by the contravention.</w:t>
      </w:r>
    </w:p>
    <w:p w14:paraId="776135D3" w14:textId="77777777" w:rsidR="00DB6E47" w:rsidRPr="003D139A" w:rsidRDefault="00DB6E47" w:rsidP="00DB6E47">
      <w:pPr>
        <w:pStyle w:val="Amain"/>
      </w:pPr>
      <w:r w:rsidRPr="003D139A">
        <w:tab/>
        <w:t>(5)</w:t>
      </w:r>
      <w:r w:rsidRPr="003D139A">
        <w:tab/>
        <w:t>A warning given under this section may, within 21 days after it is given, be withdrawn by an approved authorised officer by giving the person to whom the warning was given notice of the withdrawal.</w:t>
      </w:r>
    </w:p>
    <w:p w14:paraId="675ACDF2" w14:textId="77777777" w:rsidR="00DB6E47" w:rsidRPr="003D139A" w:rsidRDefault="00DB6E47" w:rsidP="00B41BF6">
      <w:pPr>
        <w:pStyle w:val="Amain"/>
        <w:keepLines/>
      </w:pPr>
      <w:r w:rsidRPr="003D139A">
        <w:lastRenderedPageBreak/>
        <w:tab/>
        <w:t>(6)</w:t>
      </w:r>
      <w:r w:rsidRPr="003D139A">
        <w:tab/>
        <w:t>After a warning given under this section is withdrawn under subsection (5), a proceeding may be taken against the person to whom the warning was given for the contravention for which the warning was given.</w:t>
      </w:r>
    </w:p>
    <w:p w14:paraId="219BA524" w14:textId="77777777" w:rsidR="00DB6E47" w:rsidRPr="003D139A" w:rsidRDefault="00DB6E47" w:rsidP="00997DC5">
      <w:pPr>
        <w:pStyle w:val="Amain"/>
        <w:keepNext/>
      </w:pPr>
      <w:r w:rsidRPr="003D139A">
        <w:tab/>
        <w:t>(7)</w:t>
      </w:r>
      <w:r w:rsidRPr="003D139A">
        <w:tab/>
        <w:t>In this section—</w:t>
      </w:r>
    </w:p>
    <w:p w14:paraId="6B1B22F4" w14:textId="77777777" w:rsidR="00DB6E47" w:rsidRPr="00041046" w:rsidRDefault="00DB6E47" w:rsidP="00DB6E47">
      <w:pPr>
        <w:pStyle w:val="aDef"/>
        <w:rPr>
          <w:bCs/>
        </w:rPr>
      </w:pPr>
      <w:r w:rsidRPr="00041046">
        <w:rPr>
          <w:rStyle w:val="charBoldItals"/>
        </w:rPr>
        <w:t xml:space="preserve">approved authorised officer </w:t>
      </w:r>
      <w:r w:rsidRPr="00041046">
        <w:t>means—</w:t>
      </w:r>
    </w:p>
    <w:p w14:paraId="0B18D26B" w14:textId="77777777" w:rsidR="00DB6E47" w:rsidRPr="009C5297" w:rsidRDefault="00DB6E47" w:rsidP="00DB6E47">
      <w:pPr>
        <w:pStyle w:val="aDefpara"/>
      </w:pPr>
      <w:r w:rsidRPr="00FF4454">
        <w:tab/>
      </w:r>
      <w:r w:rsidRPr="00F04D8E">
        <w:rPr>
          <w:rFonts w:cs="Times"/>
          <w:bCs/>
          <w:iCs/>
        </w:rPr>
        <w:t>(a)</w:t>
      </w:r>
      <w:r w:rsidRPr="00FF4454">
        <w:rPr>
          <w:rStyle w:val="charBoldItals"/>
        </w:rPr>
        <w:tab/>
      </w:r>
      <w:r w:rsidRPr="009C5297">
        <w:t>for a warning given under this section by an authorised officer who is a police officer—an authorised officer who is a police officer and who has the relevant police commissioner’s written authority to withdraw warnings given under this section; or</w:t>
      </w:r>
    </w:p>
    <w:p w14:paraId="524D1C60" w14:textId="77777777" w:rsidR="00DB6E47" w:rsidRPr="009C5297" w:rsidRDefault="00DB6E47" w:rsidP="00DB6E47">
      <w:pPr>
        <w:pStyle w:val="aDefpara"/>
      </w:pPr>
      <w:r w:rsidRPr="009C5297">
        <w:tab/>
        <w:t>(b)</w:t>
      </w:r>
      <w:r w:rsidRPr="009C5297">
        <w:tab/>
        <w:t>for a warning given under this section by an authorised officer who is not a police officer—an authorised officer whose instrument of appointment provides that the authorised officer may withdraw warnings given under this section.</w:t>
      </w:r>
    </w:p>
    <w:p w14:paraId="73466FFB" w14:textId="77777777" w:rsidR="00DB6E47" w:rsidRPr="00041046" w:rsidRDefault="00DB6E47" w:rsidP="00DB6E47">
      <w:pPr>
        <w:pStyle w:val="aDef"/>
        <w:rPr>
          <w:bCs/>
        </w:rPr>
      </w:pPr>
      <w:r w:rsidRPr="00041046">
        <w:rPr>
          <w:rStyle w:val="charBoldItals"/>
        </w:rPr>
        <w:t>proceeding</w:t>
      </w:r>
      <w:r w:rsidRPr="00041046">
        <w:t xml:space="preserve"> includes action by way of an infringement notice.</w:t>
      </w:r>
    </w:p>
    <w:p w14:paraId="7042D99B" w14:textId="77777777" w:rsidR="00DB41F5" w:rsidRPr="00DB41F5" w:rsidRDefault="00DB41F5" w:rsidP="00DB41F5">
      <w:pPr>
        <w:pStyle w:val="PageBreak"/>
      </w:pPr>
      <w:r w:rsidRPr="00DB41F5">
        <w:br w:type="page"/>
      </w:r>
    </w:p>
    <w:p w14:paraId="4FA2FF07" w14:textId="77777777" w:rsidR="00DB41F5" w:rsidRPr="005E03F7" w:rsidRDefault="00DB41F5" w:rsidP="00DB41F5">
      <w:pPr>
        <w:pStyle w:val="AH2Part"/>
      </w:pPr>
      <w:bookmarkStart w:id="725" w:name="_Toc83626069"/>
      <w:r w:rsidRPr="005E03F7">
        <w:rPr>
          <w:rStyle w:val="CharPartNo"/>
        </w:rPr>
        <w:lastRenderedPageBreak/>
        <w:t>Part 10.1A</w:t>
      </w:r>
      <w:r>
        <w:rPr>
          <w:lang w:val="en" w:eastAsia="en-AU"/>
        </w:rPr>
        <w:tab/>
      </w:r>
      <w:r w:rsidRPr="005E03F7">
        <w:rPr>
          <w:rStyle w:val="CharPartText"/>
          <w:lang w:val="en" w:eastAsia="en-AU"/>
        </w:rPr>
        <w:t>Enforceable undertakings</w:t>
      </w:r>
      <w:bookmarkEnd w:id="725"/>
    </w:p>
    <w:p w14:paraId="3B1E82CA" w14:textId="77777777" w:rsidR="00DB41F5" w:rsidRPr="00DB41F5" w:rsidRDefault="00DB41F5" w:rsidP="00DB41F5">
      <w:pPr>
        <w:pStyle w:val="AH5Sec"/>
        <w:rPr>
          <w:lang w:val="en" w:eastAsia="en-AU"/>
        </w:rPr>
      </w:pPr>
      <w:bookmarkStart w:id="726" w:name="_Toc83626070"/>
      <w:r w:rsidRPr="005E03F7">
        <w:rPr>
          <w:rStyle w:val="CharSectNo"/>
        </w:rPr>
        <w:t>590A</w:t>
      </w:r>
      <w:r>
        <w:rPr>
          <w:lang w:val="en" w:eastAsia="en-AU"/>
        </w:rPr>
        <w:tab/>
      </w:r>
      <w:r w:rsidRPr="00DB41F5">
        <w:rPr>
          <w:lang w:val="en" w:eastAsia="en-AU"/>
        </w:rPr>
        <w:t>Accepting undertaking</w:t>
      </w:r>
      <w:bookmarkEnd w:id="726"/>
    </w:p>
    <w:p w14:paraId="1C8C51A8" w14:textId="77777777" w:rsidR="00DB41F5" w:rsidRPr="00DB41F5" w:rsidRDefault="002B7154" w:rsidP="002B7154">
      <w:pPr>
        <w:pStyle w:val="Amain"/>
        <w:rPr>
          <w:lang w:val="en" w:eastAsia="en-AU"/>
        </w:rPr>
      </w:pPr>
      <w:r>
        <w:rPr>
          <w:lang w:val="en" w:eastAsia="en-AU"/>
        </w:rPr>
        <w:tab/>
      </w:r>
      <w:r w:rsidR="00DB41F5" w:rsidRPr="00DB41F5">
        <w:rPr>
          <w:lang w:val="en" w:eastAsia="en-AU"/>
        </w:rPr>
        <w:t>(1)</w:t>
      </w:r>
      <w:r>
        <w:rPr>
          <w:lang w:val="en" w:eastAsia="en-AU"/>
        </w:rPr>
        <w:tab/>
      </w:r>
      <w:r w:rsidR="00DB41F5" w:rsidRPr="00DB41F5">
        <w:rPr>
          <w:lang w:val="en" w:eastAsia="en-AU"/>
        </w:rPr>
        <w:t>This section applies if a person contravenes or is alleged to have contravened this Law, other than section 26F.</w:t>
      </w:r>
    </w:p>
    <w:p w14:paraId="4E255E71" w14:textId="77777777" w:rsidR="00DB41F5" w:rsidRPr="00DB41F5" w:rsidRDefault="002B7154" w:rsidP="002B7154">
      <w:pPr>
        <w:pStyle w:val="Amain"/>
        <w:rPr>
          <w:lang w:val="en" w:eastAsia="en-AU"/>
        </w:rPr>
      </w:pPr>
      <w:r>
        <w:rPr>
          <w:lang w:val="en" w:eastAsia="en-AU"/>
        </w:rPr>
        <w:tab/>
      </w:r>
      <w:r w:rsidR="00DB41F5" w:rsidRPr="00DB41F5">
        <w:rPr>
          <w:lang w:val="en" w:eastAsia="en-AU"/>
        </w:rPr>
        <w:t>(2)</w:t>
      </w:r>
      <w:r>
        <w:rPr>
          <w:lang w:val="en" w:eastAsia="en-AU"/>
        </w:rPr>
        <w:tab/>
      </w:r>
      <w:r w:rsidR="00DB41F5" w:rsidRPr="00DB41F5">
        <w:rPr>
          <w:lang w:val="en" w:eastAsia="en-AU"/>
        </w:rPr>
        <w:t xml:space="preserve">The Regulator or an authorised officer (the </w:t>
      </w:r>
      <w:r w:rsidR="00DB41F5" w:rsidRPr="00DB41F5">
        <w:rPr>
          <w:b/>
          <w:bCs/>
          <w:i/>
          <w:iCs/>
          <w:lang w:val="en" w:eastAsia="en-AU"/>
        </w:rPr>
        <w:t>promisee</w:t>
      </w:r>
      <w:r w:rsidR="00DB41F5" w:rsidRPr="00DB41F5">
        <w:rPr>
          <w:lang w:val="en" w:eastAsia="en-AU"/>
        </w:rPr>
        <w:t>) may accept an undertaking made by the person in relation to the contravention or alleged contravention.</w:t>
      </w:r>
    </w:p>
    <w:p w14:paraId="0AA4E8AD" w14:textId="77777777" w:rsidR="00DB41F5" w:rsidRPr="00DB41F5" w:rsidRDefault="002B7154" w:rsidP="002B7154">
      <w:pPr>
        <w:pStyle w:val="Amain"/>
        <w:rPr>
          <w:lang w:val="en" w:eastAsia="en-AU"/>
        </w:rPr>
      </w:pPr>
      <w:r>
        <w:rPr>
          <w:lang w:val="en" w:eastAsia="en-AU"/>
        </w:rPr>
        <w:tab/>
      </w:r>
      <w:r w:rsidR="00DB41F5" w:rsidRPr="00DB41F5">
        <w:rPr>
          <w:lang w:val="en" w:eastAsia="en-AU"/>
        </w:rPr>
        <w:t>(3)</w:t>
      </w:r>
      <w:r>
        <w:rPr>
          <w:lang w:val="en" w:eastAsia="en-AU"/>
        </w:rPr>
        <w:tab/>
      </w:r>
      <w:r w:rsidR="00DB41F5" w:rsidRPr="00DB41F5">
        <w:rPr>
          <w:lang w:val="en" w:eastAsia="en-AU"/>
        </w:rPr>
        <w:t>The undertaking must be in the approved form.</w:t>
      </w:r>
    </w:p>
    <w:p w14:paraId="737EDD3B" w14:textId="77777777" w:rsidR="00DB41F5" w:rsidRPr="00DB41F5" w:rsidRDefault="002B7154" w:rsidP="002B7154">
      <w:pPr>
        <w:pStyle w:val="Amain"/>
        <w:rPr>
          <w:lang w:val="en" w:eastAsia="en-AU"/>
        </w:rPr>
      </w:pPr>
      <w:r>
        <w:rPr>
          <w:lang w:val="en" w:eastAsia="en-AU"/>
        </w:rPr>
        <w:tab/>
      </w:r>
      <w:r w:rsidR="00DB41F5" w:rsidRPr="00DB41F5">
        <w:rPr>
          <w:lang w:val="en" w:eastAsia="en-AU"/>
        </w:rPr>
        <w:t>(4)</w:t>
      </w:r>
      <w:r>
        <w:rPr>
          <w:lang w:val="en" w:eastAsia="en-AU"/>
        </w:rPr>
        <w:tab/>
      </w:r>
      <w:r w:rsidR="00DB41F5" w:rsidRPr="00DB41F5">
        <w:rPr>
          <w:lang w:val="en" w:eastAsia="en-AU"/>
        </w:rPr>
        <w:t>The promisee may accept the undertaking only if the promisee reasonably believes the undertaking will ensure the person complies with this Law.</w:t>
      </w:r>
    </w:p>
    <w:p w14:paraId="64FA1CF6" w14:textId="77777777" w:rsidR="00DB41F5" w:rsidRPr="00DB41F5" w:rsidRDefault="002B7154" w:rsidP="002B7154">
      <w:pPr>
        <w:pStyle w:val="Amain"/>
        <w:rPr>
          <w:lang w:val="en" w:eastAsia="en-AU"/>
        </w:rPr>
      </w:pPr>
      <w:r>
        <w:rPr>
          <w:lang w:val="en" w:eastAsia="en-AU"/>
        </w:rPr>
        <w:tab/>
      </w:r>
      <w:r w:rsidR="00DB41F5" w:rsidRPr="00DB41F5">
        <w:rPr>
          <w:lang w:val="en" w:eastAsia="en-AU"/>
        </w:rPr>
        <w:t>(5)</w:t>
      </w:r>
      <w:r>
        <w:rPr>
          <w:lang w:val="en" w:eastAsia="en-AU"/>
        </w:rPr>
        <w:tab/>
      </w:r>
      <w:r w:rsidR="00DB41F5" w:rsidRPr="00DB41F5">
        <w:rPr>
          <w:lang w:val="en" w:eastAsia="en-AU"/>
        </w:rPr>
        <w:t>The promisee may accept the undertaking at any time before the proceeding for the contravention, or alleged contravention, ends.</w:t>
      </w:r>
    </w:p>
    <w:p w14:paraId="6A36055F" w14:textId="77777777" w:rsidR="00DB41F5" w:rsidRPr="00DB41F5" w:rsidRDefault="002B7154" w:rsidP="002B7154">
      <w:pPr>
        <w:pStyle w:val="Amain"/>
        <w:rPr>
          <w:lang w:val="en" w:eastAsia="en-AU"/>
        </w:rPr>
      </w:pPr>
      <w:r>
        <w:rPr>
          <w:lang w:val="en" w:eastAsia="en-AU"/>
        </w:rPr>
        <w:tab/>
      </w:r>
      <w:r w:rsidR="00DB41F5" w:rsidRPr="00DB41F5">
        <w:rPr>
          <w:lang w:val="en" w:eastAsia="en-AU"/>
        </w:rPr>
        <w:t>(6)</w:t>
      </w:r>
      <w:r>
        <w:rPr>
          <w:lang w:val="en" w:eastAsia="en-AU"/>
        </w:rPr>
        <w:tab/>
      </w:r>
      <w:r w:rsidR="00DB41F5" w:rsidRPr="00DB41F5">
        <w:rPr>
          <w:lang w:val="en" w:eastAsia="en-AU"/>
        </w:rPr>
        <w:t>If the promisee accepts an undertaking before the proceeding ends, the promisee must use reasonable diligence to have the proceeding discontinued as soon as possible.</w:t>
      </w:r>
    </w:p>
    <w:p w14:paraId="3578FEF4" w14:textId="77777777" w:rsidR="00DB41F5" w:rsidRPr="00DB41F5" w:rsidRDefault="002B7154" w:rsidP="002B7154">
      <w:pPr>
        <w:pStyle w:val="Amain"/>
        <w:rPr>
          <w:lang w:val="en" w:eastAsia="en-AU"/>
        </w:rPr>
      </w:pPr>
      <w:r>
        <w:rPr>
          <w:lang w:val="en" w:eastAsia="en-AU"/>
        </w:rPr>
        <w:tab/>
      </w:r>
      <w:r w:rsidR="00DB41F5" w:rsidRPr="00DB41F5">
        <w:rPr>
          <w:lang w:val="en" w:eastAsia="en-AU"/>
        </w:rPr>
        <w:t>(7)</w:t>
      </w:r>
      <w:r>
        <w:rPr>
          <w:lang w:val="en" w:eastAsia="en-AU"/>
        </w:rPr>
        <w:tab/>
      </w:r>
      <w:r w:rsidR="00DB41F5" w:rsidRPr="00DB41F5">
        <w:rPr>
          <w:lang w:val="en" w:eastAsia="en-AU"/>
        </w:rPr>
        <w:t>The promisee must give the person written notice of—</w:t>
      </w:r>
    </w:p>
    <w:p w14:paraId="7DD9B0A0" w14:textId="77777777"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the promisee’s decision to accept or reject the undertaking; and</w:t>
      </w:r>
    </w:p>
    <w:p w14:paraId="2359F019" w14:textId="77777777"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the reasons for the decision.</w:t>
      </w:r>
    </w:p>
    <w:p w14:paraId="4C5CC03B" w14:textId="77777777" w:rsidR="00DB41F5" w:rsidRPr="00DB41F5" w:rsidRDefault="002B7154" w:rsidP="002B7154">
      <w:pPr>
        <w:pStyle w:val="Amain"/>
        <w:rPr>
          <w:lang w:val="en" w:eastAsia="en-AU"/>
        </w:rPr>
      </w:pPr>
      <w:r>
        <w:rPr>
          <w:lang w:val="en" w:eastAsia="en-AU"/>
        </w:rPr>
        <w:tab/>
      </w:r>
      <w:r w:rsidR="00DB41F5" w:rsidRPr="00DB41F5">
        <w:rPr>
          <w:lang w:val="en" w:eastAsia="en-AU"/>
        </w:rPr>
        <w:t>(8)</w:t>
      </w:r>
      <w:r>
        <w:rPr>
          <w:lang w:val="en" w:eastAsia="en-AU"/>
        </w:rPr>
        <w:tab/>
      </w:r>
      <w:r w:rsidR="00DB41F5" w:rsidRPr="00DB41F5">
        <w:rPr>
          <w:lang w:val="en" w:eastAsia="en-AU"/>
        </w:rPr>
        <w:t>If the promisee decides to accept the undertaking and the promisee is not the Regulator, the promisee must give the following documents to the Regulator within 28 days after accepting the undertaking—</w:t>
      </w:r>
    </w:p>
    <w:p w14:paraId="1D476669" w14:textId="77777777"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a copy of the undertaking;</w:t>
      </w:r>
    </w:p>
    <w:p w14:paraId="57308EDA" w14:textId="77777777"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a statement of the reasons for the promisee’s decision to accept the undertaking.</w:t>
      </w:r>
    </w:p>
    <w:p w14:paraId="7CE530AF" w14:textId="77777777" w:rsidR="00DB41F5" w:rsidRPr="00DB41F5" w:rsidRDefault="002B7154" w:rsidP="00170ABD">
      <w:pPr>
        <w:pStyle w:val="Amain"/>
        <w:keepNext/>
        <w:rPr>
          <w:lang w:val="en" w:eastAsia="en-AU"/>
        </w:rPr>
      </w:pPr>
      <w:r>
        <w:rPr>
          <w:lang w:val="en" w:eastAsia="en-AU"/>
        </w:rPr>
        <w:lastRenderedPageBreak/>
        <w:tab/>
      </w:r>
      <w:r w:rsidR="00DB41F5" w:rsidRPr="00DB41F5">
        <w:rPr>
          <w:lang w:val="en" w:eastAsia="en-AU"/>
        </w:rPr>
        <w:t>(9)</w:t>
      </w:r>
      <w:r>
        <w:rPr>
          <w:lang w:val="en" w:eastAsia="en-AU"/>
        </w:rPr>
        <w:tab/>
      </w:r>
      <w:r w:rsidR="00DB41F5" w:rsidRPr="00DB41F5">
        <w:rPr>
          <w:lang w:val="en" w:eastAsia="en-AU"/>
        </w:rPr>
        <w:t>The Regulator must publish the following information on the Regulator’s website—</w:t>
      </w:r>
    </w:p>
    <w:p w14:paraId="7F89B490" w14:textId="77777777"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a promisee’s decision to accept an undertaking under this section;</w:t>
      </w:r>
    </w:p>
    <w:p w14:paraId="60E0F66A" w14:textId="77777777"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the reasons for the decision.</w:t>
      </w:r>
    </w:p>
    <w:p w14:paraId="315A3552" w14:textId="77777777" w:rsidR="00DB41F5" w:rsidRPr="00DB41F5" w:rsidRDefault="002B7154" w:rsidP="002B7154">
      <w:pPr>
        <w:pStyle w:val="Amain"/>
        <w:rPr>
          <w:lang w:val="en" w:eastAsia="en-AU"/>
        </w:rPr>
      </w:pPr>
      <w:r>
        <w:rPr>
          <w:lang w:val="en" w:eastAsia="en-AU"/>
        </w:rPr>
        <w:tab/>
      </w:r>
      <w:r w:rsidR="00DB41F5" w:rsidRPr="00DB41F5">
        <w:rPr>
          <w:lang w:val="en" w:eastAsia="en-AU"/>
        </w:rPr>
        <w:t>(10)</w:t>
      </w:r>
      <w:r>
        <w:rPr>
          <w:lang w:val="en" w:eastAsia="en-AU"/>
        </w:rPr>
        <w:tab/>
      </w:r>
      <w:r w:rsidR="00DB41F5" w:rsidRPr="00DB41F5">
        <w:rPr>
          <w:lang w:val="en" w:eastAsia="en-AU"/>
        </w:rPr>
        <w:t>An authorised officer may act under this section only if—</w:t>
      </w:r>
    </w:p>
    <w:p w14:paraId="6CBC6B72" w14:textId="77777777"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for an authorised officer who is a police officer—the officer has the relevant police commissioner’s written authority to act under this section; or</w:t>
      </w:r>
    </w:p>
    <w:p w14:paraId="1372DA65" w14:textId="77777777"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for an authorised officer who is not a police officer—the officer’s instrument of appointment provides that the authorised officer may act under this section.</w:t>
      </w:r>
    </w:p>
    <w:p w14:paraId="38311069" w14:textId="77777777" w:rsidR="00DB41F5" w:rsidRPr="00DB41F5" w:rsidRDefault="002B7154" w:rsidP="002B7154">
      <w:pPr>
        <w:pStyle w:val="AH5Sec"/>
        <w:rPr>
          <w:lang w:val="en" w:eastAsia="en-AU"/>
        </w:rPr>
      </w:pPr>
      <w:bookmarkStart w:id="727" w:name="_Toc83626071"/>
      <w:r w:rsidRPr="005E03F7">
        <w:rPr>
          <w:rStyle w:val="CharSectNo"/>
        </w:rPr>
        <w:t>590B</w:t>
      </w:r>
      <w:r>
        <w:rPr>
          <w:lang w:val="en" w:eastAsia="en-AU"/>
        </w:rPr>
        <w:tab/>
      </w:r>
      <w:r w:rsidR="00DB41F5" w:rsidRPr="00DB41F5">
        <w:rPr>
          <w:lang w:val="en" w:eastAsia="en-AU"/>
        </w:rPr>
        <w:t>Effect of undertaking</w:t>
      </w:r>
      <w:bookmarkEnd w:id="727"/>
    </w:p>
    <w:p w14:paraId="4D4F5D11" w14:textId="77777777" w:rsidR="00DB41F5" w:rsidRPr="00DB41F5" w:rsidRDefault="002B7154" w:rsidP="002B7154">
      <w:pPr>
        <w:pStyle w:val="Amain"/>
        <w:rPr>
          <w:lang w:val="en" w:eastAsia="en-AU"/>
        </w:rPr>
      </w:pPr>
      <w:r>
        <w:rPr>
          <w:lang w:val="en" w:eastAsia="en-AU"/>
        </w:rPr>
        <w:tab/>
      </w:r>
      <w:r w:rsidR="00DB41F5" w:rsidRPr="00DB41F5">
        <w:rPr>
          <w:lang w:val="en" w:eastAsia="en-AU"/>
        </w:rPr>
        <w:t>(1)</w:t>
      </w:r>
      <w:r>
        <w:rPr>
          <w:lang w:val="en" w:eastAsia="en-AU"/>
        </w:rPr>
        <w:tab/>
      </w:r>
      <w:r w:rsidR="00DB41F5" w:rsidRPr="00DB41F5">
        <w:rPr>
          <w:lang w:val="en" w:eastAsia="en-AU"/>
        </w:rPr>
        <w:t>An undertaking takes effect—</w:t>
      </w:r>
    </w:p>
    <w:p w14:paraId="78B2359B" w14:textId="77777777"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when the promisee gives notice of the decision to accept the undertaking to the person who made the undertaking; or</w:t>
      </w:r>
    </w:p>
    <w:p w14:paraId="67BF72BE" w14:textId="77777777"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at a later time stated in the notice.</w:t>
      </w:r>
    </w:p>
    <w:p w14:paraId="36A1D18B" w14:textId="77777777" w:rsidR="00DB41F5" w:rsidRPr="00DB41F5" w:rsidRDefault="002B7154" w:rsidP="002B7154">
      <w:pPr>
        <w:pStyle w:val="Amain"/>
        <w:rPr>
          <w:lang w:val="en" w:eastAsia="en-AU"/>
        </w:rPr>
      </w:pPr>
      <w:r>
        <w:rPr>
          <w:lang w:val="en" w:eastAsia="en-AU"/>
        </w:rPr>
        <w:tab/>
      </w:r>
      <w:r w:rsidR="00DB41F5" w:rsidRPr="00DB41F5">
        <w:rPr>
          <w:lang w:val="en" w:eastAsia="en-AU"/>
        </w:rPr>
        <w:t>(2)</w:t>
      </w:r>
      <w:r>
        <w:rPr>
          <w:lang w:val="en" w:eastAsia="en-AU"/>
        </w:rPr>
        <w:tab/>
      </w:r>
      <w:r w:rsidR="00DB41F5" w:rsidRPr="00DB41F5">
        <w:rPr>
          <w:lang w:val="en" w:eastAsia="en-AU"/>
        </w:rPr>
        <w:t>While the undertaking is in effect, the person must comply with the undertaking.</w:t>
      </w:r>
    </w:p>
    <w:p w14:paraId="78F09843" w14:textId="77777777" w:rsidR="00DB41F5" w:rsidRPr="00DB41F5" w:rsidRDefault="00DB41F5" w:rsidP="002B7154">
      <w:pPr>
        <w:pStyle w:val="Penalty"/>
        <w:rPr>
          <w:lang w:val="en" w:eastAsia="en-AU"/>
        </w:rPr>
      </w:pPr>
      <w:r w:rsidRPr="00DB41F5">
        <w:rPr>
          <w:lang w:val="en" w:eastAsia="en-AU"/>
        </w:rPr>
        <w:t>Maximum penalty—$10000.</w:t>
      </w:r>
    </w:p>
    <w:p w14:paraId="410E2937" w14:textId="77777777" w:rsidR="00DB41F5" w:rsidRPr="00DB41F5" w:rsidRDefault="002B7154" w:rsidP="002B7154">
      <w:pPr>
        <w:pStyle w:val="Amain"/>
        <w:rPr>
          <w:lang w:val="en" w:eastAsia="en-AU"/>
        </w:rPr>
      </w:pPr>
      <w:r>
        <w:rPr>
          <w:lang w:val="en" w:eastAsia="en-AU"/>
        </w:rPr>
        <w:tab/>
      </w:r>
      <w:r w:rsidR="00DB41F5" w:rsidRPr="00DB41F5">
        <w:rPr>
          <w:lang w:val="en" w:eastAsia="en-AU"/>
        </w:rPr>
        <w:t>(3)</w:t>
      </w:r>
      <w:r>
        <w:rPr>
          <w:lang w:val="en" w:eastAsia="en-AU"/>
        </w:rPr>
        <w:tab/>
      </w:r>
      <w:r w:rsidR="00DB41F5" w:rsidRPr="00DB41F5">
        <w:rPr>
          <w:lang w:val="en" w:eastAsia="en-AU"/>
        </w:rPr>
        <w:t>If the person complies with the undertaking, no proceeding for the contravention or alleged contravention may be taken against the person.</w:t>
      </w:r>
    </w:p>
    <w:p w14:paraId="57500BF4" w14:textId="77777777" w:rsidR="00DB41F5" w:rsidRPr="00DB41F5" w:rsidRDefault="002B7154" w:rsidP="002B7154">
      <w:pPr>
        <w:pStyle w:val="Amain"/>
        <w:rPr>
          <w:lang w:val="en" w:eastAsia="en-AU"/>
        </w:rPr>
      </w:pPr>
      <w:r>
        <w:rPr>
          <w:lang w:val="en" w:eastAsia="en-AU"/>
        </w:rPr>
        <w:tab/>
      </w:r>
      <w:r w:rsidR="00DB41F5" w:rsidRPr="00DB41F5">
        <w:rPr>
          <w:lang w:val="en" w:eastAsia="en-AU"/>
        </w:rPr>
        <w:t>(4)</w:t>
      </w:r>
      <w:r>
        <w:rPr>
          <w:lang w:val="en" w:eastAsia="en-AU"/>
        </w:rPr>
        <w:tab/>
      </w:r>
      <w:r w:rsidR="00DB41F5" w:rsidRPr="00DB41F5">
        <w:rPr>
          <w:lang w:val="en" w:eastAsia="en-AU"/>
        </w:rPr>
        <w:t>The offer to make, or the making of, an undertaking is not an admission of guilt by the person offering to make, or making, the undertaking.</w:t>
      </w:r>
    </w:p>
    <w:p w14:paraId="34E77BD7" w14:textId="77777777" w:rsidR="00DB41F5" w:rsidRPr="00DB41F5" w:rsidRDefault="002B7154" w:rsidP="002B7154">
      <w:pPr>
        <w:pStyle w:val="AH5Sec"/>
        <w:rPr>
          <w:lang w:val="en" w:eastAsia="en-AU"/>
        </w:rPr>
      </w:pPr>
      <w:bookmarkStart w:id="728" w:name="_Toc83626072"/>
      <w:r w:rsidRPr="005E03F7">
        <w:rPr>
          <w:rStyle w:val="CharSectNo"/>
        </w:rPr>
        <w:lastRenderedPageBreak/>
        <w:t>590C</w:t>
      </w:r>
      <w:r>
        <w:rPr>
          <w:lang w:val="en" w:eastAsia="en-AU"/>
        </w:rPr>
        <w:tab/>
      </w:r>
      <w:r w:rsidR="00DB41F5" w:rsidRPr="00DB41F5">
        <w:rPr>
          <w:lang w:val="en" w:eastAsia="en-AU"/>
        </w:rPr>
        <w:t>Withdrawing or changing undertaking</w:t>
      </w:r>
      <w:bookmarkEnd w:id="728"/>
    </w:p>
    <w:p w14:paraId="2F86A5AC" w14:textId="77777777" w:rsidR="00DB41F5" w:rsidRPr="00DB41F5" w:rsidRDefault="002B7154" w:rsidP="002B7154">
      <w:pPr>
        <w:pStyle w:val="Amain"/>
        <w:rPr>
          <w:lang w:val="en" w:eastAsia="en-AU"/>
        </w:rPr>
      </w:pPr>
      <w:r>
        <w:rPr>
          <w:lang w:val="en" w:eastAsia="en-AU"/>
        </w:rPr>
        <w:tab/>
      </w:r>
      <w:r w:rsidR="00DB41F5" w:rsidRPr="00DB41F5">
        <w:rPr>
          <w:lang w:val="en" w:eastAsia="en-AU"/>
        </w:rPr>
        <w:t>(1)</w:t>
      </w:r>
      <w:r>
        <w:rPr>
          <w:lang w:val="en" w:eastAsia="en-AU"/>
        </w:rPr>
        <w:tab/>
      </w:r>
      <w:r w:rsidR="00DB41F5" w:rsidRPr="00DB41F5">
        <w:rPr>
          <w:lang w:val="en" w:eastAsia="en-AU"/>
        </w:rPr>
        <w:t>The person who made an undertaking may, at any time, with the written agreement of the promisee—</w:t>
      </w:r>
    </w:p>
    <w:p w14:paraId="5B8E84A9" w14:textId="77777777"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withdraw the undertaking; or</w:t>
      </w:r>
    </w:p>
    <w:p w14:paraId="058424AF" w14:textId="77777777"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change the undertaking.</w:t>
      </w:r>
    </w:p>
    <w:p w14:paraId="39800685" w14:textId="77777777" w:rsidR="00DB41F5" w:rsidRPr="00DB41F5" w:rsidRDefault="002B7154" w:rsidP="002B7154">
      <w:pPr>
        <w:pStyle w:val="Amain"/>
        <w:rPr>
          <w:lang w:val="en" w:eastAsia="en-AU"/>
        </w:rPr>
      </w:pPr>
      <w:r>
        <w:rPr>
          <w:lang w:val="en" w:eastAsia="en-AU"/>
        </w:rPr>
        <w:tab/>
      </w:r>
      <w:r w:rsidR="00DB41F5" w:rsidRPr="00DB41F5">
        <w:rPr>
          <w:lang w:val="en" w:eastAsia="en-AU"/>
        </w:rPr>
        <w:t>(2)</w:t>
      </w:r>
      <w:r>
        <w:rPr>
          <w:lang w:val="en" w:eastAsia="en-AU"/>
        </w:rPr>
        <w:tab/>
      </w:r>
      <w:r w:rsidR="00DB41F5" w:rsidRPr="00DB41F5">
        <w:rPr>
          <w:lang w:val="en" w:eastAsia="en-AU"/>
        </w:rPr>
        <w:t>However, the provisions of the undertaking may not be changed to provide for a different contravention or alleged contravention of this Law.</w:t>
      </w:r>
    </w:p>
    <w:p w14:paraId="7F86F7F3" w14:textId="77777777" w:rsidR="00DB41F5" w:rsidRPr="00DB41F5" w:rsidRDefault="002B7154" w:rsidP="002B7154">
      <w:pPr>
        <w:pStyle w:val="Amain"/>
        <w:rPr>
          <w:lang w:val="en" w:eastAsia="en-AU"/>
        </w:rPr>
      </w:pPr>
      <w:r>
        <w:rPr>
          <w:lang w:val="en" w:eastAsia="en-AU"/>
        </w:rPr>
        <w:tab/>
      </w:r>
      <w:r w:rsidR="00DB41F5" w:rsidRPr="00DB41F5">
        <w:rPr>
          <w:lang w:val="en" w:eastAsia="en-AU"/>
        </w:rPr>
        <w:t>(3)</w:t>
      </w:r>
      <w:r>
        <w:rPr>
          <w:lang w:val="en" w:eastAsia="en-AU"/>
        </w:rPr>
        <w:tab/>
      </w:r>
      <w:r w:rsidR="00DB41F5" w:rsidRPr="00DB41F5">
        <w:rPr>
          <w:lang w:val="en" w:eastAsia="en-AU"/>
        </w:rPr>
        <w:t>If the promisee is not the Regulator, the promisee must give notice of the withdrawal or change of the undertaking to the Regulator.</w:t>
      </w:r>
    </w:p>
    <w:p w14:paraId="77E32B19" w14:textId="77777777" w:rsidR="00DB41F5" w:rsidRPr="00DB41F5" w:rsidRDefault="002B7154" w:rsidP="002B7154">
      <w:pPr>
        <w:pStyle w:val="Amain"/>
        <w:rPr>
          <w:lang w:val="en" w:eastAsia="en-AU"/>
        </w:rPr>
      </w:pPr>
      <w:r>
        <w:rPr>
          <w:lang w:val="en" w:eastAsia="en-AU"/>
        </w:rPr>
        <w:tab/>
      </w:r>
      <w:r w:rsidR="00DB41F5" w:rsidRPr="00DB41F5">
        <w:rPr>
          <w:lang w:val="en" w:eastAsia="en-AU"/>
        </w:rPr>
        <w:t>(4)</w:t>
      </w:r>
      <w:r>
        <w:rPr>
          <w:lang w:val="en" w:eastAsia="en-AU"/>
        </w:rPr>
        <w:tab/>
      </w:r>
      <w:r w:rsidR="00DB41F5" w:rsidRPr="00DB41F5">
        <w:rPr>
          <w:lang w:val="en" w:eastAsia="en-AU"/>
        </w:rPr>
        <w:t>The Regulator must publish notice of the withdrawal or change on the Regulator’s website.</w:t>
      </w:r>
    </w:p>
    <w:p w14:paraId="60F947CE" w14:textId="77777777" w:rsidR="00DB41F5" w:rsidRPr="00DB41F5" w:rsidRDefault="002B7154" w:rsidP="002B7154">
      <w:pPr>
        <w:pStyle w:val="AH5Sec"/>
        <w:rPr>
          <w:lang w:val="en" w:eastAsia="en-AU"/>
        </w:rPr>
      </w:pPr>
      <w:bookmarkStart w:id="729" w:name="_Toc83626073"/>
      <w:r w:rsidRPr="005E03F7">
        <w:rPr>
          <w:rStyle w:val="CharSectNo"/>
        </w:rPr>
        <w:t>590D</w:t>
      </w:r>
      <w:r>
        <w:rPr>
          <w:lang w:val="en" w:eastAsia="en-AU"/>
        </w:rPr>
        <w:tab/>
      </w:r>
      <w:r w:rsidR="00DB41F5" w:rsidRPr="00DB41F5">
        <w:rPr>
          <w:lang w:val="en" w:eastAsia="en-AU"/>
        </w:rPr>
        <w:t>Contravening undertaking</w:t>
      </w:r>
      <w:bookmarkEnd w:id="729"/>
    </w:p>
    <w:p w14:paraId="56448F10" w14:textId="77777777" w:rsidR="00DB41F5" w:rsidRPr="00DB41F5" w:rsidRDefault="002B7154" w:rsidP="002B7154">
      <w:pPr>
        <w:pStyle w:val="Amain"/>
        <w:rPr>
          <w:lang w:val="en" w:eastAsia="en-AU"/>
        </w:rPr>
      </w:pPr>
      <w:r>
        <w:rPr>
          <w:lang w:val="en" w:eastAsia="en-AU"/>
        </w:rPr>
        <w:tab/>
      </w:r>
      <w:r w:rsidR="00DB41F5" w:rsidRPr="00DB41F5">
        <w:rPr>
          <w:lang w:val="en" w:eastAsia="en-AU"/>
        </w:rPr>
        <w:t>(1)</w:t>
      </w:r>
      <w:r>
        <w:rPr>
          <w:lang w:val="en" w:eastAsia="en-AU"/>
        </w:rPr>
        <w:tab/>
      </w:r>
      <w:r w:rsidR="00DB41F5" w:rsidRPr="00DB41F5">
        <w:rPr>
          <w:lang w:val="en" w:eastAsia="en-AU"/>
        </w:rPr>
        <w:t>The promisee may apply to a relevant tribunal or court for an order if the person who made an undertaking fails to comply with the undertaking.</w:t>
      </w:r>
    </w:p>
    <w:p w14:paraId="1F3141DD" w14:textId="77777777" w:rsidR="00DB41F5" w:rsidRPr="00DB41F5" w:rsidRDefault="002B7154" w:rsidP="002B7154">
      <w:pPr>
        <w:pStyle w:val="Amain"/>
        <w:rPr>
          <w:lang w:val="en" w:eastAsia="en-AU"/>
        </w:rPr>
      </w:pPr>
      <w:r>
        <w:rPr>
          <w:lang w:val="en" w:eastAsia="en-AU"/>
        </w:rPr>
        <w:tab/>
      </w:r>
      <w:r w:rsidR="00DB41F5" w:rsidRPr="00DB41F5">
        <w:rPr>
          <w:lang w:val="en" w:eastAsia="en-AU"/>
        </w:rPr>
        <w:t>(2)</w:t>
      </w:r>
      <w:r>
        <w:rPr>
          <w:lang w:val="en" w:eastAsia="en-AU"/>
        </w:rPr>
        <w:tab/>
      </w:r>
      <w:r w:rsidR="00DB41F5" w:rsidRPr="00DB41F5">
        <w:rPr>
          <w:lang w:val="en" w:eastAsia="en-AU"/>
        </w:rPr>
        <w:t>If the relevant tribunal or court is satisfied the person has failed to comply with the undertaking, the relevant tribunal or court, as well as imposing any penalty, may make—</w:t>
      </w:r>
    </w:p>
    <w:p w14:paraId="3FB88816" w14:textId="77777777"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an order directing the person to comply with the undertaking; or</w:t>
      </w:r>
    </w:p>
    <w:p w14:paraId="254994CD" w14:textId="77777777"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an order discharging the undertaking.</w:t>
      </w:r>
    </w:p>
    <w:p w14:paraId="12DE4A07" w14:textId="77777777" w:rsidR="00DB41F5" w:rsidRPr="00DB41F5" w:rsidRDefault="002B7154" w:rsidP="002B7154">
      <w:pPr>
        <w:pStyle w:val="Amain"/>
        <w:rPr>
          <w:lang w:val="en" w:eastAsia="en-AU"/>
        </w:rPr>
      </w:pPr>
      <w:r>
        <w:rPr>
          <w:lang w:val="en" w:eastAsia="en-AU"/>
        </w:rPr>
        <w:tab/>
      </w:r>
      <w:r w:rsidR="00DB41F5" w:rsidRPr="00DB41F5">
        <w:rPr>
          <w:lang w:val="en" w:eastAsia="en-AU"/>
        </w:rPr>
        <w:t>(3)</w:t>
      </w:r>
      <w:r>
        <w:rPr>
          <w:lang w:val="en" w:eastAsia="en-AU"/>
        </w:rPr>
        <w:tab/>
      </w:r>
      <w:r w:rsidR="00DB41F5" w:rsidRPr="00DB41F5">
        <w:rPr>
          <w:lang w:val="en" w:eastAsia="en-AU"/>
        </w:rPr>
        <w:t>Also, the relevant tribunal or court may make any other order that the tribunal or court considers appropriate in the circumstances, including an order directing the person to pay to the State—</w:t>
      </w:r>
    </w:p>
    <w:p w14:paraId="74CAA1F1" w14:textId="77777777"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the costs of the proceeding; and</w:t>
      </w:r>
    </w:p>
    <w:p w14:paraId="1CB38B9F" w14:textId="77777777"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the reasonable costs of the promisee in monitoring whether the person complies with the undertaking in the future.</w:t>
      </w:r>
    </w:p>
    <w:p w14:paraId="2F0009FC" w14:textId="77777777" w:rsidR="00DB41F5" w:rsidRPr="00DB41F5" w:rsidRDefault="002B7154" w:rsidP="002B7154">
      <w:pPr>
        <w:pStyle w:val="Amain"/>
        <w:rPr>
          <w:lang w:val="en" w:eastAsia="en-AU"/>
        </w:rPr>
      </w:pPr>
      <w:r>
        <w:rPr>
          <w:lang w:val="en" w:eastAsia="en-AU"/>
        </w:rPr>
        <w:lastRenderedPageBreak/>
        <w:tab/>
      </w:r>
      <w:r w:rsidR="00DB41F5" w:rsidRPr="00DB41F5">
        <w:rPr>
          <w:lang w:val="en" w:eastAsia="en-AU"/>
        </w:rPr>
        <w:t>(4)</w:t>
      </w:r>
      <w:r>
        <w:rPr>
          <w:lang w:val="en" w:eastAsia="en-AU"/>
        </w:rPr>
        <w:tab/>
      </w:r>
      <w:r w:rsidR="00DB41F5" w:rsidRPr="00DB41F5">
        <w:rPr>
          <w:lang w:val="en" w:eastAsia="en-AU"/>
        </w:rPr>
        <w:t>Nothing in this section prevents a proceeding being taken for the contravention or alleged contravention to which the undertaking relates.</w:t>
      </w:r>
    </w:p>
    <w:p w14:paraId="2F8BDD5E" w14:textId="77777777" w:rsidR="00DB6E47" w:rsidRPr="003D647F" w:rsidRDefault="00DB6E47" w:rsidP="00DB6E47">
      <w:pPr>
        <w:pStyle w:val="PageBreak"/>
        <w:rPr>
          <w:rFonts w:eastAsiaTheme="minorHAnsi"/>
        </w:rPr>
      </w:pPr>
      <w:r w:rsidRPr="003D647F">
        <w:rPr>
          <w:rFonts w:eastAsiaTheme="minorHAnsi"/>
        </w:rPr>
        <w:br w:type="page"/>
      </w:r>
    </w:p>
    <w:p w14:paraId="23B82A4E" w14:textId="77777777" w:rsidR="00DB6E47" w:rsidRPr="005E03F7" w:rsidRDefault="00DB6E47" w:rsidP="00DB6E47">
      <w:pPr>
        <w:pStyle w:val="AH2Part"/>
      </w:pPr>
      <w:bookmarkStart w:id="730" w:name="_Toc83626074"/>
      <w:r w:rsidRPr="005E03F7">
        <w:rPr>
          <w:rStyle w:val="CharPartNo"/>
        </w:rPr>
        <w:lastRenderedPageBreak/>
        <w:t xml:space="preserve">Part 10.2 </w:t>
      </w:r>
      <w:r w:rsidRPr="00A95F9A">
        <w:rPr>
          <w:rFonts w:ascii="Helvetica" w:hAnsi="Helvetica" w:cs="Helvetica"/>
          <w:iCs/>
          <w:szCs w:val="32"/>
        </w:rPr>
        <w:tab/>
      </w:r>
      <w:r w:rsidRPr="005E03F7">
        <w:rPr>
          <w:rStyle w:val="CharPartText"/>
          <w:rFonts w:ascii="Helvetica" w:hAnsi="Helvetica" w:cs="Helvetica"/>
          <w:iCs/>
          <w:szCs w:val="32"/>
        </w:rPr>
        <w:t>Infringement notices</w:t>
      </w:r>
      <w:bookmarkEnd w:id="730"/>
    </w:p>
    <w:p w14:paraId="6B3BACED" w14:textId="77777777" w:rsidR="00DB6E47" w:rsidRPr="007E1F9A" w:rsidRDefault="00DB6E47" w:rsidP="00DB6E47">
      <w:pPr>
        <w:pStyle w:val="AH5Sec"/>
      </w:pPr>
      <w:bookmarkStart w:id="731" w:name="_Toc83626075"/>
      <w:r w:rsidRPr="005E03F7">
        <w:rPr>
          <w:rStyle w:val="CharSectNo"/>
        </w:rPr>
        <w:t>591</w:t>
      </w:r>
      <w:r w:rsidRPr="007E1F9A">
        <w:tab/>
      </w:r>
      <w:r w:rsidRPr="007E1F9A">
        <w:rPr>
          <w:rFonts w:ascii="Helvetica" w:hAnsi="Helvetica" w:cs="Helvetica"/>
          <w:iCs/>
        </w:rPr>
        <w:t>Infringement notices</w:t>
      </w:r>
      <w:bookmarkEnd w:id="731"/>
    </w:p>
    <w:p w14:paraId="6B6601F2" w14:textId="77777777" w:rsidR="00DB6E47" w:rsidRPr="003D139A" w:rsidRDefault="00DB6E47" w:rsidP="00DB6E47">
      <w:pPr>
        <w:pStyle w:val="Amain"/>
      </w:pPr>
      <w:r w:rsidRPr="003D139A">
        <w:tab/>
        <w:t>(1)</w:t>
      </w:r>
      <w:r w:rsidRPr="003D139A">
        <w:tab/>
        <w:t>An authorised officer who reasonably believes that a person has committed a prescribed offence against this Law may serve the person with an infringement notice issued as an alternative to prosecution in court for the offence.</w:t>
      </w:r>
    </w:p>
    <w:p w14:paraId="436598E0" w14:textId="77777777" w:rsidR="00DB6E47" w:rsidRPr="003D139A" w:rsidRDefault="00DB6E47" w:rsidP="00DB6E47">
      <w:pPr>
        <w:pStyle w:val="Amain"/>
      </w:pPr>
      <w:r w:rsidRPr="003D139A">
        <w:tab/>
        <w:t>(2)</w:t>
      </w:r>
      <w:r w:rsidRPr="003D139A">
        <w:tab/>
        <w:t>The procedures to be followed in connection with infringement notices issued for the purposes of this Law as applied in this jurisdiction are to be the procedures prescribed by or under the Infringement Notice Offences Law of this jurisdiction.</w:t>
      </w:r>
    </w:p>
    <w:p w14:paraId="2BA69BDF" w14:textId="77777777" w:rsidR="00DB6E47" w:rsidRPr="003D139A" w:rsidRDefault="00DB6E47" w:rsidP="00DB6E47">
      <w:pPr>
        <w:pStyle w:val="Amain"/>
      </w:pPr>
      <w:r w:rsidRPr="003D139A">
        <w:tab/>
        <w:t>(3)</w:t>
      </w:r>
      <w:r w:rsidRPr="003D139A">
        <w:tab/>
        <w:t>In this section—</w:t>
      </w:r>
    </w:p>
    <w:p w14:paraId="31B69354" w14:textId="77777777" w:rsidR="00DB6E47" w:rsidRPr="00041046" w:rsidRDefault="00DB6E47" w:rsidP="00DB6E47">
      <w:pPr>
        <w:pStyle w:val="aDef"/>
        <w:rPr>
          <w:bCs/>
        </w:rPr>
      </w:pPr>
      <w:r w:rsidRPr="00041046">
        <w:rPr>
          <w:rStyle w:val="charBoldItals"/>
        </w:rPr>
        <w:t>prescribed offence</w:t>
      </w:r>
      <w:r w:rsidRPr="00041046">
        <w:t xml:space="preserve"> means an offence prescribed by a law of this jurisdiction for the purposes of this section.</w:t>
      </w:r>
    </w:p>
    <w:p w14:paraId="443EC4C6" w14:textId="77777777" w:rsidR="00DB6E47" w:rsidRPr="007E1F9A" w:rsidRDefault="00DB6E47" w:rsidP="00DB6E47">
      <w:pPr>
        <w:pStyle w:val="AH5Sec"/>
      </w:pPr>
      <w:bookmarkStart w:id="732" w:name="_Toc83626076"/>
      <w:r w:rsidRPr="005E03F7">
        <w:rPr>
          <w:rStyle w:val="CharSectNo"/>
        </w:rPr>
        <w:t>592</w:t>
      </w:r>
      <w:r w:rsidRPr="007E1F9A">
        <w:tab/>
      </w:r>
      <w:r w:rsidRPr="007E1F9A">
        <w:rPr>
          <w:rFonts w:ascii="Helvetica" w:hAnsi="Helvetica" w:cs="Helvetica"/>
          <w:iCs/>
        </w:rPr>
        <w:t>Recording information about infringement penalties</w:t>
      </w:r>
      <w:bookmarkEnd w:id="732"/>
    </w:p>
    <w:p w14:paraId="370FAFCE" w14:textId="77777777" w:rsidR="00DB6E47" w:rsidRPr="003D139A" w:rsidRDefault="00DB6E47" w:rsidP="00DB6E47">
      <w:pPr>
        <w:pStyle w:val="Amain"/>
      </w:pPr>
      <w:r w:rsidRPr="003D139A">
        <w:tab/>
        <w:t>(1)</w:t>
      </w:r>
      <w:r w:rsidRPr="003D139A">
        <w:tab/>
        <w:t>The Regulator may keep a record of—</w:t>
      </w:r>
    </w:p>
    <w:p w14:paraId="6FD83D70" w14:textId="77777777" w:rsidR="00DB6E47" w:rsidRPr="00544ED5" w:rsidRDefault="00DB6E47" w:rsidP="00DB6E47">
      <w:pPr>
        <w:pStyle w:val="Apara"/>
      </w:pPr>
      <w:r w:rsidRPr="00544ED5">
        <w:tab/>
        <w:t>(a)</w:t>
      </w:r>
      <w:r w:rsidRPr="00544ED5">
        <w:tab/>
        <w:t>each infringement notice issued for the purposes of this Law; and</w:t>
      </w:r>
    </w:p>
    <w:p w14:paraId="55B9D617" w14:textId="77777777" w:rsidR="00DB6E47" w:rsidRPr="00544ED5" w:rsidRDefault="00DB6E47" w:rsidP="00DB6E47">
      <w:pPr>
        <w:pStyle w:val="Apara"/>
      </w:pPr>
      <w:r w:rsidRPr="00544ED5">
        <w:tab/>
        <w:t>(b)</w:t>
      </w:r>
      <w:r w:rsidRPr="00544ED5">
        <w:tab/>
        <w:t>the payment of a fine sought by an infringement notice by a person to whom the notice is issued for the purposes of this Law.</w:t>
      </w:r>
    </w:p>
    <w:p w14:paraId="5557197B" w14:textId="77777777" w:rsidR="00DB6E47" w:rsidRPr="003D139A" w:rsidRDefault="00DB6E47" w:rsidP="00DB6E47">
      <w:pPr>
        <w:pStyle w:val="Amain"/>
      </w:pPr>
      <w:r w:rsidRPr="003D139A">
        <w:tab/>
        <w:t>(2)</w:t>
      </w:r>
      <w:r w:rsidRPr="003D139A">
        <w:tab/>
        <w:t>Information in</w:t>
      </w:r>
      <w:r w:rsidR="00592E1B">
        <w:t xml:space="preserve"> a record kept under subsection </w:t>
      </w:r>
      <w:r w:rsidRPr="003D139A">
        <w:t>(1)</w:t>
      </w:r>
      <w:r w:rsidR="00592E1B">
        <w:t xml:space="preserve"> </w:t>
      </w:r>
      <w:r w:rsidRPr="003D139A">
        <w:t>may be used only—</w:t>
      </w:r>
    </w:p>
    <w:p w14:paraId="09795775" w14:textId="77777777" w:rsidR="00DB6E47" w:rsidRPr="00544ED5" w:rsidRDefault="00DB6E47" w:rsidP="00DB6E47">
      <w:pPr>
        <w:pStyle w:val="Apara"/>
      </w:pPr>
      <w:r w:rsidRPr="00544ED5">
        <w:tab/>
        <w:t>(a)</w:t>
      </w:r>
      <w:r w:rsidRPr="00544ED5">
        <w:tab/>
        <w:t>to accumulate aggregate data for research or education; or</w:t>
      </w:r>
    </w:p>
    <w:p w14:paraId="0F1CD9D5" w14:textId="77777777" w:rsidR="00DB6E47" w:rsidRPr="00544ED5" w:rsidRDefault="00DB6E47" w:rsidP="00DB6E47">
      <w:pPr>
        <w:pStyle w:val="Apara"/>
      </w:pPr>
      <w:r w:rsidRPr="00544ED5">
        <w:tab/>
        <w:t>(b)</w:t>
      </w:r>
      <w:r w:rsidRPr="00544ED5">
        <w:tab/>
        <w:t>in a proceeding relating to the offence for which the infringement notice was issued, including, for example, an appeal against the conviction for the offence; or</w:t>
      </w:r>
    </w:p>
    <w:p w14:paraId="60DD67F0" w14:textId="77777777" w:rsidR="00DB6E47" w:rsidRPr="00544ED5" w:rsidRDefault="00DB6E47" w:rsidP="00DB6E47">
      <w:pPr>
        <w:pStyle w:val="Apara"/>
      </w:pPr>
      <w:r w:rsidRPr="00544ED5">
        <w:tab/>
        <w:t>(d)</w:t>
      </w:r>
      <w:r w:rsidRPr="00544ED5">
        <w:tab/>
      </w:r>
      <w:r w:rsidR="00592E1B">
        <w:t>for the purposes of section 601</w:t>
      </w:r>
      <w:r w:rsidRPr="00544ED5">
        <w:t>(b)</w:t>
      </w:r>
      <w:r w:rsidR="00592E1B">
        <w:t xml:space="preserve"> or 608</w:t>
      </w:r>
      <w:r w:rsidRPr="00544ED5">
        <w:t>(b); or</w:t>
      </w:r>
    </w:p>
    <w:p w14:paraId="28E95ECC" w14:textId="77777777" w:rsidR="00DB6E47" w:rsidRPr="00544ED5" w:rsidRDefault="00DB6E47" w:rsidP="00DB6E47">
      <w:pPr>
        <w:pStyle w:val="Apara"/>
      </w:pPr>
      <w:r w:rsidRPr="00544ED5">
        <w:tab/>
        <w:t>(e)</w:t>
      </w:r>
      <w:r w:rsidRPr="00544ED5">
        <w:tab/>
        <w:t xml:space="preserve">as authorised under subsection (3). </w:t>
      </w:r>
    </w:p>
    <w:p w14:paraId="1BE66E36" w14:textId="77777777" w:rsidR="00DB6E47" w:rsidRPr="003D139A" w:rsidRDefault="00DB6E47" w:rsidP="00DB6E47">
      <w:pPr>
        <w:pStyle w:val="Amain"/>
      </w:pPr>
      <w:r w:rsidRPr="003D139A">
        <w:lastRenderedPageBreak/>
        <w:tab/>
        <w:t>(3)</w:t>
      </w:r>
      <w:r w:rsidRPr="003D139A">
        <w:tab/>
        <w:t>Information in a r</w:t>
      </w:r>
      <w:r w:rsidR="00592E1B">
        <w:t>ecord kept under subsection (1)</w:t>
      </w:r>
      <w:r w:rsidRPr="003D139A">
        <w:t>(a)</w:t>
      </w:r>
      <w:r w:rsidR="00592E1B">
        <w:t xml:space="preserve"> </w:t>
      </w:r>
      <w:r w:rsidRPr="003D139A">
        <w:t>may be used by authorised officers in connection with the exercise of functions under this Law.</w:t>
      </w:r>
    </w:p>
    <w:p w14:paraId="721EC6A3" w14:textId="77777777" w:rsidR="00DB6E47" w:rsidRPr="003D647F" w:rsidRDefault="00DB6E47" w:rsidP="00DB6E47">
      <w:pPr>
        <w:pStyle w:val="PageBreak"/>
      </w:pPr>
      <w:r w:rsidRPr="003D647F">
        <w:br w:type="page"/>
      </w:r>
    </w:p>
    <w:p w14:paraId="21B73DD3" w14:textId="77777777" w:rsidR="00DB6E47" w:rsidRPr="005E03F7" w:rsidRDefault="00DB6E47" w:rsidP="00DB6E47">
      <w:pPr>
        <w:pStyle w:val="AH2Part"/>
      </w:pPr>
      <w:bookmarkStart w:id="733" w:name="_Toc83626077"/>
      <w:r w:rsidRPr="005E03F7">
        <w:rPr>
          <w:rStyle w:val="CharPartNo"/>
        </w:rPr>
        <w:lastRenderedPageBreak/>
        <w:t xml:space="preserve">Part 10.3 </w:t>
      </w:r>
      <w:r w:rsidRPr="00A95F9A">
        <w:rPr>
          <w:rFonts w:ascii="Helvetica" w:hAnsi="Helvetica" w:cs="Helvetica"/>
          <w:iCs/>
          <w:szCs w:val="32"/>
        </w:rPr>
        <w:tab/>
      </w:r>
      <w:r w:rsidRPr="005E03F7">
        <w:rPr>
          <w:rStyle w:val="CharPartText"/>
          <w:rFonts w:ascii="Helvetica" w:hAnsi="Helvetica" w:cs="Helvetica"/>
          <w:iCs/>
          <w:szCs w:val="32"/>
        </w:rPr>
        <w:t>Court sanctions</w:t>
      </w:r>
      <w:bookmarkEnd w:id="733"/>
    </w:p>
    <w:p w14:paraId="0DCB7CA1" w14:textId="77777777" w:rsidR="00DB6E47" w:rsidRPr="005E03F7" w:rsidRDefault="00DB6E47" w:rsidP="00DB6E47">
      <w:pPr>
        <w:pStyle w:val="AH3Div"/>
      </w:pPr>
      <w:bookmarkStart w:id="734" w:name="_Toc83626078"/>
      <w:r w:rsidRPr="005E03F7">
        <w:rPr>
          <w:rStyle w:val="CharDivNo"/>
        </w:rPr>
        <w:t xml:space="preserve">Division 1 </w:t>
      </w:r>
      <w:r w:rsidRPr="00A95F9A">
        <w:rPr>
          <w:rFonts w:ascii="Helvetica" w:hAnsi="Helvetica" w:cs="Helvetica"/>
          <w:iCs/>
          <w:szCs w:val="28"/>
        </w:rPr>
        <w:tab/>
      </w:r>
      <w:r w:rsidRPr="005E03F7">
        <w:rPr>
          <w:rStyle w:val="CharDivText"/>
          <w:rFonts w:ascii="Helvetica" w:hAnsi="Helvetica" w:cs="Helvetica"/>
          <w:iCs/>
          <w:szCs w:val="28"/>
        </w:rPr>
        <w:t>General provisions</w:t>
      </w:r>
      <w:bookmarkEnd w:id="734"/>
    </w:p>
    <w:p w14:paraId="5278F013" w14:textId="77777777" w:rsidR="00DB6E47" w:rsidRPr="007E1F9A" w:rsidRDefault="00DB6E47" w:rsidP="00DB6E47">
      <w:pPr>
        <w:pStyle w:val="AH5Sec"/>
      </w:pPr>
      <w:bookmarkStart w:id="735" w:name="_Toc83626079"/>
      <w:r w:rsidRPr="005E03F7">
        <w:rPr>
          <w:rStyle w:val="CharSectNo"/>
        </w:rPr>
        <w:t>593</w:t>
      </w:r>
      <w:r w:rsidRPr="007E1F9A">
        <w:tab/>
      </w:r>
      <w:r w:rsidRPr="007E1F9A">
        <w:rPr>
          <w:rFonts w:ascii="Helvetica" w:hAnsi="Helvetica" w:cs="Helvetica"/>
          <w:iCs/>
        </w:rPr>
        <w:t>Penalties court may impose</w:t>
      </w:r>
      <w:bookmarkEnd w:id="735"/>
    </w:p>
    <w:p w14:paraId="049EDC9A" w14:textId="77777777" w:rsidR="00DB6E47" w:rsidRPr="003D139A" w:rsidRDefault="00DB6E47" w:rsidP="00DB6E47">
      <w:pPr>
        <w:pStyle w:val="Amain"/>
      </w:pPr>
      <w:r w:rsidRPr="003D139A">
        <w:tab/>
        <w:t>(1)</w:t>
      </w:r>
      <w:r w:rsidRPr="003D139A">
        <w:tab/>
        <w:t>A court that finds a person guilty of an offence against this Law may impose any 1 or more of the penalties provided for in this Part.</w:t>
      </w:r>
    </w:p>
    <w:p w14:paraId="5D81AF4C" w14:textId="77777777" w:rsidR="00DB6E47" w:rsidRPr="003D139A" w:rsidRDefault="00DB6E47" w:rsidP="00DB6E47">
      <w:pPr>
        <w:pStyle w:val="Amain"/>
      </w:pPr>
      <w:r w:rsidRPr="003D139A">
        <w:tab/>
        <w:t>(2)</w:t>
      </w:r>
      <w:r w:rsidRPr="003D139A">
        <w:tab/>
        <w:t>Without limiting the court’s discretion, when imposing 2 or more penalties under this Part, the court must take into account the combined effect of the penalties imposed.</w:t>
      </w:r>
    </w:p>
    <w:p w14:paraId="532EEF05" w14:textId="77777777" w:rsidR="00DB6E47" w:rsidRPr="003D139A" w:rsidRDefault="00DB6E47" w:rsidP="00DB6E47">
      <w:pPr>
        <w:pStyle w:val="Amain"/>
      </w:pPr>
      <w:r w:rsidRPr="003D139A">
        <w:tab/>
        <w:t>(3)</w:t>
      </w:r>
      <w:r w:rsidRPr="003D139A">
        <w:tab/>
        <w:t>This Part does not limit the powers or discretion of the court under another law.</w:t>
      </w:r>
    </w:p>
    <w:p w14:paraId="4A9468AF" w14:textId="77777777" w:rsidR="00DB6E47" w:rsidRPr="007E1F9A" w:rsidRDefault="00DB6E47" w:rsidP="00DB6E47">
      <w:pPr>
        <w:pStyle w:val="AH5Sec"/>
      </w:pPr>
      <w:bookmarkStart w:id="736" w:name="_Toc83626080"/>
      <w:r w:rsidRPr="005E03F7">
        <w:rPr>
          <w:rStyle w:val="CharSectNo"/>
        </w:rPr>
        <w:t>594</w:t>
      </w:r>
      <w:r w:rsidRPr="007E1F9A">
        <w:tab/>
      </w:r>
      <w:r w:rsidRPr="007E1F9A">
        <w:rPr>
          <w:rFonts w:ascii="Helvetica" w:hAnsi="Helvetica" w:cs="Helvetica"/>
          <w:iCs/>
        </w:rPr>
        <w:t>Matters court must consider when imposing sanction for noncompliance with mass, dimension or loading requirement</w:t>
      </w:r>
      <w:bookmarkEnd w:id="736"/>
    </w:p>
    <w:p w14:paraId="3A80E18F" w14:textId="77777777" w:rsidR="00DB6E47" w:rsidRPr="003D139A" w:rsidRDefault="00DB6E47" w:rsidP="00DB6E47">
      <w:pPr>
        <w:pStyle w:val="Amain"/>
      </w:pPr>
      <w:r w:rsidRPr="003D139A">
        <w:tab/>
        <w:t>(1)</w:t>
      </w:r>
      <w:r w:rsidRPr="003D139A">
        <w:tab/>
        <w:t>The purpose of this section is to bring to a court’s attention the implications and consequences of a contravention of a mass, dimension or loading requirement when deciding the kind and level of sanction to be imposed for the contravention.</w:t>
      </w:r>
    </w:p>
    <w:p w14:paraId="7D59F892" w14:textId="77777777" w:rsidR="00DB6E47" w:rsidRPr="003D139A" w:rsidRDefault="00DB6E47" w:rsidP="00DB6E47">
      <w:pPr>
        <w:pStyle w:val="Amain"/>
      </w:pPr>
      <w:r w:rsidRPr="003D139A">
        <w:tab/>
        <w:t>(2)</w:t>
      </w:r>
      <w:r w:rsidRPr="003D139A">
        <w:tab/>
        <w:t>In deciding the sanction, including the level of a fine, to be imposed for the contravention, the court must consider the following matters—</w:t>
      </w:r>
    </w:p>
    <w:p w14:paraId="7FA20022" w14:textId="77777777" w:rsidR="00DB6E47" w:rsidRPr="00544ED5" w:rsidRDefault="00DB6E47" w:rsidP="00DB6E47">
      <w:pPr>
        <w:pStyle w:val="Apara"/>
      </w:pPr>
      <w:r w:rsidRPr="00544ED5">
        <w:tab/>
        <w:t>(a)</w:t>
      </w:r>
      <w:r w:rsidRPr="00544ED5">
        <w:tab/>
        <w:t>a minor risk breach of a mass, dimension or loading requirement involves either or both of the following—</w:t>
      </w:r>
    </w:p>
    <w:p w14:paraId="04EC0560" w14:textId="77777777" w:rsidR="00DB6E47" w:rsidRPr="00CC71DF" w:rsidRDefault="00DB6E47" w:rsidP="00DB6E47">
      <w:pPr>
        <w:pStyle w:val="Asubpara"/>
      </w:pPr>
      <w:r w:rsidRPr="00CC71DF">
        <w:tab/>
        <w:t>(i)</w:t>
      </w:r>
      <w:r w:rsidRPr="00CC71DF">
        <w:tab/>
        <w:t>an appreciable risk of accelerated road wear;</w:t>
      </w:r>
    </w:p>
    <w:p w14:paraId="6D96F270" w14:textId="77777777" w:rsidR="00DB6E47" w:rsidRPr="00CC71DF" w:rsidRDefault="00DB6E47" w:rsidP="00DB6E47">
      <w:pPr>
        <w:pStyle w:val="Asubpara"/>
      </w:pPr>
      <w:r w:rsidRPr="00CC71DF">
        <w:tab/>
        <w:t>(ii)</w:t>
      </w:r>
      <w:r w:rsidRPr="00CC71DF">
        <w:tab/>
        <w:t>an appreciable risk of unfair commercial advantage;</w:t>
      </w:r>
    </w:p>
    <w:p w14:paraId="52DFA63A" w14:textId="77777777" w:rsidR="00DB6E47" w:rsidRPr="00544ED5" w:rsidRDefault="00DB6E47" w:rsidP="00DB6E47">
      <w:pPr>
        <w:pStyle w:val="Apara"/>
      </w:pPr>
      <w:r w:rsidRPr="00544ED5">
        <w:tab/>
        <w:t>(b)</w:t>
      </w:r>
      <w:r w:rsidRPr="00544ED5">
        <w:tab/>
        <w:t>a substantial risk breach of a mass, dimension or loading requirement involves 1 or more of the following—</w:t>
      </w:r>
    </w:p>
    <w:p w14:paraId="68F8DC81" w14:textId="77777777" w:rsidR="00DB6E47" w:rsidRPr="00CC71DF" w:rsidRDefault="00DB6E47" w:rsidP="00DB6E47">
      <w:pPr>
        <w:pStyle w:val="Asubpara"/>
      </w:pPr>
      <w:r w:rsidRPr="00CC71DF">
        <w:tab/>
        <w:t>(i)</w:t>
      </w:r>
      <w:r w:rsidRPr="00CC71DF">
        <w:tab/>
        <w:t>a substantial risk of accelerated road wear;</w:t>
      </w:r>
    </w:p>
    <w:p w14:paraId="2E302E1C" w14:textId="77777777" w:rsidR="00DB6E47" w:rsidRPr="00CC71DF" w:rsidRDefault="00DB6E47" w:rsidP="00DB6E47">
      <w:pPr>
        <w:pStyle w:val="Asubpara"/>
      </w:pPr>
      <w:r w:rsidRPr="00CC71DF">
        <w:tab/>
        <w:t>(ii)</w:t>
      </w:r>
      <w:r w:rsidRPr="00CC71DF">
        <w:tab/>
        <w:t>an appreciable risk of damage to road infrastructure;</w:t>
      </w:r>
    </w:p>
    <w:p w14:paraId="0965BB92" w14:textId="77777777" w:rsidR="00DB6E47" w:rsidRPr="00CC71DF" w:rsidRDefault="00DB6E47" w:rsidP="00DB6E47">
      <w:pPr>
        <w:pStyle w:val="Asubpara"/>
      </w:pPr>
      <w:r w:rsidRPr="00CC71DF">
        <w:lastRenderedPageBreak/>
        <w:tab/>
        <w:t>(iii)</w:t>
      </w:r>
      <w:r w:rsidRPr="00CC71DF">
        <w:tab/>
        <w:t>an appreciable risk of increased traffic congestion;</w:t>
      </w:r>
    </w:p>
    <w:p w14:paraId="1ED989E3" w14:textId="77777777" w:rsidR="00DB6E47" w:rsidRPr="00CC71DF" w:rsidRDefault="00DB6E47" w:rsidP="00DB6E47">
      <w:pPr>
        <w:pStyle w:val="Asubpara"/>
      </w:pPr>
      <w:r w:rsidRPr="00CC71DF">
        <w:tab/>
        <w:t>(iv)</w:t>
      </w:r>
      <w:r w:rsidRPr="00CC71DF">
        <w:tab/>
        <w:t>an appreciable risk of diminished public amenity;</w:t>
      </w:r>
    </w:p>
    <w:p w14:paraId="1A8B85A3" w14:textId="77777777" w:rsidR="00DB6E47" w:rsidRPr="00CC71DF" w:rsidRDefault="00DB6E47" w:rsidP="00DB6E47">
      <w:pPr>
        <w:pStyle w:val="Asubpara"/>
      </w:pPr>
      <w:r w:rsidRPr="00CC71DF">
        <w:tab/>
        <w:t>(v)</w:t>
      </w:r>
      <w:r w:rsidRPr="00CC71DF">
        <w:tab/>
        <w:t>a substantial risk of unfair commercial advantage;</w:t>
      </w:r>
    </w:p>
    <w:p w14:paraId="75926C38" w14:textId="77777777" w:rsidR="00DB6E47" w:rsidRPr="00544ED5" w:rsidRDefault="00DB6E47" w:rsidP="00DB6E47">
      <w:pPr>
        <w:pStyle w:val="Apara"/>
      </w:pPr>
      <w:r w:rsidRPr="00544ED5">
        <w:tab/>
        <w:t>(c)</w:t>
      </w:r>
      <w:r w:rsidRPr="00544ED5">
        <w:tab/>
        <w:t>a severe risk breach of a mass, dimension or loading requirement involves 1 or more of the following—</w:t>
      </w:r>
    </w:p>
    <w:p w14:paraId="0D4E8E6B" w14:textId="77777777" w:rsidR="00DB6E47" w:rsidRPr="00CC71DF" w:rsidRDefault="00DB6E47" w:rsidP="00DB6E47">
      <w:pPr>
        <w:pStyle w:val="Asubpara"/>
      </w:pPr>
      <w:r w:rsidRPr="00CC71DF">
        <w:tab/>
        <w:t>(i)</w:t>
      </w:r>
      <w:r w:rsidRPr="00CC71DF">
        <w:tab/>
        <w:t>an appreciable risk of harm to public safety or the environment;</w:t>
      </w:r>
    </w:p>
    <w:p w14:paraId="19BA4BE8" w14:textId="77777777" w:rsidR="00DB6E47" w:rsidRPr="00CC71DF" w:rsidRDefault="00DB6E47" w:rsidP="00DB6E47">
      <w:pPr>
        <w:pStyle w:val="Asubpara"/>
      </w:pPr>
      <w:r w:rsidRPr="00CC71DF">
        <w:tab/>
        <w:t>(ii)</w:t>
      </w:r>
      <w:r w:rsidRPr="00CC71DF">
        <w:tab/>
        <w:t>a serious risk of accelerated road wear;</w:t>
      </w:r>
    </w:p>
    <w:p w14:paraId="1AFEBD21" w14:textId="77777777" w:rsidR="00DB6E47" w:rsidRPr="00CC71DF" w:rsidRDefault="00DB6E47" w:rsidP="00DB6E47">
      <w:pPr>
        <w:pStyle w:val="Asubpara"/>
      </w:pPr>
      <w:r w:rsidRPr="00CC71DF">
        <w:tab/>
        <w:t>(iii)</w:t>
      </w:r>
      <w:r w:rsidRPr="00CC71DF">
        <w:tab/>
        <w:t>a serious risk of damage to road infrastructure;</w:t>
      </w:r>
    </w:p>
    <w:p w14:paraId="39AA5728" w14:textId="77777777" w:rsidR="00DB6E47" w:rsidRPr="00CC71DF" w:rsidRDefault="00DB6E47" w:rsidP="00DB6E47">
      <w:pPr>
        <w:pStyle w:val="Asubpara"/>
      </w:pPr>
      <w:r w:rsidRPr="00CC71DF">
        <w:tab/>
        <w:t>(iv)</w:t>
      </w:r>
      <w:r w:rsidRPr="00CC71DF">
        <w:tab/>
        <w:t>a serious risk of increased traffic congestion;</w:t>
      </w:r>
    </w:p>
    <w:p w14:paraId="56DE6DE6" w14:textId="77777777" w:rsidR="00DB6E47" w:rsidRPr="00CC71DF" w:rsidRDefault="00DB6E47" w:rsidP="00DB6E47">
      <w:pPr>
        <w:pStyle w:val="Asubpara"/>
      </w:pPr>
      <w:r w:rsidRPr="00CC71DF">
        <w:tab/>
        <w:t>(v)</w:t>
      </w:r>
      <w:r w:rsidRPr="00CC71DF">
        <w:tab/>
        <w:t>a serious risk of diminished public amenity;</w:t>
      </w:r>
    </w:p>
    <w:p w14:paraId="2E2AFEA0" w14:textId="77777777" w:rsidR="00DB6E47" w:rsidRPr="00CC71DF" w:rsidRDefault="00DB6E47" w:rsidP="00DB6E47">
      <w:pPr>
        <w:pStyle w:val="Asubpara"/>
      </w:pPr>
      <w:r w:rsidRPr="00CC71DF">
        <w:tab/>
        <w:t>(vi)</w:t>
      </w:r>
      <w:r w:rsidRPr="00CC71DF">
        <w:tab/>
        <w:t>a serious risk of unfair commercial advantage.</w:t>
      </w:r>
    </w:p>
    <w:p w14:paraId="42771372" w14:textId="77777777" w:rsidR="00DB6E47" w:rsidRPr="003D139A" w:rsidRDefault="00DB6E47" w:rsidP="00DB6E47">
      <w:pPr>
        <w:pStyle w:val="Amain"/>
      </w:pPr>
      <w:r w:rsidRPr="003D139A">
        <w:tab/>
        <w:t>(3)</w:t>
      </w:r>
      <w:r w:rsidRPr="003D139A">
        <w:tab/>
        <w:t>This section does not limit the matters the court may consider in deciding the sanction for the contravention.</w:t>
      </w:r>
    </w:p>
    <w:p w14:paraId="6D31D5A7" w14:textId="77777777" w:rsidR="00DB6E47" w:rsidRPr="003D139A" w:rsidRDefault="00DB6E47" w:rsidP="00DB6E47">
      <w:pPr>
        <w:pStyle w:val="Amain"/>
      </w:pPr>
      <w:r w:rsidRPr="003D139A">
        <w:tab/>
        <w:t>(4)</w:t>
      </w:r>
      <w:r w:rsidRPr="003D139A">
        <w:tab/>
        <w:t>Nothing in this section authorises or requires the court to assign the contravention to a different risk category.</w:t>
      </w:r>
    </w:p>
    <w:p w14:paraId="2BDE4E52" w14:textId="77777777" w:rsidR="00DB6E47" w:rsidRPr="003D139A" w:rsidRDefault="00DB6E47" w:rsidP="00DB6E47">
      <w:pPr>
        <w:pStyle w:val="Amain"/>
      </w:pPr>
      <w:r w:rsidRPr="003D139A">
        <w:tab/>
        <w:t>(5)</w:t>
      </w:r>
      <w:r w:rsidRPr="003D139A">
        <w:tab/>
        <w:t>Nothing in this section requires evidence to be adduced about a matter mentioned in subsection (2).</w:t>
      </w:r>
    </w:p>
    <w:p w14:paraId="0A6F73F0" w14:textId="77777777" w:rsidR="00DB6E47" w:rsidRPr="007E1F9A" w:rsidRDefault="00DB6E47" w:rsidP="00DB6E47">
      <w:pPr>
        <w:pStyle w:val="AH5Sec"/>
      </w:pPr>
      <w:bookmarkStart w:id="737" w:name="_Toc83626081"/>
      <w:r w:rsidRPr="005E03F7">
        <w:rPr>
          <w:rStyle w:val="CharSectNo"/>
        </w:rPr>
        <w:lastRenderedPageBreak/>
        <w:t>595</w:t>
      </w:r>
      <w:r w:rsidRPr="007E1F9A">
        <w:tab/>
      </w:r>
      <w:r w:rsidRPr="007E1F9A">
        <w:rPr>
          <w:rFonts w:ascii="Helvetica" w:hAnsi="Helvetica" w:cs="Helvetica"/>
          <w:iCs/>
        </w:rPr>
        <w:t>Court may treat noncompliance with mass, dimension or loading requirement as a different risk category</w:t>
      </w:r>
      <w:bookmarkEnd w:id="737"/>
    </w:p>
    <w:p w14:paraId="70BF70FC" w14:textId="77777777" w:rsidR="00DB6E47" w:rsidRPr="003D139A" w:rsidRDefault="00DB6E47" w:rsidP="00170ABD">
      <w:pPr>
        <w:pStyle w:val="Amain"/>
        <w:keepNext/>
        <w:keepLines/>
      </w:pPr>
      <w:r w:rsidRPr="003D139A">
        <w:tab/>
        <w:t>(1)</w:t>
      </w:r>
      <w:r w:rsidRPr="003D139A">
        <w:tab/>
        <w:t>If a court is satisfied there has been a contravention of a mass, dimension or loading requirement but is not satisfied the contravention is a substantial risk breach or a severe risk breach, the court may treat the contravention as a minor risk breach.</w:t>
      </w:r>
    </w:p>
    <w:p w14:paraId="7B5E7997" w14:textId="77777777" w:rsidR="00DB6E47" w:rsidRPr="003D139A" w:rsidRDefault="00DB6E47" w:rsidP="00997DC5">
      <w:pPr>
        <w:pStyle w:val="Amain"/>
        <w:keepLines/>
      </w:pPr>
      <w:r w:rsidRPr="003D139A">
        <w:tab/>
        <w:t>(2)</w:t>
      </w:r>
      <w:r w:rsidRPr="003D139A">
        <w:tab/>
        <w:t>If a court is satisfied there has been a contravention of a mass, dimension or loading requirement and that the contravention is at least a substantial risk breach but is not satisfied the contravention is a severe risk breach, the court may treat the contravention as a substantial risk breach.</w:t>
      </w:r>
    </w:p>
    <w:p w14:paraId="726B9468" w14:textId="77777777" w:rsidR="00DB6E47" w:rsidRPr="005E03F7" w:rsidRDefault="00DB6E47" w:rsidP="00DB6E47">
      <w:pPr>
        <w:pStyle w:val="AH3Div"/>
      </w:pPr>
      <w:bookmarkStart w:id="738" w:name="_Toc83626082"/>
      <w:r w:rsidRPr="005E03F7">
        <w:rPr>
          <w:rStyle w:val="CharDivNo"/>
        </w:rPr>
        <w:t xml:space="preserve">Division 2 </w:t>
      </w:r>
      <w:r w:rsidRPr="00A95F9A">
        <w:rPr>
          <w:rFonts w:ascii="Helvetica" w:hAnsi="Helvetica" w:cs="Helvetica"/>
          <w:iCs/>
          <w:szCs w:val="28"/>
        </w:rPr>
        <w:tab/>
      </w:r>
      <w:r w:rsidRPr="005E03F7">
        <w:rPr>
          <w:rStyle w:val="CharDivText"/>
          <w:rFonts w:ascii="Helvetica" w:hAnsi="Helvetica" w:cs="Helvetica"/>
          <w:iCs/>
          <w:szCs w:val="28"/>
        </w:rPr>
        <w:t>Provisions about imposing fines</w:t>
      </w:r>
      <w:bookmarkEnd w:id="738"/>
    </w:p>
    <w:p w14:paraId="2429520B" w14:textId="77777777" w:rsidR="00DB6E47" w:rsidRPr="007E1F9A" w:rsidRDefault="00DB6E47" w:rsidP="00DB6E47">
      <w:pPr>
        <w:pStyle w:val="AH5Sec"/>
      </w:pPr>
      <w:bookmarkStart w:id="739" w:name="_Toc83626083"/>
      <w:r w:rsidRPr="005E03F7">
        <w:rPr>
          <w:rStyle w:val="CharSectNo"/>
        </w:rPr>
        <w:t>596</w:t>
      </w:r>
      <w:r w:rsidRPr="007E1F9A">
        <w:tab/>
      </w:r>
      <w:r w:rsidRPr="007E1F9A">
        <w:rPr>
          <w:rFonts w:ascii="Helvetica" w:hAnsi="Helvetica" w:cs="Helvetica"/>
          <w:iCs/>
        </w:rPr>
        <w:t>Body corporate fines under penalty provision</w:t>
      </w:r>
      <w:bookmarkEnd w:id="739"/>
    </w:p>
    <w:p w14:paraId="603D3800" w14:textId="77777777" w:rsidR="00DB6E47" w:rsidRPr="003D139A" w:rsidRDefault="00DB6E47" w:rsidP="00DB6E47">
      <w:pPr>
        <w:pStyle w:val="Amain"/>
      </w:pPr>
      <w:r w:rsidRPr="003D139A">
        <w:tab/>
        <w:t>(1)</w:t>
      </w:r>
      <w:r w:rsidRPr="003D139A">
        <w:tab/>
        <w:t>This section applies to a provision of this Law that—</w:t>
      </w:r>
    </w:p>
    <w:p w14:paraId="279A4732" w14:textId="77777777" w:rsidR="00DB6E47" w:rsidRPr="00544ED5" w:rsidRDefault="00DB6E47" w:rsidP="00DB6E47">
      <w:pPr>
        <w:pStyle w:val="Apara"/>
      </w:pPr>
      <w:r w:rsidRPr="00544ED5">
        <w:tab/>
        <w:t>(a)</w:t>
      </w:r>
      <w:r w:rsidRPr="00544ED5">
        <w:tab/>
        <w:t>prescribes a maximum fine for an offence; and</w:t>
      </w:r>
    </w:p>
    <w:p w14:paraId="64AA11EB" w14:textId="77777777" w:rsidR="00DB6E47" w:rsidRPr="00544ED5" w:rsidRDefault="00DB6E47" w:rsidP="00DB6E47">
      <w:pPr>
        <w:pStyle w:val="Apara"/>
      </w:pPr>
      <w:r w:rsidRPr="00544ED5">
        <w:tab/>
        <w:t>(b)</w:t>
      </w:r>
      <w:r w:rsidRPr="00544ED5">
        <w:tab/>
        <w:t>does not expressly prescribe a maximum fine for a body corporate different to the maximum fine for an individual.</w:t>
      </w:r>
    </w:p>
    <w:p w14:paraId="6B7E4C85" w14:textId="77777777" w:rsidR="00DB6E47" w:rsidRPr="003D139A" w:rsidRDefault="00DB6E47" w:rsidP="00DB6E47">
      <w:pPr>
        <w:pStyle w:val="Amain"/>
      </w:pPr>
      <w:r w:rsidRPr="003D139A">
        <w:tab/>
        <w:t>(2)</w:t>
      </w:r>
      <w:r w:rsidRPr="003D139A">
        <w:tab/>
        <w:t>The maximum fine is taken only to be the maximum fine for an individual.</w:t>
      </w:r>
    </w:p>
    <w:p w14:paraId="674A7696" w14:textId="77777777" w:rsidR="00DB6E47" w:rsidRPr="003D139A" w:rsidRDefault="00DB6E47" w:rsidP="00DB6E47">
      <w:pPr>
        <w:pStyle w:val="Amain"/>
      </w:pPr>
      <w:r w:rsidRPr="003D139A">
        <w:tab/>
        <w:t>(3)</w:t>
      </w:r>
      <w:r w:rsidRPr="003D139A">
        <w:tab/>
        <w:t>If a body corporate is found guilty of the offence, the court may impose a maximum fine of an amount equal to 5 times the maximum fine for an individual.</w:t>
      </w:r>
    </w:p>
    <w:p w14:paraId="2EB44477" w14:textId="77777777" w:rsidR="003D1150" w:rsidRPr="005E03F7" w:rsidRDefault="003D1150" w:rsidP="003D1150">
      <w:pPr>
        <w:pStyle w:val="AH3Div"/>
      </w:pPr>
      <w:bookmarkStart w:id="740" w:name="_Toc83626084"/>
      <w:r w:rsidRPr="005E03F7">
        <w:rPr>
          <w:rStyle w:val="CharDivNo"/>
        </w:rPr>
        <w:lastRenderedPageBreak/>
        <w:t>Division 2A</w:t>
      </w:r>
      <w:r>
        <w:rPr>
          <w:lang w:val="en" w:eastAsia="en-AU"/>
        </w:rPr>
        <w:tab/>
      </w:r>
      <w:r w:rsidRPr="005E03F7">
        <w:rPr>
          <w:rStyle w:val="CharDivText"/>
          <w:lang w:val="en" w:eastAsia="en-AU"/>
        </w:rPr>
        <w:t>Injunctions</w:t>
      </w:r>
      <w:bookmarkEnd w:id="740"/>
    </w:p>
    <w:p w14:paraId="54B35941" w14:textId="77777777" w:rsidR="003D1150" w:rsidRPr="003D1150" w:rsidRDefault="003D1150" w:rsidP="003D1150">
      <w:pPr>
        <w:pStyle w:val="AH5Sec"/>
        <w:rPr>
          <w:lang w:val="en" w:eastAsia="en-AU"/>
        </w:rPr>
      </w:pPr>
      <w:bookmarkStart w:id="741" w:name="_Toc83626085"/>
      <w:r w:rsidRPr="005E03F7">
        <w:rPr>
          <w:rStyle w:val="CharSectNo"/>
        </w:rPr>
        <w:t>596A</w:t>
      </w:r>
      <w:r>
        <w:tab/>
      </w:r>
      <w:r w:rsidRPr="003D1150">
        <w:rPr>
          <w:lang w:val="en" w:eastAsia="en-AU"/>
        </w:rPr>
        <w:t>Injunctions</w:t>
      </w:r>
      <w:bookmarkEnd w:id="741"/>
    </w:p>
    <w:p w14:paraId="7F73EC26" w14:textId="77777777" w:rsidR="003D1150" w:rsidRPr="003D1150" w:rsidRDefault="003D1150" w:rsidP="00F30430">
      <w:pPr>
        <w:pStyle w:val="Amainreturn"/>
        <w:keepNext/>
        <w:rPr>
          <w:lang w:val="en" w:eastAsia="en-AU"/>
        </w:rPr>
      </w:pPr>
      <w:r w:rsidRPr="003D1150">
        <w:rPr>
          <w:lang w:val="en" w:eastAsia="en-AU"/>
        </w:rPr>
        <w:t>If a court convicts a person of an offence against this Law, the court may issue an injunction requiring the person to cease contravening this Law.</w:t>
      </w:r>
    </w:p>
    <w:p w14:paraId="1D377055" w14:textId="77777777" w:rsidR="003D1150" w:rsidRPr="003D1150" w:rsidRDefault="003D1150" w:rsidP="00F30430">
      <w:pPr>
        <w:pStyle w:val="aNote"/>
        <w:keepNext/>
        <w:rPr>
          <w:lang w:val="en" w:eastAsia="en-AU"/>
        </w:rPr>
      </w:pPr>
      <w:r w:rsidRPr="003D1150">
        <w:rPr>
          <w:rStyle w:val="charItals"/>
        </w:rPr>
        <w:t>Note</w:t>
      </w:r>
      <w:r w:rsidRPr="003D1150">
        <w:rPr>
          <w:lang w:val="en" w:eastAsia="en-AU"/>
        </w:rPr>
        <w:t>—</w:t>
      </w:r>
    </w:p>
    <w:p w14:paraId="72DD3089" w14:textId="77777777" w:rsidR="003D1150" w:rsidRPr="003D1150" w:rsidRDefault="003D1150" w:rsidP="003D1150">
      <w:pPr>
        <w:pStyle w:val="aNoteTextss"/>
        <w:rPr>
          <w:lang w:val="en" w:eastAsia="en-AU"/>
        </w:rPr>
      </w:pPr>
      <w:r w:rsidRPr="003D1150">
        <w:rPr>
          <w:lang w:val="en" w:eastAsia="en-AU"/>
        </w:rPr>
        <w:t>An injunction may also be obtained under section 576E for noncompliance with an improvement notice or prohibition notice.</w:t>
      </w:r>
    </w:p>
    <w:p w14:paraId="2A9BF8CC" w14:textId="77777777" w:rsidR="00DB6E47" w:rsidRPr="005E03F7" w:rsidRDefault="00DB6E47" w:rsidP="00DB6E47">
      <w:pPr>
        <w:pStyle w:val="AH3Div"/>
      </w:pPr>
      <w:bookmarkStart w:id="742" w:name="_Toc83626086"/>
      <w:r w:rsidRPr="005E03F7">
        <w:rPr>
          <w:rStyle w:val="CharDivNo"/>
        </w:rPr>
        <w:t>Division 3</w:t>
      </w:r>
      <w:r w:rsidRPr="00A95F9A">
        <w:rPr>
          <w:rFonts w:ascii="Helvetica" w:hAnsi="Helvetica" w:cs="Helvetica"/>
          <w:iCs/>
          <w:szCs w:val="28"/>
        </w:rPr>
        <w:tab/>
      </w:r>
      <w:r w:rsidRPr="005E03F7">
        <w:rPr>
          <w:rStyle w:val="CharDivText"/>
          <w:rFonts w:ascii="Helvetica" w:hAnsi="Helvetica" w:cs="Helvetica"/>
          <w:iCs/>
          <w:szCs w:val="28"/>
        </w:rPr>
        <w:t>Commercial benefits penalty orders</w:t>
      </w:r>
      <w:bookmarkEnd w:id="742"/>
    </w:p>
    <w:p w14:paraId="3CA47BDB" w14:textId="77777777" w:rsidR="00DB6E47" w:rsidRPr="007E1F9A" w:rsidRDefault="00DB6E47" w:rsidP="00DB6E47">
      <w:pPr>
        <w:pStyle w:val="AH5Sec"/>
      </w:pPr>
      <w:bookmarkStart w:id="743" w:name="_Toc83626087"/>
      <w:r w:rsidRPr="005E03F7">
        <w:rPr>
          <w:rStyle w:val="CharSectNo"/>
        </w:rPr>
        <w:t>597</w:t>
      </w:r>
      <w:r w:rsidRPr="007E1F9A">
        <w:tab/>
      </w:r>
      <w:r w:rsidRPr="007E1F9A">
        <w:rPr>
          <w:rFonts w:ascii="Helvetica" w:hAnsi="Helvetica" w:cs="Helvetica"/>
          <w:iCs/>
        </w:rPr>
        <w:t>Commercial benefits penalty order</w:t>
      </w:r>
      <w:bookmarkEnd w:id="743"/>
    </w:p>
    <w:p w14:paraId="0D3060EB" w14:textId="77777777" w:rsidR="00DB6E47" w:rsidRPr="003D139A" w:rsidRDefault="00DB6E47" w:rsidP="00520FCC">
      <w:pPr>
        <w:pStyle w:val="Amain"/>
        <w:keepNext/>
        <w:keepLines/>
      </w:pPr>
      <w:r w:rsidRPr="003D139A">
        <w:tab/>
        <w:t>(1)</w:t>
      </w:r>
      <w:r w:rsidRPr="003D139A">
        <w:tab/>
        <w:t xml:space="preserve">If a court convicts a person of an offence against this Law, the court may, on application by the prosecutor, make an order (a </w:t>
      </w:r>
      <w:r w:rsidRPr="00FF4454">
        <w:rPr>
          <w:rStyle w:val="charBoldItals"/>
        </w:rPr>
        <w:t>commercial benefits penalty order</w:t>
      </w:r>
      <w:r w:rsidRPr="003D139A">
        <w:t>) requiring the person to pay, as a fine, an amount not exceeding 3 times the amount estimated by the court to be the gross commercial benefit—</w:t>
      </w:r>
    </w:p>
    <w:p w14:paraId="1402E17A" w14:textId="77777777" w:rsidR="00DB6E47" w:rsidRPr="00544ED5" w:rsidRDefault="00DB6E47" w:rsidP="00DB6E47">
      <w:pPr>
        <w:pStyle w:val="Apara"/>
      </w:pPr>
      <w:r w:rsidRPr="00544ED5">
        <w:tab/>
        <w:t>(a)</w:t>
      </w:r>
      <w:r w:rsidRPr="00544ED5">
        <w:tab/>
        <w:t>received or receivable, by the person or by an associate of the person, from the commission of the offence; and</w:t>
      </w:r>
    </w:p>
    <w:p w14:paraId="4D90D172" w14:textId="77777777" w:rsidR="00DB6E47" w:rsidRPr="00544ED5" w:rsidRDefault="00DB6E47" w:rsidP="00997DC5">
      <w:pPr>
        <w:pStyle w:val="Apara"/>
        <w:keepLines/>
      </w:pPr>
      <w:r w:rsidRPr="00544ED5">
        <w:tab/>
        <w:t>(b)</w:t>
      </w:r>
      <w:r w:rsidRPr="00544ED5">
        <w:tab/>
        <w:t>for a journey that was interrupted or not commenced because of action taken by an authorised officer in connection with the commission of the offence—that would have been received or receivable, by the person or by an associate of the person, from the commission of the offence had the journey been completed.</w:t>
      </w:r>
    </w:p>
    <w:p w14:paraId="47BFF13C" w14:textId="77777777" w:rsidR="00DB6E47" w:rsidRPr="003D139A" w:rsidRDefault="00DB6E47" w:rsidP="00DB6E47">
      <w:pPr>
        <w:pStyle w:val="Amain"/>
      </w:pPr>
      <w:r w:rsidRPr="003D139A">
        <w:tab/>
        <w:t>(2)</w:t>
      </w:r>
      <w:r w:rsidRPr="003D139A">
        <w:tab/>
        <w:t>In estimating the gross commercial benefit, the court may take into account—</w:t>
      </w:r>
    </w:p>
    <w:p w14:paraId="29965713" w14:textId="77777777" w:rsidR="00DB6E47" w:rsidRPr="00544ED5" w:rsidRDefault="00DB6E47" w:rsidP="00DB6E47">
      <w:pPr>
        <w:pStyle w:val="Apara"/>
      </w:pPr>
      <w:r w:rsidRPr="00544ED5">
        <w:tab/>
        <w:t>(a)</w:t>
      </w:r>
      <w:r w:rsidRPr="00544ED5">
        <w:tab/>
        <w:t>benefits of any kind, whether or not monetary; and</w:t>
      </w:r>
    </w:p>
    <w:p w14:paraId="07974A4C" w14:textId="77777777" w:rsidR="00DB6E47" w:rsidRPr="00544ED5" w:rsidRDefault="00DB6E47" w:rsidP="00DB6E47">
      <w:pPr>
        <w:pStyle w:val="Apara"/>
      </w:pPr>
      <w:r w:rsidRPr="00544ED5">
        <w:tab/>
        <w:t>(b)</w:t>
      </w:r>
      <w:r w:rsidRPr="00544ED5">
        <w:tab/>
        <w:t>any other matters it considers relevant, including, for example—</w:t>
      </w:r>
    </w:p>
    <w:p w14:paraId="520A09A5" w14:textId="77777777" w:rsidR="00DB6E47" w:rsidRPr="00CC71DF" w:rsidRDefault="00DB6E47" w:rsidP="00DB6E47">
      <w:pPr>
        <w:pStyle w:val="Asubpara"/>
      </w:pPr>
      <w:r w:rsidRPr="00CC71DF">
        <w:tab/>
        <w:t>(i)</w:t>
      </w:r>
      <w:r w:rsidRPr="00CC71DF">
        <w:tab/>
        <w:t>the value of any goods involved in the offence; and</w:t>
      </w:r>
    </w:p>
    <w:p w14:paraId="6620D615" w14:textId="77777777" w:rsidR="00DB6E47" w:rsidRPr="00CC71DF" w:rsidRDefault="00DB6E47" w:rsidP="00DB6E47">
      <w:pPr>
        <w:pStyle w:val="Asubpara"/>
      </w:pPr>
      <w:r w:rsidRPr="00CC71DF">
        <w:lastRenderedPageBreak/>
        <w:tab/>
        <w:t>(ii)</w:t>
      </w:r>
      <w:r w:rsidRPr="00CC71DF">
        <w:tab/>
        <w:t>the distance over which the goods were, or were to be, carried.</w:t>
      </w:r>
    </w:p>
    <w:p w14:paraId="14C1C6FD" w14:textId="77777777" w:rsidR="00DB6E47" w:rsidRPr="003D139A" w:rsidRDefault="00DB6E47" w:rsidP="00DB6E47">
      <w:pPr>
        <w:pStyle w:val="Amain"/>
      </w:pPr>
      <w:r w:rsidRPr="003D139A">
        <w:tab/>
        <w:t>(3)</w:t>
      </w:r>
      <w:r w:rsidRPr="003D139A">
        <w:tab/>
        <w:t>However, in estimating the gross commercial benefit, the court must disregard any costs, expenses or liabilities incurred by the person or by an associate of the person.</w:t>
      </w:r>
    </w:p>
    <w:p w14:paraId="68FB85D7" w14:textId="77777777" w:rsidR="00DB6E47" w:rsidRPr="003D139A" w:rsidRDefault="00DB6E47" w:rsidP="00DB6E47">
      <w:pPr>
        <w:pStyle w:val="Amain"/>
      </w:pPr>
      <w:r w:rsidRPr="003D139A">
        <w:tab/>
        <w:t>(4)</w:t>
      </w:r>
      <w:r w:rsidRPr="003D139A">
        <w:tab/>
        <w:t>Nothing in this section prevents the court from ordering payment of an amount that is less than the estimated gross commercial benefit.</w:t>
      </w:r>
    </w:p>
    <w:p w14:paraId="144A7036" w14:textId="77777777" w:rsidR="00DB6E47" w:rsidRPr="005E03F7" w:rsidRDefault="00DB6E47" w:rsidP="00DB6E47">
      <w:pPr>
        <w:pStyle w:val="AH3Div"/>
      </w:pPr>
      <w:bookmarkStart w:id="744" w:name="_Toc83626088"/>
      <w:r w:rsidRPr="005E03F7">
        <w:rPr>
          <w:rStyle w:val="CharDivNo"/>
        </w:rPr>
        <w:t xml:space="preserve">Division 4 </w:t>
      </w:r>
      <w:r w:rsidRPr="00A95F9A">
        <w:rPr>
          <w:rFonts w:ascii="Helvetica" w:hAnsi="Helvetica" w:cs="Helvetica"/>
          <w:iCs/>
          <w:szCs w:val="28"/>
        </w:rPr>
        <w:tab/>
      </w:r>
      <w:r w:rsidRPr="005E03F7">
        <w:rPr>
          <w:rStyle w:val="CharDivText"/>
          <w:rFonts w:ascii="Helvetica" w:hAnsi="Helvetica" w:cs="Helvetica"/>
          <w:iCs/>
          <w:szCs w:val="28"/>
        </w:rPr>
        <w:t>Cancelling or suspending registration</w:t>
      </w:r>
      <w:bookmarkEnd w:id="744"/>
    </w:p>
    <w:p w14:paraId="06BF78B3" w14:textId="77777777" w:rsidR="00DB6E47" w:rsidRPr="007E1F9A" w:rsidRDefault="00DB6E47" w:rsidP="00DB6E47">
      <w:pPr>
        <w:pStyle w:val="AH5Sec"/>
      </w:pPr>
      <w:bookmarkStart w:id="745" w:name="_Toc83626089"/>
      <w:r w:rsidRPr="005E03F7">
        <w:rPr>
          <w:rStyle w:val="CharSectNo"/>
        </w:rPr>
        <w:t>598</w:t>
      </w:r>
      <w:r w:rsidRPr="007E1F9A">
        <w:tab/>
      </w:r>
      <w:r w:rsidRPr="007E1F9A">
        <w:rPr>
          <w:rFonts w:ascii="Helvetica" w:hAnsi="Helvetica" w:cs="Helvetica"/>
          <w:iCs/>
        </w:rPr>
        <w:t>Power to cancel or suspend vehicle registration</w:t>
      </w:r>
      <w:bookmarkEnd w:id="745"/>
    </w:p>
    <w:p w14:paraId="7A861D87" w14:textId="77777777" w:rsidR="00DB6E47" w:rsidRPr="003D139A" w:rsidRDefault="00DB6E47" w:rsidP="00DB6E47">
      <w:pPr>
        <w:pStyle w:val="Amain"/>
      </w:pPr>
      <w:r w:rsidRPr="003D139A">
        <w:tab/>
        <w:t>(1)</w:t>
      </w:r>
      <w:r w:rsidRPr="003D139A">
        <w:tab/>
        <w:t>This section applies if a court convicts a person of—</w:t>
      </w:r>
    </w:p>
    <w:p w14:paraId="0627AE38" w14:textId="77777777" w:rsidR="00DB6E47" w:rsidRPr="00544ED5" w:rsidRDefault="00DB6E47" w:rsidP="00DB6E47">
      <w:pPr>
        <w:pStyle w:val="Apara"/>
      </w:pPr>
      <w:r w:rsidRPr="00544ED5">
        <w:tab/>
        <w:t>(a)</w:t>
      </w:r>
      <w:r w:rsidRPr="00544ED5">
        <w:tab/>
        <w:t>an offence against this Law relating to a contravention of a mass, dimension or loading requirement constituting a severe risk breach; or</w:t>
      </w:r>
    </w:p>
    <w:p w14:paraId="3B535CA8" w14:textId="77777777" w:rsidR="00DB6E47" w:rsidRPr="00544ED5" w:rsidRDefault="00DB6E47" w:rsidP="00DB6E47">
      <w:pPr>
        <w:pStyle w:val="Apara"/>
      </w:pPr>
      <w:r w:rsidRPr="00544ED5">
        <w:tab/>
        <w:t>(b)</w:t>
      </w:r>
      <w:r w:rsidRPr="00544ED5">
        <w:tab/>
        <w:t>an offence against this Law other than an offence relating to a contravention of a mass, dimension or loading requirement.</w:t>
      </w:r>
    </w:p>
    <w:p w14:paraId="0816695C" w14:textId="77777777" w:rsidR="00DB6E47" w:rsidRPr="003D139A" w:rsidRDefault="00DB6E47" w:rsidP="00DB6E47">
      <w:pPr>
        <w:pStyle w:val="Amain"/>
      </w:pPr>
      <w:r w:rsidRPr="003D139A">
        <w:tab/>
        <w:t>(2)</w:t>
      </w:r>
      <w:r w:rsidRPr="003D139A">
        <w:tab/>
        <w:t>The court may make an order that the registration of a heavy vehicle in relation to which the offence was committed and of which the person is a registered operator is—</w:t>
      </w:r>
    </w:p>
    <w:p w14:paraId="5ED4971B" w14:textId="77777777" w:rsidR="00DB6E47" w:rsidRPr="00544ED5" w:rsidRDefault="00DB6E47" w:rsidP="00DB6E47">
      <w:pPr>
        <w:pStyle w:val="Apara"/>
      </w:pPr>
      <w:r w:rsidRPr="00544ED5">
        <w:tab/>
        <w:t>(a)</w:t>
      </w:r>
      <w:r w:rsidRPr="00544ED5">
        <w:tab/>
        <w:t>cancelled; or</w:t>
      </w:r>
    </w:p>
    <w:p w14:paraId="1CB5D8DA" w14:textId="77777777" w:rsidR="00DB6E47" w:rsidRPr="00544ED5" w:rsidRDefault="00DB6E47" w:rsidP="00DB6E47">
      <w:pPr>
        <w:pStyle w:val="Apara"/>
      </w:pPr>
      <w:r w:rsidRPr="00544ED5">
        <w:tab/>
        <w:t>(b)</w:t>
      </w:r>
      <w:r w:rsidRPr="00544ED5">
        <w:tab/>
        <w:t>suspended for a stated period.</w:t>
      </w:r>
    </w:p>
    <w:p w14:paraId="074CE835" w14:textId="77777777" w:rsidR="00DB6E47" w:rsidRPr="003D139A" w:rsidRDefault="00DB6E47" w:rsidP="00DB6E47">
      <w:pPr>
        <w:pStyle w:val="Amain"/>
      </w:pPr>
      <w:r w:rsidRPr="003D139A">
        <w:tab/>
        <w:t>(3)</w:t>
      </w:r>
      <w:r w:rsidRPr="003D139A">
        <w:tab/>
        <w:t xml:space="preserve">If the court </w:t>
      </w:r>
      <w:r w:rsidR="00592E1B">
        <w:t xml:space="preserve">makes an order under subsection </w:t>
      </w:r>
      <w:r w:rsidRPr="003D139A">
        <w:t>(2)</w:t>
      </w:r>
      <w:r w:rsidR="00592E1B">
        <w:t xml:space="preserve"> </w:t>
      </w:r>
      <w:r w:rsidRPr="003D139A">
        <w:t>against a person, the court may also make an order that the person, or an associate of the person, is disqualified from applying for the registration of the heavy vehicle for a stated period.</w:t>
      </w:r>
    </w:p>
    <w:p w14:paraId="2C74F7E5" w14:textId="77777777" w:rsidR="00DB6E47" w:rsidRPr="003D139A" w:rsidRDefault="00DB6E47" w:rsidP="00DB6E47">
      <w:pPr>
        <w:pStyle w:val="Amain"/>
      </w:pPr>
      <w:r w:rsidRPr="003D139A">
        <w:tab/>
        <w:t>(4)</w:t>
      </w:r>
      <w:r w:rsidRPr="003D139A">
        <w:tab/>
        <w:t xml:space="preserve">If the court considers that another person who is not present in court may be substantially affected by an order </w:t>
      </w:r>
      <w:r w:rsidR="00592E1B">
        <w:t>under subsection</w:t>
      </w:r>
      <w:r w:rsidR="001425D1">
        <w:t> </w:t>
      </w:r>
      <w:r w:rsidRPr="003D139A">
        <w:t>(2)</w:t>
      </w:r>
      <w:r w:rsidR="00592E1B">
        <w:t xml:space="preserve"> </w:t>
      </w:r>
      <w:r w:rsidRPr="003D139A">
        <w:t>or (3), the court may issue a summons to that person to show cause why the order should not be made.</w:t>
      </w:r>
    </w:p>
    <w:p w14:paraId="1E56E057" w14:textId="77777777" w:rsidR="00DB6E47" w:rsidRPr="001425D1" w:rsidRDefault="00DB6E47" w:rsidP="001425D1">
      <w:pPr>
        <w:pStyle w:val="Amain"/>
      </w:pPr>
      <w:r w:rsidRPr="001425D1">
        <w:lastRenderedPageBreak/>
        <w:tab/>
        <w:t>(5)</w:t>
      </w:r>
      <w:r w:rsidRPr="001425D1">
        <w:tab/>
      </w:r>
      <w:r w:rsidR="001425D1" w:rsidRPr="001425D1">
        <w:t>The court is to ensure that the registration authority for the heavy vehicle is notified of the decision to make an order under subsection (2) or (3) and the terms of the order, but failure to do so does not invalidate the decision or the order.</w:t>
      </w:r>
    </w:p>
    <w:p w14:paraId="05E91C69" w14:textId="77777777" w:rsidR="00150AE9" w:rsidRPr="005E03F7" w:rsidRDefault="00150AE9" w:rsidP="00150AE9">
      <w:pPr>
        <w:pStyle w:val="AH3Div"/>
        <w:shd w:val="clear" w:color="auto" w:fill="D9D9D9" w:themeFill="background1" w:themeFillShade="D9"/>
      </w:pPr>
      <w:bookmarkStart w:id="746" w:name="_Toc83626090"/>
      <w:r w:rsidRPr="005E03F7">
        <w:rPr>
          <w:rStyle w:val="CharDivNo"/>
        </w:rPr>
        <w:t>Division 4A</w:t>
      </w:r>
      <w:r w:rsidRPr="009D47B1">
        <w:tab/>
      </w:r>
      <w:r w:rsidRPr="005E03F7">
        <w:rPr>
          <w:rStyle w:val="CharDivText"/>
        </w:rPr>
        <w:t>Cancelling, varying or suspending driver licences or disqualifying drivers</w:t>
      </w:r>
      <w:bookmarkEnd w:id="746"/>
    </w:p>
    <w:p w14:paraId="5AF3A177" w14:textId="77777777" w:rsidR="00150AE9" w:rsidRPr="009D47B1" w:rsidRDefault="00150AE9" w:rsidP="00150AE9">
      <w:pPr>
        <w:pStyle w:val="AH5Sec"/>
        <w:shd w:val="clear" w:color="auto" w:fill="D9D9D9" w:themeFill="background1" w:themeFillShade="D9"/>
      </w:pPr>
      <w:bookmarkStart w:id="747" w:name="_Toc83626091"/>
      <w:r w:rsidRPr="005E03F7">
        <w:rPr>
          <w:rStyle w:val="CharSectNo"/>
        </w:rPr>
        <w:t>598A</w:t>
      </w:r>
      <w:r w:rsidRPr="009D47B1">
        <w:tab/>
        <w:t>Sanctions involving driver licences</w:t>
      </w:r>
      <w:bookmarkEnd w:id="747"/>
    </w:p>
    <w:p w14:paraId="4F862A58" w14:textId="77777777" w:rsidR="00150AE9" w:rsidRPr="009D47B1" w:rsidRDefault="00150AE9" w:rsidP="00150AE9">
      <w:pPr>
        <w:pStyle w:val="Amain"/>
        <w:shd w:val="clear" w:color="auto" w:fill="D9D9D9" w:themeFill="background1" w:themeFillShade="D9"/>
      </w:pPr>
      <w:r w:rsidRPr="009D47B1">
        <w:tab/>
        <w:t>(1)</w:t>
      </w:r>
      <w:r w:rsidRPr="009D47B1">
        <w:tab/>
        <w:t>This section applies if a court convicts the driver of a heavy vehicle of an offence against this Law relating to a mass, dimension or loading requirement other than an offence that involves only a minor risk breach, or substantial risk breach, of a mass, dimension or loading requirement.</w:t>
      </w:r>
    </w:p>
    <w:p w14:paraId="6913632F" w14:textId="77777777" w:rsidR="00150AE9" w:rsidRPr="009D47B1" w:rsidRDefault="00150AE9" w:rsidP="00150AE9">
      <w:pPr>
        <w:pStyle w:val="Amain"/>
        <w:shd w:val="clear" w:color="auto" w:fill="D9D9D9" w:themeFill="background1" w:themeFillShade="D9"/>
      </w:pPr>
      <w:r w:rsidRPr="009D47B1">
        <w:tab/>
        <w:t>(2)</w:t>
      </w:r>
      <w:r w:rsidRPr="009D47B1">
        <w:tab/>
        <w:t>The court may make an order for either or both of the following:</w:t>
      </w:r>
    </w:p>
    <w:p w14:paraId="27D0ED86" w14:textId="77777777" w:rsidR="00150AE9" w:rsidRPr="009D47B1" w:rsidRDefault="00150AE9" w:rsidP="00150AE9">
      <w:pPr>
        <w:pStyle w:val="Apara"/>
        <w:shd w:val="clear" w:color="auto" w:fill="D9D9D9" w:themeFill="background1" w:themeFillShade="D9"/>
      </w:pPr>
      <w:r w:rsidRPr="009D47B1">
        <w:tab/>
        <w:t>(a)</w:t>
      </w:r>
      <w:r w:rsidRPr="009D47B1">
        <w:tab/>
        <w:t>that a stated Australian driver licence issued to the driver is—</w:t>
      </w:r>
    </w:p>
    <w:p w14:paraId="1534F34A" w14:textId="77777777" w:rsidR="00150AE9" w:rsidRPr="009D47B1" w:rsidRDefault="00150AE9" w:rsidP="00150AE9">
      <w:pPr>
        <w:pStyle w:val="Asubpara"/>
        <w:shd w:val="clear" w:color="auto" w:fill="D9D9D9" w:themeFill="background1" w:themeFillShade="D9"/>
      </w:pPr>
      <w:r w:rsidRPr="009D47B1">
        <w:tab/>
        <w:t>(i)</w:t>
      </w:r>
      <w:r w:rsidRPr="009D47B1">
        <w:tab/>
        <w:t>cancelled; or</w:t>
      </w:r>
    </w:p>
    <w:p w14:paraId="2B662DE8" w14:textId="77777777" w:rsidR="00150AE9" w:rsidRPr="009D47B1" w:rsidRDefault="00150AE9" w:rsidP="00150AE9">
      <w:pPr>
        <w:pStyle w:val="Asubpara"/>
        <w:shd w:val="clear" w:color="auto" w:fill="D9D9D9" w:themeFill="background1" w:themeFillShade="D9"/>
      </w:pPr>
      <w:r w:rsidRPr="009D47B1">
        <w:tab/>
        <w:t>(ii)</w:t>
      </w:r>
      <w:r w:rsidRPr="009D47B1">
        <w:tab/>
        <w:t>varied or suspended for a stated period;</w:t>
      </w:r>
    </w:p>
    <w:p w14:paraId="09FBF6D3" w14:textId="77777777" w:rsidR="00150AE9" w:rsidRPr="009D47B1" w:rsidRDefault="00150AE9" w:rsidP="00150AE9">
      <w:pPr>
        <w:pStyle w:val="Apara"/>
        <w:shd w:val="clear" w:color="auto" w:fill="D9D9D9" w:themeFill="background1" w:themeFillShade="D9"/>
      </w:pPr>
      <w:r w:rsidRPr="009D47B1">
        <w:tab/>
        <w:t>(b)</w:t>
      </w:r>
      <w:r w:rsidRPr="009D47B1">
        <w:tab/>
        <w:t>that the driver is disqualified from obtaining or holding an Australian driver licence (either generally or of a stated kind) for a stated period.</w:t>
      </w:r>
    </w:p>
    <w:p w14:paraId="2238B274" w14:textId="77777777" w:rsidR="00150AE9" w:rsidRPr="009D47B1" w:rsidRDefault="00150AE9" w:rsidP="00150AE9">
      <w:pPr>
        <w:pStyle w:val="Amain"/>
        <w:shd w:val="clear" w:color="auto" w:fill="D9D9D9" w:themeFill="background1" w:themeFillShade="D9"/>
      </w:pPr>
      <w:r w:rsidRPr="009D47B1">
        <w:tab/>
        <w:t>(3)</w:t>
      </w:r>
      <w:r w:rsidRPr="009D47B1">
        <w:tab/>
        <w:t>An order under this section operates automatically and takes effect immediately or, if a later day is stated in the order, on the stated day.</w:t>
      </w:r>
    </w:p>
    <w:p w14:paraId="7422CFA6" w14:textId="77777777" w:rsidR="00150AE9" w:rsidRPr="009D47B1" w:rsidRDefault="00150AE9" w:rsidP="00520FCC">
      <w:pPr>
        <w:pStyle w:val="Amain"/>
        <w:keepNext/>
        <w:shd w:val="clear" w:color="auto" w:fill="D9D9D9" w:themeFill="background1" w:themeFillShade="D9"/>
      </w:pPr>
      <w:r w:rsidRPr="009D47B1">
        <w:tab/>
        <w:t>(4)</w:t>
      </w:r>
      <w:r w:rsidRPr="009D47B1">
        <w:tab/>
        <w:t>To remove any doubt, this section is additional to, and does not limit, the court’s powers under—</w:t>
      </w:r>
    </w:p>
    <w:p w14:paraId="76850664" w14:textId="21F0C645" w:rsidR="00150AE9" w:rsidRPr="009D47B1" w:rsidRDefault="00150AE9" w:rsidP="00150AE9">
      <w:pPr>
        <w:pStyle w:val="Apara"/>
        <w:shd w:val="clear" w:color="auto" w:fill="D9D9D9" w:themeFill="background1" w:themeFillShade="D9"/>
      </w:pPr>
      <w:r w:rsidRPr="009D47B1">
        <w:tab/>
        <w:t>(a)</w:t>
      </w:r>
      <w:r w:rsidRPr="009D47B1">
        <w:tab/>
        <w:t>the</w:t>
      </w:r>
      <w:r w:rsidRPr="009D47B1">
        <w:rPr>
          <w:rStyle w:val="charItals"/>
        </w:rPr>
        <w:t xml:space="preserve"> </w:t>
      </w:r>
      <w:hyperlink r:id="rId87" w:tooltip="SL2000-14" w:history="1">
        <w:r w:rsidRPr="009D47B1">
          <w:rPr>
            <w:rStyle w:val="charCitHyperlinkItal"/>
          </w:rPr>
          <w:t>Road Transport (Driver Licensing) Regulation 2000</w:t>
        </w:r>
      </w:hyperlink>
      <w:r w:rsidRPr="009D47B1">
        <w:t>, division 5.2</w:t>
      </w:r>
      <w:r w:rsidRPr="009D47B1">
        <w:rPr>
          <w:b/>
          <w:bCs/>
          <w:szCs w:val="24"/>
        </w:rPr>
        <w:t xml:space="preserve"> </w:t>
      </w:r>
      <w:r w:rsidRPr="009D47B1">
        <w:rPr>
          <w:szCs w:val="24"/>
        </w:rPr>
        <w:t>(</w:t>
      </w:r>
      <w:r w:rsidRPr="009D47B1">
        <w:t>Variation, suspension or cancellation of driver licences); or</w:t>
      </w:r>
    </w:p>
    <w:p w14:paraId="68532A87" w14:textId="2CF305A8" w:rsidR="00150AE9" w:rsidRPr="009D47B1" w:rsidRDefault="00150AE9" w:rsidP="00150AE9">
      <w:pPr>
        <w:pStyle w:val="Apara"/>
        <w:shd w:val="clear" w:color="auto" w:fill="D9D9D9" w:themeFill="background1" w:themeFillShade="D9"/>
      </w:pPr>
      <w:r w:rsidRPr="009D47B1">
        <w:lastRenderedPageBreak/>
        <w:tab/>
        <w:t>(b)</w:t>
      </w:r>
      <w:r w:rsidRPr="009D47B1">
        <w:tab/>
        <w:t>the</w:t>
      </w:r>
      <w:r w:rsidRPr="009D47B1">
        <w:rPr>
          <w:rStyle w:val="charItals"/>
        </w:rPr>
        <w:t xml:space="preserve"> </w:t>
      </w:r>
      <w:hyperlink r:id="rId88" w:tooltip="A1999-77" w:history="1">
        <w:r w:rsidRPr="009D47B1">
          <w:rPr>
            <w:rStyle w:val="charCitHyperlinkItal"/>
          </w:rPr>
          <w:t>Road Transport (General) Act 1999</w:t>
        </w:r>
      </w:hyperlink>
      <w:r w:rsidRPr="009D47B1">
        <w:t>, division 4.2</w:t>
      </w:r>
      <w:r w:rsidRPr="009D47B1">
        <w:rPr>
          <w:szCs w:val="24"/>
        </w:rPr>
        <w:t xml:space="preserve"> (</w:t>
      </w:r>
      <w:r w:rsidRPr="009D47B1">
        <w:t>Licence suspension, disqualification and related matters).</w:t>
      </w:r>
    </w:p>
    <w:p w14:paraId="59937527" w14:textId="77777777" w:rsidR="00150AE9" w:rsidRPr="009D47B1" w:rsidRDefault="00150AE9" w:rsidP="00150AE9">
      <w:pPr>
        <w:pStyle w:val="Amain"/>
        <w:shd w:val="clear" w:color="auto" w:fill="D9D9D9" w:themeFill="background1" w:themeFillShade="D9"/>
      </w:pPr>
      <w:r w:rsidRPr="009D47B1">
        <w:tab/>
        <w:t>(5)</w:t>
      </w:r>
      <w:r w:rsidRPr="009D47B1">
        <w:tab/>
        <w:t>The registrar must give particulars of the conviction to the road authority.</w:t>
      </w:r>
    </w:p>
    <w:p w14:paraId="09023988" w14:textId="77777777" w:rsidR="00150AE9" w:rsidRPr="009D47B1" w:rsidRDefault="00150AE9" w:rsidP="00997DC5">
      <w:pPr>
        <w:pStyle w:val="Amain"/>
        <w:keepNext/>
        <w:shd w:val="clear" w:color="auto" w:fill="D9D9D9" w:themeFill="background1" w:themeFillShade="D9"/>
      </w:pPr>
      <w:r w:rsidRPr="009D47B1">
        <w:tab/>
        <w:t>(6)</w:t>
      </w:r>
      <w:r w:rsidRPr="009D47B1">
        <w:tab/>
        <w:t>In this section:</w:t>
      </w:r>
    </w:p>
    <w:p w14:paraId="3565BA26" w14:textId="022CD30B" w:rsidR="00150AE9" w:rsidRPr="009D47B1" w:rsidRDefault="00150AE9" w:rsidP="00150AE9">
      <w:pPr>
        <w:pStyle w:val="aDef"/>
        <w:numPr>
          <w:ilvl w:val="5"/>
          <w:numId w:val="0"/>
        </w:numPr>
        <w:shd w:val="clear" w:color="auto" w:fill="D9D9D9" w:themeFill="background1" w:themeFillShade="D9"/>
        <w:ind w:left="1100"/>
      </w:pPr>
      <w:r w:rsidRPr="009D47B1">
        <w:rPr>
          <w:rStyle w:val="charBoldItals"/>
        </w:rPr>
        <w:t>Australian driver licence</w:t>
      </w:r>
      <w:r w:rsidRPr="009D47B1">
        <w:t xml:space="preserve">—see the </w:t>
      </w:r>
      <w:hyperlink r:id="rId89" w:tooltip="A1999-78" w:history="1">
        <w:r w:rsidRPr="009D47B1">
          <w:rPr>
            <w:rStyle w:val="charCitHyperlinkItal"/>
          </w:rPr>
          <w:t>Road Transport (Driver Licensing) Act 1999</w:t>
        </w:r>
      </w:hyperlink>
      <w:r w:rsidRPr="009D47B1">
        <w:t>, dictionary.</w:t>
      </w:r>
    </w:p>
    <w:p w14:paraId="1AA30FEF" w14:textId="77777777" w:rsidR="00DB6E47" w:rsidRPr="005E03F7" w:rsidRDefault="00DB6E47" w:rsidP="00DB6E47">
      <w:pPr>
        <w:pStyle w:val="AH3Div"/>
      </w:pPr>
      <w:bookmarkStart w:id="748" w:name="_Toc83626092"/>
      <w:r w:rsidRPr="005E03F7">
        <w:rPr>
          <w:rStyle w:val="CharDivNo"/>
        </w:rPr>
        <w:t xml:space="preserve">Division 5 </w:t>
      </w:r>
      <w:r w:rsidRPr="00A95F9A">
        <w:rPr>
          <w:rFonts w:ascii="Helvetica" w:hAnsi="Helvetica" w:cs="Helvetica"/>
          <w:iCs/>
          <w:szCs w:val="28"/>
        </w:rPr>
        <w:tab/>
      </w:r>
      <w:r w:rsidRPr="005E03F7">
        <w:rPr>
          <w:rStyle w:val="CharDivText"/>
          <w:rFonts w:ascii="Helvetica" w:hAnsi="Helvetica" w:cs="Helvetica"/>
          <w:iCs/>
          <w:szCs w:val="28"/>
        </w:rPr>
        <w:t>Supervisory intervention orders</w:t>
      </w:r>
      <w:bookmarkEnd w:id="748"/>
    </w:p>
    <w:p w14:paraId="7CA70C47" w14:textId="77777777" w:rsidR="00DB6E47" w:rsidRPr="007E1F9A" w:rsidRDefault="00DB6E47" w:rsidP="00DB6E47">
      <w:pPr>
        <w:pStyle w:val="AH5Sec"/>
      </w:pPr>
      <w:bookmarkStart w:id="749" w:name="_Toc83626093"/>
      <w:r w:rsidRPr="005E03F7">
        <w:rPr>
          <w:rStyle w:val="CharSectNo"/>
        </w:rPr>
        <w:t>599</w:t>
      </w:r>
      <w:r w:rsidRPr="007E1F9A">
        <w:tab/>
      </w:r>
      <w:r w:rsidRPr="007E1F9A">
        <w:rPr>
          <w:rFonts w:ascii="Helvetica" w:hAnsi="Helvetica" w:cs="Helvetica"/>
          <w:iCs/>
        </w:rPr>
        <w:t>Application of Div 5</w:t>
      </w:r>
      <w:bookmarkEnd w:id="749"/>
    </w:p>
    <w:p w14:paraId="2F8EF26F" w14:textId="77777777" w:rsidR="00DB6E47" w:rsidRPr="003D139A" w:rsidRDefault="00DB6E47" w:rsidP="00DB6E47">
      <w:pPr>
        <w:pStyle w:val="Amainreturn"/>
      </w:pPr>
      <w:r w:rsidRPr="003D139A">
        <w:t>This Division applies if a court—</w:t>
      </w:r>
    </w:p>
    <w:p w14:paraId="19F762DE" w14:textId="77777777" w:rsidR="00DB6E47" w:rsidRPr="00544ED5" w:rsidRDefault="00DB6E47" w:rsidP="00DB6E47">
      <w:pPr>
        <w:pStyle w:val="Apara"/>
      </w:pPr>
      <w:r w:rsidRPr="00544ED5">
        <w:tab/>
        <w:t>(a)</w:t>
      </w:r>
      <w:r w:rsidRPr="00544ED5">
        <w:tab/>
        <w:t xml:space="preserve">convicts a person (the </w:t>
      </w:r>
      <w:r w:rsidRPr="00FF4454">
        <w:rPr>
          <w:rStyle w:val="charBoldItals"/>
        </w:rPr>
        <w:t>convicted person</w:t>
      </w:r>
      <w:r w:rsidRPr="00544ED5">
        <w:t>) of an offence against this Law; and</w:t>
      </w:r>
    </w:p>
    <w:p w14:paraId="4298B09F" w14:textId="77777777" w:rsidR="00DB6E47" w:rsidRPr="00544ED5" w:rsidRDefault="00DB6E47" w:rsidP="00DB6E47">
      <w:pPr>
        <w:pStyle w:val="Apara"/>
      </w:pPr>
      <w:r w:rsidRPr="00544ED5">
        <w:tab/>
        <w:t>(b)</w:t>
      </w:r>
      <w:r w:rsidRPr="00544ED5">
        <w:tab/>
        <w:t>considers the person to be, or likely to become, a systematic or persistent offender of this Law having regard to the circumstances of offences against this Law and previous corresponding laws for which the person has previously been convicted.</w:t>
      </w:r>
    </w:p>
    <w:p w14:paraId="76BC92A8" w14:textId="77777777" w:rsidR="00DB6E47" w:rsidRPr="007E1F9A" w:rsidRDefault="00DB6E47" w:rsidP="00DB6E47">
      <w:pPr>
        <w:pStyle w:val="AH5Sec"/>
      </w:pPr>
      <w:bookmarkStart w:id="750" w:name="_Toc83626094"/>
      <w:r w:rsidRPr="005E03F7">
        <w:rPr>
          <w:rStyle w:val="CharSectNo"/>
        </w:rPr>
        <w:t>600</w:t>
      </w:r>
      <w:r w:rsidRPr="007E1F9A">
        <w:tab/>
      </w:r>
      <w:r w:rsidRPr="007E1F9A">
        <w:rPr>
          <w:rFonts w:ascii="Helvetica" w:hAnsi="Helvetica" w:cs="Helvetica"/>
          <w:iCs/>
        </w:rPr>
        <w:t>Court may make supervisory intervention order</w:t>
      </w:r>
      <w:bookmarkEnd w:id="750"/>
    </w:p>
    <w:p w14:paraId="3B534180" w14:textId="77777777" w:rsidR="00DB6E47" w:rsidRPr="003D139A" w:rsidRDefault="00DB6E47" w:rsidP="00520FCC">
      <w:pPr>
        <w:pStyle w:val="Amain"/>
        <w:keepNext/>
      </w:pPr>
      <w:r w:rsidRPr="003D139A">
        <w:tab/>
        <w:t>(1)</w:t>
      </w:r>
      <w:r w:rsidRPr="003D139A">
        <w:tab/>
        <w:t xml:space="preserve">The court may, on application by the prosecutor or the Regulator, make an order (a </w:t>
      </w:r>
      <w:r w:rsidRPr="00FF4454">
        <w:rPr>
          <w:rStyle w:val="charBoldItals"/>
        </w:rPr>
        <w:t>supervisory intervention order</w:t>
      </w:r>
      <w:r w:rsidRPr="003D139A">
        <w:t>) requiring the convicted person, at the person’s own expense and for a stated period of not more than 1 year, to do 1 or more of the following—</w:t>
      </w:r>
    </w:p>
    <w:p w14:paraId="040498C1" w14:textId="77777777" w:rsidR="00DB6E47" w:rsidRPr="00544ED5" w:rsidRDefault="00DB6E47" w:rsidP="00DB6E47">
      <w:pPr>
        <w:pStyle w:val="Apara"/>
      </w:pPr>
      <w:r w:rsidRPr="00544ED5">
        <w:tab/>
        <w:t>(a)</w:t>
      </w:r>
      <w:r w:rsidRPr="00544ED5">
        <w:tab/>
        <w:t>stated things the court considers will improve the person’s compliance with this Law, or stated aspects of this Law, including, for example—</w:t>
      </w:r>
    </w:p>
    <w:p w14:paraId="3F64E201" w14:textId="77777777" w:rsidR="00DB6E47" w:rsidRPr="00CC71DF" w:rsidRDefault="00DB6E47" w:rsidP="00DB6E47">
      <w:pPr>
        <w:pStyle w:val="Asubpara"/>
      </w:pPr>
      <w:r w:rsidRPr="00CC71DF">
        <w:tab/>
        <w:t>(i)</w:t>
      </w:r>
      <w:r w:rsidRPr="00CC71DF">
        <w:tab/>
        <w:t>appointing staff to, or removing staff from, particular positions; or</w:t>
      </w:r>
    </w:p>
    <w:p w14:paraId="1C3F1B8E" w14:textId="77777777" w:rsidR="00DB6E47" w:rsidRPr="00CC71DF" w:rsidRDefault="00DB6E47" w:rsidP="00DB6E47">
      <w:pPr>
        <w:pStyle w:val="Asubpara"/>
      </w:pPr>
      <w:r w:rsidRPr="00CC71DF">
        <w:lastRenderedPageBreak/>
        <w:tab/>
        <w:t>(ii)</w:t>
      </w:r>
      <w:r w:rsidRPr="00CC71DF">
        <w:tab/>
        <w:t>training and supervising staff; or</w:t>
      </w:r>
    </w:p>
    <w:p w14:paraId="3C10CC3C" w14:textId="77777777" w:rsidR="00DB6E47" w:rsidRPr="00CC71DF" w:rsidRDefault="00DB6E47" w:rsidP="00DB6E47">
      <w:pPr>
        <w:pStyle w:val="Asubpara"/>
      </w:pPr>
      <w:r w:rsidRPr="00CC71DF">
        <w:tab/>
        <w:t>(iii)</w:t>
      </w:r>
      <w:r w:rsidRPr="00CC71DF">
        <w:tab/>
        <w:t>obtaining expert advice about maintaining compliance with this Law, or stated aspects of this Law; or</w:t>
      </w:r>
    </w:p>
    <w:p w14:paraId="6B77F5BB" w14:textId="77777777" w:rsidR="00DB6E47" w:rsidRPr="00CC71DF" w:rsidRDefault="00DB6E47" w:rsidP="00DB6E47">
      <w:pPr>
        <w:pStyle w:val="Asubpara"/>
      </w:pPr>
      <w:r w:rsidRPr="00CC71DF">
        <w:tab/>
        <w:t>(iv)</w:t>
      </w:r>
      <w:r w:rsidRPr="00CC71DF">
        <w:tab/>
        <w:t>installing equipment for monitoring or managing compliance with this Law, or stated aspects of this Law, including, for example, intelligent transport system equipment; or</w:t>
      </w:r>
    </w:p>
    <w:p w14:paraId="741B0243" w14:textId="77777777" w:rsidR="00DB6E47" w:rsidRPr="00CC71DF" w:rsidRDefault="00DB6E47" w:rsidP="00DB6E47">
      <w:pPr>
        <w:pStyle w:val="Asubpara"/>
      </w:pPr>
      <w:r w:rsidRPr="00CC71DF">
        <w:tab/>
        <w:t>(v)</w:t>
      </w:r>
      <w:r w:rsidRPr="00CC71DF">
        <w:tab/>
        <w:t>implementing practices, systems or procedures for monitoring or ensuring compliance with this Law, or stated aspects of this Law;</w:t>
      </w:r>
    </w:p>
    <w:p w14:paraId="4B32C3F1" w14:textId="77777777" w:rsidR="00DB6E47" w:rsidRPr="00544ED5" w:rsidRDefault="00DB6E47" w:rsidP="00DB6E47">
      <w:pPr>
        <w:pStyle w:val="Apara"/>
      </w:pPr>
      <w:r w:rsidRPr="00544ED5">
        <w:tab/>
        <w:t>(b)</w:t>
      </w:r>
      <w:r w:rsidRPr="00544ED5">
        <w:tab/>
        <w:t>implement stated practices, systems or procedures for monitoring or ensuring compliance with this Law, or stated aspects of this Law, subject to the direction of the Regulator or a person nominated by the Regulator;</w:t>
      </w:r>
    </w:p>
    <w:p w14:paraId="7593DB46" w14:textId="77777777" w:rsidR="00DB6E47" w:rsidRPr="00544ED5" w:rsidRDefault="00DB6E47" w:rsidP="00DB6E47">
      <w:pPr>
        <w:pStyle w:val="Apara"/>
      </w:pPr>
      <w:r w:rsidRPr="00544ED5">
        <w:tab/>
        <w:t>(c)</w:t>
      </w:r>
      <w:r w:rsidRPr="00544ED5">
        <w:tab/>
        <w:t>give compliance reports about the convicted person to the Regulator or the court (or both), in a stated way and for stated periods;</w:t>
      </w:r>
    </w:p>
    <w:p w14:paraId="44500DC2" w14:textId="77777777" w:rsidR="00DB6E47" w:rsidRPr="00544ED5" w:rsidRDefault="00DB6E47" w:rsidP="00520FCC">
      <w:pPr>
        <w:pStyle w:val="Apara"/>
        <w:keepNext/>
      </w:pPr>
      <w:r w:rsidRPr="00544ED5">
        <w:tab/>
        <w:t>(d)</w:t>
      </w:r>
      <w:r w:rsidRPr="00544ED5">
        <w:tab/>
        <w:t>appoint a person to have the following responsibilities—</w:t>
      </w:r>
    </w:p>
    <w:p w14:paraId="4E2C92BC" w14:textId="77777777" w:rsidR="00DB6E47" w:rsidRPr="00CC71DF" w:rsidRDefault="00DB6E47" w:rsidP="00DB6E47">
      <w:pPr>
        <w:pStyle w:val="Asubpara"/>
      </w:pPr>
      <w:r w:rsidRPr="00CC71DF">
        <w:tab/>
        <w:t>(i)</w:t>
      </w:r>
      <w:r w:rsidRPr="00CC71DF">
        <w:tab/>
        <w:t>helping the convicted person to improve the convicted person’s compliance with this Law or stated aspects of this Law;</w:t>
      </w:r>
    </w:p>
    <w:p w14:paraId="1F06062C" w14:textId="77777777" w:rsidR="00DB6E47" w:rsidRPr="00CC71DF" w:rsidRDefault="00DB6E47" w:rsidP="00DB6E47">
      <w:pPr>
        <w:pStyle w:val="Asubpara"/>
      </w:pPr>
      <w:r w:rsidRPr="00CC71DF">
        <w:tab/>
        <w:t>(ii)</w:t>
      </w:r>
      <w:r w:rsidRPr="00CC71DF">
        <w:tab/>
        <w:t>monitoring the convicted person’s compliance with this Law or stated aspects of this Law and with the order;</w:t>
      </w:r>
    </w:p>
    <w:p w14:paraId="45279196" w14:textId="77777777" w:rsidR="00DB6E47" w:rsidRPr="00CC71DF" w:rsidRDefault="00DB6E47" w:rsidP="00DB6E47">
      <w:pPr>
        <w:pStyle w:val="Asubpara"/>
      </w:pPr>
      <w:r w:rsidRPr="00CC71DF">
        <w:tab/>
        <w:t>(iii)</w:t>
      </w:r>
      <w:r w:rsidRPr="00CC71DF">
        <w:tab/>
        <w:t>giving compliance reports about the convicted person to the Regulator or the court (or both), in a stated way and for stated periods.</w:t>
      </w:r>
    </w:p>
    <w:p w14:paraId="1A090BE6" w14:textId="77777777" w:rsidR="00DB6E47" w:rsidRPr="003D139A" w:rsidRDefault="00DB6E47" w:rsidP="00B41BF6">
      <w:pPr>
        <w:pStyle w:val="Amain"/>
        <w:keepNext/>
      </w:pPr>
      <w:r w:rsidRPr="003D139A">
        <w:lastRenderedPageBreak/>
        <w:tab/>
        <w:t>(2)</w:t>
      </w:r>
      <w:r w:rsidRPr="003D139A">
        <w:tab/>
        <w:t>In this section—</w:t>
      </w:r>
    </w:p>
    <w:p w14:paraId="681A3950" w14:textId="77777777" w:rsidR="00DB6E47" w:rsidRPr="00041046" w:rsidRDefault="00DB6E47" w:rsidP="00170ABD">
      <w:pPr>
        <w:pStyle w:val="aDef"/>
        <w:keepNext/>
        <w:keepLines/>
        <w:rPr>
          <w:bCs/>
        </w:rPr>
      </w:pPr>
      <w:r w:rsidRPr="00041046">
        <w:rPr>
          <w:rStyle w:val="charBoldItals"/>
        </w:rPr>
        <w:t>compliance report</w:t>
      </w:r>
      <w:r w:rsidRPr="00041046">
        <w:t>, about a person in relation to whom a supervisory intervention order is made, means a report about the person’s compliance with this Law, stated aspects of this Law, or the order, including, for example, a report containing stated information about—</w:t>
      </w:r>
    </w:p>
    <w:p w14:paraId="5115AC32" w14:textId="77777777" w:rsidR="00DB6E47" w:rsidRPr="00544ED5" w:rsidRDefault="00DB6E47" w:rsidP="00DB6E47">
      <w:pPr>
        <w:pStyle w:val="Apara"/>
      </w:pPr>
      <w:r w:rsidRPr="00544ED5">
        <w:tab/>
        <w:t>(a)</w:t>
      </w:r>
      <w:r w:rsidRPr="00544ED5">
        <w:tab/>
        <w:t>things done by the person to ensure compliance with this Law or stated aspects of this Law; and</w:t>
      </w:r>
    </w:p>
    <w:p w14:paraId="477BD6DA" w14:textId="77777777" w:rsidR="00DB6E47" w:rsidRPr="00544ED5" w:rsidRDefault="00DB6E47" w:rsidP="00DB6E47">
      <w:pPr>
        <w:pStyle w:val="Apara"/>
      </w:pPr>
      <w:r w:rsidRPr="00544ED5">
        <w:tab/>
        <w:t>(b)</w:t>
      </w:r>
      <w:r w:rsidRPr="00544ED5">
        <w:tab/>
        <w:t>the effect of the</w:t>
      </w:r>
      <w:r w:rsidR="00592E1B">
        <w:t xml:space="preserve"> things mentioned in paragraph </w:t>
      </w:r>
      <w:r w:rsidRPr="00544ED5">
        <w:t>(a).</w:t>
      </w:r>
    </w:p>
    <w:p w14:paraId="74EE371E" w14:textId="77777777" w:rsidR="00DB6E47" w:rsidRPr="007E1F9A" w:rsidRDefault="00DB6E47" w:rsidP="00DB6E47">
      <w:pPr>
        <w:pStyle w:val="AH5Sec"/>
      </w:pPr>
      <w:bookmarkStart w:id="751" w:name="_Toc83626095"/>
      <w:r w:rsidRPr="005E03F7">
        <w:rPr>
          <w:rStyle w:val="CharSectNo"/>
        </w:rPr>
        <w:t>601</w:t>
      </w:r>
      <w:r w:rsidRPr="007E1F9A">
        <w:tab/>
      </w:r>
      <w:r w:rsidRPr="007E1F9A">
        <w:rPr>
          <w:rFonts w:ascii="Helvetica" w:hAnsi="Helvetica" w:cs="Helvetica"/>
          <w:iCs/>
        </w:rPr>
        <w:t>Limitation on making supervisory intervention order</w:t>
      </w:r>
      <w:bookmarkEnd w:id="751"/>
    </w:p>
    <w:p w14:paraId="71C57680" w14:textId="77777777" w:rsidR="00DB6E47" w:rsidRPr="003D139A" w:rsidRDefault="00DB6E47" w:rsidP="00DB6E47">
      <w:pPr>
        <w:pStyle w:val="Amainreturn"/>
      </w:pPr>
      <w:r w:rsidRPr="003D139A">
        <w:t>The court may make a supervisory intervention order only if the court is satisfied the order is capable of improving the convicted person’s ability or willingness to comply with this Law having regard to—</w:t>
      </w:r>
    </w:p>
    <w:p w14:paraId="3F600F66" w14:textId="77777777" w:rsidR="00DB6E47" w:rsidRPr="00544ED5" w:rsidRDefault="00DB6E47" w:rsidP="00DB6E47">
      <w:pPr>
        <w:pStyle w:val="Apara"/>
      </w:pPr>
      <w:r w:rsidRPr="00544ED5">
        <w:tab/>
        <w:t>(a)</w:t>
      </w:r>
      <w:r w:rsidRPr="00544ED5">
        <w:tab/>
        <w:t>the offences against this Law or a previous corresponding law for which the person has previously been convicted; and</w:t>
      </w:r>
    </w:p>
    <w:p w14:paraId="633BA27B" w14:textId="77777777" w:rsidR="00DB6E47" w:rsidRPr="00544ED5" w:rsidRDefault="00DB6E47" w:rsidP="00DB6E47">
      <w:pPr>
        <w:pStyle w:val="Apara"/>
      </w:pPr>
      <w:r w:rsidRPr="00544ED5">
        <w:tab/>
        <w:t>(b)</w:t>
      </w:r>
      <w:r w:rsidRPr="00544ED5">
        <w:tab/>
        <w:t>the offences against this Law or a previous corresponding law for which the person has been proceeded against by way of unwithdrawn infringement notices; and</w:t>
      </w:r>
    </w:p>
    <w:p w14:paraId="01D52E24" w14:textId="77777777" w:rsidR="00DB6E47" w:rsidRPr="00544ED5" w:rsidRDefault="00DB6E47" w:rsidP="00DB6E47">
      <w:pPr>
        <w:pStyle w:val="Apara"/>
      </w:pPr>
      <w:r w:rsidRPr="00544ED5">
        <w:tab/>
        <w:t>(c)</w:t>
      </w:r>
      <w:r w:rsidRPr="00544ED5">
        <w:tab/>
        <w:t>any other offences or other matters that the court considers relevant to the person’s conduct in connection with road transport.</w:t>
      </w:r>
    </w:p>
    <w:p w14:paraId="6A57CC4E" w14:textId="77777777" w:rsidR="00DB6E47" w:rsidRPr="007E1F9A" w:rsidRDefault="00DB6E47" w:rsidP="00DB6E47">
      <w:pPr>
        <w:pStyle w:val="AH5Sec"/>
      </w:pPr>
      <w:bookmarkStart w:id="752" w:name="_Toc83626096"/>
      <w:r w:rsidRPr="005E03F7">
        <w:rPr>
          <w:rStyle w:val="CharSectNo"/>
        </w:rPr>
        <w:lastRenderedPageBreak/>
        <w:t>602</w:t>
      </w:r>
      <w:r w:rsidRPr="007E1F9A">
        <w:tab/>
      </w:r>
      <w:r w:rsidRPr="007E1F9A">
        <w:rPr>
          <w:rFonts w:ascii="Helvetica" w:hAnsi="Helvetica" w:cs="Helvetica"/>
          <w:iCs/>
        </w:rPr>
        <w:t>Supervisory intervention order may suspend other sanctions</w:t>
      </w:r>
      <w:bookmarkEnd w:id="752"/>
    </w:p>
    <w:p w14:paraId="4545B324" w14:textId="77777777" w:rsidR="00DB6E47" w:rsidRPr="003D139A" w:rsidRDefault="00DB6E47" w:rsidP="00170ABD">
      <w:pPr>
        <w:pStyle w:val="Amain"/>
        <w:keepNext/>
        <w:keepLines/>
      </w:pPr>
      <w:r w:rsidRPr="003D139A">
        <w:tab/>
        <w:t>(1)</w:t>
      </w:r>
      <w:r w:rsidRPr="003D139A">
        <w:tab/>
        <w:t>A supervisory intervention order may direct that any other penalty or sanction imposed for the offence to which it relates is suspended until the order ends unless the court decides there has been a substantial failure to comply with the order.</w:t>
      </w:r>
    </w:p>
    <w:p w14:paraId="1DF63EA7" w14:textId="77777777" w:rsidR="00DB6E47" w:rsidRPr="003D139A" w:rsidRDefault="00DB6E47" w:rsidP="00170ABD">
      <w:pPr>
        <w:pStyle w:val="Amain"/>
        <w:keepLines/>
      </w:pPr>
      <w:r w:rsidRPr="003D139A">
        <w:tab/>
        <w:t>(2)</w:t>
      </w:r>
      <w:r w:rsidRPr="003D139A">
        <w:tab/>
        <w:t>For the purposes of subsection (1), a court may decide that a failure to comply with a supervisory intervention order is a substantial failure if the failure causes, or creates a risk of, serious harm to public safety, the environment or road infrastructure.</w:t>
      </w:r>
    </w:p>
    <w:p w14:paraId="0ACE4697" w14:textId="77777777" w:rsidR="00DB6E47" w:rsidRPr="007E1F9A" w:rsidRDefault="00DB6E47" w:rsidP="00DB6E47">
      <w:pPr>
        <w:pStyle w:val="AH5Sec"/>
      </w:pPr>
      <w:bookmarkStart w:id="753" w:name="_Toc83626097"/>
      <w:r w:rsidRPr="005E03F7">
        <w:rPr>
          <w:rStyle w:val="CharSectNo"/>
        </w:rPr>
        <w:t>603</w:t>
      </w:r>
      <w:r w:rsidRPr="007E1F9A">
        <w:tab/>
      </w:r>
      <w:r w:rsidRPr="007E1F9A">
        <w:rPr>
          <w:rFonts w:ascii="Helvetica" w:hAnsi="Helvetica" w:cs="Helvetica"/>
          <w:iCs/>
        </w:rPr>
        <w:t>Amendment or revocation of supervisory intervention order</w:t>
      </w:r>
      <w:bookmarkEnd w:id="753"/>
    </w:p>
    <w:p w14:paraId="2676D1FE" w14:textId="77777777" w:rsidR="00DB6E47" w:rsidRPr="003D139A" w:rsidRDefault="00DB6E47" w:rsidP="00DB6E47">
      <w:pPr>
        <w:pStyle w:val="Amainreturn"/>
      </w:pPr>
      <w:r w:rsidRPr="003D139A">
        <w:t>A court that makes a supervisory intervention order may, on application by the Regulator or the person to whom the order applies, amend or revoke the order if the court is satisfied there has been a change in circumstances warranting the amendment or revocation.</w:t>
      </w:r>
    </w:p>
    <w:p w14:paraId="3762CD86" w14:textId="77777777" w:rsidR="00DB6E47" w:rsidRPr="007E1F9A" w:rsidRDefault="00DB6E47" w:rsidP="00DB6E47">
      <w:pPr>
        <w:pStyle w:val="AH5Sec"/>
      </w:pPr>
      <w:bookmarkStart w:id="754" w:name="_Toc83626098"/>
      <w:r w:rsidRPr="005E03F7">
        <w:rPr>
          <w:rStyle w:val="CharSectNo"/>
        </w:rPr>
        <w:t>604</w:t>
      </w:r>
      <w:r w:rsidRPr="007E1F9A">
        <w:tab/>
      </w:r>
      <w:r w:rsidRPr="007E1F9A">
        <w:rPr>
          <w:rFonts w:ascii="Helvetica" w:hAnsi="Helvetica" w:cs="Helvetica"/>
          <w:iCs/>
        </w:rPr>
        <w:t>Contravention of supervisory intervention order</w:t>
      </w:r>
      <w:bookmarkEnd w:id="754"/>
    </w:p>
    <w:p w14:paraId="647355C2" w14:textId="77777777" w:rsidR="00DB6E47" w:rsidRPr="003D139A" w:rsidRDefault="00DB6E47" w:rsidP="00DB6E47">
      <w:pPr>
        <w:pStyle w:val="Amainreturn"/>
      </w:pPr>
      <w:r w:rsidRPr="003D139A">
        <w:t>A person to whom a supervisory intervention order applies must comply with the order, unless the person has a reasonable excuse.</w:t>
      </w:r>
    </w:p>
    <w:p w14:paraId="37ADE9A4" w14:textId="77777777" w:rsidR="00DB6E47" w:rsidRPr="006C3305" w:rsidRDefault="00DB6E47" w:rsidP="00DB6E47">
      <w:pPr>
        <w:pStyle w:val="Penalty"/>
      </w:pPr>
      <w:r w:rsidRPr="00D91CC2">
        <w:rPr>
          <w:rFonts w:cs="Times"/>
          <w:bCs/>
          <w:iCs/>
        </w:rPr>
        <w:t>Maximum penalty—$10000.</w:t>
      </w:r>
    </w:p>
    <w:p w14:paraId="25E8FD37" w14:textId="77777777" w:rsidR="00DB6E47" w:rsidRPr="007E1F9A" w:rsidRDefault="00DB6E47" w:rsidP="00DB6E47">
      <w:pPr>
        <w:pStyle w:val="AH5Sec"/>
      </w:pPr>
      <w:bookmarkStart w:id="755" w:name="_Toc83626099"/>
      <w:r w:rsidRPr="005E03F7">
        <w:rPr>
          <w:rStyle w:val="CharSectNo"/>
        </w:rPr>
        <w:t>605</w:t>
      </w:r>
      <w:r w:rsidRPr="007E1F9A">
        <w:tab/>
      </w:r>
      <w:r w:rsidRPr="007E1F9A">
        <w:rPr>
          <w:rFonts w:ascii="Helvetica" w:hAnsi="Helvetica" w:cs="Helvetica"/>
          <w:iCs/>
        </w:rPr>
        <w:t>Effect of supervisory intervention order if prohibition order applies to same person</w:t>
      </w:r>
      <w:bookmarkEnd w:id="755"/>
    </w:p>
    <w:p w14:paraId="7646E924" w14:textId="77777777" w:rsidR="00DB6E47" w:rsidRPr="003D139A" w:rsidRDefault="00DB6E47" w:rsidP="00520FCC">
      <w:pPr>
        <w:pStyle w:val="Amain"/>
        <w:keepNext/>
      </w:pPr>
      <w:r w:rsidRPr="003D139A">
        <w:tab/>
        <w:t>(1)</w:t>
      </w:r>
      <w:r w:rsidRPr="003D139A">
        <w:tab/>
        <w:t>This section applies if both a supervisory intervention order and a prohibition order is in force at the same time against the same person.</w:t>
      </w:r>
    </w:p>
    <w:p w14:paraId="196AF2D5" w14:textId="77777777" w:rsidR="00DB6E47" w:rsidRPr="003D139A" w:rsidRDefault="00DB6E47" w:rsidP="00DB6E47">
      <w:pPr>
        <w:pStyle w:val="Amain"/>
      </w:pPr>
      <w:r w:rsidRPr="003D139A">
        <w:tab/>
        <w:t>(2)</w:t>
      </w:r>
      <w:r w:rsidRPr="003D139A">
        <w:tab/>
        <w:t>The supervisory intervention order has no effect while the prohibition order has effect.</w:t>
      </w:r>
    </w:p>
    <w:p w14:paraId="36F28675" w14:textId="77777777" w:rsidR="00DB6E47" w:rsidRPr="005E03F7" w:rsidRDefault="00DB6E47" w:rsidP="00DB6E47">
      <w:pPr>
        <w:pStyle w:val="AH3Div"/>
      </w:pPr>
      <w:bookmarkStart w:id="756" w:name="_Toc83626100"/>
      <w:r w:rsidRPr="005E03F7">
        <w:rPr>
          <w:rStyle w:val="CharDivNo"/>
        </w:rPr>
        <w:lastRenderedPageBreak/>
        <w:t xml:space="preserve">Division 6 </w:t>
      </w:r>
      <w:r w:rsidRPr="00A95F9A">
        <w:rPr>
          <w:rFonts w:ascii="Helvetica" w:hAnsi="Helvetica" w:cs="Helvetica"/>
          <w:iCs/>
          <w:szCs w:val="28"/>
        </w:rPr>
        <w:tab/>
      </w:r>
      <w:r w:rsidRPr="005E03F7">
        <w:rPr>
          <w:rStyle w:val="CharDivText"/>
          <w:rFonts w:ascii="Helvetica" w:hAnsi="Helvetica" w:cs="Helvetica"/>
          <w:iCs/>
          <w:szCs w:val="28"/>
        </w:rPr>
        <w:t>Prohibition orders</w:t>
      </w:r>
      <w:bookmarkEnd w:id="756"/>
    </w:p>
    <w:p w14:paraId="111D0F5F" w14:textId="77777777" w:rsidR="00DB6E47" w:rsidRPr="007E1F9A" w:rsidRDefault="00DB6E47" w:rsidP="00DB6E47">
      <w:pPr>
        <w:pStyle w:val="AH5Sec"/>
      </w:pPr>
      <w:bookmarkStart w:id="757" w:name="_Toc83626101"/>
      <w:r w:rsidRPr="005E03F7">
        <w:rPr>
          <w:rStyle w:val="CharSectNo"/>
        </w:rPr>
        <w:t>606</w:t>
      </w:r>
      <w:r w:rsidRPr="007E1F9A">
        <w:tab/>
      </w:r>
      <w:r w:rsidRPr="007E1F9A">
        <w:rPr>
          <w:rFonts w:ascii="Helvetica" w:hAnsi="Helvetica" w:cs="Helvetica"/>
          <w:iCs/>
        </w:rPr>
        <w:t>Application of Div 6</w:t>
      </w:r>
      <w:bookmarkEnd w:id="757"/>
    </w:p>
    <w:p w14:paraId="22E37353" w14:textId="77777777" w:rsidR="00DB6E47" w:rsidRPr="003D139A" w:rsidRDefault="00DB6E47" w:rsidP="00DB6E47">
      <w:pPr>
        <w:pStyle w:val="Amainreturn"/>
      </w:pPr>
      <w:r w:rsidRPr="003D139A">
        <w:t>This Division applies if a court—</w:t>
      </w:r>
    </w:p>
    <w:p w14:paraId="0ACBF964" w14:textId="77777777" w:rsidR="00DB6E47" w:rsidRPr="00544ED5" w:rsidRDefault="00DB6E47" w:rsidP="00DB6E47">
      <w:pPr>
        <w:pStyle w:val="Apara"/>
      </w:pPr>
      <w:r w:rsidRPr="00544ED5">
        <w:tab/>
        <w:t>(a)</w:t>
      </w:r>
      <w:r w:rsidRPr="00544ED5">
        <w:tab/>
        <w:t xml:space="preserve">convicts a person (the </w:t>
      </w:r>
      <w:r w:rsidRPr="00FF4454">
        <w:rPr>
          <w:rStyle w:val="charBoldItals"/>
        </w:rPr>
        <w:t>convicted person</w:t>
      </w:r>
      <w:r w:rsidRPr="00544ED5">
        <w:t>) of an offence against this Law; and</w:t>
      </w:r>
    </w:p>
    <w:p w14:paraId="4E2B3AAF" w14:textId="77777777" w:rsidR="00DB6E47" w:rsidRPr="00544ED5" w:rsidRDefault="00DB6E47" w:rsidP="00DB6E47">
      <w:pPr>
        <w:pStyle w:val="Apara"/>
      </w:pPr>
      <w:r w:rsidRPr="00544ED5">
        <w:tab/>
        <w:t>(b)</w:t>
      </w:r>
      <w:r w:rsidRPr="00544ED5">
        <w:tab/>
        <w:t>considers the person to be, or likely to become, a systematic or persistent offender of this Law having regard to the circumstances of offences against this Law and previous corresponding laws for which the person has previously been convicted.</w:t>
      </w:r>
    </w:p>
    <w:p w14:paraId="6B771EBE" w14:textId="77777777" w:rsidR="00DB6E47" w:rsidRPr="007E1F9A" w:rsidRDefault="00DB6E47" w:rsidP="00DB6E47">
      <w:pPr>
        <w:pStyle w:val="AH5Sec"/>
      </w:pPr>
      <w:bookmarkStart w:id="758" w:name="_Toc83626102"/>
      <w:r w:rsidRPr="005E03F7">
        <w:rPr>
          <w:rStyle w:val="CharSectNo"/>
        </w:rPr>
        <w:t>607</w:t>
      </w:r>
      <w:r w:rsidRPr="007E1F9A">
        <w:tab/>
      </w:r>
      <w:r w:rsidRPr="007E1F9A">
        <w:rPr>
          <w:rFonts w:ascii="Helvetica" w:hAnsi="Helvetica" w:cs="Helvetica"/>
          <w:iCs/>
        </w:rPr>
        <w:t>Court may make prohibition order</w:t>
      </w:r>
      <w:bookmarkEnd w:id="758"/>
    </w:p>
    <w:p w14:paraId="53E350B0" w14:textId="77777777" w:rsidR="00DB6E47" w:rsidRPr="003D139A" w:rsidRDefault="00DB6E47" w:rsidP="00DB6E47">
      <w:pPr>
        <w:pStyle w:val="Amain"/>
      </w:pPr>
      <w:r w:rsidRPr="003D139A">
        <w:tab/>
        <w:t>(1)</w:t>
      </w:r>
      <w:r w:rsidRPr="003D139A">
        <w:tab/>
        <w:t xml:space="preserve">The court may, on application by the prosecutor or the Regulator, make an order (a </w:t>
      </w:r>
      <w:r w:rsidRPr="00FF4454">
        <w:rPr>
          <w:rStyle w:val="charBoldItals"/>
        </w:rPr>
        <w:t>prohibition order</w:t>
      </w:r>
      <w:r w:rsidRPr="003D139A">
        <w:t>) prohibiting the convicted person, for a stated period of not more than 1 year, from having a stated role or responsibility associated with road transport.</w:t>
      </w:r>
    </w:p>
    <w:p w14:paraId="529B5EE8" w14:textId="77777777" w:rsidR="00DB6E47" w:rsidRPr="003D139A" w:rsidRDefault="00DB6E47" w:rsidP="00DB6E47">
      <w:pPr>
        <w:pStyle w:val="Amain"/>
      </w:pPr>
      <w:r w:rsidRPr="003D139A">
        <w:tab/>
        <w:t>(2)</w:t>
      </w:r>
      <w:r w:rsidRPr="003D139A">
        <w:tab/>
        <w:t>However, the court can not make a prohibition order prohibiting the convicted person from driving a vehicle or having a vehicle registered or licensed under an Australian road law in the convicted person’s name.</w:t>
      </w:r>
    </w:p>
    <w:p w14:paraId="2D94C47F" w14:textId="77777777" w:rsidR="00DB6E47" w:rsidRPr="007E1F9A" w:rsidRDefault="00DB6E47" w:rsidP="00DB6E47">
      <w:pPr>
        <w:pStyle w:val="AH5Sec"/>
      </w:pPr>
      <w:bookmarkStart w:id="759" w:name="_Toc83626103"/>
      <w:r w:rsidRPr="005E03F7">
        <w:rPr>
          <w:rStyle w:val="CharSectNo"/>
        </w:rPr>
        <w:t>608</w:t>
      </w:r>
      <w:r w:rsidRPr="007E1F9A">
        <w:tab/>
      </w:r>
      <w:r w:rsidRPr="007E1F9A">
        <w:rPr>
          <w:rFonts w:ascii="Helvetica" w:hAnsi="Helvetica" w:cs="Helvetica"/>
          <w:iCs/>
        </w:rPr>
        <w:t>Limitation on making prohibition order</w:t>
      </w:r>
      <w:bookmarkEnd w:id="759"/>
    </w:p>
    <w:p w14:paraId="3F430A4A" w14:textId="77777777" w:rsidR="00DB6E47" w:rsidRPr="003D139A" w:rsidRDefault="00DB6E47" w:rsidP="00DB6E47">
      <w:pPr>
        <w:pStyle w:val="Amainreturn"/>
      </w:pPr>
      <w:r w:rsidRPr="003D139A">
        <w:t>The court may make a prohibition order only if the court is satisfied the convicted person should not continue to have the role or responsibilities prohibited by the order, and that a supervisory intervention order is not appropriate, having regard to—</w:t>
      </w:r>
    </w:p>
    <w:p w14:paraId="09EE7DAC" w14:textId="77777777" w:rsidR="00DB6E47" w:rsidRPr="00544ED5" w:rsidRDefault="00DB6E47" w:rsidP="00DB6E47">
      <w:pPr>
        <w:pStyle w:val="Apara"/>
      </w:pPr>
      <w:r w:rsidRPr="00544ED5">
        <w:tab/>
        <w:t>(a)</w:t>
      </w:r>
      <w:r w:rsidRPr="00544ED5">
        <w:tab/>
        <w:t>the offences against this Law or a previous corresponding law for which the person has previously been convicted; and</w:t>
      </w:r>
    </w:p>
    <w:p w14:paraId="1D57D939" w14:textId="77777777" w:rsidR="00DB6E47" w:rsidRPr="00544ED5" w:rsidRDefault="00DB6E47" w:rsidP="00DB6E47">
      <w:pPr>
        <w:pStyle w:val="Apara"/>
      </w:pPr>
      <w:r w:rsidRPr="00544ED5">
        <w:lastRenderedPageBreak/>
        <w:tab/>
        <w:t>(b)</w:t>
      </w:r>
      <w:r w:rsidRPr="00544ED5">
        <w:tab/>
        <w:t>the offences against this Law or a previous corresponding law for which the person has been proceeded against by way of unwithdrawn infringement notices; and</w:t>
      </w:r>
    </w:p>
    <w:p w14:paraId="4E3519DA" w14:textId="77777777" w:rsidR="00DB6E47" w:rsidRPr="00544ED5" w:rsidRDefault="00DB6E47" w:rsidP="00DB6E47">
      <w:pPr>
        <w:pStyle w:val="Apara"/>
      </w:pPr>
      <w:r w:rsidRPr="00544ED5">
        <w:tab/>
        <w:t>(c)</w:t>
      </w:r>
      <w:r w:rsidRPr="00544ED5">
        <w:tab/>
        <w:t>any other offences or other matters that the court considers relevant to the person’s conduct in connection with road transport.</w:t>
      </w:r>
    </w:p>
    <w:p w14:paraId="662D983C" w14:textId="77777777" w:rsidR="00DB6E47" w:rsidRPr="007E1F9A" w:rsidRDefault="00DB6E47" w:rsidP="00DB6E47">
      <w:pPr>
        <w:pStyle w:val="AH5Sec"/>
      </w:pPr>
      <w:bookmarkStart w:id="760" w:name="_Toc83626104"/>
      <w:r w:rsidRPr="005E03F7">
        <w:rPr>
          <w:rStyle w:val="CharSectNo"/>
        </w:rPr>
        <w:t>609</w:t>
      </w:r>
      <w:r w:rsidRPr="007E1F9A">
        <w:tab/>
      </w:r>
      <w:r w:rsidRPr="007E1F9A">
        <w:rPr>
          <w:rFonts w:ascii="Helvetica" w:hAnsi="Helvetica" w:cs="Helvetica"/>
          <w:iCs/>
        </w:rPr>
        <w:t>Amendment or revocation of prohibition order</w:t>
      </w:r>
      <w:bookmarkEnd w:id="760"/>
    </w:p>
    <w:p w14:paraId="7E36200B" w14:textId="77777777" w:rsidR="00DB6E47" w:rsidRPr="003D139A" w:rsidRDefault="00DB6E47" w:rsidP="00DB6E47">
      <w:pPr>
        <w:pStyle w:val="Amainreturn"/>
      </w:pPr>
      <w:r w:rsidRPr="003D139A">
        <w:t>A court that makes a prohibition order may, on application by the Regulator or the person to whom the order applies, amend or revoke the order if the court is satisfied there has been a change in circumstances warranting the amendment or revocation.</w:t>
      </w:r>
    </w:p>
    <w:p w14:paraId="7D783590" w14:textId="77777777" w:rsidR="00DB6E47" w:rsidRPr="007E1F9A" w:rsidRDefault="00DB6E47" w:rsidP="00DB6E47">
      <w:pPr>
        <w:pStyle w:val="AH5Sec"/>
      </w:pPr>
      <w:bookmarkStart w:id="761" w:name="_Toc83626105"/>
      <w:r w:rsidRPr="005E03F7">
        <w:rPr>
          <w:rStyle w:val="CharSectNo"/>
        </w:rPr>
        <w:t>610</w:t>
      </w:r>
      <w:r w:rsidRPr="007E1F9A">
        <w:tab/>
      </w:r>
      <w:r w:rsidRPr="007E1F9A">
        <w:rPr>
          <w:rFonts w:ascii="Helvetica" w:hAnsi="Helvetica" w:cs="Helvetica"/>
          <w:iCs/>
        </w:rPr>
        <w:t>Contravention of prohibition order</w:t>
      </w:r>
      <w:bookmarkEnd w:id="761"/>
    </w:p>
    <w:p w14:paraId="07ABC0FD" w14:textId="77777777" w:rsidR="00DB6E47" w:rsidRPr="003D139A" w:rsidRDefault="00DB6E47" w:rsidP="00DB6E47">
      <w:pPr>
        <w:pStyle w:val="Amainreturn"/>
      </w:pPr>
      <w:r w:rsidRPr="003D139A">
        <w:t>A person to whom a prohibition order applies must comply with the order, unless the person has a reasonable excuse.</w:t>
      </w:r>
    </w:p>
    <w:p w14:paraId="63175E22" w14:textId="77777777" w:rsidR="00DB6E47" w:rsidRPr="006C3305" w:rsidRDefault="00DB6E47" w:rsidP="00DB6E47">
      <w:pPr>
        <w:pStyle w:val="Penalty"/>
      </w:pPr>
      <w:r w:rsidRPr="00D91CC2">
        <w:rPr>
          <w:rFonts w:cs="Times"/>
          <w:bCs/>
          <w:iCs/>
        </w:rPr>
        <w:t>Maximum penalty—$10000.</w:t>
      </w:r>
    </w:p>
    <w:p w14:paraId="12832F59" w14:textId="77777777" w:rsidR="00DB6E47" w:rsidRPr="005E03F7" w:rsidRDefault="00DB6E47" w:rsidP="00DB6E47">
      <w:pPr>
        <w:pStyle w:val="AH3Div"/>
      </w:pPr>
      <w:bookmarkStart w:id="762" w:name="_Toc83626106"/>
      <w:r w:rsidRPr="005E03F7">
        <w:rPr>
          <w:rStyle w:val="CharDivNo"/>
        </w:rPr>
        <w:t xml:space="preserve">Division 7 </w:t>
      </w:r>
      <w:r w:rsidRPr="00A95F9A">
        <w:rPr>
          <w:rFonts w:ascii="Helvetica" w:hAnsi="Helvetica" w:cs="Helvetica"/>
          <w:iCs/>
          <w:szCs w:val="28"/>
        </w:rPr>
        <w:tab/>
      </w:r>
      <w:r w:rsidRPr="005E03F7">
        <w:rPr>
          <w:rStyle w:val="CharDivText"/>
          <w:rFonts w:ascii="Helvetica" w:hAnsi="Helvetica" w:cs="Helvetica"/>
          <w:iCs/>
          <w:szCs w:val="28"/>
        </w:rPr>
        <w:t>Compensation orders</w:t>
      </w:r>
      <w:bookmarkEnd w:id="762"/>
    </w:p>
    <w:p w14:paraId="4DBC1983" w14:textId="77777777" w:rsidR="00DB6E47" w:rsidRPr="007E1F9A" w:rsidRDefault="00DB6E47" w:rsidP="00DB6E47">
      <w:pPr>
        <w:pStyle w:val="AH5Sec"/>
      </w:pPr>
      <w:bookmarkStart w:id="763" w:name="_Toc83626107"/>
      <w:r w:rsidRPr="005E03F7">
        <w:rPr>
          <w:rStyle w:val="CharSectNo"/>
        </w:rPr>
        <w:t>611</w:t>
      </w:r>
      <w:r w:rsidRPr="007E1F9A">
        <w:tab/>
      </w:r>
      <w:r w:rsidRPr="007E1F9A">
        <w:rPr>
          <w:rFonts w:ascii="Helvetica" w:hAnsi="Helvetica" w:cs="Helvetica"/>
          <w:iCs/>
        </w:rPr>
        <w:t>Court may make compensation order</w:t>
      </w:r>
      <w:bookmarkEnd w:id="763"/>
    </w:p>
    <w:p w14:paraId="442B8890" w14:textId="77777777" w:rsidR="00DB6E47" w:rsidRPr="003D139A" w:rsidRDefault="00DB6E47" w:rsidP="00520FCC">
      <w:pPr>
        <w:pStyle w:val="Amain"/>
        <w:keepLines/>
      </w:pPr>
      <w:r w:rsidRPr="003D139A">
        <w:tab/>
        <w:t>(1)</w:t>
      </w:r>
      <w:r w:rsidRPr="003D139A">
        <w:tab/>
        <w:t xml:space="preserve">A court that convicts a person (the </w:t>
      </w:r>
      <w:r w:rsidRPr="00FF4454">
        <w:rPr>
          <w:rStyle w:val="charBoldItals"/>
        </w:rPr>
        <w:t>convicted person</w:t>
      </w:r>
      <w:r w:rsidRPr="003D139A">
        <w:t xml:space="preserve">) of an offence against this Law may make an order (a </w:t>
      </w:r>
      <w:r w:rsidRPr="00FF4454">
        <w:rPr>
          <w:rStyle w:val="charBoldItals"/>
        </w:rPr>
        <w:t>compensation order</w:t>
      </w:r>
      <w:r w:rsidRPr="003D139A">
        <w:t>) requiring the convicted person to pay the road manager for a road, by way of compensation, an amount the court considers appropriate for loss incurred, or likely to be incurred, by the road manager for damage caused to road infrastructure as a result of the offence.</w:t>
      </w:r>
    </w:p>
    <w:p w14:paraId="5522CB36" w14:textId="77777777" w:rsidR="00DB6E47" w:rsidRPr="003D139A" w:rsidRDefault="00DB6E47" w:rsidP="00DB6E47">
      <w:pPr>
        <w:pStyle w:val="Amain"/>
      </w:pPr>
      <w:r w:rsidRPr="003D139A">
        <w:tab/>
        <w:t>(2)</w:t>
      </w:r>
      <w:r w:rsidRPr="003D139A">
        <w:tab/>
        <w:t>A compensation order may be made on the application of the prosecutor, the Regulator or the road manager.</w:t>
      </w:r>
    </w:p>
    <w:p w14:paraId="32DABAB9" w14:textId="77777777" w:rsidR="00DB6E47" w:rsidRPr="003D139A" w:rsidRDefault="00DB6E47" w:rsidP="00DB6E47">
      <w:pPr>
        <w:pStyle w:val="Amain"/>
      </w:pPr>
      <w:r w:rsidRPr="003D139A">
        <w:tab/>
        <w:t>(3)</w:t>
      </w:r>
      <w:r w:rsidRPr="003D139A">
        <w:tab/>
        <w:t>The court may make a compensation order in relation to damage the court considers, on the balance of probabilities, was caused or partly caused by the commission of the offence.</w:t>
      </w:r>
    </w:p>
    <w:p w14:paraId="0C3A1876" w14:textId="77777777" w:rsidR="00DB6E47" w:rsidRPr="003D139A" w:rsidRDefault="00DB6E47" w:rsidP="00DB6E47">
      <w:pPr>
        <w:pStyle w:val="Amain"/>
      </w:pPr>
      <w:r w:rsidRPr="003D139A">
        <w:lastRenderedPageBreak/>
        <w:tab/>
        <w:t>(4)</w:t>
      </w:r>
      <w:r w:rsidRPr="003D139A">
        <w:tab/>
        <w:t>The court may make a compensation order—</w:t>
      </w:r>
    </w:p>
    <w:p w14:paraId="2BC924C2" w14:textId="77777777" w:rsidR="00DB6E47" w:rsidRPr="00544ED5" w:rsidRDefault="00DB6E47" w:rsidP="00DB6E47">
      <w:pPr>
        <w:pStyle w:val="Apara"/>
      </w:pPr>
      <w:r w:rsidRPr="00544ED5">
        <w:tab/>
        <w:t>(a)</w:t>
      </w:r>
      <w:r w:rsidRPr="00544ED5">
        <w:tab/>
        <w:t>when the court gives its sentence for the offence; or</w:t>
      </w:r>
    </w:p>
    <w:p w14:paraId="5E9401AA" w14:textId="77777777" w:rsidR="00DB6E47" w:rsidRPr="00544ED5" w:rsidRDefault="00DB6E47" w:rsidP="00CD391C">
      <w:pPr>
        <w:pStyle w:val="Apara"/>
        <w:keepNext/>
      </w:pPr>
      <w:r w:rsidRPr="00544ED5">
        <w:tab/>
        <w:t>(b)</w:t>
      </w:r>
      <w:r w:rsidRPr="00544ED5">
        <w:tab/>
        <w:t>at a later time, but not after the end of the period within which a proceeding for the offence must start under this Law.</w:t>
      </w:r>
    </w:p>
    <w:p w14:paraId="6F10B2C4" w14:textId="77777777" w:rsidR="007B571B" w:rsidRPr="007B571B" w:rsidRDefault="007B571B" w:rsidP="007B571B">
      <w:pPr>
        <w:pStyle w:val="aNote"/>
        <w:rPr>
          <w:lang w:val="en" w:eastAsia="en-AU"/>
        </w:rPr>
      </w:pPr>
      <w:r w:rsidRPr="007B571B">
        <w:rPr>
          <w:i/>
          <w:lang w:val="en" w:eastAsia="en-AU"/>
        </w:rPr>
        <w:t>Note</w:t>
      </w:r>
      <w:r w:rsidRPr="007B571B">
        <w:rPr>
          <w:lang w:val="en" w:eastAsia="en-AU"/>
        </w:rPr>
        <w:t>—</w:t>
      </w:r>
    </w:p>
    <w:p w14:paraId="6EA70B80" w14:textId="77777777" w:rsidR="007B571B" w:rsidRPr="007B571B" w:rsidRDefault="007B571B" w:rsidP="007B571B">
      <w:pPr>
        <w:pStyle w:val="aNoteTextss"/>
        <w:rPr>
          <w:lang w:val="en" w:eastAsia="en-AU"/>
        </w:rPr>
      </w:pPr>
      <w:r w:rsidRPr="007B571B">
        <w:rPr>
          <w:lang w:val="en" w:eastAsia="en-AU"/>
        </w:rPr>
        <w:t>See section 707A for the period within which a proceeding for an offence against this Law, other than an indictable offence, must start.</w:t>
      </w:r>
    </w:p>
    <w:p w14:paraId="197128E9" w14:textId="77777777" w:rsidR="00DB6E47" w:rsidRPr="007E1F9A" w:rsidRDefault="00DB6E47" w:rsidP="00DB6E47">
      <w:pPr>
        <w:pStyle w:val="AH5Sec"/>
      </w:pPr>
      <w:bookmarkStart w:id="764" w:name="_Toc83626108"/>
      <w:r w:rsidRPr="005E03F7">
        <w:rPr>
          <w:rStyle w:val="CharSectNo"/>
        </w:rPr>
        <w:t>612</w:t>
      </w:r>
      <w:r w:rsidRPr="007E1F9A">
        <w:tab/>
      </w:r>
      <w:r w:rsidRPr="007E1F9A">
        <w:rPr>
          <w:rFonts w:ascii="Helvetica" w:hAnsi="Helvetica" w:cs="Helvetica"/>
          <w:iCs/>
        </w:rPr>
        <w:t>Assessment of compensation</w:t>
      </w:r>
      <w:bookmarkEnd w:id="764"/>
    </w:p>
    <w:p w14:paraId="253B2C6B" w14:textId="77777777" w:rsidR="00DB6E47" w:rsidRPr="003D139A" w:rsidRDefault="00DB6E47" w:rsidP="00997DC5">
      <w:pPr>
        <w:pStyle w:val="Amain"/>
        <w:keepLines/>
      </w:pPr>
      <w:r w:rsidRPr="003D139A">
        <w:tab/>
        <w:t>(1)</w:t>
      </w:r>
      <w:r w:rsidRPr="003D139A">
        <w:tab/>
        <w:t>In making a compensation order, the court may assess the amount of compensation required to be paid by the order in the way it considers appropriate, including, for example, by reference to the estimated cost of remedying the damage.</w:t>
      </w:r>
    </w:p>
    <w:p w14:paraId="6A23BA11" w14:textId="77777777" w:rsidR="00DB6E47" w:rsidRPr="003D139A" w:rsidRDefault="00DB6E47" w:rsidP="00DB6E47">
      <w:pPr>
        <w:pStyle w:val="Amain"/>
      </w:pPr>
      <w:r w:rsidRPr="003D139A">
        <w:tab/>
        <w:t>(2)</w:t>
      </w:r>
      <w:r w:rsidRPr="003D139A">
        <w:tab/>
        <w:t>In assessing the amount of compensation, the court may have regard to—</w:t>
      </w:r>
    </w:p>
    <w:p w14:paraId="77A61D07" w14:textId="77777777" w:rsidR="00DB6E47" w:rsidRPr="00544ED5" w:rsidRDefault="00DB6E47" w:rsidP="00DB6E47">
      <w:pPr>
        <w:pStyle w:val="Apara"/>
      </w:pPr>
      <w:r w:rsidRPr="00544ED5">
        <w:tab/>
        <w:t>(a)</w:t>
      </w:r>
      <w:r w:rsidRPr="00544ED5">
        <w:tab/>
        <w:t>evidence adduced in connection with the prosecution of the offence; and</w:t>
      </w:r>
    </w:p>
    <w:p w14:paraId="3AB4833D" w14:textId="77777777" w:rsidR="00DB6E47" w:rsidRPr="00544ED5" w:rsidRDefault="00DB6E47" w:rsidP="00DB6E47">
      <w:pPr>
        <w:pStyle w:val="Apara"/>
      </w:pPr>
      <w:r w:rsidRPr="00544ED5">
        <w:tab/>
        <w:t>(b)</w:t>
      </w:r>
      <w:r w:rsidRPr="00544ED5">
        <w:tab/>
        <w:t>any evidence not adduced in connection with the prosecution of the offence but adduced in connection with the making of the order; and</w:t>
      </w:r>
    </w:p>
    <w:p w14:paraId="3A1B9201" w14:textId="77777777" w:rsidR="00DB6E47" w:rsidRPr="00544ED5" w:rsidRDefault="00DB6E47" w:rsidP="00DB6E47">
      <w:pPr>
        <w:pStyle w:val="Apara"/>
      </w:pPr>
      <w:r w:rsidRPr="00544ED5">
        <w:tab/>
        <w:t>(c)</w:t>
      </w:r>
      <w:r w:rsidRPr="00544ED5">
        <w:tab/>
        <w:t>if the road manager is a public authority—</w:t>
      </w:r>
    </w:p>
    <w:p w14:paraId="4EBCF7D8" w14:textId="77777777" w:rsidR="00DB6E47" w:rsidRPr="00CC71DF" w:rsidRDefault="00DB6E47" w:rsidP="00DB6E47">
      <w:pPr>
        <w:pStyle w:val="Asubpara"/>
      </w:pPr>
      <w:r w:rsidRPr="00CC71DF">
        <w:tab/>
        <w:t>(i)</w:t>
      </w:r>
      <w:r w:rsidRPr="00CC71DF">
        <w:tab/>
        <w:t>any certificate of the public authority stating that the authority is responsible for maintaining the road infrastructure in relation to which the order is sought; and</w:t>
      </w:r>
    </w:p>
    <w:p w14:paraId="427CFE3F" w14:textId="77777777" w:rsidR="00DB6E47" w:rsidRPr="00CC71DF" w:rsidRDefault="00DB6E47" w:rsidP="00DB6E47">
      <w:pPr>
        <w:pStyle w:val="Asubpara"/>
      </w:pPr>
      <w:r w:rsidRPr="00CC71DF">
        <w:tab/>
        <w:t>(ii)</w:t>
      </w:r>
      <w:r w:rsidRPr="00CC71DF">
        <w:tab/>
        <w:t>any other certificate of the public authority, including, for example, a certificate—</w:t>
      </w:r>
    </w:p>
    <w:p w14:paraId="50329C7D" w14:textId="77777777" w:rsidR="00DB6E47" w:rsidRPr="00592E1B" w:rsidRDefault="00DB6E47" w:rsidP="00D3767F">
      <w:pPr>
        <w:pStyle w:val="Asubsubpara"/>
      </w:pPr>
      <w:r w:rsidRPr="00FF4454">
        <w:tab/>
      </w:r>
      <w:r w:rsidRPr="00F04D8E">
        <w:rPr>
          <w:rFonts w:cs="Times"/>
          <w:bCs/>
          <w:iCs/>
        </w:rPr>
        <w:t>(</w:t>
      </w:r>
      <w:r w:rsidR="00D3767F">
        <w:rPr>
          <w:rFonts w:cs="Times"/>
          <w:bCs/>
          <w:iCs/>
        </w:rPr>
        <w:t>A</w:t>
      </w:r>
      <w:r w:rsidRPr="00F04D8E">
        <w:rPr>
          <w:rFonts w:cs="Times"/>
          <w:bCs/>
          <w:iCs/>
        </w:rPr>
        <w:t>)</w:t>
      </w:r>
      <w:r w:rsidRPr="00FF4454">
        <w:rPr>
          <w:rStyle w:val="charBoldItals"/>
        </w:rPr>
        <w:tab/>
      </w:r>
      <w:r w:rsidRPr="00592E1B">
        <w:t>estimating the monetary value of all or part of the road infrastructure in relation to which the order is sought; or</w:t>
      </w:r>
    </w:p>
    <w:p w14:paraId="40AA4CF0" w14:textId="77777777" w:rsidR="00DB6E47" w:rsidRPr="00592E1B" w:rsidRDefault="00DB6E47" w:rsidP="00D3767F">
      <w:pPr>
        <w:pStyle w:val="Asubsubpara"/>
      </w:pPr>
      <w:r w:rsidRPr="00592E1B">
        <w:lastRenderedPageBreak/>
        <w:tab/>
        <w:t>(</w:t>
      </w:r>
      <w:r w:rsidR="00D3767F">
        <w:t>B</w:t>
      </w:r>
      <w:r w:rsidRPr="00592E1B">
        <w:t>)</w:t>
      </w:r>
      <w:r w:rsidRPr="00592E1B">
        <w:tab/>
        <w:t>estimating the monetary value of, or the cost of remedying, the damage to the road infrastructure in relation to which the order is sought; or</w:t>
      </w:r>
    </w:p>
    <w:p w14:paraId="605671BF" w14:textId="77777777" w:rsidR="00DB6E47" w:rsidRPr="00592E1B" w:rsidRDefault="00DB6E47" w:rsidP="00D3767F">
      <w:pPr>
        <w:pStyle w:val="Asubsubpara"/>
      </w:pPr>
      <w:r w:rsidRPr="00592E1B">
        <w:tab/>
        <w:t>(</w:t>
      </w:r>
      <w:r w:rsidR="00D3767F">
        <w:t>C</w:t>
      </w:r>
      <w:r w:rsidRPr="00592E1B">
        <w:t>)</w:t>
      </w:r>
      <w:r w:rsidRPr="00592E1B">
        <w:tab/>
        <w:t>estimating the extent to which the commission of the offence contributed to the damage to the road infrastructure in relation to which the order is sought; and</w:t>
      </w:r>
    </w:p>
    <w:p w14:paraId="6F568F11" w14:textId="77777777" w:rsidR="00DB6E47" w:rsidRPr="00544ED5" w:rsidRDefault="00DB6E47" w:rsidP="00D3767F">
      <w:pPr>
        <w:pStyle w:val="Asubsubpara"/>
      </w:pPr>
      <w:r w:rsidRPr="00544ED5">
        <w:tab/>
        <w:t>(</w:t>
      </w:r>
      <w:r w:rsidR="00D3767F">
        <w:t>D</w:t>
      </w:r>
      <w:r w:rsidRPr="00544ED5">
        <w:t>)</w:t>
      </w:r>
      <w:r w:rsidRPr="00544ED5">
        <w:tab/>
        <w:t>any other matters the court considers relevant.</w:t>
      </w:r>
    </w:p>
    <w:p w14:paraId="66BB617B" w14:textId="77777777" w:rsidR="00DB6E47" w:rsidRPr="003D139A" w:rsidRDefault="00DB6E47" w:rsidP="00997DC5">
      <w:pPr>
        <w:pStyle w:val="Amain"/>
        <w:keepLines/>
      </w:pPr>
      <w:r w:rsidRPr="003D139A">
        <w:tab/>
        <w:t>(3)</w:t>
      </w:r>
      <w:r w:rsidRPr="003D139A">
        <w:tab/>
        <w:t>A person who purportedly signs a certificate of a t</w:t>
      </w:r>
      <w:r w:rsidR="00997DC5">
        <w:t>ype mentioned in subsection (2)</w:t>
      </w:r>
      <w:r w:rsidRPr="003D139A">
        <w:t>(c)</w:t>
      </w:r>
      <w:r w:rsidR="00997DC5">
        <w:t xml:space="preserve"> </w:t>
      </w:r>
      <w:r w:rsidRPr="003D139A">
        <w:t>on behalf of a public authority is presumed, unless the contrary is proved, to have been authorised by the public authority to sign the certificate on the public authority’s behalf.</w:t>
      </w:r>
    </w:p>
    <w:p w14:paraId="3D979183" w14:textId="77777777" w:rsidR="00DB6E47" w:rsidRPr="007E1F9A" w:rsidRDefault="00DB6E47" w:rsidP="00DB6E47">
      <w:pPr>
        <w:pStyle w:val="AH5Sec"/>
      </w:pPr>
      <w:bookmarkStart w:id="765" w:name="_Toc83626109"/>
      <w:r w:rsidRPr="005E03F7">
        <w:rPr>
          <w:rStyle w:val="CharSectNo"/>
        </w:rPr>
        <w:t>613</w:t>
      </w:r>
      <w:r w:rsidRPr="007E1F9A">
        <w:tab/>
      </w:r>
      <w:r w:rsidRPr="007E1F9A">
        <w:rPr>
          <w:rFonts w:ascii="Helvetica" w:hAnsi="Helvetica" w:cs="Helvetica"/>
          <w:iCs/>
        </w:rPr>
        <w:t>Use of certificates in assessing compensation</w:t>
      </w:r>
      <w:bookmarkEnd w:id="765"/>
    </w:p>
    <w:p w14:paraId="7AB622A8" w14:textId="77777777" w:rsidR="00DB6E47" w:rsidRPr="003D139A" w:rsidRDefault="00DB6E47" w:rsidP="00DB6E47">
      <w:pPr>
        <w:pStyle w:val="Amain"/>
      </w:pPr>
      <w:r w:rsidRPr="003D139A">
        <w:tab/>
        <w:t>(1)</w:t>
      </w:r>
      <w:r w:rsidRPr="003D139A">
        <w:tab/>
        <w:t>If a public authority proposes to submit a certific</w:t>
      </w:r>
      <w:r w:rsidR="00997DC5">
        <w:t>ate mentioned in section 612(2)</w:t>
      </w:r>
      <w:r w:rsidRPr="003D139A">
        <w:t>(c)</w:t>
      </w:r>
      <w:r w:rsidR="00997DC5">
        <w:t xml:space="preserve"> </w:t>
      </w:r>
      <w:r w:rsidRPr="003D139A">
        <w:t>in a proceeding for the making of a compensation order, the public authority must give a copy of the certificate to the defendant at least 28 days before the day fixed for the hearing of the proceeding.</w:t>
      </w:r>
    </w:p>
    <w:p w14:paraId="385C7F97" w14:textId="77777777" w:rsidR="00DB6E47" w:rsidRPr="003D139A" w:rsidRDefault="00DB6E47" w:rsidP="00DB6E47">
      <w:pPr>
        <w:pStyle w:val="Amain"/>
      </w:pPr>
      <w:r w:rsidRPr="003D139A">
        <w:tab/>
        <w:t>(2)</w:t>
      </w:r>
      <w:r w:rsidRPr="003D139A">
        <w:tab/>
        <w:t>A certificate of the public authority can not be used in a proceeding for the making of a compensation order unless the public authority has complied with subsection (1).</w:t>
      </w:r>
    </w:p>
    <w:p w14:paraId="4F97A7BC" w14:textId="77777777" w:rsidR="00DB6E47" w:rsidRPr="003D139A" w:rsidRDefault="00DB6E47" w:rsidP="00DB6E47">
      <w:pPr>
        <w:pStyle w:val="Amain"/>
      </w:pPr>
      <w:r w:rsidRPr="003D139A">
        <w:tab/>
        <w:t>(3)</w:t>
      </w:r>
      <w:r w:rsidRPr="003D139A">
        <w:tab/>
        <w:t>A defendant who intends to challenge a matter stated in a certific</w:t>
      </w:r>
      <w:r w:rsidR="00592E1B">
        <w:t>ate mentioned in section 612(2)</w:t>
      </w:r>
      <w:r w:rsidRPr="003D139A">
        <w:t>(c)</w:t>
      </w:r>
      <w:r w:rsidR="00592E1B">
        <w:t xml:space="preserve"> </w:t>
      </w:r>
      <w:r w:rsidRPr="003D139A">
        <w:t>in a proceeding for the making of a compensation order must—</w:t>
      </w:r>
    </w:p>
    <w:p w14:paraId="080AB603" w14:textId="77777777" w:rsidR="00DB6E47" w:rsidRPr="00544ED5" w:rsidRDefault="00DB6E47" w:rsidP="00DB6E47">
      <w:pPr>
        <w:pStyle w:val="Apara"/>
      </w:pPr>
      <w:r w:rsidRPr="00544ED5">
        <w:tab/>
        <w:t>(a)</w:t>
      </w:r>
      <w:r w:rsidRPr="00544ED5">
        <w:tab/>
        <w:t>give the public authority notice of the intention to challenge the matter; and</w:t>
      </w:r>
    </w:p>
    <w:p w14:paraId="1DF534FC" w14:textId="77777777" w:rsidR="00DB6E47" w:rsidRPr="00544ED5" w:rsidRDefault="00DB6E47" w:rsidP="00DB6E47">
      <w:pPr>
        <w:pStyle w:val="Apara"/>
      </w:pPr>
      <w:r w:rsidRPr="00544ED5">
        <w:tab/>
        <w:t>(b)</w:t>
      </w:r>
      <w:r w:rsidRPr="00544ED5">
        <w:tab/>
        <w:t>if the defendant is intending to challenge the accuracy of any measurement, analysis or reading in the certificate—</w:t>
      </w:r>
    </w:p>
    <w:p w14:paraId="62FE5B3F" w14:textId="77777777" w:rsidR="00DB6E47" w:rsidRPr="00CC71DF" w:rsidRDefault="00DB6E47" w:rsidP="00DB6E47">
      <w:pPr>
        <w:pStyle w:val="Asubpara"/>
      </w:pPr>
      <w:r w:rsidRPr="00CC71DF">
        <w:tab/>
        <w:t>(i)</w:t>
      </w:r>
      <w:r w:rsidRPr="00CC71DF">
        <w:tab/>
        <w:t>state the reason why the defendant alleges that it is inaccurate; and</w:t>
      </w:r>
    </w:p>
    <w:p w14:paraId="52FF6676" w14:textId="77777777" w:rsidR="00DB6E47" w:rsidRPr="00CC71DF" w:rsidRDefault="00DB6E47" w:rsidP="00DB6E47">
      <w:pPr>
        <w:pStyle w:val="Asubpara"/>
      </w:pPr>
      <w:r>
        <w:lastRenderedPageBreak/>
        <w:tab/>
      </w:r>
      <w:r w:rsidRPr="00CC71DF">
        <w:t>(ii)</w:t>
      </w:r>
      <w:r w:rsidRPr="00CC71DF">
        <w:tab/>
        <w:t>state the measurement, analysis or reading that the defendant considers to be correct.</w:t>
      </w:r>
    </w:p>
    <w:p w14:paraId="2B0AB042" w14:textId="77777777" w:rsidR="00DB6E47" w:rsidRPr="003D139A" w:rsidRDefault="00DB6E47" w:rsidP="00DB6E47">
      <w:pPr>
        <w:pStyle w:val="Amain"/>
      </w:pPr>
      <w:r w:rsidRPr="003D139A">
        <w:tab/>
        <w:t>(4)</w:t>
      </w:r>
      <w:r w:rsidRPr="003D139A">
        <w:tab/>
        <w:t>The notice must be—</w:t>
      </w:r>
    </w:p>
    <w:p w14:paraId="5418A353" w14:textId="77777777" w:rsidR="00DB6E47" w:rsidRPr="00544ED5" w:rsidRDefault="00DB6E47" w:rsidP="00DB6E47">
      <w:pPr>
        <w:pStyle w:val="Apara"/>
      </w:pPr>
      <w:r w:rsidRPr="00544ED5">
        <w:tab/>
        <w:t>(a)</w:t>
      </w:r>
      <w:r w:rsidRPr="00544ED5">
        <w:tab/>
        <w:t>signed by the defendant; and</w:t>
      </w:r>
    </w:p>
    <w:p w14:paraId="503E8EB4" w14:textId="77777777" w:rsidR="00DB6E47" w:rsidRPr="00544ED5" w:rsidRDefault="00DB6E47" w:rsidP="00DB6E47">
      <w:pPr>
        <w:pStyle w:val="Apara"/>
      </w:pPr>
      <w:r w:rsidRPr="00544ED5">
        <w:tab/>
        <w:t>(b)</w:t>
      </w:r>
      <w:r w:rsidRPr="00544ED5">
        <w:tab/>
        <w:t>given at least 14 days before the day fixed for the hearing of the proceeding.</w:t>
      </w:r>
    </w:p>
    <w:p w14:paraId="0AF56A48" w14:textId="77777777" w:rsidR="00DB6E47" w:rsidRPr="003D139A" w:rsidRDefault="00DB6E47" w:rsidP="00DB6E47">
      <w:pPr>
        <w:pStyle w:val="Amain"/>
      </w:pPr>
      <w:r w:rsidRPr="003D139A">
        <w:tab/>
        <w:t>(5)</w:t>
      </w:r>
      <w:r w:rsidRPr="003D139A">
        <w:tab/>
        <w:t>A defendant can not challenge a matter stated in a certific</w:t>
      </w:r>
      <w:r w:rsidR="00592E1B">
        <w:t>ate mentioned in section 612(2)</w:t>
      </w:r>
      <w:r w:rsidRPr="003D139A">
        <w:t>(c)</w:t>
      </w:r>
      <w:r w:rsidR="00592E1B">
        <w:t xml:space="preserve"> </w:t>
      </w:r>
      <w:r w:rsidRPr="003D139A">
        <w:t>in a proceeding for the making of a compensation order unless—</w:t>
      </w:r>
    </w:p>
    <w:p w14:paraId="03FB0C4D" w14:textId="77777777" w:rsidR="00DB6E47" w:rsidRPr="00544ED5" w:rsidRDefault="00DB6E47" w:rsidP="00DB6E47">
      <w:pPr>
        <w:pStyle w:val="Apara"/>
      </w:pPr>
      <w:r w:rsidRPr="00544ED5">
        <w:tab/>
        <w:t>(a)</w:t>
      </w:r>
      <w:r w:rsidRPr="00544ED5">
        <w:tab/>
        <w:t>the defendan</w:t>
      </w:r>
      <w:r w:rsidR="00592E1B">
        <w:t xml:space="preserve">t has complied with subsections </w:t>
      </w:r>
      <w:r w:rsidRPr="00544ED5">
        <w:t>(3)</w:t>
      </w:r>
      <w:r w:rsidR="00592E1B">
        <w:t xml:space="preserve"> </w:t>
      </w:r>
      <w:r w:rsidRPr="00544ED5">
        <w:t>and (4); or</w:t>
      </w:r>
    </w:p>
    <w:p w14:paraId="511385AB" w14:textId="77777777" w:rsidR="00DB6E47" w:rsidRPr="00544ED5" w:rsidRDefault="00DB6E47" w:rsidP="00DB6E47">
      <w:pPr>
        <w:pStyle w:val="Apara"/>
      </w:pPr>
      <w:r w:rsidRPr="00544ED5">
        <w:tab/>
        <w:t>(b)</w:t>
      </w:r>
      <w:r w:rsidRPr="00544ED5">
        <w:tab/>
        <w:t>the court gives leave to the defendant to challenge the matter, in the interests of justice.</w:t>
      </w:r>
    </w:p>
    <w:p w14:paraId="74FBC497" w14:textId="77777777" w:rsidR="00DB6E47" w:rsidRPr="007E1F9A" w:rsidRDefault="00DB6E47" w:rsidP="00DB6E47">
      <w:pPr>
        <w:pStyle w:val="AH5Sec"/>
      </w:pPr>
      <w:bookmarkStart w:id="766" w:name="_Toc83626110"/>
      <w:r w:rsidRPr="005E03F7">
        <w:rPr>
          <w:rStyle w:val="CharSectNo"/>
        </w:rPr>
        <w:t>614</w:t>
      </w:r>
      <w:r w:rsidRPr="007E1F9A">
        <w:tab/>
      </w:r>
      <w:r w:rsidRPr="007E1F9A">
        <w:rPr>
          <w:rFonts w:ascii="Helvetica" w:hAnsi="Helvetica" w:cs="Helvetica"/>
          <w:iCs/>
        </w:rPr>
        <w:t>Limits on amount of compensation</w:t>
      </w:r>
      <w:bookmarkEnd w:id="766"/>
    </w:p>
    <w:p w14:paraId="79B1BC07" w14:textId="77777777" w:rsidR="00DB6E47" w:rsidRPr="003D139A" w:rsidRDefault="00DB6E47" w:rsidP="00520FCC">
      <w:pPr>
        <w:pStyle w:val="Amain"/>
        <w:keepLines/>
      </w:pPr>
      <w:r w:rsidRPr="003D139A">
        <w:tab/>
        <w:t>(1)</w:t>
      </w:r>
      <w:r w:rsidRPr="003D139A">
        <w:tab/>
        <w:t>If, in making a compensation order, the court is satisfied that the commission of the offence concerned contributed to damage to road infrastructure but that other factors not connected with the commission of the offence also contributed to the damage, the court must limit the amount of compensation payable under the order to the amount it assesses as being attributable to the defendant’s conduct.</w:t>
      </w:r>
    </w:p>
    <w:p w14:paraId="32875D64" w14:textId="77777777" w:rsidR="00DB6E47" w:rsidRPr="003D139A" w:rsidRDefault="00DB6E47" w:rsidP="00DB6E47">
      <w:pPr>
        <w:pStyle w:val="Amain"/>
      </w:pPr>
      <w:r w:rsidRPr="003D139A">
        <w:tab/>
        <w:t>(2)</w:t>
      </w:r>
      <w:r w:rsidRPr="003D139A">
        <w:tab/>
        <w:t>The amount of compensation payable under a compensation order can not exceed the monetary jurisdictional limit of the court in civil proceedings.</w:t>
      </w:r>
    </w:p>
    <w:p w14:paraId="0E16A11E" w14:textId="77777777" w:rsidR="00DB6E47" w:rsidRPr="003D139A" w:rsidRDefault="00DB6E47" w:rsidP="00DB6E47">
      <w:pPr>
        <w:pStyle w:val="Amain"/>
      </w:pPr>
      <w:r w:rsidRPr="003D139A">
        <w:tab/>
        <w:t>(3)</w:t>
      </w:r>
      <w:r w:rsidRPr="003D139A">
        <w:tab/>
        <w:t>The court may not include in a compensation order any amount for—</w:t>
      </w:r>
    </w:p>
    <w:p w14:paraId="152FC2EF" w14:textId="77777777" w:rsidR="00DB6E47" w:rsidRPr="00544ED5" w:rsidRDefault="00DB6E47" w:rsidP="00DB6E47">
      <w:pPr>
        <w:pStyle w:val="Apara"/>
      </w:pPr>
      <w:r w:rsidRPr="00544ED5">
        <w:tab/>
        <w:t>(a)</w:t>
      </w:r>
      <w:r w:rsidRPr="00544ED5">
        <w:tab/>
        <w:t>personal injury or death; or</w:t>
      </w:r>
    </w:p>
    <w:p w14:paraId="645605CA" w14:textId="77777777" w:rsidR="00DB6E47" w:rsidRPr="00544ED5" w:rsidRDefault="00DB6E47" w:rsidP="00DB6E47">
      <w:pPr>
        <w:pStyle w:val="Apara"/>
      </w:pPr>
      <w:r w:rsidRPr="00544ED5">
        <w:tab/>
        <w:t>(b)</w:t>
      </w:r>
      <w:r w:rsidRPr="00544ED5">
        <w:tab/>
        <w:t>loss of income (whether suffered by the road manager or another entity); or</w:t>
      </w:r>
    </w:p>
    <w:p w14:paraId="532914B6" w14:textId="77777777" w:rsidR="00DB6E47" w:rsidRPr="00544ED5" w:rsidRDefault="00DB6E47" w:rsidP="00DB6E47">
      <w:pPr>
        <w:pStyle w:val="Apara"/>
      </w:pPr>
      <w:r w:rsidRPr="00544ED5">
        <w:tab/>
        <w:t>(c)</w:t>
      </w:r>
      <w:r w:rsidRPr="00544ED5">
        <w:tab/>
        <w:t>damage to property that is not part of the road infrastructure concerned.</w:t>
      </w:r>
    </w:p>
    <w:p w14:paraId="6A0C6D65" w14:textId="77777777" w:rsidR="00DB6E47" w:rsidRPr="007E1F9A" w:rsidRDefault="00DB6E47" w:rsidP="00DB6E47">
      <w:pPr>
        <w:pStyle w:val="AH5Sec"/>
      </w:pPr>
      <w:bookmarkStart w:id="767" w:name="_Toc83626111"/>
      <w:r w:rsidRPr="005E03F7">
        <w:rPr>
          <w:rStyle w:val="CharSectNo"/>
        </w:rPr>
        <w:lastRenderedPageBreak/>
        <w:t>615</w:t>
      </w:r>
      <w:r w:rsidRPr="007E1F9A">
        <w:tab/>
      </w:r>
      <w:r w:rsidRPr="007E1F9A">
        <w:rPr>
          <w:rFonts w:ascii="Helvetica" w:hAnsi="Helvetica" w:cs="Helvetica"/>
          <w:iCs/>
        </w:rPr>
        <w:t>Costs</w:t>
      </w:r>
      <w:bookmarkEnd w:id="767"/>
    </w:p>
    <w:p w14:paraId="79CDAF61" w14:textId="77777777" w:rsidR="00DB6E47" w:rsidRPr="003D139A" w:rsidRDefault="00DB6E47" w:rsidP="00997DC5">
      <w:pPr>
        <w:pStyle w:val="Amainreturn"/>
        <w:keepLines/>
      </w:pPr>
      <w:r w:rsidRPr="003D139A">
        <w:t>The court has the same power to award costs in relation to proceedings for the making of a compensation order as it has in relation to civil proceedings, and the relevant laws applying to costs in relation to civil proceedings before the court apply with any necessary changes to costs in relation to proceedings for the making of a compensation order.</w:t>
      </w:r>
    </w:p>
    <w:p w14:paraId="62CE0775" w14:textId="77777777" w:rsidR="00DB6E47" w:rsidRPr="007E1F9A" w:rsidRDefault="00DB6E47" w:rsidP="00DB6E47">
      <w:pPr>
        <w:pStyle w:val="AH5Sec"/>
      </w:pPr>
      <w:bookmarkStart w:id="768" w:name="_Toc83626112"/>
      <w:r w:rsidRPr="005E03F7">
        <w:rPr>
          <w:rStyle w:val="CharSectNo"/>
        </w:rPr>
        <w:t>616</w:t>
      </w:r>
      <w:r w:rsidRPr="007E1F9A">
        <w:tab/>
      </w:r>
      <w:r w:rsidRPr="007E1F9A">
        <w:rPr>
          <w:rFonts w:ascii="Helvetica" w:hAnsi="Helvetica" w:cs="Helvetica"/>
          <w:iCs/>
        </w:rPr>
        <w:t>Enforcement of compensation order and costs</w:t>
      </w:r>
      <w:bookmarkEnd w:id="768"/>
    </w:p>
    <w:p w14:paraId="15011103" w14:textId="77777777" w:rsidR="00DB6E47" w:rsidRPr="003D139A" w:rsidRDefault="00DB6E47" w:rsidP="00520FCC">
      <w:pPr>
        <w:pStyle w:val="Amainreturn"/>
        <w:keepLines/>
      </w:pPr>
      <w:r w:rsidRPr="003D139A">
        <w:t>A compensation order, and any award of costs in relation to a proceeding for the making of a compensation order, are taken to be, and are enforceable as, a judgment of the court sitting in civil proceedings.</w:t>
      </w:r>
    </w:p>
    <w:p w14:paraId="64F65D14" w14:textId="77777777" w:rsidR="00DB6E47" w:rsidRPr="007E1F9A" w:rsidRDefault="00DB6E47" w:rsidP="00DB6E47">
      <w:pPr>
        <w:pStyle w:val="AH5Sec"/>
      </w:pPr>
      <w:bookmarkStart w:id="769" w:name="_Toc83626113"/>
      <w:r w:rsidRPr="005E03F7">
        <w:rPr>
          <w:rStyle w:val="CharSectNo"/>
        </w:rPr>
        <w:t>617</w:t>
      </w:r>
      <w:r w:rsidRPr="007E1F9A">
        <w:tab/>
      </w:r>
      <w:r w:rsidRPr="007E1F9A">
        <w:rPr>
          <w:rFonts w:ascii="Helvetica" w:hAnsi="Helvetica" w:cs="Helvetica"/>
          <w:iCs/>
        </w:rPr>
        <w:t>Relationship with orders or awards of other courts and tribunals</w:t>
      </w:r>
      <w:bookmarkEnd w:id="769"/>
    </w:p>
    <w:p w14:paraId="5A5DC2EC" w14:textId="77777777" w:rsidR="00DB6E47" w:rsidRPr="003D139A" w:rsidRDefault="00DB6E47" w:rsidP="00DB6E47">
      <w:pPr>
        <w:pStyle w:val="Amain"/>
      </w:pPr>
      <w:r w:rsidRPr="003D139A">
        <w:tab/>
        <w:t>(1)</w:t>
      </w:r>
      <w:r w:rsidRPr="003D139A">
        <w:tab/>
        <w:t>A compensation order may not be made in favour of a road manager for a road in relation to damage to road infrastructure if another court or tribunal has awarded compensatory damages or compensation in civil proceedings to the road manager in relation to the damage based on the same or similar facts.</w:t>
      </w:r>
    </w:p>
    <w:p w14:paraId="5A0BBED6" w14:textId="77777777" w:rsidR="00DB6E47" w:rsidRPr="003D139A" w:rsidRDefault="00DB6E47" w:rsidP="00DB6E47">
      <w:pPr>
        <w:pStyle w:val="Amain"/>
      </w:pPr>
      <w:r w:rsidRPr="003D139A">
        <w:tab/>
        <w:t>(2)</w:t>
      </w:r>
      <w:r w:rsidRPr="003D139A">
        <w:tab/>
        <w:t>If a court purports to make a compensation order contrary to subsection (1)—</w:t>
      </w:r>
    </w:p>
    <w:p w14:paraId="0FA4EF30" w14:textId="77777777" w:rsidR="00DB6E47" w:rsidRPr="00544ED5" w:rsidRDefault="00DB6E47" w:rsidP="00DB6E47">
      <w:pPr>
        <w:pStyle w:val="Apara"/>
      </w:pPr>
      <w:r w:rsidRPr="00544ED5">
        <w:tab/>
        <w:t>(a)</w:t>
      </w:r>
      <w:r w:rsidRPr="00544ED5">
        <w:tab/>
        <w:t>the order is void to the extent it covers the same matters as the matters covered by the other award; and</w:t>
      </w:r>
    </w:p>
    <w:p w14:paraId="4578B6F0" w14:textId="77777777" w:rsidR="00DB6E47" w:rsidRPr="00544ED5" w:rsidRDefault="00DB6E47" w:rsidP="00DB6E47">
      <w:pPr>
        <w:pStyle w:val="Apara"/>
      </w:pPr>
      <w:r w:rsidRPr="00544ED5">
        <w:tab/>
        <w:t>(b)</w:t>
      </w:r>
      <w:r w:rsidRPr="00544ED5">
        <w:tab/>
        <w:t>any payments made under the order to the extent to which it is void must be repaid by the road manager.</w:t>
      </w:r>
    </w:p>
    <w:p w14:paraId="430EFF5C" w14:textId="77777777" w:rsidR="00DB6E47" w:rsidRPr="003D139A" w:rsidRDefault="00DB6E47" w:rsidP="00997DC5">
      <w:pPr>
        <w:pStyle w:val="Amain"/>
        <w:keepLines/>
      </w:pPr>
      <w:r w:rsidRPr="003D139A">
        <w:lastRenderedPageBreak/>
        <w:tab/>
        <w:t>(3)</w:t>
      </w:r>
      <w:r w:rsidRPr="003D139A">
        <w:tab/>
        <w:t>The making of a compensation order in relation to damage to road infrastructure does not prevent another court or tribunal from later awarding damages or compensation in civil proceedings in relation to the damage based on the same or similar facts, but the court or tribunal must take the compensation order into account when making its award.</w:t>
      </w:r>
    </w:p>
    <w:p w14:paraId="31675506" w14:textId="77777777" w:rsidR="00DB6E47" w:rsidRPr="003D139A" w:rsidRDefault="00DB6E47" w:rsidP="00DB6E47">
      <w:pPr>
        <w:pStyle w:val="Amain"/>
      </w:pPr>
      <w:r w:rsidRPr="003D139A">
        <w:tab/>
        <w:t>(4)</w:t>
      </w:r>
      <w:r w:rsidRPr="003D139A">
        <w:tab/>
        <w:t>Nothing in this Division affects or limits any liability to pay compensation under another law, other than as provided by this section.</w:t>
      </w:r>
    </w:p>
    <w:p w14:paraId="64359088" w14:textId="77777777" w:rsidR="00DB6E47" w:rsidRPr="003D647F" w:rsidRDefault="00DB6E47" w:rsidP="00DB6E47">
      <w:pPr>
        <w:pStyle w:val="PageBreak"/>
      </w:pPr>
      <w:r w:rsidRPr="003D647F">
        <w:br w:type="page"/>
      </w:r>
    </w:p>
    <w:p w14:paraId="75F6AAF0" w14:textId="77777777" w:rsidR="00DB6E47" w:rsidRPr="005E03F7" w:rsidRDefault="00DB6E47" w:rsidP="00DB6E47">
      <w:pPr>
        <w:pStyle w:val="AH2Part"/>
      </w:pPr>
      <w:bookmarkStart w:id="770" w:name="_Toc83626114"/>
      <w:r w:rsidRPr="005E03F7">
        <w:rPr>
          <w:rStyle w:val="CharPartNo"/>
        </w:rPr>
        <w:lastRenderedPageBreak/>
        <w:t>Part 10.4</w:t>
      </w:r>
      <w:r w:rsidRPr="00A95F9A">
        <w:rPr>
          <w:rFonts w:ascii="Helvetica" w:hAnsi="Helvetica" w:cs="Helvetica"/>
          <w:iCs/>
          <w:szCs w:val="32"/>
        </w:rPr>
        <w:tab/>
      </w:r>
      <w:r w:rsidRPr="005E03F7">
        <w:rPr>
          <w:rStyle w:val="CharPartText"/>
          <w:rFonts w:ascii="Helvetica" w:hAnsi="Helvetica" w:cs="Helvetica"/>
          <w:iCs/>
          <w:szCs w:val="32"/>
        </w:rPr>
        <w:t>Provisions about liability</w:t>
      </w:r>
      <w:bookmarkEnd w:id="770"/>
    </w:p>
    <w:p w14:paraId="1308AADB" w14:textId="77777777" w:rsidR="007B571B" w:rsidRPr="005E03F7" w:rsidRDefault="007B571B" w:rsidP="007B571B">
      <w:pPr>
        <w:pStyle w:val="AH3Div"/>
      </w:pPr>
      <w:bookmarkStart w:id="771" w:name="_Toc83626115"/>
      <w:r w:rsidRPr="005E03F7">
        <w:rPr>
          <w:rStyle w:val="CharDivNo"/>
        </w:rPr>
        <w:t>Division 3</w:t>
      </w:r>
      <w:r>
        <w:rPr>
          <w:lang w:val="en"/>
        </w:rPr>
        <w:tab/>
      </w:r>
      <w:r w:rsidRPr="005E03F7">
        <w:rPr>
          <w:rStyle w:val="CharDivText"/>
          <w:lang w:val="en"/>
        </w:rPr>
        <w:t>Defences</w:t>
      </w:r>
      <w:bookmarkEnd w:id="771"/>
    </w:p>
    <w:p w14:paraId="4E8F5C2A" w14:textId="77777777" w:rsidR="00DB6E47" w:rsidRPr="007E1F9A" w:rsidRDefault="00DB6E47" w:rsidP="00DB6E47">
      <w:pPr>
        <w:pStyle w:val="AH5Sec"/>
      </w:pPr>
      <w:bookmarkStart w:id="772" w:name="_Toc83626116"/>
      <w:r w:rsidRPr="005E03F7">
        <w:rPr>
          <w:rStyle w:val="CharSectNo"/>
        </w:rPr>
        <w:t>626</w:t>
      </w:r>
      <w:r w:rsidRPr="007E1F9A">
        <w:tab/>
      </w:r>
      <w:r w:rsidRPr="007E1F9A">
        <w:rPr>
          <w:rFonts w:ascii="Helvetica" w:hAnsi="Helvetica" w:cs="Helvetica"/>
          <w:iCs/>
        </w:rPr>
        <w:t>Definition for Div 3</w:t>
      </w:r>
      <w:bookmarkEnd w:id="772"/>
    </w:p>
    <w:p w14:paraId="6CCF9178" w14:textId="77777777" w:rsidR="00DB6E47" w:rsidRPr="003D139A" w:rsidRDefault="00DB6E47" w:rsidP="00DB6E47">
      <w:pPr>
        <w:pStyle w:val="Amainreturn"/>
      </w:pPr>
      <w:r w:rsidRPr="003D139A">
        <w:t>In this Division—</w:t>
      </w:r>
    </w:p>
    <w:p w14:paraId="720C9D1B" w14:textId="77777777" w:rsidR="00DB6E47" w:rsidRPr="00041046" w:rsidRDefault="00DB6E47" w:rsidP="00DB6E47">
      <w:pPr>
        <w:pStyle w:val="aDef"/>
        <w:rPr>
          <w:bCs/>
        </w:rPr>
      </w:pPr>
      <w:r w:rsidRPr="00041046">
        <w:rPr>
          <w:rStyle w:val="charBoldItals"/>
        </w:rPr>
        <w:t>deficiency</w:t>
      </w:r>
      <w:r w:rsidRPr="00041046">
        <w:t>, of a vehicle, means—</w:t>
      </w:r>
    </w:p>
    <w:p w14:paraId="68F40007" w14:textId="77777777" w:rsidR="00DB6E47" w:rsidRPr="00AF0085" w:rsidRDefault="00DB6E47" w:rsidP="00DB6E47">
      <w:pPr>
        <w:pStyle w:val="aDefpara"/>
      </w:pPr>
      <w:r w:rsidRPr="00FF4454">
        <w:tab/>
      </w:r>
      <w:r w:rsidRPr="00F04D8E">
        <w:rPr>
          <w:rFonts w:cs="Times"/>
          <w:bCs/>
          <w:iCs/>
        </w:rPr>
        <w:t>(a)</w:t>
      </w:r>
      <w:r w:rsidRPr="00AF0085">
        <w:tab/>
        <w:t>a deficiency of the vehicle or a component of the vehicle, including, for example, the vehicle—</w:t>
      </w:r>
    </w:p>
    <w:p w14:paraId="73B20A0C" w14:textId="77777777" w:rsidR="00DB6E47" w:rsidRPr="006C3305" w:rsidRDefault="00DB6E47" w:rsidP="00DB6E47">
      <w:pPr>
        <w:pStyle w:val="aDefsubpara"/>
      </w:pPr>
      <w:r>
        <w:tab/>
      </w:r>
      <w:r w:rsidRPr="00F04D8E">
        <w:t>(i)</w:t>
      </w:r>
      <w:r w:rsidRPr="006C3305">
        <w:tab/>
        <w:t>contravening a heavy vehicle standard; or</w:t>
      </w:r>
    </w:p>
    <w:p w14:paraId="103851B8" w14:textId="77777777" w:rsidR="00DB6E47" w:rsidRPr="00AF0085" w:rsidRDefault="00DB6E47" w:rsidP="00AF0085">
      <w:pPr>
        <w:pStyle w:val="Asubpara"/>
      </w:pPr>
      <w:r w:rsidRPr="00AF0085">
        <w:tab/>
        <w:t>(ii)</w:t>
      </w:r>
      <w:r w:rsidRPr="00AF0085">
        <w:tab/>
        <w:t>being unsafe; or</w:t>
      </w:r>
    </w:p>
    <w:p w14:paraId="5BA3ADEC" w14:textId="77777777" w:rsidR="00DB6E47" w:rsidRPr="00AF0085" w:rsidRDefault="00DB6E47" w:rsidP="00DB6E47">
      <w:pPr>
        <w:pStyle w:val="aDefpara"/>
      </w:pPr>
      <w:r w:rsidRPr="00FF4454">
        <w:tab/>
      </w:r>
      <w:r w:rsidRPr="00F04D8E">
        <w:rPr>
          <w:rFonts w:cs="Times"/>
          <w:bCs/>
          <w:iCs/>
        </w:rPr>
        <w:t>(b)</w:t>
      </w:r>
      <w:r w:rsidRPr="00FF4454">
        <w:rPr>
          <w:rStyle w:val="charBoldItals"/>
        </w:rPr>
        <w:tab/>
      </w:r>
      <w:r w:rsidRPr="00AF0085">
        <w:t>a deficiency constituted by the absence of a particular thing required to be in, or displayed on, the vehicle, including, for example, a thing required to be in, or displayed on, the vehicle under—</w:t>
      </w:r>
    </w:p>
    <w:p w14:paraId="31542BC6" w14:textId="77777777" w:rsidR="00DB6E47" w:rsidRPr="006C3305" w:rsidRDefault="00DB6E47" w:rsidP="00DB6E47">
      <w:pPr>
        <w:pStyle w:val="aDefsubpara"/>
      </w:pPr>
      <w:r>
        <w:tab/>
      </w:r>
      <w:r w:rsidRPr="00F04D8E">
        <w:t>(i)</w:t>
      </w:r>
      <w:r w:rsidRPr="006C3305">
        <w:tab/>
        <w:t>a heavy vehicle standard; or</w:t>
      </w:r>
    </w:p>
    <w:p w14:paraId="05201A22" w14:textId="77777777" w:rsidR="00DB6E47" w:rsidRPr="00AF0085" w:rsidRDefault="00DB6E47" w:rsidP="00AF0085">
      <w:pPr>
        <w:pStyle w:val="aDefsubpara"/>
      </w:pPr>
      <w:r w:rsidRPr="00AF0085">
        <w:tab/>
        <w:t>(ii)</w:t>
      </w:r>
      <w:r w:rsidRPr="00AF0085">
        <w:tab/>
        <w:t>a condition of a heavy vehicle accreditation or a mass or dimension authority.</w:t>
      </w:r>
    </w:p>
    <w:p w14:paraId="3B973D9A" w14:textId="77777777" w:rsidR="00DB6E47" w:rsidRPr="007E1F9A" w:rsidRDefault="00DB6E47" w:rsidP="00DB6E47">
      <w:pPr>
        <w:pStyle w:val="AH5Sec"/>
      </w:pPr>
      <w:bookmarkStart w:id="773" w:name="_Toc83626117"/>
      <w:r w:rsidRPr="005E03F7">
        <w:rPr>
          <w:rStyle w:val="CharSectNo"/>
        </w:rPr>
        <w:t>627</w:t>
      </w:r>
      <w:r w:rsidRPr="007E1F9A">
        <w:tab/>
      </w:r>
      <w:r w:rsidRPr="007E1F9A">
        <w:rPr>
          <w:rFonts w:ascii="Helvetica" w:hAnsi="Helvetica" w:cs="Helvetica"/>
          <w:iCs/>
        </w:rPr>
        <w:t>Defence for owner or operator of vehicle if offence committed while vehicle used by unauthorised person</w:t>
      </w:r>
      <w:bookmarkEnd w:id="773"/>
    </w:p>
    <w:p w14:paraId="34232014" w14:textId="77777777" w:rsidR="00DB6E47" w:rsidRPr="003D139A" w:rsidRDefault="00DB6E47" w:rsidP="00E855B0">
      <w:pPr>
        <w:pStyle w:val="Amain"/>
        <w:keepNext/>
      </w:pPr>
      <w:r w:rsidRPr="003D139A">
        <w:tab/>
        <w:t>(1)</w:t>
      </w:r>
      <w:r w:rsidRPr="003D139A">
        <w:tab/>
        <w:t>This section applies in relation to an offence against this Law that may be committed by a person—</w:t>
      </w:r>
    </w:p>
    <w:p w14:paraId="42925EA8" w14:textId="77777777" w:rsidR="00DB6E47" w:rsidRPr="00544ED5" w:rsidRDefault="00DB6E47" w:rsidP="00DB6E47">
      <w:pPr>
        <w:pStyle w:val="Apara"/>
      </w:pPr>
      <w:r w:rsidRPr="00544ED5">
        <w:tab/>
        <w:t>(a)</w:t>
      </w:r>
      <w:r w:rsidRPr="00544ED5">
        <w:tab/>
        <w:t>in the person’s capacity as an owner or operator of a vehicle; and</w:t>
      </w:r>
    </w:p>
    <w:p w14:paraId="04462023" w14:textId="77777777" w:rsidR="00DB6E47" w:rsidRPr="00544ED5" w:rsidRDefault="00DB6E47" w:rsidP="00DB6E47">
      <w:pPr>
        <w:pStyle w:val="Apara"/>
      </w:pPr>
      <w:r w:rsidRPr="00544ED5">
        <w:tab/>
        <w:t>(b)</w:t>
      </w:r>
      <w:r w:rsidRPr="00544ED5">
        <w:tab/>
        <w:t>in relation to the use of the vehicle by someone else.</w:t>
      </w:r>
    </w:p>
    <w:p w14:paraId="114B8EAC" w14:textId="77777777" w:rsidR="00DB6E47" w:rsidRPr="003D139A" w:rsidRDefault="00DB6E47" w:rsidP="00170ABD">
      <w:pPr>
        <w:pStyle w:val="Amain"/>
        <w:keepNext/>
      </w:pPr>
      <w:r w:rsidRPr="003D139A">
        <w:lastRenderedPageBreak/>
        <w:tab/>
        <w:t>(2)</w:t>
      </w:r>
      <w:r w:rsidRPr="003D139A">
        <w:tab/>
        <w:t>Subject to subsection (3), in a proceeding for an offence mentioned in subsection (1), it is a defence for the person charged to prove that, at the relevant time, the vehicle was being used by—</w:t>
      </w:r>
    </w:p>
    <w:p w14:paraId="1AAD198E" w14:textId="77777777" w:rsidR="00DB6E47" w:rsidRPr="00544ED5" w:rsidRDefault="00DB6E47" w:rsidP="00DB6E47">
      <w:pPr>
        <w:pStyle w:val="Apara"/>
      </w:pPr>
      <w:r w:rsidRPr="00544ED5">
        <w:tab/>
        <w:t>(a)</w:t>
      </w:r>
      <w:r w:rsidRPr="00544ED5">
        <w:tab/>
        <w:t>a person not entitled (expressly, impliedly or otherwise) to use the vehicle, other than an employee or agent of the person; or</w:t>
      </w:r>
    </w:p>
    <w:p w14:paraId="7DBA117B" w14:textId="77777777" w:rsidR="00DB6E47" w:rsidRPr="00544ED5" w:rsidRDefault="00DB6E47" w:rsidP="00DB6E47">
      <w:pPr>
        <w:pStyle w:val="Apara"/>
      </w:pPr>
      <w:r w:rsidRPr="00544ED5">
        <w:tab/>
        <w:t>(b)</w:t>
      </w:r>
      <w:r w:rsidRPr="00544ED5">
        <w:tab/>
        <w:t>an employee of the person who was, at the relevant time, acting outside the scope of the employment; or</w:t>
      </w:r>
    </w:p>
    <w:p w14:paraId="663DA506" w14:textId="77777777" w:rsidR="00DB6E47" w:rsidRPr="00544ED5" w:rsidRDefault="00DB6E47" w:rsidP="00DB6E47">
      <w:pPr>
        <w:pStyle w:val="Apara"/>
      </w:pPr>
      <w:r w:rsidRPr="00544ED5">
        <w:tab/>
        <w:t>(c)</w:t>
      </w:r>
      <w:r w:rsidRPr="00544ED5">
        <w:tab/>
        <w:t>an agent of the person who was, at the relevant time, acting outside the scope of the agency.</w:t>
      </w:r>
    </w:p>
    <w:p w14:paraId="65F0D56F" w14:textId="77777777" w:rsidR="00DB6E47" w:rsidRPr="003D139A" w:rsidRDefault="00DB6E47" w:rsidP="00DB6E47">
      <w:pPr>
        <w:pStyle w:val="Amain"/>
      </w:pPr>
      <w:r w:rsidRPr="003D139A">
        <w:tab/>
        <w:t>(3)</w:t>
      </w:r>
      <w:r w:rsidRPr="003D139A">
        <w:tab/>
        <w:t>If the offence relates to a deficiency of the vehicl</w:t>
      </w:r>
      <w:r w:rsidR="00AF0085">
        <w:t xml:space="preserve">e, the defence under subsection </w:t>
      </w:r>
      <w:r w:rsidRPr="003D139A">
        <w:t>(2)</w:t>
      </w:r>
      <w:r w:rsidR="00AF0085">
        <w:t xml:space="preserve"> </w:t>
      </w:r>
      <w:r w:rsidRPr="003D139A">
        <w:t>is not available unless the person charged also proves that—</w:t>
      </w:r>
    </w:p>
    <w:p w14:paraId="6338DFA2" w14:textId="77777777" w:rsidR="00DB6E47" w:rsidRPr="00544ED5" w:rsidRDefault="00DB6E47" w:rsidP="00DB6E47">
      <w:pPr>
        <w:pStyle w:val="Apara"/>
      </w:pPr>
      <w:r w:rsidRPr="00544ED5">
        <w:tab/>
        <w:t>(a)</w:t>
      </w:r>
      <w:r w:rsidRPr="00544ED5">
        <w:tab/>
        <w:t>the vehicle had not, before it ceased to be under the person’s control, been driven on a road in contravention of this Law arising in connection with the deficiency; and</w:t>
      </w:r>
    </w:p>
    <w:p w14:paraId="17E841AA" w14:textId="77777777" w:rsidR="00DB6E47" w:rsidRPr="00544ED5" w:rsidRDefault="00DB6E47" w:rsidP="00DB6E47">
      <w:pPr>
        <w:pStyle w:val="Apara"/>
      </w:pPr>
      <w:r w:rsidRPr="00544ED5">
        <w:tab/>
        <w:t>(b)</w:t>
      </w:r>
      <w:r w:rsidRPr="00544ED5">
        <w:tab/>
        <w:t>one or more material changes, resulting in the deficiency, had been made after the vehicle had ceased to be under the person’s control.</w:t>
      </w:r>
    </w:p>
    <w:p w14:paraId="442BDB3E" w14:textId="77777777" w:rsidR="00DB6E47" w:rsidRPr="007E1F9A" w:rsidRDefault="00DB6E47" w:rsidP="00DB6E47">
      <w:pPr>
        <w:pStyle w:val="AH5Sec"/>
      </w:pPr>
      <w:bookmarkStart w:id="774" w:name="_Toc83626118"/>
      <w:r w:rsidRPr="005E03F7">
        <w:rPr>
          <w:rStyle w:val="CharSectNo"/>
        </w:rPr>
        <w:t>628</w:t>
      </w:r>
      <w:r w:rsidRPr="007E1F9A">
        <w:tab/>
      </w:r>
      <w:r w:rsidRPr="007E1F9A">
        <w:rPr>
          <w:rFonts w:ascii="Helvetica" w:hAnsi="Helvetica" w:cs="Helvetica"/>
          <w:iCs/>
        </w:rPr>
        <w:t>Defence for driver of vehicle subject to a deficiency</w:t>
      </w:r>
      <w:bookmarkEnd w:id="774"/>
    </w:p>
    <w:p w14:paraId="6186B41C" w14:textId="77777777" w:rsidR="00DB6E47" w:rsidRPr="003D139A" w:rsidRDefault="00DB6E47" w:rsidP="00DB6E47">
      <w:pPr>
        <w:pStyle w:val="Amain"/>
      </w:pPr>
      <w:r w:rsidRPr="003D139A">
        <w:tab/>
        <w:t>(1)</w:t>
      </w:r>
      <w:r w:rsidRPr="003D139A">
        <w:tab/>
        <w:t>This section applies to an offence against this Law relating to a deficiency of a heavy vehicle.</w:t>
      </w:r>
    </w:p>
    <w:p w14:paraId="07B8872B" w14:textId="77777777" w:rsidR="00DB6E47" w:rsidRPr="003D139A" w:rsidRDefault="00DB6E47" w:rsidP="00DB6E47">
      <w:pPr>
        <w:pStyle w:val="Amain"/>
      </w:pPr>
      <w:r w:rsidRPr="003D139A">
        <w:tab/>
        <w:t>(2)</w:t>
      </w:r>
      <w:r w:rsidRPr="003D139A">
        <w:tab/>
        <w:t xml:space="preserve">In a proceeding for an </w:t>
      </w:r>
      <w:r w:rsidR="004E3F26">
        <w:t xml:space="preserve">offence mentioned in subsection </w:t>
      </w:r>
      <w:r w:rsidRPr="003D139A">
        <w:t>(1)</w:t>
      </w:r>
      <w:r w:rsidR="004E3F26">
        <w:t xml:space="preserve"> </w:t>
      </w:r>
      <w:r w:rsidRPr="003D139A">
        <w:t>alleged to be committed by the driver of a heavy vehicle, it is a defence for the driver to prove that the driver—</w:t>
      </w:r>
    </w:p>
    <w:p w14:paraId="4D262CCD" w14:textId="77777777" w:rsidR="00DB6E47" w:rsidRPr="00544ED5" w:rsidRDefault="00DB6E47" w:rsidP="00DB6E47">
      <w:pPr>
        <w:pStyle w:val="Apara"/>
      </w:pPr>
      <w:r w:rsidRPr="00544ED5">
        <w:tab/>
        <w:t>(a)</w:t>
      </w:r>
      <w:r w:rsidRPr="00544ED5">
        <w:tab/>
        <w:t>did not cause the deficiency and had no responsibility for or control over the maintenance of the vehicle or its equipment at any relevant time; and</w:t>
      </w:r>
    </w:p>
    <w:p w14:paraId="4C918672" w14:textId="77777777" w:rsidR="00DB6E47" w:rsidRPr="00544ED5" w:rsidRDefault="00DB6E47" w:rsidP="00DB6E47">
      <w:pPr>
        <w:pStyle w:val="Apara"/>
      </w:pPr>
      <w:r w:rsidRPr="00544ED5">
        <w:tab/>
        <w:t>(b)</w:t>
      </w:r>
      <w:r w:rsidRPr="00544ED5">
        <w:tab/>
        <w:t>did not know and could not reasonably be expected to have known of the deficiency; and</w:t>
      </w:r>
    </w:p>
    <w:p w14:paraId="05DF9251" w14:textId="77777777" w:rsidR="00DB6E47" w:rsidRPr="00544ED5" w:rsidRDefault="00DB6E47" w:rsidP="00DB6E47">
      <w:pPr>
        <w:pStyle w:val="Apara"/>
      </w:pPr>
      <w:r w:rsidRPr="00544ED5">
        <w:lastRenderedPageBreak/>
        <w:tab/>
        <w:t>(c)</w:t>
      </w:r>
      <w:r w:rsidRPr="00544ED5">
        <w:tab/>
        <w:t>could not reasonably be expected to have sought to ascertain whether there was or was likely to be a deficiency of the kind to which the offence relates.</w:t>
      </w:r>
    </w:p>
    <w:p w14:paraId="6CFCEB2A" w14:textId="77777777" w:rsidR="00DB6E47" w:rsidRPr="007E1F9A" w:rsidRDefault="00DB6E47" w:rsidP="00DB6E47">
      <w:pPr>
        <w:pStyle w:val="AH5Sec"/>
      </w:pPr>
      <w:bookmarkStart w:id="775" w:name="_Toc83626119"/>
      <w:r w:rsidRPr="005E03F7">
        <w:rPr>
          <w:rStyle w:val="CharSectNo"/>
        </w:rPr>
        <w:t>629</w:t>
      </w:r>
      <w:r w:rsidRPr="007E1F9A">
        <w:tab/>
      </w:r>
      <w:r w:rsidRPr="007E1F9A">
        <w:rPr>
          <w:rFonts w:ascii="Helvetica" w:hAnsi="Helvetica" w:cs="Helvetica"/>
          <w:iCs/>
        </w:rPr>
        <w:t>Defence of compliance with direction</w:t>
      </w:r>
      <w:bookmarkEnd w:id="775"/>
    </w:p>
    <w:p w14:paraId="3DD69DDF" w14:textId="77777777" w:rsidR="00DB6E47" w:rsidRPr="003D139A" w:rsidRDefault="00DB6E47" w:rsidP="00DB6E47">
      <w:pPr>
        <w:pStyle w:val="Amainreturn"/>
      </w:pPr>
      <w:r w:rsidRPr="003D139A">
        <w:t>In a proceeding for an offence against this Law, it is a defence for the person charged to prove that the conduct constituting the offence was done in compliance with a direction given—</w:t>
      </w:r>
    </w:p>
    <w:p w14:paraId="6D735857" w14:textId="77777777" w:rsidR="00DB6E47" w:rsidRPr="00544ED5" w:rsidRDefault="00DB6E47" w:rsidP="00DB6E47">
      <w:pPr>
        <w:pStyle w:val="Apara"/>
      </w:pPr>
      <w:r w:rsidRPr="00544ED5">
        <w:tab/>
        <w:t>(a)</w:t>
      </w:r>
      <w:r w:rsidRPr="00544ED5">
        <w:tab/>
        <w:t>by an authorised officer; or</w:t>
      </w:r>
    </w:p>
    <w:p w14:paraId="7D10E3C2" w14:textId="77777777" w:rsidR="00DB6E47" w:rsidRPr="00544ED5" w:rsidRDefault="00DB6E47" w:rsidP="00DB6E47">
      <w:pPr>
        <w:pStyle w:val="Apara"/>
      </w:pPr>
      <w:r w:rsidRPr="00544ED5">
        <w:tab/>
        <w:t>(b)</w:t>
      </w:r>
      <w:r w:rsidRPr="00544ED5">
        <w:tab/>
        <w:t>by the Regulator (including a delegate of the Regulator); or</w:t>
      </w:r>
    </w:p>
    <w:p w14:paraId="0BFE87E2" w14:textId="77777777" w:rsidR="00DB6E47" w:rsidRPr="00544ED5" w:rsidRDefault="00DB6E47" w:rsidP="00DB6E47">
      <w:pPr>
        <w:pStyle w:val="Apara"/>
      </w:pPr>
      <w:r w:rsidRPr="00544ED5">
        <w:tab/>
        <w:t>(c)</w:t>
      </w:r>
      <w:r w:rsidRPr="00544ED5">
        <w:tab/>
        <w:t>by a person under a law of a State or Territory.</w:t>
      </w:r>
    </w:p>
    <w:p w14:paraId="3EAFAD10" w14:textId="77777777" w:rsidR="00DB6E47" w:rsidRPr="007E1F9A" w:rsidRDefault="00DB6E47" w:rsidP="00DB6E47">
      <w:pPr>
        <w:pStyle w:val="AH5Sec"/>
      </w:pPr>
      <w:bookmarkStart w:id="776" w:name="_Toc83626120"/>
      <w:r w:rsidRPr="005E03F7">
        <w:rPr>
          <w:rStyle w:val="CharSectNo"/>
        </w:rPr>
        <w:t>630</w:t>
      </w:r>
      <w:r w:rsidRPr="007E1F9A">
        <w:tab/>
      </w:r>
      <w:r w:rsidRPr="007E1F9A">
        <w:rPr>
          <w:rFonts w:ascii="Helvetica" w:hAnsi="Helvetica" w:cs="Helvetica"/>
          <w:iCs/>
        </w:rPr>
        <w:t>Sudden or extraordinary emergency</w:t>
      </w:r>
      <w:bookmarkEnd w:id="776"/>
    </w:p>
    <w:p w14:paraId="748F0EFC" w14:textId="77777777" w:rsidR="00DB6E47" w:rsidRPr="003D139A" w:rsidRDefault="00DB6E47" w:rsidP="00DB6E47">
      <w:pPr>
        <w:pStyle w:val="Amain"/>
      </w:pPr>
      <w:r w:rsidRPr="003D139A">
        <w:tab/>
        <w:t>(1)</w:t>
      </w:r>
      <w:r w:rsidRPr="003D139A">
        <w:tab/>
        <w:t>In a proceeding for an offence against this Law, it is a defence for the person charged to prove that the conduct constituting the offence occurred in response to circumstances of sudden or extraordinary emergency.</w:t>
      </w:r>
    </w:p>
    <w:p w14:paraId="2F3EC106" w14:textId="77777777" w:rsidR="00DB6E47" w:rsidRPr="003D139A" w:rsidRDefault="00DB6E47" w:rsidP="00520FCC">
      <w:pPr>
        <w:pStyle w:val="Amain"/>
        <w:keepNext/>
      </w:pPr>
      <w:r w:rsidRPr="003D139A">
        <w:tab/>
        <w:t>(2)</w:t>
      </w:r>
      <w:r w:rsidRPr="003D139A">
        <w:tab/>
        <w:t>This section applies if and only if the person carrying out the conduct reasonably believed that—</w:t>
      </w:r>
    </w:p>
    <w:p w14:paraId="157FD72D" w14:textId="77777777" w:rsidR="00DB6E47" w:rsidRPr="00544ED5" w:rsidRDefault="00DB6E47" w:rsidP="00DB6E47">
      <w:pPr>
        <w:pStyle w:val="Apara"/>
      </w:pPr>
      <w:r w:rsidRPr="00544ED5">
        <w:tab/>
        <w:t>(a)</w:t>
      </w:r>
      <w:r w:rsidRPr="00544ED5">
        <w:tab/>
        <w:t>circumstances of sudden or extraordinary emergency existed; and</w:t>
      </w:r>
    </w:p>
    <w:p w14:paraId="646EA493" w14:textId="77777777" w:rsidR="00DB6E47" w:rsidRPr="00544ED5" w:rsidRDefault="00DB6E47" w:rsidP="00DB6E47">
      <w:pPr>
        <w:pStyle w:val="Apara"/>
      </w:pPr>
      <w:r w:rsidRPr="00544ED5">
        <w:tab/>
        <w:t>(b)</w:t>
      </w:r>
      <w:r w:rsidRPr="00544ED5">
        <w:tab/>
        <w:t>the conduct was the only reasonable way to deal with the emergency; and</w:t>
      </w:r>
    </w:p>
    <w:p w14:paraId="03AC8355" w14:textId="77777777" w:rsidR="00DB6E47" w:rsidRPr="00544ED5" w:rsidRDefault="00DB6E47" w:rsidP="00DB6E47">
      <w:pPr>
        <w:pStyle w:val="Apara"/>
      </w:pPr>
      <w:r w:rsidRPr="00544ED5">
        <w:tab/>
        <w:t>(c)</w:t>
      </w:r>
      <w:r w:rsidRPr="00544ED5">
        <w:tab/>
        <w:t>the conduct was a reasonable response to the emergency.</w:t>
      </w:r>
    </w:p>
    <w:p w14:paraId="0C3704E3" w14:textId="77777777" w:rsidR="00DB6E47" w:rsidRPr="007E1F9A" w:rsidRDefault="00DB6E47" w:rsidP="00DB6E47">
      <w:pPr>
        <w:pStyle w:val="AH5Sec"/>
      </w:pPr>
      <w:bookmarkStart w:id="777" w:name="_Toc83626121"/>
      <w:r w:rsidRPr="005E03F7">
        <w:rPr>
          <w:rStyle w:val="CharSectNo"/>
        </w:rPr>
        <w:t>631</w:t>
      </w:r>
      <w:r w:rsidRPr="007E1F9A">
        <w:tab/>
      </w:r>
      <w:r w:rsidRPr="007E1F9A">
        <w:rPr>
          <w:rFonts w:ascii="Helvetica" w:hAnsi="Helvetica" w:cs="Helvetica"/>
          <w:iCs/>
        </w:rPr>
        <w:t>Lawful authority</w:t>
      </w:r>
      <w:bookmarkEnd w:id="777"/>
    </w:p>
    <w:p w14:paraId="35C32400" w14:textId="77777777" w:rsidR="00DB6E47" w:rsidRPr="003D139A" w:rsidRDefault="00DB6E47" w:rsidP="00DB6E47">
      <w:pPr>
        <w:pStyle w:val="Amainreturn"/>
      </w:pPr>
      <w:r w:rsidRPr="003D139A">
        <w:t>In a proceeding for an offence against this Law, it is a defence for the person charged to prove that the conduct constituting the offence is authorised or excused by or under a law.</w:t>
      </w:r>
    </w:p>
    <w:p w14:paraId="1A48DBEF" w14:textId="77777777" w:rsidR="00DB6E47" w:rsidRPr="005E03F7" w:rsidRDefault="00DB6E47" w:rsidP="00DB6E47">
      <w:pPr>
        <w:pStyle w:val="AH3Div"/>
      </w:pPr>
      <w:bookmarkStart w:id="778" w:name="_Toc83626122"/>
      <w:r w:rsidRPr="005E03F7">
        <w:rPr>
          <w:rStyle w:val="CharDivNo"/>
        </w:rPr>
        <w:lastRenderedPageBreak/>
        <w:t xml:space="preserve">Division 4 </w:t>
      </w:r>
      <w:r w:rsidRPr="00A95F9A">
        <w:rPr>
          <w:rFonts w:ascii="Helvetica" w:hAnsi="Helvetica" w:cs="Helvetica"/>
          <w:iCs/>
          <w:szCs w:val="28"/>
        </w:rPr>
        <w:tab/>
      </w:r>
      <w:r w:rsidRPr="005E03F7">
        <w:rPr>
          <w:rStyle w:val="CharDivText"/>
          <w:rFonts w:ascii="Helvetica" w:hAnsi="Helvetica" w:cs="Helvetica"/>
          <w:iCs/>
          <w:szCs w:val="28"/>
        </w:rPr>
        <w:t>Other provisions about liability</w:t>
      </w:r>
      <w:bookmarkEnd w:id="778"/>
    </w:p>
    <w:p w14:paraId="782A21AF" w14:textId="77777777" w:rsidR="00DB6E47" w:rsidRPr="007E1F9A" w:rsidRDefault="00DB6E47" w:rsidP="00DB6E47">
      <w:pPr>
        <w:pStyle w:val="AH5Sec"/>
      </w:pPr>
      <w:bookmarkStart w:id="779" w:name="_Toc83626123"/>
      <w:r w:rsidRPr="005E03F7">
        <w:rPr>
          <w:rStyle w:val="CharSectNo"/>
        </w:rPr>
        <w:t>632</w:t>
      </w:r>
      <w:r w:rsidRPr="007E1F9A">
        <w:tab/>
      </w:r>
      <w:r w:rsidRPr="007E1F9A">
        <w:rPr>
          <w:rFonts w:ascii="Helvetica" w:hAnsi="Helvetica" w:cs="Helvetica"/>
          <w:iCs/>
        </w:rPr>
        <w:t>Deciding whether person ought reasonably to have known something</w:t>
      </w:r>
      <w:bookmarkEnd w:id="779"/>
    </w:p>
    <w:p w14:paraId="035B29D1" w14:textId="77777777" w:rsidR="00DB6E47" w:rsidRPr="003D139A" w:rsidRDefault="00DB6E47" w:rsidP="00DB6E47">
      <w:pPr>
        <w:pStyle w:val="Amain"/>
      </w:pPr>
      <w:r w:rsidRPr="003D139A">
        <w:tab/>
        <w:t>(1)</w:t>
      </w:r>
      <w:r w:rsidRPr="003D139A">
        <w:tab/>
        <w:t>This section applies in relation to a proceeding for an offence against this Law if it is relevant to prove that someone ought reasonably to have known something.</w:t>
      </w:r>
    </w:p>
    <w:p w14:paraId="5B5FF87D" w14:textId="77777777" w:rsidR="00DB6E47" w:rsidRPr="003D139A" w:rsidRDefault="00DB6E47" w:rsidP="00DB6E47">
      <w:pPr>
        <w:pStyle w:val="Amain"/>
      </w:pPr>
      <w:r w:rsidRPr="003D139A">
        <w:tab/>
        <w:t>(2)</w:t>
      </w:r>
      <w:r w:rsidRPr="003D139A">
        <w:tab/>
        <w:t>A court may consider the following when deciding whether the person ought reasonably to have known the thing—</w:t>
      </w:r>
    </w:p>
    <w:p w14:paraId="0BCCAAC8" w14:textId="77777777" w:rsidR="00DB6E47" w:rsidRPr="00544ED5" w:rsidRDefault="00DB6E47" w:rsidP="00DB6E47">
      <w:pPr>
        <w:pStyle w:val="Apara"/>
      </w:pPr>
      <w:r w:rsidRPr="00544ED5">
        <w:tab/>
        <w:t>(a)</w:t>
      </w:r>
      <w:r w:rsidRPr="00544ED5">
        <w:tab/>
        <w:t>the person’s abilities, experience, expertise, knowledge, qualifications and training;</w:t>
      </w:r>
    </w:p>
    <w:p w14:paraId="45C06631" w14:textId="77777777" w:rsidR="00DB6E47" w:rsidRPr="00544ED5" w:rsidRDefault="00DB6E47" w:rsidP="00DB6E47">
      <w:pPr>
        <w:pStyle w:val="Apara"/>
      </w:pPr>
      <w:r w:rsidRPr="00544ED5">
        <w:tab/>
        <w:t>(b)</w:t>
      </w:r>
      <w:r w:rsidRPr="00544ED5">
        <w:tab/>
        <w:t>the circumstances of the offence;</w:t>
      </w:r>
    </w:p>
    <w:p w14:paraId="011D2DBC" w14:textId="77777777" w:rsidR="00DB6E47" w:rsidRPr="00544ED5" w:rsidRDefault="00DB6E47" w:rsidP="00DB6E47">
      <w:pPr>
        <w:pStyle w:val="Apara"/>
      </w:pPr>
      <w:r w:rsidRPr="00544ED5">
        <w:tab/>
        <w:t>(c)</w:t>
      </w:r>
      <w:r w:rsidRPr="00544ED5">
        <w:tab/>
        <w:t>any other relevant matter prescribed by the national regulations for the purposes of this section.</w:t>
      </w:r>
    </w:p>
    <w:p w14:paraId="57704728" w14:textId="77777777" w:rsidR="007B571B" w:rsidRPr="007B571B" w:rsidRDefault="007B571B" w:rsidP="007B571B">
      <w:pPr>
        <w:pStyle w:val="AH5Sec"/>
        <w:rPr>
          <w:lang w:val="en" w:eastAsia="en-AU"/>
        </w:rPr>
      </w:pPr>
      <w:bookmarkStart w:id="780" w:name="_Toc83626124"/>
      <w:r w:rsidRPr="005E03F7">
        <w:rPr>
          <w:rStyle w:val="CharSectNo"/>
        </w:rPr>
        <w:t>632A</w:t>
      </w:r>
      <w:r w:rsidR="00AC2DCF">
        <w:tab/>
      </w:r>
      <w:r w:rsidRPr="007B571B">
        <w:rPr>
          <w:sz w:val="2"/>
          <w:szCs w:val="2"/>
          <w:lang w:val="en" w:eastAsia="en-AU"/>
        </w:rPr>
        <w:t xml:space="preserve"> </w:t>
      </w:r>
      <w:r w:rsidRPr="007B571B">
        <w:rPr>
          <w:lang w:val="en" w:eastAsia="en-AU"/>
        </w:rPr>
        <w:t>Using code of practice in proceeding</w:t>
      </w:r>
      <w:bookmarkEnd w:id="780"/>
    </w:p>
    <w:p w14:paraId="0966BCC7" w14:textId="77777777" w:rsidR="007B571B" w:rsidRPr="007B571B" w:rsidRDefault="007B571B" w:rsidP="007B571B">
      <w:pPr>
        <w:pStyle w:val="Amain"/>
        <w:rPr>
          <w:lang w:val="en" w:eastAsia="en-AU"/>
        </w:rPr>
      </w:pPr>
      <w:r>
        <w:rPr>
          <w:lang w:val="en" w:eastAsia="en-AU"/>
        </w:rPr>
        <w:tab/>
      </w:r>
      <w:r w:rsidRPr="007B571B">
        <w:rPr>
          <w:lang w:val="en" w:eastAsia="en-AU"/>
        </w:rPr>
        <w:t>(1)</w:t>
      </w:r>
      <w:r>
        <w:rPr>
          <w:lang w:val="en" w:eastAsia="en-AU"/>
        </w:rPr>
        <w:tab/>
      </w:r>
      <w:r w:rsidRPr="007B571B">
        <w:rPr>
          <w:lang w:val="en" w:eastAsia="en-AU"/>
        </w:rPr>
        <w:t>This section applies in a proceeding for an offence against this Law.</w:t>
      </w:r>
    </w:p>
    <w:p w14:paraId="4564C4CE" w14:textId="77777777" w:rsidR="007B571B" w:rsidRPr="007B571B" w:rsidRDefault="007B571B" w:rsidP="007B571B">
      <w:pPr>
        <w:pStyle w:val="Amain"/>
        <w:rPr>
          <w:lang w:val="en" w:eastAsia="en-AU"/>
        </w:rPr>
      </w:pPr>
      <w:r>
        <w:rPr>
          <w:lang w:val="en" w:eastAsia="en-AU"/>
        </w:rPr>
        <w:tab/>
      </w:r>
      <w:r w:rsidRPr="007B571B">
        <w:rPr>
          <w:lang w:val="en" w:eastAsia="en-AU"/>
        </w:rPr>
        <w:t>(2)</w:t>
      </w:r>
      <w:r>
        <w:rPr>
          <w:lang w:val="en" w:eastAsia="en-AU"/>
        </w:rPr>
        <w:tab/>
      </w:r>
      <w:r w:rsidRPr="007B571B">
        <w:rPr>
          <w:lang w:val="en" w:eastAsia="en-AU"/>
        </w:rPr>
        <w:t>A registered industry code of practice is admissible as evidence of whether or not a duty or obligation under this Law has been complied with.</w:t>
      </w:r>
    </w:p>
    <w:p w14:paraId="45DEFA9D" w14:textId="77777777" w:rsidR="007B571B" w:rsidRPr="007B571B" w:rsidRDefault="007B571B" w:rsidP="007B571B">
      <w:pPr>
        <w:pStyle w:val="Amain"/>
        <w:rPr>
          <w:lang w:val="en" w:eastAsia="en-AU"/>
        </w:rPr>
      </w:pPr>
      <w:r>
        <w:rPr>
          <w:lang w:val="en" w:eastAsia="en-AU"/>
        </w:rPr>
        <w:tab/>
      </w:r>
      <w:r w:rsidRPr="007B571B">
        <w:rPr>
          <w:lang w:val="en" w:eastAsia="en-AU"/>
        </w:rPr>
        <w:t>(3)</w:t>
      </w:r>
      <w:r>
        <w:rPr>
          <w:lang w:val="en" w:eastAsia="en-AU"/>
        </w:rPr>
        <w:tab/>
      </w:r>
      <w:r w:rsidRPr="007B571B">
        <w:rPr>
          <w:lang w:val="en" w:eastAsia="en-AU"/>
        </w:rPr>
        <w:t>The court may—</w:t>
      </w:r>
    </w:p>
    <w:p w14:paraId="16412278" w14:textId="77777777" w:rsidR="007B571B" w:rsidRPr="007B571B" w:rsidRDefault="007B571B" w:rsidP="007B571B">
      <w:pPr>
        <w:pStyle w:val="Apara"/>
        <w:rPr>
          <w:lang w:val="en" w:eastAsia="en-AU"/>
        </w:rPr>
      </w:pPr>
      <w:r>
        <w:rPr>
          <w:lang w:val="en" w:eastAsia="en-AU"/>
        </w:rPr>
        <w:tab/>
      </w:r>
      <w:r w:rsidRPr="007B571B">
        <w:rPr>
          <w:lang w:val="en" w:eastAsia="en-AU"/>
        </w:rPr>
        <w:t>(a)</w:t>
      </w:r>
      <w:r>
        <w:rPr>
          <w:lang w:val="en" w:eastAsia="en-AU"/>
        </w:rPr>
        <w:tab/>
      </w:r>
      <w:r w:rsidRPr="007B571B">
        <w:rPr>
          <w:lang w:val="en" w:eastAsia="en-AU"/>
        </w:rPr>
        <w:t>have regard to the code as evidence of what is known about a hazard or risk, risk assessment, or risk control, to which the code relates; and</w:t>
      </w:r>
    </w:p>
    <w:p w14:paraId="5BD4095E" w14:textId="77777777" w:rsidR="007B571B" w:rsidRPr="007B571B" w:rsidRDefault="007B571B" w:rsidP="007B571B">
      <w:pPr>
        <w:pStyle w:val="Apara"/>
        <w:rPr>
          <w:lang w:val="en" w:eastAsia="en-AU"/>
        </w:rPr>
      </w:pPr>
      <w:r>
        <w:rPr>
          <w:lang w:val="en" w:eastAsia="en-AU"/>
        </w:rPr>
        <w:tab/>
      </w:r>
      <w:r w:rsidRPr="007B571B">
        <w:rPr>
          <w:lang w:val="en" w:eastAsia="en-AU"/>
        </w:rPr>
        <w:t>(b)</w:t>
      </w:r>
      <w:r>
        <w:rPr>
          <w:lang w:val="en" w:eastAsia="en-AU"/>
        </w:rPr>
        <w:tab/>
      </w:r>
      <w:r w:rsidRPr="007B571B">
        <w:rPr>
          <w:lang w:val="en" w:eastAsia="en-AU"/>
        </w:rPr>
        <w:t>rely on the code in determining what is reasonably practicable in the circumstances to which the code relates.</w:t>
      </w:r>
    </w:p>
    <w:p w14:paraId="707848B1" w14:textId="77777777" w:rsidR="007B571B" w:rsidRPr="007B571B" w:rsidRDefault="007B571B" w:rsidP="007B571B">
      <w:pPr>
        <w:pStyle w:val="Amain"/>
        <w:rPr>
          <w:lang w:val="en" w:eastAsia="en-AU"/>
        </w:rPr>
      </w:pPr>
      <w:r>
        <w:rPr>
          <w:lang w:val="en" w:eastAsia="en-AU"/>
        </w:rPr>
        <w:tab/>
      </w:r>
      <w:r w:rsidRPr="007B571B">
        <w:rPr>
          <w:lang w:val="en" w:eastAsia="en-AU"/>
        </w:rPr>
        <w:t>(4)</w:t>
      </w:r>
      <w:r>
        <w:rPr>
          <w:lang w:val="en" w:eastAsia="en-AU"/>
        </w:rPr>
        <w:tab/>
      </w:r>
      <w:r w:rsidRPr="007B571B">
        <w:rPr>
          <w:lang w:val="en" w:eastAsia="en-AU"/>
        </w:rPr>
        <w:t>Nothing in this section prevents a person from introducing evidence of complying with this Law in a way that differs from the code but that provides a standard of safety or protection equivalent to or higher than the standard required in the code.</w:t>
      </w:r>
    </w:p>
    <w:p w14:paraId="51899D92" w14:textId="77777777" w:rsidR="007B571B" w:rsidRPr="007B571B" w:rsidRDefault="007B571B" w:rsidP="007B571B">
      <w:pPr>
        <w:pStyle w:val="Amain"/>
        <w:rPr>
          <w:lang w:val="en" w:eastAsia="en-AU"/>
        </w:rPr>
      </w:pPr>
      <w:r>
        <w:rPr>
          <w:lang w:val="en" w:eastAsia="en-AU"/>
        </w:rPr>
        <w:lastRenderedPageBreak/>
        <w:tab/>
      </w:r>
      <w:r w:rsidRPr="007B571B">
        <w:rPr>
          <w:lang w:val="en" w:eastAsia="en-AU"/>
        </w:rPr>
        <w:t>(5)</w:t>
      </w:r>
      <w:r>
        <w:rPr>
          <w:lang w:val="en" w:eastAsia="en-AU"/>
        </w:rPr>
        <w:tab/>
      </w:r>
      <w:r w:rsidRPr="007B571B">
        <w:rPr>
          <w:lang w:val="en" w:eastAsia="en-AU"/>
        </w:rPr>
        <w:t>However, the person may introduce the evidence mentioned in subsection (4) only if the person has given written notice of the person’s intention to do so to the complainant at least 28 days before the day fixed for the hearing of the offence.</w:t>
      </w:r>
    </w:p>
    <w:p w14:paraId="276EB9D7" w14:textId="77777777" w:rsidR="00DB6E47" w:rsidRPr="007E1F9A" w:rsidRDefault="00DB6E47" w:rsidP="00DB6E47">
      <w:pPr>
        <w:pStyle w:val="AH5Sec"/>
      </w:pPr>
      <w:bookmarkStart w:id="781" w:name="_Toc83626125"/>
      <w:r w:rsidRPr="005E03F7">
        <w:rPr>
          <w:rStyle w:val="CharSectNo"/>
        </w:rPr>
        <w:t>633</w:t>
      </w:r>
      <w:r w:rsidRPr="007E1F9A">
        <w:tab/>
      </w:r>
      <w:r w:rsidRPr="007E1F9A">
        <w:rPr>
          <w:rFonts w:ascii="Helvetica" w:hAnsi="Helvetica" w:cs="Helvetica"/>
          <w:iCs/>
        </w:rPr>
        <w:t>Multiple offenders</w:t>
      </w:r>
      <w:bookmarkEnd w:id="781"/>
    </w:p>
    <w:p w14:paraId="5DDC31BD" w14:textId="77777777" w:rsidR="00DB6E47" w:rsidRPr="003D139A" w:rsidRDefault="00DB6E47" w:rsidP="00DB6E47">
      <w:pPr>
        <w:pStyle w:val="Amain"/>
      </w:pPr>
      <w:r w:rsidRPr="003D139A">
        <w:tab/>
        <w:t>(1)</w:t>
      </w:r>
      <w:r w:rsidRPr="003D139A">
        <w:tab/>
        <w:t>This section applies if a provision of this Law provides that, for a particular act or omission or set of circumstances, each of 2 or more persons is liable for an offence against a provision of this Law.</w:t>
      </w:r>
    </w:p>
    <w:p w14:paraId="636D082F" w14:textId="77777777" w:rsidR="00DB6E47" w:rsidRPr="003D139A" w:rsidRDefault="00DB6E47" w:rsidP="00DB6E47">
      <w:pPr>
        <w:pStyle w:val="Amain"/>
      </w:pPr>
      <w:r w:rsidRPr="003D139A">
        <w:tab/>
        <w:t>(2)</w:t>
      </w:r>
      <w:r w:rsidRPr="003D139A">
        <w:tab/>
        <w:t>Proceedings may be taken against all or any of the persons in relation to the act, omission or circumstances.</w:t>
      </w:r>
    </w:p>
    <w:p w14:paraId="68DFDBD2" w14:textId="77777777" w:rsidR="00DB6E47" w:rsidRPr="003D139A" w:rsidRDefault="00DB6E47" w:rsidP="00DB6E47">
      <w:pPr>
        <w:pStyle w:val="Amain"/>
      </w:pPr>
      <w:r w:rsidRPr="003D139A">
        <w:tab/>
        <w:t>(3)</w:t>
      </w:r>
      <w:r w:rsidRPr="003D139A">
        <w:tab/>
        <w:t>Proceedings may be taken against any of the persons in relation to the act, omission or circumstances—</w:t>
      </w:r>
    </w:p>
    <w:p w14:paraId="6F0104F1" w14:textId="77777777" w:rsidR="00DB6E47" w:rsidRPr="00544ED5" w:rsidRDefault="00DB6E47" w:rsidP="00DB6E47">
      <w:pPr>
        <w:pStyle w:val="Apara"/>
      </w:pPr>
      <w:r w:rsidRPr="00544ED5">
        <w:tab/>
        <w:t>(a)</w:t>
      </w:r>
      <w:r w:rsidRPr="00544ED5">
        <w:tab/>
        <w:t>regardless of whether or not proceedings have been started against any of the other persons in relation to the act, omission or circumstances; and</w:t>
      </w:r>
    </w:p>
    <w:p w14:paraId="152782D8" w14:textId="77777777" w:rsidR="00DB6E47" w:rsidRPr="00544ED5" w:rsidRDefault="00DB6E47" w:rsidP="00DB6E47">
      <w:pPr>
        <w:pStyle w:val="Apara"/>
      </w:pPr>
      <w:r w:rsidRPr="00544ED5">
        <w:tab/>
        <w:t>(b)</w:t>
      </w:r>
      <w:r w:rsidRPr="00544ED5">
        <w:tab/>
        <w:t>regardless of whether or not any proceedings taken against any of the other persons in relation to the act, omission or circumstances have ended; and</w:t>
      </w:r>
    </w:p>
    <w:p w14:paraId="27D36486" w14:textId="77777777" w:rsidR="00DB6E47" w:rsidRPr="00544ED5" w:rsidRDefault="00DB6E47" w:rsidP="00DB6E47">
      <w:pPr>
        <w:pStyle w:val="Apara"/>
      </w:pPr>
      <w:r w:rsidRPr="00544ED5">
        <w:tab/>
        <w:t>(c)</w:t>
      </w:r>
      <w:r w:rsidRPr="00544ED5">
        <w:tab/>
        <w:t>regardless of the outcome of any proceedings taken against any of the other persons in relation to the act, omission or circumstances.</w:t>
      </w:r>
    </w:p>
    <w:p w14:paraId="73C42A2A" w14:textId="77777777" w:rsidR="00DB6E47" w:rsidRPr="003D139A" w:rsidRDefault="00DB6E47" w:rsidP="00DB6E47">
      <w:pPr>
        <w:pStyle w:val="Amain"/>
      </w:pPr>
      <w:r w:rsidRPr="003D139A">
        <w:tab/>
        <w:t>(4)</w:t>
      </w:r>
      <w:r w:rsidRPr="003D139A">
        <w:tab/>
        <w:t>This section is subject to section 634(1).</w:t>
      </w:r>
    </w:p>
    <w:p w14:paraId="47928405" w14:textId="77777777" w:rsidR="00DB6E47" w:rsidRPr="007E1F9A" w:rsidRDefault="00DB6E47" w:rsidP="00DB6E47">
      <w:pPr>
        <w:pStyle w:val="AH5Sec"/>
      </w:pPr>
      <w:bookmarkStart w:id="782" w:name="_Toc83626126"/>
      <w:r w:rsidRPr="005E03F7">
        <w:rPr>
          <w:rStyle w:val="CharSectNo"/>
        </w:rPr>
        <w:lastRenderedPageBreak/>
        <w:t>634</w:t>
      </w:r>
      <w:r w:rsidRPr="007E1F9A">
        <w:tab/>
      </w:r>
      <w:r w:rsidRPr="007E1F9A">
        <w:rPr>
          <w:rFonts w:ascii="Helvetica" w:hAnsi="Helvetica" w:cs="Helvetica"/>
          <w:iCs/>
        </w:rPr>
        <w:t>Multiple offences</w:t>
      </w:r>
      <w:bookmarkEnd w:id="782"/>
    </w:p>
    <w:p w14:paraId="5ADF89E8" w14:textId="77777777" w:rsidR="00DB6E47" w:rsidRPr="003D139A" w:rsidRDefault="00DB6E47" w:rsidP="00906203">
      <w:pPr>
        <w:pStyle w:val="Amain"/>
        <w:keepNext/>
      </w:pPr>
      <w:r w:rsidRPr="003D139A">
        <w:tab/>
        <w:t>(1)</w:t>
      </w:r>
      <w:r w:rsidRPr="003D139A">
        <w:tab/>
        <w:t>A person may be punished only once in relation to the same contravention of this Law by the person or a heavy vehicle, even if the person is liable in more than 1 capacity.</w:t>
      </w:r>
    </w:p>
    <w:p w14:paraId="4CBA7E2B" w14:textId="77777777" w:rsidR="00DB6E47" w:rsidRPr="003D139A" w:rsidRDefault="00DB6E47" w:rsidP="00906203">
      <w:pPr>
        <w:pStyle w:val="Amain"/>
        <w:keepLines/>
      </w:pPr>
      <w:r w:rsidRPr="003D139A">
        <w:tab/>
        <w:t>(2)</w:t>
      </w:r>
      <w:r w:rsidRPr="003D139A">
        <w:tab/>
        <w:t>A person who has been punished for an act or omission or circumstances constituting an offence against this Law as it applies in another participating jurisdiction can not be punished for an offence against this Law as it applies in this jurisdiction arising from the same act or omission or circumstances.</w:t>
      </w:r>
    </w:p>
    <w:p w14:paraId="29871F40" w14:textId="77777777" w:rsidR="00DB6E47" w:rsidRPr="003D139A" w:rsidRDefault="00DB6E47" w:rsidP="00520FCC">
      <w:pPr>
        <w:pStyle w:val="Amain"/>
        <w:keepNext/>
      </w:pPr>
      <w:r w:rsidRPr="003D139A">
        <w:tab/>
        <w:t>(3)</w:t>
      </w:r>
      <w:r w:rsidRPr="003D139A">
        <w:tab/>
        <w:t>Despite any Act or o</w:t>
      </w:r>
      <w:r w:rsidR="00AF0085">
        <w:t xml:space="preserve">ther law (including subsections </w:t>
      </w:r>
      <w:r w:rsidRPr="003D139A">
        <w:t>(1)</w:t>
      </w:r>
      <w:r w:rsidR="00AF0085">
        <w:t xml:space="preserve"> </w:t>
      </w:r>
      <w:r w:rsidRPr="003D139A">
        <w:t>and (2))—</w:t>
      </w:r>
    </w:p>
    <w:p w14:paraId="3FC695BE" w14:textId="77777777" w:rsidR="00DB6E47" w:rsidRPr="00544ED5" w:rsidRDefault="00DB6E47" w:rsidP="00DB6E47">
      <w:pPr>
        <w:pStyle w:val="Apara"/>
      </w:pPr>
      <w:r w:rsidRPr="00544ED5">
        <w:tab/>
        <w:t>(a)</w:t>
      </w:r>
      <w:r w:rsidRPr="00544ED5">
        <w:tab/>
        <w:t>a person may be punished for more than 1 contravention of a requirement of this Law if the contraventions relate to different parts of the same vehicle; and</w:t>
      </w:r>
    </w:p>
    <w:p w14:paraId="406B7C68" w14:textId="77777777" w:rsidR="00DB6E47" w:rsidRPr="00544ED5" w:rsidRDefault="00DB6E47" w:rsidP="00E855B0">
      <w:pPr>
        <w:pStyle w:val="Apara"/>
        <w:keepLines/>
      </w:pPr>
      <w:r w:rsidRPr="00544ED5">
        <w:tab/>
        <w:t>(b)</w:t>
      </w:r>
      <w:r w:rsidRPr="00544ED5">
        <w:tab/>
        <w:t>a person may be punished for 1 or more contraventions of a requirement of this Law as it applies in another participating jurisdiction (</w:t>
      </w:r>
      <w:r w:rsidRPr="00866F63">
        <w:rPr>
          <w:rStyle w:val="charBoldItals"/>
        </w:rPr>
        <w:t>interstate contraventions</w:t>
      </w:r>
      <w:r w:rsidRPr="00544ED5">
        <w:t>), and 1 or more contraventions of a requirement of this Law as it applies in this jurisdiction (</w:t>
      </w:r>
      <w:r w:rsidRPr="00866F63">
        <w:rPr>
          <w:rStyle w:val="charBoldItals"/>
        </w:rPr>
        <w:t>local contraventions</w:t>
      </w:r>
      <w:r w:rsidRPr="00544ED5">
        <w:t>), if the interstate contraventions and local contraventions relate to different parts of the same vehicle</w:t>
      </w:r>
      <w:r w:rsidR="00866F63">
        <w:t>; and</w:t>
      </w:r>
    </w:p>
    <w:p w14:paraId="76906836" w14:textId="77777777" w:rsidR="00866F63" w:rsidRPr="00866F63" w:rsidRDefault="00866F63" w:rsidP="00866F63">
      <w:pPr>
        <w:pStyle w:val="Apara"/>
        <w:rPr>
          <w:lang w:val="en" w:eastAsia="en-AU"/>
        </w:rPr>
      </w:pPr>
      <w:r>
        <w:rPr>
          <w:lang w:val="en" w:eastAsia="en-AU"/>
        </w:rPr>
        <w:tab/>
      </w:r>
      <w:r w:rsidRPr="00866F63">
        <w:rPr>
          <w:lang w:val="en" w:eastAsia="en-AU"/>
        </w:rPr>
        <w:t>(c)</w:t>
      </w:r>
      <w:r>
        <w:rPr>
          <w:lang w:val="en" w:eastAsia="en-AU"/>
        </w:rPr>
        <w:tab/>
      </w:r>
      <w:r w:rsidRPr="00866F63">
        <w:rPr>
          <w:lang w:val="en" w:eastAsia="en-AU"/>
        </w:rPr>
        <w:t>2 or more contraventions of a provision by a person that arise from the same factual circumstances may be charged as—</w:t>
      </w:r>
    </w:p>
    <w:p w14:paraId="1CFAD5EE" w14:textId="77777777" w:rsidR="00866F63" w:rsidRPr="00866F63" w:rsidRDefault="00866F63" w:rsidP="00866F63">
      <w:pPr>
        <w:pStyle w:val="Asubpara"/>
        <w:rPr>
          <w:lang w:val="en" w:eastAsia="en-AU"/>
        </w:rPr>
      </w:pPr>
      <w:r>
        <w:rPr>
          <w:lang w:val="en" w:eastAsia="en-AU"/>
        </w:rPr>
        <w:tab/>
      </w:r>
      <w:r w:rsidRPr="00866F63">
        <w:rPr>
          <w:lang w:val="en" w:eastAsia="en-AU"/>
        </w:rPr>
        <w:t>(i)</w:t>
      </w:r>
      <w:r>
        <w:rPr>
          <w:lang w:val="en" w:eastAsia="en-AU"/>
        </w:rPr>
        <w:tab/>
      </w:r>
      <w:r w:rsidRPr="00866F63">
        <w:rPr>
          <w:lang w:val="en" w:eastAsia="en-AU"/>
        </w:rPr>
        <w:t>a single offence; or</w:t>
      </w:r>
    </w:p>
    <w:p w14:paraId="5DEDDE1B" w14:textId="77777777" w:rsidR="00866F63" w:rsidRPr="00866F63" w:rsidRDefault="00866F63" w:rsidP="00866F63">
      <w:pPr>
        <w:pStyle w:val="Asubpara"/>
        <w:rPr>
          <w:lang w:val="en" w:eastAsia="en-AU"/>
        </w:rPr>
      </w:pPr>
      <w:r>
        <w:rPr>
          <w:lang w:val="en" w:eastAsia="en-AU"/>
        </w:rPr>
        <w:tab/>
      </w:r>
      <w:r w:rsidRPr="00866F63">
        <w:rPr>
          <w:lang w:val="en" w:eastAsia="en-AU"/>
        </w:rPr>
        <w:t>(ii)</w:t>
      </w:r>
      <w:r>
        <w:rPr>
          <w:lang w:val="en" w:eastAsia="en-AU"/>
        </w:rPr>
        <w:tab/>
      </w:r>
      <w:r w:rsidRPr="00866F63">
        <w:rPr>
          <w:lang w:val="en" w:eastAsia="en-AU"/>
        </w:rPr>
        <w:t>separate offences.</w:t>
      </w:r>
    </w:p>
    <w:p w14:paraId="096E9910" w14:textId="77777777" w:rsidR="00D2598B" w:rsidRPr="00D2598B" w:rsidRDefault="00D2598B" w:rsidP="00D2598B">
      <w:pPr>
        <w:pStyle w:val="Amain"/>
        <w:rPr>
          <w:lang w:val="en" w:eastAsia="en-AU"/>
        </w:rPr>
      </w:pPr>
      <w:r>
        <w:rPr>
          <w:lang w:val="en" w:eastAsia="en-AU"/>
        </w:rPr>
        <w:tab/>
      </w:r>
      <w:r w:rsidRPr="00D2598B">
        <w:rPr>
          <w:lang w:val="en" w:eastAsia="en-AU"/>
        </w:rPr>
        <w:t>(4)</w:t>
      </w:r>
      <w:r>
        <w:rPr>
          <w:lang w:val="en" w:eastAsia="en-AU"/>
        </w:rPr>
        <w:tab/>
      </w:r>
      <w:r w:rsidRPr="00D2598B">
        <w:rPr>
          <w:lang w:val="en" w:eastAsia="en-AU"/>
        </w:rPr>
        <w:t>Subsection (3)(c) does not authorise contraventions of 2 or more provisions to be charged as a single offence.</w:t>
      </w:r>
    </w:p>
    <w:p w14:paraId="72F2B9D3" w14:textId="77777777" w:rsidR="00D2598B" w:rsidRPr="00D2598B" w:rsidRDefault="00D2598B" w:rsidP="00D2598B">
      <w:pPr>
        <w:pStyle w:val="Amain"/>
        <w:rPr>
          <w:lang w:val="en" w:eastAsia="en-AU"/>
        </w:rPr>
      </w:pPr>
      <w:r>
        <w:rPr>
          <w:lang w:val="en" w:eastAsia="en-AU"/>
        </w:rPr>
        <w:tab/>
      </w:r>
      <w:r w:rsidRPr="00D2598B">
        <w:rPr>
          <w:lang w:val="en" w:eastAsia="en-AU"/>
        </w:rPr>
        <w:t>(5)</w:t>
      </w:r>
      <w:r>
        <w:rPr>
          <w:lang w:val="en" w:eastAsia="en-AU"/>
        </w:rPr>
        <w:tab/>
      </w:r>
      <w:r w:rsidRPr="00D2598B">
        <w:rPr>
          <w:lang w:val="en" w:eastAsia="en-AU"/>
        </w:rPr>
        <w:t>A single penalty only may be imposed in relation to 2 or more contraventions of a provision that are charged as a single offence.</w:t>
      </w:r>
    </w:p>
    <w:p w14:paraId="64CFCAA3" w14:textId="77777777" w:rsidR="00DB6E47" w:rsidRPr="007E1F9A" w:rsidRDefault="00DB6E47" w:rsidP="00DB6E47">
      <w:pPr>
        <w:pStyle w:val="AH5Sec"/>
      </w:pPr>
      <w:bookmarkStart w:id="783" w:name="_Toc83626127"/>
      <w:r w:rsidRPr="005E03F7">
        <w:rPr>
          <w:rStyle w:val="CharSectNo"/>
        </w:rPr>
        <w:lastRenderedPageBreak/>
        <w:t>635</w:t>
      </w:r>
      <w:r w:rsidRPr="007E1F9A">
        <w:tab/>
      </w:r>
      <w:r w:rsidRPr="007E1F9A">
        <w:rPr>
          <w:rFonts w:ascii="Helvetica" w:hAnsi="Helvetica" w:cs="Helvetica"/>
          <w:iCs/>
        </w:rPr>
        <w:t>Responsibility for acts or omissions of representative</w:t>
      </w:r>
      <w:bookmarkEnd w:id="783"/>
    </w:p>
    <w:p w14:paraId="129DBA24" w14:textId="77777777" w:rsidR="00DB6E47" w:rsidRPr="003D139A" w:rsidRDefault="00DB6E47" w:rsidP="00DB6E47">
      <w:pPr>
        <w:pStyle w:val="Amain"/>
      </w:pPr>
      <w:r w:rsidRPr="003D139A">
        <w:tab/>
        <w:t>(1)</w:t>
      </w:r>
      <w:r w:rsidRPr="003D139A">
        <w:tab/>
        <w:t>This section applies in a proceeding for an offence against this Law.</w:t>
      </w:r>
    </w:p>
    <w:p w14:paraId="47FAB245" w14:textId="77777777" w:rsidR="00DB6E47" w:rsidRPr="003D139A" w:rsidRDefault="00DB6E47" w:rsidP="00DB6E47">
      <w:pPr>
        <w:pStyle w:val="Amain"/>
      </w:pPr>
      <w:r w:rsidRPr="003D139A">
        <w:tab/>
        <w:t>(2)</w:t>
      </w:r>
      <w:r w:rsidRPr="003D139A">
        <w:tab/>
        <w:t>If it is relevant to prove a person’s state of mind about a particular act or omission, it is enough to show—</w:t>
      </w:r>
    </w:p>
    <w:p w14:paraId="7795EDEF" w14:textId="77777777" w:rsidR="00DB6E47" w:rsidRPr="00544ED5" w:rsidRDefault="00DB6E47" w:rsidP="00DB6E47">
      <w:pPr>
        <w:pStyle w:val="Apara"/>
      </w:pPr>
      <w:r w:rsidRPr="00544ED5">
        <w:tab/>
        <w:t>(a)</w:t>
      </w:r>
      <w:r w:rsidRPr="00544ED5">
        <w:tab/>
        <w:t>the act was done or omitted to be done by a representative of the person within the scope of the representative’s actual or apparent authority; and</w:t>
      </w:r>
    </w:p>
    <w:p w14:paraId="4DD5E71B" w14:textId="77777777" w:rsidR="00DB6E47" w:rsidRPr="00544ED5" w:rsidRDefault="00DB6E47" w:rsidP="00DB6E47">
      <w:pPr>
        <w:pStyle w:val="Apara"/>
      </w:pPr>
      <w:r w:rsidRPr="00544ED5">
        <w:tab/>
        <w:t>(b)</w:t>
      </w:r>
      <w:r w:rsidRPr="00544ED5">
        <w:tab/>
        <w:t>the representative had the state of mind.</w:t>
      </w:r>
    </w:p>
    <w:p w14:paraId="220FC543" w14:textId="77777777" w:rsidR="00DB6E47" w:rsidRPr="003D139A" w:rsidRDefault="00DB6E47" w:rsidP="00DB6E47">
      <w:pPr>
        <w:pStyle w:val="Amain"/>
      </w:pPr>
      <w:r w:rsidRPr="003D139A">
        <w:tab/>
        <w:t>(3)</w:t>
      </w:r>
      <w:r w:rsidRPr="003D139A">
        <w:tab/>
        <w:t>An act done or omitted to be done for a person by a representative of the person within the scope of the representative’s actual or apparent authority is taken to have been done or omitted to be done also by the person, unless the person proves the person could not, by the exercise of reasonable diligence, have prevented the act or omission.</w:t>
      </w:r>
    </w:p>
    <w:p w14:paraId="520F55A2" w14:textId="77777777" w:rsidR="00DB6E47" w:rsidRPr="003D139A" w:rsidRDefault="00DB6E47" w:rsidP="00DB6E47">
      <w:pPr>
        <w:pStyle w:val="Amain"/>
      </w:pPr>
      <w:r w:rsidRPr="003D139A">
        <w:tab/>
        <w:t>(4)</w:t>
      </w:r>
      <w:r w:rsidRPr="003D139A">
        <w:tab/>
        <w:t>In this section—</w:t>
      </w:r>
    </w:p>
    <w:p w14:paraId="31550DD5" w14:textId="77777777" w:rsidR="00DB6E47" w:rsidRPr="00041046" w:rsidRDefault="00DB6E47" w:rsidP="00DB6E47">
      <w:pPr>
        <w:pStyle w:val="aDef"/>
        <w:rPr>
          <w:bCs/>
        </w:rPr>
      </w:pPr>
      <w:r w:rsidRPr="00041046">
        <w:rPr>
          <w:rStyle w:val="charBoldItals"/>
        </w:rPr>
        <w:t>representative</w:t>
      </w:r>
      <w:r w:rsidRPr="00041046">
        <w:t xml:space="preserve"> means—</w:t>
      </w:r>
    </w:p>
    <w:p w14:paraId="27006006" w14:textId="77777777" w:rsidR="00DB6E47" w:rsidRPr="00AF0085" w:rsidRDefault="00DB6E47" w:rsidP="00DB6E47">
      <w:pPr>
        <w:pStyle w:val="aDefpara"/>
      </w:pPr>
      <w:r w:rsidRPr="00FF4454">
        <w:tab/>
      </w:r>
      <w:r w:rsidRPr="00F04D8E">
        <w:rPr>
          <w:rFonts w:cs="Times"/>
          <w:bCs/>
          <w:iCs/>
        </w:rPr>
        <w:t>(a)</w:t>
      </w:r>
      <w:r w:rsidRPr="00FF4454">
        <w:rPr>
          <w:rStyle w:val="charBoldItals"/>
        </w:rPr>
        <w:tab/>
      </w:r>
      <w:r w:rsidRPr="00AF0085">
        <w:t>for an individual—an employee or agent of the individual; or</w:t>
      </w:r>
    </w:p>
    <w:p w14:paraId="54709022" w14:textId="77777777" w:rsidR="00DB6E47" w:rsidRPr="00AF0085" w:rsidRDefault="00DB6E47" w:rsidP="00DB6E47">
      <w:pPr>
        <w:pStyle w:val="aDefpara"/>
      </w:pPr>
      <w:r w:rsidRPr="00AF0085">
        <w:tab/>
        <w:t>(b)</w:t>
      </w:r>
      <w:r w:rsidRPr="00AF0085">
        <w:tab/>
        <w:t>for a corporation—an executive officer, employee or agent of the corporation or authority.</w:t>
      </w:r>
    </w:p>
    <w:p w14:paraId="7D564CE7" w14:textId="77777777" w:rsidR="00DB6E47" w:rsidRPr="00041046" w:rsidRDefault="00DB6E47" w:rsidP="00DB6E47">
      <w:pPr>
        <w:pStyle w:val="aDef"/>
        <w:rPr>
          <w:bCs/>
        </w:rPr>
      </w:pPr>
      <w:r w:rsidRPr="00041046">
        <w:rPr>
          <w:rStyle w:val="charBoldItals"/>
        </w:rPr>
        <w:t>state of mind</w:t>
      </w:r>
      <w:r w:rsidRPr="00041046">
        <w:t>, of a person, includes—</w:t>
      </w:r>
    </w:p>
    <w:p w14:paraId="72D130FA" w14:textId="77777777" w:rsidR="00DB6E47" w:rsidRPr="00AF0085" w:rsidRDefault="00DB6E47" w:rsidP="00DB6E47">
      <w:pPr>
        <w:pStyle w:val="aDefpara"/>
      </w:pPr>
      <w:r w:rsidRPr="00FF4454">
        <w:tab/>
      </w:r>
      <w:r w:rsidRPr="00F04D8E">
        <w:rPr>
          <w:rFonts w:cs="Times"/>
          <w:bCs/>
          <w:iCs/>
        </w:rPr>
        <w:t>(a)</w:t>
      </w:r>
      <w:r w:rsidRPr="00FF4454">
        <w:rPr>
          <w:rStyle w:val="charBoldItals"/>
        </w:rPr>
        <w:tab/>
      </w:r>
      <w:r w:rsidRPr="00AF0085">
        <w:t>the person’s knowledge, intention, opinion, belief or purpose; and</w:t>
      </w:r>
    </w:p>
    <w:p w14:paraId="5E50D8C9" w14:textId="77777777" w:rsidR="00DB6E47" w:rsidRPr="00AF0085" w:rsidRDefault="00DB6E47" w:rsidP="00DB6E47">
      <w:pPr>
        <w:pStyle w:val="aDefpara"/>
      </w:pPr>
      <w:r w:rsidRPr="00AF0085">
        <w:tab/>
        <w:t>(b)</w:t>
      </w:r>
      <w:r w:rsidRPr="00AF0085">
        <w:tab/>
        <w:t>the person’s reasons for the intention, opinion, belief or purpose.</w:t>
      </w:r>
    </w:p>
    <w:p w14:paraId="5E997B7F" w14:textId="77777777" w:rsidR="00DB6E47" w:rsidRPr="007E1F9A" w:rsidRDefault="00DB6E47" w:rsidP="00DB6E47">
      <w:pPr>
        <w:pStyle w:val="AH5Sec"/>
      </w:pPr>
      <w:bookmarkStart w:id="784" w:name="_Toc83626128"/>
      <w:r w:rsidRPr="005E03F7">
        <w:rPr>
          <w:rStyle w:val="CharSectNo"/>
        </w:rPr>
        <w:lastRenderedPageBreak/>
        <w:t>636</w:t>
      </w:r>
      <w:r w:rsidRPr="007E1F9A">
        <w:tab/>
      </w:r>
      <w:r w:rsidRPr="007E1F9A">
        <w:rPr>
          <w:rFonts w:ascii="Helvetica" w:hAnsi="Helvetica" w:cs="Helvetica"/>
          <w:iCs/>
        </w:rPr>
        <w:t>Liability of executive officers of corporation</w:t>
      </w:r>
      <w:bookmarkEnd w:id="784"/>
    </w:p>
    <w:p w14:paraId="4123A73B" w14:textId="77777777" w:rsidR="00DB6E47" w:rsidRPr="003D139A" w:rsidRDefault="00DB6E47" w:rsidP="00906203">
      <w:pPr>
        <w:pStyle w:val="Amain"/>
        <w:keepNext/>
        <w:keepLines/>
      </w:pPr>
      <w:r w:rsidRPr="003D139A">
        <w:tab/>
        <w:t>(1)</w:t>
      </w:r>
      <w:r w:rsidRPr="003D139A">
        <w:tab/>
        <w:t>If a corporation commits an offence against a provision of this Law specified in column 2 of Schedule 4, each executive officer of the corporation who knowingly authorised or permitted the conduct constituting the offence also commits an offence against the provision.</w:t>
      </w:r>
    </w:p>
    <w:p w14:paraId="0FD35216" w14:textId="77777777" w:rsidR="00DB6E47" w:rsidRPr="006C3305" w:rsidRDefault="00DB6E47" w:rsidP="00DB6E47">
      <w:pPr>
        <w:pStyle w:val="Penalty"/>
      </w:pPr>
      <w:r>
        <w:t>Maximum penalty</w:t>
      </w:r>
      <w:r w:rsidRPr="006C3305">
        <w:t>—the penalty for a contravention of the provision by an individual.</w:t>
      </w:r>
    </w:p>
    <w:p w14:paraId="3900CCB1" w14:textId="77777777" w:rsidR="00300409" w:rsidRPr="00300409" w:rsidRDefault="00300409" w:rsidP="00300409">
      <w:pPr>
        <w:pStyle w:val="aNote"/>
        <w:rPr>
          <w:lang w:val="en" w:eastAsia="en-AU"/>
        </w:rPr>
      </w:pPr>
      <w:r w:rsidRPr="00300409">
        <w:rPr>
          <w:i/>
          <w:lang w:val="en" w:eastAsia="en-AU"/>
        </w:rPr>
        <w:t>Note</w:t>
      </w:r>
      <w:r w:rsidRPr="00300409">
        <w:rPr>
          <w:lang w:val="en" w:eastAsia="en-AU"/>
        </w:rPr>
        <w:t>—</w:t>
      </w:r>
    </w:p>
    <w:p w14:paraId="6EB96CB4" w14:textId="77777777" w:rsidR="00300409" w:rsidRPr="00300409" w:rsidRDefault="00300409" w:rsidP="00300409">
      <w:pPr>
        <w:pStyle w:val="aNoteTextss"/>
        <w:rPr>
          <w:lang w:val="en" w:eastAsia="en-AU"/>
        </w:rPr>
      </w:pPr>
      <w:r w:rsidRPr="00300409">
        <w:rPr>
          <w:lang w:val="en" w:eastAsia="en-AU"/>
        </w:rPr>
        <w:t>See also section 26D for the duty of an executive officer of a corporation to exercise due diligence to ensure the corporation complies with its safety duties under this Law.</w:t>
      </w:r>
    </w:p>
    <w:p w14:paraId="5A8C1D64" w14:textId="77777777" w:rsidR="00DB6E47" w:rsidRPr="003D139A" w:rsidRDefault="00DB6E47" w:rsidP="00DB6E47">
      <w:pPr>
        <w:pStyle w:val="Amain"/>
      </w:pPr>
      <w:r w:rsidRPr="003D139A">
        <w:tab/>
        <w:t>(4)</w:t>
      </w:r>
      <w:r w:rsidRPr="003D139A">
        <w:tab/>
        <w:t>An executive officer of a corporation may be proceeded against and convicted for an offence against the provision whether or not the corporation has been proceeded against or convicted under that provision.</w:t>
      </w:r>
    </w:p>
    <w:p w14:paraId="4C5063AA" w14:textId="77777777" w:rsidR="00DB6E47" w:rsidRPr="003D139A" w:rsidRDefault="00DB6E47" w:rsidP="00DB6E47">
      <w:pPr>
        <w:pStyle w:val="Amain"/>
      </w:pPr>
      <w:r w:rsidRPr="003D139A">
        <w:tab/>
        <w:t>(5)</w:t>
      </w:r>
      <w:r w:rsidRPr="003D139A">
        <w:tab/>
        <w:t>Nothing in this section affects any liability imposed on a corporation for an offence committed by the corporation under the provision.</w:t>
      </w:r>
    </w:p>
    <w:p w14:paraId="430C3E89" w14:textId="77777777" w:rsidR="00DB6E47" w:rsidRPr="003D139A" w:rsidRDefault="00DB6E47" w:rsidP="00DB6E47">
      <w:pPr>
        <w:pStyle w:val="Amain"/>
      </w:pPr>
      <w:r w:rsidRPr="003D139A">
        <w:tab/>
        <w:t>(6)</w:t>
      </w:r>
      <w:r w:rsidRPr="003D139A">
        <w:tab/>
        <w:t>Nothing in this section affects the application of any other law relating to the criminal liability of any persons (whether or not executive officers of the corporation) who are accessories to the commission of an offence or are otherwise involved in the contravention giving rise to an offence.</w:t>
      </w:r>
    </w:p>
    <w:p w14:paraId="47C7D613" w14:textId="77777777" w:rsidR="00DB6E47" w:rsidRPr="003D139A" w:rsidRDefault="00DB6E47" w:rsidP="00DB6E47">
      <w:pPr>
        <w:pStyle w:val="Amain"/>
      </w:pPr>
      <w:r w:rsidRPr="003D139A">
        <w:tab/>
        <w:t>(7)</w:t>
      </w:r>
      <w:r w:rsidRPr="003D139A">
        <w:tab/>
        <w:t>This section does not apply to an executive officer acting on a voluntary basis, whether or not the officer is reimbursed for the expenses incurred by the officer for carrying out activities for the corporation.</w:t>
      </w:r>
    </w:p>
    <w:p w14:paraId="586C7B9B" w14:textId="77777777" w:rsidR="00DB6E47" w:rsidRPr="007E1F9A" w:rsidRDefault="00DB6E47" w:rsidP="00DB6E47">
      <w:pPr>
        <w:pStyle w:val="AH5Sec"/>
      </w:pPr>
      <w:bookmarkStart w:id="785" w:name="_Toc83626129"/>
      <w:r w:rsidRPr="005E03F7">
        <w:rPr>
          <w:rStyle w:val="CharSectNo"/>
        </w:rPr>
        <w:lastRenderedPageBreak/>
        <w:t>637</w:t>
      </w:r>
      <w:r w:rsidRPr="007E1F9A">
        <w:tab/>
      </w:r>
      <w:r w:rsidRPr="007E1F9A">
        <w:rPr>
          <w:rFonts w:ascii="Helvetica" w:hAnsi="Helvetica" w:cs="Helvetica"/>
          <w:iCs/>
        </w:rPr>
        <w:t>Treatment of unincorporated partnerships</w:t>
      </w:r>
      <w:bookmarkEnd w:id="785"/>
    </w:p>
    <w:p w14:paraId="54CEC7F1" w14:textId="77777777" w:rsidR="00DB6E47" w:rsidRPr="003D139A" w:rsidRDefault="00DB6E47" w:rsidP="00906203">
      <w:pPr>
        <w:pStyle w:val="Amain"/>
        <w:keepNext/>
      </w:pPr>
      <w:r w:rsidRPr="003D139A">
        <w:tab/>
        <w:t>(1)</w:t>
      </w:r>
      <w:r w:rsidRPr="003D139A">
        <w:tab/>
        <w:t>This Law (other than section 636) applies to an unincorporated partnership as if it were a corporation, but with the changes set out in this section.</w:t>
      </w:r>
    </w:p>
    <w:p w14:paraId="1BD95234" w14:textId="77777777" w:rsidR="00DB6E47" w:rsidRPr="003D139A" w:rsidRDefault="00DB6E47" w:rsidP="00DB6E47">
      <w:pPr>
        <w:pStyle w:val="Amain"/>
      </w:pPr>
      <w:r w:rsidRPr="003D139A">
        <w:tab/>
        <w:t>(2)</w:t>
      </w:r>
      <w:r w:rsidRPr="003D139A">
        <w:tab/>
        <w:t>An obligation or liability that would otherwise be imposed on the partnership by this Law is imposed on each partner instead, but may be discharged by any of the partners.</w:t>
      </w:r>
    </w:p>
    <w:p w14:paraId="7B334CB5" w14:textId="77777777" w:rsidR="00DB6E47" w:rsidRPr="003D139A" w:rsidRDefault="00DB6E47" w:rsidP="00DB6E47">
      <w:pPr>
        <w:pStyle w:val="Amain"/>
      </w:pPr>
      <w:r w:rsidRPr="003D139A">
        <w:tab/>
        <w:t>(3)</w:t>
      </w:r>
      <w:r w:rsidRPr="003D139A">
        <w:tab/>
        <w:t>An amount that would be payable under this Law by the partnership is jointly and severally payable by the partners.</w:t>
      </w:r>
    </w:p>
    <w:p w14:paraId="7A12C851" w14:textId="77777777" w:rsidR="00DB6E47" w:rsidRDefault="00DB6E47" w:rsidP="00520FCC">
      <w:pPr>
        <w:pStyle w:val="Amain"/>
        <w:keepLines/>
      </w:pPr>
      <w:r w:rsidRPr="003D139A">
        <w:tab/>
        <w:t>(4)</w:t>
      </w:r>
      <w:r w:rsidRPr="003D139A">
        <w:tab/>
        <w:t xml:space="preserve">An offence against </w:t>
      </w:r>
      <w:r w:rsidR="00D2598B" w:rsidRPr="003323FC">
        <w:t>a provision of this Law specified in column 2 of Schedule 4</w:t>
      </w:r>
      <w:r w:rsidRPr="003D139A">
        <w:t xml:space="preserve"> that would otherwise be committed by the partnership is taken to have been committed by each partner who knowingly authorised or permitted the conduct constituting the offence.</w:t>
      </w:r>
    </w:p>
    <w:p w14:paraId="3D9BC256" w14:textId="77777777" w:rsidR="00DB6E47" w:rsidRPr="006C3305" w:rsidRDefault="00DB6E47" w:rsidP="00DB6E47">
      <w:pPr>
        <w:pStyle w:val="Penalty"/>
      </w:pPr>
      <w:r>
        <w:t>Maximum penalty</w:t>
      </w:r>
      <w:r w:rsidRPr="006C3305">
        <w:t>—the penalty for a contravention of the provision by an individual.</w:t>
      </w:r>
    </w:p>
    <w:p w14:paraId="1B7B4146" w14:textId="77777777" w:rsidR="00DB6E47" w:rsidRPr="003D139A" w:rsidRDefault="00DB6E47" w:rsidP="00DB6E47">
      <w:pPr>
        <w:pStyle w:val="Amain"/>
      </w:pPr>
      <w:r w:rsidRPr="003D139A">
        <w:tab/>
        <w:t>(7)</w:t>
      </w:r>
      <w:r w:rsidRPr="003D139A">
        <w:tab/>
        <w:t>Nothing in this section affects the application of any other law relating to the criminal liability of any persons (whether or not partners in the partnership) who are accessories to the commission of an offence or are otherwise involved in the contravention giving rise to an offence.</w:t>
      </w:r>
    </w:p>
    <w:p w14:paraId="6283E0B6" w14:textId="77777777" w:rsidR="00DB6E47" w:rsidRPr="003D139A" w:rsidRDefault="00AF0085" w:rsidP="00520FCC">
      <w:pPr>
        <w:pStyle w:val="Amain"/>
        <w:keepLines/>
      </w:pPr>
      <w:r>
        <w:tab/>
        <w:t>(8)</w:t>
      </w:r>
      <w:r>
        <w:tab/>
      </w:r>
      <w:r w:rsidR="00300409" w:rsidRPr="003323FC">
        <w:t>Subsection (4) does</w:t>
      </w:r>
      <w:r w:rsidR="00DB6E47" w:rsidRPr="003D139A">
        <w:t xml:space="preserve"> not apply to a partner acting on a voluntary basis, whether or not the partner is reimbursed for the expenses incurred by the partner for carrying out activities for the partnership.</w:t>
      </w:r>
    </w:p>
    <w:p w14:paraId="78508E7D" w14:textId="77777777" w:rsidR="00DB6E47" w:rsidRPr="003D139A" w:rsidRDefault="00DB6E47" w:rsidP="00DB6E47">
      <w:pPr>
        <w:pStyle w:val="Amain"/>
      </w:pPr>
      <w:r w:rsidRPr="003D139A">
        <w:tab/>
        <w:t>(9)</w:t>
      </w:r>
      <w:r w:rsidRPr="003D139A">
        <w:tab/>
        <w:t>For the purposes of this section, a change in the composition of the partnership does not affect the continuity of the partnership.</w:t>
      </w:r>
    </w:p>
    <w:p w14:paraId="45775296" w14:textId="77777777" w:rsidR="00DB6E47" w:rsidRPr="007E1F9A" w:rsidRDefault="00DB6E47" w:rsidP="00DB6E47">
      <w:pPr>
        <w:pStyle w:val="AH5Sec"/>
      </w:pPr>
      <w:bookmarkStart w:id="786" w:name="_Toc83626130"/>
      <w:r w:rsidRPr="005E03F7">
        <w:rPr>
          <w:rStyle w:val="CharSectNo"/>
        </w:rPr>
        <w:lastRenderedPageBreak/>
        <w:t>638</w:t>
      </w:r>
      <w:r w:rsidRPr="007E1F9A">
        <w:tab/>
      </w:r>
      <w:r w:rsidRPr="007E1F9A">
        <w:rPr>
          <w:rFonts w:ascii="Helvetica" w:hAnsi="Helvetica" w:cs="Helvetica"/>
          <w:iCs/>
        </w:rPr>
        <w:t>Treatment of other unincorporated bodies</w:t>
      </w:r>
      <w:bookmarkEnd w:id="786"/>
    </w:p>
    <w:p w14:paraId="0DA82407" w14:textId="77777777" w:rsidR="00DB6E47" w:rsidRPr="003D139A" w:rsidRDefault="00DB6E47" w:rsidP="00906203">
      <w:pPr>
        <w:pStyle w:val="Amain"/>
        <w:keepNext/>
      </w:pPr>
      <w:r w:rsidRPr="003D139A">
        <w:tab/>
        <w:t>(1)</w:t>
      </w:r>
      <w:r w:rsidRPr="003D139A">
        <w:tab/>
        <w:t>This Law (other than section 636) applies to an unincorporated body as if it were a corporation, but with the changes set out in this section.</w:t>
      </w:r>
    </w:p>
    <w:p w14:paraId="067AEABA" w14:textId="77777777" w:rsidR="00DB6E47" w:rsidRPr="003D139A" w:rsidRDefault="00DB6E47" w:rsidP="00DB6E47">
      <w:pPr>
        <w:pStyle w:val="Amain"/>
      </w:pPr>
      <w:r w:rsidRPr="003D139A">
        <w:tab/>
        <w:t>(2)</w:t>
      </w:r>
      <w:r w:rsidRPr="003D139A">
        <w:tab/>
        <w:t>An obligation or liability that would otherwise be imposed on the unincorporated body by this Law is imposed on each management member of the body instead, but may be discharged by any of the management members.</w:t>
      </w:r>
    </w:p>
    <w:p w14:paraId="348B8E4E" w14:textId="77777777" w:rsidR="00DB6E47" w:rsidRPr="003D139A" w:rsidRDefault="00DB6E47" w:rsidP="00DB6E47">
      <w:pPr>
        <w:pStyle w:val="Amain"/>
      </w:pPr>
      <w:r w:rsidRPr="003D139A">
        <w:tab/>
        <w:t>(3)</w:t>
      </w:r>
      <w:r w:rsidRPr="003D139A">
        <w:tab/>
        <w:t>An amount that would be payable under this Law by the unincorporated body is jointly and severally payable by the management members of the body.</w:t>
      </w:r>
    </w:p>
    <w:p w14:paraId="68DF0AAB" w14:textId="77777777" w:rsidR="00DB6E47" w:rsidRPr="003D139A" w:rsidRDefault="00DB6E47" w:rsidP="00E56847">
      <w:pPr>
        <w:pStyle w:val="Amain"/>
        <w:keepNext/>
      </w:pPr>
      <w:r w:rsidRPr="003D139A">
        <w:tab/>
        <w:t>(4)</w:t>
      </w:r>
      <w:r w:rsidRPr="003D139A">
        <w:tab/>
        <w:t xml:space="preserve">An offence against </w:t>
      </w:r>
      <w:r w:rsidR="000C09C3" w:rsidRPr="003323FC">
        <w:t>a provision of this Law specified in column 2 of Schedule 4</w:t>
      </w:r>
      <w:r w:rsidRPr="003D139A">
        <w:t xml:space="preserve"> that would otherwise be committed by the unincorporated body is taken to have been committed by each management member of the body who knowingly authorised or permitted the conduct constituting the offence.</w:t>
      </w:r>
    </w:p>
    <w:p w14:paraId="4FA93523" w14:textId="77777777" w:rsidR="00DB6E47" w:rsidRPr="006C3305" w:rsidRDefault="00DB6E47" w:rsidP="00DB6E47">
      <w:pPr>
        <w:pStyle w:val="Penalty"/>
      </w:pPr>
      <w:r>
        <w:t>Maximum penalty</w:t>
      </w:r>
      <w:r w:rsidRPr="006C3305">
        <w:t>—the penalty for a contravention of the provision by an individual.</w:t>
      </w:r>
    </w:p>
    <w:p w14:paraId="29685296" w14:textId="77777777" w:rsidR="00DB6E47" w:rsidRPr="003D139A" w:rsidRDefault="00DB6E47" w:rsidP="00DB6E47">
      <w:pPr>
        <w:pStyle w:val="Amain"/>
      </w:pPr>
      <w:r w:rsidRPr="003D139A">
        <w:tab/>
        <w:t>(7)</w:t>
      </w:r>
      <w:r w:rsidRPr="003D139A">
        <w:tab/>
        <w:t>Nothing in this section affects the application of any other law relating to the criminal liability of any persons (whether or not management members of the unincorporated body) who are accessories to the commission of an offence or are otherwise involved in the contravention giving rise to an offence.</w:t>
      </w:r>
    </w:p>
    <w:p w14:paraId="22351A4A" w14:textId="77777777" w:rsidR="00DB6E47" w:rsidRPr="003D139A" w:rsidRDefault="00AF0085" w:rsidP="00E56847">
      <w:pPr>
        <w:pStyle w:val="Amain"/>
        <w:keepLines/>
      </w:pPr>
      <w:r>
        <w:tab/>
        <w:t>(8)</w:t>
      </w:r>
      <w:r>
        <w:tab/>
      </w:r>
      <w:r w:rsidR="00300409" w:rsidRPr="003323FC">
        <w:t>Subsection (4) does</w:t>
      </w:r>
      <w:r w:rsidR="00DB6E47" w:rsidRPr="003D139A">
        <w:t xml:space="preserve"> not apply to a management member of the unincorporated body acting on a voluntary basis, whether or not the member is reimbursed for the expenses incurred by the member for carrying out activities for the body.</w:t>
      </w:r>
    </w:p>
    <w:p w14:paraId="6A3E3B88" w14:textId="77777777" w:rsidR="00DB6E47" w:rsidRPr="003D139A" w:rsidRDefault="00DB6E47" w:rsidP="00DB6E47">
      <w:pPr>
        <w:pStyle w:val="Amain"/>
      </w:pPr>
      <w:r w:rsidRPr="003D139A">
        <w:tab/>
        <w:t>(9)</w:t>
      </w:r>
      <w:r w:rsidRPr="003D139A">
        <w:tab/>
        <w:t>For the purposes of this section, a change in the composition of the unincorporated body does not affect the continuity of the body.</w:t>
      </w:r>
    </w:p>
    <w:p w14:paraId="707EC883" w14:textId="77777777" w:rsidR="00DB6E47" w:rsidRPr="007E1F9A" w:rsidRDefault="00DB6E47" w:rsidP="00DB6E47">
      <w:pPr>
        <w:pStyle w:val="AH5Sec"/>
      </w:pPr>
      <w:bookmarkStart w:id="787" w:name="_Toc83626131"/>
      <w:r w:rsidRPr="005E03F7">
        <w:rPr>
          <w:rStyle w:val="CharSectNo"/>
        </w:rPr>
        <w:lastRenderedPageBreak/>
        <w:t>639</w:t>
      </w:r>
      <w:r w:rsidRPr="007E1F9A">
        <w:tab/>
      </w:r>
      <w:r w:rsidRPr="007E1F9A">
        <w:rPr>
          <w:rFonts w:ascii="Helvetica" w:hAnsi="Helvetica" w:cs="Helvetica"/>
          <w:iCs/>
        </w:rPr>
        <w:t>Liability of registered operator</w:t>
      </w:r>
      <w:bookmarkEnd w:id="787"/>
    </w:p>
    <w:p w14:paraId="4ADF5050" w14:textId="77777777" w:rsidR="00DB6E47" w:rsidRPr="003D139A" w:rsidRDefault="00DB6E47" w:rsidP="00DB6E47">
      <w:pPr>
        <w:pStyle w:val="Amain"/>
      </w:pPr>
      <w:r w:rsidRPr="003D139A">
        <w:tab/>
        <w:t>(1)</w:t>
      </w:r>
      <w:r w:rsidRPr="003D139A">
        <w:tab/>
        <w:t>This section applies to an offence against this Law that may be committed by the operator of a heavy vehicle (whether or not any other person can also commit the offence).</w:t>
      </w:r>
    </w:p>
    <w:p w14:paraId="7418D750" w14:textId="77777777" w:rsidR="00DB6E47" w:rsidRPr="003D139A" w:rsidRDefault="00DB6E47" w:rsidP="00DB6E47">
      <w:pPr>
        <w:pStyle w:val="Amain"/>
      </w:pPr>
      <w:r w:rsidRPr="003D139A">
        <w:tab/>
        <w:t>(2)</w:t>
      </w:r>
      <w:r w:rsidRPr="003D139A">
        <w:tab/>
        <w:t>If an offence to which this section applies is committed, the following person is taken to be the operator of the heavy vehicle and, in that capacity, is taken to have committed the offence—</w:t>
      </w:r>
    </w:p>
    <w:p w14:paraId="7809187D" w14:textId="77777777" w:rsidR="00DB6E47" w:rsidRPr="00544ED5" w:rsidRDefault="00DB6E47" w:rsidP="00DB6E47">
      <w:pPr>
        <w:pStyle w:val="Apara"/>
      </w:pPr>
      <w:r w:rsidRPr="00544ED5">
        <w:tab/>
        <w:t>(a)</w:t>
      </w:r>
      <w:r w:rsidRPr="00544ED5">
        <w:tab/>
        <w:t>for a heavy vehicle that is not a combination—the registered operator of the vehicle;</w:t>
      </w:r>
    </w:p>
    <w:p w14:paraId="0FFD5A24" w14:textId="77777777" w:rsidR="00DB6E47" w:rsidRPr="00544ED5" w:rsidRDefault="00DB6E47" w:rsidP="00DB6E47">
      <w:pPr>
        <w:pStyle w:val="Apara"/>
      </w:pPr>
      <w:r w:rsidRPr="00544ED5">
        <w:tab/>
        <w:t>(b)</w:t>
      </w:r>
      <w:r w:rsidRPr="00544ED5">
        <w:tab/>
        <w:t>for a heavy combination or the towing vehicle in a heavy combination—the registered operator of the towing vehicle in the combination;</w:t>
      </w:r>
    </w:p>
    <w:p w14:paraId="0577CBC2" w14:textId="77777777" w:rsidR="00DB6E47" w:rsidRPr="00544ED5" w:rsidRDefault="00DB6E47" w:rsidP="00DB6E47">
      <w:pPr>
        <w:pStyle w:val="Apara"/>
      </w:pPr>
      <w:r w:rsidRPr="00544ED5">
        <w:tab/>
        <w:t>(c)</w:t>
      </w:r>
      <w:r w:rsidRPr="00544ED5">
        <w:tab/>
        <w:t>for a trailer forming part of a heavy combination—the registered operator of the towing vehicle in the combination and the registered operator (if any) of the trailer.</w:t>
      </w:r>
    </w:p>
    <w:p w14:paraId="5FD07930" w14:textId="77777777" w:rsidR="00DB6E47" w:rsidRPr="003D139A" w:rsidRDefault="00DB6E47" w:rsidP="00DB6E47">
      <w:pPr>
        <w:pStyle w:val="Amain"/>
      </w:pPr>
      <w:r w:rsidRPr="003D139A">
        <w:tab/>
        <w:t>(3)</w:t>
      </w:r>
      <w:r w:rsidRPr="003D139A">
        <w:tab/>
        <w:t>The registered operator has the same excuses and defences available to the operator of the heavy vehicle under this Law or another law.</w:t>
      </w:r>
    </w:p>
    <w:p w14:paraId="5BC60A9E" w14:textId="77777777" w:rsidR="00DB6E47" w:rsidRPr="003D139A" w:rsidRDefault="00AF0085" w:rsidP="00DB6E47">
      <w:pPr>
        <w:pStyle w:val="Amain"/>
      </w:pPr>
      <w:r>
        <w:tab/>
        <w:t>(4)</w:t>
      </w:r>
      <w:r>
        <w:tab/>
        <w:t xml:space="preserve">Subsection </w:t>
      </w:r>
      <w:r w:rsidR="00DB6E47" w:rsidRPr="003D139A">
        <w:t>(2)</w:t>
      </w:r>
      <w:r>
        <w:t xml:space="preserve"> </w:t>
      </w:r>
      <w:r w:rsidR="00DB6E47" w:rsidRPr="003D139A">
        <w:t>does not apply if the registered operator gives the Regulator an operator declaration—</w:t>
      </w:r>
    </w:p>
    <w:p w14:paraId="5792239E" w14:textId="77777777" w:rsidR="00DB6E47" w:rsidRPr="00544ED5" w:rsidRDefault="00DB6E47" w:rsidP="00DB6E47">
      <w:pPr>
        <w:pStyle w:val="Apara"/>
      </w:pPr>
      <w:r w:rsidRPr="00544ED5">
        <w:tab/>
        <w:t>(a)</w:t>
      </w:r>
      <w:r w:rsidRPr="00544ED5">
        <w:tab/>
        <w:t>if an infringement notice for the offence is issued to the registered operator—within 14 days after the infringement notice is issued; or</w:t>
      </w:r>
    </w:p>
    <w:p w14:paraId="1C6D4489" w14:textId="77777777" w:rsidR="00DB6E47" w:rsidRPr="00544ED5" w:rsidRDefault="00DB6E47" w:rsidP="00DB6E47">
      <w:pPr>
        <w:pStyle w:val="Apara"/>
      </w:pPr>
      <w:r w:rsidRPr="00544ED5">
        <w:tab/>
        <w:t>(b)</w:t>
      </w:r>
      <w:r w:rsidRPr="00544ED5">
        <w:tab/>
        <w:t>if the registered operator is charged with the offence—</w:t>
      </w:r>
    </w:p>
    <w:p w14:paraId="26EAF0F8" w14:textId="77777777" w:rsidR="00DB6E47" w:rsidRPr="00CC71DF" w:rsidRDefault="00DB6E47" w:rsidP="00DB6E47">
      <w:pPr>
        <w:pStyle w:val="Asubpara"/>
      </w:pPr>
      <w:r w:rsidRPr="00CC71DF">
        <w:tab/>
        <w:t>(i)</w:t>
      </w:r>
      <w:r w:rsidRPr="00CC71DF">
        <w:tab/>
        <w:t>if the charge is to be heard 28 days or less after the charge comes to the operator’s knowledge—as soon as practicable after the charge comes to the registered operator’s knowledge; or</w:t>
      </w:r>
    </w:p>
    <w:p w14:paraId="1E2B3296" w14:textId="77777777" w:rsidR="00DB6E47" w:rsidRPr="00CC71DF" w:rsidRDefault="00DB6E47" w:rsidP="00E855B0">
      <w:pPr>
        <w:pStyle w:val="Asubpara"/>
        <w:keepLines/>
      </w:pPr>
      <w:r w:rsidRPr="00CC71DF">
        <w:lastRenderedPageBreak/>
        <w:tab/>
        <w:t>(ii)</w:t>
      </w:r>
      <w:r w:rsidRPr="00CC71DF">
        <w:tab/>
        <w:t>if the charge is to be heard more than 28 days after the charge comes to the operator’s knowledge—as soon as practicable after the charge comes to the registered operator’s knowledge but at least 28 days before the charge is heard.</w:t>
      </w:r>
    </w:p>
    <w:p w14:paraId="7A406BD2" w14:textId="77777777" w:rsidR="00DB6E47" w:rsidRPr="003D139A" w:rsidRDefault="00DB6E47" w:rsidP="00DB6E47">
      <w:pPr>
        <w:pStyle w:val="Amain"/>
      </w:pPr>
      <w:r w:rsidRPr="003D139A">
        <w:tab/>
        <w:t>(5)</w:t>
      </w:r>
      <w:r w:rsidRPr="003D139A">
        <w:tab/>
        <w:t>If the registered operator gives an operator declaration as mentioned in subsection (4)—</w:t>
      </w:r>
    </w:p>
    <w:p w14:paraId="1475547F" w14:textId="77777777" w:rsidR="00DB6E47" w:rsidRPr="00544ED5" w:rsidRDefault="00DB6E47" w:rsidP="00DB6E47">
      <w:pPr>
        <w:pStyle w:val="Apara"/>
      </w:pPr>
      <w:r w:rsidRPr="00544ED5">
        <w:tab/>
        <w:t>(a)</w:t>
      </w:r>
      <w:r w:rsidRPr="00544ED5">
        <w:tab/>
        <w:t>a proceeding for the offence may be started against the person named as the operator of the heavy vehicle in the operator declaration only if a copy of the operator declaration has been served on the person; and</w:t>
      </w:r>
    </w:p>
    <w:p w14:paraId="743753B1" w14:textId="77777777" w:rsidR="00DB6E47" w:rsidRPr="00544ED5" w:rsidRDefault="00DB6E47" w:rsidP="00DB6E47">
      <w:pPr>
        <w:pStyle w:val="Apara"/>
      </w:pPr>
      <w:r w:rsidRPr="00544ED5">
        <w:tab/>
        <w:t>(b)</w:t>
      </w:r>
      <w:r w:rsidRPr="00544ED5">
        <w:tab/>
        <w:t>in a proceeding for the offence against the person named as the operator of the heavy vehicle in the operator declaration, the operator declaration is evidence that the person was the operator of the heavy vehicle at the time of the offence; and</w:t>
      </w:r>
    </w:p>
    <w:p w14:paraId="0992990D" w14:textId="77777777" w:rsidR="00DB6E47" w:rsidRPr="00544ED5" w:rsidRDefault="00DB6E47" w:rsidP="00DB6E47">
      <w:pPr>
        <w:pStyle w:val="Apara"/>
      </w:pPr>
      <w:r w:rsidRPr="00544ED5">
        <w:tab/>
        <w:t>(c)</w:t>
      </w:r>
      <w:r w:rsidRPr="00544ED5">
        <w:tab/>
        <w:t>in a proceeding for the offence against the registered operator, a court must not find the registered operator guilty of the offence in the registered operator’s capacity as the operator of the heavy vehicle if it is satisfied, whether on the statements in the operator declaration or otherwise, the registered operator was not the operator of the heavy vehicle at the time of the offence.</w:t>
      </w:r>
    </w:p>
    <w:p w14:paraId="580642FD" w14:textId="77777777" w:rsidR="00DB6E47" w:rsidRPr="003D139A" w:rsidRDefault="00DB6E47" w:rsidP="00DB6E47">
      <w:pPr>
        <w:pStyle w:val="Amain"/>
      </w:pPr>
      <w:r w:rsidRPr="003D139A">
        <w:tab/>
        <w:t>(6)</w:t>
      </w:r>
      <w:r w:rsidRPr="003D139A">
        <w:tab/>
        <w:t>To remove any doubt, it is declared that this section does not affect the liability of the registered operator in a capacity other than as the operator of the heavy vehicle.</w:t>
      </w:r>
    </w:p>
    <w:p w14:paraId="0344D7C1" w14:textId="77777777" w:rsidR="00DB6E47" w:rsidRPr="003D139A" w:rsidRDefault="00DB6E47" w:rsidP="00DB6E47">
      <w:pPr>
        <w:pStyle w:val="Amain"/>
      </w:pPr>
      <w:r w:rsidRPr="003D139A">
        <w:tab/>
        <w:t>(7)</w:t>
      </w:r>
      <w:r w:rsidRPr="003D139A">
        <w:tab/>
        <w:t>In this section—</w:t>
      </w:r>
    </w:p>
    <w:p w14:paraId="0315B38D" w14:textId="77777777" w:rsidR="00DB6E47" w:rsidRPr="00041046" w:rsidRDefault="00DB6E47" w:rsidP="00DB6E47">
      <w:pPr>
        <w:pStyle w:val="aDef"/>
        <w:rPr>
          <w:bCs/>
        </w:rPr>
      </w:pPr>
      <w:r w:rsidRPr="00041046">
        <w:rPr>
          <w:rStyle w:val="charBoldItals"/>
        </w:rPr>
        <w:t>operator declaration</w:t>
      </w:r>
      <w:r w:rsidRPr="00041046">
        <w:t xml:space="preserve"> means a statutory declaration, made by the registered operator of a vehicle that is or forms part of a heavy vehicle the subject of an offence against this Law, stating—</w:t>
      </w:r>
    </w:p>
    <w:p w14:paraId="7295D0AF" w14:textId="77777777" w:rsidR="00DB6E47" w:rsidRPr="00AF0085" w:rsidRDefault="00DB6E47" w:rsidP="00DB6E47">
      <w:pPr>
        <w:pStyle w:val="aDefpara"/>
      </w:pPr>
      <w:r w:rsidRPr="00FF4454">
        <w:tab/>
      </w:r>
      <w:r w:rsidRPr="00F04D8E">
        <w:rPr>
          <w:rFonts w:cs="Times"/>
          <w:bCs/>
          <w:iCs/>
        </w:rPr>
        <w:t>(a)</w:t>
      </w:r>
      <w:r w:rsidRPr="00FF4454">
        <w:rPr>
          <w:rStyle w:val="charBoldItals"/>
        </w:rPr>
        <w:tab/>
      </w:r>
      <w:r w:rsidRPr="00AF0085">
        <w:t>the registered operator was not the operator of the heavy vehicle at the time of the offence; and</w:t>
      </w:r>
    </w:p>
    <w:p w14:paraId="7873BDB5" w14:textId="77777777" w:rsidR="00DB6E47" w:rsidRPr="00AF0085" w:rsidRDefault="00DB6E47" w:rsidP="00DB6E47">
      <w:pPr>
        <w:pStyle w:val="aDefpara"/>
      </w:pPr>
      <w:r w:rsidRPr="00AF0085">
        <w:lastRenderedPageBreak/>
        <w:tab/>
        <w:t>(b)</w:t>
      </w:r>
      <w:r w:rsidRPr="00AF0085">
        <w:tab/>
        <w:t>the name and address of the operator of the heavy vehicle at the time of the offence.</w:t>
      </w:r>
    </w:p>
    <w:p w14:paraId="0B41AFEF" w14:textId="77777777" w:rsidR="00DB6E47" w:rsidRPr="00041046" w:rsidRDefault="00DB6E47" w:rsidP="00DB6E47">
      <w:pPr>
        <w:pStyle w:val="aDef"/>
        <w:rPr>
          <w:bCs/>
        </w:rPr>
      </w:pPr>
      <w:r w:rsidRPr="00041046">
        <w:rPr>
          <w:rStyle w:val="charBoldItals"/>
        </w:rPr>
        <w:t>registered operator</w:t>
      </w:r>
      <w:r w:rsidRPr="00041046">
        <w:t>, of a vehicle other than a heavy vehicle, means the registered or licensed operator of the vehicle under an Australian road law.</w:t>
      </w:r>
    </w:p>
    <w:p w14:paraId="72071BF1" w14:textId="77777777" w:rsidR="00DB6E47" w:rsidRPr="003D647F" w:rsidRDefault="00DB6E47" w:rsidP="00DB6E47">
      <w:pPr>
        <w:pStyle w:val="PageBreak"/>
        <w:rPr>
          <w:rFonts w:eastAsiaTheme="minorHAnsi"/>
        </w:rPr>
      </w:pPr>
      <w:r w:rsidRPr="003D647F">
        <w:rPr>
          <w:rFonts w:eastAsiaTheme="minorHAnsi"/>
        </w:rPr>
        <w:br w:type="page"/>
      </w:r>
    </w:p>
    <w:p w14:paraId="15C7EEA1" w14:textId="77777777" w:rsidR="00DB6E47" w:rsidRPr="005E03F7" w:rsidRDefault="00DB6E47" w:rsidP="00DB6E47">
      <w:pPr>
        <w:pStyle w:val="AH1Chapter"/>
      </w:pPr>
      <w:bookmarkStart w:id="788" w:name="_Toc83626132"/>
      <w:r w:rsidRPr="005E03F7">
        <w:rPr>
          <w:rStyle w:val="CharChapNo"/>
        </w:rPr>
        <w:lastRenderedPageBreak/>
        <w:t xml:space="preserve">Chapter 11 </w:t>
      </w:r>
      <w:r w:rsidRPr="00A95F9A">
        <w:rPr>
          <w:rFonts w:ascii="Helvetica" w:hAnsi="Helvetica" w:cs="Helvetica"/>
          <w:iCs/>
          <w:sz w:val="36"/>
          <w:szCs w:val="36"/>
        </w:rPr>
        <w:tab/>
      </w:r>
      <w:r w:rsidRPr="005E03F7">
        <w:rPr>
          <w:rStyle w:val="CharChapText"/>
          <w:rFonts w:ascii="Helvetica" w:hAnsi="Helvetica" w:cs="Helvetica"/>
          <w:iCs/>
          <w:sz w:val="36"/>
          <w:szCs w:val="36"/>
        </w:rPr>
        <w:t>Reviews and appeals</w:t>
      </w:r>
      <w:bookmarkEnd w:id="788"/>
    </w:p>
    <w:p w14:paraId="321A568E" w14:textId="77777777" w:rsidR="00DB6E47" w:rsidRPr="005E03F7" w:rsidRDefault="00DB6E47" w:rsidP="00DB6E47">
      <w:pPr>
        <w:pStyle w:val="AH2Part"/>
      </w:pPr>
      <w:bookmarkStart w:id="789" w:name="_Toc83626133"/>
      <w:r w:rsidRPr="005E03F7">
        <w:rPr>
          <w:rStyle w:val="CharPartNo"/>
        </w:rPr>
        <w:t xml:space="preserve">Part 11.1 </w:t>
      </w:r>
      <w:r w:rsidRPr="00A95F9A">
        <w:rPr>
          <w:rFonts w:ascii="Helvetica" w:hAnsi="Helvetica" w:cs="Helvetica"/>
          <w:iCs/>
          <w:szCs w:val="32"/>
        </w:rPr>
        <w:tab/>
      </w:r>
      <w:r w:rsidRPr="005E03F7">
        <w:rPr>
          <w:rStyle w:val="CharPartText"/>
          <w:rFonts w:ascii="Helvetica" w:hAnsi="Helvetica" w:cs="Helvetica"/>
          <w:iCs/>
          <w:szCs w:val="32"/>
        </w:rPr>
        <w:t>Preliminary</w:t>
      </w:r>
      <w:bookmarkEnd w:id="789"/>
    </w:p>
    <w:p w14:paraId="377744AD" w14:textId="77777777" w:rsidR="00E56847" w:rsidRDefault="00E56847" w:rsidP="009902F7">
      <w:pPr>
        <w:pStyle w:val="Placeholder"/>
        <w:suppressLineNumbers/>
      </w:pPr>
      <w:r>
        <w:rPr>
          <w:rStyle w:val="CharDivNo"/>
          <w:rFonts w:eastAsiaTheme="minorEastAsia"/>
        </w:rPr>
        <w:t xml:space="preserve">  </w:t>
      </w:r>
      <w:r>
        <w:rPr>
          <w:rStyle w:val="CharDivText"/>
        </w:rPr>
        <w:t xml:space="preserve">  </w:t>
      </w:r>
    </w:p>
    <w:p w14:paraId="75927870" w14:textId="77777777" w:rsidR="00DB6E47" w:rsidRPr="007E1F9A" w:rsidRDefault="00DB6E47" w:rsidP="00DB6E47">
      <w:pPr>
        <w:pStyle w:val="AH5Sec"/>
      </w:pPr>
      <w:bookmarkStart w:id="790" w:name="_Toc83626134"/>
      <w:r w:rsidRPr="005E03F7">
        <w:rPr>
          <w:rStyle w:val="CharSectNo"/>
        </w:rPr>
        <w:t>640</w:t>
      </w:r>
      <w:r w:rsidRPr="007E1F9A">
        <w:tab/>
      </w:r>
      <w:r w:rsidRPr="007E1F9A">
        <w:rPr>
          <w:rFonts w:ascii="Helvetica" w:hAnsi="Helvetica" w:cs="Helvetica"/>
          <w:iCs/>
        </w:rPr>
        <w:t>Definitions for Ch 11</w:t>
      </w:r>
      <w:bookmarkEnd w:id="790"/>
    </w:p>
    <w:p w14:paraId="0F23477E" w14:textId="77777777" w:rsidR="00DB6E47" w:rsidRPr="003D139A" w:rsidRDefault="00DB6E47" w:rsidP="00DB6E47">
      <w:pPr>
        <w:pStyle w:val="Amainreturn"/>
      </w:pPr>
      <w:r w:rsidRPr="003D139A">
        <w:t>In this Chapter—</w:t>
      </w:r>
    </w:p>
    <w:p w14:paraId="577A6857" w14:textId="77777777" w:rsidR="00DB6E47" w:rsidRPr="00041046" w:rsidRDefault="00DB6E47" w:rsidP="00DB6E47">
      <w:pPr>
        <w:pStyle w:val="aDef"/>
        <w:rPr>
          <w:bCs/>
        </w:rPr>
      </w:pPr>
      <w:r w:rsidRPr="00041046">
        <w:rPr>
          <w:rStyle w:val="charBoldItals"/>
        </w:rPr>
        <w:t>public safety ground</w:t>
      </w:r>
      <w:r w:rsidRPr="00041046">
        <w:t>, for a reviewable decision, means the Regulator being satisfied that making the decision is necessary to prevent a significant risk to public safety.</w:t>
      </w:r>
    </w:p>
    <w:p w14:paraId="0E01BAF5" w14:textId="77777777" w:rsidR="00DB6E47" w:rsidRPr="00041046" w:rsidRDefault="00DB6E47" w:rsidP="00DB6E47">
      <w:pPr>
        <w:pStyle w:val="aDef"/>
        <w:rPr>
          <w:bCs/>
        </w:rPr>
      </w:pPr>
      <w:r w:rsidRPr="00041046">
        <w:rPr>
          <w:rStyle w:val="charBoldItals"/>
        </w:rPr>
        <w:t>relevant appeal body</w:t>
      </w:r>
      <w:r w:rsidRPr="00041046">
        <w:t xml:space="preserve"> means the relevant tribunal or court for the relevant jurisdiction.</w:t>
      </w:r>
    </w:p>
    <w:p w14:paraId="736E0B50" w14:textId="77777777" w:rsidR="00DB6E47" w:rsidRPr="00041046" w:rsidRDefault="00DB6E47" w:rsidP="00DB6E47">
      <w:pPr>
        <w:pStyle w:val="aDef"/>
        <w:rPr>
          <w:bCs/>
        </w:rPr>
      </w:pPr>
      <w:r w:rsidRPr="00041046">
        <w:rPr>
          <w:rStyle w:val="charBoldItals"/>
        </w:rPr>
        <w:t>relevant jurisdiction</w:t>
      </w:r>
      <w:r w:rsidRPr="00041046">
        <w:t>, for an applicant for the review of a reviewable decision or an appellant for an appeal against a review decision, means—</w:t>
      </w:r>
    </w:p>
    <w:p w14:paraId="5FB4F2BF" w14:textId="77777777" w:rsidR="00DB6E47" w:rsidRPr="00AF0085" w:rsidRDefault="00DB6E47" w:rsidP="00DB6E47">
      <w:pPr>
        <w:pStyle w:val="aDefpara"/>
      </w:pPr>
      <w:r w:rsidRPr="00FF4454">
        <w:tab/>
      </w:r>
      <w:r w:rsidRPr="00F04D8E">
        <w:rPr>
          <w:rFonts w:cs="Times"/>
          <w:bCs/>
          <w:iCs/>
        </w:rPr>
        <w:t>(a)</w:t>
      </w:r>
      <w:r w:rsidRPr="00FF4454">
        <w:rPr>
          <w:rStyle w:val="charBoldItals"/>
        </w:rPr>
        <w:tab/>
      </w:r>
      <w:r w:rsidRPr="00AF0085">
        <w:t>for a reviewable decision made under Division 3 of Part 4.5 or Division 4 of Part 4.6, or a review decision relating to a reviewable decision made under Division 3 of Part 4.5 or Division 4 of Part 4.6—</w:t>
      </w:r>
    </w:p>
    <w:p w14:paraId="3BD17ECD" w14:textId="77777777" w:rsidR="00DB6E47" w:rsidRPr="006C3305" w:rsidRDefault="00DB6E47" w:rsidP="00DB6E47">
      <w:pPr>
        <w:pStyle w:val="aDefsubpara"/>
      </w:pPr>
      <w:r>
        <w:tab/>
      </w:r>
      <w:r w:rsidRPr="00F04D8E">
        <w:t>(i)</w:t>
      </w:r>
      <w:r w:rsidRPr="006C3305">
        <w:tab/>
        <w:t>if the areas or routes for which the authorisation the subject of the reviewable decision was sought are situated in the same participating jurisdiction—the jurisdiction in which the areas or routes are situated; or</w:t>
      </w:r>
    </w:p>
    <w:p w14:paraId="6EFA4A26" w14:textId="77777777" w:rsidR="00DB6E47" w:rsidRPr="00AF0085" w:rsidRDefault="00DB6E47" w:rsidP="00AF0085">
      <w:pPr>
        <w:pStyle w:val="aDefsubpara"/>
      </w:pPr>
      <w:r w:rsidRPr="00AF0085">
        <w:tab/>
        <w:t>(ii)</w:t>
      </w:r>
      <w:r w:rsidRPr="00AF0085">
        <w:tab/>
        <w:t>if the areas or routes for which the authorisation the subject of the reviewable decision was sought are situated in 2 or more participating jurisdictions—</w:t>
      </w:r>
    </w:p>
    <w:p w14:paraId="12FB7F2E" w14:textId="77777777" w:rsidR="00DB6E47" w:rsidRPr="00AF0085" w:rsidRDefault="00DB6E47" w:rsidP="00D3767F">
      <w:pPr>
        <w:pStyle w:val="Asubsubpara"/>
      </w:pPr>
      <w:r w:rsidRPr="00FF4454">
        <w:tab/>
      </w:r>
      <w:r w:rsidRPr="00AF0085">
        <w:t>(</w:t>
      </w:r>
      <w:r w:rsidR="00D3767F">
        <w:t>A</w:t>
      </w:r>
      <w:r w:rsidRPr="00AF0085">
        <w:t>)</w:t>
      </w:r>
      <w:r w:rsidRPr="00AF0085">
        <w:tab/>
        <w:t>the jurisdiction in which most of the areas or routes are situated, worked out by reference to the length of road covered by the areas or routes; or</w:t>
      </w:r>
    </w:p>
    <w:p w14:paraId="554AC66D" w14:textId="77777777" w:rsidR="00DB6E47" w:rsidRPr="00AF0085" w:rsidRDefault="00DB6E47" w:rsidP="00D3767F">
      <w:pPr>
        <w:pStyle w:val="Asubsubpara"/>
      </w:pPr>
      <w:r w:rsidRPr="00AF0085">
        <w:lastRenderedPageBreak/>
        <w:tab/>
        <w:t>(</w:t>
      </w:r>
      <w:r w:rsidR="00D3767F">
        <w:t>B</w:t>
      </w:r>
      <w:r w:rsidRPr="00AF0085">
        <w:t>)</w:t>
      </w:r>
      <w:r w:rsidRPr="00AF0085">
        <w:tab/>
        <w:t>if there is more than 1 jurisdic</w:t>
      </w:r>
      <w:r w:rsidR="00AF0085">
        <w:t xml:space="preserve">tion for which sub-subparagraph </w:t>
      </w:r>
      <w:r w:rsidRPr="00AF0085">
        <w:t>(</w:t>
      </w:r>
      <w:r w:rsidR="00223E43">
        <w:t>A</w:t>
      </w:r>
      <w:r w:rsidRPr="00AF0085">
        <w:t>)</w:t>
      </w:r>
      <w:r w:rsidR="00AF0085">
        <w:t xml:space="preserve"> </w:t>
      </w:r>
      <w:r w:rsidRPr="00AF0085">
        <w:t xml:space="preserve">is satisfied—any of the jurisdictions for which </w:t>
      </w:r>
      <w:r w:rsidR="00AF0085">
        <w:t xml:space="preserve">sub-subparagraph </w:t>
      </w:r>
      <w:r w:rsidRPr="00AF0085">
        <w:t>(</w:t>
      </w:r>
      <w:r w:rsidR="00223E43">
        <w:t>A</w:t>
      </w:r>
      <w:r w:rsidRPr="00AF0085">
        <w:t>)</w:t>
      </w:r>
      <w:r w:rsidR="00AF0085">
        <w:t xml:space="preserve"> </w:t>
      </w:r>
      <w:r w:rsidRPr="00AF0085">
        <w:t>is satisfied chosen by the applicant or appellant; or</w:t>
      </w:r>
    </w:p>
    <w:p w14:paraId="30AB1EB6" w14:textId="77777777" w:rsidR="00DB6E47" w:rsidRPr="006C3305" w:rsidRDefault="00DB6E47" w:rsidP="00DB6E47">
      <w:pPr>
        <w:pStyle w:val="aDefpara"/>
      </w:pPr>
      <w:r w:rsidRPr="00AF0085">
        <w:tab/>
        <w:t>(b)</w:t>
      </w:r>
      <w:r w:rsidRPr="00AF0085">
        <w:tab/>
        <w:t>for another reviewable decision</w:t>
      </w:r>
      <w:r w:rsidRPr="00FF4454">
        <w:rPr>
          <w:rStyle w:val="charBoldItals"/>
        </w:rPr>
        <w:t xml:space="preserve"> or review decision—</w:t>
      </w:r>
    </w:p>
    <w:p w14:paraId="2FC6012A" w14:textId="77777777" w:rsidR="00DB6E47" w:rsidRPr="006C3305" w:rsidRDefault="00DB6E47" w:rsidP="00DB6E47">
      <w:pPr>
        <w:pStyle w:val="aDefsubpara"/>
      </w:pPr>
      <w:r>
        <w:tab/>
      </w:r>
      <w:r w:rsidRPr="00F04D8E">
        <w:t>(i)</w:t>
      </w:r>
      <w:r w:rsidRPr="006C3305">
        <w:tab/>
        <w:t>if the reviewable decision or review decision relates to only 1 heavy vehicle whose relevant garage address is in a participating jurisdiction—the jurisdiction in which the relevant garage address is located; or</w:t>
      </w:r>
    </w:p>
    <w:p w14:paraId="5A2761F4" w14:textId="77777777" w:rsidR="00DB6E47" w:rsidRPr="00223E43" w:rsidRDefault="00DB6E47" w:rsidP="00223E43">
      <w:pPr>
        <w:pStyle w:val="aDefsubpara"/>
      </w:pPr>
      <w:r w:rsidRPr="00223E43">
        <w:tab/>
        <w:t>(ii)</w:t>
      </w:r>
      <w:r w:rsidRPr="00223E43">
        <w:tab/>
        <w:t>if the reviewable decision or review decision relates to 2 or more heavy vehicles whose relevant garage addresses are in the same participating jurisdiction—the jurisdiction in which the relevant garage addresses are located; or</w:t>
      </w:r>
    </w:p>
    <w:p w14:paraId="33E5A23C" w14:textId="77777777" w:rsidR="00DB6E47" w:rsidRPr="00223E43" w:rsidRDefault="00DB6E47" w:rsidP="00223E43">
      <w:pPr>
        <w:pStyle w:val="aDefsubpara"/>
      </w:pPr>
      <w:r w:rsidRPr="00223E43">
        <w:tab/>
        <w:t>(iii)</w:t>
      </w:r>
      <w:r w:rsidRPr="00223E43">
        <w:tab/>
        <w:t>if the reviewable decision or review decision relates to 2 or more heavy vehicles whose relevant garage addresses are located in 2 or more participating jurisdictions—any of those jurisdictions chosen by the operator of the vehicles; or</w:t>
      </w:r>
    </w:p>
    <w:p w14:paraId="0B8DB469" w14:textId="77777777" w:rsidR="00DB6E47" w:rsidRPr="00223E43" w:rsidRDefault="00DB6E47" w:rsidP="00223E43">
      <w:pPr>
        <w:pStyle w:val="aDefsubpara"/>
      </w:pPr>
      <w:r w:rsidRPr="00223E43">
        <w:tab/>
        <w:t>(iv)</w:t>
      </w:r>
      <w:r w:rsidRPr="00223E43">
        <w:tab/>
        <w:t>otherwise—the participating jurisdiction in which the applicant’s or appellant’s home address is located.</w:t>
      </w:r>
    </w:p>
    <w:p w14:paraId="564EE71A" w14:textId="77777777" w:rsidR="00DB6E47" w:rsidRPr="00041046" w:rsidRDefault="00DB6E47" w:rsidP="00DB6E47">
      <w:pPr>
        <w:pStyle w:val="aDef"/>
        <w:rPr>
          <w:bCs/>
        </w:rPr>
      </w:pPr>
      <w:r w:rsidRPr="00041046">
        <w:rPr>
          <w:rStyle w:val="charBoldItals"/>
        </w:rPr>
        <w:t>review application</w:t>
      </w:r>
      <w:r w:rsidRPr="00041046">
        <w:t xml:space="preserve"> means an application for review of a reviewable decision under Part 11.2.</w:t>
      </w:r>
    </w:p>
    <w:p w14:paraId="2C04AACF" w14:textId="77777777" w:rsidR="00DB6E47" w:rsidRPr="00041046" w:rsidRDefault="00DB6E47" w:rsidP="00DB6E47">
      <w:pPr>
        <w:pStyle w:val="aDef"/>
        <w:rPr>
          <w:bCs/>
        </w:rPr>
      </w:pPr>
      <w:r w:rsidRPr="00041046">
        <w:rPr>
          <w:rStyle w:val="charBoldItals"/>
        </w:rPr>
        <w:t xml:space="preserve">review decision </w:t>
      </w:r>
      <w:r w:rsidRPr="00041046">
        <w:t>has the meaning given by section 645.</w:t>
      </w:r>
    </w:p>
    <w:p w14:paraId="4A19A349" w14:textId="77777777" w:rsidR="00DB6E47" w:rsidRPr="00041046" w:rsidRDefault="00DB6E47" w:rsidP="00DB6E47">
      <w:pPr>
        <w:pStyle w:val="aDef"/>
        <w:rPr>
          <w:bCs/>
        </w:rPr>
      </w:pPr>
      <w:r w:rsidRPr="00041046">
        <w:rPr>
          <w:rStyle w:val="charBoldItals"/>
        </w:rPr>
        <w:t>reviewable decision</w:t>
      </w:r>
      <w:r w:rsidRPr="00041046">
        <w:t xml:space="preserve"> means—</w:t>
      </w:r>
    </w:p>
    <w:p w14:paraId="549A0A6D" w14:textId="77777777" w:rsidR="00DB6E47" w:rsidRPr="00223E43" w:rsidRDefault="00DB6E47" w:rsidP="00DB6E47">
      <w:pPr>
        <w:pStyle w:val="aDefpara"/>
      </w:pPr>
      <w:r w:rsidRPr="00FF4454">
        <w:tab/>
      </w:r>
      <w:r w:rsidRPr="00F04D8E">
        <w:rPr>
          <w:rFonts w:cs="Times"/>
          <w:bCs/>
          <w:iCs/>
        </w:rPr>
        <w:t>(a)</w:t>
      </w:r>
      <w:r w:rsidRPr="00FF4454">
        <w:rPr>
          <w:rStyle w:val="charBoldItals"/>
        </w:rPr>
        <w:tab/>
      </w:r>
      <w:r w:rsidRPr="00223E43">
        <w:t>a decision mentioned in Schedule 3; or</w:t>
      </w:r>
    </w:p>
    <w:p w14:paraId="348EC872" w14:textId="77777777" w:rsidR="00DB6E47" w:rsidRPr="00223E43" w:rsidRDefault="00DB6E47" w:rsidP="00DB6E47">
      <w:pPr>
        <w:pStyle w:val="aDefpara"/>
      </w:pPr>
      <w:r w:rsidRPr="00223E43">
        <w:tab/>
        <w:t>(b)</w:t>
      </w:r>
      <w:r w:rsidRPr="00223E43">
        <w:tab/>
        <w:t>a decision made under the national regulations prescribed as a reviewable decision for the purposes of this Chapter.</w:t>
      </w:r>
    </w:p>
    <w:p w14:paraId="64AC96E0" w14:textId="77777777" w:rsidR="00DB6E47" w:rsidRPr="00041046" w:rsidRDefault="00DB6E47" w:rsidP="00DB6E47">
      <w:pPr>
        <w:pStyle w:val="aDef"/>
        <w:rPr>
          <w:bCs/>
        </w:rPr>
      </w:pPr>
      <w:r w:rsidRPr="00041046">
        <w:rPr>
          <w:rStyle w:val="charBoldItals"/>
        </w:rPr>
        <w:t xml:space="preserve">reviewer </w:t>
      </w:r>
      <w:r w:rsidRPr="00041046">
        <w:t>means a person deciding a review of a reviewable decision under Part 11.2.</w:t>
      </w:r>
    </w:p>
    <w:p w14:paraId="4C250AEE" w14:textId="77777777" w:rsidR="00DB6E47" w:rsidRPr="003D647F" w:rsidRDefault="00DB6E47" w:rsidP="00DB6E47">
      <w:pPr>
        <w:pStyle w:val="PageBreak"/>
        <w:rPr>
          <w:rFonts w:eastAsiaTheme="minorHAnsi"/>
        </w:rPr>
      </w:pPr>
      <w:r w:rsidRPr="003D647F">
        <w:rPr>
          <w:rFonts w:eastAsiaTheme="minorHAnsi"/>
        </w:rPr>
        <w:br w:type="page"/>
      </w:r>
    </w:p>
    <w:p w14:paraId="44213A75" w14:textId="77777777" w:rsidR="00DB6E47" w:rsidRPr="005E03F7" w:rsidRDefault="00DB6E47" w:rsidP="00DB6E47">
      <w:pPr>
        <w:pStyle w:val="AH2Part"/>
      </w:pPr>
      <w:bookmarkStart w:id="791" w:name="_Toc83626135"/>
      <w:r w:rsidRPr="005E03F7">
        <w:rPr>
          <w:rStyle w:val="CharPartNo"/>
        </w:rPr>
        <w:lastRenderedPageBreak/>
        <w:t xml:space="preserve">Part 11.2 </w:t>
      </w:r>
      <w:r w:rsidRPr="00A95F9A">
        <w:rPr>
          <w:rFonts w:ascii="Helvetica" w:hAnsi="Helvetica" w:cs="Helvetica"/>
          <w:iCs/>
          <w:szCs w:val="32"/>
        </w:rPr>
        <w:tab/>
      </w:r>
      <w:r w:rsidRPr="005E03F7">
        <w:rPr>
          <w:rStyle w:val="CharPartText"/>
          <w:rFonts w:ascii="Helvetica" w:hAnsi="Helvetica" w:cs="Helvetica"/>
          <w:iCs/>
          <w:szCs w:val="32"/>
        </w:rPr>
        <w:t>Internal review</w:t>
      </w:r>
      <w:bookmarkEnd w:id="791"/>
    </w:p>
    <w:p w14:paraId="49CC66DB" w14:textId="77777777" w:rsidR="00DB6E47" w:rsidRPr="007E1F9A" w:rsidRDefault="00DB6E47" w:rsidP="00DB6E47">
      <w:pPr>
        <w:pStyle w:val="AH5Sec"/>
      </w:pPr>
      <w:bookmarkStart w:id="792" w:name="_Toc83626136"/>
      <w:r w:rsidRPr="005E03F7">
        <w:rPr>
          <w:rStyle w:val="CharSectNo"/>
        </w:rPr>
        <w:t>641</w:t>
      </w:r>
      <w:r w:rsidRPr="007E1F9A">
        <w:tab/>
      </w:r>
      <w:r w:rsidRPr="007E1F9A">
        <w:rPr>
          <w:rFonts w:ascii="Helvetica" w:hAnsi="Helvetica" w:cs="Helvetica"/>
          <w:iCs/>
        </w:rPr>
        <w:t>Applying for internal review</w:t>
      </w:r>
      <w:bookmarkEnd w:id="792"/>
    </w:p>
    <w:p w14:paraId="4192BCEB" w14:textId="77777777" w:rsidR="00DB6E47" w:rsidRPr="002F157F" w:rsidRDefault="00DB6E47" w:rsidP="00DB6E47">
      <w:pPr>
        <w:pStyle w:val="Amain"/>
      </w:pPr>
      <w:r w:rsidRPr="002F157F">
        <w:tab/>
        <w:t>(1)</w:t>
      </w:r>
      <w:r w:rsidRPr="002F157F">
        <w:tab/>
        <w:t>A dissatisfied person for a reviewable decision may apply to the Regulator for a review of the decision.</w:t>
      </w:r>
    </w:p>
    <w:p w14:paraId="356669A6" w14:textId="77777777" w:rsidR="00DB6E47" w:rsidRPr="002F157F" w:rsidRDefault="00DB6E47" w:rsidP="00DB6E47">
      <w:pPr>
        <w:pStyle w:val="Amain"/>
      </w:pPr>
      <w:r w:rsidRPr="002F157F">
        <w:tab/>
        <w:t>(2)</w:t>
      </w:r>
      <w:r w:rsidRPr="002F157F">
        <w:tab/>
        <w:t>A review application may be made only within 28 days after—</w:t>
      </w:r>
    </w:p>
    <w:p w14:paraId="34EFDCD2" w14:textId="77777777" w:rsidR="00DB6E47" w:rsidRPr="002F157F" w:rsidRDefault="00DB6E47" w:rsidP="00D3767F">
      <w:pPr>
        <w:pStyle w:val="Apara"/>
      </w:pPr>
      <w:r w:rsidRPr="002F157F">
        <w:tab/>
        <w:t>(a)</w:t>
      </w:r>
      <w:r w:rsidRPr="002F157F">
        <w:tab/>
        <w:t>the day the person is notified of the decision; or</w:t>
      </w:r>
    </w:p>
    <w:p w14:paraId="70F7441F" w14:textId="77777777" w:rsidR="00DB6E47" w:rsidRPr="00CD58B9" w:rsidRDefault="00996684" w:rsidP="00D3767F">
      <w:pPr>
        <w:pStyle w:val="Apara"/>
      </w:pPr>
      <w:r>
        <w:rPr>
          <w:rStyle w:val="listnumber"/>
          <w:color w:val="000000"/>
          <w:sz w:val="23"/>
          <w:szCs w:val="23"/>
          <w:lang w:val="en"/>
        </w:rPr>
        <w:tab/>
      </w:r>
      <w:r w:rsidRPr="00CD58B9">
        <w:t>(b)</w:t>
      </w:r>
      <w:r w:rsidRPr="00CD58B9">
        <w:tab/>
        <w:t>if a provision of this Law requires that the person be given a statement of reasons for the decision—the day the statement is given to the person.</w:t>
      </w:r>
    </w:p>
    <w:p w14:paraId="58FD3F50" w14:textId="77777777" w:rsidR="00DB6E47" w:rsidRPr="002F157F" w:rsidRDefault="00DB6E47" w:rsidP="00DB6E47">
      <w:pPr>
        <w:pStyle w:val="Amain"/>
      </w:pPr>
      <w:r w:rsidRPr="002F157F">
        <w:tab/>
        <w:t>(3)</w:t>
      </w:r>
      <w:r w:rsidRPr="002F157F">
        <w:tab/>
        <w:t>However, the Regulator may, at any time, extend the time for making a review application.</w:t>
      </w:r>
    </w:p>
    <w:p w14:paraId="0672C931" w14:textId="77777777" w:rsidR="00DB6E47" w:rsidRPr="002F157F" w:rsidRDefault="00DB6E47" w:rsidP="00DB6E47">
      <w:pPr>
        <w:pStyle w:val="Amain"/>
      </w:pPr>
      <w:r w:rsidRPr="002F157F">
        <w:tab/>
        <w:t>(4)</w:t>
      </w:r>
      <w:r w:rsidRPr="002F157F">
        <w:tab/>
        <w:t>A review application must—</w:t>
      </w:r>
    </w:p>
    <w:p w14:paraId="7C9D0A34" w14:textId="77777777" w:rsidR="00DB6E47" w:rsidRPr="00544ED5" w:rsidRDefault="00DB6E47" w:rsidP="00DB6E47">
      <w:pPr>
        <w:pStyle w:val="Apara"/>
      </w:pPr>
      <w:r w:rsidRPr="00544ED5">
        <w:tab/>
        <w:t>(a)</w:t>
      </w:r>
      <w:r w:rsidRPr="00544ED5">
        <w:tab/>
        <w:t>be written; and</w:t>
      </w:r>
    </w:p>
    <w:p w14:paraId="2F9D6FF1" w14:textId="77777777" w:rsidR="00DB6E47" w:rsidRPr="00544ED5" w:rsidRDefault="00DB6E47" w:rsidP="00DB6E47">
      <w:pPr>
        <w:pStyle w:val="Apara"/>
      </w:pPr>
      <w:r w:rsidRPr="00544ED5">
        <w:tab/>
        <w:t>(b)</w:t>
      </w:r>
      <w:r w:rsidRPr="00544ED5">
        <w:tab/>
        <w:t>be accompanied by the prescribed fee for the application; and</w:t>
      </w:r>
    </w:p>
    <w:p w14:paraId="45DC3E8D" w14:textId="77777777" w:rsidR="00DB6E47" w:rsidRPr="00544ED5" w:rsidRDefault="00DB6E47" w:rsidP="00DB6E47">
      <w:pPr>
        <w:pStyle w:val="Apara"/>
      </w:pPr>
      <w:r w:rsidRPr="00544ED5">
        <w:tab/>
        <w:t>(c)</w:t>
      </w:r>
      <w:r w:rsidRPr="00544ED5">
        <w:tab/>
        <w:t>state in detail the grounds on which the person wants the reviewable decision to be reviewed.</w:t>
      </w:r>
    </w:p>
    <w:p w14:paraId="2D58846F" w14:textId="77777777" w:rsidR="00DB6E47" w:rsidRPr="002F157F" w:rsidRDefault="00DB6E47" w:rsidP="00DB6E47">
      <w:pPr>
        <w:pStyle w:val="Amain"/>
      </w:pPr>
      <w:r w:rsidRPr="002F157F">
        <w:tab/>
        <w:t>(5)</w:t>
      </w:r>
      <w:r w:rsidRPr="002F157F">
        <w:tab/>
        <w:t xml:space="preserve">The person is entitled to receive a statement of reasons for the </w:t>
      </w:r>
      <w:r w:rsidR="00996684" w:rsidRPr="00CD58B9">
        <w:t>reviewable</w:t>
      </w:r>
      <w:r w:rsidR="00996684">
        <w:rPr>
          <w:color w:val="000000"/>
          <w:sz w:val="23"/>
          <w:szCs w:val="23"/>
          <w:lang w:val="en"/>
        </w:rPr>
        <w:t xml:space="preserve"> </w:t>
      </w:r>
      <w:r w:rsidRPr="002F157F">
        <w:t>decision whether or not the provision under which the decision is made requires that the person be given a statement of reasons for the decision.</w:t>
      </w:r>
    </w:p>
    <w:p w14:paraId="37DD6EAA" w14:textId="77777777" w:rsidR="00996684" w:rsidRPr="00996684" w:rsidRDefault="00996684" w:rsidP="00996684">
      <w:pPr>
        <w:pStyle w:val="Amain"/>
        <w:rPr>
          <w:lang w:val="en" w:eastAsia="en-AU"/>
        </w:rPr>
      </w:pPr>
      <w:r>
        <w:rPr>
          <w:lang w:val="en" w:eastAsia="en-AU"/>
        </w:rPr>
        <w:tab/>
      </w:r>
      <w:r w:rsidRPr="00996684">
        <w:rPr>
          <w:lang w:val="en" w:eastAsia="en-AU"/>
        </w:rPr>
        <w:t>(6)</w:t>
      </w:r>
      <w:r>
        <w:rPr>
          <w:lang w:val="en" w:eastAsia="en-AU"/>
        </w:rPr>
        <w:tab/>
      </w:r>
      <w:r w:rsidRPr="00996684">
        <w:rPr>
          <w:lang w:val="en" w:eastAsia="en-AU"/>
        </w:rPr>
        <w:t>If the person is given a decision notice, but not an information notice, for the reviewable decision—</w:t>
      </w:r>
    </w:p>
    <w:p w14:paraId="44EB4F84" w14:textId="77777777" w:rsidR="00996684" w:rsidRPr="00996684" w:rsidRDefault="00996684" w:rsidP="00996684">
      <w:pPr>
        <w:pStyle w:val="Apara"/>
        <w:rPr>
          <w:lang w:val="en" w:eastAsia="en-AU"/>
        </w:rPr>
      </w:pPr>
      <w:r>
        <w:rPr>
          <w:lang w:val="en" w:eastAsia="en-AU"/>
        </w:rPr>
        <w:tab/>
      </w:r>
      <w:r w:rsidRPr="00996684">
        <w:rPr>
          <w:lang w:val="en" w:eastAsia="en-AU"/>
        </w:rPr>
        <w:t>(a)</w:t>
      </w:r>
      <w:r>
        <w:rPr>
          <w:lang w:val="en" w:eastAsia="en-AU"/>
        </w:rPr>
        <w:tab/>
      </w:r>
      <w:r w:rsidRPr="00996684">
        <w:rPr>
          <w:lang w:val="en" w:eastAsia="en-AU"/>
        </w:rPr>
        <w:t>the decision notice must state that, within 28 days after the notice is given to the person, the person may ask the Regulator for a statement of reasons for the decision; and</w:t>
      </w:r>
    </w:p>
    <w:p w14:paraId="12565A0A" w14:textId="77777777" w:rsidR="00996684" w:rsidRPr="00996684" w:rsidRDefault="00996684" w:rsidP="00996684">
      <w:pPr>
        <w:pStyle w:val="Apara"/>
        <w:rPr>
          <w:lang w:val="en" w:eastAsia="en-AU"/>
        </w:rPr>
      </w:pPr>
      <w:r>
        <w:rPr>
          <w:lang w:val="en" w:eastAsia="en-AU"/>
        </w:rPr>
        <w:lastRenderedPageBreak/>
        <w:tab/>
      </w:r>
      <w:r w:rsidRPr="00996684">
        <w:rPr>
          <w:lang w:val="en" w:eastAsia="en-AU"/>
        </w:rPr>
        <w:t>(b)</w:t>
      </w:r>
      <w:r>
        <w:rPr>
          <w:lang w:val="en" w:eastAsia="en-AU"/>
        </w:rPr>
        <w:tab/>
      </w:r>
      <w:r w:rsidRPr="00996684">
        <w:rPr>
          <w:lang w:val="en" w:eastAsia="en-AU"/>
        </w:rPr>
        <w:t>the person may, within 28 days after a decision notice complying with paragraph (a) is given to the person, ask the Regulator for a statement of reasons for the decision.</w:t>
      </w:r>
    </w:p>
    <w:p w14:paraId="15C8F85E" w14:textId="77777777" w:rsidR="00996684" w:rsidRPr="00996684" w:rsidRDefault="00996684" w:rsidP="00996684">
      <w:pPr>
        <w:pStyle w:val="Amain"/>
        <w:rPr>
          <w:lang w:val="en" w:eastAsia="en-AU"/>
        </w:rPr>
      </w:pPr>
      <w:r>
        <w:rPr>
          <w:lang w:val="en" w:eastAsia="en-AU"/>
        </w:rPr>
        <w:tab/>
      </w:r>
      <w:r w:rsidRPr="00996684">
        <w:rPr>
          <w:lang w:val="en" w:eastAsia="en-AU"/>
        </w:rPr>
        <w:t>(6A)</w:t>
      </w:r>
      <w:r>
        <w:rPr>
          <w:lang w:val="en" w:eastAsia="en-AU"/>
        </w:rPr>
        <w:tab/>
      </w:r>
      <w:r w:rsidRPr="00996684">
        <w:rPr>
          <w:lang w:val="en" w:eastAsia="en-AU"/>
        </w:rPr>
        <w:t>Within 28 days after the request is made under subsection (6)(b), the Regulator must give the person a statement of reasons.</w:t>
      </w:r>
    </w:p>
    <w:p w14:paraId="59ECF39B" w14:textId="77777777" w:rsidR="00DB6E47" w:rsidRPr="002F157F" w:rsidRDefault="00DB6E47" w:rsidP="00DB6E47">
      <w:pPr>
        <w:pStyle w:val="Amain"/>
      </w:pPr>
      <w:r w:rsidRPr="002F157F">
        <w:tab/>
        <w:t>(7)</w:t>
      </w:r>
      <w:r w:rsidRPr="002F157F">
        <w:tab/>
        <w:t>The making of a review application does not affect the reviewable decision, or the carrying out of the reviewable decision, unless it is stayed under section 642.</w:t>
      </w:r>
    </w:p>
    <w:p w14:paraId="724A69C2" w14:textId="77777777" w:rsidR="00DB6E47" w:rsidRPr="002F157F" w:rsidRDefault="00DB6E47" w:rsidP="00E56847">
      <w:pPr>
        <w:pStyle w:val="Amain"/>
        <w:keepNext/>
      </w:pPr>
      <w:r w:rsidRPr="002F157F">
        <w:tab/>
        <w:t>(8)</w:t>
      </w:r>
      <w:r w:rsidRPr="002F157F">
        <w:tab/>
        <w:t>In this section—</w:t>
      </w:r>
    </w:p>
    <w:p w14:paraId="2BC81942" w14:textId="77777777" w:rsidR="00996684" w:rsidRPr="00996684" w:rsidRDefault="00996684" w:rsidP="00996684">
      <w:pPr>
        <w:pStyle w:val="aDef"/>
        <w:rPr>
          <w:lang w:val="en" w:eastAsia="en-AU"/>
        </w:rPr>
      </w:pPr>
      <w:r w:rsidRPr="00996684">
        <w:rPr>
          <w:b/>
          <w:bCs/>
          <w:i/>
          <w:iCs/>
          <w:lang w:val="en" w:eastAsia="en-AU"/>
        </w:rPr>
        <w:t>decision notice</w:t>
      </w:r>
      <w:r w:rsidRPr="00996684">
        <w:rPr>
          <w:lang w:val="en" w:eastAsia="en-AU"/>
        </w:rPr>
        <w:t>, for a decision, means a notice stating—</w:t>
      </w:r>
    </w:p>
    <w:p w14:paraId="367DD477" w14:textId="77777777" w:rsidR="00996684" w:rsidRPr="00996684" w:rsidRDefault="00996684" w:rsidP="00996684">
      <w:pPr>
        <w:pStyle w:val="aDefpara"/>
        <w:rPr>
          <w:lang w:val="en" w:eastAsia="en-AU"/>
        </w:rPr>
      </w:pPr>
      <w:r>
        <w:rPr>
          <w:lang w:val="en" w:eastAsia="en-AU"/>
        </w:rPr>
        <w:tab/>
      </w:r>
      <w:r w:rsidRPr="00996684">
        <w:rPr>
          <w:lang w:val="en" w:eastAsia="en-AU"/>
        </w:rPr>
        <w:t>(a)</w:t>
      </w:r>
      <w:r>
        <w:rPr>
          <w:lang w:val="en" w:eastAsia="en-AU"/>
        </w:rPr>
        <w:tab/>
      </w:r>
      <w:r w:rsidRPr="00996684">
        <w:rPr>
          <w:lang w:val="en" w:eastAsia="en-AU"/>
        </w:rPr>
        <w:t>the decision; or</w:t>
      </w:r>
    </w:p>
    <w:p w14:paraId="144CAAC1" w14:textId="77777777" w:rsidR="00996684" w:rsidRPr="00996684" w:rsidRDefault="00996684" w:rsidP="00996684">
      <w:pPr>
        <w:pStyle w:val="aDefpara"/>
        <w:rPr>
          <w:lang w:val="en" w:eastAsia="en-AU"/>
        </w:rPr>
      </w:pPr>
      <w:r>
        <w:rPr>
          <w:lang w:val="en" w:eastAsia="en-AU"/>
        </w:rPr>
        <w:tab/>
      </w:r>
      <w:r w:rsidRPr="00996684">
        <w:rPr>
          <w:lang w:val="en" w:eastAsia="en-AU"/>
        </w:rPr>
        <w:t>(b)</w:t>
      </w:r>
      <w:r>
        <w:rPr>
          <w:lang w:val="en" w:eastAsia="en-AU"/>
        </w:rPr>
        <w:tab/>
      </w:r>
      <w:r w:rsidRPr="00996684">
        <w:rPr>
          <w:lang w:val="en" w:eastAsia="en-AU"/>
        </w:rPr>
        <w:t>the review and appeal information for the decision.</w:t>
      </w:r>
    </w:p>
    <w:p w14:paraId="5C3F7991" w14:textId="77777777" w:rsidR="00DB6E47" w:rsidRPr="00041046" w:rsidRDefault="00DB6E47" w:rsidP="00DB6E47">
      <w:pPr>
        <w:pStyle w:val="aDef"/>
        <w:rPr>
          <w:bCs/>
        </w:rPr>
      </w:pPr>
      <w:r w:rsidRPr="00041046">
        <w:rPr>
          <w:rStyle w:val="charBoldItals"/>
        </w:rPr>
        <w:t>dissatisfied person</w:t>
      </w:r>
      <w:r w:rsidRPr="00041046">
        <w:t xml:space="preserve"> means—</w:t>
      </w:r>
    </w:p>
    <w:p w14:paraId="0A278626" w14:textId="77777777" w:rsidR="00DB6E47" w:rsidRPr="00223E43" w:rsidRDefault="00DB6E47" w:rsidP="00DB6E47">
      <w:pPr>
        <w:pStyle w:val="aDefpara"/>
      </w:pPr>
      <w:r w:rsidRPr="00FF4454">
        <w:tab/>
      </w:r>
      <w:r w:rsidRPr="00F04D8E">
        <w:rPr>
          <w:rFonts w:cs="Times"/>
          <w:bCs/>
          <w:iCs/>
        </w:rPr>
        <w:t>(a)</w:t>
      </w:r>
      <w:r w:rsidRPr="00FF4454">
        <w:rPr>
          <w:rStyle w:val="charBoldItals"/>
        </w:rPr>
        <w:tab/>
      </w:r>
      <w:r w:rsidRPr="00223E43">
        <w:t>for a reviewable decision of the Regulator made in relation to an application for an exemption, authorisation, approval or heavy vehicle accreditation under this Law—the applicant; or</w:t>
      </w:r>
    </w:p>
    <w:p w14:paraId="29520472" w14:textId="77777777" w:rsidR="00DB6E47" w:rsidRPr="00223E43" w:rsidRDefault="00DB6E47" w:rsidP="00DB6E47">
      <w:pPr>
        <w:pStyle w:val="aDefpara"/>
      </w:pPr>
      <w:r w:rsidRPr="00223E43">
        <w:tab/>
        <w:t>(b)</w:t>
      </w:r>
      <w:r w:rsidRPr="00223E43">
        <w:tab/>
        <w:t>for a reviewable decision of the Regulator not to make a decision sought in an application for an amendment of an exemption, authorisation, approval or heavy vehicle accreditation under this Law—the applicant; or</w:t>
      </w:r>
    </w:p>
    <w:p w14:paraId="4A815C6F" w14:textId="77777777" w:rsidR="00DB6E47" w:rsidRPr="00223E43" w:rsidRDefault="00DB6E47" w:rsidP="00DB6E47">
      <w:pPr>
        <w:pStyle w:val="aDefpara"/>
      </w:pPr>
      <w:r w:rsidRPr="00223E43">
        <w:tab/>
        <w:t>(c)</w:t>
      </w:r>
      <w:r w:rsidRPr="00223E43">
        <w:tab/>
        <w:t>for a reviewable decision of the Regulator to amend, cancel or suspend an exemption, authorisation, approval or heavy vehicle accreditation under this Law—the person to whom the exemption, authorisation, approval or heavy vehicle accreditation was granted; or</w:t>
      </w:r>
    </w:p>
    <w:p w14:paraId="5FC3F20D" w14:textId="77777777" w:rsidR="00DB6E47" w:rsidRPr="00223E43" w:rsidRDefault="00DB6E47" w:rsidP="00DB6E47">
      <w:pPr>
        <w:pStyle w:val="aDefpara"/>
      </w:pPr>
      <w:r w:rsidRPr="00223E43">
        <w:tab/>
        <w:t>(d)</w:t>
      </w:r>
      <w:r w:rsidRPr="00223E43">
        <w:tab/>
        <w:t xml:space="preserve">for a reviewable decision of the Regulator not to give a replacement permit for an exemption or authorisation under this Law or not to give a replacement accreditation certificate for a heavy vehicle accreditation under this Law—the person to </w:t>
      </w:r>
      <w:r w:rsidRPr="00223E43">
        <w:lastRenderedPageBreak/>
        <w:t>whom the exemption, authorisation or heavy vehicle accreditation was granted; or</w:t>
      </w:r>
    </w:p>
    <w:p w14:paraId="7B29D3DB" w14:textId="77777777" w:rsidR="00DB6E47" w:rsidRPr="00223E43" w:rsidRDefault="00DB6E47" w:rsidP="00DB6E47">
      <w:pPr>
        <w:pStyle w:val="aDefpara"/>
      </w:pPr>
      <w:r w:rsidRPr="00223E43">
        <w:tab/>
        <w:t>(e)</w:t>
      </w:r>
      <w:r w:rsidRPr="00223E43">
        <w:tab/>
        <w:t>for a reviewable decision of the Regulator that a thing or sample is forfeited to the Regulator—an owner of the thing or sample; or</w:t>
      </w:r>
    </w:p>
    <w:p w14:paraId="0EB1716C" w14:textId="77777777" w:rsidR="003D1150" w:rsidRDefault="003D1150" w:rsidP="003D1150">
      <w:pPr>
        <w:pStyle w:val="Apara"/>
        <w:rPr>
          <w:lang w:val="en"/>
        </w:rPr>
      </w:pPr>
      <w:r w:rsidRPr="003323FC">
        <w:tab/>
        <w:t>(f)</w:t>
      </w:r>
      <w:r w:rsidRPr="003323FC">
        <w:tab/>
      </w:r>
      <w:r>
        <w:rPr>
          <w:lang w:val="en"/>
        </w:rPr>
        <w:t>for a reviewable decision of an authorised officer to give a person an improvement notice or prohibition notice, or to amend an improvement notice or prohibition notice given to a person—the person to whom the notice was given; or</w:t>
      </w:r>
    </w:p>
    <w:p w14:paraId="4858EF43" w14:textId="77777777" w:rsidR="00DB6E47" w:rsidRPr="00223E43" w:rsidRDefault="00DB6E47" w:rsidP="00DB6E47">
      <w:pPr>
        <w:pStyle w:val="aDefpara"/>
      </w:pPr>
      <w:r w:rsidRPr="00223E43">
        <w:tab/>
        <w:t>(g)</w:t>
      </w:r>
      <w:r w:rsidRPr="00223E43">
        <w:tab/>
        <w:t>for a reviewable decision of a relevant road manager for a mass or dimension authority—a person adversely affected by the decision; or</w:t>
      </w:r>
    </w:p>
    <w:p w14:paraId="16DFAB91" w14:textId="77777777" w:rsidR="00DB6E47" w:rsidRPr="00223E43" w:rsidRDefault="00DB6E47" w:rsidP="00DB6E47">
      <w:pPr>
        <w:pStyle w:val="aDefpara"/>
      </w:pPr>
      <w:r w:rsidRPr="00223E43">
        <w:tab/>
        <w:t>(h)</w:t>
      </w:r>
      <w:r w:rsidRPr="00223E43">
        <w:tab/>
        <w:t>for a reviewable decision made under the national regulations—the person prescribed as the dissatisfied person for the decision under the national regulations.</w:t>
      </w:r>
    </w:p>
    <w:p w14:paraId="1DC5A56E" w14:textId="77777777" w:rsidR="00DB6E47" w:rsidRPr="007E1F9A" w:rsidRDefault="00DB6E47" w:rsidP="00DB6E47">
      <w:pPr>
        <w:pStyle w:val="AH5Sec"/>
      </w:pPr>
      <w:bookmarkStart w:id="793" w:name="_Toc83626137"/>
      <w:r w:rsidRPr="005E03F7">
        <w:rPr>
          <w:rStyle w:val="CharSectNo"/>
        </w:rPr>
        <w:t>642</w:t>
      </w:r>
      <w:r w:rsidRPr="007E1F9A">
        <w:tab/>
      </w:r>
      <w:r w:rsidRPr="007E1F9A">
        <w:rPr>
          <w:rFonts w:ascii="Helvetica" w:hAnsi="Helvetica" w:cs="Helvetica"/>
          <w:iCs/>
        </w:rPr>
        <w:t>Stay of reviewable decisions made by Regulator or authorised officer</w:t>
      </w:r>
      <w:bookmarkEnd w:id="793"/>
    </w:p>
    <w:p w14:paraId="426838F0" w14:textId="77777777" w:rsidR="00DB6E47" w:rsidRPr="002F157F" w:rsidRDefault="00DB6E47" w:rsidP="00DB6E47">
      <w:pPr>
        <w:pStyle w:val="Amain"/>
      </w:pPr>
      <w:r w:rsidRPr="002F157F">
        <w:tab/>
        <w:t>(1)</w:t>
      </w:r>
      <w:r w:rsidRPr="002F157F">
        <w:tab/>
        <w:t>This section applies to—</w:t>
      </w:r>
    </w:p>
    <w:p w14:paraId="335D3012" w14:textId="77777777" w:rsidR="00DB6E47" w:rsidRPr="00544ED5" w:rsidRDefault="00DB6E47" w:rsidP="00DB6E47">
      <w:pPr>
        <w:pStyle w:val="Apara"/>
      </w:pPr>
      <w:r w:rsidRPr="00544ED5">
        <w:tab/>
        <w:t>(a)</w:t>
      </w:r>
      <w:r w:rsidRPr="00544ED5">
        <w:tab/>
        <w:t>a reviewable decision made by the Regulator other than a decision made on the basis of a public safety ground; or</w:t>
      </w:r>
    </w:p>
    <w:p w14:paraId="1909F710" w14:textId="77777777" w:rsidR="00DB6E47" w:rsidRPr="00544ED5" w:rsidRDefault="00DB6E47" w:rsidP="00DB6E47">
      <w:pPr>
        <w:pStyle w:val="Apara"/>
      </w:pPr>
      <w:r w:rsidRPr="00544ED5">
        <w:tab/>
        <w:t>(b)</w:t>
      </w:r>
      <w:r w:rsidRPr="00544ED5">
        <w:tab/>
        <w:t>a reviewable decision made by an authorised officer.</w:t>
      </w:r>
    </w:p>
    <w:p w14:paraId="2E57D018" w14:textId="77777777" w:rsidR="00DB6E47" w:rsidRPr="002F157F" w:rsidRDefault="00DB6E47" w:rsidP="00DB6E47">
      <w:pPr>
        <w:pStyle w:val="Amain"/>
      </w:pPr>
      <w:r w:rsidRPr="002F157F">
        <w:tab/>
        <w:t>(2)</w:t>
      </w:r>
      <w:r w:rsidRPr="002F157F">
        <w:tab/>
        <w:t>If a person makes a review application for the reviewable decision, the person may immediately apply for a stay of the decision to the relevant appeal body.</w:t>
      </w:r>
    </w:p>
    <w:p w14:paraId="79D6F3CB" w14:textId="77777777" w:rsidR="00DB6E47" w:rsidRPr="002F157F" w:rsidRDefault="00DB6E47" w:rsidP="00DB6E47">
      <w:pPr>
        <w:pStyle w:val="Amain"/>
      </w:pPr>
      <w:r w:rsidRPr="002F157F">
        <w:tab/>
        <w:t>(3)</w:t>
      </w:r>
      <w:r w:rsidRPr="002F157F">
        <w:tab/>
        <w:t>The relevant appeal body may stay the reviewable decision to secure the effectiveness of the review and any later appeal to the body.</w:t>
      </w:r>
    </w:p>
    <w:p w14:paraId="4653B319" w14:textId="77777777" w:rsidR="00DB6E47" w:rsidRPr="002F157F" w:rsidRDefault="00DB6E47" w:rsidP="00DB6E47">
      <w:pPr>
        <w:pStyle w:val="Amain"/>
      </w:pPr>
      <w:r w:rsidRPr="002F157F">
        <w:tab/>
        <w:t>(4)</w:t>
      </w:r>
      <w:r w:rsidRPr="002F157F">
        <w:tab/>
        <w:t>In setting the time for hearing the stay application, the relevant appeal body must allow at least 3 business days between the day the application is filed with it and the hearing day.</w:t>
      </w:r>
    </w:p>
    <w:p w14:paraId="140AA5C5" w14:textId="77777777" w:rsidR="00DB6E47" w:rsidRPr="002F157F" w:rsidRDefault="00DB6E47" w:rsidP="00DB6E47">
      <w:pPr>
        <w:pStyle w:val="Amain"/>
      </w:pPr>
      <w:r w:rsidRPr="002F157F">
        <w:lastRenderedPageBreak/>
        <w:tab/>
        <w:t>(5)</w:t>
      </w:r>
      <w:r w:rsidRPr="002F157F">
        <w:tab/>
        <w:t>The Regulator is a party to the application.</w:t>
      </w:r>
    </w:p>
    <w:p w14:paraId="77862851" w14:textId="77777777" w:rsidR="00DB6E47" w:rsidRPr="002F157F" w:rsidRDefault="00DB6E47" w:rsidP="00DB6E47">
      <w:pPr>
        <w:pStyle w:val="Amain"/>
      </w:pPr>
      <w:r w:rsidRPr="002F157F">
        <w:tab/>
        <w:t>(6)</w:t>
      </w:r>
      <w:r w:rsidRPr="002F157F">
        <w:tab/>
        <w:t>The person must serve a copy of the application showing the time and place of the hearing, and any document filed in the relevant appeal body with the application, on the Regulator at least 2 business days before the hearing.</w:t>
      </w:r>
    </w:p>
    <w:p w14:paraId="70C59CA4" w14:textId="77777777" w:rsidR="00DB6E47" w:rsidRPr="002F157F" w:rsidRDefault="00DB6E47" w:rsidP="00DB6E47">
      <w:pPr>
        <w:pStyle w:val="Amain"/>
      </w:pPr>
      <w:r w:rsidRPr="002F157F">
        <w:tab/>
        <w:t>(7)</w:t>
      </w:r>
      <w:r w:rsidRPr="002F157F">
        <w:tab/>
        <w:t>The stay—</w:t>
      </w:r>
    </w:p>
    <w:p w14:paraId="68172B19" w14:textId="77777777" w:rsidR="00DB6E47" w:rsidRPr="00544ED5" w:rsidRDefault="00DB6E47" w:rsidP="00DB6E47">
      <w:pPr>
        <w:pStyle w:val="Apara"/>
      </w:pPr>
      <w:r w:rsidRPr="00544ED5">
        <w:tab/>
        <w:t>(a)</w:t>
      </w:r>
      <w:r w:rsidRPr="00544ED5">
        <w:tab/>
        <w:t>may be given on conditions the relevant appeal body considers appropriate; and</w:t>
      </w:r>
    </w:p>
    <w:p w14:paraId="5BDD5118" w14:textId="77777777" w:rsidR="00DB6E47" w:rsidRPr="00544ED5" w:rsidRDefault="00DB6E47" w:rsidP="00DB6E47">
      <w:pPr>
        <w:pStyle w:val="Apara"/>
      </w:pPr>
      <w:r w:rsidRPr="00544ED5">
        <w:tab/>
        <w:t>(b)</w:t>
      </w:r>
      <w:r w:rsidRPr="00544ED5">
        <w:tab/>
        <w:t>operates for the period specified by the relevant appeal body; and</w:t>
      </w:r>
    </w:p>
    <w:p w14:paraId="547CFEF4" w14:textId="77777777" w:rsidR="00DB6E47" w:rsidRPr="00544ED5" w:rsidRDefault="00DB6E47" w:rsidP="00DB6E47">
      <w:pPr>
        <w:pStyle w:val="Apara"/>
      </w:pPr>
      <w:r w:rsidRPr="00544ED5">
        <w:tab/>
        <w:t>(c)</w:t>
      </w:r>
      <w:r w:rsidRPr="00544ED5">
        <w:tab/>
        <w:t>may be revoked or amended by the relevant appeal body.</w:t>
      </w:r>
    </w:p>
    <w:p w14:paraId="5A4DAC6F" w14:textId="77777777" w:rsidR="00DB6E47" w:rsidRPr="002F157F" w:rsidRDefault="00DB6E47" w:rsidP="00DB6E47">
      <w:pPr>
        <w:pStyle w:val="Amain"/>
      </w:pPr>
      <w:r w:rsidRPr="002F157F">
        <w:tab/>
        <w:t>(8)</w:t>
      </w:r>
      <w:r w:rsidRPr="002F157F">
        <w:tab/>
        <w:t>The period of a stay under this section must not extend past the time when the reviewer reviews the reviewable decision and any later period the relevant appeal body allows the applicant to enable the applicant to appeal against the decision.</w:t>
      </w:r>
    </w:p>
    <w:p w14:paraId="70DCF756" w14:textId="77777777" w:rsidR="00DB6E47" w:rsidRPr="007E1F9A" w:rsidRDefault="00DB6E47" w:rsidP="00DB6E47">
      <w:pPr>
        <w:pStyle w:val="AH5Sec"/>
      </w:pPr>
      <w:bookmarkStart w:id="794" w:name="_Toc83626138"/>
      <w:r w:rsidRPr="005E03F7">
        <w:rPr>
          <w:rStyle w:val="CharSectNo"/>
        </w:rPr>
        <w:t>643</w:t>
      </w:r>
      <w:r w:rsidRPr="007E1F9A">
        <w:tab/>
      </w:r>
      <w:r w:rsidRPr="007E1F9A">
        <w:rPr>
          <w:rFonts w:ascii="Helvetica" w:hAnsi="Helvetica" w:cs="Helvetica"/>
          <w:iCs/>
        </w:rPr>
        <w:t>Referral of applications for review of decisions made by road managers</w:t>
      </w:r>
      <w:bookmarkEnd w:id="794"/>
    </w:p>
    <w:p w14:paraId="6809965A" w14:textId="77777777" w:rsidR="00DB6E47" w:rsidRPr="002F157F" w:rsidRDefault="00DB6E47" w:rsidP="00DB6E47">
      <w:pPr>
        <w:pStyle w:val="Amain"/>
      </w:pPr>
      <w:r w:rsidRPr="002F157F">
        <w:tab/>
        <w:t>(1)</w:t>
      </w:r>
      <w:r w:rsidRPr="002F157F">
        <w:tab/>
        <w:t>This section applies to a review application relating to a reviewable decision made by a road manager for a road.</w:t>
      </w:r>
    </w:p>
    <w:p w14:paraId="52D9DB21" w14:textId="77777777" w:rsidR="00DB6E47" w:rsidRPr="00C96203" w:rsidRDefault="00DB6E47" w:rsidP="00DB6E47">
      <w:pPr>
        <w:pStyle w:val="aNote"/>
      </w:pPr>
      <w:r w:rsidRPr="00FF4454">
        <w:rPr>
          <w:rStyle w:val="charItals"/>
        </w:rPr>
        <w:t>Note</w:t>
      </w:r>
      <w:r w:rsidRPr="00C96203">
        <w:rPr>
          <w:rFonts w:cs="Times"/>
          <w:bCs/>
          <w:iCs/>
        </w:rPr>
        <w:t>—</w:t>
      </w:r>
    </w:p>
    <w:p w14:paraId="0AB85210" w14:textId="77777777" w:rsidR="00DB6E47" w:rsidRPr="00C96203" w:rsidRDefault="00DB6E47" w:rsidP="00DB6E47">
      <w:pPr>
        <w:pStyle w:val="aNoteTextss"/>
      </w:pPr>
      <w:r w:rsidRPr="00C96203">
        <w:t>In Schedule 3, only decisions made by a road manager (for a road) that is a public authority are reviewable decisions.</w:t>
      </w:r>
    </w:p>
    <w:p w14:paraId="5C30F7D1" w14:textId="77777777" w:rsidR="00DB6E47" w:rsidRPr="002F157F" w:rsidRDefault="00DB6E47" w:rsidP="00DB6E47">
      <w:pPr>
        <w:pStyle w:val="Amain"/>
      </w:pPr>
      <w:r w:rsidRPr="002F157F">
        <w:tab/>
        <w:t>(2)</w:t>
      </w:r>
      <w:r w:rsidRPr="002F157F">
        <w:tab/>
        <w:t>The Regulator must refer the application to the road manager for review within 2 business days after receiving it.</w:t>
      </w:r>
    </w:p>
    <w:p w14:paraId="5D9FFC1E" w14:textId="77777777" w:rsidR="00DB6E47" w:rsidRPr="007E1F9A" w:rsidRDefault="00DB6E47" w:rsidP="00DB6E47">
      <w:pPr>
        <w:pStyle w:val="AH5Sec"/>
      </w:pPr>
      <w:bookmarkStart w:id="795" w:name="_Toc83626139"/>
      <w:r w:rsidRPr="005E03F7">
        <w:rPr>
          <w:rStyle w:val="CharSectNo"/>
        </w:rPr>
        <w:t>644</w:t>
      </w:r>
      <w:r w:rsidRPr="007E1F9A">
        <w:tab/>
      </w:r>
      <w:r w:rsidRPr="007E1F9A">
        <w:rPr>
          <w:rFonts w:ascii="Helvetica" w:hAnsi="Helvetica" w:cs="Helvetica"/>
          <w:iCs/>
        </w:rPr>
        <w:t>Internal review</w:t>
      </w:r>
      <w:bookmarkEnd w:id="795"/>
    </w:p>
    <w:p w14:paraId="5D97FA04" w14:textId="77777777" w:rsidR="00DB6E47" w:rsidRPr="002F157F" w:rsidRDefault="00DB6E47" w:rsidP="00DB6E47">
      <w:pPr>
        <w:pStyle w:val="Amain"/>
      </w:pPr>
      <w:r w:rsidRPr="002F157F">
        <w:tab/>
        <w:t>(1)</w:t>
      </w:r>
      <w:r w:rsidRPr="002F157F">
        <w:tab/>
        <w:t>A review of a reviewable decision that was not made by the Regulator or a road manager personally must not be decided by—</w:t>
      </w:r>
    </w:p>
    <w:p w14:paraId="2A5F539B" w14:textId="77777777" w:rsidR="00DB6E47" w:rsidRPr="00544ED5" w:rsidRDefault="00DB6E47" w:rsidP="00DB6E47">
      <w:pPr>
        <w:pStyle w:val="Apara"/>
      </w:pPr>
      <w:r w:rsidRPr="00544ED5">
        <w:tab/>
        <w:t>(a)</w:t>
      </w:r>
      <w:r w:rsidRPr="00544ED5">
        <w:tab/>
        <w:t>the person who made the reviewable decision; or</w:t>
      </w:r>
    </w:p>
    <w:p w14:paraId="26172738" w14:textId="77777777" w:rsidR="00DB6E47" w:rsidRPr="00544ED5" w:rsidRDefault="00DB6E47" w:rsidP="00DB6E47">
      <w:pPr>
        <w:pStyle w:val="Apara"/>
      </w:pPr>
      <w:r w:rsidRPr="00544ED5">
        <w:lastRenderedPageBreak/>
        <w:tab/>
        <w:t>(b)</w:t>
      </w:r>
      <w:r w:rsidRPr="00544ED5">
        <w:tab/>
        <w:t>a person who holds a less senior position than the person who made the reviewable decision.</w:t>
      </w:r>
    </w:p>
    <w:p w14:paraId="614854E0" w14:textId="77777777" w:rsidR="00DB6E47" w:rsidRPr="002F157F" w:rsidRDefault="00DB6E47" w:rsidP="00DB6E47">
      <w:pPr>
        <w:pStyle w:val="Amain"/>
      </w:pPr>
      <w:r w:rsidRPr="002F157F">
        <w:tab/>
        <w:t>(2)</w:t>
      </w:r>
      <w:r w:rsidRPr="002F157F">
        <w:tab/>
        <w:t>The reviewer must conduct the review—</w:t>
      </w:r>
    </w:p>
    <w:p w14:paraId="2EED04CB" w14:textId="77777777" w:rsidR="00DB6E47" w:rsidRPr="00544ED5" w:rsidRDefault="00DB6E47" w:rsidP="00DB6E47">
      <w:pPr>
        <w:pStyle w:val="Apara"/>
      </w:pPr>
      <w:r w:rsidRPr="00544ED5">
        <w:tab/>
        <w:t>(a)</w:t>
      </w:r>
      <w:r w:rsidRPr="00544ED5">
        <w:tab/>
        <w:t>on the material before the person who made the reviewable decision; and</w:t>
      </w:r>
    </w:p>
    <w:p w14:paraId="55DDBD68" w14:textId="77777777" w:rsidR="00DB6E47" w:rsidRPr="00544ED5" w:rsidRDefault="00DB6E47" w:rsidP="00DB6E47">
      <w:pPr>
        <w:pStyle w:val="Apara"/>
      </w:pPr>
      <w:r w:rsidRPr="00544ED5">
        <w:tab/>
        <w:t>(b)</w:t>
      </w:r>
      <w:r w:rsidRPr="00544ED5">
        <w:tab/>
        <w:t>on the reasons for the reviewable decision; and</w:t>
      </w:r>
    </w:p>
    <w:p w14:paraId="36B81A92" w14:textId="77777777" w:rsidR="00DB6E47" w:rsidRPr="00544ED5" w:rsidRDefault="00DB6E47" w:rsidP="00DB6E47">
      <w:pPr>
        <w:pStyle w:val="Apara"/>
      </w:pPr>
      <w:r w:rsidRPr="00544ED5">
        <w:tab/>
        <w:t>(c)</w:t>
      </w:r>
      <w:r w:rsidRPr="00544ED5">
        <w:tab/>
        <w:t>any other relevant material the reviewer allows.</w:t>
      </w:r>
    </w:p>
    <w:p w14:paraId="4FE01A12" w14:textId="77777777" w:rsidR="00DB6E47" w:rsidRPr="002F157F" w:rsidRDefault="00DB6E47" w:rsidP="00DB6E47">
      <w:pPr>
        <w:pStyle w:val="Amain"/>
      </w:pPr>
      <w:r w:rsidRPr="002F157F">
        <w:tab/>
        <w:t>(3)</w:t>
      </w:r>
      <w:r w:rsidRPr="002F157F">
        <w:tab/>
        <w:t>For the review, the reviewer must give the applicant a reasonable opportunity to make written or oral representations to the reviewer.</w:t>
      </w:r>
    </w:p>
    <w:p w14:paraId="635505DE" w14:textId="77777777" w:rsidR="00DB6E47" w:rsidRPr="007E1F9A" w:rsidRDefault="00DB6E47" w:rsidP="00DB6E47">
      <w:pPr>
        <w:pStyle w:val="AH5Sec"/>
      </w:pPr>
      <w:bookmarkStart w:id="796" w:name="_Toc83626140"/>
      <w:r w:rsidRPr="005E03F7">
        <w:rPr>
          <w:rStyle w:val="CharSectNo"/>
        </w:rPr>
        <w:t>645</w:t>
      </w:r>
      <w:r w:rsidRPr="007E1F9A">
        <w:tab/>
      </w:r>
      <w:r w:rsidRPr="007E1F9A">
        <w:rPr>
          <w:rFonts w:ascii="Helvetica" w:hAnsi="Helvetica" w:cs="Helvetica"/>
          <w:iCs/>
        </w:rPr>
        <w:t>Review decision</w:t>
      </w:r>
      <w:bookmarkEnd w:id="796"/>
    </w:p>
    <w:p w14:paraId="4FCF13FA" w14:textId="77777777" w:rsidR="00DB6E47" w:rsidRPr="002F157F" w:rsidRDefault="00DB6E47" w:rsidP="00DB6E47">
      <w:pPr>
        <w:pStyle w:val="Amain"/>
      </w:pPr>
      <w:r w:rsidRPr="002F157F">
        <w:tab/>
        <w:t>(1)</w:t>
      </w:r>
      <w:r w:rsidRPr="002F157F">
        <w:tab/>
        <w:t xml:space="preserve">The reviewer must, within the prescribed period, make a decision (the </w:t>
      </w:r>
      <w:r w:rsidRPr="00FF4454">
        <w:rPr>
          <w:rStyle w:val="charBoldItals"/>
        </w:rPr>
        <w:t>review decision</w:t>
      </w:r>
      <w:r w:rsidRPr="002F157F">
        <w:t>) to—</w:t>
      </w:r>
    </w:p>
    <w:p w14:paraId="563E4119" w14:textId="77777777" w:rsidR="00DB6E47" w:rsidRPr="00544ED5" w:rsidRDefault="00DB6E47" w:rsidP="00DB6E47">
      <w:pPr>
        <w:pStyle w:val="Apara"/>
      </w:pPr>
      <w:r w:rsidRPr="00544ED5">
        <w:tab/>
        <w:t>(a)</w:t>
      </w:r>
      <w:r w:rsidRPr="00544ED5">
        <w:tab/>
        <w:t>confirm the reviewable decision; or</w:t>
      </w:r>
    </w:p>
    <w:p w14:paraId="2D544FC6" w14:textId="77777777" w:rsidR="00DB6E47" w:rsidRPr="00544ED5" w:rsidRDefault="00DB6E47" w:rsidP="00DB6E47">
      <w:pPr>
        <w:pStyle w:val="Apara"/>
      </w:pPr>
      <w:r w:rsidRPr="00544ED5">
        <w:tab/>
        <w:t>(b)</w:t>
      </w:r>
      <w:r w:rsidRPr="00544ED5">
        <w:tab/>
        <w:t>amend the reviewable decision; or</w:t>
      </w:r>
    </w:p>
    <w:p w14:paraId="168523CB" w14:textId="77777777" w:rsidR="00DB6E47" w:rsidRPr="00544ED5" w:rsidRDefault="00DB6E47" w:rsidP="00DB6E47">
      <w:pPr>
        <w:pStyle w:val="Apara"/>
      </w:pPr>
      <w:r w:rsidRPr="00544ED5">
        <w:tab/>
        <w:t>(c)</w:t>
      </w:r>
      <w:r w:rsidRPr="00544ED5">
        <w:tab/>
        <w:t>substitute another decision for the reviewable decision.</w:t>
      </w:r>
    </w:p>
    <w:p w14:paraId="0CBAD374" w14:textId="77777777" w:rsidR="00DB6E47" w:rsidRPr="002F157F" w:rsidRDefault="00DB6E47" w:rsidP="00DB6E47">
      <w:pPr>
        <w:pStyle w:val="Amain"/>
      </w:pPr>
      <w:r w:rsidRPr="002F157F">
        <w:tab/>
        <w:t>(2)</w:t>
      </w:r>
      <w:r w:rsidRPr="002F157F">
        <w:tab/>
        <w:t>If the review decision confirms the reviewable decision, for the purpose of an appeal, the reviewable decision is taken to be the review decision.</w:t>
      </w:r>
    </w:p>
    <w:p w14:paraId="764EBF29" w14:textId="77777777" w:rsidR="00DB6E47" w:rsidRPr="002F157F" w:rsidRDefault="00DB6E47" w:rsidP="00DB6E47">
      <w:pPr>
        <w:pStyle w:val="Amain"/>
      </w:pPr>
      <w:r w:rsidRPr="002F157F">
        <w:tab/>
        <w:t>(3)</w:t>
      </w:r>
      <w:r w:rsidRPr="002F157F">
        <w:tab/>
        <w:t>If the review decision amends the reviewable decision, for the purpose of an appeal, the reviewable decision as amended is taken to be the review decision.</w:t>
      </w:r>
    </w:p>
    <w:p w14:paraId="460886AC" w14:textId="77777777" w:rsidR="00DB6E47" w:rsidRPr="002F157F" w:rsidRDefault="00DB6E47" w:rsidP="00DB6E47">
      <w:pPr>
        <w:pStyle w:val="Amain"/>
      </w:pPr>
      <w:r w:rsidRPr="002F157F">
        <w:tab/>
        <w:t>(4)</w:t>
      </w:r>
      <w:r w:rsidRPr="002F157F">
        <w:tab/>
        <w:t>If the review decision substitutes another decision for the reviewable decision, the substituted decision is taken to be the review decision.</w:t>
      </w:r>
    </w:p>
    <w:p w14:paraId="50235B36" w14:textId="77777777" w:rsidR="00DB6E47" w:rsidRPr="002F157F" w:rsidRDefault="00DB6E47" w:rsidP="00DB6E47">
      <w:pPr>
        <w:pStyle w:val="Amain"/>
      </w:pPr>
      <w:r w:rsidRPr="002F157F">
        <w:tab/>
        <w:t>(5)</w:t>
      </w:r>
      <w:r w:rsidRPr="002F157F">
        <w:tab/>
        <w:t>If the reviewer is a road manager for a road, the reviewer must, as soon as practicable, give the Regulator notice of the review decision stating—</w:t>
      </w:r>
    </w:p>
    <w:p w14:paraId="776F0194" w14:textId="77777777" w:rsidR="00DB6E47" w:rsidRPr="00544ED5" w:rsidRDefault="00DB6E47" w:rsidP="00DB6E47">
      <w:pPr>
        <w:pStyle w:val="Apara"/>
      </w:pPr>
      <w:r w:rsidRPr="00544ED5">
        <w:tab/>
        <w:t>(a)</w:t>
      </w:r>
      <w:r w:rsidRPr="00544ED5">
        <w:tab/>
        <w:t>the decision; and</w:t>
      </w:r>
    </w:p>
    <w:p w14:paraId="789C783C" w14:textId="77777777" w:rsidR="00DB6E47" w:rsidRPr="00544ED5" w:rsidRDefault="00DB6E47" w:rsidP="00DB6E47">
      <w:pPr>
        <w:pStyle w:val="Apara"/>
      </w:pPr>
      <w:r w:rsidRPr="00544ED5">
        <w:lastRenderedPageBreak/>
        <w:tab/>
        <w:t>(b)</w:t>
      </w:r>
      <w:r w:rsidRPr="00544ED5">
        <w:tab/>
        <w:t>the reasons for the decision.</w:t>
      </w:r>
    </w:p>
    <w:p w14:paraId="25BD7E2D" w14:textId="77777777" w:rsidR="00DB6E47" w:rsidRPr="002F157F" w:rsidRDefault="00DB6E47" w:rsidP="00DB6E47">
      <w:pPr>
        <w:pStyle w:val="Amain"/>
      </w:pPr>
      <w:r w:rsidRPr="002F157F">
        <w:tab/>
        <w:t>(6)</w:t>
      </w:r>
      <w:r w:rsidRPr="002F157F">
        <w:tab/>
        <w:t>In this section—</w:t>
      </w:r>
    </w:p>
    <w:p w14:paraId="719E38DF" w14:textId="77777777" w:rsidR="00DB6E47" w:rsidRPr="00041046" w:rsidRDefault="00DB6E47" w:rsidP="00DB6E47">
      <w:pPr>
        <w:pStyle w:val="aDef"/>
        <w:rPr>
          <w:bCs/>
        </w:rPr>
      </w:pPr>
      <w:r w:rsidRPr="00041046">
        <w:rPr>
          <w:rStyle w:val="charBoldItals"/>
        </w:rPr>
        <w:t xml:space="preserve">prescribed period </w:t>
      </w:r>
      <w:r w:rsidRPr="00041046">
        <w:t>means—</w:t>
      </w:r>
    </w:p>
    <w:p w14:paraId="5DF8A983" w14:textId="77777777" w:rsidR="00DB6E47" w:rsidRPr="00223E43" w:rsidRDefault="00DB6E47" w:rsidP="00DB6E47">
      <w:pPr>
        <w:pStyle w:val="aDefpara"/>
      </w:pPr>
      <w:r w:rsidRPr="00FF4454">
        <w:tab/>
      </w:r>
      <w:r w:rsidRPr="00F04D8E">
        <w:rPr>
          <w:rFonts w:cs="Times"/>
          <w:bCs/>
          <w:iCs/>
        </w:rPr>
        <w:t>(a)</w:t>
      </w:r>
      <w:r w:rsidRPr="00FF4454">
        <w:rPr>
          <w:rStyle w:val="charBoldItals"/>
        </w:rPr>
        <w:tab/>
      </w:r>
      <w:r w:rsidRPr="00223E43">
        <w:t>for a review of a reviewable decision made by a road manager for a road—</w:t>
      </w:r>
    </w:p>
    <w:p w14:paraId="278BF303" w14:textId="77777777" w:rsidR="00DB6E47" w:rsidRPr="006C3305" w:rsidRDefault="00DB6E47" w:rsidP="00DB6E47">
      <w:pPr>
        <w:pStyle w:val="aDefsubpara"/>
      </w:pPr>
      <w:r>
        <w:tab/>
      </w:r>
      <w:r w:rsidRPr="00F04D8E">
        <w:t>(i)</w:t>
      </w:r>
      <w:r w:rsidRPr="006C3305">
        <w:tab/>
        <w:t>28 days after the application for the review is given to the road manager; or</w:t>
      </w:r>
    </w:p>
    <w:p w14:paraId="3EF68D8F" w14:textId="77777777" w:rsidR="00DB6E47" w:rsidRPr="00223E43" w:rsidRDefault="00DB6E47" w:rsidP="00E56847">
      <w:pPr>
        <w:pStyle w:val="aDefsubpara"/>
        <w:keepLines/>
      </w:pPr>
      <w:r w:rsidRPr="00223E43">
        <w:tab/>
        <w:t>(ii)</w:t>
      </w:r>
      <w:r w:rsidRPr="00223E43">
        <w:tab/>
        <w:t>if the Regulator and road manager have agreed to a longer period, of not more than 3 months after the application for the review is given to the road manager, and the Regulator has given notice of the longer period to the applicant—the longer period; or</w:t>
      </w:r>
    </w:p>
    <w:p w14:paraId="13A18E21" w14:textId="77777777" w:rsidR="00DB6E47" w:rsidRPr="00223E43" w:rsidRDefault="00DB6E47" w:rsidP="00DB6E47">
      <w:pPr>
        <w:pStyle w:val="aDefpara"/>
      </w:pPr>
      <w:r w:rsidRPr="00FF4454">
        <w:tab/>
      </w:r>
      <w:r w:rsidRPr="00223E43">
        <w:t>(b)</w:t>
      </w:r>
      <w:r w:rsidRPr="00223E43">
        <w:tab/>
        <w:t>for a review of another reviewable decision—28 days after the application for the review is made.</w:t>
      </w:r>
    </w:p>
    <w:p w14:paraId="37D64009" w14:textId="77777777" w:rsidR="00DB6E47" w:rsidRPr="007E1F9A" w:rsidRDefault="00DB6E47" w:rsidP="00DB6E47">
      <w:pPr>
        <w:pStyle w:val="AH5Sec"/>
      </w:pPr>
      <w:bookmarkStart w:id="797" w:name="_Toc83626141"/>
      <w:r w:rsidRPr="005E03F7">
        <w:rPr>
          <w:rStyle w:val="CharSectNo"/>
        </w:rPr>
        <w:t>646</w:t>
      </w:r>
      <w:r w:rsidRPr="007E1F9A">
        <w:tab/>
      </w:r>
      <w:r w:rsidRPr="007E1F9A">
        <w:rPr>
          <w:rFonts w:ascii="Helvetica" w:hAnsi="Helvetica" w:cs="Helvetica"/>
          <w:iCs/>
        </w:rPr>
        <w:t>Notice of review decision</w:t>
      </w:r>
      <w:bookmarkEnd w:id="797"/>
    </w:p>
    <w:p w14:paraId="31636E04" w14:textId="77777777" w:rsidR="00DB6E47" w:rsidRPr="002F157F" w:rsidRDefault="00DB6E47" w:rsidP="00DB6E47">
      <w:pPr>
        <w:pStyle w:val="Amain"/>
      </w:pPr>
      <w:r w:rsidRPr="002F157F">
        <w:tab/>
        <w:t>(1)</w:t>
      </w:r>
      <w:r w:rsidRPr="002F157F">
        <w:tab/>
        <w:t xml:space="preserve">The Regulator must, within the prescribed period, give the applicant notice (the </w:t>
      </w:r>
      <w:r w:rsidRPr="00FF4454">
        <w:rPr>
          <w:rStyle w:val="charBoldItals"/>
        </w:rPr>
        <w:t>review notice</w:t>
      </w:r>
      <w:r w:rsidRPr="002F157F">
        <w:t>) of the review decision.</w:t>
      </w:r>
    </w:p>
    <w:p w14:paraId="4E8053A3" w14:textId="77777777" w:rsidR="00DB6E47" w:rsidRPr="002F157F" w:rsidRDefault="00DB6E47" w:rsidP="00DB6E47">
      <w:pPr>
        <w:pStyle w:val="Amain"/>
      </w:pPr>
      <w:r w:rsidRPr="002F157F">
        <w:tab/>
        <w:t>(2)</w:t>
      </w:r>
      <w:r w:rsidRPr="002F157F">
        <w:tab/>
        <w:t>If the review decision is not the decision sought by the applicant, the review notice must state the following—</w:t>
      </w:r>
    </w:p>
    <w:p w14:paraId="2C15794B" w14:textId="77777777" w:rsidR="00DB6E47" w:rsidRPr="00544ED5" w:rsidRDefault="00DB6E47" w:rsidP="00DB6E47">
      <w:pPr>
        <w:pStyle w:val="Apara"/>
      </w:pPr>
      <w:r w:rsidRPr="00544ED5">
        <w:tab/>
        <w:t>(a)</w:t>
      </w:r>
      <w:r w:rsidRPr="00544ED5">
        <w:tab/>
        <w:t>the reasons for the decision;</w:t>
      </w:r>
    </w:p>
    <w:p w14:paraId="4EDB0D5C" w14:textId="77777777" w:rsidR="00DB6E47" w:rsidRPr="00544ED5" w:rsidRDefault="00DB6E47" w:rsidP="00DB6E47">
      <w:pPr>
        <w:pStyle w:val="Apara"/>
      </w:pPr>
      <w:r w:rsidRPr="00544ED5">
        <w:tab/>
        <w:t>(b)</w:t>
      </w:r>
      <w:r w:rsidRPr="00544ED5">
        <w:tab/>
        <w:t>for a review decision relating to a reviewable decision made by a road manager for a road—that the review decision is not subject to further review or appeal under this Law;</w:t>
      </w:r>
    </w:p>
    <w:p w14:paraId="449C5777" w14:textId="77777777" w:rsidR="00DB6E47" w:rsidRPr="00544ED5" w:rsidRDefault="00DB6E47" w:rsidP="00DB6E47">
      <w:pPr>
        <w:pStyle w:val="Apara"/>
      </w:pPr>
      <w:r w:rsidRPr="00544ED5">
        <w:tab/>
        <w:t>(c)</w:t>
      </w:r>
      <w:r w:rsidRPr="00544ED5">
        <w:tab/>
        <w:t>for a review decision relating to another reviewable decision—</w:t>
      </w:r>
    </w:p>
    <w:p w14:paraId="3CD4504A" w14:textId="77777777" w:rsidR="00DB6E47" w:rsidRPr="00CC71DF" w:rsidRDefault="00DB6E47" w:rsidP="00DB6E47">
      <w:pPr>
        <w:pStyle w:val="Asubpara"/>
      </w:pPr>
      <w:r w:rsidRPr="00CC71DF">
        <w:tab/>
        <w:t>(i)</w:t>
      </w:r>
      <w:r w:rsidRPr="00CC71DF">
        <w:tab/>
        <w:t>that the applicant may appeal against the decision under Part 11.3; and</w:t>
      </w:r>
    </w:p>
    <w:p w14:paraId="3818FB7A" w14:textId="77777777" w:rsidR="00DB6E47" w:rsidRPr="00CC71DF" w:rsidRDefault="00DB6E47" w:rsidP="00DB6E47">
      <w:pPr>
        <w:pStyle w:val="Asubpara"/>
      </w:pPr>
      <w:r w:rsidRPr="00CC71DF">
        <w:tab/>
        <w:t>(ii)</w:t>
      </w:r>
      <w:r w:rsidRPr="00CC71DF">
        <w:tab/>
        <w:t>how to appeal;</w:t>
      </w:r>
    </w:p>
    <w:p w14:paraId="317453EF" w14:textId="77777777" w:rsidR="00DB6E47" w:rsidRPr="00544ED5" w:rsidRDefault="00DB6E47" w:rsidP="00DB6E47">
      <w:pPr>
        <w:pStyle w:val="Apara"/>
      </w:pPr>
      <w:r w:rsidRPr="00544ED5">
        <w:lastRenderedPageBreak/>
        <w:tab/>
        <w:t>(d)</w:t>
      </w:r>
      <w:r w:rsidRPr="00544ED5">
        <w:tab/>
        <w:t>for a review decision relating to a reviewable decision made under Division 3 of Part 4.5 or Division 4 of Part 4.6 if the areas or routes for which the authorisation the subject of the reviewable decision was sought are situated in 2 or more participating jurisdictions—the jurisdiction in which most of the areas or routes are situated, worked out by reference to the length of road covered by the areas or routes.</w:t>
      </w:r>
    </w:p>
    <w:p w14:paraId="56C4BEC8" w14:textId="77777777" w:rsidR="00DB6E47" w:rsidRPr="002F157F" w:rsidRDefault="00DB6E47" w:rsidP="00DB6E47">
      <w:pPr>
        <w:pStyle w:val="Amain"/>
      </w:pPr>
      <w:r w:rsidRPr="002F157F">
        <w:tab/>
        <w:t>(3)</w:t>
      </w:r>
      <w:r w:rsidRPr="002F157F">
        <w:tab/>
        <w:t>If the reviewer does not make a review decision within the period required under section 645, the reviewer is taken to have made a review decision confirming the reviewable decision.</w:t>
      </w:r>
    </w:p>
    <w:p w14:paraId="54D7D905" w14:textId="77777777" w:rsidR="00DB6E47" w:rsidRPr="002F157F" w:rsidRDefault="00DB6E47" w:rsidP="00DB6E47">
      <w:pPr>
        <w:pStyle w:val="Amain"/>
      </w:pPr>
      <w:r w:rsidRPr="002F157F">
        <w:tab/>
        <w:t>(4)</w:t>
      </w:r>
      <w:r w:rsidRPr="002F157F">
        <w:tab/>
        <w:t>In this section—</w:t>
      </w:r>
    </w:p>
    <w:p w14:paraId="77AD70E6" w14:textId="77777777" w:rsidR="00DB6E47" w:rsidRPr="00041046" w:rsidRDefault="00DB6E47" w:rsidP="00DB6E47">
      <w:pPr>
        <w:pStyle w:val="aDef"/>
        <w:rPr>
          <w:bCs/>
        </w:rPr>
      </w:pPr>
      <w:r w:rsidRPr="00041046">
        <w:rPr>
          <w:rStyle w:val="charBoldItals"/>
        </w:rPr>
        <w:t>prescribed period</w:t>
      </w:r>
      <w:r w:rsidRPr="00041046">
        <w:t xml:space="preserve"> means—</w:t>
      </w:r>
    </w:p>
    <w:p w14:paraId="53D130D3" w14:textId="77777777" w:rsidR="00DB6E47" w:rsidRPr="00223E43" w:rsidRDefault="00DB6E47" w:rsidP="00DB6E47">
      <w:pPr>
        <w:pStyle w:val="aDefpara"/>
      </w:pPr>
      <w:r w:rsidRPr="00FF4454">
        <w:tab/>
      </w:r>
      <w:r w:rsidRPr="00F04D8E">
        <w:rPr>
          <w:rFonts w:cs="Times"/>
          <w:bCs/>
          <w:iCs/>
        </w:rPr>
        <w:t>(a)</w:t>
      </w:r>
      <w:r w:rsidRPr="00223E43">
        <w:tab/>
        <w:t>for a review of a reviewable decision made by a road manager for a road—as soon as practicable, but not more than 7 days, after the reviewer gives the Regulator notice of the decision; or</w:t>
      </w:r>
    </w:p>
    <w:p w14:paraId="1B4ADF81" w14:textId="77777777" w:rsidR="00DB6E47" w:rsidRPr="00223E43" w:rsidRDefault="00DB6E47" w:rsidP="00DB6E47">
      <w:pPr>
        <w:pStyle w:val="aDefpara"/>
      </w:pPr>
      <w:r w:rsidRPr="00223E43">
        <w:tab/>
        <w:t>(b)</w:t>
      </w:r>
      <w:r w:rsidRPr="00223E43">
        <w:tab/>
        <w:t>for a review of another reviewable decision—as soon as practicable.</w:t>
      </w:r>
    </w:p>
    <w:p w14:paraId="226D0AF7" w14:textId="77777777" w:rsidR="00DB6E47" w:rsidRPr="003D647F" w:rsidRDefault="00DB6E47" w:rsidP="00DB6E47">
      <w:pPr>
        <w:pStyle w:val="PageBreak"/>
        <w:rPr>
          <w:rFonts w:eastAsiaTheme="minorHAnsi"/>
        </w:rPr>
      </w:pPr>
      <w:r w:rsidRPr="003D647F">
        <w:rPr>
          <w:rFonts w:eastAsiaTheme="minorHAnsi"/>
        </w:rPr>
        <w:br w:type="page"/>
      </w:r>
    </w:p>
    <w:p w14:paraId="4C4A7AEC" w14:textId="14B6A4E2" w:rsidR="00DB6E47" w:rsidRPr="005E03F7" w:rsidRDefault="00DB6E47" w:rsidP="00DB6E47">
      <w:pPr>
        <w:pStyle w:val="AH2Part"/>
      </w:pPr>
      <w:bookmarkStart w:id="798" w:name="_Toc83626142"/>
      <w:r w:rsidRPr="005E03F7">
        <w:rPr>
          <w:rStyle w:val="CharPartNo"/>
        </w:rPr>
        <w:lastRenderedPageBreak/>
        <w:t>Part 11.3</w:t>
      </w:r>
      <w:r w:rsidRPr="00A95F9A">
        <w:rPr>
          <w:rFonts w:ascii="Helvetica" w:hAnsi="Helvetica" w:cs="Helvetica"/>
          <w:iCs/>
          <w:szCs w:val="32"/>
        </w:rPr>
        <w:tab/>
      </w:r>
      <w:r w:rsidRPr="005E03F7">
        <w:rPr>
          <w:rStyle w:val="CharPartText"/>
          <w:rFonts w:ascii="Helvetica" w:hAnsi="Helvetica" w:cs="Helvetica"/>
          <w:iCs/>
          <w:szCs w:val="32"/>
        </w:rPr>
        <w:t>Appeals</w:t>
      </w:r>
      <w:bookmarkEnd w:id="798"/>
    </w:p>
    <w:p w14:paraId="605A9DBA" w14:textId="77777777" w:rsidR="00DB6E47" w:rsidRPr="007E1F9A" w:rsidRDefault="00DB6E47" w:rsidP="00DB6E47">
      <w:pPr>
        <w:pStyle w:val="AH5Sec"/>
      </w:pPr>
      <w:bookmarkStart w:id="799" w:name="_Toc83626143"/>
      <w:r w:rsidRPr="005E03F7">
        <w:rPr>
          <w:rStyle w:val="CharSectNo"/>
        </w:rPr>
        <w:t>647</w:t>
      </w:r>
      <w:r w:rsidRPr="007E1F9A">
        <w:tab/>
      </w:r>
      <w:r w:rsidRPr="007E1F9A">
        <w:rPr>
          <w:rFonts w:ascii="Helvetica" w:hAnsi="Helvetica" w:cs="Helvetica"/>
          <w:iCs/>
        </w:rPr>
        <w:t>Appellable decisions</w:t>
      </w:r>
      <w:bookmarkEnd w:id="799"/>
    </w:p>
    <w:p w14:paraId="0F61DB4A" w14:textId="77777777" w:rsidR="00DB6E47" w:rsidRPr="002F157F" w:rsidRDefault="00DB6E47" w:rsidP="00DB6E47">
      <w:pPr>
        <w:pStyle w:val="Amain"/>
      </w:pPr>
      <w:r w:rsidRPr="002F157F">
        <w:tab/>
        <w:t>(1)</w:t>
      </w:r>
      <w:r w:rsidRPr="002F157F">
        <w:tab/>
        <w:t>A person may appeal to the relevant appeal body against a review decision relating to a reviewable decision made by the Regulator or an authorised officer.</w:t>
      </w:r>
    </w:p>
    <w:p w14:paraId="38265CE2" w14:textId="77777777" w:rsidR="00DB6E47" w:rsidRPr="002F157F" w:rsidRDefault="00DB6E47" w:rsidP="00DB6E47">
      <w:pPr>
        <w:pStyle w:val="Amain"/>
      </w:pPr>
      <w:r w:rsidRPr="002F157F">
        <w:tab/>
        <w:t>(2)</w:t>
      </w:r>
      <w:r w:rsidRPr="002F157F">
        <w:tab/>
        <w:t>A person may appeal against the review decision only within 28 days after—</w:t>
      </w:r>
    </w:p>
    <w:p w14:paraId="32C60A04" w14:textId="77777777" w:rsidR="00DB6E47" w:rsidRPr="00544ED5" w:rsidRDefault="00DB6E47" w:rsidP="00DB6E47">
      <w:pPr>
        <w:pStyle w:val="Apara"/>
      </w:pPr>
      <w:r w:rsidRPr="00544ED5">
        <w:tab/>
        <w:t>(a)</w:t>
      </w:r>
      <w:r w:rsidRPr="00544ED5">
        <w:tab/>
        <w:t>if a review notice is given to the person under section 646—the notice was given to the person; or</w:t>
      </w:r>
    </w:p>
    <w:p w14:paraId="727B12F7" w14:textId="77777777" w:rsidR="00DB6E47" w:rsidRPr="00544ED5" w:rsidRDefault="00DB6E47" w:rsidP="00DB6E47">
      <w:pPr>
        <w:pStyle w:val="Apara"/>
      </w:pPr>
      <w:r w:rsidRPr="00544ED5">
        <w:tab/>
        <w:t>(b)</w:t>
      </w:r>
      <w:r w:rsidRPr="00544ED5">
        <w:tab/>
        <w:t>if the reviewer is taken to have confirmed the decision under section 646(3)—the period mentioned in that section ends.</w:t>
      </w:r>
    </w:p>
    <w:p w14:paraId="769393ED" w14:textId="77777777" w:rsidR="00DB6E47" w:rsidRPr="002F157F" w:rsidRDefault="00DB6E47" w:rsidP="00DB6E47">
      <w:pPr>
        <w:pStyle w:val="Amain"/>
      </w:pPr>
      <w:r w:rsidRPr="002F157F">
        <w:tab/>
        <w:t>(3)</w:t>
      </w:r>
      <w:r w:rsidRPr="002F157F">
        <w:tab/>
        <w:t>However, the relevant appeal body may extend the period for appealing.</w:t>
      </w:r>
    </w:p>
    <w:p w14:paraId="169ED13A" w14:textId="77777777" w:rsidR="00DB6E47" w:rsidRPr="002F157F" w:rsidRDefault="00DB6E47" w:rsidP="00DB6E47">
      <w:pPr>
        <w:pStyle w:val="Amain"/>
      </w:pPr>
      <w:r w:rsidRPr="002F157F">
        <w:tab/>
        <w:t>(4)</w:t>
      </w:r>
      <w:r w:rsidRPr="002F157F">
        <w:tab/>
        <w:t>The filing of an appeal does not affect the review decision, or the carrying out of the review decision, unless it is stayed under section</w:t>
      </w:r>
      <w:r w:rsidR="00EA2CFC">
        <w:t> </w:t>
      </w:r>
      <w:r w:rsidRPr="002F157F">
        <w:t>648.</w:t>
      </w:r>
    </w:p>
    <w:p w14:paraId="65CD67B9" w14:textId="77777777" w:rsidR="00DB6E47" w:rsidRPr="007E1F9A" w:rsidRDefault="00DB6E47" w:rsidP="00DB6E47">
      <w:pPr>
        <w:pStyle w:val="AH5Sec"/>
      </w:pPr>
      <w:bookmarkStart w:id="800" w:name="_Toc83626144"/>
      <w:r w:rsidRPr="005E03F7">
        <w:rPr>
          <w:rStyle w:val="CharSectNo"/>
        </w:rPr>
        <w:t>648</w:t>
      </w:r>
      <w:r w:rsidRPr="007E1F9A">
        <w:tab/>
      </w:r>
      <w:r w:rsidRPr="007E1F9A">
        <w:rPr>
          <w:rFonts w:ascii="Helvetica" w:hAnsi="Helvetica" w:cs="Helvetica"/>
          <w:iCs/>
        </w:rPr>
        <w:t>Stay of review decision</w:t>
      </w:r>
      <w:bookmarkEnd w:id="800"/>
    </w:p>
    <w:p w14:paraId="14111341" w14:textId="77777777" w:rsidR="00DB6E47" w:rsidRPr="002F157F" w:rsidRDefault="00DB6E47" w:rsidP="00DB6E47">
      <w:pPr>
        <w:pStyle w:val="Amain"/>
      </w:pPr>
      <w:r w:rsidRPr="002F157F">
        <w:tab/>
        <w:t>(1)</w:t>
      </w:r>
      <w:r w:rsidRPr="002F157F">
        <w:tab/>
        <w:t>This section applies if, under this Law, a person appeals to the relevant appeal body against a review decision relating to—</w:t>
      </w:r>
    </w:p>
    <w:p w14:paraId="6E1C5F6E" w14:textId="77777777" w:rsidR="00DB6E47" w:rsidRPr="00544ED5" w:rsidRDefault="00DB6E47" w:rsidP="00DB6E47">
      <w:pPr>
        <w:pStyle w:val="Apara"/>
      </w:pPr>
      <w:r w:rsidRPr="00544ED5">
        <w:tab/>
        <w:t>(a)</w:t>
      </w:r>
      <w:r w:rsidRPr="00544ED5">
        <w:tab/>
        <w:t>a reviewable decision made by the Regulator other than on the basis of a public safety ground; or</w:t>
      </w:r>
    </w:p>
    <w:p w14:paraId="5185EF5A" w14:textId="77777777" w:rsidR="00DB6E47" w:rsidRPr="00544ED5" w:rsidRDefault="00DB6E47" w:rsidP="00DB6E47">
      <w:pPr>
        <w:pStyle w:val="Apara"/>
      </w:pPr>
      <w:r w:rsidRPr="00544ED5">
        <w:tab/>
        <w:t>(b)</w:t>
      </w:r>
      <w:r w:rsidRPr="00544ED5">
        <w:tab/>
        <w:t>a reviewable decision made by an authorised officer.</w:t>
      </w:r>
    </w:p>
    <w:p w14:paraId="1A3C3B38" w14:textId="77777777" w:rsidR="00DB6E47" w:rsidRPr="002F157F" w:rsidRDefault="00DB6E47" w:rsidP="00DB6E47">
      <w:pPr>
        <w:pStyle w:val="Amain"/>
      </w:pPr>
      <w:r w:rsidRPr="002F157F">
        <w:tab/>
        <w:t>(2)</w:t>
      </w:r>
      <w:r w:rsidRPr="002F157F">
        <w:tab/>
        <w:t>The person may immediately apply to the relevant appeal body for a stay of the decision.</w:t>
      </w:r>
    </w:p>
    <w:p w14:paraId="13B89FEC" w14:textId="77777777" w:rsidR="00DB6E47" w:rsidRPr="002F157F" w:rsidRDefault="00DB6E47" w:rsidP="00DB6E47">
      <w:pPr>
        <w:pStyle w:val="Amain"/>
      </w:pPr>
      <w:r w:rsidRPr="002F157F">
        <w:tab/>
        <w:t>(3)</w:t>
      </w:r>
      <w:r w:rsidRPr="002F157F">
        <w:tab/>
        <w:t>The relevant appeal body may stay the review decision to secure the effectiveness of the appeal.</w:t>
      </w:r>
    </w:p>
    <w:p w14:paraId="2CDBECA3" w14:textId="77777777" w:rsidR="00DB6E47" w:rsidRPr="002F157F" w:rsidRDefault="00DB6E47" w:rsidP="00DB6E47">
      <w:pPr>
        <w:pStyle w:val="Amain"/>
      </w:pPr>
      <w:r w:rsidRPr="002F157F">
        <w:lastRenderedPageBreak/>
        <w:tab/>
        <w:t>(4)</w:t>
      </w:r>
      <w:r w:rsidRPr="002F157F">
        <w:tab/>
        <w:t>In setting the time for hearing the stay application, the relevant appeal body must allow at least 3 business days between the day the application is filed with it and the hearing day.</w:t>
      </w:r>
    </w:p>
    <w:p w14:paraId="0C120322" w14:textId="77777777" w:rsidR="00DB6E47" w:rsidRPr="002F157F" w:rsidRDefault="00DB6E47" w:rsidP="00DB6E47">
      <w:pPr>
        <w:pStyle w:val="Amain"/>
      </w:pPr>
      <w:r w:rsidRPr="002F157F">
        <w:tab/>
        <w:t>(5)</w:t>
      </w:r>
      <w:r w:rsidRPr="002F157F">
        <w:tab/>
        <w:t>The Regulator is a party to the application.</w:t>
      </w:r>
    </w:p>
    <w:p w14:paraId="2A0EE1A1" w14:textId="77777777" w:rsidR="00DB6E47" w:rsidRPr="002F157F" w:rsidRDefault="00DB6E47" w:rsidP="00DB6E47">
      <w:pPr>
        <w:pStyle w:val="Amain"/>
      </w:pPr>
      <w:r w:rsidRPr="002F157F">
        <w:tab/>
        <w:t>(6)</w:t>
      </w:r>
      <w:r w:rsidRPr="002F157F">
        <w:tab/>
        <w:t>The person must serve a copy of the application showing the time and place of the hearing, and any document filed in the relevant appeal body with the application, on the Regulator at least 2 business days before the hearing.</w:t>
      </w:r>
    </w:p>
    <w:p w14:paraId="17F2B2C2" w14:textId="77777777" w:rsidR="00DB6E47" w:rsidRPr="002F157F" w:rsidRDefault="00DB6E47" w:rsidP="00DB6E47">
      <w:pPr>
        <w:pStyle w:val="Amain"/>
      </w:pPr>
      <w:r w:rsidRPr="002F157F">
        <w:tab/>
        <w:t>(7)</w:t>
      </w:r>
      <w:r w:rsidRPr="002F157F">
        <w:tab/>
        <w:t>The stay—</w:t>
      </w:r>
    </w:p>
    <w:p w14:paraId="54C08B13" w14:textId="77777777" w:rsidR="00DB6E47" w:rsidRPr="00544ED5" w:rsidRDefault="00DB6E47" w:rsidP="00DB6E47">
      <w:pPr>
        <w:pStyle w:val="Apara"/>
      </w:pPr>
      <w:r w:rsidRPr="00544ED5">
        <w:tab/>
        <w:t>(a)</w:t>
      </w:r>
      <w:r w:rsidRPr="00544ED5">
        <w:tab/>
        <w:t>may be given on conditions the relevant appeal body considers appropriate; and</w:t>
      </w:r>
    </w:p>
    <w:p w14:paraId="79A4467E" w14:textId="77777777" w:rsidR="00DB6E47" w:rsidRPr="00544ED5" w:rsidRDefault="00DB6E47" w:rsidP="00DB6E47">
      <w:pPr>
        <w:pStyle w:val="Apara"/>
      </w:pPr>
      <w:r w:rsidRPr="00544ED5">
        <w:tab/>
        <w:t>(b)</w:t>
      </w:r>
      <w:r w:rsidRPr="00544ED5">
        <w:tab/>
        <w:t>operates for the period specified by the relevant appeal body, but not extending past the time when it decides the appeal; and</w:t>
      </w:r>
    </w:p>
    <w:p w14:paraId="2E3153E0" w14:textId="77777777" w:rsidR="00DB6E47" w:rsidRPr="00544ED5" w:rsidRDefault="00DB6E47" w:rsidP="00DB6E47">
      <w:pPr>
        <w:pStyle w:val="Apara"/>
      </w:pPr>
      <w:r w:rsidRPr="00544ED5">
        <w:tab/>
        <w:t>(c)</w:t>
      </w:r>
      <w:r w:rsidRPr="00544ED5">
        <w:tab/>
        <w:t>may be revoked or amended by the relevant appeal body.</w:t>
      </w:r>
    </w:p>
    <w:p w14:paraId="356B74D8" w14:textId="77777777" w:rsidR="00DB6E47" w:rsidRPr="007E1F9A" w:rsidRDefault="00DB6E47" w:rsidP="00DB6E47">
      <w:pPr>
        <w:pStyle w:val="AH5Sec"/>
      </w:pPr>
      <w:bookmarkStart w:id="801" w:name="_Toc83626145"/>
      <w:r w:rsidRPr="005E03F7">
        <w:rPr>
          <w:rStyle w:val="CharSectNo"/>
        </w:rPr>
        <w:t>649</w:t>
      </w:r>
      <w:r w:rsidRPr="007E1F9A">
        <w:tab/>
      </w:r>
      <w:r w:rsidRPr="007E1F9A">
        <w:rPr>
          <w:rFonts w:ascii="Helvetica" w:hAnsi="Helvetica" w:cs="Helvetica"/>
          <w:iCs/>
        </w:rPr>
        <w:t>Powers of relevant appeal body on appeal</w:t>
      </w:r>
      <w:bookmarkEnd w:id="801"/>
    </w:p>
    <w:p w14:paraId="766E4C58" w14:textId="77777777" w:rsidR="00DB6E47" w:rsidRPr="002F157F" w:rsidRDefault="00DB6E47" w:rsidP="00DB6E47">
      <w:pPr>
        <w:pStyle w:val="Amain"/>
      </w:pPr>
      <w:r w:rsidRPr="002F157F">
        <w:tab/>
        <w:t>(1)</w:t>
      </w:r>
      <w:r w:rsidRPr="002F157F">
        <w:tab/>
        <w:t>In deciding, under this Law, an appeal against a review decision, the relevant appeal body—</w:t>
      </w:r>
    </w:p>
    <w:p w14:paraId="0073CFEC" w14:textId="77777777" w:rsidR="00DB6E47" w:rsidRPr="00544ED5" w:rsidRDefault="00DB6E47" w:rsidP="00DB6E47">
      <w:pPr>
        <w:pStyle w:val="Apara"/>
      </w:pPr>
      <w:r w:rsidRPr="00544ED5">
        <w:tab/>
        <w:t>(a)</w:t>
      </w:r>
      <w:r w:rsidRPr="00544ED5">
        <w:tab/>
        <w:t>has the same powers as the person who made the reviewable decision to which the review decision relates; and</w:t>
      </w:r>
    </w:p>
    <w:p w14:paraId="75FC3F43" w14:textId="77777777" w:rsidR="00DB6E47" w:rsidRPr="00544ED5" w:rsidRDefault="00DB6E47" w:rsidP="00DB6E47">
      <w:pPr>
        <w:pStyle w:val="Apara"/>
      </w:pPr>
      <w:r w:rsidRPr="00544ED5">
        <w:tab/>
        <w:t>(b)</w:t>
      </w:r>
      <w:r w:rsidRPr="00544ED5">
        <w:tab/>
        <w:t>is not bound by the rules of evidence; and</w:t>
      </w:r>
    </w:p>
    <w:p w14:paraId="6913E5D3" w14:textId="77777777" w:rsidR="00DB6E47" w:rsidRPr="00544ED5" w:rsidRDefault="00DB6E47" w:rsidP="00DB6E47">
      <w:pPr>
        <w:pStyle w:val="Apara"/>
      </w:pPr>
      <w:r w:rsidRPr="00544ED5">
        <w:tab/>
        <w:t>(c)</w:t>
      </w:r>
      <w:r w:rsidRPr="00544ED5">
        <w:tab/>
        <w:t>must comply with natural justice.</w:t>
      </w:r>
    </w:p>
    <w:p w14:paraId="3B64B807" w14:textId="77777777" w:rsidR="00DB6E47" w:rsidRPr="002F157F" w:rsidRDefault="00DB6E47" w:rsidP="00DB6E47">
      <w:pPr>
        <w:pStyle w:val="Amain"/>
      </w:pPr>
      <w:r w:rsidRPr="002F157F">
        <w:tab/>
        <w:t>(2)</w:t>
      </w:r>
      <w:r w:rsidRPr="002F157F">
        <w:tab/>
        <w:t>An appeal is by way of rehearing—</w:t>
      </w:r>
    </w:p>
    <w:p w14:paraId="21F4BF5C" w14:textId="77777777" w:rsidR="00DB6E47" w:rsidRPr="00544ED5" w:rsidRDefault="00DB6E47" w:rsidP="00DB6E47">
      <w:pPr>
        <w:pStyle w:val="Apara"/>
      </w:pPr>
      <w:r w:rsidRPr="00544ED5">
        <w:tab/>
        <w:t>(a)</w:t>
      </w:r>
      <w:r w:rsidRPr="00544ED5">
        <w:tab/>
        <w:t>unaffected by the review decision; and</w:t>
      </w:r>
    </w:p>
    <w:p w14:paraId="455DE598" w14:textId="77777777" w:rsidR="00DB6E47" w:rsidRPr="00544ED5" w:rsidRDefault="00DB6E47" w:rsidP="00DB6E47">
      <w:pPr>
        <w:pStyle w:val="Apara"/>
      </w:pPr>
      <w:r w:rsidRPr="00544ED5">
        <w:tab/>
        <w:t>(b)</w:t>
      </w:r>
      <w:r w:rsidRPr="00544ED5">
        <w:tab/>
        <w:t>on the material before the person who made the review decision and any further evidence allowed by the relevant appeal body.</w:t>
      </w:r>
    </w:p>
    <w:p w14:paraId="3E3DC266" w14:textId="77777777" w:rsidR="00DB6E47" w:rsidRPr="002F157F" w:rsidRDefault="00DB6E47" w:rsidP="00E855B0">
      <w:pPr>
        <w:pStyle w:val="Amain"/>
        <w:keepNext/>
      </w:pPr>
      <w:r w:rsidRPr="002F157F">
        <w:lastRenderedPageBreak/>
        <w:tab/>
        <w:t>(3)</w:t>
      </w:r>
      <w:r w:rsidRPr="002F157F">
        <w:tab/>
        <w:t>After hearing the appeal, the relevant appeal body must—</w:t>
      </w:r>
    </w:p>
    <w:p w14:paraId="62579626" w14:textId="77777777" w:rsidR="00DB6E47" w:rsidRPr="00544ED5" w:rsidRDefault="00DB6E47" w:rsidP="00E40647">
      <w:pPr>
        <w:pStyle w:val="Apara"/>
        <w:keepNext/>
      </w:pPr>
      <w:r w:rsidRPr="00544ED5">
        <w:tab/>
        <w:t>(a)</w:t>
      </w:r>
      <w:r w:rsidRPr="00544ED5">
        <w:tab/>
        <w:t>confirm the review decision; or</w:t>
      </w:r>
    </w:p>
    <w:p w14:paraId="55281A80" w14:textId="77777777" w:rsidR="00DB6E47" w:rsidRPr="00544ED5" w:rsidRDefault="00DB6E47" w:rsidP="00DB6E47">
      <w:pPr>
        <w:pStyle w:val="Apara"/>
      </w:pPr>
      <w:r w:rsidRPr="00544ED5">
        <w:tab/>
        <w:t>(b)</w:t>
      </w:r>
      <w:r w:rsidRPr="00544ED5">
        <w:tab/>
        <w:t>set aside the review decision and substitute another decision that it considers appropriate; or</w:t>
      </w:r>
    </w:p>
    <w:p w14:paraId="7E8D9383" w14:textId="77777777" w:rsidR="00DB6E47" w:rsidRPr="00544ED5" w:rsidRDefault="00DB6E47" w:rsidP="00DB6E47">
      <w:pPr>
        <w:pStyle w:val="Apara"/>
      </w:pPr>
      <w:r w:rsidRPr="00544ED5">
        <w:tab/>
        <w:t>(c)</w:t>
      </w:r>
      <w:r w:rsidRPr="00544ED5">
        <w:tab/>
        <w:t>set aside the review decision and return the issue to the person who made the reviewable decision to which the review decision relates with the directions that it considers appropriate.</w:t>
      </w:r>
    </w:p>
    <w:p w14:paraId="186101D4" w14:textId="77777777" w:rsidR="00DB6E47" w:rsidRPr="007E1F9A" w:rsidRDefault="00DB6E47" w:rsidP="00DB6E47">
      <w:pPr>
        <w:pStyle w:val="AH5Sec"/>
      </w:pPr>
      <w:bookmarkStart w:id="802" w:name="_Toc83626146"/>
      <w:r w:rsidRPr="005E03F7">
        <w:rPr>
          <w:rStyle w:val="CharSectNo"/>
        </w:rPr>
        <w:t>650</w:t>
      </w:r>
      <w:r w:rsidRPr="007E1F9A">
        <w:tab/>
      </w:r>
      <w:r w:rsidRPr="007E1F9A">
        <w:rPr>
          <w:rFonts w:ascii="Helvetica" w:hAnsi="Helvetica" w:cs="Helvetica"/>
          <w:iCs/>
        </w:rPr>
        <w:t>Effect of decision of relevant appeal body on appeal</w:t>
      </w:r>
      <w:bookmarkEnd w:id="802"/>
    </w:p>
    <w:p w14:paraId="5C8FD198" w14:textId="77777777" w:rsidR="00DB6E47" w:rsidRPr="002F157F" w:rsidRDefault="00DB6E47" w:rsidP="00DB6E47">
      <w:pPr>
        <w:pStyle w:val="Amainreturn"/>
      </w:pPr>
      <w:r w:rsidRPr="002F157F">
        <w:t>If, under this Law, the relevant appeal body substitutes another decision for a review decision, the substituted decision is, for the relevant provision of this Law, taken to be that of the person who made the reviewable decision to which the review decision relates.</w:t>
      </w:r>
    </w:p>
    <w:p w14:paraId="14689B2C" w14:textId="77777777" w:rsidR="00DB6E47" w:rsidRPr="003D647F" w:rsidRDefault="00DB6E47" w:rsidP="00DB6E47">
      <w:pPr>
        <w:pStyle w:val="PageBreak"/>
      </w:pPr>
      <w:r w:rsidRPr="003D647F">
        <w:br w:type="page"/>
      </w:r>
    </w:p>
    <w:p w14:paraId="0C15B07E" w14:textId="77777777" w:rsidR="00DB6E47" w:rsidRPr="005E03F7" w:rsidRDefault="00DB6E47" w:rsidP="00DB6E47">
      <w:pPr>
        <w:pStyle w:val="AH1Chapter"/>
      </w:pPr>
      <w:bookmarkStart w:id="803" w:name="_Toc83626147"/>
      <w:r w:rsidRPr="005E03F7">
        <w:rPr>
          <w:rStyle w:val="CharChapNo"/>
        </w:rPr>
        <w:lastRenderedPageBreak/>
        <w:t xml:space="preserve">Chapter 12 </w:t>
      </w:r>
      <w:r w:rsidRPr="007E1F9A">
        <w:tab/>
      </w:r>
      <w:r w:rsidRPr="005E03F7">
        <w:rPr>
          <w:rStyle w:val="CharChapText"/>
        </w:rPr>
        <w:t>Administration</w:t>
      </w:r>
      <w:bookmarkEnd w:id="803"/>
    </w:p>
    <w:p w14:paraId="37208C85" w14:textId="77777777" w:rsidR="00DB6E47" w:rsidRPr="005E03F7" w:rsidRDefault="00DB6E47" w:rsidP="00DB6E47">
      <w:pPr>
        <w:pStyle w:val="AH2Part"/>
      </w:pPr>
      <w:bookmarkStart w:id="804" w:name="_Toc83626148"/>
      <w:r w:rsidRPr="005E03F7">
        <w:rPr>
          <w:rStyle w:val="CharPartNo"/>
        </w:rPr>
        <w:t xml:space="preserve">Part 12.1 </w:t>
      </w:r>
      <w:r w:rsidRPr="00A95F9A">
        <w:rPr>
          <w:rFonts w:ascii="Helvetica" w:hAnsi="Helvetica" w:cs="Helvetica"/>
          <w:szCs w:val="32"/>
        </w:rPr>
        <w:tab/>
      </w:r>
      <w:r w:rsidRPr="005E03F7">
        <w:rPr>
          <w:rStyle w:val="CharPartText"/>
          <w:rFonts w:ascii="Helvetica" w:hAnsi="Helvetica" w:cs="Helvetica"/>
          <w:szCs w:val="32"/>
        </w:rPr>
        <w:t>Responsible Ministers</w:t>
      </w:r>
      <w:bookmarkEnd w:id="804"/>
    </w:p>
    <w:p w14:paraId="76BB8D60" w14:textId="77777777" w:rsidR="00DB6E47" w:rsidRPr="007E1F9A" w:rsidRDefault="00DB6E47" w:rsidP="00DB6E47">
      <w:pPr>
        <w:pStyle w:val="AH5Sec"/>
      </w:pPr>
      <w:bookmarkStart w:id="805" w:name="_Toc83626149"/>
      <w:r w:rsidRPr="005E03F7">
        <w:rPr>
          <w:rStyle w:val="CharSectNo"/>
        </w:rPr>
        <w:t>651</w:t>
      </w:r>
      <w:r w:rsidRPr="007E1F9A">
        <w:tab/>
      </w:r>
      <w:r w:rsidRPr="007E1F9A">
        <w:rPr>
          <w:rFonts w:ascii="Helvetica" w:hAnsi="Helvetica" w:cs="Helvetica"/>
        </w:rPr>
        <w:t>Policy directions</w:t>
      </w:r>
      <w:bookmarkEnd w:id="805"/>
    </w:p>
    <w:p w14:paraId="142B8B85" w14:textId="77777777" w:rsidR="00DB6E47" w:rsidRPr="002F157F" w:rsidRDefault="00DB6E47" w:rsidP="00DB6E47">
      <w:pPr>
        <w:pStyle w:val="Amain"/>
      </w:pPr>
      <w:r w:rsidRPr="002F157F">
        <w:tab/>
        <w:t>(1)</w:t>
      </w:r>
      <w:r w:rsidRPr="002F157F">
        <w:tab/>
        <w:t>The responsible Ministers may give directions to the Regulator about the policies to be applied by the Regulator in exercising its functions under this Law.</w:t>
      </w:r>
    </w:p>
    <w:p w14:paraId="659439AB" w14:textId="77777777" w:rsidR="00DB6E47" w:rsidRPr="002F157F" w:rsidRDefault="00DB6E47" w:rsidP="00DB6E47">
      <w:pPr>
        <w:pStyle w:val="Amain"/>
      </w:pPr>
      <w:r w:rsidRPr="002F157F">
        <w:tab/>
        <w:t>(2)</w:t>
      </w:r>
      <w:r w:rsidRPr="002F157F">
        <w:tab/>
        <w:t>A direction under this section can not be about—</w:t>
      </w:r>
    </w:p>
    <w:p w14:paraId="0275327C" w14:textId="77777777" w:rsidR="00DB6E47" w:rsidRPr="00544ED5" w:rsidRDefault="00DB6E47" w:rsidP="00DB6E47">
      <w:pPr>
        <w:pStyle w:val="Apara"/>
      </w:pPr>
      <w:r w:rsidRPr="00544ED5">
        <w:tab/>
        <w:t>(a)</w:t>
      </w:r>
      <w:r w:rsidRPr="00544ED5">
        <w:tab/>
        <w:t>a particular person; or</w:t>
      </w:r>
    </w:p>
    <w:p w14:paraId="651E7EF5" w14:textId="77777777" w:rsidR="00DB6E47" w:rsidRPr="00544ED5" w:rsidRDefault="00DB6E47" w:rsidP="00DB6E47">
      <w:pPr>
        <w:pStyle w:val="Apara"/>
      </w:pPr>
      <w:r w:rsidRPr="00544ED5">
        <w:tab/>
        <w:t>(b)</w:t>
      </w:r>
      <w:r w:rsidRPr="00544ED5">
        <w:tab/>
        <w:t>a particular heavy vehicle; or</w:t>
      </w:r>
    </w:p>
    <w:p w14:paraId="5DF97AE2" w14:textId="77777777" w:rsidR="00DB6E47" w:rsidRPr="00544ED5" w:rsidRDefault="00DB6E47" w:rsidP="00DB6E47">
      <w:pPr>
        <w:pStyle w:val="Apara"/>
      </w:pPr>
      <w:r w:rsidRPr="00544ED5">
        <w:tab/>
        <w:t>(c)</w:t>
      </w:r>
      <w:r w:rsidRPr="00544ED5">
        <w:tab/>
        <w:t>a particular application or proceeding.</w:t>
      </w:r>
    </w:p>
    <w:p w14:paraId="46EC26F0" w14:textId="77777777" w:rsidR="00DB6E47" w:rsidRPr="002F157F" w:rsidRDefault="00DB6E47" w:rsidP="00DB6E47">
      <w:pPr>
        <w:pStyle w:val="Amain"/>
      </w:pPr>
      <w:r w:rsidRPr="002F157F">
        <w:tab/>
        <w:t>(3)</w:t>
      </w:r>
      <w:r w:rsidRPr="002F157F">
        <w:tab/>
        <w:t>The Regulator must comply with a direction given to it by the responsible Ministers under this section.</w:t>
      </w:r>
    </w:p>
    <w:p w14:paraId="6C9EA22C" w14:textId="77777777" w:rsidR="00DB6E47" w:rsidRPr="002F157F" w:rsidRDefault="00DB6E47" w:rsidP="00DB6E47">
      <w:pPr>
        <w:pStyle w:val="Amain"/>
      </w:pPr>
      <w:r w:rsidRPr="002F157F">
        <w:tab/>
        <w:t>(4)</w:t>
      </w:r>
      <w:r w:rsidRPr="002F157F">
        <w:tab/>
        <w:t>A copy of a direction given by the responsible Ministers to the Regulator is to be published in the Regulator’s annual report.</w:t>
      </w:r>
    </w:p>
    <w:p w14:paraId="1CC05BC9" w14:textId="77777777" w:rsidR="00DB6E47" w:rsidRPr="007E1F9A" w:rsidRDefault="00DB6E47" w:rsidP="00DB6E47">
      <w:pPr>
        <w:pStyle w:val="AH5Sec"/>
      </w:pPr>
      <w:bookmarkStart w:id="806" w:name="_Toc83626150"/>
      <w:r w:rsidRPr="005E03F7">
        <w:rPr>
          <w:rStyle w:val="CharSectNo"/>
        </w:rPr>
        <w:t>652</w:t>
      </w:r>
      <w:r w:rsidRPr="007E1F9A">
        <w:tab/>
      </w:r>
      <w:r w:rsidRPr="007E1F9A">
        <w:rPr>
          <w:rFonts w:ascii="Helvetica" w:hAnsi="Helvetica" w:cs="Helvetica"/>
        </w:rPr>
        <w:t>Referral of matters etc. by responsible Minister</w:t>
      </w:r>
      <w:bookmarkEnd w:id="806"/>
    </w:p>
    <w:p w14:paraId="1A8DF3C8" w14:textId="77777777" w:rsidR="00DB6E47" w:rsidRPr="002F157F" w:rsidRDefault="00DB6E47" w:rsidP="00DB6E47">
      <w:pPr>
        <w:pStyle w:val="Amain"/>
      </w:pPr>
      <w:r w:rsidRPr="002F157F">
        <w:tab/>
        <w:t>(1)</w:t>
      </w:r>
      <w:r w:rsidRPr="002F157F">
        <w:tab/>
        <w:t>The responsible Minister for a participating jurisdiction may—</w:t>
      </w:r>
    </w:p>
    <w:p w14:paraId="52CDF741" w14:textId="77777777" w:rsidR="00DB6E47" w:rsidRPr="00544ED5" w:rsidRDefault="00DB6E47" w:rsidP="00DB6E47">
      <w:pPr>
        <w:pStyle w:val="Apara"/>
      </w:pPr>
      <w:r w:rsidRPr="00544ED5">
        <w:tab/>
        <w:t>(a)</w:t>
      </w:r>
      <w:r w:rsidRPr="00544ED5">
        <w:tab/>
        <w:t>refer a matter relevant to that jurisdiction to the Regulator for action under this Law; or</w:t>
      </w:r>
    </w:p>
    <w:p w14:paraId="429349E9" w14:textId="77777777" w:rsidR="00DB6E47" w:rsidRPr="00544ED5" w:rsidRDefault="00DB6E47" w:rsidP="00DB6E47">
      <w:pPr>
        <w:pStyle w:val="Apara"/>
      </w:pPr>
      <w:r w:rsidRPr="00544ED5">
        <w:tab/>
        <w:t>(b)</w:t>
      </w:r>
      <w:r w:rsidRPr="00544ED5">
        <w:tab/>
        <w:t>ask the Regulator for information about the exercise of the Regulator’s functions under this Law as applied in that jurisdiction.</w:t>
      </w:r>
    </w:p>
    <w:p w14:paraId="27874C8F" w14:textId="77777777" w:rsidR="00DB6E47" w:rsidRPr="002F157F" w:rsidRDefault="00DB6E47" w:rsidP="00E56847">
      <w:pPr>
        <w:pStyle w:val="Amain"/>
        <w:keepNext/>
      </w:pPr>
      <w:r w:rsidRPr="002F157F">
        <w:lastRenderedPageBreak/>
        <w:tab/>
        <w:t>(2)</w:t>
      </w:r>
      <w:r w:rsidRPr="002F157F">
        <w:tab/>
        <w:t>However, the Minister can not—</w:t>
      </w:r>
    </w:p>
    <w:p w14:paraId="0C90C66B" w14:textId="77777777" w:rsidR="00DB6E47" w:rsidRPr="00544ED5" w:rsidRDefault="00DB6E47" w:rsidP="00E56847">
      <w:pPr>
        <w:pStyle w:val="Apara"/>
        <w:keepNext/>
      </w:pPr>
      <w:r w:rsidRPr="00544ED5">
        <w:tab/>
        <w:t>(a)</w:t>
      </w:r>
      <w:r w:rsidRPr="00544ED5">
        <w:tab/>
        <w:t>refer a matter to the</w:t>
      </w:r>
      <w:r w:rsidR="00E56847">
        <w:t xml:space="preserve"> Regulator under subsection (1)</w:t>
      </w:r>
      <w:r w:rsidRPr="00544ED5">
        <w:t>(a)</w:t>
      </w:r>
      <w:r w:rsidR="00E56847">
        <w:t xml:space="preserve"> </w:t>
      </w:r>
      <w:r w:rsidRPr="00544ED5">
        <w:t>that may require the Regulator to take action that is inconsistent with—</w:t>
      </w:r>
    </w:p>
    <w:p w14:paraId="2918C0C1" w14:textId="77777777" w:rsidR="00DB6E47" w:rsidRPr="00CC71DF" w:rsidRDefault="00DB6E47" w:rsidP="00DB6E47">
      <w:pPr>
        <w:pStyle w:val="Asubpara"/>
      </w:pPr>
      <w:r w:rsidRPr="00CC71DF">
        <w:tab/>
        <w:t>(i)</w:t>
      </w:r>
      <w:r w:rsidRPr="00CC71DF">
        <w:tab/>
        <w:t>a direction given by the responsible Ministers under section 651; or</w:t>
      </w:r>
    </w:p>
    <w:p w14:paraId="35A76356" w14:textId="77777777" w:rsidR="00DB6E47" w:rsidRPr="00CC71DF" w:rsidRDefault="00DB6E47" w:rsidP="00DB6E47">
      <w:pPr>
        <w:pStyle w:val="Asubpara"/>
      </w:pPr>
      <w:r w:rsidRPr="00CC71DF">
        <w:tab/>
        <w:t>(ii)</w:t>
      </w:r>
      <w:r w:rsidRPr="00CC71DF">
        <w:tab/>
        <w:t>the approved guidelines; or</w:t>
      </w:r>
    </w:p>
    <w:p w14:paraId="719AAF0F" w14:textId="77777777" w:rsidR="00DB6E47" w:rsidRPr="00544ED5" w:rsidRDefault="00DB6E47" w:rsidP="00DB6E47">
      <w:pPr>
        <w:pStyle w:val="Apara"/>
      </w:pPr>
      <w:r w:rsidRPr="00544ED5">
        <w:tab/>
        <w:t>(b)</w:t>
      </w:r>
      <w:r w:rsidRPr="00544ED5">
        <w:tab/>
        <w:t>direct the Regulator to take or not to take particular action in relation to a matter referred to the Regulator under subsection</w:t>
      </w:r>
      <w:r w:rsidR="00EA2CFC">
        <w:t> </w:t>
      </w:r>
      <w:r w:rsidRPr="00544ED5">
        <w:t>(1)(a); or</w:t>
      </w:r>
    </w:p>
    <w:p w14:paraId="563AC3F7" w14:textId="77777777" w:rsidR="00DB6E47" w:rsidRPr="00544ED5" w:rsidRDefault="00DB6E47" w:rsidP="00DB6E47">
      <w:pPr>
        <w:pStyle w:val="Apara"/>
      </w:pPr>
      <w:r w:rsidRPr="00544ED5">
        <w:tab/>
        <w:t>(c)</w:t>
      </w:r>
      <w:r w:rsidRPr="00544ED5">
        <w:tab/>
        <w:t>otherwise influence the exercise of the Regulator’s functions under this Law.</w:t>
      </w:r>
    </w:p>
    <w:p w14:paraId="277CBBC4" w14:textId="77777777" w:rsidR="00DB6E47" w:rsidRPr="002F157F" w:rsidRDefault="00DB6E47" w:rsidP="00DB6E47">
      <w:pPr>
        <w:pStyle w:val="Amain"/>
      </w:pPr>
      <w:r w:rsidRPr="002F157F">
        <w:tab/>
        <w:t>(3)</w:t>
      </w:r>
      <w:r w:rsidRPr="002F157F">
        <w:tab/>
        <w:t>The Regulator may charge a fee for dealing with a referral or request made under subsection (1).</w:t>
      </w:r>
    </w:p>
    <w:p w14:paraId="773C0A4B" w14:textId="77777777" w:rsidR="00DB6E47" w:rsidRPr="002F157F" w:rsidRDefault="00DB6E47" w:rsidP="00DB6E47">
      <w:pPr>
        <w:pStyle w:val="Amain"/>
      </w:pPr>
      <w:r w:rsidRPr="002F157F">
        <w:tab/>
        <w:t>(4)</w:t>
      </w:r>
      <w:r w:rsidRPr="002F157F">
        <w:tab/>
        <w:t>A fee charged by the Regulator under sub</w:t>
      </w:r>
      <w:r w:rsidR="00223E43">
        <w:t xml:space="preserve">section </w:t>
      </w:r>
      <w:r w:rsidRPr="002F157F">
        <w:t>(3)</w:t>
      </w:r>
      <w:r w:rsidR="00223E43">
        <w:t xml:space="preserve"> </w:t>
      </w:r>
      <w:r w:rsidRPr="002F157F">
        <w:t>must be an amount—</w:t>
      </w:r>
    </w:p>
    <w:p w14:paraId="5563D302" w14:textId="77777777" w:rsidR="00DB6E47" w:rsidRPr="00544ED5" w:rsidRDefault="00DB6E47" w:rsidP="00DB6E47">
      <w:pPr>
        <w:pStyle w:val="Apara"/>
      </w:pPr>
      <w:r w:rsidRPr="00544ED5">
        <w:tab/>
        <w:t>(a)</w:t>
      </w:r>
      <w:r w:rsidRPr="00544ED5">
        <w:tab/>
        <w:t>the Regulator considers reasonable; and</w:t>
      </w:r>
    </w:p>
    <w:p w14:paraId="71A2E5FD" w14:textId="77777777" w:rsidR="00DB6E47" w:rsidRPr="00544ED5" w:rsidRDefault="00DB6E47" w:rsidP="00DB6E47">
      <w:pPr>
        <w:pStyle w:val="Apara"/>
      </w:pPr>
      <w:r w:rsidRPr="00544ED5">
        <w:tab/>
        <w:t>(b)</w:t>
      </w:r>
      <w:r w:rsidRPr="00544ED5">
        <w:tab/>
        <w:t>that is no more than the reasonable cost of dealing with the referral or request.</w:t>
      </w:r>
    </w:p>
    <w:p w14:paraId="115E1B31" w14:textId="77777777" w:rsidR="00DB6E47" w:rsidRPr="002F157F" w:rsidRDefault="00223E43" w:rsidP="00DB6E47">
      <w:pPr>
        <w:pStyle w:val="Amain"/>
      </w:pPr>
      <w:r>
        <w:tab/>
        <w:t>(5)</w:t>
      </w:r>
      <w:r>
        <w:tab/>
        <w:t>Section 740</w:t>
      </w:r>
      <w:r w:rsidR="00DB6E47" w:rsidRPr="002F157F">
        <w:t>(2)</w:t>
      </w:r>
      <w:r>
        <w:t xml:space="preserve"> to </w:t>
      </w:r>
      <w:r w:rsidR="00DB6E47" w:rsidRPr="002F157F">
        <w:t>(4)</w:t>
      </w:r>
      <w:r>
        <w:t xml:space="preserve"> </w:t>
      </w:r>
      <w:r w:rsidR="00DB6E47" w:rsidRPr="002F157F">
        <w:t>do not apply to a fee charged by the Regulator under subsection (3).</w:t>
      </w:r>
    </w:p>
    <w:p w14:paraId="6245D913" w14:textId="77777777" w:rsidR="00DB6E47" w:rsidRPr="007E1F9A" w:rsidRDefault="00DB6E47" w:rsidP="00DB6E47">
      <w:pPr>
        <w:pStyle w:val="AH5Sec"/>
      </w:pPr>
      <w:bookmarkStart w:id="807" w:name="_Toc83626151"/>
      <w:r w:rsidRPr="005E03F7">
        <w:rPr>
          <w:rStyle w:val="CharSectNo"/>
        </w:rPr>
        <w:t>653</w:t>
      </w:r>
      <w:r w:rsidRPr="007E1F9A">
        <w:tab/>
      </w:r>
      <w:r w:rsidRPr="007E1F9A">
        <w:rPr>
          <w:rFonts w:ascii="Helvetica" w:hAnsi="Helvetica" w:cs="Helvetica"/>
        </w:rPr>
        <w:t>Approved guidelines for exemptions, authorisations, permits and other authorities</w:t>
      </w:r>
      <w:bookmarkEnd w:id="807"/>
    </w:p>
    <w:p w14:paraId="2CA5A989" w14:textId="77777777" w:rsidR="00DB6E47" w:rsidRPr="002F157F" w:rsidRDefault="00DB6E47" w:rsidP="00DB6E47">
      <w:pPr>
        <w:pStyle w:val="Amain"/>
      </w:pPr>
      <w:r w:rsidRPr="002F157F">
        <w:tab/>
        <w:t>(1)</w:t>
      </w:r>
      <w:r w:rsidRPr="002F157F">
        <w:tab/>
        <w:t>The responsible Ministers may approve guidelines about any of the following—</w:t>
      </w:r>
    </w:p>
    <w:p w14:paraId="6A65BB5E" w14:textId="77777777" w:rsidR="00DB6E47" w:rsidRPr="00544ED5" w:rsidRDefault="00DB6E47" w:rsidP="00DB6E47">
      <w:pPr>
        <w:pStyle w:val="Apara"/>
      </w:pPr>
      <w:r w:rsidRPr="00544ED5">
        <w:tab/>
        <w:t>(b)</w:t>
      </w:r>
      <w:r w:rsidRPr="00544ED5">
        <w:tab/>
        <w:t>granting vehicle standards exemptions;</w:t>
      </w:r>
    </w:p>
    <w:p w14:paraId="5BD1F3BE" w14:textId="77777777" w:rsidR="00DB6E47" w:rsidRPr="00544ED5" w:rsidRDefault="00DB6E47" w:rsidP="00DB6E47">
      <w:pPr>
        <w:pStyle w:val="Apara"/>
      </w:pPr>
      <w:r w:rsidRPr="00544ED5">
        <w:tab/>
        <w:t>(c)</w:t>
      </w:r>
      <w:r w:rsidRPr="00544ED5">
        <w:tab/>
        <w:t>granting mass or dimension exemptions;</w:t>
      </w:r>
    </w:p>
    <w:p w14:paraId="20809DC3" w14:textId="77777777" w:rsidR="00DB6E47" w:rsidRPr="00544ED5" w:rsidRDefault="00DB6E47" w:rsidP="00DB6E47">
      <w:pPr>
        <w:pStyle w:val="Apara"/>
      </w:pPr>
      <w:r w:rsidRPr="00544ED5">
        <w:tab/>
        <w:t>(d)</w:t>
      </w:r>
      <w:r w:rsidRPr="00544ED5">
        <w:tab/>
        <w:t>granting class 2 heavy vehicle authorisations;</w:t>
      </w:r>
    </w:p>
    <w:p w14:paraId="0130FE3C" w14:textId="77777777" w:rsidR="00DB6E47" w:rsidRPr="00544ED5" w:rsidRDefault="00DB6E47" w:rsidP="00DB6E47">
      <w:pPr>
        <w:pStyle w:val="Apara"/>
      </w:pPr>
      <w:r w:rsidRPr="00544ED5">
        <w:lastRenderedPageBreak/>
        <w:tab/>
        <w:t>(e)</w:t>
      </w:r>
      <w:r w:rsidRPr="00544ED5">
        <w:tab/>
        <w:t>granting electronic recording system approvals;</w:t>
      </w:r>
    </w:p>
    <w:p w14:paraId="4F9606B5" w14:textId="77777777" w:rsidR="00DB6E47" w:rsidRPr="00544ED5" w:rsidRDefault="00DB6E47" w:rsidP="00DB6E47">
      <w:pPr>
        <w:pStyle w:val="Apara"/>
      </w:pPr>
      <w:r w:rsidRPr="00544ED5">
        <w:tab/>
        <w:t>(f)</w:t>
      </w:r>
      <w:r w:rsidRPr="00544ED5">
        <w:tab/>
        <w:t>granting work and rest hours exemptions;</w:t>
      </w:r>
    </w:p>
    <w:p w14:paraId="498C2F76" w14:textId="77777777" w:rsidR="00DB6E47" w:rsidRPr="00544ED5" w:rsidRDefault="00DB6E47" w:rsidP="00DB6E47">
      <w:pPr>
        <w:pStyle w:val="Apara"/>
      </w:pPr>
      <w:r w:rsidRPr="00544ED5">
        <w:tab/>
        <w:t>(g)</w:t>
      </w:r>
      <w:r w:rsidRPr="00544ED5">
        <w:tab/>
        <w:t>granting work diary exemptions;</w:t>
      </w:r>
    </w:p>
    <w:p w14:paraId="2205A1C7" w14:textId="77777777" w:rsidR="00DB6E47" w:rsidRPr="00544ED5" w:rsidRDefault="00DB6E47" w:rsidP="00DB6E47">
      <w:pPr>
        <w:pStyle w:val="Apara"/>
      </w:pPr>
      <w:r>
        <w:tab/>
      </w:r>
      <w:r w:rsidRPr="00544ED5">
        <w:t>(h)</w:t>
      </w:r>
      <w:r w:rsidRPr="00544ED5">
        <w:tab/>
        <w:t>granting fatigue record keeping exemptions;</w:t>
      </w:r>
    </w:p>
    <w:p w14:paraId="4D1C15F3" w14:textId="77777777" w:rsidR="00DB6E47" w:rsidRPr="00544ED5" w:rsidRDefault="00DB6E47" w:rsidP="00DB6E47">
      <w:pPr>
        <w:pStyle w:val="Apara"/>
      </w:pPr>
      <w:r w:rsidRPr="00544ED5">
        <w:tab/>
        <w:t>(i)</w:t>
      </w:r>
      <w:r w:rsidRPr="00544ED5">
        <w:tab/>
        <w:t>granting heavy vehicle accreditation;</w:t>
      </w:r>
    </w:p>
    <w:p w14:paraId="4982F021" w14:textId="77777777" w:rsidR="00DB6E47" w:rsidRPr="00544ED5" w:rsidRDefault="00DB6E47" w:rsidP="00DB6E47">
      <w:pPr>
        <w:pStyle w:val="Apara"/>
      </w:pPr>
      <w:r w:rsidRPr="00544ED5">
        <w:tab/>
        <w:t>(j)</w:t>
      </w:r>
      <w:r w:rsidRPr="00544ED5">
        <w:tab/>
        <w:t>granting or issuing an exemption, authorisation, permit or authority, or making a declaration, under the national regulations;</w:t>
      </w:r>
    </w:p>
    <w:p w14:paraId="3F430E8F" w14:textId="77777777" w:rsidR="00DB6E47" w:rsidRPr="00544ED5" w:rsidRDefault="00DB6E47" w:rsidP="00DB6E47">
      <w:pPr>
        <w:pStyle w:val="Apara"/>
      </w:pPr>
      <w:r>
        <w:tab/>
      </w:r>
      <w:r w:rsidRPr="00544ED5">
        <w:t>(k)</w:t>
      </w:r>
      <w:r w:rsidRPr="00544ED5">
        <w:tab/>
        <w:t>granting PBS design approvals and PBS vehicle approvals;</w:t>
      </w:r>
    </w:p>
    <w:p w14:paraId="0A92655C" w14:textId="77777777" w:rsidR="00DB6E47" w:rsidRPr="00544ED5" w:rsidRDefault="00DB6E47" w:rsidP="00DB6E47">
      <w:pPr>
        <w:pStyle w:val="Apara"/>
      </w:pPr>
      <w:r>
        <w:tab/>
      </w:r>
      <w:r w:rsidRPr="00544ED5">
        <w:t>(l)</w:t>
      </w:r>
      <w:r w:rsidRPr="00544ED5">
        <w:tab/>
        <w:t>other matters as referred to in—</w:t>
      </w:r>
    </w:p>
    <w:p w14:paraId="2D4732FF" w14:textId="77777777" w:rsidR="00DB6E47" w:rsidRDefault="00DB6E47" w:rsidP="00DB6E47">
      <w:pPr>
        <w:pStyle w:val="Asubpara"/>
      </w:pPr>
      <w:r>
        <w:tab/>
      </w:r>
      <w:r w:rsidR="004E3F26">
        <w:t>(i)</w:t>
      </w:r>
      <w:r w:rsidR="004E3F26">
        <w:tab/>
        <w:t>paragraph (a)</w:t>
      </w:r>
      <w:r w:rsidRPr="00CC71DF">
        <w:t>(ii)</w:t>
      </w:r>
      <w:r w:rsidR="004E3F26">
        <w:t xml:space="preserve"> </w:t>
      </w:r>
      <w:r w:rsidRPr="00CC71DF">
        <w:t>of the definition road condition in section 154; or</w:t>
      </w:r>
    </w:p>
    <w:p w14:paraId="1F7C196F" w14:textId="77777777" w:rsidR="00A85766" w:rsidRPr="00A85766" w:rsidRDefault="00A85766" w:rsidP="00DB6E47">
      <w:pPr>
        <w:pStyle w:val="Asubpara"/>
      </w:pPr>
      <w:r w:rsidRPr="00A85766">
        <w:tab/>
        <w:t>(ii)</w:t>
      </w:r>
      <w:r w:rsidRPr="00A85766">
        <w:tab/>
        <w:t>section 156A(1)(a)(ii); or</w:t>
      </w:r>
    </w:p>
    <w:p w14:paraId="76E88506" w14:textId="77777777" w:rsidR="00DB6E47" w:rsidRPr="00CC71DF" w:rsidRDefault="00DB6E47" w:rsidP="00DB6E47">
      <w:pPr>
        <w:pStyle w:val="Asubpara"/>
      </w:pPr>
      <w:r>
        <w:tab/>
      </w:r>
      <w:r w:rsidRPr="00CC71DF">
        <w:t>(iii)</w:t>
      </w:r>
      <w:r w:rsidRPr="00CC71DF">
        <w:tab/>
        <w:t>section 163(1)(b)(ii)(B); or</w:t>
      </w:r>
    </w:p>
    <w:p w14:paraId="51441EE1" w14:textId="77777777" w:rsidR="00DB6E47" w:rsidRPr="00CC71DF" w:rsidRDefault="00DB6E47" w:rsidP="00DB6E47">
      <w:pPr>
        <w:pStyle w:val="Asubpara"/>
      </w:pPr>
      <w:r>
        <w:tab/>
      </w:r>
      <w:r w:rsidRPr="00CC71DF">
        <w:t>(iv)</w:t>
      </w:r>
      <w:r w:rsidRPr="00CC71DF">
        <w:tab/>
        <w:t>section 174(1)(b); or</w:t>
      </w:r>
    </w:p>
    <w:p w14:paraId="3D618690" w14:textId="77777777" w:rsidR="00DB6E47" w:rsidRPr="00CC71DF" w:rsidRDefault="00DB6E47" w:rsidP="00DB6E47">
      <w:pPr>
        <w:pStyle w:val="Asubpara"/>
      </w:pPr>
      <w:r>
        <w:tab/>
      </w:r>
      <w:r w:rsidRPr="00CC71DF">
        <w:t>(v)</w:t>
      </w:r>
      <w:r w:rsidRPr="00CC71DF">
        <w:tab/>
        <w:t>section 178(1)(b).</w:t>
      </w:r>
    </w:p>
    <w:p w14:paraId="61742092" w14:textId="77777777" w:rsidR="00DB6E47" w:rsidRPr="002F157F" w:rsidRDefault="00DB6E47" w:rsidP="00DB6E47">
      <w:pPr>
        <w:pStyle w:val="Amain"/>
      </w:pPr>
      <w:r w:rsidRPr="002F157F">
        <w:tab/>
        <w:t>(2)</w:t>
      </w:r>
      <w:r w:rsidRPr="002F157F">
        <w:tab/>
        <w:t>The guidelines, and any instrument amending or repealing the guidelines, must be published in the Commonwealth Gazette.</w:t>
      </w:r>
    </w:p>
    <w:p w14:paraId="3F126E36" w14:textId="77777777" w:rsidR="00DB6E47" w:rsidRPr="002F157F" w:rsidRDefault="00DB6E47" w:rsidP="00DB6E47">
      <w:pPr>
        <w:pStyle w:val="Amain"/>
      </w:pPr>
      <w:r w:rsidRPr="002F157F">
        <w:tab/>
        <w:t>(3)</w:t>
      </w:r>
      <w:r w:rsidRPr="002F157F">
        <w:tab/>
        <w:t>The Regulator must ensure a copy of the guidelines as in force from time to time and any document applied, adopted or incorporated by the guidelines is—</w:t>
      </w:r>
    </w:p>
    <w:p w14:paraId="411ADA0B" w14:textId="77777777" w:rsidR="00DB6E47" w:rsidRPr="00544ED5" w:rsidRDefault="00DB6E47" w:rsidP="00DB6E47">
      <w:pPr>
        <w:pStyle w:val="Apara"/>
      </w:pPr>
      <w:r w:rsidRPr="00544ED5">
        <w:tab/>
        <w:t>(a)</w:t>
      </w:r>
      <w:r w:rsidRPr="00544ED5">
        <w:tab/>
        <w:t>made available for inspection, without charge, during normal business hours at each office of the Regulator; and</w:t>
      </w:r>
    </w:p>
    <w:p w14:paraId="3E2BBC53" w14:textId="77777777" w:rsidR="00DB6E47" w:rsidRPr="00544ED5" w:rsidRDefault="00DB6E47" w:rsidP="00DB6E47">
      <w:pPr>
        <w:pStyle w:val="Apara"/>
      </w:pPr>
      <w:r w:rsidRPr="00544ED5">
        <w:tab/>
        <w:t>(b)</w:t>
      </w:r>
      <w:r w:rsidRPr="00544ED5">
        <w:tab/>
        <w:t>published on the Regulator’s website.</w:t>
      </w:r>
    </w:p>
    <w:p w14:paraId="2EE49E4F" w14:textId="77777777" w:rsidR="00DB6E47" w:rsidRPr="007E1F9A" w:rsidRDefault="00DB6E47" w:rsidP="00DB6E47">
      <w:pPr>
        <w:pStyle w:val="AH5Sec"/>
      </w:pPr>
      <w:bookmarkStart w:id="808" w:name="_Toc83626152"/>
      <w:r w:rsidRPr="005E03F7">
        <w:rPr>
          <w:rStyle w:val="CharSectNo"/>
        </w:rPr>
        <w:lastRenderedPageBreak/>
        <w:t>654</w:t>
      </w:r>
      <w:r w:rsidRPr="007E1F9A">
        <w:tab/>
      </w:r>
      <w:r w:rsidRPr="007E1F9A">
        <w:rPr>
          <w:rFonts w:ascii="Helvetica" w:hAnsi="Helvetica" w:cs="Helvetica"/>
        </w:rPr>
        <w:t>Other approvals</w:t>
      </w:r>
      <w:bookmarkEnd w:id="808"/>
    </w:p>
    <w:p w14:paraId="139A1498" w14:textId="77777777" w:rsidR="00DB6E47" w:rsidRPr="002F157F" w:rsidRDefault="00DB6E47" w:rsidP="00906203">
      <w:pPr>
        <w:pStyle w:val="Amain"/>
        <w:keepNext/>
      </w:pPr>
      <w:r w:rsidRPr="002F157F">
        <w:tab/>
        <w:t>(1)</w:t>
      </w:r>
      <w:r w:rsidRPr="002F157F">
        <w:tab/>
        <w:t>The responsible Ministers may approve—</w:t>
      </w:r>
    </w:p>
    <w:p w14:paraId="1914C12B" w14:textId="77777777" w:rsidR="00DB6E47" w:rsidRPr="00544ED5" w:rsidRDefault="00DB6E47" w:rsidP="00DB6E47">
      <w:pPr>
        <w:pStyle w:val="Apara"/>
      </w:pPr>
      <w:r w:rsidRPr="00544ED5">
        <w:tab/>
        <w:t>(a)</w:t>
      </w:r>
      <w:r w:rsidRPr="00544ED5">
        <w:tab/>
        <w:t>a standard for sleeper berths; or</w:t>
      </w:r>
    </w:p>
    <w:p w14:paraId="4C436011" w14:textId="77777777" w:rsidR="00DB6E47" w:rsidRPr="00544ED5" w:rsidRDefault="00DB6E47" w:rsidP="00DB6E47">
      <w:pPr>
        <w:pStyle w:val="Apara"/>
      </w:pPr>
      <w:r w:rsidRPr="00544ED5">
        <w:tab/>
        <w:t>(b)</w:t>
      </w:r>
      <w:r w:rsidRPr="00544ED5">
        <w:tab/>
        <w:t>standards and business rules for—</w:t>
      </w:r>
    </w:p>
    <w:p w14:paraId="4FC95706" w14:textId="77777777" w:rsidR="00DB6E47" w:rsidRPr="00CC71DF" w:rsidRDefault="00DB6E47" w:rsidP="00DB6E47">
      <w:pPr>
        <w:pStyle w:val="Asubpara"/>
      </w:pPr>
      <w:r w:rsidRPr="00CC71DF">
        <w:tab/>
        <w:t>(i)</w:t>
      </w:r>
      <w:r w:rsidRPr="00CC71DF">
        <w:tab/>
        <w:t>advanced fatigue management; or</w:t>
      </w:r>
    </w:p>
    <w:p w14:paraId="7A1C5BC4" w14:textId="77777777" w:rsidR="00DB6E47" w:rsidRPr="00CC71DF" w:rsidRDefault="00DB6E47" w:rsidP="00DB6E47">
      <w:pPr>
        <w:pStyle w:val="Asubpara"/>
      </w:pPr>
      <w:r w:rsidRPr="00CC71DF">
        <w:tab/>
        <w:t>(ii)</w:t>
      </w:r>
      <w:r w:rsidRPr="00CC71DF">
        <w:tab/>
        <w:t>basic fatigue management; or</w:t>
      </w:r>
    </w:p>
    <w:p w14:paraId="2CF95F32" w14:textId="77777777" w:rsidR="00DB6E47" w:rsidRPr="00CC71DF" w:rsidRDefault="00DB6E47" w:rsidP="00DB6E47">
      <w:pPr>
        <w:pStyle w:val="Asubpara"/>
      </w:pPr>
      <w:r w:rsidRPr="00CC71DF">
        <w:tab/>
        <w:t>(iii)</w:t>
      </w:r>
      <w:r w:rsidRPr="00CC71DF">
        <w:tab/>
        <w:t>heavy vehicle maintenance management; or</w:t>
      </w:r>
    </w:p>
    <w:p w14:paraId="75C5D7B4" w14:textId="77777777" w:rsidR="00DB6E47" w:rsidRPr="00CC71DF" w:rsidRDefault="00DB6E47" w:rsidP="00DB6E47">
      <w:pPr>
        <w:pStyle w:val="Asubpara"/>
      </w:pPr>
      <w:r w:rsidRPr="00CC71DF">
        <w:tab/>
        <w:t>(iv)</w:t>
      </w:r>
      <w:r w:rsidRPr="00CC71DF">
        <w:tab/>
        <w:t>heavy vehicle mass management; or</w:t>
      </w:r>
    </w:p>
    <w:p w14:paraId="41F10CBA" w14:textId="77777777" w:rsidR="00DB6E47" w:rsidRPr="00544ED5" w:rsidRDefault="00DB6E47" w:rsidP="00DB6E47">
      <w:pPr>
        <w:pStyle w:val="Apara"/>
      </w:pPr>
      <w:r w:rsidRPr="00544ED5">
        <w:tab/>
        <w:t>(c)</w:t>
      </w:r>
      <w:r w:rsidRPr="00544ED5">
        <w:tab/>
        <w:t>a class of auditors for the purposes of Chapter 8.</w:t>
      </w:r>
    </w:p>
    <w:p w14:paraId="57820A9E" w14:textId="77777777" w:rsidR="00DB6E47" w:rsidRPr="002F157F" w:rsidRDefault="00DB6E47" w:rsidP="00DB6E47">
      <w:pPr>
        <w:pStyle w:val="Amain"/>
      </w:pPr>
      <w:r w:rsidRPr="002F157F">
        <w:tab/>
        <w:t>(2)</w:t>
      </w:r>
      <w:r w:rsidRPr="002F157F">
        <w:tab/>
        <w:t>The approval, and any instrument amending or repealing the approval, must be published in the Commonwealth Gazette.</w:t>
      </w:r>
    </w:p>
    <w:p w14:paraId="32DE4171" w14:textId="77777777" w:rsidR="00DB6E47" w:rsidRPr="002F157F" w:rsidRDefault="00DB6E47" w:rsidP="00DB6E47">
      <w:pPr>
        <w:pStyle w:val="Amain"/>
      </w:pPr>
      <w:r w:rsidRPr="002F157F">
        <w:tab/>
        <w:t>(3)</w:t>
      </w:r>
      <w:r w:rsidRPr="002F157F">
        <w:tab/>
        <w:t>The Regulator must ensure a copy of an approval in force under subsection (1), and any document the subject of the approval, is—</w:t>
      </w:r>
    </w:p>
    <w:p w14:paraId="13815110" w14:textId="77777777" w:rsidR="00DB6E47" w:rsidRPr="00544ED5" w:rsidRDefault="00DB6E47" w:rsidP="00DB6E47">
      <w:pPr>
        <w:pStyle w:val="Apara"/>
      </w:pPr>
      <w:r w:rsidRPr="002F157F">
        <w:tab/>
        <w:t>(a)</w:t>
      </w:r>
      <w:r w:rsidRPr="002F157F">
        <w:tab/>
        <w:t>made available for inspection, without charge, during</w:t>
      </w:r>
      <w:r w:rsidRPr="00544ED5">
        <w:t xml:space="preserve"> normal business hours at each office of the Regulator; and</w:t>
      </w:r>
    </w:p>
    <w:p w14:paraId="630F9173" w14:textId="77777777" w:rsidR="00DB6E47" w:rsidRPr="00544ED5" w:rsidRDefault="00DB6E47" w:rsidP="00DB6E47">
      <w:pPr>
        <w:pStyle w:val="Apara"/>
      </w:pPr>
      <w:r w:rsidRPr="00544ED5">
        <w:tab/>
        <w:t>(b)</w:t>
      </w:r>
      <w:r w:rsidRPr="00544ED5">
        <w:tab/>
        <w:t>published on the Regulator’s website.</w:t>
      </w:r>
    </w:p>
    <w:p w14:paraId="674BE348" w14:textId="77777777" w:rsidR="00DB6E47" w:rsidRPr="007E1F9A" w:rsidRDefault="00DB6E47" w:rsidP="00DB6E47">
      <w:pPr>
        <w:pStyle w:val="AH5Sec"/>
      </w:pPr>
      <w:bookmarkStart w:id="809" w:name="_Toc83626153"/>
      <w:r w:rsidRPr="005E03F7">
        <w:rPr>
          <w:rStyle w:val="CharSectNo"/>
        </w:rPr>
        <w:t>655</w:t>
      </w:r>
      <w:r w:rsidRPr="007E1F9A">
        <w:tab/>
      </w:r>
      <w:r w:rsidRPr="007E1F9A">
        <w:rPr>
          <w:rFonts w:ascii="Helvetica" w:hAnsi="Helvetica" w:cs="Helvetica"/>
        </w:rPr>
        <w:t>How responsible Ministers exercise functions</w:t>
      </w:r>
      <w:bookmarkEnd w:id="809"/>
    </w:p>
    <w:p w14:paraId="655B40AF" w14:textId="77777777" w:rsidR="00DB6E47" w:rsidRPr="002F157F" w:rsidRDefault="00DB6E47" w:rsidP="00DB6E47">
      <w:pPr>
        <w:pStyle w:val="Amain"/>
      </w:pPr>
      <w:r w:rsidRPr="002F157F">
        <w:tab/>
        <w:t>(1)</w:t>
      </w:r>
      <w:r w:rsidRPr="002F157F">
        <w:tab/>
        <w:t>The responsible Ministers are to give a direction or approval, or make a recommendation, request or decision, for the purposes of a provision of this Law by a resolution passed by the responsible Ministers in accordance with the procedures decided by the responsible Ministers.</w:t>
      </w:r>
    </w:p>
    <w:p w14:paraId="78CD5941" w14:textId="77777777" w:rsidR="00DB6E47" w:rsidRPr="002F157F" w:rsidRDefault="00DB6E47" w:rsidP="0062288F">
      <w:pPr>
        <w:pStyle w:val="Amain"/>
        <w:keepNext/>
      </w:pPr>
      <w:r w:rsidRPr="002F157F">
        <w:tab/>
        <w:t>(2)</w:t>
      </w:r>
      <w:r w:rsidRPr="002F157F">
        <w:tab/>
        <w:t>Su</w:t>
      </w:r>
      <w:r w:rsidR="00223E43">
        <w:t xml:space="preserve">bsection </w:t>
      </w:r>
      <w:r w:rsidRPr="002F157F">
        <w:t>(1)</w:t>
      </w:r>
      <w:r w:rsidR="00223E43">
        <w:t xml:space="preserve"> </w:t>
      </w:r>
      <w:r w:rsidRPr="002F157F">
        <w:t>applies subject to the following—</w:t>
      </w:r>
    </w:p>
    <w:p w14:paraId="78E61117" w14:textId="77777777" w:rsidR="00DB6E47" w:rsidRPr="00544ED5" w:rsidRDefault="00DB6E47" w:rsidP="00DB6E47">
      <w:pPr>
        <w:pStyle w:val="Apara"/>
      </w:pPr>
      <w:r w:rsidRPr="00544ED5">
        <w:tab/>
        <w:t>(a)</w:t>
      </w:r>
      <w:r w:rsidRPr="00544ED5">
        <w:tab/>
        <w:t>subsection (3);</w:t>
      </w:r>
    </w:p>
    <w:p w14:paraId="2D2A9093" w14:textId="77777777" w:rsidR="00DB6E47" w:rsidRPr="00544ED5" w:rsidRDefault="00DB6E47" w:rsidP="00906203">
      <w:pPr>
        <w:pStyle w:val="Apara"/>
        <w:keepLines/>
      </w:pPr>
      <w:r w:rsidRPr="00544ED5">
        <w:lastRenderedPageBreak/>
        <w:tab/>
        <w:t>(b)</w:t>
      </w:r>
      <w:r w:rsidRPr="00544ED5">
        <w:tab/>
        <w:t>a provision of this Law that provides how a direction or approval must be given, or a recommendation, request or decision must be made, by the responsible Ministers, including, for example, a provision that provides that a recommendation by the responsible Ministers must be unanimous.</w:t>
      </w:r>
    </w:p>
    <w:p w14:paraId="54F91C8F" w14:textId="77777777" w:rsidR="00DB6E47" w:rsidRPr="002F157F" w:rsidRDefault="00DB6E47" w:rsidP="00DB6E47">
      <w:pPr>
        <w:pStyle w:val="Amain"/>
      </w:pPr>
      <w:r w:rsidRPr="002F157F">
        <w:tab/>
        <w:t>(3)</w:t>
      </w:r>
      <w:r w:rsidRPr="002F157F">
        <w:tab/>
        <w:t>The Commonwealth responsible Minister may decide whether or not to participate in the exercise of a function given to the responsible Ministers under this Law and, if the Commonwealth responsible Minister decides not to participate, the following apply in relation to the exercise of the function—</w:t>
      </w:r>
    </w:p>
    <w:p w14:paraId="73C98CE3" w14:textId="77777777" w:rsidR="00DB6E47" w:rsidRPr="00544ED5" w:rsidRDefault="00DB6E47" w:rsidP="00DB6E47">
      <w:pPr>
        <w:pStyle w:val="Apara"/>
      </w:pPr>
      <w:r w:rsidRPr="00544ED5">
        <w:tab/>
        <w:t>(a)</w:t>
      </w:r>
      <w:r w:rsidRPr="00544ED5">
        <w:tab/>
        <w:t>a reference in this Law to the responsible Ministers is taken to be a reference to a group of Ministers consisting of the responsible Minister for each participating jurisdiction;</w:t>
      </w:r>
    </w:p>
    <w:p w14:paraId="162ED2BC" w14:textId="77777777" w:rsidR="00DB6E47" w:rsidRPr="00544ED5" w:rsidRDefault="00DB6E47" w:rsidP="00DB6E47">
      <w:pPr>
        <w:pStyle w:val="Apara"/>
      </w:pPr>
      <w:r w:rsidRPr="00544ED5">
        <w:tab/>
        <w:t>(b)</w:t>
      </w:r>
      <w:r w:rsidRPr="00544ED5">
        <w:tab/>
        <w:t>a direction, approval, recommendation, request or decision by the responsible Ministers is taken to be unanimous if the responsible Minister for each participating jurisdiction agrees with the direction, approval, recommendation, request or decision.</w:t>
      </w:r>
    </w:p>
    <w:p w14:paraId="1D5729ED" w14:textId="77777777" w:rsidR="00DB6E47" w:rsidRPr="002F157F" w:rsidRDefault="00DB6E47" w:rsidP="00DB6E47">
      <w:pPr>
        <w:pStyle w:val="Amain"/>
      </w:pPr>
      <w:r w:rsidRPr="002F157F">
        <w:tab/>
        <w:t>(4)</w:t>
      </w:r>
      <w:r w:rsidRPr="002F157F">
        <w:tab/>
        <w:t>An act or thing done by the responsible Ministers (whether by resolution, instrument or otherwise) does not cease to have effect merely because of a change in the Ministers comprising the responsible Ministers.</w:t>
      </w:r>
    </w:p>
    <w:p w14:paraId="33F02258" w14:textId="77777777" w:rsidR="005F2FE3" w:rsidRPr="005F2FE3" w:rsidRDefault="005F2FE3" w:rsidP="005F2FE3">
      <w:pPr>
        <w:pStyle w:val="AH5Sec"/>
        <w:rPr>
          <w:lang w:val="en" w:eastAsia="en-AU"/>
        </w:rPr>
      </w:pPr>
      <w:bookmarkStart w:id="810" w:name="_Toc83626154"/>
      <w:r w:rsidRPr="005E03F7">
        <w:rPr>
          <w:rStyle w:val="CharSectNo"/>
        </w:rPr>
        <w:t>655A</w:t>
      </w:r>
      <w:r>
        <w:tab/>
      </w:r>
      <w:r w:rsidRPr="005F2FE3">
        <w:rPr>
          <w:lang w:val="en" w:eastAsia="en-AU"/>
        </w:rPr>
        <w:t>Delegation by responsible Ministers</w:t>
      </w:r>
      <w:bookmarkEnd w:id="810"/>
    </w:p>
    <w:p w14:paraId="1E625B1E" w14:textId="77777777" w:rsidR="005F2FE3" w:rsidRPr="005F2FE3" w:rsidRDefault="005F2FE3" w:rsidP="005F2FE3">
      <w:pPr>
        <w:pStyle w:val="Amain"/>
        <w:rPr>
          <w:lang w:val="en" w:eastAsia="en-AU"/>
        </w:rPr>
      </w:pPr>
      <w:r>
        <w:rPr>
          <w:lang w:val="en" w:eastAsia="en-AU"/>
        </w:rPr>
        <w:tab/>
      </w:r>
      <w:r w:rsidRPr="005F2FE3">
        <w:rPr>
          <w:lang w:val="en" w:eastAsia="en-AU"/>
        </w:rPr>
        <w:t>(1)</w:t>
      </w:r>
      <w:r>
        <w:rPr>
          <w:lang w:val="en" w:eastAsia="en-AU"/>
        </w:rPr>
        <w:tab/>
      </w:r>
      <w:r w:rsidRPr="005F2FE3">
        <w:rPr>
          <w:lang w:val="en" w:eastAsia="en-AU"/>
        </w:rPr>
        <w:t>The responsible Ministers may delegate to the Board the function of approving a minor amendment of—</w:t>
      </w:r>
    </w:p>
    <w:p w14:paraId="3E4E5CE0" w14:textId="77777777" w:rsidR="005F2FE3" w:rsidRPr="005F2FE3" w:rsidRDefault="005F2FE3" w:rsidP="005F2FE3">
      <w:pPr>
        <w:pStyle w:val="Apara"/>
        <w:rPr>
          <w:lang w:val="en" w:eastAsia="en-AU"/>
        </w:rPr>
      </w:pPr>
      <w:r>
        <w:rPr>
          <w:lang w:val="en" w:eastAsia="en-AU"/>
        </w:rPr>
        <w:tab/>
      </w:r>
      <w:r w:rsidRPr="005F2FE3">
        <w:rPr>
          <w:lang w:val="en" w:eastAsia="en-AU"/>
        </w:rPr>
        <w:t>(a)</w:t>
      </w:r>
      <w:r>
        <w:rPr>
          <w:lang w:val="en" w:eastAsia="en-AU"/>
        </w:rPr>
        <w:tab/>
      </w:r>
      <w:r w:rsidRPr="005F2FE3">
        <w:rPr>
          <w:lang w:val="en" w:eastAsia="en-AU"/>
        </w:rPr>
        <w:t>a guideline mentioned in section 653; or</w:t>
      </w:r>
    </w:p>
    <w:p w14:paraId="5F4DC215" w14:textId="77777777" w:rsidR="005F2FE3" w:rsidRPr="005F2FE3" w:rsidRDefault="005F2FE3" w:rsidP="005F2FE3">
      <w:pPr>
        <w:pStyle w:val="Apara"/>
        <w:rPr>
          <w:lang w:val="en" w:eastAsia="en-AU"/>
        </w:rPr>
      </w:pPr>
      <w:r>
        <w:rPr>
          <w:lang w:val="en" w:eastAsia="en-AU"/>
        </w:rPr>
        <w:tab/>
      </w:r>
      <w:r w:rsidRPr="005F2FE3">
        <w:rPr>
          <w:lang w:val="en" w:eastAsia="en-AU"/>
        </w:rPr>
        <w:t>(b)</w:t>
      </w:r>
      <w:r>
        <w:rPr>
          <w:lang w:val="en" w:eastAsia="en-AU"/>
        </w:rPr>
        <w:tab/>
      </w:r>
      <w:r w:rsidRPr="005F2FE3">
        <w:rPr>
          <w:lang w:val="en" w:eastAsia="en-AU"/>
        </w:rPr>
        <w:t>an approval mentioned in section 654.</w:t>
      </w:r>
    </w:p>
    <w:p w14:paraId="451B8F1F" w14:textId="77777777" w:rsidR="005F2FE3" w:rsidRPr="005F2FE3" w:rsidRDefault="005F2FE3" w:rsidP="00906203">
      <w:pPr>
        <w:pStyle w:val="Amain"/>
        <w:keepNext/>
        <w:rPr>
          <w:lang w:val="en" w:eastAsia="en-AU"/>
        </w:rPr>
      </w:pPr>
      <w:r>
        <w:rPr>
          <w:lang w:val="en" w:eastAsia="en-AU"/>
        </w:rPr>
        <w:lastRenderedPageBreak/>
        <w:tab/>
      </w:r>
      <w:r w:rsidRPr="005F2FE3">
        <w:rPr>
          <w:lang w:val="en" w:eastAsia="en-AU"/>
        </w:rPr>
        <w:t>(2)</w:t>
      </w:r>
      <w:r>
        <w:rPr>
          <w:lang w:val="en" w:eastAsia="en-AU"/>
        </w:rPr>
        <w:tab/>
      </w:r>
      <w:r w:rsidRPr="005F2FE3">
        <w:rPr>
          <w:lang w:val="en" w:eastAsia="en-AU"/>
        </w:rPr>
        <w:t>In this section—</w:t>
      </w:r>
    </w:p>
    <w:p w14:paraId="4D4E7CE4" w14:textId="77777777" w:rsidR="005F2FE3" w:rsidRPr="005F2FE3" w:rsidRDefault="005F2FE3" w:rsidP="00906203">
      <w:pPr>
        <w:pStyle w:val="aDef"/>
        <w:keepNext/>
        <w:rPr>
          <w:lang w:val="en" w:eastAsia="en-AU"/>
        </w:rPr>
      </w:pPr>
      <w:r w:rsidRPr="005F2FE3">
        <w:rPr>
          <w:b/>
          <w:bCs/>
          <w:i/>
          <w:iCs/>
          <w:lang w:val="en" w:eastAsia="en-AU"/>
        </w:rPr>
        <w:t>minor amendment</w:t>
      </w:r>
      <w:r w:rsidRPr="005F2FE3">
        <w:rPr>
          <w:lang w:val="en" w:eastAsia="en-AU"/>
        </w:rPr>
        <w:t>, of a guideline or approval, means an amendment of the guideline or approval in a minor respect—</w:t>
      </w:r>
    </w:p>
    <w:p w14:paraId="571A0E7E" w14:textId="77777777" w:rsidR="005F2FE3" w:rsidRPr="005F2FE3" w:rsidRDefault="005F2FE3" w:rsidP="005F2FE3">
      <w:pPr>
        <w:pStyle w:val="aDefpara"/>
        <w:rPr>
          <w:lang w:val="en" w:eastAsia="en-AU"/>
        </w:rPr>
      </w:pPr>
      <w:r>
        <w:rPr>
          <w:lang w:val="en" w:eastAsia="en-AU"/>
        </w:rPr>
        <w:tab/>
      </w:r>
      <w:r w:rsidRPr="005F2FE3">
        <w:rPr>
          <w:lang w:val="en" w:eastAsia="en-AU"/>
        </w:rPr>
        <w:t>(a)</w:t>
      </w:r>
      <w:r>
        <w:rPr>
          <w:lang w:val="en" w:eastAsia="en-AU"/>
        </w:rPr>
        <w:tab/>
      </w:r>
      <w:r w:rsidRPr="005F2FE3">
        <w:rPr>
          <w:lang w:val="en" w:eastAsia="en-AU"/>
        </w:rPr>
        <w:t>for a formal or clerical reason; or</w:t>
      </w:r>
    </w:p>
    <w:p w14:paraId="1DAAE58C" w14:textId="77777777" w:rsidR="005F2FE3" w:rsidRPr="005F2FE3" w:rsidRDefault="005F2FE3" w:rsidP="005F2FE3">
      <w:pPr>
        <w:pStyle w:val="aDefpara"/>
        <w:rPr>
          <w:lang w:val="en" w:eastAsia="en-AU"/>
        </w:rPr>
      </w:pPr>
      <w:r>
        <w:rPr>
          <w:lang w:val="en" w:eastAsia="en-AU"/>
        </w:rPr>
        <w:tab/>
      </w:r>
      <w:r w:rsidRPr="005F2FE3">
        <w:rPr>
          <w:lang w:val="en" w:eastAsia="en-AU"/>
        </w:rPr>
        <w:t>(b)</w:t>
      </w:r>
      <w:r>
        <w:rPr>
          <w:lang w:val="en" w:eastAsia="en-AU"/>
        </w:rPr>
        <w:tab/>
      </w:r>
      <w:r w:rsidRPr="005F2FE3">
        <w:rPr>
          <w:lang w:val="en" w:eastAsia="en-AU"/>
        </w:rPr>
        <w:t>in another way that does not—</w:t>
      </w:r>
    </w:p>
    <w:p w14:paraId="4034E34E" w14:textId="77777777" w:rsidR="005F2FE3" w:rsidRPr="005F2FE3" w:rsidRDefault="005F2FE3" w:rsidP="005F2FE3">
      <w:pPr>
        <w:pStyle w:val="aDefsubpara"/>
        <w:rPr>
          <w:lang w:val="en" w:eastAsia="en-AU"/>
        </w:rPr>
      </w:pPr>
      <w:r>
        <w:rPr>
          <w:lang w:val="en" w:eastAsia="en-AU"/>
        </w:rPr>
        <w:tab/>
      </w:r>
      <w:r w:rsidRPr="005F2FE3">
        <w:rPr>
          <w:lang w:val="en" w:eastAsia="en-AU"/>
        </w:rPr>
        <w:t>(i)</w:t>
      </w:r>
      <w:r>
        <w:rPr>
          <w:lang w:val="en" w:eastAsia="en-AU"/>
        </w:rPr>
        <w:tab/>
      </w:r>
      <w:r w:rsidRPr="005F2FE3">
        <w:rPr>
          <w:lang w:val="en" w:eastAsia="en-AU"/>
        </w:rPr>
        <w:t>increase a safety risk; or</w:t>
      </w:r>
    </w:p>
    <w:p w14:paraId="4801110F" w14:textId="77777777" w:rsidR="005F2FE3" w:rsidRPr="005F2FE3" w:rsidRDefault="005F2FE3" w:rsidP="005F2FE3">
      <w:pPr>
        <w:pStyle w:val="aDefsubpara"/>
        <w:rPr>
          <w:lang w:val="en" w:eastAsia="en-AU"/>
        </w:rPr>
      </w:pPr>
      <w:r>
        <w:rPr>
          <w:lang w:val="en" w:eastAsia="en-AU"/>
        </w:rPr>
        <w:tab/>
      </w:r>
      <w:r w:rsidRPr="005F2FE3">
        <w:rPr>
          <w:lang w:val="en" w:eastAsia="en-AU"/>
        </w:rPr>
        <w:t>(ii)</w:t>
      </w:r>
      <w:r>
        <w:rPr>
          <w:lang w:val="en" w:eastAsia="en-AU"/>
        </w:rPr>
        <w:tab/>
      </w:r>
      <w:r w:rsidRPr="005F2FE3">
        <w:rPr>
          <w:lang w:val="en" w:eastAsia="en-AU"/>
        </w:rPr>
        <w:t>increase a risk of damage to road infrastructure; or</w:t>
      </w:r>
    </w:p>
    <w:p w14:paraId="6BF8519A" w14:textId="77777777" w:rsidR="005F2FE3" w:rsidRPr="005F2FE3" w:rsidRDefault="005F2FE3" w:rsidP="005F2FE3">
      <w:pPr>
        <w:pStyle w:val="aDefsubpara"/>
        <w:rPr>
          <w:lang w:val="en" w:eastAsia="en-AU"/>
        </w:rPr>
      </w:pPr>
      <w:r>
        <w:rPr>
          <w:lang w:val="en" w:eastAsia="en-AU"/>
        </w:rPr>
        <w:tab/>
      </w:r>
      <w:r w:rsidRPr="005F2FE3">
        <w:rPr>
          <w:lang w:val="en" w:eastAsia="en-AU"/>
        </w:rPr>
        <w:t>(iii)</w:t>
      </w:r>
      <w:r>
        <w:rPr>
          <w:lang w:val="en" w:eastAsia="en-AU"/>
        </w:rPr>
        <w:tab/>
      </w:r>
      <w:r w:rsidRPr="005F2FE3">
        <w:rPr>
          <w:lang w:val="en" w:eastAsia="en-AU"/>
        </w:rPr>
        <w:t>cause an adverse effect on public amenity; or</w:t>
      </w:r>
    </w:p>
    <w:p w14:paraId="305F6307" w14:textId="77777777" w:rsidR="005F2FE3" w:rsidRPr="005F2FE3" w:rsidRDefault="005F2FE3" w:rsidP="005F2FE3">
      <w:pPr>
        <w:pStyle w:val="aDefsubpara"/>
        <w:rPr>
          <w:lang w:val="en" w:eastAsia="en-AU"/>
        </w:rPr>
      </w:pPr>
      <w:r>
        <w:rPr>
          <w:lang w:val="en" w:eastAsia="en-AU"/>
        </w:rPr>
        <w:tab/>
      </w:r>
      <w:r w:rsidRPr="005F2FE3">
        <w:rPr>
          <w:lang w:val="en" w:eastAsia="en-AU"/>
        </w:rPr>
        <w:t>(iv)</w:t>
      </w:r>
      <w:r>
        <w:rPr>
          <w:lang w:val="en" w:eastAsia="en-AU"/>
        </w:rPr>
        <w:tab/>
      </w:r>
      <w:r w:rsidRPr="005F2FE3">
        <w:rPr>
          <w:lang w:val="en" w:eastAsia="en-AU"/>
        </w:rPr>
        <w:t>make a person liable to a penalty.</w:t>
      </w:r>
    </w:p>
    <w:p w14:paraId="5666D48A" w14:textId="77777777" w:rsidR="00DB6E47" w:rsidRPr="003D647F" w:rsidRDefault="00DB6E47" w:rsidP="00DB6E47">
      <w:pPr>
        <w:pStyle w:val="PageBreak"/>
      </w:pPr>
      <w:r w:rsidRPr="003D647F">
        <w:br w:type="page"/>
      </w:r>
    </w:p>
    <w:p w14:paraId="41F49989" w14:textId="77777777" w:rsidR="00DB6E47" w:rsidRPr="005E03F7" w:rsidRDefault="00DB6E47" w:rsidP="00DB6E47">
      <w:pPr>
        <w:pStyle w:val="AH2Part"/>
      </w:pPr>
      <w:bookmarkStart w:id="811" w:name="_Toc83626155"/>
      <w:r w:rsidRPr="005E03F7">
        <w:rPr>
          <w:rStyle w:val="CharPartNo"/>
        </w:rPr>
        <w:lastRenderedPageBreak/>
        <w:t xml:space="preserve">Part 12.2 </w:t>
      </w:r>
      <w:r w:rsidRPr="00A95F9A">
        <w:rPr>
          <w:rFonts w:ascii="Helvetica" w:hAnsi="Helvetica" w:cs="Helvetica"/>
          <w:szCs w:val="32"/>
        </w:rPr>
        <w:tab/>
      </w:r>
      <w:r w:rsidRPr="005E03F7">
        <w:rPr>
          <w:rStyle w:val="CharPartText"/>
          <w:rFonts w:ascii="Helvetica" w:hAnsi="Helvetica" w:cs="Helvetica"/>
          <w:szCs w:val="32"/>
        </w:rPr>
        <w:t>National Heavy Vehicle Regulator</w:t>
      </w:r>
      <w:bookmarkEnd w:id="811"/>
    </w:p>
    <w:p w14:paraId="5FB2E9B8" w14:textId="77777777" w:rsidR="00DB6E47" w:rsidRPr="005E03F7" w:rsidRDefault="00DB6E47" w:rsidP="00DB6E47">
      <w:pPr>
        <w:pStyle w:val="AH3Div"/>
      </w:pPr>
      <w:bookmarkStart w:id="812" w:name="_Toc83626156"/>
      <w:r w:rsidRPr="005E03F7">
        <w:rPr>
          <w:rStyle w:val="CharDivNo"/>
        </w:rPr>
        <w:t xml:space="preserve">Division 1 </w:t>
      </w:r>
      <w:r w:rsidRPr="007E1F9A">
        <w:tab/>
      </w:r>
      <w:r w:rsidRPr="005E03F7">
        <w:rPr>
          <w:rStyle w:val="CharDivText"/>
        </w:rPr>
        <w:t>Establishment, functions and powers</w:t>
      </w:r>
      <w:bookmarkEnd w:id="812"/>
    </w:p>
    <w:p w14:paraId="6DBD2696" w14:textId="77777777" w:rsidR="00DB6E47" w:rsidRPr="007E1F9A" w:rsidRDefault="00DB6E47" w:rsidP="00DB6E47">
      <w:pPr>
        <w:pStyle w:val="AH5Sec"/>
      </w:pPr>
      <w:bookmarkStart w:id="813" w:name="_Toc83626157"/>
      <w:r w:rsidRPr="005E03F7">
        <w:rPr>
          <w:rStyle w:val="CharSectNo"/>
        </w:rPr>
        <w:t>656</w:t>
      </w:r>
      <w:r w:rsidRPr="007E1F9A">
        <w:tab/>
      </w:r>
      <w:r w:rsidRPr="007E1F9A">
        <w:rPr>
          <w:rFonts w:ascii="Helvetica" w:hAnsi="Helvetica" w:cs="Helvetica"/>
        </w:rPr>
        <w:t>Establishment of National Heavy Vehicle Regulator</w:t>
      </w:r>
      <w:bookmarkEnd w:id="813"/>
    </w:p>
    <w:p w14:paraId="0C7E342B" w14:textId="77777777" w:rsidR="00DB6E47" w:rsidRPr="002F157F" w:rsidRDefault="00DB6E47" w:rsidP="00DB6E47">
      <w:pPr>
        <w:pStyle w:val="Amain"/>
      </w:pPr>
      <w:r w:rsidRPr="002F157F">
        <w:tab/>
        <w:t>(1)</w:t>
      </w:r>
      <w:r w:rsidRPr="002F157F">
        <w:tab/>
        <w:t>The National Heavy Vehicle Regulator is established.</w:t>
      </w:r>
    </w:p>
    <w:p w14:paraId="60A409D8" w14:textId="77777777" w:rsidR="00DB6E47" w:rsidRPr="002F157F" w:rsidRDefault="00DB6E47" w:rsidP="00DB6E47">
      <w:pPr>
        <w:pStyle w:val="Amain"/>
      </w:pPr>
      <w:r w:rsidRPr="002F157F">
        <w:tab/>
        <w:t>(2)</w:t>
      </w:r>
      <w:r w:rsidRPr="002F157F">
        <w:tab/>
        <w:t>It is the intention of the Parliament of this jurisdiction that this Law as applied by an Act of this jurisdiction, together with this Law as applied by Acts of the other participating jurisdictions, has the effect that the National Heavy Vehicle Regulator is one single national entity, with functions conferred by this Law as so applied.</w:t>
      </w:r>
    </w:p>
    <w:p w14:paraId="101A9477" w14:textId="77777777" w:rsidR="00DB6E47" w:rsidRPr="002F157F" w:rsidRDefault="00DB6E47" w:rsidP="00DB6E47">
      <w:pPr>
        <w:pStyle w:val="Amain"/>
      </w:pPr>
      <w:r w:rsidRPr="002F157F">
        <w:tab/>
        <w:t>(3)</w:t>
      </w:r>
      <w:r w:rsidRPr="002F157F">
        <w:tab/>
        <w:t>The Regulator has power to do acts in or in relation to this jurisdiction in the exercise of a function expressed to be conferred on it by this Law as applied by Acts of each participating jurisdiction.</w:t>
      </w:r>
    </w:p>
    <w:p w14:paraId="66BE4968" w14:textId="77777777" w:rsidR="00DB6E47" w:rsidRPr="002F157F" w:rsidRDefault="00DB6E47" w:rsidP="00DB6E47">
      <w:pPr>
        <w:pStyle w:val="Amain"/>
      </w:pPr>
      <w:r w:rsidRPr="002F157F">
        <w:tab/>
        <w:t>(4)</w:t>
      </w:r>
      <w:r w:rsidRPr="002F157F">
        <w:tab/>
        <w:t>The Regulator may exercise its functions in relation to—</w:t>
      </w:r>
    </w:p>
    <w:p w14:paraId="2D13131E" w14:textId="77777777" w:rsidR="00DB6E47" w:rsidRPr="00544ED5" w:rsidRDefault="00DB6E47" w:rsidP="00DB6E47">
      <w:pPr>
        <w:pStyle w:val="Apara"/>
      </w:pPr>
      <w:r w:rsidRPr="00544ED5">
        <w:tab/>
        <w:t>(a)</w:t>
      </w:r>
      <w:r w:rsidRPr="00544ED5">
        <w:tab/>
        <w:t>one participating jurisdiction; or</w:t>
      </w:r>
    </w:p>
    <w:p w14:paraId="4FD134CC" w14:textId="77777777" w:rsidR="00DB6E47" w:rsidRPr="00544ED5" w:rsidRDefault="00DB6E47" w:rsidP="00DB6E47">
      <w:pPr>
        <w:pStyle w:val="Apara"/>
      </w:pPr>
      <w:r w:rsidRPr="00544ED5">
        <w:tab/>
        <w:t>(b)</w:t>
      </w:r>
      <w:r w:rsidRPr="00544ED5">
        <w:tab/>
        <w:t>2 or more or all participating jurisdictions collectively.</w:t>
      </w:r>
    </w:p>
    <w:p w14:paraId="27E35A37" w14:textId="77777777" w:rsidR="00DB6E47" w:rsidRPr="007E1F9A" w:rsidRDefault="00DB6E47" w:rsidP="00DB6E47">
      <w:pPr>
        <w:pStyle w:val="AH5Sec"/>
      </w:pPr>
      <w:bookmarkStart w:id="814" w:name="_Toc83626158"/>
      <w:r w:rsidRPr="005E03F7">
        <w:rPr>
          <w:rStyle w:val="CharSectNo"/>
        </w:rPr>
        <w:t>657</w:t>
      </w:r>
      <w:r w:rsidRPr="007E1F9A">
        <w:tab/>
      </w:r>
      <w:r w:rsidRPr="007E1F9A">
        <w:rPr>
          <w:rFonts w:ascii="Helvetica" w:hAnsi="Helvetica" w:cs="Helvetica"/>
        </w:rPr>
        <w:t>Status of Regulator</w:t>
      </w:r>
      <w:bookmarkEnd w:id="814"/>
    </w:p>
    <w:p w14:paraId="5808BD3B" w14:textId="77777777" w:rsidR="00DB6E47" w:rsidRPr="002F157F" w:rsidRDefault="00DB6E47" w:rsidP="00DB6E47">
      <w:pPr>
        <w:pStyle w:val="Amain"/>
      </w:pPr>
      <w:r w:rsidRPr="002F157F">
        <w:tab/>
        <w:t>(1)</w:t>
      </w:r>
      <w:r w:rsidRPr="002F157F">
        <w:tab/>
        <w:t>The Regulator—</w:t>
      </w:r>
    </w:p>
    <w:p w14:paraId="625064B0" w14:textId="77777777" w:rsidR="00DB6E47" w:rsidRPr="00544ED5" w:rsidRDefault="00DB6E47" w:rsidP="00DB6E47">
      <w:pPr>
        <w:pStyle w:val="Apara"/>
      </w:pPr>
      <w:r w:rsidRPr="00544ED5">
        <w:tab/>
        <w:t>(a)</w:t>
      </w:r>
      <w:r w:rsidRPr="00544ED5">
        <w:tab/>
        <w:t>is a body corporate with perpetual succession; and</w:t>
      </w:r>
    </w:p>
    <w:p w14:paraId="41338F20" w14:textId="77777777" w:rsidR="00DB6E47" w:rsidRPr="00544ED5" w:rsidRDefault="00DB6E47" w:rsidP="00DB6E47">
      <w:pPr>
        <w:pStyle w:val="Apara"/>
      </w:pPr>
      <w:r w:rsidRPr="00544ED5">
        <w:tab/>
        <w:t>(b)</w:t>
      </w:r>
      <w:r w:rsidRPr="00544ED5">
        <w:tab/>
        <w:t>has a common seal; and</w:t>
      </w:r>
    </w:p>
    <w:p w14:paraId="72069AA2" w14:textId="77777777" w:rsidR="00DB6E47" w:rsidRPr="00544ED5" w:rsidRDefault="00DB6E47" w:rsidP="00DB6E47">
      <w:pPr>
        <w:pStyle w:val="Apara"/>
      </w:pPr>
      <w:r w:rsidRPr="00544ED5">
        <w:tab/>
        <w:t>(c)</w:t>
      </w:r>
      <w:r w:rsidRPr="00544ED5">
        <w:tab/>
        <w:t>may sue and be sued in its corporate name.</w:t>
      </w:r>
    </w:p>
    <w:p w14:paraId="02673B28" w14:textId="77777777" w:rsidR="00DB6E47" w:rsidRPr="002F157F" w:rsidRDefault="00DB6E47" w:rsidP="00DB6E47">
      <w:pPr>
        <w:pStyle w:val="Amain"/>
      </w:pPr>
      <w:r w:rsidRPr="002F157F">
        <w:tab/>
        <w:t>(2)</w:t>
      </w:r>
      <w:r w:rsidRPr="002F157F">
        <w:tab/>
        <w:t>The Regulator represents the State.</w:t>
      </w:r>
    </w:p>
    <w:p w14:paraId="4D551C36" w14:textId="77777777" w:rsidR="00DB6E47" w:rsidRPr="007E1F9A" w:rsidRDefault="00DB6E47" w:rsidP="00DB6E47">
      <w:pPr>
        <w:pStyle w:val="AH5Sec"/>
      </w:pPr>
      <w:bookmarkStart w:id="815" w:name="_Toc83626159"/>
      <w:r w:rsidRPr="005E03F7">
        <w:rPr>
          <w:rStyle w:val="CharSectNo"/>
        </w:rPr>
        <w:lastRenderedPageBreak/>
        <w:t>658</w:t>
      </w:r>
      <w:r w:rsidRPr="007E1F9A">
        <w:tab/>
      </w:r>
      <w:r w:rsidRPr="007E1F9A">
        <w:rPr>
          <w:rFonts w:ascii="Helvetica" w:hAnsi="Helvetica" w:cs="Helvetica"/>
        </w:rPr>
        <w:t>General powers of Regulator</w:t>
      </w:r>
      <w:bookmarkEnd w:id="815"/>
    </w:p>
    <w:p w14:paraId="552823AD" w14:textId="77777777" w:rsidR="00DB6E47" w:rsidRPr="002F157F" w:rsidRDefault="00DB6E47" w:rsidP="0062288F">
      <w:pPr>
        <w:pStyle w:val="Amain"/>
        <w:keepNext/>
      </w:pPr>
      <w:r w:rsidRPr="002F157F">
        <w:tab/>
        <w:t>(1)</w:t>
      </w:r>
      <w:r w:rsidRPr="002F157F">
        <w:tab/>
        <w:t>The Regulator has all the powers of an individual and, in particular, may—</w:t>
      </w:r>
    </w:p>
    <w:p w14:paraId="7FED8F71" w14:textId="77777777" w:rsidR="00DB6E47" w:rsidRPr="00544ED5" w:rsidRDefault="00DB6E47" w:rsidP="00E40647">
      <w:pPr>
        <w:pStyle w:val="Apara"/>
        <w:keepNext/>
      </w:pPr>
      <w:r w:rsidRPr="00544ED5">
        <w:tab/>
        <w:t>(a)</w:t>
      </w:r>
      <w:r w:rsidRPr="00544ED5">
        <w:tab/>
        <w:t>enter into contracts; and</w:t>
      </w:r>
    </w:p>
    <w:p w14:paraId="57A4DBF5" w14:textId="77777777" w:rsidR="00DB6E47" w:rsidRPr="00544ED5" w:rsidRDefault="00DB6E47" w:rsidP="00DB6E47">
      <w:pPr>
        <w:pStyle w:val="Apara"/>
      </w:pPr>
      <w:r w:rsidRPr="00544ED5">
        <w:tab/>
        <w:t>(b)</w:t>
      </w:r>
      <w:r w:rsidRPr="00544ED5">
        <w:tab/>
        <w:t>acquire, hold, dispose of, and deal with, real and personal property; and</w:t>
      </w:r>
    </w:p>
    <w:p w14:paraId="6A973439" w14:textId="77777777" w:rsidR="00DB6E47" w:rsidRPr="00544ED5" w:rsidRDefault="00DB6E47" w:rsidP="00DB6E47">
      <w:pPr>
        <w:pStyle w:val="Apara"/>
      </w:pPr>
      <w:r w:rsidRPr="00544ED5">
        <w:tab/>
        <w:t>(c)</w:t>
      </w:r>
      <w:r w:rsidRPr="00544ED5">
        <w:tab/>
        <w:t>do anything necessary or convenient to be done in the exercise of its functions.</w:t>
      </w:r>
    </w:p>
    <w:p w14:paraId="45BB4FF7" w14:textId="77777777" w:rsidR="00DB6E47" w:rsidRPr="002F157F" w:rsidRDefault="00DB6E47" w:rsidP="00DB6E47">
      <w:pPr>
        <w:pStyle w:val="Amain"/>
      </w:pPr>
      <w:r w:rsidRPr="002F157F">
        <w:tab/>
        <w:t>(2)</w:t>
      </w:r>
      <w:r w:rsidRPr="002F157F">
        <w:tab/>
        <w:t>Without limiting subsection (1), the Regulator may enter into an agreement with a State or Territory that makes provision for—</w:t>
      </w:r>
    </w:p>
    <w:p w14:paraId="3DF787BA" w14:textId="77777777" w:rsidR="00DB6E47" w:rsidRPr="00544ED5" w:rsidRDefault="00DB6E47" w:rsidP="00DB6E47">
      <w:pPr>
        <w:pStyle w:val="Apara"/>
      </w:pPr>
      <w:r w:rsidRPr="00544ED5">
        <w:tab/>
        <w:t>(a)</w:t>
      </w:r>
      <w:r w:rsidRPr="00544ED5">
        <w:tab/>
        <w:t>the State or Territory to provide services to the Regulator that assist the Regulator in exercising its functions; or</w:t>
      </w:r>
    </w:p>
    <w:p w14:paraId="5C1ED1F8" w14:textId="77777777" w:rsidR="00DB6E47" w:rsidRPr="00A61146" w:rsidRDefault="00DB6E47" w:rsidP="00A61146">
      <w:pPr>
        <w:pStyle w:val="Apara"/>
      </w:pPr>
      <w:r w:rsidRPr="00A61146">
        <w:tab/>
        <w:t>(b)</w:t>
      </w:r>
      <w:r w:rsidRPr="00A61146">
        <w:tab/>
      </w:r>
      <w:r w:rsidR="00A61146" w:rsidRPr="00A61146">
        <w:t>the Regulator to provide services to the State or Territory relating to the functions of the Regulator under this Law.</w:t>
      </w:r>
    </w:p>
    <w:p w14:paraId="256A0A69" w14:textId="77777777" w:rsidR="00DB6E47" w:rsidRPr="007E1F9A" w:rsidRDefault="00DB6E47" w:rsidP="00DB6E47">
      <w:pPr>
        <w:pStyle w:val="AH5Sec"/>
      </w:pPr>
      <w:bookmarkStart w:id="816" w:name="_Toc83626160"/>
      <w:r w:rsidRPr="005E03F7">
        <w:rPr>
          <w:rStyle w:val="CharSectNo"/>
        </w:rPr>
        <w:t>659</w:t>
      </w:r>
      <w:r w:rsidRPr="007E1F9A">
        <w:tab/>
      </w:r>
      <w:r w:rsidRPr="007E1F9A">
        <w:rPr>
          <w:rFonts w:ascii="Helvetica" w:hAnsi="Helvetica" w:cs="Helvetica"/>
        </w:rPr>
        <w:t>Functions of Regulator</w:t>
      </w:r>
      <w:bookmarkEnd w:id="816"/>
    </w:p>
    <w:p w14:paraId="701E2686" w14:textId="77777777" w:rsidR="00DB6E47" w:rsidRPr="002F157F" w:rsidRDefault="00DB6E47" w:rsidP="00DB6E47">
      <w:pPr>
        <w:pStyle w:val="Amain"/>
      </w:pPr>
      <w:r w:rsidRPr="002F157F">
        <w:tab/>
        <w:t>(1)</w:t>
      </w:r>
      <w:r w:rsidRPr="002F157F">
        <w:tab/>
        <w:t>The Regulator’s main function is to achieve the object of this Law.</w:t>
      </w:r>
    </w:p>
    <w:p w14:paraId="4FB8CE5A" w14:textId="77777777" w:rsidR="00DB6E47" w:rsidRPr="002F157F" w:rsidRDefault="00DB6E47" w:rsidP="00DB6E47">
      <w:pPr>
        <w:pStyle w:val="Amain"/>
      </w:pPr>
      <w:r w:rsidRPr="002F157F">
        <w:tab/>
        <w:t>(2)</w:t>
      </w:r>
      <w:r w:rsidRPr="002F157F">
        <w:tab/>
        <w:t>Without limiting subsection (1), the Regulator has the following functions—</w:t>
      </w:r>
    </w:p>
    <w:p w14:paraId="7FD12D48" w14:textId="77777777" w:rsidR="00DB6E47" w:rsidRPr="00481441" w:rsidRDefault="00DB6E47" w:rsidP="00481441">
      <w:pPr>
        <w:pStyle w:val="Apara"/>
      </w:pPr>
      <w:r w:rsidRPr="00481441">
        <w:tab/>
        <w:t>(a)</w:t>
      </w:r>
      <w:r w:rsidRPr="00481441">
        <w:tab/>
      </w:r>
      <w:r w:rsidR="00481441" w:rsidRPr="00481441">
        <w:t>to provide the necessary administrative services for the operation of this Law, including, for example, collecting fees, charges and other amounts payable under this Law;</w:t>
      </w:r>
    </w:p>
    <w:p w14:paraId="16C31427" w14:textId="77777777" w:rsidR="00481441" w:rsidRPr="00481441" w:rsidRDefault="00481441" w:rsidP="00481441">
      <w:pPr>
        <w:pStyle w:val="Apara"/>
      </w:pPr>
      <w:r w:rsidRPr="00481441">
        <w:tab/>
        <w:t>(aa)</w:t>
      </w:r>
      <w:r w:rsidRPr="00481441">
        <w:tab/>
        <w:t>to keep the database of heavy vehicles;</w:t>
      </w:r>
    </w:p>
    <w:p w14:paraId="54E8CC59" w14:textId="77777777" w:rsidR="00DB6E47" w:rsidRPr="00544ED5" w:rsidRDefault="00DB6E47" w:rsidP="00DB6E47">
      <w:pPr>
        <w:pStyle w:val="Apara"/>
      </w:pPr>
      <w:r w:rsidRPr="00544ED5">
        <w:tab/>
        <w:t>(b)</w:t>
      </w:r>
      <w:r w:rsidRPr="00544ED5">
        <w:tab/>
        <w:t>to monitor compliance with this Law;</w:t>
      </w:r>
    </w:p>
    <w:p w14:paraId="01F4444F" w14:textId="77777777" w:rsidR="00DB6E47" w:rsidRPr="00544ED5" w:rsidRDefault="00DB6E47" w:rsidP="00DB6E47">
      <w:pPr>
        <w:pStyle w:val="Apara"/>
      </w:pPr>
      <w:r w:rsidRPr="00544ED5">
        <w:tab/>
        <w:t>(c)</w:t>
      </w:r>
      <w:r w:rsidRPr="00544ED5">
        <w:tab/>
        <w:t>to investigate contraventions or possible contraventions of provisions of this Law, including offences against this Law;</w:t>
      </w:r>
    </w:p>
    <w:p w14:paraId="12ED333D" w14:textId="77777777" w:rsidR="00DB6E47" w:rsidRPr="00544ED5" w:rsidRDefault="00DB6E47" w:rsidP="00DB6E47">
      <w:pPr>
        <w:pStyle w:val="Apara"/>
      </w:pPr>
      <w:r w:rsidRPr="00544ED5">
        <w:lastRenderedPageBreak/>
        <w:tab/>
        <w:t>(d)</w:t>
      </w:r>
      <w:r w:rsidRPr="00544ED5">
        <w:tab/>
        <w:t>to bring and conduct proceedings in relation to contraventions or possible contraventions of provisions of this Law, including offences against this Law;</w:t>
      </w:r>
    </w:p>
    <w:p w14:paraId="30D368E8" w14:textId="77777777" w:rsidR="00DB6E47" w:rsidRPr="00544ED5" w:rsidRDefault="00DB6E47" w:rsidP="00DB6E47">
      <w:pPr>
        <w:pStyle w:val="Apara"/>
      </w:pPr>
      <w:r w:rsidRPr="00544ED5">
        <w:tab/>
        <w:t>(e)</w:t>
      </w:r>
      <w:r w:rsidRPr="00544ED5">
        <w:tab/>
        <w:t>to bring and conduct, or conduct and defend, appeals from decisions in proceedings mentioned in paragraph (d);</w:t>
      </w:r>
    </w:p>
    <w:p w14:paraId="396C4A2C" w14:textId="77777777" w:rsidR="00DB6E47" w:rsidRPr="00544ED5" w:rsidRDefault="00DB6E47" w:rsidP="00DB6E47">
      <w:pPr>
        <w:pStyle w:val="Apara"/>
      </w:pPr>
      <w:r w:rsidRPr="00544ED5">
        <w:tab/>
        <w:t>(f)</w:t>
      </w:r>
      <w:r w:rsidRPr="00544ED5">
        <w:tab/>
        <w:t>to conduct reviews of particular decisions made under this Law by the Regulator or authorised officers;</w:t>
      </w:r>
    </w:p>
    <w:p w14:paraId="0A66552D" w14:textId="77777777" w:rsidR="00DB6E47" w:rsidRPr="00544ED5" w:rsidRDefault="00DB6E47" w:rsidP="00DB6E47">
      <w:pPr>
        <w:pStyle w:val="Apara"/>
      </w:pPr>
      <w:r w:rsidRPr="00544ED5">
        <w:tab/>
        <w:t>(g)</w:t>
      </w:r>
      <w:r w:rsidRPr="00544ED5">
        <w:tab/>
        <w:t>to conduct and defend appeals from decisions on reviews mentioned in paragraph (f);</w:t>
      </w:r>
    </w:p>
    <w:p w14:paraId="12DE5500" w14:textId="77777777" w:rsidR="00DB6E47" w:rsidRPr="00544ED5" w:rsidRDefault="00DB6E47" w:rsidP="00DB6E47">
      <w:pPr>
        <w:pStyle w:val="Apara"/>
      </w:pPr>
      <w:r w:rsidRPr="00544ED5">
        <w:tab/>
        <w:t>(h)</w:t>
      </w:r>
      <w:r w:rsidRPr="00544ED5">
        <w:tab/>
        <w:t>to implement and manage an audit program for heavy vehicle accreditations granted under this Law;</w:t>
      </w:r>
    </w:p>
    <w:p w14:paraId="766F9692" w14:textId="77777777" w:rsidR="00DB6E47" w:rsidRPr="00544ED5" w:rsidRDefault="00DB6E47" w:rsidP="00DB6E47">
      <w:pPr>
        <w:pStyle w:val="Apara"/>
      </w:pPr>
      <w:r w:rsidRPr="00544ED5">
        <w:tab/>
        <w:t>(i)</w:t>
      </w:r>
      <w:r w:rsidRPr="00544ED5">
        <w:tab/>
        <w:t>to monitor and review, and report to the responsible Ministers on, the operation of this Law, including, for example, monitoring, reviewing and reporting on—</w:t>
      </w:r>
    </w:p>
    <w:p w14:paraId="31F05A5F" w14:textId="77777777" w:rsidR="00DB6E47" w:rsidRPr="00CC71DF" w:rsidRDefault="00DB6E47" w:rsidP="00DB6E47">
      <w:pPr>
        <w:pStyle w:val="Asubpara"/>
      </w:pPr>
      <w:r w:rsidRPr="00CC71DF">
        <w:tab/>
        <w:t>(i)</w:t>
      </w:r>
      <w:r w:rsidRPr="00CC71DF">
        <w:tab/>
        <w:t>the extent to which the object of this Law or particular aspects of this Law are being achieved; and</w:t>
      </w:r>
    </w:p>
    <w:p w14:paraId="6CC7C7C0" w14:textId="77777777" w:rsidR="00DB6E47" w:rsidRPr="00CC71DF" w:rsidRDefault="00DB6E47" w:rsidP="00DB6E47">
      <w:pPr>
        <w:pStyle w:val="Asubpara"/>
      </w:pPr>
      <w:r w:rsidRPr="00CC71DF">
        <w:tab/>
        <w:t>(ii)</w:t>
      </w:r>
      <w:r w:rsidRPr="00CC71DF">
        <w:tab/>
        <w:t>the extent and nature of noncompliance with this Law; and</w:t>
      </w:r>
    </w:p>
    <w:p w14:paraId="4746F767" w14:textId="77777777" w:rsidR="00DB6E47" w:rsidRPr="00CC71DF" w:rsidRDefault="00DB6E47" w:rsidP="00DB6E47">
      <w:pPr>
        <w:pStyle w:val="Asubpara"/>
      </w:pPr>
      <w:r w:rsidRPr="00CC71DF">
        <w:tab/>
        <w:t>(iii)</w:t>
      </w:r>
      <w:r w:rsidRPr="00CC71DF">
        <w:tab/>
        <w:t>the outcome of activities for monitoring and investigating compliance with this Law; and</w:t>
      </w:r>
    </w:p>
    <w:p w14:paraId="088DFE91" w14:textId="77777777" w:rsidR="00DB6E47" w:rsidRPr="00CC71DF" w:rsidRDefault="00DB6E47" w:rsidP="00DB6E47">
      <w:pPr>
        <w:pStyle w:val="Asubpara"/>
      </w:pPr>
      <w:r w:rsidRPr="00CC71DF">
        <w:tab/>
        <w:t>(iv)</w:t>
      </w:r>
      <w:r w:rsidRPr="00CC71DF">
        <w:tab/>
        <w:t>the effect of heavy vehicle accreditation on achieving the object of this Law or particular aspects of this Law; and</w:t>
      </w:r>
    </w:p>
    <w:p w14:paraId="4A6BB37A" w14:textId="77777777" w:rsidR="00DB6E47" w:rsidRPr="00CC71DF" w:rsidRDefault="00DB6E47" w:rsidP="00DB6E47">
      <w:pPr>
        <w:pStyle w:val="Asubpara"/>
      </w:pPr>
      <w:r w:rsidRPr="00CC71DF">
        <w:tab/>
        <w:t>(v)</w:t>
      </w:r>
      <w:r w:rsidRPr="00CC71DF">
        <w:tab/>
        <w:t>the effect of modifications to this Law as it applies in a particular participating jurisdiction on achieving the object of this Law or particular aspects of this Law;</w:t>
      </w:r>
    </w:p>
    <w:p w14:paraId="20D12F02" w14:textId="77777777" w:rsidR="00DB6E47" w:rsidRPr="00544ED5" w:rsidRDefault="00DB6E47" w:rsidP="00DB6E47">
      <w:pPr>
        <w:pStyle w:val="Apara"/>
      </w:pPr>
      <w:r w:rsidRPr="00544ED5">
        <w:tab/>
        <w:t>(j)</w:t>
      </w:r>
      <w:r w:rsidRPr="00544ED5">
        <w:tab/>
        <w:t>to identify and promote best practice methods—</w:t>
      </w:r>
    </w:p>
    <w:p w14:paraId="1405117B" w14:textId="77777777" w:rsidR="00DB6E47" w:rsidRPr="00CC71DF" w:rsidRDefault="00DB6E47" w:rsidP="00DB6E47">
      <w:pPr>
        <w:pStyle w:val="Asubpara"/>
      </w:pPr>
      <w:r w:rsidRPr="00CC71DF">
        <w:tab/>
        <w:t>(i)</w:t>
      </w:r>
      <w:r w:rsidRPr="00CC71DF">
        <w:tab/>
        <w:t>for complying with this Law; and</w:t>
      </w:r>
    </w:p>
    <w:p w14:paraId="217C668A" w14:textId="77777777" w:rsidR="00DB6E47" w:rsidRPr="00CC71DF" w:rsidRDefault="00DB6E47" w:rsidP="00DB6E47">
      <w:pPr>
        <w:pStyle w:val="Asubpara"/>
      </w:pPr>
      <w:r w:rsidRPr="00CC71DF">
        <w:tab/>
        <w:t>(ii)</w:t>
      </w:r>
      <w:r w:rsidRPr="00CC71DF">
        <w:tab/>
        <w:t>for managing risks to public safety arising from the use of heavy vehicles on roads; and</w:t>
      </w:r>
    </w:p>
    <w:p w14:paraId="3C768138" w14:textId="77777777" w:rsidR="00DB6E47" w:rsidRPr="00CC71DF" w:rsidRDefault="00DB6E47" w:rsidP="00DB6E47">
      <w:pPr>
        <w:pStyle w:val="Asubpara"/>
      </w:pPr>
      <w:r w:rsidRPr="00CC71DF">
        <w:lastRenderedPageBreak/>
        <w:tab/>
        <w:t>(iii)</w:t>
      </w:r>
      <w:r w:rsidRPr="00CC71DF">
        <w:tab/>
        <w:t>for the productive and efficient road transport of goods or passengers by heavy vehicles;</w:t>
      </w:r>
    </w:p>
    <w:p w14:paraId="294806F4" w14:textId="77777777" w:rsidR="00DB6E47" w:rsidRDefault="00DB6E47" w:rsidP="00DB6E47">
      <w:pPr>
        <w:pStyle w:val="Apara"/>
      </w:pPr>
      <w:r w:rsidRPr="00544ED5">
        <w:tab/>
        <w:t>(k)</w:t>
      </w:r>
      <w:r w:rsidRPr="00544ED5">
        <w:tab/>
        <w:t>to encourage and promote safe and productive business practices of persons involved in the road transport of goods or passengers by heavy vehicles that do not compromise the object of this Law;</w:t>
      </w:r>
    </w:p>
    <w:p w14:paraId="4B3F8EAA" w14:textId="77777777" w:rsidR="00E367A6" w:rsidRPr="00544ED5" w:rsidRDefault="00E367A6" w:rsidP="00E367A6">
      <w:pPr>
        <w:pStyle w:val="Apara"/>
      </w:pPr>
      <w:r>
        <w:rPr>
          <w:rStyle w:val="listnumber"/>
          <w:color w:val="000000"/>
          <w:sz w:val="23"/>
          <w:szCs w:val="23"/>
          <w:lang w:val="en"/>
        </w:rPr>
        <w:tab/>
        <w:t>(ka)</w:t>
      </w:r>
      <w:r>
        <w:rPr>
          <w:rStyle w:val="listnumber"/>
          <w:color w:val="000000"/>
          <w:sz w:val="23"/>
          <w:szCs w:val="23"/>
          <w:lang w:val="en"/>
        </w:rPr>
        <w:tab/>
      </w:r>
      <w:r>
        <w:rPr>
          <w:lang w:val="en"/>
        </w:rPr>
        <w:t>to provide advice, information and education to persons with duties or obligations under this Law about compliance with the duties or obligations;</w:t>
      </w:r>
    </w:p>
    <w:p w14:paraId="6050E94C" w14:textId="77777777" w:rsidR="00DB6E47" w:rsidRPr="00544ED5" w:rsidRDefault="00DB6E47" w:rsidP="00DB6E47">
      <w:pPr>
        <w:pStyle w:val="Apara"/>
      </w:pPr>
      <w:r w:rsidRPr="00544ED5">
        <w:tab/>
        <w:t>(l)</w:t>
      </w:r>
      <w:r w:rsidRPr="00544ED5">
        <w:tab/>
        <w:t>to work collaboratively with other law enforcement agencies to ensure a nationally consistent approach for enforcing contraventions of laws involving heavy vehicles;</w:t>
      </w:r>
    </w:p>
    <w:p w14:paraId="1B12E4C6" w14:textId="77777777" w:rsidR="00DB6E47" w:rsidRPr="00544ED5" w:rsidRDefault="00DB6E47" w:rsidP="00DB6E47">
      <w:pPr>
        <w:pStyle w:val="Apara"/>
      </w:pPr>
      <w:r w:rsidRPr="00544ED5">
        <w:tab/>
        <w:t>(m)</w:t>
      </w:r>
      <w:r w:rsidRPr="00544ED5">
        <w:tab/>
        <w:t>to work collaboratively with road managers, the National Transport Commission and industry bodies to ensure a wide understanding of the object of this Law or particular aspects of this Law, and encourage participation in achieving the object;</w:t>
      </w:r>
    </w:p>
    <w:p w14:paraId="3EDF4371" w14:textId="77777777" w:rsidR="00DB6E47" w:rsidRPr="00544ED5" w:rsidRDefault="00DB6E47" w:rsidP="00DB6E47">
      <w:pPr>
        <w:pStyle w:val="Apara"/>
      </w:pPr>
      <w:r w:rsidRPr="00544ED5">
        <w:tab/>
        <w:t>(n)</w:t>
      </w:r>
      <w:r w:rsidRPr="00544ED5">
        <w:tab/>
        <w:t>the other functions conferred on it under this Law.</w:t>
      </w:r>
    </w:p>
    <w:p w14:paraId="162B12C8" w14:textId="77777777" w:rsidR="00DB6E47" w:rsidRPr="007E1F9A" w:rsidRDefault="00DB6E47" w:rsidP="00DB6E47">
      <w:pPr>
        <w:pStyle w:val="AH5Sec"/>
      </w:pPr>
      <w:bookmarkStart w:id="817" w:name="_Toc83626161"/>
      <w:r w:rsidRPr="005E03F7">
        <w:rPr>
          <w:rStyle w:val="CharSectNo"/>
        </w:rPr>
        <w:t>660</w:t>
      </w:r>
      <w:r w:rsidRPr="007E1F9A">
        <w:tab/>
      </w:r>
      <w:r w:rsidRPr="007E1F9A">
        <w:rPr>
          <w:rFonts w:ascii="Helvetica" w:hAnsi="Helvetica" w:cs="Helvetica"/>
        </w:rPr>
        <w:t>Cooperation with participating jurisdictions and Commonwealth</w:t>
      </w:r>
      <w:bookmarkEnd w:id="817"/>
    </w:p>
    <w:p w14:paraId="0D7C3623" w14:textId="77777777" w:rsidR="00DB6E47" w:rsidRPr="002F157F" w:rsidRDefault="00DB6E47" w:rsidP="00DB6E47">
      <w:pPr>
        <w:pStyle w:val="Amain"/>
      </w:pPr>
      <w:r w:rsidRPr="002F157F">
        <w:tab/>
        <w:t>(1)</w:t>
      </w:r>
      <w:r w:rsidRPr="002F157F">
        <w:tab/>
        <w:t>The Regulator may exercise any of its functions in cooperation with or with the assistance of a participating jurisdiction or the Commonwealth, including in cooperation with or with the assistance of a government agency of a participating jurisdiction or of the Commonwealth.</w:t>
      </w:r>
    </w:p>
    <w:p w14:paraId="71358805" w14:textId="77777777" w:rsidR="00DB6E47" w:rsidRPr="002F157F" w:rsidRDefault="00DB6E47" w:rsidP="0062288F">
      <w:pPr>
        <w:pStyle w:val="Amain"/>
        <w:keepNext/>
      </w:pPr>
      <w:r w:rsidRPr="002F157F">
        <w:tab/>
        <w:t>(2)</w:t>
      </w:r>
      <w:r w:rsidRPr="002F157F">
        <w:tab/>
        <w:t>In particular, the Regulator may—</w:t>
      </w:r>
    </w:p>
    <w:p w14:paraId="2DB02792" w14:textId="77777777" w:rsidR="00DB6E47" w:rsidRPr="00544ED5" w:rsidRDefault="00DB6E47" w:rsidP="00DB6E47">
      <w:pPr>
        <w:pStyle w:val="Apara"/>
      </w:pPr>
      <w:r w:rsidRPr="00544ED5">
        <w:tab/>
        <w:t>(a)</w:t>
      </w:r>
      <w:r w:rsidRPr="00544ED5">
        <w:tab/>
        <w:t>ask a government agency of a participating jurisdiction or the Commonwealth for information that the Regulator requires to exercise its functions under this Law; and</w:t>
      </w:r>
    </w:p>
    <w:p w14:paraId="59EADA56" w14:textId="77777777" w:rsidR="00DB6E47" w:rsidRDefault="00DB6E47" w:rsidP="00DB6E47">
      <w:pPr>
        <w:pStyle w:val="Apara"/>
      </w:pPr>
      <w:r w:rsidRPr="00544ED5">
        <w:tab/>
        <w:t>(b)</w:t>
      </w:r>
      <w:r w:rsidRPr="00544ED5">
        <w:tab/>
        <w:t>use the information provided to exercise its functions under this Law.</w:t>
      </w:r>
    </w:p>
    <w:p w14:paraId="21C70E54" w14:textId="77777777" w:rsidR="005C1DB5" w:rsidRPr="005C1DB5" w:rsidRDefault="005C1DB5" w:rsidP="005C1DB5">
      <w:pPr>
        <w:pStyle w:val="Apara"/>
      </w:pPr>
      <w:r w:rsidRPr="005C1DB5">
        <w:lastRenderedPageBreak/>
        <w:tab/>
        <w:t>(c)</w:t>
      </w:r>
      <w:r w:rsidRPr="005C1DB5">
        <w:tab/>
        <w:t>give information to a government agency of a participating jurisdiction or the Commonwealth that the agency requires to exercise its functions under a law of the participating jurisdiction or the Commonwealth.</w:t>
      </w:r>
    </w:p>
    <w:p w14:paraId="6C7D745F" w14:textId="77777777" w:rsidR="00DB6E47" w:rsidRDefault="00DB6E47" w:rsidP="00DB6E47">
      <w:pPr>
        <w:pStyle w:val="Amain"/>
      </w:pPr>
      <w:r w:rsidRPr="002F157F">
        <w:tab/>
        <w:t>(3)</w:t>
      </w:r>
      <w:r w:rsidRPr="002F157F">
        <w:tab/>
        <w:t>A government agency that receives a request for information under this section from the Regulator is authorised to give the information to the Regulator.</w:t>
      </w:r>
    </w:p>
    <w:p w14:paraId="23E641C5" w14:textId="77777777" w:rsidR="0071089F" w:rsidRPr="0071089F" w:rsidRDefault="0071089F" w:rsidP="0071089F">
      <w:pPr>
        <w:pStyle w:val="Amain"/>
      </w:pPr>
      <w:r w:rsidRPr="0071089F">
        <w:tab/>
        <w:t>(4)</w:t>
      </w:r>
      <w:r w:rsidRPr="0071089F">
        <w:tab/>
        <w:t>A government agency that receives information under this section from the Regulator is authorised to use the information only to exercise its functions mentioned in subsection (2)(c).</w:t>
      </w:r>
    </w:p>
    <w:p w14:paraId="5375F3B6" w14:textId="77777777" w:rsidR="00DB6E47" w:rsidRPr="007E1F9A" w:rsidRDefault="00DB6E47" w:rsidP="00DB6E47">
      <w:pPr>
        <w:pStyle w:val="AH5Sec"/>
      </w:pPr>
      <w:bookmarkStart w:id="818" w:name="_Toc83626162"/>
      <w:r w:rsidRPr="005E03F7">
        <w:rPr>
          <w:rStyle w:val="CharSectNo"/>
        </w:rPr>
        <w:t>661</w:t>
      </w:r>
      <w:r w:rsidRPr="007E1F9A">
        <w:tab/>
      </w:r>
      <w:r w:rsidRPr="007E1F9A">
        <w:rPr>
          <w:rFonts w:ascii="Helvetica" w:hAnsi="Helvetica" w:cs="Helvetica"/>
        </w:rPr>
        <w:t>Delegation</w:t>
      </w:r>
      <w:bookmarkEnd w:id="818"/>
    </w:p>
    <w:p w14:paraId="6F138274" w14:textId="77777777" w:rsidR="00DB6E47" w:rsidRPr="002F157F" w:rsidRDefault="00DB6E47" w:rsidP="00DB6E47">
      <w:pPr>
        <w:pStyle w:val="Amain"/>
      </w:pPr>
      <w:r w:rsidRPr="002F157F">
        <w:tab/>
        <w:t>(1)</w:t>
      </w:r>
      <w:r w:rsidRPr="002F157F">
        <w:tab/>
        <w:t>The Regulator may delegate any of its functions to—</w:t>
      </w:r>
    </w:p>
    <w:p w14:paraId="5A808736" w14:textId="77777777" w:rsidR="00DB6E47" w:rsidRPr="00544ED5" w:rsidRDefault="00DB6E47" w:rsidP="00DB6E47">
      <w:pPr>
        <w:pStyle w:val="Apara"/>
      </w:pPr>
      <w:r w:rsidRPr="00544ED5">
        <w:tab/>
        <w:t>(a)</w:t>
      </w:r>
      <w:r w:rsidRPr="00544ED5">
        <w:tab/>
        <w:t>the chief executive of an entity or a department of government of a participating jurisdiction or the Commonwealth; or</w:t>
      </w:r>
    </w:p>
    <w:p w14:paraId="0FD01230" w14:textId="77777777" w:rsidR="00DB6E47" w:rsidRPr="00544ED5" w:rsidRDefault="00DB6E47" w:rsidP="00DB6E47">
      <w:pPr>
        <w:pStyle w:val="Apara"/>
      </w:pPr>
      <w:r w:rsidRPr="00544ED5">
        <w:tab/>
        <w:t>(b)</w:t>
      </w:r>
      <w:r w:rsidRPr="00544ED5">
        <w:tab/>
        <w:t>the chief executive officer or another member of the staff of the Regulator; or</w:t>
      </w:r>
    </w:p>
    <w:p w14:paraId="3C5680AC" w14:textId="77777777" w:rsidR="00DB6E47" w:rsidRPr="00544ED5" w:rsidRDefault="00DB6E47" w:rsidP="00DB6E47">
      <w:pPr>
        <w:pStyle w:val="Apara"/>
      </w:pPr>
      <w:r w:rsidRPr="00544ED5">
        <w:tab/>
        <w:t>(c)</w:t>
      </w:r>
      <w:r w:rsidRPr="00544ED5">
        <w:tab/>
        <w:t>a person engaged as a contractor by the Regulator; or</w:t>
      </w:r>
    </w:p>
    <w:p w14:paraId="5D931A07" w14:textId="77777777" w:rsidR="00DB6E47" w:rsidRPr="00544ED5" w:rsidRDefault="00DB6E47" w:rsidP="00DB6E47">
      <w:pPr>
        <w:pStyle w:val="Apara"/>
      </w:pPr>
      <w:r w:rsidRPr="00544ED5">
        <w:tab/>
        <w:t>(d)</w:t>
      </w:r>
      <w:r w:rsidRPr="00544ED5">
        <w:tab/>
        <w:t>any other person whom the Regulator considers is appropriately qualified to exercise the function.</w:t>
      </w:r>
    </w:p>
    <w:p w14:paraId="6F5A6CAF" w14:textId="77777777" w:rsidR="00DB6E47" w:rsidRPr="002F157F" w:rsidRDefault="00DB6E47" w:rsidP="00DB6E47">
      <w:pPr>
        <w:pStyle w:val="Amain"/>
      </w:pPr>
      <w:r w:rsidRPr="002F157F">
        <w:tab/>
        <w:t>(2)</w:t>
      </w:r>
      <w:r w:rsidRPr="002F157F">
        <w:tab/>
        <w:t>A delegation of a function may permit the subdelegation of the function to an appropriately qualified person.</w:t>
      </w:r>
    </w:p>
    <w:p w14:paraId="7B087639" w14:textId="77777777" w:rsidR="00DB6E47" w:rsidRPr="007E1F9A" w:rsidRDefault="00DB6E47" w:rsidP="00DB6E47">
      <w:pPr>
        <w:pStyle w:val="aNote"/>
      </w:pPr>
      <w:r w:rsidRPr="00FF4454">
        <w:rPr>
          <w:rStyle w:val="charItals"/>
        </w:rPr>
        <w:t>Note</w:t>
      </w:r>
      <w:r w:rsidRPr="00C96203">
        <w:rPr>
          <w:rFonts w:cs="Times"/>
          <w:bCs/>
        </w:rPr>
        <w:t>—</w:t>
      </w:r>
    </w:p>
    <w:p w14:paraId="0EAC6444" w14:textId="77777777" w:rsidR="00DB6E47" w:rsidRPr="007E1F9A" w:rsidRDefault="00DB6E47" w:rsidP="00DB6E47">
      <w:pPr>
        <w:pStyle w:val="HeadingRunIn"/>
        <w:keepNext w:val="0"/>
        <w:suppressAutoHyphens/>
        <w:spacing w:line="220" w:lineRule="atLeast"/>
        <w:ind w:left="1440"/>
        <w:jc w:val="both"/>
        <w:rPr>
          <w:rFonts w:ascii="Times" w:hAnsi="Times" w:cs="Times"/>
          <w:b w:val="0"/>
          <w:bCs w:val="0"/>
          <w:color w:val="auto"/>
          <w:w w:val="100"/>
          <w:sz w:val="20"/>
          <w:szCs w:val="20"/>
        </w:rPr>
      </w:pPr>
      <w:r w:rsidRPr="007E1F9A">
        <w:rPr>
          <w:rFonts w:ascii="Times" w:hAnsi="Times" w:cs="Times"/>
          <w:b w:val="0"/>
          <w:bCs w:val="0"/>
          <w:color w:val="auto"/>
          <w:w w:val="100"/>
          <w:sz w:val="20"/>
          <w:szCs w:val="20"/>
        </w:rPr>
        <w:t>See section 29 of Schedule 1 which provides for matters relating to the delegation and subdelegation of functions.</w:t>
      </w:r>
    </w:p>
    <w:p w14:paraId="068F4C6A" w14:textId="77777777" w:rsidR="00DB6E47" w:rsidRPr="005E03F7" w:rsidRDefault="00DB6E47" w:rsidP="00DB6E47">
      <w:pPr>
        <w:pStyle w:val="AH3Div"/>
      </w:pPr>
      <w:bookmarkStart w:id="819" w:name="_Toc83626163"/>
      <w:r w:rsidRPr="005E03F7">
        <w:rPr>
          <w:rStyle w:val="CharDivNo"/>
        </w:rPr>
        <w:lastRenderedPageBreak/>
        <w:t xml:space="preserve">Division 2 </w:t>
      </w:r>
      <w:r w:rsidRPr="007E1F9A">
        <w:tab/>
      </w:r>
      <w:r w:rsidRPr="005E03F7">
        <w:rPr>
          <w:rStyle w:val="CharDivText"/>
        </w:rPr>
        <w:t>Governing board of Regulator</w:t>
      </w:r>
      <w:bookmarkEnd w:id="819"/>
    </w:p>
    <w:p w14:paraId="42732B77" w14:textId="77777777" w:rsidR="00DB6E47" w:rsidRPr="007E1F9A" w:rsidRDefault="00DB6E47" w:rsidP="00DB6E47">
      <w:pPr>
        <w:pStyle w:val="AH4SubDiv"/>
      </w:pPr>
      <w:bookmarkStart w:id="820" w:name="_Toc83626164"/>
      <w:r w:rsidRPr="007E1F9A">
        <w:t xml:space="preserve">Subdivision 1 </w:t>
      </w:r>
      <w:r w:rsidRPr="007E1F9A">
        <w:tab/>
        <w:t>Establishment and functions</w:t>
      </w:r>
      <w:bookmarkEnd w:id="820"/>
    </w:p>
    <w:p w14:paraId="57574D78" w14:textId="77777777" w:rsidR="00DB6E47" w:rsidRPr="007E1F9A" w:rsidRDefault="00DB6E47" w:rsidP="00DB6E47">
      <w:pPr>
        <w:pStyle w:val="AH5Sec"/>
      </w:pPr>
      <w:bookmarkStart w:id="821" w:name="_Toc83626165"/>
      <w:r w:rsidRPr="005E03F7">
        <w:rPr>
          <w:rStyle w:val="CharSectNo"/>
        </w:rPr>
        <w:t>662</w:t>
      </w:r>
      <w:r w:rsidRPr="007E1F9A">
        <w:tab/>
      </w:r>
      <w:r w:rsidRPr="007E1F9A">
        <w:rPr>
          <w:rFonts w:ascii="Helvetica" w:hAnsi="Helvetica" w:cs="Helvetica"/>
        </w:rPr>
        <w:t>Establishment of National Heavy Vehicle Regulator Board</w:t>
      </w:r>
      <w:bookmarkEnd w:id="821"/>
    </w:p>
    <w:p w14:paraId="4B43DB3F" w14:textId="77777777" w:rsidR="00DB6E47" w:rsidRPr="002F157F" w:rsidRDefault="00DB6E47" w:rsidP="00DB6E47">
      <w:pPr>
        <w:pStyle w:val="Amain"/>
      </w:pPr>
      <w:r w:rsidRPr="002F157F">
        <w:tab/>
        <w:t>(1)</w:t>
      </w:r>
      <w:r w:rsidRPr="002F157F">
        <w:tab/>
        <w:t>The Regulator has a governing board known as the National Heavy Vehicle Regulator Board.</w:t>
      </w:r>
    </w:p>
    <w:p w14:paraId="053ED3E3" w14:textId="77777777" w:rsidR="00DB6E47" w:rsidRPr="002F157F" w:rsidRDefault="00DB6E47" w:rsidP="00DB6E47">
      <w:pPr>
        <w:pStyle w:val="Amain"/>
      </w:pPr>
      <w:r w:rsidRPr="002F157F">
        <w:tab/>
        <w:t>(2)</w:t>
      </w:r>
      <w:r w:rsidRPr="002F157F">
        <w:tab/>
        <w:t>It is the intention of the Parliament of this jurisdiction that this Law as applied by an Act of this jurisdiction, together with this Law as applied by Acts of the other participating jurisdictions, has the effect that the National Heavy Vehicle Regulator Board is one single national entity, with functions conferred by this Law as so applied.</w:t>
      </w:r>
    </w:p>
    <w:p w14:paraId="56535054" w14:textId="77777777" w:rsidR="00DB6E47" w:rsidRPr="002F157F" w:rsidRDefault="00DB6E47" w:rsidP="00DB6E47">
      <w:pPr>
        <w:pStyle w:val="Amain"/>
      </w:pPr>
      <w:r w:rsidRPr="002F157F">
        <w:tab/>
        <w:t>(3)</w:t>
      </w:r>
      <w:r w:rsidRPr="002F157F">
        <w:tab/>
        <w:t>The Board has power to do acts in or in relation to this jurisdiction in the exercise of a function expressed to be conferred on it by this Law as applied by Acts of each participating jurisdiction.</w:t>
      </w:r>
    </w:p>
    <w:p w14:paraId="553D8E71" w14:textId="77777777" w:rsidR="00DB6E47" w:rsidRPr="002F157F" w:rsidRDefault="00DB6E47" w:rsidP="00DB6E47">
      <w:pPr>
        <w:pStyle w:val="Amain"/>
      </w:pPr>
      <w:r w:rsidRPr="002F157F">
        <w:tab/>
        <w:t>(4)</w:t>
      </w:r>
      <w:r w:rsidRPr="002F157F">
        <w:tab/>
        <w:t>The Board may exercise its functions in relation to—</w:t>
      </w:r>
    </w:p>
    <w:p w14:paraId="358E5C6B" w14:textId="77777777" w:rsidR="00DB6E47" w:rsidRPr="00544ED5" w:rsidRDefault="00DB6E47" w:rsidP="00DB6E47">
      <w:pPr>
        <w:pStyle w:val="Apara"/>
      </w:pPr>
      <w:r w:rsidRPr="00544ED5">
        <w:tab/>
        <w:t>(a)</w:t>
      </w:r>
      <w:r w:rsidRPr="00544ED5">
        <w:tab/>
        <w:t>one participating jurisdiction; or</w:t>
      </w:r>
    </w:p>
    <w:p w14:paraId="317C46C5" w14:textId="77777777" w:rsidR="00DB6E47" w:rsidRPr="00544ED5" w:rsidRDefault="00DB6E47" w:rsidP="00DB6E47">
      <w:pPr>
        <w:pStyle w:val="Apara"/>
      </w:pPr>
      <w:r w:rsidRPr="00544ED5">
        <w:tab/>
        <w:t>(b)</w:t>
      </w:r>
      <w:r w:rsidRPr="00544ED5">
        <w:tab/>
        <w:t>2 or more or all participating jurisdictions collectively.</w:t>
      </w:r>
    </w:p>
    <w:p w14:paraId="07B3BB80" w14:textId="77777777" w:rsidR="00DB6E47" w:rsidRPr="007E1F9A" w:rsidRDefault="00DB6E47" w:rsidP="00DB6E47">
      <w:pPr>
        <w:pStyle w:val="AH5Sec"/>
      </w:pPr>
      <w:bookmarkStart w:id="822" w:name="_Toc83626166"/>
      <w:r w:rsidRPr="005E03F7">
        <w:rPr>
          <w:rStyle w:val="CharSectNo"/>
        </w:rPr>
        <w:t>663</w:t>
      </w:r>
      <w:r w:rsidRPr="007E1F9A">
        <w:tab/>
      </w:r>
      <w:r w:rsidRPr="007E1F9A">
        <w:rPr>
          <w:rFonts w:ascii="Helvetica" w:hAnsi="Helvetica" w:cs="Helvetica"/>
        </w:rPr>
        <w:t>Membership of Board</w:t>
      </w:r>
      <w:bookmarkEnd w:id="822"/>
    </w:p>
    <w:p w14:paraId="152CDF5D" w14:textId="77777777" w:rsidR="00DB6E47" w:rsidRPr="002F157F" w:rsidRDefault="00DB6E47" w:rsidP="00DB6E47">
      <w:pPr>
        <w:pStyle w:val="Amain"/>
      </w:pPr>
      <w:r w:rsidRPr="002F157F">
        <w:tab/>
        <w:t>(1)</w:t>
      </w:r>
      <w:r w:rsidRPr="002F157F">
        <w:tab/>
        <w:t>The Board consists of 5 members appointed by the Queensland Minister on the unanimous recommendation of the responsible Ministers.</w:t>
      </w:r>
    </w:p>
    <w:p w14:paraId="7581BFA9" w14:textId="77777777" w:rsidR="00DB6E47" w:rsidRPr="002F157F" w:rsidRDefault="00DB6E47" w:rsidP="00DB6E47">
      <w:pPr>
        <w:pStyle w:val="Amain"/>
      </w:pPr>
      <w:r w:rsidRPr="002F157F">
        <w:tab/>
        <w:t>(2)</w:t>
      </w:r>
      <w:r w:rsidRPr="002F157F">
        <w:tab/>
        <w:t>The members of the Board must consist of—</w:t>
      </w:r>
    </w:p>
    <w:p w14:paraId="0DA29E2C" w14:textId="77777777" w:rsidR="00DB6E47" w:rsidRPr="00544ED5" w:rsidRDefault="00DB6E47" w:rsidP="00DB6E47">
      <w:pPr>
        <w:pStyle w:val="Apara"/>
      </w:pPr>
      <w:r w:rsidRPr="00544ED5">
        <w:tab/>
        <w:t>(a)</w:t>
      </w:r>
      <w:r w:rsidRPr="00544ED5">
        <w:tab/>
        <w:t>at least 1 member who has expertise in transportation policy; and</w:t>
      </w:r>
    </w:p>
    <w:p w14:paraId="329AC77D" w14:textId="77777777" w:rsidR="00DB6E47" w:rsidRPr="00544ED5" w:rsidRDefault="00DB6E47" w:rsidP="00DB6E47">
      <w:pPr>
        <w:pStyle w:val="Apara"/>
      </w:pPr>
      <w:r w:rsidRPr="00544ED5">
        <w:tab/>
        <w:t>(b)</w:t>
      </w:r>
      <w:r w:rsidRPr="00544ED5">
        <w:tab/>
        <w:t>at least 1 other member who has expertise in economics, law, accounting, social policy or education and training; and</w:t>
      </w:r>
    </w:p>
    <w:p w14:paraId="76E3E784" w14:textId="77777777" w:rsidR="00DB6E47" w:rsidRPr="00544ED5" w:rsidRDefault="00DB6E47" w:rsidP="00DB6E47">
      <w:pPr>
        <w:pStyle w:val="Apara"/>
      </w:pPr>
      <w:r w:rsidRPr="00544ED5">
        <w:tab/>
        <w:t>(c)</w:t>
      </w:r>
      <w:r w:rsidRPr="00544ED5">
        <w:tab/>
        <w:t>at least 1 other member who has experience in managing risks to public safety arising from the use of vehicles on roads; and</w:t>
      </w:r>
    </w:p>
    <w:p w14:paraId="20359C61" w14:textId="77777777" w:rsidR="00DB6E47" w:rsidRPr="00544ED5" w:rsidRDefault="00DB6E47" w:rsidP="00DB6E47">
      <w:pPr>
        <w:pStyle w:val="Apara"/>
      </w:pPr>
      <w:r w:rsidRPr="00544ED5">
        <w:lastRenderedPageBreak/>
        <w:tab/>
        <w:t>(d)</w:t>
      </w:r>
      <w:r w:rsidRPr="00544ED5">
        <w:tab/>
        <w:t>at least 1 other member who has financial management skills, business skills, administrative expertise or other skills or experience the responsible Ministers believe is appropriate.</w:t>
      </w:r>
    </w:p>
    <w:p w14:paraId="43BCFE98" w14:textId="77777777" w:rsidR="00DB6E47" w:rsidRPr="002F157F" w:rsidRDefault="00DB6E47" w:rsidP="00DB6E47">
      <w:pPr>
        <w:pStyle w:val="Amain"/>
      </w:pPr>
      <w:r w:rsidRPr="002F157F">
        <w:tab/>
        <w:t>(3)</w:t>
      </w:r>
      <w:r w:rsidRPr="002F157F">
        <w:tab/>
        <w:t>Of the members of the Board, one is to be appointed by the Queensland Minister, on the unanimous recommendation of the responsible Ministers, as the Chairperson of the Board and another as the Deputy Chairperson.</w:t>
      </w:r>
    </w:p>
    <w:p w14:paraId="447FE064" w14:textId="77777777" w:rsidR="00DB6E47" w:rsidRPr="007E1F9A" w:rsidRDefault="00DB6E47" w:rsidP="00DB6E47">
      <w:pPr>
        <w:pStyle w:val="AH5Sec"/>
      </w:pPr>
      <w:bookmarkStart w:id="823" w:name="_Toc83626167"/>
      <w:r w:rsidRPr="005E03F7">
        <w:rPr>
          <w:rStyle w:val="CharSectNo"/>
        </w:rPr>
        <w:t>664</w:t>
      </w:r>
      <w:r w:rsidRPr="007E1F9A">
        <w:tab/>
      </w:r>
      <w:r w:rsidRPr="007E1F9A">
        <w:rPr>
          <w:rFonts w:ascii="Helvetica" w:hAnsi="Helvetica" w:cs="Helvetica"/>
        </w:rPr>
        <w:t>Functions of Board</w:t>
      </w:r>
      <w:bookmarkEnd w:id="823"/>
    </w:p>
    <w:p w14:paraId="78D027A1" w14:textId="77777777" w:rsidR="00DB6E47" w:rsidRPr="002F157F" w:rsidRDefault="00DB6E47" w:rsidP="00DB6E47">
      <w:pPr>
        <w:pStyle w:val="Amain"/>
      </w:pPr>
      <w:r w:rsidRPr="002F157F">
        <w:tab/>
        <w:t>(1)</w:t>
      </w:r>
      <w:r w:rsidRPr="002F157F">
        <w:tab/>
        <w:t>The affairs of the Regulator are to be controlled by the Board.</w:t>
      </w:r>
    </w:p>
    <w:p w14:paraId="648D3A61" w14:textId="77777777" w:rsidR="00DB6E47" w:rsidRPr="002F157F" w:rsidRDefault="00DB6E47" w:rsidP="00DB6E47">
      <w:pPr>
        <w:pStyle w:val="Amain"/>
      </w:pPr>
      <w:r w:rsidRPr="002F157F">
        <w:tab/>
        <w:t>(2)</w:t>
      </w:r>
      <w:r w:rsidRPr="002F157F">
        <w:tab/>
        <w:t>Without limiting subsection (1), the Board’s functions include the following—</w:t>
      </w:r>
    </w:p>
    <w:p w14:paraId="190594D9" w14:textId="77777777" w:rsidR="00DB6E47" w:rsidRPr="00544ED5" w:rsidRDefault="00DB6E47" w:rsidP="00DB6E47">
      <w:pPr>
        <w:pStyle w:val="Apara"/>
      </w:pPr>
      <w:r w:rsidRPr="00544ED5">
        <w:tab/>
        <w:t>(a)</w:t>
      </w:r>
      <w:r w:rsidRPr="00544ED5">
        <w:tab/>
        <w:t>subject to any directions of the responsible Ministers, deciding the policies of the Regulator;</w:t>
      </w:r>
    </w:p>
    <w:p w14:paraId="062C1B1B" w14:textId="77777777" w:rsidR="00DB6E47" w:rsidRPr="00544ED5" w:rsidRDefault="00DB6E47" w:rsidP="00DB6E47">
      <w:pPr>
        <w:pStyle w:val="Apara"/>
      </w:pPr>
      <w:r w:rsidRPr="00544ED5">
        <w:tab/>
        <w:t>(b)</w:t>
      </w:r>
      <w:r w:rsidRPr="00544ED5">
        <w:tab/>
        <w:t>ensuring the Regulator exercises its functions in a proper, effective and efficient way.</w:t>
      </w:r>
    </w:p>
    <w:p w14:paraId="65189F37" w14:textId="77777777" w:rsidR="00DB6E47" w:rsidRPr="002F157F" w:rsidRDefault="00DB6E47" w:rsidP="00DB6E47">
      <w:pPr>
        <w:pStyle w:val="Amain"/>
      </w:pPr>
      <w:r w:rsidRPr="002F157F">
        <w:tab/>
        <w:t>(3)</w:t>
      </w:r>
      <w:r w:rsidRPr="002F157F">
        <w:tab/>
        <w:t>All acts and things done in the name of, or on behalf of, the Regulator by or with the authority of the Board are taken to have been done by the Regulator.</w:t>
      </w:r>
    </w:p>
    <w:p w14:paraId="7CA0FAF6" w14:textId="77777777" w:rsidR="00DB6E47" w:rsidRPr="002F157F" w:rsidRDefault="00DB6E47" w:rsidP="00DB6E47">
      <w:pPr>
        <w:pStyle w:val="Amain"/>
      </w:pPr>
      <w:r w:rsidRPr="002F157F">
        <w:tab/>
        <w:t>(4)</w:t>
      </w:r>
      <w:r w:rsidRPr="002F157F">
        <w:tab/>
        <w:t>The Board has any other functions given to the Board under this Law.</w:t>
      </w:r>
    </w:p>
    <w:p w14:paraId="46C8A47B" w14:textId="77777777" w:rsidR="00DB6E47" w:rsidRPr="007E1F9A" w:rsidRDefault="00DB6E47" w:rsidP="00DB6E47">
      <w:pPr>
        <w:pStyle w:val="AH4SubDiv"/>
      </w:pPr>
      <w:bookmarkStart w:id="824" w:name="_Toc83626168"/>
      <w:r w:rsidRPr="007E1F9A">
        <w:t xml:space="preserve">Subdivision 2 </w:t>
      </w:r>
      <w:r w:rsidRPr="007E1F9A">
        <w:tab/>
        <w:t>Members</w:t>
      </w:r>
      <w:bookmarkEnd w:id="824"/>
    </w:p>
    <w:p w14:paraId="1A5AD8EE" w14:textId="77777777" w:rsidR="00DB6E47" w:rsidRPr="007E1F9A" w:rsidRDefault="00DB6E47" w:rsidP="00DB6E47">
      <w:pPr>
        <w:pStyle w:val="AH5Sec"/>
      </w:pPr>
      <w:bookmarkStart w:id="825" w:name="_Toc83626169"/>
      <w:r w:rsidRPr="005E03F7">
        <w:rPr>
          <w:rStyle w:val="CharSectNo"/>
        </w:rPr>
        <w:t>665</w:t>
      </w:r>
      <w:r w:rsidRPr="007E1F9A">
        <w:tab/>
      </w:r>
      <w:r w:rsidRPr="007E1F9A">
        <w:rPr>
          <w:rFonts w:ascii="Helvetica" w:hAnsi="Helvetica" w:cs="Helvetica"/>
        </w:rPr>
        <w:t>Terms of office of members</w:t>
      </w:r>
      <w:bookmarkEnd w:id="825"/>
    </w:p>
    <w:p w14:paraId="2A40D890" w14:textId="77777777" w:rsidR="00DB6E47" w:rsidRPr="002F157F" w:rsidRDefault="00DB6E47" w:rsidP="00DB6E47">
      <w:pPr>
        <w:pStyle w:val="Amain"/>
      </w:pPr>
      <w:r w:rsidRPr="002F157F">
        <w:tab/>
        <w:t>(1)</w:t>
      </w:r>
      <w:r w:rsidRPr="002F157F">
        <w:tab/>
        <w:t>Subject to this Division, a member of the Board holds office for the period, not more than 3 years, specified in the member’s instrument of appointment.</w:t>
      </w:r>
    </w:p>
    <w:p w14:paraId="14C0C556" w14:textId="77777777" w:rsidR="00DB6E47" w:rsidRPr="002F157F" w:rsidRDefault="00DB6E47" w:rsidP="00DB6E47">
      <w:pPr>
        <w:pStyle w:val="Amain"/>
      </w:pPr>
      <w:r w:rsidRPr="002F157F">
        <w:tab/>
        <w:t>(2)</w:t>
      </w:r>
      <w:r w:rsidRPr="002F157F">
        <w:tab/>
        <w:t>If otherwise qualified, a member of the Board is eligible for reappointment.</w:t>
      </w:r>
    </w:p>
    <w:p w14:paraId="425F307C" w14:textId="77777777" w:rsidR="00DB6E47" w:rsidRPr="007E1F9A" w:rsidRDefault="00DB6E47" w:rsidP="00DB6E47">
      <w:pPr>
        <w:pStyle w:val="AH5Sec"/>
      </w:pPr>
      <w:bookmarkStart w:id="826" w:name="_Toc83626170"/>
      <w:r w:rsidRPr="005E03F7">
        <w:rPr>
          <w:rStyle w:val="CharSectNo"/>
        </w:rPr>
        <w:lastRenderedPageBreak/>
        <w:t>666</w:t>
      </w:r>
      <w:r w:rsidRPr="007E1F9A">
        <w:tab/>
      </w:r>
      <w:r w:rsidRPr="007E1F9A">
        <w:rPr>
          <w:rFonts w:ascii="Helvetica" w:hAnsi="Helvetica" w:cs="Helvetica"/>
        </w:rPr>
        <w:t>Remuneration</w:t>
      </w:r>
      <w:bookmarkEnd w:id="826"/>
    </w:p>
    <w:p w14:paraId="58D3E062" w14:textId="77777777" w:rsidR="00DB6E47" w:rsidRPr="002F157F" w:rsidRDefault="00DB6E47" w:rsidP="00DB6E47">
      <w:pPr>
        <w:pStyle w:val="Amainreturn"/>
      </w:pPr>
      <w:r w:rsidRPr="002F157F">
        <w:t>A member of the Board is entitled to be paid the remuneration and allowances decided by the responsible Ministers from time to time.</w:t>
      </w:r>
    </w:p>
    <w:p w14:paraId="5353F98D" w14:textId="77777777" w:rsidR="00DB6E47" w:rsidRPr="007E1F9A" w:rsidRDefault="00DB6E47" w:rsidP="00DB6E47">
      <w:pPr>
        <w:pStyle w:val="AH5Sec"/>
      </w:pPr>
      <w:bookmarkStart w:id="827" w:name="_Toc83626171"/>
      <w:r w:rsidRPr="005E03F7">
        <w:rPr>
          <w:rStyle w:val="CharSectNo"/>
        </w:rPr>
        <w:t>667</w:t>
      </w:r>
      <w:r w:rsidRPr="007E1F9A">
        <w:tab/>
      </w:r>
      <w:r w:rsidRPr="007E1F9A">
        <w:rPr>
          <w:rFonts w:ascii="Helvetica" w:hAnsi="Helvetica" w:cs="Helvetica"/>
        </w:rPr>
        <w:t>Vacancy in office of member</w:t>
      </w:r>
      <w:bookmarkEnd w:id="827"/>
    </w:p>
    <w:p w14:paraId="579969EB" w14:textId="77777777" w:rsidR="00DB6E47" w:rsidRPr="002F157F" w:rsidRDefault="00DB6E47" w:rsidP="00E40647">
      <w:pPr>
        <w:pStyle w:val="Amain"/>
        <w:keepNext/>
      </w:pPr>
      <w:r w:rsidRPr="002F157F">
        <w:tab/>
        <w:t>(1)</w:t>
      </w:r>
      <w:r w:rsidRPr="002F157F">
        <w:tab/>
        <w:t>The office of a member of the Board becomes vacant if the member—</w:t>
      </w:r>
    </w:p>
    <w:p w14:paraId="33813217" w14:textId="77777777" w:rsidR="00DB6E47" w:rsidRPr="00544ED5" w:rsidRDefault="00DB6E47" w:rsidP="00E40647">
      <w:pPr>
        <w:pStyle w:val="Apara"/>
        <w:keepNext/>
      </w:pPr>
      <w:r w:rsidRPr="00544ED5">
        <w:tab/>
        <w:t>(a)</w:t>
      </w:r>
      <w:r w:rsidRPr="00544ED5">
        <w:tab/>
        <w:t>completes a term of office; or</w:t>
      </w:r>
    </w:p>
    <w:p w14:paraId="7E6B6E66" w14:textId="77777777" w:rsidR="00DB6E47" w:rsidRPr="00544ED5" w:rsidRDefault="00DB6E47" w:rsidP="00DB6E47">
      <w:pPr>
        <w:pStyle w:val="Apara"/>
      </w:pPr>
      <w:r w:rsidRPr="00544ED5">
        <w:tab/>
        <w:t>(b)</w:t>
      </w:r>
      <w:r w:rsidRPr="00544ED5">
        <w:tab/>
        <w:t>resigns the office by signed notice given to the responsible Ministers; or</w:t>
      </w:r>
    </w:p>
    <w:p w14:paraId="7A773B48" w14:textId="77777777" w:rsidR="00DB6E47" w:rsidRPr="00544ED5" w:rsidRDefault="00DB6E47" w:rsidP="00DB6E47">
      <w:pPr>
        <w:pStyle w:val="Apara"/>
      </w:pPr>
      <w:r w:rsidRPr="00544ED5">
        <w:tab/>
        <w:t>(c)</w:t>
      </w:r>
      <w:r w:rsidRPr="00544ED5">
        <w:tab/>
        <w:t>has been found guilty of an offence, whether in a participating jurisdiction or elsewhere, that the responsible Ministers consider renders the member unfit to continue to hold the office of member; or</w:t>
      </w:r>
    </w:p>
    <w:p w14:paraId="4B2A3FA7" w14:textId="77777777" w:rsidR="00DB6E47" w:rsidRPr="00544ED5" w:rsidRDefault="00DB6E47" w:rsidP="00EE2BFD">
      <w:pPr>
        <w:pStyle w:val="Apara"/>
        <w:keepLines/>
      </w:pPr>
      <w:r w:rsidRPr="00544ED5">
        <w:tab/>
        <w:t>(d)</w:t>
      </w:r>
      <w:r w:rsidRPr="00544ED5">
        <w:tab/>
        <w:t>becomes bankrupt, applies to take the benefit of any law for the relief of bankrupt or insolvent debtors, compounds with the member’s creditors or makes an assignment of the member’s remuneration for their benefit; or</w:t>
      </w:r>
    </w:p>
    <w:p w14:paraId="2ED8C54F" w14:textId="77777777" w:rsidR="00DB6E47" w:rsidRPr="00544ED5" w:rsidRDefault="00DB6E47" w:rsidP="00DB6E47">
      <w:pPr>
        <w:pStyle w:val="Apara"/>
      </w:pPr>
      <w:r w:rsidRPr="00544ED5">
        <w:tab/>
        <w:t>(e)</w:t>
      </w:r>
      <w:r w:rsidRPr="00544ED5">
        <w:tab/>
        <w:t>is absent, without leave first being granted by the relevant entity, from 3 or more consecutive meetings of the Board of which reasonable notice has been given to the member personally or by post; or</w:t>
      </w:r>
    </w:p>
    <w:p w14:paraId="4D1620CB" w14:textId="77777777" w:rsidR="00DB6E47" w:rsidRPr="00544ED5" w:rsidRDefault="00DB6E47" w:rsidP="00DB6E47">
      <w:pPr>
        <w:pStyle w:val="Apara"/>
      </w:pPr>
      <w:r w:rsidRPr="00544ED5">
        <w:tab/>
        <w:t>(f)</w:t>
      </w:r>
      <w:r w:rsidRPr="00544ED5">
        <w:tab/>
        <w:t>is removed from office by the Queensland Minister under this section; or</w:t>
      </w:r>
    </w:p>
    <w:p w14:paraId="64F4F551" w14:textId="77777777" w:rsidR="00DB6E47" w:rsidRPr="00544ED5" w:rsidRDefault="00DB6E47" w:rsidP="00DB6E47">
      <w:pPr>
        <w:pStyle w:val="Apara"/>
      </w:pPr>
      <w:r w:rsidRPr="00544ED5">
        <w:tab/>
        <w:t>(g)</w:t>
      </w:r>
      <w:r w:rsidRPr="00544ED5">
        <w:tab/>
        <w:t>dies.</w:t>
      </w:r>
    </w:p>
    <w:p w14:paraId="24742202" w14:textId="77777777" w:rsidR="00DB6E47" w:rsidRPr="002F157F" w:rsidRDefault="00DB6E47" w:rsidP="00DB6E47">
      <w:pPr>
        <w:pStyle w:val="Amain"/>
      </w:pPr>
      <w:r w:rsidRPr="002F157F">
        <w:tab/>
        <w:t>(2)</w:t>
      </w:r>
      <w:r w:rsidRPr="002F157F">
        <w:tab/>
        <w:t>The Queensland Minister may remove a member of the Board from office if the responsible Ministers recommend the removal of the member on the basis that the member has engaged in misconduct or has failed to or is unable to properly exercise the member’s functions as a member of the Board.</w:t>
      </w:r>
    </w:p>
    <w:p w14:paraId="16496AB0" w14:textId="77777777" w:rsidR="00DB6E47" w:rsidRPr="002F157F" w:rsidRDefault="00DB6E47" w:rsidP="00E40647">
      <w:pPr>
        <w:pStyle w:val="Amain"/>
        <w:keepNext/>
      </w:pPr>
      <w:r w:rsidRPr="002F157F">
        <w:lastRenderedPageBreak/>
        <w:tab/>
        <w:t>(3)</w:t>
      </w:r>
      <w:r w:rsidRPr="002F157F">
        <w:tab/>
        <w:t>In this section—</w:t>
      </w:r>
    </w:p>
    <w:p w14:paraId="198EB21D" w14:textId="77777777" w:rsidR="00DB6E47" w:rsidRPr="00041046" w:rsidRDefault="00DB6E47" w:rsidP="00E40647">
      <w:pPr>
        <w:pStyle w:val="aDef"/>
        <w:keepNext/>
        <w:rPr>
          <w:bCs/>
        </w:rPr>
      </w:pPr>
      <w:r w:rsidRPr="00041046">
        <w:rPr>
          <w:rStyle w:val="charBoldItals"/>
        </w:rPr>
        <w:t>relevant entity</w:t>
      </w:r>
      <w:r w:rsidRPr="00041046">
        <w:t xml:space="preserve"> means—</w:t>
      </w:r>
    </w:p>
    <w:p w14:paraId="1253C3A7" w14:textId="77777777" w:rsidR="00DB6E47" w:rsidRPr="00F04D8E" w:rsidRDefault="00DB6E47" w:rsidP="00E40647">
      <w:pPr>
        <w:pStyle w:val="aDefpara"/>
        <w:keepNext/>
      </w:pPr>
      <w:r w:rsidRPr="00F04D8E">
        <w:rPr>
          <w:rFonts w:cs="Times"/>
          <w:bCs/>
        </w:rPr>
        <w:tab/>
        <w:t>(a)</w:t>
      </w:r>
      <w:r w:rsidRPr="00F04D8E">
        <w:rPr>
          <w:rFonts w:cs="Times"/>
          <w:bCs/>
        </w:rPr>
        <w:tab/>
        <w:t>for a member who is the Chairperson of the Board—the responsible Ministers; or</w:t>
      </w:r>
    </w:p>
    <w:p w14:paraId="32858B3A" w14:textId="77777777" w:rsidR="00DB6E47" w:rsidRPr="00F04D8E" w:rsidRDefault="00DB6E47" w:rsidP="00DB6E47">
      <w:pPr>
        <w:pStyle w:val="aDefpara"/>
      </w:pPr>
      <w:r w:rsidRPr="00F04D8E">
        <w:tab/>
        <w:t>(b)</w:t>
      </w:r>
      <w:r w:rsidRPr="00F04D8E">
        <w:tab/>
        <w:t>for another member—the Chairperson of the Board.</w:t>
      </w:r>
    </w:p>
    <w:p w14:paraId="483AF454" w14:textId="77777777" w:rsidR="00DB6E47" w:rsidRPr="007E1F9A" w:rsidRDefault="00DB6E47" w:rsidP="00DB6E47">
      <w:pPr>
        <w:pStyle w:val="AH5Sec"/>
      </w:pPr>
      <w:bookmarkStart w:id="828" w:name="_Toc83626172"/>
      <w:r w:rsidRPr="005E03F7">
        <w:rPr>
          <w:rStyle w:val="CharSectNo"/>
        </w:rPr>
        <w:t>668</w:t>
      </w:r>
      <w:r w:rsidRPr="007E1F9A">
        <w:tab/>
      </w:r>
      <w:r w:rsidRPr="007E1F9A">
        <w:rPr>
          <w:rFonts w:ascii="Helvetica" w:hAnsi="Helvetica" w:cs="Helvetica"/>
        </w:rPr>
        <w:t>Board member to give responsible Ministers notice of certain events</w:t>
      </w:r>
      <w:bookmarkEnd w:id="828"/>
    </w:p>
    <w:p w14:paraId="18BC2691" w14:textId="77777777" w:rsidR="00DB6E47" w:rsidRPr="002F157F" w:rsidRDefault="00DB6E47" w:rsidP="00EE2BFD">
      <w:pPr>
        <w:pStyle w:val="Amainreturn"/>
        <w:keepNext/>
      </w:pPr>
      <w:r w:rsidRPr="002F157F">
        <w:t>A member of the Board must, within 7 days of either of the following events occurring, give the responsible Ministers notice of the event—</w:t>
      </w:r>
    </w:p>
    <w:p w14:paraId="0520394F" w14:textId="77777777" w:rsidR="00DB6E47" w:rsidRPr="00544ED5" w:rsidRDefault="00DB6E47" w:rsidP="00EE2BFD">
      <w:pPr>
        <w:pStyle w:val="Apara"/>
        <w:keepNext/>
      </w:pPr>
      <w:r w:rsidRPr="00544ED5">
        <w:tab/>
        <w:t>(a)</w:t>
      </w:r>
      <w:r w:rsidRPr="00544ED5">
        <w:tab/>
        <w:t>the member is convicted of an offence;</w:t>
      </w:r>
    </w:p>
    <w:p w14:paraId="40433AC1" w14:textId="77777777" w:rsidR="00DB6E47" w:rsidRPr="00544ED5" w:rsidRDefault="00DB6E47" w:rsidP="00EE2BFD">
      <w:pPr>
        <w:pStyle w:val="Apara"/>
        <w:keepNext/>
        <w:keepLines/>
      </w:pPr>
      <w:r w:rsidRPr="00544ED5">
        <w:tab/>
        <w:t>(b)</w:t>
      </w:r>
      <w:r w:rsidRPr="00544ED5">
        <w:tab/>
        <w:t>the member becomes bankrupt, applies to take the benefit of any law for the relief of bankrupt or insolvent debtors, compounds with the member’s creditors or makes an assignment of the member’s remuneration for their benefit.</w:t>
      </w:r>
    </w:p>
    <w:p w14:paraId="6E31DAA6" w14:textId="77777777" w:rsidR="00DB6E47" w:rsidRPr="007E1F9A" w:rsidRDefault="00DB6E47" w:rsidP="00DB6E47">
      <w:pPr>
        <w:pStyle w:val="AH5Sec"/>
      </w:pPr>
      <w:bookmarkStart w:id="829" w:name="_Toc83626173"/>
      <w:r w:rsidRPr="005E03F7">
        <w:rPr>
          <w:rStyle w:val="CharSectNo"/>
        </w:rPr>
        <w:t>669</w:t>
      </w:r>
      <w:r w:rsidRPr="007E1F9A">
        <w:tab/>
      </w:r>
      <w:r w:rsidRPr="007E1F9A">
        <w:rPr>
          <w:rFonts w:ascii="Helvetica" w:hAnsi="Helvetica" w:cs="Helvetica"/>
        </w:rPr>
        <w:t>Extension of term of office during vacancy in membership</w:t>
      </w:r>
      <w:bookmarkEnd w:id="829"/>
    </w:p>
    <w:p w14:paraId="099DF8A9" w14:textId="77777777" w:rsidR="00DB6E47" w:rsidRPr="002F157F" w:rsidRDefault="00DB6E47" w:rsidP="00DB6E47">
      <w:pPr>
        <w:pStyle w:val="Amain"/>
      </w:pPr>
      <w:r w:rsidRPr="002F157F">
        <w:tab/>
        <w:t>(1)</w:t>
      </w:r>
      <w:r w:rsidRPr="002F157F">
        <w:tab/>
        <w:t>If the office of a member of the Board becomes vacant because the member has completed the member’s term of office, the member is taken to continue to be a member during that vacancy until the date on which the vacancy is filled, whether by re-appointment of the member or appointment of a successor to the member.</w:t>
      </w:r>
    </w:p>
    <w:p w14:paraId="0C5923AB" w14:textId="77777777" w:rsidR="00DB6E47" w:rsidRPr="002F157F" w:rsidRDefault="00DB6E47" w:rsidP="00DB6E47">
      <w:pPr>
        <w:pStyle w:val="Amain"/>
      </w:pPr>
      <w:r w:rsidRPr="002F157F">
        <w:tab/>
        <w:t>(2)</w:t>
      </w:r>
      <w:r w:rsidRPr="002F157F">
        <w:tab/>
        <w:t>However, this section ceases to apply to the member if—</w:t>
      </w:r>
    </w:p>
    <w:p w14:paraId="52BA1A68" w14:textId="77777777" w:rsidR="00DB6E47" w:rsidRPr="00544ED5" w:rsidRDefault="00DB6E47" w:rsidP="00DB6E47">
      <w:pPr>
        <w:pStyle w:val="Apara"/>
      </w:pPr>
      <w:r w:rsidRPr="00544ED5">
        <w:tab/>
        <w:t>(a)</w:t>
      </w:r>
      <w:r w:rsidRPr="00544ED5">
        <w:tab/>
        <w:t>the member resigns the member’s office by signed notice given to the responsible Ministers; or</w:t>
      </w:r>
    </w:p>
    <w:p w14:paraId="4893E5F7" w14:textId="77777777" w:rsidR="00DB6E47" w:rsidRPr="00544ED5" w:rsidRDefault="00DB6E47" w:rsidP="00DB6E47">
      <w:pPr>
        <w:pStyle w:val="Apara"/>
      </w:pPr>
      <w:r w:rsidRPr="00544ED5">
        <w:tab/>
        <w:t>(b)</w:t>
      </w:r>
      <w:r w:rsidRPr="00544ED5">
        <w:tab/>
        <w:t>the responsible Ministers decide the services of the member are no longer required.</w:t>
      </w:r>
    </w:p>
    <w:p w14:paraId="6CEA1AEE" w14:textId="77777777" w:rsidR="00DB6E47" w:rsidRPr="002F157F" w:rsidRDefault="00DB6E47" w:rsidP="00DB6E47">
      <w:pPr>
        <w:pStyle w:val="Amain"/>
      </w:pPr>
      <w:r w:rsidRPr="002F157F">
        <w:lastRenderedPageBreak/>
        <w:tab/>
        <w:t>(3)</w:t>
      </w:r>
      <w:r w:rsidRPr="002F157F">
        <w:tab/>
        <w:t>The maximum period for which a member of the Board is taken to continue to be a member under this section after completion of the member’s term of office is 6 months.</w:t>
      </w:r>
    </w:p>
    <w:p w14:paraId="6C18135F" w14:textId="77777777" w:rsidR="00DB6E47" w:rsidRPr="007E1F9A" w:rsidRDefault="00DB6E47" w:rsidP="00DB6E47">
      <w:pPr>
        <w:pStyle w:val="AH5Sec"/>
      </w:pPr>
      <w:bookmarkStart w:id="830" w:name="_Toc83626174"/>
      <w:r w:rsidRPr="005E03F7">
        <w:rPr>
          <w:rStyle w:val="CharSectNo"/>
        </w:rPr>
        <w:t>670</w:t>
      </w:r>
      <w:r w:rsidRPr="007E1F9A">
        <w:tab/>
      </w:r>
      <w:r w:rsidRPr="007E1F9A">
        <w:rPr>
          <w:rFonts w:ascii="Helvetica" w:hAnsi="Helvetica" w:cs="Helvetica"/>
        </w:rPr>
        <w:t>Members to act in public interest</w:t>
      </w:r>
      <w:bookmarkEnd w:id="830"/>
    </w:p>
    <w:p w14:paraId="72AC078A" w14:textId="77777777" w:rsidR="00DB6E47" w:rsidRPr="002F157F" w:rsidRDefault="00DB6E47" w:rsidP="00DB6E47">
      <w:pPr>
        <w:pStyle w:val="Amainreturn"/>
      </w:pPr>
      <w:r w:rsidRPr="002F157F">
        <w:t>A member of the Board is to act impartially and in the public interest in the exercise of the member’s functions as a member.</w:t>
      </w:r>
    </w:p>
    <w:p w14:paraId="4CAA25DA" w14:textId="77777777" w:rsidR="00DB6E47" w:rsidRPr="007E1F9A" w:rsidRDefault="00DB6E47" w:rsidP="00DB6E47">
      <w:pPr>
        <w:pStyle w:val="AH5Sec"/>
      </w:pPr>
      <w:bookmarkStart w:id="831" w:name="_Toc83626175"/>
      <w:r w:rsidRPr="005E03F7">
        <w:rPr>
          <w:rStyle w:val="CharSectNo"/>
        </w:rPr>
        <w:t>671</w:t>
      </w:r>
      <w:r w:rsidRPr="007E1F9A">
        <w:tab/>
      </w:r>
      <w:r w:rsidRPr="007E1F9A">
        <w:rPr>
          <w:rFonts w:ascii="Helvetica" w:hAnsi="Helvetica" w:cs="Helvetica"/>
        </w:rPr>
        <w:t>Disclosure of conflict of interest</w:t>
      </w:r>
      <w:bookmarkEnd w:id="831"/>
    </w:p>
    <w:p w14:paraId="367B0B9D" w14:textId="77777777" w:rsidR="00DB6E47" w:rsidRPr="002F157F" w:rsidRDefault="00DB6E47" w:rsidP="00DB6E47">
      <w:pPr>
        <w:pStyle w:val="Amain"/>
      </w:pPr>
      <w:r w:rsidRPr="002F157F">
        <w:tab/>
        <w:t>(1)</w:t>
      </w:r>
      <w:r w:rsidRPr="002F157F">
        <w:tab/>
        <w:t>If a member of the Board has a direct or indirect pecuniary or other interest that conflicts or may conflict with the exercise of the member’s functions as a member, the member must, as soon as possible after the relevant facts have come to the member’s knowledge, disclose the nature of the member’s interest and the conflict to—</w:t>
      </w:r>
    </w:p>
    <w:p w14:paraId="297963B2" w14:textId="77777777" w:rsidR="00DB6E47" w:rsidRPr="00544ED5" w:rsidRDefault="00DB6E47" w:rsidP="00DB6E47">
      <w:pPr>
        <w:pStyle w:val="Apara"/>
      </w:pPr>
      <w:r w:rsidRPr="00544ED5">
        <w:tab/>
        <w:t>(a)</w:t>
      </w:r>
      <w:r w:rsidRPr="00544ED5">
        <w:tab/>
        <w:t>for a member who is the Chairperson of the Board—the responsible Ministers; or</w:t>
      </w:r>
    </w:p>
    <w:p w14:paraId="30F27F74" w14:textId="77777777" w:rsidR="00DB6E47" w:rsidRPr="00544ED5" w:rsidRDefault="00DB6E47" w:rsidP="00DB6E47">
      <w:pPr>
        <w:pStyle w:val="Apara"/>
      </w:pPr>
      <w:r w:rsidRPr="00544ED5">
        <w:tab/>
        <w:t>(b)</w:t>
      </w:r>
      <w:r w:rsidRPr="00544ED5">
        <w:tab/>
        <w:t>for another member—the Chairperson of the Board.</w:t>
      </w:r>
    </w:p>
    <w:p w14:paraId="62104C2C" w14:textId="77777777" w:rsidR="00DB6E47" w:rsidRPr="002F157F" w:rsidRDefault="00DB6E47" w:rsidP="00DB6E47">
      <w:pPr>
        <w:pStyle w:val="Amain"/>
      </w:pPr>
      <w:r w:rsidRPr="002F157F">
        <w:tab/>
        <w:t>(2)</w:t>
      </w:r>
      <w:r w:rsidRPr="002F157F">
        <w:tab/>
        <w:t>If a disclosure is made under subsection (1), the entity to whom the disclosure is made must notify the Board of the disclosure.</w:t>
      </w:r>
    </w:p>
    <w:p w14:paraId="26471551" w14:textId="77777777" w:rsidR="00DB6E47" w:rsidRPr="002F157F" w:rsidRDefault="00DB6E47" w:rsidP="00DB6E47">
      <w:pPr>
        <w:pStyle w:val="Amain"/>
      </w:pPr>
      <w:r w:rsidRPr="002F157F">
        <w:tab/>
        <w:t>(3)</w:t>
      </w:r>
      <w:r w:rsidRPr="002F157F">
        <w:tab/>
        <w:t>Particulars of any d</w:t>
      </w:r>
      <w:r w:rsidR="004E3F26">
        <w:t xml:space="preserve">isclosure made under subsection </w:t>
      </w:r>
      <w:r w:rsidRPr="002F157F">
        <w:t>(1)</w:t>
      </w:r>
      <w:r w:rsidR="004E3F26">
        <w:t xml:space="preserve"> </w:t>
      </w:r>
      <w:r w:rsidRPr="002F157F">
        <w:t>must be recorded by the Board in a register of interests kept for the purpose.</w:t>
      </w:r>
    </w:p>
    <w:p w14:paraId="10099C65" w14:textId="77777777" w:rsidR="00DB6E47" w:rsidRPr="002F157F" w:rsidRDefault="00DB6E47" w:rsidP="00DB6E47">
      <w:pPr>
        <w:pStyle w:val="Amain"/>
      </w:pPr>
      <w:r w:rsidRPr="002F157F">
        <w:tab/>
        <w:t>(4)</w:t>
      </w:r>
      <w:r w:rsidRPr="002F157F">
        <w:tab/>
        <w:t>After a member of the Board has disclosed the nature of an interest and conflict or potential conflict under subsection (1), the member must not be present during any deliberation of the Board with respect to any matter that is, or may be, affected by the conflict, or take part in any decision of the Board with respect to any matter that is, or may be, affected by the conflict, unless—</w:t>
      </w:r>
    </w:p>
    <w:p w14:paraId="5BC18B9B" w14:textId="77777777" w:rsidR="00DB6E47" w:rsidRPr="00544ED5" w:rsidRDefault="00DB6E47" w:rsidP="00DB6E47">
      <w:pPr>
        <w:pStyle w:val="Apara"/>
      </w:pPr>
      <w:r w:rsidRPr="00544ED5">
        <w:tab/>
        <w:t>(a)</w:t>
      </w:r>
      <w:r w:rsidRPr="00544ED5">
        <w:tab/>
        <w:t>for a member who is the Chairperson of the Board, the responsible Ministers otherwise decide; or</w:t>
      </w:r>
    </w:p>
    <w:p w14:paraId="2B15AD00" w14:textId="77777777" w:rsidR="00DB6E47" w:rsidRPr="00544ED5" w:rsidRDefault="00DB6E47" w:rsidP="00DB6E47">
      <w:pPr>
        <w:pStyle w:val="Apara"/>
      </w:pPr>
      <w:r w:rsidRPr="00544ED5">
        <w:tab/>
        <w:t>(b)</w:t>
      </w:r>
      <w:r w:rsidRPr="00544ED5">
        <w:tab/>
        <w:t>for another member, the Board otherwise decides.</w:t>
      </w:r>
    </w:p>
    <w:p w14:paraId="799A9DDB" w14:textId="77777777" w:rsidR="00DB6E47" w:rsidRPr="002F157F" w:rsidRDefault="00DB6E47" w:rsidP="00DB6E47">
      <w:pPr>
        <w:pStyle w:val="Amain"/>
      </w:pPr>
      <w:r w:rsidRPr="002F157F">
        <w:lastRenderedPageBreak/>
        <w:tab/>
        <w:t>(5)</w:t>
      </w:r>
      <w:r w:rsidRPr="002F157F">
        <w:tab/>
        <w:t>For the purposes of the making of a decisio</w:t>
      </w:r>
      <w:r w:rsidR="0062288F">
        <w:t xml:space="preserve">n by the Board under subsection </w:t>
      </w:r>
      <w:r w:rsidRPr="002F157F">
        <w:t>(4)</w:t>
      </w:r>
      <w:r w:rsidR="0062288F">
        <w:t xml:space="preserve"> </w:t>
      </w:r>
      <w:r w:rsidRPr="002F157F">
        <w:t>in relation to a matter, a member of the Board who has a direct or indirect pecuniary or other interest that conflicts or may conflict with the exercise of the member’s functions as a member with respect to the matter must not—</w:t>
      </w:r>
    </w:p>
    <w:p w14:paraId="3BA6D7FD" w14:textId="77777777" w:rsidR="00DB6E47" w:rsidRPr="00544ED5" w:rsidRDefault="00DB6E47" w:rsidP="00DB6E47">
      <w:pPr>
        <w:pStyle w:val="Apara"/>
      </w:pPr>
      <w:r w:rsidRPr="00544ED5">
        <w:tab/>
        <w:t>(a)</w:t>
      </w:r>
      <w:r w:rsidRPr="00544ED5">
        <w:tab/>
        <w:t>be present during any deliberation of the Board for the purpose of making the decision; or</w:t>
      </w:r>
    </w:p>
    <w:p w14:paraId="0AB8E173" w14:textId="77777777" w:rsidR="00DB6E47" w:rsidRPr="00544ED5" w:rsidRDefault="00DB6E47" w:rsidP="00DB6E47">
      <w:pPr>
        <w:pStyle w:val="Apara"/>
      </w:pPr>
      <w:r w:rsidRPr="00544ED5">
        <w:tab/>
        <w:t>(b)</w:t>
      </w:r>
      <w:r w:rsidRPr="00544ED5">
        <w:tab/>
        <w:t>take part in the making of the decision by the Board.</w:t>
      </w:r>
    </w:p>
    <w:p w14:paraId="71ADB8C3" w14:textId="77777777" w:rsidR="00DB6E47" w:rsidRPr="002F157F" w:rsidRDefault="00DB6E47" w:rsidP="00DB6E47">
      <w:pPr>
        <w:pStyle w:val="Amain"/>
      </w:pPr>
      <w:r w:rsidRPr="002F157F">
        <w:tab/>
        <w:t>(6)</w:t>
      </w:r>
      <w:r w:rsidRPr="002F157F">
        <w:tab/>
        <w:t>A contravention of this section does not invalidate any decision of the Board but if the Board becomes aware a member of the Board contravened this section, the Board must reconsider any decision made by the Board in which the member took part in contravention of this section.</w:t>
      </w:r>
    </w:p>
    <w:p w14:paraId="309615B0" w14:textId="77777777" w:rsidR="00DB6E47" w:rsidRPr="007E1F9A" w:rsidRDefault="00DB6E47" w:rsidP="00DB6E47">
      <w:pPr>
        <w:pStyle w:val="AH4SubDiv"/>
      </w:pPr>
      <w:bookmarkStart w:id="832" w:name="_Toc83626176"/>
      <w:r w:rsidRPr="007E1F9A">
        <w:t xml:space="preserve">Subdivision 3 </w:t>
      </w:r>
      <w:r w:rsidRPr="007E1F9A">
        <w:tab/>
        <w:t>Meetings</w:t>
      </w:r>
      <w:bookmarkEnd w:id="832"/>
    </w:p>
    <w:p w14:paraId="08CADCBA" w14:textId="77777777" w:rsidR="00DB6E47" w:rsidRPr="007E1F9A" w:rsidRDefault="00DB6E47" w:rsidP="00DB6E47">
      <w:pPr>
        <w:pStyle w:val="AH5Sec"/>
      </w:pPr>
      <w:bookmarkStart w:id="833" w:name="_Toc83626177"/>
      <w:r w:rsidRPr="005E03F7">
        <w:rPr>
          <w:rStyle w:val="CharSectNo"/>
        </w:rPr>
        <w:t>672</w:t>
      </w:r>
      <w:r w:rsidRPr="007E1F9A">
        <w:tab/>
      </w:r>
      <w:r w:rsidRPr="007E1F9A">
        <w:rPr>
          <w:rFonts w:ascii="Helvetica" w:hAnsi="Helvetica" w:cs="Helvetica"/>
        </w:rPr>
        <w:t>General procedure</w:t>
      </w:r>
      <w:bookmarkEnd w:id="833"/>
    </w:p>
    <w:p w14:paraId="6982929A" w14:textId="77777777" w:rsidR="00DB6E47" w:rsidRPr="002F157F" w:rsidRDefault="00DB6E47" w:rsidP="00DB6E47">
      <w:pPr>
        <w:pStyle w:val="Amain"/>
      </w:pPr>
      <w:r w:rsidRPr="002F157F">
        <w:tab/>
        <w:t>(1)</w:t>
      </w:r>
      <w:r w:rsidRPr="002F157F">
        <w:tab/>
        <w:t>The procedure for the calling of meetings of the Board and for the conduct of business at the meetings is, subject to this Law, to be decided by the Board.</w:t>
      </w:r>
    </w:p>
    <w:p w14:paraId="513EFF47" w14:textId="77777777" w:rsidR="00DB6E47" w:rsidRPr="002F157F" w:rsidRDefault="00DB6E47" w:rsidP="00DB6E47">
      <w:pPr>
        <w:pStyle w:val="Amain"/>
      </w:pPr>
      <w:r w:rsidRPr="002F157F">
        <w:tab/>
        <w:t>(2)</w:t>
      </w:r>
      <w:r w:rsidRPr="002F157F">
        <w:tab/>
        <w:t>Without limiting subsection (1), the Chairperson of the Board—</w:t>
      </w:r>
    </w:p>
    <w:p w14:paraId="78D41EC1" w14:textId="77777777" w:rsidR="00DB6E47" w:rsidRPr="00544ED5" w:rsidRDefault="00DB6E47" w:rsidP="00DB6E47">
      <w:pPr>
        <w:pStyle w:val="Apara"/>
      </w:pPr>
      <w:r w:rsidRPr="00544ED5">
        <w:tab/>
        <w:t>(a)</w:t>
      </w:r>
      <w:r w:rsidRPr="00544ED5">
        <w:tab/>
        <w:t>may at any time call a meeting of the Board; and</w:t>
      </w:r>
    </w:p>
    <w:p w14:paraId="7CACDBC1" w14:textId="77777777" w:rsidR="00DB6E47" w:rsidRPr="00544ED5" w:rsidRDefault="00DB6E47" w:rsidP="00DB6E47">
      <w:pPr>
        <w:pStyle w:val="Apara"/>
      </w:pPr>
      <w:r w:rsidRPr="00544ED5">
        <w:tab/>
        <w:t>(b)</w:t>
      </w:r>
      <w:r w:rsidRPr="00544ED5">
        <w:tab/>
        <w:t>must call a meeting if asked, in writing, by at least 3 other members of the Board.</w:t>
      </w:r>
    </w:p>
    <w:p w14:paraId="0E776EE1" w14:textId="77777777" w:rsidR="00DB6E47" w:rsidRPr="007E1F9A" w:rsidRDefault="00DB6E47" w:rsidP="00DB6E47">
      <w:pPr>
        <w:pStyle w:val="AH5Sec"/>
      </w:pPr>
      <w:bookmarkStart w:id="834" w:name="_Toc83626178"/>
      <w:r w:rsidRPr="005E03F7">
        <w:rPr>
          <w:rStyle w:val="CharSectNo"/>
        </w:rPr>
        <w:t>673</w:t>
      </w:r>
      <w:r w:rsidRPr="007E1F9A">
        <w:tab/>
      </w:r>
      <w:r w:rsidRPr="007E1F9A">
        <w:rPr>
          <w:rFonts w:ascii="Helvetica" w:hAnsi="Helvetica" w:cs="Helvetica"/>
        </w:rPr>
        <w:t>Quorum</w:t>
      </w:r>
      <w:bookmarkEnd w:id="834"/>
    </w:p>
    <w:p w14:paraId="16E579A5" w14:textId="77777777" w:rsidR="00DB6E47" w:rsidRPr="002F157F" w:rsidRDefault="00DB6E47" w:rsidP="00DB6E47">
      <w:pPr>
        <w:pStyle w:val="Amainreturn"/>
      </w:pPr>
      <w:r w:rsidRPr="002F157F">
        <w:t>The quorum for a meeting of the Board is a majority of its members.</w:t>
      </w:r>
    </w:p>
    <w:p w14:paraId="7C78627D" w14:textId="77777777" w:rsidR="00DB6E47" w:rsidRPr="007E1F9A" w:rsidRDefault="00DB6E47" w:rsidP="00DB6E47">
      <w:pPr>
        <w:pStyle w:val="AH5Sec"/>
      </w:pPr>
      <w:bookmarkStart w:id="835" w:name="_Toc83626179"/>
      <w:r w:rsidRPr="005E03F7">
        <w:rPr>
          <w:rStyle w:val="CharSectNo"/>
        </w:rPr>
        <w:lastRenderedPageBreak/>
        <w:t>674</w:t>
      </w:r>
      <w:r w:rsidRPr="007E1F9A">
        <w:tab/>
      </w:r>
      <w:r w:rsidRPr="007E1F9A">
        <w:rPr>
          <w:rFonts w:ascii="Helvetica" w:hAnsi="Helvetica" w:cs="Helvetica"/>
        </w:rPr>
        <w:t>Chief executive officer may attend meetings</w:t>
      </w:r>
      <w:bookmarkEnd w:id="835"/>
    </w:p>
    <w:p w14:paraId="3167546A" w14:textId="77777777" w:rsidR="00DB6E47" w:rsidRPr="002F157F" w:rsidRDefault="00DB6E47" w:rsidP="00520FCC">
      <w:pPr>
        <w:pStyle w:val="Amain"/>
        <w:keepNext/>
      </w:pPr>
      <w:r w:rsidRPr="002F157F">
        <w:tab/>
        <w:t>(1)</w:t>
      </w:r>
      <w:r w:rsidRPr="002F157F">
        <w:tab/>
        <w:t>The chief executive officer of the Regulator may attend meetings of the Board and participate in discussions of the Board.</w:t>
      </w:r>
    </w:p>
    <w:p w14:paraId="641E3BD9" w14:textId="77777777" w:rsidR="00DB6E47" w:rsidRPr="002F157F" w:rsidRDefault="00DB6E47" w:rsidP="00DB6E47">
      <w:pPr>
        <w:pStyle w:val="Amain"/>
      </w:pPr>
      <w:r w:rsidRPr="002F157F">
        <w:tab/>
        <w:t>(2)</w:t>
      </w:r>
      <w:r w:rsidRPr="002F157F">
        <w:tab/>
        <w:t>However, the chief executive officer—</w:t>
      </w:r>
    </w:p>
    <w:p w14:paraId="76EAEFC3" w14:textId="77777777" w:rsidR="00DB6E47" w:rsidRPr="00544ED5" w:rsidRDefault="00DB6E47" w:rsidP="00DB6E47">
      <w:pPr>
        <w:pStyle w:val="Apara"/>
      </w:pPr>
      <w:r w:rsidRPr="00544ED5">
        <w:tab/>
        <w:t>(a)</w:t>
      </w:r>
      <w:r w:rsidRPr="00544ED5">
        <w:tab/>
        <w:t>must, as soon as possible after becoming aware that the chief executive officer has a direct personal interest in a matter to be considered by the Board, disclose the interest to the Chairperson of the Board; and</w:t>
      </w:r>
    </w:p>
    <w:p w14:paraId="2DFCF650" w14:textId="77777777" w:rsidR="00DB6E47" w:rsidRPr="00544ED5" w:rsidRDefault="00DB6E47" w:rsidP="00DB6E47">
      <w:pPr>
        <w:pStyle w:val="Apara"/>
      </w:pPr>
      <w:r w:rsidRPr="00544ED5">
        <w:tab/>
        <w:t>(b)</w:t>
      </w:r>
      <w:r w:rsidRPr="00544ED5">
        <w:tab/>
        <w:t>is not entitled to be present during the consideration by the Board of any matter in which the chief executive officer has a direct personal interest; and</w:t>
      </w:r>
    </w:p>
    <w:p w14:paraId="5C82393F" w14:textId="77777777" w:rsidR="00DB6E47" w:rsidRPr="00544ED5" w:rsidRDefault="00DB6E47" w:rsidP="00DB6E47">
      <w:pPr>
        <w:pStyle w:val="Apara"/>
      </w:pPr>
      <w:r w:rsidRPr="00544ED5">
        <w:tab/>
        <w:t>(c)</w:t>
      </w:r>
      <w:r w:rsidRPr="00544ED5">
        <w:tab/>
        <w:t>is not entitled to vote at a meeting.</w:t>
      </w:r>
    </w:p>
    <w:p w14:paraId="0ADB0C18" w14:textId="77777777" w:rsidR="00DB6E47" w:rsidRPr="007E1F9A" w:rsidRDefault="00DB6E47" w:rsidP="00DB6E47">
      <w:pPr>
        <w:pStyle w:val="AH5Sec"/>
      </w:pPr>
      <w:bookmarkStart w:id="836" w:name="_Toc83626180"/>
      <w:r w:rsidRPr="005E03F7">
        <w:rPr>
          <w:rStyle w:val="CharSectNo"/>
        </w:rPr>
        <w:t>675</w:t>
      </w:r>
      <w:r w:rsidRPr="007E1F9A">
        <w:tab/>
      </w:r>
      <w:r w:rsidRPr="007E1F9A">
        <w:rPr>
          <w:rFonts w:ascii="Helvetica" w:hAnsi="Helvetica" w:cs="Helvetica"/>
        </w:rPr>
        <w:t>Presiding member</w:t>
      </w:r>
      <w:bookmarkEnd w:id="836"/>
    </w:p>
    <w:p w14:paraId="106B9EE8" w14:textId="77777777" w:rsidR="00DB6E47" w:rsidRPr="002F157F" w:rsidRDefault="00DB6E47" w:rsidP="00DB6E47">
      <w:pPr>
        <w:pStyle w:val="Amain"/>
      </w:pPr>
      <w:r w:rsidRPr="002F157F">
        <w:tab/>
        <w:t>(1)</w:t>
      </w:r>
      <w:r w:rsidRPr="002F157F">
        <w:tab/>
        <w:t>The Chairperson of the Board is to preside at a meeting of the Board.</w:t>
      </w:r>
    </w:p>
    <w:p w14:paraId="0BBBE7E0" w14:textId="77777777" w:rsidR="00DB6E47" w:rsidRPr="002F157F" w:rsidRDefault="00DB6E47" w:rsidP="00DB6E47">
      <w:pPr>
        <w:pStyle w:val="Amain"/>
      </w:pPr>
      <w:r w:rsidRPr="002F157F">
        <w:tab/>
        <w:t>(2)</w:t>
      </w:r>
      <w:r w:rsidRPr="002F157F">
        <w:tab/>
        <w:t>However, in the absence of the Chairperson of the Board the following person is to preside at a meeting of the Board—</w:t>
      </w:r>
    </w:p>
    <w:p w14:paraId="42BB3BB1" w14:textId="77777777" w:rsidR="00DB6E47" w:rsidRPr="00544ED5" w:rsidRDefault="00DB6E47" w:rsidP="00DB6E47">
      <w:pPr>
        <w:pStyle w:val="Apara"/>
      </w:pPr>
      <w:r w:rsidRPr="00544ED5">
        <w:tab/>
        <w:t>(a)</w:t>
      </w:r>
      <w:r w:rsidRPr="00544ED5">
        <w:tab/>
        <w:t>if the Deputy Chairperson of the Board is present at the meeting, the Deputy Chairperson;</w:t>
      </w:r>
    </w:p>
    <w:p w14:paraId="23EDBB70" w14:textId="77777777" w:rsidR="00DB6E47" w:rsidRPr="00544ED5" w:rsidRDefault="00DB6E47" w:rsidP="00DB6E47">
      <w:pPr>
        <w:pStyle w:val="Apara"/>
      </w:pPr>
      <w:r w:rsidRPr="00544ED5">
        <w:tab/>
        <w:t>(b)</w:t>
      </w:r>
      <w:r w:rsidRPr="00544ED5">
        <w:tab/>
        <w:t>otherwise, a person elected by the members of the Board who are present at the meeting.</w:t>
      </w:r>
    </w:p>
    <w:p w14:paraId="723C6BC3" w14:textId="77777777" w:rsidR="00DB6E47" w:rsidRPr="002F157F" w:rsidRDefault="00DB6E47" w:rsidP="00DB6E47">
      <w:pPr>
        <w:pStyle w:val="Amain"/>
      </w:pPr>
      <w:r w:rsidRPr="002F157F">
        <w:tab/>
        <w:t>(3)</w:t>
      </w:r>
      <w:r w:rsidRPr="002F157F">
        <w:tab/>
        <w:t>The presiding member has a deliberative vote and, in the event of an equality of votes, has a second or casting vote.</w:t>
      </w:r>
    </w:p>
    <w:p w14:paraId="12FEFAE6" w14:textId="77777777" w:rsidR="00DB6E47" w:rsidRPr="007E1F9A" w:rsidRDefault="00DB6E47" w:rsidP="00DB6E47">
      <w:pPr>
        <w:pStyle w:val="AH5Sec"/>
      </w:pPr>
      <w:bookmarkStart w:id="837" w:name="_Toc83626181"/>
      <w:r w:rsidRPr="005E03F7">
        <w:rPr>
          <w:rStyle w:val="CharSectNo"/>
        </w:rPr>
        <w:t>676</w:t>
      </w:r>
      <w:r w:rsidRPr="007E1F9A">
        <w:tab/>
      </w:r>
      <w:r w:rsidRPr="007E1F9A">
        <w:rPr>
          <w:rFonts w:ascii="Helvetica" w:hAnsi="Helvetica" w:cs="Helvetica"/>
        </w:rPr>
        <w:t>Voting</w:t>
      </w:r>
      <w:bookmarkEnd w:id="837"/>
    </w:p>
    <w:p w14:paraId="5AEC0220" w14:textId="77777777" w:rsidR="00DB6E47" w:rsidRPr="002F157F" w:rsidRDefault="00DB6E47" w:rsidP="00DB6E47">
      <w:pPr>
        <w:pStyle w:val="Amainreturn"/>
      </w:pPr>
      <w:r w:rsidRPr="002F157F">
        <w:t>A decision supported by a majority of the votes cast at a meeting of the Board at which a quorum is present is the decision of the Board.</w:t>
      </w:r>
    </w:p>
    <w:p w14:paraId="2B1A64C9" w14:textId="77777777" w:rsidR="00DB6E47" w:rsidRPr="007E1F9A" w:rsidRDefault="00DB6E47" w:rsidP="00DB6E47">
      <w:pPr>
        <w:pStyle w:val="AH5Sec"/>
      </w:pPr>
      <w:bookmarkStart w:id="838" w:name="_Toc83626182"/>
      <w:r w:rsidRPr="005E03F7">
        <w:rPr>
          <w:rStyle w:val="CharSectNo"/>
        </w:rPr>
        <w:lastRenderedPageBreak/>
        <w:t>677</w:t>
      </w:r>
      <w:r w:rsidRPr="007E1F9A">
        <w:tab/>
      </w:r>
      <w:r w:rsidRPr="007E1F9A">
        <w:rPr>
          <w:rFonts w:ascii="Helvetica" w:hAnsi="Helvetica" w:cs="Helvetica"/>
        </w:rPr>
        <w:t>Minutes</w:t>
      </w:r>
      <w:bookmarkEnd w:id="838"/>
    </w:p>
    <w:p w14:paraId="2E9940B9" w14:textId="77777777" w:rsidR="00DB6E47" w:rsidRPr="002F157F" w:rsidRDefault="00DB6E47" w:rsidP="00DB6E47">
      <w:pPr>
        <w:pStyle w:val="Amainreturn"/>
      </w:pPr>
      <w:r w:rsidRPr="002F157F">
        <w:t>The Chairperson or other member of the Board presiding at a meeting of the Board must ensure minutes of the meeting are taken.</w:t>
      </w:r>
    </w:p>
    <w:p w14:paraId="4854BA8B" w14:textId="77777777" w:rsidR="00DB6E47" w:rsidRPr="007E1F9A" w:rsidRDefault="00DB6E47" w:rsidP="00DB6E47">
      <w:pPr>
        <w:pStyle w:val="AH5Sec"/>
      </w:pPr>
      <w:bookmarkStart w:id="839" w:name="_Toc83626183"/>
      <w:r w:rsidRPr="005E03F7">
        <w:rPr>
          <w:rStyle w:val="CharSectNo"/>
        </w:rPr>
        <w:t>678</w:t>
      </w:r>
      <w:r w:rsidRPr="007E1F9A">
        <w:tab/>
      </w:r>
      <w:r w:rsidRPr="007E1F9A">
        <w:rPr>
          <w:rFonts w:ascii="Helvetica" w:hAnsi="Helvetica" w:cs="Helvetica"/>
        </w:rPr>
        <w:t>First meeting</w:t>
      </w:r>
      <w:bookmarkEnd w:id="839"/>
    </w:p>
    <w:p w14:paraId="75854F51" w14:textId="77777777" w:rsidR="00DB6E47" w:rsidRPr="002F157F" w:rsidRDefault="00DB6E47" w:rsidP="00DB6E47">
      <w:pPr>
        <w:pStyle w:val="Amainreturn"/>
      </w:pPr>
      <w:r w:rsidRPr="002F157F">
        <w:t>The Chairperson of the Board may call the first meeting of the Board in any way the Chairperson thinks fit.</w:t>
      </w:r>
    </w:p>
    <w:p w14:paraId="1640DB0D" w14:textId="77777777" w:rsidR="00DB6E47" w:rsidRPr="007E1F9A" w:rsidRDefault="00DB6E47" w:rsidP="00DB6E47">
      <w:pPr>
        <w:pStyle w:val="AH5Sec"/>
      </w:pPr>
      <w:bookmarkStart w:id="840" w:name="_Toc83626184"/>
      <w:r w:rsidRPr="005E03F7">
        <w:rPr>
          <w:rStyle w:val="CharSectNo"/>
        </w:rPr>
        <w:t>679</w:t>
      </w:r>
      <w:r w:rsidRPr="007E1F9A">
        <w:tab/>
      </w:r>
      <w:r w:rsidRPr="007E1F9A">
        <w:rPr>
          <w:rFonts w:ascii="Helvetica" w:hAnsi="Helvetica" w:cs="Helvetica"/>
        </w:rPr>
        <w:t>Defects in appointment of members</w:t>
      </w:r>
      <w:bookmarkEnd w:id="840"/>
    </w:p>
    <w:p w14:paraId="512048AE" w14:textId="77777777" w:rsidR="00DB6E47" w:rsidRPr="002F157F" w:rsidRDefault="00DB6E47" w:rsidP="00DB6E47">
      <w:pPr>
        <w:pStyle w:val="Amainreturn"/>
      </w:pPr>
      <w:r w:rsidRPr="002F157F">
        <w:t>A decision of the Board is not invalidated by any defect or irregularity in the appointment of any member of the Board.</w:t>
      </w:r>
    </w:p>
    <w:p w14:paraId="5E911593" w14:textId="77777777" w:rsidR="00DB6E47" w:rsidRPr="007E1F9A" w:rsidRDefault="00DB6E47" w:rsidP="00DB6E47">
      <w:pPr>
        <w:pStyle w:val="AH4SubDiv"/>
      </w:pPr>
      <w:bookmarkStart w:id="841" w:name="_Toc83626185"/>
      <w:r w:rsidRPr="007E1F9A">
        <w:t xml:space="preserve">Subdivision 4 </w:t>
      </w:r>
      <w:r w:rsidRPr="007E1F9A">
        <w:tab/>
        <w:t>Committees</w:t>
      </w:r>
      <w:bookmarkEnd w:id="841"/>
    </w:p>
    <w:p w14:paraId="7EF5847C" w14:textId="77777777" w:rsidR="00DB6E47" w:rsidRPr="007E1F9A" w:rsidRDefault="00DB6E47" w:rsidP="00DB6E47">
      <w:pPr>
        <w:pStyle w:val="AH5Sec"/>
      </w:pPr>
      <w:bookmarkStart w:id="842" w:name="_Toc83626186"/>
      <w:r w:rsidRPr="005E03F7">
        <w:rPr>
          <w:rStyle w:val="CharSectNo"/>
        </w:rPr>
        <w:t>680</w:t>
      </w:r>
      <w:r w:rsidRPr="007E1F9A">
        <w:tab/>
      </w:r>
      <w:r w:rsidRPr="007E1F9A">
        <w:rPr>
          <w:rFonts w:ascii="Helvetica" w:hAnsi="Helvetica" w:cs="Helvetica"/>
        </w:rPr>
        <w:t>Committees</w:t>
      </w:r>
      <w:bookmarkEnd w:id="842"/>
    </w:p>
    <w:p w14:paraId="2BE89251" w14:textId="77777777" w:rsidR="00DB6E47" w:rsidRPr="002F157F" w:rsidRDefault="00DB6E47" w:rsidP="00DB6E47">
      <w:pPr>
        <w:pStyle w:val="Amain"/>
      </w:pPr>
      <w:r w:rsidRPr="002F157F">
        <w:tab/>
        <w:t>(1)</w:t>
      </w:r>
      <w:r w:rsidRPr="002F157F">
        <w:tab/>
        <w:t>The Board may establish committees to assist the Board in exercising its functions.</w:t>
      </w:r>
    </w:p>
    <w:p w14:paraId="1441FE47" w14:textId="77777777" w:rsidR="00DB6E47" w:rsidRPr="002F157F" w:rsidRDefault="00DB6E47" w:rsidP="00DB6E47">
      <w:pPr>
        <w:pStyle w:val="Amain"/>
      </w:pPr>
      <w:r w:rsidRPr="002F157F">
        <w:tab/>
        <w:t>(2)</w:t>
      </w:r>
      <w:r w:rsidRPr="002F157F">
        <w:tab/>
        <w:t>The members of a committee need not be members of the Board.</w:t>
      </w:r>
    </w:p>
    <w:p w14:paraId="42C49CE5" w14:textId="77777777" w:rsidR="00DB6E47" w:rsidRPr="002F157F" w:rsidRDefault="00DB6E47" w:rsidP="00DB6E47">
      <w:pPr>
        <w:pStyle w:val="Amain"/>
      </w:pPr>
      <w:r w:rsidRPr="002F157F">
        <w:tab/>
        <w:t>(3)</w:t>
      </w:r>
      <w:r w:rsidRPr="002F157F">
        <w:tab/>
        <w:t>A member of a committee is appointed on the terms and conditions the Board considers appropriate, including terms about remuneration.</w:t>
      </w:r>
    </w:p>
    <w:p w14:paraId="0BC3D263" w14:textId="77777777" w:rsidR="00DB6E47" w:rsidRPr="002F157F" w:rsidRDefault="00DB6E47" w:rsidP="00DB6E47">
      <w:pPr>
        <w:pStyle w:val="Amain"/>
      </w:pPr>
      <w:r w:rsidRPr="002F157F">
        <w:tab/>
        <w:t>(4)</w:t>
      </w:r>
      <w:r w:rsidRPr="002F157F">
        <w:tab/>
        <w:t>The procedure for the calling of meetings of a committee and for the conduct of business at the meetings may be decided by the Board or, subject to any decision of the Board, by the committee.</w:t>
      </w:r>
    </w:p>
    <w:p w14:paraId="726AE798" w14:textId="77777777" w:rsidR="00DB6E47" w:rsidRPr="005E03F7" w:rsidRDefault="00DB6E47" w:rsidP="00DB6E47">
      <w:pPr>
        <w:pStyle w:val="AH3Div"/>
      </w:pPr>
      <w:bookmarkStart w:id="843" w:name="_Toc83626187"/>
      <w:r w:rsidRPr="005E03F7">
        <w:rPr>
          <w:rStyle w:val="CharDivNo"/>
        </w:rPr>
        <w:t xml:space="preserve">Division 3 </w:t>
      </w:r>
      <w:r w:rsidRPr="007E1F9A">
        <w:tab/>
      </w:r>
      <w:r w:rsidRPr="005E03F7">
        <w:rPr>
          <w:rStyle w:val="CharDivText"/>
        </w:rPr>
        <w:t>Chief executive officer</w:t>
      </w:r>
      <w:bookmarkEnd w:id="843"/>
    </w:p>
    <w:p w14:paraId="0A43A4F0" w14:textId="77777777" w:rsidR="00DB6E47" w:rsidRPr="007E1F9A" w:rsidRDefault="00DB6E47" w:rsidP="00DB6E47">
      <w:pPr>
        <w:pStyle w:val="AH5Sec"/>
      </w:pPr>
      <w:bookmarkStart w:id="844" w:name="_Toc83626188"/>
      <w:r w:rsidRPr="005E03F7">
        <w:rPr>
          <w:rStyle w:val="CharSectNo"/>
        </w:rPr>
        <w:t>681</w:t>
      </w:r>
      <w:r w:rsidRPr="007E1F9A">
        <w:tab/>
      </w:r>
      <w:r w:rsidRPr="007E1F9A">
        <w:rPr>
          <w:rFonts w:ascii="Helvetica" w:hAnsi="Helvetica" w:cs="Helvetica"/>
        </w:rPr>
        <w:t>Chief executive officer</w:t>
      </w:r>
      <w:bookmarkEnd w:id="844"/>
    </w:p>
    <w:p w14:paraId="601B4242" w14:textId="77777777" w:rsidR="00DB6E47" w:rsidRPr="002F157F" w:rsidRDefault="00DB6E47" w:rsidP="00DB6E47">
      <w:pPr>
        <w:pStyle w:val="Amain"/>
      </w:pPr>
      <w:r w:rsidRPr="002F157F">
        <w:tab/>
        <w:t>(1)</w:t>
      </w:r>
      <w:r w:rsidRPr="002F157F">
        <w:tab/>
        <w:t>There is to be a chief executive officer of the Regulator.</w:t>
      </w:r>
    </w:p>
    <w:p w14:paraId="10C9CB3A" w14:textId="77777777" w:rsidR="00DB6E47" w:rsidRPr="002F157F" w:rsidRDefault="00DB6E47" w:rsidP="00DB6E47">
      <w:pPr>
        <w:pStyle w:val="Amain"/>
      </w:pPr>
      <w:r w:rsidRPr="002F157F">
        <w:tab/>
        <w:t>(2)</w:t>
      </w:r>
      <w:r w:rsidRPr="002F157F">
        <w:tab/>
        <w:t>The chief executive officer is to be appointed by the Board.</w:t>
      </w:r>
    </w:p>
    <w:p w14:paraId="28861D1B" w14:textId="77777777" w:rsidR="00DB6E47" w:rsidRPr="002F157F" w:rsidRDefault="00DB6E47" w:rsidP="00DB6E47">
      <w:pPr>
        <w:pStyle w:val="Amain"/>
      </w:pPr>
      <w:r w:rsidRPr="002F157F">
        <w:tab/>
        <w:t>(3)</w:t>
      </w:r>
      <w:r w:rsidRPr="002F157F">
        <w:tab/>
        <w:t>The chief executive officer is to be appointed for a period, not more than 5 years, specified in the officer’s instrument of appointment.</w:t>
      </w:r>
    </w:p>
    <w:p w14:paraId="3C174EA7" w14:textId="77777777" w:rsidR="00DB6E47" w:rsidRPr="002F157F" w:rsidRDefault="00DB6E47" w:rsidP="00DB6E47">
      <w:pPr>
        <w:pStyle w:val="Amain"/>
      </w:pPr>
      <w:r w:rsidRPr="002F157F">
        <w:lastRenderedPageBreak/>
        <w:tab/>
        <w:t>(4)</w:t>
      </w:r>
      <w:r w:rsidRPr="002F157F">
        <w:tab/>
        <w:t>The chief executive officer is eligible for re-appointment.</w:t>
      </w:r>
    </w:p>
    <w:p w14:paraId="65313F32" w14:textId="77777777" w:rsidR="00DB6E47" w:rsidRPr="002F157F" w:rsidRDefault="00DB6E47" w:rsidP="00DB6E47">
      <w:pPr>
        <w:pStyle w:val="Amain"/>
      </w:pPr>
      <w:r w:rsidRPr="002F157F">
        <w:tab/>
        <w:t>(5)</w:t>
      </w:r>
      <w:r w:rsidRPr="002F157F">
        <w:tab/>
        <w:t>The chief executive officer is taken, while holding that office, to be a member of the staff of the Regulator.</w:t>
      </w:r>
    </w:p>
    <w:p w14:paraId="2D525BE6" w14:textId="77777777" w:rsidR="00DB6E47" w:rsidRPr="007E1F9A" w:rsidRDefault="00DB6E47" w:rsidP="00DB6E47">
      <w:pPr>
        <w:pStyle w:val="AH5Sec"/>
      </w:pPr>
      <w:bookmarkStart w:id="845" w:name="_Toc83626189"/>
      <w:r w:rsidRPr="005E03F7">
        <w:rPr>
          <w:rStyle w:val="CharSectNo"/>
        </w:rPr>
        <w:t>682</w:t>
      </w:r>
      <w:r w:rsidRPr="007E1F9A">
        <w:tab/>
      </w:r>
      <w:r w:rsidRPr="007E1F9A">
        <w:rPr>
          <w:rFonts w:ascii="Helvetica" w:hAnsi="Helvetica" w:cs="Helvetica"/>
        </w:rPr>
        <w:t>Functions of chief executive officer</w:t>
      </w:r>
      <w:bookmarkEnd w:id="845"/>
    </w:p>
    <w:p w14:paraId="4B9C4E43" w14:textId="77777777" w:rsidR="00DB6E47" w:rsidRPr="002F157F" w:rsidRDefault="00DB6E47" w:rsidP="00DB6E47">
      <w:pPr>
        <w:pStyle w:val="Amainreturn"/>
      </w:pPr>
      <w:r w:rsidRPr="002F157F">
        <w:t>The chief executive officer of the Regulator—</w:t>
      </w:r>
    </w:p>
    <w:p w14:paraId="467333A9" w14:textId="77777777" w:rsidR="00DB6E47" w:rsidRPr="00544ED5" w:rsidRDefault="00DB6E47" w:rsidP="00DB6E47">
      <w:pPr>
        <w:pStyle w:val="Apara"/>
      </w:pPr>
      <w:r w:rsidRPr="00544ED5">
        <w:tab/>
        <w:t>(a)</w:t>
      </w:r>
      <w:r w:rsidRPr="00544ED5">
        <w:tab/>
        <w:t>is responsible for the day-to-day management of the Regulator; and</w:t>
      </w:r>
    </w:p>
    <w:p w14:paraId="4C91B3A2" w14:textId="77777777" w:rsidR="00DB6E47" w:rsidRPr="00544ED5" w:rsidRDefault="00DB6E47" w:rsidP="00DB6E47">
      <w:pPr>
        <w:pStyle w:val="Apara"/>
      </w:pPr>
      <w:r w:rsidRPr="00544ED5">
        <w:tab/>
        <w:t>(b)</w:t>
      </w:r>
      <w:r w:rsidRPr="00544ED5">
        <w:tab/>
        <w:t>has any other functions conferred on the chief executive officer by the Board.</w:t>
      </w:r>
    </w:p>
    <w:p w14:paraId="0CA53482" w14:textId="77777777" w:rsidR="00DB6E47" w:rsidRPr="007E1F9A" w:rsidRDefault="00DB6E47" w:rsidP="00DB6E47">
      <w:pPr>
        <w:pStyle w:val="AH5Sec"/>
      </w:pPr>
      <w:bookmarkStart w:id="846" w:name="_Toc83626190"/>
      <w:r w:rsidRPr="005E03F7">
        <w:rPr>
          <w:rStyle w:val="CharSectNo"/>
        </w:rPr>
        <w:t>683</w:t>
      </w:r>
      <w:r w:rsidRPr="007E1F9A">
        <w:tab/>
      </w:r>
      <w:r w:rsidRPr="007E1F9A">
        <w:rPr>
          <w:rFonts w:ascii="Helvetica" w:hAnsi="Helvetica" w:cs="Helvetica"/>
        </w:rPr>
        <w:t>Delegation by chief executive officer</w:t>
      </w:r>
      <w:bookmarkEnd w:id="846"/>
    </w:p>
    <w:p w14:paraId="38DC0CDC" w14:textId="77777777" w:rsidR="00DB6E47" w:rsidRPr="002F157F" w:rsidRDefault="00DB6E47" w:rsidP="00DB6E47">
      <w:pPr>
        <w:pStyle w:val="Amainreturn"/>
      </w:pPr>
      <w:r w:rsidRPr="002F157F">
        <w:t>The chief executive officer of the Regulator may delegate any of the functions conferred on the officer, other than this power of delegation, to—</w:t>
      </w:r>
    </w:p>
    <w:p w14:paraId="6CE61F26" w14:textId="77777777" w:rsidR="00DB6E47" w:rsidRPr="00544ED5" w:rsidRDefault="00DB6E47" w:rsidP="00DB6E47">
      <w:pPr>
        <w:pStyle w:val="Apara"/>
      </w:pPr>
      <w:r w:rsidRPr="00544ED5">
        <w:tab/>
        <w:t>(a)</w:t>
      </w:r>
      <w:r w:rsidRPr="00544ED5">
        <w:tab/>
        <w:t>an appropriately qualified member of the staff of the Regulator; or</w:t>
      </w:r>
    </w:p>
    <w:p w14:paraId="5345DCBB" w14:textId="77777777" w:rsidR="00DB6E47" w:rsidRPr="00544ED5" w:rsidRDefault="00DB6E47" w:rsidP="00DB6E47">
      <w:pPr>
        <w:pStyle w:val="Apara"/>
      </w:pPr>
      <w:r w:rsidRPr="00544ED5">
        <w:tab/>
        <w:t>(b)</w:t>
      </w:r>
      <w:r w:rsidRPr="00544ED5">
        <w:tab/>
        <w:t>the chief executive of an entity, or a department of government, of a participating jurisdiction.</w:t>
      </w:r>
    </w:p>
    <w:p w14:paraId="3A31C960" w14:textId="77777777" w:rsidR="00DB6E47" w:rsidRPr="005E03F7" w:rsidRDefault="00DB6E47" w:rsidP="00DB6E47">
      <w:pPr>
        <w:pStyle w:val="AH3Div"/>
      </w:pPr>
      <w:bookmarkStart w:id="847" w:name="_Toc83626191"/>
      <w:r w:rsidRPr="005E03F7">
        <w:rPr>
          <w:rStyle w:val="CharDivNo"/>
        </w:rPr>
        <w:t xml:space="preserve">Division 4 </w:t>
      </w:r>
      <w:r w:rsidRPr="007E1F9A">
        <w:tab/>
      </w:r>
      <w:r w:rsidRPr="005E03F7">
        <w:rPr>
          <w:rStyle w:val="CharDivText"/>
        </w:rPr>
        <w:t>Staff</w:t>
      </w:r>
      <w:bookmarkEnd w:id="847"/>
    </w:p>
    <w:p w14:paraId="230740BE" w14:textId="77777777" w:rsidR="00DB6E47" w:rsidRPr="007E1F9A" w:rsidRDefault="00DB6E47" w:rsidP="00DB6E47">
      <w:pPr>
        <w:pStyle w:val="AH5Sec"/>
      </w:pPr>
      <w:bookmarkStart w:id="848" w:name="_Toc83626192"/>
      <w:r w:rsidRPr="005E03F7">
        <w:rPr>
          <w:rStyle w:val="CharSectNo"/>
        </w:rPr>
        <w:t>684</w:t>
      </w:r>
      <w:r w:rsidRPr="007E1F9A">
        <w:tab/>
      </w:r>
      <w:r w:rsidRPr="007E1F9A">
        <w:rPr>
          <w:rFonts w:ascii="Helvetica" w:hAnsi="Helvetica" w:cs="Helvetica"/>
        </w:rPr>
        <w:t>Staff</w:t>
      </w:r>
      <w:bookmarkEnd w:id="848"/>
    </w:p>
    <w:p w14:paraId="684B7CD5" w14:textId="77777777" w:rsidR="00DB6E47" w:rsidRPr="002F157F" w:rsidRDefault="00DB6E47" w:rsidP="00DB6E47">
      <w:pPr>
        <w:pStyle w:val="Amain"/>
      </w:pPr>
      <w:r w:rsidRPr="002F157F">
        <w:tab/>
        <w:t>(1)</w:t>
      </w:r>
      <w:r w:rsidRPr="002F157F">
        <w:tab/>
        <w:t>The Regulator may, for the purpose of exercising its functions, employ staff.</w:t>
      </w:r>
    </w:p>
    <w:p w14:paraId="3300DFFB" w14:textId="77777777" w:rsidR="00DB6E47" w:rsidRPr="002F157F" w:rsidRDefault="00DB6E47" w:rsidP="00DB6E47">
      <w:pPr>
        <w:pStyle w:val="Amain"/>
      </w:pPr>
      <w:r w:rsidRPr="002F157F">
        <w:tab/>
        <w:t>(2)</w:t>
      </w:r>
      <w:r w:rsidRPr="002F157F">
        <w:tab/>
        <w:t>The staff of the Regulator are to be employed on the terms and conditions decided by the Regulator from time to time.</w:t>
      </w:r>
    </w:p>
    <w:p w14:paraId="439D698A" w14:textId="77777777" w:rsidR="00DB6E47" w:rsidRPr="002F157F" w:rsidRDefault="008B0570" w:rsidP="00DB6E47">
      <w:pPr>
        <w:pStyle w:val="Amain"/>
      </w:pPr>
      <w:r>
        <w:tab/>
        <w:t>(3)</w:t>
      </w:r>
      <w:r>
        <w:tab/>
        <w:t xml:space="preserve">Subsection </w:t>
      </w:r>
      <w:r w:rsidR="00DB6E47" w:rsidRPr="002F157F">
        <w:t>(2)</w:t>
      </w:r>
      <w:r>
        <w:t xml:space="preserve"> </w:t>
      </w:r>
      <w:r w:rsidR="00DB6E47" w:rsidRPr="002F157F">
        <w:t>is subject to any relevant industrial award or agreement that applies to the staff.</w:t>
      </w:r>
    </w:p>
    <w:p w14:paraId="08E6A64F" w14:textId="77777777" w:rsidR="00DB6E47" w:rsidRPr="007E1F9A" w:rsidRDefault="00DB6E47" w:rsidP="00DB6E47">
      <w:pPr>
        <w:pStyle w:val="AH5Sec"/>
      </w:pPr>
      <w:bookmarkStart w:id="849" w:name="_Toc83626193"/>
      <w:r w:rsidRPr="005E03F7">
        <w:rPr>
          <w:rStyle w:val="CharSectNo"/>
        </w:rPr>
        <w:lastRenderedPageBreak/>
        <w:t>685</w:t>
      </w:r>
      <w:r w:rsidRPr="007E1F9A">
        <w:tab/>
      </w:r>
      <w:r w:rsidRPr="007E1F9A">
        <w:rPr>
          <w:rFonts w:ascii="Helvetica" w:hAnsi="Helvetica" w:cs="Helvetica"/>
        </w:rPr>
        <w:t>Staff seconded to Regulator</w:t>
      </w:r>
      <w:bookmarkEnd w:id="849"/>
    </w:p>
    <w:p w14:paraId="1386C9A4" w14:textId="77777777" w:rsidR="00DB6E47" w:rsidRPr="002F157F" w:rsidRDefault="00DB6E47" w:rsidP="00DB6E47">
      <w:pPr>
        <w:pStyle w:val="Amainreturn"/>
      </w:pPr>
      <w:r w:rsidRPr="002F157F">
        <w:t>The Regulator may make arrangements for the services of any of the following persons to be made available to the Regulator in connection with the exercise of its functions—</w:t>
      </w:r>
    </w:p>
    <w:p w14:paraId="34F2611C" w14:textId="77777777" w:rsidR="00DB6E47" w:rsidRPr="00544ED5" w:rsidRDefault="00DB6E47" w:rsidP="00DB6E47">
      <w:pPr>
        <w:pStyle w:val="Apara"/>
      </w:pPr>
      <w:r w:rsidRPr="00544ED5">
        <w:tab/>
        <w:t>(a)</w:t>
      </w:r>
      <w:r w:rsidRPr="00544ED5">
        <w:tab/>
        <w:t>a member of the staff of a government agency of the Commonwealth, a State or a Territory;</w:t>
      </w:r>
    </w:p>
    <w:p w14:paraId="5184426B" w14:textId="77777777" w:rsidR="00DB6E47" w:rsidRPr="00544ED5" w:rsidRDefault="00DB6E47" w:rsidP="00DB6E47">
      <w:pPr>
        <w:pStyle w:val="Apara"/>
      </w:pPr>
      <w:r w:rsidRPr="00544ED5">
        <w:tab/>
        <w:t>(b)</w:t>
      </w:r>
      <w:r w:rsidRPr="00544ED5">
        <w:tab/>
        <w:t>a member of the staff of a local government authority.</w:t>
      </w:r>
    </w:p>
    <w:p w14:paraId="59F4D524" w14:textId="77777777" w:rsidR="00DB6E47" w:rsidRPr="007E1F9A" w:rsidRDefault="00DB6E47" w:rsidP="00DB6E47">
      <w:pPr>
        <w:pStyle w:val="AH5Sec"/>
      </w:pPr>
      <w:bookmarkStart w:id="850" w:name="_Toc83626194"/>
      <w:r w:rsidRPr="005E03F7">
        <w:rPr>
          <w:rStyle w:val="CharSectNo"/>
        </w:rPr>
        <w:t>686</w:t>
      </w:r>
      <w:r w:rsidRPr="007E1F9A">
        <w:tab/>
      </w:r>
      <w:r w:rsidRPr="007E1F9A">
        <w:rPr>
          <w:rFonts w:ascii="Helvetica" w:hAnsi="Helvetica" w:cs="Helvetica"/>
        </w:rPr>
        <w:t>Consultants and contractors</w:t>
      </w:r>
      <w:bookmarkEnd w:id="850"/>
    </w:p>
    <w:p w14:paraId="20A1B0DA" w14:textId="77777777" w:rsidR="00DB6E47" w:rsidRPr="002F157F" w:rsidRDefault="00DB6E47" w:rsidP="00EE2BFD">
      <w:pPr>
        <w:pStyle w:val="Amain"/>
        <w:keepNext/>
      </w:pPr>
      <w:r w:rsidRPr="002F157F">
        <w:tab/>
        <w:t>(1)</w:t>
      </w:r>
      <w:r w:rsidRPr="002F157F">
        <w:tab/>
        <w:t>The Regulator may engage persons with suitable qualifications and experience as consultants or contractors.</w:t>
      </w:r>
    </w:p>
    <w:p w14:paraId="760A6ED0" w14:textId="77777777" w:rsidR="00DB6E47" w:rsidRDefault="00DB6E47" w:rsidP="00DB6E47">
      <w:pPr>
        <w:pStyle w:val="Amain"/>
      </w:pPr>
      <w:r w:rsidRPr="002F157F">
        <w:tab/>
        <w:t>(2)</w:t>
      </w:r>
      <w:r w:rsidRPr="002F157F">
        <w:tab/>
        <w:t>The terms and conditions of engagement of consultants or contractors are as decided by the Regulator from time to time.</w:t>
      </w:r>
    </w:p>
    <w:p w14:paraId="094A16AE" w14:textId="77777777" w:rsidR="002C2BD9" w:rsidRPr="002C2BD9" w:rsidRDefault="002C2BD9" w:rsidP="002C2BD9">
      <w:pPr>
        <w:pStyle w:val="PageBreak"/>
      </w:pPr>
      <w:r w:rsidRPr="002C2BD9">
        <w:br w:type="page"/>
      </w:r>
    </w:p>
    <w:p w14:paraId="7A54C116" w14:textId="77777777" w:rsidR="002C2BD9" w:rsidRPr="005E03F7" w:rsidRDefault="002C2BD9" w:rsidP="002C2BD9">
      <w:pPr>
        <w:pStyle w:val="AH2Part"/>
      </w:pPr>
      <w:bookmarkStart w:id="851" w:name="_Toc83626195"/>
      <w:r w:rsidRPr="005E03F7">
        <w:rPr>
          <w:rStyle w:val="CharPartNo"/>
        </w:rPr>
        <w:lastRenderedPageBreak/>
        <w:t>Part 12.2A</w:t>
      </w:r>
      <w:r w:rsidRPr="002C2BD9">
        <w:tab/>
      </w:r>
      <w:r w:rsidRPr="005E03F7">
        <w:rPr>
          <w:rStyle w:val="CharPartText"/>
        </w:rPr>
        <w:t>Database of heavy vehicles</w:t>
      </w:r>
      <w:bookmarkEnd w:id="851"/>
    </w:p>
    <w:p w14:paraId="20806BD2" w14:textId="77777777" w:rsidR="00EE2BFD" w:rsidRDefault="00EE2BFD" w:rsidP="00EE2BFD">
      <w:pPr>
        <w:pStyle w:val="Placeholder"/>
        <w:suppressLineNumbers/>
      </w:pPr>
      <w:r>
        <w:rPr>
          <w:rStyle w:val="CharDivNo"/>
          <w:rFonts w:eastAsiaTheme="minorEastAsia"/>
        </w:rPr>
        <w:t xml:space="preserve">  </w:t>
      </w:r>
      <w:r>
        <w:rPr>
          <w:rStyle w:val="CharDivText"/>
        </w:rPr>
        <w:t xml:space="preserve">  </w:t>
      </w:r>
    </w:p>
    <w:p w14:paraId="79B51075" w14:textId="77777777" w:rsidR="002C2BD9" w:rsidRDefault="002C2BD9" w:rsidP="002C2BD9">
      <w:pPr>
        <w:pStyle w:val="AH5Sec"/>
      </w:pPr>
      <w:bookmarkStart w:id="852" w:name="_Toc83626196"/>
      <w:r w:rsidRPr="005E03F7">
        <w:rPr>
          <w:rStyle w:val="CharSectNo"/>
        </w:rPr>
        <w:t>686A</w:t>
      </w:r>
      <w:r>
        <w:tab/>
        <w:t>Database of heavy vehicles</w:t>
      </w:r>
      <w:bookmarkEnd w:id="852"/>
    </w:p>
    <w:p w14:paraId="3245490C" w14:textId="77777777" w:rsidR="002C2BD9" w:rsidRPr="002C2BD9" w:rsidRDefault="002C2BD9" w:rsidP="002C2BD9">
      <w:pPr>
        <w:pStyle w:val="Amain"/>
        <w:rPr>
          <w:lang w:val="en" w:eastAsia="en-AU"/>
        </w:rPr>
      </w:pPr>
      <w:r>
        <w:rPr>
          <w:lang w:val="en" w:eastAsia="en-AU"/>
        </w:rPr>
        <w:tab/>
      </w:r>
      <w:r w:rsidRPr="002C2BD9">
        <w:rPr>
          <w:lang w:val="en" w:eastAsia="en-AU"/>
        </w:rPr>
        <w:t>(1)</w:t>
      </w:r>
      <w:r>
        <w:rPr>
          <w:lang w:val="en" w:eastAsia="en-AU"/>
        </w:rPr>
        <w:tab/>
      </w:r>
      <w:r w:rsidRPr="002C2BD9">
        <w:rPr>
          <w:lang w:val="en" w:eastAsia="en-AU"/>
        </w:rPr>
        <w:t>The Regulator must keep a database of heavy vehicles that enables the identification of a heavy vehicle registered under a law of a participating jurisdiction and the registered operator of the vehicle.</w:t>
      </w:r>
    </w:p>
    <w:p w14:paraId="2710249B" w14:textId="77777777" w:rsidR="002C2BD9" w:rsidRPr="002C2BD9" w:rsidRDefault="002C2BD9" w:rsidP="002C2BD9">
      <w:pPr>
        <w:pStyle w:val="Amain"/>
        <w:rPr>
          <w:lang w:val="en" w:eastAsia="en-AU"/>
        </w:rPr>
      </w:pPr>
      <w:r>
        <w:rPr>
          <w:lang w:val="en" w:eastAsia="en-AU"/>
        </w:rPr>
        <w:tab/>
      </w:r>
      <w:r w:rsidRPr="002C2BD9">
        <w:rPr>
          <w:lang w:val="en" w:eastAsia="en-AU"/>
        </w:rPr>
        <w:t>(2)</w:t>
      </w:r>
      <w:r>
        <w:rPr>
          <w:lang w:val="en" w:eastAsia="en-AU"/>
        </w:rPr>
        <w:tab/>
      </w:r>
      <w:r w:rsidRPr="002C2BD9">
        <w:rPr>
          <w:lang w:val="en" w:eastAsia="en-AU"/>
        </w:rPr>
        <w:t>The database of heavy vehicles must—</w:t>
      </w:r>
    </w:p>
    <w:p w14:paraId="31592095" w14:textId="77777777" w:rsidR="002C2BD9" w:rsidRPr="002C2BD9" w:rsidRDefault="002C2BD9" w:rsidP="002C2BD9">
      <w:pPr>
        <w:pStyle w:val="Apara"/>
        <w:rPr>
          <w:lang w:val="en" w:eastAsia="en-AU"/>
        </w:rPr>
      </w:pPr>
      <w:r>
        <w:rPr>
          <w:lang w:val="en" w:eastAsia="en-AU"/>
        </w:rPr>
        <w:tab/>
      </w:r>
      <w:r w:rsidRPr="002C2BD9">
        <w:rPr>
          <w:lang w:val="en" w:eastAsia="en-AU"/>
        </w:rPr>
        <w:t>(a)</w:t>
      </w:r>
      <w:r>
        <w:rPr>
          <w:lang w:val="en" w:eastAsia="en-AU"/>
        </w:rPr>
        <w:tab/>
      </w:r>
      <w:r w:rsidRPr="002C2BD9">
        <w:rPr>
          <w:lang w:val="en" w:eastAsia="en-AU"/>
        </w:rPr>
        <w:t>be kept in the way prescribed by the national regulations; and</w:t>
      </w:r>
    </w:p>
    <w:p w14:paraId="4343B88A" w14:textId="77777777" w:rsidR="002C2BD9" w:rsidRPr="002C2BD9" w:rsidRDefault="002C2BD9" w:rsidP="002C2BD9">
      <w:pPr>
        <w:pStyle w:val="Apara"/>
        <w:rPr>
          <w:lang w:val="en" w:eastAsia="en-AU"/>
        </w:rPr>
      </w:pPr>
      <w:r>
        <w:rPr>
          <w:lang w:val="en" w:eastAsia="en-AU"/>
        </w:rPr>
        <w:tab/>
      </w:r>
      <w:r w:rsidRPr="002C2BD9">
        <w:rPr>
          <w:lang w:val="en" w:eastAsia="en-AU"/>
        </w:rPr>
        <w:t>(b)</w:t>
      </w:r>
      <w:r>
        <w:rPr>
          <w:lang w:val="en" w:eastAsia="en-AU"/>
        </w:rPr>
        <w:tab/>
      </w:r>
      <w:r w:rsidRPr="002C2BD9">
        <w:rPr>
          <w:lang w:val="en" w:eastAsia="en-AU"/>
        </w:rPr>
        <w:t>contain the information prescribed by the national regulations.</w:t>
      </w:r>
    </w:p>
    <w:p w14:paraId="180B59C1" w14:textId="77777777" w:rsidR="002C2BD9" w:rsidRPr="002C2BD9" w:rsidRDefault="002C2BD9" w:rsidP="002C2BD9">
      <w:pPr>
        <w:pStyle w:val="Amain"/>
        <w:rPr>
          <w:lang w:val="en" w:eastAsia="en-AU"/>
        </w:rPr>
      </w:pPr>
      <w:r>
        <w:rPr>
          <w:lang w:val="en" w:eastAsia="en-AU"/>
        </w:rPr>
        <w:tab/>
      </w:r>
      <w:r w:rsidRPr="002C2BD9">
        <w:rPr>
          <w:lang w:val="en" w:eastAsia="en-AU"/>
        </w:rPr>
        <w:t>(3)</w:t>
      </w:r>
      <w:r>
        <w:rPr>
          <w:lang w:val="en" w:eastAsia="en-AU"/>
        </w:rPr>
        <w:tab/>
      </w:r>
      <w:r w:rsidRPr="002C2BD9">
        <w:rPr>
          <w:lang w:val="en" w:eastAsia="en-AU"/>
        </w:rPr>
        <w:t>The Regulator may include in the database of heavy vehicles other information the Regulator considers relevant to the objects of this Law, including information given by another Australian jurisdiction to the Regulator</w:t>
      </w:r>
      <w:r w:rsidR="00A050C5">
        <w:rPr>
          <w:lang w:val="en" w:eastAsia="en-AU"/>
        </w:rPr>
        <w:t>.</w:t>
      </w:r>
    </w:p>
    <w:p w14:paraId="067F0FDE" w14:textId="77777777" w:rsidR="002C2BD9" w:rsidRPr="002C2BD9" w:rsidRDefault="002C2BD9" w:rsidP="002C2BD9">
      <w:pPr>
        <w:pStyle w:val="Amain"/>
        <w:rPr>
          <w:lang w:val="en" w:eastAsia="en-AU"/>
        </w:rPr>
      </w:pPr>
      <w:r>
        <w:rPr>
          <w:lang w:val="en" w:eastAsia="en-AU"/>
        </w:rPr>
        <w:tab/>
      </w:r>
      <w:r w:rsidRPr="002C2BD9">
        <w:rPr>
          <w:lang w:val="en" w:eastAsia="en-AU"/>
        </w:rPr>
        <w:t>(4)</w:t>
      </w:r>
      <w:r>
        <w:rPr>
          <w:lang w:val="en" w:eastAsia="en-AU"/>
        </w:rPr>
        <w:tab/>
      </w:r>
      <w:r w:rsidRPr="002C2BD9">
        <w:rPr>
          <w:lang w:val="en" w:eastAsia="en-AU"/>
        </w:rPr>
        <w:t>The Regulator may require a registration authority that registers a heavy vehicle under a law of a participating jurisdiction to give the Regulator the information prescribed under subsection (2)(b) as soon as reasonably practicable after the registration authority receives the information.</w:t>
      </w:r>
    </w:p>
    <w:p w14:paraId="53906774" w14:textId="77777777" w:rsidR="002C2BD9" w:rsidRPr="002C2BD9" w:rsidRDefault="002C2BD9" w:rsidP="002C2BD9">
      <w:pPr>
        <w:pStyle w:val="Amain"/>
        <w:rPr>
          <w:lang w:val="en" w:eastAsia="en-AU"/>
        </w:rPr>
      </w:pPr>
      <w:r>
        <w:rPr>
          <w:lang w:val="en" w:eastAsia="en-AU"/>
        </w:rPr>
        <w:tab/>
      </w:r>
      <w:r w:rsidRPr="002C2BD9">
        <w:rPr>
          <w:lang w:val="en" w:eastAsia="en-AU"/>
        </w:rPr>
        <w:t>(5)</w:t>
      </w:r>
      <w:r>
        <w:rPr>
          <w:lang w:val="en" w:eastAsia="en-AU"/>
        </w:rPr>
        <w:tab/>
      </w:r>
      <w:r w:rsidRPr="002C2BD9">
        <w:rPr>
          <w:lang w:val="en" w:eastAsia="en-AU"/>
        </w:rPr>
        <w:t>If the registration authority becomes aware of a change to the information given to the Regulator under subsection (4), the registration authority must, as soon as reasonably practicable after becoming aware of the change, notify the Regulator of the change.</w:t>
      </w:r>
    </w:p>
    <w:p w14:paraId="65DDA2A2" w14:textId="77777777" w:rsidR="006278A9" w:rsidRPr="006278A9" w:rsidRDefault="006278A9" w:rsidP="006278A9">
      <w:pPr>
        <w:pStyle w:val="AH5Sec"/>
      </w:pPr>
      <w:bookmarkStart w:id="853" w:name="_Toc83626197"/>
      <w:r w:rsidRPr="005E03F7">
        <w:rPr>
          <w:rStyle w:val="CharSectNo"/>
        </w:rPr>
        <w:lastRenderedPageBreak/>
        <w:t>686B</w:t>
      </w:r>
      <w:r w:rsidRPr="006278A9">
        <w:tab/>
        <w:t>Regulator may share information in database of heavy vehicles</w:t>
      </w:r>
      <w:bookmarkEnd w:id="853"/>
    </w:p>
    <w:p w14:paraId="02B5045C" w14:textId="77777777" w:rsidR="002C2BD9" w:rsidRDefault="006278A9" w:rsidP="00C26C5F">
      <w:pPr>
        <w:pStyle w:val="Amainreturn"/>
        <w:keepNext/>
      </w:pPr>
      <w:r>
        <w:rPr>
          <w:lang w:val="en"/>
        </w:rPr>
        <w:t>The Regulator may give information included in the database of heavy vehicles to—</w:t>
      </w:r>
    </w:p>
    <w:p w14:paraId="7574F949" w14:textId="77777777" w:rsidR="006278A9" w:rsidRPr="006278A9" w:rsidRDefault="006278A9" w:rsidP="00C26C5F">
      <w:pPr>
        <w:pStyle w:val="Apara"/>
        <w:keepNext/>
        <w:rPr>
          <w:lang w:val="en" w:eastAsia="en-AU"/>
        </w:rPr>
      </w:pPr>
      <w:r>
        <w:rPr>
          <w:lang w:val="en" w:eastAsia="en-AU"/>
        </w:rPr>
        <w:tab/>
      </w:r>
      <w:r w:rsidRPr="006278A9">
        <w:rPr>
          <w:lang w:val="en" w:eastAsia="en-AU"/>
        </w:rPr>
        <w:t>(a)</w:t>
      </w:r>
      <w:r>
        <w:rPr>
          <w:lang w:val="en" w:eastAsia="en-AU"/>
        </w:rPr>
        <w:tab/>
      </w:r>
      <w:r w:rsidRPr="006278A9">
        <w:rPr>
          <w:lang w:val="en" w:eastAsia="en-AU"/>
        </w:rPr>
        <w:t>a registration authority for a participating jurisdiction or another Australian jurisdiction; or</w:t>
      </w:r>
    </w:p>
    <w:p w14:paraId="238C6ABF" w14:textId="77777777" w:rsidR="006278A9" w:rsidRPr="006278A9" w:rsidRDefault="006278A9" w:rsidP="006278A9">
      <w:pPr>
        <w:pStyle w:val="Apara"/>
        <w:rPr>
          <w:lang w:val="en" w:eastAsia="en-AU"/>
        </w:rPr>
      </w:pPr>
      <w:r>
        <w:rPr>
          <w:lang w:val="en" w:eastAsia="en-AU"/>
        </w:rPr>
        <w:tab/>
      </w:r>
      <w:r w:rsidRPr="006278A9">
        <w:rPr>
          <w:lang w:val="en" w:eastAsia="en-AU"/>
        </w:rPr>
        <w:t>(b)</w:t>
      </w:r>
      <w:r>
        <w:rPr>
          <w:lang w:val="en" w:eastAsia="en-AU"/>
        </w:rPr>
        <w:tab/>
      </w:r>
      <w:r w:rsidRPr="006278A9">
        <w:rPr>
          <w:lang w:val="en" w:eastAsia="en-AU"/>
        </w:rPr>
        <w:t>a police force or police service for a participating jurisdiction or another Australian jurisdiction.</w:t>
      </w:r>
    </w:p>
    <w:p w14:paraId="5CE7EA4A" w14:textId="77777777" w:rsidR="00DB6E47" w:rsidRPr="003D647F" w:rsidRDefault="00DB6E47" w:rsidP="00DB6E47">
      <w:pPr>
        <w:pStyle w:val="PageBreak"/>
      </w:pPr>
      <w:r w:rsidRPr="003D647F">
        <w:br w:type="page"/>
      </w:r>
    </w:p>
    <w:p w14:paraId="48140EF8" w14:textId="77777777" w:rsidR="00DB6E47" w:rsidRPr="005E03F7" w:rsidRDefault="00DB6E47" w:rsidP="00DB6E47">
      <w:pPr>
        <w:pStyle w:val="AH2Part"/>
      </w:pPr>
      <w:bookmarkStart w:id="854" w:name="_Toc83626198"/>
      <w:r w:rsidRPr="005E03F7">
        <w:rPr>
          <w:rStyle w:val="CharPartNo"/>
        </w:rPr>
        <w:lastRenderedPageBreak/>
        <w:t>Part 12.3</w:t>
      </w:r>
      <w:r w:rsidRPr="00A95F9A">
        <w:rPr>
          <w:rFonts w:ascii="Helvetica" w:hAnsi="Helvetica" w:cs="Helvetica"/>
          <w:szCs w:val="32"/>
        </w:rPr>
        <w:tab/>
      </w:r>
      <w:r w:rsidRPr="005E03F7">
        <w:rPr>
          <w:rStyle w:val="CharPartText"/>
        </w:rPr>
        <w:t>Miscellaneous</w:t>
      </w:r>
      <w:bookmarkEnd w:id="854"/>
    </w:p>
    <w:p w14:paraId="448F2420" w14:textId="77777777" w:rsidR="00DB6E47" w:rsidRPr="005E03F7" w:rsidRDefault="00DB6E47" w:rsidP="00DB6E47">
      <w:pPr>
        <w:pStyle w:val="AH3Div"/>
      </w:pPr>
      <w:bookmarkStart w:id="855" w:name="_Toc83626199"/>
      <w:r w:rsidRPr="005E03F7">
        <w:rPr>
          <w:rStyle w:val="CharDivNo"/>
        </w:rPr>
        <w:t>Division 1</w:t>
      </w:r>
      <w:r w:rsidRPr="007E1F9A">
        <w:tab/>
      </w:r>
      <w:r w:rsidRPr="005E03F7">
        <w:rPr>
          <w:rStyle w:val="CharDivText"/>
        </w:rPr>
        <w:t>Finance</w:t>
      </w:r>
      <w:bookmarkEnd w:id="855"/>
    </w:p>
    <w:p w14:paraId="4269A5E8" w14:textId="77777777" w:rsidR="00DB6E47" w:rsidRPr="007E1F9A" w:rsidRDefault="00DB6E47" w:rsidP="00DB6E47">
      <w:pPr>
        <w:pStyle w:val="AH5Sec"/>
      </w:pPr>
      <w:bookmarkStart w:id="856" w:name="_Toc83626200"/>
      <w:r w:rsidRPr="005E03F7">
        <w:rPr>
          <w:rStyle w:val="CharSectNo"/>
        </w:rPr>
        <w:t>687</w:t>
      </w:r>
      <w:r w:rsidRPr="007E1F9A">
        <w:tab/>
      </w:r>
      <w:r w:rsidRPr="007E1F9A">
        <w:rPr>
          <w:rFonts w:ascii="Helvetica" w:hAnsi="Helvetica" w:cs="Helvetica"/>
        </w:rPr>
        <w:t>National Heavy Vehicle Regulator Fund</w:t>
      </w:r>
      <w:bookmarkEnd w:id="856"/>
    </w:p>
    <w:p w14:paraId="6A0E9DA7" w14:textId="77777777" w:rsidR="00DB6E47" w:rsidRPr="002F157F" w:rsidRDefault="00DB6E47" w:rsidP="00DB6E47">
      <w:pPr>
        <w:pStyle w:val="Amain"/>
      </w:pPr>
      <w:r w:rsidRPr="002F157F">
        <w:tab/>
        <w:t>(1)</w:t>
      </w:r>
      <w:r w:rsidRPr="002F157F">
        <w:tab/>
        <w:t>The National Heavy Vehicle Regulator Fund is established.</w:t>
      </w:r>
    </w:p>
    <w:p w14:paraId="4DC310D8" w14:textId="77777777" w:rsidR="00DB6E47" w:rsidRPr="002F157F" w:rsidRDefault="00DB6E47" w:rsidP="00DB6E47">
      <w:pPr>
        <w:pStyle w:val="Amain"/>
      </w:pPr>
      <w:r w:rsidRPr="002F157F">
        <w:tab/>
        <w:t>(2)</w:t>
      </w:r>
      <w:r w:rsidRPr="002F157F">
        <w:tab/>
        <w:t>The Fund is to be administered by the Regulator.</w:t>
      </w:r>
    </w:p>
    <w:p w14:paraId="4F6A0E00" w14:textId="77777777" w:rsidR="00DB6E47" w:rsidRPr="002F157F" w:rsidRDefault="00DB6E47" w:rsidP="00DB6E47">
      <w:pPr>
        <w:pStyle w:val="Amain"/>
      </w:pPr>
      <w:r w:rsidRPr="002F157F">
        <w:tab/>
        <w:t>(3)</w:t>
      </w:r>
      <w:r w:rsidRPr="002F157F">
        <w:tab/>
        <w:t>The Regulator may establish accounts with any financial institution for money in the Fund.</w:t>
      </w:r>
    </w:p>
    <w:p w14:paraId="32A8068B" w14:textId="77777777" w:rsidR="00DB6E47" w:rsidRPr="002F157F" w:rsidRDefault="00DB6E47" w:rsidP="00DB6E47">
      <w:pPr>
        <w:pStyle w:val="Amain"/>
      </w:pPr>
      <w:r w:rsidRPr="002F157F">
        <w:tab/>
        <w:t>(4)</w:t>
      </w:r>
      <w:r w:rsidRPr="002F157F">
        <w:tab/>
        <w:t>The Fund does not form part of the consolidated fund or consolidated account (however described) of a participating jurisdiction or the Commonwealth.</w:t>
      </w:r>
    </w:p>
    <w:p w14:paraId="730FD597" w14:textId="77777777" w:rsidR="00DB6E47" w:rsidRPr="007E1F9A" w:rsidRDefault="00DB6E47" w:rsidP="00DB6E47">
      <w:pPr>
        <w:pStyle w:val="AH5Sec"/>
      </w:pPr>
      <w:bookmarkStart w:id="857" w:name="_Toc83626201"/>
      <w:r w:rsidRPr="005E03F7">
        <w:rPr>
          <w:rStyle w:val="CharSectNo"/>
        </w:rPr>
        <w:t>688</w:t>
      </w:r>
      <w:r w:rsidRPr="007E1F9A">
        <w:tab/>
      </w:r>
      <w:r w:rsidRPr="007E1F9A">
        <w:rPr>
          <w:rFonts w:ascii="Helvetica" w:hAnsi="Helvetica" w:cs="Helvetica"/>
        </w:rPr>
        <w:t>Payments into Fund</w:t>
      </w:r>
      <w:bookmarkEnd w:id="857"/>
    </w:p>
    <w:p w14:paraId="4181EC8E" w14:textId="77777777" w:rsidR="00DB6E47" w:rsidRPr="002F157F" w:rsidRDefault="00DB6E47" w:rsidP="00DB6E47">
      <w:pPr>
        <w:pStyle w:val="Amain"/>
      </w:pPr>
      <w:r w:rsidRPr="002F157F">
        <w:tab/>
        <w:t>(1)</w:t>
      </w:r>
      <w:r w:rsidRPr="002F157F">
        <w:tab/>
        <w:t>There is payable into the Fund (except as provided by subsection</w:t>
      </w:r>
      <w:r w:rsidR="008B0570">
        <w:t> </w:t>
      </w:r>
      <w:r w:rsidRPr="002F157F">
        <w:t>(2))—</w:t>
      </w:r>
    </w:p>
    <w:p w14:paraId="305CD03D" w14:textId="77777777" w:rsidR="00DB6E47" w:rsidRPr="00544ED5" w:rsidRDefault="00DB6E47" w:rsidP="00DB6E47">
      <w:pPr>
        <w:pStyle w:val="Apara"/>
      </w:pPr>
      <w:r w:rsidRPr="00544ED5">
        <w:tab/>
        <w:t>(a)</w:t>
      </w:r>
      <w:r w:rsidRPr="00544ED5">
        <w:tab/>
        <w:t>all money appropriated by the Parliament of any participating jurisdiction or the Commonwealth for the purposes of the Fund; and</w:t>
      </w:r>
    </w:p>
    <w:p w14:paraId="73AD8707" w14:textId="77777777" w:rsidR="00DB6E47" w:rsidRPr="00544ED5" w:rsidRDefault="00DB6E47" w:rsidP="00DB6E47">
      <w:pPr>
        <w:pStyle w:val="Apara"/>
      </w:pPr>
      <w:r w:rsidRPr="00544ED5">
        <w:tab/>
        <w:t>(b)</w:t>
      </w:r>
      <w:r w:rsidRPr="00544ED5">
        <w:tab/>
        <w:t>all fees, charges, costs and expenses paid to or recovered by the Regulator under this Law; and</w:t>
      </w:r>
    </w:p>
    <w:p w14:paraId="632213B3" w14:textId="77777777" w:rsidR="00DB6E47" w:rsidRPr="00544ED5" w:rsidRDefault="00DB6E47" w:rsidP="00DB6E47">
      <w:pPr>
        <w:pStyle w:val="Apara"/>
      </w:pPr>
      <w:r w:rsidRPr="00544ED5">
        <w:tab/>
        <w:t>(c)</w:t>
      </w:r>
      <w:r w:rsidRPr="00544ED5">
        <w:tab/>
        <w:t>the proceeds of the investment of money in the Fund; and</w:t>
      </w:r>
    </w:p>
    <w:p w14:paraId="2D5A931E" w14:textId="77777777" w:rsidR="00DB6E47" w:rsidRPr="00544ED5" w:rsidRDefault="00DB6E47" w:rsidP="00DB6E47">
      <w:pPr>
        <w:pStyle w:val="Apara"/>
      </w:pPr>
      <w:r w:rsidRPr="00544ED5">
        <w:tab/>
        <w:t>(d)</w:t>
      </w:r>
      <w:r w:rsidRPr="00544ED5">
        <w:tab/>
        <w:t>all grants, gifts and donations made to the Regulator, but subject to any trusts declared in relation to the grants, gifts or donations; and</w:t>
      </w:r>
    </w:p>
    <w:p w14:paraId="06CABE9E" w14:textId="77777777" w:rsidR="00DB6E47" w:rsidRPr="00544ED5" w:rsidRDefault="00DB6E47" w:rsidP="00DB6E47">
      <w:pPr>
        <w:pStyle w:val="Apara"/>
      </w:pPr>
      <w:r w:rsidRPr="00544ED5">
        <w:tab/>
        <w:t>(e)</w:t>
      </w:r>
      <w:r w:rsidRPr="00544ED5">
        <w:tab/>
        <w:t>all money directed or authorised to be paid into the Fund under this Law, any law of a participating jurisdiction or any law of the Commonwealth; and</w:t>
      </w:r>
    </w:p>
    <w:p w14:paraId="2AFF6946" w14:textId="77777777" w:rsidR="00DB6E47" w:rsidRPr="00544ED5" w:rsidRDefault="00DB6E47" w:rsidP="00DB6E47">
      <w:pPr>
        <w:pStyle w:val="Apara"/>
      </w:pPr>
      <w:r w:rsidRPr="00544ED5">
        <w:tab/>
        <w:t>(f)</w:t>
      </w:r>
      <w:r w:rsidRPr="00544ED5">
        <w:tab/>
        <w:t>any other money or property received by the Regulator in connection with the exercise of its functions; and</w:t>
      </w:r>
    </w:p>
    <w:p w14:paraId="23766CE9" w14:textId="77777777" w:rsidR="00DB6E47" w:rsidRPr="00544ED5" w:rsidRDefault="00DB6E47" w:rsidP="00DB6E47">
      <w:pPr>
        <w:pStyle w:val="Apara"/>
      </w:pPr>
      <w:r w:rsidRPr="00544ED5">
        <w:lastRenderedPageBreak/>
        <w:tab/>
        <w:t>(g)</w:t>
      </w:r>
      <w:r w:rsidRPr="00544ED5">
        <w:tab/>
        <w:t>any money paid to the Regulator for the provision of services to a State or Territory under an agreement mentioned in section</w:t>
      </w:r>
      <w:r w:rsidR="008B0570">
        <w:t> </w:t>
      </w:r>
      <w:r w:rsidRPr="00544ED5">
        <w:t>658(2)(b).</w:t>
      </w:r>
    </w:p>
    <w:p w14:paraId="113CEF41" w14:textId="77777777" w:rsidR="00DB6E47" w:rsidRPr="00C26C5F" w:rsidRDefault="00DB6E47" w:rsidP="00C26C5F">
      <w:pPr>
        <w:pStyle w:val="Amain"/>
      </w:pPr>
      <w:r w:rsidRPr="00C26C5F">
        <w:tab/>
        <w:t>(2)</w:t>
      </w:r>
      <w:r w:rsidRPr="00C26C5F">
        <w:tab/>
      </w:r>
      <w:r w:rsidR="00C26C5F" w:rsidRPr="00C26C5F">
        <w:t>Money that is received by the Regulator under an agreement mentioned in section 658(2)(b) and that is payable to another entity under the agreement is not payable into the Fund.</w:t>
      </w:r>
    </w:p>
    <w:p w14:paraId="69B34476" w14:textId="77777777" w:rsidR="00DB6E47" w:rsidRPr="007E1F9A" w:rsidRDefault="00DB6E47" w:rsidP="00DB6E47">
      <w:pPr>
        <w:pStyle w:val="AH5Sec"/>
      </w:pPr>
      <w:bookmarkStart w:id="858" w:name="_Toc83626202"/>
      <w:r w:rsidRPr="005E03F7">
        <w:rPr>
          <w:rStyle w:val="CharSectNo"/>
        </w:rPr>
        <w:t>689</w:t>
      </w:r>
      <w:r w:rsidRPr="007E1F9A">
        <w:tab/>
      </w:r>
      <w:r w:rsidRPr="007E1F9A">
        <w:rPr>
          <w:rFonts w:ascii="Helvetica" w:hAnsi="Helvetica" w:cs="Helvetica"/>
        </w:rPr>
        <w:t>Payments out of Fund</w:t>
      </w:r>
      <w:bookmarkEnd w:id="858"/>
    </w:p>
    <w:p w14:paraId="1D565762" w14:textId="77777777" w:rsidR="00DB6E47" w:rsidRPr="002F157F" w:rsidRDefault="00DB6E47" w:rsidP="00DB6E47">
      <w:pPr>
        <w:pStyle w:val="Amainreturn"/>
      </w:pPr>
      <w:r w:rsidRPr="002F157F">
        <w:t>Payments may be made from the Fund for the purpose of—</w:t>
      </w:r>
    </w:p>
    <w:p w14:paraId="14630F64" w14:textId="77777777" w:rsidR="00DB6E47" w:rsidRPr="00544ED5" w:rsidRDefault="00DB6E47" w:rsidP="00DB6E47">
      <w:pPr>
        <w:pStyle w:val="Apara"/>
      </w:pPr>
      <w:r w:rsidRPr="00544ED5">
        <w:tab/>
        <w:t>(a)</w:t>
      </w:r>
      <w:r w:rsidRPr="00544ED5">
        <w:tab/>
        <w:t>paying any costs or expenses, or discharging any liabilities, incurred in the administration or enforcement of this Law, including, for example, payments made to a State or Territory for the provision of services under an agreement mentioned in section 658(2)(a); and</w:t>
      </w:r>
    </w:p>
    <w:p w14:paraId="37521910" w14:textId="77777777" w:rsidR="00DB6E47" w:rsidRPr="00544ED5" w:rsidRDefault="00DB6E47" w:rsidP="00DB6E47">
      <w:pPr>
        <w:pStyle w:val="Apara"/>
      </w:pPr>
      <w:r w:rsidRPr="00544ED5">
        <w:tab/>
        <w:t>(b)</w:t>
      </w:r>
      <w:r w:rsidRPr="00544ED5">
        <w:tab/>
        <w:t>paying any money directed or authorised to be paid out of the Fund under this Law; and</w:t>
      </w:r>
    </w:p>
    <w:p w14:paraId="63985B51" w14:textId="77777777" w:rsidR="00DB6E47" w:rsidRPr="00544ED5" w:rsidRDefault="00DB6E47" w:rsidP="00DB6E47">
      <w:pPr>
        <w:pStyle w:val="Apara"/>
      </w:pPr>
      <w:r w:rsidRPr="00544ED5">
        <w:tab/>
        <w:t>(c)</w:t>
      </w:r>
      <w:r w:rsidRPr="00544ED5">
        <w:tab/>
        <w:t>making any other payments recommended by the Regulator and approved by the responsible Ministers.</w:t>
      </w:r>
    </w:p>
    <w:p w14:paraId="66F430D4" w14:textId="77777777" w:rsidR="00DB6E47" w:rsidRPr="007E1F9A" w:rsidRDefault="00DB6E47" w:rsidP="00DB6E47">
      <w:pPr>
        <w:pStyle w:val="AH5Sec"/>
      </w:pPr>
      <w:bookmarkStart w:id="859" w:name="_Toc83626203"/>
      <w:r w:rsidRPr="005E03F7">
        <w:rPr>
          <w:rStyle w:val="CharSectNo"/>
        </w:rPr>
        <w:t>690</w:t>
      </w:r>
      <w:r w:rsidRPr="007E1F9A">
        <w:tab/>
      </w:r>
      <w:r w:rsidRPr="007E1F9A">
        <w:rPr>
          <w:rFonts w:ascii="Helvetica" w:hAnsi="Helvetica" w:cs="Helvetica"/>
        </w:rPr>
        <w:t>Investment by Regulator</w:t>
      </w:r>
      <w:bookmarkEnd w:id="859"/>
    </w:p>
    <w:p w14:paraId="41021F44" w14:textId="77777777" w:rsidR="00DB6E47" w:rsidRPr="002F157F" w:rsidRDefault="00DB6E47" w:rsidP="00DB6E47">
      <w:pPr>
        <w:pStyle w:val="Amain"/>
      </w:pPr>
      <w:r w:rsidRPr="002F157F">
        <w:tab/>
        <w:t>(1)</w:t>
      </w:r>
      <w:r w:rsidRPr="002F157F">
        <w:tab/>
        <w:t>The Regulator must invest its funds in a way that is secure and provides a low risk so that the Regulator’s exposure to the loss of funds is minimised.</w:t>
      </w:r>
    </w:p>
    <w:p w14:paraId="09763CE9" w14:textId="77777777" w:rsidR="00DB6E47" w:rsidRPr="002F157F" w:rsidRDefault="00DB6E47" w:rsidP="00DB6E47">
      <w:pPr>
        <w:pStyle w:val="Amain"/>
      </w:pPr>
      <w:r w:rsidRPr="002F157F">
        <w:tab/>
        <w:t>(2)</w:t>
      </w:r>
      <w:r w:rsidRPr="002F157F">
        <w:tab/>
        <w:t>The Regulator must keep records that show it has invested in a way that complies with subsection (1).</w:t>
      </w:r>
    </w:p>
    <w:p w14:paraId="180B7BE2" w14:textId="77777777" w:rsidR="00DB6E47" w:rsidRPr="007E1F9A" w:rsidRDefault="00DB6E47" w:rsidP="00DB6E47">
      <w:pPr>
        <w:pStyle w:val="AH5Sec"/>
      </w:pPr>
      <w:bookmarkStart w:id="860" w:name="_Toc83626204"/>
      <w:r w:rsidRPr="005E03F7">
        <w:rPr>
          <w:rStyle w:val="CharSectNo"/>
        </w:rPr>
        <w:t>691</w:t>
      </w:r>
      <w:r w:rsidRPr="007E1F9A">
        <w:tab/>
      </w:r>
      <w:r w:rsidRPr="007E1F9A">
        <w:rPr>
          <w:rFonts w:ascii="Helvetica" w:hAnsi="Helvetica" w:cs="Helvetica"/>
        </w:rPr>
        <w:t>Financial management duties of Regulator</w:t>
      </w:r>
      <w:bookmarkEnd w:id="860"/>
    </w:p>
    <w:p w14:paraId="0B9C3A49" w14:textId="77777777" w:rsidR="00DB6E47" w:rsidRPr="002F157F" w:rsidRDefault="00DB6E47" w:rsidP="00DB6E47">
      <w:pPr>
        <w:pStyle w:val="Amainreturn"/>
      </w:pPr>
      <w:r w:rsidRPr="002F157F">
        <w:t>The Regulator must—</w:t>
      </w:r>
    </w:p>
    <w:p w14:paraId="0374CA4E" w14:textId="77777777" w:rsidR="00DB6E47" w:rsidRPr="00544ED5" w:rsidRDefault="00DB6E47" w:rsidP="00DB6E47">
      <w:pPr>
        <w:pStyle w:val="Apara"/>
      </w:pPr>
      <w:r w:rsidRPr="00544ED5">
        <w:tab/>
        <w:t>(a)</w:t>
      </w:r>
      <w:r w:rsidRPr="00544ED5">
        <w:tab/>
        <w:t>ensure its operations are carried out efficiently, effectively and economically; and</w:t>
      </w:r>
    </w:p>
    <w:p w14:paraId="3281C643" w14:textId="77777777" w:rsidR="00DB6E47" w:rsidRPr="00544ED5" w:rsidRDefault="00DB6E47" w:rsidP="00DB6E47">
      <w:pPr>
        <w:pStyle w:val="Apara"/>
      </w:pPr>
      <w:r w:rsidRPr="00544ED5">
        <w:lastRenderedPageBreak/>
        <w:tab/>
        <w:t>(b)</w:t>
      </w:r>
      <w:r w:rsidRPr="00544ED5">
        <w:tab/>
        <w:t>keep proper books and records in relation to the Fund and other money received by the Regulator; and</w:t>
      </w:r>
    </w:p>
    <w:p w14:paraId="379FCD76" w14:textId="77777777" w:rsidR="00DB6E47" w:rsidRPr="00544ED5" w:rsidRDefault="00DB6E47" w:rsidP="00DB6E47">
      <w:pPr>
        <w:pStyle w:val="Apara"/>
      </w:pPr>
      <w:r w:rsidRPr="00544ED5">
        <w:tab/>
        <w:t>(c)</w:t>
      </w:r>
      <w:r w:rsidRPr="00544ED5">
        <w:tab/>
        <w:t>ensure expenditure is made from the Fund for lawful purposes only and, as far as possible, that reasonable value is obtained for money expended from the Fund; and</w:t>
      </w:r>
    </w:p>
    <w:p w14:paraId="0899E889" w14:textId="77777777" w:rsidR="00DB6E47" w:rsidRPr="00544ED5" w:rsidRDefault="00DB6E47" w:rsidP="00DB6E47">
      <w:pPr>
        <w:pStyle w:val="Apara"/>
      </w:pPr>
      <w:r w:rsidRPr="00544ED5">
        <w:tab/>
        <w:t>(d)</w:t>
      </w:r>
      <w:r w:rsidRPr="00544ED5">
        <w:tab/>
        <w:t>ensure its procedures, including internal control procedures, afford adequate safeguards with respect to—</w:t>
      </w:r>
    </w:p>
    <w:p w14:paraId="137A79E2" w14:textId="77777777" w:rsidR="00DB6E47" w:rsidRPr="006C3305" w:rsidRDefault="00DB6E47" w:rsidP="00DB6E47">
      <w:pPr>
        <w:pStyle w:val="Asubpara"/>
      </w:pPr>
      <w:r>
        <w:tab/>
        <w:t>(i)</w:t>
      </w:r>
      <w:r w:rsidRPr="006C3305">
        <w:tab/>
        <w:t>the correctness, regularity and propriety of payments made from the Fund; and</w:t>
      </w:r>
    </w:p>
    <w:p w14:paraId="5CA289B9" w14:textId="77777777" w:rsidR="00DB6E47" w:rsidRPr="006C3305" w:rsidRDefault="00DB6E47" w:rsidP="00DB6E47">
      <w:pPr>
        <w:pStyle w:val="Asubpara"/>
      </w:pPr>
      <w:r>
        <w:tab/>
        <w:t>(ii)</w:t>
      </w:r>
      <w:r w:rsidRPr="006C3305">
        <w:tab/>
        <w:t>receiving and accounting for payments made to the Fund; and</w:t>
      </w:r>
    </w:p>
    <w:p w14:paraId="628A6801" w14:textId="77777777" w:rsidR="00DB6E47" w:rsidRPr="006C3305" w:rsidRDefault="00DB6E47" w:rsidP="00DB6E47">
      <w:pPr>
        <w:pStyle w:val="Asubpara"/>
      </w:pPr>
      <w:r>
        <w:tab/>
        <w:t>(iii)</w:t>
      </w:r>
      <w:r w:rsidRPr="006C3305">
        <w:tab/>
        <w:t>prevention of fraud or mistake; and</w:t>
      </w:r>
    </w:p>
    <w:p w14:paraId="72C4DA7B" w14:textId="77777777" w:rsidR="00DB6E47" w:rsidRPr="00544ED5" w:rsidRDefault="00DB6E47" w:rsidP="00DB6E47">
      <w:pPr>
        <w:pStyle w:val="Apara"/>
      </w:pPr>
      <w:r w:rsidRPr="00544ED5">
        <w:tab/>
        <w:t>(e)</w:t>
      </w:r>
      <w:r w:rsidRPr="00544ED5">
        <w:tab/>
        <w:t>take any action necessary to ensure the preparation of accurate financial statements in accordance with Australian Accounting Standards for inclusion in its annual report; and</w:t>
      </w:r>
    </w:p>
    <w:p w14:paraId="04FEA503" w14:textId="77777777" w:rsidR="00DB6E47" w:rsidRPr="00544ED5" w:rsidRDefault="00DB6E47" w:rsidP="00DB6E47">
      <w:pPr>
        <w:pStyle w:val="Apara"/>
      </w:pPr>
      <w:r w:rsidRPr="00544ED5">
        <w:tab/>
        <w:t>(f)</w:t>
      </w:r>
      <w:r w:rsidRPr="00544ED5">
        <w:tab/>
        <w:t>take any action necessary to facilitate the audit of the financial statements under this Law; and</w:t>
      </w:r>
    </w:p>
    <w:p w14:paraId="380D0F2D" w14:textId="77777777" w:rsidR="00DB6E47" w:rsidRPr="00544ED5" w:rsidRDefault="00DB6E47" w:rsidP="00DB6E47">
      <w:pPr>
        <w:pStyle w:val="Apara"/>
      </w:pPr>
      <w:r w:rsidRPr="00544ED5">
        <w:tab/>
        <w:t>(g)</w:t>
      </w:r>
      <w:r w:rsidRPr="00544ED5">
        <w:tab/>
        <w:t>arrange for any further audit by a qualified person of the books and records kept by the Regulator if directed to do so by the responsible Ministers.</w:t>
      </w:r>
    </w:p>
    <w:p w14:paraId="680BF5D4" w14:textId="77777777" w:rsidR="00DB6E47" w:rsidRPr="007E1F9A" w:rsidRDefault="00DB6E47" w:rsidP="00DB6E47">
      <w:pPr>
        <w:pStyle w:val="AH5Sec"/>
      </w:pPr>
      <w:bookmarkStart w:id="861" w:name="_Toc83626205"/>
      <w:r w:rsidRPr="005E03F7">
        <w:rPr>
          <w:rStyle w:val="CharSectNo"/>
        </w:rPr>
        <w:t>692</w:t>
      </w:r>
      <w:r w:rsidRPr="007E1F9A">
        <w:tab/>
      </w:r>
      <w:r w:rsidRPr="007E1F9A">
        <w:rPr>
          <w:rFonts w:ascii="Helvetica" w:hAnsi="Helvetica" w:cs="Helvetica"/>
        </w:rPr>
        <w:t>Amounts payable to other entities</w:t>
      </w:r>
      <w:bookmarkEnd w:id="861"/>
    </w:p>
    <w:p w14:paraId="2DE2C6F8" w14:textId="77777777" w:rsidR="00DB6E47" w:rsidRPr="002F157F" w:rsidRDefault="00DB6E47" w:rsidP="00DB6E47">
      <w:pPr>
        <w:pStyle w:val="Amain"/>
      </w:pPr>
      <w:r w:rsidRPr="002F157F">
        <w:tab/>
        <w:t>(1)</w:t>
      </w:r>
      <w:r w:rsidRPr="002F157F">
        <w:tab/>
        <w:t>The Regulator may establish accounts with any financial institution for money referred to in section 688(2), pending payment of the money to States, Territories or other entities entitled to receive it under—</w:t>
      </w:r>
    </w:p>
    <w:p w14:paraId="6FF7E2B8" w14:textId="77777777" w:rsidR="00DB6E47" w:rsidRPr="00544ED5" w:rsidRDefault="00DB6E47" w:rsidP="00DB6E47">
      <w:pPr>
        <w:pStyle w:val="Apara"/>
      </w:pPr>
      <w:r>
        <w:tab/>
      </w:r>
      <w:r w:rsidRPr="00544ED5">
        <w:t>(a)</w:t>
      </w:r>
      <w:r w:rsidRPr="00544ED5">
        <w:tab/>
        <w:t>applicable agreements mentioned in section 658(2)(b); or</w:t>
      </w:r>
    </w:p>
    <w:p w14:paraId="13C1A9C1" w14:textId="77777777" w:rsidR="00DB6E47" w:rsidRPr="00544ED5" w:rsidRDefault="00DB6E47" w:rsidP="00DB6E47">
      <w:pPr>
        <w:pStyle w:val="Apara"/>
      </w:pPr>
      <w:r>
        <w:tab/>
      </w:r>
      <w:r w:rsidRPr="00544ED5">
        <w:t>(b)</w:t>
      </w:r>
      <w:r w:rsidRPr="00544ED5">
        <w:tab/>
        <w:t>arrangements approved by the responsible Ministers, to the extent applicable agreements do not make provision for payment.</w:t>
      </w:r>
    </w:p>
    <w:p w14:paraId="0799FCCD" w14:textId="77777777" w:rsidR="00DB6E47" w:rsidRPr="002F157F" w:rsidRDefault="00DB6E47" w:rsidP="00DB6E47">
      <w:pPr>
        <w:pStyle w:val="Amain"/>
      </w:pPr>
      <w:r w:rsidRPr="002F157F">
        <w:lastRenderedPageBreak/>
        <w:tab/>
        <w:t>(2)</w:t>
      </w:r>
      <w:r w:rsidRPr="002F157F">
        <w:tab/>
        <w:t>Money in an account established under this section does not form part of the consolidated fund or consolidated account (however described) of a participating jurisdiction or the Commonwealth.</w:t>
      </w:r>
    </w:p>
    <w:p w14:paraId="3983F3FA" w14:textId="77777777" w:rsidR="00DB6E47" w:rsidRPr="005E03F7" w:rsidRDefault="00DB6E47" w:rsidP="00DB6E47">
      <w:pPr>
        <w:pStyle w:val="AH3Div"/>
      </w:pPr>
      <w:bookmarkStart w:id="862" w:name="_Toc83626206"/>
      <w:r w:rsidRPr="005E03F7">
        <w:rPr>
          <w:rStyle w:val="CharDivNo"/>
        </w:rPr>
        <w:t xml:space="preserve">Division 2 </w:t>
      </w:r>
      <w:r w:rsidRPr="007E1F9A">
        <w:tab/>
      </w:r>
      <w:r w:rsidRPr="005E03F7">
        <w:rPr>
          <w:rStyle w:val="CharDivText"/>
        </w:rPr>
        <w:t>Reporting and planning arrangements</w:t>
      </w:r>
      <w:bookmarkEnd w:id="862"/>
    </w:p>
    <w:p w14:paraId="16339DCE" w14:textId="77777777" w:rsidR="00DB6E47" w:rsidRPr="007E1F9A" w:rsidRDefault="00DB6E47" w:rsidP="00DB6E47">
      <w:pPr>
        <w:pStyle w:val="AH5Sec"/>
      </w:pPr>
      <w:bookmarkStart w:id="863" w:name="_Toc83626207"/>
      <w:r w:rsidRPr="005E03F7">
        <w:rPr>
          <w:rStyle w:val="CharSectNo"/>
        </w:rPr>
        <w:t>693</w:t>
      </w:r>
      <w:r w:rsidRPr="007E1F9A">
        <w:tab/>
      </w:r>
      <w:r w:rsidRPr="007E1F9A">
        <w:rPr>
          <w:rFonts w:ascii="Helvetica" w:hAnsi="Helvetica" w:cs="Helvetica"/>
        </w:rPr>
        <w:t>Annual report</w:t>
      </w:r>
      <w:bookmarkEnd w:id="863"/>
    </w:p>
    <w:p w14:paraId="5539B576" w14:textId="77777777" w:rsidR="00DB6E47" w:rsidRPr="002F157F" w:rsidRDefault="00DB6E47" w:rsidP="00DB6E47">
      <w:pPr>
        <w:pStyle w:val="Amain"/>
      </w:pPr>
      <w:r w:rsidRPr="002F157F">
        <w:tab/>
        <w:t>(1)</w:t>
      </w:r>
      <w:r w:rsidRPr="002F157F">
        <w:tab/>
        <w:t>The Regulator must, within 3 months after the end of each financial year, give the responsible Ministers an annual report for the financial year.</w:t>
      </w:r>
    </w:p>
    <w:p w14:paraId="21F3509A" w14:textId="77777777" w:rsidR="00DB6E47" w:rsidRPr="002F157F" w:rsidRDefault="00DB6E47" w:rsidP="00DB6E47">
      <w:pPr>
        <w:pStyle w:val="Amain"/>
      </w:pPr>
      <w:r w:rsidRPr="002F157F">
        <w:tab/>
        <w:t>(2)</w:t>
      </w:r>
      <w:r w:rsidRPr="002F157F">
        <w:tab/>
        <w:t>The annual report must—</w:t>
      </w:r>
    </w:p>
    <w:p w14:paraId="0E67EA88" w14:textId="77777777" w:rsidR="00DB6E47" w:rsidRPr="00544ED5" w:rsidRDefault="00DB6E47" w:rsidP="00DB6E47">
      <w:pPr>
        <w:pStyle w:val="Apara"/>
      </w:pPr>
      <w:r w:rsidRPr="00544ED5">
        <w:tab/>
        <w:t>(a)</w:t>
      </w:r>
      <w:r w:rsidRPr="00544ED5">
        <w:tab/>
        <w:t>include for the period to which the report relates—</w:t>
      </w:r>
    </w:p>
    <w:p w14:paraId="439D1AEE" w14:textId="77777777" w:rsidR="00DB6E47" w:rsidRPr="00CC71DF" w:rsidRDefault="00DB6E47" w:rsidP="00DB6E47">
      <w:pPr>
        <w:pStyle w:val="Asubpara"/>
      </w:pPr>
      <w:r w:rsidRPr="00CC71DF">
        <w:tab/>
        <w:t>(i)</w:t>
      </w:r>
      <w:r w:rsidRPr="00CC71DF">
        <w:tab/>
        <w:t>the financial statements that have been audited by an auditor decided by the responsible Ministers; and</w:t>
      </w:r>
    </w:p>
    <w:p w14:paraId="7D1EE6C9" w14:textId="77777777" w:rsidR="00DB6E47" w:rsidRPr="00CC71DF" w:rsidRDefault="00DB6E47" w:rsidP="00DB6E47">
      <w:pPr>
        <w:pStyle w:val="Asubpara"/>
      </w:pPr>
      <w:r>
        <w:tab/>
      </w:r>
      <w:r w:rsidRPr="00CC71DF">
        <w:t>(ii)</w:t>
      </w:r>
      <w:r w:rsidRPr="00CC71DF">
        <w:tab/>
        <w:t>a statement of actual performance measured against the National Performance Measures (Standards and Indicators) outlined in the current corporate plan under section 695; and</w:t>
      </w:r>
    </w:p>
    <w:p w14:paraId="2588B46B" w14:textId="77777777" w:rsidR="00DB6E47" w:rsidRPr="00CC71DF" w:rsidRDefault="00DB6E47" w:rsidP="00DB6E47">
      <w:pPr>
        <w:pStyle w:val="Asubpara"/>
      </w:pPr>
      <w:r>
        <w:tab/>
      </w:r>
      <w:r w:rsidRPr="00CC71DF">
        <w:t>(iii)</w:t>
      </w:r>
      <w:r w:rsidRPr="00CC71DF">
        <w:tab/>
        <w:t>a statement of exceptions where the National Performance Measures (Standards and Indicators) were not achieved, including a statement of issues that impacted on the achievement of the measures; and</w:t>
      </w:r>
    </w:p>
    <w:p w14:paraId="087E290B" w14:textId="77777777" w:rsidR="00DB6E47" w:rsidRPr="00CC71DF" w:rsidRDefault="00DB6E47" w:rsidP="00DB6E47">
      <w:pPr>
        <w:pStyle w:val="Asubpara"/>
      </w:pPr>
      <w:r>
        <w:tab/>
      </w:r>
      <w:r w:rsidRPr="00CC71DF">
        <w:t>(iv)</w:t>
      </w:r>
      <w:r w:rsidRPr="00CC71DF">
        <w:tab/>
        <w:t>a statement of trend analysis relating to performance measured against the National Performance Measures (Standards and Indicators); and</w:t>
      </w:r>
    </w:p>
    <w:p w14:paraId="6AF93900" w14:textId="77777777" w:rsidR="00DB6E47" w:rsidRPr="00CC71DF" w:rsidRDefault="00DB6E47" w:rsidP="00DB6E47">
      <w:pPr>
        <w:pStyle w:val="Asubpara"/>
      </w:pPr>
      <w:r>
        <w:tab/>
      </w:r>
      <w:r w:rsidRPr="00CC71DF">
        <w:t>(v)</w:t>
      </w:r>
      <w:r w:rsidRPr="00CC71DF">
        <w:tab/>
        <w:t>a statement of the outcome of consultation strategies and activities, including a summary of industry comments; and</w:t>
      </w:r>
    </w:p>
    <w:p w14:paraId="760CA311" w14:textId="77777777" w:rsidR="00DB6E47" w:rsidRPr="00CC71DF" w:rsidRDefault="00DB6E47" w:rsidP="00DB6E47">
      <w:pPr>
        <w:pStyle w:val="Asubpara"/>
      </w:pPr>
      <w:r>
        <w:tab/>
      </w:r>
      <w:r w:rsidRPr="00CC71DF">
        <w:t>(vi)</w:t>
      </w:r>
      <w:r w:rsidRPr="00CC71DF">
        <w:tab/>
        <w:t xml:space="preserve">a statement of the achievements attained in implementing, and the challenges encountered in implementing, the Regulator’s objectives stated in the current corporate plan; and </w:t>
      </w:r>
    </w:p>
    <w:p w14:paraId="5DD8BCEF" w14:textId="77777777" w:rsidR="00DB6E47" w:rsidRPr="00CC71DF" w:rsidRDefault="00DB6E47" w:rsidP="00DB6E47">
      <w:pPr>
        <w:pStyle w:val="Asubpara"/>
      </w:pPr>
      <w:r>
        <w:lastRenderedPageBreak/>
        <w:tab/>
      </w:r>
      <w:r w:rsidRPr="00CC71DF">
        <w:t>(vii)</w:t>
      </w:r>
      <w:r w:rsidRPr="00CC71DF">
        <w:tab/>
        <w:t>a statement of the achievements attained in the exercise of the Regulator’s functions; and</w:t>
      </w:r>
    </w:p>
    <w:p w14:paraId="5ED4FD1B" w14:textId="77777777" w:rsidR="00DB6E47" w:rsidRPr="00CC71DF" w:rsidRDefault="00DB6E47" w:rsidP="00DB6E47">
      <w:pPr>
        <w:pStyle w:val="Asubpara"/>
      </w:pPr>
      <w:r>
        <w:tab/>
      </w:r>
      <w:r w:rsidRPr="00CC71DF">
        <w:t>(viii)</w:t>
      </w:r>
      <w:r w:rsidRPr="00CC71DF">
        <w:tab/>
        <w:t>a statement of arrangements in place to secure collaboration with State and Territory agencies and the effectiveness of those arrangements; and</w:t>
      </w:r>
    </w:p>
    <w:p w14:paraId="2BFEDE4F" w14:textId="77777777" w:rsidR="00DB6E47" w:rsidRPr="00CC71DF" w:rsidRDefault="00DB6E47" w:rsidP="00DB6E47">
      <w:pPr>
        <w:pStyle w:val="Asubpara"/>
      </w:pPr>
      <w:r>
        <w:tab/>
      </w:r>
      <w:r w:rsidRPr="00CC71DF">
        <w:t>(ix)</w:t>
      </w:r>
      <w:r w:rsidRPr="00CC71DF">
        <w:tab/>
        <w:t>a statement indicating the nature of any reports requested by the responsible Ministers under section 694; and</w:t>
      </w:r>
    </w:p>
    <w:p w14:paraId="6BA34CF2" w14:textId="77777777" w:rsidR="00DB6E47" w:rsidRPr="00CC71DF" w:rsidRDefault="00DB6E47" w:rsidP="00DB6E47">
      <w:pPr>
        <w:pStyle w:val="Asubpara"/>
      </w:pPr>
      <w:r>
        <w:tab/>
      </w:r>
      <w:r w:rsidRPr="00CC71DF">
        <w:t xml:space="preserve">(x) </w:t>
      </w:r>
      <w:r w:rsidRPr="00CC71DF">
        <w:tab/>
        <w:t>other matters required by the national regulations; and</w:t>
      </w:r>
    </w:p>
    <w:p w14:paraId="72CBCE5B" w14:textId="77777777" w:rsidR="00DB6E47" w:rsidRPr="00544ED5" w:rsidRDefault="00DB6E47" w:rsidP="00DB6E47">
      <w:pPr>
        <w:pStyle w:val="Apara"/>
      </w:pPr>
      <w:r w:rsidRPr="00544ED5">
        <w:tab/>
        <w:t>(b)</w:t>
      </w:r>
      <w:r w:rsidRPr="00544ED5">
        <w:tab/>
        <w:t>be prepared in the way required by the national regulations.</w:t>
      </w:r>
    </w:p>
    <w:p w14:paraId="0FB86F60" w14:textId="77777777" w:rsidR="00DB6E47" w:rsidRPr="002F157F" w:rsidRDefault="00DB6E47" w:rsidP="00DB6E47">
      <w:pPr>
        <w:pStyle w:val="Amain"/>
      </w:pPr>
      <w:r w:rsidRPr="002F157F">
        <w:tab/>
        <w:t>(3)</w:t>
      </w:r>
      <w:r w:rsidRPr="002F157F">
        <w:tab/>
        <w:t>Without limiting subsection (2)(b), the national regulations may provide—</w:t>
      </w:r>
    </w:p>
    <w:p w14:paraId="31956229" w14:textId="77777777" w:rsidR="00DB6E47" w:rsidRPr="00544ED5" w:rsidRDefault="00DB6E47" w:rsidP="00DB6E47">
      <w:pPr>
        <w:pStyle w:val="Apara"/>
      </w:pPr>
      <w:r w:rsidRPr="00544ED5">
        <w:tab/>
        <w:t>(a)</w:t>
      </w:r>
      <w:r w:rsidRPr="00544ED5">
        <w:tab/>
        <w:t>that the financial statements are to be prepared in accordance with Australian Accounting Standards; and</w:t>
      </w:r>
    </w:p>
    <w:p w14:paraId="4AE37FC8" w14:textId="77777777" w:rsidR="00DB6E47" w:rsidRPr="00544ED5" w:rsidRDefault="00DB6E47" w:rsidP="00DB6E47">
      <w:pPr>
        <w:pStyle w:val="Apara"/>
      </w:pPr>
      <w:r w:rsidRPr="00544ED5">
        <w:tab/>
        <w:t>(b)</w:t>
      </w:r>
      <w:r w:rsidRPr="00544ED5">
        <w:tab/>
        <w:t>for the auditing of the financial statements.</w:t>
      </w:r>
    </w:p>
    <w:p w14:paraId="14AA010A" w14:textId="77777777" w:rsidR="00DB6E47" w:rsidRPr="002F157F" w:rsidRDefault="00DB6E47" w:rsidP="00DB6E47">
      <w:pPr>
        <w:pStyle w:val="Amain"/>
      </w:pPr>
      <w:r w:rsidRPr="002F157F">
        <w:tab/>
        <w:t>(4)</w:t>
      </w:r>
      <w:r w:rsidRPr="002F157F">
        <w:tab/>
        <w:t>The responsible Ministers are to make arrangements for the tabling of the Regulator’s annual report in each House of the Parliament of each participating jurisdiction and of the Commonwealth.</w:t>
      </w:r>
    </w:p>
    <w:p w14:paraId="58F686E4" w14:textId="77777777" w:rsidR="00DB6E47" w:rsidRPr="002F157F" w:rsidRDefault="00DB6E47" w:rsidP="00DB6E47">
      <w:pPr>
        <w:pStyle w:val="Amain"/>
      </w:pPr>
      <w:r w:rsidRPr="002F157F">
        <w:tab/>
        <w:t>(5)</w:t>
      </w:r>
      <w:r w:rsidRPr="002F157F">
        <w:tab/>
        <w:t>As soon as practicable after the annual report has been tabled in at least one House of the Parliament of a participating jurisdiction, the Regulator must publish a copy of the report on the Regulator’s website.</w:t>
      </w:r>
    </w:p>
    <w:p w14:paraId="04A1C3C1" w14:textId="77777777" w:rsidR="00DB6E47" w:rsidRPr="007E1F9A" w:rsidRDefault="00DB6E47" w:rsidP="00DB6E47">
      <w:pPr>
        <w:pStyle w:val="AH5Sec"/>
      </w:pPr>
      <w:bookmarkStart w:id="864" w:name="_Toc83626208"/>
      <w:r w:rsidRPr="005E03F7">
        <w:rPr>
          <w:rStyle w:val="CharSectNo"/>
        </w:rPr>
        <w:t>694</w:t>
      </w:r>
      <w:r w:rsidRPr="007E1F9A">
        <w:tab/>
      </w:r>
      <w:r w:rsidRPr="007E1F9A">
        <w:rPr>
          <w:rFonts w:ascii="Helvetica" w:hAnsi="Helvetica" w:cs="Helvetica"/>
        </w:rPr>
        <w:t>Other reports</w:t>
      </w:r>
      <w:bookmarkEnd w:id="864"/>
    </w:p>
    <w:p w14:paraId="4CDF7E4E" w14:textId="77777777" w:rsidR="00DB6E47" w:rsidRPr="002F157F" w:rsidRDefault="00DB6E47" w:rsidP="00DB6E47">
      <w:pPr>
        <w:pStyle w:val="Amainreturn"/>
      </w:pPr>
      <w:r w:rsidRPr="002F157F">
        <w:t>The responsible Ministers may, by written direction given to the Regulator, require the Regulator to give to the responsible Ministers, within the period stated in the direction, a report about any matter that relates to the exercise by the Regulator of its functions.</w:t>
      </w:r>
    </w:p>
    <w:p w14:paraId="34FD6335" w14:textId="77777777" w:rsidR="00DB6E47" w:rsidRPr="007E1F9A" w:rsidRDefault="00DB6E47" w:rsidP="00DB6E47">
      <w:pPr>
        <w:pStyle w:val="AH5Sec"/>
      </w:pPr>
      <w:bookmarkStart w:id="865" w:name="_Toc83626209"/>
      <w:r w:rsidRPr="005E03F7">
        <w:rPr>
          <w:rStyle w:val="CharSectNo"/>
        </w:rPr>
        <w:lastRenderedPageBreak/>
        <w:t>695</w:t>
      </w:r>
      <w:r w:rsidRPr="007E1F9A">
        <w:tab/>
      </w:r>
      <w:r w:rsidRPr="007E1F9A">
        <w:rPr>
          <w:rFonts w:ascii="Helvetica" w:hAnsi="Helvetica" w:cs="Helvetica"/>
        </w:rPr>
        <w:t>Corporate plans</w:t>
      </w:r>
      <w:bookmarkEnd w:id="865"/>
    </w:p>
    <w:p w14:paraId="77D3BF2B" w14:textId="77777777" w:rsidR="00DB6E47" w:rsidRPr="002F157F" w:rsidRDefault="00DB6E47" w:rsidP="00DB6E47">
      <w:pPr>
        <w:pStyle w:val="Amain"/>
      </w:pPr>
      <w:r w:rsidRPr="002F157F">
        <w:tab/>
        <w:t>(1)</w:t>
      </w:r>
      <w:r w:rsidRPr="002F157F">
        <w:tab/>
        <w:t>The Regulator must, on an annual basis, prepare and give to the responsible Ministers for approval by the Ministers a corporate plan for each 3 year period.</w:t>
      </w:r>
    </w:p>
    <w:p w14:paraId="1159C970" w14:textId="77777777" w:rsidR="00DB6E47" w:rsidRPr="002F157F" w:rsidRDefault="00DB6E47" w:rsidP="00DB6E47">
      <w:pPr>
        <w:pStyle w:val="Amain"/>
      </w:pPr>
      <w:r w:rsidRPr="002F157F">
        <w:tab/>
        <w:t>(2)</w:t>
      </w:r>
      <w:r w:rsidRPr="002F157F">
        <w:tab/>
        <w:t>The corporate plan must—</w:t>
      </w:r>
    </w:p>
    <w:p w14:paraId="3C91880F" w14:textId="77777777" w:rsidR="00DB6E47" w:rsidRPr="00544ED5" w:rsidRDefault="00DB6E47" w:rsidP="00DB6E47">
      <w:pPr>
        <w:pStyle w:val="Apara"/>
      </w:pPr>
      <w:r w:rsidRPr="00544ED5">
        <w:tab/>
        <w:t>(a)</w:t>
      </w:r>
      <w:r w:rsidRPr="00544ED5">
        <w:tab/>
        <w:t>outline the Regulator’s objectives for the 3 year period; and</w:t>
      </w:r>
    </w:p>
    <w:p w14:paraId="361D6E08" w14:textId="77777777" w:rsidR="00DB6E47" w:rsidRPr="00544ED5" w:rsidRDefault="00DB6E47" w:rsidP="00DB6E47">
      <w:pPr>
        <w:pStyle w:val="Apara"/>
      </w:pPr>
      <w:r w:rsidRPr="00544ED5">
        <w:tab/>
        <w:t>(b)</w:t>
      </w:r>
      <w:r w:rsidRPr="00544ED5">
        <w:tab/>
        <w:t>state how the Regulator’s objectives will be implemented during the 3 year period; and</w:t>
      </w:r>
    </w:p>
    <w:p w14:paraId="221306CB" w14:textId="77777777" w:rsidR="00DB6E47" w:rsidRPr="00544ED5" w:rsidRDefault="00DB6E47" w:rsidP="00DB6E47">
      <w:pPr>
        <w:pStyle w:val="Apara"/>
      </w:pPr>
      <w:r w:rsidRPr="00544ED5">
        <w:tab/>
        <w:t>(c)</w:t>
      </w:r>
      <w:r w:rsidRPr="00544ED5">
        <w:tab/>
        <w:t>contain a statement outlining the National Performance Measures (Standards and Indicators), determined by the Regulator under subsection (4), for the 3 year period, including (but not limited to) annual measures for each of the 3 years specifying—</w:t>
      </w:r>
    </w:p>
    <w:p w14:paraId="4EF86413" w14:textId="77777777" w:rsidR="00DB6E47" w:rsidRPr="00CC71DF" w:rsidRDefault="00DB6E47" w:rsidP="00DB6E47">
      <w:pPr>
        <w:pStyle w:val="Asubpara"/>
      </w:pPr>
      <w:r>
        <w:tab/>
      </w:r>
      <w:r w:rsidRPr="00CC71DF">
        <w:t>(i)</w:t>
      </w:r>
      <w:r w:rsidRPr="00CC71DF">
        <w:tab/>
        <w:t>the standards expected to be complied with for each year; and</w:t>
      </w:r>
    </w:p>
    <w:p w14:paraId="2A240DF0" w14:textId="77777777" w:rsidR="00DB6E47" w:rsidRPr="00CC71DF" w:rsidRDefault="00DB6E47" w:rsidP="00DB6E47">
      <w:pPr>
        <w:pStyle w:val="Asubpara"/>
      </w:pPr>
      <w:r>
        <w:tab/>
      </w:r>
      <w:r w:rsidRPr="00CC71DF">
        <w:t>(ii)</w:t>
      </w:r>
      <w:r w:rsidRPr="00CC71DF">
        <w:tab/>
        <w:t>the performance indicators proposed to be used for measuring the Regulator’s progress in implementing the Regulator’s objectives during the year; and</w:t>
      </w:r>
    </w:p>
    <w:p w14:paraId="44376C48" w14:textId="77777777" w:rsidR="00DB6E47" w:rsidRPr="00544ED5" w:rsidRDefault="00DB6E47" w:rsidP="00DB6E47">
      <w:pPr>
        <w:pStyle w:val="Apara"/>
      </w:pPr>
      <w:r>
        <w:tab/>
      </w:r>
      <w:r w:rsidRPr="00544ED5">
        <w:t>(d)</w:t>
      </w:r>
      <w:r w:rsidRPr="00544ED5">
        <w:tab/>
        <w:t>identify any challenges and risks that the Regulator reasonably believes may have a significant impact, during the 3 year period, on—</w:t>
      </w:r>
    </w:p>
    <w:p w14:paraId="1D41D38F" w14:textId="77777777" w:rsidR="00DB6E47" w:rsidRPr="00CC71DF" w:rsidRDefault="00DB6E47" w:rsidP="00DB6E47">
      <w:pPr>
        <w:pStyle w:val="Asubpara"/>
      </w:pPr>
      <w:r>
        <w:tab/>
      </w:r>
      <w:r w:rsidRPr="00CC71DF">
        <w:t>(i)</w:t>
      </w:r>
      <w:r w:rsidRPr="00CC71DF">
        <w:tab/>
        <w:t xml:space="preserve">the Regulator’s ability to implement the Regulator’s objectives; and </w:t>
      </w:r>
    </w:p>
    <w:p w14:paraId="015DE0C8" w14:textId="77777777" w:rsidR="00DB6E47" w:rsidRPr="00CC71DF" w:rsidRDefault="00DB6E47" w:rsidP="00DB6E47">
      <w:pPr>
        <w:pStyle w:val="Asubpara"/>
      </w:pPr>
      <w:r>
        <w:tab/>
      </w:r>
      <w:r w:rsidRPr="00CC71DF">
        <w:t>(ii)</w:t>
      </w:r>
      <w:r w:rsidRPr="00CC71DF">
        <w:tab/>
        <w:t>the achievement of the object of this Law; and</w:t>
      </w:r>
    </w:p>
    <w:p w14:paraId="0985053E" w14:textId="77777777" w:rsidR="00DB6E47" w:rsidRPr="00CC71DF" w:rsidRDefault="00DB6E47" w:rsidP="00DB6E47">
      <w:pPr>
        <w:pStyle w:val="Asubpara"/>
      </w:pPr>
      <w:r>
        <w:tab/>
      </w:r>
      <w:r w:rsidRPr="00CC71DF">
        <w:t>(iii)</w:t>
      </w:r>
      <w:r w:rsidRPr="00CC71DF">
        <w:tab/>
        <w:t>the exercise of the Regulator’s functions; and</w:t>
      </w:r>
    </w:p>
    <w:p w14:paraId="4F26D1EC" w14:textId="77777777" w:rsidR="00DB6E47" w:rsidRPr="00544ED5" w:rsidRDefault="00DB6E47" w:rsidP="00DB6E47">
      <w:pPr>
        <w:pStyle w:val="Apara"/>
      </w:pPr>
      <w:r w:rsidRPr="00544ED5">
        <w:tab/>
        <w:t>(e)</w:t>
      </w:r>
      <w:r w:rsidRPr="00544ED5">
        <w:tab/>
        <w:t>include the Regulator’s proposed budget for each financial year commencing within the 3 year period.</w:t>
      </w:r>
    </w:p>
    <w:p w14:paraId="1F502B22" w14:textId="77777777" w:rsidR="00DB6E47" w:rsidRPr="002F157F" w:rsidRDefault="00DB6E47" w:rsidP="002C669B">
      <w:pPr>
        <w:pStyle w:val="Amain"/>
        <w:keepNext/>
      </w:pPr>
      <w:r w:rsidRPr="002F157F">
        <w:lastRenderedPageBreak/>
        <w:tab/>
        <w:t>(3)</w:t>
      </w:r>
      <w:r w:rsidRPr="002F157F">
        <w:tab/>
        <w:t>The Regulator must, by notice given to the responsible Ministers, advise the Ministers if either of the following occurs—</w:t>
      </w:r>
    </w:p>
    <w:p w14:paraId="619371CB" w14:textId="77777777" w:rsidR="00DB6E47" w:rsidRPr="00544ED5" w:rsidRDefault="00DB6E47" w:rsidP="00DB6E47">
      <w:pPr>
        <w:pStyle w:val="Apara"/>
      </w:pPr>
      <w:r w:rsidRPr="00544ED5">
        <w:tab/>
        <w:t>(a)</w:t>
      </w:r>
      <w:r w:rsidRPr="00544ED5">
        <w:tab/>
        <w:t>the Regulator makes a significant amendment to its corporate plan;</w:t>
      </w:r>
    </w:p>
    <w:p w14:paraId="70816CA8" w14:textId="77777777" w:rsidR="00DB6E47" w:rsidRPr="00544ED5" w:rsidRDefault="00DB6E47" w:rsidP="00DB6E47">
      <w:pPr>
        <w:pStyle w:val="Apara"/>
      </w:pPr>
      <w:r w:rsidRPr="00544ED5">
        <w:tab/>
        <w:t>(b)</w:t>
      </w:r>
      <w:r w:rsidRPr="00544ED5">
        <w:tab/>
        <w:t>the Regulator becomes aware of an issue that will have a significant impact on its ability to implement the objectives stated in the corporate plan.</w:t>
      </w:r>
    </w:p>
    <w:p w14:paraId="30326929" w14:textId="77777777" w:rsidR="00DB6E47" w:rsidRPr="002F157F" w:rsidRDefault="00DB6E47" w:rsidP="00DB6E47">
      <w:pPr>
        <w:pStyle w:val="Amain"/>
      </w:pPr>
      <w:r w:rsidRPr="002F157F">
        <w:tab/>
        <w:t>(4)</w:t>
      </w:r>
      <w:r w:rsidRPr="002F157F">
        <w:tab/>
        <w:t>The Regulator must publish documentation for National Performance Measures on the Regulator’s website and determine National Performance Measures (Standards and Indicators) in accordance with the documentation.</w:t>
      </w:r>
    </w:p>
    <w:p w14:paraId="18F914C0" w14:textId="77777777" w:rsidR="00DB6E47" w:rsidRPr="005E03F7" w:rsidRDefault="00DB6E47" w:rsidP="00DB6E47">
      <w:pPr>
        <w:pStyle w:val="AH3Div"/>
      </w:pPr>
      <w:bookmarkStart w:id="866" w:name="_Toc83626210"/>
      <w:r w:rsidRPr="005E03F7">
        <w:rPr>
          <w:rStyle w:val="CharDivNo"/>
        </w:rPr>
        <w:t xml:space="preserve">Division 3 </w:t>
      </w:r>
      <w:r w:rsidRPr="007E1F9A">
        <w:tab/>
      </w:r>
      <w:r w:rsidRPr="005E03F7">
        <w:rPr>
          <w:rStyle w:val="CharDivText"/>
        </w:rPr>
        <w:t>Oversight of the Regulator and Board</w:t>
      </w:r>
      <w:bookmarkEnd w:id="866"/>
    </w:p>
    <w:p w14:paraId="269DCED6" w14:textId="77777777" w:rsidR="00DB6E47" w:rsidRPr="007E1F9A" w:rsidRDefault="00DB6E47" w:rsidP="00DB6E47">
      <w:pPr>
        <w:pStyle w:val="AH5Sec"/>
      </w:pPr>
      <w:bookmarkStart w:id="867" w:name="_Toc83626211"/>
      <w:r w:rsidRPr="005E03F7">
        <w:rPr>
          <w:rStyle w:val="CharSectNo"/>
        </w:rPr>
        <w:t>696</w:t>
      </w:r>
      <w:r w:rsidRPr="007E1F9A">
        <w:tab/>
      </w:r>
      <w:r w:rsidRPr="007E1F9A">
        <w:rPr>
          <w:rFonts w:ascii="Helvetica" w:hAnsi="Helvetica" w:cs="Helvetica"/>
        </w:rPr>
        <w:t>Application of particular Queensland Acts to this Law</w:t>
      </w:r>
      <w:bookmarkEnd w:id="867"/>
    </w:p>
    <w:p w14:paraId="0F14AD5B" w14:textId="77777777" w:rsidR="00DB6E47" w:rsidRPr="002F157F" w:rsidRDefault="00DB6E47" w:rsidP="0062288F">
      <w:pPr>
        <w:pStyle w:val="Amain"/>
        <w:keepNext/>
      </w:pPr>
      <w:r w:rsidRPr="002F157F">
        <w:tab/>
        <w:t>(1)</w:t>
      </w:r>
      <w:r w:rsidRPr="002F157F">
        <w:tab/>
        <w:t>The following Acts, as in force from time to time, apply for the purposes of this Law—</w:t>
      </w:r>
    </w:p>
    <w:p w14:paraId="274B25B8" w14:textId="0CA8F007" w:rsidR="00DB6E47" w:rsidRPr="00544ED5" w:rsidRDefault="00DB6E47" w:rsidP="0062288F">
      <w:pPr>
        <w:pStyle w:val="Apara"/>
        <w:keepNext/>
      </w:pPr>
      <w:r w:rsidRPr="00544ED5">
        <w:tab/>
        <w:t>(a)</w:t>
      </w:r>
      <w:r w:rsidRPr="00544ED5">
        <w:tab/>
        <w:t xml:space="preserve">the </w:t>
      </w:r>
      <w:hyperlink r:id="rId90" w:tooltip="Information Privacy Act 2009 (Qld)" w:history="1">
        <w:r w:rsidR="008B0570" w:rsidRPr="008B0570">
          <w:rPr>
            <w:rStyle w:val="charCitHyperlinkItal"/>
          </w:rPr>
          <w:t>Information Privacy Act 2009</w:t>
        </w:r>
      </w:hyperlink>
      <w:r w:rsidRPr="00544ED5">
        <w:t xml:space="preserve"> of Queensland;</w:t>
      </w:r>
    </w:p>
    <w:p w14:paraId="08F2DD63" w14:textId="480D0005" w:rsidR="00DB6E47" w:rsidRPr="00544ED5" w:rsidRDefault="00DB6E47" w:rsidP="00DB6E47">
      <w:pPr>
        <w:pStyle w:val="Apara"/>
      </w:pPr>
      <w:r w:rsidRPr="00544ED5">
        <w:tab/>
        <w:t>(b)</w:t>
      </w:r>
      <w:r w:rsidRPr="00544ED5">
        <w:tab/>
        <w:t xml:space="preserve">the </w:t>
      </w:r>
      <w:hyperlink r:id="rId91" w:tooltip="Public Records Act 2002 (Qld)" w:history="1">
        <w:r w:rsidR="008B0570" w:rsidRPr="008B0570">
          <w:rPr>
            <w:rStyle w:val="charCitHyperlinkItal"/>
          </w:rPr>
          <w:t>Public Records Act 2002</w:t>
        </w:r>
      </w:hyperlink>
      <w:r w:rsidRPr="00544ED5">
        <w:t xml:space="preserve"> of Queensland;</w:t>
      </w:r>
    </w:p>
    <w:p w14:paraId="6823D4C3" w14:textId="35C68CDF" w:rsidR="00DB6E47" w:rsidRPr="00544ED5" w:rsidRDefault="00DB6E47" w:rsidP="00DB6E47">
      <w:pPr>
        <w:pStyle w:val="Apara"/>
      </w:pPr>
      <w:r w:rsidRPr="00544ED5">
        <w:tab/>
        <w:t>(c)</w:t>
      </w:r>
      <w:r w:rsidRPr="00544ED5">
        <w:tab/>
        <w:t xml:space="preserve">the </w:t>
      </w:r>
      <w:hyperlink r:id="rId92" w:tooltip="Right to Information Act 2009 (Qld)" w:history="1">
        <w:r w:rsidR="008B0570" w:rsidRPr="008B0570">
          <w:rPr>
            <w:rStyle w:val="charCitHyperlinkItal"/>
          </w:rPr>
          <w:t>Right to Information Act 2009</w:t>
        </w:r>
      </w:hyperlink>
      <w:r w:rsidRPr="00544ED5">
        <w:t xml:space="preserve"> of Queensland.</w:t>
      </w:r>
    </w:p>
    <w:p w14:paraId="41A626B7" w14:textId="77777777" w:rsidR="00DB6E47" w:rsidRPr="002F157F" w:rsidRDefault="00DB6E47" w:rsidP="00DB6E47">
      <w:pPr>
        <w:pStyle w:val="Amain"/>
      </w:pPr>
      <w:r w:rsidRPr="002F157F">
        <w:tab/>
        <w:t>(2)</w:t>
      </w:r>
      <w:r w:rsidRPr="002F157F">
        <w:tab/>
        <w:t>However, t</w:t>
      </w:r>
      <w:r w:rsidR="00371FCC">
        <w:t xml:space="preserve">he Acts mentioned in subsection </w:t>
      </w:r>
      <w:r w:rsidRPr="002F157F">
        <w:t>(1)</w:t>
      </w:r>
      <w:r w:rsidR="00371FCC">
        <w:t xml:space="preserve"> </w:t>
      </w:r>
      <w:r w:rsidRPr="002F157F">
        <w:t>do not apply for the purposes of this Law to the extent that—</w:t>
      </w:r>
    </w:p>
    <w:p w14:paraId="1E280736" w14:textId="77777777" w:rsidR="00DB6E47" w:rsidRPr="00544ED5" w:rsidRDefault="00DB6E47" w:rsidP="00DB6E47">
      <w:pPr>
        <w:pStyle w:val="Apara"/>
      </w:pPr>
      <w:r>
        <w:tab/>
      </w:r>
      <w:r w:rsidRPr="00544ED5">
        <w:t>(a)</w:t>
      </w:r>
      <w:r w:rsidRPr="00544ED5">
        <w:tab/>
        <w:t>functions under this Law are being exercised by a State or Territory entity; or</w:t>
      </w:r>
    </w:p>
    <w:p w14:paraId="00A95619" w14:textId="77777777" w:rsidR="00DB6E47" w:rsidRPr="00544ED5" w:rsidRDefault="00DB6E47" w:rsidP="00DB6E47">
      <w:pPr>
        <w:pStyle w:val="Apara"/>
      </w:pPr>
      <w:r>
        <w:tab/>
      </w:r>
      <w:r w:rsidRPr="00544ED5">
        <w:t>(b)</w:t>
      </w:r>
      <w:r w:rsidRPr="00544ED5">
        <w:tab/>
        <w:t>without limiting paragraph (a), functions are being exercised by a State or Territory entity under an agreem</w:t>
      </w:r>
      <w:r w:rsidR="00371FCC">
        <w:t>ent mentioned in section 658(2)</w:t>
      </w:r>
      <w:r w:rsidRPr="00544ED5">
        <w:t>(a)</w:t>
      </w:r>
      <w:r w:rsidR="00371FCC">
        <w:t xml:space="preserve"> </w:t>
      </w:r>
      <w:r w:rsidRPr="00544ED5">
        <w:t>or under a delegation under this Law.</w:t>
      </w:r>
    </w:p>
    <w:p w14:paraId="7B58A863" w14:textId="77777777" w:rsidR="00DB6E47" w:rsidRPr="002F157F" w:rsidRDefault="00DB6E47" w:rsidP="00DB6E47">
      <w:pPr>
        <w:pStyle w:val="Amain"/>
      </w:pPr>
      <w:r w:rsidRPr="002F157F">
        <w:tab/>
        <w:t>(3)</w:t>
      </w:r>
      <w:r w:rsidRPr="002F157F">
        <w:tab/>
        <w:t>The national regulations may modify</w:t>
      </w:r>
      <w:r w:rsidR="00371FCC">
        <w:t xml:space="preserve"> an Act mentioned in subsection </w:t>
      </w:r>
      <w:r w:rsidRPr="002F157F">
        <w:t>(1)</w:t>
      </w:r>
      <w:r w:rsidR="00371FCC">
        <w:t xml:space="preserve"> </w:t>
      </w:r>
      <w:r w:rsidRPr="002F157F">
        <w:t>for the purposes of this Law.</w:t>
      </w:r>
    </w:p>
    <w:p w14:paraId="1340DDB9" w14:textId="77777777" w:rsidR="00DB6E47" w:rsidRPr="002F157F" w:rsidRDefault="00DB6E47" w:rsidP="00DB6E47">
      <w:pPr>
        <w:pStyle w:val="Amain"/>
      </w:pPr>
      <w:r w:rsidRPr="002F157F">
        <w:lastRenderedPageBreak/>
        <w:tab/>
        <w:t>(4)</w:t>
      </w:r>
      <w:r w:rsidRPr="002F157F">
        <w:tab/>
        <w:t>Without limiting subsection (3), the national regulations may—</w:t>
      </w:r>
    </w:p>
    <w:p w14:paraId="3A86B5AF" w14:textId="77777777" w:rsidR="00DB6E47" w:rsidRPr="00544ED5" w:rsidRDefault="00DB6E47" w:rsidP="00DB6E47">
      <w:pPr>
        <w:pStyle w:val="Apara"/>
      </w:pPr>
      <w:r w:rsidRPr="00544ED5">
        <w:tab/>
        <w:t>(a)</w:t>
      </w:r>
      <w:r w:rsidRPr="00544ED5">
        <w:tab/>
        <w:t>provide that the Act applies as if a provision of the Act specified in the regulations were omitted; or</w:t>
      </w:r>
    </w:p>
    <w:p w14:paraId="5CF4CC3F" w14:textId="77777777" w:rsidR="00DB6E47" w:rsidRPr="00544ED5" w:rsidRDefault="00DB6E47" w:rsidP="00DB6E47">
      <w:pPr>
        <w:pStyle w:val="Apara"/>
      </w:pPr>
      <w:r w:rsidRPr="00544ED5">
        <w:tab/>
        <w:t>(b)</w:t>
      </w:r>
      <w:r w:rsidRPr="00544ED5">
        <w:tab/>
        <w:t>provide that the Act applies as if an amendment to the Act made by a law of Queensland, and specified in the regulations, had not taken effect; or</w:t>
      </w:r>
    </w:p>
    <w:p w14:paraId="364C6647" w14:textId="77777777" w:rsidR="00DB6E47" w:rsidRPr="00544ED5" w:rsidRDefault="00DB6E47" w:rsidP="00DB6E47">
      <w:pPr>
        <w:pStyle w:val="Apara"/>
      </w:pPr>
      <w:r w:rsidRPr="00544ED5">
        <w:tab/>
        <w:t>(c)</w:t>
      </w:r>
      <w:r w:rsidRPr="00544ED5">
        <w:tab/>
        <w:t>confer a function on a State or Territory entity; or</w:t>
      </w:r>
    </w:p>
    <w:p w14:paraId="2BFC8005" w14:textId="77777777" w:rsidR="00DB6E47" w:rsidRPr="00544ED5" w:rsidRDefault="00DB6E47" w:rsidP="00DB6E47">
      <w:pPr>
        <w:pStyle w:val="Apara"/>
      </w:pPr>
      <w:r w:rsidRPr="00544ED5">
        <w:tab/>
        <w:t>(d)</w:t>
      </w:r>
      <w:r w:rsidRPr="00544ED5">
        <w:tab/>
        <w:t>confer jurisdiction on a tribunal or court of a participating jurisdiction.</w:t>
      </w:r>
    </w:p>
    <w:p w14:paraId="10C80B92" w14:textId="77777777" w:rsidR="00DB6E47" w:rsidRPr="002F157F" w:rsidRDefault="00DB6E47" w:rsidP="00DB6E47">
      <w:pPr>
        <w:pStyle w:val="Amain"/>
      </w:pPr>
      <w:r w:rsidRPr="002F157F">
        <w:tab/>
        <w:t>(5)</w:t>
      </w:r>
      <w:r w:rsidR="0062288F">
        <w:tab/>
        <w:t xml:space="preserve">An Act mentioned in subsection </w:t>
      </w:r>
      <w:r w:rsidRPr="002F157F">
        <w:t>(1)</w:t>
      </w:r>
      <w:r w:rsidR="0062288F">
        <w:t xml:space="preserve"> </w:t>
      </w:r>
      <w:r w:rsidRPr="002F157F">
        <w:t>applies for the purposes of this Law as if the Minister responsible for a government agency were the responsible Ministers in relation to a body established by this Law.</w:t>
      </w:r>
    </w:p>
    <w:p w14:paraId="6570AC04" w14:textId="77777777" w:rsidR="00DB6E47" w:rsidRPr="002F157F" w:rsidRDefault="00371FCC" w:rsidP="00DB6E47">
      <w:pPr>
        <w:pStyle w:val="Amain"/>
      </w:pPr>
      <w:r>
        <w:tab/>
        <w:t>(6)</w:t>
      </w:r>
      <w:r>
        <w:tab/>
        <w:t xml:space="preserve">Subsection </w:t>
      </w:r>
      <w:r w:rsidR="00DB6E47" w:rsidRPr="002F157F">
        <w:t>(5)</w:t>
      </w:r>
      <w:r>
        <w:t xml:space="preserve"> </w:t>
      </w:r>
      <w:r w:rsidR="00DB6E47" w:rsidRPr="002F157F">
        <w:t>applies to</w:t>
      </w:r>
      <w:r>
        <w:t xml:space="preserve"> an Act mentioned in subsection </w:t>
      </w:r>
      <w:r w:rsidR="00DB6E47" w:rsidRPr="002F157F">
        <w:t>(1)</w:t>
      </w:r>
      <w:r>
        <w:t xml:space="preserve"> </w:t>
      </w:r>
      <w:r w:rsidR="00DB6E47" w:rsidRPr="002F157F">
        <w:t xml:space="preserve">with the modifications (if any) mentioned in subsection (3), but does not apply in relation to any provisions of that Act specified in the national regulations for the purposes of this subsection. </w:t>
      </w:r>
    </w:p>
    <w:p w14:paraId="2E83F656" w14:textId="77777777" w:rsidR="00DB6E47" w:rsidRPr="002F157F" w:rsidRDefault="00DB6E47" w:rsidP="00DB6E47">
      <w:pPr>
        <w:pStyle w:val="Amain"/>
      </w:pPr>
      <w:r w:rsidRPr="002F157F">
        <w:tab/>
        <w:t>(7)</w:t>
      </w:r>
      <w:r w:rsidRPr="002F157F">
        <w:tab/>
        <w:t>In this section—</w:t>
      </w:r>
    </w:p>
    <w:p w14:paraId="178E15C4" w14:textId="77777777" w:rsidR="00DB6E47" w:rsidRPr="00041046" w:rsidRDefault="00DB6E47" w:rsidP="00DB6E47">
      <w:pPr>
        <w:pStyle w:val="aDef"/>
        <w:rPr>
          <w:bCs/>
        </w:rPr>
      </w:pPr>
      <w:r w:rsidRPr="00041046">
        <w:rPr>
          <w:rStyle w:val="charBoldItals"/>
        </w:rPr>
        <w:t>State or Territory entity</w:t>
      </w:r>
      <w:r w:rsidRPr="00041046">
        <w:t xml:space="preserve"> does not include the Regulator.</w:t>
      </w:r>
    </w:p>
    <w:p w14:paraId="40E5AF7C" w14:textId="77777777" w:rsidR="00DB6E47" w:rsidRPr="005E03F7" w:rsidRDefault="00DB6E47" w:rsidP="00DB6E47">
      <w:pPr>
        <w:pStyle w:val="AH3Div"/>
      </w:pPr>
      <w:bookmarkStart w:id="868" w:name="_Toc83626212"/>
      <w:r w:rsidRPr="005E03F7">
        <w:rPr>
          <w:rStyle w:val="CharDivNo"/>
        </w:rPr>
        <w:t xml:space="preserve">Division 4 </w:t>
      </w:r>
      <w:r w:rsidRPr="007E1F9A">
        <w:tab/>
      </w:r>
      <w:r w:rsidRPr="005E03F7">
        <w:rPr>
          <w:rStyle w:val="CharDivText"/>
        </w:rPr>
        <w:t>Provisions relating to persons exercising functions under Law</w:t>
      </w:r>
      <w:bookmarkEnd w:id="868"/>
    </w:p>
    <w:p w14:paraId="4689F320" w14:textId="77777777" w:rsidR="00DB6E47" w:rsidRPr="007E1F9A" w:rsidRDefault="00DB6E47" w:rsidP="00DB6E47">
      <w:pPr>
        <w:pStyle w:val="AH5Sec"/>
      </w:pPr>
      <w:bookmarkStart w:id="869" w:name="_Toc83626213"/>
      <w:r w:rsidRPr="005E03F7">
        <w:rPr>
          <w:rStyle w:val="CharSectNo"/>
        </w:rPr>
        <w:t>697</w:t>
      </w:r>
      <w:r w:rsidRPr="007E1F9A">
        <w:tab/>
      </w:r>
      <w:r w:rsidRPr="007E1F9A">
        <w:rPr>
          <w:rFonts w:ascii="Helvetica" w:hAnsi="Helvetica" w:cs="Helvetica"/>
        </w:rPr>
        <w:t>General duties of persons exercising functions under this Law</w:t>
      </w:r>
      <w:bookmarkEnd w:id="869"/>
    </w:p>
    <w:p w14:paraId="3540EC9D" w14:textId="77777777" w:rsidR="00DB6E47" w:rsidRPr="002F157F" w:rsidRDefault="00DB6E47" w:rsidP="00DB6E47">
      <w:pPr>
        <w:pStyle w:val="Amain"/>
      </w:pPr>
      <w:r w:rsidRPr="002F157F">
        <w:tab/>
        <w:t>(1)</w:t>
      </w:r>
      <w:r w:rsidRPr="002F157F">
        <w:tab/>
        <w:t>A person exercising functions under this Law must, when exercising the functions, act honestly and with integrity.</w:t>
      </w:r>
    </w:p>
    <w:p w14:paraId="16C222A6" w14:textId="77777777" w:rsidR="00DB6E47" w:rsidRPr="002F157F" w:rsidRDefault="00DB6E47" w:rsidP="00DB6E47">
      <w:pPr>
        <w:pStyle w:val="Amain"/>
      </w:pPr>
      <w:r w:rsidRPr="002F157F">
        <w:tab/>
        <w:t>(2)</w:t>
      </w:r>
      <w:r w:rsidRPr="002F157F">
        <w:tab/>
        <w:t>A person exercising functions under this Law must exercise the person’s functions under this Law—</w:t>
      </w:r>
    </w:p>
    <w:p w14:paraId="30B7E517" w14:textId="77777777" w:rsidR="00DB6E47" w:rsidRPr="00544ED5" w:rsidRDefault="00DB6E47" w:rsidP="00DB6E47">
      <w:pPr>
        <w:pStyle w:val="Apara"/>
      </w:pPr>
      <w:r w:rsidRPr="00544ED5">
        <w:tab/>
        <w:t>(a)</w:t>
      </w:r>
      <w:r w:rsidRPr="00544ED5">
        <w:tab/>
        <w:t>in good faith; and</w:t>
      </w:r>
    </w:p>
    <w:p w14:paraId="19DC7255" w14:textId="77777777" w:rsidR="00DB6E47" w:rsidRPr="00544ED5" w:rsidRDefault="00DB6E47" w:rsidP="00DB6E47">
      <w:pPr>
        <w:pStyle w:val="Apara"/>
      </w:pPr>
      <w:r w:rsidRPr="00544ED5">
        <w:lastRenderedPageBreak/>
        <w:tab/>
        <w:t>(b)</w:t>
      </w:r>
      <w:r w:rsidRPr="00544ED5">
        <w:tab/>
        <w:t>with a reasonable degree of care, diligence and skill.</w:t>
      </w:r>
    </w:p>
    <w:p w14:paraId="391AEB97" w14:textId="77777777" w:rsidR="00DB6E47" w:rsidRPr="002F157F" w:rsidRDefault="00DB6E47" w:rsidP="00DB6E47">
      <w:pPr>
        <w:pStyle w:val="Amain"/>
      </w:pPr>
      <w:r w:rsidRPr="002F157F">
        <w:tab/>
        <w:t>(3)</w:t>
      </w:r>
      <w:r w:rsidRPr="002F157F">
        <w:tab/>
        <w:t>A person exercising functions under this Law must not make improper use of the person’s position or of information that comes to the person’s knowledge in the course of, or because of, the person’s exercise of the functions—</w:t>
      </w:r>
    </w:p>
    <w:p w14:paraId="58CCC8FC" w14:textId="77777777" w:rsidR="00DB6E47" w:rsidRPr="00544ED5" w:rsidRDefault="00DB6E47" w:rsidP="00DB6E47">
      <w:pPr>
        <w:pStyle w:val="Apara"/>
      </w:pPr>
      <w:r w:rsidRPr="00544ED5">
        <w:tab/>
        <w:t>(a)</w:t>
      </w:r>
      <w:r w:rsidRPr="00544ED5">
        <w:tab/>
        <w:t>to gain an advantage for himself or herself or another person; or</w:t>
      </w:r>
    </w:p>
    <w:p w14:paraId="4347502D" w14:textId="77777777" w:rsidR="00DB6E47" w:rsidRPr="00544ED5" w:rsidRDefault="00DB6E47" w:rsidP="00DB6E47">
      <w:pPr>
        <w:pStyle w:val="Apara"/>
      </w:pPr>
      <w:r w:rsidRPr="00544ED5">
        <w:tab/>
        <w:t>(b)</w:t>
      </w:r>
      <w:r w:rsidRPr="00544ED5">
        <w:tab/>
        <w:t>to cause a detriment to the implementation or operation of this Law.</w:t>
      </w:r>
    </w:p>
    <w:p w14:paraId="21DBA604" w14:textId="77777777" w:rsidR="00DB6E47" w:rsidRPr="006C3305" w:rsidRDefault="00DB6E47" w:rsidP="00DB6E47">
      <w:pPr>
        <w:pStyle w:val="Penalty"/>
      </w:pPr>
      <w:r w:rsidRPr="006C3305">
        <w:t>Maximum penalty for the purposes of subsection (3)—$10000.</w:t>
      </w:r>
    </w:p>
    <w:p w14:paraId="027CAEDD" w14:textId="77777777" w:rsidR="00DB6E47" w:rsidRPr="007E1F9A" w:rsidRDefault="00DB6E47" w:rsidP="00DB6E47">
      <w:pPr>
        <w:pStyle w:val="AH5Sec"/>
      </w:pPr>
      <w:bookmarkStart w:id="870" w:name="_Toc83626214"/>
      <w:r w:rsidRPr="005E03F7">
        <w:rPr>
          <w:rStyle w:val="CharSectNo"/>
        </w:rPr>
        <w:t>698</w:t>
      </w:r>
      <w:r w:rsidRPr="007E1F9A">
        <w:tab/>
      </w:r>
      <w:r w:rsidRPr="007E1F9A">
        <w:rPr>
          <w:rFonts w:ascii="Helvetica" w:hAnsi="Helvetica" w:cs="Helvetica"/>
        </w:rPr>
        <w:t>Protection from personal liability for persons exercising Regulator’s or Board’s functions under this Law</w:t>
      </w:r>
      <w:bookmarkEnd w:id="870"/>
    </w:p>
    <w:p w14:paraId="044D0BBC" w14:textId="77777777" w:rsidR="00DB6E47" w:rsidRPr="002F157F" w:rsidRDefault="00DB6E47" w:rsidP="00DB6E47">
      <w:pPr>
        <w:pStyle w:val="Amain"/>
      </w:pPr>
      <w:r w:rsidRPr="002F157F">
        <w:tab/>
        <w:t>(1)</w:t>
      </w:r>
      <w:r w:rsidRPr="002F157F">
        <w:tab/>
        <w:t>A person who is or was a protected person does not incur civil liability personally for anything done or omitted to be done in good faith—</w:t>
      </w:r>
    </w:p>
    <w:p w14:paraId="1AC7EEAA" w14:textId="77777777" w:rsidR="00DB6E47" w:rsidRPr="00544ED5" w:rsidRDefault="00DB6E47" w:rsidP="00DB6E47">
      <w:pPr>
        <w:pStyle w:val="Apara"/>
      </w:pPr>
      <w:r w:rsidRPr="00544ED5">
        <w:tab/>
        <w:t>(a)</w:t>
      </w:r>
      <w:r w:rsidRPr="00544ED5">
        <w:tab/>
        <w:t>in the exercise of a function of the Regulator or the Board under this Law; or</w:t>
      </w:r>
    </w:p>
    <w:p w14:paraId="031B9F2F" w14:textId="77777777" w:rsidR="00DB6E47" w:rsidRPr="00544ED5" w:rsidRDefault="00DB6E47" w:rsidP="00DB6E47">
      <w:pPr>
        <w:pStyle w:val="Apara"/>
      </w:pPr>
      <w:r w:rsidRPr="00544ED5">
        <w:tab/>
        <w:t>(b)</w:t>
      </w:r>
      <w:r w:rsidRPr="00544ED5">
        <w:tab/>
        <w:t>in the reasonable belief that the act or omission was the exercise of a function of the Regulator or the Board under this Law.</w:t>
      </w:r>
    </w:p>
    <w:p w14:paraId="55B6717A" w14:textId="77777777" w:rsidR="00DB6E47" w:rsidRPr="002F157F" w:rsidRDefault="00DB6E47" w:rsidP="00DB6E47">
      <w:pPr>
        <w:pStyle w:val="Amain"/>
      </w:pPr>
      <w:r w:rsidRPr="002F157F">
        <w:tab/>
        <w:t>(2)</w:t>
      </w:r>
      <w:r w:rsidRPr="002F157F">
        <w:tab/>
        <w:t>Any liability resulting from an act or omission that would, but for the purposes of subsection (1), attach to a protected person attaches instead to the Regulator.</w:t>
      </w:r>
    </w:p>
    <w:p w14:paraId="532C3BA3" w14:textId="77777777" w:rsidR="00DB6E47" w:rsidRPr="002F157F" w:rsidRDefault="00DB6E47" w:rsidP="00DB6E47">
      <w:pPr>
        <w:pStyle w:val="Amain"/>
      </w:pPr>
      <w:r w:rsidRPr="002F157F">
        <w:tab/>
        <w:t>(3)</w:t>
      </w:r>
      <w:r w:rsidRPr="002F157F">
        <w:tab/>
        <w:t>In this section—</w:t>
      </w:r>
    </w:p>
    <w:p w14:paraId="62F8BAFF" w14:textId="77777777" w:rsidR="00DB6E47" w:rsidRPr="00041046" w:rsidRDefault="00DB6E47" w:rsidP="00DB6E47">
      <w:pPr>
        <w:pStyle w:val="aDef"/>
        <w:rPr>
          <w:bCs/>
        </w:rPr>
      </w:pPr>
      <w:r w:rsidRPr="00041046">
        <w:rPr>
          <w:rStyle w:val="charBoldItals"/>
        </w:rPr>
        <w:t>protected person</w:t>
      </w:r>
      <w:r w:rsidRPr="00041046">
        <w:t xml:space="preserve"> means an individual who is any of the following—</w:t>
      </w:r>
    </w:p>
    <w:p w14:paraId="7B2AC038" w14:textId="77777777" w:rsidR="00DB6E47" w:rsidRPr="00F04D8E" w:rsidRDefault="00DB6E47" w:rsidP="00DB6E47">
      <w:pPr>
        <w:pStyle w:val="aDefpara"/>
      </w:pPr>
      <w:r w:rsidRPr="00F04D8E">
        <w:rPr>
          <w:rFonts w:cs="Times"/>
          <w:bCs/>
        </w:rPr>
        <w:tab/>
        <w:t>(a)</w:t>
      </w:r>
      <w:r w:rsidRPr="00F04D8E">
        <w:rPr>
          <w:rFonts w:cs="Times"/>
          <w:bCs/>
        </w:rPr>
        <w:tab/>
        <w:t>a member of the Board;</w:t>
      </w:r>
    </w:p>
    <w:p w14:paraId="321D20A7" w14:textId="77777777" w:rsidR="00DB6E47" w:rsidRPr="00F04D8E" w:rsidRDefault="00DB6E47" w:rsidP="00DB6E47">
      <w:pPr>
        <w:pStyle w:val="aDefpara"/>
      </w:pPr>
      <w:r w:rsidRPr="00F04D8E">
        <w:tab/>
        <w:t>(b)</w:t>
      </w:r>
      <w:r w:rsidRPr="00F04D8E">
        <w:tab/>
        <w:t>a member of a committee of the Board;</w:t>
      </w:r>
    </w:p>
    <w:p w14:paraId="227A6755" w14:textId="77777777" w:rsidR="00DB6E47" w:rsidRPr="00F04D8E" w:rsidRDefault="00DB6E47" w:rsidP="00DB6E47">
      <w:pPr>
        <w:pStyle w:val="aDefpara"/>
      </w:pPr>
      <w:r w:rsidRPr="00F04D8E">
        <w:tab/>
        <w:t>(c)</w:t>
      </w:r>
      <w:r w:rsidRPr="00F04D8E">
        <w:tab/>
        <w:t>a member of the staff of the Regulator;</w:t>
      </w:r>
    </w:p>
    <w:p w14:paraId="4CDAF85A" w14:textId="77777777" w:rsidR="00DB6E47" w:rsidRPr="00F04D8E" w:rsidRDefault="00DB6E47" w:rsidP="00DB6E47">
      <w:pPr>
        <w:pStyle w:val="aDefpara"/>
      </w:pPr>
      <w:r w:rsidRPr="00F04D8E">
        <w:tab/>
        <w:t>(d)</w:t>
      </w:r>
      <w:r w:rsidRPr="00F04D8E">
        <w:tab/>
        <w:t>an authorised officer;</w:t>
      </w:r>
    </w:p>
    <w:p w14:paraId="077671AF" w14:textId="77777777" w:rsidR="00DB6E47" w:rsidRPr="00F04D8E" w:rsidRDefault="00DB6E47" w:rsidP="00DB6E47">
      <w:pPr>
        <w:pStyle w:val="aDefpara"/>
      </w:pPr>
      <w:r w:rsidRPr="00F04D8E">
        <w:lastRenderedPageBreak/>
        <w:tab/>
        <w:t>(e)</w:t>
      </w:r>
      <w:r w:rsidRPr="00F04D8E">
        <w:tab/>
        <w:t>a person to whom the Regulator has delegated any of its functions or to whom functions delegated by the Regulator have been subdelegated;</w:t>
      </w:r>
    </w:p>
    <w:p w14:paraId="65F40A02" w14:textId="77777777" w:rsidR="00DB6E47" w:rsidRPr="00F04D8E" w:rsidRDefault="00DB6E47" w:rsidP="00DB6E47">
      <w:pPr>
        <w:pStyle w:val="aDefpara"/>
      </w:pPr>
      <w:r w:rsidRPr="00F04D8E">
        <w:tab/>
        <w:t>(f)</w:t>
      </w:r>
      <w:r w:rsidRPr="00F04D8E">
        <w:tab/>
        <w:t>a person acting under the direction or authority of a per</w:t>
      </w:r>
      <w:r w:rsidR="00371FCC">
        <w:t xml:space="preserve">son mentioned in paragraphs </w:t>
      </w:r>
      <w:r w:rsidRPr="00F04D8E">
        <w:t>(a)</w:t>
      </w:r>
      <w:r w:rsidR="00371FCC">
        <w:t xml:space="preserve"> </w:t>
      </w:r>
      <w:r w:rsidRPr="00F04D8E">
        <w:t>to (e), including, for example, a person helping an authorised officer or an assistant mentioned in section 518, 519 or 523;</w:t>
      </w:r>
    </w:p>
    <w:p w14:paraId="5E30DAD9" w14:textId="77777777" w:rsidR="00DB6E47" w:rsidRPr="00F04D8E" w:rsidRDefault="00DB6E47" w:rsidP="0062288F">
      <w:pPr>
        <w:pStyle w:val="aDefpara"/>
        <w:keepNext/>
      </w:pPr>
      <w:r>
        <w:tab/>
      </w:r>
      <w:r w:rsidRPr="00F04D8E">
        <w:t>(g)</w:t>
      </w:r>
      <w:r w:rsidRPr="00F04D8E">
        <w:tab/>
        <w:t>a person—</w:t>
      </w:r>
    </w:p>
    <w:p w14:paraId="134894CC" w14:textId="77777777" w:rsidR="00DB6E47" w:rsidRPr="00F04D8E" w:rsidRDefault="00DB6E47" w:rsidP="00DB6E47">
      <w:pPr>
        <w:pStyle w:val="aDefsubpara"/>
      </w:pPr>
      <w:r>
        <w:tab/>
      </w:r>
      <w:r w:rsidRPr="00F04D8E">
        <w:t>(i)</w:t>
      </w:r>
      <w:r w:rsidRPr="00F04D8E">
        <w:tab/>
        <w:t>who constitutes a body corporate that exercises functions of the Regulator under this Law; and</w:t>
      </w:r>
    </w:p>
    <w:p w14:paraId="6281010B" w14:textId="77777777" w:rsidR="00DB6E47" w:rsidRPr="00F04D8E" w:rsidRDefault="00DB6E47" w:rsidP="00DB6E47">
      <w:pPr>
        <w:pStyle w:val="aDefsubpara"/>
      </w:pPr>
      <w:r>
        <w:tab/>
      </w:r>
      <w:r w:rsidRPr="00F04D8E">
        <w:t>(ii)</w:t>
      </w:r>
      <w:r w:rsidRPr="00F04D8E">
        <w:tab/>
        <w:t>who is, or is of a class, prescribed by the national regulations;</w:t>
      </w:r>
    </w:p>
    <w:p w14:paraId="0A11DFE9" w14:textId="77777777" w:rsidR="00DB6E47" w:rsidRDefault="00DB6E47" w:rsidP="00DB6E47">
      <w:pPr>
        <w:pStyle w:val="aDefpara"/>
      </w:pPr>
      <w:r w:rsidRPr="00F04D8E">
        <w:tab/>
        <w:t>(h)</w:t>
      </w:r>
      <w:r w:rsidRPr="00F04D8E">
        <w:tab/>
        <w:t>any other person exercising functions of the Regulator under this Law.</w:t>
      </w:r>
    </w:p>
    <w:p w14:paraId="6AC7AA1C" w14:textId="77777777" w:rsidR="00E367A6" w:rsidRPr="00E367A6" w:rsidRDefault="00E367A6" w:rsidP="00E367A6">
      <w:pPr>
        <w:pStyle w:val="AH5Sec"/>
        <w:rPr>
          <w:lang w:val="en" w:eastAsia="en-AU"/>
        </w:rPr>
      </w:pPr>
      <w:bookmarkStart w:id="871" w:name="_Toc83626215"/>
      <w:r w:rsidRPr="005E03F7">
        <w:rPr>
          <w:rStyle w:val="CharSectNo"/>
        </w:rPr>
        <w:t>698A</w:t>
      </w:r>
      <w:r>
        <w:tab/>
      </w:r>
      <w:r w:rsidRPr="00E367A6">
        <w:rPr>
          <w:lang w:val="en" w:eastAsia="en-AU"/>
        </w:rPr>
        <w:t>No liability, right etc. arising from particular functions of authorised officer or Regulator</w:t>
      </w:r>
      <w:bookmarkEnd w:id="871"/>
    </w:p>
    <w:p w14:paraId="08D5E46B" w14:textId="77777777" w:rsidR="00E367A6" w:rsidRPr="00E367A6" w:rsidRDefault="00E367A6" w:rsidP="00E367A6">
      <w:pPr>
        <w:pStyle w:val="Amain"/>
        <w:rPr>
          <w:lang w:val="en" w:eastAsia="en-AU"/>
        </w:rPr>
      </w:pPr>
      <w:r>
        <w:rPr>
          <w:lang w:val="en" w:eastAsia="en-AU"/>
        </w:rPr>
        <w:tab/>
      </w:r>
      <w:r w:rsidRPr="00E367A6">
        <w:rPr>
          <w:lang w:val="en" w:eastAsia="en-AU"/>
        </w:rPr>
        <w:t>(1)</w:t>
      </w:r>
      <w:r>
        <w:rPr>
          <w:lang w:val="en" w:eastAsia="en-AU"/>
        </w:rPr>
        <w:tab/>
      </w:r>
      <w:r w:rsidRPr="00E367A6">
        <w:rPr>
          <w:lang w:val="en" w:eastAsia="en-AU"/>
        </w:rPr>
        <w:t>This section applies in relation to anything done by the Regulator or a protected person in the exercise of—</w:t>
      </w:r>
    </w:p>
    <w:p w14:paraId="10A8943F" w14:textId="77777777" w:rsidR="00E367A6" w:rsidRPr="00E367A6" w:rsidRDefault="00E367A6" w:rsidP="00E367A6">
      <w:pPr>
        <w:pStyle w:val="Apara"/>
        <w:rPr>
          <w:lang w:val="en" w:eastAsia="en-AU"/>
        </w:rPr>
      </w:pPr>
      <w:r>
        <w:rPr>
          <w:lang w:val="en" w:eastAsia="en-AU"/>
        </w:rPr>
        <w:tab/>
      </w:r>
      <w:r w:rsidRPr="00E367A6">
        <w:rPr>
          <w:lang w:val="en" w:eastAsia="en-AU"/>
        </w:rPr>
        <w:t>(a)</w:t>
      </w:r>
      <w:r>
        <w:rPr>
          <w:lang w:val="en" w:eastAsia="en-AU"/>
        </w:rPr>
        <w:tab/>
      </w:r>
      <w:r w:rsidRPr="00E367A6">
        <w:rPr>
          <w:lang w:val="en" w:eastAsia="en-AU"/>
        </w:rPr>
        <w:t>a function of an authorised officer under section 479(2); or</w:t>
      </w:r>
    </w:p>
    <w:p w14:paraId="2E4BF148" w14:textId="77777777" w:rsidR="00E367A6" w:rsidRPr="00E367A6" w:rsidRDefault="00E367A6" w:rsidP="00E367A6">
      <w:pPr>
        <w:pStyle w:val="Apara"/>
        <w:rPr>
          <w:lang w:val="en" w:eastAsia="en-AU"/>
        </w:rPr>
      </w:pPr>
      <w:r>
        <w:rPr>
          <w:lang w:val="en" w:eastAsia="en-AU"/>
        </w:rPr>
        <w:tab/>
      </w:r>
      <w:r w:rsidRPr="00E367A6">
        <w:rPr>
          <w:lang w:val="en" w:eastAsia="en-AU"/>
        </w:rPr>
        <w:t>(b)</w:t>
      </w:r>
      <w:r>
        <w:rPr>
          <w:lang w:val="en" w:eastAsia="en-AU"/>
        </w:rPr>
        <w:tab/>
      </w:r>
      <w:r w:rsidRPr="00E367A6">
        <w:rPr>
          <w:lang w:val="en" w:eastAsia="en-AU"/>
        </w:rPr>
        <w:t>a function of the Regulator under section 659(2)(ka).</w:t>
      </w:r>
    </w:p>
    <w:p w14:paraId="32741A12" w14:textId="77777777" w:rsidR="00E367A6" w:rsidRPr="00E367A6" w:rsidRDefault="00E367A6" w:rsidP="00E367A6">
      <w:pPr>
        <w:pStyle w:val="Amain"/>
        <w:rPr>
          <w:lang w:val="en" w:eastAsia="en-AU"/>
        </w:rPr>
      </w:pPr>
      <w:r>
        <w:rPr>
          <w:lang w:val="en" w:eastAsia="en-AU"/>
        </w:rPr>
        <w:tab/>
      </w:r>
      <w:r w:rsidRPr="00E367A6">
        <w:rPr>
          <w:lang w:val="en" w:eastAsia="en-AU"/>
        </w:rPr>
        <w:t>(2)</w:t>
      </w:r>
      <w:r>
        <w:rPr>
          <w:lang w:val="en" w:eastAsia="en-AU"/>
        </w:rPr>
        <w:tab/>
      </w:r>
      <w:r w:rsidRPr="00E367A6">
        <w:rPr>
          <w:lang w:val="en" w:eastAsia="en-AU"/>
        </w:rPr>
        <w:t>The doing of the thing does not, of itself, give rise to—</w:t>
      </w:r>
    </w:p>
    <w:p w14:paraId="2B18DFE2" w14:textId="77777777" w:rsidR="00E367A6" w:rsidRPr="00E367A6" w:rsidRDefault="00E367A6" w:rsidP="00E367A6">
      <w:pPr>
        <w:pStyle w:val="Apara"/>
        <w:rPr>
          <w:lang w:val="en" w:eastAsia="en-AU"/>
        </w:rPr>
      </w:pPr>
      <w:r>
        <w:rPr>
          <w:lang w:val="en" w:eastAsia="en-AU"/>
        </w:rPr>
        <w:tab/>
      </w:r>
      <w:r w:rsidRPr="00E367A6">
        <w:rPr>
          <w:lang w:val="en" w:eastAsia="en-AU"/>
        </w:rPr>
        <w:t>(a)</w:t>
      </w:r>
      <w:r>
        <w:rPr>
          <w:lang w:val="en" w:eastAsia="en-AU"/>
        </w:rPr>
        <w:tab/>
      </w:r>
      <w:r w:rsidRPr="00E367A6">
        <w:rPr>
          <w:lang w:val="en" w:eastAsia="en-AU"/>
        </w:rPr>
        <w:t>a civil liability of the Regulator or protected person; or</w:t>
      </w:r>
    </w:p>
    <w:p w14:paraId="7451B58B" w14:textId="77777777" w:rsidR="00E367A6" w:rsidRPr="00E367A6" w:rsidRDefault="00E367A6" w:rsidP="00E367A6">
      <w:pPr>
        <w:pStyle w:val="Apara"/>
        <w:rPr>
          <w:lang w:val="en" w:eastAsia="en-AU"/>
        </w:rPr>
      </w:pPr>
      <w:r>
        <w:rPr>
          <w:lang w:val="en" w:eastAsia="en-AU"/>
        </w:rPr>
        <w:tab/>
      </w:r>
      <w:r w:rsidRPr="00E367A6">
        <w:rPr>
          <w:lang w:val="en" w:eastAsia="en-AU"/>
        </w:rPr>
        <w:t>(b)</w:t>
      </w:r>
      <w:r>
        <w:rPr>
          <w:lang w:val="en" w:eastAsia="en-AU"/>
        </w:rPr>
        <w:tab/>
      </w:r>
      <w:r w:rsidRPr="00E367A6">
        <w:rPr>
          <w:lang w:val="en" w:eastAsia="en-AU"/>
        </w:rPr>
        <w:t>a right, expectation, duty or obligation that would not otherwise be conferred or imposed on a person in relation to whom the thing was done; or</w:t>
      </w:r>
    </w:p>
    <w:p w14:paraId="7DAE8A88" w14:textId="77777777" w:rsidR="00E367A6" w:rsidRPr="00E367A6" w:rsidRDefault="00E367A6" w:rsidP="00E367A6">
      <w:pPr>
        <w:pStyle w:val="Apara"/>
        <w:rPr>
          <w:lang w:val="en" w:eastAsia="en-AU"/>
        </w:rPr>
      </w:pPr>
      <w:r>
        <w:rPr>
          <w:lang w:val="en" w:eastAsia="en-AU"/>
        </w:rPr>
        <w:tab/>
      </w:r>
      <w:r w:rsidRPr="00E367A6">
        <w:rPr>
          <w:lang w:val="en" w:eastAsia="en-AU"/>
        </w:rPr>
        <w:t>(c)</w:t>
      </w:r>
      <w:r>
        <w:rPr>
          <w:lang w:val="en" w:eastAsia="en-AU"/>
        </w:rPr>
        <w:tab/>
      </w:r>
      <w:r w:rsidRPr="00E367A6">
        <w:rPr>
          <w:lang w:val="en" w:eastAsia="en-AU"/>
        </w:rPr>
        <w:t>a defence that would not otherwise be available to a person in relation to whom the thing was done.</w:t>
      </w:r>
    </w:p>
    <w:p w14:paraId="2C05791F" w14:textId="77777777" w:rsidR="00E367A6" w:rsidRPr="00E367A6" w:rsidRDefault="00E367A6" w:rsidP="00E367A6">
      <w:pPr>
        <w:pStyle w:val="Amain"/>
        <w:rPr>
          <w:lang w:val="en" w:eastAsia="en-AU"/>
        </w:rPr>
      </w:pPr>
      <w:r>
        <w:rPr>
          <w:lang w:val="en" w:eastAsia="en-AU"/>
        </w:rPr>
        <w:lastRenderedPageBreak/>
        <w:tab/>
      </w:r>
      <w:r w:rsidRPr="00E367A6">
        <w:rPr>
          <w:lang w:val="en" w:eastAsia="en-AU"/>
        </w:rPr>
        <w:t>(3)</w:t>
      </w:r>
      <w:r>
        <w:rPr>
          <w:lang w:val="en" w:eastAsia="en-AU"/>
        </w:rPr>
        <w:tab/>
      </w:r>
      <w:r w:rsidRPr="00E367A6">
        <w:rPr>
          <w:lang w:val="en" w:eastAsia="en-AU"/>
        </w:rPr>
        <w:t>However, subsection (2)(a) applies only to a thing done by the Regulator or a protected person in good faith.</w:t>
      </w:r>
    </w:p>
    <w:p w14:paraId="69045B86" w14:textId="77777777" w:rsidR="00E367A6" w:rsidRPr="00E367A6" w:rsidRDefault="00E367A6" w:rsidP="00E367A6">
      <w:pPr>
        <w:pStyle w:val="aNote"/>
        <w:rPr>
          <w:lang w:val="en" w:eastAsia="en-AU"/>
        </w:rPr>
      </w:pPr>
      <w:r w:rsidRPr="00E367A6">
        <w:rPr>
          <w:i/>
          <w:iCs/>
          <w:lang w:val="en" w:eastAsia="en-AU"/>
        </w:rPr>
        <w:t>Note</w:t>
      </w:r>
      <w:r w:rsidRPr="00E367A6">
        <w:rPr>
          <w:lang w:val="en" w:eastAsia="en-AU"/>
        </w:rPr>
        <w:t>—</w:t>
      </w:r>
    </w:p>
    <w:p w14:paraId="67380589" w14:textId="77777777" w:rsidR="00E367A6" w:rsidRPr="00E367A6" w:rsidRDefault="00E367A6" w:rsidP="00E367A6">
      <w:pPr>
        <w:pStyle w:val="aNote"/>
        <w:rPr>
          <w:lang w:val="en" w:eastAsia="en-AU"/>
        </w:rPr>
      </w:pPr>
      <w:r w:rsidRPr="00E367A6">
        <w:rPr>
          <w:lang w:val="en" w:eastAsia="en-AU"/>
        </w:rPr>
        <w:t>See also section 698 in relation to civil liability for a thing done in good faith.</w:t>
      </w:r>
    </w:p>
    <w:p w14:paraId="6B393B26" w14:textId="77777777" w:rsidR="00E367A6" w:rsidRPr="00E367A6" w:rsidRDefault="00B0569B" w:rsidP="00B0569B">
      <w:pPr>
        <w:pStyle w:val="Amain"/>
        <w:rPr>
          <w:lang w:val="en" w:eastAsia="en-AU"/>
        </w:rPr>
      </w:pPr>
      <w:r>
        <w:rPr>
          <w:lang w:val="en" w:eastAsia="en-AU"/>
        </w:rPr>
        <w:tab/>
      </w:r>
      <w:r w:rsidR="00E367A6" w:rsidRPr="00E367A6">
        <w:rPr>
          <w:lang w:val="en" w:eastAsia="en-AU"/>
        </w:rPr>
        <w:t>(4)</w:t>
      </w:r>
      <w:r>
        <w:rPr>
          <w:lang w:val="en" w:eastAsia="en-AU"/>
        </w:rPr>
        <w:tab/>
      </w:r>
      <w:r w:rsidR="00E367A6" w:rsidRPr="00E367A6">
        <w:rPr>
          <w:lang w:val="en" w:eastAsia="en-AU"/>
        </w:rPr>
        <w:t>A reference in this section to doing a thing includes a reference to omitting to do a thing.</w:t>
      </w:r>
    </w:p>
    <w:p w14:paraId="0D9F0D9B" w14:textId="77777777" w:rsidR="00E367A6" w:rsidRPr="00E367A6" w:rsidRDefault="00B0569B" w:rsidP="00B0569B">
      <w:pPr>
        <w:pStyle w:val="Amain"/>
        <w:rPr>
          <w:lang w:val="en" w:eastAsia="en-AU"/>
        </w:rPr>
      </w:pPr>
      <w:r>
        <w:rPr>
          <w:lang w:val="en" w:eastAsia="en-AU"/>
        </w:rPr>
        <w:tab/>
      </w:r>
      <w:r w:rsidR="00E367A6" w:rsidRPr="00E367A6">
        <w:rPr>
          <w:lang w:val="en" w:eastAsia="en-AU"/>
        </w:rPr>
        <w:t>(5)</w:t>
      </w:r>
      <w:r>
        <w:rPr>
          <w:lang w:val="en" w:eastAsia="en-AU"/>
        </w:rPr>
        <w:tab/>
      </w:r>
      <w:r w:rsidR="00E367A6" w:rsidRPr="00E367A6">
        <w:rPr>
          <w:lang w:val="en" w:eastAsia="en-AU"/>
        </w:rPr>
        <w:t>In this section—</w:t>
      </w:r>
    </w:p>
    <w:p w14:paraId="29D99CE5" w14:textId="77777777" w:rsidR="00E367A6" w:rsidRPr="00E367A6" w:rsidRDefault="00E367A6" w:rsidP="00B0569B">
      <w:pPr>
        <w:pStyle w:val="aDef"/>
        <w:rPr>
          <w:lang w:val="en" w:eastAsia="en-AU"/>
        </w:rPr>
      </w:pPr>
      <w:r w:rsidRPr="00E367A6">
        <w:rPr>
          <w:b/>
          <w:bCs/>
          <w:i/>
          <w:iCs/>
          <w:lang w:val="en" w:eastAsia="en-AU"/>
        </w:rPr>
        <w:t>protected person</w:t>
      </w:r>
      <w:r w:rsidRPr="00E367A6">
        <w:rPr>
          <w:lang w:val="en" w:eastAsia="en-AU"/>
        </w:rPr>
        <w:t xml:space="preserve"> see section 698(3).</w:t>
      </w:r>
    </w:p>
    <w:p w14:paraId="1C64CFC4" w14:textId="77777777" w:rsidR="001571AF" w:rsidRPr="001571AF" w:rsidRDefault="001571AF" w:rsidP="001571AF">
      <w:pPr>
        <w:pStyle w:val="PageBreak"/>
      </w:pPr>
      <w:r w:rsidRPr="001571AF">
        <w:br w:type="page"/>
      </w:r>
    </w:p>
    <w:p w14:paraId="62834C1F" w14:textId="77777777" w:rsidR="00DB6E47" w:rsidRPr="005E03F7" w:rsidRDefault="00DB6E47" w:rsidP="001571AF">
      <w:pPr>
        <w:pStyle w:val="AH1Chapter"/>
      </w:pPr>
      <w:bookmarkStart w:id="872" w:name="_Toc83626216"/>
      <w:r w:rsidRPr="005E03F7">
        <w:rPr>
          <w:rStyle w:val="CharChapNo"/>
        </w:rPr>
        <w:lastRenderedPageBreak/>
        <w:t xml:space="preserve">Chapter 13 </w:t>
      </w:r>
      <w:r w:rsidRPr="007E1F9A">
        <w:tab/>
      </w:r>
      <w:r w:rsidRPr="005E03F7">
        <w:rPr>
          <w:rStyle w:val="CharChapText"/>
        </w:rPr>
        <w:t>General</w:t>
      </w:r>
      <w:bookmarkEnd w:id="872"/>
    </w:p>
    <w:p w14:paraId="620C2AC2" w14:textId="77777777" w:rsidR="00DB6E47" w:rsidRPr="005E03F7" w:rsidRDefault="00DB6E47" w:rsidP="00DB6E47">
      <w:pPr>
        <w:pStyle w:val="AH2Part"/>
      </w:pPr>
      <w:bookmarkStart w:id="873" w:name="_Toc83626217"/>
      <w:r w:rsidRPr="005E03F7">
        <w:rPr>
          <w:rStyle w:val="CharPartNo"/>
        </w:rPr>
        <w:t xml:space="preserve">Part 13.1 </w:t>
      </w:r>
      <w:r w:rsidRPr="00A95F9A">
        <w:rPr>
          <w:rFonts w:ascii="Helvetica" w:hAnsi="Helvetica" w:cs="Helvetica"/>
          <w:iCs/>
          <w:szCs w:val="32"/>
        </w:rPr>
        <w:tab/>
      </w:r>
      <w:r w:rsidRPr="005E03F7">
        <w:rPr>
          <w:rStyle w:val="CharPartText"/>
          <w:rFonts w:ascii="Helvetica" w:hAnsi="Helvetica" w:cs="Helvetica"/>
          <w:iCs/>
          <w:szCs w:val="32"/>
        </w:rPr>
        <w:t>General offences</w:t>
      </w:r>
      <w:bookmarkEnd w:id="873"/>
    </w:p>
    <w:p w14:paraId="07D14B18" w14:textId="77777777" w:rsidR="00DB6E47" w:rsidRPr="005E03F7" w:rsidRDefault="00DB6E47" w:rsidP="00DB6E47">
      <w:pPr>
        <w:pStyle w:val="AH3Div"/>
      </w:pPr>
      <w:bookmarkStart w:id="874" w:name="_Toc83626218"/>
      <w:r w:rsidRPr="005E03F7">
        <w:rPr>
          <w:rStyle w:val="CharDivNo"/>
        </w:rPr>
        <w:t xml:space="preserve">Division 1 </w:t>
      </w:r>
      <w:r w:rsidRPr="00A95F9A">
        <w:rPr>
          <w:rFonts w:ascii="Helvetica" w:hAnsi="Helvetica" w:cs="Helvetica"/>
          <w:iCs/>
          <w:szCs w:val="28"/>
        </w:rPr>
        <w:tab/>
      </w:r>
      <w:r w:rsidRPr="005E03F7">
        <w:rPr>
          <w:rStyle w:val="CharDivText"/>
          <w:rFonts w:ascii="Helvetica" w:hAnsi="Helvetica" w:cs="Helvetica"/>
          <w:iCs/>
          <w:szCs w:val="28"/>
        </w:rPr>
        <w:t>Offence about discrimination or victimisation</w:t>
      </w:r>
      <w:bookmarkEnd w:id="874"/>
    </w:p>
    <w:p w14:paraId="033A7971" w14:textId="77777777" w:rsidR="00DB6E47" w:rsidRPr="007E1F9A" w:rsidRDefault="00DB6E47" w:rsidP="00DB6E47">
      <w:pPr>
        <w:pStyle w:val="AH5Sec"/>
      </w:pPr>
      <w:bookmarkStart w:id="875" w:name="_Toc83626219"/>
      <w:r w:rsidRPr="005E03F7">
        <w:rPr>
          <w:rStyle w:val="CharSectNo"/>
        </w:rPr>
        <w:t>699</w:t>
      </w:r>
      <w:r w:rsidRPr="007E1F9A">
        <w:tab/>
      </w:r>
      <w:r w:rsidRPr="007E1F9A">
        <w:rPr>
          <w:rFonts w:ascii="Helvetica" w:hAnsi="Helvetica" w:cs="Helvetica"/>
          <w:iCs/>
        </w:rPr>
        <w:t>Discrimination against or victimisation of employees</w:t>
      </w:r>
      <w:bookmarkEnd w:id="875"/>
    </w:p>
    <w:p w14:paraId="75518D7C" w14:textId="77777777" w:rsidR="00DB6E47" w:rsidRPr="002F157F" w:rsidRDefault="00DB6E47" w:rsidP="00DB6E47">
      <w:pPr>
        <w:pStyle w:val="Amain"/>
      </w:pPr>
      <w:r w:rsidRPr="002F157F">
        <w:tab/>
        <w:t>(1)</w:t>
      </w:r>
      <w:r w:rsidRPr="002F157F">
        <w:tab/>
        <w:t>An employer must not dismiss an employee, or otherwise prejudice an employee in the employee’s employment, for the reason that the employee—</w:t>
      </w:r>
    </w:p>
    <w:p w14:paraId="54ADB90C" w14:textId="77777777" w:rsidR="00DB6E47" w:rsidRPr="00544ED5" w:rsidRDefault="00DB6E47" w:rsidP="00DB6E47">
      <w:pPr>
        <w:pStyle w:val="Apara"/>
      </w:pPr>
      <w:r w:rsidRPr="00544ED5">
        <w:tab/>
        <w:t>(a)</w:t>
      </w:r>
      <w:r w:rsidRPr="00544ED5">
        <w:tab/>
        <w:t>has helped or given information to a public authority or law enforcement agency in relation to a contravention or alleged contravention of this Law; or</w:t>
      </w:r>
    </w:p>
    <w:p w14:paraId="27A0DA9A" w14:textId="77777777" w:rsidR="00DB6E47" w:rsidRPr="00544ED5" w:rsidRDefault="00DB6E47" w:rsidP="0062288F">
      <w:pPr>
        <w:pStyle w:val="Apara"/>
        <w:keepNext/>
      </w:pPr>
      <w:r w:rsidRPr="00544ED5">
        <w:tab/>
        <w:t>(b)</w:t>
      </w:r>
      <w:r w:rsidRPr="00544ED5">
        <w:tab/>
        <w:t>has made a complaint about a contravention or alleged contravention of this Law to an employer, former employer, fellow employee, former fellow employee, union or public authority or law enforcement agency.</w:t>
      </w:r>
    </w:p>
    <w:p w14:paraId="60EF063B" w14:textId="77777777" w:rsidR="00DB6E47" w:rsidRPr="00C96203" w:rsidRDefault="00DB6E47" w:rsidP="00DB6E47">
      <w:pPr>
        <w:pStyle w:val="aExamHdgss"/>
      </w:pPr>
      <w:r w:rsidRPr="00C96203">
        <w:rPr>
          <w:rFonts w:cs="Times"/>
          <w:bCs/>
          <w:iCs/>
        </w:rPr>
        <w:t>Examples of prejudicial conduct in relation to an employee’s employment—</w:t>
      </w:r>
    </w:p>
    <w:p w14:paraId="4CCEFFCB" w14:textId="77777777" w:rsidR="00DB6E47" w:rsidRPr="00C96203" w:rsidRDefault="00DB6E47" w:rsidP="0062288F">
      <w:pPr>
        <w:pStyle w:val="aExamBulletss"/>
        <w:keepNext/>
      </w:pPr>
      <w:r w:rsidRPr="00C96203">
        <w:t xml:space="preserve">• </w:t>
      </w:r>
      <w:r w:rsidRPr="00C96203">
        <w:tab/>
        <w:t>demotion of the employee</w:t>
      </w:r>
    </w:p>
    <w:p w14:paraId="3C37D9FA" w14:textId="77777777" w:rsidR="00DB6E47" w:rsidRPr="00C96203" w:rsidRDefault="00DB6E47" w:rsidP="00DB6E47">
      <w:pPr>
        <w:pStyle w:val="aExamBulletss"/>
      </w:pPr>
      <w:r w:rsidRPr="00C96203">
        <w:t xml:space="preserve">• </w:t>
      </w:r>
      <w:r w:rsidRPr="00C96203">
        <w:tab/>
        <w:t>unwarranted transfer of the employee</w:t>
      </w:r>
    </w:p>
    <w:p w14:paraId="45B20D62" w14:textId="77777777" w:rsidR="00DB6E47" w:rsidRPr="00C96203" w:rsidRDefault="00DB6E47" w:rsidP="00DB6E47">
      <w:pPr>
        <w:pStyle w:val="aExamBulletss"/>
      </w:pPr>
      <w:r w:rsidRPr="00C96203">
        <w:t xml:space="preserve">• </w:t>
      </w:r>
      <w:r w:rsidRPr="00C96203">
        <w:tab/>
        <w:t>reducing the employee’s terms of employment</w:t>
      </w:r>
    </w:p>
    <w:p w14:paraId="5AB83FF7" w14:textId="77777777" w:rsidR="00DB6E47" w:rsidRPr="006C3305" w:rsidRDefault="00DB6E47" w:rsidP="00DB6E47">
      <w:pPr>
        <w:pStyle w:val="Penalty"/>
      </w:pPr>
      <w:r w:rsidRPr="00D91CC2">
        <w:rPr>
          <w:rFonts w:cs="Times"/>
          <w:bCs/>
          <w:iCs/>
        </w:rPr>
        <w:t>Maximum penalty—$10000.</w:t>
      </w:r>
    </w:p>
    <w:p w14:paraId="697ADEFD" w14:textId="77777777" w:rsidR="00DB6E47" w:rsidRPr="002F157F" w:rsidRDefault="00DB6E47" w:rsidP="00DB6E47">
      <w:pPr>
        <w:pStyle w:val="Amain"/>
      </w:pPr>
      <w:r w:rsidRPr="002F157F">
        <w:tab/>
        <w:t>(2)</w:t>
      </w:r>
      <w:r w:rsidRPr="002F157F">
        <w:tab/>
        <w:t>An employer must not fail to offer employment to a prospective employee, or in offering employment to a prospective employee treat the prospective employee less favourably than another prospective employee would be treated in similar circumstances, for the reason that the prospective employee—</w:t>
      </w:r>
    </w:p>
    <w:p w14:paraId="29C97E35" w14:textId="77777777" w:rsidR="00DB6E47" w:rsidRPr="00544ED5" w:rsidRDefault="00DB6E47" w:rsidP="00DB6E47">
      <w:pPr>
        <w:pStyle w:val="Apara"/>
      </w:pPr>
      <w:r w:rsidRPr="00544ED5">
        <w:tab/>
        <w:t>(a)</w:t>
      </w:r>
      <w:r w:rsidRPr="00544ED5">
        <w:tab/>
        <w:t>has helped or given information to a public authority or law enforcement agency in relation to a contravention or alleged contravention of this Law; or</w:t>
      </w:r>
    </w:p>
    <w:p w14:paraId="31FB791E" w14:textId="77777777" w:rsidR="00DB6E47" w:rsidRPr="00544ED5" w:rsidRDefault="00DB6E47" w:rsidP="00DB6E47">
      <w:pPr>
        <w:pStyle w:val="Apara"/>
      </w:pPr>
      <w:r w:rsidRPr="00544ED5">
        <w:lastRenderedPageBreak/>
        <w:tab/>
        <w:t>(b)</w:t>
      </w:r>
      <w:r w:rsidRPr="00544ED5">
        <w:tab/>
        <w:t>has made a complaint about a contravention or alleged contravention of this Law to an employer, former employer, fellow employee, former fellow employee, union or public authority or law enforcement agency.</w:t>
      </w:r>
    </w:p>
    <w:p w14:paraId="176240C7" w14:textId="77777777" w:rsidR="00DB6E47" w:rsidRPr="006C3305" w:rsidRDefault="00DB6E47" w:rsidP="00DB6E47">
      <w:pPr>
        <w:pStyle w:val="Penalty"/>
      </w:pPr>
      <w:r w:rsidRPr="00D91CC2">
        <w:rPr>
          <w:rFonts w:cs="Times"/>
          <w:bCs/>
          <w:iCs/>
        </w:rPr>
        <w:t>Maximum penalty—$10000.</w:t>
      </w:r>
    </w:p>
    <w:p w14:paraId="2F5BD3B5" w14:textId="77777777" w:rsidR="00DB6E47" w:rsidRPr="002F157F" w:rsidRDefault="00DB6E47" w:rsidP="00DB6E47">
      <w:pPr>
        <w:pStyle w:val="Amain"/>
      </w:pPr>
      <w:r w:rsidRPr="002F157F">
        <w:tab/>
        <w:t>(3)</w:t>
      </w:r>
      <w:r w:rsidRPr="002F157F">
        <w:tab/>
        <w:t xml:space="preserve">In a proceeding for an offence against </w:t>
      </w:r>
      <w:r w:rsidR="00371FCC">
        <w:t xml:space="preserve">subsection </w:t>
      </w:r>
      <w:r w:rsidRPr="002F157F">
        <w:t>(1)</w:t>
      </w:r>
      <w:r w:rsidR="00371FCC">
        <w:t xml:space="preserve"> </w:t>
      </w:r>
      <w:r w:rsidRPr="002F157F">
        <w:t>or (2), if all the facts constituting the offence other than the reason for the defendant’s action are proved, the defendant has the onus of proving that the defendant’s action was not for the reason alleged in the charge for the offence.</w:t>
      </w:r>
    </w:p>
    <w:p w14:paraId="70D5902E" w14:textId="77777777" w:rsidR="00DB6E47" w:rsidRPr="002F157F" w:rsidRDefault="00DB6E47" w:rsidP="00DB6E47">
      <w:pPr>
        <w:pStyle w:val="Amain"/>
      </w:pPr>
      <w:r w:rsidRPr="002F157F">
        <w:tab/>
        <w:t>(4)</w:t>
      </w:r>
      <w:r w:rsidRPr="002F157F">
        <w:tab/>
        <w:t>In this section—</w:t>
      </w:r>
    </w:p>
    <w:p w14:paraId="4C093536" w14:textId="77777777" w:rsidR="00DB6E47" w:rsidRPr="00041046" w:rsidRDefault="00DB6E47" w:rsidP="00DB6E47">
      <w:pPr>
        <w:pStyle w:val="aDef"/>
        <w:rPr>
          <w:bCs/>
        </w:rPr>
      </w:pPr>
      <w:r w:rsidRPr="00041046">
        <w:rPr>
          <w:rStyle w:val="charBoldItals"/>
        </w:rPr>
        <w:t>employee</w:t>
      </w:r>
      <w:r w:rsidRPr="00041046">
        <w:t xml:space="preserve"> includes an individual who works under a contract for services.</w:t>
      </w:r>
    </w:p>
    <w:p w14:paraId="184B463D" w14:textId="77777777" w:rsidR="00DB6E47" w:rsidRPr="00041046" w:rsidRDefault="00DB6E47" w:rsidP="00DB6E47">
      <w:pPr>
        <w:pStyle w:val="aDef"/>
        <w:rPr>
          <w:bCs/>
        </w:rPr>
      </w:pPr>
      <w:r w:rsidRPr="00041046">
        <w:rPr>
          <w:rStyle w:val="charBoldItals"/>
        </w:rPr>
        <w:t>employer</w:t>
      </w:r>
      <w:r w:rsidRPr="00041046">
        <w:t>, of a prospective employee, includes a prospective employer of the employee.</w:t>
      </w:r>
    </w:p>
    <w:p w14:paraId="1AD26209" w14:textId="77777777" w:rsidR="00DB6E47" w:rsidRPr="007E1F9A" w:rsidRDefault="00DB6E47" w:rsidP="00DB6E47">
      <w:pPr>
        <w:pStyle w:val="AH5Sec"/>
      </w:pPr>
      <w:bookmarkStart w:id="876" w:name="_Toc83626220"/>
      <w:r w:rsidRPr="005E03F7">
        <w:rPr>
          <w:rStyle w:val="CharSectNo"/>
        </w:rPr>
        <w:t>700</w:t>
      </w:r>
      <w:r w:rsidRPr="007E1F9A">
        <w:tab/>
      </w:r>
      <w:r w:rsidRPr="007E1F9A">
        <w:rPr>
          <w:rFonts w:ascii="Helvetica" w:hAnsi="Helvetica" w:cs="Helvetica"/>
          <w:iCs/>
        </w:rPr>
        <w:t>Order for damages or reinstatement</w:t>
      </w:r>
      <w:bookmarkEnd w:id="876"/>
    </w:p>
    <w:p w14:paraId="1407BEE0" w14:textId="77777777" w:rsidR="00DB6E47" w:rsidRPr="002F157F" w:rsidRDefault="00DB6E47" w:rsidP="00DB6E47">
      <w:pPr>
        <w:pStyle w:val="Amain"/>
      </w:pPr>
      <w:r w:rsidRPr="002F157F">
        <w:tab/>
        <w:t>(1)</w:t>
      </w:r>
      <w:r w:rsidRPr="002F157F">
        <w:tab/>
        <w:t>This section applies if a court convicts an employer of an offence against section 699 in relation to an employee or prospective employee.</w:t>
      </w:r>
    </w:p>
    <w:p w14:paraId="0832556B" w14:textId="77777777" w:rsidR="00DB6E47" w:rsidRPr="002F157F" w:rsidRDefault="00DB6E47" w:rsidP="00DB6E47">
      <w:pPr>
        <w:pStyle w:val="Amain"/>
      </w:pPr>
      <w:r w:rsidRPr="002F157F">
        <w:tab/>
        <w:t>(2)</w:t>
      </w:r>
      <w:r w:rsidRPr="002F157F">
        <w:tab/>
        <w:t>In addition to imposing a penalty, the court may make 1 or more of the following orders—</w:t>
      </w:r>
    </w:p>
    <w:p w14:paraId="0E03ACA3" w14:textId="77777777" w:rsidR="00DB6E47" w:rsidRPr="00544ED5" w:rsidRDefault="00DB6E47" w:rsidP="00DB6E47">
      <w:pPr>
        <w:pStyle w:val="Apara"/>
      </w:pPr>
      <w:r w:rsidRPr="00544ED5">
        <w:tab/>
        <w:t>(a)</w:t>
      </w:r>
      <w:r w:rsidRPr="00544ED5">
        <w:tab/>
        <w:t>an order that the employer pay, within a stated period, the employee or prospective employee the damages the court considers appropriate to compensate the employee or prospective employee;</w:t>
      </w:r>
    </w:p>
    <w:p w14:paraId="3E02969F" w14:textId="77777777" w:rsidR="00DB6E47" w:rsidRPr="00544ED5" w:rsidRDefault="00DB6E47" w:rsidP="00DB6E47">
      <w:pPr>
        <w:pStyle w:val="Apara"/>
      </w:pPr>
      <w:r w:rsidRPr="00544ED5">
        <w:tab/>
        <w:t>(b)</w:t>
      </w:r>
      <w:r w:rsidRPr="00544ED5">
        <w:tab/>
        <w:t>for an employee—an order that the employee be reinstated or re-employed in the employee’s former position or, if that position is not available, in a similar position;</w:t>
      </w:r>
    </w:p>
    <w:p w14:paraId="04592E74" w14:textId="77777777" w:rsidR="00DB6E47" w:rsidRPr="00544ED5" w:rsidRDefault="00DB6E47" w:rsidP="00DB6E47">
      <w:pPr>
        <w:pStyle w:val="Apara"/>
      </w:pPr>
      <w:r w:rsidRPr="00544ED5">
        <w:lastRenderedPageBreak/>
        <w:tab/>
        <w:t>(c)</w:t>
      </w:r>
      <w:r w:rsidRPr="00544ED5">
        <w:tab/>
        <w:t>for a prospective employee—an order that the prospective employee be employed in the position for which the prospective employee applied or, if that position is not available, in a similar position.</w:t>
      </w:r>
    </w:p>
    <w:p w14:paraId="6C57BFB3" w14:textId="77777777" w:rsidR="00DB6E47" w:rsidRPr="002F157F" w:rsidRDefault="00DB6E47" w:rsidP="00DB6E47">
      <w:pPr>
        <w:pStyle w:val="Amain"/>
      </w:pPr>
      <w:r w:rsidRPr="002F157F">
        <w:tab/>
        <w:t>(3)</w:t>
      </w:r>
      <w:r w:rsidRPr="002F157F">
        <w:tab/>
        <w:t>An order for damages under subsection (2)(a)—</w:t>
      </w:r>
    </w:p>
    <w:p w14:paraId="7D6232A1" w14:textId="77777777" w:rsidR="00DB6E47" w:rsidRPr="00544ED5" w:rsidRDefault="00DB6E47" w:rsidP="00DB6E47">
      <w:pPr>
        <w:pStyle w:val="Apara"/>
      </w:pPr>
      <w:r w:rsidRPr="00544ED5">
        <w:tab/>
        <w:t>(a)</w:t>
      </w:r>
      <w:r w:rsidRPr="00544ED5">
        <w:tab/>
        <w:t>can not be for an amount exceeding the monetary jurisdictional limit of the court in civil proceedings; and</w:t>
      </w:r>
    </w:p>
    <w:p w14:paraId="3B3D4D63" w14:textId="77777777" w:rsidR="00DB6E47" w:rsidRPr="00544ED5" w:rsidRDefault="00DB6E47" w:rsidP="00DB6E47">
      <w:pPr>
        <w:pStyle w:val="Apara"/>
      </w:pPr>
      <w:r w:rsidRPr="00544ED5">
        <w:tab/>
        <w:t>(b)</w:t>
      </w:r>
      <w:r w:rsidRPr="00544ED5">
        <w:tab/>
        <w:t>is taken to be, and is enforceable as, a judgment of the court sitting in civil proceedings.</w:t>
      </w:r>
    </w:p>
    <w:p w14:paraId="39CEB564" w14:textId="77777777" w:rsidR="00DB6E47" w:rsidRPr="002F157F" w:rsidRDefault="00DB6E47" w:rsidP="00DB6E47">
      <w:pPr>
        <w:pStyle w:val="Amain"/>
      </w:pPr>
      <w:r w:rsidRPr="002F157F">
        <w:tab/>
        <w:t>(4)</w:t>
      </w:r>
      <w:r w:rsidRPr="002F157F">
        <w:tab/>
        <w:t>A person against whom an ord</w:t>
      </w:r>
      <w:r w:rsidR="00371FCC">
        <w:t>er is made under subsection (2)</w:t>
      </w:r>
      <w:r w:rsidRPr="002F157F">
        <w:t>(b)</w:t>
      </w:r>
      <w:r w:rsidR="00371FCC">
        <w:t xml:space="preserve"> or </w:t>
      </w:r>
      <w:r w:rsidRPr="002F157F">
        <w:t>(c)</w:t>
      </w:r>
      <w:r w:rsidR="00371FCC">
        <w:t xml:space="preserve"> </w:t>
      </w:r>
      <w:r w:rsidRPr="002F157F">
        <w:t>must comply with the order.</w:t>
      </w:r>
    </w:p>
    <w:p w14:paraId="4A11A2C8" w14:textId="77777777" w:rsidR="00DB6E47" w:rsidRPr="006C3305" w:rsidRDefault="00DB6E47" w:rsidP="00DB6E47">
      <w:pPr>
        <w:pStyle w:val="Penalty"/>
      </w:pPr>
      <w:r w:rsidRPr="00D91CC2">
        <w:rPr>
          <w:rFonts w:cs="Times"/>
          <w:bCs/>
          <w:iCs/>
        </w:rPr>
        <w:t>Maximum penalty—$10000.</w:t>
      </w:r>
    </w:p>
    <w:p w14:paraId="219EAA40" w14:textId="77777777" w:rsidR="00DB6E47" w:rsidRPr="002F157F" w:rsidRDefault="00DB6E47" w:rsidP="0062288F">
      <w:pPr>
        <w:pStyle w:val="Amain"/>
        <w:keepNext/>
      </w:pPr>
      <w:r w:rsidRPr="002F157F">
        <w:tab/>
        <w:t>(5)</w:t>
      </w:r>
      <w:r w:rsidRPr="002F157F">
        <w:tab/>
        <w:t>In this section—</w:t>
      </w:r>
    </w:p>
    <w:p w14:paraId="5EF619B0" w14:textId="77777777" w:rsidR="00DB6E47" w:rsidRPr="00041046" w:rsidRDefault="00DB6E47" w:rsidP="00DB6E47">
      <w:pPr>
        <w:pStyle w:val="aDef"/>
        <w:rPr>
          <w:bCs/>
        </w:rPr>
      </w:pPr>
      <w:r w:rsidRPr="00041046">
        <w:rPr>
          <w:rStyle w:val="charBoldItals"/>
        </w:rPr>
        <w:t>employee</w:t>
      </w:r>
      <w:r w:rsidRPr="00041046">
        <w:t xml:space="preserve"> includes an individual who works under a contract for services.</w:t>
      </w:r>
    </w:p>
    <w:p w14:paraId="224456DF" w14:textId="77777777" w:rsidR="00DB6E47" w:rsidRPr="00041046" w:rsidRDefault="00DB6E47" w:rsidP="00DB6E47">
      <w:pPr>
        <w:pStyle w:val="aDef"/>
        <w:rPr>
          <w:bCs/>
        </w:rPr>
      </w:pPr>
      <w:r w:rsidRPr="00041046">
        <w:rPr>
          <w:rStyle w:val="charBoldItals"/>
        </w:rPr>
        <w:t>employer</w:t>
      </w:r>
      <w:r w:rsidRPr="00041046">
        <w:t>, of a prospective employee, includes a prospective employer of the employee.</w:t>
      </w:r>
    </w:p>
    <w:p w14:paraId="32C56C00" w14:textId="77777777" w:rsidR="00DB6E47" w:rsidRPr="005E03F7" w:rsidRDefault="00DB6E47" w:rsidP="00DB6E47">
      <w:pPr>
        <w:pStyle w:val="AH3Div"/>
      </w:pPr>
      <w:bookmarkStart w:id="877" w:name="_Toc83626221"/>
      <w:r w:rsidRPr="005E03F7">
        <w:rPr>
          <w:rStyle w:val="CharDivNo"/>
        </w:rPr>
        <w:t xml:space="preserve">Division 2 </w:t>
      </w:r>
      <w:r w:rsidRPr="00A95F9A">
        <w:rPr>
          <w:rFonts w:ascii="Helvetica" w:hAnsi="Helvetica" w:cs="Helvetica"/>
          <w:iCs/>
          <w:szCs w:val="28"/>
        </w:rPr>
        <w:tab/>
      </w:r>
      <w:r w:rsidRPr="005E03F7">
        <w:rPr>
          <w:rStyle w:val="CharDivText"/>
          <w:rFonts w:ascii="Helvetica" w:hAnsi="Helvetica" w:cs="Helvetica"/>
          <w:iCs/>
          <w:szCs w:val="28"/>
        </w:rPr>
        <w:t>Offences about false or misleading information</w:t>
      </w:r>
      <w:bookmarkEnd w:id="877"/>
    </w:p>
    <w:p w14:paraId="5ACCFE4F" w14:textId="77777777" w:rsidR="00DB6E47" w:rsidRPr="007E1F9A" w:rsidRDefault="00DB6E47" w:rsidP="00DB6E47">
      <w:pPr>
        <w:pStyle w:val="AH5Sec"/>
      </w:pPr>
      <w:bookmarkStart w:id="878" w:name="_Toc83626222"/>
      <w:r w:rsidRPr="005E03F7">
        <w:rPr>
          <w:rStyle w:val="CharSectNo"/>
        </w:rPr>
        <w:t>701</w:t>
      </w:r>
      <w:r w:rsidRPr="007E1F9A">
        <w:tab/>
      </w:r>
      <w:r w:rsidRPr="007E1F9A">
        <w:rPr>
          <w:rFonts w:ascii="Helvetica" w:hAnsi="Helvetica" w:cs="Helvetica"/>
          <w:iCs/>
        </w:rPr>
        <w:t>False or misleading statements</w:t>
      </w:r>
      <w:bookmarkEnd w:id="878"/>
    </w:p>
    <w:p w14:paraId="05451364" w14:textId="77777777" w:rsidR="00DB6E47" w:rsidRPr="002F157F" w:rsidRDefault="00DB6E47" w:rsidP="00DB6E47">
      <w:pPr>
        <w:pStyle w:val="Amain"/>
      </w:pPr>
      <w:r w:rsidRPr="002F157F">
        <w:tab/>
        <w:t>(1)</w:t>
      </w:r>
      <w:r w:rsidRPr="002F157F">
        <w:tab/>
        <w:t>A person commits an offence if the person makes a statement to an official that the person knows is false or misleading.</w:t>
      </w:r>
    </w:p>
    <w:p w14:paraId="46058C04" w14:textId="77777777" w:rsidR="00DB6E47" w:rsidRPr="006C3305" w:rsidRDefault="00DB6E47" w:rsidP="00DB6E47">
      <w:pPr>
        <w:pStyle w:val="Penalty"/>
      </w:pPr>
      <w:r w:rsidRPr="00D91CC2">
        <w:rPr>
          <w:rFonts w:cs="Times"/>
          <w:bCs/>
          <w:iCs/>
        </w:rPr>
        <w:t>Maximum penalty—$10000.</w:t>
      </w:r>
    </w:p>
    <w:p w14:paraId="5DD94121" w14:textId="77777777" w:rsidR="00DB6E47" w:rsidRPr="002F157F" w:rsidRDefault="00DB6E47" w:rsidP="00DB6E47">
      <w:pPr>
        <w:pStyle w:val="Amain"/>
      </w:pPr>
      <w:r w:rsidRPr="002F157F">
        <w:tab/>
        <w:t>(2)</w:t>
      </w:r>
      <w:r w:rsidRPr="002F157F">
        <w:tab/>
        <w:t>A person commits an offence if the person—</w:t>
      </w:r>
    </w:p>
    <w:p w14:paraId="72A47A5C" w14:textId="77777777" w:rsidR="00DB6E47" w:rsidRPr="00544ED5" w:rsidRDefault="00DB6E47" w:rsidP="00DB6E47">
      <w:pPr>
        <w:pStyle w:val="Apara"/>
      </w:pPr>
      <w:r w:rsidRPr="00544ED5">
        <w:tab/>
        <w:t>(a)</w:t>
      </w:r>
      <w:r w:rsidRPr="00544ED5">
        <w:tab/>
        <w:t>makes a statement to an official that is false or misleading; and</w:t>
      </w:r>
    </w:p>
    <w:p w14:paraId="2AF7006D" w14:textId="77777777" w:rsidR="00DB6E47" w:rsidRPr="00544ED5" w:rsidRDefault="00DB6E47" w:rsidP="002C669B">
      <w:pPr>
        <w:pStyle w:val="Apara"/>
        <w:keepNext/>
      </w:pPr>
      <w:r w:rsidRPr="00544ED5">
        <w:lastRenderedPageBreak/>
        <w:tab/>
        <w:t>(b)</w:t>
      </w:r>
      <w:r w:rsidRPr="00544ED5">
        <w:tab/>
        <w:t>is reckless as to whether the statement is false or misleading.</w:t>
      </w:r>
    </w:p>
    <w:p w14:paraId="60D829BE" w14:textId="77777777" w:rsidR="00DB6E47" w:rsidRPr="006C3305" w:rsidRDefault="00DB6E47" w:rsidP="00DB6E47">
      <w:pPr>
        <w:pStyle w:val="Penalty"/>
      </w:pPr>
      <w:r w:rsidRPr="00D91CC2">
        <w:rPr>
          <w:rFonts w:cs="Times"/>
          <w:bCs/>
          <w:iCs/>
        </w:rPr>
        <w:t>Maximum penalty—$8000.</w:t>
      </w:r>
    </w:p>
    <w:p w14:paraId="5FC63730" w14:textId="77777777" w:rsidR="00DB6E47" w:rsidRPr="002F157F" w:rsidRDefault="00371FCC" w:rsidP="00DB6E47">
      <w:pPr>
        <w:pStyle w:val="Amain"/>
      </w:pPr>
      <w:r>
        <w:tab/>
        <w:t>(3)</w:t>
      </w:r>
      <w:r>
        <w:tab/>
        <w:t xml:space="preserve">Subsections </w:t>
      </w:r>
      <w:r w:rsidR="00DB6E47" w:rsidRPr="002F157F">
        <w:t>(1)</w:t>
      </w:r>
      <w:r>
        <w:t xml:space="preserve"> and </w:t>
      </w:r>
      <w:r w:rsidR="00DB6E47" w:rsidRPr="002F157F">
        <w:t>(2)</w:t>
      </w:r>
      <w:r>
        <w:t xml:space="preserve"> </w:t>
      </w:r>
      <w:r w:rsidR="00DB6E47" w:rsidRPr="002F157F">
        <w:t>apply even if the statement was not given in response to, or in purported compliance with, a direction or requirement under this Law.</w:t>
      </w:r>
    </w:p>
    <w:p w14:paraId="52400C1F" w14:textId="77777777" w:rsidR="00DB6E47" w:rsidRPr="002F157F" w:rsidRDefault="00DB6E47" w:rsidP="00DB6E47">
      <w:pPr>
        <w:pStyle w:val="Amain"/>
      </w:pPr>
      <w:r w:rsidRPr="002F157F">
        <w:tab/>
        <w:t>(4)</w:t>
      </w:r>
      <w:r w:rsidRPr="002F157F">
        <w:tab/>
        <w:t>In a proceeding fo</w:t>
      </w:r>
      <w:r w:rsidR="00371FCC">
        <w:t xml:space="preserve">r an offence against subsection </w:t>
      </w:r>
      <w:r w:rsidRPr="002F157F">
        <w:t>(1)</w:t>
      </w:r>
      <w:r w:rsidR="00371FCC">
        <w:t xml:space="preserve"> </w:t>
      </w:r>
      <w:r w:rsidRPr="002F157F">
        <w:t>or (2), it is enough for a charge to state that the statement made was ‘false or misleading’, without specifying whether it was false or whether it was misleading.</w:t>
      </w:r>
    </w:p>
    <w:p w14:paraId="7E1DD960" w14:textId="77777777" w:rsidR="00DB6E47" w:rsidRPr="002F157F" w:rsidRDefault="00DB6E47" w:rsidP="009902F7">
      <w:pPr>
        <w:pStyle w:val="Amain"/>
        <w:keepNext/>
      </w:pPr>
      <w:r w:rsidRPr="002F157F">
        <w:tab/>
        <w:t>(5)</w:t>
      </w:r>
      <w:r w:rsidRPr="002F157F">
        <w:tab/>
        <w:t>In this section—</w:t>
      </w:r>
    </w:p>
    <w:p w14:paraId="5A292917" w14:textId="77777777" w:rsidR="00DB6E47" w:rsidRPr="00041046" w:rsidRDefault="00DB6E47" w:rsidP="009902F7">
      <w:pPr>
        <w:pStyle w:val="aDef"/>
        <w:keepNext/>
        <w:rPr>
          <w:bCs/>
        </w:rPr>
      </w:pPr>
      <w:r w:rsidRPr="00041046">
        <w:rPr>
          <w:rStyle w:val="charBoldItals"/>
        </w:rPr>
        <w:t>official</w:t>
      </w:r>
      <w:r w:rsidRPr="00041046">
        <w:t xml:space="preserve"> includes—</w:t>
      </w:r>
    </w:p>
    <w:p w14:paraId="781A42E0" w14:textId="77777777" w:rsidR="00DB6E47" w:rsidRPr="00544ED5" w:rsidRDefault="00DB6E47" w:rsidP="00DB6E47">
      <w:pPr>
        <w:pStyle w:val="Apara"/>
      </w:pPr>
      <w:r w:rsidRPr="00544ED5">
        <w:tab/>
        <w:t>(a)</w:t>
      </w:r>
      <w:r w:rsidRPr="00544ED5">
        <w:tab/>
        <w:t>TCA exercising a function under Chapter 7; and</w:t>
      </w:r>
    </w:p>
    <w:p w14:paraId="22847E51" w14:textId="77777777" w:rsidR="00DB6E47" w:rsidRPr="00544ED5" w:rsidRDefault="00DB6E47" w:rsidP="00DB6E47">
      <w:pPr>
        <w:pStyle w:val="Apara"/>
      </w:pPr>
      <w:r w:rsidRPr="00544ED5">
        <w:tab/>
        <w:t>(b)</w:t>
      </w:r>
      <w:r w:rsidRPr="00544ED5">
        <w:tab/>
        <w:t>a person exercising a function under this Law under the direction or authority of an official.</w:t>
      </w:r>
    </w:p>
    <w:p w14:paraId="4FEEB57A" w14:textId="77777777" w:rsidR="00DB6E47" w:rsidRPr="007E1F9A" w:rsidRDefault="00DB6E47" w:rsidP="00DB6E47">
      <w:pPr>
        <w:pStyle w:val="AH5Sec"/>
      </w:pPr>
      <w:bookmarkStart w:id="879" w:name="_Toc83626223"/>
      <w:r w:rsidRPr="005E03F7">
        <w:rPr>
          <w:rStyle w:val="CharSectNo"/>
        </w:rPr>
        <w:t>702</w:t>
      </w:r>
      <w:r w:rsidRPr="007E1F9A">
        <w:tab/>
      </w:r>
      <w:r w:rsidRPr="007E1F9A">
        <w:rPr>
          <w:rFonts w:ascii="Helvetica" w:hAnsi="Helvetica" w:cs="Helvetica"/>
          <w:iCs/>
        </w:rPr>
        <w:t>False or misleading documents</w:t>
      </w:r>
      <w:bookmarkEnd w:id="879"/>
    </w:p>
    <w:p w14:paraId="13B4F12D" w14:textId="77777777" w:rsidR="00DB6E47" w:rsidRPr="002F157F" w:rsidRDefault="00DB6E47" w:rsidP="00DB6E47">
      <w:pPr>
        <w:pStyle w:val="Amain"/>
      </w:pPr>
      <w:r w:rsidRPr="002F157F">
        <w:tab/>
        <w:t>(1)</w:t>
      </w:r>
      <w:r w:rsidRPr="002F157F">
        <w:tab/>
        <w:t>A person commits an offence if the person gives an official a document containing information the person knows is false or misleading.</w:t>
      </w:r>
    </w:p>
    <w:p w14:paraId="1F94F562" w14:textId="77777777" w:rsidR="00DB6E47" w:rsidRPr="006C3305" w:rsidRDefault="00DB6E47" w:rsidP="00DB6E47">
      <w:pPr>
        <w:pStyle w:val="Penalty"/>
      </w:pPr>
      <w:r w:rsidRPr="00D91CC2">
        <w:rPr>
          <w:rFonts w:cs="Times"/>
          <w:bCs/>
          <w:iCs/>
        </w:rPr>
        <w:t>Maximum penalty—$10000.</w:t>
      </w:r>
    </w:p>
    <w:p w14:paraId="3096869F" w14:textId="77777777" w:rsidR="00DB6E47" w:rsidRPr="002F157F" w:rsidRDefault="00371FCC" w:rsidP="00DB6E47">
      <w:pPr>
        <w:pStyle w:val="Amain"/>
      </w:pPr>
      <w:r>
        <w:tab/>
        <w:t>(2)</w:t>
      </w:r>
      <w:r>
        <w:tab/>
        <w:t xml:space="preserve">Subsection </w:t>
      </w:r>
      <w:r w:rsidR="00DB6E47" w:rsidRPr="002F157F">
        <w:t>(1)</w:t>
      </w:r>
      <w:r>
        <w:t xml:space="preserve"> </w:t>
      </w:r>
      <w:r w:rsidR="00DB6E47" w:rsidRPr="002F157F">
        <w:t>does not apply if the person, when giving the document—</w:t>
      </w:r>
    </w:p>
    <w:p w14:paraId="19B74952" w14:textId="77777777" w:rsidR="00DB6E47" w:rsidRPr="00544ED5" w:rsidRDefault="00DB6E47" w:rsidP="00DB6E47">
      <w:pPr>
        <w:pStyle w:val="Apara"/>
      </w:pPr>
      <w:r w:rsidRPr="00544ED5">
        <w:tab/>
        <w:t>(a)</w:t>
      </w:r>
      <w:r w:rsidRPr="00544ED5">
        <w:tab/>
        <w:t>tells the official how information contained in the document is false or misleading; and</w:t>
      </w:r>
    </w:p>
    <w:p w14:paraId="2784942D" w14:textId="77777777" w:rsidR="00DB6E47" w:rsidRPr="00544ED5" w:rsidRDefault="00DB6E47" w:rsidP="00DB6E47">
      <w:pPr>
        <w:pStyle w:val="Apara"/>
      </w:pPr>
      <w:r w:rsidRPr="00544ED5">
        <w:tab/>
        <w:t>(b)</w:t>
      </w:r>
      <w:r w:rsidRPr="00544ED5">
        <w:tab/>
        <w:t>if the person has the correct information—gives the correct information.</w:t>
      </w:r>
    </w:p>
    <w:p w14:paraId="24353D78" w14:textId="77777777" w:rsidR="00DB6E47" w:rsidRPr="002F157F" w:rsidRDefault="00DB6E47" w:rsidP="00E855B0">
      <w:pPr>
        <w:pStyle w:val="Amain"/>
        <w:keepNext/>
      </w:pPr>
      <w:r w:rsidRPr="002F157F">
        <w:lastRenderedPageBreak/>
        <w:tab/>
        <w:t>(3)</w:t>
      </w:r>
      <w:r w:rsidRPr="002F157F">
        <w:tab/>
        <w:t>A person commits an offence if the person—</w:t>
      </w:r>
    </w:p>
    <w:p w14:paraId="2983E422" w14:textId="77777777" w:rsidR="00DB6E47" w:rsidRPr="00544ED5" w:rsidRDefault="00DB6E47" w:rsidP="00DB6E47">
      <w:pPr>
        <w:pStyle w:val="Apara"/>
      </w:pPr>
      <w:r w:rsidRPr="00544ED5">
        <w:tab/>
        <w:t>(a)</w:t>
      </w:r>
      <w:r w:rsidRPr="00544ED5">
        <w:tab/>
        <w:t>gives an official a document containing information that is false or misleading; and</w:t>
      </w:r>
    </w:p>
    <w:p w14:paraId="43D3C764" w14:textId="77777777" w:rsidR="00DB6E47" w:rsidRPr="00544ED5" w:rsidRDefault="00DB6E47" w:rsidP="00DB6E47">
      <w:pPr>
        <w:pStyle w:val="Apara"/>
      </w:pPr>
      <w:r w:rsidRPr="00544ED5">
        <w:tab/>
        <w:t>(b)</w:t>
      </w:r>
      <w:r w:rsidRPr="00544ED5">
        <w:tab/>
        <w:t>is reckless as to whether information contained in the document is false or misleading.</w:t>
      </w:r>
    </w:p>
    <w:p w14:paraId="2E951568" w14:textId="77777777" w:rsidR="00DB6E47" w:rsidRPr="006C3305" w:rsidRDefault="00DB6E47" w:rsidP="00DB6E47">
      <w:pPr>
        <w:pStyle w:val="Penalty"/>
      </w:pPr>
      <w:r w:rsidRPr="00D91CC2">
        <w:rPr>
          <w:rFonts w:cs="Times"/>
          <w:bCs/>
          <w:iCs/>
        </w:rPr>
        <w:t>Maximum penalty—$8000.</w:t>
      </w:r>
    </w:p>
    <w:p w14:paraId="2862F499" w14:textId="77777777" w:rsidR="00DB6E47" w:rsidRPr="002F157F" w:rsidRDefault="00371FCC" w:rsidP="00DB6E47">
      <w:pPr>
        <w:pStyle w:val="Amain"/>
      </w:pPr>
      <w:r>
        <w:tab/>
        <w:t>(4)</w:t>
      </w:r>
      <w:r>
        <w:tab/>
        <w:t xml:space="preserve">Subsections </w:t>
      </w:r>
      <w:r w:rsidR="00DB6E47" w:rsidRPr="002F157F">
        <w:t>(1)</w:t>
      </w:r>
      <w:r>
        <w:t xml:space="preserve"> and </w:t>
      </w:r>
      <w:r w:rsidR="00DB6E47" w:rsidRPr="002F157F">
        <w:t>(3)</w:t>
      </w:r>
      <w:r>
        <w:t xml:space="preserve"> </w:t>
      </w:r>
      <w:r w:rsidR="00DB6E47" w:rsidRPr="002F157F">
        <w:t>apply even if the document was not given in response to, or in purported compliance with, a direction or requirement under this Law.</w:t>
      </w:r>
    </w:p>
    <w:p w14:paraId="774E65CC" w14:textId="77777777" w:rsidR="00DB6E47" w:rsidRPr="002F157F" w:rsidRDefault="00DB6E47" w:rsidP="009902F7">
      <w:pPr>
        <w:pStyle w:val="Amain"/>
        <w:keepLines/>
      </w:pPr>
      <w:r w:rsidRPr="002F157F">
        <w:tab/>
        <w:t>(5)</w:t>
      </w:r>
      <w:r w:rsidRPr="002F157F">
        <w:tab/>
        <w:t>In a proceeding fo</w:t>
      </w:r>
      <w:r w:rsidR="00371FCC">
        <w:t xml:space="preserve">r an offence against subsection </w:t>
      </w:r>
      <w:r w:rsidRPr="002F157F">
        <w:t>(1)</w:t>
      </w:r>
      <w:r w:rsidR="00371FCC">
        <w:t xml:space="preserve"> </w:t>
      </w:r>
      <w:r w:rsidRPr="002F157F">
        <w:t>or (3), it is enough for a charge to state that the information was ‘false or misleading’, without specifying whether it was false or whether it was misleading.</w:t>
      </w:r>
    </w:p>
    <w:p w14:paraId="15A4499C" w14:textId="77777777" w:rsidR="00DB6E47" w:rsidRPr="002F157F" w:rsidRDefault="00DB6E47" w:rsidP="00DB6E47">
      <w:pPr>
        <w:pStyle w:val="Amain"/>
      </w:pPr>
      <w:r w:rsidRPr="002F157F">
        <w:tab/>
        <w:t>(6)</w:t>
      </w:r>
      <w:r w:rsidRPr="002F157F">
        <w:tab/>
        <w:t>In this section—</w:t>
      </w:r>
    </w:p>
    <w:p w14:paraId="5AA89AF2" w14:textId="77777777" w:rsidR="00DB6E47" w:rsidRPr="00041046" w:rsidRDefault="00DB6E47" w:rsidP="00DB6E47">
      <w:pPr>
        <w:pStyle w:val="aDef"/>
        <w:rPr>
          <w:bCs/>
        </w:rPr>
      </w:pPr>
      <w:r w:rsidRPr="00041046">
        <w:rPr>
          <w:rStyle w:val="charBoldItals"/>
        </w:rPr>
        <w:t>official</w:t>
      </w:r>
      <w:r w:rsidRPr="00041046">
        <w:t xml:space="preserve"> includes—</w:t>
      </w:r>
    </w:p>
    <w:p w14:paraId="114D1560" w14:textId="77777777" w:rsidR="00DB6E47" w:rsidRPr="00371FCC" w:rsidRDefault="00DB6E47" w:rsidP="00DB6E47">
      <w:pPr>
        <w:pStyle w:val="aDefpara"/>
      </w:pPr>
      <w:r w:rsidRPr="00FF4454">
        <w:tab/>
      </w:r>
      <w:r w:rsidRPr="00F04D8E">
        <w:rPr>
          <w:rFonts w:cs="Times"/>
          <w:bCs/>
          <w:iCs/>
        </w:rPr>
        <w:t>(a)</w:t>
      </w:r>
      <w:r w:rsidRPr="00FF4454">
        <w:rPr>
          <w:rStyle w:val="charBoldItals"/>
        </w:rPr>
        <w:tab/>
      </w:r>
      <w:r w:rsidRPr="00371FCC">
        <w:t>TCA exercising a function under Chapter 7; and</w:t>
      </w:r>
    </w:p>
    <w:p w14:paraId="5539C716" w14:textId="77777777" w:rsidR="00DB6E47" w:rsidRPr="00371FCC" w:rsidRDefault="00DB6E47" w:rsidP="00DB6E47">
      <w:pPr>
        <w:pStyle w:val="aDefpara"/>
      </w:pPr>
      <w:r w:rsidRPr="00371FCC">
        <w:tab/>
        <w:t>(b)</w:t>
      </w:r>
      <w:r w:rsidRPr="00371FCC">
        <w:tab/>
        <w:t>a person exercising a function under this Law under the direction or authority of an official.</w:t>
      </w:r>
    </w:p>
    <w:p w14:paraId="24976E36" w14:textId="77777777" w:rsidR="00DB6E47" w:rsidRPr="007E1F9A" w:rsidRDefault="00DB6E47" w:rsidP="00DB6E47">
      <w:pPr>
        <w:pStyle w:val="AH5Sec"/>
      </w:pPr>
      <w:bookmarkStart w:id="880" w:name="_Toc83626224"/>
      <w:r w:rsidRPr="005E03F7">
        <w:rPr>
          <w:rStyle w:val="CharSectNo"/>
        </w:rPr>
        <w:t>703</w:t>
      </w:r>
      <w:r w:rsidRPr="007E1F9A">
        <w:tab/>
      </w:r>
      <w:r w:rsidRPr="007E1F9A">
        <w:rPr>
          <w:rFonts w:ascii="Helvetica" w:hAnsi="Helvetica" w:cs="Helvetica"/>
          <w:iCs/>
        </w:rPr>
        <w:t>False or misleading information given by responsible person to another responsible person</w:t>
      </w:r>
      <w:bookmarkEnd w:id="880"/>
    </w:p>
    <w:p w14:paraId="606BD193" w14:textId="77777777" w:rsidR="00DB6E47" w:rsidRPr="002F157F" w:rsidRDefault="00DB6E47" w:rsidP="00DB6E47">
      <w:pPr>
        <w:pStyle w:val="Amain"/>
      </w:pPr>
      <w:r w:rsidRPr="002F157F">
        <w:tab/>
        <w:t>(1)</w:t>
      </w:r>
      <w:r w:rsidRPr="002F157F">
        <w:tab/>
        <w:t xml:space="preserve">A responsible person for a heavy vehicle (the </w:t>
      </w:r>
      <w:r w:rsidRPr="00FF4454">
        <w:rPr>
          <w:rStyle w:val="charBoldItals"/>
        </w:rPr>
        <w:t>information giver</w:t>
      </w:r>
      <w:r w:rsidRPr="002F157F">
        <w:t xml:space="preserve">) must not give another responsible person for a heavy vehicle (the </w:t>
      </w:r>
      <w:r w:rsidRPr="00FF4454">
        <w:rPr>
          <w:rStyle w:val="charBoldItals"/>
        </w:rPr>
        <w:t>affected person</w:t>
      </w:r>
      <w:r w:rsidRPr="002F157F">
        <w:t>) information the information giver knows, or ought reasonably to know, is false or misleading in a material particular.</w:t>
      </w:r>
    </w:p>
    <w:p w14:paraId="2353EAF1" w14:textId="77777777" w:rsidR="00DB6E47" w:rsidRPr="006C3305" w:rsidRDefault="00DB6E47" w:rsidP="00DB6E47">
      <w:pPr>
        <w:pStyle w:val="Penalty"/>
      </w:pPr>
      <w:r w:rsidRPr="00D91CC2">
        <w:rPr>
          <w:rFonts w:cs="Times"/>
          <w:bCs/>
          <w:iCs/>
        </w:rPr>
        <w:t>Maximum penalty—$10000.</w:t>
      </w:r>
    </w:p>
    <w:p w14:paraId="6568E0A9" w14:textId="77777777" w:rsidR="00DB6E47" w:rsidRPr="00C96203" w:rsidRDefault="00DB6E47" w:rsidP="00DB6E47">
      <w:pPr>
        <w:pStyle w:val="aNote"/>
      </w:pPr>
      <w:r w:rsidRPr="00FF4454">
        <w:rPr>
          <w:rStyle w:val="charItals"/>
        </w:rPr>
        <w:t>Note</w:t>
      </w:r>
      <w:r w:rsidRPr="00C96203">
        <w:rPr>
          <w:rFonts w:cs="Times"/>
          <w:bCs/>
          <w:iCs/>
        </w:rPr>
        <w:t>—</w:t>
      </w:r>
    </w:p>
    <w:p w14:paraId="037FADAE" w14:textId="77777777" w:rsidR="00DB6E47" w:rsidRPr="00C96203" w:rsidRDefault="00DB6E47" w:rsidP="00DB6E47">
      <w:pPr>
        <w:pStyle w:val="aNoteTextss"/>
      </w:pPr>
      <w:r w:rsidRPr="00C96203">
        <w:t>See section 632 for the matters a court may consider when deciding whether a person ought reasonably to have known something.</w:t>
      </w:r>
    </w:p>
    <w:p w14:paraId="5436B078" w14:textId="77777777" w:rsidR="00DB6E47" w:rsidRPr="006C3305" w:rsidRDefault="00DB6E47" w:rsidP="00DB6E47">
      <w:pPr>
        <w:pStyle w:val="Amain"/>
      </w:pPr>
      <w:r>
        <w:lastRenderedPageBreak/>
        <w:tab/>
        <w:t>(</w:t>
      </w:r>
      <w:r w:rsidRPr="006C3305">
        <w:t>2)</w:t>
      </w:r>
      <w:r w:rsidRPr="006C3305">
        <w:tab/>
        <w:t xml:space="preserve">A responsible person for a heavy vehicle (also the </w:t>
      </w:r>
      <w:r w:rsidRPr="00FF4454">
        <w:rPr>
          <w:rStyle w:val="charBoldItals"/>
        </w:rPr>
        <w:t>information giver</w:t>
      </w:r>
      <w:r w:rsidRPr="006C3305">
        <w:t xml:space="preserve">) must not give another responsible person for a heavy vehicle (the </w:t>
      </w:r>
      <w:r w:rsidRPr="00FF4454">
        <w:rPr>
          <w:rStyle w:val="charBoldItals"/>
        </w:rPr>
        <w:t>affected person</w:t>
      </w:r>
      <w:r w:rsidRPr="006C3305">
        <w:t>) information that is false or misleading in a material particular if the information giver does so recklessly as to whether the information is false or misleading in the material particular.</w:t>
      </w:r>
    </w:p>
    <w:p w14:paraId="511CD7A4" w14:textId="77777777" w:rsidR="00DB6E47" w:rsidRPr="006C3305" w:rsidRDefault="00DB6E47" w:rsidP="00DB6E47">
      <w:pPr>
        <w:pStyle w:val="Penalty"/>
      </w:pPr>
      <w:r w:rsidRPr="00D91CC2">
        <w:rPr>
          <w:rFonts w:cs="Times"/>
          <w:bCs/>
          <w:iCs/>
        </w:rPr>
        <w:t>Maximum penalty—$8000.</w:t>
      </w:r>
    </w:p>
    <w:p w14:paraId="5A898592" w14:textId="77777777" w:rsidR="00DB6E47" w:rsidRPr="006C3305" w:rsidRDefault="00DB6E47" w:rsidP="00DB6E47">
      <w:pPr>
        <w:pStyle w:val="Amain"/>
      </w:pPr>
      <w:r>
        <w:tab/>
        <w:t>(</w:t>
      </w:r>
      <w:r w:rsidRPr="006C3305">
        <w:t>3)</w:t>
      </w:r>
      <w:r w:rsidRPr="006C3305">
        <w:tab/>
        <w:t>Subsections</w:t>
      </w:r>
      <w:r w:rsidR="00371FCC">
        <w:t xml:space="preserve"> </w:t>
      </w:r>
      <w:r>
        <w:t>(1)</w:t>
      </w:r>
      <w:r w:rsidR="00371FCC">
        <w:t xml:space="preserve"> </w:t>
      </w:r>
      <w:r w:rsidRPr="006C3305">
        <w:t>and</w:t>
      </w:r>
      <w:r w:rsidR="00371FCC">
        <w:t xml:space="preserve"> </w:t>
      </w:r>
      <w:r>
        <w:t>(2)</w:t>
      </w:r>
      <w:r w:rsidR="00371FCC">
        <w:t xml:space="preserve"> </w:t>
      </w:r>
      <w:r w:rsidRPr="006C3305">
        <w:t>do not apply if the affected person knew, or ought reasonably to have known, that the information was false or misleading in the material particular.</w:t>
      </w:r>
    </w:p>
    <w:p w14:paraId="68D60775" w14:textId="77777777" w:rsidR="00DB6E47" w:rsidRPr="002F157F" w:rsidRDefault="00DB6E47" w:rsidP="00DB6E47">
      <w:pPr>
        <w:pStyle w:val="Amain"/>
      </w:pPr>
      <w:r w:rsidRPr="002F157F">
        <w:tab/>
        <w:t>(4</w:t>
      </w:r>
      <w:r w:rsidR="00371FCC">
        <w:t>)</w:t>
      </w:r>
      <w:r w:rsidR="00371FCC">
        <w:tab/>
        <w:t xml:space="preserve">Subsection </w:t>
      </w:r>
      <w:r w:rsidRPr="002F157F">
        <w:t>(1)</w:t>
      </w:r>
      <w:r w:rsidR="00371FCC">
        <w:t xml:space="preserve"> or </w:t>
      </w:r>
      <w:r w:rsidRPr="002F157F">
        <w:t>(2)</w:t>
      </w:r>
      <w:r w:rsidR="00371FCC">
        <w:t xml:space="preserve"> </w:t>
      </w:r>
      <w:r w:rsidRPr="002F157F">
        <w:t>does not apply if the information giver gives the information in writing and, when giving the information—</w:t>
      </w:r>
    </w:p>
    <w:p w14:paraId="75E8F00A" w14:textId="77777777" w:rsidR="00DB6E47" w:rsidRPr="00544ED5" w:rsidRDefault="00DB6E47" w:rsidP="00DB6E47">
      <w:pPr>
        <w:pStyle w:val="Apara"/>
      </w:pPr>
      <w:r w:rsidRPr="00544ED5">
        <w:tab/>
        <w:t>(a)</w:t>
      </w:r>
      <w:r w:rsidRPr="00544ED5">
        <w:tab/>
        <w:t>tells the affected person how it is false or misleading; and</w:t>
      </w:r>
    </w:p>
    <w:p w14:paraId="044D95FD" w14:textId="77777777" w:rsidR="00DB6E47" w:rsidRPr="00544ED5" w:rsidRDefault="00DB6E47" w:rsidP="00DB6E47">
      <w:pPr>
        <w:pStyle w:val="Apara"/>
      </w:pPr>
      <w:r w:rsidRPr="00544ED5">
        <w:tab/>
        <w:t>(b)</w:t>
      </w:r>
      <w:r w:rsidRPr="00544ED5">
        <w:tab/>
        <w:t>if the information giver has the correct information—gives the correct information in writing.</w:t>
      </w:r>
    </w:p>
    <w:p w14:paraId="2F7FC32F" w14:textId="77777777" w:rsidR="00DB6E47" w:rsidRPr="002F157F" w:rsidRDefault="00371FCC" w:rsidP="00DB6E47">
      <w:pPr>
        <w:pStyle w:val="Amain"/>
      </w:pPr>
      <w:r>
        <w:tab/>
        <w:t>(5)</w:t>
      </w:r>
      <w:r>
        <w:tab/>
        <w:t xml:space="preserve">Subsection </w:t>
      </w:r>
      <w:r w:rsidR="00DB6E47" w:rsidRPr="002F157F">
        <w:t>(1)</w:t>
      </w:r>
      <w:r>
        <w:t xml:space="preserve"> or </w:t>
      </w:r>
      <w:r w:rsidR="00DB6E47" w:rsidRPr="002F157F">
        <w:t>(2)</w:t>
      </w:r>
      <w:r>
        <w:t xml:space="preserve"> </w:t>
      </w:r>
      <w:r w:rsidR="00DB6E47" w:rsidRPr="002F157F">
        <w:t>applies even if the information was not given in response to, or in purported compliance with, a direction or requirement under this Law.</w:t>
      </w:r>
    </w:p>
    <w:p w14:paraId="536FA55C" w14:textId="77777777" w:rsidR="00DB6E47" w:rsidRPr="002F157F" w:rsidRDefault="00DB6E47" w:rsidP="00DB6E47">
      <w:pPr>
        <w:pStyle w:val="Amain"/>
      </w:pPr>
      <w:r w:rsidRPr="002F157F">
        <w:tab/>
        <w:t>(6)</w:t>
      </w:r>
      <w:r w:rsidRPr="002F157F">
        <w:tab/>
        <w:t>In a proceeding for an offence against subsection</w:t>
      </w:r>
      <w:r w:rsidR="00371FCC">
        <w:t xml:space="preserve"> </w:t>
      </w:r>
      <w:r w:rsidRPr="002F157F">
        <w:t>(1)</w:t>
      </w:r>
      <w:r w:rsidR="00371FCC">
        <w:t xml:space="preserve"> </w:t>
      </w:r>
      <w:r w:rsidRPr="002F157F">
        <w:t>or (2)—</w:t>
      </w:r>
    </w:p>
    <w:p w14:paraId="7D27989A" w14:textId="77777777" w:rsidR="00DB6E47" w:rsidRPr="00544ED5" w:rsidRDefault="00DB6E47" w:rsidP="00DB6E47">
      <w:pPr>
        <w:pStyle w:val="Apara"/>
      </w:pPr>
      <w:r w:rsidRPr="00544ED5">
        <w:tab/>
        <w:t>(a)</w:t>
      </w:r>
      <w:r w:rsidRPr="00544ED5">
        <w:tab/>
        <w:t>it is enough for a charge to state that the statement made was ‘false or misleading’, without specifying whether it was false or whether it was misleading; and</w:t>
      </w:r>
    </w:p>
    <w:p w14:paraId="73165882" w14:textId="77777777" w:rsidR="00DB6E47" w:rsidRPr="00544ED5" w:rsidRDefault="00DB6E47" w:rsidP="00DB6E47">
      <w:pPr>
        <w:pStyle w:val="Apara"/>
      </w:pPr>
      <w:r w:rsidRPr="00544ED5">
        <w:tab/>
        <w:t>(b)</w:t>
      </w:r>
      <w:r w:rsidRPr="00544ED5">
        <w:tab/>
        <w:t>it is enough for a charge to state that the information given was false or misleading to the information giver’s knowledge, without specifying whether the information giver knew or ought reasonably to have known the information was false or misleading.</w:t>
      </w:r>
    </w:p>
    <w:p w14:paraId="3B4E6A23" w14:textId="77777777" w:rsidR="00DB6E47" w:rsidRPr="002F157F" w:rsidRDefault="00DB6E47" w:rsidP="003F6617">
      <w:pPr>
        <w:pStyle w:val="Amain"/>
        <w:keepNext/>
      </w:pPr>
      <w:r w:rsidRPr="002F157F">
        <w:lastRenderedPageBreak/>
        <w:tab/>
        <w:t>(7)</w:t>
      </w:r>
      <w:r w:rsidRPr="002F157F">
        <w:tab/>
        <w:t>In this section—</w:t>
      </w:r>
    </w:p>
    <w:p w14:paraId="4A4AA4BE" w14:textId="77777777" w:rsidR="00DB6E47" w:rsidRPr="00041046" w:rsidRDefault="00DB6E47" w:rsidP="003F6617">
      <w:pPr>
        <w:pStyle w:val="aDef"/>
        <w:keepNext/>
        <w:rPr>
          <w:bCs/>
        </w:rPr>
      </w:pPr>
      <w:r w:rsidRPr="00041046">
        <w:rPr>
          <w:rStyle w:val="charBoldItals"/>
        </w:rPr>
        <w:t>information</w:t>
      </w:r>
      <w:r w:rsidRPr="00041046">
        <w:t xml:space="preserve"> means information in any form, whether or not in writing.</w:t>
      </w:r>
    </w:p>
    <w:p w14:paraId="2C9EF9AC" w14:textId="77777777" w:rsidR="00DB6E47" w:rsidRPr="00041046" w:rsidRDefault="00DB6E47" w:rsidP="00DB6E47">
      <w:pPr>
        <w:pStyle w:val="aDef"/>
        <w:rPr>
          <w:bCs/>
        </w:rPr>
      </w:pPr>
      <w:r w:rsidRPr="00041046">
        <w:rPr>
          <w:rStyle w:val="charBoldItals"/>
        </w:rPr>
        <w:t>material particular</w:t>
      </w:r>
      <w:r w:rsidRPr="00041046">
        <w:t xml:space="preserve"> means a particular relating to an element of an offence against this Law that is or could be committed by </w:t>
      </w:r>
      <w:r w:rsidR="00371FCC">
        <w:t xml:space="preserve">a person mentioned in paragraph </w:t>
      </w:r>
      <w:r w:rsidRPr="00041046">
        <w:t>(a)</w:t>
      </w:r>
      <w:r w:rsidR="00371FCC">
        <w:t xml:space="preserve"> or </w:t>
      </w:r>
      <w:r w:rsidRPr="00041046">
        <w:t>(b)</w:t>
      </w:r>
      <w:r w:rsidR="00371FCC">
        <w:t xml:space="preserve"> </w:t>
      </w:r>
      <w:r w:rsidRPr="00041046">
        <w:t>if the person relies, or were to rely, on the particular—</w:t>
      </w:r>
    </w:p>
    <w:p w14:paraId="69DCFD7E" w14:textId="77777777" w:rsidR="00DB6E47" w:rsidRPr="00371FCC" w:rsidRDefault="00DB6E47" w:rsidP="00DB6E47">
      <w:pPr>
        <w:pStyle w:val="aDefpara"/>
      </w:pPr>
      <w:r w:rsidRPr="00FF4454">
        <w:tab/>
      </w:r>
      <w:r w:rsidRPr="00F04D8E">
        <w:rPr>
          <w:rFonts w:cs="Times"/>
          <w:bCs/>
          <w:iCs/>
        </w:rPr>
        <w:t>(a)</w:t>
      </w:r>
      <w:r w:rsidRPr="00FF4454">
        <w:rPr>
          <w:rStyle w:val="charBoldItals"/>
        </w:rPr>
        <w:tab/>
      </w:r>
      <w:r w:rsidRPr="00371FCC">
        <w:t>the responsible person for a heavy vehicle to whom the information is given;</w:t>
      </w:r>
    </w:p>
    <w:p w14:paraId="5DF5CBF3" w14:textId="77777777" w:rsidR="00DB6E47" w:rsidRPr="00371FCC" w:rsidRDefault="00DB6E47" w:rsidP="00DB6E47">
      <w:pPr>
        <w:pStyle w:val="aDefpara"/>
      </w:pPr>
      <w:r w:rsidRPr="00371FCC">
        <w:tab/>
        <w:t>(b)</w:t>
      </w:r>
      <w:r w:rsidRPr="00371FCC">
        <w:tab/>
        <w:t>any other responsible person for a heavy vehicle who, at any time, is given the false or misleading information.</w:t>
      </w:r>
    </w:p>
    <w:p w14:paraId="399E08D0" w14:textId="77777777" w:rsidR="00DB6E47" w:rsidRPr="007E1F9A" w:rsidRDefault="00DB6E47" w:rsidP="00DB6E47">
      <w:pPr>
        <w:pStyle w:val="AH5Sec"/>
      </w:pPr>
      <w:bookmarkStart w:id="881" w:name="_Toc83626225"/>
      <w:r w:rsidRPr="005E03F7">
        <w:rPr>
          <w:rStyle w:val="CharSectNo"/>
        </w:rPr>
        <w:t>704</w:t>
      </w:r>
      <w:r w:rsidRPr="007E1F9A">
        <w:tab/>
      </w:r>
      <w:r w:rsidRPr="007E1F9A">
        <w:rPr>
          <w:rFonts w:ascii="Helvetica" w:hAnsi="Helvetica" w:cs="Helvetica"/>
          <w:iCs/>
        </w:rPr>
        <w:t>Offence to falsely represent that heavy vehicle authority is held etc.</w:t>
      </w:r>
      <w:bookmarkEnd w:id="881"/>
    </w:p>
    <w:p w14:paraId="7EC4DDBD" w14:textId="77777777" w:rsidR="00DB6E47" w:rsidRPr="002F157F" w:rsidRDefault="00DB6E47" w:rsidP="00DB6E47">
      <w:pPr>
        <w:pStyle w:val="Amain"/>
      </w:pPr>
      <w:r w:rsidRPr="002F157F">
        <w:tab/>
        <w:t>(1)</w:t>
      </w:r>
      <w:r w:rsidRPr="002F157F">
        <w:tab/>
        <w:t>A person must not represent—</w:t>
      </w:r>
    </w:p>
    <w:p w14:paraId="617B951E" w14:textId="77777777" w:rsidR="00DB6E47" w:rsidRPr="00AE4F7F" w:rsidRDefault="00DB6E47" w:rsidP="00DB6E47">
      <w:pPr>
        <w:pStyle w:val="Apara"/>
      </w:pPr>
      <w:r w:rsidRPr="00AE4F7F">
        <w:tab/>
        <w:t>(a)</w:t>
      </w:r>
      <w:r w:rsidRPr="00AE4F7F">
        <w:tab/>
      </w:r>
      <w:r w:rsidR="00AE4F7F" w:rsidRPr="00AE4F7F">
        <w:t>that the person has been granted a heavy vehicle authority the person has not been granted; or</w:t>
      </w:r>
    </w:p>
    <w:p w14:paraId="5D148AAB" w14:textId="77777777" w:rsidR="00DB6E47" w:rsidRPr="00AE4F7F" w:rsidRDefault="00DB6E47" w:rsidP="00DB6E47">
      <w:pPr>
        <w:pStyle w:val="Apara"/>
      </w:pPr>
      <w:r w:rsidRPr="00AE4F7F">
        <w:tab/>
        <w:t>(b)</w:t>
      </w:r>
      <w:r w:rsidRPr="00AE4F7F">
        <w:tab/>
      </w:r>
      <w:r w:rsidR="00AE4F7F" w:rsidRPr="00AE4F7F">
        <w:t>that a heavy vehicle authority has been granted in relation to a thing for which it has not been granted; or</w:t>
      </w:r>
    </w:p>
    <w:p w14:paraId="7818BC1A" w14:textId="77777777" w:rsidR="00AE4F7F" w:rsidRPr="00AE4F7F" w:rsidRDefault="00AE4F7F" w:rsidP="00DB6E47">
      <w:pPr>
        <w:pStyle w:val="Apara"/>
      </w:pPr>
      <w:r w:rsidRPr="00AE4F7F">
        <w:tab/>
        <w:t>(c)</w:t>
      </w:r>
      <w:r w:rsidRPr="00AE4F7F">
        <w:tab/>
        <w:t>that the person is operating under a heavy vehicle authority that the person is not entitled to operate under; or</w:t>
      </w:r>
    </w:p>
    <w:p w14:paraId="67F5268E" w14:textId="77777777" w:rsidR="00AE4F7F" w:rsidRPr="00AE4F7F" w:rsidRDefault="00AE4F7F" w:rsidP="00DB6E47">
      <w:pPr>
        <w:pStyle w:val="Apara"/>
      </w:pPr>
      <w:r w:rsidRPr="00AE4F7F">
        <w:tab/>
        <w:t>(d)</w:t>
      </w:r>
      <w:r w:rsidRPr="00AE4F7F">
        <w:tab/>
        <w:t>that a thing is operating under a heavy vehicle authority that the thing is not authorised to operate under.</w:t>
      </w:r>
    </w:p>
    <w:p w14:paraId="42D51231" w14:textId="77777777" w:rsidR="00DB6E47" w:rsidRPr="006C3305" w:rsidRDefault="00DB6E47" w:rsidP="00DB6E47">
      <w:pPr>
        <w:pStyle w:val="Penalty"/>
      </w:pPr>
      <w:r w:rsidRPr="00D91CC2">
        <w:rPr>
          <w:rFonts w:cs="Times"/>
          <w:bCs/>
          <w:iCs/>
        </w:rPr>
        <w:t>Maximum penalty—$10000.</w:t>
      </w:r>
    </w:p>
    <w:p w14:paraId="0327BE44" w14:textId="77777777" w:rsidR="00DB6E47" w:rsidRPr="002F157F" w:rsidRDefault="00DB6E47" w:rsidP="00DB6E47">
      <w:pPr>
        <w:pStyle w:val="Amain"/>
      </w:pPr>
      <w:r w:rsidRPr="002F157F">
        <w:tab/>
        <w:t>(2)</w:t>
      </w:r>
      <w:r w:rsidRPr="002F157F">
        <w:tab/>
        <w:t>A person must not represent that the person</w:t>
      </w:r>
      <w:r w:rsidR="00AE4F7F">
        <w:t xml:space="preserve"> or a thing</w:t>
      </w:r>
      <w:r w:rsidRPr="002F157F">
        <w:t xml:space="preserve"> is operating under a heavy vehicle authority if the authority is no longer in force.</w:t>
      </w:r>
    </w:p>
    <w:p w14:paraId="26BAEFBA" w14:textId="77777777" w:rsidR="00DB6E47" w:rsidRPr="006C3305" w:rsidRDefault="00DB6E47" w:rsidP="00DB6E47">
      <w:pPr>
        <w:pStyle w:val="Penalty"/>
      </w:pPr>
      <w:r w:rsidRPr="00D91CC2">
        <w:rPr>
          <w:rFonts w:cs="Times"/>
          <w:bCs/>
          <w:iCs/>
        </w:rPr>
        <w:t>Maximum penalty—$10000.</w:t>
      </w:r>
    </w:p>
    <w:p w14:paraId="6C8B6ED0" w14:textId="77777777" w:rsidR="00DB6E47" w:rsidRPr="002F157F" w:rsidRDefault="00DB6E47" w:rsidP="003F6617">
      <w:pPr>
        <w:pStyle w:val="Amain"/>
        <w:keepNext/>
      </w:pPr>
      <w:r w:rsidRPr="002F157F">
        <w:lastRenderedPageBreak/>
        <w:tab/>
        <w:t>(3)</w:t>
      </w:r>
      <w:r w:rsidRPr="002F157F">
        <w:tab/>
        <w:t>A person must not possess a document that falsely purports to be—</w:t>
      </w:r>
    </w:p>
    <w:p w14:paraId="3C2713E7" w14:textId="77777777" w:rsidR="00DB6E47" w:rsidRPr="00544ED5" w:rsidRDefault="00DB6E47" w:rsidP="00DB6E47">
      <w:pPr>
        <w:pStyle w:val="Apara"/>
      </w:pPr>
      <w:r w:rsidRPr="00544ED5">
        <w:tab/>
        <w:t>(a)</w:t>
      </w:r>
      <w:r w:rsidRPr="00544ED5">
        <w:tab/>
        <w:t>an accreditation certificate for a heavy vehicle accreditation; or</w:t>
      </w:r>
    </w:p>
    <w:p w14:paraId="423365F3" w14:textId="77777777" w:rsidR="00DB6E47" w:rsidRPr="00544ED5" w:rsidRDefault="00DB6E47" w:rsidP="00DB6E47">
      <w:pPr>
        <w:pStyle w:val="Apara"/>
      </w:pPr>
      <w:r w:rsidRPr="00544ED5">
        <w:tab/>
        <w:t>(b)</w:t>
      </w:r>
      <w:r w:rsidRPr="00544ED5">
        <w:tab/>
        <w:t>a docum</w:t>
      </w:r>
      <w:r w:rsidR="00062FCF">
        <w:t>ent mentioned in section 468(1)</w:t>
      </w:r>
      <w:r w:rsidRPr="00544ED5">
        <w:t>(b)</w:t>
      </w:r>
      <w:r w:rsidR="00062FCF">
        <w:t xml:space="preserve"> or </w:t>
      </w:r>
      <w:r w:rsidRPr="00544ED5">
        <w:t>(c); or</w:t>
      </w:r>
    </w:p>
    <w:p w14:paraId="48DAFDBC" w14:textId="77777777" w:rsidR="00DB6E47" w:rsidRPr="00544ED5" w:rsidRDefault="00DB6E47" w:rsidP="00DB6E47">
      <w:pPr>
        <w:pStyle w:val="Apara"/>
      </w:pPr>
      <w:r w:rsidRPr="00544ED5">
        <w:tab/>
        <w:t>(c)</w:t>
      </w:r>
      <w:r w:rsidRPr="00544ED5">
        <w:tab/>
        <w:t xml:space="preserve">a document evidencing the grant of an </w:t>
      </w:r>
      <w:r w:rsidR="007B0E34" w:rsidRPr="007B0E34">
        <w:t xml:space="preserve">electronic recording system approval, </w:t>
      </w:r>
      <w:r w:rsidRPr="00544ED5">
        <w:t>exemption, authorisation, permit or other authority under this Law; or</w:t>
      </w:r>
    </w:p>
    <w:p w14:paraId="1444E2B3" w14:textId="77777777" w:rsidR="00DB6E47" w:rsidRPr="00C96203" w:rsidRDefault="00DB6E47" w:rsidP="00DB6E47">
      <w:pPr>
        <w:pStyle w:val="aExamHdgss"/>
      </w:pPr>
      <w:r w:rsidRPr="00C96203">
        <w:rPr>
          <w:rFonts w:cs="Times"/>
          <w:bCs/>
          <w:iCs/>
        </w:rPr>
        <w:t>Examples—</w:t>
      </w:r>
    </w:p>
    <w:p w14:paraId="31B9B8DB" w14:textId="77777777" w:rsidR="00DB6E47" w:rsidRPr="00C96203" w:rsidRDefault="00DB6E47" w:rsidP="00DB6E47">
      <w:pPr>
        <w:pStyle w:val="aExamss"/>
      </w:pPr>
      <w:r w:rsidRPr="00C96203">
        <w:t>a Commonwealth Gazette notice, a permit</w:t>
      </w:r>
    </w:p>
    <w:p w14:paraId="3CF57C81" w14:textId="77777777" w:rsidR="00DB6E47" w:rsidRPr="00544ED5" w:rsidRDefault="00DB6E47" w:rsidP="00DB6E47">
      <w:pPr>
        <w:pStyle w:val="Apara"/>
      </w:pPr>
      <w:r w:rsidRPr="00544ED5">
        <w:tab/>
        <w:t>(d)</w:t>
      </w:r>
      <w:r w:rsidRPr="00544ED5">
        <w:tab/>
        <w:t>a copy of a d</w:t>
      </w:r>
      <w:r w:rsidR="00062FCF">
        <w:t xml:space="preserve">ocument mentioned in paragraph (a), </w:t>
      </w:r>
      <w:r w:rsidRPr="00544ED5">
        <w:t>(b)</w:t>
      </w:r>
      <w:r w:rsidR="00062FCF">
        <w:t xml:space="preserve"> or </w:t>
      </w:r>
      <w:r w:rsidRPr="00544ED5">
        <w:t>(c).</w:t>
      </w:r>
    </w:p>
    <w:p w14:paraId="30B63DA0" w14:textId="77777777" w:rsidR="00DB6E47" w:rsidRPr="006C3305" w:rsidRDefault="00DB6E47" w:rsidP="00DB6E47">
      <w:pPr>
        <w:pStyle w:val="Penalty"/>
      </w:pPr>
      <w:r w:rsidRPr="00D91CC2">
        <w:rPr>
          <w:rFonts w:cs="Times"/>
          <w:bCs/>
          <w:iCs/>
        </w:rPr>
        <w:t>Maximum penalty—$10000.</w:t>
      </w:r>
    </w:p>
    <w:p w14:paraId="5A66F804" w14:textId="77777777" w:rsidR="00DB6E47" w:rsidRPr="002F157F" w:rsidRDefault="00DB6E47" w:rsidP="00DB6E47">
      <w:pPr>
        <w:pStyle w:val="Amain"/>
      </w:pPr>
      <w:r w:rsidRPr="002F157F">
        <w:tab/>
        <w:t>(4)</w:t>
      </w:r>
      <w:r w:rsidRPr="002F157F">
        <w:tab/>
        <w:t>In this section—</w:t>
      </w:r>
    </w:p>
    <w:p w14:paraId="3B45A9F0" w14:textId="77777777" w:rsidR="00DB6E47" w:rsidRPr="00041046" w:rsidRDefault="00DB6E47" w:rsidP="00DB6E47">
      <w:pPr>
        <w:pStyle w:val="aDef"/>
        <w:rPr>
          <w:bCs/>
        </w:rPr>
      </w:pPr>
      <w:r w:rsidRPr="00041046">
        <w:rPr>
          <w:rStyle w:val="charBoldItals"/>
        </w:rPr>
        <w:t>heavy vehicle authority</w:t>
      </w:r>
      <w:r w:rsidRPr="00041046">
        <w:t xml:space="preserve"> means—</w:t>
      </w:r>
    </w:p>
    <w:p w14:paraId="7A953905" w14:textId="77777777" w:rsidR="00DB6E47" w:rsidRPr="00062FCF" w:rsidRDefault="00DB6E47" w:rsidP="00DB6E47">
      <w:pPr>
        <w:pStyle w:val="aDefpara"/>
      </w:pPr>
      <w:r w:rsidRPr="00FF4454">
        <w:tab/>
      </w:r>
      <w:r w:rsidRPr="00F04D8E">
        <w:rPr>
          <w:rFonts w:cs="Times"/>
          <w:bCs/>
          <w:iCs/>
        </w:rPr>
        <w:t>(a)</w:t>
      </w:r>
      <w:r w:rsidRPr="00FF4454">
        <w:rPr>
          <w:rStyle w:val="charBoldItals"/>
        </w:rPr>
        <w:tab/>
      </w:r>
      <w:r w:rsidRPr="00062FCF">
        <w:t>a heavy vehicle accreditation; or</w:t>
      </w:r>
    </w:p>
    <w:p w14:paraId="49B9770B" w14:textId="77777777" w:rsidR="00DB6E47" w:rsidRPr="00062FCF" w:rsidRDefault="00DB6E47" w:rsidP="00DB6E47">
      <w:pPr>
        <w:pStyle w:val="aDefpara"/>
      </w:pPr>
      <w:r w:rsidRPr="00062FCF">
        <w:tab/>
        <w:t>(b)</w:t>
      </w:r>
      <w:r w:rsidRPr="00062FCF">
        <w:tab/>
        <w:t xml:space="preserve">an </w:t>
      </w:r>
      <w:r w:rsidR="007B0E34" w:rsidRPr="007B0E34">
        <w:t>electronic recording system approval,</w:t>
      </w:r>
      <w:r w:rsidR="007B0E34">
        <w:rPr>
          <w:spacing w:val="-2"/>
        </w:rPr>
        <w:t xml:space="preserve"> </w:t>
      </w:r>
      <w:r w:rsidRPr="00062FCF">
        <w:t>exemption, authorisation, permit or other authority under this Law.</w:t>
      </w:r>
    </w:p>
    <w:p w14:paraId="6B18AF25" w14:textId="77777777" w:rsidR="00DB6E47" w:rsidRPr="003D647F" w:rsidRDefault="00DB6E47" w:rsidP="00DB6E47">
      <w:pPr>
        <w:pStyle w:val="PageBreak"/>
        <w:rPr>
          <w:rFonts w:eastAsiaTheme="minorHAnsi"/>
        </w:rPr>
      </w:pPr>
      <w:r w:rsidRPr="003D647F">
        <w:rPr>
          <w:rFonts w:eastAsiaTheme="minorHAnsi"/>
        </w:rPr>
        <w:br w:type="page"/>
      </w:r>
    </w:p>
    <w:p w14:paraId="2D040997" w14:textId="77777777" w:rsidR="00DB6E47" w:rsidRPr="005E03F7" w:rsidRDefault="00DB6E47" w:rsidP="00DB6E47">
      <w:pPr>
        <w:pStyle w:val="AH2Part"/>
      </w:pPr>
      <w:bookmarkStart w:id="882" w:name="_Toc83626226"/>
      <w:r w:rsidRPr="005E03F7">
        <w:rPr>
          <w:rStyle w:val="CharPartNo"/>
        </w:rPr>
        <w:lastRenderedPageBreak/>
        <w:t xml:space="preserve">Part 13.2 </w:t>
      </w:r>
      <w:r w:rsidRPr="00A95F9A">
        <w:rPr>
          <w:rFonts w:ascii="Helvetica" w:hAnsi="Helvetica" w:cs="Helvetica"/>
          <w:szCs w:val="32"/>
        </w:rPr>
        <w:tab/>
      </w:r>
      <w:r w:rsidRPr="005E03F7">
        <w:rPr>
          <w:rStyle w:val="CharPartText"/>
          <w:rFonts w:ascii="Helvetica" w:hAnsi="Helvetica" w:cs="Helvetica"/>
          <w:szCs w:val="32"/>
        </w:rPr>
        <w:t>Industry codes of practice</w:t>
      </w:r>
      <w:bookmarkEnd w:id="882"/>
    </w:p>
    <w:p w14:paraId="0EF0B61B" w14:textId="77777777" w:rsidR="009902F7" w:rsidRDefault="009902F7" w:rsidP="009902F7">
      <w:pPr>
        <w:pStyle w:val="Placeholder"/>
        <w:suppressLineNumbers/>
      </w:pPr>
      <w:r>
        <w:rPr>
          <w:rStyle w:val="CharDivNo"/>
          <w:rFonts w:eastAsiaTheme="minorEastAsia"/>
        </w:rPr>
        <w:t xml:space="preserve">  </w:t>
      </w:r>
      <w:r>
        <w:rPr>
          <w:rStyle w:val="CharDivText"/>
        </w:rPr>
        <w:t xml:space="preserve">  </w:t>
      </w:r>
    </w:p>
    <w:p w14:paraId="4386F1E4" w14:textId="77777777" w:rsidR="00DB6E47" w:rsidRPr="007E1F9A" w:rsidRDefault="00DB6E47" w:rsidP="00DB6E47">
      <w:pPr>
        <w:pStyle w:val="AH5Sec"/>
      </w:pPr>
      <w:bookmarkStart w:id="883" w:name="_Toc83626227"/>
      <w:r w:rsidRPr="005E03F7">
        <w:rPr>
          <w:rStyle w:val="CharSectNo"/>
        </w:rPr>
        <w:t>705</w:t>
      </w:r>
      <w:r w:rsidRPr="007E1F9A">
        <w:tab/>
      </w:r>
      <w:r w:rsidRPr="007E1F9A">
        <w:rPr>
          <w:rFonts w:ascii="Helvetica" w:hAnsi="Helvetica" w:cs="Helvetica"/>
        </w:rPr>
        <w:t>Guidelines for industry codes of practice</w:t>
      </w:r>
      <w:bookmarkEnd w:id="883"/>
    </w:p>
    <w:p w14:paraId="2AFA87A1" w14:textId="77777777" w:rsidR="00DB6E47" w:rsidRPr="002F157F" w:rsidRDefault="00DB6E47" w:rsidP="00DB6E47">
      <w:pPr>
        <w:pStyle w:val="Amain"/>
      </w:pPr>
      <w:r w:rsidRPr="002F157F">
        <w:tab/>
        <w:t>(1)</w:t>
      </w:r>
      <w:r w:rsidRPr="002F157F">
        <w:tab/>
        <w:t>The Regulator may make guidelines about the preparation and content of an industry code of practice that may be registered under this Law.</w:t>
      </w:r>
    </w:p>
    <w:p w14:paraId="6831F01F" w14:textId="77777777" w:rsidR="00DB6E47" w:rsidRPr="002F157F" w:rsidRDefault="00DB6E47" w:rsidP="00DB6E47">
      <w:pPr>
        <w:pStyle w:val="Amain"/>
      </w:pPr>
      <w:r w:rsidRPr="002F157F">
        <w:tab/>
        <w:t>(2)</w:t>
      </w:r>
      <w:r w:rsidRPr="002F157F">
        <w:tab/>
        <w:t>Without limiting subsection (1), the guidelines may provide that an industry code of practice registered under this Law must provide for the review of the code of practice.</w:t>
      </w:r>
    </w:p>
    <w:p w14:paraId="5ED5BDC9" w14:textId="77777777" w:rsidR="00DB6E47" w:rsidRPr="002F157F" w:rsidRDefault="00DB6E47" w:rsidP="00DB6E47">
      <w:pPr>
        <w:pStyle w:val="Amain"/>
      </w:pPr>
      <w:r w:rsidRPr="002F157F">
        <w:tab/>
        <w:t>(3)</w:t>
      </w:r>
      <w:r w:rsidRPr="002F157F">
        <w:tab/>
        <w:t>The Regulator must—</w:t>
      </w:r>
    </w:p>
    <w:p w14:paraId="48DEB0C5" w14:textId="77777777" w:rsidR="00DB6E47" w:rsidRPr="00544ED5" w:rsidRDefault="00DB6E47" w:rsidP="00DB6E47">
      <w:pPr>
        <w:pStyle w:val="Apara"/>
      </w:pPr>
      <w:r w:rsidRPr="00544ED5">
        <w:tab/>
        <w:t>(a)</w:t>
      </w:r>
      <w:r w:rsidRPr="00544ED5">
        <w:tab/>
        <w:t>keep a copy of the guidelines available for inspection by the public, during office hours on business days, at the Regulator’s head office; and</w:t>
      </w:r>
    </w:p>
    <w:p w14:paraId="22304CDC" w14:textId="77777777" w:rsidR="00DB6E47" w:rsidRPr="00544ED5" w:rsidRDefault="00DB6E47" w:rsidP="00DB6E47">
      <w:pPr>
        <w:pStyle w:val="Apara"/>
      </w:pPr>
      <w:r w:rsidRPr="00544ED5">
        <w:tab/>
        <w:t>(b)</w:t>
      </w:r>
      <w:r w:rsidRPr="00544ED5">
        <w:tab/>
        <w:t>publish a copy of the guidelines on the Regulator’s website.</w:t>
      </w:r>
    </w:p>
    <w:p w14:paraId="32015EDA" w14:textId="77777777" w:rsidR="00DB6E47" w:rsidRPr="007E1F9A" w:rsidRDefault="00DB6E47" w:rsidP="00DB6E47">
      <w:pPr>
        <w:pStyle w:val="AH5Sec"/>
      </w:pPr>
      <w:bookmarkStart w:id="884" w:name="_Toc83626228"/>
      <w:r w:rsidRPr="005E03F7">
        <w:rPr>
          <w:rStyle w:val="CharSectNo"/>
        </w:rPr>
        <w:t>706</w:t>
      </w:r>
      <w:r w:rsidRPr="007E1F9A">
        <w:tab/>
      </w:r>
      <w:r w:rsidRPr="007E1F9A">
        <w:rPr>
          <w:rFonts w:ascii="Helvetica" w:hAnsi="Helvetica" w:cs="Helvetica"/>
          <w:iCs/>
        </w:rPr>
        <w:t>Registration of industry codes of practice</w:t>
      </w:r>
      <w:bookmarkEnd w:id="884"/>
    </w:p>
    <w:p w14:paraId="79A09D3F" w14:textId="77777777" w:rsidR="00DB6E47" w:rsidRPr="006C3305" w:rsidRDefault="00DB6E47" w:rsidP="00DB6E47">
      <w:pPr>
        <w:pStyle w:val="Amain"/>
      </w:pPr>
      <w:r>
        <w:tab/>
        <w:t>(</w:t>
      </w:r>
      <w:r w:rsidRPr="006C3305">
        <w:t>1)</w:t>
      </w:r>
      <w:r w:rsidRPr="006C3305">
        <w:tab/>
        <w:t>The Regulator may register an industry code of practice for the purposes of this Law prepared in accordance with guidelines in force under section 705.</w:t>
      </w:r>
    </w:p>
    <w:p w14:paraId="21BD61BD" w14:textId="77777777" w:rsidR="00DB6E47" w:rsidRPr="006C3305" w:rsidRDefault="00DB6E47" w:rsidP="00DB6E47">
      <w:pPr>
        <w:pStyle w:val="Amain"/>
      </w:pPr>
      <w:r>
        <w:tab/>
        <w:t>(</w:t>
      </w:r>
      <w:r w:rsidRPr="006C3305">
        <w:t>2)</w:t>
      </w:r>
      <w:r w:rsidRPr="006C3305">
        <w:tab/>
        <w:t>The registration must be subject to the following conditions imposed by the Regulator—</w:t>
      </w:r>
    </w:p>
    <w:p w14:paraId="795B6034" w14:textId="77777777" w:rsidR="00DB6E47" w:rsidRPr="00544ED5" w:rsidRDefault="00DB6E47" w:rsidP="00DB6E47">
      <w:pPr>
        <w:pStyle w:val="Apara"/>
      </w:pPr>
      <w:r w:rsidRPr="00544ED5">
        <w:tab/>
        <w:t>(a)</w:t>
      </w:r>
      <w:r w:rsidRPr="00544ED5">
        <w:tab/>
        <w:t>that the industry code of practice must be reviewed after a stated period;</w:t>
      </w:r>
    </w:p>
    <w:p w14:paraId="4186B535" w14:textId="77777777" w:rsidR="00DB6E47" w:rsidRPr="00544ED5" w:rsidRDefault="00DB6E47" w:rsidP="00DB6E47">
      <w:pPr>
        <w:pStyle w:val="Apara"/>
      </w:pPr>
      <w:r w:rsidRPr="00544ED5">
        <w:tab/>
        <w:t>(b)</w:t>
      </w:r>
      <w:r w:rsidRPr="00544ED5">
        <w:tab/>
        <w:t>that a stated person, or a person of a stated class, must be appointed to maintain the industry code of practice and ensure it is updated following changes to best practice methods for the industry to which it relates;</w:t>
      </w:r>
    </w:p>
    <w:p w14:paraId="67E29814" w14:textId="77777777" w:rsidR="00DB6E47" w:rsidRPr="00544ED5" w:rsidRDefault="00DB6E47" w:rsidP="00DB6E47">
      <w:pPr>
        <w:pStyle w:val="Apara"/>
      </w:pPr>
      <w:r w:rsidRPr="00544ED5">
        <w:tab/>
        <w:t>(c)</w:t>
      </w:r>
      <w:r w:rsidRPr="00544ED5">
        <w:tab/>
        <w:t>that the industry code of practice must be updated following changes to the guidelines for the preparation and content of the industry code of practice in force under section 705.</w:t>
      </w:r>
    </w:p>
    <w:p w14:paraId="7AF131B2" w14:textId="77777777" w:rsidR="00DB6E47" w:rsidRPr="002F157F" w:rsidRDefault="00DB6E47" w:rsidP="00DB6E47">
      <w:pPr>
        <w:pStyle w:val="Amain"/>
      </w:pPr>
      <w:r w:rsidRPr="002F157F">
        <w:lastRenderedPageBreak/>
        <w:tab/>
        <w:t>(3)</w:t>
      </w:r>
      <w:r w:rsidRPr="002F157F">
        <w:tab/>
        <w:t>The registration may be subject to other conditions the Regulator considers appropriate.</w:t>
      </w:r>
    </w:p>
    <w:p w14:paraId="120C723A" w14:textId="77777777" w:rsidR="00DB6E47" w:rsidRPr="002F157F" w:rsidRDefault="00062FCF" w:rsidP="00DB6E47">
      <w:pPr>
        <w:pStyle w:val="Amain"/>
      </w:pPr>
      <w:r>
        <w:tab/>
        <w:t>(4)</w:t>
      </w:r>
      <w:r>
        <w:tab/>
        <w:t xml:space="preserve">Subsection </w:t>
      </w:r>
      <w:r w:rsidR="00DB6E47" w:rsidRPr="002F157F">
        <w:t>(5)</w:t>
      </w:r>
      <w:r>
        <w:t xml:space="preserve"> </w:t>
      </w:r>
      <w:r w:rsidR="00DB6E47" w:rsidRPr="002F157F">
        <w:t>applies if—</w:t>
      </w:r>
    </w:p>
    <w:p w14:paraId="0286D897" w14:textId="77777777" w:rsidR="00DB6E47" w:rsidRPr="00544ED5" w:rsidRDefault="00DB6E47" w:rsidP="00DB6E47">
      <w:pPr>
        <w:pStyle w:val="Apara"/>
      </w:pPr>
      <w:r w:rsidRPr="00544ED5">
        <w:tab/>
        <w:t>(a)</w:t>
      </w:r>
      <w:r w:rsidRPr="00544ED5">
        <w:tab/>
        <w:t>a condition applying to the registration of an industry code of practice is contravened; or</w:t>
      </w:r>
    </w:p>
    <w:p w14:paraId="0A2FD135" w14:textId="77777777" w:rsidR="00DB6E47" w:rsidRPr="00544ED5" w:rsidRDefault="00DB6E47" w:rsidP="00DB6E47">
      <w:pPr>
        <w:pStyle w:val="Apara"/>
      </w:pPr>
      <w:r w:rsidRPr="00544ED5">
        <w:tab/>
        <w:t>(b)</w:t>
      </w:r>
      <w:r w:rsidRPr="00544ED5">
        <w:tab/>
        <w:t>the guidelines in force under section 705 about the preparation and content of an industry code of practice are changed and a registered industry code of practice does not comply with the guidelines as amended.</w:t>
      </w:r>
    </w:p>
    <w:p w14:paraId="67798225" w14:textId="77777777" w:rsidR="00DB6E47" w:rsidRPr="002F157F" w:rsidRDefault="00DB6E47" w:rsidP="00DB6E47">
      <w:pPr>
        <w:pStyle w:val="Amain"/>
      </w:pPr>
      <w:r w:rsidRPr="002F157F">
        <w:tab/>
        <w:t>(5)</w:t>
      </w:r>
      <w:r w:rsidRPr="002F157F">
        <w:tab/>
        <w:t>The Regulator may—</w:t>
      </w:r>
    </w:p>
    <w:p w14:paraId="3B82B680" w14:textId="77777777" w:rsidR="00DB6E47" w:rsidRPr="00544ED5" w:rsidRDefault="00DB6E47" w:rsidP="00DB6E47">
      <w:pPr>
        <w:pStyle w:val="Apara"/>
      </w:pPr>
      <w:r w:rsidRPr="00544ED5">
        <w:tab/>
        <w:t>(a)</w:t>
      </w:r>
      <w:r w:rsidRPr="00544ED5">
        <w:tab/>
        <w:t>amend the conditions of the registration, including by adding new conditions; or</w:t>
      </w:r>
    </w:p>
    <w:p w14:paraId="20A01ABA" w14:textId="77777777" w:rsidR="00DB6E47" w:rsidRPr="00C96203" w:rsidRDefault="00DB6E47" w:rsidP="00DB6E47">
      <w:pPr>
        <w:pStyle w:val="aExamHdgss"/>
      </w:pPr>
      <w:r w:rsidRPr="00C96203">
        <w:rPr>
          <w:rFonts w:cs="Times"/>
          <w:bCs/>
          <w:iCs/>
        </w:rPr>
        <w:t>Example of a condition for the purposes of paragraph (a)—</w:t>
      </w:r>
    </w:p>
    <w:p w14:paraId="392E1D53" w14:textId="77777777" w:rsidR="00DB6E47" w:rsidRPr="00C96203" w:rsidRDefault="00DB6E47" w:rsidP="00DB6E47">
      <w:pPr>
        <w:pStyle w:val="aExamss"/>
      </w:pPr>
      <w:r w:rsidRPr="00C96203">
        <w:t>that the registered industry code of practice be amended in a stated way to reflect a change to the guidelines for the preparation and content of the code of practice in force under section 705</w:t>
      </w:r>
    </w:p>
    <w:p w14:paraId="3927C521" w14:textId="77777777" w:rsidR="00DB6E47" w:rsidRPr="00544ED5" w:rsidRDefault="00DB6E47" w:rsidP="00DB6E47">
      <w:pPr>
        <w:pStyle w:val="Apara"/>
      </w:pPr>
      <w:r w:rsidRPr="00544ED5">
        <w:tab/>
        <w:t>(b)</w:t>
      </w:r>
      <w:r w:rsidRPr="00544ED5">
        <w:tab/>
        <w:t>cancel the registration.</w:t>
      </w:r>
    </w:p>
    <w:p w14:paraId="45C263DF" w14:textId="77777777" w:rsidR="00DB6E47" w:rsidRPr="002F157F" w:rsidRDefault="00DB6E47" w:rsidP="00DB6E47">
      <w:pPr>
        <w:pStyle w:val="Amain"/>
      </w:pPr>
      <w:r w:rsidRPr="002F157F">
        <w:tab/>
        <w:t>(6)</w:t>
      </w:r>
      <w:r w:rsidRPr="002F157F">
        <w:tab/>
        <w:t>Con</w:t>
      </w:r>
      <w:r w:rsidR="00062FCF">
        <w:t xml:space="preserve">ditions mentioned in subsection </w:t>
      </w:r>
      <w:r w:rsidRPr="002F157F">
        <w:t>(2)</w:t>
      </w:r>
      <w:r w:rsidR="00062FCF">
        <w:t xml:space="preserve"> can be amended under subsection </w:t>
      </w:r>
      <w:r w:rsidRPr="002F157F">
        <w:t>(5)</w:t>
      </w:r>
      <w:r w:rsidR="00062FCF">
        <w:t xml:space="preserve"> </w:t>
      </w:r>
      <w:r w:rsidRPr="002F157F">
        <w:t>so long as the amended conditions conform with subsection (2), but cannot otherwise be amended.</w:t>
      </w:r>
    </w:p>
    <w:p w14:paraId="4D7E3688" w14:textId="77777777" w:rsidR="00DB6E47" w:rsidRPr="002F157F" w:rsidRDefault="00DB6E47" w:rsidP="00DB6E47">
      <w:pPr>
        <w:pStyle w:val="Amain"/>
      </w:pPr>
      <w:r w:rsidRPr="002F157F">
        <w:tab/>
        <w:t>(7)</w:t>
      </w:r>
      <w:r w:rsidRPr="002F157F">
        <w:tab/>
        <w:t>The Regulator incurs no liability for loss or damage suffered by a person because the person relied on a registered industry code of practice.</w:t>
      </w:r>
    </w:p>
    <w:p w14:paraId="7DFED50C" w14:textId="77777777" w:rsidR="00DB6E47" w:rsidRPr="003D647F" w:rsidRDefault="00DB6E47" w:rsidP="00DB6E47">
      <w:pPr>
        <w:pStyle w:val="PageBreak"/>
      </w:pPr>
      <w:r w:rsidRPr="003D647F">
        <w:br w:type="page"/>
      </w:r>
    </w:p>
    <w:p w14:paraId="34401ECD" w14:textId="77777777" w:rsidR="00DB6E47" w:rsidRPr="005E03F7" w:rsidRDefault="00DB6E47" w:rsidP="00DB6E47">
      <w:pPr>
        <w:pStyle w:val="AH2Part"/>
      </w:pPr>
      <w:bookmarkStart w:id="885" w:name="_Toc83626229"/>
      <w:r w:rsidRPr="005E03F7">
        <w:rPr>
          <w:rStyle w:val="CharPartNo"/>
        </w:rPr>
        <w:lastRenderedPageBreak/>
        <w:t xml:space="preserve">Part 13.3 </w:t>
      </w:r>
      <w:r w:rsidRPr="00A95F9A">
        <w:rPr>
          <w:rFonts w:ascii="Helvetica" w:hAnsi="Helvetica" w:cs="Helvetica"/>
          <w:szCs w:val="32"/>
        </w:rPr>
        <w:tab/>
      </w:r>
      <w:r w:rsidRPr="005E03F7">
        <w:rPr>
          <w:rStyle w:val="CharPartText"/>
          <w:rFonts w:ascii="Helvetica" w:hAnsi="Helvetica" w:cs="Helvetica"/>
          <w:szCs w:val="32"/>
        </w:rPr>
        <w:t>Legal proceedings</w:t>
      </w:r>
      <w:bookmarkEnd w:id="885"/>
    </w:p>
    <w:p w14:paraId="1AEA789D" w14:textId="77777777" w:rsidR="00DB6E47" w:rsidRPr="005E03F7" w:rsidRDefault="00DB6E47" w:rsidP="00DB6E47">
      <w:pPr>
        <w:pStyle w:val="AH3Div"/>
      </w:pPr>
      <w:bookmarkStart w:id="886" w:name="_Toc83626230"/>
      <w:r w:rsidRPr="005E03F7">
        <w:rPr>
          <w:rStyle w:val="CharDivNo"/>
        </w:rPr>
        <w:t xml:space="preserve">Division 1 </w:t>
      </w:r>
      <w:r w:rsidRPr="007E1F9A">
        <w:tab/>
      </w:r>
      <w:r w:rsidRPr="005E03F7">
        <w:rPr>
          <w:rStyle w:val="CharDivText"/>
        </w:rPr>
        <w:t>Proceedings</w:t>
      </w:r>
      <w:bookmarkEnd w:id="886"/>
    </w:p>
    <w:p w14:paraId="3021E638" w14:textId="77777777" w:rsidR="00764C6C" w:rsidRPr="00764C6C" w:rsidRDefault="00764C6C" w:rsidP="00764C6C">
      <w:pPr>
        <w:pStyle w:val="AH5Sec"/>
        <w:rPr>
          <w:lang w:val="en" w:eastAsia="en-AU"/>
        </w:rPr>
      </w:pPr>
      <w:bookmarkStart w:id="887" w:name="_Toc83626231"/>
      <w:r w:rsidRPr="005E03F7">
        <w:rPr>
          <w:rStyle w:val="CharSectNo"/>
        </w:rPr>
        <w:t>707</w:t>
      </w:r>
      <w:r>
        <w:rPr>
          <w:lang w:val="en" w:eastAsia="en-AU"/>
        </w:rPr>
        <w:tab/>
      </w:r>
      <w:r w:rsidRPr="00764C6C">
        <w:rPr>
          <w:lang w:val="en" w:eastAsia="en-AU"/>
        </w:rPr>
        <w:t>Proceeding for indictable offences</w:t>
      </w:r>
      <w:bookmarkEnd w:id="887"/>
    </w:p>
    <w:p w14:paraId="1F89BB40" w14:textId="77777777" w:rsidR="00764C6C" w:rsidRPr="00764C6C" w:rsidRDefault="00764C6C" w:rsidP="00764C6C">
      <w:pPr>
        <w:pStyle w:val="Amain"/>
        <w:rPr>
          <w:lang w:val="en" w:eastAsia="en-AU"/>
        </w:rPr>
      </w:pPr>
      <w:r>
        <w:rPr>
          <w:lang w:val="en" w:eastAsia="en-AU"/>
        </w:rPr>
        <w:tab/>
      </w:r>
      <w:r w:rsidRPr="00764C6C">
        <w:rPr>
          <w:lang w:val="en" w:eastAsia="en-AU"/>
        </w:rPr>
        <w:t>(1)</w:t>
      </w:r>
      <w:r>
        <w:rPr>
          <w:lang w:val="en" w:eastAsia="en-AU"/>
        </w:rPr>
        <w:tab/>
      </w:r>
      <w:r w:rsidRPr="00764C6C">
        <w:rPr>
          <w:lang w:val="en" w:eastAsia="en-AU"/>
        </w:rPr>
        <w:t>The prosecution may bring a proceeding for an indictable offence—</w:t>
      </w:r>
    </w:p>
    <w:p w14:paraId="01E155FA" w14:textId="77777777" w:rsidR="00764C6C" w:rsidRPr="00764C6C" w:rsidRDefault="00764C6C" w:rsidP="00764C6C">
      <w:pPr>
        <w:pStyle w:val="Apara"/>
        <w:rPr>
          <w:lang w:val="en" w:eastAsia="en-AU"/>
        </w:rPr>
      </w:pPr>
      <w:r>
        <w:rPr>
          <w:lang w:val="en" w:eastAsia="en-AU"/>
        </w:rPr>
        <w:tab/>
      </w:r>
      <w:r w:rsidRPr="00764C6C">
        <w:rPr>
          <w:lang w:val="en" w:eastAsia="en-AU"/>
        </w:rPr>
        <w:t>(a)</w:t>
      </w:r>
      <w:r>
        <w:rPr>
          <w:lang w:val="en" w:eastAsia="en-AU"/>
        </w:rPr>
        <w:tab/>
      </w:r>
      <w:r w:rsidRPr="00764C6C">
        <w:rPr>
          <w:lang w:val="en" w:eastAsia="en-AU"/>
        </w:rPr>
        <w:t>on indictment; or</w:t>
      </w:r>
    </w:p>
    <w:p w14:paraId="3CAC157D" w14:textId="77777777" w:rsidR="00764C6C" w:rsidRPr="00764C6C" w:rsidRDefault="00764C6C" w:rsidP="00764C6C">
      <w:pPr>
        <w:pStyle w:val="Apara"/>
        <w:rPr>
          <w:lang w:val="en" w:eastAsia="en-AU"/>
        </w:rPr>
      </w:pPr>
      <w:r>
        <w:rPr>
          <w:lang w:val="en" w:eastAsia="en-AU"/>
        </w:rPr>
        <w:tab/>
      </w:r>
      <w:r w:rsidRPr="00764C6C">
        <w:rPr>
          <w:lang w:val="en" w:eastAsia="en-AU"/>
        </w:rPr>
        <w:t>(b)</w:t>
      </w:r>
      <w:r>
        <w:rPr>
          <w:lang w:val="en" w:eastAsia="en-AU"/>
        </w:rPr>
        <w:tab/>
      </w:r>
      <w:r w:rsidRPr="00764C6C">
        <w:rPr>
          <w:lang w:val="en" w:eastAsia="en-AU"/>
        </w:rPr>
        <w:t>in a summary way.</w:t>
      </w:r>
    </w:p>
    <w:p w14:paraId="30C122B2" w14:textId="77777777" w:rsidR="00764C6C" w:rsidRPr="00764C6C" w:rsidRDefault="00764C6C" w:rsidP="00764C6C">
      <w:pPr>
        <w:pStyle w:val="Amain"/>
        <w:rPr>
          <w:lang w:val="en" w:eastAsia="en-AU"/>
        </w:rPr>
      </w:pPr>
      <w:r>
        <w:rPr>
          <w:lang w:val="en" w:eastAsia="en-AU"/>
        </w:rPr>
        <w:tab/>
      </w:r>
      <w:r w:rsidRPr="00764C6C">
        <w:rPr>
          <w:lang w:val="en" w:eastAsia="en-AU"/>
        </w:rPr>
        <w:t>(2)</w:t>
      </w:r>
      <w:r>
        <w:rPr>
          <w:lang w:val="en" w:eastAsia="en-AU"/>
        </w:rPr>
        <w:tab/>
      </w:r>
      <w:r w:rsidRPr="00764C6C">
        <w:rPr>
          <w:lang w:val="en" w:eastAsia="en-AU"/>
        </w:rPr>
        <w:t>However, a court of summary jurisdiction must not hear and decide an indictable offence in a summary way if—</w:t>
      </w:r>
    </w:p>
    <w:p w14:paraId="7C5CDFAD" w14:textId="77777777" w:rsidR="00764C6C" w:rsidRPr="00764C6C" w:rsidRDefault="00764C6C" w:rsidP="00764C6C">
      <w:pPr>
        <w:pStyle w:val="Apara"/>
        <w:rPr>
          <w:lang w:val="en" w:eastAsia="en-AU"/>
        </w:rPr>
      </w:pPr>
      <w:r>
        <w:rPr>
          <w:lang w:val="en" w:eastAsia="en-AU"/>
        </w:rPr>
        <w:tab/>
      </w:r>
      <w:r w:rsidRPr="00764C6C">
        <w:rPr>
          <w:lang w:val="en" w:eastAsia="en-AU"/>
        </w:rPr>
        <w:t>(a)</w:t>
      </w:r>
      <w:r>
        <w:rPr>
          <w:lang w:val="en" w:eastAsia="en-AU"/>
        </w:rPr>
        <w:tab/>
      </w:r>
      <w:r w:rsidRPr="00764C6C">
        <w:rPr>
          <w:lang w:val="en" w:eastAsia="en-AU"/>
        </w:rPr>
        <w:t>at the start of the hearing, the defendant asks for the charge to be prosecuted on indictment; or</w:t>
      </w:r>
    </w:p>
    <w:p w14:paraId="11FDE7F6" w14:textId="77777777" w:rsidR="00764C6C" w:rsidRPr="00764C6C" w:rsidRDefault="00764C6C" w:rsidP="00764C6C">
      <w:pPr>
        <w:pStyle w:val="Apara"/>
        <w:rPr>
          <w:lang w:val="en" w:eastAsia="en-AU"/>
        </w:rPr>
      </w:pPr>
      <w:r>
        <w:rPr>
          <w:lang w:val="en" w:eastAsia="en-AU"/>
        </w:rPr>
        <w:tab/>
      </w:r>
      <w:r w:rsidRPr="00764C6C">
        <w:rPr>
          <w:lang w:val="en" w:eastAsia="en-AU"/>
        </w:rPr>
        <w:t>(b)</w:t>
      </w:r>
      <w:r>
        <w:rPr>
          <w:lang w:val="en" w:eastAsia="en-AU"/>
        </w:rPr>
        <w:tab/>
      </w:r>
      <w:r w:rsidRPr="00764C6C">
        <w:rPr>
          <w:lang w:val="en" w:eastAsia="en-AU"/>
        </w:rPr>
        <w:t>the court is satisfied—</w:t>
      </w:r>
    </w:p>
    <w:p w14:paraId="54B88270" w14:textId="77777777" w:rsidR="00764C6C" w:rsidRPr="00764C6C" w:rsidRDefault="00764C6C" w:rsidP="00764C6C">
      <w:pPr>
        <w:pStyle w:val="Asubpara"/>
        <w:rPr>
          <w:lang w:val="en" w:eastAsia="en-AU"/>
        </w:rPr>
      </w:pPr>
      <w:r>
        <w:rPr>
          <w:lang w:val="en" w:eastAsia="en-AU"/>
        </w:rPr>
        <w:tab/>
      </w:r>
      <w:r w:rsidRPr="00764C6C">
        <w:rPr>
          <w:lang w:val="en" w:eastAsia="en-AU"/>
        </w:rPr>
        <w:t>(i)</w:t>
      </w:r>
      <w:r>
        <w:rPr>
          <w:lang w:val="en" w:eastAsia="en-AU"/>
        </w:rPr>
        <w:tab/>
      </w:r>
      <w:r w:rsidRPr="00764C6C">
        <w:rPr>
          <w:lang w:val="en" w:eastAsia="en-AU"/>
        </w:rPr>
        <w:t>after hearing submissions from the prosecution and defence at any stage of the hearing, that the defendant, if convicted, may not be adequately punished for the particular offence on a summary conviction; or</w:t>
      </w:r>
    </w:p>
    <w:p w14:paraId="4570D3C3" w14:textId="77777777" w:rsidR="00764C6C" w:rsidRPr="00764C6C" w:rsidRDefault="00764C6C" w:rsidP="00764C6C">
      <w:pPr>
        <w:pStyle w:val="Asubpara"/>
        <w:rPr>
          <w:lang w:val="en" w:eastAsia="en-AU"/>
        </w:rPr>
      </w:pPr>
      <w:r>
        <w:rPr>
          <w:lang w:val="en" w:eastAsia="en-AU"/>
        </w:rPr>
        <w:tab/>
      </w:r>
      <w:r w:rsidRPr="00764C6C">
        <w:rPr>
          <w:lang w:val="en" w:eastAsia="en-AU"/>
        </w:rPr>
        <w:t>(ii)</w:t>
      </w:r>
      <w:r>
        <w:rPr>
          <w:lang w:val="en" w:eastAsia="en-AU"/>
        </w:rPr>
        <w:tab/>
      </w:r>
      <w:r w:rsidRPr="00764C6C">
        <w:rPr>
          <w:lang w:val="en" w:eastAsia="en-AU"/>
        </w:rPr>
        <w:t>on an application made by the defence, that the charge should not be heard and decided in a summary way because of exceptional circumstances.</w:t>
      </w:r>
    </w:p>
    <w:p w14:paraId="1478A7D9" w14:textId="77777777" w:rsidR="00764C6C" w:rsidRPr="00764C6C" w:rsidRDefault="00764C6C" w:rsidP="00764C6C">
      <w:pPr>
        <w:pStyle w:val="Amain"/>
        <w:rPr>
          <w:lang w:val="en" w:eastAsia="en-AU"/>
        </w:rPr>
      </w:pPr>
      <w:r>
        <w:rPr>
          <w:lang w:val="en" w:eastAsia="en-AU"/>
        </w:rPr>
        <w:tab/>
      </w:r>
      <w:r w:rsidRPr="00764C6C">
        <w:rPr>
          <w:lang w:val="en" w:eastAsia="en-AU"/>
        </w:rPr>
        <w:t>(3)</w:t>
      </w:r>
      <w:r>
        <w:rPr>
          <w:lang w:val="en" w:eastAsia="en-AU"/>
        </w:rPr>
        <w:tab/>
      </w:r>
      <w:r w:rsidRPr="00764C6C">
        <w:rPr>
          <w:lang w:val="en" w:eastAsia="en-AU"/>
        </w:rPr>
        <w:t>If the court decides that the offence be prosecuted on indictment—</w:t>
      </w:r>
    </w:p>
    <w:p w14:paraId="73CBF8A9" w14:textId="77777777" w:rsidR="00764C6C" w:rsidRPr="00764C6C" w:rsidRDefault="00764C6C" w:rsidP="00764C6C">
      <w:pPr>
        <w:pStyle w:val="Apara"/>
        <w:rPr>
          <w:lang w:val="en" w:eastAsia="en-AU"/>
        </w:rPr>
      </w:pPr>
      <w:r>
        <w:rPr>
          <w:lang w:val="en" w:eastAsia="en-AU"/>
        </w:rPr>
        <w:tab/>
      </w:r>
      <w:r w:rsidRPr="00764C6C">
        <w:rPr>
          <w:lang w:val="en" w:eastAsia="en-AU"/>
        </w:rPr>
        <w:t>(a)</w:t>
      </w:r>
      <w:r>
        <w:rPr>
          <w:lang w:val="en" w:eastAsia="en-AU"/>
        </w:rPr>
        <w:tab/>
      </w:r>
      <w:r w:rsidRPr="00764C6C">
        <w:rPr>
          <w:lang w:val="en" w:eastAsia="en-AU"/>
        </w:rPr>
        <w:t>the court must conduct the proceeding as a committal proceeding; and</w:t>
      </w:r>
    </w:p>
    <w:p w14:paraId="730F5A83" w14:textId="77777777" w:rsidR="00764C6C" w:rsidRPr="00764C6C" w:rsidRDefault="00764C6C" w:rsidP="00764C6C">
      <w:pPr>
        <w:pStyle w:val="Apara"/>
        <w:rPr>
          <w:lang w:val="en" w:eastAsia="en-AU"/>
        </w:rPr>
      </w:pPr>
      <w:r>
        <w:rPr>
          <w:lang w:val="en" w:eastAsia="en-AU"/>
        </w:rPr>
        <w:tab/>
      </w:r>
      <w:r w:rsidRPr="00764C6C">
        <w:rPr>
          <w:lang w:val="en" w:eastAsia="en-AU"/>
        </w:rPr>
        <w:t>(b)</w:t>
      </w:r>
      <w:r>
        <w:rPr>
          <w:lang w:val="en" w:eastAsia="en-AU"/>
        </w:rPr>
        <w:tab/>
      </w:r>
      <w:r w:rsidRPr="00764C6C">
        <w:rPr>
          <w:lang w:val="en" w:eastAsia="en-AU"/>
        </w:rPr>
        <w:t>any evidence given in the proceeding, before the court decided that the offence be prosecuted on indictment, is taken to be evidence in the committal proceeding; and</w:t>
      </w:r>
    </w:p>
    <w:p w14:paraId="2F103BD1" w14:textId="77777777" w:rsidR="00764C6C" w:rsidRPr="00764C6C" w:rsidRDefault="00764C6C" w:rsidP="00764C6C">
      <w:pPr>
        <w:pStyle w:val="Apara"/>
        <w:rPr>
          <w:lang w:val="en" w:eastAsia="en-AU"/>
        </w:rPr>
      </w:pPr>
      <w:r>
        <w:rPr>
          <w:lang w:val="en" w:eastAsia="en-AU"/>
        </w:rPr>
        <w:tab/>
      </w:r>
      <w:r w:rsidRPr="00764C6C">
        <w:rPr>
          <w:lang w:val="en" w:eastAsia="en-AU"/>
        </w:rPr>
        <w:t>(c)</w:t>
      </w:r>
      <w:r>
        <w:rPr>
          <w:lang w:val="en" w:eastAsia="en-AU"/>
        </w:rPr>
        <w:tab/>
      </w:r>
      <w:r w:rsidRPr="00764C6C">
        <w:rPr>
          <w:lang w:val="en" w:eastAsia="en-AU"/>
        </w:rPr>
        <w:t>the court must disregard any plea that the defendant made at the start of the proceeding.</w:t>
      </w:r>
    </w:p>
    <w:p w14:paraId="1CD38DE1" w14:textId="77777777" w:rsidR="00764C6C" w:rsidRPr="00764C6C" w:rsidRDefault="00764C6C" w:rsidP="00764C6C">
      <w:pPr>
        <w:pStyle w:val="AH5Sec"/>
        <w:rPr>
          <w:lang w:val="en" w:eastAsia="en-AU"/>
        </w:rPr>
      </w:pPr>
      <w:bookmarkStart w:id="888" w:name="_Toc83626232"/>
      <w:r w:rsidRPr="005E03F7">
        <w:rPr>
          <w:rStyle w:val="CharSectNo"/>
        </w:rPr>
        <w:lastRenderedPageBreak/>
        <w:t>707A</w:t>
      </w:r>
      <w:r>
        <w:rPr>
          <w:lang w:val="en" w:eastAsia="en-AU"/>
        </w:rPr>
        <w:tab/>
      </w:r>
      <w:r w:rsidRPr="00764C6C">
        <w:rPr>
          <w:lang w:val="en" w:eastAsia="en-AU"/>
        </w:rPr>
        <w:t>Proceeding for other offences</w:t>
      </w:r>
      <w:bookmarkEnd w:id="888"/>
    </w:p>
    <w:p w14:paraId="7AF6B91E" w14:textId="77777777" w:rsidR="00764C6C" w:rsidRPr="00764C6C" w:rsidRDefault="00764C6C" w:rsidP="00764C6C">
      <w:pPr>
        <w:pStyle w:val="Amain"/>
        <w:rPr>
          <w:lang w:val="en" w:eastAsia="en-AU"/>
        </w:rPr>
      </w:pPr>
      <w:r>
        <w:rPr>
          <w:lang w:val="en" w:eastAsia="en-AU"/>
        </w:rPr>
        <w:tab/>
      </w:r>
      <w:r w:rsidRPr="00764C6C">
        <w:rPr>
          <w:lang w:val="en" w:eastAsia="en-AU"/>
        </w:rPr>
        <w:t>(1)</w:t>
      </w:r>
      <w:r>
        <w:rPr>
          <w:lang w:val="en" w:eastAsia="en-AU"/>
        </w:rPr>
        <w:tab/>
      </w:r>
      <w:r w:rsidRPr="00764C6C">
        <w:rPr>
          <w:lang w:val="en" w:eastAsia="en-AU"/>
        </w:rPr>
        <w:t>The prosecution must bring a proceeding for an offence against this Law, other than an indictable offence, in a summary way.</w:t>
      </w:r>
    </w:p>
    <w:p w14:paraId="66289F92" w14:textId="77777777" w:rsidR="00764C6C" w:rsidRPr="00764C6C" w:rsidRDefault="00764C6C" w:rsidP="00764C6C">
      <w:pPr>
        <w:pStyle w:val="Amain"/>
        <w:rPr>
          <w:lang w:val="en" w:eastAsia="en-AU"/>
        </w:rPr>
      </w:pPr>
      <w:r>
        <w:rPr>
          <w:lang w:val="en" w:eastAsia="en-AU"/>
        </w:rPr>
        <w:tab/>
      </w:r>
      <w:r w:rsidRPr="00764C6C">
        <w:rPr>
          <w:lang w:val="en" w:eastAsia="en-AU"/>
        </w:rPr>
        <w:t>(2)</w:t>
      </w:r>
      <w:r>
        <w:rPr>
          <w:lang w:val="en" w:eastAsia="en-AU"/>
        </w:rPr>
        <w:tab/>
      </w:r>
      <w:r w:rsidRPr="00764C6C">
        <w:rPr>
          <w:lang w:val="en" w:eastAsia="en-AU"/>
        </w:rPr>
        <w:t>The proceeding must start—</w:t>
      </w:r>
    </w:p>
    <w:p w14:paraId="3F7E7EA1" w14:textId="77777777" w:rsidR="00764C6C" w:rsidRPr="00764C6C" w:rsidRDefault="00764C6C" w:rsidP="00764C6C">
      <w:pPr>
        <w:pStyle w:val="Apara"/>
        <w:rPr>
          <w:lang w:val="en" w:eastAsia="en-AU"/>
        </w:rPr>
      </w:pPr>
      <w:r>
        <w:rPr>
          <w:lang w:val="en" w:eastAsia="en-AU"/>
        </w:rPr>
        <w:tab/>
      </w:r>
      <w:r w:rsidRPr="00764C6C">
        <w:rPr>
          <w:lang w:val="en" w:eastAsia="en-AU"/>
        </w:rPr>
        <w:t>(a)</w:t>
      </w:r>
      <w:r>
        <w:rPr>
          <w:lang w:val="en" w:eastAsia="en-AU"/>
        </w:rPr>
        <w:tab/>
      </w:r>
      <w:r w:rsidRPr="00764C6C">
        <w:rPr>
          <w:lang w:val="en" w:eastAsia="en-AU"/>
        </w:rPr>
        <w:t>within 2 years after the offence is committed; or</w:t>
      </w:r>
    </w:p>
    <w:p w14:paraId="72CCB11D" w14:textId="77777777" w:rsidR="00764C6C" w:rsidRPr="00764C6C" w:rsidRDefault="00764C6C" w:rsidP="00764C6C">
      <w:pPr>
        <w:pStyle w:val="Apara"/>
        <w:rPr>
          <w:lang w:val="en" w:eastAsia="en-AU"/>
        </w:rPr>
      </w:pPr>
      <w:r>
        <w:rPr>
          <w:lang w:val="en" w:eastAsia="en-AU"/>
        </w:rPr>
        <w:tab/>
      </w:r>
      <w:r w:rsidRPr="00764C6C">
        <w:rPr>
          <w:lang w:val="en" w:eastAsia="en-AU"/>
        </w:rPr>
        <w:t>(b)</w:t>
      </w:r>
      <w:r>
        <w:rPr>
          <w:lang w:val="en" w:eastAsia="en-AU"/>
        </w:rPr>
        <w:tab/>
      </w:r>
      <w:r w:rsidRPr="00764C6C">
        <w:rPr>
          <w:lang w:val="en" w:eastAsia="en-AU"/>
        </w:rPr>
        <w:t>within 1 year after the commission of the offence comes to the complainant’s knowledge, but within 3 years after the offence is committed.</w:t>
      </w:r>
    </w:p>
    <w:p w14:paraId="31B3A271" w14:textId="77777777" w:rsidR="00764C6C" w:rsidRPr="00764C6C" w:rsidRDefault="00764C6C" w:rsidP="00764C6C">
      <w:pPr>
        <w:pStyle w:val="Amain"/>
        <w:rPr>
          <w:lang w:val="en" w:eastAsia="en-AU"/>
        </w:rPr>
      </w:pPr>
      <w:r>
        <w:rPr>
          <w:lang w:val="en" w:eastAsia="en-AU"/>
        </w:rPr>
        <w:tab/>
      </w:r>
      <w:r w:rsidRPr="00764C6C">
        <w:rPr>
          <w:lang w:val="en" w:eastAsia="en-AU"/>
        </w:rPr>
        <w:t>(3)</w:t>
      </w:r>
      <w:r>
        <w:rPr>
          <w:lang w:val="en" w:eastAsia="en-AU"/>
        </w:rPr>
        <w:tab/>
      </w:r>
      <w:r w:rsidRPr="00764C6C">
        <w:rPr>
          <w:lang w:val="en" w:eastAsia="en-AU"/>
        </w:rPr>
        <w:t>A statement in a complaint for an offence against this Law that the matter of the complaint came to the complainant’s knowledge on a stated day is evidence of when the matter came to the complainant’s knowledge.</w:t>
      </w:r>
    </w:p>
    <w:p w14:paraId="536B9B19" w14:textId="77777777" w:rsidR="00DB6E47" w:rsidRPr="005E03F7" w:rsidRDefault="00DB6E47" w:rsidP="00DB6E47">
      <w:pPr>
        <w:pStyle w:val="AH3Div"/>
      </w:pPr>
      <w:bookmarkStart w:id="889" w:name="_Toc83626233"/>
      <w:r w:rsidRPr="005E03F7">
        <w:rPr>
          <w:rStyle w:val="CharDivNo"/>
        </w:rPr>
        <w:t xml:space="preserve">Division 2 </w:t>
      </w:r>
      <w:r w:rsidRPr="00A95F9A">
        <w:rPr>
          <w:rFonts w:ascii="Helvetica" w:hAnsi="Helvetica" w:cs="Helvetica"/>
          <w:iCs/>
          <w:szCs w:val="28"/>
        </w:rPr>
        <w:tab/>
      </w:r>
      <w:r w:rsidRPr="005E03F7">
        <w:rPr>
          <w:rStyle w:val="CharDivText"/>
          <w:rFonts w:ascii="Helvetica" w:hAnsi="Helvetica" w:cs="Helvetica"/>
          <w:iCs/>
          <w:szCs w:val="28"/>
        </w:rPr>
        <w:t>Evidence</w:t>
      </w:r>
      <w:bookmarkEnd w:id="889"/>
    </w:p>
    <w:p w14:paraId="6229E3F3" w14:textId="77777777" w:rsidR="00DB6E47" w:rsidRPr="007E1F9A" w:rsidRDefault="00DB6E47" w:rsidP="00DB6E47">
      <w:pPr>
        <w:pStyle w:val="AH5Sec"/>
      </w:pPr>
      <w:bookmarkStart w:id="890" w:name="_Toc83626234"/>
      <w:r w:rsidRPr="005E03F7">
        <w:rPr>
          <w:rStyle w:val="CharSectNo"/>
        </w:rPr>
        <w:t>708</w:t>
      </w:r>
      <w:r w:rsidRPr="007E1F9A">
        <w:tab/>
      </w:r>
      <w:r w:rsidRPr="007E1F9A">
        <w:rPr>
          <w:rFonts w:ascii="Helvetica" w:hAnsi="Helvetica" w:cs="Helvetica"/>
          <w:iCs/>
        </w:rPr>
        <w:t>Proof of appointments unnecessary</w:t>
      </w:r>
      <w:bookmarkEnd w:id="890"/>
    </w:p>
    <w:p w14:paraId="7C1AC142" w14:textId="77777777" w:rsidR="00DB6E47" w:rsidRPr="002F157F" w:rsidRDefault="00DB6E47" w:rsidP="00DB6E47">
      <w:pPr>
        <w:pStyle w:val="Amainreturn"/>
      </w:pPr>
      <w:r w:rsidRPr="002F157F">
        <w:t>For the purposes of this Law, it is not necessary to prove the appointment of the following persons—</w:t>
      </w:r>
    </w:p>
    <w:p w14:paraId="2974F4F8" w14:textId="77777777" w:rsidR="00DB6E47" w:rsidRPr="00544ED5" w:rsidRDefault="00DB6E47" w:rsidP="00DB6E47">
      <w:pPr>
        <w:pStyle w:val="Apara"/>
      </w:pPr>
      <w:r w:rsidRPr="00544ED5">
        <w:tab/>
        <w:t>(a)</w:t>
      </w:r>
      <w:r w:rsidRPr="00544ED5">
        <w:tab/>
        <w:t>an official;</w:t>
      </w:r>
    </w:p>
    <w:p w14:paraId="06E68877" w14:textId="77777777" w:rsidR="00DB6E47" w:rsidRPr="00544ED5" w:rsidRDefault="00DB6E47" w:rsidP="00DB6E47">
      <w:pPr>
        <w:pStyle w:val="Apara"/>
      </w:pPr>
      <w:r w:rsidRPr="00544ED5">
        <w:tab/>
        <w:t>(b)</w:t>
      </w:r>
      <w:r w:rsidRPr="00544ED5">
        <w:tab/>
        <w:t>a police commissioner.</w:t>
      </w:r>
    </w:p>
    <w:p w14:paraId="550E03D0" w14:textId="77777777" w:rsidR="00DB6E47" w:rsidRPr="007E1F9A" w:rsidRDefault="00DB6E47" w:rsidP="00DB6E47">
      <w:pPr>
        <w:pStyle w:val="AH5Sec"/>
      </w:pPr>
      <w:bookmarkStart w:id="891" w:name="_Toc83626235"/>
      <w:r w:rsidRPr="005E03F7">
        <w:rPr>
          <w:rStyle w:val="CharSectNo"/>
        </w:rPr>
        <w:t>709</w:t>
      </w:r>
      <w:r w:rsidRPr="007E1F9A">
        <w:tab/>
      </w:r>
      <w:r w:rsidRPr="007E1F9A">
        <w:rPr>
          <w:rFonts w:ascii="Helvetica" w:hAnsi="Helvetica" w:cs="Helvetica"/>
          <w:iCs/>
        </w:rPr>
        <w:t>Proof of signatures unnecessary</w:t>
      </w:r>
      <w:bookmarkEnd w:id="891"/>
    </w:p>
    <w:p w14:paraId="15B52073" w14:textId="77777777" w:rsidR="00DB6E47" w:rsidRPr="002F157F" w:rsidRDefault="00DB6E47" w:rsidP="00DB6E47">
      <w:pPr>
        <w:pStyle w:val="Amainreturn"/>
      </w:pPr>
      <w:r w:rsidRPr="002F157F">
        <w:t>For the purposes of this Law, a signature purporting to be the signature of 1 of the following persons is evidence of the signature it purports to be—</w:t>
      </w:r>
    </w:p>
    <w:p w14:paraId="60AAA61B" w14:textId="77777777" w:rsidR="00DB6E47" w:rsidRPr="00544ED5" w:rsidRDefault="00DB6E47" w:rsidP="00DB6E47">
      <w:pPr>
        <w:pStyle w:val="Apara"/>
      </w:pPr>
      <w:r w:rsidRPr="00544ED5">
        <w:tab/>
        <w:t>(a)</w:t>
      </w:r>
      <w:r w:rsidRPr="00544ED5">
        <w:tab/>
        <w:t>an official;</w:t>
      </w:r>
    </w:p>
    <w:p w14:paraId="0DB33AD8" w14:textId="77777777" w:rsidR="00DB6E47" w:rsidRPr="00544ED5" w:rsidRDefault="00DB6E47" w:rsidP="00DB6E47">
      <w:pPr>
        <w:pStyle w:val="Apara"/>
      </w:pPr>
      <w:r w:rsidRPr="00544ED5">
        <w:tab/>
        <w:t>(b)</w:t>
      </w:r>
      <w:r w:rsidRPr="00544ED5">
        <w:tab/>
        <w:t>a police commissioner.</w:t>
      </w:r>
    </w:p>
    <w:p w14:paraId="2FE52C90" w14:textId="77777777" w:rsidR="00150AE9" w:rsidRPr="009D47B1" w:rsidRDefault="00150AE9" w:rsidP="00150AE9">
      <w:pPr>
        <w:pStyle w:val="AH5Sec"/>
        <w:shd w:val="clear" w:color="auto" w:fill="D9D9D9" w:themeFill="background1" w:themeFillShade="D9"/>
        <w:rPr>
          <w:lang w:eastAsia="en-AU"/>
        </w:rPr>
      </w:pPr>
      <w:bookmarkStart w:id="892" w:name="_Toc83626236"/>
      <w:r w:rsidRPr="005E03F7">
        <w:rPr>
          <w:rStyle w:val="CharSectNo"/>
        </w:rPr>
        <w:lastRenderedPageBreak/>
        <w:t>709A</w:t>
      </w:r>
      <w:r w:rsidRPr="009D47B1">
        <w:rPr>
          <w:lang w:eastAsia="en-AU"/>
        </w:rPr>
        <w:tab/>
        <w:t>Evidence of speed</w:t>
      </w:r>
      <w:bookmarkEnd w:id="892"/>
    </w:p>
    <w:p w14:paraId="05EB5DB8" w14:textId="77777777" w:rsidR="00150AE9" w:rsidRPr="009D47B1" w:rsidRDefault="00150AE9" w:rsidP="00150AE9">
      <w:pPr>
        <w:pStyle w:val="Amain"/>
        <w:shd w:val="clear" w:color="auto" w:fill="D9D9D9" w:themeFill="background1" w:themeFillShade="D9"/>
        <w:rPr>
          <w:lang w:eastAsia="en-AU"/>
        </w:rPr>
      </w:pPr>
      <w:r w:rsidRPr="009D47B1">
        <w:rPr>
          <w:lang w:eastAsia="en-AU"/>
        </w:rPr>
        <w:tab/>
        <w:t>(1)</w:t>
      </w:r>
      <w:r w:rsidRPr="009D47B1">
        <w:rPr>
          <w:lang w:eastAsia="en-AU"/>
        </w:rPr>
        <w:tab/>
        <w:t>This section applies if</w:t>
      </w:r>
      <w:r w:rsidRPr="009D47B1">
        <w:t xml:space="preserve"> </w:t>
      </w:r>
      <w:r w:rsidRPr="009D47B1">
        <w:rPr>
          <w:lang w:eastAsia="en-AU"/>
        </w:rPr>
        <w:t>the speed of a heavy vehicle is relevant in a proceeding for an offence against this Law.</w:t>
      </w:r>
    </w:p>
    <w:p w14:paraId="3177014F" w14:textId="1D171DC8" w:rsidR="00150AE9" w:rsidRPr="009D47B1" w:rsidRDefault="00150AE9" w:rsidP="00150AE9">
      <w:pPr>
        <w:pStyle w:val="Amain"/>
        <w:shd w:val="clear" w:color="auto" w:fill="D9D9D9" w:themeFill="background1" w:themeFillShade="D9"/>
        <w:rPr>
          <w:lang w:eastAsia="en-AU"/>
        </w:rPr>
      </w:pPr>
      <w:r w:rsidRPr="009D47B1">
        <w:rPr>
          <w:lang w:eastAsia="en-AU"/>
        </w:rPr>
        <w:tab/>
        <w:t>(2)</w:t>
      </w:r>
      <w:r w:rsidRPr="009D47B1">
        <w:rPr>
          <w:lang w:eastAsia="en-AU"/>
        </w:rPr>
        <w:tab/>
        <w:t xml:space="preserve">Evidence that is obtained or may be given under the </w:t>
      </w:r>
      <w:hyperlink r:id="rId93" w:tooltip="A1999-80" w:history="1">
        <w:r w:rsidRPr="009D47B1">
          <w:rPr>
            <w:rStyle w:val="charCitHyperlinkItal"/>
          </w:rPr>
          <w:t>Road Transport (Safety and Traffic Management) Act 1999</w:t>
        </w:r>
      </w:hyperlink>
      <w:r w:rsidRPr="009D47B1">
        <w:rPr>
          <w:lang w:eastAsia="en-AU"/>
        </w:rPr>
        <w:t xml:space="preserve"> may be given in the proceeding.</w:t>
      </w:r>
    </w:p>
    <w:p w14:paraId="3D7A06A5" w14:textId="1ADE422C" w:rsidR="00150AE9" w:rsidRPr="009D47B1" w:rsidRDefault="00150AE9" w:rsidP="00150AE9">
      <w:pPr>
        <w:pStyle w:val="Amain"/>
        <w:shd w:val="clear" w:color="auto" w:fill="D9D9D9" w:themeFill="background1" w:themeFillShade="D9"/>
        <w:rPr>
          <w:lang w:eastAsia="en-AU"/>
        </w:rPr>
      </w:pPr>
      <w:r w:rsidRPr="009D47B1">
        <w:rPr>
          <w:lang w:eastAsia="en-AU"/>
        </w:rPr>
        <w:tab/>
        <w:t>(3)</w:t>
      </w:r>
      <w:r w:rsidRPr="009D47B1">
        <w:rPr>
          <w:lang w:eastAsia="en-AU"/>
        </w:rPr>
        <w:tab/>
        <w:t xml:space="preserve">Without limiting subsection (2), a certificate about a matter under the </w:t>
      </w:r>
      <w:hyperlink r:id="rId94" w:tooltip="A1999-80" w:history="1">
        <w:r w:rsidRPr="009D47B1">
          <w:rPr>
            <w:rStyle w:val="charCitHyperlinkItal"/>
          </w:rPr>
          <w:t>Road Transport (Safety and Traffic Management) Act 1999</w:t>
        </w:r>
      </w:hyperlink>
      <w:r w:rsidRPr="009D47B1">
        <w:rPr>
          <w:lang w:eastAsia="en-AU"/>
        </w:rPr>
        <w:t>, part 6 (Traffic offence detection devices) is</w:t>
      </w:r>
      <w:r w:rsidRPr="009D47B1">
        <w:t>—</w:t>
      </w:r>
    </w:p>
    <w:p w14:paraId="0D5DC4B5"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(a)</w:t>
      </w:r>
      <w:r w:rsidRPr="009D47B1">
        <w:rPr>
          <w:lang w:eastAsia="en-AU"/>
        </w:rPr>
        <w:tab/>
        <w:t>admissible in the proceeding; and</w:t>
      </w:r>
    </w:p>
    <w:p w14:paraId="61500248"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(b)</w:t>
      </w:r>
      <w:r w:rsidRPr="009D47B1">
        <w:rPr>
          <w:lang w:eastAsia="en-AU"/>
        </w:rPr>
        <w:tab/>
        <w:t>evidence of the matter.</w:t>
      </w:r>
    </w:p>
    <w:p w14:paraId="55747CA4" w14:textId="77777777" w:rsidR="00150AE9" w:rsidRPr="009D47B1" w:rsidRDefault="00150AE9" w:rsidP="00150AE9">
      <w:pPr>
        <w:pStyle w:val="Amain"/>
        <w:shd w:val="clear" w:color="auto" w:fill="D9D9D9" w:themeFill="background1" w:themeFillShade="D9"/>
        <w:rPr>
          <w:lang w:eastAsia="en-AU"/>
        </w:rPr>
      </w:pPr>
      <w:r w:rsidRPr="009D47B1">
        <w:rPr>
          <w:lang w:eastAsia="en-AU"/>
        </w:rPr>
        <w:tab/>
        <w:t>(4)</w:t>
      </w:r>
      <w:r w:rsidRPr="009D47B1">
        <w:rPr>
          <w:lang w:eastAsia="en-AU"/>
        </w:rPr>
        <w:tab/>
        <w:t>If the heavy vehicle is being towed by another heavy vehicle, the heavy vehicle and towing vehicle are taken to be travelling at the same speed.</w:t>
      </w:r>
    </w:p>
    <w:p w14:paraId="70DE7C69" w14:textId="77777777" w:rsidR="00150AE9" w:rsidRPr="009D47B1" w:rsidRDefault="00150AE9" w:rsidP="00150AE9">
      <w:pPr>
        <w:pStyle w:val="Amain"/>
        <w:shd w:val="clear" w:color="auto" w:fill="D9D9D9" w:themeFill="background1" w:themeFillShade="D9"/>
        <w:rPr>
          <w:lang w:eastAsia="en-AU"/>
        </w:rPr>
      </w:pPr>
      <w:r w:rsidRPr="009D47B1">
        <w:tab/>
        <w:t>(5)</w:t>
      </w:r>
      <w:r w:rsidRPr="009D47B1">
        <w:tab/>
        <w:t>This section does not limit evidence that can be presented apart from this section.</w:t>
      </w:r>
    </w:p>
    <w:p w14:paraId="2257CA5F" w14:textId="77777777" w:rsidR="00DB6E47" w:rsidRPr="007E1F9A" w:rsidRDefault="00DB6E47" w:rsidP="00DB6E47">
      <w:pPr>
        <w:pStyle w:val="AH5Sec"/>
      </w:pPr>
      <w:bookmarkStart w:id="893" w:name="_Toc83626237"/>
      <w:r w:rsidRPr="005E03F7">
        <w:rPr>
          <w:rStyle w:val="CharSectNo"/>
        </w:rPr>
        <w:t>710</w:t>
      </w:r>
      <w:r w:rsidRPr="007E1F9A">
        <w:tab/>
      </w:r>
      <w:r w:rsidRPr="007E1F9A">
        <w:rPr>
          <w:rFonts w:ascii="Helvetica" w:hAnsi="Helvetica" w:cs="Helvetica"/>
          <w:iCs/>
        </w:rPr>
        <w:t>Averments</w:t>
      </w:r>
      <w:bookmarkEnd w:id="893"/>
    </w:p>
    <w:p w14:paraId="1CFB6CAA" w14:textId="77777777" w:rsidR="00DB6E47" w:rsidRPr="002F157F" w:rsidRDefault="00DB6E47" w:rsidP="00DB6E47">
      <w:pPr>
        <w:pStyle w:val="Amain"/>
      </w:pPr>
      <w:r w:rsidRPr="002F157F">
        <w:tab/>
        <w:t>(1)</w:t>
      </w:r>
      <w:r w:rsidRPr="002F157F">
        <w:tab/>
        <w:t>In a proceeding for an offence against this Law, a statement in the complaint for the offence that, at a stated time or during a stated period—</w:t>
      </w:r>
    </w:p>
    <w:p w14:paraId="74847A8A" w14:textId="77777777" w:rsidR="00DB6E47" w:rsidRPr="00544ED5" w:rsidRDefault="00DB6E47" w:rsidP="00DB6E47">
      <w:pPr>
        <w:pStyle w:val="Apara"/>
      </w:pPr>
      <w:r w:rsidRPr="00544ED5">
        <w:tab/>
        <w:t>(a)</w:t>
      </w:r>
      <w:r w:rsidRPr="00544ED5">
        <w:tab/>
        <w:t>a stated vehicle or a stated combination was a heavy vehicle; or</w:t>
      </w:r>
    </w:p>
    <w:p w14:paraId="195DF699" w14:textId="77777777" w:rsidR="00DB6E47" w:rsidRPr="00544ED5" w:rsidRDefault="00DB6E47" w:rsidP="00DB6E47">
      <w:pPr>
        <w:pStyle w:val="Apara"/>
      </w:pPr>
      <w:r w:rsidRPr="00544ED5">
        <w:tab/>
        <w:t>(b)</w:t>
      </w:r>
      <w:r w:rsidRPr="00544ED5">
        <w:tab/>
        <w:t>a stated vehicle or a stated combination was of a stated category of heavy vehicle; or</w:t>
      </w:r>
    </w:p>
    <w:p w14:paraId="44CA05CD" w14:textId="77777777" w:rsidR="00DB6E47" w:rsidRPr="00544ED5" w:rsidRDefault="00DB6E47" w:rsidP="00DB6E47">
      <w:pPr>
        <w:pStyle w:val="Apara"/>
      </w:pPr>
      <w:r w:rsidRPr="00544ED5">
        <w:tab/>
        <w:t>(c)</w:t>
      </w:r>
      <w:r w:rsidRPr="00544ED5">
        <w:tab/>
        <w:t>a stated person was the registered operator of a stated heavy vehicle; or</w:t>
      </w:r>
    </w:p>
    <w:p w14:paraId="154D687C" w14:textId="77777777" w:rsidR="00DB6E47" w:rsidRPr="00544ED5" w:rsidRDefault="00DB6E47" w:rsidP="00DB6E47">
      <w:pPr>
        <w:pStyle w:val="Apara"/>
      </w:pPr>
      <w:r w:rsidRPr="00544ED5">
        <w:tab/>
        <w:t>(d)</w:t>
      </w:r>
      <w:r w:rsidRPr="00544ED5">
        <w:tab/>
        <w:t>a stated person held a permit for a mass or dimension authority, a heavy vehicle accreditation or another authority under this Law; or</w:t>
      </w:r>
    </w:p>
    <w:p w14:paraId="55AE1CCF" w14:textId="77777777" w:rsidR="00DB6E47" w:rsidRPr="00544ED5" w:rsidRDefault="00DB6E47" w:rsidP="00DB6E47">
      <w:pPr>
        <w:pStyle w:val="Apara"/>
      </w:pPr>
      <w:r w:rsidRPr="00544ED5">
        <w:lastRenderedPageBreak/>
        <w:tab/>
        <w:t>(e)</w:t>
      </w:r>
      <w:r w:rsidRPr="00544ED5">
        <w:tab/>
        <w:t>a stated location was, or was a part of, a road or road-related area; or</w:t>
      </w:r>
    </w:p>
    <w:p w14:paraId="13942125" w14:textId="77777777" w:rsidR="00DB6E47" w:rsidRPr="00544ED5" w:rsidRDefault="00DB6E47" w:rsidP="00DB6E47">
      <w:pPr>
        <w:pStyle w:val="Apara"/>
      </w:pPr>
      <w:r w:rsidRPr="00544ED5">
        <w:tab/>
        <w:t>(f)</w:t>
      </w:r>
      <w:r w:rsidRPr="00544ED5">
        <w:tab/>
        <w:t>a stated location was, under a stated provision of this Law or another stated law, subject to a stated prohibition, restriction or other requirement about the use of heavy vehicles or stated categories of heavy vehicles;</w:t>
      </w:r>
    </w:p>
    <w:p w14:paraId="34C84A28" w14:textId="77777777" w:rsidR="00DB6E47" w:rsidRPr="002F157F" w:rsidRDefault="00DB6E47" w:rsidP="00DB6E47">
      <w:pPr>
        <w:pStyle w:val="Amainreturn"/>
      </w:pPr>
      <w:r w:rsidRPr="002F157F">
        <w:t>is evidence of the matter.</w:t>
      </w:r>
    </w:p>
    <w:p w14:paraId="02D19F7A" w14:textId="77777777" w:rsidR="00150AE9" w:rsidRPr="009D47B1" w:rsidRDefault="00150AE9" w:rsidP="00150AE9">
      <w:pPr>
        <w:pStyle w:val="Amain"/>
        <w:shd w:val="clear" w:color="auto" w:fill="D9D9D9" w:themeFill="background1" w:themeFillShade="D9"/>
        <w:rPr>
          <w:lang w:eastAsia="en-AU"/>
        </w:rPr>
      </w:pPr>
      <w:r w:rsidRPr="009D47B1">
        <w:rPr>
          <w:lang w:eastAsia="en-AU"/>
        </w:rPr>
        <w:tab/>
        <w:t>(1A)</w:t>
      </w:r>
      <w:r w:rsidRPr="009D47B1">
        <w:rPr>
          <w:lang w:eastAsia="en-AU"/>
        </w:rPr>
        <w:tab/>
      </w:r>
      <w:r w:rsidRPr="009D47B1">
        <w:rPr>
          <w:rFonts w:ascii="Times-Roman" w:hAnsi="Times-Roman" w:cs="Times-Roman"/>
          <w:szCs w:val="24"/>
          <w:lang w:eastAsia="en-AU"/>
        </w:rPr>
        <w:t>In a proceeding for an offence against this Law, a statement in the complaint for the offence that—</w:t>
      </w:r>
    </w:p>
    <w:p w14:paraId="3EDFAE9D"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(a)</w:t>
      </w:r>
      <w:r w:rsidRPr="009D47B1">
        <w:rPr>
          <w:lang w:eastAsia="en-AU"/>
        </w:rPr>
        <w:tab/>
        <w:t>at a stated time or during a stated period—</w:t>
      </w:r>
    </w:p>
    <w:p w14:paraId="263A85B8" w14:textId="5B9D5485" w:rsidR="00150AE9" w:rsidRPr="009D47B1" w:rsidRDefault="00150AE9" w:rsidP="00150AE9">
      <w:pPr>
        <w:pStyle w:val="Asubpara"/>
        <w:shd w:val="clear" w:color="auto" w:fill="D9D9D9" w:themeFill="background1" w:themeFillShade="D9"/>
        <w:rPr>
          <w:lang w:eastAsia="en-AU"/>
        </w:rPr>
      </w:pPr>
      <w:r w:rsidRPr="009D47B1">
        <w:rPr>
          <w:lang w:eastAsia="en-AU"/>
        </w:rPr>
        <w:tab/>
        <w:t>(i)</w:t>
      </w:r>
      <w:r w:rsidRPr="009D47B1">
        <w:rPr>
          <w:lang w:eastAsia="en-AU"/>
        </w:rPr>
        <w:tab/>
        <w:t xml:space="preserve">a stated person was or was not the holder of a driver licence under the </w:t>
      </w:r>
      <w:hyperlink r:id="rId95" w:tooltip="A1999-78" w:history="1">
        <w:r w:rsidRPr="009D47B1">
          <w:rPr>
            <w:rStyle w:val="charCitHyperlinkItal"/>
          </w:rPr>
          <w:t>Road Transport (Driver Licensing) Act 1999</w:t>
        </w:r>
      </w:hyperlink>
      <w:r w:rsidRPr="009D47B1">
        <w:rPr>
          <w:rStyle w:val="charItals"/>
        </w:rPr>
        <w:t xml:space="preserve"> </w:t>
      </w:r>
      <w:r w:rsidRPr="009D47B1">
        <w:rPr>
          <w:lang w:eastAsia="en-AU"/>
        </w:rPr>
        <w:t>of any particular class or type; or</w:t>
      </w:r>
    </w:p>
    <w:p w14:paraId="2E28B5AB" w14:textId="3DC0578C" w:rsidR="00150AE9" w:rsidRPr="009D47B1" w:rsidRDefault="00150AE9" w:rsidP="00150AE9">
      <w:pPr>
        <w:pStyle w:val="Asubpara"/>
        <w:shd w:val="clear" w:color="auto" w:fill="D9D9D9" w:themeFill="background1" w:themeFillShade="D9"/>
        <w:rPr>
          <w:lang w:eastAsia="en-AU"/>
        </w:rPr>
      </w:pPr>
      <w:r w:rsidRPr="009D47B1">
        <w:rPr>
          <w:lang w:eastAsia="en-AU"/>
        </w:rPr>
        <w:tab/>
        <w:t>(ii)</w:t>
      </w:r>
      <w:r w:rsidRPr="009D47B1">
        <w:rPr>
          <w:lang w:eastAsia="en-AU"/>
        </w:rPr>
        <w:tab/>
        <w:t xml:space="preserve">a stated person was or was not the holder of a driver licence under the </w:t>
      </w:r>
      <w:hyperlink r:id="rId96" w:tooltip="A1999-78" w:history="1">
        <w:r w:rsidRPr="009D47B1">
          <w:rPr>
            <w:rStyle w:val="charCitHyperlinkItal"/>
          </w:rPr>
          <w:t>Road Transport (Driver Licensing) Act 1999</w:t>
        </w:r>
      </w:hyperlink>
      <w:r w:rsidRPr="009D47B1">
        <w:rPr>
          <w:rStyle w:val="charItals"/>
        </w:rPr>
        <w:t xml:space="preserve"> </w:t>
      </w:r>
      <w:r w:rsidRPr="009D47B1">
        <w:rPr>
          <w:lang w:eastAsia="en-AU"/>
        </w:rPr>
        <w:t>authorising the holder to drive a motor vehicle on a stated road; or</w:t>
      </w:r>
    </w:p>
    <w:p w14:paraId="6ACE2215"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(b)</w:t>
      </w:r>
      <w:r w:rsidRPr="009D47B1">
        <w:rPr>
          <w:lang w:eastAsia="en-AU"/>
        </w:rPr>
        <w:tab/>
        <w:t>any distance mentioned in the complaint is or was a stated distance or is or was greater or less than a stated distance;</w:t>
      </w:r>
    </w:p>
    <w:p w14:paraId="00FE6BFB" w14:textId="77777777" w:rsidR="00150AE9" w:rsidRPr="009D47B1" w:rsidRDefault="00150AE9" w:rsidP="00150AE9">
      <w:pPr>
        <w:pStyle w:val="Amainreturn"/>
        <w:shd w:val="clear" w:color="auto" w:fill="D9D9D9" w:themeFill="background1" w:themeFillShade="D9"/>
        <w:rPr>
          <w:lang w:eastAsia="en-AU"/>
        </w:rPr>
      </w:pPr>
      <w:r w:rsidRPr="009D47B1">
        <w:rPr>
          <w:lang w:eastAsia="en-AU"/>
        </w:rPr>
        <w:t>is evidence of the matter.</w:t>
      </w:r>
    </w:p>
    <w:p w14:paraId="3B812279" w14:textId="77777777" w:rsidR="00150AE9" w:rsidRPr="009D47B1" w:rsidRDefault="00150AE9" w:rsidP="00150AE9">
      <w:pPr>
        <w:pStyle w:val="Amain"/>
        <w:shd w:val="clear" w:color="auto" w:fill="D9D9D9" w:themeFill="background1" w:themeFillShade="D9"/>
        <w:rPr>
          <w:lang w:eastAsia="en-AU"/>
        </w:rPr>
      </w:pPr>
      <w:r w:rsidRPr="009D47B1">
        <w:rPr>
          <w:lang w:eastAsia="en-AU"/>
        </w:rPr>
        <w:tab/>
        <w:t>(1B)</w:t>
      </w:r>
      <w:r w:rsidRPr="009D47B1">
        <w:rPr>
          <w:lang w:eastAsia="en-AU"/>
        </w:rPr>
        <w:tab/>
        <w:t>Section 715 applies to a matter mentioned in subsection (1A)(b) as if the matter were a matter stated in a certificate to which the section applies.</w:t>
      </w:r>
    </w:p>
    <w:p w14:paraId="64144ED4" w14:textId="77777777" w:rsidR="00DB6E47" w:rsidRPr="002F157F" w:rsidRDefault="00DB6E47" w:rsidP="00DB6E47">
      <w:pPr>
        <w:pStyle w:val="Amain"/>
      </w:pPr>
      <w:r w:rsidRPr="002F157F">
        <w:tab/>
        <w:t>(2)</w:t>
      </w:r>
      <w:r w:rsidRPr="002F157F">
        <w:tab/>
        <w:t>In a proceeding for an offence against this Law, a statement or allegation in the complaint for the offence that the act or omission constituting the alleged offence was done or made in a stated place, at a stated time, on a stated date or during a stated period, is evidence of the matter.</w:t>
      </w:r>
    </w:p>
    <w:p w14:paraId="7A20FC45" w14:textId="77777777" w:rsidR="00DB6E47" w:rsidRPr="007E1F9A" w:rsidRDefault="00DB6E47" w:rsidP="00DB6E47">
      <w:pPr>
        <w:pStyle w:val="AH5Sec"/>
      </w:pPr>
      <w:bookmarkStart w:id="894" w:name="_Toc83626238"/>
      <w:r w:rsidRPr="005E03F7">
        <w:rPr>
          <w:rStyle w:val="CharSectNo"/>
        </w:rPr>
        <w:lastRenderedPageBreak/>
        <w:t>711</w:t>
      </w:r>
      <w:r w:rsidRPr="007E1F9A">
        <w:tab/>
      </w:r>
      <w:r w:rsidRPr="007E1F9A">
        <w:rPr>
          <w:rFonts w:ascii="Helvetica" w:hAnsi="Helvetica" w:cs="Helvetica"/>
          <w:iCs/>
        </w:rPr>
        <w:t>Evidence by certificate by Regulator generally</w:t>
      </w:r>
      <w:bookmarkEnd w:id="894"/>
    </w:p>
    <w:p w14:paraId="5E7ADA6D" w14:textId="77777777" w:rsidR="00DB6E47" w:rsidRPr="002F157F" w:rsidRDefault="00DB6E47" w:rsidP="00DB6E47">
      <w:pPr>
        <w:pStyle w:val="Amain"/>
      </w:pPr>
      <w:r w:rsidRPr="002F157F">
        <w:tab/>
        <w:t>(1)</w:t>
      </w:r>
      <w:r w:rsidRPr="002F157F">
        <w:tab/>
        <w:t>A certificate purporting to be issued by the Regulator and stating that, at a stated time or during a stated period—</w:t>
      </w:r>
    </w:p>
    <w:p w14:paraId="2A1A6F13" w14:textId="77777777" w:rsidR="00DB6E47" w:rsidRPr="00544ED5" w:rsidRDefault="00DB6E47" w:rsidP="00DB6E47">
      <w:pPr>
        <w:pStyle w:val="Apara"/>
      </w:pPr>
      <w:r w:rsidRPr="00544ED5">
        <w:tab/>
        <w:t>(e)</w:t>
      </w:r>
      <w:r w:rsidRPr="00544ED5">
        <w:tab/>
        <w:t>a stated person held or did not hold a heavy vehicle accreditation granted under this Law; or</w:t>
      </w:r>
    </w:p>
    <w:p w14:paraId="5323FFD2" w14:textId="77777777" w:rsidR="00DB6E47" w:rsidRPr="00544ED5" w:rsidRDefault="00DB6E47" w:rsidP="00DB6E47">
      <w:pPr>
        <w:pStyle w:val="Apara"/>
      </w:pPr>
      <w:r w:rsidRPr="00544ED5">
        <w:tab/>
        <w:t>(f)</w:t>
      </w:r>
      <w:r w:rsidRPr="00544ED5">
        <w:tab/>
        <w:t>a stated exemption or authorisation under this Law applied or did not apply to a stated person or a stated heavy vehicle; or</w:t>
      </w:r>
    </w:p>
    <w:p w14:paraId="271A05EA" w14:textId="77777777" w:rsidR="00DB6E47" w:rsidRPr="00544ED5" w:rsidRDefault="00DB6E47" w:rsidP="00DB6E47">
      <w:pPr>
        <w:pStyle w:val="Apara"/>
      </w:pPr>
      <w:r w:rsidRPr="00544ED5">
        <w:tab/>
        <w:t>(g)</w:t>
      </w:r>
      <w:r w:rsidRPr="00544ED5">
        <w:tab/>
        <w:t>a stated person is the holder of a stated permit or other authority under this Law; or</w:t>
      </w:r>
    </w:p>
    <w:p w14:paraId="2C61A7B1" w14:textId="77777777" w:rsidR="00DB6E47" w:rsidRPr="00544ED5" w:rsidRDefault="00DB6E47" w:rsidP="00DB6E47">
      <w:pPr>
        <w:pStyle w:val="Apara"/>
      </w:pPr>
      <w:r w:rsidRPr="00544ED5">
        <w:tab/>
        <w:t>(h)</w:t>
      </w:r>
      <w:r w:rsidRPr="00544ED5">
        <w:tab/>
        <w:t>a stated heavy vehicle accreditation, exemption, authorisation, permit or other authority under this Law was or was not amended, suspended or cancelled under this Law; or</w:t>
      </w:r>
    </w:p>
    <w:p w14:paraId="396B084B" w14:textId="77777777" w:rsidR="00DB6E47" w:rsidRPr="00544ED5" w:rsidRDefault="00DB6E47" w:rsidP="00DB6E47">
      <w:pPr>
        <w:pStyle w:val="Apara"/>
      </w:pPr>
      <w:r w:rsidRPr="00544ED5">
        <w:tab/>
        <w:t>(i)</w:t>
      </w:r>
      <w:r w:rsidRPr="00544ED5">
        <w:tab/>
        <w:t>a stated penalty, fee, charge or other amount was or was not, or is or is not, payable under this Law by a stated person; or</w:t>
      </w:r>
    </w:p>
    <w:p w14:paraId="5A29FAAA" w14:textId="77777777" w:rsidR="00DB6E47" w:rsidRPr="00544ED5" w:rsidRDefault="00DB6E47" w:rsidP="00DB6E47">
      <w:pPr>
        <w:pStyle w:val="Apara"/>
      </w:pPr>
      <w:r w:rsidRPr="00544ED5">
        <w:tab/>
        <w:t>(j)</w:t>
      </w:r>
      <w:r w:rsidRPr="00544ED5">
        <w:tab/>
        <w:t>a stated fee, charge or other amount payable under this Law was or was not paid to the Regulator; or</w:t>
      </w:r>
    </w:p>
    <w:p w14:paraId="1782284C" w14:textId="77777777" w:rsidR="00DB6E47" w:rsidRPr="00544ED5" w:rsidRDefault="00DB6E47" w:rsidP="00DB6E47">
      <w:pPr>
        <w:pStyle w:val="Apara"/>
      </w:pPr>
      <w:r w:rsidRPr="00544ED5">
        <w:tab/>
        <w:t>(k)</w:t>
      </w:r>
      <w:r w:rsidRPr="00544ED5">
        <w:tab/>
        <w:t>a stated person has or has not notified the Regulator of any, or a stated, change of the person’s address; or</w:t>
      </w:r>
    </w:p>
    <w:p w14:paraId="7750AB98" w14:textId="77777777" w:rsidR="00DB6E47" w:rsidRPr="00544ED5" w:rsidRDefault="00DB6E47" w:rsidP="00DB6E47">
      <w:pPr>
        <w:pStyle w:val="Apara"/>
      </w:pPr>
      <w:r w:rsidRPr="00544ED5">
        <w:tab/>
        <w:t>(l)</w:t>
      </w:r>
      <w:r w:rsidRPr="00544ED5">
        <w:tab/>
        <w:t>a stated identification card (however called) was issued by the Regulator to a stated person and was or was not current; or</w:t>
      </w:r>
    </w:p>
    <w:p w14:paraId="6CD3EB10" w14:textId="77777777" w:rsidR="00DB6E47" w:rsidRPr="00544ED5" w:rsidRDefault="00DB6E47" w:rsidP="00DB6E47">
      <w:pPr>
        <w:pStyle w:val="Apara"/>
      </w:pPr>
      <w:r w:rsidRPr="00544ED5">
        <w:tab/>
        <w:t>(m)</w:t>
      </w:r>
      <w:r w:rsidRPr="00544ED5">
        <w:tab/>
        <w:t>a stated authorised officer (other than an authorised officer who is a police officer) was authorised to exercise a stated power under this Law and—</w:t>
      </w:r>
    </w:p>
    <w:p w14:paraId="18EDC6F7" w14:textId="77777777" w:rsidR="00DB6E47" w:rsidRPr="00CC71DF" w:rsidRDefault="00DB6E47" w:rsidP="00DB6E47">
      <w:pPr>
        <w:pStyle w:val="Asubpara"/>
      </w:pPr>
      <w:r w:rsidRPr="00CC71DF">
        <w:tab/>
        <w:t>(i)</w:t>
      </w:r>
      <w:r w:rsidRPr="00CC71DF">
        <w:tab/>
        <w:t>was not restricted in the exercise of the power by the officer’s conditions of appointment or a direction of the Regulator; or</w:t>
      </w:r>
    </w:p>
    <w:p w14:paraId="74F6B8D6" w14:textId="77777777" w:rsidR="00DB6E47" w:rsidRPr="00CC71DF" w:rsidRDefault="00DB6E47" w:rsidP="00DB6E47">
      <w:pPr>
        <w:pStyle w:val="Asubpara"/>
      </w:pPr>
      <w:r w:rsidRPr="00CC71DF">
        <w:tab/>
        <w:t>(ii)</w:t>
      </w:r>
      <w:r w:rsidRPr="00CC71DF">
        <w:tab/>
        <w:t>was not restricted in a stated way in the exercise of the power by the officer’s conditions of appointment or a direction of the Regulator; or</w:t>
      </w:r>
    </w:p>
    <w:p w14:paraId="381DD20B" w14:textId="77777777" w:rsidR="00DB6E47" w:rsidRPr="00544ED5" w:rsidRDefault="00DB6E47" w:rsidP="00DB6E47">
      <w:pPr>
        <w:pStyle w:val="Apara"/>
      </w:pPr>
      <w:r w:rsidRPr="00544ED5">
        <w:lastRenderedPageBreak/>
        <w:tab/>
        <w:t>(n)</w:t>
      </w:r>
      <w:r w:rsidRPr="00544ED5">
        <w:tab/>
        <w:t>a stated industry code of practice was or was not registered under section 706; or</w:t>
      </w:r>
    </w:p>
    <w:p w14:paraId="6B0FC3D7" w14:textId="77777777" w:rsidR="00DB6E47" w:rsidRPr="00544ED5" w:rsidRDefault="00DB6E47" w:rsidP="00DB6E47">
      <w:pPr>
        <w:pStyle w:val="Apara"/>
      </w:pPr>
      <w:r w:rsidRPr="00544ED5">
        <w:tab/>
        <w:t>(o)</w:t>
      </w:r>
      <w:r w:rsidRPr="00544ED5">
        <w:tab/>
        <w:t>a stated road or road-related area, or a stated part of a road or road-related area, was in an area or on a route declared under a stated provision of this Law or the national regulations; or</w:t>
      </w:r>
    </w:p>
    <w:p w14:paraId="56D8F2C2" w14:textId="77777777" w:rsidR="00DB6E47" w:rsidRPr="00544ED5" w:rsidRDefault="00DB6E47" w:rsidP="00DB6E47">
      <w:pPr>
        <w:pStyle w:val="Apara"/>
      </w:pPr>
      <w:r w:rsidRPr="00544ED5">
        <w:tab/>
        <w:t>(p)</w:t>
      </w:r>
      <w:r w:rsidRPr="00544ED5">
        <w:tab/>
        <w:t>a stated heavy vehicle, or a stated component of a stated heavy vehicle, was weighed by or in the presence of a stated authorised officer on a stated weighbridge or weighing facility or by the use of a stated weighing device, and that a stated mass was the mass of the vehicle or component; or</w:t>
      </w:r>
    </w:p>
    <w:p w14:paraId="5BE5ECCB" w14:textId="77777777" w:rsidR="00DB6E47" w:rsidRPr="00544ED5" w:rsidRDefault="00DB6E47" w:rsidP="00DB6E47">
      <w:pPr>
        <w:pStyle w:val="Apara"/>
      </w:pPr>
      <w:r w:rsidRPr="00544ED5">
        <w:tab/>
        <w:t>(q)</w:t>
      </w:r>
      <w:r w:rsidRPr="00544ED5">
        <w:tab/>
        <w:t>a stated mathematical or statistical procedure was carried out in relation to stated information generated, recorded, stored, displayed, analysed, transmitted or reported by an approved intelligent transport system and the results of the procedure being carried out;</w:t>
      </w:r>
    </w:p>
    <w:p w14:paraId="1EBA0C4D"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(r)</w:t>
      </w:r>
      <w:r w:rsidRPr="009D47B1">
        <w:rPr>
          <w:lang w:eastAsia="en-AU"/>
        </w:rPr>
        <w:tab/>
        <w:t>a stated thing was the property of the Regulator; or</w:t>
      </w:r>
    </w:p>
    <w:p w14:paraId="6276B6AB"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(s)</w:t>
      </w:r>
      <w:r w:rsidRPr="009D47B1">
        <w:rPr>
          <w:lang w:eastAsia="en-AU"/>
        </w:rPr>
        <w:tab/>
        <w:t xml:space="preserve">a stated sign was or was not an official traffic sign, </w:t>
      </w:r>
      <w:r w:rsidRPr="009D47B1">
        <w:rPr>
          <w:rFonts w:ascii="Times-Roman" w:hAnsi="Times-Roman" w:cs="Times-Roman"/>
          <w:szCs w:val="24"/>
          <w:lang w:eastAsia="en-AU"/>
        </w:rPr>
        <w:t>contained stated words or was on a stated place; or</w:t>
      </w:r>
    </w:p>
    <w:p w14:paraId="7F4AB002"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(t)</w:t>
      </w:r>
      <w:r w:rsidRPr="009D47B1">
        <w:rPr>
          <w:lang w:eastAsia="en-AU"/>
        </w:rPr>
        <w:tab/>
        <w:t>a stated vehicle was or was not inspected under this Law; or</w:t>
      </w:r>
    </w:p>
    <w:p w14:paraId="6F4F4086"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(u)</w:t>
      </w:r>
      <w:r w:rsidRPr="009D47B1">
        <w:rPr>
          <w:lang w:eastAsia="en-AU"/>
        </w:rPr>
        <w:tab/>
        <w:t xml:space="preserve">a stated vehicle was or was not inspected in compliance </w:t>
      </w:r>
      <w:r w:rsidRPr="009D47B1">
        <w:rPr>
          <w:rFonts w:ascii="Times-Roman" w:hAnsi="Times-Roman" w:cs="Times-Roman"/>
          <w:szCs w:val="24"/>
          <w:lang w:eastAsia="en-AU"/>
        </w:rPr>
        <w:t>with a stated requirement made by an authorised officer; or</w:t>
      </w:r>
    </w:p>
    <w:p w14:paraId="4E6B4200"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(v)</w:t>
      </w:r>
      <w:r w:rsidRPr="009D47B1">
        <w:rPr>
          <w:lang w:eastAsia="en-AU"/>
        </w:rPr>
        <w:tab/>
        <w:t>an inspection of a stated vehicle under this Law gave stated results; or</w:t>
      </w:r>
    </w:p>
    <w:p w14:paraId="03CFD471"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(w)</w:t>
      </w:r>
      <w:r w:rsidRPr="009D47B1">
        <w:rPr>
          <w:lang w:eastAsia="en-AU"/>
        </w:rPr>
        <w:tab/>
        <w:t>a stated application, or another stated document required to be lodged under this Law, was or was not received by the Regulator; or</w:t>
      </w:r>
    </w:p>
    <w:p w14:paraId="5715AFBE"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(x)</w:t>
      </w:r>
      <w:r w:rsidRPr="009D47B1">
        <w:rPr>
          <w:lang w:eastAsia="en-AU"/>
        </w:rPr>
        <w:tab/>
        <w:t>a stated report or stated information required to be given to the Regulator under this Law was received or was not received by the Regulator; or</w:t>
      </w:r>
    </w:p>
    <w:p w14:paraId="7603EACE" w14:textId="77777777" w:rsidR="00150AE9" w:rsidRPr="009D47B1" w:rsidRDefault="00150AE9" w:rsidP="00150AE9">
      <w:pPr>
        <w:pStyle w:val="Apara"/>
        <w:shd w:val="clear" w:color="auto" w:fill="D9D9D9" w:themeFill="background1" w:themeFillShade="D9"/>
        <w:rPr>
          <w:lang w:eastAsia="en-AU"/>
        </w:rPr>
      </w:pPr>
      <w:r w:rsidRPr="009D47B1">
        <w:rPr>
          <w:lang w:eastAsia="en-AU"/>
        </w:rPr>
        <w:lastRenderedPageBreak/>
        <w:tab/>
        <w:t>(y)</w:t>
      </w:r>
      <w:r w:rsidRPr="009D47B1">
        <w:rPr>
          <w:lang w:eastAsia="en-AU"/>
        </w:rPr>
        <w:tab/>
        <w:t>no report or information of a stated type, required to be given to the Regulator under this Law, was received by the Regulator; or</w:t>
      </w:r>
    </w:p>
    <w:p w14:paraId="0F53D86D"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(z)</w:t>
      </w:r>
      <w:r w:rsidRPr="009D47B1">
        <w:rPr>
          <w:lang w:eastAsia="en-AU"/>
        </w:rPr>
        <w:tab/>
        <w:t>a stated vehicle was or was not of a stated type, or was carrying stated goods; or</w:t>
      </w:r>
    </w:p>
    <w:p w14:paraId="1EA27D2E"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(za)</w:t>
      </w:r>
      <w:r w:rsidRPr="009D47B1">
        <w:rPr>
          <w:lang w:eastAsia="en-AU"/>
        </w:rPr>
        <w:tab/>
        <w:t>a stated copy of a document was a copy of a document issued, or required to be kept, under the Law; or</w:t>
      </w:r>
    </w:p>
    <w:p w14:paraId="5AA90E4C"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(zb)</w:t>
      </w:r>
      <w:r w:rsidRPr="009D47B1">
        <w:rPr>
          <w:lang w:eastAsia="en-AU"/>
        </w:rPr>
        <w:tab/>
        <w:t>a stated document was a manufacturer’s specification for a stated type of vehicle; or</w:t>
      </w:r>
    </w:p>
    <w:p w14:paraId="2296697B"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(zc)</w:t>
      </w:r>
      <w:r w:rsidRPr="009D47B1">
        <w:rPr>
          <w:lang w:eastAsia="en-AU"/>
        </w:rPr>
        <w:tab/>
        <w:t>a stated vehicle’s GCM or GVM was a stated amount, and how the amount was identified;</w:t>
      </w:r>
    </w:p>
    <w:p w14:paraId="7F594E6D" w14:textId="77777777" w:rsidR="00DB6E47" w:rsidRPr="002F157F" w:rsidRDefault="00DB6E47" w:rsidP="00DB6E47">
      <w:pPr>
        <w:pStyle w:val="Amainreturn"/>
      </w:pPr>
      <w:r w:rsidRPr="002F157F">
        <w:t>is evidence of the matter.</w:t>
      </w:r>
    </w:p>
    <w:p w14:paraId="20229506" w14:textId="77777777" w:rsidR="00DB6E47" w:rsidRPr="002F157F" w:rsidRDefault="00DB6E47" w:rsidP="00DB6E47">
      <w:pPr>
        <w:pStyle w:val="Amain"/>
      </w:pPr>
      <w:r w:rsidRPr="002F157F">
        <w:tab/>
        <w:t>(2)</w:t>
      </w:r>
      <w:r w:rsidRPr="002F157F">
        <w:tab/>
        <w:t>A procedure specified in a c</w:t>
      </w:r>
      <w:r w:rsidR="00062FCF">
        <w:t>ertificate under subsection (1)</w:t>
      </w:r>
      <w:r w:rsidRPr="002F157F">
        <w:t>(q)</w:t>
      </w:r>
      <w:r w:rsidR="00062FCF">
        <w:t xml:space="preserve"> </w:t>
      </w:r>
      <w:r w:rsidRPr="002F157F">
        <w:t>is presumed, unless the contrary is proved—</w:t>
      </w:r>
    </w:p>
    <w:p w14:paraId="69BBD088" w14:textId="77777777" w:rsidR="00DB6E47" w:rsidRPr="00544ED5" w:rsidRDefault="00DB6E47" w:rsidP="00DB6E47">
      <w:pPr>
        <w:pStyle w:val="Apara"/>
      </w:pPr>
      <w:r w:rsidRPr="00544ED5">
        <w:tab/>
        <w:t>(a)</w:t>
      </w:r>
      <w:r w:rsidRPr="00544ED5">
        <w:tab/>
        <w:t>to be valid and reliable for the purpose for which it was used; and</w:t>
      </w:r>
    </w:p>
    <w:p w14:paraId="653BEAF0" w14:textId="77777777" w:rsidR="00DB6E47" w:rsidRPr="00544ED5" w:rsidRDefault="00DB6E47" w:rsidP="00DB6E47">
      <w:pPr>
        <w:pStyle w:val="Apara"/>
      </w:pPr>
      <w:r w:rsidRPr="00544ED5">
        <w:tab/>
        <w:t>(b)</w:t>
      </w:r>
      <w:r w:rsidRPr="00544ED5">
        <w:tab/>
        <w:t>to have been carried out correctly.</w:t>
      </w:r>
    </w:p>
    <w:p w14:paraId="46B0EADB" w14:textId="16EB588C" w:rsidR="00150AE9" w:rsidRPr="009D47B1" w:rsidRDefault="00150AE9" w:rsidP="00150AE9">
      <w:pPr>
        <w:pStyle w:val="Amain"/>
        <w:shd w:val="clear" w:color="auto" w:fill="D9D9D9" w:themeFill="background1" w:themeFillShade="D9"/>
      </w:pPr>
      <w:r w:rsidRPr="009D47B1">
        <w:rPr>
          <w:lang w:eastAsia="en-AU"/>
        </w:rPr>
        <w:tab/>
        <w:t>(3)</w:t>
      </w:r>
      <w:r w:rsidRPr="009D47B1">
        <w:rPr>
          <w:lang w:eastAsia="en-AU"/>
        </w:rPr>
        <w:tab/>
        <w:t xml:space="preserve">A certificate mentioned in the </w:t>
      </w:r>
      <w:hyperlink r:id="rId97" w:tooltip="A1999-77" w:history="1">
        <w:r w:rsidRPr="009D47B1">
          <w:rPr>
            <w:rStyle w:val="charCitHyperlinkItal"/>
          </w:rPr>
          <w:t>Road Transport (General) Act 1999</w:t>
        </w:r>
      </w:hyperlink>
      <w:r w:rsidRPr="009D47B1">
        <w:rPr>
          <w:lang w:eastAsia="en-AU"/>
        </w:rPr>
        <w:t>, section 56</w:t>
      </w:r>
      <w:r w:rsidRPr="009D47B1">
        <w:t xml:space="preserve"> signed by or on behalf of the Regulator as administering authority that states a matter is evidence of the matter.</w:t>
      </w:r>
    </w:p>
    <w:p w14:paraId="0C2E9C18" w14:textId="77777777" w:rsidR="00DB6E47" w:rsidRPr="007E1F9A" w:rsidRDefault="00DB6E47" w:rsidP="00DB6E47">
      <w:pPr>
        <w:pStyle w:val="AH5Sec"/>
      </w:pPr>
      <w:bookmarkStart w:id="895" w:name="_Toc83626239"/>
      <w:r w:rsidRPr="005E03F7">
        <w:rPr>
          <w:rStyle w:val="CharSectNo"/>
        </w:rPr>
        <w:t>712</w:t>
      </w:r>
      <w:r w:rsidRPr="007E1F9A">
        <w:tab/>
      </w:r>
      <w:r w:rsidRPr="007E1F9A">
        <w:rPr>
          <w:rFonts w:ascii="Helvetica" w:hAnsi="Helvetica" w:cs="Helvetica"/>
          <w:iCs/>
        </w:rPr>
        <w:t>Evidence by certificate by road authority</w:t>
      </w:r>
      <w:bookmarkEnd w:id="895"/>
    </w:p>
    <w:p w14:paraId="7326F199" w14:textId="77777777" w:rsidR="00DB6E47" w:rsidRPr="002F157F" w:rsidRDefault="00150AE9" w:rsidP="00150AE9">
      <w:pPr>
        <w:pStyle w:val="Amain"/>
      </w:pPr>
      <w:r w:rsidRPr="00150AE9">
        <w:rPr>
          <w:shd w:val="clear" w:color="auto" w:fill="D9D9D9" w:themeFill="background1" w:themeFillShade="D9"/>
        </w:rPr>
        <w:tab/>
        <w:t>(1)</w:t>
      </w:r>
      <w:r w:rsidRPr="00150AE9">
        <w:rPr>
          <w:shd w:val="clear" w:color="auto" w:fill="D9D9D9" w:themeFill="background1" w:themeFillShade="D9"/>
        </w:rPr>
        <w:tab/>
      </w:r>
      <w:r w:rsidR="00DB6E47" w:rsidRPr="00150AE9">
        <w:rPr>
          <w:shd w:val="clear" w:color="auto" w:fill="D9D9D9" w:themeFill="background1" w:themeFillShade="D9"/>
        </w:rPr>
        <w:t>A certificate</w:t>
      </w:r>
      <w:r w:rsidR="00DB6E47" w:rsidRPr="002F157F">
        <w:t xml:space="preserve"> purporting to be issued by a road authority and stating that, at a stated time or during a stated period—</w:t>
      </w:r>
    </w:p>
    <w:p w14:paraId="380F7338" w14:textId="77777777" w:rsidR="00DB6E47" w:rsidRPr="00544ED5" w:rsidRDefault="00DB6E47" w:rsidP="00DB6E47">
      <w:pPr>
        <w:pStyle w:val="Apara"/>
      </w:pPr>
      <w:r w:rsidRPr="00544ED5">
        <w:tab/>
        <w:t>(a)</w:t>
      </w:r>
      <w:r w:rsidRPr="00544ED5">
        <w:tab/>
        <w:t>a stated vehicle was or was not registered or licensed under a law administered by the authority; or</w:t>
      </w:r>
    </w:p>
    <w:p w14:paraId="43C3EFE7" w14:textId="77777777" w:rsidR="00DB6E47" w:rsidRPr="00544ED5" w:rsidRDefault="00DB6E47" w:rsidP="00DB6E47">
      <w:pPr>
        <w:pStyle w:val="Apara"/>
      </w:pPr>
      <w:r w:rsidRPr="00544ED5">
        <w:tab/>
        <w:t>(b)</w:t>
      </w:r>
      <w:r w:rsidRPr="00544ED5">
        <w:tab/>
        <w:t>a stated person was the person in whose name a stated vehicle was registered or licensed under a law administered by the authority; or</w:t>
      </w:r>
    </w:p>
    <w:p w14:paraId="4ED75279" w14:textId="77777777" w:rsidR="00DB6E47" w:rsidRPr="00544ED5" w:rsidRDefault="00DB6E47" w:rsidP="00DB6E47">
      <w:pPr>
        <w:pStyle w:val="Apara"/>
      </w:pPr>
      <w:r w:rsidRPr="00544ED5">
        <w:lastRenderedPageBreak/>
        <w:tab/>
        <w:t>(c)</w:t>
      </w:r>
      <w:r w:rsidRPr="00544ED5">
        <w:tab/>
        <w:t>a stated vehicle was not registered or licensed under a law administered by the authority in a stated person’s name; or</w:t>
      </w:r>
    </w:p>
    <w:p w14:paraId="3583D8D4" w14:textId="5DB0BFA9" w:rsidR="00651049" w:rsidRPr="009D47B1" w:rsidRDefault="00651049" w:rsidP="00651049">
      <w:pPr>
        <w:pStyle w:val="Apara"/>
        <w:shd w:val="clear" w:color="auto" w:fill="D9D9D9" w:themeFill="background1" w:themeFillShade="D9"/>
        <w:rPr>
          <w:lang w:eastAsia="en-AU"/>
        </w:rPr>
      </w:pPr>
      <w:r w:rsidRPr="009D47B1">
        <w:rPr>
          <w:lang w:eastAsia="en-AU"/>
        </w:rPr>
        <w:tab/>
        <w:t>(ca)</w:t>
      </w:r>
      <w:r w:rsidRPr="009D47B1">
        <w:rPr>
          <w:lang w:eastAsia="en-AU"/>
        </w:rPr>
        <w:tab/>
        <w:t xml:space="preserve">a stated vehicle was or was not registered under the </w:t>
      </w:r>
      <w:hyperlink r:id="rId98" w:tooltip="A1999-81" w:history="1">
        <w:r w:rsidRPr="009D47B1">
          <w:rPr>
            <w:rStyle w:val="charCitHyperlinkItal"/>
          </w:rPr>
          <w:t>Road Transport (Vehicle Registration) Act 1999</w:t>
        </w:r>
      </w:hyperlink>
      <w:r w:rsidRPr="009D47B1">
        <w:rPr>
          <w:rFonts w:ascii="Times-Italic" w:hAnsi="Times-Italic" w:cs="Times-Italic"/>
          <w:iCs/>
          <w:szCs w:val="24"/>
          <w:lang w:eastAsia="en-AU"/>
        </w:rPr>
        <w:t xml:space="preserve"> on the basis of it being a heavy vehicle; or</w:t>
      </w:r>
    </w:p>
    <w:p w14:paraId="1E2213EF" w14:textId="60B59733" w:rsidR="00651049" w:rsidRPr="009D47B1" w:rsidRDefault="00651049" w:rsidP="00651049">
      <w:pPr>
        <w:pStyle w:val="aNotepar"/>
        <w:shd w:val="clear" w:color="auto" w:fill="D9D9D9" w:themeFill="background1" w:themeFillShade="D9"/>
      </w:pPr>
      <w:r w:rsidRPr="009D47B1">
        <w:rPr>
          <w:rStyle w:val="charItals"/>
        </w:rPr>
        <w:t>Note</w:t>
      </w:r>
      <w:r w:rsidRPr="009D47B1">
        <w:rPr>
          <w:rStyle w:val="charItals"/>
        </w:rPr>
        <w:tab/>
      </w:r>
      <w:r w:rsidRPr="009D47B1">
        <w:rPr>
          <w:snapToGrid w:val="0"/>
        </w:rPr>
        <w:t>A reference to an Act includes a reference to the statutory instruments made or in force under the Act, including any regulation (</w:t>
      </w:r>
      <w:r w:rsidRPr="009D47B1">
        <w:t xml:space="preserve">see </w:t>
      </w:r>
      <w:hyperlink r:id="rId99" w:tooltip="A2001-14" w:history="1">
        <w:r w:rsidRPr="009D47B1">
          <w:rPr>
            <w:rStyle w:val="charCitHyperlinkItal"/>
          </w:rPr>
          <w:t>Legislation Act 2001</w:t>
        </w:r>
      </w:hyperlink>
      <w:r w:rsidRPr="009D47B1">
        <w:t xml:space="preserve">, s 104 and </w:t>
      </w:r>
      <w:r w:rsidRPr="009D47B1">
        <w:rPr>
          <w:rStyle w:val="charItals"/>
        </w:rPr>
        <w:t>Heavy Vehicle National Law (ACT) Act 2013</w:t>
      </w:r>
      <w:r w:rsidRPr="009D47B1">
        <w:t>, s 8 (3)).</w:t>
      </w:r>
    </w:p>
    <w:p w14:paraId="1C638647" w14:textId="31767371" w:rsidR="00651049" w:rsidRPr="009D47B1" w:rsidRDefault="00651049" w:rsidP="00651049">
      <w:pPr>
        <w:pStyle w:val="Apara"/>
        <w:shd w:val="clear" w:color="auto" w:fill="D9D9D9" w:themeFill="background1" w:themeFillShade="D9"/>
        <w:rPr>
          <w:lang w:eastAsia="en-AU"/>
        </w:rPr>
      </w:pPr>
      <w:r w:rsidRPr="009D47B1">
        <w:rPr>
          <w:lang w:eastAsia="en-AU"/>
        </w:rPr>
        <w:tab/>
        <w:t>(cb)</w:t>
      </w:r>
      <w:r w:rsidRPr="009D47B1">
        <w:rPr>
          <w:lang w:eastAsia="en-AU"/>
        </w:rPr>
        <w:tab/>
        <w:t xml:space="preserve">a stated vehicle registered under the </w:t>
      </w:r>
      <w:hyperlink r:id="rId100" w:tooltip="A1999-81" w:history="1">
        <w:r w:rsidRPr="009D47B1">
          <w:rPr>
            <w:rStyle w:val="charCitHyperlinkItal"/>
          </w:rPr>
          <w:t>Road Transport (Vehicle Registration) Act 1999</w:t>
        </w:r>
      </w:hyperlink>
      <w:r w:rsidRPr="009D47B1">
        <w:rPr>
          <w:rFonts w:ascii="Times-Italic" w:hAnsi="Times-Italic" w:cs="Times-Italic"/>
          <w:i/>
          <w:iCs/>
          <w:szCs w:val="24"/>
          <w:lang w:eastAsia="en-AU"/>
        </w:rPr>
        <w:t xml:space="preserve"> </w:t>
      </w:r>
      <w:r w:rsidRPr="009D47B1">
        <w:rPr>
          <w:rFonts w:ascii="Times-Italic" w:hAnsi="Times-Italic" w:cs="Times-Italic"/>
          <w:iCs/>
          <w:szCs w:val="24"/>
          <w:lang w:eastAsia="en-AU"/>
        </w:rPr>
        <w:t>was or was not registered as a heavy vehicle of a stated category; or</w:t>
      </w:r>
    </w:p>
    <w:p w14:paraId="31230C17" w14:textId="28378FD1" w:rsidR="00651049" w:rsidRPr="009D47B1" w:rsidRDefault="00651049" w:rsidP="00651049">
      <w:pPr>
        <w:pStyle w:val="Apara"/>
        <w:shd w:val="clear" w:color="auto" w:fill="D9D9D9" w:themeFill="background1" w:themeFillShade="D9"/>
        <w:rPr>
          <w:lang w:eastAsia="en-AU"/>
        </w:rPr>
      </w:pPr>
      <w:r w:rsidRPr="009D47B1">
        <w:rPr>
          <w:lang w:eastAsia="en-AU"/>
        </w:rPr>
        <w:tab/>
        <w:t>(cc)</w:t>
      </w:r>
      <w:r w:rsidRPr="009D47B1">
        <w:rPr>
          <w:lang w:eastAsia="en-AU"/>
        </w:rPr>
        <w:tab/>
        <w:t xml:space="preserve">a stated vehicle was or was not exempt from registration under the </w:t>
      </w:r>
      <w:hyperlink r:id="rId101" w:tooltip="A1999-81" w:history="1">
        <w:r w:rsidRPr="009D47B1">
          <w:rPr>
            <w:rStyle w:val="charCitHyperlinkItal"/>
          </w:rPr>
          <w:t>Road Transport (Vehicle Registration) Act 1999</w:t>
        </w:r>
      </w:hyperlink>
      <w:r w:rsidRPr="009D47B1">
        <w:rPr>
          <w:lang w:eastAsia="en-AU"/>
        </w:rPr>
        <w:t>; or</w:t>
      </w:r>
    </w:p>
    <w:p w14:paraId="28938DF9" w14:textId="4F857100" w:rsidR="00651049" w:rsidRPr="009D47B1" w:rsidRDefault="00651049" w:rsidP="00651049">
      <w:pPr>
        <w:pStyle w:val="Apara"/>
        <w:shd w:val="clear" w:color="auto" w:fill="D9D9D9" w:themeFill="background1" w:themeFillShade="D9"/>
        <w:rPr>
          <w:lang w:eastAsia="en-AU"/>
        </w:rPr>
      </w:pPr>
      <w:r w:rsidRPr="009D47B1">
        <w:rPr>
          <w:lang w:eastAsia="en-AU"/>
        </w:rPr>
        <w:tab/>
        <w:t>(cd)</w:t>
      </w:r>
      <w:r w:rsidRPr="009D47B1">
        <w:rPr>
          <w:lang w:eastAsia="en-AU"/>
        </w:rPr>
        <w:tab/>
        <w:t xml:space="preserve">a stated person was or was not a responsible person (within the meaning of the </w:t>
      </w:r>
      <w:hyperlink r:id="rId102" w:tooltip="A1999-77" w:history="1">
        <w:r w:rsidRPr="009D47B1">
          <w:rPr>
            <w:rStyle w:val="charCitHyperlinkItal"/>
          </w:rPr>
          <w:t>Road Transport (General) Act 1999</w:t>
        </w:r>
      </w:hyperlink>
      <w:r w:rsidRPr="009D47B1">
        <w:t xml:space="preserve">) </w:t>
      </w:r>
      <w:r w:rsidRPr="009D47B1">
        <w:rPr>
          <w:lang w:eastAsia="en-AU"/>
        </w:rPr>
        <w:t xml:space="preserve">for a stated vehicle registered under the </w:t>
      </w:r>
      <w:hyperlink r:id="rId103" w:tooltip="A1999-81" w:history="1">
        <w:r w:rsidRPr="009D47B1">
          <w:rPr>
            <w:rStyle w:val="charCitHyperlinkItal"/>
          </w:rPr>
          <w:t>Road Transport (Vehicle Registration) Act 1999</w:t>
        </w:r>
      </w:hyperlink>
      <w:r w:rsidRPr="009D47B1">
        <w:rPr>
          <w:lang w:eastAsia="en-AU"/>
        </w:rPr>
        <w:t>; or</w:t>
      </w:r>
    </w:p>
    <w:p w14:paraId="3FBA451A" w14:textId="4D4CDADA" w:rsidR="00651049" w:rsidRPr="009D47B1" w:rsidRDefault="00651049" w:rsidP="00651049">
      <w:pPr>
        <w:pStyle w:val="Apara"/>
        <w:shd w:val="clear" w:color="auto" w:fill="D9D9D9" w:themeFill="background1" w:themeFillShade="D9"/>
        <w:rPr>
          <w:lang w:eastAsia="en-AU"/>
        </w:rPr>
      </w:pPr>
      <w:r w:rsidRPr="009D47B1">
        <w:rPr>
          <w:lang w:eastAsia="en-AU"/>
        </w:rPr>
        <w:tab/>
        <w:t>(ce)</w:t>
      </w:r>
      <w:r w:rsidRPr="009D47B1">
        <w:rPr>
          <w:lang w:eastAsia="en-AU"/>
        </w:rPr>
        <w:tab/>
        <w:t xml:space="preserve">a stated person is the holder of a stated permit or other authority under the </w:t>
      </w:r>
      <w:hyperlink r:id="rId104" w:tooltip="A1999-81" w:history="1">
        <w:r w:rsidRPr="009D47B1">
          <w:rPr>
            <w:rStyle w:val="charCitHyperlinkItal"/>
          </w:rPr>
          <w:t>Road Transport (Vehicle Registration) Act 1999</w:t>
        </w:r>
      </w:hyperlink>
      <w:r w:rsidRPr="009D47B1">
        <w:t>;</w:t>
      </w:r>
      <w:r w:rsidRPr="009D47B1">
        <w:rPr>
          <w:lang w:eastAsia="en-AU"/>
        </w:rPr>
        <w:t xml:space="preserve"> or</w:t>
      </w:r>
    </w:p>
    <w:p w14:paraId="67F9C066" w14:textId="1874AC79" w:rsidR="00651049" w:rsidRPr="009D47B1" w:rsidRDefault="00651049" w:rsidP="00651049">
      <w:pPr>
        <w:pStyle w:val="Apara"/>
        <w:shd w:val="clear" w:color="auto" w:fill="D9D9D9" w:themeFill="background1" w:themeFillShade="D9"/>
        <w:rPr>
          <w:lang w:eastAsia="en-AU"/>
        </w:rPr>
      </w:pPr>
      <w:r w:rsidRPr="009D47B1">
        <w:rPr>
          <w:lang w:eastAsia="en-AU"/>
        </w:rPr>
        <w:tab/>
        <w:t>(cf)</w:t>
      </w:r>
      <w:r w:rsidRPr="009D47B1">
        <w:rPr>
          <w:lang w:eastAsia="en-AU"/>
        </w:rPr>
        <w:tab/>
        <w:t xml:space="preserve">a stated registration, exemption, authorisation, permit or other authority under the </w:t>
      </w:r>
      <w:hyperlink r:id="rId105" w:tooltip="A1999-81" w:history="1">
        <w:r w:rsidRPr="009D47B1">
          <w:rPr>
            <w:rStyle w:val="charCitHyperlinkItal"/>
          </w:rPr>
          <w:t>Road Transport (Vehicle Registration) Act 1999</w:t>
        </w:r>
      </w:hyperlink>
      <w:r w:rsidRPr="009D47B1">
        <w:rPr>
          <w:rStyle w:val="charItals"/>
        </w:rPr>
        <w:t xml:space="preserve"> </w:t>
      </w:r>
      <w:r w:rsidRPr="009D47B1">
        <w:rPr>
          <w:lang w:eastAsia="en-AU"/>
        </w:rPr>
        <w:t>was or was not amended, suspended or cancelled; or</w:t>
      </w:r>
    </w:p>
    <w:p w14:paraId="7356ED9B" w14:textId="4F09582D" w:rsidR="00651049" w:rsidRPr="009D47B1" w:rsidRDefault="00651049" w:rsidP="00651049">
      <w:pPr>
        <w:pStyle w:val="Apara"/>
        <w:shd w:val="clear" w:color="auto" w:fill="D9D9D9" w:themeFill="background1" w:themeFillShade="D9"/>
        <w:rPr>
          <w:lang w:eastAsia="en-AU"/>
        </w:rPr>
      </w:pPr>
      <w:r w:rsidRPr="009D47B1">
        <w:rPr>
          <w:lang w:eastAsia="en-AU"/>
        </w:rPr>
        <w:tab/>
        <w:t>(cg)</w:t>
      </w:r>
      <w:r w:rsidRPr="009D47B1">
        <w:rPr>
          <w:lang w:eastAsia="en-AU"/>
        </w:rPr>
        <w:tab/>
        <w:t xml:space="preserve"> a stated penalty, fee, charge or other amount was or was not, or is or is not, payable under the </w:t>
      </w:r>
      <w:hyperlink r:id="rId106" w:tooltip="A1999-77" w:history="1">
        <w:r w:rsidRPr="009D47B1">
          <w:rPr>
            <w:rStyle w:val="charCitHyperlinkItal"/>
          </w:rPr>
          <w:t>Road Transport (General) Act 1999</w:t>
        </w:r>
      </w:hyperlink>
      <w:r w:rsidRPr="009D47B1">
        <w:rPr>
          <w:rStyle w:val="charCitHyperlinkItal"/>
        </w:rPr>
        <w:t xml:space="preserve"> </w:t>
      </w:r>
      <w:r w:rsidRPr="009D47B1">
        <w:rPr>
          <w:lang w:eastAsia="en-AU"/>
        </w:rPr>
        <w:t>by a stated person in relation to a heavy vehicle; or</w:t>
      </w:r>
    </w:p>
    <w:p w14:paraId="68E64A5E" w14:textId="3488955C" w:rsidR="00651049" w:rsidRPr="009D47B1" w:rsidRDefault="00651049" w:rsidP="00651049">
      <w:pPr>
        <w:pStyle w:val="Apara"/>
        <w:shd w:val="clear" w:color="auto" w:fill="D9D9D9" w:themeFill="background1" w:themeFillShade="D9"/>
        <w:rPr>
          <w:lang w:eastAsia="en-AU"/>
        </w:rPr>
      </w:pPr>
      <w:r w:rsidRPr="009D47B1">
        <w:rPr>
          <w:lang w:eastAsia="en-AU"/>
        </w:rPr>
        <w:tab/>
        <w:t>(ch)</w:t>
      </w:r>
      <w:r w:rsidRPr="009D47B1">
        <w:rPr>
          <w:lang w:eastAsia="en-AU"/>
        </w:rPr>
        <w:tab/>
        <w:t xml:space="preserve">a stated fee, charge or other amount payable under the </w:t>
      </w:r>
      <w:hyperlink r:id="rId107" w:tooltip="A1999-77" w:history="1">
        <w:r w:rsidRPr="009D47B1">
          <w:rPr>
            <w:rStyle w:val="charCitHyperlinkItal"/>
          </w:rPr>
          <w:t>Road Transport (General) Act 1999</w:t>
        </w:r>
      </w:hyperlink>
      <w:r w:rsidRPr="009D47B1">
        <w:rPr>
          <w:rStyle w:val="charItals"/>
        </w:rPr>
        <w:t xml:space="preserve"> </w:t>
      </w:r>
      <w:r w:rsidRPr="009D47B1">
        <w:rPr>
          <w:lang w:eastAsia="en-AU"/>
        </w:rPr>
        <w:t>in relation to a heavy vehicle was or was not paid to the road authority; or</w:t>
      </w:r>
    </w:p>
    <w:p w14:paraId="65BFEA1D" w14:textId="77777777" w:rsidR="00DB6E47" w:rsidRPr="00544ED5" w:rsidRDefault="00DB6E47" w:rsidP="002C669B">
      <w:pPr>
        <w:pStyle w:val="Apara"/>
        <w:keepNext/>
      </w:pPr>
      <w:r w:rsidRPr="00544ED5">
        <w:lastRenderedPageBreak/>
        <w:tab/>
        <w:t>(d)</w:t>
      </w:r>
      <w:r w:rsidRPr="00544ED5">
        <w:tab/>
        <w:t>a stated location—</w:t>
      </w:r>
    </w:p>
    <w:p w14:paraId="0E853EF1" w14:textId="77777777" w:rsidR="00DB6E47" w:rsidRPr="00CC71DF" w:rsidRDefault="00DB6E47" w:rsidP="00DB6E47">
      <w:pPr>
        <w:pStyle w:val="Asubpara"/>
      </w:pPr>
      <w:r w:rsidRPr="00CC71DF">
        <w:tab/>
        <w:t>(i)</w:t>
      </w:r>
      <w:r w:rsidRPr="00CC71DF">
        <w:tab/>
        <w:t>was, or was part of, a road or road-related area; or</w:t>
      </w:r>
    </w:p>
    <w:p w14:paraId="28CC6650" w14:textId="77777777" w:rsidR="00DB6E47" w:rsidRPr="00CC71DF" w:rsidRDefault="00DB6E47" w:rsidP="00DB6E47">
      <w:pPr>
        <w:pStyle w:val="Asubpara"/>
      </w:pPr>
      <w:r w:rsidRPr="00CC71DF">
        <w:tab/>
        <w:t>(ii)</w:t>
      </w:r>
      <w:r w:rsidRPr="00CC71DF">
        <w:tab/>
        <w:t>was not a road or road-related area or part of a road or road-related area; or</w:t>
      </w:r>
    </w:p>
    <w:p w14:paraId="447DDED5" w14:textId="77777777" w:rsidR="00DB6E47" w:rsidRPr="00544ED5" w:rsidRDefault="00DB6E47" w:rsidP="00DB6E47">
      <w:pPr>
        <w:pStyle w:val="Apara"/>
      </w:pPr>
      <w:r w:rsidRPr="00544ED5">
        <w:tab/>
        <w:t>(e)</w:t>
      </w:r>
      <w:r w:rsidRPr="00544ED5">
        <w:tab/>
        <w:t>a stated location was or was not, under a stated law of a stated participating jurisdiction, subject to a stated prohibition, restriction or other requirement about the use of heavy vehicles or stated categories of heavy vehicles;</w:t>
      </w:r>
    </w:p>
    <w:p w14:paraId="2BDA6E11" w14:textId="77777777" w:rsidR="00DB6E47" w:rsidRPr="002F157F" w:rsidRDefault="00DB6E47" w:rsidP="00DB6E47">
      <w:pPr>
        <w:pStyle w:val="Amainreturn"/>
      </w:pPr>
      <w:r w:rsidRPr="002F157F">
        <w:t>is evidence of the matter.</w:t>
      </w:r>
    </w:p>
    <w:p w14:paraId="75BD5019" w14:textId="76D6AA2F" w:rsidR="00150AE9" w:rsidRPr="009D47B1" w:rsidRDefault="00150AE9" w:rsidP="00150AE9">
      <w:pPr>
        <w:pStyle w:val="Amain"/>
        <w:shd w:val="clear" w:color="auto" w:fill="D9D9D9" w:themeFill="background1" w:themeFillShade="D9"/>
      </w:pPr>
      <w:r w:rsidRPr="009D47B1">
        <w:rPr>
          <w:lang w:eastAsia="en-AU"/>
        </w:rPr>
        <w:tab/>
        <w:t>(2)</w:t>
      </w:r>
      <w:r w:rsidRPr="009D47B1">
        <w:rPr>
          <w:lang w:eastAsia="en-AU"/>
        </w:rPr>
        <w:tab/>
        <w:t xml:space="preserve">A certificate mentioned in the </w:t>
      </w:r>
      <w:hyperlink r:id="rId108" w:tooltip="A1999-77" w:history="1">
        <w:r w:rsidRPr="009D47B1">
          <w:rPr>
            <w:rStyle w:val="charCitHyperlinkItal"/>
          </w:rPr>
          <w:t>Road Transport (General) Act 1999</w:t>
        </w:r>
      </w:hyperlink>
      <w:r w:rsidRPr="009D47B1">
        <w:rPr>
          <w:lang w:eastAsia="en-AU"/>
        </w:rPr>
        <w:t>, section 72</w:t>
      </w:r>
      <w:r w:rsidRPr="009D47B1">
        <w:t xml:space="preserve"> signed by or on behalf of the road transport authority that states a matter is evidence of the matter.</w:t>
      </w:r>
    </w:p>
    <w:p w14:paraId="7AB6CBAF" w14:textId="77777777" w:rsidR="00DB6E47" w:rsidRPr="007E1F9A" w:rsidRDefault="00DB6E47" w:rsidP="00DB6E47">
      <w:pPr>
        <w:pStyle w:val="AH5Sec"/>
      </w:pPr>
      <w:bookmarkStart w:id="896" w:name="_Toc83626240"/>
      <w:r w:rsidRPr="005E03F7">
        <w:rPr>
          <w:rStyle w:val="CharSectNo"/>
        </w:rPr>
        <w:t>713</w:t>
      </w:r>
      <w:r w:rsidRPr="007E1F9A">
        <w:tab/>
      </w:r>
      <w:r w:rsidRPr="007E1F9A">
        <w:rPr>
          <w:rFonts w:ascii="Helvetica" w:hAnsi="Helvetica" w:cs="Helvetica"/>
          <w:iCs/>
        </w:rPr>
        <w:t>Evidence by certificate by Regulator about matters stated in or worked out from records</w:t>
      </w:r>
      <w:bookmarkEnd w:id="896"/>
    </w:p>
    <w:p w14:paraId="51B0FB79" w14:textId="77777777" w:rsidR="00DB6E47" w:rsidRPr="002F157F" w:rsidRDefault="00DB6E47" w:rsidP="00DB6E47">
      <w:pPr>
        <w:pStyle w:val="Amain"/>
      </w:pPr>
      <w:r w:rsidRPr="002F157F">
        <w:tab/>
        <w:t>(1)</w:t>
      </w:r>
      <w:r w:rsidRPr="002F157F">
        <w:tab/>
        <w:t>A certificate purporting to be issued by the Regulator and stating any of the following matters is evidence of the matter—</w:t>
      </w:r>
    </w:p>
    <w:p w14:paraId="0DAC3763" w14:textId="77777777" w:rsidR="00DB6E47" w:rsidRPr="00544ED5" w:rsidRDefault="00DB6E47" w:rsidP="00DB6E47">
      <w:pPr>
        <w:pStyle w:val="Apara"/>
      </w:pPr>
      <w:r w:rsidRPr="00544ED5">
        <w:tab/>
        <w:t>(a)</w:t>
      </w:r>
      <w:r w:rsidRPr="00544ED5">
        <w:tab/>
        <w:t>a stated matter appears in a stated record kept by the Regulator for the administration or enforcement of this Law;</w:t>
      </w:r>
    </w:p>
    <w:p w14:paraId="22D5900E" w14:textId="77777777" w:rsidR="00DB6E47" w:rsidRPr="00544ED5" w:rsidRDefault="00DB6E47" w:rsidP="00DB6E47">
      <w:pPr>
        <w:pStyle w:val="Apara"/>
      </w:pPr>
      <w:r w:rsidRPr="00544ED5">
        <w:tab/>
        <w:t>(b)</w:t>
      </w:r>
      <w:r w:rsidRPr="00544ED5">
        <w:tab/>
        <w:t>a stated matter appears in a stated record accessed by the Regulator for the administration or enforcement of this Law.</w:t>
      </w:r>
    </w:p>
    <w:p w14:paraId="760440AD" w14:textId="77777777" w:rsidR="00DB6E47" w:rsidRPr="002F157F" w:rsidRDefault="00DB6E47" w:rsidP="00DB6E47">
      <w:pPr>
        <w:pStyle w:val="Amain"/>
      </w:pPr>
      <w:r w:rsidRPr="002F157F">
        <w:tab/>
        <w:t>(2)</w:t>
      </w:r>
      <w:r w:rsidRPr="002F157F">
        <w:tab/>
        <w:t>A certificate purporting to be issued by the Regulator and stating that a matter that has been worked out from either of the following is evidence of the matter—</w:t>
      </w:r>
    </w:p>
    <w:p w14:paraId="1C3213A7" w14:textId="77777777" w:rsidR="00DB6E47" w:rsidRPr="00544ED5" w:rsidRDefault="00DB6E47" w:rsidP="00DB6E47">
      <w:pPr>
        <w:pStyle w:val="Apara"/>
      </w:pPr>
      <w:r w:rsidRPr="00544ED5">
        <w:tab/>
        <w:t>(a)</w:t>
      </w:r>
      <w:r w:rsidRPr="00544ED5">
        <w:tab/>
        <w:t>a stated record kept by the Regulator for the administration or enforcement of this Law;</w:t>
      </w:r>
    </w:p>
    <w:p w14:paraId="4828A93C" w14:textId="77777777" w:rsidR="00DB6E47" w:rsidRPr="00544ED5" w:rsidRDefault="00DB6E47" w:rsidP="00DB6E47">
      <w:pPr>
        <w:pStyle w:val="Apara"/>
      </w:pPr>
      <w:r w:rsidRPr="00544ED5">
        <w:tab/>
        <w:t>(b)</w:t>
      </w:r>
      <w:r w:rsidRPr="00544ED5">
        <w:tab/>
        <w:t>a stated record accessed by the Regulator for the administration or enforcement of this Law.</w:t>
      </w:r>
    </w:p>
    <w:p w14:paraId="5AF14C25" w14:textId="77777777" w:rsidR="00DB6E47" w:rsidRPr="002F157F" w:rsidRDefault="00DB6E47" w:rsidP="00DB6E47">
      <w:pPr>
        <w:pStyle w:val="Amain"/>
      </w:pPr>
      <w:r w:rsidRPr="002F157F">
        <w:tab/>
        <w:t>(3)</w:t>
      </w:r>
      <w:r w:rsidRPr="002F157F">
        <w:tab/>
        <w:t>This section does not limit section 711.</w:t>
      </w:r>
    </w:p>
    <w:p w14:paraId="7603101D" w14:textId="77777777" w:rsidR="00DB6E47" w:rsidRPr="007E1F9A" w:rsidRDefault="00DB6E47" w:rsidP="00DB6E47">
      <w:pPr>
        <w:pStyle w:val="AH5Sec"/>
      </w:pPr>
      <w:bookmarkStart w:id="897" w:name="_Toc83626241"/>
      <w:r w:rsidRPr="005E03F7">
        <w:rPr>
          <w:rStyle w:val="CharSectNo"/>
        </w:rPr>
        <w:lastRenderedPageBreak/>
        <w:t>714</w:t>
      </w:r>
      <w:r w:rsidRPr="007E1F9A">
        <w:tab/>
      </w:r>
      <w:r w:rsidRPr="007E1F9A">
        <w:rPr>
          <w:rFonts w:ascii="Helvetica" w:hAnsi="Helvetica" w:cs="Helvetica"/>
          <w:iCs/>
        </w:rPr>
        <w:t>Evidence by certificate by authorised officer about instruments</w:t>
      </w:r>
      <w:bookmarkEnd w:id="897"/>
    </w:p>
    <w:p w14:paraId="6E8E1F38" w14:textId="77777777" w:rsidR="00DB6E47" w:rsidRPr="00F40DD7" w:rsidRDefault="00DB6E47" w:rsidP="00DB6E47">
      <w:pPr>
        <w:pStyle w:val="Amain"/>
      </w:pPr>
      <w:r w:rsidRPr="00F40DD7">
        <w:tab/>
        <w:t>(1)</w:t>
      </w:r>
      <w:r w:rsidRPr="00F40DD7">
        <w:tab/>
        <w:t>A certificate purporting to be issued by an authorised officer and stating that, on a stated day or at a stated time on a stated day, a stated instrument—</w:t>
      </w:r>
    </w:p>
    <w:p w14:paraId="5D509CC1" w14:textId="77777777" w:rsidR="00DB6E47" w:rsidRPr="00544ED5" w:rsidRDefault="00DB6E47" w:rsidP="00DB6E47">
      <w:pPr>
        <w:pStyle w:val="Apara"/>
      </w:pPr>
      <w:r w:rsidRPr="00544ED5">
        <w:tab/>
        <w:t>(a)</w:t>
      </w:r>
      <w:r w:rsidRPr="00544ED5">
        <w:tab/>
        <w:t>was in a proper condition; or</w:t>
      </w:r>
    </w:p>
    <w:p w14:paraId="789A8A3A" w14:textId="77777777" w:rsidR="00DB6E47" w:rsidRPr="00544ED5" w:rsidRDefault="00DB6E47" w:rsidP="00DB6E47">
      <w:pPr>
        <w:pStyle w:val="Apara"/>
      </w:pPr>
      <w:r w:rsidRPr="00544ED5">
        <w:tab/>
        <w:t>(b)</w:t>
      </w:r>
      <w:r w:rsidRPr="00544ED5">
        <w:tab/>
        <w:t>had a stated level of accuracy;</w:t>
      </w:r>
    </w:p>
    <w:p w14:paraId="5BB5C569" w14:textId="77777777" w:rsidR="00DB6E47" w:rsidRPr="002F157F" w:rsidRDefault="00DB6E47" w:rsidP="00DB6E47">
      <w:pPr>
        <w:pStyle w:val="Amainreturn"/>
      </w:pPr>
      <w:r w:rsidRPr="002F157F">
        <w:t>is evidence of those matters on the stated day or at the stated time.</w:t>
      </w:r>
    </w:p>
    <w:p w14:paraId="67632E2D" w14:textId="77777777" w:rsidR="00DB6E47" w:rsidRPr="002F157F" w:rsidRDefault="00DB6E47" w:rsidP="00DB6E47">
      <w:pPr>
        <w:pStyle w:val="Amain"/>
      </w:pPr>
      <w:r w:rsidRPr="002F157F">
        <w:tab/>
        <w:t>(2)</w:t>
      </w:r>
      <w:r w:rsidRPr="002F157F">
        <w:tab/>
        <w:t>Evidence of the condition of the instrument, or the way in which it was operated, is not required unless evidence that the instrument was not in proper condition or was not properly operated has been given.</w:t>
      </w:r>
    </w:p>
    <w:p w14:paraId="62EF56CD" w14:textId="77777777" w:rsidR="00DB6E47" w:rsidRPr="002F157F" w:rsidRDefault="00DB6E47" w:rsidP="00DB6E47">
      <w:pPr>
        <w:pStyle w:val="Amain"/>
      </w:pPr>
      <w:r w:rsidRPr="002F157F">
        <w:tab/>
        <w:t>(3)</w:t>
      </w:r>
      <w:r w:rsidRPr="002F157F">
        <w:tab/>
        <w:t>A defendant in a proceeding for an offence against this Law who intends to challenge the condition of an instrument, or the way in which it was operated, must give the complainant notice of the intention to challenge.</w:t>
      </w:r>
    </w:p>
    <w:p w14:paraId="12E1EA3D" w14:textId="77777777" w:rsidR="00DB6E47" w:rsidRPr="002F157F" w:rsidRDefault="00DB6E47" w:rsidP="00DB6E47">
      <w:pPr>
        <w:pStyle w:val="Amain"/>
      </w:pPr>
      <w:r w:rsidRPr="002F157F">
        <w:tab/>
        <w:t>(4)</w:t>
      </w:r>
      <w:r w:rsidRPr="002F157F">
        <w:tab/>
        <w:t>The notice must be—</w:t>
      </w:r>
    </w:p>
    <w:p w14:paraId="7FE3F1FC" w14:textId="77777777" w:rsidR="00DB6E47" w:rsidRPr="00544ED5" w:rsidRDefault="00DB6E47" w:rsidP="00DB6E47">
      <w:pPr>
        <w:pStyle w:val="Apara"/>
      </w:pPr>
      <w:r w:rsidRPr="00544ED5">
        <w:tab/>
        <w:t>(a)</w:t>
      </w:r>
      <w:r w:rsidRPr="00544ED5">
        <w:tab/>
        <w:t>signed by the defendant; and</w:t>
      </w:r>
    </w:p>
    <w:p w14:paraId="66C749DB" w14:textId="77777777" w:rsidR="00DB6E47" w:rsidRPr="00544ED5" w:rsidRDefault="00DB6E47" w:rsidP="00DB6E47">
      <w:pPr>
        <w:pStyle w:val="Apara"/>
      </w:pPr>
      <w:r w:rsidRPr="00544ED5">
        <w:tab/>
        <w:t>(b)</w:t>
      </w:r>
      <w:r w:rsidRPr="00544ED5">
        <w:tab/>
        <w:t>given at least 14 days before the day fixed for the hearing of the charge.</w:t>
      </w:r>
    </w:p>
    <w:p w14:paraId="06693366" w14:textId="77777777" w:rsidR="00DB6E47" w:rsidRPr="002F157F" w:rsidRDefault="00DB6E47" w:rsidP="00DB6E47">
      <w:pPr>
        <w:pStyle w:val="Amain"/>
      </w:pPr>
      <w:r w:rsidRPr="002F157F">
        <w:tab/>
        <w:t>(5)</w:t>
      </w:r>
      <w:r w:rsidRPr="002F157F">
        <w:tab/>
        <w:t>In this section—</w:t>
      </w:r>
    </w:p>
    <w:p w14:paraId="0CE5858F" w14:textId="77777777" w:rsidR="00DB6E47" w:rsidRPr="00041046" w:rsidRDefault="00DB6E47" w:rsidP="00DB6E47">
      <w:pPr>
        <w:pStyle w:val="aDef"/>
        <w:rPr>
          <w:bCs/>
        </w:rPr>
      </w:pPr>
      <w:r w:rsidRPr="00041046">
        <w:rPr>
          <w:rStyle w:val="charBoldItals"/>
        </w:rPr>
        <w:t>instrument</w:t>
      </w:r>
      <w:r w:rsidRPr="00041046">
        <w:t xml:space="preserve"> means—</w:t>
      </w:r>
    </w:p>
    <w:p w14:paraId="5C416696" w14:textId="77777777" w:rsidR="00DB6E47" w:rsidRPr="00062FCF" w:rsidRDefault="00DB6E47" w:rsidP="00DB6E47">
      <w:pPr>
        <w:pStyle w:val="aDefpara"/>
      </w:pPr>
      <w:r w:rsidRPr="00FF4454">
        <w:tab/>
      </w:r>
      <w:r w:rsidRPr="00F04D8E">
        <w:rPr>
          <w:rFonts w:cs="Times"/>
          <w:bCs/>
          <w:iCs/>
        </w:rPr>
        <w:t>(a)</w:t>
      </w:r>
      <w:r w:rsidRPr="00FF4454">
        <w:rPr>
          <w:rStyle w:val="charBoldItals"/>
        </w:rPr>
        <w:tab/>
      </w:r>
      <w:r w:rsidRPr="00062FCF">
        <w:t>a weighing device; or</w:t>
      </w:r>
    </w:p>
    <w:p w14:paraId="540965B4" w14:textId="77777777" w:rsidR="00DB6E47" w:rsidRPr="00062FCF" w:rsidRDefault="00DB6E47" w:rsidP="00DB6E47">
      <w:pPr>
        <w:pStyle w:val="aDefpara"/>
      </w:pPr>
      <w:r w:rsidRPr="00062FCF">
        <w:tab/>
        <w:t>(b)</w:t>
      </w:r>
      <w:r w:rsidRPr="00062FCF">
        <w:tab/>
        <w:t>an intelligent transport system.</w:t>
      </w:r>
    </w:p>
    <w:p w14:paraId="078F82BC" w14:textId="77777777" w:rsidR="00DB6E47" w:rsidRPr="007E1F9A" w:rsidRDefault="00DB6E47" w:rsidP="00DB6E47">
      <w:pPr>
        <w:pStyle w:val="AH5Sec"/>
      </w:pPr>
      <w:bookmarkStart w:id="898" w:name="_Toc83626242"/>
      <w:r w:rsidRPr="005E03F7">
        <w:rPr>
          <w:rStyle w:val="CharSectNo"/>
        </w:rPr>
        <w:lastRenderedPageBreak/>
        <w:t>715</w:t>
      </w:r>
      <w:r w:rsidRPr="007E1F9A">
        <w:tab/>
      </w:r>
      <w:r w:rsidRPr="007E1F9A">
        <w:rPr>
          <w:rFonts w:ascii="Helvetica" w:hAnsi="Helvetica" w:cs="Helvetica"/>
          <w:iCs/>
        </w:rPr>
        <w:t>Challenging evidence by certificate</w:t>
      </w:r>
      <w:bookmarkEnd w:id="898"/>
    </w:p>
    <w:p w14:paraId="27971FB2" w14:textId="77777777" w:rsidR="00DB6E47" w:rsidRPr="002F157F" w:rsidRDefault="00DB6E47" w:rsidP="002C669B">
      <w:pPr>
        <w:pStyle w:val="Amain"/>
        <w:keepLines/>
      </w:pPr>
      <w:r w:rsidRPr="002F157F">
        <w:tab/>
        <w:t>(1)</w:t>
      </w:r>
      <w:r w:rsidRPr="002F157F">
        <w:tab/>
        <w:t xml:space="preserve">A defendant in a proceeding for an offence against this Law who intends to challenge a matter stated in a certificate mentioned </w:t>
      </w:r>
      <w:r w:rsidR="00062FCF">
        <w:t xml:space="preserve">in section 711, 712, 713 or 714 </w:t>
      </w:r>
      <w:r w:rsidRPr="002F157F">
        <w:t>(1)</w:t>
      </w:r>
      <w:r w:rsidR="00062FCF">
        <w:t xml:space="preserve"> </w:t>
      </w:r>
      <w:r w:rsidRPr="002F157F">
        <w:t>must give the complainant notice of the intention to challenge.</w:t>
      </w:r>
    </w:p>
    <w:p w14:paraId="6BA7A862" w14:textId="77777777" w:rsidR="00DB6E47" w:rsidRPr="002F157F" w:rsidRDefault="00DB6E47" w:rsidP="00DB6E47">
      <w:pPr>
        <w:pStyle w:val="Amain"/>
      </w:pPr>
      <w:r w:rsidRPr="002F157F">
        <w:tab/>
        <w:t>(2)</w:t>
      </w:r>
      <w:r w:rsidRPr="002F157F">
        <w:tab/>
        <w:t>The notice must be—</w:t>
      </w:r>
    </w:p>
    <w:p w14:paraId="19F3A4B3" w14:textId="77777777" w:rsidR="00DB6E47" w:rsidRPr="00544ED5" w:rsidRDefault="00DB6E47" w:rsidP="00DB6E47">
      <w:pPr>
        <w:pStyle w:val="Apara"/>
      </w:pPr>
      <w:r w:rsidRPr="00544ED5">
        <w:tab/>
        <w:t>(a)</w:t>
      </w:r>
      <w:r w:rsidRPr="00544ED5">
        <w:tab/>
        <w:t>signed by the defendant; and</w:t>
      </w:r>
    </w:p>
    <w:p w14:paraId="33022C7D" w14:textId="77777777" w:rsidR="00DB6E47" w:rsidRPr="00544ED5" w:rsidRDefault="00DB6E47" w:rsidP="00DB6E47">
      <w:pPr>
        <w:pStyle w:val="Apara"/>
      </w:pPr>
      <w:r w:rsidRPr="00544ED5">
        <w:tab/>
        <w:t>(b)</w:t>
      </w:r>
      <w:r w:rsidRPr="00544ED5">
        <w:tab/>
        <w:t>given at least 14 days before the day fixed for the hearing of the charge.</w:t>
      </w:r>
    </w:p>
    <w:p w14:paraId="7571797E" w14:textId="77777777" w:rsidR="00DB6E47" w:rsidRPr="002F157F" w:rsidRDefault="00DB6E47" w:rsidP="00D10609">
      <w:pPr>
        <w:pStyle w:val="Amain"/>
        <w:keepNext/>
      </w:pPr>
      <w:r w:rsidRPr="002F157F">
        <w:tab/>
        <w:t>(3)</w:t>
      </w:r>
      <w:r w:rsidRPr="002F157F">
        <w:tab/>
        <w:t>If the matter intended to be challenged is the accuracy of a measurement, an analysis or a reading from a device, the notice must state—</w:t>
      </w:r>
    </w:p>
    <w:p w14:paraId="1D4EDEEC" w14:textId="77777777" w:rsidR="00DB6E47" w:rsidRPr="00544ED5" w:rsidRDefault="00DB6E47" w:rsidP="00DB6E47">
      <w:pPr>
        <w:pStyle w:val="Apara"/>
      </w:pPr>
      <w:r w:rsidRPr="00544ED5">
        <w:tab/>
        <w:t>(a)</w:t>
      </w:r>
      <w:r w:rsidRPr="00544ED5">
        <w:tab/>
        <w:t>the basis on which the defendant intends to challenge the accuracy of the measurement, analysis or reading; and</w:t>
      </w:r>
    </w:p>
    <w:p w14:paraId="75CAB8DB" w14:textId="77777777" w:rsidR="00DB6E47" w:rsidRPr="00544ED5" w:rsidRDefault="00DB6E47" w:rsidP="00DB6E47">
      <w:pPr>
        <w:pStyle w:val="Apara"/>
      </w:pPr>
      <w:r w:rsidRPr="00544ED5">
        <w:tab/>
        <w:t>(b)</w:t>
      </w:r>
      <w:r w:rsidRPr="00544ED5">
        <w:tab/>
        <w:t>the measurement, analysis or reading the defendant considers to be the correct measurement, analysis or reading.</w:t>
      </w:r>
    </w:p>
    <w:p w14:paraId="7D22A171" w14:textId="77777777" w:rsidR="00DB6E47" w:rsidRPr="002F157F" w:rsidRDefault="00DB6E47" w:rsidP="00DB6E47">
      <w:pPr>
        <w:pStyle w:val="Amain"/>
      </w:pPr>
      <w:r w:rsidRPr="002F157F">
        <w:tab/>
        <w:t>(4)</w:t>
      </w:r>
      <w:r w:rsidRPr="002F157F">
        <w:tab/>
        <w:t xml:space="preserve">A defendant in a proceeding for an offence against this Law can not challenge a matter stated in a certificate mentioned </w:t>
      </w:r>
      <w:r w:rsidR="00062FCF">
        <w:t xml:space="preserve">in section 711, 712, 713 or 714 </w:t>
      </w:r>
      <w:r w:rsidRPr="002F157F">
        <w:t>(1)</w:t>
      </w:r>
      <w:r w:rsidR="004E3F26">
        <w:t xml:space="preserve"> </w:t>
      </w:r>
      <w:r w:rsidRPr="002F157F">
        <w:t>unless—</w:t>
      </w:r>
    </w:p>
    <w:p w14:paraId="34985DDE" w14:textId="77777777" w:rsidR="00DB6E47" w:rsidRPr="00544ED5" w:rsidRDefault="00DB6E47" w:rsidP="00DB6E47">
      <w:pPr>
        <w:pStyle w:val="Apara"/>
      </w:pPr>
      <w:r w:rsidRPr="00544ED5">
        <w:tab/>
        <w:t>(a)</w:t>
      </w:r>
      <w:r w:rsidRPr="00544ED5">
        <w:tab/>
        <w:t>the defendant has complied with this section; or</w:t>
      </w:r>
    </w:p>
    <w:p w14:paraId="5455E431" w14:textId="77777777" w:rsidR="00DB6E47" w:rsidRPr="00544ED5" w:rsidRDefault="00DB6E47" w:rsidP="00DB6E47">
      <w:pPr>
        <w:pStyle w:val="Apara"/>
      </w:pPr>
      <w:r w:rsidRPr="00544ED5">
        <w:tab/>
        <w:t>(b)</w:t>
      </w:r>
      <w:r w:rsidRPr="00544ED5">
        <w:tab/>
        <w:t>the court gives leave to the defendant to challenge the matter, in the interests of justice.</w:t>
      </w:r>
    </w:p>
    <w:p w14:paraId="7E1FFDC5" w14:textId="77777777" w:rsidR="00DB6E47" w:rsidRPr="002F157F" w:rsidRDefault="00DB6E47" w:rsidP="00DB6E47">
      <w:pPr>
        <w:pStyle w:val="Amain"/>
      </w:pPr>
      <w:r w:rsidRPr="002F157F">
        <w:tab/>
        <w:t>(5)</w:t>
      </w:r>
      <w:r w:rsidRPr="002F157F">
        <w:tab/>
        <w:t>This section applies only if the defendant is given a copy of the certificate at least 28 days before the appointed date for the hearing of the charge.</w:t>
      </w:r>
    </w:p>
    <w:p w14:paraId="2C5763D5" w14:textId="77777777" w:rsidR="0010080A" w:rsidRPr="009D47B1" w:rsidRDefault="0010080A" w:rsidP="0010080A">
      <w:pPr>
        <w:pStyle w:val="AH5Sec"/>
        <w:shd w:val="clear" w:color="auto" w:fill="D9D9D9" w:themeFill="background1" w:themeFillShade="D9"/>
        <w:rPr>
          <w:lang w:eastAsia="en-AU"/>
        </w:rPr>
      </w:pPr>
      <w:bookmarkStart w:id="899" w:name="_Toc83626243"/>
      <w:r w:rsidRPr="005E03F7">
        <w:rPr>
          <w:rStyle w:val="CharSectNo"/>
        </w:rPr>
        <w:lastRenderedPageBreak/>
        <w:t>715A</w:t>
      </w:r>
      <w:r w:rsidRPr="009D47B1">
        <w:rPr>
          <w:lang w:eastAsia="en-AU"/>
        </w:rPr>
        <w:tab/>
        <w:t xml:space="preserve">Evidence of contents of document examined by </w:t>
      </w:r>
      <w:r w:rsidRPr="009D47B1">
        <w:rPr>
          <w:rFonts w:ascii="Helvetica-Bold" w:hAnsi="Helvetica-Bold" w:cs="Helvetica-Bold"/>
          <w:bCs/>
          <w:szCs w:val="24"/>
          <w:lang w:eastAsia="en-AU"/>
        </w:rPr>
        <w:t>authorised officer</w:t>
      </w:r>
      <w:bookmarkEnd w:id="899"/>
    </w:p>
    <w:p w14:paraId="2F9DA032" w14:textId="77777777" w:rsidR="0010080A" w:rsidRPr="009D47B1" w:rsidRDefault="0010080A" w:rsidP="0010080A">
      <w:pPr>
        <w:pStyle w:val="Amainreturn"/>
        <w:keepNext/>
        <w:shd w:val="clear" w:color="auto" w:fill="D9D9D9" w:themeFill="background1" w:themeFillShade="D9"/>
        <w:rPr>
          <w:lang w:eastAsia="en-AU"/>
        </w:rPr>
      </w:pPr>
      <w:r w:rsidRPr="009D47B1">
        <w:rPr>
          <w:lang w:eastAsia="en-AU"/>
        </w:rPr>
        <w:t>Evidence by an authorised officer of the contents of a document issued, or required to be kept, under this Law, that was examined by the officer while it was in someone else’s possession, may be given by the officer without the document being produced.</w:t>
      </w:r>
    </w:p>
    <w:p w14:paraId="4D177262" w14:textId="77777777" w:rsidR="0010080A" w:rsidRPr="009D47B1" w:rsidRDefault="0010080A" w:rsidP="0010080A">
      <w:pPr>
        <w:pStyle w:val="Amainreturn"/>
        <w:keepNext/>
        <w:shd w:val="clear" w:color="auto" w:fill="D9D9D9" w:themeFill="background1" w:themeFillShade="D9"/>
        <w:rPr>
          <w:lang w:eastAsia="en-AU"/>
        </w:rPr>
      </w:pPr>
      <w:r w:rsidRPr="009D47B1">
        <w:rPr>
          <w:rStyle w:val="charItals"/>
        </w:rPr>
        <w:t>Example</w:t>
      </w:r>
      <w:r w:rsidRPr="009D47B1">
        <w:rPr>
          <w:lang w:eastAsia="en-AU"/>
        </w:rPr>
        <w:t>—</w:t>
      </w:r>
    </w:p>
    <w:p w14:paraId="178BF9BD" w14:textId="77777777" w:rsidR="0010080A" w:rsidRPr="009D47B1" w:rsidRDefault="0010080A" w:rsidP="0010080A">
      <w:pPr>
        <w:pStyle w:val="Amainreturn"/>
        <w:shd w:val="clear" w:color="auto" w:fill="D9D9D9" w:themeFill="background1" w:themeFillShade="D9"/>
        <w:rPr>
          <w:rStyle w:val="charItals"/>
        </w:rPr>
      </w:pPr>
      <w:r w:rsidRPr="009D47B1">
        <w:rPr>
          <w:rStyle w:val="charItals"/>
        </w:rPr>
        <w:t>An authorised officer who examines a driver’s work diary may return the work diary to the driver to enable the driver to continue driving. The officer may give evidence of the contents of the work diary without producing it.</w:t>
      </w:r>
    </w:p>
    <w:p w14:paraId="6FF87CDB" w14:textId="77777777" w:rsidR="00DB6E47" w:rsidRPr="007E1F9A" w:rsidRDefault="00DB6E47" w:rsidP="00DB6E47">
      <w:pPr>
        <w:pStyle w:val="AH5Sec"/>
      </w:pPr>
      <w:bookmarkStart w:id="900" w:name="_Toc83626244"/>
      <w:r w:rsidRPr="005E03F7">
        <w:rPr>
          <w:rStyle w:val="CharSectNo"/>
        </w:rPr>
        <w:t>716</w:t>
      </w:r>
      <w:r w:rsidRPr="007E1F9A">
        <w:tab/>
      </w:r>
      <w:r w:rsidRPr="007E1F9A">
        <w:rPr>
          <w:rFonts w:ascii="Helvetica" w:hAnsi="Helvetica" w:cs="Helvetica"/>
          <w:iCs/>
        </w:rPr>
        <w:t>Evidence by record about mass</w:t>
      </w:r>
      <w:bookmarkEnd w:id="900"/>
    </w:p>
    <w:p w14:paraId="2ADADC6A" w14:textId="77777777" w:rsidR="00DB6E47" w:rsidRPr="002F157F" w:rsidRDefault="00DB6E47" w:rsidP="00DB6E47">
      <w:pPr>
        <w:pStyle w:val="Amainreturn"/>
      </w:pPr>
      <w:r w:rsidRPr="002F157F">
        <w:t>A record of the mass of a heavy vehicle, or a component of a heavy vehicle, purporting to be made by the operator of a weighbridge or weighing facility at which the vehicle or component was weighed, or by the operator’s employee—</w:t>
      </w:r>
    </w:p>
    <w:p w14:paraId="294695EB" w14:textId="77777777" w:rsidR="00DB6E47" w:rsidRPr="00544ED5" w:rsidRDefault="00DB6E47" w:rsidP="00DB6E47">
      <w:pPr>
        <w:pStyle w:val="Apara"/>
      </w:pPr>
      <w:r w:rsidRPr="00544ED5">
        <w:tab/>
        <w:t>(a)</w:t>
      </w:r>
      <w:r w:rsidRPr="00544ED5">
        <w:tab/>
        <w:t>is admissible in a proceeding under this Law; and</w:t>
      </w:r>
    </w:p>
    <w:p w14:paraId="13F20FD2" w14:textId="77777777" w:rsidR="00DB6E47" w:rsidRPr="00544ED5" w:rsidRDefault="00DB6E47" w:rsidP="00DB6E47">
      <w:pPr>
        <w:pStyle w:val="Apara"/>
      </w:pPr>
      <w:r w:rsidRPr="00544ED5">
        <w:tab/>
        <w:t>(b)</w:t>
      </w:r>
      <w:r w:rsidRPr="00544ED5">
        <w:tab/>
        <w:t>is evidence of the mass of the vehicle or component at the time it was weighed.</w:t>
      </w:r>
    </w:p>
    <w:p w14:paraId="4855AEA6" w14:textId="77777777" w:rsidR="00DB6E47" w:rsidRPr="007E1F9A" w:rsidRDefault="00DB6E47" w:rsidP="00DB6E47">
      <w:pPr>
        <w:pStyle w:val="AH5Sec"/>
      </w:pPr>
      <w:bookmarkStart w:id="901" w:name="_Toc83626245"/>
      <w:r w:rsidRPr="005E03F7">
        <w:rPr>
          <w:rStyle w:val="CharSectNo"/>
        </w:rPr>
        <w:t>717</w:t>
      </w:r>
      <w:r w:rsidRPr="007E1F9A">
        <w:tab/>
      </w:r>
      <w:r w:rsidRPr="007E1F9A">
        <w:rPr>
          <w:rFonts w:ascii="Helvetica" w:hAnsi="Helvetica" w:cs="Helvetica"/>
          <w:iCs/>
        </w:rPr>
        <w:t>Manufacturer’s statements</w:t>
      </w:r>
      <w:bookmarkEnd w:id="901"/>
    </w:p>
    <w:p w14:paraId="1A19FB76" w14:textId="77777777" w:rsidR="00DB6E47" w:rsidRPr="002F157F" w:rsidRDefault="00DB6E47" w:rsidP="00DB6E47">
      <w:pPr>
        <w:pStyle w:val="Amain"/>
      </w:pPr>
      <w:r w:rsidRPr="002F157F">
        <w:tab/>
        <w:t>(1)</w:t>
      </w:r>
      <w:r w:rsidRPr="002F157F">
        <w:tab/>
        <w:t>A written statement of the recommended maximum loaded mass (</w:t>
      </w:r>
      <w:r w:rsidRPr="00FF4454">
        <w:rPr>
          <w:rStyle w:val="charBoldItals"/>
        </w:rPr>
        <w:t>mass rating</w:t>
      </w:r>
      <w:r w:rsidRPr="002F157F">
        <w:t>) for a heavy vehicle, or a component of a heavy vehicle, purporting to be made by the manufacturer of the vehicle or component is admissible in a proceeding under this Law and is evidence—</w:t>
      </w:r>
    </w:p>
    <w:p w14:paraId="71D09995" w14:textId="77777777" w:rsidR="00DB6E47" w:rsidRPr="00544ED5" w:rsidRDefault="00DB6E47" w:rsidP="00DB6E47">
      <w:pPr>
        <w:pStyle w:val="Apara"/>
      </w:pPr>
      <w:r w:rsidRPr="00544ED5">
        <w:tab/>
        <w:t>(a)</w:t>
      </w:r>
      <w:r w:rsidRPr="00544ED5">
        <w:tab/>
        <w:t>of the mass rating; and</w:t>
      </w:r>
    </w:p>
    <w:p w14:paraId="6AA0E06A" w14:textId="77777777" w:rsidR="00DB6E47" w:rsidRPr="00544ED5" w:rsidRDefault="00DB6E47" w:rsidP="00DB6E47">
      <w:pPr>
        <w:pStyle w:val="Apara"/>
      </w:pPr>
      <w:r w:rsidRPr="00544ED5">
        <w:tab/>
        <w:t>(b)</w:t>
      </w:r>
      <w:r w:rsidRPr="00544ED5">
        <w:tab/>
        <w:t>of any conditions, stated in the statement, to which the mass rating is subject; and</w:t>
      </w:r>
    </w:p>
    <w:p w14:paraId="38CE22F1" w14:textId="77777777" w:rsidR="00DB6E47" w:rsidRPr="00544ED5" w:rsidRDefault="00DB6E47" w:rsidP="00DB6E47">
      <w:pPr>
        <w:pStyle w:val="Apara"/>
      </w:pPr>
      <w:r w:rsidRPr="00544ED5">
        <w:lastRenderedPageBreak/>
        <w:tab/>
        <w:t>(c)</w:t>
      </w:r>
      <w:r w:rsidRPr="00544ED5">
        <w:tab/>
        <w:t>that the statement was made by the manufacturer.</w:t>
      </w:r>
    </w:p>
    <w:p w14:paraId="571F489F" w14:textId="77777777" w:rsidR="00DB6E47" w:rsidRPr="002F157F" w:rsidRDefault="00DB6E47" w:rsidP="00DB6E47">
      <w:pPr>
        <w:pStyle w:val="Amain"/>
      </w:pPr>
      <w:r w:rsidRPr="002F157F">
        <w:tab/>
        <w:t>(2)</w:t>
      </w:r>
      <w:r w:rsidRPr="002F157F">
        <w:tab/>
        <w:t>A written statement of the strength or performance rating of equipment used to restrain a load and designed for use on a heavy vehicle, or on a component of a heavy vehicle, purporting to be made by the manufacturer of the equipment is admissible in a proceeding under this Law and is evidence—</w:t>
      </w:r>
    </w:p>
    <w:p w14:paraId="6631EA21" w14:textId="77777777" w:rsidR="00DB6E47" w:rsidRPr="00544ED5" w:rsidRDefault="00DB6E47" w:rsidP="00DB6E47">
      <w:pPr>
        <w:pStyle w:val="Apara"/>
      </w:pPr>
      <w:r w:rsidRPr="00544ED5">
        <w:tab/>
        <w:t>(a)</w:t>
      </w:r>
      <w:r w:rsidRPr="00544ED5">
        <w:tab/>
        <w:t>that the equipment was designed for the use; and</w:t>
      </w:r>
    </w:p>
    <w:p w14:paraId="23EFE32F" w14:textId="77777777" w:rsidR="00DB6E47" w:rsidRPr="00544ED5" w:rsidRDefault="00DB6E47" w:rsidP="00DB6E47">
      <w:pPr>
        <w:pStyle w:val="Apara"/>
      </w:pPr>
      <w:r w:rsidRPr="00544ED5">
        <w:tab/>
        <w:t>(b)</w:t>
      </w:r>
      <w:r w:rsidRPr="00544ED5">
        <w:tab/>
        <w:t>of the strength or performance rating of the equipment; and</w:t>
      </w:r>
    </w:p>
    <w:p w14:paraId="44EB4AD4" w14:textId="77777777" w:rsidR="00DB6E47" w:rsidRPr="00544ED5" w:rsidRDefault="00DB6E47" w:rsidP="00DB6E47">
      <w:pPr>
        <w:pStyle w:val="Apara"/>
      </w:pPr>
      <w:r w:rsidRPr="00544ED5">
        <w:tab/>
        <w:t>(c)</w:t>
      </w:r>
      <w:r w:rsidRPr="00544ED5">
        <w:tab/>
        <w:t>of any conditions, stated in the statement, to which the rating is subject; and</w:t>
      </w:r>
    </w:p>
    <w:p w14:paraId="11A28F2B" w14:textId="77777777" w:rsidR="00DB6E47" w:rsidRPr="00544ED5" w:rsidRDefault="00DB6E47" w:rsidP="00D940BC">
      <w:pPr>
        <w:pStyle w:val="Apara"/>
        <w:keepNext/>
      </w:pPr>
      <w:r w:rsidRPr="00544ED5">
        <w:tab/>
        <w:t>(d)</w:t>
      </w:r>
      <w:r w:rsidRPr="00544ED5">
        <w:tab/>
        <w:t>that the statement was made by the manufacturer.</w:t>
      </w:r>
    </w:p>
    <w:p w14:paraId="245B2A88" w14:textId="77777777" w:rsidR="00DB6E47" w:rsidRPr="00C96203" w:rsidRDefault="00DB6E47" w:rsidP="00DB6E47">
      <w:pPr>
        <w:pStyle w:val="aExamHdgss"/>
      </w:pPr>
      <w:r w:rsidRPr="00C96203">
        <w:rPr>
          <w:rFonts w:cs="Times"/>
          <w:bCs/>
          <w:iCs/>
        </w:rPr>
        <w:t>Example of equipment used to restrain a load—</w:t>
      </w:r>
    </w:p>
    <w:p w14:paraId="587B68F0" w14:textId="77777777" w:rsidR="00DB6E47" w:rsidRPr="00C96203" w:rsidRDefault="00DB6E47" w:rsidP="00DB6E47">
      <w:pPr>
        <w:pStyle w:val="aExamss"/>
      </w:pPr>
      <w:r w:rsidRPr="00C96203">
        <w:t>a chain or strap</w:t>
      </w:r>
    </w:p>
    <w:p w14:paraId="1175AE9C" w14:textId="77777777" w:rsidR="00DB6E47" w:rsidRPr="007E1F9A" w:rsidRDefault="00DB6E47" w:rsidP="00DB6E47">
      <w:pPr>
        <w:pStyle w:val="AH5Sec"/>
      </w:pPr>
      <w:bookmarkStart w:id="902" w:name="_Toc83626246"/>
      <w:r w:rsidRPr="005E03F7">
        <w:rPr>
          <w:rStyle w:val="CharSectNo"/>
        </w:rPr>
        <w:t>718</w:t>
      </w:r>
      <w:r w:rsidRPr="007E1F9A">
        <w:tab/>
      </w:r>
      <w:r w:rsidRPr="007E1F9A">
        <w:rPr>
          <w:rFonts w:ascii="Helvetica" w:hAnsi="Helvetica" w:cs="Helvetica"/>
          <w:iCs/>
        </w:rPr>
        <w:t>Measurement of weight on tyre</w:t>
      </w:r>
      <w:bookmarkEnd w:id="902"/>
    </w:p>
    <w:p w14:paraId="6AB84DF7" w14:textId="77777777" w:rsidR="00DB6E47" w:rsidRPr="002F157F" w:rsidRDefault="00DB6E47" w:rsidP="00DB6E47">
      <w:pPr>
        <w:pStyle w:val="Amain"/>
      </w:pPr>
      <w:r w:rsidRPr="002F157F">
        <w:tab/>
        <w:t>(1)</w:t>
      </w:r>
      <w:r w:rsidRPr="002F157F">
        <w:tab/>
        <w:t>A mark or print on a tyre purporting to be the maximum load capacity decided by the manufacturer of the tyre is evidence of the maximum load capacity for the tyre at cold inflation pressure decided by the manufacturer.</w:t>
      </w:r>
    </w:p>
    <w:p w14:paraId="3B93FEE2" w14:textId="77777777" w:rsidR="00DB6E47" w:rsidRPr="002F157F" w:rsidRDefault="00DB6E47" w:rsidP="00DB6E47">
      <w:pPr>
        <w:pStyle w:val="Amain"/>
      </w:pPr>
      <w:r w:rsidRPr="002F157F">
        <w:tab/>
        <w:t>(2)</w:t>
      </w:r>
      <w:r w:rsidRPr="002F157F">
        <w:tab/>
        <w:t>If it is impracticable to work out the mass on each tyre in an axle or axle group, the mass on the axle or axle group divided by the number of tyres in the axle or axle group is taken to be the mass on the tyre in the absence of evidence to the contrary.</w:t>
      </w:r>
    </w:p>
    <w:p w14:paraId="37A5EB22" w14:textId="77777777" w:rsidR="00DB6E47" w:rsidRPr="007E1F9A" w:rsidRDefault="00DB6E47" w:rsidP="00DB6E47">
      <w:pPr>
        <w:pStyle w:val="AH5Sec"/>
      </w:pPr>
      <w:bookmarkStart w:id="903" w:name="_Toc83626247"/>
      <w:r w:rsidRPr="005E03F7">
        <w:rPr>
          <w:rStyle w:val="CharSectNo"/>
        </w:rPr>
        <w:t>719</w:t>
      </w:r>
      <w:r w:rsidRPr="007E1F9A">
        <w:tab/>
      </w:r>
      <w:r w:rsidRPr="007E1F9A">
        <w:rPr>
          <w:rFonts w:ascii="Helvetica" w:hAnsi="Helvetica" w:cs="Helvetica"/>
          <w:iCs/>
        </w:rPr>
        <w:t>Transport and journey documentation</w:t>
      </w:r>
      <w:bookmarkEnd w:id="903"/>
    </w:p>
    <w:p w14:paraId="733A58AE" w14:textId="77777777" w:rsidR="00DB6E47" w:rsidRPr="002F157F" w:rsidRDefault="00DB6E47" w:rsidP="00DB6E47">
      <w:pPr>
        <w:pStyle w:val="Amain"/>
      </w:pPr>
      <w:r w:rsidRPr="002F157F">
        <w:tab/>
        <w:t>(1)</w:t>
      </w:r>
      <w:r w:rsidRPr="002F157F">
        <w:tab/>
        <w:t>Transport documentation and journey documentation are admissible in a proceeding under this Law and are evidence of—</w:t>
      </w:r>
    </w:p>
    <w:p w14:paraId="2069098B" w14:textId="77777777" w:rsidR="00DB6E47" w:rsidRPr="00544ED5" w:rsidRDefault="00DB6E47" w:rsidP="00DB6E47">
      <w:pPr>
        <w:pStyle w:val="Apara"/>
      </w:pPr>
      <w:r w:rsidRPr="00544ED5">
        <w:tab/>
        <w:t>(a)</w:t>
      </w:r>
      <w:r w:rsidRPr="00544ED5">
        <w:tab/>
        <w:t>the identity and status of the parties to the transaction to which the documentation relates; and</w:t>
      </w:r>
    </w:p>
    <w:p w14:paraId="789FD68F" w14:textId="77777777" w:rsidR="00DB6E47" w:rsidRPr="00544ED5" w:rsidRDefault="00DB6E47" w:rsidP="00DB6E47">
      <w:pPr>
        <w:pStyle w:val="Apara"/>
      </w:pPr>
      <w:r w:rsidRPr="00544ED5">
        <w:lastRenderedPageBreak/>
        <w:tab/>
        <w:t>(b)</w:t>
      </w:r>
      <w:r w:rsidRPr="00544ED5">
        <w:tab/>
        <w:t>the destination or intended destination of the load to which the documentation relates; and</w:t>
      </w:r>
    </w:p>
    <w:p w14:paraId="26F72D94" w14:textId="77777777" w:rsidR="00DB6E47" w:rsidRPr="00544ED5" w:rsidRDefault="00DB6E47" w:rsidP="00DB6E47">
      <w:pPr>
        <w:pStyle w:val="Apara"/>
      </w:pPr>
      <w:r w:rsidRPr="00544ED5">
        <w:tab/>
        <w:t>(c)</w:t>
      </w:r>
      <w:r w:rsidRPr="00544ED5">
        <w:tab/>
        <w:t>either or both the date on which and the time at which—</w:t>
      </w:r>
    </w:p>
    <w:p w14:paraId="739C4388" w14:textId="77777777" w:rsidR="00DB6E47" w:rsidRPr="00CC71DF" w:rsidRDefault="00DB6E47" w:rsidP="00DB6E47">
      <w:pPr>
        <w:pStyle w:val="Asubpara"/>
      </w:pPr>
      <w:r w:rsidRPr="00CC71DF">
        <w:tab/>
        <w:t>(i)</w:t>
      </w:r>
      <w:r w:rsidRPr="00CC71DF">
        <w:tab/>
        <w:t>any document in the documentation was created; or</w:t>
      </w:r>
    </w:p>
    <w:p w14:paraId="4CD79E29" w14:textId="77777777" w:rsidR="00DB6E47" w:rsidRPr="00CC71DF" w:rsidRDefault="00DB6E47" w:rsidP="00DB6E47">
      <w:pPr>
        <w:pStyle w:val="Asubpara"/>
      </w:pPr>
      <w:r>
        <w:tab/>
      </w:r>
      <w:r w:rsidRPr="00CC71DF">
        <w:t>(ii)</w:t>
      </w:r>
      <w:r w:rsidRPr="00CC71DF">
        <w:tab/>
        <w:t>any transaction mentioned in the documentation was effected or carried out; or</w:t>
      </w:r>
    </w:p>
    <w:p w14:paraId="06DB5826" w14:textId="77777777" w:rsidR="00DB6E47" w:rsidRPr="00CC71DF" w:rsidRDefault="00DB6E47" w:rsidP="00DB6E47">
      <w:pPr>
        <w:pStyle w:val="Asubpara"/>
      </w:pPr>
      <w:r>
        <w:tab/>
      </w:r>
      <w:r w:rsidRPr="00CC71DF">
        <w:t>(iii)</w:t>
      </w:r>
      <w:r w:rsidRPr="00CC71DF">
        <w:tab/>
        <w:t>any journey mentioned in the documentation was started, carried out or finished; or</w:t>
      </w:r>
    </w:p>
    <w:p w14:paraId="27D167B2" w14:textId="77777777" w:rsidR="00DB6E47" w:rsidRPr="00CC71DF" w:rsidRDefault="00DB6E47" w:rsidP="00DB6E47">
      <w:pPr>
        <w:pStyle w:val="Asubpara"/>
      </w:pPr>
      <w:r>
        <w:tab/>
      </w:r>
      <w:r w:rsidRPr="00CC71DF">
        <w:t>(iv)</w:t>
      </w:r>
      <w:r w:rsidRPr="00CC71DF">
        <w:tab/>
        <w:t>any other matter mentioned in the documentation was effected, started, carried out or finished; and</w:t>
      </w:r>
    </w:p>
    <w:p w14:paraId="2783F2DB" w14:textId="77777777" w:rsidR="00DB6E47" w:rsidRPr="00544ED5" w:rsidRDefault="00DB6E47" w:rsidP="00DB6E47">
      <w:pPr>
        <w:pStyle w:val="Apara"/>
      </w:pPr>
      <w:r w:rsidRPr="00544ED5">
        <w:tab/>
        <w:t>(d)</w:t>
      </w:r>
      <w:r w:rsidRPr="00544ED5">
        <w:tab/>
        <w:t>the location of any person, heavy vehicle, goods or other matter or thing mentioned in the documentation; and</w:t>
      </w:r>
    </w:p>
    <w:p w14:paraId="0C087136" w14:textId="77777777" w:rsidR="00DB6E47" w:rsidRPr="00544ED5" w:rsidRDefault="00DB6E47" w:rsidP="00DB6E47">
      <w:pPr>
        <w:pStyle w:val="Apara"/>
      </w:pPr>
      <w:r w:rsidRPr="00544ED5">
        <w:tab/>
        <w:t>(e)</w:t>
      </w:r>
      <w:r w:rsidRPr="00544ED5">
        <w:tab/>
        <w:t>the date and time at which any person, heavy vehicle, goods or other matter or thing mentioned in the documentation was present at a particular place.</w:t>
      </w:r>
    </w:p>
    <w:p w14:paraId="3AEBDA31" w14:textId="77777777" w:rsidR="00DB6E47" w:rsidRPr="002F157F" w:rsidRDefault="00DB6E47" w:rsidP="00DB6E47">
      <w:pPr>
        <w:pStyle w:val="Amain"/>
      </w:pPr>
      <w:r w:rsidRPr="002F157F">
        <w:tab/>
        <w:t>(2)</w:t>
      </w:r>
      <w:r w:rsidRPr="002F157F">
        <w:tab/>
        <w:t>In this section—</w:t>
      </w:r>
    </w:p>
    <w:p w14:paraId="051E5EC6" w14:textId="77777777" w:rsidR="00DB6E47" w:rsidRPr="00041046" w:rsidRDefault="00DB6E47" w:rsidP="00DB6E47">
      <w:pPr>
        <w:pStyle w:val="aDef"/>
        <w:rPr>
          <w:bCs/>
        </w:rPr>
      </w:pPr>
      <w:r w:rsidRPr="00041046">
        <w:rPr>
          <w:rStyle w:val="charBoldItals"/>
        </w:rPr>
        <w:t>status</w:t>
      </w:r>
      <w:r w:rsidRPr="00041046">
        <w:t>, of the parties to a transaction, includes the status of each of the parties as a responsible person for the heavy vehicle used or intended to be used for transporting the goods the subject of the transaction.</w:t>
      </w:r>
    </w:p>
    <w:p w14:paraId="792684A7" w14:textId="77777777" w:rsidR="00DB6E47" w:rsidRPr="007E1F9A" w:rsidRDefault="00DB6E47" w:rsidP="00DB6E47">
      <w:pPr>
        <w:pStyle w:val="AH5Sec"/>
      </w:pPr>
      <w:bookmarkStart w:id="904" w:name="_Toc83626248"/>
      <w:r w:rsidRPr="005E03F7">
        <w:rPr>
          <w:rStyle w:val="CharSectNo"/>
        </w:rPr>
        <w:t>720</w:t>
      </w:r>
      <w:r w:rsidRPr="007E1F9A">
        <w:tab/>
      </w:r>
      <w:r w:rsidRPr="007E1F9A">
        <w:rPr>
          <w:rFonts w:ascii="Helvetica" w:hAnsi="Helvetica" w:cs="Helvetica"/>
          <w:iCs/>
        </w:rPr>
        <w:t>Evidence not affected by nature of vehicle</w:t>
      </w:r>
      <w:bookmarkEnd w:id="904"/>
    </w:p>
    <w:p w14:paraId="55BBF9BF" w14:textId="77777777" w:rsidR="00DB6E47" w:rsidRPr="002F157F" w:rsidRDefault="00DB6E47" w:rsidP="00DB6E47">
      <w:pPr>
        <w:pStyle w:val="Amainreturn"/>
      </w:pPr>
      <w:r w:rsidRPr="002F157F">
        <w:t>Evidence obtained in relation to a vehicle because of the exercise of a power under this Law in the belief or suspicion that the vehicle is a heavy vehicle is not affected merely because the vehicle is not a heavy vehicle.</w:t>
      </w:r>
    </w:p>
    <w:p w14:paraId="2768F0A0" w14:textId="77777777" w:rsidR="00DB6E47" w:rsidRPr="007E1F9A" w:rsidRDefault="00DB6E47" w:rsidP="00DB6E47">
      <w:pPr>
        <w:pStyle w:val="AH5Sec"/>
      </w:pPr>
      <w:bookmarkStart w:id="905" w:name="_Toc83626249"/>
      <w:r w:rsidRPr="005E03F7">
        <w:rPr>
          <w:rStyle w:val="CharSectNo"/>
        </w:rPr>
        <w:lastRenderedPageBreak/>
        <w:t>721</w:t>
      </w:r>
      <w:r w:rsidRPr="007E1F9A">
        <w:tab/>
      </w:r>
      <w:r w:rsidRPr="007E1F9A">
        <w:rPr>
          <w:rFonts w:ascii="Helvetica" w:hAnsi="Helvetica" w:cs="Helvetica"/>
          <w:iCs/>
        </w:rPr>
        <w:t>Certificates of TCA</w:t>
      </w:r>
      <w:bookmarkEnd w:id="905"/>
    </w:p>
    <w:p w14:paraId="7FE3F49A" w14:textId="77777777" w:rsidR="00DB6E47" w:rsidRPr="002F157F" w:rsidRDefault="00DB6E47" w:rsidP="002C669B">
      <w:pPr>
        <w:pStyle w:val="Amain"/>
        <w:keepNext/>
      </w:pPr>
      <w:r w:rsidRPr="002F157F">
        <w:tab/>
        <w:t>(1)</w:t>
      </w:r>
      <w:r w:rsidRPr="002F157F">
        <w:tab/>
        <w:t>A certificate purporting to be signed by a person on behalf of TCA stating any of the following matters is evidence of the matter—</w:t>
      </w:r>
    </w:p>
    <w:p w14:paraId="672BA6E9" w14:textId="77777777" w:rsidR="00DB6E47" w:rsidRPr="00544ED5" w:rsidRDefault="00DB6E47" w:rsidP="00DB6E47">
      <w:pPr>
        <w:pStyle w:val="Apara"/>
      </w:pPr>
      <w:r w:rsidRPr="00544ED5">
        <w:tab/>
        <w:t>(a)</w:t>
      </w:r>
      <w:r w:rsidRPr="00544ED5">
        <w:tab/>
        <w:t>a stated intelligent transport system was or was not an approved intelligent transport system on a stated date or during a stated period;</w:t>
      </w:r>
    </w:p>
    <w:p w14:paraId="10AF394D" w14:textId="77777777" w:rsidR="00DB6E47" w:rsidRPr="00544ED5" w:rsidRDefault="00DB6E47" w:rsidP="00DB6E47">
      <w:pPr>
        <w:pStyle w:val="Apara"/>
      </w:pPr>
      <w:r w:rsidRPr="00544ED5">
        <w:tab/>
        <w:t>(b)</w:t>
      </w:r>
      <w:r w:rsidRPr="00544ED5">
        <w:tab/>
        <w:t xml:space="preserve">a stated person was or was not an intelligent access </w:t>
      </w:r>
      <w:r w:rsidR="00A155CC">
        <w:t xml:space="preserve">program </w:t>
      </w:r>
      <w:r w:rsidRPr="00544ED5">
        <w:t>service provider on a stated date or during a stated period;</w:t>
      </w:r>
    </w:p>
    <w:p w14:paraId="2D35EDBB" w14:textId="77777777" w:rsidR="00DB6E47" w:rsidRPr="00544ED5" w:rsidRDefault="00DB6E47" w:rsidP="00DB6E47">
      <w:pPr>
        <w:pStyle w:val="Apara"/>
      </w:pPr>
      <w:r w:rsidRPr="00544ED5">
        <w:tab/>
        <w:t>(c)</w:t>
      </w:r>
      <w:r w:rsidRPr="00544ED5">
        <w:tab/>
        <w:t xml:space="preserve">a stated person was or was not an intelligent access </w:t>
      </w:r>
      <w:r w:rsidR="00F425DD">
        <w:t xml:space="preserve">program </w:t>
      </w:r>
      <w:r w:rsidRPr="00544ED5">
        <w:t>auditor on a stated date or during a stated period.</w:t>
      </w:r>
    </w:p>
    <w:p w14:paraId="08EDDF9A" w14:textId="77777777" w:rsidR="00DB6E47" w:rsidRPr="002F157F" w:rsidRDefault="00DB6E47" w:rsidP="00DB6E47">
      <w:pPr>
        <w:pStyle w:val="Amain"/>
      </w:pPr>
      <w:r w:rsidRPr="002F157F">
        <w:tab/>
        <w:t>(2)</w:t>
      </w:r>
      <w:r w:rsidRPr="002F157F">
        <w:tab/>
        <w:t>A person who purportedly signs a certificate of</w:t>
      </w:r>
      <w:r w:rsidR="00062FCF">
        <w:t xml:space="preserve"> a type mentioned in subsection </w:t>
      </w:r>
      <w:r w:rsidRPr="002F157F">
        <w:t>(1)</w:t>
      </w:r>
      <w:r w:rsidR="00062FCF">
        <w:t xml:space="preserve"> </w:t>
      </w:r>
      <w:r w:rsidRPr="002F157F">
        <w:t>on behalf of TCA is presumed, unless the contrary is proved, to have been authorised by TCA to sign the certificate on TCA’s behalf.</w:t>
      </w:r>
    </w:p>
    <w:p w14:paraId="28A7C10F" w14:textId="77777777" w:rsidR="00DB6E47" w:rsidRPr="007E1F9A" w:rsidRDefault="00DB6E47" w:rsidP="00DB6E47">
      <w:pPr>
        <w:pStyle w:val="AH5Sec"/>
      </w:pPr>
      <w:bookmarkStart w:id="906" w:name="_Toc83626250"/>
      <w:r w:rsidRPr="005E03F7">
        <w:rPr>
          <w:rStyle w:val="CharSectNo"/>
        </w:rPr>
        <w:t>722</w:t>
      </w:r>
      <w:r w:rsidRPr="007E1F9A">
        <w:tab/>
      </w:r>
      <w:r w:rsidRPr="007E1F9A">
        <w:rPr>
          <w:rFonts w:ascii="Helvetica" w:hAnsi="Helvetica" w:cs="Helvetica"/>
          <w:iCs/>
        </w:rPr>
        <w:t>Approved intelligent transport system</w:t>
      </w:r>
      <w:bookmarkEnd w:id="906"/>
    </w:p>
    <w:p w14:paraId="46A61312" w14:textId="77777777" w:rsidR="00DB6E47" w:rsidRPr="002F157F" w:rsidRDefault="00DB6E47" w:rsidP="00DB6E47">
      <w:pPr>
        <w:pStyle w:val="Amain"/>
      </w:pPr>
      <w:r w:rsidRPr="002F157F">
        <w:tab/>
        <w:t>(1)</w:t>
      </w:r>
      <w:r w:rsidRPr="002F157F">
        <w:tab/>
        <w:t>An approved intelligent transport system, including all the equipment and software that makes up the system, is presumed, unless the contrary is proved, to have operated properly on any particular occasion.</w:t>
      </w:r>
    </w:p>
    <w:p w14:paraId="6C368356" w14:textId="77777777" w:rsidR="00DB6E47" w:rsidRPr="002F157F" w:rsidRDefault="00DB6E47" w:rsidP="00DB6E47">
      <w:pPr>
        <w:pStyle w:val="Amain"/>
      </w:pPr>
      <w:r w:rsidRPr="002F157F">
        <w:tab/>
        <w:t>(2)</w:t>
      </w:r>
      <w:r w:rsidRPr="002F157F">
        <w:tab/>
        <w:t>Without limiting subsection (1), information generated, recorded, stored, displayed, analysed, transmitted and reported by an approved intelligent transport system is presumed, unless the contrary is proved, to have been correctly generated, recorded, stored, displayed, analysed, transmitted and reported by the system.</w:t>
      </w:r>
    </w:p>
    <w:p w14:paraId="0259665E" w14:textId="77777777" w:rsidR="00DB6E47" w:rsidRPr="002F157F" w:rsidRDefault="00DB6E47" w:rsidP="00DB6E47">
      <w:pPr>
        <w:pStyle w:val="Amain"/>
      </w:pPr>
      <w:r w:rsidRPr="002F157F">
        <w:tab/>
      </w:r>
      <w:r w:rsidR="00062FCF">
        <w:t>(3)</w:t>
      </w:r>
      <w:r w:rsidR="00062FCF">
        <w:tab/>
        <w:t xml:space="preserve">Without limiting subsection </w:t>
      </w:r>
      <w:r w:rsidRPr="002F157F">
        <w:t>(1)</w:t>
      </w:r>
      <w:r w:rsidR="00062FCF">
        <w:t xml:space="preserve"> </w:t>
      </w:r>
      <w:r w:rsidRPr="002F157F">
        <w:t>or (2), information generated by an approved intelligent transport system is presumed, unless the contrary is proved, not to have been changed by being recorded, stored, displayed, analysed, transmitted or reported by the system.</w:t>
      </w:r>
    </w:p>
    <w:p w14:paraId="3AB8DBD2" w14:textId="77777777" w:rsidR="00DB6E47" w:rsidRPr="002F157F" w:rsidRDefault="00DB6E47" w:rsidP="002C669B">
      <w:pPr>
        <w:pStyle w:val="Amain"/>
        <w:keepLines/>
      </w:pPr>
      <w:r w:rsidRPr="002F157F">
        <w:lastRenderedPageBreak/>
        <w:tab/>
        <w:t>(4)</w:t>
      </w:r>
      <w:r w:rsidRPr="002F157F">
        <w:tab/>
        <w:t>If in a proceeding it is established by contrary evidence that particular information recorded or stored by an approved intelligent transport system is not a correct representation of the information generated by the system, the pres</w:t>
      </w:r>
      <w:r w:rsidR="00062FCF">
        <w:t>umption mentioned in subsection </w:t>
      </w:r>
      <w:r w:rsidRPr="002F157F">
        <w:t>(3)</w:t>
      </w:r>
      <w:r w:rsidR="00062FCF">
        <w:t xml:space="preserve"> </w:t>
      </w:r>
      <w:r w:rsidRPr="002F157F">
        <w:t>continues to apply to the remaining information recorded or stored by the system despite that contrary evidence.</w:t>
      </w:r>
    </w:p>
    <w:p w14:paraId="60D5DF8E" w14:textId="77777777" w:rsidR="00DB6E47" w:rsidRPr="002F157F" w:rsidRDefault="00DB6E47" w:rsidP="00DB6E47">
      <w:pPr>
        <w:pStyle w:val="Amain"/>
      </w:pPr>
      <w:r w:rsidRPr="002F157F">
        <w:tab/>
        <w:t>(5)</w:t>
      </w:r>
      <w:r w:rsidRPr="002F157F">
        <w:tab/>
        <w:t>If a defendant in a proceeding for an offence against this Law intends to challenge any of the following matters, the defendant must give the complainant notice of the intention to challenge—</w:t>
      </w:r>
    </w:p>
    <w:p w14:paraId="07EE3A62" w14:textId="77777777" w:rsidR="00DB6E47" w:rsidRPr="00544ED5" w:rsidRDefault="00DB6E47" w:rsidP="00DB6E47">
      <w:pPr>
        <w:pStyle w:val="Apara"/>
      </w:pPr>
      <w:r w:rsidRPr="00544ED5">
        <w:tab/>
        <w:t>(a)</w:t>
      </w:r>
      <w:r w:rsidRPr="00544ED5">
        <w:tab/>
        <w:t>that an approved intelligent transport system has operated properly;</w:t>
      </w:r>
    </w:p>
    <w:p w14:paraId="59427560" w14:textId="77777777" w:rsidR="00DB6E47" w:rsidRPr="00544ED5" w:rsidRDefault="00DB6E47" w:rsidP="009902F7">
      <w:pPr>
        <w:pStyle w:val="Apara"/>
        <w:keepLines/>
      </w:pPr>
      <w:r w:rsidRPr="00544ED5">
        <w:tab/>
        <w:t>(b)</w:t>
      </w:r>
      <w:r w:rsidRPr="00544ED5">
        <w:tab/>
        <w:t>that information generated, recorded, stored, displayed, analysed, transmitted or reported by an approved intelligent transport system has been correctly generated, recorded, stored, displayed, analysed, transmitted or reported by the system;</w:t>
      </w:r>
    </w:p>
    <w:p w14:paraId="659DD16B" w14:textId="77777777" w:rsidR="00DB6E47" w:rsidRPr="00544ED5" w:rsidRDefault="00DB6E47" w:rsidP="00DB6E47">
      <w:pPr>
        <w:pStyle w:val="Apara"/>
      </w:pPr>
      <w:r w:rsidRPr="00544ED5">
        <w:tab/>
        <w:t>(c)</w:t>
      </w:r>
      <w:r w:rsidRPr="00544ED5">
        <w:tab/>
        <w:t>that information generated by an approved intelligent transport system has not been changed by being recorded, stored, displayed, analysed, transmitted or reported by the system.</w:t>
      </w:r>
    </w:p>
    <w:p w14:paraId="7277E523" w14:textId="77777777" w:rsidR="00DB6E47" w:rsidRPr="002F157F" w:rsidRDefault="00DB6E47" w:rsidP="00DB6E47">
      <w:pPr>
        <w:pStyle w:val="Amain"/>
      </w:pPr>
      <w:r w:rsidRPr="002F157F">
        <w:tab/>
        <w:t>(6)</w:t>
      </w:r>
      <w:r w:rsidRPr="002F157F">
        <w:tab/>
        <w:t>The notice must—</w:t>
      </w:r>
    </w:p>
    <w:p w14:paraId="7C9E65CC" w14:textId="77777777" w:rsidR="00DB6E47" w:rsidRPr="00544ED5" w:rsidRDefault="00DB6E47" w:rsidP="00DB6E47">
      <w:pPr>
        <w:pStyle w:val="Apara"/>
      </w:pPr>
      <w:r w:rsidRPr="00544ED5">
        <w:tab/>
        <w:t>(a)</w:t>
      </w:r>
      <w:r w:rsidRPr="00544ED5">
        <w:tab/>
        <w:t>be signed by the defendant; and</w:t>
      </w:r>
    </w:p>
    <w:p w14:paraId="63B44D80" w14:textId="77777777" w:rsidR="00DB6E47" w:rsidRPr="00544ED5" w:rsidRDefault="00DB6E47" w:rsidP="00DB6E47">
      <w:pPr>
        <w:pStyle w:val="Apara"/>
      </w:pPr>
      <w:r w:rsidRPr="00544ED5">
        <w:tab/>
        <w:t>(b)</w:t>
      </w:r>
      <w:r w:rsidRPr="00544ED5">
        <w:tab/>
        <w:t>state the grounds on which the defendant intends to rely to challenge a mat</w:t>
      </w:r>
      <w:r w:rsidR="00062FCF">
        <w:t xml:space="preserve">ter mentioned in subsection (5)(a), </w:t>
      </w:r>
      <w:r w:rsidRPr="00544ED5">
        <w:t>(b)</w:t>
      </w:r>
      <w:r w:rsidR="00062FCF">
        <w:t xml:space="preserve"> or </w:t>
      </w:r>
      <w:r w:rsidRPr="00544ED5">
        <w:t>(c); and</w:t>
      </w:r>
    </w:p>
    <w:p w14:paraId="170E1439" w14:textId="77777777" w:rsidR="00DB6E47" w:rsidRPr="00544ED5" w:rsidRDefault="00DB6E47" w:rsidP="00DB6E47">
      <w:pPr>
        <w:pStyle w:val="Apara"/>
      </w:pPr>
      <w:r w:rsidRPr="00544ED5">
        <w:tab/>
        <w:t>(c)</w:t>
      </w:r>
      <w:r w:rsidRPr="00544ED5">
        <w:tab/>
        <w:t>be given at least 14 days before the day fixed for the hearing of the charge.</w:t>
      </w:r>
    </w:p>
    <w:p w14:paraId="122A97B1" w14:textId="77777777" w:rsidR="00DB6E47" w:rsidRPr="002F157F" w:rsidRDefault="00DB6E47" w:rsidP="00DB6E47">
      <w:pPr>
        <w:pStyle w:val="Amain"/>
      </w:pPr>
      <w:r w:rsidRPr="002F157F">
        <w:tab/>
        <w:t>(7)</w:t>
      </w:r>
      <w:r w:rsidRPr="002F157F">
        <w:tab/>
        <w:t>This section does not limit section 714.</w:t>
      </w:r>
    </w:p>
    <w:p w14:paraId="070A11A2" w14:textId="77777777" w:rsidR="00DB6E47" w:rsidRPr="007E1F9A" w:rsidRDefault="00DB6E47" w:rsidP="00DB6E47">
      <w:pPr>
        <w:pStyle w:val="AH5Sec"/>
      </w:pPr>
      <w:bookmarkStart w:id="907" w:name="_Toc83626251"/>
      <w:r w:rsidRPr="005E03F7">
        <w:rPr>
          <w:rStyle w:val="CharSectNo"/>
        </w:rPr>
        <w:lastRenderedPageBreak/>
        <w:t>723</w:t>
      </w:r>
      <w:r w:rsidRPr="007E1F9A">
        <w:tab/>
      </w:r>
      <w:r w:rsidRPr="007E1F9A">
        <w:rPr>
          <w:rFonts w:ascii="Helvetica" w:hAnsi="Helvetica" w:cs="Helvetica"/>
          <w:iCs/>
        </w:rPr>
        <w:t>Evidence as to intelligent access map</w:t>
      </w:r>
      <w:bookmarkEnd w:id="907"/>
    </w:p>
    <w:p w14:paraId="28532D66" w14:textId="77777777" w:rsidR="00DB6E47" w:rsidRPr="002F157F" w:rsidRDefault="00DB6E47" w:rsidP="002C669B">
      <w:pPr>
        <w:pStyle w:val="Amain"/>
        <w:keepLines/>
      </w:pPr>
      <w:r w:rsidRPr="002F157F">
        <w:tab/>
        <w:t>(1)</w:t>
      </w:r>
      <w:r w:rsidRPr="002F157F">
        <w:tab/>
        <w:t>A certificate purporting to be signed by a person on behalf of TCA stating that a particular map was or was not the intelligent access map as issued by TCA on a stated date or during a stated period is conclusive evidence of the matter stated in the certificate.</w:t>
      </w:r>
    </w:p>
    <w:p w14:paraId="1A0168B7" w14:textId="77777777" w:rsidR="00DB6E47" w:rsidRPr="002F157F" w:rsidRDefault="00DB6E47" w:rsidP="00DB6E47">
      <w:pPr>
        <w:pStyle w:val="Amain"/>
      </w:pPr>
      <w:r w:rsidRPr="002F157F">
        <w:tab/>
        <w:t>(2)</w:t>
      </w:r>
      <w:r w:rsidRPr="002F157F">
        <w:tab/>
        <w:t>The intelligent access map, as issued by TCA at a particular time, is presumed, unless evidence sufficient to raise doubt about the presumption is adduced, to be a correct representation of the national road network at the time of its issue.</w:t>
      </w:r>
    </w:p>
    <w:p w14:paraId="431AF2F9" w14:textId="77777777" w:rsidR="00DB6E47" w:rsidRPr="002F157F" w:rsidRDefault="00DB6E47" w:rsidP="00DB6E47">
      <w:pPr>
        <w:pStyle w:val="Amain"/>
      </w:pPr>
      <w:r w:rsidRPr="002F157F">
        <w:tab/>
        <w:t>(3)</w:t>
      </w:r>
      <w:r w:rsidRPr="002F157F">
        <w:tab/>
        <w:t>A person who purportedly signs a certificate of the</w:t>
      </w:r>
      <w:r w:rsidR="00062FCF">
        <w:t xml:space="preserve"> kind referred to in subsection </w:t>
      </w:r>
      <w:r w:rsidRPr="002F157F">
        <w:t>(1)</w:t>
      </w:r>
      <w:r w:rsidR="00062FCF">
        <w:t xml:space="preserve"> </w:t>
      </w:r>
      <w:r w:rsidRPr="002F157F">
        <w:t>on behalf of TCA is presumed, unless evidence sufficient to raise doubt about the presumption is adduced, to have been authorised by TCA to sign the certificate on TCA’s behalf.</w:t>
      </w:r>
    </w:p>
    <w:p w14:paraId="7BE800A9" w14:textId="77777777" w:rsidR="00DB6E47" w:rsidRPr="007E1F9A" w:rsidRDefault="00DB6E47" w:rsidP="00DB6E47">
      <w:pPr>
        <w:pStyle w:val="AH5Sec"/>
      </w:pPr>
      <w:bookmarkStart w:id="908" w:name="_Toc83626252"/>
      <w:r w:rsidRPr="005E03F7">
        <w:rPr>
          <w:rStyle w:val="CharSectNo"/>
        </w:rPr>
        <w:t>724</w:t>
      </w:r>
      <w:r w:rsidRPr="007E1F9A">
        <w:tab/>
      </w:r>
      <w:r w:rsidRPr="007E1F9A">
        <w:rPr>
          <w:rFonts w:ascii="Helvetica" w:hAnsi="Helvetica" w:cs="Helvetica"/>
          <w:iCs/>
        </w:rPr>
        <w:t>Reports and statements made by approved intelligent transport system</w:t>
      </w:r>
      <w:bookmarkEnd w:id="908"/>
    </w:p>
    <w:p w14:paraId="0E6E5B2B" w14:textId="77777777" w:rsidR="00DB6E47" w:rsidRPr="002F157F" w:rsidRDefault="00DB6E47" w:rsidP="00D10609">
      <w:pPr>
        <w:pStyle w:val="Amain"/>
        <w:keepNext/>
      </w:pPr>
      <w:r w:rsidRPr="002F157F">
        <w:tab/>
        <w:t>(1)</w:t>
      </w:r>
      <w:r w:rsidRPr="002F157F">
        <w:tab/>
        <w:t>A report purporting to be made by an approved intelligent transport system—</w:t>
      </w:r>
    </w:p>
    <w:p w14:paraId="3AAC3931" w14:textId="77777777" w:rsidR="00DB6E47" w:rsidRPr="00544ED5" w:rsidRDefault="00DB6E47" w:rsidP="00DB6E47">
      <w:pPr>
        <w:pStyle w:val="Apara"/>
      </w:pPr>
      <w:r w:rsidRPr="00544ED5">
        <w:tab/>
        <w:t>(a)</w:t>
      </w:r>
      <w:r w:rsidRPr="00544ED5">
        <w:tab/>
        <w:t>is presumed, unless the contrary is proved—</w:t>
      </w:r>
    </w:p>
    <w:p w14:paraId="7C1AEBF5" w14:textId="77777777" w:rsidR="00DB6E47" w:rsidRPr="00CC71DF" w:rsidRDefault="00DB6E47" w:rsidP="00DB6E47">
      <w:pPr>
        <w:pStyle w:val="Asubpara"/>
      </w:pPr>
      <w:r w:rsidRPr="00CC71DF">
        <w:tab/>
        <w:t>(i)</w:t>
      </w:r>
      <w:r w:rsidRPr="00CC71DF">
        <w:tab/>
        <w:t>to have been properly made by the system; and</w:t>
      </w:r>
    </w:p>
    <w:p w14:paraId="2FDB0A12" w14:textId="77777777" w:rsidR="00DB6E47" w:rsidRPr="00CC71DF" w:rsidRDefault="00DB6E47" w:rsidP="00DB6E47">
      <w:pPr>
        <w:pStyle w:val="Asubpara"/>
      </w:pPr>
      <w:r w:rsidRPr="00CC71DF">
        <w:tab/>
        <w:t>(ii)</w:t>
      </w:r>
      <w:r w:rsidRPr="00CC71DF">
        <w:tab/>
        <w:t>to be a correct representation of the information generated, recorded, stored, displayed, analysed, transmitted and reported by the system; and</w:t>
      </w:r>
    </w:p>
    <w:p w14:paraId="011E15F5" w14:textId="77777777" w:rsidR="00DB6E47" w:rsidRPr="00544ED5" w:rsidRDefault="00DB6E47" w:rsidP="00DB6E47">
      <w:pPr>
        <w:pStyle w:val="Apara"/>
      </w:pPr>
      <w:r w:rsidRPr="00544ED5">
        <w:tab/>
        <w:t>(b)</w:t>
      </w:r>
      <w:r w:rsidRPr="00544ED5">
        <w:tab/>
        <w:t>is admissible in a proceeding under this Law; and</w:t>
      </w:r>
    </w:p>
    <w:p w14:paraId="7A3CFB11" w14:textId="77777777" w:rsidR="00DB6E47" w:rsidRPr="00544ED5" w:rsidRDefault="00DB6E47" w:rsidP="00DB6E47">
      <w:pPr>
        <w:pStyle w:val="Apara"/>
      </w:pPr>
      <w:r w:rsidRPr="00544ED5">
        <w:tab/>
        <w:t>(c)</w:t>
      </w:r>
      <w:r w:rsidRPr="00544ED5">
        <w:tab/>
        <w:t>is evidence of the matters stated in it.</w:t>
      </w:r>
    </w:p>
    <w:p w14:paraId="1078BBAF" w14:textId="77777777" w:rsidR="00DB6E47" w:rsidRPr="002F157F" w:rsidRDefault="00062FCF" w:rsidP="002C669B">
      <w:pPr>
        <w:pStyle w:val="Amain"/>
        <w:keepNext/>
        <w:keepLines/>
      </w:pPr>
      <w:r>
        <w:lastRenderedPageBreak/>
        <w:tab/>
        <w:t>(2)</w:t>
      </w:r>
      <w:r>
        <w:tab/>
        <w:t>However, subsection (1)</w:t>
      </w:r>
      <w:r w:rsidR="00DB6E47" w:rsidRPr="002F157F">
        <w:t>(c)</w:t>
      </w:r>
      <w:r>
        <w:t xml:space="preserve"> </w:t>
      </w:r>
      <w:r w:rsidR="00DB6E47" w:rsidRPr="002F157F">
        <w:t>does not apply to information stated in a report made by an approved intelligent transport system that has been manually entered into the system by an operator or driver of a heavy vehicle.</w:t>
      </w:r>
    </w:p>
    <w:p w14:paraId="02C4D503" w14:textId="77777777" w:rsidR="00DB6E47" w:rsidRPr="00C96203" w:rsidRDefault="00DB6E47" w:rsidP="00DB6E47">
      <w:pPr>
        <w:pStyle w:val="aExamHdgss"/>
      </w:pPr>
      <w:r w:rsidRPr="00C96203">
        <w:rPr>
          <w:rFonts w:cs="Times"/>
          <w:bCs/>
          <w:iCs/>
        </w:rPr>
        <w:t>Example—</w:t>
      </w:r>
    </w:p>
    <w:p w14:paraId="542C7C8D" w14:textId="77777777" w:rsidR="00DB6E47" w:rsidRPr="00C96203" w:rsidRDefault="00DB6E47" w:rsidP="00DB6E47">
      <w:pPr>
        <w:pStyle w:val="aExamss"/>
      </w:pPr>
      <w:r w:rsidRPr="00C96203">
        <w:t>If the driver of a heavy vehicle enters the mass of the vehicle into the intelligent transport system, the information about the mass of the vehicle stated in a report made by the system is not evidence of the mass of the vehicle.</w:t>
      </w:r>
    </w:p>
    <w:p w14:paraId="49B30A5C" w14:textId="77777777" w:rsidR="00DB6E47" w:rsidRPr="002F157F" w:rsidRDefault="00DB6E47" w:rsidP="00DB6E47">
      <w:pPr>
        <w:pStyle w:val="Amain"/>
      </w:pPr>
      <w:r w:rsidRPr="002F157F">
        <w:tab/>
        <w:t>(3)</w:t>
      </w:r>
      <w:r w:rsidRPr="002F157F">
        <w:tab/>
        <w:t>Also, if in a proceeding it is established by contrary evidence that part of a report made by an approved intelligent transport system is not a correct representation of particular information generated, recorded, stored, displayed, analysed, transmitted or reported by the system, the presumpt</w:t>
      </w:r>
      <w:r w:rsidR="00062FCF">
        <w:t>ion mentioned in subsection (1)</w:t>
      </w:r>
      <w:r w:rsidRPr="002F157F">
        <w:t>(a)</w:t>
      </w:r>
      <w:r w:rsidR="00062FCF">
        <w:t xml:space="preserve"> </w:t>
      </w:r>
      <w:r w:rsidRPr="002F157F">
        <w:t>continues to apply to the remaining parts of the report despite that contrary evidence.</w:t>
      </w:r>
    </w:p>
    <w:p w14:paraId="74A153CB" w14:textId="77777777" w:rsidR="00DB6E47" w:rsidRPr="002F157F" w:rsidRDefault="00DB6E47" w:rsidP="00D10609">
      <w:pPr>
        <w:pStyle w:val="Amain"/>
        <w:keepNext/>
      </w:pPr>
      <w:r w:rsidRPr="002F157F">
        <w:tab/>
        <w:t>(4)</w:t>
      </w:r>
      <w:r w:rsidRPr="002F157F">
        <w:tab/>
        <w:t>If a defendant in a proceeding for an offence against this Law intends to challenge any of the following matters, the defendant must give the complainant notice of the intention to challenge—</w:t>
      </w:r>
    </w:p>
    <w:p w14:paraId="6C1893EC" w14:textId="77777777" w:rsidR="00DB6E47" w:rsidRPr="00544ED5" w:rsidRDefault="00DB6E47" w:rsidP="00DB6E47">
      <w:pPr>
        <w:pStyle w:val="Apara"/>
      </w:pPr>
      <w:r w:rsidRPr="00544ED5">
        <w:tab/>
        <w:t>(a)</w:t>
      </w:r>
      <w:r w:rsidRPr="00544ED5">
        <w:tab/>
        <w:t>that a report made by an approved intelligent transport system has been properly made;</w:t>
      </w:r>
    </w:p>
    <w:p w14:paraId="05EFA446" w14:textId="77777777" w:rsidR="00DB6E47" w:rsidRPr="00544ED5" w:rsidRDefault="00DB6E47" w:rsidP="00DB6E47">
      <w:pPr>
        <w:pStyle w:val="Apara"/>
      </w:pPr>
      <w:r w:rsidRPr="00544ED5">
        <w:tab/>
        <w:t>(b)</w:t>
      </w:r>
      <w:r w:rsidRPr="00544ED5">
        <w:tab/>
        <w:t>that a report made by an approved intelligent transport system is a correct representation of the information generated, recorded, stored, displayed, analysed, transmitted and reported by the system;</w:t>
      </w:r>
    </w:p>
    <w:p w14:paraId="557DB552" w14:textId="77777777" w:rsidR="00DB6E47" w:rsidRPr="00544ED5" w:rsidRDefault="00DB6E47" w:rsidP="00DB6E47">
      <w:pPr>
        <w:pStyle w:val="Apara"/>
      </w:pPr>
      <w:r w:rsidRPr="00544ED5">
        <w:tab/>
        <w:t>(c)</w:t>
      </w:r>
      <w:r w:rsidRPr="00544ED5">
        <w:tab/>
        <w:t>the correctness of a statement of a vehicle’s position on the surface of the earth at a particular time that is made by an approved intelligent transport system.</w:t>
      </w:r>
    </w:p>
    <w:p w14:paraId="52A1E4DA" w14:textId="77777777" w:rsidR="00DB6E47" w:rsidRPr="002F157F" w:rsidRDefault="00DB6E47" w:rsidP="00DB6E47">
      <w:pPr>
        <w:pStyle w:val="Amain"/>
      </w:pPr>
      <w:r w:rsidRPr="002F157F">
        <w:tab/>
        <w:t>(5)</w:t>
      </w:r>
      <w:r w:rsidRPr="002F157F">
        <w:tab/>
        <w:t>The notice must—</w:t>
      </w:r>
    </w:p>
    <w:p w14:paraId="27D565C6" w14:textId="77777777" w:rsidR="00DB6E47" w:rsidRPr="00544ED5" w:rsidRDefault="00DB6E47" w:rsidP="00DB6E47">
      <w:pPr>
        <w:pStyle w:val="Apara"/>
      </w:pPr>
      <w:r w:rsidRPr="00544ED5">
        <w:tab/>
        <w:t>(a)</w:t>
      </w:r>
      <w:r w:rsidRPr="00544ED5">
        <w:tab/>
        <w:t>be signed by the defendant; and</w:t>
      </w:r>
    </w:p>
    <w:p w14:paraId="40AE29F5" w14:textId="77777777" w:rsidR="00DB6E47" w:rsidRPr="00544ED5" w:rsidRDefault="00DB6E47" w:rsidP="00DB6E47">
      <w:pPr>
        <w:pStyle w:val="Apara"/>
      </w:pPr>
      <w:r w:rsidRPr="00544ED5">
        <w:tab/>
        <w:t>(b)</w:t>
      </w:r>
      <w:r w:rsidRPr="00544ED5">
        <w:tab/>
        <w:t>state the grounds on which the defendant intends to rely to challenge the mat</w:t>
      </w:r>
      <w:r w:rsidR="00062FCF">
        <w:t xml:space="preserve">ter mentioned in subsection (4)(a), </w:t>
      </w:r>
      <w:r w:rsidRPr="00544ED5">
        <w:t>(b)</w:t>
      </w:r>
      <w:r w:rsidR="00062FCF">
        <w:t xml:space="preserve"> or </w:t>
      </w:r>
      <w:r w:rsidRPr="00544ED5">
        <w:t>(c); and</w:t>
      </w:r>
    </w:p>
    <w:p w14:paraId="748C6B5A" w14:textId="77777777" w:rsidR="00DB6E47" w:rsidRPr="00544ED5" w:rsidRDefault="00DB6E47" w:rsidP="00DB6E47">
      <w:pPr>
        <w:pStyle w:val="Apara"/>
      </w:pPr>
      <w:r w:rsidRPr="00544ED5">
        <w:lastRenderedPageBreak/>
        <w:tab/>
        <w:t>(c)</w:t>
      </w:r>
      <w:r w:rsidRPr="00544ED5">
        <w:tab/>
        <w:t>be given at least 14 days before the day fixed for the hearing of the charge.</w:t>
      </w:r>
    </w:p>
    <w:p w14:paraId="49FF433F" w14:textId="77777777" w:rsidR="00DB6E47" w:rsidRPr="002F157F" w:rsidRDefault="00DB6E47" w:rsidP="00DB6E47">
      <w:pPr>
        <w:pStyle w:val="Amain"/>
      </w:pPr>
      <w:r w:rsidRPr="002F157F">
        <w:tab/>
        <w:t>(6)</w:t>
      </w:r>
      <w:r w:rsidRPr="002F157F">
        <w:tab/>
        <w:t>This section does not limit section 714.</w:t>
      </w:r>
    </w:p>
    <w:p w14:paraId="60C3A2EC" w14:textId="77777777" w:rsidR="00DB6E47" w:rsidRPr="007E1F9A" w:rsidRDefault="00DB6E47" w:rsidP="00DB6E47">
      <w:pPr>
        <w:pStyle w:val="AH5Sec"/>
      </w:pPr>
      <w:bookmarkStart w:id="909" w:name="_Toc83626253"/>
      <w:r w:rsidRPr="005E03F7">
        <w:rPr>
          <w:rStyle w:val="CharSectNo"/>
        </w:rPr>
        <w:t>725</w:t>
      </w:r>
      <w:r w:rsidRPr="007E1F9A">
        <w:tab/>
      </w:r>
      <w:r w:rsidRPr="007E1F9A">
        <w:rPr>
          <w:rFonts w:ascii="Helvetica" w:hAnsi="Helvetica" w:cs="Helvetica"/>
          <w:iCs/>
        </w:rPr>
        <w:t>Documents produced by an approved electronic recording system</w:t>
      </w:r>
      <w:bookmarkEnd w:id="909"/>
    </w:p>
    <w:p w14:paraId="4C4E2C2C" w14:textId="77777777" w:rsidR="00DB6E47" w:rsidRPr="002F157F" w:rsidRDefault="00DB6E47" w:rsidP="003F6617">
      <w:pPr>
        <w:pStyle w:val="Amain"/>
        <w:keepNext/>
      </w:pPr>
      <w:r w:rsidRPr="002F157F">
        <w:tab/>
        <w:t>(1)</w:t>
      </w:r>
      <w:r w:rsidRPr="002F157F">
        <w:tab/>
        <w:t>This section applies to an approved electronic recording system constituting an electronic work diary or of which an electronic work diary is a part.</w:t>
      </w:r>
    </w:p>
    <w:p w14:paraId="6E017829" w14:textId="77777777" w:rsidR="00DB6E47" w:rsidRPr="002F157F" w:rsidRDefault="00DB6E47" w:rsidP="00D940BC">
      <w:pPr>
        <w:pStyle w:val="Amain"/>
        <w:keepNext/>
      </w:pPr>
      <w:r w:rsidRPr="002F157F">
        <w:tab/>
        <w:t>(2)</w:t>
      </w:r>
      <w:r w:rsidRPr="002F157F">
        <w:tab/>
        <w:t>A document purporting to be made by the approved electronic recording system—</w:t>
      </w:r>
    </w:p>
    <w:p w14:paraId="496BB77A" w14:textId="77777777" w:rsidR="007B0E34" w:rsidRPr="00DE283E" w:rsidRDefault="007B0E34" w:rsidP="00D940BC">
      <w:pPr>
        <w:pStyle w:val="Apara"/>
        <w:keepNext/>
      </w:pPr>
      <w:r w:rsidRPr="00DE283E">
        <w:tab/>
        <w:t>(a)</w:t>
      </w:r>
      <w:r w:rsidRPr="00DE283E">
        <w:tab/>
        <w:t>is presumed, unless the contrary is proved—</w:t>
      </w:r>
    </w:p>
    <w:p w14:paraId="446AA374" w14:textId="77777777" w:rsidR="007B0E34" w:rsidRPr="00DE283E" w:rsidRDefault="007B0E34" w:rsidP="007B0E34">
      <w:pPr>
        <w:pStyle w:val="Asubpara"/>
      </w:pPr>
      <w:r w:rsidRPr="00DE283E">
        <w:tab/>
        <w:t>(i)</w:t>
      </w:r>
      <w:r w:rsidRPr="00DE283E">
        <w:tab/>
        <w:t>to have been properly made by the system; and</w:t>
      </w:r>
    </w:p>
    <w:p w14:paraId="4A0D74B4" w14:textId="77777777" w:rsidR="007B0E34" w:rsidRPr="00DE283E" w:rsidRDefault="007B0E34" w:rsidP="007B0E34">
      <w:pPr>
        <w:pStyle w:val="Asubpara"/>
      </w:pPr>
      <w:r w:rsidRPr="00DE283E">
        <w:tab/>
        <w:t>(ii)</w:t>
      </w:r>
      <w:r w:rsidRPr="00DE283E">
        <w:tab/>
        <w:t>to be a correct representation of the information generated, recorded, stored, displayed, analysed, transmitted and reported by the system; and</w:t>
      </w:r>
    </w:p>
    <w:p w14:paraId="0142F5E3" w14:textId="77777777" w:rsidR="00DB6E47" w:rsidRPr="00544ED5" w:rsidRDefault="007B0E34" w:rsidP="00DB6E47">
      <w:pPr>
        <w:pStyle w:val="Apara"/>
      </w:pPr>
      <w:r>
        <w:tab/>
        <w:t>(b</w:t>
      </w:r>
      <w:r w:rsidR="00DB6E47" w:rsidRPr="00544ED5">
        <w:t>)</w:t>
      </w:r>
      <w:r w:rsidR="00DB6E47" w:rsidRPr="00544ED5">
        <w:tab/>
        <w:t>is admissible in a proceeding under this Law relating to a fatigue-regulated heavy vehicle; and</w:t>
      </w:r>
    </w:p>
    <w:p w14:paraId="00DFA670" w14:textId="77777777" w:rsidR="00DB6E47" w:rsidRPr="00544ED5" w:rsidRDefault="007B0E34" w:rsidP="00DB6E47">
      <w:pPr>
        <w:pStyle w:val="Apara"/>
      </w:pPr>
      <w:r>
        <w:tab/>
        <w:t>(c</w:t>
      </w:r>
      <w:r w:rsidR="00DB6E47" w:rsidRPr="00544ED5">
        <w:t>)</w:t>
      </w:r>
      <w:r w:rsidR="00DB6E47" w:rsidRPr="00544ED5">
        <w:tab/>
        <w:t>is evidence of the matters stated in it.</w:t>
      </w:r>
    </w:p>
    <w:p w14:paraId="1F00C72B" w14:textId="77777777" w:rsidR="00DB6E47" w:rsidRPr="007E1F9A" w:rsidRDefault="00DB6E47" w:rsidP="00DB6E47">
      <w:pPr>
        <w:pStyle w:val="AH5Sec"/>
      </w:pPr>
      <w:bookmarkStart w:id="910" w:name="_Toc83626254"/>
      <w:r w:rsidRPr="005E03F7">
        <w:rPr>
          <w:rStyle w:val="CharSectNo"/>
        </w:rPr>
        <w:t>726</w:t>
      </w:r>
      <w:r w:rsidRPr="007E1F9A">
        <w:tab/>
      </w:r>
      <w:r w:rsidRPr="007E1F9A">
        <w:rPr>
          <w:rFonts w:ascii="Helvetica" w:hAnsi="Helvetica" w:cs="Helvetica"/>
          <w:iCs/>
        </w:rPr>
        <w:t>Statement by person involved with use or maintenance of approved electronic recording system</w:t>
      </w:r>
      <w:bookmarkEnd w:id="910"/>
    </w:p>
    <w:p w14:paraId="7BE58F99" w14:textId="77777777" w:rsidR="00DB6E47" w:rsidRPr="002F157F" w:rsidRDefault="00DB6E47" w:rsidP="00DB6E47">
      <w:pPr>
        <w:pStyle w:val="Amain"/>
      </w:pPr>
      <w:r w:rsidRPr="002F157F">
        <w:tab/>
        <w:t>(1)</w:t>
      </w:r>
      <w:r w:rsidRPr="002F157F">
        <w:tab/>
        <w:t>This section applies to an approved electronic recording system constituting an electronic work diary or of which an electronic work diary is a part.</w:t>
      </w:r>
    </w:p>
    <w:p w14:paraId="30C2E35F" w14:textId="77777777" w:rsidR="00DB6E47" w:rsidRPr="002F157F" w:rsidRDefault="00DB6E47" w:rsidP="00DB6E47">
      <w:pPr>
        <w:pStyle w:val="Amain"/>
      </w:pPr>
      <w:r w:rsidRPr="002F157F">
        <w:tab/>
        <w:t>(2)</w:t>
      </w:r>
      <w:r w:rsidRPr="002F157F">
        <w:tab/>
        <w:t>A written statement about how the approved electronic recording system has been used or maintained, and purporting to be made by the person purporting to be involved in the use or maintenance—</w:t>
      </w:r>
    </w:p>
    <w:p w14:paraId="3F997C44" w14:textId="77777777" w:rsidR="00DB6E47" w:rsidRPr="00544ED5" w:rsidRDefault="00DB6E47" w:rsidP="00DB6E47">
      <w:pPr>
        <w:pStyle w:val="Apara"/>
      </w:pPr>
      <w:r w:rsidRPr="00544ED5">
        <w:tab/>
        <w:t>(a)</w:t>
      </w:r>
      <w:r w:rsidRPr="00544ED5">
        <w:tab/>
        <w:t>is admissible in a proceeding under this Law relating to a fatigue-regulated heavy vehicle; and</w:t>
      </w:r>
    </w:p>
    <w:p w14:paraId="7E4124DA" w14:textId="77777777" w:rsidR="00DB6E47" w:rsidRPr="00544ED5" w:rsidRDefault="00DB6E47" w:rsidP="003F6617">
      <w:pPr>
        <w:pStyle w:val="Apara"/>
        <w:keepNext/>
      </w:pPr>
      <w:r w:rsidRPr="00544ED5">
        <w:lastRenderedPageBreak/>
        <w:tab/>
        <w:t>(b)</w:t>
      </w:r>
      <w:r w:rsidRPr="00544ED5">
        <w:tab/>
        <w:t>is evidence of the matters included in the statement.</w:t>
      </w:r>
    </w:p>
    <w:p w14:paraId="242FAB78" w14:textId="77777777" w:rsidR="00DB6E47" w:rsidRPr="00C96203" w:rsidRDefault="00DB6E47" w:rsidP="003F6617">
      <w:pPr>
        <w:pStyle w:val="aExamHdgss"/>
      </w:pPr>
      <w:r w:rsidRPr="00C96203">
        <w:rPr>
          <w:rFonts w:cs="Times"/>
          <w:bCs/>
          <w:iCs/>
        </w:rPr>
        <w:t>Examples of statements—</w:t>
      </w:r>
    </w:p>
    <w:p w14:paraId="53D1E034" w14:textId="77777777" w:rsidR="00DB6E47" w:rsidRPr="00C96203" w:rsidRDefault="00DB6E47" w:rsidP="003F6617">
      <w:pPr>
        <w:pStyle w:val="aExamBulletss"/>
        <w:keepNext/>
      </w:pPr>
      <w:r w:rsidRPr="00C96203">
        <w:t xml:space="preserve">• </w:t>
      </w:r>
      <w:r w:rsidRPr="00C96203">
        <w:tab/>
        <w:t>a statement made by the driver of a fatigue-regulated heavy vehicle who uses an electronic work diary about how the driver operated the work diary</w:t>
      </w:r>
    </w:p>
    <w:p w14:paraId="3592FAEA" w14:textId="77777777" w:rsidR="00DB6E47" w:rsidRPr="00C96203" w:rsidRDefault="00DB6E47" w:rsidP="00DB6E47">
      <w:pPr>
        <w:pStyle w:val="aExamBulletss"/>
      </w:pPr>
      <w:r w:rsidRPr="00C96203">
        <w:t xml:space="preserve">• </w:t>
      </w:r>
      <w:r w:rsidRPr="00C96203">
        <w:tab/>
        <w:t>a statement made by an owner of an approved electronic recording system about how the owner has maintained the system</w:t>
      </w:r>
    </w:p>
    <w:p w14:paraId="62B0BC8C" w14:textId="77777777" w:rsidR="00DB6E47" w:rsidRPr="00C96203" w:rsidRDefault="00DB6E47" w:rsidP="00DB6E47">
      <w:pPr>
        <w:pStyle w:val="aExamBulletss"/>
      </w:pPr>
      <w:r w:rsidRPr="00C96203">
        <w:t xml:space="preserve">• </w:t>
      </w:r>
      <w:r w:rsidRPr="00C96203">
        <w:tab/>
        <w:t>a statement made by the record keeper (within the meaning given by section</w:t>
      </w:r>
      <w:r w:rsidR="00EA2CFC">
        <w:t> </w:t>
      </w:r>
      <w:r w:rsidRPr="00C96203">
        <w:t>317) of the driver of a fatigue-regulated heavy vehicle who uses an electronic work diary about how information was transmitted from the electronic work diary to the record keeper</w:t>
      </w:r>
    </w:p>
    <w:p w14:paraId="313E2306" w14:textId="77777777" w:rsidR="00A87BFB" w:rsidRPr="00A87BFB" w:rsidRDefault="00A87BFB" w:rsidP="00A87BFB">
      <w:pPr>
        <w:pStyle w:val="AH5Sec"/>
        <w:rPr>
          <w:lang w:val="en" w:eastAsia="en-AU"/>
        </w:rPr>
      </w:pPr>
      <w:bookmarkStart w:id="911" w:name="_Toc83626255"/>
      <w:r w:rsidRPr="005E03F7">
        <w:rPr>
          <w:rStyle w:val="CharSectNo"/>
        </w:rPr>
        <w:t>726A</w:t>
      </w:r>
      <w:r>
        <w:rPr>
          <w:lang w:val="en" w:eastAsia="en-AU"/>
        </w:rPr>
        <w:tab/>
      </w:r>
      <w:r w:rsidRPr="00A87BFB">
        <w:rPr>
          <w:lang w:val="en" w:eastAsia="en-AU"/>
        </w:rPr>
        <w:t>Evidence of offence</w:t>
      </w:r>
      <w:bookmarkEnd w:id="911"/>
    </w:p>
    <w:p w14:paraId="37D260B1" w14:textId="77777777" w:rsidR="00A87BFB" w:rsidRPr="00A87BFB" w:rsidRDefault="00A87BFB" w:rsidP="00A87BFB">
      <w:pPr>
        <w:pStyle w:val="Amain"/>
        <w:rPr>
          <w:lang w:val="en" w:eastAsia="en-AU"/>
        </w:rPr>
      </w:pPr>
      <w:r>
        <w:rPr>
          <w:lang w:val="en" w:eastAsia="en-AU"/>
        </w:rPr>
        <w:tab/>
      </w:r>
      <w:r w:rsidRPr="00A87BFB">
        <w:rPr>
          <w:lang w:val="en" w:eastAsia="en-AU"/>
        </w:rPr>
        <w:t>(1)</w:t>
      </w:r>
      <w:r>
        <w:rPr>
          <w:lang w:val="en" w:eastAsia="en-AU"/>
        </w:rPr>
        <w:tab/>
      </w:r>
      <w:r w:rsidRPr="00A87BFB">
        <w:rPr>
          <w:lang w:val="en" w:eastAsia="en-AU"/>
        </w:rPr>
        <w:t>In a proceeding for an offence against this Law—</w:t>
      </w:r>
    </w:p>
    <w:p w14:paraId="1CD43308" w14:textId="77777777" w:rsidR="00A87BFB" w:rsidRPr="00A87BFB" w:rsidRDefault="00A87BFB" w:rsidP="00A87BFB">
      <w:pPr>
        <w:pStyle w:val="Apara"/>
        <w:rPr>
          <w:lang w:val="en" w:eastAsia="en-AU"/>
        </w:rPr>
      </w:pPr>
      <w:r>
        <w:rPr>
          <w:lang w:val="en" w:eastAsia="en-AU"/>
        </w:rPr>
        <w:tab/>
      </w:r>
      <w:r w:rsidRPr="00A87BFB">
        <w:rPr>
          <w:lang w:val="en" w:eastAsia="en-AU"/>
        </w:rPr>
        <w:t>(a)</w:t>
      </w:r>
      <w:r>
        <w:rPr>
          <w:lang w:val="en" w:eastAsia="en-AU"/>
        </w:rPr>
        <w:tab/>
      </w:r>
      <w:r w:rsidRPr="00A87BFB">
        <w:rPr>
          <w:lang w:val="en" w:eastAsia="en-AU"/>
        </w:rPr>
        <w:t>evidence of a court convicting a person of a heavy vehicle offence is evidence that the heavy vehicle offence happened at the time and place, and in the circumstances, stated in the complaint for the heavy vehicle offence; and</w:t>
      </w:r>
    </w:p>
    <w:p w14:paraId="13B66D63" w14:textId="77777777" w:rsidR="00A87BFB" w:rsidRPr="00A87BFB" w:rsidRDefault="00A87BFB" w:rsidP="00A87BFB">
      <w:pPr>
        <w:pStyle w:val="Apara"/>
        <w:rPr>
          <w:lang w:val="en" w:eastAsia="en-AU"/>
        </w:rPr>
      </w:pPr>
      <w:r>
        <w:rPr>
          <w:lang w:val="en" w:eastAsia="en-AU"/>
        </w:rPr>
        <w:tab/>
      </w:r>
      <w:r w:rsidRPr="00A87BFB">
        <w:rPr>
          <w:lang w:val="en" w:eastAsia="en-AU"/>
        </w:rPr>
        <w:t>(b)</w:t>
      </w:r>
      <w:r>
        <w:rPr>
          <w:lang w:val="en" w:eastAsia="en-AU"/>
        </w:rPr>
        <w:tab/>
      </w:r>
      <w:r w:rsidRPr="00A87BFB">
        <w:rPr>
          <w:lang w:val="en" w:eastAsia="en-AU"/>
        </w:rPr>
        <w:t>evidence of details stated in an infringement notice issued for a heavy vehicle offence is evidence that the heavy vehicle offence happened at the time and place, and in the circumstances, stated in the infringement notice.</w:t>
      </w:r>
    </w:p>
    <w:p w14:paraId="588F1A46" w14:textId="77777777" w:rsidR="00A87BFB" w:rsidRPr="00A87BFB" w:rsidRDefault="00A87BFB" w:rsidP="00A87BFB">
      <w:pPr>
        <w:pStyle w:val="Amain"/>
        <w:rPr>
          <w:lang w:val="en" w:eastAsia="en-AU"/>
        </w:rPr>
      </w:pPr>
      <w:r>
        <w:rPr>
          <w:lang w:val="en" w:eastAsia="en-AU"/>
        </w:rPr>
        <w:tab/>
      </w:r>
      <w:r w:rsidRPr="00A87BFB">
        <w:rPr>
          <w:lang w:val="en" w:eastAsia="en-AU"/>
        </w:rPr>
        <w:t>(2)</w:t>
      </w:r>
      <w:r>
        <w:rPr>
          <w:lang w:val="en" w:eastAsia="en-AU"/>
        </w:rPr>
        <w:tab/>
      </w:r>
      <w:r w:rsidRPr="00A87BFB">
        <w:rPr>
          <w:lang w:val="en" w:eastAsia="en-AU"/>
        </w:rPr>
        <w:t>In this section—</w:t>
      </w:r>
    </w:p>
    <w:p w14:paraId="04EFC8D3" w14:textId="77777777" w:rsidR="00A87BFB" w:rsidRPr="00A87BFB" w:rsidRDefault="00A87BFB" w:rsidP="00A87BFB">
      <w:pPr>
        <w:pStyle w:val="aDef"/>
        <w:rPr>
          <w:lang w:val="en" w:eastAsia="en-AU"/>
        </w:rPr>
      </w:pPr>
      <w:r w:rsidRPr="00A87BFB">
        <w:rPr>
          <w:rStyle w:val="charBoldItals"/>
        </w:rPr>
        <w:t>heavy vehicle offence</w:t>
      </w:r>
      <w:r w:rsidRPr="00A87BFB">
        <w:rPr>
          <w:lang w:val="en" w:eastAsia="en-AU"/>
        </w:rPr>
        <w:t xml:space="preserve"> means—</w:t>
      </w:r>
    </w:p>
    <w:p w14:paraId="7DF7EE83" w14:textId="77777777" w:rsidR="00A87BFB" w:rsidRPr="00A87BFB" w:rsidRDefault="00A87BFB" w:rsidP="00A87BFB">
      <w:pPr>
        <w:pStyle w:val="aDefpara"/>
        <w:rPr>
          <w:lang w:val="en" w:eastAsia="en-AU"/>
        </w:rPr>
      </w:pPr>
      <w:r>
        <w:rPr>
          <w:lang w:val="en" w:eastAsia="en-AU"/>
        </w:rPr>
        <w:tab/>
      </w:r>
      <w:r w:rsidRPr="00A87BFB">
        <w:rPr>
          <w:lang w:val="en" w:eastAsia="en-AU"/>
        </w:rPr>
        <w:t>(a)</w:t>
      </w:r>
      <w:r>
        <w:rPr>
          <w:lang w:val="en" w:eastAsia="en-AU"/>
        </w:rPr>
        <w:tab/>
      </w:r>
      <w:r w:rsidRPr="00A87BFB">
        <w:rPr>
          <w:lang w:val="en" w:eastAsia="en-AU"/>
        </w:rPr>
        <w:t>an offence against this Law; or</w:t>
      </w:r>
    </w:p>
    <w:p w14:paraId="2B8609B5" w14:textId="77777777" w:rsidR="00A87BFB" w:rsidRPr="00A87BFB" w:rsidRDefault="00A87BFB" w:rsidP="00A87BFB">
      <w:pPr>
        <w:pStyle w:val="aDefpara"/>
        <w:rPr>
          <w:lang w:val="en" w:eastAsia="en-AU"/>
        </w:rPr>
      </w:pPr>
      <w:r>
        <w:rPr>
          <w:lang w:val="en" w:eastAsia="en-AU"/>
        </w:rPr>
        <w:tab/>
      </w:r>
      <w:r w:rsidRPr="00A87BFB">
        <w:rPr>
          <w:lang w:val="en" w:eastAsia="en-AU"/>
        </w:rPr>
        <w:t>(b)</w:t>
      </w:r>
      <w:r>
        <w:rPr>
          <w:lang w:val="en" w:eastAsia="en-AU"/>
        </w:rPr>
        <w:tab/>
      </w:r>
      <w:r w:rsidRPr="00A87BFB">
        <w:rPr>
          <w:lang w:val="en" w:eastAsia="en-AU"/>
        </w:rPr>
        <w:t>an offence by the driver of a heavy vehicle of exceeding a speed limit applying to the driver.</w:t>
      </w:r>
    </w:p>
    <w:p w14:paraId="502F30CE" w14:textId="77777777" w:rsidR="00A85766" w:rsidRPr="00A85766" w:rsidRDefault="00A85766" w:rsidP="00A85766">
      <w:pPr>
        <w:pStyle w:val="AH5Sec"/>
        <w:rPr>
          <w:lang w:val="en" w:eastAsia="en-AU"/>
        </w:rPr>
      </w:pPr>
      <w:bookmarkStart w:id="912" w:name="_Toc83626256"/>
      <w:r w:rsidRPr="005E03F7">
        <w:rPr>
          <w:rStyle w:val="CharSectNo"/>
        </w:rPr>
        <w:t>726B</w:t>
      </w:r>
      <w:r>
        <w:rPr>
          <w:lang w:val="en" w:eastAsia="en-AU"/>
        </w:rPr>
        <w:tab/>
      </w:r>
      <w:r w:rsidRPr="00A85766">
        <w:rPr>
          <w:lang w:val="en" w:eastAsia="en-AU"/>
        </w:rPr>
        <w:t>Evidence obtained by police using other powers</w:t>
      </w:r>
      <w:bookmarkEnd w:id="912"/>
    </w:p>
    <w:p w14:paraId="3D7036B0" w14:textId="77777777" w:rsidR="00A85766" w:rsidRPr="00A85766" w:rsidRDefault="00A85766" w:rsidP="00A85766">
      <w:pPr>
        <w:pStyle w:val="Amainreturn"/>
        <w:rPr>
          <w:lang w:val="en" w:eastAsia="en-AU"/>
        </w:rPr>
      </w:pPr>
      <w:r w:rsidRPr="00A85766">
        <w:rPr>
          <w:lang w:val="en" w:eastAsia="en-AU"/>
        </w:rPr>
        <w:t>To remove any doubt, it is declared that evidence lawfully obtained by a police officer using powers other than the powers under this Law is not inadmissible in proceedings for a contravention of this Law only because the evidence was obtained using the other powers.</w:t>
      </w:r>
    </w:p>
    <w:p w14:paraId="14EECE57" w14:textId="77777777" w:rsidR="00A85766" w:rsidRPr="00A85766" w:rsidRDefault="00A85766" w:rsidP="00A85766">
      <w:pPr>
        <w:pStyle w:val="AH5Sec"/>
        <w:rPr>
          <w:lang w:val="en" w:eastAsia="en-AU"/>
        </w:rPr>
      </w:pPr>
      <w:bookmarkStart w:id="913" w:name="_Toc83626257"/>
      <w:r w:rsidRPr="005E03F7">
        <w:rPr>
          <w:rStyle w:val="CharSectNo"/>
        </w:rPr>
        <w:lastRenderedPageBreak/>
        <w:t>726C</w:t>
      </w:r>
      <w:r>
        <w:rPr>
          <w:lang w:val="en" w:eastAsia="en-AU"/>
        </w:rPr>
        <w:tab/>
      </w:r>
      <w:r w:rsidRPr="00A85766">
        <w:rPr>
          <w:lang w:val="en" w:eastAsia="en-AU"/>
        </w:rPr>
        <w:t>Evidence obtained in another jurisdiction</w:t>
      </w:r>
      <w:bookmarkEnd w:id="913"/>
    </w:p>
    <w:p w14:paraId="286E8F43" w14:textId="77777777" w:rsidR="00A85766" w:rsidRPr="00A85766" w:rsidRDefault="00A85766" w:rsidP="00A85766">
      <w:pPr>
        <w:pStyle w:val="Amainreturn"/>
        <w:rPr>
          <w:lang w:val="en" w:eastAsia="en-AU"/>
        </w:rPr>
      </w:pPr>
      <w:r w:rsidRPr="00A85766">
        <w:rPr>
          <w:lang w:val="en" w:eastAsia="en-AU"/>
        </w:rPr>
        <w:t xml:space="preserve">To remove any doubt, it is declared that evidence lawfully obtained in a jurisdiction (the </w:t>
      </w:r>
      <w:r w:rsidRPr="00A85766">
        <w:rPr>
          <w:b/>
          <w:bCs/>
          <w:i/>
          <w:iCs/>
          <w:lang w:val="en" w:eastAsia="en-AU"/>
        </w:rPr>
        <w:t>first jurisdiction</w:t>
      </w:r>
      <w:r w:rsidRPr="00A85766">
        <w:rPr>
          <w:lang w:val="en" w:eastAsia="en-AU"/>
        </w:rPr>
        <w:t>) is not inadmissible in proceedings for a contravention of this Law in another jurisdiction only because the evidence was obtained in the first jurisdiction.</w:t>
      </w:r>
    </w:p>
    <w:p w14:paraId="347AC4E6" w14:textId="77777777" w:rsidR="00A85766" w:rsidRPr="005E03F7" w:rsidRDefault="00A85766" w:rsidP="00C2465C">
      <w:pPr>
        <w:pStyle w:val="AH3Div"/>
      </w:pPr>
      <w:bookmarkStart w:id="914" w:name="_Toc83626258"/>
      <w:r w:rsidRPr="005E03F7">
        <w:rPr>
          <w:rStyle w:val="CharDivNo"/>
        </w:rPr>
        <w:t>Division 3</w:t>
      </w:r>
      <w:r w:rsidR="00C2465C">
        <w:rPr>
          <w:lang w:val="en" w:eastAsia="en-AU"/>
        </w:rPr>
        <w:tab/>
      </w:r>
      <w:r w:rsidRPr="005E03F7">
        <w:rPr>
          <w:rStyle w:val="CharDivText"/>
          <w:lang w:val="en" w:eastAsia="en-AU"/>
        </w:rPr>
        <w:t>Publication of court outcomes</w:t>
      </w:r>
      <w:bookmarkEnd w:id="914"/>
    </w:p>
    <w:p w14:paraId="64E070F0" w14:textId="77777777" w:rsidR="00A85766" w:rsidRPr="00A85766" w:rsidRDefault="00C2465C" w:rsidP="00C2465C">
      <w:pPr>
        <w:pStyle w:val="AH5Sec"/>
        <w:rPr>
          <w:lang w:val="en" w:eastAsia="en-AU"/>
        </w:rPr>
      </w:pPr>
      <w:bookmarkStart w:id="915" w:name="_Toc83626259"/>
      <w:r w:rsidRPr="005E03F7">
        <w:rPr>
          <w:rStyle w:val="CharSectNo"/>
        </w:rPr>
        <w:t>726D</w:t>
      </w:r>
      <w:r>
        <w:tab/>
      </w:r>
      <w:r w:rsidR="00A85766" w:rsidRPr="00A85766">
        <w:rPr>
          <w:lang w:val="en" w:eastAsia="en-AU"/>
        </w:rPr>
        <w:t>Regulator may publish convictions, penalties, orders, etc.</w:t>
      </w:r>
      <w:bookmarkEnd w:id="915"/>
    </w:p>
    <w:p w14:paraId="115988AC" w14:textId="77777777" w:rsidR="00A85766" w:rsidRPr="00A85766" w:rsidRDefault="00C2465C" w:rsidP="00C2465C">
      <w:pPr>
        <w:pStyle w:val="Amain"/>
        <w:rPr>
          <w:lang w:val="en" w:eastAsia="en-AU"/>
        </w:rPr>
      </w:pPr>
      <w:r>
        <w:rPr>
          <w:lang w:val="en" w:eastAsia="en-AU"/>
        </w:rPr>
        <w:tab/>
      </w:r>
      <w:r w:rsidR="00A85766" w:rsidRPr="00A85766">
        <w:rPr>
          <w:lang w:val="en" w:eastAsia="en-AU"/>
        </w:rPr>
        <w:t>(1)</w:t>
      </w:r>
      <w:r>
        <w:rPr>
          <w:lang w:val="en" w:eastAsia="en-AU"/>
        </w:rPr>
        <w:tab/>
      </w:r>
      <w:r w:rsidR="00A85766" w:rsidRPr="00A85766">
        <w:rPr>
          <w:lang w:val="en" w:eastAsia="en-AU"/>
        </w:rPr>
        <w:t>This section applies if a court convicts a person of an offence against this Law.</w:t>
      </w:r>
    </w:p>
    <w:p w14:paraId="32DCEE06" w14:textId="77777777" w:rsidR="00A85766" w:rsidRPr="00A85766" w:rsidRDefault="00A85766" w:rsidP="00C2465C">
      <w:pPr>
        <w:pStyle w:val="aNote"/>
        <w:rPr>
          <w:lang w:val="en" w:eastAsia="en-AU"/>
        </w:rPr>
      </w:pPr>
      <w:r w:rsidRPr="00C2465C">
        <w:rPr>
          <w:rStyle w:val="charItals"/>
        </w:rPr>
        <w:t>Note</w:t>
      </w:r>
      <w:r w:rsidRPr="00A85766">
        <w:rPr>
          <w:lang w:val="en" w:eastAsia="en-AU"/>
        </w:rPr>
        <w:t>—</w:t>
      </w:r>
    </w:p>
    <w:p w14:paraId="60A43737" w14:textId="77777777" w:rsidR="00A85766" w:rsidRPr="00A85766" w:rsidRDefault="00A85766" w:rsidP="00C2465C">
      <w:pPr>
        <w:pStyle w:val="aNoteTextss"/>
        <w:rPr>
          <w:lang w:val="en" w:eastAsia="en-AU"/>
        </w:rPr>
      </w:pPr>
      <w:r w:rsidRPr="00A85766">
        <w:rPr>
          <w:lang w:val="en" w:eastAsia="en-AU"/>
        </w:rPr>
        <w:t xml:space="preserve">Under section 9, a court </w:t>
      </w:r>
      <w:r w:rsidRPr="00A85766">
        <w:rPr>
          <w:i/>
          <w:iCs/>
          <w:lang w:val="en" w:eastAsia="en-AU"/>
        </w:rPr>
        <w:t>convicts</w:t>
      </w:r>
      <w:r w:rsidRPr="00A85766">
        <w:rPr>
          <w:lang w:val="en" w:eastAsia="en-AU"/>
        </w:rPr>
        <w:t xml:space="preserve"> a person of an offence if the court finds the person guilty, or accepts the person’s plea of guilty, for the offence whether or not a conviction is recorded.</w:t>
      </w:r>
    </w:p>
    <w:p w14:paraId="16E72D6C" w14:textId="77777777" w:rsidR="00A85766" w:rsidRPr="00A85766" w:rsidRDefault="00C2465C" w:rsidP="00C2465C">
      <w:pPr>
        <w:pStyle w:val="Amain"/>
        <w:rPr>
          <w:lang w:val="en" w:eastAsia="en-AU"/>
        </w:rPr>
      </w:pPr>
      <w:r>
        <w:rPr>
          <w:lang w:val="en" w:eastAsia="en-AU"/>
        </w:rPr>
        <w:tab/>
      </w:r>
      <w:r w:rsidR="00A85766" w:rsidRPr="00A85766">
        <w:rPr>
          <w:lang w:val="en" w:eastAsia="en-AU"/>
        </w:rPr>
        <w:t>(2)</w:t>
      </w:r>
      <w:r>
        <w:rPr>
          <w:lang w:val="en" w:eastAsia="en-AU"/>
        </w:rPr>
        <w:tab/>
      </w:r>
      <w:r w:rsidR="00A85766" w:rsidRPr="00A85766">
        <w:rPr>
          <w:lang w:val="en" w:eastAsia="en-AU"/>
        </w:rPr>
        <w:t>The Regulator may publish the following information about the conviction on the Regulator’s website—</w:t>
      </w:r>
    </w:p>
    <w:p w14:paraId="3DC6460D" w14:textId="77777777" w:rsidR="00A85766" w:rsidRPr="00A85766" w:rsidRDefault="00C2465C" w:rsidP="00C2465C">
      <w:pPr>
        <w:pStyle w:val="Apara"/>
        <w:rPr>
          <w:lang w:val="en" w:eastAsia="en-AU"/>
        </w:rPr>
      </w:pPr>
      <w:r>
        <w:rPr>
          <w:lang w:val="en" w:eastAsia="en-AU"/>
        </w:rPr>
        <w:tab/>
      </w:r>
      <w:r w:rsidR="00A85766" w:rsidRPr="00A85766">
        <w:rPr>
          <w:lang w:val="en" w:eastAsia="en-AU"/>
        </w:rPr>
        <w:t>(a)</w:t>
      </w:r>
      <w:r>
        <w:rPr>
          <w:lang w:val="en" w:eastAsia="en-AU"/>
        </w:rPr>
        <w:tab/>
      </w:r>
      <w:r w:rsidR="00A85766" w:rsidRPr="00A85766">
        <w:rPr>
          <w:lang w:val="en" w:eastAsia="en-AU"/>
        </w:rPr>
        <w:t>the offence for which the person was convicted;</w:t>
      </w:r>
    </w:p>
    <w:p w14:paraId="7A7A34F0" w14:textId="77777777" w:rsidR="00A85766" w:rsidRPr="00A85766" w:rsidRDefault="00C2465C" w:rsidP="00C2465C">
      <w:pPr>
        <w:pStyle w:val="Apara"/>
        <w:rPr>
          <w:lang w:val="en" w:eastAsia="en-AU"/>
        </w:rPr>
      </w:pPr>
      <w:r>
        <w:rPr>
          <w:lang w:val="en" w:eastAsia="en-AU"/>
        </w:rPr>
        <w:tab/>
      </w:r>
      <w:r w:rsidR="00A85766" w:rsidRPr="00A85766">
        <w:rPr>
          <w:lang w:val="en" w:eastAsia="en-AU"/>
        </w:rPr>
        <w:t>(b)</w:t>
      </w:r>
      <w:r>
        <w:rPr>
          <w:lang w:val="en" w:eastAsia="en-AU"/>
        </w:rPr>
        <w:tab/>
      </w:r>
      <w:r w:rsidR="00A85766" w:rsidRPr="00A85766">
        <w:rPr>
          <w:lang w:val="en" w:eastAsia="en-AU"/>
        </w:rPr>
        <w:t>if the court imposed a penalty for the conviction—the penalty imposed;</w:t>
      </w:r>
    </w:p>
    <w:p w14:paraId="3D4DE1AF" w14:textId="77777777" w:rsidR="00A85766" w:rsidRPr="00A85766" w:rsidRDefault="00C2465C" w:rsidP="00C2465C">
      <w:pPr>
        <w:pStyle w:val="Apara"/>
        <w:rPr>
          <w:lang w:val="en" w:eastAsia="en-AU"/>
        </w:rPr>
      </w:pPr>
      <w:r>
        <w:rPr>
          <w:lang w:val="en" w:eastAsia="en-AU"/>
        </w:rPr>
        <w:tab/>
      </w:r>
      <w:r w:rsidR="00A85766" w:rsidRPr="00A85766">
        <w:rPr>
          <w:lang w:val="en" w:eastAsia="en-AU"/>
        </w:rPr>
        <w:t>(c)</w:t>
      </w:r>
      <w:r>
        <w:rPr>
          <w:lang w:val="en" w:eastAsia="en-AU"/>
        </w:rPr>
        <w:tab/>
      </w:r>
      <w:r w:rsidR="00A85766" w:rsidRPr="00A85766">
        <w:rPr>
          <w:lang w:val="en" w:eastAsia="en-AU"/>
        </w:rPr>
        <w:t>if the court made an order against the person in relation to the conviction—information about the order made, other than information that could identify or lead to the identification of the person.</w:t>
      </w:r>
    </w:p>
    <w:p w14:paraId="6FD7D235" w14:textId="77777777" w:rsidR="00A85766" w:rsidRPr="00A85766" w:rsidRDefault="00A85766" w:rsidP="00C2465C">
      <w:pPr>
        <w:pStyle w:val="aNote"/>
        <w:rPr>
          <w:lang w:val="en" w:eastAsia="en-AU"/>
        </w:rPr>
      </w:pPr>
      <w:r w:rsidRPr="00C2465C">
        <w:rPr>
          <w:rStyle w:val="charItals"/>
        </w:rPr>
        <w:t>Note</w:t>
      </w:r>
      <w:r w:rsidRPr="00A85766">
        <w:rPr>
          <w:lang w:val="en" w:eastAsia="en-AU"/>
        </w:rPr>
        <w:t>—</w:t>
      </w:r>
    </w:p>
    <w:p w14:paraId="45A84113" w14:textId="77777777" w:rsidR="00A85766" w:rsidRPr="00A85766" w:rsidRDefault="00A85766" w:rsidP="00C2465C">
      <w:pPr>
        <w:pStyle w:val="aNoteTextss"/>
        <w:rPr>
          <w:lang w:val="en" w:eastAsia="en-AU"/>
        </w:rPr>
      </w:pPr>
      <w:r w:rsidRPr="00A85766">
        <w:rPr>
          <w:lang w:val="en" w:eastAsia="en-AU"/>
        </w:rPr>
        <w:t>Orders the court may make include commercial benefits penalty orders (see section 597), supervisory intervention orders (see section 600), prohibition orders (see section 607) and c</w:t>
      </w:r>
      <w:r w:rsidR="00F31260">
        <w:rPr>
          <w:lang w:val="en" w:eastAsia="en-AU"/>
        </w:rPr>
        <w:t>ompensation orders (see section </w:t>
      </w:r>
      <w:r w:rsidRPr="00A85766">
        <w:rPr>
          <w:lang w:val="en" w:eastAsia="en-AU"/>
        </w:rPr>
        <w:t>611).</w:t>
      </w:r>
    </w:p>
    <w:p w14:paraId="62D55FA0" w14:textId="77777777" w:rsidR="00DB6E47" w:rsidRPr="00DF5C50" w:rsidRDefault="00DB6E47" w:rsidP="00DB6E47">
      <w:pPr>
        <w:pStyle w:val="PageBreak"/>
      </w:pPr>
      <w:r w:rsidRPr="00DF5C50">
        <w:br w:type="page"/>
      </w:r>
    </w:p>
    <w:p w14:paraId="2EC26248" w14:textId="77777777" w:rsidR="00DB6E47" w:rsidRPr="005E03F7" w:rsidRDefault="00DB6E47" w:rsidP="00DB6E47">
      <w:pPr>
        <w:pStyle w:val="AH2Part"/>
      </w:pPr>
      <w:bookmarkStart w:id="916" w:name="_Toc83626260"/>
      <w:r w:rsidRPr="005E03F7">
        <w:rPr>
          <w:rStyle w:val="CharPartNo"/>
        </w:rPr>
        <w:lastRenderedPageBreak/>
        <w:t xml:space="preserve">Part 13.4 </w:t>
      </w:r>
      <w:r w:rsidRPr="00A95F9A">
        <w:rPr>
          <w:rFonts w:ascii="Helvetica" w:hAnsi="Helvetica" w:cs="Helvetica"/>
          <w:szCs w:val="32"/>
        </w:rPr>
        <w:tab/>
      </w:r>
      <w:r w:rsidRPr="005E03F7">
        <w:rPr>
          <w:rStyle w:val="CharPartText"/>
          <w:rFonts w:ascii="Helvetica" w:hAnsi="Helvetica" w:cs="Helvetica"/>
          <w:szCs w:val="32"/>
        </w:rPr>
        <w:t>Protected information</w:t>
      </w:r>
      <w:bookmarkEnd w:id="916"/>
    </w:p>
    <w:p w14:paraId="72411FDF" w14:textId="77777777" w:rsidR="003F6617" w:rsidRDefault="003F6617" w:rsidP="003F6617">
      <w:pPr>
        <w:pStyle w:val="Placeholder"/>
        <w:suppressLineNumbers/>
      </w:pPr>
      <w:r>
        <w:rPr>
          <w:rStyle w:val="CharDivNo"/>
          <w:rFonts w:eastAsiaTheme="minorEastAsia"/>
        </w:rPr>
        <w:t xml:space="preserve">  </w:t>
      </w:r>
      <w:r>
        <w:rPr>
          <w:rStyle w:val="CharDivText"/>
        </w:rPr>
        <w:t xml:space="preserve">  </w:t>
      </w:r>
    </w:p>
    <w:p w14:paraId="4770A54C" w14:textId="77777777" w:rsidR="00DB6E47" w:rsidRPr="007E1F9A" w:rsidRDefault="00DB6E47" w:rsidP="00DB6E47">
      <w:pPr>
        <w:pStyle w:val="AH5Sec"/>
      </w:pPr>
      <w:bookmarkStart w:id="917" w:name="_Toc83626261"/>
      <w:r w:rsidRPr="005E03F7">
        <w:rPr>
          <w:rStyle w:val="CharSectNo"/>
        </w:rPr>
        <w:t>727</w:t>
      </w:r>
      <w:r w:rsidRPr="007E1F9A">
        <w:tab/>
      </w:r>
      <w:r w:rsidRPr="007E1F9A">
        <w:rPr>
          <w:rFonts w:ascii="Helvetica" w:hAnsi="Helvetica" w:cs="Helvetica"/>
        </w:rPr>
        <w:t>Definitions for Pt 13.4</w:t>
      </w:r>
      <w:bookmarkEnd w:id="917"/>
    </w:p>
    <w:p w14:paraId="4782350B" w14:textId="77777777" w:rsidR="00DB6E47" w:rsidRPr="002F157F" w:rsidRDefault="00DB6E47" w:rsidP="00DB6E47">
      <w:pPr>
        <w:pStyle w:val="Amain"/>
      </w:pPr>
      <w:r w:rsidRPr="002F157F">
        <w:tab/>
        <w:t>(1)</w:t>
      </w:r>
      <w:r w:rsidRPr="002F157F">
        <w:tab/>
        <w:t>In this Part—</w:t>
      </w:r>
    </w:p>
    <w:p w14:paraId="6939B811" w14:textId="77777777" w:rsidR="00DB6E47" w:rsidRPr="00041046" w:rsidRDefault="00DB6E47" w:rsidP="00DB6E47">
      <w:pPr>
        <w:pStyle w:val="aDef"/>
        <w:rPr>
          <w:bCs/>
        </w:rPr>
      </w:pPr>
      <w:r w:rsidRPr="00041046">
        <w:rPr>
          <w:rStyle w:val="charBoldItals"/>
        </w:rPr>
        <w:t>authorised use</w:t>
      </w:r>
      <w:r w:rsidRPr="00041046">
        <w:t>, for protected information, means—</w:t>
      </w:r>
    </w:p>
    <w:p w14:paraId="6657528B" w14:textId="77777777" w:rsidR="00DB6E47" w:rsidRPr="00F04D8E" w:rsidRDefault="00DB6E47" w:rsidP="00DB6E47">
      <w:pPr>
        <w:pStyle w:val="aDefpara"/>
      </w:pPr>
      <w:r w:rsidRPr="00F04D8E">
        <w:rPr>
          <w:rFonts w:cs="Times"/>
          <w:bCs/>
        </w:rPr>
        <w:tab/>
        <w:t>(a)</w:t>
      </w:r>
      <w:r w:rsidRPr="00F04D8E">
        <w:rPr>
          <w:rFonts w:cs="Times"/>
          <w:bCs/>
        </w:rPr>
        <w:tab/>
        <w:t>use by a person—</w:t>
      </w:r>
    </w:p>
    <w:p w14:paraId="3F068DB1" w14:textId="77777777" w:rsidR="00DB6E47" w:rsidRPr="00F04D8E" w:rsidRDefault="00DB6E47" w:rsidP="00DB6E47">
      <w:pPr>
        <w:pStyle w:val="aDefsubpara"/>
      </w:pPr>
      <w:r>
        <w:tab/>
      </w:r>
      <w:r w:rsidRPr="00F04D8E">
        <w:t>(i)</w:t>
      </w:r>
      <w:r w:rsidRPr="00F04D8E">
        <w:tab/>
        <w:t>in the exercise of a function under this Law; or</w:t>
      </w:r>
    </w:p>
    <w:p w14:paraId="7976880E" w14:textId="77777777" w:rsidR="00DB6E47" w:rsidRPr="00F04D8E" w:rsidRDefault="00DB6E47" w:rsidP="00DB6E47">
      <w:pPr>
        <w:pStyle w:val="aDefsubpara"/>
      </w:pPr>
      <w:r>
        <w:tab/>
      </w:r>
      <w:r w:rsidRPr="00F04D8E">
        <w:t>(ii)</w:t>
      </w:r>
      <w:r w:rsidRPr="00F04D8E">
        <w:tab/>
        <w:t>where use of the information is required or authorised under this Law (whether explicitly or by implication); or</w:t>
      </w:r>
    </w:p>
    <w:p w14:paraId="534E693C" w14:textId="77777777" w:rsidR="00DB6E47" w:rsidRPr="00F04D8E" w:rsidRDefault="00DB6E47" w:rsidP="00DB6E47">
      <w:pPr>
        <w:pStyle w:val="aDefpara"/>
      </w:pPr>
      <w:r w:rsidRPr="00F04D8E">
        <w:tab/>
        <w:t>(b)</w:t>
      </w:r>
      <w:r w:rsidRPr="00F04D8E">
        <w:tab/>
        <w:t>use by a public authority or law enforcement agency—</w:t>
      </w:r>
    </w:p>
    <w:p w14:paraId="02280F39" w14:textId="77777777" w:rsidR="00DB6E47" w:rsidRPr="00F04D8E" w:rsidRDefault="00DB6E47" w:rsidP="00DB6E47">
      <w:pPr>
        <w:pStyle w:val="aDefsubpara"/>
      </w:pPr>
      <w:r w:rsidRPr="00F04D8E">
        <w:tab/>
        <w:t>(i)</w:t>
      </w:r>
      <w:r w:rsidRPr="00F04D8E">
        <w:tab/>
        <w:t>for the administration or enforcement of a law or the exercise of another function of the authority or agency, including, for example, investigating a contravention or suspected contravention of a law; or</w:t>
      </w:r>
    </w:p>
    <w:p w14:paraId="55DCAAD0" w14:textId="77777777" w:rsidR="00DB6E47" w:rsidRPr="00F04D8E" w:rsidRDefault="00DB6E47" w:rsidP="00DB6E47">
      <w:pPr>
        <w:pStyle w:val="aDefsubpara"/>
      </w:pPr>
      <w:r w:rsidRPr="00F04D8E">
        <w:tab/>
        <w:t>(ii)</w:t>
      </w:r>
      <w:r w:rsidRPr="00F04D8E">
        <w:tab/>
        <w:t>if a law authorises, requires or permits the disclosure of the information to, and the use of the information by, the authority or agency; or</w:t>
      </w:r>
    </w:p>
    <w:p w14:paraId="0D91D4BF" w14:textId="77777777" w:rsidR="00DB6E47" w:rsidRPr="00F04D8E" w:rsidRDefault="00DB6E47" w:rsidP="00DB6E47">
      <w:pPr>
        <w:pStyle w:val="aDefpara"/>
      </w:pPr>
      <w:r w:rsidRPr="00F04D8E">
        <w:tab/>
        <w:t>(c)</w:t>
      </w:r>
      <w:r w:rsidRPr="00F04D8E">
        <w:tab/>
        <w:t>use by a court or tribunal in a proceeding under an Australian road law; or</w:t>
      </w:r>
    </w:p>
    <w:p w14:paraId="2E9B4C13" w14:textId="77777777" w:rsidR="00DB6E47" w:rsidRPr="00F04D8E" w:rsidRDefault="00DB6E47" w:rsidP="00DB6E47">
      <w:pPr>
        <w:pStyle w:val="aDefpara"/>
      </w:pPr>
      <w:r w:rsidRPr="00F04D8E">
        <w:tab/>
        <w:t>(d)</w:t>
      </w:r>
      <w:r w:rsidRPr="00F04D8E">
        <w:tab/>
        <w:t>use by a court or tribunal if an order of the court or tribunal requires the disclosure of the information to the court or tribunal; or</w:t>
      </w:r>
    </w:p>
    <w:p w14:paraId="16C24095" w14:textId="77777777" w:rsidR="00DB6E47" w:rsidRPr="00F04D8E" w:rsidRDefault="00DB6E47" w:rsidP="00DB6E47">
      <w:pPr>
        <w:pStyle w:val="aDefpara"/>
      </w:pPr>
      <w:r w:rsidRPr="00F04D8E">
        <w:tab/>
        <w:t>(e)</w:t>
      </w:r>
      <w:r w:rsidRPr="00F04D8E">
        <w:tab/>
        <w:t>an activity associated with preventing or minimising—</w:t>
      </w:r>
    </w:p>
    <w:p w14:paraId="35345924" w14:textId="77777777" w:rsidR="00DB6E47" w:rsidRPr="00F04D8E" w:rsidRDefault="00DB6E47" w:rsidP="00DB6E47">
      <w:pPr>
        <w:pStyle w:val="aDefsubpara"/>
      </w:pPr>
      <w:r w:rsidRPr="00F04D8E">
        <w:tab/>
        <w:t>(i)</w:t>
      </w:r>
      <w:r w:rsidRPr="00F04D8E">
        <w:tab/>
        <w:t>a risk of danger to the life of a person; or</w:t>
      </w:r>
    </w:p>
    <w:p w14:paraId="344C78B8" w14:textId="77777777" w:rsidR="00DB6E47" w:rsidRPr="00F04D8E" w:rsidRDefault="00DB6E47" w:rsidP="00DB6E47">
      <w:pPr>
        <w:pStyle w:val="aDefsubpara"/>
      </w:pPr>
      <w:r w:rsidRPr="00F04D8E">
        <w:tab/>
        <w:t>(ii)</w:t>
      </w:r>
      <w:r w:rsidRPr="00F04D8E">
        <w:tab/>
        <w:t>a risk of serious harm to the health of a person; or</w:t>
      </w:r>
    </w:p>
    <w:p w14:paraId="74BFFEFC" w14:textId="77777777" w:rsidR="00DB6E47" w:rsidRPr="00F04D8E" w:rsidRDefault="00DB6E47" w:rsidP="00DB6E47">
      <w:pPr>
        <w:pStyle w:val="aDefsubpara"/>
      </w:pPr>
      <w:r w:rsidRPr="00F04D8E">
        <w:tab/>
        <w:t>(iii)</w:t>
      </w:r>
      <w:r w:rsidRPr="00F04D8E">
        <w:tab/>
        <w:t>a risk to public safety; or</w:t>
      </w:r>
    </w:p>
    <w:p w14:paraId="04A60914" w14:textId="77777777" w:rsidR="00DB6E47" w:rsidRPr="00F04D8E" w:rsidRDefault="00DB6E47" w:rsidP="00DB6E47">
      <w:pPr>
        <w:pStyle w:val="aDefpara"/>
      </w:pPr>
      <w:r w:rsidRPr="00F04D8E">
        <w:lastRenderedPageBreak/>
        <w:tab/>
        <w:t>(f)</w:t>
      </w:r>
      <w:r w:rsidRPr="00F04D8E">
        <w:tab/>
        <w:t>a use authorised by the person to whom the information relates; or</w:t>
      </w:r>
    </w:p>
    <w:p w14:paraId="70B6FDBC" w14:textId="77777777" w:rsidR="00DB6E47" w:rsidRPr="00F04D8E" w:rsidRDefault="00DB6E47" w:rsidP="00DB6E47">
      <w:pPr>
        <w:pStyle w:val="aDefpara"/>
      </w:pPr>
      <w:r w:rsidRPr="00F04D8E">
        <w:tab/>
        <w:t>(g)</w:t>
      </w:r>
      <w:r w:rsidRPr="00F04D8E">
        <w:tab/>
        <w:t>research purposes if the information contains no personal information; or</w:t>
      </w:r>
    </w:p>
    <w:p w14:paraId="3730FB5A" w14:textId="77777777" w:rsidR="00DB6E47" w:rsidRPr="00F04D8E" w:rsidRDefault="00DB6E47" w:rsidP="00DB6E47">
      <w:pPr>
        <w:pStyle w:val="aDefpara"/>
      </w:pPr>
      <w:r>
        <w:tab/>
      </w:r>
      <w:r w:rsidRPr="00F04D8E">
        <w:t>(h)</w:t>
      </w:r>
      <w:r w:rsidRPr="00F04D8E">
        <w:tab/>
        <w:t>use by an entity (whether public or private) in connection with road tolls; or</w:t>
      </w:r>
    </w:p>
    <w:p w14:paraId="6D276E74" w14:textId="77777777" w:rsidR="00DB6E47" w:rsidRPr="00F04D8E" w:rsidRDefault="00DB6E47" w:rsidP="00DB6E47">
      <w:pPr>
        <w:pStyle w:val="aDefpara"/>
      </w:pPr>
      <w:r>
        <w:tab/>
      </w:r>
      <w:r w:rsidRPr="00F04D8E">
        <w:t>(i)</w:t>
      </w:r>
      <w:r w:rsidRPr="00F04D8E">
        <w:tab/>
        <w:t>use by an entity (whether public or private) in connection with the administration of third party insurance legislation; or</w:t>
      </w:r>
    </w:p>
    <w:p w14:paraId="1CC55247" w14:textId="77777777" w:rsidR="00DB6E47" w:rsidRPr="00F04D8E" w:rsidRDefault="00DB6E47" w:rsidP="00DB6E47">
      <w:pPr>
        <w:pStyle w:val="aDefpara"/>
      </w:pPr>
      <w:r>
        <w:tab/>
      </w:r>
      <w:r w:rsidRPr="00F04D8E">
        <w:t>(j)</w:t>
      </w:r>
      <w:r w:rsidRPr="00F04D8E">
        <w:tab/>
        <w:t>use by an entity (whether public or private) for the purpose of determining the registration status of a heavy vehicle; or</w:t>
      </w:r>
    </w:p>
    <w:p w14:paraId="58F22444" w14:textId="77777777" w:rsidR="00DB6E47" w:rsidRPr="00F04D8E" w:rsidRDefault="00DB6E47" w:rsidP="00DB6E47">
      <w:pPr>
        <w:pStyle w:val="aDefpara"/>
      </w:pPr>
      <w:r>
        <w:tab/>
      </w:r>
      <w:r w:rsidRPr="00F04D8E">
        <w:t>(k)</w:t>
      </w:r>
      <w:r w:rsidRPr="00F04D8E">
        <w:tab/>
        <w:t>a use required or authorised under a relevant law of a participating jurisdiction; or</w:t>
      </w:r>
    </w:p>
    <w:p w14:paraId="5C662090" w14:textId="77777777" w:rsidR="00DB6E47" w:rsidRPr="00F04D8E" w:rsidRDefault="00DB6E47" w:rsidP="00DB6E47">
      <w:pPr>
        <w:pStyle w:val="aDefpara"/>
      </w:pPr>
      <w:r w:rsidRPr="00F04D8E">
        <w:tab/>
        <w:t>(l)</w:t>
      </w:r>
      <w:r w:rsidRPr="00F04D8E">
        <w:tab/>
        <w:t>a use prescribed by the national regulations; or</w:t>
      </w:r>
    </w:p>
    <w:p w14:paraId="54FC28AD" w14:textId="77777777" w:rsidR="00DB6E47" w:rsidRPr="00F04D8E" w:rsidRDefault="00DB6E47" w:rsidP="00DB6E47">
      <w:pPr>
        <w:pStyle w:val="aDefpara"/>
      </w:pPr>
      <w:r>
        <w:tab/>
      </w:r>
      <w:r w:rsidRPr="00F04D8E">
        <w:t>(m)</w:t>
      </w:r>
      <w:r w:rsidRPr="00F04D8E">
        <w:tab/>
        <w:t xml:space="preserve"> a use referred to in subsection (2). </w:t>
      </w:r>
    </w:p>
    <w:p w14:paraId="68B1520E" w14:textId="77777777" w:rsidR="00DE283E" w:rsidRDefault="00DE283E" w:rsidP="00DB6E47">
      <w:pPr>
        <w:pStyle w:val="aDef"/>
      </w:pPr>
      <w:r w:rsidRPr="00A3776E">
        <w:rPr>
          <w:rStyle w:val="charBoldItals"/>
        </w:rPr>
        <w:t>driver fatigue compliance function</w:t>
      </w:r>
      <w:r w:rsidRPr="00A3776E">
        <w:t xml:space="preserve"> </w:t>
      </w:r>
      <w:r w:rsidR="00A3776E" w:rsidRPr="00A3776E">
        <w:t>means</w:t>
      </w:r>
      <w:r w:rsidRPr="00A3776E">
        <w:t xml:space="preserve"> a function exercised for the purpose of—</w:t>
      </w:r>
    </w:p>
    <w:p w14:paraId="75A5E1C9" w14:textId="77777777" w:rsidR="00A3776E" w:rsidRPr="00A3776E" w:rsidRDefault="00A3776E" w:rsidP="00A3776E">
      <w:pPr>
        <w:pStyle w:val="aDefpara"/>
      </w:pPr>
      <w:r w:rsidRPr="00A3776E">
        <w:tab/>
        <w:t>(a)</w:t>
      </w:r>
      <w:r w:rsidRPr="00A3776E">
        <w:tab/>
        <w:t>the administration or enforcement of a driver fatigue provision; or</w:t>
      </w:r>
    </w:p>
    <w:p w14:paraId="77D3E223" w14:textId="77777777" w:rsidR="00A3776E" w:rsidRPr="00A3776E" w:rsidRDefault="00A3776E" w:rsidP="00A3776E">
      <w:pPr>
        <w:pStyle w:val="aDefpara"/>
      </w:pPr>
      <w:r w:rsidRPr="00A3776E">
        <w:tab/>
        <w:t>(b)</w:t>
      </w:r>
      <w:r w:rsidRPr="00A3776E">
        <w:tab/>
        <w:t>education, evaluation and similar activities supporting administration or enforcement of a driver fatigue provision.</w:t>
      </w:r>
    </w:p>
    <w:p w14:paraId="16975E51" w14:textId="77777777" w:rsidR="00A3776E" w:rsidRDefault="00A3776E" w:rsidP="00DB6E47">
      <w:pPr>
        <w:pStyle w:val="aDef"/>
      </w:pPr>
      <w:r w:rsidRPr="00A3776E">
        <w:rPr>
          <w:rStyle w:val="charBoldItals"/>
        </w:rPr>
        <w:t>driver fatigue provision</w:t>
      </w:r>
      <w:r w:rsidRPr="00A3776E">
        <w:t xml:space="preserve"> means any of the following—</w:t>
      </w:r>
    </w:p>
    <w:p w14:paraId="4809F7CE" w14:textId="77777777" w:rsidR="00B352D8" w:rsidRPr="003323FC" w:rsidRDefault="00B352D8" w:rsidP="00A3776E">
      <w:pPr>
        <w:pStyle w:val="aDefpara"/>
      </w:pPr>
      <w:r w:rsidRPr="003323FC">
        <w:tab/>
        <w:t>(aa)</w:t>
      </w:r>
      <w:r w:rsidRPr="003323FC">
        <w:tab/>
        <w:t>Chapter 1A to the extent the Chapter relates to driver fatigue;</w:t>
      </w:r>
    </w:p>
    <w:p w14:paraId="41748462" w14:textId="77777777" w:rsidR="00A3776E" w:rsidRPr="00A3776E" w:rsidRDefault="00A3776E" w:rsidP="00A3776E">
      <w:pPr>
        <w:pStyle w:val="aDefpara"/>
      </w:pPr>
      <w:r w:rsidRPr="00A3776E">
        <w:tab/>
        <w:t>(a)</w:t>
      </w:r>
      <w:r w:rsidRPr="00A3776E">
        <w:tab/>
        <w:t>Chapter 6;</w:t>
      </w:r>
    </w:p>
    <w:p w14:paraId="2E0788AE" w14:textId="77777777" w:rsidR="00A3776E" w:rsidRPr="00A3776E" w:rsidRDefault="00A3776E" w:rsidP="00A3776E">
      <w:pPr>
        <w:pStyle w:val="aDefpara"/>
      </w:pPr>
      <w:r w:rsidRPr="00A3776E">
        <w:tab/>
        <w:t>(b)</w:t>
      </w:r>
      <w:r w:rsidRPr="00A3776E">
        <w:tab/>
        <w:t>Chapter 8 to the extent the Chapter relates to BFM accreditation or AFM accreditation;</w:t>
      </w:r>
    </w:p>
    <w:p w14:paraId="72135652" w14:textId="77777777" w:rsidR="00A3776E" w:rsidRPr="00A3776E" w:rsidRDefault="00A3776E" w:rsidP="00A3776E">
      <w:pPr>
        <w:pStyle w:val="aDefpara"/>
      </w:pPr>
      <w:r w:rsidRPr="00A3776E">
        <w:tab/>
        <w:t>(c)</w:t>
      </w:r>
      <w:r w:rsidRPr="00A3776E">
        <w:tab/>
        <w:t>Division 8 of Part 9.3;</w:t>
      </w:r>
    </w:p>
    <w:p w14:paraId="6AE38332" w14:textId="77777777" w:rsidR="00A3776E" w:rsidRPr="00A3776E" w:rsidRDefault="00A3776E" w:rsidP="00A3776E">
      <w:pPr>
        <w:pStyle w:val="aDefpara"/>
      </w:pPr>
      <w:r w:rsidRPr="00A3776E">
        <w:lastRenderedPageBreak/>
        <w:tab/>
        <w:t>(d)</w:t>
      </w:r>
      <w:r w:rsidRPr="00A3776E">
        <w:tab/>
        <w:t xml:space="preserve">Chapter 9, other than Division 8 of Part 9.3, to the extent the Chapter applies to the enforcement of provisions mentioned in </w:t>
      </w:r>
      <w:r w:rsidR="00F1277E" w:rsidRPr="003323FC">
        <w:t>paragraphs (aa), (a) and (b)</w:t>
      </w:r>
      <w:r w:rsidRPr="00A3776E">
        <w:t>.</w:t>
      </w:r>
    </w:p>
    <w:p w14:paraId="352CF54C" w14:textId="77777777" w:rsidR="00A3776E" w:rsidRDefault="00A3776E" w:rsidP="00DB6E47">
      <w:pPr>
        <w:pStyle w:val="aDef"/>
        <w:rPr>
          <w:szCs w:val="24"/>
        </w:rPr>
      </w:pPr>
      <w:r>
        <w:rPr>
          <w:b/>
          <w:bCs/>
          <w:i/>
          <w:szCs w:val="24"/>
        </w:rPr>
        <w:t>electronic</w:t>
      </w:r>
      <w:r>
        <w:rPr>
          <w:b/>
          <w:bCs/>
          <w:i/>
          <w:spacing w:val="28"/>
          <w:szCs w:val="24"/>
        </w:rPr>
        <w:t xml:space="preserve"> </w:t>
      </w:r>
      <w:r>
        <w:rPr>
          <w:b/>
          <w:bCs/>
          <w:i/>
          <w:spacing w:val="-2"/>
          <w:szCs w:val="24"/>
        </w:rPr>
        <w:t>work</w:t>
      </w:r>
      <w:r>
        <w:rPr>
          <w:b/>
          <w:bCs/>
          <w:i/>
          <w:spacing w:val="28"/>
          <w:szCs w:val="24"/>
        </w:rPr>
        <w:t xml:space="preserve"> </w:t>
      </w:r>
      <w:r>
        <w:rPr>
          <w:b/>
          <w:bCs/>
          <w:i/>
          <w:spacing w:val="-1"/>
          <w:szCs w:val="24"/>
        </w:rPr>
        <w:t>diary</w:t>
      </w:r>
      <w:r>
        <w:rPr>
          <w:b/>
          <w:bCs/>
          <w:i/>
          <w:spacing w:val="28"/>
          <w:szCs w:val="24"/>
        </w:rPr>
        <w:t xml:space="preserve"> </w:t>
      </w:r>
      <w:r>
        <w:rPr>
          <w:b/>
          <w:bCs/>
          <w:i/>
          <w:szCs w:val="24"/>
        </w:rPr>
        <w:t>authorised</w:t>
      </w:r>
      <w:r>
        <w:rPr>
          <w:b/>
          <w:bCs/>
          <w:i/>
          <w:spacing w:val="28"/>
          <w:szCs w:val="24"/>
        </w:rPr>
        <w:t xml:space="preserve"> </w:t>
      </w:r>
      <w:r>
        <w:rPr>
          <w:b/>
          <w:bCs/>
          <w:i/>
          <w:szCs w:val="24"/>
        </w:rPr>
        <w:t>use</w:t>
      </w:r>
      <w:r>
        <w:rPr>
          <w:szCs w:val="24"/>
        </w:rPr>
        <w:t>,</w:t>
      </w:r>
      <w:r>
        <w:rPr>
          <w:spacing w:val="28"/>
          <w:szCs w:val="24"/>
        </w:rPr>
        <w:t xml:space="preserve"> </w:t>
      </w:r>
      <w:r>
        <w:rPr>
          <w:szCs w:val="24"/>
        </w:rPr>
        <w:t>for</w:t>
      </w:r>
      <w:r>
        <w:rPr>
          <w:spacing w:val="26"/>
          <w:szCs w:val="24"/>
        </w:rPr>
        <w:t xml:space="preserve"> </w:t>
      </w:r>
      <w:r>
        <w:rPr>
          <w:spacing w:val="-1"/>
          <w:szCs w:val="24"/>
        </w:rPr>
        <w:t>electronic</w:t>
      </w:r>
      <w:r>
        <w:rPr>
          <w:spacing w:val="1"/>
          <w:szCs w:val="24"/>
        </w:rPr>
        <w:t xml:space="preserve"> </w:t>
      </w:r>
      <w:r>
        <w:rPr>
          <w:spacing w:val="-1"/>
          <w:szCs w:val="24"/>
        </w:rPr>
        <w:t>work</w:t>
      </w:r>
      <w:r>
        <w:rPr>
          <w:spacing w:val="1"/>
          <w:szCs w:val="24"/>
        </w:rPr>
        <w:t xml:space="preserve"> </w:t>
      </w:r>
      <w:r>
        <w:rPr>
          <w:spacing w:val="-1"/>
          <w:szCs w:val="24"/>
        </w:rPr>
        <w:t>diary</w:t>
      </w:r>
      <w:r>
        <w:rPr>
          <w:szCs w:val="24"/>
        </w:rPr>
        <w:t xml:space="preserve"> </w:t>
      </w:r>
      <w:r>
        <w:rPr>
          <w:spacing w:val="-1"/>
          <w:szCs w:val="24"/>
        </w:rPr>
        <w:t>protected</w:t>
      </w:r>
      <w:r>
        <w:rPr>
          <w:spacing w:val="1"/>
          <w:szCs w:val="24"/>
        </w:rPr>
        <w:t xml:space="preserve"> </w:t>
      </w:r>
      <w:r>
        <w:rPr>
          <w:spacing w:val="-1"/>
          <w:szCs w:val="24"/>
        </w:rPr>
        <w:t>information,</w:t>
      </w:r>
      <w:r>
        <w:rPr>
          <w:spacing w:val="24"/>
          <w:szCs w:val="24"/>
        </w:rPr>
        <w:t xml:space="preserve"> </w:t>
      </w:r>
      <w:r>
        <w:rPr>
          <w:szCs w:val="24"/>
        </w:rPr>
        <w:t>means—</w:t>
      </w:r>
    </w:p>
    <w:p w14:paraId="18CB4040" w14:textId="77777777" w:rsidR="00A3776E" w:rsidRPr="00BD6A3B" w:rsidRDefault="00A3776E" w:rsidP="00A3776E">
      <w:pPr>
        <w:pStyle w:val="Apara"/>
      </w:pPr>
      <w:r w:rsidRPr="00BD6A3B">
        <w:tab/>
        <w:t>(a)</w:t>
      </w:r>
      <w:r w:rsidRPr="00BD6A3B">
        <w:tab/>
        <w:t>use by a person—</w:t>
      </w:r>
    </w:p>
    <w:p w14:paraId="486C9058" w14:textId="77777777" w:rsidR="00A3776E" w:rsidRPr="00BD6A3B" w:rsidRDefault="00A3776E" w:rsidP="00A3776E">
      <w:pPr>
        <w:pStyle w:val="Asubpara"/>
      </w:pPr>
      <w:r w:rsidRPr="00BD6A3B">
        <w:tab/>
      </w:r>
      <w:r w:rsidR="00BD6A3B" w:rsidRPr="00BD6A3B">
        <w:t>(i)</w:t>
      </w:r>
      <w:r w:rsidR="00BD6A3B" w:rsidRPr="00BD6A3B">
        <w:tab/>
        <w:t>in the exercise of a driver fatigue compliance function; or</w:t>
      </w:r>
    </w:p>
    <w:p w14:paraId="07EA698C" w14:textId="77777777" w:rsidR="00BD6A3B" w:rsidRPr="00BD6A3B" w:rsidRDefault="00BD6A3B" w:rsidP="00A3776E">
      <w:pPr>
        <w:pStyle w:val="Asubpara"/>
      </w:pPr>
      <w:r w:rsidRPr="00BD6A3B">
        <w:tab/>
        <w:t>(ii)</w:t>
      </w:r>
      <w:r w:rsidRPr="00BD6A3B">
        <w:tab/>
        <w:t>not in the exercise of a driver fatigue compliance function but authorised under a warrant mentioned in section 729B; or</w:t>
      </w:r>
    </w:p>
    <w:p w14:paraId="46DFD0B6" w14:textId="77777777" w:rsidR="00BD6A3B" w:rsidRPr="00BD6A3B" w:rsidRDefault="00BD6A3B" w:rsidP="00BD6A3B">
      <w:pPr>
        <w:pStyle w:val="Apara"/>
      </w:pPr>
      <w:r w:rsidRPr="00BD6A3B">
        <w:tab/>
        <w:t>(b)</w:t>
      </w:r>
      <w:r w:rsidRPr="00BD6A3B">
        <w:tab/>
        <w:t>use by a person in the exercise of a function under another law if a warrant issued by a judge or magistrate under the other law or a different law authorises or permits the use of the information by the person; or</w:t>
      </w:r>
    </w:p>
    <w:p w14:paraId="1356C072" w14:textId="77777777" w:rsidR="00BD6A3B" w:rsidRPr="00BD6A3B" w:rsidRDefault="00BD6A3B" w:rsidP="00BD6A3B">
      <w:pPr>
        <w:pStyle w:val="Apara"/>
      </w:pPr>
      <w:r w:rsidRPr="00BD6A3B">
        <w:tab/>
        <w:t>(c)</w:t>
      </w:r>
      <w:r w:rsidRPr="00BD6A3B">
        <w:tab/>
        <w:t>use by a court or tribunal in a proceeding under an Australian road law; or</w:t>
      </w:r>
    </w:p>
    <w:p w14:paraId="02217F3A" w14:textId="77777777" w:rsidR="00BD6A3B" w:rsidRPr="00BD6A3B" w:rsidRDefault="00BD6A3B" w:rsidP="00BD6A3B">
      <w:pPr>
        <w:pStyle w:val="Apara"/>
      </w:pPr>
      <w:r w:rsidRPr="00BD6A3B">
        <w:tab/>
        <w:t>(d)</w:t>
      </w:r>
      <w:r w:rsidRPr="00BD6A3B">
        <w:tab/>
        <w:t>use by a court or tribunal if an order of the court or tribunal requires the disclosure of the information to the court or tribunal; or</w:t>
      </w:r>
    </w:p>
    <w:p w14:paraId="5A1A952F" w14:textId="77777777" w:rsidR="00BD6A3B" w:rsidRPr="00BD6A3B" w:rsidRDefault="00BD6A3B" w:rsidP="00BD6A3B">
      <w:pPr>
        <w:pStyle w:val="Apara"/>
      </w:pPr>
      <w:r w:rsidRPr="00BD6A3B">
        <w:tab/>
        <w:t>(e)</w:t>
      </w:r>
      <w:r w:rsidRPr="00BD6A3B">
        <w:tab/>
        <w:t>research purposes if the information contains no personal information; or</w:t>
      </w:r>
    </w:p>
    <w:p w14:paraId="48D9FFFF" w14:textId="77777777" w:rsidR="00BD6A3B" w:rsidRPr="00BD6A3B" w:rsidRDefault="00BD6A3B" w:rsidP="00BD6A3B">
      <w:pPr>
        <w:pStyle w:val="Apara"/>
      </w:pPr>
      <w:r w:rsidRPr="00BD6A3B">
        <w:tab/>
        <w:t>(f)</w:t>
      </w:r>
      <w:r w:rsidRPr="00BD6A3B">
        <w:tab/>
        <w:t>use prescribed by the national regulations; or</w:t>
      </w:r>
    </w:p>
    <w:p w14:paraId="6E3EB4E6" w14:textId="77777777" w:rsidR="00BD6A3B" w:rsidRPr="00BD6A3B" w:rsidRDefault="00BD6A3B" w:rsidP="00BD6A3B">
      <w:pPr>
        <w:pStyle w:val="Apara"/>
      </w:pPr>
      <w:r w:rsidRPr="00BD6A3B">
        <w:tab/>
        <w:t>(g)</w:t>
      </w:r>
      <w:r w:rsidRPr="00BD6A3B">
        <w:tab/>
        <w:t>use referred to in subsection (3).</w:t>
      </w:r>
    </w:p>
    <w:p w14:paraId="76AEBE88" w14:textId="77777777" w:rsidR="00A3776E" w:rsidRPr="00AC5CCA" w:rsidRDefault="00A3776E" w:rsidP="00DB6E47">
      <w:pPr>
        <w:pStyle w:val="aDef"/>
      </w:pPr>
      <w:r w:rsidRPr="00AC5CCA">
        <w:rPr>
          <w:rStyle w:val="charBoldItals"/>
        </w:rPr>
        <w:t>electronic work diary information</w:t>
      </w:r>
      <w:r w:rsidRPr="00AC5CCA">
        <w:t xml:space="preserve"> means information generated, recorded, stored, displayed, analysed, transmitted or reported by an approved electronic recording system that constitutes an electronic work diary, or of which an electronic work diary is a part.</w:t>
      </w:r>
    </w:p>
    <w:p w14:paraId="28D065AA" w14:textId="77777777" w:rsidR="00A3776E" w:rsidRDefault="00A3776E" w:rsidP="00F31260">
      <w:pPr>
        <w:pStyle w:val="aDef"/>
        <w:keepNext/>
      </w:pPr>
      <w:r w:rsidRPr="00AC5CCA">
        <w:rPr>
          <w:rStyle w:val="charBoldItals"/>
        </w:rPr>
        <w:lastRenderedPageBreak/>
        <w:t>electronic work diary protected information</w:t>
      </w:r>
      <w:r w:rsidRPr="00AC5CCA">
        <w:t>—</w:t>
      </w:r>
    </w:p>
    <w:p w14:paraId="5DD8E0C8" w14:textId="77777777" w:rsidR="00AC5CCA" w:rsidRPr="00A255AC" w:rsidRDefault="00AC5CCA" w:rsidP="00F31260">
      <w:pPr>
        <w:pStyle w:val="Apara"/>
        <w:keepNext/>
      </w:pPr>
      <w:r w:rsidRPr="00A255AC">
        <w:tab/>
        <w:t>(a)</w:t>
      </w:r>
      <w:r w:rsidRPr="00A255AC">
        <w:tab/>
        <w:t xml:space="preserve">means electronic work </w:t>
      </w:r>
      <w:r w:rsidR="00A255AC" w:rsidRPr="00A255AC">
        <w:t>diary</w:t>
      </w:r>
      <w:r w:rsidRPr="00A255AC">
        <w:t xml:space="preserve"> information; but</w:t>
      </w:r>
    </w:p>
    <w:p w14:paraId="64343112" w14:textId="77777777" w:rsidR="00AC5CCA" w:rsidRPr="00A255AC" w:rsidRDefault="00AC5CCA" w:rsidP="00D940BC">
      <w:pPr>
        <w:pStyle w:val="Apara"/>
        <w:keepNext/>
      </w:pPr>
      <w:r w:rsidRPr="00A255AC">
        <w:tab/>
        <w:t>(b)</w:t>
      </w:r>
      <w:r w:rsidRPr="00A255AC">
        <w:tab/>
        <w:t>does not include the following—</w:t>
      </w:r>
    </w:p>
    <w:p w14:paraId="414B6644" w14:textId="77777777" w:rsidR="00F1277E" w:rsidRPr="00F1277E" w:rsidRDefault="00F1277E" w:rsidP="00F1277E">
      <w:pPr>
        <w:pStyle w:val="Asubpara"/>
        <w:rPr>
          <w:lang w:val="en" w:eastAsia="en-AU"/>
        </w:rPr>
      </w:pPr>
      <w:r>
        <w:rPr>
          <w:lang w:val="en" w:eastAsia="en-AU"/>
        </w:rPr>
        <w:tab/>
      </w:r>
      <w:r w:rsidRPr="00F1277E">
        <w:rPr>
          <w:lang w:val="en" w:eastAsia="en-AU"/>
        </w:rPr>
        <w:t>(i)</w:t>
      </w:r>
      <w:r>
        <w:rPr>
          <w:lang w:val="en" w:eastAsia="en-AU"/>
        </w:rPr>
        <w:tab/>
      </w:r>
      <w:r w:rsidRPr="00F1277E">
        <w:rPr>
          <w:lang w:val="en" w:eastAsia="en-AU"/>
        </w:rPr>
        <w:t xml:space="preserve">information obtained, collected or recorded other than for the purposes of Chapter 1A to the extent the Chapter relates to driver fatigue or Chapter 6 (the </w:t>
      </w:r>
      <w:r w:rsidRPr="00F1277E">
        <w:rPr>
          <w:b/>
          <w:bCs/>
          <w:i/>
          <w:iCs/>
          <w:lang w:val="en" w:eastAsia="en-AU"/>
        </w:rPr>
        <w:t>driver fatigue purposes</w:t>
      </w:r>
      <w:r w:rsidRPr="00F1277E">
        <w:rPr>
          <w:lang w:val="en" w:eastAsia="en-AU"/>
        </w:rPr>
        <w:t>), even if the information is—</w:t>
      </w:r>
    </w:p>
    <w:p w14:paraId="049F19AC" w14:textId="77777777" w:rsidR="00F1277E" w:rsidRPr="00F1277E" w:rsidRDefault="00F1277E" w:rsidP="00F1277E">
      <w:pPr>
        <w:pStyle w:val="Asubsubpara"/>
        <w:rPr>
          <w:lang w:val="en" w:eastAsia="en-AU"/>
        </w:rPr>
      </w:pPr>
      <w:r>
        <w:rPr>
          <w:lang w:val="en" w:eastAsia="en-AU"/>
        </w:rPr>
        <w:tab/>
      </w:r>
      <w:r w:rsidRPr="00F1277E">
        <w:rPr>
          <w:lang w:val="en" w:eastAsia="en-AU"/>
        </w:rPr>
        <w:t>(A)</w:t>
      </w:r>
      <w:r>
        <w:rPr>
          <w:lang w:val="en" w:eastAsia="en-AU"/>
        </w:rPr>
        <w:tab/>
      </w:r>
      <w:r w:rsidRPr="00F1277E">
        <w:rPr>
          <w:lang w:val="en" w:eastAsia="en-AU"/>
        </w:rPr>
        <w:t>coincidentally relevant for a driver fatigue purpose; and</w:t>
      </w:r>
    </w:p>
    <w:p w14:paraId="66A87C3A" w14:textId="77777777" w:rsidR="00F1277E" w:rsidRPr="00F1277E" w:rsidRDefault="00F1277E" w:rsidP="00F1277E">
      <w:pPr>
        <w:pStyle w:val="Asubsubpara"/>
        <w:rPr>
          <w:lang w:val="en" w:eastAsia="en-AU"/>
        </w:rPr>
      </w:pPr>
      <w:r>
        <w:rPr>
          <w:lang w:val="en" w:eastAsia="en-AU"/>
        </w:rPr>
        <w:tab/>
      </w:r>
      <w:r w:rsidRPr="00F1277E">
        <w:rPr>
          <w:lang w:val="en" w:eastAsia="en-AU"/>
        </w:rPr>
        <w:t>(B)</w:t>
      </w:r>
      <w:r>
        <w:rPr>
          <w:lang w:val="en" w:eastAsia="en-AU"/>
        </w:rPr>
        <w:tab/>
      </w:r>
      <w:r w:rsidRPr="00F1277E">
        <w:rPr>
          <w:lang w:val="en" w:eastAsia="en-AU"/>
        </w:rPr>
        <w:t>recorded in an electronic work diary; or</w:t>
      </w:r>
    </w:p>
    <w:p w14:paraId="68B2A55E" w14:textId="77777777" w:rsidR="00A255AC" w:rsidRPr="00A255AC" w:rsidRDefault="00A255AC" w:rsidP="00A255AC">
      <w:pPr>
        <w:pStyle w:val="Asubpara"/>
      </w:pPr>
      <w:r w:rsidRPr="00A255AC">
        <w:tab/>
        <w:t>(ii)</w:t>
      </w:r>
      <w:r w:rsidRPr="00A255AC">
        <w:tab/>
        <w:t>information relating to proceedings before a relevant tribunal or court that are or were open to the public.</w:t>
      </w:r>
    </w:p>
    <w:p w14:paraId="287F015C" w14:textId="77777777" w:rsidR="00DB6E47" w:rsidRPr="00041046" w:rsidRDefault="00DB6E47" w:rsidP="00DB6E47">
      <w:pPr>
        <w:pStyle w:val="aDef"/>
        <w:rPr>
          <w:bCs/>
        </w:rPr>
      </w:pPr>
      <w:r w:rsidRPr="00041046">
        <w:rPr>
          <w:rStyle w:val="charBoldItals"/>
        </w:rPr>
        <w:t>police agency</w:t>
      </w:r>
      <w:r w:rsidRPr="00041046">
        <w:t xml:space="preserve"> means a police force or police service (however called) of a participating jurisdiction, and includes an entity prescribed by the Application Act of this jurisdiction as an entity included in this definition.</w:t>
      </w:r>
    </w:p>
    <w:p w14:paraId="2B63E3B7" w14:textId="77777777" w:rsidR="00DB6E47" w:rsidRPr="00041046" w:rsidRDefault="00DB6E47" w:rsidP="00DB6E47">
      <w:pPr>
        <w:pStyle w:val="aDef"/>
        <w:rPr>
          <w:bCs/>
        </w:rPr>
      </w:pPr>
      <w:r w:rsidRPr="00041046">
        <w:rPr>
          <w:rStyle w:val="charBoldItals"/>
        </w:rPr>
        <w:t>protected information</w:t>
      </w:r>
      <w:r w:rsidRPr="00041046">
        <w:t>—</w:t>
      </w:r>
    </w:p>
    <w:p w14:paraId="3223AD49" w14:textId="77777777" w:rsidR="00DB6E47" w:rsidRPr="00F04D8E" w:rsidRDefault="00DB6E47" w:rsidP="00DB6E47">
      <w:pPr>
        <w:pStyle w:val="aDefpara"/>
      </w:pPr>
      <w:r w:rsidRPr="00F04D8E">
        <w:rPr>
          <w:rFonts w:cs="Times"/>
          <w:bCs/>
        </w:rPr>
        <w:tab/>
        <w:t>(a)</w:t>
      </w:r>
      <w:r w:rsidRPr="00F04D8E">
        <w:rPr>
          <w:rFonts w:cs="Times"/>
          <w:bCs/>
        </w:rPr>
        <w:tab/>
        <w:t>means information obtained in the course of administering this Law or because of an opportunity provided by involvement in administering this Law; but</w:t>
      </w:r>
    </w:p>
    <w:p w14:paraId="1DBBA024" w14:textId="77777777" w:rsidR="00DB6E47" w:rsidRPr="00F04D8E" w:rsidRDefault="00DB6E47" w:rsidP="00DB6E47">
      <w:pPr>
        <w:pStyle w:val="aDefpara"/>
      </w:pPr>
      <w:r w:rsidRPr="00F04D8E">
        <w:tab/>
        <w:t>(b)</w:t>
      </w:r>
      <w:r w:rsidRPr="00F04D8E">
        <w:tab/>
        <w:t>does not include—</w:t>
      </w:r>
    </w:p>
    <w:p w14:paraId="41FB37A8" w14:textId="77777777" w:rsidR="00DB6E47" w:rsidRPr="00F04D8E" w:rsidRDefault="00DB6E47" w:rsidP="00DB6E47">
      <w:pPr>
        <w:pStyle w:val="aDefsubpara"/>
      </w:pPr>
      <w:r w:rsidRPr="00F04D8E">
        <w:tab/>
        <w:t>(i)</w:t>
      </w:r>
      <w:r w:rsidRPr="00F04D8E">
        <w:tab/>
        <w:t xml:space="preserve">intelligent access </w:t>
      </w:r>
      <w:r w:rsidR="005D4C80">
        <w:t xml:space="preserve">program </w:t>
      </w:r>
      <w:r w:rsidRPr="00F04D8E">
        <w:t>information; or</w:t>
      </w:r>
    </w:p>
    <w:p w14:paraId="5D92F2CF" w14:textId="77777777" w:rsidR="00DB6E47" w:rsidRPr="00C96203" w:rsidRDefault="00DB6E47" w:rsidP="00642491">
      <w:pPr>
        <w:pStyle w:val="aNotepar"/>
        <w:ind w:left="2835"/>
      </w:pPr>
      <w:r w:rsidRPr="00FF4454">
        <w:rPr>
          <w:rStyle w:val="charItals"/>
        </w:rPr>
        <w:t>Note</w:t>
      </w:r>
      <w:r w:rsidRPr="00C96203">
        <w:rPr>
          <w:rFonts w:cs="Times"/>
          <w:bCs/>
          <w:iCs/>
        </w:rPr>
        <w:t>—</w:t>
      </w:r>
    </w:p>
    <w:p w14:paraId="6979D3AD" w14:textId="77777777" w:rsidR="00DB6E47" w:rsidRPr="007E1F9A" w:rsidRDefault="00DB6E47" w:rsidP="00642491">
      <w:pPr>
        <w:pStyle w:val="aNoteTextpar"/>
      </w:pPr>
      <w:r w:rsidRPr="007E1F9A">
        <w:t>See Chapter 7 for the restrictions on the use and disclosure of intelligent access</w:t>
      </w:r>
      <w:r w:rsidR="005D4C80">
        <w:t xml:space="preserve"> program</w:t>
      </w:r>
      <w:r w:rsidRPr="007E1F9A">
        <w:t xml:space="preserve"> information.</w:t>
      </w:r>
    </w:p>
    <w:p w14:paraId="01BA83F2" w14:textId="77777777" w:rsidR="00DB6E47" w:rsidRPr="00F04D8E" w:rsidRDefault="00DB6E47" w:rsidP="00642491">
      <w:pPr>
        <w:pStyle w:val="Asubpara"/>
      </w:pPr>
      <w:r w:rsidRPr="00F04D8E">
        <w:tab/>
        <w:t>(ii)</w:t>
      </w:r>
      <w:r w:rsidRPr="00F04D8E">
        <w:tab/>
        <w:t>inf</w:t>
      </w:r>
      <w:r w:rsidR="00062FCF">
        <w:t xml:space="preserve">ormation mentioned in paragraph </w:t>
      </w:r>
      <w:r w:rsidRPr="00F04D8E">
        <w:t>(a)</w:t>
      </w:r>
      <w:r w:rsidR="00062FCF">
        <w:t xml:space="preserve"> </w:t>
      </w:r>
      <w:r w:rsidRPr="00F04D8E">
        <w:t>in a form that does not identify a person; or</w:t>
      </w:r>
    </w:p>
    <w:p w14:paraId="6B648432" w14:textId="77777777" w:rsidR="00DB6E47" w:rsidRDefault="00DB6E47" w:rsidP="00642491">
      <w:pPr>
        <w:pStyle w:val="Asubpara"/>
      </w:pPr>
      <w:r w:rsidRPr="00F04D8E">
        <w:lastRenderedPageBreak/>
        <w:tab/>
        <w:t>(iii)</w:t>
      </w:r>
      <w:r w:rsidRPr="00F04D8E">
        <w:tab/>
        <w:t>information relating to proceedings before a relevant tribunal or court that</w:t>
      </w:r>
      <w:r w:rsidR="008C1FD8">
        <w:t xml:space="preserve"> are or were open to the public; or</w:t>
      </w:r>
    </w:p>
    <w:p w14:paraId="0A307598" w14:textId="77777777" w:rsidR="001E44BC" w:rsidRPr="00F04D8E" w:rsidRDefault="001E44BC" w:rsidP="00642491">
      <w:pPr>
        <w:pStyle w:val="Asubpara"/>
      </w:pPr>
      <w:r>
        <w:tab/>
        <w:t>(iv)</w:t>
      </w:r>
      <w:r>
        <w:tab/>
        <w:t>electronic work diary protected information.</w:t>
      </w:r>
    </w:p>
    <w:p w14:paraId="001C0357" w14:textId="77777777" w:rsidR="00DB6E47" w:rsidRPr="00041046" w:rsidRDefault="00DB6E47" w:rsidP="00DB6E47">
      <w:pPr>
        <w:pStyle w:val="aDef"/>
        <w:rPr>
          <w:bCs/>
        </w:rPr>
      </w:pPr>
      <w:r w:rsidRPr="00041046">
        <w:rPr>
          <w:rStyle w:val="charBoldItals"/>
        </w:rPr>
        <w:t>relevant law</w:t>
      </w:r>
      <w:r w:rsidRPr="00041046">
        <w:t>, of a participating jurisdiction, means a law specified for this definition in a law of the jurisdiction.</w:t>
      </w:r>
    </w:p>
    <w:p w14:paraId="4DB8E025" w14:textId="77777777" w:rsidR="00DB6E47" w:rsidRDefault="00DB6E47" w:rsidP="00DB6E47">
      <w:pPr>
        <w:pStyle w:val="Amain"/>
      </w:pPr>
      <w:r w:rsidRPr="002F157F">
        <w:tab/>
        <w:t>(2)</w:t>
      </w:r>
      <w:r w:rsidR="001E44BC">
        <w:tab/>
        <w:t>It is also an authorised use, for</w:t>
      </w:r>
      <w:r w:rsidRPr="002F157F">
        <w:t xml:space="preserve"> protected information disclosed to or otherwise held by a police agency for any purpose or for a particular purpose</w:t>
      </w:r>
      <w:r w:rsidR="001E44BC">
        <w:t>,</w:t>
      </w:r>
      <w:r w:rsidRPr="002F157F">
        <w:t xml:space="preserve"> to disclose the information to another police agency authorised to hold protected information (whether or not for the same purpose).</w:t>
      </w:r>
    </w:p>
    <w:p w14:paraId="487BC67B" w14:textId="77777777" w:rsidR="001E44BC" w:rsidRPr="001E44BC" w:rsidRDefault="001E44BC" w:rsidP="00DB6E47">
      <w:pPr>
        <w:pStyle w:val="Amain"/>
      </w:pPr>
      <w:r>
        <w:tab/>
        <w:t>(3)</w:t>
      </w:r>
      <w:r>
        <w:tab/>
      </w:r>
      <w:r w:rsidRPr="001E44BC">
        <w:t>It is also an authorised use, for electronic work diary protected information disclosed to or otherwise held by a police agency for the purpose of the exercise of a driver fatigue compliance function, to disclose the information to another police agency authorised to hold electronic work diary protected information for the purpose of the exercise of a driver fatigue compliance function.</w:t>
      </w:r>
    </w:p>
    <w:p w14:paraId="4F7A3925" w14:textId="77777777" w:rsidR="00DB6E47" w:rsidRPr="002F157F" w:rsidRDefault="001E44BC" w:rsidP="00DB6E47">
      <w:pPr>
        <w:pStyle w:val="Amain"/>
      </w:pPr>
      <w:r>
        <w:tab/>
        <w:t>(4</w:t>
      </w:r>
      <w:r w:rsidR="00DB6E47" w:rsidRPr="002F157F">
        <w:t>)</w:t>
      </w:r>
      <w:r w:rsidR="00DB6E47" w:rsidRPr="002F157F">
        <w:tab/>
        <w:t>To remove any doubt, it is declared that a reference in this Part to the disclosure of protected information</w:t>
      </w:r>
      <w:r>
        <w:t xml:space="preserve"> </w:t>
      </w:r>
      <w:r w:rsidRPr="001E44BC">
        <w:t>or electronic work diary protected information</w:t>
      </w:r>
      <w:r w:rsidR="00DB6E47" w:rsidRPr="002F157F">
        <w:t xml:space="preserve"> to an entity includes a reference to the disclosure of the information to a duly authorised employee or agent of the entity.</w:t>
      </w:r>
    </w:p>
    <w:p w14:paraId="1EEF1FD4" w14:textId="77777777" w:rsidR="00DB6E47" w:rsidRPr="007E1F9A" w:rsidRDefault="00DB6E47" w:rsidP="00DB6E47">
      <w:pPr>
        <w:pStyle w:val="AH5Sec"/>
      </w:pPr>
      <w:bookmarkStart w:id="918" w:name="_Toc83626262"/>
      <w:r w:rsidRPr="005E03F7">
        <w:rPr>
          <w:rStyle w:val="CharSectNo"/>
        </w:rPr>
        <w:t>728</w:t>
      </w:r>
      <w:r w:rsidRPr="007E1F9A">
        <w:tab/>
      </w:r>
      <w:r w:rsidRPr="007E1F9A">
        <w:rPr>
          <w:rFonts w:ascii="Helvetica" w:hAnsi="Helvetica" w:cs="Helvetica"/>
        </w:rPr>
        <w:t>Duty of confidentiality</w:t>
      </w:r>
      <w:r w:rsidR="007D579F" w:rsidRPr="007D579F">
        <w:t xml:space="preserve"> for protected information</w:t>
      </w:r>
      <w:bookmarkEnd w:id="918"/>
    </w:p>
    <w:p w14:paraId="56A4C442" w14:textId="77777777" w:rsidR="00DB6E47" w:rsidRPr="002F157F" w:rsidRDefault="00DB6E47" w:rsidP="00DB6E47">
      <w:pPr>
        <w:pStyle w:val="Amain"/>
      </w:pPr>
      <w:r w:rsidRPr="002F157F">
        <w:tab/>
        <w:t>(1)</w:t>
      </w:r>
      <w:r w:rsidRPr="002F157F">
        <w:tab/>
        <w:t>A person who is, or has been, a person exercising functions under this Law must not disclose protected information to another person.</w:t>
      </w:r>
    </w:p>
    <w:p w14:paraId="0A09F351" w14:textId="77777777" w:rsidR="00DB6E47" w:rsidRPr="006C3305" w:rsidRDefault="00DB6E47" w:rsidP="00DB6E47">
      <w:pPr>
        <w:pStyle w:val="Penalty"/>
      </w:pPr>
      <w:r w:rsidRPr="006C3305">
        <w:t>Maximum penalty—$20000.</w:t>
      </w:r>
    </w:p>
    <w:p w14:paraId="3AC82E03" w14:textId="77777777" w:rsidR="00DB6E47" w:rsidRPr="002F157F" w:rsidRDefault="00062FCF" w:rsidP="00DB6E47">
      <w:pPr>
        <w:pStyle w:val="Amain"/>
      </w:pPr>
      <w:r>
        <w:tab/>
        <w:t>(2)</w:t>
      </w:r>
      <w:r>
        <w:tab/>
        <w:t xml:space="preserve">However, subsection </w:t>
      </w:r>
      <w:r w:rsidR="00DB6E47" w:rsidRPr="002F157F">
        <w:t>(1)</w:t>
      </w:r>
      <w:r>
        <w:t xml:space="preserve"> </w:t>
      </w:r>
      <w:r w:rsidR="00DB6E47" w:rsidRPr="002F157F">
        <w:t>does not apply to the Regulator—</w:t>
      </w:r>
    </w:p>
    <w:p w14:paraId="2C99FCC9" w14:textId="77777777" w:rsidR="00DB6E47" w:rsidRPr="006C3305" w:rsidRDefault="00DB6E47" w:rsidP="00DB6E47">
      <w:pPr>
        <w:pStyle w:val="Apara"/>
      </w:pPr>
      <w:r>
        <w:tab/>
        <w:t>(a)</w:t>
      </w:r>
      <w:r w:rsidRPr="006C3305">
        <w:tab/>
        <w:t>disclosing protected information in the form of a confirmation that a stated person is the registered operator of a stated heavy vehicle; or</w:t>
      </w:r>
    </w:p>
    <w:p w14:paraId="2A8380BD" w14:textId="77777777" w:rsidR="00DB6E47" w:rsidRPr="00544ED5" w:rsidRDefault="00DB6E47" w:rsidP="00DB6E47">
      <w:pPr>
        <w:pStyle w:val="Apara"/>
      </w:pPr>
      <w:r w:rsidRPr="00544ED5">
        <w:lastRenderedPageBreak/>
        <w:tab/>
        <w:t>(b)</w:t>
      </w:r>
      <w:r w:rsidRPr="00544ED5">
        <w:tab/>
        <w:t>disclosing details of heavy vehicles registered in a person’s name to an executor or administrator of that person’s deceased estate.</w:t>
      </w:r>
    </w:p>
    <w:p w14:paraId="11EEA4B6" w14:textId="77777777" w:rsidR="00DB6E47" w:rsidRPr="002F157F" w:rsidRDefault="00062FCF" w:rsidP="00D940BC">
      <w:pPr>
        <w:pStyle w:val="Amain"/>
        <w:keepNext/>
      </w:pPr>
      <w:r>
        <w:tab/>
        <w:t>(3)</w:t>
      </w:r>
      <w:r>
        <w:tab/>
        <w:t xml:space="preserve">Also, subsection </w:t>
      </w:r>
      <w:r w:rsidR="00DB6E47" w:rsidRPr="002F157F">
        <w:t>(1)</w:t>
      </w:r>
      <w:r>
        <w:t xml:space="preserve"> </w:t>
      </w:r>
      <w:r w:rsidR="00DB6E47" w:rsidRPr="002F157F">
        <w:t>does not apply if—</w:t>
      </w:r>
    </w:p>
    <w:p w14:paraId="0B3189A0" w14:textId="77777777" w:rsidR="00DB6E47" w:rsidRPr="00544ED5" w:rsidRDefault="00DB6E47" w:rsidP="00DB6E47">
      <w:pPr>
        <w:pStyle w:val="Apara"/>
      </w:pPr>
      <w:r w:rsidRPr="00544ED5">
        <w:tab/>
        <w:t>(a)</w:t>
      </w:r>
      <w:r w:rsidRPr="00544ED5">
        <w:tab/>
        <w:t>the disclosure is to an entity for an authorised use; or</w:t>
      </w:r>
    </w:p>
    <w:p w14:paraId="067978C0" w14:textId="77777777" w:rsidR="00DB6E47" w:rsidRPr="00544ED5" w:rsidRDefault="00DB6E47" w:rsidP="00DB6E47">
      <w:pPr>
        <w:pStyle w:val="Apara"/>
      </w:pPr>
      <w:r w:rsidRPr="00544ED5">
        <w:tab/>
        <w:t>(b)</w:t>
      </w:r>
      <w:r w:rsidRPr="00544ED5">
        <w:tab/>
        <w:t>the disclosure is to, or made with the agreement of, the person to whom the information relates.</w:t>
      </w:r>
    </w:p>
    <w:p w14:paraId="7D1A0502" w14:textId="77777777" w:rsidR="007D579F" w:rsidRDefault="007D579F" w:rsidP="00DB6E47">
      <w:pPr>
        <w:pStyle w:val="AH5Sec"/>
      </w:pPr>
      <w:bookmarkStart w:id="919" w:name="_Toc83626263"/>
      <w:r w:rsidRPr="005E03F7">
        <w:rPr>
          <w:rStyle w:val="CharSectNo"/>
        </w:rPr>
        <w:t>728A</w:t>
      </w:r>
      <w:r>
        <w:rPr>
          <w:rStyle w:val="CharSectNo"/>
        </w:rPr>
        <w:tab/>
      </w:r>
      <w:r w:rsidRPr="007D579F">
        <w:t>Duty of confidentiality for electronic work diary protected information</w:t>
      </w:r>
      <w:bookmarkEnd w:id="919"/>
    </w:p>
    <w:p w14:paraId="6A3F24D2" w14:textId="77777777" w:rsidR="007D579F" w:rsidRPr="007D579F" w:rsidRDefault="007D579F" w:rsidP="007D579F">
      <w:pPr>
        <w:pStyle w:val="Amain"/>
      </w:pPr>
      <w:r w:rsidRPr="007D579F">
        <w:tab/>
        <w:t>(1)</w:t>
      </w:r>
      <w:r w:rsidRPr="007D579F">
        <w:tab/>
        <w:t>A person who is, or has been, a person exercising functions under this Law must not disclose electronic work diary protected information to another person.</w:t>
      </w:r>
    </w:p>
    <w:p w14:paraId="13747950" w14:textId="77777777" w:rsidR="007D579F" w:rsidRPr="007D579F" w:rsidRDefault="007D579F" w:rsidP="007D579F">
      <w:pPr>
        <w:pStyle w:val="Penalty"/>
      </w:pPr>
      <w:r w:rsidRPr="007D579F">
        <w:t>Maximum penalty—$20000.</w:t>
      </w:r>
    </w:p>
    <w:p w14:paraId="765EB08D" w14:textId="77777777" w:rsidR="007D579F" w:rsidRPr="007D579F" w:rsidRDefault="007D579F" w:rsidP="007D579F">
      <w:pPr>
        <w:pStyle w:val="Amain"/>
      </w:pPr>
      <w:r w:rsidRPr="007D579F">
        <w:tab/>
        <w:t>(2)</w:t>
      </w:r>
      <w:r w:rsidRPr="007D579F">
        <w:tab/>
        <w:t>Subsection (1) does not apply if—</w:t>
      </w:r>
    </w:p>
    <w:p w14:paraId="29A7FDCC" w14:textId="77777777" w:rsidR="007D579F" w:rsidRPr="007D579F" w:rsidRDefault="007D579F" w:rsidP="007D579F">
      <w:pPr>
        <w:pStyle w:val="Apara"/>
      </w:pPr>
      <w:r w:rsidRPr="007D579F">
        <w:tab/>
        <w:t>(a)</w:t>
      </w:r>
      <w:r w:rsidRPr="007D579F">
        <w:tab/>
        <w:t>the disclosure is to an entity for an electronic work diary authorised use; or</w:t>
      </w:r>
    </w:p>
    <w:p w14:paraId="2CC0363B" w14:textId="77777777" w:rsidR="007D579F" w:rsidRPr="007D579F" w:rsidRDefault="007D579F" w:rsidP="007D579F">
      <w:pPr>
        <w:pStyle w:val="Apara"/>
      </w:pPr>
      <w:r w:rsidRPr="007D579F">
        <w:tab/>
        <w:t>(b)</w:t>
      </w:r>
      <w:r w:rsidRPr="007D579F">
        <w:tab/>
        <w:t>the disclosure is to, or made with the agreement of, the person to whom the information relates.</w:t>
      </w:r>
    </w:p>
    <w:p w14:paraId="64ED34F9" w14:textId="77777777" w:rsidR="00DB6E47" w:rsidRPr="007E1F9A" w:rsidRDefault="00DB6E47" w:rsidP="00DB6E47">
      <w:pPr>
        <w:pStyle w:val="AH5Sec"/>
      </w:pPr>
      <w:bookmarkStart w:id="920" w:name="_Toc83626264"/>
      <w:r w:rsidRPr="005E03F7">
        <w:rPr>
          <w:rStyle w:val="CharSectNo"/>
        </w:rPr>
        <w:t>729</w:t>
      </w:r>
      <w:r w:rsidRPr="007E1F9A">
        <w:tab/>
      </w:r>
      <w:r w:rsidRPr="007E1F9A">
        <w:rPr>
          <w:rFonts w:ascii="Helvetica" w:hAnsi="Helvetica" w:cs="Helvetica"/>
        </w:rPr>
        <w:t>Protected information only to be used for authorised use</w:t>
      </w:r>
      <w:bookmarkEnd w:id="920"/>
    </w:p>
    <w:p w14:paraId="7B160F7E" w14:textId="77777777" w:rsidR="00DB6E47" w:rsidRPr="002F157F" w:rsidRDefault="00DB6E47" w:rsidP="00DB6E47">
      <w:pPr>
        <w:pStyle w:val="Amain"/>
      </w:pPr>
      <w:r w:rsidRPr="002F157F">
        <w:tab/>
        <w:t>(1)</w:t>
      </w:r>
      <w:r w:rsidRPr="002F157F">
        <w:tab/>
        <w:t>A person who is, or has been, a person exercising functions under this Law must not use protected information other than for an authorised use.</w:t>
      </w:r>
    </w:p>
    <w:p w14:paraId="185D4937" w14:textId="77777777" w:rsidR="00DB6E47" w:rsidRPr="006C3305" w:rsidRDefault="00DB6E47" w:rsidP="00DB6E47">
      <w:pPr>
        <w:pStyle w:val="Penalty"/>
      </w:pPr>
      <w:r w:rsidRPr="006C3305">
        <w:t>Maximum penalty—$20000.</w:t>
      </w:r>
    </w:p>
    <w:p w14:paraId="4DCE80F2" w14:textId="77777777" w:rsidR="00DB6E47" w:rsidRPr="002F157F" w:rsidRDefault="00062FCF" w:rsidP="00DB6E47">
      <w:pPr>
        <w:pStyle w:val="Amain"/>
      </w:pPr>
      <w:r>
        <w:tab/>
        <w:t>(2)</w:t>
      </w:r>
      <w:r>
        <w:tab/>
        <w:t xml:space="preserve">However, subsection </w:t>
      </w:r>
      <w:r w:rsidR="00DB6E47" w:rsidRPr="002F157F">
        <w:t>(1)</w:t>
      </w:r>
      <w:r>
        <w:t xml:space="preserve"> </w:t>
      </w:r>
      <w:r w:rsidR="00DB6E47" w:rsidRPr="002F157F">
        <w:t>does not apply to the Regulator using protected information for making a disclosure mentioned in section</w:t>
      </w:r>
      <w:r>
        <w:t> </w:t>
      </w:r>
      <w:r w:rsidR="00DB6E47" w:rsidRPr="002F157F">
        <w:t>728(2).</w:t>
      </w:r>
    </w:p>
    <w:p w14:paraId="0635A613" w14:textId="77777777" w:rsidR="00DB6E47" w:rsidRPr="002F157F" w:rsidRDefault="00DB6E47" w:rsidP="00DB6E47">
      <w:pPr>
        <w:pStyle w:val="Amain"/>
      </w:pPr>
      <w:r w:rsidRPr="002F157F">
        <w:lastRenderedPageBreak/>
        <w:tab/>
        <w:t>(3)</w:t>
      </w:r>
      <w:r w:rsidRPr="002F157F">
        <w:tab/>
        <w:t>A person to whom protected information is</w:t>
      </w:r>
      <w:r w:rsidR="00062FCF">
        <w:t xml:space="preserve"> disclosed under section 728(3)</w:t>
      </w:r>
      <w:r w:rsidRPr="002F157F">
        <w:t>(a)</w:t>
      </w:r>
      <w:r w:rsidR="00062FCF">
        <w:t xml:space="preserve"> </w:t>
      </w:r>
      <w:r w:rsidRPr="002F157F">
        <w:t>must not use the protected information other than for the authorised use for which it was disclosed to the person.</w:t>
      </w:r>
    </w:p>
    <w:p w14:paraId="5330D86E" w14:textId="77777777" w:rsidR="00DB6E47" w:rsidRDefault="00DB6E47" w:rsidP="00DB6E47">
      <w:pPr>
        <w:pStyle w:val="Penalty"/>
      </w:pPr>
      <w:r>
        <w:t>Maximum penalty—$20000.</w:t>
      </w:r>
    </w:p>
    <w:p w14:paraId="13EBD047" w14:textId="77777777" w:rsidR="004D663E" w:rsidRPr="003323FC" w:rsidRDefault="004D663E" w:rsidP="004D663E">
      <w:pPr>
        <w:pStyle w:val="AH5Sec"/>
      </w:pPr>
      <w:bookmarkStart w:id="921" w:name="_Toc83626265"/>
      <w:r w:rsidRPr="005E03F7">
        <w:rPr>
          <w:rStyle w:val="CharSectNo"/>
        </w:rPr>
        <w:t>729A</w:t>
      </w:r>
      <w:r w:rsidRPr="007E1F9A">
        <w:tab/>
      </w:r>
      <w:r w:rsidRPr="004D663E">
        <w:t>Electronic work diary protected information only to be used for electronic work diary authorised use</w:t>
      </w:r>
      <w:bookmarkEnd w:id="921"/>
    </w:p>
    <w:p w14:paraId="58A1DEE0" w14:textId="77777777" w:rsidR="004D663E" w:rsidRPr="008C13A8" w:rsidRDefault="004D663E" w:rsidP="004D663E">
      <w:pPr>
        <w:pStyle w:val="Amain"/>
      </w:pPr>
      <w:r>
        <w:tab/>
        <w:t>(1)</w:t>
      </w:r>
      <w:r>
        <w:tab/>
      </w:r>
      <w:r w:rsidRPr="008C13A8">
        <w:t>A person who is, or has been, a person exercising functions under this Law must not use electronic work diary protected information other than for an electronic work diary authorised use.</w:t>
      </w:r>
    </w:p>
    <w:p w14:paraId="54F02239" w14:textId="77777777" w:rsidR="004D663E" w:rsidRPr="008C13A8" w:rsidRDefault="004D663E" w:rsidP="004D663E">
      <w:pPr>
        <w:pStyle w:val="Penalty"/>
      </w:pPr>
      <w:r w:rsidRPr="008C13A8">
        <w:t>Maximum penalty—$20000.</w:t>
      </w:r>
    </w:p>
    <w:p w14:paraId="1B5DBF4C" w14:textId="77777777" w:rsidR="004D663E" w:rsidRPr="008C13A8" w:rsidRDefault="004D663E" w:rsidP="004D663E">
      <w:pPr>
        <w:pStyle w:val="Amain"/>
      </w:pPr>
      <w:r w:rsidRPr="008C13A8">
        <w:tab/>
        <w:t>(2)</w:t>
      </w:r>
      <w:r w:rsidRPr="008C13A8">
        <w:tab/>
        <w:t>A person to whom electronic work diary protected information is disclosed under section 728A(2)(a) must not use the information other than for the electronic work diary authorised use for which it was disclosed to the person.</w:t>
      </w:r>
    </w:p>
    <w:p w14:paraId="7680913C" w14:textId="77777777" w:rsidR="004D663E" w:rsidRDefault="004D663E" w:rsidP="004D663E">
      <w:pPr>
        <w:pStyle w:val="Penalty"/>
      </w:pPr>
      <w:r w:rsidRPr="008C13A8">
        <w:t>Maximum penalty—$20000.</w:t>
      </w:r>
    </w:p>
    <w:p w14:paraId="3D50A7B4" w14:textId="77777777" w:rsidR="008C13A8" w:rsidRPr="008C13A8" w:rsidRDefault="008C13A8" w:rsidP="008C13A8">
      <w:pPr>
        <w:pStyle w:val="AH5Sec"/>
      </w:pPr>
      <w:bookmarkStart w:id="922" w:name="_Toc83626266"/>
      <w:r w:rsidRPr="005E03F7">
        <w:rPr>
          <w:rStyle w:val="CharSectNo"/>
        </w:rPr>
        <w:t>729B</w:t>
      </w:r>
      <w:r w:rsidRPr="007E1F9A">
        <w:tab/>
      </w:r>
      <w:r w:rsidRPr="008C13A8">
        <w:t>Warrant authorising use of electronic work diary protected information</w:t>
      </w:r>
      <w:bookmarkEnd w:id="922"/>
    </w:p>
    <w:p w14:paraId="5A3E7670" w14:textId="77777777" w:rsidR="008C13A8" w:rsidRPr="008C13A8" w:rsidRDefault="008C13A8" w:rsidP="008C13A8">
      <w:pPr>
        <w:pStyle w:val="Amain"/>
      </w:pPr>
      <w:r w:rsidRPr="008C13A8">
        <w:tab/>
        <w:t>(1)</w:t>
      </w:r>
      <w:r w:rsidRPr="008C13A8">
        <w:tab/>
        <w:t>A warrant issued under section 507 by an authorised warrant official who is a judge or magistrate may authorise electronic work diary protected information to be seized under the warrant.</w:t>
      </w:r>
    </w:p>
    <w:p w14:paraId="29527C8F" w14:textId="77777777" w:rsidR="008C13A8" w:rsidRPr="008C13A8" w:rsidRDefault="008C13A8" w:rsidP="008C13A8">
      <w:pPr>
        <w:pStyle w:val="Amain"/>
      </w:pPr>
      <w:r w:rsidRPr="008C13A8">
        <w:tab/>
        <w:t>(2)</w:t>
      </w:r>
      <w:r w:rsidRPr="008C13A8">
        <w:tab/>
        <w:t>The warrant must state the purpose for which the information may be used.</w:t>
      </w:r>
    </w:p>
    <w:p w14:paraId="5C813391" w14:textId="77777777" w:rsidR="008C13A8" w:rsidRPr="008C13A8" w:rsidRDefault="008C13A8" w:rsidP="008C13A8">
      <w:pPr>
        <w:pStyle w:val="Amain"/>
      </w:pPr>
      <w:r w:rsidRPr="008C13A8">
        <w:tab/>
        <w:t>(3)</w:t>
      </w:r>
      <w:r w:rsidRPr="008C13A8">
        <w:tab/>
        <w:t>An authorised officer may apply for, and the authorised warrant official who is a judge or magistrate may issue, the warrant for entry of a vehicle at a place stated in the warrant or, despite sections 506(1) and 507(2)(a), wherever the vehicle is located.</w:t>
      </w:r>
    </w:p>
    <w:p w14:paraId="63A435AA" w14:textId="77777777" w:rsidR="008C13A8" w:rsidRPr="008C13A8" w:rsidRDefault="008C13A8" w:rsidP="00F31260">
      <w:pPr>
        <w:pStyle w:val="Amain"/>
        <w:keepLines/>
      </w:pPr>
      <w:r w:rsidRPr="008C13A8">
        <w:lastRenderedPageBreak/>
        <w:tab/>
        <w:t>(4)</w:t>
      </w:r>
      <w:r w:rsidRPr="008C13A8">
        <w:tab/>
        <w:t>Chapter 9 does not authorise an authorised officer to obtain electronic work diary protected information for a purpose other than the enforcement of a driver fatigue provision unless the information is authorised to be seized under a warrant mentioned in subsection</w:t>
      </w:r>
      <w:r>
        <w:t> </w:t>
      </w:r>
      <w:r w:rsidRPr="008C13A8">
        <w:t>(1).</w:t>
      </w:r>
    </w:p>
    <w:p w14:paraId="2DAB9B7E" w14:textId="77777777" w:rsidR="00DB6E47" w:rsidRPr="00DF5C50" w:rsidRDefault="00DB6E47" w:rsidP="00DB6E47">
      <w:pPr>
        <w:pStyle w:val="PageBreak"/>
      </w:pPr>
      <w:r w:rsidRPr="00DF5C50">
        <w:br w:type="page"/>
      </w:r>
    </w:p>
    <w:p w14:paraId="2B78F75C" w14:textId="77777777" w:rsidR="00DB6E47" w:rsidRPr="005E03F7" w:rsidRDefault="00DB6E47" w:rsidP="00DB6E47">
      <w:pPr>
        <w:pStyle w:val="AH2Part"/>
      </w:pPr>
      <w:bookmarkStart w:id="923" w:name="_Toc83626267"/>
      <w:r w:rsidRPr="005E03F7">
        <w:rPr>
          <w:rStyle w:val="CharPartNo"/>
        </w:rPr>
        <w:lastRenderedPageBreak/>
        <w:t xml:space="preserve">Part 13.5 </w:t>
      </w:r>
      <w:r w:rsidRPr="00A95F9A">
        <w:rPr>
          <w:rFonts w:ascii="Helvetica" w:hAnsi="Helvetica" w:cs="Helvetica"/>
          <w:szCs w:val="32"/>
        </w:rPr>
        <w:tab/>
      </w:r>
      <w:r w:rsidRPr="005E03F7">
        <w:rPr>
          <w:rStyle w:val="CharPartText"/>
          <w:rFonts w:ascii="Helvetica" w:hAnsi="Helvetica" w:cs="Helvetica"/>
          <w:szCs w:val="32"/>
        </w:rPr>
        <w:t>National regulations</w:t>
      </w:r>
      <w:bookmarkEnd w:id="923"/>
    </w:p>
    <w:p w14:paraId="5AB63BF1" w14:textId="77777777" w:rsidR="00DB6E47" w:rsidRPr="007E1F9A" w:rsidRDefault="00DB6E47" w:rsidP="00DB6E47">
      <w:pPr>
        <w:pStyle w:val="AH5Sec"/>
      </w:pPr>
      <w:bookmarkStart w:id="924" w:name="_Toc83626268"/>
      <w:r w:rsidRPr="005E03F7">
        <w:rPr>
          <w:rStyle w:val="CharSectNo"/>
        </w:rPr>
        <w:t>730</w:t>
      </w:r>
      <w:r w:rsidRPr="007E1F9A">
        <w:tab/>
      </w:r>
      <w:r w:rsidRPr="007E1F9A">
        <w:rPr>
          <w:rFonts w:ascii="Helvetica" w:hAnsi="Helvetica" w:cs="Helvetica"/>
        </w:rPr>
        <w:t>National regulations</w:t>
      </w:r>
      <w:bookmarkEnd w:id="924"/>
    </w:p>
    <w:p w14:paraId="1C267D3F" w14:textId="77777777" w:rsidR="00DB6E47" w:rsidRPr="002F157F" w:rsidRDefault="00DB6E47" w:rsidP="00DB6E47">
      <w:pPr>
        <w:pStyle w:val="Amain"/>
      </w:pPr>
      <w:r w:rsidRPr="002F157F">
        <w:tab/>
        <w:t>(1)</w:t>
      </w:r>
      <w:r w:rsidRPr="002F157F">
        <w:tab/>
        <w:t>For the purposes of this section, the designated authority is the Queensland Governor acting with the advice of the Executive Council of Queensland and on the unanimous recommendation of the responsible Ministers.</w:t>
      </w:r>
    </w:p>
    <w:p w14:paraId="0B9F948F" w14:textId="77777777" w:rsidR="00DB6E47" w:rsidRPr="002F157F" w:rsidRDefault="00DB6E47" w:rsidP="00DB6E47">
      <w:pPr>
        <w:pStyle w:val="Amain"/>
      </w:pPr>
      <w:r w:rsidRPr="002F157F">
        <w:tab/>
        <w:t>(2)</w:t>
      </w:r>
      <w:r w:rsidRPr="002F157F">
        <w:tab/>
        <w:t>The designated authority may make regulations for the purposes of this Law.</w:t>
      </w:r>
    </w:p>
    <w:p w14:paraId="0412EE0C" w14:textId="77777777" w:rsidR="00DB6E47" w:rsidRPr="002F157F" w:rsidRDefault="00DB6E47" w:rsidP="00DB6E47">
      <w:pPr>
        <w:pStyle w:val="Amain"/>
      </w:pPr>
      <w:r w:rsidRPr="002F157F">
        <w:tab/>
        <w:t>(3)</w:t>
      </w:r>
      <w:r w:rsidRPr="002F157F">
        <w:tab/>
        <w:t>The regulations may provide for—</w:t>
      </w:r>
    </w:p>
    <w:p w14:paraId="6542E965" w14:textId="77777777" w:rsidR="00DB6E47" w:rsidRPr="00544ED5" w:rsidRDefault="00DB6E47" w:rsidP="00DB6E47">
      <w:pPr>
        <w:pStyle w:val="Apara"/>
      </w:pPr>
      <w:r w:rsidRPr="00544ED5">
        <w:tab/>
        <w:t>(a)</w:t>
      </w:r>
      <w:r w:rsidRPr="00544ED5">
        <w:tab/>
        <w:t>any matter a provision of this Law states may be provided for in the regulations; and</w:t>
      </w:r>
    </w:p>
    <w:p w14:paraId="5300B9E2" w14:textId="77777777" w:rsidR="00DB6E47" w:rsidRPr="00544ED5" w:rsidRDefault="00DB6E47" w:rsidP="00DB6E47">
      <w:pPr>
        <w:pStyle w:val="Apara"/>
      </w:pPr>
      <w:r w:rsidRPr="00544ED5">
        <w:tab/>
        <w:t>(b)</w:t>
      </w:r>
      <w:r w:rsidRPr="00544ED5">
        <w:tab/>
        <w:t>the imposition of a maximum fine for a contravention of a provision of the regulations of not more than—</w:t>
      </w:r>
    </w:p>
    <w:p w14:paraId="5DE7E60C" w14:textId="77777777" w:rsidR="00DB6E47" w:rsidRPr="00CC71DF" w:rsidRDefault="00DB6E47" w:rsidP="00DB6E47">
      <w:pPr>
        <w:pStyle w:val="Asubpara"/>
      </w:pPr>
      <w:r w:rsidRPr="00CC71DF">
        <w:tab/>
        <w:t>(i)</w:t>
      </w:r>
      <w:r w:rsidRPr="00CC71DF">
        <w:tab/>
        <w:t>for a contravention by an individual—$4000; or</w:t>
      </w:r>
    </w:p>
    <w:p w14:paraId="2471371F" w14:textId="77777777" w:rsidR="00DB6E47" w:rsidRPr="00CC71DF" w:rsidRDefault="00DB6E47" w:rsidP="00DB6E47">
      <w:pPr>
        <w:pStyle w:val="Asubpara"/>
      </w:pPr>
      <w:r w:rsidRPr="00CC71DF">
        <w:tab/>
        <w:t>(ii)</w:t>
      </w:r>
      <w:r w:rsidRPr="00CC71DF">
        <w:tab/>
        <w:t>in any other case—$20000; and</w:t>
      </w:r>
    </w:p>
    <w:p w14:paraId="265C7528" w14:textId="77777777" w:rsidR="00F1277E" w:rsidRPr="00F1277E" w:rsidRDefault="00F1277E" w:rsidP="00F1277E">
      <w:pPr>
        <w:pStyle w:val="aNotepar"/>
        <w:rPr>
          <w:lang w:val="en" w:eastAsia="en-AU"/>
        </w:rPr>
      </w:pPr>
      <w:r w:rsidRPr="00F1277E">
        <w:rPr>
          <w:rStyle w:val="charItals"/>
        </w:rPr>
        <w:t>Note</w:t>
      </w:r>
      <w:r w:rsidRPr="00F1277E">
        <w:rPr>
          <w:lang w:val="en" w:eastAsia="en-AU"/>
        </w:rPr>
        <w:t>—</w:t>
      </w:r>
    </w:p>
    <w:p w14:paraId="440751A7" w14:textId="77777777" w:rsidR="00F1277E" w:rsidRPr="00F1277E" w:rsidRDefault="00F1277E" w:rsidP="00F1277E">
      <w:pPr>
        <w:pStyle w:val="aNoteTextpar"/>
        <w:rPr>
          <w:lang w:val="en" w:eastAsia="en-AU"/>
        </w:rPr>
      </w:pPr>
      <w:r w:rsidRPr="00F1277E">
        <w:rPr>
          <w:lang w:val="en" w:eastAsia="en-AU"/>
        </w:rPr>
        <w:t>However, a maximum fine imposed by the regulations may be increased under section 737 to a higher amount.</w:t>
      </w:r>
    </w:p>
    <w:p w14:paraId="67D45081" w14:textId="77777777" w:rsidR="00DB6E47" w:rsidRPr="00544ED5" w:rsidRDefault="00DB6E47" w:rsidP="00DB6E47">
      <w:pPr>
        <w:pStyle w:val="Apara"/>
      </w:pPr>
      <w:r w:rsidRPr="00544ED5">
        <w:tab/>
        <w:t>(c)</w:t>
      </w:r>
      <w:r w:rsidRPr="00544ED5">
        <w:tab/>
        <w:t>any other matter that is necessary or convenient to be prescribed for carrying out or giving effect to this Law.</w:t>
      </w:r>
    </w:p>
    <w:p w14:paraId="572140B9" w14:textId="77777777" w:rsidR="00DB6E47" w:rsidRPr="002F157F" w:rsidRDefault="00547A52" w:rsidP="00DB6E47">
      <w:pPr>
        <w:pStyle w:val="Amain"/>
      </w:pPr>
      <w:r>
        <w:tab/>
        <w:t>(4)</w:t>
      </w:r>
      <w:r>
        <w:tab/>
        <w:t>Subsection (3)</w:t>
      </w:r>
      <w:r w:rsidR="00DB6E47" w:rsidRPr="002F157F">
        <w:t>(b)</w:t>
      </w:r>
      <w:r>
        <w:t xml:space="preserve"> </w:t>
      </w:r>
      <w:r w:rsidR="00DB6E47" w:rsidRPr="002F157F">
        <w:t>does not require a provision of the regulations prescribing a maximum fine for an offence to expressly prescribe a maximum fine for a body corporate different to the maximum fine for an individual.</w:t>
      </w:r>
    </w:p>
    <w:p w14:paraId="31BCED92" w14:textId="77777777" w:rsidR="00DB6E47" w:rsidRPr="007E1F9A" w:rsidRDefault="00DB6E47" w:rsidP="00DB6E47">
      <w:pPr>
        <w:pStyle w:val="aNote"/>
      </w:pPr>
      <w:r w:rsidRPr="00FF4454">
        <w:rPr>
          <w:rStyle w:val="charItals"/>
        </w:rPr>
        <w:t>Note</w:t>
      </w:r>
      <w:r w:rsidRPr="00C96203">
        <w:rPr>
          <w:rFonts w:cs="Times"/>
          <w:bCs/>
        </w:rPr>
        <w:t>—</w:t>
      </w:r>
    </w:p>
    <w:p w14:paraId="37F2D740" w14:textId="77777777" w:rsidR="00DB6E47" w:rsidRPr="007E1F9A" w:rsidRDefault="00DB6E47" w:rsidP="00DB6E47">
      <w:pPr>
        <w:pStyle w:val="HeadingRunIn"/>
        <w:keepNext w:val="0"/>
        <w:suppressAutoHyphens/>
        <w:spacing w:line="220" w:lineRule="atLeast"/>
        <w:ind w:left="1440"/>
        <w:jc w:val="both"/>
        <w:rPr>
          <w:rFonts w:ascii="Times" w:hAnsi="Times" w:cs="Times"/>
          <w:b w:val="0"/>
          <w:bCs w:val="0"/>
          <w:color w:val="auto"/>
          <w:w w:val="100"/>
          <w:sz w:val="20"/>
          <w:szCs w:val="20"/>
        </w:rPr>
      </w:pPr>
      <w:r w:rsidRPr="007E1F9A">
        <w:rPr>
          <w:rFonts w:ascii="Times" w:hAnsi="Times" w:cs="Times"/>
          <w:b w:val="0"/>
          <w:bCs w:val="0"/>
          <w:color w:val="auto"/>
          <w:w w:val="100"/>
          <w:sz w:val="20"/>
          <w:szCs w:val="20"/>
        </w:rPr>
        <w:t>See section 596 in relation to a provision of the regulations prescribing a maximum fine that does not expressly prescribe a maximum fine for a body corporate different to the maximum fine for an individual.</w:t>
      </w:r>
    </w:p>
    <w:p w14:paraId="7A388A96" w14:textId="77777777" w:rsidR="00DB6E47" w:rsidRPr="002F157F" w:rsidRDefault="00DB6E47" w:rsidP="009F29F0">
      <w:pPr>
        <w:pStyle w:val="Amain"/>
        <w:keepNext/>
      </w:pPr>
      <w:r w:rsidRPr="002F157F">
        <w:lastRenderedPageBreak/>
        <w:tab/>
        <w:t>(5)</w:t>
      </w:r>
      <w:r w:rsidRPr="002F157F">
        <w:tab/>
        <w:t>In this section—</w:t>
      </w:r>
    </w:p>
    <w:p w14:paraId="6629A29D" w14:textId="77777777" w:rsidR="00DB6E47" w:rsidRPr="00041046" w:rsidRDefault="00DB6E47" w:rsidP="009F29F0">
      <w:pPr>
        <w:pStyle w:val="aDef"/>
        <w:keepNext/>
        <w:rPr>
          <w:bCs/>
        </w:rPr>
      </w:pPr>
      <w:r w:rsidRPr="00041046">
        <w:rPr>
          <w:rStyle w:val="charBoldItals"/>
        </w:rPr>
        <w:t>Queensland Governor</w:t>
      </w:r>
      <w:r w:rsidRPr="00041046">
        <w:t xml:space="preserve"> means the Governor of the State of Queensland and includes—</w:t>
      </w:r>
    </w:p>
    <w:p w14:paraId="66504044" w14:textId="244BBD05" w:rsidR="00DB6E47" w:rsidRPr="00547A52" w:rsidRDefault="00DB6E47" w:rsidP="00DB6E47">
      <w:pPr>
        <w:pStyle w:val="aDefpara"/>
      </w:pPr>
      <w:r w:rsidRPr="00F04D8E">
        <w:rPr>
          <w:rFonts w:cs="Times"/>
          <w:bCs/>
        </w:rPr>
        <w:tab/>
        <w:t>(a)</w:t>
      </w:r>
      <w:r w:rsidRPr="00F04D8E">
        <w:rPr>
          <w:rFonts w:cs="Times"/>
          <w:bCs/>
        </w:rPr>
        <w:tab/>
        <w:t>a person acting under a delegation under section 40 of the</w:t>
      </w:r>
      <w:r w:rsidRPr="00FF4454">
        <w:rPr>
          <w:rStyle w:val="charBoldItals"/>
        </w:rPr>
        <w:t xml:space="preserve"> </w:t>
      </w:r>
      <w:hyperlink r:id="rId109" w:tooltip="Constitution of Queensland 2001" w:history="1">
        <w:r w:rsidR="00EA2CFC" w:rsidRPr="00EA2CFC">
          <w:rPr>
            <w:rStyle w:val="charCitHyperlinkItal"/>
          </w:rPr>
          <w:t>Constitution of Queensland 2001</w:t>
        </w:r>
      </w:hyperlink>
      <w:r w:rsidRPr="00547A52">
        <w:t>; and</w:t>
      </w:r>
    </w:p>
    <w:p w14:paraId="2FBE6BBD" w14:textId="089F2AAF" w:rsidR="00DB6E47" w:rsidRPr="00547A52" w:rsidRDefault="00DB6E47" w:rsidP="00DB6E47">
      <w:pPr>
        <w:pStyle w:val="aDefpara"/>
      </w:pPr>
      <w:r w:rsidRPr="00F04D8E">
        <w:rPr>
          <w:rFonts w:cs="Times"/>
          <w:bCs/>
        </w:rPr>
        <w:tab/>
        <w:t>(b)</w:t>
      </w:r>
      <w:r w:rsidRPr="00F04D8E">
        <w:rPr>
          <w:rFonts w:cs="Times"/>
          <w:bCs/>
        </w:rPr>
        <w:tab/>
        <w:t>a person for the time being administering the Government of Queensland under section 41 of the</w:t>
      </w:r>
      <w:r w:rsidRPr="00547A52">
        <w:t xml:space="preserve"> </w:t>
      </w:r>
      <w:hyperlink r:id="rId110" w:tooltip="Constitution of Queensland 2001" w:history="1">
        <w:r w:rsidR="00EA2CFC" w:rsidRPr="00EA2CFC">
          <w:rPr>
            <w:rStyle w:val="charCitHyperlinkItal"/>
          </w:rPr>
          <w:t>Constitution of Queensland 2001</w:t>
        </w:r>
      </w:hyperlink>
      <w:r w:rsidRPr="00547A52">
        <w:t>.</w:t>
      </w:r>
    </w:p>
    <w:p w14:paraId="3737EEE1" w14:textId="77777777" w:rsidR="00DB6E47" w:rsidRPr="007E1F9A" w:rsidRDefault="00DB6E47" w:rsidP="00DB6E47">
      <w:pPr>
        <w:pStyle w:val="AH5Sec"/>
      </w:pPr>
      <w:bookmarkStart w:id="925" w:name="_Toc83626269"/>
      <w:r w:rsidRPr="005E03F7">
        <w:rPr>
          <w:rStyle w:val="CharSectNo"/>
        </w:rPr>
        <w:t>731</w:t>
      </w:r>
      <w:r w:rsidRPr="007E1F9A">
        <w:tab/>
      </w:r>
      <w:r w:rsidRPr="007E1F9A">
        <w:rPr>
          <w:rFonts w:ascii="Helvetica" w:hAnsi="Helvetica" w:cs="Helvetica"/>
        </w:rPr>
        <w:t>National regulations for approved vehicle examiners</w:t>
      </w:r>
      <w:bookmarkEnd w:id="925"/>
    </w:p>
    <w:p w14:paraId="77D3F092" w14:textId="77777777" w:rsidR="00DB6E47" w:rsidRPr="002F157F" w:rsidRDefault="00DB6E47" w:rsidP="00DB6E47">
      <w:pPr>
        <w:pStyle w:val="Amain"/>
      </w:pPr>
      <w:r w:rsidRPr="002F157F">
        <w:tab/>
        <w:t>(1)</w:t>
      </w:r>
      <w:r w:rsidRPr="002F157F">
        <w:tab/>
        <w:t>Without limiting any other provision of this Law, the national regulations may provide for—</w:t>
      </w:r>
    </w:p>
    <w:p w14:paraId="18C11225" w14:textId="77777777" w:rsidR="00DB6E47" w:rsidRPr="00544ED5" w:rsidRDefault="00DB6E47" w:rsidP="00DB6E47">
      <w:pPr>
        <w:pStyle w:val="Apara"/>
      </w:pPr>
      <w:r>
        <w:tab/>
      </w:r>
      <w:r w:rsidRPr="00544ED5">
        <w:t>(a)</w:t>
      </w:r>
      <w:r w:rsidRPr="00544ED5">
        <w:tab/>
        <w:t>the approval of classes of vehicle examiners to inspect vehicles for the purposes of this Law; and</w:t>
      </w:r>
    </w:p>
    <w:p w14:paraId="41E1C7B8" w14:textId="77777777" w:rsidR="00DB6E47" w:rsidRPr="00544ED5" w:rsidRDefault="00DB6E47" w:rsidP="00DB6E47">
      <w:pPr>
        <w:pStyle w:val="Apara"/>
      </w:pPr>
      <w:r>
        <w:tab/>
      </w:r>
      <w:r w:rsidRPr="00544ED5">
        <w:t>(b)</w:t>
      </w:r>
      <w:r w:rsidRPr="00544ED5">
        <w:tab/>
        <w:t>the role of the Regulator in approving classes of vehicle examiners and persons as vehicle examiners; and</w:t>
      </w:r>
    </w:p>
    <w:p w14:paraId="0DB7B31E" w14:textId="77777777" w:rsidR="00DB6E47" w:rsidRPr="00544ED5" w:rsidRDefault="00DB6E47" w:rsidP="00DB6E47">
      <w:pPr>
        <w:pStyle w:val="Apara"/>
      </w:pPr>
      <w:r>
        <w:tab/>
      </w:r>
      <w:r w:rsidRPr="00544ED5">
        <w:t>(c)</w:t>
      </w:r>
      <w:r w:rsidRPr="00544ED5">
        <w:tab/>
        <w:t>probity requirements for becoming and being approved vehicle examiners; and</w:t>
      </w:r>
    </w:p>
    <w:p w14:paraId="5B5F2E22" w14:textId="77777777" w:rsidR="00DB6E47" w:rsidRPr="00544ED5" w:rsidRDefault="00DB6E47" w:rsidP="00DB6E47">
      <w:pPr>
        <w:pStyle w:val="Apara"/>
      </w:pPr>
      <w:r>
        <w:tab/>
      </w:r>
      <w:r w:rsidRPr="00544ED5">
        <w:t>(d)</w:t>
      </w:r>
      <w:r w:rsidRPr="00544ED5">
        <w:tab/>
        <w:t>the functions of approved vehicle examiners or classes of approved vehicle examiners, including, for example—</w:t>
      </w:r>
    </w:p>
    <w:p w14:paraId="6D79BCF1" w14:textId="77777777" w:rsidR="00DB6E47" w:rsidRPr="00CC71DF" w:rsidRDefault="00DB6E47" w:rsidP="00DB6E47">
      <w:pPr>
        <w:pStyle w:val="Asubpara"/>
      </w:pPr>
      <w:r>
        <w:tab/>
      </w:r>
      <w:r w:rsidRPr="00CC71DF">
        <w:t>(i)</w:t>
      </w:r>
      <w:r w:rsidRPr="00CC71DF">
        <w:tab/>
        <w:t>the examination and testing of heavy vehicles and equipment; and</w:t>
      </w:r>
    </w:p>
    <w:p w14:paraId="72526DA6" w14:textId="77777777" w:rsidR="00DB6E47" w:rsidRPr="00CC71DF" w:rsidRDefault="00DB6E47" w:rsidP="00DB6E47">
      <w:pPr>
        <w:pStyle w:val="Asubpara"/>
      </w:pPr>
      <w:r>
        <w:tab/>
      </w:r>
      <w:r w:rsidRPr="00CC71DF">
        <w:t>(ii)</w:t>
      </w:r>
      <w:r w:rsidRPr="00CC71DF">
        <w:tab/>
        <w:t>the oversight of entities involved in the inspection or repair of heavy vehicles; and</w:t>
      </w:r>
    </w:p>
    <w:p w14:paraId="5F455C22" w14:textId="77777777" w:rsidR="00DB6E47" w:rsidRPr="00CC71DF" w:rsidRDefault="00DB6E47" w:rsidP="00DB6E47">
      <w:pPr>
        <w:pStyle w:val="Asubpara"/>
      </w:pPr>
      <w:r>
        <w:tab/>
      </w:r>
      <w:r w:rsidRPr="00CC71DF">
        <w:t>(iii)</w:t>
      </w:r>
      <w:r w:rsidRPr="00CC71DF">
        <w:tab/>
        <w:t>the clearance of vehicle defect notices; and</w:t>
      </w:r>
    </w:p>
    <w:p w14:paraId="02EC74AC" w14:textId="77777777" w:rsidR="00DB6E47" w:rsidRPr="00544ED5" w:rsidRDefault="00DB6E47" w:rsidP="00DB6E47">
      <w:pPr>
        <w:pStyle w:val="Apara"/>
      </w:pPr>
      <w:r>
        <w:tab/>
      </w:r>
      <w:r w:rsidRPr="00544ED5">
        <w:t>(e)</w:t>
      </w:r>
      <w:r w:rsidRPr="00544ED5">
        <w:tab/>
        <w:t>the premises or location where functions of approved vehicle examiners are permitted to be conducted and any matters relating to the premises or location where those functions are conducted; and</w:t>
      </w:r>
    </w:p>
    <w:p w14:paraId="4444A8AD" w14:textId="77777777" w:rsidR="00DB6E47" w:rsidRPr="00544ED5" w:rsidRDefault="00DB6E47" w:rsidP="00DB6E47">
      <w:pPr>
        <w:pStyle w:val="Apara"/>
      </w:pPr>
      <w:r>
        <w:lastRenderedPageBreak/>
        <w:tab/>
      </w:r>
      <w:r w:rsidRPr="00544ED5">
        <w:t>(f)</w:t>
      </w:r>
      <w:r w:rsidRPr="00544ED5">
        <w:tab/>
        <w:t xml:space="preserve">the facilities and equipment that approved vehicle examiners are required to have in connection with the exercise of their functions; and </w:t>
      </w:r>
    </w:p>
    <w:p w14:paraId="1907C58D" w14:textId="77777777" w:rsidR="00DB6E47" w:rsidRPr="00544ED5" w:rsidRDefault="00DB6E47" w:rsidP="00DB6E47">
      <w:pPr>
        <w:pStyle w:val="Apara"/>
      </w:pPr>
      <w:r w:rsidRPr="00544ED5">
        <w:tab/>
        <w:t>(g)</w:t>
      </w:r>
      <w:r w:rsidRPr="00544ED5">
        <w:tab/>
        <w:t>the terms and conditions of approval of persons as vehicle examiners (including, for example, fees, qualifications and responsibilities); and</w:t>
      </w:r>
    </w:p>
    <w:p w14:paraId="5A326E64" w14:textId="77777777" w:rsidR="00DB6E47" w:rsidRPr="00544ED5" w:rsidRDefault="00DB6E47" w:rsidP="00DB6E47">
      <w:pPr>
        <w:pStyle w:val="Apara"/>
      </w:pPr>
      <w:r>
        <w:tab/>
      </w:r>
      <w:r w:rsidRPr="00544ED5">
        <w:t>(h)</w:t>
      </w:r>
      <w:r w:rsidRPr="00544ED5">
        <w:tab/>
        <w:t>procedures for monitoring and auditing compliance with—</w:t>
      </w:r>
    </w:p>
    <w:p w14:paraId="5BC1C6B2" w14:textId="77777777" w:rsidR="00DB6E47" w:rsidRPr="00CC71DF" w:rsidRDefault="00DB6E47" w:rsidP="00DB6E47">
      <w:pPr>
        <w:pStyle w:val="Asubpara"/>
      </w:pPr>
      <w:r>
        <w:tab/>
      </w:r>
      <w:r w:rsidRPr="00CC71DF">
        <w:t>(i)</w:t>
      </w:r>
      <w:r w:rsidRPr="00CC71DF">
        <w:tab/>
        <w:t>the terms and conditions of approval of a person as a vehicle examiner; and</w:t>
      </w:r>
    </w:p>
    <w:p w14:paraId="33F088BC" w14:textId="77777777" w:rsidR="00DB6E47" w:rsidRPr="00CC71DF" w:rsidRDefault="00DB6E47" w:rsidP="00DB6E47">
      <w:pPr>
        <w:pStyle w:val="Asubpara"/>
      </w:pPr>
      <w:r>
        <w:tab/>
      </w:r>
      <w:r w:rsidRPr="00CC71DF">
        <w:t>(ii)</w:t>
      </w:r>
      <w:r w:rsidRPr="00CC71DF">
        <w:tab/>
        <w:t>the relevant provisions of this Law and any applicable code of practice prescribed by the national regulations; and</w:t>
      </w:r>
    </w:p>
    <w:p w14:paraId="2DBA679E" w14:textId="77777777" w:rsidR="00DB6E47" w:rsidRPr="00F04D8E" w:rsidRDefault="00547A52" w:rsidP="00547A52">
      <w:pPr>
        <w:pStyle w:val="aDefsubpara"/>
      </w:pPr>
      <w:r>
        <w:tab/>
      </w:r>
      <w:r w:rsidR="00DB6E47" w:rsidRPr="00F04D8E">
        <w:t>(iii)</w:t>
      </w:r>
      <w:r w:rsidR="00DB6E47" w:rsidRPr="00F04D8E">
        <w:tab/>
        <w:t>any other relevant requirements; and</w:t>
      </w:r>
    </w:p>
    <w:p w14:paraId="6325F1A3" w14:textId="77777777" w:rsidR="00DB6E47" w:rsidRPr="00544ED5" w:rsidRDefault="00DB6E47" w:rsidP="00DB6E47">
      <w:pPr>
        <w:pStyle w:val="Apara"/>
      </w:pPr>
      <w:r>
        <w:tab/>
      </w:r>
      <w:r w:rsidRPr="00544ED5">
        <w:t>(i)</w:t>
      </w:r>
      <w:r w:rsidRPr="00544ED5">
        <w:tab/>
        <w:t>the discipline of, and disciplinary procedures applying to, approved vehicle examiners and entities having responsibility for their functions (including directors, managers and employees), whether—</w:t>
      </w:r>
    </w:p>
    <w:p w14:paraId="41B3E0DE" w14:textId="77777777" w:rsidR="00DB6E47" w:rsidRPr="00CC71DF" w:rsidRDefault="00DB6E47" w:rsidP="00DB6E47">
      <w:pPr>
        <w:pStyle w:val="Asubpara"/>
      </w:pPr>
      <w:r>
        <w:tab/>
      </w:r>
      <w:r w:rsidRPr="00CC71DF">
        <w:t>(i)</w:t>
      </w:r>
      <w:r w:rsidRPr="00CC71DF">
        <w:tab/>
        <w:t>by way of monetary penalties, restriction on functions, imposition of conditions, variation of terms of appointment, suspension of appointment, cancellation of appointment; or</w:t>
      </w:r>
    </w:p>
    <w:p w14:paraId="2CC678A5" w14:textId="77777777" w:rsidR="00DB6E47" w:rsidRPr="00CC71DF" w:rsidRDefault="00DB6E47" w:rsidP="00DB6E47">
      <w:pPr>
        <w:pStyle w:val="Asubpara"/>
      </w:pPr>
      <w:r>
        <w:tab/>
      </w:r>
      <w:r w:rsidRPr="00CC71DF">
        <w:t>(ii)</w:t>
      </w:r>
      <w:r w:rsidRPr="00CC71DF">
        <w:tab/>
        <w:t>in some other way.</w:t>
      </w:r>
    </w:p>
    <w:p w14:paraId="550F1D2B" w14:textId="77777777" w:rsidR="00DB6E47" w:rsidRPr="002F157F" w:rsidRDefault="00DB6E47" w:rsidP="00DB6E47">
      <w:pPr>
        <w:pStyle w:val="Amain"/>
      </w:pPr>
      <w:r w:rsidRPr="002F157F">
        <w:tab/>
        <w:t>(2)</w:t>
      </w:r>
      <w:r w:rsidRPr="002F157F">
        <w:tab/>
        <w:t>The national regulations may make provision with respect to vehicle examiners (however described) appointed or authorised under a law of any participating jurisdiction and entities having responsibility for their functions (including directors, managers and employees), including processes relating to discipline and disciplinary procedures applying to them.</w:t>
      </w:r>
    </w:p>
    <w:p w14:paraId="3FDEE28C" w14:textId="77777777" w:rsidR="00DB6E47" w:rsidRPr="007E1F9A" w:rsidRDefault="00DB6E47" w:rsidP="00DB6E47">
      <w:pPr>
        <w:pStyle w:val="AH5Sec"/>
      </w:pPr>
      <w:bookmarkStart w:id="926" w:name="_Toc83626270"/>
      <w:r w:rsidRPr="005E03F7">
        <w:rPr>
          <w:rStyle w:val="CharSectNo"/>
        </w:rPr>
        <w:lastRenderedPageBreak/>
        <w:t>732</w:t>
      </w:r>
      <w:r w:rsidRPr="007E1F9A">
        <w:tab/>
      </w:r>
      <w:r w:rsidRPr="007E1F9A">
        <w:rPr>
          <w:rFonts w:ascii="Helvetica" w:hAnsi="Helvetica" w:cs="Helvetica"/>
        </w:rPr>
        <w:t>National regulations for publication of agreements for services to States or Territories</w:t>
      </w:r>
      <w:bookmarkEnd w:id="926"/>
    </w:p>
    <w:p w14:paraId="64A5EC39" w14:textId="77777777" w:rsidR="00DB6E47" w:rsidRPr="002F157F" w:rsidRDefault="00DB6E47" w:rsidP="00DB6E47">
      <w:pPr>
        <w:pStyle w:val="Amainreturn"/>
      </w:pPr>
      <w:r w:rsidRPr="002F157F">
        <w:t>Without limiting any other provision of this Law, the national regulations may provide that particular matters contained in or relating to agr</w:t>
      </w:r>
      <w:r w:rsidR="00547A52">
        <w:t>eements referred to section 658</w:t>
      </w:r>
      <w:r w:rsidRPr="002F157F">
        <w:t>(2)</w:t>
      </w:r>
      <w:r w:rsidR="00547A52">
        <w:t xml:space="preserve"> </w:t>
      </w:r>
      <w:r w:rsidRPr="002F157F">
        <w:t>are to be published on the Regulator’s website.</w:t>
      </w:r>
    </w:p>
    <w:p w14:paraId="4C643EF7" w14:textId="77777777" w:rsidR="00DB6E47" w:rsidRPr="007E1F9A" w:rsidRDefault="00DB6E47" w:rsidP="00DB6E47">
      <w:pPr>
        <w:pStyle w:val="AH5Sec"/>
      </w:pPr>
      <w:bookmarkStart w:id="927" w:name="_Toc83626271"/>
      <w:r w:rsidRPr="005E03F7">
        <w:rPr>
          <w:rStyle w:val="CharSectNo"/>
        </w:rPr>
        <w:t>733</w:t>
      </w:r>
      <w:r w:rsidRPr="007E1F9A">
        <w:tab/>
      </w:r>
      <w:r w:rsidRPr="007E1F9A">
        <w:rPr>
          <w:rFonts w:ascii="Helvetica" w:hAnsi="Helvetica" w:cs="Helvetica"/>
        </w:rPr>
        <w:t>Publication of national regulations</w:t>
      </w:r>
      <w:bookmarkEnd w:id="927"/>
    </w:p>
    <w:p w14:paraId="3CD07807" w14:textId="5D352216" w:rsidR="00DB6E47" w:rsidRPr="002F157F" w:rsidRDefault="00DB6E47" w:rsidP="00DB6E47">
      <w:pPr>
        <w:pStyle w:val="Amain"/>
      </w:pPr>
      <w:r w:rsidRPr="002F157F">
        <w:tab/>
        <w:t>(1)</w:t>
      </w:r>
      <w:r w:rsidRPr="002F157F">
        <w:tab/>
        <w:t xml:space="preserve">The national regulations are to be published on the NSW legislation website in accordance with Part 6A of the </w:t>
      </w:r>
      <w:hyperlink r:id="rId111" w:tooltip="Interpretation Act 1987 (NSW)" w:history="1">
        <w:r w:rsidR="00547A52" w:rsidRPr="00547A52">
          <w:rPr>
            <w:rStyle w:val="charCitHyperlinkItal"/>
          </w:rPr>
          <w:t>Interpretation Act 1987</w:t>
        </w:r>
      </w:hyperlink>
      <w:r w:rsidRPr="002F157F">
        <w:t xml:space="preserve"> of New South Wales.</w:t>
      </w:r>
    </w:p>
    <w:p w14:paraId="24996668" w14:textId="77777777" w:rsidR="00DB6E47" w:rsidRPr="002F157F" w:rsidRDefault="00DB6E47" w:rsidP="00DB6E47">
      <w:pPr>
        <w:pStyle w:val="Amain"/>
      </w:pPr>
      <w:r w:rsidRPr="002F157F">
        <w:tab/>
        <w:t>(2)</w:t>
      </w:r>
      <w:r w:rsidRPr="002F157F">
        <w:tab/>
        <w:t>A regulation commences on the day or days specified in the regulation for its commencement (being not earlier than the date it is published).</w:t>
      </w:r>
    </w:p>
    <w:p w14:paraId="2BFA70A9" w14:textId="77777777" w:rsidR="00DB6E47" w:rsidRPr="007E1F9A" w:rsidRDefault="00DB6E47" w:rsidP="00DB6E47">
      <w:pPr>
        <w:pStyle w:val="AH5Sec"/>
      </w:pPr>
      <w:bookmarkStart w:id="928" w:name="_Toc83626272"/>
      <w:r w:rsidRPr="005E03F7">
        <w:rPr>
          <w:rStyle w:val="CharSectNo"/>
        </w:rPr>
        <w:t>734</w:t>
      </w:r>
      <w:r w:rsidRPr="007E1F9A">
        <w:tab/>
      </w:r>
      <w:r w:rsidRPr="007E1F9A">
        <w:rPr>
          <w:rFonts w:ascii="Helvetica" w:hAnsi="Helvetica" w:cs="Helvetica"/>
        </w:rPr>
        <w:t>Scrutiny of national regulations</w:t>
      </w:r>
      <w:bookmarkEnd w:id="928"/>
    </w:p>
    <w:p w14:paraId="41C0C4CF" w14:textId="77777777" w:rsidR="00DB6E47" w:rsidRPr="002F157F" w:rsidRDefault="00DB6E47" w:rsidP="00DB6E47">
      <w:pPr>
        <w:pStyle w:val="Amain"/>
      </w:pPr>
      <w:r w:rsidRPr="002F157F">
        <w:tab/>
        <w:t>(1)</w:t>
      </w:r>
      <w:r w:rsidRPr="002F157F">
        <w:tab/>
        <w:t>The responsible Minister for a participating jurisdiction is to refer any adverse report about a national regulation from a legislation scrutiny body for that jurisdiction to the responsible Ministers for consideration and advice.</w:t>
      </w:r>
    </w:p>
    <w:p w14:paraId="1B4B02A2" w14:textId="77777777" w:rsidR="00DB6E47" w:rsidRPr="002F157F" w:rsidRDefault="00DB6E47" w:rsidP="00DB6E47">
      <w:pPr>
        <w:pStyle w:val="Amain"/>
      </w:pPr>
      <w:r w:rsidRPr="002F157F">
        <w:tab/>
        <w:t>(2)</w:t>
      </w:r>
      <w:r w:rsidRPr="002F157F">
        <w:tab/>
        <w:t xml:space="preserve">The responsible Ministers are to prepare advice on the adverse report and provide a report to the relevant responsible Minister about the issues raised. </w:t>
      </w:r>
    </w:p>
    <w:p w14:paraId="27B0B4A1" w14:textId="77777777" w:rsidR="00DB6E47" w:rsidRPr="002F157F" w:rsidRDefault="00DB6E47" w:rsidP="00DB6E47">
      <w:pPr>
        <w:pStyle w:val="Amain"/>
      </w:pPr>
      <w:r w:rsidRPr="002F157F">
        <w:tab/>
        <w:t>(3)</w:t>
      </w:r>
      <w:r w:rsidRPr="002F157F">
        <w:tab/>
        <w:t xml:space="preserve">The report by the responsible Ministers is to be provided to the responsible Minister in sufficient time to ensure the responsible Minister can provide the response to the relevant scrutiny body within a period that is appropriate in the circumstances. </w:t>
      </w:r>
    </w:p>
    <w:p w14:paraId="410E4BAC" w14:textId="77777777" w:rsidR="00DB6E47" w:rsidRPr="002F157F" w:rsidRDefault="00547A52" w:rsidP="00DB6E47">
      <w:pPr>
        <w:pStyle w:val="Amain"/>
      </w:pPr>
      <w:r>
        <w:tab/>
        <w:t>(4)</w:t>
      </w:r>
      <w:r>
        <w:tab/>
        <w:t xml:space="preserve">Subsections </w:t>
      </w:r>
      <w:r w:rsidR="00DB6E47" w:rsidRPr="002F157F">
        <w:t>(1)</w:t>
      </w:r>
      <w:r>
        <w:t xml:space="preserve"> to </w:t>
      </w:r>
      <w:r w:rsidR="00DB6E47" w:rsidRPr="002F157F">
        <w:t>(3)</w:t>
      </w:r>
      <w:r>
        <w:t xml:space="preserve"> </w:t>
      </w:r>
      <w:r w:rsidR="00DB6E47" w:rsidRPr="002F157F">
        <w:t>do not affect any legislative or other arrangements regarding scrutiny and disallowance in jurisdictions and do not limit a responsible Minister’s ability to respond independently to any issues raised by a legislation scrutiny body.</w:t>
      </w:r>
    </w:p>
    <w:p w14:paraId="5C79CE63" w14:textId="77777777" w:rsidR="00DB6E47" w:rsidRPr="002F157F" w:rsidRDefault="00DB6E47" w:rsidP="00DB6E47">
      <w:pPr>
        <w:pStyle w:val="Amain"/>
      </w:pPr>
      <w:r w:rsidRPr="002F157F">
        <w:lastRenderedPageBreak/>
        <w:tab/>
        <w:t>(5)</w:t>
      </w:r>
      <w:r w:rsidRPr="002F157F">
        <w:tab/>
        <w:t>In this section—</w:t>
      </w:r>
    </w:p>
    <w:p w14:paraId="47EFA20D" w14:textId="77777777" w:rsidR="00DB6E47" w:rsidRPr="00041046" w:rsidRDefault="00DB6E47" w:rsidP="00DB6E47">
      <w:pPr>
        <w:pStyle w:val="aDef"/>
        <w:rPr>
          <w:bCs/>
        </w:rPr>
      </w:pPr>
      <w:r w:rsidRPr="00041046">
        <w:rPr>
          <w:rStyle w:val="charBoldItals"/>
        </w:rPr>
        <w:t>legislation scrutiny body</w:t>
      </w:r>
      <w:r w:rsidRPr="00041046">
        <w:t xml:space="preserve"> means a parliamentary committee (or other parliamentary body) whose functions include the scrutiny of regulations and other subordinate legislation.</w:t>
      </w:r>
    </w:p>
    <w:p w14:paraId="4F28B0C0" w14:textId="77777777" w:rsidR="00DB6E47" w:rsidRPr="00DF5C50" w:rsidRDefault="00DB6E47" w:rsidP="00DB6E47">
      <w:pPr>
        <w:pStyle w:val="PageBreak"/>
        <w:rPr>
          <w:rFonts w:eastAsiaTheme="minorHAnsi"/>
        </w:rPr>
      </w:pPr>
      <w:r w:rsidRPr="00DF5C50">
        <w:rPr>
          <w:rFonts w:eastAsiaTheme="minorHAnsi"/>
        </w:rPr>
        <w:br w:type="page"/>
      </w:r>
    </w:p>
    <w:p w14:paraId="6711A265" w14:textId="77777777" w:rsidR="00DB6E47" w:rsidRPr="005E03F7" w:rsidRDefault="00DB6E47" w:rsidP="00DB6E47">
      <w:pPr>
        <w:pStyle w:val="AH2Part"/>
      </w:pPr>
      <w:bookmarkStart w:id="929" w:name="_Toc83626273"/>
      <w:r w:rsidRPr="005E03F7">
        <w:rPr>
          <w:rStyle w:val="CharPartNo"/>
        </w:rPr>
        <w:lastRenderedPageBreak/>
        <w:t xml:space="preserve">Part 13.6 </w:t>
      </w:r>
      <w:r w:rsidRPr="00A95F9A">
        <w:rPr>
          <w:rFonts w:ascii="Helvetica" w:hAnsi="Helvetica" w:cs="Helvetica"/>
          <w:szCs w:val="32"/>
        </w:rPr>
        <w:tab/>
      </w:r>
      <w:r w:rsidRPr="005E03F7">
        <w:rPr>
          <w:rStyle w:val="CharPartText"/>
          <w:rFonts w:ascii="Helvetica" w:hAnsi="Helvetica" w:cs="Helvetica"/>
          <w:szCs w:val="32"/>
        </w:rPr>
        <w:t>Other</w:t>
      </w:r>
      <w:bookmarkEnd w:id="929"/>
    </w:p>
    <w:p w14:paraId="2A8FE511" w14:textId="77777777" w:rsidR="009F29F0" w:rsidRDefault="009F29F0" w:rsidP="009F29F0">
      <w:pPr>
        <w:pStyle w:val="Placeholder"/>
        <w:suppressLineNumbers/>
      </w:pPr>
      <w:r>
        <w:rPr>
          <w:rStyle w:val="CharDivNo"/>
          <w:rFonts w:eastAsiaTheme="minorEastAsia"/>
        </w:rPr>
        <w:t xml:space="preserve">  </w:t>
      </w:r>
      <w:r>
        <w:rPr>
          <w:rStyle w:val="CharDivText"/>
        </w:rPr>
        <w:t xml:space="preserve">  </w:t>
      </w:r>
    </w:p>
    <w:p w14:paraId="6D5397FD" w14:textId="77777777" w:rsidR="00DB6E47" w:rsidRPr="007E1F9A" w:rsidRDefault="00DB6E47" w:rsidP="00DB6E47">
      <w:pPr>
        <w:pStyle w:val="AH5Sec"/>
      </w:pPr>
      <w:bookmarkStart w:id="930" w:name="_Toc83626274"/>
      <w:r w:rsidRPr="005E03F7">
        <w:rPr>
          <w:rStyle w:val="CharSectNo"/>
        </w:rPr>
        <w:t>735</w:t>
      </w:r>
      <w:r w:rsidRPr="007E1F9A">
        <w:tab/>
      </w:r>
      <w:r w:rsidRPr="007E1F9A">
        <w:rPr>
          <w:rFonts w:ascii="Helvetica" w:hAnsi="Helvetica" w:cs="Helvetica"/>
        </w:rPr>
        <w:t>Approved forms</w:t>
      </w:r>
      <w:bookmarkEnd w:id="930"/>
    </w:p>
    <w:p w14:paraId="3AFAA472" w14:textId="77777777" w:rsidR="00DB6E47" w:rsidRPr="002F157F" w:rsidRDefault="00DB6E47" w:rsidP="00DB6E47">
      <w:pPr>
        <w:pStyle w:val="Amain"/>
      </w:pPr>
      <w:r w:rsidRPr="002F157F">
        <w:tab/>
        <w:t>(1)</w:t>
      </w:r>
      <w:r w:rsidRPr="002F157F">
        <w:tab/>
        <w:t>The Regulator may approve forms for use under this Law.</w:t>
      </w:r>
    </w:p>
    <w:p w14:paraId="3C8373AB" w14:textId="77777777" w:rsidR="00DB6E47" w:rsidRPr="002F157F" w:rsidRDefault="00DB6E47" w:rsidP="00DB6E47">
      <w:pPr>
        <w:pStyle w:val="Amain"/>
      </w:pPr>
      <w:r w:rsidRPr="002F157F">
        <w:tab/>
        <w:t>(2)</w:t>
      </w:r>
      <w:r w:rsidRPr="002F157F">
        <w:tab/>
        <w:t>The approval of a form must be notified on the Regulator’s website.</w:t>
      </w:r>
    </w:p>
    <w:p w14:paraId="19F94130" w14:textId="77777777" w:rsidR="00DB6E47" w:rsidRPr="002F157F" w:rsidRDefault="00DB6E47" w:rsidP="00DB6E47">
      <w:pPr>
        <w:pStyle w:val="Amain"/>
      </w:pPr>
      <w:r w:rsidRPr="002F157F">
        <w:tab/>
        <w:t>(3)</w:t>
      </w:r>
      <w:r w:rsidRPr="002F157F">
        <w:tab/>
        <w:t>Fa</w:t>
      </w:r>
      <w:r w:rsidR="003F1D40">
        <w:t xml:space="preserve">ilure to comply with subsection </w:t>
      </w:r>
      <w:r w:rsidRPr="002F157F">
        <w:t>(2)</w:t>
      </w:r>
      <w:r w:rsidR="003F1D40">
        <w:t xml:space="preserve"> </w:t>
      </w:r>
      <w:r w:rsidRPr="002F157F">
        <w:t>does not affect a form’s validity.</w:t>
      </w:r>
    </w:p>
    <w:p w14:paraId="0A468EA8" w14:textId="77777777" w:rsidR="00DB6E47" w:rsidRPr="002F157F" w:rsidRDefault="00DB6E47" w:rsidP="00DB6E47">
      <w:pPr>
        <w:pStyle w:val="Amain"/>
      </w:pPr>
      <w:r w:rsidRPr="002F157F">
        <w:tab/>
        <w:t>(4)</w:t>
      </w:r>
      <w:r w:rsidRPr="002F157F">
        <w:tab/>
        <w:t>The function of approving forms includes the function of approving the format of forms.</w:t>
      </w:r>
    </w:p>
    <w:p w14:paraId="4FDB69B2" w14:textId="77777777" w:rsidR="00415928" w:rsidRPr="00415928" w:rsidRDefault="00415928" w:rsidP="00415928">
      <w:pPr>
        <w:pStyle w:val="AH5Sec"/>
        <w:rPr>
          <w:lang w:val="en" w:eastAsia="en-AU"/>
        </w:rPr>
      </w:pPr>
      <w:bookmarkStart w:id="931" w:name="_Toc83626275"/>
      <w:r w:rsidRPr="005E03F7">
        <w:rPr>
          <w:rStyle w:val="CharSectNo"/>
        </w:rPr>
        <w:t>735A</w:t>
      </w:r>
      <w:r>
        <w:rPr>
          <w:lang w:val="en" w:eastAsia="en-AU"/>
        </w:rPr>
        <w:tab/>
      </w:r>
      <w:r w:rsidRPr="00415928">
        <w:rPr>
          <w:lang w:val="en" w:eastAsia="en-AU"/>
        </w:rPr>
        <w:t>Legal professional privilege</w:t>
      </w:r>
      <w:bookmarkEnd w:id="931"/>
    </w:p>
    <w:p w14:paraId="2F72A104" w14:textId="77777777" w:rsidR="00415928" w:rsidRPr="00415928" w:rsidRDefault="00415928" w:rsidP="00415928">
      <w:pPr>
        <w:pStyle w:val="Amainreturn"/>
        <w:rPr>
          <w:lang w:val="en" w:eastAsia="en-AU"/>
        </w:rPr>
      </w:pPr>
      <w:r w:rsidRPr="00415928">
        <w:rPr>
          <w:lang w:val="en" w:eastAsia="en-AU"/>
        </w:rPr>
        <w:t>Nothing in this Law compels a person to give information that is the subject of legal professional privilege to another person.</w:t>
      </w:r>
    </w:p>
    <w:p w14:paraId="5B97D7A4" w14:textId="77777777" w:rsidR="00DB6E47" w:rsidRPr="007E1F9A" w:rsidRDefault="00DB6E47" w:rsidP="00DB6E47">
      <w:pPr>
        <w:pStyle w:val="AH5Sec"/>
      </w:pPr>
      <w:bookmarkStart w:id="932" w:name="_Toc83626276"/>
      <w:r w:rsidRPr="005E03F7">
        <w:rPr>
          <w:rStyle w:val="CharSectNo"/>
        </w:rPr>
        <w:t>736</w:t>
      </w:r>
      <w:r w:rsidRPr="007E1F9A">
        <w:tab/>
      </w:r>
      <w:r w:rsidRPr="007E1F9A">
        <w:rPr>
          <w:rFonts w:ascii="Helvetica" w:hAnsi="Helvetica" w:cs="Helvetica"/>
        </w:rPr>
        <w:t>Penalty at end of provision</w:t>
      </w:r>
      <w:bookmarkEnd w:id="932"/>
    </w:p>
    <w:p w14:paraId="6B388977" w14:textId="77777777" w:rsidR="00DB6E47" w:rsidRPr="002F157F" w:rsidRDefault="00DB6E47" w:rsidP="00DB6E47">
      <w:pPr>
        <w:pStyle w:val="Amainreturn"/>
      </w:pPr>
      <w:r w:rsidRPr="002F157F">
        <w:t>In this Law, a penalty stated at the end of a provision indicates that an offence mentioned in the provision is punishable on conviction or, if no offence is mentioned, a contravention of the provision constitutes an offence against the provision that is punishable on conviction, by a penalty not more than the stated penalty.</w:t>
      </w:r>
    </w:p>
    <w:p w14:paraId="72FE80BB" w14:textId="77777777" w:rsidR="00DB6E47" w:rsidRPr="007E1F9A" w:rsidRDefault="00DB6E47" w:rsidP="00DB6E47">
      <w:pPr>
        <w:pStyle w:val="aNote"/>
      </w:pPr>
      <w:r w:rsidRPr="00FF4454">
        <w:rPr>
          <w:rStyle w:val="charItals"/>
        </w:rPr>
        <w:t>Note</w:t>
      </w:r>
      <w:r w:rsidRPr="00C96203">
        <w:rPr>
          <w:rFonts w:cs="Times"/>
          <w:bCs/>
        </w:rPr>
        <w:t>—</w:t>
      </w:r>
    </w:p>
    <w:p w14:paraId="289D725B" w14:textId="77777777" w:rsidR="00DB6E47" w:rsidRPr="007E1F9A" w:rsidRDefault="00DB6E47" w:rsidP="00DB6E47">
      <w:pPr>
        <w:pStyle w:val="HeadingRunIn"/>
        <w:keepNext w:val="0"/>
        <w:suppressAutoHyphens/>
        <w:spacing w:line="220" w:lineRule="atLeast"/>
        <w:ind w:left="1440"/>
        <w:jc w:val="both"/>
        <w:rPr>
          <w:rFonts w:ascii="Times" w:hAnsi="Times" w:cs="Times"/>
          <w:b w:val="0"/>
          <w:bCs w:val="0"/>
          <w:color w:val="auto"/>
          <w:w w:val="100"/>
          <w:sz w:val="20"/>
          <w:szCs w:val="20"/>
        </w:rPr>
      </w:pPr>
      <w:r w:rsidRPr="007E1F9A">
        <w:rPr>
          <w:rFonts w:ascii="Times" w:hAnsi="Times" w:cs="Times"/>
          <w:b w:val="0"/>
          <w:bCs w:val="0"/>
          <w:color w:val="auto"/>
          <w:w w:val="100"/>
          <w:sz w:val="20"/>
          <w:szCs w:val="20"/>
        </w:rPr>
        <w:t>See also section 596 in relation to maximum fines for bodies corporate.</w:t>
      </w:r>
    </w:p>
    <w:p w14:paraId="3B38E09B" w14:textId="77777777" w:rsidR="00DB6E47" w:rsidRPr="007E1F9A" w:rsidRDefault="00DB6E47" w:rsidP="00DB6E47">
      <w:pPr>
        <w:pStyle w:val="AH5Sec"/>
      </w:pPr>
      <w:bookmarkStart w:id="933" w:name="_Toc83626277"/>
      <w:r w:rsidRPr="005E03F7">
        <w:rPr>
          <w:rStyle w:val="CharSectNo"/>
        </w:rPr>
        <w:t>737</w:t>
      </w:r>
      <w:r w:rsidRPr="007E1F9A">
        <w:tab/>
      </w:r>
      <w:r w:rsidRPr="007E1F9A">
        <w:rPr>
          <w:rFonts w:ascii="Helvetica" w:hAnsi="Helvetica" w:cs="Helvetica"/>
        </w:rPr>
        <w:t>Increase of penalty amounts</w:t>
      </w:r>
      <w:bookmarkEnd w:id="933"/>
    </w:p>
    <w:p w14:paraId="100D6218" w14:textId="77777777" w:rsidR="00DB6E47" w:rsidRPr="002F157F" w:rsidRDefault="00DB6E47" w:rsidP="00DB6E47">
      <w:pPr>
        <w:pStyle w:val="Amain"/>
      </w:pPr>
      <w:r w:rsidRPr="002F157F">
        <w:tab/>
        <w:t>(1)</w:t>
      </w:r>
      <w:r w:rsidRPr="002F157F">
        <w:tab/>
        <w:t>This section applies to the penalty stated at the end of a provision for an offence (including a penalty whose amount has already been increased by a previous application or applications of this section)</w:t>
      </w:r>
      <w:r w:rsidR="00150AE9">
        <w:t xml:space="preserve"> </w:t>
      </w:r>
      <w:r w:rsidR="00150AE9" w:rsidRPr="00150AE9">
        <w:rPr>
          <w:shd w:val="clear" w:color="auto" w:fill="D9D9D9" w:themeFill="background1" w:themeFillShade="D9"/>
          <w:lang w:eastAsia="en-AU"/>
        </w:rPr>
        <w:t>other than an offence mentioned in section 567A or section 567B</w:t>
      </w:r>
      <w:r w:rsidRPr="002F157F">
        <w:t>.</w:t>
      </w:r>
    </w:p>
    <w:p w14:paraId="6C78E6A4" w14:textId="77777777" w:rsidR="00DB6E47" w:rsidRPr="002F157F" w:rsidRDefault="00DB6E47" w:rsidP="006E6789">
      <w:pPr>
        <w:pStyle w:val="Amain"/>
        <w:keepNext/>
        <w:keepLines/>
      </w:pPr>
      <w:r w:rsidRPr="002F157F">
        <w:lastRenderedPageBreak/>
        <w:tab/>
        <w:t>(2)</w:t>
      </w:r>
      <w:r w:rsidRPr="002F157F">
        <w:tab/>
        <w:t>At the start of 1 July of each year, beginning with 1 July 2014, the amount of each penalty is increased, from the amount that applied immediately before that 1 July, in accordance with the method prescribed by the national regulations for the purposes of this section.</w:t>
      </w:r>
    </w:p>
    <w:p w14:paraId="75351D0F" w14:textId="77777777" w:rsidR="00DB6E47" w:rsidRPr="007E1F9A" w:rsidRDefault="00DB6E47" w:rsidP="009F29F0">
      <w:pPr>
        <w:pStyle w:val="aNote"/>
        <w:keepNext/>
      </w:pPr>
      <w:r w:rsidRPr="00FF4454">
        <w:rPr>
          <w:rStyle w:val="charItals"/>
        </w:rPr>
        <w:t>Note</w:t>
      </w:r>
      <w:r w:rsidRPr="00C96203">
        <w:rPr>
          <w:rFonts w:cs="Times"/>
          <w:bCs/>
        </w:rPr>
        <w:t>—</w:t>
      </w:r>
    </w:p>
    <w:p w14:paraId="11A8AF7B" w14:textId="77777777" w:rsidR="00DB6E47" w:rsidRPr="007E1F9A" w:rsidRDefault="00DB6E47" w:rsidP="00DB6E47">
      <w:pPr>
        <w:pStyle w:val="HeadingRunIn"/>
        <w:keepNext w:val="0"/>
        <w:suppressAutoHyphens/>
        <w:spacing w:line="220" w:lineRule="atLeast"/>
        <w:ind w:left="1440"/>
        <w:jc w:val="both"/>
        <w:rPr>
          <w:rFonts w:ascii="Times" w:hAnsi="Times" w:cs="Times"/>
          <w:b w:val="0"/>
          <w:bCs w:val="0"/>
          <w:color w:val="auto"/>
          <w:w w:val="100"/>
          <w:sz w:val="20"/>
          <w:szCs w:val="20"/>
        </w:rPr>
      </w:pPr>
      <w:r w:rsidRPr="007E1F9A">
        <w:rPr>
          <w:rFonts w:ascii="Times" w:hAnsi="Times" w:cs="Times"/>
          <w:b w:val="0"/>
          <w:bCs w:val="0"/>
          <w:color w:val="auto"/>
          <w:w w:val="100"/>
          <w:sz w:val="20"/>
          <w:szCs w:val="20"/>
        </w:rPr>
        <w:t>In some circumstances, the operation of the method can result in no increases occurring on a particular 1 July.</w:t>
      </w:r>
    </w:p>
    <w:p w14:paraId="0F60ABDF" w14:textId="77777777" w:rsidR="00D8474F" w:rsidRPr="003323FC" w:rsidRDefault="00D8474F" w:rsidP="00DB6E47">
      <w:pPr>
        <w:pStyle w:val="Amain"/>
      </w:pPr>
      <w:r w:rsidRPr="003323FC">
        <w:tab/>
        <w:t>(2A)</w:t>
      </w:r>
      <w:r w:rsidRPr="003323FC">
        <w:tab/>
        <w:t>To remove any doubt, the maximum f</w:t>
      </w:r>
      <w:r w:rsidR="00F31260">
        <w:t>ine limits mentioned in section </w:t>
      </w:r>
      <w:r w:rsidRPr="003323FC">
        <w:t>730(3)(b) do not limit the application of subsection (2).</w:t>
      </w:r>
    </w:p>
    <w:p w14:paraId="0AAE479B" w14:textId="77777777" w:rsidR="00DB6E47" w:rsidRPr="002F157F" w:rsidRDefault="00DB6E47" w:rsidP="00DB6E47">
      <w:pPr>
        <w:pStyle w:val="Amain"/>
      </w:pPr>
      <w:r w:rsidRPr="002F157F">
        <w:tab/>
        <w:t>(3)</w:t>
      </w:r>
      <w:r w:rsidRPr="002F157F">
        <w:tab/>
        <w:t>A recommendation of the responsible Ministers for national regulations prescribing a method for the increase of penalties can not be made unless the responsible Ministers are satisfied that the method generally accords with increases in relevant inflation indexes or similar indexes.</w:t>
      </w:r>
    </w:p>
    <w:p w14:paraId="5AFDC49F" w14:textId="77777777" w:rsidR="00DB6E47" w:rsidRPr="002F157F" w:rsidRDefault="00DB6E47" w:rsidP="00DB6E47">
      <w:pPr>
        <w:pStyle w:val="Amain"/>
      </w:pPr>
      <w:r w:rsidRPr="002F157F">
        <w:tab/>
        <w:t>(4)</w:t>
      </w:r>
      <w:r w:rsidRPr="002F157F">
        <w:tab/>
        <w:t>As soon as practicable but before 1 July of each year, the Regulator must publish on the Regulator’s website the amounts of each penalty applying as from that date.</w:t>
      </w:r>
    </w:p>
    <w:p w14:paraId="546CF442" w14:textId="77777777" w:rsidR="00822D07" w:rsidRPr="00822D07" w:rsidRDefault="00822D07" w:rsidP="00822D07">
      <w:pPr>
        <w:pStyle w:val="AH5Sec"/>
        <w:rPr>
          <w:lang w:val="en" w:eastAsia="en-AU"/>
        </w:rPr>
      </w:pPr>
      <w:bookmarkStart w:id="934" w:name="_Toc83626278"/>
      <w:r w:rsidRPr="005E03F7">
        <w:rPr>
          <w:rStyle w:val="CharSectNo"/>
        </w:rPr>
        <w:t>737A</w:t>
      </w:r>
      <w:r>
        <w:rPr>
          <w:lang w:val="en" w:eastAsia="en-AU"/>
        </w:rPr>
        <w:tab/>
      </w:r>
      <w:r w:rsidRPr="00822D07">
        <w:rPr>
          <w:lang w:val="en" w:eastAsia="en-AU"/>
        </w:rPr>
        <w:t>Application of s 737 to new penalties</w:t>
      </w:r>
      <w:bookmarkEnd w:id="934"/>
    </w:p>
    <w:p w14:paraId="72E3626A" w14:textId="77777777" w:rsidR="00822D07" w:rsidRPr="00822D07" w:rsidRDefault="00017E25" w:rsidP="00822D07">
      <w:pPr>
        <w:pStyle w:val="Amain"/>
        <w:rPr>
          <w:lang w:val="en" w:eastAsia="en-AU"/>
        </w:rPr>
      </w:pPr>
      <w:r>
        <w:rPr>
          <w:lang w:val="en" w:eastAsia="en-AU"/>
        </w:rPr>
        <w:tab/>
      </w:r>
      <w:r w:rsidR="00822D07" w:rsidRPr="00822D07">
        <w:rPr>
          <w:lang w:val="en" w:eastAsia="en-AU"/>
        </w:rPr>
        <w:t>(1)</w:t>
      </w:r>
      <w:r>
        <w:rPr>
          <w:lang w:val="en" w:eastAsia="en-AU"/>
        </w:rPr>
        <w:tab/>
      </w:r>
      <w:r w:rsidR="00822D07" w:rsidRPr="00822D07">
        <w:rPr>
          <w:lang w:val="en" w:eastAsia="en-AU"/>
        </w:rPr>
        <w:t>The enactment of a new penalty includes the enactment of an increase in the amount of penalty applying under section 737, to take effect when the new penalty commences.</w:t>
      </w:r>
    </w:p>
    <w:p w14:paraId="18435F91" w14:textId="77777777" w:rsidR="00822D07" w:rsidRPr="00822D07" w:rsidRDefault="00017E25" w:rsidP="00822D07">
      <w:pPr>
        <w:pStyle w:val="Amain"/>
        <w:rPr>
          <w:lang w:val="en" w:eastAsia="en-AU"/>
        </w:rPr>
      </w:pPr>
      <w:r>
        <w:rPr>
          <w:lang w:val="en" w:eastAsia="en-AU"/>
        </w:rPr>
        <w:tab/>
      </w:r>
      <w:r w:rsidR="00822D07" w:rsidRPr="00822D07">
        <w:rPr>
          <w:lang w:val="en" w:eastAsia="en-AU"/>
        </w:rPr>
        <w:t>(2)</w:t>
      </w:r>
      <w:r>
        <w:rPr>
          <w:lang w:val="en" w:eastAsia="en-AU"/>
        </w:rPr>
        <w:tab/>
      </w:r>
      <w:r w:rsidR="00822D07" w:rsidRPr="00822D07">
        <w:rPr>
          <w:lang w:val="en" w:eastAsia="en-AU"/>
        </w:rPr>
        <w:t>For applying section 737 under subsection (1) to a new penalty, the amount of penalty applying under section 737 is to be calculated as if—</w:t>
      </w:r>
    </w:p>
    <w:p w14:paraId="6BB5F63F" w14:textId="77777777" w:rsidR="00822D07" w:rsidRPr="00822D07" w:rsidRDefault="004C6A6B" w:rsidP="00017E25">
      <w:pPr>
        <w:pStyle w:val="Apara"/>
        <w:rPr>
          <w:lang w:val="en" w:eastAsia="en-AU"/>
        </w:rPr>
      </w:pPr>
      <w:r>
        <w:rPr>
          <w:lang w:val="en" w:eastAsia="en-AU"/>
        </w:rPr>
        <w:tab/>
      </w:r>
      <w:r w:rsidR="00822D07" w:rsidRPr="00822D07">
        <w:rPr>
          <w:lang w:val="en" w:eastAsia="en-AU"/>
        </w:rPr>
        <w:t>(a)</w:t>
      </w:r>
      <w:r w:rsidR="00017E25">
        <w:rPr>
          <w:lang w:val="en" w:eastAsia="en-AU"/>
        </w:rPr>
        <w:tab/>
      </w:r>
      <w:r w:rsidR="00822D07" w:rsidRPr="00822D07">
        <w:rPr>
          <w:lang w:val="en" w:eastAsia="en-AU"/>
        </w:rPr>
        <w:t>the new penalty had commenced before 1 July 2014; and</w:t>
      </w:r>
    </w:p>
    <w:p w14:paraId="3EB4AE0C" w14:textId="77777777" w:rsidR="00822D07" w:rsidRPr="00822D07" w:rsidRDefault="004C6A6B" w:rsidP="00017E25">
      <w:pPr>
        <w:pStyle w:val="Apara"/>
        <w:rPr>
          <w:lang w:val="en" w:eastAsia="en-AU"/>
        </w:rPr>
      </w:pPr>
      <w:r>
        <w:rPr>
          <w:lang w:val="en" w:eastAsia="en-AU"/>
        </w:rPr>
        <w:tab/>
      </w:r>
      <w:r w:rsidR="00822D07" w:rsidRPr="00822D07">
        <w:rPr>
          <w:lang w:val="en" w:eastAsia="en-AU"/>
        </w:rPr>
        <w:t>(b)</w:t>
      </w:r>
      <w:r w:rsidR="00017E25">
        <w:rPr>
          <w:lang w:val="en" w:eastAsia="en-AU"/>
        </w:rPr>
        <w:tab/>
      </w:r>
      <w:r w:rsidR="00822D07" w:rsidRPr="00822D07">
        <w:rPr>
          <w:lang w:val="en" w:eastAsia="en-AU"/>
        </w:rPr>
        <w:t>the amount of penalty applying h</w:t>
      </w:r>
      <w:r w:rsidR="006E6789">
        <w:rPr>
          <w:lang w:val="en" w:eastAsia="en-AU"/>
        </w:rPr>
        <w:t>ad been increased under section </w:t>
      </w:r>
      <w:r w:rsidR="00822D07" w:rsidRPr="00822D07">
        <w:rPr>
          <w:lang w:val="en" w:eastAsia="en-AU"/>
        </w:rPr>
        <w:t>737(2) on 1 July 2014 and any later 1 July happening before the new penalty actually commences.</w:t>
      </w:r>
    </w:p>
    <w:p w14:paraId="3485D036" w14:textId="77777777" w:rsidR="00822D07" w:rsidRPr="00822D07" w:rsidRDefault="004C6A6B" w:rsidP="006E6789">
      <w:pPr>
        <w:pStyle w:val="Amain"/>
        <w:keepNext/>
        <w:rPr>
          <w:lang w:val="en" w:eastAsia="en-AU"/>
        </w:rPr>
      </w:pPr>
      <w:r>
        <w:rPr>
          <w:lang w:val="en" w:eastAsia="en-AU"/>
        </w:rPr>
        <w:lastRenderedPageBreak/>
        <w:tab/>
      </w:r>
      <w:r w:rsidR="00822D07" w:rsidRPr="00822D07">
        <w:rPr>
          <w:lang w:val="en" w:eastAsia="en-AU"/>
        </w:rPr>
        <w:t>(3)</w:t>
      </w:r>
      <w:r>
        <w:rPr>
          <w:lang w:val="en" w:eastAsia="en-AU"/>
        </w:rPr>
        <w:tab/>
      </w:r>
      <w:r w:rsidR="00822D07" w:rsidRPr="00822D07">
        <w:rPr>
          <w:lang w:val="en" w:eastAsia="en-AU"/>
        </w:rPr>
        <w:t>In this section—</w:t>
      </w:r>
    </w:p>
    <w:p w14:paraId="0C9176E5" w14:textId="77777777" w:rsidR="00822D07" w:rsidRPr="00822D07" w:rsidRDefault="00822D07" w:rsidP="004C6A6B">
      <w:pPr>
        <w:pStyle w:val="aDef"/>
        <w:rPr>
          <w:lang w:val="en" w:eastAsia="en-AU"/>
        </w:rPr>
      </w:pPr>
      <w:r w:rsidRPr="00822D07">
        <w:rPr>
          <w:b/>
          <w:bCs/>
          <w:i/>
          <w:iCs/>
          <w:lang w:val="en" w:eastAsia="en-AU"/>
        </w:rPr>
        <w:t>new penalty</w:t>
      </w:r>
      <w:r w:rsidRPr="00822D07">
        <w:rPr>
          <w:lang w:val="en" w:eastAsia="en-AU"/>
        </w:rPr>
        <w:t xml:space="preserve"> means a penalty amount stated at the end of a provision for an offence inserted into this Law by an amending Act.</w:t>
      </w:r>
    </w:p>
    <w:p w14:paraId="438AE969" w14:textId="77777777" w:rsidR="00DB6E47" w:rsidRPr="007E1F9A" w:rsidRDefault="00DB6E47" w:rsidP="00DB6E47">
      <w:pPr>
        <w:pStyle w:val="AH5Sec"/>
      </w:pPr>
      <w:bookmarkStart w:id="935" w:name="_Toc83626279"/>
      <w:r w:rsidRPr="005E03F7">
        <w:rPr>
          <w:rStyle w:val="CharSectNo"/>
        </w:rPr>
        <w:t>738</w:t>
      </w:r>
      <w:r w:rsidRPr="007E1F9A">
        <w:tab/>
      </w:r>
      <w:r w:rsidRPr="007E1F9A">
        <w:rPr>
          <w:rFonts w:ascii="Helvetica" w:hAnsi="Helvetica" w:cs="Helvetica"/>
        </w:rPr>
        <w:t>Service of documents</w:t>
      </w:r>
      <w:bookmarkEnd w:id="935"/>
    </w:p>
    <w:p w14:paraId="43294027" w14:textId="77777777" w:rsidR="00DB6E47" w:rsidRPr="002F157F" w:rsidRDefault="00DB6E47" w:rsidP="00DB6E47">
      <w:pPr>
        <w:pStyle w:val="Amain"/>
      </w:pPr>
      <w:r w:rsidRPr="002F157F">
        <w:tab/>
        <w:t>(1)</w:t>
      </w:r>
      <w:r w:rsidRPr="002F157F">
        <w:tab/>
        <w:t>If this Law requires or permits a document to be served on a person, the document may be served—</w:t>
      </w:r>
    </w:p>
    <w:p w14:paraId="208EFE4C" w14:textId="77777777" w:rsidR="00DB6E47" w:rsidRPr="00544ED5" w:rsidRDefault="00DB6E47" w:rsidP="00DB6E47">
      <w:pPr>
        <w:pStyle w:val="Apara"/>
      </w:pPr>
      <w:r w:rsidRPr="00544ED5">
        <w:tab/>
        <w:t>(a)</w:t>
      </w:r>
      <w:r w:rsidRPr="00544ED5">
        <w:tab/>
        <w:t>on an individual—</w:t>
      </w:r>
    </w:p>
    <w:p w14:paraId="28BE7331" w14:textId="77777777" w:rsidR="00DB6E47" w:rsidRPr="00CC71DF" w:rsidRDefault="00DB6E47" w:rsidP="00DB6E47">
      <w:pPr>
        <w:pStyle w:val="Asubpara"/>
      </w:pPr>
      <w:r w:rsidRPr="00CC71DF">
        <w:tab/>
        <w:t>(i)</w:t>
      </w:r>
      <w:r w:rsidRPr="00CC71DF">
        <w:tab/>
        <w:t>by delivering it to the individual personally; or</w:t>
      </w:r>
    </w:p>
    <w:p w14:paraId="2D55E084" w14:textId="77777777" w:rsidR="00DB6E47" w:rsidRPr="00CC71DF" w:rsidRDefault="00DB6E47" w:rsidP="00DB6E47">
      <w:pPr>
        <w:pStyle w:val="Asubpara"/>
      </w:pPr>
      <w:r w:rsidRPr="00CC71DF">
        <w:tab/>
        <w:t>(ii)</w:t>
      </w:r>
      <w:r w:rsidRPr="00CC71DF">
        <w:tab/>
        <w:t>by leaving it at, or by sending it by post to, the address of the place of residence or business of the individual last known to the person serving the document; or</w:t>
      </w:r>
    </w:p>
    <w:p w14:paraId="5292E6E4" w14:textId="77777777" w:rsidR="00DB6E47" w:rsidRPr="00CC71DF" w:rsidRDefault="00DB6E47" w:rsidP="00DB6E47">
      <w:pPr>
        <w:pStyle w:val="Asubpara"/>
      </w:pPr>
      <w:r w:rsidRPr="00CC71DF">
        <w:tab/>
        <w:t>(iii)</w:t>
      </w:r>
      <w:r w:rsidRPr="00CC71DF">
        <w:tab/>
        <w:t>by sending it by fax to a fax number notified to the sender by the individual as an address at which service of documents under this Law will be accepted; or</w:t>
      </w:r>
    </w:p>
    <w:p w14:paraId="68B0A8D8" w14:textId="77777777" w:rsidR="00DB6E47" w:rsidRPr="00CC71DF" w:rsidRDefault="00DB6E47" w:rsidP="00DB6E47">
      <w:pPr>
        <w:pStyle w:val="Asubpara"/>
      </w:pPr>
      <w:r w:rsidRPr="00CC71DF">
        <w:tab/>
        <w:t>(iv)</w:t>
      </w:r>
      <w:r w:rsidRPr="00CC71DF">
        <w:tab/>
        <w:t>by sending it by email to an internet address notified to the sender by the individual as an address at which service of documents under this Law will be accepted; or</w:t>
      </w:r>
    </w:p>
    <w:p w14:paraId="5C4A5583" w14:textId="77777777" w:rsidR="00DB6E47" w:rsidRPr="00544ED5" w:rsidRDefault="00DB6E47" w:rsidP="00DB6E47">
      <w:pPr>
        <w:pStyle w:val="Apara"/>
      </w:pPr>
      <w:r w:rsidRPr="00544ED5">
        <w:tab/>
        <w:t>(b)</w:t>
      </w:r>
      <w:r w:rsidRPr="00544ED5">
        <w:tab/>
        <w:t>on another person—</w:t>
      </w:r>
    </w:p>
    <w:p w14:paraId="2ABF63C6" w14:textId="77777777" w:rsidR="00DB6E47" w:rsidRPr="00CC71DF" w:rsidRDefault="00DB6E47" w:rsidP="00DB6E47">
      <w:pPr>
        <w:pStyle w:val="Asubpara"/>
      </w:pPr>
      <w:r w:rsidRPr="00CC71DF">
        <w:tab/>
        <w:t>(i)</w:t>
      </w:r>
      <w:r w:rsidRPr="00CC71DF">
        <w:tab/>
        <w:t>by leaving it at, or by sending it by post to, the head office, a registered office or a principal office of the person; or</w:t>
      </w:r>
    </w:p>
    <w:p w14:paraId="0B636CF6" w14:textId="77777777" w:rsidR="00DB6E47" w:rsidRPr="00CC71DF" w:rsidRDefault="00DB6E47" w:rsidP="00DB6E47">
      <w:pPr>
        <w:pStyle w:val="Asubpara"/>
      </w:pPr>
      <w:r w:rsidRPr="00CC71DF">
        <w:tab/>
        <w:t>(ii)</w:t>
      </w:r>
      <w:r w:rsidRPr="00CC71DF">
        <w:tab/>
        <w:t>by sending it by fax to a fax number notified to the sender by the person as an address at which service of documents under this Law will be accepted; or</w:t>
      </w:r>
    </w:p>
    <w:p w14:paraId="0057DE88" w14:textId="77777777" w:rsidR="00DB6E47" w:rsidRPr="00CC71DF" w:rsidRDefault="00DB6E47" w:rsidP="00DB6E47">
      <w:pPr>
        <w:pStyle w:val="Asubpara"/>
      </w:pPr>
      <w:r w:rsidRPr="00CC71DF">
        <w:tab/>
        <w:t>(iii)</w:t>
      </w:r>
      <w:r w:rsidRPr="00CC71DF">
        <w:tab/>
        <w:t>by sending it by email to an internet address notified to the sender by the person as an address at which service of documents under this Law will be accepted.</w:t>
      </w:r>
    </w:p>
    <w:p w14:paraId="4600AD9F" w14:textId="77777777" w:rsidR="00DB6E47" w:rsidRPr="002F157F" w:rsidRDefault="003F1D40" w:rsidP="00DB6E47">
      <w:pPr>
        <w:pStyle w:val="Amain"/>
      </w:pPr>
      <w:r>
        <w:tab/>
        <w:t>(2)</w:t>
      </w:r>
      <w:r>
        <w:tab/>
        <w:t xml:space="preserve">Subsection </w:t>
      </w:r>
      <w:r w:rsidR="00DB6E47" w:rsidRPr="002F157F">
        <w:t>(1)</w:t>
      </w:r>
      <w:r>
        <w:t xml:space="preserve"> </w:t>
      </w:r>
      <w:r w:rsidR="00DB6E47" w:rsidRPr="002F157F">
        <w:t>applies whether the expression ‘deliver’, ‘give’, ‘notify’, ‘send’ or ‘serve’ or another expression is used.</w:t>
      </w:r>
    </w:p>
    <w:p w14:paraId="231178AB" w14:textId="77777777" w:rsidR="00DB6E47" w:rsidRPr="002F157F" w:rsidRDefault="003F1D40" w:rsidP="00DB6E47">
      <w:pPr>
        <w:pStyle w:val="Amain"/>
      </w:pPr>
      <w:r>
        <w:lastRenderedPageBreak/>
        <w:tab/>
        <w:t>(3)</w:t>
      </w:r>
      <w:r>
        <w:tab/>
        <w:t xml:space="preserve">Subsection </w:t>
      </w:r>
      <w:r w:rsidR="00DB6E47" w:rsidRPr="002F157F">
        <w:t>(1)</w:t>
      </w:r>
      <w:r>
        <w:t xml:space="preserve"> </w:t>
      </w:r>
      <w:r w:rsidR="00DB6E47" w:rsidRPr="002F157F">
        <w:t>does not affect—</w:t>
      </w:r>
    </w:p>
    <w:p w14:paraId="704EFA0E" w14:textId="77777777" w:rsidR="00DB6E47" w:rsidRPr="00544ED5" w:rsidRDefault="00DB6E47" w:rsidP="00DB6E47">
      <w:pPr>
        <w:pStyle w:val="Apara"/>
      </w:pPr>
      <w:r w:rsidRPr="00544ED5">
        <w:tab/>
        <w:t>(a)</w:t>
      </w:r>
      <w:r w:rsidRPr="00544ED5">
        <w:tab/>
        <w:t>the operation of another law that authorises the service of a document otherwise than as provided in the subsection; or</w:t>
      </w:r>
    </w:p>
    <w:p w14:paraId="20DBE54C" w14:textId="77777777" w:rsidR="00DB6E47" w:rsidRPr="00544ED5" w:rsidRDefault="00DB6E47" w:rsidP="00DB6E47">
      <w:pPr>
        <w:pStyle w:val="Apara"/>
      </w:pPr>
      <w:r w:rsidRPr="00544ED5">
        <w:tab/>
        <w:t>(b)</w:t>
      </w:r>
      <w:r w:rsidRPr="00544ED5">
        <w:tab/>
        <w:t>the power of a court or tribunal to authorise service of a document otherwise than as provided in the subsection.</w:t>
      </w:r>
    </w:p>
    <w:p w14:paraId="2EF851FA" w14:textId="77777777" w:rsidR="00DB6E47" w:rsidRPr="007E1F9A" w:rsidRDefault="00DB6E47" w:rsidP="00DB6E47">
      <w:pPr>
        <w:pStyle w:val="AH5Sec"/>
      </w:pPr>
      <w:bookmarkStart w:id="936" w:name="_Toc83626280"/>
      <w:r w:rsidRPr="005E03F7">
        <w:rPr>
          <w:rStyle w:val="CharSectNo"/>
        </w:rPr>
        <w:t>739</w:t>
      </w:r>
      <w:r w:rsidRPr="007E1F9A">
        <w:tab/>
      </w:r>
      <w:r w:rsidRPr="007E1F9A">
        <w:rPr>
          <w:rFonts w:ascii="Helvetica" w:hAnsi="Helvetica" w:cs="Helvetica"/>
        </w:rPr>
        <w:t>Service by post</w:t>
      </w:r>
      <w:bookmarkEnd w:id="936"/>
    </w:p>
    <w:p w14:paraId="076DB499" w14:textId="77777777" w:rsidR="00DB6E47" w:rsidRPr="002F157F" w:rsidRDefault="00DB6E47" w:rsidP="00DB6E47">
      <w:pPr>
        <w:pStyle w:val="Amain"/>
      </w:pPr>
      <w:r w:rsidRPr="002F157F">
        <w:tab/>
        <w:t>(1)</w:t>
      </w:r>
      <w:r w:rsidRPr="002F157F">
        <w:tab/>
        <w:t>If a document authorised or required to be served on a person under this Law is served by post, service of the document—</w:t>
      </w:r>
    </w:p>
    <w:p w14:paraId="16B5FDB8" w14:textId="77777777" w:rsidR="00DB6E47" w:rsidRPr="00544ED5" w:rsidRDefault="00DB6E47" w:rsidP="00DB6E47">
      <w:pPr>
        <w:pStyle w:val="Apara"/>
      </w:pPr>
      <w:r w:rsidRPr="00544ED5">
        <w:tab/>
        <w:t>(a)</w:t>
      </w:r>
      <w:r w:rsidRPr="00544ED5">
        <w:tab/>
        <w:t>may be effected by properly addressing, prepaying and posting the document as a letter; and</w:t>
      </w:r>
    </w:p>
    <w:p w14:paraId="5ED32ECB" w14:textId="77777777" w:rsidR="00DB6E47" w:rsidRPr="00544ED5" w:rsidRDefault="00DB6E47" w:rsidP="00DB6E47">
      <w:pPr>
        <w:pStyle w:val="Apara"/>
      </w:pPr>
      <w:r w:rsidRPr="00544ED5">
        <w:tab/>
        <w:t>(b)</w:t>
      </w:r>
      <w:r w:rsidRPr="00544ED5">
        <w:tab/>
        <w:t>is taken to have been effected at the time at which the letter would be delivered in the ordinary course of post, unless the contrary is proved.</w:t>
      </w:r>
    </w:p>
    <w:p w14:paraId="66B70F5D" w14:textId="77777777" w:rsidR="00DB6E47" w:rsidRPr="002F157F" w:rsidRDefault="003F1D40" w:rsidP="00DB6E47">
      <w:pPr>
        <w:pStyle w:val="Amain"/>
      </w:pPr>
      <w:r>
        <w:tab/>
        <w:t>(2)</w:t>
      </w:r>
      <w:r>
        <w:tab/>
        <w:t xml:space="preserve">Subsection </w:t>
      </w:r>
      <w:r w:rsidR="00DB6E47" w:rsidRPr="002F157F">
        <w:t>(1)</w:t>
      </w:r>
      <w:r>
        <w:t xml:space="preserve"> </w:t>
      </w:r>
      <w:r w:rsidR="00DB6E47" w:rsidRPr="002F157F">
        <w:t>applies whether the expression ‘deliver’, ‘give’, ‘notify’, ‘send’ or ‘serve’ or another expression is used.</w:t>
      </w:r>
    </w:p>
    <w:p w14:paraId="17D55906" w14:textId="77777777" w:rsidR="00DB6E47" w:rsidRPr="007E1F9A" w:rsidRDefault="00DB6E47" w:rsidP="00DB6E47">
      <w:pPr>
        <w:pStyle w:val="AH5Sec"/>
      </w:pPr>
      <w:bookmarkStart w:id="937" w:name="_Toc83626281"/>
      <w:r w:rsidRPr="005E03F7">
        <w:rPr>
          <w:rStyle w:val="CharSectNo"/>
        </w:rPr>
        <w:t>740</w:t>
      </w:r>
      <w:r w:rsidRPr="007E1F9A">
        <w:tab/>
      </w:r>
      <w:r w:rsidRPr="007E1F9A">
        <w:rPr>
          <w:rFonts w:ascii="Helvetica" w:hAnsi="Helvetica" w:cs="Helvetica"/>
        </w:rPr>
        <w:t>Fees</w:t>
      </w:r>
      <w:bookmarkEnd w:id="937"/>
    </w:p>
    <w:p w14:paraId="6EC506C8" w14:textId="77777777" w:rsidR="00DB6E47" w:rsidRPr="002F157F" w:rsidRDefault="00DB6E47" w:rsidP="00DB6E47">
      <w:pPr>
        <w:pStyle w:val="Amain"/>
      </w:pPr>
      <w:r w:rsidRPr="002F157F">
        <w:tab/>
        <w:t>(1)</w:t>
      </w:r>
      <w:r w:rsidRPr="002F157F">
        <w:tab/>
        <w:t>The national regulations may prescribe the fees payable for the following—</w:t>
      </w:r>
    </w:p>
    <w:p w14:paraId="17A20B10" w14:textId="77777777" w:rsidR="00DB6E47" w:rsidRPr="00544ED5" w:rsidRDefault="00DB6E47" w:rsidP="00DB6E47">
      <w:pPr>
        <w:pStyle w:val="Apara"/>
      </w:pPr>
      <w:r w:rsidRPr="00544ED5">
        <w:tab/>
        <w:t>(a)</w:t>
      </w:r>
      <w:r w:rsidRPr="00544ED5">
        <w:tab/>
        <w:t>an application under this Law (whether or not another provision of this Law refers to payment of the prescribed fee for the application);</w:t>
      </w:r>
    </w:p>
    <w:p w14:paraId="3E8F2793" w14:textId="77777777" w:rsidR="00DB6E47" w:rsidRPr="00544ED5" w:rsidRDefault="00DB6E47" w:rsidP="00DB6E47">
      <w:pPr>
        <w:pStyle w:val="Apara"/>
      </w:pPr>
      <w:r w:rsidRPr="00544ED5">
        <w:tab/>
        <w:t>(b)</w:t>
      </w:r>
      <w:r w:rsidRPr="00544ED5">
        <w:tab/>
        <w:t>the issue of a work diary for the driver of a fatigue-regulated heavy vehicle.</w:t>
      </w:r>
    </w:p>
    <w:p w14:paraId="14EE062D" w14:textId="77777777" w:rsidR="00DB6E47" w:rsidRPr="002F157F" w:rsidRDefault="00DB6E47" w:rsidP="00DB6E47">
      <w:pPr>
        <w:pStyle w:val="Amain"/>
      </w:pPr>
      <w:r w:rsidRPr="002F157F">
        <w:tab/>
        <w:t>(2)</w:t>
      </w:r>
      <w:r w:rsidRPr="002F157F">
        <w:tab/>
        <w:t>The Regulator may set fees payable for the provision of a service in connection with the administration of this Law (other than fees mentioned in subsection (1)).</w:t>
      </w:r>
    </w:p>
    <w:p w14:paraId="0A6FA2AD" w14:textId="77777777" w:rsidR="00DB6E47" w:rsidRPr="002F157F" w:rsidRDefault="00DB6E47" w:rsidP="00DB6E47">
      <w:pPr>
        <w:pStyle w:val="Amain"/>
      </w:pPr>
      <w:r w:rsidRPr="002F157F">
        <w:lastRenderedPageBreak/>
        <w:tab/>
        <w:t>(3)</w:t>
      </w:r>
      <w:r w:rsidRPr="002F157F">
        <w:tab/>
        <w:t>The national regulations may provide that stated kinds of fees may be set by the Regulator for inspection services, except so far as those fees are provided for under another law of this jurisdiction.</w:t>
      </w:r>
    </w:p>
    <w:p w14:paraId="77C06E68" w14:textId="77777777" w:rsidR="00DB6E47" w:rsidRPr="002F157F" w:rsidRDefault="00DB6E47" w:rsidP="00DB6E47">
      <w:pPr>
        <w:pStyle w:val="Amain"/>
      </w:pPr>
      <w:r w:rsidRPr="002F157F">
        <w:tab/>
        <w:t>(4)</w:t>
      </w:r>
      <w:r w:rsidRPr="002F157F">
        <w:tab/>
        <w:t>A fee set by</w:t>
      </w:r>
      <w:r w:rsidR="003F1D40">
        <w:t xml:space="preserve"> the Regulator under subsection </w:t>
      </w:r>
      <w:r w:rsidRPr="002F157F">
        <w:t>(2)</w:t>
      </w:r>
      <w:r w:rsidR="003F1D40">
        <w:t xml:space="preserve"> or </w:t>
      </w:r>
      <w:r w:rsidRPr="002F157F">
        <w:t>(3)</w:t>
      </w:r>
      <w:r w:rsidR="003F1D40">
        <w:t xml:space="preserve"> </w:t>
      </w:r>
      <w:r w:rsidRPr="002F157F">
        <w:t>must be an amount—</w:t>
      </w:r>
    </w:p>
    <w:p w14:paraId="2C588863" w14:textId="77777777" w:rsidR="00DB6E47" w:rsidRPr="00544ED5" w:rsidRDefault="00DB6E47" w:rsidP="00DB6E47">
      <w:pPr>
        <w:pStyle w:val="Apara"/>
      </w:pPr>
      <w:r w:rsidRPr="00544ED5">
        <w:tab/>
        <w:t>(a)</w:t>
      </w:r>
      <w:r w:rsidRPr="00544ED5">
        <w:tab/>
        <w:t>the Regulator considers reasonable; and</w:t>
      </w:r>
    </w:p>
    <w:p w14:paraId="5B751A80" w14:textId="77777777" w:rsidR="00DB6E47" w:rsidRPr="00544ED5" w:rsidRDefault="00DB6E47" w:rsidP="00DB6E47">
      <w:pPr>
        <w:pStyle w:val="Apara"/>
      </w:pPr>
      <w:r w:rsidRPr="00544ED5">
        <w:tab/>
        <w:t>(b)</w:t>
      </w:r>
      <w:r w:rsidRPr="00544ED5">
        <w:tab/>
        <w:t>that is no more than the reasonable cost of providing the service.</w:t>
      </w:r>
    </w:p>
    <w:p w14:paraId="368686DA" w14:textId="77777777" w:rsidR="00DB6E47" w:rsidRPr="002F157F" w:rsidRDefault="00DB6E47" w:rsidP="00DB6E47">
      <w:pPr>
        <w:pStyle w:val="Amain"/>
      </w:pPr>
      <w:r w:rsidRPr="002F157F">
        <w:tab/>
        <w:t>(5)</w:t>
      </w:r>
      <w:r w:rsidRPr="002F157F">
        <w:tab/>
        <w:t>The Regulator must publish a fee set by</w:t>
      </w:r>
      <w:r w:rsidR="003F1D40">
        <w:t xml:space="preserve"> the Regulator under subsection </w:t>
      </w:r>
      <w:r w:rsidRPr="002F157F">
        <w:t>(2)</w:t>
      </w:r>
      <w:r w:rsidR="003F1D40">
        <w:t xml:space="preserve"> </w:t>
      </w:r>
      <w:r w:rsidRPr="002F157F">
        <w:t>or (3)—</w:t>
      </w:r>
    </w:p>
    <w:p w14:paraId="61F037AE" w14:textId="77777777" w:rsidR="00DB6E47" w:rsidRPr="00544ED5" w:rsidRDefault="00DB6E47" w:rsidP="00DB6E47">
      <w:pPr>
        <w:pStyle w:val="Apara"/>
      </w:pPr>
      <w:r w:rsidRPr="00544ED5">
        <w:tab/>
        <w:t>(a)</w:t>
      </w:r>
      <w:r w:rsidRPr="00544ED5">
        <w:tab/>
        <w:t>in the Commonwealth Gazette; and</w:t>
      </w:r>
    </w:p>
    <w:p w14:paraId="5794E9EC" w14:textId="77777777" w:rsidR="00DB6E47" w:rsidRPr="00544ED5" w:rsidRDefault="00DB6E47" w:rsidP="00DB6E47">
      <w:pPr>
        <w:pStyle w:val="Apara"/>
      </w:pPr>
      <w:r w:rsidRPr="00544ED5">
        <w:tab/>
        <w:t>(b)</w:t>
      </w:r>
      <w:r w:rsidRPr="00544ED5">
        <w:tab/>
        <w:t>on the Regulator’s website.</w:t>
      </w:r>
    </w:p>
    <w:p w14:paraId="06DEE92A" w14:textId="77777777" w:rsidR="00DB6E47" w:rsidRPr="002F157F" w:rsidRDefault="00DB6E47" w:rsidP="00DB6E47">
      <w:pPr>
        <w:pStyle w:val="Amain"/>
      </w:pPr>
      <w:r w:rsidRPr="002F157F">
        <w:tab/>
        <w:t>(6)</w:t>
      </w:r>
      <w:r w:rsidRPr="002F157F">
        <w:tab/>
        <w:t>The Regulator may waive payment of the whole or part of a fee in circumstances, or in circumstances of a kind, prescribed by the national regulations.</w:t>
      </w:r>
    </w:p>
    <w:p w14:paraId="30A3AF59" w14:textId="77777777" w:rsidR="00DB6E47" w:rsidRPr="002F157F" w:rsidRDefault="00DB6E47" w:rsidP="00DB6E47">
      <w:pPr>
        <w:pStyle w:val="Amain"/>
      </w:pPr>
      <w:r w:rsidRPr="002F157F">
        <w:tab/>
        <w:t>(7)</w:t>
      </w:r>
      <w:r w:rsidRPr="002F157F">
        <w:tab/>
        <w:t>If a fee is prescribed for an application or any other matter under this Law, the decision-maker may decline to deal with the application or proceed with the other matter until the fee is paid.</w:t>
      </w:r>
    </w:p>
    <w:p w14:paraId="128AC0ED" w14:textId="77777777" w:rsidR="00FF4934" w:rsidRPr="00FF4934" w:rsidRDefault="00FF4934" w:rsidP="00FF4934">
      <w:pPr>
        <w:pStyle w:val="AH5Sec"/>
        <w:rPr>
          <w:lang w:val="en" w:eastAsia="en-AU"/>
        </w:rPr>
      </w:pPr>
      <w:bookmarkStart w:id="938" w:name="_Toc83626282"/>
      <w:r w:rsidRPr="005E03F7">
        <w:rPr>
          <w:rStyle w:val="CharSectNo"/>
        </w:rPr>
        <w:t>740A</w:t>
      </w:r>
      <w:r>
        <w:tab/>
      </w:r>
      <w:r w:rsidRPr="00FF4934">
        <w:rPr>
          <w:lang w:val="en" w:eastAsia="en-AU"/>
        </w:rPr>
        <w:t>Increase of fee amounts</w:t>
      </w:r>
      <w:bookmarkEnd w:id="938"/>
    </w:p>
    <w:p w14:paraId="70180489" w14:textId="77777777" w:rsidR="00FF4934" w:rsidRPr="00FF4934" w:rsidRDefault="00FF4934" w:rsidP="00FF4934">
      <w:pPr>
        <w:pStyle w:val="Amain"/>
        <w:rPr>
          <w:lang w:val="en" w:eastAsia="en-AU"/>
        </w:rPr>
      </w:pPr>
      <w:r>
        <w:rPr>
          <w:lang w:val="en" w:eastAsia="en-AU"/>
        </w:rPr>
        <w:tab/>
      </w:r>
      <w:r w:rsidRPr="00FF4934">
        <w:rPr>
          <w:lang w:val="en" w:eastAsia="en-AU"/>
        </w:rPr>
        <w:t>(1)</w:t>
      </w:r>
      <w:r>
        <w:rPr>
          <w:lang w:val="en" w:eastAsia="en-AU"/>
        </w:rPr>
        <w:tab/>
      </w:r>
      <w:r w:rsidRPr="00FF4934">
        <w:rPr>
          <w:lang w:val="en" w:eastAsia="en-AU"/>
        </w:rPr>
        <w:t>This section applies to a fee payable under section 740, including a fee whose amount has already been increased by a previous application or applications of this section.</w:t>
      </w:r>
    </w:p>
    <w:p w14:paraId="6472DDB3" w14:textId="77777777" w:rsidR="00FF4934" w:rsidRPr="00FF4934" w:rsidRDefault="00FF4934" w:rsidP="00FF4934">
      <w:pPr>
        <w:pStyle w:val="Amain"/>
        <w:rPr>
          <w:lang w:val="en" w:eastAsia="en-AU"/>
        </w:rPr>
      </w:pPr>
      <w:r>
        <w:rPr>
          <w:lang w:val="en" w:eastAsia="en-AU"/>
        </w:rPr>
        <w:tab/>
      </w:r>
      <w:r w:rsidRPr="00FF4934">
        <w:rPr>
          <w:lang w:val="en" w:eastAsia="en-AU"/>
        </w:rPr>
        <w:t>(2)</w:t>
      </w:r>
      <w:r>
        <w:rPr>
          <w:lang w:val="en" w:eastAsia="en-AU"/>
        </w:rPr>
        <w:tab/>
      </w:r>
      <w:r w:rsidRPr="00FF4934">
        <w:rPr>
          <w:lang w:val="en" w:eastAsia="en-AU"/>
        </w:rPr>
        <w:t>At the start of 1 July of each year, starting with 1 July 2016, the amount of the fee is increased from the amount that applied immediately before that 1 July, in accordance with the method prescribed by the national regulations for the purposes of this section.</w:t>
      </w:r>
    </w:p>
    <w:p w14:paraId="25B00574" w14:textId="77777777" w:rsidR="00FF4934" w:rsidRPr="00FF4934" w:rsidRDefault="00FF4934" w:rsidP="00FF4934">
      <w:pPr>
        <w:pStyle w:val="aNote"/>
        <w:rPr>
          <w:lang w:val="en" w:eastAsia="en-AU"/>
        </w:rPr>
      </w:pPr>
      <w:r w:rsidRPr="00FF4934">
        <w:rPr>
          <w:i/>
          <w:lang w:val="en" w:eastAsia="en-AU"/>
        </w:rPr>
        <w:t>Note</w:t>
      </w:r>
      <w:r w:rsidRPr="00FF4934">
        <w:rPr>
          <w:lang w:val="en" w:eastAsia="en-AU"/>
        </w:rPr>
        <w:t>—</w:t>
      </w:r>
    </w:p>
    <w:p w14:paraId="6CCDFC6B" w14:textId="77777777" w:rsidR="00FF4934" w:rsidRPr="00FF4934" w:rsidRDefault="00FF4934" w:rsidP="00346451">
      <w:pPr>
        <w:pStyle w:val="aNoteTextss"/>
        <w:ind w:left="1134"/>
        <w:rPr>
          <w:lang w:val="en" w:eastAsia="en-AU"/>
        </w:rPr>
      </w:pPr>
      <w:r w:rsidRPr="00FF4934">
        <w:rPr>
          <w:lang w:val="en" w:eastAsia="en-AU"/>
        </w:rPr>
        <w:t>In some circumstances, the operation of the method can result in no increases occurring on a particular 1 July.</w:t>
      </w:r>
    </w:p>
    <w:p w14:paraId="35598770" w14:textId="77777777" w:rsidR="00FF4934" w:rsidRPr="00FF4934" w:rsidRDefault="00346451" w:rsidP="00346451">
      <w:pPr>
        <w:pStyle w:val="Amain"/>
        <w:rPr>
          <w:lang w:val="en" w:eastAsia="en-AU"/>
        </w:rPr>
      </w:pPr>
      <w:r>
        <w:rPr>
          <w:lang w:val="en" w:eastAsia="en-AU"/>
        </w:rPr>
        <w:lastRenderedPageBreak/>
        <w:tab/>
      </w:r>
      <w:r w:rsidR="00FF4934" w:rsidRPr="00FF4934">
        <w:rPr>
          <w:lang w:val="en" w:eastAsia="en-AU"/>
        </w:rPr>
        <w:t>(3)</w:t>
      </w:r>
      <w:r>
        <w:rPr>
          <w:lang w:val="en" w:eastAsia="en-AU"/>
        </w:rPr>
        <w:tab/>
      </w:r>
      <w:r w:rsidR="00FF4934" w:rsidRPr="00FF4934">
        <w:rPr>
          <w:lang w:val="en" w:eastAsia="en-AU"/>
        </w:rPr>
        <w:t>A recommendation of the responsible Ministers for national regulations prescribing a method for the increase of fees may not be made unless the responsible Ministers are satisfied the method generally accords with increases in relevant inflation indexes or similar indexes.</w:t>
      </w:r>
    </w:p>
    <w:p w14:paraId="46ADA330" w14:textId="77777777" w:rsidR="00FF4934" w:rsidRPr="00FF4934" w:rsidRDefault="00346451" w:rsidP="00346451">
      <w:pPr>
        <w:pStyle w:val="Amain"/>
        <w:rPr>
          <w:lang w:val="en" w:eastAsia="en-AU"/>
        </w:rPr>
      </w:pPr>
      <w:r>
        <w:rPr>
          <w:lang w:val="en" w:eastAsia="en-AU"/>
        </w:rPr>
        <w:tab/>
      </w:r>
      <w:r w:rsidR="00FF4934" w:rsidRPr="00FF4934">
        <w:rPr>
          <w:lang w:val="en" w:eastAsia="en-AU"/>
        </w:rPr>
        <w:t>(4)</w:t>
      </w:r>
      <w:r>
        <w:rPr>
          <w:lang w:val="en" w:eastAsia="en-AU"/>
        </w:rPr>
        <w:tab/>
      </w:r>
      <w:r w:rsidR="00FF4934" w:rsidRPr="00FF4934">
        <w:rPr>
          <w:lang w:val="en" w:eastAsia="en-AU"/>
        </w:rPr>
        <w:t>As soon as practicable, but before 1 July of each year, the Regulator must, by public notice, publish the amounts of each fee applying as from that date.</w:t>
      </w:r>
    </w:p>
    <w:p w14:paraId="0E5A3791" w14:textId="77777777" w:rsidR="00DB6E47" w:rsidRPr="007E1F9A" w:rsidRDefault="00DB6E47" w:rsidP="00DB6E47">
      <w:pPr>
        <w:pStyle w:val="AH5Sec"/>
      </w:pPr>
      <w:bookmarkStart w:id="939" w:name="_Toc83626283"/>
      <w:r w:rsidRPr="005E03F7">
        <w:rPr>
          <w:rStyle w:val="CharSectNo"/>
        </w:rPr>
        <w:t>741</w:t>
      </w:r>
      <w:r w:rsidRPr="007E1F9A">
        <w:tab/>
      </w:r>
      <w:r w:rsidRPr="007E1F9A">
        <w:rPr>
          <w:rFonts w:ascii="Helvetica" w:hAnsi="Helvetica" w:cs="Helvetica"/>
        </w:rPr>
        <w:t>Recovery of amounts payable under Law</w:t>
      </w:r>
      <w:bookmarkEnd w:id="939"/>
    </w:p>
    <w:p w14:paraId="361261F6" w14:textId="77777777" w:rsidR="00DB6E47" w:rsidRPr="002F157F" w:rsidRDefault="00DB6E47" w:rsidP="00DB6E47">
      <w:pPr>
        <w:pStyle w:val="Amain"/>
      </w:pPr>
      <w:r w:rsidRPr="002F157F">
        <w:tab/>
        <w:t>(1)</w:t>
      </w:r>
      <w:r w:rsidRPr="002F157F">
        <w:tab/>
        <w:t>A fee, charge or other amount payable under this Law is a debt due to the Regulator and may be recovered by action for a debt in a court of competent jurisdiction.</w:t>
      </w:r>
    </w:p>
    <w:p w14:paraId="7A44DB40" w14:textId="77777777" w:rsidR="00DB6E47" w:rsidRPr="002F157F" w:rsidRDefault="00DB6E47" w:rsidP="00DB6E47">
      <w:pPr>
        <w:pStyle w:val="Amain"/>
      </w:pPr>
      <w:r w:rsidRPr="002F157F">
        <w:tab/>
        <w:t>(2)</w:t>
      </w:r>
      <w:r w:rsidRPr="002F157F">
        <w:tab/>
        <w:t>A fee, charge or other amount payable under this Law may also be recovered in a proceeding for an offence against this Law.</w:t>
      </w:r>
    </w:p>
    <w:p w14:paraId="3E9C31FE" w14:textId="77777777" w:rsidR="00DB6E47" w:rsidRPr="002F157F" w:rsidRDefault="00DB6E47" w:rsidP="00DB6E47">
      <w:pPr>
        <w:pStyle w:val="Amain"/>
      </w:pPr>
      <w:r w:rsidRPr="002F157F">
        <w:tab/>
        <w:t>(3)</w:t>
      </w:r>
      <w:r w:rsidRPr="002F157F">
        <w:tab/>
        <w:t>An order made under subsection (2)—</w:t>
      </w:r>
    </w:p>
    <w:p w14:paraId="0936ADFA" w14:textId="77777777" w:rsidR="00DB6E47" w:rsidRPr="00544ED5" w:rsidRDefault="00DB6E47" w:rsidP="00DB6E47">
      <w:pPr>
        <w:pStyle w:val="Apara"/>
      </w:pPr>
      <w:r w:rsidRPr="00544ED5">
        <w:tab/>
        <w:t>(a)</w:t>
      </w:r>
      <w:r w:rsidRPr="00544ED5">
        <w:tab/>
        <w:t>can not be for an amount exceeding the monetary jurisdictional limit of the court in civil proceedings; and</w:t>
      </w:r>
    </w:p>
    <w:p w14:paraId="11BCF4FD" w14:textId="77777777" w:rsidR="00DB6E47" w:rsidRPr="00544ED5" w:rsidRDefault="00DB6E47" w:rsidP="00DB6E47">
      <w:pPr>
        <w:pStyle w:val="Apara"/>
      </w:pPr>
      <w:r w:rsidRPr="00544ED5">
        <w:tab/>
        <w:t>(b)</w:t>
      </w:r>
      <w:r w:rsidRPr="00544ED5">
        <w:tab/>
        <w:t>is taken to be, and is enforceable as, a judgment of the court sitting in civil proceedings.</w:t>
      </w:r>
    </w:p>
    <w:p w14:paraId="190F44FC" w14:textId="77777777" w:rsidR="00DB6E47" w:rsidRPr="007E1F9A" w:rsidRDefault="00DB6E47" w:rsidP="00DB6E47">
      <w:pPr>
        <w:pStyle w:val="AH5Sec"/>
      </w:pPr>
      <w:bookmarkStart w:id="940" w:name="_Toc83626284"/>
      <w:r w:rsidRPr="005E03F7">
        <w:rPr>
          <w:rStyle w:val="CharSectNo"/>
        </w:rPr>
        <w:t>742</w:t>
      </w:r>
      <w:r w:rsidRPr="007E1F9A">
        <w:tab/>
      </w:r>
      <w:r w:rsidRPr="007E1F9A">
        <w:rPr>
          <w:rFonts w:ascii="Helvetica" w:hAnsi="Helvetica" w:cs="Helvetica"/>
        </w:rPr>
        <w:t>Contracting out prohibited</w:t>
      </w:r>
      <w:bookmarkEnd w:id="940"/>
    </w:p>
    <w:p w14:paraId="79D63E6D" w14:textId="77777777" w:rsidR="00DB6E47" w:rsidRPr="002F157F" w:rsidRDefault="00DB6E47" w:rsidP="00DB6E47">
      <w:pPr>
        <w:pStyle w:val="Amain"/>
      </w:pPr>
      <w:r w:rsidRPr="002F157F">
        <w:tab/>
        <w:t>(1)</w:t>
      </w:r>
      <w:r w:rsidRPr="002F157F">
        <w:tab/>
        <w:t>A contract is void to the extent to which it—</w:t>
      </w:r>
    </w:p>
    <w:p w14:paraId="2B25D55C" w14:textId="77777777" w:rsidR="00DB6E47" w:rsidRPr="00544ED5" w:rsidRDefault="00DB6E47" w:rsidP="00DB6E47">
      <w:pPr>
        <w:pStyle w:val="Apara"/>
      </w:pPr>
      <w:r w:rsidRPr="00544ED5">
        <w:tab/>
        <w:t>(a)</w:t>
      </w:r>
      <w:r w:rsidRPr="00544ED5">
        <w:tab/>
        <w:t>is contrary to this Law; or</w:t>
      </w:r>
    </w:p>
    <w:p w14:paraId="6576E457" w14:textId="77777777" w:rsidR="00DB6E47" w:rsidRPr="00544ED5" w:rsidRDefault="00DB6E47" w:rsidP="00DB6E47">
      <w:pPr>
        <w:pStyle w:val="Apara"/>
      </w:pPr>
      <w:r w:rsidRPr="00544ED5">
        <w:tab/>
        <w:t>(b)</w:t>
      </w:r>
      <w:r w:rsidRPr="00544ED5">
        <w:tab/>
        <w:t>purports to annul, exclude, restrict or otherwise change the effect of a provision of this Law; or</w:t>
      </w:r>
    </w:p>
    <w:p w14:paraId="1D22C71B" w14:textId="77777777" w:rsidR="00DB6E47" w:rsidRPr="00544ED5" w:rsidRDefault="00DB6E47" w:rsidP="00DB6E47">
      <w:pPr>
        <w:pStyle w:val="Apara"/>
      </w:pPr>
      <w:r w:rsidRPr="00544ED5">
        <w:tab/>
        <w:t>(c)</w:t>
      </w:r>
      <w:r w:rsidRPr="00544ED5">
        <w:tab/>
        <w:t>purports to require the payment or reimbursement by a person of all or part of a penalty that another person has been ordered to pay under this Law.</w:t>
      </w:r>
    </w:p>
    <w:p w14:paraId="5A3D270E" w14:textId="77777777" w:rsidR="00DB6E47" w:rsidRPr="002F157F" w:rsidRDefault="00DB6E47" w:rsidP="00DB6E47">
      <w:pPr>
        <w:pStyle w:val="Amain"/>
      </w:pPr>
      <w:r w:rsidRPr="002F157F">
        <w:lastRenderedPageBreak/>
        <w:tab/>
        <w:t>(2)</w:t>
      </w:r>
      <w:r w:rsidRPr="002F157F">
        <w:tab/>
        <w:t>This section does not prevent the parties to a contract from including provisions in the contract imposing greater or more onerous obligations on an entity than are imposed by the requirements of this Law.</w:t>
      </w:r>
    </w:p>
    <w:p w14:paraId="77103287" w14:textId="77777777" w:rsidR="00DB6E47" w:rsidRPr="002F157F" w:rsidRDefault="00DB6E47" w:rsidP="00DB6E47">
      <w:pPr>
        <w:pStyle w:val="Amain"/>
      </w:pPr>
      <w:r w:rsidRPr="002F157F">
        <w:tab/>
        <w:t>(3)</w:t>
      </w:r>
      <w:r w:rsidRPr="002F157F">
        <w:tab/>
        <w:t>This section applies to contracts entered into before or after the commencement of this section.</w:t>
      </w:r>
    </w:p>
    <w:p w14:paraId="436F5B34" w14:textId="77777777" w:rsidR="00DB6E47" w:rsidRPr="007E1F9A" w:rsidRDefault="00DB6E47" w:rsidP="00DB6E47">
      <w:pPr>
        <w:pStyle w:val="AH5Sec"/>
      </w:pPr>
      <w:bookmarkStart w:id="941" w:name="_Toc83626285"/>
      <w:r w:rsidRPr="005E03F7">
        <w:rPr>
          <w:rStyle w:val="CharSectNo"/>
        </w:rPr>
        <w:t>743</w:t>
      </w:r>
      <w:r w:rsidRPr="007E1F9A">
        <w:tab/>
      </w:r>
      <w:r w:rsidRPr="007E1F9A">
        <w:rPr>
          <w:rFonts w:ascii="Helvetica" w:hAnsi="Helvetica" w:cs="Helvetica"/>
        </w:rPr>
        <w:t>Other powers not affected</w:t>
      </w:r>
      <w:bookmarkEnd w:id="941"/>
    </w:p>
    <w:p w14:paraId="220AC4F7" w14:textId="77777777" w:rsidR="00DB6E47" w:rsidRPr="002F157F" w:rsidRDefault="00DB6E47" w:rsidP="00DB6E47">
      <w:pPr>
        <w:pStyle w:val="Amain"/>
      </w:pPr>
      <w:r w:rsidRPr="002F157F">
        <w:tab/>
        <w:t>(1)</w:t>
      </w:r>
      <w:r w:rsidRPr="002F157F">
        <w:tab/>
        <w:t>Unless otherwise provided in this Law, nothing in this Law affects any power a court, tribunal or official has apart from this Law.</w:t>
      </w:r>
    </w:p>
    <w:p w14:paraId="123300DD" w14:textId="77777777" w:rsidR="00DB6E47" w:rsidRPr="002F157F" w:rsidRDefault="00DB6E47" w:rsidP="00DB6E47">
      <w:pPr>
        <w:pStyle w:val="Amain"/>
      </w:pPr>
      <w:r w:rsidRPr="002F157F">
        <w:tab/>
        <w:t>(2)</w:t>
      </w:r>
      <w:r w:rsidRPr="002F157F">
        <w:tab/>
        <w:t>Without limiting subsection (1), nothing in this Law affects a power or obligation under another law to amend, suspend, cancel or otherwise deal with the registration of a heavy vehicle.</w:t>
      </w:r>
    </w:p>
    <w:p w14:paraId="49B4DC8D" w14:textId="77777777" w:rsidR="00DB6E47" w:rsidRPr="00DF5C50" w:rsidRDefault="00DB6E47" w:rsidP="00DB6E47">
      <w:pPr>
        <w:pStyle w:val="PageBreak"/>
      </w:pPr>
      <w:r w:rsidRPr="00DF5C50">
        <w:br w:type="page"/>
      </w:r>
    </w:p>
    <w:p w14:paraId="3A7DE4E4" w14:textId="77777777" w:rsidR="00DB6E47" w:rsidRPr="005E03F7" w:rsidRDefault="00DB6E47" w:rsidP="00DB6E47">
      <w:pPr>
        <w:pStyle w:val="AH1Chapter"/>
      </w:pPr>
      <w:bookmarkStart w:id="942" w:name="_Toc83626286"/>
      <w:r w:rsidRPr="005E03F7">
        <w:rPr>
          <w:rStyle w:val="CharChapNo"/>
        </w:rPr>
        <w:lastRenderedPageBreak/>
        <w:t xml:space="preserve">Chapter 14 </w:t>
      </w:r>
      <w:r w:rsidRPr="007E1F9A">
        <w:tab/>
      </w:r>
      <w:r w:rsidRPr="005E03F7">
        <w:rPr>
          <w:rStyle w:val="CharChapText"/>
        </w:rPr>
        <w:t>Savings and transitional provisions</w:t>
      </w:r>
      <w:bookmarkEnd w:id="942"/>
    </w:p>
    <w:p w14:paraId="0AC2C63D" w14:textId="77777777" w:rsidR="00DB6E47" w:rsidRPr="005E03F7" w:rsidRDefault="00DB6E47" w:rsidP="00DB6E47">
      <w:pPr>
        <w:pStyle w:val="AH2Part"/>
      </w:pPr>
      <w:bookmarkStart w:id="943" w:name="_Toc83626287"/>
      <w:r w:rsidRPr="005E03F7">
        <w:rPr>
          <w:rStyle w:val="CharPartNo"/>
        </w:rPr>
        <w:t>Part 14.1</w:t>
      </w:r>
      <w:r w:rsidRPr="00A95F9A">
        <w:rPr>
          <w:rFonts w:ascii="Helvetica" w:hAnsi="Helvetica" w:cs="Helvetica"/>
          <w:szCs w:val="32"/>
        </w:rPr>
        <w:tab/>
      </w:r>
      <w:r w:rsidRPr="005E03F7">
        <w:rPr>
          <w:rStyle w:val="CharPartText"/>
          <w:rFonts w:ascii="Helvetica" w:hAnsi="Helvetica" w:cs="Helvetica"/>
          <w:szCs w:val="32"/>
        </w:rPr>
        <w:t>Interim provisions relating to Ministers and Board</w:t>
      </w:r>
      <w:bookmarkEnd w:id="943"/>
    </w:p>
    <w:p w14:paraId="6D3BC99B" w14:textId="77777777" w:rsidR="00DB6E47" w:rsidRPr="007E1F9A" w:rsidRDefault="00DB6E47" w:rsidP="00DB6E47">
      <w:pPr>
        <w:pStyle w:val="AH5Sec"/>
      </w:pPr>
      <w:bookmarkStart w:id="944" w:name="_Toc83626288"/>
      <w:r w:rsidRPr="005E03F7">
        <w:rPr>
          <w:rStyle w:val="CharSectNo"/>
        </w:rPr>
        <w:t>744</w:t>
      </w:r>
      <w:r w:rsidRPr="007E1F9A">
        <w:tab/>
      </w:r>
      <w:r w:rsidRPr="007E1F9A">
        <w:rPr>
          <w:rFonts w:ascii="Helvetica" w:hAnsi="Helvetica" w:cs="Helvetica"/>
        </w:rPr>
        <w:t>Responsible Ministers</w:t>
      </w:r>
      <w:bookmarkEnd w:id="944"/>
    </w:p>
    <w:p w14:paraId="29B22909" w14:textId="77777777" w:rsidR="00DB6E47" w:rsidRPr="002F157F" w:rsidRDefault="00DB6E47" w:rsidP="00DB6E47">
      <w:pPr>
        <w:pStyle w:val="Amain"/>
      </w:pPr>
      <w:r w:rsidRPr="002F157F">
        <w:tab/>
        <w:t>(1)</w:t>
      </w:r>
      <w:r w:rsidRPr="002F157F">
        <w:tab/>
        <w:t>This section applies if a jurisdiction—</w:t>
      </w:r>
    </w:p>
    <w:p w14:paraId="32DCFD23" w14:textId="77777777" w:rsidR="00DB6E47" w:rsidRPr="00544ED5" w:rsidRDefault="00DB6E47" w:rsidP="00DB6E47">
      <w:pPr>
        <w:pStyle w:val="Apara"/>
      </w:pPr>
      <w:r w:rsidRPr="00544ED5">
        <w:tab/>
        <w:t>(a)</w:t>
      </w:r>
      <w:r w:rsidRPr="00544ED5">
        <w:tab/>
        <w:t>is not a participating jurisdiction; but</w:t>
      </w:r>
    </w:p>
    <w:p w14:paraId="62E7EA66" w14:textId="77777777" w:rsidR="00DB6E47" w:rsidRPr="00544ED5" w:rsidRDefault="00DB6E47" w:rsidP="00DB6E47">
      <w:pPr>
        <w:pStyle w:val="Apara"/>
      </w:pPr>
      <w:r w:rsidRPr="00544ED5">
        <w:tab/>
        <w:t>(b)</w:t>
      </w:r>
      <w:r w:rsidRPr="00544ED5">
        <w:tab/>
        <w:t>has signed the Inter-governmental Agreement on Heavy Vehicle Regulatory Reform, as in force from time to time, between the Commonwealth of Australia and the States and Territories of Australia.</w:t>
      </w:r>
    </w:p>
    <w:p w14:paraId="76183E37" w14:textId="77777777" w:rsidR="00DB6E47" w:rsidRPr="002F157F" w:rsidRDefault="00DB6E47" w:rsidP="00DB6E47">
      <w:pPr>
        <w:pStyle w:val="Amain"/>
      </w:pPr>
      <w:r w:rsidRPr="002F157F">
        <w:tab/>
        <w:t>(2)</w:t>
      </w:r>
      <w:r w:rsidRPr="002F157F">
        <w:tab/>
        <w:t>The jurisdiction may nominate a Minister to be the responsible Minister for the jurisdiction for the purposes of this Law until the prescribed day for the jurisdiction.</w:t>
      </w:r>
    </w:p>
    <w:p w14:paraId="1B17CB27" w14:textId="77777777" w:rsidR="00DB6E47" w:rsidRPr="002F157F" w:rsidRDefault="00DB6E47" w:rsidP="00DB6E47">
      <w:pPr>
        <w:pStyle w:val="Amain"/>
      </w:pPr>
      <w:r w:rsidRPr="002F157F">
        <w:tab/>
        <w:t>(3)</w:t>
      </w:r>
      <w:r w:rsidRPr="002F157F">
        <w:tab/>
        <w:t>Until the prescribed day for the jurisdiction, the relevant provisions of this Law apply as if—</w:t>
      </w:r>
    </w:p>
    <w:p w14:paraId="7AD964B7" w14:textId="77777777" w:rsidR="00DB6E47" w:rsidRPr="00544ED5" w:rsidRDefault="00DB6E47" w:rsidP="00DB6E47">
      <w:pPr>
        <w:pStyle w:val="Apara"/>
      </w:pPr>
      <w:r w:rsidRPr="00544ED5">
        <w:tab/>
        <w:t>(a)</w:t>
      </w:r>
      <w:r w:rsidRPr="00544ED5">
        <w:tab/>
        <w:t>the jurisdiction were a participating jurisdiction; and</w:t>
      </w:r>
    </w:p>
    <w:p w14:paraId="00F9C09D" w14:textId="77777777" w:rsidR="00DB6E47" w:rsidRPr="00544ED5" w:rsidRDefault="00DB6E47" w:rsidP="00DB6E47">
      <w:pPr>
        <w:pStyle w:val="Apara"/>
      </w:pPr>
      <w:r w:rsidRPr="00544ED5">
        <w:tab/>
        <w:t>(b)</w:t>
      </w:r>
      <w:r w:rsidRPr="00544ED5">
        <w:tab/>
        <w:t>the Minister nominated under subsection</w:t>
      </w:r>
      <w:r w:rsidR="003F1D40">
        <w:t xml:space="preserve"> </w:t>
      </w:r>
      <w:r w:rsidRPr="00544ED5">
        <w:t>(2)</w:t>
      </w:r>
      <w:r w:rsidR="003F1D40">
        <w:t xml:space="preserve"> </w:t>
      </w:r>
      <w:r w:rsidRPr="00544ED5">
        <w:t>were the responsible Minister for the jurisdiction for the purposes of this Law.</w:t>
      </w:r>
    </w:p>
    <w:p w14:paraId="085EEB87" w14:textId="77777777" w:rsidR="00DB6E47" w:rsidRPr="002F157F" w:rsidRDefault="00DB6E47" w:rsidP="00DB6E47">
      <w:pPr>
        <w:pStyle w:val="Amain"/>
      </w:pPr>
      <w:r w:rsidRPr="002F157F">
        <w:tab/>
        <w:t>(4)</w:t>
      </w:r>
      <w:r w:rsidRPr="002F157F">
        <w:tab/>
        <w:t>To remove any doubt, it is declared that this section does not prevent the Mini</w:t>
      </w:r>
      <w:r w:rsidR="003F1D40">
        <w:t xml:space="preserve">ster nominated under subsection </w:t>
      </w:r>
      <w:r w:rsidRPr="002F157F">
        <w:t>(2)</w:t>
      </w:r>
      <w:r w:rsidR="003F1D40">
        <w:t xml:space="preserve"> </w:t>
      </w:r>
      <w:r w:rsidRPr="002F157F">
        <w:t>being nominated as the responsible Minister for the jurisdiction after the participation day for the jurisdiction.</w:t>
      </w:r>
    </w:p>
    <w:p w14:paraId="3C7E5F21" w14:textId="77777777" w:rsidR="00DB6E47" w:rsidRPr="002F157F" w:rsidRDefault="00DB6E47" w:rsidP="009F29F0">
      <w:pPr>
        <w:pStyle w:val="Amain"/>
        <w:keepNext/>
      </w:pPr>
      <w:r w:rsidRPr="002F157F">
        <w:lastRenderedPageBreak/>
        <w:tab/>
        <w:t>(5)</w:t>
      </w:r>
      <w:r w:rsidRPr="002F157F">
        <w:tab/>
        <w:t>In this section—</w:t>
      </w:r>
    </w:p>
    <w:p w14:paraId="57144619" w14:textId="77777777" w:rsidR="00DB6E47" w:rsidRPr="00041046" w:rsidRDefault="00DB6E47" w:rsidP="00DB6E47">
      <w:pPr>
        <w:pStyle w:val="aDef"/>
        <w:rPr>
          <w:bCs/>
        </w:rPr>
      </w:pPr>
      <w:r w:rsidRPr="00041046">
        <w:rPr>
          <w:rStyle w:val="charBoldItals"/>
        </w:rPr>
        <w:t>participation day</w:t>
      </w:r>
      <w:r w:rsidRPr="00041046">
        <w:t>, for a participating jurisdiction, means the day the jurisdiction became a participating jurisdiction.</w:t>
      </w:r>
    </w:p>
    <w:p w14:paraId="3FD20BCB" w14:textId="77777777" w:rsidR="00DB6E47" w:rsidRPr="00041046" w:rsidRDefault="00DB6E47" w:rsidP="00DB6E47">
      <w:pPr>
        <w:pStyle w:val="aDef"/>
        <w:rPr>
          <w:bCs/>
        </w:rPr>
      </w:pPr>
      <w:r w:rsidRPr="00041046">
        <w:rPr>
          <w:rStyle w:val="charBoldItals"/>
        </w:rPr>
        <w:t>prescribed day</w:t>
      </w:r>
      <w:r w:rsidRPr="00041046">
        <w:t>, for a jurisdiction, means the earlier of the following—</w:t>
      </w:r>
    </w:p>
    <w:p w14:paraId="781B34FF" w14:textId="77777777" w:rsidR="00DB6E47" w:rsidRPr="00F04D8E" w:rsidRDefault="00DB6E47" w:rsidP="00DB6E47">
      <w:pPr>
        <w:pStyle w:val="aDefpara"/>
      </w:pPr>
      <w:r w:rsidRPr="00F04D8E">
        <w:rPr>
          <w:rFonts w:cs="Times"/>
          <w:bCs/>
        </w:rPr>
        <w:tab/>
        <w:t>(a)</w:t>
      </w:r>
      <w:r w:rsidRPr="00F04D8E">
        <w:rPr>
          <w:rFonts w:cs="Times"/>
          <w:bCs/>
        </w:rPr>
        <w:tab/>
        <w:t>the participation day for the jurisdiction;</w:t>
      </w:r>
    </w:p>
    <w:p w14:paraId="46CD1B10" w14:textId="77777777" w:rsidR="00DB6E47" w:rsidRPr="00F04D8E" w:rsidRDefault="00DB6E47" w:rsidP="00DB6E47">
      <w:pPr>
        <w:pStyle w:val="aDefpara"/>
      </w:pPr>
      <w:r w:rsidRPr="00F04D8E">
        <w:tab/>
        <w:t>(b)</w:t>
      </w:r>
      <w:r w:rsidRPr="00F04D8E">
        <w:tab/>
        <w:t>30 June 2014.</w:t>
      </w:r>
    </w:p>
    <w:p w14:paraId="45941B8A" w14:textId="77777777" w:rsidR="00DB6E47" w:rsidRPr="00041046" w:rsidRDefault="00DB6E47" w:rsidP="00DB6E47">
      <w:pPr>
        <w:pStyle w:val="aDef"/>
        <w:rPr>
          <w:bCs/>
        </w:rPr>
      </w:pPr>
      <w:r w:rsidRPr="00041046">
        <w:rPr>
          <w:rStyle w:val="charBoldItals"/>
        </w:rPr>
        <w:t xml:space="preserve">relevant provisions </w:t>
      </w:r>
      <w:r w:rsidRPr="00041046">
        <w:t>means the provisions of this Law relating to the functions of responsible Ministers under this Law other than section</w:t>
      </w:r>
      <w:r w:rsidR="003F1D40">
        <w:t> </w:t>
      </w:r>
      <w:r w:rsidRPr="00041046">
        <w:t>652.</w:t>
      </w:r>
    </w:p>
    <w:p w14:paraId="5DF15818" w14:textId="77777777" w:rsidR="00DB6E47" w:rsidRPr="007E1F9A" w:rsidRDefault="00DB6E47" w:rsidP="00DB6E47">
      <w:pPr>
        <w:pStyle w:val="AH5Sec"/>
      </w:pPr>
      <w:bookmarkStart w:id="945" w:name="_Toc83626289"/>
      <w:r w:rsidRPr="005E03F7">
        <w:rPr>
          <w:rStyle w:val="CharSectNo"/>
        </w:rPr>
        <w:t>745</w:t>
      </w:r>
      <w:r w:rsidRPr="007E1F9A">
        <w:tab/>
      </w:r>
      <w:r w:rsidRPr="007E1F9A">
        <w:rPr>
          <w:rFonts w:ascii="Helvetica" w:hAnsi="Helvetica" w:cs="Helvetica"/>
        </w:rPr>
        <w:t>Exercise of powers by Board between enactment and commencement</w:t>
      </w:r>
      <w:bookmarkEnd w:id="945"/>
    </w:p>
    <w:p w14:paraId="0ECD7E31" w14:textId="77777777" w:rsidR="00DB6E47" w:rsidRPr="002F157F" w:rsidRDefault="00DB6E47" w:rsidP="00DB6E47">
      <w:pPr>
        <w:pStyle w:val="Amain"/>
      </w:pPr>
      <w:r w:rsidRPr="002F157F">
        <w:tab/>
        <w:t>(1)</w:t>
      </w:r>
      <w:r w:rsidRPr="002F157F">
        <w:tab/>
        <w:t>This section applies if—</w:t>
      </w:r>
    </w:p>
    <w:p w14:paraId="7C6EDFBC" w14:textId="77777777" w:rsidR="00DB6E47" w:rsidRPr="00544ED5" w:rsidRDefault="00DB6E47" w:rsidP="00DB6E47">
      <w:pPr>
        <w:pStyle w:val="Apara"/>
      </w:pPr>
      <w:r w:rsidRPr="00544ED5">
        <w:tab/>
        <w:t>(a)</w:t>
      </w:r>
      <w:r w:rsidRPr="00544ED5">
        <w:tab/>
        <w:t>under section 30 of Schedule 1, the Queensland Minister, on the unanimous recommendation of the responsible Ministers, appoints the members of the Board before section 663 commences; and</w:t>
      </w:r>
    </w:p>
    <w:p w14:paraId="448A2981" w14:textId="77777777" w:rsidR="00DB6E47" w:rsidRPr="00544ED5" w:rsidRDefault="00DB6E47" w:rsidP="00DB6E47">
      <w:pPr>
        <w:pStyle w:val="Apara"/>
      </w:pPr>
      <w:r w:rsidRPr="00544ED5">
        <w:tab/>
        <w:t>(b)</w:t>
      </w:r>
      <w:r w:rsidRPr="00544ED5">
        <w:tab/>
        <w:t xml:space="preserve">a provision of this Law conferring a function on the Board (a </w:t>
      </w:r>
      <w:r w:rsidRPr="00FF4454">
        <w:rPr>
          <w:rStyle w:val="charBoldItals"/>
        </w:rPr>
        <w:t>relevant provision</w:t>
      </w:r>
      <w:r w:rsidRPr="00544ED5">
        <w:t>) has not commenced.</w:t>
      </w:r>
    </w:p>
    <w:p w14:paraId="03671D99" w14:textId="77777777" w:rsidR="00DB6E47" w:rsidRPr="002F157F" w:rsidRDefault="00DB6E47" w:rsidP="00DB6E47">
      <w:pPr>
        <w:pStyle w:val="Amain"/>
      </w:pPr>
      <w:r w:rsidRPr="002F157F">
        <w:tab/>
        <w:t>(2)</w:t>
      </w:r>
      <w:r w:rsidRPr="002F157F">
        <w:tab/>
        <w:t>The members—</w:t>
      </w:r>
    </w:p>
    <w:p w14:paraId="25E720FE" w14:textId="77777777" w:rsidR="00DB6E47" w:rsidRPr="00544ED5" w:rsidRDefault="00DB6E47" w:rsidP="00DB6E47">
      <w:pPr>
        <w:pStyle w:val="Apara"/>
      </w:pPr>
      <w:r w:rsidRPr="00544ED5">
        <w:tab/>
        <w:t>(a)</w:t>
      </w:r>
      <w:r w:rsidRPr="00544ED5">
        <w:tab/>
        <w:t>may meet and exercise the function under the relevant provision in the same way and subject to the same conditions that would apply if the relevant provision had commenced; and</w:t>
      </w:r>
    </w:p>
    <w:p w14:paraId="2EE982C5" w14:textId="77777777" w:rsidR="00DB6E47" w:rsidRPr="00544ED5" w:rsidRDefault="00DB6E47" w:rsidP="00DB6E47">
      <w:pPr>
        <w:pStyle w:val="Apara"/>
      </w:pPr>
      <w:r w:rsidRPr="00544ED5">
        <w:tab/>
        <w:t>(b)</w:t>
      </w:r>
      <w:r w:rsidRPr="00544ED5">
        <w:tab/>
        <w:t>in doing so, are entitled to be paid the remuneration and allowances to which the members are entitled under section</w:t>
      </w:r>
      <w:r w:rsidR="009F29F0">
        <w:t> </w:t>
      </w:r>
      <w:r w:rsidRPr="00544ED5">
        <w:t>666 whether or not that section has commenced.</w:t>
      </w:r>
    </w:p>
    <w:p w14:paraId="4F4A98E1" w14:textId="77777777" w:rsidR="00DB6E47" w:rsidRPr="002F157F" w:rsidRDefault="00DB6E47" w:rsidP="009F29F0">
      <w:pPr>
        <w:pStyle w:val="Amain"/>
        <w:keepLines/>
      </w:pPr>
      <w:r w:rsidRPr="002F157F">
        <w:lastRenderedPageBreak/>
        <w:tab/>
        <w:t>(3)</w:t>
      </w:r>
      <w:r w:rsidRPr="002F157F">
        <w:tab/>
        <w:t>For the purposes of deciding the duration of the term of office of a member of the Board, the term does not start until section 663 commences despite the exercise of any function by the member under subsection (2).</w:t>
      </w:r>
    </w:p>
    <w:p w14:paraId="7BD7DD5B" w14:textId="77777777" w:rsidR="00DB6E47" w:rsidRPr="002F157F" w:rsidRDefault="00DB6E47" w:rsidP="00DB6E47">
      <w:pPr>
        <w:pStyle w:val="Amain"/>
      </w:pPr>
      <w:r w:rsidRPr="002F157F">
        <w:tab/>
        <w:t>(4)</w:t>
      </w:r>
      <w:r w:rsidRPr="002F157F">
        <w:tab/>
        <w:t>The exercise of a function under a relevant provision does not confer a right, or impose a liability, on a person before the relevant provision commences.</w:t>
      </w:r>
    </w:p>
    <w:p w14:paraId="2353E24C" w14:textId="77777777" w:rsidR="00DB6E47" w:rsidRPr="002F157F" w:rsidRDefault="00DB6E47" w:rsidP="00DB6E47">
      <w:pPr>
        <w:pStyle w:val="Amain"/>
      </w:pPr>
      <w:r w:rsidRPr="002F157F">
        <w:tab/>
        <w:t>(5)</w:t>
      </w:r>
      <w:r w:rsidRPr="002F157F">
        <w:tab/>
        <w:t>This section does not limit section 30 of Schedule 1.</w:t>
      </w:r>
    </w:p>
    <w:p w14:paraId="641D495C" w14:textId="77777777" w:rsidR="00DB6E47" w:rsidRPr="00DF5C50" w:rsidRDefault="00DB6E47" w:rsidP="00DB6E47">
      <w:pPr>
        <w:pStyle w:val="PageBreak"/>
      </w:pPr>
      <w:r w:rsidRPr="00DF5C50">
        <w:br w:type="page"/>
      </w:r>
    </w:p>
    <w:p w14:paraId="529440C3" w14:textId="77777777" w:rsidR="00DB6E47" w:rsidRPr="005E03F7" w:rsidRDefault="00DB6E47" w:rsidP="00DB6E47">
      <w:pPr>
        <w:pStyle w:val="AH2Part"/>
      </w:pPr>
      <w:bookmarkStart w:id="946" w:name="_Toc83626290"/>
      <w:r w:rsidRPr="005E03F7">
        <w:rPr>
          <w:rStyle w:val="CharPartNo"/>
        </w:rPr>
        <w:lastRenderedPageBreak/>
        <w:t>Part 14.2</w:t>
      </w:r>
      <w:r w:rsidRPr="00A95F9A">
        <w:rPr>
          <w:rFonts w:ascii="Helvetica" w:hAnsi="Helvetica" w:cs="Helvetica"/>
          <w:szCs w:val="32"/>
        </w:rPr>
        <w:tab/>
      </w:r>
      <w:r w:rsidRPr="005E03F7">
        <w:rPr>
          <w:rStyle w:val="CharPartText"/>
          <w:rFonts w:ascii="Helvetica" w:hAnsi="Helvetica" w:cs="Helvetica"/>
          <w:szCs w:val="32"/>
        </w:rPr>
        <w:t>General provisions</w:t>
      </w:r>
      <w:bookmarkEnd w:id="946"/>
    </w:p>
    <w:p w14:paraId="1C8559BA" w14:textId="77777777" w:rsidR="00DB6E47" w:rsidRPr="007E1F9A" w:rsidRDefault="00DB6E47" w:rsidP="00DB6E47">
      <w:pPr>
        <w:pStyle w:val="AH5Sec"/>
      </w:pPr>
      <w:bookmarkStart w:id="947" w:name="_Toc83626291"/>
      <w:r w:rsidRPr="005E03F7">
        <w:rPr>
          <w:rStyle w:val="CharSectNo"/>
        </w:rPr>
        <w:t>746</w:t>
      </w:r>
      <w:r w:rsidRPr="007E1F9A">
        <w:tab/>
      </w:r>
      <w:r w:rsidRPr="007E1F9A">
        <w:rPr>
          <w:rFonts w:ascii="Helvetica" w:hAnsi="Helvetica" w:cs="Helvetica"/>
          <w:iCs/>
        </w:rPr>
        <w:t>Application of Part 14.2</w:t>
      </w:r>
      <w:bookmarkEnd w:id="947"/>
    </w:p>
    <w:p w14:paraId="42CFE2BA" w14:textId="77777777" w:rsidR="00DB6E47" w:rsidRPr="002F157F" w:rsidRDefault="00DB6E47" w:rsidP="00DB6E47">
      <w:pPr>
        <w:pStyle w:val="Amain"/>
      </w:pPr>
      <w:r w:rsidRPr="002F157F">
        <w:tab/>
        <w:t>(1)</w:t>
      </w:r>
      <w:r w:rsidRPr="002F157F">
        <w:tab/>
        <w:t>This Part has effect in relation to this jurisdiction except to the extent any law of this jurisdiction expressly or impliedly overrides a provision of this Part.</w:t>
      </w:r>
    </w:p>
    <w:p w14:paraId="3C39CF37" w14:textId="77777777" w:rsidR="00DB6E47" w:rsidRPr="002F157F" w:rsidRDefault="00DB6E47" w:rsidP="00DB6E47">
      <w:pPr>
        <w:pStyle w:val="Amain"/>
      </w:pPr>
      <w:r w:rsidRPr="002F157F">
        <w:tab/>
        <w:t>(2)</w:t>
      </w:r>
      <w:r w:rsidRPr="002F157F">
        <w:tab/>
        <w:t>Nothing in this Part limits section 34 of Schedule 1, except to the extent that the context or subject matter otherwise indicates or requires.</w:t>
      </w:r>
    </w:p>
    <w:p w14:paraId="10CF3C10" w14:textId="77777777" w:rsidR="00DB6E47" w:rsidRPr="007E1F9A" w:rsidRDefault="00DB6E47" w:rsidP="00DB6E47">
      <w:pPr>
        <w:pStyle w:val="AH5Sec"/>
      </w:pPr>
      <w:bookmarkStart w:id="948" w:name="_Toc83626292"/>
      <w:r w:rsidRPr="005E03F7">
        <w:rPr>
          <w:rStyle w:val="CharSectNo"/>
        </w:rPr>
        <w:t>747</w:t>
      </w:r>
      <w:r w:rsidRPr="007E1F9A">
        <w:tab/>
      </w:r>
      <w:r w:rsidRPr="007E1F9A">
        <w:rPr>
          <w:rFonts w:ascii="Helvetica" w:hAnsi="Helvetica" w:cs="Helvetica"/>
          <w:iCs/>
        </w:rPr>
        <w:t>Definitions for Part 14.2</w:t>
      </w:r>
      <w:bookmarkEnd w:id="948"/>
    </w:p>
    <w:p w14:paraId="793FE56F" w14:textId="77777777" w:rsidR="00DB6E47" w:rsidRPr="002F157F" w:rsidRDefault="00DB6E47" w:rsidP="00DB6E47">
      <w:pPr>
        <w:pStyle w:val="Amainreturn"/>
      </w:pPr>
      <w:r w:rsidRPr="002F157F">
        <w:t>In this Part—</w:t>
      </w:r>
    </w:p>
    <w:p w14:paraId="2351D94C" w14:textId="77777777" w:rsidR="00DB6E47" w:rsidRPr="00041046" w:rsidRDefault="00DB6E47" w:rsidP="00DB6E47">
      <w:pPr>
        <w:pStyle w:val="aDef"/>
        <w:rPr>
          <w:bCs/>
        </w:rPr>
      </w:pPr>
      <w:r w:rsidRPr="00041046">
        <w:rPr>
          <w:rStyle w:val="charBoldItals"/>
        </w:rPr>
        <w:t>commencement day</w:t>
      </w:r>
      <w:r w:rsidRPr="00041046">
        <w:t>, for this jurisdiction, means, with respect to a provision of this Law, the day this jurisdiction became a participating jurisdiction in relation to that provision.</w:t>
      </w:r>
    </w:p>
    <w:p w14:paraId="160A09C2" w14:textId="77777777" w:rsidR="00DB6E47" w:rsidRPr="00041046" w:rsidRDefault="00DB6E47" w:rsidP="00DB6E47">
      <w:pPr>
        <w:pStyle w:val="aDef"/>
        <w:rPr>
          <w:bCs/>
        </w:rPr>
      </w:pPr>
      <w:r w:rsidRPr="00041046">
        <w:rPr>
          <w:rStyle w:val="charBoldItals"/>
        </w:rPr>
        <w:t>current PBS scheme</w:t>
      </w:r>
      <w:r w:rsidRPr="00041046">
        <w:t xml:space="preserve"> means the scheme in operation immediately before the commencement day relating to compliance with legislative requirements for heavy vehicles by reference to performance based standards, and comprises such of the following instruments as are in force immediately before the commencement day—</w:t>
      </w:r>
    </w:p>
    <w:p w14:paraId="1A252674" w14:textId="77777777" w:rsidR="00DB6E47" w:rsidRPr="003F1D40" w:rsidRDefault="00DB6E47" w:rsidP="00DB6E47">
      <w:pPr>
        <w:pStyle w:val="aDefpara"/>
      </w:pPr>
      <w:r w:rsidRPr="00F04D8E">
        <w:rPr>
          <w:rFonts w:cs="Times"/>
          <w:bCs/>
          <w:iCs/>
        </w:rPr>
        <w:tab/>
        <w:t>(a)</w:t>
      </w:r>
      <w:r w:rsidRPr="00FF4454">
        <w:rPr>
          <w:rStyle w:val="charBoldItals"/>
        </w:rPr>
        <w:tab/>
      </w:r>
      <w:r w:rsidRPr="003F1D40">
        <w:t>the Standards and Vehicle Assessment Rules as at 10 November 2008;</w:t>
      </w:r>
    </w:p>
    <w:p w14:paraId="1E40F4DA" w14:textId="77777777" w:rsidR="00DB6E47" w:rsidRPr="003F1D40" w:rsidRDefault="00DB6E47" w:rsidP="00DB6E47">
      <w:pPr>
        <w:pStyle w:val="aDefpara"/>
      </w:pPr>
      <w:r w:rsidRPr="003F1D40">
        <w:tab/>
        <w:t>(b)</w:t>
      </w:r>
      <w:r w:rsidRPr="003F1D40">
        <w:tab/>
        <w:t>the Assessor Accreditation Rules (July 2007);</w:t>
      </w:r>
    </w:p>
    <w:p w14:paraId="3CFE1853" w14:textId="77777777" w:rsidR="00DB6E47" w:rsidRPr="003F1D40" w:rsidRDefault="00DB6E47" w:rsidP="00DB6E47">
      <w:pPr>
        <w:pStyle w:val="aDefpara"/>
      </w:pPr>
      <w:r w:rsidRPr="003F1D40">
        <w:tab/>
        <w:t>(c)</w:t>
      </w:r>
      <w:r w:rsidRPr="003F1D40">
        <w:tab/>
        <w:t>the Vehicle Certification Rules (July 2007);</w:t>
      </w:r>
    </w:p>
    <w:p w14:paraId="7AF80CC7" w14:textId="77777777" w:rsidR="00DB6E47" w:rsidRPr="003F1D40" w:rsidRDefault="00DB6E47" w:rsidP="00DB6E47">
      <w:pPr>
        <w:pStyle w:val="aDefpara"/>
      </w:pPr>
      <w:r w:rsidRPr="003F1D40">
        <w:tab/>
        <w:t>(d)</w:t>
      </w:r>
      <w:r w:rsidRPr="003F1D40">
        <w:tab/>
        <w:t>the Network Classification Guidelines (July 2007);</w:t>
      </w:r>
    </w:p>
    <w:p w14:paraId="190F2C53" w14:textId="77777777" w:rsidR="00DB6E47" w:rsidRPr="003F1D40" w:rsidRDefault="00DB6E47" w:rsidP="00DB6E47">
      <w:pPr>
        <w:pStyle w:val="aDefpara"/>
      </w:pPr>
      <w:r w:rsidRPr="003F1D40">
        <w:tab/>
        <w:t>(e)</w:t>
      </w:r>
      <w:r w:rsidRPr="003F1D40">
        <w:tab/>
        <w:t>the Guidelines for Determining National Operating Conditions (July 2007).</w:t>
      </w:r>
    </w:p>
    <w:p w14:paraId="762433B5" w14:textId="77777777" w:rsidR="00DB6E47" w:rsidRPr="00041046" w:rsidRDefault="00DB6E47" w:rsidP="00DB6E47">
      <w:pPr>
        <w:pStyle w:val="aDef"/>
        <w:rPr>
          <w:bCs/>
        </w:rPr>
      </w:pPr>
      <w:r w:rsidRPr="00041046">
        <w:rPr>
          <w:rStyle w:val="charBoldItals"/>
        </w:rPr>
        <w:t>former legislation</w:t>
      </w:r>
      <w:r w:rsidRPr="00041046">
        <w:t>, of this jurisdiction, means legislation of this jurisdiction that is repealed on the participation day for this jurisdiction or is superseded by provisions of this Law on that day.</w:t>
      </w:r>
    </w:p>
    <w:p w14:paraId="65E09280" w14:textId="77777777" w:rsidR="00DB6E47" w:rsidRPr="00041046" w:rsidRDefault="00DB6E47" w:rsidP="00DB6E47">
      <w:pPr>
        <w:pStyle w:val="aDef"/>
        <w:rPr>
          <w:bCs/>
        </w:rPr>
      </w:pPr>
      <w:r w:rsidRPr="00041046">
        <w:rPr>
          <w:rStyle w:val="charBoldItals"/>
        </w:rPr>
        <w:lastRenderedPageBreak/>
        <w:t>participation day</w:t>
      </w:r>
      <w:r w:rsidRPr="00041046">
        <w:t>, for this jurisdiction, means the day this jurisdiction became a participating jurisdiction.</w:t>
      </w:r>
    </w:p>
    <w:p w14:paraId="73611A21" w14:textId="77777777" w:rsidR="00DB6E47" w:rsidRPr="00041046" w:rsidRDefault="00DB6E47" w:rsidP="00DB6E47">
      <w:pPr>
        <w:pStyle w:val="aDef"/>
        <w:rPr>
          <w:bCs/>
        </w:rPr>
      </w:pPr>
      <w:r w:rsidRPr="00041046">
        <w:rPr>
          <w:rStyle w:val="charBoldItals"/>
        </w:rPr>
        <w:t>relevant instrument</w:t>
      </w:r>
      <w:r w:rsidRPr="00041046">
        <w:t>—</w:t>
      </w:r>
    </w:p>
    <w:p w14:paraId="6F3457D3" w14:textId="77777777" w:rsidR="00DB6E47" w:rsidRPr="003F1D40" w:rsidRDefault="00DB6E47" w:rsidP="00DB6E47">
      <w:pPr>
        <w:pStyle w:val="aDefpara"/>
      </w:pPr>
      <w:r w:rsidRPr="00F04D8E">
        <w:rPr>
          <w:rFonts w:cs="Times"/>
          <w:bCs/>
          <w:iCs/>
        </w:rPr>
        <w:tab/>
        <w:t>(a)</w:t>
      </w:r>
      <w:r w:rsidRPr="00FF4454">
        <w:rPr>
          <w:rStyle w:val="charBoldItals"/>
        </w:rPr>
        <w:tab/>
      </w:r>
      <w:r w:rsidRPr="003F1D40">
        <w:t>means an application, permit, notice, authority or any other document; and</w:t>
      </w:r>
    </w:p>
    <w:p w14:paraId="461A32F6" w14:textId="77777777" w:rsidR="00DB6E47" w:rsidRPr="003F1D40" w:rsidRDefault="00DB6E47" w:rsidP="00DB6E47">
      <w:pPr>
        <w:pStyle w:val="aDefpara"/>
      </w:pPr>
      <w:r w:rsidRPr="003F1D40">
        <w:tab/>
        <w:t>(b)</w:t>
      </w:r>
      <w:r w:rsidRPr="003F1D40">
        <w:tab/>
        <w:t>without limiting paragraph (a), includes any document prescribed by a law of this jurisdiction as being within this definition; but</w:t>
      </w:r>
    </w:p>
    <w:p w14:paraId="7621E433" w14:textId="77777777" w:rsidR="00DB6E47" w:rsidRPr="003F1D40" w:rsidRDefault="00DB6E47" w:rsidP="00DB6E47">
      <w:pPr>
        <w:pStyle w:val="aDefpara"/>
      </w:pPr>
      <w:r w:rsidRPr="003F1D40">
        <w:tab/>
        <w:t>(c)</w:t>
      </w:r>
      <w:r w:rsidRPr="003F1D40">
        <w:tab/>
        <w:t>does not include any document prescribed by a law of this jurisdiction as not being within this definition.</w:t>
      </w:r>
    </w:p>
    <w:p w14:paraId="0D3C7AC2" w14:textId="77777777" w:rsidR="00DB6E47" w:rsidRPr="007E1F9A" w:rsidRDefault="00DB6E47" w:rsidP="00DB6E47">
      <w:pPr>
        <w:pStyle w:val="AH5Sec"/>
      </w:pPr>
      <w:bookmarkStart w:id="949" w:name="_Toc83626293"/>
      <w:r w:rsidRPr="005E03F7">
        <w:rPr>
          <w:rStyle w:val="CharSectNo"/>
        </w:rPr>
        <w:t>748</w:t>
      </w:r>
      <w:r w:rsidRPr="007E1F9A">
        <w:tab/>
      </w:r>
      <w:r w:rsidRPr="007E1F9A">
        <w:rPr>
          <w:rFonts w:ascii="Helvetica" w:hAnsi="Helvetica" w:cs="Helvetica"/>
          <w:iCs/>
        </w:rPr>
        <w:t>General savings and transitional provision</w:t>
      </w:r>
      <w:bookmarkEnd w:id="949"/>
    </w:p>
    <w:p w14:paraId="643E0C43" w14:textId="77777777" w:rsidR="00DB6E47" w:rsidRPr="002F157F" w:rsidRDefault="00DB6E47" w:rsidP="00DB6E47">
      <w:pPr>
        <w:pStyle w:val="Amain"/>
      </w:pPr>
      <w:r w:rsidRPr="002F157F">
        <w:tab/>
        <w:t>(1)</w:t>
      </w:r>
      <w:r w:rsidRPr="002F157F">
        <w:tab/>
        <w:t>This section applies if a provision of this Law corresponds to a provision of the former legislation.</w:t>
      </w:r>
    </w:p>
    <w:p w14:paraId="3B69517D" w14:textId="77777777" w:rsidR="00DB6E47" w:rsidRPr="002F157F" w:rsidRDefault="00DB6E47" w:rsidP="00DB6E47">
      <w:pPr>
        <w:pStyle w:val="Amain"/>
      </w:pPr>
      <w:r w:rsidRPr="002F157F">
        <w:tab/>
        <w:t>(2)</w:t>
      </w:r>
      <w:r w:rsidRPr="002F157F">
        <w:tab/>
        <w:t xml:space="preserve">Anything done under the provision of the former legislation before the commencement day has effect as if— </w:t>
      </w:r>
    </w:p>
    <w:p w14:paraId="5267F882" w14:textId="77777777" w:rsidR="00DB6E47" w:rsidRPr="00544ED5" w:rsidRDefault="00DB6E47" w:rsidP="00DB6E47">
      <w:pPr>
        <w:pStyle w:val="Apara"/>
      </w:pPr>
      <w:r w:rsidRPr="00544ED5">
        <w:tab/>
        <w:t>(a)</w:t>
      </w:r>
      <w:r w:rsidRPr="00544ED5">
        <w:tab/>
        <w:t>this Law had been in force when the thing was done; and</w:t>
      </w:r>
    </w:p>
    <w:p w14:paraId="79B573BB" w14:textId="77777777" w:rsidR="00DB6E47" w:rsidRPr="00544ED5" w:rsidRDefault="00DB6E47" w:rsidP="00DB6E47">
      <w:pPr>
        <w:pStyle w:val="Apara"/>
      </w:pPr>
      <w:r w:rsidRPr="00544ED5">
        <w:tab/>
        <w:t>(b)</w:t>
      </w:r>
      <w:r w:rsidRPr="00544ED5">
        <w:tab/>
        <w:t>the thing had been done under this Law; and</w:t>
      </w:r>
    </w:p>
    <w:p w14:paraId="4125CB56" w14:textId="77777777" w:rsidR="00DB6E47" w:rsidRPr="00544ED5" w:rsidRDefault="00DB6E47" w:rsidP="00DB6E47">
      <w:pPr>
        <w:pStyle w:val="Apara"/>
      </w:pPr>
      <w:r w:rsidRPr="00544ED5">
        <w:tab/>
        <w:t>(c)</w:t>
      </w:r>
      <w:r w:rsidRPr="00544ED5">
        <w:tab/>
        <w:t>any reference to a person in, or in relation to, the provision were a reference to the nearest equivalent person under this Law; and</w:t>
      </w:r>
    </w:p>
    <w:p w14:paraId="61F68C90" w14:textId="77777777" w:rsidR="00DB6E47" w:rsidRPr="00544ED5" w:rsidRDefault="00DB6E47" w:rsidP="00DB6E47">
      <w:pPr>
        <w:pStyle w:val="Apara"/>
      </w:pPr>
      <w:r w:rsidRPr="00544ED5">
        <w:tab/>
        <w:t>(d)</w:t>
      </w:r>
      <w:r w:rsidRPr="00544ED5">
        <w:tab/>
        <w:t>any reference in, or in relation to, the provision to another provision of the former legislation were a reference to the corresponding provision of this Law; and</w:t>
      </w:r>
    </w:p>
    <w:p w14:paraId="4A7B66D9" w14:textId="77777777" w:rsidR="00DB6E47" w:rsidRPr="00544ED5" w:rsidRDefault="00DB6E47" w:rsidP="009F29F0">
      <w:pPr>
        <w:pStyle w:val="Apara"/>
        <w:keepNext/>
      </w:pPr>
      <w:r w:rsidRPr="00544ED5">
        <w:tab/>
        <w:t>(e)</w:t>
      </w:r>
      <w:r w:rsidRPr="00544ED5">
        <w:tab/>
        <w:t>any other adaptations necessary to enable the thing to be effective under this Law have been made;</w:t>
      </w:r>
    </w:p>
    <w:p w14:paraId="7B257A4E" w14:textId="77777777" w:rsidR="00DB6E47" w:rsidRPr="00F40DD7" w:rsidRDefault="00DB6E47" w:rsidP="00DB6E47">
      <w:pPr>
        <w:pStyle w:val="Amainreturn"/>
      </w:pPr>
      <w:r w:rsidRPr="00F40DD7">
        <w:t>and accordingly the thing is taken to have been done under this Law.</w:t>
      </w:r>
    </w:p>
    <w:p w14:paraId="67D1FC9E" w14:textId="77777777" w:rsidR="00DB6E47" w:rsidRPr="002F157F" w:rsidRDefault="003F1D40" w:rsidP="00F31260">
      <w:pPr>
        <w:pStyle w:val="Amain"/>
        <w:keepNext/>
      </w:pPr>
      <w:r>
        <w:lastRenderedPageBreak/>
        <w:tab/>
        <w:t>(3)</w:t>
      </w:r>
      <w:r>
        <w:tab/>
        <w:t xml:space="preserve">Subsection </w:t>
      </w:r>
      <w:r w:rsidR="00DB6E47" w:rsidRPr="002F157F">
        <w:t>(2)</w:t>
      </w:r>
      <w:r>
        <w:t xml:space="preserve"> </w:t>
      </w:r>
      <w:r w:rsidR="00DB6E47" w:rsidRPr="002F157F">
        <w:t>does not apply to the following—</w:t>
      </w:r>
    </w:p>
    <w:p w14:paraId="7DD52405" w14:textId="77777777" w:rsidR="00DB6E47" w:rsidRPr="00544ED5" w:rsidRDefault="00DB6E47" w:rsidP="00F31260">
      <w:pPr>
        <w:pStyle w:val="Apara"/>
        <w:keepNext/>
      </w:pPr>
      <w:r w:rsidRPr="00544ED5">
        <w:tab/>
        <w:t>(a)</w:t>
      </w:r>
      <w:r w:rsidRPr="00544ED5">
        <w:tab/>
        <w:t>any appointment of a person as an authorised officer;</w:t>
      </w:r>
    </w:p>
    <w:p w14:paraId="74D3BFDC" w14:textId="77777777" w:rsidR="00DB6E47" w:rsidRPr="00544ED5" w:rsidRDefault="00DB6E47" w:rsidP="00DB6E47">
      <w:pPr>
        <w:pStyle w:val="Apara"/>
      </w:pPr>
      <w:r w:rsidRPr="00544ED5">
        <w:tab/>
        <w:t>(b)</w:t>
      </w:r>
      <w:r w:rsidRPr="00544ED5">
        <w:tab/>
        <w:t xml:space="preserve">any appointment of any other person who was employed by the department or body administering the former legislation; </w:t>
      </w:r>
    </w:p>
    <w:p w14:paraId="7A74586C" w14:textId="77777777" w:rsidR="00DB6E47" w:rsidRPr="00544ED5" w:rsidRDefault="00DB6E47" w:rsidP="00DB6E47">
      <w:pPr>
        <w:pStyle w:val="Apara"/>
      </w:pPr>
      <w:r w:rsidRPr="00544ED5">
        <w:tab/>
        <w:t>(c)</w:t>
      </w:r>
      <w:r w:rsidRPr="00544ED5">
        <w:tab/>
        <w:t>any prosecution of an offence that had not been completed immediately before the commencement day;</w:t>
      </w:r>
    </w:p>
    <w:p w14:paraId="5C713107" w14:textId="77777777" w:rsidR="00DB6E47" w:rsidRPr="00544ED5" w:rsidRDefault="00DB6E47" w:rsidP="00DB6E47">
      <w:pPr>
        <w:pStyle w:val="Apara"/>
      </w:pPr>
      <w:r w:rsidRPr="00544ED5">
        <w:tab/>
        <w:t>(d)</w:t>
      </w:r>
      <w:r w:rsidRPr="00544ED5">
        <w:tab/>
        <w:t>any review or appeal, or anything related to a review or appeal, that was unresolved immediately before the commencement day;</w:t>
      </w:r>
    </w:p>
    <w:p w14:paraId="7D72B4E1" w14:textId="77777777" w:rsidR="00DB6E47" w:rsidRPr="00544ED5" w:rsidRDefault="00DB6E47" w:rsidP="00DB6E47">
      <w:pPr>
        <w:pStyle w:val="Apara"/>
      </w:pPr>
      <w:r w:rsidRPr="00544ED5">
        <w:tab/>
        <w:t>(e)</w:t>
      </w:r>
      <w:r w:rsidRPr="00544ED5">
        <w:tab/>
        <w:t>anything excluded from the operation of this section by the national regulations.</w:t>
      </w:r>
    </w:p>
    <w:p w14:paraId="349205B0" w14:textId="77777777" w:rsidR="00DB6E47" w:rsidRPr="002F157F" w:rsidRDefault="00DB6E47" w:rsidP="00DB6E47">
      <w:pPr>
        <w:pStyle w:val="Amain"/>
      </w:pPr>
      <w:r w:rsidRPr="002F157F">
        <w:tab/>
        <w:t>(4)</w:t>
      </w:r>
      <w:r w:rsidRPr="002F157F">
        <w:tab/>
        <w:t>Any prosecution, review or appea</w:t>
      </w:r>
      <w:r w:rsidR="003F1D40">
        <w:t>l referred to in subsection (3)</w:t>
      </w:r>
      <w:r w:rsidRPr="002F157F">
        <w:t>(c)</w:t>
      </w:r>
      <w:r w:rsidR="003F1D40">
        <w:t xml:space="preserve"> or </w:t>
      </w:r>
      <w:r w:rsidRPr="002F157F">
        <w:t>(d)</w:t>
      </w:r>
      <w:r w:rsidR="003F1D40">
        <w:t xml:space="preserve"> </w:t>
      </w:r>
      <w:r w:rsidRPr="002F157F">
        <w:t>is to proceed as if the former legislation were still in force in the form it was in at the relevant time before the commencement day.</w:t>
      </w:r>
    </w:p>
    <w:p w14:paraId="60F104C8" w14:textId="77777777" w:rsidR="00DB6E47" w:rsidRPr="002F157F" w:rsidRDefault="00DB6E47" w:rsidP="00DB6E47">
      <w:pPr>
        <w:pStyle w:val="Amain"/>
      </w:pPr>
      <w:r w:rsidRPr="002F157F">
        <w:tab/>
        <w:t>(5)</w:t>
      </w:r>
      <w:r w:rsidRPr="002F157F">
        <w:tab/>
        <w:t>On the final completion of any prosecution, review or appea</w:t>
      </w:r>
      <w:r w:rsidR="003F1D40">
        <w:t>l referred to in subsection (3)</w:t>
      </w:r>
      <w:r w:rsidRPr="002F157F">
        <w:t>(c)</w:t>
      </w:r>
      <w:r w:rsidR="003F1D40">
        <w:t xml:space="preserve"> </w:t>
      </w:r>
      <w:r w:rsidRPr="002F157F">
        <w:t>or (d), it is to be treated as if it had occurred under this Law.</w:t>
      </w:r>
    </w:p>
    <w:p w14:paraId="19515050" w14:textId="77777777" w:rsidR="00DB6E47" w:rsidRPr="00A56539" w:rsidRDefault="00DB6E47" w:rsidP="00DB6E47">
      <w:pPr>
        <w:pStyle w:val="Amain"/>
      </w:pPr>
      <w:r w:rsidRPr="002F157F">
        <w:tab/>
        <w:t>(6)</w:t>
      </w:r>
      <w:r w:rsidRPr="002F157F">
        <w:tab/>
        <w:t>The Regulator is not liable for anything the Regulator is taken to</w:t>
      </w:r>
      <w:r w:rsidRPr="00A56539">
        <w:t xml:space="preserve"> have done under this section that was done before the commencement day.</w:t>
      </w:r>
    </w:p>
    <w:p w14:paraId="5F82D6DE" w14:textId="77777777" w:rsidR="00DB6E47" w:rsidRDefault="00DB6E47" w:rsidP="00DB6E47">
      <w:pPr>
        <w:pStyle w:val="Amain"/>
      </w:pPr>
      <w:r w:rsidRPr="00A56539">
        <w:tab/>
        <w:t>(7)</w:t>
      </w:r>
      <w:r w:rsidRPr="00A56539">
        <w:tab/>
        <w:t>Proceedings are not to be commenced by the Regulator for an offence arising from any action or inaction that was completed before the commencement day, but nothing in this section affects the commencement of proceedings by another person.</w:t>
      </w:r>
    </w:p>
    <w:p w14:paraId="3979D944" w14:textId="77777777" w:rsidR="007A206B" w:rsidRDefault="007A206B" w:rsidP="00D940BC">
      <w:pPr>
        <w:pStyle w:val="Amain"/>
        <w:keepNext/>
      </w:pPr>
      <w:r>
        <w:lastRenderedPageBreak/>
        <w:tab/>
        <w:t>(8)</w:t>
      </w:r>
      <w:r>
        <w:tab/>
      </w:r>
      <w:r>
        <w:rPr>
          <w:spacing w:val="-1"/>
        </w:rPr>
        <w:t>The</w:t>
      </w:r>
      <w:r>
        <w:rPr>
          <w:spacing w:val="58"/>
        </w:rPr>
        <w:t xml:space="preserve"> </w:t>
      </w:r>
      <w:r>
        <w:rPr>
          <w:spacing w:val="-1"/>
        </w:rPr>
        <w:t>national</w:t>
      </w:r>
      <w:r>
        <w:rPr>
          <w:spacing w:val="58"/>
        </w:rPr>
        <w:t xml:space="preserve"> </w:t>
      </w:r>
      <w:r>
        <w:rPr>
          <w:spacing w:val="-2"/>
        </w:rPr>
        <w:t>regulations</w:t>
      </w:r>
      <w:r>
        <w:rPr>
          <w:spacing w:val="58"/>
        </w:rPr>
        <w:t xml:space="preserve"> </w:t>
      </w:r>
      <w:r>
        <w:rPr>
          <w:spacing w:val="-1"/>
        </w:rPr>
        <w:t>may</w:t>
      </w:r>
      <w:r>
        <w:rPr>
          <w:spacing w:val="58"/>
        </w:rPr>
        <w:t xml:space="preserve"> </w:t>
      </w:r>
      <w:r>
        <w:rPr>
          <w:spacing w:val="-2"/>
        </w:rPr>
        <w:t>provide</w:t>
      </w:r>
      <w:r>
        <w:rPr>
          <w:spacing w:val="58"/>
        </w:rPr>
        <w:t xml:space="preserve"> </w:t>
      </w:r>
      <w:r>
        <w:rPr>
          <w:spacing w:val="-4"/>
        </w:rPr>
        <w:t>for,</w:t>
      </w:r>
      <w:r>
        <w:rPr>
          <w:spacing w:val="58"/>
        </w:rPr>
        <w:t xml:space="preserve"> </w:t>
      </w:r>
      <w:r>
        <w:rPr>
          <w:spacing w:val="-1"/>
        </w:rPr>
        <w:t>and</w:t>
      </w:r>
      <w:r>
        <w:rPr>
          <w:spacing w:val="42"/>
        </w:rPr>
        <w:t xml:space="preserve"> </w:t>
      </w:r>
      <w:r>
        <w:t>from</w:t>
      </w:r>
      <w:r>
        <w:rPr>
          <w:spacing w:val="36"/>
        </w:rPr>
        <w:t xml:space="preserve"> </w:t>
      </w:r>
      <w:r>
        <w:t>commencement</w:t>
      </w:r>
      <w:r>
        <w:rPr>
          <w:spacing w:val="36"/>
        </w:rPr>
        <w:t xml:space="preserve"> </w:t>
      </w:r>
      <w:r>
        <w:t>day</w:t>
      </w:r>
      <w:r>
        <w:rPr>
          <w:spacing w:val="36"/>
        </w:rPr>
        <w:t xml:space="preserve"> </w:t>
      </w:r>
      <w:r>
        <w:t>could</w:t>
      </w:r>
      <w:r>
        <w:rPr>
          <w:spacing w:val="36"/>
        </w:rPr>
        <w:t xml:space="preserve"> </w:t>
      </w:r>
      <w:r>
        <w:rPr>
          <w:spacing w:val="-1"/>
        </w:rPr>
        <w:t>always</w:t>
      </w:r>
      <w:r>
        <w:rPr>
          <w:spacing w:val="36"/>
        </w:rPr>
        <w:t xml:space="preserve"> </w:t>
      </w:r>
      <w:r>
        <w:rPr>
          <w:spacing w:val="-1"/>
        </w:rPr>
        <w:t>provide</w:t>
      </w:r>
      <w:r>
        <w:rPr>
          <w:spacing w:val="25"/>
        </w:rPr>
        <w:t xml:space="preserve"> </w:t>
      </w:r>
      <w:r>
        <w:t>for—</w:t>
      </w:r>
    </w:p>
    <w:p w14:paraId="1290DEA5" w14:textId="77777777" w:rsidR="007A206B" w:rsidRPr="007A206B" w:rsidRDefault="007A206B" w:rsidP="00F31260">
      <w:pPr>
        <w:pStyle w:val="Apara"/>
        <w:keepNext/>
        <w:keepLines/>
      </w:pPr>
      <w:r w:rsidRPr="007A206B">
        <w:tab/>
        <w:t>(a)</w:t>
      </w:r>
      <w:r w:rsidRPr="007A206B">
        <w:tab/>
        <w:t>the issue of mass or dimension authorities or HML declarations in replacement of instruments or authorisations preserved under subsection (2), without further procedural requirements under the Law; and</w:t>
      </w:r>
    </w:p>
    <w:p w14:paraId="5ABA2AB8" w14:textId="77777777" w:rsidR="007A206B" w:rsidRDefault="007A206B" w:rsidP="007A206B">
      <w:pPr>
        <w:pStyle w:val="Apara"/>
      </w:pPr>
      <w:r w:rsidRPr="007A206B">
        <w:tab/>
        <w:t>(b)</w:t>
      </w:r>
      <w:r w:rsidRPr="007A206B">
        <w:tab/>
        <w:t>the further preservation of anything not covered by the replacement.</w:t>
      </w:r>
    </w:p>
    <w:p w14:paraId="3305B953" w14:textId="77777777" w:rsidR="007A206B" w:rsidRDefault="007A206B" w:rsidP="006E6789">
      <w:pPr>
        <w:pStyle w:val="Amain"/>
        <w:keepNext/>
      </w:pPr>
      <w:r>
        <w:tab/>
        <w:t>(9)</w:t>
      </w:r>
      <w:r>
        <w:tab/>
      </w:r>
      <w:r w:rsidRPr="007A206B">
        <w:t>In this section—</w:t>
      </w:r>
    </w:p>
    <w:p w14:paraId="7DA36EE1" w14:textId="77777777" w:rsidR="007A206B" w:rsidRPr="00520C2F" w:rsidRDefault="00520C2F" w:rsidP="00520C2F">
      <w:pPr>
        <w:pStyle w:val="aDef"/>
      </w:pPr>
      <w:r w:rsidRPr="00520C2F">
        <w:rPr>
          <w:rStyle w:val="charBoldItals"/>
        </w:rPr>
        <w:t>HML declarations</w:t>
      </w:r>
      <w:r w:rsidRPr="00520C2F">
        <w:t xml:space="preserve"> means HML declarations under the </w:t>
      </w:r>
      <w:r w:rsidRPr="00520C2F">
        <w:rPr>
          <w:rStyle w:val="charItals"/>
        </w:rPr>
        <w:t>Heavy Vehicle (Mass, Dimension and Loading) National Regulation</w:t>
      </w:r>
      <w:r w:rsidRPr="00520C2F">
        <w:t>.</w:t>
      </w:r>
    </w:p>
    <w:p w14:paraId="01E1A3C1" w14:textId="77777777" w:rsidR="00DB6E47" w:rsidRPr="007E1F9A" w:rsidRDefault="00DB6E47" w:rsidP="00DB6E47">
      <w:pPr>
        <w:pStyle w:val="AH5Sec"/>
      </w:pPr>
      <w:bookmarkStart w:id="950" w:name="_Toc83626294"/>
      <w:r w:rsidRPr="005E03F7">
        <w:rPr>
          <w:rStyle w:val="CharSectNo"/>
        </w:rPr>
        <w:t>749</w:t>
      </w:r>
      <w:r w:rsidRPr="007E1F9A">
        <w:tab/>
      </w:r>
      <w:r w:rsidRPr="007E1F9A">
        <w:rPr>
          <w:rFonts w:ascii="Helvetica" w:hAnsi="Helvetica" w:cs="Helvetica"/>
          <w:iCs/>
        </w:rPr>
        <w:t>Expiry of certain permits, exemptions, notices and authorities</w:t>
      </w:r>
      <w:bookmarkEnd w:id="950"/>
    </w:p>
    <w:p w14:paraId="4853D9E3" w14:textId="77777777" w:rsidR="00DB6E47" w:rsidRPr="00A56539" w:rsidRDefault="00DB6E47" w:rsidP="00DB6E47">
      <w:pPr>
        <w:pStyle w:val="Amain"/>
      </w:pPr>
      <w:r w:rsidRPr="00A56539">
        <w:tab/>
        <w:t>(1)</w:t>
      </w:r>
      <w:r w:rsidRPr="00A56539">
        <w:tab/>
        <w:t xml:space="preserve">This section applies if a permit, exemption, notice or authority— </w:t>
      </w:r>
    </w:p>
    <w:p w14:paraId="53DAAAD7" w14:textId="77777777" w:rsidR="00DB6E47" w:rsidRPr="00544ED5" w:rsidRDefault="00DB6E47" w:rsidP="00DB6E47">
      <w:pPr>
        <w:pStyle w:val="Apara"/>
      </w:pPr>
      <w:r w:rsidRPr="00544ED5">
        <w:tab/>
        <w:t>(a)</w:t>
      </w:r>
      <w:r w:rsidRPr="00544ED5">
        <w:tab/>
        <w:t>is taken to have been made under this Law under section 748; and</w:t>
      </w:r>
    </w:p>
    <w:p w14:paraId="06D8CEA1" w14:textId="77777777" w:rsidR="00DB6E47" w:rsidRPr="00544ED5" w:rsidRDefault="00DB6E47" w:rsidP="00DB6E47">
      <w:pPr>
        <w:pStyle w:val="Apara"/>
      </w:pPr>
      <w:r w:rsidRPr="00544ED5">
        <w:tab/>
        <w:t>(b)</w:t>
      </w:r>
      <w:r w:rsidRPr="00544ED5">
        <w:tab/>
        <w:t xml:space="preserve">is not subject to an expiry date, or is subject to an expiry date— </w:t>
      </w:r>
    </w:p>
    <w:p w14:paraId="467BA5C5" w14:textId="77777777" w:rsidR="00DB6E47" w:rsidRPr="003F1D40" w:rsidRDefault="00DB6E47" w:rsidP="003F1D40">
      <w:pPr>
        <w:pStyle w:val="Asubpara"/>
      </w:pPr>
      <w:r w:rsidRPr="00F04D8E">
        <w:rPr>
          <w:rFonts w:cs="Times"/>
          <w:bCs/>
          <w:iCs/>
        </w:rPr>
        <w:tab/>
        <w:t>(i)</w:t>
      </w:r>
      <w:r w:rsidRPr="00FF4454">
        <w:rPr>
          <w:rStyle w:val="charBoldItals"/>
        </w:rPr>
        <w:tab/>
      </w:r>
      <w:r w:rsidRPr="003F1D40">
        <w:t>that, in the case of a permit, exceeds 3 years after the commencement day; or</w:t>
      </w:r>
    </w:p>
    <w:p w14:paraId="109341A6" w14:textId="77777777" w:rsidR="00DB6E47" w:rsidRPr="003F1D40" w:rsidRDefault="003F1D40" w:rsidP="003F1D40">
      <w:pPr>
        <w:pStyle w:val="Asubpara"/>
      </w:pPr>
      <w:r>
        <w:tab/>
      </w:r>
      <w:r w:rsidR="00DB6E47" w:rsidRPr="003F1D40">
        <w:t>(ii)</w:t>
      </w:r>
      <w:r w:rsidR="00DB6E47" w:rsidRPr="003F1D40">
        <w:tab/>
        <w:t>that in any other case exceeds 5 years after the commencement day.</w:t>
      </w:r>
    </w:p>
    <w:p w14:paraId="7C4A30ED" w14:textId="77777777" w:rsidR="00DB6E47" w:rsidRPr="00A56539" w:rsidRDefault="00DB6E47" w:rsidP="00DB6E47">
      <w:pPr>
        <w:pStyle w:val="Amain"/>
      </w:pPr>
      <w:r w:rsidRPr="00A56539">
        <w:tab/>
        <w:t>(2)</w:t>
      </w:r>
      <w:r w:rsidRPr="00A56539">
        <w:tab/>
        <w:t>In the case of a permit, it expires 3 years after the commencement day, unless it is cancelled before that day.</w:t>
      </w:r>
    </w:p>
    <w:p w14:paraId="4543FA12" w14:textId="77777777" w:rsidR="00DB6E47" w:rsidRPr="00A56539" w:rsidRDefault="00DB6E47" w:rsidP="00DB6E47">
      <w:pPr>
        <w:pStyle w:val="Amain"/>
      </w:pPr>
      <w:r w:rsidRPr="00A56539">
        <w:tab/>
        <w:t>(3)</w:t>
      </w:r>
      <w:r w:rsidRPr="00A56539">
        <w:tab/>
        <w:t>In the case of an exemption, notice or authority, it expires 5 years after the commencement day, unless it is cancelled before that day.</w:t>
      </w:r>
    </w:p>
    <w:p w14:paraId="5BDD55AF" w14:textId="77777777" w:rsidR="00DB6E47" w:rsidRPr="00A56539" w:rsidRDefault="003F1D40" w:rsidP="00DB6E47">
      <w:pPr>
        <w:pStyle w:val="Amain"/>
      </w:pPr>
      <w:r>
        <w:tab/>
        <w:t>(4)</w:t>
      </w:r>
      <w:r>
        <w:tab/>
        <w:t xml:space="preserve">Despite subsections </w:t>
      </w:r>
      <w:r w:rsidR="00DB6E47" w:rsidRPr="00A56539">
        <w:t>(2)</w:t>
      </w:r>
      <w:r>
        <w:t xml:space="preserve"> </w:t>
      </w:r>
      <w:r w:rsidR="00DB6E47" w:rsidRPr="00A56539">
        <w:t>and (3), a modification approval granted in respect of a vehicle is to continue for the life of the vehicle.</w:t>
      </w:r>
    </w:p>
    <w:p w14:paraId="552D0FE9" w14:textId="77777777" w:rsidR="00DB6E47" w:rsidRPr="00A56539" w:rsidRDefault="00DB6E47" w:rsidP="00DB6E47">
      <w:pPr>
        <w:pStyle w:val="Amain"/>
      </w:pPr>
      <w:r w:rsidRPr="00A56539">
        <w:lastRenderedPageBreak/>
        <w:tab/>
        <w:t>(5)</w:t>
      </w:r>
      <w:r w:rsidRPr="00A56539">
        <w:tab/>
        <w:t>For the purposes of this section, a permit that solely provides an exemption is to be considered to be an exemption.</w:t>
      </w:r>
    </w:p>
    <w:p w14:paraId="3CC848B8" w14:textId="77777777" w:rsidR="00DB6E47" w:rsidRPr="007E1F9A" w:rsidRDefault="00DB6E47" w:rsidP="00DB6E47">
      <w:pPr>
        <w:pStyle w:val="AH5Sec"/>
      </w:pPr>
      <w:bookmarkStart w:id="951" w:name="_Toc83626295"/>
      <w:r w:rsidRPr="005E03F7">
        <w:rPr>
          <w:rStyle w:val="CharSectNo"/>
        </w:rPr>
        <w:t>750</w:t>
      </w:r>
      <w:r w:rsidRPr="007E1F9A">
        <w:tab/>
      </w:r>
      <w:r w:rsidRPr="007E1F9A">
        <w:rPr>
          <w:rFonts w:ascii="Helvetica" w:hAnsi="Helvetica" w:cs="Helvetica"/>
          <w:iCs/>
        </w:rPr>
        <w:t>Amendment or cancellation of instruments carried over from former legislation</w:t>
      </w:r>
      <w:bookmarkEnd w:id="951"/>
    </w:p>
    <w:p w14:paraId="6A9A83F9" w14:textId="77777777" w:rsidR="00DB6E47" w:rsidRPr="00A56539" w:rsidRDefault="00DB6E47" w:rsidP="00F31260">
      <w:pPr>
        <w:pStyle w:val="Amain"/>
        <w:keepNext/>
      </w:pPr>
      <w:r w:rsidRPr="00A56539">
        <w:tab/>
        <w:t>(1)</w:t>
      </w:r>
      <w:r w:rsidRPr="00A56539">
        <w:tab/>
        <w:t>This section applies to any instrument—</w:t>
      </w:r>
    </w:p>
    <w:p w14:paraId="44C5CC16" w14:textId="77777777" w:rsidR="00DB6E47" w:rsidRPr="00544ED5" w:rsidRDefault="00DB6E47" w:rsidP="00DB6E47">
      <w:pPr>
        <w:pStyle w:val="Apara"/>
      </w:pPr>
      <w:r w:rsidRPr="00544ED5">
        <w:tab/>
        <w:t>(a)</w:t>
      </w:r>
      <w:r w:rsidRPr="00544ED5">
        <w:tab/>
        <w:t>that is taken to have been made under this Law under section</w:t>
      </w:r>
      <w:r w:rsidR="003F1D40">
        <w:t> </w:t>
      </w:r>
      <w:r w:rsidRPr="00544ED5">
        <w:t>748; and</w:t>
      </w:r>
    </w:p>
    <w:p w14:paraId="73333FA8" w14:textId="77777777" w:rsidR="00DB6E47" w:rsidRPr="00544ED5" w:rsidRDefault="00DB6E47" w:rsidP="00DB6E47">
      <w:pPr>
        <w:pStyle w:val="Apara"/>
      </w:pPr>
      <w:r w:rsidRPr="00544ED5">
        <w:tab/>
        <w:t>(b)</w:t>
      </w:r>
      <w:r w:rsidRPr="00544ED5">
        <w:tab/>
        <w:t>that applies to more than one person and that confers a benefit on at least one person; and</w:t>
      </w:r>
    </w:p>
    <w:p w14:paraId="101DFDCE" w14:textId="77777777" w:rsidR="00DB6E47" w:rsidRPr="00544ED5" w:rsidRDefault="00DB6E47" w:rsidP="00DB6E47">
      <w:pPr>
        <w:pStyle w:val="Apara"/>
      </w:pPr>
      <w:r w:rsidRPr="00544ED5">
        <w:tab/>
        <w:t>(c)</w:t>
      </w:r>
      <w:r w:rsidRPr="00544ED5">
        <w:tab/>
        <w:t>that is of a class of instrument that is specified by the National Regulations for the purposes of this section.</w:t>
      </w:r>
    </w:p>
    <w:p w14:paraId="699E7F5B" w14:textId="77777777" w:rsidR="00DB6E47" w:rsidRPr="00A56539" w:rsidRDefault="00DB6E47" w:rsidP="00DB6E47">
      <w:pPr>
        <w:pStyle w:val="Amain"/>
      </w:pPr>
      <w:r w:rsidRPr="00A56539">
        <w:tab/>
        <w:t>(2)</w:t>
      </w:r>
      <w:r w:rsidRPr="00A56539">
        <w:tab/>
        <w:t xml:space="preserve">An amendment or cancellation of part of the instrument by implication does not affect the remainder of the instrument. </w:t>
      </w:r>
    </w:p>
    <w:p w14:paraId="0088B6C1" w14:textId="77777777" w:rsidR="00DB6E47" w:rsidRPr="00C96203" w:rsidRDefault="00DB6E47" w:rsidP="00DB6E47">
      <w:pPr>
        <w:pStyle w:val="aExamHdgss"/>
      </w:pPr>
      <w:r w:rsidRPr="00C96203">
        <w:rPr>
          <w:rFonts w:cs="Times"/>
          <w:bCs/>
          <w:iCs/>
        </w:rPr>
        <w:t>Example—</w:t>
      </w:r>
    </w:p>
    <w:p w14:paraId="17D7C4C9" w14:textId="77777777" w:rsidR="00DB6E47" w:rsidRPr="00C96203" w:rsidRDefault="00DB6E47" w:rsidP="00DB6E47">
      <w:pPr>
        <w:pStyle w:val="aExamss"/>
      </w:pPr>
      <w:r w:rsidRPr="00C96203">
        <w:t>If an instrument relates to mass and fatigue exemptions, a notice cancelling only the fatigue exemptions will not cancel the mass exemptions. The mass exemptions, and their associated conditions, will continue in force until they are separately amended, or until they expire.</w:t>
      </w:r>
    </w:p>
    <w:p w14:paraId="4BA50F1D" w14:textId="77777777" w:rsidR="00DB6E47" w:rsidRPr="00A56539" w:rsidRDefault="00DB6E47" w:rsidP="00DB6E47">
      <w:pPr>
        <w:pStyle w:val="Amain"/>
      </w:pPr>
      <w:r w:rsidRPr="00A56539">
        <w:tab/>
        <w:t>(3)</w:t>
      </w:r>
      <w:r w:rsidRPr="00A56539">
        <w:tab/>
        <w:t>Despite anything to the contrary in this Law, if the instrument is amended or cancelled and the amendment or cancellation has the effect of removing or reducing the benefit previously conferred on a person by the instrument, the person may continue to enjoy the benefit as if the amendment or cancellation had not occurred until the instrument would have expired had the amendment or cancellation not occurred.</w:t>
      </w:r>
    </w:p>
    <w:p w14:paraId="1641A471" w14:textId="77777777" w:rsidR="00D8474F" w:rsidRPr="003323FC" w:rsidRDefault="00D8474F" w:rsidP="00DB6E47">
      <w:pPr>
        <w:pStyle w:val="Amain"/>
      </w:pPr>
      <w:r w:rsidRPr="003323FC">
        <w:tab/>
        <w:t>(4)</w:t>
      </w:r>
      <w:r w:rsidRPr="003323FC">
        <w:tab/>
        <w:t>Despite anything to the contrary in this Law other than subsection (3), the Regulator may amend or cancel the instrument simply by publishing a public notice of the amendment or cancellation.</w:t>
      </w:r>
    </w:p>
    <w:p w14:paraId="6F4E3733" w14:textId="77777777" w:rsidR="00DB6E47" w:rsidRPr="00A56539" w:rsidRDefault="00DB6E47" w:rsidP="00F31260">
      <w:pPr>
        <w:pStyle w:val="Amain"/>
        <w:keepNext/>
      </w:pPr>
      <w:r w:rsidRPr="00A56539">
        <w:lastRenderedPageBreak/>
        <w:tab/>
        <w:t>(5)</w:t>
      </w:r>
      <w:r w:rsidRPr="00A56539">
        <w:tab/>
        <w:t>The amendment or cancellation takes effect—</w:t>
      </w:r>
    </w:p>
    <w:p w14:paraId="26A8898E" w14:textId="77777777" w:rsidR="00DB6E47" w:rsidRPr="00544ED5" w:rsidRDefault="00DB6E47" w:rsidP="00DB6E47">
      <w:pPr>
        <w:pStyle w:val="Apara"/>
      </w:pPr>
      <w:r w:rsidRPr="00544ED5">
        <w:tab/>
        <w:t>(a)</w:t>
      </w:r>
      <w:r w:rsidRPr="00544ED5">
        <w:tab/>
        <w:t>28 days after the Commonwealth Gazette notice is published under subsection (4); or</w:t>
      </w:r>
    </w:p>
    <w:p w14:paraId="2AB1C0F6" w14:textId="77777777" w:rsidR="00DB6E47" w:rsidRPr="00544ED5" w:rsidRDefault="00DB6E47" w:rsidP="00DB6E47">
      <w:pPr>
        <w:pStyle w:val="Apara"/>
      </w:pPr>
      <w:r w:rsidRPr="00544ED5">
        <w:tab/>
        <w:t>(b)</w:t>
      </w:r>
      <w:r w:rsidRPr="00544ED5">
        <w:tab/>
        <w:t>if a later time is stated in the Commonwealth Gazette notice, at the later time.</w:t>
      </w:r>
    </w:p>
    <w:p w14:paraId="004475F0" w14:textId="77777777" w:rsidR="00DB6E47" w:rsidRPr="00A56539" w:rsidRDefault="00DB6E47" w:rsidP="009F29F0">
      <w:pPr>
        <w:pStyle w:val="Amain"/>
        <w:keepLines/>
      </w:pPr>
      <w:r w:rsidRPr="00A56539">
        <w:tab/>
        <w:t>(6)</w:t>
      </w:r>
      <w:r w:rsidRPr="00A56539">
        <w:tab/>
        <w:t xml:space="preserve">This section applies even to amendments and cancellations that occur by implication, and it is not necessary that the instrument being amended or cancelled be identified in the amending or cancelling notice. </w:t>
      </w:r>
    </w:p>
    <w:p w14:paraId="5D6D201F" w14:textId="77777777" w:rsidR="00DB6E47" w:rsidRPr="007E1F9A" w:rsidRDefault="00DB6E47" w:rsidP="00DB6E47">
      <w:pPr>
        <w:pStyle w:val="AH5Sec"/>
      </w:pPr>
      <w:bookmarkStart w:id="952" w:name="_Toc83626296"/>
      <w:r w:rsidRPr="005E03F7">
        <w:rPr>
          <w:rStyle w:val="CharSectNo"/>
        </w:rPr>
        <w:t>751</w:t>
      </w:r>
      <w:r w:rsidRPr="007E1F9A">
        <w:tab/>
      </w:r>
      <w:r w:rsidRPr="007E1F9A">
        <w:rPr>
          <w:rFonts w:ascii="Helvetica" w:hAnsi="Helvetica" w:cs="Helvetica"/>
          <w:iCs/>
        </w:rPr>
        <w:t>Expiry of industry codes of practice</w:t>
      </w:r>
      <w:bookmarkEnd w:id="952"/>
    </w:p>
    <w:p w14:paraId="3E763E59" w14:textId="77777777" w:rsidR="00DB6E47" w:rsidRPr="00A56539" w:rsidRDefault="00DB6E47" w:rsidP="00DB6E47">
      <w:pPr>
        <w:pStyle w:val="Amain"/>
      </w:pPr>
      <w:r w:rsidRPr="00A56539">
        <w:tab/>
        <w:t>(1)</w:t>
      </w:r>
      <w:r w:rsidRPr="00A56539">
        <w:tab/>
        <w:t>This section applies if a code of practice—</w:t>
      </w:r>
    </w:p>
    <w:p w14:paraId="5942B293" w14:textId="77777777" w:rsidR="00DB6E47" w:rsidRPr="00544ED5" w:rsidRDefault="00DB6E47" w:rsidP="00DB6E47">
      <w:pPr>
        <w:pStyle w:val="Apara"/>
      </w:pPr>
      <w:r w:rsidRPr="00544ED5">
        <w:tab/>
        <w:t>(a)</w:t>
      </w:r>
      <w:r w:rsidRPr="00544ED5">
        <w:tab/>
        <w:t>is taken to have been made under this Law under section 748; and</w:t>
      </w:r>
    </w:p>
    <w:p w14:paraId="6EC98DDC" w14:textId="77777777" w:rsidR="00DB6E47" w:rsidRPr="00544ED5" w:rsidRDefault="00DB6E47" w:rsidP="00DB6E47">
      <w:pPr>
        <w:pStyle w:val="Apara"/>
      </w:pPr>
      <w:r w:rsidRPr="00544ED5">
        <w:tab/>
        <w:t>(b)</w:t>
      </w:r>
      <w:r w:rsidRPr="00544ED5">
        <w:tab/>
        <w:t>is not subject to a review date, or is subject to a review date that exceeds 3 years after the commencement day.</w:t>
      </w:r>
    </w:p>
    <w:p w14:paraId="455436AB" w14:textId="77777777" w:rsidR="00DB6E47" w:rsidRPr="00A56539" w:rsidRDefault="00DB6E47" w:rsidP="00DB6E47">
      <w:pPr>
        <w:pStyle w:val="Amain"/>
      </w:pPr>
      <w:r w:rsidRPr="00A56539">
        <w:tab/>
        <w:t>(2)</w:t>
      </w:r>
      <w:r w:rsidRPr="00A56539">
        <w:tab/>
        <w:t>The code of practice expires 3 years after the commencement day, unless it is cancelled before that day.</w:t>
      </w:r>
    </w:p>
    <w:p w14:paraId="4AC220CD" w14:textId="77777777" w:rsidR="00DB6E47" w:rsidRPr="007E1F9A" w:rsidRDefault="00DB6E47" w:rsidP="00DB6E47">
      <w:pPr>
        <w:pStyle w:val="AH5Sec"/>
      </w:pPr>
      <w:bookmarkStart w:id="953" w:name="_Toc83626297"/>
      <w:r w:rsidRPr="005E03F7">
        <w:rPr>
          <w:rStyle w:val="CharSectNo"/>
        </w:rPr>
        <w:t>752</w:t>
      </w:r>
      <w:r w:rsidRPr="007E1F9A">
        <w:tab/>
      </w:r>
      <w:r w:rsidRPr="007E1F9A">
        <w:rPr>
          <w:rFonts w:ascii="Helvetica" w:hAnsi="Helvetica" w:cs="Helvetica"/>
          <w:iCs/>
        </w:rPr>
        <w:t>Pending matters</w:t>
      </w:r>
      <w:bookmarkEnd w:id="953"/>
    </w:p>
    <w:p w14:paraId="14713AC8" w14:textId="77777777" w:rsidR="00DB6E47" w:rsidRPr="00A56539" w:rsidRDefault="00DB6E47" w:rsidP="00DB6E47">
      <w:pPr>
        <w:pStyle w:val="Amain"/>
      </w:pPr>
      <w:r w:rsidRPr="00A56539">
        <w:tab/>
        <w:t>(1)</w:t>
      </w:r>
      <w:r w:rsidRPr="00A56539">
        <w:tab/>
        <w:t>This section applies if—</w:t>
      </w:r>
    </w:p>
    <w:p w14:paraId="56E8CA1F" w14:textId="77777777" w:rsidR="00DB6E47" w:rsidRPr="00544ED5" w:rsidRDefault="00DB6E47" w:rsidP="00DB6E47">
      <w:pPr>
        <w:pStyle w:val="Apara"/>
      </w:pPr>
      <w:r w:rsidRPr="00544ED5">
        <w:tab/>
        <w:t>(a)</w:t>
      </w:r>
      <w:r w:rsidRPr="00544ED5">
        <w:tab/>
        <w:t>section 748 applies to a relevant instrument (for example, an application); and</w:t>
      </w:r>
    </w:p>
    <w:p w14:paraId="3B9EDB55" w14:textId="77777777" w:rsidR="00DB6E47" w:rsidRPr="00544ED5" w:rsidRDefault="00DB6E47" w:rsidP="00DB6E47">
      <w:pPr>
        <w:pStyle w:val="Apara"/>
      </w:pPr>
      <w:r w:rsidRPr="00544ED5">
        <w:tab/>
        <w:t>(b)</w:t>
      </w:r>
      <w:r w:rsidRPr="00544ED5">
        <w:tab/>
        <w:t>any matter (for example, the determination of an application) is pending in respect of the instrument immediately before the participation day for this jurisdiction.</w:t>
      </w:r>
    </w:p>
    <w:p w14:paraId="58511E13" w14:textId="77777777" w:rsidR="00DB6E47" w:rsidRPr="00A56539" w:rsidRDefault="00DB6E47" w:rsidP="00F31260">
      <w:pPr>
        <w:pStyle w:val="Amain"/>
        <w:keepNext/>
      </w:pPr>
      <w:r w:rsidRPr="00A56539">
        <w:lastRenderedPageBreak/>
        <w:tab/>
        <w:t>(2)</w:t>
      </w:r>
      <w:r w:rsidRPr="00A56539">
        <w:tab/>
        <w:t>When the matter is being dealt with on or after the participation day for this jurisdiction—</w:t>
      </w:r>
    </w:p>
    <w:p w14:paraId="3AFBA2B5" w14:textId="77777777" w:rsidR="00DB6E47" w:rsidRPr="00544ED5" w:rsidRDefault="00DB6E47" w:rsidP="00DB6E47">
      <w:pPr>
        <w:pStyle w:val="Apara"/>
      </w:pPr>
      <w:r w:rsidRPr="00544ED5">
        <w:tab/>
        <w:t>(a)</w:t>
      </w:r>
      <w:r w:rsidRPr="00544ED5">
        <w:tab/>
        <w:t>the Regulator (or other person having functions under this Law in relation to the matter) may have regard to any relevant provisions of the former legislation for this jurisdiction; and</w:t>
      </w:r>
    </w:p>
    <w:p w14:paraId="629DD17E" w14:textId="77777777" w:rsidR="00DB6E47" w:rsidRPr="00544ED5" w:rsidRDefault="00DB6E47" w:rsidP="00DB6E47">
      <w:pPr>
        <w:pStyle w:val="Apara"/>
      </w:pPr>
      <w:r w:rsidRPr="00544ED5">
        <w:tab/>
        <w:t>(b)</w:t>
      </w:r>
      <w:r w:rsidRPr="00544ED5">
        <w:tab/>
        <w:t>this Law applies in relation to the matter—</w:t>
      </w:r>
    </w:p>
    <w:p w14:paraId="5B7AC383" w14:textId="77777777" w:rsidR="00DB6E47" w:rsidRPr="00CC71DF" w:rsidRDefault="00DB6E47" w:rsidP="00DB6E47">
      <w:pPr>
        <w:pStyle w:val="Asubpara"/>
      </w:pPr>
      <w:r w:rsidRPr="00CC71DF">
        <w:tab/>
        <w:t>(i)</w:t>
      </w:r>
      <w:r w:rsidRPr="00CC71DF">
        <w:tab/>
        <w:t>with any adaptations the Regulator (or other person) considers appropriate to achieve consistency with provisions of the former legislation; and</w:t>
      </w:r>
    </w:p>
    <w:p w14:paraId="0FAB5248" w14:textId="77777777" w:rsidR="00DB6E47" w:rsidRPr="00CC71DF" w:rsidRDefault="00DB6E47" w:rsidP="00DB6E47">
      <w:pPr>
        <w:pStyle w:val="Asubpara"/>
      </w:pPr>
      <w:r>
        <w:tab/>
      </w:r>
      <w:r w:rsidRPr="00CC71DF">
        <w:t>(ii)</w:t>
      </w:r>
      <w:r w:rsidRPr="00CC71DF">
        <w:tab/>
      </w:r>
      <w:r w:rsidR="00121ABD">
        <w:t>with any necessary adaptations.</w:t>
      </w:r>
    </w:p>
    <w:p w14:paraId="3A8057E4" w14:textId="77777777" w:rsidR="00DB6E47" w:rsidRPr="007E1F9A" w:rsidRDefault="00DB6E47" w:rsidP="00DB6E47">
      <w:pPr>
        <w:pStyle w:val="AH5Sec"/>
      </w:pPr>
      <w:bookmarkStart w:id="954" w:name="_Toc83626298"/>
      <w:r w:rsidRPr="005E03F7">
        <w:rPr>
          <w:rStyle w:val="CharSectNo"/>
        </w:rPr>
        <w:t>753</w:t>
      </w:r>
      <w:r w:rsidRPr="007E1F9A">
        <w:tab/>
      </w:r>
      <w:r w:rsidRPr="007E1F9A">
        <w:rPr>
          <w:rFonts w:ascii="Helvetica" w:hAnsi="Helvetica" w:cs="Helvetica"/>
          <w:iCs/>
        </w:rPr>
        <w:t>Preservation of current PBS scheme</w:t>
      </w:r>
      <w:bookmarkEnd w:id="954"/>
    </w:p>
    <w:p w14:paraId="68B8A775" w14:textId="77777777" w:rsidR="00DB6E47" w:rsidRPr="00A56539" w:rsidRDefault="00DB6E47" w:rsidP="006E6789">
      <w:pPr>
        <w:pStyle w:val="Amain"/>
        <w:keepNext/>
      </w:pPr>
      <w:r w:rsidRPr="00A56539">
        <w:tab/>
        <w:t>(1)</w:t>
      </w:r>
      <w:r w:rsidRPr="00A56539">
        <w:tab/>
        <w:t>The instruments that comprise the current PBS scheme—</w:t>
      </w:r>
    </w:p>
    <w:p w14:paraId="0EFD2759" w14:textId="77777777" w:rsidR="00DB6E47" w:rsidRPr="00544ED5" w:rsidRDefault="00DB6E47" w:rsidP="00DB6E47">
      <w:pPr>
        <w:pStyle w:val="Apara"/>
      </w:pPr>
      <w:r w:rsidRPr="00544ED5">
        <w:tab/>
        <w:t>(a)</w:t>
      </w:r>
      <w:r w:rsidRPr="00544ED5">
        <w:tab/>
        <w:t>continue in force on and from the commencement day despite the commencement of any provision of this Law; and</w:t>
      </w:r>
    </w:p>
    <w:p w14:paraId="20DB2DC4" w14:textId="77777777" w:rsidR="00DB6E47" w:rsidRPr="00544ED5" w:rsidRDefault="00DB6E47" w:rsidP="00DB6E47">
      <w:pPr>
        <w:pStyle w:val="Apara"/>
      </w:pPr>
      <w:r w:rsidRPr="00544ED5">
        <w:tab/>
        <w:t>(b)</w:t>
      </w:r>
      <w:r w:rsidRPr="00544ED5">
        <w:tab/>
        <w:t>apply with any necessary or appropriate modifications with respect to any relevant provisions of this Law or any relevant functions of the Regulator; and</w:t>
      </w:r>
    </w:p>
    <w:p w14:paraId="13778708" w14:textId="77777777" w:rsidR="00DB6E47" w:rsidRPr="00544ED5" w:rsidRDefault="00DB6E47" w:rsidP="00DB6E47">
      <w:pPr>
        <w:pStyle w:val="Apara"/>
      </w:pPr>
      <w:r w:rsidRPr="00544ED5">
        <w:tab/>
        <w:t>(c)</w:t>
      </w:r>
      <w:r w:rsidRPr="00544ED5">
        <w:tab/>
        <w:t>so apply as if a reference in the instruments to the National Transport Commission included a reference to the Regulator.</w:t>
      </w:r>
    </w:p>
    <w:p w14:paraId="6B83F4AD" w14:textId="77777777" w:rsidR="00DB6E47" w:rsidRPr="00A56539" w:rsidRDefault="00DB6E47" w:rsidP="00DB6E47">
      <w:pPr>
        <w:pStyle w:val="Amain"/>
      </w:pPr>
      <w:r w:rsidRPr="00A56539">
        <w:tab/>
        <w:t>(2)</w:t>
      </w:r>
      <w:r w:rsidRPr="00A56539">
        <w:tab/>
        <w:t>This section ceases to apply to an instrument if it is replaced by approved guidelines or it is otherwise dispensed with.</w:t>
      </w:r>
    </w:p>
    <w:p w14:paraId="404E8895" w14:textId="77777777" w:rsidR="00DB6E47" w:rsidRPr="007E1F9A" w:rsidRDefault="00DB6E47" w:rsidP="00DB6E47">
      <w:pPr>
        <w:pStyle w:val="AH5Sec"/>
      </w:pPr>
      <w:bookmarkStart w:id="955" w:name="_Toc83626299"/>
      <w:r w:rsidRPr="005E03F7">
        <w:rPr>
          <w:rStyle w:val="CharSectNo"/>
        </w:rPr>
        <w:t>754</w:t>
      </w:r>
      <w:r w:rsidRPr="007E1F9A">
        <w:tab/>
      </w:r>
      <w:r w:rsidRPr="007E1F9A">
        <w:rPr>
          <w:rFonts w:ascii="Helvetica" w:hAnsi="Helvetica" w:cs="Helvetica"/>
          <w:iCs/>
        </w:rPr>
        <w:t>Preservation of contracts for current PBS scheme</w:t>
      </w:r>
      <w:bookmarkEnd w:id="955"/>
    </w:p>
    <w:p w14:paraId="1FDAA029" w14:textId="77777777" w:rsidR="00DB6E47" w:rsidRPr="00A56539" w:rsidRDefault="00DB6E47" w:rsidP="00D940BC">
      <w:pPr>
        <w:pStyle w:val="Amain"/>
        <w:keepLines/>
      </w:pPr>
      <w:r w:rsidRPr="00A56539">
        <w:tab/>
        <w:t>(1)</w:t>
      </w:r>
      <w:r w:rsidRPr="00A56539">
        <w:tab/>
        <w:t>This section applies to a contract between the National Transport Commission and another person that relates to the appointment or functions of the person for the purposes of the current PBS scheme and that is in force immediately before the commencement day.</w:t>
      </w:r>
    </w:p>
    <w:p w14:paraId="213F0B2E" w14:textId="77777777" w:rsidR="00DB6E47" w:rsidRPr="00A56539" w:rsidRDefault="00DB6E47" w:rsidP="00F31260">
      <w:pPr>
        <w:pStyle w:val="Amain"/>
        <w:keepNext/>
      </w:pPr>
      <w:r w:rsidRPr="00A56539">
        <w:lastRenderedPageBreak/>
        <w:tab/>
        <w:t>(2)</w:t>
      </w:r>
      <w:r w:rsidRPr="00A56539">
        <w:tab/>
        <w:t>A contract to which this section applies and the arrangements to which the contract relates—</w:t>
      </w:r>
    </w:p>
    <w:p w14:paraId="0A9CA5BA" w14:textId="77777777" w:rsidR="00DB6E47" w:rsidRPr="00544ED5" w:rsidRDefault="00DB6E47" w:rsidP="00DB6E47">
      <w:pPr>
        <w:pStyle w:val="Apara"/>
      </w:pPr>
      <w:r w:rsidRPr="00544ED5">
        <w:tab/>
        <w:t>(a)</w:t>
      </w:r>
      <w:r w:rsidRPr="00544ED5">
        <w:tab/>
        <w:t>continue in force on and from the commencement day despite the commencement of any provision of this Law; and</w:t>
      </w:r>
    </w:p>
    <w:p w14:paraId="368E8505" w14:textId="77777777" w:rsidR="00DB6E47" w:rsidRPr="00544ED5" w:rsidRDefault="00DB6E47" w:rsidP="00DB6E47">
      <w:pPr>
        <w:pStyle w:val="Apara"/>
      </w:pPr>
      <w:r w:rsidRPr="00544ED5">
        <w:tab/>
        <w:t>(b)</w:t>
      </w:r>
      <w:r w:rsidRPr="00544ED5">
        <w:tab/>
        <w:t>apply with any necessary or appropriate modifications with respect to any relevant provisions of this Law or any relevant functions of the Regulator; and</w:t>
      </w:r>
    </w:p>
    <w:p w14:paraId="1491F05A" w14:textId="77777777" w:rsidR="00DB6E47" w:rsidRPr="00544ED5" w:rsidRDefault="00DB6E47" w:rsidP="00DB6E47">
      <w:pPr>
        <w:pStyle w:val="Apara"/>
      </w:pPr>
      <w:r w:rsidRPr="00544ED5">
        <w:tab/>
        <w:t>(c)</w:t>
      </w:r>
      <w:r w:rsidRPr="00544ED5">
        <w:tab/>
        <w:t>so apply as if a reference in the contract to the National Transport Commission included a reference to the Regulator.</w:t>
      </w:r>
    </w:p>
    <w:p w14:paraId="3DBE76E0" w14:textId="77777777" w:rsidR="00DB6E47" w:rsidRPr="00A56539" w:rsidRDefault="00DB6E47" w:rsidP="00DB6E47">
      <w:pPr>
        <w:pStyle w:val="Amain"/>
      </w:pPr>
      <w:r w:rsidRPr="00A56539">
        <w:tab/>
        <w:t>(3)</w:t>
      </w:r>
      <w:r w:rsidRPr="00A56539">
        <w:tab/>
        <w:t>This section ceases to apply to a contract with another p</w:t>
      </w:r>
      <w:r w:rsidR="00121ABD">
        <w:t xml:space="preserve">erson referred to in subsection </w:t>
      </w:r>
      <w:r w:rsidRPr="00A56539">
        <w:t>(1)</w:t>
      </w:r>
      <w:r w:rsidR="00121ABD">
        <w:t xml:space="preserve"> </w:t>
      </w:r>
      <w:r w:rsidRPr="00A56539">
        <w:t>if—</w:t>
      </w:r>
    </w:p>
    <w:p w14:paraId="4EE34278" w14:textId="77777777" w:rsidR="00DB6E47" w:rsidRPr="00544ED5" w:rsidRDefault="00DB6E47" w:rsidP="00DB6E47">
      <w:pPr>
        <w:pStyle w:val="Apara"/>
      </w:pPr>
      <w:r w:rsidRPr="00544ED5">
        <w:tab/>
        <w:t>(a)</w:t>
      </w:r>
      <w:r w:rsidRPr="00544ED5">
        <w:tab/>
        <w:t>the contract is terminated; or</w:t>
      </w:r>
    </w:p>
    <w:p w14:paraId="7F79E04A" w14:textId="77777777" w:rsidR="00DB6E47" w:rsidRPr="00544ED5" w:rsidRDefault="00DB6E47" w:rsidP="00DB6E47">
      <w:pPr>
        <w:pStyle w:val="Apara"/>
      </w:pPr>
      <w:r w:rsidRPr="00544ED5">
        <w:tab/>
        <w:t>(b)</w:t>
      </w:r>
      <w:r w:rsidRPr="00544ED5">
        <w:tab/>
        <w:t>a subsequent contract is entered into with the Regulator and the other person for a similar or a corresponding purpose.</w:t>
      </w:r>
    </w:p>
    <w:p w14:paraId="019E69E7" w14:textId="77777777" w:rsidR="00DB6E47" w:rsidRPr="007E1F9A" w:rsidRDefault="00DB6E47" w:rsidP="00DB6E47">
      <w:pPr>
        <w:pStyle w:val="AH5Sec"/>
      </w:pPr>
      <w:bookmarkStart w:id="956" w:name="_Toc83626300"/>
      <w:r w:rsidRPr="005E03F7">
        <w:rPr>
          <w:rStyle w:val="CharSectNo"/>
        </w:rPr>
        <w:t>755</w:t>
      </w:r>
      <w:r w:rsidRPr="007E1F9A">
        <w:tab/>
      </w:r>
      <w:r w:rsidRPr="007E1F9A">
        <w:rPr>
          <w:rFonts w:ascii="Helvetica" w:hAnsi="Helvetica" w:cs="Helvetica"/>
        </w:rPr>
        <w:t>National regulations for savings and transitional matters</w:t>
      </w:r>
      <w:bookmarkEnd w:id="956"/>
    </w:p>
    <w:p w14:paraId="35516F80" w14:textId="77777777" w:rsidR="00DB6E47" w:rsidRPr="00A56539" w:rsidRDefault="00DB6E47" w:rsidP="00DB6E47">
      <w:pPr>
        <w:pStyle w:val="Amain"/>
      </w:pPr>
      <w:r w:rsidRPr="00A56539">
        <w:tab/>
        <w:t>(1)</w:t>
      </w:r>
      <w:r w:rsidRPr="00A56539">
        <w:tab/>
        <w:t>The national regulations may contain provisions of a savings and transitional nature consequent on the enactment or commencement of provisions of this Law in a jurisdiction.</w:t>
      </w:r>
    </w:p>
    <w:p w14:paraId="102F5E44" w14:textId="77777777" w:rsidR="00DB6E47" w:rsidRPr="00A56539" w:rsidRDefault="00DB6E47" w:rsidP="00DB6E47">
      <w:pPr>
        <w:pStyle w:val="Amain"/>
      </w:pPr>
      <w:r w:rsidRPr="00A56539">
        <w:tab/>
        <w:t>(2)</w:t>
      </w:r>
      <w:r w:rsidRPr="00A56539">
        <w:tab/>
        <w:t>Any such provision may, if the national regulations so provide, take effect in relation to this jurisdiction from the participation day for this jurisdiction or a later day.</w:t>
      </w:r>
    </w:p>
    <w:p w14:paraId="044010BD" w14:textId="77777777" w:rsidR="00DB6E47" w:rsidRPr="00A56539" w:rsidRDefault="00DB6E47" w:rsidP="00D940BC">
      <w:pPr>
        <w:pStyle w:val="Amain"/>
        <w:keepNext/>
      </w:pPr>
      <w:r w:rsidRPr="00A56539">
        <w:tab/>
        <w:t>(3)</w:t>
      </w:r>
      <w:r w:rsidRPr="00A56539">
        <w:tab/>
        <w:t>To the extent any such provision takes effect from a day that is earlier than the date of its publication, the provision does not operate so as—</w:t>
      </w:r>
    </w:p>
    <w:p w14:paraId="28CEDD12"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to affect, in a manner prejudicial to any person (other than this jurisdiction or an authority of this jurisdiction), the rights of that person existing before the date of its publication; or</w:t>
      </w:r>
    </w:p>
    <w:p w14:paraId="2303B26D" w14:textId="77777777" w:rsidR="00DB6E47" w:rsidRPr="00F04D8E" w:rsidRDefault="00DB6E47" w:rsidP="00DB6E47">
      <w:pPr>
        <w:pStyle w:val="aDefpara"/>
      </w:pPr>
      <w:r>
        <w:tab/>
      </w:r>
      <w:r w:rsidRPr="00F04D8E">
        <w:t>(b)</w:t>
      </w:r>
      <w:r w:rsidRPr="00F04D8E">
        <w:tab/>
        <w:t>to impose liabilities on any person (other than this jurisdiction or an authority of this jurisdiction) in respect of anything done or omitted to be done before the date of its publication.</w:t>
      </w:r>
    </w:p>
    <w:p w14:paraId="5FE0C83D" w14:textId="77777777" w:rsidR="00DB6E47" w:rsidRPr="00A56539" w:rsidRDefault="00DB6E47" w:rsidP="00DB6E47">
      <w:pPr>
        <w:pStyle w:val="Amain"/>
      </w:pPr>
      <w:r w:rsidRPr="00A56539">
        <w:lastRenderedPageBreak/>
        <w:tab/>
        <w:t>(</w:t>
      </w:r>
      <w:r w:rsidR="00121ABD">
        <w:t>4)</w:t>
      </w:r>
      <w:r w:rsidR="00121ABD">
        <w:tab/>
        <w:t xml:space="preserve">Without limiting subsections </w:t>
      </w:r>
      <w:r w:rsidRPr="00A56539">
        <w:t>(1)</w:t>
      </w:r>
      <w:r w:rsidR="00121ABD">
        <w:t xml:space="preserve"> </w:t>
      </w:r>
      <w:r w:rsidRPr="00A56539">
        <w:t>to (3), the national regulations may contain provisions of a savings or transitional nature that—</w:t>
      </w:r>
    </w:p>
    <w:p w14:paraId="4D6EBD0A"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have effect in circumstances where some but not all the provisions of this Law are commenced; and</w:t>
      </w:r>
    </w:p>
    <w:p w14:paraId="2C5707F1" w14:textId="77777777" w:rsidR="00DB6E47" w:rsidRDefault="00DB6E47" w:rsidP="00DB6E47">
      <w:pPr>
        <w:pStyle w:val="aDefpara"/>
      </w:pPr>
      <w:r>
        <w:tab/>
      </w:r>
      <w:r w:rsidRPr="00F04D8E">
        <w:t>(b)</w:t>
      </w:r>
      <w:r w:rsidRPr="00F04D8E">
        <w:tab/>
        <w:t>without limiting paragraph (a), modify the operation of the commenced provisions pending and after commencement of the uncommenced provisions.</w:t>
      </w:r>
    </w:p>
    <w:p w14:paraId="21D88431" w14:textId="77777777" w:rsidR="005C1A09" w:rsidRPr="005C1A09" w:rsidRDefault="005C1A09" w:rsidP="005C1A09">
      <w:pPr>
        <w:pStyle w:val="PageBreak"/>
      </w:pPr>
      <w:r w:rsidRPr="005C1A09">
        <w:br w:type="page"/>
      </w:r>
    </w:p>
    <w:p w14:paraId="0A5404E6" w14:textId="77777777" w:rsidR="005E59CD" w:rsidRPr="005E03F7" w:rsidRDefault="005E59CD" w:rsidP="005E59CD">
      <w:pPr>
        <w:pStyle w:val="AH2Part"/>
      </w:pPr>
      <w:bookmarkStart w:id="957" w:name="_Toc83626301"/>
      <w:r w:rsidRPr="005E03F7">
        <w:rPr>
          <w:rStyle w:val="CharPartNo"/>
        </w:rPr>
        <w:lastRenderedPageBreak/>
        <w:t>Part 14.3</w:t>
      </w:r>
      <w:r>
        <w:tab/>
      </w:r>
      <w:r w:rsidRPr="005E03F7">
        <w:rPr>
          <w:rStyle w:val="CharPartText"/>
        </w:rPr>
        <w:t>Heavy Vehicle National Law Amendment Act 2015 (Queensland)</w:t>
      </w:r>
      <w:bookmarkEnd w:id="957"/>
    </w:p>
    <w:p w14:paraId="544CAEC4" w14:textId="77777777" w:rsidR="005E59CD" w:rsidRPr="00D36384" w:rsidRDefault="00D36384" w:rsidP="005E59CD">
      <w:pPr>
        <w:pStyle w:val="AH5Sec"/>
      </w:pPr>
      <w:bookmarkStart w:id="958" w:name="_Toc83626302"/>
      <w:r w:rsidRPr="005E03F7">
        <w:rPr>
          <w:rStyle w:val="CharSectNo"/>
        </w:rPr>
        <w:t>756</w:t>
      </w:r>
      <w:r>
        <w:tab/>
      </w:r>
      <w:r w:rsidRPr="00D36384">
        <w:t>Application of s 87A to previously fitted plate or label</w:t>
      </w:r>
      <w:bookmarkEnd w:id="958"/>
    </w:p>
    <w:p w14:paraId="1CD96C6C" w14:textId="77777777" w:rsidR="00D36384" w:rsidRPr="00590836" w:rsidRDefault="00590836" w:rsidP="00590836">
      <w:pPr>
        <w:pStyle w:val="Amainreturn"/>
      </w:pPr>
      <w:r w:rsidRPr="00590836">
        <w:t>Section 87A applies to tampering with a plate or label fitted or affixed to a heavy vehicle under section 86(2) or 87(3) before the commencement of section 87A.</w:t>
      </w:r>
    </w:p>
    <w:p w14:paraId="5C212F31" w14:textId="77777777" w:rsidR="00D36384" w:rsidRPr="00D36384" w:rsidRDefault="00D36384" w:rsidP="00D36384">
      <w:pPr>
        <w:pStyle w:val="AH5Sec"/>
      </w:pPr>
      <w:bookmarkStart w:id="959" w:name="_Toc83626303"/>
      <w:r w:rsidRPr="005E03F7">
        <w:rPr>
          <w:rStyle w:val="CharSectNo"/>
        </w:rPr>
        <w:t>757</w:t>
      </w:r>
      <w:r>
        <w:tab/>
      </w:r>
      <w:r w:rsidRPr="00D36384">
        <w:t>Saving of stated map and other matters under s 119 or 142</w:t>
      </w:r>
      <w:bookmarkEnd w:id="959"/>
    </w:p>
    <w:p w14:paraId="001C6157" w14:textId="77777777" w:rsidR="00D36384" w:rsidRPr="00590836" w:rsidRDefault="00590836" w:rsidP="00D940BC">
      <w:pPr>
        <w:pStyle w:val="Amain"/>
        <w:keepNext/>
      </w:pPr>
      <w:r>
        <w:tab/>
        <w:t>(1)</w:t>
      </w:r>
      <w:r>
        <w:tab/>
      </w:r>
      <w:r w:rsidRPr="00590836">
        <w:t>Subsections (2) to (5) apply to the following—</w:t>
      </w:r>
    </w:p>
    <w:p w14:paraId="5BCF07B7" w14:textId="77777777" w:rsidR="00590836" w:rsidRDefault="000D7F85" w:rsidP="000D7F85">
      <w:pPr>
        <w:pStyle w:val="Apara"/>
        <w:rPr>
          <w:spacing w:val="-1"/>
        </w:rPr>
      </w:pPr>
      <w:r>
        <w:tab/>
        <w:t>(a)</w:t>
      </w:r>
      <w:r>
        <w:tab/>
        <w:t>a</w:t>
      </w:r>
      <w:r>
        <w:rPr>
          <w:spacing w:val="44"/>
        </w:rPr>
        <w:t xml:space="preserve"> </w:t>
      </w:r>
      <w:r>
        <w:rPr>
          <w:spacing w:val="-1"/>
        </w:rPr>
        <w:t>stated</w:t>
      </w:r>
      <w:r>
        <w:rPr>
          <w:spacing w:val="44"/>
        </w:rPr>
        <w:t xml:space="preserve"> </w:t>
      </w:r>
      <w:r>
        <w:rPr>
          <w:spacing w:val="-1"/>
        </w:rPr>
        <w:t>map</w:t>
      </w:r>
      <w:r>
        <w:rPr>
          <w:spacing w:val="44"/>
        </w:rPr>
        <w:t xml:space="preserve"> </w:t>
      </w:r>
      <w:r>
        <w:rPr>
          <w:spacing w:val="-1"/>
        </w:rPr>
        <w:t>applied</w:t>
      </w:r>
      <w:r>
        <w:rPr>
          <w:spacing w:val="44"/>
        </w:rPr>
        <w:t xml:space="preserve"> </w:t>
      </w:r>
      <w:r>
        <w:rPr>
          <w:spacing w:val="-1"/>
        </w:rPr>
        <w:t>under</w:t>
      </w:r>
      <w:r>
        <w:rPr>
          <w:spacing w:val="44"/>
        </w:rPr>
        <w:t xml:space="preserve"> </w:t>
      </w:r>
      <w:r>
        <w:rPr>
          <w:spacing w:val="-1"/>
        </w:rPr>
        <w:t>unamended</w:t>
      </w:r>
      <w:r>
        <w:rPr>
          <w:spacing w:val="24"/>
        </w:rPr>
        <w:t xml:space="preserve"> </w:t>
      </w:r>
      <w:r>
        <w:t>section</w:t>
      </w:r>
      <w:r>
        <w:rPr>
          <w:spacing w:val="41"/>
        </w:rPr>
        <w:t xml:space="preserve"> </w:t>
      </w:r>
      <w:r>
        <w:t>119(2)</w:t>
      </w:r>
      <w:r>
        <w:rPr>
          <w:spacing w:val="41"/>
        </w:rPr>
        <w:t xml:space="preserve"> </w:t>
      </w:r>
      <w:r>
        <w:t>in</w:t>
      </w:r>
      <w:r>
        <w:rPr>
          <w:spacing w:val="41"/>
        </w:rPr>
        <w:t xml:space="preserve"> </w:t>
      </w:r>
      <w:r>
        <w:t>a</w:t>
      </w:r>
      <w:r>
        <w:rPr>
          <w:spacing w:val="41"/>
        </w:rPr>
        <w:t xml:space="preserve"> </w:t>
      </w:r>
      <w:r>
        <w:rPr>
          <w:spacing w:val="-1"/>
        </w:rPr>
        <w:t>mass</w:t>
      </w:r>
      <w:r>
        <w:rPr>
          <w:spacing w:val="41"/>
        </w:rPr>
        <w:t xml:space="preserve"> </w:t>
      </w:r>
      <w:r>
        <w:rPr>
          <w:spacing w:val="-1"/>
        </w:rPr>
        <w:t>or</w:t>
      </w:r>
      <w:r>
        <w:rPr>
          <w:spacing w:val="41"/>
        </w:rPr>
        <w:t xml:space="preserve"> </w:t>
      </w:r>
      <w:r>
        <w:rPr>
          <w:spacing w:val="-1"/>
        </w:rPr>
        <w:t>dimension</w:t>
      </w:r>
      <w:r>
        <w:rPr>
          <w:spacing w:val="22"/>
        </w:rPr>
        <w:t xml:space="preserve"> </w:t>
      </w:r>
      <w:r>
        <w:rPr>
          <w:spacing w:val="-2"/>
        </w:rPr>
        <w:t xml:space="preserve">exemption </w:t>
      </w:r>
      <w:r>
        <w:rPr>
          <w:spacing w:val="-1"/>
        </w:rPr>
        <w:t>(notice)</w:t>
      </w:r>
      <w:r>
        <w:rPr>
          <w:spacing w:val="-2"/>
        </w:rPr>
        <w:t xml:space="preserve"> </w:t>
      </w:r>
      <w:r>
        <w:rPr>
          <w:spacing w:val="-1"/>
        </w:rPr>
        <w:t>in</w:t>
      </w:r>
      <w:r>
        <w:rPr>
          <w:spacing w:val="-2"/>
        </w:rPr>
        <w:t xml:space="preserve"> existence </w:t>
      </w:r>
      <w:r>
        <w:rPr>
          <w:spacing w:val="-1"/>
        </w:rPr>
        <w:t>immediately</w:t>
      </w:r>
      <w:r>
        <w:rPr>
          <w:spacing w:val="28"/>
        </w:rPr>
        <w:t xml:space="preserve"> </w:t>
      </w:r>
      <w:r>
        <w:rPr>
          <w:spacing w:val="-1"/>
        </w:rPr>
        <w:t>before the commencement;</w:t>
      </w:r>
    </w:p>
    <w:p w14:paraId="3067F1C4" w14:textId="77777777" w:rsidR="000D7F85" w:rsidRDefault="000D7F85" w:rsidP="000D7F85">
      <w:pPr>
        <w:pStyle w:val="Apara"/>
        <w:rPr>
          <w:spacing w:val="-1"/>
        </w:rPr>
      </w:pPr>
      <w:r>
        <w:rPr>
          <w:spacing w:val="-1"/>
        </w:rPr>
        <w:tab/>
        <w:t>(b)</w:t>
      </w:r>
      <w:r>
        <w:rPr>
          <w:spacing w:val="-1"/>
        </w:rPr>
        <w:tab/>
        <w:t>the</w:t>
      </w:r>
      <w:r>
        <w:rPr>
          <w:spacing w:val="10"/>
        </w:rPr>
        <w:t xml:space="preserve"> </w:t>
      </w:r>
      <w:r>
        <w:rPr>
          <w:spacing w:val="-1"/>
        </w:rPr>
        <w:t>areas</w:t>
      </w:r>
      <w:r>
        <w:rPr>
          <w:spacing w:val="10"/>
        </w:rPr>
        <w:t xml:space="preserve"> </w:t>
      </w:r>
      <w:r>
        <w:rPr>
          <w:spacing w:val="-1"/>
        </w:rPr>
        <w:t>or</w:t>
      </w:r>
      <w:r>
        <w:rPr>
          <w:spacing w:val="10"/>
        </w:rPr>
        <w:t xml:space="preserve"> </w:t>
      </w:r>
      <w:r>
        <w:rPr>
          <w:spacing w:val="-1"/>
        </w:rPr>
        <w:t>routes</w:t>
      </w:r>
      <w:r>
        <w:rPr>
          <w:spacing w:val="10"/>
        </w:rPr>
        <w:t xml:space="preserve"> </w:t>
      </w:r>
      <w:r>
        <w:rPr>
          <w:spacing w:val="-2"/>
        </w:rPr>
        <w:t>shown</w:t>
      </w:r>
      <w:r>
        <w:rPr>
          <w:spacing w:val="10"/>
        </w:rPr>
        <w:t xml:space="preserve"> </w:t>
      </w:r>
      <w:r>
        <w:rPr>
          <w:spacing w:val="-1"/>
        </w:rPr>
        <w:t>on</w:t>
      </w:r>
      <w:r>
        <w:rPr>
          <w:spacing w:val="10"/>
        </w:rPr>
        <w:t xml:space="preserve"> </w:t>
      </w:r>
      <w:r>
        <w:rPr>
          <w:spacing w:val="-1"/>
        </w:rPr>
        <w:t>the</w:t>
      </w:r>
      <w:r>
        <w:rPr>
          <w:spacing w:val="10"/>
        </w:rPr>
        <w:t xml:space="preserve"> </w:t>
      </w:r>
      <w:r>
        <w:rPr>
          <w:spacing w:val="-1"/>
        </w:rPr>
        <w:t>stated</w:t>
      </w:r>
      <w:r>
        <w:rPr>
          <w:spacing w:val="10"/>
        </w:rPr>
        <w:t xml:space="preserve"> </w:t>
      </w:r>
      <w:r>
        <w:rPr>
          <w:spacing w:val="-1"/>
        </w:rPr>
        <w:t>map</w:t>
      </w:r>
      <w:r>
        <w:rPr>
          <w:spacing w:val="28"/>
        </w:rPr>
        <w:t xml:space="preserve"> </w:t>
      </w:r>
      <w:r>
        <w:rPr>
          <w:spacing w:val="-1"/>
        </w:rPr>
        <w:t>immediately before the commencement;</w:t>
      </w:r>
    </w:p>
    <w:p w14:paraId="1EB2BEDA" w14:textId="77777777" w:rsidR="000D7F85" w:rsidRDefault="000D7F85" w:rsidP="000D7F85">
      <w:pPr>
        <w:pStyle w:val="Apara"/>
      </w:pPr>
      <w:r>
        <w:rPr>
          <w:spacing w:val="-1"/>
        </w:rPr>
        <w:tab/>
        <w:t>(c)</w:t>
      </w:r>
      <w:r>
        <w:rPr>
          <w:spacing w:val="-1"/>
        </w:rPr>
        <w:tab/>
      </w:r>
      <w:r>
        <w:t>a</w:t>
      </w:r>
      <w:r>
        <w:rPr>
          <w:spacing w:val="22"/>
        </w:rPr>
        <w:t xml:space="preserve"> </w:t>
      </w:r>
      <w:r>
        <w:rPr>
          <w:spacing w:val="-1"/>
        </w:rPr>
        <w:t>list</w:t>
      </w:r>
      <w:r>
        <w:rPr>
          <w:spacing w:val="22"/>
        </w:rPr>
        <w:t xml:space="preserve"> </w:t>
      </w:r>
      <w:r>
        <w:rPr>
          <w:spacing w:val="-1"/>
        </w:rPr>
        <w:t>of</w:t>
      </w:r>
      <w:r>
        <w:rPr>
          <w:spacing w:val="22"/>
        </w:rPr>
        <w:t xml:space="preserve"> </w:t>
      </w:r>
      <w:r>
        <w:rPr>
          <w:spacing w:val="-1"/>
        </w:rPr>
        <w:t>areas</w:t>
      </w:r>
      <w:r>
        <w:rPr>
          <w:spacing w:val="22"/>
        </w:rPr>
        <w:t xml:space="preserve"> </w:t>
      </w:r>
      <w:r>
        <w:rPr>
          <w:spacing w:val="-1"/>
        </w:rPr>
        <w:t>or</w:t>
      </w:r>
      <w:r>
        <w:rPr>
          <w:spacing w:val="22"/>
        </w:rPr>
        <w:t xml:space="preserve"> </w:t>
      </w:r>
      <w:r>
        <w:rPr>
          <w:spacing w:val="-1"/>
        </w:rPr>
        <w:t>routes</w:t>
      </w:r>
      <w:r>
        <w:rPr>
          <w:spacing w:val="21"/>
        </w:rPr>
        <w:t xml:space="preserve"> </w:t>
      </w:r>
      <w:r>
        <w:rPr>
          <w:spacing w:val="-1"/>
        </w:rPr>
        <w:t>applied,</w:t>
      </w:r>
      <w:r>
        <w:rPr>
          <w:spacing w:val="21"/>
        </w:rPr>
        <w:t xml:space="preserve"> </w:t>
      </w:r>
      <w:r>
        <w:rPr>
          <w:spacing w:val="-1"/>
        </w:rPr>
        <w:t>adopted</w:t>
      </w:r>
      <w:r>
        <w:rPr>
          <w:spacing w:val="21"/>
        </w:rPr>
        <w:t xml:space="preserve"> </w:t>
      </w:r>
      <w:r>
        <w:rPr>
          <w:spacing w:val="-1"/>
        </w:rPr>
        <w:t>or</w:t>
      </w:r>
      <w:r>
        <w:rPr>
          <w:spacing w:val="27"/>
        </w:rPr>
        <w:t xml:space="preserve"> </w:t>
      </w:r>
      <w:r>
        <w:rPr>
          <w:spacing w:val="-1"/>
        </w:rPr>
        <w:t>incorporated</w:t>
      </w:r>
      <w:r>
        <w:rPr>
          <w:spacing w:val="10"/>
        </w:rPr>
        <w:t xml:space="preserve"> </w:t>
      </w:r>
      <w:r>
        <w:rPr>
          <w:spacing w:val="-1"/>
        </w:rPr>
        <w:t>under</w:t>
      </w:r>
      <w:r>
        <w:rPr>
          <w:spacing w:val="10"/>
        </w:rPr>
        <w:t xml:space="preserve"> </w:t>
      </w:r>
      <w:r>
        <w:rPr>
          <w:spacing w:val="-1"/>
        </w:rPr>
        <w:t>Schedule</w:t>
      </w:r>
      <w:r>
        <w:rPr>
          <w:spacing w:val="10"/>
        </w:rPr>
        <w:t xml:space="preserve"> </w:t>
      </w:r>
      <w:r>
        <w:rPr>
          <w:spacing w:val="-1"/>
        </w:rPr>
        <w:t>1,</w:t>
      </w:r>
      <w:r>
        <w:rPr>
          <w:spacing w:val="10"/>
        </w:rPr>
        <w:t xml:space="preserve"> </w:t>
      </w:r>
      <w:r>
        <w:rPr>
          <w:spacing w:val="-1"/>
        </w:rPr>
        <w:t>section</w:t>
      </w:r>
      <w:r>
        <w:rPr>
          <w:spacing w:val="24"/>
        </w:rPr>
        <w:t xml:space="preserve"> </w:t>
      </w:r>
      <w:r>
        <w:rPr>
          <w:spacing w:val="-1"/>
        </w:rPr>
        <w:t>24(1)</w:t>
      </w:r>
      <w:r>
        <w:rPr>
          <w:spacing w:val="7"/>
        </w:rPr>
        <w:t xml:space="preserve"> </w:t>
      </w:r>
      <w:r>
        <w:rPr>
          <w:spacing w:val="-1"/>
        </w:rPr>
        <w:t>in</w:t>
      </w:r>
      <w:r>
        <w:rPr>
          <w:spacing w:val="7"/>
        </w:rPr>
        <w:t xml:space="preserve"> </w:t>
      </w:r>
      <w:r>
        <w:t>a</w:t>
      </w:r>
      <w:r>
        <w:rPr>
          <w:spacing w:val="7"/>
        </w:rPr>
        <w:t xml:space="preserve"> </w:t>
      </w:r>
      <w:r>
        <w:rPr>
          <w:spacing w:val="-1"/>
        </w:rPr>
        <w:t>mass</w:t>
      </w:r>
      <w:r>
        <w:rPr>
          <w:spacing w:val="7"/>
        </w:rPr>
        <w:t xml:space="preserve"> </w:t>
      </w:r>
      <w:r>
        <w:rPr>
          <w:spacing w:val="-1"/>
        </w:rPr>
        <w:t>or</w:t>
      </w:r>
      <w:r>
        <w:rPr>
          <w:spacing w:val="7"/>
        </w:rPr>
        <w:t xml:space="preserve"> </w:t>
      </w:r>
      <w:r>
        <w:rPr>
          <w:spacing w:val="-1"/>
        </w:rPr>
        <w:t>dimension</w:t>
      </w:r>
      <w:r>
        <w:rPr>
          <w:spacing w:val="7"/>
        </w:rPr>
        <w:t xml:space="preserve"> </w:t>
      </w:r>
      <w:r>
        <w:rPr>
          <w:spacing w:val="-2"/>
        </w:rPr>
        <w:t>exemption</w:t>
      </w:r>
      <w:r>
        <w:rPr>
          <w:spacing w:val="28"/>
        </w:rPr>
        <w:t xml:space="preserve"> </w:t>
      </w:r>
      <w:r>
        <w:rPr>
          <w:spacing w:val="-1"/>
        </w:rPr>
        <w:t>(notice)</w:t>
      </w:r>
      <w:r>
        <w:rPr>
          <w:spacing w:val="6"/>
        </w:rPr>
        <w:t xml:space="preserve"> </w:t>
      </w:r>
      <w:r>
        <w:t>in</w:t>
      </w:r>
      <w:r>
        <w:rPr>
          <w:spacing w:val="6"/>
        </w:rPr>
        <w:t xml:space="preserve"> </w:t>
      </w:r>
      <w:r>
        <w:rPr>
          <w:spacing w:val="-1"/>
        </w:rPr>
        <w:t>existence</w:t>
      </w:r>
      <w:r>
        <w:rPr>
          <w:spacing w:val="6"/>
        </w:rPr>
        <w:t xml:space="preserve"> </w:t>
      </w:r>
      <w:r>
        <w:rPr>
          <w:spacing w:val="-1"/>
        </w:rPr>
        <w:t>immediately</w:t>
      </w:r>
      <w:r>
        <w:rPr>
          <w:spacing w:val="6"/>
        </w:rPr>
        <w:t xml:space="preserve"> </w:t>
      </w:r>
      <w:r>
        <w:rPr>
          <w:spacing w:val="-1"/>
        </w:rPr>
        <w:t>before</w:t>
      </w:r>
      <w:r>
        <w:rPr>
          <w:spacing w:val="6"/>
        </w:rPr>
        <w:t xml:space="preserve"> </w:t>
      </w:r>
      <w:r>
        <w:t>the</w:t>
      </w:r>
      <w:r>
        <w:rPr>
          <w:spacing w:val="51"/>
        </w:rPr>
        <w:t xml:space="preserve"> </w:t>
      </w:r>
      <w:r>
        <w:t>commencement;</w:t>
      </w:r>
    </w:p>
    <w:p w14:paraId="4A507215" w14:textId="77777777" w:rsidR="000D7F85" w:rsidRDefault="000D7F85" w:rsidP="000D7F85">
      <w:pPr>
        <w:pStyle w:val="Apara"/>
        <w:rPr>
          <w:spacing w:val="-1"/>
        </w:rPr>
      </w:pPr>
      <w:r>
        <w:tab/>
        <w:t>(d)</w:t>
      </w:r>
      <w:r>
        <w:tab/>
      </w:r>
      <w:r>
        <w:rPr>
          <w:spacing w:val="-1"/>
        </w:rPr>
        <w:t>road</w:t>
      </w:r>
      <w:r>
        <w:rPr>
          <w:spacing w:val="35"/>
        </w:rPr>
        <w:t xml:space="preserve"> </w:t>
      </w:r>
      <w:r>
        <w:t>conditions</w:t>
      </w:r>
      <w:r>
        <w:rPr>
          <w:spacing w:val="35"/>
        </w:rPr>
        <w:t xml:space="preserve"> </w:t>
      </w:r>
      <w:r>
        <w:t>or</w:t>
      </w:r>
      <w:r>
        <w:rPr>
          <w:spacing w:val="35"/>
        </w:rPr>
        <w:t xml:space="preserve"> </w:t>
      </w:r>
      <w:r>
        <w:rPr>
          <w:spacing w:val="-2"/>
        </w:rPr>
        <w:t>travel</w:t>
      </w:r>
      <w:r>
        <w:rPr>
          <w:spacing w:val="35"/>
        </w:rPr>
        <w:t xml:space="preserve"> </w:t>
      </w:r>
      <w:r>
        <w:rPr>
          <w:spacing w:val="-1"/>
        </w:rPr>
        <w:t>conditions</w:t>
      </w:r>
      <w:r>
        <w:rPr>
          <w:spacing w:val="35"/>
        </w:rPr>
        <w:t xml:space="preserve"> </w:t>
      </w:r>
      <w:r>
        <w:rPr>
          <w:spacing w:val="-2"/>
        </w:rPr>
        <w:t>shown</w:t>
      </w:r>
      <w:r>
        <w:rPr>
          <w:spacing w:val="26"/>
        </w:rPr>
        <w:t xml:space="preserve"> </w:t>
      </w:r>
      <w:r>
        <w:rPr>
          <w:spacing w:val="-1"/>
        </w:rPr>
        <w:t>on</w:t>
      </w:r>
      <w:r>
        <w:rPr>
          <w:spacing w:val="58"/>
        </w:rPr>
        <w:t xml:space="preserve"> </w:t>
      </w:r>
      <w:r>
        <w:t>a</w:t>
      </w:r>
      <w:r>
        <w:rPr>
          <w:spacing w:val="58"/>
        </w:rPr>
        <w:t xml:space="preserve"> </w:t>
      </w:r>
      <w:r>
        <w:rPr>
          <w:spacing w:val="-1"/>
        </w:rPr>
        <w:t>stated</w:t>
      </w:r>
      <w:r>
        <w:rPr>
          <w:spacing w:val="58"/>
        </w:rPr>
        <w:t xml:space="preserve"> </w:t>
      </w:r>
      <w:r>
        <w:rPr>
          <w:spacing w:val="-1"/>
        </w:rPr>
        <w:t>map</w:t>
      </w:r>
      <w:r>
        <w:rPr>
          <w:spacing w:val="58"/>
        </w:rPr>
        <w:t xml:space="preserve"> </w:t>
      </w:r>
      <w:r>
        <w:rPr>
          <w:spacing w:val="-1"/>
        </w:rPr>
        <w:t>or</w:t>
      </w:r>
      <w:r>
        <w:rPr>
          <w:spacing w:val="58"/>
        </w:rPr>
        <w:t xml:space="preserve"> </w:t>
      </w:r>
      <w:r>
        <w:rPr>
          <w:spacing w:val="-1"/>
        </w:rPr>
        <w:t>list</w:t>
      </w:r>
      <w:r>
        <w:rPr>
          <w:spacing w:val="58"/>
        </w:rPr>
        <w:t xml:space="preserve"> </w:t>
      </w:r>
      <w:r>
        <w:rPr>
          <w:spacing w:val="-1"/>
        </w:rPr>
        <w:t>mentioned</w:t>
      </w:r>
      <w:r>
        <w:rPr>
          <w:spacing w:val="58"/>
        </w:rPr>
        <w:t xml:space="preserve"> </w:t>
      </w:r>
      <w:r>
        <w:rPr>
          <w:spacing w:val="-1"/>
        </w:rPr>
        <w:t>in</w:t>
      </w:r>
      <w:r>
        <w:rPr>
          <w:spacing w:val="26"/>
        </w:rPr>
        <w:t xml:space="preserve"> </w:t>
      </w:r>
      <w:r>
        <w:rPr>
          <w:spacing w:val="-1"/>
        </w:rPr>
        <w:t>paragraph (a) or (c).</w:t>
      </w:r>
    </w:p>
    <w:p w14:paraId="0B357503" w14:textId="77777777" w:rsidR="000D7F85" w:rsidRDefault="000D7F85" w:rsidP="000D7F85">
      <w:pPr>
        <w:pStyle w:val="Amain"/>
        <w:rPr>
          <w:spacing w:val="-1"/>
        </w:rPr>
      </w:pPr>
      <w:r>
        <w:tab/>
        <w:t>(2)</w:t>
      </w:r>
      <w:r>
        <w:tab/>
      </w:r>
      <w:r>
        <w:rPr>
          <w:spacing w:val="-1"/>
        </w:rPr>
        <w:t>The</w:t>
      </w:r>
      <w:r>
        <w:rPr>
          <w:spacing w:val="15"/>
        </w:rPr>
        <w:t xml:space="preserve"> </w:t>
      </w:r>
      <w:r>
        <w:t>stated</w:t>
      </w:r>
      <w:r>
        <w:rPr>
          <w:spacing w:val="15"/>
        </w:rPr>
        <w:t xml:space="preserve"> </w:t>
      </w:r>
      <w:r>
        <w:t>map</w:t>
      </w:r>
      <w:r>
        <w:rPr>
          <w:spacing w:val="15"/>
        </w:rPr>
        <w:t xml:space="preserve"> </w:t>
      </w:r>
      <w:r>
        <w:t>is</w:t>
      </w:r>
      <w:r>
        <w:rPr>
          <w:spacing w:val="15"/>
        </w:rPr>
        <w:t xml:space="preserve"> </w:t>
      </w:r>
      <w:r>
        <w:rPr>
          <w:spacing w:val="-1"/>
        </w:rPr>
        <w:t>taken</w:t>
      </w:r>
      <w:r>
        <w:rPr>
          <w:spacing w:val="16"/>
        </w:rPr>
        <w:t xml:space="preserve"> </w:t>
      </w:r>
      <w:r>
        <w:rPr>
          <w:spacing w:val="-1"/>
        </w:rPr>
        <w:t>to</w:t>
      </w:r>
      <w:r>
        <w:rPr>
          <w:spacing w:val="16"/>
        </w:rPr>
        <w:t xml:space="preserve"> </w:t>
      </w:r>
      <w:r>
        <w:rPr>
          <w:spacing w:val="-1"/>
        </w:rPr>
        <w:t>be</w:t>
      </w:r>
      <w:r>
        <w:rPr>
          <w:spacing w:val="16"/>
        </w:rPr>
        <w:t xml:space="preserve"> </w:t>
      </w:r>
      <w:r>
        <w:t>a</w:t>
      </w:r>
      <w:r>
        <w:rPr>
          <w:spacing w:val="16"/>
        </w:rPr>
        <w:t xml:space="preserve"> </w:t>
      </w:r>
      <w:r>
        <w:rPr>
          <w:spacing w:val="-1"/>
        </w:rPr>
        <w:t>stated</w:t>
      </w:r>
      <w:r>
        <w:rPr>
          <w:spacing w:val="16"/>
        </w:rPr>
        <w:t xml:space="preserve"> </w:t>
      </w:r>
      <w:r>
        <w:rPr>
          <w:spacing w:val="-1"/>
        </w:rPr>
        <w:t>map</w:t>
      </w:r>
      <w:r>
        <w:rPr>
          <w:spacing w:val="25"/>
        </w:rPr>
        <w:t xml:space="preserve"> </w:t>
      </w:r>
      <w:r>
        <w:rPr>
          <w:spacing w:val="-1"/>
        </w:rPr>
        <w:t>applied under amended section 119(2).</w:t>
      </w:r>
    </w:p>
    <w:p w14:paraId="1CD69E5A" w14:textId="77777777" w:rsidR="000D7F85" w:rsidRPr="008F661D" w:rsidRDefault="000D7F85" w:rsidP="000D7F85">
      <w:pPr>
        <w:pStyle w:val="Amain"/>
      </w:pPr>
      <w:r w:rsidRPr="008F661D">
        <w:tab/>
        <w:t>(3)</w:t>
      </w:r>
      <w:r w:rsidRPr="008F661D">
        <w:tab/>
        <w:t>The list of areas or routes is taken to be a stated list applied under amended section 119(2).</w:t>
      </w:r>
    </w:p>
    <w:p w14:paraId="7085A741" w14:textId="77777777" w:rsidR="000D7F85" w:rsidRPr="008F661D" w:rsidRDefault="000D7F85" w:rsidP="000D7F85">
      <w:pPr>
        <w:pStyle w:val="Amain"/>
      </w:pPr>
      <w:r w:rsidRPr="008F661D">
        <w:tab/>
        <w:t>(4)</w:t>
      </w:r>
      <w:r w:rsidRPr="008F661D">
        <w:tab/>
        <w:t>The road conditions or travel conditions are taken to be imposed under amended section 119(3).</w:t>
      </w:r>
    </w:p>
    <w:p w14:paraId="526E4A2B" w14:textId="77777777" w:rsidR="000D7F85" w:rsidRPr="008F661D" w:rsidRDefault="000D7F85" w:rsidP="000D7F85">
      <w:pPr>
        <w:pStyle w:val="Amain"/>
      </w:pPr>
      <w:r w:rsidRPr="008F661D">
        <w:lastRenderedPageBreak/>
        <w:tab/>
        <w:t>(5)</w:t>
      </w:r>
      <w:r w:rsidRPr="008F661D">
        <w:tab/>
        <w:t>The areas, routes, road conditions and travel conditions shown on the stated map mentioned in subsection (2) or stated list mentioned in subsection (3) may only be amended under amended section 119 and section 119A.</w:t>
      </w:r>
    </w:p>
    <w:p w14:paraId="6C2040A4" w14:textId="77777777" w:rsidR="000D7F85" w:rsidRPr="008F661D" w:rsidRDefault="000D7F85" w:rsidP="000D7F85">
      <w:pPr>
        <w:pStyle w:val="Amain"/>
      </w:pPr>
      <w:r w:rsidRPr="008F661D">
        <w:tab/>
        <w:t>(6)</w:t>
      </w:r>
      <w:r w:rsidRPr="008F661D">
        <w:tab/>
        <w:t>Subsections (7) to (10) apply to the following—</w:t>
      </w:r>
    </w:p>
    <w:p w14:paraId="2C5CB86F" w14:textId="77777777" w:rsidR="008F661D" w:rsidRPr="008F661D" w:rsidRDefault="008F661D" w:rsidP="008F661D">
      <w:pPr>
        <w:pStyle w:val="Apara"/>
      </w:pPr>
      <w:r w:rsidRPr="008F661D">
        <w:tab/>
        <w:t>(a)</w:t>
      </w:r>
      <w:r w:rsidRPr="008F661D">
        <w:tab/>
        <w:t>a stated map applied under unamended section 142(2) in a class 2 heavy vehicle authorisation (notice) in existence immediately before the commencement;</w:t>
      </w:r>
    </w:p>
    <w:p w14:paraId="7C1C40AE" w14:textId="77777777" w:rsidR="008F661D" w:rsidRPr="008F661D" w:rsidRDefault="008F661D" w:rsidP="008F661D">
      <w:pPr>
        <w:pStyle w:val="Apara"/>
      </w:pPr>
      <w:r w:rsidRPr="008F661D">
        <w:tab/>
        <w:t>(b)</w:t>
      </w:r>
      <w:r w:rsidRPr="008F661D">
        <w:tab/>
        <w:t>the areas or routes shown on the stated map immediately before the commencement;</w:t>
      </w:r>
    </w:p>
    <w:p w14:paraId="62EA428D" w14:textId="77777777" w:rsidR="008F661D" w:rsidRPr="008F661D" w:rsidRDefault="008F661D" w:rsidP="008F661D">
      <w:pPr>
        <w:pStyle w:val="Apara"/>
      </w:pPr>
      <w:r w:rsidRPr="008F661D">
        <w:tab/>
        <w:t>(c)</w:t>
      </w:r>
      <w:r w:rsidRPr="008F661D">
        <w:tab/>
        <w:t>a list of areas or routes applied, adopted or incorporated under Schedule 1, section 24(1) in a class 2 heavy vehicle authorisation (notice) in existence immediately before the commencement;</w:t>
      </w:r>
    </w:p>
    <w:p w14:paraId="5008186D" w14:textId="77777777" w:rsidR="008F661D" w:rsidRDefault="008F661D" w:rsidP="008F661D">
      <w:pPr>
        <w:pStyle w:val="Apara"/>
      </w:pPr>
      <w:r w:rsidRPr="008F661D">
        <w:tab/>
        <w:t>(d)</w:t>
      </w:r>
      <w:r w:rsidRPr="008F661D">
        <w:tab/>
        <w:t>road conditions or travel conditions shown on a stated map or list mentioned in paragraph (a) or (c).</w:t>
      </w:r>
    </w:p>
    <w:p w14:paraId="619DFB71" w14:textId="77777777" w:rsidR="00347A8F" w:rsidRPr="00347A8F" w:rsidRDefault="00347A8F" w:rsidP="00347A8F">
      <w:pPr>
        <w:pStyle w:val="Amain"/>
      </w:pPr>
      <w:r w:rsidRPr="00347A8F">
        <w:tab/>
        <w:t>(7)</w:t>
      </w:r>
      <w:r w:rsidRPr="00347A8F">
        <w:tab/>
        <w:t>The stated map is taken to be a stated map applied under amended section 142(2).</w:t>
      </w:r>
    </w:p>
    <w:p w14:paraId="04C402D5" w14:textId="77777777" w:rsidR="00347A8F" w:rsidRPr="00347A8F" w:rsidRDefault="00347A8F" w:rsidP="00347A8F">
      <w:pPr>
        <w:pStyle w:val="Amain"/>
      </w:pPr>
      <w:r w:rsidRPr="00347A8F">
        <w:tab/>
        <w:t>(8)</w:t>
      </w:r>
      <w:r w:rsidRPr="00347A8F">
        <w:tab/>
        <w:t>The list of areas or routes is taken to be a stated list applied under amended section 142(2).</w:t>
      </w:r>
    </w:p>
    <w:p w14:paraId="6EAD649E" w14:textId="77777777" w:rsidR="00347A8F" w:rsidRPr="00347A8F" w:rsidRDefault="00347A8F" w:rsidP="00347A8F">
      <w:pPr>
        <w:pStyle w:val="Amain"/>
      </w:pPr>
      <w:r w:rsidRPr="00347A8F">
        <w:tab/>
        <w:t>(9)</w:t>
      </w:r>
      <w:r w:rsidRPr="00347A8F">
        <w:tab/>
        <w:t>The road conditions or travel conditions are taken to be imposed under amended section 142(3).</w:t>
      </w:r>
    </w:p>
    <w:p w14:paraId="0CF9E6EE" w14:textId="77777777" w:rsidR="00347A8F" w:rsidRPr="00347A8F" w:rsidRDefault="00347A8F" w:rsidP="00347A8F">
      <w:pPr>
        <w:pStyle w:val="Amain"/>
      </w:pPr>
      <w:r w:rsidRPr="00347A8F">
        <w:tab/>
        <w:t>(10)</w:t>
      </w:r>
      <w:r w:rsidRPr="00347A8F">
        <w:tab/>
        <w:t>The areas, routes, road conditions and travel conditions shown on the stated map mentioned in subsection (7) or the stated list mentioned in subsection (8) may only be amended under amended section 142 and section 142A.</w:t>
      </w:r>
    </w:p>
    <w:p w14:paraId="6A1CF0BB" w14:textId="77777777" w:rsidR="00347A8F" w:rsidRPr="00347A8F" w:rsidRDefault="00347A8F" w:rsidP="006E6789">
      <w:pPr>
        <w:pStyle w:val="Amain"/>
      </w:pPr>
      <w:r w:rsidRPr="00347A8F">
        <w:tab/>
        <w:t>(11)</w:t>
      </w:r>
      <w:r w:rsidRPr="00347A8F">
        <w:tab/>
        <w:t>In this section—</w:t>
      </w:r>
    </w:p>
    <w:p w14:paraId="734C1F94" w14:textId="77777777" w:rsidR="00347A8F" w:rsidRPr="00D01697" w:rsidRDefault="00347A8F" w:rsidP="00347A8F">
      <w:pPr>
        <w:pStyle w:val="aDef"/>
      </w:pPr>
      <w:r w:rsidRPr="00D01697">
        <w:rPr>
          <w:rStyle w:val="charBoldItals"/>
        </w:rPr>
        <w:t>amended</w:t>
      </w:r>
      <w:r w:rsidRPr="00D01697">
        <w:t>, in relation to a section, means the section as amended by the amendment Act.</w:t>
      </w:r>
    </w:p>
    <w:p w14:paraId="4A647550" w14:textId="5A698DC4" w:rsidR="00347A8F" w:rsidRPr="00D01697" w:rsidRDefault="00347A8F" w:rsidP="00347A8F">
      <w:pPr>
        <w:pStyle w:val="aDef"/>
      </w:pPr>
      <w:r w:rsidRPr="00D01697">
        <w:rPr>
          <w:rStyle w:val="charBoldItals"/>
        </w:rPr>
        <w:lastRenderedPageBreak/>
        <w:t>amendment Act</w:t>
      </w:r>
      <w:r w:rsidRPr="00D01697">
        <w:t xml:space="preserve"> means the </w:t>
      </w:r>
      <w:hyperlink r:id="rId112" w:tooltip="Act 2015 No 12 (Qld)" w:history="1">
        <w:r w:rsidR="008A3183" w:rsidRPr="008A3183">
          <w:rPr>
            <w:rStyle w:val="charCitHyperlinkItal"/>
          </w:rPr>
          <w:t>Heavy Vehicle National Law Amendment Act 2015</w:t>
        </w:r>
      </w:hyperlink>
      <w:r w:rsidRPr="00D01697">
        <w:rPr>
          <w:rStyle w:val="charItals"/>
        </w:rPr>
        <w:t xml:space="preserve"> </w:t>
      </w:r>
      <w:r w:rsidRPr="00D01697">
        <w:t>(Queensland).</w:t>
      </w:r>
    </w:p>
    <w:p w14:paraId="0AF56458" w14:textId="77777777" w:rsidR="00347A8F" w:rsidRPr="00D01697" w:rsidRDefault="00347A8F" w:rsidP="00347A8F">
      <w:pPr>
        <w:pStyle w:val="aDef"/>
      </w:pPr>
      <w:r w:rsidRPr="00D01697">
        <w:rPr>
          <w:rStyle w:val="charBoldItals"/>
        </w:rPr>
        <w:t>commencement</w:t>
      </w:r>
      <w:r w:rsidRPr="00D01697">
        <w:t xml:space="preserve"> means—</w:t>
      </w:r>
    </w:p>
    <w:p w14:paraId="03173520" w14:textId="77777777" w:rsidR="00347A8F" w:rsidRPr="00D01697" w:rsidRDefault="003A7EFD" w:rsidP="003A7EFD">
      <w:pPr>
        <w:pStyle w:val="Apara"/>
      </w:pPr>
      <w:r w:rsidRPr="00D01697">
        <w:tab/>
        <w:t>(a)</w:t>
      </w:r>
      <w:r w:rsidRPr="00D01697">
        <w:tab/>
        <w:t>for the purposes of subsection (1)—the commencement of the amendment of section 119 under the amendment Act; or</w:t>
      </w:r>
    </w:p>
    <w:p w14:paraId="2C5DC619" w14:textId="77777777" w:rsidR="003A7EFD" w:rsidRPr="00D01697" w:rsidRDefault="003A7EFD" w:rsidP="003A7EFD">
      <w:pPr>
        <w:pStyle w:val="Apara"/>
      </w:pPr>
      <w:r w:rsidRPr="00D01697">
        <w:tab/>
        <w:t>(b)</w:t>
      </w:r>
      <w:r w:rsidRPr="00D01697">
        <w:tab/>
        <w:t>for the purposes of subsection (6)—the commencement of the amendment of section 142 under the amendment Act.</w:t>
      </w:r>
    </w:p>
    <w:p w14:paraId="24856CC7" w14:textId="77777777" w:rsidR="003A7EFD" w:rsidRPr="00D01697" w:rsidRDefault="003A7EFD" w:rsidP="003A7EFD">
      <w:pPr>
        <w:pStyle w:val="aDef"/>
      </w:pPr>
      <w:r w:rsidRPr="00D01697">
        <w:rPr>
          <w:rStyle w:val="charBoldItals"/>
        </w:rPr>
        <w:t>road conditions</w:t>
      </w:r>
      <w:r w:rsidRPr="00D01697">
        <w:t xml:space="preserve"> means road conditions required by the relevant road manager under section 160.</w:t>
      </w:r>
    </w:p>
    <w:p w14:paraId="2DAAC18C" w14:textId="77777777" w:rsidR="003A7EFD" w:rsidRPr="00D01697" w:rsidRDefault="003A7EFD" w:rsidP="003A7EFD">
      <w:pPr>
        <w:pStyle w:val="aDef"/>
      </w:pPr>
      <w:r w:rsidRPr="00D01697">
        <w:rPr>
          <w:rStyle w:val="charBoldItals"/>
        </w:rPr>
        <w:t>travel conditions</w:t>
      </w:r>
      <w:r w:rsidRPr="00D01697">
        <w:t xml:space="preserve"> means travel conditions required by the relevant road manager under section 161.</w:t>
      </w:r>
    </w:p>
    <w:p w14:paraId="0ACFD4A1" w14:textId="77777777" w:rsidR="003A7EFD" w:rsidRDefault="003A7EFD" w:rsidP="003A7EFD">
      <w:pPr>
        <w:pStyle w:val="aDef"/>
      </w:pPr>
      <w:r w:rsidRPr="00D01697">
        <w:rPr>
          <w:rStyle w:val="charBoldItals"/>
        </w:rPr>
        <w:t>unamended</w:t>
      </w:r>
      <w:r w:rsidRPr="00D01697">
        <w:t>, in relation to a section, means the section as it existed immediately before it was amended by the amendment Act.</w:t>
      </w:r>
    </w:p>
    <w:p w14:paraId="621CE3E0" w14:textId="77777777" w:rsidR="001B0B1C" w:rsidRPr="001B0B1C" w:rsidRDefault="001B0B1C" w:rsidP="001B0B1C">
      <w:pPr>
        <w:pStyle w:val="AH5Sec"/>
      </w:pPr>
      <w:bookmarkStart w:id="960" w:name="_Toc83626304"/>
      <w:r w:rsidRPr="005E03F7">
        <w:rPr>
          <w:rStyle w:val="CharSectNo"/>
        </w:rPr>
        <w:t>758</w:t>
      </w:r>
      <w:r>
        <w:tab/>
      </w:r>
      <w:r w:rsidRPr="001B0B1C">
        <w:t>Application of s 737 to a new penalty</w:t>
      </w:r>
      <w:bookmarkEnd w:id="960"/>
    </w:p>
    <w:p w14:paraId="095EFBD8" w14:textId="77777777" w:rsidR="001B0B1C" w:rsidRPr="00D5470C" w:rsidRDefault="001B0B1C" w:rsidP="001B0B1C">
      <w:pPr>
        <w:pStyle w:val="Amain"/>
      </w:pPr>
      <w:r w:rsidRPr="00D5470C">
        <w:tab/>
        <w:t>(1)</w:t>
      </w:r>
      <w:r w:rsidRPr="00D5470C">
        <w:tab/>
        <w:t>The repeal of an old penalty by the amendment Act repeals any increase, in force immediately before the repeal, in the amount of penalty applying under section 737.</w:t>
      </w:r>
    </w:p>
    <w:p w14:paraId="1BF03D6D" w14:textId="77777777" w:rsidR="001B0B1C" w:rsidRPr="00D5470C" w:rsidRDefault="001B0B1C" w:rsidP="001B0B1C">
      <w:pPr>
        <w:pStyle w:val="Amain"/>
      </w:pPr>
      <w:r w:rsidRPr="00D5470C">
        <w:tab/>
        <w:t>(2)</w:t>
      </w:r>
      <w:r w:rsidRPr="00D5470C">
        <w:tab/>
        <w:t>The enactment of a new penalty includes the enactment of an increase, to take effect immediately on the commencement of the new penalty, in the amount of penalty applying under section 737.</w:t>
      </w:r>
    </w:p>
    <w:p w14:paraId="6A713BA9" w14:textId="77777777" w:rsidR="001B0B1C" w:rsidRPr="00D5470C" w:rsidRDefault="001B0B1C" w:rsidP="001B0B1C">
      <w:pPr>
        <w:pStyle w:val="Amain"/>
      </w:pPr>
      <w:r w:rsidRPr="00D5470C">
        <w:tab/>
        <w:t>(3)</w:t>
      </w:r>
      <w:r w:rsidRPr="00D5470C">
        <w:tab/>
        <w:t>For the purpose of applying section 737 under subsection (2) to a new penalty, the amount of penalty applying under section 737 is to be calculated as if—</w:t>
      </w:r>
    </w:p>
    <w:p w14:paraId="150AC406" w14:textId="77777777" w:rsidR="001B0B1C" w:rsidRPr="00D5470C" w:rsidRDefault="001B0B1C" w:rsidP="001B0B1C">
      <w:pPr>
        <w:pStyle w:val="Apara"/>
      </w:pPr>
      <w:r w:rsidRPr="00D5470C">
        <w:tab/>
        <w:t>(a)</w:t>
      </w:r>
      <w:r w:rsidRPr="00D5470C">
        <w:tab/>
        <w:t>the new penalty had commenced before 1 July 2014; and</w:t>
      </w:r>
    </w:p>
    <w:p w14:paraId="590ED6CC" w14:textId="77777777" w:rsidR="001B0B1C" w:rsidRPr="00D5470C" w:rsidRDefault="001B0B1C" w:rsidP="001B0B1C">
      <w:pPr>
        <w:pStyle w:val="Apara"/>
      </w:pPr>
      <w:r w:rsidRPr="00D5470C">
        <w:tab/>
        <w:t>(b)</w:t>
      </w:r>
      <w:r w:rsidRPr="00D5470C">
        <w:tab/>
        <w:t>the amount of penalty applying h</w:t>
      </w:r>
      <w:r w:rsidR="006E6789">
        <w:t>ad been increased under section </w:t>
      </w:r>
      <w:r w:rsidRPr="00D5470C">
        <w:t>737(2) on 1 July 2014 and any later 1 July happening before the new penalty actually commences.</w:t>
      </w:r>
    </w:p>
    <w:p w14:paraId="295327ED" w14:textId="77777777" w:rsidR="001B0B1C" w:rsidRPr="00D5470C" w:rsidRDefault="001B0B1C" w:rsidP="001B0B1C">
      <w:pPr>
        <w:pStyle w:val="Amain"/>
      </w:pPr>
      <w:r w:rsidRPr="00D5470C">
        <w:lastRenderedPageBreak/>
        <w:tab/>
        <w:t>(4)</w:t>
      </w:r>
      <w:r w:rsidRPr="00D5470C">
        <w:tab/>
        <w:t>Before the commencement of the new penalties, the Regulator must publish on the Regulator’s website the amounts of each penalty applying under subsections (2) and (3) and under section 737 on the commencement of the new penalties.</w:t>
      </w:r>
    </w:p>
    <w:p w14:paraId="762F8470" w14:textId="77777777" w:rsidR="00D5470C" w:rsidRPr="00D5470C" w:rsidRDefault="00D5470C" w:rsidP="00D5470C">
      <w:pPr>
        <w:pStyle w:val="aNote"/>
      </w:pPr>
      <w:r w:rsidRPr="00D5470C">
        <w:rPr>
          <w:rStyle w:val="charItals"/>
        </w:rPr>
        <w:t>Note</w:t>
      </w:r>
      <w:r w:rsidRPr="00D5470C">
        <w:t>—</w:t>
      </w:r>
    </w:p>
    <w:p w14:paraId="17F8B89F" w14:textId="77777777" w:rsidR="00D5470C" w:rsidRPr="00D5470C" w:rsidRDefault="00D5470C" w:rsidP="00D5470C">
      <w:pPr>
        <w:pStyle w:val="aNoteTextss"/>
      </w:pPr>
      <w:r w:rsidRPr="00D5470C">
        <w:t>A list of all penalties to which section 737 applies must be published.</w:t>
      </w:r>
    </w:p>
    <w:p w14:paraId="3BCF7006" w14:textId="77777777" w:rsidR="00D5470C" w:rsidRPr="00D5470C" w:rsidRDefault="00D5470C" w:rsidP="001B0B1C">
      <w:pPr>
        <w:pStyle w:val="Amain"/>
      </w:pPr>
      <w:r w:rsidRPr="00D5470C">
        <w:tab/>
        <w:t>(5)</w:t>
      </w:r>
      <w:r w:rsidRPr="00D5470C">
        <w:tab/>
        <w:t>In this section—</w:t>
      </w:r>
    </w:p>
    <w:p w14:paraId="20095BDE" w14:textId="1E708800" w:rsidR="00D5470C" w:rsidRPr="00D5470C" w:rsidRDefault="00D5470C" w:rsidP="00D5470C">
      <w:pPr>
        <w:pStyle w:val="aDef"/>
      </w:pPr>
      <w:r w:rsidRPr="00D5470C">
        <w:rPr>
          <w:rStyle w:val="charBoldItals"/>
        </w:rPr>
        <w:t>amendment Act</w:t>
      </w:r>
      <w:r w:rsidRPr="00D5470C">
        <w:t xml:space="preserve"> means the </w:t>
      </w:r>
      <w:hyperlink r:id="rId113" w:tooltip="Act 2015 No 12 (Qld)" w:history="1">
        <w:r w:rsidRPr="008A3183">
          <w:rPr>
            <w:rStyle w:val="charCitHyperlinkItal"/>
          </w:rPr>
          <w:t>Heavy Vehicle National Law Amendment Act 2015</w:t>
        </w:r>
      </w:hyperlink>
      <w:r w:rsidRPr="00D5470C">
        <w:t xml:space="preserve"> (Queensland).</w:t>
      </w:r>
    </w:p>
    <w:p w14:paraId="22160447" w14:textId="77777777" w:rsidR="00D5470C" w:rsidRPr="00D5470C" w:rsidRDefault="00D5470C" w:rsidP="00D5470C">
      <w:pPr>
        <w:pStyle w:val="aDef"/>
      </w:pPr>
      <w:r w:rsidRPr="00D5470C">
        <w:rPr>
          <w:rStyle w:val="charBoldItals"/>
        </w:rPr>
        <w:t>old penalty</w:t>
      </w:r>
      <w:r w:rsidRPr="00D5470C">
        <w:t xml:space="preserve"> means a penalty amount stated in column 2 of the schedule to the amendment Act.</w:t>
      </w:r>
    </w:p>
    <w:p w14:paraId="41AEED36" w14:textId="77777777" w:rsidR="00D5470C" w:rsidRPr="00D5470C" w:rsidRDefault="00D5470C" w:rsidP="00D5470C">
      <w:pPr>
        <w:pStyle w:val="aDef"/>
      </w:pPr>
      <w:r w:rsidRPr="00D5470C">
        <w:rPr>
          <w:rStyle w:val="charBoldItals"/>
        </w:rPr>
        <w:t>new penalty</w:t>
      </w:r>
      <w:r w:rsidRPr="00D5470C">
        <w:t xml:space="preserve"> means a penalty amount stated—</w:t>
      </w:r>
    </w:p>
    <w:p w14:paraId="6ECF0D27" w14:textId="77777777" w:rsidR="00D5470C" w:rsidRPr="00D5470C" w:rsidRDefault="00D5470C" w:rsidP="00D5470C">
      <w:pPr>
        <w:pStyle w:val="aDefpara"/>
      </w:pPr>
      <w:r w:rsidRPr="00D5470C">
        <w:tab/>
        <w:t>(a)</w:t>
      </w:r>
      <w:r w:rsidRPr="00D5470C">
        <w:tab/>
        <w:t>in column 3 of the schedule to the amendment Act; or</w:t>
      </w:r>
    </w:p>
    <w:p w14:paraId="18387786" w14:textId="77777777" w:rsidR="00D5470C" w:rsidRPr="00D5470C" w:rsidRDefault="00D5470C" w:rsidP="00D5470C">
      <w:pPr>
        <w:pStyle w:val="aDefpara"/>
      </w:pPr>
      <w:r w:rsidRPr="00D5470C">
        <w:tab/>
        <w:t>(b)</w:t>
      </w:r>
      <w:r w:rsidRPr="00D5470C">
        <w:tab/>
        <w:t>at the end of a provision for an offence inserted by the amendment Act into this Law.</w:t>
      </w:r>
    </w:p>
    <w:p w14:paraId="62C6D627" w14:textId="77777777" w:rsidR="004B6000" w:rsidRDefault="004B6000">
      <w:pPr>
        <w:pStyle w:val="02Text"/>
        <w:sectPr w:rsidR="004B6000" w:rsidSect="007A5E5F">
          <w:headerReference w:type="even" r:id="rId114"/>
          <w:headerReference w:type="default" r:id="rId115"/>
          <w:footerReference w:type="even" r:id="rId116"/>
          <w:footerReference w:type="default" r:id="rId117"/>
          <w:footerReference w:type="first" r:id="rId118"/>
          <w:pgSz w:w="11907" w:h="16839" w:code="9"/>
          <w:pgMar w:top="3880" w:right="1900" w:bottom="3100" w:left="2300" w:header="1920" w:footer="1760" w:gutter="0"/>
          <w:cols w:space="720"/>
          <w:docGrid w:linePitch="254"/>
        </w:sectPr>
      </w:pPr>
      <w:bookmarkStart w:id="961" w:name="_Toc83626305"/>
    </w:p>
    <w:p w14:paraId="5193DEED" w14:textId="77777777" w:rsidR="00346451" w:rsidRPr="005E03F7" w:rsidRDefault="00346451" w:rsidP="00346451">
      <w:pPr>
        <w:pStyle w:val="AH2Part"/>
      </w:pPr>
      <w:r w:rsidRPr="005E03F7">
        <w:rPr>
          <w:rStyle w:val="CharPartNo"/>
        </w:rPr>
        <w:lastRenderedPageBreak/>
        <w:t>Part 14.4</w:t>
      </w:r>
      <w:r>
        <w:rPr>
          <w:lang w:val="en" w:eastAsia="en-AU"/>
        </w:rPr>
        <w:tab/>
      </w:r>
      <w:r w:rsidRPr="005E03F7">
        <w:rPr>
          <w:rStyle w:val="CharPartText"/>
        </w:rPr>
        <w:t>Heavy Vehicle National Law and Other Legislation Amendment Act 2016 (Queensland)</w:t>
      </w:r>
      <w:bookmarkEnd w:id="961"/>
    </w:p>
    <w:p w14:paraId="30DC0849" w14:textId="77777777" w:rsidR="00346451" w:rsidRPr="00346451" w:rsidRDefault="00346451" w:rsidP="00346451">
      <w:pPr>
        <w:pStyle w:val="AH5Sec"/>
        <w:rPr>
          <w:lang w:val="en" w:eastAsia="en-AU"/>
        </w:rPr>
      </w:pPr>
      <w:bookmarkStart w:id="962" w:name="_Toc83626306"/>
      <w:r w:rsidRPr="005E03F7">
        <w:rPr>
          <w:rStyle w:val="CharSectNo"/>
        </w:rPr>
        <w:t>759</w:t>
      </w:r>
      <w:r>
        <w:tab/>
      </w:r>
      <w:r w:rsidRPr="00346451">
        <w:rPr>
          <w:lang w:val="en" w:eastAsia="en-AU"/>
        </w:rPr>
        <w:t>Application of s 737 to a new penalty</w:t>
      </w:r>
      <w:bookmarkEnd w:id="962"/>
    </w:p>
    <w:p w14:paraId="0436985D" w14:textId="77777777" w:rsidR="00346451" w:rsidRPr="00346451" w:rsidRDefault="00346451" w:rsidP="00346451">
      <w:pPr>
        <w:pStyle w:val="Amain"/>
        <w:rPr>
          <w:lang w:val="en" w:eastAsia="en-AU"/>
        </w:rPr>
      </w:pPr>
      <w:r>
        <w:rPr>
          <w:lang w:val="en" w:eastAsia="en-AU"/>
        </w:rPr>
        <w:tab/>
      </w:r>
      <w:r w:rsidRPr="00346451">
        <w:rPr>
          <w:lang w:val="en" w:eastAsia="en-AU"/>
        </w:rPr>
        <w:t>(1)</w:t>
      </w:r>
      <w:r>
        <w:rPr>
          <w:lang w:val="en" w:eastAsia="en-AU"/>
        </w:rPr>
        <w:tab/>
      </w:r>
      <w:r w:rsidRPr="00346451">
        <w:rPr>
          <w:lang w:val="en" w:eastAsia="en-AU"/>
        </w:rPr>
        <w:t>The enactment of a new penalty includes the enactment of an increase in the amount of penalty applying under section 737, to take effect when the new penalty commences.</w:t>
      </w:r>
    </w:p>
    <w:p w14:paraId="3D7FD1F8" w14:textId="77777777" w:rsidR="00346451" w:rsidRPr="00346451" w:rsidRDefault="00346451" w:rsidP="00346451">
      <w:pPr>
        <w:pStyle w:val="Amain"/>
        <w:rPr>
          <w:lang w:val="en" w:eastAsia="en-AU"/>
        </w:rPr>
      </w:pPr>
      <w:r>
        <w:rPr>
          <w:lang w:val="en" w:eastAsia="en-AU"/>
        </w:rPr>
        <w:tab/>
      </w:r>
      <w:r w:rsidRPr="00346451">
        <w:rPr>
          <w:lang w:val="en" w:eastAsia="en-AU"/>
        </w:rPr>
        <w:t>(2)</w:t>
      </w:r>
      <w:r>
        <w:rPr>
          <w:lang w:val="en" w:eastAsia="en-AU"/>
        </w:rPr>
        <w:tab/>
      </w:r>
      <w:r w:rsidRPr="00346451">
        <w:rPr>
          <w:lang w:val="en" w:eastAsia="en-AU"/>
        </w:rPr>
        <w:t>For the purpose of applying section 737 under subsection (1) to a new penalty, the amount of penalty applying under section 737 is to be calculated as if—</w:t>
      </w:r>
    </w:p>
    <w:p w14:paraId="6BA6FB0C" w14:textId="77777777" w:rsidR="00346451" w:rsidRPr="00346451" w:rsidRDefault="00346451" w:rsidP="00346451">
      <w:pPr>
        <w:pStyle w:val="Apara"/>
        <w:rPr>
          <w:lang w:val="en" w:eastAsia="en-AU"/>
        </w:rPr>
      </w:pPr>
      <w:r>
        <w:rPr>
          <w:lang w:val="en" w:eastAsia="en-AU"/>
        </w:rPr>
        <w:tab/>
      </w:r>
      <w:r w:rsidRPr="00346451">
        <w:rPr>
          <w:lang w:val="en" w:eastAsia="en-AU"/>
        </w:rPr>
        <w:t>(a)</w:t>
      </w:r>
      <w:r>
        <w:rPr>
          <w:lang w:val="en" w:eastAsia="en-AU"/>
        </w:rPr>
        <w:tab/>
      </w:r>
      <w:r w:rsidRPr="00346451">
        <w:rPr>
          <w:lang w:val="en" w:eastAsia="en-AU"/>
        </w:rPr>
        <w:t>the new penalty had commenced before 1 July 2014; and</w:t>
      </w:r>
    </w:p>
    <w:p w14:paraId="7FF9E109" w14:textId="77777777" w:rsidR="00346451" w:rsidRPr="00346451" w:rsidRDefault="00346451" w:rsidP="00346451">
      <w:pPr>
        <w:pStyle w:val="Apara"/>
        <w:rPr>
          <w:lang w:val="en" w:eastAsia="en-AU"/>
        </w:rPr>
      </w:pPr>
      <w:r>
        <w:rPr>
          <w:lang w:val="en" w:eastAsia="en-AU"/>
        </w:rPr>
        <w:tab/>
      </w:r>
      <w:r w:rsidRPr="00346451">
        <w:rPr>
          <w:lang w:val="en" w:eastAsia="en-AU"/>
        </w:rPr>
        <w:t>(b)</w:t>
      </w:r>
      <w:r>
        <w:rPr>
          <w:lang w:val="en" w:eastAsia="en-AU"/>
        </w:rPr>
        <w:tab/>
      </w:r>
      <w:r w:rsidRPr="00346451">
        <w:rPr>
          <w:lang w:val="en" w:eastAsia="en-AU"/>
        </w:rPr>
        <w:t>the amount of penalty applying h</w:t>
      </w:r>
      <w:r w:rsidR="006E6789">
        <w:rPr>
          <w:lang w:val="en" w:eastAsia="en-AU"/>
        </w:rPr>
        <w:t>ad been increased under section </w:t>
      </w:r>
      <w:r w:rsidRPr="00346451">
        <w:rPr>
          <w:lang w:val="en" w:eastAsia="en-AU"/>
        </w:rPr>
        <w:t>737(2) on 1 July 2014 and any later 1 July happening before the new penalty actually commences.</w:t>
      </w:r>
    </w:p>
    <w:p w14:paraId="303B02D8" w14:textId="77777777" w:rsidR="00346451" w:rsidRPr="00346451" w:rsidRDefault="00346451" w:rsidP="00346451">
      <w:pPr>
        <w:pStyle w:val="Amain"/>
        <w:rPr>
          <w:lang w:val="en" w:eastAsia="en-AU"/>
        </w:rPr>
      </w:pPr>
      <w:r>
        <w:rPr>
          <w:lang w:val="en" w:eastAsia="en-AU"/>
        </w:rPr>
        <w:tab/>
      </w:r>
      <w:r w:rsidRPr="00346451">
        <w:rPr>
          <w:lang w:val="en" w:eastAsia="en-AU"/>
        </w:rPr>
        <w:t>(3)</w:t>
      </w:r>
      <w:r>
        <w:rPr>
          <w:lang w:val="en" w:eastAsia="en-AU"/>
        </w:rPr>
        <w:tab/>
      </w:r>
      <w:r w:rsidRPr="00346451">
        <w:rPr>
          <w:lang w:val="en" w:eastAsia="en-AU"/>
        </w:rPr>
        <w:t>In this section—</w:t>
      </w:r>
    </w:p>
    <w:p w14:paraId="62E8D396" w14:textId="5E1E1BC6" w:rsidR="00346451" w:rsidRPr="00346451" w:rsidRDefault="00346451" w:rsidP="00032034">
      <w:pPr>
        <w:pStyle w:val="aDef"/>
        <w:rPr>
          <w:lang w:val="en" w:eastAsia="en-AU"/>
        </w:rPr>
      </w:pPr>
      <w:r w:rsidRPr="00346451">
        <w:rPr>
          <w:b/>
          <w:bCs/>
          <w:i/>
          <w:iCs/>
          <w:lang w:val="en" w:eastAsia="en-AU"/>
        </w:rPr>
        <w:t>new penalty</w:t>
      </w:r>
      <w:r w:rsidRPr="00346451">
        <w:rPr>
          <w:lang w:val="en" w:eastAsia="en-AU"/>
        </w:rPr>
        <w:t xml:space="preserve"> means a penalty stated at the end of a provision enacted by the </w:t>
      </w:r>
      <w:hyperlink r:id="rId119" w:tooltip="Act 2016 No 65 (Qld)" w:history="1">
        <w:r w:rsidR="00032034" w:rsidRPr="00032034">
          <w:rPr>
            <w:rStyle w:val="charCitHyperlinkItal"/>
          </w:rPr>
          <w:t>Heavy Vehicle National Law and Other Legislation Amendment Act 2016</w:t>
        </w:r>
      </w:hyperlink>
      <w:r w:rsidRPr="00346451">
        <w:rPr>
          <w:lang w:val="en" w:eastAsia="en-AU"/>
        </w:rPr>
        <w:t xml:space="preserve"> (Queensland).</w:t>
      </w:r>
    </w:p>
    <w:p w14:paraId="63CA7BE9" w14:textId="77777777" w:rsidR="00982619" w:rsidRDefault="00982619" w:rsidP="00982619">
      <w:pPr>
        <w:pStyle w:val="02Text"/>
        <w:sectPr w:rsidR="00982619" w:rsidSect="006D21FE">
          <w:headerReference w:type="even" r:id="rId120"/>
          <w:headerReference w:type="default" r:id="rId121"/>
          <w:footerReference w:type="even" r:id="rId122"/>
          <w:footerReference w:type="default" r:id="rId123"/>
          <w:footerReference w:type="first" r:id="rId124"/>
          <w:pgSz w:w="11907" w:h="16839" w:code="9"/>
          <w:pgMar w:top="3878" w:right="1899" w:bottom="3101" w:left="2302" w:header="1797" w:footer="1758" w:gutter="0"/>
          <w:cols w:space="720"/>
          <w:docGrid w:linePitch="254"/>
        </w:sectPr>
      </w:pPr>
    </w:p>
    <w:p w14:paraId="381E7D0D" w14:textId="77777777" w:rsidR="004B6000" w:rsidRPr="004B6000" w:rsidRDefault="004B6000" w:rsidP="004B6000">
      <w:pPr>
        <w:pStyle w:val="PageBreak"/>
      </w:pPr>
      <w:bookmarkStart w:id="963" w:name="_Toc83626307"/>
      <w:r w:rsidRPr="004B6000">
        <w:br w:type="page"/>
      </w:r>
    </w:p>
    <w:p w14:paraId="30CA88BB" w14:textId="7F10872B" w:rsidR="00DB6E47" w:rsidRPr="005E03F7" w:rsidRDefault="00DB6E47" w:rsidP="00DB6E47">
      <w:pPr>
        <w:pStyle w:val="Sched-heading"/>
      </w:pPr>
      <w:r w:rsidRPr="005E03F7">
        <w:rPr>
          <w:rStyle w:val="CharChapNo"/>
        </w:rPr>
        <w:lastRenderedPageBreak/>
        <w:t>Schedule 1</w:t>
      </w:r>
      <w:r>
        <w:tab/>
      </w:r>
      <w:r w:rsidRPr="005E03F7">
        <w:rPr>
          <w:rStyle w:val="CharChapText"/>
        </w:rPr>
        <w:t>Miscellaneous provisions relating to interpretation</w:t>
      </w:r>
      <w:bookmarkEnd w:id="963"/>
    </w:p>
    <w:p w14:paraId="64EC3C02" w14:textId="77777777" w:rsidR="00DB6E47" w:rsidRPr="007E1F9A" w:rsidRDefault="00DB6E47" w:rsidP="00DB6E47">
      <w:pPr>
        <w:pStyle w:val="ref"/>
      </w:pPr>
      <w:r w:rsidRPr="007E1F9A">
        <w:t>section 10</w:t>
      </w:r>
    </w:p>
    <w:p w14:paraId="55C6FCE8" w14:textId="77777777" w:rsidR="00DB6E47" w:rsidRPr="005E03F7" w:rsidRDefault="00DB6E47" w:rsidP="00DB6E47">
      <w:pPr>
        <w:pStyle w:val="Sched-Part"/>
      </w:pPr>
      <w:bookmarkStart w:id="964" w:name="_Toc83626308"/>
      <w:r w:rsidRPr="005E03F7">
        <w:rPr>
          <w:rStyle w:val="CharPartNo"/>
        </w:rPr>
        <w:t xml:space="preserve">Part 1 </w:t>
      </w:r>
      <w:r w:rsidRPr="00A95F9A">
        <w:tab/>
      </w:r>
      <w:r w:rsidRPr="005E03F7">
        <w:rPr>
          <w:rStyle w:val="CharPartText"/>
        </w:rPr>
        <w:t>Preliminary</w:t>
      </w:r>
      <w:bookmarkEnd w:id="964"/>
    </w:p>
    <w:p w14:paraId="4DE12480" w14:textId="77777777" w:rsidR="00DB6E47" w:rsidRPr="007E1F9A" w:rsidRDefault="00DB6E47" w:rsidP="00DB6E47">
      <w:pPr>
        <w:pStyle w:val="Schclauseheading"/>
      </w:pPr>
      <w:bookmarkStart w:id="965" w:name="_Toc83626309"/>
      <w:r w:rsidRPr="005E03F7">
        <w:rPr>
          <w:rStyle w:val="CharSectNo"/>
        </w:rPr>
        <w:t>1</w:t>
      </w:r>
      <w:r w:rsidRPr="007E1F9A">
        <w:tab/>
        <w:t>Displacement of Schedule by contrary intention</w:t>
      </w:r>
      <w:bookmarkEnd w:id="965"/>
    </w:p>
    <w:p w14:paraId="514222A2" w14:textId="77777777" w:rsidR="00DB6E47" w:rsidRPr="006C3305" w:rsidRDefault="00DB6E47" w:rsidP="00DB6E47">
      <w:pPr>
        <w:pStyle w:val="Amainreturn"/>
      </w:pPr>
      <w:r w:rsidRPr="006C3305">
        <w:t>The application of this Schedule may be displaced, wholly or partly, by a contrary intention appearing in this Law.</w:t>
      </w:r>
    </w:p>
    <w:p w14:paraId="71377C69" w14:textId="77777777" w:rsidR="00124806" w:rsidRPr="00124806" w:rsidRDefault="00124806" w:rsidP="00124806">
      <w:pPr>
        <w:pStyle w:val="PageBreak"/>
      </w:pPr>
      <w:r w:rsidRPr="00124806">
        <w:br w:type="page"/>
      </w:r>
    </w:p>
    <w:p w14:paraId="78ACC6FF" w14:textId="77777777" w:rsidR="00DB6E47" w:rsidRPr="005E03F7" w:rsidRDefault="00DB6E47" w:rsidP="00DB6E47">
      <w:pPr>
        <w:pStyle w:val="Sched-Part"/>
      </w:pPr>
      <w:bookmarkStart w:id="966" w:name="_Toc83626310"/>
      <w:r w:rsidRPr="005E03F7">
        <w:rPr>
          <w:rStyle w:val="CharPartNo"/>
        </w:rPr>
        <w:lastRenderedPageBreak/>
        <w:t xml:space="preserve">Part 2 </w:t>
      </w:r>
      <w:r w:rsidRPr="00A95F9A">
        <w:rPr>
          <w:rFonts w:ascii="Helvetica" w:hAnsi="Helvetica" w:cs="Helvetica"/>
          <w:szCs w:val="32"/>
        </w:rPr>
        <w:tab/>
      </w:r>
      <w:r w:rsidRPr="005E03F7">
        <w:rPr>
          <w:rStyle w:val="CharPartText"/>
          <w:rFonts w:ascii="Helvetica" w:hAnsi="Helvetica" w:cs="Helvetica"/>
          <w:szCs w:val="32"/>
        </w:rPr>
        <w:t>General</w:t>
      </w:r>
      <w:bookmarkEnd w:id="966"/>
    </w:p>
    <w:p w14:paraId="175B1269" w14:textId="77777777" w:rsidR="00DB6E47" w:rsidRPr="007E1F9A" w:rsidRDefault="00DB6E47" w:rsidP="00DB6E47">
      <w:pPr>
        <w:pStyle w:val="Schclauseheading"/>
      </w:pPr>
      <w:bookmarkStart w:id="967" w:name="_Toc83626311"/>
      <w:r w:rsidRPr="005E03F7">
        <w:rPr>
          <w:rStyle w:val="CharSectNo"/>
        </w:rPr>
        <w:t>2</w:t>
      </w:r>
      <w:r w:rsidRPr="007E1F9A">
        <w:tab/>
      </w:r>
      <w:r w:rsidRPr="007E1F9A">
        <w:rPr>
          <w:rFonts w:ascii="Helvetica" w:hAnsi="Helvetica" w:cs="Helvetica"/>
        </w:rPr>
        <w:t>Law to be construed not to exceed legislative power of Parliament</w:t>
      </w:r>
      <w:bookmarkEnd w:id="967"/>
    </w:p>
    <w:p w14:paraId="1BDDFDAB" w14:textId="77777777" w:rsidR="00DB6E47" w:rsidRPr="009451A4" w:rsidRDefault="00DB6E47" w:rsidP="00DB6E47">
      <w:pPr>
        <w:pStyle w:val="Amain"/>
      </w:pPr>
      <w:r w:rsidRPr="009451A4">
        <w:tab/>
        <w:t>(1)</w:t>
      </w:r>
      <w:r w:rsidRPr="009451A4">
        <w:tab/>
        <w:t>This Law is to be construed as operating to the full extent of, but so as not to exceed, the legislative power of the Parliament of this jurisdiction.</w:t>
      </w:r>
    </w:p>
    <w:p w14:paraId="2E595374" w14:textId="77777777" w:rsidR="00DB6E47" w:rsidRPr="009451A4" w:rsidRDefault="00DB6E47" w:rsidP="00DB6E47">
      <w:pPr>
        <w:pStyle w:val="Amain"/>
      </w:pPr>
      <w:r w:rsidRPr="009451A4">
        <w:tab/>
        <w:t>(2)</w:t>
      </w:r>
      <w:r w:rsidRPr="009451A4">
        <w:tab/>
        <w:t>If a provision of this Law, or the application of a provision of this Law to a person, subject matter or circumstance, would, but for the purposes of this section, be construed as being in excess of the legislative power of the Parliament of this jurisdiction—</w:t>
      </w:r>
    </w:p>
    <w:p w14:paraId="33E343CF" w14:textId="77777777" w:rsidR="00DB6E47" w:rsidRPr="00544ED5" w:rsidRDefault="00DB6E47" w:rsidP="00DB6E47">
      <w:pPr>
        <w:pStyle w:val="Apara"/>
      </w:pPr>
      <w:r w:rsidRPr="00544ED5">
        <w:tab/>
        <w:t>(a)</w:t>
      </w:r>
      <w:r w:rsidRPr="00544ED5">
        <w:tab/>
        <w:t>it is a valid provision to the extent to which it is not in excess of the power; and</w:t>
      </w:r>
    </w:p>
    <w:p w14:paraId="30AD3EA8" w14:textId="77777777" w:rsidR="00DB6E47" w:rsidRPr="00544ED5" w:rsidRDefault="00DB6E47" w:rsidP="00DB6E47">
      <w:pPr>
        <w:pStyle w:val="Apara"/>
      </w:pPr>
      <w:r w:rsidRPr="00544ED5">
        <w:tab/>
        <w:t>(b)</w:t>
      </w:r>
      <w:r w:rsidRPr="00544ED5">
        <w:tab/>
        <w:t>the remainder of this Law, and the application of the provision to other persons, subject matters or circumstances, is not affected.</w:t>
      </w:r>
    </w:p>
    <w:p w14:paraId="01498070" w14:textId="77777777" w:rsidR="00DB6E47" w:rsidRPr="009451A4" w:rsidRDefault="00DB6E47" w:rsidP="00DB6E47">
      <w:pPr>
        <w:pStyle w:val="Amain"/>
      </w:pPr>
      <w:r w:rsidRPr="009451A4">
        <w:tab/>
        <w:t>(3)</w:t>
      </w:r>
      <w:r w:rsidRPr="009451A4">
        <w:tab/>
        <w:t>This section applies to this Law in addition to, and without limiting the effect of, any provision of this Law.</w:t>
      </w:r>
    </w:p>
    <w:p w14:paraId="7BD0EE26" w14:textId="77777777" w:rsidR="00DB6E47" w:rsidRPr="007E1F9A" w:rsidRDefault="00DB6E47" w:rsidP="00DB6E47">
      <w:pPr>
        <w:pStyle w:val="Schclauseheading"/>
      </w:pPr>
      <w:bookmarkStart w:id="968" w:name="_Toc83626312"/>
      <w:r w:rsidRPr="005E03F7">
        <w:rPr>
          <w:rStyle w:val="CharSectNo"/>
        </w:rPr>
        <w:t>3</w:t>
      </w:r>
      <w:r w:rsidRPr="007E1F9A">
        <w:tab/>
      </w:r>
      <w:r w:rsidRPr="007E1F9A">
        <w:rPr>
          <w:rFonts w:ascii="Helvetica" w:hAnsi="Helvetica" w:cs="Helvetica"/>
        </w:rPr>
        <w:t>Every section to be a substantive enactment</w:t>
      </w:r>
      <w:bookmarkEnd w:id="968"/>
    </w:p>
    <w:p w14:paraId="194D211E" w14:textId="77777777" w:rsidR="00DB6E47" w:rsidRPr="009451A4" w:rsidRDefault="00DB6E47" w:rsidP="00DB6E47">
      <w:pPr>
        <w:pStyle w:val="Amainreturn"/>
      </w:pPr>
      <w:r w:rsidRPr="009451A4">
        <w:t>Every section of this Law has effect as a substantive enactment without introductory words.</w:t>
      </w:r>
    </w:p>
    <w:p w14:paraId="3EFC3DE9" w14:textId="77777777" w:rsidR="00DB6E47" w:rsidRPr="007E1F9A" w:rsidRDefault="00DB6E47" w:rsidP="00DB6E47">
      <w:pPr>
        <w:pStyle w:val="Schclauseheading"/>
      </w:pPr>
      <w:bookmarkStart w:id="969" w:name="_Toc83626313"/>
      <w:r w:rsidRPr="005E03F7">
        <w:rPr>
          <w:rStyle w:val="CharSectNo"/>
        </w:rPr>
        <w:t>4</w:t>
      </w:r>
      <w:r w:rsidRPr="007E1F9A">
        <w:tab/>
      </w:r>
      <w:r w:rsidRPr="007E1F9A">
        <w:rPr>
          <w:rFonts w:ascii="Helvetica" w:hAnsi="Helvetica" w:cs="Helvetica"/>
        </w:rPr>
        <w:t>Material that is, and is not, part of this Law</w:t>
      </w:r>
      <w:bookmarkEnd w:id="969"/>
    </w:p>
    <w:p w14:paraId="6DDFEE75" w14:textId="77777777" w:rsidR="00DB6E47" w:rsidRPr="009451A4" w:rsidRDefault="00DB6E47" w:rsidP="00DB6E47">
      <w:pPr>
        <w:pStyle w:val="Amain"/>
      </w:pPr>
      <w:r w:rsidRPr="009451A4">
        <w:tab/>
        <w:t>(1)</w:t>
      </w:r>
      <w:r w:rsidRPr="009451A4">
        <w:tab/>
        <w:t>The heading to a Chapter, Part, Division or Subdivision into which this Law is divided is part of this Law.</w:t>
      </w:r>
    </w:p>
    <w:p w14:paraId="42CBDE0A" w14:textId="77777777" w:rsidR="00DB6E47" w:rsidRPr="009451A4" w:rsidRDefault="00DB6E47" w:rsidP="00DB6E47">
      <w:pPr>
        <w:pStyle w:val="Amain"/>
      </w:pPr>
      <w:r w:rsidRPr="009451A4">
        <w:tab/>
        <w:t>(2)</w:t>
      </w:r>
      <w:r w:rsidRPr="009451A4">
        <w:tab/>
        <w:t>A Schedule to this Law is part of this Law.</w:t>
      </w:r>
    </w:p>
    <w:p w14:paraId="2211EFE4" w14:textId="77777777" w:rsidR="00DB6E47" w:rsidRPr="009451A4" w:rsidRDefault="00DB6E47" w:rsidP="00DB6E47">
      <w:pPr>
        <w:pStyle w:val="Amain"/>
      </w:pPr>
      <w:r w:rsidRPr="009451A4">
        <w:tab/>
        <w:t>(3)</w:t>
      </w:r>
      <w:r w:rsidRPr="009451A4">
        <w:tab/>
        <w:t>Punctuation in this Law is part of this Law.</w:t>
      </w:r>
    </w:p>
    <w:p w14:paraId="252CB188" w14:textId="77777777" w:rsidR="00DB6E47" w:rsidRPr="009451A4" w:rsidRDefault="00DB6E47" w:rsidP="00DB6E47">
      <w:pPr>
        <w:pStyle w:val="Amain"/>
      </w:pPr>
      <w:r w:rsidRPr="009451A4">
        <w:tab/>
        <w:t>(4)</w:t>
      </w:r>
      <w:r w:rsidRPr="009451A4">
        <w:tab/>
        <w:t>A heading to a section or subsection of this Law does not form part of this Law.</w:t>
      </w:r>
    </w:p>
    <w:p w14:paraId="3EA36E9F" w14:textId="77777777" w:rsidR="00DB6E47" w:rsidRPr="009451A4" w:rsidRDefault="00DB6E47" w:rsidP="00DB6E47">
      <w:pPr>
        <w:pStyle w:val="Amain"/>
      </w:pPr>
      <w:r w:rsidRPr="009451A4">
        <w:lastRenderedPageBreak/>
        <w:tab/>
        <w:t>(5)</w:t>
      </w:r>
      <w:r w:rsidRPr="009451A4">
        <w:tab/>
        <w:t>Notes included in this Law (including footnotes and endnotes) do not form part of this Law.</w:t>
      </w:r>
    </w:p>
    <w:p w14:paraId="1ED796CA" w14:textId="77777777" w:rsidR="00DB6E47" w:rsidRPr="007E1F9A" w:rsidRDefault="00DB6E47" w:rsidP="00DB6E47">
      <w:pPr>
        <w:pStyle w:val="Schclauseheading"/>
      </w:pPr>
      <w:bookmarkStart w:id="970" w:name="_Toc83626314"/>
      <w:r w:rsidRPr="005E03F7">
        <w:rPr>
          <w:rStyle w:val="CharSectNo"/>
        </w:rPr>
        <w:t>5</w:t>
      </w:r>
      <w:r w:rsidRPr="007E1F9A">
        <w:tab/>
      </w:r>
      <w:r w:rsidRPr="007E1F9A">
        <w:rPr>
          <w:rFonts w:ascii="Helvetica" w:hAnsi="Helvetica" w:cs="Helvetica"/>
        </w:rPr>
        <w:t>References to particular Acts and to enactments</w:t>
      </w:r>
      <w:bookmarkEnd w:id="970"/>
    </w:p>
    <w:p w14:paraId="4FC092BB" w14:textId="77777777" w:rsidR="00DB6E47" w:rsidRPr="009451A4" w:rsidRDefault="00DB6E47" w:rsidP="00DB6E47">
      <w:pPr>
        <w:pStyle w:val="Amainreturn"/>
      </w:pPr>
      <w:r w:rsidRPr="009451A4">
        <w:t>In this Law—</w:t>
      </w:r>
    </w:p>
    <w:p w14:paraId="29C9F77C" w14:textId="77777777" w:rsidR="00DB6E47" w:rsidRPr="00544ED5" w:rsidRDefault="00DB6E47" w:rsidP="00DB6E47">
      <w:pPr>
        <w:pStyle w:val="Apara"/>
      </w:pPr>
      <w:r w:rsidRPr="00544ED5">
        <w:tab/>
        <w:t>(a)</w:t>
      </w:r>
      <w:r w:rsidRPr="00544ED5">
        <w:tab/>
        <w:t>an Act of this jurisdiction may be cited—</w:t>
      </w:r>
    </w:p>
    <w:p w14:paraId="44282AEF" w14:textId="77777777" w:rsidR="00DB6E47" w:rsidRPr="00CC71DF" w:rsidRDefault="00DB6E47" w:rsidP="00DB6E47">
      <w:pPr>
        <w:pStyle w:val="Asubpara"/>
      </w:pPr>
      <w:r w:rsidRPr="00CC71DF">
        <w:tab/>
        <w:t>(i)</w:t>
      </w:r>
      <w:r w:rsidRPr="00CC71DF">
        <w:tab/>
        <w:t>by its short title; or</w:t>
      </w:r>
    </w:p>
    <w:p w14:paraId="5403F953" w14:textId="77777777" w:rsidR="00DB6E47" w:rsidRPr="00CC71DF" w:rsidRDefault="00DB6E47" w:rsidP="00DB6E47">
      <w:pPr>
        <w:pStyle w:val="Asubpara"/>
      </w:pPr>
      <w:r>
        <w:tab/>
      </w:r>
      <w:r w:rsidRPr="00CC71DF">
        <w:t>(ii)</w:t>
      </w:r>
      <w:r w:rsidRPr="00CC71DF">
        <w:tab/>
        <w:t>by reference to the year in which it was passed and its number; and</w:t>
      </w:r>
    </w:p>
    <w:p w14:paraId="3780D193" w14:textId="77777777" w:rsidR="00DB6E47" w:rsidRPr="00544ED5" w:rsidRDefault="00DB6E47" w:rsidP="00DB6E47">
      <w:pPr>
        <w:pStyle w:val="Apara"/>
      </w:pPr>
      <w:r w:rsidRPr="00544ED5">
        <w:tab/>
        <w:t>(b)</w:t>
      </w:r>
      <w:r w:rsidRPr="00544ED5">
        <w:tab/>
        <w:t xml:space="preserve"> Commonwealth Act may be cited—</w:t>
      </w:r>
    </w:p>
    <w:p w14:paraId="63F4C7DF" w14:textId="77777777" w:rsidR="00DB6E47" w:rsidRPr="00CC71DF" w:rsidRDefault="00DB6E47" w:rsidP="00DB6E47">
      <w:pPr>
        <w:pStyle w:val="Asubpara"/>
      </w:pPr>
      <w:r w:rsidRPr="00CC71DF">
        <w:tab/>
        <w:t>(i)</w:t>
      </w:r>
      <w:r>
        <w:tab/>
      </w:r>
      <w:r w:rsidRPr="00CC71DF">
        <w:t>by its short title; or</w:t>
      </w:r>
    </w:p>
    <w:p w14:paraId="40A49D30" w14:textId="77777777" w:rsidR="00DB6E47" w:rsidRPr="00CC71DF" w:rsidRDefault="00DB6E47" w:rsidP="00DB6E47">
      <w:pPr>
        <w:pStyle w:val="Asubpara"/>
      </w:pPr>
      <w:r w:rsidRPr="00CC71DF">
        <w:tab/>
        <w:t>(ii)</w:t>
      </w:r>
      <w:r>
        <w:tab/>
      </w:r>
      <w:r w:rsidRPr="00CC71DF">
        <w:t>in another way sufficient in a Commonwealth Act for the citation of such an Act;</w:t>
      </w:r>
    </w:p>
    <w:p w14:paraId="062F18DA" w14:textId="77777777" w:rsidR="00DB6E47" w:rsidRPr="009451A4" w:rsidRDefault="00DB6E47" w:rsidP="00DB6E47">
      <w:pPr>
        <w:pStyle w:val="Amainreturn"/>
      </w:pPr>
      <w:r w:rsidRPr="009451A4">
        <w:t>together with a reference to the Commonwealth; and</w:t>
      </w:r>
    </w:p>
    <w:p w14:paraId="57D91193" w14:textId="77777777" w:rsidR="00DB6E47" w:rsidRPr="00544ED5" w:rsidRDefault="00DB6E47" w:rsidP="00DB6E47">
      <w:pPr>
        <w:pStyle w:val="Apara"/>
      </w:pPr>
      <w:r w:rsidRPr="00544ED5">
        <w:tab/>
        <w:t>(c)</w:t>
      </w:r>
      <w:r w:rsidRPr="00544ED5">
        <w:tab/>
        <w:t>an Act of another jurisdiction may be cited—</w:t>
      </w:r>
    </w:p>
    <w:p w14:paraId="3D841EF3" w14:textId="77777777" w:rsidR="00DB6E47" w:rsidRPr="00CC71DF" w:rsidRDefault="00DB6E47" w:rsidP="00DB6E47">
      <w:pPr>
        <w:pStyle w:val="Asubpara"/>
      </w:pPr>
      <w:r w:rsidRPr="00CC71DF">
        <w:tab/>
        <w:t>(i)</w:t>
      </w:r>
      <w:r w:rsidRPr="00CC71DF">
        <w:tab/>
        <w:t>by its short title; or</w:t>
      </w:r>
    </w:p>
    <w:p w14:paraId="10A4355C" w14:textId="77777777" w:rsidR="00DB6E47" w:rsidRPr="00CC71DF" w:rsidRDefault="00DB6E47" w:rsidP="00DB6E47">
      <w:pPr>
        <w:pStyle w:val="Asubpara"/>
      </w:pPr>
      <w:r w:rsidRPr="00CC71DF">
        <w:tab/>
        <w:t>(ii)</w:t>
      </w:r>
      <w:r w:rsidRPr="00CC71DF">
        <w:tab/>
        <w:t>in another way sufficient in an Act of the jurisdiction for the citation of such an Act;</w:t>
      </w:r>
    </w:p>
    <w:p w14:paraId="069FBF2D" w14:textId="77777777" w:rsidR="00DB6E47" w:rsidRPr="009451A4" w:rsidRDefault="00DB6E47" w:rsidP="00DB6E47">
      <w:pPr>
        <w:pStyle w:val="Amainreturn"/>
      </w:pPr>
      <w:r w:rsidRPr="009451A4">
        <w:t>together with a reference to the jurisdiction.</w:t>
      </w:r>
    </w:p>
    <w:p w14:paraId="3975D007" w14:textId="77777777" w:rsidR="00DB6E47" w:rsidRPr="007E1F9A" w:rsidRDefault="00DB6E47" w:rsidP="00DB6E47">
      <w:pPr>
        <w:pStyle w:val="Schclauseheading"/>
      </w:pPr>
      <w:bookmarkStart w:id="971" w:name="_Toc83626315"/>
      <w:r w:rsidRPr="005E03F7">
        <w:rPr>
          <w:rStyle w:val="CharSectNo"/>
        </w:rPr>
        <w:t>6</w:t>
      </w:r>
      <w:r w:rsidRPr="007E1F9A">
        <w:tab/>
      </w:r>
      <w:r w:rsidRPr="007E1F9A">
        <w:rPr>
          <w:rFonts w:ascii="Helvetica" w:hAnsi="Helvetica" w:cs="Helvetica"/>
        </w:rPr>
        <w:t>References taken to be included in Law or Act citation etc.</w:t>
      </w:r>
      <w:bookmarkEnd w:id="971"/>
    </w:p>
    <w:p w14:paraId="77BA7C99" w14:textId="77777777" w:rsidR="00DB6E47" w:rsidRPr="009451A4" w:rsidRDefault="00DB6E47" w:rsidP="00DB6E47">
      <w:pPr>
        <w:pStyle w:val="Amain"/>
      </w:pPr>
      <w:r w:rsidRPr="009451A4">
        <w:tab/>
        <w:t>(1)</w:t>
      </w:r>
      <w:r w:rsidRPr="009451A4">
        <w:tab/>
        <w:t>A reference in this Law to this Law or an Act includes a reference to—</w:t>
      </w:r>
    </w:p>
    <w:p w14:paraId="484AF48A" w14:textId="77777777" w:rsidR="00DB6E47" w:rsidRPr="00544ED5" w:rsidRDefault="00DB6E47" w:rsidP="00DB6E47">
      <w:pPr>
        <w:pStyle w:val="Apara"/>
      </w:pPr>
      <w:r w:rsidRPr="00544ED5">
        <w:tab/>
        <w:t>(a)</w:t>
      </w:r>
      <w:r w:rsidRPr="00544ED5">
        <w:tab/>
        <w:t>this Law or the Act as originally enacted, and as amended from time to time since its original enactment; and</w:t>
      </w:r>
    </w:p>
    <w:p w14:paraId="7E942ED1" w14:textId="77777777" w:rsidR="00DB6E47" w:rsidRPr="00544ED5" w:rsidRDefault="00DB6E47" w:rsidP="00D940BC">
      <w:pPr>
        <w:pStyle w:val="Apara"/>
        <w:keepLines/>
      </w:pPr>
      <w:r w:rsidRPr="00544ED5">
        <w:lastRenderedPageBreak/>
        <w:tab/>
        <w:t>(b)</w:t>
      </w:r>
      <w:r w:rsidRPr="00544ED5">
        <w:tab/>
        <w:t>if this Law or the Act has been repealed and re-enacted (with or without modification) since the enactment of the reference—this Law or the Act as re-enacted, and as amended from time to time since its re-enactment.</w:t>
      </w:r>
    </w:p>
    <w:p w14:paraId="15D4FC38" w14:textId="77777777" w:rsidR="00DB6E47" w:rsidRPr="009451A4" w:rsidRDefault="00DB6E47" w:rsidP="00DB6E47">
      <w:pPr>
        <w:pStyle w:val="Amain"/>
      </w:pPr>
      <w:r w:rsidRPr="009451A4">
        <w:tab/>
        <w:t>(2)</w:t>
      </w:r>
      <w:r w:rsidRPr="009451A4">
        <w:tab/>
        <w:t>A reference in this Law to a provision of this Law or of an Act includes a reference to—</w:t>
      </w:r>
    </w:p>
    <w:p w14:paraId="26DCA03A" w14:textId="77777777" w:rsidR="00DB6E47" w:rsidRPr="00544ED5" w:rsidRDefault="00DB6E47" w:rsidP="00DB6E47">
      <w:pPr>
        <w:pStyle w:val="Apara"/>
      </w:pPr>
      <w:r w:rsidRPr="00544ED5">
        <w:tab/>
        <w:t>(a)</w:t>
      </w:r>
      <w:r w:rsidRPr="00544ED5">
        <w:tab/>
        <w:t>the provision as originally enacted, and as amended from time to time since its original enactment; and</w:t>
      </w:r>
    </w:p>
    <w:p w14:paraId="78FB872A" w14:textId="77777777" w:rsidR="00DB6E47" w:rsidRPr="00544ED5" w:rsidRDefault="00DB6E47" w:rsidP="00DB6E47">
      <w:pPr>
        <w:pStyle w:val="Apara"/>
      </w:pPr>
      <w:r w:rsidRPr="00544ED5">
        <w:tab/>
        <w:t>(b)</w:t>
      </w:r>
      <w:r w:rsidRPr="00544ED5">
        <w:tab/>
        <w:t>if the provision has been omitted and re-enacted (with or without modification) since the enactment of the reference—the provision as re-enacted, and as amended from time to time since its re-enactment.</w:t>
      </w:r>
    </w:p>
    <w:p w14:paraId="647D5C01" w14:textId="77777777" w:rsidR="00DB6E47" w:rsidRPr="009451A4" w:rsidRDefault="00121ABD" w:rsidP="00DB6E47">
      <w:pPr>
        <w:pStyle w:val="Amain"/>
      </w:pPr>
      <w:r>
        <w:tab/>
        <w:t>(3)</w:t>
      </w:r>
      <w:r>
        <w:tab/>
        <w:t xml:space="preserve">Subsections </w:t>
      </w:r>
      <w:r w:rsidR="00DB6E47" w:rsidRPr="009451A4">
        <w:t>(1)</w:t>
      </w:r>
      <w:r>
        <w:t xml:space="preserve"> and </w:t>
      </w:r>
      <w:r w:rsidR="00DB6E47" w:rsidRPr="009451A4">
        <w:t>(2)</w:t>
      </w:r>
      <w:r>
        <w:t xml:space="preserve"> </w:t>
      </w:r>
      <w:r w:rsidR="00DB6E47" w:rsidRPr="009451A4">
        <w:t>apply to a reference in this Law to a law of the Commonwealth or another jurisdiction as they apply to a reference in this Law to an Act and to a provision of an Act.</w:t>
      </w:r>
    </w:p>
    <w:p w14:paraId="383F750B" w14:textId="77777777" w:rsidR="00DB6E47" w:rsidRPr="007E1F9A" w:rsidRDefault="00DB6E47" w:rsidP="00DB6E47">
      <w:pPr>
        <w:pStyle w:val="Schclauseheading"/>
      </w:pPr>
      <w:bookmarkStart w:id="972" w:name="_Toc83626316"/>
      <w:r w:rsidRPr="005E03F7">
        <w:rPr>
          <w:rStyle w:val="CharSectNo"/>
        </w:rPr>
        <w:t>7</w:t>
      </w:r>
      <w:r w:rsidRPr="007E1F9A">
        <w:tab/>
      </w:r>
      <w:r w:rsidRPr="007E1F9A">
        <w:rPr>
          <w:rFonts w:ascii="Helvetica" w:hAnsi="Helvetica" w:cs="Helvetica"/>
        </w:rPr>
        <w:t>Interpretation best achieving Law’s purpose or object</w:t>
      </w:r>
      <w:bookmarkEnd w:id="972"/>
    </w:p>
    <w:p w14:paraId="757A094D" w14:textId="77777777" w:rsidR="00DB6E47" w:rsidRPr="009451A4" w:rsidRDefault="00DB6E47" w:rsidP="00DB6E47">
      <w:pPr>
        <w:pStyle w:val="Amain"/>
      </w:pPr>
      <w:r w:rsidRPr="009451A4">
        <w:tab/>
        <w:t>(1)</w:t>
      </w:r>
      <w:r w:rsidRPr="009451A4">
        <w:tab/>
        <w:t>In the interpretation of a provision of this Law, the interpretation that will best achieve the purpose or object of this Law is to be preferred to any other interpretation.</w:t>
      </w:r>
    </w:p>
    <w:p w14:paraId="65C3B4CC" w14:textId="77777777" w:rsidR="00DB6E47" w:rsidRPr="009451A4" w:rsidRDefault="00121ABD" w:rsidP="00DB6E47">
      <w:pPr>
        <w:pStyle w:val="Amain"/>
      </w:pPr>
      <w:r>
        <w:tab/>
        <w:t>(2)</w:t>
      </w:r>
      <w:r>
        <w:tab/>
        <w:t xml:space="preserve">Subsection </w:t>
      </w:r>
      <w:r w:rsidR="00DB6E47" w:rsidRPr="009451A4">
        <w:t>(1)</w:t>
      </w:r>
      <w:r>
        <w:t xml:space="preserve"> </w:t>
      </w:r>
      <w:r w:rsidR="00DB6E47" w:rsidRPr="009451A4">
        <w:t>applies whether or not the purpose or object is expressly stated in this Law.</w:t>
      </w:r>
    </w:p>
    <w:p w14:paraId="1FFBF09F" w14:textId="77777777" w:rsidR="00DB6E47" w:rsidRPr="007E1F9A" w:rsidRDefault="00DB6E47" w:rsidP="00DB6E47">
      <w:pPr>
        <w:pStyle w:val="Schclauseheading"/>
      </w:pPr>
      <w:bookmarkStart w:id="973" w:name="_Toc83626317"/>
      <w:r w:rsidRPr="005E03F7">
        <w:rPr>
          <w:rStyle w:val="CharSectNo"/>
        </w:rPr>
        <w:t>8</w:t>
      </w:r>
      <w:r w:rsidRPr="007E1F9A">
        <w:tab/>
      </w:r>
      <w:r w:rsidRPr="007E1F9A">
        <w:rPr>
          <w:rFonts w:ascii="Helvetica" w:hAnsi="Helvetica" w:cs="Helvetica"/>
        </w:rPr>
        <w:t>Use of extrinsic material in interpretation</w:t>
      </w:r>
      <w:bookmarkEnd w:id="973"/>
    </w:p>
    <w:p w14:paraId="1F4AB691" w14:textId="77777777" w:rsidR="00DB6E47" w:rsidRPr="009451A4" w:rsidRDefault="00DB6E47" w:rsidP="00DB6E47">
      <w:pPr>
        <w:pStyle w:val="Amain"/>
      </w:pPr>
      <w:r w:rsidRPr="009451A4">
        <w:tab/>
        <w:t>(1)</w:t>
      </w:r>
      <w:r w:rsidRPr="009451A4">
        <w:tab/>
        <w:t>In this section—</w:t>
      </w:r>
    </w:p>
    <w:p w14:paraId="104A9200" w14:textId="77777777" w:rsidR="00DB6E47" w:rsidRPr="00041046" w:rsidRDefault="00DB6E47" w:rsidP="00DB6E47">
      <w:pPr>
        <w:pStyle w:val="aDef"/>
        <w:rPr>
          <w:bCs/>
        </w:rPr>
      </w:pPr>
      <w:r w:rsidRPr="00041046">
        <w:rPr>
          <w:rStyle w:val="charBoldItals"/>
        </w:rPr>
        <w:t>extrinsic material</w:t>
      </w:r>
      <w:r w:rsidRPr="00041046">
        <w:t xml:space="preserve"> means relevant material not forming part of this Law, including, for example—</w:t>
      </w:r>
    </w:p>
    <w:p w14:paraId="17CFBBC1" w14:textId="77777777" w:rsidR="00DB6E47" w:rsidRPr="00F04D8E" w:rsidRDefault="00DB6E47" w:rsidP="00DB6E47">
      <w:pPr>
        <w:pStyle w:val="aDefpara"/>
      </w:pPr>
      <w:r w:rsidRPr="00F04D8E">
        <w:rPr>
          <w:rFonts w:cs="Times"/>
          <w:bCs/>
        </w:rPr>
        <w:tab/>
        <w:t>(a)</w:t>
      </w:r>
      <w:r w:rsidRPr="00F04D8E">
        <w:rPr>
          <w:rFonts w:cs="Times"/>
          <w:bCs/>
        </w:rPr>
        <w:tab/>
        <w:t>material that is set out in the document containing the text of this Law as printed by the Government Printer; and</w:t>
      </w:r>
    </w:p>
    <w:p w14:paraId="1762A5F8" w14:textId="77777777" w:rsidR="00DB6E47" w:rsidRPr="00F04D8E" w:rsidRDefault="00DB6E47" w:rsidP="00DB6E47">
      <w:pPr>
        <w:pStyle w:val="aDefpara"/>
      </w:pPr>
      <w:r w:rsidRPr="00F04D8E">
        <w:lastRenderedPageBreak/>
        <w:tab/>
        <w:t>(b)</w:t>
      </w:r>
      <w:r w:rsidRPr="00F04D8E">
        <w:tab/>
        <w:t>a relevant report of a Royal Commission, Law Reform Commission, commission or committee of inquiry, or a similar body, that was laid before the Parliament of this jurisdiction before the provision concerned was enacted; and</w:t>
      </w:r>
    </w:p>
    <w:p w14:paraId="3E85E02E" w14:textId="77777777" w:rsidR="00DB6E47" w:rsidRPr="00F04D8E" w:rsidRDefault="00DB6E47" w:rsidP="00DB6E47">
      <w:pPr>
        <w:pStyle w:val="aDefpara"/>
      </w:pPr>
      <w:r w:rsidRPr="00F04D8E">
        <w:tab/>
        <w:t>(c)</w:t>
      </w:r>
      <w:r w:rsidRPr="00F04D8E">
        <w:tab/>
        <w:t>a relevant report of a committee of the Parliament of this jurisdiction that was made to the Parliament before the provision was enacted; and</w:t>
      </w:r>
    </w:p>
    <w:p w14:paraId="30F60A52" w14:textId="77777777" w:rsidR="00DB6E47" w:rsidRPr="00F04D8E" w:rsidRDefault="00DB6E47" w:rsidP="00DB6E47">
      <w:pPr>
        <w:pStyle w:val="aDefpara"/>
      </w:pPr>
      <w:r w:rsidRPr="00F04D8E">
        <w:tab/>
        <w:t>(d)</w:t>
      </w:r>
      <w:r w:rsidRPr="00F04D8E">
        <w:tab/>
        <w:t>a treaty or other international agreement that is mentioned in this Law; and</w:t>
      </w:r>
    </w:p>
    <w:p w14:paraId="69F6BBCF" w14:textId="77777777" w:rsidR="00DB6E47" w:rsidRPr="00F04D8E" w:rsidRDefault="00DB6E47" w:rsidP="00DB6E47">
      <w:pPr>
        <w:pStyle w:val="aDefpara"/>
      </w:pPr>
      <w:r w:rsidRPr="00F04D8E">
        <w:tab/>
        <w:t>(e)</w:t>
      </w:r>
      <w:r w:rsidRPr="00F04D8E">
        <w:tab/>
        <w:t>an explanatory note or memorandum relating to the Bill that contained the provision, or any relevant document, that was laid before, or given to the members of, the Parliament of this jurisdiction by the member bringing in the Bill before the provision was enacted; and</w:t>
      </w:r>
    </w:p>
    <w:p w14:paraId="398FF41A" w14:textId="77777777" w:rsidR="00DB6E47" w:rsidRPr="00F04D8E" w:rsidRDefault="00DB6E47" w:rsidP="00DB6E47">
      <w:pPr>
        <w:pStyle w:val="aDefpara"/>
      </w:pPr>
      <w:r w:rsidRPr="00F04D8E">
        <w:tab/>
        <w:t>(f)</w:t>
      </w:r>
      <w:r w:rsidRPr="00F04D8E">
        <w:tab/>
        <w:t>the speech made to the Parliament of this jurisdiction by the member in moving a motion that the Bill be read a second time; and</w:t>
      </w:r>
    </w:p>
    <w:p w14:paraId="6294659B" w14:textId="77777777" w:rsidR="00DB6E47" w:rsidRPr="00F04D8E" w:rsidRDefault="00DB6E47" w:rsidP="00DB6E47">
      <w:pPr>
        <w:pStyle w:val="aDefpara"/>
      </w:pPr>
      <w:r w:rsidRPr="00F04D8E">
        <w:tab/>
        <w:t>(g)</w:t>
      </w:r>
      <w:r w:rsidRPr="00F04D8E">
        <w:tab/>
        <w:t>material in the Votes and Proceedings of the Parliament of this jurisdiction or in any official record of debates in the Parliament of this jurisdiction; and</w:t>
      </w:r>
    </w:p>
    <w:p w14:paraId="720AD52E" w14:textId="77777777" w:rsidR="00DB6E47" w:rsidRPr="00F04D8E" w:rsidRDefault="00DB6E47" w:rsidP="00DB6E47">
      <w:pPr>
        <w:pStyle w:val="aDefpara"/>
      </w:pPr>
      <w:r w:rsidRPr="00F04D8E">
        <w:tab/>
        <w:t>(h)</w:t>
      </w:r>
      <w:r w:rsidRPr="00F04D8E">
        <w:tab/>
        <w:t>a document that is declared by this Law to be a relevant document for the purposes of this section.</w:t>
      </w:r>
    </w:p>
    <w:p w14:paraId="24A138CE" w14:textId="77777777" w:rsidR="00DB6E47" w:rsidRPr="00041046" w:rsidRDefault="00DB6E47" w:rsidP="00DB6E47">
      <w:pPr>
        <w:pStyle w:val="aDef"/>
        <w:rPr>
          <w:bCs/>
        </w:rPr>
      </w:pPr>
      <w:r w:rsidRPr="00041046">
        <w:rPr>
          <w:rStyle w:val="charBoldItals"/>
        </w:rPr>
        <w:t xml:space="preserve">ordinary meaning </w:t>
      </w:r>
      <w:r w:rsidRPr="00041046">
        <w:t>means the ordinary meaning conveyed by a provision having regard to its context in this Law and to the purpose of this Law.</w:t>
      </w:r>
    </w:p>
    <w:p w14:paraId="580CEA4F" w14:textId="77777777" w:rsidR="00DB6E47" w:rsidRPr="009451A4" w:rsidRDefault="00DB6E47" w:rsidP="00DB6E47">
      <w:pPr>
        <w:pStyle w:val="Amain"/>
      </w:pPr>
      <w:r w:rsidRPr="009451A4">
        <w:tab/>
        <w:t>(2)</w:t>
      </w:r>
      <w:r w:rsidRPr="009451A4">
        <w:tab/>
        <w:t>Subject to subsection (3), in the interpretation of a provision of this Law, consideration may be given to extrinsic material capable of assisting in the interpretation—</w:t>
      </w:r>
    </w:p>
    <w:p w14:paraId="0285D0BD" w14:textId="77777777" w:rsidR="00DB6E47" w:rsidRPr="00544ED5" w:rsidRDefault="00DB6E47" w:rsidP="00DB6E47">
      <w:pPr>
        <w:pStyle w:val="Apara"/>
      </w:pPr>
      <w:r w:rsidRPr="00544ED5">
        <w:tab/>
        <w:t>(a)</w:t>
      </w:r>
      <w:r w:rsidRPr="00544ED5">
        <w:tab/>
        <w:t>if the provision is ambiguous or obscure—to provide an interpretation of it; or</w:t>
      </w:r>
    </w:p>
    <w:p w14:paraId="62A595AF" w14:textId="77777777" w:rsidR="00DB6E47" w:rsidRPr="00544ED5" w:rsidRDefault="00DB6E47" w:rsidP="00DB6E47">
      <w:pPr>
        <w:pStyle w:val="Apara"/>
      </w:pPr>
      <w:r w:rsidRPr="00544ED5">
        <w:lastRenderedPageBreak/>
        <w:tab/>
        <w:t>(b)</w:t>
      </w:r>
      <w:r w:rsidRPr="00544ED5">
        <w:tab/>
        <w:t>if the ordinary meaning of the provision leads to a result that is manifestly absurd or is unreasonable—to provide an interpretation that avoids such a result; or</w:t>
      </w:r>
    </w:p>
    <w:p w14:paraId="056C4F2B" w14:textId="77777777" w:rsidR="00DB6E47" w:rsidRPr="00544ED5" w:rsidRDefault="00DB6E47" w:rsidP="00DB6E47">
      <w:pPr>
        <w:pStyle w:val="Apara"/>
      </w:pPr>
      <w:r w:rsidRPr="00544ED5">
        <w:tab/>
        <w:t>(c)</w:t>
      </w:r>
      <w:r w:rsidRPr="00544ED5">
        <w:tab/>
        <w:t>in any other case—to confirm the interpretation conveyed by the ordinary meaning of the provision.</w:t>
      </w:r>
    </w:p>
    <w:p w14:paraId="2725E104" w14:textId="77777777" w:rsidR="00DB6E47" w:rsidRPr="009451A4" w:rsidRDefault="00DB6E47" w:rsidP="00DB6E47">
      <w:pPr>
        <w:pStyle w:val="Amain"/>
      </w:pPr>
      <w:r w:rsidRPr="009451A4">
        <w:tab/>
        <w:t>(3)</w:t>
      </w:r>
      <w:r w:rsidRPr="009451A4">
        <w:tab/>
        <w:t>In determining whether consideration should be given to extrinsic material, and in determining the weight to be given to extrinsic material, regard is to be had to—</w:t>
      </w:r>
    </w:p>
    <w:p w14:paraId="7336195C" w14:textId="77777777" w:rsidR="00DB6E47" w:rsidRPr="00544ED5" w:rsidRDefault="00DB6E47" w:rsidP="00DB6E47">
      <w:pPr>
        <w:pStyle w:val="Apara"/>
      </w:pPr>
      <w:r w:rsidRPr="00544ED5">
        <w:tab/>
        <w:t>(a)</w:t>
      </w:r>
      <w:r w:rsidRPr="00544ED5">
        <w:tab/>
        <w:t>the desirability of a provision being interpreted as having its ordinary meaning; and</w:t>
      </w:r>
    </w:p>
    <w:p w14:paraId="7D77E67D" w14:textId="77777777" w:rsidR="00DB6E47" w:rsidRPr="00544ED5" w:rsidRDefault="00DB6E47" w:rsidP="00DB6E47">
      <w:pPr>
        <w:pStyle w:val="Apara"/>
      </w:pPr>
      <w:r w:rsidRPr="00544ED5">
        <w:tab/>
        <w:t>(b)</w:t>
      </w:r>
      <w:r w:rsidRPr="00544ED5">
        <w:tab/>
        <w:t>the undesirability of prolonging proceedings without compensating advantage; and</w:t>
      </w:r>
    </w:p>
    <w:p w14:paraId="7BD24437" w14:textId="77777777" w:rsidR="00DB6E47" w:rsidRPr="00544ED5" w:rsidRDefault="00DB6E47" w:rsidP="00DB6E47">
      <w:pPr>
        <w:pStyle w:val="Apara"/>
      </w:pPr>
      <w:r w:rsidRPr="00544ED5">
        <w:tab/>
        <w:t>(c)</w:t>
      </w:r>
      <w:r w:rsidRPr="00544ED5">
        <w:tab/>
        <w:t>other relevant matters.</w:t>
      </w:r>
    </w:p>
    <w:p w14:paraId="4C8FE718" w14:textId="77777777" w:rsidR="00DB6E47" w:rsidRPr="007E1F9A" w:rsidRDefault="00DB6E47" w:rsidP="00DB6E47">
      <w:pPr>
        <w:pStyle w:val="Schclauseheading"/>
      </w:pPr>
      <w:bookmarkStart w:id="974" w:name="_Toc83626318"/>
      <w:r w:rsidRPr="005E03F7">
        <w:rPr>
          <w:rStyle w:val="CharSectNo"/>
        </w:rPr>
        <w:t>9</w:t>
      </w:r>
      <w:r w:rsidRPr="007E1F9A">
        <w:tab/>
      </w:r>
      <w:r w:rsidRPr="007E1F9A">
        <w:rPr>
          <w:rFonts w:ascii="Helvetica" w:hAnsi="Helvetica" w:cs="Helvetica"/>
        </w:rPr>
        <w:t>Effect of change of drafting practice</w:t>
      </w:r>
      <w:bookmarkEnd w:id="974"/>
    </w:p>
    <w:p w14:paraId="47A159F6" w14:textId="77777777" w:rsidR="00DB6E47" w:rsidRPr="009451A4" w:rsidRDefault="00DB6E47" w:rsidP="009F29F0">
      <w:pPr>
        <w:pStyle w:val="Amainreturn"/>
        <w:keepNext/>
      </w:pPr>
      <w:r w:rsidRPr="009451A4">
        <w:t>If—</w:t>
      </w:r>
    </w:p>
    <w:p w14:paraId="14050ED5" w14:textId="77777777" w:rsidR="00DB6E47" w:rsidRPr="00544ED5" w:rsidRDefault="00DB6E47" w:rsidP="009F29F0">
      <w:pPr>
        <w:pStyle w:val="Apara"/>
        <w:keepNext/>
      </w:pPr>
      <w:r w:rsidRPr="00544ED5">
        <w:tab/>
        <w:t>(a)</w:t>
      </w:r>
      <w:r w:rsidRPr="00544ED5">
        <w:tab/>
        <w:t>a provision of this Law expresses an idea in particular words; and</w:t>
      </w:r>
    </w:p>
    <w:p w14:paraId="2116BA67" w14:textId="77777777" w:rsidR="00DB6E47" w:rsidRPr="00544ED5" w:rsidRDefault="00DB6E47" w:rsidP="00DB6E47">
      <w:pPr>
        <w:pStyle w:val="Apara"/>
      </w:pPr>
      <w:r w:rsidRPr="00544ED5">
        <w:tab/>
        <w:t>(b)</w:t>
      </w:r>
      <w:r w:rsidRPr="00544ED5">
        <w:tab/>
        <w:t>a provision enacted later appears to express the same idea in different words for the purpose of implementing a different legislative drafting practice, including, for example—</w:t>
      </w:r>
    </w:p>
    <w:p w14:paraId="7FF9BDA8" w14:textId="77777777" w:rsidR="00DB6E47" w:rsidRPr="00CC71DF" w:rsidRDefault="00DB6E47" w:rsidP="00DB6E47">
      <w:pPr>
        <w:pStyle w:val="Asubpara"/>
      </w:pPr>
      <w:r w:rsidRPr="00CC71DF">
        <w:tab/>
        <w:t>(i)</w:t>
      </w:r>
      <w:r w:rsidRPr="00CC71DF">
        <w:tab/>
        <w:t>the use of a clearer or simpler style; or</w:t>
      </w:r>
    </w:p>
    <w:p w14:paraId="2AEDD7BC" w14:textId="77777777" w:rsidR="00DB6E47" w:rsidRPr="00CC71DF" w:rsidRDefault="00DB6E47" w:rsidP="00DB6E47">
      <w:pPr>
        <w:pStyle w:val="Asubpara"/>
      </w:pPr>
      <w:r w:rsidRPr="00CC71DF">
        <w:tab/>
        <w:t>(ii)</w:t>
      </w:r>
      <w:r w:rsidRPr="00CC71DF">
        <w:tab/>
        <w:t>the use of gender-neutral language;</w:t>
      </w:r>
    </w:p>
    <w:p w14:paraId="017A0AF6" w14:textId="77777777" w:rsidR="00DB6E47" w:rsidRPr="009451A4" w:rsidRDefault="00DB6E47" w:rsidP="00DB6E47">
      <w:pPr>
        <w:pStyle w:val="Amainreturn"/>
      </w:pPr>
      <w:r w:rsidRPr="009451A4">
        <w:t>the ideas must not be taken to be different merely because different words are used.</w:t>
      </w:r>
    </w:p>
    <w:p w14:paraId="420333AB" w14:textId="77777777" w:rsidR="00DB6E47" w:rsidRPr="007E1F9A" w:rsidRDefault="00DB6E47" w:rsidP="00DB6E47">
      <w:pPr>
        <w:pStyle w:val="Schclauseheading"/>
      </w:pPr>
      <w:bookmarkStart w:id="975" w:name="_Toc83626319"/>
      <w:r w:rsidRPr="005E03F7">
        <w:rPr>
          <w:rStyle w:val="CharSectNo"/>
        </w:rPr>
        <w:lastRenderedPageBreak/>
        <w:t>10</w:t>
      </w:r>
      <w:r w:rsidRPr="007E1F9A">
        <w:tab/>
      </w:r>
      <w:r w:rsidRPr="007E1F9A">
        <w:rPr>
          <w:rFonts w:ascii="Helvetica" w:hAnsi="Helvetica" w:cs="Helvetica"/>
        </w:rPr>
        <w:t>Use of examples</w:t>
      </w:r>
      <w:bookmarkEnd w:id="975"/>
    </w:p>
    <w:p w14:paraId="0FE1F8B9" w14:textId="77777777" w:rsidR="00DB6E47" w:rsidRPr="009451A4" w:rsidRDefault="00DB6E47" w:rsidP="00D940BC">
      <w:pPr>
        <w:pStyle w:val="Amainreturn"/>
        <w:keepNext/>
      </w:pPr>
      <w:r w:rsidRPr="009451A4">
        <w:t>If this Law includes an example of the operation of a provision—</w:t>
      </w:r>
    </w:p>
    <w:p w14:paraId="6B0F88BA" w14:textId="77777777" w:rsidR="00DB6E47" w:rsidRPr="00544ED5" w:rsidRDefault="00DB6E47" w:rsidP="00D940BC">
      <w:pPr>
        <w:pStyle w:val="Apara"/>
        <w:keepNext/>
      </w:pPr>
      <w:r w:rsidRPr="00544ED5">
        <w:tab/>
        <w:t>(a)</w:t>
      </w:r>
      <w:r w:rsidRPr="00544ED5">
        <w:tab/>
        <w:t>the example is not exhaustive; and</w:t>
      </w:r>
    </w:p>
    <w:p w14:paraId="4DFD3843" w14:textId="77777777" w:rsidR="00DB6E47" w:rsidRPr="00544ED5" w:rsidRDefault="00DB6E47" w:rsidP="00DB6E47">
      <w:pPr>
        <w:pStyle w:val="Apara"/>
      </w:pPr>
      <w:r w:rsidRPr="00544ED5">
        <w:tab/>
        <w:t>(b)</w:t>
      </w:r>
      <w:r w:rsidRPr="00544ED5">
        <w:tab/>
        <w:t>the example does not limit, but may extend, the meaning of the provision; and</w:t>
      </w:r>
    </w:p>
    <w:p w14:paraId="06644360" w14:textId="77777777" w:rsidR="00DB6E47" w:rsidRPr="00544ED5" w:rsidRDefault="00DB6E47" w:rsidP="00DB6E47">
      <w:pPr>
        <w:pStyle w:val="Apara"/>
      </w:pPr>
      <w:r w:rsidRPr="00544ED5">
        <w:tab/>
        <w:t>(c)</w:t>
      </w:r>
      <w:r w:rsidRPr="00544ED5">
        <w:tab/>
        <w:t>the example and the provision are to be read in the context of each other and the other provisions of this Law, but, if the example and the provision so read are inconsistent, the provision prevails.</w:t>
      </w:r>
    </w:p>
    <w:p w14:paraId="4F7975F8" w14:textId="77777777" w:rsidR="00DB6E47" w:rsidRPr="007E1F9A" w:rsidRDefault="00DB6E47" w:rsidP="00DB6E47">
      <w:pPr>
        <w:pStyle w:val="Schclauseheading"/>
      </w:pPr>
      <w:bookmarkStart w:id="976" w:name="_Toc83626320"/>
      <w:r w:rsidRPr="005E03F7">
        <w:rPr>
          <w:rStyle w:val="CharSectNo"/>
        </w:rPr>
        <w:t>11</w:t>
      </w:r>
      <w:r w:rsidRPr="007E1F9A">
        <w:tab/>
      </w:r>
      <w:r w:rsidRPr="007E1F9A">
        <w:rPr>
          <w:rFonts w:ascii="Helvetica" w:hAnsi="Helvetica" w:cs="Helvetica"/>
        </w:rPr>
        <w:t>Compliance with forms</w:t>
      </w:r>
      <w:bookmarkEnd w:id="976"/>
    </w:p>
    <w:p w14:paraId="01AF7880" w14:textId="77777777" w:rsidR="00DB6E47" w:rsidRPr="009451A4" w:rsidRDefault="00DB6E47" w:rsidP="00DB6E47">
      <w:pPr>
        <w:pStyle w:val="Amain"/>
      </w:pPr>
      <w:r w:rsidRPr="009451A4">
        <w:tab/>
        <w:t>(1)</w:t>
      </w:r>
      <w:r w:rsidRPr="009451A4">
        <w:tab/>
        <w:t>If a form is prescribed or approved by or for the purpose of this Law, strict compliance with the form is not necessary and substantial compliance is sufficient.</w:t>
      </w:r>
    </w:p>
    <w:p w14:paraId="43AE6BF7" w14:textId="77777777" w:rsidR="00DB6E47" w:rsidRPr="009451A4" w:rsidRDefault="00DB6E47" w:rsidP="00DB6E47">
      <w:pPr>
        <w:pStyle w:val="Amain"/>
      </w:pPr>
      <w:r w:rsidRPr="009451A4">
        <w:tab/>
        <w:t>(2)</w:t>
      </w:r>
      <w:r w:rsidRPr="009451A4">
        <w:tab/>
        <w:t>If a form prescribed or approved by or for the purpose of this Law requires—</w:t>
      </w:r>
    </w:p>
    <w:p w14:paraId="1570B5AE" w14:textId="77777777" w:rsidR="00DB6E47" w:rsidRPr="00544ED5" w:rsidRDefault="00DB6E47" w:rsidP="00DB6E47">
      <w:pPr>
        <w:pStyle w:val="Apara"/>
      </w:pPr>
      <w:r w:rsidRPr="00544ED5">
        <w:tab/>
        <w:t>(a)</w:t>
      </w:r>
      <w:r w:rsidRPr="00544ED5">
        <w:tab/>
        <w:t>the form to be completed in a specified way; or</w:t>
      </w:r>
    </w:p>
    <w:p w14:paraId="1FF6A19D" w14:textId="77777777" w:rsidR="00DB6E47" w:rsidRPr="00544ED5" w:rsidRDefault="00DB6E47" w:rsidP="00DB6E47">
      <w:pPr>
        <w:pStyle w:val="Apara"/>
      </w:pPr>
      <w:r w:rsidRPr="00544ED5">
        <w:tab/>
        <w:t>(b)</w:t>
      </w:r>
      <w:r w:rsidRPr="00544ED5">
        <w:tab/>
        <w:t>specified information or documents to be included in, attached to or given with the form; or</w:t>
      </w:r>
    </w:p>
    <w:p w14:paraId="53A2CFDD" w14:textId="77777777" w:rsidR="00DB6E47" w:rsidRPr="00544ED5" w:rsidRDefault="00DB6E47" w:rsidP="00DB6E47">
      <w:pPr>
        <w:pStyle w:val="Apara"/>
      </w:pPr>
      <w:r w:rsidRPr="00544ED5">
        <w:tab/>
        <w:t>(c)</w:t>
      </w:r>
      <w:r w:rsidRPr="00544ED5">
        <w:tab/>
        <w:t>the form, or information or documents included in, attached to or given with the form, to be verified in a specified way;</w:t>
      </w:r>
    </w:p>
    <w:p w14:paraId="280D243C" w14:textId="77777777" w:rsidR="00DB6E47" w:rsidRPr="006C3305" w:rsidRDefault="00DB6E47" w:rsidP="00DB6E47">
      <w:pPr>
        <w:pStyle w:val="Amainreturn"/>
      </w:pPr>
      <w:r w:rsidRPr="006C3305">
        <w:t>the form is not properly completed unless the requirement is complied with.</w:t>
      </w:r>
    </w:p>
    <w:p w14:paraId="1B33C833" w14:textId="77777777" w:rsidR="00124806" w:rsidRPr="00124806" w:rsidRDefault="00124806" w:rsidP="00124806">
      <w:pPr>
        <w:pStyle w:val="PageBreak"/>
      </w:pPr>
      <w:r w:rsidRPr="00124806">
        <w:br w:type="page"/>
      </w:r>
    </w:p>
    <w:p w14:paraId="2C93FB0F" w14:textId="1CC788C1" w:rsidR="00DB6E47" w:rsidRPr="005E03F7" w:rsidRDefault="00DB6E47" w:rsidP="00DB6E47">
      <w:pPr>
        <w:pStyle w:val="Sched-Part"/>
      </w:pPr>
      <w:bookmarkStart w:id="977" w:name="_Toc83626321"/>
      <w:r w:rsidRPr="005E03F7">
        <w:rPr>
          <w:rStyle w:val="CharPartNo"/>
        </w:rPr>
        <w:lastRenderedPageBreak/>
        <w:t>Part 3</w:t>
      </w:r>
      <w:r w:rsidRPr="00A95F9A">
        <w:rPr>
          <w:rFonts w:ascii="Helvetica" w:hAnsi="Helvetica" w:cs="Helvetica"/>
          <w:szCs w:val="32"/>
        </w:rPr>
        <w:tab/>
      </w:r>
      <w:r w:rsidRPr="005E03F7">
        <w:rPr>
          <w:rStyle w:val="CharPartText"/>
          <w:rFonts w:ascii="Helvetica" w:hAnsi="Helvetica" w:cs="Helvetica"/>
          <w:szCs w:val="32"/>
        </w:rPr>
        <w:t>Terms and references</w:t>
      </w:r>
      <w:bookmarkEnd w:id="977"/>
    </w:p>
    <w:p w14:paraId="44134092" w14:textId="77777777" w:rsidR="00DB6E47" w:rsidRPr="007E1F9A" w:rsidRDefault="00DB6E47" w:rsidP="00DB6E47">
      <w:pPr>
        <w:pStyle w:val="Schclauseheading"/>
      </w:pPr>
      <w:bookmarkStart w:id="978" w:name="_Toc83626322"/>
      <w:r w:rsidRPr="005E03F7">
        <w:rPr>
          <w:rStyle w:val="CharSectNo"/>
        </w:rPr>
        <w:t>12</w:t>
      </w:r>
      <w:r w:rsidRPr="007E1F9A">
        <w:tab/>
      </w:r>
      <w:r w:rsidRPr="007E1F9A">
        <w:rPr>
          <w:rFonts w:ascii="Helvetica" w:hAnsi="Helvetica" w:cs="Helvetica"/>
        </w:rPr>
        <w:t>Definitions</w:t>
      </w:r>
      <w:bookmarkEnd w:id="978"/>
    </w:p>
    <w:p w14:paraId="31A0FDE0" w14:textId="77777777" w:rsidR="00DB6E47" w:rsidRPr="009451A4" w:rsidRDefault="00DB6E47" w:rsidP="00DB6E47">
      <w:pPr>
        <w:pStyle w:val="Amain"/>
      </w:pPr>
      <w:r w:rsidRPr="009451A4">
        <w:tab/>
        <w:t>(1)</w:t>
      </w:r>
      <w:r w:rsidRPr="009451A4">
        <w:tab/>
        <w:t>In this Law—</w:t>
      </w:r>
    </w:p>
    <w:p w14:paraId="0838563E" w14:textId="77777777" w:rsidR="00DB6E47" w:rsidRPr="00041046" w:rsidRDefault="00DB6E47" w:rsidP="00DB6E47">
      <w:pPr>
        <w:pStyle w:val="aDef"/>
        <w:rPr>
          <w:bCs/>
        </w:rPr>
      </w:pPr>
      <w:r w:rsidRPr="00041046">
        <w:rPr>
          <w:rStyle w:val="charBoldItals"/>
        </w:rPr>
        <w:t>Act</w:t>
      </w:r>
      <w:r w:rsidRPr="00041046">
        <w:t xml:space="preserve"> means an Act of the Parliament of this jurisdiction.</w:t>
      </w:r>
    </w:p>
    <w:p w14:paraId="74513028" w14:textId="77777777" w:rsidR="00DB6E47" w:rsidRPr="00041046" w:rsidRDefault="00DB6E47" w:rsidP="00DB6E47">
      <w:pPr>
        <w:pStyle w:val="aDef"/>
        <w:rPr>
          <w:bCs/>
        </w:rPr>
      </w:pPr>
      <w:r w:rsidRPr="00041046">
        <w:rPr>
          <w:rStyle w:val="charBoldItals"/>
        </w:rPr>
        <w:t>adult</w:t>
      </w:r>
      <w:r w:rsidRPr="00041046">
        <w:t xml:space="preserve"> means an individual who is 18 or more.</w:t>
      </w:r>
    </w:p>
    <w:p w14:paraId="69B1721A" w14:textId="77777777" w:rsidR="00DB6E47" w:rsidRPr="00041046" w:rsidRDefault="00DB6E47" w:rsidP="00DB6E47">
      <w:pPr>
        <w:pStyle w:val="aDef"/>
        <w:rPr>
          <w:bCs/>
        </w:rPr>
      </w:pPr>
      <w:r w:rsidRPr="00041046">
        <w:rPr>
          <w:rStyle w:val="charBoldItals"/>
        </w:rPr>
        <w:t>affidavit</w:t>
      </w:r>
      <w:r w:rsidRPr="00041046">
        <w:t>, in relation to a person allowed by law to affirm, declare or promise, includes affirmation, declaration and promise.</w:t>
      </w:r>
    </w:p>
    <w:p w14:paraId="57734E26" w14:textId="77777777" w:rsidR="00DB6E47" w:rsidRPr="00041046" w:rsidRDefault="00DB6E47" w:rsidP="00DB6E47">
      <w:pPr>
        <w:pStyle w:val="aDef"/>
        <w:rPr>
          <w:bCs/>
        </w:rPr>
      </w:pPr>
      <w:r w:rsidRPr="00041046">
        <w:rPr>
          <w:rStyle w:val="charBoldItals"/>
        </w:rPr>
        <w:t>amend</w:t>
      </w:r>
      <w:r w:rsidRPr="00041046">
        <w:t xml:space="preserve"> includes—</w:t>
      </w:r>
    </w:p>
    <w:p w14:paraId="7D89E78F" w14:textId="77777777" w:rsidR="00DB6E47" w:rsidRPr="00F04D8E" w:rsidRDefault="00DB6E47" w:rsidP="00DB6E47">
      <w:pPr>
        <w:pStyle w:val="aDefpara"/>
      </w:pPr>
      <w:r w:rsidRPr="00F04D8E">
        <w:rPr>
          <w:rFonts w:cs="Times"/>
          <w:bCs/>
        </w:rPr>
        <w:tab/>
        <w:t>(a)</w:t>
      </w:r>
      <w:r w:rsidRPr="00F04D8E">
        <w:rPr>
          <w:rFonts w:cs="Times"/>
          <w:bCs/>
        </w:rPr>
        <w:tab/>
        <w:t>omit or omit and substitute; or</w:t>
      </w:r>
    </w:p>
    <w:p w14:paraId="2E855E66" w14:textId="77777777" w:rsidR="00DB6E47" w:rsidRPr="00F04D8E" w:rsidRDefault="00DB6E47" w:rsidP="00DB6E47">
      <w:pPr>
        <w:pStyle w:val="aDefpara"/>
      </w:pPr>
      <w:r w:rsidRPr="00F04D8E">
        <w:tab/>
        <w:t>(b)</w:t>
      </w:r>
      <w:r w:rsidRPr="00F04D8E">
        <w:tab/>
        <w:t>alter or vary; or</w:t>
      </w:r>
    </w:p>
    <w:p w14:paraId="4D8335DD" w14:textId="77777777" w:rsidR="00DB6E47" w:rsidRPr="00F04D8E" w:rsidRDefault="00DB6E47" w:rsidP="00DB6E47">
      <w:pPr>
        <w:pStyle w:val="aDefpara"/>
      </w:pPr>
      <w:r w:rsidRPr="00F04D8E">
        <w:tab/>
        <w:t>(c)</w:t>
      </w:r>
      <w:r w:rsidRPr="00F04D8E">
        <w:tab/>
        <w:t>amend by implication.</w:t>
      </w:r>
    </w:p>
    <w:p w14:paraId="3DB62BB6" w14:textId="77777777" w:rsidR="00DB6E47" w:rsidRPr="00041046" w:rsidRDefault="00DB6E47" w:rsidP="00DB6E47">
      <w:pPr>
        <w:pStyle w:val="aDef"/>
        <w:rPr>
          <w:bCs/>
        </w:rPr>
      </w:pPr>
      <w:r w:rsidRPr="00041046">
        <w:rPr>
          <w:rStyle w:val="charBoldItals"/>
        </w:rPr>
        <w:t>appoint</w:t>
      </w:r>
      <w:r w:rsidRPr="00041046">
        <w:t xml:space="preserve"> includes reappoint.</w:t>
      </w:r>
    </w:p>
    <w:p w14:paraId="10B7C973" w14:textId="77777777" w:rsidR="00DB6E47" w:rsidRPr="00041046" w:rsidRDefault="00DB6E47" w:rsidP="00DB6E47">
      <w:pPr>
        <w:pStyle w:val="aDef"/>
        <w:rPr>
          <w:bCs/>
        </w:rPr>
      </w:pPr>
      <w:r w:rsidRPr="00041046">
        <w:rPr>
          <w:rStyle w:val="charBoldItals"/>
        </w:rPr>
        <w:t>Australia</w:t>
      </w:r>
      <w:r w:rsidRPr="00041046">
        <w:t xml:space="preserve"> means the Commonwealth of Australia but, when used in a geographical sense, does not include an external Territory.</w:t>
      </w:r>
    </w:p>
    <w:p w14:paraId="75B7FC91" w14:textId="77777777" w:rsidR="00DB6E47" w:rsidRPr="00041046" w:rsidRDefault="00DB6E47" w:rsidP="00DB6E47">
      <w:pPr>
        <w:pStyle w:val="aDef"/>
        <w:rPr>
          <w:bCs/>
        </w:rPr>
      </w:pPr>
      <w:r w:rsidRPr="00041046">
        <w:rPr>
          <w:rStyle w:val="charBoldItals"/>
        </w:rPr>
        <w:t>business day</w:t>
      </w:r>
      <w:r w:rsidRPr="00041046">
        <w:t xml:space="preserve"> means a day that is not—</w:t>
      </w:r>
    </w:p>
    <w:p w14:paraId="2E6144EE" w14:textId="77777777" w:rsidR="00DB6E47" w:rsidRPr="00F04D8E" w:rsidRDefault="00DB6E47" w:rsidP="00DB6E47">
      <w:pPr>
        <w:pStyle w:val="aDefpara"/>
      </w:pPr>
      <w:r w:rsidRPr="00F04D8E">
        <w:rPr>
          <w:rFonts w:cs="Times"/>
          <w:bCs/>
        </w:rPr>
        <w:tab/>
        <w:t>(a)</w:t>
      </w:r>
      <w:r w:rsidRPr="00F04D8E">
        <w:rPr>
          <w:rFonts w:cs="Times"/>
          <w:bCs/>
        </w:rPr>
        <w:tab/>
        <w:t>a Saturday or Sunday; or</w:t>
      </w:r>
    </w:p>
    <w:p w14:paraId="649E3AD8" w14:textId="77777777" w:rsidR="00DB6E47" w:rsidRPr="00F04D8E" w:rsidRDefault="00DB6E47" w:rsidP="00DB6E47">
      <w:pPr>
        <w:pStyle w:val="aDefpara"/>
      </w:pPr>
      <w:r w:rsidRPr="00F04D8E">
        <w:tab/>
        <w:t>(b)</w:t>
      </w:r>
      <w:r w:rsidRPr="00F04D8E">
        <w:tab/>
        <w:t>a public holiday, special holiday or bank holiday in the place in which any relevant act is to be or may be done.</w:t>
      </w:r>
    </w:p>
    <w:p w14:paraId="25446F40" w14:textId="77777777" w:rsidR="00DB6E47" w:rsidRPr="00041046" w:rsidRDefault="00DB6E47" w:rsidP="00DB6E47">
      <w:pPr>
        <w:pStyle w:val="aDef"/>
        <w:rPr>
          <w:bCs/>
        </w:rPr>
      </w:pPr>
      <w:r w:rsidRPr="00041046">
        <w:rPr>
          <w:rStyle w:val="charBoldItals"/>
        </w:rPr>
        <w:t xml:space="preserve">calendar month </w:t>
      </w:r>
      <w:r w:rsidRPr="00041046">
        <w:t>means a period starting at the beginning of any day of one of the 12 named months and ending—</w:t>
      </w:r>
    </w:p>
    <w:p w14:paraId="4D6CAA9D" w14:textId="77777777" w:rsidR="00DB6E47" w:rsidRPr="00F04D8E" w:rsidRDefault="00DB6E47" w:rsidP="00DB6E47">
      <w:pPr>
        <w:pStyle w:val="aDefpara"/>
      </w:pPr>
      <w:r w:rsidRPr="00F04D8E">
        <w:rPr>
          <w:rFonts w:cs="Times"/>
          <w:bCs/>
        </w:rPr>
        <w:tab/>
        <w:t>(a)</w:t>
      </w:r>
      <w:r w:rsidRPr="00F04D8E">
        <w:rPr>
          <w:rFonts w:cs="Times"/>
          <w:bCs/>
        </w:rPr>
        <w:tab/>
        <w:t>immediately before the beginning of the corresponding day of the next named month; or</w:t>
      </w:r>
    </w:p>
    <w:p w14:paraId="5CDA23FF" w14:textId="77777777" w:rsidR="00DB6E47" w:rsidRPr="00F04D8E" w:rsidRDefault="00DB6E47" w:rsidP="00DB6E47">
      <w:pPr>
        <w:pStyle w:val="aDefpara"/>
      </w:pPr>
      <w:r w:rsidRPr="00F04D8E">
        <w:tab/>
        <w:t>(b)</w:t>
      </w:r>
      <w:r w:rsidRPr="00F04D8E">
        <w:tab/>
        <w:t>if there is no such corresponding day—at the end of the next named month.</w:t>
      </w:r>
    </w:p>
    <w:p w14:paraId="37A3DB1C" w14:textId="77777777" w:rsidR="00DB6E47" w:rsidRPr="00041046" w:rsidRDefault="00DB6E47" w:rsidP="00DB6E47">
      <w:pPr>
        <w:pStyle w:val="aDef"/>
        <w:rPr>
          <w:bCs/>
        </w:rPr>
      </w:pPr>
      <w:r w:rsidRPr="00041046">
        <w:rPr>
          <w:rStyle w:val="charBoldItals"/>
        </w:rPr>
        <w:t>calendar year</w:t>
      </w:r>
      <w:r w:rsidRPr="00041046">
        <w:t xml:space="preserve"> means a period of 12 months beginning on 1 January.</w:t>
      </w:r>
    </w:p>
    <w:p w14:paraId="2419831C" w14:textId="77777777" w:rsidR="00DB6E47" w:rsidRPr="00041046" w:rsidRDefault="00DB6E47" w:rsidP="00DB6E47">
      <w:pPr>
        <w:pStyle w:val="aDef"/>
        <w:rPr>
          <w:bCs/>
        </w:rPr>
      </w:pPr>
      <w:r w:rsidRPr="00041046">
        <w:rPr>
          <w:rStyle w:val="charBoldItals"/>
        </w:rPr>
        <w:lastRenderedPageBreak/>
        <w:t>commencement</w:t>
      </w:r>
      <w:r w:rsidRPr="00041046">
        <w:t>, in relation to this Law or an Act or a provision of this Law or an Act, means the time at which this Law, the Act or provision comes into operation.</w:t>
      </w:r>
    </w:p>
    <w:p w14:paraId="01C79D05" w14:textId="77777777" w:rsidR="00DB6E47" w:rsidRPr="00041046" w:rsidRDefault="00DB6E47" w:rsidP="00DB6E47">
      <w:pPr>
        <w:pStyle w:val="aDef"/>
        <w:rPr>
          <w:bCs/>
        </w:rPr>
      </w:pPr>
      <w:r w:rsidRPr="00041046">
        <w:rPr>
          <w:rStyle w:val="charBoldItals"/>
        </w:rPr>
        <w:t>Commonwealth</w:t>
      </w:r>
      <w:r w:rsidRPr="00041046">
        <w:t xml:space="preserve"> means the Commonwealth of Australia but, when used in a geographical sense, does not include an external Territory.</w:t>
      </w:r>
    </w:p>
    <w:p w14:paraId="61DF861B" w14:textId="77777777" w:rsidR="00DB6E47" w:rsidRPr="00041046" w:rsidRDefault="00DB6E47" w:rsidP="00DB6E47">
      <w:pPr>
        <w:pStyle w:val="aDef"/>
        <w:rPr>
          <w:bCs/>
        </w:rPr>
      </w:pPr>
      <w:r w:rsidRPr="00041046">
        <w:rPr>
          <w:rStyle w:val="charBoldItals"/>
        </w:rPr>
        <w:t>confer</w:t>
      </w:r>
      <w:r w:rsidRPr="00041046">
        <w:t>, in relation to a function, includes impose.</w:t>
      </w:r>
    </w:p>
    <w:p w14:paraId="5728A9FA" w14:textId="77777777" w:rsidR="00DB6E47" w:rsidRPr="00041046" w:rsidRDefault="00DB6E47" w:rsidP="00DB6E47">
      <w:pPr>
        <w:pStyle w:val="aDef"/>
        <w:rPr>
          <w:bCs/>
        </w:rPr>
      </w:pPr>
      <w:r w:rsidRPr="00041046">
        <w:rPr>
          <w:rStyle w:val="charBoldItals"/>
        </w:rPr>
        <w:t>contravene</w:t>
      </w:r>
      <w:r w:rsidRPr="00041046">
        <w:t xml:space="preserve"> includes fail to comply with.</w:t>
      </w:r>
    </w:p>
    <w:p w14:paraId="4E0DC971" w14:textId="77777777" w:rsidR="00DB6E47" w:rsidRPr="00041046" w:rsidRDefault="00DB6E47" w:rsidP="00DB6E47">
      <w:pPr>
        <w:pStyle w:val="aDef"/>
        <w:rPr>
          <w:bCs/>
        </w:rPr>
      </w:pPr>
      <w:r w:rsidRPr="00041046">
        <w:rPr>
          <w:rStyle w:val="charBoldItals"/>
        </w:rPr>
        <w:t>country</w:t>
      </w:r>
      <w:r w:rsidRPr="00041046">
        <w:t xml:space="preserve"> includes—</w:t>
      </w:r>
    </w:p>
    <w:p w14:paraId="01F5C3EE" w14:textId="77777777" w:rsidR="00DB6E47" w:rsidRPr="00F04D8E" w:rsidRDefault="00DB6E47" w:rsidP="00DB6E47">
      <w:pPr>
        <w:pStyle w:val="aDefpara"/>
      </w:pPr>
      <w:r w:rsidRPr="00F04D8E">
        <w:rPr>
          <w:rFonts w:cs="Times"/>
          <w:bCs/>
        </w:rPr>
        <w:tab/>
        <w:t>(a)</w:t>
      </w:r>
      <w:r w:rsidRPr="00F04D8E">
        <w:rPr>
          <w:rFonts w:cs="Times"/>
          <w:bCs/>
        </w:rPr>
        <w:tab/>
        <w:t>a federation; or</w:t>
      </w:r>
    </w:p>
    <w:p w14:paraId="4C6A26B3" w14:textId="77777777" w:rsidR="00DB6E47" w:rsidRPr="00F04D8E" w:rsidRDefault="00DB6E47" w:rsidP="00DB6E47">
      <w:pPr>
        <w:pStyle w:val="aDefpara"/>
      </w:pPr>
      <w:r w:rsidRPr="00F04D8E">
        <w:tab/>
        <w:t>(b)</w:t>
      </w:r>
      <w:r w:rsidRPr="00F04D8E">
        <w:tab/>
        <w:t>a state, province or other part of a federation.</w:t>
      </w:r>
    </w:p>
    <w:p w14:paraId="1F5B8570" w14:textId="77777777" w:rsidR="00DB6E47" w:rsidRPr="00041046" w:rsidRDefault="00DB6E47" w:rsidP="00DB6E47">
      <w:pPr>
        <w:pStyle w:val="aDef"/>
        <w:rPr>
          <w:bCs/>
        </w:rPr>
      </w:pPr>
      <w:r w:rsidRPr="00041046">
        <w:rPr>
          <w:rStyle w:val="charBoldItals"/>
        </w:rPr>
        <w:t>date of assent</w:t>
      </w:r>
      <w:r w:rsidRPr="00041046">
        <w:t>, in relation to an Act, means the day on which the Act receives the Royal Assent.</w:t>
      </w:r>
    </w:p>
    <w:p w14:paraId="151ACD17" w14:textId="77777777" w:rsidR="00DB6E47" w:rsidRPr="00041046" w:rsidRDefault="00DB6E47" w:rsidP="00DB6E47">
      <w:pPr>
        <w:pStyle w:val="aDef"/>
        <w:rPr>
          <w:bCs/>
        </w:rPr>
      </w:pPr>
      <w:r w:rsidRPr="00041046">
        <w:rPr>
          <w:rStyle w:val="charBoldItals"/>
        </w:rPr>
        <w:t>definition</w:t>
      </w:r>
      <w:r w:rsidRPr="00041046">
        <w:t xml:space="preserve"> means a provision of this Law (however expressed) that—</w:t>
      </w:r>
    </w:p>
    <w:p w14:paraId="403AB60F" w14:textId="77777777" w:rsidR="00DB6E47" w:rsidRPr="00F04D8E" w:rsidRDefault="00DB6E47" w:rsidP="00DB6E47">
      <w:pPr>
        <w:pStyle w:val="aDefpara"/>
      </w:pPr>
      <w:r w:rsidRPr="00F04D8E">
        <w:rPr>
          <w:rFonts w:cs="Times"/>
          <w:bCs/>
        </w:rPr>
        <w:tab/>
        <w:t>(a)</w:t>
      </w:r>
      <w:r w:rsidRPr="00F04D8E">
        <w:rPr>
          <w:rFonts w:cs="Times"/>
          <w:bCs/>
        </w:rPr>
        <w:tab/>
        <w:t>gives a meaning to a word or expression; or</w:t>
      </w:r>
    </w:p>
    <w:p w14:paraId="27673AF6" w14:textId="77777777" w:rsidR="00DB6E47" w:rsidRPr="00F04D8E" w:rsidRDefault="00DB6E47" w:rsidP="00DB6E47">
      <w:pPr>
        <w:pStyle w:val="aDefpara"/>
      </w:pPr>
      <w:r w:rsidRPr="00F04D8E">
        <w:tab/>
        <w:t>(b)</w:t>
      </w:r>
      <w:r w:rsidRPr="00F04D8E">
        <w:tab/>
        <w:t>limits or extends the meaning of a word or expression.</w:t>
      </w:r>
    </w:p>
    <w:p w14:paraId="3E4DBD38" w14:textId="77777777" w:rsidR="00DB6E47" w:rsidRPr="00041046" w:rsidRDefault="00DB6E47" w:rsidP="00DB6E47">
      <w:pPr>
        <w:pStyle w:val="aDef"/>
        <w:rPr>
          <w:bCs/>
        </w:rPr>
      </w:pPr>
      <w:r w:rsidRPr="00041046">
        <w:rPr>
          <w:rStyle w:val="charBoldItals"/>
        </w:rPr>
        <w:t>document</w:t>
      </w:r>
      <w:r w:rsidRPr="00041046">
        <w:t xml:space="preserve"> includes—</w:t>
      </w:r>
    </w:p>
    <w:p w14:paraId="4760DC9E" w14:textId="77777777" w:rsidR="00DB6E47" w:rsidRPr="00F04D8E" w:rsidRDefault="00DB6E47" w:rsidP="00DB6E47">
      <w:pPr>
        <w:pStyle w:val="aDefpara"/>
      </w:pPr>
      <w:r w:rsidRPr="00F04D8E">
        <w:rPr>
          <w:rFonts w:cs="Times"/>
          <w:bCs/>
        </w:rPr>
        <w:tab/>
        <w:t>(a)</w:t>
      </w:r>
      <w:r w:rsidRPr="00F04D8E">
        <w:rPr>
          <w:rFonts w:cs="Times"/>
          <w:bCs/>
        </w:rPr>
        <w:tab/>
        <w:t>any paper or other material on which there is writing; and</w:t>
      </w:r>
    </w:p>
    <w:p w14:paraId="69FC79FB" w14:textId="77777777" w:rsidR="00DB6E47" w:rsidRPr="00F04D8E" w:rsidRDefault="00DB6E47" w:rsidP="00DB6E47">
      <w:pPr>
        <w:pStyle w:val="aDefpara"/>
      </w:pPr>
      <w:r w:rsidRPr="00F04D8E">
        <w:tab/>
        <w:t>(b)</w:t>
      </w:r>
      <w:r w:rsidRPr="00F04D8E">
        <w:tab/>
        <w:t>any paper or other material on which there are marks, figures, symbols or perforations having a meaning for a person qualified to interpret them; and</w:t>
      </w:r>
    </w:p>
    <w:p w14:paraId="15E07132" w14:textId="77777777" w:rsidR="00DB6E47" w:rsidRPr="00F04D8E" w:rsidRDefault="00DB6E47" w:rsidP="00DB6E47">
      <w:pPr>
        <w:pStyle w:val="aDefpara"/>
      </w:pPr>
      <w:r w:rsidRPr="00F04D8E">
        <w:tab/>
        <w:t>(c)</w:t>
      </w:r>
      <w:r w:rsidRPr="00F04D8E">
        <w:tab/>
        <w:t>any disc, tape or other article or any material from which sounds, images, writings or messages are capable of being reproduced (with or without the aid of another article or device).</w:t>
      </w:r>
    </w:p>
    <w:p w14:paraId="5E634AED" w14:textId="77777777" w:rsidR="00DB6E47" w:rsidRPr="00041046" w:rsidRDefault="00DB6E47" w:rsidP="003952F9">
      <w:pPr>
        <w:pStyle w:val="aDef"/>
        <w:keepNext/>
        <w:rPr>
          <w:bCs/>
        </w:rPr>
      </w:pPr>
      <w:r w:rsidRPr="00041046">
        <w:rPr>
          <w:rStyle w:val="charBoldItals"/>
        </w:rPr>
        <w:t>electronic communication</w:t>
      </w:r>
      <w:r w:rsidRPr="00041046">
        <w:t xml:space="preserve"> means—</w:t>
      </w:r>
    </w:p>
    <w:p w14:paraId="223E560B" w14:textId="77777777" w:rsidR="00DB6E47" w:rsidRPr="00F04D8E" w:rsidRDefault="00DB6E47" w:rsidP="00DB6E47">
      <w:pPr>
        <w:pStyle w:val="aDefpara"/>
      </w:pPr>
      <w:r w:rsidRPr="00F04D8E">
        <w:rPr>
          <w:rFonts w:cs="Times"/>
          <w:bCs/>
        </w:rPr>
        <w:tab/>
        <w:t>(a)</w:t>
      </w:r>
      <w:r w:rsidRPr="00F04D8E">
        <w:rPr>
          <w:rFonts w:cs="Times"/>
          <w:bCs/>
        </w:rPr>
        <w:tab/>
        <w:t>a communication of information in the form of data, text or images by means of guided or unguided electromagnetic energy, or both; or</w:t>
      </w:r>
    </w:p>
    <w:p w14:paraId="4C77A5B5" w14:textId="77777777" w:rsidR="00DB6E47" w:rsidRPr="00F04D8E" w:rsidRDefault="00DB6E47" w:rsidP="00DB6E47">
      <w:pPr>
        <w:pStyle w:val="aDefpara"/>
      </w:pPr>
      <w:r w:rsidRPr="00F04D8E">
        <w:lastRenderedPageBreak/>
        <w:tab/>
        <w:t>(b)</w:t>
      </w:r>
      <w:r w:rsidRPr="00F04D8E">
        <w:tab/>
        <w:t>a communication of information in the form of sound by means of guided or unguided electromagnetic energy, or both, where the sound is processed at its destination by an automated voice recognition system.</w:t>
      </w:r>
    </w:p>
    <w:p w14:paraId="251CF60F" w14:textId="77777777" w:rsidR="00DB6E47" w:rsidRPr="00041046" w:rsidRDefault="00DB6E47" w:rsidP="00DB6E47">
      <w:pPr>
        <w:pStyle w:val="aDef"/>
        <w:rPr>
          <w:bCs/>
        </w:rPr>
      </w:pPr>
      <w:r w:rsidRPr="00041046">
        <w:rPr>
          <w:rStyle w:val="charBoldItals"/>
        </w:rPr>
        <w:t>estate</w:t>
      </w:r>
      <w:r w:rsidRPr="00041046">
        <w:t xml:space="preserve"> includes easement, charge, right, title, claim, demand, lien or encumbrance, whether at law or in equity.</w:t>
      </w:r>
    </w:p>
    <w:p w14:paraId="6318671A" w14:textId="77777777" w:rsidR="00DB6E47" w:rsidRPr="00041046" w:rsidRDefault="00DB6E47" w:rsidP="00DB6E47">
      <w:pPr>
        <w:pStyle w:val="aDef"/>
        <w:rPr>
          <w:bCs/>
        </w:rPr>
      </w:pPr>
      <w:r w:rsidRPr="00041046">
        <w:rPr>
          <w:rStyle w:val="charBoldItals"/>
        </w:rPr>
        <w:t>expire</w:t>
      </w:r>
      <w:r w:rsidRPr="00041046">
        <w:t xml:space="preserve"> includes lapse or otherwise cease to have effect.</w:t>
      </w:r>
    </w:p>
    <w:p w14:paraId="3A383F7D" w14:textId="77777777" w:rsidR="00DB6E47" w:rsidRPr="00041046" w:rsidRDefault="00DB6E47" w:rsidP="00DB6E47">
      <w:pPr>
        <w:pStyle w:val="aDef"/>
        <w:rPr>
          <w:bCs/>
        </w:rPr>
      </w:pPr>
      <w:r w:rsidRPr="00041046">
        <w:rPr>
          <w:rStyle w:val="charBoldItals"/>
        </w:rPr>
        <w:t>external Territory</w:t>
      </w:r>
      <w:r w:rsidRPr="00041046">
        <w:t xml:space="preserve"> means a Territory, other than an internal Territory, for the government of which as a Territory provision is made by a Commonwealth Act.</w:t>
      </w:r>
    </w:p>
    <w:p w14:paraId="1AE87F98" w14:textId="77777777" w:rsidR="00DB6E47" w:rsidRPr="00041046" w:rsidRDefault="00DB6E47" w:rsidP="00DB6E47">
      <w:pPr>
        <w:pStyle w:val="aDef"/>
        <w:rPr>
          <w:bCs/>
        </w:rPr>
      </w:pPr>
      <w:r w:rsidRPr="00041046">
        <w:rPr>
          <w:rStyle w:val="charBoldItals"/>
        </w:rPr>
        <w:t>fail</w:t>
      </w:r>
      <w:r w:rsidRPr="00041046">
        <w:t xml:space="preserve"> includes refuse.</w:t>
      </w:r>
    </w:p>
    <w:p w14:paraId="6473B43F" w14:textId="77777777" w:rsidR="00DB6E47" w:rsidRPr="00041046" w:rsidRDefault="00DB6E47" w:rsidP="00DB6E47">
      <w:pPr>
        <w:pStyle w:val="aDef"/>
        <w:rPr>
          <w:bCs/>
        </w:rPr>
      </w:pPr>
      <w:r w:rsidRPr="00041046">
        <w:rPr>
          <w:rStyle w:val="charBoldItals"/>
        </w:rPr>
        <w:t>financial year</w:t>
      </w:r>
      <w:r w:rsidRPr="00041046">
        <w:t xml:space="preserve"> means a period of 12 months beginning on 1 July.</w:t>
      </w:r>
    </w:p>
    <w:p w14:paraId="45D6C069" w14:textId="77777777" w:rsidR="00DB6E47" w:rsidRPr="00041046" w:rsidRDefault="00DB6E47" w:rsidP="00DB6E47">
      <w:pPr>
        <w:pStyle w:val="aDef"/>
        <w:rPr>
          <w:bCs/>
        </w:rPr>
      </w:pPr>
      <w:r w:rsidRPr="00041046">
        <w:rPr>
          <w:rStyle w:val="charBoldItals"/>
        </w:rPr>
        <w:t>foreign country</w:t>
      </w:r>
      <w:r w:rsidRPr="00041046">
        <w:t xml:space="preserve"> means a country (whether or not an independent sovereign State) outside Australia and the external Territories.</w:t>
      </w:r>
    </w:p>
    <w:p w14:paraId="5AA048B8" w14:textId="77777777" w:rsidR="00DB6E47" w:rsidRPr="00041046" w:rsidRDefault="00DB6E47" w:rsidP="00DB6E47">
      <w:pPr>
        <w:pStyle w:val="aDef"/>
        <w:rPr>
          <w:bCs/>
        </w:rPr>
      </w:pPr>
      <w:r w:rsidRPr="00041046">
        <w:rPr>
          <w:rStyle w:val="charBoldItals"/>
        </w:rPr>
        <w:t>function</w:t>
      </w:r>
      <w:r w:rsidRPr="00041046">
        <w:t xml:space="preserve"> includes a power or duty.</w:t>
      </w:r>
    </w:p>
    <w:p w14:paraId="5212AD1C" w14:textId="77777777" w:rsidR="00DB6E47" w:rsidRPr="00041046" w:rsidRDefault="00DB6E47" w:rsidP="00DB6E47">
      <w:pPr>
        <w:pStyle w:val="aDef"/>
        <w:rPr>
          <w:bCs/>
        </w:rPr>
      </w:pPr>
      <w:r w:rsidRPr="00041046">
        <w:rPr>
          <w:rStyle w:val="charBoldItals"/>
        </w:rPr>
        <w:t xml:space="preserve">Government Printer </w:t>
      </w:r>
      <w:r w:rsidRPr="00041046">
        <w:t>means the Government Printer of this jurisdiction, and includes any other person authorised by the Government of this jurisdiction to print an Act or instrument.</w:t>
      </w:r>
    </w:p>
    <w:p w14:paraId="3187E516" w14:textId="77777777" w:rsidR="00DB6E47" w:rsidRPr="00041046" w:rsidRDefault="00DB6E47" w:rsidP="00DB6E47">
      <w:pPr>
        <w:pStyle w:val="aDef"/>
        <w:rPr>
          <w:bCs/>
        </w:rPr>
      </w:pPr>
      <w:r w:rsidRPr="00041046">
        <w:rPr>
          <w:rStyle w:val="charBoldItals"/>
        </w:rPr>
        <w:t>individual</w:t>
      </w:r>
      <w:r w:rsidRPr="00041046">
        <w:t xml:space="preserve"> means a natural person.</w:t>
      </w:r>
    </w:p>
    <w:p w14:paraId="456C55A2" w14:textId="77777777" w:rsidR="00DB6E47" w:rsidRPr="00041046" w:rsidRDefault="00DB6E47" w:rsidP="00DB6E47">
      <w:pPr>
        <w:pStyle w:val="aDef"/>
        <w:rPr>
          <w:bCs/>
        </w:rPr>
      </w:pPr>
      <w:r w:rsidRPr="00041046">
        <w:rPr>
          <w:rStyle w:val="charBoldItals"/>
        </w:rPr>
        <w:t xml:space="preserve">information system </w:t>
      </w:r>
      <w:r w:rsidRPr="00041046">
        <w:t>means a system for generating, sending, receiving, storing or otherwise processing electronic communications.</w:t>
      </w:r>
    </w:p>
    <w:p w14:paraId="681DFD1E" w14:textId="77777777" w:rsidR="00DB6E47" w:rsidRPr="00041046" w:rsidRDefault="00DB6E47" w:rsidP="00DB6E47">
      <w:pPr>
        <w:pStyle w:val="aDef"/>
        <w:rPr>
          <w:bCs/>
        </w:rPr>
      </w:pPr>
      <w:r w:rsidRPr="00041046">
        <w:rPr>
          <w:rStyle w:val="charBoldItals"/>
        </w:rPr>
        <w:t>insert</w:t>
      </w:r>
      <w:r w:rsidRPr="00041046">
        <w:t>, in relation to a provision of this Law, includes substitute.</w:t>
      </w:r>
    </w:p>
    <w:p w14:paraId="61845CDC" w14:textId="77777777" w:rsidR="00DB6E47" w:rsidRPr="00041046" w:rsidRDefault="00DB6E47" w:rsidP="00DB6E47">
      <w:pPr>
        <w:pStyle w:val="aDef"/>
        <w:rPr>
          <w:bCs/>
        </w:rPr>
      </w:pPr>
      <w:r w:rsidRPr="00041046">
        <w:rPr>
          <w:rStyle w:val="charBoldItals"/>
        </w:rPr>
        <w:t>instrument</w:t>
      </w:r>
      <w:r w:rsidRPr="00041046">
        <w:t xml:space="preserve"> includes a statutory instrument.</w:t>
      </w:r>
    </w:p>
    <w:p w14:paraId="2DEB5284" w14:textId="77777777" w:rsidR="00DB6E47" w:rsidRPr="00041046" w:rsidRDefault="00DB6E47" w:rsidP="00DB6E47">
      <w:pPr>
        <w:pStyle w:val="aDef"/>
        <w:rPr>
          <w:bCs/>
        </w:rPr>
      </w:pPr>
      <w:r w:rsidRPr="00041046">
        <w:rPr>
          <w:rStyle w:val="charBoldItals"/>
        </w:rPr>
        <w:t>interest</w:t>
      </w:r>
      <w:r w:rsidRPr="00041046">
        <w:t>, in relation to land or other property, means—</w:t>
      </w:r>
    </w:p>
    <w:p w14:paraId="37C96FB0" w14:textId="77777777" w:rsidR="00DB6E47" w:rsidRPr="00F04D8E" w:rsidRDefault="00DB6E47" w:rsidP="00DB6E47">
      <w:pPr>
        <w:pStyle w:val="aDefpara"/>
      </w:pPr>
      <w:r w:rsidRPr="00F04D8E">
        <w:rPr>
          <w:rFonts w:cs="Times"/>
          <w:bCs/>
        </w:rPr>
        <w:tab/>
        <w:t>(a)</w:t>
      </w:r>
      <w:r w:rsidRPr="00F04D8E">
        <w:rPr>
          <w:rFonts w:cs="Times"/>
          <w:bCs/>
        </w:rPr>
        <w:tab/>
        <w:t>a legal or equitable estate in the land or other property; or</w:t>
      </w:r>
    </w:p>
    <w:p w14:paraId="45CE95B1" w14:textId="77777777" w:rsidR="00DB6E47" w:rsidRPr="00F04D8E" w:rsidRDefault="00DB6E47" w:rsidP="00DB6E47">
      <w:pPr>
        <w:pStyle w:val="aDefpara"/>
      </w:pPr>
      <w:r w:rsidRPr="00F04D8E">
        <w:tab/>
        <w:t>(b)</w:t>
      </w:r>
      <w:r w:rsidRPr="00F04D8E">
        <w:tab/>
        <w:t>a right, power or privilege over, or in relation to, the land or other property.</w:t>
      </w:r>
    </w:p>
    <w:p w14:paraId="21519094" w14:textId="77777777" w:rsidR="00DB6E47" w:rsidRPr="00041046" w:rsidRDefault="00DB6E47" w:rsidP="00DB6E47">
      <w:pPr>
        <w:pStyle w:val="aDef"/>
        <w:rPr>
          <w:bCs/>
        </w:rPr>
      </w:pPr>
      <w:r w:rsidRPr="00041046">
        <w:rPr>
          <w:rStyle w:val="charBoldItals"/>
        </w:rPr>
        <w:lastRenderedPageBreak/>
        <w:t xml:space="preserve">internal Territory </w:t>
      </w:r>
      <w:r w:rsidRPr="00041046">
        <w:t>means the Australian Capital Territory, the Jervis Bay Territory or the Northern Territory.</w:t>
      </w:r>
    </w:p>
    <w:p w14:paraId="5124391C" w14:textId="441C687A" w:rsidR="00DB6E47" w:rsidRPr="00041046" w:rsidRDefault="00DB6E47" w:rsidP="00DB6E47">
      <w:pPr>
        <w:pStyle w:val="aDef"/>
        <w:rPr>
          <w:bCs/>
        </w:rPr>
      </w:pPr>
      <w:r w:rsidRPr="00041046">
        <w:rPr>
          <w:rStyle w:val="charBoldItals"/>
        </w:rPr>
        <w:t xml:space="preserve">Jervis Bay Territory </w:t>
      </w:r>
      <w:r w:rsidRPr="00041046">
        <w:t xml:space="preserve">means the Territory mentioned in the </w:t>
      </w:r>
      <w:hyperlink r:id="rId125" w:tooltip="Act 1915 No 19 (Cwlth)" w:history="1">
        <w:r w:rsidR="00EA2CFC" w:rsidRPr="00EA2CFC">
          <w:rPr>
            <w:rStyle w:val="charCitHyperlinkItal"/>
          </w:rPr>
          <w:t>Jervis Bay Territory Acceptance Act 1915</w:t>
        </w:r>
      </w:hyperlink>
      <w:r w:rsidRPr="00041046">
        <w:t xml:space="preserve"> of the Commonwealth.</w:t>
      </w:r>
    </w:p>
    <w:p w14:paraId="75AFBB9D" w14:textId="77777777" w:rsidR="00DB6E47" w:rsidRPr="00041046" w:rsidRDefault="00DB6E47" w:rsidP="00DB6E47">
      <w:pPr>
        <w:pStyle w:val="aDef"/>
        <w:rPr>
          <w:bCs/>
        </w:rPr>
      </w:pPr>
      <w:r w:rsidRPr="00041046">
        <w:rPr>
          <w:rStyle w:val="charBoldItals"/>
        </w:rPr>
        <w:t>make</w:t>
      </w:r>
      <w:r w:rsidRPr="00041046">
        <w:t xml:space="preserve"> includes issue or grant.</w:t>
      </w:r>
    </w:p>
    <w:p w14:paraId="71BD6B12" w14:textId="77777777" w:rsidR="00DB6E47" w:rsidRPr="00041046" w:rsidRDefault="00DB6E47" w:rsidP="00DB6E47">
      <w:pPr>
        <w:pStyle w:val="aDef"/>
        <w:rPr>
          <w:bCs/>
        </w:rPr>
      </w:pPr>
      <w:r w:rsidRPr="00041046">
        <w:rPr>
          <w:rStyle w:val="charBoldItals"/>
        </w:rPr>
        <w:t>minor</w:t>
      </w:r>
      <w:r w:rsidRPr="00041046">
        <w:t xml:space="preserve"> means an individual who is under 18.</w:t>
      </w:r>
    </w:p>
    <w:p w14:paraId="0AC18741" w14:textId="77777777" w:rsidR="00DB6E47" w:rsidRPr="00041046" w:rsidRDefault="00DB6E47" w:rsidP="00DB6E47">
      <w:pPr>
        <w:pStyle w:val="aDef"/>
        <w:rPr>
          <w:bCs/>
        </w:rPr>
      </w:pPr>
      <w:r w:rsidRPr="00041046">
        <w:rPr>
          <w:rStyle w:val="charBoldItals"/>
        </w:rPr>
        <w:t>modification</w:t>
      </w:r>
      <w:r w:rsidRPr="00041046">
        <w:t xml:space="preserve"> includes addition, omission or substitution.</w:t>
      </w:r>
    </w:p>
    <w:p w14:paraId="3D6E89E0" w14:textId="77777777" w:rsidR="00DB6E47" w:rsidRPr="00041046" w:rsidRDefault="00DB6E47" w:rsidP="00DB6E47">
      <w:pPr>
        <w:pStyle w:val="aDef"/>
        <w:rPr>
          <w:bCs/>
        </w:rPr>
      </w:pPr>
      <w:r w:rsidRPr="00041046">
        <w:rPr>
          <w:rStyle w:val="charBoldItals"/>
        </w:rPr>
        <w:t>month</w:t>
      </w:r>
      <w:r w:rsidRPr="00041046">
        <w:t xml:space="preserve"> means a calendar month.</w:t>
      </w:r>
    </w:p>
    <w:p w14:paraId="54AC383B" w14:textId="77777777" w:rsidR="00DB6E47" w:rsidRPr="00041046" w:rsidRDefault="00DB6E47" w:rsidP="00DB6E47">
      <w:pPr>
        <w:pStyle w:val="aDef"/>
        <w:rPr>
          <w:bCs/>
        </w:rPr>
      </w:pPr>
      <w:r w:rsidRPr="00041046">
        <w:rPr>
          <w:rStyle w:val="charBoldItals"/>
        </w:rPr>
        <w:t xml:space="preserve">named month </w:t>
      </w:r>
      <w:r w:rsidRPr="00041046">
        <w:t>means 1 of the 12 months of the year.</w:t>
      </w:r>
    </w:p>
    <w:p w14:paraId="6DF611D0" w14:textId="77777777" w:rsidR="00DB6E47" w:rsidRPr="00041046" w:rsidRDefault="00DB6E47" w:rsidP="00DB6E47">
      <w:pPr>
        <w:pStyle w:val="aDef"/>
        <w:rPr>
          <w:bCs/>
        </w:rPr>
      </w:pPr>
      <w:r w:rsidRPr="00041046">
        <w:rPr>
          <w:rStyle w:val="charBoldItals"/>
        </w:rPr>
        <w:t>Northern Territory</w:t>
      </w:r>
      <w:r w:rsidRPr="00041046">
        <w:t xml:space="preserve"> means the Northern Territory of Australia.</w:t>
      </w:r>
    </w:p>
    <w:p w14:paraId="1416455D" w14:textId="77777777" w:rsidR="00DB6E47" w:rsidRPr="00041046" w:rsidRDefault="00DB6E47" w:rsidP="00DB6E47">
      <w:pPr>
        <w:pStyle w:val="aDef"/>
        <w:rPr>
          <w:bCs/>
        </w:rPr>
      </w:pPr>
      <w:r w:rsidRPr="00041046">
        <w:rPr>
          <w:rStyle w:val="charBoldItals"/>
        </w:rPr>
        <w:t>number</w:t>
      </w:r>
      <w:r w:rsidRPr="00041046">
        <w:t xml:space="preserve"> means—</w:t>
      </w:r>
    </w:p>
    <w:p w14:paraId="356FAA5F" w14:textId="77777777" w:rsidR="00DB6E47" w:rsidRPr="00F04D8E" w:rsidRDefault="00DB6E47" w:rsidP="00DB6E47">
      <w:pPr>
        <w:pStyle w:val="aDefpara"/>
      </w:pPr>
      <w:r w:rsidRPr="00F04D8E">
        <w:rPr>
          <w:rFonts w:cs="Times"/>
          <w:bCs/>
        </w:rPr>
        <w:tab/>
        <w:t>(a)</w:t>
      </w:r>
      <w:r w:rsidRPr="00F04D8E">
        <w:rPr>
          <w:rFonts w:cs="Times"/>
          <w:bCs/>
        </w:rPr>
        <w:tab/>
        <w:t>a number expressed in figures or words; or</w:t>
      </w:r>
    </w:p>
    <w:p w14:paraId="17E7D116" w14:textId="77777777" w:rsidR="00DB6E47" w:rsidRPr="00F04D8E" w:rsidRDefault="00DB6E47" w:rsidP="00DB6E47">
      <w:pPr>
        <w:pStyle w:val="aDefpara"/>
      </w:pPr>
      <w:r w:rsidRPr="00F04D8E">
        <w:tab/>
        <w:t>(b)</w:t>
      </w:r>
      <w:r w:rsidRPr="00F04D8E">
        <w:tab/>
        <w:t>a letter; or</w:t>
      </w:r>
    </w:p>
    <w:p w14:paraId="334CF2EA" w14:textId="77777777" w:rsidR="00DB6E47" w:rsidRPr="00F04D8E" w:rsidRDefault="00DB6E47" w:rsidP="00DB6E47">
      <w:pPr>
        <w:pStyle w:val="aDefpara"/>
      </w:pPr>
      <w:r w:rsidRPr="00F04D8E">
        <w:tab/>
        <w:t>(c)</w:t>
      </w:r>
      <w:r w:rsidRPr="00F04D8E">
        <w:tab/>
        <w:t>a combination of a number so expressed and a letter.</w:t>
      </w:r>
    </w:p>
    <w:p w14:paraId="2A0FBE25" w14:textId="77777777" w:rsidR="00DB6E47" w:rsidRPr="00041046" w:rsidRDefault="00DB6E47" w:rsidP="00DB6E47">
      <w:pPr>
        <w:pStyle w:val="aDef"/>
        <w:rPr>
          <w:bCs/>
        </w:rPr>
      </w:pPr>
      <w:r w:rsidRPr="00041046">
        <w:rPr>
          <w:rStyle w:val="charBoldItals"/>
        </w:rPr>
        <w:t>oath</w:t>
      </w:r>
      <w:r w:rsidRPr="00041046">
        <w:t>, in relation to a person allowed by law to affirm, declare or promise, includes affirmation, declaration or promise.</w:t>
      </w:r>
    </w:p>
    <w:p w14:paraId="38FE61B1" w14:textId="77777777" w:rsidR="00DB6E47" w:rsidRPr="00041046" w:rsidRDefault="00DB6E47" w:rsidP="00DB6E47">
      <w:pPr>
        <w:pStyle w:val="aDef"/>
        <w:rPr>
          <w:bCs/>
        </w:rPr>
      </w:pPr>
      <w:r w:rsidRPr="00041046">
        <w:rPr>
          <w:rStyle w:val="charBoldItals"/>
        </w:rPr>
        <w:t>office</w:t>
      </w:r>
      <w:r w:rsidRPr="00041046">
        <w:t xml:space="preserve"> includes position.</w:t>
      </w:r>
    </w:p>
    <w:p w14:paraId="11F68B63" w14:textId="77777777" w:rsidR="00DB6E47" w:rsidRPr="00041046" w:rsidRDefault="00DB6E47" w:rsidP="00DB6E47">
      <w:pPr>
        <w:pStyle w:val="aDef"/>
        <w:rPr>
          <w:bCs/>
        </w:rPr>
      </w:pPr>
      <w:r w:rsidRPr="00041046">
        <w:rPr>
          <w:rStyle w:val="charBoldItals"/>
        </w:rPr>
        <w:t>omit</w:t>
      </w:r>
      <w:r w:rsidRPr="00041046">
        <w:t>, in relation to a provision of this Law or an Act, includes repeal.</w:t>
      </w:r>
    </w:p>
    <w:p w14:paraId="3A4DFE67" w14:textId="77777777" w:rsidR="00DB6E47" w:rsidRPr="00041046" w:rsidRDefault="00DB6E47" w:rsidP="00DB6E47">
      <w:pPr>
        <w:pStyle w:val="aDef"/>
        <w:rPr>
          <w:bCs/>
        </w:rPr>
      </w:pPr>
      <w:r w:rsidRPr="00041046">
        <w:rPr>
          <w:rStyle w:val="charBoldItals"/>
        </w:rPr>
        <w:t>party</w:t>
      </w:r>
      <w:r w:rsidRPr="00041046">
        <w:t xml:space="preserve"> includes an individual or a body politic or corporate.</w:t>
      </w:r>
    </w:p>
    <w:p w14:paraId="5D257A0D" w14:textId="77777777" w:rsidR="00DB6E47" w:rsidRPr="00041046" w:rsidRDefault="00DB6E47" w:rsidP="00DB6E47">
      <w:pPr>
        <w:pStyle w:val="aDef"/>
        <w:rPr>
          <w:bCs/>
        </w:rPr>
      </w:pPr>
      <w:r w:rsidRPr="00041046">
        <w:rPr>
          <w:rStyle w:val="charBoldItals"/>
        </w:rPr>
        <w:t>penalty</w:t>
      </w:r>
      <w:r w:rsidRPr="00041046">
        <w:t xml:space="preserve"> includes forfeiture or punishment.</w:t>
      </w:r>
    </w:p>
    <w:p w14:paraId="01C82D40" w14:textId="77777777" w:rsidR="00DB6E47" w:rsidRPr="00041046" w:rsidRDefault="00DB6E47" w:rsidP="00DB6E47">
      <w:pPr>
        <w:pStyle w:val="aDef"/>
        <w:rPr>
          <w:bCs/>
        </w:rPr>
      </w:pPr>
      <w:r w:rsidRPr="00041046">
        <w:rPr>
          <w:rStyle w:val="charBoldItals"/>
        </w:rPr>
        <w:t>person</w:t>
      </w:r>
      <w:r w:rsidRPr="00041046">
        <w:t xml:space="preserve"> includes an individual or a body politic or corporate.</w:t>
      </w:r>
    </w:p>
    <w:p w14:paraId="777CB2A2" w14:textId="77777777" w:rsidR="00DB6E47" w:rsidRPr="00041046" w:rsidRDefault="00DB6E47" w:rsidP="00DB6E47">
      <w:pPr>
        <w:pStyle w:val="aDef"/>
        <w:rPr>
          <w:bCs/>
        </w:rPr>
      </w:pPr>
      <w:r w:rsidRPr="00041046">
        <w:rPr>
          <w:rStyle w:val="charBoldItals"/>
        </w:rPr>
        <w:t>power</w:t>
      </w:r>
      <w:r w:rsidRPr="00041046">
        <w:t xml:space="preserve"> includes authority.</w:t>
      </w:r>
    </w:p>
    <w:p w14:paraId="05DDEE83" w14:textId="77777777" w:rsidR="00DB6E47" w:rsidRPr="00041046" w:rsidRDefault="00DB6E47" w:rsidP="00DB6E47">
      <w:pPr>
        <w:pStyle w:val="aDef"/>
        <w:rPr>
          <w:bCs/>
        </w:rPr>
      </w:pPr>
      <w:r w:rsidRPr="00041046">
        <w:rPr>
          <w:rStyle w:val="charBoldItals"/>
        </w:rPr>
        <w:t>prescribed</w:t>
      </w:r>
      <w:r w:rsidRPr="00041046">
        <w:t xml:space="preserve"> means prescribed by, or by regulations made or in force for the purposes of or under, this Law.</w:t>
      </w:r>
    </w:p>
    <w:p w14:paraId="2E13D329" w14:textId="77777777" w:rsidR="00DB6E47" w:rsidRPr="00041046" w:rsidRDefault="00DB6E47" w:rsidP="00DB6E47">
      <w:pPr>
        <w:pStyle w:val="aDef"/>
        <w:rPr>
          <w:bCs/>
        </w:rPr>
      </w:pPr>
      <w:r w:rsidRPr="00041046">
        <w:rPr>
          <w:rStyle w:val="charBoldItals"/>
        </w:rPr>
        <w:lastRenderedPageBreak/>
        <w:t>printed</w:t>
      </w:r>
      <w:r w:rsidRPr="00041046">
        <w:t xml:space="preserve"> includes typewritten, lithographed or reproduced by any mechanical means.</w:t>
      </w:r>
    </w:p>
    <w:p w14:paraId="49988EE1" w14:textId="77777777" w:rsidR="00DB6E47" w:rsidRPr="00041046" w:rsidRDefault="00DB6E47" w:rsidP="00DB6E47">
      <w:pPr>
        <w:pStyle w:val="aDef"/>
        <w:rPr>
          <w:bCs/>
        </w:rPr>
      </w:pPr>
      <w:r w:rsidRPr="00041046">
        <w:rPr>
          <w:rStyle w:val="charBoldItals"/>
        </w:rPr>
        <w:t>proceeding</w:t>
      </w:r>
      <w:r w:rsidRPr="00041046">
        <w:t xml:space="preserve"> means a legal or other action or proceeding.</w:t>
      </w:r>
    </w:p>
    <w:p w14:paraId="7CAE3669" w14:textId="77777777" w:rsidR="00DB6E47" w:rsidRPr="00041046" w:rsidRDefault="00DB6E47" w:rsidP="00DB6E47">
      <w:pPr>
        <w:pStyle w:val="aDef"/>
        <w:rPr>
          <w:bCs/>
        </w:rPr>
      </w:pPr>
      <w:r w:rsidRPr="00041046">
        <w:rPr>
          <w:rStyle w:val="charBoldItals"/>
        </w:rPr>
        <w:t>property</w:t>
      </w:r>
      <w:r w:rsidRPr="00041046">
        <w:t xml:space="preserve"> means any legal or equitable estate or interest (whether present or future, vested or contingent, or tangible or intangible) in real or personal property of any description (including money), and includes things in action.</w:t>
      </w:r>
    </w:p>
    <w:p w14:paraId="426A50D5" w14:textId="77777777" w:rsidR="00DB6E47" w:rsidRPr="00041046" w:rsidRDefault="00DB6E47" w:rsidP="00DB6E47">
      <w:pPr>
        <w:pStyle w:val="aDef"/>
        <w:rPr>
          <w:bCs/>
        </w:rPr>
      </w:pPr>
      <w:r w:rsidRPr="00041046">
        <w:rPr>
          <w:rStyle w:val="charBoldItals"/>
        </w:rPr>
        <w:t>provision</w:t>
      </w:r>
      <w:r w:rsidRPr="00041046">
        <w:t>, in relation to this Law or an Act, means words or other matter that form or forms part of this Law or the Act, and includes—</w:t>
      </w:r>
    </w:p>
    <w:p w14:paraId="03ABCA6F" w14:textId="77777777" w:rsidR="00DB6E47" w:rsidRPr="00F04D8E" w:rsidRDefault="00DB6E47" w:rsidP="00DB6E47">
      <w:pPr>
        <w:pStyle w:val="aDefpara"/>
      </w:pPr>
      <w:r w:rsidRPr="00F04D8E">
        <w:rPr>
          <w:rFonts w:cs="Times"/>
          <w:bCs/>
        </w:rPr>
        <w:tab/>
        <w:t>(a)</w:t>
      </w:r>
      <w:r w:rsidRPr="00F04D8E">
        <w:rPr>
          <w:rFonts w:cs="Times"/>
          <w:bCs/>
        </w:rPr>
        <w:tab/>
        <w:t>a Chapter, Part, Division, Subdivision, section, subsection, paragraph, subparagraph, sub-subparagraph or Schedule of or to this Law or the Act; and</w:t>
      </w:r>
    </w:p>
    <w:p w14:paraId="7081A9A3" w14:textId="77777777" w:rsidR="00DB6E47" w:rsidRPr="00F04D8E" w:rsidRDefault="00DB6E47" w:rsidP="00DB6E47">
      <w:pPr>
        <w:pStyle w:val="aDefpara"/>
      </w:pPr>
      <w:r w:rsidRPr="00F04D8E">
        <w:tab/>
        <w:t>(b)</w:t>
      </w:r>
      <w:r w:rsidRPr="00F04D8E">
        <w:tab/>
        <w:t>a section, clause, subclause, item, column, table or form of or in a Schedule to this Law or the Act; and</w:t>
      </w:r>
    </w:p>
    <w:p w14:paraId="3955BD96" w14:textId="77777777" w:rsidR="00DB6E47" w:rsidRPr="00F04D8E" w:rsidRDefault="00DB6E47" w:rsidP="00DB6E47">
      <w:pPr>
        <w:pStyle w:val="aDefpara"/>
      </w:pPr>
      <w:r w:rsidRPr="00F04D8E">
        <w:tab/>
        <w:t>(c)</w:t>
      </w:r>
      <w:r w:rsidRPr="00F04D8E">
        <w:tab/>
        <w:t>the long title and any preamble to the Act.</w:t>
      </w:r>
    </w:p>
    <w:p w14:paraId="29570892" w14:textId="77777777" w:rsidR="00DB6E47" w:rsidRPr="00041046" w:rsidRDefault="00DB6E47" w:rsidP="00DB6E47">
      <w:pPr>
        <w:pStyle w:val="aDef"/>
        <w:rPr>
          <w:bCs/>
        </w:rPr>
      </w:pPr>
      <w:r w:rsidRPr="00041046">
        <w:rPr>
          <w:rStyle w:val="charBoldItals"/>
        </w:rPr>
        <w:t>record</w:t>
      </w:r>
      <w:r w:rsidRPr="00041046">
        <w:t xml:space="preserve"> includes information stored or recorded by means of a computer.</w:t>
      </w:r>
    </w:p>
    <w:p w14:paraId="0AF0A428" w14:textId="77777777" w:rsidR="00DB6E47" w:rsidRPr="00041046" w:rsidRDefault="00DB6E47" w:rsidP="006767F0">
      <w:pPr>
        <w:pStyle w:val="aDef"/>
        <w:keepNext/>
        <w:rPr>
          <w:bCs/>
        </w:rPr>
      </w:pPr>
      <w:r w:rsidRPr="00041046">
        <w:rPr>
          <w:rStyle w:val="charBoldItals"/>
        </w:rPr>
        <w:t>repeal</w:t>
      </w:r>
      <w:r w:rsidRPr="00041046">
        <w:t xml:space="preserve"> includes—</w:t>
      </w:r>
    </w:p>
    <w:p w14:paraId="4CD64136" w14:textId="77777777" w:rsidR="00DB6E47" w:rsidRPr="00F04D8E" w:rsidRDefault="00DB6E47" w:rsidP="00DB6E47">
      <w:pPr>
        <w:pStyle w:val="aDefpara"/>
      </w:pPr>
      <w:r w:rsidRPr="00F04D8E">
        <w:rPr>
          <w:rFonts w:cs="Times"/>
          <w:bCs/>
        </w:rPr>
        <w:tab/>
        <w:t>(a)</w:t>
      </w:r>
      <w:r w:rsidRPr="00F04D8E">
        <w:rPr>
          <w:rFonts w:cs="Times"/>
          <w:bCs/>
        </w:rPr>
        <w:tab/>
        <w:t>revoke or rescind; and</w:t>
      </w:r>
    </w:p>
    <w:p w14:paraId="529094AD" w14:textId="77777777" w:rsidR="00DB6E47" w:rsidRPr="00F04D8E" w:rsidRDefault="00DB6E47" w:rsidP="00DB6E47">
      <w:pPr>
        <w:pStyle w:val="aDefpara"/>
      </w:pPr>
      <w:r w:rsidRPr="00F04D8E">
        <w:tab/>
        <w:t>(b)</w:t>
      </w:r>
      <w:r w:rsidRPr="00F04D8E">
        <w:tab/>
        <w:t>repeal by implication; and</w:t>
      </w:r>
    </w:p>
    <w:p w14:paraId="0FA48572" w14:textId="77777777" w:rsidR="00DB6E47" w:rsidRPr="00F04D8E" w:rsidRDefault="00DB6E47" w:rsidP="00DB6E47">
      <w:pPr>
        <w:pStyle w:val="aDefpara"/>
      </w:pPr>
      <w:r w:rsidRPr="00F04D8E">
        <w:tab/>
        <w:t>(c)</w:t>
      </w:r>
      <w:r w:rsidRPr="00F04D8E">
        <w:tab/>
        <w:t>abrogate or limit the effect of this Law or the instrument concerned; and</w:t>
      </w:r>
    </w:p>
    <w:p w14:paraId="35A01CAA" w14:textId="77777777" w:rsidR="00DB6E47" w:rsidRPr="00F04D8E" w:rsidRDefault="00DB6E47" w:rsidP="00DB6E47">
      <w:pPr>
        <w:pStyle w:val="aDefpara"/>
      </w:pPr>
      <w:r w:rsidRPr="00F04D8E">
        <w:tab/>
        <w:t>(d)</w:t>
      </w:r>
      <w:r w:rsidRPr="00F04D8E">
        <w:tab/>
        <w:t>exclude from, or include in, the application of this Law or the instrument concerned any person, subject matter or circumstance.</w:t>
      </w:r>
    </w:p>
    <w:p w14:paraId="5A786CB7" w14:textId="77777777" w:rsidR="00DB6E47" w:rsidRPr="00041046" w:rsidRDefault="00DB6E47" w:rsidP="00DB6E47">
      <w:pPr>
        <w:pStyle w:val="aDef"/>
        <w:rPr>
          <w:bCs/>
        </w:rPr>
      </w:pPr>
      <w:r w:rsidRPr="00041046">
        <w:rPr>
          <w:rStyle w:val="charBoldItals"/>
        </w:rPr>
        <w:t>sign</w:t>
      </w:r>
      <w:r w:rsidRPr="00041046">
        <w:t xml:space="preserve"> includes the affixing of a seal or the making of a mark.</w:t>
      </w:r>
    </w:p>
    <w:p w14:paraId="58EF82D8" w14:textId="77777777" w:rsidR="00DB6E47" w:rsidRPr="00041046" w:rsidRDefault="00DB6E47" w:rsidP="006E6789">
      <w:pPr>
        <w:pStyle w:val="aDef"/>
        <w:keepLines/>
        <w:rPr>
          <w:bCs/>
        </w:rPr>
      </w:pPr>
      <w:r w:rsidRPr="00041046">
        <w:rPr>
          <w:rStyle w:val="charBoldItals"/>
        </w:rPr>
        <w:lastRenderedPageBreak/>
        <w:t>statutory</w:t>
      </w:r>
      <w:r w:rsidRPr="00041046">
        <w:t xml:space="preserve"> </w:t>
      </w:r>
      <w:r w:rsidRPr="00041046">
        <w:rPr>
          <w:iCs/>
        </w:rPr>
        <w:t>declaration</w:t>
      </w:r>
      <w:r w:rsidRPr="00041046">
        <w:t xml:space="preserve"> means a declaration made under an Act, or under a Commonwealth Act or an Act of another jurisdiction, that authorises a declaration to be made otherwise than in the course of a judicial proceeding.</w:t>
      </w:r>
    </w:p>
    <w:p w14:paraId="777B748D" w14:textId="77777777" w:rsidR="00DB6E47" w:rsidRPr="00041046" w:rsidRDefault="00DB6E47" w:rsidP="00DB6E47">
      <w:pPr>
        <w:pStyle w:val="aDef"/>
        <w:rPr>
          <w:bCs/>
        </w:rPr>
      </w:pPr>
      <w:r w:rsidRPr="00041046">
        <w:rPr>
          <w:rStyle w:val="charBoldItals"/>
        </w:rPr>
        <w:t>statutory</w:t>
      </w:r>
      <w:r w:rsidRPr="00041046">
        <w:t xml:space="preserve"> </w:t>
      </w:r>
      <w:r w:rsidRPr="00041046">
        <w:rPr>
          <w:iCs/>
        </w:rPr>
        <w:t>instrument</w:t>
      </w:r>
      <w:r w:rsidRPr="00041046">
        <w:t xml:space="preserve"> means an instrument (including a regulation) made or in force under or for the purposes of this Law, and includes an instrument made or in force under any such instrument.</w:t>
      </w:r>
    </w:p>
    <w:p w14:paraId="56334E7E" w14:textId="77777777" w:rsidR="00DB6E47" w:rsidRPr="00041046" w:rsidRDefault="00DB6E47" w:rsidP="00DB6E47">
      <w:pPr>
        <w:pStyle w:val="aDef"/>
        <w:rPr>
          <w:bCs/>
        </w:rPr>
      </w:pPr>
      <w:r w:rsidRPr="00041046">
        <w:rPr>
          <w:rStyle w:val="charBoldItals"/>
        </w:rPr>
        <w:t>swear</w:t>
      </w:r>
      <w:r w:rsidRPr="00041046">
        <w:t>, in relation to a person allowed by law to affirm, declare or promise, includes affirm, declare or promise.</w:t>
      </w:r>
    </w:p>
    <w:p w14:paraId="095708A0" w14:textId="77777777" w:rsidR="00DB6E47" w:rsidRPr="00041046" w:rsidRDefault="00DB6E47" w:rsidP="00DB6E47">
      <w:pPr>
        <w:pStyle w:val="aDef"/>
        <w:rPr>
          <w:bCs/>
        </w:rPr>
      </w:pPr>
      <w:r w:rsidRPr="00041046">
        <w:rPr>
          <w:rStyle w:val="charBoldItals"/>
        </w:rPr>
        <w:t>word</w:t>
      </w:r>
      <w:r w:rsidRPr="00041046">
        <w:t xml:space="preserve"> includes any symbol, figure or drawing.</w:t>
      </w:r>
    </w:p>
    <w:p w14:paraId="6AF29539" w14:textId="77777777" w:rsidR="00DB6E47" w:rsidRPr="00041046" w:rsidRDefault="00DB6E47" w:rsidP="00DB6E47">
      <w:pPr>
        <w:pStyle w:val="aDef"/>
        <w:rPr>
          <w:bCs/>
        </w:rPr>
      </w:pPr>
      <w:r w:rsidRPr="00041046">
        <w:rPr>
          <w:rStyle w:val="charBoldItals"/>
        </w:rPr>
        <w:t>writing</w:t>
      </w:r>
      <w:r w:rsidRPr="00041046">
        <w:t xml:space="preserve"> includes any mode of representing or reproducing words in a visible form.</w:t>
      </w:r>
    </w:p>
    <w:p w14:paraId="7753A743" w14:textId="77777777" w:rsidR="00DB6E47" w:rsidRPr="00041046" w:rsidRDefault="00DB6E47" w:rsidP="00DB6E47">
      <w:pPr>
        <w:pStyle w:val="aDef"/>
        <w:rPr>
          <w:bCs/>
        </w:rPr>
      </w:pPr>
      <w:r w:rsidRPr="00041046">
        <w:rPr>
          <w:rStyle w:val="charBoldItals"/>
        </w:rPr>
        <w:t>year</w:t>
      </w:r>
      <w:r w:rsidRPr="00041046">
        <w:t>, without specifying the type of year, means calendar year.</w:t>
      </w:r>
    </w:p>
    <w:p w14:paraId="5F44A368" w14:textId="77777777" w:rsidR="00DB6E47" w:rsidRPr="00041046" w:rsidRDefault="00DB6E47" w:rsidP="00DB6E47">
      <w:pPr>
        <w:pStyle w:val="Amain"/>
      </w:pPr>
      <w:r w:rsidRPr="00041046">
        <w:tab/>
        <w:t>(2)</w:t>
      </w:r>
      <w:r w:rsidRPr="00041046">
        <w:tab/>
        <w:t>In a statutory instrument—</w:t>
      </w:r>
    </w:p>
    <w:p w14:paraId="673DC68A" w14:textId="77777777" w:rsidR="00DB6E47" w:rsidRPr="00041046" w:rsidRDefault="00DB6E47" w:rsidP="00DB6E47">
      <w:pPr>
        <w:pStyle w:val="aDef"/>
        <w:rPr>
          <w:bCs/>
        </w:rPr>
      </w:pPr>
      <w:r w:rsidRPr="00041046">
        <w:rPr>
          <w:rStyle w:val="charBoldItals"/>
        </w:rPr>
        <w:t>the Law</w:t>
      </w:r>
      <w:r w:rsidRPr="00041046">
        <w:t xml:space="preserve"> means this Law.</w:t>
      </w:r>
    </w:p>
    <w:p w14:paraId="47F67C57" w14:textId="77777777" w:rsidR="00DB6E47" w:rsidRPr="007E1F9A" w:rsidRDefault="00DB6E47" w:rsidP="00DB6E47">
      <w:pPr>
        <w:pStyle w:val="Schclauseheading"/>
      </w:pPr>
      <w:bookmarkStart w:id="979" w:name="_Toc83626323"/>
      <w:r w:rsidRPr="005E03F7">
        <w:rPr>
          <w:rStyle w:val="CharSectNo"/>
        </w:rPr>
        <w:t>13</w:t>
      </w:r>
      <w:r w:rsidRPr="007E1F9A">
        <w:tab/>
      </w:r>
      <w:r w:rsidRPr="007E1F9A">
        <w:rPr>
          <w:rFonts w:ascii="Helvetica" w:hAnsi="Helvetica" w:cs="Helvetica"/>
        </w:rPr>
        <w:t>Provisions relating to defined terms and gender and number</w:t>
      </w:r>
      <w:bookmarkEnd w:id="979"/>
    </w:p>
    <w:p w14:paraId="560CF823" w14:textId="77777777" w:rsidR="00DB6E47" w:rsidRPr="009451A4" w:rsidRDefault="00DB6E47" w:rsidP="00DB6E47">
      <w:pPr>
        <w:pStyle w:val="Amain"/>
      </w:pPr>
      <w:r w:rsidRPr="009451A4">
        <w:tab/>
        <w:t>(1)</w:t>
      </w:r>
      <w:r w:rsidRPr="009451A4">
        <w:tab/>
        <w:t>If this Law defines a word or expression, other parts of speech and grammatical forms of the word or expression have corresponding meanings.</w:t>
      </w:r>
    </w:p>
    <w:p w14:paraId="4A982B15" w14:textId="77777777" w:rsidR="00DB6E47" w:rsidRPr="009451A4" w:rsidRDefault="00DB6E47" w:rsidP="00DB6E47">
      <w:pPr>
        <w:pStyle w:val="Amain"/>
      </w:pPr>
      <w:r w:rsidRPr="009451A4">
        <w:tab/>
        <w:t>(2)</w:t>
      </w:r>
      <w:r w:rsidRPr="009451A4">
        <w:tab/>
        <w:t>Definitions in or applicable to this Law apply except so far as the context or subject matter otherwise indicates or requires.</w:t>
      </w:r>
    </w:p>
    <w:p w14:paraId="4AB9B2B3" w14:textId="77777777" w:rsidR="00DB6E47" w:rsidRPr="009451A4" w:rsidRDefault="00DB6E47" w:rsidP="00DB6E47">
      <w:pPr>
        <w:pStyle w:val="Amain"/>
      </w:pPr>
      <w:r w:rsidRPr="009451A4">
        <w:tab/>
        <w:t>(3)</w:t>
      </w:r>
      <w:r w:rsidRPr="009451A4">
        <w:tab/>
        <w:t>In this Law, words indicating a gender include each other gender.</w:t>
      </w:r>
    </w:p>
    <w:p w14:paraId="51095059" w14:textId="77777777" w:rsidR="00DB6E47" w:rsidRPr="009451A4" w:rsidRDefault="00DB6E47" w:rsidP="00496DF2">
      <w:pPr>
        <w:pStyle w:val="Amain"/>
        <w:keepNext/>
      </w:pPr>
      <w:r w:rsidRPr="009451A4">
        <w:tab/>
        <w:t>(4)</w:t>
      </w:r>
      <w:r w:rsidRPr="009451A4">
        <w:tab/>
        <w:t>In this Law—</w:t>
      </w:r>
    </w:p>
    <w:p w14:paraId="6D5C3F92" w14:textId="77777777" w:rsidR="00DB6E47" w:rsidRPr="00544ED5" w:rsidRDefault="00DB6E47" w:rsidP="00DB6E47">
      <w:pPr>
        <w:pStyle w:val="Apara"/>
      </w:pPr>
      <w:r w:rsidRPr="00544ED5">
        <w:tab/>
        <w:t>(a)</w:t>
      </w:r>
      <w:r w:rsidRPr="00544ED5">
        <w:tab/>
        <w:t>words in the singular include the plural; and</w:t>
      </w:r>
    </w:p>
    <w:p w14:paraId="06FFAAB2" w14:textId="77777777" w:rsidR="00DB6E47" w:rsidRPr="00544ED5" w:rsidRDefault="00DB6E47" w:rsidP="00DB6E47">
      <w:pPr>
        <w:pStyle w:val="Apara"/>
      </w:pPr>
      <w:r w:rsidRPr="00544ED5">
        <w:tab/>
        <w:t>(b)</w:t>
      </w:r>
      <w:r w:rsidRPr="00544ED5">
        <w:tab/>
        <w:t>words in the plural include the singular.</w:t>
      </w:r>
    </w:p>
    <w:p w14:paraId="19441C73" w14:textId="77777777" w:rsidR="00DB6E47" w:rsidRPr="007E1F9A" w:rsidRDefault="00DB6E47" w:rsidP="00DB6E47">
      <w:pPr>
        <w:pStyle w:val="Schclauseheading"/>
      </w:pPr>
      <w:bookmarkStart w:id="980" w:name="_Toc83626324"/>
      <w:r w:rsidRPr="005E03F7">
        <w:rPr>
          <w:rStyle w:val="CharSectNo"/>
        </w:rPr>
        <w:lastRenderedPageBreak/>
        <w:t>14</w:t>
      </w:r>
      <w:r w:rsidRPr="007E1F9A">
        <w:tab/>
      </w:r>
      <w:r w:rsidRPr="007E1F9A">
        <w:rPr>
          <w:rFonts w:ascii="Helvetica" w:hAnsi="Helvetica" w:cs="Helvetica"/>
        </w:rPr>
        <w:t>Meaning of ‘</w:t>
      </w:r>
      <w:r w:rsidRPr="00FF4454">
        <w:rPr>
          <w:rStyle w:val="charItals"/>
        </w:rPr>
        <w:t>may</w:t>
      </w:r>
      <w:r w:rsidRPr="007E1F9A">
        <w:rPr>
          <w:rFonts w:ascii="Helvetica" w:hAnsi="Helvetica" w:cs="Helvetica"/>
        </w:rPr>
        <w:t>’ and ‘</w:t>
      </w:r>
      <w:r w:rsidRPr="00FF4454">
        <w:rPr>
          <w:rStyle w:val="charItals"/>
        </w:rPr>
        <w:t>must</w:t>
      </w:r>
      <w:r w:rsidRPr="007E1F9A">
        <w:rPr>
          <w:rFonts w:ascii="Helvetica" w:hAnsi="Helvetica" w:cs="Helvetica"/>
        </w:rPr>
        <w:t>’</w:t>
      </w:r>
      <w:bookmarkEnd w:id="980"/>
    </w:p>
    <w:p w14:paraId="65041A94" w14:textId="77777777" w:rsidR="00DB6E47" w:rsidRPr="009451A4" w:rsidRDefault="00DB6E47" w:rsidP="00DB6E47">
      <w:pPr>
        <w:pStyle w:val="Amain"/>
      </w:pPr>
      <w:r w:rsidRPr="009451A4">
        <w:tab/>
        <w:t>(1)</w:t>
      </w:r>
      <w:r w:rsidRPr="009451A4">
        <w:tab/>
        <w:t xml:space="preserve">In this Law, the word </w:t>
      </w:r>
      <w:r w:rsidRPr="00FF4454">
        <w:rPr>
          <w:rStyle w:val="charBoldItals"/>
        </w:rPr>
        <w:t>may</w:t>
      </w:r>
      <w:r w:rsidRPr="009451A4">
        <w:t>, or a similar word or expression, used in relation to a power indicates that the power may be exercised or not exercised, at discretion.</w:t>
      </w:r>
    </w:p>
    <w:p w14:paraId="697C7F72" w14:textId="77777777" w:rsidR="00DB6E47" w:rsidRPr="009451A4" w:rsidRDefault="00DB6E47" w:rsidP="00DB6E47">
      <w:pPr>
        <w:pStyle w:val="Amain"/>
      </w:pPr>
      <w:r w:rsidRPr="009451A4">
        <w:tab/>
        <w:t>(2)</w:t>
      </w:r>
      <w:r w:rsidRPr="009451A4">
        <w:tab/>
        <w:t xml:space="preserve">In this Law, the word </w:t>
      </w:r>
      <w:r w:rsidRPr="00FF4454">
        <w:rPr>
          <w:rStyle w:val="charBoldItals"/>
        </w:rPr>
        <w:t>must</w:t>
      </w:r>
      <w:r w:rsidRPr="009451A4">
        <w:t>, or a similar word or expression, used in relation to a power indicates that the power is required to be exercised.</w:t>
      </w:r>
    </w:p>
    <w:p w14:paraId="683236E4" w14:textId="77777777" w:rsidR="00DB6E47" w:rsidRPr="009451A4" w:rsidRDefault="00DB6E47" w:rsidP="00DB6E47">
      <w:pPr>
        <w:pStyle w:val="Amain"/>
      </w:pPr>
      <w:r w:rsidRPr="009451A4">
        <w:tab/>
        <w:t>(3)</w:t>
      </w:r>
      <w:r w:rsidRPr="009451A4">
        <w:tab/>
        <w:t>This section has effect despite any rule of construction to the contrary.</w:t>
      </w:r>
    </w:p>
    <w:p w14:paraId="6970BA0B" w14:textId="77777777" w:rsidR="00DB6E47" w:rsidRPr="007E1F9A" w:rsidRDefault="00DB6E47" w:rsidP="00DB6E47">
      <w:pPr>
        <w:pStyle w:val="Schclauseheading"/>
      </w:pPr>
      <w:bookmarkStart w:id="981" w:name="_Toc83626325"/>
      <w:r w:rsidRPr="005E03F7">
        <w:rPr>
          <w:rStyle w:val="CharSectNo"/>
        </w:rPr>
        <w:t>15</w:t>
      </w:r>
      <w:r w:rsidRPr="007E1F9A">
        <w:tab/>
      </w:r>
      <w:r w:rsidRPr="007E1F9A">
        <w:rPr>
          <w:rFonts w:ascii="Helvetica" w:hAnsi="Helvetica" w:cs="Helvetica"/>
        </w:rPr>
        <w:t>Words and expressions used in statutory instruments</w:t>
      </w:r>
      <w:bookmarkEnd w:id="981"/>
    </w:p>
    <w:p w14:paraId="249E2372" w14:textId="77777777" w:rsidR="00DB6E47" w:rsidRPr="009451A4" w:rsidRDefault="00DB6E47" w:rsidP="00DB6E47">
      <w:pPr>
        <w:pStyle w:val="Amain"/>
      </w:pPr>
      <w:r w:rsidRPr="009451A4">
        <w:tab/>
        <w:t>(1)</w:t>
      </w:r>
      <w:r w:rsidRPr="009451A4">
        <w:tab/>
        <w:t>Words and expressions used in a statutory instrument have the same meanings as they have, from time to time, in this Law, or relevant provisions of this Law, under or for the purposes of which the instrument is made or in force.</w:t>
      </w:r>
    </w:p>
    <w:p w14:paraId="61C29205" w14:textId="77777777" w:rsidR="00DB6E47" w:rsidRPr="009451A4" w:rsidRDefault="00DB6E47" w:rsidP="00DB6E47">
      <w:pPr>
        <w:pStyle w:val="Amain"/>
      </w:pPr>
      <w:r w:rsidRPr="009451A4">
        <w:tab/>
        <w:t>(2)</w:t>
      </w:r>
      <w:r w:rsidRPr="009451A4">
        <w:tab/>
        <w:t>This section has effect in relation to a statutory instrument except so far as the contrary intention appears in the instrument.</w:t>
      </w:r>
    </w:p>
    <w:p w14:paraId="0068C035" w14:textId="77777777" w:rsidR="00DB6E47" w:rsidRPr="007E1F9A" w:rsidRDefault="00DB6E47" w:rsidP="00DB6E47">
      <w:pPr>
        <w:pStyle w:val="Schclauseheading"/>
      </w:pPr>
      <w:bookmarkStart w:id="982" w:name="_Toc83626326"/>
      <w:r w:rsidRPr="005E03F7">
        <w:rPr>
          <w:rStyle w:val="CharSectNo"/>
        </w:rPr>
        <w:t>16</w:t>
      </w:r>
      <w:r w:rsidRPr="007E1F9A">
        <w:tab/>
      </w:r>
      <w:r w:rsidRPr="007E1F9A">
        <w:rPr>
          <w:rFonts w:ascii="Helvetica" w:hAnsi="Helvetica" w:cs="Helvetica"/>
        </w:rPr>
        <w:t>Effect of express references to bodies corporate and individuals</w:t>
      </w:r>
      <w:bookmarkEnd w:id="982"/>
    </w:p>
    <w:p w14:paraId="4DA2646E" w14:textId="77777777" w:rsidR="00DB6E47" w:rsidRPr="009451A4" w:rsidRDefault="00DB6E47" w:rsidP="00DB6E47">
      <w:pPr>
        <w:pStyle w:val="Amainreturn"/>
      </w:pPr>
      <w:r w:rsidRPr="009451A4">
        <w:t>In this Law, a reference to a person generally (whether the expression “person”, “party”, “someone”, “anyone”, “no-one”, “one”, “another” or “whoever” or another expression is used)—</w:t>
      </w:r>
    </w:p>
    <w:p w14:paraId="69F3AC1F" w14:textId="77777777" w:rsidR="00DB6E47" w:rsidRPr="00544ED5" w:rsidRDefault="00DB6E47" w:rsidP="00DB6E47">
      <w:pPr>
        <w:pStyle w:val="Apara"/>
      </w:pPr>
      <w:r w:rsidRPr="00544ED5">
        <w:tab/>
        <w:t>(a)</w:t>
      </w:r>
      <w:r w:rsidRPr="00544ED5">
        <w:tab/>
        <w:t>does not exclude a reference to a body corporate or an individual merely because elsewhere in this Law there is particular reference to a body corporate (however expressed); and</w:t>
      </w:r>
    </w:p>
    <w:p w14:paraId="441F1986" w14:textId="77777777" w:rsidR="00DB6E47" w:rsidRPr="00544ED5" w:rsidRDefault="00DB6E47" w:rsidP="00DB6E47">
      <w:pPr>
        <w:pStyle w:val="Apara"/>
      </w:pPr>
      <w:r w:rsidRPr="00544ED5">
        <w:tab/>
        <w:t>(b)</w:t>
      </w:r>
      <w:r w:rsidRPr="00544ED5">
        <w:tab/>
        <w:t>does not exclude a reference to a body corporate or an individual merely because elsewhere in this Law there is particular reference to an individual (however expressed).</w:t>
      </w:r>
    </w:p>
    <w:p w14:paraId="7822F19C" w14:textId="77777777" w:rsidR="00DB6E47" w:rsidRPr="007E1F9A" w:rsidRDefault="00DB6E47" w:rsidP="00DB6E47">
      <w:pPr>
        <w:pStyle w:val="Schclauseheading"/>
      </w:pPr>
      <w:bookmarkStart w:id="983" w:name="_Toc83626327"/>
      <w:r w:rsidRPr="005E03F7">
        <w:rPr>
          <w:rStyle w:val="CharSectNo"/>
        </w:rPr>
        <w:lastRenderedPageBreak/>
        <w:t>17</w:t>
      </w:r>
      <w:r w:rsidRPr="007E1F9A">
        <w:tab/>
      </w:r>
      <w:r w:rsidRPr="007E1F9A">
        <w:rPr>
          <w:rFonts w:ascii="Helvetica" w:hAnsi="Helvetica" w:cs="Helvetica"/>
        </w:rPr>
        <w:t>Production of records kept in computers etc.</w:t>
      </w:r>
      <w:bookmarkEnd w:id="983"/>
    </w:p>
    <w:p w14:paraId="6F9BD5E5" w14:textId="77777777" w:rsidR="00DB6E47" w:rsidRPr="009451A4" w:rsidRDefault="00DB6E47" w:rsidP="00DB6E47">
      <w:pPr>
        <w:pStyle w:val="Amainreturn"/>
      </w:pPr>
      <w:r w:rsidRPr="009451A4">
        <w:t>If a person who keeps a record of information by means of a mechanical, electronic or other device is required by or under this Law—</w:t>
      </w:r>
    </w:p>
    <w:p w14:paraId="4869A582" w14:textId="77777777" w:rsidR="00DB6E47" w:rsidRPr="00544ED5" w:rsidRDefault="00DB6E47" w:rsidP="00DB6E47">
      <w:pPr>
        <w:pStyle w:val="Apara"/>
      </w:pPr>
      <w:r w:rsidRPr="00544ED5">
        <w:tab/>
        <w:t>(a)</w:t>
      </w:r>
      <w:r w:rsidRPr="00544ED5">
        <w:tab/>
        <w:t>to produce the information or a document containing the information to a court, tribunal or person; or</w:t>
      </w:r>
    </w:p>
    <w:p w14:paraId="17FF34AF" w14:textId="77777777" w:rsidR="00DB6E47" w:rsidRPr="00544ED5" w:rsidRDefault="00DB6E47" w:rsidP="00DB6E47">
      <w:pPr>
        <w:pStyle w:val="Apara"/>
      </w:pPr>
      <w:r w:rsidRPr="00544ED5">
        <w:tab/>
        <w:t>(b)</w:t>
      </w:r>
      <w:r w:rsidRPr="00544ED5">
        <w:tab/>
        <w:t>to make a document containing the information available for inspection by a court, tribunal or person;</w:t>
      </w:r>
    </w:p>
    <w:p w14:paraId="3494E9DA" w14:textId="77777777" w:rsidR="00DB6E47" w:rsidRPr="009451A4" w:rsidRDefault="00DB6E47" w:rsidP="00DB6E47">
      <w:pPr>
        <w:pStyle w:val="Amainreturn"/>
      </w:pPr>
      <w:r w:rsidRPr="009451A4">
        <w:t>then, unless the court, tribunal or person otherwise directs—</w:t>
      </w:r>
    </w:p>
    <w:p w14:paraId="4FDC2696" w14:textId="77777777" w:rsidR="00DB6E47" w:rsidRPr="00544ED5" w:rsidRDefault="00DB6E47" w:rsidP="00DB6E47">
      <w:pPr>
        <w:pStyle w:val="Apara"/>
      </w:pPr>
      <w:r w:rsidRPr="00544ED5">
        <w:tab/>
        <w:t>(c)</w:t>
      </w:r>
      <w:r w:rsidRPr="00544ED5">
        <w:tab/>
        <w:t>the requirement obliges the person to produce or make available for inspection, as the case may be, a document that reproduces the information in a form capable of being understood by the court, tribunal or person; and</w:t>
      </w:r>
    </w:p>
    <w:p w14:paraId="4BC132E4" w14:textId="77777777" w:rsidR="00DB6E47" w:rsidRPr="00544ED5" w:rsidRDefault="00DB6E47" w:rsidP="00DB6E47">
      <w:pPr>
        <w:pStyle w:val="Apara"/>
      </w:pPr>
      <w:r w:rsidRPr="00544ED5">
        <w:tab/>
        <w:t>(d)</w:t>
      </w:r>
      <w:r w:rsidRPr="00544ED5">
        <w:tab/>
        <w:t>the production to the court, tribunal or person of the document in that form complies with the requirement.</w:t>
      </w:r>
    </w:p>
    <w:p w14:paraId="4DCA2BF8" w14:textId="77777777" w:rsidR="00DB6E47" w:rsidRPr="007E1F9A" w:rsidRDefault="00DB6E47" w:rsidP="00DB6E47">
      <w:pPr>
        <w:pStyle w:val="Schclauseheading"/>
      </w:pPr>
      <w:bookmarkStart w:id="984" w:name="_Toc83626328"/>
      <w:r w:rsidRPr="005E03F7">
        <w:rPr>
          <w:rStyle w:val="CharSectNo"/>
        </w:rPr>
        <w:t>18</w:t>
      </w:r>
      <w:r w:rsidRPr="007E1F9A">
        <w:tab/>
      </w:r>
      <w:r w:rsidRPr="007E1F9A">
        <w:rPr>
          <w:rFonts w:ascii="Helvetica" w:hAnsi="Helvetica" w:cs="Helvetica"/>
        </w:rPr>
        <w:t>References to this jurisdiction to be implied</w:t>
      </w:r>
      <w:bookmarkEnd w:id="984"/>
    </w:p>
    <w:p w14:paraId="6005AC72" w14:textId="77777777" w:rsidR="00DB6E47" w:rsidRPr="009451A4" w:rsidRDefault="00DB6E47" w:rsidP="00DB6E47">
      <w:pPr>
        <w:pStyle w:val="Amainreturn"/>
      </w:pPr>
      <w:r w:rsidRPr="009451A4">
        <w:t>In this Law—</w:t>
      </w:r>
    </w:p>
    <w:p w14:paraId="54B58C12" w14:textId="77777777" w:rsidR="00DB6E47" w:rsidRPr="00544ED5" w:rsidRDefault="00DB6E47" w:rsidP="00DB6E47">
      <w:pPr>
        <w:pStyle w:val="Apara"/>
      </w:pPr>
      <w:r w:rsidRPr="00544ED5">
        <w:tab/>
        <w:t>(a)</w:t>
      </w:r>
      <w:r w:rsidRPr="00544ED5">
        <w:tab/>
        <w:t>a reference to an officer, office or statutory body is a reference to such an officer, office or statutory body in and for this jurisdiction; and</w:t>
      </w:r>
    </w:p>
    <w:p w14:paraId="53CB75A4" w14:textId="77777777" w:rsidR="00DB6E47" w:rsidRPr="00544ED5" w:rsidRDefault="00DB6E47" w:rsidP="00DB6E47">
      <w:pPr>
        <w:pStyle w:val="Apara"/>
      </w:pPr>
      <w:r w:rsidRPr="00544ED5">
        <w:tab/>
        <w:t>(b)</w:t>
      </w:r>
      <w:r w:rsidRPr="00544ED5">
        <w:tab/>
        <w:t>a reference to a locality or other matter or thing is a reference to such a locality or other matter or thing in and of this jurisdiction.</w:t>
      </w:r>
    </w:p>
    <w:p w14:paraId="3F6CEC05" w14:textId="77777777" w:rsidR="00DB6E47" w:rsidRPr="007E1F9A" w:rsidRDefault="00DB6E47" w:rsidP="00DB6E47">
      <w:pPr>
        <w:pStyle w:val="Schclauseheading"/>
      </w:pPr>
      <w:bookmarkStart w:id="985" w:name="_Toc83626329"/>
      <w:r w:rsidRPr="005E03F7">
        <w:rPr>
          <w:rStyle w:val="CharSectNo"/>
        </w:rPr>
        <w:t>19</w:t>
      </w:r>
      <w:r w:rsidRPr="007E1F9A">
        <w:tab/>
      </w:r>
      <w:r w:rsidRPr="007E1F9A">
        <w:rPr>
          <w:rFonts w:ascii="Helvetica" w:hAnsi="Helvetica" w:cs="Helvetica"/>
        </w:rPr>
        <w:t>References to officers and holders of offices</w:t>
      </w:r>
      <w:bookmarkEnd w:id="985"/>
    </w:p>
    <w:p w14:paraId="50A754AE" w14:textId="77777777" w:rsidR="00DB6E47" w:rsidRPr="009451A4" w:rsidRDefault="00DB6E47" w:rsidP="00DB6E47">
      <w:pPr>
        <w:pStyle w:val="Amainreturn"/>
      </w:pPr>
      <w:r w:rsidRPr="009451A4">
        <w:t>In this Law, a reference to a particular officer, or to the holder of a particular office, includes a reference to the person for the time being occupying or acting in the office concerned.</w:t>
      </w:r>
    </w:p>
    <w:p w14:paraId="3E688162" w14:textId="77777777" w:rsidR="00DB6E47" w:rsidRPr="007E1F9A" w:rsidRDefault="00DB6E47" w:rsidP="00DB6E47">
      <w:pPr>
        <w:pStyle w:val="Schclauseheading"/>
      </w:pPr>
      <w:bookmarkStart w:id="986" w:name="_Toc83626330"/>
      <w:r w:rsidRPr="005E03F7">
        <w:rPr>
          <w:rStyle w:val="CharSectNo"/>
        </w:rPr>
        <w:lastRenderedPageBreak/>
        <w:t>20</w:t>
      </w:r>
      <w:r w:rsidRPr="007E1F9A">
        <w:tab/>
      </w:r>
      <w:r w:rsidRPr="007E1F9A">
        <w:rPr>
          <w:rFonts w:ascii="Helvetica" w:hAnsi="Helvetica" w:cs="Helvetica"/>
        </w:rPr>
        <w:t>Reference to certain provisions of Law</w:t>
      </w:r>
      <w:bookmarkEnd w:id="986"/>
    </w:p>
    <w:p w14:paraId="4A387533" w14:textId="77777777" w:rsidR="00DB6E47" w:rsidRPr="009451A4" w:rsidRDefault="00DB6E47" w:rsidP="00DB6E47">
      <w:pPr>
        <w:pStyle w:val="Amainreturn"/>
      </w:pPr>
      <w:r w:rsidRPr="009451A4">
        <w:t>If a provision of this Law refers—</w:t>
      </w:r>
    </w:p>
    <w:p w14:paraId="72F5153E" w14:textId="77777777" w:rsidR="00DB6E47" w:rsidRPr="00544ED5" w:rsidRDefault="00DB6E47" w:rsidP="00DB6E47">
      <w:pPr>
        <w:pStyle w:val="Apara"/>
      </w:pPr>
      <w:r w:rsidRPr="00544ED5">
        <w:tab/>
        <w:t>(a)</w:t>
      </w:r>
      <w:r w:rsidRPr="00544ED5">
        <w:tab/>
        <w:t>to a Chapter, Part, section or Schedule by a number and without reference to this Law—the reference is a reference to the Chapter, Part, section or Schedule, designated by the number, of or to this Law; or</w:t>
      </w:r>
    </w:p>
    <w:p w14:paraId="3F3CE50F" w14:textId="77777777" w:rsidR="00DB6E47" w:rsidRPr="00544ED5" w:rsidRDefault="00DB6E47" w:rsidP="00DB6E47">
      <w:pPr>
        <w:pStyle w:val="Apara"/>
      </w:pPr>
      <w:r w:rsidRPr="00544ED5">
        <w:tab/>
        <w:t>(b)</w:t>
      </w:r>
      <w:r w:rsidRPr="00544ED5">
        <w:tab/>
        <w:t>to a Schedule without reference to it by a number and without reference to this Law—the reference, if there is only one Schedule to this Law, is a reference to the Schedule; or</w:t>
      </w:r>
    </w:p>
    <w:p w14:paraId="1E2C3BE8" w14:textId="77777777" w:rsidR="00DB6E47" w:rsidRPr="00544ED5" w:rsidRDefault="00DB6E47" w:rsidP="00DB6E47">
      <w:pPr>
        <w:pStyle w:val="Apara"/>
      </w:pPr>
      <w:r w:rsidRPr="00544ED5">
        <w:tab/>
        <w:t>(c)</w:t>
      </w:r>
      <w:r w:rsidRPr="00544ED5">
        <w:tab/>
        <w:t>to a Division, Subdivision, subsection, paragraph, subparagraph, sub-subparagraph, clause, subclause, item, column, table or form by a number and without reference to this Law—the reference is a reference to—</w:t>
      </w:r>
    </w:p>
    <w:p w14:paraId="2202E363" w14:textId="77777777" w:rsidR="00DB6E47" w:rsidRPr="00CC71DF" w:rsidRDefault="00DB6E47" w:rsidP="00DB6E47">
      <w:pPr>
        <w:pStyle w:val="Asubpara"/>
      </w:pPr>
      <w:r w:rsidRPr="00CC71DF">
        <w:tab/>
        <w:t>(i)</w:t>
      </w:r>
      <w:r w:rsidRPr="00CC71DF">
        <w:tab/>
        <w:t>the Division, designated by the number, of the Part in which the reference occurs; and</w:t>
      </w:r>
    </w:p>
    <w:p w14:paraId="63DA17F7" w14:textId="77777777" w:rsidR="00DB6E47" w:rsidRPr="00CC71DF" w:rsidRDefault="00DB6E47" w:rsidP="00DB6E47">
      <w:pPr>
        <w:pStyle w:val="Asubpara"/>
      </w:pPr>
      <w:r w:rsidRPr="00CC71DF">
        <w:tab/>
        <w:t>(ii)</w:t>
      </w:r>
      <w:r w:rsidRPr="00CC71DF">
        <w:tab/>
        <w:t>the Subdivision, designated by the number, of the Division in which the reference occurs; and</w:t>
      </w:r>
    </w:p>
    <w:p w14:paraId="40D6581D" w14:textId="77777777" w:rsidR="00DB6E47" w:rsidRPr="00CC71DF" w:rsidRDefault="00DB6E47" w:rsidP="00DB6E47">
      <w:pPr>
        <w:pStyle w:val="Asubpara"/>
      </w:pPr>
      <w:r w:rsidRPr="00CC71DF">
        <w:tab/>
        <w:t>(iii)</w:t>
      </w:r>
      <w:r w:rsidRPr="00CC71DF">
        <w:tab/>
        <w:t>the subsection, designated by the number, of the section in which the reference occurs; and</w:t>
      </w:r>
    </w:p>
    <w:p w14:paraId="79FF3443" w14:textId="77777777" w:rsidR="00DB6E47" w:rsidRPr="00CC71DF" w:rsidRDefault="00DB6E47" w:rsidP="00DB6E47">
      <w:pPr>
        <w:pStyle w:val="Asubpara"/>
      </w:pPr>
      <w:r w:rsidRPr="00CC71DF">
        <w:tab/>
        <w:t>(iv)</w:t>
      </w:r>
      <w:r w:rsidRPr="00CC71DF">
        <w:tab/>
        <w:t>the paragraph, designated by the number, of the section, subsection, Schedule or other provision in which the reference occurs; and</w:t>
      </w:r>
    </w:p>
    <w:p w14:paraId="4E84E57A" w14:textId="77777777" w:rsidR="00DB6E47" w:rsidRPr="00CC71DF" w:rsidRDefault="00DB6E47" w:rsidP="00DB6E47">
      <w:pPr>
        <w:pStyle w:val="Asubpara"/>
      </w:pPr>
      <w:r w:rsidRPr="00CC71DF">
        <w:tab/>
        <w:t>(v)</w:t>
      </w:r>
      <w:r w:rsidRPr="00CC71DF">
        <w:tab/>
        <w:t>the paragraph, designated by the number, of the clause, subclause, item, column, table or form of or in the Schedule in which the reference occurs; and</w:t>
      </w:r>
    </w:p>
    <w:p w14:paraId="5B644BF7" w14:textId="77777777" w:rsidR="00DB6E47" w:rsidRPr="00CC71DF" w:rsidRDefault="00DB6E47" w:rsidP="00DB6E47">
      <w:pPr>
        <w:pStyle w:val="Asubpara"/>
      </w:pPr>
      <w:r w:rsidRPr="00CC71DF">
        <w:tab/>
        <w:t>(vi)</w:t>
      </w:r>
      <w:r w:rsidRPr="00CC71DF">
        <w:tab/>
        <w:t>the subparagraph, designated by the number, of the paragraph in which the reference occurs; and</w:t>
      </w:r>
    </w:p>
    <w:p w14:paraId="31C329FC" w14:textId="77777777" w:rsidR="00DB6E47" w:rsidRPr="00CC71DF" w:rsidRDefault="00DB6E47" w:rsidP="00DB6E47">
      <w:pPr>
        <w:pStyle w:val="Asubpara"/>
      </w:pPr>
      <w:r w:rsidRPr="00CC71DF">
        <w:tab/>
        <w:t>(vii)</w:t>
      </w:r>
      <w:r w:rsidRPr="00CC71DF">
        <w:tab/>
        <w:t>the sub-subparagraph, designated by the number, of the subparagraph in which the reference occurs; and</w:t>
      </w:r>
    </w:p>
    <w:p w14:paraId="272E6790" w14:textId="77777777" w:rsidR="00DB6E47" w:rsidRPr="00CC71DF" w:rsidRDefault="00DB6E47" w:rsidP="00F31260">
      <w:pPr>
        <w:pStyle w:val="Asubpara"/>
        <w:keepNext/>
      </w:pPr>
      <w:r w:rsidRPr="00CC71DF">
        <w:lastRenderedPageBreak/>
        <w:tab/>
        <w:t>(viii)</w:t>
      </w:r>
      <w:r>
        <w:tab/>
      </w:r>
      <w:r w:rsidRPr="00CC71DF">
        <w:t>the section, clause, subclause, item, column, table or form, designated by the number, of or in the Schedule in which the reference occurs;</w:t>
      </w:r>
    </w:p>
    <w:p w14:paraId="3A47CFF0" w14:textId="77777777" w:rsidR="00DB6E47" w:rsidRPr="009451A4" w:rsidRDefault="00DB6E47" w:rsidP="00DB6E47">
      <w:pPr>
        <w:pStyle w:val="Amainreturn"/>
      </w:pPr>
      <w:r w:rsidRPr="009451A4">
        <w:t>as the case requires.</w:t>
      </w:r>
    </w:p>
    <w:p w14:paraId="7000EEBF" w14:textId="77777777" w:rsidR="00DB6E47" w:rsidRPr="007E1F9A" w:rsidRDefault="00DB6E47" w:rsidP="00DB6E47">
      <w:pPr>
        <w:pStyle w:val="Schclauseheading"/>
      </w:pPr>
      <w:bookmarkStart w:id="987" w:name="_Toc83626331"/>
      <w:r w:rsidRPr="005E03F7">
        <w:rPr>
          <w:rStyle w:val="CharSectNo"/>
        </w:rPr>
        <w:t>21</w:t>
      </w:r>
      <w:r w:rsidRPr="007E1F9A">
        <w:tab/>
      </w:r>
      <w:r w:rsidRPr="007E1F9A">
        <w:rPr>
          <w:rFonts w:ascii="Helvetica" w:hAnsi="Helvetica" w:cs="Helvetica"/>
        </w:rPr>
        <w:t>Reference to provisions of this Law or an Act is inclusive</w:t>
      </w:r>
      <w:bookmarkEnd w:id="987"/>
    </w:p>
    <w:p w14:paraId="6ED3F6F1" w14:textId="77777777" w:rsidR="00DB6E47" w:rsidRPr="009451A4" w:rsidRDefault="00DB6E47" w:rsidP="00DB6E47">
      <w:pPr>
        <w:pStyle w:val="Amainreturn"/>
      </w:pPr>
      <w:r w:rsidRPr="009451A4">
        <w:t>In this Law, a reference to a portion of this Law or an Act includes—</w:t>
      </w:r>
    </w:p>
    <w:p w14:paraId="54B56892" w14:textId="77777777" w:rsidR="00DB6E47" w:rsidRPr="00544ED5" w:rsidRDefault="00DB6E47" w:rsidP="00DB6E47">
      <w:pPr>
        <w:pStyle w:val="Apara"/>
      </w:pPr>
      <w:r w:rsidRPr="00544ED5">
        <w:tab/>
        <w:t>(a)</w:t>
      </w:r>
      <w:r w:rsidRPr="00544ED5">
        <w:tab/>
        <w:t>a reference to the Chapter, Part, Division, Subdivision, section, subsection or other provision of this Law or the Act referred to that forms the beginning of the portion; and</w:t>
      </w:r>
    </w:p>
    <w:p w14:paraId="4E798DF8" w14:textId="77777777" w:rsidR="00DB6E47" w:rsidRPr="00544ED5" w:rsidRDefault="00DB6E47" w:rsidP="006767F0">
      <w:pPr>
        <w:pStyle w:val="Apara"/>
        <w:keepNext/>
      </w:pPr>
      <w:r w:rsidRPr="00544ED5">
        <w:tab/>
        <w:t>(b)</w:t>
      </w:r>
      <w:r w:rsidRPr="00544ED5">
        <w:tab/>
        <w:t>a reference to the Chapter, Part, Division, Subdivision, section, subsection or other provision of this Law or the Act referred to that forms the end of the portion.</w:t>
      </w:r>
    </w:p>
    <w:p w14:paraId="28483046" w14:textId="77777777" w:rsidR="00DB6E47" w:rsidRPr="007E1F9A" w:rsidRDefault="00DB6E47" w:rsidP="00DB6E47">
      <w:pPr>
        <w:pStyle w:val="aExamHdgss"/>
      </w:pPr>
      <w:r w:rsidRPr="00C96203">
        <w:rPr>
          <w:rFonts w:cs="Times"/>
          <w:bCs/>
          <w:iCs/>
        </w:rPr>
        <w:t>Example</w:t>
      </w:r>
      <w:r w:rsidRPr="00C96203">
        <w:rPr>
          <w:rFonts w:cs="Times"/>
          <w:bCs/>
        </w:rPr>
        <w:t>—</w:t>
      </w:r>
    </w:p>
    <w:p w14:paraId="7470A459" w14:textId="77777777" w:rsidR="00DB6E47" w:rsidRPr="007E1F9A" w:rsidRDefault="00DB6E47" w:rsidP="00DB6E47">
      <w:pPr>
        <w:pStyle w:val="aExamss"/>
      </w:pPr>
      <w:r w:rsidRPr="007E1F9A">
        <w:t>A reference to “sections 5 to 9” includes both section 5 and section 9. It is not necessary to refer to “sections 5 to 9 (both inclusive)” to ensure that the reference is given an inclusive interpretation.</w:t>
      </w:r>
    </w:p>
    <w:p w14:paraId="205DF002" w14:textId="77777777" w:rsidR="00124806" w:rsidRPr="00124806" w:rsidRDefault="00124806" w:rsidP="00124806">
      <w:pPr>
        <w:pStyle w:val="PageBreak"/>
      </w:pPr>
      <w:r w:rsidRPr="00124806">
        <w:br w:type="page"/>
      </w:r>
    </w:p>
    <w:p w14:paraId="4ECD3200" w14:textId="0D29E773" w:rsidR="00DB6E47" w:rsidRPr="005E03F7" w:rsidRDefault="00DB6E47" w:rsidP="00DB6E47">
      <w:pPr>
        <w:pStyle w:val="Sched-Part"/>
      </w:pPr>
      <w:bookmarkStart w:id="988" w:name="_Toc83626332"/>
      <w:r w:rsidRPr="005E03F7">
        <w:rPr>
          <w:rStyle w:val="CharPartNo"/>
        </w:rPr>
        <w:lastRenderedPageBreak/>
        <w:t>Part 4</w:t>
      </w:r>
      <w:r w:rsidRPr="00A95F9A">
        <w:rPr>
          <w:rFonts w:ascii="Helvetica" w:hAnsi="Helvetica" w:cs="Helvetica"/>
          <w:szCs w:val="32"/>
        </w:rPr>
        <w:tab/>
      </w:r>
      <w:r w:rsidRPr="005E03F7">
        <w:rPr>
          <w:rStyle w:val="CharPartText"/>
          <w:rFonts w:ascii="Helvetica" w:hAnsi="Helvetica" w:cs="Helvetica"/>
          <w:szCs w:val="32"/>
        </w:rPr>
        <w:t>Functions and powers</w:t>
      </w:r>
      <w:bookmarkEnd w:id="988"/>
    </w:p>
    <w:p w14:paraId="31040976" w14:textId="77777777" w:rsidR="00DB6E47" w:rsidRPr="007E1F9A" w:rsidRDefault="00DB6E47" w:rsidP="00DB6E47">
      <w:pPr>
        <w:pStyle w:val="Schclauseheading"/>
      </w:pPr>
      <w:bookmarkStart w:id="989" w:name="_Toc83626333"/>
      <w:r w:rsidRPr="005E03F7">
        <w:rPr>
          <w:rStyle w:val="CharSectNo"/>
        </w:rPr>
        <w:t>22</w:t>
      </w:r>
      <w:r w:rsidRPr="007E1F9A">
        <w:tab/>
      </w:r>
      <w:r w:rsidRPr="007E1F9A">
        <w:rPr>
          <w:rFonts w:ascii="Helvetica" w:hAnsi="Helvetica" w:cs="Helvetica"/>
        </w:rPr>
        <w:t>Exercise of statutory functions</w:t>
      </w:r>
      <w:bookmarkEnd w:id="989"/>
    </w:p>
    <w:p w14:paraId="02EBB715" w14:textId="77777777" w:rsidR="00DB6E47" w:rsidRPr="009451A4" w:rsidRDefault="00DB6E47" w:rsidP="00DB6E47">
      <w:pPr>
        <w:pStyle w:val="Amain"/>
      </w:pPr>
      <w:r w:rsidRPr="009451A4">
        <w:tab/>
        <w:t>(1)</w:t>
      </w:r>
      <w:r w:rsidRPr="009451A4">
        <w:tab/>
        <w:t>If this Law confers a function on a person or body, the function may be exercised from time to time as occasion requires.</w:t>
      </w:r>
    </w:p>
    <w:p w14:paraId="27DB517C" w14:textId="77777777" w:rsidR="00DB6E47" w:rsidRPr="009451A4" w:rsidRDefault="00DB6E47" w:rsidP="00DB6E47">
      <w:pPr>
        <w:pStyle w:val="Amain"/>
      </w:pPr>
      <w:r w:rsidRPr="009451A4">
        <w:tab/>
        <w:t>(2)</w:t>
      </w:r>
      <w:r w:rsidRPr="009451A4">
        <w:tab/>
        <w:t>If this Law confers a function on a particular officer or the holder of a particular office, the function may be exercised by the person for the time being occupying or acting in the office concerned.</w:t>
      </w:r>
    </w:p>
    <w:p w14:paraId="23D1C603" w14:textId="77777777" w:rsidR="00DB6E47" w:rsidRPr="009451A4" w:rsidRDefault="00DB6E47" w:rsidP="00DB6E47">
      <w:pPr>
        <w:pStyle w:val="Amain"/>
      </w:pPr>
      <w:r w:rsidRPr="009451A4">
        <w:tab/>
        <w:t>(3)</w:t>
      </w:r>
      <w:r w:rsidRPr="009451A4">
        <w:tab/>
        <w:t>If this Law confers a function on a body (whether or not incorporated), the exercise of the function is not affected merely because of vacancies in the membership of the body.</w:t>
      </w:r>
    </w:p>
    <w:p w14:paraId="41A621E7" w14:textId="77777777" w:rsidR="00DB6E47" w:rsidRPr="007E1F9A" w:rsidRDefault="00DB6E47" w:rsidP="00DB6E47">
      <w:pPr>
        <w:pStyle w:val="Schclauseheading"/>
      </w:pPr>
      <w:bookmarkStart w:id="990" w:name="_Toc83626334"/>
      <w:r w:rsidRPr="005E03F7">
        <w:rPr>
          <w:rStyle w:val="CharSectNo"/>
        </w:rPr>
        <w:t>23</w:t>
      </w:r>
      <w:r w:rsidRPr="007E1F9A">
        <w:tab/>
      </w:r>
      <w:r w:rsidRPr="007E1F9A">
        <w:rPr>
          <w:rFonts w:ascii="Helvetica" w:hAnsi="Helvetica" w:cs="Helvetica"/>
        </w:rPr>
        <w:t>Power to make instrument or decision includes power to amend or repeal</w:t>
      </w:r>
      <w:bookmarkEnd w:id="990"/>
    </w:p>
    <w:p w14:paraId="1D6F7954" w14:textId="77777777" w:rsidR="00DB6E47" w:rsidRPr="009451A4" w:rsidRDefault="00DB6E47" w:rsidP="00DB6E47">
      <w:pPr>
        <w:pStyle w:val="Amainreturn"/>
      </w:pPr>
      <w:r w:rsidRPr="009451A4">
        <w:t>If this Law authorises or requires the making of an instrument or decision—</w:t>
      </w:r>
    </w:p>
    <w:p w14:paraId="588E6042" w14:textId="77777777" w:rsidR="00DB6E47" w:rsidRPr="00544ED5" w:rsidRDefault="00DB6E47" w:rsidP="00DB6E47">
      <w:pPr>
        <w:pStyle w:val="Apara"/>
      </w:pPr>
      <w:r w:rsidRPr="00544ED5">
        <w:tab/>
        <w:t>(a)</w:t>
      </w:r>
      <w:r w:rsidRPr="00544ED5">
        <w:tab/>
        <w:t>the power includes power to amend or repeal the instrument or decision; and</w:t>
      </w:r>
    </w:p>
    <w:p w14:paraId="690FAE86" w14:textId="77777777" w:rsidR="00DB6E47" w:rsidRPr="00544ED5" w:rsidRDefault="00DB6E47" w:rsidP="00DB6E47">
      <w:pPr>
        <w:pStyle w:val="Apara"/>
      </w:pPr>
      <w:r w:rsidRPr="00544ED5">
        <w:tab/>
        <w:t>(b)</w:t>
      </w:r>
      <w:r w:rsidRPr="00544ED5">
        <w:tab/>
        <w:t>the power to amend or repeal the instrument or decision is exercisable in the same way, and subject to the same conditions, as the power to make the instrument or decision.</w:t>
      </w:r>
    </w:p>
    <w:p w14:paraId="19A72FC3" w14:textId="77777777" w:rsidR="00DB6E47" w:rsidRPr="007E1F9A" w:rsidRDefault="00DB6E47" w:rsidP="00DB6E47">
      <w:pPr>
        <w:pStyle w:val="Schclauseheading"/>
      </w:pPr>
      <w:bookmarkStart w:id="991" w:name="_Toc83626335"/>
      <w:r w:rsidRPr="005E03F7">
        <w:rPr>
          <w:rStyle w:val="CharSectNo"/>
        </w:rPr>
        <w:t>24</w:t>
      </w:r>
      <w:r w:rsidRPr="007E1F9A">
        <w:tab/>
      </w:r>
      <w:r w:rsidRPr="007E1F9A">
        <w:rPr>
          <w:rFonts w:ascii="Helvetica" w:hAnsi="Helvetica" w:cs="Helvetica"/>
        </w:rPr>
        <w:t>Matters for which statutory instruments may make provision</w:t>
      </w:r>
      <w:bookmarkEnd w:id="991"/>
    </w:p>
    <w:p w14:paraId="3DE00097" w14:textId="77777777" w:rsidR="00DB6E47" w:rsidRPr="009451A4" w:rsidRDefault="00DB6E47" w:rsidP="00DB6E47">
      <w:pPr>
        <w:pStyle w:val="Amain"/>
      </w:pPr>
      <w:r w:rsidRPr="009451A4">
        <w:tab/>
        <w:t>(1)</w:t>
      </w:r>
      <w:r w:rsidRPr="009451A4">
        <w:tab/>
        <w:t>If this Law authorises or requires the making of a statutory instrument in relation to a matter, a statutory instrument made under this Law may make provision for the matter by applying, adopting or incorporating (with or without modification) the provisions of—</w:t>
      </w:r>
    </w:p>
    <w:p w14:paraId="558375E6" w14:textId="77777777" w:rsidR="00DB6E47" w:rsidRPr="00544ED5" w:rsidRDefault="00DB6E47" w:rsidP="00DB6E47">
      <w:pPr>
        <w:pStyle w:val="Apara"/>
      </w:pPr>
      <w:r w:rsidRPr="00544ED5">
        <w:tab/>
        <w:t>(a)</w:t>
      </w:r>
      <w:r w:rsidRPr="00544ED5">
        <w:tab/>
        <w:t>an Act or statutory instrument; or</w:t>
      </w:r>
    </w:p>
    <w:p w14:paraId="2F4ED89D" w14:textId="77777777" w:rsidR="00DB6E47" w:rsidRPr="00544ED5" w:rsidRDefault="00DB6E47" w:rsidP="00D940BC">
      <w:pPr>
        <w:pStyle w:val="Apara"/>
        <w:keepNext/>
      </w:pPr>
      <w:r w:rsidRPr="00544ED5">
        <w:lastRenderedPageBreak/>
        <w:tab/>
        <w:t>(b)</w:t>
      </w:r>
      <w:r w:rsidRPr="00544ED5">
        <w:tab/>
        <w:t>another document (whether of the same or a different kind);</w:t>
      </w:r>
    </w:p>
    <w:p w14:paraId="7ED8D3A0" w14:textId="77777777" w:rsidR="00DB6E47" w:rsidRPr="009451A4" w:rsidRDefault="00DB6E47" w:rsidP="00DB6E47">
      <w:pPr>
        <w:pStyle w:val="Amainreturn"/>
      </w:pPr>
      <w:r w:rsidRPr="009451A4">
        <w:t>as in force at a particular time or as in force from time to time.</w:t>
      </w:r>
    </w:p>
    <w:p w14:paraId="5F3BA419" w14:textId="77777777" w:rsidR="00DB6E47" w:rsidRPr="009451A4" w:rsidRDefault="00DB6E47" w:rsidP="00DB6E47">
      <w:pPr>
        <w:pStyle w:val="Amain"/>
      </w:pPr>
      <w:r w:rsidRPr="009451A4">
        <w:tab/>
        <w:t>(2)</w:t>
      </w:r>
      <w:r w:rsidRPr="009451A4">
        <w:tab/>
        <w:t>If a statutory instrument applies, adopts or incorporates the provisions of a document, the statutory instrument applies, adopts or incorporates the provisions as in force from time to time, unless the statutory instrument otherwise expressly provides.</w:t>
      </w:r>
    </w:p>
    <w:p w14:paraId="0E134068" w14:textId="77777777" w:rsidR="00DB6E47" w:rsidRPr="009451A4" w:rsidRDefault="00DB6E47" w:rsidP="00DB6E47">
      <w:pPr>
        <w:pStyle w:val="Amain"/>
      </w:pPr>
      <w:r w:rsidRPr="009451A4">
        <w:tab/>
        <w:t>(3)</w:t>
      </w:r>
      <w:r w:rsidRPr="009451A4">
        <w:tab/>
        <w:t>A statutory instrument may—</w:t>
      </w:r>
    </w:p>
    <w:p w14:paraId="139A89C9" w14:textId="77777777" w:rsidR="00DB6E47" w:rsidRPr="00544ED5" w:rsidRDefault="00DB6E47" w:rsidP="00DB6E47">
      <w:pPr>
        <w:pStyle w:val="Apara"/>
      </w:pPr>
      <w:r w:rsidRPr="00544ED5">
        <w:tab/>
        <w:t>(a)</w:t>
      </w:r>
      <w:r w:rsidRPr="00544ED5">
        <w:tab/>
        <w:t>apply generally throughout this jurisdiction or be limited in its application to a particular part of this jurisdiction; or</w:t>
      </w:r>
    </w:p>
    <w:p w14:paraId="2AA499BF" w14:textId="77777777" w:rsidR="00DB6E47" w:rsidRPr="00544ED5" w:rsidRDefault="00DB6E47" w:rsidP="00DB6E47">
      <w:pPr>
        <w:pStyle w:val="Apara"/>
      </w:pPr>
      <w:r w:rsidRPr="00544ED5">
        <w:tab/>
        <w:t>(b)</w:t>
      </w:r>
      <w:r w:rsidRPr="00544ED5">
        <w:tab/>
        <w:t>apply generally to all persons, matters or things or be limited in its application to—</w:t>
      </w:r>
    </w:p>
    <w:p w14:paraId="07AAF0EF" w14:textId="77777777" w:rsidR="00DB6E47" w:rsidRPr="00CC71DF" w:rsidRDefault="00DB6E47" w:rsidP="00DB6E47">
      <w:pPr>
        <w:pStyle w:val="Asubpara"/>
      </w:pPr>
      <w:r w:rsidRPr="00CC71DF">
        <w:tab/>
        <w:t>(i)</w:t>
      </w:r>
      <w:r w:rsidRPr="00CC71DF">
        <w:tab/>
        <w:t>particular persons, matters or things; or</w:t>
      </w:r>
    </w:p>
    <w:p w14:paraId="43E9AB4F" w14:textId="77777777" w:rsidR="00DB6E47" w:rsidRPr="00CC71DF" w:rsidRDefault="00DB6E47" w:rsidP="00DB6E47">
      <w:pPr>
        <w:pStyle w:val="Asubpara"/>
      </w:pPr>
      <w:r w:rsidRPr="00CC71DF">
        <w:tab/>
        <w:t>(ii)</w:t>
      </w:r>
      <w:r w:rsidRPr="00CC71DF">
        <w:tab/>
        <w:t>particular classes of persons, matters or things; or</w:t>
      </w:r>
    </w:p>
    <w:p w14:paraId="765DCF29" w14:textId="77777777" w:rsidR="00DB6E47" w:rsidRPr="00544ED5" w:rsidRDefault="00DB6E47" w:rsidP="00DB6E47">
      <w:pPr>
        <w:pStyle w:val="Apara"/>
      </w:pPr>
      <w:r w:rsidRPr="00544ED5">
        <w:tab/>
        <w:t>(c)</w:t>
      </w:r>
      <w:r w:rsidRPr="00544ED5">
        <w:tab/>
        <w:t>otherwise apply generally or be limited in its application by reference to specified exceptions or factors.</w:t>
      </w:r>
    </w:p>
    <w:p w14:paraId="07E15374" w14:textId="77777777" w:rsidR="00DB6E47" w:rsidRPr="009451A4" w:rsidRDefault="00DB6E47" w:rsidP="00DB6E47">
      <w:pPr>
        <w:pStyle w:val="Amain"/>
      </w:pPr>
      <w:r w:rsidRPr="009451A4">
        <w:tab/>
        <w:t>(4)</w:t>
      </w:r>
      <w:r w:rsidRPr="009451A4">
        <w:tab/>
        <w:t>A statutory instrument may—</w:t>
      </w:r>
    </w:p>
    <w:p w14:paraId="6A4B50D8" w14:textId="77777777" w:rsidR="00DB6E47" w:rsidRPr="00544ED5" w:rsidRDefault="00DB6E47" w:rsidP="00DB6E47">
      <w:pPr>
        <w:pStyle w:val="Apara"/>
      </w:pPr>
      <w:r w:rsidRPr="00544ED5">
        <w:tab/>
        <w:t>(a)</w:t>
      </w:r>
      <w:r w:rsidRPr="00544ED5">
        <w:tab/>
        <w:t>apply differently according to different specified factors; or</w:t>
      </w:r>
    </w:p>
    <w:p w14:paraId="66696826" w14:textId="77777777" w:rsidR="00DB6E47" w:rsidRPr="00544ED5" w:rsidRDefault="00DB6E47" w:rsidP="00DB6E47">
      <w:pPr>
        <w:pStyle w:val="Apara"/>
      </w:pPr>
      <w:r w:rsidRPr="00544ED5">
        <w:tab/>
        <w:t>(b)</w:t>
      </w:r>
      <w:r w:rsidRPr="00544ED5">
        <w:tab/>
        <w:t>otherwise make different provision in relation to—</w:t>
      </w:r>
    </w:p>
    <w:p w14:paraId="74CD7968" w14:textId="77777777" w:rsidR="00DB6E47" w:rsidRPr="00CC71DF" w:rsidRDefault="00DB6E47" w:rsidP="00DB6E47">
      <w:pPr>
        <w:pStyle w:val="Asubpara"/>
      </w:pPr>
      <w:r w:rsidRPr="00CC71DF">
        <w:tab/>
        <w:t>(i)</w:t>
      </w:r>
      <w:r w:rsidRPr="00CC71DF">
        <w:tab/>
        <w:t>different persons, matters or things; or</w:t>
      </w:r>
    </w:p>
    <w:p w14:paraId="09B77170" w14:textId="77777777" w:rsidR="00DB6E47" w:rsidRPr="00CC71DF" w:rsidRDefault="00DB6E47" w:rsidP="00DB6E47">
      <w:pPr>
        <w:pStyle w:val="Asubpara"/>
      </w:pPr>
      <w:r w:rsidRPr="00CC71DF">
        <w:tab/>
        <w:t>(ii)</w:t>
      </w:r>
      <w:r w:rsidRPr="00CC71DF">
        <w:tab/>
        <w:t>different classes of persons, matters or things.</w:t>
      </w:r>
    </w:p>
    <w:p w14:paraId="5D878378" w14:textId="77777777" w:rsidR="00DB6E47" w:rsidRPr="009451A4" w:rsidRDefault="00DB6E47" w:rsidP="00DB6E47">
      <w:pPr>
        <w:pStyle w:val="Amain"/>
      </w:pPr>
      <w:r w:rsidRPr="009451A4">
        <w:tab/>
        <w:t>(5)</w:t>
      </w:r>
      <w:r w:rsidRPr="009451A4">
        <w:tab/>
        <w:t>A statutory instrument may authorise a matter or thing to be from time to time determined, applied or regulated by a specified person or body.</w:t>
      </w:r>
    </w:p>
    <w:p w14:paraId="32CB6BC2" w14:textId="77777777" w:rsidR="00DB6E47" w:rsidRPr="009451A4" w:rsidRDefault="00DB6E47" w:rsidP="00DB6E47">
      <w:pPr>
        <w:pStyle w:val="Amain"/>
      </w:pPr>
      <w:r w:rsidRPr="009451A4">
        <w:tab/>
        <w:t>(6)</w:t>
      </w:r>
      <w:r w:rsidRPr="009451A4">
        <w:tab/>
        <w:t>If this Law authorises or requires a matter to be regulated by statutory instrument, the power may be exercised by prohibiting by statutory instrument the matter or any aspect of the matter.</w:t>
      </w:r>
    </w:p>
    <w:p w14:paraId="40F1D129" w14:textId="77777777" w:rsidR="00DB6E47" w:rsidRPr="009451A4" w:rsidRDefault="00DB6E47" w:rsidP="00DB6E47">
      <w:pPr>
        <w:pStyle w:val="Amain"/>
      </w:pPr>
      <w:r w:rsidRPr="009451A4">
        <w:lastRenderedPageBreak/>
        <w:tab/>
        <w:t>(7)</w:t>
      </w:r>
      <w:r w:rsidRPr="009451A4">
        <w:tab/>
        <w:t>If this Law authorises or requires provision to be made with respect to a matter by statutory instrument, a statutory instrument made under this Law may make provision with respect to a particular aspect of the matter despite the fact that provision is made by this Law in relation to another aspect of the matter or in relation to another matter.</w:t>
      </w:r>
    </w:p>
    <w:p w14:paraId="17F1EA03" w14:textId="77777777" w:rsidR="00DB6E47" w:rsidRPr="009451A4" w:rsidRDefault="00DB6E47" w:rsidP="00DB6E47">
      <w:pPr>
        <w:pStyle w:val="Amain"/>
      </w:pPr>
      <w:r w:rsidRPr="009451A4">
        <w:tab/>
        <w:t>(8)</w:t>
      </w:r>
      <w:r w:rsidRPr="009451A4">
        <w:tab/>
        <w:t>A statutory instrument may provide for the review of, or a right of appeal against, a decision made under the statutory instrument, or this Law, and may, for that purpose, confer jurisdiction on any court, tribunal, person or body.</w:t>
      </w:r>
    </w:p>
    <w:p w14:paraId="36AB3FF2" w14:textId="77777777" w:rsidR="00DB6E47" w:rsidRPr="009451A4" w:rsidRDefault="00DB6E47" w:rsidP="00DB6E47">
      <w:pPr>
        <w:pStyle w:val="Amain"/>
      </w:pPr>
      <w:r w:rsidRPr="009451A4">
        <w:tab/>
        <w:t>(9)</w:t>
      </w:r>
      <w:r w:rsidRPr="009451A4">
        <w:tab/>
        <w:t>A statutory instrument may require a form prescribed by or under the statutory instrument, or information or documents included in, attached to or given with the form, to be verified by statutory declaration.</w:t>
      </w:r>
    </w:p>
    <w:p w14:paraId="62C0EBFF" w14:textId="77777777" w:rsidR="00DB6E47" w:rsidRPr="007E1F9A" w:rsidRDefault="00DB6E47" w:rsidP="00DB6E47">
      <w:pPr>
        <w:pStyle w:val="Schclauseheading"/>
      </w:pPr>
      <w:bookmarkStart w:id="992" w:name="_Toc83626336"/>
      <w:r w:rsidRPr="005E03F7">
        <w:rPr>
          <w:rStyle w:val="CharSectNo"/>
        </w:rPr>
        <w:t>25</w:t>
      </w:r>
      <w:r w:rsidRPr="007E1F9A">
        <w:tab/>
      </w:r>
      <w:r w:rsidRPr="007E1F9A">
        <w:rPr>
          <w:rFonts w:ascii="Helvetica" w:hAnsi="Helvetica" w:cs="Helvetica"/>
        </w:rPr>
        <w:t>Presumption of validity and power to make</w:t>
      </w:r>
      <w:bookmarkEnd w:id="992"/>
    </w:p>
    <w:p w14:paraId="1E2A819C" w14:textId="77777777" w:rsidR="00DB6E47" w:rsidRPr="009451A4" w:rsidRDefault="00DB6E47" w:rsidP="00DB6E47">
      <w:pPr>
        <w:pStyle w:val="Amain"/>
      </w:pPr>
      <w:r w:rsidRPr="009451A4">
        <w:tab/>
        <w:t>(1)</w:t>
      </w:r>
      <w:r w:rsidRPr="009451A4">
        <w:tab/>
        <w:t>All conditions and preliminary steps required for the making of a statutory instrument are presumed to have been satisfied and performed in the absence of evidence to the contrary.</w:t>
      </w:r>
    </w:p>
    <w:p w14:paraId="5FBB0DB2" w14:textId="77777777" w:rsidR="00DB6E47" w:rsidRPr="009451A4" w:rsidRDefault="00DB6E47" w:rsidP="00DB6E47">
      <w:pPr>
        <w:pStyle w:val="Amain"/>
      </w:pPr>
      <w:r w:rsidRPr="009451A4">
        <w:tab/>
        <w:t>(2)</w:t>
      </w:r>
      <w:r w:rsidRPr="009451A4">
        <w:tab/>
        <w:t>A statutory instrument is taken to be made under all powers under which it may be made, even though it purports to be made under this Law or a particular provision of this Law.</w:t>
      </w:r>
    </w:p>
    <w:p w14:paraId="26093F35" w14:textId="77777777" w:rsidR="00DB6E47" w:rsidRPr="007E1F9A" w:rsidRDefault="00DB6E47" w:rsidP="00DB6E47">
      <w:pPr>
        <w:pStyle w:val="Schclauseheading"/>
      </w:pPr>
      <w:bookmarkStart w:id="993" w:name="_Toc83626337"/>
      <w:r w:rsidRPr="005E03F7">
        <w:rPr>
          <w:rStyle w:val="CharSectNo"/>
        </w:rPr>
        <w:t>26</w:t>
      </w:r>
      <w:r w:rsidRPr="007E1F9A">
        <w:tab/>
      </w:r>
      <w:r w:rsidRPr="007E1F9A">
        <w:rPr>
          <w:rFonts w:ascii="Helvetica" w:hAnsi="Helvetica" w:cs="Helvetica"/>
        </w:rPr>
        <w:t>Appointments may be made by name or office</w:t>
      </w:r>
      <w:bookmarkEnd w:id="993"/>
    </w:p>
    <w:p w14:paraId="4BCA8A0D" w14:textId="77777777" w:rsidR="00DB6E47" w:rsidRPr="009451A4" w:rsidRDefault="00DB6E47" w:rsidP="006767F0">
      <w:pPr>
        <w:pStyle w:val="Amain"/>
        <w:keepNext/>
      </w:pPr>
      <w:r w:rsidRPr="009451A4">
        <w:tab/>
        <w:t>(1)</w:t>
      </w:r>
      <w:r w:rsidRPr="009451A4">
        <w:tab/>
        <w:t>If this Law authorises or requires a person or body—</w:t>
      </w:r>
    </w:p>
    <w:p w14:paraId="341EFE99" w14:textId="77777777" w:rsidR="00DB6E47" w:rsidRPr="00544ED5" w:rsidRDefault="00DB6E47" w:rsidP="00DB6E47">
      <w:pPr>
        <w:pStyle w:val="Apara"/>
      </w:pPr>
      <w:r w:rsidRPr="00544ED5">
        <w:tab/>
        <w:t>(a)</w:t>
      </w:r>
      <w:r w:rsidRPr="00544ED5">
        <w:tab/>
        <w:t>to appoint a person to an office; or</w:t>
      </w:r>
    </w:p>
    <w:p w14:paraId="241A0050" w14:textId="77777777" w:rsidR="00DB6E47" w:rsidRPr="00544ED5" w:rsidRDefault="00DB6E47" w:rsidP="00DB6E47">
      <w:pPr>
        <w:pStyle w:val="Apara"/>
      </w:pPr>
      <w:r w:rsidRPr="00544ED5">
        <w:tab/>
        <w:t>(b)</w:t>
      </w:r>
      <w:r w:rsidRPr="00544ED5">
        <w:tab/>
        <w:t>to appoint a person or body to exercise a power; or</w:t>
      </w:r>
    </w:p>
    <w:p w14:paraId="148AB08B" w14:textId="77777777" w:rsidR="00DB6E47" w:rsidRPr="00544ED5" w:rsidRDefault="00DB6E47" w:rsidP="00DB6E47">
      <w:pPr>
        <w:pStyle w:val="Apara"/>
      </w:pPr>
      <w:r w:rsidRPr="00544ED5">
        <w:tab/>
        <w:t>(c)</w:t>
      </w:r>
      <w:r w:rsidRPr="00544ED5">
        <w:tab/>
        <w:t>to appoint a person or body to do another thing;</w:t>
      </w:r>
    </w:p>
    <w:p w14:paraId="27A36FCE" w14:textId="77777777" w:rsidR="00DB6E47" w:rsidRPr="009451A4" w:rsidRDefault="00DB6E47" w:rsidP="00DB6E47">
      <w:pPr>
        <w:pStyle w:val="Amainreturn"/>
      </w:pPr>
      <w:r w:rsidRPr="009451A4">
        <w:t>the person or body may make the appointment by—</w:t>
      </w:r>
    </w:p>
    <w:p w14:paraId="44050B3A" w14:textId="77777777" w:rsidR="00DB6E47" w:rsidRPr="00544ED5" w:rsidRDefault="00DB6E47" w:rsidP="00DB6E47">
      <w:pPr>
        <w:pStyle w:val="Apara"/>
      </w:pPr>
      <w:r w:rsidRPr="00544ED5">
        <w:tab/>
        <w:t>(d)</w:t>
      </w:r>
      <w:r w:rsidRPr="00544ED5">
        <w:tab/>
        <w:t>appointing a person or body by name; or</w:t>
      </w:r>
    </w:p>
    <w:p w14:paraId="108C7E4C" w14:textId="77777777" w:rsidR="00DB6E47" w:rsidRPr="00544ED5" w:rsidRDefault="00DB6E47" w:rsidP="00DB6E47">
      <w:pPr>
        <w:pStyle w:val="Apara"/>
      </w:pPr>
      <w:r w:rsidRPr="00544ED5">
        <w:lastRenderedPageBreak/>
        <w:tab/>
        <w:t>(e)</w:t>
      </w:r>
      <w:r w:rsidRPr="00544ED5">
        <w:tab/>
        <w:t>appointing a particular officer, or the holder of a particular office, by reference to the title of the office concerned.</w:t>
      </w:r>
    </w:p>
    <w:p w14:paraId="78D5F55C" w14:textId="77777777" w:rsidR="00DB6E47" w:rsidRPr="009451A4" w:rsidRDefault="00DB6E47" w:rsidP="00DB6E47">
      <w:pPr>
        <w:pStyle w:val="Amain"/>
      </w:pPr>
      <w:r w:rsidRPr="009451A4">
        <w:tab/>
        <w:t>(2)</w:t>
      </w:r>
      <w:r w:rsidRPr="009451A4">
        <w:tab/>
        <w:t>An appointment of a particular officer, or the holder of a particular office, is taken to be the appointment of the person for the time being occupying or acting in the office concerned.</w:t>
      </w:r>
    </w:p>
    <w:p w14:paraId="4332BCC3" w14:textId="77777777" w:rsidR="00DB6E47" w:rsidRPr="007E1F9A" w:rsidRDefault="00DB6E47" w:rsidP="00DB6E47">
      <w:pPr>
        <w:pStyle w:val="Schclauseheading"/>
      </w:pPr>
      <w:bookmarkStart w:id="994" w:name="_Toc83626338"/>
      <w:r w:rsidRPr="005E03F7">
        <w:rPr>
          <w:rStyle w:val="CharSectNo"/>
        </w:rPr>
        <w:t>27</w:t>
      </w:r>
      <w:r w:rsidRPr="007E1F9A">
        <w:tab/>
      </w:r>
      <w:r w:rsidRPr="007E1F9A">
        <w:rPr>
          <w:rFonts w:ascii="Helvetica" w:hAnsi="Helvetica" w:cs="Helvetica"/>
        </w:rPr>
        <w:t>Acting appointments</w:t>
      </w:r>
      <w:bookmarkEnd w:id="994"/>
    </w:p>
    <w:p w14:paraId="0C8065E0" w14:textId="77777777" w:rsidR="00DB6E47" w:rsidRPr="009451A4" w:rsidRDefault="00DB6E47" w:rsidP="00DB6E47">
      <w:pPr>
        <w:pStyle w:val="Amain"/>
      </w:pPr>
      <w:r w:rsidRPr="009451A4">
        <w:tab/>
        <w:t>(1)</w:t>
      </w:r>
      <w:r w:rsidRPr="009451A4">
        <w:tab/>
        <w:t>If this Law authorises a person or body to appoint a person to act in an office, the person or body may, in accordance with this Law, appoint—</w:t>
      </w:r>
    </w:p>
    <w:p w14:paraId="34D0FE78" w14:textId="77777777" w:rsidR="00DB6E47" w:rsidRPr="00544ED5" w:rsidRDefault="00DB6E47" w:rsidP="00DB6E47">
      <w:pPr>
        <w:pStyle w:val="Apara"/>
      </w:pPr>
      <w:r w:rsidRPr="00544ED5">
        <w:tab/>
        <w:t>(a)</w:t>
      </w:r>
      <w:r w:rsidRPr="00544ED5">
        <w:tab/>
        <w:t>a person by name; or</w:t>
      </w:r>
    </w:p>
    <w:p w14:paraId="50BF0EFE" w14:textId="77777777" w:rsidR="00DB6E47" w:rsidRPr="00544ED5" w:rsidRDefault="00DB6E47" w:rsidP="00DB6E47">
      <w:pPr>
        <w:pStyle w:val="Apara"/>
      </w:pPr>
      <w:r w:rsidRPr="00544ED5">
        <w:tab/>
        <w:t>(b)</w:t>
      </w:r>
      <w:r w:rsidRPr="00544ED5">
        <w:tab/>
        <w:t>a particular officer, or the holder of a particular office, by reference to the title of the office concerned;</w:t>
      </w:r>
    </w:p>
    <w:p w14:paraId="4CAF1877" w14:textId="77777777" w:rsidR="00DB6E47" w:rsidRPr="009451A4" w:rsidRDefault="00DB6E47" w:rsidP="00DB6E47">
      <w:pPr>
        <w:pStyle w:val="Amainreturn"/>
      </w:pPr>
      <w:r w:rsidRPr="009451A4">
        <w:t>to act in the office.</w:t>
      </w:r>
    </w:p>
    <w:p w14:paraId="744A602C" w14:textId="77777777" w:rsidR="00DB6E47" w:rsidRPr="009451A4" w:rsidRDefault="00DB6E47" w:rsidP="00DB6E47">
      <w:pPr>
        <w:pStyle w:val="Amain"/>
      </w:pPr>
      <w:r w:rsidRPr="009451A4">
        <w:tab/>
        <w:t>(2)</w:t>
      </w:r>
      <w:r w:rsidRPr="009451A4">
        <w:tab/>
        <w:t>The appointment may be expressed to have effect only in the circumstances specified in the instrument of appointment.</w:t>
      </w:r>
    </w:p>
    <w:p w14:paraId="64587B1B" w14:textId="77777777" w:rsidR="00DB6E47" w:rsidRPr="009451A4" w:rsidRDefault="00DB6E47" w:rsidP="00DB6E47">
      <w:pPr>
        <w:pStyle w:val="Amain"/>
      </w:pPr>
      <w:r w:rsidRPr="009451A4">
        <w:tab/>
        <w:t>(3)</w:t>
      </w:r>
      <w:r w:rsidRPr="009451A4">
        <w:tab/>
        <w:t>The appointer may—</w:t>
      </w:r>
    </w:p>
    <w:p w14:paraId="3177B637" w14:textId="77777777" w:rsidR="00DB6E47" w:rsidRPr="00544ED5" w:rsidRDefault="00DB6E47" w:rsidP="00DB6E47">
      <w:pPr>
        <w:pStyle w:val="Apara"/>
      </w:pPr>
      <w:r w:rsidRPr="00544ED5">
        <w:tab/>
        <w:t>(a)</w:t>
      </w:r>
      <w:r w:rsidRPr="00544ED5">
        <w:tab/>
        <w:t>determine the terms and conditions of the appointment, including remuneration and allowances; and</w:t>
      </w:r>
    </w:p>
    <w:p w14:paraId="58963C0A" w14:textId="77777777" w:rsidR="00DB6E47" w:rsidRPr="00544ED5" w:rsidRDefault="00DB6E47" w:rsidP="00DB6E47">
      <w:pPr>
        <w:pStyle w:val="Apara"/>
      </w:pPr>
      <w:r w:rsidRPr="00544ED5">
        <w:tab/>
        <w:t>(b)</w:t>
      </w:r>
      <w:r w:rsidRPr="00544ED5">
        <w:tab/>
        <w:t>terminate the appointment at any time.</w:t>
      </w:r>
    </w:p>
    <w:p w14:paraId="168A203B" w14:textId="77777777" w:rsidR="00DB6E47" w:rsidRPr="009451A4" w:rsidRDefault="00DB6E47" w:rsidP="00DB6E47">
      <w:pPr>
        <w:pStyle w:val="Amain"/>
      </w:pPr>
      <w:r w:rsidRPr="009451A4">
        <w:tab/>
        <w:t>(4)</w:t>
      </w:r>
      <w:r w:rsidRPr="009451A4">
        <w:tab/>
        <w:t>The appointment, or the termination of the appointment, must be in, or evidenced by, writing signed by the appointer.</w:t>
      </w:r>
    </w:p>
    <w:p w14:paraId="4C032DAE" w14:textId="77777777" w:rsidR="00DB6E47" w:rsidRPr="009451A4" w:rsidRDefault="00DB6E47" w:rsidP="00DB6E47">
      <w:pPr>
        <w:pStyle w:val="Amain"/>
      </w:pPr>
      <w:r w:rsidRPr="009451A4">
        <w:tab/>
        <w:t>(5)</w:t>
      </w:r>
      <w:r w:rsidRPr="009451A4">
        <w:tab/>
        <w:t>The appointee must not act for more than 1 year during a vacancy in the office.</w:t>
      </w:r>
    </w:p>
    <w:p w14:paraId="30FC5988" w14:textId="77777777" w:rsidR="00DB6E47" w:rsidRPr="009451A4" w:rsidRDefault="00DB6E47" w:rsidP="00DB6E47">
      <w:pPr>
        <w:pStyle w:val="Amain"/>
      </w:pPr>
      <w:r w:rsidRPr="009451A4">
        <w:tab/>
        <w:t>(6)</w:t>
      </w:r>
      <w:r w:rsidRPr="009451A4">
        <w:tab/>
        <w:t>If the appointee is acting in the office otherwise than because of a vacancy in the office and the office becomes vacant, then, subject to subsection (2), the appointee may continue to act until—</w:t>
      </w:r>
    </w:p>
    <w:p w14:paraId="5C0390C5" w14:textId="77777777" w:rsidR="00DB6E47" w:rsidRPr="00544ED5" w:rsidRDefault="00DB6E47" w:rsidP="00DB6E47">
      <w:pPr>
        <w:pStyle w:val="Apara"/>
      </w:pPr>
      <w:r w:rsidRPr="00544ED5">
        <w:tab/>
        <w:t>(a)</w:t>
      </w:r>
      <w:r w:rsidRPr="00544ED5">
        <w:tab/>
        <w:t>the appointer otherwise directs; or</w:t>
      </w:r>
    </w:p>
    <w:p w14:paraId="0FD5B1A8" w14:textId="77777777" w:rsidR="00DB6E47" w:rsidRPr="00544ED5" w:rsidRDefault="00DB6E47" w:rsidP="00DB6E47">
      <w:pPr>
        <w:pStyle w:val="Apara"/>
      </w:pPr>
      <w:r w:rsidRPr="00544ED5">
        <w:lastRenderedPageBreak/>
        <w:tab/>
        <w:t>(b)</w:t>
      </w:r>
      <w:r w:rsidRPr="00544ED5">
        <w:tab/>
        <w:t>the vacancy is filled; or</w:t>
      </w:r>
    </w:p>
    <w:p w14:paraId="140D3694" w14:textId="77777777" w:rsidR="00DB6E47" w:rsidRPr="00544ED5" w:rsidRDefault="00DB6E47" w:rsidP="00496DF2">
      <w:pPr>
        <w:pStyle w:val="Apara"/>
        <w:keepNext/>
      </w:pPr>
      <w:r w:rsidRPr="00544ED5">
        <w:tab/>
        <w:t>(c)</w:t>
      </w:r>
      <w:r w:rsidRPr="00544ED5">
        <w:tab/>
        <w:t>the end of a year from the day of the vacancy;</w:t>
      </w:r>
    </w:p>
    <w:p w14:paraId="59F37640" w14:textId="77777777" w:rsidR="00DB6E47" w:rsidRPr="009451A4" w:rsidRDefault="00DB6E47" w:rsidP="00DB6E47">
      <w:pPr>
        <w:pStyle w:val="Amainreturn"/>
      </w:pPr>
      <w:r w:rsidRPr="009451A4">
        <w:t>whichever happens first.</w:t>
      </w:r>
    </w:p>
    <w:p w14:paraId="6C0C4EB6" w14:textId="77777777" w:rsidR="00DB6E47" w:rsidRPr="009451A4" w:rsidRDefault="00DB6E47" w:rsidP="00DB6E47">
      <w:pPr>
        <w:pStyle w:val="Amain"/>
      </w:pPr>
      <w:r w:rsidRPr="009451A4">
        <w:tab/>
        <w:t>(7)</w:t>
      </w:r>
      <w:r w:rsidRPr="009451A4">
        <w:tab/>
        <w:t>The appointment ceases to have effect if the appointee resigns by writing signed and delivered to the appointer.</w:t>
      </w:r>
    </w:p>
    <w:p w14:paraId="2F3497AD" w14:textId="77777777" w:rsidR="00DB6E47" w:rsidRPr="009451A4" w:rsidRDefault="00DB6E47" w:rsidP="00DB6E47">
      <w:pPr>
        <w:pStyle w:val="Amain"/>
      </w:pPr>
      <w:r w:rsidRPr="009451A4">
        <w:tab/>
        <w:t>(8)</w:t>
      </w:r>
      <w:r w:rsidRPr="009451A4">
        <w:tab/>
        <w:t>While the appointee is acting in the office—</w:t>
      </w:r>
    </w:p>
    <w:p w14:paraId="0FAB8F8F" w14:textId="77777777" w:rsidR="00DB6E47" w:rsidRPr="00544ED5" w:rsidRDefault="00DB6E47" w:rsidP="00DB6E47">
      <w:pPr>
        <w:pStyle w:val="Apara"/>
      </w:pPr>
      <w:r w:rsidRPr="00544ED5">
        <w:tab/>
        <w:t>(a)</w:t>
      </w:r>
      <w:r w:rsidRPr="00544ED5">
        <w:tab/>
        <w:t>the appointee has all the powers and functions of the holder of the office; and</w:t>
      </w:r>
    </w:p>
    <w:p w14:paraId="43AF0DE8" w14:textId="77777777" w:rsidR="00DB6E47" w:rsidRPr="00544ED5" w:rsidRDefault="00DB6E47" w:rsidP="00DB6E47">
      <w:pPr>
        <w:pStyle w:val="Apara"/>
      </w:pPr>
      <w:r w:rsidRPr="00544ED5">
        <w:tab/>
        <w:t>(b)</w:t>
      </w:r>
      <w:r w:rsidRPr="00544ED5">
        <w:tab/>
        <w:t>this Law and other laws apply to the appointee as if the appointee were the holder of the office.</w:t>
      </w:r>
    </w:p>
    <w:p w14:paraId="2DB55686" w14:textId="77777777" w:rsidR="00DB6E47" w:rsidRPr="009451A4" w:rsidRDefault="00DB6E47" w:rsidP="00DB6E47">
      <w:pPr>
        <w:pStyle w:val="Amain"/>
      </w:pPr>
      <w:r w:rsidRPr="009451A4">
        <w:tab/>
        <w:t>(9)</w:t>
      </w:r>
      <w:r w:rsidRPr="009451A4">
        <w:tab/>
        <w:t>Anything done by or in relation to a person purporting to act in the office is not invalid merely because—</w:t>
      </w:r>
    </w:p>
    <w:p w14:paraId="20C512F8" w14:textId="77777777" w:rsidR="00DB6E47" w:rsidRPr="00544ED5" w:rsidRDefault="00DB6E47" w:rsidP="00DB6E47">
      <w:pPr>
        <w:pStyle w:val="Apara"/>
      </w:pPr>
      <w:r w:rsidRPr="00544ED5">
        <w:tab/>
        <w:t>(a)</w:t>
      </w:r>
      <w:r w:rsidRPr="00544ED5">
        <w:tab/>
        <w:t>the occasion for the appointment had not arisen; or</w:t>
      </w:r>
    </w:p>
    <w:p w14:paraId="43758817" w14:textId="77777777" w:rsidR="00DB6E47" w:rsidRPr="00544ED5" w:rsidRDefault="00DB6E47" w:rsidP="00DB6E47">
      <w:pPr>
        <w:pStyle w:val="Apara"/>
      </w:pPr>
      <w:r w:rsidRPr="00544ED5">
        <w:tab/>
        <w:t>(b)</w:t>
      </w:r>
      <w:r w:rsidRPr="00544ED5">
        <w:tab/>
        <w:t>the appointment had ceased to have effect; or</w:t>
      </w:r>
    </w:p>
    <w:p w14:paraId="0EF2A596" w14:textId="77777777" w:rsidR="00DB6E47" w:rsidRPr="00544ED5" w:rsidRDefault="00DB6E47" w:rsidP="00DB6E47">
      <w:pPr>
        <w:pStyle w:val="Apara"/>
      </w:pPr>
      <w:r w:rsidRPr="00544ED5">
        <w:tab/>
        <w:t>(c)</w:t>
      </w:r>
      <w:r w:rsidRPr="00544ED5">
        <w:tab/>
        <w:t>the occasion for the person to act had not arisen or had ceased.</w:t>
      </w:r>
    </w:p>
    <w:p w14:paraId="0DC72D0F" w14:textId="77777777" w:rsidR="00DB6E47" w:rsidRPr="009451A4" w:rsidRDefault="00DB6E47" w:rsidP="00DB6E47">
      <w:pPr>
        <w:pStyle w:val="Amain"/>
      </w:pPr>
      <w:r w:rsidRPr="009451A4">
        <w:tab/>
        <w:t>(10)</w:t>
      </w:r>
      <w:r w:rsidRPr="009451A4">
        <w:tab/>
        <w:t>If this Law authorises the appointer to appoint a person to act during a vacancy in the office, an appointment to act in the office may be made by the appointer whether or not an appointment has previously been made to the office.</w:t>
      </w:r>
    </w:p>
    <w:p w14:paraId="2D184974" w14:textId="77777777" w:rsidR="00DB6E47" w:rsidRPr="007E1F9A" w:rsidRDefault="00DB6E47" w:rsidP="00DB6E47">
      <w:pPr>
        <w:pStyle w:val="Schclauseheading"/>
      </w:pPr>
      <w:bookmarkStart w:id="995" w:name="_Toc83626339"/>
      <w:r w:rsidRPr="005E03F7">
        <w:rPr>
          <w:rStyle w:val="CharSectNo"/>
        </w:rPr>
        <w:t>28</w:t>
      </w:r>
      <w:r w:rsidRPr="007E1F9A">
        <w:tab/>
      </w:r>
      <w:r w:rsidRPr="007E1F9A">
        <w:rPr>
          <w:rFonts w:ascii="Helvetica" w:hAnsi="Helvetica" w:cs="Helvetica"/>
        </w:rPr>
        <w:t>Powers of appointment imply certain incidental powers</w:t>
      </w:r>
      <w:bookmarkEnd w:id="995"/>
    </w:p>
    <w:p w14:paraId="17C6B90A" w14:textId="77777777" w:rsidR="00DB6E47" w:rsidRPr="009451A4" w:rsidRDefault="00DB6E47" w:rsidP="00DB6E47">
      <w:pPr>
        <w:pStyle w:val="Amain"/>
      </w:pPr>
      <w:r w:rsidRPr="009451A4">
        <w:tab/>
        <w:t>(1)</w:t>
      </w:r>
      <w:r w:rsidRPr="009451A4">
        <w:tab/>
        <w:t>If this Law authorises or requires a person or body to appoint a person to an office—</w:t>
      </w:r>
    </w:p>
    <w:p w14:paraId="3DB57C90" w14:textId="77777777" w:rsidR="00DB6E47" w:rsidRPr="00544ED5" w:rsidRDefault="00DB6E47" w:rsidP="00DB6E47">
      <w:pPr>
        <w:pStyle w:val="Apara"/>
      </w:pPr>
      <w:r w:rsidRPr="00544ED5">
        <w:tab/>
        <w:t>(a)</w:t>
      </w:r>
      <w:r w:rsidRPr="00544ED5">
        <w:tab/>
        <w:t>the power may be exercised from time to time as occasion requires; and</w:t>
      </w:r>
    </w:p>
    <w:p w14:paraId="76788889" w14:textId="77777777" w:rsidR="00DB6E47" w:rsidRPr="00544ED5" w:rsidRDefault="00DB6E47" w:rsidP="00DB6E47">
      <w:pPr>
        <w:pStyle w:val="Apara"/>
      </w:pPr>
      <w:r w:rsidRPr="00544ED5">
        <w:tab/>
        <w:t>(b)</w:t>
      </w:r>
      <w:r w:rsidRPr="00544ED5">
        <w:tab/>
        <w:t>the power includes—</w:t>
      </w:r>
    </w:p>
    <w:p w14:paraId="091AE303" w14:textId="77777777" w:rsidR="00DB6E47" w:rsidRPr="00CC71DF" w:rsidRDefault="00DB6E47" w:rsidP="00DB6E47">
      <w:pPr>
        <w:pStyle w:val="Asubpara"/>
      </w:pPr>
      <w:r w:rsidRPr="00CC71DF">
        <w:tab/>
        <w:t>(i)</w:t>
      </w:r>
      <w:r w:rsidRPr="00CC71DF">
        <w:tab/>
        <w:t>power to remove or suspend, at any time, a person appointed to the office; and</w:t>
      </w:r>
    </w:p>
    <w:p w14:paraId="6783ABA6" w14:textId="77777777" w:rsidR="00DB6E47" w:rsidRPr="00CC71DF" w:rsidRDefault="00DB6E47" w:rsidP="00DB6E47">
      <w:pPr>
        <w:pStyle w:val="Asubpara"/>
      </w:pPr>
      <w:r w:rsidRPr="00CC71DF">
        <w:lastRenderedPageBreak/>
        <w:tab/>
        <w:t>(ii)</w:t>
      </w:r>
      <w:r w:rsidRPr="00CC71DF">
        <w:tab/>
        <w:t>power to appoint another person to act in the office if a person appointed to the office is removed or suspended; and</w:t>
      </w:r>
    </w:p>
    <w:p w14:paraId="415CFD09" w14:textId="77777777" w:rsidR="00DB6E47" w:rsidRPr="00CC71DF" w:rsidRDefault="00DB6E47" w:rsidP="00DB6E47">
      <w:pPr>
        <w:pStyle w:val="Asubpara"/>
      </w:pPr>
      <w:r w:rsidRPr="00CC71DF">
        <w:tab/>
        <w:t>(iii)</w:t>
      </w:r>
      <w:r w:rsidRPr="00CC71DF">
        <w:tab/>
        <w:t>power to reinstate or reappoint a person removed or suspended; and</w:t>
      </w:r>
    </w:p>
    <w:p w14:paraId="2764142B" w14:textId="77777777" w:rsidR="00DB6E47" w:rsidRPr="00CC71DF" w:rsidRDefault="00DB6E47" w:rsidP="00DB6E47">
      <w:pPr>
        <w:pStyle w:val="Asubpara"/>
      </w:pPr>
      <w:r w:rsidRPr="00CC71DF">
        <w:tab/>
        <w:t>(iv)</w:t>
      </w:r>
      <w:r w:rsidRPr="00CC71DF">
        <w:tab/>
        <w:t>power to appoint a person to act in the office if it is vacant (whether or not the office has ever been filled); and</w:t>
      </w:r>
    </w:p>
    <w:p w14:paraId="45667D8D" w14:textId="77777777" w:rsidR="00DB6E47" w:rsidRPr="00CC71DF" w:rsidRDefault="00DB6E47" w:rsidP="00DB6E47">
      <w:pPr>
        <w:pStyle w:val="Asubpara"/>
      </w:pPr>
      <w:r w:rsidRPr="00CC71DF">
        <w:tab/>
        <w:t>(v)</w:t>
      </w:r>
      <w:r w:rsidRPr="00CC71DF">
        <w:tab/>
        <w:t>power to appoint a person to act in the office if the person appointed to the office is absent or is unable to discharge the functions of the office (whether because of illness or otherwise).</w:t>
      </w:r>
    </w:p>
    <w:p w14:paraId="07EB7274" w14:textId="77777777" w:rsidR="00DB6E47" w:rsidRPr="009451A4" w:rsidRDefault="00DB6E47" w:rsidP="00DB6E47">
      <w:pPr>
        <w:pStyle w:val="Amain"/>
      </w:pPr>
      <w:r w:rsidRPr="009451A4">
        <w:tab/>
        <w:t>(2)</w:t>
      </w:r>
      <w:r w:rsidRPr="009451A4">
        <w:tab/>
        <w:t>The power to remove or suspen</w:t>
      </w:r>
      <w:r w:rsidR="00121ABD">
        <w:t>d a person under subsection (1)</w:t>
      </w:r>
      <w:r w:rsidRPr="009451A4">
        <w:t>(b)</w:t>
      </w:r>
      <w:r w:rsidR="00121ABD">
        <w:t xml:space="preserve"> </w:t>
      </w:r>
      <w:r w:rsidRPr="009451A4">
        <w:t>may be exercised even if this Law provides that the holder of the office to which the person was appointed is to hold office for a specified period.</w:t>
      </w:r>
    </w:p>
    <w:p w14:paraId="6E9272A7" w14:textId="77777777" w:rsidR="00DB6E47" w:rsidRPr="009451A4" w:rsidRDefault="00DB6E47" w:rsidP="00DB6E47">
      <w:pPr>
        <w:pStyle w:val="Amain"/>
      </w:pPr>
      <w:r w:rsidRPr="009451A4">
        <w:tab/>
        <w:t>(3)</w:t>
      </w:r>
      <w:r w:rsidRPr="009451A4">
        <w:tab/>
        <w:t>The power to make an a</w:t>
      </w:r>
      <w:r w:rsidR="004E3F26">
        <w:t>ppointment under subsection (1)</w:t>
      </w:r>
      <w:r w:rsidRPr="009451A4">
        <w:t>(b)</w:t>
      </w:r>
      <w:r w:rsidR="004E3F26">
        <w:t xml:space="preserve"> </w:t>
      </w:r>
      <w:r w:rsidRPr="009451A4">
        <w:t>may be exercised from time to time as occasion requires.</w:t>
      </w:r>
    </w:p>
    <w:p w14:paraId="03455873" w14:textId="77777777" w:rsidR="00DB6E47" w:rsidRPr="009451A4" w:rsidRDefault="00DB6E47" w:rsidP="00DB6E47">
      <w:pPr>
        <w:pStyle w:val="Amain"/>
      </w:pPr>
      <w:r w:rsidRPr="009451A4">
        <w:tab/>
        <w:t>(4)</w:t>
      </w:r>
      <w:r w:rsidRPr="009451A4">
        <w:tab/>
        <w:t>An a</w:t>
      </w:r>
      <w:r w:rsidR="00121ABD">
        <w:t>ppointment under subsection (1)</w:t>
      </w:r>
      <w:r w:rsidRPr="009451A4">
        <w:t>(b)</w:t>
      </w:r>
      <w:r w:rsidR="00121ABD">
        <w:t xml:space="preserve"> </w:t>
      </w:r>
      <w:r w:rsidRPr="009451A4">
        <w:t>may be expressed to have effect only in the circumstances specified in the instrument of appointment.</w:t>
      </w:r>
    </w:p>
    <w:p w14:paraId="165ED6EC" w14:textId="77777777" w:rsidR="00DB6E47" w:rsidRPr="007E1F9A" w:rsidRDefault="00DB6E47" w:rsidP="00DB6E47">
      <w:pPr>
        <w:pStyle w:val="Schclauseheading"/>
      </w:pPr>
      <w:bookmarkStart w:id="996" w:name="_Toc83626340"/>
      <w:r w:rsidRPr="005E03F7">
        <w:rPr>
          <w:rStyle w:val="CharSectNo"/>
        </w:rPr>
        <w:t>29</w:t>
      </w:r>
      <w:r w:rsidRPr="007E1F9A">
        <w:tab/>
      </w:r>
      <w:r w:rsidRPr="007E1F9A">
        <w:rPr>
          <w:rFonts w:ascii="Helvetica" w:hAnsi="Helvetica" w:cs="Helvetica"/>
        </w:rPr>
        <w:t>Delegation of functions</w:t>
      </w:r>
      <w:bookmarkEnd w:id="996"/>
    </w:p>
    <w:p w14:paraId="4F67D67B" w14:textId="77777777" w:rsidR="00DB6E47" w:rsidRPr="009451A4" w:rsidRDefault="00DB6E47" w:rsidP="00DB6E47">
      <w:pPr>
        <w:pStyle w:val="Amain"/>
      </w:pPr>
      <w:r w:rsidRPr="009451A4">
        <w:tab/>
        <w:t>(1)</w:t>
      </w:r>
      <w:r w:rsidRPr="009451A4">
        <w:tab/>
        <w:t>If this Law authorises a person or body to delegate a function, the person or body may, in accordance with this Law and any other applicable law, delegate the function to—</w:t>
      </w:r>
    </w:p>
    <w:p w14:paraId="5D9C06BF" w14:textId="77777777" w:rsidR="00DB6E47" w:rsidRPr="00544ED5" w:rsidRDefault="00DB6E47" w:rsidP="00DB6E47">
      <w:pPr>
        <w:pStyle w:val="Apara"/>
      </w:pPr>
      <w:r w:rsidRPr="00544ED5">
        <w:tab/>
        <w:t>(a)</w:t>
      </w:r>
      <w:r w:rsidRPr="00544ED5">
        <w:tab/>
        <w:t>a person or body by name; or</w:t>
      </w:r>
    </w:p>
    <w:p w14:paraId="45BBB3F7" w14:textId="77777777" w:rsidR="00DB6E47" w:rsidRPr="00544ED5" w:rsidRDefault="00DB6E47" w:rsidP="00DB6E47">
      <w:pPr>
        <w:pStyle w:val="Apara"/>
      </w:pPr>
      <w:r w:rsidRPr="00544ED5">
        <w:tab/>
        <w:t>(b)</w:t>
      </w:r>
      <w:r w:rsidRPr="00544ED5">
        <w:tab/>
        <w:t>a specified officer, or the holder of a specified office, by reference to the title of the office concerned.</w:t>
      </w:r>
    </w:p>
    <w:p w14:paraId="4CF3D7C2" w14:textId="77777777" w:rsidR="00DB6E47" w:rsidRPr="009451A4" w:rsidRDefault="00DB6E47" w:rsidP="00DB6E47">
      <w:pPr>
        <w:pStyle w:val="Amain"/>
      </w:pPr>
      <w:r w:rsidRPr="009451A4">
        <w:tab/>
        <w:t>(2)</w:t>
      </w:r>
      <w:r w:rsidRPr="009451A4">
        <w:tab/>
        <w:t>The delegation may be—</w:t>
      </w:r>
    </w:p>
    <w:p w14:paraId="41A8FCD3" w14:textId="77777777" w:rsidR="00DB6E47" w:rsidRPr="00544ED5" w:rsidRDefault="00DB6E47" w:rsidP="00DB6E47">
      <w:pPr>
        <w:pStyle w:val="Apara"/>
      </w:pPr>
      <w:r w:rsidRPr="00544ED5">
        <w:tab/>
        <w:t>(a)</w:t>
      </w:r>
      <w:r w:rsidRPr="00544ED5">
        <w:tab/>
        <w:t>general or limited; and</w:t>
      </w:r>
    </w:p>
    <w:p w14:paraId="0AF81235" w14:textId="77777777" w:rsidR="00DB6E47" w:rsidRPr="00544ED5" w:rsidRDefault="00DB6E47" w:rsidP="00DB6E47">
      <w:pPr>
        <w:pStyle w:val="Apara"/>
      </w:pPr>
      <w:r w:rsidRPr="00544ED5">
        <w:lastRenderedPageBreak/>
        <w:tab/>
        <w:t>(b)</w:t>
      </w:r>
      <w:r w:rsidRPr="00544ED5">
        <w:tab/>
        <w:t>made from time to time; and</w:t>
      </w:r>
    </w:p>
    <w:p w14:paraId="69DF2FC7" w14:textId="77777777" w:rsidR="00DB6E47" w:rsidRPr="00544ED5" w:rsidRDefault="00DB6E47" w:rsidP="00DB6E47">
      <w:pPr>
        <w:pStyle w:val="Apara"/>
      </w:pPr>
      <w:r w:rsidRPr="00544ED5">
        <w:tab/>
        <w:t>(c)</w:t>
      </w:r>
      <w:r w:rsidRPr="00544ED5">
        <w:tab/>
        <w:t>revoked, wholly or partly, by the delegator.</w:t>
      </w:r>
    </w:p>
    <w:p w14:paraId="3238CBCC" w14:textId="77777777" w:rsidR="00DB6E47" w:rsidRPr="009451A4" w:rsidRDefault="00DB6E47" w:rsidP="00DB6E47">
      <w:pPr>
        <w:pStyle w:val="Amain"/>
      </w:pPr>
      <w:r w:rsidRPr="009451A4">
        <w:tab/>
        <w:t>(3)</w:t>
      </w:r>
      <w:r w:rsidRPr="009451A4">
        <w:tab/>
        <w:t>The delegation, or a revocation of the delegation, must be in, or evidenced by, writing signed by the delegator or, if the delegator is a body, by a person authorised by the body for the purpose.</w:t>
      </w:r>
    </w:p>
    <w:p w14:paraId="47EF172B" w14:textId="77777777" w:rsidR="00DB6E47" w:rsidRPr="009451A4" w:rsidRDefault="00DB6E47" w:rsidP="00DB6E47">
      <w:pPr>
        <w:pStyle w:val="Amain"/>
      </w:pPr>
      <w:r w:rsidRPr="009451A4">
        <w:tab/>
        <w:t>(4)</w:t>
      </w:r>
      <w:r w:rsidRPr="009451A4">
        <w:tab/>
        <w:t>A delegated function may be exercised only in accordance with any conditions to which the delegation is subject.</w:t>
      </w:r>
    </w:p>
    <w:p w14:paraId="3A58A018" w14:textId="77777777" w:rsidR="00DB6E47" w:rsidRPr="009451A4" w:rsidRDefault="00DB6E47" w:rsidP="00DB6E47">
      <w:pPr>
        <w:pStyle w:val="Amain"/>
      </w:pPr>
      <w:r w:rsidRPr="009451A4">
        <w:tab/>
        <w:t>(5)</w:t>
      </w:r>
      <w:r w:rsidRPr="009451A4">
        <w:tab/>
        <w:t>The delegate may, in the exercise of a delegated function, do anything that is incidental to the delegated function.</w:t>
      </w:r>
    </w:p>
    <w:p w14:paraId="75027987" w14:textId="77777777" w:rsidR="00DB6E47" w:rsidRPr="009451A4" w:rsidRDefault="00DB6E47" w:rsidP="00DB6E47">
      <w:pPr>
        <w:pStyle w:val="Amain"/>
      </w:pPr>
      <w:r w:rsidRPr="009451A4">
        <w:tab/>
        <w:t>(6)</w:t>
      </w:r>
      <w:r w:rsidRPr="009451A4">
        <w:tab/>
        <w:t>A delegated function that purports to have been exercised by the delegate is taken to have been properly exercised by the delegate unless the contrary is proved.</w:t>
      </w:r>
    </w:p>
    <w:p w14:paraId="7AFD34D0" w14:textId="77777777" w:rsidR="00DB6E47" w:rsidRPr="009451A4" w:rsidRDefault="00DB6E47" w:rsidP="00DB6E47">
      <w:pPr>
        <w:pStyle w:val="Amain"/>
      </w:pPr>
      <w:r w:rsidRPr="009451A4">
        <w:tab/>
        <w:t>(7)</w:t>
      </w:r>
      <w:r w:rsidRPr="009451A4">
        <w:tab/>
        <w:t>A delegated function that is properly exercised by the delegate is taken to have been exercised by the delegator.</w:t>
      </w:r>
    </w:p>
    <w:p w14:paraId="5EE00AAB" w14:textId="77777777" w:rsidR="00DB6E47" w:rsidRPr="009451A4" w:rsidRDefault="00DB6E47" w:rsidP="00DB6E47">
      <w:pPr>
        <w:pStyle w:val="Amain"/>
      </w:pPr>
      <w:r w:rsidRPr="009451A4">
        <w:tab/>
        <w:t>(8)</w:t>
      </w:r>
      <w:r w:rsidRPr="009451A4">
        <w:tab/>
        <w:t>If, when exercised by the delegator, a function is dependent on the delegator’s opinion, belief or state of mind, then, when exercised by the delegate, the function is dependent on the delegate’s opinion, belief or state of mind.</w:t>
      </w:r>
    </w:p>
    <w:p w14:paraId="54062CBE" w14:textId="77777777" w:rsidR="00DB6E47" w:rsidRPr="009451A4" w:rsidRDefault="00DB6E47" w:rsidP="006767F0">
      <w:pPr>
        <w:pStyle w:val="Amain"/>
        <w:keepNext/>
      </w:pPr>
      <w:r w:rsidRPr="009451A4">
        <w:tab/>
        <w:t>(9)</w:t>
      </w:r>
      <w:r w:rsidRPr="009451A4">
        <w:tab/>
        <w:t>If—</w:t>
      </w:r>
    </w:p>
    <w:p w14:paraId="0BEF6113" w14:textId="77777777" w:rsidR="00DB6E47" w:rsidRPr="00544ED5" w:rsidRDefault="00DB6E47" w:rsidP="00DB6E47">
      <w:pPr>
        <w:pStyle w:val="Apara"/>
      </w:pPr>
      <w:r w:rsidRPr="00544ED5">
        <w:tab/>
        <w:t>(a)</w:t>
      </w:r>
      <w:r w:rsidRPr="00544ED5">
        <w:tab/>
        <w:t>the delegator is a specified officer or the holder of a specified office; and</w:t>
      </w:r>
    </w:p>
    <w:p w14:paraId="796BC687" w14:textId="77777777" w:rsidR="00DB6E47" w:rsidRPr="00544ED5" w:rsidRDefault="00DB6E47" w:rsidP="00DB6E47">
      <w:pPr>
        <w:pStyle w:val="Apara"/>
      </w:pPr>
      <w:r w:rsidRPr="00544ED5">
        <w:tab/>
        <w:t>(b)</w:t>
      </w:r>
      <w:r w:rsidRPr="00544ED5">
        <w:tab/>
        <w:t>the person who was the specified officer or holder of the specified office when the delegation was made ceases to be the holder of the office;</w:t>
      </w:r>
    </w:p>
    <w:p w14:paraId="36AC24D3" w14:textId="77777777" w:rsidR="00DB6E47" w:rsidRPr="009451A4" w:rsidRDefault="00DB6E47" w:rsidP="00DB6E47">
      <w:pPr>
        <w:pStyle w:val="Amainreturn"/>
      </w:pPr>
      <w:r w:rsidRPr="009451A4">
        <w:t>then—</w:t>
      </w:r>
    </w:p>
    <w:p w14:paraId="050D8F31" w14:textId="77777777" w:rsidR="00DB6E47" w:rsidRPr="00544ED5" w:rsidRDefault="00DB6E47" w:rsidP="00DB6E47">
      <w:pPr>
        <w:pStyle w:val="Apara"/>
      </w:pPr>
      <w:r w:rsidRPr="00544ED5">
        <w:tab/>
        <w:t>(c)</w:t>
      </w:r>
      <w:r w:rsidRPr="00544ED5">
        <w:tab/>
        <w:t>the delegation continues in force; and</w:t>
      </w:r>
    </w:p>
    <w:p w14:paraId="743B0AC9" w14:textId="77777777" w:rsidR="00DB6E47" w:rsidRPr="00544ED5" w:rsidRDefault="00DB6E47" w:rsidP="00DB6E47">
      <w:pPr>
        <w:pStyle w:val="Apara"/>
      </w:pPr>
      <w:r w:rsidRPr="00544ED5">
        <w:tab/>
        <w:t>(d)</w:t>
      </w:r>
      <w:r w:rsidRPr="00544ED5">
        <w:tab/>
        <w:t>the person for the time being occupying or acting in the office concerned is taken to be the delegator for the purposes of this section.</w:t>
      </w:r>
    </w:p>
    <w:p w14:paraId="1819C5DF" w14:textId="77777777" w:rsidR="00DB6E47" w:rsidRPr="009451A4" w:rsidRDefault="00DB6E47" w:rsidP="00DB6E47">
      <w:pPr>
        <w:pStyle w:val="Amain"/>
      </w:pPr>
      <w:r w:rsidRPr="009451A4">
        <w:lastRenderedPageBreak/>
        <w:tab/>
        <w:t>(10)</w:t>
      </w:r>
      <w:r w:rsidRPr="009451A4">
        <w:tab/>
        <w:t>If—</w:t>
      </w:r>
    </w:p>
    <w:p w14:paraId="2FC8B170" w14:textId="77777777" w:rsidR="00DB6E47" w:rsidRPr="00544ED5" w:rsidRDefault="00DB6E47" w:rsidP="00DB6E47">
      <w:pPr>
        <w:pStyle w:val="Apara"/>
      </w:pPr>
      <w:r w:rsidRPr="00544ED5">
        <w:tab/>
        <w:t>(a)</w:t>
      </w:r>
      <w:r w:rsidRPr="00544ED5">
        <w:tab/>
        <w:t>the delegator is a body; and</w:t>
      </w:r>
    </w:p>
    <w:p w14:paraId="414BDCB8" w14:textId="77777777" w:rsidR="00DB6E47" w:rsidRPr="00544ED5" w:rsidRDefault="00DB6E47" w:rsidP="00DB6E47">
      <w:pPr>
        <w:pStyle w:val="Apara"/>
      </w:pPr>
      <w:r w:rsidRPr="00544ED5">
        <w:tab/>
        <w:t>(b)</w:t>
      </w:r>
      <w:r w:rsidRPr="00544ED5">
        <w:tab/>
        <w:t>there is a change in the membership of the body;</w:t>
      </w:r>
    </w:p>
    <w:p w14:paraId="165F602E" w14:textId="77777777" w:rsidR="00DB6E47" w:rsidRPr="009451A4" w:rsidRDefault="00DB6E47" w:rsidP="00DB6E47">
      <w:pPr>
        <w:pStyle w:val="Amainreturn"/>
      </w:pPr>
      <w:r w:rsidRPr="009451A4">
        <w:t>then—</w:t>
      </w:r>
    </w:p>
    <w:p w14:paraId="63F97650" w14:textId="77777777" w:rsidR="00DB6E47" w:rsidRPr="00544ED5" w:rsidRDefault="00DB6E47" w:rsidP="00DB6E47">
      <w:pPr>
        <w:pStyle w:val="Apara"/>
      </w:pPr>
      <w:r w:rsidRPr="00544ED5">
        <w:tab/>
        <w:t>(c)</w:t>
      </w:r>
      <w:r w:rsidRPr="00544ED5">
        <w:tab/>
        <w:t>the delegation continues in force; and</w:t>
      </w:r>
    </w:p>
    <w:p w14:paraId="743CBE57" w14:textId="77777777" w:rsidR="00DB6E47" w:rsidRPr="00544ED5" w:rsidRDefault="00DB6E47" w:rsidP="00DB6E47">
      <w:pPr>
        <w:pStyle w:val="Apara"/>
      </w:pPr>
      <w:r w:rsidRPr="00544ED5">
        <w:tab/>
        <w:t>(d)</w:t>
      </w:r>
      <w:r w:rsidRPr="00544ED5">
        <w:tab/>
        <w:t>the body as constituted for the time being is taken to be the delegator for the purposes of this section.</w:t>
      </w:r>
    </w:p>
    <w:p w14:paraId="595F034B" w14:textId="77777777" w:rsidR="00DB6E47" w:rsidRPr="009451A4" w:rsidRDefault="00DB6E47" w:rsidP="00DB6E47">
      <w:pPr>
        <w:pStyle w:val="Amain"/>
      </w:pPr>
      <w:r w:rsidRPr="009451A4">
        <w:tab/>
        <w:t>(11)</w:t>
      </w:r>
      <w:r w:rsidRPr="009451A4">
        <w:tab/>
        <w:t>If a function is delegated to a specified officer or the holder of a specified office—</w:t>
      </w:r>
    </w:p>
    <w:p w14:paraId="2D0E3F78" w14:textId="77777777" w:rsidR="00DB6E47" w:rsidRPr="00544ED5" w:rsidRDefault="00DB6E47" w:rsidP="00DB6E47">
      <w:pPr>
        <w:pStyle w:val="Apara"/>
      </w:pPr>
      <w:r w:rsidRPr="00544ED5">
        <w:tab/>
        <w:t>(a)</w:t>
      </w:r>
      <w:r w:rsidRPr="00544ED5">
        <w:tab/>
        <w:t>the delegation does not cease to have effect merely because the person who was the specified officer or the holder of the specified office when the function was delegated ceases to be the officer or the holder of the office; and</w:t>
      </w:r>
    </w:p>
    <w:p w14:paraId="16A5B5AA" w14:textId="77777777" w:rsidR="00DB6E47" w:rsidRPr="00544ED5" w:rsidRDefault="00DB6E47" w:rsidP="00DB6E47">
      <w:pPr>
        <w:pStyle w:val="Apara"/>
      </w:pPr>
      <w:r w:rsidRPr="00544ED5">
        <w:tab/>
        <w:t>(b)</w:t>
      </w:r>
      <w:r w:rsidRPr="00544ED5">
        <w:tab/>
        <w:t>the function may be exercised by the person for the time being occupying or acting in the office concerned.</w:t>
      </w:r>
    </w:p>
    <w:p w14:paraId="6E36F0C7" w14:textId="77777777" w:rsidR="00DB6E47" w:rsidRPr="009451A4" w:rsidRDefault="00DB6E47" w:rsidP="00DB6E47">
      <w:pPr>
        <w:pStyle w:val="Amain"/>
      </w:pPr>
      <w:r w:rsidRPr="009451A4">
        <w:tab/>
        <w:t>(12)</w:t>
      </w:r>
      <w:r w:rsidRPr="009451A4">
        <w:tab/>
        <w:t>A function that has been delegated may, despite the delegation, be exercised by the delegator.</w:t>
      </w:r>
    </w:p>
    <w:p w14:paraId="4CC00112" w14:textId="77777777" w:rsidR="00DB6E47" w:rsidRPr="009451A4" w:rsidRDefault="00DB6E47" w:rsidP="00DB6E47">
      <w:pPr>
        <w:pStyle w:val="Amain"/>
      </w:pPr>
      <w:r w:rsidRPr="009451A4">
        <w:tab/>
        <w:t>(13)</w:t>
      </w:r>
      <w:r w:rsidRPr="009451A4">
        <w:tab/>
        <w:t>The delegation of a function does not relieve the delegator of the delegator’s obligation to ensure that the function is properly exercised.</w:t>
      </w:r>
    </w:p>
    <w:p w14:paraId="7CF5F643" w14:textId="77777777" w:rsidR="00DB6E47" w:rsidRPr="009451A4" w:rsidRDefault="00DB6E47" w:rsidP="00DB6E47">
      <w:pPr>
        <w:pStyle w:val="Amain"/>
      </w:pPr>
      <w:r w:rsidRPr="009451A4">
        <w:tab/>
        <w:t>(14)</w:t>
      </w:r>
      <w:r w:rsidRPr="009451A4">
        <w:tab/>
        <w:t>Subject to subsection (15), this section applies to a subdelegation of a function in the same way as it applies to a delegation of a function.</w:t>
      </w:r>
    </w:p>
    <w:p w14:paraId="02F569AC" w14:textId="77777777" w:rsidR="00DB6E47" w:rsidRPr="009451A4" w:rsidRDefault="00DB6E47" w:rsidP="00DB6E47">
      <w:pPr>
        <w:pStyle w:val="Amain"/>
      </w:pPr>
      <w:r w:rsidRPr="009451A4">
        <w:tab/>
        <w:t>(15)</w:t>
      </w:r>
      <w:r w:rsidRPr="009451A4">
        <w:tab/>
        <w:t>If this Law authorises the delegation of a function, the function may be subdelegated only if the Law expressly authorises the function to be subdelegated.</w:t>
      </w:r>
    </w:p>
    <w:p w14:paraId="1BE38C61" w14:textId="77777777" w:rsidR="00DB6E47" w:rsidRPr="007E1F9A" w:rsidRDefault="00DB6E47" w:rsidP="00DB6E47">
      <w:pPr>
        <w:pStyle w:val="Schclauseheading"/>
      </w:pPr>
      <w:bookmarkStart w:id="997" w:name="_Toc83626341"/>
      <w:r w:rsidRPr="005E03F7">
        <w:rPr>
          <w:rStyle w:val="CharSectNo"/>
        </w:rPr>
        <w:lastRenderedPageBreak/>
        <w:t>30</w:t>
      </w:r>
      <w:r w:rsidRPr="007E1F9A">
        <w:tab/>
      </w:r>
      <w:r w:rsidRPr="007E1F9A">
        <w:rPr>
          <w:rFonts w:ascii="Helvetica" w:hAnsi="Helvetica" w:cs="Helvetica"/>
        </w:rPr>
        <w:t>Exercise of powers between enactment and commencement</w:t>
      </w:r>
      <w:bookmarkEnd w:id="997"/>
    </w:p>
    <w:p w14:paraId="038D351E" w14:textId="77777777" w:rsidR="00DB6E47" w:rsidRPr="009451A4" w:rsidRDefault="00DB6E47" w:rsidP="00DB6E47">
      <w:pPr>
        <w:pStyle w:val="Amain"/>
      </w:pPr>
      <w:r w:rsidRPr="009451A4">
        <w:tab/>
        <w:t>(1)</w:t>
      </w:r>
      <w:r w:rsidRPr="009451A4">
        <w:tab/>
        <w:t xml:space="preserve">If a provision of this Law (the </w:t>
      </w:r>
      <w:r w:rsidRPr="00FF4454">
        <w:rPr>
          <w:rStyle w:val="charBoldItals"/>
        </w:rPr>
        <w:t>empowering provision</w:t>
      </w:r>
      <w:r w:rsidRPr="009451A4">
        <w:t>) that does not commence on its enactment would, had it commenced, confer a power—</w:t>
      </w:r>
    </w:p>
    <w:p w14:paraId="5B3B7C24" w14:textId="77777777" w:rsidR="00DB6E47" w:rsidRPr="00544ED5" w:rsidRDefault="00DB6E47" w:rsidP="00DB6E47">
      <w:pPr>
        <w:pStyle w:val="Apara"/>
      </w:pPr>
      <w:r w:rsidRPr="00544ED5">
        <w:tab/>
        <w:t>(a)</w:t>
      </w:r>
      <w:r w:rsidRPr="00544ED5">
        <w:tab/>
        <w:t>to make an appointment; or</w:t>
      </w:r>
    </w:p>
    <w:p w14:paraId="14164C6B" w14:textId="77777777" w:rsidR="00DB6E47" w:rsidRPr="00544ED5" w:rsidRDefault="00DB6E47" w:rsidP="00DB6E47">
      <w:pPr>
        <w:pStyle w:val="Apara"/>
      </w:pPr>
      <w:r w:rsidRPr="00544ED5">
        <w:tab/>
        <w:t>(b)</w:t>
      </w:r>
      <w:r w:rsidRPr="00544ED5">
        <w:tab/>
        <w:t>to make a statutory instrument of a legislative or administrative character; or</w:t>
      </w:r>
    </w:p>
    <w:p w14:paraId="367E6875" w14:textId="77777777" w:rsidR="00DB6E47" w:rsidRPr="00544ED5" w:rsidRDefault="00DB6E47" w:rsidP="00DB6E47">
      <w:pPr>
        <w:pStyle w:val="Apara"/>
      </w:pPr>
      <w:r w:rsidRPr="00544ED5">
        <w:tab/>
        <w:t>(c)</w:t>
      </w:r>
      <w:r w:rsidRPr="00544ED5">
        <w:tab/>
        <w:t>to do another thing;</w:t>
      </w:r>
    </w:p>
    <w:p w14:paraId="2A7A2433" w14:textId="77777777" w:rsidR="00DB6E47" w:rsidRPr="009451A4" w:rsidRDefault="00DB6E47" w:rsidP="00DB6E47">
      <w:pPr>
        <w:pStyle w:val="Amainreturn"/>
      </w:pPr>
      <w:r w:rsidRPr="009451A4">
        <w:t>then—</w:t>
      </w:r>
    </w:p>
    <w:p w14:paraId="2ACB8E3F" w14:textId="77777777" w:rsidR="00DB6E47" w:rsidRPr="00544ED5" w:rsidRDefault="00DB6E47" w:rsidP="00DB6E47">
      <w:pPr>
        <w:pStyle w:val="Apara"/>
      </w:pPr>
      <w:r w:rsidRPr="00544ED5">
        <w:tab/>
        <w:t>(d)</w:t>
      </w:r>
      <w:r w:rsidRPr="00544ED5">
        <w:tab/>
        <w:t>the power may be exercised; and</w:t>
      </w:r>
    </w:p>
    <w:p w14:paraId="5E1CD8EF" w14:textId="77777777" w:rsidR="00DB6E47" w:rsidRPr="00544ED5" w:rsidRDefault="00DB6E47" w:rsidP="00DB6E47">
      <w:pPr>
        <w:pStyle w:val="Apara"/>
      </w:pPr>
      <w:r w:rsidRPr="00544ED5">
        <w:tab/>
        <w:t>(e)</w:t>
      </w:r>
      <w:r w:rsidRPr="00544ED5">
        <w:tab/>
        <w:t>anything may be done for the purpose of enabling the exercise of the power or of bringing the appointment, instrument or other thing into effect;</w:t>
      </w:r>
    </w:p>
    <w:p w14:paraId="13BB1EB2" w14:textId="77777777" w:rsidR="00DB6E47" w:rsidRPr="009451A4" w:rsidRDefault="00DB6E47" w:rsidP="00DB6E47">
      <w:pPr>
        <w:pStyle w:val="Amainreturn"/>
      </w:pPr>
      <w:r w:rsidRPr="009451A4">
        <w:t>before the empowering provision commences.</w:t>
      </w:r>
    </w:p>
    <w:p w14:paraId="0C954C4A" w14:textId="77777777" w:rsidR="00DB6E47" w:rsidRPr="009451A4" w:rsidRDefault="00DB6E47" w:rsidP="00DB6E47">
      <w:pPr>
        <w:pStyle w:val="Amain"/>
      </w:pPr>
      <w:r w:rsidRPr="009451A4">
        <w:tab/>
        <w:t>(2)</w:t>
      </w:r>
      <w:r w:rsidRPr="009451A4">
        <w:tab/>
        <w:t xml:space="preserve">If a provision of a Queensland Act (the </w:t>
      </w:r>
      <w:r w:rsidRPr="00FF4454">
        <w:rPr>
          <w:rStyle w:val="charBoldItals"/>
        </w:rPr>
        <w:t>empowering provision</w:t>
      </w:r>
      <w:r w:rsidRPr="009451A4">
        <w:t>) that does not commence on its enactment would, had it commenced, amend a provision of this Law so that it would confer a power—</w:t>
      </w:r>
    </w:p>
    <w:p w14:paraId="569C5A25" w14:textId="77777777" w:rsidR="00DB6E47" w:rsidRPr="00544ED5" w:rsidRDefault="00DB6E47" w:rsidP="00DB6E47">
      <w:pPr>
        <w:pStyle w:val="Apara"/>
      </w:pPr>
      <w:r w:rsidRPr="00544ED5">
        <w:tab/>
        <w:t>(a)</w:t>
      </w:r>
      <w:r w:rsidRPr="00544ED5">
        <w:tab/>
        <w:t>to make an appointment; or</w:t>
      </w:r>
    </w:p>
    <w:p w14:paraId="473B1E2C" w14:textId="77777777" w:rsidR="00DB6E47" w:rsidRPr="00544ED5" w:rsidRDefault="00DB6E47" w:rsidP="00DB6E47">
      <w:pPr>
        <w:pStyle w:val="Apara"/>
      </w:pPr>
      <w:r w:rsidRPr="00544ED5">
        <w:tab/>
        <w:t>(b)</w:t>
      </w:r>
      <w:r w:rsidRPr="00544ED5">
        <w:tab/>
        <w:t>to make a statutory instrument of a legislative or administrative character; or</w:t>
      </w:r>
    </w:p>
    <w:p w14:paraId="42016AEE" w14:textId="77777777" w:rsidR="00DB6E47" w:rsidRPr="00544ED5" w:rsidRDefault="00DB6E47" w:rsidP="00DB6E47">
      <w:pPr>
        <w:pStyle w:val="Apara"/>
      </w:pPr>
      <w:r w:rsidRPr="00544ED5">
        <w:tab/>
        <w:t>(c)</w:t>
      </w:r>
      <w:r w:rsidRPr="00544ED5">
        <w:tab/>
        <w:t>to do another thing;</w:t>
      </w:r>
    </w:p>
    <w:p w14:paraId="4B700A59" w14:textId="77777777" w:rsidR="00DB6E47" w:rsidRPr="009451A4" w:rsidRDefault="00DB6E47" w:rsidP="00DB6E47">
      <w:pPr>
        <w:pStyle w:val="Amainreturn"/>
      </w:pPr>
      <w:r w:rsidRPr="009451A4">
        <w:t>then—</w:t>
      </w:r>
    </w:p>
    <w:p w14:paraId="2449C2AA" w14:textId="77777777" w:rsidR="00DB6E47" w:rsidRPr="00544ED5" w:rsidRDefault="00DB6E47" w:rsidP="00DB6E47">
      <w:pPr>
        <w:pStyle w:val="Apara"/>
      </w:pPr>
      <w:r w:rsidRPr="00544ED5">
        <w:tab/>
        <w:t>(d)</w:t>
      </w:r>
      <w:r w:rsidRPr="00544ED5">
        <w:tab/>
        <w:t>the power may be exercised; and</w:t>
      </w:r>
    </w:p>
    <w:p w14:paraId="3CBDAE6D" w14:textId="77777777" w:rsidR="00DB6E47" w:rsidRPr="00544ED5" w:rsidRDefault="00DB6E47" w:rsidP="00496DF2">
      <w:pPr>
        <w:pStyle w:val="Apara"/>
        <w:keepNext/>
      </w:pPr>
      <w:r w:rsidRPr="00544ED5">
        <w:lastRenderedPageBreak/>
        <w:tab/>
        <w:t>(e)</w:t>
      </w:r>
      <w:r w:rsidRPr="00544ED5">
        <w:tab/>
        <w:t>anything may be done for the purpose of enabling the exercise of the power or of bringing the appointment, instrument or other thing into effect;</w:t>
      </w:r>
    </w:p>
    <w:p w14:paraId="53D96E0D" w14:textId="77777777" w:rsidR="00DB6E47" w:rsidRPr="009451A4" w:rsidRDefault="00DB6E47" w:rsidP="00DB6E47">
      <w:pPr>
        <w:pStyle w:val="Amainreturn"/>
      </w:pPr>
      <w:r w:rsidRPr="009451A4">
        <w:t>before the empowering provision commences.</w:t>
      </w:r>
    </w:p>
    <w:p w14:paraId="575FDC7C" w14:textId="77777777" w:rsidR="00DB6E47" w:rsidRPr="009451A4" w:rsidRDefault="00DB6E47" w:rsidP="00DB6E47">
      <w:pPr>
        <w:pStyle w:val="Amain"/>
      </w:pPr>
      <w:r w:rsidRPr="009451A4">
        <w:tab/>
        <w:t>(3)</w:t>
      </w:r>
      <w:r w:rsidRPr="009451A4">
        <w:tab/>
        <w:t>If—</w:t>
      </w:r>
    </w:p>
    <w:p w14:paraId="139A733E" w14:textId="77777777" w:rsidR="00DB6E47" w:rsidRPr="00544ED5" w:rsidRDefault="00DB6E47" w:rsidP="00DB6E47">
      <w:pPr>
        <w:pStyle w:val="Apara"/>
      </w:pPr>
      <w:r w:rsidRPr="00544ED5">
        <w:tab/>
        <w:t>(a)</w:t>
      </w:r>
      <w:r w:rsidR="00121ABD">
        <w:tab/>
      </w:r>
      <w:r w:rsidRPr="00544ED5">
        <w:t xml:space="preserve">this Law has commenced and confers a power to make a statutory instrument (the </w:t>
      </w:r>
      <w:r w:rsidRPr="00FF4454">
        <w:rPr>
          <w:rStyle w:val="charBoldItals"/>
        </w:rPr>
        <w:t>basic instrument-making powe</w:t>
      </w:r>
      <w:r w:rsidRPr="00544ED5">
        <w:t>r); and</w:t>
      </w:r>
    </w:p>
    <w:p w14:paraId="2743BE1C" w14:textId="77777777" w:rsidR="00DB6E47" w:rsidRPr="00544ED5" w:rsidRDefault="00DB6E47" w:rsidP="00DB6E47">
      <w:pPr>
        <w:pStyle w:val="Apara"/>
      </w:pPr>
      <w:r w:rsidRPr="00544ED5">
        <w:tab/>
        <w:t>(b)</w:t>
      </w:r>
      <w:r w:rsidRPr="00544ED5">
        <w:tab/>
        <w:t xml:space="preserve">a provision of a Queensland Act that does not commence on its enactment would, had it commenced, amend this Law so as to confer additional power to make a statutory instrument (the </w:t>
      </w:r>
      <w:r w:rsidRPr="00FF4454">
        <w:rPr>
          <w:rStyle w:val="charBoldItals"/>
        </w:rPr>
        <w:t>additional instrument-making power</w:t>
      </w:r>
      <w:r w:rsidRPr="00544ED5">
        <w:t>);</w:t>
      </w:r>
    </w:p>
    <w:p w14:paraId="6CE0EE91" w14:textId="77777777" w:rsidR="00DB6E47" w:rsidRPr="009451A4" w:rsidRDefault="00DB6E47" w:rsidP="00DB6E47">
      <w:pPr>
        <w:pStyle w:val="Amainreturn"/>
      </w:pPr>
      <w:r w:rsidRPr="009451A4">
        <w:t>then—</w:t>
      </w:r>
    </w:p>
    <w:p w14:paraId="0C2D2BF0" w14:textId="77777777" w:rsidR="00DB6E47" w:rsidRPr="00544ED5" w:rsidRDefault="00DB6E47" w:rsidP="00DB6E47">
      <w:pPr>
        <w:pStyle w:val="Apara"/>
      </w:pPr>
      <w:r w:rsidRPr="00544ED5">
        <w:tab/>
        <w:t>(c)</w:t>
      </w:r>
      <w:r w:rsidRPr="00544ED5">
        <w:tab/>
        <w:t>the basic instrument-making power and the additional instrument-making power may be exercised by making a single instrument; and</w:t>
      </w:r>
    </w:p>
    <w:p w14:paraId="3BFB4205" w14:textId="77777777" w:rsidR="00DB6E47" w:rsidRPr="00544ED5" w:rsidRDefault="00DB6E47" w:rsidP="00DB6E47">
      <w:pPr>
        <w:pStyle w:val="Apara"/>
      </w:pPr>
      <w:r w:rsidRPr="00544ED5">
        <w:tab/>
        <w:t>(d)</w:t>
      </w:r>
      <w:r w:rsidRPr="00544ED5">
        <w:tab/>
        <w:t>any provision of the instrument that required an exercise of the additional instrument-making power is to be treated as made under subsection (2).</w:t>
      </w:r>
    </w:p>
    <w:p w14:paraId="31209D9F" w14:textId="77777777" w:rsidR="00DB6E47" w:rsidRPr="009451A4" w:rsidRDefault="00DB6E47" w:rsidP="00DB6E47">
      <w:pPr>
        <w:pStyle w:val="Amain"/>
      </w:pPr>
      <w:r w:rsidRPr="009451A4">
        <w:tab/>
        <w:t>(4)</w:t>
      </w:r>
      <w:r w:rsidRPr="009451A4">
        <w:tab/>
        <w:t>If an instrument, or a provision of an instr</w:t>
      </w:r>
      <w:r w:rsidR="00121ABD">
        <w:t xml:space="preserve">ument, is made under subsection </w:t>
      </w:r>
      <w:r w:rsidRPr="009451A4">
        <w:t>(1)</w:t>
      </w:r>
      <w:r w:rsidR="00121ABD">
        <w:t xml:space="preserve"> or </w:t>
      </w:r>
      <w:r w:rsidRPr="009451A4">
        <w:t>(2)</w:t>
      </w:r>
      <w:r w:rsidR="00121ABD">
        <w:t xml:space="preserve"> </w:t>
      </w:r>
      <w:r w:rsidRPr="009451A4">
        <w:t>that is necessary for the purpose of—</w:t>
      </w:r>
    </w:p>
    <w:p w14:paraId="4B4BB481" w14:textId="77777777" w:rsidR="00DB6E47" w:rsidRPr="00544ED5" w:rsidRDefault="00DB6E47" w:rsidP="00DB6E47">
      <w:pPr>
        <w:pStyle w:val="Apara"/>
      </w:pPr>
      <w:r w:rsidRPr="00544ED5">
        <w:tab/>
        <w:t>(a)</w:t>
      </w:r>
      <w:r w:rsidRPr="00544ED5">
        <w:tab/>
        <w:t>enabling the exercise of a power mentioned in the subsection; or</w:t>
      </w:r>
    </w:p>
    <w:p w14:paraId="3258873D" w14:textId="77777777" w:rsidR="00DB6E47" w:rsidRPr="00544ED5" w:rsidRDefault="00DB6E47" w:rsidP="00DB6E47">
      <w:pPr>
        <w:pStyle w:val="Apara"/>
      </w:pPr>
      <w:r w:rsidRPr="00544ED5">
        <w:tab/>
        <w:t>(b)</w:t>
      </w:r>
      <w:r w:rsidRPr="00544ED5">
        <w:tab/>
        <w:t>bringing an appointment, instrument or other thing made or done under such a power into effect;</w:t>
      </w:r>
    </w:p>
    <w:p w14:paraId="094908DA" w14:textId="77777777" w:rsidR="00DB6E47" w:rsidRPr="009451A4" w:rsidRDefault="00DB6E47" w:rsidP="00DB6E47">
      <w:pPr>
        <w:pStyle w:val="Amainreturn"/>
      </w:pPr>
      <w:r w:rsidRPr="009451A4">
        <w:t>the instrument or provision takes effect—</w:t>
      </w:r>
    </w:p>
    <w:p w14:paraId="51E556EE" w14:textId="77777777" w:rsidR="00DB6E47" w:rsidRPr="00544ED5" w:rsidRDefault="00DB6E47" w:rsidP="00DB6E47">
      <w:pPr>
        <w:pStyle w:val="Apara"/>
      </w:pPr>
      <w:r w:rsidRPr="00544ED5">
        <w:tab/>
        <w:t>(c)</w:t>
      </w:r>
      <w:r w:rsidRPr="00544ED5">
        <w:tab/>
        <w:t>on the making of the instrument; or</w:t>
      </w:r>
    </w:p>
    <w:p w14:paraId="6644CA17" w14:textId="77777777" w:rsidR="00DB6E47" w:rsidRPr="00544ED5" w:rsidRDefault="00DB6E47" w:rsidP="00DB6E47">
      <w:pPr>
        <w:pStyle w:val="Apara"/>
      </w:pPr>
      <w:r w:rsidRPr="00544ED5">
        <w:tab/>
        <w:t>(d)</w:t>
      </w:r>
      <w:r w:rsidRPr="00544ED5">
        <w:tab/>
        <w:t>on such later day (if any) on which, or at such later time (if any) at which, the instrument or provision is expressed to take effect.</w:t>
      </w:r>
    </w:p>
    <w:p w14:paraId="7809C831" w14:textId="77777777" w:rsidR="00DB6E47" w:rsidRPr="009451A4" w:rsidRDefault="00DB6E47" w:rsidP="006E6789">
      <w:pPr>
        <w:pStyle w:val="Amain"/>
        <w:keepNext/>
      </w:pPr>
      <w:r w:rsidRPr="009451A4">
        <w:lastRenderedPageBreak/>
        <w:tab/>
        <w:t>(5)</w:t>
      </w:r>
      <w:r w:rsidRPr="009451A4">
        <w:tab/>
        <w:t>If—</w:t>
      </w:r>
    </w:p>
    <w:p w14:paraId="2A51F8F6" w14:textId="77777777" w:rsidR="00DB6E47" w:rsidRPr="00544ED5" w:rsidRDefault="00DB6E47" w:rsidP="00DB6E47">
      <w:pPr>
        <w:pStyle w:val="Apara"/>
      </w:pPr>
      <w:r w:rsidRPr="00544ED5">
        <w:tab/>
        <w:t>(a)</w:t>
      </w:r>
      <w:r w:rsidRPr="00544ED5">
        <w:tab/>
        <w:t>an appoi</w:t>
      </w:r>
      <w:r w:rsidR="00121ABD">
        <w:t xml:space="preserve">ntment is made under subsection </w:t>
      </w:r>
      <w:r w:rsidRPr="00544ED5">
        <w:t>(1)</w:t>
      </w:r>
      <w:r w:rsidR="00121ABD">
        <w:t xml:space="preserve"> </w:t>
      </w:r>
      <w:r w:rsidRPr="00544ED5">
        <w:t>or (2); or</w:t>
      </w:r>
    </w:p>
    <w:p w14:paraId="25C8C445" w14:textId="77777777" w:rsidR="00DB6E47" w:rsidRPr="00544ED5" w:rsidRDefault="00DB6E47" w:rsidP="00DB6E47">
      <w:pPr>
        <w:pStyle w:val="Apara"/>
      </w:pPr>
      <w:r w:rsidRPr="00544ED5">
        <w:tab/>
        <w:t>(b)</w:t>
      </w:r>
      <w:r w:rsidRPr="00544ED5">
        <w:tab/>
        <w:t>an instrument, or a provision of an in</w:t>
      </w:r>
      <w:r w:rsidR="00121ABD">
        <w:t xml:space="preserve">strument, made under subsection </w:t>
      </w:r>
      <w:r w:rsidRPr="00544ED5">
        <w:t>(1)</w:t>
      </w:r>
      <w:r w:rsidR="00121ABD">
        <w:t xml:space="preserve"> or </w:t>
      </w:r>
      <w:r w:rsidRPr="00544ED5">
        <w:t>(2)</w:t>
      </w:r>
      <w:r w:rsidR="00121ABD">
        <w:t xml:space="preserve"> </w:t>
      </w:r>
      <w:r w:rsidRPr="00544ED5">
        <w:t>is not necessary for a purpose mentioned in subsection (4);</w:t>
      </w:r>
    </w:p>
    <w:p w14:paraId="221E48CF" w14:textId="77777777" w:rsidR="00DB6E47" w:rsidRPr="009451A4" w:rsidRDefault="00DB6E47" w:rsidP="00DB6E47">
      <w:pPr>
        <w:pStyle w:val="Amainreturn"/>
      </w:pPr>
      <w:r w:rsidRPr="009451A4">
        <w:t>the appointment, instrument or provision takes effect—</w:t>
      </w:r>
    </w:p>
    <w:p w14:paraId="7EDBFA72" w14:textId="77777777" w:rsidR="00DB6E47" w:rsidRPr="00544ED5" w:rsidRDefault="00DB6E47" w:rsidP="00DB6E47">
      <w:pPr>
        <w:pStyle w:val="Apara"/>
      </w:pPr>
      <w:r w:rsidRPr="00544ED5">
        <w:tab/>
        <w:t>(c)</w:t>
      </w:r>
      <w:r w:rsidRPr="00544ED5">
        <w:tab/>
        <w:t>on the commencement of the relevant empowering provision; or</w:t>
      </w:r>
    </w:p>
    <w:p w14:paraId="5823F208" w14:textId="77777777" w:rsidR="00DB6E47" w:rsidRPr="00544ED5" w:rsidRDefault="00DB6E47" w:rsidP="00DB6E47">
      <w:pPr>
        <w:pStyle w:val="Apara"/>
      </w:pPr>
      <w:r w:rsidRPr="00544ED5">
        <w:tab/>
        <w:t>(d)</w:t>
      </w:r>
      <w:r w:rsidRPr="00544ED5">
        <w:tab/>
        <w:t>on such later day (if any) on which, or at such later time (if any) at which, the appointment, instrument or provision is expressed to take effect.</w:t>
      </w:r>
    </w:p>
    <w:p w14:paraId="7608F83E" w14:textId="77777777" w:rsidR="00DB6E47" w:rsidRPr="009451A4" w:rsidRDefault="00DB6E47" w:rsidP="00DB6E47">
      <w:pPr>
        <w:pStyle w:val="Amain"/>
      </w:pPr>
      <w:r w:rsidRPr="009451A4">
        <w:tab/>
        <w:t>(6)</w:t>
      </w:r>
      <w:r w:rsidR="00121ABD">
        <w:tab/>
        <w:t xml:space="preserve">Anything done under subsection </w:t>
      </w:r>
      <w:r w:rsidRPr="009451A4">
        <w:t>(1)</w:t>
      </w:r>
      <w:r w:rsidR="00121ABD">
        <w:t xml:space="preserve"> or </w:t>
      </w:r>
      <w:r w:rsidRPr="009451A4">
        <w:t>(2)</w:t>
      </w:r>
      <w:r w:rsidR="00121ABD">
        <w:t xml:space="preserve"> </w:t>
      </w:r>
      <w:r w:rsidRPr="009451A4">
        <w:t>does not confer a right, or impose a liability, on a person before the relevant empowering provision commences.</w:t>
      </w:r>
    </w:p>
    <w:p w14:paraId="51284C79" w14:textId="77777777" w:rsidR="00DB6E47" w:rsidRPr="009451A4" w:rsidRDefault="00DB6E47" w:rsidP="00DB6E47">
      <w:pPr>
        <w:pStyle w:val="Amain"/>
      </w:pPr>
      <w:r w:rsidRPr="009451A4">
        <w:tab/>
        <w:t>(7)</w:t>
      </w:r>
      <w:r w:rsidRPr="009451A4">
        <w:tab/>
        <w:t>After the enactment of a pr</w:t>
      </w:r>
      <w:r w:rsidR="00121ABD">
        <w:t xml:space="preserve">ovision mentioned in subsection </w:t>
      </w:r>
      <w:r w:rsidRPr="009451A4">
        <w:t>(2)</w:t>
      </w:r>
      <w:r w:rsidR="00121ABD">
        <w:t xml:space="preserve"> </w:t>
      </w:r>
      <w:r w:rsidRPr="009451A4">
        <w:t>but before the provision’s commencement, this section applies as i</w:t>
      </w:r>
      <w:r w:rsidR="00121ABD">
        <w:t xml:space="preserve">f the references in subsections </w:t>
      </w:r>
      <w:r w:rsidRPr="009451A4">
        <w:t>(2)</w:t>
      </w:r>
      <w:r w:rsidR="00121ABD">
        <w:t xml:space="preserve"> and </w:t>
      </w:r>
      <w:r w:rsidRPr="009451A4">
        <w:t>(5)</w:t>
      </w:r>
      <w:r w:rsidR="00121ABD">
        <w:t xml:space="preserve"> </w:t>
      </w:r>
      <w:r w:rsidRPr="009451A4">
        <w:t>to the commencement of the empowering provision were references to the commencement of the provision mentioned in</w:t>
      </w:r>
      <w:r w:rsidR="00121ABD">
        <w:t xml:space="preserve"> subsection </w:t>
      </w:r>
      <w:r w:rsidRPr="009451A4">
        <w:t>(2)</w:t>
      </w:r>
      <w:r w:rsidR="00121ABD">
        <w:t xml:space="preserve"> </w:t>
      </w:r>
      <w:r w:rsidRPr="009451A4">
        <w:t>as amended by the empowering provision.</w:t>
      </w:r>
    </w:p>
    <w:p w14:paraId="120A91CE" w14:textId="77777777" w:rsidR="00DB6E47" w:rsidRPr="009451A4" w:rsidRDefault="00DB6E47" w:rsidP="00DB6E47">
      <w:pPr>
        <w:pStyle w:val="Amain"/>
      </w:pPr>
      <w:r w:rsidRPr="009451A4">
        <w:tab/>
        <w:t>(8)</w:t>
      </w:r>
      <w:r w:rsidRPr="009451A4">
        <w:tab/>
        <w:t>In the application of this section to a statutory instrument, a reference to the enactment of the instrument is a reference to the making of the instrument.</w:t>
      </w:r>
    </w:p>
    <w:p w14:paraId="3A884921" w14:textId="77777777" w:rsidR="00124806" w:rsidRPr="00124806" w:rsidRDefault="00124806" w:rsidP="00124806">
      <w:pPr>
        <w:pStyle w:val="PageBreak"/>
      </w:pPr>
      <w:r w:rsidRPr="00124806">
        <w:br w:type="page"/>
      </w:r>
    </w:p>
    <w:p w14:paraId="196A40CC" w14:textId="77777777" w:rsidR="00DB6E47" w:rsidRPr="005E03F7" w:rsidRDefault="00DB6E47" w:rsidP="00DB6E47">
      <w:pPr>
        <w:pStyle w:val="Sched-Part"/>
      </w:pPr>
      <w:bookmarkStart w:id="998" w:name="_Toc83626342"/>
      <w:r w:rsidRPr="005E03F7">
        <w:rPr>
          <w:rStyle w:val="CharPartNo"/>
        </w:rPr>
        <w:lastRenderedPageBreak/>
        <w:t xml:space="preserve">Part 5 </w:t>
      </w:r>
      <w:r w:rsidRPr="00A95F9A">
        <w:rPr>
          <w:rFonts w:ascii="Helvetica" w:hAnsi="Helvetica" w:cs="Helvetica"/>
          <w:szCs w:val="32"/>
        </w:rPr>
        <w:tab/>
      </w:r>
      <w:r w:rsidRPr="005E03F7">
        <w:rPr>
          <w:rStyle w:val="CharPartText"/>
          <w:rFonts w:ascii="Helvetica" w:hAnsi="Helvetica" w:cs="Helvetica"/>
          <w:szCs w:val="32"/>
        </w:rPr>
        <w:t>Distance, time and age</w:t>
      </w:r>
      <w:bookmarkEnd w:id="998"/>
    </w:p>
    <w:p w14:paraId="1C44825E" w14:textId="77777777" w:rsidR="00DB6E47" w:rsidRPr="007E1F9A" w:rsidRDefault="00DB6E47" w:rsidP="00DB6E47">
      <w:pPr>
        <w:pStyle w:val="Schclauseheading"/>
      </w:pPr>
      <w:bookmarkStart w:id="999" w:name="_Toc83626343"/>
      <w:r w:rsidRPr="005E03F7">
        <w:rPr>
          <w:rStyle w:val="CharSectNo"/>
        </w:rPr>
        <w:t>31</w:t>
      </w:r>
      <w:r w:rsidRPr="007E1F9A">
        <w:tab/>
      </w:r>
      <w:r w:rsidRPr="007E1F9A">
        <w:rPr>
          <w:rFonts w:ascii="Helvetica" w:hAnsi="Helvetica" w:cs="Helvetica"/>
        </w:rPr>
        <w:t>Matters relating to distance, time and age</w:t>
      </w:r>
      <w:bookmarkEnd w:id="999"/>
    </w:p>
    <w:p w14:paraId="0B4A02BB" w14:textId="77777777" w:rsidR="00DB6E47" w:rsidRPr="009451A4" w:rsidRDefault="00DB6E47" w:rsidP="00DB6E47">
      <w:pPr>
        <w:pStyle w:val="Amain"/>
      </w:pPr>
      <w:r w:rsidRPr="009451A4">
        <w:tab/>
        <w:t>(1)</w:t>
      </w:r>
      <w:r w:rsidRPr="009451A4">
        <w:tab/>
        <w:t>In the measurement of distance for the purposes of this Law, the distance is to be measured along the shortest road ordinarily used for travelling.</w:t>
      </w:r>
    </w:p>
    <w:p w14:paraId="3157645A" w14:textId="77777777" w:rsidR="00DB6E47" w:rsidRPr="009451A4" w:rsidRDefault="00DB6E47" w:rsidP="00DB6E47">
      <w:pPr>
        <w:pStyle w:val="Amain"/>
      </w:pPr>
      <w:r w:rsidRPr="009451A4">
        <w:tab/>
        <w:t>(2)</w:t>
      </w:r>
      <w:r w:rsidRPr="009451A4">
        <w:tab/>
        <w:t>If a period beginning on a given day, act or event is provided or allowed for a purpose by this Law, the period is to be calculated by excluding the day, or the day of the act or event, and—</w:t>
      </w:r>
    </w:p>
    <w:p w14:paraId="00B18ED1" w14:textId="77777777" w:rsidR="00DB6E47" w:rsidRPr="00544ED5" w:rsidRDefault="00DB6E47" w:rsidP="00DB6E47">
      <w:pPr>
        <w:pStyle w:val="Apara"/>
      </w:pPr>
      <w:r w:rsidRPr="00544ED5">
        <w:tab/>
        <w:t>(a)</w:t>
      </w:r>
      <w:r w:rsidRPr="00544ED5">
        <w:tab/>
        <w:t>if the period is expressed to be a specified number of clear days or at least a specified number of days—by excluding the day on which the purpose is to be fulfilled; and</w:t>
      </w:r>
    </w:p>
    <w:p w14:paraId="36C08B4B" w14:textId="77777777" w:rsidR="00DB6E47" w:rsidRPr="00544ED5" w:rsidRDefault="00DB6E47" w:rsidP="00DB6E47">
      <w:pPr>
        <w:pStyle w:val="Apara"/>
      </w:pPr>
      <w:r w:rsidRPr="00544ED5">
        <w:tab/>
        <w:t>(b)</w:t>
      </w:r>
      <w:r w:rsidRPr="00544ED5">
        <w:tab/>
        <w:t>in any other case—by including the day on which the purpose is to be fulfilled.</w:t>
      </w:r>
    </w:p>
    <w:p w14:paraId="13AC8BE6" w14:textId="77777777" w:rsidR="00DB6E47" w:rsidRPr="006C3305" w:rsidRDefault="00DB6E47" w:rsidP="00DB6E47">
      <w:pPr>
        <w:pStyle w:val="Amain"/>
      </w:pPr>
      <w:r>
        <w:tab/>
        <w:t>(</w:t>
      </w:r>
      <w:r w:rsidRPr="006C3305">
        <w:t>3)</w:t>
      </w:r>
      <w:r w:rsidRPr="006C3305">
        <w:tab/>
        <w:t>If the last day of a period provided or allowed by this Law for doing anything is not a business day in the place in which the thing is to be or may be done, the thing may be done on the next business day in the place.</w:t>
      </w:r>
    </w:p>
    <w:p w14:paraId="5D7FB8B7" w14:textId="77777777" w:rsidR="00DB6E47" w:rsidRPr="006C3305" w:rsidRDefault="00DB6E47" w:rsidP="00DB6E47">
      <w:pPr>
        <w:pStyle w:val="Amain"/>
      </w:pPr>
      <w:r>
        <w:tab/>
        <w:t>(</w:t>
      </w:r>
      <w:r w:rsidRPr="006C3305">
        <w:t>4)</w:t>
      </w:r>
      <w:r w:rsidRPr="006C3305">
        <w:tab/>
        <w:t>If the last day of a period provided or allowed by this Law for the filing or registration of a document is a day on which the office is closed where the filing or registration is to be or may be done, the document may be filed or registered at the office on the next day that the office is open.</w:t>
      </w:r>
    </w:p>
    <w:p w14:paraId="07DE2D3C" w14:textId="77777777" w:rsidR="00DB6E47" w:rsidRPr="006C3305" w:rsidRDefault="00DB6E47" w:rsidP="00DB6E47">
      <w:pPr>
        <w:pStyle w:val="Amain"/>
      </w:pPr>
      <w:r>
        <w:tab/>
        <w:t>(</w:t>
      </w:r>
      <w:r w:rsidRPr="006C3305">
        <w:t>5)</w:t>
      </w:r>
      <w:r w:rsidRPr="006C3305">
        <w:tab/>
        <w:t>If no time is provided or allowed for doing anything, the thing is to be done as soon as possible, and as often as the prescribed occasion happens.</w:t>
      </w:r>
    </w:p>
    <w:p w14:paraId="717A07B9" w14:textId="77777777" w:rsidR="00DB6E47" w:rsidRPr="006C3305" w:rsidRDefault="00DB6E47" w:rsidP="00D940BC">
      <w:pPr>
        <w:pStyle w:val="Amain"/>
        <w:keepNext/>
      </w:pPr>
      <w:r>
        <w:lastRenderedPageBreak/>
        <w:tab/>
        <w:t>(</w:t>
      </w:r>
      <w:r w:rsidRPr="006C3305">
        <w:t>6)</w:t>
      </w:r>
      <w:r w:rsidRPr="006C3305">
        <w:tab/>
        <w:t>If, in this Law, there is a reference to time, the reference is, in relation to the doing of anything in a jurisdiction, a reference to the legal time in the jurisdiction.</w:t>
      </w:r>
    </w:p>
    <w:p w14:paraId="7187357F" w14:textId="77777777" w:rsidR="00DB6E47" w:rsidRPr="006C3305" w:rsidRDefault="00DB6E47" w:rsidP="00DB6E47">
      <w:pPr>
        <w:pStyle w:val="Amain"/>
      </w:pPr>
      <w:r>
        <w:tab/>
        <w:t>(</w:t>
      </w:r>
      <w:r w:rsidRPr="006C3305">
        <w:t>7)</w:t>
      </w:r>
      <w:r w:rsidRPr="006C3305">
        <w:tab/>
        <w:t>For the purposes of this Law, a person attains an age in years at the beginning of the person’s birthday for the age.</w:t>
      </w:r>
    </w:p>
    <w:p w14:paraId="6B1C3B8D" w14:textId="77777777" w:rsidR="00124806" w:rsidRPr="00124806" w:rsidRDefault="00124806" w:rsidP="00124806">
      <w:pPr>
        <w:pStyle w:val="PageBreak"/>
      </w:pPr>
      <w:r w:rsidRPr="00124806">
        <w:br w:type="page"/>
      </w:r>
    </w:p>
    <w:p w14:paraId="35257826" w14:textId="77777777" w:rsidR="00DB6E47" w:rsidRPr="005E03F7" w:rsidRDefault="00DB6E47" w:rsidP="00DB6E47">
      <w:pPr>
        <w:pStyle w:val="Sched-Part"/>
      </w:pPr>
      <w:bookmarkStart w:id="1000" w:name="_Toc83626344"/>
      <w:r w:rsidRPr="005E03F7">
        <w:rPr>
          <w:rStyle w:val="CharPartNo"/>
        </w:rPr>
        <w:lastRenderedPageBreak/>
        <w:t xml:space="preserve">Part 6 </w:t>
      </w:r>
      <w:r w:rsidRPr="00A95F9A">
        <w:rPr>
          <w:rFonts w:ascii="Helvetica" w:hAnsi="Helvetica" w:cs="Helvetica"/>
          <w:szCs w:val="32"/>
        </w:rPr>
        <w:tab/>
      </w:r>
      <w:r w:rsidRPr="005E03F7">
        <w:rPr>
          <w:rStyle w:val="CharPartText"/>
          <w:rFonts w:ascii="Helvetica" w:hAnsi="Helvetica" w:cs="Helvetica"/>
          <w:szCs w:val="32"/>
        </w:rPr>
        <w:t>Effect of repeal, amendment or expiration</w:t>
      </w:r>
      <w:bookmarkEnd w:id="1000"/>
    </w:p>
    <w:p w14:paraId="797F213E" w14:textId="77777777" w:rsidR="00DB6E47" w:rsidRPr="007E1F9A" w:rsidRDefault="00DB6E47" w:rsidP="00DB6E47">
      <w:pPr>
        <w:pStyle w:val="Schclauseheading"/>
      </w:pPr>
      <w:bookmarkStart w:id="1001" w:name="_Toc83626345"/>
      <w:r w:rsidRPr="005E03F7">
        <w:rPr>
          <w:rStyle w:val="CharSectNo"/>
        </w:rPr>
        <w:t>32</w:t>
      </w:r>
      <w:r w:rsidRPr="007E1F9A">
        <w:tab/>
      </w:r>
      <w:r w:rsidRPr="007E1F9A">
        <w:rPr>
          <w:rFonts w:ascii="Helvetica" w:hAnsi="Helvetica" w:cs="Helvetica"/>
        </w:rPr>
        <w:t>Time of Law ceasing to have effect</w:t>
      </w:r>
      <w:bookmarkEnd w:id="1001"/>
    </w:p>
    <w:p w14:paraId="1D2B46C1" w14:textId="77777777" w:rsidR="00DB6E47" w:rsidRPr="009451A4" w:rsidRDefault="00DB6E47" w:rsidP="00DB6E47">
      <w:pPr>
        <w:pStyle w:val="Amainreturn"/>
      </w:pPr>
      <w:r w:rsidRPr="009451A4">
        <w:t>If a provision of this Law is expressed—</w:t>
      </w:r>
    </w:p>
    <w:p w14:paraId="20461E13" w14:textId="77777777" w:rsidR="00DB6E47" w:rsidRPr="00544ED5" w:rsidRDefault="00DB6E47" w:rsidP="00DB6E47">
      <w:pPr>
        <w:pStyle w:val="Apara"/>
      </w:pPr>
      <w:r w:rsidRPr="00544ED5">
        <w:tab/>
        <w:t>(a)</w:t>
      </w:r>
      <w:r w:rsidRPr="00544ED5">
        <w:tab/>
        <w:t>to expire on a specified day; or</w:t>
      </w:r>
    </w:p>
    <w:p w14:paraId="3CFC8F13" w14:textId="77777777" w:rsidR="00DB6E47" w:rsidRPr="00544ED5" w:rsidRDefault="00DB6E47" w:rsidP="00DB6E47">
      <w:pPr>
        <w:pStyle w:val="Apara"/>
      </w:pPr>
      <w:r w:rsidRPr="00544ED5">
        <w:tab/>
        <w:t>(b)</w:t>
      </w:r>
      <w:r w:rsidRPr="00544ED5">
        <w:tab/>
        <w:t>to remain or continue in force, or otherwise have effect, until a specified day;</w:t>
      </w:r>
    </w:p>
    <w:p w14:paraId="4009B361" w14:textId="77777777" w:rsidR="00DB6E47" w:rsidRPr="009451A4" w:rsidRDefault="00DB6E47" w:rsidP="00DB6E47">
      <w:pPr>
        <w:pStyle w:val="Amainreturn"/>
      </w:pPr>
      <w:r w:rsidRPr="009451A4">
        <w:t xml:space="preserve">the provision has effect until the last moment of the specified day. </w:t>
      </w:r>
    </w:p>
    <w:p w14:paraId="4F336428" w14:textId="77777777" w:rsidR="00DB6E47" w:rsidRPr="00F40DD7" w:rsidRDefault="00DB6E47" w:rsidP="00DB6E47">
      <w:pPr>
        <w:pStyle w:val="Schclauseheading"/>
        <w:rPr>
          <w:rFonts w:ascii="Helvetica" w:hAnsi="Helvetica" w:cs="Helvetica"/>
        </w:rPr>
      </w:pPr>
      <w:bookmarkStart w:id="1002" w:name="_Toc83626346"/>
      <w:r w:rsidRPr="005E03F7">
        <w:rPr>
          <w:rStyle w:val="CharSectNo"/>
        </w:rPr>
        <w:t>33</w:t>
      </w:r>
      <w:r w:rsidRPr="00F40DD7">
        <w:rPr>
          <w:rFonts w:ascii="Helvetica" w:hAnsi="Helvetica" w:cs="Helvetica"/>
        </w:rPr>
        <w:tab/>
        <w:t>Repealed Law provisions not revived</w:t>
      </w:r>
      <w:bookmarkEnd w:id="1002"/>
    </w:p>
    <w:p w14:paraId="01963D29" w14:textId="77777777" w:rsidR="00DB6E47" w:rsidRPr="009451A4" w:rsidRDefault="00DB6E47" w:rsidP="00DB6E47">
      <w:pPr>
        <w:pStyle w:val="Amainreturn"/>
      </w:pPr>
      <w:r w:rsidRPr="009451A4">
        <w:t>If a provision of this Law is repealed or amended by a Queensland Act, or a provision of a Queensland Act, the provision is not revived merely because the Queensland Act or the provision of the Queensland Act—</w:t>
      </w:r>
    </w:p>
    <w:p w14:paraId="7BB4ED36" w14:textId="77777777" w:rsidR="00DB6E47" w:rsidRPr="00544ED5" w:rsidRDefault="00DB6E47" w:rsidP="00DB6E47">
      <w:pPr>
        <w:pStyle w:val="Apara"/>
      </w:pPr>
      <w:r w:rsidRPr="00544ED5">
        <w:tab/>
        <w:t>(a)</w:t>
      </w:r>
      <w:r w:rsidRPr="00544ED5">
        <w:tab/>
        <w:t>is later repealed or amended; or</w:t>
      </w:r>
    </w:p>
    <w:p w14:paraId="66FD2DF9" w14:textId="77777777" w:rsidR="00DB6E47" w:rsidRPr="00544ED5" w:rsidRDefault="00DB6E47" w:rsidP="00DB6E47">
      <w:pPr>
        <w:pStyle w:val="Apara"/>
      </w:pPr>
      <w:r w:rsidRPr="00544ED5">
        <w:tab/>
        <w:t>(b)</w:t>
      </w:r>
      <w:r w:rsidRPr="00544ED5">
        <w:tab/>
        <w:t>later expires.</w:t>
      </w:r>
    </w:p>
    <w:p w14:paraId="19D98A7E" w14:textId="77777777" w:rsidR="00DB6E47" w:rsidRPr="007E1F9A" w:rsidRDefault="00DB6E47" w:rsidP="00DB6E47">
      <w:pPr>
        <w:pStyle w:val="Schclauseheading"/>
      </w:pPr>
      <w:bookmarkStart w:id="1003" w:name="_Toc83626347"/>
      <w:r w:rsidRPr="005E03F7">
        <w:rPr>
          <w:rStyle w:val="CharSectNo"/>
        </w:rPr>
        <w:t>34</w:t>
      </w:r>
      <w:r w:rsidRPr="007E1F9A">
        <w:tab/>
      </w:r>
      <w:r w:rsidRPr="007E1F9A">
        <w:rPr>
          <w:rFonts w:ascii="Helvetica" w:hAnsi="Helvetica" w:cs="Helvetica"/>
        </w:rPr>
        <w:t>Saving of operation of repealed Law provisions</w:t>
      </w:r>
      <w:bookmarkEnd w:id="1003"/>
      <w:r w:rsidRPr="007E1F9A">
        <w:rPr>
          <w:rFonts w:ascii="Helvetica" w:hAnsi="Helvetica" w:cs="Helvetica"/>
        </w:rPr>
        <w:t xml:space="preserve"> </w:t>
      </w:r>
    </w:p>
    <w:p w14:paraId="49A2BFDE" w14:textId="77777777" w:rsidR="00DB6E47" w:rsidRPr="009451A4" w:rsidRDefault="00DB6E47" w:rsidP="00DB6E47">
      <w:pPr>
        <w:pStyle w:val="Amain"/>
      </w:pPr>
      <w:r w:rsidRPr="009451A4">
        <w:tab/>
        <w:t>(1)</w:t>
      </w:r>
      <w:r w:rsidRPr="009451A4">
        <w:tab/>
        <w:t>The repeal, amendment or expiry of a provision of this Law does not—</w:t>
      </w:r>
    </w:p>
    <w:p w14:paraId="03A7750E" w14:textId="77777777" w:rsidR="00DB6E47" w:rsidRPr="00544ED5" w:rsidRDefault="00DB6E47" w:rsidP="00DB6E47">
      <w:pPr>
        <w:pStyle w:val="Apara"/>
      </w:pPr>
      <w:r w:rsidRPr="00544ED5">
        <w:tab/>
        <w:t>(a)</w:t>
      </w:r>
      <w:r w:rsidRPr="00544ED5">
        <w:tab/>
        <w:t>revive anything not in force or existing at the time the repeal, amendment or expiry takes effect; or</w:t>
      </w:r>
    </w:p>
    <w:p w14:paraId="4A423F8D" w14:textId="77777777" w:rsidR="00DB6E47" w:rsidRPr="00544ED5" w:rsidRDefault="00DB6E47" w:rsidP="00DB6E47">
      <w:pPr>
        <w:pStyle w:val="Apara"/>
      </w:pPr>
      <w:r w:rsidRPr="00544ED5">
        <w:tab/>
        <w:t>(b)</w:t>
      </w:r>
      <w:r w:rsidRPr="00544ED5">
        <w:tab/>
        <w:t>affect the previous operation of the provision or anything suffered, done or begun under the provision; or</w:t>
      </w:r>
    </w:p>
    <w:p w14:paraId="6A8CD72A" w14:textId="77777777" w:rsidR="00DB6E47" w:rsidRPr="00544ED5" w:rsidRDefault="00DB6E47" w:rsidP="00DB6E47">
      <w:pPr>
        <w:pStyle w:val="Apara"/>
      </w:pPr>
      <w:r w:rsidRPr="00544ED5">
        <w:tab/>
        <w:t>(c)</w:t>
      </w:r>
      <w:r w:rsidRPr="00544ED5">
        <w:tab/>
        <w:t>affect a right, privilege or liability acquired, accrued or incurred under the provision; or</w:t>
      </w:r>
    </w:p>
    <w:p w14:paraId="38276962" w14:textId="77777777" w:rsidR="00DB6E47" w:rsidRPr="00544ED5" w:rsidRDefault="00DB6E47" w:rsidP="00DB6E47">
      <w:pPr>
        <w:pStyle w:val="Apara"/>
      </w:pPr>
      <w:r w:rsidRPr="00544ED5">
        <w:tab/>
        <w:t>(d)</w:t>
      </w:r>
      <w:r w:rsidRPr="00544ED5">
        <w:tab/>
        <w:t>affect a penalty incurred in relation to an offence arising under the provision; or</w:t>
      </w:r>
    </w:p>
    <w:p w14:paraId="5B02A97E" w14:textId="77777777" w:rsidR="00DB6E47" w:rsidRPr="00544ED5" w:rsidRDefault="00DB6E47" w:rsidP="00DB6E47">
      <w:pPr>
        <w:pStyle w:val="Apara"/>
      </w:pPr>
      <w:r w:rsidRPr="00544ED5">
        <w:lastRenderedPageBreak/>
        <w:tab/>
        <w:t>(e)</w:t>
      </w:r>
      <w:r w:rsidRPr="00544ED5">
        <w:tab/>
        <w:t>affect an investigation, proceeding or remedy in relation to such a right, privilege, liability or penalty.</w:t>
      </w:r>
    </w:p>
    <w:p w14:paraId="102D3F43" w14:textId="77777777" w:rsidR="00DB6E47" w:rsidRPr="009451A4" w:rsidRDefault="00DB6E47" w:rsidP="00DB6E47">
      <w:pPr>
        <w:pStyle w:val="Amain"/>
      </w:pPr>
      <w:r w:rsidRPr="009451A4">
        <w:tab/>
        <w:t>(2)</w:t>
      </w:r>
      <w:r w:rsidRPr="009451A4">
        <w:tab/>
        <w:t>Any such penalty may be imposed and enforced, and any such investigation, proceeding or remedy may be begun, continued or enforced, as if the provision had not been repealed or amended or had not expired.</w:t>
      </w:r>
    </w:p>
    <w:p w14:paraId="32E0A3D0" w14:textId="77777777" w:rsidR="00DB6E47" w:rsidRPr="007E1F9A" w:rsidRDefault="00DB6E47" w:rsidP="00DB6E47">
      <w:pPr>
        <w:pStyle w:val="Schclauseheading"/>
      </w:pPr>
      <w:bookmarkStart w:id="1004" w:name="_Toc83626348"/>
      <w:r w:rsidRPr="005E03F7">
        <w:rPr>
          <w:rStyle w:val="CharSectNo"/>
        </w:rPr>
        <w:t>35</w:t>
      </w:r>
      <w:r w:rsidRPr="007E1F9A">
        <w:tab/>
      </w:r>
      <w:r w:rsidRPr="007E1F9A">
        <w:rPr>
          <w:rFonts w:ascii="Helvetica" w:hAnsi="Helvetica" w:cs="Helvetica"/>
        </w:rPr>
        <w:t>Continuance of repealed provisions</w:t>
      </w:r>
      <w:bookmarkEnd w:id="1004"/>
    </w:p>
    <w:p w14:paraId="6EF93E6C" w14:textId="77777777" w:rsidR="00DB6E47" w:rsidRPr="009451A4" w:rsidRDefault="00DB6E47" w:rsidP="00DB6E47">
      <w:pPr>
        <w:pStyle w:val="Amainreturn"/>
      </w:pPr>
      <w:r w:rsidRPr="009451A4">
        <w:t>If a Queensland Act repeals some provisions of this Law and enacts new provisions in substitution for the repealed provisions, the repealed provisions continue in force until the new provisions commence.</w:t>
      </w:r>
    </w:p>
    <w:p w14:paraId="6ADCA999" w14:textId="77777777" w:rsidR="00DB6E47" w:rsidRPr="007E1F9A" w:rsidRDefault="00DB6E47" w:rsidP="00DB6E47">
      <w:pPr>
        <w:pStyle w:val="Schclauseheading"/>
      </w:pPr>
      <w:bookmarkStart w:id="1005" w:name="_Toc83626349"/>
      <w:r w:rsidRPr="005E03F7">
        <w:rPr>
          <w:rStyle w:val="CharSectNo"/>
        </w:rPr>
        <w:t>36</w:t>
      </w:r>
      <w:r w:rsidRPr="007E1F9A">
        <w:tab/>
      </w:r>
      <w:r w:rsidRPr="007E1F9A">
        <w:rPr>
          <w:rFonts w:ascii="Helvetica" w:hAnsi="Helvetica" w:cs="Helvetica"/>
        </w:rPr>
        <w:t>Law and amending Acts to be read as one</w:t>
      </w:r>
      <w:bookmarkEnd w:id="1005"/>
    </w:p>
    <w:p w14:paraId="2E632FDF" w14:textId="77777777" w:rsidR="00DB6E47" w:rsidRPr="009451A4" w:rsidRDefault="00DB6E47" w:rsidP="00DB6E47">
      <w:pPr>
        <w:pStyle w:val="Amainreturn"/>
      </w:pPr>
      <w:r w:rsidRPr="009451A4">
        <w:t>This Law and all Queensland Acts amending this Law are to be read as one.</w:t>
      </w:r>
    </w:p>
    <w:p w14:paraId="2E303709" w14:textId="77777777" w:rsidR="00124806" w:rsidRPr="00124806" w:rsidRDefault="00124806" w:rsidP="00124806">
      <w:pPr>
        <w:pStyle w:val="PageBreak"/>
      </w:pPr>
      <w:r w:rsidRPr="00124806">
        <w:br w:type="page"/>
      </w:r>
    </w:p>
    <w:p w14:paraId="0ABC1084" w14:textId="77777777" w:rsidR="00DB6E47" w:rsidRPr="005E03F7" w:rsidRDefault="00DB6E47" w:rsidP="00DB6E47">
      <w:pPr>
        <w:pStyle w:val="Sched-Part"/>
      </w:pPr>
      <w:bookmarkStart w:id="1006" w:name="_Toc83626350"/>
      <w:r w:rsidRPr="005E03F7">
        <w:rPr>
          <w:rStyle w:val="CharPartNo"/>
        </w:rPr>
        <w:lastRenderedPageBreak/>
        <w:t xml:space="preserve">Part 7 </w:t>
      </w:r>
      <w:r w:rsidRPr="00A95F9A">
        <w:rPr>
          <w:rFonts w:ascii="Helvetica" w:hAnsi="Helvetica" w:cs="Helvetica"/>
          <w:szCs w:val="32"/>
        </w:rPr>
        <w:tab/>
      </w:r>
      <w:r w:rsidRPr="005E03F7">
        <w:rPr>
          <w:rStyle w:val="CharPartText"/>
          <w:rFonts w:ascii="Helvetica" w:hAnsi="Helvetica" w:cs="Helvetica"/>
          <w:szCs w:val="32"/>
        </w:rPr>
        <w:t>Instruments under Law</w:t>
      </w:r>
      <w:bookmarkEnd w:id="1006"/>
    </w:p>
    <w:p w14:paraId="6BD24CED" w14:textId="77777777" w:rsidR="00DB6E47" w:rsidRPr="007E1F9A" w:rsidRDefault="00DB6E47" w:rsidP="00DB6E47">
      <w:pPr>
        <w:pStyle w:val="Schclauseheading"/>
      </w:pPr>
      <w:bookmarkStart w:id="1007" w:name="_Toc83626351"/>
      <w:r w:rsidRPr="005E03F7">
        <w:rPr>
          <w:rStyle w:val="CharSectNo"/>
        </w:rPr>
        <w:t>37</w:t>
      </w:r>
      <w:r w:rsidRPr="007E1F9A">
        <w:tab/>
      </w:r>
      <w:r w:rsidRPr="007E1F9A">
        <w:rPr>
          <w:rFonts w:ascii="Helvetica" w:hAnsi="Helvetica" w:cs="Helvetica"/>
        </w:rPr>
        <w:t>Schedule applies to statutory instruments</w:t>
      </w:r>
      <w:bookmarkEnd w:id="1007"/>
    </w:p>
    <w:p w14:paraId="7DDE0A0B" w14:textId="77777777" w:rsidR="00DB6E47" w:rsidRPr="009451A4" w:rsidRDefault="00DB6E47" w:rsidP="00DB6E47">
      <w:pPr>
        <w:pStyle w:val="Amain"/>
      </w:pPr>
      <w:r w:rsidRPr="009451A4">
        <w:tab/>
        <w:t>(1)</w:t>
      </w:r>
      <w:r w:rsidRPr="009451A4">
        <w:tab/>
        <w:t>This Schedule applies to a statutory instrument, and to things that may be done or are required to be done under a statutory instrument, in the same way as it applies to this Law, and things that may be done or are required to be done under this Law, except so far as the context or subject matter otherwise indicates or requires.</w:t>
      </w:r>
    </w:p>
    <w:p w14:paraId="4A344234" w14:textId="77777777" w:rsidR="00DB6E47" w:rsidRPr="009451A4" w:rsidRDefault="00DB6E47" w:rsidP="00DB6E47">
      <w:pPr>
        <w:pStyle w:val="Amain"/>
      </w:pPr>
      <w:r w:rsidRPr="009451A4">
        <w:tab/>
        <w:t>(2)</w:t>
      </w:r>
      <w:r w:rsidRPr="009451A4">
        <w:tab/>
        <w:t>The fact that a provision of this Schedule refers to this Law and not also to a statutory instrument does not, by itself, indicate that the provision is intended to apply only to this Law.</w:t>
      </w:r>
    </w:p>
    <w:p w14:paraId="51DCA89F" w14:textId="77777777" w:rsidR="00124806" w:rsidRPr="00124806" w:rsidRDefault="00124806" w:rsidP="00124806">
      <w:pPr>
        <w:pStyle w:val="PageBreak"/>
      </w:pPr>
      <w:r w:rsidRPr="00124806">
        <w:br w:type="page"/>
      </w:r>
    </w:p>
    <w:p w14:paraId="193DAC8A" w14:textId="77777777" w:rsidR="00DB6E47" w:rsidRPr="005E03F7" w:rsidRDefault="00DB6E47" w:rsidP="00DB6E47">
      <w:pPr>
        <w:pStyle w:val="Sched-Part"/>
      </w:pPr>
      <w:bookmarkStart w:id="1008" w:name="_Toc83626352"/>
      <w:r w:rsidRPr="005E03F7">
        <w:rPr>
          <w:rStyle w:val="CharPartNo"/>
        </w:rPr>
        <w:lastRenderedPageBreak/>
        <w:t xml:space="preserve">Part 8 </w:t>
      </w:r>
      <w:r w:rsidRPr="00A95F9A">
        <w:rPr>
          <w:rFonts w:ascii="Helvetica" w:hAnsi="Helvetica" w:cs="Helvetica"/>
          <w:szCs w:val="32"/>
        </w:rPr>
        <w:tab/>
      </w:r>
      <w:r w:rsidRPr="005E03F7">
        <w:rPr>
          <w:rStyle w:val="CharPartText"/>
          <w:rFonts w:ascii="Helvetica" w:hAnsi="Helvetica" w:cs="Helvetica"/>
          <w:szCs w:val="32"/>
        </w:rPr>
        <w:t>Application to coastal waters</w:t>
      </w:r>
      <w:bookmarkEnd w:id="1008"/>
    </w:p>
    <w:p w14:paraId="6E10D643" w14:textId="77777777" w:rsidR="00DB6E47" w:rsidRPr="007E1F9A" w:rsidRDefault="00DB6E47" w:rsidP="00DB6E47">
      <w:pPr>
        <w:pStyle w:val="Schclauseheading"/>
      </w:pPr>
      <w:bookmarkStart w:id="1009" w:name="_Toc83626353"/>
      <w:r w:rsidRPr="005E03F7">
        <w:rPr>
          <w:rStyle w:val="CharSectNo"/>
        </w:rPr>
        <w:t>38</w:t>
      </w:r>
      <w:r w:rsidRPr="007E1F9A">
        <w:tab/>
      </w:r>
      <w:r w:rsidRPr="007E1F9A">
        <w:rPr>
          <w:rFonts w:ascii="Helvetica" w:hAnsi="Helvetica" w:cs="Helvetica"/>
        </w:rPr>
        <w:t>Application</w:t>
      </w:r>
      <w:bookmarkEnd w:id="1009"/>
    </w:p>
    <w:p w14:paraId="16F8C805" w14:textId="77777777" w:rsidR="00DB6E47" w:rsidRDefault="00DB6E47" w:rsidP="00DB6E47">
      <w:pPr>
        <w:pStyle w:val="Amainreturn"/>
      </w:pPr>
      <w:r w:rsidRPr="009451A4">
        <w:t>This Law has effect in and in relation to the coastal waters of this jurisdiction as if the coastal waters were part of this jurisdiction.</w:t>
      </w:r>
    </w:p>
    <w:p w14:paraId="08C7274F" w14:textId="77777777" w:rsidR="0062384B" w:rsidRDefault="0062384B">
      <w:pPr>
        <w:pStyle w:val="03Schedule"/>
        <w:sectPr w:rsidR="0062384B" w:rsidSect="004B6000">
          <w:headerReference w:type="even" r:id="rId126"/>
          <w:headerReference w:type="default" r:id="rId127"/>
          <w:footerReference w:type="even" r:id="rId128"/>
          <w:footerReference w:type="default" r:id="rId129"/>
          <w:type w:val="continuous"/>
          <w:pgSz w:w="11907" w:h="16839" w:code="9"/>
          <w:pgMar w:top="3878" w:right="1899" w:bottom="3101" w:left="2302" w:header="2279" w:footer="1758" w:gutter="0"/>
          <w:cols w:space="720"/>
          <w:titlePg/>
        </w:sectPr>
      </w:pPr>
    </w:p>
    <w:p w14:paraId="5E00BBC6" w14:textId="77777777" w:rsidR="00124806" w:rsidRPr="00124806" w:rsidRDefault="00124806" w:rsidP="00124806">
      <w:pPr>
        <w:pStyle w:val="PageBreak"/>
      </w:pPr>
      <w:r w:rsidRPr="00124806">
        <w:br w:type="page"/>
      </w:r>
    </w:p>
    <w:p w14:paraId="5D308CE5" w14:textId="77777777" w:rsidR="00DB6E47" w:rsidRPr="005E03F7" w:rsidRDefault="00DB6E47" w:rsidP="00DB6E47">
      <w:pPr>
        <w:pStyle w:val="Sched-heading"/>
      </w:pPr>
      <w:bookmarkStart w:id="1010" w:name="_Toc83626354"/>
      <w:r w:rsidRPr="005E03F7">
        <w:rPr>
          <w:rStyle w:val="CharChapNo"/>
        </w:rPr>
        <w:lastRenderedPageBreak/>
        <w:t>Schedule 2</w:t>
      </w:r>
      <w:r>
        <w:tab/>
      </w:r>
      <w:r w:rsidRPr="005E03F7">
        <w:rPr>
          <w:rStyle w:val="CharChapText"/>
        </w:rPr>
        <w:t>Subject matter for conditions of mass or dimension authorities</w:t>
      </w:r>
      <w:bookmarkEnd w:id="1010"/>
    </w:p>
    <w:p w14:paraId="2A9A1199" w14:textId="77777777" w:rsidR="006D094E" w:rsidRDefault="006D094E" w:rsidP="004214F7">
      <w:pPr>
        <w:pStyle w:val="Placeholder"/>
        <w:suppressLineNumbers/>
      </w:pPr>
      <w:r>
        <w:rPr>
          <w:rStyle w:val="CharPartNo"/>
        </w:rPr>
        <w:t xml:space="preserve">  </w:t>
      </w:r>
      <w:r>
        <w:rPr>
          <w:rStyle w:val="CharPartText"/>
        </w:rPr>
        <w:t xml:space="preserve">  </w:t>
      </w:r>
    </w:p>
    <w:p w14:paraId="73A1DD57" w14:textId="77777777" w:rsidR="00DB6E47" w:rsidRPr="007E1F9A" w:rsidRDefault="00DB6E47" w:rsidP="00DB6E47">
      <w:pPr>
        <w:pStyle w:val="ref"/>
      </w:pPr>
      <w:r w:rsidRPr="007E1F9A">
        <w:t>sections 119, 125 and 146</w:t>
      </w:r>
    </w:p>
    <w:p w14:paraId="23B54CBE" w14:textId="77777777" w:rsidR="00DB6E47" w:rsidRPr="009451A4" w:rsidRDefault="00DB6E47" w:rsidP="00DB6E47">
      <w:pPr>
        <w:pStyle w:val="Amain"/>
      </w:pPr>
      <w:r w:rsidRPr="009451A4">
        <w:t xml:space="preserve"> </w:t>
      </w:r>
      <w:r w:rsidRPr="009451A4">
        <w:tab/>
        <w:t xml:space="preserve">1 </w:t>
      </w:r>
      <w:r w:rsidRPr="009451A4">
        <w:tab/>
        <w:t>the maximum permissible mass of a heavy vehicle, a heavy vehicle together with its load, or a component of a heavy vehicle, being used on a road</w:t>
      </w:r>
    </w:p>
    <w:p w14:paraId="7D4DCB7E" w14:textId="77777777" w:rsidR="00DB6E47" w:rsidRPr="009451A4" w:rsidRDefault="00DB6E47" w:rsidP="00DB6E47">
      <w:pPr>
        <w:pStyle w:val="Amain"/>
      </w:pPr>
      <w:r w:rsidRPr="009451A4">
        <w:t xml:space="preserve"> </w:t>
      </w:r>
      <w:r w:rsidRPr="009451A4">
        <w:tab/>
        <w:t xml:space="preserve">2 </w:t>
      </w:r>
      <w:r w:rsidRPr="009451A4">
        <w:tab/>
        <w:t>the maximum permissible dimensions of a heavy vehicle (including its equipment), or a component or load of a heavy vehicle, being used on a road</w:t>
      </w:r>
    </w:p>
    <w:p w14:paraId="2C84A300" w14:textId="77777777" w:rsidR="00DB6E47" w:rsidRPr="009451A4" w:rsidRDefault="00DB6E47" w:rsidP="00DB6E47">
      <w:pPr>
        <w:pStyle w:val="Amain"/>
      </w:pPr>
      <w:r w:rsidRPr="009451A4">
        <w:t xml:space="preserve"> </w:t>
      </w:r>
      <w:r w:rsidRPr="009451A4">
        <w:tab/>
        <w:t xml:space="preserve">3 </w:t>
      </w:r>
      <w:r w:rsidRPr="009451A4">
        <w:tab/>
        <w:t>the configuration of a heavy vehicle</w:t>
      </w:r>
    </w:p>
    <w:p w14:paraId="776E0526" w14:textId="77777777" w:rsidR="00DB6E47" w:rsidRPr="009451A4" w:rsidRDefault="00DB6E47" w:rsidP="00DB6E47">
      <w:pPr>
        <w:pStyle w:val="Amain"/>
      </w:pPr>
      <w:r w:rsidRPr="009451A4">
        <w:t xml:space="preserve"> </w:t>
      </w:r>
      <w:r w:rsidRPr="009451A4">
        <w:tab/>
        <w:t xml:space="preserve">4 </w:t>
      </w:r>
      <w:r w:rsidRPr="009451A4">
        <w:tab/>
        <w:t>the types of loads a heavy vehicle may carry</w:t>
      </w:r>
    </w:p>
    <w:p w14:paraId="52C86DF4" w14:textId="77777777" w:rsidR="00DB6E47" w:rsidRPr="009451A4" w:rsidRDefault="00DB6E47" w:rsidP="00DB6E47">
      <w:pPr>
        <w:pStyle w:val="Amain"/>
      </w:pPr>
      <w:r w:rsidRPr="009451A4">
        <w:t xml:space="preserve"> </w:t>
      </w:r>
      <w:r w:rsidRPr="009451A4">
        <w:tab/>
        <w:t xml:space="preserve">5 </w:t>
      </w:r>
      <w:r w:rsidRPr="009451A4">
        <w:tab/>
        <w:t>the use of signs and warning devices</w:t>
      </w:r>
    </w:p>
    <w:p w14:paraId="6E2EF9E3" w14:textId="77777777" w:rsidR="00DB6E47" w:rsidRPr="009451A4" w:rsidRDefault="00DB6E47" w:rsidP="00DB6E47">
      <w:pPr>
        <w:pStyle w:val="Amain"/>
      </w:pPr>
      <w:r w:rsidRPr="009451A4">
        <w:t xml:space="preserve"> </w:t>
      </w:r>
      <w:r w:rsidRPr="009451A4">
        <w:tab/>
        <w:t xml:space="preserve">6 </w:t>
      </w:r>
      <w:r w:rsidRPr="009451A4">
        <w:tab/>
        <w:t>the use of a pilot vehicle or escort vehicle</w:t>
      </w:r>
    </w:p>
    <w:p w14:paraId="1B3567E9" w14:textId="77777777" w:rsidR="00DB6E47" w:rsidRPr="009451A4" w:rsidRDefault="00DB6E47" w:rsidP="00DB6E47">
      <w:pPr>
        <w:pStyle w:val="Amain"/>
      </w:pPr>
      <w:r w:rsidRPr="009451A4">
        <w:t xml:space="preserve"> </w:t>
      </w:r>
      <w:r w:rsidRPr="009451A4">
        <w:tab/>
        <w:t xml:space="preserve">7 </w:t>
      </w:r>
      <w:r w:rsidRPr="009451A4">
        <w:tab/>
        <w:t>the times when a heavy vehicle may be used on a road</w:t>
      </w:r>
    </w:p>
    <w:p w14:paraId="6AE02597" w14:textId="77777777" w:rsidR="00DB6E47" w:rsidRPr="009451A4" w:rsidRDefault="00DB6E47" w:rsidP="00DB6E47">
      <w:pPr>
        <w:pStyle w:val="Amain"/>
      </w:pPr>
      <w:r w:rsidRPr="009451A4">
        <w:t xml:space="preserve"> </w:t>
      </w:r>
      <w:r w:rsidRPr="009451A4">
        <w:tab/>
        <w:t xml:space="preserve">8 </w:t>
      </w:r>
      <w:r w:rsidRPr="009451A4">
        <w:tab/>
        <w:t>the maximum speed at which a heavy vehicle may be driven on a road</w:t>
      </w:r>
    </w:p>
    <w:p w14:paraId="340F0ACA" w14:textId="77777777" w:rsidR="00DB6E47" w:rsidRPr="009451A4" w:rsidRDefault="00DB6E47" w:rsidP="00DB6E47">
      <w:pPr>
        <w:pStyle w:val="Amain"/>
      </w:pPr>
      <w:r w:rsidRPr="009451A4">
        <w:t xml:space="preserve"> </w:t>
      </w:r>
      <w:r w:rsidRPr="009451A4">
        <w:tab/>
        <w:t xml:space="preserve">9 </w:t>
      </w:r>
      <w:r w:rsidRPr="009451A4">
        <w:tab/>
        <w:t>requirements about monitoring the movement of a heavy vehicle</w:t>
      </w:r>
    </w:p>
    <w:p w14:paraId="401DC7D1" w14:textId="77777777" w:rsidR="00DB6E47" w:rsidRPr="009451A4" w:rsidRDefault="00DB6E47" w:rsidP="00DB6E47">
      <w:pPr>
        <w:pStyle w:val="Amain"/>
      </w:pPr>
      <w:r w:rsidRPr="009451A4">
        <w:t xml:space="preserve"> </w:t>
      </w:r>
      <w:r w:rsidRPr="009451A4">
        <w:tab/>
        <w:t xml:space="preserve">10 </w:t>
      </w:r>
      <w:r w:rsidRPr="009451A4">
        <w:tab/>
        <w:t>the use of stated technology to—</w:t>
      </w:r>
    </w:p>
    <w:p w14:paraId="51876DFF" w14:textId="77777777" w:rsidR="00DB6E47" w:rsidRPr="00544ED5" w:rsidRDefault="00DB6E47" w:rsidP="00DB6E47">
      <w:pPr>
        <w:pStyle w:val="Apara"/>
      </w:pPr>
      <w:r w:rsidRPr="00544ED5">
        <w:tab/>
        <w:t>(a)</w:t>
      </w:r>
      <w:r w:rsidRPr="00544ED5">
        <w:tab/>
        <w:t>ensure the safe use of a heavy vehicle; or</w:t>
      </w:r>
    </w:p>
    <w:p w14:paraId="5393BE01" w14:textId="77777777" w:rsidR="00DB6E47" w:rsidRPr="00544ED5" w:rsidRDefault="00DB6E47" w:rsidP="00DB6E47">
      <w:pPr>
        <w:pStyle w:val="Apara"/>
      </w:pPr>
      <w:r w:rsidRPr="00544ED5">
        <w:tab/>
        <w:t>(b)</w:t>
      </w:r>
      <w:r w:rsidRPr="00544ED5">
        <w:tab/>
        <w:t>ensure a heavy vehicle will not cause damage to road infrastructure; or</w:t>
      </w:r>
    </w:p>
    <w:p w14:paraId="65ED1B8E" w14:textId="77777777" w:rsidR="00DB6E47" w:rsidRPr="00544ED5" w:rsidRDefault="00DB6E47" w:rsidP="00DB6E47">
      <w:pPr>
        <w:pStyle w:val="Apara"/>
      </w:pPr>
      <w:r w:rsidRPr="00544ED5">
        <w:tab/>
        <w:t>(c)</w:t>
      </w:r>
      <w:r w:rsidRPr="00544ED5">
        <w:tab/>
        <w:t>minimise the adverse effect of the use of a heavy vehicle on public amenity</w:t>
      </w:r>
    </w:p>
    <w:p w14:paraId="47FFD7B1" w14:textId="77777777" w:rsidR="004413DE" w:rsidRDefault="004413DE">
      <w:pPr>
        <w:pStyle w:val="03Schedule"/>
        <w:sectPr w:rsidR="004413DE">
          <w:headerReference w:type="even" r:id="rId130"/>
          <w:headerReference w:type="default" r:id="rId131"/>
          <w:footerReference w:type="even" r:id="rId132"/>
          <w:footerReference w:type="default" r:id="rId133"/>
          <w:type w:val="continuous"/>
          <w:pgSz w:w="11907" w:h="16839" w:code="9"/>
          <w:pgMar w:top="3880" w:right="1900" w:bottom="3100" w:left="2300" w:header="2280" w:footer="1760" w:gutter="0"/>
          <w:cols w:space="720"/>
        </w:sectPr>
      </w:pPr>
    </w:p>
    <w:p w14:paraId="43B2B28B" w14:textId="77777777" w:rsidR="006767F0" w:rsidRPr="006767F0" w:rsidRDefault="006767F0" w:rsidP="006767F0">
      <w:pPr>
        <w:pStyle w:val="PageBreak"/>
      </w:pPr>
      <w:r w:rsidRPr="006767F0">
        <w:br w:type="page"/>
      </w:r>
    </w:p>
    <w:p w14:paraId="39784468" w14:textId="77777777" w:rsidR="00DB6E47" w:rsidRPr="005E03F7" w:rsidRDefault="00DB6E47" w:rsidP="00DB6E47">
      <w:pPr>
        <w:pStyle w:val="Sched-heading"/>
      </w:pPr>
      <w:bookmarkStart w:id="1011" w:name="_Toc83626355"/>
      <w:r w:rsidRPr="005E03F7">
        <w:rPr>
          <w:rStyle w:val="CharChapNo"/>
        </w:rPr>
        <w:lastRenderedPageBreak/>
        <w:t>Schedule 3</w:t>
      </w:r>
      <w:r>
        <w:tab/>
      </w:r>
      <w:r w:rsidRPr="005E03F7">
        <w:rPr>
          <w:rStyle w:val="CharChapText"/>
        </w:rPr>
        <w:t>Reviewable decisions</w:t>
      </w:r>
      <w:bookmarkEnd w:id="1011"/>
    </w:p>
    <w:p w14:paraId="55E50F50" w14:textId="77777777" w:rsidR="00DB6E47" w:rsidRPr="007E1F9A" w:rsidRDefault="00DB6E47" w:rsidP="00DB6E47">
      <w:pPr>
        <w:pStyle w:val="ref"/>
      </w:pPr>
      <w:r w:rsidRPr="007E1F9A">
        <w:t xml:space="preserve">section 640, definition </w:t>
      </w:r>
      <w:r w:rsidRPr="004214F7">
        <w:rPr>
          <w:rStyle w:val="charItals"/>
        </w:rPr>
        <w:t>reviewable decision</w:t>
      </w:r>
    </w:p>
    <w:p w14:paraId="4F895F7B" w14:textId="77777777" w:rsidR="00DB6E47" w:rsidRPr="005E03F7" w:rsidRDefault="00DB6E47" w:rsidP="00DB6E47">
      <w:pPr>
        <w:pStyle w:val="Sched-Part"/>
      </w:pPr>
      <w:bookmarkStart w:id="1012" w:name="_Toc83626356"/>
      <w:r w:rsidRPr="005E03F7">
        <w:rPr>
          <w:rStyle w:val="CharPartNo"/>
        </w:rPr>
        <w:t xml:space="preserve">Part 1 </w:t>
      </w:r>
      <w:r w:rsidRPr="00A95F9A">
        <w:tab/>
      </w:r>
      <w:r w:rsidRPr="005E03F7">
        <w:rPr>
          <w:rStyle w:val="CharPartText"/>
        </w:rPr>
        <w:t>Decisions of Regulator</w:t>
      </w:r>
      <w:bookmarkEnd w:id="1012"/>
    </w:p>
    <w:p w14:paraId="6420CF58" w14:textId="77777777" w:rsidR="00DB6E47" w:rsidRPr="009451A4" w:rsidRDefault="00DB6E47" w:rsidP="00DB6E47"/>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60" w:type="dxa"/>
          <w:left w:w="0" w:type="dxa"/>
          <w:right w:w="0" w:type="dxa"/>
        </w:tblCellMar>
        <w:tblLook w:val="0000" w:firstRow="0" w:lastRow="0" w:firstColumn="0" w:lastColumn="0" w:noHBand="0" w:noVBand="0"/>
      </w:tblPr>
      <w:tblGrid>
        <w:gridCol w:w="2273"/>
        <w:gridCol w:w="4920"/>
      </w:tblGrid>
      <w:tr w:rsidR="00DB6E47" w:rsidRPr="007E1F9A" w14:paraId="1977DF90" w14:textId="77777777" w:rsidTr="006767F0">
        <w:trPr>
          <w:trHeight w:val="440"/>
          <w:tblHeader/>
        </w:trPr>
        <w:tc>
          <w:tcPr>
            <w:tcW w:w="2273" w:type="dxa"/>
            <w:tcBorders>
              <w:bottom w:val="single" w:sz="4" w:space="0" w:color="auto"/>
            </w:tcBorders>
            <w:tcMar>
              <w:top w:w="60" w:type="dxa"/>
              <w:left w:w="0" w:type="dxa"/>
              <w:bottom w:w="0" w:type="dxa"/>
              <w:right w:w="0" w:type="dxa"/>
            </w:tcMar>
          </w:tcPr>
          <w:p w14:paraId="59BF3EC1" w14:textId="77777777" w:rsidR="00DB6E47" w:rsidRPr="007E1F9A" w:rsidRDefault="00DB6E47" w:rsidP="00DB6E47">
            <w:pPr>
              <w:pStyle w:val="TableColHd"/>
              <w:tabs>
                <w:tab w:val="left" w:pos="61"/>
              </w:tabs>
              <w:ind w:left="75"/>
            </w:pPr>
            <w:r w:rsidRPr="007E1F9A">
              <w:t>Section under which decision made</w:t>
            </w:r>
          </w:p>
        </w:tc>
        <w:tc>
          <w:tcPr>
            <w:tcW w:w="4920" w:type="dxa"/>
            <w:tcBorders>
              <w:bottom w:val="single" w:sz="4" w:space="0" w:color="auto"/>
            </w:tcBorders>
            <w:tcMar>
              <w:top w:w="60" w:type="dxa"/>
              <w:left w:w="0" w:type="dxa"/>
              <w:bottom w:w="100" w:type="dxa"/>
              <w:right w:w="0" w:type="dxa"/>
            </w:tcMar>
          </w:tcPr>
          <w:p w14:paraId="18D75F83" w14:textId="77777777" w:rsidR="00DB6E47" w:rsidRPr="007E1F9A" w:rsidRDefault="00DB6E47" w:rsidP="00DB6E47">
            <w:pPr>
              <w:pStyle w:val="TableColHd"/>
              <w:tabs>
                <w:tab w:val="left" w:pos="61"/>
              </w:tabs>
              <w:ind w:left="75"/>
            </w:pPr>
            <w:r w:rsidRPr="007E1F9A">
              <w:t>Description of decision</w:t>
            </w:r>
          </w:p>
        </w:tc>
      </w:tr>
      <w:tr w:rsidR="00DB6E47" w:rsidRPr="007E1F9A" w14:paraId="22241036" w14:textId="77777777" w:rsidTr="00DB6E47">
        <w:trPr>
          <w:trHeight w:val="560"/>
        </w:trPr>
        <w:tc>
          <w:tcPr>
            <w:tcW w:w="2273" w:type="dxa"/>
            <w:tcBorders>
              <w:top w:val="single" w:sz="4" w:space="0" w:color="auto"/>
            </w:tcBorders>
            <w:tcMar>
              <w:top w:w="60" w:type="dxa"/>
              <w:left w:w="0" w:type="dxa"/>
              <w:bottom w:w="0" w:type="dxa"/>
              <w:right w:w="0" w:type="dxa"/>
            </w:tcMar>
          </w:tcPr>
          <w:p w14:paraId="26C848EB" w14:textId="77777777" w:rsidR="00DB6E47" w:rsidRPr="005C5B2F" w:rsidRDefault="00DB6E47" w:rsidP="00DB6E47">
            <w:pPr>
              <w:pStyle w:val="TableText10"/>
              <w:tabs>
                <w:tab w:val="left" w:pos="84"/>
              </w:tabs>
              <w:ind w:left="98"/>
            </w:pPr>
            <w:r w:rsidRPr="006C3305">
              <w:t>section 22</w:t>
            </w:r>
          </w:p>
        </w:tc>
        <w:tc>
          <w:tcPr>
            <w:tcW w:w="4920" w:type="dxa"/>
            <w:tcBorders>
              <w:top w:val="single" w:sz="4" w:space="0" w:color="auto"/>
            </w:tcBorders>
            <w:tcMar>
              <w:top w:w="60" w:type="dxa"/>
              <w:left w:w="0" w:type="dxa"/>
              <w:bottom w:w="0" w:type="dxa"/>
              <w:right w:w="0" w:type="dxa"/>
            </w:tcMar>
          </w:tcPr>
          <w:p w14:paraId="6CA21C49" w14:textId="77777777" w:rsidR="00DB6E47" w:rsidRPr="006C3305" w:rsidRDefault="00DB6E47" w:rsidP="00DB6E47">
            <w:pPr>
              <w:pStyle w:val="TableText10"/>
              <w:tabs>
                <w:tab w:val="left" w:pos="84"/>
              </w:tabs>
              <w:ind w:left="98"/>
            </w:pPr>
            <w:r w:rsidRPr="006C3305">
              <w:t>decision of Regulator not to grant a PBS design approval</w:t>
            </w:r>
          </w:p>
        </w:tc>
      </w:tr>
      <w:tr w:rsidR="00DB6E47" w:rsidRPr="007E1F9A" w14:paraId="69050159" w14:textId="77777777" w:rsidTr="00DB6E47">
        <w:trPr>
          <w:trHeight w:val="1080"/>
        </w:trPr>
        <w:tc>
          <w:tcPr>
            <w:tcW w:w="2273" w:type="dxa"/>
            <w:tcMar>
              <w:top w:w="60" w:type="dxa"/>
              <w:left w:w="0" w:type="dxa"/>
              <w:bottom w:w="0" w:type="dxa"/>
              <w:right w:w="0" w:type="dxa"/>
            </w:tcMar>
          </w:tcPr>
          <w:p w14:paraId="5C8EAC7A" w14:textId="77777777" w:rsidR="00DB6E47" w:rsidRPr="005C5B2F" w:rsidRDefault="00DB6E47" w:rsidP="00DB6E47">
            <w:pPr>
              <w:pStyle w:val="TableText10"/>
              <w:tabs>
                <w:tab w:val="left" w:pos="84"/>
              </w:tabs>
              <w:ind w:left="98"/>
            </w:pPr>
            <w:r w:rsidRPr="006C3305">
              <w:t>section 22</w:t>
            </w:r>
          </w:p>
        </w:tc>
        <w:tc>
          <w:tcPr>
            <w:tcW w:w="4920" w:type="dxa"/>
            <w:tcMar>
              <w:top w:w="60" w:type="dxa"/>
              <w:left w:w="0" w:type="dxa"/>
              <w:bottom w:w="0" w:type="dxa"/>
              <w:right w:w="0" w:type="dxa"/>
            </w:tcMar>
          </w:tcPr>
          <w:p w14:paraId="687B9B63" w14:textId="77777777" w:rsidR="00DB6E47" w:rsidRPr="006C3305" w:rsidRDefault="00DB6E47" w:rsidP="00DB6E47">
            <w:pPr>
              <w:pStyle w:val="TableText10"/>
              <w:tabs>
                <w:tab w:val="left" w:pos="84"/>
              </w:tabs>
              <w:ind w:left="98"/>
            </w:pPr>
            <w:r w:rsidRPr="006C3305">
              <w:t>decision of Regulator to impose a condition in relation to a PBS design approval, except to the extent the decision relates to a condition imposed as a result of a ministerial notice under section 21</w:t>
            </w:r>
          </w:p>
        </w:tc>
      </w:tr>
      <w:tr w:rsidR="00DB6E47" w:rsidRPr="007E1F9A" w14:paraId="6643CC84" w14:textId="77777777" w:rsidTr="00DB6E47">
        <w:trPr>
          <w:trHeight w:val="560"/>
        </w:trPr>
        <w:tc>
          <w:tcPr>
            <w:tcW w:w="2273" w:type="dxa"/>
            <w:tcMar>
              <w:top w:w="60" w:type="dxa"/>
              <w:left w:w="0" w:type="dxa"/>
              <w:bottom w:w="0" w:type="dxa"/>
              <w:right w:w="0" w:type="dxa"/>
            </w:tcMar>
          </w:tcPr>
          <w:p w14:paraId="0011B21D" w14:textId="77777777" w:rsidR="00DB6E47" w:rsidRPr="005C5B2F" w:rsidRDefault="00DB6E47" w:rsidP="00DB6E47">
            <w:pPr>
              <w:pStyle w:val="TableText10"/>
              <w:tabs>
                <w:tab w:val="left" w:pos="84"/>
              </w:tabs>
              <w:ind w:left="98"/>
            </w:pPr>
            <w:r w:rsidRPr="006C3305">
              <w:t>section 23</w:t>
            </w:r>
          </w:p>
        </w:tc>
        <w:tc>
          <w:tcPr>
            <w:tcW w:w="4920" w:type="dxa"/>
            <w:tcMar>
              <w:top w:w="60" w:type="dxa"/>
              <w:left w:w="0" w:type="dxa"/>
              <w:bottom w:w="0" w:type="dxa"/>
              <w:right w:w="0" w:type="dxa"/>
            </w:tcMar>
          </w:tcPr>
          <w:p w14:paraId="41EAC2E6" w14:textId="77777777" w:rsidR="00DB6E47" w:rsidRPr="006C3305" w:rsidRDefault="00DB6E47" w:rsidP="00DB6E47">
            <w:pPr>
              <w:pStyle w:val="TableText10"/>
              <w:tabs>
                <w:tab w:val="left" w:pos="84"/>
              </w:tabs>
              <w:ind w:left="98"/>
            </w:pPr>
            <w:r w:rsidRPr="006C3305">
              <w:t>decision of Regulator not to grant a PBS vehicle approval</w:t>
            </w:r>
          </w:p>
        </w:tc>
      </w:tr>
      <w:tr w:rsidR="00DB6E47" w:rsidRPr="007E1F9A" w14:paraId="442E17B7" w14:textId="77777777" w:rsidTr="00DB6E47">
        <w:trPr>
          <w:trHeight w:val="1080"/>
        </w:trPr>
        <w:tc>
          <w:tcPr>
            <w:tcW w:w="2273" w:type="dxa"/>
            <w:tcMar>
              <w:top w:w="60" w:type="dxa"/>
              <w:left w:w="0" w:type="dxa"/>
              <w:bottom w:w="0" w:type="dxa"/>
              <w:right w:w="0" w:type="dxa"/>
            </w:tcMar>
          </w:tcPr>
          <w:p w14:paraId="5209DF0F" w14:textId="77777777" w:rsidR="00DB6E47" w:rsidRPr="005C5B2F" w:rsidRDefault="00DB6E47" w:rsidP="00DB6E47">
            <w:pPr>
              <w:pStyle w:val="TableText10"/>
              <w:tabs>
                <w:tab w:val="left" w:pos="84"/>
              </w:tabs>
              <w:ind w:left="98"/>
            </w:pPr>
            <w:r w:rsidRPr="006C3305">
              <w:t>section 23</w:t>
            </w:r>
          </w:p>
        </w:tc>
        <w:tc>
          <w:tcPr>
            <w:tcW w:w="4920" w:type="dxa"/>
            <w:tcMar>
              <w:top w:w="60" w:type="dxa"/>
              <w:left w:w="0" w:type="dxa"/>
              <w:bottom w:w="0" w:type="dxa"/>
              <w:right w:w="0" w:type="dxa"/>
            </w:tcMar>
          </w:tcPr>
          <w:p w14:paraId="5FBF2CFF" w14:textId="77777777" w:rsidR="00DB6E47" w:rsidRPr="006C3305" w:rsidRDefault="00DB6E47" w:rsidP="00DB6E47">
            <w:pPr>
              <w:pStyle w:val="TableText10"/>
              <w:tabs>
                <w:tab w:val="left" w:pos="84"/>
              </w:tabs>
              <w:ind w:left="98"/>
            </w:pPr>
            <w:r w:rsidRPr="006C3305">
              <w:t>decision of Regulator to impose a condition in relation to a PBS vehicle approval, except to the extent the decision relates to a condition imposed as a result of a ministerial notice under section 21</w:t>
            </w:r>
          </w:p>
        </w:tc>
      </w:tr>
      <w:tr w:rsidR="00DB6E47" w:rsidRPr="007E1F9A" w14:paraId="1417C867" w14:textId="77777777" w:rsidTr="00DB6E47">
        <w:trPr>
          <w:trHeight w:val="560"/>
        </w:trPr>
        <w:tc>
          <w:tcPr>
            <w:tcW w:w="2273" w:type="dxa"/>
            <w:tcMar>
              <w:top w:w="60" w:type="dxa"/>
              <w:left w:w="0" w:type="dxa"/>
              <w:bottom w:w="0" w:type="dxa"/>
              <w:right w:w="0" w:type="dxa"/>
            </w:tcMar>
          </w:tcPr>
          <w:p w14:paraId="3750A298" w14:textId="77777777" w:rsidR="00DB6E47" w:rsidRPr="005C5B2F" w:rsidRDefault="00DB6E47" w:rsidP="00DB6E47">
            <w:pPr>
              <w:pStyle w:val="TableText10"/>
              <w:tabs>
                <w:tab w:val="left" w:pos="84"/>
              </w:tabs>
              <w:ind w:left="98"/>
            </w:pPr>
            <w:r w:rsidRPr="006C3305">
              <w:t>section 68</w:t>
            </w:r>
          </w:p>
        </w:tc>
        <w:tc>
          <w:tcPr>
            <w:tcW w:w="4920" w:type="dxa"/>
            <w:tcMar>
              <w:top w:w="60" w:type="dxa"/>
              <w:left w:w="0" w:type="dxa"/>
              <w:bottom w:w="0" w:type="dxa"/>
              <w:right w:w="0" w:type="dxa"/>
            </w:tcMar>
          </w:tcPr>
          <w:p w14:paraId="2B7A7644" w14:textId="77777777" w:rsidR="00DB6E47" w:rsidRPr="006C3305" w:rsidRDefault="00DB6E47" w:rsidP="00DB6E47">
            <w:pPr>
              <w:pStyle w:val="TableText10"/>
              <w:tabs>
                <w:tab w:val="left" w:pos="84"/>
              </w:tabs>
              <w:ind w:left="98"/>
            </w:pPr>
            <w:r w:rsidRPr="006C3305">
              <w:t>decision of Regulator not to grant a vehicle standards exemption (permit)</w:t>
            </w:r>
          </w:p>
        </w:tc>
      </w:tr>
      <w:tr w:rsidR="00DB6E47" w:rsidRPr="007E1F9A" w14:paraId="0FFFF755" w14:textId="77777777" w:rsidTr="00DB6E47">
        <w:trPr>
          <w:trHeight w:val="1080"/>
        </w:trPr>
        <w:tc>
          <w:tcPr>
            <w:tcW w:w="2273" w:type="dxa"/>
            <w:tcMar>
              <w:top w:w="60" w:type="dxa"/>
              <w:left w:w="0" w:type="dxa"/>
              <w:bottom w:w="0" w:type="dxa"/>
              <w:right w:w="0" w:type="dxa"/>
            </w:tcMar>
          </w:tcPr>
          <w:p w14:paraId="6F6FC5A5" w14:textId="77777777" w:rsidR="00DB6E47" w:rsidRPr="005C5B2F" w:rsidRDefault="00DB6E47" w:rsidP="00DB6E47">
            <w:pPr>
              <w:pStyle w:val="TableText10"/>
              <w:tabs>
                <w:tab w:val="left" w:pos="84"/>
              </w:tabs>
              <w:ind w:left="98"/>
            </w:pPr>
            <w:r w:rsidRPr="006C3305">
              <w:t>section 68</w:t>
            </w:r>
          </w:p>
        </w:tc>
        <w:tc>
          <w:tcPr>
            <w:tcW w:w="4920" w:type="dxa"/>
            <w:tcMar>
              <w:top w:w="60" w:type="dxa"/>
              <w:left w:w="0" w:type="dxa"/>
              <w:bottom w:w="0" w:type="dxa"/>
              <w:right w:w="0" w:type="dxa"/>
            </w:tcMar>
          </w:tcPr>
          <w:p w14:paraId="2DFE4DEB" w14:textId="77777777" w:rsidR="00DB6E47" w:rsidRPr="006C3305" w:rsidRDefault="00DB6E47" w:rsidP="00DB6E47">
            <w:pPr>
              <w:pStyle w:val="TableText10"/>
              <w:tabs>
                <w:tab w:val="left" w:pos="84"/>
              </w:tabs>
              <w:ind w:left="98"/>
            </w:pPr>
            <w:r w:rsidRPr="006C3305">
              <w:t>decision of Regulator to grant a vehicle standards exemption (permit) for a period less than the period of not more than 3 years sought by the applicant</w:t>
            </w:r>
          </w:p>
        </w:tc>
      </w:tr>
      <w:tr w:rsidR="00DB6E47" w:rsidRPr="007E1F9A" w14:paraId="618AAB8E" w14:textId="77777777" w:rsidTr="00DB6E47">
        <w:trPr>
          <w:trHeight w:val="820"/>
        </w:trPr>
        <w:tc>
          <w:tcPr>
            <w:tcW w:w="2273" w:type="dxa"/>
            <w:tcMar>
              <w:top w:w="60" w:type="dxa"/>
              <w:left w:w="0" w:type="dxa"/>
              <w:bottom w:w="0" w:type="dxa"/>
              <w:right w:w="0" w:type="dxa"/>
            </w:tcMar>
          </w:tcPr>
          <w:p w14:paraId="69C02BE0" w14:textId="77777777" w:rsidR="00DB6E47" w:rsidRPr="005C5B2F" w:rsidRDefault="00DB6E47" w:rsidP="00DB6E47">
            <w:pPr>
              <w:pStyle w:val="TableText10"/>
              <w:tabs>
                <w:tab w:val="left" w:pos="84"/>
              </w:tabs>
              <w:ind w:left="98"/>
            </w:pPr>
            <w:r w:rsidRPr="006C3305">
              <w:t>section 71</w:t>
            </w:r>
          </w:p>
        </w:tc>
        <w:tc>
          <w:tcPr>
            <w:tcW w:w="4920" w:type="dxa"/>
            <w:tcMar>
              <w:top w:w="60" w:type="dxa"/>
              <w:left w:w="0" w:type="dxa"/>
              <w:bottom w:w="0" w:type="dxa"/>
              <w:right w:w="0" w:type="dxa"/>
            </w:tcMar>
          </w:tcPr>
          <w:p w14:paraId="0C6032D4" w14:textId="77777777" w:rsidR="00DB6E47" w:rsidRPr="006C3305" w:rsidRDefault="00DB6E47" w:rsidP="00DB6E47">
            <w:pPr>
              <w:pStyle w:val="TableText10"/>
              <w:tabs>
                <w:tab w:val="left" w:pos="84"/>
              </w:tabs>
              <w:ind w:left="98"/>
            </w:pPr>
            <w:r w:rsidRPr="006C3305">
              <w:t xml:space="preserve">decision of Regulator to impose on a vehicle standards exemption (permit) a condition not sought by the applicant </w:t>
            </w:r>
          </w:p>
        </w:tc>
      </w:tr>
      <w:tr w:rsidR="00DB6E47" w:rsidRPr="007E1F9A" w14:paraId="71C0C098" w14:textId="77777777" w:rsidTr="00DB6E47">
        <w:trPr>
          <w:trHeight w:val="820"/>
        </w:trPr>
        <w:tc>
          <w:tcPr>
            <w:tcW w:w="2273" w:type="dxa"/>
            <w:tcMar>
              <w:top w:w="60" w:type="dxa"/>
              <w:left w:w="0" w:type="dxa"/>
              <w:bottom w:w="0" w:type="dxa"/>
              <w:right w:w="0" w:type="dxa"/>
            </w:tcMar>
          </w:tcPr>
          <w:p w14:paraId="1FE45DCD" w14:textId="77777777" w:rsidR="00DB6E47" w:rsidRPr="005C5B2F" w:rsidRDefault="00DB6E47" w:rsidP="00DB6E47">
            <w:pPr>
              <w:pStyle w:val="TableText10"/>
              <w:tabs>
                <w:tab w:val="left" w:pos="84"/>
              </w:tabs>
              <w:ind w:left="98"/>
            </w:pPr>
            <w:r w:rsidRPr="006C3305">
              <w:t>section 75</w:t>
            </w:r>
          </w:p>
        </w:tc>
        <w:tc>
          <w:tcPr>
            <w:tcW w:w="4920" w:type="dxa"/>
            <w:tcMar>
              <w:top w:w="60" w:type="dxa"/>
              <w:left w:w="0" w:type="dxa"/>
              <w:bottom w:w="0" w:type="dxa"/>
              <w:right w:w="0" w:type="dxa"/>
            </w:tcMar>
          </w:tcPr>
          <w:p w14:paraId="16EF3494" w14:textId="77777777" w:rsidR="00DB6E47" w:rsidRPr="006C3305" w:rsidRDefault="00DB6E47" w:rsidP="00DB6E47">
            <w:pPr>
              <w:pStyle w:val="TableText10"/>
              <w:tabs>
                <w:tab w:val="left" w:pos="84"/>
              </w:tabs>
              <w:ind w:left="98"/>
            </w:pPr>
            <w:r w:rsidRPr="006C3305">
              <w:t>decision of Regulator not to make a decision sought in an application for amendment or cancellation of a vehicle standards exemption (permit)</w:t>
            </w:r>
          </w:p>
        </w:tc>
      </w:tr>
      <w:tr w:rsidR="00DB6E47" w:rsidRPr="007E1F9A" w14:paraId="56A8193D" w14:textId="77777777" w:rsidTr="00DB6E47">
        <w:trPr>
          <w:trHeight w:val="560"/>
        </w:trPr>
        <w:tc>
          <w:tcPr>
            <w:tcW w:w="2273" w:type="dxa"/>
            <w:tcMar>
              <w:top w:w="60" w:type="dxa"/>
              <w:left w:w="0" w:type="dxa"/>
              <w:bottom w:w="0" w:type="dxa"/>
              <w:right w:w="0" w:type="dxa"/>
            </w:tcMar>
          </w:tcPr>
          <w:p w14:paraId="0AA97538" w14:textId="77777777" w:rsidR="00DB6E47" w:rsidRPr="005C5B2F" w:rsidRDefault="00DB6E47" w:rsidP="00DB6E47">
            <w:pPr>
              <w:pStyle w:val="TableText10"/>
              <w:tabs>
                <w:tab w:val="left" w:pos="84"/>
              </w:tabs>
              <w:ind w:left="98"/>
            </w:pPr>
            <w:r w:rsidRPr="006C3305">
              <w:lastRenderedPageBreak/>
              <w:t>section 76</w:t>
            </w:r>
          </w:p>
        </w:tc>
        <w:tc>
          <w:tcPr>
            <w:tcW w:w="4920" w:type="dxa"/>
            <w:tcMar>
              <w:top w:w="60" w:type="dxa"/>
              <w:left w:w="0" w:type="dxa"/>
              <w:bottom w:w="0" w:type="dxa"/>
              <w:right w:w="0" w:type="dxa"/>
            </w:tcMar>
          </w:tcPr>
          <w:p w14:paraId="22028B56" w14:textId="77777777" w:rsidR="00DB6E47" w:rsidRPr="006C3305" w:rsidRDefault="00DB6E47" w:rsidP="00DB6E47">
            <w:pPr>
              <w:pStyle w:val="TableText10"/>
              <w:tabs>
                <w:tab w:val="left" w:pos="84"/>
              </w:tabs>
              <w:ind w:left="98"/>
            </w:pPr>
            <w:r w:rsidRPr="006C3305">
              <w:t>decision of Regulator to amend or cancel a vehicle standards exemption (permit)</w:t>
            </w:r>
          </w:p>
        </w:tc>
      </w:tr>
      <w:tr w:rsidR="00DB6E47" w:rsidRPr="007E1F9A" w14:paraId="7A1821B8" w14:textId="77777777" w:rsidTr="00DB6E47">
        <w:trPr>
          <w:trHeight w:val="560"/>
        </w:trPr>
        <w:tc>
          <w:tcPr>
            <w:tcW w:w="2273" w:type="dxa"/>
            <w:tcMar>
              <w:top w:w="60" w:type="dxa"/>
              <w:left w:w="0" w:type="dxa"/>
              <w:bottom w:w="0" w:type="dxa"/>
              <w:right w:w="0" w:type="dxa"/>
            </w:tcMar>
          </w:tcPr>
          <w:p w14:paraId="09DD1F71" w14:textId="77777777" w:rsidR="00DB6E47" w:rsidRPr="005C5B2F" w:rsidRDefault="00DB6E47" w:rsidP="00DB6E47">
            <w:pPr>
              <w:pStyle w:val="TableText10"/>
              <w:tabs>
                <w:tab w:val="left" w:pos="84"/>
              </w:tabs>
              <w:ind w:left="98"/>
            </w:pPr>
            <w:r w:rsidRPr="006C3305">
              <w:t>section 77</w:t>
            </w:r>
          </w:p>
        </w:tc>
        <w:tc>
          <w:tcPr>
            <w:tcW w:w="4920" w:type="dxa"/>
            <w:tcMar>
              <w:top w:w="60" w:type="dxa"/>
              <w:left w:w="0" w:type="dxa"/>
              <w:bottom w:w="0" w:type="dxa"/>
              <w:right w:w="0" w:type="dxa"/>
            </w:tcMar>
          </w:tcPr>
          <w:p w14:paraId="030BE335" w14:textId="77777777" w:rsidR="00DB6E47" w:rsidRPr="006C3305" w:rsidRDefault="00DB6E47" w:rsidP="00DB6E47">
            <w:pPr>
              <w:pStyle w:val="TableText10"/>
              <w:tabs>
                <w:tab w:val="left" w:pos="84"/>
              </w:tabs>
              <w:ind w:left="98"/>
            </w:pPr>
            <w:r w:rsidRPr="006C3305">
              <w:t>decision of the Regulator to immediately suspend a vehicle standards exemption (permit)</w:t>
            </w:r>
          </w:p>
        </w:tc>
      </w:tr>
      <w:tr w:rsidR="00DB6E47" w:rsidRPr="007E1F9A" w14:paraId="38BF46A4" w14:textId="77777777" w:rsidTr="00DB6E47">
        <w:trPr>
          <w:trHeight w:val="560"/>
        </w:trPr>
        <w:tc>
          <w:tcPr>
            <w:tcW w:w="2273" w:type="dxa"/>
            <w:tcMar>
              <w:top w:w="60" w:type="dxa"/>
              <w:left w:w="0" w:type="dxa"/>
              <w:bottom w:w="0" w:type="dxa"/>
              <w:right w:w="0" w:type="dxa"/>
            </w:tcMar>
          </w:tcPr>
          <w:p w14:paraId="0AD29C44" w14:textId="77777777" w:rsidR="00DB6E47" w:rsidRPr="005C5B2F" w:rsidRDefault="00DB6E47" w:rsidP="00DB6E47">
            <w:pPr>
              <w:pStyle w:val="TableText10"/>
              <w:tabs>
                <w:tab w:val="left" w:pos="84"/>
              </w:tabs>
              <w:ind w:left="98"/>
            </w:pPr>
            <w:r w:rsidRPr="006C3305">
              <w:t>section 80</w:t>
            </w:r>
          </w:p>
        </w:tc>
        <w:tc>
          <w:tcPr>
            <w:tcW w:w="4920" w:type="dxa"/>
            <w:tcMar>
              <w:top w:w="60" w:type="dxa"/>
              <w:left w:w="0" w:type="dxa"/>
              <w:bottom w:w="0" w:type="dxa"/>
              <w:right w:w="0" w:type="dxa"/>
            </w:tcMar>
          </w:tcPr>
          <w:p w14:paraId="4CC19007" w14:textId="77777777" w:rsidR="00DB6E47" w:rsidRPr="006C3305" w:rsidRDefault="00DB6E47" w:rsidP="00DB6E47">
            <w:pPr>
              <w:pStyle w:val="TableText10"/>
              <w:tabs>
                <w:tab w:val="left" w:pos="84"/>
              </w:tabs>
              <w:ind w:left="98"/>
            </w:pPr>
            <w:r w:rsidRPr="006C3305">
              <w:t>decision of Regulator not to give a replacement permit for a vehicle standards exemption (permit)</w:t>
            </w:r>
          </w:p>
        </w:tc>
      </w:tr>
      <w:tr w:rsidR="00DB6E47" w:rsidRPr="007E1F9A" w14:paraId="0ADBD785" w14:textId="77777777" w:rsidTr="00DB6E47">
        <w:trPr>
          <w:trHeight w:val="1080"/>
        </w:trPr>
        <w:tc>
          <w:tcPr>
            <w:tcW w:w="2273" w:type="dxa"/>
            <w:tcMar>
              <w:top w:w="60" w:type="dxa"/>
              <w:left w:w="0" w:type="dxa"/>
              <w:bottom w:w="0" w:type="dxa"/>
              <w:right w:w="0" w:type="dxa"/>
            </w:tcMar>
          </w:tcPr>
          <w:p w14:paraId="1D05E336" w14:textId="77777777" w:rsidR="00DB6E47" w:rsidRPr="005C5B2F" w:rsidRDefault="00DB6E47" w:rsidP="00DB6E47">
            <w:pPr>
              <w:pStyle w:val="TableText10"/>
              <w:tabs>
                <w:tab w:val="left" w:pos="84"/>
              </w:tabs>
              <w:ind w:left="98"/>
            </w:pPr>
            <w:r w:rsidRPr="006C3305">
              <w:t>section 122</w:t>
            </w:r>
          </w:p>
        </w:tc>
        <w:tc>
          <w:tcPr>
            <w:tcW w:w="4920" w:type="dxa"/>
            <w:tcMar>
              <w:top w:w="60" w:type="dxa"/>
              <w:left w:w="0" w:type="dxa"/>
              <w:bottom w:w="0" w:type="dxa"/>
              <w:right w:w="0" w:type="dxa"/>
            </w:tcMar>
          </w:tcPr>
          <w:p w14:paraId="05EA5C19" w14:textId="77777777" w:rsidR="00DB6E47" w:rsidRPr="006C3305" w:rsidRDefault="00DB6E47" w:rsidP="00DB6E47">
            <w:pPr>
              <w:pStyle w:val="TableText10"/>
              <w:tabs>
                <w:tab w:val="left" w:pos="84"/>
              </w:tabs>
              <w:ind w:left="98"/>
            </w:pPr>
            <w:r w:rsidRPr="006C3305">
              <w:t>decision of Regulator not to grant a mass or dimension exemption (permit) other than because a relevant road manager for the exemption did not consent to the grant</w:t>
            </w:r>
          </w:p>
        </w:tc>
      </w:tr>
      <w:tr w:rsidR="00DB6E47" w:rsidRPr="007E1F9A" w14:paraId="402FD955" w14:textId="77777777" w:rsidTr="00DB6E47">
        <w:trPr>
          <w:trHeight w:val="1080"/>
        </w:trPr>
        <w:tc>
          <w:tcPr>
            <w:tcW w:w="2273" w:type="dxa"/>
            <w:tcMar>
              <w:top w:w="60" w:type="dxa"/>
              <w:left w:w="0" w:type="dxa"/>
              <w:bottom w:w="0" w:type="dxa"/>
              <w:right w:w="0" w:type="dxa"/>
            </w:tcMar>
          </w:tcPr>
          <w:p w14:paraId="2EE7B1C7" w14:textId="77777777" w:rsidR="00DB6E47" w:rsidRPr="005C5B2F" w:rsidRDefault="00DB6E47" w:rsidP="00DB6E47">
            <w:pPr>
              <w:pStyle w:val="TableText10"/>
              <w:tabs>
                <w:tab w:val="left" w:pos="84"/>
              </w:tabs>
              <w:ind w:left="98"/>
            </w:pPr>
            <w:r w:rsidRPr="006C3305">
              <w:t>section 122</w:t>
            </w:r>
          </w:p>
        </w:tc>
        <w:tc>
          <w:tcPr>
            <w:tcW w:w="4920" w:type="dxa"/>
            <w:tcMar>
              <w:top w:w="60" w:type="dxa"/>
              <w:left w:w="0" w:type="dxa"/>
              <w:bottom w:w="0" w:type="dxa"/>
              <w:right w:w="0" w:type="dxa"/>
            </w:tcMar>
          </w:tcPr>
          <w:p w14:paraId="099BFC6F" w14:textId="77777777" w:rsidR="00DB6E47" w:rsidRPr="006C3305" w:rsidRDefault="00DB6E47" w:rsidP="00DB6E47">
            <w:pPr>
              <w:pStyle w:val="TableText10"/>
              <w:tabs>
                <w:tab w:val="left" w:pos="84"/>
              </w:tabs>
              <w:ind w:left="98"/>
            </w:pPr>
            <w:r w:rsidRPr="006C3305">
              <w:t>decision of Regulator to grant a mass or dimension exemption (permit) for a period less than the period of not more than 3 years sought by the applicant</w:t>
            </w:r>
          </w:p>
        </w:tc>
      </w:tr>
      <w:tr w:rsidR="00DB6E47" w:rsidRPr="007E1F9A" w14:paraId="42CC65B1" w14:textId="77777777" w:rsidTr="00DB6E47">
        <w:trPr>
          <w:trHeight w:val="1340"/>
        </w:trPr>
        <w:tc>
          <w:tcPr>
            <w:tcW w:w="2273" w:type="dxa"/>
            <w:tcMar>
              <w:top w:w="60" w:type="dxa"/>
              <w:left w:w="0" w:type="dxa"/>
              <w:bottom w:w="0" w:type="dxa"/>
              <w:right w:w="0" w:type="dxa"/>
            </w:tcMar>
          </w:tcPr>
          <w:p w14:paraId="06B175C3" w14:textId="77777777" w:rsidR="00DB6E47" w:rsidRPr="005C5B2F" w:rsidRDefault="00DB6E47" w:rsidP="00DB6E47">
            <w:pPr>
              <w:pStyle w:val="TableText10"/>
              <w:tabs>
                <w:tab w:val="left" w:pos="84"/>
              </w:tabs>
              <w:ind w:left="98"/>
            </w:pPr>
            <w:r w:rsidRPr="006C3305">
              <w:t>section 125</w:t>
            </w:r>
          </w:p>
        </w:tc>
        <w:tc>
          <w:tcPr>
            <w:tcW w:w="4920" w:type="dxa"/>
            <w:tcMar>
              <w:top w:w="60" w:type="dxa"/>
              <w:left w:w="0" w:type="dxa"/>
              <w:bottom w:w="0" w:type="dxa"/>
              <w:right w:w="0" w:type="dxa"/>
            </w:tcMar>
          </w:tcPr>
          <w:p w14:paraId="60FF722F" w14:textId="77777777" w:rsidR="00DB6E47" w:rsidRPr="006C3305" w:rsidRDefault="00DB6E47" w:rsidP="00DB6E47">
            <w:pPr>
              <w:pStyle w:val="TableText10"/>
              <w:tabs>
                <w:tab w:val="left" w:pos="84"/>
              </w:tabs>
              <w:ind w:left="98"/>
            </w:pPr>
            <w:r w:rsidRPr="006C3305">
              <w:t>decision of Regulator to impose on a mass or dimension exemption (permit) a condition not sought by the applicant and not a road condition or travel conditions required by a relevant road manager for the exemption</w:t>
            </w:r>
          </w:p>
        </w:tc>
      </w:tr>
      <w:tr w:rsidR="00DB6E47" w:rsidRPr="007E1F9A" w14:paraId="2F4ED3D0" w14:textId="77777777" w:rsidTr="00DB6E47">
        <w:trPr>
          <w:trHeight w:val="1080"/>
        </w:trPr>
        <w:tc>
          <w:tcPr>
            <w:tcW w:w="2273" w:type="dxa"/>
            <w:tcMar>
              <w:top w:w="60" w:type="dxa"/>
              <w:left w:w="0" w:type="dxa"/>
              <w:bottom w:w="0" w:type="dxa"/>
              <w:right w:w="0" w:type="dxa"/>
            </w:tcMar>
          </w:tcPr>
          <w:p w14:paraId="3666115E" w14:textId="77777777" w:rsidR="00DB6E47" w:rsidRPr="005C5B2F" w:rsidRDefault="00DB6E47" w:rsidP="00DB6E47">
            <w:pPr>
              <w:pStyle w:val="TableText10"/>
              <w:tabs>
                <w:tab w:val="left" w:pos="84"/>
              </w:tabs>
              <w:ind w:left="98"/>
            </w:pPr>
            <w:r w:rsidRPr="006C3305">
              <w:t>section 143</w:t>
            </w:r>
          </w:p>
        </w:tc>
        <w:tc>
          <w:tcPr>
            <w:tcW w:w="4920" w:type="dxa"/>
            <w:tcMar>
              <w:top w:w="60" w:type="dxa"/>
              <w:left w:w="0" w:type="dxa"/>
              <w:bottom w:w="0" w:type="dxa"/>
              <w:right w:w="0" w:type="dxa"/>
            </w:tcMar>
          </w:tcPr>
          <w:p w14:paraId="04B5035E" w14:textId="77777777" w:rsidR="00DB6E47" w:rsidRPr="006C3305" w:rsidRDefault="00DB6E47" w:rsidP="00DB6E47">
            <w:pPr>
              <w:pStyle w:val="TableText10"/>
              <w:tabs>
                <w:tab w:val="left" w:pos="84"/>
              </w:tabs>
              <w:ind w:left="98"/>
            </w:pPr>
            <w:r w:rsidRPr="006C3305">
              <w:t>decision of Regulator not to grant a class 2 heavy vehicle authorisation (permit) other than because a relevant road manager for the authorisation did not consent to the grant</w:t>
            </w:r>
          </w:p>
        </w:tc>
      </w:tr>
      <w:tr w:rsidR="00DB6E47" w:rsidRPr="007E1F9A" w14:paraId="521B0C33" w14:textId="77777777" w:rsidTr="00DB6E47">
        <w:trPr>
          <w:trHeight w:val="1080"/>
        </w:trPr>
        <w:tc>
          <w:tcPr>
            <w:tcW w:w="2273" w:type="dxa"/>
            <w:tcMar>
              <w:top w:w="60" w:type="dxa"/>
              <w:left w:w="0" w:type="dxa"/>
              <w:bottom w:w="0" w:type="dxa"/>
              <w:right w:w="0" w:type="dxa"/>
            </w:tcMar>
          </w:tcPr>
          <w:p w14:paraId="7E20A1E8" w14:textId="77777777" w:rsidR="00DB6E47" w:rsidRPr="005C5B2F" w:rsidRDefault="00DB6E47" w:rsidP="00DB6E47">
            <w:pPr>
              <w:pStyle w:val="TableText10"/>
              <w:tabs>
                <w:tab w:val="left" w:pos="84"/>
              </w:tabs>
              <w:ind w:left="98"/>
            </w:pPr>
            <w:r w:rsidRPr="006C3305">
              <w:t xml:space="preserve">section 143 </w:t>
            </w:r>
          </w:p>
        </w:tc>
        <w:tc>
          <w:tcPr>
            <w:tcW w:w="4920" w:type="dxa"/>
            <w:tcMar>
              <w:top w:w="60" w:type="dxa"/>
              <w:left w:w="0" w:type="dxa"/>
              <w:bottom w:w="0" w:type="dxa"/>
              <w:right w:w="0" w:type="dxa"/>
            </w:tcMar>
          </w:tcPr>
          <w:p w14:paraId="44F04F32" w14:textId="77777777" w:rsidR="00DB6E47" w:rsidRPr="006C3305" w:rsidRDefault="00DB6E47" w:rsidP="00DB6E47">
            <w:pPr>
              <w:pStyle w:val="TableText10"/>
              <w:tabs>
                <w:tab w:val="left" w:pos="84"/>
              </w:tabs>
              <w:ind w:left="98"/>
            </w:pPr>
            <w:r w:rsidRPr="006C3305">
              <w:t>decision of Regulator to grant a class 2 heavy vehicle authorisation (permit) for a period less than the period of not more than 3 years sought by the applicant</w:t>
            </w:r>
          </w:p>
        </w:tc>
      </w:tr>
      <w:tr w:rsidR="00DB6E47" w:rsidRPr="007E1F9A" w14:paraId="63E53DF0" w14:textId="77777777" w:rsidTr="00DB6E47">
        <w:trPr>
          <w:trHeight w:val="1340"/>
        </w:trPr>
        <w:tc>
          <w:tcPr>
            <w:tcW w:w="2273" w:type="dxa"/>
            <w:tcMar>
              <w:top w:w="60" w:type="dxa"/>
              <w:left w:w="0" w:type="dxa"/>
              <w:bottom w:w="0" w:type="dxa"/>
              <w:right w:w="0" w:type="dxa"/>
            </w:tcMar>
          </w:tcPr>
          <w:p w14:paraId="72AFF4F7" w14:textId="77777777" w:rsidR="00DB6E47" w:rsidRPr="005C5B2F" w:rsidRDefault="00DB6E47" w:rsidP="00DB6E47">
            <w:pPr>
              <w:pStyle w:val="TableText10"/>
              <w:tabs>
                <w:tab w:val="left" w:pos="84"/>
              </w:tabs>
              <w:ind w:left="98"/>
            </w:pPr>
            <w:r w:rsidRPr="006C3305">
              <w:lastRenderedPageBreak/>
              <w:t xml:space="preserve">section 146 </w:t>
            </w:r>
          </w:p>
        </w:tc>
        <w:tc>
          <w:tcPr>
            <w:tcW w:w="4920" w:type="dxa"/>
            <w:tcMar>
              <w:top w:w="60" w:type="dxa"/>
              <w:left w:w="0" w:type="dxa"/>
              <w:bottom w:w="0" w:type="dxa"/>
              <w:right w:w="0" w:type="dxa"/>
            </w:tcMar>
          </w:tcPr>
          <w:p w14:paraId="63558BE8" w14:textId="77777777" w:rsidR="00DB6E47" w:rsidRPr="006C3305" w:rsidRDefault="00DB6E47" w:rsidP="00DB6E47">
            <w:pPr>
              <w:pStyle w:val="TableText10"/>
              <w:tabs>
                <w:tab w:val="left" w:pos="84"/>
              </w:tabs>
              <w:ind w:left="98"/>
            </w:pPr>
            <w:r w:rsidRPr="006C3305">
              <w:t>decision of Regulator to impose on a class 2 heavy vehicle authorisation (permit) a condition not sought by the applicant and not a road condition or travel condition required by a relevant road manager for the authorisation</w:t>
            </w:r>
          </w:p>
        </w:tc>
      </w:tr>
      <w:tr w:rsidR="00DB6E47" w:rsidRPr="007E1F9A" w14:paraId="61853E17" w14:textId="77777777" w:rsidTr="00DB6E47">
        <w:trPr>
          <w:trHeight w:val="1080"/>
        </w:trPr>
        <w:tc>
          <w:tcPr>
            <w:tcW w:w="2273" w:type="dxa"/>
            <w:tcMar>
              <w:top w:w="60" w:type="dxa"/>
              <w:left w:w="0" w:type="dxa"/>
              <w:bottom w:w="0" w:type="dxa"/>
              <w:right w:w="0" w:type="dxa"/>
            </w:tcMar>
          </w:tcPr>
          <w:p w14:paraId="6C860749" w14:textId="77777777" w:rsidR="00DB6E47" w:rsidRPr="005C5B2F" w:rsidRDefault="00DB6E47" w:rsidP="00DB6E47">
            <w:pPr>
              <w:pStyle w:val="TableText10"/>
              <w:tabs>
                <w:tab w:val="left" w:pos="84"/>
              </w:tabs>
              <w:ind w:left="98"/>
            </w:pPr>
            <w:r w:rsidRPr="006C3305">
              <w:t xml:space="preserve">section 176 </w:t>
            </w:r>
          </w:p>
        </w:tc>
        <w:tc>
          <w:tcPr>
            <w:tcW w:w="4920" w:type="dxa"/>
            <w:tcMar>
              <w:top w:w="60" w:type="dxa"/>
              <w:left w:w="0" w:type="dxa"/>
              <w:bottom w:w="0" w:type="dxa"/>
              <w:right w:w="0" w:type="dxa"/>
            </w:tcMar>
          </w:tcPr>
          <w:p w14:paraId="6CD27952" w14:textId="77777777" w:rsidR="00DB6E47" w:rsidRPr="006C3305" w:rsidRDefault="00DB6E47" w:rsidP="00DB6E47">
            <w:pPr>
              <w:pStyle w:val="TableText10"/>
              <w:tabs>
                <w:tab w:val="left" w:pos="84"/>
              </w:tabs>
              <w:ind w:left="98"/>
            </w:pPr>
            <w:r w:rsidRPr="006C3305">
              <w:t>decision of Regulator not to make a decision sought in an application for amendment of a mass or dimension authority granted by giving a person a permit</w:t>
            </w:r>
          </w:p>
        </w:tc>
      </w:tr>
      <w:tr w:rsidR="00DB6E47" w:rsidRPr="007E1F9A" w14:paraId="710A8E04" w14:textId="77777777" w:rsidTr="00DB6E47">
        <w:trPr>
          <w:trHeight w:val="1080"/>
        </w:trPr>
        <w:tc>
          <w:tcPr>
            <w:tcW w:w="2273" w:type="dxa"/>
            <w:tcMar>
              <w:top w:w="60" w:type="dxa"/>
              <w:left w:w="0" w:type="dxa"/>
              <w:bottom w:w="0" w:type="dxa"/>
              <w:right w:w="0" w:type="dxa"/>
            </w:tcMar>
          </w:tcPr>
          <w:p w14:paraId="4FABE992" w14:textId="77777777" w:rsidR="00DB6E47" w:rsidRPr="005C5B2F" w:rsidRDefault="00DB6E47" w:rsidP="00DB6E47">
            <w:pPr>
              <w:pStyle w:val="TableText10"/>
              <w:tabs>
                <w:tab w:val="left" w:pos="84"/>
              </w:tabs>
              <w:ind w:left="98"/>
            </w:pPr>
            <w:r w:rsidRPr="006C3305">
              <w:t xml:space="preserve">section 177 </w:t>
            </w:r>
          </w:p>
        </w:tc>
        <w:tc>
          <w:tcPr>
            <w:tcW w:w="4920" w:type="dxa"/>
            <w:tcMar>
              <w:top w:w="60" w:type="dxa"/>
              <w:left w:w="0" w:type="dxa"/>
              <w:bottom w:w="0" w:type="dxa"/>
              <w:right w:w="0" w:type="dxa"/>
            </w:tcMar>
          </w:tcPr>
          <w:p w14:paraId="112C717D" w14:textId="77777777" w:rsidR="00DB6E47" w:rsidRPr="006C3305" w:rsidRDefault="00DB6E47" w:rsidP="00DB6E47">
            <w:pPr>
              <w:pStyle w:val="TableText10"/>
              <w:tabs>
                <w:tab w:val="left" w:pos="84"/>
              </w:tabs>
              <w:ind w:left="98"/>
            </w:pPr>
            <w:r w:rsidRPr="006C3305">
              <w:t>decision of Regulator to amend or cancel a mass or dimension authority granted by giving a person a permit, other than at the request of a relevant road manager</w:t>
            </w:r>
          </w:p>
        </w:tc>
      </w:tr>
      <w:tr w:rsidR="00DB6E47" w:rsidRPr="007E1F9A" w14:paraId="1A67D01B" w14:textId="77777777" w:rsidTr="00DB6E47">
        <w:trPr>
          <w:trHeight w:val="820"/>
        </w:trPr>
        <w:tc>
          <w:tcPr>
            <w:tcW w:w="2273" w:type="dxa"/>
            <w:tcMar>
              <w:top w:w="60" w:type="dxa"/>
              <w:left w:w="0" w:type="dxa"/>
              <w:bottom w:w="0" w:type="dxa"/>
              <w:right w:w="0" w:type="dxa"/>
            </w:tcMar>
          </w:tcPr>
          <w:p w14:paraId="3CF725D7" w14:textId="77777777" w:rsidR="00DB6E47" w:rsidRPr="005C5B2F" w:rsidRDefault="00DB6E47" w:rsidP="00DB6E47">
            <w:pPr>
              <w:pStyle w:val="TableText10"/>
              <w:tabs>
                <w:tab w:val="left" w:pos="84"/>
              </w:tabs>
              <w:ind w:left="98"/>
            </w:pPr>
            <w:r w:rsidRPr="006C3305">
              <w:t xml:space="preserve">section 179 </w:t>
            </w:r>
          </w:p>
        </w:tc>
        <w:tc>
          <w:tcPr>
            <w:tcW w:w="4920" w:type="dxa"/>
            <w:tcMar>
              <w:top w:w="60" w:type="dxa"/>
              <w:left w:w="0" w:type="dxa"/>
              <w:bottom w:w="0" w:type="dxa"/>
              <w:right w:w="0" w:type="dxa"/>
            </w:tcMar>
          </w:tcPr>
          <w:p w14:paraId="707382A4" w14:textId="77777777" w:rsidR="00DB6E47" w:rsidRPr="006C3305" w:rsidRDefault="00DB6E47" w:rsidP="00DB6E47">
            <w:pPr>
              <w:pStyle w:val="TableText10"/>
              <w:tabs>
                <w:tab w:val="left" w:pos="84"/>
              </w:tabs>
              <w:ind w:left="98"/>
            </w:pPr>
            <w:r w:rsidRPr="006C3305">
              <w:t>decision of Regulator to immediately suspend a mass or dimension authority granted by giving a person a permit</w:t>
            </w:r>
          </w:p>
        </w:tc>
      </w:tr>
      <w:tr w:rsidR="00DB6E47" w:rsidRPr="007E1F9A" w14:paraId="319B0A93" w14:textId="77777777" w:rsidTr="00DB6E47">
        <w:trPr>
          <w:trHeight w:val="560"/>
        </w:trPr>
        <w:tc>
          <w:tcPr>
            <w:tcW w:w="2273" w:type="dxa"/>
            <w:tcMar>
              <w:top w:w="60" w:type="dxa"/>
              <w:left w:w="0" w:type="dxa"/>
              <w:bottom w:w="0" w:type="dxa"/>
              <w:right w:w="0" w:type="dxa"/>
            </w:tcMar>
          </w:tcPr>
          <w:p w14:paraId="1BA75F79" w14:textId="77777777" w:rsidR="00DB6E47" w:rsidRPr="005C5B2F" w:rsidRDefault="00DB6E47" w:rsidP="00DB6E47">
            <w:pPr>
              <w:pStyle w:val="TableText10"/>
              <w:tabs>
                <w:tab w:val="left" w:pos="84"/>
              </w:tabs>
              <w:ind w:left="98"/>
            </w:pPr>
            <w:r w:rsidRPr="006C3305">
              <w:t xml:space="preserve">section 182 </w:t>
            </w:r>
          </w:p>
        </w:tc>
        <w:tc>
          <w:tcPr>
            <w:tcW w:w="4920" w:type="dxa"/>
            <w:tcMar>
              <w:top w:w="60" w:type="dxa"/>
              <w:left w:w="0" w:type="dxa"/>
              <w:bottom w:w="0" w:type="dxa"/>
              <w:right w:w="0" w:type="dxa"/>
            </w:tcMar>
          </w:tcPr>
          <w:p w14:paraId="7F065941" w14:textId="77777777" w:rsidR="00DB6E47" w:rsidRPr="006C3305" w:rsidRDefault="00DB6E47" w:rsidP="00DB6E47">
            <w:pPr>
              <w:pStyle w:val="TableText10"/>
              <w:tabs>
                <w:tab w:val="left" w:pos="84"/>
              </w:tabs>
              <w:ind w:left="98"/>
            </w:pPr>
            <w:r w:rsidRPr="006C3305">
              <w:t>decision of Regulator not to give a replacement permit for a mass or dimension authority</w:t>
            </w:r>
          </w:p>
        </w:tc>
      </w:tr>
      <w:tr w:rsidR="00DB6E47" w:rsidRPr="007E1F9A" w14:paraId="46A6D545" w14:textId="77777777" w:rsidTr="00DB6E47">
        <w:trPr>
          <w:trHeight w:val="560"/>
        </w:trPr>
        <w:tc>
          <w:tcPr>
            <w:tcW w:w="2273" w:type="dxa"/>
            <w:tcMar>
              <w:top w:w="60" w:type="dxa"/>
              <w:left w:w="0" w:type="dxa"/>
              <w:bottom w:w="0" w:type="dxa"/>
              <w:right w:w="0" w:type="dxa"/>
            </w:tcMar>
          </w:tcPr>
          <w:p w14:paraId="23F17BE7" w14:textId="77777777" w:rsidR="00DB6E47" w:rsidRPr="005C5B2F" w:rsidRDefault="00DB6E47" w:rsidP="00DB6E47">
            <w:pPr>
              <w:pStyle w:val="TableText10"/>
              <w:tabs>
                <w:tab w:val="left" w:pos="84"/>
              </w:tabs>
              <w:ind w:left="98"/>
            </w:pPr>
            <w:r w:rsidRPr="006C3305">
              <w:t xml:space="preserve">section 273 </w:t>
            </w:r>
          </w:p>
        </w:tc>
        <w:tc>
          <w:tcPr>
            <w:tcW w:w="4920" w:type="dxa"/>
            <w:tcMar>
              <w:top w:w="60" w:type="dxa"/>
              <w:left w:w="0" w:type="dxa"/>
              <w:bottom w:w="0" w:type="dxa"/>
              <w:right w:w="0" w:type="dxa"/>
            </w:tcMar>
          </w:tcPr>
          <w:p w14:paraId="022AFFE0" w14:textId="77777777" w:rsidR="00DB6E47" w:rsidRPr="006C3305" w:rsidRDefault="00DB6E47" w:rsidP="00DB6E47">
            <w:pPr>
              <w:pStyle w:val="TableText10"/>
              <w:tabs>
                <w:tab w:val="left" w:pos="84"/>
              </w:tabs>
              <w:ind w:left="98"/>
            </w:pPr>
            <w:r w:rsidRPr="006C3305">
              <w:t>decision of Regulator not to grant a work and rest hours exemption (permit)</w:t>
            </w:r>
          </w:p>
        </w:tc>
      </w:tr>
      <w:tr w:rsidR="00DB6E47" w:rsidRPr="007E1F9A" w14:paraId="3EC4D8DF" w14:textId="77777777" w:rsidTr="00DB6E47">
        <w:trPr>
          <w:trHeight w:val="820"/>
        </w:trPr>
        <w:tc>
          <w:tcPr>
            <w:tcW w:w="2273" w:type="dxa"/>
            <w:tcMar>
              <w:top w:w="60" w:type="dxa"/>
              <w:left w:w="0" w:type="dxa"/>
              <w:bottom w:w="0" w:type="dxa"/>
              <w:right w:w="0" w:type="dxa"/>
            </w:tcMar>
          </w:tcPr>
          <w:p w14:paraId="095087F2" w14:textId="77777777" w:rsidR="00DB6E47" w:rsidRPr="005C5B2F" w:rsidRDefault="00DB6E47" w:rsidP="00DB6E47">
            <w:pPr>
              <w:pStyle w:val="TableText10"/>
              <w:tabs>
                <w:tab w:val="left" w:pos="84"/>
              </w:tabs>
              <w:ind w:left="98"/>
            </w:pPr>
            <w:r w:rsidRPr="006C3305">
              <w:t xml:space="preserve">section 273 </w:t>
            </w:r>
          </w:p>
        </w:tc>
        <w:tc>
          <w:tcPr>
            <w:tcW w:w="4920" w:type="dxa"/>
            <w:tcMar>
              <w:top w:w="60" w:type="dxa"/>
              <w:left w:w="0" w:type="dxa"/>
              <w:bottom w:w="0" w:type="dxa"/>
              <w:right w:w="0" w:type="dxa"/>
            </w:tcMar>
          </w:tcPr>
          <w:p w14:paraId="717C0B27" w14:textId="77777777" w:rsidR="00DB6E47" w:rsidRPr="006C3305" w:rsidRDefault="00DB6E47" w:rsidP="00DB6E47">
            <w:pPr>
              <w:pStyle w:val="TableText10"/>
              <w:tabs>
                <w:tab w:val="left" w:pos="84"/>
              </w:tabs>
              <w:ind w:left="98"/>
            </w:pPr>
            <w:r w:rsidRPr="006C3305">
              <w:t>decision of Regulator to grant a work and rest hours exemption (permit) that does not cover all of the drivers sought by the applicant</w:t>
            </w:r>
          </w:p>
        </w:tc>
      </w:tr>
      <w:tr w:rsidR="00DB6E47" w:rsidRPr="007E1F9A" w14:paraId="7FD15666" w14:textId="77777777" w:rsidTr="00DB6E47">
        <w:trPr>
          <w:trHeight w:val="1340"/>
        </w:trPr>
        <w:tc>
          <w:tcPr>
            <w:tcW w:w="2273" w:type="dxa"/>
            <w:tcMar>
              <w:top w:w="60" w:type="dxa"/>
              <w:left w:w="0" w:type="dxa"/>
              <w:bottom w:w="0" w:type="dxa"/>
              <w:right w:w="0" w:type="dxa"/>
            </w:tcMar>
          </w:tcPr>
          <w:p w14:paraId="20C0A6AD" w14:textId="77777777" w:rsidR="00DB6E47" w:rsidRPr="005C5B2F" w:rsidRDefault="00DB6E47" w:rsidP="00DB6E47">
            <w:pPr>
              <w:pStyle w:val="TableText10"/>
              <w:tabs>
                <w:tab w:val="left" w:pos="84"/>
              </w:tabs>
              <w:ind w:left="98"/>
            </w:pPr>
            <w:r w:rsidRPr="006C3305">
              <w:t xml:space="preserve">section 273 </w:t>
            </w:r>
          </w:p>
        </w:tc>
        <w:tc>
          <w:tcPr>
            <w:tcW w:w="4920" w:type="dxa"/>
            <w:tcMar>
              <w:top w:w="60" w:type="dxa"/>
              <w:left w:w="0" w:type="dxa"/>
              <w:bottom w:w="0" w:type="dxa"/>
              <w:right w:w="0" w:type="dxa"/>
            </w:tcMar>
          </w:tcPr>
          <w:p w14:paraId="19C6EF26" w14:textId="77777777" w:rsidR="00DB6E47" w:rsidRPr="006C3305" w:rsidRDefault="00DB6E47" w:rsidP="00DB6E47">
            <w:pPr>
              <w:pStyle w:val="TableText10"/>
              <w:tabs>
                <w:tab w:val="left" w:pos="84"/>
              </w:tabs>
              <w:ind w:left="98"/>
            </w:pPr>
            <w:r w:rsidRPr="006C3305">
              <w:t>decision of Regulator to grant a work and rest hours exemption (permit) setting maximum work times or minimum rest times different to the maximum work times or minimum rest times sought by the applicant</w:t>
            </w:r>
          </w:p>
        </w:tc>
      </w:tr>
      <w:tr w:rsidR="00DB6E47" w:rsidRPr="007E1F9A" w14:paraId="3A698685" w14:textId="77777777" w:rsidTr="00DB6E47">
        <w:trPr>
          <w:trHeight w:val="1080"/>
        </w:trPr>
        <w:tc>
          <w:tcPr>
            <w:tcW w:w="2273" w:type="dxa"/>
            <w:tcMar>
              <w:top w:w="60" w:type="dxa"/>
              <w:left w:w="0" w:type="dxa"/>
              <w:bottom w:w="0" w:type="dxa"/>
              <w:right w:w="0" w:type="dxa"/>
            </w:tcMar>
          </w:tcPr>
          <w:p w14:paraId="1CEC7FD7" w14:textId="77777777" w:rsidR="00DB6E47" w:rsidRPr="005C5B2F" w:rsidRDefault="00DB6E47" w:rsidP="00DB6E47">
            <w:pPr>
              <w:pStyle w:val="TableText10"/>
              <w:tabs>
                <w:tab w:val="left" w:pos="84"/>
              </w:tabs>
              <w:ind w:left="98"/>
            </w:pPr>
            <w:r w:rsidRPr="006C3305">
              <w:lastRenderedPageBreak/>
              <w:t xml:space="preserve">section 273 </w:t>
            </w:r>
          </w:p>
        </w:tc>
        <w:tc>
          <w:tcPr>
            <w:tcW w:w="4920" w:type="dxa"/>
            <w:tcMar>
              <w:top w:w="60" w:type="dxa"/>
              <w:left w:w="0" w:type="dxa"/>
              <w:bottom w:w="0" w:type="dxa"/>
              <w:right w:w="0" w:type="dxa"/>
            </w:tcMar>
          </w:tcPr>
          <w:p w14:paraId="37F12D74" w14:textId="77777777" w:rsidR="00DB6E47" w:rsidRPr="006C3305" w:rsidRDefault="00DB6E47" w:rsidP="00DB6E47">
            <w:pPr>
              <w:pStyle w:val="TableText10"/>
              <w:tabs>
                <w:tab w:val="left" w:pos="84"/>
              </w:tabs>
              <w:ind w:left="98"/>
            </w:pPr>
            <w:r w:rsidRPr="006C3305">
              <w:t>decision of Regulator to grant a work and rest hours exemption (permit) for a period less than the period of not more than 3 years sought by the applicant</w:t>
            </w:r>
          </w:p>
        </w:tc>
      </w:tr>
      <w:tr w:rsidR="00DB6E47" w:rsidRPr="007E1F9A" w14:paraId="08F9C55F" w14:textId="77777777" w:rsidTr="00DB6E47">
        <w:trPr>
          <w:trHeight w:val="820"/>
        </w:trPr>
        <w:tc>
          <w:tcPr>
            <w:tcW w:w="2273" w:type="dxa"/>
            <w:tcMar>
              <w:top w:w="60" w:type="dxa"/>
              <w:left w:w="0" w:type="dxa"/>
              <w:bottom w:w="0" w:type="dxa"/>
              <w:right w:w="0" w:type="dxa"/>
            </w:tcMar>
          </w:tcPr>
          <w:p w14:paraId="7D5A6BD0" w14:textId="77777777" w:rsidR="00DB6E47" w:rsidRPr="005C5B2F" w:rsidRDefault="00DB6E47" w:rsidP="00DB6E47">
            <w:pPr>
              <w:pStyle w:val="TableText10"/>
              <w:tabs>
                <w:tab w:val="left" w:pos="84"/>
              </w:tabs>
              <w:ind w:left="98"/>
            </w:pPr>
            <w:r w:rsidRPr="006C3305">
              <w:t xml:space="preserve">section 276 </w:t>
            </w:r>
          </w:p>
        </w:tc>
        <w:tc>
          <w:tcPr>
            <w:tcW w:w="4920" w:type="dxa"/>
            <w:tcMar>
              <w:top w:w="60" w:type="dxa"/>
              <w:left w:w="0" w:type="dxa"/>
              <w:bottom w:w="0" w:type="dxa"/>
              <w:right w:w="0" w:type="dxa"/>
            </w:tcMar>
          </w:tcPr>
          <w:p w14:paraId="10E7000E" w14:textId="77777777" w:rsidR="00DB6E47" w:rsidRPr="006C3305" w:rsidRDefault="00DB6E47" w:rsidP="00DB6E47">
            <w:pPr>
              <w:pStyle w:val="TableText10"/>
              <w:tabs>
                <w:tab w:val="left" w:pos="84"/>
              </w:tabs>
              <w:ind w:left="98"/>
            </w:pPr>
            <w:r w:rsidRPr="006C3305">
              <w:t>decision of Regulator to impose on a work and rest hours exemption (permit) a condition not sought by the applicant</w:t>
            </w:r>
          </w:p>
        </w:tc>
      </w:tr>
      <w:tr w:rsidR="00DB6E47" w:rsidRPr="007E1F9A" w14:paraId="48F0A706" w14:textId="77777777" w:rsidTr="00DB6E47">
        <w:trPr>
          <w:trHeight w:val="1080"/>
        </w:trPr>
        <w:tc>
          <w:tcPr>
            <w:tcW w:w="2273" w:type="dxa"/>
            <w:tcMar>
              <w:top w:w="60" w:type="dxa"/>
              <w:left w:w="0" w:type="dxa"/>
              <w:bottom w:w="0" w:type="dxa"/>
              <w:right w:w="0" w:type="dxa"/>
            </w:tcMar>
          </w:tcPr>
          <w:p w14:paraId="71158E66" w14:textId="77777777" w:rsidR="00DB6E47" w:rsidRPr="005C5B2F" w:rsidRDefault="00DB6E47" w:rsidP="00DB6E47">
            <w:pPr>
              <w:pStyle w:val="TableText10"/>
              <w:tabs>
                <w:tab w:val="left" w:pos="84"/>
              </w:tabs>
              <w:ind w:left="98"/>
            </w:pPr>
            <w:r w:rsidRPr="006C3305">
              <w:t xml:space="preserve">section 280 </w:t>
            </w:r>
          </w:p>
        </w:tc>
        <w:tc>
          <w:tcPr>
            <w:tcW w:w="4920" w:type="dxa"/>
            <w:tcMar>
              <w:top w:w="60" w:type="dxa"/>
              <w:left w:w="0" w:type="dxa"/>
              <w:bottom w:w="0" w:type="dxa"/>
              <w:right w:w="0" w:type="dxa"/>
            </w:tcMar>
          </w:tcPr>
          <w:p w14:paraId="6304C46E" w14:textId="77777777" w:rsidR="00DB6E47" w:rsidRPr="006C3305" w:rsidRDefault="00DB6E47" w:rsidP="00DB6E47">
            <w:pPr>
              <w:pStyle w:val="TableText10"/>
              <w:tabs>
                <w:tab w:val="left" w:pos="84"/>
              </w:tabs>
              <w:ind w:left="98"/>
            </w:pPr>
            <w:r w:rsidRPr="006C3305">
              <w:t>decision of Regulator not to make a decision sought in an application for the amendment or cancellation of a work and rest hours exemption (permit)</w:t>
            </w:r>
          </w:p>
        </w:tc>
      </w:tr>
      <w:tr w:rsidR="00DB6E47" w:rsidRPr="007E1F9A" w14:paraId="64C143AE" w14:textId="77777777" w:rsidTr="00DB6E47">
        <w:trPr>
          <w:trHeight w:val="560"/>
        </w:trPr>
        <w:tc>
          <w:tcPr>
            <w:tcW w:w="2273" w:type="dxa"/>
            <w:tcMar>
              <w:top w:w="60" w:type="dxa"/>
              <w:left w:w="0" w:type="dxa"/>
              <w:bottom w:w="0" w:type="dxa"/>
              <w:right w:w="0" w:type="dxa"/>
            </w:tcMar>
          </w:tcPr>
          <w:p w14:paraId="53445CB5" w14:textId="77777777" w:rsidR="00DB6E47" w:rsidRPr="005C5B2F" w:rsidRDefault="00DB6E47" w:rsidP="00DB6E47">
            <w:pPr>
              <w:pStyle w:val="TableText10"/>
              <w:tabs>
                <w:tab w:val="left" w:pos="84"/>
              </w:tabs>
              <w:ind w:left="98"/>
            </w:pPr>
            <w:r w:rsidRPr="006C3305">
              <w:t xml:space="preserve">section 281 </w:t>
            </w:r>
          </w:p>
        </w:tc>
        <w:tc>
          <w:tcPr>
            <w:tcW w:w="4920" w:type="dxa"/>
            <w:tcMar>
              <w:top w:w="60" w:type="dxa"/>
              <w:left w:w="0" w:type="dxa"/>
              <w:bottom w:w="0" w:type="dxa"/>
              <w:right w:w="0" w:type="dxa"/>
            </w:tcMar>
          </w:tcPr>
          <w:p w14:paraId="00A56932" w14:textId="77777777" w:rsidR="00DB6E47" w:rsidRPr="006C3305" w:rsidRDefault="00DB6E47" w:rsidP="00DB6E47">
            <w:pPr>
              <w:pStyle w:val="TableText10"/>
              <w:tabs>
                <w:tab w:val="left" w:pos="84"/>
              </w:tabs>
              <w:ind w:left="98"/>
            </w:pPr>
            <w:r w:rsidRPr="006C3305">
              <w:t>decision of Regulator to amend or cancel a work and rest hours exemption (permit)</w:t>
            </w:r>
          </w:p>
        </w:tc>
      </w:tr>
      <w:tr w:rsidR="00DB6E47" w:rsidRPr="007E1F9A" w14:paraId="321C95B8" w14:textId="77777777" w:rsidTr="00DB6E47">
        <w:trPr>
          <w:trHeight w:val="560"/>
        </w:trPr>
        <w:tc>
          <w:tcPr>
            <w:tcW w:w="2273" w:type="dxa"/>
            <w:tcMar>
              <w:top w:w="60" w:type="dxa"/>
              <w:left w:w="0" w:type="dxa"/>
              <w:bottom w:w="0" w:type="dxa"/>
              <w:right w:w="0" w:type="dxa"/>
            </w:tcMar>
          </w:tcPr>
          <w:p w14:paraId="654E63F8" w14:textId="77777777" w:rsidR="00DB6E47" w:rsidRPr="005C5B2F" w:rsidRDefault="00DB6E47" w:rsidP="00DB6E47">
            <w:pPr>
              <w:pStyle w:val="TableText10"/>
              <w:tabs>
                <w:tab w:val="left" w:pos="84"/>
              </w:tabs>
              <w:ind w:left="98"/>
            </w:pPr>
            <w:r w:rsidRPr="006C3305">
              <w:t xml:space="preserve">section 282 </w:t>
            </w:r>
          </w:p>
        </w:tc>
        <w:tc>
          <w:tcPr>
            <w:tcW w:w="4920" w:type="dxa"/>
            <w:tcMar>
              <w:top w:w="60" w:type="dxa"/>
              <w:left w:w="0" w:type="dxa"/>
              <w:bottom w:w="0" w:type="dxa"/>
              <w:right w:w="0" w:type="dxa"/>
            </w:tcMar>
          </w:tcPr>
          <w:p w14:paraId="0B5E0CC5" w14:textId="77777777" w:rsidR="00DB6E47" w:rsidRPr="006C3305" w:rsidRDefault="00DB6E47" w:rsidP="00DB6E47">
            <w:pPr>
              <w:pStyle w:val="TableText10"/>
              <w:tabs>
                <w:tab w:val="left" w:pos="84"/>
              </w:tabs>
              <w:ind w:left="98"/>
            </w:pPr>
            <w:r w:rsidRPr="006C3305">
              <w:t>decision of Regulator to immediately suspend a work and rest hours exemption (permit)</w:t>
            </w:r>
          </w:p>
        </w:tc>
      </w:tr>
      <w:tr w:rsidR="00DB6E47" w:rsidRPr="007E1F9A" w14:paraId="1EEC8EA4" w14:textId="77777777" w:rsidTr="00DB6E47">
        <w:trPr>
          <w:trHeight w:val="820"/>
        </w:trPr>
        <w:tc>
          <w:tcPr>
            <w:tcW w:w="2273" w:type="dxa"/>
            <w:tcMar>
              <w:top w:w="60" w:type="dxa"/>
              <w:left w:w="0" w:type="dxa"/>
              <w:bottom w:w="0" w:type="dxa"/>
              <w:right w:w="0" w:type="dxa"/>
            </w:tcMar>
          </w:tcPr>
          <w:p w14:paraId="0DA87782" w14:textId="77777777" w:rsidR="00DB6E47" w:rsidRPr="005C5B2F" w:rsidRDefault="00DB6E47" w:rsidP="00DB6E47">
            <w:pPr>
              <w:pStyle w:val="TableText10"/>
              <w:tabs>
                <w:tab w:val="left" w:pos="84"/>
              </w:tabs>
              <w:ind w:left="98"/>
            </w:pPr>
            <w:r w:rsidRPr="006C3305">
              <w:t xml:space="preserve">section 285 </w:t>
            </w:r>
          </w:p>
        </w:tc>
        <w:tc>
          <w:tcPr>
            <w:tcW w:w="4920" w:type="dxa"/>
            <w:tcMar>
              <w:top w:w="60" w:type="dxa"/>
              <w:left w:w="0" w:type="dxa"/>
              <w:bottom w:w="0" w:type="dxa"/>
              <w:right w:w="0" w:type="dxa"/>
            </w:tcMar>
          </w:tcPr>
          <w:p w14:paraId="12FD6A88" w14:textId="77777777" w:rsidR="00DB6E47" w:rsidRPr="006C3305" w:rsidRDefault="00DB6E47" w:rsidP="00DB6E47">
            <w:pPr>
              <w:pStyle w:val="TableText10"/>
              <w:tabs>
                <w:tab w:val="left" w:pos="84"/>
              </w:tabs>
              <w:ind w:left="98"/>
            </w:pPr>
            <w:r w:rsidRPr="006C3305">
              <w:t>decision of Regulator not to give a replacement permit for a work and rest hours exemption (permit)</w:t>
            </w:r>
          </w:p>
        </w:tc>
      </w:tr>
      <w:tr w:rsidR="00DB6E47" w:rsidRPr="007E1F9A" w14:paraId="502847C9" w14:textId="77777777" w:rsidTr="00DB6E47">
        <w:trPr>
          <w:trHeight w:val="560"/>
        </w:trPr>
        <w:tc>
          <w:tcPr>
            <w:tcW w:w="2273" w:type="dxa"/>
            <w:tcMar>
              <w:top w:w="60" w:type="dxa"/>
              <w:left w:w="0" w:type="dxa"/>
              <w:bottom w:w="0" w:type="dxa"/>
              <w:right w:w="0" w:type="dxa"/>
            </w:tcMar>
          </w:tcPr>
          <w:p w14:paraId="7428FBFF" w14:textId="77777777" w:rsidR="00DB6E47" w:rsidRPr="005C5B2F" w:rsidRDefault="00DB6E47" w:rsidP="00DB6E47">
            <w:pPr>
              <w:pStyle w:val="TableText10"/>
              <w:tabs>
                <w:tab w:val="left" w:pos="84"/>
              </w:tabs>
              <w:ind w:left="98"/>
            </w:pPr>
            <w:r w:rsidRPr="006C3305">
              <w:t xml:space="preserve">section 343 </w:t>
            </w:r>
          </w:p>
        </w:tc>
        <w:tc>
          <w:tcPr>
            <w:tcW w:w="4920" w:type="dxa"/>
            <w:tcMar>
              <w:top w:w="60" w:type="dxa"/>
              <w:left w:w="0" w:type="dxa"/>
              <w:bottom w:w="0" w:type="dxa"/>
              <w:right w:w="0" w:type="dxa"/>
            </w:tcMar>
          </w:tcPr>
          <w:p w14:paraId="63585E58" w14:textId="77777777" w:rsidR="00DB6E47" w:rsidRPr="006C3305" w:rsidRDefault="00DB6E47" w:rsidP="00DB6E47">
            <w:pPr>
              <w:pStyle w:val="TableText10"/>
              <w:tabs>
                <w:tab w:val="left" w:pos="84"/>
              </w:tabs>
              <w:ind w:left="98"/>
            </w:pPr>
            <w:r w:rsidRPr="006C3305">
              <w:t>decision of Regulator not to grant an electronic recording system approval</w:t>
            </w:r>
          </w:p>
        </w:tc>
      </w:tr>
      <w:tr w:rsidR="00DB6E47" w:rsidRPr="007E1F9A" w14:paraId="07512388" w14:textId="77777777" w:rsidTr="00DB6E47">
        <w:trPr>
          <w:trHeight w:val="820"/>
        </w:trPr>
        <w:tc>
          <w:tcPr>
            <w:tcW w:w="2273" w:type="dxa"/>
            <w:tcMar>
              <w:top w:w="60" w:type="dxa"/>
              <w:left w:w="0" w:type="dxa"/>
              <w:bottom w:w="0" w:type="dxa"/>
              <w:right w:w="0" w:type="dxa"/>
            </w:tcMar>
          </w:tcPr>
          <w:p w14:paraId="3456C07D" w14:textId="77777777" w:rsidR="00DB6E47" w:rsidRPr="005C5B2F" w:rsidRDefault="00DB6E47" w:rsidP="00DB6E47">
            <w:pPr>
              <w:pStyle w:val="TableText10"/>
              <w:tabs>
                <w:tab w:val="left" w:pos="84"/>
              </w:tabs>
              <w:ind w:left="98"/>
            </w:pPr>
            <w:r w:rsidRPr="006C3305">
              <w:t xml:space="preserve">section 343 </w:t>
            </w:r>
          </w:p>
        </w:tc>
        <w:tc>
          <w:tcPr>
            <w:tcW w:w="4920" w:type="dxa"/>
            <w:tcMar>
              <w:top w:w="60" w:type="dxa"/>
              <w:left w:w="0" w:type="dxa"/>
              <w:bottom w:w="0" w:type="dxa"/>
              <w:right w:w="0" w:type="dxa"/>
            </w:tcMar>
          </w:tcPr>
          <w:p w14:paraId="7F234669" w14:textId="77777777" w:rsidR="00DB6E47" w:rsidRPr="006C3305" w:rsidRDefault="00DB6E47" w:rsidP="00DB6E47">
            <w:pPr>
              <w:pStyle w:val="TableText10"/>
              <w:tabs>
                <w:tab w:val="left" w:pos="84"/>
              </w:tabs>
              <w:ind w:left="98"/>
            </w:pPr>
            <w:r w:rsidRPr="006C3305">
              <w:t>decision of Regulator to impose on an electronic recording system approval a condition not sought by the applicant</w:t>
            </w:r>
          </w:p>
        </w:tc>
      </w:tr>
      <w:tr w:rsidR="00DB6E47" w:rsidRPr="007E1F9A" w14:paraId="4B1314E3" w14:textId="77777777" w:rsidTr="00DB6E47">
        <w:trPr>
          <w:trHeight w:val="820"/>
        </w:trPr>
        <w:tc>
          <w:tcPr>
            <w:tcW w:w="2273" w:type="dxa"/>
            <w:tcMar>
              <w:top w:w="60" w:type="dxa"/>
              <w:left w:w="0" w:type="dxa"/>
              <w:bottom w:w="0" w:type="dxa"/>
              <w:right w:w="0" w:type="dxa"/>
            </w:tcMar>
          </w:tcPr>
          <w:p w14:paraId="4ECCD5C6" w14:textId="77777777" w:rsidR="00DB6E47" w:rsidRPr="005C5B2F" w:rsidRDefault="00DB6E47" w:rsidP="00DB6E47">
            <w:pPr>
              <w:pStyle w:val="TableText10"/>
              <w:tabs>
                <w:tab w:val="left" w:pos="84"/>
              </w:tabs>
              <w:ind w:left="98"/>
            </w:pPr>
            <w:r w:rsidRPr="006C3305">
              <w:t xml:space="preserve">section 351 </w:t>
            </w:r>
          </w:p>
        </w:tc>
        <w:tc>
          <w:tcPr>
            <w:tcW w:w="4920" w:type="dxa"/>
            <w:tcMar>
              <w:top w:w="60" w:type="dxa"/>
              <w:left w:w="0" w:type="dxa"/>
              <w:bottom w:w="0" w:type="dxa"/>
              <w:right w:w="0" w:type="dxa"/>
            </w:tcMar>
          </w:tcPr>
          <w:p w14:paraId="2331DDB4" w14:textId="77777777" w:rsidR="00DB6E47" w:rsidRPr="006C3305" w:rsidRDefault="00DB6E47" w:rsidP="00DB6E47">
            <w:pPr>
              <w:pStyle w:val="TableText10"/>
              <w:tabs>
                <w:tab w:val="left" w:pos="84"/>
              </w:tabs>
              <w:ind w:left="98"/>
            </w:pPr>
            <w:r w:rsidRPr="006C3305">
              <w:t>decision of Regulator not to make a decision sought in an application for amendment or cancellation of an electronic recording system approval</w:t>
            </w:r>
          </w:p>
        </w:tc>
      </w:tr>
      <w:tr w:rsidR="00DB6E47" w:rsidRPr="007E1F9A" w14:paraId="01052CE3" w14:textId="77777777" w:rsidTr="00DB6E47">
        <w:trPr>
          <w:trHeight w:val="560"/>
        </w:trPr>
        <w:tc>
          <w:tcPr>
            <w:tcW w:w="2273" w:type="dxa"/>
            <w:tcMar>
              <w:top w:w="60" w:type="dxa"/>
              <w:left w:w="0" w:type="dxa"/>
              <w:bottom w:w="0" w:type="dxa"/>
              <w:right w:w="0" w:type="dxa"/>
            </w:tcMar>
          </w:tcPr>
          <w:p w14:paraId="361521C8" w14:textId="77777777" w:rsidR="00DB6E47" w:rsidRPr="005C5B2F" w:rsidRDefault="00DB6E47" w:rsidP="00DB6E47">
            <w:pPr>
              <w:pStyle w:val="TableText10"/>
              <w:tabs>
                <w:tab w:val="left" w:pos="84"/>
              </w:tabs>
              <w:ind w:left="98"/>
            </w:pPr>
            <w:r w:rsidRPr="006C3305">
              <w:t xml:space="preserve">section 352 </w:t>
            </w:r>
          </w:p>
        </w:tc>
        <w:tc>
          <w:tcPr>
            <w:tcW w:w="4920" w:type="dxa"/>
            <w:tcMar>
              <w:top w:w="60" w:type="dxa"/>
              <w:left w:w="0" w:type="dxa"/>
              <w:bottom w:w="0" w:type="dxa"/>
              <w:right w:w="0" w:type="dxa"/>
            </w:tcMar>
          </w:tcPr>
          <w:p w14:paraId="63BDBCE9" w14:textId="77777777" w:rsidR="00DB6E47" w:rsidRPr="006C3305" w:rsidRDefault="00DB6E47" w:rsidP="00DB6E47">
            <w:pPr>
              <w:pStyle w:val="TableText10"/>
              <w:tabs>
                <w:tab w:val="left" w:pos="84"/>
              </w:tabs>
              <w:ind w:left="98"/>
            </w:pPr>
            <w:r w:rsidRPr="006C3305">
              <w:t>decision of Regulator to amend or cancel an electronic recording system approval</w:t>
            </w:r>
          </w:p>
        </w:tc>
      </w:tr>
      <w:tr w:rsidR="00DB6E47" w:rsidRPr="007E1F9A" w14:paraId="18563656" w14:textId="77777777" w:rsidTr="00DB6E47">
        <w:trPr>
          <w:trHeight w:val="560"/>
        </w:trPr>
        <w:tc>
          <w:tcPr>
            <w:tcW w:w="2273" w:type="dxa"/>
            <w:tcMar>
              <w:top w:w="60" w:type="dxa"/>
              <w:left w:w="0" w:type="dxa"/>
              <w:bottom w:w="0" w:type="dxa"/>
              <w:right w:w="0" w:type="dxa"/>
            </w:tcMar>
          </w:tcPr>
          <w:p w14:paraId="3E97A5B4" w14:textId="77777777" w:rsidR="00DB6E47" w:rsidRPr="005C5B2F" w:rsidRDefault="00DB6E47" w:rsidP="00DB6E47">
            <w:pPr>
              <w:pStyle w:val="TableText10"/>
              <w:tabs>
                <w:tab w:val="left" w:pos="84"/>
              </w:tabs>
              <w:ind w:left="98"/>
            </w:pPr>
            <w:r w:rsidRPr="006C3305">
              <w:t xml:space="preserve">section 363 </w:t>
            </w:r>
          </w:p>
        </w:tc>
        <w:tc>
          <w:tcPr>
            <w:tcW w:w="4920" w:type="dxa"/>
            <w:tcMar>
              <w:top w:w="60" w:type="dxa"/>
              <w:left w:w="0" w:type="dxa"/>
              <w:bottom w:w="0" w:type="dxa"/>
              <w:right w:w="0" w:type="dxa"/>
            </w:tcMar>
          </w:tcPr>
          <w:p w14:paraId="5ABCCECB" w14:textId="77777777" w:rsidR="00DB6E47" w:rsidRPr="006C3305" w:rsidRDefault="00DB6E47" w:rsidP="00DB6E47">
            <w:pPr>
              <w:pStyle w:val="TableText10"/>
              <w:tabs>
                <w:tab w:val="left" w:pos="84"/>
              </w:tabs>
              <w:ind w:left="98"/>
            </w:pPr>
            <w:r w:rsidRPr="006C3305">
              <w:t>decision of Regulator not to grant a work diary exemption (permit)</w:t>
            </w:r>
          </w:p>
        </w:tc>
      </w:tr>
      <w:tr w:rsidR="00DB6E47" w:rsidRPr="007E1F9A" w14:paraId="7376CDEA" w14:textId="77777777" w:rsidTr="00DB6E47">
        <w:trPr>
          <w:trHeight w:val="820"/>
        </w:trPr>
        <w:tc>
          <w:tcPr>
            <w:tcW w:w="2273" w:type="dxa"/>
            <w:tcMar>
              <w:top w:w="60" w:type="dxa"/>
              <w:left w:w="0" w:type="dxa"/>
              <w:bottom w:w="0" w:type="dxa"/>
              <w:right w:w="0" w:type="dxa"/>
            </w:tcMar>
          </w:tcPr>
          <w:p w14:paraId="3E6F4CFF" w14:textId="77777777" w:rsidR="00DB6E47" w:rsidRPr="005C5B2F" w:rsidRDefault="00DB6E47" w:rsidP="00DB6E47">
            <w:pPr>
              <w:pStyle w:val="TableText10"/>
              <w:tabs>
                <w:tab w:val="left" w:pos="84"/>
              </w:tabs>
              <w:ind w:left="98"/>
            </w:pPr>
            <w:r w:rsidRPr="006C3305">
              <w:lastRenderedPageBreak/>
              <w:t xml:space="preserve">section 363 </w:t>
            </w:r>
          </w:p>
        </w:tc>
        <w:tc>
          <w:tcPr>
            <w:tcW w:w="4920" w:type="dxa"/>
            <w:tcMar>
              <w:top w:w="60" w:type="dxa"/>
              <w:left w:w="0" w:type="dxa"/>
              <w:bottom w:w="0" w:type="dxa"/>
              <w:right w:w="0" w:type="dxa"/>
            </w:tcMar>
          </w:tcPr>
          <w:p w14:paraId="4EE99E9D" w14:textId="77777777" w:rsidR="00DB6E47" w:rsidRPr="006C3305" w:rsidRDefault="00DB6E47" w:rsidP="00DB6E47">
            <w:pPr>
              <w:pStyle w:val="TableText10"/>
              <w:tabs>
                <w:tab w:val="left" w:pos="84"/>
              </w:tabs>
              <w:ind w:left="98"/>
            </w:pPr>
            <w:r w:rsidRPr="006C3305">
              <w:t>decision of Regulator to grant a work diary exemption (permit) for a period less than the period of not more than 3 years sought by the applicant</w:t>
            </w:r>
          </w:p>
        </w:tc>
      </w:tr>
      <w:tr w:rsidR="00DB6E47" w:rsidRPr="007E1F9A" w14:paraId="0383910A" w14:textId="77777777" w:rsidTr="00DB6E47">
        <w:trPr>
          <w:trHeight w:val="820"/>
        </w:trPr>
        <w:tc>
          <w:tcPr>
            <w:tcW w:w="2273" w:type="dxa"/>
            <w:tcMar>
              <w:top w:w="60" w:type="dxa"/>
              <w:left w:w="0" w:type="dxa"/>
              <w:bottom w:w="0" w:type="dxa"/>
              <w:right w:w="0" w:type="dxa"/>
            </w:tcMar>
          </w:tcPr>
          <w:p w14:paraId="2FC684E4" w14:textId="77777777" w:rsidR="00DB6E47" w:rsidRPr="005C5B2F" w:rsidRDefault="00DB6E47" w:rsidP="00DB6E47">
            <w:pPr>
              <w:pStyle w:val="TableText10"/>
              <w:tabs>
                <w:tab w:val="left" w:pos="84"/>
              </w:tabs>
              <w:ind w:left="98"/>
            </w:pPr>
            <w:r w:rsidRPr="006C3305">
              <w:t xml:space="preserve">section 366 </w:t>
            </w:r>
          </w:p>
        </w:tc>
        <w:tc>
          <w:tcPr>
            <w:tcW w:w="4920" w:type="dxa"/>
            <w:tcMar>
              <w:top w:w="60" w:type="dxa"/>
              <w:left w:w="0" w:type="dxa"/>
              <w:bottom w:w="0" w:type="dxa"/>
              <w:right w:w="0" w:type="dxa"/>
            </w:tcMar>
          </w:tcPr>
          <w:p w14:paraId="6DE4F478" w14:textId="77777777" w:rsidR="00DB6E47" w:rsidRPr="006C3305" w:rsidRDefault="00DB6E47" w:rsidP="00DB6E47">
            <w:pPr>
              <w:pStyle w:val="TableText10"/>
              <w:tabs>
                <w:tab w:val="left" w:pos="84"/>
              </w:tabs>
              <w:ind w:left="98"/>
            </w:pPr>
            <w:r w:rsidRPr="006C3305">
              <w:t>decision of Regulator to impose on a work diary exemption (permit) a condition not sought by the applicant</w:t>
            </w:r>
          </w:p>
        </w:tc>
      </w:tr>
      <w:tr w:rsidR="00DB6E47" w:rsidRPr="007E1F9A" w14:paraId="548DD66C" w14:textId="77777777" w:rsidTr="00DB6E47">
        <w:trPr>
          <w:trHeight w:val="820"/>
        </w:trPr>
        <w:tc>
          <w:tcPr>
            <w:tcW w:w="2273" w:type="dxa"/>
            <w:tcMar>
              <w:top w:w="60" w:type="dxa"/>
              <w:left w:w="0" w:type="dxa"/>
              <w:bottom w:w="0" w:type="dxa"/>
              <w:right w:w="0" w:type="dxa"/>
            </w:tcMar>
          </w:tcPr>
          <w:p w14:paraId="695FE068" w14:textId="77777777" w:rsidR="00DB6E47" w:rsidRPr="005C5B2F" w:rsidRDefault="00DB6E47" w:rsidP="00DB6E47">
            <w:pPr>
              <w:pStyle w:val="TableText10"/>
              <w:tabs>
                <w:tab w:val="left" w:pos="84"/>
              </w:tabs>
              <w:ind w:left="98"/>
            </w:pPr>
            <w:r w:rsidRPr="006C3305">
              <w:t xml:space="preserve">section 370 </w:t>
            </w:r>
          </w:p>
        </w:tc>
        <w:tc>
          <w:tcPr>
            <w:tcW w:w="4920" w:type="dxa"/>
            <w:tcMar>
              <w:top w:w="60" w:type="dxa"/>
              <w:left w:w="0" w:type="dxa"/>
              <w:bottom w:w="0" w:type="dxa"/>
              <w:right w:w="0" w:type="dxa"/>
            </w:tcMar>
          </w:tcPr>
          <w:p w14:paraId="1E30E354" w14:textId="77777777" w:rsidR="00DB6E47" w:rsidRPr="006C3305" w:rsidRDefault="00DB6E47" w:rsidP="00DB6E47">
            <w:pPr>
              <w:pStyle w:val="TableText10"/>
              <w:tabs>
                <w:tab w:val="left" w:pos="84"/>
              </w:tabs>
              <w:ind w:left="98"/>
            </w:pPr>
            <w:r w:rsidRPr="006C3305">
              <w:t>decision of Regulator not to make a decision sought in an application for the amendment or cancellation of a work exemption (permit)</w:t>
            </w:r>
          </w:p>
        </w:tc>
      </w:tr>
      <w:tr w:rsidR="00DB6E47" w:rsidRPr="007E1F9A" w14:paraId="64540A8D" w14:textId="77777777" w:rsidTr="00DB6E47">
        <w:trPr>
          <w:trHeight w:val="560"/>
        </w:trPr>
        <w:tc>
          <w:tcPr>
            <w:tcW w:w="2273" w:type="dxa"/>
            <w:tcMar>
              <w:top w:w="60" w:type="dxa"/>
              <w:left w:w="0" w:type="dxa"/>
              <w:bottom w:w="0" w:type="dxa"/>
              <w:right w:w="0" w:type="dxa"/>
            </w:tcMar>
          </w:tcPr>
          <w:p w14:paraId="6067BCF5" w14:textId="77777777" w:rsidR="00DB6E47" w:rsidRPr="005C5B2F" w:rsidRDefault="00DB6E47" w:rsidP="00DB6E47">
            <w:pPr>
              <w:pStyle w:val="TableText10"/>
              <w:tabs>
                <w:tab w:val="left" w:pos="84"/>
              </w:tabs>
              <w:ind w:left="98"/>
            </w:pPr>
            <w:r w:rsidRPr="006C3305">
              <w:t xml:space="preserve">section 371 </w:t>
            </w:r>
          </w:p>
        </w:tc>
        <w:tc>
          <w:tcPr>
            <w:tcW w:w="4920" w:type="dxa"/>
            <w:tcMar>
              <w:top w:w="60" w:type="dxa"/>
              <w:left w:w="0" w:type="dxa"/>
              <w:bottom w:w="0" w:type="dxa"/>
              <w:right w:w="0" w:type="dxa"/>
            </w:tcMar>
          </w:tcPr>
          <w:p w14:paraId="06C8E709" w14:textId="77777777" w:rsidR="00DB6E47" w:rsidRPr="006C3305" w:rsidRDefault="00DB6E47" w:rsidP="00DB6E47">
            <w:pPr>
              <w:pStyle w:val="TableText10"/>
              <w:tabs>
                <w:tab w:val="left" w:pos="84"/>
              </w:tabs>
              <w:ind w:left="98"/>
            </w:pPr>
            <w:r w:rsidRPr="006C3305">
              <w:t>decision of Regulator to amend or cancel a work diary exemption (permit)</w:t>
            </w:r>
          </w:p>
        </w:tc>
      </w:tr>
      <w:tr w:rsidR="00DB6E47" w:rsidRPr="007E1F9A" w14:paraId="479DED3A" w14:textId="77777777" w:rsidTr="00DB6E47">
        <w:trPr>
          <w:trHeight w:val="560"/>
        </w:trPr>
        <w:tc>
          <w:tcPr>
            <w:tcW w:w="2273" w:type="dxa"/>
            <w:tcMar>
              <w:top w:w="60" w:type="dxa"/>
              <w:left w:w="0" w:type="dxa"/>
              <w:bottom w:w="0" w:type="dxa"/>
              <w:right w:w="0" w:type="dxa"/>
            </w:tcMar>
          </w:tcPr>
          <w:p w14:paraId="0725AB9A" w14:textId="77777777" w:rsidR="00DB6E47" w:rsidRPr="005C5B2F" w:rsidRDefault="00DB6E47" w:rsidP="00DB6E47">
            <w:pPr>
              <w:pStyle w:val="TableText10"/>
              <w:tabs>
                <w:tab w:val="left" w:pos="84"/>
              </w:tabs>
              <w:ind w:left="98"/>
            </w:pPr>
            <w:r w:rsidRPr="006C3305">
              <w:t xml:space="preserve">section 374 </w:t>
            </w:r>
          </w:p>
        </w:tc>
        <w:tc>
          <w:tcPr>
            <w:tcW w:w="4920" w:type="dxa"/>
            <w:tcMar>
              <w:top w:w="60" w:type="dxa"/>
              <w:left w:w="0" w:type="dxa"/>
              <w:bottom w:w="0" w:type="dxa"/>
              <w:right w:w="0" w:type="dxa"/>
            </w:tcMar>
          </w:tcPr>
          <w:p w14:paraId="4B34E765" w14:textId="77777777" w:rsidR="00DB6E47" w:rsidRPr="006C3305" w:rsidRDefault="00DB6E47" w:rsidP="00DB6E47">
            <w:pPr>
              <w:pStyle w:val="TableText10"/>
              <w:tabs>
                <w:tab w:val="left" w:pos="84"/>
              </w:tabs>
              <w:ind w:left="98"/>
            </w:pPr>
            <w:r w:rsidRPr="006C3305">
              <w:t>decision of Regulator not to give a replacement permit for work diary exemption (permit)</w:t>
            </w:r>
          </w:p>
        </w:tc>
      </w:tr>
      <w:tr w:rsidR="00DB6E47" w:rsidRPr="007E1F9A" w14:paraId="48E4D0AB" w14:textId="77777777" w:rsidTr="00DB6E47">
        <w:trPr>
          <w:trHeight w:val="560"/>
        </w:trPr>
        <w:tc>
          <w:tcPr>
            <w:tcW w:w="2273" w:type="dxa"/>
            <w:tcMar>
              <w:top w:w="60" w:type="dxa"/>
              <w:left w:w="0" w:type="dxa"/>
              <w:bottom w:w="0" w:type="dxa"/>
              <w:right w:w="0" w:type="dxa"/>
            </w:tcMar>
          </w:tcPr>
          <w:p w14:paraId="10A29441" w14:textId="77777777" w:rsidR="00DB6E47" w:rsidRPr="005C5B2F" w:rsidRDefault="00DB6E47" w:rsidP="00DB6E47">
            <w:pPr>
              <w:pStyle w:val="TableText10"/>
              <w:tabs>
                <w:tab w:val="left" w:pos="84"/>
              </w:tabs>
              <w:ind w:left="98"/>
            </w:pPr>
            <w:r w:rsidRPr="006C3305">
              <w:t>section 379</w:t>
            </w:r>
          </w:p>
        </w:tc>
        <w:tc>
          <w:tcPr>
            <w:tcW w:w="4920" w:type="dxa"/>
            <w:tcMar>
              <w:top w:w="60" w:type="dxa"/>
              <w:left w:w="0" w:type="dxa"/>
              <w:bottom w:w="0" w:type="dxa"/>
              <w:right w:w="0" w:type="dxa"/>
            </w:tcMar>
          </w:tcPr>
          <w:p w14:paraId="481E2E58" w14:textId="77777777" w:rsidR="00DB6E47" w:rsidRPr="006C3305" w:rsidRDefault="00DB6E47" w:rsidP="00DB6E47">
            <w:pPr>
              <w:pStyle w:val="TableText10"/>
              <w:tabs>
                <w:tab w:val="left" w:pos="84"/>
              </w:tabs>
              <w:ind w:left="98"/>
            </w:pPr>
            <w:r w:rsidRPr="006C3305">
              <w:t>decision of Regulator to impose a condition on a fatigue record keeping exemption (notice)</w:t>
            </w:r>
          </w:p>
        </w:tc>
      </w:tr>
      <w:tr w:rsidR="00DB6E47" w:rsidRPr="007E1F9A" w14:paraId="2A2E3044" w14:textId="77777777" w:rsidTr="00DB6E47">
        <w:trPr>
          <w:trHeight w:val="820"/>
        </w:trPr>
        <w:tc>
          <w:tcPr>
            <w:tcW w:w="2273" w:type="dxa"/>
            <w:tcMar>
              <w:top w:w="60" w:type="dxa"/>
              <w:left w:w="0" w:type="dxa"/>
              <w:bottom w:w="0" w:type="dxa"/>
              <w:right w:w="0" w:type="dxa"/>
            </w:tcMar>
          </w:tcPr>
          <w:p w14:paraId="0D25FCC7" w14:textId="77777777" w:rsidR="00DB6E47" w:rsidRPr="005C5B2F" w:rsidRDefault="00DB6E47" w:rsidP="00DB6E47">
            <w:pPr>
              <w:pStyle w:val="TableText10"/>
              <w:tabs>
                <w:tab w:val="left" w:pos="84"/>
              </w:tabs>
              <w:ind w:left="98"/>
            </w:pPr>
            <w:r w:rsidRPr="006C3305">
              <w:t>section 383</w:t>
            </w:r>
          </w:p>
        </w:tc>
        <w:tc>
          <w:tcPr>
            <w:tcW w:w="4920" w:type="dxa"/>
            <w:tcMar>
              <w:top w:w="60" w:type="dxa"/>
              <w:left w:w="0" w:type="dxa"/>
              <w:bottom w:w="0" w:type="dxa"/>
              <w:right w:w="0" w:type="dxa"/>
            </w:tcMar>
          </w:tcPr>
          <w:p w14:paraId="055F0ACE" w14:textId="77777777" w:rsidR="00DB6E47" w:rsidRPr="006C3305" w:rsidRDefault="00DB6E47" w:rsidP="00DB6E47">
            <w:pPr>
              <w:pStyle w:val="TableText10"/>
              <w:tabs>
                <w:tab w:val="left" w:pos="84"/>
              </w:tabs>
              <w:ind w:left="98"/>
            </w:pPr>
            <w:r w:rsidRPr="006C3305">
              <w:t xml:space="preserve">decision of Regulator to grant a fatigue record keeping exemption (permit) in a way that does not cover all the drivers sought by the applicant </w:t>
            </w:r>
          </w:p>
        </w:tc>
      </w:tr>
      <w:tr w:rsidR="00DB6E47" w:rsidRPr="007E1F9A" w14:paraId="6DC9D636" w14:textId="77777777" w:rsidTr="00DB6E47">
        <w:trPr>
          <w:trHeight w:val="820"/>
        </w:trPr>
        <w:tc>
          <w:tcPr>
            <w:tcW w:w="2273" w:type="dxa"/>
            <w:tcMar>
              <w:top w:w="60" w:type="dxa"/>
              <w:left w:w="0" w:type="dxa"/>
              <w:bottom w:w="0" w:type="dxa"/>
              <w:right w:w="0" w:type="dxa"/>
            </w:tcMar>
          </w:tcPr>
          <w:p w14:paraId="48FE79B8" w14:textId="77777777" w:rsidR="00DB6E47" w:rsidRPr="005C5B2F" w:rsidRDefault="00DB6E47" w:rsidP="00DB6E47">
            <w:pPr>
              <w:pStyle w:val="TableText10"/>
              <w:tabs>
                <w:tab w:val="left" w:pos="84"/>
              </w:tabs>
              <w:ind w:left="98"/>
            </w:pPr>
            <w:r w:rsidRPr="006C3305">
              <w:t>section 383</w:t>
            </w:r>
          </w:p>
        </w:tc>
        <w:tc>
          <w:tcPr>
            <w:tcW w:w="4920" w:type="dxa"/>
            <w:tcMar>
              <w:top w:w="60" w:type="dxa"/>
              <w:left w:w="0" w:type="dxa"/>
              <w:bottom w:w="0" w:type="dxa"/>
              <w:right w:w="0" w:type="dxa"/>
            </w:tcMar>
          </w:tcPr>
          <w:p w14:paraId="65905997" w14:textId="77777777" w:rsidR="00DB6E47" w:rsidRPr="006C3305" w:rsidRDefault="00DB6E47" w:rsidP="00DB6E47">
            <w:pPr>
              <w:pStyle w:val="TableText10"/>
              <w:tabs>
                <w:tab w:val="left" w:pos="84"/>
              </w:tabs>
              <w:ind w:left="98"/>
            </w:pPr>
            <w:r w:rsidRPr="006C3305">
              <w:t>decision of Regulator to grant a fatigue record keeping exemption (permit) setting conditions different from those sought by the applicant</w:t>
            </w:r>
          </w:p>
        </w:tc>
      </w:tr>
      <w:tr w:rsidR="00DB6E47" w:rsidRPr="007E1F9A" w14:paraId="4C097BAA" w14:textId="77777777" w:rsidTr="00DB6E47">
        <w:trPr>
          <w:trHeight w:val="560"/>
        </w:trPr>
        <w:tc>
          <w:tcPr>
            <w:tcW w:w="2273" w:type="dxa"/>
            <w:tcMar>
              <w:top w:w="60" w:type="dxa"/>
              <w:left w:w="0" w:type="dxa"/>
              <w:bottom w:w="0" w:type="dxa"/>
              <w:right w:w="0" w:type="dxa"/>
            </w:tcMar>
          </w:tcPr>
          <w:p w14:paraId="732BC615" w14:textId="77777777" w:rsidR="00DB6E47" w:rsidRPr="005C5B2F" w:rsidRDefault="00DB6E47" w:rsidP="00DB6E47">
            <w:pPr>
              <w:pStyle w:val="TableText10"/>
              <w:tabs>
                <w:tab w:val="left" w:pos="84"/>
              </w:tabs>
              <w:ind w:left="98"/>
            </w:pPr>
            <w:r w:rsidRPr="006C3305">
              <w:t>section 385</w:t>
            </w:r>
          </w:p>
        </w:tc>
        <w:tc>
          <w:tcPr>
            <w:tcW w:w="4920" w:type="dxa"/>
            <w:tcMar>
              <w:top w:w="60" w:type="dxa"/>
              <w:left w:w="0" w:type="dxa"/>
              <w:bottom w:w="0" w:type="dxa"/>
              <w:right w:w="0" w:type="dxa"/>
            </w:tcMar>
          </w:tcPr>
          <w:p w14:paraId="715B0631" w14:textId="77777777" w:rsidR="00DB6E47" w:rsidRPr="006C3305" w:rsidRDefault="00DB6E47" w:rsidP="00DB6E47">
            <w:pPr>
              <w:pStyle w:val="TableText10"/>
              <w:tabs>
                <w:tab w:val="left" w:pos="84"/>
              </w:tabs>
              <w:ind w:left="98"/>
            </w:pPr>
            <w:r w:rsidRPr="006C3305">
              <w:t>decision of Regulator to impose a condition on a fatigue record keeping exemption (permit)</w:t>
            </w:r>
          </w:p>
        </w:tc>
      </w:tr>
      <w:tr w:rsidR="00DB6E47" w:rsidRPr="007E1F9A" w14:paraId="6903CF87" w14:textId="77777777" w:rsidTr="00DB6E47">
        <w:trPr>
          <w:trHeight w:val="1080"/>
        </w:trPr>
        <w:tc>
          <w:tcPr>
            <w:tcW w:w="2273" w:type="dxa"/>
            <w:tcMar>
              <w:top w:w="60" w:type="dxa"/>
              <w:left w:w="0" w:type="dxa"/>
              <w:bottom w:w="0" w:type="dxa"/>
              <w:right w:w="0" w:type="dxa"/>
            </w:tcMar>
          </w:tcPr>
          <w:p w14:paraId="22D9F7F6" w14:textId="77777777" w:rsidR="00DB6E47" w:rsidRPr="005C5B2F" w:rsidRDefault="00DB6E47" w:rsidP="00DB6E47">
            <w:pPr>
              <w:pStyle w:val="TableText10"/>
              <w:tabs>
                <w:tab w:val="left" w:pos="84"/>
              </w:tabs>
              <w:ind w:left="98"/>
            </w:pPr>
            <w:r w:rsidRPr="006C3305">
              <w:t>section 387</w:t>
            </w:r>
          </w:p>
        </w:tc>
        <w:tc>
          <w:tcPr>
            <w:tcW w:w="4920" w:type="dxa"/>
            <w:tcMar>
              <w:top w:w="60" w:type="dxa"/>
              <w:left w:w="0" w:type="dxa"/>
              <w:bottom w:w="0" w:type="dxa"/>
              <w:right w:w="0" w:type="dxa"/>
            </w:tcMar>
          </w:tcPr>
          <w:p w14:paraId="1F0A4B9F" w14:textId="77777777" w:rsidR="00DB6E47" w:rsidRPr="006C3305" w:rsidRDefault="00DB6E47" w:rsidP="00DB6E47">
            <w:pPr>
              <w:pStyle w:val="TableText10"/>
              <w:tabs>
                <w:tab w:val="left" w:pos="84"/>
              </w:tabs>
              <w:ind w:left="98"/>
            </w:pPr>
            <w:r w:rsidRPr="006C3305">
              <w:t>decision of Regulator to give a fatigue record keeping exemption (permit) for a period less than the period of not more than 3 years sought by the applicant</w:t>
            </w:r>
          </w:p>
        </w:tc>
      </w:tr>
      <w:tr w:rsidR="00DB6E47" w:rsidRPr="007E1F9A" w14:paraId="2F5D9BF0" w14:textId="77777777" w:rsidTr="00DB6E47">
        <w:trPr>
          <w:trHeight w:val="560"/>
        </w:trPr>
        <w:tc>
          <w:tcPr>
            <w:tcW w:w="2273" w:type="dxa"/>
            <w:tcMar>
              <w:top w:w="60" w:type="dxa"/>
              <w:left w:w="0" w:type="dxa"/>
              <w:bottom w:w="0" w:type="dxa"/>
              <w:right w:w="0" w:type="dxa"/>
            </w:tcMar>
          </w:tcPr>
          <w:p w14:paraId="523D53CB" w14:textId="77777777" w:rsidR="00DB6E47" w:rsidRPr="005C5B2F" w:rsidRDefault="00DB6E47" w:rsidP="00DB6E47">
            <w:pPr>
              <w:pStyle w:val="TableText10"/>
              <w:tabs>
                <w:tab w:val="left" w:pos="84"/>
              </w:tabs>
              <w:ind w:left="98"/>
            </w:pPr>
            <w:r w:rsidRPr="006C3305">
              <w:t>section 388</w:t>
            </w:r>
          </w:p>
        </w:tc>
        <w:tc>
          <w:tcPr>
            <w:tcW w:w="4920" w:type="dxa"/>
            <w:tcMar>
              <w:top w:w="60" w:type="dxa"/>
              <w:left w:w="0" w:type="dxa"/>
              <w:bottom w:w="0" w:type="dxa"/>
              <w:right w:w="0" w:type="dxa"/>
            </w:tcMar>
          </w:tcPr>
          <w:p w14:paraId="15C48637" w14:textId="77777777" w:rsidR="00DB6E47" w:rsidRPr="006C3305" w:rsidRDefault="00DB6E47" w:rsidP="00DB6E47">
            <w:pPr>
              <w:pStyle w:val="TableText10"/>
              <w:tabs>
                <w:tab w:val="left" w:pos="84"/>
              </w:tabs>
              <w:ind w:left="98"/>
            </w:pPr>
            <w:r w:rsidRPr="006C3305">
              <w:t xml:space="preserve">decision of Regulator not to grant a fatigue record keeping exemption (permit) </w:t>
            </w:r>
          </w:p>
        </w:tc>
      </w:tr>
      <w:tr w:rsidR="00DB6E47" w:rsidRPr="007E1F9A" w14:paraId="3601075B" w14:textId="77777777" w:rsidTr="00DB6E47">
        <w:trPr>
          <w:trHeight w:val="1080"/>
        </w:trPr>
        <w:tc>
          <w:tcPr>
            <w:tcW w:w="2273" w:type="dxa"/>
            <w:tcMar>
              <w:top w:w="60" w:type="dxa"/>
              <w:left w:w="0" w:type="dxa"/>
              <w:bottom w:w="0" w:type="dxa"/>
              <w:right w:w="0" w:type="dxa"/>
            </w:tcMar>
          </w:tcPr>
          <w:p w14:paraId="35340341" w14:textId="77777777" w:rsidR="00DB6E47" w:rsidRPr="005C5B2F" w:rsidRDefault="00DB6E47" w:rsidP="00DB6E47">
            <w:pPr>
              <w:pStyle w:val="TableText10"/>
              <w:tabs>
                <w:tab w:val="left" w:pos="84"/>
              </w:tabs>
              <w:ind w:left="98"/>
            </w:pPr>
            <w:r w:rsidRPr="006C3305">
              <w:lastRenderedPageBreak/>
              <w:t>section 389</w:t>
            </w:r>
          </w:p>
        </w:tc>
        <w:tc>
          <w:tcPr>
            <w:tcW w:w="4920" w:type="dxa"/>
            <w:tcMar>
              <w:top w:w="60" w:type="dxa"/>
              <w:left w:w="0" w:type="dxa"/>
              <w:bottom w:w="0" w:type="dxa"/>
              <w:right w:w="0" w:type="dxa"/>
            </w:tcMar>
          </w:tcPr>
          <w:p w14:paraId="276DAFE1" w14:textId="77777777" w:rsidR="00DB6E47" w:rsidRPr="006C3305" w:rsidRDefault="00DB6E47" w:rsidP="00DB6E47">
            <w:pPr>
              <w:pStyle w:val="TableText10"/>
              <w:tabs>
                <w:tab w:val="left" w:pos="84"/>
              </w:tabs>
              <w:ind w:left="98"/>
            </w:pPr>
            <w:r w:rsidRPr="006C3305">
              <w:t>decision of Regulator not to make a decision sought in an application for amendment or cancellation of a fatigue record keeping exemption (permit)</w:t>
            </w:r>
          </w:p>
        </w:tc>
      </w:tr>
      <w:tr w:rsidR="00DB6E47" w:rsidRPr="007E1F9A" w14:paraId="58806369" w14:textId="77777777" w:rsidTr="00DB6E47">
        <w:trPr>
          <w:trHeight w:val="560"/>
        </w:trPr>
        <w:tc>
          <w:tcPr>
            <w:tcW w:w="2273" w:type="dxa"/>
            <w:tcMar>
              <w:top w:w="60" w:type="dxa"/>
              <w:left w:w="0" w:type="dxa"/>
              <w:bottom w:w="0" w:type="dxa"/>
              <w:right w:w="0" w:type="dxa"/>
            </w:tcMar>
          </w:tcPr>
          <w:p w14:paraId="608405DF" w14:textId="77777777" w:rsidR="00DB6E47" w:rsidRPr="005C5B2F" w:rsidRDefault="00DB6E47" w:rsidP="00DB6E47">
            <w:pPr>
              <w:pStyle w:val="TableText10"/>
              <w:tabs>
                <w:tab w:val="left" w:pos="84"/>
              </w:tabs>
              <w:ind w:left="98"/>
            </w:pPr>
            <w:r w:rsidRPr="006C3305">
              <w:t>section 390</w:t>
            </w:r>
          </w:p>
        </w:tc>
        <w:tc>
          <w:tcPr>
            <w:tcW w:w="4920" w:type="dxa"/>
            <w:tcMar>
              <w:top w:w="60" w:type="dxa"/>
              <w:left w:w="0" w:type="dxa"/>
              <w:bottom w:w="0" w:type="dxa"/>
              <w:right w:w="0" w:type="dxa"/>
            </w:tcMar>
          </w:tcPr>
          <w:p w14:paraId="43E237B8" w14:textId="77777777" w:rsidR="00DB6E47" w:rsidRPr="006C3305" w:rsidRDefault="00DB6E47" w:rsidP="00DB6E47">
            <w:pPr>
              <w:pStyle w:val="TableText10"/>
              <w:tabs>
                <w:tab w:val="left" w:pos="84"/>
              </w:tabs>
              <w:ind w:left="98"/>
            </w:pPr>
            <w:r w:rsidRPr="006C3305">
              <w:t>decision of Regulator to amend or cancel a fatigue record keeping exemption (permit)</w:t>
            </w:r>
          </w:p>
        </w:tc>
      </w:tr>
      <w:tr w:rsidR="00DB6E47" w:rsidRPr="007E1F9A" w14:paraId="4EEF1E76" w14:textId="77777777" w:rsidTr="00DB6E47">
        <w:trPr>
          <w:trHeight w:val="560"/>
        </w:trPr>
        <w:tc>
          <w:tcPr>
            <w:tcW w:w="2273" w:type="dxa"/>
            <w:tcMar>
              <w:top w:w="60" w:type="dxa"/>
              <w:left w:w="0" w:type="dxa"/>
              <w:bottom w:w="0" w:type="dxa"/>
              <w:right w:w="0" w:type="dxa"/>
            </w:tcMar>
          </w:tcPr>
          <w:p w14:paraId="50729D9E" w14:textId="77777777" w:rsidR="00DB6E47" w:rsidRPr="005C5B2F" w:rsidRDefault="00DB6E47" w:rsidP="00DB6E47">
            <w:pPr>
              <w:pStyle w:val="TableText10"/>
              <w:tabs>
                <w:tab w:val="left" w:pos="84"/>
              </w:tabs>
              <w:ind w:left="98"/>
            </w:pPr>
            <w:r w:rsidRPr="006C3305">
              <w:t>section 393</w:t>
            </w:r>
          </w:p>
        </w:tc>
        <w:tc>
          <w:tcPr>
            <w:tcW w:w="4920" w:type="dxa"/>
            <w:tcMar>
              <w:top w:w="60" w:type="dxa"/>
              <w:left w:w="0" w:type="dxa"/>
              <w:bottom w:w="0" w:type="dxa"/>
              <w:right w:w="0" w:type="dxa"/>
            </w:tcMar>
          </w:tcPr>
          <w:p w14:paraId="58159482" w14:textId="77777777" w:rsidR="00DB6E47" w:rsidRPr="006C3305" w:rsidRDefault="00DB6E47" w:rsidP="00DB6E47">
            <w:pPr>
              <w:pStyle w:val="TableText10"/>
              <w:tabs>
                <w:tab w:val="left" w:pos="84"/>
              </w:tabs>
              <w:ind w:left="98"/>
            </w:pPr>
            <w:r w:rsidRPr="006C3305">
              <w:t>decision of Regulator not to give a replacement fatigue record keeping exemption permit</w:t>
            </w:r>
          </w:p>
        </w:tc>
      </w:tr>
      <w:tr w:rsidR="00DB6E47" w:rsidRPr="007E1F9A" w14:paraId="0EE78F89" w14:textId="77777777" w:rsidTr="00DB6E47">
        <w:trPr>
          <w:trHeight w:val="560"/>
        </w:trPr>
        <w:tc>
          <w:tcPr>
            <w:tcW w:w="2273" w:type="dxa"/>
            <w:tcMar>
              <w:top w:w="60" w:type="dxa"/>
              <w:left w:w="0" w:type="dxa"/>
              <w:bottom w:w="0" w:type="dxa"/>
              <w:right w:w="0" w:type="dxa"/>
            </w:tcMar>
          </w:tcPr>
          <w:p w14:paraId="46706989" w14:textId="77777777" w:rsidR="00DB6E47" w:rsidRPr="005C5B2F" w:rsidRDefault="00DB6E47" w:rsidP="00DB6E47">
            <w:pPr>
              <w:pStyle w:val="TableText10"/>
              <w:tabs>
                <w:tab w:val="left" w:pos="84"/>
              </w:tabs>
              <w:ind w:left="98"/>
            </w:pPr>
            <w:r w:rsidRPr="006C3305">
              <w:t xml:space="preserve">section 458 </w:t>
            </w:r>
          </w:p>
        </w:tc>
        <w:tc>
          <w:tcPr>
            <w:tcW w:w="4920" w:type="dxa"/>
            <w:tcMar>
              <w:top w:w="60" w:type="dxa"/>
              <w:left w:w="0" w:type="dxa"/>
              <w:bottom w:w="0" w:type="dxa"/>
              <w:right w:w="0" w:type="dxa"/>
            </w:tcMar>
          </w:tcPr>
          <w:p w14:paraId="618D9059" w14:textId="77777777" w:rsidR="00DB6E47" w:rsidRPr="006C3305" w:rsidRDefault="00DB6E47" w:rsidP="00DB6E47">
            <w:pPr>
              <w:pStyle w:val="TableText10"/>
              <w:tabs>
                <w:tab w:val="left" w:pos="84"/>
              </w:tabs>
              <w:ind w:left="98"/>
            </w:pPr>
            <w:r w:rsidRPr="006C3305">
              <w:t>decision of Regulator not to grant a heavy vehicle accreditation</w:t>
            </w:r>
          </w:p>
        </w:tc>
      </w:tr>
      <w:tr w:rsidR="00DB6E47" w:rsidRPr="007E1F9A" w14:paraId="55355607" w14:textId="77777777" w:rsidTr="00DB6E47">
        <w:trPr>
          <w:trHeight w:val="820"/>
        </w:trPr>
        <w:tc>
          <w:tcPr>
            <w:tcW w:w="2273" w:type="dxa"/>
            <w:tcMar>
              <w:top w:w="60" w:type="dxa"/>
              <w:left w:w="0" w:type="dxa"/>
              <w:bottom w:w="0" w:type="dxa"/>
              <w:right w:w="0" w:type="dxa"/>
            </w:tcMar>
          </w:tcPr>
          <w:p w14:paraId="647A2F24" w14:textId="77777777" w:rsidR="00DB6E47" w:rsidRPr="005C5B2F" w:rsidRDefault="00DB6E47" w:rsidP="00DB6E47">
            <w:pPr>
              <w:pStyle w:val="TableText10"/>
              <w:tabs>
                <w:tab w:val="left" w:pos="84"/>
              </w:tabs>
              <w:ind w:left="98"/>
            </w:pPr>
            <w:r w:rsidRPr="006C3305">
              <w:t xml:space="preserve">section 458 </w:t>
            </w:r>
          </w:p>
        </w:tc>
        <w:tc>
          <w:tcPr>
            <w:tcW w:w="4920" w:type="dxa"/>
            <w:tcMar>
              <w:top w:w="60" w:type="dxa"/>
              <w:left w:w="0" w:type="dxa"/>
              <w:bottom w:w="0" w:type="dxa"/>
              <w:right w:w="0" w:type="dxa"/>
            </w:tcMar>
          </w:tcPr>
          <w:p w14:paraId="3E6F7702" w14:textId="77777777" w:rsidR="00DB6E47" w:rsidRPr="006C3305" w:rsidRDefault="00DB6E47" w:rsidP="00DB6E47">
            <w:pPr>
              <w:pStyle w:val="TableText10"/>
              <w:tabs>
                <w:tab w:val="left" w:pos="84"/>
              </w:tabs>
              <w:ind w:left="98"/>
            </w:pPr>
            <w:r w:rsidRPr="006C3305">
              <w:t>decision of Regulator to grant a heavy vehicle accreditation for a period less than the period of not more than 3 years sought by the applicant</w:t>
            </w:r>
          </w:p>
        </w:tc>
      </w:tr>
      <w:tr w:rsidR="00DB6E47" w:rsidRPr="007E1F9A" w14:paraId="6F0C2C47" w14:textId="77777777" w:rsidTr="00DB6E47">
        <w:trPr>
          <w:trHeight w:val="1080"/>
        </w:trPr>
        <w:tc>
          <w:tcPr>
            <w:tcW w:w="2273" w:type="dxa"/>
            <w:tcMar>
              <w:top w:w="60" w:type="dxa"/>
              <w:left w:w="0" w:type="dxa"/>
              <w:bottom w:w="0" w:type="dxa"/>
              <w:right w:w="0" w:type="dxa"/>
            </w:tcMar>
          </w:tcPr>
          <w:p w14:paraId="7A321D43" w14:textId="77777777" w:rsidR="00DB6E47" w:rsidRPr="005C5B2F" w:rsidRDefault="00DB6E47" w:rsidP="00DB6E47">
            <w:pPr>
              <w:pStyle w:val="TableText10"/>
              <w:tabs>
                <w:tab w:val="left" w:pos="84"/>
              </w:tabs>
              <w:ind w:left="98"/>
            </w:pPr>
            <w:r w:rsidRPr="006C3305">
              <w:t xml:space="preserve">section 458 </w:t>
            </w:r>
          </w:p>
        </w:tc>
        <w:tc>
          <w:tcPr>
            <w:tcW w:w="4920" w:type="dxa"/>
            <w:tcMar>
              <w:top w:w="60" w:type="dxa"/>
              <w:left w:w="0" w:type="dxa"/>
              <w:bottom w:w="0" w:type="dxa"/>
              <w:right w:w="0" w:type="dxa"/>
            </w:tcMar>
          </w:tcPr>
          <w:p w14:paraId="6F99818F" w14:textId="77777777" w:rsidR="00DB6E47" w:rsidRPr="006C3305" w:rsidRDefault="00DB6E47" w:rsidP="00DB6E47">
            <w:pPr>
              <w:pStyle w:val="TableText10"/>
              <w:tabs>
                <w:tab w:val="left" w:pos="84"/>
              </w:tabs>
              <w:ind w:left="98"/>
            </w:pPr>
            <w:r w:rsidRPr="006C3305">
              <w:t>decision of Regulator to grant an AFM accreditation setting maximum work times and minimum rest times different to the maximum work times and minimum rest times sought by the applicant</w:t>
            </w:r>
          </w:p>
        </w:tc>
      </w:tr>
      <w:tr w:rsidR="00DB6E47" w:rsidRPr="007E1F9A" w14:paraId="00BE6196" w14:textId="77777777" w:rsidTr="00DB6E47">
        <w:trPr>
          <w:trHeight w:val="820"/>
        </w:trPr>
        <w:tc>
          <w:tcPr>
            <w:tcW w:w="2273" w:type="dxa"/>
            <w:tcMar>
              <w:top w:w="60" w:type="dxa"/>
              <w:left w:w="0" w:type="dxa"/>
              <w:bottom w:w="0" w:type="dxa"/>
              <w:right w:w="0" w:type="dxa"/>
            </w:tcMar>
          </w:tcPr>
          <w:p w14:paraId="410B9E32" w14:textId="77777777" w:rsidR="00DB6E47" w:rsidRPr="005C5B2F" w:rsidRDefault="00DB6E47" w:rsidP="00DB6E47">
            <w:pPr>
              <w:pStyle w:val="TableText10"/>
              <w:tabs>
                <w:tab w:val="left" w:pos="84"/>
              </w:tabs>
              <w:ind w:left="98"/>
            </w:pPr>
            <w:r w:rsidRPr="006C3305">
              <w:t>section 462(2)</w:t>
            </w:r>
          </w:p>
        </w:tc>
        <w:tc>
          <w:tcPr>
            <w:tcW w:w="4920" w:type="dxa"/>
            <w:tcMar>
              <w:top w:w="60" w:type="dxa"/>
              <w:left w:w="0" w:type="dxa"/>
              <w:bottom w:w="0" w:type="dxa"/>
              <w:right w:w="0" w:type="dxa"/>
            </w:tcMar>
          </w:tcPr>
          <w:p w14:paraId="75C0CE7C" w14:textId="77777777" w:rsidR="00DB6E47" w:rsidRPr="006C3305" w:rsidRDefault="00DB6E47" w:rsidP="00DB6E47">
            <w:pPr>
              <w:pStyle w:val="TableText10"/>
              <w:tabs>
                <w:tab w:val="left" w:pos="84"/>
              </w:tabs>
              <w:ind w:left="98"/>
            </w:pPr>
            <w:r w:rsidRPr="006C3305">
              <w:t>decision of Regulator to impose on a heavy vehicle accreditation a condition not sought by the applicant</w:t>
            </w:r>
          </w:p>
        </w:tc>
      </w:tr>
      <w:tr w:rsidR="00DB6E47" w:rsidRPr="007E1F9A" w14:paraId="3687C8FA" w14:textId="77777777" w:rsidTr="00DB6E47">
        <w:trPr>
          <w:trHeight w:val="820"/>
        </w:trPr>
        <w:tc>
          <w:tcPr>
            <w:tcW w:w="2273" w:type="dxa"/>
            <w:tcMar>
              <w:top w:w="60" w:type="dxa"/>
              <w:left w:w="0" w:type="dxa"/>
              <w:bottom w:w="0" w:type="dxa"/>
              <w:right w:w="0" w:type="dxa"/>
            </w:tcMar>
          </w:tcPr>
          <w:p w14:paraId="22B278C2" w14:textId="77777777" w:rsidR="00DB6E47" w:rsidRPr="005C5B2F" w:rsidRDefault="00DB6E47" w:rsidP="00DB6E47">
            <w:pPr>
              <w:pStyle w:val="TableText10"/>
              <w:tabs>
                <w:tab w:val="left" w:pos="84"/>
              </w:tabs>
              <w:ind w:left="98"/>
            </w:pPr>
            <w:r w:rsidRPr="006C3305">
              <w:t xml:space="preserve">section 472 </w:t>
            </w:r>
          </w:p>
        </w:tc>
        <w:tc>
          <w:tcPr>
            <w:tcW w:w="4920" w:type="dxa"/>
            <w:tcMar>
              <w:top w:w="60" w:type="dxa"/>
              <w:left w:w="0" w:type="dxa"/>
              <w:bottom w:w="0" w:type="dxa"/>
              <w:right w:w="0" w:type="dxa"/>
            </w:tcMar>
          </w:tcPr>
          <w:p w14:paraId="33CF65F9" w14:textId="77777777" w:rsidR="00DB6E47" w:rsidRPr="006C3305" w:rsidRDefault="00DB6E47" w:rsidP="00DB6E47">
            <w:pPr>
              <w:pStyle w:val="TableText10"/>
              <w:tabs>
                <w:tab w:val="left" w:pos="84"/>
              </w:tabs>
              <w:ind w:left="98"/>
            </w:pPr>
            <w:r w:rsidRPr="006C3305">
              <w:t>decision of Regulator not to make a decision sought in an application for amendment or cancellation of a heavy vehicle accreditation</w:t>
            </w:r>
          </w:p>
        </w:tc>
      </w:tr>
      <w:tr w:rsidR="00DB6E47" w:rsidRPr="007E1F9A" w14:paraId="7367DA92" w14:textId="77777777" w:rsidTr="00DB6E47">
        <w:trPr>
          <w:trHeight w:val="560"/>
        </w:trPr>
        <w:tc>
          <w:tcPr>
            <w:tcW w:w="2273" w:type="dxa"/>
            <w:tcMar>
              <w:top w:w="60" w:type="dxa"/>
              <w:left w:w="0" w:type="dxa"/>
              <w:bottom w:w="0" w:type="dxa"/>
              <w:right w:w="0" w:type="dxa"/>
            </w:tcMar>
          </w:tcPr>
          <w:p w14:paraId="1235F3E8" w14:textId="77777777" w:rsidR="00DB6E47" w:rsidRPr="005C5B2F" w:rsidRDefault="00DB6E47" w:rsidP="00DB6E47">
            <w:pPr>
              <w:pStyle w:val="TableText10"/>
              <w:tabs>
                <w:tab w:val="left" w:pos="84"/>
              </w:tabs>
              <w:ind w:left="98"/>
            </w:pPr>
            <w:r w:rsidRPr="006C3305">
              <w:t xml:space="preserve">section 473 </w:t>
            </w:r>
          </w:p>
        </w:tc>
        <w:tc>
          <w:tcPr>
            <w:tcW w:w="4920" w:type="dxa"/>
            <w:tcMar>
              <w:top w:w="60" w:type="dxa"/>
              <w:left w:w="0" w:type="dxa"/>
              <w:bottom w:w="0" w:type="dxa"/>
              <w:right w:w="0" w:type="dxa"/>
            </w:tcMar>
          </w:tcPr>
          <w:p w14:paraId="3ADAB53E" w14:textId="77777777" w:rsidR="00DB6E47" w:rsidRPr="006C3305" w:rsidRDefault="00DB6E47" w:rsidP="00DB6E47">
            <w:pPr>
              <w:pStyle w:val="TableText10"/>
              <w:tabs>
                <w:tab w:val="left" w:pos="84"/>
              </w:tabs>
              <w:ind w:left="98"/>
            </w:pPr>
            <w:r w:rsidRPr="006C3305">
              <w:t>decision of Regulator to amend, suspend or cancel a heavy vehicle accreditation</w:t>
            </w:r>
          </w:p>
        </w:tc>
      </w:tr>
      <w:tr w:rsidR="00DB6E47" w:rsidRPr="007E1F9A" w14:paraId="4F250109" w14:textId="77777777" w:rsidTr="00DB6E47">
        <w:trPr>
          <w:trHeight w:val="560"/>
        </w:trPr>
        <w:tc>
          <w:tcPr>
            <w:tcW w:w="2273" w:type="dxa"/>
            <w:tcMar>
              <w:top w:w="60" w:type="dxa"/>
              <w:left w:w="0" w:type="dxa"/>
              <w:bottom w:w="0" w:type="dxa"/>
              <w:right w:w="0" w:type="dxa"/>
            </w:tcMar>
          </w:tcPr>
          <w:p w14:paraId="72390514" w14:textId="77777777" w:rsidR="00DB6E47" w:rsidRPr="005C5B2F" w:rsidRDefault="00DB6E47" w:rsidP="00DB6E47">
            <w:pPr>
              <w:pStyle w:val="TableText10"/>
              <w:tabs>
                <w:tab w:val="left" w:pos="84"/>
              </w:tabs>
              <w:ind w:left="98"/>
            </w:pPr>
            <w:r w:rsidRPr="006C3305">
              <w:t xml:space="preserve">section 474 </w:t>
            </w:r>
          </w:p>
        </w:tc>
        <w:tc>
          <w:tcPr>
            <w:tcW w:w="4920" w:type="dxa"/>
            <w:tcMar>
              <w:top w:w="60" w:type="dxa"/>
              <w:left w:w="0" w:type="dxa"/>
              <w:bottom w:w="0" w:type="dxa"/>
              <w:right w:w="0" w:type="dxa"/>
            </w:tcMar>
          </w:tcPr>
          <w:p w14:paraId="1084BBCA" w14:textId="77777777" w:rsidR="00DB6E47" w:rsidRPr="006C3305" w:rsidRDefault="00DB6E47" w:rsidP="00DB6E47">
            <w:pPr>
              <w:pStyle w:val="TableText10"/>
              <w:tabs>
                <w:tab w:val="left" w:pos="84"/>
              </w:tabs>
              <w:ind w:left="98"/>
            </w:pPr>
            <w:r w:rsidRPr="006C3305">
              <w:t>decision of Regulator to immediately suspend a heavy vehicle accreditation</w:t>
            </w:r>
          </w:p>
        </w:tc>
      </w:tr>
      <w:tr w:rsidR="00DB6E47" w:rsidRPr="007E1F9A" w14:paraId="7586E706" w14:textId="77777777" w:rsidTr="00DB6E47">
        <w:trPr>
          <w:trHeight w:val="560"/>
        </w:trPr>
        <w:tc>
          <w:tcPr>
            <w:tcW w:w="2273" w:type="dxa"/>
            <w:tcMar>
              <w:top w:w="60" w:type="dxa"/>
              <w:left w:w="0" w:type="dxa"/>
              <w:bottom w:w="0" w:type="dxa"/>
              <w:right w:w="0" w:type="dxa"/>
            </w:tcMar>
          </w:tcPr>
          <w:p w14:paraId="59A58924" w14:textId="77777777" w:rsidR="00DB6E47" w:rsidRPr="005C5B2F" w:rsidRDefault="00DB6E47" w:rsidP="00DB6E47">
            <w:pPr>
              <w:pStyle w:val="TableText10"/>
              <w:tabs>
                <w:tab w:val="left" w:pos="84"/>
              </w:tabs>
              <w:ind w:left="98"/>
            </w:pPr>
            <w:r w:rsidRPr="006C3305">
              <w:t xml:space="preserve">section 477 </w:t>
            </w:r>
          </w:p>
        </w:tc>
        <w:tc>
          <w:tcPr>
            <w:tcW w:w="4920" w:type="dxa"/>
            <w:tcMar>
              <w:top w:w="60" w:type="dxa"/>
              <w:left w:w="0" w:type="dxa"/>
              <w:bottom w:w="0" w:type="dxa"/>
              <w:right w:w="0" w:type="dxa"/>
            </w:tcMar>
          </w:tcPr>
          <w:p w14:paraId="3E8AFFDF" w14:textId="77777777" w:rsidR="00DB6E47" w:rsidRPr="006C3305" w:rsidRDefault="00DB6E47" w:rsidP="00DB6E47">
            <w:pPr>
              <w:pStyle w:val="TableText10"/>
              <w:tabs>
                <w:tab w:val="left" w:pos="84"/>
              </w:tabs>
              <w:ind w:left="98"/>
            </w:pPr>
            <w:r w:rsidRPr="006C3305">
              <w:t>decision of Regulator not to give a replacement accreditation certificate</w:t>
            </w:r>
          </w:p>
        </w:tc>
      </w:tr>
      <w:tr w:rsidR="00DB6E47" w:rsidRPr="007E1F9A" w14:paraId="335B8080" w14:textId="77777777" w:rsidTr="00DB6E47">
        <w:trPr>
          <w:trHeight w:val="560"/>
        </w:trPr>
        <w:tc>
          <w:tcPr>
            <w:tcW w:w="2273" w:type="dxa"/>
            <w:tcMar>
              <w:top w:w="60" w:type="dxa"/>
              <w:left w:w="0" w:type="dxa"/>
              <w:bottom w:w="0" w:type="dxa"/>
              <w:right w:w="0" w:type="dxa"/>
            </w:tcMar>
          </w:tcPr>
          <w:p w14:paraId="5359C94A" w14:textId="77777777" w:rsidR="00DB6E47" w:rsidRPr="005C5B2F" w:rsidRDefault="00DB6E47" w:rsidP="00DB6E47">
            <w:pPr>
              <w:pStyle w:val="TableText10"/>
              <w:tabs>
                <w:tab w:val="left" w:pos="84"/>
              </w:tabs>
              <w:ind w:left="98"/>
            </w:pPr>
            <w:r w:rsidRPr="006C3305">
              <w:lastRenderedPageBreak/>
              <w:t xml:space="preserve">section 561 </w:t>
            </w:r>
          </w:p>
        </w:tc>
        <w:tc>
          <w:tcPr>
            <w:tcW w:w="4920" w:type="dxa"/>
            <w:tcMar>
              <w:top w:w="60" w:type="dxa"/>
              <w:left w:w="0" w:type="dxa"/>
              <w:bottom w:w="0" w:type="dxa"/>
              <w:right w:w="0" w:type="dxa"/>
            </w:tcMar>
          </w:tcPr>
          <w:p w14:paraId="368BFC51" w14:textId="77777777" w:rsidR="00DB6E47" w:rsidRPr="006C3305" w:rsidRDefault="00DB6E47" w:rsidP="00DB6E47">
            <w:pPr>
              <w:pStyle w:val="TableText10"/>
              <w:tabs>
                <w:tab w:val="left" w:pos="84"/>
              </w:tabs>
              <w:ind w:left="98"/>
            </w:pPr>
            <w:r w:rsidRPr="006C3305">
              <w:t>decision of Regulator that a thing or sample is forfeited to the Regulator</w:t>
            </w:r>
          </w:p>
        </w:tc>
      </w:tr>
    </w:tbl>
    <w:p w14:paraId="585D7681" w14:textId="77777777" w:rsidR="00387880" w:rsidRPr="00962F48" w:rsidRDefault="00387880" w:rsidP="00962F48"/>
    <w:p w14:paraId="1498220F" w14:textId="77777777" w:rsidR="00387880" w:rsidRPr="00962F48" w:rsidRDefault="00387880" w:rsidP="00387880">
      <w:pPr>
        <w:pStyle w:val="PageBreak"/>
      </w:pPr>
      <w:r w:rsidRPr="00962F48">
        <w:br w:type="page"/>
      </w:r>
    </w:p>
    <w:p w14:paraId="2B5F6235" w14:textId="591BA8E9" w:rsidR="00DB6E47" w:rsidRPr="005E03F7" w:rsidRDefault="00DB6E47" w:rsidP="00DB6E47">
      <w:pPr>
        <w:pStyle w:val="Sched-Part"/>
      </w:pPr>
      <w:bookmarkStart w:id="1013" w:name="_Toc83626357"/>
      <w:r w:rsidRPr="005E03F7">
        <w:rPr>
          <w:rStyle w:val="CharPartNo"/>
        </w:rPr>
        <w:lastRenderedPageBreak/>
        <w:t>Part 2</w:t>
      </w:r>
      <w:r w:rsidRPr="00A95F9A">
        <w:tab/>
      </w:r>
      <w:r w:rsidRPr="005E03F7">
        <w:rPr>
          <w:rStyle w:val="CharPartText"/>
        </w:rPr>
        <w:t>Decisions of authorised officers</w:t>
      </w:r>
      <w:bookmarkEnd w:id="1013"/>
    </w:p>
    <w:p w14:paraId="05474D0B" w14:textId="77777777" w:rsidR="00DB6E47" w:rsidRPr="009451A4" w:rsidRDefault="00DB6E47" w:rsidP="00DB6E47"/>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60" w:type="dxa"/>
          <w:left w:w="0" w:type="dxa"/>
          <w:right w:w="0" w:type="dxa"/>
        </w:tblCellMar>
        <w:tblLook w:val="0000" w:firstRow="0" w:lastRow="0" w:firstColumn="0" w:lastColumn="0" w:noHBand="0" w:noVBand="0"/>
      </w:tblPr>
      <w:tblGrid>
        <w:gridCol w:w="2260"/>
        <w:gridCol w:w="4920"/>
      </w:tblGrid>
      <w:tr w:rsidR="00DB6E47" w:rsidRPr="007E1F9A" w14:paraId="07A463FC" w14:textId="77777777" w:rsidTr="00DB6E47">
        <w:trPr>
          <w:trHeight w:val="440"/>
        </w:trPr>
        <w:tc>
          <w:tcPr>
            <w:tcW w:w="2260" w:type="dxa"/>
            <w:tcBorders>
              <w:bottom w:val="single" w:sz="4" w:space="0" w:color="auto"/>
            </w:tcBorders>
            <w:tcMar>
              <w:top w:w="60" w:type="dxa"/>
              <w:left w:w="0" w:type="dxa"/>
              <w:bottom w:w="0" w:type="dxa"/>
              <w:right w:w="0" w:type="dxa"/>
            </w:tcMar>
          </w:tcPr>
          <w:p w14:paraId="1B6364E8" w14:textId="77777777" w:rsidR="00DB6E47" w:rsidRPr="007E1F9A" w:rsidRDefault="00DB6E47" w:rsidP="00DB6E47">
            <w:pPr>
              <w:pStyle w:val="TableColHd"/>
              <w:tabs>
                <w:tab w:val="left" w:pos="61"/>
              </w:tabs>
              <w:ind w:left="75"/>
            </w:pPr>
            <w:r w:rsidRPr="007E1F9A">
              <w:t>Section under which decision made</w:t>
            </w:r>
          </w:p>
        </w:tc>
        <w:tc>
          <w:tcPr>
            <w:tcW w:w="4920" w:type="dxa"/>
            <w:tcBorders>
              <w:bottom w:val="single" w:sz="4" w:space="0" w:color="auto"/>
            </w:tcBorders>
            <w:tcMar>
              <w:top w:w="60" w:type="dxa"/>
              <w:left w:w="0" w:type="dxa"/>
              <w:bottom w:w="100" w:type="dxa"/>
              <w:right w:w="0" w:type="dxa"/>
            </w:tcMar>
          </w:tcPr>
          <w:p w14:paraId="4F22DDD0" w14:textId="77777777" w:rsidR="00DB6E47" w:rsidRPr="007E1F9A" w:rsidRDefault="00DB6E47" w:rsidP="00DB6E47">
            <w:pPr>
              <w:pStyle w:val="TableColHd"/>
              <w:tabs>
                <w:tab w:val="left" w:pos="61"/>
              </w:tabs>
              <w:ind w:left="75"/>
            </w:pPr>
            <w:r w:rsidRPr="007E1F9A">
              <w:t>Description of decision</w:t>
            </w:r>
          </w:p>
        </w:tc>
      </w:tr>
      <w:tr w:rsidR="00DB6E47" w:rsidRPr="007E1F9A" w14:paraId="02627603" w14:textId="77777777" w:rsidTr="00DB6E47">
        <w:trPr>
          <w:trHeight w:val="820"/>
        </w:trPr>
        <w:tc>
          <w:tcPr>
            <w:tcW w:w="2260" w:type="dxa"/>
            <w:tcBorders>
              <w:top w:val="single" w:sz="4" w:space="0" w:color="auto"/>
            </w:tcBorders>
            <w:tcMar>
              <w:top w:w="60" w:type="dxa"/>
              <w:left w:w="0" w:type="dxa"/>
              <w:bottom w:w="0" w:type="dxa"/>
              <w:right w:w="0" w:type="dxa"/>
            </w:tcMar>
          </w:tcPr>
          <w:p w14:paraId="489C71D8" w14:textId="77777777" w:rsidR="00DB6E47" w:rsidRPr="005C5B2F" w:rsidRDefault="00DB6E47" w:rsidP="00DB6E47">
            <w:pPr>
              <w:pStyle w:val="TableText10"/>
              <w:tabs>
                <w:tab w:val="left" w:pos="84"/>
              </w:tabs>
              <w:ind w:left="98"/>
            </w:pPr>
            <w:r w:rsidRPr="006C3305">
              <w:t>section 572</w:t>
            </w:r>
          </w:p>
        </w:tc>
        <w:tc>
          <w:tcPr>
            <w:tcW w:w="4920" w:type="dxa"/>
            <w:tcBorders>
              <w:top w:val="single" w:sz="4" w:space="0" w:color="auto"/>
            </w:tcBorders>
            <w:tcMar>
              <w:top w:w="60" w:type="dxa"/>
              <w:left w:w="0" w:type="dxa"/>
              <w:bottom w:w="0" w:type="dxa"/>
              <w:right w:w="0" w:type="dxa"/>
            </w:tcMar>
          </w:tcPr>
          <w:p w14:paraId="34C84742" w14:textId="77777777" w:rsidR="00DB6E47" w:rsidRPr="006C3305" w:rsidRDefault="00DB6E47" w:rsidP="00DB6E47">
            <w:pPr>
              <w:pStyle w:val="TableText10"/>
              <w:tabs>
                <w:tab w:val="left" w:pos="84"/>
              </w:tabs>
              <w:ind w:left="98"/>
            </w:pPr>
            <w:r w:rsidRPr="006C3305">
              <w:t>decision of an authorised officer who is not a police officer to give a person an improvement notice</w:t>
            </w:r>
          </w:p>
        </w:tc>
      </w:tr>
      <w:tr w:rsidR="00DB6E47" w:rsidRPr="007E1F9A" w14:paraId="316DA3CB" w14:textId="77777777" w:rsidTr="00DB6E47">
        <w:trPr>
          <w:trHeight w:val="820"/>
        </w:trPr>
        <w:tc>
          <w:tcPr>
            <w:tcW w:w="2260" w:type="dxa"/>
            <w:tcMar>
              <w:top w:w="60" w:type="dxa"/>
              <w:left w:w="0" w:type="dxa"/>
              <w:bottom w:w="0" w:type="dxa"/>
              <w:right w:w="0" w:type="dxa"/>
            </w:tcMar>
          </w:tcPr>
          <w:p w14:paraId="16560C10" w14:textId="77777777" w:rsidR="00DB6E47" w:rsidRPr="005C5B2F" w:rsidRDefault="00DB6E47" w:rsidP="00DB6E47">
            <w:pPr>
              <w:pStyle w:val="TableText10"/>
              <w:tabs>
                <w:tab w:val="left" w:pos="84"/>
              </w:tabs>
              <w:ind w:left="98"/>
            </w:pPr>
            <w:r w:rsidRPr="006C3305">
              <w:t>sections 572 and 574</w:t>
            </w:r>
          </w:p>
        </w:tc>
        <w:tc>
          <w:tcPr>
            <w:tcW w:w="4920" w:type="dxa"/>
            <w:tcMar>
              <w:top w:w="60" w:type="dxa"/>
              <w:left w:w="0" w:type="dxa"/>
              <w:bottom w:w="0" w:type="dxa"/>
              <w:right w:w="0" w:type="dxa"/>
            </w:tcMar>
          </w:tcPr>
          <w:p w14:paraId="7E19736A" w14:textId="77777777" w:rsidR="00DB6E47" w:rsidRPr="006C3305" w:rsidRDefault="00DB6E47" w:rsidP="00DB6E47">
            <w:pPr>
              <w:pStyle w:val="TableText10"/>
              <w:tabs>
                <w:tab w:val="left" w:pos="84"/>
              </w:tabs>
              <w:ind w:left="98"/>
            </w:pPr>
            <w:r w:rsidRPr="006C3305">
              <w:t>decision of an authorised officer who is not a police officer to amend an improvement notice given to a person</w:t>
            </w:r>
          </w:p>
        </w:tc>
      </w:tr>
      <w:tr w:rsidR="00990996" w:rsidRPr="007E1F9A" w14:paraId="5E5CFC22" w14:textId="77777777" w:rsidTr="00DB6E47">
        <w:trPr>
          <w:trHeight w:val="820"/>
        </w:trPr>
        <w:tc>
          <w:tcPr>
            <w:tcW w:w="2260" w:type="dxa"/>
            <w:tcMar>
              <w:top w:w="60" w:type="dxa"/>
              <w:left w:w="0" w:type="dxa"/>
              <w:bottom w:w="0" w:type="dxa"/>
              <w:right w:w="0" w:type="dxa"/>
            </w:tcMar>
          </w:tcPr>
          <w:p w14:paraId="56316701" w14:textId="77777777" w:rsidR="00990996" w:rsidRPr="00990996" w:rsidRDefault="00990996" w:rsidP="00DB6E47">
            <w:pPr>
              <w:pStyle w:val="TableText10"/>
              <w:tabs>
                <w:tab w:val="left" w:pos="84"/>
              </w:tabs>
              <w:ind w:left="98"/>
            </w:pPr>
            <w:r w:rsidRPr="00990996">
              <w:t>section 576A</w:t>
            </w:r>
          </w:p>
        </w:tc>
        <w:tc>
          <w:tcPr>
            <w:tcW w:w="4920" w:type="dxa"/>
            <w:tcMar>
              <w:top w:w="60" w:type="dxa"/>
              <w:left w:w="0" w:type="dxa"/>
              <w:bottom w:w="0" w:type="dxa"/>
              <w:right w:w="0" w:type="dxa"/>
            </w:tcMar>
          </w:tcPr>
          <w:p w14:paraId="40497D69" w14:textId="77777777" w:rsidR="00990996" w:rsidRPr="004B7CAC" w:rsidRDefault="004B7CAC" w:rsidP="00DB6E47">
            <w:pPr>
              <w:pStyle w:val="TableText10"/>
              <w:tabs>
                <w:tab w:val="left" w:pos="84"/>
              </w:tabs>
              <w:ind w:left="98"/>
            </w:pPr>
            <w:r w:rsidRPr="004B7CAC">
              <w:t>decision of an authorised officer who is not a police officer to give a person a prohibition notice</w:t>
            </w:r>
            <w:r>
              <w:br/>
            </w:r>
            <w:r w:rsidRPr="004B7CAC">
              <w:t>decision of an authorised officer who is not a police officer to amend a prohibition notice given to a person</w:t>
            </w:r>
          </w:p>
        </w:tc>
      </w:tr>
      <w:tr w:rsidR="00990996" w:rsidRPr="007E1F9A" w14:paraId="1677E66A" w14:textId="77777777" w:rsidTr="00DB6E47">
        <w:trPr>
          <w:trHeight w:val="820"/>
        </w:trPr>
        <w:tc>
          <w:tcPr>
            <w:tcW w:w="2260" w:type="dxa"/>
            <w:tcMar>
              <w:top w:w="60" w:type="dxa"/>
              <w:left w:w="0" w:type="dxa"/>
              <w:bottom w:w="0" w:type="dxa"/>
              <w:right w:w="0" w:type="dxa"/>
            </w:tcMar>
          </w:tcPr>
          <w:p w14:paraId="3041A022" w14:textId="77777777" w:rsidR="00990996" w:rsidRPr="00990996" w:rsidRDefault="00990996" w:rsidP="00DB6E47">
            <w:pPr>
              <w:pStyle w:val="TableText10"/>
              <w:tabs>
                <w:tab w:val="left" w:pos="84"/>
              </w:tabs>
              <w:ind w:left="98"/>
            </w:pPr>
            <w:r w:rsidRPr="00990996">
              <w:t>section 576A</w:t>
            </w:r>
          </w:p>
        </w:tc>
        <w:tc>
          <w:tcPr>
            <w:tcW w:w="4920" w:type="dxa"/>
            <w:tcMar>
              <w:top w:w="60" w:type="dxa"/>
              <w:left w:w="0" w:type="dxa"/>
              <w:bottom w:w="0" w:type="dxa"/>
              <w:right w:w="0" w:type="dxa"/>
            </w:tcMar>
          </w:tcPr>
          <w:p w14:paraId="60A914E3" w14:textId="77777777" w:rsidR="004B7CAC" w:rsidRPr="004B7CAC" w:rsidRDefault="004B7CAC" w:rsidP="00C807E3">
            <w:pPr>
              <w:pStyle w:val="TableText10"/>
              <w:rPr>
                <w:lang w:eastAsia="en-AU"/>
              </w:rPr>
            </w:pPr>
            <w:r w:rsidRPr="00C807E3">
              <w:rPr>
                <w:rStyle w:val="charItals"/>
              </w:rPr>
              <w:t>Note</w:t>
            </w:r>
            <w:r w:rsidRPr="004B7CAC">
              <w:rPr>
                <w:lang w:eastAsia="en-AU"/>
              </w:rPr>
              <w:t>—</w:t>
            </w:r>
          </w:p>
          <w:p w14:paraId="51932ED1" w14:textId="77777777" w:rsidR="00990996" w:rsidRPr="00C807E3" w:rsidRDefault="004B7CAC" w:rsidP="00C807E3">
            <w:pPr>
              <w:pStyle w:val="TableText10"/>
            </w:pPr>
            <w:r w:rsidRPr="00C807E3">
              <w:t>Section 23 of Schedule 1 allows for the amendment of a prohibition notice.</w:t>
            </w:r>
          </w:p>
        </w:tc>
      </w:tr>
    </w:tbl>
    <w:p w14:paraId="10CF25DC" w14:textId="77777777" w:rsidR="006767F0" w:rsidRPr="00962F48" w:rsidRDefault="006767F0" w:rsidP="00962F48"/>
    <w:p w14:paraId="75EC28FC" w14:textId="77777777" w:rsidR="006767F0" w:rsidRPr="00962F48" w:rsidRDefault="006767F0" w:rsidP="006767F0">
      <w:pPr>
        <w:pStyle w:val="PageBreak"/>
      </w:pPr>
      <w:r w:rsidRPr="00962F48">
        <w:br w:type="page"/>
      </w:r>
    </w:p>
    <w:p w14:paraId="7FED30FF" w14:textId="7182F29D" w:rsidR="00DB6E47" w:rsidRPr="005E03F7" w:rsidRDefault="00DB6E47" w:rsidP="00DB6E47">
      <w:pPr>
        <w:pStyle w:val="Sched-Part"/>
      </w:pPr>
      <w:bookmarkStart w:id="1014" w:name="_Toc83626358"/>
      <w:r w:rsidRPr="005E03F7">
        <w:rPr>
          <w:rStyle w:val="CharPartNo"/>
        </w:rPr>
        <w:lastRenderedPageBreak/>
        <w:t>Part 3</w:t>
      </w:r>
      <w:r w:rsidRPr="009451A4">
        <w:tab/>
      </w:r>
      <w:r w:rsidRPr="005E03F7">
        <w:rPr>
          <w:rStyle w:val="CharPartText"/>
        </w:rPr>
        <w:t>Decisions of relevant road managers</w:t>
      </w:r>
      <w:bookmarkEnd w:id="1014"/>
    </w:p>
    <w:p w14:paraId="497DA4BE" w14:textId="77777777" w:rsidR="00DB6E47" w:rsidRPr="009451A4" w:rsidRDefault="00DB6E47" w:rsidP="00DB6E47"/>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60" w:type="dxa"/>
          <w:left w:w="0" w:type="dxa"/>
          <w:right w:w="0" w:type="dxa"/>
        </w:tblCellMar>
        <w:tblLook w:val="0000" w:firstRow="0" w:lastRow="0" w:firstColumn="0" w:lastColumn="0" w:noHBand="0" w:noVBand="0"/>
      </w:tblPr>
      <w:tblGrid>
        <w:gridCol w:w="2260"/>
        <w:gridCol w:w="4920"/>
      </w:tblGrid>
      <w:tr w:rsidR="00DB6E47" w:rsidRPr="007E1F9A" w14:paraId="191C1A2A" w14:textId="77777777" w:rsidTr="00DB6E47">
        <w:trPr>
          <w:trHeight w:val="440"/>
        </w:trPr>
        <w:tc>
          <w:tcPr>
            <w:tcW w:w="2260" w:type="dxa"/>
            <w:tcBorders>
              <w:bottom w:val="single" w:sz="4" w:space="0" w:color="auto"/>
            </w:tcBorders>
            <w:tcMar>
              <w:top w:w="60" w:type="dxa"/>
              <w:left w:w="0" w:type="dxa"/>
              <w:bottom w:w="0" w:type="dxa"/>
              <w:right w:w="0" w:type="dxa"/>
            </w:tcMar>
          </w:tcPr>
          <w:p w14:paraId="7425DB78" w14:textId="77777777" w:rsidR="00DB6E47" w:rsidRPr="007E1F9A" w:rsidRDefault="00DB6E47" w:rsidP="00DB6E47">
            <w:pPr>
              <w:pStyle w:val="TableColHd"/>
              <w:tabs>
                <w:tab w:val="left" w:pos="61"/>
              </w:tabs>
              <w:ind w:left="75"/>
            </w:pPr>
            <w:r w:rsidRPr="007E1F9A">
              <w:t>Section under which decision made</w:t>
            </w:r>
          </w:p>
        </w:tc>
        <w:tc>
          <w:tcPr>
            <w:tcW w:w="4920" w:type="dxa"/>
            <w:tcBorders>
              <w:bottom w:val="single" w:sz="4" w:space="0" w:color="auto"/>
            </w:tcBorders>
            <w:tcMar>
              <w:top w:w="60" w:type="dxa"/>
              <w:left w:w="0" w:type="dxa"/>
              <w:bottom w:w="100" w:type="dxa"/>
              <w:right w:w="0" w:type="dxa"/>
            </w:tcMar>
          </w:tcPr>
          <w:p w14:paraId="6B61919D" w14:textId="77777777" w:rsidR="00DB6E47" w:rsidRPr="007E1F9A" w:rsidRDefault="00DB6E47" w:rsidP="00DB6E47">
            <w:pPr>
              <w:pStyle w:val="TableColHd"/>
              <w:tabs>
                <w:tab w:val="left" w:pos="61"/>
              </w:tabs>
              <w:ind w:left="75"/>
            </w:pPr>
            <w:r w:rsidRPr="007E1F9A">
              <w:t>Description of decision</w:t>
            </w:r>
          </w:p>
        </w:tc>
      </w:tr>
      <w:tr w:rsidR="00DB6E47" w:rsidRPr="007E1F9A" w14:paraId="395A4C1F" w14:textId="77777777" w:rsidTr="00DB6E47">
        <w:trPr>
          <w:trHeight w:val="820"/>
        </w:trPr>
        <w:tc>
          <w:tcPr>
            <w:tcW w:w="2260" w:type="dxa"/>
            <w:tcBorders>
              <w:top w:val="single" w:sz="4" w:space="0" w:color="auto"/>
            </w:tcBorders>
            <w:tcMar>
              <w:top w:w="60" w:type="dxa"/>
              <w:left w:w="0" w:type="dxa"/>
              <w:bottom w:w="0" w:type="dxa"/>
              <w:right w:w="0" w:type="dxa"/>
            </w:tcMar>
          </w:tcPr>
          <w:p w14:paraId="662486E9" w14:textId="77777777" w:rsidR="00DB6E47" w:rsidRPr="005C5B2F" w:rsidRDefault="00DB6E47" w:rsidP="00DB6E47">
            <w:pPr>
              <w:pStyle w:val="TableText10"/>
              <w:tabs>
                <w:tab w:val="left" w:pos="84"/>
              </w:tabs>
              <w:ind w:left="98"/>
            </w:pPr>
            <w:r w:rsidRPr="006C3305">
              <w:t>section 156</w:t>
            </w:r>
            <w:r w:rsidR="00925BE6">
              <w:t>A</w:t>
            </w:r>
            <w:r w:rsidRPr="006C3305">
              <w:t xml:space="preserve"> </w:t>
            </w:r>
          </w:p>
        </w:tc>
        <w:tc>
          <w:tcPr>
            <w:tcW w:w="4920" w:type="dxa"/>
            <w:tcBorders>
              <w:top w:val="single" w:sz="4" w:space="0" w:color="auto"/>
            </w:tcBorders>
            <w:tcMar>
              <w:top w:w="60" w:type="dxa"/>
              <w:left w:w="0" w:type="dxa"/>
              <w:bottom w:w="0" w:type="dxa"/>
              <w:right w:w="0" w:type="dxa"/>
            </w:tcMar>
          </w:tcPr>
          <w:p w14:paraId="225887B1" w14:textId="77777777" w:rsidR="00DB6E47" w:rsidRPr="006C3305" w:rsidRDefault="00DB6E47" w:rsidP="00DB6E47">
            <w:pPr>
              <w:pStyle w:val="TableText10"/>
              <w:tabs>
                <w:tab w:val="left" w:pos="84"/>
              </w:tabs>
              <w:ind w:left="98"/>
            </w:pPr>
            <w:r w:rsidRPr="006C3305">
              <w:t>decision of a relevant road manager for a mass or dimension authority, that is a public authority, not to consent to the grant of the authority</w:t>
            </w:r>
          </w:p>
        </w:tc>
      </w:tr>
      <w:tr w:rsidR="00DB6E47" w:rsidRPr="007E1F9A" w14:paraId="41E7BF5C" w14:textId="77777777" w:rsidTr="00DB6E47">
        <w:trPr>
          <w:trHeight w:val="1340"/>
        </w:trPr>
        <w:tc>
          <w:tcPr>
            <w:tcW w:w="2260" w:type="dxa"/>
            <w:tcMar>
              <w:top w:w="60" w:type="dxa"/>
              <w:left w:w="0" w:type="dxa"/>
              <w:bottom w:w="0" w:type="dxa"/>
              <w:right w:w="0" w:type="dxa"/>
            </w:tcMar>
          </w:tcPr>
          <w:p w14:paraId="58270B4A" w14:textId="77777777" w:rsidR="00DB6E47" w:rsidRPr="005C5B2F" w:rsidRDefault="00DB6E47" w:rsidP="00DB6E47">
            <w:pPr>
              <w:pStyle w:val="TableText10"/>
              <w:tabs>
                <w:tab w:val="left" w:pos="84"/>
              </w:tabs>
              <w:ind w:left="98"/>
            </w:pPr>
            <w:r w:rsidRPr="006C3305">
              <w:t xml:space="preserve">section 160 </w:t>
            </w:r>
          </w:p>
        </w:tc>
        <w:tc>
          <w:tcPr>
            <w:tcW w:w="4920" w:type="dxa"/>
            <w:tcMar>
              <w:top w:w="60" w:type="dxa"/>
              <w:left w:w="0" w:type="dxa"/>
              <w:bottom w:w="0" w:type="dxa"/>
              <w:right w:w="0" w:type="dxa"/>
            </w:tcMar>
          </w:tcPr>
          <w:p w14:paraId="6CE90167" w14:textId="77777777" w:rsidR="00DB6E47" w:rsidRPr="006C3305" w:rsidRDefault="00DB6E47" w:rsidP="00DB6E47">
            <w:pPr>
              <w:pStyle w:val="TableText10"/>
              <w:tabs>
                <w:tab w:val="left" w:pos="84"/>
              </w:tabs>
              <w:ind w:left="98"/>
            </w:pPr>
            <w:r w:rsidRPr="006C3305">
              <w:t>decision of a relevant road manager for a mass or dimension authority, that is a public authority, to consent to the grant of the authority subject to a condition that a road condition be imposed on the authority</w:t>
            </w:r>
          </w:p>
        </w:tc>
      </w:tr>
      <w:tr w:rsidR="00DB6E47" w:rsidRPr="007E1F9A" w14:paraId="6766D2BF" w14:textId="77777777" w:rsidTr="00DB6E47">
        <w:trPr>
          <w:trHeight w:val="1340"/>
        </w:trPr>
        <w:tc>
          <w:tcPr>
            <w:tcW w:w="2260" w:type="dxa"/>
            <w:tcMar>
              <w:top w:w="60" w:type="dxa"/>
              <w:left w:w="0" w:type="dxa"/>
              <w:bottom w:w="0" w:type="dxa"/>
              <w:right w:w="0" w:type="dxa"/>
            </w:tcMar>
          </w:tcPr>
          <w:p w14:paraId="72A4F879" w14:textId="77777777" w:rsidR="00DB6E47" w:rsidRPr="005C5B2F" w:rsidRDefault="00DB6E47" w:rsidP="00DB6E47">
            <w:pPr>
              <w:pStyle w:val="TableText10"/>
              <w:tabs>
                <w:tab w:val="left" w:pos="84"/>
              </w:tabs>
              <w:ind w:left="98"/>
            </w:pPr>
            <w:r w:rsidRPr="006C3305">
              <w:t xml:space="preserve">section 161 </w:t>
            </w:r>
          </w:p>
        </w:tc>
        <w:tc>
          <w:tcPr>
            <w:tcW w:w="4920" w:type="dxa"/>
            <w:tcMar>
              <w:top w:w="60" w:type="dxa"/>
              <w:left w:w="0" w:type="dxa"/>
              <w:bottom w:w="0" w:type="dxa"/>
              <w:right w:w="0" w:type="dxa"/>
            </w:tcMar>
          </w:tcPr>
          <w:p w14:paraId="3DDD21CF" w14:textId="77777777" w:rsidR="00DB6E47" w:rsidRPr="006C3305" w:rsidRDefault="00DB6E47" w:rsidP="00DB6E47">
            <w:pPr>
              <w:pStyle w:val="TableText10"/>
              <w:tabs>
                <w:tab w:val="left" w:pos="84"/>
              </w:tabs>
              <w:ind w:left="98"/>
            </w:pPr>
            <w:r w:rsidRPr="006C3305">
              <w:t>decision of a relevant road manager for a mass or dimension authority, that is a public authority, to consent to the grant of the authority subject to a condition that a travel condition be imposed on the authority</w:t>
            </w:r>
          </w:p>
        </w:tc>
      </w:tr>
      <w:tr w:rsidR="00DB6E47" w:rsidRPr="007E1F9A" w14:paraId="725E7EB9" w14:textId="77777777" w:rsidTr="00DB6E47">
        <w:trPr>
          <w:trHeight w:val="1080"/>
        </w:trPr>
        <w:tc>
          <w:tcPr>
            <w:tcW w:w="2260" w:type="dxa"/>
            <w:tcMar>
              <w:top w:w="60" w:type="dxa"/>
              <w:left w:w="0" w:type="dxa"/>
              <w:bottom w:w="0" w:type="dxa"/>
              <w:right w:w="0" w:type="dxa"/>
            </w:tcMar>
          </w:tcPr>
          <w:p w14:paraId="6EAFCD57" w14:textId="77777777" w:rsidR="00DB6E47" w:rsidRPr="005C5B2F" w:rsidRDefault="00DB6E47" w:rsidP="00DB6E47">
            <w:pPr>
              <w:pStyle w:val="TableText10"/>
              <w:tabs>
                <w:tab w:val="left" w:pos="84"/>
              </w:tabs>
              <w:ind w:left="98"/>
            </w:pPr>
            <w:r w:rsidRPr="006C3305">
              <w:t xml:space="preserve">section 174 </w:t>
            </w:r>
          </w:p>
        </w:tc>
        <w:tc>
          <w:tcPr>
            <w:tcW w:w="4920" w:type="dxa"/>
            <w:tcMar>
              <w:top w:w="60" w:type="dxa"/>
              <w:left w:w="0" w:type="dxa"/>
              <w:bottom w:w="0" w:type="dxa"/>
              <w:right w:w="0" w:type="dxa"/>
            </w:tcMar>
          </w:tcPr>
          <w:p w14:paraId="69656848" w14:textId="77777777" w:rsidR="00DB6E47" w:rsidRPr="006C3305" w:rsidRDefault="00DB6E47" w:rsidP="00DB6E47">
            <w:pPr>
              <w:pStyle w:val="TableText10"/>
              <w:tabs>
                <w:tab w:val="left" w:pos="84"/>
              </w:tabs>
              <w:ind w:left="98"/>
            </w:pPr>
            <w:r w:rsidRPr="006C3305">
              <w:t>decision of a relevant road manager for a mass or dimension authority (granted by Commonwealth Gazette notice), that is a public authority, to request the authority be amended or cancelled</w:t>
            </w:r>
          </w:p>
        </w:tc>
      </w:tr>
      <w:tr w:rsidR="00DB6E47" w:rsidRPr="007E1F9A" w14:paraId="0617E247" w14:textId="77777777" w:rsidTr="00DB6E47">
        <w:trPr>
          <w:trHeight w:val="1080"/>
        </w:trPr>
        <w:tc>
          <w:tcPr>
            <w:tcW w:w="2260" w:type="dxa"/>
            <w:tcMar>
              <w:top w:w="60" w:type="dxa"/>
              <w:left w:w="0" w:type="dxa"/>
              <w:bottom w:w="0" w:type="dxa"/>
              <w:right w:w="0" w:type="dxa"/>
            </w:tcMar>
          </w:tcPr>
          <w:p w14:paraId="2E3086FA" w14:textId="77777777" w:rsidR="00DB6E47" w:rsidRPr="005C5B2F" w:rsidRDefault="00DB6E47" w:rsidP="00DB6E47">
            <w:pPr>
              <w:pStyle w:val="TableText10"/>
              <w:tabs>
                <w:tab w:val="left" w:pos="84"/>
              </w:tabs>
              <w:ind w:left="98"/>
            </w:pPr>
            <w:r w:rsidRPr="006C3305">
              <w:t xml:space="preserve">section 178 </w:t>
            </w:r>
          </w:p>
        </w:tc>
        <w:tc>
          <w:tcPr>
            <w:tcW w:w="4920" w:type="dxa"/>
            <w:tcMar>
              <w:top w:w="60" w:type="dxa"/>
              <w:left w:w="0" w:type="dxa"/>
              <w:bottom w:w="0" w:type="dxa"/>
              <w:right w:w="0" w:type="dxa"/>
            </w:tcMar>
          </w:tcPr>
          <w:p w14:paraId="16B703C2" w14:textId="77777777" w:rsidR="00DB6E47" w:rsidRPr="006C3305" w:rsidRDefault="00DB6E47" w:rsidP="00DB6E47">
            <w:pPr>
              <w:pStyle w:val="TableText10"/>
              <w:tabs>
                <w:tab w:val="left" w:pos="84"/>
              </w:tabs>
              <w:ind w:left="98"/>
            </w:pPr>
            <w:r w:rsidRPr="006C3305">
              <w:t>decision of a relevant road manager for a mass or dimension authority (granted by giving a person a permit), that is a public authority, to request the authority be amended or cancelled</w:t>
            </w:r>
          </w:p>
        </w:tc>
      </w:tr>
    </w:tbl>
    <w:p w14:paraId="3D66810F" w14:textId="77777777" w:rsidR="004413DE" w:rsidRDefault="004413DE">
      <w:pPr>
        <w:pStyle w:val="03Schedule"/>
        <w:sectPr w:rsidR="004413DE">
          <w:headerReference w:type="even" r:id="rId134"/>
          <w:headerReference w:type="default" r:id="rId135"/>
          <w:footerReference w:type="even" r:id="rId136"/>
          <w:footerReference w:type="default" r:id="rId137"/>
          <w:type w:val="continuous"/>
          <w:pgSz w:w="11907" w:h="16839" w:code="9"/>
          <w:pgMar w:top="3880" w:right="1900" w:bottom="3100" w:left="2300" w:header="2280" w:footer="1760" w:gutter="0"/>
          <w:cols w:space="720"/>
        </w:sectPr>
      </w:pPr>
    </w:p>
    <w:p w14:paraId="70448AB0" w14:textId="77777777" w:rsidR="006767F0" w:rsidRPr="006767F0" w:rsidRDefault="006767F0" w:rsidP="006767F0">
      <w:pPr>
        <w:pStyle w:val="PageBreak"/>
      </w:pPr>
      <w:r w:rsidRPr="006767F0">
        <w:br w:type="page"/>
      </w:r>
    </w:p>
    <w:p w14:paraId="10896AC4" w14:textId="77777777" w:rsidR="00415928" w:rsidRPr="005E03F7" w:rsidRDefault="00415928" w:rsidP="0027565A">
      <w:pPr>
        <w:pStyle w:val="Sched-heading"/>
      </w:pPr>
      <w:bookmarkStart w:id="1015" w:name="_Toc83626359"/>
      <w:r w:rsidRPr="005E03F7">
        <w:rPr>
          <w:rStyle w:val="CharChapNo"/>
        </w:rPr>
        <w:lastRenderedPageBreak/>
        <w:t>Schedule 4</w:t>
      </w:r>
      <w:r w:rsidR="0027565A">
        <w:rPr>
          <w:lang w:val="en" w:eastAsia="en-AU"/>
        </w:rPr>
        <w:tab/>
      </w:r>
      <w:r w:rsidRPr="005E03F7">
        <w:rPr>
          <w:rStyle w:val="CharChapText"/>
          <w:lang w:val="en" w:eastAsia="en-AU"/>
        </w:rPr>
        <w:t>Liability provisions</w:t>
      </w:r>
      <w:bookmarkEnd w:id="1015"/>
    </w:p>
    <w:p w14:paraId="02D1992E" w14:textId="77777777" w:rsidR="0027565A" w:rsidRDefault="0027565A" w:rsidP="0027565A">
      <w:pPr>
        <w:pStyle w:val="Placeholder"/>
        <w:suppressLineNumbers/>
      </w:pPr>
      <w:r>
        <w:rPr>
          <w:rStyle w:val="CharPartNo"/>
        </w:rPr>
        <w:t xml:space="preserve">  </w:t>
      </w:r>
      <w:r>
        <w:rPr>
          <w:rStyle w:val="CharPartText"/>
        </w:rPr>
        <w:t xml:space="preserve">  </w:t>
      </w:r>
    </w:p>
    <w:p w14:paraId="3DEE2120" w14:textId="77777777" w:rsidR="00415928" w:rsidRPr="00415928" w:rsidRDefault="00415928" w:rsidP="0027565A">
      <w:pPr>
        <w:pStyle w:val="ref"/>
        <w:rPr>
          <w:lang w:val="en" w:eastAsia="en-AU"/>
        </w:rPr>
      </w:pPr>
      <w:r w:rsidRPr="00415928">
        <w:rPr>
          <w:lang w:val="en" w:eastAsia="en-AU"/>
        </w:rPr>
        <w:t>sections 636, 637 and 638</w:t>
      </w:r>
    </w:p>
    <w:p w14:paraId="737990EE" w14:textId="77777777" w:rsidR="00DB6E47" w:rsidRDefault="00415928" w:rsidP="0027565A">
      <w:pPr>
        <w:pStyle w:val="Amainreturn"/>
        <w:rPr>
          <w:lang w:val="en" w:eastAsia="en-AU"/>
        </w:rPr>
      </w:pPr>
      <w:r w:rsidRPr="00415928">
        <w:rPr>
          <w:lang w:val="en" w:eastAsia="en-AU"/>
        </w:rPr>
        <w:t>The provisions specified in column 2 of the following table are specified for the purposes of sections 636(1), 637(4) and 638(4).</w:t>
      </w:r>
    </w:p>
    <w:p w14:paraId="19B9F62C" w14:textId="77777777" w:rsidR="001A53F2" w:rsidRDefault="001A53F2">
      <w:pPr>
        <w:pStyle w:val="TableHd"/>
      </w:pPr>
    </w:p>
    <w:tbl>
      <w:tblPr>
        <w:tblW w:w="736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555"/>
        <w:gridCol w:w="5811"/>
      </w:tblGrid>
      <w:tr w:rsidR="006B1DFD" w:rsidRPr="00CB3D59" w14:paraId="5AD3055E" w14:textId="77777777" w:rsidTr="006B1DFD">
        <w:trPr>
          <w:cantSplit/>
          <w:tblHeader/>
        </w:trPr>
        <w:tc>
          <w:tcPr>
            <w:tcW w:w="1555" w:type="dxa"/>
            <w:tcBorders>
              <w:bottom w:val="single" w:sz="4" w:space="0" w:color="auto"/>
            </w:tcBorders>
          </w:tcPr>
          <w:p w14:paraId="0E25A544" w14:textId="77777777" w:rsidR="006B1DFD" w:rsidRPr="00CB3D59" w:rsidRDefault="006B1DFD" w:rsidP="001A53F2">
            <w:pPr>
              <w:pStyle w:val="TableColHd"/>
            </w:pPr>
            <w:r w:rsidRPr="00783A18">
              <w:t>column 1</w:t>
            </w:r>
          </w:p>
          <w:p w14:paraId="5541ECC8" w14:textId="77777777" w:rsidR="006B1DFD" w:rsidRPr="00CB3D59" w:rsidRDefault="006B1DFD" w:rsidP="001A53F2">
            <w:pPr>
              <w:pStyle w:val="TableColHd"/>
            </w:pPr>
            <w:r w:rsidRPr="001A53F2">
              <w:rPr>
                <w:lang w:eastAsia="en-AU"/>
              </w:rPr>
              <w:t>Section of</w:t>
            </w:r>
            <w:r>
              <w:rPr>
                <w:lang w:eastAsia="en-AU"/>
              </w:rPr>
              <w:t xml:space="preserve"> </w:t>
            </w:r>
            <w:r w:rsidRPr="001A53F2">
              <w:rPr>
                <w:lang w:eastAsia="en-AU"/>
              </w:rPr>
              <w:t>this Law</w:t>
            </w:r>
          </w:p>
        </w:tc>
        <w:tc>
          <w:tcPr>
            <w:tcW w:w="5811" w:type="dxa"/>
            <w:tcBorders>
              <w:bottom w:val="single" w:sz="4" w:space="0" w:color="auto"/>
            </w:tcBorders>
          </w:tcPr>
          <w:p w14:paraId="5D258EA5" w14:textId="77777777" w:rsidR="006B1DFD" w:rsidRDefault="006B1DFD" w:rsidP="001A53F2">
            <w:pPr>
              <w:pStyle w:val="TableColHd"/>
            </w:pPr>
            <w:r w:rsidRPr="00783A18">
              <w:t>column 2</w:t>
            </w:r>
          </w:p>
          <w:p w14:paraId="04DE2F8E" w14:textId="77777777" w:rsidR="006B1DFD" w:rsidRPr="00CB3D59" w:rsidRDefault="006B1DFD" w:rsidP="001A53F2">
            <w:pPr>
              <w:pStyle w:val="TableColHd"/>
            </w:pPr>
            <w:r w:rsidRPr="001A53F2">
              <w:rPr>
                <w:lang w:eastAsia="en-AU"/>
              </w:rPr>
              <w:t>Provision specified for sections 636(1), 637(4) and 638(4)</w:t>
            </w:r>
          </w:p>
        </w:tc>
      </w:tr>
      <w:tr w:rsidR="006B1DFD" w:rsidRPr="00CB3D59" w14:paraId="57E4AA77" w14:textId="77777777" w:rsidTr="006B1DFD">
        <w:trPr>
          <w:cantSplit/>
        </w:trPr>
        <w:tc>
          <w:tcPr>
            <w:tcW w:w="1555" w:type="dxa"/>
            <w:tcBorders>
              <w:top w:val="single" w:sz="4" w:space="0" w:color="auto"/>
            </w:tcBorders>
            <w:vAlign w:val="center"/>
          </w:tcPr>
          <w:p w14:paraId="6C81DC7C" w14:textId="77777777" w:rsidR="006B1DFD" w:rsidRPr="001A53F2" w:rsidRDefault="006B1DFD" w:rsidP="001E1C67">
            <w:pPr>
              <w:pStyle w:val="TableText10"/>
              <w:rPr>
                <w:lang w:eastAsia="en-AU"/>
              </w:rPr>
            </w:pPr>
            <w:r w:rsidRPr="001A53F2">
              <w:rPr>
                <w:lang w:eastAsia="en-AU"/>
              </w:rPr>
              <w:t>26E</w:t>
            </w:r>
          </w:p>
        </w:tc>
        <w:tc>
          <w:tcPr>
            <w:tcW w:w="5811" w:type="dxa"/>
            <w:tcBorders>
              <w:top w:val="single" w:sz="4" w:space="0" w:color="auto"/>
            </w:tcBorders>
            <w:vAlign w:val="center"/>
          </w:tcPr>
          <w:p w14:paraId="4CF46C1E" w14:textId="77777777" w:rsidR="006B1DFD" w:rsidRPr="001A53F2" w:rsidRDefault="006B1DFD" w:rsidP="001E1C67">
            <w:pPr>
              <w:pStyle w:val="TableText10"/>
              <w:rPr>
                <w:lang w:eastAsia="en-AU"/>
              </w:rPr>
            </w:pPr>
            <w:r w:rsidRPr="001A53F2">
              <w:rPr>
                <w:lang w:eastAsia="en-AU"/>
              </w:rPr>
              <w:t>26E(1), 26E(2)</w:t>
            </w:r>
          </w:p>
        </w:tc>
      </w:tr>
      <w:tr w:rsidR="006B1DFD" w:rsidRPr="00CB3D59" w14:paraId="5211A62B" w14:textId="77777777" w:rsidTr="006B1DFD">
        <w:trPr>
          <w:cantSplit/>
        </w:trPr>
        <w:tc>
          <w:tcPr>
            <w:tcW w:w="1555" w:type="dxa"/>
            <w:vAlign w:val="center"/>
          </w:tcPr>
          <w:p w14:paraId="7A6C82D3" w14:textId="77777777" w:rsidR="006B1DFD" w:rsidRPr="001A53F2" w:rsidRDefault="006B1DFD" w:rsidP="001E1C67">
            <w:pPr>
              <w:pStyle w:val="TableText10"/>
              <w:rPr>
                <w:lang w:eastAsia="en-AU"/>
              </w:rPr>
            </w:pPr>
            <w:r w:rsidRPr="001A53F2">
              <w:rPr>
                <w:lang w:eastAsia="en-AU"/>
              </w:rPr>
              <w:t>60</w:t>
            </w:r>
          </w:p>
        </w:tc>
        <w:tc>
          <w:tcPr>
            <w:tcW w:w="5811" w:type="dxa"/>
            <w:vAlign w:val="center"/>
          </w:tcPr>
          <w:p w14:paraId="2FE3D290" w14:textId="77777777" w:rsidR="006B1DFD" w:rsidRPr="001A53F2" w:rsidRDefault="006B1DFD" w:rsidP="001E1C67">
            <w:pPr>
              <w:pStyle w:val="TableText10"/>
              <w:rPr>
                <w:lang w:eastAsia="en-AU"/>
              </w:rPr>
            </w:pPr>
            <w:r w:rsidRPr="001A53F2">
              <w:rPr>
                <w:lang w:eastAsia="en-AU"/>
              </w:rPr>
              <w:t>60(1)</w:t>
            </w:r>
          </w:p>
        </w:tc>
      </w:tr>
      <w:tr w:rsidR="006B1DFD" w:rsidRPr="00CB3D59" w14:paraId="4CFE1BB3" w14:textId="77777777" w:rsidTr="006B1DFD">
        <w:trPr>
          <w:cantSplit/>
        </w:trPr>
        <w:tc>
          <w:tcPr>
            <w:tcW w:w="1555" w:type="dxa"/>
            <w:vAlign w:val="center"/>
          </w:tcPr>
          <w:p w14:paraId="0A20A0E2" w14:textId="77777777" w:rsidR="006B1DFD" w:rsidRPr="001A53F2" w:rsidRDefault="006B1DFD" w:rsidP="001E1C67">
            <w:pPr>
              <w:pStyle w:val="TableText10"/>
              <w:rPr>
                <w:lang w:eastAsia="en-AU"/>
              </w:rPr>
            </w:pPr>
            <w:r w:rsidRPr="001A53F2">
              <w:rPr>
                <w:lang w:eastAsia="en-AU"/>
              </w:rPr>
              <w:t>79</w:t>
            </w:r>
          </w:p>
        </w:tc>
        <w:tc>
          <w:tcPr>
            <w:tcW w:w="5811" w:type="dxa"/>
            <w:vAlign w:val="center"/>
          </w:tcPr>
          <w:p w14:paraId="20C8A8BD" w14:textId="77777777" w:rsidR="006B1DFD" w:rsidRPr="001A53F2" w:rsidRDefault="006B1DFD" w:rsidP="001E1C67">
            <w:pPr>
              <w:pStyle w:val="TableText10"/>
              <w:rPr>
                <w:lang w:eastAsia="en-AU"/>
              </w:rPr>
            </w:pPr>
            <w:r w:rsidRPr="001A53F2">
              <w:rPr>
                <w:lang w:eastAsia="en-AU"/>
              </w:rPr>
              <w:t>79(2)</w:t>
            </w:r>
          </w:p>
        </w:tc>
      </w:tr>
      <w:tr w:rsidR="006B1DFD" w:rsidRPr="00CB3D59" w14:paraId="71FC8EFB" w14:textId="77777777" w:rsidTr="006B1DFD">
        <w:trPr>
          <w:cantSplit/>
        </w:trPr>
        <w:tc>
          <w:tcPr>
            <w:tcW w:w="1555" w:type="dxa"/>
            <w:vAlign w:val="center"/>
          </w:tcPr>
          <w:p w14:paraId="4B796EFA" w14:textId="77777777" w:rsidR="006B1DFD" w:rsidRPr="001A53F2" w:rsidRDefault="006B1DFD" w:rsidP="001E1C67">
            <w:pPr>
              <w:pStyle w:val="TableText10"/>
              <w:rPr>
                <w:lang w:eastAsia="en-AU"/>
              </w:rPr>
            </w:pPr>
            <w:r w:rsidRPr="001A53F2">
              <w:rPr>
                <w:lang w:eastAsia="en-AU"/>
              </w:rPr>
              <w:t>81</w:t>
            </w:r>
          </w:p>
        </w:tc>
        <w:tc>
          <w:tcPr>
            <w:tcW w:w="5811" w:type="dxa"/>
            <w:vAlign w:val="center"/>
          </w:tcPr>
          <w:p w14:paraId="0CA35B91" w14:textId="77777777" w:rsidR="006B1DFD" w:rsidRPr="001A53F2" w:rsidRDefault="006B1DFD" w:rsidP="001E1C67">
            <w:pPr>
              <w:pStyle w:val="TableText10"/>
              <w:rPr>
                <w:lang w:eastAsia="en-AU"/>
              </w:rPr>
            </w:pPr>
            <w:r w:rsidRPr="001A53F2">
              <w:rPr>
                <w:lang w:eastAsia="en-AU"/>
              </w:rPr>
              <w:t>81(1), 81(2), 81(3)</w:t>
            </w:r>
          </w:p>
        </w:tc>
      </w:tr>
      <w:tr w:rsidR="006B1DFD" w:rsidRPr="00CB3D59" w14:paraId="5DF9B59F" w14:textId="77777777" w:rsidTr="006B1DFD">
        <w:trPr>
          <w:cantSplit/>
        </w:trPr>
        <w:tc>
          <w:tcPr>
            <w:tcW w:w="1555" w:type="dxa"/>
            <w:vAlign w:val="center"/>
          </w:tcPr>
          <w:p w14:paraId="01063410" w14:textId="77777777" w:rsidR="006B1DFD" w:rsidRPr="001A53F2" w:rsidRDefault="006B1DFD" w:rsidP="001E1C67">
            <w:pPr>
              <w:pStyle w:val="TableText10"/>
              <w:rPr>
                <w:lang w:eastAsia="en-AU"/>
              </w:rPr>
            </w:pPr>
            <w:r w:rsidRPr="001A53F2">
              <w:rPr>
                <w:lang w:eastAsia="en-AU"/>
              </w:rPr>
              <w:t>85</w:t>
            </w:r>
          </w:p>
        </w:tc>
        <w:tc>
          <w:tcPr>
            <w:tcW w:w="5811" w:type="dxa"/>
            <w:vAlign w:val="center"/>
          </w:tcPr>
          <w:p w14:paraId="66080D79" w14:textId="77777777" w:rsidR="006B1DFD" w:rsidRPr="001A53F2" w:rsidRDefault="006B1DFD" w:rsidP="001E1C67">
            <w:pPr>
              <w:pStyle w:val="TableText10"/>
              <w:rPr>
                <w:lang w:eastAsia="en-AU"/>
              </w:rPr>
            </w:pPr>
            <w:r w:rsidRPr="001A53F2">
              <w:rPr>
                <w:lang w:eastAsia="en-AU"/>
              </w:rPr>
              <w:t>85(2)</w:t>
            </w:r>
          </w:p>
        </w:tc>
      </w:tr>
      <w:tr w:rsidR="006B1DFD" w:rsidRPr="00CB3D59" w14:paraId="61CDDF16" w14:textId="77777777" w:rsidTr="006B1DFD">
        <w:trPr>
          <w:cantSplit/>
        </w:trPr>
        <w:tc>
          <w:tcPr>
            <w:tcW w:w="1555" w:type="dxa"/>
            <w:vAlign w:val="center"/>
          </w:tcPr>
          <w:p w14:paraId="4FB971D2" w14:textId="77777777" w:rsidR="006B1DFD" w:rsidRPr="001A53F2" w:rsidRDefault="006B1DFD" w:rsidP="001E1C67">
            <w:pPr>
              <w:pStyle w:val="TableText10"/>
              <w:rPr>
                <w:lang w:eastAsia="en-AU"/>
              </w:rPr>
            </w:pPr>
            <w:r w:rsidRPr="001A53F2">
              <w:rPr>
                <w:lang w:eastAsia="en-AU"/>
              </w:rPr>
              <w:t>87A</w:t>
            </w:r>
          </w:p>
        </w:tc>
        <w:tc>
          <w:tcPr>
            <w:tcW w:w="5811" w:type="dxa"/>
            <w:vAlign w:val="center"/>
          </w:tcPr>
          <w:p w14:paraId="1850760F" w14:textId="77777777" w:rsidR="006B1DFD" w:rsidRPr="001A53F2" w:rsidRDefault="006B1DFD" w:rsidP="001E1C67">
            <w:pPr>
              <w:pStyle w:val="TableText10"/>
              <w:rPr>
                <w:lang w:eastAsia="en-AU"/>
              </w:rPr>
            </w:pPr>
            <w:r w:rsidRPr="001A53F2">
              <w:rPr>
                <w:lang w:eastAsia="en-AU"/>
              </w:rPr>
              <w:t>87A(1)</w:t>
            </w:r>
          </w:p>
        </w:tc>
      </w:tr>
      <w:tr w:rsidR="006B1DFD" w:rsidRPr="00CB3D59" w14:paraId="4919AE8D" w14:textId="77777777" w:rsidTr="006B1DFD">
        <w:trPr>
          <w:cantSplit/>
        </w:trPr>
        <w:tc>
          <w:tcPr>
            <w:tcW w:w="1555" w:type="dxa"/>
            <w:vAlign w:val="center"/>
          </w:tcPr>
          <w:p w14:paraId="31F42D54" w14:textId="77777777" w:rsidR="006B1DFD" w:rsidRPr="001A53F2" w:rsidRDefault="006B1DFD" w:rsidP="001E1C67">
            <w:pPr>
              <w:pStyle w:val="TableText10"/>
              <w:rPr>
                <w:lang w:eastAsia="en-AU"/>
              </w:rPr>
            </w:pPr>
            <w:r w:rsidRPr="001A53F2">
              <w:rPr>
                <w:lang w:eastAsia="en-AU"/>
              </w:rPr>
              <w:t>89</w:t>
            </w:r>
          </w:p>
        </w:tc>
        <w:tc>
          <w:tcPr>
            <w:tcW w:w="5811" w:type="dxa"/>
            <w:vAlign w:val="center"/>
          </w:tcPr>
          <w:p w14:paraId="7F7BBD4A" w14:textId="77777777" w:rsidR="006B1DFD" w:rsidRPr="001A53F2" w:rsidRDefault="006B1DFD" w:rsidP="001E1C67">
            <w:pPr>
              <w:pStyle w:val="TableText10"/>
              <w:rPr>
                <w:lang w:eastAsia="en-AU"/>
              </w:rPr>
            </w:pPr>
            <w:r w:rsidRPr="001A53F2">
              <w:rPr>
                <w:lang w:eastAsia="en-AU"/>
              </w:rPr>
              <w:t>89(1)</w:t>
            </w:r>
          </w:p>
        </w:tc>
      </w:tr>
      <w:tr w:rsidR="006B1DFD" w:rsidRPr="00CB3D59" w14:paraId="2666467A" w14:textId="77777777" w:rsidTr="006B1DFD">
        <w:trPr>
          <w:cantSplit/>
        </w:trPr>
        <w:tc>
          <w:tcPr>
            <w:tcW w:w="1555" w:type="dxa"/>
            <w:vAlign w:val="center"/>
          </w:tcPr>
          <w:p w14:paraId="794A3BFF" w14:textId="77777777" w:rsidR="006B1DFD" w:rsidRPr="001A53F2" w:rsidRDefault="006B1DFD" w:rsidP="001E1C67">
            <w:pPr>
              <w:pStyle w:val="TableText10"/>
              <w:rPr>
                <w:lang w:eastAsia="en-AU"/>
              </w:rPr>
            </w:pPr>
            <w:r w:rsidRPr="001A53F2">
              <w:rPr>
                <w:lang w:eastAsia="en-AU"/>
              </w:rPr>
              <w:t>93</w:t>
            </w:r>
          </w:p>
        </w:tc>
        <w:tc>
          <w:tcPr>
            <w:tcW w:w="5811" w:type="dxa"/>
            <w:vAlign w:val="center"/>
          </w:tcPr>
          <w:p w14:paraId="2FECB19B" w14:textId="77777777" w:rsidR="006B1DFD" w:rsidRPr="001A53F2" w:rsidRDefault="006B1DFD" w:rsidP="001E1C67">
            <w:pPr>
              <w:pStyle w:val="TableText10"/>
              <w:rPr>
                <w:lang w:eastAsia="en-AU"/>
              </w:rPr>
            </w:pPr>
            <w:r w:rsidRPr="001A53F2">
              <w:rPr>
                <w:lang w:eastAsia="en-AU"/>
              </w:rPr>
              <w:t>93(1), 93(2), 93(3)</w:t>
            </w:r>
          </w:p>
        </w:tc>
      </w:tr>
      <w:tr w:rsidR="006B1DFD" w:rsidRPr="00CB3D59" w14:paraId="56454928" w14:textId="77777777" w:rsidTr="006B1DFD">
        <w:trPr>
          <w:cantSplit/>
        </w:trPr>
        <w:tc>
          <w:tcPr>
            <w:tcW w:w="1555" w:type="dxa"/>
            <w:vAlign w:val="center"/>
          </w:tcPr>
          <w:p w14:paraId="3CAA6E84" w14:textId="77777777" w:rsidR="006B1DFD" w:rsidRPr="001A53F2" w:rsidRDefault="006B1DFD" w:rsidP="001E1C67">
            <w:pPr>
              <w:pStyle w:val="TableText10"/>
              <w:rPr>
                <w:lang w:eastAsia="en-AU"/>
              </w:rPr>
            </w:pPr>
            <w:r w:rsidRPr="001A53F2">
              <w:rPr>
                <w:lang w:eastAsia="en-AU"/>
              </w:rPr>
              <w:t>129</w:t>
            </w:r>
          </w:p>
        </w:tc>
        <w:tc>
          <w:tcPr>
            <w:tcW w:w="5811" w:type="dxa"/>
            <w:vAlign w:val="center"/>
          </w:tcPr>
          <w:p w14:paraId="715EA0A2" w14:textId="77777777" w:rsidR="006B1DFD" w:rsidRPr="001A53F2" w:rsidRDefault="006B1DFD" w:rsidP="001E1C67">
            <w:pPr>
              <w:pStyle w:val="TableText10"/>
              <w:rPr>
                <w:lang w:eastAsia="en-AU"/>
              </w:rPr>
            </w:pPr>
            <w:r w:rsidRPr="001A53F2">
              <w:rPr>
                <w:lang w:eastAsia="en-AU"/>
              </w:rPr>
              <w:t>129(1), 129(2), 129(3)</w:t>
            </w:r>
          </w:p>
        </w:tc>
      </w:tr>
      <w:tr w:rsidR="006B1DFD" w:rsidRPr="00CB3D59" w14:paraId="32A42DF9" w14:textId="77777777" w:rsidTr="006B1DFD">
        <w:trPr>
          <w:cantSplit/>
        </w:trPr>
        <w:tc>
          <w:tcPr>
            <w:tcW w:w="1555" w:type="dxa"/>
            <w:vAlign w:val="center"/>
          </w:tcPr>
          <w:p w14:paraId="3B14695C" w14:textId="77777777" w:rsidR="006B1DFD" w:rsidRPr="001A53F2" w:rsidRDefault="006B1DFD" w:rsidP="001E1C67">
            <w:pPr>
              <w:pStyle w:val="TableText10"/>
              <w:rPr>
                <w:lang w:eastAsia="en-AU"/>
              </w:rPr>
            </w:pPr>
            <w:r w:rsidRPr="001A53F2">
              <w:rPr>
                <w:lang w:eastAsia="en-AU"/>
              </w:rPr>
              <w:t>130</w:t>
            </w:r>
          </w:p>
        </w:tc>
        <w:tc>
          <w:tcPr>
            <w:tcW w:w="5811" w:type="dxa"/>
            <w:vAlign w:val="center"/>
          </w:tcPr>
          <w:p w14:paraId="191AC27E" w14:textId="77777777" w:rsidR="006B1DFD" w:rsidRPr="001A53F2" w:rsidRDefault="006B1DFD" w:rsidP="001E1C67">
            <w:pPr>
              <w:pStyle w:val="TableText10"/>
              <w:rPr>
                <w:lang w:eastAsia="en-AU"/>
              </w:rPr>
            </w:pPr>
            <w:r w:rsidRPr="001A53F2">
              <w:rPr>
                <w:lang w:eastAsia="en-AU"/>
              </w:rPr>
              <w:t>130(3)</w:t>
            </w:r>
          </w:p>
        </w:tc>
      </w:tr>
      <w:tr w:rsidR="006B1DFD" w:rsidRPr="00CB3D59" w14:paraId="5943FAFC" w14:textId="77777777" w:rsidTr="006B1DFD">
        <w:trPr>
          <w:cantSplit/>
        </w:trPr>
        <w:tc>
          <w:tcPr>
            <w:tcW w:w="1555" w:type="dxa"/>
            <w:vAlign w:val="center"/>
          </w:tcPr>
          <w:p w14:paraId="5F8466E6" w14:textId="77777777" w:rsidR="006B1DFD" w:rsidRPr="001A53F2" w:rsidRDefault="006B1DFD" w:rsidP="001E1C67">
            <w:pPr>
              <w:pStyle w:val="TableText10"/>
              <w:rPr>
                <w:lang w:eastAsia="en-AU"/>
              </w:rPr>
            </w:pPr>
            <w:r w:rsidRPr="001A53F2">
              <w:rPr>
                <w:lang w:eastAsia="en-AU"/>
              </w:rPr>
              <w:t>137</w:t>
            </w:r>
          </w:p>
        </w:tc>
        <w:tc>
          <w:tcPr>
            <w:tcW w:w="5811" w:type="dxa"/>
            <w:vAlign w:val="center"/>
          </w:tcPr>
          <w:p w14:paraId="756C5D4B" w14:textId="77777777" w:rsidR="006B1DFD" w:rsidRPr="001A53F2" w:rsidRDefault="006B1DFD" w:rsidP="001E1C67">
            <w:pPr>
              <w:pStyle w:val="TableText10"/>
              <w:rPr>
                <w:lang w:eastAsia="en-AU"/>
              </w:rPr>
            </w:pPr>
            <w:r w:rsidRPr="001A53F2">
              <w:rPr>
                <w:lang w:eastAsia="en-AU"/>
              </w:rPr>
              <w:t>137</w:t>
            </w:r>
          </w:p>
        </w:tc>
      </w:tr>
      <w:tr w:rsidR="006B1DFD" w:rsidRPr="00CB3D59" w14:paraId="5245189A" w14:textId="77777777" w:rsidTr="006B1DFD">
        <w:trPr>
          <w:cantSplit/>
        </w:trPr>
        <w:tc>
          <w:tcPr>
            <w:tcW w:w="1555" w:type="dxa"/>
            <w:vAlign w:val="center"/>
          </w:tcPr>
          <w:p w14:paraId="20006F63" w14:textId="77777777" w:rsidR="006B1DFD" w:rsidRPr="001A53F2" w:rsidRDefault="006B1DFD" w:rsidP="001E1C67">
            <w:pPr>
              <w:pStyle w:val="TableText10"/>
              <w:rPr>
                <w:lang w:eastAsia="en-AU"/>
              </w:rPr>
            </w:pPr>
            <w:r w:rsidRPr="001A53F2">
              <w:rPr>
                <w:lang w:eastAsia="en-AU"/>
              </w:rPr>
              <w:t>150</w:t>
            </w:r>
          </w:p>
        </w:tc>
        <w:tc>
          <w:tcPr>
            <w:tcW w:w="5811" w:type="dxa"/>
            <w:vAlign w:val="center"/>
          </w:tcPr>
          <w:p w14:paraId="4BBDFAA3" w14:textId="77777777" w:rsidR="006B1DFD" w:rsidRPr="001A53F2" w:rsidRDefault="006B1DFD" w:rsidP="001E1C67">
            <w:pPr>
              <w:pStyle w:val="TableText10"/>
              <w:rPr>
                <w:lang w:eastAsia="en-AU"/>
              </w:rPr>
            </w:pPr>
            <w:r w:rsidRPr="001A53F2">
              <w:rPr>
                <w:lang w:eastAsia="en-AU"/>
              </w:rPr>
              <w:t>150(1)</w:t>
            </w:r>
          </w:p>
        </w:tc>
      </w:tr>
      <w:tr w:rsidR="006B1DFD" w:rsidRPr="00CB3D59" w14:paraId="27D9C7A9" w14:textId="77777777" w:rsidTr="006B1DFD">
        <w:trPr>
          <w:cantSplit/>
        </w:trPr>
        <w:tc>
          <w:tcPr>
            <w:tcW w:w="1555" w:type="dxa"/>
            <w:vAlign w:val="center"/>
          </w:tcPr>
          <w:p w14:paraId="3FCDC089" w14:textId="77777777" w:rsidR="006B1DFD" w:rsidRPr="001A53F2" w:rsidRDefault="006B1DFD" w:rsidP="001E1C67">
            <w:pPr>
              <w:pStyle w:val="TableText10"/>
              <w:rPr>
                <w:lang w:eastAsia="en-AU"/>
              </w:rPr>
            </w:pPr>
            <w:r w:rsidRPr="001A53F2">
              <w:rPr>
                <w:lang w:eastAsia="en-AU"/>
              </w:rPr>
              <w:t>153A</w:t>
            </w:r>
          </w:p>
        </w:tc>
        <w:tc>
          <w:tcPr>
            <w:tcW w:w="5811" w:type="dxa"/>
            <w:vAlign w:val="center"/>
          </w:tcPr>
          <w:p w14:paraId="53601385" w14:textId="77777777" w:rsidR="006B1DFD" w:rsidRPr="001A53F2" w:rsidRDefault="006B1DFD" w:rsidP="001E1C67">
            <w:pPr>
              <w:pStyle w:val="TableText10"/>
              <w:rPr>
                <w:lang w:eastAsia="en-AU"/>
              </w:rPr>
            </w:pPr>
            <w:r w:rsidRPr="001A53F2">
              <w:rPr>
                <w:lang w:eastAsia="en-AU"/>
              </w:rPr>
              <w:t>153A(1)</w:t>
            </w:r>
          </w:p>
        </w:tc>
      </w:tr>
      <w:tr w:rsidR="006B1DFD" w:rsidRPr="00CB3D59" w14:paraId="22B759B0" w14:textId="77777777" w:rsidTr="006B1DFD">
        <w:trPr>
          <w:cantSplit/>
        </w:trPr>
        <w:tc>
          <w:tcPr>
            <w:tcW w:w="1555" w:type="dxa"/>
            <w:vAlign w:val="center"/>
          </w:tcPr>
          <w:p w14:paraId="68CD58E9" w14:textId="77777777" w:rsidR="006B1DFD" w:rsidRPr="001A53F2" w:rsidRDefault="006B1DFD" w:rsidP="001E1C67">
            <w:pPr>
              <w:pStyle w:val="TableText10"/>
              <w:rPr>
                <w:lang w:eastAsia="en-AU"/>
              </w:rPr>
            </w:pPr>
            <w:r w:rsidRPr="001A53F2">
              <w:rPr>
                <w:lang w:eastAsia="en-AU"/>
              </w:rPr>
              <w:t>181</w:t>
            </w:r>
          </w:p>
        </w:tc>
        <w:tc>
          <w:tcPr>
            <w:tcW w:w="5811" w:type="dxa"/>
            <w:vAlign w:val="center"/>
          </w:tcPr>
          <w:p w14:paraId="28D8DD87" w14:textId="77777777" w:rsidR="006B1DFD" w:rsidRPr="001A53F2" w:rsidRDefault="006B1DFD" w:rsidP="001E1C67">
            <w:pPr>
              <w:pStyle w:val="TableText10"/>
              <w:rPr>
                <w:lang w:eastAsia="en-AU"/>
              </w:rPr>
            </w:pPr>
            <w:r w:rsidRPr="001A53F2">
              <w:rPr>
                <w:lang w:eastAsia="en-AU"/>
              </w:rPr>
              <w:t>181(3)</w:t>
            </w:r>
          </w:p>
        </w:tc>
      </w:tr>
      <w:tr w:rsidR="006B1DFD" w:rsidRPr="00CB3D59" w14:paraId="05AF15BD" w14:textId="77777777" w:rsidTr="006B1DFD">
        <w:trPr>
          <w:cantSplit/>
        </w:trPr>
        <w:tc>
          <w:tcPr>
            <w:tcW w:w="1555" w:type="dxa"/>
            <w:vAlign w:val="center"/>
          </w:tcPr>
          <w:p w14:paraId="6EF88003" w14:textId="77777777" w:rsidR="006B1DFD" w:rsidRPr="001A53F2" w:rsidRDefault="006B1DFD" w:rsidP="001E1C67">
            <w:pPr>
              <w:pStyle w:val="TableText10"/>
              <w:rPr>
                <w:lang w:eastAsia="en-AU"/>
              </w:rPr>
            </w:pPr>
            <w:r w:rsidRPr="001A53F2">
              <w:rPr>
                <w:lang w:eastAsia="en-AU"/>
              </w:rPr>
              <w:t>185</w:t>
            </w:r>
          </w:p>
        </w:tc>
        <w:tc>
          <w:tcPr>
            <w:tcW w:w="5811" w:type="dxa"/>
            <w:vAlign w:val="center"/>
          </w:tcPr>
          <w:p w14:paraId="4E53F371" w14:textId="77777777" w:rsidR="006B1DFD" w:rsidRPr="001A53F2" w:rsidRDefault="006B1DFD" w:rsidP="001E1C67">
            <w:pPr>
              <w:pStyle w:val="TableText10"/>
              <w:rPr>
                <w:lang w:eastAsia="en-AU"/>
              </w:rPr>
            </w:pPr>
            <w:r w:rsidRPr="001A53F2">
              <w:rPr>
                <w:lang w:eastAsia="en-AU"/>
              </w:rPr>
              <w:t>185(1), 185(2)</w:t>
            </w:r>
          </w:p>
        </w:tc>
      </w:tr>
      <w:tr w:rsidR="006B1DFD" w:rsidRPr="00CB3D59" w14:paraId="012F1AE0" w14:textId="77777777" w:rsidTr="006B1DFD">
        <w:trPr>
          <w:cantSplit/>
        </w:trPr>
        <w:tc>
          <w:tcPr>
            <w:tcW w:w="1555" w:type="dxa"/>
            <w:vAlign w:val="center"/>
          </w:tcPr>
          <w:p w14:paraId="28E1A56A" w14:textId="77777777" w:rsidR="006B1DFD" w:rsidRPr="001A53F2" w:rsidRDefault="006B1DFD" w:rsidP="001E1C67">
            <w:pPr>
              <w:pStyle w:val="TableText10"/>
              <w:rPr>
                <w:lang w:eastAsia="en-AU"/>
              </w:rPr>
            </w:pPr>
            <w:r w:rsidRPr="001A53F2">
              <w:rPr>
                <w:lang w:eastAsia="en-AU"/>
              </w:rPr>
              <w:t>186</w:t>
            </w:r>
          </w:p>
        </w:tc>
        <w:tc>
          <w:tcPr>
            <w:tcW w:w="5811" w:type="dxa"/>
            <w:vAlign w:val="center"/>
          </w:tcPr>
          <w:p w14:paraId="73939E5C" w14:textId="77777777" w:rsidR="006B1DFD" w:rsidRPr="001A53F2" w:rsidRDefault="006B1DFD" w:rsidP="001E1C67">
            <w:pPr>
              <w:pStyle w:val="TableText10"/>
              <w:rPr>
                <w:lang w:eastAsia="en-AU"/>
              </w:rPr>
            </w:pPr>
            <w:r w:rsidRPr="001A53F2">
              <w:rPr>
                <w:lang w:eastAsia="en-AU"/>
              </w:rPr>
              <w:t>186(2), 186(3), 186(4), 186(5)</w:t>
            </w:r>
          </w:p>
        </w:tc>
      </w:tr>
      <w:tr w:rsidR="006B1DFD" w:rsidRPr="00CB3D59" w14:paraId="452840D7" w14:textId="77777777" w:rsidTr="006B1DFD">
        <w:trPr>
          <w:cantSplit/>
        </w:trPr>
        <w:tc>
          <w:tcPr>
            <w:tcW w:w="1555" w:type="dxa"/>
            <w:vAlign w:val="center"/>
          </w:tcPr>
          <w:p w14:paraId="0726A2C6" w14:textId="77777777" w:rsidR="006B1DFD" w:rsidRPr="001A53F2" w:rsidRDefault="006B1DFD" w:rsidP="001E1C67">
            <w:pPr>
              <w:pStyle w:val="TableText10"/>
              <w:rPr>
                <w:lang w:eastAsia="en-AU"/>
              </w:rPr>
            </w:pPr>
            <w:r w:rsidRPr="001A53F2">
              <w:rPr>
                <w:lang w:eastAsia="en-AU"/>
              </w:rPr>
              <w:t>187</w:t>
            </w:r>
          </w:p>
        </w:tc>
        <w:tc>
          <w:tcPr>
            <w:tcW w:w="5811" w:type="dxa"/>
            <w:vAlign w:val="center"/>
          </w:tcPr>
          <w:p w14:paraId="703F3D86" w14:textId="77777777" w:rsidR="006B1DFD" w:rsidRPr="001A53F2" w:rsidRDefault="006B1DFD" w:rsidP="001E1C67">
            <w:pPr>
              <w:pStyle w:val="TableText10"/>
              <w:rPr>
                <w:lang w:eastAsia="en-AU"/>
              </w:rPr>
            </w:pPr>
            <w:r w:rsidRPr="001A53F2">
              <w:rPr>
                <w:lang w:eastAsia="en-AU"/>
              </w:rPr>
              <w:t>187(2), 187(3)</w:t>
            </w:r>
          </w:p>
        </w:tc>
      </w:tr>
      <w:tr w:rsidR="006B1DFD" w:rsidRPr="00CB3D59" w14:paraId="2144FFDD" w14:textId="77777777" w:rsidTr="006B1DFD">
        <w:trPr>
          <w:cantSplit/>
        </w:trPr>
        <w:tc>
          <w:tcPr>
            <w:tcW w:w="1555" w:type="dxa"/>
            <w:vAlign w:val="center"/>
          </w:tcPr>
          <w:p w14:paraId="344C63C7" w14:textId="77777777" w:rsidR="006B1DFD" w:rsidRPr="001A53F2" w:rsidRDefault="006B1DFD" w:rsidP="001E1C67">
            <w:pPr>
              <w:pStyle w:val="TableText10"/>
              <w:rPr>
                <w:lang w:eastAsia="en-AU"/>
              </w:rPr>
            </w:pPr>
            <w:r w:rsidRPr="001A53F2">
              <w:rPr>
                <w:lang w:eastAsia="en-AU"/>
              </w:rPr>
              <w:t>190</w:t>
            </w:r>
          </w:p>
        </w:tc>
        <w:tc>
          <w:tcPr>
            <w:tcW w:w="5811" w:type="dxa"/>
            <w:vAlign w:val="center"/>
          </w:tcPr>
          <w:p w14:paraId="719CA3CE" w14:textId="77777777" w:rsidR="006B1DFD" w:rsidRPr="001A53F2" w:rsidRDefault="006B1DFD" w:rsidP="001E1C67">
            <w:pPr>
              <w:pStyle w:val="TableText10"/>
              <w:rPr>
                <w:lang w:eastAsia="en-AU"/>
              </w:rPr>
            </w:pPr>
            <w:r w:rsidRPr="001A53F2">
              <w:rPr>
                <w:lang w:eastAsia="en-AU"/>
              </w:rPr>
              <w:t>190(1)</w:t>
            </w:r>
          </w:p>
        </w:tc>
      </w:tr>
      <w:tr w:rsidR="006B1DFD" w:rsidRPr="00CB3D59" w14:paraId="360627D1" w14:textId="77777777" w:rsidTr="006B1DFD">
        <w:trPr>
          <w:cantSplit/>
        </w:trPr>
        <w:tc>
          <w:tcPr>
            <w:tcW w:w="1555" w:type="dxa"/>
            <w:vAlign w:val="center"/>
          </w:tcPr>
          <w:p w14:paraId="6F1875A8" w14:textId="77777777" w:rsidR="006B1DFD" w:rsidRPr="001A53F2" w:rsidRDefault="006B1DFD" w:rsidP="001E1C67">
            <w:pPr>
              <w:pStyle w:val="TableText10"/>
              <w:rPr>
                <w:lang w:eastAsia="en-AU"/>
              </w:rPr>
            </w:pPr>
            <w:r w:rsidRPr="001A53F2">
              <w:rPr>
                <w:lang w:eastAsia="en-AU"/>
              </w:rPr>
              <w:t>191</w:t>
            </w:r>
          </w:p>
        </w:tc>
        <w:tc>
          <w:tcPr>
            <w:tcW w:w="5811" w:type="dxa"/>
            <w:vAlign w:val="center"/>
          </w:tcPr>
          <w:p w14:paraId="1866ACF6" w14:textId="77777777" w:rsidR="006B1DFD" w:rsidRPr="001A53F2" w:rsidRDefault="006B1DFD" w:rsidP="001E1C67">
            <w:pPr>
              <w:pStyle w:val="TableText10"/>
              <w:rPr>
                <w:lang w:eastAsia="en-AU"/>
              </w:rPr>
            </w:pPr>
            <w:r w:rsidRPr="001A53F2">
              <w:rPr>
                <w:lang w:eastAsia="en-AU"/>
              </w:rPr>
              <w:t>191(1), 191(3)</w:t>
            </w:r>
          </w:p>
        </w:tc>
      </w:tr>
      <w:tr w:rsidR="006B1DFD" w:rsidRPr="00CB3D59" w14:paraId="77AD04D0" w14:textId="77777777" w:rsidTr="006B1DFD">
        <w:trPr>
          <w:cantSplit/>
        </w:trPr>
        <w:tc>
          <w:tcPr>
            <w:tcW w:w="1555" w:type="dxa"/>
            <w:vAlign w:val="center"/>
          </w:tcPr>
          <w:p w14:paraId="25325D96" w14:textId="77777777" w:rsidR="006B1DFD" w:rsidRPr="001A53F2" w:rsidRDefault="006B1DFD" w:rsidP="001E1C67">
            <w:pPr>
              <w:pStyle w:val="TableText10"/>
              <w:rPr>
                <w:lang w:eastAsia="en-AU"/>
              </w:rPr>
            </w:pPr>
            <w:r w:rsidRPr="001A53F2">
              <w:rPr>
                <w:lang w:eastAsia="en-AU"/>
              </w:rPr>
              <w:lastRenderedPageBreak/>
              <w:t>193</w:t>
            </w:r>
          </w:p>
        </w:tc>
        <w:tc>
          <w:tcPr>
            <w:tcW w:w="5811" w:type="dxa"/>
            <w:vAlign w:val="center"/>
          </w:tcPr>
          <w:p w14:paraId="183D031C" w14:textId="77777777" w:rsidR="006B1DFD" w:rsidRPr="001A53F2" w:rsidRDefault="006B1DFD" w:rsidP="001E1C67">
            <w:pPr>
              <w:pStyle w:val="TableText10"/>
              <w:rPr>
                <w:lang w:eastAsia="en-AU"/>
              </w:rPr>
            </w:pPr>
            <w:r w:rsidRPr="001A53F2">
              <w:rPr>
                <w:lang w:eastAsia="en-AU"/>
              </w:rPr>
              <w:t>193(2)</w:t>
            </w:r>
          </w:p>
        </w:tc>
      </w:tr>
      <w:tr w:rsidR="006B1DFD" w:rsidRPr="00CB3D59" w14:paraId="3E42E0D1" w14:textId="77777777" w:rsidTr="006B1DFD">
        <w:trPr>
          <w:cantSplit/>
        </w:trPr>
        <w:tc>
          <w:tcPr>
            <w:tcW w:w="1555" w:type="dxa"/>
            <w:vAlign w:val="center"/>
          </w:tcPr>
          <w:p w14:paraId="439E8FE1" w14:textId="77777777" w:rsidR="006B1DFD" w:rsidRPr="001A53F2" w:rsidRDefault="006B1DFD" w:rsidP="001E1C67">
            <w:pPr>
              <w:pStyle w:val="TableText10"/>
              <w:rPr>
                <w:lang w:eastAsia="en-AU"/>
              </w:rPr>
            </w:pPr>
            <w:r w:rsidRPr="001A53F2">
              <w:rPr>
                <w:lang w:eastAsia="en-AU"/>
              </w:rPr>
              <w:t>264</w:t>
            </w:r>
          </w:p>
        </w:tc>
        <w:tc>
          <w:tcPr>
            <w:tcW w:w="5811" w:type="dxa"/>
            <w:vAlign w:val="center"/>
          </w:tcPr>
          <w:p w14:paraId="35028F5E" w14:textId="77777777" w:rsidR="006B1DFD" w:rsidRPr="001A53F2" w:rsidRDefault="006B1DFD" w:rsidP="001E1C67">
            <w:pPr>
              <w:pStyle w:val="TableText10"/>
              <w:rPr>
                <w:lang w:eastAsia="en-AU"/>
              </w:rPr>
            </w:pPr>
            <w:r w:rsidRPr="001A53F2">
              <w:rPr>
                <w:lang w:eastAsia="en-AU"/>
              </w:rPr>
              <w:t>264(2)</w:t>
            </w:r>
          </w:p>
        </w:tc>
      </w:tr>
      <w:tr w:rsidR="006B1DFD" w:rsidRPr="00CB3D59" w14:paraId="61B33CA9" w14:textId="77777777" w:rsidTr="006B1DFD">
        <w:trPr>
          <w:cantSplit/>
        </w:trPr>
        <w:tc>
          <w:tcPr>
            <w:tcW w:w="1555" w:type="dxa"/>
            <w:vAlign w:val="center"/>
          </w:tcPr>
          <w:p w14:paraId="26B77956" w14:textId="77777777" w:rsidR="006B1DFD" w:rsidRPr="001A53F2" w:rsidRDefault="006B1DFD" w:rsidP="001E1C67">
            <w:pPr>
              <w:pStyle w:val="TableText10"/>
              <w:rPr>
                <w:lang w:eastAsia="en-AU"/>
              </w:rPr>
            </w:pPr>
            <w:r w:rsidRPr="001A53F2">
              <w:rPr>
                <w:lang w:eastAsia="en-AU"/>
              </w:rPr>
              <w:t>284</w:t>
            </w:r>
          </w:p>
        </w:tc>
        <w:tc>
          <w:tcPr>
            <w:tcW w:w="5811" w:type="dxa"/>
            <w:vAlign w:val="center"/>
          </w:tcPr>
          <w:p w14:paraId="67B68FB0" w14:textId="77777777" w:rsidR="006B1DFD" w:rsidRPr="001A53F2" w:rsidRDefault="006B1DFD" w:rsidP="001E1C67">
            <w:pPr>
              <w:pStyle w:val="TableText10"/>
              <w:rPr>
                <w:lang w:eastAsia="en-AU"/>
              </w:rPr>
            </w:pPr>
            <w:r w:rsidRPr="001A53F2">
              <w:rPr>
                <w:lang w:eastAsia="en-AU"/>
              </w:rPr>
              <w:t>284(2)</w:t>
            </w:r>
          </w:p>
        </w:tc>
      </w:tr>
      <w:tr w:rsidR="006B1DFD" w:rsidRPr="00CB3D59" w14:paraId="30DFFE79" w14:textId="77777777" w:rsidTr="006B1DFD">
        <w:trPr>
          <w:cantSplit/>
        </w:trPr>
        <w:tc>
          <w:tcPr>
            <w:tcW w:w="1555" w:type="dxa"/>
            <w:vAlign w:val="center"/>
          </w:tcPr>
          <w:p w14:paraId="342B048C" w14:textId="77777777" w:rsidR="006B1DFD" w:rsidRPr="001A53F2" w:rsidRDefault="006B1DFD" w:rsidP="001E1C67">
            <w:pPr>
              <w:pStyle w:val="TableText10"/>
              <w:rPr>
                <w:lang w:eastAsia="en-AU"/>
              </w:rPr>
            </w:pPr>
            <w:r w:rsidRPr="001A53F2">
              <w:rPr>
                <w:lang w:eastAsia="en-AU"/>
              </w:rPr>
              <w:t>286</w:t>
            </w:r>
          </w:p>
        </w:tc>
        <w:tc>
          <w:tcPr>
            <w:tcW w:w="5811" w:type="dxa"/>
            <w:vAlign w:val="center"/>
          </w:tcPr>
          <w:p w14:paraId="715A50F0" w14:textId="77777777" w:rsidR="006B1DFD" w:rsidRPr="001A53F2" w:rsidRDefault="006B1DFD" w:rsidP="001E1C67">
            <w:pPr>
              <w:pStyle w:val="TableText10"/>
              <w:rPr>
                <w:lang w:eastAsia="en-AU"/>
              </w:rPr>
            </w:pPr>
            <w:r w:rsidRPr="001A53F2">
              <w:rPr>
                <w:lang w:eastAsia="en-AU"/>
              </w:rPr>
              <w:t>286(1)</w:t>
            </w:r>
          </w:p>
        </w:tc>
      </w:tr>
      <w:tr w:rsidR="006B1DFD" w:rsidRPr="00CB3D59" w14:paraId="0F46386D" w14:textId="77777777" w:rsidTr="006B1DFD">
        <w:trPr>
          <w:cantSplit/>
        </w:trPr>
        <w:tc>
          <w:tcPr>
            <w:tcW w:w="1555" w:type="dxa"/>
            <w:vAlign w:val="center"/>
          </w:tcPr>
          <w:p w14:paraId="1C324864" w14:textId="77777777" w:rsidR="006B1DFD" w:rsidRPr="001A53F2" w:rsidRDefault="006B1DFD" w:rsidP="001E1C67">
            <w:pPr>
              <w:pStyle w:val="TableText10"/>
              <w:rPr>
                <w:lang w:eastAsia="en-AU"/>
              </w:rPr>
            </w:pPr>
            <w:r w:rsidRPr="001A53F2">
              <w:rPr>
                <w:lang w:eastAsia="en-AU"/>
              </w:rPr>
              <w:t>310</w:t>
            </w:r>
          </w:p>
        </w:tc>
        <w:tc>
          <w:tcPr>
            <w:tcW w:w="5811" w:type="dxa"/>
            <w:vAlign w:val="center"/>
          </w:tcPr>
          <w:p w14:paraId="500FF566" w14:textId="77777777" w:rsidR="006B1DFD" w:rsidRPr="001A53F2" w:rsidRDefault="006B1DFD" w:rsidP="001E1C67">
            <w:pPr>
              <w:pStyle w:val="TableText10"/>
              <w:rPr>
                <w:lang w:eastAsia="en-AU"/>
              </w:rPr>
            </w:pPr>
            <w:r w:rsidRPr="001A53F2">
              <w:rPr>
                <w:lang w:eastAsia="en-AU"/>
              </w:rPr>
              <w:t>310(2)</w:t>
            </w:r>
          </w:p>
        </w:tc>
      </w:tr>
      <w:tr w:rsidR="006B1DFD" w:rsidRPr="00CB3D59" w14:paraId="4803AEA1" w14:textId="77777777" w:rsidTr="006B1DFD">
        <w:trPr>
          <w:cantSplit/>
        </w:trPr>
        <w:tc>
          <w:tcPr>
            <w:tcW w:w="1555" w:type="dxa"/>
            <w:vAlign w:val="center"/>
          </w:tcPr>
          <w:p w14:paraId="13EF766E" w14:textId="77777777" w:rsidR="006B1DFD" w:rsidRPr="001A53F2" w:rsidRDefault="006B1DFD" w:rsidP="001E1C67">
            <w:pPr>
              <w:pStyle w:val="TableText10"/>
              <w:rPr>
                <w:lang w:eastAsia="en-AU"/>
              </w:rPr>
            </w:pPr>
            <w:r w:rsidRPr="001A53F2">
              <w:rPr>
                <w:lang w:eastAsia="en-AU"/>
              </w:rPr>
              <w:t>311</w:t>
            </w:r>
          </w:p>
        </w:tc>
        <w:tc>
          <w:tcPr>
            <w:tcW w:w="5811" w:type="dxa"/>
            <w:vAlign w:val="center"/>
          </w:tcPr>
          <w:p w14:paraId="649F22B7" w14:textId="77777777" w:rsidR="006B1DFD" w:rsidRPr="001A53F2" w:rsidRDefault="006B1DFD" w:rsidP="001E1C67">
            <w:pPr>
              <w:pStyle w:val="TableText10"/>
              <w:rPr>
                <w:lang w:eastAsia="en-AU"/>
              </w:rPr>
            </w:pPr>
            <w:r w:rsidRPr="001A53F2">
              <w:rPr>
                <w:lang w:eastAsia="en-AU"/>
              </w:rPr>
              <w:t>311(2)</w:t>
            </w:r>
          </w:p>
        </w:tc>
      </w:tr>
      <w:tr w:rsidR="006B1DFD" w:rsidRPr="00CB3D59" w14:paraId="050543EF" w14:textId="77777777" w:rsidTr="006B1DFD">
        <w:trPr>
          <w:cantSplit/>
        </w:trPr>
        <w:tc>
          <w:tcPr>
            <w:tcW w:w="1555" w:type="dxa"/>
            <w:vAlign w:val="center"/>
          </w:tcPr>
          <w:p w14:paraId="504F42C2" w14:textId="77777777" w:rsidR="006B1DFD" w:rsidRPr="001A53F2" w:rsidRDefault="006B1DFD" w:rsidP="001E1C67">
            <w:pPr>
              <w:pStyle w:val="TableText10"/>
              <w:rPr>
                <w:lang w:eastAsia="en-AU"/>
              </w:rPr>
            </w:pPr>
            <w:r w:rsidRPr="001A53F2">
              <w:rPr>
                <w:lang w:eastAsia="en-AU"/>
              </w:rPr>
              <w:t>312</w:t>
            </w:r>
          </w:p>
        </w:tc>
        <w:tc>
          <w:tcPr>
            <w:tcW w:w="5811" w:type="dxa"/>
            <w:vAlign w:val="center"/>
          </w:tcPr>
          <w:p w14:paraId="0BC0F860" w14:textId="77777777" w:rsidR="006B1DFD" w:rsidRPr="001A53F2" w:rsidRDefault="006B1DFD" w:rsidP="001E1C67">
            <w:pPr>
              <w:pStyle w:val="TableText10"/>
              <w:rPr>
                <w:lang w:eastAsia="en-AU"/>
              </w:rPr>
            </w:pPr>
            <w:r w:rsidRPr="001A53F2">
              <w:rPr>
                <w:lang w:eastAsia="en-AU"/>
              </w:rPr>
              <w:t>312(2)</w:t>
            </w:r>
          </w:p>
        </w:tc>
      </w:tr>
      <w:tr w:rsidR="006B1DFD" w:rsidRPr="00CB3D59" w14:paraId="1D85ADC2" w14:textId="77777777" w:rsidTr="006B1DFD">
        <w:trPr>
          <w:cantSplit/>
        </w:trPr>
        <w:tc>
          <w:tcPr>
            <w:tcW w:w="1555" w:type="dxa"/>
            <w:vAlign w:val="center"/>
          </w:tcPr>
          <w:p w14:paraId="360BDF1F" w14:textId="77777777" w:rsidR="006B1DFD" w:rsidRPr="001A53F2" w:rsidRDefault="006B1DFD" w:rsidP="001E1C67">
            <w:pPr>
              <w:pStyle w:val="TableText10"/>
              <w:rPr>
                <w:lang w:eastAsia="en-AU"/>
              </w:rPr>
            </w:pPr>
            <w:r w:rsidRPr="001A53F2">
              <w:rPr>
                <w:lang w:eastAsia="en-AU"/>
              </w:rPr>
              <w:t>313</w:t>
            </w:r>
          </w:p>
        </w:tc>
        <w:tc>
          <w:tcPr>
            <w:tcW w:w="5811" w:type="dxa"/>
            <w:vAlign w:val="center"/>
          </w:tcPr>
          <w:p w14:paraId="007B840E" w14:textId="77777777" w:rsidR="006B1DFD" w:rsidRPr="001A53F2" w:rsidRDefault="006B1DFD" w:rsidP="001E1C67">
            <w:pPr>
              <w:pStyle w:val="TableText10"/>
              <w:rPr>
                <w:lang w:eastAsia="en-AU"/>
              </w:rPr>
            </w:pPr>
            <w:r w:rsidRPr="001A53F2">
              <w:rPr>
                <w:lang w:eastAsia="en-AU"/>
              </w:rPr>
              <w:t>313(2), 313(3)</w:t>
            </w:r>
          </w:p>
        </w:tc>
      </w:tr>
      <w:tr w:rsidR="006B1DFD" w:rsidRPr="00CB3D59" w14:paraId="24D117AB" w14:textId="77777777" w:rsidTr="006B1DFD">
        <w:trPr>
          <w:cantSplit/>
        </w:trPr>
        <w:tc>
          <w:tcPr>
            <w:tcW w:w="1555" w:type="dxa"/>
            <w:vAlign w:val="center"/>
          </w:tcPr>
          <w:p w14:paraId="2C67A673" w14:textId="77777777" w:rsidR="006B1DFD" w:rsidRPr="001A53F2" w:rsidRDefault="006B1DFD" w:rsidP="001E1C67">
            <w:pPr>
              <w:pStyle w:val="TableText10"/>
              <w:rPr>
                <w:lang w:eastAsia="en-AU"/>
              </w:rPr>
            </w:pPr>
            <w:r w:rsidRPr="001A53F2">
              <w:rPr>
                <w:lang w:eastAsia="en-AU"/>
              </w:rPr>
              <w:t>314</w:t>
            </w:r>
          </w:p>
        </w:tc>
        <w:tc>
          <w:tcPr>
            <w:tcW w:w="5811" w:type="dxa"/>
            <w:vAlign w:val="center"/>
          </w:tcPr>
          <w:p w14:paraId="1F6946E2" w14:textId="77777777" w:rsidR="006B1DFD" w:rsidRPr="001A53F2" w:rsidRDefault="006B1DFD" w:rsidP="001E1C67">
            <w:pPr>
              <w:pStyle w:val="TableText10"/>
              <w:rPr>
                <w:lang w:eastAsia="en-AU"/>
              </w:rPr>
            </w:pPr>
            <w:r w:rsidRPr="001A53F2">
              <w:rPr>
                <w:lang w:eastAsia="en-AU"/>
              </w:rPr>
              <w:t>314(3)</w:t>
            </w:r>
          </w:p>
        </w:tc>
      </w:tr>
      <w:tr w:rsidR="006B1DFD" w:rsidRPr="00CB3D59" w14:paraId="514092AE" w14:textId="77777777" w:rsidTr="006B1DFD">
        <w:trPr>
          <w:cantSplit/>
        </w:trPr>
        <w:tc>
          <w:tcPr>
            <w:tcW w:w="1555" w:type="dxa"/>
            <w:vAlign w:val="center"/>
          </w:tcPr>
          <w:p w14:paraId="0485C8DD" w14:textId="77777777" w:rsidR="006B1DFD" w:rsidRPr="001A53F2" w:rsidRDefault="006B1DFD" w:rsidP="001E1C67">
            <w:pPr>
              <w:pStyle w:val="TableText10"/>
              <w:rPr>
                <w:lang w:eastAsia="en-AU"/>
              </w:rPr>
            </w:pPr>
            <w:r w:rsidRPr="001A53F2">
              <w:rPr>
                <w:lang w:eastAsia="en-AU"/>
              </w:rPr>
              <w:t>315</w:t>
            </w:r>
          </w:p>
        </w:tc>
        <w:tc>
          <w:tcPr>
            <w:tcW w:w="5811" w:type="dxa"/>
            <w:vAlign w:val="center"/>
          </w:tcPr>
          <w:p w14:paraId="1B7777ED" w14:textId="77777777" w:rsidR="006B1DFD" w:rsidRPr="001A53F2" w:rsidRDefault="006B1DFD" w:rsidP="001E1C67">
            <w:pPr>
              <w:pStyle w:val="TableText10"/>
              <w:rPr>
                <w:lang w:eastAsia="en-AU"/>
              </w:rPr>
            </w:pPr>
            <w:r w:rsidRPr="001A53F2">
              <w:rPr>
                <w:lang w:eastAsia="en-AU"/>
              </w:rPr>
              <w:t>315(1)</w:t>
            </w:r>
          </w:p>
        </w:tc>
      </w:tr>
      <w:tr w:rsidR="006B1DFD" w:rsidRPr="00CB3D59" w14:paraId="5E58FF4A" w14:textId="77777777" w:rsidTr="006B1DFD">
        <w:trPr>
          <w:cantSplit/>
        </w:trPr>
        <w:tc>
          <w:tcPr>
            <w:tcW w:w="1555" w:type="dxa"/>
            <w:vAlign w:val="center"/>
          </w:tcPr>
          <w:p w14:paraId="3547FBA9" w14:textId="77777777" w:rsidR="006B1DFD" w:rsidRPr="001A53F2" w:rsidRDefault="006B1DFD" w:rsidP="001E1C67">
            <w:pPr>
              <w:pStyle w:val="TableText10"/>
              <w:rPr>
                <w:lang w:eastAsia="en-AU"/>
              </w:rPr>
            </w:pPr>
            <w:r w:rsidRPr="001A53F2">
              <w:rPr>
                <w:lang w:eastAsia="en-AU"/>
              </w:rPr>
              <w:t>319</w:t>
            </w:r>
          </w:p>
        </w:tc>
        <w:tc>
          <w:tcPr>
            <w:tcW w:w="5811" w:type="dxa"/>
            <w:vAlign w:val="center"/>
          </w:tcPr>
          <w:p w14:paraId="258E477B" w14:textId="77777777" w:rsidR="006B1DFD" w:rsidRPr="001A53F2" w:rsidRDefault="006B1DFD" w:rsidP="001E1C67">
            <w:pPr>
              <w:pStyle w:val="TableText10"/>
              <w:rPr>
                <w:lang w:eastAsia="en-AU"/>
              </w:rPr>
            </w:pPr>
            <w:r w:rsidRPr="001A53F2">
              <w:rPr>
                <w:lang w:eastAsia="en-AU"/>
              </w:rPr>
              <w:t>319(1)</w:t>
            </w:r>
          </w:p>
        </w:tc>
      </w:tr>
      <w:tr w:rsidR="006B1DFD" w:rsidRPr="00CB3D59" w14:paraId="2A20B679" w14:textId="77777777" w:rsidTr="006B1DFD">
        <w:trPr>
          <w:cantSplit/>
        </w:trPr>
        <w:tc>
          <w:tcPr>
            <w:tcW w:w="1555" w:type="dxa"/>
            <w:vAlign w:val="center"/>
          </w:tcPr>
          <w:p w14:paraId="1746B046" w14:textId="77777777" w:rsidR="006B1DFD" w:rsidRPr="001A53F2" w:rsidRDefault="006B1DFD" w:rsidP="001E1C67">
            <w:pPr>
              <w:pStyle w:val="TableText10"/>
              <w:rPr>
                <w:lang w:eastAsia="en-AU"/>
              </w:rPr>
            </w:pPr>
            <w:r w:rsidRPr="001A53F2">
              <w:rPr>
                <w:lang w:eastAsia="en-AU"/>
              </w:rPr>
              <w:t>321</w:t>
            </w:r>
          </w:p>
        </w:tc>
        <w:tc>
          <w:tcPr>
            <w:tcW w:w="5811" w:type="dxa"/>
            <w:vAlign w:val="center"/>
          </w:tcPr>
          <w:p w14:paraId="0DE5209C" w14:textId="77777777" w:rsidR="006B1DFD" w:rsidRPr="001A53F2" w:rsidRDefault="006B1DFD" w:rsidP="001E1C67">
            <w:pPr>
              <w:pStyle w:val="TableText10"/>
              <w:rPr>
                <w:lang w:eastAsia="en-AU"/>
              </w:rPr>
            </w:pPr>
            <w:r w:rsidRPr="001A53F2">
              <w:rPr>
                <w:lang w:eastAsia="en-AU"/>
              </w:rPr>
              <w:t>321(1), 321(3)</w:t>
            </w:r>
          </w:p>
        </w:tc>
      </w:tr>
      <w:tr w:rsidR="006B1DFD" w:rsidRPr="00CB3D59" w14:paraId="5F1E26A0" w14:textId="77777777" w:rsidTr="006B1DFD">
        <w:trPr>
          <w:cantSplit/>
        </w:trPr>
        <w:tc>
          <w:tcPr>
            <w:tcW w:w="1555" w:type="dxa"/>
            <w:vAlign w:val="center"/>
          </w:tcPr>
          <w:p w14:paraId="44050378" w14:textId="77777777" w:rsidR="006B1DFD" w:rsidRPr="001A53F2" w:rsidRDefault="006B1DFD" w:rsidP="001E1C67">
            <w:pPr>
              <w:pStyle w:val="TableText10"/>
              <w:rPr>
                <w:lang w:eastAsia="en-AU"/>
              </w:rPr>
            </w:pPr>
            <w:r w:rsidRPr="001A53F2">
              <w:rPr>
                <w:lang w:eastAsia="en-AU"/>
              </w:rPr>
              <w:t>322</w:t>
            </w:r>
          </w:p>
        </w:tc>
        <w:tc>
          <w:tcPr>
            <w:tcW w:w="5811" w:type="dxa"/>
            <w:vAlign w:val="center"/>
          </w:tcPr>
          <w:p w14:paraId="0F62DF53" w14:textId="77777777" w:rsidR="006B1DFD" w:rsidRPr="001A53F2" w:rsidRDefault="006B1DFD" w:rsidP="001E1C67">
            <w:pPr>
              <w:pStyle w:val="TableText10"/>
              <w:rPr>
                <w:lang w:eastAsia="en-AU"/>
              </w:rPr>
            </w:pPr>
            <w:r w:rsidRPr="001A53F2">
              <w:rPr>
                <w:lang w:eastAsia="en-AU"/>
              </w:rPr>
              <w:t>322(4)</w:t>
            </w:r>
          </w:p>
        </w:tc>
      </w:tr>
      <w:tr w:rsidR="006B1DFD" w:rsidRPr="00CB3D59" w14:paraId="22A4C4BF" w14:textId="77777777" w:rsidTr="006B1DFD">
        <w:trPr>
          <w:cantSplit/>
        </w:trPr>
        <w:tc>
          <w:tcPr>
            <w:tcW w:w="1555" w:type="dxa"/>
            <w:vAlign w:val="center"/>
          </w:tcPr>
          <w:p w14:paraId="22BCC02A" w14:textId="77777777" w:rsidR="006B1DFD" w:rsidRPr="001A53F2" w:rsidRDefault="006B1DFD" w:rsidP="001E1C67">
            <w:pPr>
              <w:pStyle w:val="TableText10"/>
              <w:rPr>
                <w:lang w:eastAsia="en-AU"/>
              </w:rPr>
            </w:pPr>
            <w:r w:rsidRPr="001A53F2">
              <w:rPr>
                <w:lang w:eastAsia="en-AU"/>
              </w:rPr>
              <w:t>323</w:t>
            </w:r>
          </w:p>
        </w:tc>
        <w:tc>
          <w:tcPr>
            <w:tcW w:w="5811" w:type="dxa"/>
            <w:vAlign w:val="center"/>
          </w:tcPr>
          <w:p w14:paraId="3E24BE49" w14:textId="77777777" w:rsidR="006B1DFD" w:rsidRPr="001A53F2" w:rsidRDefault="006B1DFD" w:rsidP="001E1C67">
            <w:pPr>
              <w:pStyle w:val="TableText10"/>
              <w:rPr>
                <w:lang w:eastAsia="en-AU"/>
              </w:rPr>
            </w:pPr>
            <w:r w:rsidRPr="001A53F2">
              <w:rPr>
                <w:lang w:eastAsia="en-AU"/>
              </w:rPr>
              <w:t>323(3)</w:t>
            </w:r>
          </w:p>
        </w:tc>
      </w:tr>
      <w:tr w:rsidR="006B1DFD" w:rsidRPr="00CB3D59" w14:paraId="52CC9DF8" w14:textId="77777777" w:rsidTr="006B1DFD">
        <w:trPr>
          <w:cantSplit/>
        </w:trPr>
        <w:tc>
          <w:tcPr>
            <w:tcW w:w="1555" w:type="dxa"/>
            <w:vAlign w:val="center"/>
          </w:tcPr>
          <w:p w14:paraId="261C9F24" w14:textId="77777777" w:rsidR="006B1DFD" w:rsidRPr="001A53F2" w:rsidRDefault="006B1DFD" w:rsidP="001E1C67">
            <w:pPr>
              <w:pStyle w:val="TableText10"/>
              <w:rPr>
                <w:lang w:eastAsia="en-AU"/>
              </w:rPr>
            </w:pPr>
            <w:r w:rsidRPr="001A53F2">
              <w:rPr>
                <w:lang w:eastAsia="en-AU"/>
              </w:rPr>
              <w:t>324</w:t>
            </w:r>
          </w:p>
        </w:tc>
        <w:tc>
          <w:tcPr>
            <w:tcW w:w="5811" w:type="dxa"/>
            <w:vAlign w:val="center"/>
          </w:tcPr>
          <w:p w14:paraId="3311F40E" w14:textId="77777777" w:rsidR="006B1DFD" w:rsidRPr="001A53F2" w:rsidRDefault="006B1DFD" w:rsidP="001E1C67">
            <w:pPr>
              <w:pStyle w:val="TableText10"/>
              <w:rPr>
                <w:lang w:eastAsia="en-AU"/>
              </w:rPr>
            </w:pPr>
            <w:r w:rsidRPr="001A53F2">
              <w:rPr>
                <w:lang w:eastAsia="en-AU"/>
              </w:rPr>
              <w:t>324(2)</w:t>
            </w:r>
          </w:p>
        </w:tc>
      </w:tr>
      <w:tr w:rsidR="006B1DFD" w:rsidRPr="00CB3D59" w14:paraId="0171C94B" w14:textId="77777777" w:rsidTr="006B1DFD">
        <w:trPr>
          <w:cantSplit/>
        </w:trPr>
        <w:tc>
          <w:tcPr>
            <w:tcW w:w="1555" w:type="dxa"/>
            <w:vAlign w:val="center"/>
          </w:tcPr>
          <w:p w14:paraId="0ED5079E" w14:textId="77777777" w:rsidR="006B1DFD" w:rsidRPr="001A53F2" w:rsidRDefault="006B1DFD" w:rsidP="001E1C67">
            <w:pPr>
              <w:pStyle w:val="TableText10"/>
              <w:rPr>
                <w:lang w:eastAsia="en-AU"/>
              </w:rPr>
            </w:pPr>
            <w:r w:rsidRPr="001A53F2">
              <w:rPr>
                <w:lang w:eastAsia="en-AU"/>
              </w:rPr>
              <w:t>324A</w:t>
            </w:r>
          </w:p>
        </w:tc>
        <w:tc>
          <w:tcPr>
            <w:tcW w:w="5811" w:type="dxa"/>
            <w:vAlign w:val="center"/>
          </w:tcPr>
          <w:p w14:paraId="1D91E7AE" w14:textId="77777777" w:rsidR="006B1DFD" w:rsidRPr="001A53F2" w:rsidRDefault="006B1DFD" w:rsidP="001E1C67">
            <w:pPr>
              <w:pStyle w:val="TableText10"/>
              <w:rPr>
                <w:lang w:eastAsia="en-AU"/>
              </w:rPr>
            </w:pPr>
            <w:r w:rsidRPr="001A53F2">
              <w:rPr>
                <w:lang w:eastAsia="en-AU"/>
              </w:rPr>
              <w:t>324A(2)</w:t>
            </w:r>
          </w:p>
        </w:tc>
      </w:tr>
      <w:tr w:rsidR="006B1DFD" w:rsidRPr="00CB3D59" w14:paraId="732DEF67" w14:textId="77777777" w:rsidTr="006B1DFD">
        <w:trPr>
          <w:cantSplit/>
        </w:trPr>
        <w:tc>
          <w:tcPr>
            <w:tcW w:w="1555" w:type="dxa"/>
            <w:vAlign w:val="center"/>
          </w:tcPr>
          <w:p w14:paraId="0543F5E0" w14:textId="77777777" w:rsidR="006B1DFD" w:rsidRPr="001A53F2" w:rsidRDefault="006B1DFD" w:rsidP="001E1C67">
            <w:pPr>
              <w:pStyle w:val="TableText10"/>
              <w:rPr>
                <w:lang w:eastAsia="en-AU"/>
              </w:rPr>
            </w:pPr>
            <w:r w:rsidRPr="001A53F2">
              <w:rPr>
                <w:lang w:eastAsia="en-AU"/>
              </w:rPr>
              <w:t>327</w:t>
            </w:r>
          </w:p>
        </w:tc>
        <w:tc>
          <w:tcPr>
            <w:tcW w:w="5811" w:type="dxa"/>
            <w:vAlign w:val="center"/>
          </w:tcPr>
          <w:p w14:paraId="1B3C4BA0" w14:textId="77777777" w:rsidR="006B1DFD" w:rsidRPr="001A53F2" w:rsidRDefault="006B1DFD" w:rsidP="001E1C67">
            <w:pPr>
              <w:pStyle w:val="TableText10"/>
              <w:rPr>
                <w:lang w:eastAsia="en-AU"/>
              </w:rPr>
            </w:pPr>
            <w:r w:rsidRPr="001A53F2">
              <w:rPr>
                <w:lang w:eastAsia="en-AU"/>
              </w:rPr>
              <w:t>327</w:t>
            </w:r>
          </w:p>
        </w:tc>
      </w:tr>
      <w:tr w:rsidR="006B1DFD" w:rsidRPr="00CB3D59" w14:paraId="70A66147" w14:textId="77777777" w:rsidTr="006B1DFD">
        <w:trPr>
          <w:cantSplit/>
        </w:trPr>
        <w:tc>
          <w:tcPr>
            <w:tcW w:w="1555" w:type="dxa"/>
            <w:vAlign w:val="center"/>
          </w:tcPr>
          <w:p w14:paraId="44463EC3" w14:textId="77777777" w:rsidR="006B1DFD" w:rsidRPr="001A53F2" w:rsidRDefault="006B1DFD" w:rsidP="001E1C67">
            <w:pPr>
              <w:pStyle w:val="TableText10"/>
              <w:rPr>
                <w:lang w:eastAsia="en-AU"/>
              </w:rPr>
            </w:pPr>
            <w:r w:rsidRPr="001A53F2">
              <w:rPr>
                <w:lang w:eastAsia="en-AU"/>
              </w:rPr>
              <w:t>328</w:t>
            </w:r>
          </w:p>
        </w:tc>
        <w:tc>
          <w:tcPr>
            <w:tcW w:w="5811" w:type="dxa"/>
            <w:vAlign w:val="center"/>
          </w:tcPr>
          <w:p w14:paraId="55E29621" w14:textId="77777777" w:rsidR="006B1DFD" w:rsidRPr="001A53F2" w:rsidRDefault="006B1DFD" w:rsidP="001E1C67">
            <w:pPr>
              <w:pStyle w:val="TableText10"/>
              <w:rPr>
                <w:lang w:eastAsia="en-AU"/>
              </w:rPr>
            </w:pPr>
            <w:r w:rsidRPr="001A53F2">
              <w:rPr>
                <w:lang w:eastAsia="en-AU"/>
              </w:rPr>
              <w:t>328</w:t>
            </w:r>
          </w:p>
        </w:tc>
      </w:tr>
      <w:tr w:rsidR="006B1DFD" w:rsidRPr="00CB3D59" w14:paraId="45273C14" w14:textId="77777777" w:rsidTr="006B1DFD">
        <w:trPr>
          <w:cantSplit/>
        </w:trPr>
        <w:tc>
          <w:tcPr>
            <w:tcW w:w="1555" w:type="dxa"/>
            <w:vAlign w:val="center"/>
          </w:tcPr>
          <w:p w14:paraId="39EED336" w14:textId="77777777" w:rsidR="006B1DFD" w:rsidRPr="001A53F2" w:rsidRDefault="006B1DFD" w:rsidP="001E1C67">
            <w:pPr>
              <w:pStyle w:val="TableText10"/>
              <w:rPr>
                <w:lang w:eastAsia="en-AU"/>
              </w:rPr>
            </w:pPr>
            <w:r w:rsidRPr="001A53F2">
              <w:rPr>
                <w:lang w:eastAsia="en-AU"/>
              </w:rPr>
              <w:t>329</w:t>
            </w:r>
          </w:p>
        </w:tc>
        <w:tc>
          <w:tcPr>
            <w:tcW w:w="5811" w:type="dxa"/>
            <w:vAlign w:val="center"/>
          </w:tcPr>
          <w:p w14:paraId="1A29802F" w14:textId="77777777" w:rsidR="006B1DFD" w:rsidRPr="001A53F2" w:rsidRDefault="006B1DFD" w:rsidP="001E1C67">
            <w:pPr>
              <w:pStyle w:val="TableText10"/>
              <w:rPr>
                <w:lang w:eastAsia="en-AU"/>
              </w:rPr>
            </w:pPr>
            <w:r w:rsidRPr="001A53F2">
              <w:rPr>
                <w:lang w:eastAsia="en-AU"/>
              </w:rPr>
              <w:t>329</w:t>
            </w:r>
          </w:p>
        </w:tc>
      </w:tr>
      <w:tr w:rsidR="006B1DFD" w:rsidRPr="00CB3D59" w14:paraId="163045AA" w14:textId="77777777" w:rsidTr="006B1DFD">
        <w:trPr>
          <w:cantSplit/>
        </w:trPr>
        <w:tc>
          <w:tcPr>
            <w:tcW w:w="1555" w:type="dxa"/>
            <w:vAlign w:val="center"/>
          </w:tcPr>
          <w:p w14:paraId="0D389D2A" w14:textId="77777777" w:rsidR="006B1DFD" w:rsidRPr="001A53F2" w:rsidRDefault="006B1DFD" w:rsidP="001E1C67">
            <w:pPr>
              <w:pStyle w:val="TableText10"/>
              <w:rPr>
                <w:lang w:eastAsia="en-AU"/>
              </w:rPr>
            </w:pPr>
            <w:r w:rsidRPr="001A53F2">
              <w:rPr>
                <w:lang w:eastAsia="en-AU"/>
              </w:rPr>
              <w:t>330</w:t>
            </w:r>
          </w:p>
        </w:tc>
        <w:tc>
          <w:tcPr>
            <w:tcW w:w="5811" w:type="dxa"/>
            <w:vAlign w:val="center"/>
          </w:tcPr>
          <w:p w14:paraId="4FF21C30" w14:textId="77777777" w:rsidR="006B1DFD" w:rsidRPr="001A53F2" w:rsidRDefault="006B1DFD" w:rsidP="001E1C67">
            <w:pPr>
              <w:pStyle w:val="TableText10"/>
              <w:rPr>
                <w:lang w:eastAsia="en-AU"/>
              </w:rPr>
            </w:pPr>
            <w:r w:rsidRPr="001A53F2">
              <w:rPr>
                <w:lang w:eastAsia="en-AU"/>
              </w:rPr>
              <w:t>330(1)</w:t>
            </w:r>
          </w:p>
        </w:tc>
      </w:tr>
      <w:tr w:rsidR="006B1DFD" w:rsidRPr="00CB3D59" w14:paraId="4D0EEEEB" w14:textId="77777777" w:rsidTr="006B1DFD">
        <w:trPr>
          <w:cantSplit/>
        </w:trPr>
        <w:tc>
          <w:tcPr>
            <w:tcW w:w="1555" w:type="dxa"/>
            <w:vAlign w:val="center"/>
          </w:tcPr>
          <w:p w14:paraId="54ED57A2" w14:textId="77777777" w:rsidR="006B1DFD" w:rsidRPr="001A53F2" w:rsidRDefault="006B1DFD" w:rsidP="001E1C67">
            <w:pPr>
              <w:pStyle w:val="TableText10"/>
              <w:rPr>
                <w:lang w:eastAsia="en-AU"/>
              </w:rPr>
            </w:pPr>
            <w:r w:rsidRPr="001A53F2">
              <w:rPr>
                <w:lang w:eastAsia="en-AU"/>
              </w:rPr>
              <w:t>331</w:t>
            </w:r>
          </w:p>
        </w:tc>
        <w:tc>
          <w:tcPr>
            <w:tcW w:w="5811" w:type="dxa"/>
            <w:vAlign w:val="center"/>
          </w:tcPr>
          <w:p w14:paraId="3047C9A1" w14:textId="77777777" w:rsidR="006B1DFD" w:rsidRPr="001A53F2" w:rsidRDefault="006B1DFD" w:rsidP="001E1C67">
            <w:pPr>
              <w:pStyle w:val="TableText10"/>
              <w:rPr>
                <w:lang w:eastAsia="en-AU"/>
              </w:rPr>
            </w:pPr>
            <w:r w:rsidRPr="001A53F2">
              <w:rPr>
                <w:lang w:eastAsia="en-AU"/>
              </w:rPr>
              <w:t>331</w:t>
            </w:r>
          </w:p>
        </w:tc>
      </w:tr>
      <w:tr w:rsidR="006B1DFD" w:rsidRPr="00CB3D59" w14:paraId="1EE53BD6" w14:textId="77777777" w:rsidTr="006B1DFD">
        <w:trPr>
          <w:cantSplit/>
        </w:trPr>
        <w:tc>
          <w:tcPr>
            <w:tcW w:w="1555" w:type="dxa"/>
            <w:vAlign w:val="center"/>
          </w:tcPr>
          <w:p w14:paraId="50F08782" w14:textId="77777777" w:rsidR="006B1DFD" w:rsidRPr="001A53F2" w:rsidRDefault="006B1DFD" w:rsidP="001E1C67">
            <w:pPr>
              <w:pStyle w:val="TableText10"/>
              <w:rPr>
                <w:lang w:eastAsia="en-AU"/>
              </w:rPr>
            </w:pPr>
            <w:r w:rsidRPr="001A53F2">
              <w:rPr>
                <w:lang w:eastAsia="en-AU"/>
              </w:rPr>
              <w:t>332</w:t>
            </w:r>
          </w:p>
        </w:tc>
        <w:tc>
          <w:tcPr>
            <w:tcW w:w="5811" w:type="dxa"/>
            <w:vAlign w:val="center"/>
          </w:tcPr>
          <w:p w14:paraId="368B73C6" w14:textId="77777777" w:rsidR="006B1DFD" w:rsidRPr="001A53F2" w:rsidRDefault="006B1DFD" w:rsidP="001E1C67">
            <w:pPr>
              <w:pStyle w:val="TableText10"/>
              <w:rPr>
                <w:lang w:eastAsia="en-AU"/>
              </w:rPr>
            </w:pPr>
            <w:r w:rsidRPr="001A53F2">
              <w:rPr>
                <w:lang w:eastAsia="en-AU"/>
              </w:rPr>
              <w:t>332</w:t>
            </w:r>
          </w:p>
        </w:tc>
      </w:tr>
      <w:tr w:rsidR="006B1DFD" w:rsidRPr="00CB3D59" w14:paraId="2DA1D5A0" w14:textId="77777777" w:rsidTr="006B1DFD">
        <w:trPr>
          <w:cantSplit/>
        </w:trPr>
        <w:tc>
          <w:tcPr>
            <w:tcW w:w="1555" w:type="dxa"/>
            <w:vAlign w:val="center"/>
          </w:tcPr>
          <w:p w14:paraId="5B355077" w14:textId="77777777" w:rsidR="006B1DFD" w:rsidRPr="001A53F2" w:rsidRDefault="006B1DFD" w:rsidP="001E1C67">
            <w:pPr>
              <w:pStyle w:val="TableText10"/>
              <w:rPr>
                <w:lang w:eastAsia="en-AU"/>
              </w:rPr>
            </w:pPr>
            <w:r w:rsidRPr="001A53F2">
              <w:rPr>
                <w:lang w:eastAsia="en-AU"/>
              </w:rPr>
              <w:t>335</w:t>
            </w:r>
          </w:p>
        </w:tc>
        <w:tc>
          <w:tcPr>
            <w:tcW w:w="5811" w:type="dxa"/>
            <w:vAlign w:val="center"/>
          </w:tcPr>
          <w:p w14:paraId="275CC943" w14:textId="77777777" w:rsidR="006B1DFD" w:rsidRPr="001A53F2" w:rsidRDefault="006B1DFD" w:rsidP="001E1C67">
            <w:pPr>
              <w:pStyle w:val="TableText10"/>
              <w:rPr>
                <w:lang w:eastAsia="en-AU"/>
              </w:rPr>
            </w:pPr>
            <w:r w:rsidRPr="001A53F2">
              <w:rPr>
                <w:lang w:eastAsia="en-AU"/>
              </w:rPr>
              <w:t>335(1)</w:t>
            </w:r>
          </w:p>
        </w:tc>
      </w:tr>
      <w:tr w:rsidR="006B1DFD" w:rsidRPr="00CB3D59" w14:paraId="349EF494" w14:textId="77777777" w:rsidTr="006B1DFD">
        <w:trPr>
          <w:cantSplit/>
        </w:trPr>
        <w:tc>
          <w:tcPr>
            <w:tcW w:w="1555" w:type="dxa"/>
            <w:vAlign w:val="center"/>
          </w:tcPr>
          <w:p w14:paraId="348D1D23" w14:textId="77777777" w:rsidR="006B1DFD" w:rsidRPr="001A53F2" w:rsidRDefault="006B1DFD" w:rsidP="001E1C67">
            <w:pPr>
              <w:pStyle w:val="TableText10"/>
              <w:rPr>
                <w:lang w:eastAsia="en-AU"/>
              </w:rPr>
            </w:pPr>
            <w:r w:rsidRPr="001A53F2">
              <w:rPr>
                <w:lang w:eastAsia="en-AU"/>
              </w:rPr>
              <w:t>336</w:t>
            </w:r>
          </w:p>
        </w:tc>
        <w:tc>
          <w:tcPr>
            <w:tcW w:w="5811" w:type="dxa"/>
            <w:vAlign w:val="center"/>
          </w:tcPr>
          <w:p w14:paraId="24A3A288" w14:textId="77777777" w:rsidR="006B1DFD" w:rsidRPr="001A53F2" w:rsidRDefault="006B1DFD" w:rsidP="001E1C67">
            <w:pPr>
              <w:pStyle w:val="TableText10"/>
              <w:rPr>
                <w:lang w:eastAsia="en-AU"/>
              </w:rPr>
            </w:pPr>
            <w:r w:rsidRPr="001A53F2">
              <w:rPr>
                <w:lang w:eastAsia="en-AU"/>
              </w:rPr>
              <w:t>336(1)</w:t>
            </w:r>
          </w:p>
        </w:tc>
      </w:tr>
      <w:tr w:rsidR="006B1DFD" w:rsidRPr="00CB3D59" w14:paraId="7ED6456C" w14:textId="77777777" w:rsidTr="006B1DFD">
        <w:trPr>
          <w:cantSplit/>
        </w:trPr>
        <w:tc>
          <w:tcPr>
            <w:tcW w:w="1555" w:type="dxa"/>
            <w:vAlign w:val="center"/>
          </w:tcPr>
          <w:p w14:paraId="51199BF2" w14:textId="77777777" w:rsidR="006B1DFD" w:rsidRPr="001A53F2" w:rsidRDefault="006B1DFD" w:rsidP="001E1C67">
            <w:pPr>
              <w:pStyle w:val="TableText10"/>
              <w:rPr>
                <w:lang w:eastAsia="en-AU"/>
              </w:rPr>
            </w:pPr>
            <w:r w:rsidRPr="001A53F2">
              <w:rPr>
                <w:lang w:eastAsia="en-AU"/>
              </w:rPr>
              <w:t>336A</w:t>
            </w:r>
          </w:p>
        </w:tc>
        <w:tc>
          <w:tcPr>
            <w:tcW w:w="5811" w:type="dxa"/>
            <w:vAlign w:val="center"/>
          </w:tcPr>
          <w:p w14:paraId="5E806602" w14:textId="77777777" w:rsidR="006B1DFD" w:rsidRPr="001A53F2" w:rsidRDefault="006B1DFD" w:rsidP="001E1C67">
            <w:pPr>
              <w:pStyle w:val="TableText10"/>
              <w:rPr>
                <w:lang w:eastAsia="en-AU"/>
              </w:rPr>
            </w:pPr>
            <w:r w:rsidRPr="001A53F2">
              <w:rPr>
                <w:lang w:eastAsia="en-AU"/>
              </w:rPr>
              <w:t>336A(1)</w:t>
            </w:r>
          </w:p>
        </w:tc>
      </w:tr>
      <w:tr w:rsidR="006B1DFD" w:rsidRPr="00CB3D59" w14:paraId="2F05E800" w14:textId="77777777" w:rsidTr="006B1DFD">
        <w:trPr>
          <w:cantSplit/>
        </w:trPr>
        <w:tc>
          <w:tcPr>
            <w:tcW w:w="1555" w:type="dxa"/>
            <w:vAlign w:val="center"/>
          </w:tcPr>
          <w:p w14:paraId="7D32333F" w14:textId="77777777" w:rsidR="006B1DFD" w:rsidRPr="001A53F2" w:rsidRDefault="006B1DFD" w:rsidP="001E1C67">
            <w:pPr>
              <w:pStyle w:val="TableText10"/>
              <w:rPr>
                <w:lang w:eastAsia="en-AU"/>
              </w:rPr>
            </w:pPr>
            <w:r w:rsidRPr="001A53F2">
              <w:rPr>
                <w:lang w:eastAsia="en-AU"/>
              </w:rPr>
              <w:lastRenderedPageBreak/>
              <w:t>337</w:t>
            </w:r>
          </w:p>
        </w:tc>
        <w:tc>
          <w:tcPr>
            <w:tcW w:w="5811" w:type="dxa"/>
            <w:vAlign w:val="center"/>
          </w:tcPr>
          <w:p w14:paraId="09E4F133" w14:textId="77777777" w:rsidR="006B1DFD" w:rsidRPr="001A53F2" w:rsidRDefault="006B1DFD" w:rsidP="001E1C67">
            <w:pPr>
              <w:pStyle w:val="TableText10"/>
              <w:rPr>
                <w:lang w:eastAsia="en-AU"/>
              </w:rPr>
            </w:pPr>
            <w:r w:rsidRPr="001A53F2">
              <w:rPr>
                <w:lang w:eastAsia="en-AU"/>
              </w:rPr>
              <w:t>337(2)</w:t>
            </w:r>
          </w:p>
        </w:tc>
      </w:tr>
      <w:tr w:rsidR="006B1DFD" w:rsidRPr="00CB3D59" w14:paraId="2BF304BB" w14:textId="77777777" w:rsidTr="006B1DFD">
        <w:trPr>
          <w:cantSplit/>
        </w:trPr>
        <w:tc>
          <w:tcPr>
            <w:tcW w:w="1555" w:type="dxa"/>
            <w:vAlign w:val="center"/>
          </w:tcPr>
          <w:p w14:paraId="10A223DE" w14:textId="77777777" w:rsidR="006B1DFD" w:rsidRPr="001A53F2" w:rsidRDefault="006B1DFD" w:rsidP="001E1C67">
            <w:pPr>
              <w:pStyle w:val="TableText10"/>
              <w:rPr>
                <w:lang w:eastAsia="en-AU"/>
              </w:rPr>
            </w:pPr>
            <w:r w:rsidRPr="001A53F2">
              <w:rPr>
                <w:lang w:eastAsia="en-AU"/>
              </w:rPr>
              <w:t>341</w:t>
            </w:r>
          </w:p>
        </w:tc>
        <w:tc>
          <w:tcPr>
            <w:tcW w:w="5811" w:type="dxa"/>
            <w:vAlign w:val="center"/>
          </w:tcPr>
          <w:p w14:paraId="3746A349" w14:textId="77777777" w:rsidR="006B1DFD" w:rsidRPr="001A53F2" w:rsidRDefault="006B1DFD" w:rsidP="001E1C67">
            <w:pPr>
              <w:pStyle w:val="TableText10"/>
              <w:rPr>
                <w:lang w:eastAsia="en-AU"/>
              </w:rPr>
            </w:pPr>
            <w:r w:rsidRPr="001A53F2">
              <w:rPr>
                <w:lang w:eastAsia="en-AU"/>
              </w:rPr>
              <w:t>341(1), 341(2), 341(3), 341(5)</w:t>
            </w:r>
          </w:p>
        </w:tc>
      </w:tr>
      <w:tr w:rsidR="006B1DFD" w:rsidRPr="00CB3D59" w14:paraId="0E3A3B86" w14:textId="77777777" w:rsidTr="006B1DFD">
        <w:trPr>
          <w:cantSplit/>
        </w:trPr>
        <w:tc>
          <w:tcPr>
            <w:tcW w:w="1555" w:type="dxa"/>
            <w:vAlign w:val="center"/>
          </w:tcPr>
          <w:p w14:paraId="25095247" w14:textId="77777777" w:rsidR="006B1DFD" w:rsidRPr="001A53F2" w:rsidRDefault="006B1DFD" w:rsidP="001E1C67">
            <w:pPr>
              <w:pStyle w:val="TableText10"/>
              <w:rPr>
                <w:lang w:eastAsia="en-AU"/>
              </w:rPr>
            </w:pPr>
            <w:r w:rsidRPr="001A53F2">
              <w:rPr>
                <w:lang w:eastAsia="en-AU"/>
              </w:rPr>
              <w:t>347</w:t>
            </w:r>
          </w:p>
        </w:tc>
        <w:tc>
          <w:tcPr>
            <w:tcW w:w="5811" w:type="dxa"/>
            <w:vAlign w:val="center"/>
          </w:tcPr>
          <w:p w14:paraId="71A6272F" w14:textId="77777777" w:rsidR="006B1DFD" w:rsidRPr="001A53F2" w:rsidRDefault="006B1DFD" w:rsidP="001E1C67">
            <w:pPr>
              <w:pStyle w:val="TableText10"/>
              <w:rPr>
                <w:lang w:eastAsia="en-AU"/>
              </w:rPr>
            </w:pPr>
            <w:r w:rsidRPr="001A53F2">
              <w:rPr>
                <w:lang w:eastAsia="en-AU"/>
              </w:rPr>
              <w:t>347</w:t>
            </w:r>
          </w:p>
        </w:tc>
      </w:tr>
      <w:tr w:rsidR="006B1DFD" w:rsidRPr="00CB3D59" w14:paraId="7D611B11" w14:textId="77777777" w:rsidTr="006B1DFD">
        <w:trPr>
          <w:cantSplit/>
        </w:trPr>
        <w:tc>
          <w:tcPr>
            <w:tcW w:w="1555" w:type="dxa"/>
            <w:vAlign w:val="center"/>
          </w:tcPr>
          <w:p w14:paraId="6B0A4A7C" w14:textId="77777777" w:rsidR="006B1DFD" w:rsidRPr="001A53F2" w:rsidRDefault="006B1DFD" w:rsidP="001E1C67">
            <w:pPr>
              <w:pStyle w:val="TableText10"/>
              <w:rPr>
                <w:lang w:eastAsia="en-AU"/>
              </w:rPr>
            </w:pPr>
            <w:r w:rsidRPr="001A53F2">
              <w:rPr>
                <w:lang w:eastAsia="en-AU"/>
              </w:rPr>
              <w:t>354</w:t>
            </w:r>
          </w:p>
        </w:tc>
        <w:tc>
          <w:tcPr>
            <w:tcW w:w="5811" w:type="dxa"/>
            <w:vAlign w:val="center"/>
          </w:tcPr>
          <w:p w14:paraId="04D869D7" w14:textId="77777777" w:rsidR="006B1DFD" w:rsidRPr="001A53F2" w:rsidRDefault="006B1DFD" w:rsidP="001E1C67">
            <w:pPr>
              <w:pStyle w:val="TableText10"/>
              <w:rPr>
                <w:lang w:eastAsia="en-AU"/>
              </w:rPr>
            </w:pPr>
            <w:r w:rsidRPr="001A53F2">
              <w:rPr>
                <w:lang w:eastAsia="en-AU"/>
              </w:rPr>
              <w:t>354(3), 354(5)</w:t>
            </w:r>
          </w:p>
        </w:tc>
      </w:tr>
      <w:tr w:rsidR="006B1DFD" w:rsidRPr="00CB3D59" w14:paraId="129792A4" w14:textId="77777777" w:rsidTr="006B1DFD">
        <w:trPr>
          <w:cantSplit/>
        </w:trPr>
        <w:tc>
          <w:tcPr>
            <w:tcW w:w="1555" w:type="dxa"/>
            <w:vAlign w:val="center"/>
          </w:tcPr>
          <w:p w14:paraId="115863B3" w14:textId="77777777" w:rsidR="006B1DFD" w:rsidRPr="001A53F2" w:rsidRDefault="006B1DFD" w:rsidP="001E1C67">
            <w:pPr>
              <w:pStyle w:val="TableText10"/>
              <w:rPr>
                <w:lang w:eastAsia="en-AU"/>
              </w:rPr>
            </w:pPr>
            <w:r w:rsidRPr="001A53F2">
              <w:rPr>
                <w:lang w:eastAsia="en-AU"/>
              </w:rPr>
              <w:t>355</w:t>
            </w:r>
          </w:p>
        </w:tc>
        <w:tc>
          <w:tcPr>
            <w:tcW w:w="5811" w:type="dxa"/>
            <w:vAlign w:val="center"/>
          </w:tcPr>
          <w:p w14:paraId="06F57BB5" w14:textId="77777777" w:rsidR="006B1DFD" w:rsidRPr="001A53F2" w:rsidRDefault="006B1DFD" w:rsidP="001E1C67">
            <w:pPr>
              <w:pStyle w:val="TableText10"/>
              <w:rPr>
                <w:lang w:eastAsia="en-AU"/>
              </w:rPr>
            </w:pPr>
            <w:r w:rsidRPr="001A53F2">
              <w:rPr>
                <w:lang w:eastAsia="en-AU"/>
              </w:rPr>
              <w:t>355(2), 355(4), 355(6)</w:t>
            </w:r>
          </w:p>
        </w:tc>
      </w:tr>
      <w:tr w:rsidR="006B1DFD" w:rsidRPr="00CB3D59" w14:paraId="7DCA7B28" w14:textId="77777777" w:rsidTr="006B1DFD">
        <w:trPr>
          <w:cantSplit/>
        </w:trPr>
        <w:tc>
          <w:tcPr>
            <w:tcW w:w="1555" w:type="dxa"/>
            <w:vAlign w:val="center"/>
          </w:tcPr>
          <w:p w14:paraId="5BE166C8" w14:textId="77777777" w:rsidR="006B1DFD" w:rsidRPr="001A53F2" w:rsidRDefault="006B1DFD" w:rsidP="001E1C67">
            <w:pPr>
              <w:pStyle w:val="TableText10"/>
              <w:rPr>
                <w:lang w:eastAsia="en-AU"/>
              </w:rPr>
            </w:pPr>
            <w:r w:rsidRPr="001A53F2">
              <w:rPr>
                <w:lang w:eastAsia="en-AU"/>
              </w:rPr>
              <w:t>373</w:t>
            </w:r>
          </w:p>
        </w:tc>
        <w:tc>
          <w:tcPr>
            <w:tcW w:w="5811" w:type="dxa"/>
            <w:vAlign w:val="center"/>
          </w:tcPr>
          <w:p w14:paraId="7130F240" w14:textId="77777777" w:rsidR="006B1DFD" w:rsidRPr="001A53F2" w:rsidRDefault="006B1DFD" w:rsidP="001E1C67">
            <w:pPr>
              <w:pStyle w:val="TableText10"/>
              <w:rPr>
                <w:lang w:eastAsia="en-AU"/>
              </w:rPr>
            </w:pPr>
            <w:r w:rsidRPr="001A53F2">
              <w:rPr>
                <w:lang w:eastAsia="en-AU"/>
              </w:rPr>
              <w:t>373(2)</w:t>
            </w:r>
          </w:p>
        </w:tc>
      </w:tr>
      <w:tr w:rsidR="006B1DFD" w:rsidRPr="00CB3D59" w14:paraId="7C1F5B97" w14:textId="77777777" w:rsidTr="006B1DFD">
        <w:trPr>
          <w:cantSplit/>
        </w:trPr>
        <w:tc>
          <w:tcPr>
            <w:tcW w:w="1555" w:type="dxa"/>
            <w:vAlign w:val="center"/>
          </w:tcPr>
          <w:p w14:paraId="5BE39BC0" w14:textId="77777777" w:rsidR="006B1DFD" w:rsidRPr="001A53F2" w:rsidRDefault="006B1DFD" w:rsidP="001E1C67">
            <w:pPr>
              <w:pStyle w:val="TableText10"/>
              <w:rPr>
                <w:lang w:eastAsia="en-AU"/>
              </w:rPr>
            </w:pPr>
            <w:r w:rsidRPr="001A53F2">
              <w:rPr>
                <w:lang w:eastAsia="en-AU"/>
              </w:rPr>
              <w:t>375</w:t>
            </w:r>
          </w:p>
        </w:tc>
        <w:tc>
          <w:tcPr>
            <w:tcW w:w="5811" w:type="dxa"/>
            <w:vAlign w:val="center"/>
          </w:tcPr>
          <w:p w14:paraId="45DAF615" w14:textId="77777777" w:rsidR="006B1DFD" w:rsidRPr="001A53F2" w:rsidRDefault="006B1DFD" w:rsidP="001E1C67">
            <w:pPr>
              <w:pStyle w:val="TableText10"/>
              <w:rPr>
                <w:lang w:eastAsia="en-AU"/>
              </w:rPr>
            </w:pPr>
            <w:r w:rsidRPr="001A53F2">
              <w:rPr>
                <w:lang w:eastAsia="en-AU"/>
              </w:rPr>
              <w:t>375</w:t>
            </w:r>
          </w:p>
        </w:tc>
      </w:tr>
      <w:tr w:rsidR="006B1DFD" w:rsidRPr="00CB3D59" w14:paraId="1B46D9BF" w14:textId="77777777" w:rsidTr="006B1DFD">
        <w:trPr>
          <w:cantSplit/>
        </w:trPr>
        <w:tc>
          <w:tcPr>
            <w:tcW w:w="1555" w:type="dxa"/>
            <w:vAlign w:val="center"/>
          </w:tcPr>
          <w:p w14:paraId="5A09B97F" w14:textId="77777777" w:rsidR="006B1DFD" w:rsidRPr="001A53F2" w:rsidRDefault="006B1DFD" w:rsidP="001E1C67">
            <w:pPr>
              <w:pStyle w:val="TableText10"/>
              <w:rPr>
                <w:lang w:eastAsia="en-AU"/>
              </w:rPr>
            </w:pPr>
            <w:r w:rsidRPr="001A53F2">
              <w:rPr>
                <w:lang w:eastAsia="en-AU"/>
              </w:rPr>
              <w:t>396</w:t>
            </w:r>
          </w:p>
        </w:tc>
        <w:tc>
          <w:tcPr>
            <w:tcW w:w="5811" w:type="dxa"/>
            <w:vAlign w:val="center"/>
          </w:tcPr>
          <w:p w14:paraId="421E30E7" w14:textId="77777777" w:rsidR="006B1DFD" w:rsidRPr="001A53F2" w:rsidRDefault="006B1DFD" w:rsidP="001E1C67">
            <w:pPr>
              <w:pStyle w:val="TableText10"/>
              <w:rPr>
                <w:lang w:eastAsia="en-AU"/>
              </w:rPr>
            </w:pPr>
            <w:r w:rsidRPr="001A53F2">
              <w:rPr>
                <w:lang w:eastAsia="en-AU"/>
              </w:rPr>
              <w:t>396(2)</w:t>
            </w:r>
          </w:p>
        </w:tc>
      </w:tr>
      <w:tr w:rsidR="006B1DFD" w:rsidRPr="00CB3D59" w14:paraId="77C6BC78" w14:textId="77777777" w:rsidTr="006B1DFD">
        <w:trPr>
          <w:cantSplit/>
        </w:trPr>
        <w:tc>
          <w:tcPr>
            <w:tcW w:w="1555" w:type="dxa"/>
            <w:vAlign w:val="center"/>
          </w:tcPr>
          <w:p w14:paraId="081C4756" w14:textId="77777777" w:rsidR="006B1DFD" w:rsidRPr="001A53F2" w:rsidRDefault="006B1DFD" w:rsidP="001E1C67">
            <w:pPr>
              <w:pStyle w:val="TableText10"/>
              <w:rPr>
                <w:lang w:eastAsia="en-AU"/>
              </w:rPr>
            </w:pPr>
            <w:r w:rsidRPr="001A53F2">
              <w:rPr>
                <w:lang w:eastAsia="en-AU"/>
              </w:rPr>
              <w:t>398</w:t>
            </w:r>
          </w:p>
        </w:tc>
        <w:tc>
          <w:tcPr>
            <w:tcW w:w="5811" w:type="dxa"/>
            <w:vAlign w:val="center"/>
          </w:tcPr>
          <w:p w14:paraId="3FE964A4" w14:textId="77777777" w:rsidR="006B1DFD" w:rsidRPr="001A53F2" w:rsidRDefault="006B1DFD" w:rsidP="001E1C67">
            <w:pPr>
              <w:pStyle w:val="TableText10"/>
              <w:rPr>
                <w:lang w:eastAsia="en-AU"/>
              </w:rPr>
            </w:pPr>
            <w:r w:rsidRPr="001A53F2">
              <w:rPr>
                <w:lang w:eastAsia="en-AU"/>
              </w:rPr>
              <w:t>398(2)</w:t>
            </w:r>
          </w:p>
        </w:tc>
      </w:tr>
      <w:tr w:rsidR="006B1DFD" w:rsidRPr="00CB3D59" w14:paraId="09AEED50" w14:textId="77777777" w:rsidTr="006B1DFD">
        <w:trPr>
          <w:cantSplit/>
        </w:trPr>
        <w:tc>
          <w:tcPr>
            <w:tcW w:w="1555" w:type="dxa"/>
            <w:vAlign w:val="center"/>
          </w:tcPr>
          <w:p w14:paraId="1E394015" w14:textId="77777777" w:rsidR="006B1DFD" w:rsidRPr="001A53F2" w:rsidRDefault="006B1DFD" w:rsidP="001E1C67">
            <w:pPr>
              <w:pStyle w:val="TableText10"/>
              <w:rPr>
                <w:lang w:eastAsia="en-AU"/>
              </w:rPr>
            </w:pPr>
            <w:r w:rsidRPr="001A53F2">
              <w:rPr>
                <w:lang w:eastAsia="en-AU"/>
              </w:rPr>
              <w:t>399</w:t>
            </w:r>
          </w:p>
        </w:tc>
        <w:tc>
          <w:tcPr>
            <w:tcW w:w="5811" w:type="dxa"/>
            <w:vAlign w:val="center"/>
          </w:tcPr>
          <w:p w14:paraId="155C1C1B" w14:textId="77777777" w:rsidR="006B1DFD" w:rsidRPr="001A53F2" w:rsidRDefault="006B1DFD" w:rsidP="001E1C67">
            <w:pPr>
              <w:pStyle w:val="TableText10"/>
              <w:rPr>
                <w:lang w:eastAsia="en-AU"/>
              </w:rPr>
            </w:pPr>
            <w:r w:rsidRPr="001A53F2">
              <w:rPr>
                <w:lang w:eastAsia="en-AU"/>
              </w:rPr>
              <w:t>399(2)</w:t>
            </w:r>
          </w:p>
        </w:tc>
      </w:tr>
      <w:tr w:rsidR="006B1DFD" w:rsidRPr="00CB3D59" w14:paraId="60A05180" w14:textId="77777777" w:rsidTr="006B1DFD">
        <w:trPr>
          <w:cantSplit/>
        </w:trPr>
        <w:tc>
          <w:tcPr>
            <w:tcW w:w="1555" w:type="dxa"/>
            <w:vAlign w:val="center"/>
          </w:tcPr>
          <w:p w14:paraId="16D2BDB4" w14:textId="77777777" w:rsidR="006B1DFD" w:rsidRPr="001A53F2" w:rsidRDefault="006B1DFD" w:rsidP="001E1C67">
            <w:pPr>
              <w:pStyle w:val="TableText10"/>
              <w:rPr>
                <w:lang w:eastAsia="en-AU"/>
              </w:rPr>
            </w:pPr>
            <w:r w:rsidRPr="001A53F2">
              <w:rPr>
                <w:lang w:eastAsia="en-AU"/>
              </w:rPr>
              <w:t>404</w:t>
            </w:r>
          </w:p>
        </w:tc>
        <w:tc>
          <w:tcPr>
            <w:tcW w:w="5811" w:type="dxa"/>
            <w:vAlign w:val="center"/>
          </w:tcPr>
          <w:p w14:paraId="2DC4593D" w14:textId="77777777" w:rsidR="006B1DFD" w:rsidRPr="001A53F2" w:rsidRDefault="006B1DFD" w:rsidP="001E1C67">
            <w:pPr>
              <w:pStyle w:val="TableText10"/>
              <w:rPr>
                <w:lang w:eastAsia="en-AU"/>
              </w:rPr>
            </w:pPr>
            <w:r w:rsidRPr="001A53F2">
              <w:rPr>
                <w:lang w:eastAsia="en-AU"/>
              </w:rPr>
              <w:t>404(1), 404(4)</w:t>
            </w:r>
          </w:p>
        </w:tc>
      </w:tr>
      <w:tr w:rsidR="006B1DFD" w:rsidRPr="00CB3D59" w14:paraId="2130968C" w14:textId="77777777" w:rsidTr="006B1DFD">
        <w:trPr>
          <w:cantSplit/>
        </w:trPr>
        <w:tc>
          <w:tcPr>
            <w:tcW w:w="1555" w:type="dxa"/>
            <w:vAlign w:val="center"/>
          </w:tcPr>
          <w:p w14:paraId="01637B43" w14:textId="77777777" w:rsidR="006B1DFD" w:rsidRPr="001A53F2" w:rsidRDefault="006B1DFD" w:rsidP="001E1C67">
            <w:pPr>
              <w:pStyle w:val="TableText10"/>
              <w:rPr>
                <w:lang w:eastAsia="en-AU"/>
              </w:rPr>
            </w:pPr>
            <w:r w:rsidRPr="001A53F2">
              <w:rPr>
                <w:lang w:eastAsia="en-AU"/>
              </w:rPr>
              <w:t>405</w:t>
            </w:r>
          </w:p>
        </w:tc>
        <w:tc>
          <w:tcPr>
            <w:tcW w:w="5811" w:type="dxa"/>
            <w:vAlign w:val="center"/>
          </w:tcPr>
          <w:p w14:paraId="607C720F" w14:textId="77777777" w:rsidR="006B1DFD" w:rsidRPr="001A53F2" w:rsidRDefault="006B1DFD" w:rsidP="001E1C67">
            <w:pPr>
              <w:pStyle w:val="TableText10"/>
              <w:rPr>
                <w:lang w:eastAsia="en-AU"/>
              </w:rPr>
            </w:pPr>
            <w:r w:rsidRPr="001A53F2">
              <w:rPr>
                <w:lang w:eastAsia="en-AU"/>
              </w:rPr>
              <w:t>405(1)</w:t>
            </w:r>
          </w:p>
        </w:tc>
      </w:tr>
      <w:tr w:rsidR="006B1DFD" w:rsidRPr="00CB3D59" w14:paraId="4861696D" w14:textId="77777777" w:rsidTr="006B1DFD">
        <w:trPr>
          <w:cantSplit/>
        </w:trPr>
        <w:tc>
          <w:tcPr>
            <w:tcW w:w="1555" w:type="dxa"/>
            <w:vAlign w:val="center"/>
          </w:tcPr>
          <w:p w14:paraId="600C49C8" w14:textId="77777777" w:rsidR="006B1DFD" w:rsidRPr="001A53F2" w:rsidRDefault="006B1DFD" w:rsidP="001E1C67">
            <w:pPr>
              <w:pStyle w:val="TableText10"/>
              <w:rPr>
                <w:lang w:eastAsia="en-AU"/>
              </w:rPr>
            </w:pPr>
            <w:r w:rsidRPr="001A53F2">
              <w:rPr>
                <w:lang w:eastAsia="en-AU"/>
              </w:rPr>
              <w:t>406</w:t>
            </w:r>
          </w:p>
        </w:tc>
        <w:tc>
          <w:tcPr>
            <w:tcW w:w="5811" w:type="dxa"/>
            <w:vAlign w:val="center"/>
          </w:tcPr>
          <w:p w14:paraId="52775E17" w14:textId="77777777" w:rsidR="006B1DFD" w:rsidRPr="001A53F2" w:rsidRDefault="006B1DFD" w:rsidP="001E1C67">
            <w:pPr>
              <w:pStyle w:val="TableText10"/>
              <w:rPr>
                <w:lang w:eastAsia="en-AU"/>
              </w:rPr>
            </w:pPr>
            <w:r w:rsidRPr="001A53F2">
              <w:rPr>
                <w:lang w:eastAsia="en-AU"/>
              </w:rPr>
              <w:t>406(1), 406(2)</w:t>
            </w:r>
          </w:p>
        </w:tc>
      </w:tr>
      <w:tr w:rsidR="006B1DFD" w:rsidRPr="00CB3D59" w14:paraId="56A0DEDA" w14:textId="77777777" w:rsidTr="006B1DFD">
        <w:trPr>
          <w:cantSplit/>
        </w:trPr>
        <w:tc>
          <w:tcPr>
            <w:tcW w:w="1555" w:type="dxa"/>
            <w:vAlign w:val="center"/>
          </w:tcPr>
          <w:p w14:paraId="5C1668F7" w14:textId="77777777" w:rsidR="006B1DFD" w:rsidRPr="001A53F2" w:rsidRDefault="006B1DFD" w:rsidP="001E1C67">
            <w:pPr>
              <w:pStyle w:val="TableText10"/>
              <w:rPr>
                <w:lang w:eastAsia="en-AU"/>
              </w:rPr>
            </w:pPr>
            <w:r w:rsidRPr="001A53F2">
              <w:rPr>
                <w:lang w:eastAsia="en-AU"/>
              </w:rPr>
              <w:t>417</w:t>
            </w:r>
          </w:p>
        </w:tc>
        <w:tc>
          <w:tcPr>
            <w:tcW w:w="5811" w:type="dxa"/>
            <w:vAlign w:val="center"/>
          </w:tcPr>
          <w:p w14:paraId="62C5BAEC" w14:textId="77777777" w:rsidR="006B1DFD" w:rsidRPr="001A53F2" w:rsidRDefault="006B1DFD" w:rsidP="001E1C67">
            <w:pPr>
              <w:pStyle w:val="TableText10"/>
              <w:rPr>
                <w:lang w:eastAsia="en-AU"/>
              </w:rPr>
            </w:pPr>
            <w:r w:rsidRPr="001A53F2">
              <w:rPr>
                <w:lang w:eastAsia="en-AU"/>
              </w:rPr>
              <w:t>417</w:t>
            </w:r>
          </w:p>
        </w:tc>
      </w:tr>
      <w:tr w:rsidR="006B1DFD" w:rsidRPr="00CB3D59" w14:paraId="559DFD21" w14:textId="77777777" w:rsidTr="006B1DFD">
        <w:trPr>
          <w:cantSplit/>
        </w:trPr>
        <w:tc>
          <w:tcPr>
            <w:tcW w:w="1555" w:type="dxa"/>
            <w:vAlign w:val="center"/>
          </w:tcPr>
          <w:p w14:paraId="74923958" w14:textId="77777777" w:rsidR="006B1DFD" w:rsidRPr="001A53F2" w:rsidRDefault="006B1DFD" w:rsidP="001E1C67">
            <w:pPr>
              <w:pStyle w:val="TableText10"/>
              <w:rPr>
                <w:lang w:eastAsia="en-AU"/>
              </w:rPr>
            </w:pPr>
            <w:r w:rsidRPr="001A53F2">
              <w:rPr>
                <w:lang w:eastAsia="en-AU"/>
              </w:rPr>
              <w:t>422</w:t>
            </w:r>
          </w:p>
        </w:tc>
        <w:tc>
          <w:tcPr>
            <w:tcW w:w="5811" w:type="dxa"/>
            <w:vAlign w:val="center"/>
          </w:tcPr>
          <w:p w14:paraId="28AED13E" w14:textId="77777777" w:rsidR="006B1DFD" w:rsidRPr="001A53F2" w:rsidRDefault="006B1DFD" w:rsidP="001E1C67">
            <w:pPr>
              <w:pStyle w:val="TableText10"/>
              <w:rPr>
                <w:lang w:eastAsia="en-AU"/>
              </w:rPr>
            </w:pPr>
            <w:r w:rsidRPr="001A53F2">
              <w:rPr>
                <w:lang w:eastAsia="en-AU"/>
              </w:rPr>
              <w:t>422(2)</w:t>
            </w:r>
          </w:p>
        </w:tc>
      </w:tr>
      <w:tr w:rsidR="006B1DFD" w:rsidRPr="00CB3D59" w14:paraId="30FEA3AC" w14:textId="77777777" w:rsidTr="006B1DFD">
        <w:trPr>
          <w:cantSplit/>
        </w:trPr>
        <w:tc>
          <w:tcPr>
            <w:tcW w:w="1555" w:type="dxa"/>
            <w:vAlign w:val="center"/>
          </w:tcPr>
          <w:p w14:paraId="2904D160" w14:textId="77777777" w:rsidR="006B1DFD" w:rsidRPr="001A53F2" w:rsidRDefault="006B1DFD" w:rsidP="001E1C67">
            <w:pPr>
              <w:pStyle w:val="TableText10"/>
              <w:rPr>
                <w:lang w:eastAsia="en-AU"/>
              </w:rPr>
            </w:pPr>
            <w:r w:rsidRPr="001A53F2">
              <w:rPr>
                <w:lang w:eastAsia="en-AU"/>
              </w:rPr>
              <w:t>423</w:t>
            </w:r>
          </w:p>
        </w:tc>
        <w:tc>
          <w:tcPr>
            <w:tcW w:w="5811" w:type="dxa"/>
            <w:vAlign w:val="center"/>
          </w:tcPr>
          <w:p w14:paraId="38E1296A" w14:textId="77777777" w:rsidR="006B1DFD" w:rsidRPr="001A53F2" w:rsidRDefault="006B1DFD" w:rsidP="001E1C67">
            <w:pPr>
              <w:pStyle w:val="TableText10"/>
              <w:rPr>
                <w:lang w:eastAsia="en-AU"/>
              </w:rPr>
            </w:pPr>
            <w:r w:rsidRPr="001A53F2">
              <w:rPr>
                <w:lang w:eastAsia="en-AU"/>
              </w:rPr>
              <w:t>423(1)</w:t>
            </w:r>
          </w:p>
        </w:tc>
      </w:tr>
      <w:tr w:rsidR="006B1DFD" w:rsidRPr="00CB3D59" w14:paraId="47CCA0A0" w14:textId="77777777" w:rsidTr="006B1DFD">
        <w:trPr>
          <w:cantSplit/>
        </w:trPr>
        <w:tc>
          <w:tcPr>
            <w:tcW w:w="1555" w:type="dxa"/>
            <w:vAlign w:val="center"/>
          </w:tcPr>
          <w:p w14:paraId="33D9C0FF" w14:textId="77777777" w:rsidR="006B1DFD" w:rsidRPr="001A53F2" w:rsidRDefault="006B1DFD" w:rsidP="001E1C67">
            <w:pPr>
              <w:pStyle w:val="TableText10"/>
              <w:rPr>
                <w:lang w:eastAsia="en-AU"/>
              </w:rPr>
            </w:pPr>
            <w:r w:rsidRPr="001A53F2">
              <w:rPr>
                <w:lang w:eastAsia="en-AU"/>
              </w:rPr>
              <w:t>424</w:t>
            </w:r>
          </w:p>
        </w:tc>
        <w:tc>
          <w:tcPr>
            <w:tcW w:w="5811" w:type="dxa"/>
            <w:vAlign w:val="center"/>
          </w:tcPr>
          <w:p w14:paraId="43CDC35D" w14:textId="77777777" w:rsidR="006B1DFD" w:rsidRPr="001A53F2" w:rsidRDefault="006B1DFD" w:rsidP="001E1C67">
            <w:pPr>
              <w:pStyle w:val="TableText10"/>
              <w:rPr>
                <w:lang w:eastAsia="en-AU"/>
              </w:rPr>
            </w:pPr>
            <w:r w:rsidRPr="001A53F2">
              <w:rPr>
                <w:lang w:eastAsia="en-AU"/>
              </w:rPr>
              <w:t>424(1), 424(3)</w:t>
            </w:r>
          </w:p>
        </w:tc>
      </w:tr>
      <w:tr w:rsidR="006B1DFD" w:rsidRPr="00CB3D59" w14:paraId="7E895EB9" w14:textId="77777777" w:rsidTr="006B1DFD">
        <w:trPr>
          <w:cantSplit/>
        </w:trPr>
        <w:tc>
          <w:tcPr>
            <w:tcW w:w="1555" w:type="dxa"/>
            <w:vAlign w:val="center"/>
          </w:tcPr>
          <w:p w14:paraId="103AEBCD" w14:textId="77777777" w:rsidR="006B1DFD" w:rsidRPr="001A53F2" w:rsidRDefault="006B1DFD" w:rsidP="001E1C67">
            <w:pPr>
              <w:pStyle w:val="TableText10"/>
              <w:rPr>
                <w:lang w:eastAsia="en-AU"/>
              </w:rPr>
            </w:pPr>
            <w:r w:rsidRPr="001A53F2">
              <w:rPr>
                <w:lang w:eastAsia="en-AU"/>
              </w:rPr>
              <w:t>451</w:t>
            </w:r>
          </w:p>
        </w:tc>
        <w:tc>
          <w:tcPr>
            <w:tcW w:w="5811" w:type="dxa"/>
            <w:vAlign w:val="center"/>
          </w:tcPr>
          <w:p w14:paraId="3F74CA80" w14:textId="77777777" w:rsidR="006B1DFD" w:rsidRPr="001A53F2" w:rsidRDefault="006B1DFD" w:rsidP="001E1C67">
            <w:pPr>
              <w:pStyle w:val="TableText10"/>
              <w:rPr>
                <w:lang w:eastAsia="en-AU"/>
              </w:rPr>
            </w:pPr>
            <w:r w:rsidRPr="001A53F2">
              <w:rPr>
                <w:lang w:eastAsia="en-AU"/>
              </w:rPr>
              <w:t>451</w:t>
            </w:r>
          </w:p>
        </w:tc>
      </w:tr>
      <w:tr w:rsidR="006B1DFD" w:rsidRPr="00CB3D59" w14:paraId="647397D0" w14:textId="77777777" w:rsidTr="006B1DFD">
        <w:trPr>
          <w:cantSplit/>
        </w:trPr>
        <w:tc>
          <w:tcPr>
            <w:tcW w:w="1555" w:type="dxa"/>
            <w:vAlign w:val="center"/>
          </w:tcPr>
          <w:p w14:paraId="7703D152" w14:textId="77777777" w:rsidR="006B1DFD" w:rsidRPr="001A53F2" w:rsidRDefault="006B1DFD" w:rsidP="001E1C67">
            <w:pPr>
              <w:pStyle w:val="TableText10"/>
              <w:rPr>
                <w:lang w:eastAsia="en-AU"/>
              </w:rPr>
            </w:pPr>
            <w:r w:rsidRPr="001A53F2">
              <w:rPr>
                <w:lang w:eastAsia="en-AU"/>
              </w:rPr>
              <w:t>452</w:t>
            </w:r>
          </w:p>
        </w:tc>
        <w:tc>
          <w:tcPr>
            <w:tcW w:w="5811" w:type="dxa"/>
            <w:vAlign w:val="center"/>
          </w:tcPr>
          <w:p w14:paraId="68822934" w14:textId="77777777" w:rsidR="006B1DFD" w:rsidRPr="001A53F2" w:rsidRDefault="006B1DFD" w:rsidP="001E1C67">
            <w:pPr>
              <w:pStyle w:val="TableText10"/>
              <w:rPr>
                <w:lang w:eastAsia="en-AU"/>
              </w:rPr>
            </w:pPr>
            <w:r w:rsidRPr="001A53F2">
              <w:rPr>
                <w:lang w:eastAsia="en-AU"/>
              </w:rPr>
              <w:t>452</w:t>
            </w:r>
          </w:p>
        </w:tc>
      </w:tr>
      <w:tr w:rsidR="006B1DFD" w:rsidRPr="00CB3D59" w14:paraId="4534EA5F" w14:textId="77777777" w:rsidTr="006B1DFD">
        <w:trPr>
          <w:cantSplit/>
        </w:trPr>
        <w:tc>
          <w:tcPr>
            <w:tcW w:w="1555" w:type="dxa"/>
            <w:vAlign w:val="center"/>
          </w:tcPr>
          <w:p w14:paraId="4194044B" w14:textId="77777777" w:rsidR="006B1DFD" w:rsidRPr="001A53F2" w:rsidRDefault="006B1DFD" w:rsidP="001E1C67">
            <w:pPr>
              <w:pStyle w:val="TableText10"/>
              <w:rPr>
                <w:lang w:eastAsia="en-AU"/>
              </w:rPr>
            </w:pPr>
            <w:r w:rsidRPr="001A53F2">
              <w:rPr>
                <w:lang w:eastAsia="en-AU"/>
              </w:rPr>
              <w:t>453</w:t>
            </w:r>
          </w:p>
        </w:tc>
        <w:tc>
          <w:tcPr>
            <w:tcW w:w="5811" w:type="dxa"/>
            <w:vAlign w:val="center"/>
          </w:tcPr>
          <w:p w14:paraId="66758324" w14:textId="77777777" w:rsidR="006B1DFD" w:rsidRPr="001A53F2" w:rsidRDefault="006B1DFD" w:rsidP="001E1C67">
            <w:pPr>
              <w:pStyle w:val="TableText10"/>
              <w:rPr>
                <w:lang w:eastAsia="en-AU"/>
              </w:rPr>
            </w:pPr>
            <w:r w:rsidRPr="001A53F2">
              <w:rPr>
                <w:lang w:eastAsia="en-AU"/>
              </w:rPr>
              <w:t>453(1), 453(2)</w:t>
            </w:r>
          </w:p>
        </w:tc>
      </w:tr>
      <w:tr w:rsidR="006B1DFD" w:rsidRPr="00CB3D59" w14:paraId="5067888B" w14:textId="77777777" w:rsidTr="006B1DFD">
        <w:trPr>
          <w:cantSplit/>
        </w:trPr>
        <w:tc>
          <w:tcPr>
            <w:tcW w:w="1555" w:type="dxa"/>
            <w:vAlign w:val="center"/>
          </w:tcPr>
          <w:p w14:paraId="1A1026BD" w14:textId="77777777" w:rsidR="006B1DFD" w:rsidRPr="001A53F2" w:rsidRDefault="006B1DFD" w:rsidP="001E1C67">
            <w:pPr>
              <w:pStyle w:val="TableText10"/>
              <w:rPr>
                <w:lang w:eastAsia="en-AU"/>
              </w:rPr>
            </w:pPr>
            <w:r w:rsidRPr="001A53F2">
              <w:rPr>
                <w:lang w:eastAsia="en-AU"/>
              </w:rPr>
              <w:t>454</w:t>
            </w:r>
          </w:p>
        </w:tc>
        <w:tc>
          <w:tcPr>
            <w:tcW w:w="5811" w:type="dxa"/>
            <w:vAlign w:val="center"/>
          </w:tcPr>
          <w:p w14:paraId="78AAED89" w14:textId="77777777" w:rsidR="006B1DFD" w:rsidRPr="001A53F2" w:rsidRDefault="006B1DFD" w:rsidP="001E1C67">
            <w:pPr>
              <w:pStyle w:val="TableText10"/>
              <w:rPr>
                <w:lang w:eastAsia="en-AU"/>
              </w:rPr>
            </w:pPr>
            <w:r w:rsidRPr="001A53F2">
              <w:rPr>
                <w:lang w:eastAsia="en-AU"/>
              </w:rPr>
              <w:t>454(1), 454(2)</w:t>
            </w:r>
          </w:p>
        </w:tc>
      </w:tr>
      <w:tr w:rsidR="006B1DFD" w:rsidRPr="00CB3D59" w14:paraId="72493040" w14:textId="77777777" w:rsidTr="006B1DFD">
        <w:trPr>
          <w:cantSplit/>
        </w:trPr>
        <w:tc>
          <w:tcPr>
            <w:tcW w:w="1555" w:type="dxa"/>
            <w:vAlign w:val="center"/>
          </w:tcPr>
          <w:p w14:paraId="2EEE2C5E" w14:textId="77777777" w:rsidR="006B1DFD" w:rsidRPr="001A53F2" w:rsidRDefault="006B1DFD" w:rsidP="001E1C67">
            <w:pPr>
              <w:pStyle w:val="TableText10"/>
              <w:rPr>
                <w:lang w:eastAsia="en-AU"/>
              </w:rPr>
            </w:pPr>
            <w:r w:rsidRPr="001A53F2">
              <w:rPr>
                <w:lang w:eastAsia="en-AU"/>
              </w:rPr>
              <w:t>467</w:t>
            </w:r>
          </w:p>
        </w:tc>
        <w:tc>
          <w:tcPr>
            <w:tcW w:w="5811" w:type="dxa"/>
            <w:vAlign w:val="center"/>
          </w:tcPr>
          <w:p w14:paraId="0228CCE5" w14:textId="77777777" w:rsidR="006B1DFD" w:rsidRPr="001A53F2" w:rsidRDefault="006B1DFD" w:rsidP="001E1C67">
            <w:pPr>
              <w:pStyle w:val="TableText10"/>
              <w:rPr>
                <w:lang w:eastAsia="en-AU"/>
              </w:rPr>
            </w:pPr>
            <w:r w:rsidRPr="001A53F2">
              <w:rPr>
                <w:lang w:eastAsia="en-AU"/>
              </w:rPr>
              <w:t>467</w:t>
            </w:r>
          </w:p>
        </w:tc>
      </w:tr>
      <w:tr w:rsidR="006B1DFD" w:rsidRPr="00CB3D59" w14:paraId="5587F95B" w14:textId="77777777" w:rsidTr="006B1DFD">
        <w:trPr>
          <w:cantSplit/>
        </w:trPr>
        <w:tc>
          <w:tcPr>
            <w:tcW w:w="1555" w:type="dxa"/>
            <w:vAlign w:val="center"/>
          </w:tcPr>
          <w:p w14:paraId="7CCCF6E4" w14:textId="77777777" w:rsidR="006B1DFD" w:rsidRPr="001A53F2" w:rsidRDefault="006B1DFD" w:rsidP="001E1C67">
            <w:pPr>
              <w:pStyle w:val="TableText10"/>
              <w:rPr>
                <w:lang w:eastAsia="en-AU"/>
              </w:rPr>
            </w:pPr>
            <w:r w:rsidRPr="001A53F2">
              <w:rPr>
                <w:lang w:eastAsia="en-AU"/>
              </w:rPr>
              <w:t>470</w:t>
            </w:r>
          </w:p>
        </w:tc>
        <w:tc>
          <w:tcPr>
            <w:tcW w:w="5811" w:type="dxa"/>
            <w:vAlign w:val="center"/>
          </w:tcPr>
          <w:p w14:paraId="5E289278" w14:textId="77777777" w:rsidR="006B1DFD" w:rsidRPr="001A53F2" w:rsidRDefault="006B1DFD" w:rsidP="001E1C67">
            <w:pPr>
              <w:pStyle w:val="TableText10"/>
              <w:rPr>
                <w:lang w:eastAsia="en-AU"/>
              </w:rPr>
            </w:pPr>
            <w:r w:rsidRPr="001A53F2">
              <w:rPr>
                <w:lang w:eastAsia="en-AU"/>
              </w:rPr>
              <w:t>470(2), 470(3), 470(4), 470(5), 470(6)</w:t>
            </w:r>
          </w:p>
        </w:tc>
      </w:tr>
      <w:tr w:rsidR="006B1DFD" w:rsidRPr="00CB3D59" w14:paraId="7A04B6EC" w14:textId="77777777" w:rsidTr="006B1DFD">
        <w:trPr>
          <w:cantSplit/>
        </w:trPr>
        <w:tc>
          <w:tcPr>
            <w:tcW w:w="1555" w:type="dxa"/>
            <w:vAlign w:val="center"/>
          </w:tcPr>
          <w:p w14:paraId="5C760A3F" w14:textId="77777777" w:rsidR="006B1DFD" w:rsidRPr="001A53F2" w:rsidRDefault="006B1DFD" w:rsidP="001E1C67">
            <w:pPr>
              <w:pStyle w:val="TableText10"/>
              <w:rPr>
                <w:lang w:eastAsia="en-AU"/>
              </w:rPr>
            </w:pPr>
            <w:r w:rsidRPr="001A53F2">
              <w:rPr>
                <w:lang w:eastAsia="en-AU"/>
              </w:rPr>
              <w:t>471</w:t>
            </w:r>
          </w:p>
        </w:tc>
        <w:tc>
          <w:tcPr>
            <w:tcW w:w="5811" w:type="dxa"/>
            <w:vAlign w:val="center"/>
          </w:tcPr>
          <w:p w14:paraId="37740C32" w14:textId="77777777" w:rsidR="006B1DFD" w:rsidRPr="001A53F2" w:rsidRDefault="006B1DFD" w:rsidP="001E1C67">
            <w:pPr>
              <w:pStyle w:val="TableText10"/>
              <w:rPr>
                <w:lang w:eastAsia="en-AU"/>
              </w:rPr>
            </w:pPr>
            <w:r w:rsidRPr="001A53F2">
              <w:rPr>
                <w:lang w:eastAsia="en-AU"/>
              </w:rPr>
              <w:t>471(2)</w:t>
            </w:r>
          </w:p>
        </w:tc>
      </w:tr>
      <w:tr w:rsidR="006B1DFD" w:rsidRPr="00CB3D59" w14:paraId="4E5B9F66" w14:textId="77777777" w:rsidTr="006B1DFD">
        <w:trPr>
          <w:cantSplit/>
        </w:trPr>
        <w:tc>
          <w:tcPr>
            <w:tcW w:w="1555" w:type="dxa"/>
            <w:vAlign w:val="center"/>
          </w:tcPr>
          <w:p w14:paraId="21EA76FE" w14:textId="77777777" w:rsidR="006B1DFD" w:rsidRPr="001A53F2" w:rsidRDefault="006B1DFD" w:rsidP="001E1C67">
            <w:pPr>
              <w:pStyle w:val="TableText10"/>
              <w:rPr>
                <w:lang w:eastAsia="en-AU"/>
              </w:rPr>
            </w:pPr>
            <w:r w:rsidRPr="001A53F2">
              <w:rPr>
                <w:lang w:eastAsia="en-AU"/>
              </w:rPr>
              <w:t>476</w:t>
            </w:r>
          </w:p>
        </w:tc>
        <w:tc>
          <w:tcPr>
            <w:tcW w:w="5811" w:type="dxa"/>
            <w:vAlign w:val="center"/>
          </w:tcPr>
          <w:p w14:paraId="3AE3C078" w14:textId="77777777" w:rsidR="006B1DFD" w:rsidRPr="001A53F2" w:rsidRDefault="006B1DFD" w:rsidP="001E1C67">
            <w:pPr>
              <w:pStyle w:val="TableText10"/>
              <w:rPr>
                <w:lang w:eastAsia="en-AU"/>
              </w:rPr>
            </w:pPr>
            <w:r w:rsidRPr="001A53F2">
              <w:rPr>
                <w:lang w:eastAsia="en-AU"/>
              </w:rPr>
              <w:t>476(2)</w:t>
            </w:r>
          </w:p>
        </w:tc>
      </w:tr>
      <w:tr w:rsidR="006B1DFD" w:rsidRPr="00CB3D59" w14:paraId="7FD889BC" w14:textId="77777777" w:rsidTr="006B1DFD">
        <w:trPr>
          <w:cantSplit/>
        </w:trPr>
        <w:tc>
          <w:tcPr>
            <w:tcW w:w="1555" w:type="dxa"/>
            <w:vAlign w:val="center"/>
          </w:tcPr>
          <w:p w14:paraId="2BFEE3CC" w14:textId="77777777" w:rsidR="006B1DFD" w:rsidRPr="001A53F2" w:rsidRDefault="006B1DFD" w:rsidP="001E1C67">
            <w:pPr>
              <w:pStyle w:val="TableText10"/>
              <w:rPr>
                <w:lang w:eastAsia="en-AU"/>
              </w:rPr>
            </w:pPr>
            <w:r w:rsidRPr="001A53F2">
              <w:rPr>
                <w:lang w:eastAsia="en-AU"/>
              </w:rPr>
              <w:lastRenderedPageBreak/>
              <w:t>478</w:t>
            </w:r>
          </w:p>
        </w:tc>
        <w:tc>
          <w:tcPr>
            <w:tcW w:w="5811" w:type="dxa"/>
            <w:vAlign w:val="center"/>
          </w:tcPr>
          <w:p w14:paraId="6C75D77B" w14:textId="77777777" w:rsidR="006B1DFD" w:rsidRPr="001A53F2" w:rsidRDefault="006B1DFD" w:rsidP="001E1C67">
            <w:pPr>
              <w:pStyle w:val="TableText10"/>
              <w:rPr>
                <w:lang w:eastAsia="en-AU"/>
              </w:rPr>
            </w:pPr>
            <w:r w:rsidRPr="001A53F2">
              <w:rPr>
                <w:lang w:eastAsia="en-AU"/>
              </w:rPr>
              <w:t>478(1), 478(2), 478(3), 478(4)</w:t>
            </w:r>
          </w:p>
        </w:tc>
      </w:tr>
      <w:tr w:rsidR="006B1DFD" w:rsidRPr="00CB3D59" w14:paraId="32EAEE64" w14:textId="77777777" w:rsidTr="006B1DFD">
        <w:trPr>
          <w:cantSplit/>
        </w:trPr>
        <w:tc>
          <w:tcPr>
            <w:tcW w:w="1555" w:type="dxa"/>
            <w:vAlign w:val="center"/>
          </w:tcPr>
          <w:p w14:paraId="3128DB79" w14:textId="77777777" w:rsidR="006B1DFD" w:rsidRPr="001A53F2" w:rsidRDefault="006B1DFD" w:rsidP="001E1C67">
            <w:pPr>
              <w:pStyle w:val="TableText10"/>
              <w:rPr>
                <w:lang w:eastAsia="en-AU"/>
              </w:rPr>
            </w:pPr>
            <w:r w:rsidRPr="001A53F2">
              <w:rPr>
                <w:lang w:eastAsia="en-AU"/>
              </w:rPr>
              <w:t>514</w:t>
            </w:r>
          </w:p>
        </w:tc>
        <w:tc>
          <w:tcPr>
            <w:tcW w:w="5811" w:type="dxa"/>
            <w:vAlign w:val="center"/>
          </w:tcPr>
          <w:p w14:paraId="07787346" w14:textId="77777777" w:rsidR="006B1DFD" w:rsidRPr="001A53F2" w:rsidRDefault="006B1DFD" w:rsidP="001E1C67">
            <w:pPr>
              <w:pStyle w:val="TableText10"/>
              <w:rPr>
                <w:lang w:eastAsia="en-AU"/>
              </w:rPr>
            </w:pPr>
            <w:r w:rsidRPr="001A53F2">
              <w:rPr>
                <w:lang w:eastAsia="en-AU"/>
              </w:rPr>
              <w:t>514(3)</w:t>
            </w:r>
          </w:p>
        </w:tc>
      </w:tr>
      <w:tr w:rsidR="006B1DFD" w:rsidRPr="00CB3D59" w14:paraId="77CD8987" w14:textId="77777777" w:rsidTr="006B1DFD">
        <w:trPr>
          <w:cantSplit/>
        </w:trPr>
        <w:tc>
          <w:tcPr>
            <w:tcW w:w="1555" w:type="dxa"/>
            <w:vAlign w:val="center"/>
          </w:tcPr>
          <w:p w14:paraId="79C84160" w14:textId="77777777" w:rsidR="006B1DFD" w:rsidRPr="001A53F2" w:rsidRDefault="006B1DFD" w:rsidP="001E1C67">
            <w:pPr>
              <w:pStyle w:val="TableText10"/>
              <w:rPr>
                <w:lang w:eastAsia="en-AU"/>
              </w:rPr>
            </w:pPr>
            <w:r w:rsidRPr="001A53F2">
              <w:rPr>
                <w:lang w:eastAsia="en-AU"/>
              </w:rPr>
              <w:t>516</w:t>
            </w:r>
          </w:p>
        </w:tc>
        <w:tc>
          <w:tcPr>
            <w:tcW w:w="5811" w:type="dxa"/>
            <w:vAlign w:val="center"/>
          </w:tcPr>
          <w:p w14:paraId="1280F1EB" w14:textId="77777777" w:rsidR="006B1DFD" w:rsidRPr="001A53F2" w:rsidRDefault="006B1DFD" w:rsidP="001E1C67">
            <w:pPr>
              <w:pStyle w:val="TableText10"/>
              <w:rPr>
                <w:lang w:eastAsia="en-AU"/>
              </w:rPr>
            </w:pPr>
            <w:r w:rsidRPr="001A53F2">
              <w:rPr>
                <w:lang w:eastAsia="en-AU"/>
              </w:rPr>
              <w:t>516(3)</w:t>
            </w:r>
          </w:p>
        </w:tc>
      </w:tr>
      <w:tr w:rsidR="006B1DFD" w:rsidRPr="00CB3D59" w14:paraId="310CCA6F" w14:textId="77777777" w:rsidTr="006B1DFD">
        <w:trPr>
          <w:cantSplit/>
        </w:trPr>
        <w:tc>
          <w:tcPr>
            <w:tcW w:w="1555" w:type="dxa"/>
            <w:vAlign w:val="center"/>
          </w:tcPr>
          <w:p w14:paraId="2321F2FC" w14:textId="77777777" w:rsidR="006B1DFD" w:rsidRPr="001A53F2" w:rsidRDefault="006B1DFD" w:rsidP="001E1C67">
            <w:pPr>
              <w:pStyle w:val="TableText10"/>
              <w:rPr>
                <w:lang w:eastAsia="en-AU"/>
              </w:rPr>
            </w:pPr>
            <w:r w:rsidRPr="001A53F2">
              <w:rPr>
                <w:lang w:eastAsia="en-AU"/>
              </w:rPr>
              <w:t>517</w:t>
            </w:r>
          </w:p>
        </w:tc>
        <w:tc>
          <w:tcPr>
            <w:tcW w:w="5811" w:type="dxa"/>
            <w:vAlign w:val="center"/>
          </w:tcPr>
          <w:p w14:paraId="68737999" w14:textId="77777777" w:rsidR="006B1DFD" w:rsidRPr="001A53F2" w:rsidRDefault="006B1DFD" w:rsidP="001E1C67">
            <w:pPr>
              <w:pStyle w:val="TableText10"/>
              <w:rPr>
                <w:lang w:eastAsia="en-AU"/>
              </w:rPr>
            </w:pPr>
            <w:r w:rsidRPr="001A53F2">
              <w:rPr>
                <w:lang w:eastAsia="en-AU"/>
              </w:rPr>
              <w:t>517(4)</w:t>
            </w:r>
          </w:p>
        </w:tc>
      </w:tr>
      <w:tr w:rsidR="006B1DFD" w:rsidRPr="00CB3D59" w14:paraId="0463DFA1" w14:textId="77777777" w:rsidTr="006B1DFD">
        <w:trPr>
          <w:cantSplit/>
        </w:trPr>
        <w:tc>
          <w:tcPr>
            <w:tcW w:w="1555" w:type="dxa"/>
            <w:vAlign w:val="center"/>
          </w:tcPr>
          <w:p w14:paraId="52BED4B9" w14:textId="77777777" w:rsidR="006B1DFD" w:rsidRPr="001A53F2" w:rsidRDefault="006B1DFD" w:rsidP="001E1C67">
            <w:pPr>
              <w:pStyle w:val="TableText10"/>
              <w:rPr>
                <w:lang w:eastAsia="en-AU"/>
              </w:rPr>
            </w:pPr>
            <w:r w:rsidRPr="001A53F2">
              <w:rPr>
                <w:lang w:eastAsia="en-AU"/>
              </w:rPr>
              <w:t>528</w:t>
            </w:r>
          </w:p>
        </w:tc>
        <w:tc>
          <w:tcPr>
            <w:tcW w:w="5811" w:type="dxa"/>
            <w:vAlign w:val="center"/>
          </w:tcPr>
          <w:p w14:paraId="7DF39339" w14:textId="77777777" w:rsidR="006B1DFD" w:rsidRPr="001A53F2" w:rsidRDefault="006B1DFD" w:rsidP="001E1C67">
            <w:pPr>
              <w:pStyle w:val="TableText10"/>
              <w:rPr>
                <w:lang w:eastAsia="en-AU"/>
              </w:rPr>
            </w:pPr>
            <w:r w:rsidRPr="001A53F2">
              <w:rPr>
                <w:lang w:eastAsia="en-AU"/>
              </w:rPr>
              <w:t>528(3)</w:t>
            </w:r>
          </w:p>
        </w:tc>
      </w:tr>
      <w:tr w:rsidR="006B1DFD" w:rsidRPr="00CB3D59" w14:paraId="19B3F592" w14:textId="77777777" w:rsidTr="006B1DFD">
        <w:trPr>
          <w:cantSplit/>
        </w:trPr>
        <w:tc>
          <w:tcPr>
            <w:tcW w:w="1555" w:type="dxa"/>
            <w:vAlign w:val="center"/>
          </w:tcPr>
          <w:p w14:paraId="0686E8F3" w14:textId="77777777" w:rsidR="006B1DFD" w:rsidRPr="001A53F2" w:rsidRDefault="006B1DFD" w:rsidP="001E1C67">
            <w:pPr>
              <w:pStyle w:val="TableText10"/>
              <w:rPr>
                <w:lang w:eastAsia="en-AU"/>
              </w:rPr>
            </w:pPr>
            <w:r w:rsidRPr="001A53F2">
              <w:rPr>
                <w:lang w:eastAsia="en-AU"/>
              </w:rPr>
              <w:t>529</w:t>
            </w:r>
          </w:p>
        </w:tc>
        <w:tc>
          <w:tcPr>
            <w:tcW w:w="5811" w:type="dxa"/>
            <w:vAlign w:val="center"/>
          </w:tcPr>
          <w:p w14:paraId="00A3745E" w14:textId="77777777" w:rsidR="006B1DFD" w:rsidRPr="001A53F2" w:rsidRDefault="006B1DFD" w:rsidP="001E1C67">
            <w:pPr>
              <w:pStyle w:val="TableText10"/>
              <w:rPr>
                <w:lang w:eastAsia="en-AU"/>
              </w:rPr>
            </w:pPr>
            <w:r w:rsidRPr="001A53F2">
              <w:rPr>
                <w:lang w:eastAsia="en-AU"/>
              </w:rPr>
              <w:t>529</w:t>
            </w:r>
          </w:p>
        </w:tc>
      </w:tr>
      <w:tr w:rsidR="006B1DFD" w:rsidRPr="00CB3D59" w14:paraId="2288515E" w14:textId="77777777" w:rsidTr="006B1DFD">
        <w:trPr>
          <w:cantSplit/>
        </w:trPr>
        <w:tc>
          <w:tcPr>
            <w:tcW w:w="1555" w:type="dxa"/>
            <w:vAlign w:val="center"/>
          </w:tcPr>
          <w:p w14:paraId="27E09717" w14:textId="77777777" w:rsidR="006B1DFD" w:rsidRPr="001A53F2" w:rsidRDefault="006B1DFD" w:rsidP="001E1C67">
            <w:pPr>
              <w:pStyle w:val="TableText10"/>
              <w:rPr>
                <w:lang w:eastAsia="en-AU"/>
              </w:rPr>
            </w:pPr>
            <w:r w:rsidRPr="001A53F2">
              <w:rPr>
                <w:lang w:eastAsia="en-AU"/>
              </w:rPr>
              <w:t>533</w:t>
            </w:r>
          </w:p>
        </w:tc>
        <w:tc>
          <w:tcPr>
            <w:tcW w:w="5811" w:type="dxa"/>
            <w:vAlign w:val="center"/>
          </w:tcPr>
          <w:p w14:paraId="6E112368" w14:textId="77777777" w:rsidR="006B1DFD" w:rsidRPr="001A53F2" w:rsidRDefault="006B1DFD" w:rsidP="001E1C67">
            <w:pPr>
              <w:pStyle w:val="TableText10"/>
              <w:rPr>
                <w:lang w:eastAsia="en-AU"/>
              </w:rPr>
            </w:pPr>
            <w:r w:rsidRPr="001A53F2">
              <w:rPr>
                <w:lang w:eastAsia="en-AU"/>
              </w:rPr>
              <w:t>533(7)</w:t>
            </w:r>
          </w:p>
        </w:tc>
      </w:tr>
      <w:tr w:rsidR="006B1DFD" w:rsidRPr="00CB3D59" w14:paraId="7AC32553" w14:textId="77777777" w:rsidTr="006B1DFD">
        <w:trPr>
          <w:cantSplit/>
        </w:trPr>
        <w:tc>
          <w:tcPr>
            <w:tcW w:w="1555" w:type="dxa"/>
            <w:vAlign w:val="center"/>
          </w:tcPr>
          <w:p w14:paraId="62A659B0" w14:textId="77777777" w:rsidR="006B1DFD" w:rsidRPr="001A53F2" w:rsidRDefault="006B1DFD" w:rsidP="001E1C67">
            <w:pPr>
              <w:pStyle w:val="TableText10"/>
              <w:rPr>
                <w:lang w:eastAsia="en-AU"/>
              </w:rPr>
            </w:pPr>
            <w:r w:rsidRPr="001A53F2">
              <w:rPr>
                <w:lang w:eastAsia="en-AU"/>
              </w:rPr>
              <w:t>534</w:t>
            </w:r>
          </w:p>
        </w:tc>
        <w:tc>
          <w:tcPr>
            <w:tcW w:w="5811" w:type="dxa"/>
            <w:vAlign w:val="center"/>
          </w:tcPr>
          <w:p w14:paraId="22CBAD46" w14:textId="77777777" w:rsidR="006B1DFD" w:rsidRPr="001A53F2" w:rsidRDefault="006B1DFD" w:rsidP="001E1C67">
            <w:pPr>
              <w:pStyle w:val="TableText10"/>
              <w:rPr>
                <w:lang w:eastAsia="en-AU"/>
              </w:rPr>
            </w:pPr>
            <w:r w:rsidRPr="001A53F2">
              <w:rPr>
                <w:lang w:eastAsia="en-AU"/>
              </w:rPr>
              <w:t>534(5)</w:t>
            </w:r>
          </w:p>
        </w:tc>
      </w:tr>
      <w:tr w:rsidR="006B1DFD" w:rsidRPr="00CB3D59" w14:paraId="5D0C5758" w14:textId="77777777" w:rsidTr="006B1DFD">
        <w:trPr>
          <w:cantSplit/>
        </w:trPr>
        <w:tc>
          <w:tcPr>
            <w:tcW w:w="1555" w:type="dxa"/>
            <w:vAlign w:val="center"/>
          </w:tcPr>
          <w:p w14:paraId="2B7BEB9F" w14:textId="77777777" w:rsidR="006B1DFD" w:rsidRPr="001A53F2" w:rsidRDefault="006B1DFD" w:rsidP="001E1C67">
            <w:pPr>
              <w:pStyle w:val="TableText10"/>
              <w:rPr>
                <w:lang w:eastAsia="en-AU"/>
              </w:rPr>
            </w:pPr>
            <w:r w:rsidRPr="001A53F2">
              <w:rPr>
                <w:lang w:eastAsia="en-AU"/>
              </w:rPr>
              <w:t>535</w:t>
            </w:r>
          </w:p>
        </w:tc>
        <w:tc>
          <w:tcPr>
            <w:tcW w:w="5811" w:type="dxa"/>
            <w:vAlign w:val="center"/>
          </w:tcPr>
          <w:p w14:paraId="4C0B0003" w14:textId="77777777" w:rsidR="006B1DFD" w:rsidRPr="001A53F2" w:rsidRDefault="006B1DFD" w:rsidP="001E1C67">
            <w:pPr>
              <w:pStyle w:val="TableText10"/>
              <w:rPr>
                <w:lang w:eastAsia="en-AU"/>
              </w:rPr>
            </w:pPr>
            <w:r w:rsidRPr="001A53F2">
              <w:rPr>
                <w:lang w:eastAsia="en-AU"/>
              </w:rPr>
              <w:t>535(5)</w:t>
            </w:r>
          </w:p>
        </w:tc>
      </w:tr>
      <w:tr w:rsidR="006B1DFD" w:rsidRPr="00CB3D59" w14:paraId="1E1E386F" w14:textId="77777777" w:rsidTr="006B1DFD">
        <w:trPr>
          <w:cantSplit/>
        </w:trPr>
        <w:tc>
          <w:tcPr>
            <w:tcW w:w="1555" w:type="dxa"/>
            <w:vAlign w:val="center"/>
          </w:tcPr>
          <w:p w14:paraId="3D7FA628" w14:textId="77777777" w:rsidR="006B1DFD" w:rsidRPr="001A53F2" w:rsidRDefault="006B1DFD" w:rsidP="001E1C67">
            <w:pPr>
              <w:pStyle w:val="TableText10"/>
              <w:rPr>
                <w:lang w:eastAsia="en-AU"/>
              </w:rPr>
            </w:pPr>
            <w:r w:rsidRPr="001A53F2">
              <w:rPr>
                <w:lang w:eastAsia="en-AU"/>
              </w:rPr>
              <w:t>553</w:t>
            </w:r>
          </w:p>
        </w:tc>
        <w:tc>
          <w:tcPr>
            <w:tcW w:w="5811" w:type="dxa"/>
            <w:vAlign w:val="center"/>
          </w:tcPr>
          <w:p w14:paraId="6516288B" w14:textId="77777777" w:rsidR="006B1DFD" w:rsidRPr="001A53F2" w:rsidRDefault="006B1DFD" w:rsidP="001E1C67">
            <w:pPr>
              <w:pStyle w:val="TableText10"/>
              <w:rPr>
                <w:lang w:eastAsia="en-AU"/>
              </w:rPr>
            </w:pPr>
            <w:r w:rsidRPr="001A53F2">
              <w:rPr>
                <w:lang w:eastAsia="en-AU"/>
              </w:rPr>
              <w:t>553(3)</w:t>
            </w:r>
          </w:p>
        </w:tc>
      </w:tr>
      <w:tr w:rsidR="006B1DFD" w:rsidRPr="00CB3D59" w14:paraId="347240F5" w14:textId="77777777" w:rsidTr="006B1DFD">
        <w:trPr>
          <w:cantSplit/>
        </w:trPr>
        <w:tc>
          <w:tcPr>
            <w:tcW w:w="1555" w:type="dxa"/>
            <w:vAlign w:val="center"/>
          </w:tcPr>
          <w:p w14:paraId="0867CF4C" w14:textId="77777777" w:rsidR="006B1DFD" w:rsidRPr="001A53F2" w:rsidRDefault="006B1DFD" w:rsidP="001E1C67">
            <w:pPr>
              <w:pStyle w:val="TableText10"/>
              <w:rPr>
                <w:lang w:eastAsia="en-AU"/>
              </w:rPr>
            </w:pPr>
            <w:r w:rsidRPr="001A53F2">
              <w:rPr>
                <w:lang w:eastAsia="en-AU"/>
              </w:rPr>
              <w:t>558</w:t>
            </w:r>
          </w:p>
        </w:tc>
        <w:tc>
          <w:tcPr>
            <w:tcW w:w="5811" w:type="dxa"/>
            <w:vAlign w:val="center"/>
          </w:tcPr>
          <w:p w14:paraId="11884957" w14:textId="77777777" w:rsidR="006B1DFD" w:rsidRPr="001A53F2" w:rsidRDefault="006B1DFD" w:rsidP="001E1C67">
            <w:pPr>
              <w:pStyle w:val="TableText10"/>
              <w:rPr>
                <w:lang w:eastAsia="en-AU"/>
              </w:rPr>
            </w:pPr>
            <w:r w:rsidRPr="001A53F2">
              <w:rPr>
                <w:lang w:eastAsia="en-AU"/>
              </w:rPr>
              <w:t>558(1), 558(3)</w:t>
            </w:r>
          </w:p>
        </w:tc>
      </w:tr>
      <w:tr w:rsidR="006B1DFD" w:rsidRPr="00CB3D59" w14:paraId="61DF3AF8" w14:textId="77777777" w:rsidTr="006B1DFD">
        <w:trPr>
          <w:cantSplit/>
        </w:trPr>
        <w:tc>
          <w:tcPr>
            <w:tcW w:w="1555" w:type="dxa"/>
            <w:vAlign w:val="center"/>
          </w:tcPr>
          <w:p w14:paraId="1E32D33E" w14:textId="77777777" w:rsidR="006B1DFD" w:rsidRPr="001A53F2" w:rsidRDefault="006B1DFD" w:rsidP="001E1C67">
            <w:pPr>
              <w:pStyle w:val="TableText10"/>
              <w:rPr>
                <w:lang w:eastAsia="en-AU"/>
              </w:rPr>
            </w:pPr>
            <w:r w:rsidRPr="001A53F2">
              <w:rPr>
                <w:lang w:eastAsia="en-AU"/>
              </w:rPr>
              <w:t>559</w:t>
            </w:r>
          </w:p>
        </w:tc>
        <w:tc>
          <w:tcPr>
            <w:tcW w:w="5811" w:type="dxa"/>
            <w:vAlign w:val="center"/>
          </w:tcPr>
          <w:p w14:paraId="1EDEBC01" w14:textId="77777777" w:rsidR="006B1DFD" w:rsidRPr="001A53F2" w:rsidRDefault="006B1DFD" w:rsidP="001E1C67">
            <w:pPr>
              <w:pStyle w:val="TableText10"/>
              <w:rPr>
                <w:lang w:eastAsia="en-AU"/>
              </w:rPr>
            </w:pPr>
            <w:r w:rsidRPr="001A53F2">
              <w:rPr>
                <w:lang w:eastAsia="en-AU"/>
              </w:rPr>
              <w:t>559(3), 559(4), 559(5)</w:t>
            </w:r>
          </w:p>
        </w:tc>
      </w:tr>
      <w:tr w:rsidR="006B1DFD" w:rsidRPr="00CB3D59" w14:paraId="7B5E49FA" w14:textId="77777777" w:rsidTr="006B1DFD">
        <w:trPr>
          <w:cantSplit/>
        </w:trPr>
        <w:tc>
          <w:tcPr>
            <w:tcW w:w="1555" w:type="dxa"/>
            <w:vAlign w:val="center"/>
          </w:tcPr>
          <w:p w14:paraId="4BE6164F" w14:textId="77777777" w:rsidR="006B1DFD" w:rsidRPr="001A53F2" w:rsidRDefault="006B1DFD" w:rsidP="001E1C67">
            <w:pPr>
              <w:pStyle w:val="TableText10"/>
              <w:rPr>
                <w:lang w:eastAsia="en-AU"/>
              </w:rPr>
            </w:pPr>
            <w:r w:rsidRPr="001A53F2">
              <w:rPr>
                <w:lang w:eastAsia="en-AU"/>
              </w:rPr>
              <w:t>567</w:t>
            </w:r>
          </w:p>
        </w:tc>
        <w:tc>
          <w:tcPr>
            <w:tcW w:w="5811" w:type="dxa"/>
            <w:vAlign w:val="center"/>
          </w:tcPr>
          <w:p w14:paraId="54F2A2D9" w14:textId="77777777" w:rsidR="006B1DFD" w:rsidRPr="001A53F2" w:rsidRDefault="006B1DFD" w:rsidP="001E1C67">
            <w:pPr>
              <w:pStyle w:val="TableText10"/>
              <w:rPr>
                <w:lang w:eastAsia="en-AU"/>
              </w:rPr>
            </w:pPr>
            <w:r w:rsidRPr="001A53F2">
              <w:rPr>
                <w:lang w:eastAsia="en-AU"/>
              </w:rPr>
              <w:t>567(4)</w:t>
            </w:r>
          </w:p>
        </w:tc>
      </w:tr>
      <w:tr w:rsidR="006B1DFD" w:rsidRPr="00CB3D59" w14:paraId="1AEDF5BF" w14:textId="77777777" w:rsidTr="006B1DFD">
        <w:trPr>
          <w:cantSplit/>
        </w:trPr>
        <w:tc>
          <w:tcPr>
            <w:tcW w:w="1555" w:type="dxa"/>
            <w:vAlign w:val="center"/>
          </w:tcPr>
          <w:p w14:paraId="6B48F248" w14:textId="77777777" w:rsidR="006B1DFD" w:rsidRPr="001A53F2" w:rsidRDefault="006B1DFD" w:rsidP="001E1C67">
            <w:pPr>
              <w:pStyle w:val="TableText10"/>
              <w:rPr>
                <w:lang w:eastAsia="en-AU"/>
              </w:rPr>
            </w:pPr>
            <w:r w:rsidRPr="001A53F2">
              <w:rPr>
                <w:lang w:eastAsia="en-AU"/>
              </w:rPr>
              <w:t>568</w:t>
            </w:r>
          </w:p>
        </w:tc>
        <w:tc>
          <w:tcPr>
            <w:tcW w:w="5811" w:type="dxa"/>
            <w:vAlign w:val="center"/>
          </w:tcPr>
          <w:p w14:paraId="688394BD" w14:textId="77777777" w:rsidR="006B1DFD" w:rsidRPr="001A53F2" w:rsidRDefault="006B1DFD" w:rsidP="001E1C67">
            <w:pPr>
              <w:pStyle w:val="TableText10"/>
              <w:rPr>
                <w:lang w:eastAsia="en-AU"/>
              </w:rPr>
            </w:pPr>
            <w:r w:rsidRPr="001A53F2">
              <w:rPr>
                <w:lang w:eastAsia="en-AU"/>
              </w:rPr>
              <w:t>568(7)</w:t>
            </w:r>
          </w:p>
        </w:tc>
      </w:tr>
      <w:tr w:rsidR="006B1DFD" w:rsidRPr="00CB3D59" w14:paraId="6114DC4B" w14:textId="77777777" w:rsidTr="006B1DFD">
        <w:trPr>
          <w:cantSplit/>
        </w:trPr>
        <w:tc>
          <w:tcPr>
            <w:tcW w:w="1555" w:type="dxa"/>
            <w:vAlign w:val="center"/>
          </w:tcPr>
          <w:p w14:paraId="35F9671F" w14:textId="77777777" w:rsidR="006B1DFD" w:rsidRPr="001A53F2" w:rsidRDefault="006B1DFD" w:rsidP="001E1C67">
            <w:pPr>
              <w:pStyle w:val="TableText10"/>
              <w:rPr>
                <w:lang w:eastAsia="en-AU"/>
              </w:rPr>
            </w:pPr>
            <w:r w:rsidRPr="001A53F2">
              <w:rPr>
                <w:lang w:eastAsia="en-AU"/>
              </w:rPr>
              <w:t>569</w:t>
            </w:r>
          </w:p>
        </w:tc>
        <w:tc>
          <w:tcPr>
            <w:tcW w:w="5811" w:type="dxa"/>
            <w:vAlign w:val="center"/>
          </w:tcPr>
          <w:p w14:paraId="3BF5D5B9" w14:textId="77777777" w:rsidR="006B1DFD" w:rsidRPr="001A53F2" w:rsidRDefault="006B1DFD" w:rsidP="001E1C67">
            <w:pPr>
              <w:pStyle w:val="TableText10"/>
              <w:rPr>
                <w:lang w:eastAsia="en-AU"/>
              </w:rPr>
            </w:pPr>
            <w:r w:rsidRPr="001A53F2">
              <w:rPr>
                <w:lang w:eastAsia="en-AU"/>
              </w:rPr>
              <w:t>569(2), 569(7)</w:t>
            </w:r>
          </w:p>
        </w:tc>
      </w:tr>
      <w:tr w:rsidR="006B1DFD" w:rsidRPr="00CB3D59" w14:paraId="3AA40F8F" w14:textId="77777777" w:rsidTr="006B1DFD">
        <w:trPr>
          <w:cantSplit/>
        </w:trPr>
        <w:tc>
          <w:tcPr>
            <w:tcW w:w="1555" w:type="dxa"/>
            <w:vAlign w:val="center"/>
          </w:tcPr>
          <w:p w14:paraId="78540B06" w14:textId="77777777" w:rsidR="006B1DFD" w:rsidRPr="001A53F2" w:rsidRDefault="006B1DFD" w:rsidP="001E1C67">
            <w:pPr>
              <w:pStyle w:val="TableText10"/>
              <w:rPr>
                <w:lang w:eastAsia="en-AU"/>
              </w:rPr>
            </w:pPr>
            <w:r w:rsidRPr="001A53F2">
              <w:rPr>
                <w:lang w:eastAsia="en-AU"/>
              </w:rPr>
              <w:t>570</w:t>
            </w:r>
          </w:p>
        </w:tc>
        <w:tc>
          <w:tcPr>
            <w:tcW w:w="5811" w:type="dxa"/>
            <w:vAlign w:val="center"/>
          </w:tcPr>
          <w:p w14:paraId="4B37E6F5" w14:textId="77777777" w:rsidR="006B1DFD" w:rsidRPr="001A53F2" w:rsidRDefault="006B1DFD" w:rsidP="001E1C67">
            <w:pPr>
              <w:pStyle w:val="TableText10"/>
              <w:rPr>
                <w:lang w:eastAsia="en-AU"/>
              </w:rPr>
            </w:pPr>
            <w:r w:rsidRPr="001A53F2">
              <w:rPr>
                <w:lang w:eastAsia="en-AU"/>
              </w:rPr>
              <w:t>570(3)</w:t>
            </w:r>
          </w:p>
        </w:tc>
      </w:tr>
      <w:tr w:rsidR="006B1DFD" w:rsidRPr="00CB3D59" w14:paraId="1EB2AC75" w14:textId="77777777" w:rsidTr="006B1DFD">
        <w:trPr>
          <w:cantSplit/>
        </w:trPr>
        <w:tc>
          <w:tcPr>
            <w:tcW w:w="1555" w:type="dxa"/>
            <w:vAlign w:val="center"/>
          </w:tcPr>
          <w:p w14:paraId="42F5B086" w14:textId="77777777" w:rsidR="006B1DFD" w:rsidRPr="001A53F2" w:rsidRDefault="006B1DFD" w:rsidP="001E1C67">
            <w:pPr>
              <w:pStyle w:val="TableText10"/>
              <w:rPr>
                <w:lang w:eastAsia="en-AU"/>
              </w:rPr>
            </w:pPr>
            <w:r w:rsidRPr="001A53F2">
              <w:rPr>
                <w:lang w:eastAsia="en-AU"/>
              </w:rPr>
              <w:t>570A</w:t>
            </w:r>
          </w:p>
        </w:tc>
        <w:tc>
          <w:tcPr>
            <w:tcW w:w="5811" w:type="dxa"/>
            <w:vAlign w:val="center"/>
          </w:tcPr>
          <w:p w14:paraId="6681DAC5" w14:textId="77777777" w:rsidR="006B1DFD" w:rsidRPr="001A53F2" w:rsidRDefault="006B1DFD" w:rsidP="001E1C67">
            <w:pPr>
              <w:pStyle w:val="TableText10"/>
              <w:rPr>
                <w:lang w:eastAsia="en-AU"/>
              </w:rPr>
            </w:pPr>
            <w:r w:rsidRPr="001A53F2">
              <w:rPr>
                <w:lang w:eastAsia="en-AU"/>
              </w:rPr>
              <w:t>570A(5)</w:t>
            </w:r>
          </w:p>
        </w:tc>
      </w:tr>
      <w:tr w:rsidR="006B1DFD" w:rsidRPr="00CB3D59" w14:paraId="50986BD4" w14:textId="77777777" w:rsidTr="006B1DFD">
        <w:trPr>
          <w:cantSplit/>
        </w:trPr>
        <w:tc>
          <w:tcPr>
            <w:tcW w:w="1555" w:type="dxa"/>
            <w:vAlign w:val="center"/>
          </w:tcPr>
          <w:p w14:paraId="478EC5C4" w14:textId="77777777" w:rsidR="006B1DFD" w:rsidRPr="001A53F2" w:rsidRDefault="006B1DFD" w:rsidP="001E1C67">
            <w:pPr>
              <w:pStyle w:val="TableText10"/>
              <w:rPr>
                <w:lang w:eastAsia="en-AU"/>
              </w:rPr>
            </w:pPr>
            <w:r w:rsidRPr="001A53F2">
              <w:rPr>
                <w:lang w:eastAsia="en-AU"/>
              </w:rPr>
              <w:t>573</w:t>
            </w:r>
          </w:p>
        </w:tc>
        <w:tc>
          <w:tcPr>
            <w:tcW w:w="5811" w:type="dxa"/>
            <w:vAlign w:val="center"/>
          </w:tcPr>
          <w:p w14:paraId="4B45D20F" w14:textId="77777777" w:rsidR="006B1DFD" w:rsidRPr="001A53F2" w:rsidRDefault="006B1DFD" w:rsidP="001E1C67">
            <w:pPr>
              <w:pStyle w:val="TableText10"/>
              <w:rPr>
                <w:lang w:eastAsia="en-AU"/>
              </w:rPr>
            </w:pPr>
            <w:r w:rsidRPr="001A53F2">
              <w:rPr>
                <w:lang w:eastAsia="en-AU"/>
              </w:rPr>
              <w:t>573(1)</w:t>
            </w:r>
          </w:p>
        </w:tc>
      </w:tr>
      <w:tr w:rsidR="00925BE6" w:rsidRPr="00CB3D59" w14:paraId="3CB2B32A" w14:textId="77777777" w:rsidTr="006B1DFD">
        <w:trPr>
          <w:cantSplit/>
        </w:trPr>
        <w:tc>
          <w:tcPr>
            <w:tcW w:w="1555" w:type="dxa"/>
            <w:vAlign w:val="center"/>
          </w:tcPr>
          <w:p w14:paraId="026D90D1" w14:textId="77777777" w:rsidR="00925BE6" w:rsidRPr="001A53F2" w:rsidRDefault="00925BE6" w:rsidP="001E1C67">
            <w:pPr>
              <w:pStyle w:val="TableText10"/>
              <w:rPr>
                <w:lang w:eastAsia="en-AU"/>
              </w:rPr>
            </w:pPr>
            <w:r>
              <w:rPr>
                <w:lang w:eastAsia="en-AU"/>
              </w:rPr>
              <w:t>576C</w:t>
            </w:r>
          </w:p>
        </w:tc>
        <w:tc>
          <w:tcPr>
            <w:tcW w:w="5811" w:type="dxa"/>
            <w:vAlign w:val="center"/>
          </w:tcPr>
          <w:p w14:paraId="40594B83" w14:textId="77777777" w:rsidR="00925BE6" w:rsidRPr="001A53F2" w:rsidRDefault="00925BE6" w:rsidP="001E1C67">
            <w:pPr>
              <w:pStyle w:val="TableText10"/>
              <w:rPr>
                <w:lang w:eastAsia="en-AU"/>
              </w:rPr>
            </w:pPr>
            <w:r>
              <w:rPr>
                <w:lang w:eastAsia="en-AU"/>
              </w:rPr>
              <w:t>576C</w:t>
            </w:r>
          </w:p>
        </w:tc>
      </w:tr>
      <w:tr w:rsidR="006B1DFD" w:rsidRPr="00CB3D59" w14:paraId="76816883" w14:textId="77777777" w:rsidTr="006B1DFD">
        <w:trPr>
          <w:cantSplit/>
        </w:trPr>
        <w:tc>
          <w:tcPr>
            <w:tcW w:w="1555" w:type="dxa"/>
            <w:vAlign w:val="center"/>
          </w:tcPr>
          <w:p w14:paraId="2E90232F" w14:textId="77777777" w:rsidR="006B1DFD" w:rsidRPr="001A53F2" w:rsidRDefault="006B1DFD" w:rsidP="001E1C67">
            <w:pPr>
              <w:pStyle w:val="TableText10"/>
              <w:rPr>
                <w:lang w:eastAsia="en-AU"/>
              </w:rPr>
            </w:pPr>
            <w:r w:rsidRPr="001A53F2">
              <w:rPr>
                <w:lang w:eastAsia="en-AU"/>
              </w:rPr>
              <w:t>577</w:t>
            </w:r>
          </w:p>
        </w:tc>
        <w:tc>
          <w:tcPr>
            <w:tcW w:w="5811" w:type="dxa"/>
            <w:vAlign w:val="center"/>
          </w:tcPr>
          <w:p w14:paraId="6AA27C24" w14:textId="77777777" w:rsidR="006B1DFD" w:rsidRPr="001A53F2" w:rsidRDefault="006B1DFD" w:rsidP="001E1C67">
            <w:pPr>
              <w:pStyle w:val="TableText10"/>
              <w:rPr>
                <w:lang w:eastAsia="en-AU"/>
              </w:rPr>
            </w:pPr>
            <w:r w:rsidRPr="001A53F2">
              <w:rPr>
                <w:lang w:eastAsia="en-AU"/>
              </w:rPr>
              <w:t>577(4)</w:t>
            </w:r>
          </w:p>
        </w:tc>
      </w:tr>
      <w:tr w:rsidR="006B1DFD" w:rsidRPr="00CB3D59" w14:paraId="03AEEA28" w14:textId="77777777" w:rsidTr="006B1DFD">
        <w:trPr>
          <w:cantSplit/>
        </w:trPr>
        <w:tc>
          <w:tcPr>
            <w:tcW w:w="1555" w:type="dxa"/>
            <w:vAlign w:val="center"/>
          </w:tcPr>
          <w:p w14:paraId="5D9357F5" w14:textId="77777777" w:rsidR="006B1DFD" w:rsidRPr="001A53F2" w:rsidRDefault="006B1DFD" w:rsidP="001E1C67">
            <w:pPr>
              <w:pStyle w:val="TableText10"/>
              <w:rPr>
                <w:lang w:eastAsia="en-AU"/>
              </w:rPr>
            </w:pPr>
            <w:r w:rsidRPr="001A53F2">
              <w:rPr>
                <w:lang w:eastAsia="en-AU"/>
              </w:rPr>
              <w:t>590B</w:t>
            </w:r>
          </w:p>
        </w:tc>
        <w:tc>
          <w:tcPr>
            <w:tcW w:w="5811" w:type="dxa"/>
            <w:vAlign w:val="center"/>
          </w:tcPr>
          <w:p w14:paraId="78A24145" w14:textId="77777777" w:rsidR="006B1DFD" w:rsidRPr="001A53F2" w:rsidRDefault="006B1DFD" w:rsidP="001E1C67">
            <w:pPr>
              <w:pStyle w:val="TableText10"/>
              <w:rPr>
                <w:lang w:eastAsia="en-AU"/>
              </w:rPr>
            </w:pPr>
            <w:r w:rsidRPr="001A53F2">
              <w:rPr>
                <w:lang w:eastAsia="en-AU"/>
              </w:rPr>
              <w:t>590B(2)</w:t>
            </w:r>
          </w:p>
        </w:tc>
      </w:tr>
      <w:tr w:rsidR="006B1DFD" w:rsidRPr="00CB3D59" w14:paraId="6B0E9D92" w14:textId="77777777" w:rsidTr="006B1DFD">
        <w:trPr>
          <w:cantSplit/>
        </w:trPr>
        <w:tc>
          <w:tcPr>
            <w:tcW w:w="1555" w:type="dxa"/>
            <w:vAlign w:val="center"/>
          </w:tcPr>
          <w:p w14:paraId="6859BE32" w14:textId="77777777" w:rsidR="006B1DFD" w:rsidRPr="001A53F2" w:rsidRDefault="006B1DFD" w:rsidP="001E1C67">
            <w:pPr>
              <w:pStyle w:val="TableText10"/>
              <w:rPr>
                <w:lang w:eastAsia="en-AU"/>
              </w:rPr>
            </w:pPr>
            <w:r w:rsidRPr="001A53F2">
              <w:rPr>
                <w:lang w:eastAsia="en-AU"/>
              </w:rPr>
              <w:t>604</w:t>
            </w:r>
          </w:p>
        </w:tc>
        <w:tc>
          <w:tcPr>
            <w:tcW w:w="5811" w:type="dxa"/>
            <w:vAlign w:val="center"/>
          </w:tcPr>
          <w:p w14:paraId="55E270CF" w14:textId="77777777" w:rsidR="006B1DFD" w:rsidRPr="001A53F2" w:rsidRDefault="006B1DFD" w:rsidP="001E1C67">
            <w:pPr>
              <w:pStyle w:val="TableText10"/>
              <w:rPr>
                <w:lang w:eastAsia="en-AU"/>
              </w:rPr>
            </w:pPr>
            <w:r w:rsidRPr="001A53F2">
              <w:rPr>
                <w:lang w:eastAsia="en-AU"/>
              </w:rPr>
              <w:t>604</w:t>
            </w:r>
          </w:p>
        </w:tc>
      </w:tr>
      <w:tr w:rsidR="006B1DFD" w:rsidRPr="00CB3D59" w14:paraId="2A489E22" w14:textId="77777777" w:rsidTr="006B1DFD">
        <w:trPr>
          <w:cantSplit/>
        </w:trPr>
        <w:tc>
          <w:tcPr>
            <w:tcW w:w="1555" w:type="dxa"/>
            <w:vAlign w:val="center"/>
          </w:tcPr>
          <w:p w14:paraId="2ABFEB38" w14:textId="77777777" w:rsidR="006B1DFD" w:rsidRPr="001A53F2" w:rsidRDefault="006B1DFD" w:rsidP="001E1C67">
            <w:pPr>
              <w:pStyle w:val="TableText10"/>
              <w:rPr>
                <w:lang w:eastAsia="en-AU"/>
              </w:rPr>
            </w:pPr>
            <w:r w:rsidRPr="001A53F2">
              <w:rPr>
                <w:lang w:eastAsia="en-AU"/>
              </w:rPr>
              <w:t>610</w:t>
            </w:r>
          </w:p>
        </w:tc>
        <w:tc>
          <w:tcPr>
            <w:tcW w:w="5811" w:type="dxa"/>
            <w:vAlign w:val="center"/>
          </w:tcPr>
          <w:p w14:paraId="1FAF7C84" w14:textId="77777777" w:rsidR="006B1DFD" w:rsidRPr="001A53F2" w:rsidRDefault="006B1DFD" w:rsidP="001E1C67">
            <w:pPr>
              <w:pStyle w:val="TableText10"/>
              <w:rPr>
                <w:lang w:eastAsia="en-AU"/>
              </w:rPr>
            </w:pPr>
            <w:r w:rsidRPr="001A53F2">
              <w:rPr>
                <w:lang w:eastAsia="en-AU"/>
              </w:rPr>
              <w:t>610</w:t>
            </w:r>
          </w:p>
        </w:tc>
      </w:tr>
      <w:tr w:rsidR="006B1DFD" w:rsidRPr="00CB3D59" w14:paraId="0262BE31" w14:textId="77777777" w:rsidTr="006B1DFD">
        <w:trPr>
          <w:cantSplit/>
        </w:trPr>
        <w:tc>
          <w:tcPr>
            <w:tcW w:w="1555" w:type="dxa"/>
            <w:vAlign w:val="center"/>
          </w:tcPr>
          <w:p w14:paraId="3EE75173" w14:textId="77777777" w:rsidR="006B1DFD" w:rsidRPr="001A53F2" w:rsidRDefault="006B1DFD" w:rsidP="001E1C67">
            <w:pPr>
              <w:pStyle w:val="TableText10"/>
              <w:rPr>
                <w:lang w:eastAsia="en-AU"/>
              </w:rPr>
            </w:pPr>
            <w:r w:rsidRPr="001A53F2">
              <w:rPr>
                <w:lang w:eastAsia="en-AU"/>
              </w:rPr>
              <w:t>699</w:t>
            </w:r>
          </w:p>
        </w:tc>
        <w:tc>
          <w:tcPr>
            <w:tcW w:w="5811" w:type="dxa"/>
            <w:vAlign w:val="center"/>
          </w:tcPr>
          <w:p w14:paraId="4B2C6D1D" w14:textId="77777777" w:rsidR="006B1DFD" w:rsidRPr="001A53F2" w:rsidRDefault="006B1DFD" w:rsidP="001E1C67">
            <w:pPr>
              <w:pStyle w:val="TableText10"/>
              <w:rPr>
                <w:lang w:eastAsia="en-AU"/>
              </w:rPr>
            </w:pPr>
            <w:r w:rsidRPr="001A53F2">
              <w:rPr>
                <w:lang w:eastAsia="en-AU"/>
              </w:rPr>
              <w:t>699(1), 699(2)</w:t>
            </w:r>
          </w:p>
        </w:tc>
      </w:tr>
      <w:tr w:rsidR="006B1DFD" w:rsidRPr="00CB3D59" w14:paraId="6CA727CA" w14:textId="77777777" w:rsidTr="006B1DFD">
        <w:trPr>
          <w:cantSplit/>
        </w:trPr>
        <w:tc>
          <w:tcPr>
            <w:tcW w:w="1555" w:type="dxa"/>
            <w:vAlign w:val="center"/>
          </w:tcPr>
          <w:p w14:paraId="21270A4F" w14:textId="77777777" w:rsidR="006B1DFD" w:rsidRPr="001A53F2" w:rsidRDefault="006B1DFD" w:rsidP="001E1C67">
            <w:pPr>
              <w:pStyle w:val="TableText10"/>
              <w:rPr>
                <w:lang w:eastAsia="en-AU"/>
              </w:rPr>
            </w:pPr>
            <w:r w:rsidRPr="001A53F2">
              <w:rPr>
                <w:lang w:eastAsia="en-AU"/>
              </w:rPr>
              <w:t>700</w:t>
            </w:r>
          </w:p>
        </w:tc>
        <w:tc>
          <w:tcPr>
            <w:tcW w:w="5811" w:type="dxa"/>
            <w:vAlign w:val="center"/>
          </w:tcPr>
          <w:p w14:paraId="71C34E7E" w14:textId="77777777" w:rsidR="006B1DFD" w:rsidRPr="001A53F2" w:rsidRDefault="006B1DFD" w:rsidP="001E1C67">
            <w:pPr>
              <w:pStyle w:val="TableText10"/>
              <w:rPr>
                <w:lang w:eastAsia="en-AU"/>
              </w:rPr>
            </w:pPr>
            <w:r w:rsidRPr="001A53F2">
              <w:rPr>
                <w:lang w:eastAsia="en-AU"/>
              </w:rPr>
              <w:t>700(4)</w:t>
            </w:r>
          </w:p>
        </w:tc>
      </w:tr>
      <w:tr w:rsidR="006B1DFD" w:rsidRPr="00CB3D59" w14:paraId="1A204173" w14:textId="77777777" w:rsidTr="006B1DFD">
        <w:trPr>
          <w:cantSplit/>
        </w:trPr>
        <w:tc>
          <w:tcPr>
            <w:tcW w:w="1555" w:type="dxa"/>
            <w:vAlign w:val="center"/>
          </w:tcPr>
          <w:p w14:paraId="63AE5F80" w14:textId="77777777" w:rsidR="006B1DFD" w:rsidRPr="001A53F2" w:rsidRDefault="006B1DFD" w:rsidP="001E1C67">
            <w:pPr>
              <w:pStyle w:val="TableText10"/>
              <w:rPr>
                <w:lang w:eastAsia="en-AU"/>
              </w:rPr>
            </w:pPr>
            <w:r w:rsidRPr="001A53F2">
              <w:rPr>
                <w:lang w:eastAsia="en-AU"/>
              </w:rPr>
              <w:lastRenderedPageBreak/>
              <w:t>702</w:t>
            </w:r>
          </w:p>
        </w:tc>
        <w:tc>
          <w:tcPr>
            <w:tcW w:w="5811" w:type="dxa"/>
            <w:vAlign w:val="center"/>
          </w:tcPr>
          <w:p w14:paraId="339299BA" w14:textId="77777777" w:rsidR="006B1DFD" w:rsidRPr="001A53F2" w:rsidRDefault="006B1DFD" w:rsidP="001E1C67">
            <w:pPr>
              <w:pStyle w:val="TableText10"/>
              <w:rPr>
                <w:lang w:eastAsia="en-AU"/>
              </w:rPr>
            </w:pPr>
            <w:r w:rsidRPr="001A53F2">
              <w:rPr>
                <w:lang w:eastAsia="en-AU"/>
              </w:rPr>
              <w:t>702(1), 702(3)</w:t>
            </w:r>
          </w:p>
        </w:tc>
      </w:tr>
      <w:tr w:rsidR="006B1DFD" w:rsidRPr="00CB3D59" w14:paraId="68099892" w14:textId="77777777" w:rsidTr="006B1DFD">
        <w:trPr>
          <w:cantSplit/>
        </w:trPr>
        <w:tc>
          <w:tcPr>
            <w:tcW w:w="1555" w:type="dxa"/>
            <w:vAlign w:val="center"/>
          </w:tcPr>
          <w:p w14:paraId="627B9A30" w14:textId="77777777" w:rsidR="006B1DFD" w:rsidRPr="001A53F2" w:rsidRDefault="006B1DFD" w:rsidP="001E1C67">
            <w:pPr>
              <w:pStyle w:val="TableText10"/>
              <w:rPr>
                <w:lang w:eastAsia="en-AU"/>
              </w:rPr>
            </w:pPr>
            <w:r w:rsidRPr="001A53F2">
              <w:rPr>
                <w:lang w:eastAsia="en-AU"/>
              </w:rPr>
              <w:t>703</w:t>
            </w:r>
          </w:p>
        </w:tc>
        <w:tc>
          <w:tcPr>
            <w:tcW w:w="5811" w:type="dxa"/>
            <w:vAlign w:val="center"/>
          </w:tcPr>
          <w:p w14:paraId="3AD7133B" w14:textId="77777777" w:rsidR="006B1DFD" w:rsidRPr="001A53F2" w:rsidRDefault="006B1DFD" w:rsidP="001E1C67">
            <w:pPr>
              <w:pStyle w:val="TableText10"/>
              <w:rPr>
                <w:lang w:eastAsia="en-AU"/>
              </w:rPr>
            </w:pPr>
            <w:r w:rsidRPr="001A53F2">
              <w:rPr>
                <w:lang w:eastAsia="en-AU"/>
              </w:rPr>
              <w:t>703(1), 703(2)</w:t>
            </w:r>
          </w:p>
        </w:tc>
      </w:tr>
      <w:tr w:rsidR="006B1DFD" w:rsidRPr="00CB3D59" w14:paraId="343725C8" w14:textId="77777777" w:rsidTr="006B1DFD">
        <w:trPr>
          <w:cantSplit/>
        </w:trPr>
        <w:tc>
          <w:tcPr>
            <w:tcW w:w="1555" w:type="dxa"/>
            <w:vAlign w:val="center"/>
          </w:tcPr>
          <w:p w14:paraId="532F0695" w14:textId="77777777" w:rsidR="006B1DFD" w:rsidRPr="001A53F2" w:rsidRDefault="006B1DFD" w:rsidP="001E1C67">
            <w:pPr>
              <w:pStyle w:val="TableText10"/>
              <w:rPr>
                <w:lang w:eastAsia="en-AU"/>
              </w:rPr>
            </w:pPr>
            <w:r w:rsidRPr="001A53F2">
              <w:rPr>
                <w:lang w:eastAsia="en-AU"/>
              </w:rPr>
              <w:t>704</w:t>
            </w:r>
          </w:p>
        </w:tc>
        <w:tc>
          <w:tcPr>
            <w:tcW w:w="5811" w:type="dxa"/>
            <w:vAlign w:val="center"/>
          </w:tcPr>
          <w:p w14:paraId="4E1C7166" w14:textId="77777777" w:rsidR="006B1DFD" w:rsidRPr="001A53F2" w:rsidRDefault="006B1DFD" w:rsidP="001E1C67">
            <w:pPr>
              <w:pStyle w:val="TableText10"/>
              <w:rPr>
                <w:lang w:eastAsia="en-AU"/>
              </w:rPr>
            </w:pPr>
            <w:r w:rsidRPr="001A53F2">
              <w:rPr>
                <w:lang w:eastAsia="en-AU"/>
              </w:rPr>
              <w:t>704(1), 704(2), 704(3)</w:t>
            </w:r>
          </w:p>
        </w:tc>
      </w:tr>
      <w:tr w:rsidR="006B1DFD" w:rsidRPr="00CB3D59" w14:paraId="712CC7B2" w14:textId="77777777" w:rsidTr="006B1DFD">
        <w:trPr>
          <w:cantSplit/>
        </w:trPr>
        <w:tc>
          <w:tcPr>
            <w:tcW w:w="1555" w:type="dxa"/>
            <w:vAlign w:val="center"/>
          </w:tcPr>
          <w:p w14:paraId="42B12753" w14:textId="77777777" w:rsidR="006B1DFD" w:rsidRPr="001A53F2" w:rsidRDefault="006B1DFD" w:rsidP="001E1C67">
            <w:pPr>
              <w:pStyle w:val="TableText10"/>
              <w:rPr>
                <w:lang w:eastAsia="en-AU"/>
              </w:rPr>
            </w:pPr>
            <w:r w:rsidRPr="001A53F2">
              <w:rPr>
                <w:lang w:eastAsia="en-AU"/>
              </w:rPr>
              <w:t>728</w:t>
            </w:r>
          </w:p>
        </w:tc>
        <w:tc>
          <w:tcPr>
            <w:tcW w:w="5811" w:type="dxa"/>
            <w:vAlign w:val="center"/>
          </w:tcPr>
          <w:p w14:paraId="213E6170" w14:textId="77777777" w:rsidR="006B1DFD" w:rsidRPr="001A53F2" w:rsidRDefault="006B1DFD" w:rsidP="001E1C67">
            <w:pPr>
              <w:pStyle w:val="TableText10"/>
              <w:rPr>
                <w:lang w:eastAsia="en-AU"/>
              </w:rPr>
            </w:pPr>
            <w:r w:rsidRPr="001A53F2">
              <w:rPr>
                <w:lang w:eastAsia="en-AU"/>
              </w:rPr>
              <w:t>728(1)</w:t>
            </w:r>
          </w:p>
        </w:tc>
      </w:tr>
      <w:tr w:rsidR="006B1DFD" w:rsidRPr="00CB3D59" w14:paraId="122870C3" w14:textId="77777777" w:rsidTr="006B1DFD">
        <w:trPr>
          <w:cantSplit/>
        </w:trPr>
        <w:tc>
          <w:tcPr>
            <w:tcW w:w="1555" w:type="dxa"/>
            <w:vAlign w:val="center"/>
          </w:tcPr>
          <w:p w14:paraId="5DF5F8D7" w14:textId="77777777" w:rsidR="006B1DFD" w:rsidRPr="001A53F2" w:rsidRDefault="006B1DFD" w:rsidP="001E1C67">
            <w:pPr>
              <w:pStyle w:val="TableText10"/>
              <w:rPr>
                <w:lang w:eastAsia="en-AU"/>
              </w:rPr>
            </w:pPr>
            <w:r w:rsidRPr="001A53F2">
              <w:rPr>
                <w:lang w:eastAsia="en-AU"/>
              </w:rPr>
              <w:t>728A</w:t>
            </w:r>
          </w:p>
        </w:tc>
        <w:tc>
          <w:tcPr>
            <w:tcW w:w="5811" w:type="dxa"/>
            <w:vAlign w:val="center"/>
          </w:tcPr>
          <w:p w14:paraId="40582FA4" w14:textId="77777777" w:rsidR="006B1DFD" w:rsidRPr="001A53F2" w:rsidRDefault="006B1DFD" w:rsidP="001E1C67">
            <w:pPr>
              <w:pStyle w:val="TableText10"/>
              <w:rPr>
                <w:lang w:eastAsia="en-AU"/>
              </w:rPr>
            </w:pPr>
            <w:r w:rsidRPr="001A53F2">
              <w:rPr>
                <w:lang w:eastAsia="en-AU"/>
              </w:rPr>
              <w:t>728A(1)</w:t>
            </w:r>
          </w:p>
        </w:tc>
      </w:tr>
      <w:tr w:rsidR="006B1DFD" w:rsidRPr="00CB3D59" w14:paraId="002EDB51" w14:textId="77777777" w:rsidTr="006B1DFD">
        <w:trPr>
          <w:cantSplit/>
        </w:trPr>
        <w:tc>
          <w:tcPr>
            <w:tcW w:w="1555" w:type="dxa"/>
            <w:vAlign w:val="center"/>
          </w:tcPr>
          <w:p w14:paraId="347A9593" w14:textId="77777777" w:rsidR="006B1DFD" w:rsidRPr="001A53F2" w:rsidRDefault="006B1DFD" w:rsidP="001E1C67">
            <w:pPr>
              <w:pStyle w:val="TableText10"/>
              <w:rPr>
                <w:lang w:eastAsia="en-AU"/>
              </w:rPr>
            </w:pPr>
            <w:r w:rsidRPr="001A53F2">
              <w:rPr>
                <w:lang w:eastAsia="en-AU"/>
              </w:rPr>
              <w:t>729</w:t>
            </w:r>
          </w:p>
        </w:tc>
        <w:tc>
          <w:tcPr>
            <w:tcW w:w="5811" w:type="dxa"/>
            <w:vAlign w:val="center"/>
          </w:tcPr>
          <w:p w14:paraId="5DC8ECBC" w14:textId="77777777" w:rsidR="006B1DFD" w:rsidRPr="001A53F2" w:rsidRDefault="006B1DFD" w:rsidP="001E1C67">
            <w:pPr>
              <w:pStyle w:val="TableText10"/>
              <w:rPr>
                <w:lang w:eastAsia="en-AU"/>
              </w:rPr>
            </w:pPr>
            <w:r w:rsidRPr="001A53F2">
              <w:rPr>
                <w:lang w:eastAsia="en-AU"/>
              </w:rPr>
              <w:t>729(1), 729(3)</w:t>
            </w:r>
          </w:p>
        </w:tc>
      </w:tr>
      <w:tr w:rsidR="006B1DFD" w:rsidRPr="00CB3D59" w14:paraId="59C4B0CC" w14:textId="77777777" w:rsidTr="006B1DFD">
        <w:trPr>
          <w:cantSplit/>
        </w:trPr>
        <w:tc>
          <w:tcPr>
            <w:tcW w:w="1555" w:type="dxa"/>
            <w:vAlign w:val="center"/>
          </w:tcPr>
          <w:p w14:paraId="20A05EEF" w14:textId="77777777" w:rsidR="006B1DFD" w:rsidRPr="001A53F2" w:rsidRDefault="006B1DFD" w:rsidP="001E1C67">
            <w:pPr>
              <w:pStyle w:val="TableText10"/>
              <w:rPr>
                <w:lang w:eastAsia="en-AU"/>
              </w:rPr>
            </w:pPr>
            <w:r w:rsidRPr="001A53F2">
              <w:rPr>
                <w:lang w:eastAsia="en-AU"/>
              </w:rPr>
              <w:t>729A</w:t>
            </w:r>
          </w:p>
        </w:tc>
        <w:tc>
          <w:tcPr>
            <w:tcW w:w="5811" w:type="dxa"/>
            <w:vAlign w:val="center"/>
          </w:tcPr>
          <w:p w14:paraId="4366CC9E" w14:textId="77777777" w:rsidR="006B1DFD" w:rsidRPr="001A53F2" w:rsidRDefault="006B1DFD" w:rsidP="001E1C67">
            <w:pPr>
              <w:pStyle w:val="TableText10"/>
              <w:rPr>
                <w:lang w:eastAsia="en-AU"/>
              </w:rPr>
            </w:pPr>
            <w:r w:rsidRPr="001A53F2">
              <w:rPr>
                <w:lang w:eastAsia="en-AU"/>
              </w:rPr>
              <w:t>729A(1), 729A(2)</w:t>
            </w:r>
          </w:p>
        </w:tc>
      </w:tr>
    </w:tbl>
    <w:p w14:paraId="69BF756C" w14:textId="77777777" w:rsidR="001A53F2" w:rsidRDefault="001A53F2"/>
    <w:p w14:paraId="3E975653" w14:textId="77777777" w:rsidR="00490644" w:rsidRDefault="00490644">
      <w:pPr>
        <w:pStyle w:val="03Schedule"/>
        <w:sectPr w:rsidR="00490644">
          <w:headerReference w:type="even" r:id="rId138"/>
          <w:headerReference w:type="default" r:id="rId139"/>
          <w:footerReference w:type="even" r:id="rId140"/>
          <w:footerReference w:type="default" r:id="rId141"/>
          <w:type w:val="continuous"/>
          <w:pgSz w:w="11907" w:h="16839" w:code="9"/>
          <w:pgMar w:top="3880" w:right="1900" w:bottom="3100" w:left="2300" w:header="2280" w:footer="1760" w:gutter="0"/>
          <w:cols w:space="720"/>
        </w:sectPr>
      </w:pPr>
    </w:p>
    <w:p w14:paraId="72C7C87D" w14:textId="77777777" w:rsidR="008F2634" w:rsidRDefault="008F2634">
      <w:pPr>
        <w:pStyle w:val="Endnote1"/>
      </w:pPr>
      <w:bookmarkStart w:id="1016" w:name="_Toc83626360"/>
      <w:r>
        <w:lastRenderedPageBreak/>
        <w:t>Endnotes</w:t>
      </w:r>
      <w:bookmarkEnd w:id="1016"/>
    </w:p>
    <w:p w14:paraId="7563645C" w14:textId="77777777" w:rsidR="008F2634" w:rsidRPr="005E03F7" w:rsidRDefault="008F2634">
      <w:pPr>
        <w:pStyle w:val="Endnote2"/>
      </w:pPr>
      <w:bookmarkStart w:id="1017" w:name="_Toc83626361"/>
      <w:r w:rsidRPr="005E03F7">
        <w:rPr>
          <w:rStyle w:val="charTableNo"/>
        </w:rPr>
        <w:t>1</w:t>
      </w:r>
      <w:r>
        <w:tab/>
      </w:r>
      <w:r w:rsidRPr="005E03F7">
        <w:rPr>
          <w:rStyle w:val="charTableText"/>
        </w:rPr>
        <w:t>About the endnotes</w:t>
      </w:r>
      <w:bookmarkEnd w:id="1017"/>
    </w:p>
    <w:p w14:paraId="010E0E7E" w14:textId="77777777" w:rsidR="008F2634" w:rsidRDefault="008F2634" w:rsidP="008C79DA">
      <w:pPr>
        <w:pStyle w:val="EndNoteTextPub"/>
        <w:spacing w:before="120" w:after="120"/>
      </w:pPr>
      <w:r>
        <w:t>Amending and modifying laws are annotated in the legislation his</w:t>
      </w:r>
      <w:r w:rsidR="00C510AA">
        <w:t>tory and the amendment history.</w:t>
      </w:r>
    </w:p>
    <w:p w14:paraId="134EAF00" w14:textId="77777777" w:rsidR="008F2634" w:rsidRDefault="008F2634" w:rsidP="007C13F4">
      <w:pPr>
        <w:pStyle w:val="EndNoteTextPub"/>
        <w:spacing w:before="120" w:after="120"/>
      </w:pPr>
      <w:r>
        <w:t>Uncommenced amending laws and expiries are listed in the legislation history and the amendment history.  These details are underlined.  Uncommenced provisions and amendments are not included in the republished law but are set out in the last endnote.</w:t>
      </w:r>
    </w:p>
    <w:p w14:paraId="4C9C4175" w14:textId="77777777" w:rsidR="008F2634" w:rsidRDefault="008F2634" w:rsidP="008C79DA">
      <w:pPr>
        <w:pStyle w:val="EndNoteTextPub"/>
        <w:spacing w:before="120" w:after="120"/>
      </w:pPr>
      <w:r>
        <w:t>The endnotes also include a table of earlier republications.</w:t>
      </w:r>
    </w:p>
    <w:p w14:paraId="2187FC29" w14:textId="77777777" w:rsidR="008F2634" w:rsidRPr="005E03F7" w:rsidRDefault="008F2634">
      <w:pPr>
        <w:pStyle w:val="Endnote2"/>
      </w:pPr>
      <w:bookmarkStart w:id="1018" w:name="_Toc83626362"/>
      <w:r w:rsidRPr="005E03F7">
        <w:rPr>
          <w:rStyle w:val="charTableNo"/>
        </w:rPr>
        <w:t>2</w:t>
      </w:r>
      <w:r>
        <w:tab/>
      </w:r>
      <w:r w:rsidRPr="005E03F7">
        <w:rPr>
          <w:rStyle w:val="charTableText"/>
        </w:rPr>
        <w:t>Abbreviation key</w:t>
      </w:r>
      <w:bookmarkEnd w:id="1018"/>
    </w:p>
    <w:p w14:paraId="78E17A2C" w14:textId="77777777" w:rsidR="008F2634" w:rsidRDefault="008F2634">
      <w:pPr>
        <w:rPr>
          <w:sz w:val="4"/>
        </w:rPr>
      </w:pPr>
    </w:p>
    <w:tbl>
      <w:tblPr>
        <w:tblW w:w="7372" w:type="dxa"/>
        <w:tblInd w:w="1100" w:type="dxa"/>
        <w:tblLayout w:type="fixed"/>
        <w:tblLook w:val="0000" w:firstRow="0" w:lastRow="0" w:firstColumn="0" w:lastColumn="0" w:noHBand="0" w:noVBand="0"/>
      </w:tblPr>
      <w:tblGrid>
        <w:gridCol w:w="3720"/>
        <w:gridCol w:w="3652"/>
      </w:tblGrid>
      <w:tr w:rsidR="008F2634" w14:paraId="370D7468" w14:textId="77777777" w:rsidTr="008F2634">
        <w:tc>
          <w:tcPr>
            <w:tcW w:w="3720" w:type="dxa"/>
          </w:tcPr>
          <w:p w14:paraId="7D18DC8C" w14:textId="77777777" w:rsidR="008F2634" w:rsidRDefault="008F2634">
            <w:pPr>
              <w:pStyle w:val="EndnotesAbbrev"/>
            </w:pPr>
            <w:r>
              <w:t>A = Act</w:t>
            </w:r>
          </w:p>
        </w:tc>
        <w:tc>
          <w:tcPr>
            <w:tcW w:w="3652" w:type="dxa"/>
          </w:tcPr>
          <w:p w14:paraId="3DD1DCB9" w14:textId="77777777" w:rsidR="008F2634" w:rsidRDefault="008F2634" w:rsidP="008F2634">
            <w:pPr>
              <w:pStyle w:val="EndnotesAbbrev"/>
            </w:pPr>
            <w:r>
              <w:t>NI = Notifiable instrument</w:t>
            </w:r>
          </w:p>
        </w:tc>
      </w:tr>
      <w:tr w:rsidR="008F2634" w14:paraId="67419A0A" w14:textId="77777777" w:rsidTr="008F2634">
        <w:tc>
          <w:tcPr>
            <w:tcW w:w="3720" w:type="dxa"/>
          </w:tcPr>
          <w:p w14:paraId="1A379366" w14:textId="77777777" w:rsidR="008F2634" w:rsidRDefault="008F2634" w:rsidP="008F2634">
            <w:pPr>
              <w:pStyle w:val="EndnotesAbbrev"/>
            </w:pPr>
            <w:r>
              <w:t>AF = Approved form</w:t>
            </w:r>
          </w:p>
        </w:tc>
        <w:tc>
          <w:tcPr>
            <w:tcW w:w="3652" w:type="dxa"/>
          </w:tcPr>
          <w:p w14:paraId="611E6CD2" w14:textId="77777777" w:rsidR="008F2634" w:rsidRDefault="008F2634" w:rsidP="008F2634">
            <w:pPr>
              <w:pStyle w:val="EndnotesAbbrev"/>
            </w:pPr>
            <w:r>
              <w:t>o = order</w:t>
            </w:r>
          </w:p>
        </w:tc>
      </w:tr>
      <w:tr w:rsidR="008F2634" w14:paraId="4F179A7C" w14:textId="77777777" w:rsidTr="008F2634">
        <w:tc>
          <w:tcPr>
            <w:tcW w:w="3720" w:type="dxa"/>
          </w:tcPr>
          <w:p w14:paraId="5ABF6519" w14:textId="77777777" w:rsidR="008F2634" w:rsidRDefault="008F2634">
            <w:pPr>
              <w:pStyle w:val="EndnotesAbbrev"/>
            </w:pPr>
            <w:r>
              <w:t>am = amended</w:t>
            </w:r>
          </w:p>
        </w:tc>
        <w:tc>
          <w:tcPr>
            <w:tcW w:w="3652" w:type="dxa"/>
          </w:tcPr>
          <w:p w14:paraId="7B964665" w14:textId="77777777" w:rsidR="008F2634" w:rsidRDefault="008F2634" w:rsidP="008F2634">
            <w:pPr>
              <w:pStyle w:val="EndnotesAbbrev"/>
            </w:pPr>
            <w:r>
              <w:t>om = omitted/repealed</w:t>
            </w:r>
          </w:p>
        </w:tc>
      </w:tr>
      <w:tr w:rsidR="008F2634" w14:paraId="08037BEC" w14:textId="77777777" w:rsidTr="008F2634">
        <w:tc>
          <w:tcPr>
            <w:tcW w:w="3720" w:type="dxa"/>
          </w:tcPr>
          <w:p w14:paraId="578E6262" w14:textId="77777777" w:rsidR="008F2634" w:rsidRDefault="008F2634">
            <w:pPr>
              <w:pStyle w:val="EndnotesAbbrev"/>
            </w:pPr>
            <w:r>
              <w:t>amdt = amendment</w:t>
            </w:r>
          </w:p>
        </w:tc>
        <w:tc>
          <w:tcPr>
            <w:tcW w:w="3652" w:type="dxa"/>
          </w:tcPr>
          <w:p w14:paraId="0C61338E" w14:textId="77777777" w:rsidR="008F2634" w:rsidRDefault="008F2634" w:rsidP="008F2634">
            <w:pPr>
              <w:pStyle w:val="EndnotesAbbrev"/>
            </w:pPr>
            <w:r>
              <w:t>ord = ordinance</w:t>
            </w:r>
          </w:p>
        </w:tc>
      </w:tr>
      <w:tr w:rsidR="008F2634" w14:paraId="2099954A" w14:textId="77777777" w:rsidTr="008F2634">
        <w:tc>
          <w:tcPr>
            <w:tcW w:w="3720" w:type="dxa"/>
          </w:tcPr>
          <w:p w14:paraId="08B5BC18" w14:textId="77777777" w:rsidR="008F2634" w:rsidRDefault="008F2634">
            <w:pPr>
              <w:pStyle w:val="EndnotesAbbrev"/>
            </w:pPr>
            <w:r>
              <w:t>AR = Assembly resolution</w:t>
            </w:r>
          </w:p>
        </w:tc>
        <w:tc>
          <w:tcPr>
            <w:tcW w:w="3652" w:type="dxa"/>
          </w:tcPr>
          <w:p w14:paraId="3EFD9067" w14:textId="77777777" w:rsidR="008F2634" w:rsidRDefault="008F2634" w:rsidP="008F2634">
            <w:pPr>
              <w:pStyle w:val="EndnotesAbbrev"/>
            </w:pPr>
            <w:r>
              <w:t>orig = original</w:t>
            </w:r>
          </w:p>
        </w:tc>
      </w:tr>
      <w:tr w:rsidR="008F2634" w14:paraId="33822F25" w14:textId="77777777" w:rsidTr="008F2634">
        <w:tc>
          <w:tcPr>
            <w:tcW w:w="3720" w:type="dxa"/>
          </w:tcPr>
          <w:p w14:paraId="3F00F181" w14:textId="77777777" w:rsidR="008F2634" w:rsidRDefault="008F2634">
            <w:pPr>
              <w:pStyle w:val="EndnotesAbbrev"/>
            </w:pPr>
            <w:r>
              <w:t>ch = chapter</w:t>
            </w:r>
          </w:p>
        </w:tc>
        <w:tc>
          <w:tcPr>
            <w:tcW w:w="3652" w:type="dxa"/>
          </w:tcPr>
          <w:p w14:paraId="223DAF7E" w14:textId="77777777" w:rsidR="008F2634" w:rsidRDefault="008F2634" w:rsidP="008F2634">
            <w:pPr>
              <w:pStyle w:val="EndnotesAbbrev"/>
            </w:pPr>
            <w:r>
              <w:t>par = paragraph/subparagraph</w:t>
            </w:r>
          </w:p>
        </w:tc>
      </w:tr>
      <w:tr w:rsidR="008F2634" w14:paraId="6356D781" w14:textId="77777777" w:rsidTr="008F2634">
        <w:tc>
          <w:tcPr>
            <w:tcW w:w="3720" w:type="dxa"/>
          </w:tcPr>
          <w:p w14:paraId="24576507" w14:textId="77777777" w:rsidR="008F2634" w:rsidRDefault="008F2634">
            <w:pPr>
              <w:pStyle w:val="EndnotesAbbrev"/>
            </w:pPr>
            <w:r>
              <w:t>CN = Commencement notice</w:t>
            </w:r>
          </w:p>
        </w:tc>
        <w:tc>
          <w:tcPr>
            <w:tcW w:w="3652" w:type="dxa"/>
          </w:tcPr>
          <w:p w14:paraId="47CB7511" w14:textId="77777777" w:rsidR="008F2634" w:rsidRDefault="008F2634" w:rsidP="008F2634">
            <w:pPr>
              <w:pStyle w:val="EndnotesAbbrev"/>
            </w:pPr>
            <w:r>
              <w:t>pres = present</w:t>
            </w:r>
          </w:p>
        </w:tc>
      </w:tr>
      <w:tr w:rsidR="008F2634" w14:paraId="18F204B5" w14:textId="77777777" w:rsidTr="008F2634">
        <w:tc>
          <w:tcPr>
            <w:tcW w:w="3720" w:type="dxa"/>
          </w:tcPr>
          <w:p w14:paraId="159650E6" w14:textId="77777777" w:rsidR="008F2634" w:rsidRDefault="008F2634">
            <w:pPr>
              <w:pStyle w:val="EndnotesAbbrev"/>
            </w:pPr>
            <w:r>
              <w:t>def = definition</w:t>
            </w:r>
          </w:p>
        </w:tc>
        <w:tc>
          <w:tcPr>
            <w:tcW w:w="3652" w:type="dxa"/>
          </w:tcPr>
          <w:p w14:paraId="42AA43A6" w14:textId="77777777" w:rsidR="008F2634" w:rsidRDefault="008F2634" w:rsidP="008F2634">
            <w:pPr>
              <w:pStyle w:val="EndnotesAbbrev"/>
            </w:pPr>
            <w:r>
              <w:t>prev = previous</w:t>
            </w:r>
          </w:p>
        </w:tc>
      </w:tr>
      <w:tr w:rsidR="008F2634" w14:paraId="2A4F77AA" w14:textId="77777777" w:rsidTr="008F2634">
        <w:tc>
          <w:tcPr>
            <w:tcW w:w="3720" w:type="dxa"/>
          </w:tcPr>
          <w:p w14:paraId="17AB5F96" w14:textId="77777777" w:rsidR="008F2634" w:rsidRDefault="008F2634">
            <w:pPr>
              <w:pStyle w:val="EndnotesAbbrev"/>
            </w:pPr>
            <w:r>
              <w:t>DI = Disallowable instrument</w:t>
            </w:r>
          </w:p>
        </w:tc>
        <w:tc>
          <w:tcPr>
            <w:tcW w:w="3652" w:type="dxa"/>
          </w:tcPr>
          <w:p w14:paraId="247EAA14" w14:textId="77777777" w:rsidR="008F2634" w:rsidRDefault="008F2634" w:rsidP="008F2634">
            <w:pPr>
              <w:pStyle w:val="EndnotesAbbrev"/>
            </w:pPr>
            <w:r>
              <w:t>(prev...) = previously</w:t>
            </w:r>
          </w:p>
        </w:tc>
      </w:tr>
      <w:tr w:rsidR="008F2634" w14:paraId="5E292B38" w14:textId="77777777" w:rsidTr="008F2634">
        <w:tc>
          <w:tcPr>
            <w:tcW w:w="3720" w:type="dxa"/>
          </w:tcPr>
          <w:p w14:paraId="45AE89A7" w14:textId="77777777" w:rsidR="008F2634" w:rsidRDefault="008F2634">
            <w:pPr>
              <w:pStyle w:val="EndnotesAbbrev"/>
            </w:pPr>
            <w:r>
              <w:t>dict = dictionary</w:t>
            </w:r>
          </w:p>
        </w:tc>
        <w:tc>
          <w:tcPr>
            <w:tcW w:w="3652" w:type="dxa"/>
          </w:tcPr>
          <w:p w14:paraId="53E39DCA" w14:textId="77777777" w:rsidR="008F2634" w:rsidRDefault="008F2634" w:rsidP="008F2634">
            <w:pPr>
              <w:pStyle w:val="EndnotesAbbrev"/>
            </w:pPr>
            <w:r>
              <w:t>pt = part</w:t>
            </w:r>
          </w:p>
        </w:tc>
      </w:tr>
      <w:tr w:rsidR="008F2634" w14:paraId="2B4F14E7" w14:textId="77777777" w:rsidTr="008F2634">
        <w:tc>
          <w:tcPr>
            <w:tcW w:w="3720" w:type="dxa"/>
          </w:tcPr>
          <w:p w14:paraId="6C6BDF34" w14:textId="77777777" w:rsidR="008F2634" w:rsidRDefault="008F2634">
            <w:pPr>
              <w:pStyle w:val="EndnotesAbbrev"/>
            </w:pPr>
            <w:r>
              <w:t xml:space="preserve">disallowed = disallowed by the Legislative </w:t>
            </w:r>
          </w:p>
        </w:tc>
        <w:tc>
          <w:tcPr>
            <w:tcW w:w="3652" w:type="dxa"/>
          </w:tcPr>
          <w:p w14:paraId="015EC242" w14:textId="77777777" w:rsidR="008F2634" w:rsidRDefault="008F2634" w:rsidP="008F2634">
            <w:pPr>
              <w:pStyle w:val="EndnotesAbbrev"/>
            </w:pPr>
            <w:r>
              <w:t>r = rule/subrule</w:t>
            </w:r>
          </w:p>
        </w:tc>
      </w:tr>
      <w:tr w:rsidR="008F2634" w14:paraId="6066D857" w14:textId="77777777" w:rsidTr="008F2634">
        <w:tc>
          <w:tcPr>
            <w:tcW w:w="3720" w:type="dxa"/>
          </w:tcPr>
          <w:p w14:paraId="13E19ADE" w14:textId="77777777" w:rsidR="008F2634" w:rsidRDefault="008F2634">
            <w:pPr>
              <w:pStyle w:val="EndnotesAbbrev"/>
              <w:ind w:left="972"/>
            </w:pPr>
            <w:r>
              <w:t>Assembly</w:t>
            </w:r>
          </w:p>
        </w:tc>
        <w:tc>
          <w:tcPr>
            <w:tcW w:w="3652" w:type="dxa"/>
          </w:tcPr>
          <w:p w14:paraId="50FEF76C" w14:textId="77777777" w:rsidR="008F2634" w:rsidRDefault="008F2634" w:rsidP="008F2634">
            <w:pPr>
              <w:pStyle w:val="EndnotesAbbrev"/>
            </w:pPr>
            <w:r>
              <w:t>reloc = relocated</w:t>
            </w:r>
          </w:p>
        </w:tc>
      </w:tr>
      <w:tr w:rsidR="008F2634" w14:paraId="060671E1" w14:textId="77777777" w:rsidTr="008F2634">
        <w:tc>
          <w:tcPr>
            <w:tcW w:w="3720" w:type="dxa"/>
          </w:tcPr>
          <w:p w14:paraId="64866B8D" w14:textId="77777777" w:rsidR="008F2634" w:rsidRDefault="008F2634">
            <w:pPr>
              <w:pStyle w:val="EndnotesAbbrev"/>
            </w:pPr>
            <w:r>
              <w:t>div = division</w:t>
            </w:r>
          </w:p>
        </w:tc>
        <w:tc>
          <w:tcPr>
            <w:tcW w:w="3652" w:type="dxa"/>
          </w:tcPr>
          <w:p w14:paraId="13D8FA49" w14:textId="77777777" w:rsidR="008F2634" w:rsidRDefault="008F2634" w:rsidP="008F2634">
            <w:pPr>
              <w:pStyle w:val="EndnotesAbbrev"/>
            </w:pPr>
            <w:r>
              <w:t>renum = renumbered</w:t>
            </w:r>
          </w:p>
        </w:tc>
      </w:tr>
      <w:tr w:rsidR="008F2634" w14:paraId="0044866F" w14:textId="77777777" w:rsidTr="008F2634">
        <w:tc>
          <w:tcPr>
            <w:tcW w:w="3720" w:type="dxa"/>
          </w:tcPr>
          <w:p w14:paraId="404B706C" w14:textId="77777777" w:rsidR="008F2634" w:rsidRDefault="008F2634">
            <w:pPr>
              <w:pStyle w:val="EndnotesAbbrev"/>
            </w:pPr>
            <w:r>
              <w:t>exp = expires/expired</w:t>
            </w:r>
          </w:p>
        </w:tc>
        <w:tc>
          <w:tcPr>
            <w:tcW w:w="3652" w:type="dxa"/>
          </w:tcPr>
          <w:p w14:paraId="2924B51B" w14:textId="77777777" w:rsidR="008F2634" w:rsidRDefault="008F2634" w:rsidP="008F2634">
            <w:pPr>
              <w:pStyle w:val="EndnotesAbbrev"/>
            </w:pPr>
            <w:r>
              <w:t>R[X] = Republication No</w:t>
            </w:r>
          </w:p>
        </w:tc>
      </w:tr>
      <w:tr w:rsidR="008F2634" w14:paraId="1259840B" w14:textId="77777777" w:rsidTr="008F2634">
        <w:tc>
          <w:tcPr>
            <w:tcW w:w="3720" w:type="dxa"/>
          </w:tcPr>
          <w:p w14:paraId="5FE5F796" w14:textId="77777777" w:rsidR="008F2634" w:rsidRDefault="008F2634">
            <w:pPr>
              <w:pStyle w:val="EndnotesAbbrev"/>
            </w:pPr>
            <w:r>
              <w:t>Gaz = gazette</w:t>
            </w:r>
          </w:p>
        </w:tc>
        <w:tc>
          <w:tcPr>
            <w:tcW w:w="3652" w:type="dxa"/>
          </w:tcPr>
          <w:p w14:paraId="1458163B" w14:textId="77777777" w:rsidR="008F2634" w:rsidRDefault="008F2634" w:rsidP="008F2634">
            <w:pPr>
              <w:pStyle w:val="EndnotesAbbrev"/>
            </w:pPr>
            <w:r>
              <w:t>RI = reissue</w:t>
            </w:r>
          </w:p>
        </w:tc>
      </w:tr>
      <w:tr w:rsidR="008F2634" w14:paraId="128D92F9" w14:textId="77777777" w:rsidTr="008F2634">
        <w:tc>
          <w:tcPr>
            <w:tcW w:w="3720" w:type="dxa"/>
          </w:tcPr>
          <w:p w14:paraId="0F2B4CBA" w14:textId="77777777" w:rsidR="008F2634" w:rsidRDefault="008F2634">
            <w:pPr>
              <w:pStyle w:val="EndnotesAbbrev"/>
            </w:pPr>
            <w:r>
              <w:t>hdg = heading</w:t>
            </w:r>
          </w:p>
        </w:tc>
        <w:tc>
          <w:tcPr>
            <w:tcW w:w="3652" w:type="dxa"/>
          </w:tcPr>
          <w:p w14:paraId="0B2B2DED" w14:textId="77777777" w:rsidR="008F2634" w:rsidRDefault="008F2634" w:rsidP="008F2634">
            <w:pPr>
              <w:pStyle w:val="EndnotesAbbrev"/>
            </w:pPr>
            <w:r>
              <w:t>s = section/subsection</w:t>
            </w:r>
          </w:p>
        </w:tc>
      </w:tr>
      <w:tr w:rsidR="008F2634" w14:paraId="4296ECF6" w14:textId="77777777" w:rsidTr="008F2634">
        <w:tc>
          <w:tcPr>
            <w:tcW w:w="3720" w:type="dxa"/>
          </w:tcPr>
          <w:p w14:paraId="5C4C24EF" w14:textId="77777777" w:rsidR="008F2634" w:rsidRDefault="008F2634">
            <w:pPr>
              <w:pStyle w:val="EndnotesAbbrev"/>
            </w:pPr>
            <w:r>
              <w:t>IA = Interpretation Act 1967</w:t>
            </w:r>
          </w:p>
        </w:tc>
        <w:tc>
          <w:tcPr>
            <w:tcW w:w="3652" w:type="dxa"/>
          </w:tcPr>
          <w:p w14:paraId="7031D3CA" w14:textId="77777777" w:rsidR="008F2634" w:rsidRDefault="008F2634" w:rsidP="008F2634">
            <w:pPr>
              <w:pStyle w:val="EndnotesAbbrev"/>
            </w:pPr>
            <w:r>
              <w:t>sch = schedule</w:t>
            </w:r>
          </w:p>
        </w:tc>
      </w:tr>
      <w:tr w:rsidR="008F2634" w14:paraId="24149B8C" w14:textId="77777777" w:rsidTr="008F2634">
        <w:tc>
          <w:tcPr>
            <w:tcW w:w="3720" w:type="dxa"/>
          </w:tcPr>
          <w:p w14:paraId="330D6785" w14:textId="77777777" w:rsidR="008F2634" w:rsidRDefault="008F2634">
            <w:pPr>
              <w:pStyle w:val="EndnotesAbbrev"/>
            </w:pPr>
            <w:r>
              <w:t>ins = inserted/added</w:t>
            </w:r>
          </w:p>
        </w:tc>
        <w:tc>
          <w:tcPr>
            <w:tcW w:w="3652" w:type="dxa"/>
          </w:tcPr>
          <w:p w14:paraId="24491E1A" w14:textId="77777777" w:rsidR="008F2634" w:rsidRDefault="008F2634" w:rsidP="008F2634">
            <w:pPr>
              <w:pStyle w:val="EndnotesAbbrev"/>
            </w:pPr>
            <w:r>
              <w:t>sdiv = subdivision</w:t>
            </w:r>
          </w:p>
        </w:tc>
      </w:tr>
      <w:tr w:rsidR="008F2634" w14:paraId="261FC3AB" w14:textId="77777777" w:rsidTr="008F2634">
        <w:tc>
          <w:tcPr>
            <w:tcW w:w="3720" w:type="dxa"/>
          </w:tcPr>
          <w:p w14:paraId="45A00401" w14:textId="77777777" w:rsidR="008F2634" w:rsidRDefault="008F2634">
            <w:pPr>
              <w:pStyle w:val="EndnotesAbbrev"/>
            </w:pPr>
            <w:r>
              <w:t>LA = Legislation Act 2001</w:t>
            </w:r>
          </w:p>
        </w:tc>
        <w:tc>
          <w:tcPr>
            <w:tcW w:w="3652" w:type="dxa"/>
          </w:tcPr>
          <w:p w14:paraId="26C67268" w14:textId="77777777" w:rsidR="008F2634" w:rsidRDefault="008F2634" w:rsidP="008F2634">
            <w:pPr>
              <w:pStyle w:val="EndnotesAbbrev"/>
            </w:pPr>
            <w:r>
              <w:t>SL = Subordinate law</w:t>
            </w:r>
          </w:p>
        </w:tc>
      </w:tr>
      <w:tr w:rsidR="008F2634" w14:paraId="0285E84D" w14:textId="77777777" w:rsidTr="008F2634">
        <w:tc>
          <w:tcPr>
            <w:tcW w:w="3720" w:type="dxa"/>
          </w:tcPr>
          <w:p w14:paraId="2BA24054" w14:textId="77777777" w:rsidR="008F2634" w:rsidRDefault="008F2634">
            <w:pPr>
              <w:pStyle w:val="EndnotesAbbrev"/>
            </w:pPr>
            <w:r>
              <w:t>LR = legislation register</w:t>
            </w:r>
          </w:p>
        </w:tc>
        <w:tc>
          <w:tcPr>
            <w:tcW w:w="3652" w:type="dxa"/>
          </w:tcPr>
          <w:p w14:paraId="0A8A9BC1" w14:textId="77777777" w:rsidR="008F2634" w:rsidRDefault="008F2634" w:rsidP="008F2634">
            <w:pPr>
              <w:pStyle w:val="EndnotesAbbrev"/>
            </w:pPr>
            <w:r>
              <w:t>sub = substituted</w:t>
            </w:r>
          </w:p>
        </w:tc>
      </w:tr>
      <w:tr w:rsidR="008F2634" w14:paraId="2A9BA286" w14:textId="77777777" w:rsidTr="008F2634">
        <w:tc>
          <w:tcPr>
            <w:tcW w:w="3720" w:type="dxa"/>
          </w:tcPr>
          <w:p w14:paraId="662D7364" w14:textId="77777777" w:rsidR="008F2634" w:rsidRDefault="008F2634">
            <w:pPr>
              <w:pStyle w:val="EndnotesAbbrev"/>
            </w:pPr>
            <w:r>
              <w:t>LRA = Legislation (Republication) Act 1996</w:t>
            </w:r>
          </w:p>
        </w:tc>
        <w:tc>
          <w:tcPr>
            <w:tcW w:w="3652" w:type="dxa"/>
          </w:tcPr>
          <w:p w14:paraId="78B09D9E" w14:textId="77777777" w:rsidR="008F2634" w:rsidRDefault="008F2634" w:rsidP="008F2634">
            <w:pPr>
              <w:pStyle w:val="EndnotesAbbrev"/>
            </w:pPr>
            <w:r>
              <w:rPr>
                <w:u w:val="single"/>
              </w:rPr>
              <w:t>underlining</w:t>
            </w:r>
            <w:r>
              <w:t xml:space="preserve"> = whole or part not commenced</w:t>
            </w:r>
          </w:p>
        </w:tc>
      </w:tr>
      <w:tr w:rsidR="008F2634" w14:paraId="05309029" w14:textId="77777777" w:rsidTr="008F2634">
        <w:tc>
          <w:tcPr>
            <w:tcW w:w="3720" w:type="dxa"/>
          </w:tcPr>
          <w:p w14:paraId="2FB6A65A" w14:textId="77777777" w:rsidR="008F2634" w:rsidRDefault="008F2634">
            <w:pPr>
              <w:pStyle w:val="EndnotesAbbrev"/>
            </w:pPr>
            <w:r>
              <w:t>mod = modified/modification</w:t>
            </w:r>
          </w:p>
        </w:tc>
        <w:tc>
          <w:tcPr>
            <w:tcW w:w="3652" w:type="dxa"/>
          </w:tcPr>
          <w:p w14:paraId="0D18A2F7" w14:textId="77777777" w:rsidR="008F2634" w:rsidRDefault="008F2634" w:rsidP="008F2634">
            <w:pPr>
              <w:pStyle w:val="EndnotesAbbrev"/>
              <w:ind w:left="1073"/>
            </w:pPr>
            <w:r>
              <w:t>or to be expired</w:t>
            </w:r>
          </w:p>
        </w:tc>
      </w:tr>
    </w:tbl>
    <w:p w14:paraId="331731BD" w14:textId="77777777" w:rsidR="00DF3A6A" w:rsidRDefault="00DF3A6A" w:rsidP="00534E65">
      <w:pPr>
        <w:rPr>
          <w:rStyle w:val="charTableNo"/>
        </w:rPr>
      </w:pPr>
    </w:p>
    <w:p w14:paraId="1BDBE605" w14:textId="77777777" w:rsidR="006D1150" w:rsidRPr="006D1150" w:rsidRDefault="006D1150" w:rsidP="006D1150">
      <w:pPr>
        <w:pStyle w:val="PageBreak"/>
      </w:pPr>
      <w:r w:rsidRPr="006D1150">
        <w:br w:type="page"/>
      </w:r>
    </w:p>
    <w:p w14:paraId="5E1416CC" w14:textId="77777777" w:rsidR="00DF3A6A" w:rsidRPr="005E03F7" w:rsidRDefault="00DF3A6A">
      <w:pPr>
        <w:pStyle w:val="Endnote2"/>
      </w:pPr>
      <w:bookmarkStart w:id="1019" w:name="_Toc83626363"/>
      <w:r w:rsidRPr="005E03F7">
        <w:rPr>
          <w:rStyle w:val="charTableNo"/>
        </w:rPr>
        <w:lastRenderedPageBreak/>
        <w:t>3</w:t>
      </w:r>
      <w:r>
        <w:tab/>
      </w:r>
      <w:r w:rsidRPr="005E03F7">
        <w:rPr>
          <w:rStyle w:val="charTableText"/>
        </w:rPr>
        <w:t>Legislation history</w:t>
      </w:r>
      <w:bookmarkEnd w:id="1019"/>
    </w:p>
    <w:p w14:paraId="43BB66CD" w14:textId="4ABA30C6" w:rsidR="00534E65" w:rsidRDefault="001F6ADB" w:rsidP="00534E65">
      <w:pPr>
        <w:pStyle w:val="NewAct"/>
        <w:rPr>
          <w:lang w:eastAsia="en-AU"/>
        </w:rPr>
      </w:pPr>
      <w:r>
        <w:t xml:space="preserve">Heavy Vehicle National Law (ACT) (comprising </w:t>
      </w:r>
      <w:hyperlink r:id="rId142" w:tooltip="A2012-21 (Qld)" w:history="1">
        <w:r w:rsidR="006D1150" w:rsidRPr="006D1150">
          <w:rPr>
            <w:rStyle w:val="charCitHyperlinkAbbrev"/>
          </w:rPr>
          <w:t>Heavy Vehicle National Law Act 2012</w:t>
        </w:r>
      </w:hyperlink>
      <w:r>
        <w:rPr>
          <w:lang w:eastAsia="en-AU"/>
        </w:rPr>
        <w:t xml:space="preserve"> </w:t>
      </w:r>
      <w:r w:rsidR="00AB2789">
        <w:rPr>
          <w:lang w:eastAsia="en-AU"/>
        </w:rPr>
        <w:t>A2012-</w:t>
      </w:r>
      <w:r>
        <w:rPr>
          <w:lang w:eastAsia="en-AU"/>
        </w:rPr>
        <w:t>21</w:t>
      </w:r>
      <w:r w:rsidR="00E351E6">
        <w:rPr>
          <w:lang w:eastAsia="en-AU"/>
        </w:rPr>
        <w:t xml:space="preserve"> (Qld</w:t>
      </w:r>
      <w:r w:rsidR="00A957C8">
        <w:rPr>
          <w:lang w:eastAsia="en-AU"/>
        </w:rPr>
        <w:t>)</w:t>
      </w:r>
      <w:r w:rsidR="008F2634">
        <w:rPr>
          <w:lang w:eastAsia="en-AU"/>
        </w:rPr>
        <w:t xml:space="preserve"> sch</w:t>
      </w:r>
      <w:r w:rsidR="00074332">
        <w:rPr>
          <w:lang w:eastAsia="en-AU"/>
        </w:rPr>
        <w:t xml:space="preserve"> (as amended by </w:t>
      </w:r>
      <w:hyperlink r:id="rId143" w:tooltip="Heavy Vehicle National Law Amendment Act 2013 (Qld)" w:history="1">
        <w:r w:rsidR="00AB2789">
          <w:rPr>
            <w:rStyle w:val="charCitHyperlinkAbbrev"/>
          </w:rPr>
          <w:t>A2013-4</w:t>
        </w:r>
      </w:hyperlink>
      <w:r w:rsidR="00074332">
        <w:rPr>
          <w:lang w:eastAsia="en-AU"/>
        </w:rPr>
        <w:t xml:space="preserve"> (Qld)</w:t>
      </w:r>
      <w:r>
        <w:rPr>
          <w:lang w:eastAsia="en-AU"/>
        </w:rPr>
        <w:t xml:space="preserve"> and </w:t>
      </w:r>
      <w:r>
        <w:rPr>
          <w:color w:val="000000"/>
        </w:rPr>
        <w:t>applied</w:t>
      </w:r>
      <w:r w:rsidRPr="00912878">
        <w:rPr>
          <w:color w:val="000000"/>
        </w:rPr>
        <w:t xml:space="preserve"> in the ACT </w:t>
      </w:r>
      <w:r>
        <w:rPr>
          <w:color w:val="000000"/>
        </w:rPr>
        <w:t xml:space="preserve">by </w:t>
      </w:r>
      <w:r w:rsidRPr="00912878">
        <w:rPr>
          <w:color w:val="000000"/>
        </w:rPr>
        <w:t xml:space="preserve">the </w:t>
      </w:r>
      <w:hyperlink r:id="rId144" w:tooltip="A2013-51" w:history="1">
        <w:r w:rsidRPr="001F6ADB">
          <w:rPr>
            <w:rStyle w:val="charCitHyperlinkAbbrev"/>
          </w:rPr>
          <w:t>Heavy Vehicle National Law (ACT) Act 2013</w:t>
        </w:r>
      </w:hyperlink>
      <w:r>
        <w:rPr>
          <w:rStyle w:val="charCitHyperlinkAbbrev"/>
        </w:rPr>
        <w:t xml:space="preserve"> </w:t>
      </w:r>
      <w:r w:rsidRPr="001F6ADB">
        <w:t>A2013-51</w:t>
      </w:r>
      <w:r w:rsidR="00074332" w:rsidRPr="001F6ADB">
        <w:t>)</w:t>
      </w:r>
    </w:p>
    <w:p w14:paraId="0763A662" w14:textId="77777777" w:rsidR="00534E65" w:rsidRDefault="00534E65" w:rsidP="00534E65">
      <w:pPr>
        <w:pStyle w:val="Actdetails"/>
        <w:rPr>
          <w:lang w:eastAsia="en-AU"/>
        </w:rPr>
      </w:pPr>
      <w:r>
        <w:rPr>
          <w:lang w:eastAsia="en-AU"/>
        </w:rPr>
        <w:t xml:space="preserve">date of assent </w:t>
      </w:r>
      <w:r w:rsidR="00B1624A">
        <w:rPr>
          <w:lang w:eastAsia="en-AU"/>
        </w:rPr>
        <w:t>29 August 2012</w:t>
      </w:r>
    </w:p>
    <w:p w14:paraId="14F2C443" w14:textId="77777777" w:rsidR="00534E65" w:rsidRDefault="00534E65" w:rsidP="00534E65">
      <w:pPr>
        <w:pStyle w:val="Actdetails"/>
        <w:rPr>
          <w:lang w:eastAsia="en-AU"/>
        </w:rPr>
      </w:pPr>
      <w:r>
        <w:rPr>
          <w:lang w:eastAsia="en-AU"/>
        </w:rPr>
        <w:t>ss 1</w:t>
      </w:r>
      <w:r w:rsidR="007313D7">
        <w:rPr>
          <w:lang w:eastAsia="en-AU"/>
        </w:rPr>
        <w:t>-</w:t>
      </w:r>
      <w:r>
        <w:rPr>
          <w:lang w:eastAsia="en-AU"/>
        </w:rPr>
        <w:t>2</w:t>
      </w:r>
      <w:r w:rsidR="00B1624A">
        <w:rPr>
          <w:lang w:eastAsia="en-AU"/>
        </w:rPr>
        <w:t xml:space="preserve"> </w:t>
      </w:r>
      <w:r w:rsidR="00AD4373">
        <w:rPr>
          <w:lang w:eastAsia="en-AU"/>
        </w:rPr>
        <w:t>commenced on date of assent</w:t>
      </w:r>
    </w:p>
    <w:p w14:paraId="405FFCD5" w14:textId="63EE0893" w:rsidR="00DF3A6A" w:rsidRDefault="00AD4373" w:rsidP="00534E65">
      <w:pPr>
        <w:pStyle w:val="Actdetails"/>
        <w:rPr>
          <w:lang w:eastAsia="en-AU"/>
        </w:rPr>
      </w:pPr>
      <w:r>
        <w:rPr>
          <w:lang w:eastAsia="en-AU"/>
        </w:rPr>
        <w:t>pts 1-4 commenced 12 October 2012 (</w:t>
      </w:r>
      <w:hyperlink r:id="rId145" w:tooltip="SL2012-175 (Qld)" w:history="1">
        <w:r w:rsidR="00925BCA">
          <w:rPr>
            <w:rStyle w:val="charCitHyperlinkAbbrev"/>
          </w:rPr>
          <w:t>SL2012-175</w:t>
        </w:r>
      </w:hyperlink>
      <w:r>
        <w:rPr>
          <w:lang w:eastAsia="en-AU"/>
        </w:rPr>
        <w:t xml:space="preserve"> (Qld))</w:t>
      </w:r>
    </w:p>
    <w:p w14:paraId="3D733D96" w14:textId="3DCBD7C7" w:rsidR="005544D4" w:rsidRDefault="00EB23EE" w:rsidP="00534E65">
      <w:pPr>
        <w:pStyle w:val="Actdetails"/>
        <w:rPr>
          <w:lang w:eastAsia="en-AU"/>
        </w:rPr>
      </w:pPr>
      <w:r>
        <w:rPr>
          <w:lang w:eastAsia="en-AU"/>
        </w:rPr>
        <w:t>orig Law</w:t>
      </w:r>
      <w:r w:rsidR="007B6A45">
        <w:rPr>
          <w:lang w:eastAsia="en-AU"/>
        </w:rPr>
        <w:t xml:space="preserve"> chs 1, 12, 13 p</w:t>
      </w:r>
      <w:r w:rsidR="005544D4">
        <w:rPr>
          <w:lang w:eastAsia="en-AU"/>
        </w:rPr>
        <w:t>t 13.4, 14, sch 1 commenced 12 October 2012 (</w:t>
      </w:r>
      <w:hyperlink r:id="rId146" w:tooltip="SL2012-175 (Qld)" w:history="1">
        <w:r w:rsidR="00925BCA">
          <w:rPr>
            <w:rStyle w:val="charCitHyperlinkAbbrev"/>
          </w:rPr>
          <w:t>SL2012-175</w:t>
        </w:r>
      </w:hyperlink>
      <w:r w:rsidR="005544D4">
        <w:rPr>
          <w:lang w:eastAsia="en-AU"/>
        </w:rPr>
        <w:t xml:space="preserve"> (Qld))</w:t>
      </w:r>
    </w:p>
    <w:p w14:paraId="090E84E7" w14:textId="5021C81B" w:rsidR="005544D4" w:rsidRDefault="005544D4" w:rsidP="00534E65">
      <w:pPr>
        <w:pStyle w:val="Actdetails"/>
        <w:rPr>
          <w:lang w:eastAsia="en-AU"/>
        </w:rPr>
      </w:pPr>
      <w:r>
        <w:rPr>
          <w:lang w:eastAsia="en-AU"/>
        </w:rPr>
        <w:t xml:space="preserve">remaining provisions of </w:t>
      </w:r>
      <w:r w:rsidR="00EB23EE">
        <w:rPr>
          <w:lang w:eastAsia="en-AU"/>
        </w:rPr>
        <w:t>orig Law</w:t>
      </w:r>
      <w:r>
        <w:rPr>
          <w:lang w:eastAsia="en-AU"/>
        </w:rPr>
        <w:t xml:space="preserve"> never proclaimed into force and om</w:t>
      </w:r>
      <w:r w:rsidR="0016085D">
        <w:rPr>
          <w:lang w:eastAsia="en-AU"/>
        </w:rPr>
        <w:t xml:space="preserve"> by</w:t>
      </w:r>
      <w:r w:rsidR="00681EB0">
        <w:rPr>
          <w:lang w:eastAsia="en-AU"/>
        </w:rPr>
        <w:t> </w:t>
      </w:r>
      <w:hyperlink r:id="rId147" w:tooltip="Heavy Vehicle National Law Amendment Act 2013 (QLD)" w:history="1">
        <w:r w:rsidR="0016085D">
          <w:rPr>
            <w:rStyle w:val="charCitHyperlinkAbbrev"/>
          </w:rPr>
          <w:t>A2013-4</w:t>
        </w:r>
      </w:hyperlink>
      <w:r>
        <w:rPr>
          <w:lang w:eastAsia="en-AU"/>
        </w:rPr>
        <w:t xml:space="preserve"> (Qld)</w:t>
      </w:r>
      <w:r w:rsidR="0016085D">
        <w:rPr>
          <w:lang w:eastAsia="en-AU"/>
        </w:rPr>
        <w:t>, s 12</w:t>
      </w:r>
    </w:p>
    <w:p w14:paraId="0D0D4A7E" w14:textId="3B069358" w:rsidR="005544D4" w:rsidRDefault="005544D4" w:rsidP="00534E65">
      <w:pPr>
        <w:pStyle w:val="Actdetails"/>
      </w:pPr>
      <w:r>
        <w:t xml:space="preserve">pres </w:t>
      </w:r>
      <w:r w:rsidR="00EB23EE">
        <w:t>Law</w:t>
      </w:r>
      <w:r>
        <w:t xml:space="preserve"> pts 1.1-1.3, ch 12, ss 705 and 707, pts 13.4-13.6, pt 14.1, s</w:t>
      </w:r>
      <w:r w:rsidR="005239EA">
        <w:t> </w:t>
      </w:r>
      <w:r>
        <w:t>755, sch 1 commenced 26 February 2013 (see s 2A (1) as ins</w:t>
      </w:r>
      <w:r w:rsidR="0016085D">
        <w:t xml:space="preserve"> by</w:t>
      </w:r>
      <w:r>
        <w:t xml:space="preserve"> </w:t>
      </w:r>
      <w:hyperlink r:id="rId148" w:tooltip="Heavy Vehicle National Law Amendment Act 2013 (QLD)" w:history="1">
        <w:r w:rsidR="0016085D">
          <w:rPr>
            <w:rStyle w:val="charCitHyperlinkAbbrev"/>
          </w:rPr>
          <w:t>A2013-4</w:t>
        </w:r>
      </w:hyperlink>
      <w:r>
        <w:t xml:space="preserve"> (Qld)</w:t>
      </w:r>
      <w:r w:rsidR="0016085D">
        <w:t>, s 4</w:t>
      </w:r>
      <w:r>
        <w:t>)</w:t>
      </w:r>
    </w:p>
    <w:p w14:paraId="51EF7C91" w14:textId="064F6127" w:rsidR="00E4695F" w:rsidRDefault="00EB23EE" w:rsidP="00534E65">
      <w:pPr>
        <w:pStyle w:val="Actdetails"/>
      </w:pPr>
      <w:r>
        <w:t>prev Law</w:t>
      </w:r>
      <w:r w:rsidR="00E4695F">
        <w:t xml:space="preserve"> ch 2 </w:t>
      </w:r>
      <w:r w:rsidRPr="00EB23EE">
        <w:t xml:space="preserve">never proclaimed into force and om </w:t>
      </w:r>
      <w:hyperlink r:id="rId149" w:tooltip="Heavy Vehicle National Law and Other Legislation Amendment Act 2018 (Qld)" w:history="1">
        <w:r w:rsidR="00925BCA">
          <w:rPr>
            <w:rStyle w:val="charCitHyperlinkAbbrev"/>
          </w:rPr>
          <w:t>A2018-10</w:t>
        </w:r>
      </w:hyperlink>
      <w:r w:rsidR="00925BCA">
        <w:rPr>
          <w:rStyle w:val="charCitHyperlinkAbbrev"/>
        </w:rPr>
        <w:t xml:space="preserve"> </w:t>
      </w:r>
      <w:r w:rsidRPr="00EB23EE">
        <w:t>s 17</w:t>
      </w:r>
      <w:r>
        <w:rPr>
          <w:u w:val="single"/>
        </w:rPr>
        <w:t xml:space="preserve"> </w:t>
      </w:r>
      <w:r>
        <w:t>(Qld)</w:t>
      </w:r>
    </w:p>
    <w:p w14:paraId="6B8ABABD" w14:textId="2E4EC1E7" w:rsidR="00EB23EE" w:rsidRDefault="00EB23EE" w:rsidP="00534E65">
      <w:pPr>
        <w:pStyle w:val="Actdetails"/>
      </w:pPr>
      <w:r>
        <w:t>pres Law s 84 comm</w:t>
      </w:r>
      <w:r w:rsidR="001F6ADB">
        <w:t>enced</w:t>
      </w:r>
      <w:r>
        <w:t xml:space="preserve"> 1 July 2018 (see the </w:t>
      </w:r>
      <w:hyperlink r:id="rId150" w:tooltip="A2012-21 (Qld)" w:history="1">
        <w:r w:rsidRPr="00EB23EE">
          <w:rPr>
            <w:rStyle w:val="charCitHyperlinkAbbrev"/>
          </w:rPr>
          <w:t>Heavy Vehicle National Law Act 2012 (Qld)</w:t>
        </w:r>
      </w:hyperlink>
      <w:r>
        <w:t xml:space="preserve"> s 2 (1)-(2))</w:t>
      </w:r>
    </w:p>
    <w:p w14:paraId="442ACC5C" w14:textId="1E717F41" w:rsidR="00E4695F" w:rsidRDefault="00E4695F" w:rsidP="00534E65">
      <w:pPr>
        <w:pStyle w:val="Actdetails"/>
      </w:pPr>
      <w:r>
        <w:t xml:space="preserve">remaining provisions of pres </w:t>
      </w:r>
      <w:r w:rsidR="00EB23EE">
        <w:t>Law</w:t>
      </w:r>
      <w:r>
        <w:t xml:space="preserve"> commenced 10 February 2014 immediately after the commencement of the </w:t>
      </w:r>
      <w:r w:rsidRPr="006D1150">
        <w:t>Transport and Other Legislation (Heavy Vehicle National Law) Amendment Act 2013</w:t>
      </w:r>
      <w:r>
        <w:t>, pt 2 (</w:t>
      </w:r>
      <w:hyperlink r:id="rId151" w:tooltip="SL2014-5 (Qld)" w:history="1">
        <w:r w:rsidR="00053F71">
          <w:rPr>
            <w:rStyle w:val="charCitHyperlinkAbbrev"/>
          </w:rPr>
          <w:t>SL2014-5</w:t>
        </w:r>
      </w:hyperlink>
      <w:r>
        <w:t xml:space="preserve"> (Qld))</w:t>
      </w:r>
    </w:p>
    <w:p w14:paraId="38EECE3F" w14:textId="3DA2DC93" w:rsidR="00E4695F" w:rsidRPr="00EE03B5" w:rsidRDefault="002772EA" w:rsidP="002772EA">
      <w:pPr>
        <w:pStyle w:val="LegHistNote"/>
      </w:pPr>
      <w:r>
        <w:rPr>
          <w:i/>
        </w:rPr>
        <w:t>Note</w:t>
      </w:r>
      <w:r>
        <w:rPr>
          <w:i/>
        </w:rPr>
        <w:tab/>
      </w:r>
      <w:hyperlink r:id="rId152" w:tooltip="Acts Interpretation Act 1954 (Qld)" w:history="1">
        <w:r w:rsidR="007D1A27" w:rsidRPr="007D1A27">
          <w:rPr>
            <w:rStyle w:val="charCitHyperlinkAbbrev"/>
          </w:rPr>
          <w:t>Acts Interpretation Act 1954</w:t>
        </w:r>
      </w:hyperlink>
      <w:r>
        <w:t xml:space="preserve"> </w:t>
      </w:r>
      <w:r w:rsidR="00CF6FFA">
        <w:t xml:space="preserve">(Qld) </w:t>
      </w:r>
      <w:r>
        <w:t xml:space="preserve">s 15DA </w:t>
      </w:r>
      <w:r w:rsidR="00EE03B5">
        <w:t xml:space="preserve">does not apply (see </w:t>
      </w:r>
      <w:hyperlink r:id="rId153" w:tooltip="A2012-21 (Qld)" w:history="1">
        <w:r w:rsidR="00EE03B5" w:rsidRPr="00EB23EE">
          <w:rPr>
            <w:rStyle w:val="charCitHyperlinkAbbrev"/>
          </w:rPr>
          <w:t>Heavy Vehicle National Law Act 2012 (Qld)</w:t>
        </w:r>
      </w:hyperlink>
      <w:r w:rsidR="00EE03B5">
        <w:t>, s 2 (3))</w:t>
      </w:r>
    </w:p>
    <w:p w14:paraId="3C6B2526" w14:textId="77777777" w:rsidR="00534E65" w:rsidRDefault="00534E65">
      <w:pPr>
        <w:pStyle w:val="Asamby"/>
      </w:pPr>
      <w:r>
        <w:t xml:space="preserve">as </w:t>
      </w:r>
      <w:r w:rsidR="008F2634">
        <w:t xml:space="preserve">applied and as </w:t>
      </w:r>
      <w:r>
        <w:t>modified by</w:t>
      </w:r>
    </w:p>
    <w:p w14:paraId="757CE99C" w14:textId="68D7732E" w:rsidR="00B3288F" w:rsidRPr="0091483C" w:rsidRDefault="00856BEE" w:rsidP="00B3288F">
      <w:pPr>
        <w:pStyle w:val="NewAct"/>
      </w:pPr>
      <w:hyperlink r:id="rId154" w:tooltip="Heavy Vehicle National Law (ACT) Act 2013" w:history="1">
        <w:r w:rsidR="006D1150">
          <w:rPr>
            <w:rStyle w:val="charCitHyperlinkAbbrev"/>
          </w:rPr>
          <w:t>Heavy Vehicle National Law (ACT) Act 2013</w:t>
        </w:r>
      </w:hyperlink>
      <w:r w:rsidR="00844674">
        <w:t xml:space="preserve"> </w:t>
      </w:r>
      <w:r w:rsidR="00844674" w:rsidRPr="006D1150">
        <w:t>A2013-51</w:t>
      </w:r>
      <w:r w:rsidR="00576D61">
        <w:t xml:space="preserve"> (as am by </w:t>
      </w:r>
      <w:hyperlink r:id="rId155" w:tooltip="Statute Law Amendment Act 2018" w:history="1">
        <w:r w:rsidR="00576D61">
          <w:rPr>
            <w:rStyle w:val="charCitHyperlinkAbbrev"/>
          </w:rPr>
          <w:t>A2018</w:t>
        </w:r>
        <w:r w:rsidR="00576D61">
          <w:rPr>
            <w:rStyle w:val="charCitHyperlinkAbbrev"/>
          </w:rPr>
          <w:noBreakHyphen/>
          <w:t>42</w:t>
        </w:r>
      </w:hyperlink>
      <w:r w:rsidR="00576D61">
        <w:t xml:space="preserve"> sch 3 pt 3.18)</w:t>
      </w:r>
    </w:p>
    <w:p w14:paraId="541AF876" w14:textId="77777777" w:rsidR="00B3288F" w:rsidRDefault="00B3288F" w:rsidP="00B3288F">
      <w:pPr>
        <w:pStyle w:val="Actdetails"/>
        <w:keepNext/>
      </w:pPr>
      <w:r>
        <w:t xml:space="preserve">notified LR </w:t>
      </w:r>
      <w:r w:rsidR="00F77FD4">
        <w:t>9 December 2013</w:t>
      </w:r>
    </w:p>
    <w:p w14:paraId="29BAAB33" w14:textId="77777777" w:rsidR="00B3288F" w:rsidRDefault="00B3288F" w:rsidP="00B3288F">
      <w:pPr>
        <w:pStyle w:val="Actdetails"/>
        <w:keepNext/>
      </w:pPr>
      <w:r>
        <w:t xml:space="preserve">s 1, s 2 commenced </w:t>
      </w:r>
      <w:r w:rsidR="00F77FD4">
        <w:t>9 December 2013</w:t>
      </w:r>
      <w:r>
        <w:t xml:space="preserve"> (LA s 75 (1))</w:t>
      </w:r>
    </w:p>
    <w:p w14:paraId="79467F51" w14:textId="2C6A9AC2" w:rsidR="00046C8B" w:rsidRPr="00A47453" w:rsidRDefault="00046C8B" w:rsidP="00046C8B">
      <w:pPr>
        <w:pStyle w:val="Actdetails"/>
        <w:keepNext/>
      </w:pPr>
      <w:r w:rsidRPr="00A47453">
        <w:t xml:space="preserve">s 32 om before commenced by </w:t>
      </w:r>
      <w:hyperlink r:id="rId156" w:tooltip="Statute Law Amendment Act 2018" w:history="1">
        <w:r>
          <w:rPr>
            <w:rStyle w:val="charCitHyperlinkAbbrev"/>
          </w:rPr>
          <w:t>A2018</w:t>
        </w:r>
        <w:r>
          <w:rPr>
            <w:rStyle w:val="charCitHyperlinkAbbrev"/>
          </w:rPr>
          <w:noBreakHyphen/>
          <w:t>42</w:t>
        </w:r>
      </w:hyperlink>
      <w:r>
        <w:t xml:space="preserve"> amdt 3.58</w:t>
      </w:r>
    </w:p>
    <w:p w14:paraId="208F44AF" w14:textId="10BFBF4C" w:rsidR="005854DE" w:rsidRPr="00BD3C99" w:rsidRDefault="00576D61" w:rsidP="005854DE">
      <w:pPr>
        <w:pStyle w:val="Actdetails"/>
        <w:keepNext/>
      </w:pPr>
      <w:r w:rsidRPr="00BD3C99">
        <w:t>ss</w:t>
      </w:r>
      <w:r w:rsidR="005854DE" w:rsidRPr="00BD3C99">
        <w:t xml:space="preserve"> 34, 36, 38, 40 </w:t>
      </w:r>
      <w:r w:rsidR="00BD3C99">
        <w:t xml:space="preserve">commenced </w:t>
      </w:r>
      <w:r w:rsidR="00344388">
        <w:t xml:space="preserve">1 July 2019 </w:t>
      </w:r>
      <w:r w:rsidR="00BD3C99">
        <w:t xml:space="preserve">(s 2 and </w:t>
      </w:r>
      <w:hyperlink r:id="rId157" w:tooltip="CN2019-12" w:history="1">
        <w:r w:rsidR="005178AC" w:rsidRPr="005178AC">
          <w:rPr>
            <w:rStyle w:val="charCitHyperlinkAbbrev"/>
          </w:rPr>
          <w:t>CN2019-12</w:t>
        </w:r>
      </w:hyperlink>
      <w:r w:rsidR="000A7D7F">
        <w:t>)</w:t>
      </w:r>
    </w:p>
    <w:p w14:paraId="334AA399" w14:textId="271A90A4" w:rsidR="005854DE" w:rsidRDefault="005854DE" w:rsidP="005854DE">
      <w:pPr>
        <w:pStyle w:val="Actdetails"/>
      </w:pPr>
      <w:r>
        <w:t xml:space="preserve">remainder commenced 10 February 2014 (s 2 and </w:t>
      </w:r>
      <w:hyperlink r:id="rId158" w:tooltip="CN2014-2" w:history="1">
        <w:r>
          <w:rPr>
            <w:rStyle w:val="charCitHyperlinkAbbrev"/>
          </w:rPr>
          <w:t>CN2014-2</w:t>
        </w:r>
      </w:hyperlink>
      <w:r>
        <w:t>)</w:t>
      </w:r>
    </w:p>
    <w:p w14:paraId="5172FCFF" w14:textId="77777777" w:rsidR="0049759C" w:rsidRDefault="0049759C" w:rsidP="001C03F6">
      <w:pPr>
        <w:pStyle w:val="Asamby"/>
        <w:keepNext/>
      </w:pPr>
      <w:r>
        <w:lastRenderedPageBreak/>
        <w:t>as amended by</w:t>
      </w:r>
    </w:p>
    <w:p w14:paraId="4360A95D" w14:textId="412BA8BD" w:rsidR="0030261B" w:rsidRDefault="00856BEE" w:rsidP="0030261B">
      <w:pPr>
        <w:pStyle w:val="NewAct"/>
      </w:pPr>
      <w:hyperlink r:id="rId159" w:tooltip="A2014-43 (Qld)" w:history="1">
        <w:r w:rsidR="0030261B">
          <w:rPr>
            <w:rStyle w:val="charCitHyperlinkAbbrev"/>
          </w:rPr>
          <w:t>Transport and Other Legislation Amendment Act 2014</w:t>
        </w:r>
      </w:hyperlink>
      <w:r w:rsidR="0030261B">
        <w:t xml:space="preserve"> </w:t>
      </w:r>
      <w:r w:rsidR="00925BCA">
        <w:t>A2014-</w:t>
      </w:r>
      <w:r w:rsidR="0030261B">
        <w:t>43 (Qld) pt 3</w:t>
      </w:r>
    </w:p>
    <w:p w14:paraId="6E4E2FBF" w14:textId="77777777" w:rsidR="0030261B" w:rsidRDefault="0030261B" w:rsidP="0030261B">
      <w:pPr>
        <w:pStyle w:val="Actdetails"/>
        <w:keepNext/>
      </w:pPr>
      <w:r>
        <w:t>date of assent 5 September 2014</w:t>
      </w:r>
    </w:p>
    <w:p w14:paraId="488A9FDB" w14:textId="77777777" w:rsidR="0030261B" w:rsidRPr="001C56B8" w:rsidRDefault="0030261B" w:rsidP="0030261B">
      <w:pPr>
        <w:pStyle w:val="Actdetails"/>
        <w:keepNext/>
      </w:pPr>
      <w:r>
        <w:t>ss 1-2 commenced on date of assent</w:t>
      </w:r>
    </w:p>
    <w:p w14:paraId="09237CF0" w14:textId="42F5273D" w:rsidR="0030261B" w:rsidRPr="00A021F1" w:rsidRDefault="0030261B" w:rsidP="0030261B">
      <w:pPr>
        <w:pStyle w:val="Actdetails"/>
        <w:keepNext/>
      </w:pPr>
      <w:r>
        <w:t>pt 3 commenced 29 September 2014 (</w:t>
      </w:r>
      <w:hyperlink r:id="rId160" w:tooltip="SL2014-217 (Qld)" w:history="1">
        <w:r w:rsidR="00053F71">
          <w:rPr>
            <w:rStyle w:val="charCitHyperlinkAbbrev"/>
          </w:rPr>
          <w:t>SL2014-217</w:t>
        </w:r>
      </w:hyperlink>
      <w:r>
        <w:t xml:space="preserve"> (Qld))</w:t>
      </w:r>
    </w:p>
    <w:p w14:paraId="317CB7A3" w14:textId="51EF1B10" w:rsidR="0049759C" w:rsidRPr="0091483C" w:rsidRDefault="00856BEE" w:rsidP="0049759C">
      <w:pPr>
        <w:pStyle w:val="NewAct"/>
      </w:pPr>
      <w:hyperlink r:id="rId161" w:tooltip="A2015-12 (Qld)" w:history="1">
        <w:r w:rsidR="00455EA2">
          <w:rPr>
            <w:rStyle w:val="charCitHyperlinkAbbrev"/>
          </w:rPr>
          <w:t>Heavy Vehicle National Law Amendment Act 2015</w:t>
        </w:r>
      </w:hyperlink>
      <w:r w:rsidR="0049759C">
        <w:t xml:space="preserve"> </w:t>
      </w:r>
      <w:r w:rsidR="000B5181">
        <w:t>A2015-</w:t>
      </w:r>
      <w:r w:rsidR="0049759C">
        <w:t>12</w:t>
      </w:r>
      <w:r w:rsidR="00455EA2">
        <w:t xml:space="preserve"> (Qld)</w:t>
      </w:r>
    </w:p>
    <w:p w14:paraId="189DC7C0" w14:textId="77777777" w:rsidR="0049759C" w:rsidRDefault="00455EA2" w:rsidP="0049759C">
      <w:pPr>
        <w:pStyle w:val="Actdetails"/>
        <w:keepNext/>
      </w:pPr>
      <w:r>
        <w:t>date of assent 24 September 2015</w:t>
      </w:r>
    </w:p>
    <w:p w14:paraId="7804DAED" w14:textId="77777777" w:rsidR="0049759C" w:rsidRDefault="00455EA2" w:rsidP="0049759C">
      <w:pPr>
        <w:pStyle w:val="Actdetails"/>
        <w:keepNext/>
      </w:pPr>
      <w:r>
        <w:t xml:space="preserve">ss </w:t>
      </w:r>
      <w:r>
        <w:rPr>
          <w:lang w:eastAsia="en-AU"/>
        </w:rPr>
        <w:t>1–2</w:t>
      </w:r>
      <w:r>
        <w:t xml:space="preserve"> commenced on date of assent</w:t>
      </w:r>
    </w:p>
    <w:p w14:paraId="6D4FAF8E" w14:textId="5CEE0EBA" w:rsidR="0049759C" w:rsidRDefault="00455EA2" w:rsidP="001C03F6">
      <w:pPr>
        <w:pStyle w:val="Actdetails"/>
      </w:pPr>
      <w:r>
        <w:t>remaining provisions commenced 6 February 2016 (</w:t>
      </w:r>
      <w:hyperlink r:id="rId162" w:tooltip="SL2015-186 (Qld)" w:history="1">
        <w:r w:rsidR="00053F71">
          <w:rPr>
            <w:rStyle w:val="charCitHyperlinkAbbrev"/>
          </w:rPr>
          <w:t xml:space="preserve">SL2015-186 </w:t>
        </w:r>
      </w:hyperlink>
      <w:r w:rsidR="001C03F6" w:rsidRPr="001C03F6">
        <w:t>(Qld)</w:t>
      </w:r>
      <w:r w:rsidRPr="001C03F6">
        <w:t>)</w:t>
      </w:r>
    </w:p>
    <w:p w14:paraId="250EC55C" w14:textId="33B7CE36" w:rsidR="007F27BC" w:rsidRPr="0091483C" w:rsidRDefault="00856BEE" w:rsidP="007F27BC">
      <w:pPr>
        <w:pStyle w:val="NewAct"/>
      </w:pPr>
      <w:hyperlink r:id="rId163" w:tooltip="A2016-65 (Qld)" w:history="1">
        <w:r w:rsidR="007F27BC">
          <w:rPr>
            <w:rStyle w:val="charCitHyperlinkAbbrev"/>
          </w:rPr>
          <w:t>Heavy Vehicle National Law and Other Legislation Amendment Act 2016</w:t>
        </w:r>
      </w:hyperlink>
      <w:r w:rsidR="007F27BC">
        <w:t xml:space="preserve"> </w:t>
      </w:r>
      <w:r w:rsidR="000B5181">
        <w:t>A2016-</w:t>
      </w:r>
      <w:r w:rsidR="007F27BC">
        <w:t>65 (Qld)</w:t>
      </w:r>
    </w:p>
    <w:p w14:paraId="42B62E1E" w14:textId="77777777" w:rsidR="007F27BC" w:rsidRDefault="007F27BC" w:rsidP="007F27BC">
      <w:pPr>
        <w:pStyle w:val="Actdetails"/>
        <w:keepNext/>
      </w:pPr>
      <w:r>
        <w:t xml:space="preserve">date of assent </w:t>
      </w:r>
      <w:r w:rsidR="008370A4">
        <w:t>9 December 2016</w:t>
      </w:r>
    </w:p>
    <w:p w14:paraId="62140A9D" w14:textId="77777777" w:rsidR="007F27BC" w:rsidRDefault="007F27BC" w:rsidP="007F27BC">
      <w:pPr>
        <w:pStyle w:val="Actdetails"/>
        <w:keepNext/>
      </w:pPr>
      <w:r>
        <w:t xml:space="preserve">ss </w:t>
      </w:r>
      <w:r>
        <w:rPr>
          <w:lang w:eastAsia="en-AU"/>
        </w:rPr>
        <w:t>1</w:t>
      </w:r>
      <w:r w:rsidR="007313D7">
        <w:rPr>
          <w:lang w:eastAsia="en-AU"/>
        </w:rPr>
        <w:t>-</w:t>
      </w:r>
      <w:r>
        <w:rPr>
          <w:lang w:eastAsia="en-AU"/>
        </w:rPr>
        <w:t>2</w:t>
      </w:r>
      <w:r w:rsidR="008370A4">
        <w:rPr>
          <w:lang w:eastAsia="en-AU"/>
        </w:rPr>
        <w:t>, ch 4</w:t>
      </w:r>
      <w:r>
        <w:t xml:space="preserve"> commenced on date of assent</w:t>
      </w:r>
    </w:p>
    <w:p w14:paraId="35E82172" w14:textId="0D374D11" w:rsidR="008318C0" w:rsidRPr="008318C0" w:rsidRDefault="008318C0" w:rsidP="008318C0">
      <w:pPr>
        <w:pStyle w:val="Actdetails"/>
        <w:rPr>
          <w:lang w:val="en" w:eastAsia="en-AU"/>
        </w:rPr>
      </w:pPr>
      <w:r w:rsidRPr="008318C0">
        <w:rPr>
          <w:lang w:val="en" w:eastAsia="en-AU"/>
        </w:rPr>
        <w:t>ch 2 (other than ss 11, 12) comm</w:t>
      </w:r>
      <w:r w:rsidR="00E17378">
        <w:rPr>
          <w:lang w:val="en" w:eastAsia="en-AU"/>
        </w:rPr>
        <w:t>enced</w:t>
      </w:r>
      <w:r w:rsidRPr="008318C0">
        <w:rPr>
          <w:lang w:val="en" w:eastAsia="en-AU"/>
        </w:rPr>
        <w:t xml:space="preserve"> 1 October 2018 (</w:t>
      </w:r>
      <w:hyperlink r:id="rId164" w:tooltip="SL2018-142 (Qld)" w:history="1">
        <w:r w:rsidR="000B5181">
          <w:rPr>
            <w:rStyle w:val="charCitHyperlinkAbbrev"/>
          </w:rPr>
          <w:t>SL2018-142</w:t>
        </w:r>
      </w:hyperlink>
      <w:r w:rsidR="00E3093B">
        <w:rPr>
          <w:rStyle w:val="charCitHyperlinkAbbrev"/>
        </w:rPr>
        <w:t xml:space="preserve"> </w:t>
      </w:r>
      <w:r w:rsidR="00E3093B" w:rsidRPr="00E3093B">
        <w:t>(Qld)</w:t>
      </w:r>
      <w:r w:rsidRPr="008318C0">
        <w:rPr>
          <w:lang w:val="en" w:eastAsia="en-AU"/>
        </w:rPr>
        <w:t>) (postponed commencement 10 December 2018 (automatic commencement under AIA s 15DA (2) (</w:t>
      </w:r>
      <w:hyperlink r:id="rId165" w:tooltip="SL2017-217 (Qld)" w:history="1">
        <w:r w:rsidR="000B5181">
          <w:rPr>
            <w:rStyle w:val="charCitHyperlinkAbbrev"/>
          </w:rPr>
          <w:t>SL2017-217</w:t>
        </w:r>
      </w:hyperlink>
      <w:r w:rsidR="009C2C78">
        <w:rPr>
          <w:lang w:val="en" w:eastAsia="en-AU"/>
        </w:rPr>
        <w:t xml:space="preserve"> (Qld)</w:t>
      </w:r>
      <w:r w:rsidRPr="008318C0">
        <w:rPr>
          <w:lang w:val="en" w:eastAsia="en-AU"/>
        </w:rPr>
        <w:t>))</w:t>
      </w:r>
    </w:p>
    <w:p w14:paraId="2557E849" w14:textId="5D6A6C84" w:rsidR="008318C0" w:rsidRPr="008318C0" w:rsidRDefault="008318C0" w:rsidP="008318C0">
      <w:pPr>
        <w:pStyle w:val="Actdetails"/>
        <w:rPr>
          <w:lang w:val="en" w:eastAsia="en-AU"/>
        </w:rPr>
      </w:pPr>
      <w:r w:rsidRPr="008318C0">
        <w:rPr>
          <w:lang w:val="en" w:eastAsia="en-AU"/>
        </w:rPr>
        <w:t>ss 11, 12 comm</w:t>
      </w:r>
      <w:r w:rsidR="00E17378">
        <w:rPr>
          <w:lang w:val="en" w:eastAsia="en-AU"/>
        </w:rPr>
        <w:t>enced</w:t>
      </w:r>
      <w:r w:rsidRPr="008318C0">
        <w:rPr>
          <w:lang w:val="en" w:eastAsia="en-AU"/>
        </w:rPr>
        <w:t xml:space="preserve"> 1 October 2018 (</w:t>
      </w:r>
      <w:hyperlink r:id="rId166" w:tooltip="SL2018-142 (Qld)" w:history="1">
        <w:r w:rsidR="006A2911">
          <w:rPr>
            <w:rStyle w:val="charCitHyperlinkAbbrev"/>
          </w:rPr>
          <w:t>SL2018-142</w:t>
        </w:r>
      </w:hyperlink>
      <w:r w:rsidR="00E3093B">
        <w:rPr>
          <w:lang w:val="en" w:eastAsia="en-AU"/>
        </w:rPr>
        <w:t xml:space="preserve"> (Qld)</w:t>
      </w:r>
      <w:r w:rsidRPr="008318C0">
        <w:rPr>
          <w:lang w:val="en" w:eastAsia="en-AU"/>
        </w:rPr>
        <w:t>) (postponed commencement 10 December 2018 (automatic commencement under AIA s 15DA (2) (</w:t>
      </w:r>
      <w:hyperlink r:id="rId167" w:tooltip="SL2017-217 (Qld)" w:history="1">
        <w:r w:rsidR="006A2911">
          <w:rPr>
            <w:rStyle w:val="charCitHyperlinkAbbrev"/>
          </w:rPr>
          <w:t>SL2017-217</w:t>
        </w:r>
      </w:hyperlink>
      <w:r w:rsidR="009C2C78">
        <w:rPr>
          <w:lang w:val="en" w:eastAsia="en-AU"/>
        </w:rPr>
        <w:t xml:space="preserve"> (Qld)</w:t>
      </w:r>
      <w:r w:rsidRPr="008318C0">
        <w:rPr>
          <w:lang w:val="en" w:eastAsia="en-AU"/>
        </w:rPr>
        <w:t>)) (amdts could not be given effect)</w:t>
      </w:r>
    </w:p>
    <w:p w14:paraId="3876F224" w14:textId="56D1E6B5" w:rsidR="008370A4" w:rsidRDefault="008370A4" w:rsidP="008370A4">
      <w:pPr>
        <w:pStyle w:val="Actdetails"/>
        <w:rPr>
          <w:lang w:val="en" w:eastAsia="en-AU"/>
        </w:rPr>
      </w:pPr>
      <w:r w:rsidRPr="008370A4">
        <w:rPr>
          <w:lang w:val="en" w:eastAsia="en-AU"/>
        </w:rPr>
        <w:t>ch 3 comm</w:t>
      </w:r>
      <w:r w:rsidR="0030540A">
        <w:rPr>
          <w:lang w:val="en" w:eastAsia="en-AU"/>
        </w:rPr>
        <w:t>enced</w:t>
      </w:r>
      <w:r w:rsidRPr="008370A4">
        <w:rPr>
          <w:lang w:val="en" w:eastAsia="en-AU"/>
        </w:rPr>
        <w:t xml:space="preserve"> 1 July 2017 (</w:t>
      </w:r>
      <w:hyperlink r:id="rId168" w:tooltip="SL2017-102 (Qld)" w:history="1">
        <w:r w:rsidR="006A2911">
          <w:rPr>
            <w:rStyle w:val="charCitHyperlinkAbbrev"/>
          </w:rPr>
          <w:t xml:space="preserve">SL2017-102 </w:t>
        </w:r>
      </w:hyperlink>
      <w:r w:rsidR="009C2C78">
        <w:rPr>
          <w:rStyle w:val="charCitHyperlinkAbbrev"/>
        </w:rPr>
        <w:t>(</w:t>
      </w:r>
      <w:r w:rsidR="001E0C86">
        <w:rPr>
          <w:lang w:val="en" w:eastAsia="en-AU"/>
        </w:rPr>
        <w:t>Qld</w:t>
      </w:r>
      <w:r w:rsidRPr="008370A4">
        <w:rPr>
          <w:lang w:val="en" w:eastAsia="en-AU"/>
        </w:rPr>
        <w:t>)</w:t>
      </w:r>
      <w:r w:rsidR="009C2C78">
        <w:rPr>
          <w:lang w:val="en" w:eastAsia="en-AU"/>
        </w:rPr>
        <w:t>)</w:t>
      </w:r>
    </w:p>
    <w:p w14:paraId="46341CB4" w14:textId="4D8C9707" w:rsidR="00A31005" w:rsidRPr="0091483C" w:rsidRDefault="00856BEE" w:rsidP="00A31005">
      <w:pPr>
        <w:pStyle w:val="NewAct"/>
      </w:pPr>
      <w:hyperlink r:id="rId169" w:tooltip="Act 2018 No. 10 (Qld)" w:history="1">
        <w:r w:rsidR="00A31005" w:rsidRPr="00A31005">
          <w:rPr>
            <w:rStyle w:val="charCitHyperlinkAbbrev"/>
          </w:rPr>
          <w:t xml:space="preserve">Heavy Vehicle National Law and Other Legislation Amendment Act 2018 </w:t>
        </w:r>
      </w:hyperlink>
      <w:r w:rsidR="006A2911">
        <w:t>A2018-</w:t>
      </w:r>
      <w:r w:rsidR="00A31005">
        <w:t>10 (Qld)</w:t>
      </w:r>
    </w:p>
    <w:p w14:paraId="583E061F" w14:textId="77777777" w:rsidR="007313D7" w:rsidRPr="007313D7" w:rsidRDefault="007313D7" w:rsidP="007313D7">
      <w:pPr>
        <w:pStyle w:val="Actdetails"/>
        <w:rPr>
          <w:lang w:val="en" w:eastAsia="en-AU"/>
        </w:rPr>
      </w:pPr>
      <w:r w:rsidRPr="007313D7">
        <w:rPr>
          <w:lang w:val="en" w:eastAsia="en-AU"/>
        </w:rPr>
        <w:t>date of assent 18 June 2018</w:t>
      </w:r>
    </w:p>
    <w:p w14:paraId="5E7DC035" w14:textId="258AC940" w:rsidR="007313D7" w:rsidRPr="007313D7" w:rsidRDefault="007313D7" w:rsidP="007313D7">
      <w:pPr>
        <w:pStyle w:val="Actdetails"/>
        <w:rPr>
          <w:lang w:val="en" w:eastAsia="en-AU"/>
        </w:rPr>
      </w:pPr>
      <w:r w:rsidRPr="007313D7">
        <w:rPr>
          <w:lang w:val="en" w:eastAsia="en-AU"/>
        </w:rPr>
        <w:t>pts 2</w:t>
      </w:r>
      <w:r>
        <w:rPr>
          <w:lang w:val="en" w:eastAsia="en-AU"/>
        </w:rPr>
        <w:t>-</w:t>
      </w:r>
      <w:r w:rsidRPr="007313D7">
        <w:rPr>
          <w:lang w:val="en" w:eastAsia="en-AU"/>
        </w:rPr>
        <w:t xml:space="preserve">3, 8, </w:t>
      </w:r>
      <w:r w:rsidRPr="007313D7">
        <w:t>ss 12</w:t>
      </w:r>
      <w:r>
        <w:t>-</w:t>
      </w:r>
      <w:hyperlink r:id="rId170" w:history="1">
        <w:r w:rsidRPr="007313D7">
          <w:t>15</w:t>
        </w:r>
      </w:hyperlink>
      <w:r w:rsidRPr="007313D7">
        <w:t>,</w:t>
      </w:r>
      <w:r w:rsidRPr="007313D7">
        <w:rPr>
          <w:lang w:val="en" w:eastAsia="en-AU"/>
        </w:rPr>
        <w:t xml:space="preserve"> 17</w:t>
      </w:r>
      <w:r>
        <w:rPr>
          <w:lang w:val="en" w:eastAsia="en-AU"/>
        </w:rPr>
        <w:t>-</w:t>
      </w:r>
      <w:r w:rsidRPr="007313D7">
        <w:rPr>
          <w:lang w:val="en" w:eastAsia="en-AU"/>
        </w:rPr>
        <w:t>18, 24</w:t>
      </w:r>
      <w:r>
        <w:rPr>
          <w:lang w:val="en" w:eastAsia="en-AU"/>
        </w:rPr>
        <w:t>-</w:t>
      </w:r>
      <w:r w:rsidRPr="007313D7">
        <w:rPr>
          <w:lang w:val="en" w:eastAsia="en-AU"/>
        </w:rPr>
        <w:t>31, 35</w:t>
      </w:r>
      <w:r>
        <w:rPr>
          <w:lang w:val="en" w:eastAsia="en-AU"/>
        </w:rPr>
        <w:t>-</w:t>
      </w:r>
      <w:r w:rsidRPr="007313D7">
        <w:rPr>
          <w:lang w:val="en" w:eastAsia="en-AU"/>
        </w:rPr>
        <w:t>41 comm</w:t>
      </w:r>
      <w:r>
        <w:rPr>
          <w:lang w:val="en" w:eastAsia="en-AU"/>
        </w:rPr>
        <w:t>enced</w:t>
      </w:r>
      <w:r w:rsidRPr="007313D7">
        <w:rPr>
          <w:lang w:val="en" w:eastAsia="en-AU"/>
        </w:rPr>
        <w:t xml:space="preserve"> 1 July 2018 (see </w:t>
      </w:r>
      <w:r w:rsidRPr="007313D7">
        <w:t>s 2</w:t>
      </w:r>
      <w:r>
        <w:t xml:space="preserve"> </w:t>
      </w:r>
      <w:r w:rsidRPr="007313D7">
        <w:t>(</w:t>
      </w:r>
      <w:r w:rsidRPr="007313D7">
        <w:rPr>
          <w:lang w:val="en" w:eastAsia="en-AU"/>
        </w:rPr>
        <w:t>2))</w:t>
      </w:r>
    </w:p>
    <w:p w14:paraId="19438F24" w14:textId="585770B1" w:rsidR="007313D7" w:rsidRPr="007313D7" w:rsidRDefault="007313D7" w:rsidP="007313D7">
      <w:pPr>
        <w:pStyle w:val="Actdetails"/>
        <w:rPr>
          <w:lang w:val="en" w:eastAsia="en-AU"/>
        </w:rPr>
      </w:pPr>
      <w:r w:rsidRPr="007313D7">
        <w:rPr>
          <w:lang w:val="en" w:eastAsia="en-AU"/>
        </w:rPr>
        <w:t>ss 16, 32</w:t>
      </w:r>
      <w:r>
        <w:rPr>
          <w:lang w:val="en" w:eastAsia="en-AU"/>
        </w:rPr>
        <w:t>-</w:t>
      </w:r>
      <w:r w:rsidRPr="007313D7">
        <w:rPr>
          <w:lang w:val="en" w:eastAsia="en-AU"/>
        </w:rPr>
        <w:t>34, 43 comm</w:t>
      </w:r>
      <w:r>
        <w:rPr>
          <w:lang w:val="en" w:eastAsia="en-AU"/>
        </w:rPr>
        <w:t>enced</w:t>
      </w:r>
      <w:r w:rsidRPr="007313D7">
        <w:rPr>
          <w:lang w:val="en" w:eastAsia="en-AU"/>
        </w:rPr>
        <w:t xml:space="preserve"> 1 October 2018 immediately after the comm</w:t>
      </w:r>
      <w:r>
        <w:rPr>
          <w:lang w:val="en" w:eastAsia="en-AU"/>
        </w:rPr>
        <w:t>encement</w:t>
      </w:r>
      <w:r w:rsidRPr="007313D7">
        <w:rPr>
          <w:lang w:val="en" w:eastAsia="en-AU"/>
        </w:rPr>
        <w:t xml:space="preserve"> of the Heavy Vehicle National Law and Other Legislation Amendment Act 2016</w:t>
      </w:r>
      <w:r>
        <w:rPr>
          <w:lang w:val="en" w:eastAsia="en-AU"/>
        </w:rPr>
        <w:t xml:space="preserve"> (</w:t>
      </w:r>
      <w:hyperlink r:id="rId171" w:tooltip="Heavy Vehicle National Law and Other Legislation Amendment Act 2016" w:history="1">
        <w:r w:rsidR="006A2911">
          <w:rPr>
            <w:rStyle w:val="charCitHyperlinkAbbrev"/>
          </w:rPr>
          <w:t>A2016-65</w:t>
        </w:r>
      </w:hyperlink>
      <w:r>
        <w:rPr>
          <w:lang w:val="en" w:eastAsia="en-AU"/>
        </w:rPr>
        <w:t xml:space="preserve"> (Qld))</w:t>
      </w:r>
      <w:r w:rsidR="00916598">
        <w:rPr>
          <w:lang w:val="en" w:eastAsia="en-AU"/>
        </w:rPr>
        <w:t>, s 10 (see s 2 </w:t>
      </w:r>
      <w:r w:rsidRPr="007313D7">
        <w:rPr>
          <w:lang w:val="en" w:eastAsia="en-AU"/>
        </w:rPr>
        <w:t>(1))</w:t>
      </w:r>
    </w:p>
    <w:p w14:paraId="4FD72268" w14:textId="2D8B2B57" w:rsidR="007313D7" w:rsidRPr="007313D7" w:rsidRDefault="007313D7" w:rsidP="007313D7">
      <w:pPr>
        <w:pStyle w:val="Actdetails"/>
        <w:rPr>
          <w:lang w:val="en" w:eastAsia="en-AU"/>
        </w:rPr>
      </w:pPr>
      <w:r w:rsidRPr="007313D7">
        <w:rPr>
          <w:lang w:val="en" w:eastAsia="en-AU"/>
        </w:rPr>
        <w:t>ss 19</w:t>
      </w:r>
      <w:r w:rsidR="00916598">
        <w:rPr>
          <w:lang w:val="en" w:eastAsia="en-AU"/>
        </w:rPr>
        <w:t>-</w:t>
      </w:r>
      <w:r w:rsidR="00D75434">
        <w:rPr>
          <w:lang w:val="en" w:eastAsia="en-AU"/>
        </w:rPr>
        <w:t xml:space="preserve">23, 42 </w:t>
      </w:r>
      <w:r w:rsidRPr="007313D7">
        <w:rPr>
          <w:lang w:val="en" w:eastAsia="en-AU"/>
        </w:rPr>
        <w:t>comm</w:t>
      </w:r>
      <w:r w:rsidR="00916598">
        <w:rPr>
          <w:lang w:val="en" w:eastAsia="en-AU"/>
        </w:rPr>
        <w:t>enced</w:t>
      </w:r>
      <w:r w:rsidRPr="007313D7">
        <w:rPr>
          <w:lang w:val="en" w:eastAsia="en-AU"/>
        </w:rPr>
        <w:t xml:space="preserve"> 1 October 2018 (</w:t>
      </w:r>
      <w:hyperlink r:id="rId172" w:tooltip="SL2018-143 (Qld)" w:history="1">
        <w:r w:rsidR="006A2911">
          <w:rPr>
            <w:rStyle w:val="charCitHyperlinkAbbrev"/>
          </w:rPr>
          <w:t>SL2018-143</w:t>
        </w:r>
      </w:hyperlink>
      <w:r w:rsidR="006A2911">
        <w:rPr>
          <w:rStyle w:val="charCitHyperlinkAbbrev"/>
        </w:rPr>
        <w:t xml:space="preserve"> </w:t>
      </w:r>
      <w:r w:rsidR="006A2911" w:rsidRPr="006A2911">
        <w:t>(Qld)</w:t>
      </w:r>
      <w:r w:rsidRPr="007313D7">
        <w:rPr>
          <w:lang w:val="en" w:eastAsia="en-AU"/>
        </w:rPr>
        <w:t>)</w:t>
      </w:r>
    </w:p>
    <w:p w14:paraId="0B4FD0D1" w14:textId="4F0A77CE" w:rsidR="00D264A8" w:rsidRPr="00D75434" w:rsidRDefault="00856BEE" w:rsidP="00D264A8">
      <w:pPr>
        <w:pStyle w:val="NewAct"/>
      </w:pPr>
      <w:hyperlink r:id="rId173" w:tgtFrame="_blank" w:history="1">
        <w:r w:rsidR="00D264A8">
          <w:rPr>
            <w:rStyle w:val="charCitHyperlinkAbbrev"/>
          </w:rPr>
          <w:t>Heavy Vehicle National Law Amendment Act 2018</w:t>
        </w:r>
      </w:hyperlink>
      <w:r w:rsidR="00D264A8" w:rsidRPr="00D264A8">
        <w:t xml:space="preserve"> </w:t>
      </w:r>
      <w:r w:rsidR="00EE3F30">
        <w:t>A2018-</w:t>
      </w:r>
      <w:r w:rsidR="00D264A8" w:rsidRPr="00D264A8">
        <w:t>18 (Qld)</w:t>
      </w:r>
    </w:p>
    <w:p w14:paraId="100A9E06" w14:textId="77777777" w:rsidR="00D264A8" w:rsidRPr="00D264A8" w:rsidRDefault="00D264A8" w:rsidP="00477321">
      <w:pPr>
        <w:pStyle w:val="Actdetails"/>
        <w:keepNext/>
        <w:rPr>
          <w:lang w:val="en" w:eastAsia="en-AU"/>
        </w:rPr>
      </w:pPr>
      <w:r w:rsidRPr="00D264A8">
        <w:rPr>
          <w:lang w:val="en" w:eastAsia="en-AU"/>
        </w:rPr>
        <w:t>date of assent 11 September 2018</w:t>
      </w:r>
    </w:p>
    <w:p w14:paraId="025CF339" w14:textId="77777777" w:rsidR="00D264A8" w:rsidRPr="00D264A8" w:rsidRDefault="00D264A8" w:rsidP="00477321">
      <w:pPr>
        <w:pStyle w:val="Actdetails"/>
        <w:keepNext/>
        <w:keepLines/>
        <w:rPr>
          <w:lang w:val="en" w:eastAsia="en-AU"/>
        </w:rPr>
      </w:pPr>
      <w:r w:rsidRPr="00D264A8">
        <w:rPr>
          <w:lang w:val="en" w:eastAsia="en-AU"/>
        </w:rPr>
        <w:t>pt 2</w:t>
      </w:r>
      <w:r w:rsidR="00062AC8">
        <w:rPr>
          <w:lang w:val="en" w:eastAsia="en-AU"/>
        </w:rPr>
        <w:t xml:space="preserve"> </w:t>
      </w:r>
      <w:r w:rsidRPr="00D264A8">
        <w:rPr>
          <w:lang w:val="en" w:eastAsia="en-AU"/>
        </w:rPr>
        <w:t>comm</w:t>
      </w:r>
      <w:r>
        <w:rPr>
          <w:lang w:val="en" w:eastAsia="en-AU"/>
        </w:rPr>
        <w:t>enced</w:t>
      </w:r>
      <w:r w:rsidRPr="00D264A8">
        <w:rPr>
          <w:lang w:val="en" w:eastAsia="en-AU"/>
        </w:rPr>
        <w:t xml:space="preserve"> on date of assent</w:t>
      </w:r>
    </w:p>
    <w:p w14:paraId="42EB772C" w14:textId="5FA2F373" w:rsidR="00D264A8" w:rsidRPr="00D264A8" w:rsidRDefault="00D264A8" w:rsidP="00D264A8">
      <w:pPr>
        <w:pStyle w:val="Actdetails"/>
        <w:rPr>
          <w:lang w:val="en" w:eastAsia="en-AU"/>
        </w:rPr>
      </w:pPr>
      <w:r w:rsidRPr="00D264A8">
        <w:rPr>
          <w:lang w:val="en" w:eastAsia="en-AU"/>
        </w:rPr>
        <w:t>pt 3, sch 1 (amdt of Heavy Vehicle National Law) comm</w:t>
      </w:r>
      <w:r>
        <w:rPr>
          <w:lang w:val="en" w:eastAsia="en-AU"/>
        </w:rPr>
        <w:t>enced</w:t>
      </w:r>
      <w:r w:rsidR="00F978A3">
        <w:rPr>
          <w:lang w:val="en" w:eastAsia="en-AU"/>
        </w:rPr>
        <w:t xml:space="preserve"> 1 </w:t>
      </w:r>
      <w:r w:rsidRPr="00D264A8">
        <w:rPr>
          <w:lang w:val="en" w:eastAsia="en-AU"/>
        </w:rPr>
        <w:t>October 2018, immediately after the commencement of the Heavy Vehicle National Law and Other Legislation Amendment Act 2018</w:t>
      </w:r>
      <w:r w:rsidR="003457FB">
        <w:rPr>
          <w:lang w:val="en" w:eastAsia="en-AU"/>
        </w:rPr>
        <w:t xml:space="preserve"> </w:t>
      </w:r>
      <w:hyperlink r:id="rId174" w:tooltip="Heavy Vehicle National Law and Other Legislation Amendment Act 2018" w:history="1">
        <w:r w:rsidR="00EE3F30">
          <w:rPr>
            <w:rStyle w:val="charCitHyperlinkAbbrev"/>
          </w:rPr>
          <w:t>A2018-10</w:t>
        </w:r>
      </w:hyperlink>
      <w:r w:rsidR="003457FB">
        <w:t xml:space="preserve"> (Qld)</w:t>
      </w:r>
      <w:r w:rsidRPr="00D264A8">
        <w:rPr>
          <w:lang w:val="en" w:eastAsia="en-AU"/>
        </w:rPr>
        <w:t>, s 16 (see s 2)</w:t>
      </w:r>
    </w:p>
    <w:p w14:paraId="5E47A5EE" w14:textId="096265E9" w:rsidR="00775DD3" w:rsidRPr="00935D4E" w:rsidRDefault="00856BEE" w:rsidP="00775DD3">
      <w:pPr>
        <w:pStyle w:val="NewAct"/>
      </w:pPr>
      <w:hyperlink r:id="rId175" w:tooltip="A2018-42" w:history="1">
        <w:r w:rsidR="00775DD3">
          <w:rPr>
            <w:rStyle w:val="charCitHyperlinkAbbrev"/>
          </w:rPr>
          <w:t>Statute Law Amendment Act 2018</w:t>
        </w:r>
      </w:hyperlink>
      <w:r w:rsidR="00775DD3">
        <w:t xml:space="preserve"> A2018-42 sch 3 pt 3.18</w:t>
      </w:r>
    </w:p>
    <w:p w14:paraId="7DB58F39" w14:textId="77777777" w:rsidR="00775DD3" w:rsidRDefault="00775DD3" w:rsidP="00F978A3">
      <w:pPr>
        <w:pStyle w:val="Actdetails"/>
        <w:keepNext/>
      </w:pPr>
      <w:r>
        <w:t>notified LR 8 November 2018</w:t>
      </w:r>
    </w:p>
    <w:p w14:paraId="39446FE6" w14:textId="77777777" w:rsidR="00775DD3" w:rsidRDefault="00775DD3" w:rsidP="00775DD3">
      <w:pPr>
        <w:pStyle w:val="Actdetails"/>
      </w:pPr>
      <w:r>
        <w:t>s 1, s 2 taken to have commenced 1 July 2018 (LA s 75 (2))</w:t>
      </w:r>
    </w:p>
    <w:p w14:paraId="11859D81" w14:textId="77777777" w:rsidR="00775DD3" w:rsidRDefault="00775DD3" w:rsidP="00775DD3">
      <w:pPr>
        <w:pStyle w:val="Actdetails"/>
      </w:pPr>
      <w:r>
        <w:t>sch 3 pt 3.18 taken to have commenced 1 July 2018 (s 2 (2))</w:t>
      </w:r>
    </w:p>
    <w:p w14:paraId="4DF81443" w14:textId="1EEC5B09" w:rsidR="00ED622F" w:rsidRPr="00ED622F" w:rsidRDefault="00ED622F" w:rsidP="00ED622F">
      <w:pPr>
        <w:pStyle w:val="LegHistNote"/>
      </w:pPr>
      <w:r>
        <w:rPr>
          <w:i/>
        </w:rPr>
        <w:t>Note</w:t>
      </w:r>
      <w:r>
        <w:rPr>
          <w:i/>
        </w:rPr>
        <w:tab/>
      </w:r>
      <w:r>
        <w:t xml:space="preserve">This Act only amends the </w:t>
      </w:r>
      <w:hyperlink r:id="rId176" w:tooltip="Heavy Vehicle National Law (ACT) Act 2013" w:history="1">
        <w:r w:rsidR="006B39B0">
          <w:rPr>
            <w:rStyle w:val="charCitHyperlinkAbbrev"/>
          </w:rPr>
          <w:t>Heavy Vehicle National Law (ACT) Act 2013</w:t>
        </w:r>
      </w:hyperlink>
      <w:r>
        <w:t xml:space="preserve"> A2013-51.</w:t>
      </w:r>
    </w:p>
    <w:p w14:paraId="412E233C" w14:textId="6C6D355E" w:rsidR="00454D2E" w:rsidRPr="00D75434" w:rsidRDefault="00856BEE" w:rsidP="00454D2E">
      <w:pPr>
        <w:pStyle w:val="NewAct"/>
      </w:pPr>
      <w:hyperlink r:id="rId177" w:tgtFrame="_blank" w:tooltip="Act 2019 No 29 (Qld)" w:history="1">
        <w:r w:rsidR="00454D2E">
          <w:rPr>
            <w:rStyle w:val="charCitHyperlinkAbbrev"/>
          </w:rPr>
          <w:t>Heavy Vehicle National Law and Other Legislation Amendment Act 2019</w:t>
        </w:r>
      </w:hyperlink>
      <w:r w:rsidR="00454D2E" w:rsidRPr="00D264A8">
        <w:t xml:space="preserve"> </w:t>
      </w:r>
      <w:r w:rsidR="00EE3F30">
        <w:t>A2019-29</w:t>
      </w:r>
      <w:r w:rsidR="00454D2E" w:rsidRPr="00D264A8">
        <w:t xml:space="preserve"> (Qld)</w:t>
      </w:r>
    </w:p>
    <w:p w14:paraId="220A86EC" w14:textId="77777777" w:rsidR="00454D2E" w:rsidRPr="00D264A8" w:rsidRDefault="00454D2E" w:rsidP="00454D2E">
      <w:pPr>
        <w:pStyle w:val="Actdetails"/>
        <w:keepNext/>
        <w:rPr>
          <w:lang w:val="en" w:eastAsia="en-AU"/>
        </w:rPr>
      </w:pPr>
      <w:r w:rsidRPr="00D264A8">
        <w:rPr>
          <w:lang w:val="en" w:eastAsia="en-AU"/>
        </w:rPr>
        <w:t xml:space="preserve">date of assent </w:t>
      </w:r>
      <w:r>
        <w:rPr>
          <w:lang w:val="en" w:eastAsia="en-AU"/>
        </w:rPr>
        <w:t>26</w:t>
      </w:r>
      <w:r w:rsidRPr="00D264A8">
        <w:rPr>
          <w:lang w:val="en" w:eastAsia="en-AU"/>
        </w:rPr>
        <w:t xml:space="preserve"> September 201</w:t>
      </w:r>
      <w:r>
        <w:rPr>
          <w:lang w:val="en" w:eastAsia="en-AU"/>
        </w:rPr>
        <w:t>9</w:t>
      </w:r>
    </w:p>
    <w:p w14:paraId="08E6C236" w14:textId="34A553D5" w:rsidR="00454D2E" w:rsidRPr="00EA3A24" w:rsidRDefault="00454D2E" w:rsidP="00454D2E">
      <w:pPr>
        <w:pStyle w:val="Actdetails"/>
        <w:keepNext/>
        <w:keepLines/>
        <w:rPr>
          <w:lang w:val="en" w:eastAsia="en-AU"/>
        </w:rPr>
      </w:pPr>
      <w:r w:rsidRPr="00EA3A24">
        <w:rPr>
          <w:lang w:val="en" w:eastAsia="en-AU"/>
        </w:rPr>
        <w:t xml:space="preserve">pt 2 </w:t>
      </w:r>
      <w:r w:rsidR="00EA3A24" w:rsidRPr="00EA3A24">
        <w:rPr>
          <w:lang w:val="en" w:eastAsia="en-AU"/>
        </w:rPr>
        <w:t xml:space="preserve">div 1 </w:t>
      </w:r>
      <w:r w:rsidRPr="00EA3A24">
        <w:rPr>
          <w:lang w:val="en" w:eastAsia="en-AU"/>
        </w:rPr>
        <w:t>commence</w:t>
      </w:r>
      <w:r w:rsidR="00EA3A24" w:rsidRPr="00EA3A24">
        <w:rPr>
          <w:lang w:val="en" w:eastAsia="en-AU"/>
        </w:rPr>
        <w:t>d 1 July 2021 (s 2 (1) and see</w:t>
      </w:r>
      <w:r w:rsidR="00887565" w:rsidRPr="00EA3A24">
        <w:rPr>
          <w:rStyle w:val="Hyperlink"/>
          <w:u w:val="none"/>
        </w:rPr>
        <w:t xml:space="preserve"> </w:t>
      </w:r>
      <w:hyperlink r:id="rId178" w:tooltip="Act 2018 No 163 (Cwlth)" w:history="1">
        <w:r w:rsidR="00887565" w:rsidRPr="00EA3A24">
          <w:rPr>
            <w:rStyle w:val="Hyperlink"/>
            <w:u w:val="none"/>
          </w:rPr>
          <w:t>Road Vehicle Standards Act 2018</w:t>
        </w:r>
      </w:hyperlink>
      <w:r w:rsidR="00887565" w:rsidRPr="00EA3A24">
        <w:rPr>
          <w:lang w:val="en" w:eastAsia="en-AU"/>
        </w:rPr>
        <w:t xml:space="preserve"> (Cwlth), s 15</w:t>
      </w:r>
      <w:r w:rsidR="00395AF2" w:rsidRPr="00EA3A24">
        <w:rPr>
          <w:lang w:val="en" w:eastAsia="en-AU"/>
        </w:rPr>
        <w:t>)</w:t>
      </w:r>
    </w:p>
    <w:p w14:paraId="17B5471E" w14:textId="458DCF72" w:rsidR="00887565" w:rsidRPr="00E3731A" w:rsidRDefault="00887565" w:rsidP="00454D2E">
      <w:pPr>
        <w:pStyle w:val="Actdetails"/>
        <w:keepNext/>
        <w:keepLines/>
        <w:rPr>
          <w:lang w:val="en" w:eastAsia="en-AU"/>
        </w:rPr>
      </w:pPr>
      <w:r w:rsidRPr="00E3731A">
        <w:rPr>
          <w:lang w:val="en" w:eastAsia="en-AU"/>
        </w:rPr>
        <w:t xml:space="preserve">s 10, s 11 </w:t>
      </w:r>
      <w:r w:rsidR="00E3731A" w:rsidRPr="00E3731A">
        <w:rPr>
          <w:lang w:val="en" w:eastAsia="en-AU"/>
        </w:rPr>
        <w:t>commenced 27 September 2021</w:t>
      </w:r>
      <w:r w:rsidR="00581D9F" w:rsidRPr="00E3731A">
        <w:rPr>
          <w:lang w:val="en" w:eastAsia="en-AU"/>
        </w:rPr>
        <w:t xml:space="preserve"> (see s 2 (2)</w:t>
      </w:r>
      <w:r w:rsidR="00E3731A" w:rsidRPr="00E3731A">
        <w:rPr>
          <w:lang w:val="en" w:eastAsia="en-AU"/>
        </w:rPr>
        <w:t xml:space="preserve"> and </w:t>
      </w:r>
      <w:r w:rsidR="007E7BBB">
        <w:rPr>
          <w:lang w:val="en" w:eastAsia="en-AU"/>
        </w:rPr>
        <w:br/>
      </w:r>
      <w:hyperlink r:id="rId179" w:tooltip="SL2020-135 (Qld)" w:history="1">
        <w:r w:rsidR="00E3731A">
          <w:rPr>
            <w:rStyle w:val="charCitHyperlinkAbbrev"/>
          </w:rPr>
          <w:t>SL2020-135</w:t>
        </w:r>
      </w:hyperlink>
      <w:r w:rsidR="00E3731A" w:rsidRPr="00E3731A">
        <w:rPr>
          <w:lang w:val="en" w:eastAsia="en-AU"/>
        </w:rPr>
        <w:t xml:space="preserve"> (Qld)</w:t>
      </w:r>
      <w:r w:rsidR="00581D9F" w:rsidRPr="00E3731A">
        <w:rPr>
          <w:lang w:val="en" w:eastAsia="en-AU"/>
        </w:rPr>
        <w:t>)</w:t>
      </w:r>
    </w:p>
    <w:p w14:paraId="207617E7" w14:textId="6C5C23AD" w:rsidR="00454D2E" w:rsidRPr="00D264A8" w:rsidRDefault="00454D2E" w:rsidP="00454D2E">
      <w:pPr>
        <w:pStyle w:val="Actdetails"/>
        <w:rPr>
          <w:lang w:val="en" w:eastAsia="en-AU"/>
        </w:rPr>
      </w:pPr>
      <w:r w:rsidRPr="00D264A8">
        <w:rPr>
          <w:lang w:val="en" w:eastAsia="en-AU"/>
        </w:rPr>
        <w:t>pt 3</w:t>
      </w:r>
      <w:r w:rsidR="00975D91">
        <w:rPr>
          <w:lang w:val="en" w:eastAsia="en-AU"/>
        </w:rPr>
        <w:t xml:space="preserve"> remainder</w:t>
      </w:r>
      <w:r w:rsidRPr="00D264A8">
        <w:rPr>
          <w:lang w:val="en" w:eastAsia="en-AU"/>
        </w:rPr>
        <w:t xml:space="preserve"> comm</w:t>
      </w:r>
      <w:r>
        <w:rPr>
          <w:lang w:val="en" w:eastAsia="en-AU"/>
        </w:rPr>
        <w:t xml:space="preserve">enced </w:t>
      </w:r>
      <w:r w:rsidR="00975D91">
        <w:rPr>
          <w:lang w:val="en" w:eastAsia="en-AU"/>
        </w:rPr>
        <w:t>28 February 2020</w:t>
      </w:r>
      <w:r w:rsidR="00975D91">
        <w:t xml:space="preserve"> (</w:t>
      </w:r>
      <w:r w:rsidR="00A84ADC">
        <w:t>s (2) and</w:t>
      </w:r>
      <w:r w:rsidR="00751C8A">
        <w:br/>
      </w:r>
      <w:hyperlink r:id="rId180" w:tooltip="SL2020-18 (Qld)" w:history="1">
        <w:r w:rsidR="00F573C7">
          <w:rPr>
            <w:rStyle w:val="charCitHyperlinkAbbrev"/>
          </w:rPr>
          <w:t>SL2020-18</w:t>
        </w:r>
      </w:hyperlink>
      <w:r w:rsidR="00975D91">
        <w:rPr>
          <w:rStyle w:val="charCitHyperlinkAbbrev"/>
        </w:rPr>
        <w:t xml:space="preserve"> </w:t>
      </w:r>
      <w:r w:rsidR="00975D91" w:rsidRPr="001C03F6">
        <w:t>(Qld))</w:t>
      </w:r>
    </w:p>
    <w:p w14:paraId="6D7FAFC3" w14:textId="77777777" w:rsidR="00124806" w:rsidRPr="00124806" w:rsidRDefault="00124806" w:rsidP="00124806">
      <w:pPr>
        <w:pStyle w:val="PageBreak"/>
      </w:pPr>
      <w:r w:rsidRPr="00124806">
        <w:br w:type="page"/>
      </w:r>
    </w:p>
    <w:p w14:paraId="5686CA8B" w14:textId="77777777" w:rsidR="00B3288F" w:rsidRPr="005E03F7" w:rsidRDefault="00B3288F">
      <w:pPr>
        <w:pStyle w:val="Endnote2"/>
      </w:pPr>
      <w:bookmarkStart w:id="1020" w:name="_Toc83626364"/>
      <w:r w:rsidRPr="005E03F7">
        <w:rPr>
          <w:rStyle w:val="charTableNo"/>
        </w:rPr>
        <w:lastRenderedPageBreak/>
        <w:t>4</w:t>
      </w:r>
      <w:r>
        <w:tab/>
      </w:r>
      <w:r w:rsidRPr="005E03F7">
        <w:rPr>
          <w:rStyle w:val="charTableText"/>
        </w:rPr>
        <w:t>Amendment history</w:t>
      </w:r>
      <w:bookmarkEnd w:id="1020"/>
    </w:p>
    <w:p w14:paraId="0C151655" w14:textId="77777777" w:rsidR="004A4A40" w:rsidRDefault="00400817" w:rsidP="004A4A40">
      <w:pPr>
        <w:pStyle w:val="AmdtsEntryHd"/>
        <w:rPr>
          <w:spacing w:val="30"/>
          <w:w w:val="99"/>
        </w:rPr>
      </w:pPr>
      <w:r>
        <w:t>Regulatory</w:t>
      </w:r>
      <w:r>
        <w:rPr>
          <w:spacing w:val="-9"/>
        </w:rPr>
        <w:t xml:space="preserve"> </w:t>
      </w:r>
      <w:r>
        <w:rPr>
          <w:spacing w:val="-1"/>
        </w:rPr>
        <w:t>framework</w:t>
      </w:r>
      <w:r>
        <w:rPr>
          <w:spacing w:val="-8"/>
        </w:rPr>
        <w:t xml:space="preserve"> </w:t>
      </w:r>
      <w:r>
        <w:t>to</w:t>
      </w:r>
      <w:r>
        <w:rPr>
          <w:spacing w:val="-9"/>
        </w:rPr>
        <w:t xml:space="preserve"> </w:t>
      </w:r>
      <w:r>
        <w:rPr>
          <w:spacing w:val="-1"/>
        </w:rPr>
        <w:t>achieve</w:t>
      </w:r>
      <w:r>
        <w:rPr>
          <w:spacing w:val="-8"/>
        </w:rPr>
        <w:t xml:space="preserve"> </w:t>
      </w:r>
      <w:r>
        <w:t>object</w:t>
      </w:r>
    </w:p>
    <w:p w14:paraId="20067A92" w14:textId="722E4AE7" w:rsidR="005525A2" w:rsidRDefault="00400817" w:rsidP="004A4A40">
      <w:pPr>
        <w:pStyle w:val="AmdtsEntries"/>
      </w:pPr>
      <w:r w:rsidRPr="00757F5B">
        <w:t>s 4</w:t>
      </w:r>
      <w:r w:rsidR="005525A2">
        <w:tab/>
        <w:t xml:space="preserve">mod </w:t>
      </w:r>
      <w:hyperlink r:id="rId181" w:tooltip="Heavy Vehicle National Law (ACT) Act 2013" w:history="1">
        <w:r w:rsidR="005525A2" w:rsidRPr="0068043D">
          <w:rPr>
            <w:rStyle w:val="charCitHyperlinkAbbrev"/>
          </w:rPr>
          <w:t>A2013-51</w:t>
        </w:r>
      </w:hyperlink>
      <w:r w:rsidR="005525A2">
        <w:t xml:space="preserve"> mod 1.12, mod 1.13</w:t>
      </w:r>
      <w:r w:rsidR="00A06E70">
        <w:t xml:space="preserve"> (mod om </w:t>
      </w:r>
      <w:hyperlink r:id="rId182" w:tooltip="Statute Law Amendment Act 2018" w:history="1">
        <w:r w:rsidR="00EC6DA9">
          <w:rPr>
            <w:rStyle w:val="charCitHyperlinkAbbrev"/>
          </w:rPr>
          <w:t>A2018</w:t>
        </w:r>
        <w:r w:rsidR="00EC6DA9">
          <w:rPr>
            <w:rStyle w:val="charCitHyperlinkAbbrev"/>
          </w:rPr>
          <w:noBreakHyphen/>
          <w:t>42</w:t>
        </w:r>
      </w:hyperlink>
      <w:r w:rsidR="009B709A">
        <w:t xml:space="preserve"> amdt </w:t>
      </w:r>
      <w:r w:rsidR="00A06E70">
        <w:t>3.61)</w:t>
      </w:r>
    </w:p>
    <w:p w14:paraId="3398F5A7" w14:textId="74FC8297" w:rsidR="005A34A5" w:rsidRDefault="005A34A5" w:rsidP="004A4A40">
      <w:pPr>
        <w:pStyle w:val="AmdtsEntries"/>
      </w:pPr>
      <w:r>
        <w:tab/>
        <w:t xml:space="preserve">am </w:t>
      </w:r>
      <w:hyperlink r:id="rId183" w:tooltip="Heavy Vehicle National Law and Other Legislation Amendment Act 2018 (Qld)" w:history="1">
        <w:r w:rsidR="00EE3F30">
          <w:rPr>
            <w:rStyle w:val="charCitHyperlinkAbbrev"/>
          </w:rPr>
          <w:t xml:space="preserve">A2018-10 </w:t>
        </w:r>
      </w:hyperlink>
      <w:r w:rsidR="00EE3F30" w:rsidRPr="00EE3F30">
        <w:t>(Qld)</w:t>
      </w:r>
      <w:r w:rsidR="00EE3F30">
        <w:rPr>
          <w:rStyle w:val="charCitHyperlinkAbbrev"/>
        </w:rPr>
        <w:t xml:space="preserve"> </w:t>
      </w:r>
      <w:r>
        <w:t>s 13</w:t>
      </w:r>
    </w:p>
    <w:p w14:paraId="0E14CD81" w14:textId="77777777" w:rsidR="00400817" w:rsidRDefault="00400817" w:rsidP="00816477">
      <w:pPr>
        <w:pStyle w:val="AmdtsEntryHd"/>
      </w:pPr>
      <w:r>
        <w:rPr>
          <w:spacing w:val="-1"/>
        </w:rPr>
        <w:t>Definitions</w:t>
      </w:r>
    </w:p>
    <w:p w14:paraId="4F1C8C6E" w14:textId="162AD2AB" w:rsidR="000229BF" w:rsidRDefault="00400817" w:rsidP="0035563D">
      <w:pPr>
        <w:pStyle w:val="AmdtsEntries"/>
      </w:pPr>
      <w:r w:rsidRPr="00757F5B">
        <w:t>s 5</w:t>
      </w:r>
      <w:r w:rsidR="000229BF">
        <w:tab/>
        <w:t xml:space="preserve">def </w:t>
      </w:r>
      <w:r w:rsidR="000229BF" w:rsidRPr="000229BF">
        <w:rPr>
          <w:rStyle w:val="charBoldItals"/>
        </w:rPr>
        <w:t>advice purposes</w:t>
      </w:r>
      <w:r w:rsidR="000229BF">
        <w:t xml:space="preserve"> ins </w:t>
      </w:r>
      <w:hyperlink r:id="rId184" w:tooltip="Heavy Vehicle National Law and Other Legislation Amendment Act 2019" w:history="1">
        <w:r w:rsidR="000229BF" w:rsidRPr="00137BAE">
          <w:rPr>
            <w:rStyle w:val="charCitHyperlinkAbbrev"/>
          </w:rPr>
          <w:t>A2019-29</w:t>
        </w:r>
      </w:hyperlink>
      <w:r w:rsidR="000229BF">
        <w:t xml:space="preserve"> (Qld) s 7</w:t>
      </w:r>
    </w:p>
    <w:p w14:paraId="04128FD8" w14:textId="03E0AEAF" w:rsidR="00EA3A24" w:rsidRDefault="00EA3A24" w:rsidP="0035563D">
      <w:pPr>
        <w:pStyle w:val="AmdtsEntries"/>
      </w:pPr>
      <w:r>
        <w:tab/>
        <w:t xml:space="preserve">def </w:t>
      </w:r>
      <w:r w:rsidRPr="00EA3A24">
        <w:rPr>
          <w:rStyle w:val="charBoldItals"/>
        </w:rPr>
        <w:t>ADR</w:t>
      </w:r>
      <w:r>
        <w:t xml:space="preserve"> </w:t>
      </w:r>
      <w:r w:rsidR="00967DA5">
        <w:t>sub</w:t>
      </w:r>
      <w:r>
        <w:t xml:space="preserve"> </w:t>
      </w:r>
      <w:hyperlink r:id="rId185" w:tooltip="Heavy Vehicle National Law and Other Legislation Amendment Act 2019" w:history="1">
        <w:r w:rsidRPr="00137BAE">
          <w:rPr>
            <w:rStyle w:val="charCitHyperlinkAbbrev"/>
          </w:rPr>
          <w:t>A2019-29</w:t>
        </w:r>
      </w:hyperlink>
      <w:r>
        <w:t xml:space="preserve"> (Qld) s 4</w:t>
      </w:r>
    </w:p>
    <w:p w14:paraId="15442524" w14:textId="5D9A2AC4" w:rsidR="003329B2" w:rsidRPr="003329B2" w:rsidRDefault="005525A2" w:rsidP="0035563D">
      <w:pPr>
        <w:pStyle w:val="AmdtsEntries"/>
      </w:pPr>
      <w:r>
        <w:tab/>
      </w:r>
      <w:r w:rsidR="003329B2">
        <w:t xml:space="preserve">def </w:t>
      </w:r>
      <w:r w:rsidR="003329B2">
        <w:rPr>
          <w:rStyle w:val="charBoldItals"/>
        </w:rPr>
        <w:t>AFM accreditation</w:t>
      </w:r>
      <w:r w:rsidR="003329B2">
        <w:t xml:space="preserve"> am </w:t>
      </w:r>
      <w:hyperlink r:id="rId186" w:tooltip="Heavy Vehicle National Law Amendment Act 2015" w:history="1">
        <w:r w:rsidR="005528D7">
          <w:rPr>
            <w:rStyle w:val="charCitHyperlinkAbbrev"/>
          </w:rPr>
          <w:t>A2015-12</w:t>
        </w:r>
      </w:hyperlink>
      <w:r w:rsidR="00A97FFD">
        <w:t xml:space="preserve"> </w:t>
      </w:r>
      <w:r w:rsidR="005528D7">
        <w:t>(</w:t>
      </w:r>
      <w:r w:rsidR="00BE6DA0">
        <w:t>Qld</w:t>
      </w:r>
      <w:r w:rsidR="005528D7">
        <w:t xml:space="preserve">) </w:t>
      </w:r>
      <w:r w:rsidR="00A97FFD">
        <w:t>s 4</w:t>
      </w:r>
    </w:p>
    <w:p w14:paraId="72518CFF" w14:textId="7E678E12" w:rsidR="00A97FFD" w:rsidRDefault="00A97FFD" w:rsidP="0035563D">
      <w:pPr>
        <w:pStyle w:val="AmdtsEntries"/>
      </w:pPr>
      <w:r>
        <w:tab/>
        <w:t xml:space="preserve">def </w:t>
      </w:r>
      <w:r>
        <w:rPr>
          <w:rStyle w:val="charBoldItals"/>
        </w:rPr>
        <w:t>B-triple</w:t>
      </w:r>
      <w:r>
        <w:t xml:space="preserve"> ins </w:t>
      </w:r>
      <w:hyperlink r:id="rId187" w:tooltip="Heavy Vehicle National Law Amendment Act 2015" w:history="1">
        <w:r w:rsidR="00507E44">
          <w:rPr>
            <w:rStyle w:val="charCitHyperlinkAbbrev"/>
          </w:rPr>
          <w:t>A2015-12</w:t>
        </w:r>
      </w:hyperlink>
      <w:r>
        <w:t xml:space="preserve"> </w:t>
      </w:r>
      <w:r w:rsidR="00BE6DA0">
        <w:t xml:space="preserve">(Qld) </w:t>
      </w:r>
      <w:r>
        <w:t>s 4</w:t>
      </w:r>
    </w:p>
    <w:p w14:paraId="3D9B184F" w14:textId="65C245D1" w:rsidR="00A97FFD" w:rsidRDefault="00A97FFD" w:rsidP="0035563D">
      <w:pPr>
        <w:pStyle w:val="AmdtsEntries"/>
      </w:pPr>
      <w:r>
        <w:tab/>
        <w:t xml:space="preserve">def </w:t>
      </w:r>
      <w:r>
        <w:rPr>
          <w:rStyle w:val="charBoldItals"/>
        </w:rPr>
        <w:t xml:space="preserve">BFM accreditation </w:t>
      </w:r>
      <w:r>
        <w:t xml:space="preserve">am </w:t>
      </w:r>
      <w:hyperlink r:id="rId188" w:tooltip="Heavy Vehicle National Law Amendment Act 2015" w:history="1">
        <w:r w:rsidR="00BE6DA0">
          <w:rPr>
            <w:rStyle w:val="charCitHyperlinkAbbrev"/>
          </w:rPr>
          <w:t>A2015-12</w:t>
        </w:r>
      </w:hyperlink>
      <w:r w:rsidR="00BE6DA0">
        <w:t xml:space="preserve"> (Qld)</w:t>
      </w:r>
      <w:r>
        <w:t xml:space="preserve"> s 4</w:t>
      </w:r>
    </w:p>
    <w:p w14:paraId="02006A57" w14:textId="68FD57BD" w:rsidR="00D66BA0" w:rsidRDefault="00D66BA0" w:rsidP="0035563D">
      <w:pPr>
        <w:pStyle w:val="AmdtsEntries"/>
      </w:pPr>
      <w:r>
        <w:tab/>
        <w:t xml:space="preserve">def </w:t>
      </w:r>
      <w:r w:rsidRPr="00D66BA0">
        <w:rPr>
          <w:rStyle w:val="charBoldItals"/>
        </w:rPr>
        <w:t>business practices</w:t>
      </w:r>
      <w:r>
        <w:t xml:space="preserve"> ins </w:t>
      </w:r>
      <w:hyperlink r:id="rId189" w:tooltip="Heavy Vehicle National Law and Other Legislation Amendment Act 2016" w:history="1">
        <w:r w:rsidR="008E0DE4">
          <w:rPr>
            <w:rStyle w:val="charCitHyperlinkAbbrev"/>
          </w:rPr>
          <w:t>A2016-65</w:t>
        </w:r>
      </w:hyperlink>
      <w:r>
        <w:t xml:space="preserve"> </w:t>
      </w:r>
      <w:r w:rsidR="008E0DE4">
        <w:t xml:space="preserve">(Qld) </w:t>
      </w:r>
      <w:r>
        <w:t>s 7</w:t>
      </w:r>
    </w:p>
    <w:p w14:paraId="64FC44B3" w14:textId="5A1BCE51" w:rsidR="0055416F" w:rsidRDefault="0055416F" w:rsidP="005E03F7">
      <w:pPr>
        <w:pStyle w:val="AmdtsEntries"/>
      </w:pPr>
      <w:r>
        <w:tab/>
        <w:t xml:space="preserve">def </w:t>
      </w:r>
      <w:r w:rsidRPr="0055416F">
        <w:rPr>
          <w:rStyle w:val="charBoldItals"/>
        </w:rPr>
        <w:t>commercial consignor</w:t>
      </w:r>
      <w:r>
        <w:t xml:space="preserve"> om </w:t>
      </w:r>
      <w:hyperlink r:id="rId190" w:tooltip="Heavy Vehicle National Law and Other Legislation Amendment Act 2016" w:history="1">
        <w:r w:rsidR="00751C8A">
          <w:rPr>
            <w:rStyle w:val="charCitHyperlinkAbbrev"/>
          </w:rPr>
          <w:t>A2016-65</w:t>
        </w:r>
      </w:hyperlink>
      <w:r w:rsidR="00751C8A">
        <w:t xml:space="preserve"> (Qld)</w:t>
      </w:r>
      <w:r>
        <w:t xml:space="preserve"> s 7</w:t>
      </w:r>
    </w:p>
    <w:p w14:paraId="3CE4709B" w14:textId="77C6DF66" w:rsidR="00D66BA0" w:rsidRDefault="00D66BA0" w:rsidP="005E03F7">
      <w:pPr>
        <w:pStyle w:val="AmdtsEntries"/>
      </w:pPr>
      <w:r>
        <w:tab/>
        <w:t xml:space="preserve">def </w:t>
      </w:r>
      <w:r>
        <w:rPr>
          <w:rStyle w:val="charBoldItals"/>
        </w:rPr>
        <w:t>complaint</w:t>
      </w:r>
      <w:r>
        <w:t xml:space="preserve"> ins </w:t>
      </w:r>
      <w:hyperlink r:id="rId191" w:tooltip="Heavy Vehicle National Law and Other Legislation Amendment Act 2016" w:history="1">
        <w:r w:rsidR="00751C8A">
          <w:rPr>
            <w:rStyle w:val="charCitHyperlinkAbbrev"/>
          </w:rPr>
          <w:t>A2016-65</w:t>
        </w:r>
      </w:hyperlink>
      <w:r w:rsidR="00751C8A">
        <w:t xml:space="preserve"> (Qld)</w:t>
      </w:r>
      <w:r>
        <w:t xml:space="preserve"> s 7</w:t>
      </w:r>
    </w:p>
    <w:p w14:paraId="22C0B22B" w14:textId="2375546D" w:rsidR="00A97FFD" w:rsidRDefault="00A97FFD" w:rsidP="0035563D">
      <w:pPr>
        <w:pStyle w:val="AmdtsEntries"/>
      </w:pPr>
      <w:r>
        <w:tab/>
        <w:t xml:space="preserve">def </w:t>
      </w:r>
      <w:r>
        <w:rPr>
          <w:rStyle w:val="charBoldItals"/>
        </w:rPr>
        <w:t>component</w:t>
      </w:r>
      <w:r>
        <w:t xml:space="preserve"> am </w:t>
      </w:r>
      <w:hyperlink r:id="rId192" w:tooltip="Heavy Vehicle National Law Amendment Act 2015" w:history="1">
        <w:r w:rsidR="00BE6DA0">
          <w:rPr>
            <w:rStyle w:val="charCitHyperlinkAbbrev"/>
          </w:rPr>
          <w:t>A2015-12</w:t>
        </w:r>
      </w:hyperlink>
      <w:r w:rsidR="00BE6DA0">
        <w:t xml:space="preserve"> (Qld)</w:t>
      </w:r>
      <w:r>
        <w:t xml:space="preserve"> s 4</w:t>
      </w:r>
    </w:p>
    <w:p w14:paraId="557FD684" w14:textId="6734A38D" w:rsidR="00D83090" w:rsidRDefault="00D83090" w:rsidP="005E03F7">
      <w:pPr>
        <w:pStyle w:val="AmdtsEntries"/>
      </w:pPr>
      <w:r>
        <w:tab/>
        <w:t xml:space="preserve">def </w:t>
      </w:r>
      <w:r w:rsidRPr="00D83090">
        <w:rPr>
          <w:b/>
          <w:i/>
        </w:rPr>
        <w:t>conditionally registered</w:t>
      </w:r>
      <w:r>
        <w:t xml:space="preserve"> om </w:t>
      </w:r>
      <w:hyperlink r:id="rId193" w:tooltip="Heavy Vehicle National Law and Other Legislation Amendment Act 2018 (Qld)" w:history="1">
        <w:r w:rsidR="00751C8A">
          <w:rPr>
            <w:rStyle w:val="charCitHyperlinkAbbrev"/>
          </w:rPr>
          <w:t xml:space="preserve">A2018-10 </w:t>
        </w:r>
      </w:hyperlink>
      <w:r w:rsidR="00751C8A" w:rsidRPr="00EE3F30">
        <w:t>(Qld)</w:t>
      </w:r>
      <w:r w:rsidR="00751C8A">
        <w:t xml:space="preserve"> </w:t>
      </w:r>
      <w:r w:rsidRPr="00D83090">
        <w:t>s 14</w:t>
      </w:r>
    </w:p>
    <w:p w14:paraId="245556F4" w14:textId="69733CC6" w:rsidR="00417799" w:rsidRDefault="00417799" w:rsidP="005E03F7">
      <w:pPr>
        <w:pStyle w:val="AmdtsEntries"/>
      </w:pPr>
      <w:r>
        <w:tab/>
        <w:t xml:space="preserve">def </w:t>
      </w:r>
      <w:r>
        <w:rPr>
          <w:rStyle w:val="charBoldItals"/>
        </w:rPr>
        <w:t>consign</w:t>
      </w:r>
      <w:r>
        <w:t xml:space="preserve"> </w:t>
      </w:r>
      <w:r w:rsidR="00F94088">
        <w:t xml:space="preserve">and </w:t>
      </w:r>
      <w:r w:rsidR="00F94088" w:rsidRPr="00F94088">
        <w:rPr>
          <w:rStyle w:val="charBoldItals"/>
        </w:rPr>
        <w:t>consignor</w:t>
      </w:r>
      <w:r w:rsidR="00F94088">
        <w:t xml:space="preserve"> </w:t>
      </w:r>
      <w:r>
        <w:t xml:space="preserve">am </w:t>
      </w:r>
      <w:hyperlink r:id="rId194" w:tooltip="Heavy Vehicle National Law and Other Legislation Amendment Act 2016" w:history="1">
        <w:r w:rsidR="00751C8A">
          <w:rPr>
            <w:rStyle w:val="charCitHyperlinkAbbrev"/>
          </w:rPr>
          <w:t>A2016-65</w:t>
        </w:r>
      </w:hyperlink>
      <w:r w:rsidR="00751C8A">
        <w:t xml:space="preserve"> (Qld)</w:t>
      </w:r>
      <w:r>
        <w:t xml:space="preserve"> s 7</w:t>
      </w:r>
    </w:p>
    <w:p w14:paraId="78F58FAD" w14:textId="04EF6EFF" w:rsidR="00700AED" w:rsidRDefault="00700AED" w:rsidP="00124FEC">
      <w:pPr>
        <w:pStyle w:val="AmdtsEntries"/>
      </w:pPr>
      <w:r>
        <w:tab/>
        <w:t xml:space="preserve">def </w:t>
      </w:r>
      <w:r w:rsidRPr="00700AED">
        <w:rPr>
          <w:rStyle w:val="charBoldItals"/>
        </w:rPr>
        <w:t>container weight declaration</w:t>
      </w:r>
      <w:r>
        <w:t xml:space="preserve"> am </w:t>
      </w:r>
      <w:hyperlink r:id="rId195" w:tooltip="Heavy Vehicle National Law Amendment Act 2018" w:history="1">
        <w:r w:rsidR="00C14D0F">
          <w:rPr>
            <w:rStyle w:val="charCitHyperlinkAbbrev"/>
          </w:rPr>
          <w:t>A2018-18</w:t>
        </w:r>
      </w:hyperlink>
      <w:r>
        <w:t xml:space="preserve"> </w:t>
      </w:r>
      <w:r w:rsidR="00C14D0F">
        <w:t xml:space="preserve">(Qld) </w:t>
      </w:r>
      <w:r>
        <w:t>s 6</w:t>
      </w:r>
    </w:p>
    <w:p w14:paraId="7F95D329" w14:textId="7081D1CC" w:rsidR="00124FEC" w:rsidRDefault="00124FEC" w:rsidP="005E03F7">
      <w:pPr>
        <w:pStyle w:val="AmdtsEntries"/>
      </w:pPr>
      <w:r>
        <w:tab/>
        <w:t xml:space="preserve">def </w:t>
      </w:r>
      <w:r w:rsidR="00D345FC">
        <w:rPr>
          <w:rStyle w:val="charBoldItals"/>
        </w:rPr>
        <w:t>contract</w:t>
      </w:r>
      <w:r>
        <w:t xml:space="preserve"> ins </w:t>
      </w:r>
      <w:hyperlink r:id="rId196" w:tooltip="Heavy Vehicle National Law and Other Legislation Amendment Act 2016" w:history="1">
        <w:r w:rsidR="00751C8A">
          <w:rPr>
            <w:rStyle w:val="charCitHyperlinkAbbrev"/>
          </w:rPr>
          <w:t>A2016-65</w:t>
        </w:r>
      </w:hyperlink>
      <w:r w:rsidR="00751C8A">
        <w:t xml:space="preserve"> (Qld)</w:t>
      </w:r>
      <w:r>
        <w:t xml:space="preserve"> s 7</w:t>
      </w:r>
    </w:p>
    <w:p w14:paraId="31D2BAB7" w14:textId="0E5CEB9B" w:rsidR="005525A2" w:rsidRPr="005525A2" w:rsidRDefault="00A97FFD" w:rsidP="0035563D">
      <w:pPr>
        <w:pStyle w:val="AmdtsEntries"/>
      </w:pPr>
      <w:r>
        <w:tab/>
      </w:r>
      <w:r w:rsidR="005525A2">
        <w:t xml:space="preserve">def </w:t>
      </w:r>
      <w:r w:rsidR="005525A2" w:rsidRPr="009D47B1">
        <w:rPr>
          <w:rStyle w:val="charBoldItals"/>
        </w:rPr>
        <w:t>corresponding registration law</w:t>
      </w:r>
      <w:r w:rsidR="005525A2">
        <w:rPr>
          <w:rStyle w:val="charBoldItals"/>
        </w:rPr>
        <w:t xml:space="preserve"> </w:t>
      </w:r>
      <w:r w:rsidR="005525A2">
        <w:t xml:space="preserve">ins as mod </w:t>
      </w:r>
      <w:hyperlink r:id="rId197" w:tooltip="Heavy Vehicle National Law (ACT) Act 2013" w:history="1">
        <w:r w:rsidR="005525A2" w:rsidRPr="0068043D">
          <w:rPr>
            <w:rStyle w:val="charCitHyperlinkAbbrev"/>
          </w:rPr>
          <w:t>A2013-51</w:t>
        </w:r>
      </w:hyperlink>
      <w:r w:rsidR="005525A2">
        <w:t xml:space="preserve"> mod 1.14</w:t>
      </w:r>
      <w:r w:rsidR="00932BA6">
        <w:t xml:space="preserve"> (mod om </w:t>
      </w:r>
      <w:hyperlink r:id="rId198"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14:paraId="7C51CAD4" w14:textId="01EDABCA" w:rsidR="00D83090" w:rsidRDefault="00D83090" w:rsidP="005E03F7">
      <w:pPr>
        <w:pStyle w:val="AmdtsEntries"/>
      </w:pPr>
      <w:r>
        <w:tab/>
        <w:t xml:space="preserve">def </w:t>
      </w:r>
      <w:r>
        <w:rPr>
          <w:b/>
          <w:i/>
        </w:rPr>
        <w:t>database of heavy vehicles</w:t>
      </w:r>
      <w:r w:rsidRPr="00D83090">
        <w:rPr>
          <w:b/>
          <w:i/>
        </w:rPr>
        <w:t xml:space="preserve"> </w:t>
      </w:r>
      <w:r>
        <w:t xml:space="preserve">ins </w:t>
      </w:r>
      <w:hyperlink r:id="rId199" w:tooltip="Heavy Vehicle National Law and Other Legislation Amendment Act 2018 (Qld)" w:history="1">
        <w:hyperlink r:id="rId200" w:tooltip="Heavy Vehicle National Law and Other Legislation Amendment Act 2018 (Qld)" w:history="1">
          <w:r w:rsidR="00751C8A">
            <w:rPr>
              <w:rStyle w:val="charCitHyperlinkAbbrev"/>
            </w:rPr>
            <w:t xml:space="preserve">A2018-10 </w:t>
          </w:r>
        </w:hyperlink>
        <w:r w:rsidR="00751C8A" w:rsidRPr="00EE3F30">
          <w:t>(Qld)</w:t>
        </w:r>
        <w:r w:rsidRPr="00F7579D">
          <w:rPr>
            <w:rStyle w:val="charCitHyperlinkAbbrev"/>
          </w:rPr>
          <w:t xml:space="preserve"> </w:t>
        </w:r>
      </w:hyperlink>
      <w:r w:rsidRPr="00D83090">
        <w:t>s 14</w:t>
      </w:r>
    </w:p>
    <w:p w14:paraId="68DF2ABD" w14:textId="15E420EE" w:rsidR="00194CFF" w:rsidRPr="00194CFF" w:rsidRDefault="00194CFF" w:rsidP="0035563D">
      <w:pPr>
        <w:pStyle w:val="AmdtsEntries"/>
      </w:pPr>
      <w:r>
        <w:tab/>
        <w:t xml:space="preserve">def </w:t>
      </w:r>
      <w:r>
        <w:rPr>
          <w:rStyle w:val="charBoldItals"/>
        </w:rPr>
        <w:t xml:space="preserve">driver fatigue compliance function </w:t>
      </w:r>
      <w:r>
        <w:t xml:space="preserve">ins </w:t>
      </w:r>
      <w:hyperlink r:id="rId201" w:tooltip="Heavy Vehicle National Law Amendment Act 2015" w:history="1">
        <w:r w:rsidR="00BE6DA0">
          <w:rPr>
            <w:rStyle w:val="charCitHyperlinkAbbrev"/>
          </w:rPr>
          <w:t>A2015-12</w:t>
        </w:r>
      </w:hyperlink>
      <w:r w:rsidR="00BE6DA0">
        <w:t xml:space="preserve"> (Qld)</w:t>
      </w:r>
      <w:r w:rsidR="00507E44">
        <w:t xml:space="preserve"> </w:t>
      </w:r>
      <w:r w:rsidR="00A67578">
        <w:t>s </w:t>
      </w:r>
      <w:r>
        <w:t>4</w:t>
      </w:r>
    </w:p>
    <w:p w14:paraId="54777B16" w14:textId="6BCFF4F2" w:rsidR="00194CFF" w:rsidRDefault="00194CFF" w:rsidP="00194CFF">
      <w:pPr>
        <w:pStyle w:val="AmdtsEntries"/>
      </w:pPr>
      <w:r>
        <w:tab/>
        <w:t xml:space="preserve">def </w:t>
      </w:r>
      <w:r>
        <w:rPr>
          <w:rStyle w:val="charBoldItals"/>
        </w:rPr>
        <w:t xml:space="preserve">driver fatigue compliance function </w:t>
      </w:r>
      <w:r>
        <w:t xml:space="preserve">ins </w:t>
      </w:r>
      <w:hyperlink r:id="rId202" w:tooltip="Heavy Vehicle National Law Amendment Act 2015" w:history="1">
        <w:r w:rsidR="00BE6DA0">
          <w:rPr>
            <w:rStyle w:val="charCitHyperlinkAbbrev"/>
          </w:rPr>
          <w:t>A2015-12</w:t>
        </w:r>
      </w:hyperlink>
      <w:r w:rsidR="00BE6DA0">
        <w:t xml:space="preserve"> (Qld)</w:t>
      </w:r>
      <w:r w:rsidR="00A67578">
        <w:t xml:space="preserve"> s </w:t>
      </w:r>
      <w:r>
        <w:t>4</w:t>
      </w:r>
    </w:p>
    <w:p w14:paraId="06B9E073" w14:textId="23F4D862" w:rsidR="00194CFF" w:rsidRDefault="00194CFF" w:rsidP="00194CFF">
      <w:pPr>
        <w:pStyle w:val="AmdtsEntries"/>
      </w:pPr>
      <w:r>
        <w:tab/>
        <w:t xml:space="preserve">def </w:t>
      </w:r>
      <w:r>
        <w:rPr>
          <w:rStyle w:val="charBoldItals"/>
        </w:rPr>
        <w:t>electronic work diary authorised use</w:t>
      </w:r>
      <w:r>
        <w:t xml:space="preserve"> ins </w:t>
      </w:r>
      <w:hyperlink r:id="rId203" w:tooltip="Heavy Vehicle National Law Amendment Act 2015" w:history="1">
        <w:r w:rsidR="00BE6DA0">
          <w:rPr>
            <w:rStyle w:val="charCitHyperlinkAbbrev"/>
          </w:rPr>
          <w:t>A2015-12</w:t>
        </w:r>
      </w:hyperlink>
      <w:r w:rsidR="00BE6DA0">
        <w:t xml:space="preserve"> (Qld)</w:t>
      </w:r>
      <w:r>
        <w:t xml:space="preserve"> s 4</w:t>
      </w:r>
    </w:p>
    <w:p w14:paraId="23E44D02" w14:textId="031DF3CF" w:rsidR="00F2189E" w:rsidRDefault="00F2189E" w:rsidP="00F2189E">
      <w:pPr>
        <w:pStyle w:val="AmdtsEntries"/>
      </w:pPr>
      <w:r>
        <w:tab/>
        <w:t xml:space="preserve">def </w:t>
      </w:r>
      <w:r>
        <w:rPr>
          <w:rStyle w:val="charBoldItals"/>
        </w:rPr>
        <w:t>electronic work diary information</w:t>
      </w:r>
      <w:r>
        <w:t xml:space="preserve"> ins </w:t>
      </w:r>
      <w:hyperlink r:id="rId204" w:tooltip="Heavy Vehicle National Law Amendment Act 2015" w:history="1">
        <w:r w:rsidR="00BE6DA0">
          <w:rPr>
            <w:rStyle w:val="charCitHyperlinkAbbrev"/>
          </w:rPr>
          <w:t>A2015-12</w:t>
        </w:r>
      </w:hyperlink>
      <w:r w:rsidR="00BE6DA0">
        <w:t xml:space="preserve"> (Qld)</w:t>
      </w:r>
      <w:r>
        <w:t xml:space="preserve"> s 4</w:t>
      </w:r>
    </w:p>
    <w:p w14:paraId="086B062B" w14:textId="2F1EF543" w:rsidR="00194CFF" w:rsidRDefault="00194CFF" w:rsidP="0035563D">
      <w:pPr>
        <w:pStyle w:val="AmdtsEntries"/>
      </w:pPr>
      <w:r>
        <w:tab/>
        <w:t xml:space="preserve">def </w:t>
      </w:r>
      <w:r>
        <w:rPr>
          <w:rStyle w:val="charBoldItals"/>
        </w:rPr>
        <w:t xml:space="preserve">electronic work diary label </w:t>
      </w:r>
      <w:r>
        <w:t xml:space="preserve">om </w:t>
      </w:r>
      <w:hyperlink r:id="rId205" w:tooltip="Heavy Vehicle National Law Amendment Act 2015" w:history="1">
        <w:r w:rsidR="00BE6DA0">
          <w:rPr>
            <w:rStyle w:val="charCitHyperlinkAbbrev"/>
          </w:rPr>
          <w:t>A2015-12</w:t>
        </w:r>
      </w:hyperlink>
      <w:r w:rsidR="00BE6DA0">
        <w:t xml:space="preserve"> (Qld)</w:t>
      </w:r>
      <w:r>
        <w:t xml:space="preserve"> s 4</w:t>
      </w:r>
    </w:p>
    <w:p w14:paraId="0CD85B31" w14:textId="51B3D37F" w:rsidR="00F2189E" w:rsidRDefault="00F2189E" w:rsidP="00F2189E">
      <w:pPr>
        <w:pStyle w:val="AmdtsEntries"/>
      </w:pPr>
      <w:r>
        <w:tab/>
        <w:t xml:space="preserve">def </w:t>
      </w:r>
      <w:r>
        <w:rPr>
          <w:rStyle w:val="charBoldItals"/>
        </w:rPr>
        <w:t>electronic work diary protected information</w:t>
      </w:r>
      <w:r>
        <w:t xml:space="preserve"> ins</w:t>
      </w:r>
      <w:r w:rsidR="002427CE">
        <w:br/>
      </w:r>
      <w:hyperlink r:id="rId206" w:tooltip="Heavy Vehicle National Law Amendment Act 2015" w:history="1">
        <w:r w:rsidR="00BE6DA0">
          <w:rPr>
            <w:rStyle w:val="charCitHyperlinkAbbrev"/>
          </w:rPr>
          <w:t>A2015-12</w:t>
        </w:r>
      </w:hyperlink>
      <w:r w:rsidR="00BE6DA0">
        <w:t xml:space="preserve"> (Qld)</w:t>
      </w:r>
      <w:r>
        <w:t xml:space="preserve"> s 4</w:t>
      </w:r>
    </w:p>
    <w:p w14:paraId="632F29C9" w14:textId="7AC59CE7" w:rsidR="00D345FC" w:rsidRDefault="00D345FC" w:rsidP="005E03F7">
      <w:pPr>
        <w:pStyle w:val="AmdtsEntries"/>
      </w:pPr>
      <w:r>
        <w:tab/>
        <w:t xml:space="preserve">def </w:t>
      </w:r>
      <w:r>
        <w:rPr>
          <w:rStyle w:val="charBoldItals"/>
        </w:rPr>
        <w:t>encourage</w:t>
      </w:r>
      <w:r>
        <w:t xml:space="preserve"> ins </w:t>
      </w:r>
      <w:hyperlink r:id="rId207" w:tooltip="Heavy Vehicle National Law and Other Legislation Amendment Act 2016" w:history="1">
        <w:r w:rsidR="00751C8A">
          <w:rPr>
            <w:rStyle w:val="charCitHyperlinkAbbrev"/>
          </w:rPr>
          <w:t>A2016-65</w:t>
        </w:r>
      </w:hyperlink>
      <w:r w:rsidR="00751C8A">
        <w:t xml:space="preserve"> (Qld)</w:t>
      </w:r>
      <w:r>
        <w:t xml:space="preserve"> s 7</w:t>
      </w:r>
    </w:p>
    <w:p w14:paraId="2362ECB2" w14:textId="0A214E18" w:rsidR="007B214D" w:rsidRDefault="007B214D" w:rsidP="005E03F7">
      <w:pPr>
        <w:pStyle w:val="AmdtsEntries"/>
      </w:pPr>
      <w:r>
        <w:tab/>
        <w:t xml:space="preserve">def </w:t>
      </w:r>
      <w:r>
        <w:rPr>
          <w:rStyle w:val="charBoldItals"/>
        </w:rPr>
        <w:t>entity</w:t>
      </w:r>
      <w:r>
        <w:t xml:space="preserve"> am </w:t>
      </w:r>
      <w:hyperlink r:id="rId208" w:tooltip="Heavy Vehicle National Law and Other Legislation Amendment Act 2016" w:history="1">
        <w:r w:rsidR="00751C8A">
          <w:rPr>
            <w:rStyle w:val="charCitHyperlinkAbbrev"/>
          </w:rPr>
          <w:t>A2016-65</w:t>
        </w:r>
      </w:hyperlink>
      <w:r w:rsidR="00751C8A">
        <w:t xml:space="preserve"> (Qld)</w:t>
      </w:r>
      <w:r>
        <w:t xml:space="preserve"> s 7</w:t>
      </w:r>
    </w:p>
    <w:p w14:paraId="251F38FD" w14:textId="3ABDB214" w:rsidR="00C104DC" w:rsidRDefault="00C104DC" w:rsidP="00C104DC">
      <w:pPr>
        <w:pStyle w:val="AmdtsEntries"/>
      </w:pPr>
      <w:r>
        <w:tab/>
        <w:t xml:space="preserve">def </w:t>
      </w:r>
      <w:r>
        <w:rPr>
          <w:rStyle w:val="charBoldItals"/>
        </w:rPr>
        <w:t>extract</w:t>
      </w:r>
      <w:r>
        <w:t xml:space="preserve"> am </w:t>
      </w:r>
      <w:hyperlink r:id="rId209" w:tooltip="Heavy Vehicle National Law Amendment Act 2018" w:history="1">
        <w:r w:rsidR="00C14D0F" w:rsidRPr="005E03F7">
          <w:rPr>
            <w:rStyle w:val="charCitHyperlinkAbbrev"/>
          </w:rPr>
          <w:t>A2018-18</w:t>
        </w:r>
      </w:hyperlink>
      <w:r>
        <w:t xml:space="preserve"> </w:t>
      </w:r>
      <w:r w:rsidR="00C14D0F">
        <w:t xml:space="preserve">(Qld) </w:t>
      </w:r>
      <w:r>
        <w:t>s 6</w:t>
      </w:r>
    </w:p>
    <w:p w14:paraId="39DA10F6" w14:textId="1A658E6C" w:rsidR="00D345FC" w:rsidRDefault="00D345FC" w:rsidP="005E03F7">
      <w:pPr>
        <w:pStyle w:val="AmdtsEntries"/>
      </w:pPr>
      <w:r>
        <w:tab/>
        <w:t xml:space="preserve">def </w:t>
      </w:r>
      <w:r>
        <w:rPr>
          <w:rStyle w:val="charBoldItals"/>
        </w:rPr>
        <w:t>false or misleading</w:t>
      </w:r>
      <w:r>
        <w:t xml:space="preserve"> ins </w:t>
      </w:r>
      <w:hyperlink r:id="rId210" w:tooltip="Heavy Vehicle National Law and Other Legislation Amendment Act 2016" w:history="1">
        <w:r w:rsidR="00751C8A">
          <w:rPr>
            <w:rStyle w:val="charCitHyperlinkAbbrev"/>
          </w:rPr>
          <w:t>A2016-65</w:t>
        </w:r>
      </w:hyperlink>
      <w:r w:rsidR="00751C8A">
        <w:t xml:space="preserve"> (Qld)</w:t>
      </w:r>
      <w:r>
        <w:t xml:space="preserve"> s 7</w:t>
      </w:r>
    </w:p>
    <w:p w14:paraId="7DC9790B" w14:textId="6500E190" w:rsidR="00D60527" w:rsidRDefault="00921587" w:rsidP="0035563D">
      <w:pPr>
        <w:pStyle w:val="AmdtsEntries"/>
      </w:pPr>
      <w:r>
        <w:tab/>
        <w:t>def</w:t>
      </w:r>
      <w:r w:rsidR="00400817">
        <w:rPr>
          <w:spacing w:val="-3"/>
        </w:rPr>
        <w:t xml:space="preserve"> </w:t>
      </w:r>
      <w:r w:rsidR="00400817">
        <w:rPr>
          <w:b/>
          <w:i/>
        </w:rPr>
        <w:t>GCM</w:t>
      </w:r>
      <w:r w:rsidR="00400817">
        <w:rPr>
          <w:b/>
          <w:i/>
          <w:spacing w:val="-4"/>
        </w:rPr>
        <w:t xml:space="preserve"> </w:t>
      </w:r>
      <w:r w:rsidR="00D60527">
        <w:t xml:space="preserve">sub as mod </w:t>
      </w:r>
      <w:hyperlink r:id="rId211" w:tooltip="Heavy Vehicle National Law (ACT) Act 2013" w:history="1">
        <w:r w:rsidR="00D60527" w:rsidRPr="0068043D">
          <w:rPr>
            <w:rStyle w:val="charCitHyperlinkAbbrev"/>
          </w:rPr>
          <w:t>A2013-51</w:t>
        </w:r>
      </w:hyperlink>
      <w:r w:rsidR="00D60527">
        <w:t xml:space="preserve"> mod 1.15</w:t>
      </w:r>
      <w:r w:rsidR="009B709A">
        <w:t xml:space="preserve"> (mod om </w:t>
      </w:r>
      <w:hyperlink r:id="rId212" w:tooltip="Statute Law Amendment Act 2018" w:history="1">
        <w:r w:rsidR="009B709A">
          <w:rPr>
            <w:rStyle w:val="charCitHyperlinkAbbrev"/>
          </w:rPr>
          <w:t>A2018</w:t>
        </w:r>
        <w:r w:rsidR="009B709A">
          <w:rPr>
            <w:rStyle w:val="charCitHyperlinkAbbrev"/>
          </w:rPr>
          <w:noBreakHyphen/>
          <w:t>42</w:t>
        </w:r>
      </w:hyperlink>
      <w:r w:rsidR="009B709A">
        <w:t xml:space="preserve"> amdt 3.61)</w:t>
      </w:r>
    </w:p>
    <w:p w14:paraId="3535865F" w14:textId="66B33D75" w:rsidR="00B71806" w:rsidRDefault="00B71806" w:rsidP="005E03F7">
      <w:pPr>
        <w:pStyle w:val="AmdtsEntriesDefL2"/>
      </w:pPr>
      <w:r w:rsidRPr="00D83090">
        <w:rPr>
          <w:rStyle w:val="charUnderline"/>
          <w:u w:val="none"/>
        </w:rPr>
        <w:tab/>
      </w:r>
      <w:r>
        <w:rPr>
          <w:rStyle w:val="charUnderline"/>
          <w:u w:val="none"/>
        </w:rPr>
        <w:t>am</w:t>
      </w:r>
      <w:r>
        <w:t xml:space="preserve"> </w:t>
      </w:r>
      <w:hyperlink r:id="rId213" w:tooltip="Heavy Vehicle National Law and Other Legislation Amendment Act 2018 (Qld)" w:history="1">
        <w:hyperlink r:id="rId214" w:tooltip="Heavy Vehicle National Law and Other Legislation Amendment Act 2018 (Qld)" w:history="1">
          <w:r w:rsidR="00F7579D">
            <w:rPr>
              <w:rStyle w:val="charCitHyperlinkAbbrev"/>
            </w:rPr>
            <w:t xml:space="preserve">A2018-10 </w:t>
          </w:r>
        </w:hyperlink>
        <w:r w:rsidR="00F7579D" w:rsidRPr="00EE3F30">
          <w:t>(Qld)</w:t>
        </w:r>
        <w:r w:rsidRPr="00F7579D">
          <w:rPr>
            <w:rStyle w:val="charCitHyperlinkAbbrev"/>
          </w:rPr>
          <w:t xml:space="preserve"> </w:t>
        </w:r>
      </w:hyperlink>
      <w:r w:rsidRPr="00D83090">
        <w:t>s 14</w:t>
      </w:r>
    </w:p>
    <w:p w14:paraId="6170A93A" w14:textId="748CDCF2" w:rsidR="00D60527" w:rsidRDefault="00921587" w:rsidP="0035563D">
      <w:pPr>
        <w:pStyle w:val="AmdtsEntries"/>
      </w:pPr>
      <w:r>
        <w:tab/>
        <w:t>def</w:t>
      </w:r>
      <w:r w:rsidR="00400817">
        <w:rPr>
          <w:spacing w:val="-3"/>
        </w:rPr>
        <w:t xml:space="preserve"> </w:t>
      </w:r>
      <w:r w:rsidR="00400817">
        <w:rPr>
          <w:b/>
          <w:i/>
        </w:rPr>
        <w:t>GVM</w:t>
      </w:r>
      <w:r w:rsidR="0035563D">
        <w:rPr>
          <w:b/>
          <w:i/>
        </w:rPr>
        <w:t xml:space="preserve"> </w:t>
      </w:r>
      <w:r w:rsidR="00D60527">
        <w:t xml:space="preserve">sub as mod </w:t>
      </w:r>
      <w:hyperlink r:id="rId215" w:tooltip="Heavy Vehicle National Law (ACT) Act 2013" w:history="1">
        <w:r w:rsidR="00D60527" w:rsidRPr="0068043D">
          <w:rPr>
            <w:rStyle w:val="charCitHyperlinkAbbrev"/>
          </w:rPr>
          <w:t>A2013-51</w:t>
        </w:r>
      </w:hyperlink>
      <w:r w:rsidR="00D60527">
        <w:t xml:space="preserve"> mod 1.16</w:t>
      </w:r>
      <w:r w:rsidR="00932BA6">
        <w:t xml:space="preserve"> (mod om </w:t>
      </w:r>
      <w:hyperlink r:id="rId216"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14:paraId="3A18F12F" w14:textId="5B0516CA" w:rsidR="00B71806" w:rsidRDefault="00B71806" w:rsidP="005E03F7">
      <w:pPr>
        <w:pStyle w:val="AmdtsEntriesDefL2"/>
      </w:pPr>
      <w:r w:rsidRPr="00D83090">
        <w:rPr>
          <w:rStyle w:val="charUnderline"/>
          <w:u w:val="none"/>
        </w:rPr>
        <w:tab/>
      </w:r>
      <w:r>
        <w:rPr>
          <w:rStyle w:val="charUnderline"/>
          <w:u w:val="none"/>
        </w:rPr>
        <w:t>am</w:t>
      </w:r>
      <w:r>
        <w:t xml:space="preserve"> </w:t>
      </w:r>
      <w:hyperlink r:id="rId217" w:tooltip="Heavy Vehicle National Law and Other Legislation Amendment Act 2018 (Qld)" w:history="1">
        <w:r w:rsidR="00F7579D">
          <w:rPr>
            <w:rStyle w:val="charCitHyperlinkAbbrev"/>
          </w:rPr>
          <w:t xml:space="preserve">A2018-10 </w:t>
        </w:r>
      </w:hyperlink>
      <w:r w:rsidR="00F7579D" w:rsidRPr="00EE3F30">
        <w:t>(Qld)</w:t>
      </w:r>
      <w:r w:rsidR="00F7579D">
        <w:t xml:space="preserve"> </w:t>
      </w:r>
      <w:r w:rsidRPr="00D83090">
        <w:t>s 14</w:t>
      </w:r>
    </w:p>
    <w:p w14:paraId="6D3FC76A" w14:textId="6D482C5B" w:rsidR="00EA3A24" w:rsidRDefault="00EA3A24" w:rsidP="00EA3A24">
      <w:pPr>
        <w:pStyle w:val="AmdtsEntries"/>
      </w:pPr>
      <w:r>
        <w:tab/>
        <w:t xml:space="preserve">def </w:t>
      </w:r>
      <w:r>
        <w:rPr>
          <w:rStyle w:val="charBoldItals"/>
        </w:rPr>
        <w:t>identification plate</w:t>
      </w:r>
      <w:r>
        <w:t xml:space="preserve"> </w:t>
      </w:r>
      <w:r w:rsidR="00967DA5">
        <w:t>sub</w:t>
      </w:r>
      <w:r>
        <w:t xml:space="preserve"> </w:t>
      </w:r>
      <w:hyperlink r:id="rId218" w:tooltip="Heavy Vehicle National Law and Other Legislation Amendment Act 2019" w:history="1">
        <w:r w:rsidRPr="00137BAE">
          <w:rPr>
            <w:rStyle w:val="charCitHyperlinkAbbrev"/>
          </w:rPr>
          <w:t>A2019-29</w:t>
        </w:r>
      </w:hyperlink>
      <w:r>
        <w:t xml:space="preserve"> (Qld) s 4</w:t>
      </w:r>
    </w:p>
    <w:p w14:paraId="69E96D1E" w14:textId="04DA8B42" w:rsidR="00D345FC" w:rsidRDefault="00D345FC" w:rsidP="005E03F7">
      <w:pPr>
        <w:pStyle w:val="AmdtsEntries"/>
      </w:pPr>
      <w:r>
        <w:tab/>
        <w:t xml:space="preserve">def </w:t>
      </w:r>
      <w:r>
        <w:rPr>
          <w:rStyle w:val="charBoldItals"/>
        </w:rPr>
        <w:t>indictable offence</w:t>
      </w:r>
      <w:r>
        <w:t xml:space="preserve"> ins </w:t>
      </w:r>
      <w:hyperlink r:id="rId219" w:tooltip="Heavy Vehicle National Law and Other Legislation Amendment Act 2016" w:history="1">
        <w:r w:rsidR="00751C8A">
          <w:rPr>
            <w:rStyle w:val="charCitHyperlinkAbbrev"/>
          </w:rPr>
          <w:t>A2016-65</w:t>
        </w:r>
      </w:hyperlink>
      <w:r w:rsidR="00751C8A">
        <w:t xml:space="preserve"> (Qld)</w:t>
      </w:r>
      <w:r>
        <w:t xml:space="preserve"> s 7</w:t>
      </w:r>
    </w:p>
    <w:p w14:paraId="3B0BF7F5" w14:textId="4F1D218B" w:rsidR="00D345FC" w:rsidRDefault="00D345FC" w:rsidP="005E03F7">
      <w:pPr>
        <w:pStyle w:val="AmdtsEntries"/>
      </w:pPr>
      <w:r>
        <w:tab/>
        <w:t xml:space="preserve">def </w:t>
      </w:r>
      <w:r>
        <w:rPr>
          <w:rStyle w:val="charBoldItals"/>
        </w:rPr>
        <w:t>information</w:t>
      </w:r>
      <w:r>
        <w:t xml:space="preserve"> ins </w:t>
      </w:r>
      <w:hyperlink r:id="rId220" w:tooltip="Heavy Vehicle National Law and Other Legislation Amendment Act 2016" w:history="1">
        <w:r w:rsidR="00751C8A">
          <w:rPr>
            <w:rStyle w:val="charCitHyperlinkAbbrev"/>
          </w:rPr>
          <w:t>A2016-65</w:t>
        </w:r>
      </w:hyperlink>
      <w:r w:rsidR="00751C8A">
        <w:t xml:space="preserve"> (Qld)</w:t>
      </w:r>
      <w:r>
        <w:t xml:space="preserve"> s 7</w:t>
      </w:r>
    </w:p>
    <w:p w14:paraId="55344699" w14:textId="2B9C9EAC" w:rsidR="00757B37" w:rsidRDefault="00757B37" w:rsidP="005E03F7">
      <w:pPr>
        <w:pStyle w:val="AmdtsEntriesDefL2"/>
      </w:pPr>
      <w:r>
        <w:tab/>
        <w:t xml:space="preserve">am </w:t>
      </w:r>
      <w:hyperlink r:id="rId221" w:tooltip="Heavy Vehicle National Law Amendment Act 2018" w:history="1">
        <w:r w:rsidR="00F7579D" w:rsidRPr="00F7579D">
          <w:rPr>
            <w:rStyle w:val="charCitHyperlinkAbbrev"/>
          </w:rPr>
          <w:t>A2018-18</w:t>
        </w:r>
      </w:hyperlink>
      <w:r w:rsidR="00C14D0F" w:rsidRPr="00F7579D">
        <w:rPr>
          <w:rStyle w:val="charCitHyperlinkAbbrev"/>
          <w:color w:val="auto"/>
        </w:rPr>
        <w:t xml:space="preserve"> (Qld)</w:t>
      </w:r>
      <w:r w:rsidRPr="00757B37">
        <w:t xml:space="preserve"> s 6</w:t>
      </w:r>
    </w:p>
    <w:p w14:paraId="51853831" w14:textId="328009C5" w:rsidR="00D83090" w:rsidRDefault="00D83090" w:rsidP="005E03F7">
      <w:pPr>
        <w:pStyle w:val="AmdtsEntries"/>
      </w:pPr>
      <w:r>
        <w:lastRenderedPageBreak/>
        <w:tab/>
        <w:t xml:space="preserve">def </w:t>
      </w:r>
      <w:r>
        <w:rPr>
          <w:b/>
          <w:i/>
        </w:rPr>
        <w:t>insurer</w:t>
      </w:r>
      <w:r>
        <w:t xml:space="preserve"> om </w:t>
      </w:r>
      <w:hyperlink r:id="rId222" w:tooltip="Heavy Vehicle National Law and Other Legislation Amendment Act 2018 (Qld)" w:history="1">
        <w:r w:rsidR="00916EFA" w:rsidRPr="005E03F7">
          <w:rPr>
            <w:rStyle w:val="Hyperlink"/>
          </w:rPr>
          <w:t>A2018-10 (Qld)</w:t>
        </w:r>
        <w:r w:rsidRPr="005E03F7">
          <w:rPr>
            <w:rStyle w:val="Hyperlink"/>
          </w:rPr>
          <w:t xml:space="preserve"> </w:t>
        </w:r>
      </w:hyperlink>
      <w:r w:rsidRPr="00D83090">
        <w:t>s 14</w:t>
      </w:r>
    </w:p>
    <w:p w14:paraId="7EC99D1E" w14:textId="7503A9DF" w:rsidR="004E3500" w:rsidRPr="004E3500" w:rsidRDefault="004E3500" w:rsidP="005E03F7">
      <w:pPr>
        <w:pStyle w:val="AmdtsEntries"/>
      </w:pPr>
      <w:r>
        <w:tab/>
        <w:t>def</w:t>
      </w:r>
      <w:r w:rsidRPr="004E3500">
        <w:rPr>
          <w:rStyle w:val="charBoldItals"/>
        </w:rPr>
        <w:t xml:space="preserve"> intelligent access agreement</w:t>
      </w:r>
      <w:r>
        <w:t xml:space="preserve"> om </w:t>
      </w:r>
      <w:hyperlink r:id="rId223" w:tooltip="Heavy Vehicle National Law and Other Legislation Amendment Act 2016" w:history="1">
        <w:r w:rsidR="00E3724B" w:rsidRPr="005E03F7">
          <w:rPr>
            <w:rStyle w:val="Hyperlink"/>
          </w:rPr>
          <w:t>A2016-65 (Qld)</w:t>
        </w:r>
      </w:hyperlink>
      <w:r>
        <w:rPr>
          <w:rStyle w:val="charCitHyperlinkAbbrev"/>
        </w:rPr>
        <w:t xml:space="preserve"> </w:t>
      </w:r>
      <w:r>
        <w:t>s 139</w:t>
      </w:r>
    </w:p>
    <w:p w14:paraId="179D88A1" w14:textId="2898D204" w:rsidR="001A391E" w:rsidRPr="004E3500" w:rsidRDefault="001A391E" w:rsidP="005E03F7">
      <w:pPr>
        <w:pStyle w:val="AmdtsEntries"/>
      </w:pPr>
      <w:r>
        <w:tab/>
        <w:t>def</w:t>
      </w:r>
      <w:r w:rsidRPr="004E3500">
        <w:rPr>
          <w:rStyle w:val="charBoldItals"/>
        </w:rPr>
        <w:t xml:space="preserve"> intelligent access </w:t>
      </w:r>
      <w:r>
        <w:rPr>
          <w:rStyle w:val="charBoldItals"/>
        </w:rPr>
        <w:t>audit</w:t>
      </w:r>
      <w:r>
        <w:t xml:space="preserve"> om </w:t>
      </w:r>
      <w:hyperlink r:id="rId224" w:tooltip="Heavy Vehicle National Law and Other Legislation Amendment Act 2016" w:history="1">
        <w:r w:rsidR="00E3724B" w:rsidRPr="005E03F7">
          <w:rPr>
            <w:rStyle w:val="Hyperlink"/>
          </w:rPr>
          <w:t>A2016-65 (Qld)</w:t>
        </w:r>
      </w:hyperlink>
      <w:r>
        <w:rPr>
          <w:rStyle w:val="charCitHyperlinkAbbrev"/>
        </w:rPr>
        <w:t xml:space="preserve"> </w:t>
      </w:r>
      <w:r>
        <w:t>s 139</w:t>
      </w:r>
    </w:p>
    <w:p w14:paraId="118F3E5D" w14:textId="09BD9CA1" w:rsidR="007D7C28" w:rsidRPr="004E3500" w:rsidRDefault="007D7C28" w:rsidP="005E03F7">
      <w:pPr>
        <w:pStyle w:val="AmdtsEntries"/>
      </w:pPr>
      <w:r>
        <w:tab/>
        <w:t>def</w:t>
      </w:r>
      <w:r w:rsidRPr="004E3500">
        <w:rPr>
          <w:rStyle w:val="charBoldItals"/>
        </w:rPr>
        <w:t xml:space="preserve"> intelligent access </w:t>
      </w:r>
      <w:r>
        <w:rPr>
          <w:rStyle w:val="charBoldItals"/>
        </w:rPr>
        <w:t>auditor</w:t>
      </w:r>
      <w:r>
        <w:t xml:space="preserve"> om </w:t>
      </w:r>
      <w:hyperlink r:id="rId225" w:tooltip="Heavy Vehicle National Law and Other Legislation Amendment Act 2016" w:history="1">
        <w:r w:rsidR="00E3724B" w:rsidRPr="005E03F7">
          <w:rPr>
            <w:rStyle w:val="Hyperlink"/>
          </w:rPr>
          <w:t>A2016-65 (Qld)</w:t>
        </w:r>
      </w:hyperlink>
      <w:r>
        <w:rPr>
          <w:rStyle w:val="charCitHyperlinkAbbrev"/>
        </w:rPr>
        <w:t xml:space="preserve"> </w:t>
      </w:r>
      <w:r>
        <w:t>s 139</w:t>
      </w:r>
    </w:p>
    <w:p w14:paraId="3F584044" w14:textId="4A2E704E" w:rsidR="007F2252" w:rsidRPr="004E3500" w:rsidRDefault="007F2252" w:rsidP="005E03F7">
      <w:pPr>
        <w:pStyle w:val="AmdtsEntries"/>
      </w:pPr>
      <w:r>
        <w:tab/>
        <w:t>def</w:t>
      </w:r>
      <w:r w:rsidRPr="004E3500">
        <w:rPr>
          <w:rStyle w:val="charBoldItals"/>
        </w:rPr>
        <w:t xml:space="preserve"> intelligent access </w:t>
      </w:r>
      <w:r>
        <w:rPr>
          <w:rStyle w:val="charBoldItals"/>
        </w:rPr>
        <w:t>conditions</w:t>
      </w:r>
      <w:r>
        <w:t xml:space="preserve"> om </w:t>
      </w:r>
      <w:hyperlink r:id="rId226" w:tooltip="Heavy Vehicle National Law and Other Legislation Amendment Act 2016" w:history="1">
        <w:r w:rsidR="00E3724B" w:rsidRPr="005E03F7">
          <w:rPr>
            <w:rStyle w:val="Hyperlink"/>
          </w:rPr>
          <w:t>A2016-65 (Qld)</w:t>
        </w:r>
      </w:hyperlink>
      <w:r>
        <w:rPr>
          <w:rStyle w:val="charCitHyperlinkAbbrev"/>
        </w:rPr>
        <w:t xml:space="preserve"> </w:t>
      </w:r>
      <w:r>
        <w:t>s 139</w:t>
      </w:r>
    </w:p>
    <w:p w14:paraId="37A6394F" w14:textId="7297336E" w:rsidR="00FE4A99" w:rsidRPr="004E3500" w:rsidRDefault="00FE4A99" w:rsidP="005E03F7">
      <w:pPr>
        <w:pStyle w:val="AmdtsEntries"/>
      </w:pPr>
      <w:r>
        <w:tab/>
        <w:t>def</w:t>
      </w:r>
      <w:r w:rsidRPr="004E3500">
        <w:rPr>
          <w:rStyle w:val="charBoldItals"/>
        </w:rPr>
        <w:t xml:space="preserve"> intelligent access </w:t>
      </w:r>
      <w:r>
        <w:rPr>
          <w:rStyle w:val="charBoldItals"/>
        </w:rPr>
        <w:t>information</w:t>
      </w:r>
      <w:r>
        <w:t xml:space="preserve"> om </w:t>
      </w:r>
      <w:hyperlink r:id="rId227" w:tooltip="Heavy Vehicle National Law and Other Legislation Amendment Act 2016" w:history="1">
        <w:r w:rsidR="00E3724B" w:rsidRPr="005E03F7">
          <w:rPr>
            <w:rStyle w:val="Hyperlink"/>
          </w:rPr>
          <w:t>A2016-65 (Qld)</w:t>
        </w:r>
      </w:hyperlink>
      <w:r>
        <w:rPr>
          <w:rStyle w:val="charCitHyperlinkAbbrev"/>
        </w:rPr>
        <w:t xml:space="preserve"> </w:t>
      </w:r>
      <w:r>
        <w:t>s 139</w:t>
      </w:r>
    </w:p>
    <w:p w14:paraId="7EF165E9" w14:textId="2D9CEDA9" w:rsidR="004957FF" w:rsidRPr="004E3500" w:rsidRDefault="004957FF" w:rsidP="005E03F7">
      <w:pPr>
        <w:pStyle w:val="AmdtsEntries"/>
      </w:pPr>
      <w:r>
        <w:tab/>
        <w:t>def</w:t>
      </w:r>
      <w:r w:rsidRPr="004E3500">
        <w:rPr>
          <w:rStyle w:val="charBoldItals"/>
        </w:rPr>
        <w:t xml:space="preserve"> intelligent access </w:t>
      </w:r>
      <w:r>
        <w:rPr>
          <w:rStyle w:val="charBoldItals"/>
        </w:rPr>
        <w:t xml:space="preserve">program </w:t>
      </w:r>
      <w:r w:rsidRPr="004E3500">
        <w:rPr>
          <w:rStyle w:val="charBoldItals"/>
        </w:rPr>
        <w:t>agreement</w:t>
      </w:r>
      <w:r>
        <w:t xml:space="preserve"> ins </w:t>
      </w:r>
      <w:hyperlink r:id="rId228" w:tooltip="Heavy Vehicle National Law and Other Legislation Amendment Act 2016" w:history="1">
        <w:r w:rsidR="00E3724B" w:rsidRPr="005E03F7">
          <w:rPr>
            <w:rStyle w:val="Hyperlink"/>
          </w:rPr>
          <w:t>A2016-65 (Qld)</w:t>
        </w:r>
      </w:hyperlink>
      <w:r>
        <w:rPr>
          <w:rStyle w:val="charCitHyperlinkAbbrev"/>
        </w:rPr>
        <w:t xml:space="preserve"> </w:t>
      </w:r>
      <w:r>
        <w:t>s 139</w:t>
      </w:r>
    </w:p>
    <w:p w14:paraId="0DDF9029" w14:textId="7856390B" w:rsidR="004957FF" w:rsidRPr="004E3500" w:rsidRDefault="004957FF" w:rsidP="005E03F7">
      <w:pPr>
        <w:pStyle w:val="AmdtsEntries"/>
      </w:pPr>
      <w:r>
        <w:tab/>
        <w:t>def</w:t>
      </w:r>
      <w:r w:rsidRPr="004E3500">
        <w:rPr>
          <w:rStyle w:val="charBoldItals"/>
        </w:rPr>
        <w:t xml:space="preserve"> intelligent access </w:t>
      </w:r>
      <w:r>
        <w:rPr>
          <w:rStyle w:val="charBoldItals"/>
        </w:rPr>
        <w:t>program audit</w:t>
      </w:r>
      <w:r>
        <w:t xml:space="preserve"> ins </w:t>
      </w:r>
      <w:hyperlink r:id="rId229" w:tooltip="Heavy Vehicle National Law and Other Legislation Amendment Act 2016" w:history="1">
        <w:r w:rsidR="00E3724B" w:rsidRPr="005E03F7">
          <w:rPr>
            <w:rStyle w:val="Hyperlink"/>
          </w:rPr>
          <w:t>A2016-65 (Qld)</w:t>
        </w:r>
      </w:hyperlink>
      <w:r>
        <w:rPr>
          <w:rStyle w:val="charCitHyperlinkAbbrev"/>
        </w:rPr>
        <w:t xml:space="preserve"> </w:t>
      </w:r>
      <w:r>
        <w:t>s 139</w:t>
      </w:r>
    </w:p>
    <w:p w14:paraId="54AA39C1" w14:textId="1ED7543C" w:rsidR="004957FF" w:rsidRPr="004E3500" w:rsidRDefault="004957FF" w:rsidP="005E03F7">
      <w:pPr>
        <w:pStyle w:val="AmdtsEntries"/>
      </w:pPr>
      <w:r>
        <w:tab/>
        <w:t>def</w:t>
      </w:r>
      <w:r w:rsidRPr="004E3500">
        <w:rPr>
          <w:rStyle w:val="charBoldItals"/>
        </w:rPr>
        <w:t xml:space="preserve"> intelligent access </w:t>
      </w:r>
      <w:r>
        <w:rPr>
          <w:rStyle w:val="charBoldItals"/>
        </w:rPr>
        <w:t>program auditor</w:t>
      </w:r>
      <w:r>
        <w:t xml:space="preserve"> ins </w:t>
      </w:r>
      <w:hyperlink r:id="rId230" w:tooltip="Heavy Vehicle National Law and Other Legislation Amendment Act 2016" w:history="1">
        <w:r w:rsidR="00E3724B" w:rsidRPr="005E03F7">
          <w:rPr>
            <w:rStyle w:val="Hyperlink"/>
          </w:rPr>
          <w:t>A2016-65 (Qld)</w:t>
        </w:r>
      </w:hyperlink>
      <w:r>
        <w:rPr>
          <w:rStyle w:val="charCitHyperlinkAbbrev"/>
        </w:rPr>
        <w:t xml:space="preserve"> </w:t>
      </w:r>
      <w:r>
        <w:t>s 139</w:t>
      </w:r>
    </w:p>
    <w:p w14:paraId="2176782F" w14:textId="45C73160" w:rsidR="004957FF" w:rsidRPr="004E3500" w:rsidRDefault="004957FF" w:rsidP="005E03F7">
      <w:pPr>
        <w:pStyle w:val="AmdtsEntries"/>
      </w:pPr>
      <w:r>
        <w:tab/>
        <w:t>def</w:t>
      </w:r>
      <w:r w:rsidRPr="004E3500">
        <w:rPr>
          <w:rStyle w:val="charBoldItals"/>
        </w:rPr>
        <w:t xml:space="preserve"> intelligent access </w:t>
      </w:r>
      <w:r>
        <w:rPr>
          <w:rStyle w:val="charBoldItals"/>
        </w:rPr>
        <w:t>program conditions</w:t>
      </w:r>
      <w:r>
        <w:t xml:space="preserve"> ins </w:t>
      </w:r>
      <w:hyperlink r:id="rId231" w:tooltip="Heavy Vehicle National Law and Other Legislation Amendment Act 2016" w:history="1">
        <w:r w:rsidR="00E3724B" w:rsidRPr="005E03F7">
          <w:rPr>
            <w:rStyle w:val="Hyperlink"/>
          </w:rPr>
          <w:t>A2016-65 (Qld)</w:t>
        </w:r>
      </w:hyperlink>
      <w:r>
        <w:rPr>
          <w:rStyle w:val="charCitHyperlinkAbbrev"/>
        </w:rPr>
        <w:t xml:space="preserve"> </w:t>
      </w:r>
      <w:r>
        <w:t>s 139</w:t>
      </w:r>
    </w:p>
    <w:p w14:paraId="58ED5919" w14:textId="05BE16D5" w:rsidR="004957FF" w:rsidRPr="004E3500" w:rsidRDefault="004957FF" w:rsidP="005E03F7">
      <w:pPr>
        <w:pStyle w:val="AmdtsEntries"/>
      </w:pPr>
      <w:r>
        <w:tab/>
        <w:t>def</w:t>
      </w:r>
      <w:r w:rsidRPr="004E3500">
        <w:rPr>
          <w:rStyle w:val="charBoldItals"/>
        </w:rPr>
        <w:t xml:space="preserve"> intelligent access </w:t>
      </w:r>
      <w:r>
        <w:rPr>
          <w:rStyle w:val="charBoldItals"/>
        </w:rPr>
        <w:t>program information</w:t>
      </w:r>
      <w:r>
        <w:t xml:space="preserve"> ins </w:t>
      </w:r>
      <w:hyperlink r:id="rId232" w:tooltip="Heavy Vehicle National Law and Other Legislation Amendment Act 2016" w:history="1">
        <w:r w:rsidR="00E3724B" w:rsidRPr="005E03F7">
          <w:rPr>
            <w:rStyle w:val="Hyperlink"/>
          </w:rPr>
          <w:t>A2016-65 (Qld)</w:t>
        </w:r>
      </w:hyperlink>
      <w:r>
        <w:rPr>
          <w:rStyle w:val="charCitHyperlinkAbbrev"/>
        </w:rPr>
        <w:t xml:space="preserve"> </w:t>
      </w:r>
      <w:r>
        <w:t>s 139</w:t>
      </w:r>
    </w:p>
    <w:p w14:paraId="247FEC80" w14:textId="687E8C85" w:rsidR="004957FF" w:rsidRPr="004E3500" w:rsidRDefault="004957FF" w:rsidP="005E03F7">
      <w:pPr>
        <w:pStyle w:val="AmdtsEntries"/>
      </w:pPr>
      <w:r>
        <w:tab/>
        <w:t>def</w:t>
      </w:r>
      <w:r w:rsidRPr="004E3500">
        <w:rPr>
          <w:rStyle w:val="charBoldItals"/>
        </w:rPr>
        <w:t xml:space="preserve"> intelligent access </w:t>
      </w:r>
      <w:r>
        <w:rPr>
          <w:rStyle w:val="charBoldItals"/>
        </w:rPr>
        <w:t>program reporting entity</w:t>
      </w:r>
      <w:r>
        <w:t xml:space="preserve"> ins </w:t>
      </w:r>
      <w:r w:rsidR="002427CE">
        <w:br/>
      </w:r>
      <w:hyperlink r:id="rId233" w:tooltip="Heavy Vehicle National Law and Other Legislation Amendment Act 2016" w:history="1">
        <w:r w:rsidR="00E3724B" w:rsidRPr="005E03F7">
          <w:rPr>
            <w:rStyle w:val="Hyperlink"/>
          </w:rPr>
          <w:t>A2016-65 (Qld)</w:t>
        </w:r>
      </w:hyperlink>
      <w:r>
        <w:rPr>
          <w:rStyle w:val="charCitHyperlinkAbbrev"/>
        </w:rPr>
        <w:t xml:space="preserve"> </w:t>
      </w:r>
      <w:r>
        <w:t>s 139</w:t>
      </w:r>
    </w:p>
    <w:p w14:paraId="5AA0AADD" w14:textId="59E1AB6C" w:rsidR="004957FF" w:rsidRPr="004E3500" w:rsidRDefault="004957FF" w:rsidP="005E03F7">
      <w:pPr>
        <w:pStyle w:val="AmdtsEntries"/>
      </w:pPr>
      <w:r>
        <w:tab/>
        <w:t>def</w:t>
      </w:r>
      <w:r w:rsidRPr="004E3500">
        <w:rPr>
          <w:rStyle w:val="charBoldItals"/>
        </w:rPr>
        <w:t xml:space="preserve"> intelligent access </w:t>
      </w:r>
      <w:r>
        <w:rPr>
          <w:rStyle w:val="charBoldItals"/>
        </w:rPr>
        <w:t>program service provider</w:t>
      </w:r>
      <w:r>
        <w:t xml:space="preserve"> ins </w:t>
      </w:r>
      <w:r w:rsidR="002427CE">
        <w:br/>
      </w:r>
      <w:hyperlink r:id="rId234" w:tooltip="Heavy Vehicle National Law and Other Legislation Amendment Act 2016" w:history="1">
        <w:r w:rsidR="00E3724B" w:rsidRPr="005E03F7">
          <w:rPr>
            <w:rStyle w:val="Hyperlink"/>
          </w:rPr>
          <w:t>A2016-65 (Qld)</w:t>
        </w:r>
      </w:hyperlink>
      <w:r>
        <w:rPr>
          <w:rStyle w:val="charCitHyperlinkAbbrev"/>
        </w:rPr>
        <w:t xml:space="preserve"> </w:t>
      </w:r>
      <w:r>
        <w:t>s 139</w:t>
      </w:r>
    </w:p>
    <w:p w14:paraId="60C7BB3F" w14:textId="417A37A9" w:rsidR="004957FF" w:rsidRPr="004E3500" w:rsidRDefault="004957FF" w:rsidP="005E03F7">
      <w:pPr>
        <w:pStyle w:val="AmdtsEntries"/>
      </w:pPr>
      <w:r>
        <w:tab/>
        <w:t>def</w:t>
      </w:r>
      <w:r w:rsidRPr="004E3500">
        <w:rPr>
          <w:rStyle w:val="charBoldItals"/>
        </w:rPr>
        <w:t xml:space="preserve"> intelligent access </w:t>
      </w:r>
      <w:r>
        <w:rPr>
          <w:rStyle w:val="charBoldItals"/>
        </w:rPr>
        <w:t>program service providers</w:t>
      </w:r>
      <w:r>
        <w:t xml:space="preserve"> ins </w:t>
      </w:r>
      <w:hyperlink r:id="rId235" w:tooltip="Heavy Vehicle National Law and Other Legislation Amendment Act 2016" w:history="1">
        <w:r w:rsidR="00E3724B" w:rsidRPr="005E03F7">
          <w:rPr>
            <w:rStyle w:val="Hyperlink"/>
          </w:rPr>
          <w:t>A2016-65 (Qld)</w:t>
        </w:r>
      </w:hyperlink>
      <w:r>
        <w:rPr>
          <w:rStyle w:val="charCitHyperlinkAbbrev"/>
        </w:rPr>
        <w:t xml:space="preserve"> </w:t>
      </w:r>
      <w:r>
        <w:t>s 139</w:t>
      </w:r>
    </w:p>
    <w:p w14:paraId="69674D5B" w14:textId="08B617AE" w:rsidR="004957FF" w:rsidRPr="004E3500" w:rsidRDefault="004957FF" w:rsidP="005E03F7">
      <w:pPr>
        <w:pStyle w:val="AmdtsEntries"/>
      </w:pPr>
      <w:r>
        <w:tab/>
        <w:t>def</w:t>
      </w:r>
      <w:r w:rsidRPr="004E3500">
        <w:rPr>
          <w:rStyle w:val="charBoldItals"/>
        </w:rPr>
        <w:t xml:space="preserve"> intelligent access </w:t>
      </w:r>
      <w:r>
        <w:rPr>
          <w:rStyle w:val="charBoldItals"/>
        </w:rPr>
        <w:t>program vehicle</w:t>
      </w:r>
      <w:r>
        <w:t xml:space="preserve"> ins </w:t>
      </w:r>
      <w:hyperlink r:id="rId236" w:tooltip="Heavy Vehicle National Law and Other Legislation Amendment Act 2016" w:history="1">
        <w:r w:rsidR="00E3724B" w:rsidRPr="005E03F7">
          <w:rPr>
            <w:rStyle w:val="Hyperlink"/>
          </w:rPr>
          <w:t>A2016-65 (Qld)</w:t>
        </w:r>
      </w:hyperlink>
      <w:r>
        <w:rPr>
          <w:rStyle w:val="charCitHyperlinkAbbrev"/>
        </w:rPr>
        <w:t xml:space="preserve"> </w:t>
      </w:r>
      <w:r>
        <w:t>s 139</w:t>
      </w:r>
    </w:p>
    <w:p w14:paraId="3B0F845C" w14:textId="4CB7140D" w:rsidR="009278BF" w:rsidRPr="004E3500" w:rsidRDefault="009278BF" w:rsidP="005E03F7">
      <w:pPr>
        <w:pStyle w:val="AmdtsEntries"/>
      </w:pPr>
      <w:r>
        <w:tab/>
        <w:t>def</w:t>
      </w:r>
      <w:r w:rsidRPr="004E3500">
        <w:rPr>
          <w:rStyle w:val="charBoldItals"/>
        </w:rPr>
        <w:t xml:space="preserve"> intelligent access </w:t>
      </w:r>
      <w:r>
        <w:rPr>
          <w:rStyle w:val="charBoldItals"/>
        </w:rPr>
        <w:t>reporting entity</w:t>
      </w:r>
      <w:r>
        <w:t xml:space="preserve"> om </w:t>
      </w:r>
      <w:hyperlink r:id="rId237" w:tooltip="Heavy Vehicle National Law and Other Legislation Amendment Act 2016" w:history="1">
        <w:r w:rsidR="00E3724B" w:rsidRPr="005E03F7">
          <w:rPr>
            <w:rStyle w:val="Hyperlink"/>
          </w:rPr>
          <w:t>A2016-65 (Qld)</w:t>
        </w:r>
      </w:hyperlink>
      <w:r>
        <w:rPr>
          <w:rStyle w:val="charCitHyperlinkAbbrev"/>
        </w:rPr>
        <w:t xml:space="preserve"> </w:t>
      </w:r>
      <w:r>
        <w:t>s 139</w:t>
      </w:r>
    </w:p>
    <w:p w14:paraId="5D559144" w14:textId="26890626" w:rsidR="006875C3" w:rsidRPr="004E3500" w:rsidRDefault="006875C3" w:rsidP="005E03F7">
      <w:pPr>
        <w:pStyle w:val="AmdtsEntries"/>
      </w:pPr>
      <w:r>
        <w:tab/>
        <w:t>def</w:t>
      </w:r>
      <w:r w:rsidRPr="004E3500">
        <w:rPr>
          <w:rStyle w:val="charBoldItals"/>
        </w:rPr>
        <w:t xml:space="preserve"> intelligent access </w:t>
      </w:r>
      <w:r>
        <w:rPr>
          <w:rStyle w:val="charBoldItals"/>
        </w:rPr>
        <w:t>service provider</w:t>
      </w:r>
      <w:r>
        <w:t xml:space="preserve"> om </w:t>
      </w:r>
      <w:hyperlink r:id="rId238" w:tooltip="Heavy Vehicle National Law and Other Legislation Amendment Act 2016" w:history="1">
        <w:r w:rsidR="00E3724B" w:rsidRPr="005E03F7">
          <w:rPr>
            <w:rStyle w:val="Hyperlink"/>
          </w:rPr>
          <w:t>A2016-65 (Qld)</w:t>
        </w:r>
      </w:hyperlink>
      <w:r>
        <w:rPr>
          <w:rStyle w:val="charCitHyperlinkAbbrev"/>
        </w:rPr>
        <w:t xml:space="preserve"> </w:t>
      </w:r>
      <w:r>
        <w:t>s 139</w:t>
      </w:r>
    </w:p>
    <w:p w14:paraId="36B2C15C" w14:textId="71BDA7F5" w:rsidR="00215CCC" w:rsidRPr="004E3500" w:rsidRDefault="00215CCC" w:rsidP="005E03F7">
      <w:pPr>
        <w:pStyle w:val="AmdtsEntries"/>
      </w:pPr>
      <w:r>
        <w:tab/>
        <w:t>def</w:t>
      </w:r>
      <w:r w:rsidRPr="004E3500">
        <w:rPr>
          <w:rStyle w:val="charBoldItals"/>
        </w:rPr>
        <w:t xml:space="preserve"> intelligent access </w:t>
      </w:r>
      <w:r>
        <w:rPr>
          <w:rStyle w:val="charBoldItals"/>
        </w:rPr>
        <w:t>service providers</w:t>
      </w:r>
      <w:r>
        <w:t xml:space="preserve"> om </w:t>
      </w:r>
      <w:hyperlink r:id="rId239" w:tooltip="Heavy Vehicle National Law and Other Legislation Amendment Act 2016" w:history="1">
        <w:r w:rsidR="00E3724B" w:rsidRPr="005E03F7">
          <w:rPr>
            <w:rStyle w:val="Hyperlink"/>
          </w:rPr>
          <w:t>A2016-65 (Qld)</w:t>
        </w:r>
      </w:hyperlink>
      <w:r>
        <w:rPr>
          <w:rStyle w:val="charCitHyperlinkAbbrev"/>
        </w:rPr>
        <w:t xml:space="preserve"> </w:t>
      </w:r>
      <w:r>
        <w:t>s 139</w:t>
      </w:r>
    </w:p>
    <w:p w14:paraId="02B0B03B" w14:textId="13E15F23" w:rsidR="00DD1556" w:rsidRPr="004E3500" w:rsidRDefault="00DD1556" w:rsidP="005E03F7">
      <w:pPr>
        <w:pStyle w:val="AmdtsEntries"/>
      </w:pPr>
      <w:r>
        <w:tab/>
        <w:t>def</w:t>
      </w:r>
      <w:r w:rsidRPr="004E3500">
        <w:rPr>
          <w:rStyle w:val="charBoldItals"/>
        </w:rPr>
        <w:t xml:space="preserve"> intelligent access </w:t>
      </w:r>
      <w:r>
        <w:rPr>
          <w:rStyle w:val="charBoldItals"/>
        </w:rPr>
        <w:t>vehicle</w:t>
      </w:r>
      <w:r>
        <w:t xml:space="preserve"> om </w:t>
      </w:r>
      <w:hyperlink r:id="rId240" w:tooltip="Heavy Vehicle National Law and Other Legislation Amendment Act 2016" w:history="1">
        <w:r w:rsidR="00E3724B" w:rsidRPr="005E03F7">
          <w:rPr>
            <w:rStyle w:val="Hyperlink"/>
          </w:rPr>
          <w:t>A2016-65 (Qld)</w:t>
        </w:r>
      </w:hyperlink>
      <w:r>
        <w:rPr>
          <w:rStyle w:val="charCitHyperlinkAbbrev"/>
        </w:rPr>
        <w:t xml:space="preserve"> </w:t>
      </w:r>
      <w:r>
        <w:t>s 139</w:t>
      </w:r>
    </w:p>
    <w:p w14:paraId="4F6577B0" w14:textId="480B8261" w:rsidR="00C104DC" w:rsidRDefault="00C104DC" w:rsidP="005E03F7">
      <w:pPr>
        <w:pStyle w:val="AmdtsEntries"/>
      </w:pPr>
      <w:r>
        <w:tab/>
        <w:t xml:space="preserve">def </w:t>
      </w:r>
      <w:r>
        <w:rPr>
          <w:rStyle w:val="charBoldItals"/>
        </w:rPr>
        <w:t>journey documentation</w:t>
      </w:r>
      <w:r>
        <w:t xml:space="preserve"> am </w:t>
      </w:r>
      <w:hyperlink r:id="rId241" w:tooltip="Heavy Vehicle National Law Amendment Act 2018" w:history="1">
        <w:r w:rsidR="00C14D0F" w:rsidRPr="005E03F7">
          <w:rPr>
            <w:rStyle w:val="Hyperlink"/>
          </w:rPr>
          <w:t>A2018-18 (Qld)</w:t>
        </w:r>
      </w:hyperlink>
      <w:r>
        <w:t xml:space="preserve"> s 6</w:t>
      </w:r>
    </w:p>
    <w:p w14:paraId="02AD73E2" w14:textId="7C9593B5" w:rsidR="0055416F" w:rsidRDefault="0055416F" w:rsidP="005E03F7">
      <w:pPr>
        <w:pStyle w:val="AmdtsEntries"/>
      </w:pPr>
      <w:r>
        <w:tab/>
        <w:t xml:space="preserve">def </w:t>
      </w:r>
      <w:r>
        <w:rPr>
          <w:rStyle w:val="charBoldItals"/>
        </w:rPr>
        <w:t>loading manager</w:t>
      </w:r>
      <w:r w:rsidR="0067105C">
        <w:t xml:space="preserve"> sub</w:t>
      </w:r>
      <w:r>
        <w:t xml:space="preserve"> </w:t>
      </w:r>
      <w:hyperlink r:id="rId242" w:tooltip="Heavy Vehicle National Law and Other Legislation Amendment Act 2016" w:history="1">
        <w:r w:rsidR="00E3724B" w:rsidRPr="005E03F7">
          <w:rPr>
            <w:rStyle w:val="Hyperlink"/>
          </w:rPr>
          <w:t>A2016-65 (Qld)</w:t>
        </w:r>
      </w:hyperlink>
      <w:r>
        <w:t xml:space="preserve"> s 7</w:t>
      </w:r>
    </w:p>
    <w:p w14:paraId="53436085" w14:textId="11508A1B" w:rsidR="00C0794E" w:rsidRPr="00C0794E" w:rsidRDefault="00C0794E" w:rsidP="00DE2868">
      <w:pPr>
        <w:pStyle w:val="AmdtsEntries"/>
      </w:pPr>
      <w:r>
        <w:tab/>
        <w:t xml:space="preserve">def </w:t>
      </w:r>
      <w:r>
        <w:rPr>
          <w:rStyle w:val="charBoldItals"/>
        </w:rPr>
        <w:t xml:space="preserve">maintenance management accreditation </w:t>
      </w:r>
      <w:r>
        <w:t xml:space="preserve">am </w:t>
      </w:r>
      <w:hyperlink r:id="rId243" w:tooltip="Heavy Vehicle National Law Amendment Act 2015" w:history="1">
        <w:r w:rsidR="00BE6DA0">
          <w:rPr>
            <w:rStyle w:val="charCitHyperlinkAbbrev"/>
          </w:rPr>
          <w:t>A2015-12</w:t>
        </w:r>
      </w:hyperlink>
      <w:r w:rsidR="00BE6DA0">
        <w:t xml:space="preserve"> (Qld)</w:t>
      </w:r>
      <w:r>
        <w:t xml:space="preserve"> s 4</w:t>
      </w:r>
    </w:p>
    <w:p w14:paraId="5ADAA9BB" w14:textId="59CEF151" w:rsidR="00137BAE" w:rsidRDefault="00137BAE" w:rsidP="00D345FC">
      <w:pPr>
        <w:pStyle w:val="AmdtsEntries"/>
      </w:pPr>
      <w:r>
        <w:tab/>
        <w:t xml:space="preserve">def </w:t>
      </w:r>
      <w:r w:rsidRPr="00137BAE">
        <w:rPr>
          <w:rStyle w:val="charBoldItals"/>
        </w:rPr>
        <w:t>major defect notice</w:t>
      </w:r>
      <w:r>
        <w:t xml:space="preserve"> </w:t>
      </w:r>
      <w:r w:rsidR="000229BF">
        <w:t>sub</w:t>
      </w:r>
      <w:r>
        <w:t xml:space="preserve"> </w:t>
      </w:r>
      <w:hyperlink r:id="rId244" w:tooltip="Heavy Vehicle National Law and Other Legislation Amendment Act 2019" w:history="1">
        <w:r w:rsidRPr="00137BAE">
          <w:rPr>
            <w:rStyle w:val="charCitHyperlinkAbbrev"/>
          </w:rPr>
          <w:t>A2019-29</w:t>
        </w:r>
      </w:hyperlink>
      <w:r>
        <w:t xml:space="preserve"> (Qld) s 7</w:t>
      </w:r>
    </w:p>
    <w:p w14:paraId="11AE4C7E" w14:textId="730CA383" w:rsidR="00D345FC" w:rsidRDefault="00D345FC" w:rsidP="005E03F7">
      <w:pPr>
        <w:pStyle w:val="AmdtsEntries"/>
      </w:pPr>
      <w:r>
        <w:tab/>
        <w:t xml:space="preserve">def </w:t>
      </w:r>
      <w:r>
        <w:rPr>
          <w:rStyle w:val="charBoldItals"/>
        </w:rPr>
        <w:t>management member</w:t>
      </w:r>
      <w:r>
        <w:t xml:space="preserve"> ins </w:t>
      </w:r>
      <w:hyperlink r:id="rId245" w:tooltip="Heavy Vehicle National Law and Other Legislation Amendment Act 2016" w:history="1">
        <w:r w:rsidR="00E3724B" w:rsidRPr="005E03F7">
          <w:rPr>
            <w:rStyle w:val="Hyperlink"/>
          </w:rPr>
          <w:t>A2016-65 (Qld)</w:t>
        </w:r>
      </w:hyperlink>
      <w:r>
        <w:t xml:space="preserve"> s 7</w:t>
      </w:r>
    </w:p>
    <w:p w14:paraId="66B94447" w14:textId="46E9D8CB" w:rsidR="004F52BE" w:rsidRDefault="004F52BE" w:rsidP="004F52BE">
      <w:pPr>
        <w:pStyle w:val="AmdtsEntries"/>
      </w:pPr>
      <w:r>
        <w:tab/>
        <w:t xml:space="preserve">def </w:t>
      </w:r>
      <w:r>
        <w:rPr>
          <w:rStyle w:val="charBoldItals"/>
        </w:rPr>
        <w:t xml:space="preserve">mass management accreditation </w:t>
      </w:r>
      <w:r>
        <w:t xml:space="preserve">am </w:t>
      </w:r>
      <w:hyperlink r:id="rId246" w:tooltip="Heavy Vehicle National Law Amendment Act 2015" w:history="1">
        <w:r w:rsidR="00BE6DA0">
          <w:rPr>
            <w:rStyle w:val="charCitHyperlinkAbbrev"/>
          </w:rPr>
          <w:t>A2015-12</w:t>
        </w:r>
      </w:hyperlink>
      <w:r w:rsidR="00BE6DA0">
        <w:t xml:space="preserve"> (Qld)</w:t>
      </w:r>
      <w:r>
        <w:t xml:space="preserve"> s 4</w:t>
      </w:r>
    </w:p>
    <w:p w14:paraId="6C7D5512" w14:textId="142EB57F" w:rsidR="000229BF" w:rsidRDefault="000229BF" w:rsidP="000229BF">
      <w:pPr>
        <w:pStyle w:val="AmdtsEntries"/>
      </w:pPr>
      <w:r>
        <w:tab/>
        <w:t xml:space="preserve">def </w:t>
      </w:r>
      <w:r>
        <w:rPr>
          <w:rStyle w:val="charBoldItals"/>
        </w:rPr>
        <w:t>minor</w:t>
      </w:r>
      <w:r w:rsidRPr="00137BAE">
        <w:rPr>
          <w:rStyle w:val="charBoldItals"/>
        </w:rPr>
        <w:t xml:space="preserve"> defect notice</w:t>
      </w:r>
      <w:r>
        <w:t xml:space="preserve"> sub </w:t>
      </w:r>
      <w:hyperlink r:id="rId247" w:tooltip="Heavy Vehicle National Law and Other Legislation Amendment Act 2019" w:history="1">
        <w:r w:rsidRPr="00137BAE">
          <w:rPr>
            <w:rStyle w:val="charCitHyperlinkAbbrev"/>
          </w:rPr>
          <w:t>A2019-29</w:t>
        </w:r>
      </w:hyperlink>
      <w:r>
        <w:t xml:space="preserve"> (Qld) s 7</w:t>
      </w:r>
    </w:p>
    <w:p w14:paraId="1F35885B" w14:textId="5EF58321" w:rsidR="0055416F" w:rsidRDefault="0055416F" w:rsidP="005E03F7">
      <w:pPr>
        <w:pStyle w:val="AmdtsEntries"/>
      </w:pPr>
      <w:r>
        <w:tab/>
        <w:t xml:space="preserve">def </w:t>
      </w:r>
      <w:r>
        <w:rPr>
          <w:rStyle w:val="charBoldItals"/>
        </w:rPr>
        <w:t>mistake of fact defence</w:t>
      </w:r>
      <w:r>
        <w:t xml:space="preserve"> om </w:t>
      </w:r>
      <w:hyperlink r:id="rId248" w:tooltip="Heavy Vehicle National Law and Other Legislation Amendment Act 2016" w:history="1">
        <w:r w:rsidR="00E3724B" w:rsidRPr="005E03F7">
          <w:rPr>
            <w:rStyle w:val="Hyperlink"/>
          </w:rPr>
          <w:t>A2016-65 (Qld)</w:t>
        </w:r>
      </w:hyperlink>
      <w:r>
        <w:t xml:space="preserve"> s 7</w:t>
      </w:r>
    </w:p>
    <w:p w14:paraId="63BCC56D" w14:textId="0BB47976" w:rsidR="004F52BE" w:rsidRPr="004F52BE" w:rsidRDefault="004F52BE" w:rsidP="004F52BE">
      <w:pPr>
        <w:pStyle w:val="AmdtsEntries"/>
        <w:rPr>
          <w:rStyle w:val="charBoldItals"/>
        </w:rPr>
      </w:pPr>
      <w:r>
        <w:tab/>
        <w:t xml:space="preserve">def </w:t>
      </w:r>
      <w:r>
        <w:rPr>
          <w:rStyle w:val="charBoldItals"/>
        </w:rPr>
        <w:t xml:space="preserve">modification </w:t>
      </w:r>
      <w:r>
        <w:t xml:space="preserve">ins </w:t>
      </w:r>
      <w:hyperlink r:id="rId249" w:tooltip="Heavy Vehicle National Law Amendment Act 2015" w:history="1">
        <w:r w:rsidR="00BE6DA0">
          <w:rPr>
            <w:rStyle w:val="charCitHyperlinkAbbrev"/>
          </w:rPr>
          <w:t>A2015-12</w:t>
        </w:r>
      </w:hyperlink>
      <w:r w:rsidR="00BE6DA0">
        <w:t xml:space="preserve"> (Qld)</w:t>
      </w:r>
      <w:r>
        <w:t xml:space="preserve"> s 4</w:t>
      </w:r>
    </w:p>
    <w:p w14:paraId="44643262" w14:textId="25A449A2" w:rsidR="00967DA5" w:rsidRDefault="00967DA5" w:rsidP="00967DA5">
      <w:pPr>
        <w:pStyle w:val="AmdtsEntries"/>
      </w:pPr>
      <w:r>
        <w:tab/>
        <w:t xml:space="preserve">def </w:t>
      </w:r>
      <w:r>
        <w:rPr>
          <w:rStyle w:val="charBoldItals"/>
        </w:rPr>
        <w:t>Motor Vehicle Standards Act 1989</w:t>
      </w:r>
      <w:r>
        <w:t xml:space="preserve"> ins </w:t>
      </w:r>
      <w:hyperlink r:id="rId250" w:tooltip="Heavy Vehicle National Law and Other Legislation Amendment Act 2019" w:history="1">
        <w:r w:rsidRPr="00137BAE">
          <w:rPr>
            <w:rStyle w:val="charCitHyperlinkAbbrev"/>
          </w:rPr>
          <w:t>A2019-29</w:t>
        </w:r>
      </w:hyperlink>
      <w:r>
        <w:t xml:space="preserve"> (Qld) s 4</w:t>
      </w:r>
    </w:p>
    <w:p w14:paraId="5BEED38B" w14:textId="2AA9944F" w:rsidR="00700AED" w:rsidRDefault="00700AED" w:rsidP="005E03F7">
      <w:pPr>
        <w:pStyle w:val="AmdtsEntries"/>
      </w:pPr>
      <w:r>
        <w:tab/>
        <w:t xml:space="preserve">def </w:t>
      </w:r>
      <w:r w:rsidRPr="00700AED">
        <w:rPr>
          <w:rStyle w:val="charBoldItals"/>
        </w:rPr>
        <w:t>notice</w:t>
      </w:r>
      <w:r>
        <w:t xml:space="preserve"> sub </w:t>
      </w:r>
      <w:hyperlink r:id="rId251" w:tooltip="Heavy Vehicle National Law Amendment Act 2018" w:history="1">
        <w:r w:rsidR="00C14D0F" w:rsidRPr="005E03F7">
          <w:rPr>
            <w:rStyle w:val="Hyperlink"/>
          </w:rPr>
          <w:t>A2018-18 (Qld)</w:t>
        </w:r>
      </w:hyperlink>
      <w:r>
        <w:t xml:space="preserve"> s 6</w:t>
      </w:r>
    </w:p>
    <w:p w14:paraId="74365961" w14:textId="46AB66FA" w:rsidR="0055416F" w:rsidRDefault="0055416F" w:rsidP="005E03F7">
      <w:pPr>
        <w:pStyle w:val="AmdtsEntries"/>
      </w:pPr>
      <w:r>
        <w:tab/>
        <w:t xml:space="preserve">def </w:t>
      </w:r>
      <w:r>
        <w:rPr>
          <w:rStyle w:val="charBoldItals"/>
        </w:rPr>
        <w:t>party in the chain of responsibility</w:t>
      </w:r>
      <w:r w:rsidR="008F71BF">
        <w:t xml:space="preserve"> sub</w:t>
      </w:r>
      <w:r>
        <w:t xml:space="preserve"> </w:t>
      </w:r>
      <w:hyperlink r:id="rId252" w:tooltip="Heavy Vehicle National Law and Other Legislation Amendment Act 2016" w:history="1">
        <w:r w:rsidR="00E3724B" w:rsidRPr="005E03F7">
          <w:rPr>
            <w:rStyle w:val="Hyperlink"/>
          </w:rPr>
          <w:t>A2016-65 (Qld)</w:t>
        </w:r>
      </w:hyperlink>
      <w:r>
        <w:t xml:space="preserve"> s 7</w:t>
      </w:r>
    </w:p>
    <w:p w14:paraId="640FCEEE" w14:textId="389A5B37" w:rsidR="003C2A4A" w:rsidRDefault="00921587" w:rsidP="00DE2868">
      <w:pPr>
        <w:pStyle w:val="AmdtsEntries"/>
        <w:rPr>
          <w:spacing w:val="24"/>
          <w:w w:val="99"/>
        </w:rPr>
      </w:pPr>
      <w:r>
        <w:tab/>
        <w:t>def</w:t>
      </w:r>
      <w:r w:rsidR="00400817">
        <w:rPr>
          <w:spacing w:val="-3"/>
        </w:rPr>
        <w:t xml:space="preserve"> </w:t>
      </w:r>
      <w:r w:rsidR="00400817">
        <w:rPr>
          <w:b/>
          <w:i/>
        </w:rPr>
        <w:t>previous</w:t>
      </w:r>
      <w:r w:rsidR="00400817">
        <w:rPr>
          <w:b/>
          <w:i/>
          <w:spacing w:val="-4"/>
        </w:rPr>
        <w:t xml:space="preserve"> </w:t>
      </w:r>
      <w:r w:rsidR="00400817">
        <w:rPr>
          <w:b/>
          <w:i/>
        </w:rPr>
        <w:t>corresponding</w:t>
      </w:r>
      <w:r w:rsidR="00400817">
        <w:rPr>
          <w:b/>
          <w:i/>
          <w:spacing w:val="-3"/>
        </w:rPr>
        <w:t xml:space="preserve"> </w:t>
      </w:r>
      <w:r w:rsidR="00400817">
        <w:rPr>
          <w:b/>
          <w:i/>
        </w:rPr>
        <w:t>law</w:t>
      </w:r>
      <w:r w:rsidR="00400817">
        <w:rPr>
          <w:b/>
          <w:i/>
          <w:spacing w:val="-5"/>
        </w:rPr>
        <w:t xml:space="preserve"> </w:t>
      </w:r>
      <w:r w:rsidR="003C2A4A">
        <w:t xml:space="preserve">mod </w:t>
      </w:r>
      <w:hyperlink r:id="rId253" w:tooltip="Heavy Vehicle National Law (ACT) Act 2013" w:history="1">
        <w:r w:rsidR="0068043D" w:rsidRPr="0068043D">
          <w:rPr>
            <w:rStyle w:val="charCitHyperlinkAbbrev"/>
          </w:rPr>
          <w:t>A2013-51</w:t>
        </w:r>
      </w:hyperlink>
      <w:r w:rsidR="003C2A4A">
        <w:t xml:space="preserve"> mod 1.1</w:t>
      </w:r>
    </w:p>
    <w:p w14:paraId="4D82617E" w14:textId="14AA1105" w:rsidR="00700AED" w:rsidRDefault="00700AED" w:rsidP="005E03F7">
      <w:pPr>
        <w:pStyle w:val="AmdtsEntries"/>
      </w:pPr>
      <w:r>
        <w:lastRenderedPageBreak/>
        <w:tab/>
        <w:t xml:space="preserve">def </w:t>
      </w:r>
      <w:r w:rsidRPr="00700AED">
        <w:rPr>
          <w:rStyle w:val="charBoldItals"/>
        </w:rPr>
        <w:t>prohibition notice</w:t>
      </w:r>
      <w:r>
        <w:t xml:space="preserve"> ins </w:t>
      </w:r>
      <w:hyperlink r:id="rId254" w:tooltip="Heavy Vehicle National Law Amendment Act 2018" w:history="1">
        <w:r w:rsidR="00C14D0F" w:rsidRPr="005E03F7">
          <w:rPr>
            <w:rStyle w:val="Hyperlink"/>
          </w:rPr>
          <w:t>A2018-18 (Qld)</w:t>
        </w:r>
      </w:hyperlink>
      <w:r>
        <w:t xml:space="preserve"> s 6</w:t>
      </w:r>
    </w:p>
    <w:p w14:paraId="1DE3013B" w14:textId="5B5B9D98" w:rsidR="00E141A7" w:rsidRDefault="00E141A7" w:rsidP="005E03F7">
      <w:pPr>
        <w:pStyle w:val="AmdtsEntries"/>
      </w:pPr>
      <w:r>
        <w:tab/>
        <w:t xml:space="preserve">def </w:t>
      </w:r>
      <w:r>
        <w:rPr>
          <w:rStyle w:val="charBoldItals"/>
        </w:rPr>
        <w:t>promisee</w:t>
      </w:r>
      <w:r>
        <w:t xml:space="preserve"> ins </w:t>
      </w:r>
      <w:hyperlink r:id="rId255" w:tooltip="Heavy Vehicle National Law and Other Legislation Amendment Act 2016" w:history="1">
        <w:r w:rsidR="00E3724B" w:rsidRPr="005E03F7">
          <w:rPr>
            <w:rStyle w:val="Hyperlink"/>
          </w:rPr>
          <w:t>A2016-65 (Qld)</w:t>
        </w:r>
      </w:hyperlink>
      <w:r>
        <w:t xml:space="preserve"> s 7</w:t>
      </w:r>
    </w:p>
    <w:p w14:paraId="28B301D6" w14:textId="64B9B392" w:rsidR="001E0C86" w:rsidRDefault="001E0C86" w:rsidP="005E03F7">
      <w:pPr>
        <w:pStyle w:val="AmdtsEntries"/>
      </w:pPr>
      <w:r>
        <w:tab/>
        <w:t xml:space="preserve">def </w:t>
      </w:r>
      <w:r w:rsidRPr="001E0C86">
        <w:rPr>
          <w:rStyle w:val="charBoldItals"/>
        </w:rPr>
        <w:t>public notice</w:t>
      </w:r>
      <w:r>
        <w:t xml:space="preserve"> ins </w:t>
      </w:r>
      <w:hyperlink r:id="rId256" w:tooltip="Heavy Vehicle National Law and Other Legislation Amendment Act 2016" w:history="1">
        <w:r w:rsidR="00E3724B" w:rsidRPr="005E03F7">
          <w:rPr>
            <w:rStyle w:val="Hyperlink"/>
          </w:rPr>
          <w:t>A2016-65 (Qld)</w:t>
        </w:r>
      </w:hyperlink>
      <w:r>
        <w:t xml:space="preserve"> s 117</w:t>
      </w:r>
    </w:p>
    <w:p w14:paraId="765A3A91" w14:textId="432AE2B2" w:rsidR="00E141A7" w:rsidRDefault="00E141A7" w:rsidP="005E03F7">
      <w:pPr>
        <w:pStyle w:val="AmdtsEntries"/>
      </w:pPr>
      <w:r>
        <w:tab/>
        <w:t xml:space="preserve">def </w:t>
      </w:r>
      <w:r>
        <w:rPr>
          <w:rStyle w:val="charBoldItals"/>
        </w:rPr>
        <w:t>public risk</w:t>
      </w:r>
      <w:r>
        <w:t xml:space="preserve"> ins </w:t>
      </w:r>
      <w:hyperlink r:id="rId257" w:tooltip="Heavy Vehicle National Law and Other Legislation Amendment Act 2016" w:history="1">
        <w:r w:rsidR="00E3724B" w:rsidRPr="005E03F7">
          <w:rPr>
            <w:rStyle w:val="Hyperlink"/>
          </w:rPr>
          <w:t>A2016-65 (Qld)</w:t>
        </w:r>
      </w:hyperlink>
      <w:r>
        <w:t xml:space="preserve"> s 7</w:t>
      </w:r>
    </w:p>
    <w:p w14:paraId="7E85C5FB" w14:textId="5F47ADC4" w:rsidR="0055416F" w:rsidRDefault="0055416F" w:rsidP="005E03F7">
      <w:pPr>
        <w:pStyle w:val="AmdtsEntries"/>
      </w:pPr>
      <w:r>
        <w:tab/>
        <w:t xml:space="preserve">def </w:t>
      </w:r>
      <w:r>
        <w:rPr>
          <w:rStyle w:val="charBoldItals"/>
        </w:rPr>
        <w:t>reasonable steps defence</w:t>
      </w:r>
      <w:r>
        <w:t xml:space="preserve"> om </w:t>
      </w:r>
      <w:hyperlink r:id="rId258" w:tooltip="Heavy Vehicle National Law and Other Legislation Amendment Act 2016" w:history="1">
        <w:r w:rsidR="00AB5C77" w:rsidRPr="005E03F7">
          <w:rPr>
            <w:rStyle w:val="Hyperlink"/>
          </w:rPr>
          <w:t>A2016-65 (Qld)</w:t>
        </w:r>
      </w:hyperlink>
      <w:r>
        <w:t xml:space="preserve"> s 7</w:t>
      </w:r>
    </w:p>
    <w:p w14:paraId="6D093161" w14:textId="5BE20FA5" w:rsidR="00417799" w:rsidRDefault="00417799" w:rsidP="005E03F7">
      <w:pPr>
        <w:pStyle w:val="AmdtsEntries"/>
      </w:pPr>
      <w:r>
        <w:tab/>
        <w:t xml:space="preserve">def </w:t>
      </w:r>
      <w:r>
        <w:rPr>
          <w:rStyle w:val="charBoldItals"/>
        </w:rPr>
        <w:t>reasonably practicable</w:t>
      </w:r>
      <w:r>
        <w:t xml:space="preserve"> ins </w:t>
      </w:r>
      <w:hyperlink r:id="rId259" w:tooltip="Heavy Vehicle National Law and Other Legislation Amendment Act 2016" w:history="1">
        <w:r w:rsidR="00AB5C77" w:rsidRPr="005E03F7">
          <w:rPr>
            <w:rStyle w:val="Hyperlink"/>
          </w:rPr>
          <w:t>A2016-65 (Qld)</w:t>
        </w:r>
      </w:hyperlink>
      <w:r>
        <w:t xml:space="preserve"> s 7</w:t>
      </w:r>
    </w:p>
    <w:p w14:paraId="14B8588B" w14:textId="0A7F05CF" w:rsidR="007B214D" w:rsidRDefault="007B214D" w:rsidP="005E03F7">
      <w:pPr>
        <w:pStyle w:val="AmdtsEntries"/>
      </w:pPr>
      <w:r>
        <w:tab/>
        <w:t xml:space="preserve">def </w:t>
      </w:r>
      <w:r>
        <w:rPr>
          <w:rStyle w:val="charBoldItals"/>
        </w:rPr>
        <w:t>record keeper</w:t>
      </w:r>
      <w:r>
        <w:t xml:space="preserve"> am </w:t>
      </w:r>
      <w:hyperlink r:id="rId260" w:tooltip="Heavy Vehicle National Law and Other Legislation Amendment Act 2016" w:history="1">
        <w:r w:rsidR="00AB5C77" w:rsidRPr="005E03F7">
          <w:rPr>
            <w:rStyle w:val="Hyperlink"/>
          </w:rPr>
          <w:t>A2016-65 (Qld)</w:t>
        </w:r>
      </w:hyperlink>
      <w:r>
        <w:t xml:space="preserve"> s 7</w:t>
      </w:r>
    </w:p>
    <w:p w14:paraId="7F297B2C" w14:textId="460E9A02" w:rsidR="00D83090" w:rsidRDefault="00D83090" w:rsidP="005E03F7">
      <w:pPr>
        <w:pStyle w:val="AmdtsEntries"/>
      </w:pPr>
      <w:r>
        <w:tab/>
        <w:t xml:space="preserve">def </w:t>
      </w:r>
      <w:r w:rsidRPr="00D83090">
        <w:rPr>
          <w:b/>
          <w:i/>
        </w:rPr>
        <w:t>registered</w:t>
      </w:r>
      <w:r>
        <w:rPr>
          <w:b/>
          <w:i/>
        </w:rPr>
        <w:t xml:space="preserve"> operator</w:t>
      </w:r>
      <w:r>
        <w:t xml:space="preserve"> sub </w:t>
      </w:r>
      <w:hyperlink r:id="rId261" w:tooltip="Heavy Vehicle National Law and Other Legislation Amendment Act 2018 (Qld)" w:history="1">
        <w:r w:rsidR="00916EFA" w:rsidRPr="005E03F7">
          <w:rPr>
            <w:rStyle w:val="Hyperlink"/>
          </w:rPr>
          <w:t>A2018-10 (Qld)</w:t>
        </w:r>
        <w:r w:rsidRPr="005E03F7">
          <w:rPr>
            <w:rStyle w:val="Hyperlink"/>
          </w:rPr>
          <w:t xml:space="preserve"> </w:t>
        </w:r>
      </w:hyperlink>
      <w:r w:rsidRPr="00D83090">
        <w:t>s 14</w:t>
      </w:r>
    </w:p>
    <w:p w14:paraId="75674D67" w14:textId="13EC8AE0" w:rsidR="00D60527" w:rsidRDefault="00921587" w:rsidP="00DE2868">
      <w:pPr>
        <w:pStyle w:val="AmdtsEntries"/>
      </w:pPr>
      <w:r>
        <w:tab/>
        <w:t>def</w:t>
      </w:r>
      <w:r w:rsidR="00400817">
        <w:rPr>
          <w:spacing w:val="-3"/>
        </w:rPr>
        <w:t xml:space="preserve"> </w:t>
      </w:r>
      <w:r w:rsidR="00400817">
        <w:rPr>
          <w:b/>
          <w:i/>
        </w:rPr>
        <w:t>registration</w:t>
      </w:r>
      <w:r w:rsidR="00400817">
        <w:rPr>
          <w:b/>
          <w:i/>
          <w:spacing w:val="-4"/>
        </w:rPr>
        <w:t xml:space="preserve"> </w:t>
      </w:r>
      <w:r w:rsidR="00D60527">
        <w:t xml:space="preserve">sub as mod </w:t>
      </w:r>
      <w:hyperlink r:id="rId262" w:tooltip="Heavy Vehicle National Law (ACT) Act 2013" w:history="1">
        <w:r w:rsidR="00D60527" w:rsidRPr="0068043D">
          <w:rPr>
            <w:rStyle w:val="charCitHyperlinkAbbrev"/>
          </w:rPr>
          <w:t>A2013-51</w:t>
        </w:r>
      </w:hyperlink>
      <w:r w:rsidR="00D60527">
        <w:t xml:space="preserve"> mod 1.17</w:t>
      </w:r>
      <w:r w:rsidR="00932BA6">
        <w:t xml:space="preserve"> (mod om </w:t>
      </w:r>
      <w:hyperlink r:id="rId263"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14:paraId="17116387" w14:textId="7498602E" w:rsidR="00D83090" w:rsidRPr="00FE304D" w:rsidRDefault="00D83090" w:rsidP="005E03F7">
      <w:pPr>
        <w:pStyle w:val="AmdtsEntriesDefL2"/>
        <w:rPr>
          <w:rStyle w:val="charUnderline"/>
        </w:rPr>
      </w:pPr>
      <w:r w:rsidRPr="00D83090">
        <w:rPr>
          <w:rStyle w:val="charUnderline"/>
          <w:u w:val="none"/>
        </w:rPr>
        <w:tab/>
        <w:t>sub</w:t>
      </w:r>
      <w:r>
        <w:t xml:space="preserve"> </w:t>
      </w:r>
      <w:hyperlink r:id="rId264" w:tooltip="Heavy Vehicle National Law and Other Legislation Amendment Act 2018 (Qld)" w:history="1">
        <w:r w:rsidR="00916EFA" w:rsidRPr="005E03F7">
          <w:rPr>
            <w:rStyle w:val="Hyperlink"/>
          </w:rPr>
          <w:t>A2018-10 (Qld)</w:t>
        </w:r>
        <w:r w:rsidRPr="005E03F7">
          <w:rPr>
            <w:rStyle w:val="Hyperlink"/>
          </w:rPr>
          <w:t xml:space="preserve"> </w:t>
        </w:r>
      </w:hyperlink>
      <w:r w:rsidRPr="00D83090">
        <w:t>s 14</w:t>
      </w:r>
    </w:p>
    <w:p w14:paraId="1123F64E" w14:textId="14AEB661" w:rsidR="004F52BE" w:rsidRDefault="004F52BE" w:rsidP="004F52BE">
      <w:pPr>
        <w:pStyle w:val="AmdtsEntries"/>
      </w:pPr>
      <w:r>
        <w:tab/>
        <w:t xml:space="preserve">def </w:t>
      </w:r>
      <w:r>
        <w:rPr>
          <w:rStyle w:val="charBoldItals"/>
        </w:rPr>
        <w:t xml:space="preserve">registration authority </w:t>
      </w:r>
      <w:r>
        <w:t xml:space="preserve">ins </w:t>
      </w:r>
      <w:hyperlink r:id="rId265" w:tooltip="Heavy Vehicle National Law Amendment Act 2015" w:history="1">
        <w:r w:rsidR="00BE6DA0">
          <w:rPr>
            <w:rStyle w:val="charCitHyperlinkAbbrev"/>
          </w:rPr>
          <w:t>A2015-12</w:t>
        </w:r>
      </w:hyperlink>
      <w:r w:rsidR="00BE6DA0">
        <w:t xml:space="preserve"> (Qld)</w:t>
      </w:r>
      <w:r>
        <w:t xml:space="preserve"> s 4</w:t>
      </w:r>
    </w:p>
    <w:p w14:paraId="2BACD405" w14:textId="0D976FD9" w:rsidR="00D83090" w:rsidRDefault="00D83090" w:rsidP="005E03F7">
      <w:pPr>
        <w:pStyle w:val="AmdtsEntriesDefL2"/>
      </w:pPr>
      <w:r w:rsidRPr="00D83090">
        <w:rPr>
          <w:rStyle w:val="charUnderline"/>
          <w:u w:val="none"/>
        </w:rPr>
        <w:tab/>
        <w:t>sub</w:t>
      </w:r>
      <w:r>
        <w:t xml:space="preserve"> </w:t>
      </w:r>
      <w:hyperlink r:id="rId266" w:tooltip="Heavy Vehicle National Law and Other Legislation Amendment Act 2018 (Qld)" w:history="1">
        <w:r w:rsidR="00916EFA" w:rsidRPr="005E03F7">
          <w:rPr>
            <w:rStyle w:val="Hyperlink"/>
          </w:rPr>
          <w:t>A2018-10 (Qld)</w:t>
        </w:r>
        <w:r w:rsidRPr="005E03F7">
          <w:rPr>
            <w:rStyle w:val="Hyperlink"/>
          </w:rPr>
          <w:t xml:space="preserve"> </w:t>
        </w:r>
      </w:hyperlink>
      <w:r w:rsidRPr="00D83090">
        <w:t>s 14</w:t>
      </w:r>
    </w:p>
    <w:p w14:paraId="204E9ACF" w14:textId="05AA8BB0" w:rsidR="00D83090" w:rsidRDefault="00D83090" w:rsidP="005E03F7">
      <w:pPr>
        <w:pStyle w:val="AmdtsEntries"/>
      </w:pPr>
      <w:r>
        <w:tab/>
        <w:t xml:space="preserve">def </w:t>
      </w:r>
      <w:r>
        <w:rPr>
          <w:b/>
          <w:i/>
        </w:rPr>
        <w:t>registration exemption</w:t>
      </w:r>
      <w:r>
        <w:t xml:space="preserve"> om </w:t>
      </w:r>
      <w:hyperlink r:id="rId267" w:tooltip="Heavy Vehicle National Law and Other Legislation Amendment Act 2018 (Qld)" w:history="1">
        <w:r w:rsidR="00916EFA" w:rsidRPr="005E03F7">
          <w:rPr>
            <w:rStyle w:val="Hyperlink"/>
          </w:rPr>
          <w:t>A2018-10 (Qld)</w:t>
        </w:r>
        <w:r w:rsidRPr="005E03F7">
          <w:rPr>
            <w:rStyle w:val="Hyperlink"/>
          </w:rPr>
          <w:t xml:space="preserve"> </w:t>
        </w:r>
      </w:hyperlink>
      <w:r w:rsidRPr="00D83090">
        <w:t>s 14</w:t>
      </w:r>
    </w:p>
    <w:p w14:paraId="0295CC9F" w14:textId="7ABD86B9" w:rsidR="00D83090" w:rsidRDefault="00D83090" w:rsidP="005E03F7">
      <w:pPr>
        <w:pStyle w:val="AmdtsEntries"/>
      </w:pPr>
      <w:r>
        <w:tab/>
        <w:t xml:space="preserve">def </w:t>
      </w:r>
      <w:r>
        <w:rPr>
          <w:b/>
          <w:i/>
        </w:rPr>
        <w:t xml:space="preserve">registration item </w:t>
      </w:r>
      <w:r>
        <w:t xml:space="preserve">sub </w:t>
      </w:r>
      <w:hyperlink r:id="rId268" w:tooltip="Heavy Vehicle National Law and Other Legislation Amendment Act 2018 (Qld)" w:history="1">
        <w:r w:rsidR="00916EFA" w:rsidRPr="005E03F7">
          <w:rPr>
            <w:rStyle w:val="Hyperlink"/>
          </w:rPr>
          <w:t>A2018-10 (Qld)</w:t>
        </w:r>
        <w:r w:rsidRPr="005E03F7">
          <w:rPr>
            <w:rStyle w:val="Hyperlink"/>
          </w:rPr>
          <w:t xml:space="preserve"> </w:t>
        </w:r>
      </w:hyperlink>
      <w:r w:rsidRPr="00D83090">
        <w:t>s 14</w:t>
      </w:r>
    </w:p>
    <w:p w14:paraId="47D7A5EF" w14:textId="53E6525B" w:rsidR="00C104DC" w:rsidRDefault="00C104DC" w:rsidP="005E03F7">
      <w:pPr>
        <w:pStyle w:val="AmdtsEntriesDefL2"/>
      </w:pPr>
      <w:r>
        <w:tab/>
        <w:t xml:space="preserve">am </w:t>
      </w:r>
      <w:hyperlink r:id="rId269" w:tooltip="Heavy Vehicle National Law Amendment Act 2018" w:history="1">
        <w:r w:rsidR="00C14D0F" w:rsidRPr="005E03F7">
          <w:rPr>
            <w:rStyle w:val="Hyperlink"/>
          </w:rPr>
          <w:t>A2018-18 (Qld)</w:t>
        </w:r>
      </w:hyperlink>
      <w:r>
        <w:t xml:space="preserve"> s 6</w:t>
      </w:r>
    </w:p>
    <w:p w14:paraId="3705A82E" w14:textId="7926C7C7" w:rsidR="00D60527" w:rsidRDefault="00921587" w:rsidP="00DE2868">
      <w:pPr>
        <w:pStyle w:val="AmdtsEntries"/>
      </w:pPr>
      <w:r>
        <w:tab/>
        <w:t>def</w:t>
      </w:r>
      <w:r w:rsidR="00400817">
        <w:rPr>
          <w:spacing w:val="-4"/>
        </w:rPr>
        <w:t xml:space="preserve"> </w:t>
      </w:r>
      <w:r w:rsidR="00400817">
        <w:rPr>
          <w:b/>
          <w:i/>
        </w:rPr>
        <w:t>registration</w:t>
      </w:r>
      <w:r w:rsidR="00400817">
        <w:rPr>
          <w:b/>
          <w:i/>
          <w:spacing w:val="-4"/>
        </w:rPr>
        <w:t xml:space="preserve"> </w:t>
      </w:r>
      <w:r w:rsidR="00400817">
        <w:rPr>
          <w:b/>
          <w:i/>
        </w:rPr>
        <w:t>number</w:t>
      </w:r>
      <w:r w:rsidR="00400817">
        <w:rPr>
          <w:b/>
          <w:i/>
          <w:spacing w:val="-4"/>
        </w:rPr>
        <w:t xml:space="preserve"> </w:t>
      </w:r>
      <w:r w:rsidR="00D60527">
        <w:t xml:space="preserve">sub as mod </w:t>
      </w:r>
      <w:hyperlink r:id="rId270" w:tooltip="Heavy Vehicle National Law (ACT) Act 2013" w:history="1">
        <w:r w:rsidR="00D60527" w:rsidRPr="0068043D">
          <w:rPr>
            <w:rStyle w:val="charCitHyperlinkAbbrev"/>
          </w:rPr>
          <w:t>A2013-51</w:t>
        </w:r>
      </w:hyperlink>
      <w:r w:rsidR="00D60527">
        <w:t xml:space="preserve"> mod 1.18</w:t>
      </w:r>
      <w:r w:rsidR="00932BA6">
        <w:t xml:space="preserve"> (mod om </w:t>
      </w:r>
      <w:hyperlink r:id="rId271"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14:paraId="6F11BBD5" w14:textId="5FCB1374" w:rsidR="00436E84" w:rsidRPr="00FE304D" w:rsidRDefault="00436E84" w:rsidP="005E03F7">
      <w:pPr>
        <w:pStyle w:val="AmdtsEntriesDefL2"/>
        <w:rPr>
          <w:rStyle w:val="charUnderline"/>
        </w:rPr>
      </w:pPr>
      <w:r w:rsidRPr="00D83090">
        <w:rPr>
          <w:rStyle w:val="charUnderline"/>
          <w:u w:val="none"/>
        </w:rPr>
        <w:tab/>
        <w:t>sub</w:t>
      </w:r>
      <w:r>
        <w:t xml:space="preserve"> </w:t>
      </w:r>
      <w:hyperlink r:id="rId272" w:tooltip="Heavy Vehicle National Law and Other Legislation Amendment Act 2018 (Qld)" w:history="1">
        <w:r w:rsidR="00916EFA" w:rsidRPr="005E03F7">
          <w:rPr>
            <w:rStyle w:val="Hyperlink"/>
          </w:rPr>
          <w:t>A2018-10 (Qld)</w:t>
        </w:r>
        <w:r w:rsidRPr="005E03F7">
          <w:rPr>
            <w:rStyle w:val="Hyperlink"/>
          </w:rPr>
          <w:t xml:space="preserve"> </w:t>
        </w:r>
      </w:hyperlink>
      <w:r w:rsidRPr="00D83090">
        <w:t>s 14</w:t>
      </w:r>
    </w:p>
    <w:p w14:paraId="165FD364" w14:textId="0CB63437" w:rsidR="007B214D" w:rsidRDefault="007B214D" w:rsidP="005E03F7">
      <w:pPr>
        <w:pStyle w:val="AmdtsEntries"/>
      </w:pPr>
      <w:r>
        <w:tab/>
        <w:t xml:space="preserve">def </w:t>
      </w:r>
      <w:r>
        <w:rPr>
          <w:rStyle w:val="charBoldItals"/>
        </w:rPr>
        <w:t>regular loading or unloading premises</w:t>
      </w:r>
      <w:r>
        <w:t xml:space="preserve"> am </w:t>
      </w:r>
      <w:hyperlink r:id="rId273" w:tooltip="Heavy Vehicle National Law and Other Legislation Amendment Act 2016" w:history="1">
        <w:r w:rsidR="00AB5C77" w:rsidRPr="005E03F7">
          <w:rPr>
            <w:rStyle w:val="Hyperlink"/>
          </w:rPr>
          <w:t>A2016-65 (Qld)</w:t>
        </w:r>
      </w:hyperlink>
      <w:r>
        <w:t xml:space="preserve"> s 7</w:t>
      </w:r>
    </w:p>
    <w:p w14:paraId="753D644A" w14:textId="44FDEB1C" w:rsidR="000229BF" w:rsidRDefault="000229BF" w:rsidP="000229BF">
      <w:pPr>
        <w:pStyle w:val="AmdtsEntries"/>
      </w:pPr>
      <w:r>
        <w:tab/>
        <w:t xml:space="preserve">def </w:t>
      </w:r>
      <w:r>
        <w:rPr>
          <w:rStyle w:val="charBoldItals"/>
        </w:rPr>
        <w:t>self-clearing defect notice</w:t>
      </w:r>
      <w:r>
        <w:t xml:space="preserve"> ins </w:t>
      </w:r>
      <w:hyperlink r:id="rId274" w:tooltip="Heavy Vehicle National Law and Other Legislation Amendment Act 2019" w:history="1">
        <w:r w:rsidRPr="00137BAE">
          <w:rPr>
            <w:rStyle w:val="charCitHyperlinkAbbrev"/>
          </w:rPr>
          <w:t>A2019-29</w:t>
        </w:r>
      </w:hyperlink>
      <w:r>
        <w:t xml:space="preserve"> (Qld) s 7</w:t>
      </w:r>
    </w:p>
    <w:p w14:paraId="4F3D573B" w14:textId="5C3175CD" w:rsidR="00122D98" w:rsidRPr="004F52BE" w:rsidRDefault="00122D98" w:rsidP="00122D98">
      <w:pPr>
        <w:pStyle w:val="AmdtsEntries"/>
        <w:rPr>
          <w:rStyle w:val="charBoldItals"/>
        </w:rPr>
      </w:pPr>
      <w:r>
        <w:tab/>
        <w:t xml:space="preserve">def </w:t>
      </w:r>
      <w:r>
        <w:rPr>
          <w:rStyle w:val="charBoldItals"/>
        </w:rPr>
        <w:t xml:space="preserve">residence </w:t>
      </w:r>
      <w:r>
        <w:t xml:space="preserve">ins </w:t>
      </w:r>
      <w:hyperlink r:id="rId275" w:tooltip="Heavy Vehicle National Law Amendment Act 2015" w:history="1">
        <w:r w:rsidR="00BE6DA0">
          <w:rPr>
            <w:rStyle w:val="charCitHyperlinkAbbrev"/>
          </w:rPr>
          <w:t>A2015-12</w:t>
        </w:r>
      </w:hyperlink>
      <w:r w:rsidR="00BE6DA0">
        <w:t xml:space="preserve"> (Qld)</w:t>
      </w:r>
      <w:r>
        <w:t xml:space="preserve"> s 4</w:t>
      </w:r>
    </w:p>
    <w:p w14:paraId="7F483F15" w14:textId="70811123" w:rsidR="00122D98" w:rsidRPr="004E5488" w:rsidRDefault="004E5488" w:rsidP="00DE2868">
      <w:pPr>
        <w:pStyle w:val="AmdtsEntries"/>
      </w:pPr>
      <w:r>
        <w:tab/>
        <w:t xml:space="preserve">def </w:t>
      </w:r>
      <w:r>
        <w:rPr>
          <w:rStyle w:val="charBoldItals"/>
        </w:rPr>
        <w:t>road train</w:t>
      </w:r>
      <w:r>
        <w:t xml:space="preserve"> am </w:t>
      </w:r>
      <w:hyperlink r:id="rId276" w:tooltip="Heavy Vehicle National Law Amendment Act 2015" w:history="1">
        <w:r w:rsidR="00BE6DA0">
          <w:rPr>
            <w:rStyle w:val="charCitHyperlinkAbbrev"/>
          </w:rPr>
          <w:t>A2015-12</w:t>
        </w:r>
      </w:hyperlink>
      <w:r w:rsidR="00BE6DA0">
        <w:t xml:space="preserve"> (Qld)</w:t>
      </w:r>
      <w:r>
        <w:t xml:space="preserve"> s 4</w:t>
      </w:r>
    </w:p>
    <w:p w14:paraId="6D2BB5BC" w14:textId="227B597D" w:rsidR="00967DA5" w:rsidRDefault="00967DA5" w:rsidP="00967DA5">
      <w:pPr>
        <w:pStyle w:val="AmdtsEntries"/>
      </w:pPr>
      <w:r>
        <w:tab/>
        <w:t xml:space="preserve">def </w:t>
      </w:r>
      <w:r w:rsidR="00587D24">
        <w:rPr>
          <w:rStyle w:val="charBoldItals"/>
        </w:rPr>
        <w:t>Road</w:t>
      </w:r>
      <w:r>
        <w:rPr>
          <w:rStyle w:val="charBoldItals"/>
        </w:rPr>
        <w:t xml:space="preserve"> Vehicle Standards Act </w:t>
      </w:r>
      <w:r w:rsidR="00587D24">
        <w:rPr>
          <w:rStyle w:val="charBoldItals"/>
        </w:rPr>
        <w:t>2018</w:t>
      </w:r>
      <w:r>
        <w:t xml:space="preserve"> ins </w:t>
      </w:r>
      <w:hyperlink r:id="rId277" w:tooltip="Heavy Vehicle National Law and Other Legislation Amendment Act 2019" w:history="1">
        <w:r w:rsidRPr="00137BAE">
          <w:rPr>
            <w:rStyle w:val="charCitHyperlinkAbbrev"/>
          </w:rPr>
          <w:t>A2019-29</w:t>
        </w:r>
      </w:hyperlink>
      <w:r>
        <w:t xml:space="preserve"> (Qld) s 4</w:t>
      </w:r>
    </w:p>
    <w:p w14:paraId="11A901DE" w14:textId="7124C7EE" w:rsidR="00643787" w:rsidRDefault="00643787" w:rsidP="005E03F7">
      <w:pPr>
        <w:pStyle w:val="AmdtsEntries"/>
      </w:pPr>
      <w:r>
        <w:tab/>
        <w:t xml:space="preserve">def </w:t>
      </w:r>
      <w:r w:rsidRPr="00643787">
        <w:rPr>
          <w:rStyle w:val="charBoldItals"/>
        </w:rPr>
        <w:t>safety duty</w:t>
      </w:r>
      <w:r>
        <w:t xml:space="preserve"> reloc from s 26D by </w:t>
      </w:r>
      <w:hyperlink r:id="rId278" w:tooltip="Heavy Vehicle National Law Amendment Act 2018" w:history="1">
        <w:r w:rsidR="00C14D0F" w:rsidRPr="005E03F7">
          <w:rPr>
            <w:rStyle w:val="Hyperlink"/>
          </w:rPr>
          <w:t>A2018-18 (Qld)</w:t>
        </w:r>
      </w:hyperlink>
      <w:r>
        <w:rPr>
          <w:rStyle w:val="charCitHyperlinkAbbrev"/>
        </w:rPr>
        <w:t xml:space="preserve"> </w:t>
      </w:r>
      <w:r w:rsidRPr="00643787">
        <w:t>s 9</w:t>
      </w:r>
    </w:p>
    <w:p w14:paraId="2DF5A60E" w14:textId="2B16E628" w:rsidR="005B6EFD" w:rsidRDefault="005B6EFD" w:rsidP="005B6EFD">
      <w:pPr>
        <w:pStyle w:val="AmdtsEntries"/>
      </w:pPr>
      <w:r>
        <w:tab/>
        <w:t xml:space="preserve">def </w:t>
      </w:r>
      <w:r>
        <w:rPr>
          <w:rStyle w:val="charBoldItals"/>
        </w:rPr>
        <w:t>second edition ADR</w:t>
      </w:r>
      <w:r>
        <w:t xml:space="preserve"> ins </w:t>
      </w:r>
      <w:hyperlink r:id="rId279" w:tooltip="Heavy Vehicle National Law and Other Legislation Amendment Act 2019" w:history="1">
        <w:r w:rsidRPr="00137BAE">
          <w:rPr>
            <w:rStyle w:val="charCitHyperlinkAbbrev"/>
          </w:rPr>
          <w:t>A2019-29</w:t>
        </w:r>
      </w:hyperlink>
      <w:r>
        <w:t xml:space="preserve"> (Qld) s 4</w:t>
      </w:r>
    </w:p>
    <w:p w14:paraId="1BB9513B" w14:textId="28884734" w:rsidR="004E5488" w:rsidRPr="004E5488" w:rsidRDefault="004E5488" w:rsidP="00DE2868">
      <w:pPr>
        <w:pStyle w:val="AmdtsEntries"/>
      </w:pPr>
      <w:r>
        <w:tab/>
        <w:t xml:space="preserve">def </w:t>
      </w:r>
      <w:r>
        <w:rPr>
          <w:rStyle w:val="charBoldItals"/>
        </w:rPr>
        <w:t>tamper</w:t>
      </w:r>
      <w:r>
        <w:t xml:space="preserve"> am </w:t>
      </w:r>
      <w:hyperlink r:id="rId280" w:tooltip="Heavy Vehicle National Law Amendment Act 2015" w:history="1">
        <w:r w:rsidR="00BE6DA0">
          <w:rPr>
            <w:rStyle w:val="charCitHyperlinkAbbrev"/>
          </w:rPr>
          <w:t>A2015-12</w:t>
        </w:r>
      </w:hyperlink>
      <w:r w:rsidR="00BE6DA0">
        <w:t xml:space="preserve"> (Qld)</w:t>
      </w:r>
      <w:r>
        <w:t>s 4</w:t>
      </w:r>
    </w:p>
    <w:p w14:paraId="2F6E0506" w14:textId="0F2051FD" w:rsidR="00417799" w:rsidRDefault="00417799" w:rsidP="005E03F7">
      <w:pPr>
        <w:pStyle w:val="AmdtsEntries"/>
      </w:pPr>
      <w:r>
        <w:tab/>
        <w:t xml:space="preserve">def </w:t>
      </w:r>
      <w:r>
        <w:rPr>
          <w:rStyle w:val="charBoldItals"/>
        </w:rPr>
        <w:t>transport activities</w:t>
      </w:r>
      <w:r>
        <w:t xml:space="preserve"> ins </w:t>
      </w:r>
      <w:hyperlink r:id="rId281" w:tooltip="Heavy Vehicle National Law and Other Legislation Amendment Act 2016" w:history="1">
        <w:r w:rsidR="00AB5C77" w:rsidRPr="005E03F7">
          <w:rPr>
            <w:rStyle w:val="Hyperlink"/>
          </w:rPr>
          <w:t>A2016-65 (Qld)</w:t>
        </w:r>
      </w:hyperlink>
      <w:r>
        <w:t xml:space="preserve"> s 7</w:t>
      </w:r>
    </w:p>
    <w:p w14:paraId="2AC380B0" w14:textId="65F5FDF2" w:rsidR="00C104DC" w:rsidRPr="00C104DC" w:rsidRDefault="00C104DC" w:rsidP="005E03F7">
      <w:pPr>
        <w:pStyle w:val="AmdtsEntries"/>
      </w:pPr>
      <w:r>
        <w:tab/>
        <w:t xml:space="preserve">def </w:t>
      </w:r>
      <w:r w:rsidRPr="00C104DC">
        <w:rPr>
          <w:rStyle w:val="charBoldItals"/>
        </w:rPr>
        <w:t>transport documentation</w:t>
      </w:r>
      <w:r>
        <w:t xml:space="preserve"> am </w:t>
      </w:r>
      <w:hyperlink r:id="rId282" w:tooltip="Heavy Vehicle National Law Amendment Act 2018" w:history="1">
        <w:r w:rsidR="00C14D0F" w:rsidRPr="005E03F7">
          <w:rPr>
            <w:rStyle w:val="Hyperlink"/>
          </w:rPr>
          <w:t>A2018-18 (Qld)</w:t>
        </w:r>
      </w:hyperlink>
      <w:r w:rsidRPr="00C104DC">
        <w:t xml:space="preserve"> s 6</w:t>
      </w:r>
    </w:p>
    <w:p w14:paraId="2A4A77F4" w14:textId="291C1F1B" w:rsidR="005B6EFD" w:rsidRDefault="005B6EFD" w:rsidP="005B6EFD">
      <w:pPr>
        <w:pStyle w:val="AmdtsEntries"/>
      </w:pPr>
      <w:r>
        <w:tab/>
        <w:t xml:space="preserve">def </w:t>
      </w:r>
      <w:r>
        <w:rPr>
          <w:rStyle w:val="charBoldItals"/>
        </w:rPr>
        <w:t>third edition ADR</w:t>
      </w:r>
      <w:r>
        <w:t xml:space="preserve"> ins </w:t>
      </w:r>
      <w:hyperlink r:id="rId283" w:tooltip="Heavy Vehicle National Law and Other Legislation Amendment Act 2019" w:history="1">
        <w:r w:rsidRPr="00137BAE">
          <w:rPr>
            <w:rStyle w:val="charCitHyperlinkAbbrev"/>
          </w:rPr>
          <w:t>A2019-29</w:t>
        </w:r>
      </w:hyperlink>
      <w:r>
        <w:t xml:space="preserve"> (Qld) s 4</w:t>
      </w:r>
    </w:p>
    <w:p w14:paraId="292C9AAF" w14:textId="36E221C1" w:rsidR="00417799" w:rsidRDefault="00417799" w:rsidP="005E03F7">
      <w:pPr>
        <w:pStyle w:val="AmdtsEntries"/>
      </w:pPr>
      <w:r>
        <w:tab/>
        <w:t xml:space="preserve">def </w:t>
      </w:r>
      <w:r>
        <w:rPr>
          <w:rStyle w:val="charBoldItals"/>
        </w:rPr>
        <w:t>unincorporated body</w:t>
      </w:r>
      <w:r>
        <w:t xml:space="preserve"> ins </w:t>
      </w:r>
      <w:hyperlink r:id="rId284" w:tooltip="Heavy Vehicle National Law and Other Legislation Amendment Act 2016" w:history="1">
        <w:r w:rsidR="00AB5C77" w:rsidRPr="005E03F7">
          <w:rPr>
            <w:rStyle w:val="Hyperlink"/>
          </w:rPr>
          <w:t>A2016-65 (Qld)</w:t>
        </w:r>
      </w:hyperlink>
      <w:r>
        <w:t xml:space="preserve"> s 7</w:t>
      </w:r>
    </w:p>
    <w:p w14:paraId="2F36EEA3" w14:textId="55F4F745" w:rsidR="00D60527" w:rsidRDefault="00921587" w:rsidP="00CC6510">
      <w:pPr>
        <w:pStyle w:val="AmdtsEntries"/>
        <w:keepNext/>
      </w:pPr>
      <w:r>
        <w:tab/>
        <w:t>def</w:t>
      </w:r>
      <w:r w:rsidR="00400817">
        <w:rPr>
          <w:spacing w:val="-4"/>
        </w:rPr>
        <w:t xml:space="preserve"> </w:t>
      </w:r>
      <w:r w:rsidR="00400817">
        <w:rPr>
          <w:b/>
          <w:i/>
        </w:rPr>
        <w:t>unregistered</w:t>
      </w:r>
      <w:r w:rsidR="00400817">
        <w:rPr>
          <w:b/>
          <w:i/>
          <w:spacing w:val="-4"/>
        </w:rPr>
        <w:t xml:space="preserve"> </w:t>
      </w:r>
      <w:r w:rsidR="00400817">
        <w:rPr>
          <w:b/>
          <w:i/>
        </w:rPr>
        <w:t>heavy</w:t>
      </w:r>
      <w:r w:rsidR="00400817">
        <w:rPr>
          <w:b/>
          <w:i/>
          <w:spacing w:val="-4"/>
        </w:rPr>
        <w:t xml:space="preserve"> </w:t>
      </w:r>
      <w:r w:rsidR="00400817">
        <w:rPr>
          <w:b/>
          <w:i/>
          <w:spacing w:val="-1"/>
        </w:rPr>
        <w:t>vehicle</w:t>
      </w:r>
      <w:r w:rsidR="00400817">
        <w:rPr>
          <w:b/>
          <w:i/>
          <w:spacing w:val="-5"/>
        </w:rPr>
        <w:t xml:space="preserve"> </w:t>
      </w:r>
      <w:r w:rsidR="00400817">
        <w:rPr>
          <w:b/>
          <w:i/>
        </w:rPr>
        <w:t>permit</w:t>
      </w:r>
      <w:r w:rsidR="00400817">
        <w:rPr>
          <w:b/>
          <w:i/>
          <w:spacing w:val="-6"/>
        </w:rPr>
        <w:t xml:space="preserve"> </w:t>
      </w:r>
      <w:r w:rsidR="00D60527">
        <w:t>sub as mod</w:t>
      </w:r>
      <w:r w:rsidR="00A67578">
        <w:br/>
      </w:r>
      <w:r w:rsidR="00D60527">
        <w:t xml:space="preserve"> </w:t>
      </w:r>
      <w:hyperlink r:id="rId285" w:tooltip="Heavy Vehicle National Law (ACT) Act 2013" w:history="1">
        <w:r w:rsidR="004E5488">
          <w:rPr>
            <w:rStyle w:val="charCitHyperlinkAbbrev"/>
          </w:rPr>
          <w:t>A2013–51</w:t>
        </w:r>
      </w:hyperlink>
      <w:r w:rsidR="00D60527">
        <w:t xml:space="preserve"> mod 1.19</w:t>
      </w:r>
      <w:r w:rsidR="00932BA6">
        <w:t xml:space="preserve"> (mod om </w:t>
      </w:r>
      <w:hyperlink r:id="rId286"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14:paraId="696DAC7E" w14:textId="31BEE430" w:rsidR="00436E84" w:rsidRPr="00FE304D" w:rsidRDefault="00436E84" w:rsidP="005E03F7">
      <w:pPr>
        <w:pStyle w:val="AmdtsEntriesDefL2"/>
        <w:rPr>
          <w:rStyle w:val="charUnderline"/>
        </w:rPr>
      </w:pPr>
      <w:r w:rsidRPr="00D83090">
        <w:rPr>
          <w:rStyle w:val="charUnderline"/>
          <w:u w:val="none"/>
        </w:rPr>
        <w:tab/>
        <w:t>sub</w:t>
      </w:r>
      <w:r>
        <w:t xml:space="preserve"> </w:t>
      </w:r>
      <w:hyperlink r:id="rId287" w:tooltip="Heavy Vehicle National Law and Other Legislation Amendment Act 2018 (Qld)" w:history="1">
        <w:r w:rsidR="00916EFA" w:rsidRPr="005E03F7">
          <w:rPr>
            <w:rStyle w:val="Hyperlink"/>
          </w:rPr>
          <w:t>A2018-10 (Qld)</w:t>
        </w:r>
        <w:r w:rsidRPr="005E03F7">
          <w:rPr>
            <w:rStyle w:val="Hyperlink"/>
          </w:rPr>
          <w:t xml:space="preserve"> </w:t>
        </w:r>
      </w:hyperlink>
      <w:r w:rsidRPr="00D83090">
        <w:t>s 14</w:t>
      </w:r>
    </w:p>
    <w:p w14:paraId="2F7F5057" w14:textId="0344E247" w:rsidR="000229BF" w:rsidRDefault="000229BF" w:rsidP="000229BF">
      <w:pPr>
        <w:pStyle w:val="AmdtsEntries"/>
      </w:pPr>
      <w:r>
        <w:tab/>
        <w:t xml:space="preserve">def </w:t>
      </w:r>
      <w:r>
        <w:rPr>
          <w:rStyle w:val="charBoldItals"/>
        </w:rPr>
        <w:t>vehicle</w:t>
      </w:r>
      <w:r w:rsidRPr="00137BAE">
        <w:rPr>
          <w:rStyle w:val="charBoldItals"/>
        </w:rPr>
        <w:t xml:space="preserve"> defect notice</w:t>
      </w:r>
      <w:r>
        <w:t xml:space="preserve"> sub </w:t>
      </w:r>
      <w:hyperlink r:id="rId288" w:tooltip="Heavy Vehicle National Law and Other Legislation Amendment Act 2019" w:history="1">
        <w:r w:rsidRPr="00137BAE">
          <w:rPr>
            <w:rStyle w:val="charCitHyperlinkAbbrev"/>
          </w:rPr>
          <w:t>A2019-29</w:t>
        </w:r>
      </w:hyperlink>
      <w:r>
        <w:t xml:space="preserve"> (Qld) s 7</w:t>
      </w:r>
    </w:p>
    <w:p w14:paraId="4239E908" w14:textId="04A9734C" w:rsidR="004E5488" w:rsidRPr="004E5488" w:rsidRDefault="004E5488" w:rsidP="00DE2868">
      <w:pPr>
        <w:pStyle w:val="AmdtsEntries"/>
      </w:pPr>
      <w:r>
        <w:tab/>
        <w:t xml:space="preserve">def </w:t>
      </w:r>
      <w:r>
        <w:rPr>
          <w:rStyle w:val="charBoldItals"/>
        </w:rPr>
        <w:t>vehicle identifier</w:t>
      </w:r>
      <w:r>
        <w:t xml:space="preserve"> ins </w:t>
      </w:r>
      <w:hyperlink r:id="rId289" w:tooltip="Heavy Vehicle National Law Amendment Act 2015" w:history="1">
        <w:r w:rsidR="00BE6DA0">
          <w:rPr>
            <w:rStyle w:val="charCitHyperlinkAbbrev"/>
          </w:rPr>
          <w:t>A2015-12</w:t>
        </w:r>
      </w:hyperlink>
      <w:r w:rsidR="00BE6DA0">
        <w:t xml:space="preserve"> (Qld)</w:t>
      </w:r>
      <w:r>
        <w:t xml:space="preserve"> s 4</w:t>
      </w:r>
    </w:p>
    <w:p w14:paraId="42ADA010" w14:textId="1466AF18" w:rsidR="00D60527" w:rsidRDefault="00921587" w:rsidP="00DE2868">
      <w:pPr>
        <w:pStyle w:val="AmdtsEntries"/>
      </w:pPr>
      <w:r>
        <w:tab/>
        <w:t>def</w:t>
      </w:r>
      <w:r w:rsidR="00400817">
        <w:rPr>
          <w:spacing w:val="-3"/>
        </w:rPr>
        <w:t xml:space="preserve"> </w:t>
      </w:r>
      <w:r w:rsidR="00400817">
        <w:rPr>
          <w:b/>
          <w:i/>
          <w:spacing w:val="-1"/>
        </w:rPr>
        <w:t>vehicle</w:t>
      </w:r>
      <w:r w:rsidR="00400817">
        <w:rPr>
          <w:b/>
          <w:i/>
          <w:spacing w:val="-5"/>
        </w:rPr>
        <w:t xml:space="preserve"> </w:t>
      </w:r>
      <w:r w:rsidR="00400817">
        <w:rPr>
          <w:b/>
          <w:i/>
        </w:rPr>
        <w:t>register</w:t>
      </w:r>
      <w:r w:rsidR="00400817">
        <w:rPr>
          <w:b/>
          <w:i/>
          <w:spacing w:val="-5"/>
        </w:rPr>
        <w:t xml:space="preserve"> </w:t>
      </w:r>
      <w:r w:rsidR="00D60527">
        <w:t xml:space="preserve">sub as mod </w:t>
      </w:r>
      <w:hyperlink r:id="rId290" w:tooltip="Heavy Vehicle National Law (ACT) Act 2013" w:history="1">
        <w:r w:rsidR="00D60527" w:rsidRPr="0068043D">
          <w:rPr>
            <w:rStyle w:val="charCitHyperlinkAbbrev"/>
          </w:rPr>
          <w:t>A2013-51</w:t>
        </w:r>
      </w:hyperlink>
      <w:r w:rsidR="00D60527">
        <w:t xml:space="preserve"> mod 1.20</w:t>
      </w:r>
      <w:r w:rsidR="00932BA6">
        <w:t xml:space="preserve"> (mod om </w:t>
      </w:r>
      <w:hyperlink r:id="rId291"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14:paraId="19E25C95" w14:textId="4257EBC8" w:rsidR="00436E84" w:rsidRDefault="00436E84" w:rsidP="005E03F7">
      <w:pPr>
        <w:pStyle w:val="AmdtsEntriesDefL2"/>
      </w:pPr>
      <w:r w:rsidRPr="00D83090">
        <w:rPr>
          <w:rStyle w:val="charUnderline"/>
          <w:u w:val="none"/>
        </w:rPr>
        <w:tab/>
      </w:r>
      <w:r>
        <w:rPr>
          <w:rStyle w:val="charUnderline"/>
          <w:u w:val="none"/>
        </w:rPr>
        <w:t>om</w:t>
      </w:r>
      <w:r>
        <w:t xml:space="preserve"> </w:t>
      </w:r>
      <w:hyperlink r:id="rId292" w:tooltip="Heavy Vehicle National Law and Other Legislation Amendment Act 2018 (Qld)" w:history="1">
        <w:r w:rsidR="00916EFA" w:rsidRPr="005E03F7">
          <w:rPr>
            <w:rStyle w:val="Hyperlink"/>
          </w:rPr>
          <w:t>A2018-10 (Qld)</w:t>
        </w:r>
        <w:r w:rsidRPr="005E03F7">
          <w:rPr>
            <w:rStyle w:val="Hyperlink"/>
          </w:rPr>
          <w:t xml:space="preserve"> </w:t>
        </w:r>
      </w:hyperlink>
      <w:r w:rsidRPr="00D83090">
        <w:t>s 14</w:t>
      </w:r>
    </w:p>
    <w:p w14:paraId="1C0680A5" w14:textId="41FD3D1C" w:rsidR="00436E84" w:rsidRDefault="00436E84" w:rsidP="005E03F7">
      <w:pPr>
        <w:pStyle w:val="AmdtsEntries"/>
      </w:pPr>
      <w:r>
        <w:tab/>
        <w:t xml:space="preserve">def </w:t>
      </w:r>
      <w:r w:rsidRPr="00436E84">
        <w:rPr>
          <w:b/>
          <w:i/>
        </w:rPr>
        <w:t>vehicle</w:t>
      </w:r>
      <w:r>
        <w:t xml:space="preserve"> </w:t>
      </w:r>
      <w:r>
        <w:rPr>
          <w:b/>
          <w:i/>
        </w:rPr>
        <w:t xml:space="preserve">registration duty </w:t>
      </w:r>
      <w:r>
        <w:t xml:space="preserve">om </w:t>
      </w:r>
      <w:hyperlink r:id="rId293" w:tooltip="Heavy Vehicle National Law and Other Legislation Amendment Act 2018 (Qld)" w:history="1">
        <w:r w:rsidR="00916EFA" w:rsidRPr="005E03F7">
          <w:rPr>
            <w:rStyle w:val="Hyperlink"/>
          </w:rPr>
          <w:t>A2018-10 (Qld)</w:t>
        </w:r>
        <w:r w:rsidRPr="005E03F7">
          <w:rPr>
            <w:rStyle w:val="Hyperlink"/>
          </w:rPr>
          <w:t xml:space="preserve"> </w:t>
        </w:r>
      </w:hyperlink>
      <w:r w:rsidRPr="00D83090">
        <w:t>s 14</w:t>
      </w:r>
    </w:p>
    <w:p w14:paraId="4081FC7A" w14:textId="2B1E32C4" w:rsidR="00436E84" w:rsidRDefault="00436E84" w:rsidP="005E03F7">
      <w:pPr>
        <w:pStyle w:val="AmdtsEntries"/>
      </w:pPr>
      <w:r>
        <w:tab/>
        <w:t xml:space="preserve">def </w:t>
      </w:r>
      <w:r w:rsidRPr="00436E84">
        <w:rPr>
          <w:b/>
          <w:i/>
        </w:rPr>
        <w:t>vehicle</w:t>
      </w:r>
      <w:r>
        <w:t xml:space="preserve"> </w:t>
      </w:r>
      <w:r>
        <w:rPr>
          <w:b/>
          <w:i/>
        </w:rPr>
        <w:t xml:space="preserve">registration duty legislation </w:t>
      </w:r>
      <w:r>
        <w:t xml:space="preserve">om </w:t>
      </w:r>
      <w:hyperlink r:id="rId294" w:tooltip="Heavy Vehicle National Law and Other Legislation Amendment Act 2018 (Qld)" w:history="1">
        <w:r w:rsidR="00916EFA" w:rsidRPr="005E03F7">
          <w:rPr>
            <w:rStyle w:val="Hyperlink"/>
          </w:rPr>
          <w:t>A2018-10 (Qld)</w:t>
        </w:r>
        <w:r w:rsidRPr="005E03F7">
          <w:rPr>
            <w:rStyle w:val="Hyperlink"/>
          </w:rPr>
          <w:t xml:space="preserve"> </w:t>
        </w:r>
      </w:hyperlink>
      <w:r>
        <w:t xml:space="preserve">s </w:t>
      </w:r>
      <w:r w:rsidRPr="00D83090">
        <w:t>14</w:t>
      </w:r>
    </w:p>
    <w:p w14:paraId="2661B4FE" w14:textId="408E49A4" w:rsidR="00EA3A24" w:rsidRDefault="00EA3A24" w:rsidP="00EA3A24">
      <w:pPr>
        <w:pStyle w:val="AmdtsEntries"/>
      </w:pPr>
      <w:r>
        <w:tab/>
        <w:t xml:space="preserve">def </w:t>
      </w:r>
      <w:r>
        <w:rPr>
          <w:rStyle w:val="charBoldItals"/>
        </w:rPr>
        <w:t>VIN</w:t>
      </w:r>
      <w:r>
        <w:t xml:space="preserve"> </w:t>
      </w:r>
      <w:r w:rsidR="005B6EFD">
        <w:t>sub</w:t>
      </w:r>
      <w:r>
        <w:t xml:space="preserve"> </w:t>
      </w:r>
      <w:hyperlink r:id="rId295" w:tooltip="Heavy Vehicle National Law and Other Legislation Amendment Act 2019" w:history="1">
        <w:r w:rsidRPr="00137BAE">
          <w:rPr>
            <w:rStyle w:val="charCitHyperlinkAbbrev"/>
          </w:rPr>
          <w:t>A2019-29</w:t>
        </w:r>
      </w:hyperlink>
      <w:r>
        <w:t xml:space="preserve"> (Qld) s 4</w:t>
      </w:r>
    </w:p>
    <w:p w14:paraId="55BFB98C" w14:textId="39B63694" w:rsidR="00D60527" w:rsidRDefault="007C0EF1" w:rsidP="00833353">
      <w:pPr>
        <w:pStyle w:val="AmdtsEntries"/>
        <w:keepNext/>
      </w:pPr>
      <w:r>
        <w:tab/>
      </w:r>
      <w:r w:rsidR="00921587">
        <w:t>def</w:t>
      </w:r>
      <w:r w:rsidR="00400817">
        <w:rPr>
          <w:spacing w:val="-3"/>
        </w:rPr>
        <w:t xml:space="preserve"> </w:t>
      </w:r>
      <w:r w:rsidR="00400817">
        <w:rPr>
          <w:b/>
          <w:i/>
          <w:spacing w:val="-2"/>
        </w:rPr>
        <w:t>wrecked</w:t>
      </w:r>
      <w:r w:rsidR="00400817">
        <w:rPr>
          <w:b/>
          <w:i/>
          <w:spacing w:val="-4"/>
        </w:rPr>
        <w:t xml:space="preserve"> </w:t>
      </w:r>
      <w:r w:rsidR="00D91301">
        <w:t>om</w:t>
      </w:r>
      <w:r w:rsidR="00D60527">
        <w:t xml:space="preserve"> as mod </w:t>
      </w:r>
      <w:hyperlink r:id="rId296" w:tooltip="Heavy Vehicle National Law (ACT) Act 2013" w:history="1">
        <w:r w:rsidR="00D60527" w:rsidRPr="0068043D">
          <w:rPr>
            <w:rStyle w:val="charCitHyperlinkAbbrev"/>
          </w:rPr>
          <w:t>A2013-51</w:t>
        </w:r>
      </w:hyperlink>
      <w:r w:rsidR="00D91301">
        <w:t xml:space="preserve"> mod 1.21</w:t>
      </w:r>
      <w:r w:rsidR="00932BA6">
        <w:t xml:space="preserve"> (mod om </w:t>
      </w:r>
      <w:hyperlink r:id="rId297"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14:paraId="373E18E9" w14:textId="1E588E14" w:rsidR="00436E84" w:rsidRDefault="00436E84" w:rsidP="005E03F7">
      <w:pPr>
        <w:pStyle w:val="AmdtsEntriesDefL2"/>
      </w:pPr>
      <w:r w:rsidRPr="00D83090">
        <w:rPr>
          <w:rStyle w:val="charUnderline"/>
          <w:u w:val="none"/>
        </w:rPr>
        <w:tab/>
      </w:r>
      <w:r>
        <w:rPr>
          <w:rStyle w:val="charUnderline"/>
          <w:u w:val="none"/>
        </w:rPr>
        <w:t>om</w:t>
      </w:r>
      <w:r>
        <w:t xml:space="preserve"> </w:t>
      </w:r>
      <w:hyperlink r:id="rId298" w:tooltip="Heavy Vehicle National Law and Other Legislation Amendment Act 2018 (Qld)" w:history="1">
        <w:r w:rsidR="00916EFA" w:rsidRPr="005E03F7">
          <w:rPr>
            <w:rStyle w:val="Hyperlink"/>
          </w:rPr>
          <w:t>A2018-10 (Qld)</w:t>
        </w:r>
        <w:r w:rsidRPr="005E03F7">
          <w:rPr>
            <w:rStyle w:val="Hyperlink"/>
          </w:rPr>
          <w:t xml:space="preserve"> </w:t>
        </w:r>
      </w:hyperlink>
      <w:r w:rsidRPr="00D83090">
        <w:t>s 14</w:t>
      </w:r>
    </w:p>
    <w:p w14:paraId="644E6F72" w14:textId="6EF920E7" w:rsidR="00D60527" w:rsidRDefault="007C0EF1" w:rsidP="00FF0E5C">
      <w:pPr>
        <w:pStyle w:val="AmdtsEntries"/>
      </w:pPr>
      <w:r>
        <w:lastRenderedPageBreak/>
        <w:tab/>
      </w:r>
      <w:r w:rsidR="00921587">
        <w:t>def</w:t>
      </w:r>
      <w:r w:rsidR="00400817">
        <w:rPr>
          <w:spacing w:val="-3"/>
        </w:rPr>
        <w:t xml:space="preserve"> </w:t>
      </w:r>
      <w:r w:rsidR="00400817">
        <w:rPr>
          <w:b/>
          <w:i/>
          <w:spacing w:val="-1"/>
        </w:rPr>
        <w:t>written-off</w:t>
      </w:r>
      <w:r w:rsidR="00400817">
        <w:rPr>
          <w:b/>
          <w:i/>
          <w:spacing w:val="-4"/>
        </w:rPr>
        <w:t xml:space="preserve"> </w:t>
      </w:r>
      <w:r w:rsidR="00D91301">
        <w:t>om</w:t>
      </w:r>
      <w:r w:rsidR="00D60527">
        <w:t xml:space="preserve"> as mod </w:t>
      </w:r>
      <w:hyperlink r:id="rId299" w:tooltip="Heavy Vehicle National Law (ACT) Act 2013" w:history="1">
        <w:r w:rsidR="00D60527" w:rsidRPr="0068043D">
          <w:rPr>
            <w:rStyle w:val="charCitHyperlinkAbbrev"/>
          </w:rPr>
          <w:t>A2013-51</w:t>
        </w:r>
      </w:hyperlink>
      <w:r w:rsidR="00D60527">
        <w:t xml:space="preserve"> mod 1.</w:t>
      </w:r>
      <w:r w:rsidR="00D91301">
        <w:t>21</w:t>
      </w:r>
      <w:r w:rsidR="00932BA6">
        <w:t xml:space="preserve"> (mod om </w:t>
      </w:r>
      <w:hyperlink r:id="rId300"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14:paraId="30164939" w14:textId="66702FF5" w:rsidR="00436E84" w:rsidRDefault="00436E84" w:rsidP="005E03F7">
      <w:pPr>
        <w:pStyle w:val="AmdtsEntriesDefL2"/>
      </w:pPr>
      <w:r w:rsidRPr="00D83090">
        <w:rPr>
          <w:rStyle w:val="charUnderline"/>
          <w:u w:val="none"/>
        </w:rPr>
        <w:tab/>
      </w:r>
      <w:r>
        <w:rPr>
          <w:rStyle w:val="charUnderline"/>
          <w:u w:val="none"/>
        </w:rPr>
        <w:t>om</w:t>
      </w:r>
      <w:r>
        <w:t xml:space="preserve"> </w:t>
      </w:r>
      <w:hyperlink r:id="rId301" w:tooltip="Heavy Vehicle National Law and Other Legislation Amendment Act 2018 (Qld)" w:history="1">
        <w:r w:rsidR="00916EFA" w:rsidRPr="005E03F7">
          <w:rPr>
            <w:rStyle w:val="Hyperlink"/>
          </w:rPr>
          <w:t>A2018-10 (Qld)</w:t>
        </w:r>
        <w:r w:rsidRPr="005E03F7">
          <w:rPr>
            <w:rStyle w:val="Hyperlink"/>
          </w:rPr>
          <w:t xml:space="preserve"> </w:t>
        </w:r>
      </w:hyperlink>
      <w:r w:rsidRPr="00D83090">
        <w:t>s 14</w:t>
      </w:r>
    </w:p>
    <w:p w14:paraId="6203DD42" w14:textId="77777777" w:rsidR="000C2E86" w:rsidRDefault="000C2E86" w:rsidP="000C2E86">
      <w:pPr>
        <w:pStyle w:val="AmdtsEntryHd"/>
      </w:pPr>
      <w:r>
        <w:t xml:space="preserve">Meaning of </w:t>
      </w:r>
      <w:r w:rsidRPr="009E1DB0">
        <w:rPr>
          <w:i/>
        </w:rPr>
        <w:t>heavy vehicle</w:t>
      </w:r>
    </w:p>
    <w:p w14:paraId="494C06BE" w14:textId="78ECB586" w:rsidR="000C2E86" w:rsidRPr="00577913" w:rsidRDefault="000C2E86" w:rsidP="005E03F7">
      <w:pPr>
        <w:pStyle w:val="AmdtsEntries"/>
      </w:pPr>
      <w:r>
        <w:t>s 6</w:t>
      </w:r>
      <w:r>
        <w:tab/>
      </w:r>
      <w:r>
        <w:rPr>
          <w:rStyle w:val="charUnderline"/>
          <w:u w:val="none"/>
        </w:rPr>
        <w:t>am</w:t>
      </w:r>
      <w:r>
        <w:t xml:space="preserve"> </w:t>
      </w:r>
      <w:hyperlink r:id="rId302" w:tooltip="Heavy Vehicle National Law and Other Legislation Amendment Act 2018 (Qld)" w:history="1">
        <w:r w:rsidR="00916EFA" w:rsidRPr="005E03F7">
          <w:rPr>
            <w:rStyle w:val="Hyperlink"/>
          </w:rPr>
          <w:t>A2018-10 (Qld)</w:t>
        </w:r>
        <w:r w:rsidRPr="005E03F7">
          <w:rPr>
            <w:rStyle w:val="Hyperlink"/>
          </w:rPr>
          <w:t xml:space="preserve"> </w:t>
        </w:r>
      </w:hyperlink>
      <w:r>
        <w:t>s 15</w:t>
      </w:r>
    </w:p>
    <w:p w14:paraId="04AB71BB" w14:textId="20FD5AA7" w:rsidR="007B214D" w:rsidRDefault="005B6EFD" w:rsidP="005B6EFD">
      <w:pPr>
        <w:pStyle w:val="AmdtsEntryHd"/>
        <w:rPr>
          <w:rFonts w:ascii="Helvetica" w:hAnsi="Helvetica" w:cs="Helvetica"/>
        </w:rPr>
      </w:pPr>
      <w:r>
        <w:rPr>
          <w:shd w:val="clear" w:color="auto" w:fill="FFFFFF"/>
        </w:rPr>
        <w:t>References to particular ADR versions</w:t>
      </w:r>
    </w:p>
    <w:p w14:paraId="4036CA15" w14:textId="2BFCC89F" w:rsidR="007B214D" w:rsidRDefault="007B214D" w:rsidP="005E03F7">
      <w:pPr>
        <w:pStyle w:val="AmdtsEntries"/>
      </w:pPr>
      <w:r>
        <w:t>s 14</w:t>
      </w:r>
      <w:r>
        <w:tab/>
        <w:t xml:space="preserve">om </w:t>
      </w:r>
      <w:hyperlink r:id="rId303" w:tooltip="Heavy Vehicle National Law and Other Legislation Amendment Act 2016" w:history="1">
        <w:r w:rsidR="00AB5C77" w:rsidRPr="005E03F7">
          <w:rPr>
            <w:rStyle w:val="Hyperlink"/>
          </w:rPr>
          <w:t>A2016-65 (Qld)</w:t>
        </w:r>
      </w:hyperlink>
      <w:r>
        <w:t xml:space="preserve"> s 8</w:t>
      </w:r>
    </w:p>
    <w:p w14:paraId="41124324" w14:textId="1BA947D1" w:rsidR="005B6EFD" w:rsidRPr="007B214D" w:rsidRDefault="005B6EFD" w:rsidP="007B214D">
      <w:pPr>
        <w:pStyle w:val="AmdtsEntries"/>
      </w:pPr>
      <w:r>
        <w:tab/>
        <w:t xml:space="preserve">ins </w:t>
      </w:r>
      <w:hyperlink r:id="rId304" w:tooltip="Heavy Vehicle National Law and Other Legislation Amendment Act 2019" w:history="1">
        <w:r w:rsidRPr="00137BAE">
          <w:rPr>
            <w:rStyle w:val="charCitHyperlinkAbbrev"/>
          </w:rPr>
          <w:t>A2019-29</w:t>
        </w:r>
      </w:hyperlink>
      <w:r>
        <w:t xml:space="preserve"> (Qld) s 5</w:t>
      </w:r>
    </w:p>
    <w:p w14:paraId="10F3557C" w14:textId="77777777" w:rsidR="008E0297" w:rsidRDefault="008E0297" w:rsidP="008E0297">
      <w:pPr>
        <w:pStyle w:val="AmdtsEntryHd"/>
        <w:rPr>
          <w:rFonts w:ascii="Helvetica" w:hAnsi="Helvetica" w:cs="Helvetica"/>
        </w:rPr>
      </w:pPr>
      <w:r w:rsidRPr="007E1F9A">
        <w:t>Relationship</w:t>
      </w:r>
      <w:r w:rsidRPr="007E1F9A">
        <w:rPr>
          <w:rFonts w:ascii="Helvetica" w:hAnsi="Helvetica" w:cs="Helvetica"/>
        </w:rPr>
        <w:t xml:space="preserve"> with primary work health and safety laws</w:t>
      </w:r>
    </w:p>
    <w:p w14:paraId="62231EF5" w14:textId="4834DE6A" w:rsidR="008E0297" w:rsidRPr="007B214D" w:rsidRDefault="008E0297" w:rsidP="005E03F7">
      <w:pPr>
        <w:pStyle w:val="AmdtsEntries"/>
      </w:pPr>
      <w:r>
        <w:t>s 18</w:t>
      </w:r>
      <w:r>
        <w:tab/>
        <w:t xml:space="preserve">am </w:t>
      </w:r>
      <w:hyperlink r:id="rId305" w:tooltip="Heavy Vehicle National Law and Other Legislation Amendment Act 2016" w:history="1">
        <w:r w:rsidR="00AB5C77" w:rsidRPr="005E03F7">
          <w:rPr>
            <w:rStyle w:val="Hyperlink"/>
          </w:rPr>
          <w:t>A2016-65 (Qld)</w:t>
        </w:r>
      </w:hyperlink>
      <w:r>
        <w:t xml:space="preserve"> s 9</w:t>
      </w:r>
    </w:p>
    <w:p w14:paraId="78677D95" w14:textId="77777777" w:rsidR="00E64E23" w:rsidRDefault="00E64E23" w:rsidP="00816477">
      <w:pPr>
        <w:pStyle w:val="AmdtsEntryHd"/>
      </w:pPr>
      <w:r w:rsidRPr="007E1F9A">
        <w:t>Application for PBS vehicle approval</w:t>
      </w:r>
    </w:p>
    <w:p w14:paraId="3549C281" w14:textId="2F4558E8" w:rsidR="00E64E23" w:rsidRPr="00E64E23" w:rsidRDefault="00E64E23" w:rsidP="005E03F7">
      <w:pPr>
        <w:pStyle w:val="AmdtsEntries"/>
      </w:pPr>
      <w:r>
        <w:t>s 23</w:t>
      </w:r>
      <w:r>
        <w:tab/>
        <w:t xml:space="preserve">am </w:t>
      </w:r>
      <w:hyperlink r:id="rId306" w:tooltip="Heavy Vehicle National Law Amendment Act 2018" w:history="1">
        <w:r w:rsidR="00C14D0F" w:rsidRPr="005E03F7">
          <w:rPr>
            <w:rStyle w:val="Hyperlink"/>
          </w:rPr>
          <w:t>A2018-18 (Qld)</w:t>
        </w:r>
      </w:hyperlink>
      <w:r>
        <w:t xml:space="preserve"> s 7</w:t>
      </w:r>
    </w:p>
    <w:p w14:paraId="69B78EA0" w14:textId="77777777" w:rsidR="00E64E23" w:rsidRPr="00E64E23" w:rsidRDefault="00E64E23" w:rsidP="00816477">
      <w:pPr>
        <w:pStyle w:val="AmdtsEntryHd"/>
      </w:pPr>
      <w:r w:rsidRPr="00E64E23">
        <w:rPr>
          <w:lang w:val="en"/>
        </w:rPr>
        <w:t>Keeping copy of PBS vehicle approval while driving</w:t>
      </w:r>
    </w:p>
    <w:p w14:paraId="41E78011" w14:textId="1270924D" w:rsidR="00E64E23" w:rsidRPr="00E64E23" w:rsidRDefault="00E64E23" w:rsidP="005E03F7">
      <w:pPr>
        <w:pStyle w:val="AmdtsEntries"/>
        <w:rPr>
          <w:lang w:val="en"/>
        </w:rPr>
      </w:pPr>
      <w:r>
        <w:rPr>
          <w:lang w:val="en"/>
        </w:rPr>
        <w:t>s 25A</w:t>
      </w:r>
      <w:r>
        <w:rPr>
          <w:lang w:val="en"/>
        </w:rPr>
        <w:tab/>
      </w:r>
      <w:r>
        <w:t xml:space="preserve">ins </w:t>
      </w:r>
      <w:hyperlink r:id="rId307" w:tooltip="Heavy Vehicle National Law Amendment Act 2018" w:history="1">
        <w:r w:rsidR="00C14D0F" w:rsidRPr="005E03F7">
          <w:rPr>
            <w:rStyle w:val="Hyperlink"/>
          </w:rPr>
          <w:t>A2018-18 (Qld)</w:t>
        </w:r>
      </w:hyperlink>
      <w:r>
        <w:t xml:space="preserve"> s 8</w:t>
      </w:r>
    </w:p>
    <w:p w14:paraId="6928F440" w14:textId="77777777" w:rsidR="0066587B" w:rsidRPr="0066587B" w:rsidRDefault="0066587B" w:rsidP="00816477">
      <w:pPr>
        <w:pStyle w:val="AmdtsEntryHd"/>
      </w:pPr>
      <w:r w:rsidRPr="0066587B">
        <w:rPr>
          <w:lang w:val="en"/>
        </w:rPr>
        <w:t>Safety duties</w:t>
      </w:r>
    </w:p>
    <w:p w14:paraId="632F208D" w14:textId="03A95B88" w:rsidR="0066587B" w:rsidRPr="0066587B" w:rsidRDefault="0066587B" w:rsidP="005E03F7">
      <w:pPr>
        <w:pStyle w:val="AmdtsEntries"/>
        <w:rPr>
          <w:lang w:val="en"/>
        </w:rPr>
      </w:pPr>
      <w:r>
        <w:rPr>
          <w:lang w:val="en"/>
        </w:rPr>
        <w:t>ch 1A hdg</w:t>
      </w:r>
      <w:r>
        <w:rPr>
          <w:lang w:val="en"/>
        </w:rPr>
        <w:tab/>
        <w:t xml:space="preserve">ins </w:t>
      </w:r>
      <w:hyperlink r:id="rId308" w:tooltip="Heavy Vehicle National Law and Other Legislation Amendment Act 2016" w:history="1">
        <w:r w:rsidR="00AB5C77" w:rsidRPr="005E03F7">
          <w:rPr>
            <w:rStyle w:val="Hyperlink"/>
          </w:rPr>
          <w:t>A2016-65 (Qld)</w:t>
        </w:r>
      </w:hyperlink>
      <w:r>
        <w:t xml:space="preserve"> s 10</w:t>
      </w:r>
    </w:p>
    <w:p w14:paraId="2200B13E" w14:textId="77777777" w:rsidR="00C8038C" w:rsidRPr="00C8038C" w:rsidRDefault="00C8038C" w:rsidP="00C8038C">
      <w:pPr>
        <w:pStyle w:val="AmdtsEntryHd"/>
      </w:pPr>
      <w:r w:rsidRPr="00C8038C">
        <w:rPr>
          <w:lang w:val="en"/>
        </w:rPr>
        <w:t>Principles</w:t>
      </w:r>
    </w:p>
    <w:p w14:paraId="0F9C6035" w14:textId="132935CB" w:rsidR="00C8038C" w:rsidRPr="0066587B" w:rsidRDefault="00C8038C" w:rsidP="005E03F7">
      <w:pPr>
        <w:pStyle w:val="AmdtsEntries"/>
        <w:rPr>
          <w:lang w:val="en"/>
        </w:rPr>
      </w:pPr>
      <w:r>
        <w:rPr>
          <w:lang w:val="en"/>
        </w:rPr>
        <w:t>pt 1A.1 hdg</w:t>
      </w:r>
      <w:r>
        <w:rPr>
          <w:lang w:val="en"/>
        </w:rPr>
        <w:tab/>
        <w:t xml:space="preserve">ins </w:t>
      </w:r>
      <w:hyperlink r:id="rId309" w:tooltip="Heavy Vehicle National Law and Other Legislation Amendment Act 2016" w:history="1">
        <w:r w:rsidR="00AB5C77" w:rsidRPr="005E03F7">
          <w:rPr>
            <w:rStyle w:val="Hyperlink"/>
          </w:rPr>
          <w:t>A2016-65 (Qld)</w:t>
        </w:r>
      </w:hyperlink>
      <w:r>
        <w:t xml:space="preserve"> s 10</w:t>
      </w:r>
    </w:p>
    <w:p w14:paraId="7D238C12" w14:textId="77777777" w:rsidR="00C8038C" w:rsidRPr="00C8038C" w:rsidRDefault="00C8038C" w:rsidP="00C8038C">
      <w:pPr>
        <w:pStyle w:val="AmdtsEntryHd"/>
      </w:pPr>
      <w:r w:rsidRPr="00C8038C">
        <w:rPr>
          <w:lang w:val="en"/>
        </w:rPr>
        <w:t>Principle of shared responsibility</w:t>
      </w:r>
    </w:p>
    <w:p w14:paraId="57C17EEE" w14:textId="2F0167DE" w:rsidR="00C8038C" w:rsidRPr="0066587B" w:rsidRDefault="00C8038C" w:rsidP="005E03F7">
      <w:pPr>
        <w:pStyle w:val="AmdtsEntries"/>
        <w:rPr>
          <w:lang w:val="en"/>
        </w:rPr>
      </w:pPr>
      <w:r>
        <w:rPr>
          <w:lang w:val="en"/>
        </w:rPr>
        <w:t>s 26A</w:t>
      </w:r>
      <w:r>
        <w:rPr>
          <w:lang w:val="en"/>
        </w:rPr>
        <w:tab/>
        <w:t xml:space="preserve">ins </w:t>
      </w:r>
      <w:hyperlink r:id="rId310" w:tooltip="Heavy Vehicle National Law and Other Legislation Amendment Act 2016" w:history="1">
        <w:r w:rsidR="00AB5C77" w:rsidRPr="005E03F7">
          <w:rPr>
            <w:rStyle w:val="Hyperlink"/>
          </w:rPr>
          <w:t>A2016-65 (Qld)</w:t>
        </w:r>
      </w:hyperlink>
      <w:r>
        <w:t xml:space="preserve"> s 10</w:t>
      </w:r>
    </w:p>
    <w:p w14:paraId="352F5BFC" w14:textId="77777777" w:rsidR="00C448A8" w:rsidRPr="00C448A8" w:rsidRDefault="00C448A8" w:rsidP="00C448A8">
      <w:pPr>
        <w:pStyle w:val="AmdtsEntryHd"/>
      </w:pPr>
      <w:r w:rsidRPr="00C448A8">
        <w:rPr>
          <w:lang w:val="en"/>
        </w:rPr>
        <w:t>Principles applying to duties</w:t>
      </w:r>
    </w:p>
    <w:p w14:paraId="74E89F1F" w14:textId="63FA6F30" w:rsidR="00C448A8" w:rsidRPr="0066587B" w:rsidRDefault="00C448A8" w:rsidP="005E03F7">
      <w:pPr>
        <w:pStyle w:val="AmdtsEntries"/>
        <w:rPr>
          <w:lang w:val="en"/>
        </w:rPr>
      </w:pPr>
      <w:r>
        <w:rPr>
          <w:lang w:val="en"/>
        </w:rPr>
        <w:t>s 26B</w:t>
      </w:r>
      <w:r>
        <w:rPr>
          <w:lang w:val="en"/>
        </w:rPr>
        <w:tab/>
        <w:t xml:space="preserve">ins </w:t>
      </w:r>
      <w:hyperlink r:id="rId311" w:tooltip="Heavy Vehicle National Law and Other Legislation Amendment Act 2016" w:history="1">
        <w:r w:rsidR="00AB5C77" w:rsidRPr="005E03F7">
          <w:rPr>
            <w:rStyle w:val="Hyperlink"/>
          </w:rPr>
          <w:t>A2016-65 (Qld)</w:t>
        </w:r>
      </w:hyperlink>
      <w:r>
        <w:t xml:space="preserve"> s 10</w:t>
      </w:r>
    </w:p>
    <w:p w14:paraId="1B2D5A88" w14:textId="77777777" w:rsidR="00C448A8" w:rsidRPr="00C448A8" w:rsidRDefault="00C448A8" w:rsidP="00C448A8">
      <w:pPr>
        <w:pStyle w:val="AmdtsEntryHd"/>
      </w:pPr>
      <w:r w:rsidRPr="00C448A8">
        <w:rPr>
          <w:lang w:val="en"/>
        </w:rPr>
        <w:t>Nature of duty</w:t>
      </w:r>
    </w:p>
    <w:p w14:paraId="35F6C708" w14:textId="19885F7A" w:rsidR="00C448A8" w:rsidRPr="0066587B" w:rsidRDefault="00C448A8" w:rsidP="005E03F7">
      <w:pPr>
        <w:pStyle w:val="AmdtsEntries"/>
        <w:rPr>
          <w:lang w:val="en"/>
        </w:rPr>
      </w:pPr>
      <w:r>
        <w:rPr>
          <w:lang w:val="en"/>
        </w:rPr>
        <w:t>pt 1A.2 hdg</w:t>
      </w:r>
      <w:r>
        <w:rPr>
          <w:lang w:val="en"/>
        </w:rPr>
        <w:tab/>
        <w:t xml:space="preserve">ins </w:t>
      </w:r>
      <w:hyperlink r:id="rId312" w:tooltip="Heavy Vehicle National Law and Other Legislation Amendment Act 2016" w:history="1">
        <w:r w:rsidR="00AB5C77" w:rsidRPr="005E03F7">
          <w:rPr>
            <w:rStyle w:val="Hyperlink"/>
          </w:rPr>
          <w:t>A2016-65 (Qld)</w:t>
        </w:r>
      </w:hyperlink>
      <w:r>
        <w:t xml:space="preserve"> s 10</w:t>
      </w:r>
    </w:p>
    <w:p w14:paraId="573E5D83" w14:textId="77777777" w:rsidR="00C448A8" w:rsidRPr="00C448A8" w:rsidRDefault="00C448A8" w:rsidP="00C448A8">
      <w:pPr>
        <w:pStyle w:val="AmdtsEntryHd"/>
      </w:pPr>
      <w:r w:rsidRPr="00C448A8">
        <w:rPr>
          <w:lang w:val="en"/>
        </w:rPr>
        <w:t>Primary duty</w:t>
      </w:r>
    </w:p>
    <w:p w14:paraId="0E96621B" w14:textId="1FC39966" w:rsidR="00C448A8" w:rsidRPr="0066587B" w:rsidRDefault="00C448A8" w:rsidP="005E03F7">
      <w:pPr>
        <w:pStyle w:val="AmdtsEntries"/>
        <w:rPr>
          <w:lang w:val="en"/>
        </w:rPr>
      </w:pPr>
      <w:r>
        <w:rPr>
          <w:lang w:val="en"/>
        </w:rPr>
        <w:t>s 26C</w:t>
      </w:r>
      <w:r>
        <w:rPr>
          <w:lang w:val="en"/>
        </w:rPr>
        <w:tab/>
        <w:t xml:space="preserve">ins </w:t>
      </w:r>
      <w:hyperlink r:id="rId313" w:tooltip="Heavy Vehicle National Law and Other Legislation Amendment Act 2016" w:history="1">
        <w:r w:rsidR="00AB5C77" w:rsidRPr="005E03F7">
          <w:rPr>
            <w:rStyle w:val="Hyperlink"/>
          </w:rPr>
          <w:t>A2016-65 (Qld)</w:t>
        </w:r>
      </w:hyperlink>
      <w:r>
        <w:t xml:space="preserve"> s 10</w:t>
      </w:r>
    </w:p>
    <w:p w14:paraId="3A3E4E6C" w14:textId="77777777" w:rsidR="00C448A8" w:rsidRPr="00C448A8" w:rsidRDefault="00C448A8" w:rsidP="00C448A8">
      <w:pPr>
        <w:pStyle w:val="AmdtsEntryHd"/>
      </w:pPr>
      <w:r w:rsidRPr="00C448A8">
        <w:rPr>
          <w:lang w:val="en"/>
        </w:rPr>
        <w:t>Duty of executive of legal entity</w:t>
      </w:r>
    </w:p>
    <w:p w14:paraId="035349F3" w14:textId="2DE09BDF" w:rsidR="00C448A8" w:rsidRDefault="00C448A8" w:rsidP="005E03F7">
      <w:pPr>
        <w:pStyle w:val="AmdtsEntries"/>
      </w:pPr>
      <w:r>
        <w:rPr>
          <w:lang w:val="en"/>
        </w:rPr>
        <w:t>s 26D</w:t>
      </w:r>
      <w:r>
        <w:rPr>
          <w:lang w:val="en"/>
        </w:rPr>
        <w:tab/>
        <w:t xml:space="preserve">ins </w:t>
      </w:r>
      <w:hyperlink r:id="rId314" w:tooltip="Heavy Vehicle National Law and Other Legislation Amendment Act 2016" w:history="1">
        <w:r w:rsidR="00AB5C77" w:rsidRPr="005E03F7">
          <w:rPr>
            <w:rStyle w:val="Hyperlink"/>
          </w:rPr>
          <w:t>A2016-65 (Qld)</w:t>
        </w:r>
      </w:hyperlink>
      <w:r>
        <w:t xml:space="preserve"> s 10</w:t>
      </w:r>
    </w:p>
    <w:p w14:paraId="2D48920C" w14:textId="55054D91" w:rsidR="00EA31AB" w:rsidRPr="0066587B" w:rsidRDefault="00EA31AB" w:rsidP="005E03F7">
      <w:pPr>
        <w:pStyle w:val="AmdtsEntries"/>
        <w:rPr>
          <w:lang w:val="en"/>
        </w:rPr>
      </w:pPr>
      <w:r>
        <w:tab/>
        <w:t xml:space="preserve">am </w:t>
      </w:r>
      <w:hyperlink r:id="rId315" w:tooltip="Heavy Vehicle National Law and Other Legislation Amendment Act 2018" w:history="1">
        <w:r w:rsidR="00916EFA" w:rsidRPr="005E03F7">
          <w:rPr>
            <w:rStyle w:val="Hyperlink"/>
          </w:rPr>
          <w:t>A2018-10 (Qld)</w:t>
        </w:r>
      </w:hyperlink>
      <w:r w:rsidRPr="00EA31AB">
        <w:t xml:space="preserve"> s 16</w:t>
      </w:r>
      <w:r w:rsidR="002460B8">
        <w:t>;</w:t>
      </w:r>
      <w:r w:rsidR="00643787">
        <w:t xml:space="preserve"> </w:t>
      </w:r>
      <w:hyperlink r:id="rId316" w:tooltip="Heavy Vehicle National Law Amendment Act 2018" w:history="1">
        <w:r w:rsidR="00C14D0F" w:rsidRPr="005E03F7">
          <w:rPr>
            <w:rStyle w:val="Hyperlink"/>
          </w:rPr>
          <w:t>A2018-18 (Qld)</w:t>
        </w:r>
      </w:hyperlink>
      <w:r w:rsidR="00643787">
        <w:t xml:space="preserve"> s 9</w:t>
      </w:r>
    </w:p>
    <w:p w14:paraId="541794A0" w14:textId="77777777" w:rsidR="00C448A8" w:rsidRPr="00C448A8" w:rsidRDefault="00C448A8" w:rsidP="00C448A8">
      <w:pPr>
        <w:pStyle w:val="AmdtsEntryHd"/>
      </w:pPr>
      <w:r w:rsidRPr="00C448A8">
        <w:rPr>
          <w:lang w:val="en"/>
        </w:rPr>
        <w:t>Prohibited requests and contracts</w:t>
      </w:r>
    </w:p>
    <w:p w14:paraId="27ADACCC" w14:textId="477D8F3D" w:rsidR="00C448A8" w:rsidRPr="0066587B" w:rsidRDefault="00C448A8" w:rsidP="005E03F7">
      <w:pPr>
        <w:pStyle w:val="AmdtsEntries"/>
        <w:rPr>
          <w:lang w:val="en"/>
        </w:rPr>
      </w:pPr>
      <w:r>
        <w:rPr>
          <w:lang w:val="en"/>
        </w:rPr>
        <w:t>s 26E</w:t>
      </w:r>
      <w:r>
        <w:rPr>
          <w:lang w:val="en"/>
        </w:rPr>
        <w:tab/>
        <w:t xml:space="preserve">ins </w:t>
      </w:r>
      <w:hyperlink r:id="rId317" w:tooltip="Heavy Vehicle National Law and Other Legislation Amendment Act 2016" w:history="1">
        <w:r w:rsidR="00AB5C77" w:rsidRPr="005E03F7">
          <w:rPr>
            <w:rStyle w:val="Hyperlink"/>
          </w:rPr>
          <w:t>A2016-65 (Qld)</w:t>
        </w:r>
      </w:hyperlink>
      <w:r>
        <w:t xml:space="preserve"> s 10</w:t>
      </w:r>
    </w:p>
    <w:p w14:paraId="4CCACC73" w14:textId="77777777" w:rsidR="00C448A8" w:rsidRPr="00C448A8" w:rsidRDefault="00C448A8" w:rsidP="00C448A8">
      <w:pPr>
        <w:pStyle w:val="AmdtsEntryHd"/>
      </w:pPr>
      <w:r w:rsidRPr="00C448A8">
        <w:rPr>
          <w:lang w:val="en"/>
        </w:rPr>
        <w:t>Failing to comply with duty</w:t>
      </w:r>
    </w:p>
    <w:p w14:paraId="1B12366A" w14:textId="36ECEFA7" w:rsidR="00C448A8" w:rsidRPr="0066587B" w:rsidRDefault="00C448A8" w:rsidP="005E03F7">
      <w:pPr>
        <w:pStyle w:val="AmdtsEntries"/>
        <w:rPr>
          <w:lang w:val="en"/>
        </w:rPr>
      </w:pPr>
      <w:r>
        <w:rPr>
          <w:lang w:val="en"/>
        </w:rPr>
        <w:t>pt 1A.3 hdg</w:t>
      </w:r>
      <w:r>
        <w:rPr>
          <w:lang w:val="en"/>
        </w:rPr>
        <w:tab/>
        <w:t xml:space="preserve">ins </w:t>
      </w:r>
      <w:hyperlink r:id="rId318" w:tooltip="Heavy Vehicle National Law and Other Legislation Amendment Act 2016" w:history="1">
        <w:r w:rsidR="00AB5C77" w:rsidRPr="005E03F7">
          <w:rPr>
            <w:rStyle w:val="Hyperlink"/>
          </w:rPr>
          <w:t>A2016-65 (Qld)</w:t>
        </w:r>
      </w:hyperlink>
      <w:r>
        <w:t xml:space="preserve"> s 10</w:t>
      </w:r>
    </w:p>
    <w:p w14:paraId="24BE43CC" w14:textId="77777777" w:rsidR="007D582C" w:rsidRPr="007D582C" w:rsidRDefault="007D582C" w:rsidP="007D582C">
      <w:pPr>
        <w:pStyle w:val="AmdtsEntryHd"/>
      </w:pPr>
      <w:r w:rsidRPr="007D582C">
        <w:rPr>
          <w:lang w:val="en"/>
        </w:rPr>
        <w:t>Category 1 offence</w:t>
      </w:r>
    </w:p>
    <w:p w14:paraId="323BA0EF" w14:textId="3AB2A100" w:rsidR="007D582C" w:rsidRPr="0066587B" w:rsidRDefault="007D582C" w:rsidP="005E03F7">
      <w:pPr>
        <w:pStyle w:val="AmdtsEntries"/>
        <w:rPr>
          <w:lang w:val="en"/>
        </w:rPr>
      </w:pPr>
      <w:r>
        <w:rPr>
          <w:lang w:val="en"/>
        </w:rPr>
        <w:t>s 26F</w:t>
      </w:r>
      <w:r>
        <w:rPr>
          <w:lang w:val="en"/>
        </w:rPr>
        <w:tab/>
        <w:t xml:space="preserve">ins </w:t>
      </w:r>
      <w:hyperlink r:id="rId319" w:tooltip="Heavy Vehicle National Law and Other Legislation Amendment Act 2016" w:history="1">
        <w:r w:rsidR="00AB5C77" w:rsidRPr="005E03F7">
          <w:rPr>
            <w:rStyle w:val="Hyperlink"/>
          </w:rPr>
          <w:t>A2016-65 (Qld)</w:t>
        </w:r>
      </w:hyperlink>
      <w:r>
        <w:t xml:space="preserve"> s 10</w:t>
      </w:r>
    </w:p>
    <w:p w14:paraId="3499B0AA" w14:textId="77777777" w:rsidR="007D582C" w:rsidRPr="007D582C" w:rsidRDefault="007D582C" w:rsidP="007D582C">
      <w:pPr>
        <w:pStyle w:val="AmdtsEntryHd"/>
      </w:pPr>
      <w:r w:rsidRPr="007D582C">
        <w:rPr>
          <w:lang w:val="en"/>
        </w:rPr>
        <w:t>Category 2 offence</w:t>
      </w:r>
    </w:p>
    <w:p w14:paraId="071B3A4F" w14:textId="71D753D7" w:rsidR="007D582C" w:rsidRPr="0066587B" w:rsidRDefault="007D582C" w:rsidP="005E03F7">
      <w:pPr>
        <w:pStyle w:val="AmdtsEntries"/>
        <w:rPr>
          <w:lang w:val="en"/>
        </w:rPr>
      </w:pPr>
      <w:r>
        <w:rPr>
          <w:lang w:val="en"/>
        </w:rPr>
        <w:t>s 26G</w:t>
      </w:r>
      <w:r>
        <w:rPr>
          <w:lang w:val="en"/>
        </w:rPr>
        <w:tab/>
        <w:t xml:space="preserve">ins </w:t>
      </w:r>
      <w:hyperlink r:id="rId320" w:tooltip="Heavy Vehicle National Law and Other Legislation Amendment Act 2016" w:history="1">
        <w:r w:rsidR="00AB5C77" w:rsidRPr="005E03F7">
          <w:rPr>
            <w:rStyle w:val="Hyperlink"/>
          </w:rPr>
          <w:t>A2016-65 (Qld)</w:t>
        </w:r>
      </w:hyperlink>
      <w:r>
        <w:t xml:space="preserve"> s 10</w:t>
      </w:r>
    </w:p>
    <w:p w14:paraId="3A98A64A" w14:textId="77777777" w:rsidR="007D582C" w:rsidRPr="007D582C" w:rsidRDefault="007D582C" w:rsidP="007D582C">
      <w:pPr>
        <w:pStyle w:val="AmdtsEntryHd"/>
      </w:pPr>
      <w:r w:rsidRPr="007D582C">
        <w:rPr>
          <w:lang w:val="en"/>
        </w:rPr>
        <w:lastRenderedPageBreak/>
        <w:t>Category 3 offence</w:t>
      </w:r>
    </w:p>
    <w:p w14:paraId="0D304A90" w14:textId="6CB84CF3" w:rsidR="007D582C" w:rsidRPr="0066587B" w:rsidRDefault="007D582C" w:rsidP="005E03F7">
      <w:pPr>
        <w:pStyle w:val="AmdtsEntries"/>
        <w:rPr>
          <w:lang w:val="en"/>
        </w:rPr>
      </w:pPr>
      <w:r>
        <w:rPr>
          <w:lang w:val="en"/>
        </w:rPr>
        <w:t>s 26H</w:t>
      </w:r>
      <w:r>
        <w:rPr>
          <w:lang w:val="en"/>
        </w:rPr>
        <w:tab/>
        <w:t xml:space="preserve">ins </w:t>
      </w:r>
      <w:hyperlink r:id="rId321" w:tooltip="Heavy Vehicle National Law and Other Legislation Amendment Act 2016" w:history="1">
        <w:r w:rsidR="00AB5C77" w:rsidRPr="005E03F7">
          <w:rPr>
            <w:rStyle w:val="Hyperlink"/>
          </w:rPr>
          <w:t>A2016-65 (Qld)</w:t>
        </w:r>
      </w:hyperlink>
      <w:r>
        <w:t xml:space="preserve"> s 10</w:t>
      </w:r>
    </w:p>
    <w:p w14:paraId="10A93C73" w14:textId="77777777" w:rsidR="002644E1" w:rsidRDefault="00577913" w:rsidP="00816477">
      <w:pPr>
        <w:pStyle w:val="AmdtsEntryHd"/>
      </w:pPr>
      <w:r w:rsidRPr="00CB7D92">
        <w:t>Registration</w:t>
      </w:r>
    </w:p>
    <w:p w14:paraId="4780BBDA" w14:textId="756CEB34" w:rsidR="00577913" w:rsidRPr="00577913" w:rsidRDefault="00577913" w:rsidP="005E03F7">
      <w:pPr>
        <w:pStyle w:val="AmdtsEntries"/>
      </w:pPr>
      <w:r>
        <w:t>ch 2 hdg</w:t>
      </w:r>
      <w:r>
        <w:tab/>
      </w:r>
      <w:r w:rsidR="00AC014E">
        <w:t xml:space="preserve">never commenced and </w:t>
      </w:r>
      <w:r>
        <w:t xml:space="preserve">om </w:t>
      </w:r>
      <w:hyperlink r:id="rId322" w:tooltip="Heavy Vehicle National Law and Other Legislation Amendment Act 2018" w:history="1">
        <w:r w:rsidR="00916EFA" w:rsidRPr="005E03F7">
          <w:rPr>
            <w:rStyle w:val="Hyperlink"/>
          </w:rPr>
          <w:t>A2018-10 (Qld)</w:t>
        </w:r>
      </w:hyperlink>
      <w:r w:rsidRPr="00577913">
        <w:t xml:space="preserve"> s 17</w:t>
      </w:r>
    </w:p>
    <w:p w14:paraId="30B37D40" w14:textId="77777777" w:rsidR="00577913" w:rsidRDefault="00577913" w:rsidP="00577913">
      <w:pPr>
        <w:pStyle w:val="AmdtsEntryHd"/>
      </w:pPr>
      <w:r>
        <w:t>Preliminary</w:t>
      </w:r>
    </w:p>
    <w:p w14:paraId="70D8DF08" w14:textId="6E881D81" w:rsidR="00577913" w:rsidRPr="00577913" w:rsidRDefault="00577913" w:rsidP="005E03F7">
      <w:pPr>
        <w:pStyle w:val="AmdtsEntries"/>
      </w:pPr>
      <w:r>
        <w:t>pt 2.1 hdg</w:t>
      </w:r>
      <w:r>
        <w:tab/>
      </w:r>
      <w:r w:rsidR="00AC014E">
        <w:t xml:space="preserve">never commenced and </w:t>
      </w:r>
      <w:r>
        <w:t xml:space="preserve">om </w:t>
      </w:r>
      <w:hyperlink r:id="rId323" w:tooltip="Heavy Vehicle National Law and Other Legislation Amendment Act 2018" w:history="1">
        <w:r w:rsidR="00916EFA" w:rsidRPr="005E03F7">
          <w:rPr>
            <w:rStyle w:val="Hyperlink"/>
          </w:rPr>
          <w:t>A2018-10 (Qld)</w:t>
        </w:r>
      </w:hyperlink>
      <w:r w:rsidRPr="00577913">
        <w:t xml:space="preserve"> s 17</w:t>
      </w:r>
    </w:p>
    <w:p w14:paraId="4AF12D7E" w14:textId="77777777" w:rsidR="00577913" w:rsidRDefault="00577913" w:rsidP="00577913">
      <w:pPr>
        <w:pStyle w:val="AmdtsEntryHd"/>
      </w:pPr>
      <w:r w:rsidRPr="00CB7D92">
        <w:t>Main purpose of Ch 2</w:t>
      </w:r>
    </w:p>
    <w:p w14:paraId="216B10B8" w14:textId="76E0C230" w:rsidR="00577913" w:rsidRPr="00577913" w:rsidRDefault="00577913" w:rsidP="005E03F7">
      <w:pPr>
        <w:pStyle w:val="AmdtsEntries"/>
      </w:pPr>
      <w:r>
        <w:t>s 27</w:t>
      </w:r>
      <w:r>
        <w:tab/>
      </w:r>
      <w:r w:rsidR="00AC014E">
        <w:t xml:space="preserve">never commenced and </w:t>
      </w:r>
      <w:r>
        <w:t xml:space="preserve">om </w:t>
      </w:r>
      <w:hyperlink r:id="rId324" w:tooltip="Heavy Vehicle National Law and Other Legislation Amendment Act 2018" w:history="1">
        <w:r w:rsidR="00916EFA" w:rsidRPr="005E03F7">
          <w:rPr>
            <w:rStyle w:val="Hyperlink"/>
          </w:rPr>
          <w:t>A2018-10 (Qld)</w:t>
        </w:r>
      </w:hyperlink>
      <w:r w:rsidRPr="00577913">
        <w:t xml:space="preserve"> s 17</w:t>
      </w:r>
    </w:p>
    <w:p w14:paraId="236D236F" w14:textId="77777777" w:rsidR="00577913" w:rsidRDefault="00577913" w:rsidP="00577913">
      <w:pPr>
        <w:pStyle w:val="AmdtsEntryHd"/>
      </w:pPr>
      <w:r w:rsidRPr="00CB7D92">
        <w:t>Registration scheme</w:t>
      </w:r>
    </w:p>
    <w:p w14:paraId="2CF522D5" w14:textId="2786B409" w:rsidR="00577913" w:rsidRPr="00577913" w:rsidRDefault="00577913" w:rsidP="00577913">
      <w:pPr>
        <w:pStyle w:val="AmdtsEntries"/>
      </w:pPr>
      <w:r>
        <w:t>pt 2.2 hdg</w:t>
      </w:r>
      <w:r>
        <w:tab/>
      </w:r>
      <w:r w:rsidR="00AC014E">
        <w:t xml:space="preserve">never commenced and </w:t>
      </w:r>
      <w:r>
        <w:t xml:space="preserve">om </w:t>
      </w:r>
      <w:hyperlink r:id="rId325" w:tooltip="Heavy Vehicle National Law and Other Legislation Amendment Act 2018" w:history="1">
        <w:r w:rsidR="00BF5540">
          <w:rPr>
            <w:rStyle w:val="charCitHyperlinkAbbrev"/>
          </w:rPr>
          <w:t>A2018-10</w:t>
        </w:r>
      </w:hyperlink>
      <w:r w:rsidRPr="00577913">
        <w:t xml:space="preserve"> </w:t>
      </w:r>
      <w:r w:rsidR="00BF5540">
        <w:t>(</w:t>
      </w:r>
      <w:r w:rsidR="00CD0B7A">
        <w:t>Qld</w:t>
      </w:r>
      <w:r w:rsidR="00BF5540">
        <w:t xml:space="preserve">) </w:t>
      </w:r>
      <w:r w:rsidRPr="00577913">
        <w:t>s 17</w:t>
      </w:r>
    </w:p>
    <w:p w14:paraId="5346001F" w14:textId="77777777" w:rsidR="00577913" w:rsidRDefault="00577913" w:rsidP="00577913">
      <w:pPr>
        <w:pStyle w:val="AmdtsEntryHd"/>
      </w:pPr>
      <w:r w:rsidRPr="00CB7D92">
        <w:t>Preliminary</w:t>
      </w:r>
    </w:p>
    <w:p w14:paraId="3F7F8EB0" w14:textId="75B575D6" w:rsidR="00577913" w:rsidRPr="00577913" w:rsidRDefault="00577913" w:rsidP="005E03F7">
      <w:pPr>
        <w:pStyle w:val="AmdtsEntries"/>
      </w:pPr>
      <w:r>
        <w:t>div 1 hdg</w:t>
      </w:r>
      <w:r>
        <w:tab/>
      </w:r>
      <w:r w:rsidR="00AC014E">
        <w:t xml:space="preserve">never commenced and </w:t>
      </w:r>
      <w:r>
        <w:t xml:space="preserve">om </w:t>
      </w:r>
      <w:hyperlink r:id="rId326" w:tooltip="Heavy Vehicle National Law and Other Legislation Amendment Act 2018" w:history="1">
        <w:r w:rsidR="00BF5540" w:rsidRPr="005E03F7">
          <w:rPr>
            <w:rStyle w:val="Hyperlink"/>
          </w:rPr>
          <w:t>A2018-10 (Qld)</w:t>
        </w:r>
      </w:hyperlink>
      <w:r w:rsidRPr="00577913">
        <w:t xml:space="preserve"> s 17</w:t>
      </w:r>
    </w:p>
    <w:p w14:paraId="1B91BF38" w14:textId="77777777" w:rsidR="00577913" w:rsidRDefault="00577913" w:rsidP="00577913">
      <w:pPr>
        <w:pStyle w:val="AmdtsEntryHd"/>
      </w:pPr>
      <w:r w:rsidRPr="00CB7D92">
        <w:t>Scheme for registration of heavy vehicles</w:t>
      </w:r>
    </w:p>
    <w:p w14:paraId="4161938C" w14:textId="4D769844" w:rsidR="00577913" w:rsidRPr="00577913" w:rsidRDefault="00577913" w:rsidP="005E03F7">
      <w:pPr>
        <w:pStyle w:val="AmdtsEntries"/>
      </w:pPr>
      <w:r>
        <w:t>s 28</w:t>
      </w:r>
      <w:r>
        <w:tab/>
      </w:r>
      <w:r w:rsidR="00AC014E">
        <w:t xml:space="preserve">never commenced and </w:t>
      </w:r>
      <w:r>
        <w:t xml:space="preserve">om </w:t>
      </w:r>
      <w:hyperlink r:id="rId327" w:tooltip="Heavy Vehicle National Law and Other Legislation Amendment Act 2018" w:history="1">
        <w:r w:rsidR="00BF5540" w:rsidRPr="005E03F7">
          <w:rPr>
            <w:rStyle w:val="Hyperlink"/>
          </w:rPr>
          <w:t>A2018-10 (Qld)</w:t>
        </w:r>
      </w:hyperlink>
      <w:r w:rsidRPr="00577913">
        <w:t xml:space="preserve"> s 17</w:t>
      </w:r>
    </w:p>
    <w:p w14:paraId="57663148" w14:textId="77777777" w:rsidR="00577913" w:rsidRDefault="00577913" w:rsidP="00577913">
      <w:pPr>
        <w:pStyle w:val="AmdtsEntryHd"/>
      </w:pPr>
      <w:r w:rsidRPr="00CB7D92">
        <w:t>Registration not evidence of title</w:t>
      </w:r>
    </w:p>
    <w:p w14:paraId="067D85AE" w14:textId="59BC368D" w:rsidR="00577913" w:rsidRPr="00577913" w:rsidRDefault="00577913" w:rsidP="005E03F7">
      <w:pPr>
        <w:pStyle w:val="AmdtsEntries"/>
      </w:pPr>
      <w:r>
        <w:t>s 29</w:t>
      </w:r>
      <w:r>
        <w:tab/>
      </w:r>
      <w:r w:rsidR="00AC014E">
        <w:t xml:space="preserve">never commenced and </w:t>
      </w:r>
      <w:r>
        <w:t xml:space="preserve">om </w:t>
      </w:r>
      <w:hyperlink r:id="rId328" w:tooltip="Heavy Vehicle National Law and Other Legislation Amendment Act 2018" w:history="1">
        <w:r w:rsidR="00BF5540" w:rsidRPr="005E03F7">
          <w:rPr>
            <w:rStyle w:val="Hyperlink"/>
          </w:rPr>
          <w:t>A2018-10 (Qld)</w:t>
        </w:r>
      </w:hyperlink>
      <w:r w:rsidRPr="00577913">
        <w:t xml:space="preserve"> s 17</w:t>
      </w:r>
    </w:p>
    <w:p w14:paraId="187E149E" w14:textId="77777777" w:rsidR="00577913" w:rsidRDefault="00577913" w:rsidP="00577913">
      <w:pPr>
        <w:pStyle w:val="AmdtsEntryHd"/>
      </w:pPr>
      <w:r w:rsidRPr="00CB7D92">
        <w:t>Requirement for heavy vehicle to be registered</w:t>
      </w:r>
    </w:p>
    <w:p w14:paraId="37E9B1EA" w14:textId="2485B4DD" w:rsidR="00577913" w:rsidRPr="00577913" w:rsidRDefault="00577913" w:rsidP="005E03F7">
      <w:pPr>
        <w:pStyle w:val="AmdtsEntries"/>
      </w:pPr>
      <w:r>
        <w:t>div 2 hdg</w:t>
      </w:r>
      <w:r>
        <w:tab/>
      </w:r>
      <w:r w:rsidR="00AC014E">
        <w:t xml:space="preserve">never commenced and </w:t>
      </w:r>
      <w:r>
        <w:t xml:space="preserve">om </w:t>
      </w:r>
      <w:hyperlink r:id="rId329" w:tooltip="Heavy Vehicle National Law and Other Legislation Amendment Act 2018" w:history="1">
        <w:r w:rsidR="00BF5540" w:rsidRPr="005E03F7">
          <w:rPr>
            <w:rStyle w:val="Hyperlink"/>
          </w:rPr>
          <w:t>A2018-10 (Qld)</w:t>
        </w:r>
      </w:hyperlink>
      <w:r w:rsidRPr="00577913">
        <w:t xml:space="preserve"> s 17</w:t>
      </w:r>
    </w:p>
    <w:p w14:paraId="1B5B208C" w14:textId="77777777" w:rsidR="00CE071E" w:rsidRDefault="00CE071E" w:rsidP="00CE071E">
      <w:pPr>
        <w:pStyle w:val="AmdtsEntryHd"/>
      </w:pPr>
      <w:r w:rsidRPr="00CB7D92">
        <w:t>Registration requirement</w:t>
      </w:r>
    </w:p>
    <w:p w14:paraId="11FC59BA" w14:textId="38783C81" w:rsidR="00CE071E" w:rsidRPr="00577913" w:rsidRDefault="00CE071E" w:rsidP="005E03F7">
      <w:pPr>
        <w:pStyle w:val="AmdtsEntries"/>
      </w:pPr>
      <w:r>
        <w:t>s 30</w:t>
      </w:r>
      <w:r>
        <w:tab/>
      </w:r>
      <w:r w:rsidR="00AC014E">
        <w:t xml:space="preserve">never commenced and </w:t>
      </w:r>
      <w:r>
        <w:t xml:space="preserve">om </w:t>
      </w:r>
      <w:hyperlink r:id="rId330" w:tooltip="Heavy Vehicle National Law and Other Legislation Amendment Act 2018" w:history="1">
        <w:r w:rsidR="00BF5540" w:rsidRPr="005E03F7">
          <w:rPr>
            <w:rStyle w:val="Hyperlink"/>
          </w:rPr>
          <w:t>A2018-10 (Qld)</w:t>
        </w:r>
      </w:hyperlink>
      <w:r w:rsidRPr="00577913">
        <w:t xml:space="preserve"> s 17</w:t>
      </w:r>
    </w:p>
    <w:p w14:paraId="190AF742" w14:textId="77777777" w:rsidR="00CE071E" w:rsidRDefault="00CE071E" w:rsidP="00CE071E">
      <w:pPr>
        <w:pStyle w:val="AmdtsEntryHd"/>
      </w:pPr>
      <w:r w:rsidRPr="00CB7D92">
        <w:t>Authorised use of unregistered heavy vehicle</w:t>
      </w:r>
    </w:p>
    <w:p w14:paraId="54BC6BC7" w14:textId="77B5FFDF" w:rsidR="00CE071E" w:rsidRPr="00577913" w:rsidRDefault="00CE071E" w:rsidP="005E03F7">
      <w:pPr>
        <w:pStyle w:val="AmdtsEntries"/>
      </w:pPr>
      <w:r>
        <w:t>div 3 hdg</w:t>
      </w:r>
      <w:r>
        <w:tab/>
      </w:r>
      <w:r w:rsidR="00AC014E">
        <w:t xml:space="preserve">never commenced and </w:t>
      </w:r>
      <w:r>
        <w:t xml:space="preserve">om </w:t>
      </w:r>
      <w:hyperlink r:id="rId331" w:tooltip="Heavy Vehicle National Law and Other Legislation Amendment Act 2018" w:history="1">
        <w:r w:rsidR="00BF5540" w:rsidRPr="005E03F7">
          <w:rPr>
            <w:rStyle w:val="Hyperlink"/>
          </w:rPr>
          <w:t>A2018-10 (Qld)</w:t>
        </w:r>
      </w:hyperlink>
      <w:r w:rsidRPr="00577913">
        <w:t xml:space="preserve"> s 17</w:t>
      </w:r>
    </w:p>
    <w:p w14:paraId="5B7F9219" w14:textId="77777777" w:rsidR="00CE071E" w:rsidRDefault="00CE071E" w:rsidP="00CE071E">
      <w:pPr>
        <w:pStyle w:val="AmdtsEntryHd"/>
      </w:pPr>
      <w:r w:rsidRPr="00CB7D92">
        <w:t>Purpose of Div 3</w:t>
      </w:r>
    </w:p>
    <w:p w14:paraId="4814BCFF" w14:textId="1C25F424" w:rsidR="00CE071E" w:rsidRPr="00577913" w:rsidRDefault="00CE071E" w:rsidP="005E03F7">
      <w:pPr>
        <w:pStyle w:val="AmdtsEntries"/>
      </w:pPr>
      <w:r>
        <w:t>s 31</w:t>
      </w:r>
      <w:r>
        <w:tab/>
      </w:r>
      <w:r w:rsidR="00AC014E">
        <w:t xml:space="preserve">never commenced and </w:t>
      </w:r>
      <w:r>
        <w:t xml:space="preserve">om </w:t>
      </w:r>
      <w:hyperlink r:id="rId332" w:tooltip="Heavy Vehicle National Law and Other Legislation Amendment Act 2018" w:history="1">
        <w:r w:rsidR="00BF5540" w:rsidRPr="005E03F7">
          <w:rPr>
            <w:rStyle w:val="Hyperlink"/>
          </w:rPr>
          <w:t>A2018-10 (Qld)</w:t>
        </w:r>
      </w:hyperlink>
      <w:r w:rsidRPr="00577913">
        <w:t xml:space="preserve"> s 17</w:t>
      </w:r>
    </w:p>
    <w:p w14:paraId="5EA35C66" w14:textId="77777777" w:rsidR="00CE071E" w:rsidRDefault="00CE071E" w:rsidP="00CE071E">
      <w:pPr>
        <w:pStyle w:val="AmdtsEntryHd"/>
      </w:pPr>
      <w:r w:rsidRPr="00CB7D92">
        <w:t>Unregistered heavy vehicle on journey for obtaining registration</w:t>
      </w:r>
    </w:p>
    <w:p w14:paraId="3C1CA61F" w14:textId="7713D2BB" w:rsidR="00CE071E" w:rsidRPr="00577913" w:rsidRDefault="00CE071E" w:rsidP="005E03F7">
      <w:pPr>
        <w:pStyle w:val="AmdtsEntries"/>
      </w:pPr>
      <w:r>
        <w:t>s 32</w:t>
      </w:r>
      <w:r>
        <w:tab/>
      </w:r>
      <w:r w:rsidR="00AC014E">
        <w:t xml:space="preserve">never commenced and </w:t>
      </w:r>
      <w:r>
        <w:t xml:space="preserve">om </w:t>
      </w:r>
      <w:hyperlink r:id="rId333" w:tooltip="Heavy Vehicle National Law and Other Legislation Amendment Act 2018" w:history="1">
        <w:r w:rsidR="00BF5540" w:rsidRPr="005E03F7">
          <w:rPr>
            <w:rStyle w:val="Hyperlink"/>
          </w:rPr>
          <w:t>A2018-10 (Qld)</w:t>
        </w:r>
      </w:hyperlink>
      <w:r w:rsidRPr="00577913">
        <w:t xml:space="preserve"> s 17</w:t>
      </w:r>
    </w:p>
    <w:p w14:paraId="321DD0C6" w14:textId="77777777" w:rsidR="00CE071E" w:rsidRDefault="00CE071E" w:rsidP="00CE071E">
      <w:pPr>
        <w:pStyle w:val="AmdtsEntryHd"/>
      </w:pPr>
      <w:r w:rsidRPr="00CB7D92">
        <w:t>Unregistered heavy vehicle temporarily in Australia</w:t>
      </w:r>
    </w:p>
    <w:p w14:paraId="3CDF09C8" w14:textId="4E883EFA" w:rsidR="00CE071E" w:rsidRPr="00577913" w:rsidRDefault="00CE071E" w:rsidP="005E03F7">
      <w:pPr>
        <w:pStyle w:val="AmdtsEntries"/>
      </w:pPr>
      <w:r>
        <w:t>s 33</w:t>
      </w:r>
      <w:r>
        <w:tab/>
      </w:r>
      <w:r w:rsidR="00AC014E">
        <w:t xml:space="preserve">never commenced and </w:t>
      </w:r>
      <w:r>
        <w:t xml:space="preserve">om </w:t>
      </w:r>
      <w:hyperlink r:id="rId334" w:tooltip="Heavy Vehicle National Law and Other Legislation Amendment Act 2018" w:history="1">
        <w:r w:rsidR="00BF5540" w:rsidRPr="005E03F7">
          <w:rPr>
            <w:rStyle w:val="Hyperlink"/>
          </w:rPr>
          <w:t>A2018-10 (Qld)</w:t>
        </w:r>
      </w:hyperlink>
      <w:r w:rsidRPr="00577913">
        <w:t xml:space="preserve"> s 17</w:t>
      </w:r>
    </w:p>
    <w:p w14:paraId="53870CEE" w14:textId="77777777" w:rsidR="00CE071E" w:rsidRDefault="00CE071E" w:rsidP="00CE071E">
      <w:pPr>
        <w:pStyle w:val="AmdtsEntryHd"/>
      </w:pPr>
      <w:r w:rsidRPr="00CB7D92">
        <w:t>Unregistered heavy vehicle used for short term only</w:t>
      </w:r>
    </w:p>
    <w:p w14:paraId="7F07E70A" w14:textId="5BE4DE27" w:rsidR="00CE071E" w:rsidRPr="00577913" w:rsidRDefault="00CE071E" w:rsidP="005E03F7">
      <w:pPr>
        <w:pStyle w:val="AmdtsEntries"/>
      </w:pPr>
      <w:r>
        <w:t>s 34</w:t>
      </w:r>
      <w:r>
        <w:tab/>
      </w:r>
      <w:r w:rsidR="00AC014E">
        <w:t xml:space="preserve">never commenced and </w:t>
      </w:r>
      <w:r>
        <w:t xml:space="preserve">om </w:t>
      </w:r>
      <w:hyperlink r:id="rId335" w:tooltip="Heavy Vehicle National Law and Other Legislation Amendment Act 2018" w:history="1">
        <w:r w:rsidR="00BF5540" w:rsidRPr="005E03F7">
          <w:rPr>
            <w:rStyle w:val="Hyperlink"/>
          </w:rPr>
          <w:t>A2018-10 (Qld)</w:t>
        </w:r>
      </w:hyperlink>
      <w:r w:rsidRPr="00577913">
        <w:t xml:space="preserve"> s 17</w:t>
      </w:r>
    </w:p>
    <w:p w14:paraId="6D377001" w14:textId="77777777" w:rsidR="00CE071E" w:rsidRDefault="00CE071E" w:rsidP="00CE071E">
      <w:pPr>
        <w:pStyle w:val="AmdtsEntryHd"/>
      </w:pPr>
      <w:r w:rsidRPr="00CB7D92">
        <w:t>Unregistered heavy vehicle used locally only</w:t>
      </w:r>
    </w:p>
    <w:p w14:paraId="02D0BC7F" w14:textId="762B5621" w:rsidR="00CE071E" w:rsidRPr="00577913" w:rsidRDefault="00CE071E" w:rsidP="005E03F7">
      <w:pPr>
        <w:pStyle w:val="AmdtsEntries"/>
      </w:pPr>
      <w:r>
        <w:t>s 35</w:t>
      </w:r>
      <w:r>
        <w:tab/>
      </w:r>
      <w:r w:rsidR="00AC014E">
        <w:t xml:space="preserve">never commenced and </w:t>
      </w:r>
      <w:r>
        <w:t xml:space="preserve">om </w:t>
      </w:r>
      <w:hyperlink r:id="rId336" w:tooltip="Heavy Vehicle National Law and Other Legislation Amendment Act 2018" w:history="1">
        <w:r w:rsidR="00BF5540" w:rsidRPr="005E03F7">
          <w:rPr>
            <w:rStyle w:val="Hyperlink"/>
          </w:rPr>
          <w:t>A2018-10 (Qld)</w:t>
        </w:r>
      </w:hyperlink>
      <w:r w:rsidRPr="00577913">
        <w:t xml:space="preserve"> s 17</w:t>
      </w:r>
    </w:p>
    <w:p w14:paraId="1CDBF76E" w14:textId="77777777" w:rsidR="00CE071E" w:rsidRDefault="00CE071E" w:rsidP="00CE071E">
      <w:pPr>
        <w:pStyle w:val="AmdtsEntryHd"/>
      </w:pPr>
      <w:r w:rsidRPr="00CB7D92">
        <w:t>Unregistered heavy vehicle that is an agricultural vehicle</w:t>
      </w:r>
    </w:p>
    <w:p w14:paraId="3DAFFFA5" w14:textId="779439A1" w:rsidR="00CE071E" w:rsidRPr="00577913" w:rsidRDefault="00CE071E" w:rsidP="005E03F7">
      <w:pPr>
        <w:pStyle w:val="AmdtsEntries"/>
      </w:pPr>
      <w:r>
        <w:t>s 36</w:t>
      </w:r>
      <w:r>
        <w:tab/>
      </w:r>
      <w:r w:rsidR="00AC014E">
        <w:t xml:space="preserve">never commenced and </w:t>
      </w:r>
      <w:r>
        <w:t xml:space="preserve">om </w:t>
      </w:r>
      <w:hyperlink r:id="rId337" w:tooltip="Heavy Vehicle National Law and Other Legislation Amendment Act 2018" w:history="1">
        <w:r w:rsidR="00BF5540" w:rsidRPr="005E03F7">
          <w:rPr>
            <w:rStyle w:val="Hyperlink"/>
          </w:rPr>
          <w:t>A2018-10 (Qld)</w:t>
        </w:r>
      </w:hyperlink>
      <w:r w:rsidRPr="00577913">
        <w:t xml:space="preserve"> s 17</w:t>
      </w:r>
    </w:p>
    <w:p w14:paraId="23EF2EC4" w14:textId="77777777" w:rsidR="00CE071E" w:rsidRDefault="00CE071E" w:rsidP="00CE071E">
      <w:pPr>
        <w:pStyle w:val="AmdtsEntryHd"/>
      </w:pPr>
      <w:r w:rsidRPr="00CB7D92">
        <w:t>Unregistered heavy vehicle being towed</w:t>
      </w:r>
    </w:p>
    <w:p w14:paraId="29E1D62B" w14:textId="0C73C942" w:rsidR="00CE071E" w:rsidRPr="00577913" w:rsidRDefault="00CE071E" w:rsidP="005E03F7">
      <w:pPr>
        <w:pStyle w:val="AmdtsEntries"/>
      </w:pPr>
      <w:r>
        <w:t>s 37</w:t>
      </w:r>
      <w:r>
        <w:tab/>
      </w:r>
      <w:r w:rsidR="00AC014E">
        <w:t xml:space="preserve">never commenced and </w:t>
      </w:r>
      <w:r>
        <w:t xml:space="preserve">om </w:t>
      </w:r>
      <w:hyperlink r:id="rId338" w:tooltip="Heavy Vehicle National Law and Other Legislation Amendment Act 2018" w:history="1">
        <w:r w:rsidR="00BF5540" w:rsidRPr="005E03F7">
          <w:rPr>
            <w:rStyle w:val="Hyperlink"/>
          </w:rPr>
          <w:t>A2018-10 (Qld)</w:t>
        </w:r>
      </w:hyperlink>
      <w:r w:rsidRPr="00577913">
        <w:t xml:space="preserve"> s 17</w:t>
      </w:r>
    </w:p>
    <w:p w14:paraId="57E1F59A" w14:textId="77777777" w:rsidR="00CE071E" w:rsidRDefault="00CE071E" w:rsidP="00CE071E">
      <w:pPr>
        <w:pStyle w:val="AmdtsEntryHd"/>
      </w:pPr>
      <w:r w:rsidRPr="00CB7D92">
        <w:lastRenderedPageBreak/>
        <w:t>Unregistered heavy vehicle to which exemption under Div 4 applies</w:t>
      </w:r>
    </w:p>
    <w:p w14:paraId="129807D0" w14:textId="50FC8E84" w:rsidR="00CE071E" w:rsidRPr="00577913" w:rsidRDefault="00CE071E" w:rsidP="005E03F7">
      <w:pPr>
        <w:pStyle w:val="AmdtsEntries"/>
      </w:pPr>
      <w:r>
        <w:t>s 38</w:t>
      </w:r>
      <w:r>
        <w:tab/>
      </w:r>
      <w:r w:rsidR="00AC014E">
        <w:t xml:space="preserve">never commenced and </w:t>
      </w:r>
      <w:r>
        <w:t xml:space="preserve">om </w:t>
      </w:r>
      <w:hyperlink r:id="rId339" w:tooltip="Heavy Vehicle National Law and Other Legislation Amendment Act 2018" w:history="1">
        <w:r w:rsidR="00BF5540" w:rsidRPr="005E03F7">
          <w:rPr>
            <w:rStyle w:val="Hyperlink"/>
          </w:rPr>
          <w:t>A2018-10 (Qld)</w:t>
        </w:r>
      </w:hyperlink>
      <w:r w:rsidRPr="00577913">
        <w:t xml:space="preserve"> s 17</w:t>
      </w:r>
    </w:p>
    <w:p w14:paraId="6D707B7E" w14:textId="77777777" w:rsidR="00CE071E" w:rsidRDefault="00CE071E" w:rsidP="00CE071E">
      <w:pPr>
        <w:pStyle w:val="AmdtsEntryHd"/>
      </w:pPr>
      <w:r w:rsidRPr="00CB7D92">
        <w:t>Driver to carry proof of compliance with third party insurance legislation</w:t>
      </w:r>
    </w:p>
    <w:p w14:paraId="0F3E952D" w14:textId="03F437DF" w:rsidR="00CE071E" w:rsidRPr="00577913" w:rsidRDefault="00CE071E" w:rsidP="005E03F7">
      <w:pPr>
        <w:pStyle w:val="AmdtsEntries"/>
      </w:pPr>
      <w:r>
        <w:t>s 39</w:t>
      </w:r>
      <w:r>
        <w:tab/>
      </w:r>
      <w:r w:rsidR="00AC014E">
        <w:t xml:space="preserve">never commenced and </w:t>
      </w:r>
      <w:r>
        <w:t xml:space="preserve">om </w:t>
      </w:r>
      <w:hyperlink r:id="rId340" w:tooltip="Heavy Vehicle National Law and Other Legislation Amendment Act 2018" w:history="1">
        <w:r w:rsidR="00BF5540" w:rsidRPr="005E03F7">
          <w:rPr>
            <w:rStyle w:val="Hyperlink"/>
          </w:rPr>
          <w:t>A2018-10 (Qld)</w:t>
        </w:r>
      </w:hyperlink>
      <w:r w:rsidRPr="00577913">
        <w:t xml:space="preserve"> s 17</w:t>
      </w:r>
    </w:p>
    <w:p w14:paraId="6EED9153" w14:textId="77777777" w:rsidR="00CE071E" w:rsidRDefault="00CE071E" w:rsidP="00CE071E">
      <w:pPr>
        <w:pStyle w:val="AmdtsEntryHd"/>
      </w:pPr>
      <w:r w:rsidRPr="00CB7D92">
        <w:t>Exemption from requirement to be registered</w:t>
      </w:r>
    </w:p>
    <w:p w14:paraId="2AECFCEA" w14:textId="4B10184A" w:rsidR="00CE071E" w:rsidRPr="00577913" w:rsidRDefault="00CE071E" w:rsidP="005E03F7">
      <w:pPr>
        <w:pStyle w:val="AmdtsEntries"/>
      </w:pPr>
      <w:r>
        <w:t>div 4 hdg</w:t>
      </w:r>
      <w:r>
        <w:tab/>
      </w:r>
      <w:r w:rsidR="00AC014E">
        <w:t xml:space="preserve">never commenced and </w:t>
      </w:r>
      <w:r>
        <w:t xml:space="preserve">om </w:t>
      </w:r>
      <w:hyperlink r:id="rId341" w:tooltip="Heavy Vehicle National Law and Other Legislation Amendment Act 2018" w:history="1">
        <w:r w:rsidR="00BF5540" w:rsidRPr="005E03F7">
          <w:rPr>
            <w:rStyle w:val="Hyperlink"/>
          </w:rPr>
          <w:t>A2018-10 (Qld)</w:t>
        </w:r>
      </w:hyperlink>
      <w:r w:rsidRPr="00577913">
        <w:t xml:space="preserve"> s 17</w:t>
      </w:r>
    </w:p>
    <w:p w14:paraId="60AF55E0" w14:textId="77777777" w:rsidR="00CE071E" w:rsidRDefault="00CE071E" w:rsidP="00CE071E">
      <w:pPr>
        <w:pStyle w:val="AmdtsEntryHd"/>
      </w:pPr>
      <w:r w:rsidRPr="00CB7D92">
        <w:t>Exemption by Regulator</w:t>
      </w:r>
    </w:p>
    <w:p w14:paraId="417E6D68" w14:textId="4380A427" w:rsidR="00CE071E" w:rsidRPr="00577913" w:rsidRDefault="00CE071E" w:rsidP="005E03F7">
      <w:pPr>
        <w:pStyle w:val="AmdtsEntries"/>
      </w:pPr>
      <w:r>
        <w:t>sdiv 1 hdg</w:t>
      </w:r>
      <w:r>
        <w:tab/>
      </w:r>
      <w:r w:rsidR="00AC014E">
        <w:t xml:space="preserve">never commenced and </w:t>
      </w:r>
      <w:r>
        <w:t xml:space="preserve">om </w:t>
      </w:r>
      <w:hyperlink r:id="rId342" w:tooltip="Heavy Vehicle National Law and Other Legislation Amendment Act 2018" w:history="1">
        <w:r w:rsidR="00BF5540" w:rsidRPr="005E03F7">
          <w:rPr>
            <w:rStyle w:val="Hyperlink"/>
          </w:rPr>
          <w:t>A2018-10 (Qld)</w:t>
        </w:r>
      </w:hyperlink>
      <w:r w:rsidRPr="00577913">
        <w:t xml:space="preserve"> s 17</w:t>
      </w:r>
    </w:p>
    <w:p w14:paraId="2A38125D" w14:textId="77777777" w:rsidR="00CE071E" w:rsidRDefault="00CE071E" w:rsidP="00CE071E">
      <w:pPr>
        <w:pStyle w:val="AmdtsEntryHd"/>
      </w:pPr>
      <w:r w:rsidRPr="00CB7D92">
        <w:t>Regulator’s power to exempt category of heavy vehicles from requirement to be registered</w:t>
      </w:r>
    </w:p>
    <w:p w14:paraId="44253C9F" w14:textId="39263AC5" w:rsidR="00CE071E" w:rsidRPr="00577913" w:rsidRDefault="00CE071E" w:rsidP="005E03F7">
      <w:pPr>
        <w:pStyle w:val="AmdtsEntries"/>
      </w:pPr>
      <w:r>
        <w:t>s 40</w:t>
      </w:r>
      <w:r>
        <w:tab/>
      </w:r>
      <w:r w:rsidR="00AC014E">
        <w:t xml:space="preserve">never commenced and </w:t>
      </w:r>
      <w:r>
        <w:t xml:space="preserve">om </w:t>
      </w:r>
      <w:hyperlink r:id="rId343" w:tooltip="Heavy Vehicle National Law and Other Legislation Amendment Act 2018" w:history="1">
        <w:r w:rsidR="00BF5540" w:rsidRPr="005E03F7">
          <w:rPr>
            <w:rStyle w:val="Hyperlink"/>
          </w:rPr>
          <w:t>A2018-10 (Qld)</w:t>
        </w:r>
      </w:hyperlink>
      <w:r w:rsidRPr="00577913">
        <w:t xml:space="preserve"> s 17</w:t>
      </w:r>
    </w:p>
    <w:p w14:paraId="63937A7F" w14:textId="77777777" w:rsidR="00CE071E" w:rsidRDefault="00CE071E" w:rsidP="00CE071E">
      <w:pPr>
        <w:pStyle w:val="AmdtsEntryHd"/>
      </w:pPr>
      <w:r w:rsidRPr="00CB7D92">
        <w:t>Restriction on grant of registration exemption</w:t>
      </w:r>
    </w:p>
    <w:p w14:paraId="2BCF5911" w14:textId="0AA95FCD" w:rsidR="00CE071E" w:rsidRPr="00577913" w:rsidRDefault="00CE071E" w:rsidP="005E03F7">
      <w:pPr>
        <w:pStyle w:val="AmdtsEntries"/>
      </w:pPr>
      <w:r>
        <w:t>s 41</w:t>
      </w:r>
      <w:r>
        <w:tab/>
      </w:r>
      <w:r w:rsidR="00AC014E">
        <w:t xml:space="preserve">never commenced and </w:t>
      </w:r>
      <w:r>
        <w:t xml:space="preserve">om </w:t>
      </w:r>
      <w:hyperlink r:id="rId344" w:tooltip="Heavy Vehicle National Law and Other Legislation Amendment Act 2018" w:history="1">
        <w:r w:rsidR="00BF5540" w:rsidRPr="005E03F7">
          <w:rPr>
            <w:rStyle w:val="Hyperlink"/>
          </w:rPr>
          <w:t>A2018-10 (Qld)</w:t>
        </w:r>
      </w:hyperlink>
      <w:r w:rsidRPr="00577913">
        <w:t xml:space="preserve"> s 17</w:t>
      </w:r>
    </w:p>
    <w:p w14:paraId="4C98AF7A" w14:textId="77777777" w:rsidR="00CE071E" w:rsidRDefault="00CE071E" w:rsidP="00CE071E">
      <w:pPr>
        <w:pStyle w:val="AmdtsEntryHd"/>
      </w:pPr>
      <w:r w:rsidRPr="00CB7D92">
        <w:t>Conditions of registration exemption</w:t>
      </w:r>
    </w:p>
    <w:p w14:paraId="1890AE0B" w14:textId="1ECCF2D9" w:rsidR="00CE071E" w:rsidRPr="00577913" w:rsidRDefault="00CE071E" w:rsidP="005E03F7">
      <w:pPr>
        <w:pStyle w:val="AmdtsEntries"/>
      </w:pPr>
      <w:r>
        <w:t>s 42</w:t>
      </w:r>
      <w:r>
        <w:tab/>
      </w:r>
      <w:r w:rsidR="00AC014E">
        <w:t xml:space="preserve">never commenced and </w:t>
      </w:r>
      <w:r>
        <w:t xml:space="preserve">om </w:t>
      </w:r>
      <w:hyperlink r:id="rId345" w:tooltip="Heavy Vehicle National Law and Other Legislation Amendment Act 2018" w:history="1">
        <w:r w:rsidR="00BF5540" w:rsidRPr="005E03F7">
          <w:rPr>
            <w:rStyle w:val="Hyperlink"/>
          </w:rPr>
          <w:t>A2018-10 (Qld)</w:t>
        </w:r>
      </w:hyperlink>
      <w:r w:rsidRPr="00577913">
        <w:t xml:space="preserve"> s 17</w:t>
      </w:r>
    </w:p>
    <w:p w14:paraId="0171A3DB" w14:textId="77777777" w:rsidR="00CE071E" w:rsidRDefault="00CE071E" w:rsidP="00CE071E">
      <w:pPr>
        <w:pStyle w:val="AmdtsEntryHd"/>
      </w:pPr>
      <w:r w:rsidRPr="00CB7D92">
        <w:t>Period for which registration exemption applies</w:t>
      </w:r>
    </w:p>
    <w:p w14:paraId="7FA7C373" w14:textId="378D2B3A" w:rsidR="00CE071E" w:rsidRPr="00577913" w:rsidRDefault="00CE071E" w:rsidP="005E03F7">
      <w:pPr>
        <w:pStyle w:val="AmdtsEntries"/>
      </w:pPr>
      <w:r>
        <w:t>s 43</w:t>
      </w:r>
      <w:r>
        <w:tab/>
      </w:r>
      <w:r w:rsidR="00AC014E">
        <w:t xml:space="preserve">never commenced and </w:t>
      </w:r>
      <w:r>
        <w:t xml:space="preserve">om </w:t>
      </w:r>
      <w:hyperlink r:id="rId346" w:tooltip="Heavy Vehicle National Law and Other Legislation Amendment Act 2018" w:history="1">
        <w:r w:rsidR="00A126CB" w:rsidRPr="005E03F7">
          <w:rPr>
            <w:rStyle w:val="Hyperlink"/>
          </w:rPr>
          <w:t>A2018-10 (Qld)</w:t>
        </w:r>
      </w:hyperlink>
      <w:r w:rsidRPr="00577913">
        <w:t xml:space="preserve"> s 17</w:t>
      </w:r>
    </w:p>
    <w:p w14:paraId="62020A23" w14:textId="77777777" w:rsidR="00CE071E" w:rsidRDefault="00CE071E" w:rsidP="00CE071E">
      <w:pPr>
        <w:pStyle w:val="AmdtsEntryHd"/>
      </w:pPr>
      <w:r w:rsidRPr="00CB7D92">
        <w:t>Requirements about Commonwealth Gazette notice</w:t>
      </w:r>
    </w:p>
    <w:p w14:paraId="034BD3BC" w14:textId="3DC012FB" w:rsidR="00CE071E" w:rsidRPr="00577913" w:rsidRDefault="00CE071E" w:rsidP="005E03F7">
      <w:pPr>
        <w:pStyle w:val="AmdtsEntries"/>
      </w:pPr>
      <w:r>
        <w:t>s 44</w:t>
      </w:r>
      <w:r>
        <w:tab/>
      </w:r>
      <w:r w:rsidR="00AC014E">
        <w:t xml:space="preserve">never commenced and </w:t>
      </w:r>
      <w:r>
        <w:t xml:space="preserve">om </w:t>
      </w:r>
      <w:hyperlink r:id="rId347" w:tooltip="Heavy Vehicle National Law and Other Legislation Amendment Act 2018" w:history="1">
        <w:r w:rsidR="00A126CB" w:rsidRPr="005E03F7">
          <w:rPr>
            <w:rStyle w:val="Hyperlink"/>
          </w:rPr>
          <w:t>A2018-10 (Qld)</w:t>
        </w:r>
      </w:hyperlink>
      <w:r w:rsidRPr="00577913">
        <w:t xml:space="preserve"> s 17</w:t>
      </w:r>
    </w:p>
    <w:p w14:paraId="0F067FCF" w14:textId="77777777" w:rsidR="00CE071E" w:rsidRDefault="00CE071E" w:rsidP="00CE071E">
      <w:pPr>
        <w:pStyle w:val="AmdtsEntryHd"/>
      </w:pPr>
      <w:r w:rsidRPr="00CB7D92">
        <w:t>Amendment or cancellation of registration exemption</w:t>
      </w:r>
    </w:p>
    <w:p w14:paraId="0761D7A3" w14:textId="0CA508E5" w:rsidR="002834E8" w:rsidRPr="002834E8" w:rsidRDefault="00CE071E" w:rsidP="005E03F7">
      <w:pPr>
        <w:pStyle w:val="AmdtsEntries"/>
      </w:pPr>
      <w:r>
        <w:t>s 45</w:t>
      </w:r>
      <w:r>
        <w:tab/>
      </w:r>
      <w:r w:rsidR="002834E8">
        <w:t xml:space="preserve">am </w:t>
      </w:r>
      <w:hyperlink r:id="rId348" w:tooltip="Heavy Vehicle National Law and Other Legislation Amendment Act 2016" w:history="1">
        <w:r w:rsidR="00AB5C77" w:rsidRPr="005E03F7">
          <w:rPr>
            <w:rStyle w:val="Hyperlink"/>
          </w:rPr>
          <w:t>A2016-65 (Qld)</w:t>
        </w:r>
      </w:hyperlink>
      <w:r w:rsidR="002834E8">
        <w:t xml:space="preserve"> s 118</w:t>
      </w:r>
    </w:p>
    <w:p w14:paraId="4F9A2B81" w14:textId="3252E746" w:rsidR="00CE071E" w:rsidRPr="00577913" w:rsidRDefault="002834E8" w:rsidP="005E03F7">
      <w:pPr>
        <w:pStyle w:val="AmdtsEntries"/>
      </w:pPr>
      <w:r>
        <w:tab/>
      </w:r>
      <w:r w:rsidR="00AC014E">
        <w:t xml:space="preserve">never commenced and </w:t>
      </w:r>
      <w:r w:rsidR="00CE071E">
        <w:t xml:space="preserve">om </w:t>
      </w:r>
      <w:hyperlink r:id="rId349" w:tooltip="Heavy Vehicle National Law and Other Legislation Amendment Act 2018" w:history="1">
        <w:r w:rsidR="00A126CB" w:rsidRPr="005E03F7">
          <w:rPr>
            <w:rStyle w:val="Hyperlink"/>
          </w:rPr>
          <w:t>A2018-10 (Qld)</w:t>
        </w:r>
      </w:hyperlink>
      <w:r w:rsidR="00CE071E" w:rsidRPr="00577913">
        <w:t xml:space="preserve"> s 17</w:t>
      </w:r>
    </w:p>
    <w:p w14:paraId="6883E2E8" w14:textId="77777777" w:rsidR="00CE071E" w:rsidRDefault="00CE071E" w:rsidP="00CE071E">
      <w:pPr>
        <w:pStyle w:val="AmdtsEntryHd"/>
      </w:pPr>
      <w:r w:rsidRPr="00CB7D92">
        <w:t>Immediate suspension</w:t>
      </w:r>
    </w:p>
    <w:p w14:paraId="26A4BF77" w14:textId="317F371B" w:rsidR="002834E8" w:rsidRPr="002834E8" w:rsidRDefault="00CE071E" w:rsidP="005E03F7">
      <w:pPr>
        <w:pStyle w:val="AmdtsEntries"/>
      </w:pPr>
      <w:r>
        <w:t>s 46</w:t>
      </w:r>
      <w:r>
        <w:tab/>
      </w:r>
      <w:r w:rsidR="002834E8">
        <w:t xml:space="preserve">am </w:t>
      </w:r>
      <w:hyperlink r:id="rId350" w:tooltip="Heavy Vehicle National Law and Other Legislation Amendment Act 2016" w:history="1">
        <w:r w:rsidR="00AB5C77" w:rsidRPr="005E03F7">
          <w:rPr>
            <w:rStyle w:val="Hyperlink"/>
          </w:rPr>
          <w:t>A2016-65 (Qld)</w:t>
        </w:r>
      </w:hyperlink>
      <w:r w:rsidR="002834E8">
        <w:t xml:space="preserve"> s 119</w:t>
      </w:r>
    </w:p>
    <w:p w14:paraId="19520243" w14:textId="7871D601" w:rsidR="00CE071E" w:rsidRPr="00577913" w:rsidRDefault="002834E8" w:rsidP="005E03F7">
      <w:pPr>
        <w:pStyle w:val="AmdtsEntries"/>
      </w:pPr>
      <w:r>
        <w:tab/>
      </w:r>
      <w:r w:rsidR="00AC014E">
        <w:t xml:space="preserve">never commenced and </w:t>
      </w:r>
      <w:r w:rsidR="00CE071E">
        <w:t xml:space="preserve">om </w:t>
      </w:r>
      <w:hyperlink r:id="rId351" w:tooltip="Heavy Vehicle National Law and Other Legislation Amendment Act 2018" w:history="1">
        <w:r w:rsidR="00A126CB" w:rsidRPr="005E03F7">
          <w:rPr>
            <w:rStyle w:val="Hyperlink"/>
          </w:rPr>
          <w:t>A2018-10 (Qld)</w:t>
        </w:r>
      </w:hyperlink>
      <w:r w:rsidR="00CE071E" w:rsidRPr="00577913">
        <w:t xml:space="preserve"> s 17</w:t>
      </w:r>
    </w:p>
    <w:p w14:paraId="7A2D897F" w14:textId="77777777" w:rsidR="00E03879" w:rsidRDefault="00E03879" w:rsidP="00E03879">
      <w:pPr>
        <w:pStyle w:val="AmdtsEntryHd"/>
      </w:pPr>
      <w:r w:rsidRPr="00CB7D92">
        <w:t>Exemption by national regulations</w:t>
      </w:r>
    </w:p>
    <w:p w14:paraId="4000C014" w14:textId="422BE457" w:rsidR="00E03879" w:rsidRPr="00577913" w:rsidRDefault="00E03879" w:rsidP="005E03F7">
      <w:pPr>
        <w:pStyle w:val="AmdtsEntries"/>
      </w:pPr>
      <w:r>
        <w:t>sdiv 2 hdg</w:t>
      </w:r>
      <w:r>
        <w:tab/>
        <w:t xml:space="preserve">never commenced and om </w:t>
      </w:r>
      <w:hyperlink r:id="rId352" w:tooltip="Heavy Vehicle National Law and Other Legislation Amendment Act 2018" w:history="1">
        <w:r w:rsidR="00A126CB" w:rsidRPr="005E03F7">
          <w:rPr>
            <w:rStyle w:val="Hyperlink"/>
          </w:rPr>
          <w:t>A2018-10 (Qld)</w:t>
        </w:r>
      </w:hyperlink>
      <w:r w:rsidRPr="00577913">
        <w:t xml:space="preserve"> s 17</w:t>
      </w:r>
    </w:p>
    <w:p w14:paraId="77D58B51" w14:textId="77777777" w:rsidR="00E03879" w:rsidRDefault="00E03879" w:rsidP="00E03879">
      <w:pPr>
        <w:pStyle w:val="AmdtsEntryHd"/>
      </w:pPr>
      <w:r w:rsidRPr="00CB7D92">
        <w:t>National regulations exempting heavy vehicles from requirement to be registered</w:t>
      </w:r>
    </w:p>
    <w:p w14:paraId="564E8A46" w14:textId="28E3C0BD" w:rsidR="00E03879" w:rsidRPr="00577913" w:rsidRDefault="00E03879" w:rsidP="005E03F7">
      <w:pPr>
        <w:pStyle w:val="AmdtsEntries"/>
      </w:pPr>
      <w:r>
        <w:t>s 47</w:t>
      </w:r>
      <w:r>
        <w:tab/>
        <w:t xml:space="preserve">never commenced and om </w:t>
      </w:r>
      <w:hyperlink r:id="rId353" w:tooltip="Heavy Vehicle National Law and Other Legislation Amendment Act 2018" w:history="1">
        <w:r w:rsidR="00296549" w:rsidRPr="005E03F7">
          <w:rPr>
            <w:rStyle w:val="Hyperlink"/>
          </w:rPr>
          <w:t>A2018-10 (Qld)</w:t>
        </w:r>
      </w:hyperlink>
      <w:r w:rsidRPr="00577913">
        <w:t xml:space="preserve"> s 17</w:t>
      </w:r>
    </w:p>
    <w:p w14:paraId="1E1B9658" w14:textId="77777777" w:rsidR="00E03879" w:rsidRDefault="00E03879" w:rsidP="00E03879">
      <w:pPr>
        <w:pStyle w:val="AmdtsEntryHd"/>
      </w:pPr>
      <w:r w:rsidRPr="00CB7D92">
        <w:t>Vehicle register</w:t>
      </w:r>
    </w:p>
    <w:p w14:paraId="23636B90" w14:textId="4465D20D" w:rsidR="00E03879" w:rsidRPr="00577913" w:rsidRDefault="00E03879" w:rsidP="005E03F7">
      <w:pPr>
        <w:pStyle w:val="AmdtsEntries"/>
      </w:pPr>
      <w:r>
        <w:t>pt 2.3 hdg</w:t>
      </w:r>
      <w:r>
        <w:tab/>
        <w:t xml:space="preserve">never commenced and om </w:t>
      </w:r>
      <w:hyperlink r:id="rId354" w:tooltip="Heavy Vehicle National Law and Other Legislation Amendment Act 2018" w:history="1">
        <w:r w:rsidR="00296549" w:rsidRPr="005E03F7">
          <w:rPr>
            <w:rStyle w:val="Hyperlink"/>
          </w:rPr>
          <w:t>A2018-10 (Qld)</w:t>
        </w:r>
      </w:hyperlink>
      <w:r w:rsidRPr="00577913">
        <w:t xml:space="preserve"> s 17</w:t>
      </w:r>
    </w:p>
    <w:p w14:paraId="382232A1" w14:textId="77777777" w:rsidR="00E03879" w:rsidRDefault="00E03879" w:rsidP="00E03879">
      <w:pPr>
        <w:pStyle w:val="AmdtsEntryHd"/>
      </w:pPr>
      <w:r w:rsidRPr="00CB7D92">
        <w:t>Vehicle register</w:t>
      </w:r>
    </w:p>
    <w:p w14:paraId="12FD10A0" w14:textId="113809D4" w:rsidR="00E03879" w:rsidRPr="00577913" w:rsidRDefault="00E03879" w:rsidP="005E03F7">
      <w:pPr>
        <w:pStyle w:val="AmdtsEntries"/>
      </w:pPr>
      <w:r>
        <w:t>s 48</w:t>
      </w:r>
      <w:r>
        <w:tab/>
        <w:t xml:space="preserve">never commenced and om </w:t>
      </w:r>
      <w:hyperlink r:id="rId355" w:tooltip="Heavy Vehicle National Law and Other Legislation Amendment Act 2018" w:history="1">
        <w:r w:rsidR="00296549" w:rsidRPr="005E03F7">
          <w:rPr>
            <w:rStyle w:val="Hyperlink"/>
          </w:rPr>
          <w:t>A2018-10 (Qld)</w:t>
        </w:r>
      </w:hyperlink>
      <w:r w:rsidRPr="00577913">
        <w:t xml:space="preserve"> s 17</w:t>
      </w:r>
    </w:p>
    <w:p w14:paraId="11737E34" w14:textId="77777777" w:rsidR="00E03879" w:rsidRDefault="00E03879" w:rsidP="00E03879">
      <w:pPr>
        <w:pStyle w:val="AmdtsEntryHd"/>
      </w:pPr>
      <w:r w:rsidRPr="00CB7D92">
        <w:t>Other provisions relating to registration</w:t>
      </w:r>
    </w:p>
    <w:p w14:paraId="16BD4D96" w14:textId="2DDDB9F9" w:rsidR="00E03879" w:rsidRPr="00577913" w:rsidRDefault="00E03879" w:rsidP="005E03F7">
      <w:pPr>
        <w:pStyle w:val="AmdtsEntries"/>
      </w:pPr>
      <w:r>
        <w:t>pt 2.4 hdg</w:t>
      </w:r>
      <w:r>
        <w:tab/>
        <w:t xml:space="preserve">never commenced and om </w:t>
      </w:r>
      <w:hyperlink r:id="rId356" w:tooltip="Heavy Vehicle National Law and Other Legislation Amendment Act 2018" w:history="1">
        <w:r w:rsidR="00296549" w:rsidRPr="005E03F7">
          <w:rPr>
            <w:rStyle w:val="Hyperlink"/>
          </w:rPr>
          <w:t>A2018-10 (Qld)</w:t>
        </w:r>
      </w:hyperlink>
      <w:r w:rsidRPr="00577913">
        <w:t xml:space="preserve"> s 17</w:t>
      </w:r>
    </w:p>
    <w:p w14:paraId="77562BE9" w14:textId="77777777" w:rsidR="00E03879" w:rsidRDefault="00E03879" w:rsidP="00E03879">
      <w:pPr>
        <w:pStyle w:val="AmdtsEntryHd"/>
      </w:pPr>
      <w:r w:rsidRPr="00CB7D92">
        <w:t>Ownership of registration items</w:t>
      </w:r>
    </w:p>
    <w:p w14:paraId="3FDF813B" w14:textId="2E344286" w:rsidR="00E03879" w:rsidRPr="00577913" w:rsidRDefault="00E03879" w:rsidP="005E03F7">
      <w:pPr>
        <w:pStyle w:val="AmdtsEntries"/>
      </w:pPr>
      <w:r>
        <w:t>s 49</w:t>
      </w:r>
      <w:r>
        <w:tab/>
        <w:t xml:space="preserve">never commenced and om </w:t>
      </w:r>
      <w:hyperlink r:id="rId357" w:tooltip="Heavy Vehicle National Law and Other Legislation Amendment Act 2018" w:history="1">
        <w:r w:rsidR="00296549" w:rsidRPr="005E03F7">
          <w:rPr>
            <w:rStyle w:val="Hyperlink"/>
          </w:rPr>
          <w:t>A2018-10 (Qld)</w:t>
        </w:r>
      </w:hyperlink>
      <w:r w:rsidRPr="00577913">
        <w:t xml:space="preserve"> s 17</w:t>
      </w:r>
    </w:p>
    <w:p w14:paraId="7C6D8A5F" w14:textId="77777777" w:rsidR="00E03879" w:rsidRDefault="00E03879" w:rsidP="00E03879">
      <w:pPr>
        <w:pStyle w:val="AmdtsEntryHd"/>
      </w:pPr>
      <w:r w:rsidRPr="00CB7D92">
        <w:lastRenderedPageBreak/>
        <w:t>Obtaining registration or registration items by false statements etc.</w:t>
      </w:r>
    </w:p>
    <w:p w14:paraId="11626BD4" w14:textId="25E8E9F2" w:rsidR="00E03879" w:rsidRPr="00577913" w:rsidRDefault="00E03879" w:rsidP="005E03F7">
      <w:pPr>
        <w:pStyle w:val="AmdtsEntries"/>
      </w:pPr>
      <w:r>
        <w:t>s 50</w:t>
      </w:r>
      <w:r>
        <w:tab/>
        <w:t xml:space="preserve">never commenced and om </w:t>
      </w:r>
      <w:hyperlink r:id="rId358" w:tooltip="Heavy Vehicle National Law and Other Legislation Amendment Act 2018" w:history="1">
        <w:r w:rsidR="00296549" w:rsidRPr="005E03F7">
          <w:rPr>
            <w:rStyle w:val="Hyperlink"/>
          </w:rPr>
          <w:t>A2018-10 (Qld)</w:t>
        </w:r>
      </w:hyperlink>
      <w:r w:rsidRPr="00577913">
        <w:t xml:space="preserve"> s 17</w:t>
      </w:r>
    </w:p>
    <w:p w14:paraId="07CF6DAD" w14:textId="77777777" w:rsidR="00E03879" w:rsidRDefault="00E03879" w:rsidP="00E03879">
      <w:pPr>
        <w:pStyle w:val="AmdtsEntryHd"/>
      </w:pPr>
      <w:r w:rsidRPr="00CB7D92">
        <w:t>Replacement</w:t>
      </w:r>
      <w:r w:rsidRPr="00CB7D92">
        <w:rPr>
          <w:rFonts w:ascii="Helvetica" w:hAnsi="Helvetica" w:cs="Helvetica"/>
          <w:iCs/>
        </w:rPr>
        <w:t xml:space="preserve"> </w:t>
      </w:r>
      <w:r w:rsidRPr="00CB7D92">
        <w:t>and recovery of certain registration items</w:t>
      </w:r>
    </w:p>
    <w:p w14:paraId="3BAF282A" w14:textId="7363A587" w:rsidR="00E03879" w:rsidRPr="00577913" w:rsidRDefault="00E03879" w:rsidP="005E03F7">
      <w:pPr>
        <w:pStyle w:val="AmdtsEntries"/>
      </w:pPr>
      <w:r>
        <w:t>s 51</w:t>
      </w:r>
      <w:r>
        <w:tab/>
        <w:t xml:space="preserve">never commenced and om </w:t>
      </w:r>
      <w:hyperlink r:id="rId359" w:tooltip="Heavy Vehicle National Law and Other Legislation Amendment Act 2018" w:history="1">
        <w:r w:rsidR="00296549" w:rsidRPr="005E03F7">
          <w:rPr>
            <w:rStyle w:val="Hyperlink"/>
          </w:rPr>
          <w:t>A2018-10 (Qld)</w:t>
        </w:r>
      </w:hyperlink>
      <w:r w:rsidRPr="00577913">
        <w:t xml:space="preserve"> s 17</w:t>
      </w:r>
    </w:p>
    <w:p w14:paraId="49A4B471" w14:textId="77777777" w:rsidR="00E03879" w:rsidRDefault="00E03879" w:rsidP="00E03879">
      <w:pPr>
        <w:pStyle w:val="AmdtsEntryHd"/>
      </w:pPr>
      <w:r w:rsidRPr="00CB7D92">
        <w:t>Verification of particular records</w:t>
      </w:r>
    </w:p>
    <w:p w14:paraId="4EAB1D14" w14:textId="50D22A39" w:rsidR="00E03879" w:rsidRPr="00577913" w:rsidRDefault="00E03879" w:rsidP="005E03F7">
      <w:pPr>
        <w:pStyle w:val="AmdtsEntries"/>
      </w:pPr>
      <w:r>
        <w:t>s 52</w:t>
      </w:r>
      <w:r>
        <w:tab/>
        <w:t xml:space="preserve">never commenced and om </w:t>
      </w:r>
      <w:hyperlink r:id="rId360" w:tooltip="Heavy Vehicle National Law and Other Legislation Amendment Act 2018" w:history="1">
        <w:r w:rsidR="00296198" w:rsidRPr="005E03F7">
          <w:rPr>
            <w:rStyle w:val="Hyperlink"/>
          </w:rPr>
          <w:t>A2018-10 (Qld)</w:t>
        </w:r>
      </w:hyperlink>
      <w:r w:rsidRPr="00577913">
        <w:t xml:space="preserve"> s 17</w:t>
      </w:r>
    </w:p>
    <w:p w14:paraId="158773CA" w14:textId="77777777" w:rsidR="00E03879" w:rsidRDefault="00E03879" w:rsidP="00E03879">
      <w:pPr>
        <w:pStyle w:val="AmdtsEntryHd"/>
      </w:pPr>
      <w:r w:rsidRPr="00CB7D92">
        <w:t>Written-off and wrecked heavy vehicles</w:t>
      </w:r>
    </w:p>
    <w:p w14:paraId="0871D8F7" w14:textId="29AAA20D" w:rsidR="00E03879" w:rsidRPr="00577913" w:rsidRDefault="00E03879" w:rsidP="005E03F7">
      <w:pPr>
        <w:pStyle w:val="AmdtsEntries"/>
      </w:pPr>
      <w:r>
        <w:t>pt 2.5 hdg</w:t>
      </w:r>
      <w:r>
        <w:tab/>
        <w:t xml:space="preserve">never commenced and om </w:t>
      </w:r>
      <w:hyperlink r:id="rId361" w:tooltip="Heavy Vehicle National Law and Other Legislation Amendment Act 2018" w:history="1">
        <w:r w:rsidR="00296198" w:rsidRPr="005E03F7">
          <w:rPr>
            <w:rStyle w:val="Hyperlink"/>
          </w:rPr>
          <w:t>A2018-10 (Qld)</w:t>
        </w:r>
      </w:hyperlink>
      <w:r w:rsidRPr="00577913">
        <w:t xml:space="preserve"> s 17</w:t>
      </w:r>
    </w:p>
    <w:p w14:paraId="129D2146" w14:textId="77777777" w:rsidR="00E03879" w:rsidRDefault="00666EBD" w:rsidP="00E03879">
      <w:pPr>
        <w:pStyle w:val="AmdtsEntryHd"/>
      </w:pPr>
      <w:r w:rsidRPr="00CB7D92">
        <w:t>Purpose of Pt 2.5</w:t>
      </w:r>
    </w:p>
    <w:p w14:paraId="31122DFB" w14:textId="1217A24B" w:rsidR="00E03879" w:rsidRPr="00577913" w:rsidRDefault="00E03879" w:rsidP="005E03F7">
      <w:pPr>
        <w:pStyle w:val="AmdtsEntries"/>
      </w:pPr>
      <w:r>
        <w:t>s 53</w:t>
      </w:r>
      <w:r>
        <w:tab/>
        <w:t xml:space="preserve">never commenced and om </w:t>
      </w:r>
      <w:hyperlink r:id="rId362" w:tooltip="Heavy Vehicle National Law and Other Legislation Amendment Act 2018" w:history="1">
        <w:r w:rsidR="00296198" w:rsidRPr="005E03F7">
          <w:rPr>
            <w:rStyle w:val="Hyperlink"/>
          </w:rPr>
          <w:t>A2018-10 (Qld)</w:t>
        </w:r>
      </w:hyperlink>
      <w:r w:rsidRPr="00577913">
        <w:t xml:space="preserve"> s 17</w:t>
      </w:r>
    </w:p>
    <w:p w14:paraId="217ACED3" w14:textId="77777777" w:rsidR="00E03879" w:rsidRDefault="00666EBD" w:rsidP="00E03879">
      <w:pPr>
        <w:pStyle w:val="AmdtsEntryHd"/>
      </w:pPr>
      <w:r w:rsidRPr="00CB7D92">
        <w:t>Definitions for Pt 2.5</w:t>
      </w:r>
    </w:p>
    <w:p w14:paraId="7F5D49EB" w14:textId="2FB9DB5B" w:rsidR="00E03879" w:rsidRPr="00577913" w:rsidRDefault="00E03879" w:rsidP="005E03F7">
      <w:pPr>
        <w:pStyle w:val="AmdtsEntries"/>
      </w:pPr>
      <w:r>
        <w:t>s 54</w:t>
      </w:r>
      <w:r>
        <w:tab/>
        <w:t xml:space="preserve">never commenced and om </w:t>
      </w:r>
      <w:hyperlink r:id="rId363" w:tooltip="Heavy Vehicle National Law and Other Legislation Amendment Act 2018" w:history="1">
        <w:r w:rsidR="00296198" w:rsidRPr="005E03F7">
          <w:rPr>
            <w:rStyle w:val="Hyperlink"/>
          </w:rPr>
          <w:t>A2018-10 (Qld)</w:t>
        </w:r>
      </w:hyperlink>
      <w:r w:rsidRPr="00577913">
        <w:t xml:space="preserve"> s 17</w:t>
      </w:r>
    </w:p>
    <w:p w14:paraId="38E9B156" w14:textId="77777777" w:rsidR="00E03879" w:rsidRDefault="00666EBD" w:rsidP="00E03879">
      <w:pPr>
        <w:pStyle w:val="AmdtsEntryHd"/>
      </w:pPr>
      <w:r w:rsidRPr="00CB7D92">
        <w:t>Written-off and wrecked heavy vehicles register</w:t>
      </w:r>
    </w:p>
    <w:p w14:paraId="7844F88B" w14:textId="0821102C" w:rsidR="00E03879" w:rsidRPr="00577913" w:rsidRDefault="00E03879" w:rsidP="005E03F7">
      <w:pPr>
        <w:pStyle w:val="AmdtsEntries"/>
      </w:pPr>
      <w:r>
        <w:t>s 55</w:t>
      </w:r>
      <w:r>
        <w:tab/>
        <w:t xml:space="preserve">never commenced and om </w:t>
      </w:r>
      <w:hyperlink r:id="rId364" w:tooltip="Heavy Vehicle National Law and Other Legislation Amendment Act 2018" w:history="1">
        <w:r w:rsidR="00296198" w:rsidRPr="005E03F7">
          <w:rPr>
            <w:rStyle w:val="Hyperlink"/>
          </w:rPr>
          <w:t>A2018-10 (Qld)</w:t>
        </w:r>
      </w:hyperlink>
      <w:r w:rsidRPr="00577913">
        <w:t xml:space="preserve"> s 17</w:t>
      </w:r>
    </w:p>
    <w:p w14:paraId="08FFF791" w14:textId="77777777" w:rsidR="008275C4" w:rsidRDefault="008275C4" w:rsidP="008275C4">
      <w:pPr>
        <w:pStyle w:val="AmdtsEntryHd"/>
      </w:pPr>
      <w:r w:rsidRPr="00CB7D92">
        <w:t>Other provisions</w:t>
      </w:r>
    </w:p>
    <w:p w14:paraId="5EC92DF2" w14:textId="777620DA" w:rsidR="008275C4" w:rsidRPr="00577913" w:rsidRDefault="008275C4" w:rsidP="005E03F7">
      <w:pPr>
        <w:pStyle w:val="AmdtsEntries"/>
      </w:pPr>
      <w:r>
        <w:t>pt 2.6 hdg</w:t>
      </w:r>
      <w:r>
        <w:tab/>
        <w:t xml:space="preserve">never commenced and om </w:t>
      </w:r>
      <w:hyperlink r:id="rId365" w:tooltip="Heavy Vehicle National Law and Other Legislation Amendment Act 2018" w:history="1">
        <w:r w:rsidR="00296198" w:rsidRPr="005E03F7">
          <w:rPr>
            <w:rStyle w:val="Hyperlink"/>
          </w:rPr>
          <w:t>A2018-10 (Qld)</w:t>
        </w:r>
      </w:hyperlink>
      <w:r w:rsidRPr="00577913">
        <w:t xml:space="preserve"> s 17</w:t>
      </w:r>
    </w:p>
    <w:p w14:paraId="66F48690" w14:textId="77777777" w:rsidR="008275C4" w:rsidRDefault="008275C4" w:rsidP="008275C4">
      <w:pPr>
        <w:pStyle w:val="AmdtsEntryHd"/>
      </w:pPr>
      <w:r w:rsidRPr="00CB7D92">
        <w:t>Regulator may specify GCM in particular circumstances</w:t>
      </w:r>
    </w:p>
    <w:p w14:paraId="4DDB207F" w14:textId="09D7463B" w:rsidR="008275C4" w:rsidRPr="00577913" w:rsidRDefault="008275C4" w:rsidP="005E03F7">
      <w:pPr>
        <w:pStyle w:val="AmdtsEntries"/>
      </w:pPr>
      <w:r>
        <w:t>s 56</w:t>
      </w:r>
      <w:r>
        <w:tab/>
        <w:t xml:space="preserve">never commenced and om </w:t>
      </w:r>
      <w:hyperlink r:id="rId366" w:tooltip="Heavy Vehicle National Law and Other Legislation Amendment Act 2018" w:history="1">
        <w:r w:rsidR="00296198" w:rsidRPr="005E03F7">
          <w:rPr>
            <w:rStyle w:val="Hyperlink"/>
          </w:rPr>
          <w:t>A2018-10 (Qld)</w:t>
        </w:r>
      </w:hyperlink>
      <w:r w:rsidRPr="00577913">
        <w:t xml:space="preserve"> s 17</w:t>
      </w:r>
    </w:p>
    <w:p w14:paraId="6A7A8E56" w14:textId="77777777" w:rsidR="008275C4" w:rsidRDefault="008275C4" w:rsidP="008275C4">
      <w:pPr>
        <w:pStyle w:val="AmdtsEntryHd"/>
      </w:pPr>
      <w:r w:rsidRPr="00CB7D92">
        <w:t>Regulator may specify GVM in particular circumstances</w:t>
      </w:r>
    </w:p>
    <w:p w14:paraId="7AB37026" w14:textId="22AE02CD" w:rsidR="008275C4" w:rsidRPr="00577913" w:rsidRDefault="008275C4" w:rsidP="005E03F7">
      <w:pPr>
        <w:pStyle w:val="AmdtsEntries"/>
      </w:pPr>
      <w:r>
        <w:t>s 57</w:t>
      </w:r>
      <w:r>
        <w:tab/>
        <w:t xml:space="preserve">never commenced and om </w:t>
      </w:r>
      <w:hyperlink r:id="rId367" w:tooltip="Heavy Vehicle National Law and Other Legislation Amendment Act 2018" w:history="1">
        <w:r w:rsidR="00296198" w:rsidRPr="005E03F7">
          <w:rPr>
            <w:rStyle w:val="Hyperlink"/>
          </w:rPr>
          <w:t>A2018-10 (Qld)</w:t>
        </w:r>
      </w:hyperlink>
      <w:r w:rsidRPr="00577913">
        <w:t xml:space="preserve"> s 17</w:t>
      </w:r>
    </w:p>
    <w:p w14:paraId="50E26C1F" w14:textId="77777777" w:rsidR="00272C93" w:rsidRDefault="00272C93" w:rsidP="00816477">
      <w:pPr>
        <w:pStyle w:val="AmdtsEntryHd"/>
      </w:pPr>
      <w:r w:rsidRPr="007E1F9A">
        <w:t>Compliance with heavy vehicle standards</w:t>
      </w:r>
    </w:p>
    <w:p w14:paraId="195AC718" w14:textId="20569A63" w:rsidR="00272C93" w:rsidRPr="00272C93" w:rsidRDefault="00272C93" w:rsidP="00A67578">
      <w:pPr>
        <w:pStyle w:val="AmdtsEntries"/>
        <w:keepNext/>
      </w:pPr>
      <w:r>
        <w:t>s 60</w:t>
      </w:r>
      <w:r>
        <w:tab/>
        <w:t xml:space="preserve">mod </w:t>
      </w:r>
      <w:hyperlink r:id="rId368" w:tooltip="Heavy Vehicle National Law (ACT) Act 2013" w:history="1">
        <w:r w:rsidRPr="0068043D">
          <w:rPr>
            <w:rStyle w:val="charCitHyperlinkAbbrev"/>
          </w:rPr>
          <w:t>A2013-51</w:t>
        </w:r>
      </w:hyperlink>
      <w:r>
        <w:t xml:space="preserve"> mod 1.22</w:t>
      </w:r>
      <w:r w:rsidR="00932BA6">
        <w:t xml:space="preserve"> (mod om </w:t>
      </w:r>
      <w:hyperlink r:id="rId369"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14:paraId="4A94916D" w14:textId="356D7AEB" w:rsidR="00B71806" w:rsidRPr="00577913" w:rsidRDefault="00B71806" w:rsidP="005E03F7">
      <w:pPr>
        <w:pStyle w:val="AmdtsEntries"/>
      </w:pPr>
      <w:r>
        <w:tab/>
        <w:t xml:space="preserve">am </w:t>
      </w:r>
      <w:hyperlink r:id="rId370" w:tooltip="Heavy Vehicle National Law and Other Legislation Amendment Act 2018" w:history="1">
        <w:r w:rsidR="004070E5" w:rsidRPr="005E03F7">
          <w:rPr>
            <w:rStyle w:val="Hyperlink"/>
          </w:rPr>
          <w:t>A2018-10 (Qld)</w:t>
        </w:r>
      </w:hyperlink>
      <w:r>
        <w:t xml:space="preserve"> s 18</w:t>
      </w:r>
    </w:p>
    <w:p w14:paraId="409BD4CB" w14:textId="77777777" w:rsidR="00570FBB" w:rsidRDefault="001C5C1A" w:rsidP="00DC1960">
      <w:pPr>
        <w:pStyle w:val="AmdtsEntryHd"/>
      </w:pPr>
      <w:r w:rsidRPr="007E1F9A">
        <w:t>Amendment or cancellation of vehicle standards exemption (notice)</w:t>
      </w:r>
    </w:p>
    <w:p w14:paraId="353F538D" w14:textId="441150A1" w:rsidR="001C5C1A" w:rsidRPr="001C5C1A" w:rsidRDefault="001C5C1A" w:rsidP="005E03F7">
      <w:pPr>
        <w:pStyle w:val="AmdtsEntries"/>
      </w:pPr>
      <w:r>
        <w:t>s 66</w:t>
      </w:r>
      <w:r>
        <w:tab/>
        <w:t xml:space="preserve">am </w:t>
      </w:r>
      <w:hyperlink r:id="rId371" w:tooltip="Heavy Vehicle National Law and Other Legislation Amendment Act 2016" w:history="1">
        <w:r w:rsidR="00AB5C77" w:rsidRPr="005E03F7">
          <w:rPr>
            <w:rStyle w:val="Hyperlink"/>
          </w:rPr>
          <w:t>A2016-65 (Qld)</w:t>
        </w:r>
      </w:hyperlink>
      <w:r>
        <w:t xml:space="preserve"> s 120</w:t>
      </w:r>
    </w:p>
    <w:p w14:paraId="59751FF6" w14:textId="77777777" w:rsidR="001C5C1A" w:rsidRDefault="00E37D83" w:rsidP="001C5C1A">
      <w:pPr>
        <w:pStyle w:val="AmdtsEntryHd"/>
      </w:pPr>
      <w:r w:rsidRPr="007E1F9A">
        <w:t>Immediate suspension on Regulator’s initiative</w:t>
      </w:r>
    </w:p>
    <w:p w14:paraId="7D58151A" w14:textId="674F005C" w:rsidR="001C5C1A" w:rsidRPr="001C5C1A" w:rsidRDefault="001C5C1A" w:rsidP="005E03F7">
      <w:pPr>
        <w:pStyle w:val="AmdtsEntries"/>
      </w:pPr>
      <w:r>
        <w:t>s 67</w:t>
      </w:r>
      <w:r>
        <w:tab/>
        <w:t xml:space="preserve">am </w:t>
      </w:r>
      <w:hyperlink r:id="rId372" w:tooltip="Heavy Vehicle National Law and Other Legislation Amendment Act 2016" w:history="1">
        <w:r w:rsidR="00AB5C77" w:rsidRPr="005E03F7">
          <w:rPr>
            <w:rStyle w:val="Hyperlink"/>
          </w:rPr>
          <w:t>A2016-65 (Qld)</w:t>
        </w:r>
      </w:hyperlink>
      <w:r w:rsidR="00E37D83">
        <w:t xml:space="preserve"> s 121</w:t>
      </w:r>
    </w:p>
    <w:p w14:paraId="372E8680" w14:textId="77777777" w:rsidR="002D70FA" w:rsidRDefault="002D70FA" w:rsidP="00DC1960">
      <w:pPr>
        <w:pStyle w:val="AmdtsEntryHd"/>
        <w:rPr>
          <w:lang w:val="en"/>
        </w:rPr>
      </w:pPr>
      <w:r w:rsidRPr="002D70FA">
        <w:rPr>
          <w:lang w:val="en"/>
        </w:rPr>
        <w:t>Permit for vehicle standards exemption (permit) etc.</w:t>
      </w:r>
    </w:p>
    <w:p w14:paraId="0EEAA050" w14:textId="5CCDBB63" w:rsidR="002D70FA" w:rsidRPr="002D70FA" w:rsidRDefault="002D70FA" w:rsidP="002D70FA">
      <w:pPr>
        <w:pStyle w:val="AmdtsEntries"/>
        <w:rPr>
          <w:lang w:val="en"/>
        </w:rPr>
      </w:pPr>
      <w:r>
        <w:rPr>
          <w:lang w:val="en"/>
        </w:rPr>
        <w:t>s 73</w:t>
      </w:r>
      <w:r>
        <w:rPr>
          <w:lang w:val="en"/>
        </w:rPr>
        <w:tab/>
        <w:t xml:space="preserve">am </w:t>
      </w:r>
      <w:hyperlink r:id="rId373" w:tooltip="Heavy Vehicle National Law and Other Legislation Amendment Act 2019" w:history="1">
        <w:r w:rsidRPr="00137BAE">
          <w:rPr>
            <w:rStyle w:val="charCitHyperlinkAbbrev"/>
          </w:rPr>
          <w:t>A2019-29</w:t>
        </w:r>
      </w:hyperlink>
      <w:r>
        <w:rPr>
          <w:lang w:val="en"/>
        </w:rPr>
        <w:t xml:space="preserve"> (Qld) s 8</w:t>
      </w:r>
    </w:p>
    <w:p w14:paraId="5A14DF4C" w14:textId="77777777" w:rsidR="00DC1960" w:rsidRDefault="00221645" w:rsidP="00DC1960">
      <w:pPr>
        <w:pStyle w:val="AmdtsEntryHd"/>
        <w:rPr>
          <w:rFonts w:ascii="Helvetica" w:hAnsi="Helvetica" w:cs="Helvetica"/>
          <w:iCs/>
        </w:rPr>
      </w:pPr>
      <w:r w:rsidRPr="007E1F9A">
        <w:t>Contravening condition of vehicle standards exemption</w:t>
      </w:r>
    </w:p>
    <w:p w14:paraId="6DC75653" w14:textId="5B9AA95E" w:rsidR="00DC1960" w:rsidRDefault="00DC1960" w:rsidP="00DC1960">
      <w:pPr>
        <w:pStyle w:val="AmdtsEntries"/>
      </w:pPr>
      <w:r>
        <w:t>s 81</w:t>
      </w:r>
      <w:r>
        <w:tab/>
      </w:r>
      <w:r w:rsidR="00221645">
        <w:t>am</w:t>
      </w:r>
      <w:r>
        <w:t xml:space="preserve"> </w:t>
      </w:r>
      <w:hyperlink r:id="rId374" w:tooltip="Heavy Vehicle National Law Amendment Act 2015" w:history="1">
        <w:r w:rsidR="00BE6DA0">
          <w:rPr>
            <w:rStyle w:val="charCitHyperlinkAbbrev"/>
          </w:rPr>
          <w:t>A2015-12</w:t>
        </w:r>
      </w:hyperlink>
      <w:r w:rsidR="00BE6DA0">
        <w:t xml:space="preserve"> (Qld)</w:t>
      </w:r>
      <w:r w:rsidR="00221645">
        <w:t xml:space="preserve"> s 67</w:t>
      </w:r>
    </w:p>
    <w:p w14:paraId="1347A7B0" w14:textId="77777777" w:rsidR="007D582C" w:rsidRDefault="007D582C" w:rsidP="00816477">
      <w:pPr>
        <w:pStyle w:val="AmdtsEntryHd"/>
      </w:pPr>
      <w:r w:rsidRPr="007E1F9A">
        <w:t xml:space="preserve">Keeping relevant document while </w:t>
      </w:r>
      <w:r w:rsidR="00665A82">
        <w:t>driving under vehicle standards exemption </w:t>
      </w:r>
      <w:r w:rsidRPr="007E1F9A">
        <w:t>(notice)</w:t>
      </w:r>
    </w:p>
    <w:p w14:paraId="3EF8D664" w14:textId="57606446" w:rsidR="007D582C" w:rsidRPr="007D582C" w:rsidRDefault="007D582C" w:rsidP="005E03F7">
      <w:pPr>
        <w:pStyle w:val="AmdtsEntries"/>
      </w:pPr>
      <w:r>
        <w:t>s 82</w:t>
      </w:r>
      <w:r>
        <w:tab/>
        <w:t xml:space="preserve">am </w:t>
      </w:r>
      <w:hyperlink r:id="rId375" w:tooltip="Heavy Vehicle National Law and Other Legislation Amendment Act 2016" w:history="1">
        <w:r w:rsidR="00AB5C77" w:rsidRPr="005E03F7">
          <w:rPr>
            <w:rStyle w:val="Hyperlink"/>
          </w:rPr>
          <w:t>A2016-65 (Qld)</w:t>
        </w:r>
      </w:hyperlink>
      <w:r>
        <w:t xml:space="preserve"> s 13</w:t>
      </w:r>
    </w:p>
    <w:p w14:paraId="6B4590CB" w14:textId="77777777" w:rsidR="007D582C" w:rsidRDefault="007D582C" w:rsidP="007D582C">
      <w:pPr>
        <w:pStyle w:val="AmdtsEntryHd"/>
      </w:pPr>
      <w:r w:rsidRPr="007E1F9A">
        <w:t>Keeping copy of permit while driving under vehicle standards exemption (permit)</w:t>
      </w:r>
    </w:p>
    <w:p w14:paraId="66D0AD1C" w14:textId="27F3A534" w:rsidR="007D582C" w:rsidRPr="007D582C" w:rsidRDefault="007D582C" w:rsidP="005E03F7">
      <w:pPr>
        <w:pStyle w:val="AmdtsEntries"/>
      </w:pPr>
      <w:r>
        <w:t>s 83</w:t>
      </w:r>
      <w:r>
        <w:tab/>
        <w:t xml:space="preserve">am </w:t>
      </w:r>
      <w:hyperlink r:id="rId376" w:tooltip="Heavy Vehicle National Law and Other Legislation Amendment Act 2016" w:history="1">
        <w:r w:rsidR="00AB5C77" w:rsidRPr="005E03F7">
          <w:rPr>
            <w:rStyle w:val="Hyperlink"/>
          </w:rPr>
          <w:t>A2016-65 (Qld)</w:t>
        </w:r>
      </w:hyperlink>
      <w:r>
        <w:t xml:space="preserve"> s 14</w:t>
      </w:r>
    </w:p>
    <w:p w14:paraId="6E8E04A1" w14:textId="77777777" w:rsidR="00A13B61" w:rsidRDefault="00A13B61" w:rsidP="00816477">
      <w:pPr>
        <w:pStyle w:val="AmdtsEntryHd"/>
        <w:rPr>
          <w:rFonts w:ascii="Helvetica" w:hAnsi="Helvetica" w:cs="Helvetica"/>
          <w:iCs/>
        </w:rPr>
      </w:pPr>
      <w:r>
        <w:rPr>
          <w:rFonts w:ascii="Helvetica" w:hAnsi="Helvetica" w:cs="Helvetica"/>
          <w:iCs/>
        </w:rPr>
        <w:lastRenderedPageBreak/>
        <w:t>Definition for Pt 3.3</w:t>
      </w:r>
    </w:p>
    <w:p w14:paraId="59547F2F" w14:textId="49157237" w:rsidR="00A13B61" w:rsidRDefault="00A13B61" w:rsidP="00A13B61">
      <w:pPr>
        <w:pStyle w:val="AmdtsEntries"/>
      </w:pPr>
      <w:r>
        <w:t>s 84</w:t>
      </w:r>
      <w:r>
        <w:tab/>
        <w:t xml:space="preserve">sub </w:t>
      </w:r>
      <w:hyperlink r:id="rId377" w:tooltip="Heavy Vehicle National Law Amendment Act 2015" w:history="1">
        <w:r w:rsidR="00BE6DA0">
          <w:rPr>
            <w:rStyle w:val="charCitHyperlinkAbbrev"/>
          </w:rPr>
          <w:t>A2015-12</w:t>
        </w:r>
      </w:hyperlink>
      <w:r w:rsidR="00BE6DA0">
        <w:t xml:space="preserve"> (Qld)</w:t>
      </w:r>
      <w:r>
        <w:t xml:space="preserve"> s 5</w:t>
      </w:r>
    </w:p>
    <w:p w14:paraId="19A02118" w14:textId="56CB75E8" w:rsidR="00121CED" w:rsidRDefault="00121CED" w:rsidP="00121CED">
      <w:pPr>
        <w:pStyle w:val="AmdtsEntries"/>
      </w:pPr>
      <w:r>
        <w:tab/>
        <w:t xml:space="preserve">def </w:t>
      </w:r>
      <w:r>
        <w:rPr>
          <w:rStyle w:val="charBoldItals"/>
        </w:rPr>
        <w:t xml:space="preserve">modification </w:t>
      </w:r>
      <w:r>
        <w:t xml:space="preserve">sub </w:t>
      </w:r>
      <w:hyperlink r:id="rId378" w:tooltip="Heavy Vehicle National Law Amendment Act 2015" w:history="1">
        <w:r w:rsidR="00BE6DA0">
          <w:rPr>
            <w:rStyle w:val="charCitHyperlinkAbbrev"/>
          </w:rPr>
          <w:t>A2015-12</w:t>
        </w:r>
      </w:hyperlink>
      <w:r w:rsidR="00BE6DA0">
        <w:t xml:space="preserve"> (Qld)</w:t>
      </w:r>
      <w:r>
        <w:t xml:space="preserve"> s 5</w:t>
      </w:r>
    </w:p>
    <w:p w14:paraId="74D02AB4" w14:textId="56771B86" w:rsidR="00F70573" w:rsidRPr="004F52BE" w:rsidRDefault="00F70573" w:rsidP="00F70573">
      <w:pPr>
        <w:pStyle w:val="AmdtsEntriesDefL2"/>
        <w:rPr>
          <w:rStyle w:val="charBoldItals"/>
        </w:rPr>
      </w:pPr>
      <w:r>
        <w:tab/>
        <w:t xml:space="preserve">am </w:t>
      </w:r>
      <w:hyperlink r:id="rId379" w:tooltip="Heavy Vehicle National Law and Other Legislation Amendment Act 2019" w:history="1">
        <w:r w:rsidRPr="00137BAE">
          <w:rPr>
            <w:rStyle w:val="charCitHyperlinkAbbrev"/>
          </w:rPr>
          <w:t>A2019-29</w:t>
        </w:r>
      </w:hyperlink>
      <w:r>
        <w:t xml:space="preserve"> (Qld) s 6</w:t>
      </w:r>
    </w:p>
    <w:p w14:paraId="2F22423A" w14:textId="77777777" w:rsidR="00A13B61" w:rsidRDefault="00A13B61" w:rsidP="00816477">
      <w:pPr>
        <w:pStyle w:val="AmdtsEntryHd"/>
        <w:rPr>
          <w:rFonts w:ascii="Helvetica" w:hAnsi="Helvetica" w:cs="Helvetica"/>
          <w:iCs/>
        </w:rPr>
      </w:pPr>
      <w:r>
        <w:rPr>
          <w:rFonts w:ascii="Helvetica" w:hAnsi="Helvetica" w:cs="Helvetica"/>
          <w:iCs/>
        </w:rPr>
        <w:t>Modifying heavy vehicle requires approval</w:t>
      </w:r>
    </w:p>
    <w:p w14:paraId="505380DD" w14:textId="51430476" w:rsidR="00A13B61" w:rsidRPr="00A13B61" w:rsidRDefault="00A13B61" w:rsidP="00A13B61">
      <w:pPr>
        <w:pStyle w:val="AmdtsEntries"/>
      </w:pPr>
      <w:r>
        <w:t>s 85</w:t>
      </w:r>
      <w:r>
        <w:tab/>
        <w:t xml:space="preserve">am </w:t>
      </w:r>
      <w:hyperlink r:id="rId380" w:tooltip="Heavy Vehicle National Law Amendment Act 2015" w:history="1">
        <w:r w:rsidR="00BE6DA0">
          <w:rPr>
            <w:rStyle w:val="charCitHyperlinkAbbrev"/>
          </w:rPr>
          <w:t>A2015-12</w:t>
        </w:r>
      </w:hyperlink>
      <w:r w:rsidR="00BE6DA0">
        <w:t xml:space="preserve"> (Qld)</w:t>
      </w:r>
      <w:r>
        <w:t xml:space="preserve"> s 6</w:t>
      </w:r>
      <w:r w:rsidR="00595176">
        <w:t xml:space="preserve">; </w:t>
      </w:r>
      <w:hyperlink r:id="rId381" w:tooltip="Heavy Vehicle National Law and Other Legislation Amendment Act 2019" w:history="1">
        <w:r w:rsidR="00595176" w:rsidRPr="00137BAE">
          <w:rPr>
            <w:rStyle w:val="charCitHyperlinkAbbrev"/>
          </w:rPr>
          <w:t>A2019-29</w:t>
        </w:r>
      </w:hyperlink>
      <w:r w:rsidR="00595176">
        <w:t xml:space="preserve"> (Qld) s 9</w:t>
      </w:r>
    </w:p>
    <w:p w14:paraId="2E83774D" w14:textId="77777777" w:rsidR="00A13B61" w:rsidRDefault="00A13B61" w:rsidP="00816477">
      <w:pPr>
        <w:pStyle w:val="AmdtsEntryHd"/>
        <w:rPr>
          <w:rFonts w:ascii="Helvetica" w:hAnsi="Helvetica" w:cs="Helvetica"/>
          <w:iCs/>
        </w:rPr>
      </w:pPr>
      <w:r>
        <w:rPr>
          <w:rFonts w:ascii="Helvetica" w:hAnsi="Helvetica" w:cs="Helvetica"/>
          <w:iCs/>
        </w:rPr>
        <w:t>Person must not tamper with plate or label</w:t>
      </w:r>
    </w:p>
    <w:p w14:paraId="048496B9" w14:textId="130F057A" w:rsidR="00A13B61" w:rsidRPr="00A13B61" w:rsidRDefault="00A13B61" w:rsidP="00A13B61">
      <w:pPr>
        <w:pStyle w:val="AmdtsEntries"/>
      </w:pPr>
      <w:r>
        <w:t>s 87A</w:t>
      </w:r>
      <w:r>
        <w:tab/>
      </w:r>
      <w:r w:rsidR="00C569BF">
        <w:t>ins</w:t>
      </w:r>
      <w:r>
        <w:t xml:space="preserve"> </w:t>
      </w:r>
      <w:hyperlink r:id="rId382" w:tooltip="Heavy Vehicle National Law Amendment Act 2015" w:history="1">
        <w:r w:rsidR="00BE6DA0">
          <w:rPr>
            <w:rStyle w:val="charCitHyperlinkAbbrev"/>
          </w:rPr>
          <w:t>A2015-12</w:t>
        </w:r>
      </w:hyperlink>
      <w:r w:rsidR="00BE6DA0">
        <w:t xml:space="preserve"> (Qld)</w:t>
      </w:r>
      <w:r w:rsidR="00C569BF">
        <w:t xml:space="preserve"> s 7</w:t>
      </w:r>
    </w:p>
    <w:p w14:paraId="6D96F133" w14:textId="77777777" w:rsidR="000D1E79" w:rsidRDefault="000D1E79" w:rsidP="000D1E79">
      <w:pPr>
        <w:pStyle w:val="AmdtsEntryHd"/>
      </w:pPr>
      <w:r w:rsidRPr="007E1F9A">
        <w:t>Person must not tamper with emission</w:t>
      </w:r>
      <w:r w:rsidR="00435CD2">
        <w:t xml:space="preserve"> control system fitted to heavy </w:t>
      </w:r>
      <w:r w:rsidRPr="007E1F9A">
        <w:t>vehicle</w:t>
      </w:r>
    </w:p>
    <w:p w14:paraId="52B021FE" w14:textId="4251CE4B" w:rsidR="000D1E79" w:rsidRPr="007D582C" w:rsidRDefault="000D1E79" w:rsidP="005E03F7">
      <w:pPr>
        <w:pStyle w:val="AmdtsEntries"/>
      </w:pPr>
      <w:r>
        <w:t>s 91</w:t>
      </w:r>
      <w:r>
        <w:tab/>
        <w:t xml:space="preserve">am </w:t>
      </w:r>
      <w:hyperlink r:id="rId383" w:tooltip="Heavy Vehicle National Law and Other Legislation Amendment Act 2016" w:history="1">
        <w:r w:rsidR="00AB5C77" w:rsidRPr="005E03F7">
          <w:rPr>
            <w:rStyle w:val="Hyperlink"/>
          </w:rPr>
          <w:t>A2016-65 (Qld)</w:t>
        </w:r>
      </w:hyperlink>
      <w:r>
        <w:t xml:space="preserve"> s 15</w:t>
      </w:r>
    </w:p>
    <w:p w14:paraId="4A14FFD7" w14:textId="77777777" w:rsidR="000D1E79" w:rsidRDefault="000D1E79" w:rsidP="000D1E79">
      <w:pPr>
        <w:pStyle w:val="AmdtsEntryHd"/>
      </w:pPr>
      <w:r w:rsidRPr="007E1F9A">
        <w:t>Person must not tamper with speed limiter fitted to heavy vehicle</w:t>
      </w:r>
    </w:p>
    <w:p w14:paraId="22A7AA88" w14:textId="5763FD32" w:rsidR="000D1E79" w:rsidRPr="007D582C" w:rsidRDefault="000D1E79" w:rsidP="005E03F7">
      <w:pPr>
        <w:pStyle w:val="AmdtsEntries"/>
      </w:pPr>
      <w:r>
        <w:t>s 93</w:t>
      </w:r>
      <w:r>
        <w:tab/>
        <w:t xml:space="preserve">am </w:t>
      </w:r>
      <w:hyperlink r:id="rId384" w:tooltip="Heavy Vehicle National Law and Other Legislation Amendment Act 2016" w:history="1">
        <w:r w:rsidR="00AB5C77" w:rsidRPr="005E03F7">
          <w:rPr>
            <w:rStyle w:val="Hyperlink"/>
          </w:rPr>
          <w:t>A2016-65 (Qld)</w:t>
        </w:r>
      </w:hyperlink>
      <w:r>
        <w:t xml:space="preserve"> s 16</w:t>
      </w:r>
    </w:p>
    <w:p w14:paraId="1545EB91" w14:textId="77777777" w:rsidR="00A13B61" w:rsidRDefault="00A13B61" w:rsidP="00816477">
      <w:pPr>
        <w:pStyle w:val="AmdtsEntryHd"/>
        <w:rPr>
          <w:rFonts w:ascii="Helvetica" w:hAnsi="Helvetica" w:cs="Helvetica"/>
          <w:iCs/>
        </w:rPr>
      </w:pPr>
      <w:r>
        <w:rPr>
          <w:rFonts w:ascii="Helvetica" w:hAnsi="Helvetica" w:cs="Helvetica"/>
          <w:iCs/>
        </w:rPr>
        <w:t>Main purposes of Ch 4</w:t>
      </w:r>
    </w:p>
    <w:p w14:paraId="366ACA15" w14:textId="31F53ADC" w:rsidR="00A13B61" w:rsidRPr="00A13B61" w:rsidRDefault="00A13B61" w:rsidP="00A13B61">
      <w:pPr>
        <w:pStyle w:val="AmdtsEntries"/>
      </w:pPr>
      <w:r>
        <w:t>s 94</w:t>
      </w:r>
      <w:r>
        <w:tab/>
      </w:r>
      <w:r w:rsidR="00C569BF">
        <w:t>am</w:t>
      </w:r>
      <w:r>
        <w:t xml:space="preserve"> </w:t>
      </w:r>
      <w:hyperlink r:id="rId385" w:tooltip="Heavy Vehicle National Law Amendment Act 2015" w:history="1">
        <w:r w:rsidR="00BE6DA0">
          <w:rPr>
            <w:rStyle w:val="charCitHyperlinkAbbrev"/>
          </w:rPr>
          <w:t>A2015-12</w:t>
        </w:r>
      </w:hyperlink>
      <w:r w:rsidR="00BE6DA0">
        <w:t xml:space="preserve"> (Qld)</w:t>
      </w:r>
      <w:r w:rsidR="00507E44">
        <w:t xml:space="preserve"> </w:t>
      </w:r>
      <w:r w:rsidR="00C569BF">
        <w:t>s 8</w:t>
      </w:r>
    </w:p>
    <w:p w14:paraId="39D74825" w14:textId="77777777" w:rsidR="002460B8" w:rsidRDefault="002460B8" w:rsidP="000E6E70">
      <w:pPr>
        <w:pStyle w:val="AmdtsEntryHd"/>
        <w:rPr>
          <w:bCs/>
        </w:rPr>
      </w:pPr>
      <w:r w:rsidRPr="007E1F9A">
        <w:rPr>
          <w:bCs/>
        </w:rPr>
        <w:t>Prescribed mass requirements</w:t>
      </w:r>
    </w:p>
    <w:p w14:paraId="12F775FB" w14:textId="27DFDFA4" w:rsidR="002460B8" w:rsidRPr="002460B8" w:rsidRDefault="002460B8" w:rsidP="005E03F7">
      <w:pPr>
        <w:pStyle w:val="AmdtsEntries"/>
      </w:pPr>
      <w:r>
        <w:t>s 95</w:t>
      </w:r>
      <w:r>
        <w:tab/>
        <w:t xml:space="preserve">am </w:t>
      </w:r>
      <w:hyperlink r:id="rId386" w:tooltip="Heavy Vehicle National Law Amendment Act 2018" w:history="1">
        <w:r w:rsidR="00C14D0F" w:rsidRPr="005E03F7">
          <w:rPr>
            <w:rStyle w:val="Hyperlink"/>
          </w:rPr>
          <w:t>A2018-18 (Qld)</w:t>
        </w:r>
      </w:hyperlink>
      <w:r>
        <w:t xml:space="preserve"> s 10</w:t>
      </w:r>
    </w:p>
    <w:p w14:paraId="3A75DD0D" w14:textId="77777777" w:rsidR="000E6E70" w:rsidRDefault="000E6E70" w:rsidP="000E6E70">
      <w:pPr>
        <w:pStyle w:val="AmdtsEntryHd"/>
      </w:pPr>
      <w:r w:rsidRPr="007E1F9A">
        <w:t>Compliance with mass requirements</w:t>
      </w:r>
    </w:p>
    <w:p w14:paraId="56ADFE68" w14:textId="2FD0CB42" w:rsidR="000E6E70" w:rsidRPr="002460B8" w:rsidRDefault="000E6E70" w:rsidP="005E03F7">
      <w:pPr>
        <w:pStyle w:val="AmdtsEntries"/>
        <w:rPr>
          <w:b/>
        </w:rPr>
      </w:pPr>
      <w:r>
        <w:t>s 96</w:t>
      </w:r>
      <w:r>
        <w:tab/>
        <w:t xml:space="preserve">am </w:t>
      </w:r>
      <w:hyperlink r:id="rId387" w:tooltip="Heavy Vehicle National Law and Other Legislation Amendment Act 2016" w:history="1">
        <w:r w:rsidR="00AB5C77" w:rsidRPr="005E03F7">
          <w:rPr>
            <w:rStyle w:val="Hyperlink"/>
          </w:rPr>
          <w:t>A2016-65 (Qld)</w:t>
        </w:r>
      </w:hyperlink>
      <w:r>
        <w:t xml:space="preserve"> s 17</w:t>
      </w:r>
      <w:r w:rsidR="002460B8">
        <w:t xml:space="preserve">; </w:t>
      </w:r>
      <w:hyperlink r:id="rId388" w:tooltip="Heavy Vehicle National Law Amendment Act 2018" w:history="1">
        <w:r w:rsidR="00C14D0F" w:rsidRPr="005E03F7">
          <w:rPr>
            <w:rStyle w:val="Hyperlink"/>
          </w:rPr>
          <w:t>A2018-18 (Qld)</w:t>
        </w:r>
      </w:hyperlink>
      <w:r w:rsidR="002460B8">
        <w:t xml:space="preserve"> s 11</w:t>
      </w:r>
      <w:r w:rsidR="007F4361">
        <w:t xml:space="preserve">; </w:t>
      </w:r>
      <w:hyperlink r:id="rId389" w:tooltip="Heavy Vehicle National Law and Other Legislation Amendment Act 2019" w:history="1">
        <w:r w:rsidR="007F4361" w:rsidRPr="00137BAE">
          <w:rPr>
            <w:rStyle w:val="charCitHyperlinkAbbrev"/>
          </w:rPr>
          <w:t>A2019-29</w:t>
        </w:r>
      </w:hyperlink>
      <w:r w:rsidR="007F4361">
        <w:t xml:space="preserve"> s 10</w:t>
      </w:r>
    </w:p>
    <w:p w14:paraId="6C05CEF2" w14:textId="77777777" w:rsidR="000E6E70" w:rsidRDefault="000E6E70" w:rsidP="000E6E70">
      <w:pPr>
        <w:pStyle w:val="AmdtsEntryHd"/>
      </w:pPr>
      <w:r w:rsidRPr="007E1F9A">
        <w:t>Compliance with dimension requirements</w:t>
      </w:r>
    </w:p>
    <w:p w14:paraId="35E0FAB9" w14:textId="7679848C" w:rsidR="000E6E70" w:rsidRPr="007D582C" w:rsidRDefault="000E6E70" w:rsidP="005E03F7">
      <w:pPr>
        <w:pStyle w:val="AmdtsEntries"/>
      </w:pPr>
      <w:r>
        <w:t>s 102</w:t>
      </w:r>
      <w:r>
        <w:tab/>
        <w:t xml:space="preserve">am </w:t>
      </w:r>
      <w:hyperlink r:id="rId390" w:tooltip="Heavy Vehicle National Law and Other Legislation Amendment Act 2016" w:history="1">
        <w:r w:rsidR="00AB5C77" w:rsidRPr="005E03F7">
          <w:rPr>
            <w:rStyle w:val="Hyperlink"/>
          </w:rPr>
          <w:t>A2016-65 (Qld)</w:t>
        </w:r>
      </w:hyperlink>
      <w:r>
        <w:t xml:space="preserve"> s 18</w:t>
      </w:r>
      <w:r w:rsidR="007F4361">
        <w:t xml:space="preserve">; </w:t>
      </w:r>
      <w:hyperlink r:id="rId391" w:tooltip="Heavy Vehicle National Law and Other Legislation Amendment Act 2019" w:history="1">
        <w:r w:rsidR="007F4361" w:rsidRPr="00137BAE">
          <w:rPr>
            <w:rStyle w:val="charCitHyperlinkAbbrev"/>
          </w:rPr>
          <w:t>A2019-29</w:t>
        </w:r>
      </w:hyperlink>
      <w:r w:rsidR="007F4361">
        <w:t xml:space="preserve"> s 11</w:t>
      </w:r>
    </w:p>
    <w:p w14:paraId="12FF58C3" w14:textId="77777777" w:rsidR="00FA2913" w:rsidRDefault="00FA2913" w:rsidP="000E6E70">
      <w:pPr>
        <w:pStyle w:val="AmdtsEntryHd"/>
      </w:pPr>
      <w:r w:rsidRPr="007E1F9A">
        <w:t>Minor risk breach</w:t>
      </w:r>
    </w:p>
    <w:p w14:paraId="68FCE43D" w14:textId="2EDED7AF" w:rsidR="00FA2913" w:rsidRPr="00FA2913" w:rsidRDefault="00FA2913" w:rsidP="005E03F7">
      <w:pPr>
        <w:pStyle w:val="AmdtsEntries"/>
      </w:pPr>
      <w:r>
        <w:t>s 105</w:t>
      </w:r>
      <w:r>
        <w:tab/>
        <w:t xml:space="preserve">am </w:t>
      </w:r>
      <w:hyperlink r:id="rId392" w:tooltip="Heavy Vehicle National Law and Other Legislation Amendment Act 2018" w:history="1">
        <w:r w:rsidR="004070E5" w:rsidRPr="005E03F7">
          <w:rPr>
            <w:rStyle w:val="Hyperlink"/>
          </w:rPr>
          <w:t>A2018-10 (Qld)</w:t>
        </w:r>
      </w:hyperlink>
      <w:r>
        <w:t xml:space="preserve"> s 19</w:t>
      </w:r>
    </w:p>
    <w:p w14:paraId="48CCE93A" w14:textId="77777777" w:rsidR="000E6E70" w:rsidRDefault="000E6E70" w:rsidP="000E6E70">
      <w:pPr>
        <w:pStyle w:val="AmdtsEntryHd"/>
      </w:pPr>
      <w:r w:rsidRPr="007E1F9A">
        <w:t>Compliance with loading requirements</w:t>
      </w:r>
    </w:p>
    <w:p w14:paraId="781C3394" w14:textId="360532E9" w:rsidR="000E6E70" w:rsidRPr="007D582C" w:rsidRDefault="000E6E70" w:rsidP="005E03F7">
      <w:pPr>
        <w:pStyle w:val="AmdtsEntries"/>
      </w:pPr>
      <w:r>
        <w:t>s 111</w:t>
      </w:r>
      <w:r>
        <w:tab/>
        <w:t xml:space="preserve">am </w:t>
      </w:r>
      <w:hyperlink r:id="rId393" w:tooltip="Heavy Vehicle National Law and Other Legislation Amendment Act 2016" w:history="1">
        <w:r w:rsidR="00AB5C77" w:rsidRPr="005E03F7">
          <w:rPr>
            <w:rStyle w:val="Hyperlink"/>
          </w:rPr>
          <w:t>A2016-65 (Qld)</w:t>
        </w:r>
      </w:hyperlink>
      <w:r>
        <w:t xml:space="preserve"> s 19</w:t>
      </w:r>
    </w:p>
    <w:p w14:paraId="6CF3A8FA" w14:textId="77777777" w:rsidR="002460B8" w:rsidRDefault="002460B8" w:rsidP="00FA2913">
      <w:pPr>
        <w:pStyle w:val="AmdtsEntryHd"/>
      </w:pPr>
      <w:r w:rsidRPr="007E1F9A">
        <w:t>Proof of contravention of loading requirement</w:t>
      </w:r>
    </w:p>
    <w:p w14:paraId="5AA67488" w14:textId="007EE26D" w:rsidR="00ED7CC8" w:rsidRPr="002460B8" w:rsidRDefault="002460B8" w:rsidP="005E03F7">
      <w:pPr>
        <w:pStyle w:val="AmdtsEntries"/>
      </w:pPr>
      <w:r>
        <w:t>s 115</w:t>
      </w:r>
      <w:r>
        <w:tab/>
      </w:r>
      <w:r w:rsidR="00ED7CC8">
        <w:t xml:space="preserve">sub </w:t>
      </w:r>
      <w:hyperlink r:id="rId394" w:tooltip="Heavy Vehicle National Law Amendment Act 2018" w:history="1">
        <w:r w:rsidR="00C14D0F" w:rsidRPr="005E03F7">
          <w:rPr>
            <w:rStyle w:val="Hyperlink"/>
          </w:rPr>
          <w:t>A2018-18 (Qld)</w:t>
        </w:r>
      </w:hyperlink>
      <w:r w:rsidR="00ED7CC8">
        <w:t xml:space="preserve"> s 12</w:t>
      </w:r>
    </w:p>
    <w:p w14:paraId="3ED16D08" w14:textId="77777777" w:rsidR="00FA2913" w:rsidRDefault="00FA2913" w:rsidP="00FA2913">
      <w:pPr>
        <w:pStyle w:val="AmdtsEntryHd"/>
      </w:pPr>
      <w:r w:rsidRPr="007E1F9A">
        <w:t>Class 1 heavy vehicles and class 3 heavy vehicles</w:t>
      </w:r>
    </w:p>
    <w:p w14:paraId="0350ADC4" w14:textId="1EC1118B" w:rsidR="00FA2913" w:rsidRPr="00FA2913" w:rsidRDefault="00FA2913" w:rsidP="005E03F7">
      <w:pPr>
        <w:pStyle w:val="AmdtsEntries"/>
      </w:pPr>
      <w:r>
        <w:t>s 116</w:t>
      </w:r>
      <w:r>
        <w:tab/>
        <w:t xml:space="preserve">am </w:t>
      </w:r>
      <w:hyperlink r:id="rId395" w:tooltip="Heavy Vehicle National Law and Other Legislation Amendment Act 2018" w:history="1">
        <w:r w:rsidR="004070E5" w:rsidRPr="005E03F7">
          <w:rPr>
            <w:rStyle w:val="Hyperlink"/>
          </w:rPr>
          <w:t>A2018-10 (Qld)</w:t>
        </w:r>
      </w:hyperlink>
      <w:r>
        <w:t xml:space="preserve"> s 20</w:t>
      </w:r>
    </w:p>
    <w:p w14:paraId="4926F438" w14:textId="77777777" w:rsidR="00A13B61" w:rsidRDefault="00A13B61" w:rsidP="00816477">
      <w:pPr>
        <w:pStyle w:val="AmdtsEntryHd"/>
        <w:rPr>
          <w:rFonts w:ascii="Helvetica" w:hAnsi="Helvetica" w:cs="Helvetica"/>
          <w:iCs/>
        </w:rPr>
      </w:pPr>
      <w:r>
        <w:rPr>
          <w:rFonts w:ascii="Helvetica" w:hAnsi="Helvetica" w:cs="Helvetica"/>
          <w:iCs/>
        </w:rPr>
        <w:t>Conditions of mass or dimension exemption (notice)</w:t>
      </w:r>
    </w:p>
    <w:p w14:paraId="7673F524" w14:textId="502E5EE1" w:rsidR="00A13B61" w:rsidRPr="00A13B61" w:rsidRDefault="005E46B3" w:rsidP="005E03F7">
      <w:pPr>
        <w:pStyle w:val="AmdtsEntries"/>
      </w:pPr>
      <w:r>
        <w:t>s 119</w:t>
      </w:r>
      <w:r w:rsidR="00A13B61">
        <w:tab/>
      </w:r>
      <w:r>
        <w:t>am</w:t>
      </w:r>
      <w:r w:rsidR="00A13B61">
        <w:t xml:space="preserve"> </w:t>
      </w:r>
      <w:hyperlink r:id="rId396" w:tooltip="Heavy Vehicle National Law Amendment Act 2015" w:history="1">
        <w:r w:rsidR="00BE6DA0">
          <w:rPr>
            <w:rStyle w:val="charCitHyperlinkAbbrev"/>
          </w:rPr>
          <w:t>A2015-12</w:t>
        </w:r>
      </w:hyperlink>
      <w:r w:rsidR="00BE6DA0">
        <w:t xml:space="preserve"> (Qld)</w:t>
      </w:r>
      <w:r>
        <w:t xml:space="preserve"> s 9</w:t>
      </w:r>
      <w:r w:rsidR="007F2252">
        <w:t xml:space="preserve">; </w:t>
      </w:r>
      <w:hyperlink r:id="rId397" w:tooltip="Heavy Vehicle National Law and Other Legislation Amendment Act 2016" w:history="1">
        <w:r w:rsidR="00AB5C77" w:rsidRPr="005E03F7">
          <w:rPr>
            <w:rStyle w:val="Hyperlink"/>
          </w:rPr>
          <w:t>A2016-65 (Qld)</w:t>
        </w:r>
      </w:hyperlink>
      <w:r w:rsidR="007F2252">
        <w:t xml:space="preserve"> s 139</w:t>
      </w:r>
    </w:p>
    <w:p w14:paraId="59904D07" w14:textId="77777777" w:rsidR="005E46B3" w:rsidRDefault="005E46B3" w:rsidP="00816477">
      <w:pPr>
        <w:pStyle w:val="AmdtsEntryHd"/>
        <w:rPr>
          <w:rFonts w:ascii="Helvetica" w:hAnsi="Helvetica" w:cs="Helvetica"/>
          <w:iCs/>
        </w:rPr>
      </w:pPr>
      <w:r>
        <w:rPr>
          <w:rFonts w:ascii="Helvetica" w:hAnsi="Helvetica" w:cs="Helvetica"/>
          <w:iCs/>
        </w:rPr>
        <w:t>Process for amending a stated map or stated list</w:t>
      </w:r>
    </w:p>
    <w:p w14:paraId="0FE7F590" w14:textId="1DFAAFCA" w:rsidR="005E46B3" w:rsidRPr="00A13B61" w:rsidRDefault="005E46B3" w:rsidP="005E46B3">
      <w:pPr>
        <w:pStyle w:val="AmdtsEntries"/>
      </w:pPr>
      <w:r>
        <w:t>s 119A</w:t>
      </w:r>
      <w:r>
        <w:tab/>
        <w:t xml:space="preserve">ins </w:t>
      </w:r>
      <w:hyperlink r:id="rId398" w:tooltip="Heavy Vehicle National Law Amendment Act 2015" w:history="1">
        <w:r w:rsidR="00BE6DA0">
          <w:rPr>
            <w:rStyle w:val="charCitHyperlinkAbbrev"/>
          </w:rPr>
          <w:t>A2015-12</w:t>
        </w:r>
      </w:hyperlink>
      <w:r w:rsidR="00BE6DA0">
        <w:t xml:space="preserve"> (Qld)</w:t>
      </w:r>
      <w:r>
        <w:t xml:space="preserve"> s 10</w:t>
      </w:r>
    </w:p>
    <w:p w14:paraId="50C45DFE" w14:textId="77777777" w:rsidR="00FC2E0B" w:rsidRDefault="00FC2E0B" w:rsidP="00FC2E0B">
      <w:pPr>
        <w:pStyle w:val="AmdtsEntryHd"/>
      </w:pPr>
      <w:r w:rsidRPr="007E1F9A">
        <w:t>Conditions of mass or dimension exemption (permit)</w:t>
      </w:r>
    </w:p>
    <w:p w14:paraId="1856BA75" w14:textId="353687E3" w:rsidR="00FC2E0B" w:rsidRPr="004E3500" w:rsidRDefault="00FC2E0B" w:rsidP="005E03F7">
      <w:pPr>
        <w:pStyle w:val="AmdtsEntries"/>
      </w:pPr>
      <w:r>
        <w:t>s 125</w:t>
      </w:r>
      <w:r>
        <w:tab/>
        <w:t xml:space="preserve">am </w:t>
      </w:r>
      <w:hyperlink r:id="rId399" w:tooltip="Heavy Vehicle National Law and Other Legislation Amendment Act 2016" w:history="1">
        <w:r w:rsidR="00AB5C77" w:rsidRPr="005E03F7">
          <w:rPr>
            <w:rStyle w:val="Hyperlink"/>
          </w:rPr>
          <w:t>A2016-65 (Qld)</w:t>
        </w:r>
      </w:hyperlink>
      <w:r>
        <w:rPr>
          <w:rStyle w:val="charCitHyperlinkAbbrev"/>
        </w:rPr>
        <w:t xml:space="preserve"> </w:t>
      </w:r>
      <w:r>
        <w:t>s 139</w:t>
      </w:r>
    </w:p>
    <w:p w14:paraId="523BE488" w14:textId="77777777" w:rsidR="00595176" w:rsidRDefault="00595176" w:rsidP="00CB08D8">
      <w:pPr>
        <w:pStyle w:val="AmdtsEntryHd"/>
        <w:rPr>
          <w:lang w:val="en"/>
        </w:rPr>
      </w:pPr>
      <w:r w:rsidRPr="00595176">
        <w:rPr>
          <w:lang w:val="en"/>
        </w:rPr>
        <w:t>Permit for mass or dimension exemption (permit) etc.</w:t>
      </w:r>
    </w:p>
    <w:p w14:paraId="5EBB20ED" w14:textId="0807EF74" w:rsidR="00595176" w:rsidRPr="00595176" w:rsidRDefault="00595176" w:rsidP="00595176">
      <w:pPr>
        <w:pStyle w:val="AmdtsEntries"/>
        <w:rPr>
          <w:lang w:val="en"/>
        </w:rPr>
      </w:pPr>
      <w:r>
        <w:rPr>
          <w:lang w:val="en"/>
        </w:rPr>
        <w:t>s 127</w:t>
      </w:r>
      <w:r>
        <w:rPr>
          <w:lang w:val="en"/>
        </w:rPr>
        <w:tab/>
        <w:t xml:space="preserve">am </w:t>
      </w:r>
      <w:hyperlink r:id="rId400" w:tooltip="Heavy Vehicle National Law and Other Legislation Amendment Act 2019" w:history="1">
        <w:r w:rsidRPr="00137BAE">
          <w:rPr>
            <w:rStyle w:val="charCitHyperlinkAbbrev"/>
          </w:rPr>
          <w:t>A2019-29</w:t>
        </w:r>
      </w:hyperlink>
      <w:r>
        <w:rPr>
          <w:lang w:val="en"/>
        </w:rPr>
        <w:t xml:space="preserve"> (Qld) s 12</w:t>
      </w:r>
    </w:p>
    <w:p w14:paraId="4BEB170A" w14:textId="77777777" w:rsidR="00CB08D8" w:rsidRDefault="00CB08D8" w:rsidP="00CB08D8">
      <w:pPr>
        <w:pStyle w:val="AmdtsEntryHd"/>
      </w:pPr>
      <w:r w:rsidRPr="007E1F9A">
        <w:lastRenderedPageBreak/>
        <w:t>Contravening condition of mass or dimension exemption relating to pilot or escort vehicle</w:t>
      </w:r>
    </w:p>
    <w:p w14:paraId="14DFA68A" w14:textId="3379DC67" w:rsidR="00CB08D8" w:rsidRPr="007D582C" w:rsidRDefault="00CB08D8" w:rsidP="005E03F7">
      <w:pPr>
        <w:pStyle w:val="AmdtsEntries"/>
      </w:pPr>
      <w:r>
        <w:t>s 130</w:t>
      </w:r>
      <w:r>
        <w:tab/>
        <w:t xml:space="preserve">am </w:t>
      </w:r>
      <w:hyperlink r:id="rId401" w:tooltip="Heavy Vehicle National Law and Other Legislation Amendment Act 2016" w:history="1">
        <w:r w:rsidR="00AB5C77" w:rsidRPr="005E03F7">
          <w:rPr>
            <w:rStyle w:val="Hyperlink"/>
          </w:rPr>
          <w:t>A2016-65 (Qld)</w:t>
        </w:r>
      </w:hyperlink>
      <w:r>
        <w:t xml:space="preserve"> s 20</w:t>
      </w:r>
    </w:p>
    <w:p w14:paraId="6304AFAF" w14:textId="77777777" w:rsidR="00CB08D8" w:rsidRDefault="00CB08D8" w:rsidP="00CB08D8">
      <w:pPr>
        <w:pStyle w:val="AmdtsEntryHd"/>
      </w:pPr>
      <w:r w:rsidRPr="007E1F9A">
        <w:t>Keeping relevant document while driving under mass or dimension exemption (notice)</w:t>
      </w:r>
    </w:p>
    <w:p w14:paraId="45D4A537" w14:textId="65093C26" w:rsidR="00CB08D8" w:rsidRPr="007D582C" w:rsidRDefault="00CB08D8" w:rsidP="005E03F7">
      <w:pPr>
        <w:pStyle w:val="AmdtsEntries"/>
      </w:pPr>
      <w:r>
        <w:t>s 132</w:t>
      </w:r>
      <w:r>
        <w:tab/>
        <w:t xml:space="preserve">am </w:t>
      </w:r>
      <w:hyperlink r:id="rId402" w:tooltip="Heavy Vehicle National Law and Other Legislation Amendment Act 2016" w:history="1">
        <w:r w:rsidR="00AB5C77" w:rsidRPr="005E03F7">
          <w:rPr>
            <w:rStyle w:val="Hyperlink"/>
          </w:rPr>
          <w:t>A2016-65 (Qld)</w:t>
        </w:r>
      </w:hyperlink>
      <w:r>
        <w:t xml:space="preserve"> s 21</w:t>
      </w:r>
    </w:p>
    <w:p w14:paraId="09D30441" w14:textId="77777777" w:rsidR="00CB08D8" w:rsidRDefault="00CB08D8" w:rsidP="00CB08D8">
      <w:pPr>
        <w:pStyle w:val="AmdtsEntryHd"/>
      </w:pPr>
      <w:r w:rsidRPr="007E1F9A">
        <w:t>Keeping copy of permit while driving under mass or dimension exemption (permit)</w:t>
      </w:r>
    </w:p>
    <w:p w14:paraId="7F56D9D9" w14:textId="2E556AC0" w:rsidR="00CB08D8" w:rsidRPr="007D582C" w:rsidRDefault="00CB08D8" w:rsidP="005E03F7">
      <w:pPr>
        <w:pStyle w:val="AmdtsEntries"/>
      </w:pPr>
      <w:r>
        <w:t>s 133</w:t>
      </w:r>
      <w:r>
        <w:tab/>
        <w:t xml:space="preserve">am </w:t>
      </w:r>
      <w:hyperlink r:id="rId403" w:tooltip="Heavy Vehicle National Law and Other Legislation Amendment Act 2016" w:history="1">
        <w:r w:rsidR="00AB5C77" w:rsidRPr="005E03F7">
          <w:rPr>
            <w:rStyle w:val="Hyperlink"/>
          </w:rPr>
          <w:t>A2016-65 (Qld)</w:t>
        </w:r>
      </w:hyperlink>
      <w:r>
        <w:t xml:space="preserve"> s 22</w:t>
      </w:r>
    </w:p>
    <w:p w14:paraId="41F0486D" w14:textId="77777777" w:rsidR="00ED7CC8" w:rsidRDefault="00ED7CC8" w:rsidP="0010277E">
      <w:pPr>
        <w:pStyle w:val="AmdtsEntryHd"/>
      </w:pPr>
      <w:r w:rsidRPr="007E1F9A">
        <w:t>Class 2 heavy vehicles</w:t>
      </w:r>
    </w:p>
    <w:p w14:paraId="3A175B55" w14:textId="1DED25A3" w:rsidR="00ED7CC8" w:rsidRPr="00ED7CC8" w:rsidRDefault="00ED7CC8" w:rsidP="005E03F7">
      <w:pPr>
        <w:pStyle w:val="AmdtsEntries"/>
      </w:pPr>
      <w:r>
        <w:t>s 136</w:t>
      </w:r>
      <w:r>
        <w:tab/>
        <w:t xml:space="preserve">am </w:t>
      </w:r>
      <w:hyperlink r:id="rId404" w:tooltip="Heavy Vehicle National Law Amendment Act 2018" w:history="1">
        <w:r w:rsidR="00C14D0F" w:rsidRPr="005E03F7">
          <w:rPr>
            <w:rStyle w:val="Hyperlink"/>
          </w:rPr>
          <w:t>A2018-18 (Qld)</w:t>
        </w:r>
      </w:hyperlink>
      <w:r>
        <w:t xml:space="preserve"> s 13</w:t>
      </w:r>
    </w:p>
    <w:p w14:paraId="2D17AEA3" w14:textId="77777777" w:rsidR="0010277E" w:rsidRDefault="00AB080D" w:rsidP="0010277E">
      <w:pPr>
        <w:pStyle w:val="AmdtsEntryHd"/>
        <w:rPr>
          <w:rFonts w:ascii="Helvetica" w:hAnsi="Helvetica" w:cs="Helvetica"/>
          <w:iCs/>
        </w:rPr>
      </w:pPr>
      <w:r>
        <w:rPr>
          <w:rFonts w:ascii="Helvetica" w:hAnsi="Helvetica" w:cs="Helvetica"/>
          <w:iCs/>
        </w:rPr>
        <w:t>Conditions of class 2 heavy vehicle authorisation (notice)</w:t>
      </w:r>
    </w:p>
    <w:p w14:paraId="00936621" w14:textId="2DC9A88C" w:rsidR="0010277E" w:rsidRPr="00A13B61" w:rsidRDefault="0010277E" w:rsidP="0010277E">
      <w:pPr>
        <w:pStyle w:val="AmdtsEntries"/>
      </w:pPr>
      <w:r>
        <w:t>s 140</w:t>
      </w:r>
      <w:r>
        <w:tab/>
      </w:r>
      <w:r w:rsidR="00C569BF">
        <w:t>sub</w:t>
      </w:r>
      <w:r>
        <w:t xml:space="preserve"> </w:t>
      </w:r>
      <w:hyperlink r:id="rId405" w:tooltip="Heavy Vehicle National Law Amendment Act 2015" w:history="1">
        <w:r w:rsidR="00BE6DA0">
          <w:rPr>
            <w:rStyle w:val="charCitHyperlinkAbbrev"/>
          </w:rPr>
          <w:t>A2015-12</w:t>
        </w:r>
      </w:hyperlink>
      <w:r w:rsidR="00BE6DA0">
        <w:t xml:space="preserve"> (Qld)</w:t>
      </w:r>
      <w:r w:rsidR="00AB080D">
        <w:t xml:space="preserve"> s 11</w:t>
      </w:r>
    </w:p>
    <w:p w14:paraId="31C1BB55" w14:textId="77777777" w:rsidR="00AB080D" w:rsidRDefault="00AB080D" w:rsidP="00AB080D">
      <w:pPr>
        <w:pStyle w:val="AmdtsEntryHd"/>
        <w:rPr>
          <w:rFonts w:ascii="Helvetica" w:hAnsi="Helvetica" w:cs="Helvetica"/>
          <w:iCs/>
        </w:rPr>
      </w:pPr>
      <w:r>
        <w:rPr>
          <w:rFonts w:ascii="Helvetica" w:hAnsi="Helvetica" w:cs="Helvetica"/>
          <w:iCs/>
        </w:rPr>
        <w:t>Requirements about Commonwealth Gazette notice etc.</w:t>
      </w:r>
    </w:p>
    <w:p w14:paraId="703C8052" w14:textId="2C53BD88" w:rsidR="00AB080D" w:rsidRPr="00A13B61" w:rsidRDefault="00AB080D" w:rsidP="00AB080D">
      <w:pPr>
        <w:pStyle w:val="AmdtsEntries"/>
      </w:pPr>
      <w:r>
        <w:t>s 142</w:t>
      </w:r>
      <w:r>
        <w:tab/>
        <w:t xml:space="preserve">am </w:t>
      </w:r>
      <w:hyperlink r:id="rId406" w:tooltip="Heavy Vehicle National Law Amendment Act 2015" w:history="1">
        <w:r w:rsidR="00BE6DA0">
          <w:rPr>
            <w:rStyle w:val="charCitHyperlinkAbbrev"/>
          </w:rPr>
          <w:t>A2015-12</w:t>
        </w:r>
      </w:hyperlink>
      <w:r w:rsidR="00BE6DA0">
        <w:t xml:space="preserve"> (Qld)</w:t>
      </w:r>
      <w:r>
        <w:t xml:space="preserve"> s 12</w:t>
      </w:r>
    </w:p>
    <w:p w14:paraId="5C13CA54" w14:textId="77777777" w:rsidR="00AB080D" w:rsidRDefault="00AB080D" w:rsidP="00AB080D">
      <w:pPr>
        <w:pStyle w:val="AmdtsEntryHd"/>
        <w:rPr>
          <w:rFonts w:ascii="Helvetica" w:hAnsi="Helvetica" w:cs="Helvetica"/>
          <w:iCs/>
        </w:rPr>
      </w:pPr>
      <w:r>
        <w:rPr>
          <w:rFonts w:ascii="Helvetica" w:hAnsi="Helvetica" w:cs="Helvetica"/>
          <w:iCs/>
        </w:rPr>
        <w:t>Process for amending stated map or stated list</w:t>
      </w:r>
    </w:p>
    <w:p w14:paraId="7E45D666" w14:textId="239AC680" w:rsidR="00AB080D" w:rsidRPr="00A13B61" w:rsidRDefault="00AB080D" w:rsidP="00AB080D">
      <w:pPr>
        <w:pStyle w:val="AmdtsEntries"/>
      </w:pPr>
      <w:r>
        <w:t>s 142A</w:t>
      </w:r>
      <w:r>
        <w:tab/>
        <w:t xml:space="preserve">ins </w:t>
      </w:r>
      <w:hyperlink r:id="rId407" w:tooltip="Heavy Vehicle National Law Amendment Act 2015" w:history="1">
        <w:r w:rsidR="00BE6DA0">
          <w:rPr>
            <w:rStyle w:val="charCitHyperlinkAbbrev"/>
          </w:rPr>
          <w:t>A2015-12</w:t>
        </w:r>
      </w:hyperlink>
      <w:r w:rsidR="00BE6DA0">
        <w:t xml:space="preserve"> (Qld)</w:t>
      </w:r>
      <w:r>
        <w:t xml:space="preserve"> s 13</w:t>
      </w:r>
    </w:p>
    <w:p w14:paraId="583EF7BF" w14:textId="77777777" w:rsidR="00FC2E0B" w:rsidRDefault="00FC2E0B" w:rsidP="00FC2E0B">
      <w:pPr>
        <w:pStyle w:val="AmdtsEntryHd"/>
      </w:pPr>
      <w:r w:rsidRPr="007E1F9A">
        <w:t>Conditions of class 2 heavy vehicle authorisation (permit)</w:t>
      </w:r>
    </w:p>
    <w:p w14:paraId="02B33B6C" w14:textId="03BDE9E8" w:rsidR="00FC2E0B" w:rsidRPr="004E3500" w:rsidRDefault="00FC2E0B" w:rsidP="005E03F7">
      <w:pPr>
        <w:pStyle w:val="AmdtsEntries"/>
      </w:pPr>
      <w:r>
        <w:t>s 146</w:t>
      </w:r>
      <w:r>
        <w:tab/>
        <w:t xml:space="preserve">am </w:t>
      </w:r>
      <w:hyperlink r:id="rId408" w:tooltip="Heavy Vehicle National Law and Other Legislation Amendment Act 2016" w:history="1">
        <w:r w:rsidR="00AB5C77" w:rsidRPr="005E03F7">
          <w:rPr>
            <w:rStyle w:val="Hyperlink"/>
          </w:rPr>
          <w:t>A2016-65 (Qld)</w:t>
        </w:r>
      </w:hyperlink>
      <w:r>
        <w:rPr>
          <w:rStyle w:val="charCitHyperlinkAbbrev"/>
        </w:rPr>
        <w:t xml:space="preserve"> </w:t>
      </w:r>
      <w:r>
        <w:t>s 139</w:t>
      </w:r>
    </w:p>
    <w:p w14:paraId="30FB5A54" w14:textId="77777777" w:rsidR="00595176" w:rsidRDefault="00595176" w:rsidP="006C5EEF">
      <w:pPr>
        <w:pStyle w:val="AmdtsEntryHd"/>
        <w:rPr>
          <w:lang w:val="en"/>
        </w:rPr>
      </w:pPr>
      <w:r w:rsidRPr="00595176">
        <w:rPr>
          <w:lang w:val="en"/>
        </w:rPr>
        <w:t>Permit for class 2 heavy vehicle authorisation (permit) etc.</w:t>
      </w:r>
    </w:p>
    <w:p w14:paraId="35C515EB" w14:textId="27C30EBF" w:rsidR="00595176" w:rsidRPr="00595176" w:rsidRDefault="00595176" w:rsidP="00595176">
      <w:pPr>
        <w:pStyle w:val="AmdtsEntries"/>
        <w:rPr>
          <w:lang w:val="en"/>
        </w:rPr>
      </w:pPr>
      <w:r>
        <w:rPr>
          <w:lang w:val="en"/>
        </w:rPr>
        <w:t>s 148</w:t>
      </w:r>
      <w:r>
        <w:rPr>
          <w:lang w:val="en"/>
        </w:rPr>
        <w:tab/>
        <w:t xml:space="preserve">am </w:t>
      </w:r>
      <w:hyperlink r:id="rId409" w:tooltip="Heavy Vehicle National Law and Other Legislation Amendment Act 2019" w:history="1">
        <w:r w:rsidRPr="00137BAE">
          <w:rPr>
            <w:rStyle w:val="charCitHyperlinkAbbrev"/>
          </w:rPr>
          <w:t>A2019-29</w:t>
        </w:r>
      </w:hyperlink>
      <w:r>
        <w:rPr>
          <w:lang w:val="en"/>
        </w:rPr>
        <w:t xml:space="preserve"> (Qld) s 13</w:t>
      </w:r>
    </w:p>
    <w:p w14:paraId="64E6BB33" w14:textId="77777777" w:rsidR="006C5EEF" w:rsidRDefault="006C5EEF" w:rsidP="006C5EEF">
      <w:pPr>
        <w:pStyle w:val="AmdtsEntryHd"/>
      </w:pPr>
      <w:r w:rsidRPr="007E1F9A">
        <w:t>Keeping relevant document while driving under class 2 heavy vehicle authorisation (notice)</w:t>
      </w:r>
    </w:p>
    <w:p w14:paraId="02A883C6" w14:textId="01198856" w:rsidR="006C5EEF" w:rsidRPr="007D582C" w:rsidRDefault="006C5EEF" w:rsidP="005E03F7">
      <w:pPr>
        <w:pStyle w:val="AmdtsEntries"/>
      </w:pPr>
      <w:r>
        <w:t>s 151</w:t>
      </w:r>
      <w:r>
        <w:tab/>
        <w:t xml:space="preserve">am </w:t>
      </w:r>
      <w:hyperlink r:id="rId410" w:tooltip="Heavy Vehicle National Law and Other Legislation Amendment Act 2016" w:history="1">
        <w:r w:rsidR="00AB5C77" w:rsidRPr="005E03F7">
          <w:rPr>
            <w:rStyle w:val="Hyperlink"/>
          </w:rPr>
          <w:t>A2016-65 (Qld)</w:t>
        </w:r>
      </w:hyperlink>
      <w:r>
        <w:t xml:space="preserve"> s 23</w:t>
      </w:r>
    </w:p>
    <w:p w14:paraId="15D3FA28" w14:textId="77777777" w:rsidR="00D9741D" w:rsidRDefault="00D9741D" w:rsidP="00D9741D">
      <w:pPr>
        <w:pStyle w:val="AmdtsEntryHd"/>
      </w:pPr>
      <w:r w:rsidRPr="007E1F9A">
        <w:t>Keeping copy of permit while driving under class 2 heavy vehicle authorisation (permit)</w:t>
      </w:r>
    </w:p>
    <w:p w14:paraId="00307EFE" w14:textId="4B9001A4" w:rsidR="00D9741D" w:rsidRPr="007D582C" w:rsidRDefault="00D9741D" w:rsidP="005E03F7">
      <w:pPr>
        <w:pStyle w:val="AmdtsEntries"/>
      </w:pPr>
      <w:r>
        <w:t>s 152</w:t>
      </w:r>
      <w:r>
        <w:tab/>
        <w:t xml:space="preserve">am </w:t>
      </w:r>
      <w:hyperlink r:id="rId411" w:tooltip="Heavy Vehicle National Law and Other Legislation Amendment Act 2016" w:history="1">
        <w:r w:rsidR="00AB5C77" w:rsidRPr="005E03F7">
          <w:rPr>
            <w:rStyle w:val="Hyperlink"/>
          </w:rPr>
          <w:t>A2016-65 (Qld)</w:t>
        </w:r>
      </w:hyperlink>
      <w:r>
        <w:t xml:space="preserve"> s 24</w:t>
      </w:r>
    </w:p>
    <w:p w14:paraId="5F849211" w14:textId="77777777" w:rsidR="00D9741D" w:rsidRDefault="00D9741D" w:rsidP="00D9741D">
      <w:pPr>
        <w:pStyle w:val="AmdtsEntryHd"/>
      </w:pPr>
      <w:r w:rsidRPr="007E1F9A">
        <w:t>Keeping copy of PBS vehicle approval while driving under class 2 heavy vehicle authorisation</w:t>
      </w:r>
    </w:p>
    <w:p w14:paraId="7BE46E11" w14:textId="6E9BC578" w:rsidR="00D9741D" w:rsidRDefault="00D9741D" w:rsidP="005E03F7">
      <w:pPr>
        <w:pStyle w:val="AmdtsEntries"/>
      </w:pPr>
      <w:r>
        <w:t>s 153</w:t>
      </w:r>
      <w:r>
        <w:tab/>
        <w:t xml:space="preserve">am </w:t>
      </w:r>
      <w:hyperlink r:id="rId412" w:tooltip="Heavy Vehicle National Law and Other Legislation Amendment Act 2016" w:history="1">
        <w:r w:rsidR="00AB5C77" w:rsidRPr="005E03F7">
          <w:rPr>
            <w:rStyle w:val="Hyperlink"/>
          </w:rPr>
          <w:t>A2016-65 (Qld)</w:t>
        </w:r>
      </w:hyperlink>
      <w:r>
        <w:t xml:space="preserve"> s 25</w:t>
      </w:r>
    </w:p>
    <w:p w14:paraId="055F6CE1" w14:textId="68F3908A" w:rsidR="00ED7CC8" w:rsidRPr="007D582C" w:rsidRDefault="00ED7CC8" w:rsidP="005E03F7">
      <w:pPr>
        <w:pStyle w:val="AmdtsEntries"/>
      </w:pPr>
      <w:r>
        <w:tab/>
        <w:t xml:space="preserve">om </w:t>
      </w:r>
      <w:hyperlink r:id="rId413" w:tooltip="Heavy Vehicle National Law Amendment Act 2018" w:history="1">
        <w:r w:rsidR="00C14D0F" w:rsidRPr="005E03F7">
          <w:rPr>
            <w:rStyle w:val="Hyperlink"/>
          </w:rPr>
          <w:t>A2018-18 (Qld)</w:t>
        </w:r>
      </w:hyperlink>
      <w:r w:rsidR="00435CD2">
        <w:t xml:space="preserve"> s 14</w:t>
      </w:r>
    </w:p>
    <w:p w14:paraId="38E09A07" w14:textId="77777777" w:rsidR="00AB080D" w:rsidRDefault="00AB080D" w:rsidP="00AB080D">
      <w:pPr>
        <w:pStyle w:val="AmdtsEntryHd"/>
        <w:rPr>
          <w:rFonts w:ascii="Helvetica" w:hAnsi="Helvetica" w:cs="Helvetica"/>
          <w:iCs/>
        </w:rPr>
      </w:pPr>
      <w:r>
        <w:rPr>
          <w:rFonts w:ascii="Helvetica" w:hAnsi="Helvetica" w:cs="Helvetica"/>
          <w:iCs/>
        </w:rPr>
        <w:t>Restricted access vehicles</w:t>
      </w:r>
    </w:p>
    <w:p w14:paraId="1B81D16B" w14:textId="62FCF963" w:rsidR="00AB080D" w:rsidRPr="00A13B61" w:rsidRDefault="00AB080D" w:rsidP="00AB080D">
      <w:pPr>
        <w:pStyle w:val="AmdtsEntries"/>
      </w:pPr>
      <w:r>
        <w:t>pt 4.6A hdg</w:t>
      </w:r>
      <w:r>
        <w:tab/>
        <w:t xml:space="preserve">ins </w:t>
      </w:r>
      <w:hyperlink r:id="rId414" w:tooltip="Heavy Vehicle National Law Amendment Act 2015" w:history="1">
        <w:r w:rsidR="00BE6DA0">
          <w:rPr>
            <w:rStyle w:val="charCitHyperlinkAbbrev"/>
          </w:rPr>
          <w:t>A2015-12</w:t>
        </w:r>
      </w:hyperlink>
      <w:r w:rsidR="00BE6DA0">
        <w:t xml:space="preserve"> (Qld)</w:t>
      </w:r>
      <w:r w:rsidR="009C6B2D">
        <w:t xml:space="preserve"> </w:t>
      </w:r>
      <w:r>
        <w:t>s 14</w:t>
      </w:r>
    </w:p>
    <w:p w14:paraId="5E4BA54D" w14:textId="77777777" w:rsidR="00AB080D" w:rsidRDefault="00AB080D" w:rsidP="00AB080D">
      <w:pPr>
        <w:pStyle w:val="AmdtsEntryHd"/>
        <w:rPr>
          <w:rFonts w:ascii="Helvetica" w:hAnsi="Helvetica" w:cs="Helvetica"/>
          <w:iCs/>
        </w:rPr>
      </w:pPr>
      <w:r>
        <w:rPr>
          <w:rFonts w:ascii="Helvetica" w:hAnsi="Helvetica" w:cs="Helvetica"/>
          <w:iCs/>
        </w:rPr>
        <w:t>Using restricted access vehicle</w:t>
      </w:r>
    </w:p>
    <w:p w14:paraId="171153FE" w14:textId="1DF84374" w:rsidR="00AB080D" w:rsidRDefault="004B4F2A" w:rsidP="00AB080D">
      <w:pPr>
        <w:pStyle w:val="AmdtsEntries"/>
      </w:pPr>
      <w:r>
        <w:t>s</w:t>
      </w:r>
      <w:r w:rsidR="00AB080D">
        <w:t xml:space="preserve"> 153A</w:t>
      </w:r>
      <w:r w:rsidR="00AB080D">
        <w:tab/>
        <w:t xml:space="preserve">ins </w:t>
      </w:r>
      <w:hyperlink r:id="rId415" w:tooltip="Heavy Vehicle National Law Amendment Act 2015" w:history="1">
        <w:r w:rsidR="00BE6DA0">
          <w:rPr>
            <w:rStyle w:val="charCitHyperlinkAbbrev"/>
          </w:rPr>
          <w:t>A2015-12</w:t>
        </w:r>
      </w:hyperlink>
      <w:r w:rsidR="00BE6DA0">
        <w:t xml:space="preserve"> (Qld)</w:t>
      </w:r>
      <w:r w:rsidR="00AB080D">
        <w:t xml:space="preserve"> s 14</w:t>
      </w:r>
    </w:p>
    <w:p w14:paraId="0ECFE2A9" w14:textId="3B06B5E6" w:rsidR="00ED7CC8" w:rsidRPr="00A13B61" w:rsidRDefault="00ED7CC8" w:rsidP="005E03F7">
      <w:pPr>
        <w:pStyle w:val="AmdtsEntries"/>
      </w:pPr>
      <w:r>
        <w:tab/>
        <w:t xml:space="preserve">am </w:t>
      </w:r>
      <w:hyperlink r:id="rId416" w:tooltip="Heavy Vehicle National Law Amendment Act 2018" w:history="1">
        <w:r w:rsidR="00C14D0F" w:rsidRPr="005E03F7">
          <w:rPr>
            <w:rStyle w:val="Hyperlink"/>
          </w:rPr>
          <w:t>A2018-18 (Qld)</w:t>
        </w:r>
      </w:hyperlink>
      <w:r>
        <w:t xml:space="preserve"> s 15</w:t>
      </w:r>
      <w:r w:rsidR="00595176">
        <w:t xml:space="preserve">; </w:t>
      </w:r>
      <w:hyperlink r:id="rId417" w:tooltip="Heavy Vehicle National Law and Other Legislation Amendment Act 2019" w:history="1">
        <w:r w:rsidR="00595176" w:rsidRPr="00137BAE">
          <w:rPr>
            <w:rStyle w:val="charCitHyperlinkAbbrev"/>
          </w:rPr>
          <w:t>A2019-29</w:t>
        </w:r>
      </w:hyperlink>
      <w:r w:rsidR="00595176">
        <w:t xml:space="preserve"> (Qld) s 14</w:t>
      </w:r>
    </w:p>
    <w:p w14:paraId="58372763" w14:textId="77777777" w:rsidR="00F223A6" w:rsidRDefault="00F223A6" w:rsidP="00F223A6">
      <w:pPr>
        <w:pStyle w:val="AmdtsEntryHd"/>
      </w:pPr>
      <w:r w:rsidRPr="007E1F9A">
        <w:t>Definitions for Pt 4.7</w:t>
      </w:r>
    </w:p>
    <w:p w14:paraId="56EEF16E" w14:textId="0B7D068F" w:rsidR="00F223A6" w:rsidRPr="004E3500" w:rsidRDefault="00F223A6" w:rsidP="005E03F7">
      <w:pPr>
        <w:pStyle w:val="AmdtsEntries"/>
      </w:pPr>
      <w:r>
        <w:t>s 154</w:t>
      </w:r>
      <w:r>
        <w:tab/>
      </w:r>
      <w:r w:rsidR="007F2252">
        <w:t xml:space="preserve">def </w:t>
      </w:r>
      <w:r w:rsidR="007F2252" w:rsidRPr="007F2252">
        <w:rPr>
          <w:rStyle w:val="charBoldItals"/>
        </w:rPr>
        <w:t>road condition</w:t>
      </w:r>
      <w:r w:rsidR="007F2252">
        <w:t xml:space="preserve"> </w:t>
      </w:r>
      <w:r>
        <w:t xml:space="preserve">am </w:t>
      </w:r>
      <w:hyperlink r:id="rId418" w:tooltip="Heavy Vehicle National Law and Other Legislation Amendment Act 2016" w:history="1">
        <w:r w:rsidR="00AB5C77" w:rsidRPr="005E03F7">
          <w:rPr>
            <w:rStyle w:val="Hyperlink"/>
          </w:rPr>
          <w:t>A2016-65 (Qld)</w:t>
        </w:r>
      </w:hyperlink>
      <w:r>
        <w:rPr>
          <w:rStyle w:val="charCitHyperlinkAbbrev"/>
        </w:rPr>
        <w:t xml:space="preserve"> </w:t>
      </w:r>
      <w:r>
        <w:t>s 139</w:t>
      </w:r>
    </w:p>
    <w:p w14:paraId="27B0FB74" w14:textId="77777777" w:rsidR="00026CA9" w:rsidRPr="00026CA9" w:rsidRDefault="00026CA9" w:rsidP="00E37D83">
      <w:pPr>
        <w:pStyle w:val="AmdtsEntryHd"/>
      </w:pPr>
      <w:r w:rsidRPr="00026CA9">
        <w:rPr>
          <w:lang w:val="en"/>
        </w:rPr>
        <w:lastRenderedPageBreak/>
        <w:t>Period within which road manager must decide</w:t>
      </w:r>
    </w:p>
    <w:p w14:paraId="4BAB5999" w14:textId="567152CC" w:rsidR="00026CA9" w:rsidRPr="00026CA9" w:rsidRDefault="00026CA9" w:rsidP="005E03F7">
      <w:pPr>
        <w:pStyle w:val="AmdtsEntries"/>
        <w:rPr>
          <w:lang w:val="en"/>
        </w:rPr>
      </w:pPr>
      <w:r>
        <w:rPr>
          <w:lang w:val="en"/>
        </w:rPr>
        <w:t>s 156</w:t>
      </w:r>
      <w:r>
        <w:rPr>
          <w:lang w:val="en"/>
        </w:rPr>
        <w:tab/>
      </w:r>
      <w:r>
        <w:t xml:space="preserve">sub </w:t>
      </w:r>
      <w:hyperlink r:id="rId419" w:tooltip="Heavy Vehicle National Law Amendment Act 2018" w:history="1">
        <w:r w:rsidR="00C14D0F" w:rsidRPr="005E03F7">
          <w:rPr>
            <w:rStyle w:val="Hyperlink"/>
          </w:rPr>
          <w:t>A2018-18 (Qld)</w:t>
        </w:r>
      </w:hyperlink>
      <w:r>
        <w:t xml:space="preserve"> s 16</w:t>
      </w:r>
    </w:p>
    <w:p w14:paraId="07990EDD" w14:textId="77777777" w:rsidR="00026CA9" w:rsidRPr="00026CA9" w:rsidRDefault="00026CA9" w:rsidP="00026CA9">
      <w:pPr>
        <w:pStyle w:val="AmdtsEntryHd"/>
      </w:pPr>
      <w:r w:rsidRPr="00026CA9">
        <w:rPr>
          <w:lang w:val="en"/>
        </w:rPr>
        <w:t>Deciding request for consent generally</w:t>
      </w:r>
    </w:p>
    <w:p w14:paraId="15DBE451" w14:textId="54823473" w:rsidR="00026CA9" w:rsidRPr="00026CA9" w:rsidRDefault="00026CA9" w:rsidP="005E03F7">
      <w:pPr>
        <w:pStyle w:val="AmdtsEntries"/>
        <w:rPr>
          <w:lang w:val="en"/>
        </w:rPr>
      </w:pPr>
      <w:r>
        <w:rPr>
          <w:lang w:val="en"/>
        </w:rPr>
        <w:t>s 156A</w:t>
      </w:r>
      <w:r>
        <w:rPr>
          <w:lang w:val="en"/>
        </w:rPr>
        <w:tab/>
      </w:r>
      <w:r>
        <w:t xml:space="preserve">ins </w:t>
      </w:r>
      <w:hyperlink r:id="rId420" w:tooltip="Heavy Vehicle National Law Amendment Act 2018" w:history="1">
        <w:r w:rsidR="00C14D0F" w:rsidRPr="005E03F7">
          <w:rPr>
            <w:rStyle w:val="Hyperlink"/>
          </w:rPr>
          <w:t>A2018-18 (Qld)</w:t>
        </w:r>
      </w:hyperlink>
      <w:r>
        <w:t xml:space="preserve"> s 16</w:t>
      </w:r>
    </w:p>
    <w:p w14:paraId="2FD2BB76" w14:textId="77777777" w:rsidR="00595176" w:rsidRPr="00DC203E" w:rsidRDefault="00DC203E" w:rsidP="00E37D83">
      <w:pPr>
        <w:pStyle w:val="AmdtsEntryHd"/>
      </w:pPr>
      <w:r w:rsidRPr="00DC203E">
        <w:rPr>
          <w:lang w:val="en"/>
        </w:rPr>
        <w:t>Information notice for imposition of road conditions requested by road manager</w:t>
      </w:r>
    </w:p>
    <w:p w14:paraId="426E7502" w14:textId="2222FF8A" w:rsidR="00DC203E" w:rsidRPr="00DC203E" w:rsidRDefault="00DC203E" w:rsidP="00DC203E">
      <w:pPr>
        <w:pStyle w:val="AmdtsEntries"/>
        <w:rPr>
          <w:lang w:val="en"/>
        </w:rPr>
      </w:pPr>
      <w:r>
        <w:rPr>
          <w:lang w:val="en"/>
        </w:rPr>
        <w:t>s 164</w:t>
      </w:r>
      <w:r>
        <w:rPr>
          <w:lang w:val="en"/>
        </w:rPr>
        <w:tab/>
        <w:t xml:space="preserve">om </w:t>
      </w:r>
      <w:hyperlink r:id="rId421" w:tooltip="Heavy Vehicle National Law and Other Legislation Amendment Act 2019" w:history="1">
        <w:r w:rsidRPr="00137BAE">
          <w:rPr>
            <w:rStyle w:val="charCitHyperlinkAbbrev"/>
          </w:rPr>
          <w:t>A2019-29</w:t>
        </w:r>
      </w:hyperlink>
      <w:r>
        <w:rPr>
          <w:lang w:val="en"/>
        </w:rPr>
        <w:t xml:space="preserve"> (Qld) s 15</w:t>
      </w:r>
    </w:p>
    <w:p w14:paraId="228BB115" w14:textId="77777777" w:rsidR="00DC203E" w:rsidRPr="00DC203E" w:rsidRDefault="00DC203E" w:rsidP="00DC203E">
      <w:pPr>
        <w:pStyle w:val="AmdtsEntryHd"/>
      </w:pPr>
      <w:r w:rsidRPr="00DC203E">
        <w:rPr>
          <w:lang w:val="en"/>
        </w:rPr>
        <w:t>Information notice for imposition of travel conditions requested by road manager</w:t>
      </w:r>
    </w:p>
    <w:p w14:paraId="641546EC" w14:textId="33B209DB" w:rsidR="00DC203E" w:rsidRPr="00DC203E" w:rsidRDefault="00DC203E" w:rsidP="00DC203E">
      <w:pPr>
        <w:pStyle w:val="AmdtsEntries"/>
        <w:rPr>
          <w:lang w:val="en"/>
        </w:rPr>
      </w:pPr>
      <w:r>
        <w:rPr>
          <w:lang w:val="en"/>
        </w:rPr>
        <w:t>s 165</w:t>
      </w:r>
      <w:r>
        <w:rPr>
          <w:lang w:val="en"/>
        </w:rPr>
        <w:tab/>
        <w:t xml:space="preserve">om </w:t>
      </w:r>
      <w:hyperlink r:id="rId422" w:tooltip="Heavy Vehicle National Law and Other Legislation Amendment Act 2019" w:history="1">
        <w:r w:rsidRPr="00137BAE">
          <w:rPr>
            <w:rStyle w:val="charCitHyperlinkAbbrev"/>
          </w:rPr>
          <w:t>A2019-29</w:t>
        </w:r>
      </w:hyperlink>
      <w:r>
        <w:rPr>
          <w:lang w:val="en"/>
        </w:rPr>
        <w:t xml:space="preserve"> (Qld) s 15</w:t>
      </w:r>
    </w:p>
    <w:p w14:paraId="1F4EB2D7" w14:textId="77777777" w:rsidR="00026CA9" w:rsidRDefault="00026CA9" w:rsidP="00E37D83">
      <w:pPr>
        <w:pStyle w:val="AmdtsEntryHd"/>
      </w:pPr>
      <w:r w:rsidRPr="007E1F9A">
        <w:t>Requirements for statement explaining adverse decision of road manager</w:t>
      </w:r>
    </w:p>
    <w:p w14:paraId="292F932F" w14:textId="7DA64BB4" w:rsidR="00026CA9" w:rsidRPr="00026CA9" w:rsidRDefault="00026CA9" w:rsidP="005E03F7">
      <w:pPr>
        <w:pStyle w:val="AmdtsEntries"/>
      </w:pPr>
      <w:r>
        <w:t>s 172</w:t>
      </w:r>
      <w:r>
        <w:tab/>
        <w:t xml:space="preserve">am </w:t>
      </w:r>
      <w:hyperlink r:id="rId423" w:tooltip="Heavy Vehicle National Law Amendment Act 2018" w:history="1">
        <w:r w:rsidR="00C14D0F" w:rsidRPr="005E03F7">
          <w:rPr>
            <w:rStyle w:val="Hyperlink"/>
          </w:rPr>
          <w:t>A2018-18 (Qld)</w:t>
        </w:r>
      </w:hyperlink>
      <w:r>
        <w:t xml:space="preserve"> s 17</w:t>
      </w:r>
      <w:r w:rsidR="00DC203E">
        <w:t xml:space="preserve">; </w:t>
      </w:r>
      <w:hyperlink r:id="rId424" w:tooltip="Heavy Vehicle National Law and Other Legislation Amendment Act 2019" w:history="1">
        <w:r w:rsidR="00DC203E" w:rsidRPr="00137BAE">
          <w:rPr>
            <w:rStyle w:val="charCitHyperlinkAbbrev"/>
          </w:rPr>
          <w:t>A2019-29</w:t>
        </w:r>
      </w:hyperlink>
      <w:r w:rsidR="00DC203E">
        <w:rPr>
          <w:lang w:val="en"/>
        </w:rPr>
        <w:t xml:space="preserve"> (Qld) s 16</w:t>
      </w:r>
    </w:p>
    <w:p w14:paraId="212E4AF1" w14:textId="77777777" w:rsidR="00E37D83" w:rsidRDefault="00E37D83" w:rsidP="00E37D83">
      <w:pPr>
        <w:pStyle w:val="AmdtsEntryHd"/>
      </w:pPr>
      <w:r w:rsidRPr="007E1F9A">
        <w:t>Amendment or cancellation on Regulator’s initiative</w:t>
      </w:r>
    </w:p>
    <w:p w14:paraId="07FDC35D" w14:textId="6FB320D7" w:rsidR="00E37D83" w:rsidRPr="001C5C1A" w:rsidRDefault="00E37D83" w:rsidP="005E03F7">
      <w:pPr>
        <w:pStyle w:val="AmdtsEntries"/>
      </w:pPr>
      <w:r>
        <w:t>s 173</w:t>
      </w:r>
      <w:r>
        <w:tab/>
        <w:t xml:space="preserve">am </w:t>
      </w:r>
      <w:hyperlink r:id="rId425" w:tooltip="Heavy Vehicle National Law and Other Legislation Amendment Act 2016" w:history="1">
        <w:r w:rsidR="00CC0448" w:rsidRPr="005E03F7">
          <w:rPr>
            <w:rStyle w:val="Hyperlink"/>
          </w:rPr>
          <w:t>A2016-65 (Qld)</w:t>
        </w:r>
      </w:hyperlink>
      <w:r>
        <w:t xml:space="preserve"> s 122</w:t>
      </w:r>
    </w:p>
    <w:p w14:paraId="2D3C8906" w14:textId="77777777" w:rsidR="00E37D83" w:rsidRDefault="00E37D83" w:rsidP="00E37D83">
      <w:pPr>
        <w:pStyle w:val="AmdtsEntryHd"/>
      </w:pPr>
      <w:r w:rsidRPr="007E1F9A">
        <w:t>Amendment or cancellation on request by relevant road manager</w:t>
      </w:r>
    </w:p>
    <w:p w14:paraId="0661748A" w14:textId="45FFBA09" w:rsidR="00E37D83" w:rsidRPr="001C5C1A" w:rsidRDefault="00E37D83" w:rsidP="005E03F7">
      <w:pPr>
        <w:pStyle w:val="AmdtsEntries"/>
      </w:pPr>
      <w:r>
        <w:t>s 174</w:t>
      </w:r>
      <w:r>
        <w:tab/>
        <w:t xml:space="preserve">am </w:t>
      </w:r>
      <w:hyperlink r:id="rId426" w:tooltip="Heavy Vehicle National Law and Other Legislation Amendment Act 2016" w:history="1">
        <w:r w:rsidR="00CC0448" w:rsidRPr="005E03F7">
          <w:rPr>
            <w:rStyle w:val="Hyperlink"/>
          </w:rPr>
          <w:t>A2016-65 (Qld)</w:t>
        </w:r>
      </w:hyperlink>
      <w:r>
        <w:t xml:space="preserve"> s 123</w:t>
      </w:r>
    </w:p>
    <w:p w14:paraId="63C07EF0" w14:textId="77777777" w:rsidR="00E37D83" w:rsidRDefault="00E37D83" w:rsidP="00E37D83">
      <w:pPr>
        <w:pStyle w:val="AmdtsEntryHd"/>
      </w:pPr>
      <w:r w:rsidRPr="007E1F9A">
        <w:t>Immediate suspension</w:t>
      </w:r>
    </w:p>
    <w:p w14:paraId="6AD2AEDA" w14:textId="7E90D4B1" w:rsidR="00E37D83" w:rsidRPr="001C5C1A" w:rsidRDefault="00E37D83" w:rsidP="005E03F7">
      <w:pPr>
        <w:pStyle w:val="AmdtsEntries"/>
      </w:pPr>
      <w:r>
        <w:t>s 175</w:t>
      </w:r>
      <w:r>
        <w:tab/>
        <w:t xml:space="preserve">am </w:t>
      </w:r>
      <w:hyperlink r:id="rId427" w:tooltip="Heavy Vehicle National Law and Other Legislation Amendment Act 2016" w:history="1">
        <w:r w:rsidR="00CC0448" w:rsidRPr="005E03F7">
          <w:rPr>
            <w:rStyle w:val="Hyperlink"/>
          </w:rPr>
          <w:t>A2016-65 (Qld)</w:t>
        </w:r>
      </w:hyperlink>
      <w:r>
        <w:t xml:space="preserve"> s 124</w:t>
      </w:r>
    </w:p>
    <w:p w14:paraId="2F8AD017" w14:textId="77777777" w:rsidR="00687533" w:rsidRDefault="00687533" w:rsidP="004B4F2A">
      <w:pPr>
        <w:pStyle w:val="AmdtsEntryHd"/>
        <w:rPr>
          <w:lang w:val="en"/>
        </w:rPr>
      </w:pPr>
      <w:r w:rsidRPr="00687533">
        <w:rPr>
          <w:lang w:val="en"/>
        </w:rPr>
        <w:t>Minor amendment</w:t>
      </w:r>
    </w:p>
    <w:p w14:paraId="7B5DD599" w14:textId="153C79F2" w:rsidR="00687533" w:rsidRPr="00687533" w:rsidRDefault="00687533" w:rsidP="005E03F7">
      <w:pPr>
        <w:pStyle w:val="AmdtsEntries"/>
        <w:rPr>
          <w:lang w:val="en"/>
        </w:rPr>
      </w:pPr>
      <w:r>
        <w:rPr>
          <w:lang w:val="en"/>
        </w:rPr>
        <w:t>s 175A</w:t>
      </w:r>
      <w:r>
        <w:rPr>
          <w:lang w:val="en"/>
        </w:rPr>
        <w:tab/>
      </w:r>
      <w:r>
        <w:t xml:space="preserve">ins </w:t>
      </w:r>
      <w:hyperlink r:id="rId428" w:tooltip="Heavy Vehicle National Law and Other Legislation Amendment Act 2016" w:history="1">
        <w:r w:rsidR="00CC0448" w:rsidRPr="005E03F7">
          <w:rPr>
            <w:rStyle w:val="Hyperlink"/>
          </w:rPr>
          <w:t>A2016-65 (Qld)</w:t>
        </w:r>
      </w:hyperlink>
      <w:r>
        <w:t xml:space="preserve"> s 125</w:t>
      </w:r>
    </w:p>
    <w:p w14:paraId="59D84737" w14:textId="77777777" w:rsidR="00687533" w:rsidRDefault="00687533" w:rsidP="00687533">
      <w:pPr>
        <w:pStyle w:val="AmdtsEntryHd"/>
      </w:pPr>
      <w:r w:rsidRPr="007E1F9A">
        <w:t>Amendment or cancellation on application by permit holder</w:t>
      </w:r>
    </w:p>
    <w:p w14:paraId="5930F3E7" w14:textId="4C1F0544" w:rsidR="00687533" w:rsidRPr="001C5C1A" w:rsidRDefault="00687533" w:rsidP="005E03F7">
      <w:pPr>
        <w:pStyle w:val="AmdtsEntries"/>
      </w:pPr>
      <w:r>
        <w:t>s 176</w:t>
      </w:r>
      <w:r>
        <w:tab/>
        <w:t xml:space="preserve">am </w:t>
      </w:r>
      <w:hyperlink r:id="rId429" w:tooltip="Heavy Vehicle National Law and Other Legislation Amendment Act 2016" w:history="1">
        <w:r w:rsidR="00CC0448" w:rsidRPr="005E03F7">
          <w:rPr>
            <w:rStyle w:val="Hyperlink"/>
          </w:rPr>
          <w:t>A2016-65 (Qld)</w:t>
        </w:r>
      </w:hyperlink>
      <w:r>
        <w:t xml:space="preserve"> s 126</w:t>
      </w:r>
    </w:p>
    <w:p w14:paraId="4609C679" w14:textId="77777777" w:rsidR="00687533" w:rsidRDefault="00687533" w:rsidP="00687533">
      <w:pPr>
        <w:pStyle w:val="AmdtsEntryHd"/>
      </w:pPr>
      <w:r w:rsidRPr="007E1F9A">
        <w:t>Minor amendment of permit for a mass or dimension authority</w:t>
      </w:r>
    </w:p>
    <w:p w14:paraId="000FFCD5" w14:textId="5D19DF10" w:rsidR="00687533" w:rsidRPr="001C5C1A" w:rsidRDefault="00687533" w:rsidP="005E03F7">
      <w:pPr>
        <w:pStyle w:val="AmdtsEntries"/>
      </w:pPr>
      <w:r>
        <w:t>s 180</w:t>
      </w:r>
      <w:r>
        <w:tab/>
        <w:t xml:space="preserve">am </w:t>
      </w:r>
      <w:hyperlink r:id="rId430" w:tooltip="Heavy Vehicle National Law and Other Legislation Amendment Act 2016" w:history="1">
        <w:r w:rsidR="00CC0448" w:rsidRPr="005E03F7">
          <w:rPr>
            <w:rStyle w:val="Hyperlink"/>
          </w:rPr>
          <w:t>A2016-65 (Qld)</w:t>
        </w:r>
      </w:hyperlink>
      <w:r>
        <w:t xml:space="preserve"> s 127</w:t>
      </w:r>
    </w:p>
    <w:p w14:paraId="006327F0" w14:textId="77777777" w:rsidR="00462A3E" w:rsidRDefault="00462A3E" w:rsidP="00462A3E">
      <w:pPr>
        <w:pStyle w:val="AmdtsEntryHd"/>
      </w:pPr>
      <w:r w:rsidRPr="00C203D9">
        <w:rPr>
          <w:rStyle w:val="CharPartText"/>
          <w:rFonts w:ascii="Helvetica" w:hAnsi="Helvetica" w:cs="Helvetica"/>
          <w:iCs/>
          <w:szCs w:val="32"/>
        </w:rPr>
        <w:t>Extended liability</w:t>
      </w:r>
    </w:p>
    <w:p w14:paraId="76FFCA46" w14:textId="448F4F17" w:rsidR="00462A3E" w:rsidRPr="007D582C" w:rsidRDefault="00462A3E" w:rsidP="005E03F7">
      <w:pPr>
        <w:pStyle w:val="AmdtsEntries"/>
      </w:pPr>
      <w:r>
        <w:t>pt 4.8 hdg</w:t>
      </w:r>
      <w:r>
        <w:tab/>
        <w:t xml:space="preserve">om </w:t>
      </w:r>
      <w:hyperlink r:id="rId431" w:tooltip="Heavy Vehicle National Law and Other Legislation Amendment Act 2016" w:history="1">
        <w:r w:rsidR="00CC0448" w:rsidRPr="005E03F7">
          <w:rPr>
            <w:rStyle w:val="Hyperlink"/>
          </w:rPr>
          <w:t>A2016-65 (Qld)</w:t>
        </w:r>
      </w:hyperlink>
      <w:r>
        <w:t xml:space="preserve"> s 26</w:t>
      </w:r>
    </w:p>
    <w:p w14:paraId="4DFFCDBE" w14:textId="77777777" w:rsidR="00462A3E" w:rsidRDefault="00462A3E" w:rsidP="00462A3E">
      <w:pPr>
        <w:pStyle w:val="AmdtsEntryHd"/>
      </w:pPr>
      <w:r w:rsidRPr="007E1F9A">
        <w:t>Liability of employer etc. for contravention of mass, dimension or loading requirement</w:t>
      </w:r>
    </w:p>
    <w:p w14:paraId="6984CF9B" w14:textId="48D9FCDF" w:rsidR="00462A3E" w:rsidRPr="007D582C" w:rsidRDefault="00462A3E" w:rsidP="005E03F7">
      <w:pPr>
        <w:pStyle w:val="AmdtsEntries"/>
      </w:pPr>
      <w:r>
        <w:t>s 183</w:t>
      </w:r>
      <w:r>
        <w:tab/>
        <w:t xml:space="preserve">om </w:t>
      </w:r>
      <w:hyperlink r:id="rId432" w:tooltip="Heavy Vehicle National Law and Other Legislation Amendment Act 2016" w:history="1">
        <w:r w:rsidR="00CC0448" w:rsidRPr="005E03F7">
          <w:rPr>
            <w:rStyle w:val="Hyperlink"/>
          </w:rPr>
          <w:t>A2016-65 (Qld)</w:t>
        </w:r>
      </w:hyperlink>
      <w:r>
        <w:t xml:space="preserve"> s 26</w:t>
      </w:r>
    </w:p>
    <w:p w14:paraId="271D687E" w14:textId="77777777" w:rsidR="000B75E8" w:rsidRDefault="000B75E8" w:rsidP="000B75E8">
      <w:pPr>
        <w:pStyle w:val="AmdtsEntryHd"/>
      </w:pPr>
      <w:r w:rsidRPr="007E1F9A">
        <w:t>False or misleading transport documentation for goods</w:t>
      </w:r>
    </w:p>
    <w:p w14:paraId="2E3E74EE" w14:textId="6DC6D6D8" w:rsidR="000B75E8" w:rsidRPr="007D582C" w:rsidRDefault="000B75E8" w:rsidP="005E03F7">
      <w:pPr>
        <w:pStyle w:val="AmdtsEntries"/>
      </w:pPr>
      <w:r>
        <w:t>s 186</w:t>
      </w:r>
      <w:r>
        <w:tab/>
        <w:t xml:space="preserve">am </w:t>
      </w:r>
      <w:hyperlink r:id="rId433" w:tooltip="Heavy Vehicle National Law and Other Legislation Amendment Act 2016" w:history="1">
        <w:r w:rsidR="00CC0448" w:rsidRPr="005E03F7">
          <w:rPr>
            <w:rStyle w:val="Hyperlink"/>
          </w:rPr>
          <w:t>A2016-65 (Qld)</w:t>
        </w:r>
      </w:hyperlink>
      <w:r>
        <w:t xml:space="preserve"> s 27</w:t>
      </w:r>
    </w:p>
    <w:p w14:paraId="2D18890E" w14:textId="77777777" w:rsidR="000B75E8" w:rsidRDefault="000B75E8" w:rsidP="000B75E8">
      <w:pPr>
        <w:pStyle w:val="AmdtsEntryHd"/>
      </w:pPr>
      <w:r w:rsidRPr="007E1F9A">
        <w:t>False or misleading information in container weight declaration</w:t>
      </w:r>
    </w:p>
    <w:p w14:paraId="214EB993" w14:textId="002D0286" w:rsidR="000B75E8" w:rsidRPr="007D582C" w:rsidRDefault="000B75E8" w:rsidP="005E03F7">
      <w:pPr>
        <w:pStyle w:val="AmdtsEntries"/>
      </w:pPr>
      <w:r>
        <w:t>s 187</w:t>
      </w:r>
      <w:r>
        <w:tab/>
        <w:t xml:space="preserve">am </w:t>
      </w:r>
      <w:hyperlink r:id="rId434" w:tooltip="Heavy Vehicle National Law and Other Legislation Amendment Act 2016" w:history="1">
        <w:r w:rsidR="00CC0448" w:rsidRPr="005E03F7">
          <w:rPr>
            <w:rStyle w:val="Hyperlink"/>
          </w:rPr>
          <w:t>A2016-65 (Qld)</w:t>
        </w:r>
      </w:hyperlink>
      <w:r>
        <w:t xml:space="preserve"> s 28</w:t>
      </w:r>
    </w:p>
    <w:p w14:paraId="64320DEC" w14:textId="77777777" w:rsidR="004B4F2A" w:rsidRPr="004B4F2A" w:rsidRDefault="004B4F2A" w:rsidP="004B4F2A">
      <w:pPr>
        <w:pStyle w:val="AmdtsEntryHd"/>
      </w:pPr>
      <w:r w:rsidRPr="004B4F2A">
        <w:t xml:space="preserve">Meaning of </w:t>
      </w:r>
      <w:r w:rsidRPr="00AB52DE">
        <w:rPr>
          <w:rStyle w:val="charItals"/>
        </w:rPr>
        <w:t>complying container weight declaration</w:t>
      </w:r>
    </w:p>
    <w:p w14:paraId="6F4D088C" w14:textId="59C69171" w:rsidR="004B4F2A" w:rsidRPr="00A13B61" w:rsidRDefault="004B4F2A" w:rsidP="004B4F2A">
      <w:pPr>
        <w:pStyle w:val="AmdtsEntries"/>
      </w:pPr>
      <w:r>
        <w:t>s 189</w:t>
      </w:r>
      <w:r>
        <w:tab/>
        <w:t xml:space="preserve">am </w:t>
      </w:r>
      <w:hyperlink r:id="rId435" w:tooltip="Heavy Vehicle National Law Amendment Act 2015" w:history="1">
        <w:r w:rsidR="00BE6DA0">
          <w:rPr>
            <w:rStyle w:val="charCitHyperlinkAbbrev"/>
          </w:rPr>
          <w:t>A2015-12</w:t>
        </w:r>
      </w:hyperlink>
      <w:r w:rsidR="00BE6DA0">
        <w:t xml:space="preserve"> (Qld)</w:t>
      </w:r>
      <w:r>
        <w:t xml:space="preserve"> s 15</w:t>
      </w:r>
    </w:p>
    <w:p w14:paraId="794DDFB0" w14:textId="77777777" w:rsidR="003D7954" w:rsidRPr="004B4F2A" w:rsidRDefault="003D7954" w:rsidP="003D7954">
      <w:pPr>
        <w:pStyle w:val="AmdtsEntryHd"/>
      </w:pPr>
      <w:r>
        <w:t>Duty of responsible entity</w:t>
      </w:r>
    </w:p>
    <w:p w14:paraId="3B8B5474" w14:textId="24BCB65D" w:rsidR="003D7954" w:rsidRPr="00A13B61" w:rsidRDefault="003D7954" w:rsidP="005E03F7">
      <w:pPr>
        <w:pStyle w:val="AmdtsEntries"/>
      </w:pPr>
      <w:r>
        <w:t>s 190</w:t>
      </w:r>
      <w:r>
        <w:tab/>
        <w:t xml:space="preserve">am </w:t>
      </w:r>
      <w:hyperlink r:id="rId436" w:tooltip="Heavy Vehicle National Law Amendment Act 2015" w:history="1">
        <w:r w:rsidR="00BE6DA0">
          <w:rPr>
            <w:rStyle w:val="charCitHyperlinkAbbrev"/>
          </w:rPr>
          <w:t>A2015-12</w:t>
        </w:r>
      </w:hyperlink>
      <w:r w:rsidR="00BE6DA0">
        <w:t xml:space="preserve"> (Qld)</w:t>
      </w:r>
      <w:r>
        <w:t xml:space="preserve"> s 16</w:t>
      </w:r>
      <w:r w:rsidR="000B75E8">
        <w:t xml:space="preserve">; </w:t>
      </w:r>
      <w:hyperlink r:id="rId437" w:tooltip="Heavy Vehicle National Law and Other Legislation Amendment Act 2016" w:history="1">
        <w:r w:rsidR="00CC0448" w:rsidRPr="005E03F7">
          <w:rPr>
            <w:rStyle w:val="Hyperlink"/>
          </w:rPr>
          <w:t>A2016-65 (Qld)</w:t>
        </w:r>
      </w:hyperlink>
      <w:r w:rsidR="000B75E8">
        <w:t xml:space="preserve"> s 29</w:t>
      </w:r>
    </w:p>
    <w:p w14:paraId="6B33C72C" w14:textId="77777777" w:rsidR="003D7954" w:rsidRPr="004B4F2A" w:rsidRDefault="003D7954" w:rsidP="003D7954">
      <w:pPr>
        <w:pStyle w:val="AmdtsEntryHd"/>
      </w:pPr>
      <w:r>
        <w:lastRenderedPageBreak/>
        <w:t>Duty of operator</w:t>
      </w:r>
    </w:p>
    <w:p w14:paraId="3C6CC571" w14:textId="5FBDB3A3" w:rsidR="003D7954" w:rsidRPr="00A13B61" w:rsidRDefault="003D7954" w:rsidP="005E03F7">
      <w:pPr>
        <w:pStyle w:val="AmdtsEntries"/>
      </w:pPr>
      <w:r>
        <w:t>s 191</w:t>
      </w:r>
      <w:r>
        <w:tab/>
        <w:t xml:space="preserve">am </w:t>
      </w:r>
      <w:hyperlink r:id="rId438" w:tooltip="Heavy Vehicle National Law Amendment Act 2015" w:history="1">
        <w:r w:rsidR="00BA6441">
          <w:rPr>
            <w:rStyle w:val="charCitHyperlinkAbbrev"/>
          </w:rPr>
          <w:t>A2015-12</w:t>
        </w:r>
      </w:hyperlink>
      <w:r w:rsidR="00BA6441">
        <w:t xml:space="preserve"> (Qld)</w:t>
      </w:r>
      <w:r>
        <w:t xml:space="preserve"> s 17</w:t>
      </w:r>
      <w:r w:rsidR="000B75E8">
        <w:t xml:space="preserve">; </w:t>
      </w:r>
      <w:hyperlink r:id="rId439" w:tooltip="Heavy Vehicle National Law and Other Legislation Amendment Act 2016" w:history="1">
        <w:r w:rsidR="00CC0448" w:rsidRPr="005E03F7">
          <w:rPr>
            <w:rStyle w:val="Hyperlink"/>
          </w:rPr>
          <w:t>A2016-65 (Qld)</w:t>
        </w:r>
      </w:hyperlink>
      <w:r w:rsidR="000B75E8">
        <w:t xml:space="preserve"> s 30</w:t>
      </w:r>
    </w:p>
    <w:p w14:paraId="33DF4D9A" w14:textId="77777777" w:rsidR="003D7954" w:rsidRPr="004B4F2A" w:rsidRDefault="003D7954" w:rsidP="003D7954">
      <w:pPr>
        <w:pStyle w:val="AmdtsEntryHd"/>
      </w:pPr>
      <w:r>
        <w:t>Duty of driver</w:t>
      </w:r>
    </w:p>
    <w:p w14:paraId="18B0E6B6" w14:textId="45EBC461" w:rsidR="003D7954" w:rsidRPr="00A13B61" w:rsidRDefault="003D7954" w:rsidP="005E03F7">
      <w:pPr>
        <w:pStyle w:val="AmdtsEntries"/>
      </w:pPr>
      <w:r>
        <w:t>s 192</w:t>
      </w:r>
      <w:r>
        <w:tab/>
        <w:t xml:space="preserve">am </w:t>
      </w:r>
      <w:hyperlink r:id="rId440" w:tooltip="Heavy Vehicle National Law Amendment Act 2015" w:history="1">
        <w:r w:rsidR="00BA6441">
          <w:rPr>
            <w:rStyle w:val="charCitHyperlinkAbbrev"/>
          </w:rPr>
          <w:t>A2015-12</w:t>
        </w:r>
      </w:hyperlink>
      <w:r w:rsidR="00BA6441">
        <w:t xml:space="preserve"> (Qld)</w:t>
      </w:r>
      <w:r>
        <w:t xml:space="preserve"> s 18</w:t>
      </w:r>
      <w:r w:rsidR="000B75E8">
        <w:t xml:space="preserve">; </w:t>
      </w:r>
      <w:hyperlink r:id="rId441" w:tooltip="Heavy Vehicle National Law and Other Legislation Amendment Act 2016" w:history="1">
        <w:r w:rsidR="00CC0448" w:rsidRPr="005E03F7">
          <w:rPr>
            <w:rStyle w:val="Hyperlink"/>
          </w:rPr>
          <w:t>A2016-65 (Qld)</w:t>
        </w:r>
      </w:hyperlink>
      <w:r w:rsidR="000B75E8">
        <w:t xml:space="preserve"> s 31</w:t>
      </w:r>
    </w:p>
    <w:p w14:paraId="558F9ED2" w14:textId="77777777" w:rsidR="00C443FE" w:rsidRPr="004B4F2A" w:rsidRDefault="00140F65" w:rsidP="00C443FE">
      <w:pPr>
        <w:pStyle w:val="AmdtsEntryHd"/>
      </w:pPr>
      <w:r>
        <w:t>Form of information in container weight declaration</w:t>
      </w:r>
    </w:p>
    <w:p w14:paraId="01CCBBCE" w14:textId="00D996EE" w:rsidR="00C443FE" w:rsidRDefault="00C443FE" w:rsidP="00C443FE">
      <w:pPr>
        <w:pStyle w:val="AmdtsEntries"/>
      </w:pPr>
      <w:r>
        <w:t>s 192A</w:t>
      </w:r>
      <w:r>
        <w:tab/>
      </w:r>
      <w:r w:rsidR="00140F65">
        <w:t>ins</w:t>
      </w:r>
      <w:r>
        <w:t xml:space="preserve"> </w:t>
      </w:r>
      <w:hyperlink r:id="rId442" w:tooltip="Heavy Vehicle National Law Amendment Act 2015" w:history="1">
        <w:r w:rsidR="00BA6441">
          <w:rPr>
            <w:rStyle w:val="charCitHyperlinkAbbrev"/>
          </w:rPr>
          <w:t>A2015-12</w:t>
        </w:r>
      </w:hyperlink>
      <w:r w:rsidR="00BA6441">
        <w:t xml:space="preserve"> (Qld)</w:t>
      </w:r>
      <w:r w:rsidR="00140F65">
        <w:t xml:space="preserve"> s 19</w:t>
      </w:r>
    </w:p>
    <w:p w14:paraId="264D7553" w14:textId="367FEC32" w:rsidR="00FA2913" w:rsidRPr="00A13B61" w:rsidRDefault="00FA2913" w:rsidP="005E03F7">
      <w:pPr>
        <w:pStyle w:val="AmdtsEntries"/>
      </w:pPr>
      <w:r>
        <w:tab/>
        <w:t xml:space="preserve">am </w:t>
      </w:r>
      <w:hyperlink r:id="rId443" w:tooltip="Heavy Vehicle National Law and Other Legislation Amendment Act 2018" w:history="1">
        <w:r w:rsidR="004070E5" w:rsidRPr="005E03F7">
          <w:rPr>
            <w:rStyle w:val="Hyperlink"/>
          </w:rPr>
          <w:t>A2018-10 (Qld)</w:t>
        </w:r>
      </w:hyperlink>
      <w:r>
        <w:t xml:space="preserve"> s 21</w:t>
      </w:r>
    </w:p>
    <w:p w14:paraId="049AC06F" w14:textId="77777777" w:rsidR="00380608" w:rsidRDefault="00380608" w:rsidP="00380608">
      <w:pPr>
        <w:pStyle w:val="AmdtsEntryHd"/>
      </w:pPr>
      <w:r w:rsidRPr="007E1F9A">
        <w:t>Weight of freight container exceeding weight stated on container or safety approval plate</w:t>
      </w:r>
    </w:p>
    <w:p w14:paraId="3FD50D2F" w14:textId="64951BCB" w:rsidR="00380608" w:rsidRPr="007D582C" w:rsidRDefault="00380608" w:rsidP="005E03F7">
      <w:pPr>
        <w:pStyle w:val="AmdtsEntries"/>
      </w:pPr>
      <w:r>
        <w:t>s 193</w:t>
      </w:r>
      <w:r>
        <w:tab/>
        <w:t xml:space="preserve">am </w:t>
      </w:r>
      <w:hyperlink r:id="rId444" w:tooltip="Heavy Vehicle National Law and Other Legislation Amendment Act 2016" w:history="1">
        <w:r w:rsidR="00CC0448" w:rsidRPr="005E03F7">
          <w:rPr>
            <w:rStyle w:val="Hyperlink"/>
          </w:rPr>
          <w:t>A2016-65 (Qld)</w:t>
        </w:r>
      </w:hyperlink>
      <w:r>
        <w:t xml:space="preserve"> s 32</w:t>
      </w:r>
    </w:p>
    <w:p w14:paraId="6B679A04" w14:textId="77777777" w:rsidR="00AB1F71" w:rsidRDefault="00AB1F71" w:rsidP="00AB1F71">
      <w:pPr>
        <w:pStyle w:val="AmdtsEntryHd"/>
      </w:pPr>
      <w:r w:rsidRPr="007E1F9A">
        <w:t>Conduct of consignee resulting or potentially resulting in contravention of mass, dimension or loading requirement</w:t>
      </w:r>
    </w:p>
    <w:p w14:paraId="008C7269" w14:textId="47583A0D" w:rsidR="00AB1F71" w:rsidRPr="007D582C" w:rsidRDefault="00AB1F71" w:rsidP="005E03F7">
      <w:pPr>
        <w:pStyle w:val="AmdtsEntries"/>
      </w:pPr>
      <w:r>
        <w:t>s 194</w:t>
      </w:r>
      <w:r>
        <w:tab/>
        <w:t xml:space="preserve">om </w:t>
      </w:r>
      <w:hyperlink r:id="rId445" w:tooltip="Heavy Vehicle National Law and Other Legislation Amendment Act 2016" w:history="1">
        <w:r w:rsidR="00CC0448" w:rsidRPr="005E03F7">
          <w:rPr>
            <w:rStyle w:val="Hyperlink"/>
          </w:rPr>
          <w:t>A2016-65 (Qld)</w:t>
        </w:r>
      </w:hyperlink>
      <w:r>
        <w:t xml:space="preserve"> s 33</w:t>
      </w:r>
    </w:p>
    <w:p w14:paraId="270DC970" w14:textId="77777777" w:rsidR="00AB1F71" w:rsidRDefault="00AB1F71" w:rsidP="00AB1F71">
      <w:pPr>
        <w:pStyle w:val="AmdtsEntryHd"/>
      </w:pPr>
      <w:r w:rsidRPr="007E1F9A">
        <w:t>Recovery of losses for provision of inaccurate container weight declaration</w:t>
      </w:r>
    </w:p>
    <w:p w14:paraId="56F5965E" w14:textId="1EB7CF81" w:rsidR="00AB1F71" w:rsidRPr="007D582C" w:rsidRDefault="00AB1F71" w:rsidP="005E03F7">
      <w:pPr>
        <w:pStyle w:val="AmdtsEntries"/>
      </w:pPr>
      <w:r>
        <w:t>s 199</w:t>
      </w:r>
      <w:r>
        <w:tab/>
        <w:t xml:space="preserve">am </w:t>
      </w:r>
      <w:hyperlink r:id="rId446" w:tooltip="Heavy Vehicle National Law and Other Legislation Amendment Act 2016" w:history="1">
        <w:r w:rsidR="00CC0448" w:rsidRPr="005E03F7">
          <w:rPr>
            <w:rStyle w:val="Hyperlink"/>
          </w:rPr>
          <w:t>A2016-65 (Qld)</w:t>
        </w:r>
      </w:hyperlink>
      <w:r>
        <w:t xml:space="preserve"> s 34</w:t>
      </w:r>
    </w:p>
    <w:p w14:paraId="269680D5" w14:textId="77777777" w:rsidR="00304DB2" w:rsidRPr="00304DB2" w:rsidRDefault="00304DB2" w:rsidP="00221645">
      <w:pPr>
        <w:pStyle w:val="AmdtsEntryHd"/>
      </w:pPr>
      <w:r w:rsidRPr="00304DB2">
        <w:t>Vehicle operations—speeding</w:t>
      </w:r>
    </w:p>
    <w:p w14:paraId="76D94417" w14:textId="0CA045FB" w:rsidR="00304DB2" w:rsidRPr="00304DB2" w:rsidRDefault="00304DB2" w:rsidP="005E03F7">
      <w:pPr>
        <w:pStyle w:val="AmdtsEntries"/>
      </w:pPr>
      <w:r>
        <w:t>ch 5 hdg</w:t>
      </w:r>
      <w:r>
        <w:tab/>
        <w:t xml:space="preserve">om </w:t>
      </w:r>
      <w:hyperlink r:id="rId447" w:tooltip="Heavy Vehicle National Law and Other Legislation Amendment Act 2016" w:history="1">
        <w:r w:rsidR="00CC0448" w:rsidRPr="005E03F7">
          <w:rPr>
            <w:rStyle w:val="Hyperlink"/>
          </w:rPr>
          <w:t>A2016-65 (Qld)</w:t>
        </w:r>
      </w:hyperlink>
      <w:r>
        <w:t xml:space="preserve"> s 35</w:t>
      </w:r>
    </w:p>
    <w:p w14:paraId="081628F6" w14:textId="77777777" w:rsidR="00304DB2" w:rsidRPr="00304DB2" w:rsidRDefault="00304DB2" w:rsidP="00304DB2">
      <w:pPr>
        <w:pStyle w:val="AmdtsEntryHd"/>
      </w:pPr>
      <w:r w:rsidRPr="00C203D9">
        <w:rPr>
          <w:rStyle w:val="CharPartText"/>
          <w:rFonts w:ascii="Helvetica" w:hAnsi="Helvetica" w:cs="Helvetica"/>
          <w:iCs/>
          <w:szCs w:val="32"/>
        </w:rPr>
        <w:t>Preliminary</w:t>
      </w:r>
    </w:p>
    <w:p w14:paraId="552E098E" w14:textId="7BA977E9" w:rsidR="00304DB2" w:rsidRPr="00304DB2" w:rsidRDefault="00304DB2" w:rsidP="005E03F7">
      <w:pPr>
        <w:pStyle w:val="AmdtsEntries"/>
      </w:pPr>
      <w:r>
        <w:t>pt 5.1 hdg</w:t>
      </w:r>
      <w:r>
        <w:tab/>
        <w:t xml:space="preserve">om </w:t>
      </w:r>
      <w:hyperlink r:id="rId448" w:tooltip="Heavy Vehicle National Law and Other Legislation Amendment Act 2016" w:history="1">
        <w:r w:rsidR="00CC0448" w:rsidRPr="005E03F7">
          <w:rPr>
            <w:rStyle w:val="Hyperlink"/>
          </w:rPr>
          <w:t>A2016-65 (Qld)</w:t>
        </w:r>
      </w:hyperlink>
      <w:r>
        <w:t xml:space="preserve"> s 35</w:t>
      </w:r>
    </w:p>
    <w:p w14:paraId="62318285" w14:textId="77777777" w:rsidR="00304DB2" w:rsidRPr="00304DB2" w:rsidRDefault="00304DB2" w:rsidP="00304DB2">
      <w:pPr>
        <w:pStyle w:val="AmdtsEntryHd"/>
      </w:pPr>
      <w:r w:rsidRPr="007E1F9A">
        <w:t>Main purpose of Ch 5</w:t>
      </w:r>
    </w:p>
    <w:p w14:paraId="206924C6" w14:textId="2F6A1BA8" w:rsidR="00304DB2" w:rsidRPr="00304DB2" w:rsidRDefault="00304DB2" w:rsidP="005E03F7">
      <w:pPr>
        <w:pStyle w:val="AmdtsEntries"/>
      </w:pPr>
      <w:r>
        <w:t>s 202</w:t>
      </w:r>
      <w:r>
        <w:tab/>
        <w:t xml:space="preserve">om </w:t>
      </w:r>
      <w:hyperlink r:id="rId449" w:tooltip="Heavy Vehicle National Law and Other Legislation Amendment Act 2016" w:history="1">
        <w:r w:rsidR="00CC0448" w:rsidRPr="005E03F7">
          <w:rPr>
            <w:rStyle w:val="Hyperlink"/>
          </w:rPr>
          <w:t>A2016-65 (Qld)</w:t>
        </w:r>
      </w:hyperlink>
      <w:r>
        <w:t xml:space="preserve"> s 35</w:t>
      </w:r>
    </w:p>
    <w:p w14:paraId="7CB48E73" w14:textId="77777777" w:rsidR="00304DB2" w:rsidRPr="00304DB2" w:rsidRDefault="00304DB2" w:rsidP="00304DB2">
      <w:pPr>
        <w:pStyle w:val="AmdtsEntryHd"/>
      </w:pPr>
      <w:r w:rsidRPr="007E1F9A">
        <w:t>Outline of the main features of Ch 5</w:t>
      </w:r>
    </w:p>
    <w:p w14:paraId="35C9DFC4" w14:textId="14B3D92C" w:rsidR="00304DB2" w:rsidRPr="00304DB2" w:rsidRDefault="00304DB2" w:rsidP="005E03F7">
      <w:pPr>
        <w:pStyle w:val="AmdtsEntries"/>
      </w:pPr>
      <w:r>
        <w:t>s 203</w:t>
      </w:r>
      <w:r>
        <w:tab/>
        <w:t xml:space="preserve">om </w:t>
      </w:r>
      <w:hyperlink r:id="rId450" w:tooltip="Heavy Vehicle National Law and Other Legislation Amendment Act 2016" w:history="1">
        <w:r w:rsidR="00CC0448" w:rsidRPr="005E03F7">
          <w:rPr>
            <w:rStyle w:val="Hyperlink"/>
          </w:rPr>
          <w:t>A2016-65 (Qld)</w:t>
        </w:r>
      </w:hyperlink>
      <w:r>
        <w:t xml:space="preserve"> s 35</w:t>
      </w:r>
    </w:p>
    <w:p w14:paraId="1C9A4423" w14:textId="77777777" w:rsidR="004548B5" w:rsidRPr="00304DB2" w:rsidRDefault="004548B5" w:rsidP="004548B5">
      <w:pPr>
        <w:pStyle w:val="AmdtsEntryHd"/>
      </w:pPr>
      <w:r w:rsidRPr="00C203D9">
        <w:rPr>
          <w:rStyle w:val="CharPartText"/>
          <w:rFonts w:ascii="Helvetica" w:hAnsi="Helvetica" w:cs="Helvetica"/>
          <w:iCs/>
          <w:szCs w:val="32"/>
        </w:rPr>
        <w:t>Particular duties and offences</w:t>
      </w:r>
    </w:p>
    <w:p w14:paraId="6534B5B3" w14:textId="529F17FE" w:rsidR="004548B5" w:rsidRPr="00304DB2" w:rsidRDefault="004548B5" w:rsidP="005E03F7">
      <w:pPr>
        <w:pStyle w:val="AmdtsEntries"/>
      </w:pPr>
      <w:r>
        <w:t>pt 5.2 hdg</w:t>
      </w:r>
      <w:r>
        <w:tab/>
        <w:t xml:space="preserve">om </w:t>
      </w:r>
      <w:hyperlink r:id="rId451" w:tooltip="Heavy Vehicle National Law and Other Legislation Amendment Act 2016" w:history="1">
        <w:r w:rsidR="00CC0448" w:rsidRPr="005E03F7">
          <w:rPr>
            <w:rStyle w:val="Hyperlink"/>
          </w:rPr>
          <w:t>A2016-65 (Qld)</w:t>
        </w:r>
      </w:hyperlink>
      <w:r>
        <w:t xml:space="preserve"> s 35</w:t>
      </w:r>
    </w:p>
    <w:p w14:paraId="322B7CB4" w14:textId="77777777" w:rsidR="004548B5" w:rsidRPr="00304DB2" w:rsidRDefault="00DD7BA5" w:rsidP="004548B5">
      <w:pPr>
        <w:pStyle w:val="AmdtsEntryHd"/>
      </w:pPr>
      <w:r>
        <w:rPr>
          <w:rStyle w:val="CharPartText"/>
          <w:rFonts w:ascii="Helvetica" w:hAnsi="Helvetica" w:cs="Helvetica"/>
          <w:iCs/>
          <w:szCs w:val="32"/>
        </w:rPr>
        <w:t>Employers, prime contractors and operators</w:t>
      </w:r>
    </w:p>
    <w:p w14:paraId="495BD5B7" w14:textId="3C684F27" w:rsidR="004548B5" w:rsidRPr="00304DB2" w:rsidRDefault="003621BE" w:rsidP="005E03F7">
      <w:pPr>
        <w:pStyle w:val="AmdtsEntries"/>
      </w:pPr>
      <w:r>
        <w:t xml:space="preserve">pt 5.2 </w:t>
      </w:r>
      <w:r w:rsidR="004548B5">
        <w:t>div 1 hdg</w:t>
      </w:r>
      <w:r w:rsidR="004548B5">
        <w:tab/>
        <w:t xml:space="preserve">om </w:t>
      </w:r>
      <w:hyperlink r:id="rId452" w:tooltip="Heavy Vehicle National Law and Other Legislation Amendment Act 2016" w:history="1">
        <w:r w:rsidR="00CC0448" w:rsidRPr="005E03F7">
          <w:rPr>
            <w:rStyle w:val="Hyperlink"/>
          </w:rPr>
          <w:t>A2016-65 (Qld)</w:t>
        </w:r>
      </w:hyperlink>
      <w:r w:rsidR="004548B5">
        <w:t xml:space="preserve"> s 35</w:t>
      </w:r>
    </w:p>
    <w:p w14:paraId="63229C87" w14:textId="77777777" w:rsidR="004548B5" w:rsidRPr="00304DB2" w:rsidRDefault="004548B5" w:rsidP="004548B5">
      <w:pPr>
        <w:pStyle w:val="AmdtsEntryHd"/>
      </w:pPr>
      <w:r w:rsidRPr="007E1F9A">
        <w:t>Duty of employer, prime contractor or operator to ensure business practices will not cause driver to exceed speed limit</w:t>
      </w:r>
    </w:p>
    <w:p w14:paraId="41DBD916" w14:textId="08B169E2" w:rsidR="004548B5" w:rsidRPr="00304DB2" w:rsidRDefault="004548B5" w:rsidP="005E03F7">
      <w:pPr>
        <w:pStyle w:val="AmdtsEntries"/>
      </w:pPr>
      <w:r>
        <w:t>s 204</w:t>
      </w:r>
      <w:r>
        <w:tab/>
        <w:t xml:space="preserve">om </w:t>
      </w:r>
      <w:hyperlink r:id="rId453" w:tooltip="Heavy Vehicle National Law and Other Legislation Amendment Act 2016" w:history="1">
        <w:r w:rsidR="00CC0448" w:rsidRPr="005E03F7">
          <w:rPr>
            <w:rStyle w:val="Hyperlink"/>
          </w:rPr>
          <w:t>A2016-65 (Qld)</w:t>
        </w:r>
      </w:hyperlink>
      <w:r>
        <w:t xml:space="preserve"> s 35</w:t>
      </w:r>
    </w:p>
    <w:p w14:paraId="2A23E601" w14:textId="77777777" w:rsidR="00815248" w:rsidRPr="00304DB2" w:rsidRDefault="00815248" w:rsidP="00815248">
      <w:pPr>
        <w:pStyle w:val="AmdtsEntryHd"/>
      </w:pPr>
      <w:r w:rsidRPr="007E1F9A">
        <w:t>Duty of employer not to cause driver to drive if particular requirements not complied with</w:t>
      </w:r>
    </w:p>
    <w:p w14:paraId="3E3B7301" w14:textId="1937A6FF" w:rsidR="00815248" w:rsidRPr="00304DB2" w:rsidRDefault="00815248" w:rsidP="005E03F7">
      <w:pPr>
        <w:pStyle w:val="AmdtsEntries"/>
      </w:pPr>
      <w:r>
        <w:t>s 205</w:t>
      </w:r>
      <w:r>
        <w:tab/>
        <w:t xml:space="preserve">om </w:t>
      </w:r>
      <w:hyperlink r:id="rId454" w:tooltip="Heavy Vehicle National Law and Other Legislation Amendment Act 2016" w:history="1">
        <w:r w:rsidR="00CC0448" w:rsidRPr="005E03F7">
          <w:rPr>
            <w:rStyle w:val="Hyperlink"/>
          </w:rPr>
          <w:t>A2016-65 (Qld)</w:t>
        </w:r>
      </w:hyperlink>
      <w:r>
        <w:t xml:space="preserve"> s 35</w:t>
      </w:r>
    </w:p>
    <w:p w14:paraId="09B7C183" w14:textId="77777777" w:rsidR="00815248" w:rsidRPr="00304DB2" w:rsidRDefault="00815248" w:rsidP="00815248">
      <w:pPr>
        <w:pStyle w:val="AmdtsEntryHd"/>
      </w:pPr>
      <w:r w:rsidRPr="007E1F9A">
        <w:t>Duty of prime contractor or operator not to cause driver to drive if particular requirements not complied with</w:t>
      </w:r>
    </w:p>
    <w:p w14:paraId="69877164" w14:textId="070E3857" w:rsidR="00815248" w:rsidRPr="00304DB2" w:rsidRDefault="00815248" w:rsidP="005E03F7">
      <w:pPr>
        <w:pStyle w:val="AmdtsEntries"/>
      </w:pPr>
      <w:r>
        <w:t>s 206</w:t>
      </w:r>
      <w:r>
        <w:tab/>
        <w:t xml:space="preserve">om </w:t>
      </w:r>
      <w:hyperlink r:id="rId455" w:tooltip="Heavy Vehicle National Law and Other Legislation Amendment Act 2016" w:history="1">
        <w:r w:rsidR="00CC0448" w:rsidRPr="005E03F7">
          <w:rPr>
            <w:rStyle w:val="Hyperlink"/>
          </w:rPr>
          <w:t>A2016-65 (Qld)</w:t>
        </w:r>
      </w:hyperlink>
      <w:r>
        <w:t xml:space="preserve"> s 35</w:t>
      </w:r>
    </w:p>
    <w:p w14:paraId="0C15E904" w14:textId="77777777" w:rsidR="00815248" w:rsidRPr="00304DB2" w:rsidRDefault="00815248" w:rsidP="00815248">
      <w:pPr>
        <w:pStyle w:val="AmdtsEntryHd"/>
      </w:pPr>
      <w:r w:rsidRPr="00C203D9">
        <w:rPr>
          <w:rStyle w:val="CharDivText"/>
          <w:rFonts w:ascii="Helvetica" w:hAnsi="Helvetica" w:cs="Helvetica"/>
          <w:iCs/>
          <w:szCs w:val="28"/>
        </w:rPr>
        <w:t>Schedulers</w:t>
      </w:r>
    </w:p>
    <w:p w14:paraId="3F98F035" w14:textId="479421D2" w:rsidR="00815248" w:rsidRPr="00304DB2" w:rsidRDefault="003621BE" w:rsidP="005E03F7">
      <w:pPr>
        <w:pStyle w:val="AmdtsEntries"/>
      </w:pPr>
      <w:r>
        <w:t xml:space="preserve">pt 5.2 </w:t>
      </w:r>
      <w:r w:rsidR="00815248">
        <w:t>div 2 hdg</w:t>
      </w:r>
      <w:r w:rsidR="00815248">
        <w:tab/>
        <w:t xml:space="preserve">om </w:t>
      </w:r>
      <w:hyperlink r:id="rId456" w:tooltip="Heavy Vehicle National Law and Other Legislation Amendment Act 2016" w:history="1">
        <w:r w:rsidR="00CC0448" w:rsidRPr="005E03F7">
          <w:rPr>
            <w:rStyle w:val="Hyperlink"/>
          </w:rPr>
          <w:t>A2016-65 (Qld)</w:t>
        </w:r>
      </w:hyperlink>
      <w:r w:rsidR="00815248">
        <w:t xml:space="preserve"> s 35</w:t>
      </w:r>
    </w:p>
    <w:p w14:paraId="6943EC1B" w14:textId="77777777" w:rsidR="00815248" w:rsidRPr="00304DB2" w:rsidRDefault="00815248" w:rsidP="00815248">
      <w:pPr>
        <w:pStyle w:val="AmdtsEntryHd"/>
      </w:pPr>
      <w:r w:rsidRPr="007E1F9A">
        <w:lastRenderedPageBreak/>
        <w:t>Duty to ensure driver’s schedule will not cause driver to exceed speed limit</w:t>
      </w:r>
    </w:p>
    <w:p w14:paraId="6DC5B341" w14:textId="18E24251" w:rsidR="00815248" w:rsidRPr="00304DB2" w:rsidRDefault="00815248" w:rsidP="005E03F7">
      <w:pPr>
        <w:pStyle w:val="AmdtsEntries"/>
      </w:pPr>
      <w:r>
        <w:t>s 207</w:t>
      </w:r>
      <w:r>
        <w:tab/>
        <w:t xml:space="preserve">om </w:t>
      </w:r>
      <w:hyperlink r:id="rId457" w:tooltip="Heavy Vehicle National Law and Other Legislation Amendment Act 2016" w:history="1">
        <w:r w:rsidR="00CC0448" w:rsidRPr="005E03F7">
          <w:rPr>
            <w:rStyle w:val="Hyperlink"/>
          </w:rPr>
          <w:t>A2016-65 (Qld)</w:t>
        </w:r>
      </w:hyperlink>
      <w:r>
        <w:t xml:space="preserve"> s 35</w:t>
      </w:r>
    </w:p>
    <w:p w14:paraId="547AB096" w14:textId="77777777" w:rsidR="00221645" w:rsidRDefault="00221645" w:rsidP="00221645">
      <w:pPr>
        <w:pStyle w:val="AmdtsEntryHd"/>
        <w:rPr>
          <w:rFonts w:ascii="Helvetica" w:hAnsi="Helvetica" w:cs="Helvetica"/>
          <w:iCs/>
        </w:rPr>
      </w:pPr>
      <w:r w:rsidRPr="007E1F9A">
        <w:t>Duty not to cause driver to drive if particular requirements not complied with</w:t>
      </w:r>
    </w:p>
    <w:p w14:paraId="01D53A98" w14:textId="3B16ECC7" w:rsidR="00221645" w:rsidRDefault="00221645" w:rsidP="00221645">
      <w:pPr>
        <w:pStyle w:val="AmdtsEntries"/>
      </w:pPr>
      <w:r>
        <w:t>s 208</w:t>
      </w:r>
      <w:r>
        <w:tab/>
        <w:t xml:space="preserve">am </w:t>
      </w:r>
      <w:hyperlink r:id="rId458" w:tooltip="Heavy Vehicle National Law Amendment Act 2015" w:history="1">
        <w:r w:rsidR="00BA6441">
          <w:rPr>
            <w:rStyle w:val="charCitHyperlinkAbbrev"/>
          </w:rPr>
          <w:t>A2015-12</w:t>
        </w:r>
      </w:hyperlink>
      <w:r w:rsidR="00BA6441">
        <w:t xml:space="preserve"> (Qld)</w:t>
      </w:r>
      <w:r>
        <w:t xml:space="preserve"> s 67</w:t>
      </w:r>
    </w:p>
    <w:p w14:paraId="6C35935C" w14:textId="79864F7A" w:rsidR="00815248" w:rsidRDefault="00815248" w:rsidP="005E03F7">
      <w:pPr>
        <w:pStyle w:val="AmdtsEntries"/>
      </w:pPr>
      <w:r>
        <w:tab/>
        <w:t xml:space="preserve">om </w:t>
      </w:r>
      <w:hyperlink r:id="rId459" w:tooltip="Heavy Vehicle National Law and Other Legislation Amendment Act 2016" w:history="1">
        <w:r w:rsidR="00CC0448" w:rsidRPr="005E03F7">
          <w:rPr>
            <w:rStyle w:val="Hyperlink"/>
          </w:rPr>
          <w:t>A2016-65 (Qld)</w:t>
        </w:r>
      </w:hyperlink>
      <w:r>
        <w:t xml:space="preserve"> s 35</w:t>
      </w:r>
    </w:p>
    <w:p w14:paraId="5E632ED4" w14:textId="77777777" w:rsidR="00815248" w:rsidRPr="00304DB2" w:rsidRDefault="00A96DEF" w:rsidP="00815248">
      <w:pPr>
        <w:pStyle w:val="AmdtsEntryHd"/>
      </w:pPr>
      <w:r w:rsidRPr="00C203D9">
        <w:rPr>
          <w:rStyle w:val="CharDivText"/>
          <w:rFonts w:ascii="Helvetica" w:hAnsi="Helvetica" w:cs="Helvetica"/>
          <w:iCs/>
          <w:szCs w:val="28"/>
        </w:rPr>
        <w:t>Loading managers</w:t>
      </w:r>
    </w:p>
    <w:p w14:paraId="1E0855E8" w14:textId="30A3FC93" w:rsidR="00815248" w:rsidRPr="00304DB2" w:rsidRDefault="003621BE" w:rsidP="005E03F7">
      <w:pPr>
        <w:pStyle w:val="AmdtsEntries"/>
      </w:pPr>
      <w:r>
        <w:t xml:space="preserve">pt 5.2 </w:t>
      </w:r>
      <w:r w:rsidR="00A96DEF">
        <w:t>div 3</w:t>
      </w:r>
      <w:r w:rsidR="00815248">
        <w:t xml:space="preserve"> hdg</w:t>
      </w:r>
      <w:r w:rsidR="00815248">
        <w:tab/>
        <w:t xml:space="preserve">om </w:t>
      </w:r>
      <w:hyperlink r:id="rId460" w:tooltip="Heavy Vehicle National Law and Other Legislation Amendment Act 2016" w:history="1">
        <w:r w:rsidR="00CC0448" w:rsidRPr="005E03F7">
          <w:rPr>
            <w:rStyle w:val="Hyperlink"/>
          </w:rPr>
          <w:t>A2016-65 (Qld)</w:t>
        </w:r>
      </w:hyperlink>
      <w:r w:rsidR="00815248">
        <w:t xml:space="preserve"> s 35</w:t>
      </w:r>
    </w:p>
    <w:p w14:paraId="40D4656C" w14:textId="77777777" w:rsidR="00A96DEF" w:rsidRPr="00304DB2" w:rsidRDefault="00A96DEF" w:rsidP="00A96DEF">
      <w:pPr>
        <w:pStyle w:val="AmdtsEntryHd"/>
      </w:pPr>
      <w:r w:rsidRPr="007E1F9A">
        <w:t>Duty to ensure loading arrangements will not cause driver to exceed speed limit</w:t>
      </w:r>
    </w:p>
    <w:p w14:paraId="2F43A64B" w14:textId="1E1D539E" w:rsidR="00A96DEF" w:rsidRPr="00304DB2" w:rsidRDefault="00A96DEF" w:rsidP="005E03F7">
      <w:pPr>
        <w:pStyle w:val="AmdtsEntries"/>
      </w:pPr>
      <w:r>
        <w:t>s 209</w:t>
      </w:r>
      <w:r>
        <w:tab/>
        <w:t xml:space="preserve">om </w:t>
      </w:r>
      <w:hyperlink r:id="rId461" w:tooltip="Heavy Vehicle National Law and Other Legislation Amendment Act 2016" w:history="1">
        <w:r w:rsidR="00CC0448" w:rsidRPr="005E03F7">
          <w:rPr>
            <w:rStyle w:val="Hyperlink"/>
          </w:rPr>
          <w:t>A2016-65 (Qld)</w:t>
        </w:r>
      </w:hyperlink>
      <w:r>
        <w:t xml:space="preserve"> s 35</w:t>
      </w:r>
    </w:p>
    <w:p w14:paraId="514F5EB7" w14:textId="77777777" w:rsidR="00A96DEF" w:rsidRPr="00304DB2" w:rsidRDefault="00A96DEF" w:rsidP="00A96DEF">
      <w:pPr>
        <w:pStyle w:val="AmdtsEntryHd"/>
      </w:pPr>
      <w:r w:rsidRPr="00C203D9">
        <w:rPr>
          <w:rStyle w:val="CharDivText"/>
          <w:rFonts w:ascii="Helvetica" w:hAnsi="Helvetica" w:cs="Helvetica"/>
          <w:iCs/>
          <w:szCs w:val="28"/>
        </w:rPr>
        <w:t>Particular consignors and consignees</w:t>
      </w:r>
    </w:p>
    <w:p w14:paraId="6CF179A8" w14:textId="661DA16C" w:rsidR="00A96DEF" w:rsidRPr="00304DB2" w:rsidRDefault="003621BE" w:rsidP="005E03F7">
      <w:pPr>
        <w:pStyle w:val="AmdtsEntries"/>
      </w:pPr>
      <w:r>
        <w:t xml:space="preserve">pt 5.2 </w:t>
      </w:r>
      <w:r w:rsidR="00A96DEF">
        <w:t>div 4 hdg</w:t>
      </w:r>
      <w:r w:rsidR="00A96DEF">
        <w:tab/>
        <w:t xml:space="preserve">om </w:t>
      </w:r>
      <w:hyperlink r:id="rId462" w:tooltip="Heavy Vehicle National Law and Other Legislation Amendment Act 2016" w:history="1">
        <w:r w:rsidR="00CC0448" w:rsidRPr="005E03F7">
          <w:rPr>
            <w:rStyle w:val="Hyperlink"/>
          </w:rPr>
          <w:t>A2016-65 (Qld)</w:t>
        </w:r>
      </w:hyperlink>
      <w:r w:rsidR="00A96DEF">
        <w:t xml:space="preserve"> s 35</w:t>
      </w:r>
    </w:p>
    <w:p w14:paraId="06D50072" w14:textId="77777777" w:rsidR="00A96DEF" w:rsidRPr="00304DB2" w:rsidRDefault="00A96DEF" w:rsidP="00A96DEF">
      <w:pPr>
        <w:pStyle w:val="AmdtsEntryHd"/>
      </w:pPr>
      <w:r w:rsidRPr="007E1F9A">
        <w:t>Consignors to whom Div 4 applies</w:t>
      </w:r>
    </w:p>
    <w:p w14:paraId="347EC3CC" w14:textId="19C6A1F3" w:rsidR="00A96DEF" w:rsidRPr="00304DB2" w:rsidRDefault="00A96DEF" w:rsidP="005E03F7">
      <w:pPr>
        <w:pStyle w:val="AmdtsEntries"/>
      </w:pPr>
      <w:r>
        <w:t>s 210</w:t>
      </w:r>
      <w:r>
        <w:tab/>
        <w:t xml:space="preserve">om </w:t>
      </w:r>
      <w:hyperlink r:id="rId463" w:tooltip="Heavy Vehicle National Law and Other Legislation Amendment Act 2016" w:history="1">
        <w:r w:rsidR="00CC0448" w:rsidRPr="005E03F7">
          <w:rPr>
            <w:rStyle w:val="Hyperlink"/>
          </w:rPr>
          <w:t>A2016-65 (Qld)</w:t>
        </w:r>
      </w:hyperlink>
      <w:r>
        <w:t xml:space="preserve"> s 35</w:t>
      </w:r>
    </w:p>
    <w:p w14:paraId="7E2A2D4A" w14:textId="77777777" w:rsidR="00A96DEF" w:rsidRPr="00304DB2" w:rsidRDefault="00A96DEF" w:rsidP="00A96DEF">
      <w:pPr>
        <w:pStyle w:val="AmdtsEntryHd"/>
      </w:pPr>
      <w:r w:rsidRPr="007E1F9A">
        <w:t>Consignees to whom Div 4 applies</w:t>
      </w:r>
    </w:p>
    <w:p w14:paraId="33187B53" w14:textId="743FA876" w:rsidR="00A96DEF" w:rsidRPr="00304DB2" w:rsidRDefault="00A96DEF" w:rsidP="005E03F7">
      <w:pPr>
        <w:pStyle w:val="AmdtsEntries"/>
      </w:pPr>
      <w:r>
        <w:t>s 211</w:t>
      </w:r>
      <w:r>
        <w:tab/>
        <w:t xml:space="preserve">om </w:t>
      </w:r>
      <w:hyperlink r:id="rId464" w:tooltip="Heavy Vehicle National Law and Other Legislation Amendment Act 2016" w:history="1">
        <w:r w:rsidR="00CC0448" w:rsidRPr="005E03F7">
          <w:rPr>
            <w:rStyle w:val="Hyperlink"/>
          </w:rPr>
          <w:t>A2016-65 (Qld)</w:t>
        </w:r>
      </w:hyperlink>
      <w:r>
        <w:t xml:space="preserve"> s 35</w:t>
      </w:r>
    </w:p>
    <w:p w14:paraId="4D3FFA57" w14:textId="77777777" w:rsidR="00A96DEF" w:rsidRPr="00304DB2" w:rsidRDefault="00A96DEF" w:rsidP="00A96DEF">
      <w:pPr>
        <w:pStyle w:val="AmdtsEntryHd"/>
      </w:pPr>
      <w:r w:rsidRPr="007E1F9A">
        <w:t>Duty to ensure terms of consignment will not cause driver to exceed speed limit etc.</w:t>
      </w:r>
    </w:p>
    <w:p w14:paraId="2A73B79E" w14:textId="492EB81E" w:rsidR="00A96DEF" w:rsidRPr="00304DB2" w:rsidRDefault="00A96DEF" w:rsidP="005E03F7">
      <w:pPr>
        <w:pStyle w:val="AmdtsEntries"/>
      </w:pPr>
      <w:r>
        <w:t>s 212</w:t>
      </w:r>
      <w:r>
        <w:tab/>
        <w:t xml:space="preserve">om </w:t>
      </w:r>
      <w:hyperlink r:id="rId465" w:tooltip="Heavy Vehicle National Law and Other Legislation Amendment Act 2016" w:history="1">
        <w:r w:rsidR="00CC0448" w:rsidRPr="005E03F7">
          <w:rPr>
            <w:rStyle w:val="Hyperlink"/>
          </w:rPr>
          <w:t>A2016-65 (Qld)</w:t>
        </w:r>
      </w:hyperlink>
      <w:r>
        <w:t xml:space="preserve"> s 35</w:t>
      </w:r>
    </w:p>
    <w:p w14:paraId="34580456" w14:textId="77777777" w:rsidR="00221645" w:rsidRDefault="00221645" w:rsidP="00221645">
      <w:pPr>
        <w:pStyle w:val="AmdtsEntryHd"/>
        <w:rPr>
          <w:rFonts w:ascii="Helvetica" w:hAnsi="Helvetica" w:cs="Helvetica"/>
          <w:iCs/>
        </w:rPr>
      </w:pPr>
      <w:r w:rsidRPr="007E1F9A">
        <w:t>Duty not to make a demand that may result in driver exceeding the speed limit</w:t>
      </w:r>
    </w:p>
    <w:p w14:paraId="2FAB2C36" w14:textId="205A3D7A" w:rsidR="00221645" w:rsidRDefault="00221645" w:rsidP="00221645">
      <w:pPr>
        <w:pStyle w:val="AmdtsEntries"/>
      </w:pPr>
      <w:r>
        <w:t>s 213</w:t>
      </w:r>
      <w:r>
        <w:tab/>
        <w:t xml:space="preserve">am </w:t>
      </w:r>
      <w:hyperlink r:id="rId466" w:tooltip="Heavy Vehicle National Law Amendment Act 2015" w:history="1">
        <w:r w:rsidR="00BA6441">
          <w:rPr>
            <w:rStyle w:val="charCitHyperlinkAbbrev"/>
          </w:rPr>
          <w:t>A2015-12</w:t>
        </w:r>
      </w:hyperlink>
      <w:r w:rsidR="00BA6441">
        <w:t xml:space="preserve"> (Qld)</w:t>
      </w:r>
      <w:r>
        <w:t xml:space="preserve"> s 67</w:t>
      </w:r>
    </w:p>
    <w:p w14:paraId="54CBECB5" w14:textId="40F53E59" w:rsidR="00A96DEF" w:rsidRDefault="00A96DEF" w:rsidP="005E03F7">
      <w:pPr>
        <w:pStyle w:val="AmdtsEntries"/>
      </w:pPr>
      <w:r>
        <w:tab/>
        <w:t xml:space="preserve">om </w:t>
      </w:r>
      <w:hyperlink r:id="rId467" w:tooltip="Heavy Vehicle National Law and Other Legislation Amendment Act 2016" w:history="1">
        <w:r w:rsidR="00CC0448" w:rsidRPr="005E03F7">
          <w:rPr>
            <w:rStyle w:val="Hyperlink"/>
          </w:rPr>
          <w:t>A2016-65 (Qld)</w:t>
        </w:r>
      </w:hyperlink>
      <w:r>
        <w:t xml:space="preserve"> s 35</w:t>
      </w:r>
    </w:p>
    <w:p w14:paraId="2E44B478" w14:textId="77777777" w:rsidR="00A96DEF" w:rsidRPr="00304DB2" w:rsidRDefault="00A96DEF" w:rsidP="00A96DEF">
      <w:pPr>
        <w:pStyle w:val="AmdtsEntryHd"/>
      </w:pPr>
      <w:r w:rsidRPr="00C203D9">
        <w:rPr>
          <w:rStyle w:val="CharDivText"/>
          <w:rFonts w:ascii="Helvetica" w:hAnsi="Helvetica" w:cs="Helvetica"/>
          <w:iCs/>
          <w:szCs w:val="28"/>
        </w:rPr>
        <w:t>Particular requests etc. and contracts etc. prohibited</w:t>
      </w:r>
    </w:p>
    <w:p w14:paraId="1CCC3BD5" w14:textId="1B65ABAF" w:rsidR="00A96DEF" w:rsidRPr="00304DB2" w:rsidRDefault="003621BE" w:rsidP="005E03F7">
      <w:pPr>
        <w:pStyle w:val="AmdtsEntries"/>
      </w:pPr>
      <w:r>
        <w:t xml:space="preserve">pt 5.2 </w:t>
      </w:r>
      <w:r w:rsidR="00A96DEF">
        <w:t>div 5 hdg</w:t>
      </w:r>
      <w:r w:rsidR="00A96DEF">
        <w:tab/>
        <w:t xml:space="preserve">om </w:t>
      </w:r>
      <w:hyperlink r:id="rId468" w:tooltip="Heavy Vehicle National Law and Other Legislation Amendment Act 2016" w:history="1">
        <w:r w:rsidR="00CC0448" w:rsidRPr="005E03F7">
          <w:rPr>
            <w:rStyle w:val="Hyperlink"/>
          </w:rPr>
          <w:t>A2016-65 (Qld)</w:t>
        </w:r>
      </w:hyperlink>
      <w:r w:rsidR="00A96DEF">
        <w:t xml:space="preserve"> s 35</w:t>
      </w:r>
    </w:p>
    <w:p w14:paraId="622024DB" w14:textId="77777777" w:rsidR="00A96DEF" w:rsidRPr="00304DB2" w:rsidRDefault="00A96DEF" w:rsidP="00A96DEF">
      <w:pPr>
        <w:pStyle w:val="AmdtsEntryHd"/>
      </w:pPr>
      <w:r w:rsidRPr="007E1F9A">
        <w:t>Who is a party in the chain of responsibility</w:t>
      </w:r>
    </w:p>
    <w:p w14:paraId="0632D488" w14:textId="267819C4" w:rsidR="00A96DEF" w:rsidRPr="00304DB2" w:rsidRDefault="00A96DEF" w:rsidP="005E03F7">
      <w:pPr>
        <w:pStyle w:val="AmdtsEntries"/>
      </w:pPr>
      <w:r>
        <w:t>s 214</w:t>
      </w:r>
      <w:r>
        <w:tab/>
        <w:t xml:space="preserve">om </w:t>
      </w:r>
      <w:hyperlink r:id="rId469" w:tooltip="Heavy Vehicle National Law and Other Legislation Amendment Act 2016" w:history="1">
        <w:r w:rsidR="00CC0448" w:rsidRPr="005E03F7">
          <w:rPr>
            <w:rStyle w:val="Hyperlink"/>
          </w:rPr>
          <w:t>A2016-65 (Qld)</w:t>
        </w:r>
      </w:hyperlink>
      <w:r>
        <w:t xml:space="preserve"> s 35</w:t>
      </w:r>
    </w:p>
    <w:p w14:paraId="67101941" w14:textId="77777777" w:rsidR="00107B51" w:rsidRPr="00304DB2" w:rsidRDefault="00107B51" w:rsidP="00107B51">
      <w:pPr>
        <w:pStyle w:val="AmdtsEntryHd"/>
      </w:pPr>
      <w:r w:rsidRPr="007E1F9A">
        <w:t>Particular requests etc. prohibited</w:t>
      </w:r>
    </w:p>
    <w:p w14:paraId="6FA5C720" w14:textId="688128BA" w:rsidR="00107B51" w:rsidRPr="00304DB2" w:rsidRDefault="00107B51" w:rsidP="005E03F7">
      <w:pPr>
        <w:pStyle w:val="AmdtsEntries"/>
      </w:pPr>
      <w:r>
        <w:t>s 215</w:t>
      </w:r>
      <w:r>
        <w:tab/>
        <w:t xml:space="preserve">om </w:t>
      </w:r>
      <w:hyperlink r:id="rId470" w:tooltip="Heavy Vehicle National Law and Other Legislation Amendment Act 2016" w:history="1">
        <w:r w:rsidR="00CC0448" w:rsidRPr="005E03F7">
          <w:rPr>
            <w:rStyle w:val="Hyperlink"/>
          </w:rPr>
          <w:t>A2016-65 (Qld)</w:t>
        </w:r>
      </w:hyperlink>
      <w:r>
        <w:t xml:space="preserve"> s 35</w:t>
      </w:r>
    </w:p>
    <w:p w14:paraId="45D501C6" w14:textId="77777777" w:rsidR="00107B51" w:rsidRPr="00304DB2" w:rsidRDefault="00107B51" w:rsidP="00107B51">
      <w:pPr>
        <w:pStyle w:val="AmdtsEntryHd"/>
      </w:pPr>
      <w:r w:rsidRPr="007E1F9A">
        <w:t>Particular contracts etc. prohibited</w:t>
      </w:r>
    </w:p>
    <w:p w14:paraId="17B1D92E" w14:textId="3E044E13" w:rsidR="00107B51" w:rsidRPr="00304DB2" w:rsidRDefault="00107B51" w:rsidP="005E03F7">
      <w:pPr>
        <w:pStyle w:val="AmdtsEntries"/>
      </w:pPr>
      <w:r>
        <w:t>s 216</w:t>
      </w:r>
      <w:r>
        <w:tab/>
        <w:t xml:space="preserve">om </w:t>
      </w:r>
      <w:hyperlink r:id="rId471" w:tooltip="Heavy Vehicle National Law and Other Legislation Amendment Act 2016" w:history="1">
        <w:r w:rsidR="00CC0448" w:rsidRPr="005E03F7">
          <w:rPr>
            <w:rStyle w:val="Hyperlink"/>
          </w:rPr>
          <w:t>A2016-65 (Qld)</w:t>
        </w:r>
      </w:hyperlink>
      <w:r>
        <w:t xml:space="preserve"> s 35</w:t>
      </w:r>
    </w:p>
    <w:p w14:paraId="1CE581CB" w14:textId="77777777" w:rsidR="008579DA" w:rsidRPr="00304DB2" w:rsidRDefault="008579DA" w:rsidP="008579DA">
      <w:pPr>
        <w:pStyle w:val="AmdtsEntryHd"/>
      </w:pPr>
      <w:r w:rsidRPr="00C203D9">
        <w:rPr>
          <w:rStyle w:val="CharDivText"/>
          <w:rFonts w:ascii="Helvetica" w:hAnsi="Helvetica" w:cs="Helvetica"/>
          <w:iCs/>
          <w:szCs w:val="28"/>
        </w:rPr>
        <w:t>Provisions about offences against this Part</w:t>
      </w:r>
    </w:p>
    <w:p w14:paraId="2BB1188C" w14:textId="4633F4F6" w:rsidR="008579DA" w:rsidRPr="00304DB2" w:rsidRDefault="003621BE" w:rsidP="005E03F7">
      <w:pPr>
        <w:pStyle w:val="AmdtsEntries"/>
      </w:pPr>
      <w:r>
        <w:t xml:space="preserve">pt 5.2 </w:t>
      </w:r>
      <w:r w:rsidR="008579DA">
        <w:t>div 6 hdg</w:t>
      </w:r>
      <w:r w:rsidR="008579DA">
        <w:tab/>
        <w:t xml:space="preserve">om </w:t>
      </w:r>
      <w:hyperlink r:id="rId472" w:tooltip="Heavy Vehicle National Law and Other Legislation Amendment Act 2016" w:history="1">
        <w:r w:rsidR="00CC0448" w:rsidRPr="005E03F7">
          <w:rPr>
            <w:rStyle w:val="Hyperlink"/>
          </w:rPr>
          <w:t>A2016-65 (Qld)</w:t>
        </w:r>
      </w:hyperlink>
      <w:r w:rsidR="008579DA">
        <w:t xml:space="preserve"> s 35</w:t>
      </w:r>
    </w:p>
    <w:p w14:paraId="4407777E" w14:textId="77777777" w:rsidR="008579DA" w:rsidRPr="00304DB2" w:rsidRDefault="008579DA" w:rsidP="008579DA">
      <w:pPr>
        <w:pStyle w:val="AmdtsEntryHd"/>
      </w:pPr>
      <w:r w:rsidRPr="007E1F9A">
        <w:t>Objective reasonableness test to be used in deciding causation</w:t>
      </w:r>
    </w:p>
    <w:p w14:paraId="6D80054C" w14:textId="524954D6" w:rsidR="008579DA" w:rsidRPr="00304DB2" w:rsidRDefault="008579DA" w:rsidP="005E03F7">
      <w:pPr>
        <w:pStyle w:val="AmdtsEntries"/>
      </w:pPr>
      <w:r>
        <w:t>s 217</w:t>
      </w:r>
      <w:r>
        <w:tab/>
        <w:t xml:space="preserve">om </w:t>
      </w:r>
      <w:hyperlink r:id="rId473" w:tooltip="Heavy Vehicle National Law and Other Legislation Amendment Act 2016" w:history="1">
        <w:r w:rsidR="00CC0448" w:rsidRPr="005E03F7">
          <w:rPr>
            <w:rStyle w:val="Hyperlink"/>
          </w:rPr>
          <w:t>A2016-65 (Qld)</w:t>
        </w:r>
      </w:hyperlink>
      <w:r>
        <w:t xml:space="preserve"> s 35</w:t>
      </w:r>
    </w:p>
    <w:p w14:paraId="63581D5B" w14:textId="77777777" w:rsidR="008579DA" w:rsidRPr="00304DB2" w:rsidRDefault="008579DA" w:rsidP="008579DA">
      <w:pPr>
        <w:pStyle w:val="AmdtsEntryHd"/>
      </w:pPr>
      <w:r w:rsidRPr="007E1F9A">
        <w:t>Commission of speeding offence is irrelevant to Pt 5.2 prosecution</w:t>
      </w:r>
    </w:p>
    <w:p w14:paraId="466B29DD" w14:textId="62487CEB" w:rsidR="008579DA" w:rsidRPr="00304DB2" w:rsidRDefault="008579DA" w:rsidP="005E03F7">
      <w:pPr>
        <w:pStyle w:val="AmdtsEntries"/>
      </w:pPr>
      <w:r>
        <w:t>s 218</w:t>
      </w:r>
      <w:r>
        <w:tab/>
        <w:t xml:space="preserve">om </w:t>
      </w:r>
      <w:hyperlink r:id="rId474" w:tooltip="Heavy Vehicle National Law and Other Legislation Amendment Act 2016" w:history="1">
        <w:r w:rsidR="00CC0448" w:rsidRPr="005E03F7">
          <w:rPr>
            <w:rStyle w:val="Hyperlink"/>
          </w:rPr>
          <w:t>A2016-65 (Qld)</w:t>
        </w:r>
      </w:hyperlink>
      <w:r>
        <w:t xml:space="preserve"> s 35</w:t>
      </w:r>
    </w:p>
    <w:p w14:paraId="1831DC27" w14:textId="77777777" w:rsidR="008579DA" w:rsidRPr="00304DB2" w:rsidRDefault="008579DA" w:rsidP="008579DA">
      <w:pPr>
        <w:pStyle w:val="AmdtsEntryHd"/>
      </w:pPr>
      <w:r w:rsidRPr="00C203D9">
        <w:rPr>
          <w:rStyle w:val="CharPartText"/>
          <w:rFonts w:ascii="Helvetica" w:hAnsi="Helvetica" w:cs="Helvetica"/>
          <w:iCs/>
          <w:szCs w:val="32"/>
        </w:rPr>
        <w:lastRenderedPageBreak/>
        <w:t>Extended liability</w:t>
      </w:r>
    </w:p>
    <w:p w14:paraId="4BD787FA" w14:textId="11ED21C9" w:rsidR="008579DA" w:rsidRPr="00304DB2" w:rsidRDefault="008579DA" w:rsidP="005E03F7">
      <w:pPr>
        <w:pStyle w:val="AmdtsEntries"/>
      </w:pPr>
      <w:r>
        <w:t>pt 5.3 hdg</w:t>
      </w:r>
      <w:r>
        <w:tab/>
        <w:t xml:space="preserve">om </w:t>
      </w:r>
      <w:hyperlink r:id="rId475" w:tooltip="Heavy Vehicle National Law and Other Legislation Amendment Act 2016" w:history="1">
        <w:r w:rsidR="00CC0448" w:rsidRPr="005E03F7">
          <w:rPr>
            <w:rStyle w:val="Hyperlink"/>
          </w:rPr>
          <w:t>A2016-65 (Qld)</w:t>
        </w:r>
      </w:hyperlink>
      <w:r>
        <w:t xml:space="preserve"> s 35</w:t>
      </w:r>
    </w:p>
    <w:p w14:paraId="26886A6C" w14:textId="77777777" w:rsidR="008579DA" w:rsidRPr="00304DB2" w:rsidRDefault="008579DA" w:rsidP="008579DA">
      <w:pPr>
        <w:pStyle w:val="AmdtsEntryHd"/>
      </w:pPr>
      <w:r w:rsidRPr="007E1F9A">
        <w:t>Liability of employer etc. for speeding offence</w:t>
      </w:r>
    </w:p>
    <w:p w14:paraId="5A677A96" w14:textId="5135CA66" w:rsidR="008579DA" w:rsidRPr="00304DB2" w:rsidRDefault="008579DA" w:rsidP="005E03F7">
      <w:pPr>
        <w:pStyle w:val="AmdtsEntries"/>
      </w:pPr>
      <w:r>
        <w:t>s 219</w:t>
      </w:r>
      <w:r>
        <w:tab/>
        <w:t xml:space="preserve">om </w:t>
      </w:r>
      <w:hyperlink r:id="rId476" w:tooltip="Heavy Vehicle National Law and Other Legislation Amendment Act 2016" w:history="1">
        <w:r w:rsidR="00CC0448" w:rsidRPr="005E03F7">
          <w:rPr>
            <w:rStyle w:val="Hyperlink"/>
          </w:rPr>
          <w:t>A2016-65 (Qld)</w:t>
        </w:r>
      </w:hyperlink>
      <w:r>
        <w:t xml:space="preserve"> s 35</w:t>
      </w:r>
    </w:p>
    <w:p w14:paraId="4ED6C606" w14:textId="77777777" w:rsidR="00121CED" w:rsidRDefault="00C24965" w:rsidP="00816477">
      <w:pPr>
        <w:pStyle w:val="AmdtsEntryHd"/>
        <w:rPr>
          <w:rFonts w:ascii="Helvetica" w:hAnsi="Helvetica" w:cs="Helvetica"/>
          <w:iCs/>
        </w:rPr>
      </w:pPr>
      <w:r>
        <w:rPr>
          <w:rFonts w:ascii="Helvetica" w:hAnsi="Helvetica" w:cs="Helvetica"/>
          <w:iCs/>
        </w:rPr>
        <w:t>Definitions for Ch 6</w:t>
      </w:r>
    </w:p>
    <w:p w14:paraId="2077C5D9" w14:textId="17A2959B" w:rsidR="00C24965" w:rsidRDefault="00C24965" w:rsidP="00C24965">
      <w:pPr>
        <w:pStyle w:val="AmdtsEntries"/>
      </w:pPr>
      <w:r>
        <w:t>s 221</w:t>
      </w:r>
      <w:r>
        <w:tab/>
        <w:t xml:space="preserve">def </w:t>
      </w:r>
      <w:r>
        <w:rPr>
          <w:rStyle w:val="charBoldItals"/>
        </w:rPr>
        <w:t xml:space="preserve">electronic work diary </w:t>
      </w:r>
      <w:r w:rsidR="00D44B3C">
        <w:t>sub</w:t>
      </w:r>
      <w:r>
        <w:t xml:space="preserve"> </w:t>
      </w:r>
      <w:hyperlink r:id="rId477" w:tooltip="Heavy Vehicle National Law Amendment Act 2015" w:history="1">
        <w:r w:rsidR="00BA6441">
          <w:rPr>
            <w:rStyle w:val="charCitHyperlinkAbbrev"/>
          </w:rPr>
          <w:t>A2015-12</w:t>
        </w:r>
      </w:hyperlink>
      <w:r w:rsidR="00BA6441">
        <w:t xml:space="preserve"> (Qld)</w:t>
      </w:r>
      <w:r>
        <w:t xml:space="preserve"> s 20</w:t>
      </w:r>
    </w:p>
    <w:p w14:paraId="2DEDDE5D" w14:textId="53521A06" w:rsidR="00C24965" w:rsidRDefault="00C24965" w:rsidP="00C24965">
      <w:pPr>
        <w:pStyle w:val="AmdtsEntries"/>
      </w:pPr>
      <w:r>
        <w:tab/>
        <w:t xml:space="preserve">def </w:t>
      </w:r>
      <w:r>
        <w:rPr>
          <w:rStyle w:val="charBoldItals"/>
        </w:rPr>
        <w:t xml:space="preserve">electronic work diary label </w:t>
      </w:r>
      <w:r>
        <w:t xml:space="preserve">om </w:t>
      </w:r>
      <w:hyperlink r:id="rId478" w:tooltip="Heavy Vehicle National Law Amendment Act 2015" w:history="1">
        <w:r w:rsidR="00BA6441">
          <w:rPr>
            <w:rStyle w:val="charCitHyperlinkAbbrev"/>
          </w:rPr>
          <w:t>A2015-12</w:t>
        </w:r>
      </w:hyperlink>
      <w:r w:rsidR="00BA6441">
        <w:t xml:space="preserve"> (Qld)</w:t>
      </w:r>
      <w:r w:rsidR="009C6B2D">
        <w:t xml:space="preserve"> </w:t>
      </w:r>
      <w:r>
        <w:t>s 20</w:t>
      </w:r>
    </w:p>
    <w:p w14:paraId="19786908" w14:textId="0FBD334C" w:rsidR="00D44B3C" w:rsidRDefault="00D44B3C" w:rsidP="00D44B3C">
      <w:pPr>
        <w:pStyle w:val="AmdtsEntries"/>
      </w:pPr>
      <w:r>
        <w:tab/>
        <w:t xml:space="preserve">def </w:t>
      </w:r>
      <w:r>
        <w:rPr>
          <w:rStyle w:val="charBoldItals"/>
        </w:rPr>
        <w:t xml:space="preserve">entry </w:t>
      </w:r>
      <w:r>
        <w:t xml:space="preserve">am </w:t>
      </w:r>
      <w:hyperlink r:id="rId479" w:tooltip="Heavy Vehicle National Law Amendment Act 2015" w:history="1">
        <w:r w:rsidR="00BA6441">
          <w:rPr>
            <w:rStyle w:val="charCitHyperlinkAbbrev"/>
          </w:rPr>
          <w:t>A2015-12</w:t>
        </w:r>
      </w:hyperlink>
      <w:r w:rsidR="00BA6441">
        <w:t xml:space="preserve"> (Qld)</w:t>
      </w:r>
      <w:r>
        <w:t xml:space="preserve"> s 20</w:t>
      </w:r>
    </w:p>
    <w:p w14:paraId="3B622A2E" w14:textId="6865994A" w:rsidR="004957FF" w:rsidRPr="004E3500" w:rsidRDefault="004957FF" w:rsidP="005E03F7">
      <w:pPr>
        <w:pStyle w:val="AmdtsEntries"/>
      </w:pPr>
      <w:r>
        <w:tab/>
        <w:t>def</w:t>
      </w:r>
      <w:r w:rsidRPr="004E3500">
        <w:rPr>
          <w:rStyle w:val="charBoldItals"/>
        </w:rPr>
        <w:t xml:space="preserve"> intelligent access </w:t>
      </w:r>
      <w:r>
        <w:rPr>
          <w:rStyle w:val="charBoldItals"/>
        </w:rPr>
        <w:t>program reporting entity</w:t>
      </w:r>
      <w:r>
        <w:t xml:space="preserve"> ins</w:t>
      </w:r>
      <w:r w:rsidR="002427CE">
        <w:br/>
      </w:r>
      <w:hyperlink r:id="rId480" w:tooltip="Heavy Vehicle National Law and Other Legislation Amendment Act 2016" w:history="1">
        <w:r w:rsidR="00CC0448" w:rsidRPr="005E03F7">
          <w:rPr>
            <w:rStyle w:val="Hyperlink"/>
          </w:rPr>
          <w:t>A2016-65 (Qld)</w:t>
        </w:r>
      </w:hyperlink>
      <w:r>
        <w:rPr>
          <w:rStyle w:val="charCitHyperlinkAbbrev"/>
        </w:rPr>
        <w:t xml:space="preserve"> </w:t>
      </w:r>
      <w:r>
        <w:t>s 139</w:t>
      </w:r>
    </w:p>
    <w:p w14:paraId="3FF8EB1F" w14:textId="1CB68BF2" w:rsidR="00AD3709" w:rsidRDefault="00AD3709" w:rsidP="005E03F7">
      <w:pPr>
        <w:pStyle w:val="AmdtsEntries"/>
      </w:pPr>
      <w:r>
        <w:tab/>
        <w:t>def</w:t>
      </w:r>
      <w:r w:rsidRPr="004E3500">
        <w:rPr>
          <w:rStyle w:val="charBoldItals"/>
        </w:rPr>
        <w:t xml:space="preserve"> intelligent access </w:t>
      </w:r>
      <w:r>
        <w:rPr>
          <w:rStyle w:val="charBoldItals"/>
        </w:rPr>
        <w:t>reporting entity</w:t>
      </w:r>
      <w:r>
        <w:t xml:space="preserve"> om </w:t>
      </w:r>
      <w:hyperlink r:id="rId481" w:tooltip="Heavy Vehicle National Law and Other Legislation Amendment Act 2016" w:history="1">
        <w:r w:rsidR="00CC0448" w:rsidRPr="005E03F7">
          <w:rPr>
            <w:rStyle w:val="Hyperlink"/>
          </w:rPr>
          <w:t>A2016-65 (Qld)</w:t>
        </w:r>
      </w:hyperlink>
      <w:r>
        <w:rPr>
          <w:rStyle w:val="charCitHyperlinkAbbrev"/>
        </w:rPr>
        <w:t xml:space="preserve"> </w:t>
      </w:r>
      <w:r>
        <w:t>s 139</w:t>
      </w:r>
    </w:p>
    <w:p w14:paraId="4B60D7E2" w14:textId="22237126" w:rsidR="00B87401" w:rsidRPr="004E3500" w:rsidRDefault="00B87401" w:rsidP="005E03F7">
      <w:pPr>
        <w:pStyle w:val="AmdtsEntries"/>
      </w:pPr>
      <w:r>
        <w:tab/>
        <w:t xml:space="preserve">def </w:t>
      </w:r>
      <w:r w:rsidRPr="00B87401">
        <w:rPr>
          <w:rStyle w:val="charBoldItals"/>
        </w:rPr>
        <w:t>loading manager</w:t>
      </w:r>
      <w:r>
        <w:t xml:space="preserve"> am </w:t>
      </w:r>
      <w:hyperlink r:id="rId482" w:tooltip="Heavy Vehicle National Law and Other Legislation Amendment Act 2016" w:history="1">
        <w:r w:rsidR="00CC0448" w:rsidRPr="005E03F7">
          <w:rPr>
            <w:rStyle w:val="Hyperlink"/>
          </w:rPr>
          <w:t>A2016-65 (Qld)</w:t>
        </w:r>
      </w:hyperlink>
      <w:r>
        <w:t xml:space="preserve"> s 36</w:t>
      </w:r>
    </w:p>
    <w:p w14:paraId="5D46C7DA" w14:textId="44B8750E" w:rsidR="00B87401" w:rsidRPr="004E3500" w:rsidRDefault="00B87401" w:rsidP="005E03F7">
      <w:pPr>
        <w:pStyle w:val="AmdtsEntries"/>
      </w:pPr>
      <w:r>
        <w:tab/>
        <w:t xml:space="preserve">def </w:t>
      </w:r>
      <w:r>
        <w:rPr>
          <w:rStyle w:val="charBoldItals"/>
        </w:rPr>
        <w:t>party in the chain of responsibility</w:t>
      </w:r>
      <w:r>
        <w:t xml:space="preserve"> om </w:t>
      </w:r>
      <w:hyperlink r:id="rId483" w:tooltip="Heavy Vehicle National Law and Other Legislation Amendment Act 2016" w:history="1">
        <w:r w:rsidR="00CC0448" w:rsidRPr="005E03F7">
          <w:rPr>
            <w:rStyle w:val="Hyperlink"/>
          </w:rPr>
          <w:t>A2016-65 (Qld)</w:t>
        </w:r>
      </w:hyperlink>
      <w:r>
        <w:t xml:space="preserve"> s 36</w:t>
      </w:r>
    </w:p>
    <w:p w14:paraId="7F6DCC5C" w14:textId="77777777" w:rsidR="00B87401" w:rsidRPr="00304DB2" w:rsidRDefault="00B87401" w:rsidP="00B87401">
      <w:pPr>
        <w:pStyle w:val="AmdtsEntryHd"/>
      </w:pPr>
      <w:r w:rsidRPr="007E1F9A">
        <w:t>Who is a party in the chain of responsibility</w:t>
      </w:r>
    </w:p>
    <w:p w14:paraId="3245E148" w14:textId="736F610A" w:rsidR="00B87401" w:rsidRPr="00304DB2" w:rsidRDefault="00B87401" w:rsidP="005E03F7">
      <w:pPr>
        <w:pStyle w:val="AmdtsEntries"/>
      </w:pPr>
      <w:r>
        <w:t>s 227</w:t>
      </w:r>
      <w:r>
        <w:tab/>
        <w:t xml:space="preserve">om </w:t>
      </w:r>
      <w:hyperlink r:id="rId484" w:tooltip="Heavy Vehicle National Law and Other Legislation Amendment Act 2016" w:history="1">
        <w:r w:rsidR="00CC0448" w:rsidRPr="005E03F7">
          <w:rPr>
            <w:rStyle w:val="Hyperlink"/>
          </w:rPr>
          <w:t>A2016-65 (Qld)</w:t>
        </w:r>
      </w:hyperlink>
      <w:r>
        <w:t xml:space="preserve"> s 37</w:t>
      </w:r>
    </w:p>
    <w:p w14:paraId="3DE04460" w14:textId="77777777" w:rsidR="00B87401" w:rsidRDefault="004331CA" w:rsidP="003043A3">
      <w:pPr>
        <w:pStyle w:val="AmdtsEntryHd"/>
      </w:pPr>
      <w:r>
        <w:t>Duty to avoid fatigue</w:t>
      </w:r>
    </w:p>
    <w:p w14:paraId="5FABD9B6" w14:textId="12EABD5D" w:rsidR="004331CA" w:rsidRPr="004331CA" w:rsidRDefault="004331CA" w:rsidP="005E03F7">
      <w:pPr>
        <w:pStyle w:val="AmdtsEntries"/>
      </w:pPr>
      <w:r>
        <w:t>pt 6.2 div 2 hdg</w:t>
      </w:r>
      <w:r>
        <w:tab/>
        <w:t xml:space="preserve">am </w:t>
      </w:r>
      <w:hyperlink r:id="rId485" w:tooltip="Heavy Vehicle National Law and Other Legislation Amendment Act 2016" w:history="1">
        <w:r w:rsidR="00CC0448" w:rsidRPr="005E03F7">
          <w:rPr>
            <w:rStyle w:val="Hyperlink"/>
          </w:rPr>
          <w:t>A2016-65 (Qld)</w:t>
        </w:r>
      </w:hyperlink>
      <w:r>
        <w:t xml:space="preserve"> s 38</w:t>
      </w:r>
    </w:p>
    <w:p w14:paraId="5ECBF5DB" w14:textId="77777777" w:rsidR="004331CA" w:rsidRPr="00304DB2" w:rsidRDefault="004331CA" w:rsidP="004331CA">
      <w:pPr>
        <w:pStyle w:val="AmdtsEntryHd"/>
      </w:pPr>
      <w:r w:rsidRPr="007E1F9A">
        <w:t>Duty of party in the chain of responsibility to prevent driver driving while fatigued</w:t>
      </w:r>
    </w:p>
    <w:p w14:paraId="51A3AB20" w14:textId="526F4EA8" w:rsidR="004331CA" w:rsidRPr="00304DB2" w:rsidRDefault="004331CA" w:rsidP="005E03F7">
      <w:pPr>
        <w:pStyle w:val="AmdtsEntries"/>
      </w:pPr>
      <w:r>
        <w:t>s 229</w:t>
      </w:r>
      <w:r>
        <w:tab/>
        <w:t xml:space="preserve">om </w:t>
      </w:r>
      <w:hyperlink r:id="rId486" w:tooltip="Heavy Vehicle National Law and Other Legislation Amendment Act 2016" w:history="1">
        <w:r w:rsidR="00CC0448" w:rsidRPr="005E03F7">
          <w:rPr>
            <w:rStyle w:val="Hyperlink"/>
          </w:rPr>
          <w:t>A2016-65 (Qld)</w:t>
        </w:r>
      </w:hyperlink>
      <w:r>
        <w:t xml:space="preserve"> s 39</w:t>
      </w:r>
    </w:p>
    <w:p w14:paraId="0EE8B8EE" w14:textId="77777777" w:rsidR="00EB1E51" w:rsidRDefault="00EB1E51" w:rsidP="00EB1E51">
      <w:pPr>
        <w:pStyle w:val="AmdtsEntryHd"/>
      </w:pPr>
      <w:r w:rsidRPr="00C203D9">
        <w:rPr>
          <w:rStyle w:val="CharDivText"/>
          <w:rFonts w:ascii="Helvetica" w:hAnsi="Helvetica" w:cs="Helvetica"/>
          <w:iCs/>
          <w:szCs w:val="28"/>
        </w:rPr>
        <w:t>Additional duties of employers, prime contractors and operators</w:t>
      </w:r>
    </w:p>
    <w:p w14:paraId="110B2ED2" w14:textId="132973E0" w:rsidR="00EB1E51" w:rsidRPr="004331CA" w:rsidRDefault="00EB1E51" w:rsidP="005E03F7">
      <w:pPr>
        <w:pStyle w:val="AmdtsEntries"/>
      </w:pPr>
      <w:r>
        <w:t>pt 6.2 div 3 hdg</w:t>
      </w:r>
      <w:r>
        <w:tab/>
        <w:t xml:space="preserve">om </w:t>
      </w:r>
      <w:hyperlink r:id="rId487" w:tooltip="Heavy Vehicle National Law and Other Legislation Amendment Act 2016" w:history="1">
        <w:r w:rsidR="00CC0448" w:rsidRPr="005E03F7">
          <w:rPr>
            <w:rStyle w:val="Hyperlink"/>
          </w:rPr>
          <w:t>A2016-65 (Qld)</w:t>
        </w:r>
      </w:hyperlink>
      <w:r>
        <w:t xml:space="preserve"> s 40</w:t>
      </w:r>
    </w:p>
    <w:p w14:paraId="750FF624" w14:textId="77777777" w:rsidR="00EB1E51" w:rsidRDefault="00EB1E51" w:rsidP="00EB1E51">
      <w:pPr>
        <w:pStyle w:val="AmdtsEntryHd"/>
      </w:pPr>
      <w:r w:rsidRPr="007E1F9A">
        <w:t>Duty of employer, prime contractor or operator to ensure business practices will not cause driver to drive while fatigued etc.</w:t>
      </w:r>
    </w:p>
    <w:p w14:paraId="0062CAB4" w14:textId="384F20FB" w:rsidR="00EB1E51" w:rsidRPr="004331CA" w:rsidRDefault="00EB1E51" w:rsidP="005E03F7">
      <w:pPr>
        <w:pStyle w:val="AmdtsEntries"/>
      </w:pPr>
      <w:r>
        <w:t>s 230</w:t>
      </w:r>
      <w:r>
        <w:tab/>
        <w:t xml:space="preserve">om </w:t>
      </w:r>
      <w:hyperlink r:id="rId488" w:tooltip="Heavy Vehicle National Law and Other Legislation Amendment Act 2016" w:history="1">
        <w:r w:rsidR="003155B7" w:rsidRPr="005E03F7">
          <w:rPr>
            <w:rStyle w:val="Hyperlink"/>
          </w:rPr>
          <w:t>A2016-65 (Qld)</w:t>
        </w:r>
      </w:hyperlink>
      <w:r>
        <w:t xml:space="preserve"> s 40</w:t>
      </w:r>
    </w:p>
    <w:p w14:paraId="6907062C" w14:textId="77777777" w:rsidR="00AF2297" w:rsidRDefault="00AF2297" w:rsidP="00AF2297">
      <w:pPr>
        <w:pStyle w:val="AmdtsEntryHd"/>
      </w:pPr>
      <w:r w:rsidRPr="007E1F9A">
        <w:t>Duty of employer not to cause driver to drive if particular requirements not complied with</w:t>
      </w:r>
    </w:p>
    <w:p w14:paraId="4D84BB53" w14:textId="4EB11766" w:rsidR="00AF2297" w:rsidRPr="004331CA" w:rsidRDefault="00AF2297" w:rsidP="005E03F7">
      <w:pPr>
        <w:pStyle w:val="AmdtsEntries"/>
      </w:pPr>
      <w:r>
        <w:t>s 231</w:t>
      </w:r>
      <w:r>
        <w:tab/>
        <w:t xml:space="preserve">om </w:t>
      </w:r>
      <w:hyperlink r:id="rId489" w:tooltip="Heavy Vehicle National Law and Other Legislation Amendment Act 2016" w:history="1">
        <w:r w:rsidR="003155B7" w:rsidRPr="005E03F7">
          <w:rPr>
            <w:rStyle w:val="Hyperlink"/>
          </w:rPr>
          <w:t>A2016-65 (Qld)</w:t>
        </w:r>
      </w:hyperlink>
      <w:r>
        <w:t xml:space="preserve"> s 40</w:t>
      </w:r>
    </w:p>
    <w:p w14:paraId="7813323F" w14:textId="77777777" w:rsidR="00AF2297" w:rsidRDefault="00AF2297" w:rsidP="00AF2297">
      <w:pPr>
        <w:pStyle w:val="AmdtsEntryHd"/>
      </w:pPr>
      <w:r w:rsidRPr="007E1F9A">
        <w:t>Duty of prime contractor or operator not to cause driver to drive if particular requirements not complied with</w:t>
      </w:r>
    </w:p>
    <w:p w14:paraId="137B8596" w14:textId="7ADB7234" w:rsidR="00AF2297" w:rsidRPr="004331CA" w:rsidRDefault="00AF2297" w:rsidP="005E03F7">
      <w:pPr>
        <w:pStyle w:val="AmdtsEntries"/>
      </w:pPr>
      <w:r>
        <w:t>s 232</w:t>
      </w:r>
      <w:r>
        <w:tab/>
        <w:t xml:space="preserve">om </w:t>
      </w:r>
      <w:hyperlink r:id="rId490" w:tooltip="Heavy Vehicle National Law and Other Legislation Amendment Act 2016" w:history="1">
        <w:r w:rsidR="003155B7" w:rsidRPr="005E03F7">
          <w:rPr>
            <w:rStyle w:val="Hyperlink"/>
          </w:rPr>
          <w:t>A2016-65 (Qld)</w:t>
        </w:r>
      </w:hyperlink>
      <w:r>
        <w:t xml:space="preserve"> s 40</w:t>
      </w:r>
    </w:p>
    <w:p w14:paraId="04C09826" w14:textId="77777777" w:rsidR="00AF2297" w:rsidRDefault="00AF2297" w:rsidP="00AF2297">
      <w:pPr>
        <w:pStyle w:val="AmdtsEntryHd"/>
      </w:pPr>
      <w:r w:rsidRPr="00C203D9">
        <w:rPr>
          <w:rStyle w:val="CharDivText"/>
          <w:rFonts w:ascii="Helvetica" w:hAnsi="Helvetica" w:cs="Helvetica"/>
          <w:iCs/>
          <w:szCs w:val="28"/>
        </w:rPr>
        <w:t>Additional duties of schedulers</w:t>
      </w:r>
    </w:p>
    <w:p w14:paraId="6B99964F" w14:textId="4FB9200A" w:rsidR="00AF2297" w:rsidRPr="004331CA" w:rsidRDefault="00AF2297" w:rsidP="005E03F7">
      <w:pPr>
        <w:pStyle w:val="AmdtsEntries"/>
      </w:pPr>
      <w:r>
        <w:t>pt 6.2 div 4 hdg</w:t>
      </w:r>
      <w:r>
        <w:tab/>
        <w:t xml:space="preserve">om </w:t>
      </w:r>
      <w:hyperlink r:id="rId491" w:tooltip="Heavy Vehicle National Law and Other Legislation Amendment Act 2016" w:history="1">
        <w:r w:rsidR="003155B7" w:rsidRPr="005E03F7">
          <w:rPr>
            <w:rStyle w:val="Hyperlink"/>
          </w:rPr>
          <w:t>A2016-65 (Qld)</w:t>
        </w:r>
      </w:hyperlink>
      <w:r>
        <w:t xml:space="preserve"> s 40</w:t>
      </w:r>
    </w:p>
    <w:p w14:paraId="7E2850DA" w14:textId="77777777" w:rsidR="003043A3" w:rsidRDefault="003043A3" w:rsidP="003043A3">
      <w:pPr>
        <w:pStyle w:val="AmdtsEntryHd"/>
        <w:rPr>
          <w:rFonts w:ascii="Helvetica" w:hAnsi="Helvetica" w:cs="Helvetica"/>
          <w:iCs/>
        </w:rPr>
      </w:pPr>
      <w:r w:rsidRPr="007E1F9A">
        <w:t>Duty to ensure driver’s schedule will not cause driver to drive while fatigued etc.</w:t>
      </w:r>
    </w:p>
    <w:p w14:paraId="6BB2BAA5" w14:textId="0C0EEFE2" w:rsidR="003043A3" w:rsidRDefault="003043A3" w:rsidP="003043A3">
      <w:pPr>
        <w:pStyle w:val="AmdtsEntries"/>
      </w:pPr>
      <w:r>
        <w:t>s 233</w:t>
      </w:r>
      <w:r>
        <w:tab/>
        <w:t xml:space="preserve">am </w:t>
      </w:r>
      <w:hyperlink r:id="rId492" w:tooltip="Heavy Vehicle National Law Amendment Act 2015" w:history="1">
        <w:r w:rsidR="00BA6441">
          <w:rPr>
            <w:rStyle w:val="charCitHyperlinkAbbrev"/>
          </w:rPr>
          <w:t>A2015-12</w:t>
        </w:r>
      </w:hyperlink>
      <w:r w:rsidR="00BA6441">
        <w:t xml:space="preserve"> (Qld)</w:t>
      </w:r>
      <w:r>
        <w:t xml:space="preserve"> s 67</w:t>
      </w:r>
    </w:p>
    <w:p w14:paraId="42AF4B18" w14:textId="3415792F" w:rsidR="00AF2297" w:rsidRPr="004331CA" w:rsidRDefault="00AF2297" w:rsidP="005E03F7">
      <w:pPr>
        <w:pStyle w:val="AmdtsEntries"/>
      </w:pPr>
      <w:r>
        <w:tab/>
        <w:t xml:space="preserve">om </w:t>
      </w:r>
      <w:hyperlink r:id="rId493" w:tooltip="Heavy Vehicle National Law and Other Legislation Amendment Act 2016" w:history="1">
        <w:r w:rsidR="003155B7" w:rsidRPr="005E03F7">
          <w:rPr>
            <w:rStyle w:val="Hyperlink"/>
          </w:rPr>
          <w:t>A2016-65 (Qld)</w:t>
        </w:r>
      </w:hyperlink>
      <w:r>
        <w:t xml:space="preserve"> s 40</w:t>
      </w:r>
    </w:p>
    <w:p w14:paraId="59E0BAFF" w14:textId="77777777" w:rsidR="002A571F" w:rsidRDefault="002A571F" w:rsidP="002A571F">
      <w:pPr>
        <w:pStyle w:val="AmdtsEntryHd"/>
      </w:pPr>
      <w:r w:rsidRPr="007E1F9A">
        <w:lastRenderedPageBreak/>
        <w:t>Duty not to cause driver to drive if particular requirements not complied with</w:t>
      </w:r>
    </w:p>
    <w:p w14:paraId="1D72BC54" w14:textId="36D6CFE0" w:rsidR="002A571F" w:rsidRPr="004331CA" w:rsidRDefault="002A571F" w:rsidP="005E03F7">
      <w:pPr>
        <w:pStyle w:val="AmdtsEntries"/>
      </w:pPr>
      <w:r>
        <w:t>s 234</w:t>
      </w:r>
      <w:r>
        <w:tab/>
        <w:t xml:space="preserve">om </w:t>
      </w:r>
      <w:hyperlink r:id="rId494" w:tooltip="Heavy Vehicle National Law and Other Legislation Amendment Act 2016" w:history="1">
        <w:r w:rsidR="003155B7" w:rsidRPr="005E03F7">
          <w:rPr>
            <w:rStyle w:val="Hyperlink"/>
          </w:rPr>
          <w:t>A2016-65 (Qld)</w:t>
        </w:r>
      </w:hyperlink>
      <w:r>
        <w:t xml:space="preserve"> s 40</w:t>
      </w:r>
    </w:p>
    <w:p w14:paraId="55AFA760" w14:textId="77777777" w:rsidR="002A571F" w:rsidRDefault="002A571F" w:rsidP="002A571F">
      <w:pPr>
        <w:pStyle w:val="AmdtsEntryHd"/>
      </w:pPr>
      <w:r w:rsidRPr="00C203D9">
        <w:rPr>
          <w:rStyle w:val="CharDivText"/>
          <w:rFonts w:ascii="Helvetica" w:hAnsi="Helvetica" w:cs="Helvetica"/>
          <w:iCs/>
          <w:szCs w:val="28"/>
        </w:rPr>
        <w:t>Additional duties of consignors and consignees</w:t>
      </w:r>
    </w:p>
    <w:p w14:paraId="4EB4E4F1" w14:textId="69F18902" w:rsidR="002A571F" w:rsidRPr="004331CA" w:rsidRDefault="002A571F" w:rsidP="005E03F7">
      <w:pPr>
        <w:pStyle w:val="AmdtsEntries"/>
      </w:pPr>
      <w:r>
        <w:t>pt 6.2 div 5 hdg</w:t>
      </w:r>
      <w:r>
        <w:tab/>
        <w:t xml:space="preserve">om </w:t>
      </w:r>
      <w:hyperlink r:id="rId495" w:tooltip="Heavy Vehicle National Law and Other Legislation Amendment Act 2016" w:history="1">
        <w:r w:rsidR="003155B7" w:rsidRPr="005E03F7">
          <w:rPr>
            <w:rStyle w:val="Hyperlink"/>
          </w:rPr>
          <w:t>A2016-65 (Qld)</w:t>
        </w:r>
      </w:hyperlink>
      <w:r>
        <w:t xml:space="preserve"> s 40</w:t>
      </w:r>
    </w:p>
    <w:p w14:paraId="0CBFCDF1" w14:textId="77777777" w:rsidR="002A571F" w:rsidRDefault="002A571F" w:rsidP="002A571F">
      <w:pPr>
        <w:pStyle w:val="AmdtsEntryHd"/>
      </w:pPr>
      <w:r w:rsidRPr="007E1F9A">
        <w:t>Duty to ensure terms of consignment will not cause driver to drive while fatigued etc.</w:t>
      </w:r>
    </w:p>
    <w:p w14:paraId="354C489B" w14:textId="7221FA40" w:rsidR="002A571F" w:rsidRPr="004331CA" w:rsidRDefault="002A571F" w:rsidP="005E03F7">
      <w:pPr>
        <w:pStyle w:val="AmdtsEntries"/>
      </w:pPr>
      <w:r>
        <w:t>s 235</w:t>
      </w:r>
      <w:r>
        <w:tab/>
        <w:t xml:space="preserve">om </w:t>
      </w:r>
      <w:hyperlink r:id="rId496" w:tooltip="Heavy Vehicle National Law and Other Legislation Amendment Act 2016" w:history="1">
        <w:r w:rsidR="003155B7" w:rsidRPr="005E03F7">
          <w:rPr>
            <w:rStyle w:val="Hyperlink"/>
          </w:rPr>
          <w:t>A2016-65 (Qld)</w:t>
        </w:r>
      </w:hyperlink>
      <w:r>
        <w:t xml:space="preserve"> s 40</w:t>
      </w:r>
    </w:p>
    <w:p w14:paraId="4A8A22AC" w14:textId="77777777" w:rsidR="002A571F" w:rsidRDefault="002A571F" w:rsidP="002A571F">
      <w:pPr>
        <w:pStyle w:val="AmdtsEntryHd"/>
      </w:pPr>
      <w:r w:rsidRPr="007E1F9A">
        <w:t>Duty not to cause driver to drive if particular requirements not complied with</w:t>
      </w:r>
    </w:p>
    <w:p w14:paraId="3060FB73" w14:textId="1C8A5201" w:rsidR="002A571F" w:rsidRPr="004331CA" w:rsidRDefault="002A571F" w:rsidP="005E03F7">
      <w:pPr>
        <w:pStyle w:val="AmdtsEntries"/>
      </w:pPr>
      <w:r>
        <w:t>s 236</w:t>
      </w:r>
      <w:r>
        <w:tab/>
        <w:t xml:space="preserve">om </w:t>
      </w:r>
      <w:hyperlink r:id="rId497" w:tooltip="Heavy Vehicle National Law and Other Legislation Amendment Act 2016" w:history="1">
        <w:r w:rsidR="003155B7" w:rsidRPr="005E03F7">
          <w:rPr>
            <w:rStyle w:val="Hyperlink"/>
          </w:rPr>
          <w:t>A2016-65 (Qld)</w:t>
        </w:r>
      </w:hyperlink>
      <w:r>
        <w:t xml:space="preserve"> s 40</w:t>
      </w:r>
    </w:p>
    <w:p w14:paraId="139B31E3" w14:textId="77777777" w:rsidR="002A571F" w:rsidRDefault="002A571F" w:rsidP="002A571F">
      <w:pPr>
        <w:pStyle w:val="AmdtsEntryHd"/>
      </w:pPr>
      <w:r w:rsidRPr="007E1F9A">
        <w:t>Duty not to make a demand that may result in driver driving while fatigued etc.</w:t>
      </w:r>
    </w:p>
    <w:p w14:paraId="43D59367" w14:textId="0178A172" w:rsidR="002A571F" w:rsidRPr="004331CA" w:rsidRDefault="002A571F" w:rsidP="005E03F7">
      <w:pPr>
        <w:pStyle w:val="AmdtsEntries"/>
      </w:pPr>
      <w:r>
        <w:t>s 237</w:t>
      </w:r>
      <w:r>
        <w:tab/>
        <w:t xml:space="preserve">om </w:t>
      </w:r>
      <w:hyperlink r:id="rId498" w:tooltip="Heavy Vehicle National Law and Other Legislation Amendment Act 2016" w:history="1">
        <w:r w:rsidR="003155B7" w:rsidRPr="005E03F7">
          <w:rPr>
            <w:rStyle w:val="Hyperlink"/>
          </w:rPr>
          <w:t>A2016-65 (Qld)</w:t>
        </w:r>
      </w:hyperlink>
      <w:r>
        <w:t xml:space="preserve"> s 40</w:t>
      </w:r>
    </w:p>
    <w:p w14:paraId="7384AA43" w14:textId="77777777" w:rsidR="002A571F" w:rsidRDefault="002A571F" w:rsidP="002A571F">
      <w:pPr>
        <w:pStyle w:val="AmdtsEntryHd"/>
      </w:pPr>
      <w:r w:rsidRPr="00C203D9">
        <w:rPr>
          <w:rStyle w:val="CharDivText"/>
          <w:rFonts w:ascii="Helvetica" w:hAnsi="Helvetica" w:cs="Helvetica"/>
          <w:iCs/>
          <w:szCs w:val="28"/>
        </w:rPr>
        <w:t>Additional duties of loading managers</w:t>
      </w:r>
    </w:p>
    <w:p w14:paraId="4384AFFF" w14:textId="0BD644EB" w:rsidR="002A571F" w:rsidRPr="004331CA" w:rsidRDefault="002A571F" w:rsidP="005E03F7">
      <w:pPr>
        <w:pStyle w:val="AmdtsEntries"/>
      </w:pPr>
      <w:r>
        <w:t>pt 6.2 div 6 hdg</w:t>
      </w:r>
      <w:r>
        <w:tab/>
        <w:t xml:space="preserve">om </w:t>
      </w:r>
      <w:hyperlink r:id="rId499" w:tooltip="Heavy Vehicle National Law and Other Legislation Amendment Act 2016" w:history="1">
        <w:r w:rsidR="003155B7" w:rsidRPr="005E03F7">
          <w:rPr>
            <w:rStyle w:val="Hyperlink"/>
          </w:rPr>
          <w:t>A2016-65 (Qld)</w:t>
        </w:r>
      </w:hyperlink>
      <w:r>
        <w:t xml:space="preserve"> s 40</w:t>
      </w:r>
    </w:p>
    <w:p w14:paraId="54609397" w14:textId="77777777" w:rsidR="002A571F" w:rsidRDefault="002A571F" w:rsidP="002A571F">
      <w:pPr>
        <w:pStyle w:val="AmdtsEntryHd"/>
      </w:pPr>
      <w:r w:rsidRPr="007E1F9A">
        <w:t>Duty to ensure loading arrangements will not cause driver to drive while fatigued etc.</w:t>
      </w:r>
    </w:p>
    <w:p w14:paraId="180AEC69" w14:textId="361EAF2F" w:rsidR="002A571F" w:rsidRPr="004331CA" w:rsidRDefault="002A571F" w:rsidP="005E03F7">
      <w:pPr>
        <w:pStyle w:val="AmdtsEntries"/>
      </w:pPr>
      <w:r>
        <w:t>s 238</w:t>
      </w:r>
      <w:r>
        <w:tab/>
        <w:t xml:space="preserve">om </w:t>
      </w:r>
      <w:hyperlink r:id="rId500" w:tooltip="Heavy Vehicle National Law and Other Legislation Amendment Act 2016" w:history="1">
        <w:r w:rsidR="003155B7" w:rsidRPr="005E03F7">
          <w:rPr>
            <w:rStyle w:val="Hyperlink"/>
          </w:rPr>
          <w:t>A2016-65 (Qld)</w:t>
        </w:r>
      </w:hyperlink>
      <w:r>
        <w:t xml:space="preserve"> s 40</w:t>
      </w:r>
    </w:p>
    <w:p w14:paraId="761C48D7" w14:textId="77777777" w:rsidR="002A571F" w:rsidRDefault="002A571F" w:rsidP="002A571F">
      <w:pPr>
        <w:pStyle w:val="AmdtsEntryHd"/>
      </w:pPr>
      <w:r w:rsidRPr="007E1F9A">
        <w:t>Duty to ensure drivers can rest in particular circumstances</w:t>
      </w:r>
    </w:p>
    <w:p w14:paraId="362351FF" w14:textId="52336BD0" w:rsidR="002A571F" w:rsidRPr="004331CA" w:rsidRDefault="002A571F" w:rsidP="005E03F7">
      <w:pPr>
        <w:pStyle w:val="AmdtsEntries"/>
      </w:pPr>
      <w:r>
        <w:t>s 239</w:t>
      </w:r>
      <w:r>
        <w:tab/>
        <w:t xml:space="preserve">om </w:t>
      </w:r>
      <w:hyperlink r:id="rId501" w:tooltip="Heavy Vehicle National Law and Other Legislation Amendment Act 2016" w:history="1">
        <w:r w:rsidR="003155B7" w:rsidRPr="005E03F7">
          <w:rPr>
            <w:rStyle w:val="Hyperlink"/>
          </w:rPr>
          <w:t>A2016-65 (Qld)</w:t>
        </w:r>
      </w:hyperlink>
      <w:r>
        <w:t xml:space="preserve"> s 40</w:t>
      </w:r>
    </w:p>
    <w:p w14:paraId="040D8114" w14:textId="77777777" w:rsidR="00796CD8" w:rsidRDefault="00796CD8" w:rsidP="00796CD8">
      <w:pPr>
        <w:pStyle w:val="AmdtsEntryHd"/>
      </w:pPr>
      <w:r w:rsidRPr="00C203D9">
        <w:rPr>
          <w:rStyle w:val="CharDivText"/>
          <w:rFonts w:ascii="Helvetica" w:hAnsi="Helvetica" w:cs="Helvetica"/>
          <w:iCs/>
          <w:szCs w:val="28"/>
        </w:rPr>
        <w:t>Particular requests etc. and contracts etc. prohibited</w:t>
      </w:r>
    </w:p>
    <w:p w14:paraId="151D7CCA" w14:textId="19BBE288" w:rsidR="00796CD8" w:rsidRPr="004331CA" w:rsidRDefault="00796CD8" w:rsidP="005E03F7">
      <w:pPr>
        <w:pStyle w:val="AmdtsEntries"/>
      </w:pPr>
      <w:r>
        <w:t>pt 6.2 div 7 hdg</w:t>
      </w:r>
      <w:r>
        <w:tab/>
        <w:t xml:space="preserve">om </w:t>
      </w:r>
      <w:hyperlink r:id="rId502" w:tooltip="Heavy Vehicle National Law and Other Legislation Amendment Act 2016" w:history="1">
        <w:r w:rsidR="003155B7" w:rsidRPr="005E03F7">
          <w:rPr>
            <w:rStyle w:val="Hyperlink"/>
          </w:rPr>
          <w:t>A2016-65 (Qld)</w:t>
        </w:r>
      </w:hyperlink>
      <w:r>
        <w:t xml:space="preserve"> s 40</w:t>
      </w:r>
    </w:p>
    <w:p w14:paraId="2748FE6B" w14:textId="77777777" w:rsidR="00796CD8" w:rsidRDefault="00796CD8" w:rsidP="00796CD8">
      <w:pPr>
        <w:pStyle w:val="AmdtsEntryHd"/>
      </w:pPr>
      <w:r w:rsidRPr="007E1F9A">
        <w:t>Particular requests etc. prohibited</w:t>
      </w:r>
    </w:p>
    <w:p w14:paraId="365508B7" w14:textId="57EE3852" w:rsidR="00796CD8" w:rsidRPr="004331CA" w:rsidRDefault="00796CD8" w:rsidP="005E03F7">
      <w:pPr>
        <w:pStyle w:val="AmdtsEntries"/>
      </w:pPr>
      <w:r>
        <w:t>s 240</w:t>
      </w:r>
      <w:r>
        <w:tab/>
        <w:t xml:space="preserve">om </w:t>
      </w:r>
      <w:hyperlink r:id="rId503" w:tooltip="Heavy Vehicle National Law and Other Legislation Amendment Act 2016" w:history="1">
        <w:r w:rsidR="003155B7" w:rsidRPr="005E03F7">
          <w:rPr>
            <w:rStyle w:val="Hyperlink"/>
          </w:rPr>
          <w:t>A2016-65 (Qld)</w:t>
        </w:r>
      </w:hyperlink>
      <w:r>
        <w:t xml:space="preserve"> s 40</w:t>
      </w:r>
    </w:p>
    <w:p w14:paraId="773C3702" w14:textId="77777777" w:rsidR="00796CD8" w:rsidRDefault="00796CD8" w:rsidP="00796CD8">
      <w:pPr>
        <w:pStyle w:val="AmdtsEntryHd"/>
      </w:pPr>
      <w:r w:rsidRPr="007E1F9A">
        <w:t>Particular contracts etc. prohibited</w:t>
      </w:r>
    </w:p>
    <w:p w14:paraId="5C174275" w14:textId="68F3957A" w:rsidR="00796CD8" w:rsidRPr="004331CA" w:rsidRDefault="00796CD8" w:rsidP="005E03F7">
      <w:pPr>
        <w:pStyle w:val="AmdtsEntries"/>
      </w:pPr>
      <w:r>
        <w:t>s 241</w:t>
      </w:r>
      <w:r>
        <w:tab/>
        <w:t xml:space="preserve">om </w:t>
      </w:r>
      <w:hyperlink r:id="rId504" w:tooltip="Heavy Vehicle National Law and Other Legislation Amendment Act 2016" w:history="1">
        <w:r w:rsidR="003155B7" w:rsidRPr="005E03F7">
          <w:rPr>
            <w:rStyle w:val="Hyperlink"/>
          </w:rPr>
          <w:t>A2016-65 (Qld)</w:t>
        </w:r>
      </w:hyperlink>
      <w:r>
        <w:t xml:space="preserve"> s 40</w:t>
      </w:r>
    </w:p>
    <w:p w14:paraId="035D70BA" w14:textId="77777777" w:rsidR="00796CD8" w:rsidRDefault="00796CD8" w:rsidP="00796CD8">
      <w:pPr>
        <w:pStyle w:val="AmdtsEntryHd"/>
      </w:pPr>
      <w:r w:rsidRPr="00C203D9">
        <w:rPr>
          <w:rStyle w:val="CharDivText"/>
          <w:rFonts w:ascii="Helvetica" w:hAnsi="Helvetica" w:cs="Helvetica"/>
          <w:iCs/>
          <w:szCs w:val="28"/>
        </w:rPr>
        <w:t>Provisions about offences against this Part</w:t>
      </w:r>
    </w:p>
    <w:p w14:paraId="32BA4A77" w14:textId="63BA548A" w:rsidR="00796CD8" w:rsidRPr="004331CA" w:rsidRDefault="00796CD8" w:rsidP="005E03F7">
      <w:pPr>
        <w:pStyle w:val="AmdtsEntries"/>
      </w:pPr>
      <w:r>
        <w:t>pt 6.2 div 8 hdg</w:t>
      </w:r>
      <w:r>
        <w:tab/>
        <w:t xml:space="preserve">om </w:t>
      </w:r>
      <w:hyperlink r:id="rId505" w:tooltip="Heavy Vehicle National Law and Other Legislation Amendment Act 2016" w:history="1">
        <w:r w:rsidR="003155B7" w:rsidRPr="005E03F7">
          <w:rPr>
            <w:rStyle w:val="Hyperlink"/>
          </w:rPr>
          <w:t>A2016-65 (Qld)</w:t>
        </w:r>
      </w:hyperlink>
      <w:r>
        <w:t xml:space="preserve"> s 40</w:t>
      </w:r>
    </w:p>
    <w:p w14:paraId="2FC7883B" w14:textId="77777777" w:rsidR="00796CD8" w:rsidRDefault="00796CD8" w:rsidP="00796CD8">
      <w:pPr>
        <w:pStyle w:val="AmdtsEntryHd"/>
      </w:pPr>
      <w:r w:rsidRPr="007E1F9A">
        <w:t>Objective reasonableness test to be used in deciding causation</w:t>
      </w:r>
    </w:p>
    <w:p w14:paraId="14C20079" w14:textId="7E4A2F8F" w:rsidR="00796CD8" w:rsidRPr="004331CA" w:rsidRDefault="00796CD8" w:rsidP="005E03F7">
      <w:pPr>
        <w:pStyle w:val="AmdtsEntries"/>
      </w:pPr>
      <w:r>
        <w:t>s 242</w:t>
      </w:r>
      <w:r>
        <w:tab/>
        <w:t xml:space="preserve">om </w:t>
      </w:r>
      <w:hyperlink r:id="rId506" w:tooltip="Heavy Vehicle National Law and Other Legislation Amendment Act 2016" w:history="1">
        <w:r w:rsidR="003155B7" w:rsidRPr="005E03F7">
          <w:rPr>
            <w:rStyle w:val="Hyperlink"/>
          </w:rPr>
          <w:t>A2016-65 (Qld)</w:t>
        </w:r>
      </w:hyperlink>
      <w:r>
        <w:t xml:space="preserve"> s 40</w:t>
      </w:r>
    </w:p>
    <w:p w14:paraId="7198EEE8" w14:textId="77777777" w:rsidR="00AD0A9B" w:rsidRPr="004B4F2A" w:rsidRDefault="00AD0A9B" w:rsidP="00AD0A9B">
      <w:pPr>
        <w:pStyle w:val="AmdtsEntryHd"/>
      </w:pPr>
      <w:r>
        <w:t>Counting periods of less than 15 minutes</w:t>
      </w:r>
      <w:r>
        <w:noBreakHyphen/>
        <w:t>written work diaries</w:t>
      </w:r>
    </w:p>
    <w:p w14:paraId="13122907" w14:textId="7F0F83B2" w:rsidR="00AD0A9B" w:rsidRPr="00A13B61" w:rsidRDefault="00AD0A9B" w:rsidP="00AD0A9B">
      <w:pPr>
        <w:pStyle w:val="AmdtsEntries"/>
      </w:pPr>
      <w:r>
        <w:t>s 246 hdg</w:t>
      </w:r>
      <w:r>
        <w:tab/>
        <w:t xml:space="preserve">am </w:t>
      </w:r>
      <w:hyperlink r:id="rId507" w:tooltip="Heavy Vehicle National Law Amendment Act 2015" w:history="1">
        <w:r w:rsidR="00BA6441">
          <w:rPr>
            <w:rStyle w:val="charCitHyperlinkAbbrev"/>
          </w:rPr>
          <w:t>A2015-12</w:t>
        </w:r>
      </w:hyperlink>
      <w:r w:rsidR="00BA6441">
        <w:t xml:space="preserve"> (Qld)</w:t>
      </w:r>
      <w:r>
        <w:t xml:space="preserve"> s 21</w:t>
      </w:r>
    </w:p>
    <w:p w14:paraId="3ABCB701" w14:textId="113C4285" w:rsidR="00AD0A9B" w:rsidRPr="00A13B61" w:rsidRDefault="00AD0A9B" w:rsidP="00AD0A9B">
      <w:pPr>
        <w:pStyle w:val="AmdtsEntries"/>
      </w:pPr>
      <w:r>
        <w:t>s 246</w:t>
      </w:r>
      <w:r>
        <w:tab/>
        <w:t xml:space="preserve">am </w:t>
      </w:r>
      <w:hyperlink r:id="rId508" w:tooltip="Heavy Vehicle National Law Amendment Act 2015" w:history="1">
        <w:r w:rsidR="00BA6441">
          <w:rPr>
            <w:rStyle w:val="charCitHyperlinkAbbrev"/>
          </w:rPr>
          <w:t>A2015-12</w:t>
        </w:r>
      </w:hyperlink>
      <w:r w:rsidR="00BA6441">
        <w:t xml:space="preserve"> (Qld)</w:t>
      </w:r>
      <w:r>
        <w:t xml:space="preserve"> s 21</w:t>
      </w:r>
    </w:p>
    <w:p w14:paraId="74C56372" w14:textId="77777777" w:rsidR="00834C30" w:rsidRPr="004B4F2A" w:rsidRDefault="00834C30" w:rsidP="00834C30">
      <w:pPr>
        <w:pStyle w:val="AmdtsEntryHd"/>
      </w:pPr>
      <w:r>
        <w:t>Counting periods of less than 15 minutes</w:t>
      </w:r>
      <w:r>
        <w:noBreakHyphen/>
        <w:t>electronic work diaries</w:t>
      </w:r>
    </w:p>
    <w:p w14:paraId="5385148F" w14:textId="4FD0AFB9" w:rsidR="00834C30" w:rsidRPr="00A13B61" w:rsidRDefault="00834C30" w:rsidP="00834C30">
      <w:pPr>
        <w:pStyle w:val="AmdtsEntries"/>
      </w:pPr>
      <w:r>
        <w:t>s 246A</w:t>
      </w:r>
      <w:r>
        <w:tab/>
        <w:t xml:space="preserve">ins </w:t>
      </w:r>
      <w:hyperlink r:id="rId509" w:tooltip="Heavy Vehicle National Law Amendment Act 2015" w:history="1">
        <w:r w:rsidR="00BA6441">
          <w:rPr>
            <w:rStyle w:val="charCitHyperlinkAbbrev"/>
          </w:rPr>
          <w:t>A2015-12</w:t>
        </w:r>
      </w:hyperlink>
      <w:r w:rsidR="00BA6441">
        <w:t xml:space="preserve"> (Qld)</w:t>
      </w:r>
      <w:r>
        <w:t xml:space="preserve"> s 22</w:t>
      </w:r>
    </w:p>
    <w:p w14:paraId="33728D70" w14:textId="77777777" w:rsidR="0091007F" w:rsidRPr="004B4F2A" w:rsidRDefault="0091007F" w:rsidP="0091007F">
      <w:pPr>
        <w:pStyle w:val="AmdtsEntryHd"/>
      </w:pPr>
      <w:r>
        <w:t>Standard hours</w:t>
      </w:r>
    </w:p>
    <w:p w14:paraId="4CA8D336" w14:textId="13F22A05" w:rsidR="0091007F" w:rsidRPr="00A13B61" w:rsidRDefault="0091007F" w:rsidP="0091007F">
      <w:pPr>
        <w:pStyle w:val="AmdtsEntries"/>
      </w:pPr>
      <w:r>
        <w:t>s 249</w:t>
      </w:r>
      <w:r>
        <w:tab/>
        <w:t xml:space="preserve">am </w:t>
      </w:r>
      <w:hyperlink r:id="rId510" w:tooltip="Heavy Vehicle National Law Amendment Act 2015" w:history="1">
        <w:r w:rsidR="00BA6441">
          <w:rPr>
            <w:rStyle w:val="charCitHyperlinkAbbrev"/>
          </w:rPr>
          <w:t>A2015-12</w:t>
        </w:r>
      </w:hyperlink>
      <w:r w:rsidR="00BA6441">
        <w:t xml:space="preserve"> (Qld)</w:t>
      </w:r>
      <w:r>
        <w:t xml:space="preserve"> s 23</w:t>
      </w:r>
    </w:p>
    <w:p w14:paraId="03BB8A13" w14:textId="77777777" w:rsidR="00732DAA" w:rsidRDefault="00631F72" w:rsidP="0091007F">
      <w:pPr>
        <w:pStyle w:val="AmdtsEntryHd"/>
      </w:pPr>
      <w:r w:rsidRPr="007E1F9A">
        <w:t>Operating under standard hours—solo drivers</w:t>
      </w:r>
    </w:p>
    <w:p w14:paraId="4CACAB02" w14:textId="4C42C52D" w:rsidR="00631F72" w:rsidRPr="00631F72" w:rsidRDefault="00631F72" w:rsidP="005E03F7">
      <w:pPr>
        <w:pStyle w:val="AmdtsEntries"/>
      </w:pPr>
      <w:r>
        <w:t>s 250</w:t>
      </w:r>
      <w:r>
        <w:tab/>
        <w:t xml:space="preserve">am </w:t>
      </w:r>
      <w:hyperlink r:id="rId511" w:tooltip="Heavy Vehicle National Law and Other Legislation Amendment Act 2016" w:history="1">
        <w:r w:rsidR="003155B7" w:rsidRPr="005E03F7">
          <w:rPr>
            <w:rStyle w:val="Hyperlink"/>
          </w:rPr>
          <w:t>A2016-65 (Qld)</w:t>
        </w:r>
      </w:hyperlink>
      <w:r>
        <w:t xml:space="preserve"> s 41</w:t>
      </w:r>
    </w:p>
    <w:p w14:paraId="172936BC" w14:textId="77777777" w:rsidR="00631F72" w:rsidRDefault="00631F72" w:rsidP="00631F72">
      <w:pPr>
        <w:pStyle w:val="AmdtsEntryHd"/>
      </w:pPr>
      <w:r w:rsidRPr="007E1F9A">
        <w:lastRenderedPageBreak/>
        <w:t>Operating under standard hours—two-up drivers</w:t>
      </w:r>
    </w:p>
    <w:p w14:paraId="232576F5" w14:textId="38933480" w:rsidR="00631F72" w:rsidRPr="00631F72" w:rsidRDefault="00631F72" w:rsidP="005E03F7">
      <w:pPr>
        <w:pStyle w:val="AmdtsEntries"/>
      </w:pPr>
      <w:r>
        <w:t>s 251</w:t>
      </w:r>
      <w:r>
        <w:tab/>
        <w:t xml:space="preserve">am </w:t>
      </w:r>
      <w:hyperlink r:id="rId512" w:tooltip="Heavy Vehicle National Law and Other Legislation Amendment Act 2016" w:history="1">
        <w:r w:rsidR="003155B7" w:rsidRPr="005E03F7">
          <w:rPr>
            <w:rStyle w:val="Hyperlink"/>
          </w:rPr>
          <w:t>A2016-65 (Qld)</w:t>
        </w:r>
      </w:hyperlink>
      <w:r>
        <w:t xml:space="preserve"> s 42</w:t>
      </w:r>
    </w:p>
    <w:p w14:paraId="6F51525E" w14:textId="77777777" w:rsidR="0091007F" w:rsidRPr="004B4F2A" w:rsidRDefault="0091007F" w:rsidP="0091007F">
      <w:pPr>
        <w:pStyle w:val="AmdtsEntryHd"/>
      </w:pPr>
      <w:r>
        <w:t>BFM hours</w:t>
      </w:r>
    </w:p>
    <w:p w14:paraId="1DD1D749" w14:textId="0251F496" w:rsidR="0091007F" w:rsidRPr="00A13B61" w:rsidRDefault="0091007F" w:rsidP="0091007F">
      <w:pPr>
        <w:pStyle w:val="AmdtsEntries"/>
      </w:pPr>
      <w:r>
        <w:t>s 253</w:t>
      </w:r>
      <w:r>
        <w:tab/>
        <w:t xml:space="preserve">am </w:t>
      </w:r>
      <w:hyperlink r:id="rId513" w:tooltip="Heavy Vehicle National Law Amendment Act 2015" w:history="1">
        <w:r w:rsidR="00BA6441">
          <w:rPr>
            <w:rStyle w:val="charCitHyperlinkAbbrev"/>
          </w:rPr>
          <w:t>A2015-12</w:t>
        </w:r>
      </w:hyperlink>
      <w:r w:rsidR="00BA6441">
        <w:t xml:space="preserve"> (Qld)</w:t>
      </w:r>
      <w:r>
        <w:t xml:space="preserve"> s 24</w:t>
      </w:r>
    </w:p>
    <w:p w14:paraId="163CDE2B" w14:textId="77777777" w:rsidR="00631F72" w:rsidRDefault="00631F72" w:rsidP="00631F72">
      <w:pPr>
        <w:pStyle w:val="AmdtsEntryHd"/>
      </w:pPr>
      <w:r w:rsidRPr="007E1F9A">
        <w:t>Operating under BFM hours—solo drivers</w:t>
      </w:r>
    </w:p>
    <w:p w14:paraId="3823D883" w14:textId="1D20C90E" w:rsidR="00631F72" w:rsidRPr="00631F72" w:rsidRDefault="00631F72" w:rsidP="005E03F7">
      <w:pPr>
        <w:pStyle w:val="AmdtsEntries"/>
      </w:pPr>
      <w:r>
        <w:t>s 254</w:t>
      </w:r>
      <w:r>
        <w:tab/>
        <w:t xml:space="preserve">am </w:t>
      </w:r>
      <w:hyperlink r:id="rId514" w:tooltip="Heavy Vehicle National Law and Other Legislation Amendment Act 2016" w:history="1">
        <w:r w:rsidR="003155B7" w:rsidRPr="005E03F7">
          <w:rPr>
            <w:rStyle w:val="Hyperlink"/>
          </w:rPr>
          <w:t>A2016-65 (Qld)</w:t>
        </w:r>
      </w:hyperlink>
      <w:r>
        <w:t xml:space="preserve"> s 43</w:t>
      </w:r>
    </w:p>
    <w:p w14:paraId="5235D89B" w14:textId="77777777" w:rsidR="00631F72" w:rsidRDefault="00631F72" w:rsidP="00631F72">
      <w:pPr>
        <w:pStyle w:val="AmdtsEntryHd"/>
      </w:pPr>
      <w:r w:rsidRPr="007E1F9A">
        <w:t>Operating under BFM hours—two-up drivers</w:t>
      </w:r>
    </w:p>
    <w:p w14:paraId="76C382EE" w14:textId="0DCDD829" w:rsidR="00631F72" w:rsidRPr="00631F72" w:rsidRDefault="00631F72" w:rsidP="005E03F7">
      <w:pPr>
        <w:pStyle w:val="AmdtsEntries"/>
      </w:pPr>
      <w:r>
        <w:t>s 256</w:t>
      </w:r>
      <w:r>
        <w:tab/>
        <w:t xml:space="preserve">am </w:t>
      </w:r>
      <w:hyperlink r:id="rId515" w:tooltip="Heavy Vehicle National Law and Other Legislation Amendment Act 2016" w:history="1">
        <w:r w:rsidR="003155B7" w:rsidRPr="005E03F7">
          <w:rPr>
            <w:rStyle w:val="Hyperlink"/>
          </w:rPr>
          <w:t>A2016-65 (Qld)</w:t>
        </w:r>
      </w:hyperlink>
      <w:r>
        <w:t xml:space="preserve"> s 44</w:t>
      </w:r>
    </w:p>
    <w:p w14:paraId="4582CF62" w14:textId="77777777" w:rsidR="00631F72" w:rsidRDefault="00631F72" w:rsidP="00631F72">
      <w:pPr>
        <w:pStyle w:val="AmdtsEntryHd"/>
      </w:pPr>
      <w:r w:rsidRPr="007E1F9A">
        <w:t>Operating under AFM hours</w:t>
      </w:r>
    </w:p>
    <w:p w14:paraId="465AC43C" w14:textId="2CEA5E9C" w:rsidR="00631F72" w:rsidRPr="00631F72" w:rsidRDefault="00631F72" w:rsidP="005E03F7">
      <w:pPr>
        <w:pStyle w:val="AmdtsEntries"/>
      </w:pPr>
      <w:r>
        <w:t>s 258</w:t>
      </w:r>
      <w:r>
        <w:tab/>
        <w:t xml:space="preserve">am </w:t>
      </w:r>
      <w:hyperlink r:id="rId516" w:tooltip="Heavy Vehicle National Law and Other Legislation Amendment Act 2016" w:history="1">
        <w:r w:rsidR="003155B7" w:rsidRPr="005E03F7">
          <w:rPr>
            <w:rStyle w:val="Hyperlink"/>
          </w:rPr>
          <w:t>A2016-65 (Qld)</w:t>
        </w:r>
      </w:hyperlink>
      <w:r>
        <w:t xml:space="preserve"> s 45</w:t>
      </w:r>
    </w:p>
    <w:p w14:paraId="2326FF46" w14:textId="77777777" w:rsidR="00856F45" w:rsidRDefault="00856F45" w:rsidP="00856F45">
      <w:pPr>
        <w:pStyle w:val="AmdtsEntryHd"/>
      </w:pPr>
      <w:r w:rsidRPr="007E1F9A">
        <w:t>Operating under exemption hours</w:t>
      </w:r>
    </w:p>
    <w:p w14:paraId="2A1BF33A" w14:textId="363C459D" w:rsidR="00856F45" w:rsidRPr="00631F72" w:rsidRDefault="00856F45" w:rsidP="005E03F7">
      <w:pPr>
        <w:pStyle w:val="AmdtsEntries"/>
      </w:pPr>
      <w:r>
        <w:t>s 260</w:t>
      </w:r>
      <w:r>
        <w:tab/>
        <w:t xml:space="preserve">am </w:t>
      </w:r>
      <w:hyperlink r:id="rId517" w:tooltip="Heavy Vehicle National Law and Other Legislation Amendment Act 2016" w:history="1">
        <w:r w:rsidR="003155B7" w:rsidRPr="005E03F7">
          <w:rPr>
            <w:rStyle w:val="Hyperlink"/>
          </w:rPr>
          <w:t>A2016-65 (Qld)</w:t>
        </w:r>
      </w:hyperlink>
      <w:r>
        <w:t xml:space="preserve"> s 46</w:t>
      </w:r>
    </w:p>
    <w:p w14:paraId="0D4EC6E6" w14:textId="77777777" w:rsidR="00856F45" w:rsidRDefault="00856F45" w:rsidP="00687533">
      <w:pPr>
        <w:pStyle w:val="AmdtsEntryHd"/>
        <w:rPr>
          <w:rStyle w:val="CharDivText"/>
          <w:rFonts w:ascii="Helvetica" w:hAnsi="Helvetica" w:cs="Helvetica"/>
          <w:iCs/>
          <w:szCs w:val="28"/>
        </w:rPr>
      </w:pPr>
      <w:r w:rsidRPr="00C203D9">
        <w:rPr>
          <w:rStyle w:val="CharDivText"/>
          <w:rFonts w:ascii="Helvetica" w:hAnsi="Helvetica" w:cs="Helvetica"/>
          <w:iCs/>
          <w:szCs w:val="28"/>
        </w:rPr>
        <w:t>Extended liability</w:t>
      </w:r>
    </w:p>
    <w:p w14:paraId="22311C54" w14:textId="414761B1" w:rsidR="00856F45" w:rsidRPr="00856F45" w:rsidRDefault="00856F45" w:rsidP="005E03F7">
      <w:pPr>
        <w:pStyle w:val="AmdtsEntries"/>
      </w:pPr>
      <w:r>
        <w:t>pt 6.3 div 6 hdg</w:t>
      </w:r>
      <w:r>
        <w:tab/>
        <w:t xml:space="preserve">om </w:t>
      </w:r>
      <w:hyperlink r:id="rId518" w:tooltip="Heavy Vehicle National Law and Other Legislation Amendment Act 2016" w:history="1">
        <w:r w:rsidR="003155B7" w:rsidRPr="005E03F7">
          <w:rPr>
            <w:rStyle w:val="Hyperlink"/>
          </w:rPr>
          <w:t>A2016-65 (Qld)</w:t>
        </w:r>
      </w:hyperlink>
      <w:r>
        <w:t xml:space="preserve"> s 47</w:t>
      </w:r>
    </w:p>
    <w:p w14:paraId="511893E3" w14:textId="77777777" w:rsidR="00856F45" w:rsidRDefault="00856F45" w:rsidP="00856F45">
      <w:pPr>
        <w:pStyle w:val="AmdtsEntryHd"/>
        <w:rPr>
          <w:rStyle w:val="CharDivText"/>
          <w:rFonts w:ascii="Helvetica" w:hAnsi="Helvetica" w:cs="Helvetica"/>
          <w:iCs/>
          <w:szCs w:val="28"/>
        </w:rPr>
      </w:pPr>
      <w:r w:rsidRPr="007E1F9A">
        <w:t>Liability of employer etc. for driver’s contravention of maximum work requirement or minimum rest requirement</w:t>
      </w:r>
    </w:p>
    <w:p w14:paraId="36EE4F58" w14:textId="6A7B8BFB" w:rsidR="00856F45" w:rsidRPr="00856F45" w:rsidRDefault="00856F45" w:rsidP="005E03F7">
      <w:pPr>
        <w:pStyle w:val="AmdtsEntries"/>
      </w:pPr>
      <w:r>
        <w:t>s 261</w:t>
      </w:r>
      <w:r>
        <w:tab/>
        <w:t xml:space="preserve">om </w:t>
      </w:r>
      <w:hyperlink r:id="rId519" w:tooltip="Heavy Vehicle National Law and Other Legislation Amendment Act 2016" w:history="1">
        <w:r w:rsidR="003155B7" w:rsidRPr="005E03F7">
          <w:rPr>
            <w:rStyle w:val="Hyperlink"/>
          </w:rPr>
          <w:t>A2016-65 (Qld)</w:t>
        </w:r>
      </w:hyperlink>
      <w:r>
        <w:t xml:space="preserve"> s 47</w:t>
      </w:r>
    </w:p>
    <w:p w14:paraId="6F66C1AD" w14:textId="77777777" w:rsidR="00712F56" w:rsidRDefault="00712F56" w:rsidP="00687533">
      <w:pPr>
        <w:pStyle w:val="AmdtsEntryHd"/>
      </w:pPr>
      <w:r w:rsidRPr="007E1F9A">
        <w:t>Operating under new work and rest hours option after change</w:t>
      </w:r>
    </w:p>
    <w:p w14:paraId="5420FA77" w14:textId="20B5FD5E" w:rsidR="00712F56" w:rsidRPr="00712F56" w:rsidRDefault="00712F56" w:rsidP="005E03F7">
      <w:pPr>
        <w:pStyle w:val="AmdtsEntries"/>
      </w:pPr>
      <w:r>
        <w:t>s 263</w:t>
      </w:r>
      <w:r>
        <w:tab/>
        <w:t xml:space="preserve">am </w:t>
      </w:r>
      <w:hyperlink r:id="rId520" w:tooltip="Heavy Vehicle National Law and Other Legislation Amendment Act 2016" w:history="1">
        <w:r w:rsidR="003155B7" w:rsidRPr="005E03F7">
          <w:rPr>
            <w:rStyle w:val="Hyperlink"/>
          </w:rPr>
          <w:t>A2016-65 (Qld)</w:t>
        </w:r>
      </w:hyperlink>
      <w:r>
        <w:t xml:space="preserve"> s 48</w:t>
      </w:r>
    </w:p>
    <w:p w14:paraId="1035815F" w14:textId="77777777" w:rsidR="00712F56" w:rsidRDefault="00712F56" w:rsidP="00712F56">
      <w:pPr>
        <w:pStyle w:val="AmdtsEntryHd"/>
      </w:pPr>
      <w:r w:rsidRPr="007E1F9A">
        <w:t>Duty of employer, prime contractor, operator and scheduler to ensure driver compliance</w:t>
      </w:r>
    </w:p>
    <w:p w14:paraId="6FB0E0B1" w14:textId="00C5C92F" w:rsidR="00712F56" w:rsidRPr="00712F56" w:rsidRDefault="00712F56" w:rsidP="005E03F7">
      <w:pPr>
        <w:pStyle w:val="AmdtsEntries"/>
      </w:pPr>
      <w:r>
        <w:t>s 264</w:t>
      </w:r>
      <w:r>
        <w:tab/>
        <w:t xml:space="preserve">am </w:t>
      </w:r>
      <w:hyperlink r:id="rId521" w:tooltip="Heavy Vehicle National Law and Other Legislation Amendment Act 2016" w:history="1">
        <w:r w:rsidR="003155B7" w:rsidRPr="005E03F7">
          <w:rPr>
            <w:rStyle w:val="Hyperlink"/>
          </w:rPr>
          <w:t>A2016-65 (Qld)</w:t>
        </w:r>
      </w:hyperlink>
      <w:r>
        <w:t xml:space="preserve"> s 49</w:t>
      </w:r>
    </w:p>
    <w:p w14:paraId="6FA8D591" w14:textId="77777777" w:rsidR="00687533" w:rsidRDefault="00570750" w:rsidP="00687533">
      <w:pPr>
        <w:pStyle w:val="AmdtsEntryHd"/>
      </w:pPr>
      <w:r w:rsidRPr="007E1F9A">
        <w:t>Amendment or cancellation of work and rest hours exemption (notice)</w:t>
      </w:r>
    </w:p>
    <w:p w14:paraId="3B1611D7" w14:textId="3EC3AEDF" w:rsidR="00687533" w:rsidRPr="001C5C1A" w:rsidRDefault="00687533" w:rsidP="005E03F7">
      <w:pPr>
        <w:pStyle w:val="AmdtsEntries"/>
      </w:pPr>
      <w:r>
        <w:t>s 271</w:t>
      </w:r>
      <w:r>
        <w:tab/>
        <w:t xml:space="preserve">am </w:t>
      </w:r>
      <w:hyperlink r:id="rId522" w:tooltip="Heavy Vehicle National Law and Other Legislation Amendment Act 2016" w:history="1">
        <w:r w:rsidR="003155B7" w:rsidRPr="005E03F7">
          <w:rPr>
            <w:rStyle w:val="Hyperlink"/>
          </w:rPr>
          <w:t>A2016-65 (Qld)</w:t>
        </w:r>
      </w:hyperlink>
      <w:r w:rsidR="00570750">
        <w:t xml:space="preserve"> s 128</w:t>
      </w:r>
    </w:p>
    <w:p w14:paraId="58B729D0" w14:textId="77777777" w:rsidR="004F33A1" w:rsidRDefault="004F33A1" w:rsidP="004F33A1">
      <w:pPr>
        <w:pStyle w:val="AmdtsEntryHd"/>
      </w:pPr>
      <w:r w:rsidRPr="007E1F9A">
        <w:t>Immediate suspension</w:t>
      </w:r>
    </w:p>
    <w:p w14:paraId="05CC000F" w14:textId="74186D96" w:rsidR="004F33A1" w:rsidRPr="001C5C1A" w:rsidRDefault="004F33A1" w:rsidP="005E03F7">
      <w:pPr>
        <w:pStyle w:val="AmdtsEntries"/>
      </w:pPr>
      <w:r>
        <w:t>s 272</w:t>
      </w:r>
      <w:r>
        <w:tab/>
        <w:t xml:space="preserve">am </w:t>
      </w:r>
      <w:hyperlink r:id="rId523" w:tooltip="Heavy Vehicle National Law and Other Legislation Amendment Act 2016" w:history="1">
        <w:r w:rsidR="003155B7" w:rsidRPr="005E03F7">
          <w:rPr>
            <w:rStyle w:val="Hyperlink"/>
          </w:rPr>
          <w:t>A2016-65 (Qld)</w:t>
        </w:r>
      </w:hyperlink>
      <w:r>
        <w:t xml:space="preserve"> s 129</w:t>
      </w:r>
    </w:p>
    <w:p w14:paraId="7E2AFDB6" w14:textId="77777777" w:rsidR="00712F56" w:rsidRDefault="00712F56" w:rsidP="00712F56">
      <w:pPr>
        <w:pStyle w:val="AmdtsEntryHd"/>
      </w:pPr>
      <w:r w:rsidRPr="007E1F9A">
        <w:t>Keeping relevant document while operating under work and rest hours exemption (notice)</w:t>
      </w:r>
    </w:p>
    <w:p w14:paraId="52542D25" w14:textId="68311138" w:rsidR="00712F56" w:rsidRPr="00712F56" w:rsidRDefault="00712F56" w:rsidP="005E03F7">
      <w:pPr>
        <w:pStyle w:val="AmdtsEntries"/>
      </w:pPr>
      <w:r>
        <w:t>s 287</w:t>
      </w:r>
      <w:r>
        <w:tab/>
        <w:t xml:space="preserve">am </w:t>
      </w:r>
      <w:hyperlink r:id="rId524" w:tooltip="Heavy Vehicle National Law and Other Legislation Amendment Act 2016" w:history="1">
        <w:r w:rsidR="003155B7" w:rsidRPr="005E03F7">
          <w:rPr>
            <w:rStyle w:val="Hyperlink"/>
          </w:rPr>
          <w:t>A2016-65 (Qld)</w:t>
        </w:r>
      </w:hyperlink>
      <w:r>
        <w:t xml:space="preserve"> s 50</w:t>
      </w:r>
    </w:p>
    <w:p w14:paraId="0254D25E" w14:textId="77777777" w:rsidR="00EC4B45" w:rsidRDefault="00EC4B45" w:rsidP="00EC4B45">
      <w:pPr>
        <w:pStyle w:val="AmdtsEntryHd"/>
      </w:pPr>
      <w:r w:rsidRPr="007E1F9A">
        <w:t>Keeping copy of permit while driving under work and rest hours exemption (permit)</w:t>
      </w:r>
    </w:p>
    <w:p w14:paraId="0B16FF2C" w14:textId="3D6E89C1" w:rsidR="00EC4B45" w:rsidRPr="00712F56" w:rsidRDefault="00EC4B45" w:rsidP="005E03F7">
      <w:pPr>
        <w:pStyle w:val="AmdtsEntries"/>
      </w:pPr>
      <w:r>
        <w:t>s 288</w:t>
      </w:r>
      <w:r>
        <w:tab/>
        <w:t xml:space="preserve">am </w:t>
      </w:r>
      <w:hyperlink r:id="rId525" w:tooltip="Heavy Vehicle National Law and Other Legislation Amendment Act 2016" w:history="1">
        <w:r w:rsidR="003155B7" w:rsidRPr="005E03F7">
          <w:rPr>
            <w:rStyle w:val="Hyperlink"/>
          </w:rPr>
          <w:t>A2016-65 (Qld)</w:t>
        </w:r>
      </w:hyperlink>
      <w:r>
        <w:t xml:space="preserve"> s 51</w:t>
      </w:r>
    </w:p>
    <w:p w14:paraId="0C47F61C" w14:textId="77777777" w:rsidR="0091007F" w:rsidRPr="0091007F" w:rsidRDefault="0091007F" w:rsidP="0091007F">
      <w:pPr>
        <w:pStyle w:val="AmdtsEntryHd"/>
      </w:pPr>
      <w:r>
        <w:t xml:space="preserve">Meaning of </w:t>
      </w:r>
      <w:r>
        <w:rPr>
          <w:i/>
        </w:rPr>
        <w:t>work diary</w:t>
      </w:r>
      <w:r>
        <w:t xml:space="preserve"> for Sdiv 1</w:t>
      </w:r>
    </w:p>
    <w:p w14:paraId="3FB94057" w14:textId="54A786FB" w:rsidR="0091007F" w:rsidRPr="00A13B61" w:rsidRDefault="0091007F" w:rsidP="0091007F">
      <w:pPr>
        <w:pStyle w:val="AmdtsEntries"/>
      </w:pPr>
      <w:r>
        <w:t>s 292</w:t>
      </w:r>
      <w:r>
        <w:tab/>
        <w:t xml:space="preserve">am </w:t>
      </w:r>
      <w:hyperlink r:id="rId526" w:tooltip="Heavy Vehicle National Law Amendment Act 2015" w:history="1">
        <w:r w:rsidR="00BA6441">
          <w:rPr>
            <w:rStyle w:val="charCitHyperlinkAbbrev"/>
          </w:rPr>
          <w:t>A2015-12</w:t>
        </w:r>
      </w:hyperlink>
      <w:r w:rsidR="00BA6441">
        <w:t xml:space="preserve"> (Qld)</w:t>
      </w:r>
      <w:r>
        <w:t xml:space="preserve"> s 25</w:t>
      </w:r>
    </w:p>
    <w:p w14:paraId="40E632AF" w14:textId="77777777" w:rsidR="003043A3" w:rsidRDefault="003043A3" w:rsidP="003043A3">
      <w:pPr>
        <w:pStyle w:val="AmdtsEntryHd"/>
        <w:rPr>
          <w:rFonts w:ascii="Helvetica" w:hAnsi="Helvetica" w:cs="Helvetica"/>
          <w:iCs/>
        </w:rPr>
      </w:pPr>
      <w:r w:rsidRPr="007E1F9A">
        <w:t>Information required to be recorded immediately after starting work</w:t>
      </w:r>
    </w:p>
    <w:p w14:paraId="5A3337CB" w14:textId="39F22B2B" w:rsidR="003043A3" w:rsidRDefault="003043A3" w:rsidP="003043A3">
      <w:pPr>
        <w:pStyle w:val="AmdtsEntries"/>
      </w:pPr>
      <w:r>
        <w:t>s 297</w:t>
      </w:r>
      <w:r>
        <w:tab/>
        <w:t xml:space="preserve">am </w:t>
      </w:r>
      <w:hyperlink r:id="rId527" w:tooltip="Heavy Vehicle National Law Amendment Act 2015" w:history="1">
        <w:r w:rsidR="00BA6441">
          <w:rPr>
            <w:rStyle w:val="charCitHyperlinkAbbrev"/>
          </w:rPr>
          <w:t>A2015-12</w:t>
        </w:r>
      </w:hyperlink>
      <w:r w:rsidR="00BA6441">
        <w:t xml:space="preserve"> (Qld)</w:t>
      </w:r>
      <w:r>
        <w:t xml:space="preserve"> s 67</w:t>
      </w:r>
    </w:p>
    <w:p w14:paraId="79F046E0" w14:textId="77777777" w:rsidR="00AB3AD8" w:rsidRPr="004B4F2A" w:rsidRDefault="00C12D5A" w:rsidP="00AB3AD8">
      <w:pPr>
        <w:pStyle w:val="AmdtsEntryHd"/>
      </w:pPr>
      <w:r>
        <w:t>Recording information in electronic work diary</w:t>
      </w:r>
    </w:p>
    <w:p w14:paraId="11DC014E" w14:textId="1A6EDE40" w:rsidR="00AB3AD8" w:rsidRPr="00A13B61" w:rsidRDefault="00AB3AD8" w:rsidP="00AB3AD8">
      <w:pPr>
        <w:pStyle w:val="AmdtsEntries"/>
      </w:pPr>
      <w:r>
        <w:t>s 302</w:t>
      </w:r>
      <w:r>
        <w:tab/>
        <w:t xml:space="preserve">am </w:t>
      </w:r>
      <w:hyperlink r:id="rId528" w:tooltip="Heavy Vehicle National Law Amendment Act 2015" w:history="1">
        <w:r w:rsidR="00BA6441">
          <w:rPr>
            <w:rStyle w:val="charCitHyperlinkAbbrev"/>
          </w:rPr>
          <w:t>A2015-12</w:t>
        </w:r>
      </w:hyperlink>
      <w:r w:rsidR="00BA6441">
        <w:t xml:space="preserve"> (Qld)</w:t>
      </w:r>
      <w:r>
        <w:t xml:space="preserve"> s 26</w:t>
      </w:r>
    </w:p>
    <w:p w14:paraId="402ABF9D" w14:textId="77777777" w:rsidR="00D91614" w:rsidRPr="004B4F2A" w:rsidRDefault="00D91614" w:rsidP="00D91614">
      <w:pPr>
        <w:pStyle w:val="AmdtsEntryHd"/>
      </w:pPr>
      <w:r>
        <w:lastRenderedPageBreak/>
        <w:t>Driver must make supplementary records in particular circumstances</w:t>
      </w:r>
    </w:p>
    <w:p w14:paraId="4305BF4E" w14:textId="2A50F79F" w:rsidR="00D91614" w:rsidRPr="00A13B61" w:rsidRDefault="00D91614" w:rsidP="00D91614">
      <w:pPr>
        <w:pStyle w:val="AmdtsEntries"/>
      </w:pPr>
      <w:r>
        <w:t>s 305</w:t>
      </w:r>
      <w:r>
        <w:tab/>
        <w:t xml:space="preserve">am </w:t>
      </w:r>
      <w:hyperlink r:id="rId529" w:tooltip="Heavy Vehicle National Law Amendment Act 2015" w:history="1">
        <w:r w:rsidR="00BA6441">
          <w:rPr>
            <w:rStyle w:val="charCitHyperlinkAbbrev"/>
          </w:rPr>
          <w:t>A2015-12</w:t>
        </w:r>
      </w:hyperlink>
      <w:r w:rsidR="00BA6441">
        <w:t xml:space="preserve"> (Qld)</w:t>
      </w:r>
      <w:r>
        <w:t xml:space="preserve"> s 27</w:t>
      </w:r>
    </w:p>
    <w:p w14:paraId="4E88E1EF" w14:textId="77777777" w:rsidR="00C12D5A" w:rsidRPr="004B4F2A" w:rsidRDefault="00D91614" w:rsidP="00C12D5A">
      <w:pPr>
        <w:pStyle w:val="AmdtsEntryHd"/>
      </w:pPr>
      <w:r>
        <w:t>Driver who is record keeper must notify Regulator if electronic diary filled up etc.</w:t>
      </w:r>
    </w:p>
    <w:p w14:paraId="74507C6A" w14:textId="7F385557" w:rsidR="00D91614" w:rsidRPr="00A13B61" w:rsidRDefault="00D91614" w:rsidP="00D91614">
      <w:pPr>
        <w:pStyle w:val="AmdtsEntries"/>
      </w:pPr>
      <w:r>
        <w:t>s 307 hdg</w:t>
      </w:r>
      <w:r>
        <w:tab/>
        <w:t xml:space="preserve">am </w:t>
      </w:r>
      <w:hyperlink r:id="rId530" w:tooltip="Heavy Vehicle National Law Amendment Act 2015" w:history="1">
        <w:r w:rsidR="00BA6441">
          <w:rPr>
            <w:rStyle w:val="charCitHyperlinkAbbrev"/>
          </w:rPr>
          <w:t>A2015-12</w:t>
        </w:r>
      </w:hyperlink>
      <w:r w:rsidR="00BA6441">
        <w:t xml:space="preserve"> (Qld)</w:t>
      </w:r>
      <w:r>
        <w:t xml:space="preserve"> s 28</w:t>
      </w:r>
    </w:p>
    <w:p w14:paraId="4EC1F29B" w14:textId="2F2EEEDB" w:rsidR="00C12D5A" w:rsidRPr="00A13B61" w:rsidRDefault="00C12D5A" w:rsidP="00C12D5A">
      <w:pPr>
        <w:pStyle w:val="AmdtsEntries"/>
      </w:pPr>
      <w:r>
        <w:t xml:space="preserve">s </w:t>
      </w:r>
      <w:r w:rsidR="00D91614">
        <w:t>307</w:t>
      </w:r>
      <w:r>
        <w:tab/>
        <w:t xml:space="preserve">am </w:t>
      </w:r>
      <w:hyperlink r:id="rId531" w:tooltip="Heavy Vehicle National Law Amendment Act 2015" w:history="1">
        <w:r w:rsidR="00BA6441">
          <w:rPr>
            <w:rStyle w:val="charCitHyperlinkAbbrev"/>
          </w:rPr>
          <w:t>A2015-12</w:t>
        </w:r>
      </w:hyperlink>
      <w:r w:rsidR="00BA6441">
        <w:t xml:space="preserve"> (Qld)</w:t>
      </w:r>
      <w:r>
        <w:t xml:space="preserve"> s 2</w:t>
      </w:r>
      <w:r w:rsidR="00D91614">
        <w:t>8</w:t>
      </w:r>
    </w:p>
    <w:p w14:paraId="01850725" w14:textId="77777777" w:rsidR="003043A3" w:rsidRDefault="003043A3" w:rsidP="003043A3">
      <w:pPr>
        <w:pStyle w:val="AmdtsEntryHd"/>
        <w:rPr>
          <w:rFonts w:ascii="Helvetica" w:hAnsi="Helvetica" w:cs="Helvetica"/>
          <w:iCs/>
        </w:rPr>
      </w:pPr>
      <w:r w:rsidRPr="007E1F9A">
        <w:t>Driver must notify record keeper if electronic work diary filled up etc.</w:t>
      </w:r>
    </w:p>
    <w:p w14:paraId="676FB9F5" w14:textId="368E11F7" w:rsidR="003043A3" w:rsidRDefault="003043A3" w:rsidP="003043A3">
      <w:pPr>
        <w:pStyle w:val="AmdtsEntries"/>
      </w:pPr>
      <w:r>
        <w:t>s 309</w:t>
      </w:r>
      <w:r>
        <w:tab/>
        <w:t xml:space="preserve">am </w:t>
      </w:r>
      <w:hyperlink r:id="rId532" w:tooltip="Heavy Vehicle National Law Amendment Act 2015" w:history="1">
        <w:r w:rsidR="00BA6441">
          <w:rPr>
            <w:rStyle w:val="charCitHyperlinkAbbrev"/>
          </w:rPr>
          <w:t>A2015-12</w:t>
        </w:r>
      </w:hyperlink>
      <w:r w:rsidR="00BA6441">
        <w:t xml:space="preserve"> (Qld)</w:t>
      </w:r>
      <w:r>
        <w:t xml:space="preserve"> s 67</w:t>
      </w:r>
    </w:p>
    <w:p w14:paraId="443DC997" w14:textId="77777777" w:rsidR="00AD3709" w:rsidRDefault="00AD3709" w:rsidP="00AD3709">
      <w:pPr>
        <w:pStyle w:val="AmdtsEntryHd"/>
      </w:pPr>
      <w:r w:rsidRPr="007E1F9A">
        <w:t xml:space="preserve">Intelligent access </w:t>
      </w:r>
      <w:r w:rsidR="00A221EA">
        <w:t xml:space="preserve">program </w:t>
      </w:r>
      <w:r w:rsidRPr="007E1F9A">
        <w:t>reporting entity must notify record keeper if approved electronic recording system malfunctioning</w:t>
      </w:r>
    </w:p>
    <w:p w14:paraId="116B8624" w14:textId="0353F25F" w:rsidR="00A221EA" w:rsidRPr="004E3500" w:rsidRDefault="00A221EA" w:rsidP="005E03F7">
      <w:pPr>
        <w:pStyle w:val="AmdtsEntries"/>
      </w:pPr>
      <w:r>
        <w:t>s 310 hdg</w:t>
      </w:r>
      <w:r>
        <w:tab/>
        <w:t xml:space="preserve">am </w:t>
      </w:r>
      <w:hyperlink r:id="rId533" w:tooltip="Heavy Vehicle National Law and Other Legislation Amendment Act 2016" w:history="1">
        <w:r w:rsidR="003155B7" w:rsidRPr="005E03F7">
          <w:rPr>
            <w:rStyle w:val="Hyperlink"/>
          </w:rPr>
          <w:t>A2016-65 (Qld)</w:t>
        </w:r>
      </w:hyperlink>
      <w:r>
        <w:rPr>
          <w:rStyle w:val="charCitHyperlinkAbbrev"/>
        </w:rPr>
        <w:t xml:space="preserve"> </w:t>
      </w:r>
      <w:r>
        <w:t>s 139</w:t>
      </w:r>
    </w:p>
    <w:p w14:paraId="6505D636" w14:textId="4685DE7C" w:rsidR="00AD3709" w:rsidRPr="004E3500" w:rsidRDefault="00AD3709" w:rsidP="005E03F7">
      <w:pPr>
        <w:pStyle w:val="AmdtsEntries"/>
      </w:pPr>
      <w:r>
        <w:t>s 310</w:t>
      </w:r>
      <w:r>
        <w:tab/>
        <w:t xml:space="preserve">am </w:t>
      </w:r>
      <w:hyperlink r:id="rId534" w:tooltip="Heavy Vehicle National Law and Other Legislation Amendment Act 2016" w:history="1">
        <w:r w:rsidR="003155B7" w:rsidRPr="005E03F7">
          <w:rPr>
            <w:rStyle w:val="Hyperlink"/>
          </w:rPr>
          <w:t>A2016-65 (Qld)</w:t>
        </w:r>
      </w:hyperlink>
      <w:r>
        <w:rPr>
          <w:rStyle w:val="charCitHyperlinkAbbrev"/>
        </w:rPr>
        <w:t xml:space="preserve"> </w:t>
      </w:r>
      <w:r>
        <w:t>s 139</w:t>
      </w:r>
    </w:p>
    <w:p w14:paraId="2BF7CC3B" w14:textId="77777777" w:rsidR="00751A90" w:rsidRPr="004B4F2A" w:rsidRDefault="00751A90" w:rsidP="00751A90">
      <w:pPr>
        <w:pStyle w:val="AmdtsEntryHd"/>
      </w:pPr>
      <w:r>
        <w:t>What record keeper must do if electronic work diary filled up</w:t>
      </w:r>
    </w:p>
    <w:p w14:paraId="5C62BB83" w14:textId="742065F5" w:rsidR="00751A90" w:rsidRPr="00A13B61" w:rsidRDefault="00751A90" w:rsidP="005E03F7">
      <w:pPr>
        <w:pStyle w:val="AmdtsEntries"/>
      </w:pPr>
      <w:r>
        <w:t>s 311</w:t>
      </w:r>
      <w:r>
        <w:tab/>
        <w:t xml:space="preserve">am </w:t>
      </w:r>
      <w:hyperlink r:id="rId535" w:tooltip="Heavy Vehicle National Law Amendment Act 2015" w:history="1">
        <w:r w:rsidR="00CE7069" w:rsidRPr="00CE7069">
          <w:rPr>
            <w:rStyle w:val="charCitHyperlinkAbbrev"/>
          </w:rPr>
          <w:t>A2015-12</w:t>
        </w:r>
        <w:r w:rsidR="00CE7069">
          <w:t xml:space="preserve"> (Qld)</w:t>
        </w:r>
      </w:hyperlink>
      <w:r w:rsidR="00CE7069">
        <w:t xml:space="preserve"> </w:t>
      </w:r>
      <w:r>
        <w:t>s 29</w:t>
      </w:r>
      <w:r w:rsidR="00EC4B45">
        <w:t xml:space="preserve">; </w:t>
      </w:r>
      <w:hyperlink r:id="rId536" w:tooltip="Heavy Vehicle National Law and Other Legislation Amendment Act 2016" w:history="1">
        <w:r w:rsidR="003155B7" w:rsidRPr="005E03F7">
          <w:rPr>
            <w:rStyle w:val="Hyperlink"/>
          </w:rPr>
          <w:t>A2016-65 (Qld)</w:t>
        </w:r>
      </w:hyperlink>
      <w:r w:rsidR="00EC4B45">
        <w:rPr>
          <w:rStyle w:val="charCitHyperlinkAbbrev"/>
        </w:rPr>
        <w:t xml:space="preserve"> </w:t>
      </w:r>
      <w:r w:rsidR="00EC4B45">
        <w:t>s 52</w:t>
      </w:r>
    </w:p>
    <w:p w14:paraId="52C086C0" w14:textId="77777777" w:rsidR="00751A90" w:rsidRPr="004B4F2A" w:rsidRDefault="00751A90" w:rsidP="00751A90">
      <w:pPr>
        <w:pStyle w:val="AmdtsEntryHd"/>
      </w:pPr>
      <w:r>
        <w:t xml:space="preserve">What record keeper must do if electronic work diary </w:t>
      </w:r>
      <w:r w:rsidR="00E93189">
        <w:t>destroyed, lost or stolen</w:t>
      </w:r>
    </w:p>
    <w:p w14:paraId="3EFE5EBF" w14:textId="509387E5" w:rsidR="00751A90" w:rsidRPr="00A13B61" w:rsidRDefault="00E93189" w:rsidP="005E03F7">
      <w:pPr>
        <w:pStyle w:val="AmdtsEntries"/>
      </w:pPr>
      <w:r>
        <w:t>s 312</w:t>
      </w:r>
      <w:r w:rsidR="00751A90">
        <w:tab/>
        <w:t xml:space="preserve">am </w:t>
      </w:r>
      <w:hyperlink r:id="rId537" w:tooltip="Heavy Vehicle National Law Amendment Act 2015" w:history="1">
        <w:r w:rsidR="00BA6441">
          <w:rPr>
            <w:rStyle w:val="charCitHyperlinkAbbrev"/>
          </w:rPr>
          <w:t>A2015-12</w:t>
        </w:r>
      </w:hyperlink>
      <w:r w:rsidR="00BA6441">
        <w:t xml:space="preserve"> (Qld)</w:t>
      </w:r>
      <w:r>
        <w:t xml:space="preserve"> s 30</w:t>
      </w:r>
      <w:r w:rsidR="00EC4B45">
        <w:t xml:space="preserve">; </w:t>
      </w:r>
      <w:hyperlink r:id="rId538" w:tooltip="Heavy Vehicle National Law and Other Legislation Amendment Act 2016" w:history="1">
        <w:r w:rsidR="00CE7069" w:rsidRPr="005E03F7">
          <w:rPr>
            <w:rStyle w:val="Hyperlink"/>
          </w:rPr>
          <w:t>A2016-65 (Qld)</w:t>
        </w:r>
      </w:hyperlink>
      <w:r w:rsidR="00EC4B45">
        <w:rPr>
          <w:rStyle w:val="charCitHyperlinkAbbrev"/>
        </w:rPr>
        <w:t xml:space="preserve"> </w:t>
      </w:r>
      <w:r w:rsidR="00EC4B45">
        <w:t>s 53</w:t>
      </w:r>
    </w:p>
    <w:p w14:paraId="3F85ADE9" w14:textId="77777777" w:rsidR="00E93189" w:rsidRPr="004B4F2A" w:rsidRDefault="00E93189" w:rsidP="00E93189">
      <w:pPr>
        <w:pStyle w:val="AmdtsEntryHd"/>
      </w:pPr>
      <w:r>
        <w:t>What record keeper must do if electronic work diary not in working order or malfunctioning</w:t>
      </w:r>
    </w:p>
    <w:p w14:paraId="066DAC66" w14:textId="66799B64" w:rsidR="00E93189" w:rsidRPr="00A13B61" w:rsidRDefault="00E93189" w:rsidP="005E03F7">
      <w:pPr>
        <w:pStyle w:val="AmdtsEntries"/>
      </w:pPr>
      <w:r>
        <w:t>s 313</w:t>
      </w:r>
      <w:r>
        <w:tab/>
        <w:t xml:space="preserve">am </w:t>
      </w:r>
      <w:hyperlink r:id="rId539" w:tooltip="Heavy Vehicle National Law Amendment Act 2015" w:history="1">
        <w:r w:rsidR="00BA6441">
          <w:rPr>
            <w:rStyle w:val="charCitHyperlinkAbbrev"/>
          </w:rPr>
          <w:t>A2015-12</w:t>
        </w:r>
      </w:hyperlink>
      <w:r w:rsidR="00BA6441">
        <w:t xml:space="preserve"> (Qld)</w:t>
      </w:r>
      <w:r>
        <w:t xml:space="preserve"> s 31</w:t>
      </w:r>
      <w:r w:rsidR="00AD3709">
        <w:t xml:space="preserve">; </w:t>
      </w:r>
      <w:hyperlink r:id="rId540" w:tooltip="Heavy Vehicle National Law and Other Legislation Amendment Act 2016" w:history="1">
        <w:r w:rsidR="00CE7069" w:rsidRPr="005E03F7">
          <w:rPr>
            <w:rStyle w:val="Hyperlink"/>
          </w:rPr>
          <w:t>A2016-65 (Qld)</w:t>
        </w:r>
      </w:hyperlink>
      <w:r w:rsidR="00AD3709">
        <w:rPr>
          <w:rStyle w:val="charCitHyperlinkAbbrev"/>
        </w:rPr>
        <w:t xml:space="preserve"> </w:t>
      </w:r>
      <w:r w:rsidR="00EC4B45" w:rsidRPr="00CE7069">
        <w:t>s 54</w:t>
      </w:r>
      <w:r w:rsidR="00EC4B45">
        <w:rPr>
          <w:rStyle w:val="charCitHyperlinkAbbrev"/>
        </w:rPr>
        <w:t xml:space="preserve">, </w:t>
      </w:r>
      <w:r w:rsidR="00AD3709">
        <w:t>s 139</w:t>
      </w:r>
    </w:p>
    <w:p w14:paraId="387B75FC" w14:textId="77777777" w:rsidR="00856F45" w:rsidRPr="00856F45" w:rsidRDefault="00856F45" w:rsidP="006D1878">
      <w:pPr>
        <w:pStyle w:val="AmdtsEntryHd"/>
      </w:pPr>
      <w:r w:rsidRPr="00856F45">
        <w:rPr>
          <w:lang w:val="en"/>
        </w:rPr>
        <w:t>Ensuring driver complies with Sdivs 1–4</w:t>
      </w:r>
    </w:p>
    <w:p w14:paraId="736A0F79" w14:textId="624B3606" w:rsidR="00856F45" w:rsidRPr="00856F45" w:rsidRDefault="00856F45" w:rsidP="005E03F7">
      <w:pPr>
        <w:pStyle w:val="AmdtsEntries"/>
        <w:rPr>
          <w:lang w:val="en"/>
        </w:rPr>
      </w:pPr>
      <w:r>
        <w:rPr>
          <w:lang w:val="en"/>
        </w:rPr>
        <w:t>s 315</w:t>
      </w:r>
      <w:r>
        <w:rPr>
          <w:lang w:val="en"/>
        </w:rPr>
        <w:tab/>
        <w:t>sub</w:t>
      </w:r>
      <w:r>
        <w:t xml:space="preserve"> </w:t>
      </w:r>
      <w:hyperlink r:id="rId541" w:tooltip="Heavy Vehicle National Law and Other Legislation Amendment Act 2016" w:history="1">
        <w:r w:rsidR="00CE7069" w:rsidRPr="005E03F7">
          <w:rPr>
            <w:rStyle w:val="Hyperlink"/>
          </w:rPr>
          <w:t>A2016-65 (Qld)</w:t>
        </w:r>
      </w:hyperlink>
      <w:r>
        <w:rPr>
          <w:rStyle w:val="charCitHyperlinkAbbrev"/>
        </w:rPr>
        <w:t xml:space="preserve"> </w:t>
      </w:r>
      <w:r>
        <w:t>s 55</w:t>
      </w:r>
    </w:p>
    <w:p w14:paraId="46E0875F" w14:textId="77777777" w:rsidR="006D1878" w:rsidRPr="004B4F2A" w:rsidRDefault="006D1878" w:rsidP="006D1878">
      <w:pPr>
        <w:pStyle w:val="AmdtsEntryHd"/>
      </w:pPr>
      <w:r>
        <w:t>Records record keeper must have</w:t>
      </w:r>
    </w:p>
    <w:p w14:paraId="2EB62F70" w14:textId="31E4FDA5" w:rsidR="006D1878" w:rsidRPr="00A13B61" w:rsidRDefault="006D1878" w:rsidP="005E03F7">
      <w:pPr>
        <w:pStyle w:val="AmdtsEntries"/>
      </w:pPr>
      <w:r>
        <w:t>s 319</w:t>
      </w:r>
      <w:r>
        <w:tab/>
        <w:t xml:space="preserve">am </w:t>
      </w:r>
      <w:hyperlink r:id="rId542" w:tooltip="Heavy Vehicle National Law Amendment Act 2015" w:history="1">
        <w:r w:rsidR="00BA6441">
          <w:rPr>
            <w:rStyle w:val="charCitHyperlinkAbbrev"/>
          </w:rPr>
          <w:t>A2015-12</w:t>
        </w:r>
      </w:hyperlink>
      <w:r w:rsidR="00BA6441">
        <w:t xml:space="preserve"> (Qld)</w:t>
      </w:r>
      <w:r w:rsidR="009C6B2D">
        <w:t xml:space="preserve"> </w:t>
      </w:r>
      <w:r>
        <w:t>s 32</w:t>
      </w:r>
      <w:r w:rsidR="007875E7">
        <w:t xml:space="preserve">; </w:t>
      </w:r>
      <w:hyperlink r:id="rId543" w:tooltip="Heavy Vehicle National Law and Other Legislation Amendment Act 2016" w:history="1">
        <w:r w:rsidR="00CE7069" w:rsidRPr="005E03F7">
          <w:rPr>
            <w:rStyle w:val="Hyperlink"/>
          </w:rPr>
          <w:t>A2016-65 (Qld)</w:t>
        </w:r>
      </w:hyperlink>
      <w:r w:rsidR="007875E7">
        <w:rPr>
          <w:rStyle w:val="charCitHyperlinkAbbrev"/>
        </w:rPr>
        <w:t xml:space="preserve"> </w:t>
      </w:r>
      <w:r w:rsidR="007875E7">
        <w:t>s 56</w:t>
      </w:r>
      <w:r w:rsidR="00EF60BE">
        <w:t xml:space="preserve">; </w:t>
      </w:r>
      <w:hyperlink r:id="rId544" w:tooltip="Heavy Vehicle National Law and Other Legislation Amendment Act 2018" w:history="1">
        <w:r w:rsidR="004070E5" w:rsidRPr="005E03F7">
          <w:rPr>
            <w:rStyle w:val="Hyperlink"/>
          </w:rPr>
          <w:t>A2018-10 (Qld)</w:t>
        </w:r>
      </w:hyperlink>
      <w:r w:rsidR="00EF60BE">
        <w:t xml:space="preserve"> s 22</w:t>
      </w:r>
      <w:r w:rsidR="00DC203E">
        <w:t xml:space="preserve">; </w:t>
      </w:r>
      <w:hyperlink r:id="rId545" w:tooltip="Heavy Vehicle National Law and Other Legislation Amendment Act 2019" w:history="1">
        <w:r w:rsidR="00DC203E" w:rsidRPr="00137BAE">
          <w:rPr>
            <w:rStyle w:val="charCitHyperlinkAbbrev"/>
          </w:rPr>
          <w:t>A2019-29</w:t>
        </w:r>
      </w:hyperlink>
      <w:r w:rsidR="00DC203E">
        <w:rPr>
          <w:lang w:val="en"/>
        </w:rPr>
        <w:t xml:space="preserve"> (Qld) s 17</w:t>
      </w:r>
    </w:p>
    <w:p w14:paraId="1E46B30E" w14:textId="77777777" w:rsidR="00EF60BE" w:rsidRPr="00EF60BE" w:rsidRDefault="00EF60BE" w:rsidP="006D1878">
      <w:pPr>
        <w:pStyle w:val="AmdtsEntryHd"/>
      </w:pPr>
      <w:r w:rsidRPr="00EF60BE">
        <w:rPr>
          <w:lang w:val="en"/>
        </w:rPr>
        <w:t>General requirements about driver recording and giving information to record keeper</w:t>
      </w:r>
    </w:p>
    <w:p w14:paraId="194FF1FC" w14:textId="38E3736B" w:rsidR="00EF60BE" w:rsidRPr="00EF60BE" w:rsidRDefault="00EF60BE" w:rsidP="005E03F7">
      <w:pPr>
        <w:pStyle w:val="AmdtsEntries"/>
        <w:rPr>
          <w:lang w:val="en"/>
        </w:rPr>
      </w:pPr>
      <w:r>
        <w:rPr>
          <w:lang w:val="en"/>
        </w:rPr>
        <w:t>s 319A</w:t>
      </w:r>
      <w:r>
        <w:rPr>
          <w:lang w:val="en"/>
        </w:rPr>
        <w:tab/>
        <w:t xml:space="preserve">ins </w:t>
      </w:r>
      <w:hyperlink r:id="rId546" w:tooltip="Heavy Vehicle National Law and Other Legislation Amendment Act 2018" w:history="1">
        <w:r w:rsidR="004070E5" w:rsidRPr="005E03F7">
          <w:rPr>
            <w:rStyle w:val="Hyperlink"/>
          </w:rPr>
          <w:t>A2018-10 (Qld)</w:t>
        </w:r>
      </w:hyperlink>
      <w:r>
        <w:t xml:space="preserve"> s 23</w:t>
      </w:r>
    </w:p>
    <w:p w14:paraId="2B03187B" w14:textId="77777777" w:rsidR="006D1878" w:rsidRPr="004B4F2A" w:rsidRDefault="006D1878" w:rsidP="006D1878">
      <w:pPr>
        <w:pStyle w:val="AmdtsEntryHd"/>
      </w:pPr>
      <w:r>
        <w:t>Records record keeper must have</w:t>
      </w:r>
    </w:p>
    <w:p w14:paraId="30CEE88C" w14:textId="1FD9F1DF" w:rsidR="006D1878" w:rsidRPr="00A13B61" w:rsidRDefault="006D1878" w:rsidP="005E03F7">
      <w:pPr>
        <w:pStyle w:val="AmdtsEntries"/>
      </w:pPr>
      <w:r>
        <w:t>s 321</w:t>
      </w:r>
      <w:r>
        <w:tab/>
        <w:t xml:space="preserve">am </w:t>
      </w:r>
      <w:hyperlink r:id="rId547" w:tooltip="Heavy Vehicle National Law Amendment Act 2015" w:history="1">
        <w:r w:rsidR="00BA6441">
          <w:rPr>
            <w:rStyle w:val="charCitHyperlinkAbbrev"/>
          </w:rPr>
          <w:t>A2015-12</w:t>
        </w:r>
      </w:hyperlink>
      <w:r w:rsidR="00BA6441">
        <w:t xml:space="preserve"> (Qld)</w:t>
      </w:r>
      <w:r>
        <w:t xml:space="preserve"> s 33</w:t>
      </w:r>
      <w:r w:rsidR="007875E7">
        <w:t xml:space="preserve">; </w:t>
      </w:r>
      <w:hyperlink r:id="rId548" w:tooltip="Heavy Vehicle National Law and Other Legislation Amendment Act 2016" w:history="1">
        <w:r w:rsidR="00CE7069" w:rsidRPr="005E03F7">
          <w:rPr>
            <w:rStyle w:val="Hyperlink"/>
          </w:rPr>
          <w:t>A2016-65 (Qld)</w:t>
        </w:r>
      </w:hyperlink>
      <w:r w:rsidR="007875E7">
        <w:rPr>
          <w:rStyle w:val="charCitHyperlinkAbbrev"/>
        </w:rPr>
        <w:t xml:space="preserve"> </w:t>
      </w:r>
      <w:r w:rsidR="007875E7">
        <w:t>s 57</w:t>
      </w:r>
    </w:p>
    <w:p w14:paraId="0CBC0FBD" w14:textId="77777777" w:rsidR="000A5F7B" w:rsidRPr="004B4F2A" w:rsidRDefault="000A5F7B" w:rsidP="000A5F7B">
      <w:pPr>
        <w:pStyle w:val="AmdtsEntryHd"/>
      </w:pPr>
      <w:r>
        <w:t>General requirements about driver giving information to record keeper</w:t>
      </w:r>
    </w:p>
    <w:p w14:paraId="25B48713" w14:textId="0E3CAB1B" w:rsidR="000A5F7B" w:rsidRPr="00A13B61" w:rsidRDefault="000A5F7B" w:rsidP="005E03F7">
      <w:pPr>
        <w:pStyle w:val="AmdtsEntries"/>
      </w:pPr>
      <w:r>
        <w:t>s 322</w:t>
      </w:r>
      <w:r>
        <w:tab/>
        <w:t xml:space="preserve">am </w:t>
      </w:r>
      <w:hyperlink r:id="rId549" w:tooltip="Heavy Vehicle National Law Amendment Act 2015" w:history="1">
        <w:r w:rsidR="00BA6441">
          <w:rPr>
            <w:rStyle w:val="charCitHyperlinkAbbrev"/>
          </w:rPr>
          <w:t>A2015-12</w:t>
        </w:r>
      </w:hyperlink>
      <w:r w:rsidR="00BA6441">
        <w:t xml:space="preserve"> (Qld)</w:t>
      </w:r>
      <w:r>
        <w:t xml:space="preserve"> s 34</w:t>
      </w:r>
      <w:r w:rsidR="007875E7">
        <w:t xml:space="preserve">; </w:t>
      </w:r>
      <w:hyperlink r:id="rId550" w:tooltip="Heavy Vehicle National Law and Other Legislation Amendment Act 2016" w:history="1">
        <w:r w:rsidR="00CE7069" w:rsidRPr="005E03F7">
          <w:rPr>
            <w:rStyle w:val="Hyperlink"/>
          </w:rPr>
          <w:t>A2016-65 (Qld)</w:t>
        </w:r>
      </w:hyperlink>
      <w:r w:rsidR="007875E7">
        <w:rPr>
          <w:rStyle w:val="charCitHyperlinkAbbrev"/>
        </w:rPr>
        <w:t xml:space="preserve"> </w:t>
      </w:r>
      <w:r w:rsidR="007875E7">
        <w:t>s 58</w:t>
      </w:r>
    </w:p>
    <w:p w14:paraId="19AEAD56" w14:textId="77777777" w:rsidR="007E45AE" w:rsidRPr="004B4F2A" w:rsidRDefault="007E45AE" w:rsidP="007E45AE">
      <w:pPr>
        <w:pStyle w:val="AmdtsEntryHd"/>
      </w:pPr>
      <w:r>
        <w:t>General requirements about driver giving information to record keeper</w:t>
      </w:r>
    </w:p>
    <w:p w14:paraId="5D3C7004" w14:textId="7CD520BE" w:rsidR="007E45AE" w:rsidRPr="00A13B61" w:rsidRDefault="007E45AE" w:rsidP="005E03F7">
      <w:pPr>
        <w:pStyle w:val="AmdtsEntries"/>
      </w:pPr>
      <w:r>
        <w:t>s 323</w:t>
      </w:r>
      <w:r>
        <w:tab/>
        <w:t xml:space="preserve">am </w:t>
      </w:r>
      <w:hyperlink r:id="rId551" w:tooltip="Heavy Vehicle National Law Amendment Act 2015" w:history="1">
        <w:r w:rsidR="00BA6441">
          <w:rPr>
            <w:rStyle w:val="charCitHyperlinkAbbrev"/>
          </w:rPr>
          <w:t>A2015-12</w:t>
        </w:r>
      </w:hyperlink>
      <w:r w:rsidR="00BA6441">
        <w:t xml:space="preserve"> (Qld)</w:t>
      </w:r>
      <w:r>
        <w:t xml:space="preserve"> s 35</w:t>
      </w:r>
      <w:r w:rsidR="007875E7">
        <w:t xml:space="preserve">; </w:t>
      </w:r>
      <w:hyperlink r:id="rId552" w:tooltip="Heavy Vehicle National Law and Other Legislation Amendment Act 2016" w:history="1">
        <w:r w:rsidR="00CE7069" w:rsidRPr="005E03F7">
          <w:rPr>
            <w:rStyle w:val="Hyperlink"/>
          </w:rPr>
          <w:t>A2016-65 (Qld)</w:t>
        </w:r>
      </w:hyperlink>
      <w:r w:rsidR="007875E7">
        <w:rPr>
          <w:rStyle w:val="charCitHyperlinkAbbrev"/>
        </w:rPr>
        <w:t xml:space="preserve"> </w:t>
      </w:r>
      <w:r w:rsidR="007875E7">
        <w:t>s 59</w:t>
      </w:r>
    </w:p>
    <w:p w14:paraId="72A236FF" w14:textId="77777777" w:rsidR="007E45AE" w:rsidRPr="004B4F2A" w:rsidRDefault="007E45AE" w:rsidP="007E45AE">
      <w:pPr>
        <w:pStyle w:val="AmdtsEntryHd"/>
      </w:pPr>
      <w:r>
        <w:t>Record keeper must give information from electronic work diary</w:t>
      </w:r>
    </w:p>
    <w:p w14:paraId="5424C3E8" w14:textId="175621D8" w:rsidR="007E45AE" w:rsidRDefault="007E45AE" w:rsidP="007E45AE">
      <w:pPr>
        <w:pStyle w:val="AmdtsEntries"/>
      </w:pPr>
      <w:r>
        <w:t>s 324 hdg</w:t>
      </w:r>
      <w:r>
        <w:tab/>
        <w:t xml:space="preserve">am </w:t>
      </w:r>
      <w:hyperlink r:id="rId553" w:tooltip="Heavy Vehicle National Law Amendment Act 2015" w:history="1">
        <w:r w:rsidR="00BA6441">
          <w:rPr>
            <w:rStyle w:val="charCitHyperlinkAbbrev"/>
          </w:rPr>
          <w:t>A2015-12</w:t>
        </w:r>
      </w:hyperlink>
      <w:r w:rsidR="00BA6441">
        <w:t xml:space="preserve"> (Qld)</w:t>
      </w:r>
      <w:r w:rsidR="009C6B2D">
        <w:t xml:space="preserve"> </w:t>
      </w:r>
      <w:r>
        <w:t>s 36</w:t>
      </w:r>
    </w:p>
    <w:p w14:paraId="217C6B15" w14:textId="36FB7E95" w:rsidR="007E45AE" w:rsidRPr="00A13B61" w:rsidRDefault="007E45AE" w:rsidP="005E03F7">
      <w:pPr>
        <w:pStyle w:val="AmdtsEntries"/>
      </w:pPr>
      <w:r>
        <w:t>s 324</w:t>
      </w:r>
      <w:r>
        <w:tab/>
        <w:t xml:space="preserve">am </w:t>
      </w:r>
      <w:hyperlink r:id="rId554" w:tooltip="Heavy Vehicle National Law Amendment Act 2015" w:history="1">
        <w:r w:rsidR="00BA6441">
          <w:rPr>
            <w:rStyle w:val="charCitHyperlinkAbbrev"/>
          </w:rPr>
          <w:t>A2015-12</w:t>
        </w:r>
      </w:hyperlink>
      <w:r w:rsidR="00BA6441">
        <w:t xml:space="preserve"> (Qld)</w:t>
      </w:r>
      <w:r>
        <w:t xml:space="preserve"> s 36</w:t>
      </w:r>
      <w:r w:rsidR="007875E7">
        <w:t xml:space="preserve">; </w:t>
      </w:r>
      <w:hyperlink r:id="rId555" w:tooltip="Heavy Vehicle National Law and Other Legislation Amendment Act 2016" w:history="1">
        <w:r w:rsidR="00CE7069" w:rsidRPr="005E03F7">
          <w:rPr>
            <w:rStyle w:val="Hyperlink"/>
          </w:rPr>
          <w:t>A2016-65 (Qld)</w:t>
        </w:r>
      </w:hyperlink>
      <w:r w:rsidR="007875E7">
        <w:rPr>
          <w:rStyle w:val="charCitHyperlinkAbbrev"/>
        </w:rPr>
        <w:t xml:space="preserve"> </w:t>
      </w:r>
      <w:r w:rsidR="007875E7">
        <w:t>s 60</w:t>
      </w:r>
    </w:p>
    <w:p w14:paraId="3D24C944" w14:textId="77777777" w:rsidR="007E45AE" w:rsidRPr="004B4F2A" w:rsidRDefault="007E45AE" w:rsidP="007E45AE">
      <w:pPr>
        <w:pStyle w:val="AmdtsEntryHd"/>
      </w:pPr>
      <w:r>
        <w:t>Record keeper must give record to driver if requested</w:t>
      </w:r>
    </w:p>
    <w:p w14:paraId="4749F7DD" w14:textId="6933E4D5" w:rsidR="007E45AE" w:rsidRPr="00A13B61" w:rsidRDefault="007E45AE" w:rsidP="007E45AE">
      <w:pPr>
        <w:pStyle w:val="AmdtsEntries"/>
      </w:pPr>
      <w:r>
        <w:t>s 324A</w:t>
      </w:r>
      <w:r>
        <w:tab/>
        <w:t xml:space="preserve">ins </w:t>
      </w:r>
      <w:hyperlink r:id="rId556" w:tooltip="Heavy Vehicle National Law Amendment Act 2015" w:history="1">
        <w:r w:rsidR="00BA6441">
          <w:rPr>
            <w:rStyle w:val="charCitHyperlinkAbbrev"/>
          </w:rPr>
          <w:t>A2015-12</w:t>
        </w:r>
      </w:hyperlink>
      <w:r w:rsidR="00BA6441">
        <w:t xml:space="preserve"> (Qld)</w:t>
      </w:r>
      <w:r>
        <w:t xml:space="preserve"> s 37</w:t>
      </w:r>
    </w:p>
    <w:p w14:paraId="7BB6C208" w14:textId="77777777" w:rsidR="007875E7" w:rsidRDefault="007875E7" w:rsidP="00BF28B5">
      <w:pPr>
        <w:pStyle w:val="AmdtsEntryHd"/>
      </w:pPr>
      <w:r w:rsidRPr="007E1F9A">
        <w:lastRenderedPageBreak/>
        <w:t>False or misleading entries</w:t>
      </w:r>
    </w:p>
    <w:p w14:paraId="2D3EAA90" w14:textId="06DE9CE5" w:rsidR="007875E7" w:rsidRPr="007875E7" w:rsidRDefault="007875E7" w:rsidP="005E03F7">
      <w:pPr>
        <w:pStyle w:val="AmdtsEntries"/>
      </w:pPr>
      <w:r>
        <w:t>s 325</w:t>
      </w:r>
      <w:r>
        <w:tab/>
        <w:t xml:space="preserve">am </w:t>
      </w:r>
      <w:hyperlink r:id="rId557" w:tooltip="Heavy Vehicle National Law and Other Legislation Amendment Act 2016" w:history="1">
        <w:r w:rsidR="00CE7069" w:rsidRPr="005E03F7">
          <w:rPr>
            <w:rStyle w:val="Hyperlink"/>
          </w:rPr>
          <w:t>A2016-65 (Qld)</w:t>
        </w:r>
      </w:hyperlink>
      <w:r>
        <w:rPr>
          <w:rStyle w:val="charCitHyperlinkAbbrev"/>
        </w:rPr>
        <w:t xml:space="preserve"> </w:t>
      </w:r>
      <w:r>
        <w:t>s 61</w:t>
      </w:r>
    </w:p>
    <w:p w14:paraId="58222151" w14:textId="77777777" w:rsidR="00BF28B5" w:rsidRPr="004B4F2A" w:rsidRDefault="00BF28B5" w:rsidP="00BF28B5">
      <w:pPr>
        <w:pStyle w:val="AmdtsEntryHd"/>
      </w:pPr>
      <w:r>
        <w:t>When possessing, or recording information in, more than 1 work diary relating to the same period is prohibited</w:t>
      </w:r>
    </w:p>
    <w:p w14:paraId="3064F373" w14:textId="2535A4AE" w:rsidR="00BF28B5" w:rsidRPr="00A13B61" w:rsidRDefault="00BF28B5" w:rsidP="00BF28B5">
      <w:pPr>
        <w:pStyle w:val="AmdtsEntries"/>
      </w:pPr>
      <w:r>
        <w:t>s 326 hdg</w:t>
      </w:r>
      <w:r>
        <w:tab/>
        <w:t xml:space="preserve">sub </w:t>
      </w:r>
      <w:hyperlink r:id="rId558" w:tooltip="Heavy Vehicle National Law Amendment Act 2015" w:history="1">
        <w:r w:rsidR="00BA6441">
          <w:rPr>
            <w:rStyle w:val="charCitHyperlinkAbbrev"/>
          </w:rPr>
          <w:t>A2015-12</w:t>
        </w:r>
      </w:hyperlink>
      <w:r w:rsidR="00BA6441">
        <w:t xml:space="preserve"> (Qld)</w:t>
      </w:r>
      <w:r>
        <w:t xml:space="preserve"> s 38</w:t>
      </w:r>
    </w:p>
    <w:p w14:paraId="2BDC4025" w14:textId="77777777" w:rsidR="00273D5E" w:rsidRDefault="00273D5E" w:rsidP="00273D5E">
      <w:pPr>
        <w:pStyle w:val="AmdtsEntryHd"/>
      </w:pPr>
      <w:r w:rsidRPr="007E1F9A">
        <w:t>Person must not tamper with approved electronic recording system</w:t>
      </w:r>
    </w:p>
    <w:p w14:paraId="3B959C37" w14:textId="15FB767D" w:rsidR="00273D5E" w:rsidRPr="007875E7" w:rsidRDefault="00273D5E" w:rsidP="005E03F7">
      <w:pPr>
        <w:pStyle w:val="AmdtsEntries"/>
      </w:pPr>
      <w:r>
        <w:t>s 335</w:t>
      </w:r>
      <w:r>
        <w:tab/>
        <w:t xml:space="preserve">am </w:t>
      </w:r>
      <w:hyperlink r:id="rId559" w:tooltip="Heavy Vehicle National Law and Other Legislation Amendment Act 2016" w:history="1">
        <w:r w:rsidR="00CE7069" w:rsidRPr="005E03F7">
          <w:rPr>
            <w:rStyle w:val="Hyperlink"/>
          </w:rPr>
          <w:t>A2016-65 (Qld)</w:t>
        </w:r>
      </w:hyperlink>
      <w:r>
        <w:rPr>
          <w:rStyle w:val="charCitHyperlinkAbbrev"/>
        </w:rPr>
        <w:t xml:space="preserve"> </w:t>
      </w:r>
      <w:r>
        <w:t>s 62</w:t>
      </w:r>
    </w:p>
    <w:p w14:paraId="7596BC79" w14:textId="77777777" w:rsidR="00273D5E" w:rsidRDefault="00273D5E" w:rsidP="00273D5E">
      <w:pPr>
        <w:pStyle w:val="AmdtsEntryHd"/>
      </w:pPr>
      <w:r w:rsidRPr="007E1F9A">
        <w:t>Person using approved electronic recording system must not permit tampering with it</w:t>
      </w:r>
    </w:p>
    <w:p w14:paraId="32C96DA3" w14:textId="6AFD53A1" w:rsidR="00273D5E" w:rsidRPr="007875E7" w:rsidRDefault="00273D5E" w:rsidP="005E03F7">
      <w:pPr>
        <w:pStyle w:val="AmdtsEntries"/>
      </w:pPr>
      <w:r>
        <w:t>s 336</w:t>
      </w:r>
      <w:r>
        <w:tab/>
        <w:t xml:space="preserve">am </w:t>
      </w:r>
      <w:hyperlink r:id="rId560" w:tooltip="Heavy Vehicle National Law and Other Legislation Amendment Act 2016" w:history="1">
        <w:r w:rsidR="00CE7069" w:rsidRPr="005E03F7">
          <w:rPr>
            <w:rStyle w:val="Hyperlink"/>
          </w:rPr>
          <w:t>A2016-65 (Qld)</w:t>
        </w:r>
      </w:hyperlink>
      <w:r>
        <w:rPr>
          <w:rStyle w:val="charCitHyperlinkAbbrev"/>
        </w:rPr>
        <w:t xml:space="preserve"> </w:t>
      </w:r>
      <w:r>
        <w:t>s 63</w:t>
      </w:r>
    </w:p>
    <w:p w14:paraId="747FCD78" w14:textId="77777777" w:rsidR="00DF64F0" w:rsidRPr="004B4F2A" w:rsidRDefault="00DF64F0" w:rsidP="00DF64F0">
      <w:pPr>
        <w:pStyle w:val="AmdtsEntryHd"/>
      </w:pPr>
      <w:r>
        <w:t>Reporting tampering or suspected tampering with electronic work diary</w:t>
      </w:r>
    </w:p>
    <w:p w14:paraId="65FA6AD4" w14:textId="137E2680" w:rsidR="00DF64F0" w:rsidRPr="00A13B61" w:rsidRDefault="00DF64F0" w:rsidP="00DF64F0">
      <w:pPr>
        <w:pStyle w:val="AmdtsEntries"/>
      </w:pPr>
      <w:r>
        <w:t>s 336A</w:t>
      </w:r>
      <w:r>
        <w:tab/>
        <w:t xml:space="preserve">ins </w:t>
      </w:r>
      <w:hyperlink r:id="rId561" w:tooltip="Heavy Vehicle National Law Amendment Act 2015" w:history="1">
        <w:r w:rsidR="00BA6441">
          <w:rPr>
            <w:rStyle w:val="charCitHyperlinkAbbrev"/>
          </w:rPr>
          <w:t>A2015-12</w:t>
        </w:r>
      </w:hyperlink>
      <w:r w:rsidR="00BA6441">
        <w:t xml:space="preserve"> (Qld)</w:t>
      </w:r>
      <w:r>
        <w:t xml:space="preserve"> s 39</w:t>
      </w:r>
    </w:p>
    <w:p w14:paraId="52E13921" w14:textId="6997BC43" w:rsidR="00273D5E" w:rsidRPr="007875E7" w:rsidRDefault="00273D5E" w:rsidP="005E03F7">
      <w:pPr>
        <w:pStyle w:val="AmdtsEntries"/>
      </w:pPr>
      <w:r>
        <w:tab/>
        <w:t xml:space="preserve">am </w:t>
      </w:r>
      <w:hyperlink r:id="rId562" w:tooltip="Heavy Vehicle National Law and Other Legislation Amendment Act 2016" w:history="1">
        <w:r w:rsidR="00CE7069" w:rsidRPr="005E03F7">
          <w:rPr>
            <w:rStyle w:val="Hyperlink"/>
          </w:rPr>
          <w:t>A2016-65 (Qld)</w:t>
        </w:r>
      </w:hyperlink>
      <w:r>
        <w:rPr>
          <w:rStyle w:val="charCitHyperlinkAbbrev"/>
        </w:rPr>
        <w:t xml:space="preserve"> </w:t>
      </w:r>
      <w:r>
        <w:t>s 64</w:t>
      </w:r>
    </w:p>
    <w:p w14:paraId="25599955" w14:textId="77777777" w:rsidR="00AD3709" w:rsidRDefault="00AD3709" w:rsidP="00AD3709">
      <w:pPr>
        <w:pStyle w:val="AmdtsEntryHd"/>
      </w:pPr>
      <w:r w:rsidRPr="007E1F9A">
        <w:t>Intelligent access</w:t>
      </w:r>
      <w:r w:rsidR="006300C2">
        <w:t xml:space="preserve"> program</w:t>
      </w:r>
      <w:r w:rsidRPr="007E1F9A">
        <w:t xml:space="preserve"> reporting entity must not permit tampering with approved electronic recording system</w:t>
      </w:r>
    </w:p>
    <w:p w14:paraId="795C0C65" w14:textId="7D1E4648" w:rsidR="006300C2" w:rsidRPr="004E3500" w:rsidRDefault="006300C2" w:rsidP="005E03F7">
      <w:pPr>
        <w:pStyle w:val="AmdtsEntries"/>
      </w:pPr>
      <w:r>
        <w:t>s 337 hdg</w:t>
      </w:r>
      <w:r>
        <w:tab/>
        <w:t xml:space="preserve">am </w:t>
      </w:r>
      <w:hyperlink r:id="rId563" w:tooltip="Heavy Vehicle National Law and Other Legislation Amendment Act 2016" w:history="1">
        <w:r w:rsidR="00CE7069" w:rsidRPr="005E03F7">
          <w:rPr>
            <w:rStyle w:val="Hyperlink"/>
          </w:rPr>
          <w:t>A2016-65 (Qld)</w:t>
        </w:r>
      </w:hyperlink>
      <w:r>
        <w:rPr>
          <w:rStyle w:val="charCitHyperlinkAbbrev"/>
        </w:rPr>
        <w:t xml:space="preserve"> </w:t>
      </w:r>
      <w:r>
        <w:t>s 139</w:t>
      </w:r>
    </w:p>
    <w:p w14:paraId="5B547993" w14:textId="47905CD0" w:rsidR="00AD3709" w:rsidRPr="004E3500" w:rsidRDefault="00AD3709" w:rsidP="005E03F7">
      <w:pPr>
        <w:pStyle w:val="AmdtsEntries"/>
      </w:pPr>
      <w:r>
        <w:t>s 337</w:t>
      </w:r>
      <w:r>
        <w:tab/>
        <w:t xml:space="preserve">am </w:t>
      </w:r>
      <w:hyperlink r:id="rId564" w:tooltip="Heavy Vehicle National Law and Other Legislation Amendment Act 2016" w:history="1">
        <w:r w:rsidR="00CE7069" w:rsidRPr="005E03F7">
          <w:rPr>
            <w:rStyle w:val="Hyperlink"/>
          </w:rPr>
          <w:t>A2016-65 (Qld)</w:t>
        </w:r>
      </w:hyperlink>
      <w:r>
        <w:rPr>
          <w:rStyle w:val="charCitHyperlinkAbbrev"/>
        </w:rPr>
        <w:t xml:space="preserve"> </w:t>
      </w:r>
      <w:r>
        <w:t>s 139</w:t>
      </w:r>
      <w:r w:rsidR="00273D5E">
        <w:t xml:space="preserve">; </w:t>
      </w:r>
      <w:hyperlink r:id="rId565" w:tooltip="Heavy Vehicle National Law and Other Legislation Amendment Act 2016" w:history="1">
        <w:r w:rsidR="00CE7069" w:rsidRPr="005E03F7">
          <w:rPr>
            <w:rStyle w:val="Hyperlink"/>
          </w:rPr>
          <w:t>A2016-65 (Qld)</w:t>
        </w:r>
      </w:hyperlink>
      <w:r w:rsidR="00273D5E">
        <w:rPr>
          <w:rStyle w:val="charCitHyperlinkAbbrev"/>
        </w:rPr>
        <w:t xml:space="preserve"> </w:t>
      </w:r>
      <w:r w:rsidR="00273D5E">
        <w:t>s 65</w:t>
      </w:r>
    </w:p>
    <w:p w14:paraId="52C8D20B" w14:textId="77777777" w:rsidR="00117A04" w:rsidRPr="004B4F2A" w:rsidRDefault="00117A04" w:rsidP="00117A04">
      <w:pPr>
        <w:pStyle w:val="AmdtsEntryHd"/>
      </w:pPr>
      <w:r>
        <w:t>Period for which, and way in which, records must be kept</w:t>
      </w:r>
    </w:p>
    <w:p w14:paraId="7D2EE16F" w14:textId="69BABDFF" w:rsidR="00117A04" w:rsidRPr="00A13B61" w:rsidRDefault="00117A04" w:rsidP="005E03F7">
      <w:pPr>
        <w:pStyle w:val="AmdtsEntries"/>
      </w:pPr>
      <w:r>
        <w:t>s 341</w:t>
      </w:r>
      <w:r>
        <w:tab/>
        <w:t xml:space="preserve">am </w:t>
      </w:r>
      <w:hyperlink r:id="rId566" w:tooltip="Heavy Vehicle National Law Amendment Act 2015" w:history="1">
        <w:r w:rsidR="00BA6441">
          <w:rPr>
            <w:rStyle w:val="charCitHyperlinkAbbrev"/>
          </w:rPr>
          <w:t>A2015-12</w:t>
        </w:r>
      </w:hyperlink>
      <w:r w:rsidR="00BA6441">
        <w:t xml:space="preserve"> (Qld)</w:t>
      </w:r>
      <w:r>
        <w:t xml:space="preserve"> s 40</w:t>
      </w:r>
      <w:r w:rsidR="00273D5E">
        <w:t xml:space="preserve">; </w:t>
      </w:r>
      <w:hyperlink r:id="rId567" w:tooltip="Heavy Vehicle National Law and Other Legislation Amendment Act 2016" w:history="1">
        <w:r w:rsidR="00CE7069" w:rsidRPr="005E03F7">
          <w:rPr>
            <w:rStyle w:val="Hyperlink"/>
          </w:rPr>
          <w:t>A2016-65 (Qld)</w:t>
        </w:r>
      </w:hyperlink>
      <w:r w:rsidR="00273D5E">
        <w:rPr>
          <w:rStyle w:val="charCitHyperlinkAbbrev"/>
        </w:rPr>
        <w:t xml:space="preserve"> </w:t>
      </w:r>
      <w:r w:rsidR="00273D5E">
        <w:t>s 66</w:t>
      </w:r>
    </w:p>
    <w:p w14:paraId="0A8B5FAE" w14:textId="77777777" w:rsidR="00762DCC" w:rsidRPr="004B4F2A" w:rsidRDefault="00762DCC" w:rsidP="00762DCC">
      <w:pPr>
        <w:pStyle w:val="AmdtsEntryHd"/>
      </w:pPr>
      <w:r>
        <w:t>Deciding application for approval</w:t>
      </w:r>
    </w:p>
    <w:p w14:paraId="1FE24F89" w14:textId="3C17C132" w:rsidR="00762DCC" w:rsidRPr="00A13B61" w:rsidRDefault="00762DCC" w:rsidP="00762DCC">
      <w:pPr>
        <w:pStyle w:val="AmdtsEntries"/>
      </w:pPr>
      <w:r>
        <w:t>s 343</w:t>
      </w:r>
      <w:r>
        <w:tab/>
        <w:t xml:space="preserve">am </w:t>
      </w:r>
      <w:hyperlink r:id="rId568" w:tooltip="Heavy Vehicle National Law Amendment Act 2015" w:history="1">
        <w:r w:rsidR="00BA6441">
          <w:rPr>
            <w:rStyle w:val="charCitHyperlinkAbbrev"/>
          </w:rPr>
          <w:t>A2015-12</w:t>
        </w:r>
      </w:hyperlink>
      <w:r w:rsidR="00BA6441">
        <w:t xml:space="preserve"> (Qld)</w:t>
      </w:r>
      <w:r>
        <w:t xml:space="preserve"> s 41</w:t>
      </w:r>
    </w:p>
    <w:p w14:paraId="4811EC86" w14:textId="77777777" w:rsidR="00EE146E" w:rsidRPr="004B4F2A" w:rsidRDefault="00EE146E" w:rsidP="00EE146E">
      <w:pPr>
        <w:pStyle w:val="AmdtsEntryHd"/>
      </w:pPr>
      <w:r>
        <w:t>Steps after decision to grant approval</w:t>
      </w:r>
    </w:p>
    <w:p w14:paraId="72AB9B88" w14:textId="765B61AB" w:rsidR="00EE146E" w:rsidRPr="00A13B61" w:rsidRDefault="00EE146E" w:rsidP="00EE146E">
      <w:pPr>
        <w:pStyle w:val="AmdtsEntries"/>
      </w:pPr>
      <w:r>
        <w:t>s 344</w:t>
      </w:r>
      <w:r>
        <w:tab/>
        <w:t xml:space="preserve">am </w:t>
      </w:r>
      <w:hyperlink r:id="rId569" w:tooltip="Heavy Vehicle National Law Amendment Act 2015" w:history="1">
        <w:r w:rsidR="00BA6441">
          <w:rPr>
            <w:rStyle w:val="charCitHyperlinkAbbrev"/>
          </w:rPr>
          <w:t>A2015-12</w:t>
        </w:r>
      </w:hyperlink>
      <w:r w:rsidR="00BA6441">
        <w:t xml:space="preserve"> (Qld)</w:t>
      </w:r>
      <w:r>
        <w:t xml:space="preserve"> s 42</w:t>
      </w:r>
    </w:p>
    <w:p w14:paraId="3C7A9BDB" w14:textId="77777777" w:rsidR="0091007F" w:rsidRDefault="00EE146E" w:rsidP="00816477">
      <w:pPr>
        <w:pStyle w:val="AmdtsEntryHd"/>
        <w:rPr>
          <w:rFonts w:ascii="Helvetica" w:hAnsi="Helvetica" w:cs="Helvetica"/>
          <w:iCs/>
        </w:rPr>
      </w:pPr>
      <w:r>
        <w:rPr>
          <w:rFonts w:ascii="Helvetica" w:hAnsi="Helvetica" w:cs="Helvetica"/>
          <w:iCs/>
        </w:rPr>
        <w:t>Using unapproved electronic recording system</w:t>
      </w:r>
    </w:p>
    <w:p w14:paraId="46B9E651" w14:textId="77777777" w:rsidR="00EE146E" w:rsidRDefault="00EE146E" w:rsidP="00EE146E">
      <w:pPr>
        <w:pStyle w:val="AmdtsEntries"/>
      </w:pPr>
      <w:r>
        <w:t>Pt</w:t>
      </w:r>
      <w:r w:rsidR="00ED3E46">
        <w:t xml:space="preserve"> 6.4, Div 7,</w:t>
      </w:r>
    </w:p>
    <w:p w14:paraId="64C58F62" w14:textId="2ABEDA67" w:rsidR="00EE146E" w:rsidRDefault="00EE146E" w:rsidP="00EE146E">
      <w:pPr>
        <w:pStyle w:val="AmdtsEntries"/>
      </w:pPr>
      <w:r>
        <w:t>Sdiv 2 hdg</w:t>
      </w:r>
      <w:r>
        <w:tab/>
        <w:t xml:space="preserve">sub </w:t>
      </w:r>
      <w:hyperlink r:id="rId570" w:tooltip="Heavy Vehicle National Law Amendment Act 2015" w:history="1">
        <w:r w:rsidR="00BA6441">
          <w:rPr>
            <w:rStyle w:val="charCitHyperlinkAbbrev"/>
          </w:rPr>
          <w:t>A2015-12</w:t>
        </w:r>
      </w:hyperlink>
      <w:r w:rsidR="00BA6441">
        <w:t xml:space="preserve"> (Qld)</w:t>
      </w:r>
      <w:r>
        <w:t xml:space="preserve"> s 43</w:t>
      </w:r>
    </w:p>
    <w:p w14:paraId="0A1A9A44" w14:textId="77777777" w:rsidR="000B7597" w:rsidRPr="004B4F2A" w:rsidRDefault="000B7597" w:rsidP="000B7597">
      <w:pPr>
        <w:pStyle w:val="AmdtsEntryHd"/>
      </w:pPr>
      <w:r>
        <w:t>Prohibition on using electronic work diary if it is not, and is not a part of, an approved electronic recording system</w:t>
      </w:r>
    </w:p>
    <w:p w14:paraId="399CD940" w14:textId="76CD6FDD" w:rsidR="000B7597" w:rsidRPr="00A13B61" w:rsidRDefault="000B7597" w:rsidP="000B7597">
      <w:pPr>
        <w:pStyle w:val="AmdtsEntries"/>
      </w:pPr>
      <w:r>
        <w:t>s 347</w:t>
      </w:r>
      <w:r>
        <w:tab/>
        <w:t xml:space="preserve">sub </w:t>
      </w:r>
      <w:hyperlink r:id="rId571" w:tooltip="Heavy Vehicle National Law Amendment Act 2015" w:history="1">
        <w:r w:rsidR="00BA6441">
          <w:rPr>
            <w:rStyle w:val="charCitHyperlinkAbbrev"/>
          </w:rPr>
          <w:t>A2015-12</w:t>
        </w:r>
      </w:hyperlink>
      <w:r w:rsidR="00BA6441">
        <w:t xml:space="preserve"> (Qld)</w:t>
      </w:r>
      <w:r>
        <w:t xml:space="preserve"> s 43</w:t>
      </w:r>
    </w:p>
    <w:p w14:paraId="51474F14" w14:textId="77777777" w:rsidR="000B7597" w:rsidRPr="004B4F2A" w:rsidRDefault="000B7597" w:rsidP="000B7597">
      <w:pPr>
        <w:pStyle w:val="AmdtsEntryHd"/>
      </w:pPr>
      <w:r w:rsidRPr="007E1F9A">
        <w:t>Particular label indicates device is an approved electronic recording system</w:t>
      </w:r>
    </w:p>
    <w:p w14:paraId="37B1A282" w14:textId="4249784E" w:rsidR="000B7597" w:rsidRPr="00A13B61" w:rsidRDefault="000B7597" w:rsidP="000B7597">
      <w:pPr>
        <w:pStyle w:val="AmdtsEntries"/>
      </w:pPr>
      <w:r>
        <w:t>s 348</w:t>
      </w:r>
      <w:r>
        <w:tab/>
        <w:t xml:space="preserve">om </w:t>
      </w:r>
      <w:hyperlink r:id="rId572" w:tooltip="Heavy Vehicle National Law Amendment Act 2015" w:history="1">
        <w:r w:rsidR="00BA6441">
          <w:rPr>
            <w:rStyle w:val="charCitHyperlinkAbbrev"/>
          </w:rPr>
          <w:t>A2015-12</w:t>
        </w:r>
      </w:hyperlink>
      <w:r w:rsidR="00BA6441">
        <w:t xml:space="preserve"> (Qld)</w:t>
      </w:r>
      <w:r>
        <w:t xml:space="preserve"> s 43</w:t>
      </w:r>
    </w:p>
    <w:p w14:paraId="34B432D0" w14:textId="77777777" w:rsidR="000B7597" w:rsidRPr="004B4F2A" w:rsidRDefault="000B7597" w:rsidP="000B7597">
      <w:pPr>
        <w:pStyle w:val="AmdtsEntryHd"/>
      </w:pPr>
      <w:r w:rsidRPr="007E1F9A">
        <w:t>Effect of electronic work diary label on device</w:t>
      </w:r>
    </w:p>
    <w:p w14:paraId="000E2A63" w14:textId="17992E77" w:rsidR="000B7597" w:rsidRPr="00A13B61" w:rsidRDefault="000B7597" w:rsidP="000B7597">
      <w:pPr>
        <w:pStyle w:val="AmdtsEntries"/>
      </w:pPr>
      <w:r>
        <w:t>s 349</w:t>
      </w:r>
      <w:r>
        <w:tab/>
        <w:t xml:space="preserve">om </w:t>
      </w:r>
      <w:hyperlink r:id="rId573" w:tooltip="Heavy Vehicle National Law Amendment Act 2015" w:history="1">
        <w:r w:rsidR="00BA6441">
          <w:rPr>
            <w:rStyle w:val="charCitHyperlinkAbbrev"/>
          </w:rPr>
          <w:t>A2015-12</w:t>
        </w:r>
      </w:hyperlink>
      <w:r w:rsidR="00BA6441">
        <w:t xml:space="preserve"> (Qld)</w:t>
      </w:r>
      <w:r>
        <w:t xml:space="preserve"> s 43</w:t>
      </w:r>
    </w:p>
    <w:p w14:paraId="3A7CBCC1" w14:textId="77777777" w:rsidR="000B7597" w:rsidRPr="004B4F2A" w:rsidRDefault="000B7597" w:rsidP="000B7597">
      <w:pPr>
        <w:pStyle w:val="AmdtsEntryHd"/>
      </w:pPr>
      <w:r w:rsidRPr="007E1F9A">
        <w:t>Prohibition on using device as electronic work diary if it is not, and is not a part of, an approved electronic recording system</w:t>
      </w:r>
    </w:p>
    <w:p w14:paraId="5E621912" w14:textId="6A9854CF" w:rsidR="000B7597" w:rsidRPr="00A13B61" w:rsidRDefault="000B7597" w:rsidP="000B7597">
      <w:pPr>
        <w:pStyle w:val="AmdtsEntries"/>
      </w:pPr>
      <w:r>
        <w:t>s 350</w:t>
      </w:r>
      <w:r>
        <w:tab/>
        <w:t xml:space="preserve">om </w:t>
      </w:r>
      <w:hyperlink r:id="rId574" w:tooltip="Heavy Vehicle National Law Amendment Act 2015" w:history="1">
        <w:r w:rsidR="00BA6441">
          <w:rPr>
            <w:rStyle w:val="charCitHyperlinkAbbrev"/>
          </w:rPr>
          <w:t>A2015-12</w:t>
        </w:r>
      </w:hyperlink>
      <w:r w:rsidR="00BA6441">
        <w:t xml:space="preserve"> (Qld)</w:t>
      </w:r>
      <w:r>
        <w:t xml:space="preserve"> s 43</w:t>
      </w:r>
    </w:p>
    <w:p w14:paraId="7468B0A9" w14:textId="77777777" w:rsidR="00ED3E46" w:rsidRPr="004B4F2A" w:rsidRDefault="00ED3E46" w:rsidP="00ED3E46">
      <w:pPr>
        <w:pStyle w:val="AmdtsEntryHd"/>
      </w:pPr>
      <w:r>
        <w:t>Requirements if approval cancelled</w:t>
      </w:r>
    </w:p>
    <w:p w14:paraId="6F4E3D86" w14:textId="70FA7146" w:rsidR="00EC7559" w:rsidRPr="00EE146E" w:rsidRDefault="00ED3E46" w:rsidP="00EE146E">
      <w:pPr>
        <w:pStyle w:val="AmdtsEntries"/>
      </w:pPr>
      <w:r>
        <w:t>s 355</w:t>
      </w:r>
      <w:r>
        <w:tab/>
        <w:t xml:space="preserve">am </w:t>
      </w:r>
      <w:hyperlink r:id="rId575" w:tooltip="Heavy Vehicle National Law Amendment Act 2015" w:history="1">
        <w:r w:rsidR="00BA6441">
          <w:rPr>
            <w:rStyle w:val="charCitHyperlinkAbbrev"/>
          </w:rPr>
          <w:t>A2015-12</w:t>
        </w:r>
      </w:hyperlink>
      <w:r w:rsidR="00BA6441">
        <w:t xml:space="preserve"> (Qld)</w:t>
      </w:r>
      <w:r w:rsidR="009C6B2D">
        <w:t xml:space="preserve"> </w:t>
      </w:r>
      <w:r>
        <w:t>s 44</w:t>
      </w:r>
    </w:p>
    <w:p w14:paraId="279B40E2" w14:textId="77777777" w:rsidR="004F33A1" w:rsidRDefault="004F33A1" w:rsidP="004F33A1">
      <w:pPr>
        <w:pStyle w:val="AmdtsEntryHd"/>
      </w:pPr>
      <w:r w:rsidRPr="007E1F9A">
        <w:lastRenderedPageBreak/>
        <w:t>Amendment or cancellation of work diary exemption (notice)</w:t>
      </w:r>
    </w:p>
    <w:p w14:paraId="0A14D3AE" w14:textId="52D86FBB" w:rsidR="004F33A1" w:rsidRPr="001C5C1A" w:rsidRDefault="004F33A1" w:rsidP="005E03F7">
      <w:pPr>
        <w:pStyle w:val="AmdtsEntries"/>
      </w:pPr>
      <w:r>
        <w:t>s 362</w:t>
      </w:r>
      <w:r>
        <w:tab/>
        <w:t xml:space="preserve">am </w:t>
      </w:r>
      <w:hyperlink r:id="rId576" w:tooltip="Heavy Vehicle National Law and Other Legislation Amendment Act 2016" w:history="1">
        <w:r w:rsidR="00CE7069" w:rsidRPr="005E03F7">
          <w:rPr>
            <w:rStyle w:val="Hyperlink"/>
          </w:rPr>
          <w:t>A2016-65 (Qld)</w:t>
        </w:r>
      </w:hyperlink>
      <w:r>
        <w:t xml:space="preserve"> s 130</w:t>
      </w:r>
    </w:p>
    <w:p w14:paraId="5C0968D1" w14:textId="77777777" w:rsidR="000476D5" w:rsidRDefault="000476D5" w:rsidP="004F33A1">
      <w:pPr>
        <w:pStyle w:val="AmdtsEntryHd"/>
      </w:pPr>
      <w:r w:rsidRPr="007E1F9A">
        <w:t>Keeping relevant document while operating under work diary exemption (notice)</w:t>
      </w:r>
    </w:p>
    <w:p w14:paraId="7006F303" w14:textId="544348F3" w:rsidR="000476D5" w:rsidRPr="000476D5" w:rsidRDefault="000476D5" w:rsidP="005E03F7">
      <w:pPr>
        <w:pStyle w:val="AmdtsEntries"/>
      </w:pPr>
      <w:r>
        <w:t>s 376</w:t>
      </w:r>
      <w:r>
        <w:tab/>
        <w:t xml:space="preserve">am </w:t>
      </w:r>
      <w:hyperlink r:id="rId577" w:tooltip="Heavy Vehicle National Law and Other Legislation Amendment Act 2016" w:history="1">
        <w:r w:rsidR="00CE7069" w:rsidRPr="005E03F7">
          <w:rPr>
            <w:rStyle w:val="Hyperlink"/>
          </w:rPr>
          <w:t>A2016-65 (Qld)</w:t>
        </w:r>
      </w:hyperlink>
      <w:r>
        <w:t xml:space="preserve"> s 67</w:t>
      </w:r>
    </w:p>
    <w:p w14:paraId="55A5B92B" w14:textId="77777777" w:rsidR="004F33A1" w:rsidRDefault="004F33A1" w:rsidP="004F33A1">
      <w:pPr>
        <w:pStyle w:val="AmdtsEntryHd"/>
      </w:pPr>
      <w:r w:rsidRPr="007E1F9A">
        <w:t>Amendment or cancellation of fatigue record keeping exemption (notice)</w:t>
      </w:r>
    </w:p>
    <w:p w14:paraId="51BD82DB" w14:textId="34528152" w:rsidR="004F33A1" w:rsidRPr="001C5C1A" w:rsidRDefault="004F33A1" w:rsidP="005E03F7">
      <w:pPr>
        <w:pStyle w:val="AmdtsEntries"/>
      </w:pPr>
      <w:r>
        <w:t>s 382</w:t>
      </w:r>
      <w:r>
        <w:tab/>
        <w:t xml:space="preserve">am </w:t>
      </w:r>
      <w:hyperlink r:id="rId578" w:tooltip="Heavy Vehicle National Law and Other Legislation Amendment Act 2016" w:history="1">
        <w:r w:rsidR="00CE7069" w:rsidRPr="005E03F7">
          <w:rPr>
            <w:rStyle w:val="Hyperlink"/>
          </w:rPr>
          <w:t>A2016-65 (Qld)</w:t>
        </w:r>
      </w:hyperlink>
      <w:r>
        <w:t xml:space="preserve"> s 131</w:t>
      </w:r>
    </w:p>
    <w:p w14:paraId="6E51FC66" w14:textId="77777777" w:rsidR="000476D5" w:rsidRDefault="000476D5" w:rsidP="000476D5">
      <w:pPr>
        <w:pStyle w:val="AmdtsEntryHd"/>
      </w:pPr>
      <w:r w:rsidRPr="007E1F9A">
        <w:t>Owner must maintain odometer</w:t>
      </w:r>
    </w:p>
    <w:p w14:paraId="5A4CC406" w14:textId="5C3807F8" w:rsidR="000476D5" w:rsidRPr="000476D5" w:rsidRDefault="000476D5" w:rsidP="005E03F7">
      <w:pPr>
        <w:pStyle w:val="AmdtsEntries"/>
      </w:pPr>
      <w:r>
        <w:t>s 396</w:t>
      </w:r>
      <w:r>
        <w:tab/>
        <w:t xml:space="preserve">am </w:t>
      </w:r>
      <w:hyperlink r:id="rId579" w:tooltip="Heavy Vehicle National Law and Other Legislation Amendment Act 2016" w:history="1">
        <w:r w:rsidR="00CE7069" w:rsidRPr="005E03F7">
          <w:rPr>
            <w:rStyle w:val="Hyperlink"/>
          </w:rPr>
          <w:t>A2016-65 (Qld)</w:t>
        </w:r>
      </w:hyperlink>
      <w:r>
        <w:t xml:space="preserve"> s 68</w:t>
      </w:r>
    </w:p>
    <w:p w14:paraId="4E08F478" w14:textId="77777777" w:rsidR="000476D5" w:rsidRDefault="000476D5" w:rsidP="000476D5">
      <w:pPr>
        <w:pStyle w:val="AmdtsEntryHd"/>
      </w:pPr>
      <w:r w:rsidRPr="007E1F9A">
        <w:t>What owner must do if odometer malfunctioning</w:t>
      </w:r>
    </w:p>
    <w:p w14:paraId="489774B6" w14:textId="6C96A57C" w:rsidR="000476D5" w:rsidRPr="000476D5" w:rsidRDefault="000476D5" w:rsidP="005E03F7">
      <w:pPr>
        <w:pStyle w:val="AmdtsEntries"/>
      </w:pPr>
      <w:r>
        <w:t>s 398</w:t>
      </w:r>
      <w:r>
        <w:tab/>
        <w:t xml:space="preserve">am </w:t>
      </w:r>
      <w:hyperlink r:id="rId580" w:tooltip="Heavy Vehicle National Law and Other Legislation Amendment Act 2016" w:history="1">
        <w:r w:rsidR="00CE7069" w:rsidRPr="005E03F7">
          <w:rPr>
            <w:rStyle w:val="Hyperlink"/>
          </w:rPr>
          <w:t>A2016-65 (Qld)</w:t>
        </w:r>
      </w:hyperlink>
      <w:r>
        <w:t xml:space="preserve"> s 69</w:t>
      </w:r>
    </w:p>
    <w:p w14:paraId="75655124" w14:textId="77777777" w:rsidR="000476D5" w:rsidRDefault="000476D5" w:rsidP="000476D5">
      <w:pPr>
        <w:pStyle w:val="AmdtsEntryHd"/>
      </w:pPr>
      <w:r w:rsidRPr="007E1F9A">
        <w:t>What employer or operator must do if odometer malfunctioning</w:t>
      </w:r>
    </w:p>
    <w:p w14:paraId="4AE6C8EA" w14:textId="6A577191" w:rsidR="000476D5" w:rsidRPr="000476D5" w:rsidRDefault="000476D5" w:rsidP="005E03F7">
      <w:pPr>
        <w:pStyle w:val="AmdtsEntries"/>
      </w:pPr>
      <w:r>
        <w:t>s 399</w:t>
      </w:r>
      <w:r>
        <w:tab/>
        <w:t xml:space="preserve">am </w:t>
      </w:r>
      <w:hyperlink r:id="rId581" w:tooltip="Heavy Vehicle National Law and Other Legislation Amendment Act 2016" w:history="1">
        <w:r w:rsidR="00CE7069" w:rsidRPr="005E03F7">
          <w:rPr>
            <w:rStyle w:val="Hyperlink"/>
          </w:rPr>
          <w:t>A2016-65 (Qld)</w:t>
        </w:r>
      </w:hyperlink>
      <w:r>
        <w:t xml:space="preserve"> s 70</w:t>
      </w:r>
    </w:p>
    <w:p w14:paraId="12B69626" w14:textId="77777777" w:rsidR="004D207A" w:rsidRDefault="004D207A" w:rsidP="004D207A">
      <w:pPr>
        <w:pStyle w:val="AmdtsEntryHd"/>
      </w:pPr>
      <w:r w:rsidRPr="007E1F9A">
        <w:t>Main purposes of Ch 7</w:t>
      </w:r>
    </w:p>
    <w:p w14:paraId="01AADAD1" w14:textId="37ACBAB1" w:rsidR="004D207A" w:rsidRPr="004E3500" w:rsidRDefault="004D207A" w:rsidP="005E03F7">
      <w:pPr>
        <w:pStyle w:val="AmdtsEntries"/>
      </w:pPr>
      <w:r>
        <w:t>s 400</w:t>
      </w:r>
      <w:r>
        <w:tab/>
        <w:t xml:space="preserve">am </w:t>
      </w:r>
      <w:hyperlink r:id="rId582" w:tooltip="Heavy Vehicle National Law and Other Legislation Amendment Act 2016" w:history="1">
        <w:r w:rsidR="00BE1EC2" w:rsidRPr="005E03F7">
          <w:rPr>
            <w:rStyle w:val="Hyperlink"/>
          </w:rPr>
          <w:t>A2016-65 (Qld)</w:t>
        </w:r>
      </w:hyperlink>
      <w:r>
        <w:rPr>
          <w:rStyle w:val="charCitHyperlinkAbbrev"/>
        </w:rPr>
        <w:t xml:space="preserve"> </w:t>
      </w:r>
      <w:r>
        <w:t>s 139</w:t>
      </w:r>
    </w:p>
    <w:p w14:paraId="12994172" w14:textId="77777777" w:rsidR="004D207A" w:rsidRDefault="004D207A" w:rsidP="004D207A">
      <w:pPr>
        <w:pStyle w:val="AmdtsEntryHd"/>
      </w:pPr>
      <w:r w:rsidRPr="007E1F9A">
        <w:t>Application of Ch 7</w:t>
      </w:r>
    </w:p>
    <w:p w14:paraId="1C706AC4" w14:textId="7882EB2B" w:rsidR="004D207A" w:rsidRPr="004E3500" w:rsidRDefault="004D207A" w:rsidP="005E03F7">
      <w:pPr>
        <w:pStyle w:val="AmdtsEntries"/>
      </w:pPr>
      <w:r>
        <w:t>s 402</w:t>
      </w:r>
      <w:r>
        <w:tab/>
        <w:t xml:space="preserve">am </w:t>
      </w:r>
      <w:hyperlink r:id="rId583" w:tooltip="Heavy Vehicle National Law and Other Legislation Amendment Act 2016" w:history="1">
        <w:r w:rsidR="00BE1EC2" w:rsidRPr="005E03F7">
          <w:rPr>
            <w:rStyle w:val="Hyperlink"/>
          </w:rPr>
          <w:t>A2016-65 (Qld)</w:t>
        </w:r>
      </w:hyperlink>
      <w:r>
        <w:rPr>
          <w:rStyle w:val="charCitHyperlinkAbbrev"/>
        </w:rPr>
        <w:t xml:space="preserve"> </w:t>
      </w:r>
      <w:r>
        <w:t>s 139</w:t>
      </w:r>
    </w:p>
    <w:p w14:paraId="1FBC9C19" w14:textId="77777777" w:rsidR="004E3500" w:rsidRDefault="004E3500" w:rsidP="004559C8">
      <w:pPr>
        <w:pStyle w:val="AmdtsEntryHd"/>
      </w:pPr>
      <w:r w:rsidRPr="007E1F9A">
        <w:t>Definitions for Ch 7</w:t>
      </w:r>
    </w:p>
    <w:p w14:paraId="21BD3C15" w14:textId="5184CCC7" w:rsidR="006741F2" w:rsidRPr="004E3500" w:rsidRDefault="006741F2" w:rsidP="005E03F7">
      <w:pPr>
        <w:pStyle w:val="AmdtsEntries"/>
      </w:pPr>
      <w:r>
        <w:t>s 403</w:t>
      </w:r>
      <w:r>
        <w:tab/>
        <w:t>def</w:t>
      </w:r>
      <w:r w:rsidRPr="004E3500">
        <w:rPr>
          <w:rStyle w:val="charBoldItals"/>
        </w:rPr>
        <w:t xml:space="preserve"> intelligent access agreement</w:t>
      </w:r>
      <w:r>
        <w:t xml:space="preserve"> om </w:t>
      </w:r>
      <w:hyperlink r:id="rId584" w:tooltip="Heavy Vehicle National Law and Other Legislation Amendment Act 2016" w:history="1">
        <w:r w:rsidR="00BE1EC2" w:rsidRPr="005E03F7">
          <w:rPr>
            <w:rStyle w:val="Hyperlink"/>
          </w:rPr>
          <w:t>A2016-65 (Qld)</w:t>
        </w:r>
      </w:hyperlink>
      <w:r>
        <w:rPr>
          <w:rStyle w:val="charCitHyperlinkAbbrev"/>
        </w:rPr>
        <w:t xml:space="preserve"> </w:t>
      </w:r>
      <w:r>
        <w:t>s 139</w:t>
      </w:r>
    </w:p>
    <w:p w14:paraId="73B6B2AA" w14:textId="6EB0C761" w:rsidR="008575CD" w:rsidRPr="004E3500" w:rsidRDefault="008575CD" w:rsidP="005E03F7">
      <w:pPr>
        <w:pStyle w:val="AmdtsEntries"/>
      </w:pPr>
      <w:r>
        <w:tab/>
        <w:t>def</w:t>
      </w:r>
      <w:r w:rsidRPr="004E3500">
        <w:rPr>
          <w:rStyle w:val="charBoldItals"/>
        </w:rPr>
        <w:t xml:space="preserve"> intelligent access </w:t>
      </w:r>
      <w:r>
        <w:rPr>
          <w:rStyle w:val="charBoldItals"/>
        </w:rPr>
        <w:t>audit</w:t>
      </w:r>
      <w:r>
        <w:t xml:space="preserve"> om </w:t>
      </w:r>
      <w:hyperlink r:id="rId585" w:tooltip="Heavy Vehicle National Law and Other Legislation Amendment Act 2016" w:history="1">
        <w:r w:rsidR="00BE1EC2" w:rsidRPr="005E03F7">
          <w:rPr>
            <w:rStyle w:val="Hyperlink"/>
          </w:rPr>
          <w:t>A2016-65 (Qld)</w:t>
        </w:r>
      </w:hyperlink>
      <w:r>
        <w:rPr>
          <w:rStyle w:val="charCitHyperlinkAbbrev"/>
        </w:rPr>
        <w:t xml:space="preserve"> </w:t>
      </w:r>
      <w:r>
        <w:t>s 139</w:t>
      </w:r>
    </w:p>
    <w:p w14:paraId="42F11713" w14:textId="0EDDD352" w:rsidR="004D207A" w:rsidRPr="004E3500" w:rsidRDefault="004D207A" w:rsidP="005E03F7">
      <w:pPr>
        <w:pStyle w:val="AmdtsEntries"/>
      </w:pPr>
      <w:r>
        <w:tab/>
        <w:t>def</w:t>
      </w:r>
      <w:r w:rsidRPr="004E3500">
        <w:rPr>
          <w:rStyle w:val="charBoldItals"/>
        </w:rPr>
        <w:t xml:space="preserve"> intelligent access </w:t>
      </w:r>
      <w:r>
        <w:rPr>
          <w:rStyle w:val="charBoldItals"/>
        </w:rPr>
        <w:t>conditions</w:t>
      </w:r>
      <w:r>
        <w:t xml:space="preserve"> om </w:t>
      </w:r>
      <w:hyperlink r:id="rId586" w:tooltip="Heavy Vehicle National Law and Other Legislation Amendment Act 2016" w:history="1">
        <w:r w:rsidR="00BE1EC2" w:rsidRPr="005E03F7">
          <w:rPr>
            <w:rStyle w:val="Hyperlink"/>
          </w:rPr>
          <w:t>A2016-65 (Qld)</w:t>
        </w:r>
      </w:hyperlink>
      <w:r>
        <w:rPr>
          <w:rStyle w:val="charCitHyperlinkAbbrev"/>
        </w:rPr>
        <w:t xml:space="preserve"> </w:t>
      </w:r>
      <w:r>
        <w:t>s 139</w:t>
      </w:r>
    </w:p>
    <w:p w14:paraId="360EFC5C" w14:textId="6F00A6A9" w:rsidR="00FE4A99" w:rsidRPr="004E3500" w:rsidRDefault="00FE4A99" w:rsidP="005E03F7">
      <w:pPr>
        <w:pStyle w:val="AmdtsEntries"/>
      </w:pPr>
      <w:r>
        <w:tab/>
        <w:t>def</w:t>
      </w:r>
      <w:r w:rsidRPr="004E3500">
        <w:rPr>
          <w:rStyle w:val="charBoldItals"/>
        </w:rPr>
        <w:t xml:space="preserve"> intelligent access </w:t>
      </w:r>
      <w:r>
        <w:rPr>
          <w:rStyle w:val="charBoldItals"/>
        </w:rPr>
        <w:t>information</w:t>
      </w:r>
      <w:r>
        <w:t xml:space="preserve"> om </w:t>
      </w:r>
      <w:hyperlink r:id="rId587" w:tooltip="Heavy Vehicle National Law and Other Legislation Amendment Act 2016" w:history="1">
        <w:r w:rsidR="00BE1EC2" w:rsidRPr="005E03F7">
          <w:rPr>
            <w:rStyle w:val="Hyperlink"/>
          </w:rPr>
          <w:t>A2016-65 (Qld)</w:t>
        </w:r>
      </w:hyperlink>
      <w:r>
        <w:rPr>
          <w:rStyle w:val="charCitHyperlinkAbbrev"/>
        </w:rPr>
        <w:t xml:space="preserve"> </w:t>
      </w:r>
      <w:r>
        <w:t>s 139</w:t>
      </w:r>
    </w:p>
    <w:p w14:paraId="77F421B2" w14:textId="0706923E" w:rsidR="006741F2" w:rsidRPr="004E3500" w:rsidRDefault="006741F2" w:rsidP="005E03F7">
      <w:pPr>
        <w:pStyle w:val="AmdtsEntries"/>
      </w:pPr>
      <w:r>
        <w:tab/>
        <w:t>def</w:t>
      </w:r>
      <w:r w:rsidRPr="004E3500">
        <w:rPr>
          <w:rStyle w:val="charBoldItals"/>
        </w:rPr>
        <w:t xml:space="preserve"> intelligent access </w:t>
      </w:r>
      <w:r>
        <w:rPr>
          <w:rStyle w:val="charBoldItals"/>
        </w:rPr>
        <w:t xml:space="preserve">program </w:t>
      </w:r>
      <w:r w:rsidRPr="004E3500">
        <w:rPr>
          <w:rStyle w:val="charBoldItals"/>
        </w:rPr>
        <w:t>agreement</w:t>
      </w:r>
      <w:r>
        <w:t xml:space="preserve"> ins </w:t>
      </w:r>
      <w:hyperlink r:id="rId588" w:tooltip="Heavy Vehicle National Law and Other Legislation Amendment Act 2016" w:history="1">
        <w:r w:rsidR="00BE1EC2" w:rsidRPr="005E03F7">
          <w:rPr>
            <w:rStyle w:val="Hyperlink"/>
          </w:rPr>
          <w:t>A2016-65 (Qld)</w:t>
        </w:r>
      </w:hyperlink>
      <w:r>
        <w:rPr>
          <w:rStyle w:val="charCitHyperlinkAbbrev"/>
        </w:rPr>
        <w:t xml:space="preserve"> </w:t>
      </w:r>
      <w:r>
        <w:t>s 139</w:t>
      </w:r>
    </w:p>
    <w:p w14:paraId="6BBDA66B" w14:textId="2224F6EB" w:rsidR="004957FF" w:rsidRPr="004E3500" w:rsidRDefault="004957FF" w:rsidP="005E03F7">
      <w:pPr>
        <w:pStyle w:val="AmdtsEntries"/>
      </w:pPr>
      <w:r>
        <w:tab/>
        <w:t>def</w:t>
      </w:r>
      <w:r w:rsidRPr="004E3500">
        <w:rPr>
          <w:rStyle w:val="charBoldItals"/>
        </w:rPr>
        <w:t xml:space="preserve"> intelligent access </w:t>
      </w:r>
      <w:r>
        <w:rPr>
          <w:rStyle w:val="charBoldItals"/>
        </w:rPr>
        <w:t>program audit</w:t>
      </w:r>
      <w:r>
        <w:t xml:space="preserve"> ins </w:t>
      </w:r>
      <w:hyperlink r:id="rId589" w:tooltip="Heavy Vehicle National Law and Other Legislation Amendment Act 2016" w:history="1">
        <w:r w:rsidR="00BE1EC2" w:rsidRPr="005E03F7">
          <w:rPr>
            <w:rStyle w:val="Hyperlink"/>
          </w:rPr>
          <w:t>A2016-65 (Qld)</w:t>
        </w:r>
      </w:hyperlink>
      <w:r>
        <w:rPr>
          <w:rStyle w:val="charCitHyperlinkAbbrev"/>
        </w:rPr>
        <w:t xml:space="preserve"> </w:t>
      </w:r>
      <w:r>
        <w:t>s 139</w:t>
      </w:r>
    </w:p>
    <w:p w14:paraId="65A64158" w14:textId="7F215728" w:rsidR="004957FF" w:rsidRPr="004E3500" w:rsidRDefault="004957FF" w:rsidP="005E03F7">
      <w:pPr>
        <w:pStyle w:val="AmdtsEntries"/>
      </w:pPr>
      <w:r>
        <w:tab/>
        <w:t>def</w:t>
      </w:r>
      <w:r w:rsidRPr="004E3500">
        <w:rPr>
          <w:rStyle w:val="charBoldItals"/>
        </w:rPr>
        <w:t xml:space="preserve"> intelligent access </w:t>
      </w:r>
      <w:r>
        <w:rPr>
          <w:rStyle w:val="charBoldItals"/>
        </w:rPr>
        <w:t>program conditions</w:t>
      </w:r>
      <w:r>
        <w:t xml:space="preserve"> ins </w:t>
      </w:r>
      <w:hyperlink r:id="rId590" w:tooltip="Heavy Vehicle National Law and Other Legislation Amendment Act 2016" w:history="1">
        <w:r w:rsidR="00BE1EC2" w:rsidRPr="005E03F7">
          <w:rPr>
            <w:rStyle w:val="Hyperlink"/>
          </w:rPr>
          <w:t>A2016-65 (Qld)</w:t>
        </w:r>
      </w:hyperlink>
      <w:r>
        <w:rPr>
          <w:rStyle w:val="charCitHyperlinkAbbrev"/>
        </w:rPr>
        <w:t xml:space="preserve"> </w:t>
      </w:r>
      <w:r>
        <w:t>s 139</w:t>
      </w:r>
    </w:p>
    <w:p w14:paraId="3625AB28" w14:textId="3D1985CE" w:rsidR="004957FF" w:rsidRPr="004E3500" w:rsidRDefault="004957FF" w:rsidP="005E03F7">
      <w:pPr>
        <w:pStyle w:val="AmdtsEntries"/>
      </w:pPr>
      <w:r>
        <w:tab/>
        <w:t>def</w:t>
      </w:r>
      <w:r w:rsidRPr="004E3500">
        <w:rPr>
          <w:rStyle w:val="charBoldItals"/>
        </w:rPr>
        <w:t xml:space="preserve"> intelligent access </w:t>
      </w:r>
      <w:r>
        <w:rPr>
          <w:rStyle w:val="charBoldItals"/>
        </w:rPr>
        <w:t>program information</w:t>
      </w:r>
      <w:r>
        <w:t xml:space="preserve"> ins </w:t>
      </w:r>
      <w:hyperlink r:id="rId591" w:tooltip="Heavy Vehicle National Law and Other Legislation Amendment Act 2016" w:history="1">
        <w:r w:rsidR="00BE1EC2" w:rsidRPr="005E03F7">
          <w:rPr>
            <w:rStyle w:val="Hyperlink"/>
          </w:rPr>
          <w:t>A2016-65 (Qld)</w:t>
        </w:r>
      </w:hyperlink>
      <w:r>
        <w:rPr>
          <w:rStyle w:val="charCitHyperlinkAbbrev"/>
        </w:rPr>
        <w:t xml:space="preserve"> </w:t>
      </w:r>
      <w:r>
        <w:t>s 139</w:t>
      </w:r>
    </w:p>
    <w:p w14:paraId="5E23DD5E" w14:textId="172EF572" w:rsidR="004957FF" w:rsidRPr="004E3500" w:rsidRDefault="004957FF" w:rsidP="005E03F7">
      <w:pPr>
        <w:pStyle w:val="AmdtsEntries"/>
      </w:pPr>
      <w:r>
        <w:tab/>
        <w:t>def</w:t>
      </w:r>
      <w:r w:rsidRPr="004E3500">
        <w:rPr>
          <w:rStyle w:val="charBoldItals"/>
        </w:rPr>
        <w:t xml:space="preserve"> intelligent access </w:t>
      </w:r>
      <w:r>
        <w:rPr>
          <w:rStyle w:val="charBoldItals"/>
        </w:rPr>
        <w:t>program service provider</w:t>
      </w:r>
      <w:r>
        <w:t xml:space="preserve"> ins</w:t>
      </w:r>
      <w:r w:rsidR="002427CE">
        <w:br/>
      </w:r>
      <w:hyperlink r:id="rId592" w:tooltip="Heavy Vehicle National Law and Other Legislation Amendment Act 2016" w:history="1">
        <w:r w:rsidR="00BE1EC2" w:rsidRPr="005E03F7">
          <w:rPr>
            <w:rStyle w:val="Hyperlink"/>
          </w:rPr>
          <w:t>A2016-65 (Qld)</w:t>
        </w:r>
      </w:hyperlink>
      <w:r>
        <w:rPr>
          <w:rStyle w:val="charCitHyperlinkAbbrev"/>
        </w:rPr>
        <w:t xml:space="preserve"> </w:t>
      </w:r>
      <w:r>
        <w:t>s 139</w:t>
      </w:r>
    </w:p>
    <w:p w14:paraId="20F05610" w14:textId="7F8AE66F" w:rsidR="004957FF" w:rsidRPr="004E3500" w:rsidRDefault="004957FF" w:rsidP="005E03F7">
      <w:pPr>
        <w:pStyle w:val="AmdtsEntries"/>
      </w:pPr>
      <w:r>
        <w:tab/>
        <w:t>def</w:t>
      </w:r>
      <w:r w:rsidRPr="004E3500">
        <w:rPr>
          <w:rStyle w:val="charBoldItals"/>
        </w:rPr>
        <w:t xml:space="preserve"> intelligent access </w:t>
      </w:r>
      <w:r>
        <w:rPr>
          <w:rStyle w:val="charBoldItals"/>
        </w:rPr>
        <w:t>program vehicle</w:t>
      </w:r>
      <w:r>
        <w:t xml:space="preserve"> ins </w:t>
      </w:r>
      <w:hyperlink r:id="rId593" w:tooltip="Heavy Vehicle National Law and Other Legislation Amendment Act 2016" w:history="1">
        <w:r w:rsidR="00BE1EC2" w:rsidRPr="005E03F7">
          <w:rPr>
            <w:rStyle w:val="Hyperlink"/>
          </w:rPr>
          <w:t>A2016-65 (Qld)</w:t>
        </w:r>
      </w:hyperlink>
      <w:r>
        <w:rPr>
          <w:rStyle w:val="charCitHyperlinkAbbrev"/>
        </w:rPr>
        <w:t xml:space="preserve"> </w:t>
      </w:r>
      <w:r>
        <w:t>s 139</w:t>
      </w:r>
    </w:p>
    <w:p w14:paraId="3F226167" w14:textId="0EB7303B" w:rsidR="00363C40" w:rsidRPr="004E3500" w:rsidRDefault="00363C40" w:rsidP="005E03F7">
      <w:pPr>
        <w:pStyle w:val="AmdtsEntries"/>
      </w:pPr>
      <w:r>
        <w:tab/>
        <w:t>def</w:t>
      </w:r>
      <w:r w:rsidRPr="004E3500">
        <w:rPr>
          <w:rStyle w:val="charBoldItals"/>
        </w:rPr>
        <w:t xml:space="preserve"> intelligent access </w:t>
      </w:r>
      <w:r>
        <w:rPr>
          <w:rStyle w:val="charBoldItals"/>
        </w:rPr>
        <w:t>service provider</w:t>
      </w:r>
      <w:r w:rsidR="00A51231">
        <w:t xml:space="preserve"> om</w:t>
      </w:r>
      <w:r>
        <w:t xml:space="preserve"> </w:t>
      </w:r>
      <w:hyperlink r:id="rId594" w:tooltip="Heavy Vehicle National Law and Other Legislation Amendment Act 2016" w:history="1">
        <w:r w:rsidR="00BE1EC2" w:rsidRPr="005E03F7">
          <w:rPr>
            <w:rStyle w:val="Hyperlink"/>
          </w:rPr>
          <w:t>A2016-65 (Qld)</w:t>
        </w:r>
      </w:hyperlink>
      <w:r>
        <w:rPr>
          <w:rStyle w:val="charCitHyperlinkAbbrev"/>
        </w:rPr>
        <w:t xml:space="preserve"> </w:t>
      </w:r>
      <w:r w:rsidR="00ED6A7E">
        <w:t>s </w:t>
      </w:r>
      <w:r>
        <w:t>139</w:t>
      </w:r>
    </w:p>
    <w:p w14:paraId="24FF9219" w14:textId="24C1FD4F" w:rsidR="00A51231" w:rsidRPr="004E3500" w:rsidRDefault="00A51231" w:rsidP="005E03F7">
      <w:pPr>
        <w:pStyle w:val="AmdtsEntries"/>
      </w:pPr>
      <w:r>
        <w:tab/>
        <w:t>def</w:t>
      </w:r>
      <w:r w:rsidRPr="004E3500">
        <w:rPr>
          <w:rStyle w:val="charBoldItals"/>
        </w:rPr>
        <w:t xml:space="preserve"> intelligent access </w:t>
      </w:r>
      <w:r>
        <w:rPr>
          <w:rStyle w:val="charBoldItals"/>
        </w:rPr>
        <w:t>vehicle</w:t>
      </w:r>
      <w:r>
        <w:t xml:space="preserve"> om </w:t>
      </w:r>
      <w:hyperlink r:id="rId595" w:tooltip="Heavy Vehicle National Law and Other Legislation Amendment Act 2016" w:history="1">
        <w:r w:rsidR="00BE1EC2" w:rsidRPr="005E03F7">
          <w:rPr>
            <w:rStyle w:val="Hyperlink"/>
          </w:rPr>
          <w:t>A2016-65 (Qld)</w:t>
        </w:r>
      </w:hyperlink>
      <w:r>
        <w:rPr>
          <w:rStyle w:val="charCitHyperlinkAbbrev"/>
        </w:rPr>
        <w:t xml:space="preserve"> </w:t>
      </w:r>
      <w:r>
        <w:t>s 139</w:t>
      </w:r>
    </w:p>
    <w:p w14:paraId="7B948F36" w14:textId="77777777" w:rsidR="00407E7D" w:rsidRDefault="00407E7D" w:rsidP="006741F2">
      <w:pPr>
        <w:pStyle w:val="AmdtsEntryHd"/>
        <w:rPr>
          <w:rStyle w:val="CharPartText"/>
          <w:rFonts w:ascii="Helvetica" w:hAnsi="Helvetica" w:cs="Helvetica"/>
          <w:iCs/>
          <w:szCs w:val="32"/>
        </w:rPr>
      </w:pPr>
      <w:r w:rsidRPr="00943427">
        <w:rPr>
          <w:rStyle w:val="CharPartText"/>
          <w:rFonts w:ascii="Helvetica" w:hAnsi="Helvetica" w:cs="Helvetica"/>
          <w:iCs/>
          <w:szCs w:val="32"/>
        </w:rPr>
        <w:t xml:space="preserve">Duties and obligations of operators of intelligent access </w:t>
      </w:r>
      <w:r>
        <w:rPr>
          <w:rStyle w:val="CharPartText"/>
          <w:rFonts w:ascii="Helvetica" w:hAnsi="Helvetica" w:cs="Helvetica"/>
          <w:iCs/>
          <w:szCs w:val="32"/>
        </w:rPr>
        <w:t xml:space="preserve">program </w:t>
      </w:r>
      <w:r w:rsidRPr="00943427">
        <w:rPr>
          <w:rStyle w:val="CharPartText"/>
          <w:rFonts w:ascii="Helvetica" w:hAnsi="Helvetica" w:cs="Helvetica"/>
          <w:iCs/>
          <w:szCs w:val="32"/>
        </w:rPr>
        <w:t>vehicles</w:t>
      </w:r>
    </w:p>
    <w:p w14:paraId="0D470B6C" w14:textId="411F8A2E" w:rsidR="00407E7D" w:rsidRPr="00407E7D" w:rsidRDefault="00407E7D" w:rsidP="005E03F7">
      <w:pPr>
        <w:pStyle w:val="AmdtsEntries"/>
      </w:pPr>
      <w:r>
        <w:t>pt 7.2 hdg</w:t>
      </w:r>
      <w:r>
        <w:tab/>
        <w:t xml:space="preserve">am </w:t>
      </w:r>
      <w:hyperlink r:id="rId596" w:tooltip="Heavy Vehicle National Law and Other Legislation Amendment Act 2016" w:history="1">
        <w:r w:rsidR="00BE1EC2" w:rsidRPr="005E03F7">
          <w:rPr>
            <w:rStyle w:val="Hyperlink"/>
          </w:rPr>
          <w:t>A2016-65 (Qld)</w:t>
        </w:r>
      </w:hyperlink>
      <w:r>
        <w:rPr>
          <w:rStyle w:val="charCitHyperlinkAbbrev"/>
        </w:rPr>
        <w:t xml:space="preserve"> </w:t>
      </w:r>
      <w:r>
        <w:t>s 139</w:t>
      </w:r>
    </w:p>
    <w:p w14:paraId="798DEAFF" w14:textId="77777777" w:rsidR="006741F2" w:rsidRDefault="006741F2" w:rsidP="006741F2">
      <w:pPr>
        <w:pStyle w:val="AmdtsEntryHd"/>
      </w:pPr>
      <w:r w:rsidRPr="007E1F9A">
        <w:t>Offence to give false or misleading information to intelligent access </w:t>
      </w:r>
      <w:r w:rsidR="00776070">
        <w:t xml:space="preserve">program </w:t>
      </w:r>
      <w:r w:rsidRPr="007E1F9A">
        <w:t>service provider</w:t>
      </w:r>
    </w:p>
    <w:p w14:paraId="547D44C0" w14:textId="7204CF50" w:rsidR="00776070" w:rsidRPr="004E3500" w:rsidRDefault="00776070" w:rsidP="005E03F7">
      <w:pPr>
        <w:pStyle w:val="AmdtsEntries"/>
      </w:pPr>
      <w:r>
        <w:t>s 404 hdg</w:t>
      </w:r>
      <w:r>
        <w:tab/>
        <w:t xml:space="preserve">am </w:t>
      </w:r>
      <w:hyperlink r:id="rId597" w:tooltip="Heavy Vehicle National Law and Other Legislation Amendment Act 2016" w:history="1">
        <w:r w:rsidR="00BE1EC2" w:rsidRPr="005E03F7">
          <w:rPr>
            <w:rStyle w:val="Hyperlink"/>
          </w:rPr>
          <w:t>A2016-65 (Qld)</w:t>
        </w:r>
      </w:hyperlink>
      <w:r>
        <w:rPr>
          <w:rStyle w:val="charCitHyperlinkAbbrev"/>
        </w:rPr>
        <w:t xml:space="preserve"> </w:t>
      </w:r>
      <w:r>
        <w:t>s 139</w:t>
      </w:r>
    </w:p>
    <w:p w14:paraId="64C36D5D" w14:textId="3D9230A4" w:rsidR="006741F2" w:rsidRPr="004E3500" w:rsidRDefault="006741F2" w:rsidP="005E03F7">
      <w:pPr>
        <w:pStyle w:val="AmdtsEntries"/>
      </w:pPr>
      <w:r>
        <w:lastRenderedPageBreak/>
        <w:t>s 404</w:t>
      </w:r>
      <w:r>
        <w:tab/>
        <w:t xml:space="preserve">am </w:t>
      </w:r>
      <w:hyperlink r:id="rId598" w:tooltip="Heavy Vehicle National Law and Other Legislation Amendment Act 2016" w:history="1">
        <w:r w:rsidR="00BE1EC2" w:rsidRPr="005E03F7">
          <w:rPr>
            <w:rStyle w:val="Hyperlink"/>
          </w:rPr>
          <w:t>A2016-65 (Qld)</w:t>
        </w:r>
      </w:hyperlink>
      <w:r>
        <w:rPr>
          <w:rStyle w:val="charCitHyperlinkAbbrev"/>
        </w:rPr>
        <w:t xml:space="preserve"> </w:t>
      </w:r>
      <w:r w:rsidR="00EE6C20">
        <w:rPr>
          <w:rStyle w:val="charCitHyperlinkAbbrev"/>
        </w:rPr>
        <w:t xml:space="preserve">s 71, </w:t>
      </w:r>
      <w:r>
        <w:t>s 139</w:t>
      </w:r>
    </w:p>
    <w:p w14:paraId="38476D0A" w14:textId="77777777" w:rsidR="00363C40" w:rsidRDefault="00363C40" w:rsidP="00363C40">
      <w:pPr>
        <w:pStyle w:val="AmdtsEntryHd"/>
      </w:pPr>
      <w:r w:rsidRPr="007E1F9A">
        <w:t>Advising vehicle driver of collection of information by intelligent access </w:t>
      </w:r>
      <w:r w:rsidR="00776070">
        <w:t xml:space="preserve">program </w:t>
      </w:r>
      <w:r w:rsidRPr="007E1F9A">
        <w:t>service provider</w:t>
      </w:r>
    </w:p>
    <w:p w14:paraId="272EF3D3" w14:textId="2C60D1BB" w:rsidR="00776070" w:rsidRPr="004E3500" w:rsidRDefault="00776070" w:rsidP="005E03F7">
      <w:pPr>
        <w:pStyle w:val="AmdtsEntries"/>
      </w:pPr>
      <w:r>
        <w:t>s 405 hdg</w:t>
      </w:r>
      <w:r>
        <w:tab/>
        <w:t xml:space="preserve">am </w:t>
      </w:r>
      <w:hyperlink r:id="rId599" w:tooltip="Heavy Vehicle National Law and Other Legislation Amendment Act 2016" w:history="1">
        <w:r w:rsidR="00BE1EC2" w:rsidRPr="005E03F7">
          <w:rPr>
            <w:rStyle w:val="Hyperlink"/>
          </w:rPr>
          <w:t>A2016-65 (Qld)</w:t>
        </w:r>
      </w:hyperlink>
      <w:r>
        <w:rPr>
          <w:rStyle w:val="charCitHyperlinkAbbrev"/>
        </w:rPr>
        <w:t xml:space="preserve"> </w:t>
      </w:r>
      <w:r>
        <w:t>s 139</w:t>
      </w:r>
    </w:p>
    <w:p w14:paraId="4F4C9B4D" w14:textId="195AB7B8" w:rsidR="00363C40" w:rsidRPr="004E3500" w:rsidRDefault="00363C40" w:rsidP="005E03F7">
      <w:pPr>
        <w:pStyle w:val="AmdtsEntries"/>
      </w:pPr>
      <w:r>
        <w:t>s 405</w:t>
      </w:r>
      <w:r>
        <w:tab/>
        <w:t xml:space="preserve">am </w:t>
      </w:r>
      <w:hyperlink r:id="rId600" w:tooltip="Heavy Vehicle National Law and Other Legislation Amendment Act 2016" w:history="1">
        <w:r w:rsidR="00BE1EC2" w:rsidRPr="005E03F7">
          <w:rPr>
            <w:rStyle w:val="Hyperlink"/>
          </w:rPr>
          <w:t>A2016-65 (Qld)</w:t>
        </w:r>
      </w:hyperlink>
      <w:r>
        <w:rPr>
          <w:rStyle w:val="charCitHyperlinkAbbrev"/>
        </w:rPr>
        <w:t xml:space="preserve"> </w:t>
      </w:r>
      <w:r w:rsidR="001E6468" w:rsidRPr="001E6468">
        <w:t>s 72</w:t>
      </w:r>
      <w:r w:rsidR="001E6468">
        <w:rPr>
          <w:rStyle w:val="charCitHyperlinkAbbrev"/>
        </w:rPr>
        <w:t xml:space="preserve">, </w:t>
      </w:r>
      <w:r>
        <w:t>s 139</w:t>
      </w:r>
    </w:p>
    <w:p w14:paraId="48EEB4E9" w14:textId="77777777" w:rsidR="00A51231" w:rsidRDefault="00A51231" w:rsidP="00A51231">
      <w:pPr>
        <w:pStyle w:val="AmdtsEntryHd"/>
      </w:pPr>
      <w:r w:rsidRPr="007E1F9A">
        <w:t>Reporting system malfunctions to Regulator</w:t>
      </w:r>
    </w:p>
    <w:p w14:paraId="089F239E" w14:textId="4846DDF1" w:rsidR="00A51231" w:rsidRPr="004E3500" w:rsidRDefault="00A51231" w:rsidP="005E03F7">
      <w:pPr>
        <w:pStyle w:val="AmdtsEntries"/>
      </w:pPr>
      <w:r>
        <w:t>s 406</w:t>
      </w:r>
      <w:r>
        <w:tab/>
        <w:t xml:space="preserve">am </w:t>
      </w:r>
      <w:hyperlink r:id="rId601" w:tooltip="Heavy Vehicle National Law and Other Legislation Amendment Act 2016" w:history="1">
        <w:r w:rsidR="00BE1EC2" w:rsidRPr="005E03F7">
          <w:rPr>
            <w:rStyle w:val="Hyperlink"/>
          </w:rPr>
          <w:t>A2016-65 (Qld)</w:t>
        </w:r>
      </w:hyperlink>
      <w:r>
        <w:rPr>
          <w:rStyle w:val="charCitHyperlinkAbbrev"/>
        </w:rPr>
        <w:t xml:space="preserve"> </w:t>
      </w:r>
      <w:r>
        <w:t>s 139</w:t>
      </w:r>
    </w:p>
    <w:p w14:paraId="5C261720" w14:textId="77777777" w:rsidR="00A51231" w:rsidRDefault="00A51231" w:rsidP="00A51231">
      <w:pPr>
        <w:pStyle w:val="AmdtsEntryHd"/>
      </w:pPr>
      <w:r w:rsidRPr="007E1F9A">
        <w:t>Advising driver of driver’s obligations about reporting system malfunctions</w:t>
      </w:r>
    </w:p>
    <w:p w14:paraId="3C51FF57" w14:textId="61BD470F" w:rsidR="00A51231" w:rsidRPr="004E3500" w:rsidRDefault="00A51231" w:rsidP="005E03F7">
      <w:pPr>
        <w:pStyle w:val="AmdtsEntries"/>
      </w:pPr>
      <w:r>
        <w:t>s 407</w:t>
      </w:r>
      <w:r>
        <w:tab/>
        <w:t xml:space="preserve">am </w:t>
      </w:r>
      <w:hyperlink r:id="rId602" w:tooltip="Heavy Vehicle National Law and Other Legislation Amendment Act 2016" w:history="1">
        <w:r w:rsidR="00BE1EC2" w:rsidRPr="005E03F7">
          <w:rPr>
            <w:rStyle w:val="Hyperlink"/>
          </w:rPr>
          <w:t>A2016-65 (Qld)</w:t>
        </w:r>
      </w:hyperlink>
      <w:r>
        <w:rPr>
          <w:rStyle w:val="charCitHyperlinkAbbrev"/>
        </w:rPr>
        <w:t xml:space="preserve"> </w:t>
      </w:r>
      <w:r w:rsidR="001E6468" w:rsidRPr="001E6468">
        <w:t>s 73,</w:t>
      </w:r>
      <w:r w:rsidR="001E6468">
        <w:rPr>
          <w:rStyle w:val="charCitHyperlinkAbbrev"/>
        </w:rPr>
        <w:t xml:space="preserve"> </w:t>
      </w:r>
      <w:r>
        <w:t>s 139</w:t>
      </w:r>
    </w:p>
    <w:p w14:paraId="30BD88D8" w14:textId="77777777" w:rsidR="00407E7D" w:rsidRDefault="00407E7D" w:rsidP="00A51231">
      <w:pPr>
        <w:pStyle w:val="AmdtsEntryHd"/>
        <w:rPr>
          <w:rStyle w:val="CharPartText"/>
          <w:rFonts w:ascii="Helvetica" w:hAnsi="Helvetica" w:cs="Helvetica"/>
          <w:iCs/>
          <w:szCs w:val="32"/>
        </w:rPr>
      </w:pPr>
      <w:r w:rsidRPr="00943427">
        <w:rPr>
          <w:rStyle w:val="CharPartText"/>
          <w:rFonts w:ascii="Helvetica" w:hAnsi="Helvetica" w:cs="Helvetica"/>
          <w:iCs/>
          <w:szCs w:val="32"/>
        </w:rPr>
        <w:t xml:space="preserve">Obligations of drivers of intelligent access </w:t>
      </w:r>
      <w:r>
        <w:rPr>
          <w:rStyle w:val="CharPartText"/>
          <w:rFonts w:ascii="Helvetica" w:hAnsi="Helvetica" w:cs="Helvetica"/>
          <w:iCs/>
          <w:szCs w:val="32"/>
        </w:rPr>
        <w:t xml:space="preserve">program </w:t>
      </w:r>
      <w:r w:rsidRPr="00943427">
        <w:rPr>
          <w:rStyle w:val="CharPartText"/>
          <w:rFonts w:ascii="Helvetica" w:hAnsi="Helvetica" w:cs="Helvetica"/>
          <w:iCs/>
          <w:szCs w:val="32"/>
        </w:rPr>
        <w:t>vehicles</w:t>
      </w:r>
    </w:p>
    <w:p w14:paraId="723790F2" w14:textId="355BE27E" w:rsidR="00407E7D" w:rsidRPr="00407E7D" w:rsidRDefault="00407E7D" w:rsidP="005E03F7">
      <w:pPr>
        <w:pStyle w:val="AmdtsEntries"/>
      </w:pPr>
      <w:r>
        <w:t>pt 7.3 hdg</w:t>
      </w:r>
      <w:r>
        <w:tab/>
        <w:t xml:space="preserve">am </w:t>
      </w:r>
      <w:hyperlink r:id="rId603" w:tooltip="Heavy Vehicle National Law and Other Legislation Amendment Act 2016" w:history="1">
        <w:r w:rsidR="00BE1EC2" w:rsidRPr="005E03F7">
          <w:rPr>
            <w:rStyle w:val="Hyperlink"/>
          </w:rPr>
          <w:t>A2016-65 (Qld)</w:t>
        </w:r>
      </w:hyperlink>
      <w:r>
        <w:rPr>
          <w:rStyle w:val="charCitHyperlinkAbbrev"/>
        </w:rPr>
        <w:t xml:space="preserve"> </w:t>
      </w:r>
      <w:r>
        <w:t>s 139</w:t>
      </w:r>
    </w:p>
    <w:p w14:paraId="58C082E2" w14:textId="77777777" w:rsidR="00A51231" w:rsidRDefault="00407E7D" w:rsidP="00A51231">
      <w:pPr>
        <w:pStyle w:val="AmdtsEntryHd"/>
      </w:pPr>
      <w:r w:rsidRPr="007E1F9A">
        <w:t>Reporting system malfunctions to operator</w:t>
      </w:r>
    </w:p>
    <w:p w14:paraId="6C69F263" w14:textId="210CBFA9" w:rsidR="00A51231" w:rsidRPr="004E3500" w:rsidRDefault="00A51231" w:rsidP="005E03F7">
      <w:pPr>
        <w:pStyle w:val="AmdtsEntries"/>
      </w:pPr>
      <w:r>
        <w:t>s 408</w:t>
      </w:r>
      <w:r>
        <w:tab/>
        <w:t xml:space="preserve">am </w:t>
      </w:r>
      <w:hyperlink r:id="rId604" w:tooltip="Heavy Vehicle National Law and Other Legislation Amendment Act 2016" w:history="1">
        <w:r w:rsidR="00BE1EC2" w:rsidRPr="005E03F7">
          <w:rPr>
            <w:rStyle w:val="Hyperlink"/>
          </w:rPr>
          <w:t>A2016-65 (Qld)</w:t>
        </w:r>
      </w:hyperlink>
      <w:r>
        <w:rPr>
          <w:rStyle w:val="charCitHyperlinkAbbrev"/>
        </w:rPr>
        <w:t xml:space="preserve"> </w:t>
      </w:r>
      <w:r>
        <w:t>s 139</w:t>
      </w:r>
    </w:p>
    <w:p w14:paraId="3784BB73" w14:textId="77777777" w:rsidR="00215CCC" w:rsidRDefault="00215CCC" w:rsidP="00FE4A99">
      <w:pPr>
        <w:pStyle w:val="AmdtsEntryHd"/>
        <w:rPr>
          <w:rStyle w:val="CharPartText"/>
          <w:rFonts w:ascii="Helvetica" w:hAnsi="Helvetica" w:cs="Helvetica"/>
          <w:iCs/>
          <w:szCs w:val="32"/>
        </w:rPr>
      </w:pPr>
      <w:r w:rsidRPr="00943427">
        <w:rPr>
          <w:rStyle w:val="CharPartText"/>
          <w:rFonts w:ascii="Helvetica" w:hAnsi="Helvetica" w:cs="Helvetica"/>
          <w:iCs/>
          <w:szCs w:val="32"/>
        </w:rPr>
        <w:t xml:space="preserve">Powers, duties and obligations of intelligent access </w:t>
      </w:r>
      <w:r>
        <w:rPr>
          <w:rStyle w:val="CharPartText"/>
          <w:rFonts w:ascii="Helvetica" w:hAnsi="Helvetica" w:cs="Helvetica"/>
          <w:iCs/>
          <w:szCs w:val="32"/>
        </w:rPr>
        <w:t xml:space="preserve">program </w:t>
      </w:r>
      <w:r w:rsidRPr="00943427">
        <w:rPr>
          <w:rStyle w:val="CharPartText"/>
          <w:rFonts w:ascii="Helvetica" w:hAnsi="Helvetica" w:cs="Helvetica"/>
          <w:iCs/>
          <w:szCs w:val="32"/>
        </w:rPr>
        <w:t>service providers</w:t>
      </w:r>
    </w:p>
    <w:p w14:paraId="7A17EB70" w14:textId="01217F9B" w:rsidR="00215CCC" w:rsidRPr="00215CCC" w:rsidRDefault="00215CCC" w:rsidP="005E03F7">
      <w:pPr>
        <w:pStyle w:val="AmdtsEntries"/>
      </w:pPr>
      <w:r>
        <w:t>pt 7.4 hdg</w:t>
      </w:r>
      <w:r>
        <w:tab/>
        <w:t xml:space="preserve">am </w:t>
      </w:r>
      <w:hyperlink r:id="rId605" w:tooltip="Heavy Vehicle National Law and Other Legislation Amendment Act 2016" w:history="1">
        <w:r w:rsidR="00BE1EC2" w:rsidRPr="005E03F7">
          <w:rPr>
            <w:rStyle w:val="Hyperlink"/>
          </w:rPr>
          <w:t>A2016-65 (Qld)</w:t>
        </w:r>
      </w:hyperlink>
      <w:r>
        <w:rPr>
          <w:rStyle w:val="charCitHyperlinkAbbrev"/>
        </w:rPr>
        <w:t xml:space="preserve"> </w:t>
      </w:r>
      <w:r>
        <w:t>s 139</w:t>
      </w:r>
    </w:p>
    <w:p w14:paraId="02B01E87" w14:textId="77777777" w:rsidR="00FE4A99" w:rsidRDefault="00FE4A99" w:rsidP="00FE4A99">
      <w:pPr>
        <w:pStyle w:val="AmdtsEntryHd"/>
      </w:pPr>
      <w:r w:rsidRPr="007E1F9A">
        <w:t>Powers to collect and hold intelligent access</w:t>
      </w:r>
      <w:r w:rsidR="004F6C64">
        <w:t xml:space="preserve"> program</w:t>
      </w:r>
      <w:r w:rsidRPr="007E1F9A">
        <w:t xml:space="preserve"> information</w:t>
      </w:r>
    </w:p>
    <w:p w14:paraId="398FD7D1" w14:textId="7D28FC2D" w:rsidR="004F6C64" w:rsidRPr="004E3500" w:rsidRDefault="004F6C64" w:rsidP="005E03F7">
      <w:pPr>
        <w:pStyle w:val="AmdtsEntries"/>
      </w:pPr>
      <w:r>
        <w:t>s 409 hdg</w:t>
      </w:r>
      <w:r>
        <w:tab/>
        <w:t xml:space="preserve">am </w:t>
      </w:r>
      <w:hyperlink r:id="rId606" w:tooltip="Heavy Vehicle National Law and Other Legislation Amendment Act 2016" w:history="1">
        <w:r w:rsidR="00BE1EC2" w:rsidRPr="005E03F7">
          <w:rPr>
            <w:rStyle w:val="Hyperlink"/>
          </w:rPr>
          <w:t>A2016-65 (Qld)</w:t>
        </w:r>
      </w:hyperlink>
      <w:r>
        <w:rPr>
          <w:rStyle w:val="charCitHyperlinkAbbrev"/>
        </w:rPr>
        <w:t xml:space="preserve"> </w:t>
      </w:r>
      <w:r>
        <w:t>s 139</w:t>
      </w:r>
    </w:p>
    <w:p w14:paraId="5E573E4C" w14:textId="285F4442" w:rsidR="00FE4A99" w:rsidRPr="004E3500" w:rsidRDefault="00FE4A99" w:rsidP="005E03F7">
      <w:pPr>
        <w:pStyle w:val="AmdtsEntries"/>
      </w:pPr>
      <w:r>
        <w:t>s 409</w:t>
      </w:r>
      <w:r>
        <w:tab/>
        <w:t xml:space="preserve">am </w:t>
      </w:r>
      <w:hyperlink r:id="rId607" w:tooltip="Heavy Vehicle National Law and Other Legislation Amendment Act 2016" w:history="1">
        <w:r w:rsidR="00BE1EC2" w:rsidRPr="005E03F7">
          <w:rPr>
            <w:rStyle w:val="Hyperlink"/>
          </w:rPr>
          <w:t>A2016-65 (Qld)</w:t>
        </w:r>
      </w:hyperlink>
      <w:r>
        <w:rPr>
          <w:rStyle w:val="charCitHyperlinkAbbrev"/>
        </w:rPr>
        <w:t xml:space="preserve"> </w:t>
      </w:r>
      <w:r>
        <w:t>s 139</w:t>
      </w:r>
    </w:p>
    <w:p w14:paraId="53FDE47E" w14:textId="77777777" w:rsidR="00333C6E" w:rsidRDefault="00333C6E" w:rsidP="00333C6E">
      <w:pPr>
        <w:pStyle w:val="AmdtsEntryHd"/>
      </w:pPr>
      <w:r w:rsidRPr="007E1F9A">
        <w:t>Collecting intelligent access</w:t>
      </w:r>
      <w:r w:rsidR="004F6C64">
        <w:t xml:space="preserve"> program</w:t>
      </w:r>
      <w:r w:rsidRPr="007E1F9A">
        <w:t xml:space="preserve"> information</w:t>
      </w:r>
    </w:p>
    <w:p w14:paraId="4E338B6A" w14:textId="69CA6B5F" w:rsidR="004F6C64" w:rsidRPr="004E3500" w:rsidRDefault="004F6C64" w:rsidP="005E03F7">
      <w:pPr>
        <w:pStyle w:val="AmdtsEntries"/>
      </w:pPr>
      <w:r>
        <w:t>s 410 hdg</w:t>
      </w:r>
      <w:r>
        <w:tab/>
        <w:t xml:space="preserve">am </w:t>
      </w:r>
      <w:hyperlink r:id="rId608" w:tooltip="Heavy Vehicle National Law and Other Legislation Amendment Act 2016" w:history="1">
        <w:r w:rsidR="00BE1EC2" w:rsidRPr="005E03F7">
          <w:rPr>
            <w:rStyle w:val="Hyperlink"/>
          </w:rPr>
          <w:t>A2016-65 (Qld)</w:t>
        </w:r>
      </w:hyperlink>
      <w:r>
        <w:rPr>
          <w:rStyle w:val="charCitHyperlinkAbbrev"/>
        </w:rPr>
        <w:t xml:space="preserve"> </w:t>
      </w:r>
      <w:r>
        <w:t>s 139</w:t>
      </w:r>
    </w:p>
    <w:p w14:paraId="2A7852F3" w14:textId="1585FBB9" w:rsidR="00333C6E" w:rsidRPr="004E3500" w:rsidRDefault="00333C6E" w:rsidP="005E03F7">
      <w:pPr>
        <w:pStyle w:val="AmdtsEntries"/>
      </w:pPr>
      <w:r>
        <w:t>s 410</w:t>
      </w:r>
      <w:r>
        <w:tab/>
        <w:t xml:space="preserve">am </w:t>
      </w:r>
      <w:hyperlink r:id="rId609" w:tooltip="Heavy Vehicle National Law and Other Legislation Amendment Act 2016" w:history="1">
        <w:r w:rsidR="00BE1EC2" w:rsidRPr="005E03F7">
          <w:rPr>
            <w:rStyle w:val="Hyperlink"/>
          </w:rPr>
          <w:t>A2016-65 (Qld)</w:t>
        </w:r>
      </w:hyperlink>
      <w:r>
        <w:rPr>
          <w:rStyle w:val="charCitHyperlinkAbbrev"/>
        </w:rPr>
        <w:t xml:space="preserve"> </w:t>
      </w:r>
      <w:r w:rsidR="001E6468" w:rsidRPr="001E6468">
        <w:t>s 74,</w:t>
      </w:r>
      <w:r w:rsidR="001E6468">
        <w:rPr>
          <w:rStyle w:val="charCitHyperlinkAbbrev"/>
        </w:rPr>
        <w:t xml:space="preserve"> </w:t>
      </w:r>
      <w:r>
        <w:t>s 139</w:t>
      </w:r>
    </w:p>
    <w:p w14:paraId="65130E44" w14:textId="77777777" w:rsidR="007D7C28" w:rsidRDefault="007D7C28" w:rsidP="007D7C28">
      <w:pPr>
        <w:pStyle w:val="AmdtsEntryHd"/>
      </w:pPr>
      <w:r w:rsidRPr="007E1F9A">
        <w:t xml:space="preserve">Keeping records of intelligent access </w:t>
      </w:r>
      <w:r w:rsidR="004F6C64">
        <w:t xml:space="preserve">program </w:t>
      </w:r>
      <w:r w:rsidRPr="007E1F9A">
        <w:t>information collected</w:t>
      </w:r>
    </w:p>
    <w:p w14:paraId="27172650" w14:textId="5016A460" w:rsidR="004F6C64" w:rsidRPr="004E3500" w:rsidRDefault="004F6C64" w:rsidP="005E03F7">
      <w:pPr>
        <w:pStyle w:val="AmdtsEntries"/>
      </w:pPr>
      <w:r>
        <w:t>s 411 hdg</w:t>
      </w:r>
      <w:r>
        <w:tab/>
        <w:t xml:space="preserve">am </w:t>
      </w:r>
      <w:hyperlink r:id="rId610" w:tooltip="Heavy Vehicle National Law and Other Legislation Amendment Act 2016" w:history="1">
        <w:r w:rsidR="00BE1EC2" w:rsidRPr="005E03F7">
          <w:rPr>
            <w:rStyle w:val="Hyperlink"/>
          </w:rPr>
          <w:t>A2016-65 (Qld)</w:t>
        </w:r>
      </w:hyperlink>
      <w:r>
        <w:rPr>
          <w:rStyle w:val="charCitHyperlinkAbbrev"/>
        </w:rPr>
        <w:t xml:space="preserve"> </w:t>
      </w:r>
      <w:r>
        <w:t>s 139</w:t>
      </w:r>
    </w:p>
    <w:p w14:paraId="3E259C36" w14:textId="0FACCB3F" w:rsidR="007D7C28" w:rsidRPr="004E3500" w:rsidRDefault="007D7C28" w:rsidP="005E03F7">
      <w:pPr>
        <w:pStyle w:val="AmdtsEntries"/>
      </w:pPr>
      <w:r>
        <w:t>s 411</w:t>
      </w:r>
      <w:r>
        <w:tab/>
        <w:t xml:space="preserve">am </w:t>
      </w:r>
      <w:hyperlink r:id="rId611" w:tooltip="Heavy Vehicle National Law and Other Legislation Amendment Act 2016" w:history="1">
        <w:r w:rsidR="00BE1EC2" w:rsidRPr="005E03F7">
          <w:rPr>
            <w:rStyle w:val="Hyperlink"/>
          </w:rPr>
          <w:t>A2016-65 (Qld)</w:t>
        </w:r>
      </w:hyperlink>
      <w:r>
        <w:rPr>
          <w:rStyle w:val="charCitHyperlinkAbbrev"/>
        </w:rPr>
        <w:t xml:space="preserve"> </w:t>
      </w:r>
      <w:r>
        <w:t>s 139</w:t>
      </w:r>
    </w:p>
    <w:p w14:paraId="43E69297" w14:textId="77777777" w:rsidR="004559C8" w:rsidRDefault="004559C8" w:rsidP="004559C8">
      <w:pPr>
        <w:pStyle w:val="AmdtsEntryHd"/>
        <w:rPr>
          <w:rFonts w:ascii="Helvetica" w:hAnsi="Helvetica" w:cs="Helvetica"/>
          <w:iCs/>
        </w:rPr>
      </w:pPr>
      <w:r w:rsidRPr="007E1F9A">
        <w:t>Protecting intelligent access</w:t>
      </w:r>
      <w:r w:rsidR="004F6C64">
        <w:t xml:space="preserve"> program</w:t>
      </w:r>
      <w:r w:rsidRPr="007E1F9A">
        <w:t xml:space="preserve"> information</w:t>
      </w:r>
    </w:p>
    <w:p w14:paraId="7F9295ED" w14:textId="72FDF797" w:rsidR="004F6C64" w:rsidRDefault="004F6C64" w:rsidP="005E03F7">
      <w:pPr>
        <w:pStyle w:val="AmdtsEntries"/>
      </w:pPr>
      <w:r>
        <w:t>s 412 hdg</w:t>
      </w:r>
      <w:r>
        <w:tab/>
        <w:t xml:space="preserve">am </w:t>
      </w:r>
      <w:hyperlink r:id="rId612" w:tooltip="Heavy Vehicle National Law and Other Legislation Amendment Act 2016" w:history="1">
        <w:r w:rsidR="00D2442B" w:rsidRPr="005E03F7">
          <w:rPr>
            <w:rStyle w:val="Hyperlink"/>
          </w:rPr>
          <w:t>A2016-65 (Qld)</w:t>
        </w:r>
      </w:hyperlink>
      <w:r>
        <w:rPr>
          <w:rStyle w:val="charCitHyperlinkAbbrev"/>
        </w:rPr>
        <w:t xml:space="preserve"> </w:t>
      </w:r>
      <w:r>
        <w:t>s 139</w:t>
      </w:r>
    </w:p>
    <w:p w14:paraId="358E9498" w14:textId="2AE6EB2A" w:rsidR="004559C8" w:rsidRPr="009D2383" w:rsidRDefault="004559C8" w:rsidP="005E03F7">
      <w:pPr>
        <w:pStyle w:val="AmdtsEntries"/>
      </w:pPr>
      <w:r>
        <w:t>s 412</w:t>
      </w:r>
      <w:r>
        <w:tab/>
        <w:t xml:space="preserve">am </w:t>
      </w:r>
      <w:hyperlink r:id="rId613" w:tooltip="Heavy Vehicle National Law Amendment Act 2015" w:history="1">
        <w:r w:rsidR="00BA6441">
          <w:rPr>
            <w:rStyle w:val="charCitHyperlinkAbbrev"/>
          </w:rPr>
          <w:t>A2015-12</w:t>
        </w:r>
      </w:hyperlink>
      <w:r w:rsidR="00BA6441">
        <w:t xml:space="preserve"> (Qld)</w:t>
      </w:r>
      <w:r>
        <w:t xml:space="preserve"> s 67</w:t>
      </w:r>
      <w:r w:rsidR="00333C6E">
        <w:t xml:space="preserve">; </w:t>
      </w:r>
      <w:hyperlink r:id="rId614" w:tooltip="Heavy Vehicle National Law and Other Legislation Amendment Act 2016" w:history="1">
        <w:r w:rsidR="00D2442B" w:rsidRPr="005E03F7">
          <w:rPr>
            <w:rStyle w:val="Hyperlink"/>
          </w:rPr>
          <w:t>A2016-65 (Qld)</w:t>
        </w:r>
      </w:hyperlink>
      <w:r w:rsidR="00333C6E" w:rsidRPr="001E6468">
        <w:t xml:space="preserve"> </w:t>
      </w:r>
      <w:r w:rsidR="001E6468" w:rsidRPr="001E6468">
        <w:t>s 75,</w:t>
      </w:r>
      <w:r w:rsidR="001E6468">
        <w:rPr>
          <w:rStyle w:val="charCitHyperlinkAbbrev"/>
        </w:rPr>
        <w:t xml:space="preserve"> </w:t>
      </w:r>
      <w:r w:rsidR="00333C6E">
        <w:t>s 139</w:t>
      </w:r>
      <w:r w:rsidR="009D2383">
        <w:t>;</w:t>
      </w:r>
      <w:r w:rsidR="002427CE">
        <w:br/>
      </w:r>
      <w:hyperlink r:id="rId615" w:tooltip="Heavy Vehicle National Law Amendment Act 2018" w:history="1">
        <w:r w:rsidR="00CB7A54" w:rsidRPr="005E03F7">
          <w:rPr>
            <w:rStyle w:val="Hyperlink"/>
          </w:rPr>
          <w:t>A2018-18 (Qld)</w:t>
        </w:r>
      </w:hyperlink>
      <w:r w:rsidR="009D2383">
        <w:t xml:space="preserve"> sch 1</w:t>
      </w:r>
    </w:p>
    <w:p w14:paraId="39E7497C" w14:textId="77777777" w:rsidR="00363C40" w:rsidRDefault="00363C40" w:rsidP="00363C40">
      <w:pPr>
        <w:pStyle w:val="AmdtsEntryHd"/>
      </w:pPr>
      <w:r w:rsidRPr="007E1F9A">
        <w:t>Making individuals aware of personal information held</w:t>
      </w:r>
    </w:p>
    <w:p w14:paraId="78FAF1B6" w14:textId="77D87E40" w:rsidR="00363C40" w:rsidRPr="004E3500" w:rsidRDefault="00363C40" w:rsidP="005E03F7">
      <w:pPr>
        <w:pStyle w:val="AmdtsEntries"/>
      </w:pPr>
      <w:r>
        <w:t>s 413</w:t>
      </w:r>
      <w:r>
        <w:tab/>
        <w:t xml:space="preserve">am </w:t>
      </w:r>
      <w:hyperlink r:id="rId616" w:tooltip="Heavy Vehicle National Law and Other Legislation Amendment Act 2016" w:history="1">
        <w:r w:rsidR="00D2442B" w:rsidRPr="005E03F7">
          <w:rPr>
            <w:rStyle w:val="Hyperlink"/>
          </w:rPr>
          <w:t>A2016-65 (Qld)</w:t>
        </w:r>
      </w:hyperlink>
      <w:r>
        <w:rPr>
          <w:rStyle w:val="charCitHyperlinkAbbrev"/>
        </w:rPr>
        <w:t xml:space="preserve"> </w:t>
      </w:r>
      <w:r>
        <w:t>s 139</w:t>
      </w:r>
    </w:p>
    <w:p w14:paraId="4E17C0E3" w14:textId="77777777" w:rsidR="00363C40" w:rsidRDefault="00363C40" w:rsidP="00363C40">
      <w:pPr>
        <w:pStyle w:val="AmdtsEntryHd"/>
      </w:pPr>
      <w:r w:rsidRPr="007E1F9A">
        <w:t>Giving individuals access to their personal information</w:t>
      </w:r>
    </w:p>
    <w:p w14:paraId="004FA25B" w14:textId="47704ED7" w:rsidR="00363C40" w:rsidRPr="004E3500" w:rsidRDefault="00363C40" w:rsidP="005E03F7">
      <w:pPr>
        <w:pStyle w:val="AmdtsEntries"/>
      </w:pPr>
      <w:r>
        <w:t>s 414</w:t>
      </w:r>
      <w:r>
        <w:tab/>
        <w:t xml:space="preserve">am </w:t>
      </w:r>
      <w:hyperlink r:id="rId617" w:tooltip="Heavy Vehicle National Law and Other Legislation Amendment Act 2016" w:history="1">
        <w:r w:rsidR="00D2442B" w:rsidRPr="005E03F7">
          <w:rPr>
            <w:rStyle w:val="Hyperlink"/>
          </w:rPr>
          <w:t>A2016-65 (Qld)</w:t>
        </w:r>
      </w:hyperlink>
      <w:r>
        <w:rPr>
          <w:rStyle w:val="charCitHyperlinkAbbrev"/>
        </w:rPr>
        <w:t xml:space="preserve"> </w:t>
      </w:r>
      <w:r>
        <w:t>s 139</w:t>
      </w:r>
    </w:p>
    <w:p w14:paraId="0A142107" w14:textId="77777777" w:rsidR="00723B98" w:rsidRDefault="00723B98" w:rsidP="00723B98">
      <w:pPr>
        <w:pStyle w:val="AmdtsEntryHd"/>
      </w:pPr>
      <w:r w:rsidRPr="007E1F9A">
        <w:t>Correcting errors etc.</w:t>
      </w:r>
    </w:p>
    <w:p w14:paraId="4143C437" w14:textId="3A8D7608" w:rsidR="00723B98" w:rsidRPr="004E3500" w:rsidRDefault="00723B98" w:rsidP="005E03F7">
      <w:pPr>
        <w:pStyle w:val="AmdtsEntries"/>
      </w:pPr>
      <w:r>
        <w:t>s 415</w:t>
      </w:r>
      <w:r>
        <w:tab/>
        <w:t xml:space="preserve">am </w:t>
      </w:r>
      <w:hyperlink r:id="rId618" w:tooltip="Heavy Vehicle National Law and Other Legislation Amendment Act 2016" w:history="1">
        <w:r w:rsidR="00D2442B" w:rsidRPr="005E03F7">
          <w:rPr>
            <w:rStyle w:val="Hyperlink"/>
          </w:rPr>
          <w:t>A2016-65 (Qld)</w:t>
        </w:r>
      </w:hyperlink>
      <w:r>
        <w:rPr>
          <w:rStyle w:val="charCitHyperlinkAbbrev"/>
        </w:rPr>
        <w:t xml:space="preserve"> </w:t>
      </w:r>
      <w:r>
        <w:t>s 139</w:t>
      </w:r>
    </w:p>
    <w:p w14:paraId="5FCB3C73" w14:textId="77777777" w:rsidR="00586C3B" w:rsidRDefault="00586C3B" w:rsidP="00586C3B">
      <w:pPr>
        <w:pStyle w:val="AmdtsEntryHd"/>
        <w:rPr>
          <w:rFonts w:ascii="Helvetica" w:hAnsi="Helvetica" w:cs="Helvetica"/>
          <w:iCs/>
        </w:rPr>
      </w:pPr>
      <w:r w:rsidRPr="007E1F9A">
        <w:t xml:space="preserve">General restriction on use and disclosure of intelligent access </w:t>
      </w:r>
      <w:r w:rsidR="004F6C64">
        <w:t xml:space="preserve">program </w:t>
      </w:r>
      <w:r w:rsidRPr="007E1F9A">
        <w:t>information</w:t>
      </w:r>
    </w:p>
    <w:p w14:paraId="12DAE777" w14:textId="5FF5E845" w:rsidR="004F6C64" w:rsidRDefault="004F6C64" w:rsidP="005E03F7">
      <w:pPr>
        <w:pStyle w:val="AmdtsEntries"/>
      </w:pPr>
      <w:r>
        <w:t>s 416 hdg</w:t>
      </w:r>
      <w:r>
        <w:tab/>
        <w:t xml:space="preserve">am </w:t>
      </w:r>
      <w:hyperlink r:id="rId619" w:tooltip="Heavy Vehicle National Law and Other Legislation Amendment Act 2016" w:history="1">
        <w:r w:rsidR="00D2442B" w:rsidRPr="005E03F7">
          <w:rPr>
            <w:rStyle w:val="Hyperlink"/>
          </w:rPr>
          <w:t>A2016-65 (Qld)</w:t>
        </w:r>
      </w:hyperlink>
      <w:r>
        <w:rPr>
          <w:rStyle w:val="charCitHyperlinkAbbrev"/>
        </w:rPr>
        <w:t xml:space="preserve"> </w:t>
      </w:r>
      <w:r>
        <w:t>s 139</w:t>
      </w:r>
    </w:p>
    <w:p w14:paraId="72EE71FB" w14:textId="64A63972" w:rsidR="00586C3B" w:rsidRDefault="00586C3B" w:rsidP="005E03F7">
      <w:pPr>
        <w:pStyle w:val="AmdtsEntries"/>
      </w:pPr>
      <w:r>
        <w:t>s 416</w:t>
      </w:r>
      <w:r>
        <w:tab/>
        <w:t xml:space="preserve">am </w:t>
      </w:r>
      <w:hyperlink r:id="rId620" w:tooltip="Heavy Vehicle National Law Amendment Act 2015" w:history="1">
        <w:r w:rsidR="00BA6441">
          <w:rPr>
            <w:rStyle w:val="charCitHyperlinkAbbrev"/>
          </w:rPr>
          <w:t>A2015-12</w:t>
        </w:r>
      </w:hyperlink>
      <w:r w:rsidR="00BA6441">
        <w:t xml:space="preserve"> (Qld)</w:t>
      </w:r>
      <w:r>
        <w:t xml:space="preserve"> s 67</w:t>
      </w:r>
      <w:r w:rsidR="00333C6E">
        <w:t xml:space="preserve">; </w:t>
      </w:r>
      <w:hyperlink r:id="rId621" w:tooltip="Heavy Vehicle National Law and Other Legislation Amendment Act 2016" w:history="1">
        <w:r w:rsidR="00D2442B" w:rsidRPr="005E03F7">
          <w:rPr>
            <w:rStyle w:val="Hyperlink"/>
          </w:rPr>
          <w:t>A2016-65 (Qld)</w:t>
        </w:r>
      </w:hyperlink>
      <w:r w:rsidR="00333C6E">
        <w:rPr>
          <w:rStyle w:val="charCitHyperlinkAbbrev"/>
        </w:rPr>
        <w:t xml:space="preserve"> </w:t>
      </w:r>
      <w:r w:rsidR="00333C6E">
        <w:t>s 139</w:t>
      </w:r>
    </w:p>
    <w:p w14:paraId="40979B67" w14:textId="77777777" w:rsidR="007D7C28" w:rsidRDefault="007D7C28" w:rsidP="007D7C28">
      <w:pPr>
        <w:pStyle w:val="AmdtsEntryHd"/>
      </w:pPr>
      <w:r w:rsidRPr="007E1F9A">
        <w:lastRenderedPageBreak/>
        <w:t>Giving intelligent access</w:t>
      </w:r>
      <w:r w:rsidR="003B4294">
        <w:t xml:space="preserve"> program</w:t>
      </w:r>
      <w:r w:rsidRPr="007E1F9A">
        <w:t xml:space="preserve"> auditor access to records</w:t>
      </w:r>
    </w:p>
    <w:p w14:paraId="13318394" w14:textId="57F6B2A3" w:rsidR="003B4294" w:rsidRPr="004E3500" w:rsidRDefault="003B4294" w:rsidP="005E03F7">
      <w:pPr>
        <w:pStyle w:val="AmdtsEntries"/>
      </w:pPr>
      <w:r>
        <w:t>s 417 hdg</w:t>
      </w:r>
      <w:r>
        <w:tab/>
        <w:t xml:space="preserve">am </w:t>
      </w:r>
      <w:hyperlink r:id="rId622" w:tooltip="Heavy Vehicle National Law and Other Legislation Amendment Act 2016" w:history="1">
        <w:r w:rsidR="00D2442B" w:rsidRPr="005E03F7">
          <w:rPr>
            <w:rStyle w:val="Hyperlink"/>
          </w:rPr>
          <w:t>A2016-65 (Qld)</w:t>
        </w:r>
      </w:hyperlink>
      <w:r>
        <w:rPr>
          <w:rStyle w:val="charCitHyperlinkAbbrev"/>
        </w:rPr>
        <w:t xml:space="preserve"> </w:t>
      </w:r>
      <w:r>
        <w:t>s 139</w:t>
      </w:r>
    </w:p>
    <w:p w14:paraId="6D919157" w14:textId="2E300A75" w:rsidR="007D7C28" w:rsidRPr="004E3500" w:rsidRDefault="007D7C28" w:rsidP="005E03F7">
      <w:pPr>
        <w:pStyle w:val="AmdtsEntries"/>
      </w:pPr>
      <w:r>
        <w:t>s 417</w:t>
      </w:r>
      <w:r>
        <w:tab/>
        <w:t xml:space="preserve">am </w:t>
      </w:r>
      <w:hyperlink r:id="rId623" w:tooltip="Heavy Vehicle National Law and Other Legislation Amendment Act 2016" w:history="1">
        <w:r w:rsidR="00D2442B" w:rsidRPr="005E03F7">
          <w:rPr>
            <w:rStyle w:val="Hyperlink"/>
          </w:rPr>
          <w:t>A2016-65 (Qld)</w:t>
        </w:r>
      </w:hyperlink>
      <w:r>
        <w:rPr>
          <w:rStyle w:val="charCitHyperlinkAbbrev"/>
        </w:rPr>
        <w:t xml:space="preserve"> </w:t>
      </w:r>
      <w:r>
        <w:t>s 139</w:t>
      </w:r>
    </w:p>
    <w:p w14:paraId="0481A8E0" w14:textId="77777777" w:rsidR="00333C6E" w:rsidRDefault="00333C6E" w:rsidP="00333C6E">
      <w:pPr>
        <w:pStyle w:val="AmdtsEntryHd"/>
      </w:pPr>
      <w:r w:rsidRPr="007E1F9A">
        <w:t xml:space="preserve">Powers to use and disclose intelligent access </w:t>
      </w:r>
      <w:r w:rsidR="003F0FDE">
        <w:t xml:space="preserve">program </w:t>
      </w:r>
      <w:r w:rsidRPr="007E1F9A">
        <w:t>information</w:t>
      </w:r>
    </w:p>
    <w:p w14:paraId="7D384CFF" w14:textId="040DEBEC" w:rsidR="003F0FDE" w:rsidRPr="004E3500" w:rsidRDefault="003F0FDE" w:rsidP="005E03F7">
      <w:pPr>
        <w:pStyle w:val="AmdtsEntries"/>
      </w:pPr>
      <w:r>
        <w:t>s 418 hdg</w:t>
      </w:r>
      <w:r>
        <w:tab/>
        <w:t xml:space="preserve">am </w:t>
      </w:r>
      <w:hyperlink r:id="rId624" w:tooltip="Heavy Vehicle National Law and Other Legislation Amendment Act 2016" w:history="1">
        <w:r w:rsidR="00D2442B" w:rsidRPr="005E03F7">
          <w:rPr>
            <w:rStyle w:val="Hyperlink"/>
          </w:rPr>
          <w:t>A2016-65 (Qld)</w:t>
        </w:r>
      </w:hyperlink>
      <w:r>
        <w:rPr>
          <w:rStyle w:val="charCitHyperlinkAbbrev"/>
        </w:rPr>
        <w:t xml:space="preserve"> </w:t>
      </w:r>
      <w:r>
        <w:t>s 139</w:t>
      </w:r>
    </w:p>
    <w:p w14:paraId="73EED89B" w14:textId="25205FCE" w:rsidR="00333C6E" w:rsidRPr="004E3500" w:rsidRDefault="00333C6E" w:rsidP="005E03F7">
      <w:pPr>
        <w:pStyle w:val="AmdtsEntries"/>
      </w:pPr>
      <w:r>
        <w:t>s 418</w:t>
      </w:r>
      <w:r>
        <w:tab/>
        <w:t xml:space="preserve">am </w:t>
      </w:r>
      <w:hyperlink r:id="rId625" w:tooltip="Heavy Vehicle National Law and Other Legislation Amendment Act 2016" w:history="1">
        <w:r w:rsidR="00D2442B" w:rsidRPr="005E03F7">
          <w:rPr>
            <w:rStyle w:val="Hyperlink"/>
          </w:rPr>
          <w:t>A2016-65 (Qld)</w:t>
        </w:r>
      </w:hyperlink>
      <w:r>
        <w:rPr>
          <w:rStyle w:val="charCitHyperlinkAbbrev"/>
        </w:rPr>
        <w:t xml:space="preserve"> </w:t>
      </w:r>
      <w:r>
        <w:t>s 139</w:t>
      </w:r>
    </w:p>
    <w:p w14:paraId="2CF8A9D2" w14:textId="77777777" w:rsidR="00371EEA" w:rsidRDefault="00371EEA" w:rsidP="00371EEA">
      <w:pPr>
        <w:pStyle w:val="AmdtsEntryHd"/>
      </w:pPr>
      <w:r w:rsidRPr="007E1F9A">
        <w:t>Keeping record of use or disclosure of intelligent access</w:t>
      </w:r>
      <w:r w:rsidR="003F0FDE">
        <w:t xml:space="preserve"> program</w:t>
      </w:r>
      <w:r w:rsidRPr="007E1F9A">
        <w:t xml:space="preserve"> information</w:t>
      </w:r>
    </w:p>
    <w:p w14:paraId="5A97AC56" w14:textId="6608159C" w:rsidR="003F0FDE" w:rsidRPr="004E3500" w:rsidRDefault="003F0FDE" w:rsidP="005E03F7">
      <w:pPr>
        <w:pStyle w:val="AmdtsEntries"/>
      </w:pPr>
      <w:r>
        <w:t>s 419 hdg</w:t>
      </w:r>
      <w:r>
        <w:tab/>
        <w:t xml:space="preserve">am </w:t>
      </w:r>
      <w:hyperlink r:id="rId626" w:tooltip="Heavy Vehicle National Law and Other Legislation Amendment Act 2016" w:history="1">
        <w:r w:rsidR="00D2442B" w:rsidRPr="005E03F7">
          <w:rPr>
            <w:rStyle w:val="Hyperlink"/>
          </w:rPr>
          <w:t>A2016-65 (Qld)</w:t>
        </w:r>
      </w:hyperlink>
      <w:r>
        <w:rPr>
          <w:rStyle w:val="charCitHyperlinkAbbrev"/>
        </w:rPr>
        <w:t xml:space="preserve"> </w:t>
      </w:r>
      <w:r>
        <w:t>s 139</w:t>
      </w:r>
    </w:p>
    <w:p w14:paraId="07BB5149" w14:textId="5F31EF37" w:rsidR="00371EEA" w:rsidRPr="004E3500" w:rsidRDefault="00371EEA" w:rsidP="005E03F7">
      <w:pPr>
        <w:pStyle w:val="AmdtsEntries"/>
      </w:pPr>
      <w:r>
        <w:t>s 419</w:t>
      </w:r>
      <w:r>
        <w:tab/>
        <w:t xml:space="preserve">am </w:t>
      </w:r>
      <w:hyperlink r:id="rId627" w:tooltip="Heavy Vehicle National Law and Other Legislation Amendment Act 2016" w:history="1">
        <w:r w:rsidR="00311556" w:rsidRPr="005E03F7">
          <w:rPr>
            <w:rStyle w:val="Hyperlink"/>
          </w:rPr>
          <w:t>A2016-65 (Qld)</w:t>
        </w:r>
      </w:hyperlink>
      <w:r>
        <w:rPr>
          <w:rStyle w:val="charCitHyperlinkAbbrev"/>
        </w:rPr>
        <w:t xml:space="preserve"> </w:t>
      </w:r>
      <w:r>
        <w:t>s 139</w:t>
      </w:r>
    </w:p>
    <w:p w14:paraId="382A2287" w14:textId="77777777" w:rsidR="00723B98" w:rsidRDefault="00723B98" w:rsidP="00723B98">
      <w:pPr>
        <w:pStyle w:val="AmdtsEntryHd"/>
      </w:pPr>
      <w:r w:rsidRPr="007E1F9A">
        <w:t>Keeping noncompliance report etc.</w:t>
      </w:r>
    </w:p>
    <w:p w14:paraId="437B7A0C" w14:textId="19B30040" w:rsidR="00723B98" w:rsidRPr="004E3500" w:rsidRDefault="00723B98" w:rsidP="005E03F7">
      <w:pPr>
        <w:pStyle w:val="AmdtsEntries"/>
      </w:pPr>
      <w:r>
        <w:t>s 420</w:t>
      </w:r>
      <w:r>
        <w:tab/>
        <w:t xml:space="preserve">am </w:t>
      </w:r>
      <w:hyperlink r:id="rId628" w:tooltip="Heavy Vehicle National Law and Other Legislation Amendment Act 2016" w:history="1">
        <w:r w:rsidR="00311556" w:rsidRPr="005E03F7">
          <w:rPr>
            <w:rStyle w:val="Hyperlink"/>
          </w:rPr>
          <w:t>A2016-65 (Qld)</w:t>
        </w:r>
      </w:hyperlink>
      <w:r>
        <w:rPr>
          <w:rStyle w:val="charCitHyperlinkAbbrev"/>
        </w:rPr>
        <w:t xml:space="preserve"> </w:t>
      </w:r>
      <w:r>
        <w:t>s 139</w:t>
      </w:r>
    </w:p>
    <w:p w14:paraId="7305F280" w14:textId="77777777" w:rsidR="00333C6E" w:rsidRDefault="00333C6E" w:rsidP="00333C6E">
      <w:pPr>
        <w:pStyle w:val="AmdtsEntryHd"/>
      </w:pPr>
      <w:r w:rsidRPr="007E1F9A">
        <w:t>Destroying intelligent access</w:t>
      </w:r>
      <w:r w:rsidR="003F0FDE">
        <w:t xml:space="preserve"> program</w:t>
      </w:r>
      <w:r w:rsidRPr="007E1F9A">
        <w:t xml:space="preserve"> information etc.</w:t>
      </w:r>
    </w:p>
    <w:p w14:paraId="46351807" w14:textId="031D66FA" w:rsidR="003F0FDE" w:rsidRPr="004E3500" w:rsidRDefault="003F0FDE" w:rsidP="005E03F7">
      <w:pPr>
        <w:pStyle w:val="AmdtsEntries"/>
      </w:pPr>
      <w:r>
        <w:t>s 421 hdg</w:t>
      </w:r>
      <w:r>
        <w:tab/>
        <w:t xml:space="preserve">am </w:t>
      </w:r>
      <w:hyperlink r:id="rId629" w:tooltip="Heavy Vehicle National Law and Other Legislation Amendment Act 2016" w:history="1">
        <w:r w:rsidR="00311556" w:rsidRPr="005E03F7">
          <w:rPr>
            <w:rStyle w:val="Hyperlink"/>
          </w:rPr>
          <w:t>A2016-65 (Qld)</w:t>
        </w:r>
      </w:hyperlink>
      <w:r>
        <w:rPr>
          <w:rStyle w:val="charCitHyperlinkAbbrev"/>
        </w:rPr>
        <w:t xml:space="preserve"> </w:t>
      </w:r>
      <w:r>
        <w:t>s 139</w:t>
      </w:r>
    </w:p>
    <w:p w14:paraId="7DE7A45F" w14:textId="30777BB2" w:rsidR="00333C6E" w:rsidRPr="009D2383" w:rsidRDefault="00333C6E" w:rsidP="005E03F7">
      <w:pPr>
        <w:pStyle w:val="AmdtsEntries"/>
      </w:pPr>
      <w:r>
        <w:t>s 421</w:t>
      </w:r>
      <w:r>
        <w:tab/>
        <w:t xml:space="preserve">am </w:t>
      </w:r>
      <w:hyperlink r:id="rId630" w:tooltip="Heavy Vehicle National Law and Other Legislation Amendment Act 2016" w:history="1">
        <w:r w:rsidR="00311556" w:rsidRPr="005E03F7">
          <w:rPr>
            <w:rStyle w:val="Hyperlink"/>
          </w:rPr>
          <w:t>A2016-65 (Qld)</w:t>
        </w:r>
      </w:hyperlink>
      <w:r>
        <w:rPr>
          <w:rStyle w:val="charCitHyperlinkAbbrev"/>
        </w:rPr>
        <w:t xml:space="preserve"> </w:t>
      </w:r>
      <w:r w:rsidR="001E6468" w:rsidRPr="001E6468">
        <w:t>s 76,</w:t>
      </w:r>
      <w:r w:rsidR="001E6468">
        <w:rPr>
          <w:rStyle w:val="charCitHyperlinkAbbrev"/>
        </w:rPr>
        <w:t xml:space="preserve"> </w:t>
      </w:r>
      <w:r>
        <w:t>s 139</w:t>
      </w:r>
      <w:r w:rsidR="009D2383">
        <w:t xml:space="preserve">; </w:t>
      </w:r>
      <w:hyperlink r:id="rId631" w:tooltip="Heavy Vehicle National Law Amendment Act 2018" w:history="1">
        <w:r w:rsidR="00CB7A54" w:rsidRPr="005E03F7">
          <w:rPr>
            <w:rStyle w:val="Hyperlink"/>
          </w:rPr>
          <w:t>A2018-18 (Qld)</w:t>
        </w:r>
      </w:hyperlink>
      <w:r w:rsidR="009D2383">
        <w:t xml:space="preserve"> sch 1</w:t>
      </w:r>
    </w:p>
    <w:p w14:paraId="3A99DCEE" w14:textId="77777777" w:rsidR="00723B98" w:rsidRDefault="00723B98" w:rsidP="00723B98">
      <w:pPr>
        <w:pStyle w:val="AmdtsEntryHd"/>
      </w:pPr>
      <w:r w:rsidRPr="007E1F9A">
        <w:t>Reporting relevant contraventions to Regulator</w:t>
      </w:r>
    </w:p>
    <w:p w14:paraId="3BBD5939" w14:textId="72D134AD" w:rsidR="00723B98" w:rsidRPr="004E3500" w:rsidRDefault="00723B98" w:rsidP="005E03F7">
      <w:pPr>
        <w:pStyle w:val="AmdtsEntries"/>
      </w:pPr>
      <w:r>
        <w:t>s 422</w:t>
      </w:r>
      <w:r>
        <w:tab/>
        <w:t xml:space="preserve">am </w:t>
      </w:r>
      <w:hyperlink r:id="rId632" w:tooltip="Heavy Vehicle National Law and Other Legislation Amendment Act 2016" w:history="1">
        <w:r w:rsidR="00311556" w:rsidRPr="005E03F7">
          <w:rPr>
            <w:rStyle w:val="Hyperlink"/>
          </w:rPr>
          <w:t>A2016-65 (Qld)</w:t>
        </w:r>
      </w:hyperlink>
      <w:r>
        <w:rPr>
          <w:rStyle w:val="charCitHyperlinkAbbrev"/>
        </w:rPr>
        <w:t xml:space="preserve"> </w:t>
      </w:r>
      <w:r>
        <w:t>s 139</w:t>
      </w:r>
    </w:p>
    <w:p w14:paraId="6A14B37A" w14:textId="77777777" w:rsidR="00723B98" w:rsidRDefault="00723B98" w:rsidP="00723B98">
      <w:pPr>
        <w:pStyle w:val="AmdtsEntryHd"/>
      </w:pPr>
      <w:r w:rsidRPr="007E1F9A">
        <w:t>Reporting tampering or suspected tampering with approved intelligent transport system</w:t>
      </w:r>
    </w:p>
    <w:p w14:paraId="37362C02" w14:textId="5EDEC8F5" w:rsidR="00723B98" w:rsidRPr="004E3500" w:rsidRDefault="00723B98" w:rsidP="005E03F7">
      <w:pPr>
        <w:pStyle w:val="AmdtsEntries"/>
      </w:pPr>
      <w:r>
        <w:t>s 423</w:t>
      </w:r>
      <w:r>
        <w:tab/>
        <w:t xml:space="preserve">am </w:t>
      </w:r>
      <w:hyperlink r:id="rId633" w:tooltip="Heavy Vehicle National Law and Other Legislation Amendment Act 2016" w:history="1">
        <w:r w:rsidR="00311556" w:rsidRPr="005E03F7">
          <w:rPr>
            <w:rStyle w:val="Hyperlink"/>
          </w:rPr>
          <w:t>A2016-65 (Qld)</w:t>
        </w:r>
      </w:hyperlink>
      <w:r>
        <w:rPr>
          <w:rStyle w:val="charCitHyperlinkAbbrev"/>
        </w:rPr>
        <w:t xml:space="preserve"> </w:t>
      </w:r>
      <w:r>
        <w:t>s 139</w:t>
      </w:r>
    </w:p>
    <w:p w14:paraId="344316A7" w14:textId="77777777" w:rsidR="007A1279" w:rsidRDefault="007A1279" w:rsidP="007A1279">
      <w:pPr>
        <w:pStyle w:val="AmdtsEntryHd"/>
      </w:pPr>
      <w:r w:rsidRPr="007E1F9A">
        <w:t>Restriction on disclosing information about tampering or suspected tampering with approved intelligent transport system</w:t>
      </w:r>
    </w:p>
    <w:p w14:paraId="0CC8DAEA" w14:textId="23D03F70" w:rsidR="007A1279" w:rsidRPr="004E3500" w:rsidRDefault="007A1279" w:rsidP="005E03F7">
      <w:pPr>
        <w:pStyle w:val="AmdtsEntries"/>
      </w:pPr>
      <w:r>
        <w:t>s 424</w:t>
      </w:r>
      <w:r>
        <w:tab/>
        <w:t xml:space="preserve">am </w:t>
      </w:r>
      <w:hyperlink r:id="rId634" w:tooltip="Heavy Vehicle National Law and Other Legislation Amendment Act 2016" w:history="1">
        <w:r w:rsidR="00311556" w:rsidRPr="005E03F7">
          <w:rPr>
            <w:rStyle w:val="Hyperlink"/>
          </w:rPr>
          <w:t>A2016-65 (Qld)</w:t>
        </w:r>
      </w:hyperlink>
      <w:r>
        <w:rPr>
          <w:rStyle w:val="charCitHyperlinkAbbrev"/>
        </w:rPr>
        <w:t xml:space="preserve"> </w:t>
      </w:r>
      <w:r>
        <w:t>s 139</w:t>
      </w:r>
    </w:p>
    <w:p w14:paraId="1082F91C" w14:textId="77777777" w:rsidR="00DD1556" w:rsidRDefault="00DD1556" w:rsidP="00DD1556">
      <w:pPr>
        <w:pStyle w:val="AmdtsEntryHd"/>
      </w:pPr>
      <w:r w:rsidRPr="007E1F9A">
        <w:t>Functions of TCA</w:t>
      </w:r>
    </w:p>
    <w:p w14:paraId="0B9B6032" w14:textId="071E7CC4" w:rsidR="00DD1556" w:rsidRPr="004E3500" w:rsidRDefault="00DD1556" w:rsidP="005E03F7">
      <w:pPr>
        <w:pStyle w:val="AmdtsEntries"/>
      </w:pPr>
      <w:r>
        <w:t>s 425</w:t>
      </w:r>
      <w:r>
        <w:tab/>
        <w:t xml:space="preserve">am </w:t>
      </w:r>
      <w:hyperlink r:id="rId635" w:tooltip="Heavy Vehicle National Law and Other Legislation Amendment Act 2016" w:history="1">
        <w:r w:rsidR="00311556" w:rsidRPr="005E03F7">
          <w:rPr>
            <w:rStyle w:val="Hyperlink"/>
          </w:rPr>
          <w:t>A2016-65 (Qld)</w:t>
        </w:r>
      </w:hyperlink>
      <w:r>
        <w:rPr>
          <w:rStyle w:val="charCitHyperlinkAbbrev"/>
        </w:rPr>
        <w:t xml:space="preserve"> </w:t>
      </w:r>
      <w:r>
        <w:t>s 139</w:t>
      </w:r>
    </w:p>
    <w:p w14:paraId="62C61A68" w14:textId="77777777" w:rsidR="00333C6E" w:rsidRDefault="00333C6E" w:rsidP="00333C6E">
      <w:pPr>
        <w:pStyle w:val="AmdtsEntryHd"/>
      </w:pPr>
      <w:r w:rsidRPr="007E1F9A">
        <w:t xml:space="preserve">Powers to collect and hold intelligent access </w:t>
      </w:r>
      <w:r w:rsidR="003F0FDE">
        <w:t xml:space="preserve">program </w:t>
      </w:r>
      <w:r w:rsidRPr="007E1F9A">
        <w:t>information</w:t>
      </w:r>
    </w:p>
    <w:p w14:paraId="64EFE31E" w14:textId="37A50CD9" w:rsidR="003F0FDE" w:rsidRPr="004E3500" w:rsidRDefault="003F0FDE" w:rsidP="005E03F7">
      <w:pPr>
        <w:pStyle w:val="AmdtsEntries"/>
      </w:pPr>
      <w:r>
        <w:t>s 426 hdg</w:t>
      </w:r>
      <w:r>
        <w:tab/>
        <w:t xml:space="preserve">am </w:t>
      </w:r>
      <w:hyperlink r:id="rId636" w:tooltip="Heavy Vehicle National Law and Other Legislation Amendment Act 2016" w:history="1">
        <w:r w:rsidR="00311556" w:rsidRPr="005E03F7">
          <w:rPr>
            <w:rStyle w:val="Hyperlink"/>
          </w:rPr>
          <w:t>A2016-65 (Qld)</w:t>
        </w:r>
      </w:hyperlink>
      <w:r>
        <w:rPr>
          <w:rStyle w:val="charCitHyperlinkAbbrev"/>
        </w:rPr>
        <w:t xml:space="preserve"> </w:t>
      </w:r>
      <w:r>
        <w:t>s 139</w:t>
      </w:r>
    </w:p>
    <w:p w14:paraId="61E8DFD8" w14:textId="51EAA9A9" w:rsidR="00333C6E" w:rsidRPr="004E3500" w:rsidRDefault="00333C6E" w:rsidP="005E03F7">
      <w:pPr>
        <w:pStyle w:val="AmdtsEntries"/>
      </w:pPr>
      <w:r>
        <w:t>s 426</w:t>
      </w:r>
      <w:r>
        <w:tab/>
        <w:t xml:space="preserve">am </w:t>
      </w:r>
      <w:hyperlink r:id="rId637" w:tooltip="Heavy Vehicle National Law and Other Legislation Amendment Act 2016" w:history="1">
        <w:r w:rsidR="00311556" w:rsidRPr="005E03F7">
          <w:rPr>
            <w:rStyle w:val="Hyperlink"/>
          </w:rPr>
          <w:t>A2016-65 (Qld)</w:t>
        </w:r>
      </w:hyperlink>
      <w:r>
        <w:rPr>
          <w:rStyle w:val="charCitHyperlinkAbbrev"/>
        </w:rPr>
        <w:t xml:space="preserve"> </w:t>
      </w:r>
      <w:r>
        <w:t>s 139</w:t>
      </w:r>
    </w:p>
    <w:p w14:paraId="3DE05B87" w14:textId="77777777" w:rsidR="00675ABC" w:rsidRDefault="00675ABC" w:rsidP="00675ABC">
      <w:pPr>
        <w:pStyle w:val="AmdtsEntryHd"/>
      </w:pPr>
      <w:r w:rsidRPr="007E1F9A">
        <w:t xml:space="preserve">Collecting intelligent access </w:t>
      </w:r>
      <w:r w:rsidR="003F0FDE">
        <w:t xml:space="preserve">program </w:t>
      </w:r>
      <w:r w:rsidRPr="007E1F9A">
        <w:t>information</w:t>
      </w:r>
    </w:p>
    <w:p w14:paraId="63241FC2" w14:textId="327BA784" w:rsidR="003F0FDE" w:rsidRPr="004E3500" w:rsidRDefault="003F0FDE" w:rsidP="005E03F7">
      <w:pPr>
        <w:pStyle w:val="AmdtsEntries"/>
      </w:pPr>
      <w:r>
        <w:t>s 427 hdg</w:t>
      </w:r>
      <w:r>
        <w:tab/>
        <w:t xml:space="preserve">am </w:t>
      </w:r>
      <w:hyperlink r:id="rId638" w:tooltip="Heavy Vehicle National Law and Other Legislation Amendment Act 2016" w:history="1">
        <w:r w:rsidR="00311556" w:rsidRPr="005E03F7">
          <w:rPr>
            <w:rStyle w:val="Hyperlink"/>
          </w:rPr>
          <w:t>A2016-65 (Qld)</w:t>
        </w:r>
      </w:hyperlink>
      <w:r>
        <w:rPr>
          <w:rStyle w:val="charCitHyperlinkAbbrev"/>
        </w:rPr>
        <w:t xml:space="preserve"> </w:t>
      </w:r>
      <w:r>
        <w:t>s 139</w:t>
      </w:r>
    </w:p>
    <w:p w14:paraId="7BE34DE2" w14:textId="4CD634BD" w:rsidR="00675ABC" w:rsidRPr="004E3500" w:rsidRDefault="00675ABC" w:rsidP="005E03F7">
      <w:pPr>
        <w:pStyle w:val="AmdtsEntries"/>
      </w:pPr>
      <w:r>
        <w:t>s 427</w:t>
      </w:r>
      <w:r>
        <w:tab/>
        <w:t xml:space="preserve">am </w:t>
      </w:r>
      <w:hyperlink r:id="rId639" w:tooltip="Heavy Vehicle National Law and Other Legislation Amendment Act 2016" w:history="1">
        <w:r w:rsidR="00311556" w:rsidRPr="005E03F7">
          <w:rPr>
            <w:rStyle w:val="Hyperlink"/>
          </w:rPr>
          <w:t>A2016-65 (Qld)</w:t>
        </w:r>
      </w:hyperlink>
      <w:r>
        <w:rPr>
          <w:rStyle w:val="charCitHyperlinkAbbrev"/>
        </w:rPr>
        <w:t xml:space="preserve"> </w:t>
      </w:r>
      <w:r w:rsidR="001E6468" w:rsidRPr="001E6468">
        <w:t>s 77,</w:t>
      </w:r>
      <w:r w:rsidR="001E6468">
        <w:rPr>
          <w:rStyle w:val="charCitHyperlinkAbbrev"/>
        </w:rPr>
        <w:t xml:space="preserve"> </w:t>
      </w:r>
      <w:r>
        <w:t>s 139</w:t>
      </w:r>
    </w:p>
    <w:p w14:paraId="5A2FD355" w14:textId="77777777" w:rsidR="00586C3B" w:rsidRDefault="00586C3B" w:rsidP="00586C3B">
      <w:pPr>
        <w:pStyle w:val="AmdtsEntryHd"/>
        <w:rPr>
          <w:rFonts w:ascii="Helvetica" w:hAnsi="Helvetica" w:cs="Helvetica"/>
          <w:iCs/>
        </w:rPr>
      </w:pPr>
      <w:r w:rsidRPr="007E1F9A">
        <w:t xml:space="preserve">Protecting intelligent access </w:t>
      </w:r>
      <w:r w:rsidR="003F0FDE">
        <w:t xml:space="preserve">program </w:t>
      </w:r>
      <w:r w:rsidRPr="007E1F9A">
        <w:t>information collected</w:t>
      </w:r>
    </w:p>
    <w:p w14:paraId="77CB4402" w14:textId="50B222EE" w:rsidR="003F0FDE" w:rsidRDefault="003F0FDE" w:rsidP="005E03F7">
      <w:pPr>
        <w:pStyle w:val="AmdtsEntries"/>
      </w:pPr>
      <w:r>
        <w:t>s 428 hdg</w:t>
      </w:r>
      <w:r>
        <w:tab/>
        <w:t xml:space="preserve">am </w:t>
      </w:r>
      <w:hyperlink r:id="rId640" w:tooltip="Heavy Vehicle National Law and Other Legislation Amendment Act 2016" w:history="1">
        <w:r w:rsidR="00311556" w:rsidRPr="005E03F7">
          <w:rPr>
            <w:rStyle w:val="Hyperlink"/>
          </w:rPr>
          <w:t>A2016-65 (Qld)</w:t>
        </w:r>
      </w:hyperlink>
      <w:r>
        <w:rPr>
          <w:rStyle w:val="charCitHyperlinkAbbrev"/>
        </w:rPr>
        <w:t xml:space="preserve"> </w:t>
      </w:r>
      <w:r>
        <w:t>s 139</w:t>
      </w:r>
    </w:p>
    <w:p w14:paraId="4BFD02A7" w14:textId="4B609FFB" w:rsidR="00586C3B" w:rsidRPr="009D2383" w:rsidRDefault="00586C3B" w:rsidP="005E03F7">
      <w:pPr>
        <w:pStyle w:val="AmdtsEntries"/>
      </w:pPr>
      <w:r>
        <w:t>s 428</w:t>
      </w:r>
      <w:r>
        <w:tab/>
        <w:t xml:space="preserve">am </w:t>
      </w:r>
      <w:hyperlink r:id="rId641" w:tooltip="Heavy Vehicle National Law Amendment Act 2015" w:history="1">
        <w:r w:rsidR="00BA6441">
          <w:rPr>
            <w:rStyle w:val="charCitHyperlinkAbbrev"/>
          </w:rPr>
          <w:t>A2015-12</w:t>
        </w:r>
      </w:hyperlink>
      <w:r w:rsidR="00BA6441">
        <w:t xml:space="preserve"> (Qld)</w:t>
      </w:r>
      <w:r w:rsidR="009C6B2D">
        <w:t xml:space="preserve"> </w:t>
      </w:r>
      <w:r>
        <w:t>s 67</w:t>
      </w:r>
      <w:r w:rsidR="00675ABC">
        <w:t xml:space="preserve">; </w:t>
      </w:r>
      <w:hyperlink r:id="rId642" w:tooltip="Heavy Vehicle National Law and Other Legislation Amendment Act 2016" w:history="1">
        <w:r w:rsidR="00311556" w:rsidRPr="005E03F7">
          <w:rPr>
            <w:rStyle w:val="Hyperlink"/>
          </w:rPr>
          <w:t>A2016-65 (Qld)</w:t>
        </w:r>
      </w:hyperlink>
      <w:r w:rsidR="00675ABC">
        <w:rPr>
          <w:rStyle w:val="charCitHyperlinkAbbrev"/>
        </w:rPr>
        <w:t xml:space="preserve"> </w:t>
      </w:r>
      <w:r w:rsidR="001E6468" w:rsidRPr="001E6468">
        <w:t xml:space="preserve">s 78, </w:t>
      </w:r>
      <w:r w:rsidR="00675ABC">
        <w:t>s 139</w:t>
      </w:r>
      <w:r w:rsidR="009D2383">
        <w:t>;</w:t>
      </w:r>
      <w:r w:rsidR="002427CE">
        <w:br/>
      </w:r>
      <w:hyperlink r:id="rId643" w:tooltip="Heavy Vehicle National Law Amendment Act 2018" w:history="1">
        <w:r w:rsidR="00CB7A54" w:rsidRPr="005E03F7">
          <w:rPr>
            <w:rStyle w:val="Hyperlink"/>
          </w:rPr>
          <w:t>A2018-18 (Qld)</w:t>
        </w:r>
      </w:hyperlink>
      <w:r w:rsidR="009D2383">
        <w:t xml:space="preserve"> sch 1</w:t>
      </w:r>
    </w:p>
    <w:p w14:paraId="445B994F" w14:textId="77777777" w:rsidR="00586C3B" w:rsidRDefault="00586C3B" w:rsidP="00586C3B">
      <w:pPr>
        <w:pStyle w:val="AmdtsEntryHd"/>
        <w:rPr>
          <w:rFonts w:ascii="Helvetica" w:hAnsi="Helvetica" w:cs="Helvetica"/>
          <w:iCs/>
        </w:rPr>
      </w:pPr>
      <w:r w:rsidRPr="007E1F9A">
        <w:t>General restriction on use and disclosure of intelligent access</w:t>
      </w:r>
      <w:r w:rsidR="003F0FDE">
        <w:t xml:space="preserve"> program</w:t>
      </w:r>
      <w:r w:rsidRPr="007E1F9A">
        <w:t xml:space="preserve"> information</w:t>
      </w:r>
    </w:p>
    <w:p w14:paraId="091540F9" w14:textId="54E63C1F" w:rsidR="003F0FDE" w:rsidRDefault="003F0FDE" w:rsidP="005E03F7">
      <w:pPr>
        <w:pStyle w:val="AmdtsEntries"/>
      </w:pPr>
      <w:r>
        <w:t>s 432 hdg</w:t>
      </w:r>
      <w:r>
        <w:tab/>
        <w:t xml:space="preserve">am </w:t>
      </w:r>
      <w:hyperlink r:id="rId644" w:tooltip="Heavy Vehicle National Law and Other Legislation Amendment Act 2016" w:history="1">
        <w:r w:rsidR="00311556" w:rsidRPr="005E03F7">
          <w:rPr>
            <w:rStyle w:val="Hyperlink"/>
          </w:rPr>
          <w:t>A2016-65 (Qld)</w:t>
        </w:r>
      </w:hyperlink>
      <w:r>
        <w:rPr>
          <w:rStyle w:val="charCitHyperlinkAbbrev"/>
        </w:rPr>
        <w:t xml:space="preserve"> </w:t>
      </w:r>
      <w:r>
        <w:t>s 139</w:t>
      </w:r>
    </w:p>
    <w:p w14:paraId="0F6A38B2" w14:textId="6F9C1E85" w:rsidR="00586C3B" w:rsidRDefault="00586C3B" w:rsidP="005E03F7">
      <w:pPr>
        <w:pStyle w:val="AmdtsEntries"/>
      </w:pPr>
      <w:r>
        <w:t>s 432</w:t>
      </w:r>
      <w:r>
        <w:tab/>
        <w:t xml:space="preserve">am </w:t>
      </w:r>
      <w:hyperlink r:id="rId645" w:tooltip="Heavy Vehicle National Law Amendment Act 2015" w:history="1">
        <w:r w:rsidR="00BA6441">
          <w:rPr>
            <w:rStyle w:val="charCitHyperlinkAbbrev"/>
          </w:rPr>
          <w:t>A2015-12</w:t>
        </w:r>
      </w:hyperlink>
      <w:r w:rsidR="00BA6441">
        <w:t xml:space="preserve"> (Qld)</w:t>
      </w:r>
      <w:r>
        <w:t xml:space="preserve"> s 67</w:t>
      </w:r>
      <w:r w:rsidR="00675ABC">
        <w:t xml:space="preserve">; </w:t>
      </w:r>
      <w:hyperlink r:id="rId646" w:tooltip="Heavy Vehicle National Law and Other Legislation Amendment Act 2016" w:history="1">
        <w:r w:rsidR="00311556" w:rsidRPr="005E03F7">
          <w:rPr>
            <w:rStyle w:val="Hyperlink"/>
          </w:rPr>
          <w:t>A2016-65 (Qld)</w:t>
        </w:r>
      </w:hyperlink>
      <w:r w:rsidR="00675ABC">
        <w:rPr>
          <w:rStyle w:val="charCitHyperlinkAbbrev"/>
        </w:rPr>
        <w:t xml:space="preserve"> </w:t>
      </w:r>
      <w:r w:rsidR="00675ABC">
        <w:t>s 139</w:t>
      </w:r>
    </w:p>
    <w:p w14:paraId="790DCCE4" w14:textId="77777777" w:rsidR="008575CD" w:rsidRDefault="008575CD" w:rsidP="00A90E02">
      <w:pPr>
        <w:pStyle w:val="AmdtsEntryHd"/>
      </w:pPr>
      <w:r w:rsidRPr="007E1F9A">
        <w:lastRenderedPageBreak/>
        <w:t>Powers to use and disclose intelligent access</w:t>
      </w:r>
      <w:r w:rsidR="003F0FDE">
        <w:t xml:space="preserve"> program</w:t>
      </w:r>
      <w:r w:rsidRPr="007E1F9A">
        <w:t xml:space="preserve"> information</w:t>
      </w:r>
    </w:p>
    <w:p w14:paraId="217A4AEE" w14:textId="534BD365" w:rsidR="003F0FDE" w:rsidRPr="008575CD" w:rsidRDefault="003F0FDE" w:rsidP="005E03F7">
      <w:pPr>
        <w:pStyle w:val="AmdtsEntries"/>
      </w:pPr>
      <w:r>
        <w:t>s 433 hdg</w:t>
      </w:r>
      <w:r>
        <w:tab/>
        <w:t xml:space="preserve">am </w:t>
      </w:r>
      <w:hyperlink r:id="rId647" w:tooltip="Heavy Vehicle National Law and Other Legislation Amendment Act 2016" w:history="1">
        <w:r w:rsidR="00311556" w:rsidRPr="005E03F7">
          <w:rPr>
            <w:rStyle w:val="Hyperlink"/>
          </w:rPr>
          <w:t>A2016-65 (Qld)</w:t>
        </w:r>
      </w:hyperlink>
      <w:r>
        <w:t xml:space="preserve"> s 139</w:t>
      </w:r>
    </w:p>
    <w:p w14:paraId="6B9948ED" w14:textId="1EF9A5EE" w:rsidR="008575CD" w:rsidRPr="008575CD" w:rsidRDefault="008575CD" w:rsidP="005E03F7">
      <w:pPr>
        <w:pStyle w:val="AmdtsEntries"/>
      </w:pPr>
      <w:r>
        <w:t>s 433</w:t>
      </w:r>
      <w:r>
        <w:tab/>
      </w:r>
      <w:r w:rsidR="00FE2711">
        <w:t xml:space="preserve">am </w:t>
      </w:r>
      <w:hyperlink r:id="rId648" w:tooltip="Heavy Vehicle National Law and Other Legislation Amendment Act 2016" w:history="1">
        <w:r w:rsidR="00C160CE" w:rsidRPr="005E03F7">
          <w:rPr>
            <w:rStyle w:val="Hyperlink"/>
          </w:rPr>
          <w:t>A2016-65 (Qld)</w:t>
        </w:r>
      </w:hyperlink>
      <w:r w:rsidR="00FE2711">
        <w:t xml:space="preserve"> s 139</w:t>
      </w:r>
    </w:p>
    <w:p w14:paraId="728F9C56" w14:textId="77777777" w:rsidR="00675ABC" w:rsidRDefault="00675ABC" w:rsidP="00675ABC">
      <w:pPr>
        <w:pStyle w:val="AmdtsEntryHd"/>
      </w:pPr>
      <w:r w:rsidRPr="007E1F9A">
        <w:t xml:space="preserve">Restriction about intelligent access </w:t>
      </w:r>
      <w:r w:rsidR="003F0FDE">
        <w:t xml:space="preserve">program </w:t>
      </w:r>
      <w:r w:rsidRPr="007E1F9A">
        <w:t>information that may be used or disclosed</w:t>
      </w:r>
    </w:p>
    <w:p w14:paraId="0A6D9358" w14:textId="6A5F65F0" w:rsidR="003F0FDE" w:rsidRPr="008575CD" w:rsidRDefault="003F0FDE" w:rsidP="005E03F7">
      <w:pPr>
        <w:pStyle w:val="AmdtsEntries"/>
      </w:pPr>
      <w:r>
        <w:t>s 434 hdg</w:t>
      </w:r>
      <w:r>
        <w:tab/>
        <w:t xml:space="preserve">am </w:t>
      </w:r>
      <w:hyperlink r:id="rId649" w:tooltip="Heavy Vehicle National Law and Other Legislation Amendment Act 2016" w:history="1">
        <w:r w:rsidR="00C160CE" w:rsidRPr="005E03F7">
          <w:rPr>
            <w:rStyle w:val="Hyperlink"/>
          </w:rPr>
          <w:t>A2016-65 (Qld)</w:t>
        </w:r>
      </w:hyperlink>
      <w:r>
        <w:t xml:space="preserve"> s 139</w:t>
      </w:r>
    </w:p>
    <w:p w14:paraId="28BA5370" w14:textId="68D69727" w:rsidR="00675ABC" w:rsidRPr="008575CD" w:rsidRDefault="00675ABC" w:rsidP="005E03F7">
      <w:pPr>
        <w:pStyle w:val="AmdtsEntries"/>
      </w:pPr>
      <w:r>
        <w:t>s 434</w:t>
      </w:r>
      <w:r>
        <w:tab/>
        <w:t xml:space="preserve">am </w:t>
      </w:r>
      <w:hyperlink r:id="rId650" w:tooltip="Heavy Vehicle National Law and Other Legislation Amendment Act 2016" w:history="1">
        <w:r w:rsidR="00C160CE" w:rsidRPr="005E03F7">
          <w:rPr>
            <w:rStyle w:val="Hyperlink"/>
          </w:rPr>
          <w:t>A2016-65 (Qld)</w:t>
        </w:r>
      </w:hyperlink>
      <w:r>
        <w:t xml:space="preserve"> s 139</w:t>
      </w:r>
    </w:p>
    <w:p w14:paraId="0F1FB992" w14:textId="77777777" w:rsidR="00854756" w:rsidRDefault="00854756" w:rsidP="00854756">
      <w:pPr>
        <w:pStyle w:val="AmdtsEntryHd"/>
      </w:pPr>
      <w:r w:rsidRPr="007E1F9A">
        <w:t>Keeping record of use or disclosure of intelligent access</w:t>
      </w:r>
      <w:r w:rsidR="003F0FDE">
        <w:t xml:space="preserve"> program</w:t>
      </w:r>
      <w:r w:rsidRPr="007E1F9A">
        <w:t xml:space="preserve"> information</w:t>
      </w:r>
    </w:p>
    <w:p w14:paraId="4F1ECD43" w14:textId="0B71B3C0" w:rsidR="003F0FDE" w:rsidRPr="008575CD" w:rsidRDefault="003F0FDE" w:rsidP="005E03F7">
      <w:pPr>
        <w:pStyle w:val="AmdtsEntries"/>
      </w:pPr>
      <w:r>
        <w:t>s 435 hdg</w:t>
      </w:r>
      <w:r>
        <w:tab/>
        <w:t xml:space="preserve">am </w:t>
      </w:r>
      <w:hyperlink r:id="rId651" w:tooltip="Heavy Vehicle National Law and Other Legislation Amendment Act 2016" w:history="1">
        <w:r w:rsidR="00C160CE" w:rsidRPr="005E03F7">
          <w:rPr>
            <w:rStyle w:val="Hyperlink"/>
          </w:rPr>
          <w:t>A2016-65 (Qld)</w:t>
        </w:r>
      </w:hyperlink>
      <w:r>
        <w:t xml:space="preserve"> s 139</w:t>
      </w:r>
    </w:p>
    <w:p w14:paraId="6BB55828" w14:textId="2409748A" w:rsidR="00854756" w:rsidRPr="008575CD" w:rsidRDefault="00854756" w:rsidP="005E03F7">
      <w:pPr>
        <w:pStyle w:val="AmdtsEntries"/>
      </w:pPr>
      <w:r>
        <w:t>s 435</w:t>
      </w:r>
      <w:r>
        <w:tab/>
        <w:t xml:space="preserve">am </w:t>
      </w:r>
      <w:hyperlink r:id="rId652" w:tooltip="Heavy Vehicle National Law and Other Legislation Amendment Act 2016" w:history="1">
        <w:r w:rsidR="00C160CE" w:rsidRPr="005E03F7">
          <w:rPr>
            <w:rStyle w:val="Hyperlink"/>
          </w:rPr>
          <w:t>A2016-65 (Qld)</w:t>
        </w:r>
      </w:hyperlink>
      <w:r>
        <w:t xml:space="preserve"> s 139</w:t>
      </w:r>
    </w:p>
    <w:p w14:paraId="2703E80D" w14:textId="77777777" w:rsidR="00854756" w:rsidRDefault="00854756" w:rsidP="00854756">
      <w:pPr>
        <w:pStyle w:val="AmdtsEntryHd"/>
      </w:pPr>
      <w:r w:rsidRPr="007E1F9A">
        <w:t>Destroying intelligent access</w:t>
      </w:r>
      <w:r w:rsidR="003F0FDE">
        <w:t xml:space="preserve"> program</w:t>
      </w:r>
      <w:r w:rsidRPr="007E1F9A">
        <w:t xml:space="preserve"> information or removing personal information from it</w:t>
      </w:r>
    </w:p>
    <w:p w14:paraId="5BE9F564" w14:textId="19C896EB" w:rsidR="003F0FDE" w:rsidRPr="008575CD" w:rsidRDefault="003F0FDE" w:rsidP="005E03F7">
      <w:pPr>
        <w:pStyle w:val="AmdtsEntries"/>
      </w:pPr>
      <w:r>
        <w:t>s 437 hdg</w:t>
      </w:r>
      <w:r>
        <w:tab/>
        <w:t xml:space="preserve">am </w:t>
      </w:r>
      <w:hyperlink r:id="rId653" w:tooltip="Heavy Vehicle National Law and Other Legislation Amendment Act 2016" w:history="1">
        <w:r w:rsidR="00C160CE" w:rsidRPr="005E03F7">
          <w:rPr>
            <w:rStyle w:val="Hyperlink"/>
          </w:rPr>
          <w:t>A2016-65 (Qld)</w:t>
        </w:r>
      </w:hyperlink>
      <w:r>
        <w:t xml:space="preserve"> s 139</w:t>
      </w:r>
    </w:p>
    <w:p w14:paraId="3977DFC9" w14:textId="5BD72D1A" w:rsidR="00854756" w:rsidRPr="002E16D1" w:rsidRDefault="00854756" w:rsidP="005E03F7">
      <w:pPr>
        <w:pStyle w:val="AmdtsEntries"/>
      </w:pPr>
      <w:r>
        <w:t>s 437</w:t>
      </w:r>
      <w:r>
        <w:tab/>
        <w:t xml:space="preserve">am </w:t>
      </w:r>
      <w:hyperlink r:id="rId654" w:tooltip="Heavy Vehicle National Law and Other Legislation Amendment Act 2016" w:history="1">
        <w:r w:rsidR="00C160CE" w:rsidRPr="005E03F7">
          <w:rPr>
            <w:rStyle w:val="Hyperlink"/>
          </w:rPr>
          <w:t>A2016-65 (Qld)</w:t>
        </w:r>
      </w:hyperlink>
      <w:r>
        <w:t xml:space="preserve"> </w:t>
      </w:r>
      <w:r w:rsidR="001E6468">
        <w:t xml:space="preserve">s 79, </w:t>
      </w:r>
      <w:r>
        <w:t>s 139</w:t>
      </w:r>
      <w:r w:rsidR="002E16D1">
        <w:t xml:space="preserve">; </w:t>
      </w:r>
      <w:hyperlink r:id="rId655" w:tooltip="Heavy Vehicle National Law Amendment Act 2018" w:history="1">
        <w:r w:rsidR="00CB7A54" w:rsidRPr="005E03F7">
          <w:rPr>
            <w:rStyle w:val="Hyperlink"/>
          </w:rPr>
          <w:t>A2018-18 (Qld)</w:t>
        </w:r>
      </w:hyperlink>
      <w:r w:rsidR="002E16D1">
        <w:rPr>
          <w:rStyle w:val="charCitHyperlinkAbbrev"/>
        </w:rPr>
        <w:t xml:space="preserve"> </w:t>
      </w:r>
      <w:r w:rsidR="002E16D1">
        <w:t>sch 1</w:t>
      </w:r>
    </w:p>
    <w:p w14:paraId="46D0EF6C" w14:textId="77777777" w:rsidR="00F223A6" w:rsidRDefault="00F223A6" w:rsidP="00FE2711">
      <w:pPr>
        <w:pStyle w:val="AmdtsEntryHd"/>
        <w:rPr>
          <w:rStyle w:val="CharPartText"/>
          <w:rFonts w:ascii="Helvetica" w:hAnsi="Helvetica" w:cs="Helvetica"/>
          <w:iCs/>
          <w:szCs w:val="32"/>
        </w:rPr>
      </w:pPr>
      <w:r w:rsidRPr="00943427">
        <w:rPr>
          <w:rStyle w:val="CharPartText"/>
          <w:rFonts w:ascii="Helvetica" w:hAnsi="Helvetica" w:cs="Helvetica"/>
          <w:iCs/>
          <w:szCs w:val="32"/>
        </w:rPr>
        <w:t xml:space="preserve">Powers, duties and obligations of intelligent access </w:t>
      </w:r>
      <w:r>
        <w:rPr>
          <w:rStyle w:val="CharPartText"/>
          <w:rFonts w:ascii="Helvetica" w:hAnsi="Helvetica" w:cs="Helvetica"/>
          <w:iCs/>
          <w:szCs w:val="32"/>
        </w:rPr>
        <w:t xml:space="preserve">program </w:t>
      </w:r>
      <w:r w:rsidRPr="00943427">
        <w:rPr>
          <w:rStyle w:val="CharPartText"/>
          <w:rFonts w:ascii="Helvetica" w:hAnsi="Helvetica" w:cs="Helvetica"/>
          <w:iCs/>
          <w:szCs w:val="32"/>
        </w:rPr>
        <w:t>auditors</w:t>
      </w:r>
    </w:p>
    <w:p w14:paraId="587DCE10" w14:textId="68EA167C" w:rsidR="00F223A6" w:rsidRPr="00F223A6" w:rsidRDefault="00F223A6" w:rsidP="005E03F7">
      <w:pPr>
        <w:pStyle w:val="AmdtsEntries"/>
      </w:pPr>
      <w:r>
        <w:t>pt 7.6 hdg</w:t>
      </w:r>
      <w:r>
        <w:tab/>
        <w:t xml:space="preserve">am </w:t>
      </w:r>
      <w:hyperlink r:id="rId656" w:tooltip="Heavy Vehicle National Law and Other Legislation Amendment Act 2016" w:history="1">
        <w:r w:rsidR="00C160CE" w:rsidRPr="005E03F7">
          <w:rPr>
            <w:rStyle w:val="Hyperlink"/>
          </w:rPr>
          <w:t>A2016-65 (Qld)</w:t>
        </w:r>
      </w:hyperlink>
      <w:r>
        <w:t xml:space="preserve"> s 139</w:t>
      </w:r>
    </w:p>
    <w:p w14:paraId="6D570EC1" w14:textId="77777777" w:rsidR="00FE2711" w:rsidRDefault="00FE2711" w:rsidP="00FE2711">
      <w:pPr>
        <w:pStyle w:val="AmdtsEntryHd"/>
      </w:pPr>
      <w:r w:rsidRPr="007E1F9A">
        <w:rPr>
          <w:rFonts w:ascii="Helvetica" w:hAnsi="Helvetica" w:cs="Helvetica"/>
          <w:iCs/>
        </w:rPr>
        <w:t xml:space="preserve">Powers to collect and hold intelligent access </w:t>
      </w:r>
      <w:r w:rsidR="003F0FDE">
        <w:rPr>
          <w:rFonts w:ascii="Helvetica" w:hAnsi="Helvetica" w:cs="Helvetica"/>
          <w:iCs/>
        </w:rPr>
        <w:t xml:space="preserve">program </w:t>
      </w:r>
      <w:r w:rsidRPr="007E1F9A">
        <w:rPr>
          <w:rFonts w:ascii="Helvetica" w:hAnsi="Helvetica" w:cs="Helvetica"/>
          <w:iCs/>
        </w:rPr>
        <w:t>information</w:t>
      </w:r>
    </w:p>
    <w:p w14:paraId="3FDE053D" w14:textId="776D7D4B" w:rsidR="003F0FDE" w:rsidRPr="008575CD" w:rsidRDefault="003F0FDE" w:rsidP="005E03F7">
      <w:pPr>
        <w:pStyle w:val="AmdtsEntries"/>
      </w:pPr>
      <w:r>
        <w:t>s 440 hdg</w:t>
      </w:r>
      <w:r>
        <w:tab/>
        <w:t xml:space="preserve">am </w:t>
      </w:r>
      <w:hyperlink r:id="rId657" w:tooltip="Heavy Vehicle National Law and Other Legislation Amendment Act 2016" w:history="1">
        <w:r w:rsidR="00C160CE" w:rsidRPr="005E03F7">
          <w:rPr>
            <w:rStyle w:val="Hyperlink"/>
          </w:rPr>
          <w:t>A2016-65 (Qld)</w:t>
        </w:r>
      </w:hyperlink>
      <w:r>
        <w:t xml:space="preserve"> s 139</w:t>
      </w:r>
    </w:p>
    <w:p w14:paraId="437BCA34" w14:textId="3E6C95D1" w:rsidR="00FE2711" w:rsidRPr="008575CD" w:rsidRDefault="00FE2711" w:rsidP="005E03F7">
      <w:pPr>
        <w:pStyle w:val="AmdtsEntries"/>
      </w:pPr>
      <w:r>
        <w:t>s 440</w:t>
      </w:r>
      <w:r>
        <w:tab/>
        <w:t xml:space="preserve">am </w:t>
      </w:r>
      <w:hyperlink r:id="rId658" w:tooltip="Heavy Vehicle National Law and Other Legislation Amendment Act 2016" w:history="1">
        <w:r w:rsidR="00C160CE" w:rsidRPr="005E03F7">
          <w:rPr>
            <w:rStyle w:val="Hyperlink"/>
          </w:rPr>
          <w:t>A2016-65 (Qld)</w:t>
        </w:r>
      </w:hyperlink>
      <w:r>
        <w:t xml:space="preserve"> s 139</w:t>
      </w:r>
    </w:p>
    <w:p w14:paraId="7F090CF2" w14:textId="77777777" w:rsidR="00371EEA" w:rsidRDefault="00371EEA" w:rsidP="00371EEA">
      <w:pPr>
        <w:pStyle w:val="AmdtsEntryHd"/>
      </w:pPr>
      <w:r w:rsidRPr="007E1F9A">
        <w:rPr>
          <w:rFonts w:ascii="Helvetica" w:hAnsi="Helvetica" w:cs="Helvetica"/>
          <w:iCs/>
        </w:rPr>
        <w:t>Collecting intelligent access</w:t>
      </w:r>
      <w:r w:rsidR="003F0FDE">
        <w:rPr>
          <w:rFonts w:ascii="Helvetica" w:hAnsi="Helvetica" w:cs="Helvetica"/>
          <w:iCs/>
        </w:rPr>
        <w:t xml:space="preserve"> program</w:t>
      </w:r>
      <w:r w:rsidRPr="007E1F9A">
        <w:rPr>
          <w:rFonts w:ascii="Helvetica" w:hAnsi="Helvetica" w:cs="Helvetica"/>
          <w:iCs/>
        </w:rPr>
        <w:t xml:space="preserve"> information</w:t>
      </w:r>
    </w:p>
    <w:p w14:paraId="19429AE0" w14:textId="66BC383B" w:rsidR="003F0FDE" w:rsidRPr="008575CD" w:rsidRDefault="003F0FDE" w:rsidP="005E03F7">
      <w:pPr>
        <w:pStyle w:val="AmdtsEntries"/>
      </w:pPr>
      <w:r>
        <w:t>s 441 hdg</w:t>
      </w:r>
      <w:r>
        <w:tab/>
        <w:t xml:space="preserve">am </w:t>
      </w:r>
      <w:hyperlink r:id="rId659" w:tooltip="Heavy Vehicle National Law and Other Legislation Amendment Act 2016" w:history="1">
        <w:r w:rsidR="00C160CE" w:rsidRPr="005E03F7">
          <w:rPr>
            <w:rStyle w:val="Hyperlink"/>
          </w:rPr>
          <w:t>A2016-65 (Qld)</w:t>
        </w:r>
      </w:hyperlink>
      <w:r>
        <w:t xml:space="preserve"> s 139</w:t>
      </w:r>
    </w:p>
    <w:p w14:paraId="2B3C39B3" w14:textId="5DC6304F" w:rsidR="00371EEA" w:rsidRPr="008575CD" w:rsidRDefault="00371EEA" w:rsidP="005E03F7">
      <w:pPr>
        <w:pStyle w:val="AmdtsEntries"/>
      </w:pPr>
      <w:r>
        <w:t>s 441</w:t>
      </w:r>
      <w:r>
        <w:tab/>
        <w:t xml:space="preserve">am </w:t>
      </w:r>
      <w:hyperlink r:id="rId660" w:tooltip="Heavy Vehicle National Law and Other Legislation Amendment Act 2016" w:history="1">
        <w:r w:rsidR="00C160CE" w:rsidRPr="005E03F7">
          <w:rPr>
            <w:rStyle w:val="Hyperlink"/>
          </w:rPr>
          <w:t>A2016-65 (Qld)</w:t>
        </w:r>
      </w:hyperlink>
      <w:r>
        <w:t xml:space="preserve"> </w:t>
      </w:r>
      <w:r w:rsidR="001E6468">
        <w:t xml:space="preserve">s 80, </w:t>
      </w:r>
      <w:r>
        <w:t>s 139</w:t>
      </w:r>
    </w:p>
    <w:p w14:paraId="407E55F4" w14:textId="77777777" w:rsidR="00A90E02" w:rsidRDefault="00A90E02" w:rsidP="00A90E02">
      <w:pPr>
        <w:pStyle w:val="AmdtsEntryHd"/>
        <w:rPr>
          <w:rFonts w:ascii="Helvetica" w:hAnsi="Helvetica" w:cs="Helvetica"/>
          <w:iCs/>
        </w:rPr>
      </w:pPr>
      <w:r w:rsidRPr="007E1F9A">
        <w:rPr>
          <w:rFonts w:ascii="Helvetica" w:hAnsi="Helvetica" w:cs="Helvetica"/>
          <w:iCs/>
        </w:rPr>
        <w:t xml:space="preserve">Protecting intelligent access </w:t>
      </w:r>
      <w:r w:rsidR="003F0FDE">
        <w:rPr>
          <w:rFonts w:ascii="Helvetica" w:hAnsi="Helvetica" w:cs="Helvetica"/>
          <w:iCs/>
        </w:rPr>
        <w:t xml:space="preserve">program </w:t>
      </w:r>
      <w:r w:rsidRPr="007E1F9A">
        <w:rPr>
          <w:rFonts w:ascii="Helvetica" w:hAnsi="Helvetica" w:cs="Helvetica"/>
          <w:iCs/>
        </w:rPr>
        <w:t>information collected</w:t>
      </w:r>
    </w:p>
    <w:p w14:paraId="49B447E2" w14:textId="173830BA" w:rsidR="003F0FDE" w:rsidRDefault="003F0FDE" w:rsidP="005E03F7">
      <w:pPr>
        <w:pStyle w:val="AmdtsEntries"/>
      </w:pPr>
      <w:r>
        <w:t>s 442 hdg</w:t>
      </w:r>
      <w:r>
        <w:tab/>
        <w:t xml:space="preserve">am </w:t>
      </w:r>
      <w:hyperlink r:id="rId661" w:tooltip="Heavy Vehicle National Law and Other Legislation Amendment Act 2016" w:history="1">
        <w:r w:rsidR="00C160CE" w:rsidRPr="005E03F7">
          <w:rPr>
            <w:rStyle w:val="Hyperlink"/>
          </w:rPr>
          <w:t>A2016-65 (Qld)</w:t>
        </w:r>
      </w:hyperlink>
      <w:r>
        <w:t xml:space="preserve"> s 139</w:t>
      </w:r>
    </w:p>
    <w:p w14:paraId="24368591" w14:textId="35D35A18" w:rsidR="00A90E02" w:rsidRPr="00CF7128" w:rsidRDefault="00A90E02" w:rsidP="005E03F7">
      <w:pPr>
        <w:pStyle w:val="AmdtsEntries"/>
      </w:pPr>
      <w:r>
        <w:t>s 442</w:t>
      </w:r>
      <w:r>
        <w:tab/>
        <w:t xml:space="preserve">am </w:t>
      </w:r>
      <w:hyperlink r:id="rId662" w:tooltip="Heavy Vehicle National Law Amendment Act 2015" w:history="1">
        <w:r w:rsidR="00BA6441">
          <w:rPr>
            <w:rStyle w:val="charCitHyperlinkAbbrev"/>
          </w:rPr>
          <w:t>A2015-12</w:t>
        </w:r>
      </w:hyperlink>
      <w:r w:rsidR="00BA6441">
        <w:t xml:space="preserve"> (Qld)</w:t>
      </w:r>
      <w:r>
        <w:t xml:space="preserve"> s 67</w:t>
      </w:r>
      <w:r w:rsidR="00371EEA">
        <w:t xml:space="preserve">; </w:t>
      </w:r>
      <w:hyperlink r:id="rId663" w:tooltip="Heavy Vehicle National Law and Other Legislation Amendment Act 2016" w:history="1">
        <w:r w:rsidR="00C160CE" w:rsidRPr="005E03F7">
          <w:rPr>
            <w:rStyle w:val="Hyperlink"/>
          </w:rPr>
          <w:t>A2016-65 (Qld)</w:t>
        </w:r>
      </w:hyperlink>
      <w:r w:rsidR="00371EEA">
        <w:t xml:space="preserve"> </w:t>
      </w:r>
      <w:r w:rsidR="001E6468">
        <w:t xml:space="preserve">s 81, </w:t>
      </w:r>
      <w:r w:rsidR="00371EEA">
        <w:t>s 139</w:t>
      </w:r>
      <w:r w:rsidR="00CF7128">
        <w:t>;</w:t>
      </w:r>
      <w:r w:rsidR="001A408C">
        <w:br/>
      </w:r>
      <w:hyperlink r:id="rId664" w:tooltip="Heavy Vehicle National Law Amendment Act 2018" w:history="1">
        <w:r w:rsidR="00CB7A54" w:rsidRPr="005E03F7">
          <w:rPr>
            <w:rStyle w:val="Hyperlink"/>
          </w:rPr>
          <w:t>A2018-18 (Qld)</w:t>
        </w:r>
      </w:hyperlink>
      <w:r w:rsidR="00CF7128">
        <w:t xml:space="preserve"> sch 1</w:t>
      </w:r>
    </w:p>
    <w:p w14:paraId="5AAEC4B2" w14:textId="77777777" w:rsidR="00371EEA" w:rsidRDefault="00371EEA" w:rsidP="00371EEA">
      <w:pPr>
        <w:pStyle w:val="AmdtsEntryHd"/>
      </w:pPr>
      <w:r w:rsidRPr="007E1F9A">
        <w:rPr>
          <w:rFonts w:ascii="Helvetica" w:hAnsi="Helvetica" w:cs="Helvetica"/>
          <w:iCs/>
        </w:rPr>
        <w:t>Making individuals aware of personal information held</w:t>
      </w:r>
    </w:p>
    <w:p w14:paraId="7DBCC344" w14:textId="08341D12" w:rsidR="00371EEA" w:rsidRPr="008575CD" w:rsidRDefault="00371EEA" w:rsidP="005E03F7">
      <w:pPr>
        <w:pStyle w:val="AmdtsEntries"/>
      </w:pPr>
      <w:r>
        <w:t>s 443</w:t>
      </w:r>
      <w:r>
        <w:tab/>
        <w:t xml:space="preserve">am </w:t>
      </w:r>
      <w:hyperlink r:id="rId665" w:tooltip="Heavy Vehicle National Law and Other Legislation Amendment Act 2016" w:history="1">
        <w:r w:rsidR="00C160CE" w:rsidRPr="005E03F7">
          <w:rPr>
            <w:rStyle w:val="Hyperlink"/>
          </w:rPr>
          <w:t>A2016-65 (Qld)</w:t>
        </w:r>
      </w:hyperlink>
      <w:r>
        <w:t xml:space="preserve"> s 139</w:t>
      </w:r>
    </w:p>
    <w:p w14:paraId="4D9C0967" w14:textId="77777777" w:rsidR="00102B48" w:rsidRDefault="00102B48" w:rsidP="00102B48">
      <w:pPr>
        <w:pStyle w:val="AmdtsEntryHd"/>
      </w:pPr>
      <w:r w:rsidRPr="007E1F9A">
        <w:rPr>
          <w:rFonts w:ascii="Helvetica" w:hAnsi="Helvetica" w:cs="Helvetica"/>
          <w:iCs/>
        </w:rPr>
        <w:t>Giving individuals access to their personal information</w:t>
      </w:r>
    </w:p>
    <w:p w14:paraId="76219E70" w14:textId="524BE08E" w:rsidR="00102B48" w:rsidRPr="008575CD" w:rsidRDefault="00102B48" w:rsidP="005E03F7">
      <w:pPr>
        <w:pStyle w:val="AmdtsEntries"/>
      </w:pPr>
      <w:r>
        <w:t>s 444</w:t>
      </w:r>
      <w:r>
        <w:tab/>
        <w:t xml:space="preserve">am </w:t>
      </w:r>
      <w:hyperlink r:id="rId666" w:tooltip="Heavy Vehicle National Law and Other Legislation Amendment Act 2016" w:history="1">
        <w:r w:rsidR="00C160CE" w:rsidRPr="005E03F7">
          <w:rPr>
            <w:rStyle w:val="Hyperlink"/>
          </w:rPr>
          <w:t>A2016-65 (Qld)</w:t>
        </w:r>
      </w:hyperlink>
      <w:r>
        <w:t xml:space="preserve"> s 139</w:t>
      </w:r>
    </w:p>
    <w:p w14:paraId="02C82FB8" w14:textId="77777777" w:rsidR="00102B48" w:rsidRDefault="00102B48" w:rsidP="00102B48">
      <w:pPr>
        <w:pStyle w:val="AmdtsEntryHd"/>
      </w:pPr>
      <w:r w:rsidRPr="007E1F9A">
        <w:rPr>
          <w:rFonts w:ascii="Helvetica" w:hAnsi="Helvetica" w:cs="Helvetica"/>
          <w:iCs/>
        </w:rPr>
        <w:t>Correcting errors etc.</w:t>
      </w:r>
    </w:p>
    <w:p w14:paraId="54DB513A" w14:textId="43F27716" w:rsidR="00102B48" w:rsidRPr="008575CD" w:rsidRDefault="00102B48" w:rsidP="005E03F7">
      <w:pPr>
        <w:pStyle w:val="AmdtsEntries"/>
      </w:pPr>
      <w:r>
        <w:t>s 445</w:t>
      </w:r>
      <w:r>
        <w:tab/>
        <w:t xml:space="preserve">am </w:t>
      </w:r>
      <w:hyperlink r:id="rId667" w:tooltip="Heavy Vehicle National Law and Other Legislation Amendment Act 2016" w:history="1">
        <w:r w:rsidR="00C160CE" w:rsidRPr="005E03F7">
          <w:rPr>
            <w:rStyle w:val="Hyperlink"/>
          </w:rPr>
          <w:t>A2016-65 (Qld)</w:t>
        </w:r>
      </w:hyperlink>
      <w:r>
        <w:t xml:space="preserve"> s 139</w:t>
      </w:r>
    </w:p>
    <w:p w14:paraId="7CC7FE6D" w14:textId="77777777" w:rsidR="00A90E02" w:rsidRDefault="00A90E02" w:rsidP="00A90E02">
      <w:pPr>
        <w:pStyle w:val="AmdtsEntryHd"/>
        <w:rPr>
          <w:rFonts w:ascii="Helvetica" w:hAnsi="Helvetica" w:cs="Helvetica"/>
          <w:iCs/>
        </w:rPr>
      </w:pPr>
      <w:r w:rsidRPr="007E1F9A">
        <w:rPr>
          <w:rFonts w:ascii="Helvetica" w:hAnsi="Helvetica" w:cs="Helvetica"/>
          <w:iCs/>
        </w:rPr>
        <w:t>General restriction on use and disclosure of intelligent access</w:t>
      </w:r>
      <w:r w:rsidR="00A221EA">
        <w:rPr>
          <w:rFonts w:ascii="Helvetica" w:hAnsi="Helvetica" w:cs="Helvetica"/>
          <w:iCs/>
        </w:rPr>
        <w:t xml:space="preserve"> program</w:t>
      </w:r>
      <w:r w:rsidRPr="007E1F9A">
        <w:rPr>
          <w:rFonts w:ascii="Helvetica" w:hAnsi="Helvetica" w:cs="Helvetica"/>
          <w:iCs/>
        </w:rPr>
        <w:t xml:space="preserve"> information</w:t>
      </w:r>
    </w:p>
    <w:p w14:paraId="1F78A312" w14:textId="47CF561E" w:rsidR="00A221EA" w:rsidRPr="00A90E02" w:rsidRDefault="00A221EA" w:rsidP="005E03F7">
      <w:pPr>
        <w:pStyle w:val="AmdtsEntries"/>
      </w:pPr>
      <w:r>
        <w:t>s 446 hdg</w:t>
      </w:r>
      <w:r>
        <w:tab/>
        <w:t xml:space="preserve">am </w:t>
      </w:r>
      <w:hyperlink r:id="rId668" w:tooltip="Heavy Vehicle National Law and Other Legislation Amendment Act 2016" w:history="1">
        <w:r w:rsidR="00C160CE" w:rsidRPr="005E03F7">
          <w:rPr>
            <w:rStyle w:val="Hyperlink"/>
          </w:rPr>
          <w:t>A2016-65 (Qld)</w:t>
        </w:r>
      </w:hyperlink>
      <w:r>
        <w:t xml:space="preserve"> s 139</w:t>
      </w:r>
    </w:p>
    <w:p w14:paraId="7214AC99" w14:textId="20BAAEC0" w:rsidR="00586C3B" w:rsidRPr="00A90E02" w:rsidRDefault="00A90E02" w:rsidP="005E03F7">
      <w:pPr>
        <w:pStyle w:val="AmdtsEntries"/>
      </w:pPr>
      <w:r>
        <w:t>s 446</w:t>
      </w:r>
      <w:r>
        <w:tab/>
        <w:t xml:space="preserve">am </w:t>
      </w:r>
      <w:hyperlink r:id="rId669" w:tooltip="Heavy Vehicle National Law Amendment Act 2015" w:history="1">
        <w:r w:rsidR="00BA6441">
          <w:rPr>
            <w:rStyle w:val="charCitHyperlinkAbbrev"/>
          </w:rPr>
          <w:t>A2015-12</w:t>
        </w:r>
      </w:hyperlink>
      <w:r w:rsidR="00BA6441">
        <w:t xml:space="preserve"> (Qld)</w:t>
      </w:r>
      <w:r>
        <w:t xml:space="preserve"> s 67</w:t>
      </w:r>
      <w:r w:rsidR="00102B48">
        <w:t xml:space="preserve">; </w:t>
      </w:r>
      <w:hyperlink r:id="rId670" w:tooltip="Heavy Vehicle National Law and Other Legislation Amendment Act 2016" w:history="1">
        <w:r w:rsidR="00C160CE" w:rsidRPr="005E03F7">
          <w:rPr>
            <w:rStyle w:val="Hyperlink"/>
          </w:rPr>
          <w:t>A2016-65 (Qld)</w:t>
        </w:r>
      </w:hyperlink>
      <w:r w:rsidR="00102B48">
        <w:t xml:space="preserve"> s 139</w:t>
      </w:r>
    </w:p>
    <w:p w14:paraId="1E2E593A" w14:textId="77777777" w:rsidR="00FE2711" w:rsidRDefault="00FE2711" w:rsidP="00FE2711">
      <w:pPr>
        <w:pStyle w:val="AmdtsEntryHd"/>
      </w:pPr>
      <w:r w:rsidRPr="007E1F9A">
        <w:rPr>
          <w:rFonts w:ascii="Helvetica" w:hAnsi="Helvetica" w:cs="Helvetica"/>
          <w:iCs/>
        </w:rPr>
        <w:t>Powers to use and disclose intelligent access</w:t>
      </w:r>
      <w:r w:rsidR="00A221EA">
        <w:rPr>
          <w:rFonts w:ascii="Helvetica" w:hAnsi="Helvetica" w:cs="Helvetica"/>
          <w:iCs/>
        </w:rPr>
        <w:t xml:space="preserve"> program</w:t>
      </w:r>
      <w:r w:rsidRPr="007E1F9A">
        <w:rPr>
          <w:rFonts w:ascii="Helvetica" w:hAnsi="Helvetica" w:cs="Helvetica"/>
          <w:iCs/>
        </w:rPr>
        <w:t xml:space="preserve"> information</w:t>
      </w:r>
    </w:p>
    <w:p w14:paraId="7321D26B" w14:textId="34CEBAEA" w:rsidR="00A221EA" w:rsidRPr="008575CD" w:rsidRDefault="00A221EA" w:rsidP="005E03F7">
      <w:pPr>
        <w:pStyle w:val="AmdtsEntries"/>
      </w:pPr>
      <w:r>
        <w:t>s 447 hdg</w:t>
      </w:r>
      <w:r>
        <w:tab/>
        <w:t xml:space="preserve">am </w:t>
      </w:r>
      <w:hyperlink r:id="rId671" w:tooltip="Heavy Vehicle National Law and Other Legislation Amendment Act 2016" w:history="1">
        <w:r w:rsidR="00C160CE" w:rsidRPr="005E03F7">
          <w:rPr>
            <w:rStyle w:val="Hyperlink"/>
          </w:rPr>
          <w:t>A2016-65 (Qld)</w:t>
        </w:r>
      </w:hyperlink>
      <w:r>
        <w:t xml:space="preserve"> s 139</w:t>
      </w:r>
    </w:p>
    <w:p w14:paraId="73925698" w14:textId="79E58190" w:rsidR="00FE2711" w:rsidRPr="008575CD" w:rsidRDefault="00FE2711" w:rsidP="005E03F7">
      <w:pPr>
        <w:pStyle w:val="AmdtsEntries"/>
      </w:pPr>
      <w:r>
        <w:t>s 447</w:t>
      </w:r>
      <w:r>
        <w:tab/>
        <w:t xml:space="preserve">am </w:t>
      </w:r>
      <w:hyperlink r:id="rId672" w:tooltip="Heavy Vehicle National Law and Other Legislation Amendment Act 2016" w:history="1">
        <w:r w:rsidR="00C160CE" w:rsidRPr="005E03F7">
          <w:rPr>
            <w:rStyle w:val="Hyperlink"/>
          </w:rPr>
          <w:t>A2016-65 (Qld)</w:t>
        </w:r>
      </w:hyperlink>
      <w:r>
        <w:t xml:space="preserve"> s 139</w:t>
      </w:r>
    </w:p>
    <w:p w14:paraId="5010EBA5" w14:textId="77777777" w:rsidR="00102B48" w:rsidRDefault="00102B48" w:rsidP="00102B48">
      <w:pPr>
        <w:pStyle w:val="AmdtsEntryHd"/>
      </w:pPr>
      <w:r w:rsidRPr="007E1F9A">
        <w:rPr>
          <w:rFonts w:ascii="Helvetica" w:hAnsi="Helvetica" w:cs="Helvetica"/>
          <w:iCs/>
        </w:rPr>
        <w:lastRenderedPageBreak/>
        <w:t>Restriction about intelligent access</w:t>
      </w:r>
      <w:r w:rsidR="00A221EA">
        <w:rPr>
          <w:rFonts w:ascii="Helvetica" w:hAnsi="Helvetica" w:cs="Helvetica"/>
          <w:iCs/>
        </w:rPr>
        <w:t xml:space="preserve"> program</w:t>
      </w:r>
      <w:r w:rsidRPr="007E1F9A">
        <w:rPr>
          <w:rFonts w:ascii="Helvetica" w:hAnsi="Helvetica" w:cs="Helvetica"/>
          <w:iCs/>
        </w:rPr>
        <w:t xml:space="preserve"> information that may be used or disclosed</w:t>
      </w:r>
    </w:p>
    <w:p w14:paraId="342CFE78" w14:textId="74A87A5A" w:rsidR="00A221EA" w:rsidRPr="008575CD" w:rsidRDefault="00A221EA" w:rsidP="005E03F7">
      <w:pPr>
        <w:pStyle w:val="AmdtsEntries"/>
      </w:pPr>
      <w:r>
        <w:t>s 448 hdg</w:t>
      </w:r>
      <w:r>
        <w:tab/>
        <w:t xml:space="preserve">am </w:t>
      </w:r>
      <w:hyperlink r:id="rId673" w:tooltip="Heavy Vehicle National Law and Other Legislation Amendment Act 2016" w:history="1">
        <w:r w:rsidR="00C160CE" w:rsidRPr="005E03F7">
          <w:rPr>
            <w:rStyle w:val="Hyperlink"/>
          </w:rPr>
          <w:t>A2016-65 (Qld)</w:t>
        </w:r>
      </w:hyperlink>
      <w:r>
        <w:t xml:space="preserve"> s 139</w:t>
      </w:r>
    </w:p>
    <w:p w14:paraId="3D2B2027" w14:textId="7E6AD770" w:rsidR="00102B48" w:rsidRPr="008575CD" w:rsidRDefault="00102B48" w:rsidP="005E03F7">
      <w:pPr>
        <w:pStyle w:val="AmdtsEntries"/>
      </w:pPr>
      <w:r>
        <w:t>s 448</w:t>
      </w:r>
      <w:r>
        <w:tab/>
        <w:t xml:space="preserve">am </w:t>
      </w:r>
      <w:hyperlink r:id="rId674" w:tooltip="Heavy Vehicle National Law and Other Legislation Amendment Act 2016" w:history="1">
        <w:r w:rsidR="00C160CE" w:rsidRPr="005E03F7">
          <w:rPr>
            <w:rStyle w:val="Hyperlink"/>
          </w:rPr>
          <w:t>A2016-65 (Qld)</w:t>
        </w:r>
      </w:hyperlink>
      <w:r>
        <w:t xml:space="preserve"> s 139</w:t>
      </w:r>
    </w:p>
    <w:p w14:paraId="3A7D5AD9" w14:textId="77777777" w:rsidR="00102B48" w:rsidRDefault="00102B48" w:rsidP="00102B48">
      <w:pPr>
        <w:pStyle w:val="AmdtsEntryHd"/>
      </w:pPr>
      <w:r w:rsidRPr="007E1F9A">
        <w:rPr>
          <w:rFonts w:ascii="Helvetica" w:hAnsi="Helvetica" w:cs="Helvetica"/>
          <w:iCs/>
        </w:rPr>
        <w:t>Keeping record of use or disclosure of intelligent access</w:t>
      </w:r>
      <w:r w:rsidR="00A221EA">
        <w:rPr>
          <w:rFonts w:ascii="Helvetica" w:hAnsi="Helvetica" w:cs="Helvetica"/>
          <w:iCs/>
        </w:rPr>
        <w:t xml:space="preserve"> program</w:t>
      </w:r>
      <w:r w:rsidRPr="007E1F9A">
        <w:rPr>
          <w:rFonts w:ascii="Helvetica" w:hAnsi="Helvetica" w:cs="Helvetica"/>
          <w:iCs/>
        </w:rPr>
        <w:t xml:space="preserve"> information</w:t>
      </w:r>
    </w:p>
    <w:p w14:paraId="76131923" w14:textId="63D7D08E" w:rsidR="00A221EA" w:rsidRPr="008575CD" w:rsidRDefault="00A221EA" w:rsidP="005E03F7">
      <w:pPr>
        <w:pStyle w:val="AmdtsEntries"/>
      </w:pPr>
      <w:r>
        <w:t>s 449 hdg</w:t>
      </w:r>
      <w:r>
        <w:tab/>
        <w:t xml:space="preserve">am </w:t>
      </w:r>
      <w:hyperlink r:id="rId675" w:tooltip="Heavy Vehicle National Law and Other Legislation Amendment Act 2016" w:history="1">
        <w:r w:rsidR="00C160CE" w:rsidRPr="005E03F7">
          <w:rPr>
            <w:rStyle w:val="Hyperlink"/>
          </w:rPr>
          <w:t>A2016-65 (Qld)</w:t>
        </w:r>
      </w:hyperlink>
      <w:r>
        <w:t xml:space="preserve"> s 139</w:t>
      </w:r>
    </w:p>
    <w:p w14:paraId="55B8398B" w14:textId="6968D4F0" w:rsidR="00102B48" w:rsidRPr="008575CD" w:rsidRDefault="00102B48" w:rsidP="005E03F7">
      <w:pPr>
        <w:pStyle w:val="AmdtsEntries"/>
      </w:pPr>
      <w:r>
        <w:t>s 449</w:t>
      </w:r>
      <w:r>
        <w:tab/>
        <w:t xml:space="preserve">am </w:t>
      </w:r>
      <w:hyperlink r:id="rId676" w:tooltip="Heavy Vehicle National Law and Other Legislation Amendment Act 2016" w:history="1">
        <w:r w:rsidR="00C160CE" w:rsidRPr="005E03F7">
          <w:rPr>
            <w:rStyle w:val="Hyperlink"/>
          </w:rPr>
          <w:t>A2016-65 (Qld)</w:t>
        </w:r>
      </w:hyperlink>
      <w:r>
        <w:t xml:space="preserve"> s 139</w:t>
      </w:r>
    </w:p>
    <w:p w14:paraId="17845DA5" w14:textId="77777777" w:rsidR="00FE2711" w:rsidRDefault="00FE2711" w:rsidP="00FE2711">
      <w:pPr>
        <w:pStyle w:val="AmdtsEntryHd"/>
      </w:pPr>
      <w:r w:rsidRPr="007E1F9A">
        <w:rPr>
          <w:rFonts w:ascii="Helvetica" w:hAnsi="Helvetica" w:cs="Helvetica"/>
          <w:iCs/>
        </w:rPr>
        <w:t xml:space="preserve">Destroying intelligent access </w:t>
      </w:r>
      <w:r w:rsidR="00A221EA">
        <w:rPr>
          <w:rFonts w:ascii="Helvetica" w:hAnsi="Helvetica" w:cs="Helvetica"/>
          <w:iCs/>
        </w:rPr>
        <w:t xml:space="preserve">program </w:t>
      </w:r>
      <w:r w:rsidRPr="007E1F9A">
        <w:rPr>
          <w:rFonts w:ascii="Helvetica" w:hAnsi="Helvetica" w:cs="Helvetica"/>
          <w:iCs/>
        </w:rPr>
        <w:t>information or removing personal information from it</w:t>
      </w:r>
    </w:p>
    <w:p w14:paraId="4C0935BE" w14:textId="75BDF6F7" w:rsidR="00A221EA" w:rsidRPr="008575CD" w:rsidRDefault="00A221EA" w:rsidP="005E03F7">
      <w:pPr>
        <w:pStyle w:val="AmdtsEntries"/>
      </w:pPr>
      <w:r>
        <w:t>s 450 hdg</w:t>
      </w:r>
      <w:r>
        <w:tab/>
        <w:t xml:space="preserve">am </w:t>
      </w:r>
      <w:hyperlink r:id="rId677" w:tooltip="Heavy Vehicle National Law and Other Legislation Amendment Act 2016" w:history="1">
        <w:r w:rsidR="00C160CE" w:rsidRPr="005E03F7">
          <w:rPr>
            <w:rStyle w:val="Hyperlink"/>
          </w:rPr>
          <w:t>A2016-65 (Qld)</w:t>
        </w:r>
      </w:hyperlink>
      <w:r>
        <w:t xml:space="preserve"> s 139</w:t>
      </w:r>
    </w:p>
    <w:p w14:paraId="185F99B6" w14:textId="23F95AEB" w:rsidR="00FE2711" w:rsidRPr="00F166AA" w:rsidRDefault="00FE2711" w:rsidP="005E03F7">
      <w:pPr>
        <w:pStyle w:val="AmdtsEntries"/>
      </w:pPr>
      <w:r>
        <w:t>s 450</w:t>
      </w:r>
      <w:r>
        <w:tab/>
        <w:t xml:space="preserve">am </w:t>
      </w:r>
      <w:hyperlink r:id="rId678" w:tooltip="Heavy Vehicle National Law and Other Legislation Amendment Act 2016" w:history="1">
        <w:r w:rsidR="00C160CE" w:rsidRPr="005E03F7">
          <w:rPr>
            <w:rStyle w:val="Hyperlink"/>
          </w:rPr>
          <w:t>A2016-65 (Qld)</w:t>
        </w:r>
      </w:hyperlink>
      <w:r>
        <w:t xml:space="preserve"> </w:t>
      </w:r>
      <w:r w:rsidR="001E6468">
        <w:t xml:space="preserve">s 82, </w:t>
      </w:r>
      <w:r>
        <w:t>s 139</w:t>
      </w:r>
      <w:r w:rsidR="00F166AA">
        <w:t xml:space="preserve">; </w:t>
      </w:r>
      <w:hyperlink r:id="rId679" w:tooltip="Heavy Vehicle National Law Amendment Act 2018" w:history="1">
        <w:r w:rsidR="00CB7A54" w:rsidRPr="005E03F7">
          <w:rPr>
            <w:rStyle w:val="Hyperlink"/>
          </w:rPr>
          <w:t>A2018-18 (Qld)</w:t>
        </w:r>
      </w:hyperlink>
      <w:r w:rsidR="00F166AA">
        <w:t xml:space="preserve"> sch 1</w:t>
      </w:r>
    </w:p>
    <w:p w14:paraId="26988CDF" w14:textId="77777777" w:rsidR="006540FD" w:rsidRDefault="006540FD" w:rsidP="006540FD">
      <w:pPr>
        <w:pStyle w:val="AmdtsEntryHd"/>
      </w:pPr>
      <w:r w:rsidRPr="007E1F9A">
        <w:rPr>
          <w:rFonts w:ascii="Helvetica" w:hAnsi="Helvetica" w:cs="Helvetica"/>
          <w:iCs/>
        </w:rPr>
        <w:t xml:space="preserve">Reporting contraventions by intelligent access </w:t>
      </w:r>
      <w:r w:rsidR="00AE4307">
        <w:rPr>
          <w:rFonts w:ascii="Helvetica" w:hAnsi="Helvetica" w:cs="Helvetica"/>
          <w:iCs/>
        </w:rPr>
        <w:t xml:space="preserve">program </w:t>
      </w:r>
      <w:r w:rsidRPr="007E1F9A">
        <w:rPr>
          <w:rFonts w:ascii="Helvetica" w:hAnsi="Helvetica" w:cs="Helvetica"/>
          <w:iCs/>
        </w:rPr>
        <w:t>service providers to TCA</w:t>
      </w:r>
    </w:p>
    <w:p w14:paraId="456111DD" w14:textId="3021A876" w:rsidR="00AE4307" w:rsidRPr="008575CD" w:rsidRDefault="00AE4307" w:rsidP="005E03F7">
      <w:pPr>
        <w:pStyle w:val="AmdtsEntries"/>
      </w:pPr>
      <w:r>
        <w:t>s 451 hdg</w:t>
      </w:r>
      <w:r>
        <w:tab/>
        <w:t xml:space="preserve">am </w:t>
      </w:r>
      <w:hyperlink r:id="rId680" w:tooltip="Heavy Vehicle National Law and Other Legislation Amendment Act 2016" w:history="1">
        <w:r w:rsidR="00C160CE" w:rsidRPr="005E03F7">
          <w:rPr>
            <w:rStyle w:val="Hyperlink"/>
          </w:rPr>
          <w:t>A2016-65 (Qld)</w:t>
        </w:r>
      </w:hyperlink>
      <w:r>
        <w:t xml:space="preserve"> s 139</w:t>
      </w:r>
    </w:p>
    <w:p w14:paraId="37F736BC" w14:textId="16488E76" w:rsidR="006540FD" w:rsidRPr="008575CD" w:rsidRDefault="006540FD" w:rsidP="005E03F7">
      <w:pPr>
        <w:pStyle w:val="AmdtsEntries"/>
      </w:pPr>
      <w:r>
        <w:t>s 451</w:t>
      </w:r>
      <w:r>
        <w:tab/>
        <w:t xml:space="preserve">am </w:t>
      </w:r>
      <w:hyperlink r:id="rId681" w:tooltip="Heavy Vehicle National Law and Other Legislation Amendment Act 2016" w:history="1">
        <w:r w:rsidR="00C160CE" w:rsidRPr="005E03F7">
          <w:rPr>
            <w:rStyle w:val="Hyperlink"/>
          </w:rPr>
          <w:t>A2016-65 (Qld)</w:t>
        </w:r>
      </w:hyperlink>
      <w:r>
        <w:t xml:space="preserve"> s 139</w:t>
      </w:r>
    </w:p>
    <w:p w14:paraId="21FB8FE8" w14:textId="77777777" w:rsidR="006540FD" w:rsidRDefault="006540FD" w:rsidP="006540FD">
      <w:pPr>
        <w:pStyle w:val="AmdtsEntryHd"/>
      </w:pPr>
      <w:r w:rsidRPr="007E1F9A">
        <w:rPr>
          <w:rFonts w:ascii="Helvetica" w:hAnsi="Helvetica" w:cs="Helvetica"/>
          <w:iCs/>
        </w:rPr>
        <w:t>Reporting tampering or suspected tampering with approved intelligent transport system to Regulator or TCA</w:t>
      </w:r>
    </w:p>
    <w:p w14:paraId="4ACC874E" w14:textId="788E054D" w:rsidR="006540FD" w:rsidRPr="008575CD" w:rsidRDefault="006540FD" w:rsidP="005E03F7">
      <w:pPr>
        <w:pStyle w:val="AmdtsEntries"/>
      </w:pPr>
      <w:r>
        <w:t>s 452</w:t>
      </w:r>
      <w:r>
        <w:tab/>
        <w:t xml:space="preserve">am </w:t>
      </w:r>
      <w:hyperlink r:id="rId682" w:tooltip="Heavy Vehicle National Law and Other Legislation Amendment Act 2016" w:history="1">
        <w:r w:rsidR="00C160CE" w:rsidRPr="005E03F7">
          <w:rPr>
            <w:rStyle w:val="Hyperlink"/>
          </w:rPr>
          <w:t>A2016-65 (Qld)</w:t>
        </w:r>
      </w:hyperlink>
      <w:r>
        <w:t xml:space="preserve"> s 139</w:t>
      </w:r>
    </w:p>
    <w:p w14:paraId="236F94E1" w14:textId="77777777" w:rsidR="006540FD" w:rsidRDefault="006540FD" w:rsidP="006540FD">
      <w:pPr>
        <w:pStyle w:val="AmdtsEntryHd"/>
      </w:pPr>
      <w:r w:rsidRPr="007E1F9A">
        <w:rPr>
          <w:rFonts w:ascii="Helvetica" w:hAnsi="Helvetica" w:cs="Helvetica"/>
          <w:iCs/>
        </w:rPr>
        <w:t>Restriction on disclosing information about tampering or suspected tampering with approved intelligent transport system</w:t>
      </w:r>
    </w:p>
    <w:p w14:paraId="0AAF318A" w14:textId="7B6E6344" w:rsidR="006540FD" w:rsidRPr="008575CD" w:rsidRDefault="006540FD" w:rsidP="005E03F7">
      <w:pPr>
        <w:pStyle w:val="AmdtsEntries"/>
      </w:pPr>
      <w:r>
        <w:t>s 453</w:t>
      </w:r>
      <w:r>
        <w:tab/>
        <w:t xml:space="preserve">am </w:t>
      </w:r>
      <w:hyperlink r:id="rId683" w:tooltip="Heavy Vehicle National Law and Other Legislation Amendment Act 2016" w:history="1">
        <w:r w:rsidR="00C160CE" w:rsidRPr="005E03F7">
          <w:rPr>
            <w:rStyle w:val="Hyperlink"/>
          </w:rPr>
          <w:t>A2016-65 (Qld)</w:t>
        </w:r>
      </w:hyperlink>
      <w:r>
        <w:t xml:space="preserve"> s 139</w:t>
      </w:r>
    </w:p>
    <w:p w14:paraId="7E0C3EA4" w14:textId="77777777" w:rsidR="00854756" w:rsidRDefault="00854756" w:rsidP="00854756">
      <w:pPr>
        <w:pStyle w:val="AmdtsEntryHd"/>
      </w:pPr>
      <w:r w:rsidRPr="007E1F9A">
        <w:rPr>
          <w:rFonts w:ascii="Helvetica" w:hAnsi="Helvetica" w:cs="Helvetica"/>
          <w:iCs/>
        </w:rPr>
        <w:t>Offence to tamper with approved intelligent transport system</w:t>
      </w:r>
    </w:p>
    <w:p w14:paraId="36CC0CAB" w14:textId="54E31120" w:rsidR="00854756" w:rsidRPr="008575CD" w:rsidRDefault="00854756" w:rsidP="005E03F7">
      <w:pPr>
        <w:pStyle w:val="AmdtsEntries"/>
      </w:pPr>
      <w:r>
        <w:t>s 454</w:t>
      </w:r>
      <w:r>
        <w:tab/>
        <w:t xml:space="preserve">am </w:t>
      </w:r>
      <w:hyperlink r:id="rId684" w:tooltip="Heavy Vehicle National Law and Other Legislation Amendment Act 2016" w:history="1">
        <w:r w:rsidR="00C160CE" w:rsidRPr="005E03F7">
          <w:rPr>
            <w:rStyle w:val="Hyperlink"/>
          </w:rPr>
          <w:t>A2016-65 (Qld)</w:t>
        </w:r>
      </w:hyperlink>
      <w:r>
        <w:t xml:space="preserve"> s 139</w:t>
      </w:r>
    </w:p>
    <w:p w14:paraId="4D0ED5F6" w14:textId="77777777" w:rsidR="00FE4A99" w:rsidRDefault="00FE4A99" w:rsidP="00FE4A99">
      <w:pPr>
        <w:pStyle w:val="AmdtsEntryHd"/>
      </w:pPr>
      <w:r w:rsidRPr="007E1F9A">
        <w:rPr>
          <w:rFonts w:ascii="Helvetica" w:hAnsi="Helvetica" w:cs="Helvetica"/>
          <w:iCs/>
        </w:rPr>
        <w:t xml:space="preserve">Regulator may issue intelligent access </w:t>
      </w:r>
      <w:r w:rsidR="004F6C64">
        <w:rPr>
          <w:rFonts w:ascii="Helvetica" w:hAnsi="Helvetica" w:cs="Helvetica"/>
          <w:iCs/>
        </w:rPr>
        <w:t xml:space="preserve">program </w:t>
      </w:r>
      <w:r w:rsidRPr="007E1F9A">
        <w:rPr>
          <w:rFonts w:ascii="Helvetica" w:hAnsi="Helvetica" w:cs="Helvetica"/>
          <w:iCs/>
        </w:rPr>
        <w:t>identifiers</w:t>
      </w:r>
    </w:p>
    <w:p w14:paraId="4D33100A" w14:textId="2614E858" w:rsidR="004F6C64" w:rsidRPr="008575CD" w:rsidRDefault="004F6C64" w:rsidP="005E03F7">
      <w:pPr>
        <w:pStyle w:val="AmdtsEntries"/>
      </w:pPr>
      <w:r>
        <w:t>s 455 hdg</w:t>
      </w:r>
      <w:r>
        <w:tab/>
        <w:t xml:space="preserve">am </w:t>
      </w:r>
      <w:hyperlink r:id="rId685" w:tooltip="Heavy Vehicle National Law and Other Legislation Amendment Act 2016" w:history="1">
        <w:r w:rsidR="00C160CE" w:rsidRPr="005E03F7">
          <w:rPr>
            <w:rStyle w:val="Hyperlink"/>
          </w:rPr>
          <w:t>A2016-65 (Qld)</w:t>
        </w:r>
      </w:hyperlink>
      <w:r>
        <w:t xml:space="preserve"> s 139</w:t>
      </w:r>
    </w:p>
    <w:p w14:paraId="3AFB2906" w14:textId="0B224B25" w:rsidR="00FE4A99" w:rsidRPr="008575CD" w:rsidRDefault="00FE4A99" w:rsidP="005E03F7">
      <w:pPr>
        <w:pStyle w:val="AmdtsEntries"/>
      </w:pPr>
      <w:r>
        <w:t>s 455</w:t>
      </w:r>
      <w:r>
        <w:tab/>
        <w:t xml:space="preserve">am </w:t>
      </w:r>
      <w:hyperlink r:id="rId686" w:tooltip="Heavy Vehicle National Law and Other Legislation Amendment Act 2016" w:history="1">
        <w:r w:rsidR="00C160CE" w:rsidRPr="005E03F7">
          <w:rPr>
            <w:rStyle w:val="Hyperlink"/>
          </w:rPr>
          <w:t>A2016-65 (Qld)</w:t>
        </w:r>
      </w:hyperlink>
      <w:r>
        <w:t xml:space="preserve"> s 139</w:t>
      </w:r>
    </w:p>
    <w:p w14:paraId="50619967" w14:textId="77777777" w:rsidR="00B0077A" w:rsidRDefault="00B0077A" w:rsidP="00B0077A">
      <w:pPr>
        <w:pStyle w:val="AmdtsEntryHd"/>
      </w:pPr>
      <w:r w:rsidRPr="007E1F9A">
        <w:rPr>
          <w:rFonts w:ascii="Helvetica" w:hAnsi="Helvetica" w:cs="Helvetica"/>
          <w:iCs/>
        </w:rPr>
        <w:t>Definitions for Ch 8</w:t>
      </w:r>
    </w:p>
    <w:p w14:paraId="4B46F689" w14:textId="3DA96F62" w:rsidR="00B0077A" w:rsidRPr="001C5C1A" w:rsidRDefault="00B0077A" w:rsidP="005E03F7">
      <w:pPr>
        <w:pStyle w:val="AmdtsEntries"/>
      </w:pPr>
      <w:r>
        <w:t>s 457</w:t>
      </w:r>
      <w:r>
        <w:tab/>
        <w:t xml:space="preserve">def </w:t>
      </w:r>
      <w:r w:rsidRPr="00B0077A">
        <w:rPr>
          <w:rStyle w:val="charBoldItals"/>
        </w:rPr>
        <w:t>mass management system</w:t>
      </w:r>
      <w:r>
        <w:t xml:space="preserve"> am </w:t>
      </w:r>
      <w:hyperlink r:id="rId687" w:tooltip="Heavy Vehicle National Law and Other Legislation Amendment Act 2016" w:history="1">
        <w:r w:rsidR="00C160CE" w:rsidRPr="005E03F7">
          <w:rPr>
            <w:rStyle w:val="Hyperlink"/>
          </w:rPr>
          <w:t>A2016-65 (Qld)</w:t>
        </w:r>
      </w:hyperlink>
      <w:r>
        <w:t xml:space="preserve"> s 132</w:t>
      </w:r>
    </w:p>
    <w:p w14:paraId="7C6CB1BE" w14:textId="77777777" w:rsidR="0077180F" w:rsidRDefault="0077180F" w:rsidP="00816477">
      <w:pPr>
        <w:pStyle w:val="AmdtsEntryHd"/>
        <w:rPr>
          <w:rFonts w:ascii="Helvetica" w:hAnsi="Helvetica" w:cs="Helvetica"/>
          <w:iCs/>
        </w:rPr>
      </w:pPr>
      <w:r w:rsidRPr="007E1F9A">
        <w:rPr>
          <w:rFonts w:ascii="Helvetica" w:hAnsi="Helvetica" w:cs="Helvetica"/>
          <w:iCs/>
        </w:rPr>
        <w:t>Regulator’s power to grant heavy vehicle accreditation</w:t>
      </w:r>
    </w:p>
    <w:p w14:paraId="70EBCD44" w14:textId="2822CB22" w:rsidR="0077180F" w:rsidRPr="0077180F" w:rsidRDefault="0077180F" w:rsidP="0077180F">
      <w:pPr>
        <w:pStyle w:val="AmdtsEntries"/>
      </w:pPr>
      <w:r>
        <w:t>s 458</w:t>
      </w:r>
      <w:r>
        <w:tab/>
        <w:t xml:space="preserve">mod </w:t>
      </w:r>
      <w:hyperlink r:id="rId688" w:tooltip="Heavy Vehicle National Law (ACT) Act 2013" w:history="1">
        <w:r w:rsidRPr="0068043D">
          <w:rPr>
            <w:rStyle w:val="charCitHyperlinkAbbrev"/>
          </w:rPr>
          <w:t>A2013-51</w:t>
        </w:r>
      </w:hyperlink>
      <w:r>
        <w:t xml:space="preserve"> mod 1.23</w:t>
      </w:r>
    </w:p>
    <w:p w14:paraId="212EA4AA" w14:textId="59D7AA98" w:rsidR="00B909C2" w:rsidRPr="00FE304D" w:rsidRDefault="00B909C2" w:rsidP="00455A0C">
      <w:pPr>
        <w:pStyle w:val="AmdtsEntries"/>
        <w:rPr>
          <w:rStyle w:val="charUnderline"/>
        </w:rPr>
      </w:pPr>
      <w:r w:rsidRPr="00B909C2">
        <w:tab/>
      </w:r>
      <w:r>
        <w:t xml:space="preserve">sub </w:t>
      </w:r>
      <w:hyperlink r:id="rId689" w:tooltip="Heavy Vehicle National Law Amendment Act 2015" w:history="1">
        <w:r w:rsidR="00BA6441">
          <w:rPr>
            <w:rStyle w:val="charCitHyperlinkAbbrev"/>
          </w:rPr>
          <w:t>A2015-12</w:t>
        </w:r>
      </w:hyperlink>
      <w:r w:rsidR="00BA6441">
        <w:t xml:space="preserve"> (Qld)</w:t>
      </w:r>
      <w:r>
        <w:t xml:space="preserve"> s 45</w:t>
      </w:r>
    </w:p>
    <w:p w14:paraId="156FC415" w14:textId="77777777" w:rsidR="001E6468" w:rsidRDefault="001E6468" w:rsidP="008E458E">
      <w:pPr>
        <w:pStyle w:val="AmdtsEntryHd"/>
        <w:rPr>
          <w:rFonts w:ascii="Helvetica" w:hAnsi="Helvetica" w:cs="Helvetica"/>
          <w:iCs/>
        </w:rPr>
      </w:pPr>
      <w:r w:rsidRPr="007E1F9A">
        <w:rPr>
          <w:rFonts w:ascii="Helvetica" w:hAnsi="Helvetica" w:cs="Helvetica"/>
          <w:iCs/>
        </w:rPr>
        <w:t>Application for heavy vehicle accreditation</w:t>
      </w:r>
    </w:p>
    <w:p w14:paraId="7BC2278D" w14:textId="41B881DB" w:rsidR="001E6468" w:rsidRPr="001E6468" w:rsidRDefault="001E6468" w:rsidP="005E03F7">
      <w:pPr>
        <w:pStyle w:val="AmdtsEntries"/>
      </w:pPr>
      <w:r>
        <w:t>s 459</w:t>
      </w:r>
      <w:r>
        <w:tab/>
      </w:r>
      <w:r w:rsidR="00CB17A0">
        <w:t xml:space="preserve">am </w:t>
      </w:r>
      <w:hyperlink r:id="rId690" w:tooltip="Heavy Vehicle National Law and Other Legislation Amendment Act 2016" w:history="1">
        <w:r w:rsidR="00590018" w:rsidRPr="005E03F7">
          <w:rPr>
            <w:rStyle w:val="Hyperlink"/>
          </w:rPr>
          <w:t>A2016-65 (Qld)</w:t>
        </w:r>
      </w:hyperlink>
      <w:r w:rsidR="00CB17A0">
        <w:t xml:space="preserve"> s 83</w:t>
      </w:r>
    </w:p>
    <w:p w14:paraId="627448D4" w14:textId="77777777" w:rsidR="008E458E" w:rsidRPr="004B4F2A" w:rsidRDefault="008E458E" w:rsidP="008E458E">
      <w:pPr>
        <w:pStyle w:val="AmdtsEntryHd"/>
      </w:pPr>
      <w:r>
        <w:t>Period for which heavy vehicle accreditation applies</w:t>
      </w:r>
    </w:p>
    <w:p w14:paraId="221AC98E" w14:textId="5E5A72F7" w:rsidR="008E458E" w:rsidRPr="00EE146E" w:rsidRDefault="008E458E" w:rsidP="008E458E">
      <w:pPr>
        <w:pStyle w:val="AmdtsEntries"/>
      </w:pPr>
      <w:r>
        <w:t>s 463</w:t>
      </w:r>
      <w:r>
        <w:tab/>
        <w:t xml:space="preserve">am </w:t>
      </w:r>
      <w:hyperlink r:id="rId691" w:tooltip="Heavy Vehicle National Law Amendment Act 2015" w:history="1">
        <w:r w:rsidR="00BA6441">
          <w:rPr>
            <w:rStyle w:val="charCitHyperlinkAbbrev"/>
          </w:rPr>
          <w:t>A2015-12</w:t>
        </w:r>
      </w:hyperlink>
      <w:r w:rsidR="00BA6441">
        <w:t xml:space="preserve"> (Qld)</w:t>
      </w:r>
      <w:r>
        <w:t xml:space="preserve"> s 46</w:t>
      </w:r>
    </w:p>
    <w:p w14:paraId="78B30C92" w14:textId="77777777" w:rsidR="00B0077A" w:rsidRDefault="00B0077A" w:rsidP="00B0077A">
      <w:pPr>
        <w:pStyle w:val="AmdtsEntryHd"/>
      </w:pPr>
      <w:r w:rsidRPr="007E1F9A">
        <w:rPr>
          <w:rFonts w:ascii="Helvetica" w:hAnsi="Helvetica" w:cs="Helvetica"/>
          <w:iCs/>
        </w:rPr>
        <w:t>Accreditation labels for maintenance management accreditation and mass management accreditation</w:t>
      </w:r>
    </w:p>
    <w:p w14:paraId="07F641E4" w14:textId="4EF967B7" w:rsidR="00B0077A" w:rsidRPr="001C5C1A" w:rsidRDefault="00B0077A" w:rsidP="005E03F7">
      <w:pPr>
        <w:pStyle w:val="AmdtsEntries"/>
      </w:pPr>
      <w:r>
        <w:t>s 466</w:t>
      </w:r>
      <w:r>
        <w:tab/>
        <w:t xml:space="preserve">am </w:t>
      </w:r>
      <w:hyperlink r:id="rId692" w:tooltip="Heavy Vehicle National Law and Other Legislation Amendment Act 2016" w:history="1">
        <w:r w:rsidR="00590018" w:rsidRPr="005E03F7">
          <w:rPr>
            <w:rStyle w:val="Hyperlink"/>
          </w:rPr>
          <w:t>A2016-65 (Qld)</w:t>
        </w:r>
      </w:hyperlink>
      <w:r>
        <w:t xml:space="preserve"> s 133</w:t>
      </w:r>
    </w:p>
    <w:p w14:paraId="0D4A7D41" w14:textId="77777777" w:rsidR="006B1D61" w:rsidRDefault="006B1D61" w:rsidP="006B1D61">
      <w:pPr>
        <w:pStyle w:val="AmdtsEntryHd"/>
        <w:rPr>
          <w:rFonts w:ascii="Helvetica" w:hAnsi="Helvetica" w:cs="Helvetica"/>
          <w:iCs/>
        </w:rPr>
      </w:pPr>
      <w:r w:rsidRPr="007E1F9A">
        <w:rPr>
          <w:rFonts w:ascii="Helvetica" w:hAnsi="Helvetica" w:cs="Helvetica"/>
          <w:iCs/>
        </w:rPr>
        <w:lastRenderedPageBreak/>
        <w:t xml:space="preserve">Driver </w:t>
      </w:r>
      <w:r>
        <w:rPr>
          <w:rFonts w:ascii="Helvetica" w:hAnsi="Helvetica" w:cs="Helvetica"/>
          <w:iCs/>
        </w:rPr>
        <w:t xml:space="preserve">operating under BFM accreditation or AFM accreditation </w:t>
      </w:r>
      <w:r w:rsidRPr="007E1F9A">
        <w:rPr>
          <w:rFonts w:ascii="Helvetica" w:hAnsi="Helvetica" w:cs="Helvetica"/>
          <w:iCs/>
        </w:rPr>
        <w:t>must carry accreditation details</w:t>
      </w:r>
    </w:p>
    <w:p w14:paraId="7DB3EDA4" w14:textId="510CA63B" w:rsidR="006B1D61" w:rsidRPr="00DD4414" w:rsidRDefault="006B1D61" w:rsidP="006B1D61">
      <w:pPr>
        <w:pStyle w:val="AmdtsEntries"/>
      </w:pPr>
      <w:r>
        <w:t>s 468 hdg</w:t>
      </w:r>
      <w:r>
        <w:tab/>
        <w:t xml:space="preserve">am </w:t>
      </w:r>
      <w:hyperlink r:id="rId693" w:tooltip="Transport and Other Legislation Amendment Act 2014 (Qld)" w:history="1">
        <w:r w:rsidR="001A408C">
          <w:rPr>
            <w:rStyle w:val="charCitHyperlinkAbbrev"/>
          </w:rPr>
          <w:t>A2014-43</w:t>
        </w:r>
      </w:hyperlink>
      <w:r>
        <w:t xml:space="preserve"> </w:t>
      </w:r>
      <w:r w:rsidR="001A408C">
        <w:t xml:space="preserve">(Qld) </w:t>
      </w:r>
      <w:r>
        <w:t>s 6</w:t>
      </w:r>
    </w:p>
    <w:p w14:paraId="7AB0B445" w14:textId="7D2E186F" w:rsidR="006B1D61" w:rsidRDefault="006B1D61" w:rsidP="005E03F7">
      <w:pPr>
        <w:pStyle w:val="AmdtsEntries"/>
      </w:pPr>
      <w:r>
        <w:t>s 468</w:t>
      </w:r>
      <w:r>
        <w:tab/>
        <w:t xml:space="preserve">am </w:t>
      </w:r>
      <w:hyperlink r:id="rId694" w:tooltip="Transport and Other Legislation Amendment Act 2014 (Qld)" w:history="1">
        <w:r w:rsidR="001A408C" w:rsidRPr="005E03F7">
          <w:rPr>
            <w:rStyle w:val="Hyperlink"/>
          </w:rPr>
          <w:t>A2014-43 (Qld)</w:t>
        </w:r>
      </w:hyperlink>
      <w:r>
        <w:t xml:space="preserve"> s 6; </w:t>
      </w:r>
      <w:hyperlink r:id="rId695" w:tooltip="Heavy Vehicle National Law and Other Legislation Amendment Act 2016" w:history="1">
        <w:r w:rsidR="00590018" w:rsidRPr="005E03F7">
          <w:rPr>
            <w:rStyle w:val="Hyperlink"/>
          </w:rPr>
          <w:t>A2016-65 (Qld)</w:t>
        </w:r>
      </w:hyperlink>
      <w:r>
        <w:t xml:space="preserve"> s 84</w:t>
      </w:r>
    </w:p>
    <w:p w14:paraId="6800B978" w14:textId="77777777" w:rsidR="006B1D61" w:rsidRPr="001C65D3" w:rsidRDefault="006B1D61" w:rsidP="006B1D61">
      <w:pPr>
        <w:pStyle w:val="AmdtsEntryHd"/>
      </w:pPr>
      <w:r w:rsidRPr="001C65D3">
        <w:rPr>
          <w:rFonts w:eastAsiaTheme="majorEastAsia"/>
        </w:rPr>
        <w:t xml:space="preserve">Driver must return particular documents if stops operating under </w:t>
      </w:r>
      <w:r w:rsidRPr="001C65D3">
        <w:t xml:space="preserve">BFM accreditation or AFM </w:t>
      </w:r>
      <w:r w:rsidRPr="001C65D3">
        <w:rPr>
          <w:rFonts w:eastAsiaTheme="majorEastAsia"/>
        </w:rPr>
        <w:t>accreditation etc.</w:t>
      </w:r>
    </w:p>
    <w:p w14:paraId="7ED81AEA" w14:textId="6C6C6444" w:rsidR="006B1D61" w:rsidRDefault="006B1D61" w:rsidP="005E03F7">
      <w:pPr>
        <w:pStyle w:val="AmdtsEntries"/>
      </w:pPr>
      <w:r>
        <w:t>s 469 hdg</w:t>
      </w:r>
      <w:r>
        <w:tab/>
        <w:t xml:space="preserve">am </w:t>
      </w:r>
      <w:hyperlink r:id="rId696" w:tooltip="Transport and Other Legislation Amendment Act 2014 (Qld)" w:history="1">
        <w:r w:rsidR="001A408C" w:rsidRPr="005E03F7">
          <w:rPr>
            <w:rStyle w:val="Hyperlink"/>
          </w:rPr>
          <w:t>A2014-43 (Qld)</w:t>
        </w:r>
      </w:hyperlink>
      <w:r>
        <w:t xml:space="preserve"> s 7</w:t>
      </w:r>
    </w:p>
    <w:p w14:paraId="438D798B" w14:textId="154F6DFB" w:rsidR="006B1D61" w:rsidRDefault="006B1D61" w:rsidP="005E03F7">
      <w:pPr>
        <w:pStyle w:val="AmdtsEntries"/>
      </w:pPr>
      <w:r>
        <w:t>s 469</w:t>
      </w:r>
      <w:r>
        <w:tab/>
        <w:t xml:space="preserve">am </w:t>
      </w:r>
      <w:hyperlink r:id="rId697" w:tooltip="Transport and Other Legislation Amendment Act 2014 (Qld)" w:history="1">
        <w:r w:rsidR="001A408C" w:rsidRPr="005E03F7">
          <w:rPr>
            <w:rStyle w:val="Hyperlink"/>
          </w:rPr>
          <w:t>A2014-43 (Qld)</w:t>
        </w:r>
      </w:hyperlink>
      <w:r>
        <w:t xml:space="preserve"> s 7</w:t>
      </w:r>
    </w:p>
    <w:p w14:paraId="257CB120" w14:textId="77777777" w:rsidR="006B1D61" w:rsidRPr="00F4578D" w:rsidRDefault="006B1D61" w:rsidP="006B1D61">
      <w:pPr>
        <w:pStyle w:val="AmdtsEntryHd"/>
      </w:pPr>
      <w:r w:rsidRPr="00F4578D">
        <w:rPr>
          <w:rFonts w:eastAsiaTheme="majorEastAsia"/>
        </w:rPr>
        <w:t>General requirements applying to operator with heavy vehicle accreditation</w:t>
      </w:r>
    </w:p>
    <w:p w14:paraId="3BA3D41E" w14:textId="233AF19B" w:rsidR="006B1D61" w:rsidRPr="00CB17A0" w:rsidRDefault="006B1D61" w:rsidP="005E03F7">
      <w:pPr>
        <w:pStyle w:val="AmdtsEntries"/>
      </w:pPr>
      <w:r>
        <w:t>s 470</w:t>
      </w:r>
      <w:r>
        <w:tab/>
        <w:t xml:space="preserve">am </w:t>
      </w:r>
      <w:hyperlink r:id="rId698" w:tooltip="Transport and Other Legislation Amendment Act 2014 (Qld)" w:history="1">
        <w:r w:rsidR="001A408C" w:rsidRPr="005E03F7">
          <w:rPr>
            <w:rStyle w:val="Hyperlink"/>
          </w:rPr>
          <w:t>A2014-43 (Qld)</w:t>
        </w:r>
      </w:hyperlink>
      <w:r>
        <w:t xml:space="preserve"> s 8</w:t>
      </w:r>
    </w:p>
    <w:p w14:paraId="170D6548" w14:textId="77777777" w:rsidR="00DC203E" w:rsidRDefault="00DC203E" w:rsidP="00A90E02">
      <w:pPr>
        <w:pStyle w:val="AmdtsEntryHd"/>
        <w:rPr>
          <w:lang w:val="en"/>
        </w:rPr>
      </w:pPr>
      <w:r w:rsidRPr="00DC203E">
        <w:rPr>
          <w:lang w:val="en"/>
        </w:rPr>
        <w:t>Functions of authorised officers</w:t>
      </w:r>
    </w:p>
    <w:p w14:paraId="77F34196" w14:textId="27537C5C" w:rsidR="00DC203E" w:rsidRPr="00DC203E" w:rsidRDefault="00DC203E" w:rsidP="00DC203E">
      <w:pPr>
        <w:pStyle w:val="AmdtsEntries"/>
        <w:rPr>
          <w:lang w:val="en"/>
        </w:rPr>
      </w:pPr>
      <w:r>
        <w:rPr>
          <w:lang w:val="en"/>
        </w:rPr>
        <w:t>s 479</w:t>
      </w:r>
      <w:r>
        <w:rPr>
          <w:lang w:val="en"/>
        </w:rPr>
        <w:tab/>
        <w:t xml:space="preserve">am </w:t>
      </w:r>
      <w:hyperlink r:id="rId699" w:tooltip="Heavy Vehicle National Law and Other Legislation Amendment Act 2019" w:history="1">
        <w:r w:rsidRPr="00137BAE">
          <w:rPr>
            <w:rStyle w:val="charCitHyperlinkAbbrev"/>
          </w:rPr>
          <w:t>A2019-29</w:t>
        </w:r>
      </w:hyperlink>
      <w:r>
        <w:rPr>
          <w:lang w:val="en"/>
        </w:rPr>
        <w:t xml:space="preserve"> (Qld) s 18</w:t>
      </w:r>
    </w:p>
    <w:p w14:paraId="4A280DCE" w14:textId="77777777" w:rsidR="00A90E02" w:rsidRDefault="00A90E02" w:rsidP="00A90E02">
      <w:pPr>
        <w:pStyle w:val="AmdtsEntryHd"/>
        <w:rPr>
          <w:rFonts w:ascii="Helvetica" w:hAnsi="Helvetica" w:cs="Helvetica"/>
          <w:iCs/>
        </w:rPr>
      </w:pPr>
      <w:r w:rsidRPr="007E1F9A">
        <w:rPr>
          <w:rFonts w:ascii="Helvetica" w:hAnsi="Helvetica" w:cs="Helvetica"/>
          <w:iCs/>
        </w:rPr>
        <w:t>Return of identity card</w:t>
      </w:r>
    </w:p>
    <w:p w14:paraId="7DA66A7A" w14:textId="48D69FFA" w:rsidR="00A90E02" w:rsidRDefault="00A90E02" w:rsidP="00A90E02">
      <w:pPr>
        <w:pStyle w:val="AmdtsEntries"/>
      </w:pPr>
      <w:r>
        <w:t>s 488</w:t>
      </w:r>
      <w:r>
        <w:tab/>
        <w:t xml:space="preserve">am </w:t>
      </w:r>
      <w:hyperlink r:id="rId700" w:tooltip="Heavy Vehicle National Law Amendment Act 2015" w:history="1">
        <w:r w:rsidR="00BA6441">
          <w:rPr>
            <w:rStyle w:val="charCitHyperlinkAbbrev"/>
          </w:rPr>
          <w:t>A2015-12</w:t>
        </w:r>
      </w:hyperlink>
      <w:r w:rsidR="00BA6441">
        <w:t xml:space="preserve"> (Qld)</w:t>
      </w:r>
      <w:r>
        <w:t xml:space="preserve"> s 67</w:t>
      </w:r>
    </w:p>
    <w:p w14:paraId="744FD7EF" w14:textId="77777777" w:rsidR="007C7CFE" w:rsidRDefault="007C7CFE" w:rsidP="0072601A">
      <w:pPr>
        <w:pStyle w:val="AmdtsEntryHd"/>
        <w:rPr>
          <w:rFonts w:ascii="Helvetica" w:hAnsi="Helvetica" w:cs="Helvetica"/>
          <w:iCs/>
        </w:rPr>
      </w:pPr>
      <w:r w:rsidRPr="007E1F9A">
        <w:rPr>
          <w:rFonts w:ascii="Helvetica" w:hAnsi="Helvetica" w:cs="Helvetica"/>
          <w:iCs/>
        </w:rPr>
        <w:t>Reference to document includes reference to reproduction from electronic document</w:t>
      </w:r>
    </w:p>
    <w:p w14:paraId="361BD15A" w14:textId="6CC40964" w:rsidR="007C7CFE" w:rsidRPr="007C7CFE" w:rsidRDefault="007C7CFE" w:rsidP="005E03F7">
      <w:pPr>
        <w:pStyle w:val="AmdtsEntries"/>
      </w:pPr>
      <w:r>
        <w:t>s 490</w:t>
      </w:r>
      <w:r>
        <w:tab/>
        <w:t xml:space="preserve">am </w:t>
      </w:r>
      <w:hyperlink r:id="rId701" w:tooltip="Heavy Vehicle National Law Amendment Act 2018" w:history="1">
        <w:r w:rsidR="00CB7A54" w:rsidRPr="005E03F7">
          <w:rPr>
            <w:rStyle w:val="Hyperlink"/>
          </w:rPr>
          <w:t>A2018-18 (Qld)</w:t>
        </w:r>
      </w:hyperlink>
      <w:r>
        <w:t xml:space="preserve"> s 18</w:t>
      </w:r>
    </w:p>
    <w:p w14:paraId="643B4854" w14:textId="77777777" w:rsidR="0072601A" w:rsidRPr="004B4F2A" w:rsidRDefault="0072601A" w:rsidP="0072601A">
      <w:pPr>
        <w:pStyle w:val="AmdtsEntryHd"/>
      </w:pPr>
      <w:r>
        <w:t>Definitions for Pt 9.2</w:t>
      </w:r>
    </w:p>
    <w:p w14:paraId="5152A82A" w14:textId="37A93DC9" w:rsidR="0072601A" w:rsidRPr="00EE146E" w:rsidRDefault="0072601A" w:rsidP="0072601A">
      <w:pPr>
        <w:pStyle w:val="AmdtsEntries"/>
      </w:pPr>
      <w:r>
        <w:t>s 494</w:t>
      </w:r>
      <w:r>
        <w:tab/>
        <w:t xml:space="preserve">def </w:t>
      </w:r>
      <w:r>
        <w:rPr>
          <w:rStyle w:val="charBoldItals"/>
        </w:rPr>
        <w:t xml:space="preserve">relevant place </w:t>
      </w:r>
      <w:r w:rsidR="00102670">
        <w:t>sub</w:t>
      </w:r>
      <w:r>
        <w:t xml:space="preserve"> </w:t>
      </w:r>
      <w:hyperlink r:id="rId702" w:tooltip="Heavy Vehicle National Law Amendment Act 2015" w:history="1">
        <w:r w:rsidR="00BA6441">
          <w:rPr>
            <w:rStyle w:val="charCitHyperlinkAbbrev"/>
          </w:rPr>
          <w:t>A2015-12</w:t>
        </w:r>
      </w:hyperlink>
      <w:r w:rsidR="00BA6441">
        <w:t xml:space="preserve"> (Qld)</w:t>
      </w:r>
      <w:r>
        <w:t xml:space="preserve"> s 47</w:t>
      </w:r>
    </w:p>
    <w:p w14:paraId="6B0A3171" w14:textId="77777777" w:rsidR="00C36842" w:rsidRDefault="00C36842" w:rsidP="00D34E5E">
      <w:pPr>
        <w:pStyle w:val="AmdtsEntryHd"/>
        <w:rPr>
          <w:lang w:val="en"/>
        </w:rPr>
      </w:pPr>
      <w:r w:rsidRPr="00C36842">
        <w:rPr>
          <w:lang w:val="en"/>
        </w:rPr>
        <w:t>Entry of relevant places for advice purposes</w:t>
      </w:r>
    </w:p>
    <w:p w14:paraId="0117A242" w14:textId="72B4169E" w:rsidR="00C36842" w:rsidRPr="00C36842" w:rsidRDefault="00C36842" w:rsidP="00C36842">
      <w:pPr>
        <w:pStyle w:val="AmdtsEntries"/>
        <w:rPr>
          <w:lang w:val="en"/>
        </w:rPr>
      </w:pPr>
      <w:r>
        <w:rPr>
          <w:lang w:val="en"/>
        </w:rPr>
        <w:t xml:space="preserve">pt </w:t>
      </w:r>
      <w:r w:rsidR="00E91FAE">
        <w:rPr>
          <w:lang w:val="en"/>
        </w:rPr>
        <w:t>9.2</w:t>
      </w:r>
      <w:r>
        <w:rPr>
          <w:lang w:val="en"/>
        </w:rPr>
        <w:t xml:space="preserve"> div 1A hdg</w:t>
      </w:r>
      <w:r>
        <w:rPr>
          <w:lang w:val="en"/>
        </w:rPr>
        <w:tab/>
        <w:t xml:space="preserve">ins </w:t>
      </w:r>
      <w:hyperlink r:id="rId703" w:tooltip="Heavy Vehicle National Law and Other Legislation Amendment Act 2019" w:history="1">
        <w:r w:rsidRPr="00137BAE">
          <w:rPr>
            <w:rStyle w:val="charCitHyperlinkAbbrev"/>
          </w:rPr>
          <w:t>A2019-29</w:t>
        </w:r>
      </w:hyperlink>
      <w:r>
        <w:rPr>
          <w:lang w:val="en"/>
        </w:rPr>
        <w:t xml:space="preserve"> (Qld) s 19</w:t>
      </w:r>
    </w:p>
    <w:p w14:paraId="02B8682A" w14:textId="77777777" w:rsidR="00C36842" w:rsidRPr="00C36842" w:rsidRDefault="00C36842" w:rsidP="00C36842">
      <w:pPr>
        <w:pStyle w:val="AmdtsEntryHd"/>
      </w:pPr>
      <w:r w:rsidRPr="00C36842">
        <w:rPr>
          <w:lang w:val="en"/>
        </w:rPr>
        <w:t>Non-application to police officers</w:t>
      </w:r>
    </w:p>
    <w:p w14:paraId="7780D0D9" w14:textId="01D499FF" w:rsidR="00C36842" w:rsidRPr="00C36842" w:rsidRDefault="00C36842" w:rsidP="00C36842">
      <w:pPr>
        <w:pStyle w:val="AmdtsEntries"/>
        <w:rPr>
          <w:lang w:val="en"/>
        </w:rPr>
      </w:pPr>
      <w:r>
        <w:rPr>
          <w:lang w:val="en"/>
        </w:rPr>
        <w:t>s 494A</w:t>
      </w:r>
      <w:r>
        <w:rPr>
          <w:lang w:val="en"/>
        </w:rPr>
        <w:tab/>
        <w:t xml:space="preserve">ins </w:t>
      </w:r>
      <w:hyperlink r:id="rId704" w:tooltip="Heavy Vehicle National Law and Other Legislation Amendment Act 2019" w:history="1">
        <w:r w:rsidRPr="00137BAE">
          <w:rPr>
            <w:rStyle w:val="charCitHyperlinkAbbrev"/>
          </w:rPr>
          <w:t>A2019-29</w:t>
        </w:r>
      </w:hyperlink>
      <w:r>
        <w:rPr>
          <w:lang w:val="en"/>
        </w:rPr>
        <w:t xml:space="preserve"> (Qld) s 19</w:t>
      </w:r>
    </w:p>
    <w:p w14:paraId="23D90603" w14:textId="77777777" w:rsidR="00C36842" w:rsidRPr="00C36842" w:rsidRDefault="00C36842" w:rsidP="00C36842">
      <w:pPr>
        <w:pStyle w:val="AmdtsEntryHd"/>
      </w:pPr>
      <w:r w:rsidRPr="00C36842">
        <w:rPr>
          <w:lang w:val="en"/>
        </w:rPr>
        <w:t>Power to enter relevant place</w:t>
      </w:r>
    </w:p>
    <w:p w14:paraId="57C85EE8" w14:textId="54248302" w:rsidR="00C36842" w:rsidRPr="00C36842" w:rsidRDefault="00C36842" w:rsidP="00C36842">
      <w:pPr>
        <w:pStyle w:val="AmdtsEntries"/>
        <w:rPr>
          <w:lang w:val="en"/>
        </w:rPr>
      </w:pPr>
      <w:r>
        <w:rPr>
          <w:lang w:val="en"/>
        </w:rPr>
        <w:t>s 494B</w:t>
      </w:r>
      <w:r>
        <w:rPr>
          <w:lang w:val="en"/>
        </w:rPr>
        <w:tab/>
        <w:t xml:space="preserve">ins </w:t>
      </w:r>
      <w:hyperlink r:id="rId705" w:tooltip="Heavy Vehicle National Law and Other Legislation Amendment Act 2019" w:history="1">
        <w:r w:rsidRPr="00137BAE">
          <w:rPr>
            <w:rStyle w:val="charCitHyperlinkAbbrev"/>
          </w:rPr>
          <w:t>A2019-29</w:t>
        </w:r>
      </w:hyperlink>
      <w:r>
        <w:rPr>
          <w:lang w:val="en"/>
        </w:rPr>
        <w:t xml:space="preserve"> (Qld) s 19</w:t>
      </w:r>
    </w:p>
    <w:p w14:paraId="3CEDBE80" w14:textId="77777777" w:rsidR="00C36842" w:rsidRPr="00C36842" w:rsidRDefault="00C36842" w:rsidP="00C36842">
      <w:pPr>
        <w:pStyle w:val="AmdtsEntryHd"/>
      </w:pPr>
      <w:r w:rsidRPr="00C36842">
        <w:rPr>
          <w:lang w:val="en"/>
        </w:rPr>
        <w:t>Power after entering relevant place</w:t>
      </w:r>
    </w:p>
    <w:p w14:paraId="07B214A3" w14:textId="17C2C67D" w:rsidR="00C36842" w:rsidRPr="00C36842" w:rsidRDefault="00C36842" w:rsidP="00C36842">
      <w:pPr>
        <w:pStyle w:val="AmdtsEntries"/>
        <w:rPr>
          <w:lang w:val="en"/>
        </w:rPr>
      </w:pPr>
      <w:r>
        <w:rPr>
          <w:lang w:val="en"/>
        </w:rPr>
        <w:t>s 494C</w:t>
      </w:r>
      <w:r>
        <w:rPr>
          <w:lang w:val="en"/>
        </w:rPr>
        <w:tab/>
        <w:t xml:space="preserve">ins </w:t>
      </w:r>
      <w:hyperlink r:id="rId706" w:tooltip="Heavy Vehicle National Law and Other Legislation Amendment Act 2019" w:history="1">
        <w:r w:rsidRPr="00137BAE">
          <w:rPr>
            <w:rStyle w:val="charCitHyperlinkAbbrev"/>
          </w:rPr>
          <w:t>A2019-29</w:t>
        </w:r>
      </w:hyperlink>
      <w:r>
        <w:rPr>
          <w:lang w:val="en"/>
        </w:rPr>
        <w:t xml:space="preserve"> (Qld) s 19</w:t>
      </w:r>
    </w:p>
    <w:p w14:paraId="55CE666A" w14:textId="77777777" w:rsidR="00D34E5E" w:rsidRPr="004B4F2A" w:rsidRDefault="00D34E5E" w:rsidP="00D34E5E">
      <w:pPr>
        <w:pStyle w:val="AmdtsEntryHd"/>
      </w:pPr>
      <w:r>
        <w:t>Power to enter relevant place</w:t>
      </w:r>
    </w:p>
    <w:p w14:paraId="6A3BC8FF" w14:textId="26455CF6" w:rsidR="00D34E5E" w:rsidRPr="00EE146E" w:rsidRDefault="00D34E5E" w:rsidP="00D34E5E">
      <w:pPr>
        <w:pStyle w:val="AmdtsEntries"/>
      </w:pPr>
      <w:r>
        <w:t>s 495</w:t>
      </w:r>
      <w:r>
        <w:tab/>
        <w:t xml:space="preserve">am </w:t>
      </w:r>
      <w:hyperlink r:id="rId707" w:tooltip="Heavy Vehicle National Law Amendment Act 2015" w:history="1">
        <w:r w:rsidR="00BA6441">
          <w:rPr>
            <w:rStyle w:val="charCitHyperlinkAbbrev"/>
          </w:rPr>
          <w:t>A2015-12</w:t>
        </w:r>
      </w:hyperlink>
      <w:r w:rsidR="00BA6441">
        <w:t xml:space="preserve"> (Qld)</w:t>
      </w:r>
      <w:r>
        <w:t xml:space="preserve"> s 48</w:t>
      </w:r>
    </w:p>
    <w:p w14:paraId="129ACC56" w14:textId="77777777" w:rsidR="00C36842" w:rsidRDefault="00C36842" w:rsidP="00D34E5E">
      <w:pPr>
        <w:pStyle w:val="AmdtsEntryHd"/>
        <w:rPr>
          <w:lang w:val="en"/>
        </w:rPr>
      </w:pPr>
      <w:r w:rsidRPr="00C36842">
        <w:rPr>
          <w:lang w:val="en"/>
        </w:rPr>
        <w:t>General powers after entering relevant place</w:t>
      </w:r>
    </w:p>
    <w:p w14:paraId="579DAFB8" w14:textId="4E0C2202" w:rsidR="00C36842" w:rsidRPr="00C36842" w:rsidRDefault="00C36842" w:rsidP="00C36842">
      <w:pPr>
        <w:pStyle w:val="AmdtsEntries"/>
        <w:rPr>
          <w:lang w:val="en"/>
        </w:rPr>
      </w:pPr>
      <w:r>
        <w:rPr>
          <w:lang w:val="en"/>
        </w:rPr>
        <w:t>s 496</w:t>
      </w:r>
      <w:r>
        <w:rPr>
          <w:lang w:val="en"/>
        </w:rPr>
        <w:tab/>
        <w:t xml:space="preserve">am </w:t>
      </w:r>
      <w:hyperlink r:id="rId708" w:tooltip="Heavy Vehicle National Law and Other Legislation Amendment Act 2019" w:history="1">
        <w:r w:rsidRPr="00137BAE">
          <w:rPr>
            <w:rStyle w:val="charCitHyperlinkAbbrev"/>
          </w:rPr>
          <w:t>A2019-29</w:t>
        </w:r>
      </w:hyperlink>
      <w:r>
        <w:rPr>
          <w:lang w:val="en"/>
        </w:rPr>
        <w:t xml:space="preserve"> (Qld) s 20</w:t>
      </w:r>
    </w:p>
    <w:p w14:paraId="576B13B0" w14:textId="77777777" w:rsidR="00D34E5E" w:rsidRPr="004B4F2A" w:rsidRDefault="00D34E5E" w:rsidP="00D34E5E">
      <w:pPr>
        <w:pStyle w:val="AmdtsEntryHd"/>
      </w:pPr>
      <w:r>
        <w:t>General power to enter places</w:t>
      </w:r>
    </w:p>
    <w:p w14:paraId="41DF2BB7" w14:textId="42817BFF" w:rsidR="00D34E5E" w:rsidRPr="00EE146E" w:rsidRDefault="00D34E5E" w:rsidP="00D34E5E">
      <w:pPr>
        <w:pStyle w:val="AmdtsEntries"/>
      </w:pPr>
      <w:r>
        <w:t>s 497</w:t>
      </w:r>
      <w:r>
        <w:tab/>
        <w:t xml:space="preserve">am </w:t>
      </w:r>
      <w:hyperlink r:id="rId709" w:tooltip="Heavy Vehicle National Law Amendment Act 2015" w:history="1">
        <w:r w:rsidR="00BA6441">
          <w:rPr>
            <w:rStyle w:val="charCitHyperlinkAbbrev"/>
          </w:rPr>
          <w:t>A2015-12</w:t>
        </w:r>
      </w:hyperlink>
      <w:r w:rsidR="00BA6441">
        <w:t xml:space="preserve"> (Qld)</w:t>
      </w:r>
      <w:r>
        <w:t xml:space="preserve"> s 49</w:t>
      </w:r>
    </w:p>
    <w:p w14:paraId="299CF116" w14:textId="77777777" w:rsidR="00C36842" w:rsidRPr="00F90977" w:rsidRDefault="00F90977" w:rsidP="00C36842">
      <w:pPr>
        <w:pStyle w:val="AmdtsEntryHd"/>
      </w:pPr>
      <w:r w:rsidRPr="00F90977">
        <w:rPr>
          <w:lang w:val="en"/>
        </w:rPr>
        <w:t>General powers after entering a place</w:t>
      </w:r>
    </w:p>
    <w:p w14:paraId="04D99829" w14:textId="7C7EB43C" w:rsidR="00C36842" w:rsidRPr="00C36842" w:rsidRDefault="00C36842" w:rsidP="00C36842">
      <w:pPr>
        <w:pStyle w:val="AmdtsEntries"/>
        <w:rPr>
          <w:lang w:val="en"/>
        </w:rPr>
      </w:pPr>
      <w:r>
        <w:rPr>
          <w:lang w:val="en"/>
        </w:rPr>
        <w:t>s 500</w:t>
      </w:r>
      <w:r>
        <w:rPr>
          <w:lang w:val="en"/>
        </w:rPr>
        <w:tab/>
        <w:t xml:space="preserve">am </w:t>
      </w:r>
      <w:hyperlink r:id="rId710" w:tooltip="Heavy Vehicle National Law and Other Legislation Amendment Act 2019" w:history="1">
        <w:r w:rsidRPr="00137BAE">
          <w:rPr>
            <w:rStyle w:val="charCitHyperlinkAbbrev"/>
          </w:rPr>
          <w:t>A2019-29</w:t>
        </w:r>
      </w:hyperlink>
      <w:r>
        <w:rPr>
          <w:lang w:val="en"/>
        </w:rPr>
        <w:t xml:space="preserve"> (Qld) s 21</w:t>
      </w:r>
    </w:p>
    <w:p w14:paraId="2AAF1518" w14:textId="77777777" w:rsidR="009C4BA5" w:rsidRPr="009C4BA5" w:rsidRDefault="009C4BA5" w:rsidP="009C4BA5">
      <w:pPr>
        <w:pStyle w:val="AmdtsEntryHd"/>
      </w:pPr>
      <w:r w:rsidRPr="009C4BA5">
        <w:rPr>
          <w:lang w:val="en"/>
        </w:rPr>
        <w:t>Application of Div 4</w:t>
      </w:r>
    </w:p>
    <w:p w14:paraId="19C8F60A" w14:textId="23D55065" w:rsidR="009C4BA5" w:rsidRPr="00C36842" w:rsidRDefault="009C4BA5" w:rsidP="009C4BA5">
      <w:pPr>
        <w:pStyle w:val="AmdtsEntries"/>
        <w:rPr>
          <w:lang w:val="en"/>
        </w:rPr>
      </w:pPr>
      <w:r>
        <w:rPr>
          <w:lang w:val="en"/>
        </w:rPr>
        <w:t>s 501</w:t>
      </w:r>
      <w:r>
        <w:rPr>
          <w:lang w:val="en"/>
        </w:rPr>
        <w:tab/>
        <w:t xml:space="preserve">am </w:t>
      </w:r>
      <w:hyperlink r:id="rId711" w:tooltip="Heavy Vehicle National Law and Other Legislation Amendment Act 2019" w:history="1">
        <w:r w:rsidRPr="00137BAE">
          <w:rPr>
            <w:rStyle w:val="charCitHyperlinkAbbrev"/>
          </w:rPr>
          <w:t>A2019-29</w:t>
        </w:r>
      </w:hyperlink>
      <w:r>
        <w:rPr>
          <w:lang w:val="en"/>
        </w:rPr>
        <w:t xml:space="preserve"> (Qld) s 22</w:t>
      </w:r>
    </w:p>
    <w:p w14:paraId="4D939993" w14:textId="77777777" w:rsidR="00CB17A0" w:rsidRDefault="00CB17A0" w:rsidP="0077180F">
      <w:pPr>
        <w:pStyle w:val="AmdtsEntryHd"/>
        <w:rPr>
          <w:rFonts w:ascii="Helvetica" w:hAnsi="Helvetica" w:cs="Helvetica"/>
          <w:iCs/>
        </w:rPr>
      </w:pPr>
      <w:r w:rsidRPr="007E1F9A">
        <w:rPr>
          <w:rFonts w:ascii="Helvetica" w:hAnsi="Helvetica" w:cs="Helvetica"/>
          <w:iCs/>
        </w:rPr>
        <w:lastRenderedPageBreak/>
        <w:t>Moving unattended heavy vehicle on road to exercise another power</w:t>
      </w:r>
    </w:p>
    <w:p w14:paraId="3277823B" w14:textId="4979EA10" w:rsidR="00CB17A0" w:rsidRPr="00CB17A0" w:rsidRDefault="00CB17A0" w:rsidP="005E03F7">
      <w:pPr>
        <w:pStyle w:val="AmdtsEntries"/>
      </w:pPr>
      <w:r>
        <w:t>s 518</w:t>
      </w:r>
      <w:r>
        <w:tab/>
        <w:t xml:space="preserve">am </w:t>
      </w:r>
      <w:hyperlink r:id="rId712" w:tooltip="Heavy Vehicle National Law and Other Legislation Amendment Act 2016" w:history="1">
        <w:r w:rsidR="00590018" w:rsidRPr="005E03F7">
          <w:rPr>
            <w:rStyle w:val="Hyperlink"/>
          </w:rPr>
          <w:t>A2016-65 (Qld)</w:t>
        </w:r>
      </w:hyperlink>
      <w:r>
        <w:t xml:space="preserve"> s 85</w:t>
      </w:r>
    </w:p>
    <w:p w14:paraId="2DCBE581" w14:textId="77777777" w:rsidR="0077180F" w:rsidRDefault="0077180F" w:rsidP="0077180F">
      <w:pPr>
        <w:pStyle w:val="AmdtsEntryHd"/>
        <w:rPr>
          <w:rFonts w:ascii="Helvetica" w:hAnsi="Helvetica" w:cs="Helvetica"/>
          <w:iCs/>
        </w:rPr>
      </w:pPr>
      <w:r w:rsidRPr="007E1F9A">
        <w:rPr>
          <w:rFonts w:ascii="Helvetica" w:hAnsi="Helvetica" w:cs="Helvetica"/>
          <w:iCs/>
        </w:rPr>
        <w:t>Power to enter and inspect heavy vehicles for monitoring purposes</w:t>
      </w:r>
    </w:p>
    <w:p w14:paraId="02305810" w14:textId="7CDA85F2" w:rsidR="0077180F" w:rsidRPr="0077180F" w:rsidRDefault="0077180F" w:rsidP="0077180F">
      <w:pPr>
        <w:pStyle w:val="AmdtsEntries"/>
      </w:pPr>
      <w:r>
        <w:t>s 520</w:t>
      </w:r>
      <w:r>
        <w:tab/>
        <w:t xml:space="preserve">mod </w:t>
      </w:r>
      <w:hyperlink r:id="rId713" w:tooltip="Heavy Vehicle National Law (ACT) Act 2013" w:history="1">
        <w:r w:rsidRPr="0068043D">
          <w:rPr>
            <w:rStyle w:val="charCitHyperlinkAbbrev"/>
          </w:rPr>
          <w:t>A2013-51</w:t>
        </w:r>
      </w:hyperlink>
      <w:r w:rsidR="00814BC3">
        <w:t xml:space="preserve"> mod 1.24</w:t>
      </w:r>
      <w:r w:rsidR="006B1712">
        <w:t xml:space="preserve"> (mod om </w:t>
      </w:r>
      <w:hyperlink r:id="rId714" w:tooltip="Statute Law Amendment Act 2018" w:history="1">
        <w:r w:rsidR="006B1712">
          <w:rPr>
            <w:rStyle w:val="charCitHyperlinkAbbrev"/>
          </w:rPr>
          <w:t>A2018</w:t>
        </w:r>
        <w:r w:rsidR="006B1712">
          <w:rPr>
            <w:rStyle w:val="charCitHyperlinkAbbrev"/>
          </w:rPr>
          <w:noBreakHyphen/>
          <w:t>42</w:t>
        </w:r>
      </w:hyperlink>
      <w:r w:rsidR="006B1712">
        <w:t xml:space="preserve"> amdt 3.61)</w:t>
      </w:r>
    </w:p>
    <w:p w14:paraId="13AF1B42" w14:textId="66519CFB" w:rsidR="00B71806" w:rsidRPr="00577913" w:rsidRDefault="00B71806" w:rsidP="005E03F7">
      <w:pPr>
        <w:pStyle w:val="AmdtsEntries"/>
      </w:pPr>
      <w:r>
        <w:tab/>
        <w:t xml:space="preserve">am </w:t>
      </w:r>
      <w:hyperlink r:id="rId715" w:tooltip="Heavy Vehicle National Law and Other Legislation Amendment Act 2018" w:history="1">
        <w:r w:rsidR="002401FA" w:rsidRPr="005E03F7">
          <w:rPr>
            <w:rStyle w:val="Hyperlink"/>
          </w:rPr>
          <w:t>A2018-10 (Qld)</w:t>
        </w:r>
      </w:hyperlink>
      <w:r>
        <w:t xml:space="preserve"> s 24</w:t>
      </w:r>
    </w:p>
    <w:p w14:paraId="3FB5645B" w14:textId="77777777" w:rsidR="00814BC3" w:rsidRDefault="00814BC3" w:rsidP="00814BC3">
      <w:pPr>
        <w:pStyle w:val="AmdtsEntryHd"/>
        <w:rPr>
          <w:rFonts w:ascii="Helvetica" w:hAnsi="Helvetica" w:cs="Helvetica"/>
          <w:iCs/>
        </w:rPr>
      </w:pPr>
      <w:r w:rsidRPr="007E1F9A">
        <w:rPr>
          <w:rFonts w:ascii="Helvetica" w:hAnsi="Helvetica" w:cs="Helvetica"/>
          <w:iCs/>
        </w:rPr>
        <w:t>Power to enter and search heavy vehicle involved, or suspected to be involved, in an offence etc.</w:t>
      </w:r>
    </w:p>
    <w:p w14:paraId="2CD7DC70" w14:textId="793D35F2" w:rsidR="00814BC3" w:rsidRPr="0077180F" w:rsidRDefault="00814BC3" w:rsidP="00814BC3">
      <w:pPr>
        <w:pStyle w:val="AmdtsEntries"/>
      </w:pPr>
      <w:r>
        <w:t>s 521</w:t>
      </w:r>
      <w:r>
        <w:tab/>
        <w:t xml:space="preserve">mod </w:t>
      </w:r>
      <w:hyperlink r:id="rId716" w:tooltip="Heavy Vehicle National Law (ACT) Act 2013" w:history="1">
        <w:r w:rsidRPr="0068043D">
          <w:rPr>
            <w:rStyle w:val="charCitHyperlinkAbbrev"/>
          </w:rPr>
          <w:t>A2013-51</w:t>
        </w:r>
      </w:hyperlink>
      <w:r>
        <w:t xml:space="preserve"> mod 1.25</w:t>
      </w:r>
      <w:r w:rsidR="006B1712">
        <w:t xml:space="preserve"> (mod om </w:t>
      </w:r>
      <w:hyperlink r:id="rId717" w:tooltip="Statute Law Amendment Act 2018" w:history="1">
        <w:r w:rsidR="006B1712">
          <w:rPr>
            <w:rStyle w:val="charCitHyperlinkAbbrev"/>
          </w:rPr>
          <w:t>A2018</w:t>
        </w:r>
        <w:r w:rsidR="006B1712">
          <w:rPr>
            <w:rStyle w:val="charCitHyperlinkAbbrev"/>
          </w:rPr>
          <w:noBreakHyphen/>
          <w:t>42</w:t>
        </w:r>
      </w:hyperlink>
      <w:r w:rsidR="006B1712">
        <w:t xml:space="preserve"> amdt 3.61)</w:t>
      </w:r>
    </w:p>
    <w:p w14:paraId="7030854F" w14:textId="36A67403" w:rsidR="00B71806" w:rsidRPr="00577913" w:rsidRDefault="00B71806" w:rsidP="005E03F7">
      <w:pPr>
        <w:pStyle w:val="AmdtsEntries"/>
      </w:pPr>
      <w:r>
        <w:tab/>
        <w:t xml:space="preserve">am </w:t>
      </w:r>
      <w:hyperlink r:id="rId718" w:tooltip="Heavy Vehicle National Law and Other Legislation Amendment Act 2018" w:history="1">
        <w:r w:rsidR="002401FA" w:rsidRPr="005E03F7">
          <w:rPr>
            <w:rStyle w:val="Hyperlink"/>
          </w:rPr>
          <w:t>A2018-10 (Qld)</w:t>
        </w:r>
      </w:hyperlink>
      <w:r>
        <w:t xml:space="preserve"> s 25</w:t>
      </w:r>
      <w:r w:rsidR="007C7CFE">
        <w:t xml:space="preserve">; </w:t>
      </w:r>
      <w:hyperlink r:id="rId719" w:tooltip="Heavy Vehicle National Law Amendment Act 2018" w:history="1">
        <w:r w:rsidR="00CB7A54" w:rsidRPr="005E03F7">
          <w:rPr>
            <w:rStyle w:val="Hyperlink"/>
          </w:rPr>
          <w:t>A2018-18 (Qld)</w:t>
        </w:r>
      </w:hyperlink>
      <w:r w:rsidR="007C7CFE">
        <w:t xml:space="preserve"> s 19</w:t>
      </w:r>
    </w:p>
    <w:p w14:paraId="107712A0" w14:textId="77777777" w:rsidR="00814BC3" w:rsidRDefault="00814BC3" w:rsidP="00814BC3">
      <w:pPr>
        <w:pStyle w:val="AmdtsEntryHd"/>
        <w:rPr>
          <w:rFonts w:ascii="Helvetica" w:hAnsi="Helvetica" w:cs="Helvetica"/>
          <w:iCs/>
        </w:rPr>
      </w:pPr>
      <w:r w:rsidRPr="007E1F9A">
        <w:rPr>
          <w:rFonts w:ascii="Helvetica" w:hAnsi="Helvetica" w:cs="Helvetica"/>
          <w:iCs/>
        </w:rPr>
        <w:t>Power to order presentation of heavy vehicles for inspection</w:t>
      </w:r>
    </w:p>
    <w:p w14:paraId="43123F65" w14:textId="3D523249" w:rsidR="00814BC3" w:rsidRPr="0077180F" w:rsidRDefault="00814BC3" w:rsidP="00814BC3">
      <w:pPr>
        <w:pStyle w:val="AmdtsEntries"/>
      </w:pPr>
      <w:r>
        <w:t>s 522</w:t>
      </w:r>
      <w:r>
        <w:tab/>
        <w:t xml:space="preserve">mod </w:t>
      </w:r>
      <w:hyperlink r:id="rId720" w:tooltip="Heavy Vehicle National Law (ACT) Act 2013" w:history="1">
        <w:r w:rsidRPr="0068043D">
          <w:rPr>
            <w:rStyle w:val="charCitHyperlinkAbbrev"/>
          </w:rPr>
          <w:t>A2013-51</w:t>
        </w:r>
      </w:hyperlink>
      <w:r>
        <w:t xml:space="preserve"> mod 1.26</w:t>
      </w:r>
      <w:r w:rsidR="006B1712">
        <w:t xml:space="preserve"> (mod om </w:t>
      </w:r>
      <w:hyperlink r:id="rId721" w:tooltip="Statute Law Amendment Act 2018" w:history="1">
        <w:r w:rsidR="006B1712">
          <w:rPr>
            <w:rStyle w:val="charCitHyperlinkAbbrev"/>
          </w:rPr>
          <w:t>A2018</w:t>
        </w:r>
        <w:r w:rsidR="006B1712">
          <w:rPr>
            <w:rStyle w:val="charCitHyperlinkAbbrev"/>
          </w:rPr>
          <w:noBreakHyphen/>
          <w:t>42</w:t>
        </w:r>
      </w:hyperlink>
      <w:r w:rsidR="006B1712">
        <w:t xml:space="preserve"> amdt 3.61)</w:t>
      </w:r>
    </w:p>
    <w:p w14:paraId="2E16D32B" w14:textId="1B53F46F" w:rsidR="00B71806" w:rsidRPr="00577913" w:rsidRDefault="00B71806" w:rsidP="005E03F7">
      <w:pPr>
        <w:pStyle w:val="AmdtsEntries"/>
      </w:pPr>
      <w:r>
        <w:tab/>
        <w:t xml:space="preserve">am </w:t>
      </w:r>
      <w:hyperlink r:id="rId722" w:tooltip="Heavy Vehicle National Law and Other Legislation Amendment Act 2018" w:history="1">
        <w:r w:rsidR="002401FA" w:rsidRPr="005E03F7">
          <w:rPr>
            <w:rStyle w:val="Hyperlink"/>
          </w:rPr>
          <w:t>A2018-10 (Qld)</w:t>
        </w:r>
      </w:hyperlink>
      <w:r>
        <w:t xml:space="preserve"> s 26</w:t>
      </w:r>
      <w:r w:rsidR="007C7CFE">
        <w:t xml:space="preserve">; </w:t>
      </w:r>
      <w:hyperlink r:id="rId723" w:tooltip="Heavy Vehicle National Law Amendment Act 2018" w:history="1">
        <w:r w:rsidR="00CB7A54" w:rsidRPr="005E03F7">
          <w:rPr>
            <w:rStyle w:val="Hyperlink"/>
          </w:rPr>
          <w:t>A2018-18 (Qld)</w:t>
        </w:r>
      </w:hyperlink>
      <w:r w:rsidR="007C7CFE">
        <w:t xml:space="preserve"> s 20</w:t>
      </w:r>
    </w:p>
    <w:p w14:paraId="3CAFEB6B" w14:textId="77777777" w:rsidR="00AC3897" w:rsidRPr="004B4F2A" w:rsidRDefault="00AC3897" w:rsidP="00AC3897">
      <w:pPr>
        <w:pStyle w:val="AmdtsEntryHd"/>
      </w:pPr>
      <w:r>
        <w:t>Definitions for Div 6</w:t>
      </w:r>
    </w:p>
    <w:p w14:paraId="43E736B2" w14:textId="4F992FF1" w:rsidR="00AC3897" w:rsidRDefault="00AC3897" w:rsidP="002C0A2F">
      <w:pPr>
        <w:pStyle w:val="AmdtsEntries"/>
        <w:keepNext/>
      </w:pPr>
      <w:r>
        <w:t>s 525</w:t>
      </w:r>
      <w:r>
        <w:tab/>
        <w:t xml:space="preserve">def </w:t>
      </w:r>
      <w:r>
        <w:rPr>
          <w:rStyle w:val="charBoldItals"/>
        </w:rPr>
        <w:t xml:space="preserve">defective vehicle label </w:t>
      </w:r>
      <w:r>
        <w:t xml:space="preserve">am </w:t>
      </w:r>
      <w:hyperlink r:id="rId724" w:tooltip="Heavy Vehicle National Law Amendment Act 2015" w:history="1">
        <w:r w:rsidR="00BA6441">
          <w:rPr>
            <w:rStyle w:val="charCitHyperlinkAbbrev"/>
          </w:rPr>
          <w:t>A2015-12</w:t>
        </w:r>
      </w:hyperlink>
      <w:r w:rsidR="00BA6441">
        <w:t xml:space="preserve"> (Qld)</w:t>
      </w:r>
      <w:r>
        <w:t xml:space="preserve"> s 50</w:t>
      </w:r>
      <w:r w:rsidR="009C4BA5">
        <w:t>;</w:t>
      </w:r>
      <w:r w:rsidR="009C4BA5">
        <w:br/>
      </w:r>
      <w:hyperlink r:id="rId725" w:tooltip="Heavy Vehicle National Law and Other Legislation Amendment Act 2019" w:history="1">
        <w:r w:rsidR="009C4BA5" w:rsidRPr="00137BAE">
          <w:rPr>
            <w:rStyle w:val="charCitHyperlinkAbbrev"/>
          </w:rPr>
          <w:t>A2019-29</w:t>
        </w:r>
      </w:hyperlink>
      <w:r w:rsidR="009C4BA5">
        <w:t xml:space="preserve"> (Qld) s 23</w:t>
      </w:r>
    </w:p>
    <w:p w14:paraId="182A27CD" w14:textId="42D101FF" w:rsidR="00AC3897" w:rsidRDefault="00AC3897" w:rsidP="00AC3897">
      <w:pPr>
        <w:pStyle w:val="AmdtsEntries"/>
      </w:pPr>
      <w:r>
        <w:tab/>
        <w:t xml:space="preserve">def </w:t>
      </w:r>
      <w:r>
        <w:rPr>
          <w:rStyle w:val="charBoldItals"/>
        </w:rPr>
        <w:t xml:space="preserve">registration authority </w:t>
      </w:r>
      <w:r>
        <w:t xml:space="preserve">ins </w:t>
      </w:r>
      <w:hyperlink r:id="rId726" w:tooltip="Heavy Vehicle National Law Amendment Act 2015" w:history="1">
        <w:r w:rsidR="00BA6441">
          <w:rPr>
            <w:rStyle w:val="charCitHyperlinkAbbrev"/>
          </w:rPr>
          <w:t>A2015-12</w:t>
        </w:r>
      </w:hyperlink>
      <w:r w:rsidR="00BA6441">
        <w:t xml:space="preserve"> (Qld)</w:t>
      </w:r>
      <w:r>
        <w:t xml:space="preserve"> s 50</w:t>
      </w:r>
    </w:p>
    <w:p w14:paraId="2445B4D9" w14:textId="67467E7B" w:rsidR="00E65DC1" w:rsidRPr="00577913" w:rsidRDefault="00E65DC1" w:rsidP="005E03F7">
      <w:pPr>
        <w:pStyle w:val="AmdtsEntriesDefL2"/>
      </w:pPr>
      <w:r>
        <w:tab/>
        <w:t xml:space="preserve">am </w:t>
      </w:r>
      <w:hyperlink r:id="rId727" w:tooltip="Heavy Vehicle National Law and Other Legislation Amendment Act 2018" w:history="1">
        <w:r w:rsidR="002401FA" w:rsidRPr="005E03F7">
          <w:rPr>
            <w:rStyle w:val="Hyperlink"/>
          </w:rPr>
          <w:t>A2018-10 (Qld)</w:t>
        </w:r>
      </w:hyperlink>
      <w:r>
        <w:t xml:space="preserve"> s 27</w:t>
      </w:r>
    </w:p>
    <w:p w14:paraId="2137A65A" w14:textId="166F35A3" w:rsidR="00AC3897" w:rsidRPr="00EE146E" w:rsidRDefault="00AC3897" w:rsidP="00AC3897">
      <w:pPr>
        <w:pStyle w:val="AmdtsEntries"/>
      </w:pPr>
      <w:r>
        <w:tab/>
        <w:t xml:space="preserve">def </w:t>
      </w:r>
      <w:r>
        <w:rPr>
          <w:rStyle w:val="charBoldItals"/>
        </w:rPr>
        <w:t xml:space="preserve">vehicle identifier </w:t>
      </w:r>
      <w:r>
        <w:t xml:space="preserve">ins </w:t>
      </w:r>
      <w:hyperlink r:id="rId728" w:tooltip="Heavy Vehicle National Law Amendment Act 2015" w:history="1">
        <w:r w:rsidR="00BA6441">
          <w:rPr>
            <w:rStyle w:val="charCitHyperlinkAbbrev"/>
          </w:rPr>
          <w:t>A2015-12</w:t>
        </w:r>
      </w:hyperlink>
      <w:r w:rsidR="00BA6441">
        <w:t xml:space="preserve"> (Qld)</w:t>
      </w:r>
      <w:r>
        <w:t xml:space="preserve"> s 50</w:t>
      </w:r>
    </w:p>
    <w:p w14:paraId="6EF5830A" w14:textId="77777777" w:rsidR="00555B81" w:rsidRDefault="00FB0A49" w:rsidP="00814BC3">
      <w:pPr>
        <w:pStyle w:val="AmdtsEntryHd"/>
        <w:rPr>
          <w:rFonts w:ascii="Helvetica" w:hAnsi="Helvetica" w:cs="Helvetica"/>
          <w:iCs/>
        </w:rPr>
      </w:pPr>
      <w:r>
        <w:rPr>
          <w:rFonts w:ascii="Helvetica" w:hAnsi="Helvetica" w:cs="Helvetica"/>
          <w:iCs/>
        </w:rPr>
        <w:t>Issue of vehicle defect notice</w:t>
      </w:r>
    </w:p>
    <w:p w14:paraId="5BB10740" w14:textId="404DCD03" w:rsidR="00FB0A49" w:rsidRPr="00FB0A49" w:rsidRDefault="00FB0A49" w:rsidP="00FB0A49">
      <w:pPr>
        <w:pStyle w:val="AmdtsEntries"/>
      </w:pPr>
      <w:r>
        <w:t>s 526</w:t>
      </w:r>
      <w:r>
        <w:tab/>
        <w:t xml:space="preserve">am </w:t>
      </w:r>
      <w:hyperlink r:id="rId729" w:tooltip="Heavy Vehicle National Law Amendment Act 2015" w:history="1">
        <w:r w:rsidR="00BA6441">
          <w:rPr>
            <w:rStyle w:val="charCitHyperlinkAbbrev"/>
          </w:rPr>
          <w:t>A2015-12</w:t>
        </w:r>
      </w:hyperlink>
      <w:r w:rsidR="00BA6441">
        <w:t xml:space="preserve"> (Qld)</w:t>
      </w:r>
      <w:r>
        <w:t xml:space="preserve"> s 51</w:t>
      </w:r>
      <w:r w:rsidR="009C4BA5">
        <w:t xml:space="preserve">; </w:t>
      </w:r>
      <w:hyperlink r:id="rId730" w:tooltip="Heavy Vehicle National Law and Other Legislation Amendment Act 2019" w:history="1">
        <w:r w:rsidR="009C4BA5" w:rsidRPr="00137BAE">
          <w:rPr>
            <w:rStyle w:val="charCitHyperlinkAbbrev"/>
          </w:rPr>
          <w:t>A2019-29</w:t>
        </w:r>
      </w:hyperlink>
      <w:r w:rsidR="009C4BA5">
        <w:t xml:space="preserve"> (Qld) s 24</w:t>
      </w:r>
    </w:p>
    <w:p w14:paraId="316FFC64" w14:textId="77777777" w:rsidR="00814BC3" w:rsidRDefault="00814BC3" w:rsidP="00814BC3">
      <w:pPr>
        <w:pStyle w:val="AmdtsEntryHd"/>
        <w:rPr>
          <w:rFonts w:ascii="Helvetica" w:hAnsi="Helvetica" w:cs="Helvetica"/>
          <w:iCs/>
        </w:rPr>
      </w:pPr>
      <w:r w:rsidRPr="007E1F9A">
        <w:rPr>
          <w:rFonts w:ascii="Helvetica" w:hAnsi="Helvetica" w:cs="Helvetica"/>
          <w:iCs/>
        </w:rPr>
        <w:t>Requirements about vehicle defect notice</w:t>
      </w:r>
    </w:p>
    <w:p w14:paraId="30324F83" w14:textId="478E3AB6" w:rsidR="00814BC3" w:rsidRDefault="00814BC3" w:rsidP="00814BC3">
      <w:pPr>
        <w:pStyle w:val="AmdtsEntries"/>
      </w:pPr>
      <w:r>
        <w:t>s 527</w:t>
      </w:r>
      <w:r>
        <w:tab/>
        <w:t xml:space="preserve">mod </w:t>
      </w:r>
      <w:hyperlink r:id="rId731" w:tooltip="Heavy Vehicle National Law (ACT) Act 2013" w:history="1">
        <w:r w:rsidRPr="0068043D">
          <w:rPr>
            <w:rStyle w:val="charCitHyperlinkAbbrev"/>
          </w:rPr>
          <w:t>A2013-51</w:t>
        </w:r>
      </w:hyperlink>
      <w:r>
        <w:t xml:space="preserve"> mod 1.27</w:t>
      </w:r>
      <w:r w:rsidR="006B1712">
        <w:t xml:space="preserve"> (mod om </w:t>
      </w:r>
      <w:hyperlink r:id="rId732" w:tooltip="Statute Law Amendment Act 2018" w:history="1">
        <w:r w:rsidR="006B1712">
          <w:rPr>
            <w:rStyle w:val="charCitHyperlinkAbbrev"/>
          </w:rPr>
          <w:t>A2018</w:t>
        </w:r>
        <w:r w:rsidR="006B1712">
          <w:rPr>
            <w:rStyle w:val="charCitHyperlinkAbbrev"/>
          </w:rPr>
          <w:noBreakHyphen/>
          <w:t>42</w:t>
        </w:r>
      </w:hyperlink>
      <w:r w:rsidR="006B1712">
        <w:t xml:space="preserve"> amdt 3.61)</w:t>
      </w:r>
    </w:p>
    <w:p w14:paraId="15211D7F" w14:textId="3D7E5242" w:rsidR="00E65DC1" w:rsidRPr="00577913" w:rsidRDefault="00FB0A49" w:rsidP="005E03F7">
      <w:pPr>
        <w:pStyle w:val="AmdtsEntries"/>
      </w:pPr>
      <w:r>
        <w:tab/>
        <w:t xml:space="preserve">am </w:t>
      </w:r>
      <w:hyperlink r:id="rId733" w:tooltip="Heavy Vehicle National Law Amendment Act 2015" w:history="1">
        <w:r w:rsidR="00BA6441">
          <w:rPr>
            <w:rStyle w:val="charCitHyperlinkAbbrev"/>
          </w:rPr>
          <w:t>A2015-12</w:t>
        </w:r>
      </w:hyperlink>
      <w:r w:rsidR="00BA6441">
        <w:t xml:space="preserve"> (Qld)</w:t>
      </w:r>
      <w:r>
        <w:t xml:space="preserve"> s 52</w:t>
      </w:r>
      <w:r w:rsidR="00E65DC1">
        <w:t xml:space="preserve">; </w:t>
      </w:r>
      <w:hyperlink r:id="rId734" w:tooltip="Heavy Vehicle National Law and Other Legislation Amendment Act 2018" w:history="1">
        <w:r w:rsidR="002401FA" w:rsidRPr="005E03F7">
          <w:rPr>
            <w:rStyle w:val="Hyperlink"/>
          </w:rPr>
          <w:t>A2018-10 (Qld)</w:t>
        </w:r>
      </w:hyperlink>
      <w:r w:rsidR="00E65DC1">
        <w:t xml:space="preserve"> s 28</w:t>
      </w:r>
      <w:r w:rsidR="009C4BA5">
        <w:t xml:space="preserve">; </w:t>
      </w:r>
      <w:hyperlink r:id="rId735" w:tooltip="Heavy Vehicle National Law and Other Legislation Amendment Act 2019" w:history="1">
        <w:r w:rsidR="009C4BA5" w:rsidRPr="00137BAE">
          <w:rPr>
            <w:rStyle w:val="charCitHyperlinkAbbrev"/>
          </w:rPr>
          <w:t>A2019-29</w:t>
        </w:r>
      </w:hyperlink>
      <w:r w:rsidR="009C4BA5">
        <w:t xml:space="preserve"> (Qld) s 25</w:t>
      </w:r>
    </w:p>
    <w:p w14:paraId="327560DD" w14:textId="77777777" w:rsidR="00872D89" w:rsidRDefault="006B1712" w:rsidP="00872D89">
      <w:pPr>
        <w:pStyle w:val="AmdtsEntryHd"/>
        <w:rPr>
          <w:rFonts w:ascii="Helvetica" w:hAnsi="Helvetica" w:cs="Helvetica"/>
          <w:iCs/>
        </w:rPr>
      </w:pPr>
      <w:r>
        <w:rPr>
          <w:rFonts w:ascii="Helvetica" w:hAnsi="Helvetica" w:cs="Helvetica"/>
          <w:iCs/>
        </w:rPr>
        <w:t>D</w:t>
      </w:r>
      <w:r w:rsidR="00872D89">
        <w:rPr>
          <w:rFonts w:ascii="Helvetica" w:hAnsi="Helvetica" w:cs="Helvetica"/>
          <w:iCs/>
        </w:rPr>
        <w:t>efective vehicle lab</w:t>
      </w:r>
      <w:r>
        <w:rPr>
          <w:rFonts w:ascii="Helvetica" w:hAnsi="Helvetica" w:cs="Helvetica"/>
          <w:iCs/>
        </w:rPr>
        <w:t>el</w:t>
      </w:r>
      <w:r w:rsidR="00872D89">
        <w:rPr>
          <w:rFonts w:ascii="Helvetica" w:hAnsi="Helvetica" w:cs="Helvetica"/>
          <w:iCs/>
        </w:rPr>
        <w:t>s</w:t>
      </w:r>
    </w:p>
    <w:p w14:paraId="5C11BBF3" w14:textId="3226892A" w:rsidR="00872D89" w:rsidRPr="00FB0A49" w:rsidRDefault="00872D89" w:rsidP="00872D89">
      <w:pPr>
        <w:pStyle w:val="AmdtsEntries"/>
      </w:pPr>
      <w:r>
        <w:t>s 528</w:t>
      </w:r>
      <w:r>
        <w:tab/>
        <w:t xml:space="preserve">am </w:t>
      </w:r>
      <w:hyperlink r:id="rId736" w:tooltip="Heavy Vehicle National Law Amendment Act 2015" w:history="1">
        <w:r w:rsidR="00BA6441">
          <w:rPr>
            <w:rStyle w:val="charCitHyperlinkAbbrev"/>
          </w:rPr>
          <w:t>A2015-12</w:t>
        </w:r>
      </w:hyperlink>
      <w:r w:rsidR="00BA6441">
        <w:t xml:space="preserve"> (Qld)</w:t>
      </w:r>
      <w:r>
        <w:t xml:space="preserve"> s 53</w:t>
      </w:r>
    </w:p>
    <w:p w14:paraId="2F6445ED" w14:textId="77777777" w:rsidR="00C73330" w:rsidRDefault="00C73330" w:rsidP="00C73330">
      <w:pPr>
        <w:pStyle w:val="AmdtsEntryHd"/>
        <w:rPr>
          <w:rFonts w:ascii="Helvetica" w:hAnsi="Helvetica" w:cs="Helvetica"/>
          <w:iCs/>
        </w:rPr>
      </w:pPr>
      <w:r>
        <w:rPr>
          <w:rFonts w:ascii="Helvetica" w:hAnsi="Helvetica" w:cs="Helvetica"/>
          <w:iCs/>
        </w:rPr>
        <w:t>Information not included in notice or label</w:t>
      </w:r>
    </w:p>
    <w:p w14:paraId="34DB571C" w14:textId="0B68EC46" w:rsidR="00C73330" w:rsidRPr="00FB0A49" w:rsidRDefault="00C73330" w:rsidP="00C73330">
      <w:pPr>
        <w:pStyle w:val="AmdtsEntries"/>
      </w:pPr>
      <w:r>
        <w:t>s 528A</w:t>
      </w:r>
      <w:r>
        <w:tab/>
        <w:t xml:space="preserve">ins </w:t>
      </w:r>
      <w:hyperlink r:id="rId737" w:tooltip="Heavy Vehicle National Law Amendment Act 2015" w:history="1">
        <w:r w:rsidR="00BA6441">
          <w:rPr>
            <w:rStyle w:val="charCitHyperlinkAbbrev"/>
          </w:rPr>
          <w:t>A2015-12</w:t>
        </w:r>
      </w:hyperlink>
      <w:r w:rsidR="00BA6441">
        <w:t xml:space="preserve"> (Qld)</w:t>
      </w:r>
      <w:r>
        <w:t xml:space="preserve"> s 54</w:t>
      </w:r>
    </w:p>
    <w:p w14:paraId="5DA9A7FC" w14:textId="77777777" w:rsidR="00A90E02" w:rsidRDefault="00A90E02" w:rsidP="00A90E02">
      <w:pPr>
        <w:pStyle w:val="AmdtsEntryHd"/>
        <w:rPr>
          <w:rFonts w:ascii="Helvetica" w:hAnsi="Helvetica" w:cs="Helvetica"/>
          <w:iCs/>
        </w:rPr>
      </w:pPr>
      <w:r w:rsidRPr="007E1F9A">
        <w:rPr>
          <w:rFonts w:ascii="Helvetica" w:hAnsi="Helvetica" w:cs="Helvetica"/>
          <w:iCs/>
        </w:rPr>
        <w:t>Using heavy vehicles contrary to vehicle defect notice</w:t>
      </w:r>
    </w:p>
    <w:p w14:paraId="509E4E14" w14:textId="533CEF01" w:rsidR="009C4BA5" w:rsidRDefault="009C4BA5" w:rsidP="00A90E02">
      <w:pPr>
        <w:pStyle w:val="AmdtsEntries"/>
      </w:pPr>
      <w:r>
        <w:t>s 529 hdg</w:t>
      </w:r>
      <w:r>
        <w:tab/>
        <w:t xml:space="preserve">am </w:t>
      </w:r>
      <w:hyperlink r:id="rId738" w:tooltip="Heavy Vehicle National Law and Other Legislation Amendment Act 2019" w:history="1">
        <w:r w:rsidR="00941358" w:rsidRPr="00137BAE">
          <w:rPr>
            <w:rStyle w:val="charCitHyperlinkAbbrev"/>
          </w:rPr>
          <w:t>A2019-29</w:t>
        </w:r>
      </w:hyperlink>
      <w:r>
        <w:t xml:space="preserve"> (Qld) s 26</w:t>
      </w:r>
    </w:p>
    <w:p w14:paraId="642645CE" w14:textId="045D6BF9" w:rsidR="00A90E02" w:rsidRDefault="00A90E02" w:rsidP="00A90E02">
      <w:pPr>
        <w:pStyle w:val="AmdtsEntries"/>
      </w:pPr>
      <w:r>
        <w:t>s 529</w:t>
      </w:r>
      <w:r>
        <w:tab/>
        <w:t xml:space="preserve">am </w:t>
      </w:r>
      <w:hyperlink r:id="rId739" w:tooltip="Heavy Vehicle National Law Amendment Act 2015" w:history="1">
        <w:r w:rsidR="00BA6441">
          <w:rPr>
            <w:rStyle w:val="charCitHyperlinkAbbrev"/>
          </w:rPr>
          <w:t>A2015-12</w:t>
        </w:r>
      </w:hyperlink>
      <w:r w:rsidR="00BA6441">
        <w:t xml:space="preserve"> (Qld)</w:t>
      </w:r>
      <w:r>
        <w:t xml:space="preserve"> s 67</w:t>
      </w:r>
      <w:r w:rsidR="00941358">
        <w:t xml:space="preserve">; </w:t>
      </w:r>
      <w:hyperlink r:id="rId740" w:tooltip="Heavy Vehicle National Law and Other Legislation Amendment Act 2019" w:history="1">
        <w:r w:rsidR="00941358" w:rsidRPr="00137BAE">
          <w:rPr>
            <w:rStyle w:val="charCitHyperlinkAbbrev"/>
          </w:rPr>
          <w:t>A2019-29</w:t>
        </w:r>
      </w:hyperlink>
      <w:r w:rsidR="00941358">
        <w:t xml:space="preserve"> (Qld) s 26</w:t>
      </w:r>
    </w:p>
    <w:p w14:paraId="2B50E94C" w14:textId="77777777" w:rsidR="00941358" w:rsidRDefault="00941358" w:rsidP="006511CC">
      <w:pPr>
        <w:pStyle w:val="AmdtsEntryHd"/>
        <w:rPr>
          <w:lang w:val="en"/>
        </w:rPr>
      </w:pPr>
      <w:r w:rsidRPr="00941358">
        <w:rPr>
          <w:lang w:val="en"/>
        </w:rPr>
        <w:t>Permission to use vehicle the subject of a self-clearing defect notice</w:t>
      </w:r>
    </w:p>
    <w:p w14:paraId="5A12CCF1" w14:textId="0F03E1D0" w:rsidR="00941358" w:rsidRPr="00941358" w:rsidRDefault="00941358" w:rsidP="00941358">
      <w:pPr>
        <w:pStyle w:val="AmdtsEntries"/>
        <w:rPr>
          <w:lang w:val="en"/>
        </w:rPr>
      </w:pPr>
      <w:r>
        <w:rPr>
          <w:lang w:val="en"/>
        </w:rPr>
        <w:t>s 529AA</w:t>
      </w:r>
      <w:r>
        <w:rPr>
          <w:lang w:val="en"/>
        </w:rPr>
        <w:tab/>
        <w:t xml:space="preserve">ins </w:t>
      </w:r>
      <w:hyperlink r:id="rId741" w:tooltip="Heavy Vehicle National Law and Other Legislation Amendment Act 2019" w:history="1">
        <w:r w:rsidRPr="00137BAE">
          <w:rPr>
            <w:rStyle w:val="charCitHyperlinkAbbrev"/>
          </w:rPr>
          <w:t>A2019-29</w:t>
        </w:r>
      </w:hyperlink>
      <w:r>
        <w:rPr>
          <w:lang w:val="en"/>
        </w:rPr>
        <w:t xml:space="preserve"> (Qld) s 27</w:t>
      </w:r>
    </w:p>
    <w:p w14:paraId="1E4D2C91" w14:textId="77777777" w:rsidR="006511CC" w:rsidRDefault="006511CC" w:rsidP="006511CC">
      <w:pPr>
        <w:pStyle w:val="AmdtsEntryHd"/>
        <w:rPr>
          <w:rFonts w:ascii="Helvetica" w:hAnsi="Helvetica" w:cs="Helvetica"/>
          <w:iCs/>
        </w:rPr>
      </w:pPr>
      <w:r>
        <w:rPr>
          <w:rFonts w:ascii="Helvetica" w:hAnsi="Helvetica" w:cs="Helvetica"/>
          <w:iCs/>
        </w:rPr>
        <w:t>Permission by authorised officer to use vehicle the subject of a vehicle defect notice</w:t>
      </w:r>
    </w:p>
    <w:p w14:paraId="11B3898D" w14:textId="22FA9E70" w:rsidR="006511CC" w:rsidRDefault="006511CC" w:rsidP="006511CC">
      <w:pPr>
        <w:pStyle w:val="AmdtsEntries"/>
      </w:pPr>
      <w:r>
        <w:t>s 529A</w:t>
      </w:r>
      <w:r>
        <w:tab/>
        <w:t xml:space="preserve">ins </w:t>
      </w:r>
      <w:hyperlink r:id="rId742" w:tooltip="Heavy Vehicle National Law Amendment Act 2015" w:history="1">
        <w:r w:rsidR="00BA6441">
          <w:rPr>
            <w:rStyle w:val="charCitHyperlinkAbbrev"/>
          </w:rPr>
          <w:t>A2015-12</w:t>
        </w:r>
      </w:hyperlink>
      <w:r w:rsidR="00BA6441">
        <w:t xml:space="preserve"> (Qld)</w:t>
      </w:r>
      <w:r>
        <w:t xml:space="preserve"> s 55</w:t>
      </w:r>
    </w:p>
    <w:p w14:paraId="2FB095A7" w14:textId="039CF92C" w:rsidR="00941358" w:rsidRDefault="00941358" w:rsidP="006511CC">
      <w:pPr>
        <w:pStyle w:val="AmdtsEntries"/>
      </w:pPr>
      <w:r>
        <w:tab/>
      </w:r>
      <w:r>
        <w:rPr>
          <w:lang w:val="en"/>
        </w:rPr>
        <w:t xml:space="preserve">sub </w:t>
      </w:r>
      <w:hyperlink r:id="rId743" w:tooltip="Heavy Vehicle National Law and Other Legislation Amendment Act 2019" w:history="1">
        <w:r w:rsidRPr="00137BAE">
          <w:rPr>
            <w:rStyle w:val="charCitHyperlinkAbbrev"/>
          </w:rPr>
          <w:t>A2019-29</w:t>
        </w:r>
      </w:hyperlink>
      <w:r>
        <w:rPr>
          <w:lang w:val="en"/>
        </w:rPr>
        <w:t xml:space="preserve"> (Qld) s 28</w:t>
      </w:r>
    </w:p>
    <w:p w14:paraId="246A00AF" w14:textId="77777777" w:rsidR="0070634E" w:rsidRDefault="0070634E" w:rsidP="0070634E">
      <w:pPr>
        <w:pStyle w:val="AmdtsEntryHd"/>
        <w:rPr>
          <w:rFonts w:ascii="Helvetica" w:hAnsi="Helvetica" w:cs="Helvetica"/>
          <w:iCs/>
        </w:rPr>
      </w:pPr>
      <w:r>
        <w:rPr>
          <w:rFonts w:ascii="Helvetica" w:hAnsi="Helvetica" w:cs="Helvetica"/>
          <w:iCs/>
        </w:rPr>
        <w:t xml:space="preserve">Permitted use of vehicle the subject of a </w:t>
      </w:r>
      <w:r w:rsidR="00E15744" w:rsidRPr="00E15744">
        <w:t>major or minor defect</w:t>
      </w:r>
      <w:r>
        <w:rPr>
          <w:rFonts w:ascii="Helvetica" w:hAnsi="Helvetica" w:cs="Helvetica"/>
          <w:iCs/>
        </w:rPr>
        <w:t xml:space="preserve"> notice without permission of authorised officer</w:t>
      </w:r>
    </w:p>
    <w:p w14:paraId="11A90B53" w14:textId="380FAF3A" w:rsidR="00E15744" w:rsidRDefault="00E15744" w:rsidP="0070634E">
      <w:pPr>
        <w:pStyle w:val="AmdtsEntries"/>
      </w:pPr>
      <w:r>
        <w:t>s 529B hdg</w:t>
      </w:r>
      <w:r>
        <w:tab/>
        <w:t xml:space="preserve">am </w:t>
      </w:r>
      <w:hyperlink r:id="rId744" w:tooltip="Heavy Vehicle National Law and Other Legislation Amendment Act 2019" w:history="1">
        <w:r w:rsidRPr="00137BAE">
          <w:rPr>
            <w:rStyle w:val="charCitHyperlinkAbbrev"/>
          </w:rPr>
          <w:t>A2019-29</w:t>
        </w:r>
      </w:hyperlink>
      <w:r>
        <w:t xml:space="preserve"> (Qld) s 29</w:t>
      </w:r>
    </w:p>
    <w:p w14:paraId="1D242926" w14:textId="4CC21E49" w:rsidR="0070634E" w:rsidRDefault="0070634E" w:rsidP="0070634E">
      <w:pPr>
        <w:pStyle w:val="AmdtsEntries"/>
      </w:pPr>
      <w:r>
        <w:lastRenderedPageBreak/>
        <w:t>s 529B</w:t>
      </w:r>
      <w:r>
        <w:tab/>
        <w:t xml:space="preserve">ins </w:t>
      </w:r>
      <w:hyperlink r:id="rId745" w:tooltip="Heavy Vehicle National Law Amendment Act 2015" w:history="1">
        <w:r w:rsidR="00BA6441">
          <w:rPr>
            <w:rStyle w:val="charCitHyperlinkAbbrev"/>
          </w:rPr>
          <w:t>A2015-12</w:t>
        </w:r>
      </w:hyperlink>
      <w:r w:rsidR="00BA6441">
        <w:t xml:space="preserve"> (Qld)</w:t>
      </w:r>
      <w:r>
        <w:t xml:space="preserve"> s 55</w:t>
      </w:r>
    </w:p>
    <w:p w14:paraId="0F4B60E9" w14:textId="4E10A4AB" w:rsidR="00E15744" w:rsidRPr="00FB0A49" w:rsidRDefault="00E15744" w:rsidP="0070634E">
      <w:pPr>
        <w:pStyle w:val="AmdtsEntries"/>
      </w:pPr>
      <w:r>
        <w:tab/>
        <w:t xml:space="preserve">am </w:t>
      </w:r>
      <w:hyperlink r:id="rId746" w:tooltip="Heavy Vehicle National Law and Other Legislation Amendment Act 2019" w:history="1">
        <w:r w:rsidRPr="00137BAE">
          <w:rPr>
            <w:rStyle w:val="charCitHyperlinkAbbrev"/>
          </w:rPr>
          <w:t>A2019-29</w:t>
        </w:r>
      </w:hyperlink>
      <w:r>
        <w:t xml:space="preserve"> (Qld) s 29</w:t>
      </w:r>
    </w:p>
    <w:p w14:paraId="59D196C5" w14:textId="77777777" w:rsidR="00E15744" w:rsidRPr="00E15744" w:rsidRDefault="00E15744" w:rsidP="00E15744">
      <w:pPr>
        <w:pStyle w:val="AmdtsEntryHd"/>
      </w:pPr>
      <w:r w:rsidRPr="00E15744">
        <w:rPr>
          <w:lang w:val="en"/>
        </w:rPr>
        <w:t xml:space="preserve">Clearance of </w:t>
      </w:r>
      <w:r>
        <w:rPr>
          <w:lang w:val="en"/>
        </w:rPr>
        <w:t>major or minor</w:t>
      </w:r>
      <w:r w:rsidRPr="00E15744">
        <w:rPr>
          <w:lang w:val="en"/>
        </w:rPr>
        <w:t xml:space="preserve"> defect notices</w:t>
      </w:r>
    </w:p>
    <w:p w14:paraId="5891F262" w14:textId="6F8A1F44" w:rsidR="00E15744" w:rsidRDefault="00E15744" w:rsidP="00E15744">
      <w:pPr>
        <w:pStyle w:val="AmdtsEntries"/>
      </w:pPr>
      <w:r>
        <w:t>s 530 hdg</w:t>
      </w:r>
      <w:r>
        <w:tab/>
        <w:t xml:space="preserve">am </w:t>
      </w:r>
      <w:hyperlink r:id="rId747" w:tooltip="Heavy Vehicle National Law and Other Legislation Amendment Act 2019" w:history="1">
        <w:r w:rsidRPr="00137BAE">
          <w:rPr>
            <w:rStyle w:val="charCitHyperlinkAbbrev"/>
          </w:rPr>
          <w:t>A2019-29</w:t>
        </w:r>
      </w:hyperlink>
      <w:r>
        <w:t xml:space="preserve"> (Qld) s 30</w:t>
      </w:r>
    </w:p>
    <w:p w14:paraId="720C8C3D" w14:textId="20DE6A2B" w:rsidR="00E15744" w:rsidRPr="00FB0A49" w:rsidRDefault="00E15744" w:rsidP="00E15744">
      <w:pPr>
        <w:pStyle w:val="AmdtsEntries"/>
      </w:pPr>
      <w:r>
        <w:t>s 530</w:t>
      </w:r>
      <w:r>
        <w:tab/>
        <w:t xml:space="preserve">am </w:t>
      </w:r>
      <w:hyperlink r:id="rId748" w:tooltip="Heavy Vehicle National Law and Other Legislation Amendment Act 2019" w:history="1">
        <w:r w:rsidRPr="00137BAE">
          <w:rPr>
            <w:rStyle w:val="charCitHyperlinkAbbrev"/>
          </w:rPr>
          <w:t>A2019-29</w:t>
        </w:r>
      </w:hyperlink>
      <w:r>
        <w:t xml:space="preserve"> (Qld) s 30</w:t>
      </w:r>
    </w:p>
    <w:p w14:paraId="666CFCEA" w14:textId="77777777" w:rsidR="009438C4" w:rsidRDefault="009438C4" w:rsidP="009438C4">
      <w:pPr>
        <w:pStyle w:val="AmdtsEntryHd"/>
        <w:rPr>
          <w:rFonts w:ascii="Helvetica" w:hAnsi="Helvetica" w:cs="Helvetica"/>
          <w:iCs/>
        </w:rPr>
      </w:pPr>
      <w:r>
        <w:rPr>
          <w:rFonts w:ascii="Helvetica" w:hAnsi="Helvetica" w:cs="Helvetica"/>
          <w:iCs/>
        </w:rPr>
        <w:t>Amendment or withdrawal of vehicle defect notices</w:t>
      </w:r>
    </w:p>
    <w:p w14:paraId="7E2F877A" w14:textId="0F9BADD8" w:rsidR="0070634E" w:rsidRPr="00FB0A49" w:rsidRDefault="009438C4" w:rsidP="006511CC">
      <w:pPr>
        <w:pStyle w:val="AmdtsEntries"/>
      </w:pPr>
      <w:r>
        <w:t>s 531</w:t>
      </w:r>
      <w:r>
        <w:tab/>
        <w:t xml:space="preserve">am </w:t>
      </w:r>
      <w:hyperlink r:id="rId749" w:tooltip="Heavy Vehicle National Law Amendment Act 2015" w:history="1">
        <w:r w:rsidR="00BA6441">
          <w:rPr>
            <w:rStyle w:val="charCitHyperlinkAbbrev"/>
          </w:rPr>
          <w:t>A2015-12</w:t>
        </w:r>
      </w:hyperlink>
      <w:r w:rsidR="00BA6441">
        <w:t xml:space="preserve"> (Qld)</w:t>
      </w:r>
      <w:r>
        <w:t xml:space="preserve"> s 56</w:t>
      </w:r>
    </w:p>
    <w:p w14:paraId="006D57CC" w14:textId="77777777" w:rsidR="007670CC" w:rsidRPr="007670CC" w:rsidRDefault="007670CC" w:rsidP="007670CC">
      <w:pPr>
        <w:pStyle w:val="AmdtsEntryHd"/>
      </w:pPr>
      <w:r w:rsidRPr="007670CC">
        <w:rPr>
          <w:lang w:val="en"/>
        </w:rPr>
        <w:t>Self-clearing defect notices</w:t>
      </w:r>
    </w:p>
    <w:p w14:paraId="7DCDE5FA" w14:textId="6268F01D" w:rsidR="007670CC" w:rsidRPr="001C5C1A" w:rsidRDefault="007670CC" w:rsidP="005E03F7">
      <w:pPr>
        <w:pStyle w:val="AmdtsEntries"/>
      </w:pPr>
      <w:r>
        <w:t>s 531A</w:t>
      </w:r>
      <w:r>
        <w:tab/>
        <w:t xml:space="preserve">ins </w:t>
      </w:r>
      <w:hyperlink r:id="rId750" w:tooltip="Heavy Vehicle National Law and Other Legislation Amendment Act 2016" w:history="1">
        <w:r w:rsidR="00590018" w:rsidRPr="005E03F7">
          <w:rPr>
            <w:rStyle w:val="Hyperlink"/>
          </w:rPr>
          <w:t>A2016-65 (Qld)</w:t>
        </w:r>
      </w:hyperlink>
      <w:r>
        <w:t xml:space="preserve"> s 134</w:t>
      </w:r>
    </w:p>
    <w:p w14:paraId="5EFCA2DA" w14:textId="6ED06EA9" w:rsidR="00C24C17" w:rsidRPr="00FB0A49" w:rsidRDefault="00C24C17" w:rsidP="00C24C17">
      <w:pPr>
        <w:pStyle w:val="AmdtsEntries"/>
      </w:pPr>
      <w:r>
        <w:tab/>
        <w:t xml:space="preserve">om </w:t>
      </w:r>
      <w:hyperlink r:id="rId751" w:tooltip="Heavy Vehicle National Law and Other Legislation Amendment Act 2019" w:history="1">
        <w:r w:rsidRPr="00137BAE">
          <w:rPr>
            <w:rStyle w:val="charCitHyperlinkAbbrev"/>
          </w:rPr>
          <w:t>A2019-29</w:t>
        </w:r>
      </w:hyperlink>
      <w:r>
        <w:t xml:space="preserve"> (Qld) s 31</w:t>
      </w:r>
    </w:p>
    <w:p w14:paraId="1D007451" w14:textId="77777777" w:rsidR="007670CC" w:rsidRPr="007670CC" w:rsidRDefault="007670CC" w:rsidP="007670CC">
      <w:pPr>
        <w:pStyle w:val="AmdtsEntryHd"/>
      </w:pPr>
      <w:r w:rsidRPr="007670CC">
        <w:rPr>
          <w:lang w:val="en"/>
        </w:rPr>
        <w:t>Requirements about self-clearing vehicle defect notice</w:t>
      </w:r>
    </w:p>
    <w:p w14:paraId="357B0937" w14:textId="4D323956" w:rsidR="007670CC" w:rsidRPr="001C5C1A" w:rsidRDefault="007670CC" w:rsidP="005E03F7">
      <w:pPr>
        <w:pStyle w:val="AmdtsEntries"/>
      </w:pPr>
      <w:r>
        <w:t>s 531B</w:t>
      </w:r>
      <w:r>
        <w:tab/>
        <w:t xml:space="preserve">ins </w:t>
      </w:r>
      <w:hyperlink r:id="rId752" w:tooltip="Heavy Vehicle National Law and Other Legislation Amendment Act 2016" w:history="1">
        <w:r w:rsidR="00590018" w:rsidRPr="005E03F7">
          <w:rPr>
            <w:rStyle w:val="Hyperlink"/>
          </w:rPr>
          <w:t>A2016-65 (Qld)</w:t>
        </w:r>
      </w:hyperlink>
      <w:r>
        <w:t xml:space="preserve"> s 134</w:t>
      </w:r>
    </w:p>
    <w:p w14:paraId="4C1D48E3" w14:textId="1ACE8078" w:rsidR="00C24C17" w:rsidRPr="00FB0A49" w:rsidRDefault="00C24C17" w:rsidP="00C24C17">
      <w:pPr>
        <w:pStyle w:val="AmdtsEntries"/>
      </w:pPr>
      <w:r>
        <w:tab/>
        <w:t xml:space="preserve">om </w:t>
      </w:r>
      <w:hyperlink r:id="rId753" w:tooltip="Heavy Vehicle National Law and Other Legislation Amendment Act 2019" w:history="1">
        <w:r w:rsidRPr="00137BAE">
          <w:rPr>
            <w:rStyle w:val="charCitHyperlinkAbbrev"/>
          </w:rPr>
          <w:t>A2019-29</w:t>
        </w:r>
      </w:hyperlink>
      <w:r>
        <w:t xml:space="preserve"> (Qld) s 31</w:t>
      </w:r>
    </w:p>
    <w:p w14:paraId="1A82185D" w14:textId="77777777" w:rsidR="00E65DC1" w:rsidRDefault="00E65DC1" w:rsidP="00816477">
      <w:pPr>
        <w:pStyle w:val="AmdtsEntryHd"/>
        <w:rPr>
          <w:lang w:eastAsia="en-AU"/>
        </w:rPr>
      </w:pPr>
      <w:r>
        <w:rPr>
          <w:lang w:eastAsia="en-AU"/>
        </w:rPr>
        <w:t>Seizure of number plates</w:t>
      </w:r>
    </w:p>
    <w:p w14:paraId="0BED70D8" w14:textId="7F234877" w:rsidR="00E65DC1" w:rsidRPr="00577913" w:rsidRDefault="00E65DC1" w:rsidP="005E03F7">
      <w:pPr>
        <w:pStyle w:val="AmdtsEntries"/>
      </w:pPr>
      <w:r>
        <w:t>s 551</w:t>
      </w:r>
      <w:r>
        <w:tab/>
        <w:t xml:space="preserve">am </w:t>
      </w:r>
      <w:hyperlink r:id="rId754" w:tooltip="Heavy Vehicle National Law and Other Legislation Amendment Act 2018" w:history="1">
        <w:r w:rsidR="002401FA" w:rsidRPr="005E03F7">
          <w:rPr>
            <w:rStyle w:val="Hyperlink"/>
          </w:rPr>
          <w:t>A2018-10 (Qld)</w:t>
        </w:r>
      </w:hyperlink>
      <w:r>
        <w:t xml:space="preserve"> s 29</w:t>
      </w:r>
    </w:p>
    <w:p w14:paraId="2F0EC5C4" w14:textId="77777777" w:rsidR="00CB17A0" w:rsidRDefault="00B51EC4" w:rsidP="00816477">
      <w:pPr>
        <w:pStyle w:val="AmdtsEntryHd"/>
        <w:rPr>
          <w:rFonts w:ascii="Helvetica" w:hAnsi="Helvetica" w:cs="Helvetica"/>
          <w:iCs/>
        </w:rPr>
      </w:pPr>
      <w:r w:rsidRPr="007E1F9A">
        <w:rPr>
          <w:rFonts w:ascii="Helvetica" w:hAnsi="Helvetica" w:cs="Helvetica"/>
          <w:iCs/>
        </w:rPr>
        <w:t>Return of seized things or samples</w:t>
      </w:r>
    </w:p>
    <w:p w14:paraId="64C5CBFD" w14:textId="07A00B60" w:rsidR="00B51EC4" w:rsidRPr="00B51EC4" w:rsidRDefault="00B51EC4" w:rsidP="005E03F7">
      <w:pPr>
        <w:pStyle w:val="AmdtsEntries"/>
      </w:pPr>
      <w:r>
        <w:t>s 556</w:t>
      </w:r>
      <w:r>
        <w:tab/>
      </w:r>
      <w:r w:rsidR="000C275F">
        <w:t>am</w:t>
      </w:r>
      <w:r>
        <w:t xml:space="preserve"> </w:t>
      </w:r>
      <w:hyperlink r:id="rId755" w:tooltip="Heavy Vehicle National Law and Other Legislation Amendment Act 2016" w:history="1">
        <w:r w:rsidR="00590018" w:rsidRPr="005E03F7">
          <w:rPr>
            <w:rStyle w:val="Hyperlink"/>
          </w:rPr>
          <w:t>A2016-65 (Qld)</w:t>
        </w:r>
      </w:hyperlink>
      <w:r>
        <w:t xml:space="preserve"> s 86</w:t>
      </w:r>
    </w:p>
    <w:p w14:paraId="132F964F" w14:textId="77777777" w:rsidR="00B51EC4" w:rsidRDefault="00B51EC4" w:rsidP="00B51EC4">
      <w:pPr>
        <w:pStyle w:val="AmdtsEntryHd"/>
        <w:rPr>
          <w:rFonts w:ascii="Helvetica" w:hAnsi="Helvetica" w:cs="Helvetica"/>
          <w:iCs/>
        </w:rPr>
      </w:pPr>
      <w:r w:rsidRPr="007E1F9A">
        <w:rPr>
          <w:rFonts w:ascii="Helvetica" w:hAnsi="Helvetica" w:cs="Helvetica"/>
          <w:iCs/>
        </w:rPr>
        <w:t>Power to issue embargo notice</w:t>
      </w:r>
    </w:p>
    <w:p w14:paraId="23A60FAB" w14:textId="21E10505" w:rsidR="00B51EC4" w:rsidRPr="00B51EC4" w:rsidRDefault="00B51EC4" w:rsidP="005E03F7">
      <w:pPr>
        <w:pStyle w:val="AmdtsEntries"/>
      </w:pPr>
      <w:r>
        <w:t>s 557</w:t>
      </w:r>
      <w:r>
        <w:tab/>
      </w:r>
      <w:r w:rsidR="000C275F">
        <w:t>am</w:t>
      </w:r>
      <w:r>
        <w:t xml:space="preserve"> </w:t>
      </w:r>
      <w:hyperlink r:id="rId756" w:tooltip="Heavy Vehicle National Law and Other Legislation Amendment Act 2016" w:history="1">
        <w:r w:rsidR="00590018" w:rsidRPr="005E03F7">
          <w:rPr>
            <w:rStyle w:val="Hyperlink"/>
          </w:rPr>
          <w:t>A2016-65 (Qld)</w:t>
        </w:r>
      </w:hyperlink>
      <w:r>
        <w:t xml:space="preserve"> s 87</w:t>
      </w:r>
    </w:p>
    <w:p w14:paraId="34B3EB17" w14:textId="77777777" w:rsidR="004A457B" w:rsidRDefault="00D529E9" w:rsidP="004A457B">
      <w:pPr>
        <w:pStyle w:val="AmdtsEntryHd"/>
        <w:rPr>
          <w:rFonts w:ascii="Helvetica" w:hAnsi="Helvetica" w:cs="Helvetica"/>
          <w:iCs/>
        </w:rPr>
      </w:pPr>
      <w:r>
        <w:rPr>
          <w:rFonts w:ascii="Helvetica" w:hAnsi="Helvetica" w:cs="Helvetica"/>
          <w:iCs/>
        </w:rPr>
        <w:t>Noncompliance with embargo notice</w:t>
      </w:r>
    </w:p>
    <w:p w14:paraId="754E8E45" w14:textId="508A4B8F" w:rsidR="004A457B" w:rsidRPr="00B51EC4" w:rsidRDefault="004A457B" w:rsidP="005E03F7">
      <w:pPr>
        <w:pStyle w:val="AmdtsEntries"/>
      </w:pPr>
      <w:r>
        <w:t>s 558</w:t>
      </w:r>
      <w:r>
        <w:tab/>
      </w:r>
      <w:r w:rsidR="000C275F">
        <w:t>am</w:t>
      </w:r>
      <w:r>
        <w:t xml:space="preserve"> </w:t>
      </w:r>
      <w:hyperlink r:id="rId757" w:tooltip="Heavy Vehicle National Law and Other Legislation Amendment Act 2016" w:history="1">
        <w:r w:rsidR="00590018" w:rsidRPr="005E03F7">
          <w:rPr>
            <w:rStyle w:val="Hyperlink"/>
          </w:rPr>
          <w:t>A2016-65 (Qld)</w:t>
        </w:r>
      </w:hyperlink>
      <w:r>
        <w:t xml:space="preserve"> s 88</w:t>
      </w:r>
    </w:p>
    <w:p w14:paraId="61B4E0C1" w14:textId="77777777" w:rsidR="005565DD" w:rsidRDefault="005565DD" w:rsidP="00816477">
      <w:pPr>
        <w:pStyle w:val="AmdtsEntryHd"/>
        <w:rPr>
          <w:lang w:eastAsia="en-AU"/>
        </w:rPr>
      </w:pPr>
      <w:r w:rsidRPr="009D47B1">
        <w:rPr>
          <w:lang w:eastAsia="en-AU"/>
        </w:rPr>
        <w:t>Power to require production of driver licence</w:t>
      </w:r>
    </w:p>
    <w:p w14:paraId="731F3755" w14:textId="6481965F" w:rsidR="005565DD" w:rsidRPr="005565DD" w:rsidRDefault="005565DD" w:rsidP="005565DD">
      <w:pPr>
        <w:pStyle w:val="AmdtsEntries"/>
        <w:rPr>
          <w:lang w:eastAsia="en-AU"/>
        </w:rPr>
      </w:pPr>
      <w:r>
        <w:rPr>
          <w:lang w:eastAsia="en-AU"/>
        </w:rPr>
        <w:t>s 567A</w:t>
      </w:r>
      <w:r>
        <w:rPr>
          <w:lang w:eastAsia="en-AU"/>
        </w:rPr>
        <w:tab/>
        <w:t xml:space="preserve">ins as mod </w:t>
      </w:r>
      <w:hyperlink r:id="rId758" w:tooltip="Heavy Vehicle National Law (ACT) Act 2013" w:history="1">
        <w:r w:rsidRPr="0068043D">
          <w:rPr>
            <w:rStyle w:val="charCitHyperlinkAbbrev"/>
          </w:rPr>
          <w:t>A2013-51</w:t>
        </w:r>
      </w:hyperlink>
      <w:r>
        <w:rPr>
          <w:lang w:eastAsia="en-AU"/>
        </w:rPr>
        <w:t xml:space="preserve"> mod 1.2</w:t>
      </w:r>
    </w:p>
    <w:p w14:paraId="0F9AB550" w14:textId="77777777" w:rsidR="005565DD" w:rsidRDefault="005565DD" w:rsidP="005565DD">
      <w:pPr>
        <w:pStyle w:val="AmdtsEntryHd"/>
        <w:rPr>
          <w:lang w:eastAsia="en-AU"/>
        </w:rPr>
      </w:pPr>
      <w:r w:rsidRPr="009D47B1">
        <w:t>Power to require people to disclose identity of driver</w:t>
      </w:r>
    </w:p>
    <w:p w14:paraId="3D2A743C" w14:textId="5A72AA27" w:rsidR="005565DD" w:rsidRPr="005565DD" w:rsidRDefault="005565DD" w:rsidP="005565DD">
      <w:pPr>
        <w:pStyle w:val="AmdtsEntries"/>
        <w:rPr>
          <w:lang w:eastAsia="en-AU"/>
        </w:rPr>
      </w:pPr>
      <w:r>
        <w:rPr>
          <w:lang w:eastAsia="en-AU"/>
        </w:rPr>
        <w:t>s 567B</w:t>
      </w:r>
      <w:r>
        <w:rPr>
          <w:lang w:eastAsia="en-AU"/>
        </w:rPr>
        <w:tab/>
        <w:t xml:space="preserve">ins as mod </w:t>
      </w:r>
      <w:hyperlink r:id="rId759" w:tooltip="Heavy Vehicle National Law (ACT) Act 2013" w:history="1">
        <w:r w:rsidRPr="0068043D">
          <w:rPr>
            <w:rStyle w:val="charCitHyperlinkAbbrev"/>
          </w:rPr>
          <w:t>A2013-51</w:t>
        </w:r>
      </w:hyperlink>
      <w:r>
        <w:rPr>
          <w:lang w:eastAsia="en-AU"/>
        </w:rPr>
        <w:t xml:space="preserve"> mod 1.2</w:t>
      </w:r>
    </w:p>
    <w:p w14:paraId="20BA0827" w14:textId="77777777" w:rsidR="006218C4" w:rsidRDefault="006218C4" w:rsidP="000A36E3">
      <w:pPr>
        <w:pStyle w:val="AmdtsEntryHd"/>
        <w:rPr>
          <w:rFonts w:ascii="Helvetica" w:hAnsi="Helvetica" w:cs="Helvetica"/>
          <w:iCs/>
        </w:rPr>
      </w:pPr>
      <w:r w:rsidRPr="007E1F9A">
        <w:rPr>
          <w:rFonts w:ascii="Helvetica" w:hAnsi="Helvetica" w:cs="Helvetica"/>
          <w:iCs/>
        </w:rPr>
        <w:t>Power to require production of document etc. required to be in driver’s possession</w:t>
      </w:r>
    </w:p>
    <w:p w14:paraId="1BD7784B" w14:textId="7BF68CBB" w:rsidR="006218C4" w:rsidRPr="006218C4" w:rsidRDefault="006218C4" w:rsidP="005E03F7">
      <w:pPr>
        <w:pStyle w:val="AmdtsEntries"/>
      </w:pPr>
      <w:r>
        <w:t>s 568</w:t>
      </w:r>
      <w:r>
        <w:tab/>
        <w:t xml:space="preserve">am </w:t>
      </w:r>
      <w:hyperlink r:id="rId760" w:tooltip="Heavy Vehicle National Law Amendment Act 2018" w:history="1">
        <w:r w:rsidR="00CB7A54" w:rsidRPr="005E03F7">
          <w:rPr>
            <w:rStyle w:val="Hyperlink"/>
          </w:rPr>
          <w:t>A2018-18 (Qld)</w:t>
        </w:r>
      </w:hyperlink>
      <w:r>
        <w:t xml:space="preserve"> s 21</w:t>
      </w:r>
    </w:p>
    <w:p w14:paraId="342E8A99" w14:textId="77777777" w:rsidR="000A36E3" w:rsidRDefault="000A36E3" w:rsidP="000A36E3">
      <w:pPr>
        <w:pStyle w:val="AmdtsEntryHd"/>
        <w:rPr>
          <w:lang w:eastAsia="en-AU"/>
        </w:rPr>
      </w:pPr>
      <w:r>
        <w:rPr>
          <w:lang w:eastAsia="en-AU"/>
        </w:rPr>
        <w:t>Power to require production of documents etc. generally</w:t>
      </w:r>
    </w:p>
    <w:p w14:paraId="7887CFA5" w14:textId="42A4728D" w:rsidR="000A36E3" w:rsidRPr="00577913" w:rsidRDefault="000A36E3" w:rsidP="005E03F7">
      <w:pPr>
        <w:pStyle w:val="AmdtsEntries"/>
      </w:pPr>
      <w:r>
        <w:t>s 569</w:t>
      </w:r>
      <w:r>
        <w:tab/>
        <w:t xml:space="preserve">am </w:t>
      </w:r>
      <w:hyperlink r:id="rId761" w:tooltip="Heavy Vehicle National Law and Other Legislation Amendment Act 2018" w:history="1">
        <w:r w:rsidR="002401FA" w:rsidRPr="005E03F7">
          <w:rPr>
            <w:rStyle w:val="Hyperlink"/>
          </w:rPr>
          <w:t>A2018-10 (Qld)</w:t>
        </w:r>
      </w:hyperlink>
      <w:r>
        <w:t xml:space="preserve"> s 30</w:t>
      </w:r>
      <w:r w:rsidR="004A457B">
        <w:t xml:space="preserve">; </w:t>
      </w:r>
      <w:hyperlink r:id="rId762" w:tooltip="Heavy Vehicle National Law and Other Legislation Amendment Act 2016" w:history="1">
        <w:r w:rsidR="00590018" w:rsidRPr="005E03F7">
          <w:rPr>
            <w:rStyle w:val="Hyperlink"/>
          </w:rPr>
          <w:t>A2016-65 (Qld)</w:t>
        </w:r>
      </w:hyperlink>
      <w:r w:rsidR="004A457B">
        <w:t xml:space="preserve"> s 89</w:t>
      </w:r>
      <w:r w:rsidR="00292C17">
        <w:t xml:space="preserve">; </w:t>
      </w:r>
      <w:hyperlink r:id="rId763" w:tooltip="Heavy Vehicle National Law Amendment Act 2018" w:history="1">
        <w:r w:rsidR="00CB7A54" w:rsidRPr="005E03F7">
          <w:rPr>
            <w:rStyle w:val="Hyperlink"/>
          </w:rPr>
          <w:t>A2018-18 (Qld)</w:t>
        </w:r>
      </w:hyperlink>
      <w:r w:rsidR="003A470B">
        <w:t xml:space="preserve"> s </w:t>
      </w:r>
      <w:r w:rsidR="00292C17">
        <w:t>22</w:t>
      </w:r>
    </w:p>
    <w:p w14:paraId="0D35D266" w14:textId="77777777" w:rsidR="004A457B" w:rsidRDefault="004A457B" w:rsidP="004A457B">
      <w:pPr>
        <w:pStyle w:val="AmdtsEntryHd"/>
        <w:rPr>
          <w:rFonts w:ascii="Helvetica" w:hAnsi="Helvetica" w:cs="Helvetica"/>
          <w:iCs/>
        </w:rPr>
      </w:pPr>
      <w:r w:rsidRPr="007E1F9A">
        <w:rPr>
          <w:rFonts w:ascii="Helvetica" w:hAnsi="Helvetica" w:cs="Helvetica"/>
          <w:iCs/>
        </w:rPr>
        <w:t>Power to require information about heavy vehicles</w:t>
      </w:r>
    </w:p>
    <w:p w14:paraId="64D5446E" w14:textId="4CE511FB" w:rsidR="004A457B" w:rsidRPr="00B51EC4" w:rsidRDefault="004A457B" w:rsidP="005E03F7">
      <w:pPr>
        <w:pStyle w:val="AmdtsEntries"/>
      </w:pPr>
      <w:r>
        <w:t>s 570</w:t>
      </w:r>
      <w:r>
        <w:tab/>
      </w:r>
      <w:r w:rsidR="000C275F">
        <w:t>am</w:t>
      </w:r>
      <w:r>
        <w:t xml:space="preserve"> </w:t>
      </w:r>
      <w:hyperlink r:id="rId764" w:tooltip="Heavy Vehicle National Law and Other Legislation Amendment Act 2016" w:history="1">
        <w:r w:rsidR="00590018" w:rsidRPr="005E03F7">
          <w:rPr>
            <w:rStyle w:val="Hyperlink"/>
          </w:rPr>
          <w:t>A2016-65 (Qld)</w:t>
        </w:r>
      </w:hyperlink>
      <w:r>
        <w:t xml:space="preserve"> s 90</w:t>
      </w:r>
      <w:r w:rsidR="00292C17">
        <w:t xml:space="preserve">; </w:t>
      </w:r>
      <w:hyperlink r:id="rId765" w:tooltip="Heavy Vehicle National Law Amendment Act 2018" w:history="1">
        <w:r w:rsidR="00CB7A54" w:rsidRPr="005E03F7">
          <w:rPr>
            <w:rStyle w:val="Hyperlink"/>
          </w:rPr>
          <w:t>A2018-18 (Qld)</w:t>
        </w:r>
      </w:hyperlink>
      <w:r w:rsidR="003A470B">
        <w:t xml:space="preserve"> s 23</w:t>
      </w:r>
    </w:p>
    <w:p w14:paraId="64AF24B3" w14:textId="77777777" w:rsidR="004A457B" w:rsidRPr="004A457B" w:rsidRDefault="004A457B" w:rsidP="007670CC">
      <w:pPr>
        <w:pStyle w:val="AmdtsEntryHd"/>
      </w:pPr>
      <w:r w:rsidRPr="004A457B">
        <w:rPr>
          <w:lang w:val="en"/>
        </w:rPr>
        <w:t>Requiring information</w:t>
      </w:r>
    </w:p>
    <w:p w14:paraId="2E1FC0B8" w14:textId="0AEFAF6A" w:rsidR="004A457B" w:rsidRDefault="004A457B" w:rsidP="005E03F7">
      <w:pPr>
        <w:pStyle w:val="AmdtsEntries"/>
      </w:pPr>
      <w:r>
        <w:rPr>
          <w:lang w:val="en"/>
        </w:rPr>
        <w:t>s 570A</w:t>
      </w:r>
      <w:r>
        <w:rPr>
          <w:lang w:val="en"/>
        </w:rPr>
        <w:tab/>
      </w:r>
      <w:r w:rsidR="000C275F">
        <w:t xml:space="preserve">ins </w:t>
      </w:r>
      <w:hyperlink r:id="rId766" w:tooltip="Heavy Vehicle National Law and Other Legislation Amendment Act 2016" w:history="1">
        <w:r w:rsidR="00590018" w:rsidRPr="005E03F7">
          <w:rPr>
            <w:rStyle w:val="Hyperlink"/>
          </w:rPr>
          <w:t>A2016-65 (Qld)</w:t>
        </w:r>
      </w:hyperlink>
      <w:r w:rsidR="000C275F">
        <w:t xml:space="preserve"> s 91</w:t>
      </w:r>
    </w:p>
    <w:p w14:paraId="13311695" w14:textId="28293832" w:rsidR="00292C17" w:rsidRPr="004A457B" w:rsidRDefault="00292C17" w:rsidP="005E03F7">
      <w:pPr>
        <w:pStyle w:val="AmdtsEntries"/>
        <w:rPr>
          <w:lang w:val="en"/>
        </w:rPr>
      </w:pPr>
      <w:r>
        <w:tab/>
        <w:t xml:space="preserve">am </w:t>
      </w:r>
      <w:hyperlink r:id="rId767" w:tooltip="Heavy Vehicle National Law Amendment Act 2018" w:history="1">
        <w:r w:rsidR="00CB7A54" w:rsidRPr="005E03F7">
          <w:rPr>
            <w:rStyle w:val="Hyperlink"/>
          </w:rPr>
          <w:t>A2018-18 (Qld)</w:t>
        </w:r>
      </w:hyperlink>
      <w:r>
        <w:t xml:space="preserve"> s 24</w:t>
      </w:r>
    </w:p>
    <w:p w14:paraId="5D3C0D65" w14:textId="77777777" w:rsidR="00292C17" w:rsidRPr="00292C17" w:rsidRDefault="00292C17" w:rsidP="000C275F">
      <w:pPr>
        <w:pStyle w:val="AmdtsEntryHd"/>
      </w:pPr>
      <w:r w:rsidRPr="00292C17">
        <w:rPr>
          <w:lang w:val="en"/>
        </w:rPr>
        <w:t>Prohibition notices</w:t>
      </w:r>
    </w:p>
    <w:p w14:paraId="63DACF87" w14:textId="505DA2F7" w:rsidR="00292C17" w:rsidRPr="00292C17" w:rsidRDefault="00292C17" w:rsidP="005E03F7">
      <w:pPr>
        <w:pStyle w:val="AmdtsEntries"/>
        <w:rPr>
          <w:lang w:val="en"/>
        </w:rPr>
      </w:pPr>
      <w:r>
        <w:rPr>
          <w:lang w:val="en"/>
        </w:rPr>
        <w:t>pt 9.4 div 5A hdg</w:t>
      </w:r>
      <w:r>
        <w:rPr>
          <w:lang w:val="en"/>
        </w:rPr>
        <w:tab/>
        <w:t xml:space="preserve">ins </w:t>
      </w:r>
      <w:hyperlink r:id="rId768" w:tooltip="Heavy Vehicle National Law Amendment Act 2018" w:history="1">
        <w:r w:rsidR="00CB7A54" w:rsidRPr="005E03F7">
          <w:rPr>
            <w:rStyle w:val="Hyperlink"/>
          </w:rPr>
          <w:t>A2018-18 (Qld)</w:t>
        </w:r>
      </w:hyperlink>
      <w:r>
        <w:t xml:space="preserve"> s 25</w:t>
      </w:r>
    </w:p>
    <w:p w14:paraId="5C586733" w14:textId="77777777" w:rsidR="00292C17" w:rsidRPr="00292C17" w:rsidRDefault="00292C17" w:rsidP="00292C17">
      <w:pPr>
        <w:pStyle w:val="AmdtsEntryHd"/>
      </w:pPr>
      <w:r w:rsidRPr="00292C17">
        <w:rPr>
          <w:lang w:val="en"/>
        </w:rPr>
        <w:lastRenderedPageBreak/>
        <w:t>Power to issue prohibition notice</w:t>
      </w:r>
    </w:p>
    <w:p w14:paraId="467C04B7" w14:textId="3341BE8A" w:rsidR="00292C17" w:rsidRPr="00292C17" w:rsidRDefault="00292C17" w:rsidP="005E03F7">
      <w:pPr>
        <w:pStyle w:val="AmdtsEntries"/>
        <w:rPr>
          <w:lang w:val="en"/>
        </w:rPr>
      </w:pPr>
      <w:r>
        <w:rPr>
          <w:lang w:val="en"/>
        </w:rPr>
        <w:t>s 576A</w:t>
      </w:r>
      <w:r>
        <w:rPr>
          <w:lang w:val="en"/>
        </w:rPr>
        <w:tab/>
        <w:t xml:space="preserve">ins </w:t>
      </w:r>
      <w:hyperlink r:id="rId769" w:tooltip="Heavy Vehicle National Law Amendment Act 2018" w:history="1">
        <w:r w:rsidR="00CB7A54" w:rsidRPr="005E03F7">
          <w:rPr>
            <w:rStyle w:val="Hyperlink"/>
          </w:rPr>
          <w:t>A2018-18 (Qld)</w:t>
        </w:r>
      </w:hyperlink>
      <w:r>
        <w:t xml:space="preserve"> s 25</w:t>
      </w:r>
    </w:p>
    <w:p w14:paraId="1ECDBD9E" w14:textId="77777777" w:rsidR="00292C17" w:rsidRPr="00292C17" w:rsidRDefault="00292C17" w:rsidP="00292C17">
      <w:pPr>
        <w:pStyle w:val="AmdtsEntryHd"/>
      </w:pPr>
      <w:r w:rsidRPr="00292C17">
        <w:rPr>
          <w:lang w:val="en"/>
        </w:rPr>
        <w:t>Contents of prohibition notice</w:t>
      </w:r>
    </w:p>
    <w:p w14:paraId="55F027C5" w14:textId="7C3781AE" w:rsidR="00292C17" w:rsidRPr="00292C17" w:rsidRDefault="00292C17" w:rsidP="005E03F7">
      <w:pPr>
        <w:pStyle w:val="AmdtsEntries"/>
        <w:rPr>
          <w:lang w:val="en"/>
        </w:rPr>
      </w:pPr>
      <w:r>
        <w:rPr>
          <w:lang w:val="en"/>
        </w:rPr>
        <w:t>s 576B</w:t>
      </w:r>
      <w:r>
        <w:rPr>
          <w:lang w:val="en"/>
        </w:rPr>
        <w:tab/>
        <w:t xml:space="preserve">ins </w:t>
      </w:r>
      <w:hyperlink r:id="rId770" w:tooltip="Heavy Vehicle National Law Amendment Act 2018" w:history="1">
        <w:r w:rsidR="00CB7A54" w:rsidRPr="005E03F7">
          <w:rPr>
            <w:rStyle w:val="Hyperlink"/>
          </w:rPr>
          <w:t>A2018-18 (Qld)</w:t>
        </w:r>
      </w:hyperlink>
      <w:r>
        <w:t xml:space="preserve"> s 25</w:t>
      </w:r>
    </w:p>
    <w:p w14:paraId="79329471" w14:textId="77777777" w:rsidR="00A65421" w:rsidRPr="00A65421" w:rsidRDefault="00A65421" w:rsidP="00A65421">
      <w:pPr>
        <w:pStyle w:val="AmdtsEntryHd"/>
      </w:pPr>
      <w:r w:rsidRPr="00A65421">
        <w:rPr>
          <w:lang w:val="en"/>
        </w:rPr>
        <w:t>Compliance with prohibition notice</w:t>
      </w:r>
    </w:p>
    <w:p w14:paraId="2475B820" w14:textId="7876F056" w:rsidR="00A65421" w:rsidRPr="00292C17" w:rsidRDefault="00A65421" w:rsidP="005E03F7">
      <w:pPr>
        <w:pStyle w:val="AmdtsEntries"/>
        <w:rPr>
          <w:lang w:val="en"/>
        </w:rPr>
      </w:pPr>
      <w:r>
        <w:rPr>
          <w:lang w:val="en"/>
        </w:rPr>
        <w:t>s 576C</w:t>
      </w:r>
      <w:r>
        <w:rPr>
          <w:lang w:val="en"/>
        </w:rPr>
        <w:tab/>
        <w:t xml:space="preserve">ins </w:t>
      </w:r>
      <w:hyperlink r:id="rId771" w:tooltip="Heavy Vehicle National Law Amendment Act 2018" w:history="1">
        <w:r w:rsidR="00CB7A54" w:rsidRPr="005E03F7">
          <w:rPr>
            <w:rStyle w:val="Hyperlink"/>
          </w:rPr>
          <w:t>A2018-18 (Qld)</w:t>
        </w:r>
      </w:hyperlink>
      <w:r>
        <w:t xml:space="preserve"> s 25</w:t>
      </w:r>
    </w:p>
    <w:p w14:paraId="53256DE1" w14:textId="77777777" w:rsidR="00A65421" w:rsidRPr="00A65421" w:rsidRDefault="00A65421" w:rsidP="00A65421">
      <w:pPr>
        <w:pStyle w:val="AmdtsEntryHd"/>
      </w:pPr>
      <w:r w:rsidRPr="00A65421">
        <w:rPr>
          <w:lang w:val="en"/>
        </w:rPr>
        <w:t>Injunctions</w:t>
      </w:r>
    </w:p>
    <w:p w14:paraId="5DF52ACD" w14:textId="05EF0476" w:rsidR="00A65421" w:rsidRPr="00292C17" w:rsidRDefault="00A65421" w:rsidP="005E03F7">
      <w:pPr>
        <w:pStyle w:val="AmdtsEntries"/>
        <w:rPr>
          <w:lang w:val="en"/>
        </w:rPr>
      </w:pPr>
      <w:r>
        <w:rPr>
          <w:lang w:val="en"/>
        </w:rPr>
        <w:t>pt 9.4 div 5B hdg</w:t>
      </w:r>
      <w:r>
        <w:rPr>
          <w:lang w:val="en"/>
        </w:rPr>
        <w:tab/>
        <w:t xml:space="preserve">ins </w:t>
      </w:r>
      <w:hyperlink r:id="rId772" w:tooltip="Heavy Vehicle National Law Amendment Act 2018" w:history="1">
        <w:r w:rsidR="00CB7A54" w:rsidRPr="005E03F7">
          <w:rPr>
            <w:rStyle w:val="Hyperlink"/>
          </w:rPr>
          <w:t>A2018-18 (Qld)</w:t>
        </w:r>
      </w:hyperlink>
      <w:r>
        <w:t xml:space="preserve"> s 25</w:t>
      </w:r>
    </w:p>
    <w:p w14:paraId="2177E10D" w14:textId="77777777" w:rsidR="00A65421" w:rsidRPr="00A65421" w:rsidRDefault="00A65421" w:rsidP="00A65421">
      <w:pPr>
        <w:pStyle w:val="AmdtsEntryHd"/>
      </w:pPr>
      <w:r w:rsidRPr="00A65421">
        <w:rPr>
          <w:lang w:val="en"/>
        </w:rPr>
        <w:t>Application of Div 5B</w:t>
      </w:r>
    </w:p>
    <w:p w14:paraId="0F017CC1" w14:textId="3D8AE807" w:rsidR="00A65421" w:rsidRPr="00292C17" w:rsidRDefault="00A65421" w:rsidP="005E03F7">
      <w:pPr>
        <w:pStyle w:val="AmdtsEntries"/>
        <w:rPr>
          <w:lang w:val="en"/>
        </w:rPr>
      </w:pPr>
      <w:r>
        <w:rPr>
          <w:lang w:val="en"/>
        </w:rPr>
        <w:t>s 576D</w:t>
      </w:r>
      <w:r>
        <w:rPr>
          <w:lang w:val="en"/>
        </w:rPr>
        <w:tab/>
        <w:t xml:space="preserve">ins </w:t>
      </w:r>
      <w:hyperlink r:id="rId773" w:tooltip="Heavy Vehicle National Law Amendment Act 2018" w:history="1">
        <w:r w:rsidR="00CB7A54" w:rsidRPr="005E03F7">
          <w:rPr>
            <w:rStyle w:val="Hyperlink"/>
          </w:rPr>
          <w:t>A2018-18 (Qld)</w:t>
        </w:r>
      </w:hyperlink>
      <w:r>
        <w:t xml:space="preserve"> s 25</w:t>
      </w:r>
    </w:p>
    <w:p w14:paraId="471BA119" w14:textId="77777777" w:rsidR="00CC3BB8" w:rsidRPr="00CC3BB8" w:rsidRDefault="00CC3BB8" w:rsidP="00CC3BB8">
      <w:pPr>
        <w:pStyle w:val="AmdtsEntryHd"/>
      </w:pPr>
      <w:r w:rsidRPr="00CC3BB8">
        <w:rPr>
          <w:lang w:val="en"/>
        </w:rPr>
        <w:t>Injunction for noncompliance with notice</w:t>
      </w:r>
    </w:p>
    <w:p w14:paraId="0A0023A3" w14:textId="14F4211F" w:rsidR="00CC3BB8" w:rsidRPr="00292C17" w:rsidRDefault="00CC3BB8" w:rsidP="005E03F7">
      <w:pPr>
        <w:pStyle w:val="AmdtsEntries"/>
        <w:rPr>
          <w:lang w:val="en"/>
        </w:rPr>
      </w:pPr>
      <w:r>
        <w:rPr>
          <w:lang w:val="en"/>
        </w:rPr>
        <w:t>s 576E</w:t>
      </w:r>
      <w:r>
        <w:rPr>
          <w:lang w:val="en"/>
        </w:rPr>
        <w:tab/>
        <w:t xml:space="preserve">ins </w:t>
      </w:r>
      <w:hyperlink r:id="rId774" w:tooltip="Heavy Vehicle National Law Amendment Act 2018" w:history="1">
        <w:r w:rsidR="00CB7A54" w:rsidRPr="005E03F7">
          <w:rPr>
            <w:rStyle w:val="Hyperlink"/>
          </w:rPr>
          <w:t>A2018-18 (Qld)</w:t>
        </w:r>
      </w:hyperlink>
      <w:r>
        <w:t xml:space="preserve"> s 25</w:t>
      </w:r>
    </w:p>
    <w:p w14:paraId="4263D8BD" w14:textId="77777777" w:rsidR="00CC3BB8" w:rsidRDefault="00CC3BB8" w:rsidP="000C275F">
      <w:pPr>
        <w:pStyle w:val="AmdtsEntryHd"/>
        <w:rPr>
          <w:rFonts w:ascii="Helvetica" w:hAnsi="Helvetica" w:cs="Helvetica"/>
          <w:iCs/>
        </w:rPr>
      </w:pPr>
      <w:r w:rsidRPr="007E1F9A">
        <w:rPr>
          <w:rFonts w:ascii="Helvetica" w:hAnsi="Helvetica" w:cs="Helvetica"/>
          <w:iCs/>
        </w:rPr>
        <w:t>Power to require reasonable help</w:t>
      </w:r>
    </w:p>
    <w:p w14:paraId="0B7EB12A" w14:textId="74A76E29" w:rsidR="00CC3BB8" w:rsidRPr="00CC3BB8" w:rsidRDefault="00CC3BB8" w:rsidP="005E03F7">
      <w:pPr>
        <w:pStyle w:val="AmdtsEntries"/>
      </w:pPr>
      <w:r>
        <w:t>s 577</w:t>
      </w:r>
      <w:r>
        <w:tab/>
      </w:r>
      <w:r w:rsidR="00BA1F33">
        <w:rPr>
          <w:lang w:val="en"/>
        </w:rPr>
        <w:t>am</w:t>
      </w:r>
      <w:r>
        <w:rPr>
          <w:lang w:val="en"/>
        </w:rPr>
        <w:t xml:space="preserve"> </w:t>
      </w:r>
      <w:hyperlink r:id="rId775" w:tooltip="Heavy Vehicle National Law Amendment Act 2018" w:history="1">
        <w:r w:rsidR="00CB7A54" w:rsidRPr="005E03F7">
          <w:rPr>
            <w:rStyle w:val="Hyperlink"/>
          </w:rPr>
          <w:t>A2018-18 (Qld)</w:t>
        </w:r>
      </w:hyperlink>
      <w:r w:rsidR="00BA1F33">
        <w:t xml:space="preserve"> s 26</w:t>
      </w:r>
    </w:p>
    <w:p w14:paraId="165F5E52" w14:textId="77777777" w:rsidR="000C275F" w:rsidRDefault="000C275F" w:rsidP="000C275F">
      <w:pPr>
        <w:pStyle w:val="AmdtsEntryHd"/>
        <w:rPr>
          <w:rFonts w:ascii="Helvetica" w:hAnsi="Helvetica" w:cs="Helvetica"/>
          <w:iCs/>
        </w:rPr>
      </w:pPr>
      <w:r w:rsidRPr="007E1F9A">
        <w:rPr>
          <w:rFonts w:ascii="Helvetica" w:hAnsi="Helvetica" w:cs="Helvetica"/>
          <w:iCs/>
        </w:rPr>
        <w:t>Duty to minimise inconvenience or damage</w:t>
      </w:r>
    </w:p>
    <w:p w14:paraId="63B21CE5" w14:textId="563A1B2C" w:rsidR="000C275F" w:rsidRPr="00B51EC4" w:rsidRDefault="000C275F" w:rsidP="005E03F7">
      <w:pPr>
        <w:pStyle w:val="AmdtsEntries"/>
      </w:pPr>
      <w:r>
        <w:t>s 578</w:t>
      </w:r>
      <w:r>
        <w:tab/>
        <w:t xml:space="preserve">am </w:t>
      </w:r>
      <w:hyperlink r:id="rId776" w:tooltip="Heavy Vehicle National Law and Other Legislation Amendment Act 2016" w:history="1">
        <w:r w:rsidR="00590018" w:rsidRPr="005E03F7">
          <w:rPr>
            <w:rStyle w:val="Hyperlink"/>
          </w:rPr>
          <w:t>A2016-65 (Qld)</w:t>
        </w:r>
      </w:hyperlink>
      <w:r>
        <w:t xml:space="preserve"> s 92</w:t>
      </w:r>
    </w:p>
    <w:p w14:paraId="430B645E" w14:textId="77777777" w:rsidR="000C275F" w:rsidRDefault="000C275F" w:rsidP="000C275F">
      <w:pPr>
        <w:pStyle w:val="AmdtsEntryHd"/>
        <w:rPr>
          <w:rFonts w:ascii="Helvetica" w:hAnsi="Helvetica" w:cs="Helvetica"/>
          <w:iCs/>
        </w:rPr>
      </w:pPr>
      <w:r w:rsidRPr="007E1F9A">
        <w:rPr>
          <w:rFonts w:ascii="Helvetica" w:hAnsi="Helvetica" w:cs="Helvetica"/>
          <w:iCs/>
        </w:rPr>
        <w:t>Restoring damaged thing</w:t>
      </w:r>
    </w:p>
    <w:p w14:paraId="2716488F" w14:textId="0E313FA1" w:rsidR="000C275F" w:rsidRPr="00B51EC4" w:rsidRDefault="000C275F" w:rsidP="005E03F7">
      <w:pPr>
        <w:pStyle w:val="AmdtsEntries"/>
      </w:pPr>
      <w:r>
        <w:t>s 579</w:t>
      </w:r>
      <w:r>
        <w:tab/>
        <w:t xml:space="preserve">am </w:t>
      </w:r>
      <w:hyperlink r:id="rId777" w:tooltip="Heavy Vehicle National Law and Other Legislation Amendment Act 2016" w:history="1">
        <w:r w:rsidR="00590018" w:rsidRPr="005E03F7">
          <w:rPr>
            <w:rStyle w:val="Hyperlink"/>
          </w:rPr>
          <w:t>A2016-65 (Qld)</w:t>
        </w:r>
      </w:hyperlink>
      <w:r>
        <w:t xml:space="preserve"> s 93</w:t>
      </w:r>
    </w:p>
    <w:p w14:paraId="1CEA6AB2" w14:textId="77777777" w:rsidR="007670CC" w:rsidRPr="007670CC" w:rsidRDefault="007670CC" w:rsidP="007670CC">
      <w:pPr>
        <w:pStyle w:val="AmdtsEntryHd"/>
      </w:pPr>
      <w:r w:rsidRPr="007E1F9A">
        <w:rPr>
          <w:rFonts w:ascii="Helvetica" w:hAnsi="Helvetica" w:cs="Helvetica"/>
          <w:iCs/>
        </w:rPr>
        <w:t>Multiple requirements</w:t>
      </w:r>
    </w:p>
    <w:p w14:paraId="680BF2D9" w14:textId="1262B266" w:rsidR="007670CC" w:rsidRPr="001C5C1A" w:rsidRDefault="007670CC" w:rsidP="005E03F7">
      <w:pPr>
        <w:pStyle w:val="AmdtsEntries"/>
      </w:pPr>
      <w:r>
        <w:t>s 586</w:t>
      </w:r>
      <w:r>
        <w:tab/>
      </w:r>
      <w:r w:rsidR="00F30A56">
        <w:t>am</w:t>
      </w:r>
      <w:r>
        <w:t xml:space="preserve"> </w:t>
      </w:r>
      <w:hyperlink r:id="rId778" w:tooltip="Heavy Vehicle National Law and Other Legislation Amendment Act 2016" w:history="1">
        <w:r w:rsidR="00590018" w:rsidRPr="005E03F7">
          <w:rPr>
            <w:rStyle w:val="Hyperlink"/>
          </w:rPr>
          <w:t>A2016-65 (Qld)</w:t>
        </w:r>
      </w:hyperlink>
      <w:r>
        <w:t xml:space="preserve"> s 135</w:t>
      </w:r>
    </w:p>
    <w:p w14:paraId="2D7053E9" w14:textId="77777777" w:rsidR="008413C4" w:rsidRDefault="008413C4" w:rsidP="008413C4">
      <w:pPr>
        <w:pStyle w:val="AmdtsEntryHd"/>
        <w:rPr>
          <w:rFonts w:ascii="Helvetica" w:hAnsi="Helvetica" w:cs="Helvetica"/>
          <w:iCs/>
        </w:rPr>
      </w:pPr>
      <w:r w:rsidRPr="007E1F9A">
        <w:rPr>
          <w:rFonts w:ascii="Helvetica" w:hAnsi="Helvetica" w:cs="Helvetica"/>
          <w:iCs/>
        </w:rPr>
        <w:t>Evidential immunity for individuals complying with particular requirements</w:t>
      </w:r>
    </w:p>
    <w:p w14:paraId="494FECC2" w14:textId="34EC547A" w:rsidR="008413C4" w:rsidRPr="00B51EC4" w:rsidRDefault="008413C4" w:rsidP="005E03F7">
      <w:pPr>
        <w:pStyle w:val="AmdtsEntries"/>
      </w:pPr>
      <w:r>
        <w:t>s 588</w:t>
      </w:r>
      <w:r>
        <w:tab/>
        <w:t xml:space="preserve">am </w:t>
      </w:r>
      <w:hyperlink r:id="rId779" w:tooltip="Heavy Vehicle National Law and Other Legislation Amendment Act 2016" w:history="1">
        <w:r w:rsidR="00590018" w:rsidRPr="005E03F7">
          <w:rPr>
            <w:rStyle w:val="Hyperlink"/>
          </w:rPr>
          <w:t>A2016-65 (Qld)</w:t>
        </w:r>
      </w:hyperlink>
      <w:r>
        <w:t xml:space="preserve"> s 94</w:t>
      </w:r>
      <w:r w:rsidR="00BA1F33">
        <w:t>;</w:t>
      </w:r>
      <w:r w:rsidR="00BA1F33">
        <w:rPr>
          <w:lang w:val="en"/>
        </w:rPr>
        <w:t xml:space="preserve"> </w:t>
      </w:r>
      <w:hyperlink r:id="rId780" w:tooltip="Heavy Vehicle National Law Amendment Act 2018" w:history="1">
        <w:r w:rsidR="00CB7A54" w:rsidRPr="005E03F7">
          <w:rPr>
            <w:rStyle w:val="Hyperlink"/>
          </w:rPr>
          <w:t>A2018-18 (Qld)</w:t>
        </w:r>
      </w:hyperlink>
      <w:r w:rsidR="00BA1F33">
        <w:t xml:space="preserve"> s 27</w:t>
      </w:r>
    </w:p>
    <w:p w14:paraId="1A3AA386" w14:textId="77777777" w:rsidR="008360DB" w:rsidRDefault="008360DB" w:rsidP="008360DB">
      <w:pPr>
        <w:pStyle w:val="AmdtsEntryHd"/>
        <w:rPr>
          <w:rFonts w:ascii="Helvetica" w:hAnsi="Helvetica" w:cs="Helvetica"/>
          <w:iCs/>
        </w:rPr>
      </w:pPr>
      <w:r>
        <w:rPr>
          <w:rFonts w:ascii="Helvetica" w:hAnsi="Helvetica" w:cs="Helvetica"/>
          <w:iCs/>
        </w:rPr>
        <w:t>Formal warning</w:t>
      </w:r>
    </w:p>
    <w:p w14:paraId="56A00560" w14:textId="4895BDD7" w:rsidR="008360DB" w:rsidRPr="009255F3" w:rsidRDefault="008360DB" w:rsidP="005E03F7">
      <w:pPr>
        <w:pStyle w:val="AmdtsEntries"/>
      </w:pPr>
      <w:r>
        <w:t>s 590</w:t>
      </w:r>
      <w:r>
        <w:tab/>
        <w:t xml:space="preserve">am </w:t>
      </w:r>
      <w:hyperlink r:id="rId781" w:tooltip="Heavy Vehicle National Law Amendment Act 2015" w:history="1">
        <w:r w:rsidR="00BA6441">
          <w:rPr>
            <w:rStyle w:val="charCitHyperlinkAbbrev"/>
          </w:rPr>
          <w:t>A2015-12</w:t>
        </w:r>
      </w:hyperlink>
      <w:r w:rsidR="00BA6441">
        <w:t xml:space="preserve"> (Qld)</w:t>
      </w:r>
      <w:r>
        <w:t xml:space="preserve"> s 57</w:t>
      </w:r>
      <w:r w:rsidR="008413C4">
        <w:t xml:space="preserve">; </w:t>
      </w:r>
      <w:hyperlink r:id="rId782" w:tooltip="Heavy Vehicle National Law and Other Legislation Amendment Act 2016" w:history="1">
        <w:r w:rsidR="00590018" w:rsidRPr="005E03F7">
          <w:rPr>
            <w:rStyle w:val="Hyperlink"/>
          </w:rPr>
          <w:t>A2016-65 (Qld)</w:t>
        </w:r>
      </w:hyperlink>
      <w:r w:rsidR="008413C4">
        <w:t xml:space="preserve"> s 95</w:t>
      </w:r>
    </w:p>
    <w:p w14:paraId="53FB0878" w14:textId="77777777" w:rsidR="008413C4" w:rsidRPr="008413C4" w:rsidRDefault="008413C4" w:rsidP="00137DF7">
      <w:pPr>
        <w:pStyle w:val="AmdtsEntryHd"/>
      </w:pPr>
      <w:r w:rsidRPr="008413C4">
        <w:rPr>
          <w:lang w:val="en"/>
        </w:rPr>
        <w:t>Enforceable undertakings</w:t>
      </w:r>
    </w:p>
    <w:p w14:paraId="6080C034" w14:textId="33A0CA61" w:rsidR="008413C4" w:rsidRPr="008413C4" w:rsidRDefault="008413C4" w:rsidP="005E03F7">
      <w:pPr>
        <w:pStyle w:val="AmdtsEntries"/>
        <w:rPr>
          <w:lang w:val="en"/>
        </w:rPr>
      </w:pPr>
      <w:r>
        <w:rPr>
          <w:lang w:val="en"/>
        </w:rPr>
        <w:t>pt 10.1A hdg</w:t>
      </w:r>
      <w:r>
        <w:rPr>
          <w:lang w:val="en"/>
        </w:rPr>
        <w:tab/>
        <w:t xml:space="preserve">ins </w:t>
      </w:r>
      <w:hyperlink r:id="rId783" w:tooltip="Heavy Vehicle National Law and Other Legislation Amendment Act 2016" w:history="1">
        <w:r w:rsidR="00590018" w:rsidRPr="005E03F7">
          <w:rPr>
            <w:rStyle w:val="Hyperlink"/>
          </w:rPr>
          <w:t>A2016-65 (Qld)</w:t>
        </w:r>
      </w:hyperlink>
      <w:r>
        <w:t xml:space="preserve"> s 96</w:t>
      </w:r>
    </w:p>
    <w:p w14:paraId="465A7836" w14:textId="77777777" w:rsidR="008413C4" w:rsidRPr="002767FB" w:rsidRDefault="002767FB" w:rsidP="008413C4">
      <w:pPr>
        <w:pStyle w:val="AmdtsEntryHd"/>
      </w:pPr>
      <w:r w:rsidRPr="002767FB">
        <w:rPr>
          <w:lang w:val="en"/>
        </w:rPr>
        <w:t>Accepting undertaking</w:t>
      </w:r>
    </w:p>
    <w:p w14:paraId="17C289FC" w14:textId="3A80CCF2" w:rsidR="008413C4" w:rsidRPr="008413C4" w:rsidRDefault="008413C4" w:rsidP="005E03F7">
      <w:pPr>
        <w:pStyle w:val="AmdtsEntries"/>
        <w:rPr>
          <w:lang w:val="en"/>
        </w:rPr>
      </w:pPr>
      <w:r>
        <w:rPr>
          <w:lang w:val="en"/>
        </w:rPr>
        <w:t>s 590A</w:t>
      </w:r>
      <w:r>
        <w:rPr>
          <w:lang w:val="en"/>
        </w:rPr>
        <w:tab/>
        <w:t xml:space="preserve">ins </w:t>
      </w:r>
      <w:hyperlink r:id="rId784" w:tooltip="Heavy Vehicle National Law and Other Legislation Amendment Act 2016" w:history="1">
        <w:r w:rsidR="00590018" w:rsidRPr="005E03F7">
          <w:rPr>
            <w:rStyle w:val="Hyperlink"/>
          </w:rPr>
          <w:t>A2016-65 (Qld)</w:t>
        </w:r>
      </w:hyperlink>
      <w:r>
        <w:t xml:space="preserve"> s 96</w:t>
      </w:r>
    </w:p>
    <w:p w14:paraId="1D343E46" w14:textId="77777777" w:rsidR="002767FB" w:rsidRPr="002767FB" w:rsidRDefault="002767FB" w:rsidP="002767FB">
      <w:pPr>
        <w:pStyle w:val="AmdtsEntryHd"/>
      </w:pPr>
      <w:r w:rsidRPr="002767FB">
        <w:rPr>
          <w:lang w:val="en"/>
        </w:rPr>
        <w:t>Effect of undertaking</w:t>
      </w:r>
    </w:p>
    <w:p w14:paraId="7845BFF8" w14:textId="7A43345B" w:rsidR="002767FB" w:rsidRPr="008413C4" w:rsidRDefault="002767FB" w:rsidP="005E03F7">
      <w:pPr>
        <w:pStyle w:val="AmdtsEntries"/>
        <w:rPr>
          <w:lang w:val="en"/>
        </w:rPr>
      </w:pPr>
      <w:r>
        <w:rPr>
          <w:lang w:val="en"/>
        </w:rPr>
        <w:t>s 590B</w:t>
      </w:r>
      <w:r>
        <w:rPr>
          <w:lang w:val="en"/>
        </w:rPr>
        <w:tab/>
        <w:t xml:space="preserve">ins </w:t>
      </w:r>
      <w:hyperlink r:id="rId785" w:tooltip="Heavy Vehicle National Law and Other Legislation Amendment Act 2016" w:history="1">
        <w:r w:rsidR="00590018" w:rsidRPr="005E03F7">
          <w:rPr>
            <w:rStyle w:val="Hyperlink"/>
          </w:rPr>
          <w:t>A2016-65 (Qld)</w:t>
        </w:r>
      </w:hyperlink>
      <w:r>
        <w:t xml:space="preserve"> s 96</w:t>
      </w:r>
    </w:p>
    <w:p w14:paraId="26E2844E" w14:textId="77777777" w:rsidR="002767FB" w:rsidRPr="002767FB" w:rsidRDefault="002767FB" w:rsidP="002767FB">
      <w:pPr>
        <w:pStyle w:val="AmdtsEntryHd"/>
      </w:pPr>
      <w:r w:rsidRPr="002767FB">
        <w:rPr>
          <w:lang w:val="en"/>
        </w:rPr>
        <w:t>Withdrawing or changing undertaking</w:t>
      </w:r>
    </w:p>
    <w:p w14:paraId="5AFA7DE0" w14:textId="7F3C7C18" w:rsidR="002767FB" w:rsidRPr="008413C4" w:rsidRDefault="002767FB" w:rsidP="005E03F7">
      <w:pPr>
        <w:pStyle w:val="AmdtsEntries"/>
        <w:rPr>
          <w:lang w:val="en"/>
        </w:rPr>
      </w:pPr>
      <w:r>
        <w:rPr>
          <w:lang w:val="en"/>
        </w:rPr>
        <w:t>s 590C</w:t>
      </w:r>
      <w:r>
        <w:rPr>
          <w:lang w:val="en"/>
        </w:rPr>
        <w:tab/>
        <w:t xml:space="preserve">ins </w:t>
      </w:r>
      <w:hyperlink r:id="rId786" w:tooltip="Heavy Vehicle National Law and Other Legislation Amendment Act 2016" w:history="1">
        <w:r w:rsidR="00590018" w:rsidRPr="005E03F7">
          <w:rPr>
            <w:rStyle w:val="Hyperlink"/>
          </w:rPr>
          <w:t>A2016-65 (Qld)</w:t>
        </w:r>
      </w:hyperlink>
      <w:r>
        <w:t xml:space="preserve"> s 96</w:t>
      </w:r>
    </w:p>
    <w:p w14:paraId="56BBD689" w14:textId="77777777" w:rsidR="002767FB" w:rsidRPr="002767FB" w:rsidRDefault="002767FB" w:rsidP="002767FB">
      <w:pPr>
        <w:pStyle w:val="AmdtsEntryHd"/>
      </w:pPr>
      <w:r w:rsidRPr="002767FB">
        <w:rPr>
          <w:lang w:val="en"/>
        </w:rPr>
        <w:t>Contravening undertaking</w:t>
      </w:r>
    </w:p>
    <w:p w14:paraId="7F222FA4" w14:textId="4E719A6E" w:rsidR="002767FB" w:rsidRPr="008413C4" w:rsidRDefault="002767FB" w:rsidP="005E03F7">
      <w:pPr>
        <w:pStyle w:val="AmdtsEntries"/>
        <w:rPr>
          <w:lang w:val="en"/>
        </w:rPr>
      </w:pPr>
      <w:r>
        <w:rPr>
          <w:lang w:val="en"/>
        </w:rPr>
        <w:t>s 590D</w:t>
      </w:r>
      <w:r>
        <w:rPr>
          <w:lang w:val="en"/>
        </w:rPr>
        <w:tab/>
        <w:t xml:space="preserve">ins </w:t>
      </w:r>
      <w:hyperlink r:id="rId787" w:tooltip="Heavy Vehicle National Law and Other Legislation Amendment Act 2016" w:history="1">
        <w:r w:rsidR="00590018" w:rsidRPr="005E03F7">
          <w:rPr>
            <w:rStyle w:val="Hyperlink"/>
          </w:rPr>
          <w:t>A2016-65 (Qld)</w:t>
        </w:r>
      </w:hyperlink>
      <w:r>
        <w:t xml:space="preserve"> s 96</w:t>
      </w:r>
    </w:p>
    <w:p w14:paraId="5D8A99AB" w14:textId="77777777" w:rsidR="002767FB" w:rsidRPr="002767FB" w:rsidRDefault="002767FB" w:rsidP="002767FB">
      <w:pPr>
        <w:pStyle w:val="AmdtsEntryHd"/>
      </w:pPr>
      <w:r w:rsidRPr="007E1F9A">
        <w:rPr>
          <w:rFonts w:ascii="Helvetica" w:hAnsi="Helvetica" w:cs="Helvetica"/>
          <w:iCs/>
        </w:rPr>
        <w:t>Recording information about infringement penalties</w:t>
      </w:r>
    </w:p>
    <w:p w14:paraId="29360EF6" w14:textId="773E5595" w:rsidR="002767FB" w:rsidRPr="008413C4" w:rsidRDefault="002767FB" w:rsidP="005E03F7">
      <w:pPr>
        <w:pStyle w:val="AmdtsEntries"/>
        <w:rPr>
          <w:lang w:val="en"/>
        </w:rPr>
      </w:pPr>
      <w:r>
        <w:rPr>
          <w:lang w:val="en"/>
        </w:rPr>
        <w:t>s 592</w:t>
      </w:r>
      <w:r>
        <w:rPr>
          <w:lang w:val="en"/>
        </w:rPr>
        <w:tab/>
        <w:t xml:space="preserve">am </w:t>
      </w:r>
      <w:hyperlink r:id="rId788" w:tooltip="Heavy Vehicle National Law and Other Legislation Amendment Act 2016" w:history="1">
        <w:r w:rsidR="00590018" w:rsidRPr="005E03F7">
          <w:rPr>
            <w:rStyle w:val="Hyperlink"/>
          </w:rPr>
          <w:t>A2016-65 (Qld)</w:t>
        </w:r>
      </w:hyperlink>
      <w:r>
        <w:t xml:space="preserve"> s 97</w:t>
      </w:r>
    </w:p>
    <w:p w14:paraId="19E8C50B" w14:textId="77777777" w:rsidR="007A5936" w:rsidRPr="007A5936" w:rsidRDefault="007A5936" w:rsidP="00137DF7">
      <w:pPr>
        <w:pStyle w:val="AmdtsEntryHd"/>
      </w:pPr>
      <w:r w:rsidRPr="007A5936">
        <w:rPr>
          <w:lang w:val="en"/>
        </w:rPr>
        <w:lastRenderedPageBreak/>
        <w:t>Injunctions</w:t>
      </w:r>
    </w:p>
    <w:p w14:paraId="11DBEA07" w14:textId="2D663D5A" w:rsidR="007A5936" w:rsidRPr="007A5936" w:rsidRDefault="007A5936" w:rsidP="005E03F7">
      <w:pPr>
        <w:pStyle w:val="AmdtsEntries"/>
        <w:rPr>
          <w:lang w:val="en"/>
        </w:rPr>
      </w:pPr>
      <w:r>
        <w:rPr>
          <w:lang w:val="en"/>
        </w:rPr>
        <w:t>pt 10.3 div 2A</w:t>
      </w:r>
      <w:r>
        <w:rPr>
          <w:lang w:val="en"/>
        </w:rPr>
        <w:tab/>
        <w:t xml:space="preserve">ins </w:t>
      </w:r>
      <w:hyperlink r:id="rId789" w:tooltip="Heavy Vehicle National Law Amendment Act 2018" w:history="1">
        <w:r w:rsidR="00CB7A54" w:rsidRPr="005E03F7">
          <w:rPr>
            <w:rStyle w:val="Hyperlink"/>
          </w:rPr>
          <w:t>A2018-18 (Qld)</w:t>
        </w:r>
      </w:hyperlink>
      <w:r>
        <w:t xml:space="preserve"> s 28</w:t>
      </w:r>
    </w:p>
    <w:p w14:paraId="3CADB668" w14:textId="77777777" w:rsidR="00CD0F07" w:rsidRPr="00CD0F07" w:rsidRDefault="00CD0F07" w:rsidP="00CD0F07">
      <w:pPr>
        <w:pStyle w:val="AmdtsEntryHd"/>
      </w:pPr>
      <w:r w:rsidRPr="00CD0F07">
        <w:rPr>
          <w:lang w:val="en"/>
        </w:rPr>
        <w:t>Injunctions</w:t>
      </w:r>
    </w:p>
    <w:p w14:paraId="6F3B7F88" w14:textId="464C61DD" w:rsidR="00CD0F07" w:rsidRPr="007A5936" w:rsidRDefault="00CD0F07" w:rsidP="005E03F7">
      <w:pPr>
        <w:pStyle w:val="AmdtsEntries"/>
        <w:rPr>
          <w:lang w:val="en"/>
        </w:rPr>
      </w:pPr>
      <w:r>
        <w:rPr>
          <w:lang w:val="en"/>
        </w:rPr>
        <w:t>s 596A</w:t>
      </w:r>
      <w:r>
        <w:rPr>
          <w:lang w:val="en"/>
        </w:rPr>
        <w:tab/>
        <w:t xml:space="preserve">ins </w:t>
      </w:r>
      <w:hyperlink r:id="rId790" w:tooltip="Heavy Vehicle National Law Amendment Act 2018" w:history="1">
        <w:r w:rsidR="00CB7A54" w:rsidRPr="005E03F7">
          <w:rPr>
            <w:rStyle w:val="Hyperlink"/>
          </w:rPr>
          <w:t>A2018-18 (Qld)</w:t>
        </w:r>
      </w:hyperlink>
      <w:r>
        <w:t xml:space="preserve"> s 28</w:t>
      </w:r>
    </w:p>
    <w:p w14:paraId="589876BF" w14:textId="77777777" w:rsidR="00137DF7" w:rsidRDefault="00137DF7" w:rsidP="00137DF7">
      <w:pPr>
        <w:pStyle w:val="AmdtsEntryHd"/>
        <w:rPr>
          <w:rFonts w:ascii="Helvetica" w:hAnsi="Helvetica" w:cs="Helvetica"/>
          <w:iCs/>
        </w:rPr>
      </w:pPr>
      <w:r w:rsidRPr="007E1F9A">
        <w:rPr>
          <w:rFonts w:ascii="Helvetica" w:hAnsi="Helvetica" w:cs="Helvetica"/>
          <w:iCs/>
        </w:rPr>
        <w:t>Power to cancel or suspend vehicle registration</w:t>
      </w:r>
    </w:p>
    <w:p w14:paraId="6C105E6B" w14:textId="415807BD" w:rsidR="00137DF7" w:rsidRDefault="00137DF7" w:rsidP="00137DF7">
      <w:pPr>
        <w:pStyle w:val="AmdtsEntries"/>
      </w:pPr>
      <w:r>
        <w:t>s 598</w:t>
      </w:r>
      <w:r>
        <w:tab/>
        <w:t xml:space="preserve">mod </w:t>
      </w:r>
      <w:hyperlink r:id="rId791" w:tooltip="Heavy Vehicle National Law (ACT) Act 2013" w:history="1">
        <w:r w:rsidRPr="0068043D">
          <w:rPr>
            <w:rStyle w:val="charCitHyperlinkAbbrev"/>
          </w:rPr>
          <w:t>A2013-51</w:t>
        </w:r>
      </w:hyperlink>
      <w:r>
        <w:t xml:space="preserve"> mod 1.28, mod 1.29</w:t>
      </w:r>
      <w:r w:rsidR="006B1712">
        <w:t xml:space="preserve"> (mod om </w:t>
      </w:r>
      <w:hyperlink r:id="rId792" w:tooltip="Statute Law Amendment Act 2018" w:history="1">
        <w:r w:rsidR="006B1712">
          <w:rPr>
            <w:rStyle w:val="charCitHyperlinkAbbrev"/>
          </w:rPr>
          <w:t>A2018</w:t>
        </w:r>
        <w:r w:rsidR="006B1712">
          <w:rPr>
            <w:rStyle w:val="charCitHyperlinkAbbrev"/>
          </w:rPr>
          <w:noBreakHyphen/>
          <w:t>42</w:t>
        </w:r>
      </w:hyperlink>
      <w:r w:rsidR="00436041">
        <w:t xml:space="preserve"> amdt </w:t>
      </w:r>
      <w:r w:rsidR="006B1712">
        <w:t>3.61)</w:t>
      </w:r>
    </w:p>
    <w:p w14:paraId="4B031154" w14:textId="692DB10E" w:rsidR="000107AD" w:rsidRPr="00577913" w:rsidRDefault="000107AD" w:rsidP="005E03F7">
      <w:pPr>
        <w:pStyle w:val="AmdtsEntries"/>
      </w:pPr>
      <w:r>
        <w:tab/>
        <w:t xml:space="preserve">am </w:t>
      </w:r>
      <w:hyperlink r:id="rId793" w:tooltip="Heavy Vehicle National Law and Other Legislation Amendment Act 2018" w:history="1">
        <w:r w:rsidR="007905AB" w:rsidRPr="005E03F7">
          <w:rPr>
            <w:rStyle w:val="Hyperlink"/>
          </w:rPr>
          <w:t>A2018-10 (Qld)</w:t>
        </w:r>
      </w:hyperlink>
      <w:r>
        <w:t xml:space="preserve"> s 31</w:t>
      </w:r>
    </w:p>
    <w:p w14:paraId="4FBC9111" w14:textId="77777777" w:rsidR="005565DD" w:rsidRDefault="005565DD" w:rsidP="00CB54A0">
      <w:pPr>
        <w:pStyle w:val="AmdtsEntryHd"/>
      </w:pPr>
      <w:r w:rsidRPr="009D47B1">
        <w:t>Cancelling, varying or suspending driver licences or disqualifying drivers</w:t>
      </w:r>
    </w:p>
    <w:p w14:paraId="101612F1" w14:textId="18EE464C" w:rsidR="005565DD" w:rsidRPr="005565DD" w:rsidRDefault="009255F3" w:rsidP="005565DD">
      <w:pPr>
        <w:pStyle w:val="AmdtsEntries"/>
      </w:pPr>
      <w:r>
        <w:t>Pt 10.3, D</w:t>
      </w:r>
      <w:r w:rsidR="005565DD">
        <w:t>iv 4A hdg</w:t>
      </w:r>
      <w:r w:rsidR="005565DD">
        <w:tab/>
        <w:t xml:space="preserve">ins as mod </w:t>
      </w:r>
      <w:hyperlink r:id="rId794" w:tooltip="Heavy Vehicle National Law (ACT) Act 2013" w:history="1">
        <w:r w:rsidR="005565DD" w:rsidRPr="0068043D">
          <w:rPr>
            <w:rStyle w:val="charCitHyperlinkAbbrev"/>
          </w:rPr>
          <w:t>A2013-51</w:t>
        </w:r>
      </w:hyperlink>
      <w:r w:rsidR="005565DD">
        <w:t xml:space="preserve"> mod 1.3</w:t>
      </w:r>
    </w:p>
    <w:p w14:paraId="39E17241" w14:textId="77777777" w:rsidR="005565DD" w:rsidRDefault="005565DD" w:rsidP="005565DD">
      <w:pPr>
        <w:pStyle w:val="AmdtsEntryHd"/>
      </w:pPr>
      <w:r w:rsidRPr="009D47B1">
        <w:t>Sanctions involving driver licences</w:t>
      </w:r>
    </w:p>
    <w:p w14:paraId="18E90520" w14:textId="080B8DC8" w:rsidR="005565DD" w:rsidRPr="005565DD" w:rsidRDefault="005565DD" w:rsidP="005565DD">
      <w:pPr>
        <w:pStyle w:val="AmdtsEntries"/>
      </w:pPr>
      <w:r>
        <w:t>s 598A</w:t>
      </w:r>
      <w:r>
        <w:tab/>
        <w:t xml:space="preserve">ins as mod </w:t>
      </w:r>
      <w:hyperlink r:id="rId795" w:tooltip="Heavy Vehicle National Law (ACT) Act 2013" w:history="1">
        <w:r w:rsidRPr="0068043D">
          <w:rPr>
            <w:rStyle w:val="charCitHyperlinkAbbrev"/>
          </w:rPr>
          <w:t>A2013-51</w:t>
        </w:r>
      </w:hyperlink>
      <w:r>
        <w:t xml:space="preserve"> mod 1.3</w:t>
      </w:r>
    </w:p>
    <w:p w14:paraId="3E766A7A" w14:textId="77777777" w:rsidR="002767FB" w:rsidRPr="002767FB" w:rsidRDefault="002767FB" w:rsidP="002767FB">
      <w:pPr>
        <w:pStyle w:val="AmdtsEntryHd"/>
      </w:pPr>
      <w:r w:rsidRPr="007E1F9A">
        <w:rPr>
          <w:rFonts w:ascii="Helvetica" w:hAnsi="Helvetica" w:cs="Helvetica"/>
          <w:iCs/>
        </w:rPr>
        <w:t>Court may make compensation order</w:t>
      </w:r>
    </w:p>
    <w:p w14:paraId="5FDF9998" w14:textId="3E4ADFAA" w:rsidR="002767FB" w:rsidRPr="008413C4" w:rsidRDefault="002767FB" w:rsidP="005E03F7">
      <w:pPr>
        <w:pStyle w:val="AmdtsEntries"/>
        <w:rPr>
          <w:lang w:val="en"/>
        </w:rPr>
      </w:pPr>
      <w:r>
        <w:rPr>
          <w:lang w:val="en"/>
        </w:rPr>
        <w:t>s 611</w:t>
      </w:r>
      <w:r>
        <w:rPr>
          <w:lang w:val="en"/>
        </w:rPr>
        <w:tab/>
        <w:t xml:space="preserve">am </w:t>
      </w:r>
      <w:hyperlink r:id="rId796" w:tooltip="Heavy Vehicle National Law and Other Legislation Amendment Act 2016" w:history="1">
        <w:r w:rsidR="00590018" w:rsidRPr="005E03F7">
          <w:rPr>
            <w:rStyle w:val="Hyperlink"/>
          </w:rPr>
          <w:t>A2016-65 (Qld)</w:t>
        </w:r>
      </w:hyperlink>
      <w:r>
        <w:t xml:space="preserve"> s 98</w:t>
      </w:r>
    </w:p>
    <w:p w14:paraId="20143CCE" w14:textId="77777777" w:rsidR="00731B93" w:rsidRDefault="00EB5052" w:rsidP="00731B93">
      <w:pPr>
        <w:pStyle w:val="AmdtsEntryHd"/>
        <w:rPr>
          <w:rStyle w:val="CharPartText"/>
          <w:rFonts w:ascii="Helvetica" w:hAnsi="Helvetica" w:cs="Helvetica"/>
          <w:iCs/>
          <w:szCs w:val="32"/>
        </w:rPr>
      </w:pPr>
      <w:r w:rsidRPr="00C203D9">
        <w:rPr>
          <w:rStyle w:val="CharDivText"/>
          <w:rFonts w:ascii="Helvetica" w:hAnsi="Helvetica" w:cs="Helvetica"/>
          <w:iCs/>
          <w:szCs w:val="28"/>
        </w:rPr>
        <w:t>Reasonable steps defence</w:t>
      </w:r>
    </w:p>
    <w:p w14:paraId="436D637B" w14:textId="59734477" w:rsidR="00731B93" w:rsidRPr="00731B93" w:rsidRDefault="00731B93" w:rsidP="005E03F7">
      <w:pPr>
        <w:pStyle w:val="AmdtsEntries"/>
      </w:pPr>
      <w:r>
        <w:t>pt 10.4 div 1 hdg</w:t>
      </w:r>
      <w:r>
        <w:tab/>
      </w:r>
      <w:r>
        <w:rPr>
          <w:lang w:val="en"/>
        </w:rPr>
        <w:t xml:space="preserve">om </w:t>
      </w:r>
      <w:hyperlink r:id="rId797" w:tooltip="Heavy Vehicle National Law and Other Legislation Amendment Act 2016" w:history="1">
        <w:r w:rsidR="00590018" w:rsidRPr="005E03F7">
          <w:rPr>
            <w:rStyle w:val="Hyperlink"/>
          </w:rPr>
          <w:t>A2016-65 (Qld)</w:t>
        </w:r>
      </w:hyperlink>
      <w:r>
        <w:t xml:space="preserve"> s 99</w:t>
      </w:r>
    </w:p>
    <w:p w14:paraId="568E4BCF" w14:textId="77777777" w:rsidR="00EB5052" w:rsidRDefault="00EB5052" w:rsidP="00EB5052">
      <w:pPr>
        <w:pStyle w:val="AmdtsEntryHd"/>
        <w:rPr>
          <w:rStyle w:val="CharPartText"/>
          <w:rFonts w:ascii="Helvetica" w:hAnsi="Helvetica" w:cs="Helvetica"/>
          <w:iCs/>
          <w:szCs w:val="32"/>
        </w:rPr>
      </w:pPr>
      <w:r w:rsidRPr="007E1F9A">
        <w:rPr>
          <w:rFonts w:ascii="Helvetica" w:hAnsi="Helvetica" w:cs="Helvetica"/>
          <w:iCs/>
        </w:rPr>
        <w:t>Reasonable steps defence</w:t>
      </w:r>
    </w:p>
    <w:p w14:paraId="2BFF3425" w14:textId="36165C8D" w:rsidR="00EB5052" w:rsidRPr="00731B93" w:rsidRDefault="00EB5052" w:rsidP="005E03F7">
      <w:pPr>
        <w:pStyle w:val="AmdtsEntries"/>
      </w:pPr>
      <w:r>
        <w:t>s 618</w:t>
      </w:r>
      <w:r>
        <w:tab/>
      </w:r>
      <w:r>
        <w:rPr>
          <w:lang w:val="en"/>
        </w:rPr>
        <w:t xml:space="preserve">om </w:t>
      </w:r>
      <w:hyperlink r:id="rId798" w:tooltip="Heavy Vehicle National Law and Other Legislation Amendment Act 2016" w:history="1">
        <w:r w:rsidR="00590018" w:rsidRPr="005E03F7">
          <w:rPr>
            <w:rStyle w:val="Hyperlink"/>
          </w:rPr>
          <w:t>A2016-65 (Qld)</w:t>
        </w:r>
      </w:hyperlink>
      <w:r>
        <w:t xml:space="preserve"> s 99</w:t>
      </w:r>
    </w:p>
    <w:p w14:paraId="78803127" w14:textId="77777777" w:rsidR="00DB075C" w:rsidRDefault="00DB075C" w:rsidP="00DB075C">
      <w:pPr>
        <w:pStyle w:val="AmdtsEntryHd"/>
        <w:rPr>
          <w:rStyle w:val="CharPartText"/>
          <w:rFonts w:ascii="Helvetica" w:hAnsi="Helvetica" w:cs="Helvetica"/>
          <w:iCs/>
          <w:szCs w:val="32"/>
        </w:rPr>
      </w:pPr>
      <w:r w:rsidRPr="00C203D9">
        <w:rPr>
          <w:rStyle w:val="CharDivText"/>
          <w:rFonts w:ascii="Helvetica" w:hAnsi="Helvetica" w:cs="Helvetica"/>
          <w:iCs/>
          <w:szCs w:val="28"/>
        </w:rPr>
        <w:t>Matters relating to reasonable steps</w:t>
      </w:r>
    </w:p>
    <w:p w14:paraId="68EA8A78" w14:textId="12E96677" w:rsidR="00DB075C" w:rsidRPr="00731B93" w:rsidRDefault="00DB075C" w:rsidP="005E03F7">
      <w:pPr>
        <w:pStyle w:val="AmdtsEntries"/>
      </w:pPr>
      <w:r>
        <w:t>pt 10.4 div 2 hdg</w:t>
      </w:r>
      <w:r>
        <w:tab/>
      </w:r>
      <w:r>
        <w:rPr>
          <w:lang w:val="en"/>
        </w:rPr>
        <w:t xml:space="preserve">om </w:t>
      </w:r>
      <w:hyperlink r:id="rId799" w:tooltip="Heavy Vehicle National Law and Other Legislation Amendment Act 2016" w:history="1">
        <w:r w:rsidR="00590018" w:rsidRPr="005E03F7">
          <w:rPr>
            <w:rStyle w:val="Hyperlink"/>
          </w:rPr>
          <w:t>A2016-65 (Qld)</w:t>
        </w:r>
      </w:hyperlink>
      <w:r>
        <w:t xml:space="preserve"> s 99</w:t>
      </w:r>
    </w:p>
    <w:p w14:paraId="08CF0D9E" w14:textId="77777777"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Application of Div 2</w:t>
      </w:r>
    </w:p>
    <w:p w14:paraId="0A4A08B8" w14:textId="1F0CA385" w:rsidR="00DB075C" w:rsidRPr="00731B93" w:rsidRDefault="00DB075C" w:rsidP="005E03F7">
      <w:pPr>
        <w:pStyle w:val="AmdtsEntries"/>
      </w:pPr>
      <w:r>
        <w:t>s 619</w:t>
      </w:r>
      <w:r>
        <w:tab/>
      </w:r>
      <w:r>
        <w:rPr>
          <w:lang w:val="en"/>
        </w:rPr>
        <w:t xml:space="preserve">om </w:t>
      </w:r>
      <w:hyperlink r:id="rId800" w:tooltip="Heavy Vehicle National Law and Other Legislation Amendment Act 2016" w:history="1">
        <w:r w:rsidR="00590018" w:rsidRPr="005E03F7">
          <w:rPr>
            <w:rStyle w:val="Hyperlink"/>
          </w:rPr>
          <w:t>A2016-65 (Qld)</w:t>
        </w:r>
      </w:hyperlink>
      <w:r>
        <w:t xml:space="preserve"> s 99</w:t>
      </w:r>
    </w:p>
    <w:p w14:paraId="553D35A9" w14:textId="77777777"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Matters court may consider for deciding whether person took all reasonable steps—mass, dimension or loading offences</w:t>
      </w:r>
    </w:p>
    <w:p w14:paraId="284084CA" w14:textId="42E9F950" w:rsidR="00DB075C" w:rsidRPr="00731B93" w:rsidRDefault="00DB075C" w:rsidP="005E03F7">
      <w:pPr>
        <w:pStyle w:val="AmdtsEntries"/>
      </w:pPr>
      <w:r>
        <w:t>s 620</w:t>
      </w:r>
      <w:r>
        <w:tab/>
      </w:r>
      <w:r>
        <w:rPr>
          <w:lang w:val="en"/>
        </w:rPr>
        <w:t xml:space="preserve">om </w:t>
      </w:r>
      <w:hyperlink r:id="rId801" w:tooltip="Heavy Vehicle National Law and Other Legislation Amendment Act 2016" w:history="1">
        <w:r w:rsidR="00590018" w:rsidRPr="005E03F7">
          <w:rPr>
            <w:rStyle w:val="Hyperlink"/>
          </w:rPr>
          <w:t>A2016-65 (Qld)</w:t>
        </w:r>
      </w:hyperlink>
      <w:r>
        <w:t xml:space="preserve"> s 99</w:t>
      </w:r>
    </w:p>
    <w:p w14:paraId="4E32FE8B" w14:textId="77777777"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Reliance on container weight declaration—offences about mass</w:t>
      </w:r>
    </w:p>
    <w:p w14:paraId="155BE713" w14:textId="250E3D4B" w:rsidR="00DB075C" w:rsidRPr="00731B93" w:rsidRDefault="00DB075C" w:rsidP="005E03F7">
      <w:pPr>
        <w:pStyle w:val="AmdtsEntries"/>
      </w:pPr>
      <w:r>
        <w:t>s 621</w:t>
      </w:r>
      <w:r>
        <w:tab/>
      </w:r>
      <w:r>
        <w:rPr>
          <w:lang w:val="en"/>
        </w:rPr>
        <w:t xml:space="preserve">om </w:t>
      </w:r>
      <w:hyperlink r:id="rId802" w:tooltip="Heavy Vehicle National Law and Other Legislation Amendment Act 2016" w:history="1">
        <w:r w:rsidR="00590018" w:rsidRPr="005E03F7">
          <w:rPr>
            <w:rStyle w:val="Hyperlink"/>
          </w:rPr>
          <w:t>A2016-65 (Qld)</w:t>
        </w:r>
      </w:hyperlink>
      <w:r>
        <w:t xml:space="preserve"> s 99</w:t>
      </w:r>
    </w:p>
    <w:p w14:paraId="01BC8FCF" w14:textId="77777777"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Matters court may consider for deciding whether person took all reasonable steps—speeding or fatigue management offences</w:t>
      </w:r>
    </w:p>
    <w:p w14:paraId="39E5ABC0" w14:textId="2E5227CF" w:rsidR="00DB075C" w:rsidRPr="00731B93" w:rsidRDefault="00DB075C" w:rsidP="005E03F7">
      <w:pPr>
        <w:pStyle w:val="AmdtsEntries"/>
      </w:pPr>
      <w:r>
        <w:t>s 622</w:t>
      </w:r>
      <w:r>
        <w:tab/>
      </w:r>
      <w:r>
        <w:rPr>
          <w:lang w:val="en"/>
        </w:rPr>
        <w:t xml:space="preserve">om </w:t>
      </w:r>
      <w:hyperlink r:id="rId803" w:tooltip="Heavy Vehicle National Law and Other Legislation Amendment Act 2016" w:history="1">
        <w:r w:rsidR="00D10E33" w:rsidRPr="005E03F7">
          <w:rPr>
            <w:rStyle w:val="Hyperlink"/>
          </w:rPr>
          <w:t>A2016-65 (Qld)</w:t>
        </w:r>
      </w:hyperlink>
      <w:r>
        <w:t xml:space="preserve"> s 99</w:t>
      </w:r>
    </w:p>
    <w:p w14:paraId="3AFABD65" w14:textId="77777777"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When particular persons regarded to have taken all reasonable steps—speeding or fatigue management offences</w:t>
      </w:r>
    </w:p>
    <w:p w14:paraId="4040919A" w14:textId="20CE0791" w:rsidR="00DB075C" w:rsidRPr="00731B93" w:rsidRDefault="00DB075C" w:rsidP="005E03F7">
      <w:pPr>
        <w:pStyle w:val="AmdtsEntries"/>
      </w:pPr>
      <w:r>
        <w:t>s 623</w:t>
      </w:r>
      <w:r>
        <w:tab/>
      </w:r>
      <w:r>
        <w:rPr>
          <w:lang w:val="en"/>
        </w:rPr>
        <w:t xml:space="preserve">om </w:t>
      </w:r>
      <w:hyperlink r:id="rId804" w:tooltip="Heavy Vehicle National Law and Other Legislation Amendment Act 2016" w:history="1">
        <w:r w:rsidR="00D10E33" w:rsidRPr="005E03F7">
          <w:rPr>
            <w:rStyle w:val="Hyperlink"/>
          </w:rPr>
          <w:t>A2016-65 (Qld)</w:t>
        </w:r>
      </w:hyperlink>
      <w:r>
        <w:t xml:space="preserve"> s 99</w:t>
      </w:r>
    </w:p>
    <w:p w14:paraId="081E867C" w14:textId="77777777"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Regulation for s 623</w:t>
      </w:r>
    </w:p>
    <w:p w14:paraId="1619E5BE" w14:textId="1B051793" w:rsidR="00DB075C" w:rsidRPr="00731B93" w:rsidRDefault="00DB075C" w:rsidP="005E03F7">
      <w:pPr>
        <w:pStyle w:val="AmdtsEntries"/>
      </w:pPr>
      <w:r>
        <w:t>s 624</w:t>
      </w:r>
      <w:r>
        <w:tab/>
      </w:r>
      <w:r>
        <w:rPr>
          <w:lang w:val="en"/>
        </w:rPr>
        <w:t xml:space="preserve">om </w:t>
      </w:r>
      <w:hyperlink r:id="rId805" w:tooltip="Heavy Vehicle National Law and Other Legislation Amendment Act 2016" w:history="1">
        <w:r w:rsidR="00D10E33" w:rsidRPr="005E03F7">
          <w:rPr>
            <w:rStyle w:val="Hyperlink"/>
          </w:rPr>
          <w:t>A2016-65 (Qld)</w:t>
        </w:r>
      </w:hyperlink>
      <w:r>
        <w:t xml:space="preserve"> s 99</w:t>
      </w:r>
    </w:p>
    <w:p w14:paraId="7A8F6151" w14:textId="77777777"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Proof of compliance with registered industry code of practice</w:t>
      </w:r>
    </w:p>
    <w:p w14:paraId="69956293" w14:textId="2D662A56" w:rsidR="00DB075C" w:rsidRPr="00731B93" w:rsidRDefault="00DB075C" w:rsidP="005E03F7">
      <w:pPr>
        <w:pStyle w:val="AmdtsEntries"/>
      </w:pPr>
      <w:r>
        <w:t>s 625</w:t>
      </w:r>
      <w:r>
        <w:tab/>
      </w:r>
      <w:r>
        <w:rPr>
          <w:lang w:val="en"/>
        </w:rPr>
        <w:t xml:space="preserve">om </w:t>
      </w:r>
      <w:hyperlink r:id="rId806" w:tooltip="Heavy Vehicle National Law and Other Legislation Amendment Act 2016" w:history="1">
        <w:r w:rsidR="00D10E33" w:rsidRPr="005E03F7">
          <w:rPr>
            <w:rStyle w:val="Hyperlink"/>
          </w:rPr>
          <w:t>A2016-65 (Qld)</w:t>
        </w:r>
      </w:hyperlink>
      <w:r>
        <w:t xml:space="preserve"> s 99</w:t>
      </w:r>
    </w:p>
    <w:p w14:paraId="22F38EE0" w14:textId="77777777" w:rsidR="00F86D7A" w:rsidRDefault="00F86D7A" w:rsidP="00816477">
      <w:pPr>
        <w:pStyle w:val="AmdtsEntryHd"/>
        <w:rPr>
          <w:spacing w:val="-2"/>
        </w:rPr>
      </w:pPr>
      <w:r>
        <w:rPr>
          <w:spacing w:val="-2"/>
        </w:rPr>
        <w:lastRenderedPageBreak/>
        <w:t>Defences</w:t>
      </w:r>
    </w:p>
    <w:p w14:paraId="74BCE94F" w14:textId="4372E71B" w:rsidR="00F86D7A" w:rsidRPr="00F86D7A" w:rsidRDefault="00F86D7A" w:rsidP="005E03F7">
      <w:pPr>
        <w:pStyle w:val="AmdtsEntries"/>
      </w:pPr>
      <w:r>
        <w:t>pt 10.4 div 3 hdg</w:t>
      </w:r>
      <w:r>
        <w:tab/>
      </w:r>
      <w:r>
        <w:rPr>
          <w:lang w:val="en"/>
        </w:rPr>
        <w:t xml:space="preserve">sub </w:t>
      </w:r>
      <w:hyperlink r:id="rId807" w:tooltip="Heavy Vehicle National Law and Other Legislation Amendment Act 2016" w:history="1">
        <w:r w:rsidR="00D10E33" w:rsidRPr="005E03F7">
          <w:rPr>
            <w:rStyle w:val="Hyperlink"/>
          </w:rPr>
          <w:t>A2016-65 (Qld)</w:t>
        </w:r>
      </w:hyperlink>
      <w:r>
        <w:t xml:space="preserve"> s 100</w:t>
      </w:r>
    </w:p>
    <w:p w14:paraId="0E4F75E9" w14:textId="77777777" w:rsidR="00F86D7A" w:rsidRPr="00F86D7A" w:rsidRDefault="00F86D7A" w:rsidP="00816477">
      <w:pPr>
        <w:pStyle w:val="AmdtsEntryHd"/>
      </w:pPr>
      <w:r w:rsidRPr="00F86D7A">
        <w:rPr>
          <w:lang w:val="en"/>
        </w:rPr>
        <w:t>Using code of practice in proceeding</w:t>
      </w:r>
    </w:p>
    <w:p w14:paraId="196B2903" w14:textId="2A18C3B0" w:rsidR="00F86D7A" w:rsidRPr="00F86D7A" w:rsidRDefault="00F86D7A" w:rsidP="005E03F7">
      <w:pPr>
        <w:pStyle w:val="AmdtsEntries"/>
        <w:rPr>
          <w:lang w:val="en"/>
        </w:rPr>
      </w:pPr>
      <w:r>
        <w:rPr>
          <w:lang w:val="en"/>
        </w:rPr>
        <w:t>s 632A</w:t>
      </w:r>
      <w:r>
        <w:rPr>
          <w:lang w:val="en"/>
        </w:rPr>
        <w:tab/>
        <w:t xml:space="preserve">ins </w:t>
      </w:r>
      <w:hyperlink r:id="rId808" w:tooltip="Heavy Vehicle National Law and Other Legislation Amendment Act 2016" w:history="1">
        <w:r w:rsidR="00D10E33" w:rsidRPr="005E03F7">
          <w:rPr>
            <w:rStyle w:val="Hyperlink"/>
          </w:rPr>
          <w:t>A2016-65 (Qld)</w:t>
        </w:r>
      </w:hyperlink>
      <w:r>
        <w:t xml:space="preserve"> s 101</w:t>
      </w:r>
    </w:p>
    <w:p w14:paraId="3F1128DD" w14:textId="77777777" w:rsidR="00F86D7A" w:rsidRPr="00F86D7A" w:rsidRDefault="00F86D7A" w:rsidP="00F86D7A">
      <w:pPr>
        <w:pStyle w:val="AmdtsEntryHd"/>
      </w:pPr>
      <w:r w:rsidRPr="007E1F9A">
        <w:rPr>
          <w:rFonts w:ascii="Helvetica" w:hAnsi="Helvetica" w:cs="Helvetica"/>
          <w:iCs/>
        </w:rPr>
        <w:t>Multiple offences</w:t>
      </w:r>
    </w:p>
    <w:p w14:paraId="105978C9" w14:textId="199F5E21" w:rsidR="00F86D7A" w:rsidRPr="00F166AA" w:rsidRDefault="00F86D7A" w:rsidP="005E03F7">
      <w:pPr>
        <w:pStyle w:val="AmdtsEntries"/>
      </w:pPr>
      <w:r>
        <w:rPr>
          <w:lang w:val="en"/>
        </w:rPr>
        <w:t>s 634</w:t>
      </w:r>
      <w:r>
        <w:rPr>
          <w:lang w:val="en"/>
        </w:rPr>
        <w:tab/>
        <w:t xml:space="preserve">am </w:t>
      </w:r>
      <w:hyperlink r:id="rId809" w:tooltip="Heavy Vehicle National Law and Other Legislation Amendment Act 2016" w:history="1">
        <w:r w:rsidR="00D10E33" w:rsidRPr="005E03F7">
          <w:rPr>
            <w:rStyle w:val="Hyperlink"/>
          </w:rPr>
          <w:t>A2016-65 (Qld)</w:t>
        </w:r>
      </w:hyperlink>
      <w:r>
        <w:t xml:space="preserve"> s 102</w:t>
      </w:r>
      <w:r w:rsidR="00F166AA">
        <w:t xml:space="preserve">; </w:t>
      </w:r>
      <w:hyperlink r:id="rId810" w:tooltip="Heavy Vehicle National Law Amendment Act 2018" w:history="1">
        <w:r w:rsidR="00CB7A54" w:rsidRPr="005E03F7">
          <w:rPr>
            <w:rStyle w:val="Hyperlink"/>
          </w:rPr>
          <w:t>A2018-18 (Qld)</w:t>
        </w:r>
      </w:hyperlink>
      <w:r w:rsidR="00F166AA">
        <w:t xml:space="preserve"> sch 1</w:t>
      </w:r>
    </w:p>
    <w:p w14:paraId="537B69F8" w14:textId="77777777" w:rsidR="00F86D7A" w:rsidRPr="00F86D7A" w:rsidRDefault="00A77BC5" w:rsidP="00F86D7A">
      <w:pPr>
        <w:pStyle w:val="AmdtsEntryHd"/>
      </w:pPr>
      <w:r w:rsidRPr="007E1F9A">
        <w:rPr>
          <w:rFonts w:ascii="Helvetica" w:hAnsi="Helvetica" w:cs="Helvetica"/>
          <w:iCs/>
        </w:rPr>
        <w:t>Liability of executive officers of corporation</w:t>
      </w:r>
    </w:p>
    <w:p w14:paraId="409D3CB7" w14:textId="7797E562" w:rsidR="00F86D7A" w:rsidRPr="00F86D7A" w:rsidRDefault="00F86D7A" w:rsidP="005E03F7">
      <w:pPr>
        <w:pStyle w:val="AmdtsEntries"/>
        <w:rPr>
          <w:lang w:val="en"/>
        </w:rPr>
      </w:pPr>
      <w:r>
        <w:rPr>
          <w:lang w:val="en"/>
        </w:rPr>
        <w:t>s 636</w:t>
      </w:r>
      <w:r>
        <w:rPr>
          <w:lang w:val="en"/>
        </w:rPr>
        <w:tab/>
        <w:t xml:space="preserve">am </w:t>
      </w:r>
      <w:hyperlink r:id="rId811" w:tooltip="Heavy Vehicle National Law and Other Legislation Amendment Act 2016" w:history="1">
        <w:r w:rsidR="00D10E33" w:rsidRPr="005E03F7">
          <w:rPr>
            <w:rStyle w:val="Hyperlink"/>
          </w:rPr>
          <w:t>A2016-65 (Qld)</w:t>
        </w:r>
      </w:hyperlink>
      <w:r>
        <w:t xml:space="preserve"> s 103</w:t>
      </w:r>
      <w:r w:rsidR="00F739C5">
        <w:t xml:space="preserve">; </w:t>
      </w:r>
      <w:hyperlink r:id="rId812" w:tooltip="Heavy Vehicle National Law and Other Legislation Amendment Act 2018" w:history="1">
        <w:r w:rsidR="007905AB" w:rsidRPr="005E03F7">
          <w:rPr>
            <w:rStyle w:val="Hyperlink"/>
          </w:rPr>
          <w:t>A2018-10 (Qld)</w:t>
        </w:r>
      </w:hyperlink>
      <w:r w:rsidR="00F739C5">
        <w:t xml:space="preserve"> s 32</w:t>
      </w:r>
    </w:p>
    <w:p w14:paraId="6B2F085A" w14:textId="77777777" w:rsidR="00724A11" w:rsidRPr="00F86D7A" w:rsidRDefault="00724A11" w:rsidP="00724A11">
      <w:pPr>
        <w:pStyle w:val="AmdtsEntryHd"/>
      </w:pPr>
      <w:r w:rsidRPr="007E1F9A">
        <w:rPr>
          <w:rFonts w:ascii="Helvetica" w:hAnsi="Helvetica" w:cs="Helvetica"/>
          <w:iCs/>
        </w:rPr>
        <w:t>Treatment of unincorporated partnerships</w:t>
      </w:r>
    </w:p>
    <w:p w14:paraId="066056AA" w14:textId="72FE6DCF" w:rsidR="00724A11" w:rsidRPr="00F86D7A" w:rsidRDefault="00724A11" w:rsidP="005E03F7">
      <w:pPr>
        <w:pStyle w:val="AmdtsEntries"/>
        <w:rPr>
          <w:lang w:val="en"/>
        </w:rPr>
      </w:pPr>
      <w:r>
        <w:rPr>
          <w:lang w:val="en"/>
        </w:rPr>
        <w:t>s 637</w:t>
      </w:r>
      <w:r>
        <w:rPr>
          <w:lang w:val="en"/>
        </w:rPr>
        <w:tab/>
        <w:t xml:space="preserve">am </w:t>
      </w:r>
      <w:hyperlink r:id="rId813" w:tooltip="Heavy Vehicle National Law and Other Legislation Amendment Act 2016" w:history="1">
        <w:r w:rsidR="00D10E33" w:rsidRPr="005E03F7">
          <w:rPr>
            <w:rStyle w:val="Hyperlink"/>
          </w:rPr>
          <w:t>A2016-65 (Qld)</w:t>
        </w:r>
      </w:hyperlink>
      <w:r>
        <w:t xml:space="preserve"> s 104</w:t>
      </w:r>
      <w:r w:rsidR="00F739C5">
        <w:t xml:space="preserve">; </w:t>
      </w:r>
      <w:hyperlink r:id="rId814" w:tooltip="Heavy Vehicle National Law and Other Legislation Amendment Act 2018" w:history="1">
        <w:r w:rsidR="007905AB" w:rsidRPr="005E03F7">
          <w:rPr>
            <w:rStyle w:val="Hyperlink"/>
          </w:rPr>
          <w:t>A2018-10 (Qld)</w:t>
        </w:r>
      </w:hyperlink>
      <w:r w:rsidR="00F739C5">
        <w:t xml:space="preserve"> s 33</w:t>
      </w:r>
    </w:p>
    <w:p w14:paraId="38E975E0" w14:textId="77777777" w:rsidR="00724A11" w:rsidRPr="00F86D7A" w:rsidRDefault="00724A11" w:rsidP="00724A11">
      <w:pPr>
        <w:pStyle w:val="AmdtsEntryHd"/>
      </w:pPr>
      <w:r w:rsidRPr="007E1F9A">
        <w:rPr>
          <w:rFonts w:ascii="Helvetica" w:hAnsi="Helvetica" w:cs="Helvetica"/>
          <w:iCs/>
        </w:rPr>
        <w:t>Treatment of other unincorporated bodies</w:t>
      </w:r>
    </w:p>
    <w:p w14:paraId="6F5BDC1A" w14:textId="72E72BB0" w:rsidR="00724A11" w:rsidRPr="00F86D7A" w:rsidRDefault="00724A11" w:rsidP="005E03F7">
      <w:pPr>
        <w:pStyle w:val="AmdtsEntries"/>
        <w:rPr>
          <w:lang w:val="en"/>
        </w:rPr>
      </w:pPr>
      <w:r>
        <w:rPr>
          <w:lang w:val="en"/>
        </w:rPr>
        <w:t>s 638</w:t>
      </w:r>
      <w:r>
        <w:rPr>
          <w:lang w:val="en"/>
        </w:rPr>
        <w:tab/>
        <w:t xml:space="preserve">am </w:t>
      </w:r>
      <w:hyperlink r:id="rId815" w:tooltip="Heavy Vehicle National Law and Other Legislation Amendment Act 2016" w:history="1">
        <w:r w:rsidR="00D10E33" w:rsidRPr="005E03F7">
          <w:rPr>
            <w:rStyle w:val="Hyperlink"/>
          </w:rPr>
          <w:t>A2016-65 (Qld)</w:t>
        </w:r>
      </w:hyperlink>
      <w:r>
        <w:t xml:space="preserve"> s 105</w:t>
      </w:r>
      <w:r w:rsidR="00F739C5">
        <w:t xml:space="preserve">; </w:t>
      </w:r>
      <w:hyperlink r:id="rId816" w:tooltip="Heavy Vehicle National Law and Other Legislation Amendment Act 2018" w:history="1">
        <w:r w:rsidR="007905AB" w:rsidRPr="005E03F7">
          <w:rPr>
            <w:rStyle w:val="Hyperlink"/>
          </w:rPr>
          <w:t>A2018-10 (Qld)</w:t>
        </w:r>
      </w:hyperlink>
      <w:r w:rsidR="00F739C5">
        <w:t xml:space="preserve"> s 34</w:t>
      </w:r>
    </w:p>
    <w:p w14:paraId="3217C775" w14:textId="77777777" w:rsidR="00CD0F07" w:rsidRDefault="00CD0F07" w:rsidP="00816477">
      <w:pPr>
        <w:pStyle w:val="AmdtsEntryHd"/>
        <w:rPr>
          <w:rFonts w:ascii="Helvetica" w:hAnsi="Helvetica" w:cs="Helvetica"/>
          <w:iCs/>
        </w:rPr>
      </w:pPr>
      <w:r w:rsidRPr="007E1F9A">
        <w:rPr>
          <w:rFonts w:ascii="Helvetica" w:hAnsi="Helvetica" w:cs="Helvetica"/>
          <w:iCs/>
        </w:rPr>
        <w:t>Applying for internal review</w:t>
      </w:r>
    </w:p>
    <w:p w14:paraId="554BB0A4" w14:textId="445C2261" w:rsidR="00CD0F07" w:rsidRPr="00CD0F07" w:rsidRDefault="00CD0F07" w:rsidP="005E03F7">
      <w:pPr>
        <w:pStyle w:val="AmdtsEntries"/>
      </w:pPr>
      <w:r>
        <w:t>s 641</w:t>
      </w:r>
      <w:r>
        <w:tab/>
        <w:t>am</w:t>
      </w:r>
      <w:r>
        <w:rPr>
          <w:lang w:val="en"/>
        </w:rPr>
        <w:t xml:space="preserve"> </w:t>
      </w:r>
      <w:hyperlink r:id="rId817" w:tooltip="Heavy Vehicle National Law Amendment Act 2018" w:history="1">
        <w:r w:rsidR="00CB7A54" w:rsidRPr="005E03F7">
          <w:rPr>
            <w:rStyle w:val="Hyperlink"/>
          </w:rPr>
          <w:t>A2018-18 (Qld)</w:t>
        </w:r>
      </w:hyperlink>
      <w:r>
        <w:t xml:space="preserve"> s 29</w:t>
      </w:r>
      <w:r w:rsidR="00C24C17">
        <w:t xml:space="preserve">; </w:t>
      </w:r>
      <w:hyperlink r:id="rId818" w:tooltip="Heavy Vehicle National Law and Other Legislation Amendment Act 2019" w:history="1">
        <w:r w:rsidR="00C24C17" w:rsidRPr="00137BAE">
          <w:rPr>
            <w:rStyle w:val="charCitHyperlinkAbbrev"/>
          </w:rPr>
          <w:t>A2019-29</w:t>
        </w:r>
      </w:hyperlink>
      <w:r w:rsidR="00C24C17">
        <w:t xml:space="preserve"> (Qld) s 32</w:t>
      </w:r>
    </w:p>
    <w:p w14:paraId="53C454F3" w14:textId="77777777" w:rsidR="000D19F8" w:rsidRDefault="00400817" w:rsidP="00816477">
      <w:pPr>
        <w:pStyle w:val="AmdtsEntryHd"/>
        <w:rPr>
          <w:spacing w:val="27"/>
          <w:w w:val="99"/>
        </w:rPr>
      </w:pPr>
      <w:r>
        <w:rPr>
          <w:spacing w:val="-2"/>
        </w:rPr>
        <w:t>Approved</w:t>
      </w:r>
      <w:r>
        <w:rPr>
          <w:spacing w:val="-9"/>
        </w:rPr>
        <w:t xml:space="preserve"> </w:t>
      </w:r>
      <w:r>
        <w:t>guidelines</w:t>
      </w:r>
      <w:r>
        <w:rPr>
          <w:spacing w:val="-9"/>
        </w:rPr>
        <w:t xml:space="preserve"> </w:t>
      </w:r>
      <w:r>
        <w:rPr>
          <w:spacing w:val="-2"/>
        </w:rPr>
        <w:t>for</w:t>
      </w:r>
      <w:r>
        <w:rPr>
          <w:spacing w:val="-9"/>
        </w:rPr>
        <w:t xml:space="preserve"> </w:t>
      </w:r>
      <w:r>
        <w:rPr>
          <w:spacing w:val="-1"/>
        </w:rPr>
        <w:t>exemptions,</w:t>
      </w:r>
      <w:r>
        <w:rPr>
          <w:spacing w:val="-8"/>
        </w:rPr>
        <w:t xml:space="preserve"> </w:t>
      </w:r>
      <w:r>
        <w:t>authorisations,</w:t>
      </w:r>
      <w:r>
        <w:rPr>
          <w:spacing w:val="-9"/>
        </w:rPr>
        <w:t xml:space="preserve"> </w:t>
      </w:r>
      <w:r>
        <w:t>permits</w:t>
      </w:r>
      <w:r>
        <w:rPr>
          <w:spacing w:val="-8"/>
        </w:rPr>
        <w:t xml:space="preserve"> </w:t>
      </w:r>
      <w:r>
        <w:t>and</w:t>
      </w:r>
      <w:r>
        <w:rPr>
          <w:spacing w:val="-8"/>
        </w:rPr>
        <w:t xml:space="preserve"> </w:t>
      </w:r>
      <w:r>
        <w:t>other</w:t>
      </w:r>
      <w:r>
        <w:rPr>
          <w:spacing w:val="-9"/>
        </w:rPr>
        <w:t xml:space="preserve"> </w:t>
      </w:r>
      <w:r>
        <w:t>authorities</w:t>
      </w:r>
    </w:p>
    <w:p w14:paraId="2DFBD228" w14:textId="14001B9F" w:rsidR="00400817" w:rsidRDefault="00400817" w:rsidP="00757F5B">
      <w:pPr>
        <w:pStyle w:val="AmdtsEntries"/>
      </w:pPr>
      <w:r>
        <w:t>s</w:t>
      </w:r>
      <w:r>
        <w:rPr>
          <w:spacing w:val="-2"/>
        </w:rPr>
        <w:t xml:space="preserve"> </w:t>
      </w:r>
      <w:r>
        <w:t>653</w:t>
      </w:r>
      <w:r>
        <w:tab/>
      </w:r>
      <w:r w:rsidR="00496FE6">
        <w:t xml:space="preserve">mod </w:t>
      </w:r>
      <w:hyperlink r:id="rId819" w:tooltip="Heavy Vehicle National Law (ACT) Act 2013" w:history="1">
        <w:r w:rsidR="00496FE6" w:rsidRPr="0068043D">
          <w:rPr>
            <w:rStyle w:val="charCitHyperlinkAbbrev"/>
          </w:rPr>
          <w:t>A2013-51</w:t>
        </w:r>
      </w:hyperlink>
      <w:r w:rsidR="00496FE6">
        <w:t xml:space="preserve"> mod 1.3</w:t>
      </w:r>
      <w:r w:rsidR="002D34C2">
        <w:t>0</w:t>
      </w:r>
      <w:r w:rsidR="006B1712">
        <w:t xml:space="preserve"> (mod om </w:t>
      </w:r>
      <w:hyperlink r:id="rId820" w:tooltip="Statute Law Amendment Act 2018" w:history="1">
        <w:r w:rsidR="006B1712">
          <w:rPr>
            <w:rStyle w:val="charCitHyperlinkAbbrev"/>
          </w:rPr>
          <w:t>A2018</w:t>
        </w:r>
        <w:r w:rsidR="006B1712">
          <w:rPr>
            <w:rStyle w:val="charCitHyperlinkAbbrev"/>
          </w:rPr>
          <w:noBreakHyphen/>
          <w:t>42</w:t>
        </w:r>
      </w:hyperlink>
      <w:r w:rsidR="006B1712">
        <w:t xml:space="preserve"> amdt 3.61)</w:t>
      </w:r>
    </w:p>
    <w:p w14:paraId="30BA273E" w14:textId="529F7A5B" w:rsidR="00673659" w:rsidRPr="00577913" w:rsidRDefault="00673659" w:rsidP="005E03F7">
      <w:pPr>
        <w:pStyle w:val="AmdtsEntries"/>
      </w:pPr>
      <w:r>
        <w:tab/>
        <w:t xml:space="preserve">am </w:t>
      </w:r>
      <w:hyperlink r:id="rId821" w:tooltip="Heavy Vehicle National Law and Other Legislation Amendment Act 2018" w:history="1">
        <w:r w:rsidR="007905AB" w:rsidRPr="005E03F7">
          <w:rPr>
            <w:rStyle w:val="Hyperlink"/>
          </w:rPr>
          <w:t>A2018-10 (Qld)</w:t>
        </w:r>
      </w:hyperlink>
      <w:r>
        <w:t xml:space="preserve"> s 35</w:t>
      </w:r>
      <w:r w:rsidR="00CD0F07">
        <w:t>;</w:t>
      </w:r>
      <w:r w:rsidR="00CD0F07">
        <w:rPr>
          <w:lang w:val="en"/>
        </w:rPr>
        <w:t xml:space="preserve"> </w:t>
      </w:r>
      <w:hyperlink r:id="rId822" w:tooltip="Heavy Vehicle National Law Amendment Act 2018" w:history="1">
        <w:r w:rsidR="00CB7A54" w:rsidRPr="005E03F7">
          <w:rPr>
            <w:rStyle w:val="Hyperlink"/>
          </w:rPr>
          <w:t>A2018-18 (Qld)</w:t>
        </w:r>
      </w:hyperlink>
      <w:r w:rsidR="00CD0F07">
        <w:t xml:space="preserve"> s 30</w:t>
      </w:r>
    </w:p>
    <w:p w14:paraId="70803FC6" w14:textId="77777777" w:rsidR="00F30A56" w:rsidRPr="00F30A56" w:rsidRDefault="00F30A56" w:rsidP="00F30A56">
      <w:pPr>
        <w:pStyle w:val="AmdtsEntryHd"/>
      </w:pPr>
      <w:r w:rsidRPr="00F30A56">
        <w:rPr>
          <w:lang w:val="en"/>
        </w:rPr>
        <w:t>Delegation by responsible Ministers</w:t>
      </w:r>
    </w:p>
    <w:p w14:paraId="031B8F5C" w14:textId="4B25C83B" w:rsidR="00F30A56" w:rsidRPr="001C5C1A" w:rsidRDefault="00F30A56" w:rsidP="005E03F7">
      <w:pPr>
        <w:pStyle w:val="AmdtsEntries"/>
      </w:pPr>
      <w:r>
        <w:t>s 655A</w:t>
      </w:r>
      <w:r>
        <w:tab/>
        <w:t xml:space="preserve">ins </w:t>
      </w:r>
      <w:hyperlink r:id="rId823" w:tooltip="Heavy Vehicle National Law and Other Legislation Amendment Act 2016" w:history="1">
        <w:r w:rsidR="00D10E33" w:rsidRPr="005E03F7">
          <w:rPr>
            <w:rStyle w:val="Hyperlink"/>
          </w:rPr>
          <w:t>A2016-65 (Qld)</w:t>
        </w:r>
      </w:hyperlink>
      <w:r>
        <w:t xml:space="preserve"> s 136</w:t>
      </w:r>
    </w:p>
    <w:p w14:paraId="53577CC9" w14:textId="77777777" w:rsidR="000C3263" w:rsidRDefault="000C3263" w:rsidP="00D2357F">
      <w:pPr>
        <w:pStyle w:val="AmdtsEntryHd"/>
        <w:rPr>
          <w:rFonts w:ascii="Helvetica" w:hAnsi="Helvetica" w:cs="Helvetica"/>
          <w:iCs/>
        </w:rPr>
      </w:pPr>
      <w:r>
        <w:rPr>
          <w:rFonts w:ascii="Helvetica" w:hAnsi="Helvetica" w:cs="Helvetica"/>
          <w:iCs/>
        </w:rPr>
        <w:t>General powers of Regulator</w:t>
      </w:r>
    </w:p>
    <w:p w14:paraId="5E5B05FC" w14:textId="037F4ABE" w:rsidR="000C3263" w:rsidRPr="00577913" w:rsidRDefault="000C3263" w:rsidP="005E03F7">
      <w:pPr>
        <w:pStyle w:val="AmdtsEntries"/>
      </w:pPr>
      <w:r>
        <w:t>s 658</w:t>
      </w:r>
      <w:r>
        <w:tab/>
        <w:t xml:space="preserve">am </w:t>
      </w:r>
      <w:hyperlink r:id="rId824" w:tooltip="Heavy Vehicle National Law and Other Legislation Amendment Act 2018" w:history="1">
        <w:r w:rsidR="007905AB" w:rsidRPr="005E03F7">
          <w:rPr>
            <w:rStyle w:val="Hyperlink"/>
          </w:rPr>
          <w:t>A2018-10 (Qld)</w:t>
        </w:r>
      </w:hyperlink>
      <w:r>
        <w:t xml:space="preserve"> s 36</w:t>
      </w:r>
    </w:p>
    <w:p w14:paraId="650172A8" w14:textId="77777777" w:rsidR="000C3263" w:rsidRDefault="000C3263" w:rsidP="000C3263">
      <w:pPr>
        <w:pStyle w:val="AmdtsEntryHd"/>
        <w:rPr>
          <w:rFonts w:ascii="Helvetica" w:hAnsi="Helvetica" w:cs="Helvetica"/>
          <w:iCs/>
        </w:rPr>
      </w:pPr>
      <w:r>
        <w:rPr>
          <w:rFonts w:ascii="Helvetica" w:hAnsi="Helvetica" w:cs="Helvetica"/>
          <w:iCs/>
        </w:rPr>
        <w:t>Functions of Regulator</w:t>
      </w:r>
    </w:p>
    <w:p w14:paraId="03987645" w14:textId="0198140D" w:rsidR="000C3263" w:rsidRPr="00577913" w:rsidRDefault="000C3263" w:rsidP="005E03F7">
      <w:pPr>
        <w:pStyle w:val="AmdtsEntries"/>
      </w:pPr>
      <w:r>
        <w:t>s 659</w:t>
      </w:r>
      <w:r>
        <w:tab/>
        <w:t xml:space="preserve">am </w:t>
      </w:r>
      <w:hyperlink r:id="rId825" w:tooltip="Heavy Vehicle National Law and Other Legislation Amendment Act 2018" w:history="1">
        <w:r w:rsidR="007905AB" w:rsidRPr="005E03F7">
          <w:rPr>
            <w:rStyle w:val="Hyperlink"/>
          </w:rPr>
          <w:t>A2018-10 (Qld)</w:t>
        </w:r>
      </w:hyperlink>
      <w:r>
        <w:t xml:space="preserve"> s 37</w:t>
      </w:r>
      <w:r w:rsidR="00C24C17">
        <w:t xml:space="preserve">; </w:t>
      </w:r>
      <w:hyperlink r:id="rId826" w:tooltip="Heavy Vehicle National Law and Other Legislation Amendment Act 2019" w:history="1">
        <w:r w:rsidR="00C24C17" w:rsidRPr="00137BAE">
          <w:rPr>
            <w:rStyle w:val="charCitHyperlinkAbbrev"/>
          </w:rPr>
          <w:t>A2019-29</w:t>
        </w:r>
      </w:hyperlink>
      <w:r w:rsidR="00C24C17">
        <w:t xml:space="preserve"> (Qld) s 33</w:t>
      </w:r>
    </w:p>
    <w:p w14:paraId="0AFDE360" w14:textId="77777777" w:rsidR="00B13C67" w:rsidRDefault="00B13C67" w:rsidP="00B13C67">
      <w:pPr>
        <w:pStyle w:val="AmdtsEntryHd"/>
        <w:rPr>
          <w:rFonts w:ascii="Helvetica" w:hAnsi="Helvetica" w:cs="Helvetica"/>
          <w:iCs/>
        </w:rPr>
      </w:pPr>
      <w:r>
        <w:rPr>
          <w:rFonts w:ascii="Helvetica" w:hAnsi="Helvetica" w:cs="Helvetica"/>
          <w:iCs/>
        </w:rPr>
        <w:t>Cooperation with participating jurisdictions and Commonwealth</w:t>
      </w:r>
    </w:p>
    <w:p w14:paraId="49089717" w14:textId="4245E2A1" w:rsidR="00B13C67" w:rsidRPr="00577913" w:rsidRDefault="00B13C67" w:rsidP="005E03F7">
      <w:pPr>
        <w:pStyle w:val="AmdtsEntries"/>
      </w:pPr>
      <w:r>
        <w:t>s 660</w:t>
      </w:r>
      <w:r>
        <w:tab/>
        <w:t xml:space="preserve">am </w:t>
      </w:r>
      <w:hyperlink r:id="rId827" w:tooltip="Heavy Vehicle National Law and Other Legislation Amendment Act 2018" w:history="1">
        <w:r w:rsidR="007905AB" w:rsidRPr="005E03F7">
          <w:rPr>
            <w:rStyle w:val="Hyperlink"/>
          </w:rPr>
          <w:t>A2018-10 (Qld)</w:t>
        </w:r>
      </w:hyperlink>
      <w:r>
        <w:t xml:space="preserve"> s 38</w:t>
      </w:r>
    </w:p>
    <w:p w14:paraId="6999368D" w14:textId="77777777" w:rsidR="00375B6A" w:rsidRPr="00105A42" w:rsidRDefault="00375B6A" w:rsidP="00375B6A">
      <w:pPr>
        <w:pStyle w:val="AmdtsEntryHd"/>
      </w:pPr>
      <w:r>
        <w:t>Database of heavy vehicles</w:t>
      </w:r>
    </w:p>
    <w:p w14:paraId="35CEC053" w14:textId="0E142544" w:rsidR="00375B6A" w:rsidRPr="00577913" w:rsidRDefault="00375B6A" w:rsidP="005E03F7">
      <w:pPr>
        <w:pStyle w:val="AmdtsEntries"/>
      </w:pPr>
      <w:r>
        <w:t>Pt 12.2A hdg</w:t>
      </w:r>
      <w:r>
        <w:tab/>
        <w:t xml:space="preserve">ins </w:t>
      </w:r>
      <w:hyperlink r:id="rId828" w:tooltip="Heavy Vehicle National Law and Other Legislation Amendment Act 2018" w:history="1">
        <w:r w:rsidR="007905AB" w:rsidRPr="005E03F7">
          <w:rPr>
            <w:rStyle w:val="Hyperlink"/>
          </w:rPr>
          <w:t>A2018-10 (Qld)</w:t>
        </w:r>
      </w:hyperlink>
      <w:r>
        <w:t xml:space="preserve"> s 39</w:t>
      </w:r>
    </w:p>
    <w:p w14:paraId="57B508B7" w14:textId="77777777" w:rsidR="00375B6A" w:rsidRDefault="00375B6A" w:rsidP="00375B6A">
      <w:pPr>
        <w:pStyle w:val="AmdtsEntryHd"/>
        <w:rPr>
          <w:rFonts w:ascii="Helvetica" w:hAnsi="Helvetica" w:cs="Helvetica"/>
          <w:iCs/>
        </w:rPr>
      </w:pPr>
      <w:r>
        <w:rPr>
          <w:rFonts w:ascii="Helvetica" w:hAnsi="Helvetica" w:cs="Helvetica"/>
          <w:iCs/>
        </w:rPr>
        <w:t>Database of heavy vehicles</w:t>
      </w:r>
    </w:p>
    <w:p w14:paraId="571C4925" w14:textId="35E65A6D" w:rsidR="00375B6A" w:rsidRPr="00577913" w:rsidRDefault="00375B6A" w:rsidP="005E03F7">
      <w:pPr>
        <w:pStyle w:val="AmdtsEntries"/>
      </w:pPr>
      <w:r>
        <w:t>s 686A</w:t>
      </w:r>
      <w:r>
        <w:tab/>
        <w:t xml:space="preserve">ins </w:t>
      </w:r>
      <w:hyperlink r:id="rId829" w:tooltip="Heavy Vehicle National Law and Other Legislation Amendment Act 2018" w:history="1">
        <w:r w:rsidR="007905AB" w:rsidRPr="005E03F7">
          <w:rPr>
            <w:rStyle w:val="Hyperlink"/>
          </w:rPr>
          <w:t>A2018-10 (Qld)</w:t>
        </w:r>
      </w:hyperlink>
      <w:r>
        <w:t xml:space="preserve"> s 39</w:t>
      </w:r>
    </w:p>
    <w:p w14:paraId="732EE329" w14:textId="77777777" w:rsidR="00EA7548" w:rsidRDefault="00EA7548" w:rsidP="00EA7548">
      <w:pPr>
        <w:pStyle w:val="AmdtsEntryHd"/>
        <w:rPr>
          <w:rFonts w:ascii="Helvetica" w:hAnsi="Helvetica" w:cs="Helvetica"/>
          <w:iCs/>
        </w:rPr>
      </w:pPr>
      <w:r>
        <w:rPr>
          <w:rFonts w:ascii="Helvetica" w:hAnsi="Helvetica" w:cs="Helvetica"/>
          <w:iCs/>
        </w:rPr>
        <w:t>Regulator may share information in database of heavy vehicles</w:t>
      </w:r>
    </w:p>
    <w:p w14:paraId="68CD8A1D" w14:textId="6127CE54" w:rsidR="00EA7548" w:rsidRPr="00577913" w:rsidRDefault="00EA7548" w:rsidP="005E03F7">
      <w:pPr>
        <w:pStyle w:val="AmdtsEntries"/>
      </w:pPr>
      <w:r>
        <w:t>s 686B</w:t>
      </w:r>
      <w:r>
        <w:tab/>
        <w:t xml:space="preserve">ins </w:t>
      </w:r>
      <w:hyperlink r:id="rId830" w:tooltip="Heavy Vehicle National Law and Other Legislation Amendment Act 2018" w:history="1">
        <w:r w:rsidR="007905AB" w:rsidRPr="005E03F7">
          <w:rPr>
            <w:rStyle w:val="Hyperlink"/>
          </w:rPr>
          <w:t>A2018-10 (Qld)</w:t>
        </w:r>
      </w:hyperlink>
      <w:r>
        <w:t xml:space="preserve"> s 39</w:t>
      </w:r>
    </w:p>
    <w:p w14:paraId="30385BDE" w14:textId="77777777" w:rsidR="00F82AA6" w:rsidRDefault="00F82AA6" w:rsidP="00F82AA6">
      <w:pPr>
        <w:pStyle w:val="AmdtsEntryHd"/>
        <w:rPr>
          <w:rFonts w:ascii="Helvetica" w:hAnsi="Helvetica" w:cs="Helvetica"/>
          <w:iCs/>
        </w:rPr>
      </w:pPr>
      <w:r>
        <w:rPr>
          <w:rFonts w:ascii="Helvetica" w:hAnsi="Helvetica" w:cs="Helvetica"/>
          <w:iCs/>
        </w:rPr>
        <w:t>Payments into Fund</w:t>
      </w:r>
    </w:p>
    <w:p w14:paraId="7D292B9C" w14:textId="4F235856" w:rsidR="00F82AA6" w:rsidRPr="00577913" w:rsidRDefault="00F82AA6" w:rsidP="005E03F7">
      <w:pPr>
        <w:pStyle w:val="AmdtsEntries"/>
      </w:pPr>
      <w:r>
        <w:t>s 688</w:t>
      </w:r>
      <w:r>
        <w:tab/>
        <w:t xml:space="preserve">am </w:t>
      </w:r>
      <w:hyperlink r:id="rId831" w:tooltip="Heavy Vehicle National Law and Other Legislation Amendment Act 2018" w:history="1">
        <w:r w:rsidR="007905AB" w:rsidRPr="005E03F7">
          <w:rPr>
            <w:rStyle w:val="Hyperlink"/>
          </w:rPr>
          <w:t>A2018-10 (Qld)</w:t>
        </w:r>
      </w:hyperlink>
      <w:r>
        <w:t xml:space="preserve"> s 40</w:t>
      </w:r>
    </w:p>
    <w:p w14:paraId="2F7B0951" w14:textId="77777777" w:rsidR="00C24C17" w:rsidRDefault="00C24C17" w:rsidP="00724A11">
      <w:pPr>
        <w:pStyle w:val="AmdtsEntryHd"/>
        <w:rPr>
          <w:lang w:val="en"/>
        </w:rPr>
      </w:pPr>
      <w:r w:rsidRPr="00C24C17">
        <w:rPr>
          <w:lang w:val="en"/>
        </w:rPr>
        <w:t>No liability, right etc. arising from particular functions of authorised officer or Regulator</w:t>
      </w:r>
    </w:p>
    <w:p w14:paraId="1E2135D4" w14:textId="1A00C3B2" w:rsidR="00C24C17" w:rsidRPr="00C24C17" w:rsidRDefault="00C24C17" w:rsidP="00C24C17">
      <w:pPr>
        <w:pStyle w:val="AmdtsEntries"/>
        <w:rPr>
          <w:lang w:val="en"/>
        </w:rPr>
      </w:pPr>
      <w:r>
        <w:rPr>
          <w:lang w:val="en"/>
        </w:rPr>
        <w:t>s 698A</w:t>
      </w:r>
      <w:r>
        <w:rPr>
          <w:lang w:val="en"/>
        </w:rPr>
        <w:tab/>
        <w:t xml:space="preserve">ins </w:t>
      </w:r>
      <w:hyperlink r:id="rId832" w:tooltip="Heavy Vehicle National Law and Other Legislation Amendment Act 2019" w:history="1">
        <w:r w:rsidRPr="00137BAE">
          <w:rPr>
            <w:rStyle w:val="charCitHyperlinkAbbrev"/>
          </w:rPr>
          <w:t>A2019-29</w:t>
        </w:r>
      </w:hyperlink>
      <w:r>
        <w:rPr>
          <w:lang w:val="en"/>
        </w:rPr>
        <w:t xml:space="preserve"> (Qld) s 34</w:t>
      </w:r>
    </w:p>
    <w:p w14:paraId="7B1AD1D7" w14:textId="77777777" w:rsidR="00724A11" w:rsidRPr="00F86D7A" w:rsidRDefault="00724A11" w:rsidP="00724A11">
      <w:pPr>
        <w:pStyle w:val="AmdtsEntryHd"/>
      </w:pPr>
      <w:r w:rsidRPr="007E1F9A">
        <w:rPr>
          <w:rFonts w:ascii="Helvetica" w:hAnsi="Helvetica" w:cs="Helvetica"/>
          <w:iCs/>
        </w:rPr>
        <w:lastRenderedPageBreak/>
        <w:t>False or misleading statements</w:t>
      </w:r>
    </w:p>
    <w:p w14:paraId="4EF11E6A" w14:textId="2A603F15" w:rsidR="00724A11" w:rsidRPr="00F86D7A" w:rsidRDefault="00724A11" w:rsidP="005E03F7">
      <w:pPr>
        <w:pStyle w:val="AmdtsEntries"/>
        <w:rPr>
          <w:lang w:val="en"/>
        </w:rPr>
      </w:pPr>
      <w:r>
        <w:rPr>
          <w:lang w:val="en"/>
        </w:rPr>
        <w:t>s 701</w:t>
      </w:r>
      <w:r>
        <w:rPr>
          <w:lang w:val="en"/>
        </w:rPr>
        <w:tab/>
        <w:t xml:space="preserve">am </w:t>
      </w:r>
      <w:hyperlink r:id="rId833" w:tooltip="Heavy Vehicle National Law and Other Legislation Amendment Act 2016" w:history="1">
        <w:r w:rsidR="00D10E33" w:rsidRPr="005E03F7">
          <w:rPr>
            <w:rStyle w:val="Hyperlink"/>
          </w:rPr>
          <w:t>A2016-65 (Qld)</w:t>
        </w:r>
      </w:hyperlink>
      <w:r>
        <w:t xml:space="preserve"> s 106</w:t>
      </w:r>
    </w:p>
    <w:p w14:paraId="1328A559" w14:textId="77777777" w:rsidR="00724A11" w:rsidRPr="00F86D7A" w:rsidRDefault="00724A11" w:rsidP="00724A11">
      <w:pPr>
        <w:pStyle w:val="AmdtsEntryHd"/>
      </w:pPr>
      <w:r w:rsidRPr="007E1F9A">
        <w:rPr>
          <w:rFonts w:ascii="Helvetica" w:hAnsi="Helvetica" w:cs="Helvetica"/>
          <w:iCs/>
        </w:rPr>
        <w:t>False or misleading documents</w:t>
      </w:r>
    </w:p>
    <w:p w14:paraId="195BFCD5" w14:textId="4960E40B" w:rsidR="00724A11" w:rsidRPr="00F86D7A" w:rsidRDefault="00724A11" w:rsidP="005E03F7">
      <w:pPr>
        <w:pStyle w:val="AmdtsEntries"/>
        <w:rPr>
          <w:lang w:val="en"/>
        </w:rPr>
      </w:pPr>
      <w:r>
        <w:rPr>
          <w:lang w:val="en"/>
        </w:rPr>
        <w:t>s 702</w:t>
      </w:r>
      <w:r>
        <w:rPr>
          <w:lang w:val="en"/>
        </w:rPr>
        <w:tab/>
        <w:t xml:space="preserve">am </w:t>
      </w:r>
      <w:hyperlink r:id="rId834" w:tooltip="Heavy Vehicle National Law and Other Legislation Amendment Act 2016" w:history="1">
        <w:r w:rsidR="00D10E33" w:rsidRPr="005E03F7">
          <w:rPr>
            <w:rStyle w:val="Hyperlink"/>
          </w:rPr>
          <w:t>A2016-65 (Qld)</w:t>
        </w:r>
      </w:hyperlink>
      <w:r>
        <w:t xml:space="preserve"> s 107</w:t>
      </w:r>
    </w:p>
    <w:p w14:paraId="78FF4560" w14:textId="77777777" w:rsidR="00D2357F" w:rsidRDefault="00D2357F" w:rsidP="00D2357F">
      <w:pPr>
        <w:pStyle w:val="AmdtsEntryHd"/>
        <w:rPr>
          <w:rFonts w:ascii="Helvetica" w:hAnsi="Helvetica" w:cs="Helvetica"/>
          <w:iCs/>
        </w:rPr>
      </w:pPr>
      <w:r>
        <w:rPr>
          <w:rFonts w:ascii="Helvetica" w:hAnsi="Helvetica" w:cs="Helvetica"/>
          <w:iCs/>
        </w:rPr>
        <w:t>Offence to falsely represent that heavy vehicle authority is held etc.</w:t>
      </w:r>
    </w:p>
    <w:p w14:paraId="74157772" w14:textId="2519448D" w:rsidR="00D2357F" w:rsidRDefault="00D2357F" w:rsidP="00D339FC">
      <w:pPr>
        <w:pStyle w:val="AmdtsEntries"/>
      </w:pPr>
      <w:r>
        <w:t>s 704</w:t>
      </w:r>
      <w:r>
        <w:tab/>
        <w:t xml:space="preserve">am </w:t>
      </w:r>
      <w:hyperlink r:id="rId835" w:tooltip="Heavy Vehicle National Law Amendment Act 2015" w:history="1">
        <w:r w:rsidR="00BA6441">
          <w:rPr>
            <w:rStyle w:val="charCitHyperlinkAbbrev"/>
          </w:rPr>
          <w:t>A2015-12</w:t>
        </w:r>
      </w:hyperlink>
      <w:r w:rsidR="00BA6441">
        <w:t xml:space="preserve"> (Qld)</w:t>
      </w:r>
      <w:r>
        <w:t xml:space="preserve"> s 58</w:t>
      </w:r>
    </w:p>
    <w:p w14:paraId="76944F1D" w14:textId="77777777" w:rsidR="006C64C2" w:rsidRPr="006C64C2" w:rsidRDefault="006C64C2" w:rsidP="006C64C2">
      <w:pPr>
        <w:pStyle w:val="AmdtsEntryHd"/>
      </w:pPr>
      <w:r w:rsidRPr="006C64C2">
        <w:rPr>
          <w:lang w:val="en"/>
        </w:rPr>
        <w:t>Proceeding for indictable offences</w:t>
      </w:r>
    </w:p>
    <w:p w14:paraId="32AC11BC" w14:textId="5567A4CC" w:rsidR="006C64C2" w:rsidRPr="00F86D7A" w:rsidRDefault="006C64C2" w:rsidP="005E03F7">
      <w:pPr>
        <w:pStyle w:val="AmdtsEntries"/>
        <w:rPr>
          <w:lang w:val="en"/>
        </w:rPr>
      </w:pPr>
      <w:r>
        <w:rPr>
          <w:lang w:val="en"/>
        </w:rPr>
        <w:t>s 707</w:t>
      </w:r>
      <w:r>
        <w:rPr>
          <w:lang w:val="en"/>
        </w:rPr>
        <w:tab/>
        <w:t xml:space="preserve">sub </w:t>
      </w:r>
      <w:hyperlink r:id="rId836" w:tooltip="Heavy Vehicle National Law and Other Legislation Amendment Act 2016" w:history="1">
        <w:r w:rsidR="00D10E33" w:rsidRPr="005E03F7">
          <w:rPr>
            <w:rStyle w:val="Hyperlink"/>
          </w:rPr>
          <w:t>A2016-65 (Qld)</w:t>
        </w:r>
      </w:hyperlink>
      <w:r>
        <w:t xml:space="preserve"> s 108</w:t>
      </w:r>
    </w:p>
    <w:p w14:paraId="0E311910" w14:textId="77777777" w:rsidR="006C64C2" w:rsidRPr="006C64C2" w:rsidRDefault="006C64C2" w:rsidP="006C64C2">
      <w:pPr>
        <w:pStyle w:val="AmdtsEntryHd"/>
      </w:pPr>
      <w:r w:rsidRPr="006C64C2">
        <w:rPr>
          <w:lang w:val="en"/>
        </w:rPr>
        <w:t>Proceeding for other offences</w:t>
      </w:r>
    </w:p>
    <w:p w14:paraId="0C9B4465" w14:textId="0429FC35" w:rsidR="006C64C2" w:rsidRPr="00F86D7A" w:rsidRDefault="006C64C2" w:rsidP="005E03F7">
      <w:pPr>
        <w:pStyle w:val="AmdtsEntries"/>
        <w:rPr>
          <w:lang w:val="en"/>
        </w:rPr>
      </w:pPr>
      <w:r>
        <w:rPr>
          <w:lang w:val="en"/>
        </w:rPr>
        <w:t>s 707A</w:t>
      </w:r>
      <w:r>
        <w:rPr>
          <w:lang w:val="en"/>
        </w:rPr>
        <w:tab/>
        <w:t xml:space="preserve">ins </w:t>
      </w:r>
      <w:hyperlink r:id="rId837" w:tooltip="Heavy Vehicle National Law and Other Legislation Amendment Act 2016" w:history="1">
        <w:r w:rsidR="00D10E33" w:rsidRPr="005E03F7">
          <w:rPr>
            <w:rStyle w:val="Hyperlink"/>
          </w:rPr>
          <w:t>A2016-65 (Qld)</w:t>
        </w:r>
      </w:hyperlink>
      <w:r>
        <w:t xml:space="preserve"> s 108</w:t>
      </w:r>
    </w:p>
    <w:p w14:paraId="3B9B9867" w14:textId="77777777" w:rsidR="001C5DD7" w:rsidRDefault="001C5DD7" w:rsidP="00816477">
      <w:pPr>
        <w:pStyle w:val="AmdtsEntryHd"/>
        <w:rPr>
          <w:lang w:eastAsia="en-AU"/>
        </w:rPr>
      </w:pPr>
      <w:r w:rsidRPr="009D47B1">
        <w:rPr>
          <w:lang w:eastAsia="en-AU"/>
        </w:rPr>
        <w:t>Evidence of speed</w:t>
      </w:r>
    </w:p>
    <w:p w14:paraId="5B328CB8" w14:textId="59BD256A" w:rsidR="001C5DD7" w:rsidRPr="001C5DD7" w:rsidRDefault="001C5DD7" w:rsidP="001C5DD7">
      <w:pPr>
        <w:pStyle w:val="AmdtsEntries"/>
        <w:rPr>
          <w:lang w:eastAsia="en-AU"/>
        </w:rPr>
      </w:pPr>
      <w:r>
        <w:rPr>
          <w:lang w:eastAsia="en-AU"/>
        </w:rPr>
        <w:t>s 709A</w:t>
      </w:r>
      <w:r>
        <w:rPr>
          <w:lang w:eastAsia="en-AU"/>
        </w:rPr>
        <w:tab/>
        <w:t xml:space="preserve">ins as mod </w:t>
      </w:r>
      <w:hyperlink r:id="rId838" w:tooltip="Heavy Vehicle National Law (ACT) Act 2013" w:history="1">
        <w:r w:rsidRPr="0068043D">
          <w:rPr>
            <w:rStyle w:val="charCitHyperlinkAbbrev"/>
          </w:rPr>
          <w:t>A2013-51</w:t>
        </w:r>
      </w:hyperlink>
      <w:r>
        <w:rPr>
          <w:lang w:eastAsia="en-AU"/>
        </w:rPr>
        <w:t xml:space="preserve"> mod 1.4</w:t>
      </w:r>
    </w:p>
    <w:p w14:paraId="3D4D5EDD" w14:textId="77777777" w:rsidR="00137DF7" w:rsidRDefault="00137DF7" w:rsidP="00137DF7">
      <w:pPr>
        <w:pStyle w:val="AmdtsEntryHd"/>
        <w:rPr>
          <w:rFonts w:ascii="Helvetica" w:hAnsi="Helvetica" w:cs="Helvetica"/>
          <w:iCs/>
        </w:rPr>
      </w:pPr>
      <w:r w:rsidRPr="007E1F9A">
        <w:rPr>
          <w:rFonts w:ascii="Helvetica" w:hAnsi="Helvetica" w:cs="Helvetica"/>
          <w:iCs/>
        </w:rPr>
        <w:t>Averments</w:t>
      </w:r>
    </w:p>
    <w:p w14:paraId="5C3D0CF7" w14:textId="48513B22" w:rsidR="00137DF7" w:rsidRDefault="00137DF7" w:rsidP="00137DF7">
      <w:pPr>
        <w:pStyle w:val="AmdtsEntries"/>
      </w:pPr>
      <w:r>
        <w:t>s 710</w:t>
      </w:r>
      <w:r>
        <w:tab/>
        <w:t xml:space="preserve">mod </w:t>
      </w:r>
      <w:hyperlink r:id="rId839" w:tooltip="Heavy Vehicle National Law (ACT) Act 2013" w:history="1">
        <w:r w:rsidRPr="0068043D">
          <w:rPr>
            <w:rStyle w:val="charCitHyperlinkAbbrev"/>
          </w:rPr>
          <w:t>A2013-51</w:t>
        </w:r>
      </w:hyperlink>
      <w:r>
        <w:t xml:space="preserve"> mod 1.5</w:t>
      </w:r>
    </w:p>
    <w:p w14:paraId="2D2740EA" w14:textId="6F566935" w:rsidR="006C64C2" w:rsidRPr="001C5DD7" w:rsidRDefault="006C64C2" w:rsidP="005E03F7">
      <w:pPr>
        <w:pStyle w:val="AmdtsEntries"/>
      </w:pPr>
      <w:r>
        <w:tab/>
        <w:t xml:space="preserve">am </w:t>
      </w:r>
      <w:hyperlink r:id="rId840" w:tooltip="Heavy Vehicle National Law and Other Legislation Amendment Act 2016" w:history="1">
        <w:r w:rsidR="00D10E33" w:rsidRPr="005E03F7">
          <w:rPr>
            <w:rStyle w:val="Hyperlink"/>
          </w:rPr>
          <w:t>A2016-65 (Qld)</w:t>
        </w:r>
      </w:hyperlink>
      <w:r>
        <w:t xml:space="preserve"> s 109</w:t>
      </w:r>
    </w:p>
    <w:p w14:paraId="55F21B09" w14:textId="77777777" w:rsidR="001C5DD7" w:rsidRDefault="00137DF7" w:rsidP="00816477">
      <w:pPr>
        <w:pStyle w:val="AmdtsEntryHd"/>
        <w:rPr>
          <w:rFonts w:ascii="Helvetica" w:hAnsi="Helvetica" w:cs="Helvetica"/>
          <w:iCs/>
        </w:rPr>
      </w:pPr>
      <w:r w:rsidRPr="007E1F9A">
        <w:rPr>
          <w:rFonts w:ascii="Helvetica" w:hAnsi="Helvetica" w:cs="Helvetica"/>
          <w:iCs/>
        </w:rPr>
        <w:t>Evidence by certificate by Regulator generally</w:t>
      </w:r>
    </w:p>
    <w:p w14:paraId="440413CB" w14:textId="610EF8A2" w:rsidR="001C5DD7" w:rsidRDefault="00C92CF6" w:rsidP="008F4154">
      <w:pPr>
        <w:pStyle w:val="AmdtsEntries"/>
        <w:keepNext/>
      </w:pPr>
      <w:r>
        <w:t>s 711</w:t>
      </w:r>
      <w:r>
        <w:tab/>
        <w:t xml:space="preserve">mod </w:t>
      </w:r>
      <w:hyperlink r:id="rId841" w:tooltip="Heavy Vehicle National Law (ACT) Act 2013" w:history="1">
        <w:r w:rsidRPr="0068043D">
          <w:rPr>
            <w:rStyle w:val="charCitHyperlinkAbbrev"/>
          </w:rPr>
          <w:t>A2013-51</w:t>
        </w:r>
      </w:hyperlink>
      <w:r>
        <w:t xml:space="preserve"> mod</w:t>
      </w:r>
      <w:r w:rsidR="00137DF7">
        <w:t xml:space="preserve"> 1.6, mod</w:t>
      </w:r>
      <w:r>
        <w:t xml:space="preserve"> 1.7</w:t>
      </w:r>
    </w:p>
    <w:p w14:paraId="6B781F52" w14:textId="16654BBA" w:rsidR="00C75846" w:rsidRPr="001C5DD7" w:rsidRDefault="00C75846" w:rsidP="005E03F7">
      <w:pPr>
        <w:pStyle w:val="AmdtsEntries"/>
      </w:pPr>
      <w:r>
        <w:tab/>
        <w:t xml:space="preserve">am </w:t>
      </w:r>
      <w:hyperlink r:id="rId842" w:tooltip="Heavy Vehicle National Law and Other Legislation Amendment Act 2018" w:history="1">
        <w:r w:rsidR="007905AB" w:rsidRPr="005E03F7">
          <w:rPr>
            <w:rStyle w:val="Hyperlink"/>
          </w:rPr>
          <w:t>A2018-10 (Qld)</w:t>
        </w:r>
      </w:hyperlink>
      <w:r>
        <w:t xml:space="preserve"> s 41</w:t>
      </w:r>
    </w:p>
    <w:p w14:paraId="7A567F0D" w14:textId="77777777" w:rsidR="00C92CF6" w:rsidRDefault="00C92CF6" w:rsidP="00816477">
      <w:pPr>
        <w:pStyle w:val="AmdtsEntryHd"/>
        <w:rPr>
          <w:spacing w:val="-1"/>
        </w:rPr>
      </w:pPr>
      <w:r w:rsidRPr="007E1F9A">
        <w:rPr>
          <w:rFonts w:ascii="Helvetica" w:hAnsi="Helvetica" w:cs="Helvetica"/>
          <w:iCs/>
        </w:rPr>
        <w:t>Evidence by certificate by Regulator generally</w:t>
      </w:r>
    </w:p>
    <w:p w14:paraId="63551613" w14:textId="4716CF20" w:rsidR="00C92CF6" w:rsidRPr="001C5DD7" w:rsidRDefault="00C92CF6" w:rsidP="00C92CF6">
      <w:pPr>
        <w:pStyle w:val="AmdtsEntries"/>
      </w:pPr>
      <w:r>
        <w:t>s 712</w:t>
      </w:r>
      <w:r>
        <w:tab/>
        <w:t xml:space="preserve">mod </w:t>
      </w:r>
      <w:hyperlink r:id="rId843" w:tooltip="Heavy Vehicle National Law (ACT) Act 2013" w:history="1">
        <w:r w:rsidRPr="0068043D">
          <w:rPr>
            <w:rStyle w:val="charCitHyperlinkAbbrev"/>
          </w:rPr>
          <w:t>A2013-51</w:t>
        </w:r>
      </w:hyperlink>
      <w:r>
        <w:t xml:space="preserve"> mod 1.8, mod 1.9</w:t>
      </w:r>
      <w:r w:rsidR="00496FE6">
        <w:t>, mod 1.31</w:t>
      </w:r>
    </w:p>
    <w:p w14:paraId="523CB696" w14:textId="77777777" w:rsidR="00C92CF6" w:rsidRDefault="00C92CF6" w:rsidP="00816477">
      <w:pPr>
        <w:pStyle w:val="AmdtsEntryHd"/>
        <w:rPr>
          <w:rFonts w:ascii="Helvetica-Bold" w:hAnsi="Helvetica-Bold" w:cs="Helvetica-Bold"/>
          <w:bCs/>
          <w:szCs w:val="24"/>
          <w:lang w:eastAsia="en-AU"/>
        </w:rPr>
      </w:pPr>
      <w:r w:rsidRPr="009D47B1">
        <w:rPr>
          <w:lang w:eastAsia="en-AU"/>
        </w:rPr>
        <w:t xml:space="preserve">Evidence of contents of document examined by </w:t>
      </w:r>
      <w:r w:rsidRPr="009D47B1">
        <w:rPr>
          <w:rFonts w:ascii="Helvetica-Bold" w:hAnsi="Helvetica-Bold" w:cs="Helvetica-Bold"/>
          <w:bCs/>
          <w:szCs w:val="24"/>
          <w:lang w:eastAsia="en-AU"/>
        </w:rPr>
        <w:t>authorised officer</w:t>
      </w:r>
    </w:p>
    <w:p w14:paraId="7E35709B" w14:textId="5114CD13" w:rsidR="00C92CF6" w:rsidRPr="00C92CF6" w:rsidRDefault="00C92CF6" w:rsidP="00C92CF6">
      <w:pPr>
        <w:pStyle w:val="AmdtsEntries"/>
        <w:rPr>
          <w:lang w:eastAsia="en-AU"/>
        </w:rPr>
      </w:pPr>
      <w:r>
        <w:rPr>
          <w:lang w:eastAsia="en-AU"/>
        </w:rPr>
        <w:t>s 715A</w:t>
      </w:r>
      <w:r>
        <w:rPr>
          <w:lang w:eastAsia="en-AU"/>
        </w:rPr>
        <w:tab/>
        <w:t xml:space="preserve">ins as mod </w:t>
      </w:r>
      <w:hyperlink r:id="rId844" w:tooltip="Heavy Vehicle National Law (ACT) Act 2013" w:history="1">
        <w:r w:rsidRPr="0068043D">
          <w:rPr>
            <w:rStyle w:val="charCitHyperlinkAbbrev"/>
          </w:rPr>
          <w:t>A2013-51</w:t>
        </w:r>
      </w:hyperlink>
      <w:r>
        <w:rPr>
          <w:lang w:eastAsia="en-AU"/>
        </w:rPr>
        <w:t xml:space="preserve"> mod 1.10</w:t>
      </w:r>
    </w:p>
    <w:p w14:paraId="632DDB86" w14:textId="77777777" w:rsidR="006540FD" w:rsidRDefault="007E3FD5" w:rsidP="006540FD">
      <w:pPr>
        <w:pStyle w:val="AmdtsEntryHd"/>
      </w:pPr>
      <w:r w:rsidRPr="007E1F9A">
        <w:rPr>
          <w:rFonts w:ascii="Helvetica" w:hAnsi="Helvetica" w:cs="Helvetica"/>
          <w:iCs/>
        </w:rPr>
        <w:t>Certificates of TCA</w:t>
      </w:r>
    </w:p>
    <w:p w14:paraId="714B8F33" w14:textId="260C3290" w:rsidR="006540FD" w:rsidRPr="008575CD" w:rsidRDefault="006540FD" w:rsidP="005E03F7">
      <w:pPr>
        <w:pStyle w:val="AmdtsEntries"/>
      </w:pPr>
      <w:r>
        <w:t>s 721</w:t>
      </w:r>
      <w:r>
        <w:tab/>
        <w:t xml:space="preserve">am </w:t>
      </w:r>
      <w:hyperlink r:id="rId845" w:tooltip="Heavy Vehicle National Law and Other Legislation Amendment Act 2016" w:history="1">
        <w:r w:rsidR="00D10E33" w:rsidRPr="005E03F7">
          <w:rPr>
            <w:rStyle w:val="Hyperlink"/>
          </w:rPr>
          <w:t>A2016-65 (Qld)</w:t>
        </w:r>
      </w:hyperlink>
      <w:r>
        <w:t xml:space="preserve"> s 139</w:t>
      </w:r>
    </w:p>
    <w:p w14:paraId="7AC18A77" w14:textId="77777777" w:rsidR="00D339FC" w:rsidRDefault="00D339FC" w:rsidP="00D339FC">
      <w:pPr>
        <w:pStyle w:val="AmdtsEntryHd"/>
        <w:rPr>
          <w:rFonts w:ascii="Helvetica" w:hAnsi="Helvetica" w:cs="Helvetica"/>
          <w:iCs/>
        </w:rPr>
      </w:pPr>
      <w:r>
        <w:rPr>
          <w:rFonts w:ascii="Helvetica" w:hAnsi="Helvetica" w:cs="Helvetica"/>
          <w:iCs/>
        </w:rPr>
        <w:t>Documents produced by an electronic recording system</w:t>
      </w:r>
    </w:p>
    <w:p w14:paraId="6DE9E9A5" w14:textId="3CFC7DED" w:rsidR="00D339FC" w:rsidRPr="009255F3" w:rsidRDefault="00D339FC" w:rsidP="00D339FC">
      <w:pPr>
        <w:pStyle w:val="AmdtsEntries"/>
      </w:pPr>
      <w:r>
        <w:t>s 725</w:t>
      </w:r>
      <w:r>
        <w:tab/>
        <w:t xml:space="preserve">am </w:t>
      </w:r>
      <w:hyperlink r:id="rId846" w:tooltip="Heavy Vehicle National Law Amendment Act 2015" w:history="1">
        <w:r w:rsidR="00BA6441">
          <w:rPr>
            <w:rStyle w:val="charCitHyperlinkAbbrev"/>
          </w:rPr>
          <w:t>A2015-12</w:t>
        </w:r>
      </w:hyperlink>
      <w:r w:rsidR="00BA6441">
        <w:t xml:space="preserve"> (Qld)</w:t>
      </w:r>
      <w:r>
        <w:t xml:space="preserve"> s 59</w:t>
      </w:r>
    </w:p>
    <w:p w14:paraId="41B546DE" w14:textId="77777777" w:rsidR="006C64C2" w:rsidRPr="006C64C2" w:rsidRDefault="006C64C2" w:rsidP="00AC6F37">
      <w:pPr>
        <w:pStyle w:val="AmdtsEntryHd"/>
      </w:pPr>
      <w:r w:rsidRPr="006C64C2">
        <w:rPr>
          <w:lang w:val="en"/>
        </w:rPr>
        <w:t>Evidence of offence</w:t>
      </w:r>
    </w:p>
    <w:p w14:paraId="626C8A17" w14:textId="3D77CF1B" w:rsidR="006C64C2" w:rsidRPr="006C64C2" w:rsidRDefault="006C64C2" w:rsidP="005E03F7">
      <w:pPr>
        <w:pStyle w:val="AmdtsEntries"/>
        <w:rPr>
          <w:lang w:val="en"/>
        </w:rPr>
      </w:pPr>
      <w:r>
        <w:rPr>
          <w:lang w:val="en"/>
        </w:rPr>
        <w:t>s 726A</w:t>
      </w:r>
      <w:r>
        <w:rPr>
          <w:lang w:val="en"/>
        </w:rPr>
        <w:tab/>
      </w:r>
      <w:r>
        <w:t xml:space="preserve">ins </w:t>
      </w:r>
      <w:hyperlink r:id="rId847" w:tooltip="Heavy Vehicle National Law and Other Legislation Amendment Act 2016" w:history="1">
        <w:r w:rsidR="00D10E33" w:rsidRPr="005E03F7">
          <w:rPr>
            <w:rStyle w:val="Hyperlink"/>
          </w:rPr>
          <w:t>A2016-65 (Qld)</w:t>
        </w:r>
      </w:hyperlink>
      <w:r>
        <w:t xml:space="preserve"> s 110</w:t>
      </w:r>
    </w:p>
    <w:p w14:paraId="78FA6D38" w14:textId="77777777" w:rsidR="00CD0F07" w:rsidRPr="001B2571" w:rsidRDefault="00CD0F07" w:rsidP="00AC6F37">
      <w:pPr>
        <w:pStyle w:val="AmdtsEntryHd"/>
      </w:pPr>
      <w:r w:rsidRPr="001B2571">
        <w:rPr>
          <w:lang w:val="en"/>
        </w:rPr>
        <w:t>Evidence obtained by police using other powers</w:t>
      </w:r>
    </w:p>
    <w:p w14:paraId="3A3CE785" w14:textId="385108C3" w:rsidR="00CD0F07" w:rsidRPr="00CD0F07" w:rsidRDefault="00CD0F07" w:rsidP="005E03F7">
      <w:pPr>
        <w:pStyle w:val="AmdtsEntries"/>
        <w:rPr>
          <w:lang w:val="en"/>
        </w:rPr>
      </w:pPr>
      <w:r>
        <w:rPr>
          <w:lang w:val="en"/>
        </w:rPr>
        <w:t>s 726B</w:t>
      </w:r>
      <w:r>
        <w:rPr>
          <w:lang w:val="en"/>
        </w:rPr>
        <w:tab/>
        <w:t xml:space="preserve">ins </w:t>
      </w:r>
      <w:hyperlink r:id="rId848" w:tooltip="Heavy Vehicle National Law Amendment Act 2018" w:history="1">
        <w:r w:rsidR="00CB7A54" w:rsidRPr="005E03F7">
          <w:rPr>
            <w:rStyle w:val="Hyperlink"/>
          </w:rPr>
          <w:t>A2018-18 (Qld)</w:t>
        </w:r>
      </w:hyperlink>
      <w:r w:rsidR="001B2571">
        <w:t xml:space="preserve"> s 31</w:t>
      </w:r>
    </w:p>
    <w:p w14:paraId="4D8A9BA1" w14:textId="77777777" w:rsidR="001B2571" w:rsidRPr="001B2571" w:rsidRDefault="001B2571" w:rsidP="001B2571">
      <w:pPr>
        <w:pStyle w:val="AmdtsEntryHd"/>
      </w:pPr>
      <w:r w:rsidRPr="001B2571">
        <w:rPr>
          <w:lang w:val="en"/>
        </w:rPr>
        <w:t>Evidence obtained in another jurisdiction</w:t>
      </w:r>
    </w:p>
    <w:p w14:paraId="59813FCF" w14:textId="17CA0565" w:rsidR="001B2571" w:rsidRPr="00CD0F07" w:rsidRDefault="001B2571" w:rsidP="005E03F7">
      <w:pPr>
        <w:pStyle w:val="AmdtsEntries"/>
        <w:rPr>
          <w:lang w:val="en"/>
        </w:rPr>
      </w:pPr>
      <w:r>
        <w:rPr>
          <w:lang w:val="en"/>
        </w:rPr>
        <w:t>s 726C</w:t>
      </w:r>
      <w:r>
        <w:rPr>
          <w:lang w:val="en"/>
        </w:rPr>
        <w:tab/>
        <w:t xml:space="preserve">ins </w:t>
      </w:r>
      <w:hyperlink r:id="rId849" w:tooltip="Heavy Vehicle National Law Amendment Act 2018" w:history="1">
        <w:r w:rsidR="00FE30B7" w:rsidRPr="005E03F7">
          <w:rPr>
            <w:rStyle w:val="Hyperlink"/>
          </w:rPr>
          <w:t>A2018-18 (Qld)</w:t>
        </w:r>
      </w:hyperlink>
      <w:r>
        <w:t xml:space="preserve"> s 31</w:t>
      </w:r>
    </w:p>
    <w:p w14:paraId="4E79DD9C" w14:textId="77777777" w:rsidR="001B2571" w:rsidRPr="001B2571" w:rsidRDefault="001B2571" w:rsidP="00AC6F37">
      <w:pPr>
        <w:pStyle w:val="AmdtsEntryHd"/>
      </w:pPr>
      <w:r w:rsidRPr="001B2571">
        <w:rPr>
          <w:lang w:val="en"/>
        </w:rPr>
        <w:t>Publication of court outcomes</w:t>
      </w:r>
    </w:p>
    <w:p w14:paraId="34379BB7" w14:textId="3C3DC464" w:rsidR="001B2571" w:rsidRPr="001B2571" w:rsidRDefault="001B2571" w:rsidP="005E03F7">
      <w:pPr>
        <w:pStyle w:val="AmdtsEntries"/>
        <w:rPr>
          <w:lang w:val="en"/>
        </w:rPr>
      </w:pPr>
      <w:r>
        <w:rPr>
          <w:lang w:val="en"/>
        </w:rPr>
        <w:t>pt 13.3 div 3</w:t>
      </w:r>
      <w:r w:rsidR="000A4E8F">
        <w:rPr>
          <w:lang w:val="en"/>
        </w:rPr>
        <w:t xml:space="preserve"> hdg</w:t>
      </w:r>
      <w:r>
        <w:rPr>
          <w:lang w:val="en"/>
        </w:rPr>
        <w:tab/>
        <w:t xml:space="preserve">ins </w:t>
      </w:r>
      <w:hyperlink r:id="rId850" w:tooltip="Heavy Vehicle National Law Amendment Act 2018" w:history="1">
        <w:r w:rsidR="00FE30B7" w:rsidRPr="005E03F7">
          <w:rPr>
            <w:rStyle w:val="Hyperlink"/>
          </w:rPr>
          <w:t>A2018-18 (Qld)</w:t>
        </w:r>
      </w:hyperlink>
      <w:r>
        <w:t xml:space="preserve"> s 32</w:t>
      </w:r>
    </w:p>
    <w:p w14:paraId="545D807D" w14:textId="77777777" w:rsidR="001B2571" w:rsidRPr="000A4E8F" w:rsidRDefault="000A4E8F" w:rsidP="001B2571">
      <w:pPr>
        <w:pStyle w:val="AmdtsEntryHd"/>
      </w:pPr>
      <w:r w:rsidRPr="000A4E8F">
        <w:rPr>
          <w:lang w:val="en"/>
        </w:rPr>
        <w:t>Regulator may publish convictions, penalties, orders, etc.</w:t>
      </w:r>
    </w:p>
    <w:p w14:paraId="2217206A" w14:textId="28A3FBDC" w:rsidR="001B2571" w:rsidRPr="001B2571" w:rsidRDefault="000A4E8F" w:rsidP="005E03F7">
      <w:pPr>
        <w:pStyle w:val="AmdtsEntries"/>
        <w:rPr>
          <w:lang w:val="en"/>
        </w:rPr>
      </w:pPr>
      <w:r>
        <w:rPr>
          <w:lang w:val="en"/>
        </w:rPr>
        <w:t>s 726D</w:t>
      </w:r>
      <w:r w:rsidR="001B2571">
        <w:rPr>
          <w:lang w:val="en"/>
        </w:rPr>
        <w:tab/>
        <w:t xml:space="preserve">ins </w:t>
      </w:r>
      <w:hyperlink r:id="rId851" w:tooltip="Heavy Vehicle National Law Amendment Act 2018" w:history="1">
        <w:r w:rsidR="00FE30B7" w:rsidRPr="005E03F7">
          <w:rPr>
            <w:rStyle w:val="Hyperlink"/>
          </w:rPr>
          <w:t>A2018-18 (Qld)</w:t>
        </w:r>
      </w:hyperlink>
      <w:r w:rsidR="001B2571">
        <w:t xml:space="preserve"> s 32</w:t>
      </w:r>
    </w:p>
    <w:p w14:paraId="6C4356A6" w14:textId="77777777" w:rsidR="00AC6F37" w:rsidRPr="004B4F2A" w:rsidRDefault="00AC6F37" w:rsidP="00AC6F37">
      <w:pPr>
        <w:pStyle w:val="AmdtsEntryHd"/>
      </w:pPr>
      <w:r>
        <w:t>Definitions for Pt 13.4</w:t>
      </w:r>
    </w:p>
    <w:p w14:paraId="6E601DD5" w14:textId="3601DDFF" w:rsidR="009278BF" w:rsidRDefault="00AC6F37" w:rsidP="005E03F7">
      <w:pPr>
        <w:pStyle w:val="AmdtsEntries"/>
      </w:pPr>
      <w:r>
        <w:t>s 727</w:t>
      </w:r>
      <w:r w:rsidR="009278BF">
        <w:tab/>
        <w:t xml:space="preserve">am </w:t>
      </w:r>
      <w:hyperlink r:id="rId852" w:tooltip="Heavy Vehicle National Law and Other Legislation Amendment Act 2016" w:history="1">
        <w:r w:rsidR="00D10E33" w:rsidRPr="005E03F7">
          <w:rPr>
            <w:rStyle w:val="Hyperlink"/>
          </w:rPr>
          <w:t>A2016-65 (Qld)</w:t>
        </w:r>
      </w:hyperlink>
      <w:r w:rsidR="009278BF">
        <w:t xml:space="preserve"> s 139</w:t>
      </w:r>
    </w:p>
    <w:p w14:paraId="78655436" w14:textId="00AE4686" w:rsidR="00AC6F37" w:rsidRDefault="00AC6F37" w:rsidP="00AC6F37">
      <w:pPr>
        <w:pStyle w:val="AmdtsEntries"/>
      </w:pPr>
      <w:r>
        <w:lastRenderedPageBreak/>
        <w:tab/>
        <w:t xml:space="preserve">def </w:t>
      </w:r>
      <w:r>
        <w:rPr>
          <w:rStyle w:val="charBoldItals"/>
        </w:rPr>
        <w:t xml:space="preserve">driver fatigue compliance function </w:t>
      </w:r>
      <w:r>
        <w:t xml:space="preserve">ins </w:t>
      </w:r>
      <w:hyperlink r:id="rId853" w:tooltip="Heavy Vehicle National Law Amendment Act 2015" w:history="1">
        <w:r w:rsidR="00BA6441">
          <w:rPr>
            <w:rStyle w:val="charCitHyperlinkAbbrev"/>
          </w:rPr>
          <w:t>A2015-12</w:t>
        </w:r>
      </w:hyperlink>
      <w:r w:rsidR="00BA6441">
        <w:t xml:space="preserve"> (Qld)</w:t>
      </w:r>
      <w:r>
        <w:t xml:space="preserve"> s 60</w:t>
      </w:r>
    </w:p>
    <w:p w14:paraId="625C81BE" w14:textId="38D42FB6" w:rsidR="00AC6F37" w:rsidRDefault="00AC6F37" w:rsidP="00AC6F37">
      <w:pPr>
        <w:pStyle w:val="AmdtsEntries"/>
      </w:pPr>
      <w:r>
        <w:tab/>
        <w:t xml:space="preserve">def </w:t>
      </w:r>
      <w:r>
        <w:rPr>
          <w:rStyle w:val="charBoldItals"/>
        </w:rPr>
        <w:t xml:space="preserve">driver fatigue provision </w:t>
      </w:r>
      <w:r>
        <w:t xml:space="preserve">ins </w:t>
      </w:r>
      <w:hyperlink r:id="rId854" w:tooltip="Heavy Vehicle National Law Amendment Act 2015" w:history="1">
        <w:r w:rsidR="00BA6441">
          <w:rPr>
            <w:rStyle w:val="charCitHyperlinkAbbrev"/>
          </w:rPr>
          <w:t>A2015-12</w:t>
        </w:r>
      </w:hyperlink>
      <w:r w:rsidR="00BA6441">
        <w:t xml:space="preserve"> (Qld)</w:t>
      </w:r>
      <w:r>
        <w:t xml:space="preserve"> s 60</w:t>
      </w:r>
    </w:p>
    <w:p w14:paraId="11EA460B" w14:textId="3F373954" w:rsidR="00F91F10" w:rsidRDefault="00F91F10" w:rsidP="005E03F7">
      <w:pPr>
        <w:pStyle w:val="AmdtsEntriesDefL2"/>
      </w:pPr>
      <w:r>
        <w:tab/>
        <w:t xml:space="preserve">am </w:t>
      </w:r>
      <w:hyperlink r:id="rId855" w:tooltip="Heavy Vehicle National Law Amendment Act 2018" w:history="1">
        <w:r w:rsidR="00FE30B7" w:rsidRPr="005E03F7">
          <w:rPr>
            <w:rStyle w:val="Hyperlink"/>
          </w:rPr>
          <w:t>A2018-18 (Qld)</w:t>
        </w:r>
      </w:hyperlink>
      <w:r>
        <w:t xml:space="preserve"> s 33</w:t>
      </w:r>
    </w:p>
    <w:p w14:paraId="638DDCAD" w14:textId="449F1326" w:rsidR="00AC6F37" w:rsidRDefault="00AC6F37" w:rsidP="00AC6F37">
      <w:pPr>
        <w:pStyle w:val="AmdtsEntries"/>
      </w:pPr>
      <w:r>
        <w:tab/>
        <w:t xml:space="preserve">def </w:t>
      </w:r>
      <w:r>
        <w:rPr>
          <w:rStyle w:val="charBoldItals"/>
        </w:rPr>
        <w:t xml:space="preserve">electronic work diary authorised use </w:t>
      </w:r>
      <w:r>
        <w:t xml:space="preserve">ins </w:t>
      </w:r>
      <w:hyperlink r:id="rId856" w:tooltip="Heavy Vehicle National Law Amendment Act 2015" w:history="1">
        <w:r w:rsidR="00BA6441">
          <w:rPr>
            <w:rStyle w:val="charCitHyperlinkAbbrev"/>
          </w:rPr>
          <w:t>A2015-12</w:t>
        </w:r>
      </w:hyperlink>
      <w:r w:rsidR="00BA6441">
        <w:t xml:space="preserve"> (Qld)</w:t>
      </w:r>
      <w:r>
        <w:t xml:space="preserve"> s 60</w:t>
      </w:r>
    </w:p>
    <w:p w14:paraId="5457BA07" w14:textId="25AE6529" w:rsidR="00AC6F37" w:rsidRDefault="00AC6F37" w:rsidP="00AC6F37">
      <w:pPr>
        <w:pStyle w:val="AmdtsEntries"/>
      </w:pPr>
      <w:r>
        <w:tab/>
        <w:t xml:space="preserve">def </w:t>
      </w:r>
      <w:r>
        <w:rPr>
          <w:rStyle w:val="charBoldItals"/>
        </w:rPr>
        <w:t xml:space="preserve">electronic work diary information </w:t>
      </w:r>
      <w:r>
        <w:t xml:space="preserve">ins </w:t>
      </w:r>
      <w:hyperlink r:id="rId857" w:tooltip="Heavy Vehicle National Law Amendment Act 2015" w:history="1">
        <w:r w:rsidR="00BA6441">
          <w:rPr>
            <w:rStyle w:val="charCitHyperlinkAbbrev"/>
          </w:rPr>
          <w:t>A2015-12</w:t>
        </w:r>
      </w:hyperlink>
      <w:r w:rsidR="00BA6441">
        <w:t xml:space="preserve"> (Qld)</w:t>
      </w:r>
      <w:r w:rsidR="00FB165B">
        <w:t xml:space="preserve"> s </w:t>
      </w:r>
      <w:r>
        <w:t>60</w:t>
      </w:r>
    </w:p>
    <w:p w14:paraId="44888EEF" w14:textId="2E6B8CE5" w:rsidR="00AC6F37" w:rsidRDefault="00AC6F37" w:rsidP="00C22C6A">
      <w:pPr>
        <w:pStyle w:val="AmdtsEntries"/>
        <w:keepNext/>
      </w:pPr>
      <w:r>
        <w:tab/>
        <w:t xml:space="preserve">def </w:t>
      </w:r>
      <w:r>
        <w:rPr>
          <w:rStyle w:val="charBoldItals"/>
        </w:rPr>
        <w:t xml:space="preserve">electronic work diary protected information </w:t>
      </w:r>
      <w:r>
        <w:t>ins</w:t>
      </w:r>
      <w:r w:rsidR="001A408C">
        <w:br/>
      </w:r>
      <w:hyperlink r:id="rId858" w:tooltip="Heavy Vehicle National Law Amendment Act 2015" w:history="1">
        <w:r w:rsidR="00BA6441">
          <w:rPr>
            <w:rStyle w:val="charCitHyperlinkAbbrev"/>
          </w:rPr>
          <w:t>A2015-12</w:t>
        </w:r>
      </w:hyperlink>
      <w:r w:rsidR="00BA6441">
        <w:t xml:space="preserve"> (Qld)</w:t>
      </w:r>
      <w:r>
        <w:t xml:space="preserve"> s 60</w:t>
      </w:r>
    </w:p>
    <w:p w14:paraId="45E05259" w14:textId="6F08ED1A" w:rsidR="00F91F10" w:rsidRDefault="00F91F10" w:rsidP="005E03F7">
      <w:pPr>
        <w:pStyle w:val="AmdtsEntriesDefL2"/>
      </w:pPr>
      <w:r>
        <w:tab/>
        <w:t xml:space="preserve">am </w:t>
      </w:r>
      <w:hyperlink r:id="rId859" w:tooltip="Heavy Vehicle National Law Amendment Act 2018" w:history="1">
        <w:r w:rsidR="00FE30B7" w:rsidRPr="005E03F7">
          <w:rPr>
            <w:rStyle w:val="Hyperlink"/>
          </w:rPr>
          <w:t>A2018-18 (Qld)</w:t>
        </w:r>
      </w:hyperlink>
      <w:r>
        <w:t xml:space="preserve"> s 33</w:t>
      </w:r>
    </w:p>
    <w:p w14:paraId="49C3ECE9" w14:textId="77777777" w:rsidR="003D2F8E" w:rsidRDefault="003D2F8E" w:rsidP="003D2F8E">
      <w:pPr>
        <w:pStyle w:val="AmdtsEntryHd"/>
        <w:rPr>
          <w:rFonts w:ascii="Helvetica" w:hAnsi="Helvetica" w:cs="Helvetica"/>
          <w:iCs/>
        </w:rPr>
      </w:pPr>
      <w:r>
        <w:rPr>
          <w:rFonts w:ascii="Helvetica" w:hAnsi="Helvetica" w:cs="Helvetica"/>
          <w:iCs/>
        </w:rPr>
        <w:t>Duty of confidentiality for protected information</w:t>
      </w:r>
    </w:p>
    <w:p w14:paraId="7C64728B" w14:textId="447CFC53" w:rsidR="003D2F8E" w:rsidRPr="009255F3" w:rsidRDefault="003D2F8E" w:rsidP="003D2F8E">
      <w:pPr>
        <w:pStyle w:val="AmdtsEntries"/>
      </w:pPr>
      <w:r>
        <w:t>s 728 hdg</w:t>
      </w:r>
      <w:r>
        <w:tab/>
        <w:t xml:space="preserve">am </w:t>
      </w:r>
      <w:hyperlink r:id="rId860" w:tooltip="Heavy Vehicle National Law Amendment Act 2015" w:history="1">
        <w:r w:rsidR="00BA6441">
          <w:rPr>
            <w:rStyle w:val="charCitHyperlinkAbbrev"/>
          </w:rPr>
          <w:t>A2015-12</w:t>
        </w:r>
      </w:hyperlink>
      <w:r w:rsidR="00BA6441">
        <w:t xml:space="preserve"> (Qld)</w:t>
      </w:r>
      <w:r w:rsidR="009C6B2D">
        <w:t xml:space="preserve"> </w:t>
      </w:r>
      <w:r>
        <w:t>s 61</w:t>
      </w:r>
    </w:p>
    <w:p w14:paraId="348B3EC6" w14:textId="77777777" w:rsidR="003D2F8E" w:rsidRDefault="003D2F8E" w:rsidP="003D2F8E">
      <w:pPr>
        <w:pStyle w:val="AmdtsEntryHd"/>
        <w:rPr>
          <w:rFonts w:ascii="Helvetica" w:hAnsi="Helvetica" w:cs="Helvetica"/>
          <w:iCs/>
        </w:rPr>
      </w:pPr>
      <w:r>
        <w:rPr>
          <w:rFonts w:ascii="Helvetica" w:hAnsi="Helvetica" w:cs="Helvetica"/>
          <w:iCs/>
        </w:rPr>
        <w:t>Duty of confidentiality for electronic work diary protected information</w:t>
      </w:r>
    </w:p>
    <w:p w14:paraId="5CF40A92" w14:textId="09E8DBFD" w:rsidR="003D2F8E" w:rsidRPr="00FB0A49" w:rsidRDefault="003D2F8E" w:rsidP="003D2F8E">
      <w:pPr>
        <w:pStyle w:val="AmdtsEntries"/>
      </w:pPr>
      <w:r>
        <w:t>s 728A</w:t>
      </w:r>
      <w:r>
        <w:tab/>
        <w:t xml:space="preserve">ins </w:t>
      </w:r>
      <w:hyperlink r:id="rId861" w:tooltip="Heavy Vehicle National Law Amendment Act 2015" w:history="1">
        <w:r w:rsidR="00BA6441">
          <w:rPr>
            <w:rStyle w:val="charCitHyperlinkAbbrev"/>
          </w:rPr>
          <w:t>A2015-12</w:t>
        </w:r>
      </w:hyperlink>
      <w:r w:rsidR="00BA6441">
        <w:t xml:space="preserve"> (Qld)</w:t>
      </w:r>
      <w:r>
        <w:t xml:space="preserve"> s 62</w:t>
      </w:r>
    </w:p>
    <w:p w14:paraId="1946584F" w14:textId="77777777" w:rsidR="003D2F8E" w:rsidRDefault="003D2F8E" w:rsidP="003D2F8E">
      <w:pPr>
        <w:pStyle w:val="AmdtsEntryHd"/>
        <w:rPr>
          <w:rFonts w:ascii="Helvetica" w:hAnsi="Helvetica" w:cs="Helvetica"/>
          <w:iCs/>
        </w:rPr>
      </w:pPr>
      <w:r>
        <w:rPr>
          <w:rFonts w:ascii="Helvetica" w:hAnsi="Helvetica" w:cs="Helvetica"/>
          <w:iCs/>
        </w:rPr>
        <w:t>Electronic work diary protected information only to be used for electronic work diary authorised use</w:t>
      </w:r>
    </w:p>
    <w:p w14:paraId="3AB69D4D" w14:textId="454C3899" w:rsidR="003D2F8E" w:rsidRPr="00FB0A49" w:rsidRDefault="003D2F8E" w:rsidP="003D2F8E">
      <w:pPr>
        <w:pStyle w:val="AmdtsEntries"/>
      </w:pPr>
      <w:r>
        <w:t>s 729A</w:t>
      </w:r>
      <w:r>
        <w:tab/>
        <w:t xml:space="preserve">ins </w:t>
      </w:r>
      <w:hyperlink r:id="rId862" w:tooltip="Heavy Vehicle National Law Amendment Act 2015" w:history="1">
        <w:r w:rsidR="00BA6441">
          <w:rPr>
            <w:rStyle w:val="charCitHyperlinkAbbrev"/>
          </w:rPr>
          <w:t>A2015-12</w:t>
        </w:r>
      </w:hyperlink>
      <w:r w:rsidR="00BA6441">
        <w:t xml:space="preserve"> (Qld)</w:t>
      </w:r>
      <w:r>
        <w:t xml:space="preserve"> s 63</w:t>
      </w:r>
    </w:p>
    <w:p w14:paraId="0ABD5B35" w14:textId="77777777" w:rsidR="003D2F8E" w:rsidRDefault="003D2F8E" w:rsidP="003D2F8E">
      <w:pPr>
        <w:pStyle w:val="AmdtsEntryHd"/>
        <w:rPr>
          <w:rFonts w:ascii="Helvetica" w:hAnsi="Helvetica" w:cs="Helvetica"/>
          <w:iCs/>
        </w:rPr>
      </w:pPr>
      <w:r>
        <w:rPr>
          <w:rFonts w:ascii="Helvetica" w:hAnsi="Helvetica" w:cs="Helvetica"/>
          <w:iCs/>
        </w:rPr>
        <w:t>Warrant authorising use of electronic work diary protected information</w:t>
      </w:r>
    </w:p>
    <w:p w14:paraId="1D60B7A1" w14:textId="18242E8F" w:rsidR="00AC6F37" w:rsidRPr="0088331D" w:rsidRDefault="003D2F8E" w:rsidP="0088331D">
      <w:pPr>
        <w:pStyle w:val="AmdtsEntries"/>
      </w:pPr>
      <w:r>
        <w:t>s 729B</w:t>
      </w:r>
      <w:r>
        <w:tab/>
        <w:t xml:space="preserve">ins </w:t>
      </w:r>
      <w:hyperlink r:id="rId863" w:tooltip="Heavy Vehicle National Law Amendment Act 2015" w:history="1">
        <w:r w:rsidR="00BA6441">
          <w:rPr>
            <w:rStyle w:val="charCitHyperlinkAbbrev"/>
          </w:rPr>
          <w:t>A2015-12</w:t>
        </w:r>
      </w:hyperlink>
      <w:r w:rsidR="00BA6441">
        <w:t xml:space="preserve"> (Qld)</w:t>
      </w:r>
      <w:r>
        <w:t xml:space="preserve"> s 63</w:t>
      </w:r>
    </w:p>
    <w:p w14:paraId="227157E2" w14:textId="77777777" w:rsidR="00E539D0" w:rsidRDefault="00E539D0" w:rsidP="006C64C2">
      <w:pPr>
        <w:pStyle w:val="AmdtsEntryHd"/>
        <w:rPr>
          <w:rFonts w:ascii="Helvetica" w:hAnsi="Helvetica" w:cs="Helvetica"/>
        </w:rPr>
      </w:pPr>
      <w:r w:rsidRPr="007E1F9A">
        <w:rPr>
          <w:rFonts w:ascii="Helvetica" w:hAnsi="Helvetica" w:cs="Helvetica"/>
        </w:rPr>
        <w:t>National regulations</w:t>
      </w:r>
    </w:p>
    <w:p w14:paraId="71453C03" w14:textId="3F1AE9C8" w:rsidR="00E539D0" w:rsidRPr="00E539D0" w:rsidRDefault="00E539D0" w:rsidP="005E03F7">
      <w:pPr>
        <w:pStyle w:val="AmdtsEntries"/>
      </w:pPr>
      <w:r>
        <w:t>s 730</w:t>
      </w:r>
      <w:r>
        <w:tab/>
        <w:t xml:space="preserve">am </w:t>
      </w:r>
      <w:hyperlink r:id="rId864" w:tooltip="Heavy Vehicle National Law Amendment Act 2018" w:history="1">
        <w:r w:rsidR="00FE30B7" w:rsidRPr="005E03F7">
          <w:rPr>
            <w:rStyle w:val="Hyperlink"/>
          </w:rPr>
          <w:t>A2018-18 (Qld)</w:t>
        </w:r>
      </w:hyperlink>
      <w:r>
        <w:t xml:space="preserve"> s 34</w:t>
      </w:r>
    </w:p>
    <w:p w14:paraId="081C20CD" w14:textId="77777777" w:rsidR="006C64C2" w:rsidRPr="006C64C2" w:rsidRDefault="006C64C2" w:rsidP="006C64C2">
      <w:pPr>
        <w:pStyle w:val="AmdtsEntryHd"/>
      </w:pPr>
      <w:r w:rsidRPr="006C64C2">
        <w:rPr>
          <w:lang w:val="en"/>
        </w:rPr>
        <w:t>Legal professional privilege</w:t>
      </w:r>
    </w:p>
    <w:p w14:paraId="3A23068E" w14:textId="06878297" w:rsidR="006C64C2" w:rsidRPr="006C64C2" w:rsidRDefault="006C64C2" w:rsidP="005E03F7">
      <w:pPr>
        <w:pStyle w:val="AmdtsEntries"/>
        <w:rPr>
          <w:lang w:val="en"/>
        </w:rPr>
      </w:pPr>
      <w:r>
        <w:rPr>
          <w:lang w:val="en"/>
        </w:rPr>
        <w:t>s 735A</w:t>
      </w:r>
      <w:r>
        <w:rPr>
          <w:lang w:val="en"/>
        </w:rPr>
        <w:tab/>
      </w:r>
      <w:r>
        <w:t xml:space="preserve">ins </w:t>
      </w:r>
      <w:hyperlink r:id="rId865" w:tooltip="Heavy Vehicle National Law and Other Legislation Amendment Act 2016" w:history="1">
        <w:r w:rsidR="00D10E33" w:rsidRPr="005E03F7">
          <w:rPr>
            <w:rStyle w:val="Hyperlink"/>
          </w:rPr>
          <w:t>A2016-65 (Qld)</w:t>
        </w:r>
      </w:hyperlink>
      <w:r>
        <w:t xml:space="preserve"> s 111</w:t>
      </w:r>
    </w:p>
    <w:p w14:paraId="6CBF4442" w14:textId="77777777" w:rsidR="008D633A" w:rsidRDefault="008D633A" w:rsidP="008D633A">
      <w:pPr>
        <w:pStyle w:val="AmdtsEntryHd"/>
      </w:pPr>
      <w:r w:rsidRPr="007E1F9A">
        <w:rPr>
          <w:rFonts w:ascii="Helvetica" w:hAnsi="Helvetica" w:cs="Helvetica"/>
        </w:rPr>
        <w:t>Increase of penalty amounts</w:t>
      </w:r>
    </w:p>
    <w:p w14:paraId="00AA8D8B" w14:textId="17A981AC" w:rsidR="005525A2" w:rsidRDefault="008D633A" w:rsidP="008D633A">
      <w:pPr>
        <w:pStyle w:val="AmdtsEntries"/>
      </w:pPr>
      <w:r>
        <w:rPr>
          <w:bCs/>
        </w:rPr>
        <w:t>s 737</w:t>
      </w:r>
      <w:r w:rsidR="005525A2">
        <w:tab/>
        <w:t xml:space="preserve">mod </w:t>
      </w:r>
      <w:hyperlink r:id="rId866" w:tooltip="Heavy Vehicle National Law (ACT) Act 2013" w:history="1">
        <w:r w:rsidR="005525A2" w:rsidRPr="0068043D">
          <w:rPr>
            <w:rStyle w:val="charCitHyperlinkAbbrev"/>
          </w:rPr>
          <w:t>A2013-51</w:t>
        </w:r>
      </w:hyperlink>
      <w:r w:rsidR="005525A2">
        <w:t xml:space="preserve"> mod 1.11</w:t>
      </w:r>
    </w:p>
    <w:p w14:paraId="2A04C0D3" w14:textId="5CE05A68" w:rsidR="00E539D0" w:rsidRDefault="00E539D0" w:rsidP="005E03F7">
      <w:pPr>
        <w:pStyle w:val="AmdtsEntries"/>
      </w:pPr>
      <w:r>
        <w:tab/>
        <w:t xml:space="preserve">am </w:t>
      </w:r>
      <w:hyperlink r:id="rId867" w:tooltip="Heavy Vehicle National Law Amendment Act 2018" w:history="1">
        <w:r w:rsidR="00FE30B7" w:rsidRPr="005E03F7">
          <w:rPr>
            <w:rStyle w:val="Hyperlink"/>
          </w:rPr>
          <w:t>A2018-18 (Qld)</w:t>
        </w:r>
      </w:hyperlink>
      <w:r>
        <w:t xml:space="preserve"> s 35</w:t>
      </w:r>
    </w:p>
    <w:p w14:paraId="13662264" w14:textId="77777777" w:rsidR="00F739C5" w:rsidRPr="00F739C5" w:rsidRDefault="00F739C5" w:rsidP="009B735E">
      <w:pPr>
        <w:pStyle w:val="AmdtsEntryHd"/>
      </w:pPr>
      <w:r w:rsidRPr="00F739C5">
        <w:rPr>
          <w:lang w:val="en"/>
        </w:rPr>
        <w:t>Application of s 737 to new penalties</w:t>
      </w:r>
    </w:p>
    <w:p w14:paraId="50421D19" w14:textId="25F92718" w:rsidR="00F739C5" w:rsidRPr="00F739C5" w:rsidRDefault="00F739C5" w:rsidP="005E03F7">
      <w:pPr>
        <w:pStyle w:val="AmdtsEntries"/>
        <w:rPr>
          <w:lang w:val="en"/>
        </w:rPr>
      </w:pPr>
      <w:r>
        <w:rPr>
          <w:lang w:val="en"/>
        </w:rPr>
        <w:t>s 737A</w:t>
      </w:r>
      <w:r>
        <w:rPr>
          <w:lang w:val="en"/>
        </w:rPr>
        <w:tab/>
        <w:t>ins</w:t>
      </w:r>
      <w:r>
        <w:t xml:space="preserve"> </w:t>
      </w:r>
      <w:hyperlink r:id="rId868" w:tooltip="Heavy Vehicle National Law and Other Legislation Amendment Act 2018" w:history="1">
        <w:r w:rsidR="007905AB" w:rsidRPr="005E03F7">
          <w:rPr>
            <w:rStyle w:val="Hyperlink"/>
          </w:rPr>
          <w:t>A2018-10 (Qld)</w:t>
        </w:r>
      </w:hyperlink>
      <w:r>
        <w:t xml:space="preserve"> s 42</w:t>
      </w:r>
    </w:p>
    <w:p w14:paraId="13632436" w14:textId="77777777" w:rsidR="009B735E" w:rsidRPr="009B735E" w:rsidRDefault="009B735E" w:rsidP="009B735E">
      <w:pPr>
        <w:pStyle w:val="AmdtsEntryHd"/>
      </w:pPr>
      <w:r w:rsidRPr="009B735E">
        <w:rPr>
          <w:lang w:val="en"/>
        </w:rPr>
        <w:t>Increase of fee amounts</w:t>
      </w:r>
    </w:p>
    <w:p w14:paraId="5D70D86C" w14:textId="625D78FE" w:rsidR="009B735E" w:rsidRPr="001C5C1A" w:rsidRDefault="009B735E" w:rsidP="005E03F7">
      <w:pPr>
        <w:pStyle w:val="AmdtsEntries"/>
      </w:pPr>
      <w:r>
        <w:t>s 740A</w:t>
      </w:r>
      <w:r>
        <w:tab/>
        <w:t xml:space="preserve">ins </w:t>
      </w:r>
      <w:hyperlink r:id="rId869" w:tooltip="Heavy Vehicle National Law and Other Legislation Amendment Act 2016" w:history="1">
        <w:r w:rsidR="00D10E33" w:rsidRPr="005E03F7">
          <w:rPr>
            <w:rStyle w:val="Hyperlink"/>
          </w:rPr>
          <w:t>A2016-65 (Qld)</w:t>
        </w:r>
      </w:hyperlink>
      <w:r>
        <w:t xml:space="preserve"> s 137</w:t>
      </w:r>
    </w:p>
    <w:p w14:paraId="4D2B98E6" w14:textId="77777777" w:rsidR="00461F05" w:rsidRDefault="00461F05" w:rsidP="00461F05">
      <w:pPr>
        <w:pStyle w:val="AmdtsEntryHd"/>
        <w:rPr>
          <w:rFonts w:ascii="Helvetica" w:hAnsi="Helvetica" w:cs="Helvetica"/>
          <w:iCs/>
        </w:rPr>
      </w:pPr>
      <w:r w:rsidRPr="007E1F9A">
        <w:rPr>
          <w:rFonts w:ascii="Helvetica" w:hAnsi="Helvetica" w:cs="Helvetica"/>
        </w:rPr>
        <w:t>Contracting out prohibited</w:t>
      </w:r>
    </w:p>
    <w:p w14:paraId="1C959E73" w14:textId="36F787BC" w:rsidR="00461F05" w:rsidRPr="009255F3" w:rsidRDefault="00461F05" w:rsidP="005E03F7">
      <w:pPr>
        <w:pStyle w:val="AmdtsEntries"/>
      </w:pPr>
      <w:r>
        <w:t>s 742</w:t>
      </w:r>
      <w:r>
        <w:tab/>
        <w:t xml:space="preserve">am </w:t>
      </w:r>
      <w:hyperlink r:id="rId870" w:tooltip="Heavy Vehicle National Law and Other Legislation Amendment Act 2016" w:history="1">
        <w:r w:rsidR="00D10E33" w:rsidRPr="005E03F7">
          <w:rPr>
            <w:rStyle w:val="Hyperlink"/>
          </w:rPr>
          <w:t>A2016-65 (Qld)</w:t>
        </w:r>
      </w:hyperlink>
      <w:r>
        <w:t xml:space="preserve"> s 112</w:t>
      </w:r>
    </w:p>
    <w:p w14:paraId="32EC7506" w14:textId="77777777" w:rsidR="005A6778" w:rsidRDefault="005A6778" w:rsidP="005A6778">
      <w:pPr>
        <w:pStyle w:val="AmdtsEntryHd"/>
        <w:rPr>
          <w:rFonts w:ascii="Helvetica" w:hAnsi="Helvetica" w:cs="Helvetica"/>
          <w:iCs/>
        </w:rPr>
      </w:pPr>
      <w:r>
        <w:rPr>
          <w:rFonts w:ascii="Helvetica" w:hAnsi="Helvetica" w:cs="Helvetica"/>
          <w:iCs/>
        </w:rPr>
        <w:t>General savings and transitional provision</w:t>
      </w:r>
    </w:p>
    <w:p w14:paraId="34523974" w14:textId="511EFA82" w:rsidR="005A6778" w:rsidRPr="009255F3" w:rsidRDefault="005A6778" w:rsidP="005A6778">
      <w:pPr>
        <w:pStyle w:val="AmdtsEntries"/>
      </w:pPr>
      <w:r>
        <w:t>s 748</w:t>
      </w:r>
      <w:r>
        <w:tab/>
        <w:t xml:space="preserve">am </w:t>
      </w:r>
      <w:hyperlink r:id="rId871" w:tooltip="Heavy Vehicle National Law Amendment Act 2015" w:history="1">
        <w:r w:rsidR="00BA6441">
          <w:rPr>
            <w:rStyle w:val="charCitHyperlinkAbbrev"/>
          </w:rPr>
          <w:t>A2015-12</w:t>
        </w:r>
      </w:hyperlink>
      <w:r w:rsidR="00BA6441">
        <w:t xml:space="preserve"> (Qld)</w:t>
      </w:r>
      <w:r>
        <w:t xml:space="preserve"> s 64</w:t>
      </w:r>
    </w:p>
    <w:p w14:paraId="5172DB8D" w14:textId="77777777" w:rsidR="00E539D0" w:rsidRDefault="00E539D0" w:rsidP="005A6778">
      <w:pPr>
        <w:pStyle w:val="AmdtsEntryHd"/>
        <w:rPr>
          <w:rFonts w:ascii="Helvetica" w:hAnsi="Helvetica" w:cs="Helvetica"/>
          <w:iCs/>
        </w:rPr>
      </w:pPr>
      <w:r w:rsidRPr="007E1F9A">
        <w:rPr>
          <w:rFonts w:ascii="Helvetica" w:hAnsi="Helvetica" w:cs="Helvetica"/>
          <w:iCs/>
        </w:rPr>
        <w:t>Amendment or cancellation of instruments carried over from former legislation</w:t>
      </w:r>
    </w:p>
    <w:p w14:paraId="3E5D83D8" w14:textId="2C7D2472" w:rsidR="00E539D0" w:rsidRPr="00E539D0" w:rsidRDefault="00E539D0" w:rsidP="005E03F7">
      <w:pPr>
        <w:pStyle w:val="AmdtsEntries"/>
      </w:pPr>
      <w:r>
        <w:t>s 750</w:t>
      </w:r>
      <w:r>
        <w:tab/>
        <w:t xml:space="preserve">am </w:t>
      </w:r>
      <w:hyperlink r:id="rId872" w:tooltip="Heavy Vehicle National Law Amendment Act 2018" w:history="1">
        <w:r w:rsidR="00FE30B7" w:rsidRPr="005E03F7">
          <w:rPr>
            <w:rStyle w:val="Hyperlink"/>
          </w:rPr>
          <w:t>A2018-18 (Qld)</w:t>
        </w:r>
      </w:hyperlink>
      <w:r>
        <w:t xml:space="preserve"> s 36</w:t>
      </w:r>
    </w:p>
    <w:p w14:paraId="2497C438" w14:textId="77777777" w:rsidR="005A6778" w:rsidRDefault="005A6778" w:rsidP="005A6778">
      <w:pPr>
        <w:pStyle w:val="AmdtsEntryHd"/>
      </w:pPr>
      <w:r>
        <w:t>Heavy Vehicle National Law Amendment Act 2015 (Queensland)</w:t>
      </w:r>
    </w:p>
    <w:p w14:paraId="6D4F6E82" w14:textId="57EBED5F" w:rsidR="005A6778" w:rsidRPr="005565DD" w:rsidRDefault="005A6778" w:rsidP="005A6778">
      <w:pPr>
        <w:pStyle w:val="AmdtsEntries"/>
      </w:pPr>
      <w:r>
        <w:t>Pt 14.3 hdg</w:t>
      </w:r>
      <w:r>
        <w:tab/>
        <w:t xml:space="preserve">ins </w:t>
      </w:r>
      <w:hyperlink r:id="rId873" w:tooltip="Heavy Vehicle National Law Amendment Act 2015" w:history="1">
        <w:r w:rsidR="00BA6441">
          <w:rPr>
            <w:rStyle w:val="charCitHyperlinkAbbrev"/>
          </w:rPr>
          <w:t>A2015-12</w:t>
        </w:r>
      </w:hyperlink>
      <w:r w:rsidR="00BA6441">
        <w:t xml:space="preserve"> (Qld)</w:t>
      </w:r>
      <w:r>
        <w:t xml:space="preserve"> s 65</w:t>
      </w:r>
    </w:p>
    <w:p w14:paraId="1B4F6D16" w14:textId="77777777" w:rsidR="005A6778" w:rsidRDefault="005A6778" w:rsidP="005A6778">
      <w:pPr>
        <w:pStyle w:val="AmdtsEntryHd"/>
        <w:rPr>
          <w:rFonts w:ascii="Helvetica" w:hAnsi="Helvetica" w:cs="Helvetica"/>
          <w:iCs/>
        </w:rPr>
      </w:pPr>
      <w:r>
        <w:rPr>
          <w:rFonts w:ascii="Helvetica" w:hAnsi="Helvetica" w:cs="Helvetica"/>
          <w:iCs/>
        </w:rPr>
        <w:lastRenderedPageBreak/>
        <w:t>Application of s 87A to previously fitted plate or label</w:t>
      </w:r>
    </w:p>
    <w:p w14:paraId="5118A235" w14:textId="10FE4C0D" w:rsidR="005A6778" w:rsidRPr="0088331D" w:rsidRDefault="005A6778" w:rsidP="005A6778">
      <w:pPr>
        <w:pStyle w:val="AmdtsEntries"/>
      </w:pPr>
      <w:r>
        <w:t>s 756</w:t>
      </w:r>
      <w:r>
        <w:tab/>
        <w:t xml:space="preserve">ins </w:t>
      </w:r>
      <w:hyperlink r:id="rId874" w:tooltip="Heavy Vehicle National Law Amendment Act 2015" w:history="1">
        <w:r w:rsidR="00BA6441">
          <w:rPr>
            <w:rStyle w:val="charCitHyperlinkAbbrev"/>
          </w:rPr>
          <w:t>A2015-12</w:t>
        </w:r>
      </w:hyperlink>
      <w:r w:rsidR="00BA6441">
        <w:t xml:space="preserve"> (Qld)</w:t>
      </w:r>
      <w:r>
        <w:t xml:space="preserve"> s 65</w:t>
      </w:r>
    </w:p>
    <w:p w14:paraId="3913B474" w14:textId="77777777" w:rsidR="005A6778" w:rsidRDefault="005A6778" w:rsidP="005A6778">
      <w:pPr>
        <w:pStyle w:val="AmdtsEntryHd"/>
        <w:rPr>
          <w:rFonts w:ascii="Helvetica" w:hAnsi="Helvetica" w:cs="Helvetica"/>
          <w:iCs/>
        </w:rPr>
      </w:pPr>
      <w:r>
        <w:rPr>
          <w:rFonts w:ascii="Helvetica" w:hAnsi="Helvetica" w:cs="Helvetica"/>
          <w:iCs/>
        </w:rPr>
        <w:t>Saving of stated map and other matters under s 119 or 142</w:t>
      </w:r>
    </w:p>
    <w:p w14:paraId="43FEA0E1" w14:textId="06B84FD7" w:rsidR="005A6778" w:rsidRPr="0088331D" w:rsidRDefault="005A6778" w:rsidP="005A6778">
      <w:pPr>
        <w:pStyle w:val="AmdtsEntries"/>
      </w:pPr>
      <w:r>
        <w:t>s 757</w:t>
      </w:r>
      <w:r>
        <w:tab/>
        <w:t xml:space="preserve">ins </w:t>
      </w:r>
      <w:hyperlink r:id="rId875" w:tooltip="Heavy Vehicle National Law Amendment Act 2015" w:history="1">
        <w:r w:rsidR="00BA6441">
          <w:rPr>
            <w:rStyle w:val="charCitHyperlinkAbbrev"/>
          </w:rPr>
          <w:t>A2015-12</w:t>
        </w:r>
      </w:hyperlink>
      <w:r w:rsidR="00BA6441">
        <w:t xml:space="preserve"> (Qld)</w:t>
      </w:r>
      <w:r>
        <w:t xml:space="preserve"> s 65</w:t>
      </w:r>
    </w:p>
    <w:p w14:paraId="1A6EB04E" w14:textId="77777777" w:rsidR="005A6778" w:rsidRDefault="00AF1EC2" w:rsidP="005A6778">
      <w:pPr>
        <w:pStyle w:val="AmdtsEntryHd"/>
        <w:rPr>
          <w:rFonts w:ascii="Helvetica" w:hAnsi="Helvetica" w:cs="Helvetica"/>
          <w:iCs/>
        </w:rPr>
      </w:pPr>
      <w:r>
        <w:rPr>
          <w:rFonts w:ascii="Helvetica" w:hAnsi="Helvetica" w:cs="Helvetica"/>
          <w:iCs/>
        </w:rPr>
        <w:t>Application of s 737 to a new penalty</w:t>
      </w:r>
    </w:p>
    <w:p w14:paraId="236E6EA3" w14:textId="67DB98A9" w:rsidR="005A6778" w:rsidRPr="0088331D" w:rsidRDefault="005A6778" w:rsidP="005A6778">
      <w:pPr>
        <w:pStyle w:val="AmdtsEntries"/>
      </w:pPr>
      <w:r>
        <w:t>s 758</w:t>
      </w:r>
      <w:r>
        <w:tab/>
        <w:t xml:space="preserve">ins </w:t>
      </w:r>
      <w:hyperlink r:id="rId876" w:tooltip="Heavy Vehicle National Law Amendment Act 2015" w:history="1">
        <w:r w:rsidR="00BA6441">
          <w:rPr>
            <w:rStyle w:val="charCitHyperlinkAbbrev"/>
          </w:rPr>
          <w:t>A2015-12</w:t>
        </w:r>
      </w:hyperlink>
      <w:r w:rsidR="00BA6441">
        <w:t xml:space="preserve"> (Qld)</w:t>
      </w:r>
      <w:r>
        <w:t xml:space="preserve"> s 65</w:t>
      </w:r>
    </w:p>
    <w:p w14:paraId="5E9735EF" w14:textId="77777777" w:rsidR="00105A42" w:rsidRPr="00105A42" w:rsidRDefault="00105A42" w:rsidP="00105A42">
      <w:pPr>
        <w:pStyle w:val="AmdtsEntryHd"/>
      </w:pPr>
      <w:r w:rsidRPr="00105A42">
        <w:t>Heavy Vehicle National Law and Other Legislation Amendment Act 2016 (Queensland)</w:t>
      </w:r>
    </w:p>
    <w:p w14:paraId="69FD000B" w14:textId="6E7C7604" w:rsidR="00105A42" w:rsidRPr="001C5C1A" w:rsidRDefault="00105A42" w:rsidP="005E03F7">
      <w:pPr>
        <w:pStyle w:val="AmdtsEntries"/>
      </w:pPr>
      <w:r>
        <w:t>Pt 14.4 hdg</w:t>
      </w:r>
      <w:r>
        <w:tab/>
        <w:t xml:space="preserve">ins </w:t>
      </w:r>
      <w:hyperlink r:id="rId877" w:tooltip="Heavy Vehicle National Law and Other Legislation Amendment Act 2016" w:history="1">
        <w:r w:rsidR="00D10E33" w:rsidRPr="005E03F7">
          <w:rPr>
            <w:rStyle w:val="Hyperlink"/>
          </w:rPr>
          <w:t>A2016-65 (Qld)</w:t>
        </w:r>
      </w:hyperlink>
      <w:r>
        <w:t xml:space="preserve"> s 138</w:t>
      </w:r>
    </w:p>
    <w:p w14:paraId="29F78741" w14:textId="77777777" w:rsidR="00105A42" w:rsidRPr="00105A42" w:rsidRDefault="00105A42" w:rsidP="00105A42">
      <w:pPr>
        <w:pStyle w:val="AmdtsEntryHd"/>
      </w:pPr>
      <w:r w:rsidRPr="00105A42">
        <w:rPr>
          <w:lang w:val="en"/>
        </w:rPr>
        <w:t>Application of s 737 to a new penalty</w:t>
      </w:r>
    </w:p>
    <w:p w14:paraId="180C999D" w14:textId="37C86380" w:rsidR="00105A42" w:rsidRPr="001C5C1A" w:rsidRDefault="00105A42" w:rsidP="005E03F7">
      <w:pPr>
        <w:pStyle w:val="AmdtsEntries"/>
      </w:pPr>
      <w:r>
        <w:t>s 759</w:t>
      </w:r>
      <w:r>
        <w:tab/>
        <w:t xml:space="preserve">ins </w:t>
      </w:r>
      <w:hyperlink r:id="rId878" w:tooltip="Heavy Vehicle National Law and Other Legislation Amendment Act 2016" w:history="1">
        <w:r w:rsidR="00D10E33" w:rsidRPr="005E03F7">
          <w:rPr>
            <w:rStyle w:val="Hyperlink"/>
          </w:rPr>
          <w:t>A2016-65 (Qld)</w:t>
        </w:r>
      </w:hyperlink>
      <w:r>
        <w:t xml:space="preserve"> s 138</w:t>
      </w:r>
    </w:p>
    <w:p w14:paraId="366DDD13" w14:textId="77777777" w:rsidR="00F55490" w:rsidRDefault="00F55490" w:rsidP="00B013C3">
      <w:pPr>
        <w:pStyle w:val="AmdtsEntryHd"/>
        <w:rPr>
          <w:rStyle w:val="CharChapText"/>
        </w:rPr>
      </w:pPr>
      <w:r w:rsidRPr="00C203D9">
        <w:rPr>
          <w:rStyle w:val="CharChapText"/>
        </w:rPr>
        <w:t>Reviewable decisions</w:t>
      </w:r>
    </w:p>
    <w:p w14:paraId="2FC6EEDB" w14:textId="1D9DFCA5" w:rsidR="00F55490" w:rsidRPr="00F55490" w:rsidRDefault="00F55490" w:rsidP="005E03F7">
      <w:pPr>
        <w:pStyle w:val="AmdtsEntries"/>
      </w:pPr>
      <w:r>
        <w:t>sch 3</w:t>
      </w:r>
      <w:r>
        <w:tab/>
        <w:t xml:space="preserve">am </w:t>
      </w:r>
      <w:hyperlink r:id="rId879" w:tooltip="Heavy Vehicle National Law Amendment Act 2018" w:history="1">
        <w:r w:rsidR="00FE30B7" w:rsidRPr="005E03F7">
          <w:rPr>
            <w:rStyle w:val="Hyperlink"/>
          </w:rPr>
          <w:t>A2018-18 (Qld)</w:t>
        </w:r>
      </w:hyperlink>
      <w:r>
        <w:t xml:space="preserve"> s 37</w:t>
      </w:r>
    </w:p>
    <w:p w14:paraId="7DC60FF0" w14:textId="77777777" w:rsidR="00B013C3" w:rsidRPr="00461F05" w:rsidRDefault="00461F05" w:rsidP="00B013C3">
      <w:pPr>
        <w:pStyle w:val="AmdtsEntryHd"/>
      </w:pPr>
      <w:r w:rsidRPr="00461F05">
        <w:rPr>
          <w:lang w:val="en"/>
        </w:rPr>
        <w:t>Liability provisions</w:t>
      </w:r>
    </w:p>
    <w:p w14:paraId="325E55DC" w14:textId="50F202EF" w:rsidR="00B013C3" w:rsidRDefault="000D70E9" w:rsidP="00B013C3">
      <w:pPr>
        <w:pStyle w:val="AmdtsEntries"/>
      </w:pPr>
      <w:r>
        <w:t>s</w:t>
      </w:r>
      <w:r w:rsidR="00B013C3">
        <w:t>ch 4</w:t>
      </w:r>
      <w:r w:rsidR="00B013C3">
        <w:tab/>
        <w:t xml:space="preserve">am </w:t>
      </w:r>
      <w:hyperlink r:id="rId880" w:tooltip="Heavy Vehicle National Law Amendment Act 2015" w:history="1">
        <w:r w:rsidR="00BA6441">
          <w:rPr>
            <w:rStyle w:val="charCitHyperlinkAbbrev"/>
          </w:rPr>
          <w:t>A2015-12</w:t>
        </w:r>
      </w:hyperlink>
      <w:r w:rsidR="00BA6441">
        <w:t xml:space="preserve"> (Qld)</w:t>
      </w:r>
      <w:r w:rsidR="00B013C3">
        <w:t xml:space="preserve"> s 66</w:t>
      </w:r>
    </w:p>
    <w:p w14:paraId="6810B382" w14:textId="6F675F1E" w:rsidR="00461F05" w:rsidRDefault="00461F05" w:rsidP="005E03F7">
      <w:pPr>
        <w:pStyle w:val="AmdtsEntries"/>
      </w:pPr>
      <w:r>
        <w:tab/>
        <w:t xml:space="preserve">sub </w:t>
      </w:r>
      <w:hyperlink r:id="rId881" w:tooltip="Heavy Vehicle National Law and Other Legislation Amendment Act 2016" w:history="1">
        <w:r w:rsidR="00D10E33" w:rsidRPr="005E03F7">
          <w:rPr>
            <w:rStyle w:val="Hyperlink"/>
          </w:rPr>
          <w:t>A2016-65 (Qld)</w:t>
        </w:r>
      </w:hyperlink>
      <w:r>
        <w:t xml:space="preserve"> s 113</w:t>
      </w:r>
    </w:p>
    <w:p w14:paraId="63C37337" w14:textId="45E5D3FE" w:rsidR="00057F28" w:rsidRDefault="00057F28" w:rsidP="005E03F7">
      <w:pPr>
        <w:pStyle w:val="AmdtsEntries"/>
      </w:pPr>
      <w:r>
        <w:tab/>
        <w:t xml:space="preserve">am </w:t>
      </w:r>
      <w:hyperlink r:id="rId882" w:tooltip="Heavy Vehicle National Law and Other Legislation Amendment Act 2018" w:history="1">
        <w:r w:rsidR="007905AB" w:rsidRPr="005E03F7">
          <w:rPr>
            <w:rStyle w:val="Hyperlink"/>
          </w:rPr>
          <w:t>A2018-10 (Qld)</w:t>
        </w:r>
      </w:hyperlink>
      <w:r>
        <w:t xml:space="preserve"> s 43</w:t>
      </w:r>
      <w:r w:rsidR="00F55490">
        <w:t xml:space="preserve">; </w:t>
      </w:r>
      <w:hyperlink r:id="rId883" w:tooltip="Heavy Vehicle National Law Amendment Act 2018" w:history="1">
        <w:r w:rsidR="00FE30B7" w:rsidRPr="005E03F7">
          <w:rPr>
            <w:rStyle w:val="Hyperlink"/>
          </w:rPr>
          <w:t>A2018-18 (Qld)</w:t>
        </w:r>
      </w:hyperlink>
      <w:r w:rsidR="00F55490">
        <w:t xml:space="preserve"> s 38</w:t>
      </w:r>
      <w:r w:rsidR="00F166AA">
        <w:t>, sch 1</w:t>
      </w:r>
      <w:r w:rsidR="00C24C17">
        <w:t>;</w:t>
      </w:r>
      <w:r w:rsidR="00C24C17">
        <w:br/>
      </w:r>
      <w:hyperlink r:id="rId884" w:tooltip="Heavy Vehicle National Law and Other Legislation Amendment Act 2019" w:history="1">
        <w:r w:rsidR="00C24C17" w:rsidRPr="00137BAE">
          <w:rPr>
            <w:rStyle w:val="charCitHyperlinkAbbrev"/>
          </w:rPr>
          <w:t>A2019-29</w:t>
        </w:r>
      </w:hyperlink>
      <w:r w:rsidR="00C24C17">
        <w:t xml:space="preserve"> (Qld) s 35</w:t>
      </w:r>
    </w:p>
    <w:p w14:paraId="5C2801E2" w14:textId="77777777" w:rsidR="00436041" w:rsidRPr="00436041" w:rsidRDefault="00436041" w:rsidP="00436041">
      <w:pPr>
        <w:pStyle w:val="PageBreak"/>
      </w:pPr>
      <w:r w:rsidRPr="00436041">
        <w:br w:type="page"/>
      </w:r>
    </w:p>
    <w:p w14:paraId="05DD3371" w14:textId="77777777" w:rsidR="00D31FE0" w:rsidRPr="005E03F7" w:rsidRDefault="00D31FE0">
      <w:pPr>
        <w:pStyle w:val="Endnote2"/>
      </w:pPr>
      <w:bookmarkStart w:id="1021" w:name="_Toc83626365"/>
      <w:r w:rsidRPr="005E03F7">
        <w:rPr>
          <w:rStyle w:val="charTableNo"/>
        </w:rPr>
        <w:lastRenderedPageBreak/>
        <w:t>5</w:t>
      </w:r>
      <w:r>
        <w:tab/>
      </w:r>
      <w:r w:rsidRPr="005E03F7">
        <w:rPr>
          <w:rStyle w:val="charTableText"/>
        </w:rPr>
        <w:t>Earlier republications</w:t>
      </w:r>
      <w:bookmarkEnd w:id="1021"/>
    </w:p>
    <w:p w14:paraId="120B1E97" w14:textId="77777777" w:rsidR="00D31FE0" w:rsidRDefault="00D31FE0">
      <w:pPr>
        <w:pStyle w:val="EndNoteTextPub"/>
      </w:pPr>
      <w:r>
        <w:t xml:space="preserve">Some earlier republications were not numbered. The number in column 1 refers to the publication order.  </w:t>
      </w:r>
    </w:p>
    <w:p w14:paraId="4FA14499" w14:textId="77777777" w:rsidR="00D31FE0" w:rsidRDefault="00D31FE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8D16ED4" w14:textId="77777777" w:rsidR="009808CD" w:rsidRDefault="009808CD" w:rsidP="009808CD">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808CD" w14:paraId="60D34030" w14:textId="77777777" w:rsidTr="00BD3C99">
        <w:trPr>
          <w:tblHeader/>
        </w:trPr>
        <w:tc>
          <w:tcPr>
            <w:tcW w:w="1576" w:type="dxa"/>
            <w:tcBorders>
              <w:bottom w:val="single" w:sz="4" w:space="0" w:color="auto"/>
            </w:tcBorders>
          </w:tcPr>
          <w:p w14:paraId="1595C5A3" w14:textId="77777777" w:rsidR="009808CD" w:rsidRDefault="009808CD" w:rsidP="00BD3C99">
            <w:pPr>
              <w:pStyle w:val="EarlierRepubHdg"/>
            </w:pPr>
            <w:r>
              <w:t>Republication No and date</w:t>
            </w:r>
          </w:p>
        </w:tc>
        <w:tc>
          <w:tcPr>
            <w:tcW w:w="1681" w:type="dxa"/>
            <w:tcBorders>
              <w:bottom w:val="single" w:sz="4" w:space="0" w:color="auto"/>
            </w:tcBorders>
          </w:tcPr>
          <w:p w14:paraId="2DCBB331" w14:textId="77777777" w:rsidR="009808CD" w:rsidRDefault="009808CD" w:rsidP="00BD3C99">
            <w:pPr>
              <w:pStyle w:val="EarlierRepubHdg"/>
            </w:pPr>
            <w:r>
              <w:t>Effective</w:t>
            </w:r>
          </w:p>
        </w:tc>
        <w:tc>
          <w:tcPr>
            <w:tcW w:w="1783" w:type="dxa"/>
            <w:tcBorders>
              <w:bottom w:val="single" w:sz="4" w:space="0" w:color="auto"/>
            </w:tcBorders>
          </w:tcPr>
          <w:p w14:paraId="7AA62262" w14:textId="77777777" w:rsidR="009808CD" w:rsidRDefault="009808CD" w:rsidP="00BD3C99">
            <w:pPr>
              <w:pStyle w:val="EarlierRepubHdg"/>
            </w:pPr>
            <w:r>
              <w:t>Last amendment made by</w:t>
            </w:r>
          </w:p>
        </w:tc>
        <w:tc>
          <w:tcPr>
            <w:tcW w:w="1783" w:type="dxa"/>
            <w:tcBorders>
              <w:bottom w:val="single" w:sz="4" w:space="0" w:color="auto"/>
            </w:tcBorders>
          </w:tcPr>
          <w:p w14:paraId="528203A9" w14:textId="77777777" w:rsidR="009808CD" w:rsidRDefault="009808CD" w:rsidP="00BD3C99">
            <w:pPr>
              <w:pStyle w:val="EarlierRepubHdg"/>
            </w:pPr>
            <w:r>
              <w:t>Republication for</w:t>
            </w:r>
          </w:p>
        </w:tc>
      </w:tr>
      <w:tr w:rsidR="009808CD" w14:paraId="7E44139A" w14:textId="77777777" w:rsidTr="00BD3C99">
        <w:tc>
          <w:tcPr>
            <w:tcW w:w="1576" w:type="dxa"/>
            <w:tcBorders>
              <w:top w:val="single" w:sz="4" w:space="0" w:color="auto"/>
              <w:bottom w:val="single" w:sz="4" w:space="0" w:color="auto"/>
            </w:tcBorders>
          </w:tcPr>
          <w:p w14:paraId="23524A74" w14:textId="77777777" w:rsidR="009808CD" w:rsidRDefault="009808CD" w:rsidP="00BD3C99">
            <w:pPr>
              <w:pStyle w:val="EarlierRepubEntries"/>
            </w:pPr>
            <w:r>
              <w:t>R1</w:t>
            </w:r>
            <w:r>
              <w:br/>
              <w:t>10 Feb 2014</w:t>
            </w:r>
          </w:p>
        </w:tc>
        <w:tc>
          <w:tcPr>
            <w:tcW w:w="1681" w:type="dxa"/>
            <w:tcBorders>
              <w:top w:val="single" w:sz="4" w:space="0" w:color="auto"/>
              <w:bottom w:val="single" w:sz="4" w:space="0" w:color="auto"/>
            </w:tcBorders>
          </w:tcPr>
          <w:p w14:paraId="26FF15E4" w14:textId="77777777" w:rsidR="009808CD" w:rsidRDefault="009808CD" w:rsidP="00BD3C99">
            <w:pPr>
              <w:pStyle w:val="EarlierRepubEntries"/>
            </w:pPr>
            <w:r>
              <w:t>10 Feb 2014–</w:t>
            </w:r>
            <w:r>
              <w:br/>
              <w:t>28 Sept 2014</w:t>
            </w:r>
          </w:p>
        </w:tc>
        <w:tc>
          <w:tcPr>
            <w:tcW w:w="1783" w:type="dxa"/>
            <w:tcBorders>
              <w:top w:val="single" w:sz="4" w:space="0" w:color="auto"/>
              <w:bottom w:val="single" w:sz="4" w:space="0" w:color="auto"/>
            </w:tcBorders>
          </w:tcPr>
          <w:p w14:paraId="22F785D3" w14:textId="77777777" w:rsidR="009808CD" w:rsidRDefault="009808CD" w:rsidP="00BD3C99">
            <w:pPr>
              <w:pStyle w:val="EarlierRepubEntries"/>
            </w:pPr>
            <w:r>
              <w:t>not amended</w:t>
            </w:r>
          </w:p>
        </w:tc>
        <w:tc>
          <w:tcPr>
            <w:tcW w:w="1783" w:type="dxa"/>
            <w:tcBorders>
              <w:top w:val="single" w:sz="4" w:space="0" w:color="auto"/>
              <w:bottom w:val="single" w:sz="4" w:space="0" w:color="auto"/>
            </w:tcBorders>
          </w:tcPr>
          <w:p w14:paraId="0CD5B9C3" w14:textId="1D02820E" w:rsidR="009808CD" w:rsidRDefault="009808CD" w:rsidP="00BD3C99">
            <w:pPr>
              <w:pStyle w:val="EarlierRepubEntries"/>
            </w:pPr>
            <w:r>
              <w:t xml:space="preserve">new Law and modifications by </w:t>
            </w:r>
            <w:hyperlink r:id="rId885" w:tooltip="Heavy Vehicle National Law (ACT) Act 2013" w:history="1">
              <w:r w:rsidRPr="0068043D">
                <w:rPr>
                  <w:rStyle w:val="charCitHyperlinkAbbrev"/>
                </w:rPr>
                <w:t>A2013-51</w:t>
              </w:r>
            </w:hyperlink>
          </w:p>
        </w:tc>
      </w:tr>
      <w:tr w:rsidR="009808CD" w14:paraId="4326C564" w14:textId="77777777" w:rsidTr="00BD3C99">
        <w:tc>
          <w:tcPr>
            <w:tcW w:w="1576" w:type="dxa"/>
            <w:tcBorders>
              <w:top w:val="single" w:sz="4" w:space="0" w:color="auto"/>
              <w:bottom w:val="single" w:sz="4" w:space="0" w:color="auto"/>
            </w:tcBorders>
          </w:tcPr>
          <w:p w14:paraId="14B0E9C4" w14:textId="77777777" w:rsidR="009808CD" w:rsidRDefault="009808CD" w:rsidP="00BD3C99">
            <w:pPr>
              <w:pStyle w:val="EarlierRepubEntries"/>
            </w:pPr>
            <w:r>
              <w:t>R2</w:t>
            </w:r>
            <w:r>
              <w:br/>
              <w:t>29 Sept 2014</w:t>
            </w:r>
          </w:p>
        </w:tc>
        <w:tc>
          <w:tcPr>
            <w:tcW w:w="1681" w:type="dxa"/>
            <w:tcBorders>
              <w:top w:val="single" w:sz="4" w:space="0" w:color="auto"/>
              <w:bottom w:val="single" w:sz="4" w:space="0" w:color="auto"/>
            </w:tcBorders>
          </w:tcPr>
          <w:p w14:paraId="6204D08E" w14:textId="77777777" w:rsidR="009808CD" w:rsidRDefault="009808CD" w:rsidP="00BD3C99">
            <w:pPr>
              <w:pStyle w:val="EarlierRepubEntries"/>
            </w:pPr>
            <w:r>
              <w:t>29 Sept 2014–</w:t>
            </w:r>
            <w:r>
              <w:br/>
              <w:t>5 Feb 2016</w:t>
            </w:r>
          </w:p>
        </w:tc>
        <w:tc>
          <w:tcPr>
            <w:tcW w:w="1783" w:type="dxa"/>
            <w:tcBorders>
              <w:top w:val="single" w:sz="4" w:space="0" w:color="auto"/>
              <w:bottom w:val="single" w:sz="4" w:space="0" w:color="auto"/>
            </w:tcBorders>
          </w:tcPr>
          <w:p w14:paraId="6DC1B4F2" w14:textId="04441135" w:rsidR="009808CD" w:rsidRDefault="00856BEE" w:rsidP="005E03F7">
            <w:pPr>
              <w:pStyle w:val="EarlierRepubEntries"/>
            </w:pPr>
            <w:hyperlink r:id="rId886" w:tooltip="Transport and Other Legislation Amendment Act 2014 (Qld)" w:history="1">
              <w:r w:rsidR="001A408C" w:rsidRPr="005E03F7">
                <w:rPr>
                  <w:rStyle w:val="Hyperlink"/>
                </w:rPr>
                <w:t>A2014-43 (Qld)</w:t>
              </w:r>
            </w:hyperlink>
          </w:p>
        </w:tc>
        <w:tc>
          <w:tcPr>
            <w:tcW w:w="1783" w:type="dxa"/>
            <w:tcBorders>
              <w:top w:val="single" w:sz="4" w:space="0" w:color="auto"/>
              <w:bottom w:val="single" w:sz="4" w:space="0" w:color="auto"/>
            </w:tcBorders>
          </w:tcPr>
          <w:p w14:paraId="3B478E31" w14:textId="4254C19F" w:rsidR="009808CD" w:rsidRDefault="009808CD" w:rsidP="00BD3C99">
            <w:pPr>
              <w:pStyle w:val="EarlierRepubEntries"/>
            </w:pPr>
            <w:r>
              <w:t xml:space="preserve">amendments by </w:t>
            </w:r>
            <w:hyperlink r:id="rId887" w:tooltip="Transport and Other Legislation Amendment Act 2014 (Qld)" w:history="1">
              <w:r w:rsidR="001A408C">
                <w:rPr>
                  <w:rStyle w:val="charCitHyperlinkAbbrev"/>
                </w:rPr>
                <w:t>A2014-43</w:t>
              </w:r>
            </w:hyperlink>
            <w:r w:rsidR="001A408C">
              <w:t xml:space="preserve"> (Qld)</w:t>
            </w:r>
          </w:p>
        </w:tc>
      </w:tr>
      <w:tr w:rsidR="009808CD" w14:paraId="5C612061" w14:textId="77777777" w:rsidTr="00BD3C99">
        <w:tc>
          <w:tcPr>
            <w:tcW w:w="1576" w:type="dxa"/>
            <w:tcBorders>
              <w:top w:val="single" w:sz="4" w:space="0" w:color="auto"/>
              <w:bottom w:val="single" w:sz="4" w:space="0" w:color="auto"/>
            </w:tcBorders>
          </w:tcPr>
          <w:p w14:paraId="416F7421" w14:textId="77777777" w:rsidR="009808CD" w:rsidRDefault="009808CD" w:rsidP="00BD3C99">
            <w:pPr>
              <w:pStyle w:val="EarlierRepubEntries"/>
            </w:pPr>
            <w:r>
              <w:t>R3</w:t>
            </w:r>
            <w:r>
              <w:br/>
              <w:t>6 Feb 2016</w:t>
            </w:r>
          </w:p>
        </w:tc>
        <w:tc>
          <w:tcPr>
            <w:tcW w:w="1681" w:type="dxa"/>
            <w:tcBorders>
              <w:top w:val="single" w:sz="4" w:space="0" w:color="auto"/>
              <w:bottom w:val="single" w:sz="4" w:space="0" w:color="auto"/>
            </w:tcBorders>
          </w:tcPr>
          <w:p w14:paraId="6BC6F7EB" w14:textId="77777777" w:rsidR="009808CD" w:rsidRDefault="009808CD" w:rsidP="00BD3C99">
            <w:pPr>
              <w:pStyle w:val="EarlierRepubEntries"/>
            </w:pPr>
            <w:r>
              <w:t>6 Feb 2016</w:t>
            </w:r>
            <w:r>
              <w:br/>
              <w:t>30 June 2017</w:t>
            </w:r>
          </w:p>
        </w:tc>
        <w:tc>
          <w:tcPr>
            <w:tcW w:w="1783" w:type="dxa"/>
            <w:tcBorders>
              <w:top w:val="single" w:sz="4" w:space="0" w:color="auto"/>
              <w:bottom w:val="single" w:sz="4" w:space="0" w:color="auto"/>
            </w:tcBorders>
          </w:tcPr>
          <w:p w14:paraId="4B21DBB8" w14:textId="4894C069" w:rsidR="009808CD" w:rsidRDefault="00856BEE" w:rsidP="005E03F7">
            <w:pPr>
              <w:pStyle w:val="EarlierRepubEntries"/>
            </w:pPr>
            <w:hyperlink r:id="rId888" w:tooltip="Heavy Vehicle National Law Amendment Act 2015" w:history="1">
              <w:r w:rsidR="00BA6441" w:rsidRPr="005E03F7">
                <w:rPr>
                  <w:rStyle w:val="Hyperlink"/>
                </w:rPr>
                <w:t>A2015-12 (Qld)</w:t>
              </w:r>
            </w:hyperlink>
          </w:p>
        </w:tc>
        <w:tc>
          <w:tcPr>
            <w:tcW w:w="1783" w:type="dxa"/>
            <w:tcBorders>
              <w:top w:val="single" w:sz="4" w:space="0" w:color="auto"/>
              <w:bottom w:val="single" w:sz="4" w:space="0" w:color="auto"/>
            </w:tcBorders>
          </w:tcPr>
          <w:p w14:paraId="6CF70AAA" w14:textId="0DA65935" w:rsidR="009808CD" w:rsidRDefault="009808CD" w:rsidP="005E03F7">
            <w:pPr>
              <w:pStyle w:val="EarlierRepubEntries"/>
            </w:pPr>
            <w:r>
              <w:t xml:space="preserve">amendments by </w:t>
            </w:r>
            <w:hyperlink r:id="rId889" w:tooltip="Heavy Vehicle National Law Amendment Act 2015" w:history="1">
              <w:r w:rsidR="00BA6441" w:rsidRPr="005E03F7">
                <w:rPr>
                  <w:rStyle w:val="Hyperlink"/>
                </w:rPr>
                <w:t>A2015-12 (Qld)</w:t>
              </w:r>
            </w:hyperlink>
          </w:p>
        </w:tc>
      </w:tr>
      <w:tr w:rsidR="009808CD" w14:paraId="67D299F6" w14:textId="77777777" w:rsidTr="00BD3C99">
        <w:tc>
          <w:tcPr>
            <w:tcW w:w="1576" w:type="dxa"/>
            <w:tcBorders>
              <w:top w:val="single" w:sz="4" w:space="0" w:color="auto"/>
              <w:bottom w:val="single" w:sz="4" w:space="0" w:color="auto"/>
            </w:tcBorders>
          </w:tcPr>
          <w:p w14:paraId="15241690" w14:textId="77777777" w:rsidR="009808CD" w:rsidRDefault="009808CD" w:rsidP="00BD3C99">
            <w:pPr>
              <w:pStyle w:val="EarlierRepubEntries"/>
            </w:pPr>
            <w:r>
              <w:t>R4</w:t>
            </w:r>
            <w:r>
              <w:br/>
              <w:t>22 Dec 2017</w:t>
            </w:r>
          </w:p>
        </w:tc>
        <w:tc>
          <w:tcPr>
            <w:tcW w:w="1681" w:type="dxa"/>
            <w:tcBorders>
              <w:top w:val="single" w:sz="4" w:space="0" w:color="auto"/>
              <w:bottom w:val="single" w:sz="4" w:space="0" w:color="auto"/>
            </w:tcBorders>
          </w:tcPr>
          <w:p w14:paraId="24824651" w14:textId="77777777" w:rsidR="009808CD" w:rsidRDefault="009808CD" w:rsidP="00BD3C99">
            <w:pPr>
              <w:pStyle w:val="EarlierRepubEntries"/>
            </w:pPr>
            <w:r>
              <w:t>1 July 2017–</w:t>
            </w:r>
            <w:r>
              <w:br/>
              <w:t>30 June 2018</w:t>
            </w:r>
          </w:p>
        </w:tc>
        <w:tc>
          <w:tcPr>
            <w:tcW w:w="1783" w:type="dxa"/>
            <w:tcBorders>
              <w:top w:val="single" w:sz="4" w:space="0" w:color="auto"/>
              <w:bottom w:val="single" w:sz="4" w:space="0" w:color="auto"/>
            </w:tcBorders>
          </w:tcPr>
          <w:p w14:paraId="34D04726" w14:textId="41B910A8" w:rsidR="009808CD" w:rsidRPr="00E533C6" w:rsidRDefault="00856BEE" w:rsidP="005E03F7">
            <w:pPr>
              <w:pStyle w:val="EarlierRepubEntries"/>
            </w:pPr>
            <w:hyperlink r:id="rId890" w:tooltip="Heavy Vehicle National Law and Other Legislation Amendment Act 2016" w:history="1">
              <w:r w:rsidR="00D10E33" w:rsidRPr="005E03F7">
                <w:rPr>
                  <w:rStyle w:val="Hyperlink"/>
                </w:rPr>
                <w:t>A2016-65 (Qld)</w:t>
              </w:r>
            </w:hyperlink>
          </w:p>
        </w:tc>
        <w:tc>
          <w:tcPr>
            <w:tcW w:w="1783" w:type="dxa"/>
            <w:tcBorders>
              <w:top w:val="single" w:sz="4" w:space="0" w:color="auto"/>
              <w:bottom w:val="single" w:sz="4" w:space="0" w:color="auto"/>
            </w:tcBorders>
          </w:tcPr>
          <w:p w14:paraId="35465FB6" w14:textId="73C0E507" w:rsidR="009808CD" w:rsidRDefault="009808CD" w:rsidP="00BD3C99">
            <w:pPr>
              <w:pStyle w:val="EarlierRepubEntries"/>
            </w:pPr>
            <w:r>
              <w:t xml:space="preserve">amendments by </w:t>
            </w:r>
            <w:hyperlink r:id="rId891" w:tooltip="Heavy Vehicle National Law and Other Legislation Amendment Act 2016" w:history="1">
              <w:r w:rsidR="001A408C" w:rsidRPr="001A408C">
                <w:rPr>
                  <w:rStyle w:val="charCitHyperlinkAbbrev"/>
                </w:rPr>
                <w:t>A2016-65</w:t>
              </w:r>
            </w:hyperlink>
            <w:r>
              <w:t xml:space="preserve"> (Qld)</w:t>
            </w:r>
          </w:p>
        </w:tc>
      </w:tr>
      <w:tr w:rsidR="009808CD" w14:paraId="329F610D" w14:textId="77777777" w:rsidTr="00BD3C99">
        <w:tc>
          <w:tcPr>
            <w:tcW w:w="1576" w:type="dxa"/>
            <w:tcBorders>
              <w:top w:val="single" w:sz="4" w:space="0" w:color="auto"/>
              <w:bottom w:val="single" w:sz="4" w:space="0" w:color="auto"/>
            </w:tcBorders>
          </w:tcPr>
          <w:p w14:paraId="15697233" w14:textId="77777777" w:rsidR="009808CD" w:rsidRDefault="009808CD" w:rsidP="00BD3C99">
            <w:pPr>
              <w:pStyle w:val="EarlierRepubEntries"/>
            </w:pPr>
            <w:r>
              <w:t>R5</w:t>
            </w:r>
            <w:r>
              <w:br/>
              <w:t>1 July 2018</w:t>
            </w:r>
          </w:p>
        </w:tc>
        <w:tc>
          <w:tcPr>
            <w:tcW w:w="1681" w:type="dxa"/>
            <w:tcBorders>
              <w:top w:val="single" w:sz="4" w:space="0" w:color="auto"/>
              <w:bottom w:val="single" w:sz="4" w:space="0" w:color="auto"/>
            </w:tcBorders>
          </w:tcPr>
          <w:p w14:paraId="094EBD5C" w14:textId="77777777" w:rsidR="009808CD" w:rsidRDefault="009808CD" w:rsidP="00BD3C99">
            <w:pPr>
              <w:pStyle w:val="EarlierRepubEntries"/>
            </w:pPr>
            <w:r>
              <w:t>1 July 2018–</w:t>
            </w:r>
            <w:r>
              <w:br/>
              <w:t>30 Sept 2018</w:t>
            </w:r>
          </w:p>
        </w:tc>
        <w:tc>
          <w:tcPr>
            <w:tcW w:w="1783" w:type="dxa"/>
            <w:tcBorders>
              <w:top w:val="single" w:sz="4" w:space="0" w:color="auto"/>
              <w:bottom w:val="single" w:sz="4" w:space="0" w:color="auto"/>
            </w:tcBorders>
          </w:tcPr>
          <w:p w14:paraId="2CC33A0E" w14:textId="4A1F423E" w:rsidR="009808CD" w:rsidRDefault="00856BEE" w:rsidP="00BD3C99">
            <w:pPr>
              <w:pStyle w:val="EarlierRepubEntries"/>
              <w:rPr>
                <w:rStyle w:val="charCitHyperlinkAbbrev"/>
              </w:rPr>
            </w:pPr>
            <w:hyperlink r:id="rId892" w:tooltip="Heavy Vehicle National Law and Other Legislation Amendment Act 2018" w:history="1">
              <w:r w:rsidR="005528D7" w:rsidRPr="005E03F7">
                <w:rPr>
                  <w:rStyle w:val="charCitHyperlinkAbbrev"/>
                </w:rPr>
                <w:t xml:space="preserve">A2018-10 </w:t>
              </w:r>
            </w:hyperlink>
            <w:r w:rsidR="009808CD" w:rsidRPr="00F166AA">
              <w:rPr>
                <w:rStyle w:val="Hyperlink"/>
              </w:rPr>
              <w:t xml:space="preserve"> </w:t>
            </w:r>
            <w:r w:rsidR="009808CD" w:rsidRPr="00F166AA">
              <w:t>(Qld)</w:t>
            </w:r>
          </w:p>
        </w:tc>
        <w:tc>
          <w:tcPr>
            <w:tcW w:w="1783" w:type="dxa"/>
            <w:tcBorders>
              <w:top w:val="single" w:sz="4" w:space="0" w:color="auto"/>
              <w:bottom w:val="single" w:sz="4" w:space="0" w:color="auto"/>
            </w:tcBorders>
          </w:tcPr>
          <w:p w14:paraId="5896F770" w14:textId="2C3D1260" w:rsidR="009808CD" w:rsidRDefault="009808CD" w:rsidP="00BD3C99">
            <w:pPr>
              <w:pStyle w:val="EarlierRepubEntries"/>
            </w:pPr>
            <w:r>
              <w:t xml:space="preserve">commenced provision and amendments by </w:t>
            </w:r>
            <w:hyperlink r:id="rId893" w:tooltip="Heavy Vehicle National Law and Other Legislation Amendment Act 2018" w:history="1">
              <w:r w:rsidR="005528D7" w:rsidRPr="005E03F7">
                <w:rPr>
                  <w:rStyle w:val="charCitHyperlinkAbbrev"/>
                </w:rPr>
                <w:t xml:space="preserve">A2018-10 </w:t>
              </w:r>
            </w:hyperlink>
            <w:r>
              <w:t>(Qld)</w:t>
            </w:r>
          </w:p>
        </w:tc>
      </w:tr>
      <w:tr w:rsidR="008A49B4" w14:paraId="671CF796" w14:textId="77777777" w:rsidTr="00BD3C99">
        <w:tc>
          <w:tcPr>
            <w:tcW w:w="1576" w:type="dxa"/>
            <w:tcBorders>
              <w:top w:val="single" w:sz="4" w:space="0" w:color="auto"/>
              <w:bottom w:val="single" w:sz="4" w:space="0" w:color="auto"/>
            </w:tcBorders>
          </w:tcPr>
          <w:p w14:paraId="275AEFA3" w14:textId="77777777" w:rsidR="008A49B4" w:rsidRDefault="008A49B4" w:rsidP="00BD3C99">
            <w:pPr>
              <w:pStyle w:val="EarlierRepubEntries"/>
            </w:pPr>
            <w:r>
              <w:t>R6</w:t>
            </w:r>
            <w:r>
              <w:br/>
              <w:t>11 Jan 2019</w:t>
            </w:r>
          </w:p>
        </w:tc>
        <w:tc>
          <w:tcPr>
            <w:tcW w:w="1681" w:type="dxa"/>
            <w:tcBorders>
              <w:top w:val="single" w:sz="4" w:space="0" w:color="auto"/>
              <w:bottom w:val="single" w:sz="4" w:space="0" w:color="auto"/>
            </w:tcBorders>
          </w:tcPr>
          <w:p w14:paraId="66A817BB" w14:textId="77777777" w:rsidR="008A49B4" w:rsidRDefault="000548F1" w:rsidP="00BD3C99">
            <w:pPr>
              <w:pStyle w:val="EarlierRepubEntries"/>
            </w:pPr>
            <w:r>
              <w:t>1 Oct 2018–</w:t>
            </w:r>
            <w:r>
              <w:br/>
              <w:t>30 June 2019</w:t>
            </w:r>
          </w:p>
        </w:tc>
        <w:tc>
          <w:tcPr>
            <w:tcW w:w="1783" w:type="dxa"/>
            <w:tcBorders>
              <w:top w:val="single" w:sz="4" w:space="0" w:color="auto"/>
              <w:bottom w:val="single" w:sz="4" w:space="0" w:color="auto"/>
            </w:tcBorders>
          </w:tcPr>
          <w:p w14:paraId="59A340C4" w14:textId="3DF6BC26" w:rsidR="008A49B4" w:rsidRPr="008A49B4" w:rsidRDefault="00856BEE" w:rsidP="005E03F7">
            <w:pPr>
              <w:pStyle w:val="EarlierRepubEntries"/>
            </w:pPr>
            <w:hyperlink r:id="rId894" w:tooltip="Heavy Vehicle National Law Amendment Act 2018" w:history="1">
              <w:r w:rsidR="00FE30B7" w:rsidRPr="005E03F7">
                <w:rPr>
                  <w:rStyle w:val="Hyperlink"/>
                </w:rPr>
                <w:t>A2018-18 (Qld)</w:t>
              </w:r>
            </w:hyperlink>
            <w:r w:rsidR="008A49B4">
              <w:t xml:space="preserve"> </w:t>
            </w:r>
          </w:p>
        </w:tc>
        <w:tc>
          <w:tcPr>
            <w:tcW w:w="1783" w:type="dxa"/>
            <w:tcBorders>
              <w:top w:val="single" w:sz="4" w:space="0" w:color="auto"/>
              <w:bottom w:val="single" w:sz="4" w:space="0" w:color="auto"/>
            </w:tcBorders>
          </w:tcPr>
          <w:p w14:paraId="66F88541" w14:textId="630AE895" w:rsidR="008A49B4" w:rsidRPr="008A49B4" w:rsidRDefault="008A49B4" w:rsidP="005E03F7">
            <w:pPr>
              <w:pStyle w:val="EarlierRepubEntries"/>
            </w:pPr>
            <w:r>
              <w:t xml:space="preserve">amendments by </w:t>
            </w:r>
            <w:hyperlink r:id="rId895" w:tooltip="Heavy Vehicle National Law and Other Legislation Amendment Act 2016" w:history="1">
              <w:r w:rsidR="00D87F7B">
                <w:rPr>
                  <w:rStyle w:val="charCitHyperlinkAbbrev"/>
                </w:rPr>
                <w:t>A2016-65</w:t>
              </w:r>
            </w:hyperlink>
            <w:r w:rsidR="00D87F7B">
              <w:t xml:space="preserve"> (Qld)</w:t>
            </w:r>
            <w:r>
              <w:t xml:space="preserve">, </w:t>
            </w:r>
            <w:hyperlink r:id="rId896" w:tooltip="Heavy Vehicle National Law and Other Legislation Amendment Act 2018" w:history="1">
              <w:r w:rsidR="005528D7" w:rsidRPr="005E03F7">
                <w:rPr>
                  <w:rStyle w:val="Hyperlink"/>
                </w:rPr>
                <w:t>A2018-10 (Qld)</w:t>
              </w:r>
            </w:hyperlink>
            <w:r w:rsidR="005528D7">
              <w:t xml:space="preserve"> </w:t>
            </w:r>
            <w:r>
              <w:t xml:space="preserve">and </w:t>
            </w:r>
            <w:hyperlink r:id="rId897" w:tooltip="Heavy Vehicle National Law Amendment Act 2018" w:history="1">
              <w:r w:rsidR="00FE30B7" w:rsidRPr="005E03F7">
                <w:rPr>
                  <w:rStyle w:val="Hyperlink"/>
                </w:rPr>
                <w:t>A2018-18 (Qld)</w:t>
              </w:r>
            </w:hyperlink>
          </w:p>
        </w:tc>
      </w:tr>
      <w:tr w:rsidR="00781912" w14:paraId="215D2380" w14:textId="77777777" w:rsidTr="00BD3C99">
        <w:tc>
          <w:tcPr>
            <w:tcW w:w="1576" w:type="dxa"/>
            <w:tcBorders>
              <w:top w:val="single" w:sz="4" w:space="0" w:color="auto"/>
              <w:bottom w:val="single" w:sz="4" w:space="0" w:color="auto"/>
            </w:tcBorders>
          </w:tcPr>
          <w:p w14:paraId="5D5321B0" w14:textId="77777777" w:rsidR="00781912" w:rsidRDefault="00781912" w:rsidP="00BD3C99">
            <w:pPr>
              <w:pStyle w:val="EarlierRepubEntries"/>
            </w:pPr>
            <w:r>
              <w:t>R7</w:t>
            </w:r>
            <w:r>
              <w:br/>
              <w:t>1 July 2019</w:t>
            </w:r>
          </w:p>
        </w:tc>
        <w:tc>
          <w:tcPr>
            <w:tcW w:w="1681" w:type="dxa"/>
            <w:tcBorders>
              <w:top w:val="single" w:sz="4" w:space="0" w:color="auto"/>
              <w:bottom w:val="single" w:sz="4" w:space="0" w:color="auto"/>
            </w:tcBorders>
          </w:tcPr>
          <w:p w14:paraId="594041DD" w14:textId="77777777" w:rsidR="00781912" w:rsidRDefault="00781912" w:rsidP="00BD3C99">
            <w:pPr>
              <w:pStyle w:val="EarlierRepubEntries"/>
            </w:pPr>
            <w:r>
              <w:t>1 July 2019–</w:t>
            </w:r>
            <w:r>
              <w:br/>
              <w:t>27 Feb 2020</w:t>
            </w:r>
          </w:p>
        </w:tc>
        <w:tc>
          <w:tcPr>
            <w:tcW w:w="1783" w:type="dxa"/>
            <w:tcBorders>
              <w:top w:val="single" w:sz="4" w:space="0" w:color="auto"/>
              <w:bottom w:val="single" w:sz="4" w:space="0" w:color="auto"/>
            </w:tcBorders>
          </w:tcPr>
          <w:p w14:paraId="112BAED4" w14:textId="34898C13" w:rsidR="00781912" w:rsidRDefault="00856BEE" w:rsidP="00BD3C99">
            <w:pPr>
              <w:pStyle w:val="EarlierRepubEntries"/>
            </w:pPr>
            <w:hyperlink r:id="rId898" w:tooltip="Statute Law Amendment Act 2018" w:history="1">
              <w:r w:rsidR="00781912">
                <w:rPr>
                  <w:rStyle w:val="charCitHyperlinkAbbrev"/>
                  <w:rFonts w:eastAsiaTheme="minorEastAsia"/>
                </w:rPr>
                <w:t>A2018-42</w:t>
              </w:r>
            </w:hyperlink>
          </w:p>
        </w:tc>
        <w:tc>
          <w:tcPr>
            <w:tcW w:w="1783" w:type="dxa"/>
            <w:tcBorders>
              <w:top w:val="single" w:sz="4" w:space="0" w:color="auto"/>
              <w:bottom w:val="single" w:sz="4" w:space="0" w:color="auto"/>
            </w:tcBorders>
          </w:tcPr>
          <w:p w14:paraId="53DEB1F0" w14:textId="1BCF769E" w:rsidR="00781912" w:rsidRDefault="00781912" w:rsidP="00BD3C99">
            <w:pPr>
              <w:pStyle w:val="EarlierRepubEntries"/>
            </w:pPr>
            <w:r>
              <w:t xml:space="preserve">updated endnotes for the commencement of </w:t>
            </w:r>
            <w:hyperlink r:id="rId899" w:tooltip="Heavy Vehicle National Law (ACT) Act 2013" w:history="1">
              <w:r>
                <w:rPr>
                  <w:rStyle w:val="charCitHyperlinkAbbrev"/>
                  <w:rFonts w:eastAsiaTheme="minorEastAsia"/>
                </w:rPr>
                <w:t>A2013-51</w:t>
              </w:r>
            </w:hyperlink>
            <w:r>
              <w:t xml:space="preserve"> (ss 34, 36, 38 and 40)</w:t>
            </w:r>
          </w:p>
        </w:tc>
      </w:tr>
      <w:tr w:rsidR="00F70573" w14:paraId="4B96DEE8" w14:textId="77777777" w:rsidTr="00BD3C99">
        <w:tc>
          <w:tcPr>
            <w:tcW w:w="1576" w:type="dxa"/>
            <w:tcBorders>
              <w:top w:val="single" w:sz="4" w:space="0" w:color="auto"/>
              <w:bottom w:val="single" w:sz="4" w:space="0" w:color="auto"/>
            </w:tcBorders>
          </w:tcPr>
          <w:p w14:paraId="260E978A" w14:textId="42ECE7B7" w:rsidR="00F70573" w:rsidRDefault="00F70573" w:rsidP="00BD3C99">
            <w:pPr>
              <w:pStyle w:val="EarlierRepubEntries"/>
            </w:pPr>
            <w:r>
              <w:t>R8</w:t>
            </w:r>
            <w:r>
              <w:br/>
              <w:t>28 Feb 2020</w:t>
            </w:r>
          </w:p>
        </w:tc>
        <w:tc>
          <w:tcPr>
            <w:tcW w:w="1681" w:type="dxa"/>
            <w:tcBorders>
              <w:top w:val="single" w:sz="4" w:space="0" w:color="auto"/>
              <w:bottom w:val="single" w:sz="4" w:space="0" w:color="auto"/>
            </w:tcBorders>
          </w:tcPr>
          <w:p w14:paraId="18D83E2F" w14:textId="77B5DE14" w:rsidR="00F70573" w:rsidRDefault="00F70573" w:rsidP="00BD3C99">
            <w:pPr>
              <w:pStyle w:val="EarlierRepubEntries"/>
            </w:pPr>
            <w:r>
              <w:t>28 Feb 2020–</w:t>
            </w:r>
            <w:r>
              <w:br/>
              <w:t>30 June 2021</w:t>
            </w:r>
          </w:p>
        </w:tc>
        <w:tc>
          <w:tcPr>
            <w:tcW w:w="1783" w:type="dxa"/>
            <w:tcBorders>
              <w:top w:val="single" w:sz="4" w:space="0" w:color="auto"/>
              <w:bottom w:val="single" w:sz="4" w:space="0" w:color="auto"/>
            </w:tcBorders>
          </w:tcPr>
          <w:p w14:paraId="3AD65BA1" w14:textId="01064A58" w:rsidR="00F70573" w:rsidRDefault="00856BEE" w:rsidP="00BD3C99">
            <w:pPr>
              <w:pStyle w:val="EarlierRepubEntries"/>
            </w:pPr>
            <w:hyperlink r:id="rId900" w:tooltip="Heavy Vehicle National Law and Other Legislation Amendment Act 2019" w:history="1">
              <w:r w:rsidR="00F70573">
                <w:rPr>
                  <w:rStyle w:val="charCitHyperlinkAbbrev"/>
                  <w:rFonts w:eastAsiaTheme="minorEastAsia"/>
                </w:rPr>
                <w:t>A2019-29</w:t>
              </w:r>
            </w:hyperlink>
            <w:r w:rsidR="00F70573">
              <w:t xml:space="preserve"> (Qld)</w:t>
            </w:r>
          </w:p>
        </w:tc>
        <w:tc>
          <w:tcPr>
            <w:tcW w:w="1783" w:type="dxa"/>
            <w:tcBorders>
              <w:top w:val="single" w:sz="4" w:space="0" w:color="auto"/>
              <w:bottom w:val="single" w:sz="4" w:space="0" w:color="auto"/>
            </w:tcBorders>
          </w:tcPr>
          <w:p w14:paraId="4C85FF10" w14:textId="695EB542" w:rsidR="00F70573" w:rsidRDefault="00F70573" w:rsidP="00BD3C99">
            <w:pPr>
              <w:pStyle w:val="EarlierRepubEntries"/>
            </w:pPr>
            <w:r>
              <w:t xml:space="preserve">amendments by </w:t>
            </w:r>
            <w:hyperlink r:id="rId901" w:tooltip="Heavy Vehicle National Law and Other Legislation Amendment Act 2019" w:history="1">
              <w:r w:rsidR="0036666A">
                <w:rPr>
                  <w:rStyle w:val="charCitHyperlinkAbbrev"/>
                  <w:rFonts w:eastAsiaTheme="minorEastAsia"/>
                </w:rPr>
                <w:t>A2019-29</w:t>
              </w:r>
            </w:hyperlink>
            <w:r>
              <w:t xml:space="preserve"> (Qld)</w:t>
            </w:r>
          </w:p>
        </w:tc>
      </w:tr>
      <w:tr w:rsidR="00100946" w14:paraId="6DCF5B01" w14:textId="77777777" w:rsidTr="00BD3C99">
        <w:tc>
          <w:tcPr>
            <w:tcW w:w="1576" w:type="dxa"/>
            <w:tcBorders>
              <w:top w:val="single" w:sz="4" w:space="0" w:color="auto"/>
              <w:bottom w:val="single" w:sz="4" w:space="0" w:color="auto"/>
            </w:tcBorders>
          </w:tcPr>
          <w:p w14:paraId="7935A2C0" w14:textId="28D2C5B7" w:rsidR="00100946" w:rsidRDefault="00100946" w:rsidP="00BD3C99">
            <w:pPr>
              <w:pStyle w:val="EarlierRepubEntries"/>
            </w:pPr>
            <w:r>
              <w:t>R9</w:t>
            </w:r>
            <w:r>
              <w:br/>
            </w:r>
            <w:r w:rsidR="00F35D25">
              <w:t>1 July 2021</w:t>
            </w:r>
          </w:p>
        </w:tc>
        <w:tc>
          <w:tcPr>
            <w:tcW w:w="1681" w:type="dxa"/>
            <w:tcBorders>
              <w:top w:val="single" w:sz="4" w:space="0" w:color="auto"/>
              <w:bottom w:val="single" w:sz="4" w:space="0" w:color="auto"/>
            </w:tcBorders>
          </w:tcPr>
          <w:p w14:paraId="19B18701" w14:textId="5E01AB6B" w:rsidR="00100946" w:rsidRDefault="00F35D25" w:rsidP="00BD3C99">
            <w:pPr>
              <w:pStyle w:val="EarlierRepubEntries"/>
            </w:pPr>
            <w:r>
              <w:t>1 July 2021–</w:t>
            </w:r>
            <w:r>
              <w:br/>
              <w:t>26 Sept 2021</w:t>
            </w:r>
          </w:p>
        </w:tc>
        <w:tc>
          <w:tcPr>
            <w:tcW w:w="1783" w:type="dxa"/>
            <w:tcBorders>
              <w:top w:val="single" w:sz="4" w:space="0" w:color="auto"/>
              <w:bottom w:val="single" w:sz="4" w:space="0" w:color="auto"/>
            </w:tcBorders>
          </w:tcPr>
          <w:p w14:paraId="4A94FBEB" w14:textId="715C9405" w:rsidR="00100946" w:rsidRDefault="00856BEE" w:rsidP="00BD3C99">
            <w:pPr>
              <w:pStyle w:val="EarlierRepubEntries"/>
            </w:pPr>
            <w:hyperlink r:id="rId902" w:tooltip="Heavy Vehicle National Law and Other Legislation Amendment Act 2019" w:history="1">
              <w:r w:rsidR="00F35D25">
                <w:rPr>
                  <w:rStyle w:val="charCitHyperlinkAbbrev"/>
                  <w:rFonts w:eastAsiaTheme="minorEastAsia"/>
                </w:rPr>
                <w:t>A2019-29</w:t>
              </w:r>
            </w:hyperlink>
            <w:r w:rsidR="00F35D25">
              <w:t xml:space="preserve"> (Qld)</w:t>
            </w:r>
          </w:p>
        </w:tc>
        <w:tc>
          <w:tcPr>
            <w:tcW w:w="1783" w:type="dxa"/>
            <w:tcBorders>
              <w:top w:val="single" w:sz="4" w:space="0" w:color="auto"/>
              <w:bottom w:val="single" w:sz="4" w:space="0" w:color="auto"/>
            </w:tcBorders>
          </w:tcPr>
          <w:p w14:paraId="509135F2" w14:textId="07A77077" w:rsidR="00100946" w:rsidRDefault="00F35D25" w:rsidP="00BD3C99">
            <w:pPr>
              <w:pStyle w:val="EarlierRepubEntries"/>
            </w:pPr>
            <w:r>
              <w:t xml:space="preserve">amendments by </w:t>
            </w:r>
            <w:hyperlink r:id="rId903" w:tooltip="Heavy Vehicle National Law and Other Legislation Amendment Act 2019" w:history="1">
              <w:r>
                <w:rPr>
                  <w:rStyle w:val="charCitHyperlinkAbbrev"/>
                  <w:rFonts w:eastAsiaTheme="minorEastAsia"/>
                </w:rPr>
                <w:t>A2019-29</w:t>
              </w:r>
            </w:hyperlink>
            <w:r>
              <w:t xml:space="preserve"> (Qld)</w:t>
            </w:r>
          </w:p>
        </w:tc>
      </w:tr>
    </w:tbl>
    <w:p w14:paraId="765DF032" w14:textId="77777777" w:rsidR="00F82892" w:rsidRDefault="00F82892" w:rsidP="00F82892">
      <w:pPr>
        <w:pStyle w:val="05EndNote0"/>
        <w:sectPr w:rsidR="00F82892" w:rsidSect="005E03F7">
          <w:headerReference w:type="even" r:id="rId904"/>
          <w:headerReference w:type="default" r:id="rId905"/>
          <w:footerReference w:type="even" r:id="rId906"/>
          <w:footerReference w:type="default" r:id="rId907"/>
          <w:pgSz w:w="11907" w:h="16839" w:code="9"/>
          <w:pgMar w:top="3000" w:right="1900" w:bottom="2500" w:left="2300" w:header="2480" w:footer="2100" w:gutter="0"/>
          <w:cols w:space="720"/>
          <w:docGrid w:linePitch="326"/>
        </w:sectPr>
      </w:pPr>
    </w:p>
    <w:p w14:paraId="43697D63" w14:textId="77777777" w:rsidR="0056371E" w:rsidRDefault="0056371E" w:rsidP="00020777"/>
    <w:p w14:paraId="40FC288A" w14:textId="77777777" w:rsidR="00401216" w:rsidRDefault="00401216">
      <w:pPr>
        <w:rPr>
          <w:color w:val="000000"/>
          <w:sz w:val="22"/>
        </w:rPr>
      </w:pPr>
    </w:p>
    <w:p w14:paraId="24AC0D5A" w14:textId="77777777" w:rsidR="008A49B4" w:rsidRDefault="008A49B4">
      <w:pPr>
        <w:rPr>
          <w:color w:val="000000"/>
          <w:sz w:val="22"/>
        </w:rPr>
      </w:pPr>
    </w:p>
    <w:p w14:paraId="7788F9A7" w14:textId="77777777" w:rsidR="008A49B4" w:rsidRDefault="008A49B4">
      <w:pPr>
        <w:rPr>
          <w:color w:val="000000"/>
          <w:sz w:val="22"/>
        </w:rPr>
      </w:pPr>
    </w:p>
    <w:p w14:paraId="5CDE7234" w14:textId="77777777" w:rsidR="008A49B4" w:rsidRDefault="008A49B4">
      <w:pPr>
        <w:rPr>
          <w:color w:val="000000"/>
          <w:sz w:val="22"/>
        </w:rPr>
      </w:pPr>
    </w:p>
    <w:p w14:paraId="5CD01C84" w14:textId="77777777" w:rsidR="008A49B4" w:rsidRDefault="008A49B4">
      <w:pPr>
        <w:rPr>
          <w:color w:val="000000"/>
          <w:sz w:val="22"/>
        </w:rPr>
      </w:pPr>
    </w:p>
    <w:p w14:paraId="36E2D5CF" w14:textId="77777777" w:rsidR="008A49B4" w:rsidRDefault="008A49B4">
      <w:pPr>
        <w:rPr>
          <w:color w:val="000000"/>
          <w:sz w:val="22"/>
        </w:rPr>
      </w:pPr>
    </w:p>
    <w:p w14:paraId="37314895" w14:textId="77777777" w:rsidR="008A49B4" w:rsidRDefault="008A49B4">
      <w:pPr>
        <w:rPr>
          <w:color w:val="000000"/>
          <w:sz w:val="22"/>
        </w:rPr>
      </w:pPr>
    </w:p>
    <w:p w14:paraId="78BA428F" w14:textId="77777777" w:rsidR="008A49B4" w:rsidRDefault="008A49B4">
      <w:pPr>
        <w:rPr>
          <w:color w:val="000000"/>
          <w:sz w:val="22"/>
        </w:rPr>
      </w:pPr>
    </w:p>
    <w:p w14:paraId="1C985E43" w14:textId="77777777" w:rsidR="008A49B4" w:rsidRDefault="008A49B4">
      <w:pPr>
        <w:rPr>
          <w:color w:val="000000"/>
          <w:sz w:val="22"/>
        </w:rPr>
      </w:pPr>
    </w:p>
    <w:p w14:paraId="1C6502FD" w14:textId="77777777" w:rsidR="008A49B4" w:rsidRDefault="008A49B4">
      <w:pPr>
        <w:rPr>
          <w:color w:val="000000"/>
          <w:sz w:val="22"/>
        </w:rPr>
      </w:pPr>
    </w:p>
    <w:p w14:paraId="6A3064CC" w14:textId="77777777" w:rsidR="008A49B4" w:rsidRDefault="008A49B4">
      <w:pPr>
        <w:rPr>
          <w:color w:val="000000"/>
          <w:sz w:val="22"/>
        </w:rPr>
      </w:pPr>
    </w:p>
    <w:p w14:paraId="5D97CB7C" w14:textId="77777777" w:rsidR="008A49B4" w:rsidRDefault="008A49B4">
      <w:pPr>
        <w:rPr>
          <w:color w:val="000000"/>
          <w:sz w:val="22"/>
        </w:rPr>
      </w:pPr>
    </w:p>
    <w:p w14:paraId="23664B09" w14:textId="77777777" w:rsidR="008A49B4" w:rsidRDefault="008A49B4">
      <w:pPr>
        <w:rPr>
          <w:color w:val="000000"/>
          <w:sz w:val="22"/>
        </w:rPr>
      </w:pPr>
    </w:p>
    <w:p w14:paraId="26595CD5" w14:textId="77777777" w:rsidR="008A49B4" w:rsidRDefault="008A49B4">
      <w:pPr>
        <w:rPr>
          <w:color w:val="000000"/>
          <w:sz w:val="22"/>
        </w:rPr>
      </w:pPr>
    </w:p>
    <w:p w14:paraId="4D4B1292" w14:textId="77777777" w:rsidR="008A49B4" w:rsidRDefault="008A49B4">
      <w:pPr>
        <w:rPr>
          <w:color w:val="000000"/>
          <w:sz w:val="22"/>
        </w:rPr>
      </w:pPr>
    </w:p>
    <w:p w14:paraId="541457E9" w14:textId="77777777" w:rsidR="008A49B4" w:rsidRDefault="008A49B4">
      <w:pPr>
        <w:rPr>
          <w:color w:val="000000"/>
          <w:sz w:val="22"/>
        </w:rPr>
      </w:pPr>
    </w:p>
    <w:p w14:paraId="2B7D5C90" w14:textId="77777777" w:rsidR="008A49B4" w:rsidRDefault="008A49B4">
      <w:pPr>
        <w:rPr>
          <w:color w:val="000000"/>
          <w:sz w:val="22"/>
        </w:rPr>
      </w:pPr>
    </w:p>
    <w:p w14:paraId="0354CEC4" w14:textId="77777777" w:rsidR="008A49B4" w:rsidRDefault="008A49B4">
      <w:pPr>
        <w:rPr>
          <w:color w:val="000000"/>
          <w:sz w:val="22"/>
        </w:rPr>
      </w:pPr>
    </w:p>
    <w:p w14:paraId="678CEF7F" w14:textId="77777777" w:rsidR="008A49B4" w:rsidRDefault="008A49B4">
      <w:pPr>
        <w:rPr>
          <w:color w:val="000000"/>
          <w:sz w:val="22"/>
        </w:rPr>
      </w:pPr>
    </w:p>
    <w:p w14:paraId="24CCC11E" w14:textId="77777777" w:rsidR="008A49B4" w:rsidRDefault="008A49B4">
      <w:pPr>
        <w:rPr>
          <w:color w:val="000000"/>
          <w:sz w:val="22"/>
        </w:rPr>
      </w:pPr>
    </w:p>
    <w:p w14:paraId="5E196E8B" w14:textId="77777777" w:rsidR="008A49B4" w:rsidRDefault="008A49B4">
      <w:pPr>
        <w:rPr>
          <w:color w:val="000000"/>
          <w:sz w:val="22"/>
        </w:rPr>
      </w:pPr>
    </w:p>
    <w:p w14:paraId="10B2B1C0" w14:textId="77777777" w:rsidR="008A49B4" w:rsidRDefault="008A49B4">
      <w:pPr>
        <w:rPr>
          <w:color w:val="000000"/>
          <w:sz w:val="22"/>
        </w:rPr>
      </w:pPr>
    </w:p>
    <w:p w14:paraId="3259D1C4" w14:textId="77777777" w:rsidR="008A49B4" w:rsidRDefault="008A49B4">
      <w:pPr>
        <w:rPr>
          <w:color w:val="000000"/>
          <w:sz w:val="22"/>
        </w:rPr>
      </w:pPr>
    </w:p>
    <w:p w14:paraId="3AD11CD4" w14:textId="77777777" w:rsidR="008A49B4" w:rsidRDefault="008A49B4">
      <w:pPr>
        <w:rPr>
          <w:color w:val="000000"/>
          <w:sz w:val="22"/>
        </w:rPr>
      </w:pPr>
    </w:p>
    <w:p w14:paraId="034BB594" w14:textId="77777777" w:rsidR="008A49B4" w:rsidRDefault="008A49B4">
      <w:pPr>
        <w:rPr>
          <w:color w:val="000000"/>
          <w:sz w:val="22"/>
        </w:rPr>
      </w:pPr>
    </w:p>
    <w:p w14:paraId="0A81A9F6" w14:textId="77777777" w:rsidR="008A49B4" w:rsidRDefault="008A49B4">
      <w:pPr>
        <w:rPr>
          <w:color w:val="000000"/>
          <w:sz w:val="22"/>
        </w:rPr>
      </w:pPr>
    </w:p>
    <w:p w14:paraId="2B6208E1" w14:textId="77777777" w:rsidR="008A49B4" w:rsidRDefault="008A49B4">
      <w:pPr>
        <w:rPr>
          <w:color w:val="000000"/>
          <w:sz w:val="22"/>
        </w:rPr>
      </w:pPr>
    </w:p>
    <w:p w14:paraId="6AFB6748" w14:textId="77777777" w:rsidR="008A49B4" w:rsidRDefault="008A49B4">
      <w:pPr>
        <w:rPr>
          <w:color w:val="000000"/>
          <w:sz w:val="22"/>
        </w:rPr>
      </w:pPr>
    </w:p>
    <w:p w14:paraId="49B63805" w14:textId="77777777" w:rsidR="008A49B4" w:rsidRDefault="008A49B4">
      <w:pPr>
        <w:rPr>
          <w:color w:val="000000"/>
          <w:sz w:val="22"/>
        </w:rPr>
      </w:pPr>
    </w:p>
    <w:p w14:paraId="6E8FE79D" w14:textId="77777777" w:rsidR="008A49B4" w:rsidRDefault="008A49B4">
      <w:pPr>
        <w:rPr>
          <w:color w:val="000000"/>
          <w:sz w:val="22"/>
        </w:rPr>
      </w:pPr>
    </w:p>
    <w:p w14:paraId="21B55D09" w14:textId="77777777" w:rsidR="008A49B4" w:rsidRDefault="008A49B4">
      <w:pPr>
        <w:rPr>
          <w:color w:val="000000"/>
          <w:sz w:val="22"/>
        </w:rPr>
      </w:pPr>
    </w:p>
    <w:p w14:paraId="45BEE46E" w14:textId="77777777" w:rsidR="008A49B4" w:rsidRDefault="008A49B4">
      <w:pPr>
        <w:rPr>
          <w:color w:val="000000"/>
          <w:sz w:val="22"/>
        </w:rPr>
      </w:pPr>
    </w:p>
    <w:p w14:paraId="474E38B6" w14:textId="77777777" w:rsidR="008A49B4" w:rsidRDefault="008A49B4">
      <w:pPr>
        <w:rPr>
          <w:color w:val="000000"/>
          <w:sz w:val="22"/>
        </w:rPr>
      </w:pPr>
    </w:p>
    <w:p w14:paraId="1EE27569" w14:textId="77777777" w:rsidR="008A49B4" w:rsidRDefault="008A49B4">
      <w:pPr>
        <w:rPr>
          <w:color w:val="000000"/>
          <w:sz w:val="22"/>
        </w:rPr>
      </w:pPr>
    </w:p>
    <w:p w14:paraId="70BF0812" w14:textId="77777777" w:rsidR="008A49B4" w:rsidRDefault="008A49B4">
      <w:pPr>
        <w:rPr>
          <w:color w:val="000000"/>
          <w:sz w:val="22"/>
        </w:rPr>
      </w:pPr>
    </w:p>
    <w:p w14:paraId="6BA58CF4" w14:textId="77777777" w:rsidR="008A49B4" w:rsidRDefault="008A49B4">
      <w:pPr>
        <w:rPr>
          <w:color w:val="000000"/>
          <w:sz w:val="22"/>
        </w:rPr>
      </w:pPr>
    </w:p>
    <w:p w14:paraId="491D5491" w14:textId="77777777" w:rsidR="008A49B4" w:rsidRDefault="008A49B4">
      <w:pPr>
        <w:rPr>
          <w:color w:val="000000"/>
          <w:sz w:val="22"/>
        </w:rPr>
      </w:pPr>
    </w:p>
    <w:p w14:paraId="0542161F" w14:textId="77777777" w:rsidR="008A49B4" w:rsidRDefault="008A49B4">
      <w:pPr>
        <w:rPr>
          <w:color w:val="000000"/>
          <w:sz w:val="22"/>
        </w:rPr>
      </w:pPr>
    </w:p>
    <w:p w14:paraId="535755C3" w14:textId="77777777" w:rsidR="008A49B4" w:rsidRDefault="008A49B4">
      <w:pPr>
        <w:rPr>
          <w:color w:val="000000"/>
          <w:sz w:val="22"/>
        </w:rPr>
      </w:pPr>
    </w:p>
    <w:p w14:paraId="58820403" w14:textId="77777777" w:rsidR="008A49B4" w:rsidRDefault="008A49B4">
      <w:pPr>
        <w:rPr>
          <w:color w:val="000000"/>
          <w:sz w:val="22"/>
        </w:rPr>
      </w:pPr>
    </w:p>
    <w:p w14:paraId="0EE0CFB1" w14:textId="77777777" w:rsidR="00DE7640" w:rsidRDefault="00DE7640">
      <w:pPr>
        <w:rPr>
          <w:color w:val="000000"/>
          <w:sz w:val="22"/>
        </w:rPr>
      </w:pPr>
    </w:p>
    <w:p w14:paraId="618C82A7" w14:textId="0382DAA3" w:rsidR="00DE7640" w:rsidRPr="006F174C" w:rsidRDefault="00DE7640">
      <w:pPr>
        <w:rPr>
          <w:color w:val="000000"/>
          <w:sz w:val="22"/>
        </w:rPr>
      </w:pPr>
      <w:r>
        <w:rPr>
          <w:color w:val="000000"/>
          <w:sz w:val="22"/>
        </w:rPr>
        <w:t xml:space="preserve">©  Australian Capital Territory </w:t>
      </w:r>
      <w:r w:rsidR="005E03F7">
        <w:rPr>
          <w:noProof/>
          <w:color w:val="000000"/>
          <w:sz w:val="22"/>
        </w:rPr>
        <w:t>2021</w:t>
      </w:r>
    </w:p>
    <w:p w14:paraId="667D3A33" w14:textId="77777777" w:rsidR="00DE7640" w:rsidRDefault="00DE7640">
      <w:pPr>
        <w:pStyle w:val="06Copyright"/>
        <w:sectPr w:rsidR="00DE7640" w:rsidSect="00DE7640">
          <w:headerReference w:type="even" r:id="rId908"/>
          <w:headerReference w:type="default" r:id="rId909"/>
          <w:footerReference w:type="even" r:id="rId910"/>
          <w:footerReference w:type="default" r:id="rId911"/>
          <w:headerReference w:type="first" r:id="rId912"/>
          <w:footerReference w:type="first" r:id="rId913"/>
          <w:type w:val="continuous"/>
          <w:pgSz w:w="11907" w:h="16839" w:code="9"/>
          <w:pgMar w:top="2999" w:right="1899" w:bottom="2500" w:left="2302" w:header="2478" w:footer="2098" w:gutter="0"/>
          <w:pgNumType w:fmt="lowerRoman"/>
          <w:cols w:space="720"/>
          <w:titlePg/>
          <w:docGrid w:linePitch="254"/>
        </w:sectPr>
      </w:pPr>
    </w:p>
    <w:p w14:paraId="6D2EA831" w14:textId="77777777" w:rsidR="00DE7640" w:rsidRPr="000D13D8" w:rsidRDefault="00DE7640" w:rsidP="0018417E"/>
    <w:sectPr w:rsidR="00DE7640" w:rsidRPr="000D13D8" w:rsidSect="0091632B">
      <w:headerReference w:type="even" r:id="rId914"/>
      <w:headerReference w:type="default" r:id="rId915"/>
      <w:footerReference w:type="even" r:id="rId916"/>
      <w:footerReference w:type="default" r:id="rId917"/>
      <w:footerReference w:type="first" r:id="rId918"/>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746B9" w14:textId="77777777" w:rsidR="00C85D3A" w:rsidRDefault="00C85D3A">
      <w:r>
        <w:separator/>
      </w:r>
    </w:p>
  </w:endnote>
  <w:endnote w:type="continuationSeparator" w:id="0">
    <w:p w14:paraId="5537E648" w14:textId="77777777" w:rsidR="00C85D3A" w:rsidRDefault="00C8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7FAD" w14:textId="0C794521" w:rsidR="00C85D3A" w:rsidRPr="00856BEE" w:rsidRDefault="00C85D3A" w:rsidP="00856BEE">
    <w:pPr>
      <w:pStyle w:val="Footer"/>
      <w:jc w:val="center"/>
      <w:rPr>
        <w:rFonts w:cs="Arial"/>
        <w:sz w:val="14"/>
      </w:rPr>
    </w:pPr>
    <w:r w:rsidRPr="00856BEE">
      <w:rPr>
        <w:rFonts w:cs="Arial"/>
        <w:sz w:val="14"/>
      </w:rPr>
      <w:fldChar w:fldCharType="begin"/>
    </w:r>
    <w:r w:rsidRPr="00856BEE">
      <w:rPr>
        <w:rFonts w:cs="Arial"/>
        <w:sz w:val="14"/>
      </w:rPr>
      <w:instrText xml:space="preserve"> DOCPROPERTY "Status" </w:instrText>
    </w:r>
    <w:r w:rsidRPr="00856BEE">
      <w:rPr>
        <w:rFonts w:cs="Arial"/>
        <w:sz w:val="14"/>
      </w:rPr>
      <w:fldChar w:fldCharType="separate"/>
    </w:r>
    <w:r w:rsidR="00EF7DDF" w:rsidRPr="00856BEE">
      <w:rPr>
        <w:rFonts w:cs="Arial"/>
        <w:sz w:val="14"/>
      </w:rPr>
      <w:t xml:space="preserve"> </w:t>
    </w:r>
    <w:r w:rsidRPr="00856BEE">
      <w:rPr>
        <w:rFonts w:cs="Arial"/>
        <w:sz w:val="14"/>
      </w:rPr>
      <w:fldChar w:fldCharType="end"/>
    </w:r>
    <w:r w:rsidR="00856BEE" w:rsidRPr="00856BE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613E" w14:textId="77777777" w:rsidR="00C85D3A" w:rsidRDefault="00C85D3A" w:rsidP="006D21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85D3A" w14:paraId="4D913DDC" w14:textId="77777777" w:rsidTr="006D21FE">
      <w:tc>
        <w:tcPr>
          <w:tcW w:w="847" w:type="pct"/>
        </w:tcPr>
        <w:p w14:paraId="6040505A" w14:textId="77777777" w:rsidR="00C85D3A" w:rsidRDefault="00C85D3A" w:rsidP="006D21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1E577BD1" w14:textId="096746C1" w:rsidR="00C85D3A" w:rsidRDefault="00856BEE" w:rsidP="006D21FE">
          <w:pPr>
            <w:pStyle w:val="Footer"/>
            <w:jc w:val="center"/>
          </w:pPr>
          <w:r>
            <w:fldChar w:fldCharType="begin"/>
          </w:r>
          <w:r>
            <w:instrText xml:space="preserve"> REF Citation *\charformat </w:instrText>
          </w:r>
          <w:r>
            <w:fldChar w:fldCharType="separate"/>
          </w:r>
          <w:r w:rsidR="00EF7DDF">
            <w:t>Heavy Vehicle National Law (ACT)</w:t>
          </w:r>
          <w:r>
            <w:fldChar w:fldCharType="end"/>
          </w:r>
        </w:p>
        <w:p w14:paraId="1D35C2B7" w14:textId="0B8ED8D1" w:rsidR="00C85D3A" w:rsidRDefault="00856BEE" w:rsidP="006D21FE">
          <w:pPr>
            <w:pStyle w:val="FooterInfoCentre"/>
          </w:pPr>
          <w:r>
            <w:fldChar w:fldCharType="begin"/>
          </w:r>
          <w:r>
            <w:instrText xml:space="preserve"> DOCPROPERTY "Eff"  *\charformat </w:instrText>
          </w:r>
          <w:r>
            <w:fldChar w:fldCharType="separate"/>
          </w:r>
          <w:r w:rsidR="00EF7DDF">
            <w:t xml:space="preserve">Effective:  </w:t>
          </w:r>
          <w:r>
            <w:fldChar w:fldCharType="end"/>
          </w:r>
          <w:r>
            <w:fldChar w:fldCharType="begin"/>
          </w:r>
          <w:r>
            <w:instrText xml:space="preserve"> DOCPROPERTY "StartDt"  *\charformat </w:instrText>
          </w:r>
          <w:r>
            <w:fldChar w:fldCharType="separate"/>
          </w:r>
          <w:r w:rsidR="00EF7DDF">
            <w:t>27/09/21</w:t>
          </w:r>
          <w:r>
            <w:fldChar w:fldCharType="end"/>
          </w:r>
          <w:r>
            <w:fldChar w:fldCharType="begin"/>
          </w:r>
          <w:r>
            <w:instrText xml:space="preserve"> DOCPROPERTY "EndDt"  *\charformat </w:instrText>
          </w:r>
          <w:r>
            <w:fldChar w:fldCharType="separate"/>
          </w:r>
          <w:r w:rsidR="00EF7DDF">
            <w:t>-26/04/22</w:t>
          </w:r>
          <w:r>
            <w:fldChar w:fldCharType="end"/>
          </w:r>
        </w:p>
      </w:tc>
      <w:tc>
        <w:tcPr>
          <w:tcW w:w="1061" w:type="pct"/>
        </w:tcPr>
        <w:p w14:paraId="327BAC64" w14:textId="6BC48141" w:rsidR="00C85D3A" w:rsidRDefault="00856BEE" w:rsidP="006D21FE">
          <w:pPr>
            <w:pStyle w:val="Footer"/>
            <w:jc w:val="right"/>
          </w:pPr>
          <w:r>
            <w:fldChar w:fldCharType="begin"/>
          </w:r>
          <w:r>
            <w:instrText xml:space="preserve"> DOCPROPERTY "Category"  *\charformat  </w:instrText>
          </w:r>
          <w:r>
            <w:fldChar w:fldCharType="separate"/>
          </w:r>
          <w:r w:rsidR="00EF7DDF">
            <w:t>R10</w:t>
          </w:r>
          <w:r>
            <w:fldChar w:fldCharType="end"/>
          </w:r>
          <w:r w:rsidR="00C85D3A">
            <w:br/>
          </w:r>
          <w:r>
            <w:fldChar w:fldCharType="begin"/>
          </w:r>
          <w:r>
            <w:instrText xml:space="preserve"> DOCPROPERTY "RepubDt"  *\charformat  </w:instrText>
          </w:r>
          <w:r>
            <w:fldChar w:fldCharType="separate"/>
          </w:r>
          <w:r w:rsidR="00EF7DDF">
            <w:t>27/09/21</w:t>
          </w:r>
          <w:r>
            <w:fldChar w:fldCharType="end"/>
          </w:r>
        </w:p>
      </w:tc>
    </w:tr>
  </w:tbl>
  <w:p w14:paraId="57FF1057" w14:textId="185DA512" w:rsidR="00C85D3A" w:rsidRPr="00856BEE" w:rsidRDefault="00856BEE" w:rsidP="00856BEE">
    <w:pPr>
      <w:pStyle w:val="Status"/>
      <w:rPr>
        <w:rFonts w:cs="Arial"/>
      </w:rPr>
    </w:pPr>
    <w:r w:rsidRPr="00856BEE">
      <w:rPr>
        <w:rFonts w:cs="Arial"/>
      </w:rPr>
      <w:fldChar w:fldCharType="begin"/>
    </w:r>
    <w:r w:rsidRPr="00856BEE">
      <w:rPr>
        <w:rFonts w:cs="Arial"/>
      </w:rPr>
      <w:instrText xml:space="preserve"> DOCPROPERTY "S</w:instrText>
    </w:r>
    <w:r w:rsidRPr="00856BEE">
      <w:rPr>
        <w:rFonts w:cs="Arial"/>
      </w:rPr>
      <w:instrText xml:space="preserve">tatus" </w:instrText>
    </w:r>
    <w:r w:rsidRPr="00856BEE">
      <w:rPr>
        <w:rFonts w:cs="Arial"/>
      </w:rPr>
      <w:fldChar w:fldCharType="separate"/>
    </w:r>
    <w:r w:rsidR="00EF7DDF" w:rsidRPr="00856BEE">
      <w:rPr>
        <w:rFonts w:cs="Arial"/>
      </w:rPr>
      <w:t xml:space="preserve"> </w:t>
    </w:r>
    <w:r w:rsidRPr="00856BEE">
      <w:rPr>
        <w:rFonts w:cs="Arial"/>
      </w:rPr>
      <w:fldChar w:fldCharType="end"/>
    </w:r>
    <w:r w:rsidRPr="00856BE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877E" w14:textId="77777777" w:rsidR="00C85D3A" w:rsidRDefault="00C85D3A" w:rsidP="006D21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85D3A" w14:paraId="56004DA0" w14:textId="77777777" w:rsidTr="006D21FE">
      <w:tc>
        <w:tcPr>
          <w:tcW w:w="1061" w:type="pct"/>
        </w:tcPr>
        <w:p w14:paraId="4AA3B3E1" w14:textId="430168AC" w:rsidR="00C85D3A" w:rsidRDefault="00856BEE" w:rsidP="006D21FE">
          <w:pPr>
            <w:pStyle w:val="Footer"/>
          </w:pPr>
          <w:r>
            <w:fldChar w:fldCharType="begin"/>
          </w:r>
          <w:r>
            <w:instrText xml:space="preserve"> DOCPROPERTY "Category"  *\charformat  </w:instrText>
          </w:r>
          <w:r>
            <w:fldChar w:fldCharType="separate"/>
          </w:r>
          <w:r w:rsidR="00EF7DDF">
            <w:t>R10</w:t>
          </w:r>
          <w:r>
            <w:fldChar w:fldCharType="end"/>
          </w:r>
          <w:r w:rsidR="00C85D3A">
            <w:br/>
          </w:r>
          <w:r>
            <w:fldChar w:fldCharType="begin"/>
          </w:r>
          <w:r>
            <w:instrText xml:space="preserve"> DOCPROPERTY "RepubDt"  *\charformat  </w:instrText>
          </w:r>
          <w:r>
            <w:fldChar w:fldCharType="separate"/>
          </w:r>
          <w:r w:rsidR="00EF7DDF">
            <w:t>27/09/21</w:t>
          </w:r>
          <w:r>
            <w:fldChar w:fldCharType="end"/>
          </w:r>
        </w:p>
      </w:tc>
      <w:tc>
        <w:tcPr>
          <w:tcW w:w="3092" w:type="pct"/>
        </w:tcPr>
        <w:p w14:paraId="0538A70B" w14:textId="33833A7F" w:rsidR="00C85D3A" w:rsidRDefault="00856BEE" w:rsidP="006D21FE">
          <w:pPr>
            <w:pStyle w:val="Footer"/>
            <w:jc w:val="center"/>
          </w:pPr>
          <w:r>
            <w:fldChar w:fldCharType="begin"/>
          </w:r>
          <w:r>
            <w:instrText xml:space="preserve"> REF Citation *\charformat </w:instrText>
          </w:r>
          <w:r>
            <w:fldChar w:fldCharType="separate"/>
          </w:r>
          <w:r w:rsidR="00EF7DDF">
            <w:t>Heavy Vehicle National Law (ACT)</w:t>
          </w:r>
          <w:r>
            <w:fldChar w:fldCharType="end"/>
          </w:r>
        </w:p>
        <w:p w14:paraId="696CFE7A" w14:textId="340051D1" w:rsidR="00C85D3A" w:rsidRDefault="00856BEE" w:rsidP="006D21FE">
          <w:pPr>
            <w:pStyle w:val="FooterInfoCentre"/>
          </w:pPr>
          <w:r>
            <w:fldChar w:fldCharType="begin"/>
          </w:r>
          <w:r>
            <w:instrText xml:space="preserve"> DOCPROPERTY "Eff"  *\charformat </w:instrText>
          </w:r>
          <w:r>
            <w:fldChar w:fldCharType="separate"/>
          </w:r>
          <w:r w:rsidR="00EF7DDF">
            <w:t xml:space="preserve">Effective:  </w:t>
          </w:r>
          <w:r>
            <w:fldChar w:fldCharType="end"/>
          </w:r>
          <w:r>
            <w:fldChar w:fldCharType="begin"/>
          </w:r>
          <w:r>
            <w:instrText xml:space="preserve"> DOCPROPERTY "StartDt"  *\charforma</w:instrText>
          </w:r>
          <w:r>
            <w:instrText xml:space="preserve">t </w:instrText>
          </w:r>
          <w:r>
            <w:fldChar w:fldCharType="separate"/>
          </w:r>
          <w:r w:rsidR="00EF7DDF">
            <w:t>27/09/21</w:t>
          </w:r>
          <w:r>
            <w:fldChar w:fldCharType="end"/>
          </w:r>
          <w:r>
            <w:fldChar w:fldCharType="begin"/>
          </w:r>
          <w:r>
            <w:instrText xml:space="preserve"> DOCPROPERTY "EndDt"  *\charformat </w:instrText>
          </w:r>
          <w:r>
            <w:fldChar w:fldCharType="separate"/>
          </w:r>
          <w:r w:rsidR="00EF7DDF">
            <w:t>-26/04/22</w:t>
          </w:r>
          <w:r>
            <w:fldChar w:fldCharType="end"/>
          </w:r>
        </w:p>
      </w:tc>
      <w:tc>
        <w:tcPr>
          <w:tcW w:w="847" w:type="pct"/>
        </w:tcPr>
        <w:p w14:paraId="156B71FA" w14:textId="77777777" w:rsidR="00C85D3A" w:rsidRDefault="00C85D3A" w:rsidP="006D21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64AEC9BD" w14:textId="329850B9" w:rsidR="00C85D3A" w:rsidRPr="00856BEE" w:rsidRDefault="00856BEE" w:rsidP="00856BEE">
    <w:pPr>
      <w:pStyle w:val="Status"/>
      <w:rPr>
        <w:rFonts w:cs="Arial"/>
      </w:rPr>
    </w:pPr>
    <w:r w:rsidRPr="00856BEE">
      <w:rPr>
        <w:rFonts w:cs="Arial"/>
      </w:rPr>
      <w:fldChar w:fldCharType="begin"/>
    </w:r>
    <w:r w:rsidRPr="00856BEE">
      <w:rPr>
        <w:rFonts w:cs="Arial"/>
      </w:rPr>
      <w:instrText xml:space="preserve"> DOCPROPERTY "Status" </w:instrText>
    </w:r>
    <w:r w:rsidRPr="00856BEE">
      <w:rPr>
        <w:rFonts w:cs="Arial"/>
      </w:rPr>
      <w:fldChar w:fldCharType="separate"/>
    </w:r>
    <w:r w:rsidR="00EF7DDF" w:rsidRPr="00856BEE">
      <w:rPr>
        <w:rFonts w:cs="Arial"/>
      </w:rPr>
      <w:t xml:space="preserve"> </w:t>
    </w:r>
    <w:r w:rsidRPr="00856BEE">
      <w:rPr>
        <w:rFonts w:cs="Arial"/>
      </w:rPr>
      <w:fldChar w:fldCharType="end"/>
    </w:r>
    <w:r w:rsidRPr="00856BE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0C83" w14:textId="77777777" w:rsidR="00C85D3A" w:rsidRDefault="00C85D3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85D3A" w:rsidRPr="00CB3D59" w14:paraId="7C652AF9" w14:textId="77777777">
      <w:tc>
        <w:tcPr>
          <w:tcW w:w="1061" w:type="pct"/>
        </w:tcPr>
        <w:p w14:paraId="537BBBB4" w14:textId="730B36A2" w:rsidR="00C85D3A" w:rsidRPr="00783A18" w:rsidRDefault="00C85D3A" w:rsidP="006D21FE">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EF7DDF">
            <w:rPr>
              <w:rFonts w:ascii="Times New Roman" w:hAnsi="Times New Roman"/>
              <w:sz w:val="24"/>
              <w:szCs w:val="24"/>
            </w:rPr>
            <w:t>R10</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EF7DDF">
            <w:rPr>
              <w:rFonts w:ascii="Times New Roman" w:hAnsi="Times New Roman"/>
              <w:sz w:val="24"/>
              <w:szCs w:val="24"/>
            </w:rPr>
            <w:t>27/09/21</w:t>
          </w:r>
          <w:r w:rsidRPr="00783A18">
            <w:rPr>
              <w:rFonts w:ascii="Times New Roman" w:hAnsi="Times New Roman"/>
              <w:sz w:val="24"/>
              <w:szCs w:val="24"/>
            </w:rPr>
            <w:fldChar w:fldCharType="end"/>
          </w:r>
        </w:p>
      </w:tc>
      <w:tc>
        <w:tcPr>
          <w:tcW w:w="3092" w:type="pct"/>
        </w:tcPr>
        <w:p w14:paraId="4CDCD87C" w14:textId="5206D79C" w:rsidR="00C85D3A" w:rsidRPr="00783A18" w:rsidRDefault="00C85D3A" w:rsidP="006D21FE">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EF7DDF">
            <w:t>Heavy Vehicle National Law (ACT)</w:t>
          </w:r>
          <w:r w:rsidRPr="00783A18">
            <w:rPr>
              <w:rFonts w:ascii="Times New Roman" w:hAnsi="Times New Roman"/>
              <w:sz w:val="24"/>
              <w:szCs w:val="24"/>
            </w:rPr>
            <w:fldChar w:fldCharType="end"/>
          </w:r>
        </w:p>
        <w:p w14:paraId="4F69DCB2" w14:textId="6D977133" w:rsidR="00C85D3A" w:rsidRPr="00783A18" w:rsidRDefault="00C85D3A" w:rsidP="006D21FE">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EF7DDF">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EF7DDF">
            <w:rPr>
              <w:rFonts w:ascii="Times New Roman" w:hAnsi="Times New Roman"/>
              <w:sz w:val="24"/>
              <w:szCs w:val="24"/>
            </w:rPr>
            <w:t>27/09/21</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EF7DDF">
            <w:rPr>
              <w:rFonts w:ascii="Times New Roman" w:hAnsi="Times New Roman"/>
              <w:sz w:val="24"/>
              <w:szCs w:val="24"/>
            </w:rPr>
            <w:t>-26/04/22</w:t>
          </w:r>
          <w:r w:rsidRPr="00783A18">
            <w:rPr>
              <w:rFonts w:ascii="Times New Roman" w:hAnsi="Times New Roman"/>
              <w:sz w:val="24"/>
              <w:szCs w:val="24"/>
            </w:rPr>
            <w:fldChar w:fldCharType="end"/>
          </w:r>
        </w:p>
      </w:tc>
      <w:tc>
        <w:tcPr>
          <w:tcW w:w="847" w:type="pct"/>
        </w:tcPr>
        <w:p w14:paraId="2B4475BA" w14:textId="77777777" w:rsidR="00C85D3A" w:rsidRPr="00783A18" w:rsidRDefault="00C85D3A" w:rsidP="006D21FE">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502E7A75" w14:textId="27BD4E11" w:rsidR="00C85D3A" w:rsidRDefault="00856BEE">
    <w:pPr>
      <w:pStyle w:val="Status"/>
    </w:pPr>
    <w:r>
      <w:fldChar w:fldCharType="begin"/>
    </w:r>
    <w:r>
      <w:instrText xml:space="preserve"> DOCPROPERTY "Status" </w:instrText>
    </w:r>
    <w:r>
      <w:fldChar w:fldCharType="separate"/>
    </w:r>
    <w:r w:rsidR="00EF7DDF">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38B1" w14:textId="77777777" w:rsidR="00C85D3A" w:rsidRDefault="00C85D3A" w:rsidP="006D21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85D3A" w14:paraId="583385FE" w14:textId="77777777" w:rsidTr="006D21FE">
      <w:tc>
        <w:tcPr>
          <w:tcW w:w="847" w:type="pct"/>
        </w:tcPr>
        <w:p w14:paraId="7738DFA0" w14:textId="77777777" w:rsidR="00C85D3A" w:rsidRDefault="00C85D3A" w:rsidP="006D21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5BE7EABE" w14:textId="26A9C7DC" w:rsidR="00C85D3A" w:rsidRDefault="00856BEE" w:rsidP="006D21FE">
          <w:pPr>
            <w:pStyle w:val="Footer"/>
            <w:jc w:val="center"/>
          </w:pPr>
          <w:r>
            <w:fldChar w:fldCharType="begin"/>
          </w:r>
          <w:r>
            <w:instrText xml:space="preserve"> REF Citation *\charformat </w:instrText>
          </w:r>
          <w:r>
            <w:fldChar w:fldCharType="separate"/>
          </w:r>
          <w:r w:rsidR="00EF7DDF">
            <w:t>Heavy Vehicle National Law (ACT)</w:t>
          </w:r>
          <w:r>
            <w:fldChar w:fldCharType="end"/>
          </w:r>
        </w:p>
        <w:p w14:paraId="6B257155" w14:textId="126190E6" w:rsidR="00C85D3A" w:rsidRDefault="00856BEE" w:rsidP="006D21FE">
          <w:pPr>
            <w:pStyle w:val="FooterInfoCentre"/>
          </w:pPr>
          <w:r>
            <w:fldChar w:fldCharType="begin"/>
          </w:r>
          <w:r>
            <w:instrText xml:space="preserve"> DOCPROPERTY "Eff"  *\charformat </w:instrText>
          </w:r>
          <w:r>
            <w:fldChar w:fldCharType="separate"/>
          </w:r>
          <w:r w:rsidR="00EF7DDF">
            <w:t xml:space="preserve">Effective:  </w:t>
          </w:r>
          <w:r>
            <w:fldChar w:fldCharType="end"/>
          </w:r>
          <w:r>
            <w:fldChar w:fldCharType="begin"/>
          </w:r>
          <w:r>
            <w:instrText xml:space="preserve"> DOCPROPERTY "StartDt"  *\charformat </w:instrText>
          </w:r>
          <w:r>
            <w:fldChar w:fldCharType="separate"/>
          </w:r>
          <w:r w:rsidR="00EF7DDF">
            <w:t>27/09/21</w:t>
          </w:r>
          <w:r>
            <w:fldChar w:fldCharType="end"/>
          </w:r>
          <w:r>
            <w:fldChar w:fldCharType="begin"/>
          </w:r>
          <w:r>
            <w:instrText xml:space="preserve"> DOCPROPERTY "EndDt"  *\charformat </w:instrText>
          </w:r>
          <w:r>
            <w:fldChar w:fldCharType="separate"/>
          </w:r>
          <w:r w:rsidR="00EF7DDF">
            <w:t>-26/04/22</w:t>
          </w:r>
          <w:r>
            <w:fldChar w:fldCharType="end"/>
          </w:r>
        </w:p>
      </w:tc>
      <w:tc>
        <w:tcPr>
          <w:tcW w:w="1061" w:type="pct"/>
        </w:tcPr>
        <w:p w14:paraId="1679C2D1" w14:textId="63A3E396" w:rsidR="00C85D3A" w:rsidRDefault="00856BEE" w:rsidP="006D21FE">
          <w:pPr>
            <w:pStyle w:val="Footer"/>
            <w:jc w:val="right"/>
          </w:pPr>
          <w:r>
            <w:fldChar w:fldCharType="begin"/>
          </w:r>
          <w:r>
            <w:instrText xml:space="preserve"> DOCPROPERTY "Category"  *\charformat  </w:instrText>
          </w:r>
          <w:r>
            <w:fldChar w:fldCharType="separate"/>
          </w:r>
          <w:r w:rsidR="00EF7DDF">
            <w:t>R10</w:t>
          </w:r>
          <w:r>
            <w:fldChar w:fldCharType="end"/>
          </w:r>
          <w:r w:rsidR="00C85D3A">
            <w:br/>
          </w:r>
          <w:r>
            <w:fldChar w:fldCharType="begin"/>
          </w:r>
          <w:r>
            <w:instrText xml:space="preserve"> DOCPROPERTY "RepubDt"  *\charformat  </w:instrText>
          </w:r>
          <w:r>
            <w:fldChar w:fldCharType="separate"/>
          </w:r>
          <w:r w:rsidR="00EF7DDF">
            <w:t>27/09/21</w:t>
          </w:r>
          <w:r>
            <w:fldChar w:fldCharType="end"/>
          </w:r>
        </w:p>
      </w:tc>
    </w:tr>
  </w:tbl>
  <w:p w14:paraId="4BA858B5" w14:textId="1C1A9859" w:rsidR="00C85D3A" w:rsidRPr="00856BEE" w:rsidRDefault="00856BEE" w:rsidP="00856BEE">
    <w:pPr>
      <w:pStyle w:val="Status"/>
      <w:rPr>
        <w:rFonts w:cs="Arial"/>
      </w:rPr>
    </w:pPr>
    <w:r w:rsidRPr="00856BEE">
      <w:rPr>
        <w:rFonts w:cs="Arial"/>
      </w:rPr>
      <w:fldChar w:fldCharType="begin"/>
    </w:r>
    <w:r w:rsidRPr="00856BEE">
      <w:rPr>
        <w:rFonts w:cs="Arial"/>
      </w:rPr>
      <w:instrText xml:space="preserve"> DOCPROPERTY "Status" </w:instrText>
    </w:r>
    <w:r w:rsidRPr="00856BEE">
      <w:rPr>
        <w:rFonts w:cs="Arial"/>
      </w:rPr>
      <w:fldChar w:fldCharType="separate"/>
    </w:r>
    <w:r w:rsidR="00EF7DDF" w:rsidRPr="00856BEE">
      <w:rPr>
        <w:rFonts w:cs="Arial"/>
      </w:rPr>
      <w:t xml:space="preserve"> </w:t>
    </w:r>
    <w:r w:rsidRPr="00856BEE">
      <w:rPr>
        <w:rFonts w:cs="Arial"/>
      </w:rPr>
      <w:fldChar w:fldCharType="end"/>
    </w:r>
    <w:r w:rsidRPr="00856BE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C275" w14:textId="77777777" w:rsidR="00C85D3A" w:rsidRDefault="00C85D3A" w:rsidP="006D21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85D3A" w14:paraId="7DADAA47" w14:textId="77777777" w:rsidTr="006D21FE">
      <w:tc>
        <w:tcPr>
          <w:tcW w:w="1061" w:type="pct"/>
        </w:tcPr>
        <w:p w14:paraId="6A4BCB42" w14:textId="66A7E6B9" w:rsidR="00C85D3A" w:rsidRDefault="00856BEE" w:rsidP="006D21FE">
          <w:pPr>
            <w:pStyle w:val="Footer"/>
          </w:pPr>
          <w:r>
            <w:fldChar w:fldCharType="begin"/>
          </w:r>
          <w:r>
            <w:instrText xml:space="preserve"> DOCPROPERTY "Category"  *\charfor</w:instrText>
          </w:r>
          <w:r>
            <w:instrText xml:space="preserve">mat  </w:instrText>
          </w:r>
          <w:r>
            <w:fldChar w:fldCharType="separate"/>
          </w:r>
          <w:r w:rsidR="00EF7DDF">
            <w:t>R10</w:t>
          </w:r>
          <w:r>
            <w:fldChar w:fldCharType="end"/>
          </w:r>
          <w:r w:rsidR="00C85D3A">
            <w:br/>
          </w:r>
          <w:r>
            <w:fldChar w:fldCharType="begin"/>
          </w:r>
          <w:r>
            <w:instrText xml:space="preserve"> DOCPROPERTY "RepubDt"  *\charformat  </w:instrText>
          </w:r>
          <w:r>
            <w:fldChar w:fldCharType="separate"/>
          </w:r>
          <w:r w:rsidR="00EF7DDF">
            <w:t>27/09/21</w:t>
          </w:r>
          <w:r>
            <w:fldChar w:fldCharType="end"/>
          </w:r>
        </w:p>
      </w:tc>
      <w:tc>
        <w:tcPr>
          <w:tcW w:w="3092" w:type="pct"/>
        </w:tcPr>
        <w:p w14:paraId="78C18B20" w14:textId="39895D34" w:rsidR="00C85D3A" w:rsidRDefault="00856BEE" w:rsidP="006D21FE">
          <w:pPr>
            <w:pStyle w:val="Footer"/>
            <w:jc w:val="center"/>
          </w:pPr>
          <w:r>
            <w:fldChar w:fldCharType="begin"/>
          </w:r>
          <w:r>
            <w:instrText xml:space="preserve"> REF Citation *\charformat </w:instrText>
          </w:r>
          <w:r>
            <w:fldChar w:fldCharType="separate"/>
          </w:r>
          <w:r w:rsidR="00EF7DDF">
            <w:t>Heavy Vehicle National Law (ACT)</w:t>
          </w:r>
          <w:r>
            <w:fldChar w:fldCharType="end"/>
          </w:r>
        </w:p>
        <w:p w14:paraId="340336E6" w14:textId="40DD2451" w:rsidR="00C85D3A" w:rsidRDefault="00856BEE" w:rsidP="006D21FE">
          <w:pPr>
            <w:pStyle w:val="FooterInfoCentre"/>
          </w:pPr>
          <w:r>
            <w:fldChar w:fldCharType="begin"/>
          </w:r>
          <w:r>
            <w:instrText xml:space="preserve"> DOCPROPERTY "Eff"  *\charformat </w:instrText>
          </w:r>
          <w:r>
            <w:fldChar w:fldCharType="separate"/>
          </w:r>
          <w:r w:rsidR="00EF7DDF">
            <w:t xml:space="preserve">Effective:  </w:t>
          </w:r>
          <w:r>
            <w:fldChar w:fldCharType="end"/>
          </w:r>
          <w:r>
            <w:fldChar w:fldCharType="begin"/>
          </w:r>
          <w:r>
            <w:instrText xml:space="preserve"> DOCPROPERTY "StartDt"  *\charformat </w:instrText>
          </w:r>
          <w:r>
            <w:fldChar w:fldCharType="separate"/>
          </w:r>
          <w:r w:rsidR="00EF7DDF">
            <w:t>27/09/21</w:t>
          </w:r>
          <w:r>
            <w:fldChar w:fldCharType="end"/>
          </w:r>
          <w:r>
            <w:fldChar w:fldCharType="begin"/>
          </w:r>
          <w:r>
            <w:instrText xml:space="preserve"> DOCPROPERTY "EndDt"  *\charformat </w:instrText>
          </w:r>
          <w:r>
            <w:fldChar w:fldCharType="separate"/>
          </w:r>
          <w:r w:rsidR="00EF7DDF">
            <w:t>-26/04/22</w:t>
          </w:r>
          <w:r>
            <w:fldChar w:fldCharType="end"/>
          </w:r>
        </w:p>
      </w:tc>
      <w:tc>
        <w:tcPr>
          <w:tcW w:w="847" w:type="pct"/>
        </w:tcPr>
        <w:p w14:paraId="7A5DDB29" w14:textId="77777777" w:rsidR="00C85D3A" w:rsidRDefault="00C85D3A" w:rsidP="006D21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0A6A65B3" w14:textId="5B92718A" w:rsidR="00C85D3A" w:rsidRPr="00856BEE" w:rsidRDefault="00856BEE" w:rsidP="00856BEE">
    <w:pPr>
      <w:pStyle w:val="Status"/>
      <w:rPr>
        <w:rFonts w:cs="Arial"/>
      </w:rPr>
    </w:pPr>
    <w:r w:rsidRPr="00856BEE">
      <w:rPr>
        <w:rFonts w:cs="Arial"/>
      </w:rPr>
      <w:fldChar w:fldCharType="begin"/>
    </w:r>
    <w:r w:rsidRPr="00856BEE">
      <w:rPr>
        <w:rFonts w:cs="Arial"/>
      </w:rPr>
      <w:instrText xml:space="preserve"> DOCPROPERTY "Status" </w:instrText>
    </w:r>
    <w:r w:rsidRPr="00856BEE">
      <w:rPr>
        <w:rFonts w:cs="Arial"/>
      </w:rPr>
      <w:fldChar w:fldCharType="separate"/>
    </w:r>
    <w:r w:rsidR="00EF7DDF" w:rsidRPr="00856BEE">
      <w:rPr>
        <w:rFonts w:cs="Arial"/>
      </w:rPr>
      <w:t xml:space="preserve"> </w:t>
    </w:r>
    <w:r w:rsidRPr="00856BEE">
      <w:rPr>
        <w:rFonts w:cs="Arial"/>
      </w:rPr>
      <w:fldChar w:fldCharType="end"/>
    </w:r>
    <w:r w:rsidRPr="00856BEE">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1D65" w14:textId="77777777" w:rsidR="00C85D3A" w:rsidRDefault="00C85D3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85D3A" w:rsidRPr="00CB3D59" w14:paraId="32C6A760" w14:textId="77777777">
      <w:tc>
        <w:tcPr>
          <w:tcW w:w="1061" w:type="pct"/>
        </w:tcPr>
        <w:p w14:paraId="10329AAA" w14:textId="01F6BC3D" w:rsidR="00C85D3A" w:rsidRPr="00783A18" w:rsidRDefault="00C85D3A" w:rsidP="006D21FE">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EF7DDF">
            <w:rPr>
              <w:rFonts w:ascii="Times New Roman" w:hAnsi="Times New Roman"/>
              <w:sz w:val="24"/>
              <w:szCs w:val="24"/>
            </w:rPr>
            <w:t>R10</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EF7DDF">
            <w:rPr>
              <w:rFonts w:ascii="Times New Roman" w:hAnsi="Times New Roman"/>
              <w:sz w:val="24"/>
              <w:szCs w:val="24"/>
            </w:rPr>
            <w:t>27/09/21</w:t>
          </w:r>
          <w:r w:rsidRPr="00783A18">
            <w:rPr>
              <w:rFonts w:ascii="Times New Roman" w:hAnsi="Times New Roman"/>
              <w:sz w:val="24"/>
              <w:szCs w:val="24"/>
            </w:rPr>
            <w:fldChar w:fldCharType="end"/>
          </w:r>
        </w:p>
      </w:tc>
      <w:tc>
        <w:tcPr>
          <w:tcW w:w="3092" w:type="pct"/>
        </w:tcPr>
        <w:p w14:paraId="00641FB0" w14:textId="6E857AC7" w:rsidR="00C85D3A" w:rsidRPr="00783A18" w:rsidRDefault="00C85D3A" w:rsidP="006D21FE">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EF7DDF">
            <w:t>Heavy Vehicle National Law (ACT)</w:t>
          </w:r>
          <w:r w:rsidRPr="00783A18">
            <w:rPr>
              <w:rFonts w:ascii="Times New Roman" w:hAnsi="Times New Roman"/>
              <w:sz w:val="24"/>
              <w:szCs w:val="24"/>
            </w:rPr>
            <w:fldChar w:fldCharType="end"/>
          </w:r>
        </w:p>
        <w:p w14:paraId="1C2051B2" w14:textId="65EDA5BF" w:rsidR="00C85D3A" w:rsidRPr="00783A18" w:rsidRDefault="00C85D3A" w:rsidP="006D21FE">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EF7DDF">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EF7DDF">
            <w:rPr>
              <w:rFonts w:ascii="Times New Roman" w:hAnsi="Times New Roman"/>
              <w:sz w:val="24"/>
              <w:szCs w:val="24"/>
            </w:rPr>
            <w:t>27/09/21</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EF7DDF">
            <w:rPr>
              <w:rFonts w:ascii="Times New Roman" w:hAnsi="Times New Roman"/>
              <w:sz w:val="24"/>
              <w:szCs w:val="24"/>
            </w:rPr>
            <w:t>-26/04/22</w:t>
          </w:r>
          <w:r w:rsidRPr="00783A18">
            <w:rPr>
              <w:rFonts w:ascii="Times New Roman" w:hAnsi="Times New Roman"/>
              <w:sz w:val="24"/>
              <w:szCs w:val="24"/>
            </w:rPr>
            <w:fldChar w:fldCharType="end"/>
          </w:r>
        </w:p>
      </w:tc>
      <w:tc>
        <w:tcPr>
          <w:tcW w:w="847" w:type="pct"/>
        </w:tcPr>
        <w:p w14:paraId="1EEADA55" w14:textId="77777777" w:rsidR="00C85D3A" w:rsidRPr="00783A18" w:rsidRDefault="00C85D3A" w:rsidP="006D21FE">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0A0FE612" w14:textId="3A133BBF" w:rsidR="00C85D3A" w:rsidRDefault="00856BEE">
    <w:pPr>
      <w:pStyle w:val="Status"/>
    </w:pPr>
    <w:r>
      <w:fldChar w:fldCharType="begin"/>
    </w:r>
    <w:r>
      <w:instrText xml:space="preserve"> DOCPROPERTY "Status" </w:instrText>
    </w:r>
    <w:r>
      <w:fldChar w:fldCharType="separate"/>
    </w:r>
    <w:r w:rsidR="00EF7DDF">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F8A4" w14:textId="77777777" w:rsidR="00C85D3A" w:rsidRDefault="00C85D3A" w:rsidP="006D21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85D3A" w14:paraId="50ED8FDB" w14:textId="77777777" w:rsidTr="006D21FE">
      <w:tc>
        <w:tcPr>
          <w:tcW w:w="847" w:type="pct"/>
        </w:tcPr>
        <w:p w14:paraId="401E6BCB" w14:textId="77777777" w:rsidR="00C85D3A" w:rsidRDefault="00C85D3A" w:rsidP="006D21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6A1A17C5" w14:textId="157B1803" w:rsidR="00C85D3A" w:rsidRDefault="00856BEE" w:rsidP="006D21FE">
          <w:pPr>
            <w:pStyle w:val="Footer"/>
            <w:jc w:val="center"/>
          </w:pPr>
          <w:r>
            <w:fldChar w:fldCharType="begin"/>
          </w:r>
          <w:r>
            <w:instrText xml:space="preserve"> REF Citation *\charformat </w:instrText>
          </w:r>
          <w:r>
            <w:fldChar w:fldCharType="separate"/>
          </w:r>
          <w:r w:rsidR="00EF7DDF">
            <w:t>Heavy Vehicle National Law (ACT)</w:t>
          </w:r>
          <w:r>
            <w:fldChar w:fldCharType="end"/>
          </w:r>
        </w:p>
        <w:p w14:paraId="060ED648" w14:textId="48235A5E" w:rsidR="00C85D3A" w:rsidRDefault="00856BEE" w:rsidP="006D21FE">
          <w:pPr>
            <w:pStyle w:val="FooterInfoCentre"/>
          </w:pPr>
          <w:r>
            <w:fldChar w:fldCharType="begin"/>
          </w:r>
          <w:r>
            <w:instrText xml:space="preserve"> DOCPROPERTY "Eff"  *\charformat </w:instrText>
          </w:r>
          <w:r>
            <w:fldChar w:fldCharType="separate"/>
          </w:r>
          <w:r w:rsidR="00EF7DDF">
            <w:t xml:space="preserve">Effective:  </w:t>
          </w:r>
          <w:r>
            <w:fldChar w:fldCharType="end"/>
          </w:r>
          <w:r>
            <w:fldChar w:fldCharType="begin"/>
          </w:r>
          <w:r>
            <w:instrText xml:space="preserve"> DOCPROPERTY "StartDt"  *\charformat </w:instrText>
          </w:r>
          <w:r>
            <w:fldChar w:fldCharType="separate"/>
          </w:r>
          <w:r w:rsidR="00EF7DDF">
            <w:t>27/09/21</w:t>
          </w:r>
          <w:r>
            <w:fldChar w:fldCharType="end"/>
          </w:r>
          <w:r>
            <w:fldChar w:fldCharType="begin"/>
          </w:r>
          <w:r>
            <w:instrText xml:space="preserve"> DOCPROPERTY "EndDt"  *\charformat </w:instrText>
          </w:r>
          <w:r>
            <w:fldChar w:fldCharType="separate"/>
          </w:r>
          <w:r w:rsidR="00EF7DDF">
            <w:t>-26/04/22</w:t>
          </w:r>
          <w:r>
            <w:fldChar w:fldCharType="end"/>
          </w:r>
        </w:p>
      </w:tc>
      <w:tc>
        <w:tcPr>
          <w:tcW w:w="1061" w:type="pct"/>
        </w:tcPr>
        <w:p w14:paraId="023F4959" w14:textId="4FFB242D" w:rsidR="00C85D3A" w:rsidRDefault="00856BEE" w:rsidP="006D21FE">
          <w:pPr>
            <w:pStyle w:val="Footer"/>
            <w:jc w:val="right"/>
          </w:pPr>
          <w:r>
            <w:fldChar w:fldCharType="begin"/>
          </w:r>
          <w:r>
            <w:instrText xml:space="preserve"> DOCPROPERTY "Category"  *\charformat  </w:instrText>
          </w:r>
          <w:r>
            <w:fldChar w:fldCharType="separate"/>
          </w:r>
          <w:r w:rsidR="00EF7DDF">
            <w:t>R10</w:t>
          </w:r>
          <w:r>
            <w:fldChar w:fldCharType="end"/>
          </w:r>
          <w:r w:rsidR="00C85D3A">
            <w:br/>
          </w:r>
          <w:r>
            <w:fldChar w:fldCharType="begin"/>
          </w:r>
          <w:r>
            <w:instrText xml:space="preserve"> DOCPROPERTY "RepubDt"  *\charformat  </w:instrText>
          </w:r>
          <w:r>
            <w:fldChar w:fldCharType="separate"/>
          </w:r>
          <w:r w:rsidR="00EF7DDF">
            <w:t>27/09/21</w:t>
          </w:r>
          <w:r>
            <w:fldChar w:fldCharType="end"/>
          </w:r>
        </w:p>
      </w:tc>
    </w:tr>
  </w:tbl>
  <w:p w14:paraId="44B4AB10" w14:textId="6BD6F675" w:rsidR="00C85D3A" w:rsidRPr="00856BEE" w:rsidRDefault="00856BEE" w:rsidP="00856BEE">
    <w:pPr>
      <w:pStyle w:val="Status"/>
      <w:rPr>
        <w:rFonts w:cs="Arial"/>
      </w:rPr>
    </w:pPr>
    <w:r w:rsidRPr="00856BEE">
      <w:rPr>
        <w:rFonts w:cs="Arial"/>
      </w:rPr>
      <w:fldChar w:fldCharType="begin"/>
    </w:r>
    <w:r w:rsidRPr="00856BEE">
      <w:rPr>
        <w:rFonts w:cs="Arial"/>
      </w:rPr>
      <w:instrText xml:space="preserve"> DOCPROPERTY "Status" </w:instrText>
    </w:r>
    <w:r w:rsidRPr="00856BEE">
      <w:rPr>
        <w:rFonts w:cs="Arial"/>
      </w:rPr>
      <w:fldChar w:fldCharType="separate"/>
    </w:r>
    <w:r w:rsidR="00EF7DDF" w:rsidRPr="00856BEE">
      <w:rPr>
        <w:rFonts w:cs="Arial"/>
      </w:rPr>
      <w:t xml:space="preserve"> </w:t>
    </w:r>
    <w:r w:rsidRPr="00856BEE">
      <w:rPr>
        <w:rFonts w:cs="Arial"/>
      </w:rPr>
      <w:fldChar w:fldCharType="end"/>
    </w:r>
    <w:r w:rsidRPr="00856BEE">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98C8" w14:textId="77777777" w:rsidR="00C85D3A" w:rsidRDefault="00C85D3A" w:rsidP="006D21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85D3A" w14:paraId="69DE3D32" w14:textId="77777777" w:rsidTr="006D21FE">
      <w:tc>
        <w:tcPr>
          <w:tcW w:w="1061" w:type="pct"/>
        </w:tcPr>
        <w:p w14:paraId="0B57F24C" w14:textId="35DB30F4" w:rsidR="00C85D3A" w:rsidRDefault="00856BEE" w:rsidP="006D21FE">
          <w:pPr>
            <w:pStyle w:val="Footer"/>
          </w:pPr>
          <w:r>
            <w:fldChar w:fldCharType="begin"/>
          </w:r>
          <w:r>
            <w:instrText xml:space="preserve"> DOCPROPERTY "Category"  *\charformat  </w:instrText>
          </w:r>
          <w:r>
            <w:fldChar w:fldCharType="separate"/>
          </w:r>
          <w:r w:rsidR="00EF7DDF">
            <w:t>R10</w:t>
          </w:r>
          <w:r>
            <w:fldChar w:fldCharType="end"/>
          </w:r>
          <w:r w:rsidR="00C85D3A">
            <w:br/>
          </w:r>
          <w:r>
            <w:fldChar w:fldCharType="begin"/>
          </w:r>
          <w:r>
            <w:instrText xml:space="preserve"> DOCPROPERTY "RepubDt"  *\charformat</w:instrText>
          </w:r>
          <w:r>
            <w:instrText xml:space="preserve">  </w:instrText>
          </w:r>
          <w:r>
            <w:fldChar w:fldCharType="separate"/>
          </w:r>
          <w:r w:rsidR="00EF7DDF">
            <w:t>27/09/21</w:t>
          </w:r>
          <w:r>
            <w:fldChar w:fldCharType="end"/>
          </w:r>
        </w:p>
      </w:tc>
      <w:tc>
        <w:tcPr>
          <w:tcW w:w="3092" w:type="pct"/>
        </w:tcPr>
        <w:p w14:paraId="47F70595" w14:textId="31C75176" w:rsidR="00C85D3A" w:rsidRDefault="00856BEE" w:rsidP="006D21FE">
          <w:pPr>
            <w:pStyle w:val="Footer"/>
            <w:jc w:val="center"/>
          </w:pPr>
          <w:r>
            <w:fldChar w:fldCharType="begin"/>
          </w:r>
          <w:r>
            <w:instrText xml:space="preserve"> REF Citation *\charformat </w:instrText>
          </w:r>
          <w:r>
            <w:fldChar w:fldCharType="separate"/>
          </w:r>
          <w:r w:rsidR="00EF7DDF">
            <w:t>Heavy Vehicle National Law (ACT)</w:t>
          </w:r>
          <w:r>
            <w:fldChar w:fldCharType="end"/>
          </w:r>
        </w:p>
        <w:p w14:paraId="6A9DF2E7" w14:textId="5EE871C1" w:rsidR="00C85D3A" w:rsidRDefault="00856BEE" w:rsidP="006D21FE">
          <w:pPr>
            <w:pStyle w:val="FooterInfoCentre"/>
          </w:pPr>
          <w:r>
            <w:fldChar w:fldCharType="begin"/>
          </w:r>
          <w:r>
            <w:instrText xml:space="preserve"> DOCPROPERTY "Eff"  *\charformat </w:instrText>
          </w:r>
          <w:r>
            <w:fldChar w:fldCharType="separate"/>
          </w:r>
          <w:r w:rsidR="00EF7DDF">
            <w:t xml:space="preserve">Effective:  </w:t>
          </w:r>
          <w:r>
            <w:fldChar w:fldCharType="end"/>
          </w:r>
          <w:r>
            <w:fldChar w:fldCharType="begin"/>
          </w:r>
          <w:r>
            <w:instrText xml:space="preserve"> DOCPROPERTY "StartDt"  *\charformat </w:instrText>
          </w:r>
          <w:r>
            <w:fldChar w:fldCharType="separate"/>
          </w:r>
          <w:r w:rsidR="00EF7DDF">
            <w:t>27/09/21</w:t>
          </w:r>
          <w:r>
            <w:fldChar w:fldCharType="end"/>
          </w:r>
          <w:r>
            <w:fldChar w:fldCharType="begin"/>
          </w:r>
          <w:r>
            <w:instrText xml:space="preserve"> DOCPROPERTY "EndDt"  *\charformat </w:instrText>
          </w:r>
          <w:r>
            <w:fldChar w:fldCharType="separate"/>
          </w:r>
          <w:r w:rsidR="00EF7DDF">
            <w:t>-26/04/22</w:t>
          </w:r>
          <w:r>
            <w:fldChar w:fldCharType="end"/>
          </w:r>
        </w:p>
      </w:tc>
      <w:tc>
        <w:tcPr>
          <w:tcW w:w="847" w:type="pct"/>
        </w:tcPr>
        <w:p w14:paraId="487C7696" w14:textId="77777777" w:rsidR="00C85D3A" w:rsidRDefault="00C85D3A" w:rsidP="006D21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0DDE85CD" w14:textId="4353404F" w:rsidR="00C85D3A" w:rsidRPr="00856BEE" w:rsidRDefault="00856BEE" w:rsidP="00856BEE">
    <w:pPr>
      <w:pStyle w:val="Status"/>
      <w:rPr>
        <w:rFonts w:cs="Arial"/>
      </w:rPr>
    </w:pPr>
    <w:r w:rsidRPr="00856BEE">
      <w:rPr>
        <w:rFonts w:cs="Arial"/>
      </w:rPr>
      <w:fldChar w:fldCharType="begin"/>
    </w:r>
    <w:r w:rsidRPr="00856BEE">
      <w:rPr>
        <w:rFonts w:cs="Arial"/>
      </w:rPr>
      <w:instrText xml:space="preserve"> DOCPROPERTY "Status" </w:instrText>
    </w:r>
    <w:r w:rsidRPr="00856BEE">
      <w:rPr>
        <w:rFonts w:cs="Arial"/>
      </w:rPr>
      <w:fldChar w:fldCharType="separate"/>
    </w:r>
    <w:r w:rsidR="00EF7DDF" w:rsidRPr="00856BEE">
      <w:rPr>
        <w:rFonts w:cs="Arial"/>
      </w:rPr>
      <w:t xml:space="preserve"> </w:t>
    </w:r>
    <w:r w:rsidRPr="00856BEE">
      <w:rPr>
        <w:rFonts w:cs="Arial"/>
      </w:rPr>
      <w:fldChar w:fldCharType="end"/>
    </w:r>
    <w:r w:rsidRPr="00856BEE">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CA9" w14:textId="77777777" w:rsidR="00C85D3A" w:rsidRDefault="00C85D3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85D3A" w:rsidRPr="00CB3D59" w14:paraId="146B4C92" w14:textId="77777777">
      <w:tc>
        <w:tcPr>
          <w:tcW w:w="1061" w:type="pct"/>
        </w:tcPr>
        <w:p w14:paraId="23359599" w14:textId="6A8E2CA7" w:rsidR="00C85D3A" w:rsidRPr="00783A18" w:rsidRDefault="00C85D3A" w:rsidP="006D21FE">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EF7DDF">
            <w:rPr>
              <w:rFonts w:ascii="Times New Roman" w:hAnsi="Times New Roman"/>
              <w:sz w:val="24"/>
              <w:szCs w:val="24"/>
            </w:rPr>
            <w:t>R10</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EF7DDF">
            <w:rPr>
              <w:rFonts w:ascii="Times New Roman" w:hAnsi="Times New Roman"/>
              <w:sz w:val="24"/>
              <w:szCs w:val="24"/>
            </w:rPr>
            <w:t>27/09/21</w:t>
          </w:r>
          <w:r w:rsidRPr="00783A18">
            <w:rPr>
              <w:rFonts w:ascii="Times New Roman" w:hAnsi="Times New Roman"/>
              <w:sz w:val="24"/>
              <w:szCs w:val="24"/>
            </w:rPr>
            <w:fldChar w:fldCharType="end"/>
          </w:r>
        </w:p>
      </w:tc>
      <w:tc>
        <w:tcPr>
          <w:tcW w:w="3092" w:type="pct"/>
        </w:tcPr>
        <w:p w14:paraId="59B8DF21" w14:textId="1B47269A" w:rsidR="00C85D3A" w:rsidRPr="00783A18" w:rsidRDefault="00C85D3A" w:rsidP="006D21FE">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EF7DDF">
            <w:t>Heavy Vehicle National Law (ACT)</w:t>
          </w:r>
          <w:r w:rsidRPr="00783A18">
            <w:rPr>
              <w:rFonts w:ascii="Times New Roman" w:hAnsi="Times New Roman"/>
              <w:sz w:val="24"/>
              <w:szCs w:val="24"/>
            </w:rPr>
            <w:fldChar w:fldCharType="end"/>
          </w:r>
        </w:p>
        <w:p w14:paraId="2454D8F2" w14:textId="39337C1C" w:rsidR="00C85D3A" w:rsidRPr="00783A18" w:rsidRDefault="00C85D3A" w:rsidP="006D21FE">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EF7DDF">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EF7DDF">
            <w:rPr>
              <w:rFonts w:ascii="Times New Roman" w:hAnsi="Times New Roman"/>
              <w:sz w:val="24"/>
              <w:szCs w:val="24"/>
            </w:rPr>
            <w:t>27/09/21</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EF7DDF">
            <w:rPr>
              <w:rFonts w:ascii="Times New Roman" w:hAnsi="Times New Roman"/>
              <w:sz w:val="24"/>
              <w:szCs w:val="24"/>
            </w:rPr>
            <w:t>-26/04/22</w:t>
          </w:r>
          <w:r w:rsidRPr="00783A18">
            <w:rPr>
              <w:rFonts w:ascii="Times New Roman" w:hAnsi="Times New Roman"/>
              <w:sz w:val="24"/>
              <w:szCs w:val="24"/>
            </w:rPr>
            <w:fldChar w:fldCharType="end"/>
          </w:r>
        </w:p>
      </w:tc>
      <w:tc>
        <w:tcPr>
          <w:tcW w:w="847" w:type="pct"/>
        </w:tcPr>
        <w:p w14:paraId="66137B3A" w14:textId="77777777" w:rsidR="00C85D3A" w:rsidRPr="00783A18" w:rsidRDefault="00C85D3A" w:rsidP="006D21FE">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7365311D" w14:textId="66780E59" w:rsidR="00C85D3A" w:rsidRDefault="00856BEE">
    <w:pPr>
      <w:pStyle w:val="Status"/>
    </w:pPr>
    <w:r>
      <w:fldChar w:fldCharType="begin"/>
    </w:r>
    <w:r>
      <w:instrText xml:space="preserve"> DOCPROPERTY "Status" </w:instrText>
    </w:r>
    <w:r>
      <w:fldChar w:fldCharType="separate"/>
    </w:r>
    <w:r w:rsidR="00EF7DDF">
      <w:t xml:space="preserve"> </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7CD6" w14:textId="77777777" w:rsidR="00C85D3A" w:rsidRDefault="00C85D3A" w:rsidP="009451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85D3A" w14:paraId="2038B498" w14:textId="77777777" w:rsidTr="00945118">
      <w:tc>
        <w:tcPr>
          <w:tcW w:w="847" w:type="pct"/>
        </w:tcPr>
        <w:p w14:paraId="265C0A51" w14:textId="77777777" w:rsidR="00C85D3A" w:rsidRDefault="00C85D3A" w:rsidP="0094511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34048078" w14:textId="0089E6E6" w:rsidR="00C85D3A" w:rsidRDefault="00856BEE" w:rsidP="00945118">
          <w:pPr>
            <w:pStyle w:val="Footer"/>
            <w:jc w:val="center"/>
          </w:pPr>
          <w:r>
            <w:fldChar w:fldCharType="begin"/>
          </w:r>
          <w:r>
            <w:instrText xml:space="preserve"> REF Citation *\charformat </w:instrText>
          </w:r>
          <w:r>
            <w:fldChar w:fldCharType="separate"/>
          </w:r>
          <w:r w:rsidR="00EF7DDF">
            <w:t>Heavy Vehicle National Law (ACT)</w:t>
          </w:r>
          <w:r>
            <w:fldChar w:fldCharType="end"/>
          </w:r>
        </w:p>
        <w:p w14:paraId="2BC15A88" w14:textId="69A35945" w:rsidR="00C85D3A" w:rsidRDefault="00856BEE" w:rsidP="00945118">
          <w:pPr>
            <w:pStyle w:val="FooterInfoCentre"/>
          </w:pPr>
          <w:r>
            <w:fldChar w:fldCharType="begin"/>
          </w:r>
          <w:r>
            <w:instrText xml:space="preserve"> DOCPROPERTY "Eff"  *\charformat </w:instrText>
          </w:r>
          <w:r>
            <w:fldChar w:fldCharType="separate"/>
          </w:r>
          <w:r w:rsidR="00EF7DDF">
            <w:t xml:space="preserve">Effective:  </w:t>
          </w:r>
          <w:r>
            <w:fldChar w:fldCharType="end"/>
          </w:r>
          <w:r>
            <w:fldChar w:fldCharType="begin"/>
          </w:r>
          <w:r>
            <w:instrText xml:space="preserve"> DOCPROPERTY "StartDt"  *\charformat </w:instrText>
          </w:r>
          <w:r>
            <w:fldChar w:fldCharType="separate"/>
          </w:r>
          <w:r w:rsidR="00EF7DDF">
            <w:t>27/09/21</w:t>
          </w:r>
          <w:r>
            <w:fldChar w:fldCharType="end"/>
          </w:r>
          <w:r>
            <w:fldChar w:fldCharType="begin"/>
          </w:r>
          <w:r>
            <w:instrText xml:space="preserve"> DOCPROPERTY "EndDt"  *\charformat </w:instrText>
          </w:r>
          <w:r>
            <w:fldChar w:fldCharType="separate"/>
          </w:r>
          <w:r w:rsidR="00EF7DDF">
            <w:t>-26/04/22</w:t>
          </w:r>
          <w:r>
            <w:fldChar w:fldCharType="end"/>
          </w:r>
        </w:p>
      </w:tc>
      <w:tc>
        <w:tcPr>
          <w:tcW w:w="1061" w:type="pct"/>
        </w:tcPr>
        <w:p w14:paraId="33BACC34" w14:textId="29170754" w:rsidR="00C85D3A" w:rsidRDefault="00856BEE" w:rsidP="00945118">
          <w:pPr>
            <w:pStyle w:val="Footer"/>
            <w:jc w:val="right"/>
          </w:pPr>
          <w:r>
            <w:fldChar w:fldCharType="begin"/>
          </w:r>
          <w:r>
            <w:instrText xml:space="preserve"> DOCPROPERTY "Category"  *\charformat  </w:instrText>
          </w:r>
          <w:r>
            <w:fldChar w:fldCharType="separate"/>
          </w:r>
          <w:r w:rsidR="00EF7DDF">
            <w:t>R10</w:t>
          </w:r>
          <w:r>
            <w:fldChar w:fldCharType="end"/>
          </w:r>
          <w:r w:rsidR="00C85D3A">
            <w:br/>
          </w:r>
          <w:r>
            <w:fldChar w:fldCharType="begin"/>
          </w:r>
          <w:r>
            <w:instrText xml:space="preserve"> DOCPROPERTY "RepubDt"  *\charformat  </w:instrText>
          </w:r>
          <w:r>
            <w:fldChar w:fldCharType="separate"/>
          </w:r>
          <w:r w:rsidR="00EF7DDF">
            <w:t>27/09/21</w:t>
          </w:r>
          <w:r>
            <w:fldChar w:fldCharType="end"/>
          </w:r>
        </w:p>
      </w:tc>
    </w:tr>
  </w:tbl>
  <w:p w14:paraId="3A74EC8F" w14:textId="61DDF8A9" w:rsidR="00C85D3A" w:rsidRPr="00856BEE" w:rsidRDefault="00856BEE" w:rsidP="00856BEE">
    <w:pPr>
      <w:pStyle w:val="Status"/>
      <w:rPr>
        <w:rFonts w:cs="Arial"/>
      </w:rPr>
    </w:pPr>
    <w:r w:rsidRPr="00856BEE">
      <w:rPr>
        <w:rFonts w:cs="Arial"/>
      </w:rPr>
      <w:fldChar w:fldCharType="begin"/>
    </w:r>
    <w:r w:rsidRPr="00856BEE">
      <w:rPr>
        <w:rFonts w:cs="Arial"/>
      </w:rPr>
      <w:instrText xml:space="preserve"> DOCPROPERTY "Status" </w:instrText>
    </w:r>
    <w:r w:rsidRPr="00856BEE">
      <w:rPr>
        <w:rFonts w:cs="Arial"/>
      </w:rPr>
      <w:fldChar w:fldCharType="separate"/>
    </w:r>
    <w:r w:rsidR="00EF7DDF" w:rsidRPr="00856BEE">
      <w:rPr>
        <w:rFonts w:cs="Arial"/>
      </w:rPr>
      <w:t xml:space="preserve"> </w:t>
    </w:r>
    <w:r w:rsidRPr="00856BEE">
      <w:rPr>
        <w:rFonts w:cs="Arial"/>
      </w:rPr>
      <w:fldChar w:fldCharType="end"/>
    </w:r>
    <w:r w:rsidRPr="00856BEE">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18E1" w14:textId="034F18DB" w:rsidR="00C85D3A" w:rsidRPr="00856BEE" w:rsidRDefault="00C85D3A" w:rsidP="00856BEE">
    <w:pPr>
      <w:pStyle w:val="Footer"/>
      <w:jc w:val="center"/>
      <w:rPr>
        <w:rFonts w:cs="Arial"/>
        <w:sz w:val="14"/>
      </w:rPr>
    </w:pPr>
    <w:r w:rsidRPr="00856BEE">
      <w:rPr>
        <w:rFonts w:cs="Arial"/>
        <w:sz w:val="14"/>
      </w:rPr>
      <w:fldChar w:fldCharType="begin"/>
    </w:r>
    <w:r w:rsidRPr="00856BEE">
      <w:rPr>
        <w:rFonts w:cs="Arial"/>
        <w:sz w:val="14"/>
      </w:rPr>
      <w:instrText xml:space="preserve"> DOCPROPERTY "Status" </w:instrText>
    </w:r>
    <w:r w:rsidRPr="00856BEE">
      <w:rPr>
        <w:rFonts w:cs="Arial"/>
        <w:sz w:val="14"/>
      </w:rPr>
      <w:fldChar w:fldCharType="separate"/>
    </w:r>
    <w:r w:rsidR="00EF7DDF" w:rsidRPr="00856BEE">
      <w:rPr>
        <w:rFonts w:cs="Arial"/>
        <w:sz w:val="14"/>
      </w:rPr>
      <w:t xml:space="preserve"> </w:t>
    </w:r>
    <w:r w:rsidRPr="00856BEE">
      <w:rPr>
        <w:rFonts w:cs="Arial"/>
        <w:sz w:val="14"/>
      </w:rPr>
      <w:fldChar w:fldCharType="end"/>
    </w:r>
    <w:r w:rsidRPr="00856BEE">
      <w:rPr>
        <w:rFonts w:cs="Arial"/>
        <w:sz w:val="14"/>
      </w:rPr>
      <w:fldChar w:fldCharType="begin"/>
    </w:r>
    <w:r w:rsidRPr="00856BEE">
      <w:rPr>
        <w:rFonts w:cs="Arial"/>
        <w:sz w:val="14"/>
      </w:rPr>
      <w:instrText xml:space="preserve"> COMMENTS  \* MERGEFORMAT </w:instrText>
    </w:r>
    <w:r w:rsidRPr="00856BEE">
      <w:rPr>
        <w:rFonts w:cs="Arial"/>
        <w:sz w:val="14"/>
      </w:rPr>
      <w:fldChar w:fldCharType="end"/>
    </w:r>
    <w:r w:rsidR="00856BEE" w:rsidRPr="00856BEE">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5667" w14:textId="77777777" w:rsidR="00C85D3A" w:rsidRDefault="00C85D3A" w:rsidP="009451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85D3A" w14:paraId="4F9356C8" w14:textId="77777777" w:rsidTr="00945118">
      <w:tc>
        <w:tcPr>
          <w:tcW w:w="1061" w:type="pct"/>
        </w:tcPr>
        <w:p w14:paraId="0F4C9A97" w14:textId="0A072F91" w:rsidR="00C85D3A" w:rsidRDefault="00856BEE" w:rsidP="00945118">
          <w:pPr>
            <w:pStyle w:val="Footer"/>
          </w:pPr>
          <w:r>
            <w:fldChar w:fldCharType="begin"/>
          </w:r>
          <w:r>
            <w:instrText xml:space="preserve"> DOCPROPERTY "Category"  *\charfor</w:instrText>
          </w:r>
          <w:r>
            <w:instrText xml:space="preserve">mat  </w:instrText>
          </w:r>
          <w:r>
            <w:fldChar w:fldCharType="separate"/>
          </w:r>
          <w:r w:rsidR="00EF7DDF">
            <w:t>R10</w:t>
          </w:r>
          <w:r>
            <w:fldChar w:fldCharType="end"/>
          </w:r>
          <w:r w:rsidR="00C85D3A">
            <w:br/>
          </w:r>
          <w:r>
            <w:fldChar w:fldCharType="begin"/>
          </w:r>
          <w:r>
            <w:instrText xml:space="preserve"> DOCPROPERTY "RepubDt"  *\charformat  </w:instrText>
          </w:r>
          <w:r>
            <w:fldChar w:fldCharType="separate"/>
          </w:r>
          <w:r w:rsidR="00EF7DDF">
            <w:t>27/09/21</w:t>
          </w:r>
          <w:r>
            <w:fldChar w:fldCharType="end"/>
          </w:r>
        </w:p>
      </w:tc>
      <w:tc>
        <w:tcPr>
          <w:tcW w:w="3092" w:type="pct"/>
        </w:tcPr>
        <w:p w14:paraId="08D35F49" w14:textId="0D191C3E" w:rsidR="00C85D3A" w:rsidRDefault="00856BEE" w:rsidP="00945118">
          <w:pPr>
            <w:pStyle w:val="Footer"/>
            <w:jc w:val="center"/>
          </w:pPr>
          <w:r>
            <w:fldChar w:fldCharType="begin"/>
          </w:r>
          <w:r>
            <w:instrText xml:space="preserve"> REF Citation *\charformat </w:instrText>
          </w:r>
          <w:r>
            <w:fldChar w:fldCharType="separate"/>
          </w:r>
          <w:r w:rsidR="00EF7DDF">
            <w:t>Heavy Vehicle National Law (ACT)</w:t>
          </w:r>
          <w:r>
            <w:fldChar w:fldCharType="end"/>
          </w:r>
        </w:p>
        <w:p w14:paraId="2FFB317D" w14:textId="43C55861" w:rsidR="00C85D3A" w:rsidRDefault="00856BEE" w:rsidP="00945118">
          <w:pPr>
            <w:pStyle w:val="FooterInfoCentre"/>
          </w:pPr>
          <w:r>
            <w:fldChar w:fldCharType="begin"/>
          </w:r>
          <w:r>
            <w:instrText xml:space="preserve"> DOCPROPERTY "Eff"  *\charformat </w:instrText>
          </w:r>
          <w:r>
            <w:fldChar w:fldCharType="separate"/>
          </w:r>
          <w:r w:rsidR="00EF7DDF">
            <w:t xml:space="preserve">Effective:  </w:t>
          </w:r>
          <w:r>
            <w:fldChar w:fldCharType="end"/>
          </w:r>
          <w:r>
            <w:fldChar w:fldCharType="begin"/>
          </w:r>
          <w:r>
            <w:instrText xml:space="preserve"> DOCPROPERTY "StartDt"  *\charformat </w:instrText>
          </w:r>
          <w:r>
            <w:fldChar w:fldCharType="separate"/>
          </w:r>
          <w:r w:rsidR="00EF7DDF">
            <w:t>27/09/21</w:t>
          </w:r>
          <w:r>
            <w:fldChar w:fldCharType="end"/>
          </w:r>
          <w:r>
            <w:fldChar w:fldCharType="begin"/>
          </w:r>
          <w:r>
            <w:instrText xml:space="preserve"> DOCPROPERTY "EndDt"  *\charformat </w:instrText>
          </w:r>
          <w:r>
            <w:fldChar w:fldCharType="separate"/>
          </w:r>
          <w:r w:rsidR="00EF7DDF">
            <w:t>-26/04/22</w:t>
          </w:r>
          <w:r>
            <w:fldChar w:fldCharType="end"/>
          </w:r>
        </w:p>
      </w:tc>
      <w:tc>
        <w:tcPr>
          <w:tcW w:w="847" w:type="pct"/>
        </w:tcPr>
        <w:p w14:paraId="52A64434" w14:textId="77777777" w:rsidR="00C85D3A" w:rsidRDefault="00C85D3A" w:rsidP="0094511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627512F7" w14:textId="30B9C597" w:rsidR="00C85D3A" w:rsidRPr="00856BEE" w:rsidRDefault="00856BEE" w:rsidP="00856BEE">
    <w:pPr>
      <w:pStyle w:val="Status"/>
      <w:rPr>
        <w:rFonts w:cs="Arial"/>
      </w:rPr>
    </w:pPr>
    <w:r w:rsidRPr="00856BEE">
      <w:rPr>
        <w:rFonts w:cs="Arial"/>
      </w:rPr>
      <w:fldChar w:fldCharType="begin"/>
    </w:r>
    <w:r w:rsidRPr="00856BEE">
      <w:rPr>
        <w:rFonts w:cs="Arial"/>
      </w:rPr>
      <w:instrText xml:space="preserve"> DOCPROPERTY "Status" </w:instrText>
    </w:r>
    <w:r w:rsidRPr="00856BEE">
      <w:rPr>
        <w:rFonts w:cs="Arial"/>
      </w:rPr>
      <w:fldChar w:fldCharType="separate"/>
    </w:r>
    <w:r w:rsidR="00EF7DDF" w:rsidRPr="00856BEE">
      <w:rPr>
        <w:rFonts w:cs="Arial"/>
      </w:rPr>
      <w:t xml:space="preserve"> </w:t>
    </w:r>
    <w:r w:rsidRPr="00856BEE">
      <w:rPr>
        <w:rFonts w:cs="Arial"/>
      </w:rPr>
      <w:fldChar w:fldCharType="end"/>
    </w:r>
    <w:r w:rsidRPr="00856BEE">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E9FC" w14:textId="77777777" w:rsidR="00C85D3A" w:rsidRDefault="00C85D3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85D3A" w:rsidRPr="00CB3D59" w14:paraId="51270349" w14:textId="77777777">
      <w:tc>
        <w:tcPr>
          <w:tcW w:w="1061" w:type="pct"/>
        </w:tcPr>
        <w:p w14:paraId="30DD1CC6" w14:textId="7B7B8727" w:rsidR="00C85D3A" w:rsidRPr="00783A18" w:rsidRDefault="00C85D3A" w:rsidP="00945118">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EF7DDF">
            <w:rPr>
              <w:rFonts w:ascii="Times New Roman" w:hAnsi="Times New Roman"/>
              <w:sz w:val="24"/>
              <w:szCs w:val="24"/>
            </w:rPr>
            <w:t>R10</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EF7DDF">
            <w:rPr>
              <w:rFonts w:ascii="Times New Roman" w:hAnsi="Times New Roman"/>
              <w:sz w:val="24"/>
              <w:szCs w:val="24"/>
            </w:rPr>
            <w:t>27/09/21</w:t>
          </w:r>
          <w:r w:rsidRPr="00783A18">
            <w:rPr>
              <w:rFonts w:ascii="Times New Roman" w:hAnsi="Times New Roman"/>
              <w:sz w:val="24"/>
              <w:szCs w:val="24"/>
            </w:rPr>
            <w:fldChar w:fldCharType="end"/>
          </w:r>
        </w:p>
      </w:tc>
      <w:tc>
        <w:tcPr>
          <w:tcW w:w="3092" w:type="pct"/>
        </w:tcPr>
        <w:p w14:paraId="2DA5A28F" w14:textId="7B0D6B78" w:rsidR="00C85D3A" w:rsidRPr="00783A18" w:rsidRDefault="00C85D3A" w:rsidP="00945118">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EF7DDF">
            <w:t>Heavy Vehicle National Law (ACT)</w:t>
          </w:r>
          <w:r w:rsidRPr="00783A18">
            <w:rPr>
              <w:rFonts w:ascii="Times New Roman" w:hAnsi="Times New Roman"/>
              <w:sz w:val="24"/>
              <w:szCs w:val="24"/>
            </w:rPr>
            <w:fldChar w:fldCharType="end"/>
          </w:r>
        </w:p>
        <w:p w14:paraId="465A1E7E" w14:textId="609E4617" w:rsidR="00C85D3A" w:rsidRPr="00783A18" w:rsidRDefault="00C85D3A" w:rsidP="00945118">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EF7DDF">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EF7DDF">
            <w:rPr>
              <w:rFonts w:ascii="Times New Roman" w:hAnsi="Times New Roman"/>
              <w:sz w:val="24"/>
              <w:szCs w:val="24"/>
            </w:rPr>
            <w:t>27/09/21</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EF7DDF">
            <w:rPr>
              <w:rFonts w:ascii="Times New Roman" w:hAnsi="Times New Roman"/>
              <w:sz w:val="24"/>
              <w:szCs w:val="24"/>
            </w:rPr>
            <w:t>-26/04/22</w:t>
          </w:r>
          <w:r w:rsidRPr="00783A18">
            <w:rPr>
              <w:rFonts w:ascii="Times New Roman" w:hAnsi="Times New Roman"/>
              <w:sz w:val="24"/>
              <w:szCs w:val="24"/>
            </w:rPr>
            <w:fldChar w:fldCharType="end"/>
          </w:r>
        </w:p>
      </w:tc>
      <w:tc>
        <w:tcPr>
          <w:tcW w:w="847" w:type="pct"/>
        </w:tcPr>
        <w:p w14:paraId="0A5099C0" w14:textId="77777777" w:rsidR="00C85D3A" w:rsidRPr="00783A18" w:rsidRDefault="00C85D3A" w:rsidP="00945118">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60B5EB9F" w14:textId="4B158384" w:rsidR="00C85D3A" w:rsidRDefault="00856BEE">
    <w:pPr>
      <w:pStyle w:val="Status"/>
    </w:pPr>
    <w:r>
      <w:fldChar w:fldCharType="begin"/>
    </w:r>
    <w:r>
      <w:instrText xml:space="preserve"> DOCPROPERTY "Status" </w:instrText>
    </w:r>
    <w:r>
      <w:fldChar w:fldCharType="separate"/>
    </w:r>
    <w:r w:rsidR="00EF7DDF">
      <w:t xml:space="preserve"> </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8A85" w14:textId="77777777" w:rsidR="00C85D3A" w:rsidRDefault="00C85D3A" w:rsidP="00C85D3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85D3A" w14:paraId="2645642C" w14:textId="77777777" w:rsidTr="00C85D3A">
      <w:tc>
        <w:tcPr>
          <w:tcW w:w="847" w:type="pct"/>
        </w:tcPr>
        <w:p w14:paraId="6A43F53E" w14:textId="77777777" w:rsidR="00C85D3A" w:rsidRDefault="00C85D3A" w:rsidP="00C85D3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4C243F23" w14:textId="0307C47E" w:rsidR="00C85D3A" w:rsidRDefault="00856BEE" w:rsidP="00C85D3A">
          <w:pPr>
            <w:pStyle w:val="Footer"/>
            <w:jc w:val="center"/>
          </w:pPr>
          <w:r>
            <w:fldChar w:fldCharType="begin"/>
          </w:r>
          <w:r>
            <w:instrText xml:space="preserve"> REF Citation *\charformat </w:instrText>
          </w:r>
          <w:r>
            <w:fldChar w:fldCharType="separate"/>
          </w:r>
          <w:r w:rsidR="00EF7DDF">
            <w:t>Heavy Vehicle National Law (ACT)</w:t>
          </w:r>
          <w:r>
            <w:fldChar w:fldCharType="end"/>
          </w:r>
        </w:p>
        <w:p w14:paraId="259705F9" w14:textId="68C8DA4B" w:rsidR="00C85D3A" w:rsidRDefault="00856BEE" w:rsidP="00C85D3A">
          <w:pPr>
            <w:pStyle w:val="FooterInfoCentre"/>
          </w:pPr>
          <w:r>
            <w:fldChar w:fldCharType="begin"/>
          </w:r>
          <w:r>
            <w:instrText xml:space="preserve"> DOCPROPERTY "Eff"  *\charformat </w:instrText>
          </w:r>
          <w:r>
            <w:fldChar w:fldCharType="separate"/>
          </w:r>
          <w:r w:rsidR="00EF7DDF">
            <w:t xml:space="preserve">Effective:  </w:t>
          </w:r>
          <w:r>
            <w:fldChar w:fldCharType="end"/>
          </w:r>
          <w:r>
            <w:fldChar w:fldCharType="begin"/>
          </w:r>
          <w:r>
            <w:instrText xml:space="preserve"> DOCPROPERTY "StartDt"  *\charformat </w:instrText>
          </w:r>
          <w:r>
            <w:fldChar w:fldCharType="separate"/>
          </w:r>
          <w:r w:rsidR="00EF7DDF">
            <w:t>27/09/21</w:t>
          </w:r>
          <w:r>
            <w:fldChar w:fldCharType="end"/>
          </w:r>
          <w:r>
            <w:fldChar w:fldCharType="begin"/>
          </w:r>
          <w:r>
            <w:instrText xml:space="preserve"> DOCPROPERTY "EndDt"  *\charformat </w:instrText>
          </w:r>
          <w:r>
            <w:fldChar w:fldCharType="separate"/>
          </w:r>
          <w:r w:rsidR="00EF7DDF">
            <w:t>-26/04/22</w:t>
          </w:r>
          <w:r>
            <w:fldChar w:fldCharType="end"/>
          </w:r>
        </w:p>
      </w:tc>
      <w:tc>
        <w:tcPr>
          <w:tcW w:w="1061" w:type="pct"/>
        </w:tcPr>
        <w:p w14:paraId="2DCCD648" w14:textId="6D82298B" w:rsidR="00C85D3A" w:rsidRDefault="00856BEE" w:rsidP="00C85D3A">
          <w:pPr>
            <w:pStyle w:val="Footer"/>
            <w:jc w:val="right"/>
          </w:pPr>
          <w:r>
            <w:fldChar w:fldCharType="begin"/>
          </w:r>
          <w:r>
            <w:instrText xml:space="preserve"> DOCPROPERTY "Category"  *\charformat  </w:instrText>
          </w:r>
          <w:r>
            <w:fldChar w:fldCharType="separate"/>
          </w:r>
          <w:r w:rsidR="00EF7DDF">
            <w:t>R10</w:t>
          </w:r>
          <w:r>
            <w:fldChar w:fldCharType="end"/>
          </w:r>
          <w:r w:rsidR="00C85D3A">
            <w:br/>
          </w:r>
          <w:r>
            <w:fldChar w:fldCharType="begin"/>
          </w:r>
          <w:r>
            <w:instrText xml:space="preserve"> DOCPROPERTY "RepubDt"  *\charformat  </w:instrText>
          </w:r>
          <w:r>
            <w:fldChar w:fldCharType="separate"/>
          </w:r>
          <w:r w:rsidR="00EF7DDF">
            <w:t>27/09/21</w:t>
          </w:r>
          <w:r>
            <w:fldChar w:fldCharType="end"/>
          </w:r>
        </w:p>
      </w:tc>
    </w:tr>
  </w:tbl>
  <w:p w14:paraId="4F20A18F" w14:textId="65BF1567" w:rsidR="00C85D3A" w:rsidRPr="00856BEE" w:rsidRDefault="00856BEE" w:rsidP="00856BEE">
    <w:pPr>
      <w:pStyle w:val="Status"/>
      <w:rPr>
        <w:rFonts w:cs="Arial"/>
      </w:rPr>
    </w:pPr>
    <w:r w:rsidRPr="00856BEE">
      <w:rPr>
        <w:rFonts w:cs="Arial"/>
      </w:rPr>
      <w:fldChar w:fldCharType="begin"/>
    </w:r>
    <w:r w:rsidRPr="00856BEE">
      <w:rPr>
        <w:rFonts w:cs="Arial"/>
      </w:rPr>
      <w:instrText xml:space="preserve"> DOCPROPERTY "Status" </w:instrText>
    </w:r>
    <w:r w:rsidRPr="00856BEE">
      <w:rPr>
        <w:rFonts w:cs="Arial"/>
      </w:rPr>
      <w:fldChar w:fldCharType="separate"/>
    </w:r>
    <w:r w:rsidR="00EF7DDF" w:rsidRPr="00856BEE">
      <w:rPr>
        <w:rFonts w:cs="Arial"/>
      </w:rPr>
      <w:t xml:space="preserve"> </w:t>
    </w:r>
    <w:r w:rsidRPr="00856BEE">
      <w:rPr>
        <w:rFonts w:cs="Arial"/>
      </w:rPr>
      <w:fldChar w:fldCharType="end"/>
    </w:r>
    <w:r w:rsidRPr="00856BEE">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7376" w14:textId="77777777" w:rsidR="00C85D3A" w:rsidRDefault="00C85D3A" w:rsidP="00C85D3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85D3A" w14:paraId="3F8995EF" w14:textId="77777777" w:rsidTr="00C85D3A">
      <w:tc>
        <w:tcPr>
          <w:tcW w:w="1061" w:type="pct"/>
        </w:tcPr>
        <w:p w14:paraId="30FF4E95" w14:textId="608DEB2A" w:rsidR="00C85D3A" w:rsidRDefault="00856BEE" w:rsidP="00C85D3A">
          <w:pPr>
            <w:pStyle w:val="Footer"/>
          </w:pPr>
          <w:r>
            <w:fldChar w:fldCharType="begin"/>
          </w:r>
          <w:r>
            <w:instrText xml:space="preserve"> DOCPROPERTY "Category"  *\charformat  </w:instrText>
          </w:r>
          <w:r>
            <w:fldChar w:fldCharType="separate"/>
          </w:r>
          <w:r w:rsidR="00EF7DDF">
            <w:t>R10</w:t>
          </w:r>
          <w:r>
            <w:fldChar w:fldCharType="end"/>
          </w:r>
          <w:r w:rsidR="00C85D3A">
            <w:br/>
          </w:r>
          <w:r>
            <w:fldChar w:fldCharType="begin"/>
          </w:r>
          <w:r>
            <w:instrText xml:space="preserve"> DOCPROPERTY "RepubDt"  *\charformat  </w:instrText>
          </w:r>
          <w:r>
            <w:fldChar w:fldCharType="separate"/>
          </w:r>
          <w:r w:rsidR="00EF7DDF">
            <w:t>27/09/21</w:t>
          </w:r>
          <w:r>
            <w:fldChar w:fldCharType="end"/>
          </w:r>
        </w:p>
      </w:tc>
      <w:tc>
        <w:tcPr>
          <w:tcW w:w="3092" w:type="pct"/>
        </w:tcPr>
        <w:p w14:paraId="4D76865D" w14:textId="61E2FF0E" w:rsidR="00C85D3A" w:rsidRDefault="00856BEE" w:rsidP="00C85D3A">
          <w:pPr>
            <w:pStyle w:val="Footer"/>
            <w:jc w:val="center"/>
          </w:pPr>
          <w:r>
            <w:fldChar w:fldCharType="begin"/>
          </w:r>
          <w:r>
            <w:instrText xml:space="preserve"> REF Citation *\charformat </w:instrText>
          </w:r>
          <w:r>
            <w:fldChar w:fldCharType="separate"/>
          </w:r>
          <w:r w:rsidR="00EF7DDF">
            <w:t>Heavy Vehicle National Law (ACT)</w:t>
          </w:r>
          <w:r>
            <w:fldChar w:fldCharType="end"/>
          </w:r>
        </w:p>
        <w:p w14:paraId="570D8EA0" w14:textId="1F193B47" w:rsidR="00C85D3A" w:rsidRDefault="00856BEE" w:rsidP="00C85D3A">
          <w:pPr>
            <w:pStyle w:val="FooterInfoCentre"/>
          </w:pPr>
          <w:r>
            <w:fldChar w:fldCharType="begin"/>
          </w:r>
          <w:r>
            <w:instrText xml:space="preserve"> DOCPROPERTY "Eff"  *\charformat </w:instrText>
          </w:r>
          <w:r>
            <w:fldChar w:fldCharType="separate"/>
          </w:r>
          <w:r w:rsidR="00EF7DDF">
            <w:t xml:space="preserve">Effective:  </w:t>
          </w:r>
          <w:r>
            <w:fldChar w:fldCharType="end"/>
          </w:r>
          <w:r>
            <w:fldChar w:fldCharType="begin"/>
          </w:r>
          <w:r>
            <w:instrText xml:space="preserve"> DOCPROPERTY "StartDt"  *\charformat </w:instrText>
          </w:r>
          <w:r>
            <w:fldChar w:fldCharType="separate"/>
          </w:r>
          <w:r w:rsidR="00EF7DDF">
            <w:t>27/09/21</w:t>
          </w:r>
          <w:r>
            <w:fldChar w:fldCharType="end"/>
          </w:r>
          <w:r>
            <w:fldChar w:fldCharType="begin"/>
          </w:r>
          <w:r>
            <w:instrText xml:space="preserve"> DOCPROPERTY "EndDt"  *\charformat </w:instrText>
          </w:r>
          <w:r>
            <w:fldChar w:fldCharType="separate"/>
          </w:r>
          <w:r w:rsidR="00EF7DDF">
            <w:t>-26/04/22</w:t>
          </w:r>
          <w:r>
            <w:fldChar w:fldCharType="end"/>
          </w:r>
        </w:p>
      </w:tc>
      <w:tc>
        <w:tcPr>
          <w:tcW w:w="847" w:type="pct"/>
        </w:tcPr>
        <w:p w14:paraId="3E257F18" w14:textId="77777777" w:rsidR="00C85D3A" w:rsidRDefault="00C85D3A" w:rsidP="00C85D3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1C49BFFA" w14:textId="1B995E30" w:rsidR="00C85D3A" w:rsidRPr="00856BEE" w:rsidRDefault="00856BEE" w:rsidP="00856BEE">
    <w:pPr>
      <w:pStyle w:val="Status"/>
      <w:rPr>
        <w:rFonts w:cs="Arial"/>
      </w:rPr>
    </w:pPr>
    <w:r w:rsidRPr="00856BEE">
      <w:rPr>
        <w:rFonts w:cs="Arial"/>
      </w:rPr>
      <w:fldChar w:fldCharType="begin"/>
    </w:r>
    <w:r w:rsidRPr="00856BEE">
      <w:rPr>
        <w:rFonts w:cs="Arial"/>
      </w:rPr>
      <w:instrText xml:space="preserve"> DOCPROPERTY "Status" </w:instrText>
    </w:r>
    <w:r w:rsidRPr="00856BEE">
      <w:rPr>
        <w:rFonts w:cs="Arial"/>
      </w:rPr>
      <w:fldChar w:fldCharType="separate"/>
    </w:r>
    <w:r w:rsidR="00EF7DDF" w:rsidRPr="00856BEE">
      <w:rPr>
        <w:rFonts w:cs="Arial"/>
      </w:rPr>
      <w:t xml:space="preserve"> </w:t>
    </w:r>
    <w:r w:rsidRPr="00856BEE">
      <w:rPr>
        <w:rFonts w:cs="Arial"/>
      </w:rPr>
      <w:fldChar w:fldCharType="end"/>
    </w:r>
    <w:r w:rsidRPr="00856BEE">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7069" w14:textId="77777777" w:rsidR="00C85D3A" w:rsidRDefault="00C85D3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85D3A" w:rsidRPr="00CB3D59" w14:paraId="4349F859" w14:textId="77777777">
      <w:tc>
        <w:tcPr>
          <w:tcW w:w="1061" w:type="pct"/>
        </w:tcPr>
        <w:p w14:paraId="5D58264A" w14:textId="648F36AA" w:rsidR="00C85D3A" w:rsidRPr="00783A18" w:rsidRDefault="00C85D3A" w:rsidP="00C85D3A">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EF7DDF">
            <w:rPr>
              <w:rFonts w:ascii="Times New Roman" w:hAnsi="Times New Roman"/>
              <w:sz w:val="24"/>
              <w:szCs w:val="24"/>
            </w:rPr>
            <w:t>R10</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EF7DDF">
            <w:rPr>
              <w:rFonts w:ascii="Times New Roman" w:hAnsi="Times New Roman"/>
              <w:sz w:val="24"/>
              <w:szCs w:val="24"/>
            </w:rPr>
            <w:t>27/09/21</w:t>
          </w:r>
          <w:r w:rsidRPr="00783A18">
            <w:rPr>
              <w:rFonts w:ascii="Times New Roman" w:hAnsi="Times New Roman"/>
              <w:sz w:val="24"/>
              <w:szCs w:val="24"/>
            </w:rPr>
            <w:fldChar w:fldCharType="end"/>
          </w:r>
        </w:p>
      </w:tc>
      <w:tc>
        <w:tcPr>
          <w:tcW w:w="3092" w:type="pct"/>
        </w:tcPr>
        <w:p w14:paraId="19C1BCED" w14:textId="55194A3E" w:rsidR="00C85D3A" w:rsidRPr="00783A18" w:rsidRDefault="00C85D3A" w:rsidP="00C85D3A">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EF7DDF">
            <w:t>Heavy Vehicle National Law (ACT)</w:t>
          </w:r>
          <w:r w:rsidRPr="00783A18">
            <w:rPr>
              <w:rFonts w:ascii="Times New Roman" w:hAnsi="Times New Roman"/>
              <w:sz w:val="24"/>
              <w:szCs w:val="24"/>
            </w:rPr>
            <w:fldChar w:fldCharType="end"/>
          </w:r>
        </w:p>
        <w:p w14:paraId="387993FC" w14:textId="70A4C710" w:rsidR="00C85D3A" w:rsidRPr="00783A18" w:rsidRDefault="00C85D3A" w:rsidP="00C85D3A">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EF7DDF">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EF7DDF">
            <w:rPr>
              <w:rFonts w:ascii="Times New Roman" w:hAnsi="Times New Roman"/>
              <w:sz w:val="24"/>
              <w:szCs w:val="24"/>
            </w:rPr>
            <w:t>27/09/21</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EF7DDF">
            <w:rPr>
              <w:rFonts w:ascii="Times New Roman" w:hAnsi="Times New Roman"/>
              <w:sz w:val="24"/>
              <w:szCs w:val="24"/>
            </w:rPr>
            <w:t>-26/04/22</w:t>
          </w:r>
          <w:r w:rsidRPr="00783A18">
            <w:rPr>
              <w:rFonts w:ascii="Times New Roman" w:hAnsi="Times New Roman"/>
              <w:sz w:val="24"/>
              <w:szCs w:val="24"/>
            </w:rPr>
            <w:fldChar w:fldCharType="end"/>
          </w:r>
        </w:p>
      </w:tc>
      <w:tc>
        <w:tcPr>
          <w:tcW w:w="847" w:type="pct"/>
        </w:tcPr>
        <w:p w14:paraId="2B2EF3C1" w14:textId="77777777" w:rsidR="00C85D3A" w:rsidRPr="00783A18" w:rsidRDefault="00C85D3A" w:rsidP="00C85D3A">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07C941E1" w14:textId="49769F3D" w:rsidR="00C85D3A" w:rsidRDefault="00856BEE">
    <w:pPr>
      <w:pStyle w:val="Status"/>
    </w:pPr>
    <w:r>
      <w:fldChar w:fldCharType="begin"/>
    </w:r>
    <w:r>
      <w:instrText xml:space="preserve"> DOCPROPERTY "Status" </w:instrText>
    </w:r>
    <w:r>
      <w:fldChar w:fldCharType="separate"/>
    </w:r>
    <w:r w:rsidR="00EF7DDF">
      <w:t xml:space="preserve"> </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21C5" w14:textId="77777777" w:rsidR="004B6000" w:rsidRDefault="004B6000"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B6000" w14:paraId="0135FED2" w14:textId="77777777" w:rsidTr="007A5E5F">
      <w:tc>
        <w:tcPr>
          <w:tcW w:w="847" w:type="pct"/>
        </w:tcPr>
        <w:p w14:paraId="757A743B" w14:textId="77777777" w:rsidR="004B6000" w:rsidRDefault="004B6000"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75C9EA53" w14:textId="659DA06A" w:rsidR="004B6000" w:rsidRDefault="00856BEE" w:rsidP="007A5E5F">
          <w:pPr>
            <w:pStyle w:val="Footer"/>
            <w:jc w:val="center"/>
          </w:pPr>
          <w:r>
            <w:fldChar w:fldCharType="begin"/>
          </w:r>
          <w:r>
            <w:instrText xml:space="preserve"> REF Citation *\charformat </w:instrText>
          </w:r>
          <w:r>
            <w:fldChar w:fldCharType="separate"/>
          </w:r>
          <w:r w:rsidR="00EF7DDF">
            <w:t>Heavy Vehicle National Law (ACT)</w:t>
          </w:r>
          <w:r>
            <w:fldChar w:fldCharType="end"/>
          </w:r>
        </w:p>
        <w:p w14:paraId="5E2F6BC2" w14:textId="67EF163D" w:rsidR="004B6000" w:rsidRDefault="00856BEE" w:rsidP="007A5E5F">
          <w:pPr>
            <w:pStyle w:val="FooterInfoCentre"/>
          </w:pPr>
          <w:r>
            <w:fldChar w:fldCharType="begin"/>
          </w:r>
          <w:r>
            <w:instrText xml:space="preserve"> DOCPROPERTY "Eff"  *\charformat </w:instrText>
          </w:r>
          <w:r>
            <w:fldChar w:fldCharType="separate"/>
          </w:r>
          <w:r w:rsidR="00EF7DDF">
            <w:t xml:space="preserve">Effective:  </w:t>
          </w:r>
          <w:r>
            <w:fldChar w:fldCharType="end"/>
          </w:r>
          <w:r>
            <w:fldChar w:fldCharType="begin"/>
          </w:r>
          <w:r>
            <w:instrText xml:space="preserve"> DOCPROPERTY "StartDt"  *\charformat </w:instrText>
          </w:r>
          <w:r>
            <w:fldChar w:fldCharType="separate"/>
          </w:r>
          <w:r w:rsidR="00EF7DDF">
            <w:t>27/09/21</w:t>
          </w:r>
          <w:r>
            <w:fldChar w:fldCharType="end"/>
          </w:r>
          <w:r>
            <w:fldChar w:fldCharType="begin"/>
          </w:r>
          <w:r>
            <w:instrText xml:space="preserve"> DOCPROPERTY "EndDt"  *\charformat </w:instrText>
          </w:r>
          <w:r>
            <w:fldChar w:fldCharType="separate"/>
          </w:r>
          <w:r w:rsidR="00EF7DDF">
            <w:t>-26/04/22</w:t>
          </w:r>
          <w:r>
            <w:fldChar w:fldCharType="end"/>
          </w:r>
        </w:p>
      </w:tc>
      <w:tc>
        <w:tcPr>
          <w:tcW w:w="1061" w:type="pct"/>
        </w:tcPr>
        <w:p w14:paraId="5C45EA2F" w14:textId="385856AE" w:rsidR="004B6000" w:rsidRDefault="00856BEE" w:rsidP="007A5E5F">
          <w:pPr>
            <w:pStyle w:val="Footer"/>
            <w:jc w:val="right"/>
          </w:pPr>
          <w:r>
            <w:fldChar w:fldCharType="begin"/>
          </w:r>
          <w:r>
            <w:instrText xml:space="preserve"> DOCPROPERTY "Category"  *\charforma</w:instrText>
          </w:r>
          <w:r>
            <w:instrText xml:space="preserve">t  </w:instrText>
          </w:r>
          <w:r>
            <w:fldChar w:fldCharType="separate"/>
          </w:r>
          <w:r w:rsidR="00EF7DDF">
            <w:t>R10</w:t>
          </w:r>
          <w:r>
            <w:fldChar w:fldCharType="end"/>
          </w:r>
          <w:r w:rsidR="004B6000">
            <w:br/>
          </w:r>
          <w:r>
            <w:fldChar w:fldCharType="begin"/>
          </w:r>
          <w:r>
            <w:instrText xml:space="preserve"> DOCPROPERTY "RepubDt"  *\charformat  </w:instrText>
          </w:r>
          <w:r>
            <w:fldChar w:fldCharType="separate"/>
          </w:r>
          <w:r w:rsidR="00EF7DDF">
            <w:t>27/09/21</w:t>
          </w:r>
          <w:r>
            <w:fldChar w:fldCharType="end"/>
          </w:r>
        </w:p>
      </w:tc>
    </w:tr>
  </w:tbl>
  <w:p w14:paraId="0F7D676E" w14:textId="48FAC94B" w:rsidR="004B6000" w:rsidRPr="00856BEE" w:rsidRDefault="00856BEE" w:rsidP="00856BEE">
    <w:pPr>
      <w:pStyle w:val="Status"/>
      <w:rPr>
        <w:rFonts w:cs="Arial"/>
      </w:rPr>
    </w:pPr>
    <w:r w:rsidRPr="00856BEE">
      <w:rPr>
        <w:rFonts w:cs="Arial"/>
      </w:rPr>
      <w:fldChar w:fldCharType="begin"/>
    </w:r>
    <w:r w:rsidRPr="00856BEE">
      <w:rPr>
        <w:rFonts w:cs="Arial"/>
      </w:rPr>
      <w:instrText xml:space="preserve"> DOCPROPERTY "Status" </w:instrText>
    </w:r>
    <w:r w:rsidRPr="00856BEE">
      <w:rPr>
        <w:rFonts w:cs="Arial"/>
      </w:rPr>
      <w:fldChar w:fldCharType="separate"/>
    </w:r>
    <w:r w:rsidR="00EF7DDF" w:rsidRPr="00856BEE">
      <w:rPr>
        <w:rFonts w:cs="Arial"/>
      </w:rPr>
      <w:t xml:space="preserve"> </w:t>
    </w:r>
    <w:r w:rsidRPr="00856BEE">
      <w:rPr>
        <w:rFonts w:cs="Arial"/>
      </w:rPr>
      <w:fldChar w:fldCharType="end"/>
    </w:r>
    <w:r w:rsidRPr="00856BEE">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8A5A" w14:textId="77777777" w:rsidR="004B6000" w:rsidRDefault="004B6000"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B6000" w14:paraId="118450EC" w14:textId="77777777" w:rsidTr="007A5E5F">
      <w:tc>
        <w:tcPr>
          <w:tcW w:w="1061" w:type="pct"/>
        </w:tcPr>
        <w:p w14:paraId="53A394A2" w14:textId="4072E554" w:rsidR="004B6000" w:rsidRDefault="00856BEE" w:rsidP="007A5E5F">
          <w:pPr>
            <w:pStyle w:val="Footer"/>
          </w:pPr>
          <w:r>
            <w:fldChar w:fldCharType="begin"/>
          </w:r>
          <w:r>
            <w:instrText xml:space="preserve"> DOCPROPERTY "Category"  *\charformat  </w:instrText>
          </w:r>
          <w:r>
            <w:fldChar w:fldCharType="separate"/>
          </w:r>
          <w:r w:rsidR="00EF7DDF">
            <w:t>R10</w:t>
          </w:r>
          <w:r>
            <w:fldChar w:fldCharType="end"/>
          </w:r>
          <w:r w:rsidR="004B6000">
            <w:br/>
          </w:r>
          <w:r>
            <w:fldChar w:fldCharType="begin"/>
          </w:r>
          <w:r>
            <w:instrText xml:space="preserve"> DOCPROPERTY "RepubDt"  *\charformat  </w:instrText>
          </w:r>
          <w:r>
            <w:fldChar w:fldCharType="separate"/>
          </w:r>
          <w:r w:rsidR="00EF7DDF">
            <w:t>27/09/21</w:t>
          </w:r>
          <w:r>
            <w:fldChar w:fldCharType="end"/>
          </w:r>
        </w:p>
      </w:tc>
      <w:tc>
        <w:tcPr>
          <w:tcW w:w="3092" w:type="pct"/>
        </w:tcPr>
        <w:p w14:paraId="4589E0F2" w14:textId="299A0413" w:rsidR="004B6000" w:rsidRDefault="00856BEE" w:rsidP="007A5E5F">
          <w:pPr>
            <w:pStyle w:val="Footer"/>
            <w:jc w:val="center"/>
          </w:pPr>
          <w:r>
            <w:fldChar w:fldCharType="begin"/>
          </w:r>
          <w:r>
            <w:instrText xml:space="preserve"> REF Citation *\charformat </w:instrText>
          </w:r>
          <w:r>
            <w:fldChar w:fldCharType="separate"/>
          </w:r>
          <w:r w:rsidR="00EF7DDF">
            <w:t>Heavy Vehicle National Law (ACT)</w:t>
          </w:r>
          <w:r>
            <w:fldChar w:fldCharType="end"/>
          </w:r>
        </w:p>
        <w:p w14:paraId="55877270" w14:textId="329446A7" w:rsidR="004B6000" w:rsidRDefault="00856BEE" w:rsidP="007A5E5F">
          <w:pPr>
            <w:pStyle w:val="FooterInfoCentre"/>
          </w:pPr>
          <w:r>
            <w:fldChar w:fldCharType="begin"/>
          </w:r>
          <w:r>
            <w:instrText xml:space="preserve"> DOCPRO</w:instrText>
          </w:r>
          <w:r>
            <w:instrText xml:space="preserve">PERTY "Eff"  *\charformat </w:instrText>
          </w:r>
          <w:r>
            <w:fldChar w:fldCharType="separate"/>
          </w:r>
          <w:r w:rsidR="00EF7DDF">
            <w:t xml:space="preserve">Effective:  </w:t>
          </w:r>
          <w:r>
            <w:fldChar w:fldCharType="end"/>
          </w:r>
          <w:r>
            <w:fldChar w:fldCharType="begin"/>
          </w:r>
          <w:r>
            <w:instrText xml:space="preserve"> DOCPROPERTY "StartDt"  *\charformat </w:instrText>
          </w:r>
          <w:r>
            <w:fldChar w:fldCharType="separate"/>
          </w:r>
          <w:r w:rsidR="00EF7DDF">
            <w:t>27/09/21</w:t>
          </w:r>
          <w:r>
            <w:fldChar w:fldCharType="end"/>
          </w:r>
          <w:r>
            <w:fldChar w:fldCharType="begin"/>
          </w:r>
          <w:r>
            <w:instrText xml:space="preserve"> DOCPROPERTY "EndDt"  *\charformat </w:instrText>
          </w:r>
          <w:r>
            <w:fldChar w:fldCharType="separate"/>
          </w:r>
          <w:r w:rsidR="00EF7DDF">
            <w:t>-26/04/22</w:t>
          </w:r>
          <w:r>
            <w:fldChar w:fldCharType="end"/>
          </w:r>
        </w:p>
      </w:tc>
      <w:tc>
        <w:tcPr>
          <w:tcW w:w="847" w:type="pct"/>
        </w:tcPr>
        <w:p w14:paraId="483E1A50" w14:textId="77777777" w:rsidR="004B6000" w:rsidRDefault="004B6000"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1C2129C1" w14:textId="6EA4F292" w:rsidR="004B6000" w:rsidRPr="00856BEE" w:rsidRDefault="00856BEE" w:rsidP="00856BEE">
    <w:pPr>
      <w:pStyle w:val="Status"/>
      <w:rPr>
        <w:rFonts w:cs="Arial"/>
      </w:rPr>
    </w:pPr>
    <w:r w:rsidRPr="00856BEE">
      <w:rPr>
        <w:rFonts w:cs="Arial"/>
      </w:rPr>
      <w:fldChar w:fldCharType="begin"/>
    </w:r>
    <w:r w:rsidRPr="00856BEE">
      <w:rPr>
        <w:rFonts w:cs="Arial"/>
      </w:rPr>
      <w:instrText xml:space="preserve"> DOCPROPERTY "Status" </w:instrText>
    </w:r>
    <w:r w:rsidRPr="00856BEE">
      <w:rPr>
        <w:rFonts w:cs="Arial"/>
      </w:rPr>
      <w:fldChar w:fldCharType="separate"/>
    </w:r>
    <w:r w:rsidR="00EF7DDF" w:rsidRPr="00856BEE">
      <w:rPr>
        <w:rFonts w:cs="Arial"/>
      </w:rPr>
      <w:t xml:space="preserve"> </w:t>
    </w:r>
    <w:r w:rsidRPr="00856BEE">
      <w:rPr>
        <w:rFonts w:cs="Arial"/>
      </w:rPr>
      <w:fldChar w:fldCharType="end"/>
    </w:r>
    <w:r w:rsidRPr="00856BEE">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A5CF" w14:textId="77777777" w:rsidR="004B6000" w:rsidRDefault="004B600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B6000" w:rsidRPr="00CB3D59" w14:paraId="0FE29213" w14:textId="77777777">
      <w:tc>
        <w:tcPr>
          <w:tcW w:w="1061" w:type="pct"/>
        </w:tcPr>
        <w:p w14:paraId="2442C8C6" w14:textId="26CD44B7" w:rsidR="004B6000" w:rsidRPr="00783A18" w:rsidRDefault="004B6000"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EF7DDF">
            <w:rPr>
              <w:rFonts w:ascii="Times New Roman" w:hAnsi="Times New Roman"/>
              <w:sz w:val="24"/>
              <w:szCs w:val="24"/>
            </w:rPr>
            <w:t>R10</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EF7DDF">
            <w:rPr>
              <w:rFonts w:ascii="Times New Roman" w:hAnsi="Times New Roman"/>
              <w:sz w:val="24"/>
              <w:szCs w:val="24"/>
            </w:rPr>
            <w:t>27/09/21</w:t>
          </w:r>
          <w:r w:rsidRPr="00783A18">
            <w:rPr>
              <w:rFonts w:ascii="Times New Roman" w:hAnsi="Times New Roman"/>
              <w:sz w:val="24"/>
              <w:szCs w:val="24"/>
            </w:rPr>
            <w:fldChar w:fldCharType="end"/>
          </w:r>
        </w:p>
      </w:tc>
      <w:tc>
        <w:tcPr>
          <w:tcW w:w="3092" w:type="pct"/>
        </w:tcPr>
        <w:p w14:paraId="311D0DDA" w14:textId="413BBE7B" w:rsidR="004B6000" w:rsidRPr="00783A18" w:rsidRDefault="004B6000"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EF7DDF">
            <w:t>Heavy Vehicle National Law (ACT)</w:t>
          </w:r>
          <w:r w:rsidRPr="00783A18">
            <w:rPr>
              <w:rFonts w:ascii="Times New Roman" w:hAnsi="Times New Roman"/>
              <w:sz w:val="24"/>
              <w:szCs w:val="24"/>
            </w:rPr>
            <w:fldChar w:fldCharType="end"/>
          </w:r>
        </w:p>
        <w:p w14:paraId="42A92755" w14:textId="30C03FF2" w:rsidR="004B6000" w:rsidRPr="00783A18" w:rsidRDefault="004B6000"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EF7DDF">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EF7DDF">
            <w:rPr>
              <w:rFonts w:ascii="Times New Roman" w:hAnsi="Times New Roman"/>
              <w:sz w:val="24"/>
              <w:szCs w:val="24"/>
            </w:rPr>
            <w:t>27/09/21</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EF7DDF">
            <w:rPr>
              <w:rFonts w:ascii="Times New Roman" w:hAnsi="Times New Roman"/>
              <w:sz w:val="24"/>
              <w:szCs w:val="24"/>
            </w:rPr>
            <w:t>-26/04/22</w:t>
          </w:r>
          <w:r w:rsidRPr="00783A18">
            <w:rPr>
              <w:rFonts w:ascii="Times New Roman" w:hAnsi="Times New Roman"/>
              <w:sz w:val="24"/>
              <w:szCs w:val="24"/>
            </w:rPr>
            <w:fldChar w:fldCharType="end"/>
          </w:r>
        </w:p>
      </w:tc>
      <w:tc>
        <w:tcPr>
          <w:tcW w:w="847" w:type="pct"/>
        </w:tcPr>
        <w:p w14:paraId="6E56B820" w14:textId="77777777" w:rsidR="004B6000" w:rsidRPr="00783A18" w:rsidRDefault="004B6000"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020A8C7E" w14:textId="7AEF32DD" w:rsidR="004B6000" w:rsidRDefault="00856BEE">
    <w:pPr>
      <w:pStyle w:val="Status"/>
    </w:pPr>
    <w:r>
      <w:fldChar w:fldCharType="begin"/>
    </w:r>
    <w:r>
      <w:instrText xml:space="preserve"> DOCPROPERTY "Status" </w:instrText>
    </w:r>
    <w:r>
      <w:fldChar w:fldCharType="separate"/>
    </w:r>
    <w:r w:rsidR="00EF7DDF">
      <w:t xml:space="preserve"> </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DF94" w14:textId="77777777" w:rsidR="00C85D3A" w:rsidRDefault="00C85D3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C85D3A" w14:paraId="428B6619" w14:textId="77777777">
      <w:tc>
        <w:tcPr>
          <w:tcW w:w="847" w:type="pct"/>
        </w:tcPr>
        <w:p w14:paraId="45403DB5" w14:textId="77777777" w:rsidR="00C85D3A" w:rsidRDefault="00C85D3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4C8C15DB" w14:textId="31E3C95B" w:rsidR="00C85D3A" w:rsidRDefault="00856BEE">
          <w:pPr>
            <w:pStyle w:val="Footer"/>
            <w:jc w:val="center"/>
          </w:pPr>
          <w:r>
            <w:fldChar w:fldCharType="begin"/>
          </w:r>
          <w:r>
            <w:instrText xml:space="preserve"> REF Citation *\charformat </w:instrText>
          </w:r>
          <w:r>
            <w:fldChar w:fldCharType="separate"/>
          </w:r>
          <w:r w:rsidR="00EF7DDF">
            <w:t>Heavy Vehicle National Law (ACT)</w:t>
          </w:r>
          <w:r>
            <w:fldChar w:fldCharType="end"/>
          </w:r>
        </w:p>
        <w:p w14:paraId="352F48E1" w14:textId="308901F6" w:rsidR="00C85D3A" w:rsidRDefault="00856BEE">
          <w:pPr>
            <w:pStyle w:val="FooterInfoCentre"/>
          </w:pPr>
          <w:r>
            <w:fldChar w:fldCharType="begin"/>
          </w:r>
          <w:r>
            <w:instrText xml:space="preserve"> DOCPROPERTY "Eff"  *\charformat </w:instrText>
          </w:r>
          <w:r>
            <w:fldChar w:fldCharType="separate"/>
          </w:r>
          <w:r w:rsidR="00EF7DDF">
            <w:t xml:space="preserve">Effective:  </w:t>
          </w:r>
          <w:r>
            <w:fldChar w:fldCharType="end"/>
          </w:r>
          <w:r>
            <w:fldChar w:fldCharType="begin"/>
          </w:r>
          <w:r>
            <w:instrText xml:space="preserve"> DOCPROPERTY "StartDt"  *\charformat </w:instrText>
          </w:r>
          <w:r>
            <w:fldChar w:fldCharType="separate"/>
          </w:r>
          <w:r w:rsidR="00EF7DDF">
            <w:t>27/09/21</w:t>
          </w:r>
          <w:r>
            <w:fldChar w:fldCharType="end"/>
          </w:r>
          <w:r>
            <w:fldChar w:fldCharType="begin"/>
          </w:r>
          <w:r>
            <w:instrText xml:space="preserve"> DOCPROPERTY "EndDt"  *\charformat </w:instrText>
          </w:r>
          <w:r>
            <w:fldChar w:fldCharType="separate"/>
          </w:r>
          <w:r w:rsidR="00EF7DDF">
            <w:t>-26/04/22</w:t>
          </w:r>
          <w:r>
            <w:fldChar w:fldCharType="end"/>
          </w:r>
        </w:p>
      </w:tc>
      <w:tc>
        <w:tcPr>
          <w:tcW w:w="1061" w:type="pct"/>
        </w:tcPr>
        <w:p w14:paraId="720B9CCD" w14:textId="2254D18F" w:rsidR="00C85D3A" w:rsidRDefault="00856BEE">
          <w:pPr>
            <w:pStyle w:val="Footer"/>
            <w:jc w:val="right"/>
          </w:pPr>
          <w:r>
            <w:fldChar w:fldCharType="begin"/>
          </w:r>
          <w:r>
            <w:instrText xml:space="preserve"> DOCPROPERTY "Category"  *\charformat  </w:instrText>
          </w:r>
          <w:r>
            <w:fldChar w:fldCharType="separate"/>
          </w:r>
          <w:r w:rsidR="00EF7DDF">
            <w:t>R10</w:t>
          </w:r>
          <w:r>
            <w:fldChar w:fldCharType="end"/>
          </w:r>
          <w:r w:rsidR="00C85D3A">
            <w:br/>
          </w:r>
          <w:r>
            <w:fldChar w:fldCharType="begin"/>
          </w:r>
          <w:r>
            <w:instrText xml:space="preserve"> DOCPROPERTY "RepubDt"  *\charformat  </w:instrText>
          </w:r>
          <w:r>
            <w:fldChar w:fldCharType="separate"/>
          </w:r>
          <w:r w:rsidR="00EF7DDF">
            <w:t>27/09/21</w:t>
          </w:r>
          <w:r>
            <w:fldChar w:fldCharType="end"/>
          </w:r>
        </w:p>
      </w:tc>
    </w:tr>
  </w:tbl>
  <w:p w14:paraId="78D8B036" w14:textId="70E90544" w:rsidR="00C85D3A" w:rsidRPr="00856BEE" w:rsidRDefault="00856BEE" w:rsidP="00856BEE">
    <w:pPr>
      <w:pStyle w:val="Status"/>
      <w:rPr>
        <w:rFonts w:cs="Arial"/>
      </w:rPr>
    </w:pPr>
    <w:r w:rsidRPr="00856BEE">
      <w:rPr>
        <w:rFonts w:cs="Arial"/>
      </w:rPr>
      <w:fldChar w:fldCharType="begin"/>
    </w:r>
    <w:r w:rsidRPr="00856BEE">
      <w:rPr>
        <w:rFonts w:cs="Arial"/>
      </w:rPr>
      <w:instrText xml:space="preserve"> DOCPROPERTY "Status" </w:instrText>
    </w:r>
    <w:r w:rsidRPr="00856BEE">
      <w:rPr>
        <w:rFonts w:cs="Arial"/>
      </w:rPr>
      <w:fldChar w:fldCharType="separate"/>
    </w:r>
    <w:r w:rsidR="00EF7DDF" w:rsidRPr="00856BEE">
      <w:rPr>
        <w:rFonts w:cs="Arial"/>
      </w:rPr>
      <w:t xml:space="preserve"> </w:t>
    </w:r>
    <w:r w:rsidRPr="00856BEE">
      <w:rPr>
        <w:rFonts w:cs="Arial"/>
      </w:rPr>
      <w:fldChar w:fldCharType="end"/>
    </w:r>
    <w:r w:rsidRPr="00856BEE">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22C3" w14:textId="77777777" w:rsidR="00C85D3A" w:rsidRDefault="00C85D3A">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C85D3A" w14:paraId="4D9CFB0B" w14:textId="77777777">
      <w:tc>
        <w:tcPr>
          <w:tcW w:w="1061" w:type="pct"/>
        </w:tcPr>
        <w:p w14:paraId="32517718" w14:textId="06BD2A83" w:rsidR="00C85D3A" w:rsidRDefault="00856BEE">
          <w:pPr>
            <w:pStyle w:val="Footer"/>
          </w:pPr>
          <w:r>
            <w:fldChar w:fldCharType="begin"/>
          </w:r>
          <w:r>
            <w:instrText xml:space="preserve"> DOCPROPERTY "Category"  *\charformat  </w:instrText>
          </w:r>
          <w:r>
            <w:fldChar w:fldCharType="separate"/>
          </w:r>
          <w:r w:rsidR="00EF7DDF">
            <w:t>R10</w:t>
          </w:r>
          <w:r>
            <w:fldChar w:fldCharType="end"/>
          </w:r>
          <w:r w:rsidR="00C85D3A">
            <w:br/>
          </w:r>
          <w:r>
            <w:fldChar w:fldCharType="begin"/>
          </w:r>
          <w:r>
            <w:instrText xml:space="preserve"> DOCPROPERTY "RepubDt"  *\charformat  </w:instrText>
          </w:r>
          <w:r>
            <w:fldChar w:fldCharType="separate"/>
          </w:r>
          <w:r w:rsidR="00EF7DDF">
            <w:t>27/09/21</w:t>
          </w:r>
          <w:r>
            <w:fldChar w:fldCharType="end"/>
          </w:r>
        </w:p>
      </w:tc>
      <w:tc>
        <w:tcPr>
          <w:tcW w:w="3092" w:type="pct"/>
        </w:tcPr>
        <w:p w14:paraId="7A52AEE7" w14:textId="0F3C19C1" w:rsidR="00C85D3A" w:rsidRDefault="00856BEE">
          <w:pPr>
            <w:pStyle w:val="Footer"/>
            <w:jc w:val="center"/>
          </w:pPr>
          <w:r>
            <w:fldChar w:fldCharType="begin"/>
          </w:r>
          <w:r>
            <w:instrText xml:space="preserve"> REF Citation *\charformat </w:instrText>
          </w:r>
          <w:r>
            <w:fldChar w:fldCharType="separate"/>
          </w:r>
          <w:r w:rsidR="00EF7DDF">
            <w:t>Heavy Vehicle National Law (ACT)</w:t>
          </w:r>
          <w:r>
            <w:fldChar w:fldCharType="end"/>
          </w:r>
        </w:p>
        <w:p w14:paraId="510CD64B" w14:textId="048A5C15" w:rsidR="00C85D3A" w:rsidRDefault="00856BEE">
          <w:pPr>
            <w:pStyle w:val="FooterInfoCentre"/>
          </w:pPr>
          <w:r>
            <w:fldChar w:fldCharType="begin"/>
          </w:r>
          <w:r>
            <w:instrText xml:space="preserve"> DOCPROPERTY "Eff</w:instrText>
          </w:r>
          <w:r>
            <w:instrText xml:space="preserve">"  *\charformat </w:instrText>
          </w:r>
          <w:r>
            <w:fldChar w:fldCharType="separate"/>
          </w:r>
          <w:r w:rsidR="00EF7DDF">
            <w:t xml:space="preserve">Effective:  </w:t>
          </w:r>
          <w:r>
            <w:fldChar w:fldCharType="end"/>
          </w:r>
          <w:r>
            <w:fldChar w:fldCharType="begin"/>
          </w:r>
          <w:r>
            <w:instrText xml:space="preserve"> DOCPROPERTY "StartDt"  *\charformat </w:instrText>
          </w:r>
          <w:r>
            <w:fldChar w:fldCharType="separate"/>
          </w:r>
          <w:r w:rsidR="00EF7DDF">
            <w:t>27/09/21</w:t>
          </w:r>
          <w:r>
            <w:fldChar w:fldCharType="end"/>
          </w:r>
          <w:r>
            <w:fldChar w:fldCharType="begin"/>
          </w:r>
          <w:r>
            <w:instrText xml:space="preserve"> DOCPROPERTY "EndDt"  *\charformat </w:instrText>
          </w:r>
          <w:r>
            <w:fldChar w:fldCharType="separate"/>
          </w:r>
          <w:r w:rsidR="00EF7DDF">
            <w:t>-26/04/22</w:t>
          </w:r>
          <w:r>
            <w:fldChar w:fldCharType="end"/>
          </w:r>
        </w:p>
      </w:tc>
      <w:tc>
        <w:tcPr>
          <w:tcW w:w="847" w:type="pct"/>
        </w:tcPr>
        <w:p w14:paraId="7485D72E" w14:textId="77777777" w:rsidR="00C85D3A" w:rsidRDefault="00C85D3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1A57AE3D" w14:textId="58091EA2" w:rsidR="00C85D3A" w:rsidRPr="00856BEE" w:rsidRDefault="00856BEE" w:rsidP="00856BEE">
    <w:pPr>
      <w:pStyle w:val="Status"/>
      <w:rPr>
        <w:rFonts w:cs="Arial"/>
      </w:rPr>
    </w:pPr>
    <w:r w:rsidRPr="00856BEE">
      <w:rPr>
        <w:rFonts w:cs="Arial"/>
      </w:rPr>
      <w:fldChar w:fldCharType="begin"/>
    </w:r>
    <w:r w:rsidRPr="00856BEE">
      <w:rPr>
        <w:rFonts w:cs="Arial"/>
      </w:rPr>
      <w:instrText xml:space="preserve"> DOCPROPERTY "Status" </w:instrText>
    </w:r>
    <w:r w:rsidRPr="00856BEE">
      <w:rPr>
        <w:rFonts w:cs="Arial"/>
      </w:rPr>
      <w:fldChar w:fldCharType="separate"/>
    </w:r>
    <w:r w:rsidR="00EF7DDF" w:rsidRPr="00856BEE">
      <w:rPr>
        <w:rFonts w:cs="Arial"/>
      </w:rPr>
      <w:t xml:space="preserve"> </w:t>
    </w:r>
    <w:r w:rsidRPr="00856BEE">
      <w:rPr>
        <w:rFonts w:cs="Arial"/>
      </w:rPr>
      <w:fldChar w:fldCharType="end"/>
    </w:r>
    <w:r w:rsidRPr="00856BEE">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682B" w14:textId="7DD22E81" w:rsidR="00856BEE" w:rsidRPr="00856BEE" w:rsidRDefault="00856BEE" w:rsidP="00856BEE">
    <w:pPr>
      <w:pStyle w:val="Footer"/>
      <w:jc w:val="center"/>
      <w:rPr>
        <w:rFonts w:cs="Arial"/>
        <w:sz w:val="14"/>
      </w:rPr>
    </w:pPr>
    <w:r w:rsidRPr="00856BEE">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81C5" w14:textId="77777777" w:rsidR="00C85D3A" w:rsidRDefault="00C85D3A">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C85D3A" w14:paraId="6A982793" w14:textId="77777777">
      <w:tc>
        <w:tcPr>
          <w:tcW w:w="1061" w:type="pct"/>
        </w:tcPr>
        <w:p w14:paraId="627A5428" w14:textId="29E2A2A9" w:rsidR="00C85D3A" w:rsidRDefault="00856BEE">
          <w:pPr>
            <w:pStyle w:val="Footer"/>
          </w:pPr>
          <w:r>
            <w:fldChar w:fldCharType="begin"/>
          </w:r>
          <w:r>
            <w:instrText xml:space="preserve"> DOCPROPERTY "Category"  *\charformat  </w:instrText>
          </w:r>
          <w:r>
            <w:fldChar w:fldCharType="separate"/>
          </w:r>
          <w:r w:rsidR="00EF7DDF">
            <w:t>R10</w:t>
          </w:r>
          <w:r>
            <w:fldChar w:fldCharType="end"/>
          </w:r>
          <w:r w:rsidR="00C85D3A">
            <w:br/>
          </w:r>
          <w:r>
            <w:fldChar w:fldCharType="begin"/>
          </w:r>
          <w:r>
            <w:instrText xml:space="preserve"> DOCPROPERTY "RepubDt"  *\charformat  </w:instrText>
          </w:r>
          <w:r>
            <w:fldChar w:fldCharType="separate"/>
          </w:r>
          <w:r w:rsidR="00EF7DDF">
            <w:t>27/09/21</w:t>
          </w:r>
          <w:r>
            <w:fldChar w:fldCharType="end"/>
          </w:r>
        </w:p>
      </w:tc>
      <w:tc>
        <w:tcPr>
          <w:tcW w:w="3092" w:type="pct"/>
        </w:tcPr>
        <w:p w14:paraId="09FB6A76" w14:textId="00EF19EA" w:rsidR="00C85D3A" w:rsidRDefault="00856BEE">
          <w:pPr>
            <w:pStyle w:val="Footer"/>
            <w:jc w:val="center"/>
          </w:pPr>
          <w:r>
            <w:fldChar w:fldCharType="begin"/>
          </w:r>
          <w:r>
            <w:instrText xml:space="preserve"> REF Citation *\charformat </w:instrText>
          </w:r>
          <w:r>
            <w:fldChar w:fldCharType="separate"/>
          </w:r>
          <w:r w:rsidR="00EF7DDF">
            <w:t>Heavy Vehicle National Law (ACT)</w:t>
          </w:r>
          <w:r>
            <w:fldChar w:fldCharType="end"/>
          </w:r>
        </w:p>
        <w:p w14:paraId="0D2FE1E0" w14:textId="379B5700" w:rsidR="00C85D3A" w:rsidRDefault="00856BEE">
          <w:pPr>
            <w:pStyle w:val="FooterInfoCentre"/>
          </w:pPr>
          <w:r>
            <w:fldChar w:fldCharType="begin"/>
          </w:r>
          <w:r>
            <w:instrText xml:space="preserve"> DOCPROPERTY "Eff"  *\charformat </w:instrText>
          </w:r>
          <w:r>
            <w:fldChar w:fldCharType="separate"/>
          </w:r>
          <w:r w:rsidR="00EF7DDF">
            <w:t xml:space="preserve">Effective:  </w:t>
          </w:r>
          <w:r>
            <w:fldChar w:fldCharType="end"/>
          </w:r>
          <w:r>
            <w:fldChar w:fldCharType="begin"/>
          </w:r>
          <w:r>
            <w:instrText xml:space="preserve"> DOCPROPERTY "StartDt"  *\charformat </w:instrText>
          </w:r>
          <w:r>
            <w:fldChar w:fldCharType="separate"/>
          </w:r>
          <w:r w:rsidR="00EF7DDF">
            <w:t>27/09/21</w:t>
          </w:r>
          <w:r>
            <w:fldChar w:fldCharType="end"/>
          </w:r>
          <w:r>
            <w:fldChar w:fldCharType="begin"/>
          </w:r>
          <w:r>
            <w:instrText xml:space="preserve"> DOCPROPERTY "EndDt"  *\charformat </w:instrText>
          </w:r>
          <w:r>
            <w:fldChar w:fldCharType="separate"/>
          </w:r>
          <w:r w:rsidR="00EF7DDF">
            <w:t>-26/04/22</w:t>
          </w:r>
          <w:r>
            <w:fldChar w:fldCharType="end"/>
          </w:r>
        </w:p>
      </w:tc>
      <w:tc>
        <w:tcPr>
          <w:tcW w:w="847" w:type="pct"/>
        </w:tcPr>
        <w:p w14:paraId="00F8F9EA" w14:textId="77777777" w:rsidR="00C85D3A" w:rsidRDefault="00C85D3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A331AA0" w14:textId="15D62996" w:rsidR="00C85D3A" w:rsidRDefault="00856BEE">
    <w:pPr>
      <w:pStyle w:val="Status"/>
    </w:pPr>
    <w:r>
      <w:fldChar w:fldCharType="begin"/>
    </w:r>
    <w:r>
      <w:instrText xml:space="preserve"> DOCPROPERTY "Status" </w:instrText>
    </w:r>
    <w:r>
      <w:fldChar w:fldCharType="separate"/>
    </w:r>
    <w:r w:rsidR="00EF7DDF">
      <w:t xml:space="preserve"> </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FDEC" w14:textId="77777777" w:rsidR="00C85D3A" w:rsidRDefault="00C85D3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C85D3A" w:rsidRPr="00CB3D59" w14:paraId="57100541" w14:textId="77777777">
      <w:tc>
        <w:tcPr>
          <w:tcW w:w="847" w:type="pct"/>
        </w:tcPr>
        <w:p w14:paraId="4907F2CB" w14:textId="77777777" w:rsidR="00C85D3A" w:rsidRPr="00A752AE" w:rsidRDefault="00C85D3A" w:rsidP="0062384B">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50FA2817" w14:textId="2BD8EBD8" w:rsidR="00C85D3A" w:rsidRPr="00A752AE" w:rsidRDefault="00C85D3A" w:rsidP="0062384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F7DDF" w:rsidRPr="00EF7DDF">
            <w:rPr>
              <w:rFonts w:cs="Arial"/>
              <w:szCs w:val="18"/>
            </w:rPr>
            <w:t>Heavy Vehicle National Law</w:t>
          </w:r>
          <w:r w:rsidR="00EF7DDF">
            <w:t xml:space="preserve"> (ACT)</w:t>
          </w:r>
          <w:r>
            <w:rPr>
              <w:rFonts w:cs="Arial"/>
              <w:szCs w:val="18"/>
            </w:rPr>
            <w:fldChar w:fldCharType="end"/>
          </w:r>
        </w:p>
        <w:p w14:paraId="27E0EC19" w14:textId="77B29092" w:rsidR="00C85D3A" w:rsidRPr="00A752AE" w:rsidRDefault="00C85D3A" w:rsidP="0062384B">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F7DDF">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F7DDF">
            <w:rPr>
              <w:rFonts w:cs="Arial"/>
              <w:szCs w:val="18"/>
            </w:rPr>
            <w:t>27/09/21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F7DDF">
            <w:rPr>
              <w:rFonts w:cs="Arial"/>
              <w:szCs w:val="18"/>
            </w:rPr>
            <w:t>-26/04/22</w:t>
          </w:r>
          <w:r w:rsidRPr="00A752AE">
            <w:rPr>
              <w:rFonts w:cs="Arial"/>
              <w:szCs w:val="18"/>
            </w:rPr>
            <w:fldChar w:fldCharType="end"/>
          </w:r>
        </w:p>
      </w:tc>
      <w:tc>
        <w:tcPr>
          <w:tcW w:w="1061" w:type="pct"/>
        </w:tcPr>
        <w:p w14:paraId="7ACE4A94" w14:textId="5D2BC498" w:rsidR="00C85D3A" w:rsidRPr="00A752AE" w:rsidRDefault="00C85D3A" w:rsidP="0062384B">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F7DDF">
            <w:rPr>
              <w:rFonts w:cs="Arial"/>
              <w:szCs w:val="18"/>
            </w:rPr>
            <w:t>R10</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F7DDF">
            <w:rPr>
              <w:rFonts w:cs="Arial"/>
              <w:szCs w:val="18"/>
            </w:rPr>
            <w:t>27/09/21</w:t>
          </w:r>
          <w:r w:rsidRPr="00A752AE">
            <w:rPr>
              <w:rFonts w:cs="Arial"/>
              <w:szCs w:val="18"/>
            </w:rPr>
            <w:fldChar w:fldCharType="end"/>
          </w:r>
        </w:p>
      </w:tc>
    </w:tr>
  </w:tbl>
  <w:p w14:paraId="1CA66143" w14:textId="4A909F00" w:rsidR="00C85D3A" w:rsidRPr="00856BEE" w:rsidRDefault="00856BEE" w:rsidP="00856BEE">
    <w:pPr>
      <w:pStyle w:val="Status"/>
      <w:rPr>
        <w:rFonts w:cs="Arial"/>
      </w:rPr>
    </w:pPr>
    <w:r w:rsidRPr="00856BEE">
      <w:rPr>
        <w:rFonts w:cs="Arial"/>
      </w:rPr>
      <w:fldChar w:fldCharType="begin"/>
    </w:r>
    <w:r w:rsidRPr="00856BEE">
      <w:rPr>
        <w:rFonts w:cs="Arial"/>
      </w:rPr>
      <w:instrText xml:space="preserve"> DOCPROPERTY "Status" </w:instrText>
    </w:r>
    <w:r w:rsidRPr="00856BEE">
      <w:rPr>
        <w:rFonts w:cs="Arial"/>
      </w:rPr>
      <w:fldChar w:fldCharType="separate"/>
    </w:r>
    <w:r w:rsidR="00EF7DDF" w:rsidRPr="00856BEE">
      <w:rPr>
        <w:rFonts w:cs="Arial"/>
      </w:rPr>
      <w:t xml:space="preserve"> </w:t>
    </w:r>
    <w:r w:rsidRPr="00856BEE">
      <w:rPr>
        <w:rFonts w:cs="Arial"/>
      </w:rPr>
      <w:fldChar w:fldCharType="end"/>
    </w:r>
    <w:r w:rsidRPr="00856BEE">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7E74" w14:textId="77777777" w:rsidR="00C85D3A" w:rsidRDefault="00C85D3A">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C85D3A" w:rsidRPr="00CB3D59" w14:paraId="35F1B24E" w14:textId="77777777">
      <w:tc>
        <w:tcPr>
          <w:tcW w:w="1061" w:type="pct"/>
        </w:tcPr>
        <w:p w14:paraId="3205D267" w14:textId="6DBAAA7E" w:rsidR="00C85D3A" w:rsidRPr="00A752AE" w:rsidRDefault="00C85D3A" w:rsidP="0062384B">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F7DDF">
            <w:rPr>
              <w:rFonts w:cs="Arial"/>
              <w:szCs w:val="18"/>
            </w:rPr>
            <w:t>R10</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F7DDF">
            <w:rPr>
              <w:rFonts w:cs="Arial"/>
              <w:szCs w:val="18"/>
            </w:rPr>
            <w:t>27/09/21</w:t>
          </w:r>
          <w:r w:rsidRPr="00A752AE">
            <w:rPr>
              <w:rFonts w:cs="Arial"/>
              <w:szCs w:val="18"/>
            </w:rPr>
            <w:fldChar w:fldCharType="end"/>
          </w:r>
        </w:p>
      </w:tc>
      <w:tc>
        <w:tcPr>
          <w:tcW w:w="3092" w:type="pct"/>
        </w:tcPr>
        <w:p w14:paraId="24657DFB" w14:textId="3E99197F" w:rsidR="00C85D3A" w:rsidRPr="00A752AE" w:rsidRDefault="00C85D3A" w:rsidP="0062384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F7DDF" w:rsidRPr="00EF7DDF">
            <w:rPr>
              <w:rFonts w:cs="Arial"/>
              <w:szCs w:val="18"/>
            </w:rPr>
            <w:t>Heavy Vehicle National Law</w:t>
          </w:r>
          <w:r w:rsidR="00EF7DDF">
            <w:t xml:space="preserve"> (ACT)</w:t>
          </w:r>
          <w:r>
            <w:rPr>
              <w:rFonts w:cs="Arial"/>
              <w:szCs w:val="18"/>
            </w:rPr>
            <w:fldChar w:fldCharType="end"/>
          </w:r>
        </w:p>
        <w:p w14:paraId="649EC160" w14:textId="6A658B6A" w:rsidR="00C85D3A" w:rsidRPr="00A752AE" w:rsidRDefault="00C85D3A" w:rsidP="0062384B">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F7DDF">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F7DDF">
            <w:rPr>
              <w:rFonts w:cs="Arial"/>
              <w:szCs w:val="18"/>
            </w:rPr>
            <w:t>27/09/21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F7DDF">
            <w:rPr>
              <w:rFonts w:cs="Arial"/>
              <w:szCs w:val="18"/>
            </w:rPr>
            <w:t>-26/04/22</w:t>
          </w:r>
          <w:r w:rsidRPr="00A752AE">
            <w:rPr>
              <w:rFonts w:cs="Arial"/>
              <w:szCs w:val="18"/>
            </w:rPr>
            <w:fldChar w:fldCharType="end"/>
          </w:r>
        </w:p>
      </w:tc>
      <w:tc>
        <w:tcPr>
          <w:tcW w:w="847" w:type="pct"/>
        </w:tcPr>
        <w:p w14:paraId="396D6CBF" w14:textId="77777777" w:rsidR="00C85D3A" w:rsidRPr="00A752AE" w:rsidRDefault="00C85D3A" w:rsidP="0062384B">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145228CA" w14:textId="367BE86E" w:rsidR="00C85D3A" w:rsidRPr="00856BEE" w:rsidRDefault="00856BEE" w:rsidP="00856BEE">
    <w:pPr>
      <w:pStyle w:val="Status"/>
      <w:rPr>
        <w:rFonts w:cs="Arial"/>
      </w:rPr>
    </w:pPr>
    <w:r w:rsidRPr="00856BEE">
      <w:rPr>
        <w:rFonts w:cs="Arial"/>
      </w:rPr>
      <w:fldChar w:fldCharType="begin"/>
    </w:r>
    <w:r w:rsidRPr="00856BEE">
      <w:rPr>
        <w:rFonts w:cs="Arial"/>
      </w:rPr>
      <w:instrText xml:space="preserve"> DOCPROPERTY "Status" </w:instrText>
    </w:r>
    <w:r w:rsidRPr="00856BEE">
      <w:rPr>
        <w:rFonts w:cs="Arial"/>
      </w:rPr>
      <w:fldChar w:fldCharType="separate"/>
    </w:r>
    <w:r w:rsidR="00EF7DDF" w:rsidRPr="00856BEE">
      <w:rPr>
        <w:rFonts w:cs="Arial"/>
      </w:rPr>
      <w:t xml:space="preserve"> </w:t>
    </w:r>
    <w:r w:rsidRPr="00856BEE">
      <w:rPr>
        <w:rFonts w:cs="Arial"/>
      </w:rPr>
      <w:fldChar w:fldCharType="end"/>
    </w:r>
    <w:r w:rsidRPr="00856BEE">
      <w:rPr>
        <w:rFonts w:cs="Arial"/>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4047" w14:textId="77777777" w:rsidR="00C85D3A" w:rsidRDefault="00C85D3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85D3A" w:rsidRPr="00CB3D59" w14:paraId="2471F7B8" w14:textId="77777777">
      <w:tc>
        <w:tcPr>
          <w:tcW w:w="847" w:type="pct"/>
        </w:tcPr>
        <w:p w14:paraId="5AC9AC52" w14:textId="77777777" w:rsidR="00C85D3A" w:rsidRPr="00A752AE" w:rsidRDefault="00C85D3A" w:rsidP="004413DE">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05E4BF67" w14:textId="469F6590" w:rsidR="00C85D3A" w:rsidRPr="00A752AE" w:rsidRDefault="00C85D3A" w:rsidP="004413D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F7DDF" w:rsidRPr="00EF7DDF">
            <w:rPr>
              <w:rFonts w:cs="Arial"/>
              <w:szCs w:val="18"/>
            </w:rPr>
            <w:t>Heavy Vehicle National Law</w:t>
          </w:r>
          <w:r w:rsidR="00EF7DDF">
            <w:t xml:space="preserve"> (ACT)</w:t>
          </w:r>
          <w:r>
            <w:rPr>
              <w:rFonts w:cs="Arial"/>
              <w:szCs w:val="18"/>
            </w:rPr>
            <w:fldChar w:fldCharType="end"/>
          </w:r>
        </w:p>
        <w:p w14:paraId="338F7E54" w14:textId="294565C4" w:rsidR="00C85D3A" w:rsidRPr="00A752AE" w:rsidRDefault="00C85D3A" w:rsidP="004413DE">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F7DDF">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F7DDF">
            <w:rPr>
              <w:rFonts w:cs="Arial"/>
              <w:szCs w:val="18"/>
            </w:rPr>
            <w:t>27/09/21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F7DDF">
            <w:rPr>
              <w:rFonts w:cs="Arial"/>
              <w:szCs w:val="18"/>
            </w:rPr>
            <w:t>-26/04/22</w:t>
          </w:r>
          <w:r w:rsidRPr="00A752AE">
            <w:rPr>
              <w:rFonts w:cs="Arial"/>
              <w:szCs w:val="18"/>
            </w:rPr>
            <w:fldChar w:fldCharType="end"/>
          </w:r>
        </w:p>
      </w:tc>
      <w:tc>
        <w:tcPr>
          <w:tcW w:w="1061" w:type="pct"/>
        </w:tcPr>
        <w:p w14:paraId="22EE20ED" w14:textId="5CE0EA9B" w:rsidR="00C85D3A" w:rsidRPr="00A752AE" w:rsidRDefault="00C85D3A" w:rsidP="004413DE">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F7DDF">
            <w:rPr>
              <w:rFonts w:cs="Arial"/>
              <w:szCs w:val="18"/>
            </w:rPr>
            <w:t>R10</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F7DDF">
            <w:rPr>
              <w:rFonts w:cs="Arial"/>
              <w:szCs w:val="18"/>
            </w:rPr>
            <w:t>27/09/21</w:t>
          </w:r>
          <w:r w:rsidRPr="00A752AE">
            <w:rPr>
              <w:rFonts w:cs="Arial"/>
              <w:szCs w:val="18"/>
            </w:rPr>
            <w:fldChar w:fldCharType="end"/>
          </w:r>
        </w:p>
      </w:tc>
    </w:tr>
  </w:tbl>
  <w:p w14:paraId="43391C98" w14:textId="473A6A15" w:rsidR="00C85D3A" w:rsidRPr="00856BEE" w:rsidRDefault="00856BEE" w:rsidP="00856BEE">
    <w:pPr>
      <w:pStyle w:val="Status"/>
      <w:rPr>
        <w:rFonts w:cs="Arial"/>
      </w:rPr>
    </w:pPr>
    <w:r w:rsidRPr="00856BEE">
      <w:rPr>
        <w:rFonts w:cs="Arial"/>
      </w:rPr>
      <w:fldChar w:fldCharType="begin"/>
    </w:r>
    <w:r w:rsidRPr="00856BEE">
      <w:rPr>
        <w:rFonts w:cs="Arial"/>
      </w:rPr>
      <w:instrText xml:space="preserve"> DOCPROPERTY "S</w:instrText>
    </w:r>
    <w:r w:rsidRPr="00856BEE">
      <w:rPr>
        <w:rFonts w:cs="Arial"/>
      </w:rPr>
      <w:instrText xml:space="preserve">tatus" </w:instrText>
    </w:r>
    <w:r w:rsidRPr="00856BEE">
      <w:rPr>
        <w:rFonts w:cs="Arial"/>
      </w:rPr>
      <w:fldChar w:fldCharType="separate"/>
    </w:r>
    <w:r w:rsidR="00EF7DDF" w:rsidRPr="00856BEE">
      <w:rPr>
        <w:rFonts w:cs="Arial"/>
      </w:rPr>
      <w:t xml:space="preserve"> </w:t>
    </w:r>
    <w:r w:rsidRPr="00856BEE">
      <w:rPr>
        <w:rFonts w:cs="Arial"/>
      </w:rPr>
      <w:fldChar w:fldCharType="end"/>
    </w:r>
    <w:r w:rsidRPr="00856BEE">
      <w:rPr>
        <w:rFonts w:cs="Arial"/>
      </w:rPr>
      <w:t>Unauthorised version prepared by ACT Parliamentary Counsel’s Office</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B076" w14:textId="77777777" w:rsidR="00C85D3A" w:rsidRDefault="00C85D3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85D3A" w:rsidRPr="00CB3D59" w14:paraId="6BB4C336" w14:textId="77777777">
      <w:tc>
        <w:tcPr>
          <w:tcW w:w="1061" w:type="pct"/>
        </w:tcPr>
        <w:p w14:paraId="4E6A5C02" w14:textId="18082A7F" w:rsidR="00C85D3A" w:rsidRPr="00A752AE" w:rsidRDefault="00C85D3A" w:rsidP="004413DE">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F7DDF">
            <w:rPr>
              <w:rFonts w:cs="Arial"/>
              <w:szCs w:val="18"/>
            </w:rPr>
            <w:t>R10</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F7DDF">
            <w:rPr>
              <w:rFonts w:cs="Arial"/>
              <w:szCs w:val="18"/>
            </w:rPr>
            <w:t>27/09/21</w:t>
          </w:r>
          <w:r w:rsidRPr="00A752AE">
            <w:rPr>
              <w:rFonts w:cs="Arial"/>
              <w:szCs w:val="18"/>
            </w:rPr>
            <w:fldChar w:fldCharType="end"/>
          </w:r>
        </w:p>
      </w:tc>
      <w:tc>
        <w:tcPr>
          <w:tcW w:w="3092" w:type="pct"/>
        </w:tcPr>
        <w:p w14:paraId="6158A675" w14:textId="25CB6C00" w:rsidR="00C85D3A" w:rsidRPr="00A752AE" w:rsidRDefault="00C85D3A" w:rsidP="004413D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F7DDF" w:rsidRPr="00EF7DDF">
            <w:rPr>
              <w:rFonts w:cs="Arial"/>
              <w:szCs w:val="18"/>
            </w:rPr>
            <w:t>Heavy Vehicle National Law</w:t>
          </w:r>
          <w:r w:rsidR="00EF7DDF">
            <w:t xml:space="preserve"> (ACT)</w:t>
          </w:r>
          <w:r>
            <w:rPr>
              <w:rFonts w:cs="Arial"/>
              <w:szCs w:val="18"/>
            </w:rPr>
            <w:fldChar w:fldCharType="end"/>
          </w:r>
        </w:p>
        <w:p w14:paraId="20F6C40D" w14:textId="3E108E8D" w:rsidR="00C85D3A" w:rsidRPr="00A752AE" w:rsidRDefault="00C85D3A" w:rsidP="004413DE">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F7DDF">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F7DDF">
            <w:rPr>
              <w:rFonts w:cs="Arial"/>
              <w:szCs w:val="18"/>
            </w:rPr>
            <w:t>27/09/21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F7DDF">
            <w:rPr>
              <w:rFonts w:cs="Arial"/>
              <w:szCs w:val="18"/>
            </w:rPr>
            <w:t>-26/04/22</w:t>
          </w:r>
          <w:r w:rsidRPr="00A752AE">
            <w:rPr>
              <w:rFonts w:cs="Arial"/>
              <w:szCs w:val="18"/>
            </w:rPr>
            <w:fldChar w:fldCharType="end"/>
          </w:r>
        </w:p>
      </w:tc>
      <w:tc>
        <w:tcPr>
          <w:tcW w:w="847" w:type="pct"/>
        </w:tcPr>
        <w:p w14:paraId="35CBEFA1" w14:textId="77777777" w:rsidR="00C85D3A" w:rsidRPr="00A752AE" w:rsidRDefault="00C85D3A" w:rsidP="004413DE">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10B1D2A6" w14:textId="29309114" w:rsidR="00C85D3A" w:rsidRPr="00856BEE" w:rsidRDefault="00856BEE" w:rsidP="00856BEE">
    <w:pPr>
      <w:pStyle w:val="Status"/>
      <w:rPr>
        <w:rFonts w:cs="Arial"/>
      </w:rPr>
    </w:pPr>
    <w:r w:rsidRPr="00856BEE">
      <w:rPr>
        <w:rFonts w:cs="Arial"/>
      </w:rPr>
      <w:fldChar w:fldCharType="begin"/>
    </w:r>
    <w:r w:rsidRPr="00856BEE">
      <w:rPr>
        <w:rFonts w:cs="Arial"/>
      </w:rPr>
      <w:instrText xml:space="preserve"> DOCPROPERTY "Status" </w:instrText>
    </w:r>
    <w:r w:rsidRPr="00856BEE">
      <w:rPr>
        <w:rFonts w:cs="Arial"/>
      </w:rPr>
      <w:fldChar w:fldCharType="separate"/>
    </w:r>
    <w:r w:rsidR="00EF7DDF" w:rsidRPr="00856BEE">
      <w:rPr>
        <w:rFonts w:cs="Arial"/>
      </w:rPr>
      <w:t xml:space="preserve"> </w:t>
    </w:r>
    <w:r w:rsidRPr="00856BEE">
      <w:rPr>
        <w:rFonts w:cs="Arial"/>
      </w:rPr>
      <w:fldChar w:fldCharType="end"/>
    </w:r>
    <w:r w:rsidRPr="00856BEE">
      <w:rPr>
        <w:rFonts w:cs="Arial"/>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95EF" w14:textId="77777777" w:rsidR="00C85D3A" w:rsidRDefault="00C85D3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85D3A" w:rsidRPr="00CB3D59" w14:paraId="4517CE40" w14:textId="77777777">
      <w:tc>
        <w:tcPr>
          <w:tcW w:w="847" w:type="pct"/>
        </w:tcPr>
        <w:p w14:paraId="0FB6C48C" w14:textId="77777777" w:rsidR="00C85D3A" w:rsidRPr="00F02A14" w:rsidRDefault="00C85D3A" w:rsidP="004413DE">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719EF6B7" w14:textId="76D5F9F2" w:rsidR="00C85D3A" w:rsidRPr="00F02A14" w:rsidRDefault="00C85D3A" w:rsidP="004413D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F7DDF" w:rsidRPr="00EF7DDF">
            <w:rPr>
              <w:rFonts w:cs="Arial"/>
              <w:szCs w:val="18"/>
            </w:rPr>
            <w:t>Heavy Vehicle National Law</w:t>
          </w:r>
          <w:r w:rsidR="00EF7DDF">
            <w:t xml:space="preserve"> (ACT)</w:t>
          </w:r>
          <w:r>
            <w:rPr>
              <w:rFonts w:cs="Arial"/>
              <w:szCs w:val="18"/>
            </w:rPr>
            <w:fldChar w:fldCharType="end"/>
          </w:r>
        </w:p>
        <w:p w14:paraId="7A6BABBC" w14:textId="24D99263" w:rsidR="00C85D3A" w:rsidRPr="00F02A14" w:rsidRDefault="00C85D3A" w:rsidP="004413D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EF7DDF">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EF7DDF">
            <w:rPr>
              <w:rFonts w:cs="Arial"/>
              <w:szCs w:val="18"/>
            </w:rPr>
            <w:t>27/09/21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EF7DDF">
            <w:rPr>
              <w:rFonts w:cs="Arial"/>
              <w:szCs w:val="18"/>
            </w:rPr>
            <w:t>-26/04/22</w:t>
          </w:r>
          <w:r w:rsidRPr="00F02A14">
            <w:rPr>
              <w:rFonts w:cs="Arial"/>
              <w:szCs w:val="18"/>
            </w:rPr>
            <w:fldChar w:fldCharType="end"/>
          </w:r>
        </w:p>
      </w:tc>
      <w:tc>
        <w:tcPr>
          <w:tcW w:w="1061" w:type="pct"/>
        </w:tcPr>
        <w:p w14:paraId="0FA842D0" w14:textId="5C1B03B3" w:rsidR="00C85D3A" w:rsidRPr="00F02A14" w:rsidRDefault="00C85D3A" w:rsidP="004413DE">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EF7DDF">
            <w:rPr>
              <w:rFonts w:cs="Arial"/>
              <w:szCs w:val="18"/>
            </w:rPr>
            <w:t>R10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EF7DDF">
            <w:rPr>
              <w:rFonts w:cs="Arial"/>
              <w:szCs w:val="18"/>
            </w:rPr>
            <w:t>27/09/21</w:t>
          </w:r>
          <w:r w:rsidRPr="00F02A14">
            <w:rPr>
              <w:rFonts w:cs="Arial"/>
              <w:szCs w:val="18"/>
            </w:rPr>
            <w:fldChar w:fldCharType="end"/>
          </w:r>
        </w:p>
      </w:tc>
    </w:tr>
  </w:tbl>
  <w:p w14:paraId="3D5038EE" w14:textId="721013F6" w:rsidR="00C85D3A" w:rsidRPr="00856BEE" w:rsidRDefault="00856BEE" w:rsidP="00856BEE">
    <w:pPr>
      <w:pStyle w:val="Status"/>
      <w:rPr>
        <w:rFonts w:cs="Arial"/>
      </w:rPr>
    </w:pPr>
    <w:r w:rsidRPr="00856BEE">
      <w:rPr>
        <w:rFonts w:cs="Arial"/>
      </w:rPr>
      <w:fldChar w:fldCharType="begin"/>
    </w:r>
    <w:r w:rsidRPr="00856BEE">
      <w:rPr>
        <w:rFonts w:cs="Arial"/>
      </w:rPr>
      <w:instrText xml:space="preserve"> DOCPROPERTY "Status" </w:instrText>
    </w:r>
    <w:r w:rsidRPr="00856BEE">
      <w:rPr>
        <w:rFonts w:cs="Arial"/>
      </w:rPr>
      <w:fldChar w:fldCharType="separate"/>
    </w:r>
    <w:r w:rsidR="00EF7DDF" w:rsidRPr="00856BEE">
      <w:rPr>
        <w:rFonts w:cs="Arial"/>
      </w:rPr>
      <w:t xml:space="preserve"> </w:t>
    </w:r>
    <w:r w:rsidRPr="00856BEE">
      <w:rPr>
        <w:rFonts w:cs="Arial"/>
      </w:rPr>
      <w:fldChar w:fldCharType="end"/>
    </w:r>
    <w:r w:rsidRPr="00856BEE">
      <w:rPr>
        <w:rFonts w:cs="Arial"/>
      </w:rPr>
      <w:t>Unauthorised version prepared by ACT Parliamentary Counsel’s Office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2B99" w14:textId="77777777" w:rsidR="00C85D3A" w:rsidRDefault="00C85D3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85D3A" w:rsidRPr="00CB3D59" w14:paraId="53F0449B" w14:textId="77777777">
      <w:tc>
        <w:tcPr>
          <w:tcW w:w="1061" w:type="pct"/>
        </w:tcPr>
        <w:p w14:paraId="7CE660B9" w14:textId="4C794F34" w:rsidR="00C85D3A" w:rsidRPr="00F02A14" w:rsidRDefault="00C85D3A" w:rsidP="004413DE">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EF7DDF">
            <w:rPr>
              <w:rFonts w:cs="Arial"/>
              <w:szCs w:val="18"/>
            </w:rPr>
            <w:t>R10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EF7DDF">
            <w:rPr>
              <w:rFonts w:cs="Arial"/>
              <w:szCs w:val="18"/>
            </w:rPr>
            <w:t>27/09/21</w:t>
          </w:r>
          <w:r w:rsidRPr="00F02A14">
            <w:rPr>
              <w:rFonts w:cs="Arial"/>
              <w:szCs w:val="18"/>
            </w:rPr>
            <w:fldChar w:fldCharType="end"/>
          </w:r>
        </w:p>
      </w:tc>
      <w:tc>
        <w:tcPr>
          <w:tcW w:w="3092" w:type="pct"/>
        </w:tcPr>
        <w:p w14:paraId="2D1998BD" w14:textId="18DD90C8" w:rsidR="00C85D3A" w:rsidRPr="00F02A14" w:rsidRDefault="00C85D3A" w:rsidP="004413D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F7DDF" w:rsidRPr="00EF7DDF">
            <w:rPr>
              <w:rFonts w:cs="Arial"/>
              <w:szCs w:val="18"/>
            </w:rPr>
            <w:t>Heavy Vehicle National Law</w:t>
          </w:r>
          <w:r w:rsidR="00EF7DDF">
            <w:t xml:space="preserve"> (ACT)</w:t>
          </w:r>
          <w:r>
            <w:rPr>
              <w:rFonts w:cs="Arial"/>
              <w:szCs w:val="18"/>
            </w:rPr>
            <w:fldChar w:fldCharType="end"/>
          </w:r>
        </w:p>
        <w:p w14:paraId="4A054421" w14:textId="752AF54F" w:rsidR="00C85D3A" w:rsidRPr="00F02A14" w:rsidRDefault="00C85D3A" w:rsidP="004413D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EF7DDF">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EF7DDF">
            <w:rPr>
              <w:rFonts w:cs="Arial"/>
              <w:szCs w:val="18"/>
            </w:rPr>
            <w:t>27/09/21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EF7DDF">
            <w:rPr>
              <w:rFonts w:cs="Arial"/>
              <w:szCs w:val="18"/>
            </w:rPr>
            <w:t>-26/04/22</w:t>
          </w:r>
          <w:r w:rsidRPr="00F02A14">
            <w:rPr>
              <w:rFonts w:cs="Arial"/>
              <w:szCs w:val="18"/>
            </w:rPr>
            <w:fldChar w:fldCharType="end"/>
          </w:r>
        </w:p>
      </w:tc>
      <w:tc>
        <w:tcPr>
          <w:tcW w:w="847" w:type="pct"/>
        </w:tcPr>
        <w:p w14:paraId="47138C0A" w14:textId="77777777" w:rsidR="00C85D3A" w:rsidRPr="00F02A14" w:rsidRDefault="00C85D3A" w:rsidP="004413DE">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4384DA81" w14:textId="27047BDA" w:rsidR="00C85D3A" w:rsidRPr="00856BEE" w:rsidRDefault="00856BEE" w:rsidP="00856BEE">
    <w:pPr>
      <w:pStyle w:val="Status"/>
      <w:rPr>
        <w:rFonts w:cs="Arial"/>
      </w:rPr>
    </w:pPr>
    <w:r w:rsidRPr="00856BEE">
      <w:rPr>
        <w:rFonts w:cs="Arial"/>
      </w:rPr>
      <w:fldChar w:fldCharType="begin"/>
    </w:r>
    <w:r w:rsidRPr="00856BEE">
      <w:rPr>
        <w:rFonts w:cs="Arial"/>
      </w:rPr>
      <w:instrText xml:space="preserve"> DOCPROPERTY "Status" </w:instrText>
    </w:r>
    <w:r w:rsidRPr="00856BEE">
      <w:rPr>
        <w:rFonts w:cs="Arial"/>
      </w:rPr>
      <w:fldChar w:fldCharType="separate"/>
    </w:r>
    <w:r w:rsidR="00EF7DDF" w:rsidRPr="00856BEE">
      <w:rPr>
        <w:rFonts w:cs="Arial"/>
      </w:rPr>
      <w:t xml:space="preserve"> </w:t>
    </w:r>
    <w:r w:rsidRPr="00856BEE">
      <w:rPr>
        <w:rFonts w:cs="Arial"/>
      </w:rPr>
      <w:fldChar w:fldCharType="end"/>
    </w:r>
    <w:r w:rsidRPr="00856BEE">
      <w:rPr>
        <w:rFonts w:cs="Arial"/>
      </w:rPr>
      <w:t>Unauthorised version prepared by ACT Parliamentary Counsel’s Office</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C2AA" w14:textId="77777777" w:rsidR="00C85D3A" w:rsidRDefault="00C85D3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85D3A" w:rsidRPr="00CB3D59" w14:paraId="23A59592" w14:textId="77777777">
      <w:tc>
        <w:tcPr>
          <w:tcW w:w="847" w:type="pct"/>
        </w:tcPr>
        <w:p w14:paraId="38CBE700" w14:textId="77777777" w:rsidR="00C85D3A" w:rsidRPr="00F02A14" w:rsidRDefault="00C85D3A" w:rsidP="00490644">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0169AC91" w14:textId="72EA9DD7" w:rsidR="00C85D3A" w:rsidRPr="00F02A14" w:rsidRDefault="00C85D3A" w:rsidP="0049064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F7DDF" w:rsidRPr="00EF7DDF">
            <w:rPr>
              <w:rFonts w:cs="Arial"/>
              <w:szCs w:val="18"/>
            </w:rPr>
            <w:t>Heavy Vehicle National Law</w:t>
          </w:r>
          <w:r w:rsidR="00EF7DDF">
            <w:t xml:space="preserve"> (ACT)</w:t>
          </w:r>
          <w:r>
            <w:rPr>
              <w:rFonts w:cs="Arial"/>
              <w:szCs w:val="18"/>
            </w:rPr>
            <w:fldChar w:fldCharType="end"/>
          </w:r>
        </w:p>
        <w:p w14:paraId="4E0DE7AE" w14:textId="208BA66D" w:rsidR="00C85D3A" w:rsidRPr="00F02A14" w:rsidRDefault="00C85D3A" w:rsidP="0049064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EF7DDF">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EF7DDF">
            <w:rPr>
              <w:rFonts w:cs="Arial"/>
              <w:szCs w:val="18"/>
            </w:rPr>
            <w:t>27/09/21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EF7DDF">
            <w:rPr>
              <w:rFonts w:cs="Arial"/>
              <w:szCs w:val="18"/>
            </w:rPr>
            <w:t>-26/04/22</w:t>
          </w:r>
          <w:r w:rsidRPr="00F02A14">
            <w:rPr>
              <w:rFonts w:cs="Arial"/>
              <w:szCs w:val="18"/>
            </w:rPr>
            <w:fldChar w:fldCharType="end"/>
          </w:r>
        </w:p>
      </w:tc>
      <w:tc>
        <w:tcPr>
          <w:tcW w:w="1061" w:type="pct"/>
        </w:tcPr>
        <w:p w14:paraId="067DD01D" w14:textId="2F410B07" w:rsidR="00C85D3A" w:rsidRPr="00F02A14" w:rsidRDefault="00C85D3A" w:rsidP="00490644">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EF7DDF">
            <w:rPr>
              <w:rFonts w:cs="Arial"/>
              <w:szCs w:val="18"/>
            </w:rPr>
            <w:t>R10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EF7DDF">
            <w:rPr>
              <w:rFonts w:cs="Arial"/>
              <w:szCs w:val="18"/>
            </w:rPr>
            <w:t>27/09/21</w:t>
          </w:r>
          <w:r w:rsidRPr="00F02A14">
            <w:rPr>
              <w:rFonts w:cs="Arial"/>
              <w:szCs w:val="18"/>
            </w:rPr>
            <w:fldChar w:fldCharType="end"/>
          </w:r>
        </w:p>
      </w:tc>
    </w:tr>
  </w:tbl>
  <w:p w14:paraId="2267BBE3" w14:textId="7CF603E2" w:rsidR="00C85D3A" w:rsidRPr="00856BEE" w:rsidRDefault="00856BEE" w:rsidP="00856BEE">
    <w:pPr>
      <w:pStyle w:val="Status"/>
      <w:rPr>
        <w:rFonts w:cs="Arial"/>
      </w:rPr>
    </w:pPr>
    <w:r w:rsidRPr="00856BEE">
      <w:rPr>
        <w:rFonts w:cs="Arial"/>
      </w:rPr>
      <w:fldChar w:fldCharType="begin"/>
    </w:r>
    <w:r w:rsidRPr="00856BEE">
      <w:rPr>
        <w:rFonts w:cs="Arial"/>
      </w:rPr>
      <w:instrText xml:space="preserve"> DOCPROPERTY "Status" </w:instrText>
    </w:r>
    <w:r w:rsidRPr="00856BEE">
      <w:rPr>
        <w:rFonts w:cs="Arial"/>
      </w:rPr>
      <w:fldChar w:fldCharType="separate"/>
    </w:r>
    <w:r w:rsidR="00EF7DDF" w:rsidRPr="00856BEE">
      <w:rPr>
        <w:rFonts w:cs="Arial"/>
      </w:rPr>
      <w:t xml:space="preserve"> </w:t>
    </w:r>
    <w:r w:rsidRPr="00856BEE">
      <w:rPr>
        <w:rFonts w:cs="Arial"/>
      </w:rPr>
      <w:fldChar w:fldCharType="end"/>
    </w:r>
    <w:r w:rsidRPr="00856BEE">
      <w:rPr>
        <w:rFonts w:cs="Arial"/>
      </w:rPr>
      <w:t>Unauthorised version prepared by ACT Parliamentary Counsel’s Office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AE39" w14:textId="77777777" w:rsidR="00C85D3A" w:rsidRDefault="00C85D3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85D3A" w:rsidRPr="00CB3D59" w14:paraId="711263A3" w14:textId="77777777">
      <w:tc>
        <w:tcPr>
          <w:tcW w:w="1061" w:type="pct"/>
        </w:tcPr>
        <w:p w14:paraId="6C25886A" w14:textId="09E2028D" w:rsidR="00C85D3A" w:rsidRPr="00F02A14" w:rsidRDefault="00C85D3A" w:rsidP="00490644">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EF7DDF">
            <w:rPr>
              <w:rFonts w:cs="Arial"/>
              <w:szCs w:val="18"/>
            </w:rPr>
            <w:t>R10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EF7DDF">
            <w:rPr>
              <w:rFonts w:cs="Arial"/>
              <w:szCs w:val="18"/>
            </w:rPr>
            <w:t>27/09/21</w:t>
          </w:r>
          <w:r w:rsidRPr="00F02A14">
            <w:rPr>
              <w:rFonts w:cs="Arial"/>
              <w:szCs w:val="18"/>
            </w:rPr>
            <w:fldChar w:fldCharType="end"/>
          </w:r>
        </w:p>
      </w:tc>
      <w:tc>
        <w:tcPr>
          <w:tcW w:w="3092" w:type="pct"/>
        </w:tcPr>
        <w:p w14:paraId="76EF2954" w14:textId="218DD35E" w:rsidR="00C85D3A" w:rsidRPr="00F02A14" w:rsidRDefault="00C85D3A" w:rsidP="0049064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F7DDF" w:rsidRPr="00EF7DDF">
            <w:rPr>
              <w:rFonts w:cs="Arial"/>
              <w:szCs w:val="18"/>
            </w:rPr>
            <w:t>Heavy Vehicle National Law</w:t>
          </w:r>
          <w:r w:rsidR="00EF7DDF">
            <w:t xml:space="preserve"> (ACT)</w:t>
          </w:r>
          <w:r>
            <w:rPr>
              <w:rFonts w:cs="Arial"/>
              <w:szCs w:val="18"/>
            </w:rPr>
            <w:fldChar w:fldCharType="end"/>
          </w:r>
        </w:p>
        <w:p w14:paraId="50116371" w14:textId="1540F343" w:rsidR="00C85D3A" w:rsidRPr="00F02A14" w:rsidRDefault="00C85D3A" w:rsidP="0049064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EF7DDF">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EF7DDF">
            <w:rPr>
              <w:rFonts w:cs="Arial"/>
              <w:szCs w:val="18"/>
            </w:rPr>
            <w:t>27/09/21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EF7DDF">
            <w:rPr>
              <w:rFonts w:cs="Arial"/>
              <w:szCs w:val="18"/>
            </w:rPr>
            <w:t>-26/04/22</w:t>
          </w:r>
          <w:r w:rsidRPr="00F02A14">
            <w:rPr>
              <w:rFonts w:cs="Arial"/>
              <w:szCs w:val="18"/>
            </w:rPr>
            <w:fldChar w:fldCharType="end"/>
          </w:r>
        </w:p>
      </w:tc>
      <w:tc>
        <w:tcPr>
          <w:tcW w:w="847" w:type="pct"/>
        </w:tcPr>
        <w:p w14:paraId="4620BD7E" w14:textId="77777777" w:rsidR="00C85D3A" w:rsidRPr="00F02A14" w:rsidRDefault="00C85D3A" w:rsidP="00490644">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69854E63" w14:textId="6DDAC64A" w:rsidR="00C85D3A" w:rsidRPr="00856BEE" w:rsidRDefault="00856BEE" w:rsidP="00856BEE">
    <w:pPr>
      <w:pStyle w:val="Status"/>
      <w:rPr>
        <w:rFonts w:cs="Arial"/>
      </w:rPr>
    </w:pPr>
    <w:r w:rsidRPr="00856BEE">
      <w:rPr>
        <w:rFonts w:cs="Arial"/>
      </w:rPr>
      <w:fldChar w:fldCharType="begin"/>
    </w:r>
    <w:r w:rsidRPr="00856BEE">
      <w:rPr>
        <w:rFonts w:cs="Arial"/>
      </w:rPr>
      <w:instrText xml:space="preserve"> DOCPROPERTY "Status" </w:instrText>
    </w:r>
    <w:r w:rsidRPr="00856BEE">
      <w:rPr>
        <w:rFonts w:cs="Arial"/>
      </w:rPr>
      <w:fldChar w:fldCharType="separate"/>
    </w:r>
    <w:r w:rsidR="00EF7DDF" w:rsidRPr="00856BEE">
      <w:rPr>
        <w:rFonts w:cs="Arial"/>
      </w:rPr>
      <w:t xml:space="preserve"> </w:t>
    </w:r>
    <w:r w:rsidRPr="00856BEE">
      <w:rPr>
        <w:rFonts w:cs="Arial"/>
      </w:rPr>
      <w:fldChar w:fldCharType="end"/>
    </w:r>
    <w:r w:rsidRPr="00856BEE">
      <w:rPr>
        <w:rFonts w:cs="Arial"/>
      </w:rPr>
      <w:t>Unauthorised version prepared by ACT Parliamentary Counsel’s Office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65FF0" w14:textId="77777777" w:rsidR="00C85D3A" w:rsidRDefault="00C85D3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85D3A" w14:paraId="6BC0209F" w14:textId="77777777">
      <w:tc>
        <w:tcPr>
          <w:tcW w:w="847" w:type="pct"/>
        </w:tcPr>
        <w:p w14:paraId="3E1B22E0" w14:textId="77777777" w:rsidR="00C85D3A" w:rsidRDefault="00C85D3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215B70E" w14:textId="56466AE1" w:rsidR="00C85D3A" w:rsidRDefault="00856BEE">
          <w:pPr>
            <w:pStyle w:val="Footer"/>
            <w:jc w:val="center"/>
          </w:pPr>
          <w:r>
            <w:fldChar w:fldCharType="begin"/>
          </w:r>
          <w:r>
            <w:instrText xml:space="preserve"> REF Citation *\charformat </w:instrText>
          </w:r>
          <w:r>
            <w:fldChar w:fldCharType="separate"/>
          </w:r>
          <w:r w:rsidR="00EF7DDF">
            <w:t>Heavy Vehicle National Law (ACT)</w:t>
          </w:r>
          <w:r>
            <w:fldChar w:fldCharType="end"/>
          </w:r>
        </w:p>
        <w:p w14:paraId="061C6490" w14:textId="0309E45B" w:rsidR="00C85D3A" w:rsidRDefault="00856BEE">
          <w:pPr>
            <w:pStyle w:val="FooterInfoCentre"/>
          </w:pPr>
          <w:r>
            <w:fldChar w:fldCharType="begin"/>
          </w:r>
          <w:r>
            <w:instrText xml:space="preserve"> DOCPROPERTY "Eff"  *\charformat </w:instrText>
          </w:r>
          <w:r>
            <w:fldChar w:fldCharType="separate"/>
          </w:r>
          <w:r w:rsidR="00EF7DDF">
            <w:t xml:space="preserve">Effective:  </w:t>
          </w:r>
          <w:r>
            <w:fldChar w:fldCharType="end"/>
          </w:r>
          <w:r>
            <w:fldChar w:fldCharType="begin"/>
          </w:r>
          <w:r>
            <w:instrText xml:space="preserve"> DOCPROPERTY "StartDt"  *\charformat </w:instrText>
          </w:r>
          <w:r>
            <w:fldChar w:fldCharType="separate"/>
          </w:r>
          <w:r w:rsidR="00EF7DDF">
            <w:t>27/09/21</w:t>
          </w:r>
          <w:r>
            <w:fldChar w:fldCharType="end"/>
          </w:r>
          <w:r>
            <w:fldChar w:fldCharType="begin"/>
          </w:r>
          <w:r>
            <w:instrText xml:space="preserve"> DOCPROPERTY "EndDt"  *\charformat </w:instrText>
          </w:r>
          <w:r>
            <w:fldChar w:fldCharType="separate"/>
          </w:r>
          <w:r w:rsidR="00EF7DDF">
            <w:t>-26/04/22</w:t>
          </w:r>
          <w:r>
            <w:fldChar w:fldCharType="end"/>
          </w:r>
        </w:p>
      </w:tc>
      <w:tc>
        <w:tcPr>
          <w:tcW w:w="1061" w:type="pct"/>
        </w:tcPr>
        <w:p w14:paraId="0A4A9EF0" w14:textId="1BD25085" w:rsidR="00C85D3A" w:rsidRDefault="00856BEE">
          <w:pPr>
            <w:pStyle w:val="Footer"/>
            <w:jc w:val="right"/>
          </w:pPr>
          <w:r>
            <w:fldChar w:fldCharType="begin"/>
          </w:r>
          <w:r>
            <w:instrText xml:space="preserve"> DOCPROPERTY "Category"  *\charformat  </w:instrText>
          </w:r>
          <w:r>
            <w:fldChar w:fldCharType="separate"/>
          </w:r>
          <w:r w:rsidR="00EF7DDF">
            <w:t>R10</w:t>
          </w:r>
          <w:r>
            <w:fldChar w:fldCharType="end"/>
          </w:r>
          <w:r w:rsidR="00C85D3A">
            <w:br/>
          </w:r>
          <w:r>
            <w:fldChar w:fldCharType="begin"/>
          </w:r>
          <w:r>
            <w:instrText xml:space="preserve"> DOCPROPERTY "RepubDt"  *\charformat  </w:instrText>
          </w:r>
          <w:r>
            <w:fldChar w:fldCharType="separate"/>
          </w:r>
          <w:r w:rsidR="00EF7DDF">
            <w:t>27/09/21</w:t>
          </w:r>
          <w:r>
            <w:fldChar w:fldCharType="end"/>
          </w:r>
        </w:p>
      </w:tc>
    </w:tr>
  </w:tbl>
  <w:p w14:paraId="44B05FE2" w14:textId="69C60AD7" w:rsidR="00C85D3A" w:rsidRPr="00856BEE" w:rsidRDefault="00856BEE" w:rsidP="00856BEE">
    <w:pPr>
      <w:pStyle w:val="Status"/>
      <w:rPr>
        <w:rFonts w:cs="Arial"/>
      </w:rPr>
    </w:pPr>
    <w:r w:rsidRPr="00856BEE">
      <w:rPr>
        <w:rFonts w:cs="Arial"/>
      </w:rPr>
      <w:fldChar w:fldCharType="begin"/>
    </w:r>
    <w:r w:rsidRPr="00856BEE">
      <w:rPr>
        <w:rFonts w:cs="Arial"/>
      </w:rPr>
      <w:instrText xml:space="preserve"> DOCPROPERTY "Status" </w:instrText>
    </w:r>
    <w:r w:rsidRPr="00856BEE">
      <w:rPr>
        <w:rFonts w:cs="Arial"/>
      </w:rPr>
      <w:fldChar w:fldCharType="separate"/>
    </w:r>
    <w:r w:rsidR="00EF7DDF" w:rsidRPr="00856BEE">
      <w:rPr>
        <w:rFonts w:cs="Arial"/>
      </w:rPr>
      <w:t xml:space="preserve"> </w:t>
    </w:r>
    <w:r w:rsidRPr="00856BEE">
      <w:rPr>
        <w:rFonts w:cs="Arial"/>
      </w:rPr>
      <w:fldChar w:fldCharType="end"/>
    </w:r>
    <w:r w:rsidRPr="00856BEE">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9B67" w14:textId="77777777" w:rsidR="00C85D3A" w:rsidRDefault="00C85D3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85D3A" w14:paraId="78CD38CF" w14:textId="77777777">
      <w:tc>
        <w:tcPr>
          <w:tcW w:w="846" w:type="pct"/>
        </w:tcPr>
        <w:p w14:paraId="4FBD7185" w14:textId="77777777" w:rsidR="00C85D3A" w:rsidRDefault="00C85D3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31B8D083" w14:textId="660DBD73" w:rsidR="00C85D3A" w:rsidRDefault="00856BEE">
          <w:pPr>
            <w:pStyle w:val="Footer"/>
            <w:jc w:val="center"/>
          </w:pPr>
          <w:r>
            <w:fldChar w:fldCharType="begin"/>
          </w:r>
          <w:r>
            <w:instrText xml:space="preserve"> REF Citation *\charformat </w:instrText>
          </w:r>
          <w:r>
            <w:fldChar w:fldCharType="separate"/>
          </w:r>
          <w:r w:rsidR="00EF7DDF">
            <w:t>Heavy Vehicle National Law (ACT)</w:t>
          </w:r>
          <w:r>
            <w:fldChar w:fldCharType="end"/>
          </w:r>
        </w:p>
        <w:p w14:paraId="1A23F939" w14:textId="1B3465E0" w:rsidR="00C85D3A" w:rsidRDefault="00856BEE">
          <w:pPr>
            <w:pStyle w:val="FooterInfoCentre"/>
          </w:pPr>
          <w:r>
            <w:fldChar w:fldCharType="begin"/>
          </w:r>
          <w:r>
            <w:instrText xml:space="preserve"> DOCPROPERTY "Eff"  </w:instrText>
          </w:r>
          <w:r>
            <w:fldChar w:fldCharType="separate"/>
          </w:r>
          <w:r w:rsidR="00EF7DDF">
            <w:t xml:space="preserve">Effective:  </w:t>
          </w:r>
          <w:r>
            <w:fldChar w:fldCharType="end"/>
          </w:r>
          <w:r>
            <w:fldChar w:fldCharType="begin"/>
          </w:r>
          <w:r>
            <w:instrText xml:space="preserve"> DOCPROPERTY "StartDt"   </w:instrText>
          </w:r>
          <w:r>
            <w:fldChar w:fldCharType="separate"/>
          </w:r>
          <w:r w:rsidR="00EF7DDF">
            <w:t>27/09/21</w:t>
          </w:r>
          <w:r>
            <w:fldChar w:fldCharType="end"/>
          </w:r>
          <w:r>
            <w:fldChar w:fldCharType="begin"/>
          </w:r>
          <w:r>
            <w:instrText xml:space="preserve"> DOCPROPERTY "EndDt"  </w:instrText>
          </w:r>
          <w:r>
            <w:fldChar w:fldCharType="separate"/>
          </w:r>
          <w:r w:rsidR="00EF7DDF">
            <w:t>-26/04/22</w:t>
          </w:r>
          <w:r>
            <w:fldChar w:fldCharType="end"/>
          </w:r>
        </w:p>
      </w:tc>
      <w:tc>
        <w:tcPr>
          <w:tcW w:w="1061" w:type="pct"/>
        </w:tcPr>
        <w:p w14:paraId="711CCC0E" w14:textId="3F02CE55" w:rsidR="00C85D3A" w:rsidRDefault="00856BEE">
          <w:pPr>
            <w:pStyle w:val="Footer"/>
            <w:jc w:val="right"/>
          </w:pPr>
          <w:r>
            <w:fldChar w:fldCharType="begin"/>
          </w:r>
          <w:r>
            <w:instrText xml:space="preserve"> DOCPROPERTY "Category"</w:instrText>
          </w:r>
          <w:r>
            <w:instrText xml:space="preserve">  </w:instrText>
          </w:r>
          <w:r>
            <w:fldChar w:fldCharType="separate"/>
          </w:r>
          <w:r w:rsidR="00EF7DDF">
            <w:t>R10</w:t>
          </w:r>
          <w:r>
            <w:fldChar w:fldCharType="end"/>
          </w:r>
          <w:r w:rsidR="00C85D3A">
            <w:br/>
          </w:r>
          <w:r>
            <w:fldChar w:fldCharType="begin"/>
          </w:r>
          <w:r>
            <w:instrText xml:space="preserve"> DOCPROPERTY "RepubDt"  </w:instrText>
          </w:r>
          <w:r>
            <w:fldChar w:fldCharType="separate"/>
          </w:r>
          <w:r w:rsidR="00EF7DDF">
            <w:t>27/09/21</w:t>
          </w:r>
          <w:r>
            <w:fldChar w:fldCharType="end"/>
          </w:r>
        </w:p>
      </w:tc>
    </w:tr>
  </w:tbl>
  <w:p w14:paraId="740943A0" w14:textId="6E4966FF" w:rsidR="00C85D3A" w:rsidRPr="00856BEE" w:rsidRDefault="00856BEE" w:rsidP="00856BEE">
    <w:pPr>
      <w:pStyle w:val="Status"/>
      <w:rPr>
        <w:rFonts w:cs="Arial"/>
      </w:rPr>
    </w:pPr>
    <w:r w:rsidRPr="00856BEE">
      <w:rPr>
        <w:rFonts w:cs="Arial"/>
      </w:rPr>
      <w:fldChar w:fldCharType="begin"/>
    </w:r>
    <w:r w:rsidRPr="00856BEE">
      <w:rPr>
        <w:rFonts w:cs="Arial"/>
      </w:rPr>
      <w:instrText xml:space="preserve"> DOCPROPERTY "Status" </w:instrText>
    </w:r>
    <w:r w:rsidRPr="00856BEE">
      <w:rPr>
        <w:rFonts w:cs="Arial"/>
      </w:rPr>
      <w:fldChar w:fldCharType="separate"/>
    </w:r>
    <w:r w:rsidR="00EF7DDF" w:rsidRPr="00856BEE">
      <w:rPr>
        <w:rFonts w:cs="Arial"/>
      </w:rPr>
      <w:t xml:space="preserve"> </w:t>
    </w:r>
    <w:r w:rsidRPr="00856BEE">
      <w:rPr>
        <w:rFonts w:cs="Arial"/>
      </w:rPr>
      <w:fldChar w:fldCharType="end"/>
    </w:r>
    <w:r w:rsidRPr="00856BEE">
      <w:rPr>
        <w:rFonts w:cs="Arial"/>
      </w:rPr>
      <w:t>Unauthorised version prepared by ACT Parliamentary Counsel’s Office</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F9FA" w14:textId="77777777" w:rsidR="00C85D3A" w:rsidRDefault="00C85D3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85D3A" w14:paraId="64AAF2A2" w14:textId="77777777">
      <w:tc>
        <w:tcPr>
          <w:tcW w:w="1061" w:type="pct"/>
        </w:tcPr>
        <w:p w14:paraId="2B2FEAFA" w14:textId="120C085D" w:rsidR="00C85D3A" w:rsidRDefault="00856BEE">
          <w:pPr>
            <w:pStyle w:val="Footer"/>
          </w:pPr>
          <w:r>
            <w:fldChar w:fldCharType="begin"/>
          </w:r>
          <w:r>
            <w:instrText xml:space="preserve"> DOCPROPERTY "Category"  *\charformat  </w:instrText>
          </w:r>
          <w:r>
            <w:fldChar w:fldCharType="separate"/>
          </w:r>
          <w:r w:rsidR="00EF7DDF">
            <w:t>R10</w:t>
          </w:r>
          <w:r>
            <w:fldChar w:fldCharType="end"/>
          </w:r>
          <w:r w:rsidR="00C85D3A">
            <w:br/>
          </w:r>
          <w:r>
            <w:fldChar w:fldCharType="begin"/>
          </w:r>
          <w:r>
            <w:instrText xml:space="preserve"> DOCPROPERTY "RepubDt"  *\charformat  </w:instrText>
          </w:r>
          <w:r>
            <w:fldChar w:fldCharType="separate"/>
          </w:r>
          <w:r w:rsidR="00EF7DDF">
            <w:t>27/09/21</w:t>
          </w:r>
          <w:r>
            <w:fldChar w:fldCharType="end"/>
          </w:r>
        </w:p>
      </w:tc>
      <w:tc>
        <w:tcPr>
          <w:tcW w:w="3092" w:type="pct"/>
        </w:tcPr>
        <w:p w14:paraId="685635BC" w14:textId="4CC350E3" w:rsidR="00C85D3A" w:rsidRDefault="00856BEE">
          <w:pPr>
            <w:pStyle w:val="Footer"/>
            <w:jc w:val="center"/>
          </w:pPr>
          <w:r>
            <w:fldChar w:fldCharType="begin"/>
          </w:r>
          <w:r>
            <w:instrText xml:space="preserve"> REF Citation *\charformat </w:instrText>
          </w:r>
          <w:r>
            <w:fldChar w:fldCharType="separate"/>
          </w:r>
          <w:r w:rsidR="00EF7DDF">
            <w:t>Heavy Vehicle National Law (ACT)</w:t>
          </w:r>
          <w:r>
            <w:fldChar w:fldCharType="end"/>
          </w:r>
        </w:p>
        <w:p w14:paraId="4E5860FC" w14:textId="2B5C8B46" w:rsidR="00C85D3A" w:rsidRDefault="00856BEE">
          <w:pPr>
            <w:pStyle w:val="FooterInfoCentre"/>
          </w:pPr>
          <w:r>
            <w:fldChar w:fldCharType="begin"/>
          </w:r>
          <w:r>
            <w:instrText xml:space="preserve"> DOCPROPERTY "Eff"  *\charformat </w:instrText>
          </w:r>
          <w:r>
            <w:fldChar w:fldCharType="separate"/>
          </w:r>
          <w:r w:rsidR="00EF7DDF">
            <w:t xml:space="preserve">Effective:  </w:t>
          </w:r>
          <w:r>
            <w:fldChar w:fldCharType="end"/>
          </w:r>
          <w:r>
            <w:fldChar w:fldCharType="begin"/>
          </w:r>
          <w:r>
            <w:instrText xml:space="preserve"> DOCPROPERTY "StartDt"  *\charformat </w:instrText>
          </w:r>
          <w:r>
            <w:fldChar w:fldCharType="separate"/>
          </w:r>
          <w:r w:rsidR="00EF7DDF">
            <w:t>27/09/21</w:t>
          </w:r>
          <w:r>
            <w:fldChar w:fldCharType="end"/>
          </w:r>
          <w:r>
            <w:fldChar w:fldCharType="begin"/>
          </w:r>
          <w:r>
            <w:instrText xml:space="preserve"> DOCPROPERTY "EndDt"  *\charformat </w:instrText>
          </w:r>
          <w:r>
            <w:fldChar w:fldCharType="separate"/>
          </w:r>
          <w:r w:rsidR="00EF7DDF">
            <w:t>-26/04/22</w:t>
          </w:r>
          <w:r>
            <w:fldChar w:fldCharType="end"/>
          </w:r>
        </w:p>
      </w:tc>
      <w:tc>
        <w:tcPr>
          <w:tcW w:w="847" w:type="pct"/>
        </w:tcPr>
        <w:p w14:paraId="2F8D8EC5" w14:textId="77777777" w:rsidR="00C85D3A" w:rsidRDefault="00C85D3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0D2B0D3E" w14:textId="04FFF0D0" w:rsidR="00C85D3A" w:rsidRPr="00856BEE" w:rsidRDefault="00856BEE" w:rsidP="00856BEE">
    <w:pPr>
      <w:pStyle w:val="Status"/>
      <w:rPr>
        <w:rFonts w:cs="Arial"/>
      </w:rPr>
    </w:pPr>
    <w:r w:rsidRPr="00856BEE">
      <w:rPr>
        <w:rFonts w:cs="Arial"/>
      </w:rPr>
      <w:fldChar w:fldCharType="begin"/>
    </w:r>
    <w:r w:rsidRPr="00856BEE">
      <w:rPr>
        <w:rFonts w:cs="Arial"/>
      </w:rPr>
      <w:instrText xml:space="preserve"> DOCPROPERTY "Status" </w:instrText>
    </w:r>
    <w:r w:rsidRPr="00856BEE">
      <w:rPr>
        <w:rFonts w:cs="Arial"/>
      </w:rPr>
      <w:fldChar w:fldCharType="separate"/>
    </w:r>
    <w:r w:rsidR="00EF7DDF" w:rsidRPr="00856BEE">
      <w:rPr>
        <w:rFonts w:cs="Arial"/>
      </w:rPr>
      <w:t xml:space="preserve"> </w:t>
    </w:r>
    <w:r w:rsidRPr="00856BEE">
      <w:rPr>
        <w:rFonts w:cs="Arial"/>
      </w:rPr>
      <w:fldChar w:fldCharType="end"/>
    </w:r>
    <w:r w:rsidRPr="00856BEE">
      <w:rPr>
        <w:rFonts w:cs="Arial"/>
      </w:rPr>
      <w:t>Unauthorised version prepared by ACT Parliamentary Counsel’s Office</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6BA5" w14:textId="4757CB84" w:rsidR="00C85D3A" w:rsidRPr="00856BEE" w:rsidRDefault="00856BEE" w:rsidP="00856BEE">
    <w:pPr>
      <w:pStyle w:val="Footer"/>
      <w:jc w:val="center"/>
      <w:rPr>
        <w:rFonts w:cs="Arial"/>
        <w:sz w:val="14"/>
      </w:rPr>
    </w:pPr>
    <w:r w:rsidRPr="00856BEE">
      <w:rPr>
        <w:rFonts w:cs="Arial"/>
        <w:sz w:val="14"/>
      </w:rPr>
      <w:t>Unauthorised version prepared by ACT Parliamentary Counsel’s Office</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B616" w14:textId="667F93D9" w:rsidR="00C85D3A" w:rsidRPr="00856BEE" w:rsidRDefault="00C85D3A" w:rsidP="00856BEE">
    <w:pPr>
      <w:pStyle w:val="Footer"/>
      <w:jc w:val="center"/>
      <w:rPr>
        <w:rFonts w:cs="Arial"/>
        <w:sz w:val="14"/>
      </w:rPr>
    </w:pPr>
    <w:r w:rsidRPr="00856BEE">
      <w:rPr>
        <w:rFonts w:cs="Arial"/>
        <w:sz w:val="14"/>
      </w:rPr>
      <w:fldChar w:fldCharType="begin"/>
    </w:r>
    <w:r w:rsidRPr="00856BEE">
      <w:rPr>
        <w:rFonts w:cs="Arial"/>
        <w:sz w:val="14"/>
      </w:rPr>
      <w:instrText xml:space="preserve"> COMMENTS  \* MERGEFORMAT </w:instrText>
    </w:r>
    <w:r w:rsidRPr="00856BEE">
      <w:rPr>
        <w:rFonts w:cs="Arial"/>
        <w:sz w:val="14"/>
      </w:rPr>
      <w:fldChar w:fldCharType="end"/>
    </w:r>
    <w:r w:rsidR="00856BEE" w:rsidRPr="00856BEE">
      <w:rPr>
        <w:rFonts w:cs="Arial"/>
        <w:sz w:val="14"/>
      </w:rPr>
      <w:t>Unauthorised version prepared by ACT Parliamentary Counsel’s Office</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31EB" w14:textId="6D9ACB8B" w:rsidR="00C85D3A" w:rsidRPr="00856BEE" w:rsidRDefault="00856BEE" w:rsidP="00856BEE">
    <w:pPr>
      <w:pStyle w:val="Footer"/>
      <w:jc w:val="center"/>
      <w:rPr>
        <w:rFonts w:cs="Arial"/>
        <w:sz w:val="14"/>
      </w:rPr>
    </w:pPr>
    <w:r w:rsidRPr="00856BEE">
      <w:rPr>
        <w:rFonts w:cs="Arial"/>
        <w:sz w:val="14"/>
      </w:rPr>
      <w:t>Unauthorised version prepared by ACT Parliamentary Counsel’s Office</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9461" w14:textId="77777777" w:rsidR="00C85D3A" w:rsidRDefault="00C85D3A">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C85D3A" w14:paraId="587FAAF9" w14:textId="77777777">
      <w:tc>
        <w:tcPr>
          <w:tcW w:w="846" w:type="pct"/>
          <w:tcBorders>
            <w:top w:val="single" w:sz="4" w:space="0" w:color="auto"/>
          </w:tcBorders>
        </w:tcPr>
        <w:p w14:paraId="44F919AA" w14:textId="77777777" w:rsidR="00C85D3A" w:rsidRDefault="00C85D3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764</w:t>
          </w:r>
          <w:r>
            <w:rPr>
              <w:rStyle w:val="PageNumber"/>
            </w:rPr>
            <w:fldChar w:fldCharType="end"/>
          </w:r>
        </w:p>
      </w:tc>
      <w:tc>
        <w:tcPr>
          <w:tcW w:w="3093" w:type="pct"/>
          <w:tcBorders>
            <w:top w:val="single" w:sz="4" w:space="0" w:color="auto"/>
          </w:tcBorders>
        </w:tcPr>
        <w:p w14:paraId="235A7317" w14:textId="09ECA65C" w:rsidR="00C85D3A" w:rsidRDefault="00856BEE">
          <w:pPr>
            <w:pStyle w:val="Footer"/>
            <w:jc w:val="center"/>
          </w:pPr>
          <w:r>
            <w:fldChar w:fldCharType="begin"/>
          </w:r>
          <w:r>
            <w:instrText xml:space="preserve"> REF Citation *\charformat </w:instrText>
          </w:r>
          <w:r>
            <w:fldChar w:fldCharType="separate"/>
          </w:r>
          <w:r w:rsidR="00EF7DDF">
            <w:t>Heavy Vehicle National Law (ACT)</w:t>
          </w:r>
          <w:r>
            <w:fldChar w:fldCharType="end"/>
          </w:r>
        </w:p>
        <w:p w14:paraId="5FFDF526" w14:textId="17FE1D09" w:rsidR="00C85D3A" w:rsidRDefault="00856BEE">
          <w:pPr>
            <w:pStyle w:val="FooterInfoCentre"/>
          </w:pPr>
          <w:r>
            <w:fldChar w:fldCharType="begin"/>
          </w:r>
          <w:r>
            <w:instrText xml:space="preserve"> DOCPROPERTY "Eff"  </w:instrText>
          </w:r>
          <w:r>
            <w:fldChar w:fldCharType="separate"/>
          </w:r>
          <w:r w:rsidR="00EF7DDF">
            <w:t xml:space="preserve">Effective:  </w:t>
          </w:r>
          <w:r>
            <w:fldChar w:fldCharType="end"/>
          </w:r>
          <w:r>
            <w:fldChar w:fldCharType="begin"/>
          </w:r>
          <w:r>
            <w:instrText xml:space="preserve"> DOCPROPERTY "StartDt"   </w:instrText>
          </w:r>
          <w:r>
            <w:fldChar w:fldCharType="separate"/>
          </w:r>
          <w:r w:rsidR="00EF7DDF">
            <w:t>27/09/21</w:t>
          </w:r>
          <w:r>
            <w:fldChar w:fldCharType="end"/>
          </w:r>
          <w:r>
            <w:fldChar w:fldCharType="begin"/>
          </w:r>
          <w:r>
            <w:instrText xml:space="preserve"> DOCPROPERTY "EndD</w:instrText>
          </w:r>
          <w:r>
            <w:instrText xml:space="preserve">t"  </w:instrText>
          </w:r>
          <w:r>
            <w:fldChar w:fldCharType="separate"/>
          </w:r>
          <w:r w:rsidR="00EF7DDF">
            <w:t>-26/04/22</w:t>
          </w:r>
          <w:r>
            <w:fldChar w:fldCharType="end"/>
          </w:r>
        </w:p>
      </w:tc>
      <w:tc>
        <w:tcPr>
          <w:tcW w:w="1061" w:type="pct"/>
          <w:tcBorders>
            <w:top w:val="single" w:sz="4" w:space="0" w:color="auto"/>
          </w:tcBorders>
        </w:tcPr>
        <w:p w14:paraId="2CB28AB2" w14:textId="0C06246D" w:rsidR="00C85D3A" w:rsidRDefault="00856BEE">
          <w:pPr>
            <w:pStyle w:val="Footer"/>
            <w:jc w:val="right"/>
          </w:pPr>
          <w:r>
            <w:fldChar w:fldCharType="begin"/>
          </w:r>
          <w:r>
            <w:instrText xml:space="preserve"> DOCPROPERTY "Category"  </w:instrText>
          </w:r>
          <w:r>
            <w:fldChar w:fldCharType="separate"/>
          </w:r>
          <w:r w:rsidR="00EF7DDF">
            <w:t>R10</w:t>
          </w:r>
          <w:r>
            <w:fldChar w:fldCharType="end"/>
          </w:r>
          <w:r w:rsidR="00C85D3A">
            <w:br/>
          </w:r>
          <w:r>
            <w:fldChar w:fldCharType="begin"/>
          </w:r>
          <w:r>
            <w:instrText xml:space="preserve"> DOCPROPERTY "RepubDt"  </w:instrText>
          </w:r>
          <w:r>
            <w:fldChar w:fldCharType="separate"/>
          </w:r>
          <w:r w:rsidR="00EF7DDF">
            <w:t>27/09/21</w:t>
          </w:r>
          <w:r>
            <w:fldChar w:fldCharType="end"/>
          </w:r>
        </w:p>
      </w:tc>
    </w:tr>
  </w:tbl>
  <w:p w14:paraId="34CF0A45" w14:textId="4B56E7C6" w:rsidR="00C85D3A" w:rsidRPr="00856BEE" w:rsidRDefault="00856BEE" w:rsidP="00856BEE">
    <w:pPr>
      <w:pStyle w:val="Status"/>
      <w:rPr>
        <w:rFonts w:cs="Arial"/>
      </w:rPr>
    </w:pPr>
    <w:r w:rsidRPr="00856BEE">
      <w:rPr>
        <w:rFonts w:cs="Arial"/>
      </w:rPr>
      <w:fldChar w:fldCharType="begin"/>
    </w:r>
    <w:r w:rsidRPr="00856BEE">
      <w:rPr>
        <w:rFonts w:cs="Arial"/>
      </w:rPr>
      <w:instrText xml:space="preserve"> DOCPROPERTY "Status" </w:instrText>
    </w:r>
    <w:r w:rsidRPr="00856BEE">
      <w:rPr>
        <w:rFonts w:cs="Arial"/>
      </w:rPr>
      <w:fldChar w:fldCharType="separate"/>
    </w:r>
    <w:r w:rsidR="00EF7DDF" w:rsidRPr="00856BEE">
      <w:rPr>
        <w:rFonts w:cs="Arial"/>
      </w:rPr>
      <w:t xml:space="preserve"> </w:t>
    </w:r>
    <w:r w:rsidRPr="00856BEE">
      <w:rPr>
        <w:rFonts w:cs="Arial"/>
      </w:rPr>
      <w:fldChar w:fldCharType="end"/>
    </w:r>
    <w:r w:rsidRPr="00856BEE">
      <w:rPr>
        <w:rFonts w:cs="Arial"/>
      </w:rPr>
      <w:t>Unauthorised version prepared by ACT Parliamentary Counsel’s Office</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A4D0" w14:textId="77777777" w:rsidR="00C85D3A" w:rsidRDefault="00C85D3A">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C85D3A" w14:paraId="260C7112" w14:textId="77777777">
      <w:tc>
        <w:tcPr>
          <w:tcW w:w="1061" w:type="pct"/>
          <w:tcBorders>
            <w:top w:val="single" w:sz="4" w:space="0" w:color="auto"/>
          </w:tcBorders>
        </w:tcPr>
        <w:p w14:paraId="00B48A32" w14:textId="41FBA020" w:rsidR="00C85D3A" w:rsidRDefault="00856BEE">
          <w:pPr>
            <w:pStyle w:val="Footer"/>
          </w:pPr>
          <w:r>
            <w:fldChar w:fldCharType="begin"/>
          </w:r>
          <w:r>
            <w:instrText xml:space="preserve"> DOCPROPERTY "Category"  </w:instrText>
          </w:r>
          <w:r>
            <w:fldChar w:fldCharType="separate"/>
          </w:r>
          <w:r w:rsidR="00EF7DDF">
            <w:t>R10</w:t>
          </w:r>
          <w:r>
            <w:fldChar w:fldCharType="end"/>
          </w:r>
          <w:r w:rsidR="00C85D3A">
            <w:br/>
          </w:r>
          <w:r>
            <w:fldChar w:fldCharType="begin"/>
          </w:r>
          <w:r>
            <w:instrText xml:space="preserve"> DOCPROPERTY "RepubDt"  </w:instrText>
          </w:r>
          <w:r>
            <w:fldChar w:fldCharType="separate"/>
          </w:r>
          <w:r w:rsidR="00EF7DDF">
            <w:t>27/09/21</w:t>
          </w:r>
          <w:r>
            <w:fldChar w:fldCharType="end"/>
          </w:r>
        </w:p>
      </w:tc>
      <w:tc>
        <w:tcPr>
          <w:tcW w:w="3093" w:type="pct"/>
          <w:tcBorders>
            <w:top w:val="single" w:sz="4" w:space="0" w:color="auto"/>
          </w:tcBorders>
        </w:tcPr>
        <w:p w14:paraId="29265058" w14:textId="018222F2" w:rsidR="00C85D3A" w:rsidRDefault="00856BEE">
          <w:pPr>
            <w:pStyle w:val="Footer"/>
            <w:jc w:val="center"/>
          </w:pPr>
          <w:r>
            <w:fldChar w:fldCharType="begin"/>
          </w:r>
          <w:r>
            <w:instrText xml:space="preserve"> REF Citation *\charformat </w:instrText>
          </w:r>
          <w:r>
            <w:fldChar w:fldCharType="separate"/>
          </w:r>
          <w:r w:rsidR="00EF7DDF">
            <w:t>Heavy Vehicle National Law (ACT)</w:t>
          </w:r>
          <w:r>
            <w:fldChar w:fldCharType="end"/>
          </w:r>
        </w:p>
        <w:p w14:paraId="3DE511F1" w14:textId="114FE066" w:rsidR="00C85D3A" w:rsidRDefault="00856BEE">
          <w:pPr>
            <w:pStyle w:val="FooterInfoCentre"/>
          </w:pPr>
          <w:r>
            <w:fldChar w:fldCharType="begin"/>
          </w:r>
          <w:r>
            <w:instrText xml:space="preserve"> DOCPROPERTY "Eff"  </w:instrText>
          </w:r>
          <w:r>
            <w:fldChar w:fldCharType="separate"/>
          </w:r>
          <w:r w:rsidR="00EF7DDF">
            <w:t xml:space="preserve">Effective:  </w:t>
          </w:r>
          <w:r>
            <w:fldChar w:fldCharType="end"/>
          </w:r>
          <w:r>
            <w:fldChar w:fldCharType="begin"/>
          </w:r>
          <w:r>
            <w:instrText xml:space="preserve"> DOCPROPERTY "StartDt"  </w:instrText>
          </w:r>
          <w:r>
            <w:fldChar w:fldCharType="separate"/>
          </w:r>
          <w:r w:rsidR="00EF7DDF">
            <w:t>27/09/21</w:t>
          </w:r>
          <w:r>
            <w:fldChar w:fldCharType="end"/>
          </w:r>
          <w:r>
            <w:fldChar w:fldCharType="begin"/>
          </w:r>
          <w:r>
            <w:instrText xml:space="preserve"> DOCPROPERTY "EndDt"  </w:instrText>
          </w:r>
          <w:r>
            <w:fldChar w:fldCharType="separate"/>
          </w:r>
          <w:r w:rsidR="00EF7DDF">
            <w:t>-26/04/22</w:t>
          </w:r>
          <w:r>
            <w:fldChar w:fldCharType="end"/>
          </w:r>
        </w:p>
      </w:tc>
      <w:tc>
        <w:tcPr>
          <w:tcW w:w="846" w:type="pct"/>
          <w:tcBorders>
            <w:top w:val="single" w:sz="4" w:space="0" w:color="auto"/>
          </w:tcBorders>
        </w:tcPr>
        <w:p w14:paraId="17EE24F4" w14:textId="77777777" w:rsidR="00C85D3A" w:rsidRDefault="00C85D3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764</w:t>
          </w:r>
          <w:r>
            <w:rPr>
              <w:rStyle w:val="PageNumber"/>
            </w:rPr>
            <w:fldChar w:fldCharType="end"/>
          </w:r>
        </w:p>
      </w:tc>
    </w:tr>
  </w:tbl>
  <w:p w14:paraId="465A7D81" w14:textId="17770065" w:rsidR="00C85D3A" w:rsidRPr="00856BEE" w:rsidRDefault="00856BEE" w:rsidP="00856BEE">
    <w:pPr>
      <w:pStyle w:val="Status"/>
      <w:rPr>
        <w:rFonts w:cs="Arial"/>
      </w:rPr>
    </w:pPr>
    <w:r w:rsidRPr="00856BEE">
      <w:rPr>
        <w:rFonts w:cs="Arial"/>
      </w:rPr>
      <w:fldChar w:fldCharType="begin"/>
    </w:r>
    <w:r w:rsidRPr="00856BEE">
      <w:rPr>
        <w:rFonts w:cs="Arial"/>
      </w:rPr>
      <w:instrText xml:space="preserve"> DOCPROPERTY "Status" </w:instrText>
    </w:r>
    <w:r w:rsidRPr="00856BEE">
      <w:rPr>
        <w:rFonts w:cs="Arial"/>
      </w:rPr>
      <w:fldChar w:fldCharType="separate"/>
    </w:r>
    <w:r w:rsidR="00EF7DDF" w:rsidRPr="00856BEE">
      <w:rPr>
        <w:rFonts w:cs="Arial"/>
      </w:rPr>
      <w:t xml:space="preserve"> </w:t>
    </w:r>
    <w:r w:rsidRPr="00856BEE">
      <w:rPr>
        <w:rFonts w:cs="Arial"/>
      </w:rPr>
      <w:fldChar w:fldCharType="end"/>
    </w:r>
    <w:r w:rsidRPr="00856BEE">
      <w:rPr>
        <w:rFonts w:cs="Arial"/>
      </w:rPr>
      <w:t>Unauthorised version prepared by ACT Parliamentary Counsel’s Office</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B7B6" w14:textId="77777777" w:rsidR="00C85D3A" w:rsidRDefault="00C85D3A">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C85D3A" w14:paraId="3B6C69F8" w14:textId="77777777">
      <w:tc>
        <w:tcPr>
          <w:tcW w:w="1061" w:type="pct"/>
          <w:tcBorders>
            <w:top w:val="single" w:sz="4" w:space="0" w:color="auto"/>
          </w:tcBorders>
        </w:tcPr>
        <w:p w14:paraId="29D47711" w14:textId="37C204B9" w:rsidR="00C85D3A" w:rsidRDefault="00856BEE">
          <w:pPr>
            <w:pStyle w:val="Footer"/>
          </w:pPr>
          <w:r>
            <w:fldChar w:fldCharType="begin"/>
          </w:r>
          <w:r>
            <w:instrText xml:space="preserve"> DOCPROPERTY "Category"  </w:instrText>
          </w:r>
          <w:r>
            <w:fldChar w:fldCharType="separate"/>
          </w:r>
          <w:r w:rsidR="00EF7DDF">
            <w:t>R10</w:t>
          </w:r>
          <w:r>
            <w:fldChar w:fldCharType="end"/>
          </w:r>
          <w:r w:rsidR="00C85D3A">
            <w:br/>
          </w:r>
          <w:r>
            <w:fldChar w:fldCharType="begin"/>
          </w:r>
          <w:r>
            <w:instrText xml:space="preserve"> DOCPROPERTY "RepubDt"  </w:instrText>
          </w:r>
          <w:r>
            <w:fldChar w:fldCharType="separate"/>
          </w:r>
          <w:r w:rsidR="00EF7DDF">
            <w:t>27/09/21</w:t>
          </w:r>
          <w:r>
            <w:fldChar w:fldCharType="end"/>
          </w:r>
        </w:p>
      </w:tc>
      <w:tc>
        <w:tcPr>
          <w:tcW w:w="3093" w:type="pct"/>
          <w:tcBorders>
            <w:top w:val="single" w:sz="4" w:space="0" w:color="auto"/>
          </w:tcBorders>
        </w:tcPr>
        <w:p w14:paraId="56E8989F" w14:textId="43ABDC09" w:rsidR="00C85D3A" w:rsidRDefault="00856BEE">
          <w:pPr>
            <w:pStyle w:val="Footer"/>
            <w:jc w:val="center"/>
          </w:pPr>
          <w:r>
            <w:fldChar w:fldCharType="begin"/>
          </w:r>
          <w:r>
            <w:instrText xml:space="preserve"> REF Citation *\charformat </w:instrText>
          </w:r>
          <w:r>
            <w:fldChar w:fldCharType="separate"/>
          </w:r>
          <w:r w:rsidR="00EF7DDF">
            <w:t>Heavy Vehicle National Law (ACT)</w:t>
          </w:r>
          <w:r>
            <w:fldChar w:fldCharType="end"/>
          </w:r>
        </w:p>
        <w:p w14:paraId="3433F69C" w14:textId="4F6573D1" w:rsidR="00C85D3A" w:rsidRDefault="00856BEE">
          <w:pPr>
            <w:pStyle w:val="FooterInfoCentre"/>
          </w:pPr>
          <w:r>
            <w:fldChar w:fldCharType="begin"/>
          </w:r>
          <w:r>
            <w:instrText xml:space="preserve"> DOCPROPERTY "Eff"  </w:instrText>
          </w:r>
          <w:r>
            <w:fldChar w:fldCharType="separate"/>
          </w:r>
          <w:r w:rsidR="00EF7DDF">
            <w:t xml:space="preserve">Effective:  </w:t>
          </w:r>
          <w:r>
            <w:fldChar w:fldCharType="end"/>
          </w:r>
          <w:r>
            <w:fldChar w:fldCharType="begin"/>
          </w:r>
          <w:r>
            <w:instrText xml:space="preserve"> DOCPROPERTY "StartDt"   </w:instrText>
          </w:r>
          <w:r>
            <w:fldChar w:fldCharType="separate"/>
          </w:r>
          <w:r w:rsidR="00EF7DDF">
            <w:t>27/09/21</w:t>
          </w:r>
          <w:r>
            <w:fldChar w:fldCharType="end"/>
          </w:r>
          <w:r>
            <w:fldChar w:fldCharType="begin"/>
          </w:r>
          <w:r>
            <w:instrText xml:space="preserve"> DOCPROPERTY "EndDt"  </w:instrText>
          </w:r>
          <w:r>
            <w:fldChar w:fldCharType="separate"/>
          </w:r>
          <w:r w:rsidR="00EF7DDF">
            <w:t>-26/04/22</w:t>
          </w:r>
          <w:r>
            <w:fldChar w:fldCharType="end"/>
          </w:r>
        </w:p>
      </w:tc>
      <w:tc>
        <w:tcPr>
          <w:tcW w:w="846" w:type="pct"/>
          <w:tcBorders>
            <w:top w:val="single" w:sz="4" w:space="0" w:color="auto"/>
          </w:tcBorders>
        </w:tcPr>
        <w:p w14:paraId="48889943" w14:textId="77777777" w:rsidR="00C85D3A" w:rsidRDefault="00C85D3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764</w:t>
          </w:r>
          <w:r>
            <w:rPr>
              <w:rStyle w:val="PageNumber"/>
            </w:rPr>
            <w:fldChar w:fldCharType="end"/>
          </w:r>
        </w:p>
      </w:tc>
    </w:tr>
  </w:tbl>
  <w:p w14:paraId="492A25A3" w14:textId="0E275F12" w:rsidR="00C85D3A" w:rsidRPr="00856BEE" w:rsidRDefault="00856BEE" w:rsidP="00856BEE">
    <w:pPr>
      <w:pStyle w:val="Status"/>
      <w:rPr>
        <w:rFonts w:cs="Arial"/>
      </w:rPr>
    </w:pPr>
    <w:r w:rsidRPr="00856BEE">
      <w:rPr>
        <w:rFonts w:cs="Arial"/>
      </w:rPr>
      <w:fldChar w:fldCharType="begin"/>
    </w:r>
    <w:r w:rsidRPr="00856BEE">
      <w:rPr>
        <w:rFonts w:cs="Arial"/>
      </w:rPr>
      <w:instrText xml:space="preserve"> DOCPROPERTY "Status" </w:instrText>
    </w:r>
    <w:r w:rsidRPr="00856BEE">
      <w:rPr>
        <w:rFonts w:cs="Arial"/>
      </w:rPr>
      <w:fldChar w:fldCharType="separate"/>
    </w:r>
    <w:r w:rsidR="00EF7DDF" w:rsidRPr="00856BEE">
      <w:rPr>
        <w:rFonts w:cs="Arial"/>
      </w:rPr>
      <w:t xml:space="preserve"> </w:t>
    </w:r>
    <w:r w:rsidRPr="00856BEE">
      <w:rPr>
        <w:rFonts w:cs="Arial"/>
      </w:rPr>
      <w:fldChar w:fldCharType="end"/>
    </w:r>
    <w:r w:rsidRPr="00856BE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1834D" w14:textId="77777777" w:rsidR="00C85D3A" w:rsidRDefault="00C85D3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85D3A" w14:paraId="5B72455E" w14:textId="77777777">
      <w:tc>
        <w:tcPr>
          <w:tcW w:w="1061" w:type="pct"/>
        </w:tcPr>
        <w:p w14:paraId="3AF70A9F" w14:textId="36495DE9" w:rsidR="00C85D3A" w:rsidRDefault="00856BEE">
          <w:pPr>
            <w:pStyle w:val="Footer"/>
          </w:pPr>
          <w:r>
            <w:fldChar w:fldCharType="begin"/>
          </w:r>
          <w:r>
            <w:instrText xml:space="preserve"> DOCPROPERTY "Category"  </w:instrText>
          </w:r>
          <w:r>
            <w:fldChar w:fldCharType="separate"/>
          </w:r>
          <w:r w:rsidR="00EF7DDF">
            <w:t>R10</w:t>
          </w:r>
          <w:r>
            <w:fldChar w:fldCharType="end"/>
          </w:r>
          <w:r w:rsidR="00C85D3A">
            <w:br/>
          </w:r>
          <w:r>
            <w:fldChar w:fldCharType="begin"/>
          </w:r>
          <w:r>
            <w:instrText xml:space="preserve"> DOCPROPERTY "RepubDt"  </w:instrText>
          </w:r>
          <w:r>
            <w:fldChar w:fldCharType="separate"/>
          </w:r>
          <w:r w:rsidR="00EF7DDF">
            <w:t>27/09/21</w:t>
          </w:r>
          <w:r>
            <w:fldChar w:fldCharType="end"/>
          </w:r>
        </w:p>
      </w:tc>
      <w:tc>
        <w:tcPr>
          <w:tcW w:w="3093" w:type="pct"/>
        </w:tcPr>
        <w:p w14:paraId="325F53F3" w14:textId="5BBB0EC8" w:rsidR="00C85D3A" w:rsidRDefault="00856BEE">
          <w:pPr>
            <w:pStyle w:val="Footer"/>
            <w:jc w:val="center"/>
          </w:pPr>
          <w:r>
            <w:fldChar w:fldCharType="begin"/>
          </w:r>
          <w:r>
            <w:instrText xml:space="preserve"> REF Citation *\charformat </w:instrText>
          </w:r>
          <w:r>
            <w:fldChar w:fldCharType="separate"/>
          </w:r>
          <w:r w:rsidR="00EF7DDF">
            <w:t>Heavy Vehicle National Law (ACT)</w:t>
          </w:r>
          <w:r>
            <w:fldChar w:fldCharType="end"/>
          </w:r>
        </w:p>
        <w:p w14:paraId="0E24511F" w14:textId="0DEA917C" w:rsidR="00C85D3A" w:rsidRDefault="00856BEE">
          <w:pPr>
            <w:pStyle w:val="FooterInfoCentre"/>
          </w:pPr>
          <w:r>
            <w:fldChar w:fldCharType="begin"/>
          </w:r>
          <w:r>
            <w:instrText xml:space="preserve"> DOCPROPERTY "Eff"  </w:instrText>
          </w:r>
          <w:r>
            <w:fldChar w:fldCharType="separate"/>
          </w:r>
          <w:r w:rsidR="00EF7DDF">
            <w:t xml:space="preserve">Effective:  </w:t>
          </w:r>
          <w:r>
            <w:fldChar w:fldCharType="end"/>
          </w:r>
          <w:r>
            <w:fldChar w:fldCharType="begin"/>
          </w:r>
          <w:r>
            <w:instrText xml:space="preserve"> DOCPROPERTY "StartDt"  </w:instrText>
          </w:r>
          <w:r>
            <w:fldChar w:fldCharType="separate"/>
          </w:r>
          <w:r w:rsidR="00EF7DDF">
            <w:t>27/09/21</w:t>
          </w:r>
          <w:r>
            <w:fldChar w:fldCharType="end"/>
          </w:r>
          <w:r>
            <w:fldChar w:fldCharType="begin"/>
          </w:r>
          <w:r>
            <w:instrText xml:space="preserve"> DOCPROPERTY "EndDt"  </w:instrText>
          </w:r>
          <w:r>
            <w:fldChar w:fldCharType="separate"/>
          </w:r>
          <w:r w:rsidR="00EF7DDF">
            <w:t>-26/04/22</w:t>
          </w:r>
          <w:r>
            <w:fldChar w:fldCharType="end"/>
          </w:r>
        </w:p>
      </w:tc>
      <w:tc>
        <w:tcPr>
          <w:tcW w:w="846" w:type="pct"/>
        </w:tcPr>
        <w:p w14:paraId="2248BC73" w14:textId="77777777" w:rsidR="00C85D3A" w:rsidRDefault="00C85D3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9DC0CD3" w14:textId="5F80E120" w:rsidR="00C85D3A" w:rsidRPr="00856BEE" w:rsidRDefault="00856BEE" w:rsidP="00856BEE">
    <w:pPr>
      <w:pStyle w:val="Status"/>
      <w:rPr>
        <w:rFonts w:cs="Arial"/>
      </w:rPr>
    </w:pPr>
    <w:r w:rsidRPr="00856BEE">
      <w:rPr>
        <w:rFonts w:cs="Arial"/>
      </w:rPr>
      <w:fldChar w:fldCharType="begin"/>
    </w:r>
    <w:r w:rsidRPr="00856BEE">
      <w:rPr>
        <w:rFonts w:cs="Arial"/>
      </w:rPr>
      <w:instrText xml:space="preserve"> DOCPROPERTY "Status" </w:instrText>
    </w:r>
    <w:r w:rsidRPr="00856BEE">
      <w:rPr>
        <w:rFonts w:cs="Arial"/>
      </w:rPr>
      <w:fldChar w:fldCharType="separate"/>
    </w:r>
    <w:r w:rsidR="00EF7DDF" w:rsidRPr="00856BEE">
      <w:rPr>
        <w:rFonts w:cs="Arial"/>
      </w:rPr>
      <w:t xml:space="preserve"> </w:t>
    </w:r>
    <w:r w:rsidRPr="00856BEE">
      <w:rPr>
        <w:rFonts w:cs="Arial"/>
      </w:rPr>
      <w:fldChar w:fldCharType="end"/>
    </w:r>
    <w:r w:rsidRPr="00856BE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773D" w14:textId="77777777" w:rsidR="00C85D3A" w:rsidRDefault="00C85D3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85D3A" w14:paraId="2B0FAF6B" w14:textId="77777777">
      <w:tc>
        <w:tcPr>
          <w:tcW w:w="1061" w:type="pct"/>
        </w:tcPr>
        <w:p w14:paraId="5DDF6894" w14:textId="0A450E1D" w:rsidR="00C85D3A" w:rsidRDefault="00856BEE">
          <w:pPr>
            <w:pStyle w:val="Footer"/>
          </w:pPr>
          <w:r>
            <w:fldChar w:fldCharType="begin"/>
          </w:r>
          <w:r>
            <w:instrText xml:space="preserve"> DOCPROPERTY "Category"  </w:instrText>
          </w:r>
          <w:r>
            <w:fldChar w:fldCharType="separate"/>
          </w:r>
          <w:r w:rsidR="00EF7DDF">
            <w:t>R10</w:t>
          </w:r>
          <w:r>
            <w:fldChar w:fldCharType="end"/>
          </w:r>
          <w:r w:rsidR="00C85D3A">
            <w:br/>
          </w:r>
          <w:r>
            <w:fldChar w:fldCharType="begin"/>
          </w:r>
          <w:r>
            <w:instrText xml:space="preserve"> DOCPROPERTY "RepubDt"  </w:instrText>
          </w:r>
          <w:r>
            <w:fldChar w:fldCharType="separate"/>
          </w:r>
          <w:r w:rsidR="00EF7DDF">
            <w:t>27/09/21</w:t>
          </w:r>
          <w:r>
            <w:fldChar w:fldCharType="end"/>
          </w:r>
        </w:p>
      </w:tc>
      <w:tc>
        <w:tcPr>
          <w:tcW w:w="3093" w:type="pct"/>
        </w:tcPr>
        <w:p w14:paraId="5EBBD4B3" w14:textId="3FD7F682" w:rsidR="00C85D3A" w:rsidRDefault="00856BEE">
          <w:pPr>
            <w:pStyle w:val="Footer"/>
            <w:jc w:val="center"/>
          </w:pPr>
          <w:r>
            <w:fldChar w:fldCharType="begin"/>
          </w:r>
          <w:r>
            <w:instrText xml:space="preserve"> REF Citation *\charformat </w:instrText>
          </w:r>
          <w:r>
            <w:fldChar w:fldCharType="separate"/>
          </w:r>
          <w:r w:rsidR="00EF7DDF">
            <w:t>Heavy Vehicle National Law (ACT)</w:t>
          </w:r>
          <w:r>
            <w:fldChar w:fldCharType="end"/>
          </w:r>
        </w:p>
        <w:p w14:paraId="66DBB62F" w14:textId="4473774F" w:rsidR="00C85D3A" w:rsidRDefault="00856BEE">
          <w:pPr>
            <w:pStyle w:val="FooterInfoCentre"/>
          </w:pPr>
          <w:r>
            <w:fldChar w:fldCharType="begin"/>
          </w:r>
          <w:r>
            <w:instrText xml:space="preserve"> DOCP</w:instrText>
          </w:r>
          <w:r>
            <w:instrText xml:space="preserve">ROPERTY "Eff"  </w:instrText>
          </w:r>
          <w:r>
            <w:fldChar w:fldCharType="separate"/>
          </w:r>
          <w:r w:rsidR="00EF7DDF">
            <w:t xml:space="preserve">Effective:  </w:t>
          </w:r>
          <w:r>
            <w:fldChar w:fldCharType="end"/>
          </w:r>
          <w:r>
            <w:fldChar w:fldCharType="begin"/>
          </w:r>
          <w:r>
            <w:instrText xml:space="preserve"> DOCPROPERTY "StartDt"   </w:instrText>
          </w:r>
          <w:r>
            <w:fldChar w:fldCharType="separate"/>
          </w:r>
          <w:r w:rsidR="00EF7DDF">
            <w:t>27/09/21</w:t>
          </w:r>
          <w:r>
            <w:fldChar w:fldCharType="end"/>
          </w:r>
          <w:r>
            <w:fldChar w:fldCharType="begin"/>
          </w:r>
          <w:r>
            <w:instrText xml:space="preserve"> DOCPROPERTY "EndDt"  </w:instrText>
          </w:r>
          <w:r>
            <w:fldChar w:fldCharType="separate"/>
          </w:r>
          <w:r w:rsidR="00EF7DDF">
            <w:t>-26/04/22</w:t>
          </w:r>
          <w:r>
            <w:fldChar w:fldCharType="end"/>
          </w:r>
        </w:p>
      </w:tc>
      <w:tc>
        <w:tcPr>
          <w:tcW w:w="846" w:type="pct"/>
        </w:tcPr>
        <w:p w14:paraId="15E91D24" w14:textId="77777777" w:rsidR="00C85D3A" w:rsidRDefault="00C85D3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3C95E56" w14:textId="235DC5FB" w:rsidR="00C85D3A" w:rsidRPr="00856BEE" w:rsidRDefault="00856BEE" w:rsidP="00856BEE">
    <w:pPr>
      <w:pStyle w:val="Status"/>
      <w:rPr>
        <w:rFonts w:cs="Arial"/>
      </w:rPr>
    </w:pPr>
    <w:r w:rsidRPr="00856BEE">
      <w:rPr>
        <w:rFonts w:cs="Arial"/>
      </w:rPr>
      <w:fldChar w:fldCharType="begin"/>
    </w:r>
    <w:r w:rsidRPr="00856BEE">
      <w:rPr>
        <w:rFonts w:cs="Arial"/>
      </w:rPr>
      <w:instrText xml:space="preserve"> DOCPROPERTY "Status" </w:instrText>
    </w:r>
    <w:r w:rsidRPr="00856BEE">
      <w:rPr>
        <w:rFonts w:cs="Arial"/>
      </w:rPr>
      <w:fldChar w:fldCharType="separate"/>
    </w:r>
    <w:r w:rsidR="00EF7DDF" w:rsidRPr="00856BEE">
      <w:rPr>
        <w:rFonts w:cs="Arial"/>
      </w:rPr>
      <w:t xml:space="preserve"> </w:t>
    </w:r>
    <w:r w:rsidRPr="00856BEE">
      <w:rPr>
        <w:rFonts w:cs="Arial"/>
      </w:rPr>
      <w:fldChar w:fldCharType="end"/>
    </w:r>
    <w:r w:rsidRPr="00856BE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1F0C" w14:textId="77777777" w:rsidR="00C85D3A" w:rsidRDefault="00C85D3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85D3A" w14:paraId="0BA0871C" w14:textId="77777777">
      <w:tc>
        <w:tcPr>
          <w:tcW w:w="847" w:type="pct"/>
        </w:tcPr>
        <w:p w14:paraId="1524F2A4" w14:textId="77777777" w:rsidR="00C85D3A" w:rsidRDefault="00C85D3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457D4AFB" w14:textId="52DFA78D" w:rsidR="00C85D3A" w:rsidRDefault="00856BEE">
          <w:pPr>
            <w:pStyle w:val="Footer"/>
            <w:jc w:val="center"/>
          </w:pPr>
          <w:r>
            <w:fldChar w:fldCharType="begin"/>
          </w:r>
          <w:r>
            <w:instrText xml:space="preserve"> REF Citation *\charformat </w:instrText>
          </w:r>
          <w:r>
            <w:fldChar w:fldCharType="separate"/>
          </w:r>
          <w:r w:rsidR="00EF7DDF">
            <w:t>Heavy Vehicle National Law (ACT)</w:t>
          </w:r>
          <w:r>
            <w:fldChar w:fldCharType="end"/>
          </w:r>
        </w:p>
        <w:p w14:paraId="72B24B02" w14:textId="48ACBA1A" w:rsidR="00C85D3A" w:rsidRDefault="00856BEE">
          <w:pPr>
            <w:pStyle w:val="FooterInfoCentre"/>
          </w:pPr>
          <w:r>
            <w:fldChar w:fldCharType="begin"/>
          </w:r>
          <w:r>
            <w:instrText xml:space="preserve"> DOCPROPERTY "Eff"  *\charformat </w:instrText>
          </w:r>
          <w:r>
            <w:fldChar w:fldCharType="separate"/>
          </w:r>
          <w:r w:rsidR="00EF7DDF">
            <w:t xml:space="preserve">Effective:  </w:t>
          </w:r>
          <w:r>
            <w:fldChar w:fldCharType="end"/>
          </w:r>
          <w:r>
            <w:fldChar w:fldCharType="begin"/>
          </w:r>
          <w:r>
            <w:instrText xml:space="preserve"> DOCPROPERTY "StartDt"  *\charformat </w:instrText>
          </w:r>
          <w:r>
            <w:fldChar w:fldCharType="separate"/>
          </w:r>
          <w:r w:rsidR="00EF7DDF">
            <w:t>27/09/21</w:t>
          </w:r>
          <w:r>
            <w:fldChar w:fldCharType="end"/>
          </w:r>
          <w:r>
            <w:fldChar w:fldCharType="begin"/>
          </w:r>
          <w:r>
            <w:instrText xml:space="preserve"> DOCPROPERTY "EndDt"  *\charformat </w:instrText>
          </w:r>
          <w:r>
            <w:fldChar w:fldCharType="separate"/>
          </w:r>
          <w:r w:rsidR="00EF7DDF">
            <w:t>-26/04/22</w:t>
          </w:r>
          <w:r>
            <w:fldChar w:fldCharType="end"/>
          </w:r>
        </w:p>
      </w:tc>
      <w:tc>
        <w:tcPr>
          <w:tcW w:w="1061" w:type="pct"/>
        </w:tcPr>
        <w:p w14:paraId="3CF48509" w14:textId="7B70B73D" w:rsidR="00C85D3A" w:rsidRDefault="00856BEE">
          <w:pPr>
            <w:pStyle w:val="Footer"/>
            <w:jc w:val="right"/>
          </w:pPr>
          <w:r>
            <w:fldChar w:fldCharType="begin"/>
          </w:r>
          <w:r>
            <w:instrText xml:space="preserve"> DOCPROPERTY "Category"  *\charformat  </w:instrText>
          </w:r>
          <w:r>
            <w:fldChar w:fldCharType="separate"/>
          </w:r>
          <w:r w:rsidR="00EF7DDF">
            <w:t>R10</w:t>
          </w:r>
          <w:r>
            <w:fldChar w:fldCharType="end"/>
          </w:r>
          <w:r w:rsidR="00C85D3A">
            <w:br/>
          </w:r>
          <w:r>
            <w:fldChar w:fldCharType="begin"/>
          </w:r>
          <w:r>
            <w:instrText xml:space="preserve"> DO</w:instrText>
          </w:r>
          <w:r>
            <w:instrText xml:space="preserve">CPROPERTY "RepubDt"  *\charformat  </w:instrText>
          </w:r>
          <w:r>
            <w:fldChar w:fldCharType="separate"/>
          </w:r>
          <w:r w:rsidR="00EF7DDF">
            <w:t>27/09/21</w:t>
          </w:r>
          <w:r>
            <w:fldChar w:fldCharType="end"/>
          </w:r>
        </w:p>
      </w:tc>
    </w:tr>
  </w:tbl>
  <w:p w14:paraId="286BF2AC" w14:textId="5F03DF3F" w:rsidR="00C85D3A" w:rsidRPr="00856BEE" w:rsidRDefault="00856BEE" w:rsidP="00856BEE">
    <w:pPr>
      <w:pStyle w:val="Status"/>
      <w:rPr>
        <w:rFonts w:cs="Arial"/>
      </w:rPr>
    </w:pPr>
    <w:r w:rsidRPr="00856BEE">
      <w:rPr>
        <w:rFonts w:cs="Arial"/>
      </w:rPr>
      <w:fldChar w:fldCharType="begin"/>
    </w:r>
    <w:r w:rsidRPr="00856BEE">
      <w:rPr>
        <w:rFonts w:cs="Arial"/>
      </w:rPr>
      <w:instrText xml:space="preserve"> DOCPROPERTY "Status" </w:instrText>
    </w:r>
    <w:r w:rsidRPr="00856BEE">
      <w:rPr>
        <w:rFonts w:cs="Arial"/>
      </w:rPr>
      <w:fldChar w:fldCharType="separate"/>
    </w:r>
    <w:r w:rsidR="00EF7DDF" w:rsidRPr="00856BEE">
      <w:rPr>
        <w:rFonts w:cs="Arial"/>
      </w:rPr>
      <w:t xml:space="preserve"> </w:t>
    </w:r>
    <w:r w:rsidRPr="00856BEE">
      <w:rPr>
        <w:rFonts w:cs="Arial"/>
      </w:rPr>
      <w:fldChar w:fldCharType="end"/>
    </w:r>
    <w:r w:rsidRPr="00856BE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3842" w14:textId="77777777" w:rsidR="00C85D3A" w:rsidRDefault="00C85D3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85D3A" w14:paraId="2A4235BB" w14:textId="77777777">
      <w:tc>
        <w:tcPr>
          <w:tcW w:w="1061" w:type="pct"/>
        </w:tcPr>
        <w:p w14:paraId="6E291451" w14:textId="6772B795" w:rsidR="00C85D3A" w:rsidRDefault="00856BEE">
          <w:pPr>
            <w:pStyle w:val="Footer"/>
          </w:pPr>
          <w:r>
            <w:fldChar w:fldCharType="begin"/>
          </w:r>
          <w:r>
            <w:instrText xml:space="preserve"> DOCPROPERTY "Category"  *\charformat  </w:instrText>
          </w:r>
          <w:r>
            <w:fldChar w:fldCharType="separate"/>
          </w:r>
          <w:r w:rsidR="00EF7DDF">
            <w:t>R10</w:t>
          </w:r>
          <w:r>
            <w:fldChar w:fldCharType="end"/>
          </w:r>
          <w:r w:rsidR="00C85D3A">
            <w:br/>
          </w:r>
          <w:r>
            <w:fldChar w:fldCharType="begin"/>
          </w:r>
          <w:r>
            <w:instrText xml:space="preserve"> DOCPROPERTY "RepubDt"  *\charformat  </w:instrText>
          </w:r>
          <w:r>
            <w:fldChar w:fldCharType="separate"/>
          </w:r>
          <w:r w:rsidR="00EF7DDF">
            <w:t>27/09/21</w:t>
          </w:r>
          <w:r>
            <w:fldChar w:fldCharType="end"/>
          </w:r>
        </w:p>
      </w:tc>
      <w:tc>
        <w:tcPr>
          <w:tcW w:w="3092" w:type="pct"/>
        </w:tcPr>
        <w:p w14:paraId="38FD472F" w14:textId="52B36F60" w:rsidR="00C85D3A" w:rsidRDefault="00856BEE">
          <w:pPr>
            <w:pStyle w:val="Footer"/>
            <w:jc w:val="center"/>
          </w:pPr>
          <w:r>
            <w:fldChar w:fldCharType="begin"/>
          </w:r>
          <w:r>
            <w:instrText xml:space="preserve"> REF Citation *\charformat </w:instrText>
          </w:r>
          <w:r>
            <w:fldChar w:fldCharType="separate"/>
          </w:r>
          <w:r w:rsidR="00EF7DDF">
            <w:t>Heavy Vehicle National Law (ACT)</w:t>
          </w:r>
          <w:r>
            <w:fldChar w:fldCharType="end"/>
          </w:r>
        </w:p>
        <w:p w14:paraId="67A0B54E" w14:textId="5BDA710C" w:rsidR="00C85D3A" w:rsidRDefault="00856BEE">
          <w:pPr>
            <w:pStyle w:val="FooterInfoCentre"/>
          </w:pPr>
          <w:r>
            <w:fldChar w:fldCharType="begin"/>
          </w:r>
          <w:r>
            <w:instrText xml:space="preserve"> DOCPROPERTY "Eff"  </w:instrText>
          </w:r>
          <w:r>
            <w:instrText xml:space="preserve">*\charformat </w:instrText>
          </w:r>
          <w:r>
            <w:fldChar w:fldCharType="separate"/>
          </w:r>
          <w:r w:rsidR="00EF7DDF">
            <w:t xml:space="preserve">Effective:  </w:t>
          </w:r>
          <w:r>
            <w:fldChar w:fldCharType="end"/>
          </w:r>
          <w:r>
            <w:fldChar w:fldCharType="begin"/>
          </w:r>
          <w:r>
            <w:instrText xml:space="preserve"> DOCPROPERTY "StartDt"  *\charformat </w:instrText>
          </w:r>
          <w:r>
            <w:fldChar w:fldCharType="separate"/>
          </w:r>
          <w:r w:rsidR="00EF7DDF">
            <w:t>27/09/21</w:t>
          </w:r>
          <w:r>
            <w:fldChar w:fldCharType="end"/>
          </w:r>
          <w:r>
            <w:fldChar w:fldCharType="begin"/>
          </w:r>
          <w:r>
            <w:instrText xml:space="preserve"> DOCPROPERTY "EndDt"  *\charformat </w:instrText>
          </w:r>
          <w:r>
            <w:fldChar w:fldCharType="separate"/>
          </w:r>
          <w:r w:rsidR="00EF7DDF">
            <w:t>-26/04/22</w:t>
          </w:r>
          <w:r>
            <w:fldChar w:fldCharType="end"/>
          </w:r>
        </w:p>
      </w:tc>
      <w:tc>
        <w:tcPr>
          <w:tcW w:w="847" w:type="pct"/>
        </w:tcPr>
        <w:p w14:paraId="1B586C5F" w14:textId="77777777" w:rsidR="00C85D3A" w:rsidRDefault="00C85D3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491409C5" w14:textId="74904DC1" w:rsidR="00C85D3A" w:rsidRPr="00856BEE" w:rsidRDefault="00856BEE" w:rsidP="00856BEE">
    <w:pPr>
      <w:pStyle w:val="Status"/>
      <w:rPr>
        <w:rFonts w:cs="Arial"/>
      </w:rPr>
    </w:pPr>
    <w:r w:rsidRPr="00856BEE">
      <w:rPr>
        <w:rFonts w:cs="Arial"/>
      </w:rPr>
      <w:fldChar w:fldCharType="begin"/>
    </w:r>
    <w:r w:rsidRPr="00856BEE">
      <w:rPr>
        <w:rFonts w:cs="Arial"/>
      </w:rPr>
      <w:instrText xml:space="preserve"> DOCPROPERTY "Status" </w:instrText>
    </w:r>
    <w:r w:rsidRPr="00856BEE">
      <w:rPr>
        <w:rFonts w:cs="Arial"/>
      </w:rPr>
      <w:fldChar w:fldCharType="separate"/>
    </w:r>
    <w:r w:rsidR="00EF7DDF" w:rsidRPr="00856BEE">
      <w:rPr>
        <w:rFonts w:cs="Arial"/>
      </w:rPr>
      <w:t xml:space="preserve"> </w:t>
    </w:r>
    <w:r w:rsidRPr="00856BEE">
      <w:rPr>
        <w:rFonts w:cs="Arial"/>
      </w:rPr>
      <w:fldChar w:fldCharType="end"/>
    </w:r>
    <w:r w:rsidRPr="00856BE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79E7" w14:textId="77777777" w:rsidR="00C85D3A" w:rsidRDefault="00C85D3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85D3A" w14:paraId="23EA7821" w14:textId="77777777">
      <w:tc>
        <w:tcPr>
          <w:tcW w:w="1061" w:type="pct"/>
        </w:tcPr>
        <w:p w14:paraId="53DA6138" w14:textId="3D732A00" w:rsidR="00C85D3A" w:rsidRDefault="00856BEE">
          <w:pPr>
            <w:pStyle w:val="Footer"/>
          </w:pPr>
          <w:r>
            <w:fldChar w:fldCharType="begin"/>
          </w:r>
          <w:r>
            <w:instrText xml:space="preserve"> DOCPROPERTY "Category"  *\charformat  </w:instrText>
          </w:r>
          <w:r>
            <w:fldChar w:fldCharType="separate"/>
          </w:r>
          <w:r w:rsidR="00EF7DDF">
            <w:t>R10</w:t>
          </w:r>
          <w:r>
            <w:fldChar w:fldCharType="end"/>
          </w:r>
          <w:r w:rsidR="00C85D3A">
            <w:br/>
          </w:r>
          <w:r>
            <w:fldChar w:fldCharType="begin"/>
          </w:r>
          <w:r>
            <w:instrText xml:space="preserve"> DOCPROPERTY "RepubDt"  *\charformat  </w:instrText>
          </w:r>
          <w:r>
            <w:fldChar w:fldCharType="separate"/>
          </w:r>
          <w:r w:rsidR="00EF7DDF">
            <w:t>27/09/21</w:t>
          </w:r>
          <w:r>
            <w:fldChar w:fldCharType="end"/>
          </w:r>
        </w:p>
      </w:tc>
      <w:tc>
        <w:tcPr>
          <w:tcW w:w="3092" w:type="pct"/>
        </w:tcPr>
        <w:p w14:paraId="7BD07410" w14:textId="0003A1C1" w:rsidR="00C85D3A" w:rsidRDefault="00856BEE">
          <w:pPr>
            <w:pStyle w:val="Footer"/>
            <w:jc w:val="center"/>
          </w:pPr>
          <w:r>
            <w:fldChar w:fldCharType="begin"/>
          </w:r>
          <w:r>
            <w:instrText xml:space="preserve"> REF Citation *\charformat </w:instrText>
          </w:r>
          <w:r>
            <w:fldChar w:fldCharType="separate"/>
          </w:r>
          <w:r w:rsidR="00EF7DDF">
            <w:t>Heavy Vehicle National Law (ACT)</w:t>
          </w:r>
          <w:r>
            <w:fldChar w:fldCharType="end"/>
          </w:r>
        </w:p>
        <w:p w14:paraId="07017809" w14:textId="6EFF22D3" w:rsidR="00C85D3A" w:rsidRDefault="00856BEE">
          <w:pPr>
            <w:pStyle w:val="FooterInfoCentre"/>
          </w:pPr>
          <w:r>
            <w:fldChar w:fldCharType="begin"/>
          </w:r>
          <w:r>
            <w:instrText xml:space="preserve"> DOCPROPERTY "Eff"  *\charformat </w:instrText>
          </w:r>
          <w:r>
            <w:fldChar w:fldCharType="separate"/>
          </w:r>
          <w:r w:rsidR="00EF7DDF">
            <w:t xml:space="preserve">Effective:  </w:t>
          </w:r>
          <w:r>
            <w:fldChar w:fldCharType="end"/>
          </w:r>
          <w:r>
            <w:fldChar w:fldCharType="begin"/>
          </w:r>
          <w:r>
            <w:instrText xml:space="preserve"> DOCPROPERTY "StartDt"  *\charformat </w:instrText>
          </w:r>
          <w:r>
            <w:fldChar w:fldCharType="separate"/>
          </w:r>
          <w:r w:rsidR="00EF7DDF">
            <w:t>27/09/21</w:t>
          </w:r>
          <w:r>
            <w:fldChar w:fldCharType="end"/>
          </w:r>
          <w:r>
            <w:fldChar w:fldCharType="begin"/>
          </w:r>
          <w:r>
            <w:instrText xml:space="preserve"> DOCPROPERTY "EndDt"  *\charformat </w:instrText>
          </w:r>
          <w:r>
            <w:fldChar w:fldCharType="separate"/>
          </w:r>
          <w:r w:rsidR="00EF7DDF">
            <w:t>-26/04/22</w:t>
          </w:r>
          <w:r>
            <w:fldChar w:fldCharType="end"/>
          </w:r>
        </w:p>
      </w:tc>
      <w:tc>
        <w:tcPr>
          <w:tcW w:w="847" w:type="pct"/>
        </w:tcPr>
        <w:p w14:paraId="5E66AC3D" w14:textId="77777777" w:rsidR="00C85D3A" w:rsidRDefault="00C85D3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50F46E7" w14:textId="1101290B" w:rsidR="00C85D3A" w:rsidRPr="00856BEE" w:rsidRDefault="00856BEE" w:rsidP="00856BEE">
    <w:pPr>
      <w:pStyle w:val="Status"/>
      <w:rPr>
        <w:rFonts w:cs="Arial"/>
      </w:rPr>
    </w:pPr>
    <w:r w:rsidRPr="00856BEE">
      <w:rPr>
        <w:rFonts w:cs="Arial"/>
      </w:rPr>
      <w:fldChar w:fldCharType="begin"/>
    </w:r>
    <w:r w:rsidRPr="00856BEE">
      <w:rPr>
        <w:rFonts w:cs="Arial"/>
      </w:rPr>
      <w:instrText xml:space="preserve"> DOCPROPERTY "Status" </w:instrText>
    </w:r>
    <w:r w:rsidRPr="00856BEE">
      <w:rPr>
        <w:rFonts w:cs="Arial"/>
      </w:rPr>
      <w:fldChar w:fldCharType="separate"/>
    </w:r>
    <w:r w:rsidR="00EF7DDF" w:rsidRPr="00856BEE">
      <w:rPr>
        <w:rFonts w:cs="Arial"/>
      </w:rPr>
      <w:t xml:space="preserve"> </w:t>
    </w:r>
    <w:r w:rsidRPr="00856BEE">
      <w:rPr>
        <w:rFonts w:cs="Arial"/>
      </w:rPr>
      <w:fldChar w:fldCharType="end"/>
    </w:r>
    <w:r w:rsidRPr="00856BE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F01B0" w14:textId="77777777" w:rsidR="00C85D3A" w:rsidRDefault="00C85D3A">
      <w:r>
        <w:separator/>
      </w:r>
    </w:p>
  </w:footnote>
  <w:footnote w:type="continuationSeparator" w:id="0">
    <w:p w14:paraId="60F976F8" w14:textId="77777777" w:rsidR="00C85D3A" w:rsidRDefault="00C85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430F" w14:textId="77777777" w:rsidR="00856BEE" w:rsidRDefault="00856BE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C85D3A" w14:paraId="615BE794" w14:textId="77777777" w:rsidTr="006D21FE">
      <w:tc>
        <w:tcPr>
          <w:tcW w:w="1701" w:type="dxa"/>
        </w:tcPr>
        <w:p w14:paraId="7E5079CF" w14:textId="54248267" w:rsidR="00C85D3A" w:rsidRDefault="00C85D3A" w:rsidP="006D21FE">
          <w:pPr>
            <w:pStyle w:val="HeaderEven"/>
            <w:rPr>
              <w:b/>
            </w:rPr>
          </w:pPr>
          <w:r>
            <w:rPr>
              <w:b/>
            </w:rPr>
            <w:fldChar w:fldCharType="begin"/>
          </w:r>
          <w:r>
            <w:rPr>
              <w:b/>
            </w:rPr>
            <w:instrText xml:space="preserve"> STYLEREF CharChapNo \*charformat  </w:instrText>
          </w:r>
          <w:r>
            <w:rPr>
              <w:b/>
            </w:rPr>
            <w:fldChar w:fldCharType="separate"/>
          </w:r>
          <w:r w:rsidR="00856BEE">
            <w:rPr>
              <w:b/>
              <w:noProof/>
            </w:rPr>
            <w:t>Chapter 4</w:t>
          </w:r>
          <w:r>
            <w:rPr>
              <w:b/>
            </w:rPr>
            <w:fldChar w:fldCharType="end"/>
          </w:r>
          <w:r>
            <w:rPr>
              <w:b/>
            </w:rPr>
            <w:t xml:space="preserve">                                                                                                                                </w:t>
          </w:r>
        </w:p>
      </w:tc>
      <w:tc>
        <w:tcPr>
          <w:tcW w:w="6320" w:type="dxa"/>
        </w:tcPr>
        <w:p w14:paraId="705E0111" w14:textId="2B69BA8B" w:rsidR="00C85D3A" w:rsidRDefault="00C85D3A" w:rsidP="006D21FE">
          <w:pPr>
            <w:pStyle w:val="HeaderEven"/>
          </w:pPr>
          <w:r>
            <w:rPr>
              <w:noProof/>
            </w:rPr>
            <w:fldChar w:fldCharType="begin"/>
          </w:r>
          <w:r>
            <w:rPr>
              <w:noProof/>
            </w:rPr>
            <w:instrText xml:space="preserve"> STYLEREF CharChapText \*charformat  </w:instrText>
          </w:r>
          <w:r>
            <w:rPr>
              <w:noProof/>
            </w:rPr>
            <w:fldChar w:fldCharType="separate"/>
          </w:r>
          <w:r w:rsidR="00856BEE">
            <w:rPr>
              <w:noProof/>
            </w:rPr>
            <w:t>Vehicle operations—mass, dimension and loading</w:t>
          </w:r>
          <w:r>
            <w:rPr>
              <w:noProof/>
            </w:rPr>
            <w:fldChar w:fldCharType="end"/>
          </w:r>
          <w:r>
            <w:rPr>
              <w:noProof/>
            </w:rPr>
            <w:t xml:space="preserve">                                                                                                                                                                                                                                                                                                </w:t>
          </w:r>
        </w:p>
      </w:tc>
    </w:tr>
    <w:tr w:rsidR="00C85D3A" w14:paraId="115E7786" w14:textId="77777777" w:rsidTr="006D21FE">
      <w:tc>
        <w:tcPr>
          <w:tcW w:w="1701" w:type="dxa"/>
        </w:tcPr>
        <w:p w14:paraId="1DD00317" w14:textId="60343846" w:rsidR="00C85D3A" w:rsidRDefault="00C85D3A" w:rsidP="006D21FE">
          <w:pPr>
            <w:pStyle w:val="HeaderEven"/>
            <w:rPr>
              <w:b/>
            </w:rPr>
          </w:pPr>
          <w:r>
            <w:rPr>
              <w:b/>
            </w:rPr>
            <w:fldChar w:fldCharType="begin"/>
          </w:r>
          <w:r>
            <w:rPr>
              <w:b/>
            </w:rPr>
            <w:instrText xml:space="preserve"> STYLEREF CharPartNo \*charformat </w:instrText>
          </w:r>
          <w:r>
            <w:rPr>
              <w:b/>
            </w:rPr>
            <w:fldChar w:fldCharType="separate"/>
          </w:r>
          <w:r w:rsidR="00856BEE">
            <w:rPr>
              <w:b/>
              <w:noProof/>
            </w:rPr>
            <w:t>Part 4.7</w:t>
          </w:r>
          <w:r>
            <w:rPr>
              <w:b/>
            </w:rPr>
            <w:fldChar w:fldCharType="end"/>
          </w:r>
          <w:r>
            <w:rPr>
              <w:b/>
            </w:rPr>
            <w:t xml:space="preserve">                                                                                                   </w:t>
          </w:r>
        </w:p>
      </w:tc>
      <w:tc>
        <w:tcPr>
          <w:tcW w:w="6320" w:type="dxa"/>
        </w:tcPr>
        <w:p w14:paraId="50135987" w14:textId="4C518802" w:rsidR="00C85D3A" w:rsidRDefault="00856BEE" w:rsidP="006D21FE">
          <w:pPr>
            <w:pStyle w:val="HeaderEven"/>
          </w:pPr>
          <w:r>
            <w:fldChar w:fldCharType="begin"/>
          </w:r>
          <w:r>
            <w:instrText xml:space="preserve"> STYLEREF CharPartText \*charformat </w:instrText>
          </w:r>
          <w:r>
            <w:fldChar w:fldCharType="separate"/>
          </w:r>
          <w:r>
            <w:rPr>
              <w:noProof/>
            </w:rPr>
            <w:t>Particular provisions about mass or dimension authorities</w:t>
          </w:r>
          <w:r>
            <w:rPr>
              <w:noProof/>
            </w:rPr>
            <w:fldChar w:fldCharType="end"/>
          </w:r>
          <w:r w:rsidR="00C85D3A">
            <w:t xml:space="preserve">                                                                                                                                                                                                                                                       </w:t>
          </w:r>
        </w:p>
      </w:tc>
    </w:tr>
    <w:tr w:rsidR="00C85D3A" w14:paraId="2544E1FF" w14:textId="77777777" w:rsidTr="006D21FE">
      <w:tc>
        <w:tcPr>
          <w:tcW w:w="1701" w:type="dxa"/>
        </w:tcPr>
        <w:p w14:paraId="701BFD3C" w14:textId="7815E10D" w:rsidR="00C85D3A" w:rsidRDefault="00C85D3A" w:rsidP="006D21FE">
          <w:pPr>
            <w:pStyle w:val="HeaderEven"/>
            <w:rPr>
              <w:b/>
            </w:rPr>
          </w:pPr>
          <w:r>
            <w:rPr>
              <w:b/>
            </w:rPr>
            <w:fldChar w:fldCharType="begin"/>
          </w:r>
          <w:r>
            <w:rPr>
              <w:b/>
            </w:rPr>
            <w:instrText xml:space="preserve"> STYLEREF CharDivNo \*charformat </w:instrText>
          </w:r>
          <w:r w:rsidR="00856BEE">
            <w:rPr>
              <w:b/>
            </w:rPr>
            <w:fldChar w:fldCharType="separate"/>
          </w:r>
          <w:r w:rsidR="00856BEE">
            <w:rPr>
              <w:b/>
              <w:noProof/>
            </w:rPr>
            <w:t>Division 2</w:t>
          </w:r>
          <w:r>
            <w:rPr>
              <w:b/>
            </w:rPr>
            <w:fldChar w:fldCharType="end"/>
          </w:r>
          <w:r>
            <w:rPr>
              <w:b/>
            </w:rPr>
            <w:t xml:space="preserve">                                                                                                     </w:t>
          </w:r>
        </w:p>
      </w:tc>
      <w:tc>
        <w:tcPr>
          <w:tcW w:w="6320" w:type="dxa"/>
        </w:tcPr>
        <w:p w14:paraId="7CCED16B" w14:textId="76566E88" w:rsidR="00C85D3A" w:rsidRDefault="00856BEE" w:rsidP="006D21FE">
          <w:pPr>
            <w:pStyle w:val="HeaderEven"/>
          </w:pPr>
          <w:r>
            <w:fldChar w:fldCharType="begin"/>
          </w:r>
          <w:r>
            <w:instrText xml:space="preserve"> STYLEREF CharDivText \*charformat </w:instrText>
          </w:r>
          <w:r>
            <w:fldChar w:fldCharType="separate"/>
          </w:r>
          <w:r>
            <w:rPr>
              <w:noProof/>
            </w:rPr>
            <w:t>Obtaining consent of relevant road managers</w:t>
          </w:r>
          <w:r>
            <w:rPr>
              <w:noProof/>
            </w:rPr>
            <w:fldChar w:fldCharType="end"/>
          </w:r>
          <w:r w:rsidR="00C85D3A">
            <w:t xml:space="preserve">                                                                                                                                                                                                                                                                      </w:t>
          </w:r>
        </w:p>
      </w:tc>
    </w:tr>
    <w:tr w:rsidR="00C85D3A" w14:paraId="081ECDF8" w14:textId="77777777" w:rsidTr="006D21FE">
      <w:trPr>
        <w:cantSplit/>
      </w:trPr>
      <w:tc>
        <w:tcPr>
          <w:tcW w:w="1701" w:type="dxa"/>
          <w:gridSpan w:val="2"/>
          <w:tcBorders>
            <w:bottom w:val="single" w:sz="4" w:space="0" w:color="auto"/>
          </w:tcBorders>
        </w:tcPr>
        <w:p w14:paraId="5E9EAB4F" w14:textId="35275425" w:rsidR="00C85D3A" w:rsidRDefault="00856BEE" w:rsidP="006D21FE">
          <w:pPr>
            <w:pStyle w:val="HeaderEven6"/>
          </w:pPr>
          <w:r>
            <w:fldChar w:fldCharType="begin"/>
          </w:r>
          <w:r>
            <w:instrText xml:space="preserve"> DOCPROPERTY "Company"  \*</w:instrText>
          </w:r>
          <w:r>
            <w:instrText xml:space="preserve"> MERGEFORMAT </w:instrText>
          </w:r>
          <w:r>
            <w:fldChar w:fldCharType="separate"/>
          </w:r>
          <w:r w:rsidR="00EF7DDF">
            <w:t>Section</w:t>
          </w:r>
          <w:r>
            <w:fldChar w:fldCharType="end"/>
          </w:r>
          <w:r w:rsidR="00C85D3A">
            <w:t xml:space="preserve"> </w:t>
          </w:r>
          <w:r w:rsidR="00C85D3A">
            <w:rPr>
              <w:noProof/>
            </w:rPr>
            <w:fldChar w:fldCharType="begin"/>
          </w:r>
          <w:r w:rsidR="00C85D3A">
            <w:rPr>
              <w:noProof/>
            </w:rPr>
            <w:instrText xml:space="preserve"> STYLEREF CharSectNo \*charformat </w:instrText>
          </w:r>
          <w:r w:rsidR="00C85D3A">
            <w:rPr>
              <w:noProof/>
            </w:rPr>
            <w:fldChar w:fldCharType="separate"/>
          </w:r>
          <w:r>
            <w:rPr>
              <w:noProof/>
            </w:rPr>
            <w:t>170</w:t>
          </w:r>
          <w:r w:rsidR="00C85D3A">
            <w:rPr>
              <w:noProof/>
            </w:rPr>
            <w:fldChar w:fldCharType="end"/>
          </w:r>
          <w:r w:rsidR="00C85D3A">
            <w:rPr>
              <w:noProof/>
            </w:rPr>
            <w:t xml:space="preserve">                                                                                                                                                                                           </w:t>
          </w:r>
        </w:p>
      </w:tc>
    </w:tr>
  </w:tbl>
  <w:p w14:paraId="20D05586" w14:textId="77777777" w:rsidR="00C85D3A" w:rsidRDefault="00C85D3A" w:rsidP="006D21F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C85D3A" w14:paraId="2BB6D299" w14:textId="77777777" w:rsidTr="006D21FE">
      <w:tc>
        <w:tcPr>
          <w:tcW w:w="6320" w:type="dxa"/>
        </w:tcPr>
        <w:p w14:paraId="52668509" w14:textId="1B44D0DE" w:rsidR="00C85D3A" w:rsidRDefault="00C85D3A" w:rsidP="006D21FE">
          <w:pPr>
            <w:pStyle w:val="HeaderEven"/>
            <w:jc w:val="right"/>
          </w:pPr>
          <w:r>
            <w:rPr>
              <w:noProof/>
            </w:rPr>
            <w:fldChar w:fldCharType="begin"/>
          </w:r>
          <w:r>
            <w:rPr>
              <w:noProof/>
            </w:rPr>
            <w:instrText xml:space="preserve"> STYLEREF CharChapText \*charformat  </w:instrText>
          </w:r>
          <w:r>
            <w:rPr>
              <w:noProof/>
            </w:rPr>
            <w:fldChar w:fldCharType="separate"/>
          </w:r>
          <w:r w:rsidR="00856BEE">
            <w:rPr>
              <w:noProof/>
            </w:rPr>
            <w:t>Vehicle operations—mass, dimension and loading</w:t>
          </w:r>
          <w:r>
            <w:rPr>
              <w:noProof/>
            </w:rPr>
            <w:fldChar w:fldCharType="end"/>
          </w:r>
          <w:r>
            <w:rPr>
              <w:noProof/>
            </w:rPr>
            <w:t xml:space="preserve">                                                                                                                                                                                                                                                                                                                                                                             </w:t>
          </w:r>
        </w:p>
      </w:tc>
      <w:tc>
        <w:tcPr>
          <w:tcW w:w="1701" w:type="dxa"/>
        </w:tcPr>
        <w:p w14:paraId="420A99B0" w14:textId="35F230DD" w:rsidR="00C85D3A" w:rsidRDefault="00C85D3A" w:rsidP="006D21FE">
          <w:pPr>
            <w:pStyle w:val="HeaderEven"/>
            <w:jc w:val="right"/>
            <w:rPr>
              <w:b/>
            </w:rPr>
          </w:pPr>
          <w:r>
            <w:rPr>
              <w:b/>
            </w:rPr>
            <w:fldChar w:fldCharType="begin"/>
          </w:r>
          <w:r>
            <w:rPr>
              <w:b/>
            </w:rPr>
            <w:instrText xml:space="preserve"> STYLEREF CharChapNo \*charformat  </w:instrText>
          </w:r>
          <w:r>
            <w:rPr>
              <w:b/>
            </w:rPr>
            <w:fldChar w:fldCharType="separate"/>
          </w:r>
          <w:r w:rsidR="00856BEE">
            <w:rPr>
              <w:b/>
              <w:noProof/>
            </w:rPr>
            <w:t>Chapter 4</w:t>
          </w:r>
          <w:r>
            <w:rPr>
              <w:b/>
            </w:rPr>
            <w:fldChar w:fldCharType="end"/>
          </w:r>
          <w:r>
            <w:rPr>
              <w:b/>
            </w:rPr>
            <w:t xml:space="preserve">                                                                                           </w:t>
          </w:r>
        </w:p>
      </w:tc>
    </w:tr>
    <w:tr w:rsidR="00C85D3A" w14:paraId="6C83B7D3" w14:textId="77777777" w:rsidTr="006D21FE">
      <w:tc>
        <w:tcPr>
          <w:tcW w:w="6320" w:type="dxa"/>
        </w:tcPr>
        <w:p w14:paraId="1FBA135F" w14:textId="46436443" w:rsidR="00C85D3A" w:rsidRDefault="00856BEE" w:rsidP="006D21FE">
          <w:pPr>
            <w:pStyle w:val="HeaderEven"/>
            <w:jc w:val="right"/>
          </w:pPr>
          <w:r>
            <w:fldChar w:fldCharType="begin"/>
          </w:r>
          <w:r>
            <w:instrText xml:space="preserve"> STYLEREF CharPartText \*charformat </w:instrText>
          </w:r>
          <w:r>
            <w:fldChar w:fldCharType="separate"/>
          </w:r>
          <w:r>
            <w:rPr>
              <w:noProof/>
            </w:rPr>
            <w:t>Particular provisions about mass or dimension authorities</w:t>
          </w:r>
          <w:r>
            <w:rPr>
              <w:noProof/>
            </w:rPr>
            <w:fldChar w:fldCharType="end"/>
          </w:r>
          <w:r w:rsidR="00C85D3A">
            <w:t xml:space="preserve">                                                                                                                                                                                                                                                                                                                                                                                     </w:t>
          </w:r>
        </w:p>
      </w:tc>
      <w:tc>
        <w:tcPr>
          <w:tcW w:w="1701" w:type="dxa"/>
        </w:tcPr>
        <w:p w14:paraId="4085EA8B" w14:textId="60B7C5D8" w:rsidR="00C85D3A" w:rsidRDefault="00C85D3A" w:rsidP="006D21FE">
          <w:pPr>
            <w:pStyle w:val="HeaderEven"/>
            <w:jc w:val="right"/>
            <w:rPr>
              <w:b/>
            </w:rPr>
          </w:pPr>
          <w:r>
            <w:rPr>
              <w:b/>
            </w:rPr>
            <w:fldChar w:fldCharType="begin"/>
          </w:r>
          <w:r>
            <w:rPr>
              <w:b/>
            </w:rPr>
            <w:instrText xml:space="preserve"> STYLEREF CharPartNo \*charformat </w:instrText>
          </w:r>
          <w:r>
            <w:rPr>
              <w:b/>
            </w:rPr>
            <w:fldChar w:fldCharType="separate"/>
          </w:r>
          <w:r w:rsidR="00856BEE">
            <w:rPr>
              <w:b/>
              <w:noProof/>
            </w:rPr>
            <w:t>Part 4.7</w:t>
          </w:r>
          <w:r>
            <w:rPr>
              <w:b/>
            </w:rPr>
            <w:fldChar w:fldCharType="end"/>
          </w:r>
          <w:r>
            <w:rPr>
              <w:b/>
            </w:rPr>
            <w:t xml:space="preserve">                                                                                                 </w:t>
          </w:r>
        </w:p>
      </w:tc>
    </w:tr>
    <w:tr w:rsidR="00C85D3A" w14:paraId="7F39F14B" w14:textId="77777777" w:rsidTr="006D21FE">
      <w:tc>
        <w:tcPr>
          <w:tcW w:w="6320" w:type="dxa"/>
        </w:tcPr>
        <w:p w14:paraId="143017FC" w14:textId="4DBAF1E1" w:rsidR="00C85D3A" w:rsidRDefault="00856BEE" w:rsidP="006D21FE">
          <w:pPr>
            <w:pStyle w:val="HeaderEven"/>
            <w:jc w:val="right"/>
          </w:pPr>
          <w:r>
            <w:fldChar w:fldCharType="begin"/>
          </w:r>
          <w:r>
            <w:instrText xml:space="preserve"> STYLEREF CharDivText \*charformat </w:instrText>
          </w:r>
          <w:r>
            <w:fldChar w:fldCharType="separate"/>
          </w:r>
          <w:r>
            <w:rPr>
              <w:noProof/>
            </w:rPr>
            <w:t>Obtaining consent of relevant road managers</w:t>
          </w:r>
          <w:r>
            <w:rPr>
              <w:noProof/>
            </w:rPr>
            <w:fldChar w:fldCharType="end"/>
          </w:r>
          <w:r w:rsidR="00C85D3A">
            <w:t xml:space="preserve">                                                                                                                                                                                                                                                                                                                                                                                       </w:t>
          </w:r>
        </w:p>
      </w:tc>
      <w:tc>
        <w:tcPr>
          <w:tcW w:w="1701" w:type="dxa"/>
        </w:tcPr>
        <w:p w14:paraId="1414DB9E" w14:textId="4294FF6A" w:rsidR="00C85D3A" w:rsidRDefault="00C85D3A" w:rsidP="006D21FE">
          <w:pPr>
            <w:pStyle w:val="HeaderEven"/>
            <w:jc w:val="right"/>
            <w:rPr>
              <w:b/>
            </w:rPr>
          </w:pPr>
          <w:r>
            <w:rPr>
              <w:b/>
            </w:rPr>
            <w:fldChar w:fldCharType="begin"/>
          </w:r>
          <w:r>
            <w:rPr>
              <w:b/>
            </w:rPr>
            <w:instrText xml:space="preserve"> STYLEREF CharDivNo \*charformat </w:instrText>
          </w:r>
          <w:r w:rsidR="00856BEE">
            <w:rPr>
              <w:b/>
            </w:rPr>
            <w:fldChar w:fldCharType="separate"/>
          </w:r>
          <w:r w:rsidR="00856BEE">
            <w:rPr>
              <w:b/>
              <w:noProof/>
            </w:rPr>
            <w:t>Division 2</w:t>
          </w:r>
          <w:r>
            <w:rPr>
              <w:b/>
            </w:rPr>
            <w:fldChar w:fldCharType="end"/>
          </w:r>
          <w:r>
            <w:rPr>
              <w:b/>
            </w:rPr>
            <w:t xml:space="preserve">                                                                                            </w:t>
          </w:r>
        </w:p>
      </w:tc>
    </w:tr>
    <w:tr w:rsidR="00C85D3A" w14:paraId="07C41FC0" w14:textId="77777777" w:rsidTr="006D21FE">
      <w:trPr>
        <w:cantSplit/>
      </w:trPr>
      <w:tc>
        <w:tcPr>
          <w:tcW w:w="1701" w:type="dxa"/>
          <w:gridSpan w:val="2"/>
          <w:tcBorders>
            <w:bottom w:val="single" w:sz="4" w:space="0" w:color="auto"/>
          </w:tcBorders>
        </w:tcPr>
        <w:p w14:paraId="6CEAD396" w14:textId="4307901B" w:rsidR="00C85D3A" w:rsidRDefault="00856BEE" w:rsidP="006D21FE">
          <w:pPr>
            <w:pStyle w:val="HeaderOdd6"/>
          </w:pPr>
          <w:r>
            <w:fldChar w:fldCharType="begin"/>
          </w:r>
          <w:r>
            <w:instrText xml:space="preserve"> DOCPROPERTY "Company"  \* MERGEFORMAT </w:instrText>
          </w:r>
          <w:r>
            <w:fldChar w:fldCharType="separate"/>
          </w:r>
          <w:r w:rsidR="00EF7DDF">
            <w:t>Section</w:t>
          </w:r>
          <w:r>
            <w:fldChar w:fldCharType="end"/>
          </w:r>
          <w:r w:rsidR="00C85D3A">
            <w:t xml:space="preserve"> </w:t>
          </w:r>
          <w:r w:rsidR="00C85D3A">
            <w:rPr>
              <w:noProof/>
            </w:rPr>
            <w:fldChar w:fldCharType="begin"/>
          </w:r>
          <w:r w:rsidR="00C85D3A">
            <w:rPr>
              <w:noProof/>
            </w:rPr>
            <w:instrText xml:space="preserve"> STYLEREF CharSectNo \*charformat </w:instrText>
          </w:r>
          <w:r w:rsidR="00C85D3A">
            <w:rPr>
              <w:noProof/>
            </w:rPr>
            <w:fldChar w:fldCharType="separate"/>
          </w:r>
          <w:r>
            <w:rPr>
              <w:noProof/>
            </w:rPr>
            <w:t>172</w:t>
          </w:r>
          <w:r w:rsidR="00C85D3A">
            <w:rPr>
              <w:noProof/>
            </w:rPr>
            <w:fldChar w:fldCharType="end"/>
          </w:r>
          <w:r w:rsidR="00C85D3A">
            <w:rPr>
              <w:noProof/>
            </w:rPr>
            <w:t xml:space="preserve">                                                                                                                                                                                                                                           </w:t>
          </w:r>
        </w:p>
      </w:tc>
    </w:tr>
  </w:tbl>
  <w:p w14:paraId="0A02BEC7" w14:textId="77777777" w:rsidR="00C85D3A" w:rsidRDefault="00C85D3A" w:rsidP="006D21F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7"/>
      <w:gridCol w:w="6050"/>
    </w:tblGrid>
    <w:tr w:rsidR="00C85D3A" w14:paraId="03A9D5B4" w14:textId="77777777" w:rsidTr="006D21FE">
      <w:tc>
        <w:tcPr>
          <w:tcW w:w="1701" w:type="dxa"/>
        </w:tcPr>
        <w:p w14:paraId="5AB43C75" w14:textId="67EAFA0F" w:rsidR="00C85D3A" w:rsidRDefault="00C85D3A" w:rsidP="006D21FE">
          <w:pPr>
            <w:pStyle w:val="HeaderEven"/>
            <w:rPr>
              <w:b/>
            </w:rPr>
          </w:pPr>
          <w:r>
            <w:rPr>
              <w:b/>
            </w:rPr>
            <w:fldChar w:fldCharType="begin"/>
          </w:r>
          <w:r>
            <w:rPr>
              <w:b/>
            </w:rPr>
            <w:instrText xml:space="preserve"> STYLEREF CharChapNo \*charformat  </w:instrText>
          </w:r>
          <w:r>
            <w:rPr>
              <w:b/>
            </w:rPr>
            <w:fldChar w:fldCharType="separate"/>
          </w:r>
          <w:r w:rsidR="00856BEE">
            <w:rPr>
              <w:b/>
              <w:noProof/>
            </w:rPr>
            <w:t>Chapter 4</w:t>
          </w:r>
          <w:r>
            <w:rPr>
              <w:b/>
            </w:rPr>
            <w:fldChar w:fldCharType="end"/>
          </w:r>
          <w:r>
            <w:rPr>
              <w:b/>
            </w:rPr>
            <w:t xml:space="preserve">                                                                                                                                </w:t>
          </w:r>
        </w:p>
      </w:tc>
      <w:tc>
        <w:tcPr>
          <w:tcW w:w="6320" w:type="dxa"/>
        </w:tcPr>
        <w:p w14:paraId="4F802F77" w14:textId="46403D35" w:rsidR="00C85D3A" w:rsidRDefault="00C85D3A" w:rsidP="006D21FE">
          <w:pPr>
            <w:pStyle w:val="HeaderEven"/>
          </w:pPr>
          <w:r>
            <w:rPr>
              <w:noProof/>
            </w:rPr>
            <w:fldChar w:fldCharType="begin"/>
          </w:r>
          <w:r>
            <w:rPr>
              <w:noProof/>
            </w:rPr>
            <w:instrText xml:space="preserve"> STYLEREF CharChapText \*charformat  </w:instrText>
          </w:r>
          <w:r>
            <w:rPr>
              <w:noProof/>
            </w:rPr>
            <w:fldChar w:fldCharType="separate"/>
          </w:r>
          <w:r w:rsidR="00856BEE">
            <w:rPr>
              <w:noProof/>
            </w:rPr>
            <w:t>Vehicle operations—mass, dimension and loading</w:t>
          </w:r>
          <w:r>
            <w:rPr>
              <w:noProof/>
            </w:rPr>
            <w:fldChar w:fldCharType="end"/>
          </w:r>
          <w:r>
            <w:rPr>
              <w:noProof/>
            </w:rPr>
            <w:t xml:space="preserve">                                                                                                                                                                                                                                                                                                </w:t>
          </w:r>
        </w:p>
      </w:tc>
    </w:tr>
    <w:tr w:rsidR="00C85D3A" w14:paraId="350C2B14" w14:textId="77777777" w:rsidTr="006D21FE">
      <w:tc>
        <w:tcPr>
          <w:tcW w:w="1701" w:type="dxa"/>
        </w:tcPr>
        <w:p w14:paraId="25781C54" w14:textId="227DB445" w:rsidR="00C85D3A" w:rsidRDefault="00C85D3A" w:rsidP="006D21FE">
          <w:pPr>
            <w:pStyle w:val="HeaderEven"/>
            <w:rPr>
              <w:b/>
            </w:rPr>
          </w:pPr>
          <w:r>
            <w:rPr>
              <w:b/>
            </w:rPr>
            <w:fldChar w:fldCharType="begin"/>
          </w:r>
          <w:r>
            <w:rPr>
              <w:b/>
            </w:rPr>
            <w:instrText xml:space="preserve"> STYLEREF CharPartNo \*charformat </w:instrText>
          </w:r>
          <w:r>
            <w:rPr>
              <w:b/>
            </w:rPr>
            <w:fldChar w:fldCharType="separate"/>
          </w:r>
          <w:r w:rsidR="00856BEE">
            <w:rPr>
              <w:b/>
              <w:noProof/>
            </w:rPr>
            <w:t>Part 4.7</w:t>
          </w:r>
          <w:r>
            <w:rPr>
              <w:b/>
            </w:rPr>
            <w:fldChar w:fldCharType="end"/>
          </w:r>
          <w:r>
            <w:rPr>
              <w:b/>
            </w:rPr>
            <w:t xml:space="preserve">                                                                                                   </w:t>
          </w:r>
        </w:p>
      </w:tc>
      <w:tc>
        <w:tcPr>
          <w:tcW w:w="6320" w:type="dxa"/>
        </w:tcPr>
        <w:p w14:paraId="0BE3965D" w14:textId="0E3C0908" w:rsidR="00C85D3A" w:rsidRDefault="00856BEE" w:rsidP="006D21FE">
          <w:pPr>
            <w:pStyle w:val="HeaderEven"/>
          </w:pPr>
          <w:r>
            <w:fldChar w:fldCharType="begin"/>
          </w:r>
          <w:r>
            <w:instrText xml:space="preserve"> STYLEREF CharPartText \*charformat </w:instrText>
          </w:r>
          <w:r>
            <w:fldChar w:fldCharType="separate"/>
          </w:r>
          <w:r>
            <w:rPr>
              <w:noProof/>
            </w:rPr>
            <w:t>Particular provisions about mass or dimension authorities</w:t>
          </w:r>
          <w:r>
            <w:rPr>
              <w:noProof/>
            </w:rPr>
            <w:fldChar w:fldCharType="end"/>
          </w:r>
          <w:r w:rsidR="00C85D3A">
            <w:t xml:space="preserve">                                                                                                                                                                                                                                                       </w:t>
          </w:r>
        </w:p>
      </w:tc>
    </w:tr>
    <w:tr w:rsidR="00C85D3A" w14:paraId="17AC4479" w14:textId="77777777" w:rsidTr="006D21FE">
      <w:tc>
        <w:tcPr>
          <w:tcW w:w="1701" w:type="dxa"/>
        </w:tcPr>
        <w:p w14:paraId="2EDD6812" w14:textId="36985A53" w:rsidR="00C85D3A" w:rsidRDefault="00C85D3A" w:rsidP="006D21FE">
          <w:pPr>
            <w:pStyle w:val="HeaderEven"/>
            <w:rPr>
              <w:b/>
            </w:rPr>
          </w:pPr>
          <w:r>
            <w:rPr>
              <w:b/>
            </w:rPr>
            <w:fldChar w:fldCharType="begin"/>
          </w:r>
          <w:r>
            <w:rPr>
              <w:b/>
            </w:rPr>
            <w:instrText xml:space="preserve"> STYLEREF CharDivNo \*charformat </w:instrText>
          </w:r>
          <w:r>
            <w:rPr>
              <w:b/>
            </w:rPr>
            <w:fldChar w:fldCharType="separate"/>
          </w:r>
          <w:r w:rsidR="00856BEE">
            <w:rPr>
              <w:b/>
              <w:noProof/>
            </w:rPr>
            <w:t>Division 4</w:t>
          </w:r>
          <w:r>
            <w:rPr>
              <w:b/>
            </w:rPr>
            <w:fldChar w:fldCharType="end"/>
          </w:r>
          <w:r>
            <w:rPr>
              <w:b/>
            </w:rPr>
            <w:t xml:space="preserve">                                                                                                     </w:t>
          </w:r>
        </w:p>
      </w:tc>
      <w:tc>
        <w:tcPr>
          <w:tcW w:w="6320" w:type="dxa"/>
        </w:tcPr>
        <w:p w14:paraId="7EEE5127" w14:textId="328E0DD8" w:rsidR="00C85D3A" w:rsidRDefault="00856BEE" w:rsidP="006D21FE">
          <w:pPr>
            <w:pStyle w:val="HeaderEven"/>
          </w:pPr>
          <w:r>
            <w:fldChar w:fldCharType="begin"/>
          </w:r>
          <w:r>
            <w:instrText xml:space="preserve"> STYLEREF CharDivText \*charformat </w:instrText>
          </w:r>
          <w:r>
            <w:fldChar w:fldCharType="separate"/>
          </w:r>
          <w:r>
            <w:rPr>
              <w:noProof/>
            </w:rPr>
            <w:t>Amendment, cancellation or suspension of mass or dimension authority granted by permit</w:t>
          </w:r>
          <w:r>
            <w:rPr>
              <w:noProof/>
            </w:rPr>
            <w:fldChar w:fldCharType="end"/>
          </w:r>
          <w:r w:rsidR="00C85D3A">
            <w:t xml:space="preserve">                                                                                                                                                                                                                                                                      </w:t>
          </w:r>
        </w:p>
      </w:tc>
    </w:tr>
    <w:tr w:rsidR="00C85D3A" w14:paraId="0CE510A6" w14:textId="77777777" w:rsidTr="006D21FE">
      <w:trPr>
        <w:cantSplit/>
      </w:trPr>
      <w:tc>
        <w:tcPr>
          <w:tcW w:w="1701" w:type="dxa"/>
          <w:gridSpan w:val="2"/>
          <w:tcBorders>
            <w:bottom w:val="single" w:sz="4" w:space="0" w:color="auto"/>
          </w:tcBorders>
        </w:tcPr>
        <w:p w14:paraId="46CBA0CF" w14:textId="71931C6D" w:rsidR="00C85D3A" w:rsidRDefault="00856BEE" w:rsidP="006D21FE">
          <w:pPr>
            <w:pStyle w:val="HeaderEven6"/>
          </w:pPr>
          <w:r>
            <w:fldChar w:fldCharType="begin"/>
          </w:r>
          <w:r>
            <w:instrText xml:space="preserve"> DOCPROPERTY "Company"  \* MERGEFORMAT </w:instrText>
          </w:r>
          <w:r>
            <w:fldChar w:fldCharType="separate"/>
          </w:r>
          <w:r w:rsidR="00EF7DDF">
            <w:t>Section</w:t>
          </w:r>
          <w:r>
            <w:fldChar w:fldCharType="end"/>
          </w:r>
          <w:r w:rsidR="00C85D3A">
            <w:t xml:space="preserve"> </w:t>
          </w:r>
          <w:r w:rsidR="00C85D3A">
            <w:rPr>
              <w:noProof/>
            </w:rPr>
            <w:fldChar w:fldCharType="begin"/>
          </w:r>
          <w:r w:rsidR="00C85D3A">
            <w:rPr>
              <w:noProof/>
            </w:rPr>
            <w:instrText xml:space="preserve"> STYLEREF CharSectNo \*charformat </w:instrText>
          </w:r>
          <w:r w:rsidR="00C85D3A">
            <w:rPr>
              <w:noProof/>
            </w:rPr>
            <w:fldChar w:fldCharType="separate"/>
          </w:r>
          <w:r>
            <w:rPr>
              <w:noProof/>
            </w:rPr>
            <w:t>179</w:t>
          </w:r>
          <w:r w:rsidR="00C85D3A">
            <w:rPr>
              <w:noProof/>
            </w:rPr>
            <w:fldChar w:fldCharType="end"/>
          </w:r>
          <w:r w:rsidR="00C85D3A">
            <w:rPr>
              <w:noProof/>
            </w:rPr>
            <w:t xml:space="preserve">                                                                                                                                                                                           </w:t>
          </w:r>
        </w:p>
      </w:tc>
    </w:tr>
  </w:tbl>
  <w:p w14:paraId="4ABC75EA" w14:textId="77777777" w:rsidR="00C85D3A" w:rsidRDefault="00C85D3A" w:rsidP="006D21F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50"/>
      <w:gridCol w:w="1657"/>
    </w:tblGrid>
    <w:tr w:rsidR="00C85D3A" w14:paraId="5152D446" w14:textId="77777777" w:rsidTr="006D21FE">
      <w:tc>
        <w:tcPr>
          <w:tcW w:w="6320" w:type="dxa"/>
        </w:tcPr>
        <w:p w14:paraId="3231A672" w14:textId="78570CFB" w:rsidR="00C85D3A" w:rsidRDefault="00C85D3A" w:rsidP="006D21FE">
          <w:pPr>
            <w:pStyle w:val="HeaderEven"/>
            <w:jc w:val="right"/>
          </w:pPr>
          <w:r>
            <w:rPr>
              <w:noProof/>
            </w:rPr>
            <w:fldChar w:fldCharType="begin"/>
          </w:r>
          <w:r>
            <w:rPr>
              <w:noProof/>
            </w:rPr>
            <w:instrText xml:space="preserve"> STYLEREF CharChapText \*charformat  </w:instrText>
          </w:r>
          <w:r>
            <w:rPr>
              <w:noProof/>
            </w:rPr>
            <w:fldChar w:fldCharType="separate"/>
          </w:r>
          <w:r w:rsidR="00856BEE">
            <w:rPr>
              <w:noProof/>
            </w:rPr>
            <w:t>Vehicle operations—mass, dimension and loading</w:t>
          </w:r>
          <w:r>
            <w:rPr>
              <w:noProof/>
            </w:rPr>
            <w:fldChar w:fldCharType="end"/>
          </w:r>
          <w:r>
            <w:rPr>
              <w:noProof/>
            </w:rPr>
            <w:t xml:space="preserve">                                                                                                                                                                                                                                                                                                                                                                             </w:t>
          </w:r>
        </w:p>
      </w:tc>
      <w:tc>
        <w:tcPr>
          <w:tcW w:w="1701" w:type="dxa"/>
        </w:tcPr>
        <w:p w14:paraId="35CB3F94" w14:textId="3157DB70" w:rsidR="00C85D3A" w:rsidRDefault="00C85D3A" w:rsidP="006D21FE">
          <w:pPr>
            <w:pStyle w:val="HeaderEven"/>
            <w:jc w:val="right"/>
            <w:rPr>
              <w:b/>
            </w:rPr>
          </w:pPr>
          <w:r>
            <w:rPr>
              <w:b/>
            </w:rPr>
            <w:fldChar w:fldCharType="begin"/>
          </w:r>
          <w:r>
            <w:rPr>
              <w:b/>
            </w:rPr>
            <w:instrText xml:space="preserve"> STYLEREF CharChapNo \*charformat  </w:instrText>
          </w:r>
          <w:r>
            <w:rPr>
              <w:b/>
            </w:rPr>
            <w:fldChar w:fldCharType="separate"/>
          </w:r>
          <w:r w:rsidR="00856BEE">
            <w:rPr>
              <w:b/>
              <w:noProof/>
            </w:rPr>
            <w:t>Chapter 4</w:t>
          </w:r>
          <w:r>
            <w:rPr>
              <w:b/>
            </w:rPr>
            <w:fldChar w:fldCharType="end"/>
          </w:r>
          <w:r>
            <w:rPr>
              <w:b/>
            </w:rPr>
            <w:t xml:space="preserve">                                                                                           </w:t>
          </w:r>
        </w:p>
      </w:tc>
    </w:tr>
    <w:tr w:rsidR="00C85D3A" w14:paraId="7F008C46" w14:textId="77777777" w:rsidTr="006D21FE">
      <w:tc>
        <w:tcPr>
          <w:tcW w:w="6320" w:type="dxa"/>
        </w:tcPr>
        <w:p w14:paraId="71A67484" w14:textId="59840642" w:rsidR="00C85D3A" w:rsidRDefault="00856BEE" w:rsidP="006D21FE">
          <w:pPr>
            <w:pStyle w:val="HeaderEven"/>
            <w:jc w:val="right"/>
          </w:pPr>
          <w:r>
            <w:fldChar w:fldCharType="begin"/>
          </w:r>
          <w:r>
            <w:instrText xml:space="preserve"> STYLEREF CharPartText \*charformat </w:instrText>
          </w:r>
          <w:r>
            <w:fldChar w:fldCharType="separate"/>
          </w:r>
          <w:r>
            <w:rPr>
              <w:noProof/>
            </w:rPr>
            <w:t>Particular provisions about mass or dimension authorities</w:t>
          </w:r>
          <w:r>
            <w:rPr>
              <w:noProof/>
            </w:rPr>
            <w:fldChar w:fldCharType="end"/>
          </w:r>
          <w:r w:rsidR="00C85D3A">
            <w:t xml:space="preserve">                                                                                                                                                                                                                                                                                                                                                                                     </w:t>
          </w:r>
        </w:p>
      </w:tc>
      <w:tc>
        <w:tcPr>
          <w:tcW w:w="1701" w:type="dxa"/>
        </w:tcPr>
        <w:p w14:paraId="19D0EC28" w14:textId="0FEC4792" w:rsidR="00C85D3A" w:rsidRDefault="00C85D3A" w:rsidP="006D21FE">
          <w:pPr>
            <w:pStyle w:val="HeaderEven"/>
            <w:jc w:val="right"/>
            <w:rPr>
              <w:b/>
            </w:rPr>
          </w:pPr>
          <w:r>
            <w:rPr>
              <w:b/>
            </w:rPr>
            <w:fldChar w:fldCharType="begin"/>
          </w:r>
          <w:r>
            <w:rPr>
              <w:b/>
            </w:rPr>
            <w:instrText xml:space="preserve"> STYLEREF CharPartNo \*charformat </w:instrText>
          </w:r>
          <w:r>
            <w:rPr>
              <w:b/>
            </w:rPr>
            <w:fldChar w:fldCharType="separate"/>
          </w:r>
          <w:r w:rsidR="00856BEE">
            <w:rPr>
              <w:b/>
              <w:noProof/>
            </w:rPr>
            <w:t>Part 4.7</w:t>
          </w:r>
          <w:r>
            <w:rPr>
              <w:b/>
            </w:rPr>
            <w:fldChar w:fldCharType="end"/>
          </w:r>
          <w:r>
            <w:rPr>
              <w:b/>
            </w:rPr>
            <w:t xml:space="preserve">                                                                                                 </w:t>
          </w:r>
        </w:p>
      </w:tc>
    </w:tr>
    <w:tr w:rsidR="00C85D3A" w14:paraId="1F3B434D" w14:textId="77777777" w:rsidTr="006D21FE">
      <w:tc>
        <w:tcPr>
          <w:tcW w:w="6320" w:type="dxa"/>
        </w:tcPr>
        <w:p w14:paraId="53126026" w14:textId="05AD9910" w:rsidR="00C85D3A" w:rsidRDefault="00856BEE" w:rsidP="006D21FE">
          <w:pPr>
            <w:pStyle w:val="HeaderEven"/>
            <w:jc w:val="right"/>
          </w:pPr>
          <w:r>
            <w:fldChar w:fldCharType="begin"/>
          </w:r>
          <w:r>
            <w:instrText xml:space="preserve"> STYLEREF CharDivText \*charformat </w:instrText>
          </w:r>
          <w:r>
            <w:fldChar w:fldCharType="separate"/>
          </w:r>
          <w:r>
            <w:rPr>
              <w:noProof/>
            </w:rPr>
            <w:t>Amendment, cancellation or suspension of mass or dimension authority granted by permit</w:t>
          </w:r>
          <w:r>
            <w:rPr>
              <w:noProof/>
            </w:rPr>
            <w:fldChar w:fldCharType="end"/>
          </w:r>
          <w:r w:rsidR="00C85D3A">
            <w:t xml:space="preserve">                                                                                                                                                                                                                                                                                                                                                                                       </w:t>
          </w:r>
        </w:p>
      </w:tc>
      <w:tc>
        <w:tcPr>
          <w:tcW w:w="1701" w:type="dxa"/>
        </w:tcPr>
        <w:p w14:paraId="02FF826D" w14:textId="762140CF" w:rsidR="00C85D3A" w:rsidRDefault="00C85D3A" w:rsidP="006D21FE">
          <w:pPr>
            <w:pStyle w:val="HeaderEven"/>
            <w:jc w:val="right"/>
            <w:rPr>
              <w:b/>
            </w:rPr>
          </w:pPr>
          <w:r>
            <w:rPr>
              <w:b/>
            </w:rPr>
            <w:fldChar w:fldCharType="begin"/>
          </w:r>
          <w:r>
            <w:rPr>
              <w:b/>
            </w:rPr>
            <w:instrText xml:space="preserve"> STYLEREF CharDivNo \*charformat </w:instrText>
          </w:r>
          <w:r>
            <w:rPr>
              <w:b/>
            </w:rPr>
            <w:fldChar w:fldCharType="separate"/>
          </w:r>
          <w:r w:rsidR="00856BEE">
            <w:rPr>
              <w:b/>
              <w:noProof/>
            </w:rPr>
            <w:t>Division 4</w:t>
          </w:r>
          <w:r>
            <w:rPr>
              <w:b/>
            </w:rPr>
            <w:fldChar w:fldCharType="end"/>
          </w:r>
          <w:r>
            <w:rPr>
              <w:b/>
            </w:rPr>
            <w:t xml:space="preserve">                                                                                            </w:t>
          </w:r>
        </w:p>
      </w:tc>
    </w:tr>
    <w:tr w:rsidR="00C85D3A" w14:paraId="50E19277" w14:textId="77777777" w:rsidTr="006D21FE">
      <w:trPr>
        <w:cantSplit/>
      </w:trPr>
      <w:tc>
        <w:tcPr>
          <w:tcW w:w="1701" w:type="dxa"/>
          <w:gridSpan w:val="2"/>
          <w:tcBorders>
            <w:bottom w:val="single" w:sz="4" w:space="0" w:color="auto"/>
          </w:tcBorders>
        </w:tcPr>
        <w:p w14:paraId="3F91A130" w14:textId="0B1181C3" w:rsidR="00C85D3A" w:rsidRDefault="00856BEE" w:rsidP="006D21FE">
          <w:pPr>
            <w:pStyle w:val="HeaderOdd6"/>
          </w:pPr>
          <w:r>
            <w:fldChar w:fldCharType="begin"/>
          </w:r>
          <w:r>
            <w:instrText xml:space="preserve"> DOCPROPERTY "Company"  \*</w:instrText>
          </w:r>
          <w:r>
            <w:instrText xml:space="preserve"> MERGEFORMAT </w:instrText>
          </w:r>
          <w:r>
            <w:fldChar w:fldCharType="separate"/>
          </w:r>
          <w:r w:rsidR="00EF7DDF">
            <w:t>Section</w:t>
          </w:r>
          <w:r>
            <w:fldChar w:fldCharType="end"/>
          </w:r>
          <w:r w:rsidR="00C85D3A">
            <w:t xml:space="preserve"> </w:t>
          </w:r>
          <w:r w:rsidR="00C85D3A">
            <w:rPr>
              <w:noProof/>
            </w:rPr>
            <w:fldChar w:fldCharType="begin"/>
          </w:r>
          <w:r w:rsidR="00C85D3A">
            <w:rPr>
              <w:noProof/>
            </w:rPr>
            <w:instrText xml:space="preserve"> STYLEREF CharSectNo \*charformat </w:instrText>
          </w:r>
          <w:r w:rsidR="00C85D3A">
            <w:rPr>
              <w:noProof/>
            </w:rPr>
            <w:fldChar w:fldCharType="separate"/>
          </w:r>
          <w:r>
            <w:rPr>
              <w:noProof/>
            </w:rPr>
            <w:t>180</w:t>
          </w:r>
          <w:r w:rsidR="00C85D3A">
            <w:rPr>
              <w:noProof/>
            </w:rPr>
            <w:fldChar w:fldCharType="end"/>
          </w:r>
          <w:r w:rsidR="00C85D3A">
            <w:rPr>
              <w:noProof/>
            </w:rPr>
            <w:t xml:space="preserve">                                                                                                                                                                                                                                           </w:t>
          </w:r>
        </w:p>
      </w:tc>
    </w:tr>
  </w:tbl>
  <w:p w14:paraId="78BCCBE0" w14:textId="77777777" w:rsidR="00C85D3A" w:rsidRDefault="00C85D3A" w:rsidP="006D21F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EF7DDF" w14:paraId="1C4095A5" w14:textId="77777777" w:rsidTr="00945118">
      <w:tc>
        <w:tcPr>
          <w:tcW w:w="1701" w:type="dxa"/>
        </w:tcPr>
        <w:p w14:paraId="593701D8" w14:textId="2288E59D" w:rsidR="00C85D3A" w:rsidRDefault="00C85D3A" w:rsidP="00945118">
          <w:pPr>
            <w:pStyle w:val="HeaderEven"/>
            <w:rPr>
              <w:b/>
            </w:rPr>
          </w:pPr>
          <w:r>
            <w:rPr>
              <w:b/>
            </w:rPr>
            <w:fldChar w:fldCharType="begin"/>
          </w:r>
          <w:r>
            <w:rPr>
              <w:b/>
            </w:rPr>
            <w:instrText xml:space="preserve"> STYLEREF CharChapNo \*charformat  </w:instrText>
          </w:r>
          <w:r>
            <w:rPr>
              <w:b/>
            </w:rPr>
            <w:fldChar w:fldCharType="separate"/>
          </w:r>
          <w:r w:rsidR="00856BEE">
            <w:rPr>
              <w:b/>
              <w:noProof/>
            </w:rPr>
            <w:t>Chapter 9</w:t>
          </w:r>
          <w:r>
            <w:rPr>
              <w:b/>
            </w:rPr>
            <w:fldChar w:fldCharType="end"/>
          </w:r>
          <w:r>
            <w:rPr>
              <w:b/>
            </w:rPr>
            <w:t xml:space="preserve">                                                                                                                                </w:t>
          </w:r>
        </w:p>
      </w:tc>
      <w:tc>
        <w:tcPr>
          <w:tcW w:w="6320" w:type="dxa"/>
        </w:tcPr>
        <w:p w14:paraId="2E4EB348" w14:textId="66E193AA" w:rsidR="00C85D3A" w:rsidRDefault="00C85D3A" w:rsidP="00945118">
          <w:pPr>
            <w:pStyle w:val="HeaderEven"/>
          </w:pPr>
          <w:r>
            <w:rPr>
              <w:noProof/>
            </w:rPr>
            <w:fldChar w:fldCharType="begin"/>
          </w:r>
          <w:r>
            <w:rPr>
              <w:noProof/>
            </w:rPr>
            <w:instrText xml:space="preserve"> STYLEREF CharChapText \*charformat  </w:instrText>
          </w:r>
          <w:r>
            <w:rPr>
              <w:noProof/>
            </w:rPr>
            <w:fldChar w:fldCharType="separate"/>
          </w:r>
          <w:r w:rsidR="00856BEE">
            <w:rPr>
              <w:noProof/>
            </w:rPr>
            <w:t>Enforcement</w:t>
          </w:r>
          <w:r>
            <w:rPr>
              <w:noProof/>
            </w:rPr>
            <w:fldChar w:fldCharType="end"/>
          </w:r>
          <w:r>
            <w:rPr>
              <w:noProof/>
            </w:rPr>
            <w:t xml:space="preserve">                                                                                                                                                                                                                                                                                                </w:t>
          </w:r>
        </w:p>
      </w:tc>
    </w:tr>
    <w:tr w:rsidR="00EF7DDF" w14:paraId="213F80CB" w14:textId="77777777" w:rsidTr="00945118">
      <w:tc>
        <w:tcPr>
          <w:tcW w:w="1701" w:type="dxa"/>
        </w:tcPr>
        <w:p w14:paraId="74B98F2A" w14:textId="2BC50F0A" w:rsidR="00C85D3A" w:rsidRDefault="00C85D3A" w:rsidP="00945118">
          <w:pPr>
            <w:pStyle w:val="HeaderEven"/>
            <w:rPr>
              <w:b/>
            </w:rPr>
          </w:pPr>
          <w:r>
            <w:rPr>
              <w:b/>
            </w:rPr>
            <w:fldChar w:fldCharType="begin"/>
          </w:r>
          <w:r>
            <w:rPr>
              <w:b/>
            </w:rPr>
            <w:instrText xml:space="preserve"> STYLEREF CharPartNo \*charformat </w:instrText>
          </w:r>
          <w:r>
            <w:rPr>
              <w:b/>
            </w:rPr>
            <w:fldChar w:fldCharType="separate"/>
          </w:r>
          <w:r w:rsidR="00856BEE">
            <w:rPr>
              <w:b/>
              <w:noProof/>
            </w:rPr>
            <w:t>Part 9.3</w:t>
          </w:r>
          <w:r>
            <w:rPr>
              <w:b/>
            </w:rPr>
            <w:fldChar w:fldCharType="end"/>
          </w:r>
          <w:r>
            <w:rPr>
              <w:b/>
            </w:rPr>
            <w:t xml:space="preserve">                                                                                                   </w:t>
          </w:r>
        </w:p>
      </w:tc>
      <w:tc>
        <w:tcPr>
          <w:tcW w:w="6320" w:type="dxa"/>
        </w:tcPr>
        <w:p w14:paraId="0DB62F41" w14:textId="1B4B9026" w:rsidR="00C85D3A" w:rsidRDefault="00856BEE" w:rsidP="00945118">
          <w:pPr>
            <w:pStyle w:val="HeaderEven"/>
          </w:pPr>
          <w:r>
            <w:fldChar w:fldCharType="begin"/>
          </w:r>
          <w:r>
            <w:instrText xml:space="preserve"> STYLEREF CharPartText \*charformat </w:instrText>
          </w:r>
          <w:r>
            <w:fldChar w:fldCharType="separate"/>
          </w:r>
          <w:r>
            <w:rPr>
              <w:noProof/>
            </w:rPr>
            <w:t>Powers in relation to heavy vehicles</w:t>
          </w:r>
          <w:r>
            <w:rPr>
              <w:noProof/>
            </w:rPr>
            <w:fldChar w:fldCharType="end"/>
          </w:r>
          <w:r w:rsidR="00C85D3A">
            <w:t xml:space="preserve">                                                                                                                                                                                                                                                       </w:t>
          </w:r>
        </w:p>
      </w:tc>
    </w:tr>
    <w:tr w:rsidR="00EF7DDF" w14:paraId="7D73FF20" w14:textId="77777777" w:rsidTr="00945118">
      <w:tc>
        <w:tcPr>
          <w:tcW w:w="1701" w:type="dxa"/>
        </w:tcPr>
        <w:p w14:paraId="1C3CBDB8" w14:textId="55CF8127" w:rsidR="00C85D3A" w:rsidRDefault="00C85D3A" w:rsidP="00945118">
          <w:pPr>
            <w:pStyle w:val="HeaderEven"/>
            <w:rPr>
              <w:b/>
            </w:rPr>
          </w:pPr>
          <w:r>
            <w:rPr>
              <w:b/>
            </w:rPr>
            <w:fldChar w:fldCharType="begin"/>
          </w:r>
          <w:r>
            <w:rPr>
              <w:b/>
            </w:rPr>
            <w:instrText xml:space="preserve"> STYLEREF CharDivNo \*charformat </w:instrText>
          </w:r>
          <w:r w:rsidR="00856BEE">
            <w:rPr>
              <w:b/>
            </w:rPr>
            <w:fldChar w:fldCharType="separate"/>
          </w:r>
          <w:r w:rsidR="00856BEE">
            <w:rPr>
              <w:b/>
              <w:noProof/>
            </w:rPr>
            <w:t>Division 6</w:t>
          </w:r>
          <w:r>
            <w:rPr>
              <w:b/>
            </w:rPr>
            <w:fldChar w:fldCharType="end"/>
          </w:r>
          <w:r>
            <w:rPr>
              <w:b/>
            </w:rPr>
            <w:t xml:space="preserve">                                                                                                     </w:t>
          </w:r>
        </w:p>
      </w:tc>
      <w:tc>
        <w:tcPr>
          <w:tcW w:w="6320" w:type="dxa"/>
        </w:tcPr>
        <w:p w14:paraId="61470ABE" w14:textId="086D1167" w:rsidR="00C85D3A" w:rsidRDefault="00856BEE" w:rsidP="00945118">
          <w:pPr>
            <w:pStyle w:val="HeaderEven"/>
          </w:pPr>
          <w:r>
            <w:fldChar w:fldCharType="begin"/>
          </w:r>
          <w:r>
            <w:instrText xml:space="preserve"> STYLEREF CharDivText \*charformat </w:instrText>
          </w:r>
          <w:r>
            <w:fldChar w:fldCharType="separate"/>
          </w:r>
          <w:r>
            <w:rPr>
              <w:noProof/>
            </w:rPr>
            <w:t>Further powers in relation to heavy vehicles concerning heavy vehicle standards</w:t>
          </w:r>
          <w:r>
            <w:rPr>
              <w:noProof/>
            </w:rPr>
            <w:fldChar w:fldCharType="end"/>
          </w:r>
          <w:r w:rsidR="00C85D3A">
            <w:t xml:space="preserve">                                                                                                                                                                                                                                                                      </w:t>
          </w:r>
        </w:p>
      </w:tc>
    </w:tr>
    <w:tr w:rsidR="00C85D3A" w14:paraId="7738A27C" w14:textId="77777777" w:rsidTr="00945118">
      <w:trPr>
        <w:cantSplit/>
      </w:trPr>
      <w:tc>
        <w:tcPr>
          <w:tcW w:w="1701" w:type="dxa"/>
          <w:gridSpan w:val="2"/>
          <w:tcBorders>
            <w:bottom w:val="single" w:sz="4" w:space="0" w:color="auto"/>
          </w:tcBorders>
        </w:tcPr>
        <w:p w14:paraId="660F623D" w14:textId="739196A3" w:rsidR="00C85D3A" w:rsidRDefault="00856BEE" w:rsidP="00945118">
          <w:pPr>
            <w:pStyle w:val="HeaderEven6"/>
          </w:pPr>
          <w:r>
            <w:fldChar w:fldCharType="begin"/>
          </w:r>
          <w:r>
            <w:instrText xml:space="preserve"> DOCPROPERTY "Company"  \* MERGEFORMAT </w:instrText>
          </w:r>
          <w:r>
            <w:fldChar w:fldCharType="separate"/>
          </w:r>
          <w:r w:rsidR="00EF7DDF">
            <w:t>Section</w:t>
          </w:r>
          <w:r>
            <w:fldChar w:fldCharType="end"/>
          </w:r>
          <w:r w:rsidR="00C85D3A">
            <w:t xml:space="preserve"> </w:t>
          </w:r>
          <w:r w:rsidR="00C85D3A">
            <w:rPr>
              <w:noProof/>
            </w:rPr>
            <w:fldChar w:fldCharType="begin"/>
          </w:r>
          <w:r w:rsidR="00C85D3A">
            <w:rPr>
              <w:noProof/>
            </w:rPr>
            <w:instrText xml:space="preserve"> STYLEREF CharSectNo \*charformat </w:instrText>
          </w:r>
          <w:r w:rsidR="00C85D3A">
            <w:rPr>
              <w:noProof/>
            </w:rPr>
            <w:fldChar w:fldCharType="separate"/>
          </w:r>
          <w:r>
            <w:rPr>
              <w:noProof/>
            </w:rPr>
            <w:t>531</w:t>
          </w:r>
          <w:r w:rsidR="00C85D3A">
            <w:rPr>
              <w:noProof/>
            </w:rPr>
            <w:fldChar w:fldCharType="end"/>
          </w:r>
          <w:r w:rsidR="00C85D3A">
            <w:rPr>
              <w:noProof/>
            </w:rPr>
            <w:t xml:space="preserve">                                                                                                                                                                                           </w:t>
          </w:r>
        </w:p>
      </w:tc>
    </w:tr>
  </w:tbl>
  <w:p w14:paraId="52BE7791" w14:textId="77777777" w:rsidR="00C85D3A" w:rsidRDefault="00C85D3A" w:rsidP="0094511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EF7DDF" w14:paraId="3AEBA421" w14:textId="77777777" w:rsidTr="00945118">
      <w:tc>
        <w:tcPr>
          <w:tcW w:w="6320" w:type="dxa"/>
        </w:tcPr>
        <w:p w14:paraId="76C9CFBA" w14:textId="6BB5E180" w:rsidR="00C85D3A" w:rsidRDefault="00C85D3A" w:rsidP="00945118">
          <w:pPr>
            <w:pStyle w:val="HeaderEven"/>
            <w:jc w:val="right"/>
          </w:pPr>
          <w:r>
            <w:rPr>
              <w:noProof/>
            </w:rPr>
            <w:fldChar w:fldCharType="begin"/>
          </w:r>
          <w:r>
            <w:rPr>
              <w:noProof/>
            </w:rPr>
            <w:instrText xml:space="preserve"> STYLEREF CharChapText \*charformat  </w:instrText>
          </w:r>
          <w:r>
            <w:rPr>
              <w:noProof/>
            </w:rPr>
            <w:fldChar w:fldCharType="separate"/>
          </w:r>
          <w:r w:rsidR="00856BEE">
            <w:rPr>
              <w:noProof/>
            </w:rPr>
            <w:t>Enforcement</w:t>
          </w:r>
          <w:r>
            <w:rPr>
              <w:noProof/>
            </w:rPr>
            <w:fldChar w:fldCharType="end"/>
          </w:r>
          <w:r>
            <w:rPr>
              <w:noProof/>
            </w:rPr>
            <w:t xml:space="preserve">                                                                                                                                                                                                                                                                                                                                                                             </w:t>
          </w:r>
        </w:p>
      </w:tc>
      <w:tc>
        <w:tcPr>
          <w:tcW w:w="1701" w:type="dxa"/>
        </w:tcPr>
        <w:p w14:paraId="3733024A" w14:textId="6F9803C2" w:rsidR="00C85D3A" w:rsidRDefault="00C85D3A" w:rsidP="00945118">
          <w:pPr>
            <w:pStyle w:val="HeaderEven"/>
            <w:jc w:val="right"/>
            <w:rPr>
              <w:b/>
            </w:rPr>
          </w:pPr>
          <w:r>
            <w:rPr>
              <w:b/>
            </w:rPr>
            <w:fldChar w:fldCharType="begin"/>
          </w:r>
          <w:r>
            <w:rPr>
              <w:b/>
            </w:rPr>
            <w:instrText xml:space="preserve"> STYLEREF CharChapNo \*charformat  </w:instrText>
          </w:r>
          <w:r>
            <w:rPr>
              <w:b/>
            </w:rPr>
            <w:fldChar w:fldCharType="separate"/>
          </w:r>
          <w:r w:rsidR="00856BEE">
            <w:rPr>
              <w:b/>
              <w:noProof/>
            </w:rPr>
            <w:t>Chapter 9</w:t>
          </w:r>
          <w:r>
            <w:rPr>
              <w:b/>
            </w:rPr>
            <w:fldChar w:fldCharType="end"/>
          </w:r>
          <w:r>
            <w:rPr>
              <w:b/>
            </w:rPr>
            <w:t xml:space="preserve">                                                                                           </w:t>
          </w:r>
        </w:p>
      </w:tc>
    </w:tr>
    <w:tr w:rsidR="00EF7DDF" w14:paraId="5A678772" w14:textId="77777777" w:rsidTr="00945118">
      <w:tc>
        <w:tcPr>
          <w:tcW w:w="6320" w:type="dxa"/>
        </w:tcPr>
        <w:p w14:paraId="7D045842" w14:textId="4E8FDFD1" w:rsidR="00C85D3A" w:rsidRDefault="00856BEE" w:rsidP="00945118">
          <w:pPr>
            <w:pStyle w:val="HeaderEven"/>
            <w:jc w:val="right"/>
          </w:pPr>
          <w:r>
            <w:fldChar w:fldCharType="begin"/>
          </w:r>
          <w:r>
            <w:instrText xml:space="preserve"> STYLE</w:instrText>
          </w:r>
          <w:r>
            <w:instrText xml:space="preserve">REF CharPartText \*charformat </w:instrText>
          </w:r>
          <w:r>
            <w:fldChar w:fldCharType="separate"/>
          </w:r>
          <w:r>
            <w:rPr>
              <w:noProof/>
            </w:rPr>
            <w:t>Powers in relation to heavy vehicles</w:t>
          </w:r>
          <w:r>
            <w:rPr>
              <w:noProof/>
            </w:rPr>
            <w:fldChar w:fldCharType="end"/>
          </w:r>
          <w:r w:rsidR="00C85D3A">
            <w:t xml:space="preserve">                                                                                                                                                                                                                                                                                                                                                                                     </w:t>
          </w:r>
        </w:p>
      </w:tc>
      <w:tc>
        <w:tcPr>
          <w:tcW w:w="1701" w:type="dxa"/>
        </w:tcPr>
        <w:p w14:paraId="2ABAC6C0" w14:textId="4F6A8FCC" w:rsidR="00C85D3A" w:rsidRDefault="00C85D3A" w:rsidP="00945118">
          <w:pPr>
            <w:pStyle w:val="HeaderEven"/>
            <w:jc w:val="right"/>
            <w:rPr>
              <w:b/>
            </w:rPr>
          </w:pPr>
          <w:r>
            <w:rPr>
              <w:b/>
            </w:rPr>
            <w:fldChar w:fldCharType="begin"/>
          </w:r>
          <w:r>
            <w:rPr>
              <w:b/>
            </w:rPr>
            <w:instrText xml:space="preserve"> STYLEREF CharPartNo \*charformat </w:instrText>
          </w:r>
          <w:r>
            <w:rPr>
              <w:b/>
            </w:rPr>
            <w:fldChar w:fldCharType="separate"/>
          </w:r>
          <w:r w:rsidR="00856BEE">
            <w:rPr>
              <w:b/>
              <w:noProof/>
            </w:rPr>
            <w:t>Part 9.3</w:t>
          </w:r>
          <w:r>
            <w:rPr>
              <w:b/>
            </w:rPr>
            <w:fldChar w:fldCharType="end"/>
          </w:r>
          <w:r>
            <w:rPr>
              <w:b/>
            </w:rPr>
            <w:t xml:space="preserve">                                                                                                 </w:t>
          </w:r>
        </w:p>
      </w:tc>
    </w:tr>
    <w:tr w:rsidR="00EF7DDF" w14:paraId="39D446EC" w14:textId="77777777" w:rsidTr="00945118">
      <w:tc>
        <w:tcPr>
          <w:tcW w:w="6320" w:type="dxa"/>
        </w:tcPr>
        <w:p w14:paraId="50C3F622" w14:textId="2563B2E7" w:rsidR="00C85D3A" w:rsidRDefault="00856BEE" w:rsidP="00945118">
          <w:pPr>
            <w:pStyle w:val="HeaderEven"/>
            <w:jc w:val="right"/>
          </w:pPr>
          <w:r>
            <w:fldChar w:fldCharType="begin"/>
          </w:r>
          <w:r>
            <w:instrText xml:space="preserve"> STYLEREF CharDivText \*charformat </w:instrText>
          </w:r>
          <w:r>
            <w:fldChar w:fldCharType="separate"/>
          </w:r>
          <w:r>
            <w:rPr>
              <w:noProof/>
            </w:rPr>
            <w:t>Further powers in relation to heavy vehicles concerning heavy vehicle standards</w:t>
          </w:r>
          <w:r>
            <w:rPr>
              <w:noProof/>
            </w:rPr>
            <w:fldChar w:fldCharType="end"/>
          </w:r>
          <w:r w:rsidR="00C85D3A">
            <w:t xml:space="preserve">                                                                                                                                                                                                                                                                                                                                                                                       </w:t>
          </w:r>
        </w:p>
      </w:tc>
      <w:tc>
        <w:tcPr>
          <w:tcW w:w="1701" w:type="dxa"/>
        </w:tcPr>
        <w:p w14:paraId="08C64867" w14:textId="495E712F" w:rsidR="00C85D3A" w:rsidRDefault="00C85D3A" w:rsidP="00945118">
          <w:pPr>
            <w:pStyle w:val="HeaderEven"/>
            <w:jc w:val="right"/>
            <w:rPr>
              <w:b/>
            </w:rPr>
          </w:pPr>
          <w:r>
            <w:rPr>
              <w:b/>
            </w:rPr>
            <w:fldChar w:fldCharType="begin"/>
          </w:r>
          <w:r>
            <w:rPr>
              <w:b/>
            </w:rPr>
            <w:instrText xml:space="preserve"> STYLEREF CharDivNo \*charformat </w:instrText>
          </w:r>
          <w:r w:rsidR="00856BEE">
            <w:rPr>
              <w:b/>
            </w:rPr>
            <w:fldChar w:fldCharType="separate"/>
          </w:r>
          <w:r w:rsidR="00856BEE">
            <w:rPr>
              <w:b/>
              <w:noProof/>
            </w:rPr>
            <w:t>Division 6</w:t>
          </w:r>
          <w:r>
            <w:rPr>
              <w:b/>
            </w:rPr>
            <w:fldChar w:fldCharType="end"/>
          </w:r>
          <w:r>
            <w:rPr>
              <w:b/>
            </w:rPr>
            <w:t xml:space="preserve">                                                                                            </w:t>
          </w:r>
        </w:p>
      </w:tc>
    </w:tr>
    <w:tr w:rsidR="00C85D3A" w14:paraId="7E157F77" w14:textId="77777777" w:rsidTr="00945118">
      <w:trPr>
        <w:cantSplit/>
      </w:trPr>
      <w:tc>
        <w:tcPr>
          <w:tcW w:w="1701" w:type="dxa"/>
          <w:gridSpan w:val="2"/>
          <w:tcBorders>
            <w:bottom w:val="single" w:sz="4" w:space="0" w:color="auto"/>
          </w:tcBorders>
        </w:tcPr>
        <w:p w14:paraId="1FB1ABB8" w14:textId="0AA15AFE" w:rsidR="00C85D3A" w:rsidRDefault="00856BEE" w:rsidP="00945118">
          <w:pPr>
            <w:pStyle w:val="HeaderOdd6"/>
          </w:pPr>
          <w:r>
            <w:fldChar w:fldCharType="begin"/>
          </w:r>
          <w:r>
            <w:instrText xml:space="preserve"> DOCPROPERTY "Company"  \* MERGEFORMAT </w:instrText>
          </w:r>
          <w:r>
            <w:fldChar w:fldCharType="separate"/>
          </w:r>
          <w:r w:rsidR="00EF7DDF">
            <w:t>Section</w:t>
          </w:r>
          <w:r>
            <w:fldChar w:fldCharType="end"/>
          </w:r>
          <w:r w:rsidR="00C85D3A">
            <w:t xml:space="preserve"> </w:t>
          </w:r>
          <w:r w:rsidR="00C85D3A">
            <w:rPr>
              <w:noProof/>
            </w:rPr>
            <w:fldChar w:fldCharType="begin"/>
          </w:r>
          <w:r w:rsidR="00C85D3A">
            <w:rPr>
              <w:noProof/>
            </w:rPr>
            <w:instrText xml:space="preserve"> STYLEREF CharSectNo \*charformat </w:instrText>
          </w:r>
          <w:r w:rsidR="00C85D3A">
            <w:rPr>
              <w:noProof/>
            </w:rPr>
            <w:fldChar w:fldCharType="separate"/>
          </w:r>
          <w:r>
            <w:rPr>
              <w:noProof/>
            </w:rPr>
            <w:t>531</w:t>
          </w:r>
          <w:r w:rsidR="00C85D3A">
            <w:rPr>
              <w:noProof/>
            </w:rPr>
            <w:fldChar w:fldCharType="end"/>
          </w:r>
          <w:r w:rsidR="00C85D3A">
            <w:rPr>
              <w:noProof/>
            </w:rPr>
            <w:t xml:space="preserve">                                                                                                                                                                                                                                           </w:t>
          </w:r>
        </w:p>
      </w:tc>
    </w:tr>
  </w:tbl>
  <w:p w14:paraId="19C7FF54" w14:textId="77777777" w:rsidR="00C85D3A" w:rsidRDefault="00C85D3A" w:rsidP="0094511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C85D3A" w14:paraId="1B02875F" w14:textId="77777777" w:rsidTr="00C85D3A">
      <w:tc>
        <w:tcPr>
          <w:tcW w:w="1701" w:type="dxa"/>
        </w:tcPr>
        <w:p w14:paraId="5E2ADEE0" w14:textId="653B9F0E" w:rsidR="00C85D3A" w:rsidRDefault="00C85D3A" w:rsidP="00C85D3A">
          <w:pPr>
            <w:pStyle w:val="HeaderEven"/>
            <w:rPr>
              <w:b/>
            </w:rPr>
          </w:pPr>
          <w:r>
            <w:rPr>
              <w:b/>
            </w:rPr>
            <w:fldChar w:fldCharType="begin"/>
          </w:r>
          <w:r>
            <w:rPr>
              <w:b/>
            </w:rPr>
            <w:instrText xml:space="preserve"> STYLEREF CharChapNo \*charformat  </w:instrText>
          </w:r>
          <w:r>
            <w:rPr>
              <w:b/>
            </w:rPr>
            <w:fldChar w:fldCharType="separate"/>
          </w:r>
          <w:r w:rsidR="00856BEE">
            <w:rPr>
              <w:b/>
              <w:noProof/>
            </w:rPr>
            <w:t>Chapter 9</w:t>
          </w:r>
          <w:r>
            <w:rPr>
              <w:b/>
            </w:rPr>
            <w:fldChar w:fldCharType="end"/>
          </w:r>
          <w:r>
            <w:rPr>
              <w:b/>
            </w:rPr>
            <w:t xml:space="preserve">                                                                                                                                </w:t>
          </w:r>
        </w:p>
      </w:tc>
      <w:tc>
        <w:tcPr>
          <w:tcW w:w="6320" w:type="dxa"/>
        </w:tcPr>
        <w:p w14:paraId="2DB53016" w14:textId="4AFEDCC6" w:rsidR="00C85D3A" w:rsidRDefault="00C85D3A" w:rsidP="00C85D3A">
          <w:pPr>
            <w:pStyle w:val="HeaderEven"/>
          </w:pPr>
          <w:r>
            <w:rPr>
              <w:noProof/>
            </w:rPr>
            <w:fldChar w:fldCharType="begin"/>
          </w:r>
          <w:r>
            <w:rPr>
              <w:noProof/>
            </w:rPr>
            <w:instrText xml:space="preserve"> STYLEREF CharChapText \*charformat  </w:instrText>
          </w:r>
          <w:r>
            <w:rPr>
              <w:noProof/>
            </w:rPr>
            <w:fldChar w:fldCharType="separate"/>
          </w:r>
          <w:r w:rsidR="00856BEE">
            <w:rPr>
              <w:noProof/>
            </w:rPr>
            <w:t>Enforcement</w:t>
          </w:r>
          <w:r>
            <w:rPr>
              <w:noProof/>
            </w:rPr>
            <w:fldChar w:fldCharType="end"/>
          </w:r>
          <w:r>
            <w:rPr>
              <w:noProof/>
            </w:rPr>
            <w:t xml:space="preserve">                                                                                                                                                                                                                                                                                                </w:t>
          </w:r>
        </w:p>
      </w:tc>
    </w:tr>
    <w:tr w:rsidR="00C85D3A" w14:paraId="604F19A0" w14:textId="77777777" w:rsidTr="00C85D3A">
      <w:tc>
        <w:tcPr>
          <w:tcW w:w="1701" w:type="dxa"/>
        </w:tcPr>
        <w:p w14:paraId="4B101703" w14:textId="7A28E9FB" w:rsidR="00C85D3A" w:rsidRDefault="00C85D3A" w:rsidP="00C85D3A">
          <w:pPr>
            <w:pStyle w:val="HeaderEven"/>
            <w:rPr>
              <w:b/>
            </w:rPr>
          </w:pPr>
          <w:r>
            <w:rPr>
              <w:b/>
            </w:rPr>
            <w:fldChar w:fldCharType="begin"/>
          </w:r>
          <w:r>
            <w:rPr>
              <w:b/>
            </w:rPr>
            <w:instrText xml:space="preserve"> STYLEREF CharPartNo \*charformat </w:instrText>
          </w:r>
          <w:r>
            <w:rPr>
              <w:b/>
            </w:rPr>
            <w:fldChar w:fldCharType="separate"/>
          </w:r>
          <w:r w:rsidR="00856BEE">
            <w:rPr>
              <w:b/>
              <w:noProof/>
            </w:rPr>
            <w:t>Part 9.3</w:t>
          </w:r>
          <w:r>
            <w:rPr>
              <w:b/>
            </w:rPr>
            <w:fldChar w:fldCharType="end"/>
          </w:r>
          <w:r>
            <w:rPr>
              <w:b/>
            </w:rPr>
            <w:t xml:space="preserve">                                                                                                   </w:t>
          </w:r>
        </w:p>
      </w:tc>
      <w:tc>
        <w:tcPr>
          <w:tcW w:w="6320" w:type="dxa"/>
        </w:tcPr>
        <w:p w14:paraId="434F9D37" w14:textId="75FBF59B" w:rsidR="00C85D3A" w:rsidRDefault="00856BEE" w:rsidP="00C85D3A">
          <w:pPr>
            <w:pStyle w:val="HeaderEven"/>
          </w:pPr>
          <w:r>
            <w:fldChar w:fldCharType="begin"/>
          </w:r>
          <w:r>
            <w:instrText xml:space="preserve"> STYLEREF CharPartText \*charformat </w:instrText>
          </w:r>
          <w:r>
            <w:fldChar w:fldCharType="separate"/>
          </w:r>
          <w:r>
            <w:rPr>
              <w:noProof/>
            </w:rPr>
            <w:t>Powers in relation to heavy vehicles</w:t>
          </w:r>
          <w:r>
            <w:rPr>
              <w:noProof/>
            </w:rPr>
            <w:fldChar w:fldCharType="end"/>
          </w:r>
          <w:r w:rsidR="00C85D3A">
            <w:t xml:space="preserve">                                                                                                                                                                                                                                                       </w:t>
          </w:r>
        </w:p>
      </w:tc>
    </w:tr>
    <w:tr w:rsidR="00C85D3A" w14:paraId="31D4DC3D" w14:textId="77777777" w:rsidTr="00C85D3A">
      <w:tc>
        <w:tcPr>
          <w:tcW w:w="1701" w:type="dxa"/>
        </w:tcPr>
        <w:p w14:paraId="5596F660" w14:textId="4997028A" w:rsidR="00C85D3A" w:rsidRDefault="00C85D3A" w:rsidP="00C85D3A">
          <w:pPr>
            <w:pStyle w:val="HeaderEven"/>
            <w:rPr>
              <w:b/>
            </w:rPr>
          </w:pPr>
          <w:r>
            <w:rPr>
              <w:b/>
            </w:rPr>
            <w:fldChar w:fldCharType="begin"/>
          </w:r>
          <w:r>
            <w:rPr>
              <w:b/>
            </w:rPr>
            <w:instrText xml:space="preserve"> STYLEREF CharDivNo \*charformat </w:instrText>
          </w:r>
          <w:r>
            <w:rPr>
              <w:b/>
            </w:rPr>
            <w:fldChar w:fldCharType="separate"/>
          </w:r>
          <w:r w:rsidR="00856BEE">
            <w:rPr>
              <w:b/>
              <w:noProof/>
            </w:rPr>
            <w:t>Division 7</w:t>
          </w:r>
          <w:r>
            <w:rPr>
              <w:b/>
            </w:rPr>
            <w:fldChar w:fldCharType="end"/>
          </w:r>
          <w:r>
            <w:rPr>
              <w:b/>
            </w:rPr>
            <w:t xml:space="preserve">                                                                                                     </w:t>
          </w:r>
        </w:p>
      </w:tc>
      <w:tc>
        <w:tcPr>
          <w:tcW w:w="6320" w:type="dxa"/>
        </w:tcPr>
        <w:p w14:paraId="1B76A641" w14:textId="351840BD" w:rsidR="00C85D3A" w:rsidRDefault="00856BEE" w:rsidP="00C85D3A">
          <w:pPr>
            <w:pStyle w:val="HeaderEven"/>
          </w:pPr>
          <w:r>
            <w:fldChar w:fldCharType="begin"/>
          </w:r>
          <w:r>
            <w:instrText xml:space="preserve"> STYLEREF CharDivText \*charformat </w:instrText>
          </w:r>
          <w:r>
            <w:fldChar w:fldCharType="separate"/>
          </w:r>
          <w:r>
            <w:rPr>
              <w:noProof/>
            </w:rPr>
            <w:t>Further powers in relation to heavy vehicles concerning mass, dimension or loading requirements</w:t>
          </w:r>
          <w:r>
            <w:rPr>
              <w:noProof/>
            </w:rPr>
            <w:fldChar w:fldCharType="end"/>
          </w:r>
          <w:r w:rsidR="00C85D3A">
            <w:t xml:space="preserve">                                                                                                                                                                                                                                                                      </w:t>
          </w:r>
        </w:p>
      </w:tc>
    </w:tr>
    <w:tr w:rsidR="00C85D3A" w14:paraId="1D1A7867" w14:textId="77777777" w:rsidTr="00C85D3A">
      <w:trPr>
        <w:cantSplit/>
      </w:trPr>
      <w:tc>
        <w:tcPr>
          <w:tcW w:w="1701" w:type="dxa"/>
          <w:gridSpan w:val="2"/>
          <w:tcBorders>
            <w:bottom w:val="single" w:sz="4" w:space="0" w:color="auto"/>
          </w:tcBorders>
        </w:tcPr>
        <w:p w14:paraId="4E11D4B8" w14:textId="6B6EAD1C" w:rsidR="00C85D3A" w:rsidRDefault="00856BEE" w:rsidP="00C85D3A">
          <w:pPr>
            <w:pStyle w:val="HeaderEven6"/>
          </w:pPr>
          <w:r>
            <w:fldChar w:fldCharType="begin"/>
          </w:r>
          <w:r>
            <w:instrText xml:space="preserve"> DOCPROPERTY "Company"  \* MERGEFORMAT </w:instrText>
          </w:r>
          <w:r>
            <w:fldChar w:fldCharType="separate"/>
          </w:r>
          <w:r w:rsidR="00EF7DDF">
            <w:t>Section</w:t>
          </w:r>
          <w:r>
            <w:fldChar w:fldCharType="end"/>
          </w:r>
          <w:r w:rsidR="00C85D3A">
            <w:t xml:space="preserve"> </w:t>
          </w:r>
          <w:r w:rsidR="00C85D3A">
            <w:rPr>
              <w:noProof/>
            </w:rPr>
            <w:fldChar w:fldCharType="begin"/>
          </w:r>
          <w:r w:rsidR="00C85D3A">
            <w:rPr>
              <w:noProof/>
            </w:rPr>
            <w:instrText xml:space="preserve"> STYLEREF CharSectNo \*charformat </w:instrText>
          </w:r>
          <w:r w:rsidR="00C85D3A">
            <w:rPr>
              <w:noProof/>
            </w:rPr>
            <w:fldChar w:fldCharType="separate"/>
          </w:r>
          <w:r>
            <w:rPr>
              <w:noProof/>
            </w:rPr>
            <w:t>536</w:t>
          </w:r>
          <w:r w:rsidR="00C85D3A">
            <w:rPr>
              <w:noProof/>
            </w:rPr>
            <w:fldChar w:fldCharType="end"/>
          </w:r>
          <w:r w:rsidR="00C85D3A">
            <w:rPr>
              <w:noProof/>
            </w:rPr>
            <w:t xml:space="preserve">                                                                                                                                                                                           </w:t>
          </w:r>
        </w:p>
      </w:tc>
    </w:tr>
  </w:tbl>
  <w:p w14:paraId="1B89CDEE" w14:textId="77777777" w:rsidR="00C85D3A" w:rsidRDefault="00C85D3A" w:rsidP="00C85D3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C85D3A" w14:paraId="60ADB687" w14:textId="77777777" w:rsidTr="00C85D3A">
      <w:tc>
        <w:tcPr>
          <w:tcW w:w="6320" w:type="dxa"/>
        </w:tcPr>
        <w:p w14:paraId="77AB6BE6" w14:textId="6AC71B5F" w:rsidR="00C85D3A" w:rsidRDefault="00C85D3A" w:rsidP="00C85D3A">
          <w:pPr>
            <w:pStyle w:val="HeaderEven"/>
            <w:jc w:val="right"/>
          </w:pPr>
          <w:r>
            <w:rPr>
              <w:noProof/>
            </w:rPr>
            <w:fldChar w:fldCharType="begin"/>
          </w:r>
          <w:r>
            <w:rPr>
              <w:noProof/>
            </w:rPr>
            <w:instrText xml:space="preserve"> STYLEREF CharChapText \*charformat  </w:instrText>
          </w:r>
          <w:r>
            <w:rPr>
              <w:noProof/>
            </w:rPr>
            <w:fldChar w:fldCharType="separate"/>
          </w:r>
          <w:r w:rsidR="00856BEE">
            <w:rPr>
              <w:noProof/>
            </w:rPr>
            <w:t>Enforcement</w:t>
          </w:r>
          <w:r>
            <w:rPr>
              <w:noProof/>
            </w:rPr>
            <w:fldChar w:fldCharType="end"/>
          </w:r>
          <w:r>
            <w:rPr>
              <w:noProof/>
            </w:rPr>
            <w:t xml:space="preserve">                                                                                                                                                                                                                                                                                                                                                                             </w:t>
          </w:r>
        </w:p>
      </w:tc>
      <w:tc>
        <w:tcPr>
          <w:tcW w:w="1701" w:type="dxa"/>
        </w:tcPr>
        <w:p w14:paraId="06575D94" w14:textId="7710560E" w:rsidR="00C85D3A" w:rsidRDefault="00C85D3A" w:rsidP="00C85D3A">
          <w:pPr>
            <w:pStyle w:val="HeaderEven"/>
            <w:jc w:val="right"/>
            <w:rPr>
              <w:b/>
            </w:rPr>
          </w:pPr>
          <w:r>
            <w:rPr>
              <w:b/>
            </w:rPr>
            <w:fldChar w:fldCharType="begin"/>
          </w:r>
          <w:r>
            <w:rPr>
              <w:b/>
            </w:rPr>
            <w:instrText xml:space="preserve"> STYLEREF CharChapNo \*charformat  </w:instrText>
          </w:r>
          <w:r>
            <w:rPr>
              <w:b/>
            </w:rPr>
            <w:fldChar w:fldCharType="separate"/>
          </w:r>
          <w:r w:rsidR="00856BEE">
            <w:rPr>
              <w:b/>
              <w:noProof/>
            </w:rPr>
            <w:t>Chapter 9</w:t>
          </w:r>
          <w:r>
            <w:rPr>
              <w:b/>
            </w:rPr>
            <w:fldChar w:fldCharType="end"/>
          </w:r>
          <w:r>
            <w:rPr>
              <w:b/>
            </w:rPr>
            <w:t xml:space="preserve">                                                                                           </w:t>
          </w:r>
        </w:p>
      </w:tc>
    </w:tr>
    <w:tr w:rsidR="00C85D3A" w14:paraId="3C8F6011" w14:textId="77777777" w:rsidTr="00C85D3A">
      <w:tc>
        <w:tcPr>
          <w:tcW w:w="6320" w:type="dxa"/>
        </w:tcPr>
        <w:p w14:paraId="034048FD" w14:textId="61709114" w:rsidR="00C85D3A" w:rsidRDefault="00856BEE" w:rsidP="00C85D3A">
          <w:pPr>
            <w:pStyle w:val="HeaderEven"/>
            <w:jc w:val="right"/>
          </w:pPr>
          <w:r>
            <w:fldChar w:fldCharType="begin"/>
          </w:r>
          <w:r>
            <w:instrText xml:space="preserve"> STYLEREF CharPartText \*charformat </w:instrText>
          </w:r>
          <w:r>
            <w:fldChar w:fldCharType="separate"/>
          </w:r>
          <w:r>
            <w:rPr>
              <w:noProof/>
            </w:rPr>
            <w:t>Powers in relation to heavy vehicles</w:t>
          </w:r>
          <w:r>
            <w:rPr>
              <w:noProof/>
            </w:rPr>
            <w:fldChar w:fldCharType="end"/>
          </w:r>
          <w:r w:rsidR="00C85D3A">
            <w:t xml:space="preserve">                                                                                                                                                                                                                                                                                                                                                                                     </w:t>
          </w:r>
        </w:p>
      </w:tc>
      <w:tc>
        <w:tcPr>
          <w:tcW w:w="1701" w:type="dxa"/>
        </w:tcPr>
        <w:p w14:paraId="543CD39F" w14:textId="176E94DA" w:rsidR="00C85D3A" w:rsidRDefault="00C85D3A" w:rsidP="00C85D3A">
          <w:pPr>
            <w:pStyle w:val="HeaderEven"/>
            <w:jc w:val="right"/>
            <w:rPr>
              <w:b/>
            </w:rPr>
          </w:pPr>
          <w:r>
            <w:rPr>
              <w:b/>
            </w:rPr>
            <w:fldChar w:fldCharType="begin"/>
          </w:r>
          <w:r>
            <w:rPr>
              <w:b/>
            </w:rPr>
            <w:instrText xml:space="preserve"> STYLEREF CharPartNo \*charformat </w:instrText>
          </w:r>
          <w:r>
            <w:rPr>
              <w:b/>
            </w:rPr>
            <w:fldChar w:fldCharType="separate"/>
          </w:r>
          <w:r w:rsidR="00856BEE">
            <w:rPr>
              <w:b/>
              <w:noProof/>
            </w:rPr>
            <w:t>Part 9.3</w:t>
          </w:r>
          <w:r>
            <w:rPr>
              <w:b/>
            </w:rPr>
            <w:fldChar w:fldCharType="end"/>
          </w:r>
          <w:r>
            <w:rPr>
              <w:b/>
            </w:rPr>
            <w:t xml:space="preserve">                                                                                                 </w:t>
          </w:r>
        </w:p>
      </w:tc>
    </w:tr>
    <w:tr w:rsidR="00C85D3A" w14:paraId="290D1E11" w14:textId="77777777" w:rsidTr="00C85D3A">
      <w:tc>
        <w:tcPr>
          <w:tcW w:w="6320" w:type="dxa"/>
        </w:tcPr>
        <w:p w14:paraId="63654CD5" w14:textId="2CC2C59D" w:rsidR="00C85D3A" w:rsidRDefault="00856BEE" w:rsidP="00C85D3A">
          <w:pPr>
            <w:pStyle w:val="HeaderEven"/>
            <w:jc w:val="right"/>
          </w:pPr>
          <w:r>
            <w:fldChar w:fldCharType="begin"/>
          </w:r>
          <w:r>
            <w:instrText xml:space="preserve"> STYLEREF CharDivText \*charformat </w:instrText>
          </w:r>
          <w:r>
            <w:fldChar w:fldCharType="separate"/>
          </w:r>
          <w:r>
            <w:rPr>
              <w:noProof/>
            </w:rPr>
            <w:t>Further powers in relation to heavy vehicles concerning mass, dimension or loading requirements</w:t>
          </w:r>
          <w:r>
            <w:rPr>
              <w:noProof/>
            </w:rPr>
            <w:fldChar w:fldCharType="end"/>
          </w:r>
          <w:r w:rsidR="00C85D3A">
            <w:t xml:space="preserve">                                                                                                                                                                                                                                                                                                                                                                                       </w:t>
          </w:r>
        </w:p>
      </w:tc>
      <w:tc>
        <w:tcPr>
          <w:tcW w:w="1701" w:type="dxa"/>
        </w:tcPr>
        <w:p w14:paraId="40416D5B" w14:textId="4687ACA1" w:rsidR="00C85D3A" w:rsidRDefault="00C85D3A" w:rsidP="00C85D3A">
          <w:pPr>
            <w:pStyle w:val="HeaderEven"/>
            <w:jc w:val="right"/>
            <w:rPr>
              <w:b/>
            </w:rPr>
          </w:pPr>
          <w:r>
            <w:rPr>
              <w:b/>
            </w:rPr>
            <w:fldChar w:fldCharType="begin"/>
          </w:r>
          <w:r>
            <w:rPr>
              <w:b/>
            </w:rPr>
            <w:instrText xml:space="preserve"> STYLEREF CharDivNo \*charformat </w:instrText>
          </w:r>
          <w:r>
            <w:rPr>
              <w:b/>
            </w:rPr>
            <w:fldChar w:fldCharType="separate"/>
          </w:r>
          <w:r w:rsidR="00856BEE">
            <w:rPr>
              <w:b/>
              <w:noProof/>
            </w:rPr>
            <w:t>Division 7</w:t>
          </w:r>
          <w:r>
            <w:rPr>
              <w:b/>
            </w:rPr>
            <w:fldChar w:fldCharType="end"/>
          </w:r>
          <w:r>
            <w:rPr>
              <w:b/>
            </w:rPr>
            <w:t xml:space="preserve">                                                                                            </w:t>
          </w:r>
        </w:p>
      </w:tc>
    </w:tr>
    <w:tr w:rsidR="00C85D3A" w14:paraId="02DAA28C" w14:textId="77777777" w:rsidTr="00C85D3A">
      <w:trPr>
        <w:cantSplit/>
      </w:trPr>
      <w:tc>
        <w:tcPr>
          <w:tcW w:w="1701" w:type="dxa"/>
          <w:gridSpan w:val="2"/>
          <w:tcBorders>
            <w:bottom w:val="single" w:sz="4" w:space="0" w:color="auto"/>
          </w:tcBorders>
        </w:tcPr>
        <w:p w14:paraId="77473C21" w14:textId="5196B82A" w:rsidR="00C85D3A" w:rsidRDefault="00856BEE" w:rsidP="00C85D3A">
          <w:pPr>
            <w:pStyle w:val="HeaderOdd6"/>
          </w:pPr>
          <w:r>
            <w:fldChar w:fldCharType="begin"/>
          </w:r>
          <w:r>
            <w:instrText xml:space="preserve"> DOCPROPERTY "Company"  \* MERGEFORMAT </w:instrText>
          </w:r>
          <w:r>
            <w:fldChar w:fldCharType="separate"/>
          </w:r>
          <w:r w:rsidR="00EF7DDF">
            <w:t>Section</w:t>
          </w:r>
          <w:r>
            <w:fldChar w:fldCharType="end"/>
          </w:r>
          <w:r w:rsidR="00C85D3A">
            <w:t xml:space="preserve"> </w:t>
          </w:r>
          <w:r w:rsidR="00C85D3A">
            <w:rPr>
              <w:noProof/>
            </w:rPr>
            <w:fldChar w:fldCharType="begin"/>
          </w:r>
          <w:r w:rsidR="00C85D3A">
            <w:rPr>
              <w:noProof/>
            </w:rPr>
            <w:instrText xml:space="preserve"> STYLEREF CharSectNo \*charformat </w:instrText>
          </w:r>
          <w:r w:rsidR="00C85D3A">
            <w:rPr>
              <w:noProof/>
            </w:rPr>
            <w:fldChar w:fldCharType="separate"/>
          </w:r>
          <w:r>
            <w:rPr>
              <w:noProof/>
            </w:rPr>
            <w:t>535</w:t>
          </w:r>
          <w:r w:rsidR="00C85D3A">
            <w:rPr>
              <w:noProof/>
            </w:rPr>
            <w:fldChar w:fldCharType="end"/>
          </w:r>
          <w:r w:rsidR="00C85D3A">
            <w:rPr>
              <w:noProof/>
            </w:rPr>
            <w:t xml:space="preserve">                                                                                                                                                                                                                                           </w:t>
          </w:r>
        </w:p>
      </w:tc>
    </w:tr>
  </w:tbl>
  <w:p w14:paraId="189A7F59" w14:textId="77777777" w:rsidR="00C85D3A" w:rsidRDefault="00C85D3A" w:rsidP="00C85D3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EF7DDF" w14:paraId="518026F3" w14:textId="77777777" w:rsidTr="007A5E5F">
      <w:tc>
        <w:tcPr>
          <w:tcW w:w="1701" w:type="dxa"/>
        </w:tcPr>
        <w:p w14:paraId="01127C00" w14:textId="23D93226" w:rsidR="004B6000" w:rsidRDefault="004B6000" w:rsidP="007A5E5F">
          <w:pPr>
            <w:pStyle w:val="HeaderEven"/>
            <w:rPr>
              <w:b/>
            </w:rPr>
          </w:pPr>
          <w:r>
            <w:rPr>
              <w:b/>
            </w:rPr>
            <w:fldChar w:fldCharType="begin"/>
          </w:r>
          <w:r>
            <w:rPr>
              <w:b/>
            </w:rPr>
            <w:instrText xml:space="preserve"> STYLEREF CharChapNo \*charformat  </w:instrText>
          </w:r>
          <w:r>
            <w:rPr>
              <w:b/>
            </w:rPr>
            <w:fldChar w:fldCharType="separate"/>
          </w:r>
          <w:r w:rsidR="00856BEE">
            <w:rPr>
              <w:b/>
              <w:noProof/>
            </w:rPr>
            <w:t>Chapter 14</w:t>
          </w:r>
          <w:r>
            <w:rPr>
              <w:b/>
            </w:rPr>
            <w:fldChar w:fldCharType="end"/>
          </w:r>
          <w:r>
            <w:rPr>
              <w:b/>
            </w:rPr>
            <w:t xml:space="preserve">                                                                                                                                </w:t>
          </w:r>
        </w:p>
      </w:tc>
      <w:tc>
        <w:tcPr>
          <w:tcW w:w="6320" w:type="dxa"/>
        </w:tcPr>
        <w:p w14:paraId="3D2BB9B5" w14:textId="7D7ADDAE" w:rsidR="004B6000" w:rsidRDefault="004B6000" w:rsidP="007A5E5F">
          <w:pPr>
            <w:pStyle w:val="HeaderEven"/>
          </w:pPr>
          <w:r>
            <w:rPr>
              <w:noProof/>
            </w:rPr>
            <w:fldChar w:fldCharType="begin"/>
          </w:r>
          <w:r>
            <w:rPr>
              <w:noProof/>
            </w:rPr>
            <w:instrText xml:space="preserve"> STYLEREF CharChapText \*charformat  </w:instrText>
          </w:r>
          <w:r>
            <w:rPr>
              <w:noProof/>
            </w:rPr>
            <w:fldChar w:fldCharType="separate"/>
          </w:r>
          <w:r w:rsidR="00856BEE">
            <w:rPr>
              <w:noProof/>
            </w:rPr>
            <w:t>Savings and transitional provisions</w:t>
          </w:r>
          <w:r>
            <w:rPr>
              <w:noProof/>
            </w:rPr>
            <w:fldChar w:fldCharType="end"/>
          </w:r>
          <w:r>
            <w:rPr>
              <w:noProof/>
            </w:rPr>
            <w:t xml:space="preserve">                                                                                                                                                                                                                                                                                                </w:t>
          </w:r>
        </w:p>
      </w:tc>
    </w:tr>
    <w:tr w:rsidR="00EF7DDF" w14:paraId="310A3929" w14:textId="77777777" w:rsidTr="007A5E5F">
      <w:tc>
        <w:tcPr>
          <w:tcW w:w="1701" w:type="dxa"/>
        </w:tcPr>
        <w:p w14:paraId="3C63278C" w14:textId="63B85521" w:rsidR="004B6000" w:rsidRDefault="004B6000" w:rsidP="007A5E5F">
          <w:pPr>
            <w:pStyle w:val="HeaderEven"/>
            <w:rPr>
              <w:b/>
            </w:rPr>
          </w:pPr>
          <w:r>
            <w:rPr>
              <w:b/>
            </w:rPr>
            <w:fldChar w:fldCharType="begin"/>
          </w:r>
          <w:r>
            <w:rPr>
              <w:b/>
            </w:rPr>
            <w:instrText xml:space="preserve"> STYLEREF CharPartNo \*charformat </w:instrText>
          </w:r>
          <w:r>
            <w:rPr>
              <w:b/>
            </w:rPr>
            <w:fldChar w:fldCharType="separate"/>
          </w:r>
          <w:r w:rsidR="00856BEE">
            <w:rPr>
              <w:b/>
              <w:noProof/>
            </w:rPr>
            <w:t>Part 14.3</w:t>
          </w:r>
          <w:r>
            <w:rPr>
              <w:b/>
            </w:rPr>
            <w:fldChar w:fldCharType="end"/>
          </w:r>
          <w:r>
            <w:rPr>
              <w:b/>
            </w:rPr>
            <w:t xml:space="preserve">                                                                                                   </w:t>
          </w:r>
        </w:p>
      </w:tc>
      <w:tc>
        <w:tcPr>
          <w:tcW w:w="6320" w:type="dxa"/>
        </w:tcPr>
        <w:p w14:paraId="42F0F595" w14:textId="679F14DE" w:rsidR="004B6000" w:rsidRDefault="00856BEE" w:rsidP="007A5E5F">
          <w:pPr>
            <w:pStyle w:val="HeaderEven"/>
          </w:pPr>
          <w:r>
            <w:fldChar w:fldCharType="begin"/>
          </w:r>
          <w:r>
            <w:instrText xml:space="preserve"> STYLEREF CharPartText \*charformat </w:instrText>
          </w:r>
          <w:r>
            <w:fldChar w:fldCharType="separate"/>
          </w:r>
          <w:r>
            <w:rPr>
              <w:noProof/>
            </w:rPr>
            <w:t>Heavy Vehicle National Law Amendment Act 2015 (Queensland)</w:t>
          </w:r>
          <w:r>
            <w:rPr>
              <w:noProof/>
            </w:rPr>
            <w:fldChar w:fldCharType="end"/>
          </w:r>
          <w:r w:rsidR="004B6000">
            <w:t xml:space="preserve">                                                                                                                                                                                                                                                       </w:t>
          </w:r>
        </w:p>
      </w:tc>
    </w:tr>
    <w:tr w:rsidR="00EF7DDF" w14:paraId="57048218" w14:textId="77777777" w:rsidTr="007A5E5F">
      <w:tc>
        <w:tcPr>
          <w:tcW w:w="1701" w:type="dxa"/>
        </w:tcPr>
        <w:p w14:paraId="703FA02D" w14:textId="10ADFCAB" w:rsidR="004B6000" w:rsidRDefault="004B6000" w:rsidP="007A5E5F">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53F0C6B9" w14:textId="369E928D" w:rsidR="004B6000" w:rsidRDefault="00856BEE" w:rsidP="007A5E5F">
          <w:pPr>
            <w:pStyle w:val="HeaderEven"/>
          </w:pPr>
          <w:r>
            <w:fldChar w:fldCharType="begin"/>
          </w:r>
          <w:r>
            <w:instrText xml:space="preserve"> STYLEREF CharDivText \*charformat </w:instrText>
          </w:r>
          <w:r>
            <w:rPr>
              <w:noProof/>
            </w:rPr>
            <w:fldChar w:fldCharType="end"/>
          </w:r>
          <w:r w:rsidR="004B6000">
            <w:t xml:space="preserve">                                                                                                                                                                                                                                                                      </w:t>
          </w:r>
        </w:p>
      </w:tc>
    </w:tr>
    <w:tr w:rsidR="004B6000" w14:paraId="077185C5" w14:textId="77777777" w:rsidTr="007A5E5F">
      <w:trPr>
        <w:cantSplit/>
      </w:trPr>
      <w:tc>
        <w:tcPr>
          <w:tcW w:w="1701" w:type="dxa"/>
          <w:gridSpan w:val="2"/>
          <w:tcBorders>
            <w:bottom w:val="single" w:sz="4" w:space="0" w:color="auto"/>
          </w:tcBorders>
        </w:tcPr>
        <w:p w14:paraId="62FFB938" w14:textId="6136A80A" w:rsidR="004B6000" w:rsidRDefault="00856BEE" w:rsidP="007A5E5F">
          <w:pPr>
            <w:pStyle w:val="HeaderEven6"/>
          </w:pPr>
          <w:r>
            <w:fldChar w:fldCharType="begin"/>
          </w:r>
          <w:r>
            <w:instrText xml:space="preserve"> DOCPROPERTY "Company"  \* MERGEFORMAT </w:instrText>
          </w:r>
          <w:r>
            <w:fldChar w:fldCharType="separate"/>
          </w:r>
          <w:r w:rsidR="00EF7DDF">
            <w:t>Section</w:t>
          </w:r>
          <w:r>
            <w:fldChar w:fldCharType="end"/>
          </w:r>
          <w:r w:rsidR="004B6000">
            <w:t xml:space="preserve"> </w:t>
          </w:r>
          <w:r w:rsidR="004B6000">
            <w:rPr>
              <w:noProof/>
            </w:rPr>
            <w:fldChar w:fldCharType="begin"/>
          </w:r>
          <w:r w:rsidR="004B6000">
            <w:rPr>
              <w:noProof/>
            </w:rPr>
            <w:instrText xml:space="preserve"> STYLEREF CharSectNo \*charformat </w:instrText>
          </w:r>
          <w:r w:rsidR="004B6000">
            <w:rPr>
              <w:noProof/>
            </w:rPr>
            <w:fldChar w:fldCharType="separate"/>
          </w:r>
          <w:r>
            <w:rPr>
              <w:noProof/>
            </w:rPr>
            <w:t>758</w:t>
          </w:r>
          <w:r w:rsidR="004B6000">
            <w:rPr>
              <w:noProof/>
            </w:rPr>
            <w:fldChar w:fldCharType="end"/>
          </w:r>
          <w:r w:rsidR="004B6000">
            <w:rPr>
              <w:noProof/>
            </w:rPr>
            <w:t xml:space="preserve">                                                                                                                                                                                           </w:t>
          </w:r>
        </w:p>
      </w:tc>
    </w:tr>
  </w:tbl>
  <w:p w14:paraId="292583AD" w14:textId="77777777" w:rsidR="004B6000" w:rsidRDefault="004B6000" w:rsidP="007A5E5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EF7DDF" w14:paraId="6DFCEC63" w14:textId="77777777" w:rsidTr="007A5E5F">
      <w:tc>
        <w:tcPr>
          <w:tcW w:w="6320" w:type="dxa"/>
        </w:tcPr>
        <w:p w14:paraId="730BE5CD" w14:textId="17A8232F" w:rsidR="004B6000" w:rsidRDefault="004B6000" w:rsidP="007A5E5F">
          <w:pPr>
            <w:pStyle w:val="HeaderEven"/>
            <w:jc w:val="right"/>
          </w:pPr>
          <w:r>
            <w:rPr>
              <w:noProof/>
            </w:rPr>
            <w:fldChar w:fldCharType="begin"/>
          </w:r>
          <w:r>
            <w:rPr>
              <w:noProof/>
            </w:rPr>
            <w:instrText xml:space="preserve"> STYLEREF CharChapText \*charformat  </w:instrText>
          </w:r>
          <w:r>
            <w:rPr>
              <w:noProof/>
            </w:rPr>
            <w:fldChar w:fldCharType="separate"/>
          </w:r>
          <w:r w:rsidR="00856BEE">
            <w:rPr>
              <w:noProof/>
            </w:rPr>
            <w:t>Savings and transitional provisions</w:t>
          </w:r>
          <w:r>
            <w:rPr>
              <w:noProof/>
            </w:rPr>
            <w:fldChar w:fldCharType="end"/>
          </w:r>
          <w:r>
            <w:rPr>
              <w:noProof/>
            </w:rPr>
            <w:t xml:space="preserve">                                                                                                                                                                                                                                                                                                                                                                             </w:t>
          </w:r>
        </w:p>
      </w:tc>
      <w:tc>
        <w:tcPr>
          <w:tcW w:w="1701" w:type="dxa"/>
        </w:tcPr>
        <w:p w14:paraId="2A7BE495" w14:textId="304E400D" w:rsidR="004B6000" w:rsidRDefault="004B6000" w:rsidP="007A5E5F">
          <w:pPr>
            <w:pStyle w:val="HeaderEven"/>
            <w:jc w:val="right"/>
            <w:rPr>
              <w:b/>
            </w:rPr>
          </w:pPr>
          <w:r>
            <w:rPr>
              <w:b/>
            </w:rPr>
            <w:fldChar w:fldCharType="begin"/>
          </w:r>
          <w:r>
            <w:rPr>
              <w:b/>
            </w:rPr>
            <w:instrText xml:space="preserve"> STYLEREF CharChapNo \*charformat  </w:instrText>
          </w:r>
          <w:r>
            <w:rPr>
              <w:b/>
            </w:rPr>
            <w:fldChar w:fldCharType="separate"/>
          </w:r>
          <w:r w:rsidR="00856BEE">
            <w:rPr>
              <w:b/>
              <w:noProof/>
            </w:rPr>
            <w:t>Chapter 14</w:t>
          </w:r>
          <w:r>
            <w:rPr>
              <w:b/>
            </w:rPr>
            <w:fldChar w:fldCharType="end"/>
          </w:r>
          <w:r>
            <w:rPr>
              <w:b/>
            </w:rPr>
            <w:t xml:space="preserve">                                                                                           </w:t>
          </w:r>
        </w:p>
      </w:tc>
    </w:tr>
    <w:tr w:rsidR="00EF7DDF" w14:paraId="2F3B8ACA" w14:textId="77777777" w:rsidTr="007A5E5F">
      <w:tc>
        <w:tcPr>
          <w:tcW w:w="6320" w:type="dxa"/>
        </w:tcPr>
        <w:p w14:paraId="1B057E04" w14:textId="14F93C4C" w:rsidR="004B6000" w:rsidRDefault="00856BEE" w:rsidP="007A5E5F">
          <w:pPr>
            <w:pStyle w:val="HeaderEven"/>
            <w:jc w:val="right"/>
          </w:pPr>
          <w:r>
            <w:fldChar w:fldCharType="begin"/>
          </w:r>
          <w:r>
            <w:instrText xml:space="preserve"> STYLEREF CharPartText \*charformat </w:instrText>
          </w:r>
          <w:r>
            <w:fldChar w:fldCharType="separate"/>
          </w:r>
          <w:r>
            <w:rPr>
              <w:noProof/>
            </w:rPr>
            <w:t>Heavy Vehicle National Law Amendment Act 2015 (Queensland)</w:t>
          </w:r>
          <w:r>
            <w:rPr>
              <w:noProof/>
            </w:rPr>
            <w:fldChar w:fldCharType="end"/>
          </w:r>
          <w:r w:rsidR="004B6000">
            <w:t xml:space="preserve">                                                                                                                                                                                                                                                                                                                                                                                     </w:t>
          </w:r>
        </w:p>
      </w:tc>
      <w:tc>
        <w:tcPr>
          <w:tcW w:w="1701" w:type="dxa"/>
        </w:tcPr>
        <w:p w14:paraId="3CC0103B" w14:textId="44B7C356" w:rsidR="004B6000" w:rsidRDefault="004B6000" w:rsidP="007A5E5F">
          <w:pPr>
            <w:pStyle w:val="HeaderEven"/>
            <w:jc w:val="right"/>
            <w:rPr>
              <w:b/>
            </w:rPr>
          </w:pPr>
          <w:r>
            <w:rPr>
              <w:b/>
            </w:rPr>
            <w:fldChar w:fldCharType="begin"/>
          </w:r>
          <w:r>
            <w:rPr>
              <w:b/>
            </w:rPr>
            <w:instrText xml:space="preserve"> STYLEREF CharPartNo \*charformat </w:instrText>
          </w:r>
          <w:r>
            <w:rPr>
              <w:b/>
            </w:rPr>
            <w:fldChar w:fldCharType="separate"/>
          </w:r>
          <w:r w:rsidR="00856BEE">
            <w:rPr>
              <w:b/>
              <w:noProof/>
            </w:rPr>
            <w:t>Part 14.3</w:t>
          </w:r>
          <w:r>
            <w:rPr>
              <w:b/>
            </w:rPr>
            <w:fldChar w:fldCharType="end"/>
          </w:r>
          <w:r>
            <w:rPr>
              <w:b/>
            </w:rPr>
            <w:t xml:space="preserve">                                                                                                 </w:t>
          </w:r>
        </w:p>
      </w:tc>
    </w:tr>
    <w:tr w:rsidR="00EF7DDF" w14:paraId="36E33BB8" w14:textId="77777777" w:rsidTr="007A5E5F">
      <w:tc>
        <w:tcPr>
          <w:tcW w:w="6320" w:type="dxa"/>
        </w:tcPr>
        <w:p w14:paraId="1A483BAE" w14:textId="5F60D633" w:rsidR="004B6000" w:rsidRDefault="00856BEE" w:rsidP="007A5E5F">
          <w:pPr>
            <w:pStyle w:val="HeaderEven"/>
            <w:jc w:val="right"/>
          </w:pPr>
          <w:r>
            <w:fldChar w:fldCharType="begin"/>
          </w:r>
          <w:r>
            <w:instrText xml:space="preserve"> STYLEREF CharDivText \*charformat </w:instrText>
          </w:r>
          <w:r>
            <w:rPr>
              <w:noProof/>
            </w:rPr>
            <w:fldChar w:fldCharType="end"/>
          </w:r>
          <w:r w:rsidR="004B6000">
            <w:t xml:space="preserve">                                                                                                                                                                                                                                                                                                                                                                                       </w:t>
          </w:r>
        </w:p>
      </w:tc>
      <w:tc>
        <w:tcPr>
          <w:tcW w:w="1701" w:type="dxa"/>
        </w:tcPr>
        <w:p w14:paraId="602642F3" w14:textId="092F5DD7" w:rsidR="004B6000" w:rsidRDefault="004B6000" w:rsidP="007A5E5F">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4B6000" w14:paraId="58B13BED" w14:textId="77777777" w:rsidTr="007A5E5F">
      <w:trPr>
        <w:cantSplit/>
      </w:trPr>
      <w:tc>
        <w:tcPr>
          <w:tcW w:w="1701" w:type="dxa"/>
          <w:gridSpan w:val="2"/>
          <w:tcBorders>
            <w:bottom w:val="single" w:sz="4" w:space="0" w:color="auto"/>
          </w:tcBorders>
        </w:tcPr>
        <w:p w14:paraId="4676DAB5" w14:textId="349D1BE8" w:rsidR="004B6000" w:rsidRDefault="00856BEE" w:rsidP="007A5E5F">
          <w:pPr>
            <w:pStyle w:val="HeaderOdd6"/>
          </w:pPr>
          <w:r>
            <w:fldChar w:fldCharType="begin"/>
          </w:r>
          <w:r>
            <w:instrText xml:space="preserve"> DOCPROPERTY "Company"  \* ME</w:instrText>
          </w:r>
          <w:r>
            <w:instrText xml:space="preserve">RGEFORMAT </w:instrText>
          </w:r>
          <w:r>
            <w:fldChar w:fldCharType="separate"/>
          </w:r>
          <w:r w:rsidR="00EF7DDF">
            <w:t>Section</w:t>
          </w:r>
          <w:r>
            <w:fldChar w:fldCharType="end"/>
          </w:r>
          <w:r w:rsidR="004B6000">
            <w:t xml:space="preserve"> </w:t>
          </w:r>
          <w:r w:rsidR="004B6000">
            <w:rPr>
              <w:noProof/>
            </w:rPr>
            <w:fldChar w:fldCharType="begin"/>
          </w:r>
          <w:r w:rsidR="004B6000">
            <w:rPr>
              <w:noProof/>
            </w:rPr>
            <w:instrText xml:space="preserve"> STYLEREF CharSectNo \*charformat </w:instrText>
          </w:r>
          <w:r w:rsidR="004B6000">
            <w:rPr>
              <w:noProof/>
            </w:rPr>
            <w:fldChar w:fldCharType="separate"/>
          </w:r>
          <w:r>
            <w:rPr>
              <w:noProof/>
            </w:rPr>
            <w:t>758</w:t>
          </w:r>
          <w:r w:rsidR="004B6000">
            <w:rPr>
              <w:noProof/>
            </w:rPr>
            <w:fldChar w:fldCharType="end"/>
          </w:r>
          <w:r w:rsidR="004B6000">
            <w:rPr>
              <w:noProof/>
            </w:rPr>
            <w:t xml:space="preserve">                                                                                                                                                                                                                                           </w:t>
          </w:r>
        </w:p>
      </w:tc>
    </w:tr>
  </w:tbl>
  <w:p w14:paraId="2254DBB3" w14:textId="77777777" w:rsidR="004B6000" w:rsidRDefault="004B6000" w:rsidP="007A5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618D" w14:textId="77777777" w:rsidR="00856BEE" w:rsidRDefault="00856BE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7"/>
      <w:gridCol w:w="6049"/>
    </w:tblGrid>
    <w:tr w:rsidR="00C85D3A" w14:paraId="00AA716E" w14:textId="77777777" w:rsidTr="00982619">
      <w:tc>
        <w:tcPr>
          <w:tcW w:w="1701" w:type="dxa"/>
        </w:tcPr>
        <w:p w14:paraId="6A007B93" w14:textId="7E490DDC" w:rsidR="00C85D3A" w:rsidRDefault="00C85D3A">
          <w:pPr>
            <w:pStyle w:val="HeaderEven"/>
            <w:rPr>
              <w:b/>
            </w:rPr>
          </w:pPr>
          <w:r>
            <w:rPr>
              <w:b/>
            </w:rPr>
            <w:fldChar w:fldCharType="begin"/>
          </w:r>
          <w:r>
            <w:rPr>
              <w:b/>
            </w:rPr>
            <w:instrText xml:space="preserve"> STYLEREF CharChapNo \*charformat  </w:instrText>
          </w:r>
          <w:r>
            <w:rPr>
              <w:b/>
            </w:rPr>
            <w:fldChar w:fldCharType="separate"/>
          </w:r>
          <w:r w:rsidR="00856BEE">
            <w:rPr>
              <w:b/>
              <w:noProof/>
            </w:rPr>
            <w:t>Chapter 14</w:t>
          </w:r>
          <w:r>
            <w:rPr>
              <w:b/>
            </w:rPr>
            <w:fldChar w:fldCharType="end"/>
          </w:r>
          <w:r>
            <w:rPr>
              <w:b/>
            </w:rPr>
            <w:t xml:space="preserve">                                                                                                                                             </w:t>
          </w:r>
        </w:p>
      </w:tc>
      <w:tc>
        <w:tcPr>
          <w:tcW w:w="6320" w:type="dxa"/>
        </w:tcPr>
        <w:p w14:paraId="2F919FC1" w14:textId="18159887" w:rsidR="00C85D3A" w:rsidRDefault="00C85D3A">
          <w:pPr>
            <w:pStyle w:val="HeaderEven"/>
          </w:pPr>
          <w:r>
            <w:rPr>
              <w:noProof/>
            </w:rPr>
            <w:fldChar w:fldCharType="begin"/>
          </w:r>
          <w:r>
            <w:rPr>
              <w:noProof/>
            </w:rPr>
            <w:instrText xml:space="preserve"> STYLEREF CharChapText \*charformat  </w:instrText>
          </w:r>
          <w:r>
            <w:rPr>
              <w:noProof/>
            </w:rPr>
            <w:fldChar w:fldCharType="separate"/>
          </w:r>
          <w:r w:rsidR="00856BEE">
            <w:rPr>
              <w:noProof/>
            </w:rPr>
            <w:t>Savings and transitional provisions</w:t>
          </w:r>
          <w:r>
            <w:rPr>
              <w:noProof/>
            </w:rPr>
            <w:fldChar w:fldCharType="end"/>
          </w:r>
          <w:r>
            <w:rPr>
              <w:noProof/>
            </w:rPr>
            <w:t xml:space="preserve">                                                                                                                                                                                                                                                                                                                                                </w:t>
          </w:r>
        </w:p>
      </w:tc>
    </w:tr>
    <w:tr w:rsidR="00C85D3A" w14:paraId="5A023433" w14:textId="77777777" w:rsidTr="00982619">
      <w:tc>
        <w:tcPr>
          <w:tcW w:w="1701" w:type="dxa"/>
        </w:tcPr>
        <w:p w14:paraId="25CE32EC" w14:textId="1D94571A" w:rsidR="00C85D3A" w:rsidRDefault="00C85D3A">
          <w:pPr>
            <w:pStyle w:val="HeaderEven"/>
            <w:rPr>
              <w:b/>
            </w:rPr>
          </w:pPr>
          <w:r>
            <w:rPr>
              <w:b/>
            </w:rPr>
            <w:fldChar w:fldCharType="begin"/>
          </w:r>
          <w:r>
            <w:rPr>
              <w:b/>
            </w:rPr>
            <w:instrText xml:space="preserve"> STYLEREF CharPartNo \*charformat </w:instrText>
          </w:r>
          <w:r>
            <w:rPr>
              <w:b/>
            </w:rPr>
            <w:fldChar w:fldCharType="separate"/>
          </w:r>
          <w:r w:rsidR="00856BEE">
            <w:rPr>
              <w:b/>
              <w:noProof/>
            </w:rPr>
            <w:t>Part 14.4</w:t>
          </w:r>
          <w:r>
            <w:rPr>
              <w:b/>
            </w:rPr>
            <w:fldChar w:fldCharType="end"/>
          </w:r>
          <w:r>
            <w:rPr>
              <w:b/>
            </w:rPr>
            <w:t xml:space="preserve">                                                                                                                                    </w:t>
          </w:r>
        </w:p>
      </w:tc>
      <w:tc>
        <w:tcPr>
          <w:tcW w:w="6320" w:type="dxa"/>
        </w:tcPr>
        <w:p w14:paraId="728456C8" w14:textId="0D555817" w:rsidR="00C85D3A" w:rsidRDefault="00856BEE">
          <w:pPr>
            <w:pStyle w:val="HeaderEven"/>
          </w:pPr>
          <w:r>
            <w:fldChar w:fldCharType="begin"/>
          </w:r>
          <w:r>
            <w:instrText xml:space="preserve"> STYLEREF CharPartText \*charformat </w:instrText>
          </w:r>
          <w:r>
            <w:fldChar w:fldCharType="separate"/>
          </w:r>
          <w:r>
            <w:rPr>
              <w:noProof/>
            </w:rPr>
            <w:t>Heavy Vehicle National Law and Other Legislation Amendment Act 2016 (Queensland)</w:t>
          </w:r>
          <w:r>
            <w:rPr>
              <w:noProof/>
            </w:rPr>
            <w:fldChar w:fldCharType="end"/>
          </w:r>
          <w:r w:rsidR="00C85D3A">
            <w:t xml:space="preserve">                                                                                                                                                                                                                                                                                                    </w:t>
          </w:r>
        </w:p>
      </w:tc>
    </w:tr>
    <w:tr w:rsidR="00C85D3A" w14:paraId="5C7643A5" w14:textId="77777777" w:rsidTr="00982619">
      <w:tc>
        <w:tcPr>
          <w:tcW w:w="1701" w:type="dxa"/>
        </w:tcPr>
        <w:p w14:paraId="21995C39" w14:textId="79B88C92" w:rsidR="00C85D3A" w:rsidRDefault="00C85D3A">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1373CC6E" w14:textId="6869F0DA" w:rsidR="00C85D3A" w:rsidRDefault="00C85D3A">
          <w:pPr>
            <w:pStyle w:val="HeaderEven"/>
          </w:pPr>
          <w:r>
            <w:fldChar w:fldCharType="begin"/>
          </w:r>
          <w:r>
            <w:instrText xml:space="preserve"> STYLEREF CharDivText \*charformat </w:instrText>
          </w:r>
          <w:r>
            <w:fldChar w:fldCharType="end"/>
          </w:r>
          <w:r>
            <w:t xml:space="preserve">                                                                                                                                                                                                                                                                                                                                                                                      </w:t>
          </w:r>
        </w:p>
      </w:tc>
    </w:tr>
    <w:tr w:rsidR="00C85D3A" w14:paraId="705C732E" w14:textId="77777777" w:rsidTr="00982619">
      <w:trPr>
        <w:cantSplit/>
      </w:trPr>
      <w:tc>
        <w:tcPr>
          <w:tcW w:w="1701" w:type="dxa"/>
          <w:gridSpan w:val="2"/>
          <w:tcBorders>
            <w:bottom w:val="single" w:sz="4" w:space="0" w:color="auto"/>
          </w:tcBorders>
        </w:tcPr>
        <w:p w14:paraId="400DE6CF" w14:textId="02F14F8D" w:rsidR="00C85D3A" w:rsidRDefault="00856BEE">
          <w:pPr>
            <w:pStyle w:val="HeaderEven6"/>
          </w:pPr>
          <w:r>
            <w:fldChar w:fldCharType="begin"/>
          </w:r>
          <w:r>
            <w:instrText xml:space="preserve"> DOCPROPERTY "Company"  \* MERGEFORMAT </w:instrText>
          </w:r>
          <w:r>
            <w:fldChar w:fldCharType="separate"/>
          </w:r>
          <w:r w:rsidR="00EF7DDF">
            <w:t>Section</w:t>
          </w:r>
          <w:r>
            <w:fldChar w:fldCharType="end"/>
          </w:r>
          <w:r w:rsidR="00C85D3A">
            <w:t xml:space="preserve"> </w:t>
          </w:r>
          <w:r w:rsidR="00C85D3A">
            <w:rPr>
              <w:noProof/>
            </w:rPr>
            <w:fldChar w:fldCharType="begin"/>
          </w:r>
          <w:r w:rsidR="00C85D3A">
            <w:rPr>
              <w:noProof/>
            </w:rPr>
            <w:instrText xml:space="preserve"> STYLEREF CharSectNo \*charformat </w:instrText>
          </w:r>
          <w:r w:rsidR="00C85D3A">
            <w:rPr>
              <w:noProof/>
            </w:rPr>
            <w:fldChar w:fldCharType="separate"/>
          </w:r>
          <w:r>
            <w:rPr>
              <w:noProof/>
            </w:rPr>
            <w:t>759</w:t>
          </w:r>
          <w:r w:rsidR="00C85D3A">
            <w:rPr>
              <w:noProof/>
            </w:rPr>
            <w:fldChar w:fldCharType="end"/>
          </w:r>
          <w:r w:rsidR="00C85D3A">
            <w:rPr>
              <w:noProof/>
            </w:rPr>
            <w:t xml:space="preserve">                                                                                                                                                                                                                           </w:t>
          </w:r>
        </w:p>
      </w:tc>
    </w:tr>
  </w:tbl>
  <w:p w14:paraId="25BB9FB4" w14:textId="77777777" w:rsidR="00C85D3A" w:rsidRDefault="00C85D3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7"/>
    </w:tblGrid>
    <w:tr w:rsidR="00C85D3A" w14:paraId="1A8DAD98" w14:textId="77777777" w:rsidTr="00982619">
      <w:tc>
        <w:tcPr>
          <w:tcW w:w="6320" w:type="dxa"/>
        </w:tcPr>
        <w:p w14:paraId="22DADD6D" w14:textId="62C0E95E" w:rsidR="00C85D3A" w:rsidRDefault="00C85D3A">
          <w:pPr>
            <w:pStyle w:val="HeaderEven"/>
            <w:jc w:val="right"/>
          </w:pPr>
          <w:r>
            <w:rPr>
              <w:noProof/>
            </w:rPr>
            <w:fldChar w:fldCharType="begin"/>
          </w:r>
          <w:r>
            <w:rPr>
              <w:noProof/>
            </w:rPr>
            <w:instrText xml:space="preserve"> STYLEREF CharChapText \*charformat  </w:instrText>
          </w:r>
          <w:r>
            <w:rPr>
              <w:noProof/>
            </w:rPr>
            <w:fldChar w:fldCharType="separate"/>
          </w:r>
          <w:r w:rsidR="00EF7DDF">
            <w:rPr>
              <w:noProof/>
            </w:rPr>
            <w:t>Savings and transitional provisions</w:t>
          </w:r>
          <w:r>
            <w:rPr>
              <w:noProof/>
            </w:rPr>
            <w:fldChar w:fldCharType="end"/>
          </w:r>
          <w:r>
            <w:rPr>
              <w:noProof/>
            </w:rPr>
            <w:t xml:space="preserve">                                                                                                                                                                                                                                                      </w:t>
          </w:r>
        </w:p>
      </w:tc>
      <w:tc>
        <w:tcPr>
          <w:tcW w:w="1701" w:type="dxa"/>
        </w:tcPr>
        <w:p w14:paraId="416D561F" w14:textId="441ECF79" w:rsidR="00C85D3A" w:rsidRDefault="00C85D3A">
          <w:pPr>
            <w:pStyle w:val="HeaderEven"/>
            <w:jc w:val="right"/>
            <w:rPr>
              <w:b/>
            </w:rPr>
          </w:pPr>
          <w:r>
            <w:rPr>
              <w:b/>
            </w:rPr>
            <w:fldChar w:fldCharType="begin"/>
          </w:r>
          <w:r>
            <w:rPr>
              <w:b/>
            </w:rPr>
            <w:instrText xml:space="preserve"> STYLEREF CharChapNo \*charformat  </w:instrText>
          </w:r>
          <w:r>
            <w:rPr>
              <w:b/>
            </w:rPr>
            <w:fldChar w:fldCharType="separate"/>
          </w:r>
          <w:r w:rsidR="00EF7DDF">
            <w:rPr>
              <w:b/>
              <w:noProof/>
            </w:rPr>
            <w:t>Chapter 14</w:t>
          </w:r>
          <w:r>
            <w:rPr>
              <w:b/>
            </w:rPr>
            <w:fldChar w:fldCharType="end"/>
          </w:r>
          <w:r>
            <w:rPr>
              <w:b/>
            </w:rPr>
            <w:t xml:space="preserve">                                                                              </w:t>
          </w:r>
        </w:p>
      </w:tc>
    </w:tr>
    <w:tr w:rsidR="00C85D3A" w14:paraId="00676324" w14:textId="77777777" w:rsidTr="00982619">
      <w:tc>
        <w:tcPr>
          <w:tcW w:w="6320" w:type="dxa"/>
        </w:tcPr>
        <w:p w14:paraId="48495AE3" w14:textId="3ADA57F9" w:rsidR="00C85D3A" w:rsidRDefault="00856BEE">
          <w:pPr>
            <w:pStyle w:val="HeaderEven"/>
            <w:jc w:val="right"/>
          </w:pPr>
          <w:r>
            <w:fldChar w:fldCharType="begin"/>
          </w:r>
          <w:r>
            <w:instrText xml:space="preserve"> STYLEREF CharPartText \*charformat </w:instrText>
          </w:r>
          <w:r>
            <w:fldChar w:fldCharType="separate"/>
          </w:r>
          <w:r w:rsidR="00EF7DDF">
            <w:rPr>
              <w:noProof/>
            </w:rPr>
            <w:t>Heavy Vehicle National Law Amendment Act 2015 (Queensland)</w:t>
          </w:r>
          <w:r>
            <w:rPr>
              <w:noProof/>
            </w:rPr>
            <w:fldChar w:fldCharType="end"/>
          </w:r>
          <w:r w:rsidR="00C85D3A">
            <w:t xml:space="preserve">                                                                                                                                                                                                                                     </w:t>
          </w:r>
        </w:p>
      </w:tc>
      <w:tc>
        <w:tcPr>
          <w:tcW w:w="1701" w:type="dxa"/>
        </w:tcPr>
        <w:p w14:paraId="413098EC" w14:textId="3C3FE86C" w:rsidR="00C85D3A" w:rsidRDefault="00C85D3A">
          <w:pPr>
            <w:pStyle w:val="HeaderEven"/>
            <w:jc w:val="right"/>
            <w:rPr>
              <w:b/>
            </w:rPr>
          </w:pPr>
          <w:r>
            <w:rPr>
              <w:b/>
            </w:rPr>
            <w:fldChar w:fldCharType="begin"/>
          </w:r>
          <w:r>
            <w:rPr>
              <w:b/>
            </w:rPr>
            <w:instrText xml:space="preserve"> STYLEREF CharPartNo \*charformat </w:instrText>
          </w:r>
          <w:r>
            <w:rPr>
              <w:b/>
            </w:rPr>
            <w:fldChar w:fldCharType="separate"/>
          </w:r>
          <w:r w:rsidR="00EF7DDF">
            <w:rPr>
              <w:b/>
              <w:noProof/>
            </w:rPr>
            <w:t>Part 14.3</w:t>
          </w:r>
          <w:r>
            <w:rPr>
              <w:b/>
            </w:rPr>
            <w:fldChar w:fldCharType="end"/>
          </w:r>
          <w:r>
            <w:rPr>
              <w:b/>
            </w:rPr>
            <w:t xml:space="preserve">                                                                                                                           </w:t>
          </w:r>
        </w:p>
      </w:tc>
    </w:tr>
    <w:tr w:rsidR="00C85D3A" w14:paraId="5E0A4E2E" w14:textId="77777777" w:rsidTr="00982619">
      <w:tc>
        <w:tcPr>
          <w:tcW w:w="6320" w:type="dxa"/>
        </w:tcPr>
        <w:p w14:paraId="1953018C" w14:textId="5A66C08E" w:rsidR="00C85D3A" w:rsidRDefault="00C85D3A">
          <w:pPr>
            <w:pStyle w:val="HeaderEven"/>
            <w:jc w:val="right"/>
          </w:pPr>
          <w:r>
            <w:fldChar w:fldCharType="begin"/>
          </w:r>
          <w:r>
            <w:instrText xml:space="preserve"> STYLEREF CharDivText \*charformat </w:instrText>
          </w:r>
          <w:r>
            <w:fldChar w:fldCharType="end"/>
          </w:r>
          <w:r>
            <w:t xml:space="preserve">                                                                                                                                                                 </w:t>
          </w:r>
        </w:p>
      </w:tc>
      <w:tc>
        <w:tcPr>
          <w:tcW w:w="1701" w:type="dxa"/>
        </w:tcPr>
        <w:p w14:paraId="206F0472" w14:textId="1D126D11" w:rsidR="00C85D3A" w:rsidRDefault="00C85D3A">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C85D3A" w14:paraId="02E75A22" w14:textId="77777777" w:rsidTr="00982619">
      <w:trPr>
        <w:cantSplit/>
      </w:trPr>
      <w:tc>
        <w:tcPr>
          <w:tcW w:w="1701" w:type="dxa"/>
          <w:gridSpan w:val="2"/>
          <w:tcBorders>
            <w:bottom w:val="single" w:sz="4" w:space="0" w:color="auto"/>
          </w:tcBorders>
        </w:tcPr>
        <w:p w14:paraId="4C6612AD" w14:textId="4675ED5A" w:rsidR="00C85D3A" w:rsidRDefault="00856BEE">
          <w:pPr>
            <w:pStyle w:val="HeaderOdd6"/>
          </w:pPr>
          <w:r>
            <w:fldChar w:fldCharType="begin"/>
          </w:r>
          <w:r>
            <w:instrText xml:space="preserve"> DOCPROPERTY "Company"  \* MERGEFORMAT </w:instrText>
          </w:r>
          <w:r>
            <w:fldChar w:fldCharType="separate"/>
          </w:r>
          <w:r w:rsidR="00EF7DDF">
            <w:t>Section</w:t>
          </w:r>
          <w:r>
            <w:fldChar w:fldCharType="end"/>
          </w:r>
          <w:r w:rsidR="00C85D3A">
            <w:t xml:space="preserve"> </w:t>
          </w:r>
          <w:r w:rsidR="00C85D3A">
            <w:rPr>
              <w:noProof/>
            </w:rPr>
            <w:fldChar w:fldCharType="begin"/>
          </w:r>
          <w:r w:rsidR="00C85D3A">
            <w:rPr>
              <w:noProof/>
            </w:rPr>
            <w:instrText xml:space="preserve"> STYLEREF CharSectNo \*charformat </w:instrText>
          </w:r>
          <w:r w:rsidR="00C85D3A">
            <w:rPr>
              <w:noProof/>
            </w:rPr>
            <w:fldChar w:fldCharType="separate"/>
          </w:r>
          <w:r w:rsidR="00EF7DDF">
            <w:rPr>
              <w:noProof/>
            </w:rPr>
            <w:t>758</w:t>
          </w:r>
          <w:r w:rsidR="00C85D3A">
            <w:rPr>
              <w:noProof/>
            </w:rPr>
            <w:fldChar w:fldCharType="end"/>
          </w:r>
          <w:r w:rsidR="00C85D3A">
            <w:rPr>
              <w:noProof/>
            </w:rPr>
            <w:t xml:space="preserve">                                                                                                                                          </w:t>
          </w:r>
        </w:p>
      </w:tc>
    </w:tr>
  </w:tbl>
  <w:p w14:paraId="00797152" w14:textId="77777777" w:rsidR="00C85D3A" w:rsidRDefault="00C85D3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C85D3A" w:rsidRPr="00CB3D59" w14:paraId="49831C58" w14:textId="77777777">
      <w:trPr>
        <w:jc w:val="center"/>
      </w:trPr>
      <w:tc>
        <w:tcPr>
          <w:tcW w:w="1560" w:type="dxa"/>
        </w:tcPr>
        <w:p w14:paraId="5B3BACDB" w14:textId="662AFA23" w:rsidR="00C85D3A" w:rsidRPr="00A752AE" w:rsidRDefault="00C85D3A">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56BEE">
            <w:rPr>
              <w:rFonts w:cs="Arial"/>
              <w:b/>
              <w:noProof/>
              <w:szCs w:val="18"/>
            </w:rPr>
            <w:t>Schedule 1</w:t>
          </w:r>
          <w:r w:rsidRPr="00A752AE">
            <w:rPr>
              <w:rFonts w:cs="Arial"/>
              <w:b/>
              <w:szCs w:val="18"/>
            </w:rPr>
            <w:fldChar w:fldCharType="end"/>
          </w:r>
          <w:r>
            <w:t xml:space="preserve">                                                                                                                         </w:t>
          </w:r>
        </w:p>
      </w:tc>
      <w:tc>
        <w:tcPr>
          <w:tcW w:w="5741" w:type="dxa"/>
        </w:tcPr>
        <w:p w14:paraId="1B633F61" w14:textId="1BBFB6CA" w:rsidR="00C85D3A" w:rsidRPr="00A752AE" w:rsidRDefault="00C85D3A">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56BEE">
            <w:rPr>
              <w:rFonts w:cs="Arial"/>
              <w:noProof/>
              <w:szCs w:val="18"/>
            </w:rPr>
            <w:t>Miscellaneous provisions relating to interpretation</w:t>
          </w:r>
          <w:r w:rsidRPr="00A752AE">
            <w:rPr>
              <w:rFonts w:cs="Arial"/>
              <w:szCs w:val="18"/>
            </w:rPr>
            <w:fldChar w:fldCharType="end"/>
          </w:r>
          <w:r>
            <w:t xml:space="preserve">                                                                                                                                                                                                                                                                       </w:t>
          </w:r>
        </w:p>
      </w:tc>
    </w:tr>
    <w:tr w:rsidR="00C85D3A" w:rsidRPr="00CB3D59" w14:paraId="59EEB90C" w14:textId="77777777">
      <w:trPr>
        <w:jc w:val="center"/>
      </w:trPr>
      <w:tc>
        <w:tcPr>
          <w:tcW w:w="1560" w:type="dxa"/>
        </w:tcPr>
        <w:p w14:paraId="45E326F9" w14:textId="7B7D198D" w:rsidR="00C85D3A" w:rsidRPr="00A752AE" w:rsidRDefault="00C85D3A">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856BEE">
            <w:rPr>
              <w:rFonts w:cs="Arial"/>
              <w:b/>
              <w:noProof/>
              <w:szCs w:val="18"/>
            </w:rPr>
            <w:t>Part 8</w:t>
          </w:r>
          <w:r w:rsidRPr="00A752AE">
            <w:rPr>
              <w:rFonts w:cs="Arial"/>
              <w:b/>
              <w:szCs w:val="18"/>
            </w:rPr>
            <w:fldChar w:fldCharType="end"/>
          </w:r>
          <w:r>
            <w:t xml:space="preserve">                                                                                                                         </w:t>
          </w:r>
        </w:p>
      </w:tc>
      <w:tc>
        <w:tcPr>
          <w:tcW w:w="5741" w:type="dxa"/>
        </w:tcPr>
        <w:p w14:paraId="365AF17A" w14:textId="7DA11627" w:rsidR="00C85D3A" w:rsidRPr="00A752AE" w:rsidRDefault="00C85D3A">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856BEE">
            <w:rPr>
              <w:rFonts w:cs="Arial"/>
              <w:noProof/>
              <w:szCs w:val="18"/>
            </w:rPr>
            <w:t>Application to coastal waters</w:t>
          </w:r>
          <w:r w:rsidRPr="00A752AE">
            <w:rPr>
              <w:rFonts w:cs="Arial"/>
              <w:szCs w:val="18"/>
            </w:rPr>
            <w:fldChar w:fldCharType="end"/>
          </w:r>
          <w:r>
            <w:t xml:space="preserve">                                                                                                                                                                                                                                                                       </w:t>
          </w:r>
        </w:p>
      </w:tc>
    </w:tr>
    <w:tr w:rsidR="00C85D3A" w:rsidRPr="00CB3D59" w14:paraId="0272F2A3" w14:textId="77777777">
      <w:trPr>
        <w:jc w:val="center"/>
      </w:trPr>
      <w:tc>
        <w:tcPr>
          <w:tcW w:w="7296" w:type="dxa"/>
          <w:gridSpan w:val="2"/>
          <w:tcBorders>
            <w:bottom w:val="single" w:sz="4" w:space="0" w:color="auto"/>
          </w:tcBorders>
        </w:tcPr>
        <w:p w14:paraId="363DF87F" w14:textId="38822343" w:rsidR="00C85D3A" w:rsidRPr="00A752AE" w:rsidRDefault="00C85D3A" w:rsidP="0062384B">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56BEE">
            <w:rPr>
              <w:rFonts w:cs="Arial"/>
              <w:noProof/>
              <w:szCs w:val="18"/>
            </w:rPr>
            <w:t>38</w:t>
          </w:r>
          <w:r w:rsidRPr="00A752AE">
            <w:rPr>
              <w:rFonts w:cs="Arial"/>
              <w:szCs w:val="18"/>
            </w:rPr>
            <w:fldChar w:fldCharType="end"/>
          </w:r>
          <w:r>
            <w:rPr>
              <w:rFonts w:cs="Arial"/>
              <w:szCs w:val="18"/>
            </w:rPr>
            <w:t xml:space="preserve">                                                                                                                                                                                                                                     </w:t>
          </w:r>
        </w:p>
      </w:tc>
    </w:tr>
  </w:tbl>
  <w:p w14:paraId="0ED30A2B" w14:textId="77777777" w:rsidR="00C85D3A" w:rsidRDefault="00C85D3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C85D3A" w:rsidRPr="00CB3D59" w14:paraId="7A98590D" w14:textId="77777777">
      <w:trPr>
        <w:jc w:val="center"/>
      </w:trPr>
      <w:tc>
        <w:tcPr>
          <w:tcW w:w="5741" w:type="dxa"/>
        </w:tcPr>
        <w:p w14:paraId="338ED09E" w14:textId="7EF58ADA" w:rsidR="00C85D3A" w:rsidRPr="00A752AE" w:rsidRDefault="00C85D3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56BEE">
            <w:rPr>
              <w:rFonts w:cs="Arial"/>
              <w:noProof/>
              <w:szCs w:val="18"/>
            </w:rPr>
            <w:t>Miscellaneous provisions relating to interpretation</w:t>
          </w:r>
          <w:r w:rsidRPr="00A752AE">
            <w:rPr>
              <w:rFonts w:cs="Arial"/>
              <w:szCs w:val="18"/>
            </w:rPr>
            <w:fldChar w:fldCharType="end"/>
          </w:r>
          <w:r>
            <w:t xml:space="preserve">                                                                                                                                                                                                                                                                       </w:t>
          </w:r>
        </w:p>
      </w:tc>
      <w:tc>
        <w:tcPr>
          <w:tcW w:w="1560" w:type="dxa"/>
        </w:tcPr>
        <w:p w14:paraId="08E5FFF0" w14:textId="2F3EE287" w:rsidR="00C85D3A" w:rsidRPr="00A752AE" w:rsidRDefault="00C85D3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56BEE">
            <w:rPr>
              <w:rFonts w:cs="Arial"/>
              <w:b/>
              <w:noProof/>
              <w:szCs w:val="18"/>
            </w:rPr>
            <w:t>Schedule 1</w:t>
          </w:r>
          <w:r w:rsidRPr="00A752AE">
            <w:rPr>
              <w:rFonts w:cs="Arial"/>
              <w:b/>
              <w:szCs w:val="18"/>
            </w:rPr>
            <w:fldChar w:fldCharType="end"/>
          </w:r>
          <w:r>
            <w:t xml:space="preserve">                                                                                                                         </w:t>
          </w:r>
        </w:p>
      </w:tc>
    </w:tr>
    <w:tr w:rsidR="00C85D3A" w:rsidRPr="00CB3D59" w14:paraId="2846EE7C" w14:textId="77777777">
      <w:trPr>
        <w:jc w:val="center"/>
      </w:trPr>
      <w:tc>
        <w:tcPr>
          <w:tcW w:w="5741" w:type="dxa"/>
        </w:tcPr>
        <w:p w14:paraId="419D30C6" w14:textId="00AC9990" w:rsidR="00C85D3A" w:rsidRPr="00A752AE" w:rsidRDefault="00C85D3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856BEE">
            <w:rPr>
              <w:rFonts w:cs="Arial"/>
              <w:noProof/>
              <w:szCs w:val="18"/>
            </w:rPr>
            <w:t>Instruments under Law</w:t>
          </w:r>
          <w:r w:rsidRPr="00A752AE">
            <w:rPr>
              <w:rFonts w:cs="Arial"/>
              <w:szCs w:val="18"/>
            </w:rPr>
            <w:fldChar w:fldCharType="end"/>
          </w:r>
          <w:r>
            <w:t xml:space="preserve">                                                                                                                                                                                                                                                                       </w:t>
          </w:r>
        </w:p>
      </w:tc>
      <w:tc>
        <w:tcPr>
          <w:tcW w:w="1560" w:type="dxa"/>
        </w:tcPr>
        <w:p w14:paraId="4664E8E2" w14:textId="2B11C6FE" w:rsidR="00C85D3A" w:rsidRPr="00A752AE" w:rsidRDefault="00C85D3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856BEE">
            <w:rPr>
              <w:rFonts w:cs="Arial"/>
              <w:b/>
              <w:noProof/>
              <w:szCs w:val="18"/>
            </w:rPr>
            <w:t>Part 7</w:t>
          </w:r>
          <w:r w:rsidRPr="00A752AE">
            <w:rPr>
              <w:rFonts w:cs="Arial"/>
              <w:b/>
              <w:szCs w:val="18"/>
            </w:rPr>
            <w:fldChar w:fldCharType="end"/>
          </w:r>
          <w:r>
            <w:t xml:space="preserve">                                                                                                                         </w:t>
          </w:r>
        </w:p>
      </w:tc>
    </w:tr>
    <w:tr w:rsidR="00C85D3A" w:rsidRPr="00CB3D59" w14:paraId="2C410D93" w14:textId="77777777">
      <w:trPr>
        <w:jc w:val="center"/>
      </w:trPr>
      <w:tc>
        <w:tcPr>
          <w:tcW w:w="7296" w:type="dxa"/>
          <w:gridSpan w:val="2"/>
          <w:tcBorders>
            <w:bottom w:val="single" w:sz="4" w:space="0" w:color="auto"/>
          </w:tcBorders>
        </w:tcPr>
        <w:p w14:paraId="4437D05B" w14:textId="3551E380" w:rsidR="00C85D3A" w:rsidRPr="00A752AE" w:rsidRDefault="00C85D3A" w:rsidP="0062384B">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56BEE">
            <w:rPr>
              <w:rFonts w:cs="Arial"/>
              <w:noProof/>
              <w:szCs w:val="18"/>
            </w:rPr>
            <w:t>37</w:t>
          </w:r>
          <w:r w:rsidRPr="00A752AE">
            <w:rPr>
              <w:rFonts w:cs="Arial"/>
              <w:szCs w:val="18"/>
            </w:rPr>
            <w:fldChar w:fldCharType="end"/>
          </w:r>
          <w:r>
            <w:rPr>
              <w:rFonts w:cs="Arial"/>
              <w:szCs w:val="18"/>
            </w:rPr>
            <w:t xml:space="preserve">                                                                                                                                                                                                                                                                                                                                                                                                                                                                                                                                    </w:t>
          </w:r>
        </w:p>
      </w:tc>
    </w:tr>
  </w:tbl>
  <w:p w14:paraId="56B28410" w14:textId="77777777" w:rsidR="00C85D3A" w:rsidRDefault="00C85D3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C85D3A" w:rsidRPr="00CB3D59" w14:paraId="09B5342E" w14:textId="77777777">
      <w:trPr>
        <w:jc w:val="center"/>
      </w:trPr>
      <w:tc>
        <w:tcPr>
          <w:tcW w:w="1560" w:type="dxa"/>
        </w:tcPr>
        <w:p w14:paraId="3D028614" w14:textId="32590E7F" w:rsidR="00C85D3A" w:rsidRPr="00A752AE" w:rsidRDefault="00C85D3A">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EF7DDF">
            <w:rPr>
              <w:rFonts w:cs="Arial"/>
              <w:b/>
              <w:noProof/>
              <w:szCs w:val="18"/>
            </w:rPr>
            <w:t>Schedule 1</w:t>
          </w:r>
          <w:r w:rsidRPr="00A752AE">
            <w:rPr>
              <w:rFonts w:cs="Arial"/>
              <w:b/>
              <w:szCs w:val="18"/>
            </w:rPr>
            <w:fldChar w:fldCharType="end"/>
          </w:r>
          <w:r>
            <w:t xml:space="preserve">                                                                                                                         </w:t>
          </w:r>
        </w:p>
      </w:tc>
      <w:tc>
        <w:tcPr>
          <w:tcW w:w="5741" w:type="dxa"/>
        </w:tcPr>
        <w:p w14:paraId="24DE92DF" w14:textId="6A2A1D99" w:rsidR="00C85D3A" w:rsidRPr="00A752AE" w:rsidRDefault="00C85D3A">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EF7DDF">
            <w:rPr>
              <w:rFonts w:cs="Arial"/>
              <w:noProof/>
              <w:szCs w:val="18"/>
            </w:rPr>
            <w:t>Miscellaneous provisions relating to interpretation</w:t>
          </w:r>
          <w:r w:rsidRPr="00A752AE">
            <w:rPr>
              <w:rFonts w:cs="Arial"/>
              <w:szCs w:val="18"/>
            </w:rPr>
            <w:fldChar w:fldCharType="end"/>
          </w:r>
          <w:r>
            <w:t xml:space="preserve">                                                                                                                                                                                                                                                                       </w:t>
          </w:r>
        </w:p>
      </w:tc>
    </w:tr>
    <w:tr w:rsidR="00C85D3A" w:rsidRPr="00CB3D59" w14:paraId="4BE08DAC" w14:textId="77777777">
      <w:trPr>
        <w:jc w:val="center"/>
      </w:trPr>
      <w:tc>
        <w:tcPr>
          <w:tcW w:w="1560" w:type="dxa"/>
        </w:tcPr>
        <w:p w14:paraId="079F80E9" w14:textId="5E05DB0C" w:rsidR="00C85D3A" w:rsidRPr="00A752AE" w:rsidRDefault="00C85D3A">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EF7DDF">
            <w:rPr>
              <w:rFonts w:cs="Arial"/>
              <w:b/>
              <w:noProof/>
              <w:szCs w:val="18"/>
            </w:rPr>
            <w:t>Part 8</w:t>
          </w:r>
          <w:r w:rsidRPr="00A752AE">
            <w:rPr>
              <w:rFonts w:cs="Arial"/>
              <w:b/>
              <w:szCs w:val="18"/>
            </w:rPr>
            <w:fldChar w:fldCharType="end"/>
          </w:r>
          <w:r>
            <w:t xml:space="preserve">                                                                                                                         </w:t>
          </w:r>
        </w:p>
      </w:tc>
      <w:tc>
        <w:tcPr>
          <w:tcW w:w="5741" w:type="dxa"/>
        </w:tcPr>
        <w:p w14:paraId="0D2126F7" w14:textId="2B20FFD9" w:rsidR="00C85D3A" w:rsidRPr="00A752AE" w:rsidRDefault="00C85D3A">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EF7DDF">
            <w:rPr>
              <w:rFonts w:cs="Arial"/>
              <w:noProof/>
              <w:szCs w:val="18"/>
            </w:rPr>
            <w:t>Application to coastal waters</w:t>
          </w:r>
          <w:r w:rsidRPr="00A752AE">
            <w:rPr>
              <w:rFonts w:cs="Arial"/>
              <w:szCs w:val="18"/>
            </w:rPr>
            <w:fldChar w:fldCharType="end"/>
          </w:r>
          <w:r>
            <w:t xml:space="preserve">                                                                                                                                                                                                                                                                       </w:t>
          </w:r>
        </w:p>
      </w:tc>
    </w:tr>
    <w:tr w:rsidR="00C85D3A" w:rsidRPr="00CB3D59" w14:paraId="44150222" w14:textId="77777777">
      <w:trPr>
        <w:jc w:val="center"/>
      </w:trPr>
      <w:tc>
        <w:tcPr>
          <w:tcW w:w="7296" w:type="dxa"/>
          <w:gridSpan w:val="2"/>
          <w:tcBorders>
            <w:bottom w:val="single" w:sz="4" w:space="0" w:color="auto"/>
          </w:tcBorders>
        </w:tcPr>
        <w:p w14:paraId="00A7E551" w14:textId="30D23462" w:rsidR="00C85D3A" w:rsidRPr="00A752AE" w:rsidRDefault="00C85D3A" w:rsidP="004413DE">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EF7DDF">
            <w:rPr>
              <w:rFonts w:cs="Arial"/>
              <w:noProof/>
              <w:szCs w:val="18"/>
            </w:rPr>
            <w:t>38</w:t>
          </w:r>
          <w:r w:rsidRPr="00A752AE">
            <w:rPr>
              <w:rFonts w:cs="Arial"/>
              <w:szCs w:val="18"/>
            </w:rPr>
            <w:fldChar w:fldCharType="end"/>
          </w:r>
          <w:r>
            <w:rPr>
              <w:rFonts w:cs="Arial"/>
              <w:szCs w:val="18"/>
            </w:rPr>
            <w:t xml:space="preserve">                                                                                                                                                                                                                                     </w:t>
          </w:r>
        </w:p>
      </w:tc>
    </w:tr>
  </w:tbl>
  <w:p w14:paraId="74FFA48C" w14:textId="77777777" w:rsidR="00C85D3A" w:rsidRDefault="00C85D3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C85D3A" w:rsidRPr="00CB3D59" w14:paraId="7CC422FA" w14:textId="77777777">
      <w:trPr>
        <w:jc w:val="center"/>
      </w:trPr>
      <w:tc>
        <w:tcPr>
          <w:tcW w:w="5741" w:type="dxa"/>
        </w:tcPr>
        <w:p w14:paraId="73EB87C9" w14:textId="64D14172" w:rsidR="00C85D3A" w:rsidRPr="00A752AE" w:rsidRDefault="00C85D3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56BEE">
            <w:rPr>
              <w:rFonts w:cs="Arial"/>
              <w:noProof/>
              <w:szCs w:val="18"/>
            </w:rPr>
            <w:t>Subject matter for conditions of mass or dimension authorities</w:t>
          </w:r>
          <w:r w:rsidRPr="00A752AE">
            <w:rPr>
              <w:rFonts w:cs="Arial"/>
              <w:szCs w:val="18"/>
            </w:rPr>
            <w:fldChar w:fldCharType="end"/>
          </w:r>
          <w:r>
            <w:t xml:space="preserve">                                                                                                                                                                                                                                                                       </w:t>
          </w:r>
        </w:p>
      </w:tc>
      <w:tc>
        <w:tcPr>
          <w:tcW w:w="1560" w:type="dxa"/>
        </w:tcPr>
        <w:p w14:paraId="2DC51505" w14:textId="0C74175F" w:rsidR="00C85D3A" w:rsidRPr="00A752AE" w:rsidRDefault="00C85D3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56BEE">
            <w:rPr>
              <w:rFonts w:cs="Arial"/>
              <w:b/>
              <w:noProof/>
              <w:szCs w:val="18"/>
            </w:rPr>
            <w:t>Schedule 2</w:t>
          </w:r>
          <w:r w:rsidRPr="00A752AE">
            <w:rPr>
              <w:rFonts w:cs="Arial"/>
              <w:b/>
              <w:szCs w:val="18"/>
            </w:rPr>
            <w:fldChar w:fldCharType="end"/>
          </w:r>
          <w:r>
            <w:t xml:space="preserve">                                                                                                                         </w:t>
          </w:r>
        </w:p>
      </w:tc>
    </w:tr>
    <w:tr w:rsidR="00C85D3A" w:rsidRPr="00CB3D59" w14:paraId="3A20608D" w14:textId="77777777">
      <w:trPr>
        <w:jc w:val="center"/>
      </w:trPr>
      <w:tc>
        <w:tcPr>
          <w:tcW w:w="5741" w:type="dxa"/>
        </w:tcPr>
        <w:p w14:paraId="0B7EB993" w14:textId="1B260019" w:rsidR="00C85D3A" w:rsidRPr="00A752AE" w:rsidRDefault="00C85D3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r>
            <w:t xml:space="preserve">                                                                                                                                                                                                                                                                       </w:t>
          </w:r>
        </w:p>
      </w:tc>
      <w:tc>
        <w:tcPr>
          <w:tcW w:w="1560" w:type="dxa"/>
        </w:tcPr>
        <w:p w14:paraId="17A1ED7C" w14:textId="42B7C8C6" w:rsidR="00C85D3A" w:rsidRPr="00A752AE" w:rsidRDefault="00C85D3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r>
            <w:t xml:space="preserve">                                                                                                                         </w:t>
          </w:r>
        </w:p>
      </w:tc>
    </w:tr>
    <w:tr w:rsidR="00C85D3A" w:rsidRPr="00CB3D59" w14:paraId="28A7AC82" w14:textId="77777777">
      <w:trPr>
        <w:jc w:val="center"/>
      </w:trPr>
      <w:tc>
        <w:tcPr>
          <w:tcW w:w="7296" w:type="dxa"/>
          <w:gridSpan w:val="2"/>
          <w:tcBorders>
            <w:bottom w:val="single" w:sz="4" w:space="0" w:color="auto"/>
          </w:tcBorders>
        </w:tcPr>
        <w:p w14:paraId="0724C509" w14:textId="1099C3E6" w:rsidR="00C85D3A" w:rsidRPr="00A752AE" w:rsidRDefault="00C85D3A" w:rsidP="004413DE">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56BEE">
            <w:rPr>
              <w:rFonts w:cs="Arial"/>
              <w:noProof/>
              <w:szCs w:val="18"/>
            </w:rPr>
            <w:t>38</w:t>
          </w:r>
          <w:r w:rsidRPr="00A752AE">
            <w:rPr>
              <w:rFonts w:cs="Arial"/>
              <w:szCs w:val="18"/>
            </w:rPr>
            <w:fldChar w:fldCharType="end"/>
          </w:r>
          <w:r>
            <w:rPr>
              <w:rFonts w:cs="Arial"/>
              <w:szCs w:val="18"/>
            </w:rPr>
            <w:t xml:space="preserve">                                                                                                                                                                                                                                                                                                                                                                                                                                                                                                                                    </w:t>
          </w:r>
        </w:p>
      </w:tc>
    </w:tr>
  </w:tbl>
  <w:p w14:paraId="4391C095" w14:textId="77777777" w:rsidR="00C85D3A" w:rsidRDefault="00C85D3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C85D3A" w:rsidRPr="00CB3D59" w14:paraId="03EC63EE" w14:textId="77777777">
      <w:trPr>
        <w:jc w:val="center"/>
      </w:trPr>
      <w:tc>
        <w:tcPr>
          <w:tcW w:w="1560" w:type="dxa"/>
        </w:tcPr>
        <w:p w14:paraId="2071F444" w14:textId="7A9CD96B" w:rsidR="00C85D3A" w:rsidRPr="00F02A14" w:rsidRDefault="00C85D3A">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56BEE">
            <w:rPr>
              <w:rFonts w:cs="Arial"/>
              <w:b/>
              <w:noProof/>
              <w:szCs w:val="18"/>
            </w:rPr>
            <w:t>Schedule 3</w:t>
          </w:r>
          <w:r w:rsidRPr="00F02A14">
            <w:rPr>
              <w:rFonts w:cs="Arial"/>
              <w:b/>
              <w:szCs w:val="18"/>
            </w:rPr>
            <w:fldChar w:fldCharType="end"/>
          </w:r>
          <w:r>
            <w:t xml:space="preserve">                                                                                                                                                                                                                                                                      </w:t>
          </w:r>
        </w:p>
      </w:tc>
      <w:tc>
        <w:tcPr>
          <w:tcW w:w="5741" w:type="dxa"/>
        </w:tcPr>
        <w:p w14:paraId="4EB4AA0C" w14:textId="3ABDC28D" w:rsidR="00C85D3A" w:rsidRPr="00F02A14" w:rsidRDefault="00C85D3A">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56BEE">
            <w:rPr>
              <w:rFonts w:cs="Arial"/>
              <w:noProof/>
              <w:szCs w:val="18"/>
            </w:rPr>
            <w:t>Reviewable decisions</w:t>
          </w:r>
          <w:r w:rsidRPr="00F02A14">
            <w:rPr>
              <w:rFonts w:cs="Arial"/>
              <w:szCs w:val="18"/>
            </w:rPr>
            <w:fldChar w:fldCharType="end"/>
          </w:r>
          <w:r>
            <w:t xml:space="preserve">                                                                                                                                                                                                                                                                      </w:t>
          </w:r>
        </w:p>
      </w:tc>
    </w:tr>
    <w:tr w:rsidR="00C85D3A" w:rsidRPr="00CB3D59" w14:paraId="253E410A" w14:textId="77777777">
      <w:trPr>
        <w:jc w:val="center"/>
      </w:trPr>
      <w:tc>
        <w:tcPr>
          <w:tcW w:w="1560" w:type="dxa"/>
        </w:tcPr>
        <w:p w14:paraId="1EC26593" w14:textId="766DBDA8" w:rsidR="00C85D3A" w:rsidRPr="00F02A14" w:rsidRDefault="00C85D3A">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856BEE">
            <w:rPr>
              <w:rFonts w:cs="Arial"/>
              <w:b/>
              <w:noProof/>
              <w:szCs w:val="18"/>
            </w:rPr>
            <w:t>Part 3</w:t>
          </w:r>
          <w:r w:rsidRPr="00F02A14">
            <w:rPr>
              <w:rFonts w:cs="Arial"/>
              <w:b/>
              <w:szCs w:val="18"/>
            </w:rPr>
            <w:fldChar w:fldCharType="end"/>
          </w:r>
          <w:r>
            <w:t xml:space="preserve">                                                                                                                                                                                                                                                                      </w:t>
          </w:r>
        </w:p>
      </w:tc>
      <w:tc>
        <w:tcPr>
          <w:tcW w:w="5741" w:type="dxa"/>
        </w:tcPr>
        <w:p w14:paraId="22BF7027" w14:textId="22387CE1" w:rsidR="00C85D3A" w:rsidRPr="00F02A14" w:rsidRDefault="00C85D3A">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856BEE">
            <w:rPr>
              <w:rFonts w:cs="Arial"/>
              <w:noProof/>
              <w:szCs w:val="18"/>
            </w:rPr>
            <w:t>Decisions of relevant road managers</w:t>
          </w:r>
          <w:r w:rsidRPr="00F02A14">
            <w:rPr>
              <w:rFonts w:cs="Arial"/>
              <w:szCs w:val="18"/>
            </w:rPr>
            <w:fldChar w:fldCharType="end"/>
          </w:r>
          <w:r>
            <w:t xml:space="preserve">                                                                                                                                                                                                                                                                      </w:t>
          </w:r>
        </w:p>
      </w:tc>
    </w:tr>
    <w:tr w:rsidR="00C85D3A" w:rsidRPr="00CB3D59" w14:paraId="42A2FA8D" w14:textId="77777777">
      <w:trPr>
        <w:jc w:val="center"/>
      </w:trPr>
      <w:tc>
        <w:tcPr>
          <w:tcW w:w="7296" w:type="dxa"/>
          <w:gridSpan w:val="2"/>
          <w:tcBorders>
            <w:bottom w:val="single" w:sz="4" w:space="0" w:color="auto"/>
          </w:tcBorders>
        </w:tcPr>
        <w:p w14:paraId="6051F14D" w14:textId="77777777" w:rsidR="00C85D3A" w:rsidRPr="00783A18" w:rsidRDefault="00C85D3A" w:rsidP="004413DE">
          <w:pPr>
            <w:pStyle w:val="HeaderEven6"/>
            <w:spacing w:before="0" w:after="0"/>
            <w:rPr>
              <w:rFonts w:ascii="Times New Roman" w:hAnsi="Times New Roman"/>
              <w:sz w:val="24"/>
              <w:szCs w:val="24"/>
            </w:rPr>
          </w:pPr>
        </w:p>
      </w:tc>
    </w:tr>
  </w:tbl>
  <w:p w14:paraId="0172DC6D" w14:textId="77777777" w:rsidR="00C85D3A" w:rsidRDefault="00C85D3A">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C85D3A" w:rsidRPr="00CB3D59" w14:paraId="7A14DB96" w14:textId="77777777">
      <w:trPr>
        <w:jc w:val="center"/>
      </w:trPr>
      <w:tc>
        <w:tcPr>
          <w:tcW w:w="5741" w:type="dxa"/>
        </w:tcPr>
        <w:p w14:paraId="57AF2A06" w14:textId="0A9E5D25" w:rsidR="00C85D3A" w:rsidRPr="00F02A14" w:rsidRDefault="00C85D3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56BEE">
            <w:rPr>
              <w:rFonts w:cs="Arial"/>
              <w:noProof/>
              <w:szCs w:val="18"/>
            </w:rPr>
            <w:t>Reviewable decisions</w:t>
          </w:r>
          <w:r w:rsidRPr="00F02A14">
            <w:rPr>
              <w:rFonts w:cs="Arial"/>
              <w:szCs w:val="18"/>
            </w:rPr>
            <w:fldChar w:fldCharType="end"/>
          </w:r>
          <w:r>
            <w:t xml:space="preserve">                                                                                                                                                                                                                                                                      </w:t>
          </w:r>
        </w:p>
      </w:tc>
      <w:tc>
        <w:tcPr>
          <w:tcW w:w="1560" w:type="dxa"/>
        </w:tcPr>
        <w:p w14:paraId="75EC01FA" w14:textId="48D243D4" w:rsidR="00C85D3A" w:rsidRPr="00F02A14" w:rsidRDefault="00C85D3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56BEE">
            <w:rPr>
              <w:rFonts w:cs="Arial"/>
              <w:b/>
              <w:noProof/>
              <w:szCs w:val="18"/>
            </w:rPr>
            <w:t>Schedule 3</w:t>
          </w:r>
          <w:r w:rsidRPr="00F02A14">
            <w:rPr>
              <w:rFonts w:cs="Arial"/>
              <w:b/>
              <w:szCs w:val="18"/>
            </w:rPr>
            <w:fldChar w:fldCharType="end"/>
          </w:r>
          <w:r>
            <w:t xml:space="preserve">                                                                                                                                                                                                                                                                      </w:t>
          </w:r>
        </w:p>
      </w:tc>
    </w:tr>
    <w:tr w:rsidR="00C85D3A" w:rsidRPr="00CB3D59" w14:paraId="544A9411" w14:textId="77777777">
      <w:trPr>
        <w:jc w:val="center"/>
      </w:trPr>
      <w:tc>
        <w:tcPr>
          <w:tcW w:w="5741" w:type="dxa"/>
        </w:tcPr>
        <w:p w14:paraId="0D390ECB" w14:textId="0089D70B" w:rsidR="00C85D3A" w:rsidRPr="00F02A14" w:rsidRDefault="00C85D3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856BEE">
            <w:rPr>
              <w:rFonts w:cs="Arial"/>
              <w:noProof/>
              <w:szCs w:val="18"/>
            </w:rPr>
            <w:t>Decisions of authorised officers</w:t>
          </w:r>
          <w:r w:rsidRPr="00F02A14">
            <w:rPr>
              <w:rFonts w:cs="Arial"/>
              <w:szCs w:val="18"/>
            </w:rPr>
            <w:fldChar w:fldCharType="end"/>
          </w:r>
          <w:r>
            <w:t xml:space="preserve">                                                                                                                                                                                                                                                                      </w:t>
          </w:r>
        </w:p>
      </w:tc>
      <w:tc>
        <w:tcPr>
          <w:tcW w:w="1560" w:type="dxa"/>
        </w:tcPr>
        <w:p w14:paraId="60F93A9D" w14:textId="29AE1590" w:rsidR="00C85D3A" w:rsidRPr="00F02A14" w:rsidRDefault="00C85D3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856BEE">
            <w:rPr>
              <w:rFonts w:cs="Arial"/>
              <w:b/>
              <w:noProof/>
              <w:szCs w:val="18"/>
            </w:rPr>
            <w:t>Part 2</w:t>
          </w:r>
          <w:r w:rsidRPr="00F02A14">
            <w:rPr>
              <w:rFonts w:cs="Arial"/>
              <w:b/>
              <w:szCs w:val="18"/>
            </w:rPr>
            <w:fldChar w:fldCharType="end"/>
          </w:r>
          <w:r>
            <w:t xml:space="preserve">                                                                                                                                                                                                                                                                      </w:t>
          </w:r>
        </w:p>
      </w:tc>
    </w:tr>
    <w:tr w:rsidR="00C85D3A" w:rsidRPr="00CB3D59" w14:paraId="64115C50" w14:textId="77777777">
      <w:trPr>
        <w:jc w:val="center"/>
      </w:trPr>
      <w:tc>
        <w:tcPr>
          <w:tcW w:w="7296" w:type="dxa"/>
          <w:gridSpan w:val="2"/>
          <w:tcBorders>
            <w:bottom w:val="single" w:sz="4" w:space="0" w:color="auto"/>
          </w:tcBorders>
        </w:tcPr>
        <w:p w14:paraId="4C1F33C1" w14:textId="77777777" w:rsidR="00C85D3A" w:rsidRPr="00783A18" w:rsidRDefault="00C85D3A" w:rsidP="004413DE">
          <w:pPr>
            <w:pStyle w:val="HeaderOdd6"/>
            <w:spacing w:before="0" w:after="0"/>
            <w:jc w:val="left"/>
            <w:rPr>
              <w:rFonts w:ascii="Times New Roman" w:hAnsi="Times New Roman"/>
              <w:sz w:val="24"/>
              <w:szCs w:val="24"/>
            </w:rPr>
          </w:pPr>
        </w:p>
      </w:tc>
    </w:tr>
  </w:tbl>
  <w:p w14:paraId="090F43CE" w14:textId="77777777" w:rsidR="00C85D3A" w:rsidRDefault="00C85D3A">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C85D3A" w:rsidRPr="00CB3D59" w14:paraId="62E79133" w14:textId="77777777">
      <w:trPr>
        <w:jc w:val="center"/>
      </w:trPr>
      <w:tc>
        <w:tcPr>
          <w:tcW w:w="1560" w:type="dxa"/>
        </w:tcPr>
        <w:p w14:paraId="4ED77A5B" w14:textId="5665244E" w:rsidR="00C85D3A" w:rsidRPr="00F02A14" w:rsidRDefault="00C85D3A">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56BEE">
            <w:rPr>
              <w:rFonts w:cs="Arial"/>
              <w:b/>
              <w:noProof/>
              <w:szCs w:val="18"/>
            </w:rPr>
            <w:t>Schedule 4</w:t>
          </w:r>
          <w:r w:rsidRPr="00F02A14">
            <w:rPr>
              <w:rFonts w:cs="Arial"/>
              <w:b/>
              <w:szCs w:val="18"/>
            </w:rPr>
            <w:fldChar w:fldCharType="end"/>
          </w:r>
          <w:r>
            <w:t xml:space="preserve">                                                                                                                                                                                                                                                                      </w:t>
          </w:r>
        </w:p>
      </w:tc>
      <w:tc>
        <w:tcPr>
          <w:tcW w:w="5741" w:type="dxa"/>
        </w:tcPr>
        <w:p w14:paraId="3B7DC47C" w14:textId="7462D6EC" w:rsidR="00C85D3A" w:rsidRPr="00F02A14" w:rsidRDefault="00C85D3A">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56BEE">
            <w:rPr>
              <w:rFonts w:cs="Arial"/>
              <w:noProof/>
              <w:szCs w:val="18"/>
            </w:rPr>
            <w:t>Liability provisions</w:t>
          </w:r>
          <w:r w:rsidRPr="00F02A14">
            <w:rPr>
              <w:rFonts w:cs="Arial"/>
              <w:szCs w:val="18"/>
            </w:rPr>
            <w:fldChar w:fldCharType="end"/>
          </w:r>
          <w:r>
            <w:t xml:space="preserve">                                                                                                                                                                                                                                                                      </w:t>
          </w:r>
        </w:p>
      </w:tc>
    </w:tr>
    <w:tr w:rsidR="00C85D3A" w:rsidRPr="00CB3D59" w14:paraId="16B3D22F" w14:textId="77777777">
      <w:trPr>
        <w:jc w:val="center"/>
      </w:trPr>
      <w:tc>
        <w:tcPr>
          <w:tcW w:w="1560" w:type="dxa"/>
        </w:tcPr>
        <w:p w14:paraId="68BA4EA8" w14:textId="2BAA549A" w:rsidR="00C85D3A" w:rsidRPr="00F02A14" w:rsidRDefault="00C85D3A">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c>
        <w:tcPr>
          <w:tcW w:w="5741" w:type="dxa"/>
        </w:tcPr>
        <w:p w14:paraId="4E6869E8" w14:textId="7CD34F7A" w:rsidR="00C85D3A" w:rsidRPr="00F02A14" w:rsidRDefault="00C85D3A">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r>
    <w:tr w:rsidR="00C85D3A" w:rsidRPr="00CB3D59" w14:paraId="2470C73D" w14:textId="77777777">
      <w:trPr>
        <w:jc w:val="center"/>
      </w:trPr>
      <w:tc>
        <w:tcPr>
          <w:tcW w:w="7296" w:type="dxa"/>
          <w:gridSpan w:val="2"/>
          <w:tcBorders>
            <w:bottom w:val="single" w:sz="4" w:space="0" w:color="auto"/>
          </w:tcBorders>
        </w:tcPr>
        <w:p w14:paraId="0B9313F1" w14:textId="77777777" w:rsidR="00C85D3A" w:rsidRPr="00783A18" w:rsidRDefault="00C85D3A" w:rsidP="00490644">
          <w:pPr>
            <w:pStyle w:val="HeaderEven6"/>
            <w:spacing w:before="0" w:after="0"/>
            <w:rPr>
              <w:rFonts w:ascii="Times New Roman" w:hAnsi="Times New Roman"/>
              <w:sz w:val="24"/>
              <w:szCs w:val="24"/>
            </w:rPr>
          </w:pPr>
        </w:p>
      </w:tc>
    </w:tr>
  </w:tbl>
  <w:p w14:paraId="15983BF7" w14:textId="77777777" w:rsidR="00C85D3A" w:rsidRDefault="00C85D3A">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C85D3A" w:rsidRPr="00CB3D59" w14:paraId="25B4857F" w14:textId="77777777">
      <w:trPr>
        <w:jc w:val="center"/>
      </w:trPr>
      <w:tc>
        <w:tcPr>
          <w:tcW w:w="5741" w:type="dxa"/>
        </w:tcPr>
        <w:p w14:paraId="3B6EE4E6" w14:textId="1066DE77" w:rsidR="00C85D3A" w:rsidRPr="00F02A14" w:rsidRDefault="00C85D3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56BEE">
            <w:rPr>
              <w:rFonts w:cs="Arial"/>
              <w:noProof/>
              <w:szCs w:val="18"/>
            </w:rPr>
            <w:t>Liability provisions</w:t>
          </w:r>
          <w:r w:rsidRPr="00F02A14">
            <w:rPr>
              <w:rFonts w:cs="Arial"/>
              <w:szCs w:val="18"/>
            </w:rPr>
            <w:fldChar w:fldCharType="end"/>
          </w:r>
          <w:r>
            <w:t xml:space="preserve">                                                                                                                                                                                                                                                                      </w:t>
          </w:r>
        </w:p>
      </w:tc>
      <w:tc>
        <w:tcPr>
          <w:tcW w:w="1560" w:type="dxa"/>
        </w:tcPr>
        <w:p w14:paraId="28502552" w14:textId="71F4491B" w:rsidR="00C85D3A" w:rsidRPr="00F02A14" w:rsidRDefault="00C85D3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56BEE">
            <w:rPr>
              <w:rFonts w:cs="Arial"/>
              <w:b/>
              <w:noProof/>
              <w:szCs w:val="18"/>
            </w:rPr>
            <w:t>Schedule 4</w:t>
          </w:r>
          <w:r w:rsidRPr="00F02A14">
            <w:rPr>
              <w:rFonts w:cs="Arial"/>
              <w:b/>
              <w:szCs w:val="18"/>
            </w:rPr>
            <w:fldChar w:fldCharType="end"/>
          </w:r>
          <w:r>
            <w:t xml:space="preserve">                                                                                                                                                                                                                                                                      </w:t>
          </w:r>
        </w:p>
      </w:tc>
    </w:tr>
    <w:tr w:rsidR="00C85D3A" w:rsidRPr="00CB3D59" w14:paraId="194DA1CA" w14:textId="77777777">
      <w:trPr>
        <w:jc w:val="center"/>
      </w:trPr>
      <w:tc>
        <w:tcPr>
          <w:tcW w:w="5741" w:type="dxa"/>
        </w:tcPr>
        <w:p w14:paraId="19721049" w14:textId="3E2F7A80" w:rsidR="00C85D3A" w:rsidRPr="00F02A14" w:rsidRDefault="00C85D3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c>
        <w:tcPr>
          <w:tcW w:w="1560" w:type="dxa"/>
        </w:tcPr>
        <w:p w14:paraId="47E78E5F" w14:textId="1C45B8CA" w:rsidR="00C85D3A" w:rsidRPr="00F02A14" w:rsidRDefault="00C85D3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r>
    <w:tr w:rsidR="00C85D3A" w:rsidRPr="00CB3D59" w14:paraId="286CFEF5" w14:textId="77777777">
      <w:trPr>
        <w:jc w:val="center"/>
      </w:trPr>
      <w:tc>
        <w:tcPr>
          <w:tcW w:w="7296" w:type="dxa"/>
          <w:gridSpan w:val="2"/>
          <w:tcBorders>
            <w:bottom w:val="single" w:sz="4" w:space="0" w:color="auto"/>
          </w:tcBorders>
        </w:tcPr>
        <w:p w14:paraId="52447C9A" w14:textId="77777777" w:rsidR="00C85D3A" w:rsidRPr="00783A18" w:rsidRDefault="00C85D3A" w:rsidP="00490644">
          <w:pPr>
            <w:pStyle w:val="HeaderOdd6"/>
            <w:spacing w:before="0" w:after="0"/>
            <w:jc w:val="left"/>
            <w:rPr>
              <w:rFonts w:ascii="Times New Roman" w:hAnsi="Times New Roman"/>
              <w:sz w:val="24"/>
              <w:szCs w:val="24"/>
            </w:rPr>
          </w:pPr>
        </w:p>
      </w:tc>
    </w:tr>
  </w:tbl>
  <w:p w14:paraId="787DBCC4" w14:textId="77777777" w:rsidR="00C85D3A" w:rsidRDefault="00C85D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ECC6" w14:textId="77777777" w:rsidR="00856BEE" w:rsidRDefault="00856BEE">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C85D3A" w14:paraId="2C74FEC2" w14:textId="77777777">
      <w:trPr>
        <w:jc w:val="center"/>
      </w:trPr>
      <w:tc>
        <w:tcPr>
          <w:tcW w:w="1234" w:type="dxa"/>
          <w:gridSpan w:val="2"/>
        </w:tcPr>
        <w:p w14:paraId="0CD4ACF2" w14:textId="77777777" w:rsidR="00C85D3A" w:rsidRDefault="00C85D3A">
          <w:pPr>
            <w:pStyle w:val="HeaderEven"/>
            <w:rPr>
              <w:b/>
            </w:rPr>
          </w:pPr>
          <w:r>
            <w:rPr>
              <w:b/>
            </w:rPr>
            <w:t>Endnotes</w:t>
          </w:r>
        </w:p>
      </w:tc>
      <w:tc>
        <w:tcPr>
          <w:tcW w:w="6062" w:type="dxa"/>
        </w:tcPr>
        <w:p w14:paraId="55FB8047" w14:textId="77777777" w:rsidR="00C85D3A" w:rsidRDefault="00C85D3A">
          <w:pPr>
            <w:pStyle w:val="HeaderEven"/>
          </w:pPr>
        </w:p>
      </w:tc>
    </w:tr>
    <w:tr w:rsidR="00C85D3A" w14:paraId="78EE7F6D" w14:textId="77777777">
      <w:trPr>
        <w:cantSplit/>
        <w:jc w:val="center"/>
      </w:trPr>
      <w:tc>
        <w:tcPr>
          <w:tcW w:w="7296" w:type="dxa"/>
          <w:gridSpan w:val="3"/>
        </w:tcPr>
        <w:p w14:paraId="1F5E1F96" w14:textId="77777777" w:rsidR="00C85D3A" w:rsidRDefault="00C85D3A">
          <w:pPr>
            <w:pStyle w:val="HeaderEven"/>
          </w:pPr>
        </w:p>
      </w:tc>
    </w:tr>
    <w:tr w:rsidR="00C85D3A" w14:paraId="340A8786" w14:textId="77777777">
      <w:trPr>
        <w:cantSplit/>
        <w:jc w:val="center"/>
      </w:trPr>
      <w:tc>
        <w:tcPr>
          <w:tcW w:w="700" w:type="dxa"/>
          <w:tcBorders>
            <w:bottom w:val="single" w:sz="4" w:space="0" w:color="auto"/>
          </w:tcBorders>
        </w:tcPr>
        <w:p w14:paraId="709B72CE" w14:textId="177DDC63" w:rsidR="00C85D3A" w:rsidRDefault="00C85D3A">
          <w:pPr>
            <w:pStyle w:val="HeaderEven6"/>
          </w:pPr>
          <w:r>
            <w:rPr>
              <w:noProof/>
            </w:rPr>
            <w:fldChar w:fldCharType="begin"/>
          </w:r>
          <w:r>
            <w:rPr>
              <w:noProof/>
            </w:rPr>
            <w:instrText xml:space="preserve"> STYLEREF charTableNo \*charformat </w:instrText>
          </w:r>
          <w:r>
            <w:rPr>
              <w:noProof/>
            </w:rPr>
            <w:fldChar w:fldCharType="separate"/>
          </w:r>
          <w:r w:rsidR="00856BEE">
            <w:rPr>
              <w:noProof/>
            </w:rPr>
            <w:t>4</w:t>
          </w:r>
          <w:r>
            <w:rPr>
              <w:noProof/>
            </w:rPr>
            <w:fldChar w:fldCharType="end"/>
          </w:r>
          <w:r>
            <w:rPr>
              <w:noProof/>
            </w:rPr>
            <w:t xml:space="preserve">                                                                               </w:t>
          </w:r>
        </w:p>
      </w:tc>
      <w:tc>
        <w:tcPr>
          <w:tcW w:w="6600" w:type="dxa"/>
          <w:gridSpan w:val="2"/>
          <w:tcBorders>
            <w:bottom w:val="single" w:sz="4" w:space="0" w:color="auto"/>
          </w:tcBorders>
        </w:tcPr>
        <w:p w14:paraId="16902C91" w14:textId="0C225CAF" w:rsidR="00C85D3A" w:rsidRDefault="00C85D3A">
          <w:pPr>
            <w:pStyle w:val="HeaderEven6"/>
          </w:pPr>
          <w:r>
            <w:rPr>
              <w:noProof/>
            </w:rPr>
            <w:fldChar w:fldCharType="begin"/>
          </w:r>
          <w:r>
            <w:rPr>
              <w:noProof/>
            </w:rPr>
            <w:instrText xml:space="preserve"> STYLEREF charTableText \*charformat </w:instrText>
          </w:r>
          <w:r>
            <w:rPr>
              <w:noProof/>
            </w:rPr>
            <w:fldChar w:fldCharType="separate"/>
          </w:r>
          <w:r w:rsidR="00856BEE">
            <w:rPr>
              <w:noProof/>
            </w:rPr>
            <w:t>Amendment history</w:t>
          </w:r>
          <w:r>
            <w:rPr>
              <w:noProof/>
            </w:rPr>
            <w:fldChar w:fldCharType="end"/>
          </w:r>
          <w:r>
            <w:rPr>
              <w:noProof/>
            </w:rPr>
            <w:t xml:space="preserve">                                                                                                              </w:t>
          </w:r>
        </w:p>
      </w:tc>
    </w:tr>
  </w:tbl>
  <w:p w14:paraId="12FDF926" w14:textId="77777777" w:rsidR="00C85D3A" w:rsidRDefault="00C85D3A">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C85D3A" w14:paraId="1B0D5270" w14:textId="77777777">
      <w:trPr>
        <w:jc w:val="center"/>
      </w:trPr>
      <w:tc>
        <w:tcPr>
          <w:tcW w:w="5741" w:type="dxa"/>
        </w:tcPr>
        <w:p w14:paraId="5C4F95D8" w14:textId="77777777" w:rsidR="00C85D3A" w:rsidRDefault="00C85D3A">
          <w:pPr>
            <w:pStyle w:val="HeaderEven"/>
            <w:jc w:val="right"/>
          </w:pPr>
        </w:p>
      </w:tc>
      <w:tc>
        <w:tcPr>
          <w:tcW w:w="1560" w:type="dxa"/>
          <w:gridSpan w:val="2"/>
        </w:tcPr>
        <w:p w14:paraId="7434722E" w14:textId="77777777" w:rsidR="00C85D3A" w:rsidRDefault="00C85D3A">
          <w:pPr>
            <w:pStyle w:val="HeaderEven"/>
            <w:jc w:val="right"/>
            <w:rPr>
              <w:b/>
            </w:rPr>
          </w:pPr>
          <w:r>
            <w:rPr>
              <w:b/>
            </w:rPr>
            <w:t>Endnotes</w:t>
          </w:r>
        </w:p>
      </w:tc>
    </w:tr>
    <w:tr w:rsidR="00C85D3A" w14:paraId="18137535" w14:textId="77777777">
      <w:trPr>
        <w:jc w:val="center"/>
      </w:trPr>
      <w:tc>
        <w:tcPr>
          <w:tcW w:w="7301" w:type="dxa"/>
          <w:gridSpan w:val="3"/>
        </w:tcPr>
        <w:p w14:paraId="692052C0" w14:textId="77777777" w:rsidR="00C85D3A" w:rsidRDefault="00C85D3A">
          <w:pPr>
            <w:pStyle w:val="HeaderEven"/>
            <w:jc w:val="right"/>
            <w:rPr>
              <w:b/>
            </w:rPr>
          </w:pPr>
        </w:p>
      </w:tc>
    </w:tr>
    <w:tr w:rsidR="00C85D3A" w14:paraId="13B5D2FB" w14:textId="77777777">
      <w:trPr>
        <w:jc w:val="center"/>
      </w:trPr>
      <w:tc>
        <w:tcPr>
          <w:tcW w:w="6600" w:type="dxa"/>
          <w:gridSpan w:val="2"/>
          <w:tcBorders>
            <w:bottom w:val="single" w:sz="4" w:space="0" w:color="auto"/>
          </w:tcBorders>
        </w:tcPr>
        <w:p w14:paraId="3D84237B" w14:textId="474706AD" w:rsidR="00C85D3A" w:rsidRDefault="00C85D3A">
          <w:pPr>
            <w:pStyle w:val="HeaderOdd6"/>
          </w:pPr>
          <w:r>
            <w:rPr>
              <w:noProof/>
            </w:rPr>
            <w:fldChar w:fldCharType="begin"/>
          </w:r>
          <w:r>
            <w:rPr>
              <w:noProof/>
            </w:rPr>
            <w:instrText xml:space="preserve"> STYLEREF charTableText \*charformat </w:instrText>
          </w:r>
          <w:r>
            <w:rPr>
              <w:noProof/>
            </w:rPr>
            <w:fldChar w:fldCharType="separate"/>
          </w:r>
          <w:r w:rsidR="00856BEE">
            <w:rPr>
              <w:noProof/>
            </w:rPr>
            <w:t>Earlier republications</w:t>
          </w:r>
          <w:r>
            <w:rPr>
              <w:noProof/>
            </w:rPr>
            <w:fldChar w:fldCharType="end"/>
          </w:r>
          <w:r>
            <w:rPr>
              <w:noProof/>
            </w:rPr>
            <w:t xml:space="preserve">                                                                                                                                                                                                                                                                 </w:t>
          </w:r>
        </w:p>
      </w:tc>
      <w:tc>
        <w:tcPr>
          <w:tcW w:w="700" w:type="dxa"/>
          <w:tcBorders>
            <w:bottom w:val="single" w:sz="4" w:space="0" w:color="auto"/>
          </w:tcBorders>
        </w:tcPr>
        <w:p w14:paraId="11520C7D" w14:textId="1AB5EB65" w:rsidR="00C85D3A" w:rsidRDefault="00C85D3A">
          <w:pPr>
            <w:pStyle w:val="HeaderOdd6"/>
          </w:pPr>
          <w:r>
            <w:rPr>
              <w:noProof/>
            </w:rPr>
            <w:fldChar w:fldCharType="begin"/>
          </w:r>
          <w:r>
            <w:rPr>
              <w:noProof/>
            </w:rPr>
            <w:instrText xml:space="preserve"> STYLEREF charTableNo \*charformat </w:instrText>
          </w:r>
          <w:r>
            <w:rPr>
              <w:noProof/>
            </w:rPr>
            <w:fldChar w:fldCharType="separate"/>
          </w:r>
          <w:r w:rsidR="00856BEE">
            <w:rPr>
              <w:noProof/>
            </w:rPr>
            <w:t>5</w:t>
          </w:r>
          <w:r>
            <w:rPr>
              <w:noProof/>
            </w:rPr>
            <w:fldChar w:fldCharType="end"/>
          </w:r>
          <w:r>
            <w:rPr>
              <w:noProof/>
            </w:rPr>
            <w:t xml:space="preserve">                                                                                                                                         </w:t>
          </w:r>
        </w:p>
      </w:tc>
    </w:tr>
  </w:tbl>
  <w:p w14:paraId="416BAA2B" w14:textId="77777777" w:rsidR="00C85D3A" w:rsidRDefault="00C85D3A">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D4EC" w14:textId="77777777" w:rsidR="00C85D3A" w:rsidRDefault="00C85D3A">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693E" w14:textId="77777777" w:rsidR="00C85D3A" w:rsidRDefault="00C85D3A">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2CF1" w14:textId="77777777" w:rsidR="00C85D3A" w:rsidRDefault="00C85D3A">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C85D3A" w14:paraId="75F4810B" w14:textId="77777777">
      <w:tc>
        <w:tcPr>
          <w:tcW w:w="900" w:type="pct"/>
        </w:tcPr>
        <w:p w14:paraId="3600A960" w14:textId="77777777" w:rsidR="00C85D3A" w:rsidRDefault="00C85D3A">
          <w:pPr>
            <w:pStyle w:val="HeaderEven"/>
          </w:pPr>
        </w:p>
      </w:tc>
      <w:tc>
        <w:tcPr>
          <w:tcW w:w="4100" w:type="pct"/>
        </w:tcPr>
        <w:p w14:paraId="526E8BC2" w14:textId="77777777" w:rsidR="00C85D3A" w:rsidRDefault="00C85D3A">
          <w:pPr>
            <w:pStyle w:val="HeaderEven"/>
          </w:pPr>
        </w:p>
      </w:tc>
    </w:tr>
    <w:tr w:rsidR="00C85D3A" w14:paraId="782A90C3" w14:textId="77777777">
      <w:tc>
        <w:tcPr>
          <w:tcW w:w="4100" w:type="pct"/>
          <w:gridSpan w:val="2"/>
          <w:tcBorders>
            <w:bottom w:val="single" w:sz="4" w:space="0" w:color="auto"/>
          </w:tcBorders>
        </w:tcPr>
        <w:p w14:paraId="40076E98" w14:textId="5B0ABF6E" w:rsidR="00C85D3A" w:rsidRDefault="00C85D3A">
          <w:pPr>
            <w:pStyle w:val="HeaderEven6"/>
          </w:pPr>
          <w:r>
            <w:fldChar w:fldCharType="begin"/>
          </w:r>
          <w:r>
            <w:instrText xml:space="preserve"> STYLEREF charContents \* MERGEFORMAT </w:instrText>
          </w:r>
          <w:r>
            <w:fldChar w:fldCharType="end"/>
          </w:r>
        </w:p>
      </w:tc>
    </w:tr>
  </w:tbl>
  <w:p w14:paraId="140076FD" w14:textId="3B3A9E44" w:rsidR="00C85D3A" w:rsidRDefault="00C85D3A">
    <w:pPr>
      <w:pStyle w:val="N-9pt"/>
    </w:pPr>
    <w:r>
      <w:tab/>
    </w:r>
    <w:r>
      <w:fldChar w:fldCharType="begin"/>
    </w:r>
    <w:r>
      <w:instrText xml:space="preserve"> STYLEREF charPage \* MERGEFORMAT </w:instrText>
    </w:r>
    <w: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C85D3A" w14:paraId="23FB3DE6" w14:textId="77777777">
      <w:tc>
        <w:tcPr>
          <w:tcW w:w="4100" w:type="pct"/>
        </w:tcPr>
        <w:p w14:paraId="155E559B" w14:textId="77777777" w:rsidR="00C85D3A" w:rsidRDefault="00C85D3A">
          <w:pPr>
            <w:pStyle w:val="HeaderOdd"/>
          </w:pPr>
        </w:p>
      </w:tc>
      <w:tc>
        <w:tcPr>
          <w:tcW w:w="900" w:type="pct"/>
        </w:tcPr>
        <w:p w14:paraId="5F06D3E1" w14:textId="77777777" w:rsidR="00C85D3A" w:rsidRDefault="00C85D3A">
          <w:pPr>
            <w:pStyle w:val="HeaderOdd"/>
          </w:pPr>
        </w:p>
      </w:tc>
    </w:tr>
    <w:tr w:rsidR="00C85D3A" w14:paraId="3ECC9B50" w14:textId="77777777">
      <w:tc>
        <w:tcPr>
          <w:tcW w:w="900" w:type="pct"/>
          <w:gridSpan w:val="2"/>
          <w:tcBorders>
            <w:bottom w:val="single" w:sz="4" w:space="0" w:color="auto"/>
          </w:tcBorders>
        </w:tcPr>
        <w:p w14:paraId="78826E41" w14:textId="23B4A363" w:rsidR="00C85D3A" w:rsidRDefault="00C85D3A">
          <w:pPr>
            <w:pStyle w:val="HeaderOdd6"/>
          </w:pPr>
          <w:r>
            <w:fldChar w:fldCharType="begin"/>
          </w:r>
          <w:r>
            <w:instrText xml:space="preserve"> STYLEREF charContents \* MERGEFORMAT </w:instrText>
          </w:r>
          <w:r>
            <w:fldChar w:fldCharType="end"/>
          </w:r>
        </w:p>
      </w:tc>
    </w:tr>
  </w:tbl>
  <w:p w14:paraId="4A6F34E3" w14:textId="11960790" w:rsidR="00C85D3A" w:rsidRDefault="00C85D3A">
    <w:pPr>
      <w:pStyle w:val="N-9pt"/>
    </w:pPr>
    <w:r>
      <w:tab/>
    </w:r>
    <w:r>
      <w:fldChar w:fldCharType="begin"/>
    </w:r>
    <w:r>
      <w:instrText xml:space="preserve"> STYLEREF charPage \* MERGEFORMAT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C85D3A" w14:paraId="538C0CC1" w14:textId="77777777">
      <w:tc>
        <w:tcPr>
          <w:tcW w:w="900" w:type="pct"/>
        </w:tcPr>
        <w:p w14:paraId="5D065395" w14:textId="77777777" w:rsidR="00C85D3A" w:rsidRDefault="00C85D3A">
          <w:pPr>
            <w:pStyle w:val="HeaderEven"/>
          </w:pPr>
        </w:p>
      </w:tc>
      <w:tc>
        <w:tcPr>
          <w:tcW w:w="4100" w:type="pct"/>
        </w:tcPr>
        <w:p w14:paraId="56C15FFB" w14:textId="77777777" w:rsidR="00C85D3A" w:rsidRDefault="00C85D3A">
          <w:pPr>
            <w:pStyle w:val="HeaderEven"/>
          </w:pPr>
        </w:p>
      </w:tc>
    </w:tr>
    <w:tr w:rsidR="00C85D3A" w14:paraId="1F8FB241" w14:textId="77777777">
      <w:tc>
        <w:tcPr>
          <w:tcW w:w="4100" w:type="pct"/>
          <w:gridSpan w:val="2"/>
          <w:tcBorders>
            <w:bottom w:val="single" w:sz="4" w:space="0" w:color="auto"/>
          </w:tcBorders>
        </w:tcPr>
        <w:p w14:paraId="3ED22985" w14:textId="5991EB59" w:rsidR="00C85D3A" w:rsidRDefault="00856BEE">
          <w:pPr>
            <w:pStyle w:val="HeaderEven6"/>
          </w:pPr>
          <w:r>
            <w:fldChar w:fldCharType="begin"/>
          </w:r>
          <w:r>
            <w:instrText xml:space="preserve"> STYLEREF charContents \* MERGEFORMAT </w:instrText>
          </w:r>
          <w:r>
            <w:fldChar w:fldCharType="separate"/>
          </w:r>
          <w:r>
            <w:rPr>
              <w:noProof/>
            </w:rPr>
            <w:t>Contents</w:t>
          </w:r>
          <w:r>
            <w:rPr>
              <w:noProof/>
            </w:rPr>
            <w:fldChar w:fldCharType="end"/>
          </w:r>
          <w:r w:rsidR="00C85D3A">
            <w:t xml:space="preserve">                                                                                                                                                                                                                          </w:t>
          </w:r>
        </w:p>
      </w:tc>
    </w:tr>
  </w:tbl>
  <w:p w14:paraId="66B62068" w14:textId="3CD5397B" w:rsidR="00C85D3A" w:rsidRDefault="00C85D3A">
    <w:pPr>
      <w:pStyle w:val="N-9pt"/>
    </w:pPr>
    <w:r>
      <w:tab/>
    </w:r>
    <w:r w:rsidR="00856BEE">
      <w:fldChar w:fldCharType="begin"/>
    </w:r>
    <w:r w:rsidR="00856BEE">
      <w:instrText xml:space="preserve"> STYLEREF charPage \* MERGEFORMAT </w:instrText>
    </w:r>
    <w:r w:rsidR="00856BEE">
      <w:fldChar w:fldCharType="separate"/>
    </w:r>
    <w:r w:rsidR="00856BEE">
      <w:rPr>
        <w:noProof/>
      </w:rPr>
      <w:t>Page</w:t>
    </w:r>
    <w:r w:rsidR="00856BE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C85D3A" w14:paraId="2CE268AD" w14:textId="77777777">
      <w:tc>
        <w:tcPr>
          <w:tcW w:w="4100" w:type="pct"/>
        </w:tcPr>
        <w:p w14:paraId="2B802B2C" w14:textId="77777777" w:rsidR="00C85D3A" w:rsidRDefault="00C85D3A">
          <w:pPr>
            <w:pStyle w:val="HeaderOdd"/>
          </w:pPr>
        </w:p>
      </w:tc>
      <w:tc>
        <w:tcPr>
          <w:tcW w:w="900" w:type="pct"/>
        </w:tcPr>
        <w:p w14:paraId="6F04F971" w14:textId="77777777" w:rsidR="00C85D3A" w:rsidRDefault="00C85D3A">
          <w:pPr>
            <w:pStyle w:val="HeaderOdd"/>
          </w:pPr>
        </w:p>
      </w:tc>
    </w:tr>
    <w:tr w:rsidR="00C85D3A" w14:paraId="33586833" w14:textId="77777777">
      <w:tc>
        <w:tcPr>
          <w:tcW w:w="900" w:type="pct"/>
          <w:gridSpan w:val="2"/>
          <w:tcBorders>
            <w:bottom w:val="single" w:sz="4" w:space="0" w:color="auto"/>
          </w:tcBorders>
        </w:tcPr>
        <w:p w14:paraId="04D67BCF" w14:textId="4D5029D2" w:rsidR="00C85D3A" w:rsidRDefault="00856BEE">
          <w:pPr>
            <w:pStyle w:val="HeaderOdd6"/>
          </w:pPr>
          <w:r>
            <w:fldChar w:fldCharType="begin"/>
          </w:r>
          <w:r>
            <w:instrText xml:space="preserve"> STYLEREF charContents \* MERGEFORMAT </w:instrText>
          </w:r>
          <w:r>
            <w:fldChar w:fldCharType="separate"/>
          </w:r>
          <w:r>
            <w:rPr>
              <w:noProof/>
            </w:rPr>
            <w:t>Contents</w:t>
          </w:r>
          <w:r>
            <w:rPr>
              <w:noProof/>
            </w:rPr>
            <w:fldChar w:fldCharType="end"/>
          </w:r>
          <w:r w:rsidR="00C85D3A">
            <w:t xml:space="preserve">                                                                                                                                                                                   </w:t>
          </w:r>
        </w:p>
      </w:tc>
    </w:tr>
  </w:tbl>
  <w:p w14:paraId="61A2489D" w14:textId="0A24C0CA" w:rsidR="00C85D3A" w:rsidRDefault="00C85D3A">
    <w:pPr>
      <w:pStyle w:val="N-9pt"/>
    </w:pPr>
    <w:r>
      <w:tab/>
    </w:r>
    <w:r w:rsidR="00856BEE">
      <w:fldChar w:fldCharType="begin"/>
    </w:r>
    <w:r w:rsidR="00856BEE">
      <w:instrText xml:space="preserve"> STYLEREF charPage \* MERGEFORMAT </w:instrText>
    </w:r>
    <w:r w:rsidR="00856BEE">
      <w:fldChar w:fldCharType="separate"/>
    </w:r>
    <w:r w:rsidR="00856BEE">
      <w:rPr>
        <w:noProof/>
      </w:rPr>
      <w:t>Page</w:t>
    </w:r>
    <w:r w:rsidR="00856BEE">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EF7DDF" w14:paraId="7C64E5BE" w14:textId="77777777" w:rsidTr="00F07A6C">
      <w:tc>
        <w:tcPr>
          <w:tcW w:w="1701" w:type="dxa"/>
        </w:tcPr>
        <w:p w14:paraId="77774E45" w14:textId="2048DFFA" w:rsidR="00C85D3A" w:rsidRDefault="00C85D3A">
          <w:pPr>
            <w:pStyle w:val="HeaderEven"/>
            <w:rPr>
              <w:b/>
            </w:rPr>
          </w:pPr>
          <w:r>
            <w:rPr>
              <w:b/>
            </w:rPr>
            <w:fldChar w:fldCharType="begin"/>
          </w:r>
          <w:r>
            <w:rPr>
              <w:b/>
            </w:rPr>
            <w:instrText xml:space="preserve"> STYLEREF CharChapNo \*charformat  </w:instrText>
          </w:r>
          <w:r>
            <w:rPr>
              <w:b/>
            </w:rPr>
            <w:fldChar w:fldCharType="separate"/>
          </w:r>
          <w:r w:rsidR="00856BEE">
            <w:rPr>
              <w:b/>
              <w:noProof/>
            </w:rPr>
            <w:t>Chapter 4</w:t>
          </w:r>
          <w:r>
            <w:rPr>
              <w:b/>
            </w:rPr>
            <w:fldChar w:fldCharType="end"/>
          </w:r>
          <w:r>
            <w:rPr>
              <w:b/>
            </w:rPr>
            <w:t xml:space="preserve">                                                                                                                                             </w:t>
          </w:r>
        </w:p>
      </w:tc>
      <w:tc>
        <w:tcPr>
          <w:tcW w:w="6320" w:type="dxa"/>
        </w:tcPr>
        <w:p w14:paraId="3702AAF2" w14:textId="750B926B" w:rsidR="00C85D3A" w:rsidRDefault="00C85D3A">
          <w:pPr>
            <w:pStyle w:val="HeaderEven"/>
          </w:pPr>
          <w:r>
            <w:rPr>
              <w:noProof/>
            </w:rPr>
            <w:fldChar w:fldCharType="begin"/>
          </w:r>
          <w:r>
            <w:rPr>
              <w:noProof/>
            </w:rPr>
            <w:instrText xml:space="preserve"> STYLEREF CharChapText \*charformat  </w:instrText>
          </w:r>
          <w:r>
            <w:rPr>
              <w:noProof/>
            </w:rPr>
            <w:fldChar w:fldCharType="separate"/>
          </w:r>
          <w:r w:rsidR="00856BEE">
            <w:rPr>
              <w:noProof/>
            </w:rPr>
            <w:t>Vehicle operations—mass, dimension and loading</w:t>
          </w:r>
          <w:r>
            <w:rPr>
              <w:noProof/>
            </w:rPr>
            <w:fldChar w:fldCharType="end"/>
          </w:r>
          <w:r>
            <w:rPr>
              <w:noProof/>
            </w:rPr>
            <w:t xml:space="preserve">                                                                                                                                                                                                                                                                                                                                                </w:t>
          </w:r>
        </w:p>
      </w:tc>
    </w:tr>
    <w:tr w:rsidR="00EF7DDF" w14:paraId="12E63256" w14:textId="77777777" w:rsidTr="00F07A6C">
      <w:tc>
        <w:tcPr>
          <w:tcW w:w="1701" w:type="dxa"/>
        </w:tcPr>
        <w:p w14:paraId="45CEB670" w14:textId="1F8477AC" w:rsidR="00C85D3A" w:rsidRDefault="00C85D3A">
          <w:pPr>
            <w:pStyle w:val="HeaderEven"/>
            <w:rPr>
              <w:b/>
            </w:rPr>
          </w:pPr>
          <w:r>
            <w:rPr>
              <w:b/>
            </w:rPr>
            <w:fldChar w:fldCharType="begin"/>
          </w:r>
          <w:r>
            <w:rPr>
              <w:b/>
            </w:rPr>
            <w:instrText xml:space="preserve"> STYLEREF CharPartNo \*charformat </w:instrText>
          </w:r>
          <w:r>
            <w:rPr>
              <w:b/>
            </w:rPr>
            <w:fldChar w:fldCharType="separate"/>
          </w:r>
          <w:r w:rsidR="00856BEE">
            <w:rPr>
              <w:b/>
              <w:noProof/>
            </w:rPr>
            <w:t>Part 4.5</w:t>
          </w:r>
          <w:r>
            <w:rPr>
              <w:b/>
            </w:rPr>
            <w:fldChar w:fldCharType="end"/>
          </w:r>
          <w:r>
            <w:rPr>
              <w:b/>
            </w:rPr>
            <w:t xml:space="preserve">                                                                                                                                    </w:t>
          </w:r>
        </w:p>
      </w:tc>
      <w:tc>
        <w:tcPr>
          <w:tcW w:w="6320" w:type="dxa"/>
        </w:tcPr>
        <w:p w14:paraId="2639CFD0" w14:textId="0650C141" w:rsidR="00C85D3A" w:rsidRDefault="00856BEE">
          <w:pPr>
            <w:pStyle w:val="HeaderEven"/>
          </w:pPr>
          <w:r>
            <w:fldChar w:fldCharType="begin"/>
          </w:r>
          <w:r>
            <w:instrText xml:space="preserve"> STYLEREF CharPartText \*charformat </w:instrText>
          </w:r>
          <w:r>
            <w:fldChar w:fldCharType="separate"/>
          </w:r>
          <w:r>
            <w:rPr>
              <w:noProof/>
            </w:rPr>
            <w:t>Exemptions for particular overmass or oversize vehicles</w:t>
          </w:r>
          <w:r>
            <w:rPr>
              <w:noProof/>
            </w:rPr>
            <w:fldChar w:fldCharType="end"/>
          </w:r>
          <w:r w:rsidR="00C85D3A">
            <w:t xml:space="preserve">                                                                                                                                                                                                                                                                                                    </w:t>
          </w:r>
        </w:p>
      </w:tc>
    </w:tr>
    <w:tr w:rsidR="00EF7DDF" w14:paraId="567C6D30" w14:textId="77777777" w:rsidTr="00F07A6C">
      <w:tc>
        <w:tcPr>
          <w:tcW w:w="1701" w:type="dxa"/>
        </w:tcPr>
        <w:p w14:paraId="2425C391" w14:textId="57C29278" w:rsidR="00C85D3A" w:rsidRDefault="00C85D3A">
          <w:pPr>
            <w:pStyle w:val="HeaderEven"/>
            <w:rPr>
              <w:b/>
            </w:rPr>
          </w:pPr>
          <w:r>
            <w:rPr>
              <w:b/>
            </w:rPr>
            <w:fldChar w:fldCharType="begin"/>
          </w:r>
          <w:r>
            <w:rPr>
              <w:b/>
            </w:rPr>
            <w:instrText xml:space="preserve"> STYLEREF CharDivNo \*charformat </w:instrText>
          </w:r>
          <w:r w:rsidR="00856BEE">
            <w:rPr>
              <w:b/>
            </w:rPr>
            <w:fldChar w:fldCharType="separate"/>
          </w:r>
          <w:r w:rsidR="00856BEE">
            <w:rPr>
              <w:b/>
              <w:noProof/>
            </w:rPr>
            <w:t>Division 5</w:t>
          </w:r>
          <w:r>
            <w:rPr>
              <w:b/>
            </w:rPr>
            <w:fldChar w:fldCharType="end"/>
          </w:r>
          <w:r>
            <w:rPr>
              <w:b/>
            </w:rPr>
            <w:t xml:space="preserve">                                                                                                                    </w:t>
          </w:r>
        </w:p>
      </w:tc>
      <w:tc>
        <w:tcPr>
          <w:tcW w:w="6320" w:type="dxa"/>
        </w:tcPr>
        <w:p w14:paraId="57CC5F9A" w14:textId="0629C3BB" w:rsidR="00C85D3A" w:rsidRDefault="00856BEE">
          <w:pPr>
            <w:pStyle w:val="HeaderEven"/>
          </w:pPr>
          <w:r>
            <w:fldChar w:fldCharType="begin"/>
          </w:r>
          <w:r>
            <w:instrText xml:space="preserve"> STYLEREF CharDivText \*charformat </w:instrText>
          </w:r>
          <w:r>
            <w:fldChar w:fldCharType="separate"/>
          </w:r>
          <w:r>
            <w:rPr>
              <w:noProof/>
            </w:rPr>
            <w:t>Other provision</w:t>
          </w:r>
          <w:r>
            <w:rPr>
              <w:noProof/>
            </w:rPr>
            <w:fldChar w:fldCharType="end"/>
          </w:r>
          <w:r w:rsidR="00C85D3A">
            <w:t xml:space="preserve">                                                                                                                                                                                                                                                                                                                                                                                      </w:t>
          </w:r>
        </w:p>
      </w:tc>
    </w:tr>
    <w:tr w:rsidR="00C85D3A" w14:paraId="0290A4F1" w14:textId="77777777" w:rsidTr="00F07A6C">
      <w:trPr>
        <w:cantSplit/>
      </w:trPr>
      <w:tc>
        <w:tcPr>
          <w:tcW w:w="1701" w:type="dxa"/>
          <w:gridSpan w:val="2"/>
          <w:tcBorders>
            <w:bottom w:val="single" w:sz="4" w:space="0" w:color="auto"/>
          </w:tcBorders>
        </w:tcPr>
        <w:p w14:paraId="7E75A6E5" w14:textId="2D04FEFB" w:rsidR="00C85D3A" w:rsidRDefault="00856BEE">
          <w:pPr>
            <w:pStyle w:val="HeaderEven6"/>
          </w:pPr>
          <w:r>
            <w:fldChar w:fldCharType="begin"/>
          </w:r>
          <w:r>
            <w:instrText xml:space="preserve"> DOCPROPERTY "Company"  \* MERGEFORMAT </w:instrText>
          </w:r>
          <w:r>
            <w:fldChar w:fldCharType="separate"/>
          </w:r>
          <w:r w:rsidR="00EF7DDF">
            <w:t>Section</w:t>
          </w:r>
          <w:r>
            <w:fldChar w:fldCharType="end"/>
          </w:r>
          <w:r w:rsidR="00C85D3A">
            <w:t xml:space="preserve"> </w:t>
          </w:r>
          <w:r w:rsidR="00C85D3A">
            <w:rPr>
              <w:noProof/>
            </w:rPr>
            <w:fldChar w:fldCharType="begin"/>
          </w:r>
          <w:r w:rsidR="00C85D3A">
            <w:rPr>
              <w:noProof/>
            </w:rPr>
            <w:instrText xml:space="preserve"> STYLEREF CharSectNo \*charformat </w:instrText>
          </w:r>
          <w:r w:rsidR="00C85D3A">
            <w:rPr>
              <w:noProof/>
            </w:rPr>
            <w:fldChar w:fldCharType="separate"/>
          </w:r>
          <w:r>
            <w:rPr>
              <w:noProof/>
            </w:rPr>
            <w:t>134</w:t>
          </w:r>
          <w:r w:rsidR="00C85D3A">
            <w:rPr>
              <w:noProof/>
            </w:rPr>
            <w:fldChar w:fldCharType="end"/>
          </w:r>
          <w:r w:rsidR="00C85D3A">
            <w:rPr>
              <w:noProof/>
            </w:rPr>
            <w:t xml:space="preserve">                                                                                                                                                                                                                           </w:t>
          </w:r>
        </w:p>
      </w:tc>
    </w:tr>
  </w:tbl>
  <w:p w14:paraId="02146DDF" w14:textId="77777777" w:rsidR="00C85D3A" w:rsidRDefault="00C85D3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EF7DDF" w14:paraId="19AFEBCC" w14:textId="77777777" w:rsidTr="00F07A6C">
      <w:tc>
        <w:tcPr>
          <w:tcW w:w="6320" w:type="dxa"/>
        </w:tcPr>
        <w:p w14:paraId="5E1BF077" w14:textId="528DF73F" w:rsidR="00C85D3A" w:rsidRDefault="00C85D3A">
          <w:pPr>
            <w:pStyle w:val="HeaderEven"/>
            <w:jc w:val="right"/>
          </w:pPr>
          <w:r>
            <w:rPr>
              <w:noProof/>
            </w:rPr>
            <w:fldChar w:fldCharType="begin"/>
          </w:r>
          <w:r>
            <w:rPr>
              <w:noProof/>
            </w:rPr>
            <w:instrText xml:space="preserve"> STYLEREF CharChapText \*charformat  </w:instrText>
          </w:r>
          <w:r>
            <w:rPr>
              <w:noProof/>
            </w:rPr>
            <w:fldChar w:fldCharType="separate"/>
          </w:r>
          <w:r w:rsidR="00856BEE">
            <w:rPr>
              <w:noProof/>
            </w:rPr>
            <w:t>Vehicle operations—mass, dimension and loading</w:t>
          </w:r>
          <w:r>
            <w:rPr>
              <w:noProof/>
            </w:rPr>
            <w:fldChar w:fldCharType="end"/>
          </w:r>
          <w:r>
            <w:rPr>
              <w:noProof/>
            </w:rPr>
            <w:t xml:space="preserve">                                                                                                                                                                                                                                                      </w:t>
          </w:r>
        </w:p>
      </w:tc>
      <w:tc>
        <w:tcPr>
          <w:tcW w:w="1701" w:type="dxa"/>
        </w:tcPr>
        <w:p w14:paraId="70E4EEF4" w14:textId="2C2C1571" w:rsidR="00C85D3A" w:rsidRDefault="00C85D3A">
          <w:pPr>
            <w:pStyle w:val="HeaderEven"/>
            <w:jc w:val="right"/>
            <w:rPr>
              <w:b/>
            </w:rPr>
          </w:pPr>
          <w:r>
            <w:rPr>
              <w:b/>
            </w:rPr>
            <w:fldChar w:fldCharType="begin"/>
          </w:r>
          <w:r>
            <w:rPr>
              <w:b/>
            </w:rPr>
            <w:instrText xml:space="preserve"> STYLEREF CharChapNo \*charformat  </w:instrText>
          </w:r>
          <w:r>
            <w:rPr>
              <w:b/>
            </w:rPr>
            <w:fldChar w:fldCharType="separate"/>
          </w:r>
          <w:r w:rsidR="00856BEE">
            <w:rPr>
              <w:b/>
              <w:noProof/>
            </w:rPr>
            <w:t>Chapter 4</w:t>
          </w:r>
          <w:r>
            <w:rPr>
              <w:b/>
            </w:rPr>
            <w:fldChar w:fldCharType="end"/>
          </w:r>
          <w:r>
            <w:rPr>
              <w:b/>
            </w:rPr>
            <w:t xml:space="preserve">                                                                              </w:t>
          </w:r>
        </w:p>
      </w:tc>
    </w:tr>
    <w:tr w:rsidR="00EF7DDF" w14:paraId="55EDD867" w14:textId="77777777" w:rsidTr="00F07A6C">
      <w:tc>
        <w:tcPr>
          <w:tcW w:w="6320" w:type="dxa"/>
        </w:tcPr>
        <w:p w14:paraId="0CF5ACFB" w14:textId="4216AC4F" w:rsidR="00C85D3A" w:rsidRDefault="00856BEE">
          <w:pPr>
            <w:pStyle w:val="HeaderEven"/>
            <w:jc w:val="right"/>
          </w:pPr>
          <w:r>
            <w:fldChar w:fldCharType="begin"/>
          </w:r>
          <w:r>
            <w:instrText xml:space="preserve"> STYLEREF CharPartText \*charformat </w:instrText>
          </w:r>
          <w:r>
            <w:fldChar w:fldCharType="separate"/>
          </w:r>
          <w:r>
            <w:rPr>
              <w:noProof/>
            </w:rPr>
            <w:t>Exemptions for particular overmass or oversize vehicles</w:t>
          </w:r>
          <w:r>
            <w:rPr>
              <w:noProof/>
            </w:rPr>
            <w:fldChar w:fldCharType="end"/>
          </w:r>
          <w:r w:rsidR="00C85D3A">
            <w:t xml:space="preserve">                                                                                                                                                                                                                                     </w:t>
          </w:r>
        </w:p>
      </w:tc>
      <w:tc>
        <w:tcPr>
          <w:tcW w:w="1701" w:type="dxa"/>
        </w:tcPr>
        <w:p w14:paraId="47F9D1AE" w14:textId="0F64B9F1" w:rsidR="00C85D3A" w:rsidRDefault="00C85D3A">
          <w:pPr>
            <w:pStyle w:val="HeaderEven"/>
            <w:jc w:val="right"/>
            <w:rPr>
              <w:b/>
            </w:rPr>
          </w:pPr>
          <w:r>
            <w:rPr>
              <w:b/>
            </w:rPr>
            <w:fldChar w:fldCharType="begin"/>
          </w:r>
          <w:r>
            <w:rPr>
              <w:b/>
            </w:rPr>
            <w:instrText xml:space="preserve"> STYLEREF CharPartNo \*charformat </w:instrText>
          </w:r>
          <w:r>
            <w:rPr>
              <w:b/>
            </w:rPr>
            <w:fldChar w:fldCharType="separate"/>
          </w:r>
          <w:r w:rsidR="00856BEE">
            <w:rPr>
              <w:b/>
              <w:noProof/>
            </w:rPr>
            <w:t>Part 4.5</w:t>
          </w:r>
          <w:r>
            <w:rPr>
              <w:b/>
            </w:rPr>
            <w:fldChar w:fldCharType="end"/>
          </w:r>
          <w:r>
            <w:rPr>
              <w:b/>
            </w:rPr>
            <w:t xml:space="preserve">                                                                                                                           </w:t>
          </w:r>
        </w:p>
      </w:tc>
    </w:tr>
    <w:tr w:rsidR="00EF7DDF" w14:paraId="6254C164" w14:textId="77777777" w:rsidTr="00F07A6C">
      <w:tc>
        <w:tcPr>
          <w:tcW w:w="6320" w:type="dxa"/>
        </w:tcPr>
        <w:p w14:paraId="2093B93E" w14:textId="3496CAEC" w:rsidR="00C85D3A" w:rsidRDefault="00856BEE">
          <w:pPr>
            <w:pStyle w:val="HeaderEven"/>
            <w:jc w:val="right"/>
          </w:pPr>
          <w:r>
            <w:fldChar w:fldCharType="begin"/>
          </w:r>
          <w:r>
            <w:instrText xml:space="preserve"> STYLEREF CharDivText \*charformat </w:instrText>
          </w:r>
          <w:r>
            <w:fldChar w:fldCharType="separate"/>
          </w:r>
          <w:r>
            <w:rPr>
              <w:noProof/>
            </w:rPr>
            <w:t>Operating under mass or dimension exemption</w:t>
          </w:r>
          <w:r>
            <w:rPr>
              <w:noProof/>
            </w:rPr>
            <w:fldChar w:fldCharType="end"/>
          </w:r>
          <w:r w:rsidR="00C85D3A">
            <w:t xml:space="preserve">                                                                                                                                                                 </w:t>
          </w:r>
        </w:p>
      </w:tc>
      <w:tc>
        <w:tcPr>
          <w:tcW w:w="1701" w:type="dxa"/>
        </w:tcPr>
        <w:p w14:paraId="5E36407C" w14:textId="76D8F3C3" w:rsidR="00C85D3A" w:rsidRDefault="00C85D3A">
          <w:pPr>
            <w:pStyle w:val="HeaderEven"/>
            <w:jc w:val="right"/>
            <w:rPr>
              <w:b/>
            </w:rPr>
          </w:pPr>
          <w:r>
            <w:rPr>
              <w:b/>
            </w:rPr>
            <w:fldChar w:fldCharType="begin"/>
          </w:r>
          <w:r>
            <w:rPr>
              <w:b/>
            </w:rPr>
            <w:instrText xml:space="preserve"> STYLEREF CharDivNo \*charformat </w:instrText>
          </w:r>
          <w:r w:rsidR="00856BEE">
            <w:rPr>
              <w:b/>
            </w:rPr>
            <w:fldChar w:fldCharType="separate"/>
          </w:r>
          <w:r w:rsidR="00856BEE">
            <w:rPr>
              <w:b/>
              <w:noProof/>
            </w:rPr>
            <w:t>Division 4</w:t>
          </w:r>
          <w:r>
            <w:rPr>
              <w:b/>
            </w:rPr>
            <w:fldChar w:fldCharType="end"/>
          </w:r>
          <w:r>
            <w:rPr>
              <w:b/>
            </w:rPr>
            <w:t xml:space="preserve">                                                                                  </w:t>
          </w:r>
        </w:p>
      </w:tc>
    </w:tr>
    <w:tr w:rsidR="00C85D3A" w14:paraId="5FBC9F19" w14:textId="77777777" w:rsidTr="00F07A6C">
      <w:trPr>
        <w:cantSplit/>
      </w:trPr>
      <w:tc>
        <w:tcPr>
          <w:tcW w:w="1701" w:type="dxa"/>
          <w:gridSpan w:val="2"/>
          <w:tcBorders>
            <w:bottom w:val="single" w:sz="4" w:space="0" w:color="auto"/>
          </w:tcBorders>
        </w:tcPr>
        <w:p w14:paraId="688C0C31" w14:textId="04F54AA1" w:rsidR="00C85D3A" w:rsidRDefault="00856BEE">
          <w:pPr>
            <w:pStyle w:val="HeaderOdd6"/>
          </w:pPr>
          <w:r>
            <w:fldChar w:fldCharType="begin"/>
          </w:r>
          <w:r>
            <w:instrText xml:space="preserve"> DOCPROPERTY "Company"  \* ME</w:instrText>
          </w:r>
          <w:r>
            <w:instrText xml:space="preserve">RGEFORMAT </w:instrText>
          </w:r>
          <w:r>
            <w:fldChar w:fldCharType="separate"/>
          </w:r>
          <w:r w:rsidR="00EF7DDF">
            <w:t>Section</w:t>
          </w:r>
          <w:r>
            <w:fldChar w:fldCharType="end"/>
          </w:r>
          <w:r w:rsidR="00C85D3A">
            <w:t xml:space="preserve"> </w:t>
          </w:r>
          <w:r w:rsidR="00C85D3A">
            <w:rPr>
              <w:noProof/>
            </w:rPr>
            <w:fldChar w:fldCharType="begin"/>
          </w:r>
          <w:r w:rsidR="00C85D3A">
            <w:rPr>
              <w:noProof/>
            </w:rPr>
            <w:instrText xml:space="preserve"> STYLEREF CharSectNo \*charformat </w:instrText>
          </w:r>
          <w:r w:rsidR="00C85D3A">
            <w:rPr>
              <w:noProof/>
            </w:rPr>
            <w:fldChar w:fldCharType="separate"/>
          </w:r>
          <w:r>
            <w:rPr>
              <w:noProof/>
            </w:rPr>
            <w:t>133</w:t>
          </w:r>
          <w:r w:rsidR="00C85D3A">
            <w:rPr>
              <w:noProof/>
            </w:rPr>
            <w:fldChar w:fldCharType="end"/>
          </w:r>
          <w:r w:rsidR="00C85D3A">
            <w:rPr>
              <w:noProof/>
            </w:rPr>
            <w:t xml:space="preserve">                                                                                                                                          </w:t>
          </w:r>
        </w:p>
      </w:tc>
    </w:tr>
  </w:tbl>
  <w:p w14:paraId="6230601E" w14:textId="77777777" w:rsidR="00C85D3A" w:rsidRDefault="00C85D3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C85D3A" w14:paraId="483B3C07" w14:textId="77777777" w:rsidTr="006D21FE">
      <w:tc>
        <w:tcPr>
          <w:tcW w:w="1701" w:type="dxa"/>
        </w:tcPr>
        <w:p w14:paraId="1AAA53AB" w14:textId="578751F3" w:rsidR="00C85D3A" w:rsidRDefault="00C85D3A" w:rsidP="006D21FE">
          <w:pPr>
            <w:pStyle w:val="HeaderEven"/>
            <w:rPr>
              <w:b/>
            </w:rPr>
          </w:pPr>
          <w:r>
            <w:rPr>
              <w:b/>
            </w:rPr>
            <w:fldChar w:fldCharType="begin"/>
          </w:r>
          <w:r>
            <w:rPr>
              <w:b/>
            </w:rPr>
            <w:instrText xml:space="preserve"> STYLEREF CharChapNo \*charformat  </w:instrText>
          </w:r>
          <w:r>
            <w:rPr>
              <w:b/>
            </w:rPr>
            <w:fldChar w:fldCharType="separate"/>
          </w:r>
          <w:r w:rsidR="00856BEE">
            <w:rPr>
              <w:b/>
              <w:noProof/>
            </w:rPr>
            <w:t>Chapter 4</w:t>
          </w:r>
          <w:r>
            <w:rPr>
              <w:b/>
            </w:rPr>
            <w:fldChar w:fldCharType="end"/>
          </w:r>
          <w:r>
            <w:rPr>
              <w:b/>
            </w:rPr>
            <w:t xml:space="preserve">                                                                                                                                </w:t>
          </w:r>
        </w:p>
      </w:tc>
      <w:tc>
        <w:tcPr>
          <w:tcW w:w="6320" w:type="dxa"/>
        </w:tcPr>
        <w:p w14:paraId="1358943A" w14:textId="5DCF5E67" w:rsidR="00C85D3A" w:rsidRDefault="00C85D3A" w:rsidP="006D21FE">
          <w:pPr>
            <w:pStyle w:val="HeaderEven"/>
          </w:pPr>
          <w:r>
            <w:rPr>
              <w:noProof/>
            </w:rPr>
            <w:fldChar w:fldCharType="begin"/>
          </w:r>
          <w:r>
            <w:rPr>
              <w:noProof/>
            </w:rPr>
            <w:instrText xml:space="preserve"> STYLEREF CharChapText \*charformat  </w:instrText>
          </w:r>
          <w:r>
            <w:rPr>
              <w:noProof/>
            </w:rPr>
            <w:fldChar w:fldCharType="separate"/>
          </w:r>
          <w:r w:rsidR="00856BEE">
            <w:rPr>
              <w:noProof/>
            </w:rPr>
            <w:t>Vehicle operations—mass, dimension and loading</w:t>
          </w:r>
          <w:r>
            <w:rPr>
              <w:noProof/>
            </w:rPr>
            <w:fldChar w:fldCharType="end"/>
          </w:r>
          <w:r>
            <w:rPr>
              <w:noProof/>
            </w:rPr>
            <w:t xml:space="preserve">                                                                                                                                                                                                                                                                                                </w:t>
          </w:r>
        </w:p>
      </w:tc>
    </w:tr>
    <w:tr w:rsidR="00C85D3A" w14:paraId="4BE7DB0E" w14:textId="77777777" w:rsidTr="006D21FE">
      <w:tc>
        <w:tcPr>
          <w:tcW w:w="1701" w:type="dxa"/>
        </w:tcPr>
        <w:p w14:paraId="237AB2E9" w14:textId="09FF81ED" w:rsidR="00C85D3A" w:rsidRDefault="00C85D3A" w:rsidP="006D21FE">
          <w:pPr>
            <w:pStyle w:val="HeaderEven"/>
            <w:rPr>
              <w:b/>
            </w:rPr>
          </w:pPr>
          <w:r>
            <w:rPr>
              <w:b/>
            </w:rPr>
            <w:fldChar w:fldCharType="begin"/>
          </w:r>
          <w:r>
            <w:rPr>
              <w:b/>
            </w:rPr>
            <w:instrText xml:space="preserve"> STYLEREF CharPartNo \*charformat </w:instrText>
          </w:r>
          <w:r>
            <w:rPr>
              <w:b/>
            </w:rPr>
            <w:fldChar w:fldCharType="separate"/>
          </w:r>
          <w:r w:rsidR="00856BEE">
            <w:rPr>
              <w:b/>
              <w:noProof/>
            </w:rPr>
            <w:t>Part 4.6</w:t>
          </w:r>
          <w:r>
            <w:rPr>
              <w:b/>
            </w:rPr>
            <w:fldChar w:fldCharType="end"/>
          </w:r>
          <w:r>
            <w:rPr>
              <w:b/>
            </w:rPr>
            <w:t xml:space="preserve">                                                                                                   </w:t>
          </w:r>
        </w:p>
      </w:tc>
      <w:tc>
        <w:tcPr>
          <w:tcW w:w="6320" w:type="dxa"/>
        </w:tcPr>
        <w:p w14:paraId="352E4A5E" w14:textId="6100022C" w:rsidR="00C85D3A" w:rsidRDefault="00856BEE" w:rsidP="006D21FE">
          <w:pPr>
            <w:pStyle w:val="HeaderEven"/>
          </w:pPr>
          <w:r>
            <w:fldChar w:fldCharType="begin"/>
          </w:r>
          <w:r>
            <w:instrText xml:space="preserve"> STYLEREF CharPartText \*charformat </w:instrText>
          </w:r>
          <w:r>
            <w:fldChar w:fldCharType="separate"/>
          </w:r>
          <w:r>
            <w:rPr>
              <w:noProof/>
            </w:rPr>
            <w:t>Restricting access to roads by large vehicles that are not overmass or oversize vehicles</w:t>
          </w:r>
          <w:r>
            <w:rPr>
              <w:noProof/>
            </w:rPr>
            <w:fldChar w:fldCharType="end"/>
          </w:r>
          <w:r w:rsidR="00C85D3A">
            <w:t xml:space="preserve">                                                                                                                                                                                                                                                       </w:t>
          </w:r>
        </w:p>
      </w:tc>
    </w:tr>
    <w:tr w:rsidR="00C85D3A" w14:paraId="6C5AE613" w14:textId="77777777" w:rsidTr="006D21FE">
      <w:tc>
        <w:tcPr>
          <w:tcW w:w="1701" w:type="dxa"/>
        </w:tcPr>
        <w:p w14:paraId="18CB78F0" w14:textId="0032A4A7" w:rsidR="00C85D3A" w:rsidRDefault="00C85D3A" w:rsidP="006D21FE">
          <w:pPr>
            <w:pStyle w:val="HeaderEven"/>
            <w:rPr>
              <w:b/>
            </w:rPr>
          </w:pPr>
          <w:r>
            <w:rPr>
              <w:b/>
            </w:rPr>
            <w:fldChar w:fldCharType="begin"/>
          </w:r>
          <w:r>
            <w:rPr>
              <w:b/>
            </w:rPr>
            <w:instrText xml:space="preserve"> STYLEREF CharDivNo \*charformat </w:instrText>
          </w:r>
          <w:r>
            <w:rPr>
              <w:b/>
            </w:rPr>
            <w:fldChar w:fldCharType="separate"/>
          </w:r>
          <w:r w:rsidR="00856BEE">
            <w:rPr>
              <w:b/>
              <w:noProof/>
            </w:rPr>
            <w:t>Division 5</w:t>
          </w:r>
          <w:r>
            <w:rPr>
              <w:b/>
            </w:rPr>
            <w:fldChar w:fldCharType="end"/>
          </w:r>
          <w:r>
            <w:rPr>
              <w:b/>
            </w:rPr>
            <w:t xml:space="preserve">                                                                                                     </w:t>
          </w:r>
        </w:p>
      </w:tc>
      <w:tc>
        <w:tcPr>
          <w:tcW w:w="6320" w:type="dxa"/>
        </w:tcPr>
        <w:p w14:paraId="50EB424A" w14:textId="759351A2" w:rsidR="00C85D3A" w:rsidRDefault="00856BEE" w:rsidP="006D21FE">
          <w:pPr>
            <w:pStyle w:val="HeaderEven"/>
          </w:pPr>
          <w:r>
            <w:fldChar w:fldCharType="begin"/>
          </w:r>
          <w:r>
            <w:instrText xml:space="preserve"> STYLEREF CharDivText \*charformat </w:instrText>
          </w:r>
          <w:r>
            <w:fldChar w:fldCharType="separate"/>
          </w:r>
          <w:r>
            <w:rPr>
              <w:noProof/>
            </w:rPr>
            <w:t>Operating under class 2 heavy vehicle authorisation</w:t>
          </w:r>
          <w:r>
            <w:rPr>
              <w:noProof/>
            </w:rPr>
            <w:fldChar w:fldCharType="end"/>
          </w:r>
          <w:r w:rsidR="00C85D3A">
            <w:t xml:space="preserve">                                                                                                                                                                                                                                                                      </w:t>
          </w:r>
        </w:p>
      </w:tc>
    </w:tr>
    <w:tr w:rsidR="00C85D3A" w14:paraId="107AC7E9" w14:textId="77777777" w:rsidTr="006D21FE">
      <w:trPr>
        <w:cantSplit/>
      </w:trPr>
      <w:tc>
        <w:tcPr>
          <w:tcW w:w="1701" w:type="dxa"/>
          <w:gridSpan w:val="2"/>
          <w:tcBorders>
            <w:bottom w:val="single" w:sz="4" w:space="0" w:color="auto"/>
          </w:tcBorders>
        </w:tcPr>
        <w:p w14:paraId="763954E5" w14:textId="00F7A1B8" w:rsidR="00C85D3A" w:rsidRDefault="00856BEE" w:rsidP="006D21FE">
          <w:pPr>
            <w:pStyle w:val="HeaderEven6"/>
          </w:pPr>
          <w:r>
            <w:fldChar w:fldCharType="begin"/>
          </w:r>
          <w:r>
            <w:instrText xml:space="preserve"> DOCPROPERT</w:instrText>
          </w:r>
          <w:r>
            <w:instrText xml:space="preserve">Y "Company"  \* MERGEFORMAT </w:instrText>
          </w:r>
          <w:r>
            <w:fldChar w:fldCharType="separate"/>
          </w:r>
          <w:r w:rsidR="00EF7DDF">
            <w:t>Section</w:t>
          </w:r>
          <w:r>
            <w:fldChar w:fldCharType="end"/>
          </w:r>
          <w:r w:rsidR="00C85D3A">
            <w:t xml:space="preserve"> </w:t>
          </w:r>
          <w:r w:rsidR="00C85D3A">
            <w:rPr>
              <w:noProof/>
            </w:rPr>
            <w:fldChar w:fldCharType="begin"/>
          </w:r>
          <w:r w:rsidR="00C85D3A">
            <w:rPr>
              <w:noProof/>
            </w:rPr>
            <w:instrText xml:space="preserve"> STYLEREF CharSectNo \*charformat </w:instrText>
          </w:r>
          <w:r w:rsidR="00C85D3A">
            <w:rPr>
              <w:noProof/>
            </w:rPr>
            <w:fldChar w:fldCharType="separate"/>
          </w:r>
          <w:r>
            <w:rPr>
              <w:noProof/>
            </w:rPr>
            <w:t>152</w:t>
          </w:r>
          <w:r w:rsidR="00C85D3A">
            <w:rPr>
              <w:noProof/>
            </w:rPr>
            <w:fldChar w:fldCharType="end"/>
          </w:r>
          <w:r w:rsidR="00C85D3A">
            <w:rPr>
              <w:noProof/>
            </w:rPr>
            <w:t xml:space="preserve">                                                                                                                                                                                           </w:t>
          </w:r>
        </w:p>
      </w:tc>
    </w:tr>
  </w:tbl>
  <w:p w14:paraId="5153ECB7" w14:textId="77777777" w:rsidR="00C85D3A" w:rsidRDefault="00C85D3A" w:rsidP="006D21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C85D3A" w14:paraId="22297BB8" w14:textId="77777777" w:rsidTr="006D21FE">
      <w:tc>
        <w:tcPr>
          <w:tcW w:w="6320" w:type="dxa"/>
        </w:tcPr>
        <w:p w14:paraId="5A2753F7" w14:textId="6CDD4BC0" w:rsidR="00C85D3A" w:rsidRDefault="00C85D3A" w:rsidP="006D21FE">
          <w:pPr>
            <w:pStyle w:val="HeaderEven"/>
            <w:jc w:val="right"/>
          </w:pPr>
          <w:r>
            <w:rPr>
              <w:noProof/>
            </w:rPr>
            <w:fldChar w:fldCharType="begin"/>
          </w:r>
          <w:r>
            <w:rPr>
              <w:noProof/>
            </w:rPr>
            <w:instrText xml:space="preserve"> STYLEREF CharChapText \*charformat  </w:instrText>
          </w:r>
          <w:r>
            <w:rPr>
              <w:noProof/>
            </w:rPr>
            <w:fldChar w:fldCharType="separate"/>
          </w:r>
          <w:r w:rsidR="00856BEE">
            <w:rPr>
              <w:noProof/>
            </w:rPr>
            <w:t>Vehicle operations—mass, dimension and loading</w:t>
          </w:r>
          <w:r>
            <w:rPr>
              <w:noProof/>
            </w:rPr>
            <w:fldChar w:fldCharType="end"/>
          </w:r>
          <w:r>
            <w:rPr>
              <w:noProof/>
            </w:rPr>
            <w:t xml:space="preserve">                                                                                                                                                                                                                                                                                                                                                                             </w:t>
          </w:r>
        </w:p>
      </w:tc>
      <w:tc>
        <w:tcPr>
          <w:tcW w:w="1701" w:type="dxa"/>
        </w:tcPr>
        <w:p w14:paraId="31CD0AF1" w14:textId="7C618EE2" w:rsidR="00C85D3A" w:rsidRDefault="00C85D3A" w:rsidP="006D21FE">
          <w:pPr>
            <w:pStyle w:val="HeaderEven"/>
            <w:jc w:val="right"/>
            <w:rPr>
              <w:b/>
            </w:rPr>
          </w:pPr>
          <w:r>
            <w:rPr>
              <w:b/>
            </w:rPr>
            <w:fldChar w:fldCharType="begin"/>
          </w:r>
          <w:r>
            <w:rPr>
              <w:b/>
            </w:rPr>
            <w:instrText xml:space="preserve"> STYLEREF CharChapNo \*charformat  </w:instrText>
          </w:r>
          <w:r>
            <w:rPr>
              <w:b/>
            </w:rPr>
            <w:fldChar w:fldCharType="separate"/>
          </w:r>
          <w:r w:rsidR="00856BEE">
            <w:rPr>
              <w:b/>
              <w:noProof/>
            </w:rPr>
            <w:t>Chapter 4</w:t>
          </w:r>
          <w:r>
            <w:rPr>
              <w:b/>
            </w:rPr>
            <w:fldChar w:fldCharType="end"/>
          </w:r>
          <w:r>
            <w:rPr>
              <w:b/>
            </w:rPr>
            <w:t xml:space="preserve">                                                                                           </w:t>
          </w:r>
        </w:p>
      </w:tc>
    </w:tr>
    <w:tr w:rsidR="00C85D3A" w14:paraId="04334A43" w14:textId="77777777" w:rsidTr="006D21FE">
      <w:tc>
        <w:tcPr>
          <w:tcW w:w="6320" w:type="dxa"/>
        </w:tcPr>
        <w:p w14:paraId="2C7C1637" w14:textId="1028958F" w:rsidR="00C85D3A" w:rsidRDefault="00856BEE" w:rsidP="006D21FE">
          <w:pPr>
            <w:pStyle w:val="HeaderEven"/>
            <w:jc w:val="right"/>
          </w:pPr>
          <w:r>
            <w:fldChar w:fldCharType="begin"/>
          </w:r>
          <w:r>
            <w:instrText xml:space="preserve"> STYLEREF CharPartText \*charformat </w:instrText>
          </w:r>
          <w:r>
            <w:fldChar w:fldCharType="separate"/>
          </w:r>
          <w:r>
            <w:rPr>
              <w:noProof/>
            </w:rPr>
            <w:t>Restricting access to roads by large vehicles that are not overmass or oversize vehicles</w:t>
          </w:r>
          <w:r>
            <w:rPr>
              <w:noProof/>
            </w:rPr>
            <w:fldChar w:fldCharType="end"/>
          </w:r>
          <w:r w:rsidR="00C85D3A">
            <w:t xml:space="preserve">                                                                                                                                                                                                                                                                                                                                                                                     </w:t>
          </w:r>
        </w:p>
      </w:tc>
      <w:tc>
        <w:tcPr>
          <w:tcW w:w="1701" w:type="dxa"/>
        </w:tcPr>
        <w:p w14:paraId="2F6D03B0" w14:textId="59F36E00" w:rsidR="00C85D3A" w:rsidRDefault="00C85D3A" w:rsidP="006D21FE">
          <w:pPr>
            <w:pStyle w:val="HeaderEven"/>
            <w:jc w:val="right"/>
            <w:rPr>
              <w:b/>
            </w:rPr>
          </w:pPr>
          <w:r>
            <w:rPr>
              <w:b/>
            </w:rPr>
            <w:fldChar w:fldCharType="begin"/>
          </w:r>
          <w:r>
            <w:rPr>
              <w:b/>
            </w:rPr>
            <w:instrText xml:space="preserve"> STYLEREF CharPartNo \*charformat </w:instrText>
          </w:r>
          <w:r>
            <w:rPr>
              <w:b/>
            </w:rPr>
            <w:fldChar w:fldCharType="separate"/>
          </w:r>
          <w:r w:rsidR="00856BEE">
            <w:rPr>
              <w:b/>
              <w:noProof/>
            </w:rPr>
            <w:t>Part 4.6</w:t>
          </w:r>
          <w:r>
            <w:rPr>
              <w:b/>
            </w:rPr>
            <w:fldChar w:fldCharType="end"/>
          </w:r>
          <w:r>
            <w:rPr>
              <w:b/>
            </w:rPr>
            <w:t xml:space="preserve">                                                                                                 </w:t>
          </w:r>
        </w:p>
      </w:tc>
    </w:tr>
    <w:tr w:rsidR="00C85D3A" w14:paraId="4B5F05D9" w14:textId="77777777" w:rsidTr="006D21FE">
      <w:tc>
        <w:tcPr>
          <w:tcW w:w="6320" w:type="dxa"/>
        </w:tcPr>
        <w:p w14:paraId="3EB49F37" w14:textId="414E3DD0" w:rsidR="00C85D3A" w:rsidRDefault="00856BEE" w:rsidP="006D21FE">
          <w:pPr>
            <w:pStyle w:val="HeaderEven"/>
            <w:jc w:val="right"/>
          </w:pPr>
          <w:r>
            <w:fldChar w:fldCharType="begin"/>
          </w:r>
          <w:r>
            <w:instrText xml:space="preserve"> STYLEREF CharDivText \*charformat </w:instrText>
          </w:r>
          <w:r>
            <w:fldChar w:fldCharType="separate"/>
          </w:r>
          <w:r>
            <w:rPr>
              <w:noProof/>
            </w:rPr>
            <w:t>Operating under class 2 heavy vehicle authorisation</w:t>
          </w:r>
          <w:r>
            <w:rPr>
              <w:noProof/>
            </w:rPr>
            <w:fldChar w:fldCharType="end"/>
          </w:r>
          <w:r w:rsidR="00C85D3A">
            <w:t xml:space="preserve">                                                                                                                                                                                                                                                                                                                                                                                       </w:t>
          </w:r>
        </w:p>
      </w:tc>
      <w:tc>
        <w:tcPr>
          <w:tcW w:w="1701" w:type="dxa"/>
        </w:tcPr>
        <w:p w14:paraId="324CE7A2" w14:textId="0E7480EC" w:rsidR="00C85D3A" w:rsidRDefault="00C85D3A" w:rsidP="006D21FE">
          <w:pPr>
            <w:pStyle w:val="HeaderEven"/>
            <w:jc w:val="right"/>
            <w:rPr>
              <w:b/>
            </w:rPr>
          </w:pPr>
          <w:r>
            <w:rPr>
              <w:b/>
            </w:rPr>
            <w:fldChar w:fldCharType="begin"/>
          </w:r>
          <w:r>
            <w:rPr>
              <w:b/>
            </w:rPr>
            <w:instrText xml:space="preserve"> STYLEREF CharDivNo \*charformat </w:instrText>
          </w:r>
          <w:r>
            <w:rPr>
              <w:b/>
            </w:rPr>
            <w:fldChar w:fldCharType="separate"/>
          </w:r>
          <w:r w:rsidR="00856BEE">
            <w:rPr>
              <w:b/>
              <w:noProof/>
            </w:rPr>
            <w:t>Division 5</w:t>
          </w:r>
          <w:r>
            <w:rPr>
              <w:b/>
            </w:rPr>
            <w:fldChar w:fldCharType="end"/>
          </w:r>
          <w:r>
            <w:rPr>
              <w:b/>
            </w:rPr>
            <w:t xml:space="preserve">                                                                                            </w:t>
          </w:r>
        </w:p>
      </w:tc>
    </w:tr>
    <w:tr w:rsidR="00C85D3A" w14:paraId="43B12460" w14:textId="77777777" w:rsidTr="006D21FE">
      <w:trPr>
        <w:cantSplit/>
      </w:trPr>
      <w:tc>
        <w:tcPr>
          <w:tcW w:w="1701" w:type="dxa"/>
          <w:gridSpan w:val="2"/>
          <w:tcBorders>
            <w:bottom w:val="single" w:sz="4" w:space="0" w:color="auto"/>
          </w:tcBorders>
        </w:tcPr>
        <w:p w14:paraId="17702110" w14:textId="7AEF8BF1" w:rsidR="00C85D3A" w:rsidRDefault="00856BEE" w:rsidP="006D21FE">
          <w:pPr>
            <w:pStyle w:val="HeaderOdd6"/>
          </w:pPr>
          <w:r>
            <w:fldChar w:fldCharType="begin"/>
          </w:r>
          <w:r>
            <w:instrText xml:space="preserve"> DOCPROPERTY "Company"  \* MERGEFORMAT </w:instrText>
          </w:r>
          <w:r>
            <w:fldChar w:fldCharType="separate"/>
          </w:r>
          <w:r w:rsidR="00EF7DDF">
            <w:t>Section</w:t>
          </w:r>
          <w:r>
            <w:fldChar w:fldCharType="end"/>
          </w:r>
          <w:r w:rsidR="00C85D3A">
            <w:t xml:space="preserve"> </w:t>
          </w:r>
          <w:r w:rsidR="00C85D3A">
            <w:rPr>
              <w:noProof/>
            </w:rPr>
            <w:fldChar w:fldCharType="begin"/>
          </w:r>
          <w:r w:rsidR="00C85D3A">
            <w:rPr>
              <w:noProof/>
            </w:rPr>
            <w:instrText xml:space="preserve"> STYLEREF CharSectNo \*charformat </w:instrText>
          </w:r>
          <w:r w:rsidR="00C85D3A">
            <w:rPr>
              <w:noProof/>
            </w:rPr>
            <w:fldChar w:fldCharType="separate"/>
          </w:r>
          <w:r>
            <w:rPr>
              <w:noProof/>
            </w:rPr>
            <w:t>152</w:t>
          </w:r>
          <w:r w:rsidR="00C85D3A">
            <w:rPr>
              <w:noProof/>
            </w:rPr>
            <w:fldChar w:fldCharType="end"/>
          </w:r>
          <w:r w:rsidR="00C85D3A">
            <w:rPr>
              <w:noProof/>
            </w:rPr>
            <w:t xml:space="preserve">                                                                                                                                                                                                                                           </w:t>
          </w:r>
        </w:p>
      </w:tc>
    </w:tr>
  </w:tbl>
  <w:p w14:paraId="7DCD4E3D" w14:textId="77777777" w:rsidR="00C85D3A" w:rsidRDefault="00C85D3A" w:rsidP="006D2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A657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421D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427B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4A3E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A840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3000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0012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42AB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101E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1452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19ECCAF4"/>
    <w:lvl w:ilvl="0">
      <w:numFmt w:val="bullet"/>
      <w:lvlText w:val="*"/>
      <w:lvlJc w:val="left"/>
    </w:lvl>
  </w:abstractNum>
  <w:abstractNum w:abstractNumId="11"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2" w15:restartNumberingAfterBreak="0">
    <w:nsid w:val="09BD43D4"/>
    <w:multiLevelType w:val="hybridMultilevel"/>
    <w:tmpl w:val="B04E1E60"/>
    <w:lvl w:ilvl="0" w:tplc="D09CA828">
      <w:start w:val="2"/>
      <w:numFmt w:val="decimal"/>
      <w:lvlText w:val="%1"/>
      <w:lvlJc w:val="left"/>
      <w:pPr>
        <w:ind w:left="1870" w:hanging="1200"/>
      </w:pPr>
      <w:rPr>
        <w:rFonts w:ascii="Arial" w:eastAsia="Arial" w:hAnsi="Arial" w:hint="default"/>
        <w:b/>
        <w:bCs/>
        <w:w w:val="99"/>
        <w:sz w:val="28"/>
        <w:szCs w:val="28"/>
      </w:rPr>
    </w:lvl>
    <w:lvl w:ilvl="1" w:tplc="7842E6DC">
      <w:start w:val="1"/>
      <w:numFmt w:val="lowerLetter"/>
      <w:lvlText w:val="(%2)"/>
      <w:lvlJc w:val="left"/>
      <w:pPr>
        <w:ind w:left="1501" w:hanging="349"/>
      </w:pPr>
      <w:rPr>
        <w:rFonts w:ascii="Times New Roman" w:eastAsia="Times New Roman" w:hAnsi="Times New Roman" w:hint="default"/>
        <w:w w:val="99"/>
        <w:sz w:val="20"/>
        <w:szCs w:val="20"/>
      </w:rPr>
    </w:lvl>
    <w:lvl w:ilvl="2" w:tplc="25D4A834">
      <w:start w:val="1"/>
      <w:numFmt w:val="bullet"/>
      <w:lvlText w:val="•"/>
      <w:lvlJc w:val="left"/>
      <w:pPr>
        <w:ind w:left="1870" w:hanging="349"/>
      </w:pPr>
      <w:rPr>
        <w:rFonts w:hint="default"/>
      </w:rPr>
    </w:lvl>
    <w:lvl w:ilvl="3" w:tplc="84426AE4">
      <w:start w:val="1"/>
      <w:numFmt w:val="bullet"/>
      <w:lvlText w:val="•"/>
      <w:lvlJc w:val="left"/>
      <w:pPr>
        <w:ind w:left="2704" w:hanging="349"/>
      </w:pPr>
      <w:rPr>
        <w:rFonts w:hint="default"/>
      </w:rPr>
    </w:lvl>
    <w:lvl w:ilvl="4" w:tplc="4E022F7E">
      <w:start w:val="1"/>
      <w:numFmt w:val="bullet"/>
      <w:lvlText w:val="•"/>
      <w:lvlJc w:val="left"/>
      <w:pPr>
        <w:ind w:left="3538" w:hanging="349"/>
      </w:pPr>
      <w:rPr>
        <w:rFonts w:hint="default"/>
      </w:rPr>
    </w:lvl>
    <w:lvl w:ilvl="5" w:tplc="54CC8232">
      <w:start w:val="1"/>
      <w:numFmt w:val="bullet"/>
      <w:lvlText w:val="•"/>
      <w:lvlJc w:val="left"/>
      <w:pPr>
        <w:ind w:left="4371" w:hanging="349"/>
      </w:pPr>
      <w:rPr>
        <w:rFonts w:hint="default"/>
      </w:rPr>
    </w:lvl>
    <w:lvl w:ilvl="6" w:tplc="2E2241B4">
      <w:start w:val="1"/>
      <w:numFmt w:val="bullet"/>
      <w:lvlText w:val="•"/>
      <w:lvlJc w:val="left"/>
      <w:pPr>
        <w:ind w:left="5205" w:hanging="349"/>
      </w:pPr>
      <w:rPr>
        <w:rFonts w:hint="default"/>
      </w:rPr>
    </w:lvl>
    <w:lvl w:ilvl="7" w:tplc="20BE9542">
      <w:start w:val="1"/>
      <w:numFmt w:val="bullet"/>
      <w:lvlText w:val="•"/>
      <w:lvlJc w:val="left"/>
      <w:pPr>
        <w:ind w:left="6039" w:hanging="349"/>
      </w:pPr>
      <w:rPr>
        <w:rFonts w:hint="default"/>
      </w:rPr>
    </w:lvl>
    <w:lvl w:ilvl="8" w:tplc="B030C830">
      <w:start w:val="1"/>
      <w:numFmt w:val="bullet"/>
      <w:lvlText w:val="•"/>
      <w:lvlJc w:val="left"/>
      <w:pPr>
        <w:ind w:left="6872" w:hanging="349"/>
      </w:pPr>
      <w:rPr>
        <w:rFonts w:hint="default"/>
      </w:rPr>
    </w:lvl>
  </w:abstractNum>
  <w:abstractNum w:abstractNumId="13"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4" w15:restartNumberingAfterBreak="0">
    <w:nsid w:val="10F95218"/>
    <w:multiLevelType w:val="hybridMultilevel"/>
    <w:tmpl w:val="56B26288"/>
    <w:lvl w:ilvl="0" w:tplc="7256A7DA">
      <w:start w:val="1"/>
      <w:numFmt w:val="decimal"/>
      <w:lvlText w:val="%1"/>
      <w:lvlJc w:val="left"/>
      <w:pPr>
        <w:ind w:left="3070" w:hanging="240"/>
      </w:pPr>
      <w:rPr>
        <w:rFonts w:ascii="Times New Roman" w:eastAsia="Times New Roman" w:hAnsi="Times New Roman" w:hint="default"/>
        <w:w w:val="99"/>
        <w:sz w:val="20"/>
        <w:szCs w:val="20"/>
      </w:rPr>
    </w:lvl>
    <w:lvl w:ilvl="1" w:tplc="CE120FBC">
      <w:start w:val="1"/>
      <w:numFmt w:val="bullet"/>
      <w:lvlText w:val="•"/>
      <w:lvlJc w:val="left"/>
      <w:pPr>
        <w:ind w:left="3509" w:hanging="240"/>
      </w:pPr>
      <w:rPr>
        <w:rFonts w:hint="default"/>
      </w:rPr>
    </w:lvl>
    <w:lvl w:ilvl="2" w:tplc="0FA0DA94">
      <w:start w:val="1"/>
      <w:numFmt w:val="bullet"/>
      <w:lvlText w:val="•"/>
      <w:lvlJc w:val="left"/>
      <w:pPr>
        <w:ind w:left="3948" w:hanging="240"/>
      </w:pPr>
      <w:rPr>
        <w:rFonts w:hint="default"/>
      </w:rPr>
    </w:lvl>
    <w:lvl w:ilvl="3" w:tplc="013CB8D8">
      <w:start w:val="1"/>
      <w:numFmt w:val="bullet"/>
      <w:lvlText w:val="•"/>
      <w:lvlJc w:val="left"/>
      <w:pPr>
        <w:ind w:left="4387" w:hanging="240"/>
      </w:pPr>
      <w:rPr>
        <w:rFonts w:hint="default"/>
      </w:rPr>
    </w:lvl>
    <w:lvl w:ilvl="4" w:tplc="B838DD9C">
      <w:start w:val="1"/>
      <w:numFmt w:val="bullet"/>
      <w:lvlText w:val="•"/>
      <w:lvlJc w:val="left"/>
      <w:pPr>
        <w:ind w:left="4826" w:hanging="240"/>
      </w:pPr>
      <w:rPr>
        <w:rFonts w:hint="default"/>
      </w:rPr>
    </w:lvl>
    <w:lvl w:ilvl="5" w:tplc="5764F918">
      <w:start w:val="1"/>
      <w:numFmt w:val="bullet"/>
      <w:lvlText w:val="•"/>
      <w:lvlJc w:val="left"/>
      <w:pPr>
        <w:ind w:left="5265" w:hanging="240"/>
      </w:pPr>
      <w:rPr>
        <w:rFonts w:hint="default"/>
      </w:rPr>
    </w:lvl>
    <w:lvl w:ilvl="6" w:tplc="9D50769A">
      <w:start w:val="1"/>
      <w:numFmt w:val="bullet"/>
      <w:lvlText w:val="•"/>
      <w:lvlJc w:val="left"/>
      <w:pPr>
        <w:ind w:left="5704" w:hanging="240"/>
      </w:pPr>
      <w:rPr>
        <w:rFonts w:hint="default"/>
      </w:rPr>
    </w:lvl>
    <w:lvl w:ilvl="7" w:tplc="9334C872">
      <w:start w:val="1"/>
      <w:numFmt w:val="bullet"/>
      <w:lvlText w:val="•"/>
      <w:lvlJc w:val="left"/>
      <w:pPr>
        <w:ind w:left="6143" w:hanging="240"/>
      </w:pPr>
      <w:rPr>
        <w:rFonts w:hint="default"/>
      </w:rPr>
    </w:lvl>
    <w:lvl w:ilvl="8" w:tplc="3224DD68">
      <w:start w:val="1"/>
      <w:numFmt w:val="bullet"/>
      <w:lvlText w:val="•"/>
      <w:lvlJc w:val="left"/>
      <w:pPr>
        <w:ind w:left="6582" w:hanging="240"/>
      </w:pPr>
      <w:rPr>
        <w:rFonts w:hint="default"/>
      </w:r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rPr>
        <w:rFonts w:cs="Times New Roman"/>
      </w:rPr>
    </w:lvl>
    <w:lvl w:ilvl="1">
      <w:start w:val="1"/>
      <w:numFmt w:val="decimal"/>
      <w:lvlText w:val="Part %2"/>
      <w:lvlJc w:val="left"/>
      <w:pPr>
        <w:tabs>
          <w:tab w:val="num" w:pos="2600"/>
        </w:tabs>
        <w:ind w:left="2600" w:hanging="2600"/>
      </w:pPr>
      <w:rPr>
        <w:rFonts w:cs="Times New Roman"/>
      </w:rPr>
    </w:lvl>
    <w:lvl w:ilvl="2">
      <w:start w:val="1"/>
      <w:numFmt w:val="decimal"/>
      <w:lvlText w:val="Division %3"/>
      <w:lvlJc w:val="left"/>
      <w:pPr>
        <w:tabs>
          <w:tab w:val="num" w:pos="2600"/>
        </w:tabs>
        <w:ind w:left="2600" w:hanging="2600"/>
      </w:pPr>
      <w:rPr>
        <w:rFonts w:cs="Times New Roman"/>
      </w:rPr>
    </w:lvl>
    <w:lvl w:ilvl="3">
      <w:start w:val="1"/>
      <w:numFmt w:val="decimal"/>
      <w:lvlText w:val="[%1.%4]"/>
      <w:lvlJc w:val="left"/>
      <w:pPr>
        <w:tabs>
          <w:tab w:val="num" w:pos="700"/>
        </w:tabs>
        <w:ind w:left="700" w:hanging="700"/>
      </w:pPr>
      <w:rPr>
        <w:rFonts w:cs="Times New Roman"/>
      </w:rPr>
    </w:lvl>
    <w:lvl w:ilvl="4">
      <w:start w:val="1"/>
      <w:numFmt w:val="decimal"/>
      <w:lvlText w:val="%5"/>
      <w:lvlJc w:val="left"/>
      <w:pPr>
        <w:tabs>
          <w:tab w:val="num" w:pos="700"/>
        </w:tabs>
        <w:ind w:left="700" w:hanging="70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7"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9" w15:restartNumberingAfterBreak="0">
    <w:nsid w:val="24FF0832"/>
    <w:multiLevelType w:val="multilevel"/>
    <w:tmpl w:val="3A66BE7C"/>
    <w:name w:val="Headings"/>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b/>
        <w:i w:val="0"/>
        <w:strike w:val="0"/>
        <w:dstrike w:val="0"/>
        <w:vertAlign w:val="baseline"/>
      </w:rPr>
    </w:lvl>
    <w:lvl w:ilvl="5">
      <w:start w:val="1"/>
      <w:numFmt w:val="none"/>
      <w:suff w:val="nothing"/>
      <w:lvlText w:val=""/>
      <w:lvlJc w:val="left"/>
      <w:pPr>
        <w:ind w:left="70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rFonts w:cs="Times New Roman"/>
        <w:b w:val="0"/>
        <w:i w:val="0"/>
        <w:strike w:val="0"/>
        <w:dstrike w:val="0"/>
        <w:vertAlign w:val="baseline"/>
      </w:rPr>
    </w:lvl>
    <w:lvl w:ilvl="7">
      <w:start w:val="1"/>
      <w:numFmt w:val="lowerRoman"/>
      <w:lvlText w:val="(%8)"/>
      <w:lvlJc w:val="right"/>
      <w:pPr>
        <w:tabs>
          <w:tab w:val="num" w:pos="1740"/>
        </w:tabs>
        <w:ind w:left="17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rFonts w:cs="Times New Roman"/>
        <w:b w:val="0"/>
        <w:i w:val="0"/>
      </w:rPr>
    </w:lvl>
  </w:abstractNum>
  <w:abstractNum w:abstractNumId="20" w15:restartNumberingAfterBreak="0">
    <w:nsid w:val="25D75C74"/>
    <w:multiLevelType w:val="hybridMultilevel"/>
    <w:tmpl w:val="19F06D6C"/>
    <w:lvl w:ilvl="0" w:tplc="54C0A246">
      <w:start w:val="3"/>
      <w:numFmt w:val="decimal"/>
      <w:lvlText w:val="%1"/>
      <w:lvlJc w:val="left"/>
      <w:pPr>
        <w:ind w:left="1150" w:hanging="480"/>
      </w:pPr>
      <w:rPr>
        <w:rFonts w:ascii="Times New Roman" w:eastAsia="Times New Roman" w:hAnsi="Times New Roman" w:hint="default"/>
        <w:w w:val="99"/>
        <w:sz w:val="20"/>
        <w:szCs w:val="20"/>
      </w:rPr>
    </w:lvl>
    <w:lvl w:ilvl="1" w:tplc="EBD4CDA8">
      <w:start w:val="1"/>
      <w:numFmt w:val="bullet"/>
      <w:lvlText w:val="•"/>
      <w:lvlJc w:val="left"/>
      <w:pPr>
        <w:ind w:left="1889" w:hanging="480"/>
      </w:pPr>
      <w:rPr>
        <w:rFonts w:hint="default"/>
      </w:rPr>
    </w:lvl>
    <w:lvl w:ilvl="2" w:tplc="58D084E6">
      <w:start w:val="1"/>
      <w:numFmt w:val="bullet"/>
      <w:lvlText w:val="•"/>
      <w:lvlJc w:val="left"/>
      <w:pPr>
        <w:ind w:left="2628" w:hanging="480"/>
      </w:pPr>
      <w:rPr>
        <w:rFonts w:hint="default"/>
      </w:rPr>
    </w:lvl>
    <w:lvl w:ilvl="3" w:tplc="13449C5C">
      <w:start w:val="1"/>
      <w:numFmt w:val="bullet"/>
      <w:lvlText w:val="•"/>
      <w:lvlJc w:val="left"/>
      <w:pPr>
        <w:ind w:left="3367" w:hanging="480"/>
      </w:pPr>
      <w:rPr>
        <w:rFonts w:hint="default"/>
      </w:rPr>
    </w:lvl>
    <w:lvl w:ilvl="4" w:tplc="056C3CAC">
      <w:start w:val="1"/>
      <w:numFmt w:val="bullet"/>
      <w:lvlText w:val="•"/>
      <w:lvlJc w:val="left"/>
      <w:pPr>
        <w:ind w:left="4106" w:hanging="480"/>
      </w:pPr>
      <w:rPr>
        <w:rFonts w:hint="default"/>
      </w:rPr>
    </w:lvl>
    <w:lvl w:ilvl="5" w:tplc="10DE640A">
      <w:start w:val="1"/>
      <w:numFmt w:val="bullet"/>
      <w:lvlText w:val="•"/>
      <w:lvlJc w:val="left"/>
      <w:pPr>
        <w:ind w:left="4845" w:hanging="480"/>
      </w:pPr>
      <w:rPr>
        <w:rFonts w:hint="default"/>
      </w:rPr>
    </w:lvl>
    <w:lvl w:ilvl="6" w:tplc="2E303068">
      <w:start w:val="1"/>
      <w:numFmt w:val="bullet"/>
      <w:lvlText w:val="•"/>
      <w:lvlJc w:val="left"/>
      <w:pPr>
        <w:ind w:left="5584" w:hanging="480"/>
      </w:pPr>
      <w:rPr>
        <w:rFonts w:hint="default"/>
      </w:rPr>
    </w:lvl>
    <w:lvl w:ilvl="7" w:tplc="7ABAC174">
      <w:start w:val="1"/>
      <w:numFmt w:val="bullet"/>
      <w:lvlText w:val="•"/>
      <w:lvlJc w:val="left"/>
      <w:pPr>
        <w:ind w:left="6323" w:hanging="480"/>
      </w:pPr>
      <w:rPr>
        <w:rFonts w:hint="default"/>
      </w:rPr>
    </w:lvl>
    <w:lvl w:ilvl="8" w:tplc="2D0EE3FA">
      <w:start w:val="1"/>
      <w:numFmt w:val="bullet"/>
      <w:lvlText w:val="•"/>
      <w:lvlJc w:val="left"/>
      <w:pPr>
        <w:ind w:left="7062" w:hanging="480"/>
      </w:pPr>
      <w:rPr>
        <w:rFonts w:hint="default"/>
      </w:rPr>
    </w:lvl>
  </w:abstractNum>
  <w:abstractNum w:abstractNumId="21" w15:restartNumberingAfterBreak="0">
    <w:nsid w:val="31D03CEE"/>
    <w:multiLevelType w:val="hybridMultilevel"/>
    <w:tmpl w:val="5DB2CD8E"/>
    <w:lvl w:ilvl="0" w:tplc="452AD0E8">
      <w:start w:val="1"/>
      <w:numFmt w:val="bullet"/>
      <w:pStyle w:val="aNoteBulletsubpar"/>
      <w:lvlText w:val=""/>
      <w:lvlJc w:val="left"/>
      <w:pPr>
        <w:tabs>
          <w:tab w:val="num" w:pos="3300"/>
        </w:tabs>
        <w:ind w:left="3240" w:hanging="300"/>
      </w:pPr>
      <w:rPr>
        <w:rFonts w:ascii="Symbol" w:hAnsi="Symbol" w:hint="default"/>
        <w:sz w:val="20"/>
      </w:rPr>
    </w:lvl>
    <w:lvl w:ilvl="1" w:tplc="EF461844" w:tentative="1">
      <w:start w:val="1"/>
      <w:numFmt w:val="bullet"/>
      <w:lvlText w:val="o"/>
      <w:lvlJc w:val="left"/>
      <w:pPr>
        <w:tabs>
          <w:tab w:val="num" w:pos="1440"/>
        </w:tabs>
        <w:ind w:left="1440" w:hanging="360"/>
      </w:pPr>
      <w:rPr>
        <w:rFonts w:ascii="Courier New" w:hAnsi="Courier New" w:hint="default"/>
      </w:rPr>
    </w:lvl>
    <w:lvl w:ilvl="2" w:tplc="5E8CAA6A" w:tentative="1">
      <w:start w:val="1"/>
      <w:numFmt w:val="bullet"/>
      <w:lvlText w:val=""/>
      <w:lvlJc w:val="left"/>
      <w:pPr>
        <w:tabs>
          <w:tab w:val="num" w:pos="2160"/>
        </w:tabs>
        <w:ind w:left="2160" w:hanging="360"/>
      </w:pPr>
      <w:rPr>
        <w:rFonts w:ascii="Wingdings" w:hAnsi="Wingdings" w:hint="default"/>
      </w:rPr>
    </w:lvl>
    <w:lvl w:ilvl="3" w:tplc="1B0847DC" w:tentative="1">
      <w:start w:val="1"/>
      <w:numFmt w:val="bullet"/>
      <w:lvlText w:val=""/>
      <w:lvlJc w:val="left"/>
      <w:pPr>
        <w:tabs>
          <w:tab w:val="num" w:pos="2880"/>
        </w:tabs>
        <w:ind w:left="2880" w:hanging="360"/>
      </w:pPr>
      <w:rPr>
        <w:rFonts w:ascii="Symbol" w:hAnsi="Symbol" w:hint="default"/>
      </w:rPr>
    </w:lvl>
    <w:lvl w:ilvl="4" w:tplc="41D03C7C" w:tentative="1">
      <w:start w:val="1"/>
      <w:numFmt w:val="bullet"/>
      <w:lvlText w:val="o"/>
      <w:lvlJc w:val="left"/>
      <w:pPr>
        <w:tabs>
          <w:tab w:val="num" w:pos="3600"/>
        </w:tabs>
        <w:ind w:left="3600" w:hanging="360"/>
      </w:pPr>
      <w:rPr>
        <w:rFonts w:ascii="Courier New" w:hAnsi="Courier New" w:hint="default"/>
      </w:rPr>
    </w:lvl>
    <w:lvl w:ilvl="5" w:tplc="ED5A3EB0" w:tentative="1">
      <w:start w:val="1"/>
      <w:numFmt w:val="bullet"/>
      <w:lvlText w:val=""/>
      <w:lvlJc w:val="left"/>
      <w:pPr>
        <w:tabs>
          <w:tab w:val="num" w:pos="4320"/>
        </w:tabs>
        <w:ind w:left="4320" w:hanging="360"/>
      </w:pPr>
      <w:rPr>
        <w:rFonts w:ascii="Wingdings" w:hAnsi="Wingdings" w:hint="default"/>
      </w:rPr>
    </w:lvl>
    <w:lvl w:ilvl="6" w:tplc="73F4B5DC" w:tentative="1">
      <w:start w:val="1"/>
      <w:numFmt w:val="bullet"/>
      <w:lvlText w:val=""/>
      <w:lvlJc w:val="left"/>
      <w:pPr>
        <w:tabs>
          <w:tab w:val="num" w:pos="5040"/>
        </w:tabs>
        <w:ind w:left="5040" w:hanging="360"/>
      </w:pPr>
      <w:rPr>
        <w:rFonts w:ascii="Symbol" w:hAnsi="Symbol" w:hint="default"/>
      </w:rPr>
    </w:lvl>
    <w:lvl w:ilvl="7" w:tplc="689EF97A" w:tentative="1">
      <w:start w:val="1"/>
      <w:numFmt w:val="bullet"/>
      <w:lvlText w:val="o"/>
      <w:lvlJc w:val="left"/>
      <w:pPr>
        <w:tabs>
          <w:tab w:val="num" w:pos="5760"/>
        </w:tabs>
        <w:ind w:left="5760" w:hanging="360"/>
      </w:pPr>
      <w:rPr>
        <w:rFonts w:ascii="Courier New" w:hAnsi="Courier New" w:hint="default"/>
      </w:rPr>
    </w:lvl>
    <w:lvl w:ilvl="8" w:tplc="772EBE7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592A52"/>
    <w:multiLevelType w:val="multilevel"/>
    <w:tmpl w:val="0C090029"/>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24"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5"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6"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6DE6475"/>
    <w:multiLevelType w:val="hybridMultilevel"/>
    <w:tmpl w:val="5BA400C6"/>
    <w:lvl w:ilvl="0" w:tplc="20187AFE">
      <w:start w:val="1"/>
      <w:numFmt w:val="decimal"/>
      <w:lvlText w:val="%1"/>
      <w:lvlJc w:val="left"/>
      <w:pPr>
        <w:ind w:left="950" w:hanging="781"/>
      </w:pPr>
      <w:rPr>
        <w:rFonts w:ascii="Arial" w:eastAsia="Arial" w:hAnsi="Arial" w:hint="default"/>
        <w:b/>
        <w:bCs/>
        <w:w w:val="102"/>
        <w:sz w:val="23"/>
        <w:szCs w:val="23"/>
      </w:rPr>
    </w:lvl>
    <w:lvl w:ilvl="1" w:tplc="045471B2">
      <w:start w:val="1"/>
      <w:numFmt w:val="decimal"/>
      <w:lvlText w:val="(%2)"/>
      <w:lvlJc w:val="left"/>
      <w:pPr>
        <w:ind w:left="1378" w:hanging="520"/>
        <w:jc w:val="right"/>
      </w:pPr>
      <w:rPr>
        <w:rFonts w:ascii="Times New Roman" w:eastAsia="Times New Roman" w:hAnsi="Times New Roman" w:hint="default"/>
        <w:spacing w:val="-1"/>
        <w:sz w:val="24"/>
        <w:szCs w:val="24"/>
      </w:rPr>
    </w:lvl>
    <w:lvl w:ilvl="2" w:tplc="450EB5D8">
      <w:start w:val="1"/>
      <w:numFmt w:val="lowerLetter"/>
      <w:lvlText w:val="(%3)"/>
      <w:lvlJc w:val="left"/>
      <w:pPr>
        <w:ind w:left="3070" w:hanging="481"/>
      </w:pPr>
      <w:rPr>
        <w:rFonts w:ascii="Times New Roman" w:eastAsia="Times New Roman" w:hAnsi="Times New Roman" w:hint="default"/>
        <w:spacing w:val="-1"/>
        <w:sz w:val="24"/>
        <w:szCs w:val="24"/>
      </w:rPr>
    </w:lvl>
    <w:lvl w:ilvl="3" w:tplc="BBFAE85C">
      <w:start w:val="1"/>
      <w:numFmt w:val="lowerRoman"/>
      <w:lvlText w:val="(%4)"/>
      <w:lvlJc w:val="left"/>
      <w:pPr>
        <w:ind w:left="3550" w:hanging="438"/>
      </w:pPr>
      <w:rPr>
        <w:rFonts w:ascii="Times New Roman" w:eastAsia="Times New Roman" w:hAnsi="Times New Roman" w:hint="default"/>
        <w:sz w:val="24"/>
        <w:szCs w:val="24"/>
      </w:rPr>
    </w:lvl>
    <w:lvl w:ilvl="4" w:tplc="C7C420BA">
      <w:start w:val="1"/>
      <w:numFmt w:val="bullet"/>
      <w:lvlText w:val="•"/>
      <w:lvlJc w:val="left"/>
      <w:pPr>
        <w:ind w:left="1378" w:hanging="438"/>
      </w:pPr>
      <w:rPr>
        <w:rFonts w:hint="default"/>
      </w:rPr>
    </w:lvl>
    <w:lvl w:ilvl="5" w:tplc="F4FE677E">
      <w:start w:val="1"/>
      <w:numFmt w:val="bullet"/>
      <w:lvlText w:val="•"/>
      <w:lvlJc w:val="left"/>
      <w:pPr>
        <w:ind w:left="1379" w:hanging="438"/>
      </w:pPr>
      <w:rPr>
        <w:rFonts w:hint="default"/>
      </w:rPr>
    </w:lvl>
    <w:lvl w:ilvl="6" w:tplc="E152AA18">
      <w:start w:val="1"/>
      <w:numFmt w:val="bullet"/>
      <w:lvlText w:val="•"/>
      <w:lvlJc w:val="left"/>
      <w:pPr>
        <w:ind w:left="1379" w:hanging="438"/>
      </w:pPr>
      <w:rPr>
        <w:rFonts w:hint="default"/>
      </w:rPr>
    </w:lvl>
    <w:lvl w:ilvl="7" w:tplc="D1F06BA4">
      <w:start w:val="1"/>
      <w:numFmt w:val="bullet"/>
      <w:lvlText w:val="•"/>
      <w:lvlJc w:val="left"/>
      <w:pPr>
        <w:ind w:left="1379" w:hanging="438"/>
      </w:pPr>
      <w:rPr>
        <w:rFonts w:hint="default"/>
      </w:rPr>
    </w:lvl>
    <w:lvl w:ilvl="8" w:tplc="D79C1CA0">
      <w:start w:val="1"/>
      <w:numFmt w:val="bullet"/>
      <w:lvlText w:val="•"/>
      <w:lvlJc w:val="left"/>
      <w:pPr>
        <w:ind w:left="1418" w:hanging="438"/>
      </w:pPr>
      <w:rPr>
        <w:rFonts w:hint="default"/>
      </w:rPr>
    </w:lvl>
  </w:abstractNum>
  <w:abstractNum w:abstractNumId="28"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5" w15:restartNumberingAfterBreak="0">
    <w:nsid w:val="77037826"/>
    <w:multiLevelType w:val="hybridMultilevel"/>
    <w:tmpl w:val="54CEDAA4"/>
    <w:lvl w:ilvl="0" w:tplc="498048DA">
      <w:start w:val="1"/>
      <w:numFmt w:val="lowerLetter"/>
      <w:lvlText w:val="(%1)"/>
      <w:lvlJc w:val="left"/>
      <w:pPr>
        <w:ind w:left="3070" w:hanging="481"/>
      </w:pPr>
      <w:rPr>
        <w:rFonts w:ascii="Times New Roman" w:eastAsia="Times New Roman" w:hAnsi="Times New Roman" w:hint="default"/>
        <w:sz w:val="24"/>
        <w:szCs w:val="24"/>
      </w:rPr>
    </w:lvl>
    <w:lvl w:ilvl="1" w:tplc="2C4E2E6A">
      <w:start w:val="1"/>
      <w:numFmt w:val="bullet"/>
      <w:lvlText w:val="•"/>
      <w:lvlJc w:val="left"/>
      <w:pPr>
        <w:ind w:left="3509" w:hanging="481"/>
      </w:pPr>
      <w:rPr>
        <w:rFonts w:hint="default"/>
      </w:rPr>
    </w:lvl>
    <w:lvl w:ilvl="2" w:tplc="0F569430">
      <w:start w:val="1"/>
      <w:numFmt w:val="bullet"/>
      <w:lvlText w:val="•"/>
      <w:lvlJc w:val="left"/>
      <w:pPr>
        <w:ind w:left="3948" w:hanging="481"/>
      </w:pPr>
      <w:rPr>
        <w:rFonts w:hint="default"/>
      </w:rPr>
    </w:lvl>
    <w:lvl w:ilvl="3" w:tplc="9A041FC8">
      <w:start w:val="1"/>
      <w:numFmt w:val="bullet"/>
      <w:lvlText w:val="•"/>
      <w:lvlJc w:val="left"/>
      <w:pPr>
        <w:ind w:left="4387" w:hanging="481"/>
      </w:pPr>
      <w:rPr>
        <w:rFonts w:hint="default"/>
      </w:rPr>
    </w:lvl>
    <w:lvl w:ilvl="4" w:tplc="B08A0B8C">
      <w:start w:val="1"/>
      <w:numFmt w:val="bullet"/>
      <w:lvlText w:val="•"/>
      <w:lvlJc w:val="left"/>
      <w:pPr>
        <w:ind w:left="4826" w:hanging="481"/>
      </w:pPr>
      <w:rPr>
        <w:rFonts w:hint="default"/>
      </w:rPr>
    </w:lvl>
    <w:lvl w:ilvl="5" w:tplc="61741E52">
      <w:start w:val="1"/>
      <w:numFmt w:val="bullet"/>
      <w:lvlText w:val="•"/>
      <w:lvlJc w:val="left"/>
      <w:pPr>
        <w:ind w:left="5265" w:hanging="481"/>
      </w:pPr>
      <w:rPr>
        <w:rFonts w:hint="default"/>
      </w:rPr>
    </w:lvl>
    <w:lvl w:ilvl="6" w:tplc="ABF8E4EE">
      <w:start w:val="1"/>
      <w:numFmt w:val="bullet"/>
      <w:lvlText w:val="•"/>
      <w:lvlJc w:val="left"/>
      <w:pPr>
        <w:ind w:left="5704" w:hanging="481"/>
      </w:pPr>
      <w:rPr>
        <w:rFonts w:hint="default"/>
      </w:rPr>
    </w:lvl>
    <w:lvl w:ilvl="7" w:tplc="02E8FC72">
      <w:start w:val="1"/>
      <w:numFmt w:val="bullet"/>
      <w:lvlText w:val="•"/>
      <w:lvlJc w:val="left"/>
      <w:pPr>
        <w:ind w:left="6143" w:hanging="481"/>
      </w:pPr>
      <w:rPr>
        <w:rFonts w:hint="default"/>
      </w:rPr>
    </w:lvl>
    <w:lvl w:ilvl="8" w:tplc="3E060056">
      <w:start w:val="1"/>
      <w:numFmt w:val="bullet"/>
      <w:lvlText w:val="•"/>
      <w:lvlJc w:val="left"/>
      <w:pPr>
        <w:ind w:left="6582" w:hanging="481"/>
      </w:pPr>
      <w:rPr>
        <w:rFonts w:hint="default"/>
      </w:rPr>
    </w:lvl>
  </w:abstractNum>
  <w:abstractNum w:abstractNumId="36" w15:restartNumberingAfterBreak="0">
    <w:nsid w:val="7A707A77"/>
    <w:multiLevelType w:val="hybridMultilevel"/>
    <w:tmpl w:val="9B46571C"/>
    <w:lvl w:ilvl="0" w:tplc="0D663D4C">
      <w:start w:val="1"/>
      <w:numFmt w:val="decimal"/>
      <w:pStyle w:val="AH3sec"/>
      <w:lvlText w:val="%1"/>
      <w:lvlJc w:val="left"/>
      <w:pPr>
        <w:ind w:left="720" w:hanging="360"/>
      </w:pPr>
      <w:rPr>
        <w:rFonts w:cs="Times New Roman" w:hint="default"/>
        <w:b/>
        <w:i w:val="0"/>
      </w:rPr>
    </w:lvl>
    <w:lvl w:ilvl="1" w:tplc="EE7C9B26" w:tentative="1">
      <w:start w:val="1"/>
      <w:numFmt w:val="lowerLetter"/>
      <w:lvlText w:val="%2."/>
      <w:lvlJc w:val="left"/>
      <w:pPr>
        <w:ind w:left="1440" w:hanging="360"/>
      </w:pPr>
      <w:rPr>
        <w:rFonts w:cs="Times New Roman"/>
      </w:rPr>
    </w:lvl>
    <w:lvl w:ilvl="2" w:tplc="6D7CAAAC" w:tentative="1">
      <w:start w:val="1"/>
      <w:numFmt w:val="lowerRoman"/>
      <w:lvlText w:val="%3."/>
      <w:lvlJc w:val="right"/>
      <w:pPr>
        <w:ind w:left="2160" w:hanging="180"/>
      </w:pPr>
      <w:rPr>
        <w:rFonts w:cs="Times New Roman"/>
      </w:rPr>
    </w:lvl>
    <w:lvl w:ilvl="3" w:tplc="F60CF48C" w:tentative="1">
      <w:start w:val="1"/>
      <w:numFmt w:val="decimal"/>
      <w:lvlText w:val="%4."/>
      <w:lvlJc w:val="left"/>
      <w:pPr>
        <w:ind w:left="2880" w:hanging="360"/>
      </w:pPr>
      <w:rPr>
        <w:rFonts w:cs="Times New Roman"/>
      </w:rPr>
    </w:lvl>
    <w:lvl w:ilvl="4" w:tplc="56AA53CE" w:tentative="1">
      <w:start w:val="1"/>
      <w:numFmt w:val="lowerLetter"/>
      <w:lvlText w:val="%5."/>
      <w:lvlJc w:val="left"/>
      <w:pPr>
        <w:ind w:left="3600" w:hanging="360"/>
      </w:pPr>
      <w:rPr>
        <w:rFonts w:cs="Times New Roman"/>
      </w:rPr>
    </w:lvl>
    <w:lvl w:ilvl="5" w:tplc="5672D680" w:tentative="1">
      <w:start w:val="1"/>
      <w:numFmt w:val="lowerRoman"/>
      <w:lvlText w:val="%6."/>
      <w:lvlJc w:val="right"/>
      <w:pPr>
        <w:ind w:left="4320" w:hanging="180"/>
      </w:pPr>
      <w:rPr>
        <w:rFonts w:cs="Times New Roman"/>
      </w:rPr>
    </w:lvl>
    <w:lvl w:ilvl="6" w:tplc="A5506E28" w:tentative="1">
      <w:start w:val="1"/>
      <w:numFmt w:val="decimal"/>
      <w:lvlText w:val="%7."/>
      <w:lvlJc w:val="left"/>
      <w:pPr>
        <w:ind w:left="5040" w:hanging="360"/>
      </w:pPr>
      <w:rPr>
        <w:rFonts w:cs="Times New Roman"/>
      </w:rPr>
    </w:lvl>
    <w:lvl w:ilvl="7" w:tplc="865CDF36" w:tentative="1">
      <w:start w:val="1"/>
      <w:numFmt w:val="lowerLetter"/>
      <w:lvlText w:val="%8."/>
      <w:lvlJc w:val="left"/>
      <w:pPr>
        <w:ind w:left="5760" w:hanging="360"/>
      </w:pPr>
      <w:rPr>
        <w:rFonts w:cs="Times New Roman"/>
      </w:rPr>
    </w:lvl>
    <w:lvl w:ilvl="8" w:tplc="AD785348" w:tentative="1">
      <w:start w:val="1"/>
      <w:numFmt w:val="lowerRoman"/>
      <w:lvlText w:val="%9."/>
      <w:lvlJc w:val="right"/>
      <w:pPr>
        <w:ind w:left="6480" w:hanging="180"/>
      </w:pPr>
      <w:rPr>
        <w:rFonts w:cs="Times New Roman"/>
      </w:rPr>
    </w:lvl>
  </w:abstractNum>
  <w:abstractNum w:abstractNumId="37"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rPr>
    </w:lvl>
    <w:lvl w:ilvl="8">
      <w:start w:val="1"/>
      <w:numFmt w:val="decimal"/>
      <w:lvlText w:val="%1.%2.%3.%4.%5.%6.%7.%8.%9"/>
      <w:lvlJc w:val="left"/>
      <w:pPr>
        <w:ind w:left="1584" w:hanging="1584"/>
      </w:pPr>
    </w:lvl>
  </w:abstractNum>
  <w:num w:numId="1">
    <w:abstractNumId w:val="23"/>
  </w:num>
  <w:num w:numId="2">
    <w:abstractNumId w:val="21"/>
  </w:num>
  <w:num w:numId="3">
    <w:abstractNumId w:val="36"/>
  </w:num>
  <w:num w:numId="4">
    <w:abstractNumId w:val="29"/>
  </w:num>
  <w:num w:numId="5">
    <w:abstractNumId w:val="17"/>
  </w:num>
  <w:num w:numId="6">
    <w:abstractNumId w:val="12"/>
  </w:num>
  <w:num w:numId="7">
    <w:abstractNumId w:val="20"/>
  </w:num>
  <w:num w:numId="8">
    <w:abstractNumId w:val="31"/>
  </w:num>
  <w:num w:numId="9">
    <w:abstractNumId w:val="3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4"/>
  </w:num>
  <w:num w:numId="21">
    <w:abstractNumId w:val="18"/>
  </w:num>
  <w:num w:numId="22">
    <w:abstractNumId w:val="28"/>
  </w:num>
  <w:num w:numId="23">
    <w:abstractNumId w:val="37"/>
  </w:num>
  <w:num w:numId="24">
    <w:abstractNumId w:val="26"/>
  </w:num>
  <w:num w:numId="25">
    <w:abstractNumId w:val="11"/>
  </w:num>
  <w:num w:numId="26">
    <w:abstractNumId w:val="30"/>
  </w:num>
  <w:num w:numId="27">
    <w:abstractNumId w:val="25"/>
  </w:num>
  <w:num w:numId="28">
    <w:abstractNumId w:val="24"/>
  </w:num>
  <w:num w:numId="29">
    <w:abstractNumId w:val="32"/>
  </w:num>
  <w:num w:numId="30">
    <w:abstractNumId w:val="15"/>
  </w:num>
  <w:num w:numId="31">
    <w:abstractNumId w:val="33"/>
  </w:num>
  <w:num w:numId="32">
    <w:abstractNumId w:val="13"/>
  </w:num>
  <w:num w:numId="33">
    <w:abstractNumId w:val="22"/>
  </w:num>
  <w:num w:numId="34">
    <w:abstractNumId w:val="39"/>
  </w:num>
  <w:num w:numId="35">
    <w:abstractNumId w:val="10"/>
    <w:lvlOverride w:ilvl="0">
      <w:lvl w:ilvl="0">
        <w:start w:val="1"/>
        <w:numFmt w:val="bullet"/>
        <w:lvlText w:val=" "/>
        <w:legacy w:legacy="1" w:legacySpace="0" w:legacyIndent="0"/>
        <w:lvlJc w:val="left"/>
        <w:pPr>
          <w:ind w:left="0" w:firstLine="0"/>
        </w:pPr>
        <w:rPr>
          <w:rFonts w:ascii="Times" w:hAnsi="Times" w:cs="Times" w:hint="default"/>
          <w:b w:val="0"/>
          <w:i w:val="0"/>
          <w:strike w:val="0"/>
          <w:color w:val="000000"/>
          <w:sz w:val="24"/>
          <w:u w:val="none"/>
        </w:rPr>
      </w:lvl>
    </w:lvlOverride>
  </w:num>
  <w:num w:numId="36">
    <w:abstractNumId w:val="10"/>
    <w:lvlOverride w:ilvl="0">
      <w:lvl w:ilvl="0">
        <w:start w:val="1"/>
        <w:numFmt w:val="bullet"/>
        <w:lvlText w:val="• "/>
        <w:legacy w:legacy="1" w:legacySpace="0" w:legacyIndent="0"/>
        <w:lvlJc w:val="left"/>
        <w:pPr>
          <w:ind w:left="1440" w:firstLine="0"/>
        </w:pPr>
        <w:rPr>
          <w:rFonts w:ascii="Times" w:hAnsi="Times" w:cs="Times" w:hint="default"/>
          <w:b w:val="0"/>
          <w:i w:val="0"/>
          <w:strike w:val="0"/>
          <w:color w:val="000000"/>
          <w:sz w:val="20"/>
          <w:u w:val="none"/>
        </w:rPr>
      </w:lvl>
    </w:lvlOverride>
  </w:num>
  <w:num w:numId="37">
    <w:abstractNumId w:val="10"/>
    <w:lvlOverride w:ilvl="0">
      <w:lvl w:ilvl="0">
        <w:start w:val="1"/>
        <w:numFmt w:val="bullet"/>
        <w:lvlText w:val=" "/>
        <w:legacy w:legacy="1" w:legacySpace="0" w:legacyIndent="0"/>
        <w:lvlJc w:val="left"/>
        <w:pPr>
          <w:ind w:left="0" w:firstLine="0"/>
        </w:pPr>
        <w:rPr>
          <w:rFonts w:ascii="Times" w:hAnsi="Times" w:cs="Times" w:hint="default"/>
          <w:b w:val="0"/>
          <w:i/>
          <w:strike w:val="0"/>
          <w:color w:val="000000"/>
          <w:sz w:val="24"/>
          <w:u w:val="none"/>
        </w:rPr>
      </w:lvl>
    </w:lvlOverride>
  </w:num>
  <w:num w:numId="38">
    <w:abstractNumId w:val="10"/>
    <w:lvlOverride w:ilvl="0">
      <w:lvl w:ilvl="0">
        <w:start w:val="1"/>
        <w:numFmt w:val="bullet"/>
        <w:lvlText w:val="• "/>
        <w:legacy w:legacy="1" w:legacySpace="0" w:legacyIndent="0"/>
        <w:lvlJc w:val="left"/>
        <w:pPr>
          <w:ind w:left="1440" w:firstLine="0"/>
        </w:pPr>
        <w:rPr>
          <w:rFonts w:ascii="Times" w:hAnsi="Times" w:cs="Times" w:hint="default"/>
          <w:b w:val="0"/>
          <w:i/>
          <w:strike w:val="0"/>
          <w:color w:val="000000"/>
          <w:sz w:val="20"/>
          <w:u w:val="none"/>
        </w:rPr>
      </w:lvl>
    </w:lvlOverride>
  </w:num>
  <w:num w:numId="39">
    <w:abstractNumId w:val="19"/>
  </w:num>
  <w:num w:numId="40">
    <w:abstractNumId w:val="38"/>
    <w:lvlOverride w:ilvl="0">
      <w:startOverride w:val="1"/>
    </w:lvlOverride>
  </w:num>
  <w:num w:numId="41">
    <w:abstractNumId w:val="35"/>
  </w:num>
  <w:num w:numId="42">
    <w:abstractNumId w:val="14"/>
  </w:num>
  <w:num w:numId="43">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0FE"/>
    <w:rsid w:val="00000A2F"/>
    <w:rsid w:val="0000103F"/>
    <w:rsid w:val="00001FEA"/>
    <w:rsid w:val="00002551"/>
    <w:rsid w:val="00003040"/>
    <w:rsid w:val="00003BC6"/>
    <w:rsid w:val="000048F5"/>
    <w:rsid w:val="000077BE"/>
    <w:rsid w:val="000103A5"/>
    <w:rsid w:val="0001078B"/>
    <w:rsid w:val="000107AD"/>
    <w:rsid w:val="0001101F"/>
    <w:rsid w:val="00011290"/>
    <w:rsid w:val="00012644"/>
    <w:rsid w:val="0001278A"/>
    <w:rsid w:val="00014716"/>
    <w:rsid w:val="00014B8A"/>
    <w:rsid w:val="00014F07"/>
    <w:rsid w:val="00016E12"/>
    <w:rsid w:val="00017E1F"/>
    <w:rsid w:val="00017E25"/>
    <w:rsid w:val="00020777"/>
    <w:rsid w:val="000229BF"/>
    <w:rsid w:val="00022AEA"/>
    <w:rsid w:val="00026CA9"/>
    <w:rsid w:val="00026F11"/>
    <w:rsid w:val="00032034"/>
    <w:rsid w:val="000349C5"/>
    <w:rsid w:val="000352F6"/>
    <w:rsid w:val="00035C01"/>
    <w:rsid w:val="00035CC8"/>
    <w:rsid w:val="00036C22"/>
    <w:rsid w:val="00036EE1"/>
    <w:rsid w:val="0003771E"/>
    <w:rsid w:val="00041613"/>
    <w:rsid w:val="000426D8"/>
    <w:rsid w:val="0004451C"/>
    <w:rsid w:val="00045BC2"/>
    <w:rsid w:val="00046C01"/>
    <w:rsid w:val="00046C8B"/>
    <w:rsid w:val="000476D5"/>
    <w:rsid w:val="00050DA6"/>
    <w:rsid w:val="00052341"/>
    <w:rsid w:val="00052D85"/>
    <w:rsid w:val="00053F71"/>
    <w:rsid w:val="000548F1"/>
    <w:rsid w:val="00056C16"/>
    <w:rsid w:val="00057F28"/>
    <w:rsid w:val="000616C9"/>
    <w:rsid w:val="0006171D"/>
    <w:rsid w:val="00062AC8"/>
    <w:rsid w:val="00062FCF"/>
    <w:rsid w:val="00065AC8"/>
    <w:rsid w:val="000666ED"/>
    <w:rsid w:val="000671E3"/>
    <w:rsid w:val="00067352"/>
    <w:rsid w:val="00071813"/>
    <w:rsid w:val="00072301"/>
    <w:rsid w:val="00074332"/>
    <w:rsid w:val="000759B4"/>
    <w:rsid w:val="00076551"/>
    <w:rsid w:val="00076997"/>
    <w:rsid w:val="000804FC"/>
    <w:rsid w:val="000816FC"/>
    <w:rsid w:val="000821FA"/>
    <w:rsid w:val="00083687"/>
    <w:rsid w:val="00085BBD"/>
    <w:rsid w:val="00087199"/>
    <w:rsid w:val="000878E0"/>
    <w:rsid w:val="00087F0A"/>
    <w:rsid w:val="00092C0B"/>
    <w:rsid w:val="00095435"/>
    <w:rsid w:val="00096E24"/>
    <w:rsid w:val="000A172F"/>
    <w:rsid w:val="000A3095"/>
    <w:rsid w:val="000A36E3"/>
    <w:rsid w:val="000A410E"/>
    <w:rsid w:val="000A4E7F"/>
    <w:rsid w:val="000A4E8F"/>
    <w:rsid w:val="000A5F7B"/>
    <w:rsid w:val="000A75E6"/>
    <w:rsid w:val="000A7D7F"/>
    <w:rsid w:val="000B1FA7"/>
    <w:rsid w:val="000B2F99"/>
    <w:rsid w:val="000B5181"/>
    <w:rsid w:val="000B70A7"/>
    <w:rsid w:val="000B7597"/>
    <w:rsid w:val="000B75E8"/>
    <w:rsid w:val="000C04E4"/>
    <w:rsid w:val="000C09C3"/>
    <w:rsid w:val="000C0C28"/>
    <w:rsid w:val="000C0F9F"/>
    <w:rsid w:val="000C130E"/>
    <w:rsid w:val="000C1958"/>
    <w:rsid w:val="000C25F5"/>
    <w:rsid w:val="000C275F"/>
    <w:rsid w:val="000C2E86"/>
    <w:rsid w:val="000C3263"/>
    <w:rsid w:val="000C3FCD"/>
    <w:rsid w:val="000C54E0"/>
    <w:rsid w:val="000C72F8"/>
    <w:rsid w:val="000D0122"/>
    <w:rsid w:val="000D13D8"/>
    <w:rsid w:val="000D175F"/>
    <w:rsid w:val="000D19F8"/>
    <w:rsid w:val="000D1E79"/>
    <w:rsid w:val="000D2D9D"/>
    <w:rsid w:val="000D3197"/>
    <w:rsid w:val="000D34B6"/>
    <w:rsid w:val="000D35CA"/>
    <w:rsid w:val="000D5DCA"/>
    <w:rsid w:val="000D70E9"/>
    <w:rsid w:val="000D7F85"/>
    <w:rsid w:val="000E08E8"/>
    <w:rsid w:val="000E176F"/>
    <w:rsid w:val="000E1C8B"/>
    <w:rsid w:val="000E25C0"/>
    <w:rsid w:val="000E3096"/>
    <w:rsid w:val="000E4848"/>
    <w:rsid w:val="000E492B"/>
    <w:rsid w:val="000E6E70"/>
    <w:rsid w:val="000F2061"/>
    <w:rsid w:val="000F46D9"/>
    <w:rsid w:val="000F7A26"/>
    <w:rsid w:val="0010055F"/>
    <w:rsid w:val="0010080A"/>
    <w:rsid w:val="00100946"/>
    <w:rsid w:val="00102670"/>
    <w:rsid w:val="0010277E"/>
    <w:rsid w:val="00102B48"/>
    <w:rsid w:val="0010513C"/>
    <w:rsid w:val="001055D3"/>
    <w:rsid w:val="00105663"/>
    <w:rsid w:val="00105A42"/>
    <w:rsid w:val="00107B51"/>
    <w:rsid w:val="0011303F"/>
    <w:rsid w:val="0011312C"/>
    <w:rsid w:val="001135C9"/>
    <w:rsid w:val="001137FD"/>
    <w:rsid w:val="00114240"/>
    <w:rsid w:val="00115083"/>
    <w:rsid w:val="00117A04"/>
    <w:rsid w:val="00120B1E"/>
    <w:rsid w:val="00121ABD"/>
    <w:rsid w:val="00121CED"/>
    <w:rsid w:val="00121CF7"/>
    <w:rsid w:val="0012251A"/>
    <w:rsid w:val="00122D98"/>
    <w:rsid w:val="00124806"/>
    <w:rsid w:val="00124B7F"/>
    <w:rsid w:val="00124EF7"/>
    <w:rsid w:val="00124FEC"/>
    <w:rsid w:val="0012535F"/>
    <w:rsid w:val="00126805"/>
    <w:rsid w:val="00131242"/>
    <w:rsid w:val="00131458"/>
    <w:rsid w:val="00137BAE"/>
    <w:rsid w:val="00137DF7"/>
    <w:rsid w:val="0014046E"/>
    <w:rsid w:val="00140F65"/>
    <w:rsid w:val="001425D1"/>
    <w:rsid w:val="00144A36"/>
    <w:rsid w:val="00150AE9"/>
    <w:rsid w:val="00153295"/>
    <w:rsid w:val="00154559"/>
    <w:rsid w:val="00155EA2"/>
    <w:rsid w:val="001571AF"/>
    <w:rsid w:val="00160273"/>
    <w:rsid w:val="0016085D"/>
    <w:rsid w:val="00160DA8"/>
    <w:rsid w:val="00165671"/>
    <w:rsid w:val="00170ABD"/>
    <w:rsid w:val="00176B47"/>
    <w:rsid w:val="0018256E"/>
    <w:rsid w:val="0018417E"/>
    <w:rsid w:val="00190060"/>
    <w:rsid w:val="001906C7"/>
    <w:rsid w:val="00190765"/>
    <w:rsid w:val="00190AA2"/>
    <w:rsid w:val="001911E0"/>
    <w:rsid w:val="00192724"/>
    <w:rsid w:val="00193DDD"/>
    <w:rsid w:val="001944BF"/>
    <w:rsid w:val="00194CFF"/>
    <w:rsid w:val="0019691A"/>
    <w:rsid w:val="00196EEB"/>
    <w:rsid w:val="001A0F23"/>
    <w:rsid w:val="001A1E86"/>
    <w:rsid w:val="001A391E"/>
    <w:rsid w:val="001A3D6F"/>
    <w:rsid w:val="001A408C"/>
    <w:rsid w:val="001A53F2"/>
    <w:rsid w:val="001A62C4"/>
    <w:rsid w:val="001B0049"/>
    <w:rsid w:val="001B0B1C"/>
    <w:rsid w:val="001B199B"/>
    <w:rsid w:val="001B2571"/>
    <w:rsid w:val="001B2ABC"/>
    <w:rsid w:val="001B6DED"/>
    <w:rsid w:val="001B78F0"/>
    <w:rsid w:val="001C03F6"/>
    <w:rsid w:val="001C07E0"/>
    <w:rsid w:val="001C27AD"/>
    <w:rsid w:val="001C5C1A"/>
    <w:rsid w:val="001C5DD7"/>
    <w:rsid w:val="001C6AC6"/>
    <w:rsid w:val="001C6B85"/>
    <w:rsid w:val="001D04E5"/>
    <w:rsid w:val="001D151C"/>
    <w:rsid w:val="001D3C15"/>
    <w:rsid w:val="001D46AD"/>
    <w:rsid w:val="001D629E"/>
    <w:rsid w:val="001D690E"/>
    <w:rsid w:val="001D75C7"/>
    <w:rsid w:val="001E0C86"/>
    <w:rsid w:val="001E0E4C"/>
    <w:rsid w:val="001E187B"/>
    <w:rsid w:val="001E1C67"/>
    <w:rsid w:val="001E3138"/>
    <w:rsid w:val="001E341C"/>
    <w:rsid w:val="001E44BC"/>
    <w:rsid w:val="001E6468"/>
    <w:rsid w:val="001E68BA"/>
    <w:rsid w:val="001E68E3"/>
    <w:rsid w:val="001E73B3"/>
    <w:rsid w:val="001F373F"/>
    <w:rsid w:val="001F4394"/>
    <w:rsid w:val="001F6ADB"/>
    <w:rsid w:val="001F7003"/>
    <w:rsid w:val="001F7B20"/>
    <w:rsid w:val="00200CE8"/>
    <w:rsid w:val="00203643"/>
    <w:rsid w:val="00203715"/>
    <w:rsid w:val="0020466D"/>
    <w:rsid w:val="00206DC0"/>
    <w:rsid w:val="002079A1"/>
    <w:rsid w:val="00212D13"/>
    <w:rsid w:val="00215CCC"/>
    <w:rsid w:val="00216BDF"/>
    <w:rsid w:val="00216E50"/>
    <w:rsid w:val="00220285"/>
    <w:rsid w:val="002203D0"/>
    <w:rsid w:val="0022043D"/>
    <w:rsid w:val="00221645"/>
    <w:rsid w:val="00221769"/>
    <w:rsid w:val="0022371F"/>
    <w:rsid w:val="00223E43"/>
    <w:rsid w:val="00223FCE"/>
    <w:rsid w:val="0022636F"/>
    <w:rsid w:val="00231470"/>
    <w:rsid w:val="00232781"/>
    <w:rsid w:val="00235998"/>
    <w:rsid w:val="002401FA"/>
    <w:rsid w:val="002427CE"/>
    <w:rsid w:val="00242C0D"/>
    <w:rsid w:val="0024338D"/>
    <w:rsid w:val="00243461"/>
    <w:rsid w:val="0024443A"/>
    <w:rsid w:val="00244ECD"/>
    <w:rsid w:val="002460B8"/>
    <w:rsid w:val="00247223"/>
    <w:rsid w:val="0024754E"/>
    <w:rsid w:val="00256D97"/>
    <w:rsid w:val="00257569"/>
    <w:rsid w:val="0026079F"/>
    <w:rsid w:val="00261B65"/>
    <w:rsid w:val="00262735"/>
    <w:rsid w:val="002643B4"/>
    <w:rsid w:val="002644E1"/>
    <w:rsid w:val="00264AB6"/>
    <w:rsid w:val="002669F3"/>
    <w:rsid w:val="002679C1"/>
    <w:rsid w:val="00271C9D"/>
    <w:rsid w:val="00272C93"/>
    <w:rsid w:val="00272F17"/>
    <w:rsid w:val="00273D5E"/>
    <w:rsid w:val="00273EC3"/>
    <w:rsid w:val="0027565A"/>
    <w:rsid w:val="00275FBA"/>
    <w:rsid w:val="00276512"/>
    <w:rsid w:val="002767FB"/>
    <w:rsid w:val="002768A4"/>
    <w:rsid w:val="002772EA"/>
    <w:rsid w:val="00277C1A"/>
    <w:rsid w:val="00281D73"/>
    <w:rsid w:val="00282A1D"/>
    <w:rsid w:val="002834E8"/>
    <w:rsid w:val="002835CB"/>
    <w:rsid w:val="00283CA2"/>
    <w:rsid w:val="002843FB"/>
    <w:rsid w:val="002846DB"/>
    <w:rsid w:val="002903E8"/>
    <w:rsid w:val="0029297C"/>
    <w:rsid w:val="00292C17"/>
    <w:rsid w:val="00294282"/>
    <w:rsid w:val="0029476F"/>
    <w:rsid w:val="00294D6B"/>
    <w:rsid w:val="00296198"/>
    <w:rsid w:val="00296549"/>
    <w:rsid w:val="00297690"/>
    <w:rsid w:val="002A130F"/>
    <w:rsid w:val="002A3BA9"/>
    <w:rsid w:val="002A571F"/>
    <w:rsid w:val="002B2B69"/>
    <w:rsid w:val="002B3241"/>
    <w:rsid w:val="002B36EA"/>
    <w:rsid w:val="002B420A"/>
    <w:rsid w:val="002B5D7A"/>
    <w:rsid w:val="002B7154"/>
    <w:rsid w:val="002B7616"/>
    <w:rsid w:val="002C0A2F"/>
    <w:rsid w:val="002C2BD9"/>
    <w:rsid w:val="002C3B92"/>
    <w:rsid w:val="002C669B"/>
    <w:rsid w:val="002C67C2"/>
    <w:rsid w:val="002C6BB1"/>
    <w:rsid w:val="002D0C5E"/>
    <w:rsid w:val="002D34C2"/>
    <w:rsid w:val="002D384F"/>
    <w:rsid w:val="002D38A4"/>
    <w:rsid w:val="002D3C6F"/>
    <w:rsid w:val="002D3EBB"/>
    <w:rsid w:val="002D5B17"/>
    <w:rsid w:val="002D70FA"/>
    <w:rsid w:val="002D754B"/>
    <w:rsid w:val="002E16D1"/>
    <w:rsid w:val="002E4286"/>
    <w:rsid w:val="002E5F1F"/>
    <w:rsid w:val="002E70B9"/>
    <w:rsid w:val="002E7731"/>
    <w:rsid w:val="002E7C77"/>
    <w:rsid w:val="002F073F"/>
    <w:rsid w:val="002F16D1"/>
    <w:rsid w:val="002F2703"/>
    <w:rsid w:val="002F337C"/>
    <w:rsid w:val="002F4740"/>
    <w:rsid w:val="002F5988"/>
    <w:rsid w:val="002F6BBE"/>
    <w:rsid w:val="00300183"/>
    <w:rsid w:val="00300409"/>
    <w:rsid w:val="003021AD"/>
    <w:rsid w:val="0030261B"/>
    <w:rsid w:val="003043A3"/>
    <w:rsid w:val="00304DB2"/>
    <w:rsid w:val="0030540A"/>
    <w:rsid w:val="00307D75"/>
    <w:rsid w:val="00311556"/>
    <w:rsid w:val="00314EB2"/>
    <w:rsid w:val="003155B7"/>
    <w:rsid w:val="003163CF"/>
    <w:rsid w:val="003212D3"/>
    <w:rsid w:val="00323216"/>
    <w:rsid w:val="0032555B"/>
    <w:rsid w:val="003270BA"/>
    <w:rsid w:val="00330892"/>
    <w:rsid w:val="00330AF9"/>
    <w:rsid w:val="0033155A"/>
    <w:rsid w:val="003323FC"/>
    <w:rsid w:val="00332504"/>
    <w:rsid w:val="003329B2"/>
    <w:rsid w:val="0033389C"/>
    <w:rsid w:val="00333C6E"/>
    <w:rsid w:val="00334B10"/>
    <w:rsid w:val="0033542C"/>
    <w:rsid w:val="00341246"/>
    <w:rsid w:val="00343DAA"/>
    <w:rsid w:val="0034426C"/>
    <w:rsid w:val="00344388"/>
    <w:rsid w:val="00344DAF"/>
    <w:rsid w:val="003457FB"/>
    <w:rsid w:val="00346451"/>
    <w:rsid w:val="00347A8F"/>
    <w:rsid w:val="0035563D"/>
    <w:rsid w:val="003621BE"/>
    <w:rsid w:val="00362853"/>
    <w:rsid w:val="00363C40"/>
    <w:rsid w:val="003642A5"/>
    <w:rsid w:val="0036666A"/>
    <w:rsid w:val="00371EEA"/>
    <w:rsid w:val="00371FCC"/>
    <w:rsid w:val="00375B6A"/>
    <w:rsid w:val="00380608"/>
    <w:rsid w:val="0038686B"/>
    <w:rsid w:val="003868B6"/>
    <w:rsid w:val="00386CAF"/>
    <w:rsid w:val="00387880"/>
    <w:rsid w:val="003945F2"/>
    <w:rsid w:val="003952F9"/>
    <w:rsid w:val="00395AAD"/>
    <w:rsid w:val="00395AF2"/>
    <w:rsid w:val="003A074F"/>
    <w:rsid w:val="003A3435"/>
    <w:rsid w:val="003A470B"/>
    <w:rsid w:val="003A6088"/>
    <w:rsid w:val="003A6E71"/>
    <w:rsid w:val="003A7EFD"/>
    <w:rsid w:val="003B1F59"/>
    <w:rsid w:val="003B4294"/>
    <w:rsid w:val="003C2A4A"/>
    <w:rsid w:val="003C36B7"/>
    <w:rsid w:val="003C55A0"/>
    <w:rsid w:val="003C5869"/>
    <w:rsid w:val="003C5A34"/>
    <w:rsid w:val="003C60C0"/>
    <w:rsid w:val="003C6640"/>
    <w:rsid w:val="003D1150"/>
    <w:rsid w:val="003D1D23"/>
    <w:rsid w:val="003D2F8E"/>
    <w:rsid w:val="003D547E"/>
    <w:rsid w:val="003D596F"/>
    <w:rsid w:val="003D679E"/>
    <w:rsid w:val="003D7954"/>
    <w:rsid w:val="003E1046"/>
    <w:rsid w:val="003E1402"/>
    <w:rsid w:val="003E3AC7"/>
    <w:rsid w:val="003E3D1D"/>
    <w:rsid w:val="003E5722"/>
    <w:rsid w:val="003E5CFB"/>
    <w:rsid w:val="003F03B1"/>
    <w:rsid w:val="003F0CDD"/>
    <w:rsid w:val="003F0FDE"/>
    <w:rsid w:val="003F11CF"/>
    <w:rsid w:val="003F1D40"/>
    <w:rsid w:val="003F5A90"/>
    <w:rsid w:val="003F5CD2"/>
    <w:rsid w:val="003F61C6"/>
    <w:rsid w:val="003F6617"/>
    <w:rsid w:val="003F6F5A"/>
    <w:rsid w:val="003F73C2"/>
    <w:rsid w:val="00400817"/>
    <w:rsid w:val="00401216"/>
    <w:rsid w:val="00405402"/>
    <w:rsid w:val="004070E5"/>
    <w:rsid w:val="00407AA8"/>
    <w:rsid w:val="00407E7D"/>
    <w:rsid w:val="004130F2"/>
    <w:rsid w:val="00413CE0"/>
    <w:rsid w:val="00414573"/>
    <w:rsid w:val="00414B0A"/>
    <w:rsid w:val="004153E0"/>
    <w:rsid w:val="00415415"/>
    <w:rsid w:val="00415928"/>
    <w:rsid w:val="004174B9"/>
    <w:rsid w:val="00417655"/>
    <w:rsid w:val="00417799"/>
    <w:rsid w:val="004203B6"/>
    <w:rsid w:val="004214F7"/>
    <w:rsid w:val="00422F19"/>
    <w:rsid w:val="00422FAB"/>
    <w:rsid w:val="0042375A"/>
    <w:rsid w:val="004267EA"/>
    <w:rsid w:val="004277CF"/>
    <w:rsid w:val="004331CA"/>
    <w:rsid w:val="00433672"/>
    <w:rsid w:val="00435CD2"/>
    <w:rsid w:val="00436041"/>
    <w:rsid w:val="00436E84"/>
    <w:rsid w:val="00440650"/>
    <w:rsid w:val="004413DE"/>
    <w:rsid w:val="004416B6"/>
    <w:rsid w:val="004444EA"/>
    <w:rsid w:val="0045091B"/>
    <w:rsid w:val="0045245F"/>
    <w:rsid w:val="004535E6"/>
    <w:rsid w:val="004548B5"/>
    <w:rsid w:val="00454D2E"/>
    <w:rsid w:val="00454E75"/>
    <w:rsid w:val="0045507B"/>
    <w:rsid w:val="004559C8"/>
    <w:rsid w:val="00455A0C"/>
    <w:rsid w:val="00455CDE"/>
    <w:rsid w:val="00455EA2"/>
    <w:rsid w:val="00456CD9"/>
    <w:rsid w:val="00461C89"/>
    <w:rsid w:val="00461F05"/>
    <w:rsid w:val="004625A3"/>
    <w:rsid w:val="00462A3E"/>
    <w:rsid w:val="00464F98"/>
    <w:rsid w:val="0046637F"/>
    <w:rsid w:val="00470995"/>
    <w:rsid w:val="00472346"/>
    <w:rsid w:val="00472601"/>
    <w:rsid w:val="00474684"/>
    <w:rsid w:val="0047651C"/>
    <w:rsid w:val="00477321"/>
    <w:rsid w:val="004774FF"/>
    <w:rsid w:val="00481441"/>
    <w:rsid w:val="00481E75"/>
    <w:rsid w:val="0048409E"/>
    <w:rsid w:val="00485FC9"/>
    <w:rsid w:val="0048744F"/>
    <w:rsid w:val="00490644"/>
    <w:rsid w:val="004931B6"/>
    <w:rsid w:val="00493758"/>
    <w:rsid w:val="0049379D"/>
    <w:rsid w:val="00493C19"/>
    <w:rsid w:val="0049445A"/>
    <w:rsid w:val="00494C57"/>
    <w:rsid w:val="004957E2"/>
    <w:rsid w:val="004957FF"/>
    <w:rsid w:val="00496D92"/>
    <w:rsid w:val="00496DF2"/>
    <w:rsid w:val="00496F44"/>
    <w:rsid w:val="00496FE6"/>
    <w:rsid w:val="0049759C"/>
    <w:rsid w:val="004A2003"/>
    <w:rsid w:val="004A2395"/>
    <w:rsid w:val="004A295F"/>
    <w:rsid w:val="004A402B"/>
    <w:rsid w:val="004A457B"/>
    <w:rsid w:val="004A4A40"/>
    <w:rsid w:val="004A5F50"/>
    <w:rsid w:val="004A70A8"/>
    <w:rsid w:val="004B0160"/>
    <w:rsid w:val="004B093E"/>
    <w:rsid w:val="004B0AEB"/>
    <w:rsid w:val="004B0D1E"/>
    <w:rsid w:val="004B228A"/>
    <w:rsid w:val="004B30B4"/>
    <w:rsid w:val="004B4F2A"/>
    <w:rsid w:val="004B6000"/>
    <w:rsid w:val="004B6261"/>
    <w:rsid w:val="004B7CAC"/>
    <w:rsid w:val="004C22AA"/>
    <w:rsid w:val="004C25C7"/>
    <w:rsid w:val="004C4C27"/>
    <w:rsid w:val="004C4FD0"/>
    <w:rsid w:val="004C68D0"/>
    <w:rsid w:val="004C6A6B"/>
    <w:rsid w:val="004C773F"/>
    <w:rsid w:val="004D0348"/>
    <w:rsid w:val="004D207A"/>
    <w:rsid w:val="004D663E"/>
    <w:rsid w:val="004E1A15"/>
    <w:rsid w:val="004E3500"/>
    <w:rsid w:val="004E3F26"/>
    <w:rsid w:val="004E5488"/>
    <w:rsid w:val="004F3136"/>
    <w:rsid w:val="004F334C"/>
    <w:rsid w:val="004F33A1"/>
    <w:rsid w:val="004F48E3"/>
    <w:rsid w:val="004F52BE"/>
    <w:rsid w:val="004F5757"/>
    <w:rsid w:val="004F59CA"/>
    <w:rsid w:val="004F6981"/>
    <w:rsid w:val="004F6C64"/>
    <w:rsid w:val="00500A08"/>
    <w:rsid w:val="00500CE3"/>
    <w:rsid w:val="00507E44"/>
    <w:rsid w:val="00510B0F"/>
    <w:rsid w:val="005115AD"/>
    <w:rsid w:val="00513502"/>
    <w:rsid w:val="00513BE3"/>
    <w:rsid w:val="005153A6"/>
    <w:rsid w:val="00515AEA"/>
    <w:rsid w:val="00516B7D"/>
    <w:rsid w:val="005178AC"/>
    <w:rsid w:val="00520C2F"/>
    <w:rsid w:val="00520FCC"/>
    <w:rsid w:val="005239EA"/>
    <w:rsid w:val="0052459D"/>
    <w:rsid w:val="00527A96"/>
    <w:rsid w:val="00534E65"/>
    <w:rsid w:val="00535D69"/>
    <w:rsid w:val="00540A84"/>
    <w:rsid w:val="00541B5D"/>
    <w:rsid w:val="00542B9D"/>
    <w:rsid w:val="00542C4E"/>
    <w:rsid w:val="00544642"/>
    <w:rsid w:val="005446D8"/>
    <w:rsid w:val="00544D45"/>
    <w:rsid w:val="0054521A"/>
    <w:rsid w:val="005479EC"/>
    <w:rsid w:val="00547A52"/>
    <w:rsid w:val="005500BD"/>
    <w:rsid w:val="00552568"/>
    <w:rsid w:val="005525A2"/>
    <w:rsid w:val="005528D7"/>
    <w:rsid w:val="00553E34"/>
    <w:rsid w:val="0055416F"/>
    <w:rsid w:val="005544D4"/>
    <w:rsid w:val="00554988"/>
    <w:rsid w:val="00555B81"/>
    <w:rsid w:val="005565DD"/>
    <w:rsid w:val="005568E2"/>
    <w:rsid w:val="005609BF"/>
    <w:rsid w:val="00560DA3"/>
    <w:rsid w:val="00561BDE"/>
    <w:rsid w:val="00562073"/>
    <w:rsid w:val="0056371E"/>
    <w:rsid w:val="00564851"/>
    <w:rsid w:val="005655A7"/>
    <w:rsid w:val="00566E32"/>
    <w:rsid w:val="00566F7A"/>
    <w:rsid w:val="00570750"/>
    <w:rsid w:val="00570761"/>
    <w:rsid w:val="00570FBB"/>
    <w:rsid w:val="00574352"/>
    <w:rsid w:val="0057496A"/>
    <w:rsid w:val="00574AE1"/>
    <w:rsid w:val="00576D61"/>
    <w:rsid w:val="00577913"/>
    <w:rsid w:val="00581CBC"/>
    <w:rsid w:val="00581D9F"/>
    <w:rsid w:val="00582A04"/>
    <w:rsid w:val="005854DE"/>
    <w:rsid w:val="00586C3B"/>
    <w:rsid w:val="00587D24"/>
    <w:rsid w:val="00590018"/>
    <w:rsid w:val="00590836"/>
    <w:rsid w:val="00591CFE"/>
    <w:rsid w:val="00592E1B"/>
    <w:rsid w:val="00595176"/>
    <w:rsid w:val="005A062C"/>
    <w:rsid w:val="005A2ABC"/>
    <w:rsid w:val="005A34A5"/>
    <w:rsid w:val="005A48C8"/>
    <w:rsid w:val="005A6778"/>
    <w:rsid w:val="005B08AB"/>
    <w:rsid w:val="005B4EB1"/>
    <w:rsid w:val="005B6EFD"/>
    <w:rsid w:val="005B7EE1"/>
    <w:rsid w:val="005C1A09"/>
    <w:rsid w:val="005C1DB5"/>
    <w:rsid w:val="005C2955"/>
    <w:rsid w:val="005C333E"/>
    <w:rsid w:val="005C48C7"/>
    <w:rsid w:val="005C5D7F"/>
    <w:rsid w:val="005C6D6D"/>
    <w:rsid w:val="005C770D"/>
    <w:rsid w:val="005D18E7"/>
    <w:rsid w:val="005D2A5A"/>
    <w:rsid w:val="005D2BF6"/>
    <w:rsid w:val="005D434A"/>
    <w:rsid w:val="005D4C80"/>
    <w:rsid w:val="005E03F7"/>
    <w:rsid w:val="005E46B3"/>
    <w:rsid w:val="005E59CD"/>
    <w:rsid w:val="005F2FE3"/>
    <w:rsid w:val="005F4721"/>
    <w:rsid w:val="005F54CC"/>
    <w:rsid w:val="005F5545"/>
    <w:rsid w:val="0060221C"/>
    <w:rsid w:val="006030A3"/>
    <w:rsid w:val="00604150"/>
    <w:rsid w:val="0060531C"/>
    <w:rsid w:val="006077F7"/>
    <w:rsid w:val="0061024F"/>
    <w:rsid w:val="00611814"/>
    <w:rsid w:val="00613D0B"/>
    <w:rsid w:val="00615A19"/>
    <w:rsid w:val="006218C4"/>
    <w:rsid w:val="0062288F"/>
    <w:rsid w:val="00623278"/>
    <w:rsid w:val="0062384B"/>
    <w:rsid w:val="006271D3"/>
    <w:rsid w:val="006278A9"/>
    <w:rsid w:val="006300C2"/>
    <w:rsid w:val="00631F72"/>
    <w:rsid w:val="00632649"/>
    <w:rsid w:val="00632AAE"/>
    <w:rsid w:val="00636D6D"/>
    <w:rsid w:val="006378FF"/>
    <w:rsid w:val="0064073F"/>
    <w:rsid w:val="006415CF"/>
    <w:rsid w:val="00642491"/>
    <w:rsid w:val="006425A9"/>
    <w:rsid w:val="00643787"/>
    <w:rsid w:val="00643D4D"/>
    <w:rsid w:val="00646560"/>
    <w:rsid w:val="00647673"/>
    <w:rsid w:val="006505F1"/>
    <w:rsid w:val="00650E36"/>
    <w:rsid w:val="00651049"/>
    <w:rsid w:val="006511CC"/>
    <w:rsid w:val="006530F9"/>
    <w:rsid w:val="006540FD"/>
    <w:rsid w:val="006541DE"/>
    <w:rsid w:val="006559C6"/>
    <w:rsid w:val="00656633"/>
    <w:rsid w:val="00656819"/>
    <w:rsid w:val="00664947"/>
    <w:rsid w:val="0066587B"/>
    <w:rsid w:val="00665A82"/>
    <w:rsid w:val="00665BB4"/>
    <w:rsid w:val="00666EBD"/>
    <w:rsid w:val="006679EE"/>
    <w:rsid w:val="0067105C"/>
    <w:rsid w:val="006733F1"/>
    <w:rsid w:val="00673659"/>
    <w:rsid w:val="006741F2"/>
    <w:rsid w:val="0067431A"/>
    <w:rsid w:val="00674568"/>
    <w:rsid w:val="00675292"/>
    <w:rsid w:val="00675ABC"/>
    <w:rsid w:val="00675BA9"/>
    <w:rsid w:val="00675D08"/>
    <w:rsid w:val="0067636E"/>
    <w:rsid w:val="006767F0"/>
    <w:rsid w:val="0068043D"/>
    <w:rsid w:val="00681238"/>
    <w:rsid w:val="00681BD2"/>
    <w:rsid w:val="00681EB0"/>
    <w:rsid w:val="006856EF"/>
    <w:rsid w:val="00685EE2"/>
    <w:rsid w:val="00687533"/>
    <w:rsid w:val="006875C3"/>
    <w:rsid w:val="00690FF1"/>
    <w:rsid w:val="006958E0"/>
    <w:rsid w:val="006A2141"/>
    <w:rsid w:val="006A2911"/>
    <w:rsid w:val="006A6394"/>
    <w:rsid w:val="006B1712"/>
    <w:rsid w:val="006B1D61"/>
    <w:rsid w:val="006B1D8F"/>
    <w:rsid w:val="006B1DFD"/>
    <w:rsid w:val="006B39B0"/>
    <w:rsid w:val="006B42B2"/>
    <w:rsid w:val="006B59B7"/>
    <w:rsid w:val="006C055A"/>
    <w:rsid w:val="006C5EEF"/>
    <w:rsid w:val="006C64C2"/>
    <w:rsid w:val="006C6C8D"/>
    <w:rsid w:val="006D094E"/>
    <w:rsid w:val="006D1150"/>
    <w:rsid w:val="006D175A"/>
    <w:rsid w:val="006D1878"/>
    <w:rsid w:val="006D21FE"/>
    <w:rsid w:val="006D473E"/>
    <w:rsid w:val="006D47C9"/>
    <w:rsid w:val="006D7F53"/>
    <w:rsid w:val="006E0A56"/>
    <w:rsid w:val="006E1B23"/>
    <w:rsid w:val="006E2068"/>
    <w:rsid w:val="006E6789"/>
    <w:rsid w:val="006E6F42"/>
    <w:rsid w:val="006F0611"/>
    <w:rsid w:val="006F174C"/>
    <w:rsid w:val="006F4D26"/>
    <w:rsid w:val="006F540E"/>
    <w:rsid w:val="00700AED"/>
    <w:rsid w:val="00702047"/>
    <w:rsid w:val="0070634E"/>
    <w:rsid w:val="00706D55"/>
    <w:rsid w:val="0070738C"/>
    <w:rsid w:val="0071089F"/>
    <w:rsid w:val="007108B9"/>
    <w:rsid w:val="00712B69"/>
    <w:rsid w:val="00712F56"/>
    <w:rsid w:val="007132A6"/>
    <w:rsid w:val="007132B5"/>
    <w:rsid w:val="00715204"/>
    <w:rsid w:val="007158D7"/>
    <w:rsid w:val="00715E24"/>
    <w:rsid w:val="0072141B"/>
    <w:rsid w:val="0072180D"/>
    <w:rsid w:val="00723B98"/>
    <w:rsid w:val="00724A11"/>
    <w:rsid w:val="0072601A"/>
    <w:rsid w:val="00726C68"/>
    <w:rsid w:val="00726E15"/>
    <w:rsid w:val="007275B1"/>
    <w:rsid w:val="0073018B"/>
    <w:rsid w:val="007306F1"/>
    <w:rsid w:val="007313D7"/>
    <w:rsid w:val="00731B93"/>
    <w:rsid w:val="0073236E"/>
    <w:rsid w:val="00732DAA"/>
    <w:rsid w:val="00735C00"/>
    <w:rsid w:val="00736BFE"/>
    <w:rsid w:val="00740102"/>
    <w:rsid w:val="00745956"/>
    <w:rsid w:val="0074777F"/>
    <w:rsid w:val="00750ACD"/>
    <w:rsid w:val="00750CE0"/>
    <w:rsid w:val="00751A90"/>
    <w:rsid w:val="00751C8A"/>
    <w:rsid w:val="00752521"/>
    <w:rsid w:val="00754239"/>
    <w:rsid w:val="00756B31"/>
    <w:rsid w:val="00756E77"/>
    <w:rsid w:val="00757171"/>
    <w:rsid w:val="00757B37"/>
    <w:rsid w:val="00757F5B"/>
    <w:rsid w:val="007606EC"/>
    <w:rsid w:val="00760B0D"/>
    <w:rsid w:val="00761295"/>
    <w:rsid w:val="0076253B"/>
    <w:rsid w:val="00762DCC"/>
    <w:rsid w:val="007646F0"/>
    <w:rsid w:val="00764C6C"/>
    <w:rsid w:val="00764DDE"/>
    <w:rsid w:val="00766C6B"/>
    <w:rsid w:val="007670CC"/>
    <w:rsid w:val="00767F6D"/>
    <w:rsid w:val="0077174B"/>
    <w:rsid w:val="0077180F"/>
    <w:rsid w:val="00772C67"/>
    <w:rsid w:val="007750BD"/>
    <w:rsid w:val="00775AF7"/>
    <w:rsid w:val="00775DD3"/>
    <w:rsid w:val="00776070"/>
    <w:rsid w:val="007765B1"/>
    <w:rsid w:val="00781655"/>
    <w:rsid w:val="00781912"/>
    <w:rsid w:val="0078229D"/>
    <w:rsid w:val="007851EF"/>
    <w:rsid w:val="007875E7"/>
    <w:rsid w:val="00787B16"/>
    <w:rsid w:val="00787EBA"/>
    <w:rsid w:val="007905AB"/>
    <w:rsid w:val="00790710"/>
    <w:rsid w:val="0079143D"/>
    <w:rsid w:val="0079166E"/>
    <w:rsid w:val="00791E85"/>
    <w:rsid w:val="007922DA"/>
    <w:rsid w:val="007929E9"/>
    <w:rsid w:val="0079350C"/>
    <w:rsid w:val="00795822"/>
    <w:rsid w:val="007958FE"/>
    <w:rsid w:val="00795E48"/>
    <w:rsid w:val="00796CD8"/>
    <w:rsid w:val="007970E4"/>
    <w:rsid w:val="007A069F"/>
    <w:rsid w:val="007A1279"/>
    <w:rsid w:val="007A143F"/>
    <w:rsid w:val="007A206B"/>
    <w:rsid w:val="007A231E"/>
    <w:rsid w:val="007A3581"/>
    <w:rsid w:val="007A5936"/>
    <w:rsid w:val="007A5E66"/>
    <w:rsid w:val="007A62DA"/>
    <w:rsid w:val="007B0BCF"/>
    <w:rsid w:val="007B0E34"/>
    <w:rsid w:val="007B204D"/>
    <w:rsid w:val="007B214D"/>
    <w:rsid w:val="007B493D"/>
    <w:rsid w:val="007B571B"/>
    <w:rsid w:val="007B6A45"/>
    <w:rsid w:val="007C0EF1"/>
    <w:rsid w:val="007C13F4"/>
    <w:rsid w:val="007C360A"/>
    <w:rsid w:val="007C3AC0"/>
    <w:rsid w:val="007C51D6"/>
    <w:rsid w:val="007C6690"/>
    <w:rsid w:val="007C7CFE"/>
    <w:rsid w:val="007D0FBC"/>
    <w:rsid w:val="007D1A27"/>
    <w:rsid w:val="007D310D"/>
    <w:rsid w:val="007D3319"/>
    <w:rsid w:val="007D4179"/>
    <w:rsid w:val="007D4D91"/>
    <w:rsid w:val="007D579F"/>
    <w:rsid w:val="007D582C"/>
    <w:rsid w:val="007D724E"/>
    <w:rsid w:val="007D7C28"/>
    <w:rsid w:val="007E1CE7"/>
    <w:rsid w:val="007E3134"/>
    <w:rsid w:val="007E36B8"/>
    <w:rsid w:val="007E3B80"/>
    <w:rsid w:val="007E3FD5"/>
    <w:rsid w:val="007E437A"/>
    <w:rsid w:val="007E45AE"/>
    <w:rsid w:val="007E4CCA"/>
    <w:rsid w:val="007E5AFD"/>
    <w:rsid w:val="007E7BBB"/>
    <w:rsid w:val="007F03C4"/>
    <w:rsid w:val="007F0EF8"/>
    <w:rsid w:val="007F2252"/>
    <w:rsid w:val="007F27BC"/>
    <w:rsid w:val="007F3344"/>
    <w:rsid w:val="007F4361"/>
    <w:rsid w:val="007F6935"/>
    <w:rsid w:val="007F77BD"/>
    <w:rsid w:val="007F78FF"/>
    <w:rsid w:val="008001A5"/>
    <w:rsid w:val="008049AE"/>
    <w:rsid w:val="00805E0C"/>
    <w:rsid w:val="00806779"/>
    <w:rsid w:val="008067F7"/>
    <w:rsid w:val="00810783"/>
    <w:rsid w:val="00811BEC"/>
    <w:rsid w:val="00812499"/>
    <w:rsid w:val="00813B33"/>
    <w:rsid w:val="00814BC3"/>
    <w:rsid w:val="0081516C"/>
    <w:rsid w:val="00815248"/>
    <w:rsid w:val="00816477"/>
    <w:rsid w:val="008165EB"/>
    <w:rsid w:val="0082104E"/>
    <w:rsid w:val="008218EB"/>
    <w:rsid w:val="00822D07"/>
    <w:rsid w:val="00823955"/>
    <w:rsid w:val="00824C29"/>
    <w:rsid w:val="008275C4"/>
    <w:rsid w:val="008318C0"/>
    <w:rsid w:val="008322EA"/>
    <w:rsid w:val="008324D3"/>
    <w:rsid w:val="00833353"/>
    <w:rsid w:val="00834109"/>
    <w:rsid w:val="00834C30"/>
    <w:rsid w:val="008360DB"/>
    <w:rsid w:val="008370A4"/>
    <w:rsid w:val="00840C7F"/>
    <w:rsid w:val="00840EE4"/>
    <w:rsid w:val="008413C4"/>
    <w:rsid w:val="00841803"/>
    <w:rsid w:val="00843196"/>
    <w:rsid w:val="00844674"/>
    <w:rsid w:val="00844C43"/>
    <w:rsid w:val="00845475"/>
    <w:rsid w:val="008458B2"/>
    <w:rsid w:val="0084671D"/>
    <w:rsid w:val="008539F9"/>
    <w:rsid w:val="0085401C"/>
    <w:rsid w:val="0085427D"/>
    <w:rsid w:val="00854756"/>
    <w:rsid w:val="00855D52"/>
    <w:rsid w:val="00856BEE"/>
    <w:rsid w:val="00856F45"/>
    <w:rsid w:val="008575CD"/>
    <w:rsid w:val="008579DA"/>
    <w:rsid w:val="00862946"/>
    <w:rsid w:val="00862BFE"/>
    <w:rsid w:val="00862C5F"/>
    <w:rsid w:val="0086328F"/>
    <w:rsid w:val="00863A11"/>
    <w:rsid w:val="008651E5"/>
    <w:rsid w:val="00866F63"/>
    <w:rsid w:val="008701E6"/>
    <w:rsid w:val="00872D89"/>
    <w:rsid w:val="00873204"/>
    <w:rsid w:val="00873F45"/>
    <w:rsid w:val="00880594"/>
    <w:rsid w:val="0088331D"/>
    <w:rsid w:val="00884976"/>
    <w:rsid w:val="00885ABE"/>
    <w:rsid w:val="00887565"/>
    <w:rsid w:val="0089066C"/>
    <w:rsid w:val="008949F4"/>
    <w:rsid w:val="00895624"/>
    <w:rsid w:val="00895AA3"/>
    <w:rsid w:val="00895AED"/>
    <w:rsid w:val="00895FBF"/>
    <w:rsid w:val="00896B30"/>
    <w:rsid w:val="008A28FE"/>
    <w:rsid w:val="008A2C19"/>
    <w:rsid w:val="008A3183"/>
    <w:rsid w:val="008A3AD2"/>
    <w:rsid w:val="008A49B4"/>
    <w:rsid w:val="008B0570"/>
    <w:rsid w:val="008B2E70"/>
    <w:rsid w:val="008B4E35"/>
    <w:rsid w:val="008B5FD9"/>
    <w:rsid w:val="008C13A8"/>
    <w:rsid w:val="008C1FD8"/>
    <w:rsid w:val="008C2E76"/>
    <w:rsid w:val="008C79DA"/>
    <w:rsid w:val="008D043A"/>
    <w:rsid w:val="008D0997"/>
    <w:rsid w:val="008D0DCE"/>
    <w:rsid w:val="008D36F9"/>
    <w:rsid w:val="008D4731"/>
    <w:rsid w:val="008D633A"/>
    <w:rsid w:val="008D7947"/>
    <w:rsid w:val="008E0297"/>
    <w:rsid w:val="008E0DE4"/>
    <w:rsid w:val="008E39C6"/>
    <w:rsid w:val="008E4221"/>
    <w:rsid w:val="008E458E"/>
    <w:rsid w:val="008E4ADC"/>
    <w:rsid w:val="008E588A"/>
    <w:rsid w:val="008E593C"/>
    <w:rsid w:val="008E629C"/>
    <w:rsid w:val="008E7EA0"/>
    <w:rsid w:val="008F139B"/>
    <w:rsid w:val="008F2634"/>
    <w:rsid w:val="008F286E"/>
    <w:rsid w:val="008F2A46"/>
    <w:rsid w:val="008F4154"/>
    <w:rsid w:val="008F661D"/>
    <w:rsid w:val="008F71BF"/>
    <w:rsid w:val="008F7EFC"/>
    <w:rsid w:val="00900242"/>
    <w:rsid w:val="00900924"/>
    <w:rsid w:val="00902CA3"/>
    <w:rsid w:val="009037C9"/>
    <w:rsid w:val="00904504"/>
    <w:rsid w:val="00906203"/>
    <w:rsid w:val="0091007F"/>
    <w:rsid w:val="00910F1A"/>
    <w:rsid w:val="00912878"/>
    <w:rsid w:val="00913723"/>
    <w:rsid w:val="009145CF"/>
    <w:rsid w:val="0091483C"/>
    <w:rsid w:val="00914D31"/>
    <w:rsid w:val="00915C9F"/>
    <w:rsid w:val="0091632B"/>
    <w:rsid w:val="00916598"/>
    <w:rsid w:val="00916EFA"/>
    <w:rsid w:val="00920958"/>
    <w:rsid w:val="00921587"/>
    <w:rsid w:val="00921734"/>
    <w:rsid w:val="0092385B"/>
    <w:rsid w:val="009240A7"/>
    <w:rsid w:val="009245E3"/>
    <w:rsid w:val="009249C3"/>
    <w:rsid w:val="009255F3"/>
    <w:rsid w:val="00925BCA"/>
    <w:rsid w:val="00925BE6"/>
    <w:rsid w:val="009278BF"/>
    <w:rsid w:val="00930437"/>
    <w:rsid w:val="00930888"/>
    <w:rsid w:val="00931FC9"/>
    <w:rsid w:val="009328D2"/>
    <w:rsid w:val="00932BA6"/>
    <w:rsid w:val="00934631"/>
    <w:rsid w:val="00934B50"/>
    <w:rsid w:val="0093527E"/>
    <w:rsid w:val="00936B1F"/>
    <w:rsid w:val="00940A3D"/>
    <w:rsid w:val="00941358"/>
    <w:rsid w:val="00941D9A"/>
    <w:rsid w:val="0094215D"/>
    <w:rsid w:val="009431F9"/>
    <w:rsid w:val="00943427"/>
    <w:rsid w:val="009437B0"/>
    <w:rsid w:val="009438C4"/>
    <w:rsid w:val="00945118"/>
    <w:rsid w:val="00950653"/>
    <w:rsid w:val="0095421F"/>
    <w:rsid w:val="009556BA"/>
    <w:rsid w:val="00955F93"/>
    <w:rsid w:val="0095693E"/>
    <w:rsid w:val="0095696E"/>
    <w:rsid w:val="00962F48"/>
    <w:rsid w:val="00963883"/>
    <w:rsid w:val="00966283"/>
    <w:rsid w:val="00967DA5"/>
    <w:rsid w:val="009702EE"/>
    <w:rsid w:val="00972C06"/>
    <w:rsid w:val="00973177"/>
    <w:rsid w:val="009745DC"/>
    <w:rsid w:val="00975D91"/>
    <w:rsid w:val="00976928"/>
    <w:rsid w:val="009808CD"/>
    <w:rsid w:val="00981718"/>
    <w:rsid w:val="00982619"/>
    <w:rsid w:val="00984ACD"/>
    <w:rsid w:val="00986B9F"/>
    <w:rsid w:val="00990258"/>
    <w:rsid w:val="009902F7"/>
    <w:rsid w:val="00990996"/>
    <w:rsid w:val="009916AA"/>
    <w:rsid w:val="00991A12"/>
    <w:rsid w:val="009955D5"/>
    <w:rsid w:val="00995E31"/>
    <w:rsid w:val="00996684"/>
    <w:rsid w:val="00997DC5"/>
    <w:rsid w:val="009A0216"/>
    <w:rsid w:val="009A2066"/>
    <w:rsid w:val="009A5DA5"/>
    <w:rsid w:val="009B4DE4"/>
    <w:rsid w:val="009B66B7"/>
    <w:rsid w:val="009B709A"/>
    <w:rsid w:val="009B735E"/>
    <w:rsid w:val="009C0C55"/>
    <w:rsid w:val="009C2C78"/>
    <w:rsid w:val="009C2D7A"/>
    <w:rsid w:val="009C4BA5"/>
    <w:rsid w:val="009C4E05"/>
    <w:rsid w:val="009C5297"/>
    <w:rsid w:val="009C584C"/>
    <w:rsid w:val="009C5D51"/>
    <w:rsid w:val="009C6B2D"/>
    <w:rsid w:val="009D2383"/>
    <w:rsid w:val="009D7CAA"/>
    <w:rsid w:val="009E06B4"/>
    <w:rsid w:val="009E088E"/>
    <w:rsid w:val="009E1DB0"/>
    <w:rsid w:val="009E3384"/>
    <w:rsid w:val="009E5F71"/>
    <w:rsid w:val="009E7AF9"/>
    <w:rsid w:val="009F1DF0"/>
    <w:rsid w:val="009F2185"/>
    <w:rsid w:val="009F29F0"/>
    <w:rsid w:val="009F4FF7"/>
    <w:rsid w:val="009F5A55"/>
    <w:rsid w:val="009F5E27"/>
    <w:rsid w:val="00A01B53"/>
    <w:rsid w:val="00A03313"/>
    <w:rsid w:val="00A050C5"/>
    <w:rsid w:val="00A06E70"/>
    <w:rsid w:val="00A07501"/>
    <w:rsid w:val="00A0759C"/>
    <w:rsid w:val="00A0793A"/>
    <w:rsid w:val="00A10DED"/>
    <w:rsid w:val="00A126CB"/>
    <w:rsid w:val="00A136CA"/>
    <w:rsid w:val="00A13B61"/>
    <w:rsid w:val="00A155CC"/>
    <w:rsid w:val="00A2031F"/>
    <w:rsid w:val="00A221EA"/>
    <w:rsid w:val="00A2416F"/>
    <w:rsid w:val="00A24CB2"/>
    <w:rsid w:val="00A255AC"/>
    <w:rsid w:val="00A2605E"/>
    <w:rsid w:val="00A26C70"/>
    <w:rsid w:val="00A27457"/>
    <w:rsid w:val="00A27494"/>
    <w:rsid w:val="00A3089B"/>
    <w:rsid w:val="00A31005"/>
    <w:rsid w:val="00A3147B"/>
    <w:rsid w:val="00A342F6"/>
    <w:rsid w:val="00A3776E"/>
    <w:rsid w:val="00A37E4A"/>
    <w:rsid w:val="00A40B27"/>
    <w:rsid w:val="00A41534"/>
    <w:rsid w:val="00A44570"/>
    <w:rsid w:val="00A45BB5"/>
    <w:rsid w:val="00A45C84"/>
    <w:rsid w:val="00A47369"/>
    <w:rsid w:val="00A479AC"/>
    <w:rsid w:val="00A51231"/>
    <w:rsid w:val="00A545F6"/>
    <w:rsid w:val="00A56327"/>
    <w:rsid w:val="00A61146"/>
    <w:rsid w:val="00A61619"/>
    <w:rsid w:val="00A65421"/>
    <w:rsid w:val="00A65518"/>
    <w:rsid w:val="00A65CD6"/>
    <w:rsid w:val="00A66143"/>
    <w:rsid w:val="00A67578"/>
    <w:rsid w:val="00A70067"/>
    <w:rsid w:val="00A752AE"/>
    <w:rsid w:val="00A77376"/>
    <w:rsid w:val="00A77BC5"/>
    <w:rsid w:val="00A77F94"/>
    <w:rsid w:val="00A81C2F"/>
    <w:rsid w:val="00A82C64"/>
    <w:rsid w:val="00A835B2"/>
    <w:rsid w:val="00A84ADC"/>
    <w:rsid w:val="00A84B34"/>
    <w:rsid w:val="00A85615"/>
    <w:rsid w:val="00A85766"/>
    <w:rsid w:val="00A869BD"/>
    <w:rsid w:val="00A87BFB"/>
    <w:rsid w:val="00A87C9E"/>
    <w:rsid w:val="00A90927"/>
    <w:rsid w:val="00A90E02"/>
    <w:rsid w:val="00A90E48"/>
    <w:rsid w:val="00A92F6D"/>
    <w:rsid w:val="00A93996"/>
    <w:rsid w:val="00A942A2"/>
    <w:rsid w:val="00A957C8"/>
    <w:rsid w:val="00A96DEF"/>
    <w:rsid w:val="00A976CD"/>
    <w:rsid w:val="00A97DE4"/>
    <w:rsid w:val="00A97FFD"/>
    <w:rsid w:val="00AA6ABA"/>
    <w:rsid w:val="00AB080D"/>
    <w:rsid w:val="00AB1F71"/>
    <w:rsid w:val="00AB2789"/>
    <w:rsid w:val="00AB2B1E"/>
    <w:rsid w:val="00AB301F"/>
    <w:rsid w:val="00AB3AD8"/>
    <w:rsid w:val="00AB52DE"/>
    <w:rsid w:val="00AB5C77"/>
    <w:rsid w:val="00AB774A"/>
    <w:rsid w:val="00AC014E"/>
    <w:rsid w:val="00AC2DCF"/>
    <w:rsid w:val="00AC3897"/>
    <w:rsid w:val="00AC46D0"/>
    <w:rsid w:val="00AC5720"/>
    <w:rsid w:val="00AC5CCA"/>
    <w:rsid w:val="00AC6B1A"/>
    <w:rsid w:val="00AC6F37"/>
    <w:rsid w:val="00AD0A9B"/>
    <w:rsid w:val="00AD0DFA"/>
    <w:rsid w:val="00AD1A4F"/>
    <w:rsid w:val="00AD2628"/>
    <w:rsid w:val="00AD3709"/>
    <w:rsid w:val="00AD37DA"/>
    <w:rsid w:val="00AD4373"/>
    <w:rsid w:val="00AD5E58"/>
    <w:rsid w:val="00AE1FF6"/>
    <w:rsid w:val="00AE2A67"/>
    <w:rsid w:val="00AE3279"/>
    <w:rsid w:val="00AE3298"/>
    <w:rsid w:val="00AE4307"/>
    <w:rsid w:val="00AE43F2"/>
    <w:rsid w:val="00AE4F7F"/>
    <w:rsid w:val="00AE533B"/>
    <w:rsid w:val="00AE6779"/>
    <w:rsid w:val="00AF0085"/>
    <w:rsid w:val="00AF1EC2"/>
    <w:rsid w:val="00AF217B"/>
    <w:rsid w:val="00AF2297"/>
    <w:rsid w:val="00AF4D8D"/>
    <w:rsid w:val="00AF6439"/>
    <w:rsid w:val="00AF700F"/>
    <w:rsid w:val="00AF7DE9"/>
    <w:rsid w:val="00B0077A"/>
    <w:rsid w:val="00B013C3"/>
    <w:rsid w:val="00B0332F"/>
    <w:rsid w:val="00B03621"/>
    <w:rsid w:val="00B03D28"/>
    <w:rsid w:val="00B04C23"/>
    <w:rsid w:val="00B05507"/>
    <w:rsid w:val="00B0569B"/>
    <w:rsid w:val="00B05A95"/>
    <w:rsid w:val="00B11085"/>
    <w:rsid w:val="00B13A18"/>
    <w:rsid w:val="00B13C67"/>
    <w:rsid w:val="00B15188"/>
    <w:rsid w:val="00B1525F"/>
    <w:rsid w:val="00B1624A"/>
    <w:rsid w:val="00B16A1F"/>
    <w:rsid w:val="00B17064"/>
    <w:rsid w:val="00B17297"/>
    <w:rsid w:val="00B2046E"/>
    <w:rsid w:val="00B22247"/>
    <w:rsid w:val="00B2330B"/>
    <w:rsid w:val="00B27EE5"/>
    <w:rsid w:val="00B300BE"/>
    <w:rsid w:val="00B326B1"/>
    <w:rsid w:val="00B3288F"/>
    <w:rsid w:val="00B34E71"/>
    <w:rsid w:val="00B352D8"/>
    <w:rsid w:val="00B37B8C"/>
    <w:rsid w:val="00B40A70"/>
    <w:rsid w:val="00B41265"/>
    <w:rsid w:val="00B41BF6"/>
    <w:rsid w:val="00B445A6"/>
    <w:rsid w:val="00B452EF"/>
    <w:rsid w:val="00B458EB"/>
    <w:rsid w:val="00B5030E"/>
    <w:rsid w:val="00B512EF"/>
    <w:rsid w:val="00B51EC4"/>
    <w:rsid w:val="00B52A91"/>
    <w:rsid w:val="00B536D2"/>
    <w:rsid w:val="00B53FCC"/>
    <w:rsid w:val="00B54ACA"/>
    <w:rsid w:val="00B6019B"/>
    <w:rsid w:val="00B60BF1"/>
    <w:rsid w:val="00B62E50"/>
    <w:rsid w:val="00B63B49"/>
    <w:rsid w:val="00B63B54"/>
    <w:rsid w:val="00B647D6"/>
    <w:rsid w:val="00B67237"/>
    <w:rsid w:val="00B708C4"/>
    <w:rsid w:val="00B71806"/>
    <w:rsid w:val="00B73F00"/>
    <w:rsid w:val="00B74560"/>
    <w:rsid w:val="00B7551C"/>
    <w:rsid w:val="00B75569"/>
    <w:rsid w:val="00B76DC6"/>
    <w:rsid w:val="00B80627"/>
    <w:rsid w:val="00B81402"/>
    <w:rsid w:val="00B81796"/>
    <w:rsid w:val="00B8337D"/>
    <w:rsid w:val="00B85801"/>
    <w:rsid w:val="00B86B2C"/>
    <w:rsid w:val="00B87401"/>
    <w:rsid w:val="00B909C2"/>
    <w:rsid w:val="00B95065"/>
    <w:rsid w:val="00B96A19"/>
    <w:rsid w:val="00B97AB9"/>
    <w:rsid w:val="00BA0E24"/>
    <w:rsid w:val="00BA1F33"/>
    <w:rsid w:val="00BA1F40"/>
    <w:rsid w:val="00BA6441"/>
    <w:rsid w:val="00BB3A8A"/>
    <w:rsid w:val="00BB73E4"/>
    <w:rsid w:val="00BC0D91"/>
    <w:rsid w:val="00BC587C"/>
    <w:rsid w:val="00BD0552"/>
    <w:rsid w:val="00BD08BE"/>
    <w:rsid w:val="00BD2184"/>
    <w:rsid w:val="00BD3C2A"/>
    <w:rsid w:val="00BD3C99"/>
    <w:rsid w:val="00BD5CD3"/>
    <w:rsid w:val="00BD5F33"/>
    <w:rsid w:val="00BD6A3B"/>
    <w:rsid w:val="00BE1EC2"/>
    <w:rsid w:val="00BE256E"/>
    <w:rsid w:val="00BE2DD8"/>
    <w:rsid w:val="00BE372E"/>
    <w:rsid w:val="00BE678A"/>
    <w:rsid w:val="00BE6DA0"/>
    <w:rsid w:val="00BF09A5"/>
    <w:rsid w:val="00BF196E"/>
    <w:rsid w:val="00BF1A58"/>
    <w:rsid w:val="00BF2174"/>
    <w:rsid w:val="00BF28B5"/>
    <w:rsid w:val="00BF38B1"/>
    <w:rsid w:val="00BF393B"/>
    <w:rsid w:val="00BF5540"/>
    <w:rsid w:val="00BF6BE6"/>
    <w:rsid w:val="00BF6E88"/>
    <w:rsid w:val="00C00D88"/>
    <w:rsid w:val="00C00E28"/>
    <w:rsid w:val="00C023B4"/>
    <w:rsid w:val="00C0794E"/>
    <w:rsid w:val="00C1041B"/>
    <w:rsid w:val="00C104DC"/>
    <w:rsid w:val="00C123C8"/>
    <w:rsid w:val="00C12D5A"/>
    <w:rsid w:val="00C1389E"/>
    <w:rsid w:val="00C14D0F"/>
    <w:rsid w:val="00C160CE"/>
    <w:rsid w:val="00C164A4"/>
    <w:rsid w:val="00C203D9"/>
    <w:rsid w:val="00C20E98"/>
    <w:rsid w:val="00C21B0E"/>
    <w:rsid w:val="00C21C1A"/>
    <w:rsid w:val="00C22C6A"/>
    <w:rsid w:val="00C2307B"/>
    <w:rsid w:val="00C2465C"/>
    <w:rsid w:val="00C24965"/>
    <w:rsid w:val="00C24C17"/>
    <w:rsid w:val="00C26965"/>
    <w:rsid w:val="00C26C5F"/>
    <w:rsid w:val="00C31958"/>
    <w:rsid w:val="00C31B57"/>
    <w:rsid w:val="00C33194"/>
    <w:rsid w:val="00C36842"/>
    <w:rsid w:val="00C37DF4"/>
    <w:rsid w:val="00C40DBF"/>
    <w:rsid w:val="00C419AD"/>
    <w:rsid w:val="00C4264E"/>
    <w:rsid w:val="00C443FE"/>
    <w:rsid w:val="00C448A8"/>
    <w:rsid w:val="00C4500E"/>
    <w:rsid w:val="00C45760"/>
    <w:rsid w:val="00C46813"/>
    <w:rsid w:val="00C510AA"/>
    <w:rsid w:val="00C547C5"/>
    <w:rsid w:val="00C569BF"/>
    <w:rsid w:val="00C634EB"/>
    <w:rsid w:val="00C63ECD"/>
    <w:rsid w:val="00C645E2"/>
    <w:rsid w:val="00C65FF6"/>
    <w:rsid w:val="00C67082"/>
    <w:rsid w:val="00C71221"/>
    <w:rsid w:val="00C72068"/>
    <w:rsid w:val="00C73330"/>
    <w:rsid w:val="00C75846"/>
    <w:rsid w:val="00C8038C"/>
    <w:rsid w:val="00C807E3"/>
    <w:rsid w:val="00C80C84"/>
    <w:rsid w:val="00C8370F"/>
    <w:rsid w:val="00C83D91"/>
    <w:rsid w:val="00C85D3A"/>
    <w:rsid w:val="00C87624"/>
    <w:rsid w:val="00C92CF6"/>
    <w:rsid w:val="00CA041D"/>
    <w:rsid w:val="00CA2A61"/>
    <w:rsid w:val="00CA2CB8"/>
    <w:rsid w:val="00CA74E4"/>
    <w:rsid w:val="00CB08D8"/>
    <w:rsid w:val="00CB17A0"/>
    <w:rsid w:val="00CB3D59"/>
    <w:rsid w:val="00CB54A0"/>
    <w:rsid w:val="00CB54F9"/>
    <w:rsid w:val="00CB7A54"/>
    <w:rsid w:val="00CC0448"/>
    <w:rsid w:val="00CC184A"/>
    <w:rsid w:val="00CC3BB8"/>
    <w:rsid w:val="00CC3D5D"/>
    <w:rsid w:val="00CC4391"/>
    <w:rsid w:val="00CC498C"/>
    <w:rsid w:val="00CC6510"/>
    <w:rsid w:val="00CD0B7A"/>
    <w:rsid w:val="00CD0F07"/>
    <w:rsid w:val="00CD357F"/>
    <w:rsid w:val="00CD391C"/>
    <w:rsid w:val="00CD52C9"/>
    <w:rsid w:val="00CD58B9"/>
    <w:rsid w:val="00CD6613"/>
    <w:rsid w:val="00CE071E"/>
    <w:rsid w:val="00CE13D6"/>
    <w:rsid w:val="00CE28F9"/>
    <w:rsid w:val="00CE4194"/>
    <w:rsid w:val="00CE4A4A"/>
    <w:rsid w:val="00CE614B"/>
    <w:rsid w:val="00CE7069"/>
    <w:rsid w:val="00CF1A2A"/>
    <w:rsid w:val="00CF2202"/>
    <w:rsid w:val="00CF4484"/>
    <w:rsid w:val="00CF4ED6"/>
    <w:rsid w:val="00CF52C7"/>
    <w:rsid w:val="00CF5617"/>
    <w:rsid w:val="00CF6555"/>
    <w:rsid w:val="00CF6FFA"/>
    <w:rsid w:val="00CF7128"/>
    <w:rsid w:val="00CF7156"/>
    <w:rsid w:val="00D01697"/>
    <w:rsid w:val="00D01EF5"/>
    <w:rsid w:val="00D01F1B"/>
    <w:rsid w:val="00D024DF"/>
    <w:rsid w:val="00D03981"/>
    <w:rsid w:val="00D049AC"/>
    <w:rsid w:val="00D05D82"/>
    <w:rsid w:val="00D06BFD"/>
    <w:rsid w:val="00D0776C"/>
    <w:rsid w:val="00D10609"/>
    <w:rsid w:val="00D10E33"/>
    <w:rsid w:val="00D11B9F"/>
    <w:rsid w:val="00D11F1D"/>
    <w:rsid w:val="00D14603"/>
    <w:rsid w:val="00D1597E"/>
    <w:rsid w:val="00D172F9"/>
    <w:rsid w:val="00D2357F"/>
    <w:rsid w:val="00D2442B"/>
    <w:rsid w:val="00D2598B"/>
    <w:rsid w:val="00D259C4"/>
    <w:rsid w:val="00D2628D"/>
    <w:rsid w:val="00D264A8"/>
    <w:rsid w:val="00D27262"/>
    <w:rsid w:val="00D274D2"/>
    <w:rsid w:val="00D27C22"/>
    <w:rsid w:val="00D31FE0"/>
    <w:rsid w:val="00D339FC"/>
    <w:rsid w:val="00D345FC"/>
    <w:rsid w:val="00D3489A"/>
    <w:rsid w:val="00D34E5E"/>
    <w:rsid w:val="00D35D15"/>
    <w:rsid w:val="00D36384"/>
    <w:rsid w:val="00D3767F"/>
    <w:rsid w:val="00D40451"/>
    <w:rsid w:val="00D4089B"/>
    <w:rsid w:val="00D44B3C"/>
    <w:rsid w:val="00D4725D"/>
    <w:rsid w:val="00D47483"/>
    <w:rsid w:val="00D47CA2"/>
    <w:rsid w:val="00D50DF1"/>
    <w:rsid w:val="00D529E9"/>
    <w:rsid w:val="00D5470C"/>
    <w:rsid w:val="00D547B4"/>
    <w:rsid w:val="00D56366"/>
    <w:rsid w:val="00D60497"/>
    <w:rsid w:val="00D60527"/>
    <w:rsid w:val="00D61C26"/>
    <w:rsid w:val="00D63BA6"/>
    <w:rsid w:val="00D64D85"/>
    <w:rsid w:val="00D66BA0"/>
    <w:rsid w:val="00D7179B"/>
    <w:rsid w:val="00D720CE"/>
    <w:rsid w:val="00D72714"/>
    <w:rsid w:val="00D75434"/>
    <w:rsid w:val="00D75CAB"/>
    <w:rsid w:val="00D76B3F"/>
    <w:rsid w:val="00D800F8"/>
    <w:rsid w:val="00D80638"/>
    <w:rsid w:val="00D82538"/>
    <w:rsid w:val="00D83090"/>
    <w:rsid w:val="00D8474F"/>
    <w:rsid w:val="00D85DA5"/>
    <w:rsid w:val="00D87F7B"/>
    <w:rsid w:val="00D87F9F"/>
    <w:rsid w:val="00D91301"/>
    <w:rsid w:val="00D91614"/>
    <w:rsid w:val="00D935B5"/>
    <w:rsid w:val="00D93977"/>
    <w:rsid w:val="00D940BC"/>
    <w:rsid w:val="00D94756"/>
    <w:rsid w:val="00D9571F"/>
    <w:rsid w:val="00D967F5"/>
    <w:rsid w:val="00D9741D"/>
    <w:rsid w:val="00DA1F96"/>
    <w:rsid w:val="00DA576F"/>
    <w:rsid w:val="00DA5DD0"/>
    <w:rsid w:val="00DB002A"/>
    <w:rsid w:val="00DB075C"/>
    <w:rsid w:val="00DB1C26"/>
    <w:rsid w:val="00DB41F5"/>
    <w:rsid w:val="00DB57F2"/>
    <w:rsid w:val="00DB5A2E"/>
    <w:rsid w:val="00DB5EAD"/>
    <w:rsid w:val="00DB6E47"/>
    <w:rsid w:val="00DC1960"/>
    <w:rsid w:val="00DC203E"/>
    <w:rsid w:val="00DC20FD"/>
    <w:rsid w:val="00DC6858"/>
    <w:rsid w:val="00DC6CDE"/>
    <w:rsid w:val="00DC7A31"/>
    <w:rsid w:val="00DC7C9D"/>
    <w:rsid w:val="00DD0C13"/>
    <w:rsid w:val="00DD1556"/>
    <w:rsid w:val="00DD7BA5"/>
    <w:rsid w:val="00DE0CB6"/>
    <w:rsid w:val="00DE133C"/>
    <w:rsid w:val="00DE13BA"/>
    <w:rsid w:val="00DE283E"/>
    <w:rsid w:val="00DE2868"/>
    <w:rsid w:val="00DE2A2F"/>
    <w:rsid w:val="00DE30B3"/>
    <w:rsid w:val="00DE7640"/>
    <w:rsid w:val="00DF1558"/>
    <w:rsid w:val="00DF3A6A"/>
    <w:rsid w:val="00DF64F0"/>
    <w:rsid w:val="00DF72CC"/>
    <w:rsid w:val="00DF7477"/>
    <w:rsid w:val="00DF756C"/>
    <w:rsid w:val="00E03879"/>
    <w:rsid w:val="00E06F58"/>
    <w:rsid w:val="00E07614"/>
    <w:rsid w:val="00E108BD"/>
    <w:rsid w:val="00E10D6F"/>
    <w:rsid w:val="00E1237E"/>
    <w:rsid w:val="00E138A0"/>
    <w:rsid w:val="00E13952"/>
    <w:rsid w:val="00E141A7"/>
    <w:rsid w:val="00E15744"/>
    <w:rsid w:val="00E15AA6"/>
    <w:rsid w:val="00E17378"/>
    <w:rsid w:val="00E2262C"/>
    <w:rsid w:val="00E2365B"/>
    <w:rsid w:val="00E25177"/>
    <w:rsid w:val="00E2537D"/>
    <w:rsid w:val="00E255DB"/>
    <w:rsid w:val="00E26960"/>
    <w:rsid w:val="00E30060"/>
    <w:rsid w:val="00E3093B"/>
    <w:rsid w:val="00E31CF7"/>
    <w:rsid w:val="00E32363"/>
    <w:rsid w:val="00E337DD"/>
    <w:rsid w:val="00E34973"/>
    <w:rsid w:val="00E34F83"/>
    <w:rsid w:val="00E351E6"/>
    <w:rsid w:val="00E3532B"/>
    <w:rsid w:val="00E367A6"/>
    <w:rsid w:val="00E3724B"/>
    <w:rsid w:val="00E3731A"/>
    <w:rsid w:val="00E374CE"/>
    <w:rsid w:val="00E37D83"/>
    <w:rsid w:val="00E40240"/>
    <w:rsid w:val="00E40647"/>
    <w:rsid w:val="00E4068A"/>
    <w:rsid w:val="00E412FA"/>
    <w:rsid w:val="00E4281A"/>
    <w:rsid w:val="00E43165"/>
    <w:rsid w:val="00E44164"/>
    <w:rsid w:val="00E45000"/>
    <w:rsid w:val="00E45303"/>
    <w:rsid w:val="00E45C16"/>
    <w:rsid w:val="00E4695F"/>
    <w:rsid w:val="00E4774A"/>
    <w:rsid w:val="00E47BBE"/>
    <w:rsid w:val="00E511AF"/>
    <w:rsid w:val="00E51EDE"/>
    <w:rsid w:val="00E539D0"/>
    <w:rsid w:val="00E53AC6"/>
    <w:rsid w:val="00E5522F"/>
    <w:rsid w:val="00E55FC4"/>
    <w:rsid w:val="00E56847"/>
    <w:rsid w:val="00E576DF"/>
    <w:rsid w:val="00E61881"/>
    <w:rsid w:val="00E64E23"/>
    <w:rsid w:val="00E65DC1"/>
    <w:rsid w:val="00E72B98"/>
    <w:rsid w:val="00E72D70"/>
    <w:rsid w:val="00E7379C"/>
    <w:rsid w:val="00E740FE"/>
    <w:rsid w:val="00E757FE"/>
    <w:rsid w:val="00E77711"/>
    <w:rsid w:val="00E82576"/>
    <w:rsid w:val="00E855B0"/>
    <w:rsid w:val="00E864A0"/>
    <w:rsid w:val="00E864B3"/>
    <w:rsid w:val="00E86AE5"/>
    <w:rsid w:val="00E870A3"/>
    <w:rsid w:val="00E871A7"/>
    <w:rsid w:val="00E8756B"/>
    <w:rsid w:val="00E91FAE"/>
    <w:rsid w:val="00E93189"/>
    <w:rsid w:val="00E946C8"/>
    <w:rsid w:val="00E9582B"/>
    <w:rsid w:val="00E95AAE"/>
    <w:rsid w:val="00EA0145"/>
    <w:rsid w:val="00EA07E6"/>
    <w:rsid w:val="00EA247D"/>
    <w:rsid w:val="00EA2CFC"/>
    <w:rsid w:val="00EA31AB"/>
    <w:rsid w:val="00EA3A24"/>
    <w:rsid w:val="00EA523E"/>
    <w:rsid w:val="00EA663C"/>
    <w:rsid w:val="00EA7548"/>
    <w:rsid w:val="00EA7DF4"/>
    <w:rsid w:val="00EB1E51"/>
    <w:rsid w:val="00EB23EE"/>
    <w:rsid w:val="00EB3595"/>
    <w:rsid w:val="00EB3E7A"/>
    <w:rsid w:val="00EB41BE"/>
    <w:rsid w:val="00EB5052"/>
    <w:rsid w:val="00EB7C3E"/>
    <w:rsid w:val="00EC0C19"/>
    <w:rsid w:val="00EC0FC7"/>
    <w:rsid w:val="00EC125A"/>
    <w:rsid w:val="00EC4440"/>
    <w:rsid w:val="00EC4B45"/>
    <w:rsid w:val="00EC55D4"/>
    <w:rsid w:val="00EC6DA9"/>
    <w:rsid w:val="00EC7559"/>
    <w:rsid w:val="00EC7744"/>
    <w:rsid w:val="00ED0D9D"/>
    <w:rsid w:val="00ED1488"/>
    <w:rsid w:val="00ED3E46"/>
    <w:rsid w:val="00ED4D1E"/>
    <w:rsid w:val="00ED622F"/>
    <w:rsid w:val="00ED6A7E"/>
    <w:rsid w:val="00ED79CC"/>
    <w:rsid w:val="00ED7CC8"/>
    <w:rsid w:val="00EE03B5"/>
    <w:rsid w:val="00EE0D78"/>
    <w:rsid w:val="00EE146E"/>
    <w:rsid w:val="00EE2BFD"/>
    <w:rsid w:val="00EE3F30"/>
    <w:rsid w:val="00EE4118"/>
    <w:rsid w:val="00EE4F2A"/>
    <w:rsid w:val="00EE6C20"/>
    <w:rsid w:val="00EE6C3F"/>
    <w:rsid w:val="00EE750F"/>
    <w:rsid w:val="00EE7612"/>
    <w:rsid w:val="00EF1A1C"/>
    <w:rsid w:val="00EF37EA"/>
    <w:rsid w:val="00EF38F1"/>
    <w:rsid w:val="00EF60BE"/>
    <w:rsid w:val="00EF7DDF"/>
    <w:rsid w:val="00F028D9"/>
    <w:rsid w:val="00F0654A"/>
    <w:rsid w:val="00F07A6C"/>
    <w:rsid w:val="00F11D5C"/>
    <w:rsid w:val="00F1277E"/>
    <w:rsid w:val="00F142EE"/>
    <w:rsid w:val="00F15B2A"/>
    <w:rsid w:val="00F15F63"/>
    <w:rsid w:val="00F164C6"/>
    <w:rsid w:val="00F166AA"/>
    <w:rsid w:val="00F16926"/>
    <w:rsid w:val="00F20A2A"/>
    <w:rsid w:val="00F2189E"/>
    <w:rsid w:val="00F21BD7"/>
    <w:rsid w:val="00F223A6"/>
    <w:rsid w:val="00F22F2C"/>
    <w:rsid w:val="00F233E0"/>
    <w:rsid w:val="00F24BB1"/>
    <w:rsid w:val="00F25D87"/>
    <w:rsid w:val="00F300B9"/>
    <w:rsid w:val="00F30430"/>
    <w:rsid w:val="00F30A56"/>
    <w:rsid w:val="00F31260"/>
    <w:rsid w:val="00F31BE5"/>
    <w:rsid w:val="00F3269D"/>
    <w:rsid w:val="00F343DC"/>
    <w:rsid w:val="00F3574B"/>
    <w:rsid w:val="00F35D25"/>
    <w:rsid w:val="00F368E0"/>
    <w:rsid w:val="00F41089"/>
    <w:rsid w:val="00F425DD"/>
    <w:rsid w:val="00F433E2"/>
    <w:rsid w:val="00F445FB"/>
    <w:rsid w:val="00F4481C"/>
    <w:rsid w:val="00F452A1"/>
    <w:rsid w:val="00F45507"/>
    <w:rsid w:val="00F511F2"/>
    <w:rsid w:val="00F53410"/>
    <w:rsid w:val="00F55490"/>
    <w:rsid w:val="00F56279"/>
    <w:rsid w:val="00F573C7"/>
    <w:rsid w:val="00F613BC"/>
    <w:rsid w:val="00F61994"/>
    <w:rsid w:val="00F70573"/>
    <w:rsid w:val="00F7089D"/>
    <w:rsid w:val="00F71B14"/>
    <w:rsid w:val="00F7243D"/>
    <w:rsid w:val="00F727EC"/>
    <w:rsid w:val="00F72F29"/>
    <w:rsid w:val="00F739C5"/>
    <w:rsid w:val="00F73E53"/>
    <w:rsid w:val="00F74226"/>
    <w:rsid w:val="00F754F1"/>
    <w:rsid w:val="00F7579D"/>
    <w:rsid w:val="00F77FD4"/>
    <w:rsid w:val="00F82892"/>
    <w:rsid w:val="00F82AA6"/>
    <w:rsid w:val="00F847D2"/>
    <w:rsid w:val="00F848EE"/>
    <w:rsid w:val="00F868FE"/>
    <w:rsid w:val="00F86D7A"/>
    <w:rsid w:val="00F90977"/>
    <w:rsid w:val="00F91F10"/>
    <w:rsid w:val="00F93A46"/>
    <w:rsid w:val="00F94088"/>
    <w:rsid w:val="00F9586B"/>
    <w:rsid w:val="00F97202"/>
    <w:rsid w:val="00F97467"/>
    <w:rsid w:val="00F978A3"/>
    <w:rsid w:val="00FA1178"/>
    <w:rsid w:val="00FA2913"/>
    <w:rsid w:val="00FA3B74"/>
    <w:rsid w:val="00FA3C32"/>
    <w:rsid w:val="00FA6A61"/>
    <w:rsid w:val="00FA6F2B"/>
    <w:rsid w:val="00FA741F"/>
    <w:rsid w:val="00FA7F8F"/>
    <w:rsid w:val="00FB0A49"/>
    <w:rsid w:val="00FB12A2"/>
    <w:rsid w:val="00FB165B"/>
    <w:rsid w:val="00FB2F19"/>
    <w:rsid w:val="00FB5F11"/>
    <w:rsid w:val="00FB6443"/>
    <w:rsid w:val="00FB78ED"/>
    <w:rsid w:val="00FC0EFF"/>
    <w:rsid w:val="00FC2E0B"/>
    <w:rsid w:val="00FC35BA"/>
    <w:rsid w:val="00FC37D2"/>
    <w:rsid w:val="00FC4B10"/>
    <w:rsid w:val="00FD1653"/>
    <w:rsid w:val="00FD2D65"/>
    <w:rsid w:val="00FD3A81"/>
    <w:rsid w:val="00FD40D5"/>
    <w:rsid w:val="00FD69EA"/>
    <w:rsid w:val="00FD6B35"/>
    <w:rsid w:val="00FE2711"/>
    <w:rsid w:val="00FE2D3C"/>
    <w:rsid w:val="00FE304D"/>
    <w:rsid w:val="00FE30B7"/>
    <w:rsid w:val="00FE42AA"/>
    <w:rsid w:val="00FE4A99"/>
    <w:rsid w:val="00FE63B4"/>
    <w:rsid w:val="00FF0E5C"/>
    <w:rsid w:val="00FF160A"/>
    <w:rsid w:val="00FF26EB"/>
    <w:rsid w:val="00FF2A35"/>
    <w:rsid w:val="00FF4934"/>
    <w:rsid w:val="00FF4DFC"/>
    <w:rsid w:val="00FF67B1"/>
    <w:rsid w:val="00FF71CB"/>
    <w:rsid w:val="00FF7C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2BF5BE75"/>
  <w15:docId w15:val="{23CB6CA6-C060-48CA-A905-FD7DB8DF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C8B"/>
    <w:rPr>
      <w:sz w:val="24"/>
      <w:lang w:eastAsia="en-US"/>
    </w:rPr>
  </w:style>
  <w:style w:type="paragraph" w:styleId="Heading1">
    <w:name w:val="heading 1"/>
    <w:basedOn w:val="Normal"/>
    <w:next w:val="Normal"/>
    <w:link w:val="Heading1Char"/>
    <w:qFormat/>
    <w:rsid w:val="000E1C8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0E1C8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Normal"/>
    <w:link w:val="Heading3Char"/>
    <w:qFormat/>
    <w:rsid w:val="00020777"/>
    <w:pPr>
      <w:keepNext/>
      <w:numPr>
        <w:ilvl w:val="2"/>
        <w:numId w:val="1"/>
      </w:numPr>
      <w:spacing w:before="240" w:after="60"/>
      <w:outlineLvl w:val="2"/>
    </w:pPr>
    <w:rPr>
      <w:rFonts w:ascii="Arial" w:hAnsi="Arial"/>
    </w:rPr>
  </w:style>
  <w:style w:type="paragraph" w:styleId="Heading4">
    <w:name w:val="heading 4"/>
    <w:basedOn w:val="Normal"/>
    <w:next w:val="Normal"/>
    <w:link w:val="Heading4Char"/>
    <w:qFormat/>
    <w:rsid w:val="000E1C8B"/>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020777"/>
    <w:pPr>
      <w:numPr>
        <w:ilvl w:val="4"/>
        <w:numId w:val="1"/>
      </w:numPr>
      <w:spacing w:before="240" w:after="60"/>
      <w:outlineLvl w:val="4"/>
    </w:pPr>
    <w:rPr>
      <w:sz w:val="22"/>
    </w:rPr>
  </w:style>
  <w:style w:type="paragraph" w:styleId="Heading6">
    <w:name w:val="heading 6"/>
    <w:basedOn w:val="Normal"/>
    <w:next w:val="Normal"/>
    <w:link w:val="Heading6Char"/>
    <w:qFormat/>
    <w:rsid w:val="00020777"/>
    <w:pPr>
      <w:numPr>
        <w:ilvl w:val="5"/>
        <w:numId w:val="1"/>
      </w:numPr>
      <w:spacing w:before="240" w:after="60"/>
      <w:outlineLvl w:val="5"/>
    </w:pPr>
    <w:rPr>
      <w:i/>
      <w:sz w:val="22"/>
    </w:rPr>
  </w:style>
  <w:style w:type="paragraph" w:styleId="Heading7">
    <w:name w:val="heading 7"/>
    <w:basedOn w:val="Normal"/>
    <w:next w:val="Normal"/>
    <w:link w:val="Heading7Char"/>
    <w:qFormat/>
    <w:rsid w:val="00020777"/>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020777"/>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02077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5CA"/>
    <w:rPr>
      <w:rFonts w:asciiTheme="majorHAnsi" w:eastAsiaTheme="majorEastAsia" w:hAnsiTheme="majorHAnsi" w:cstheme="majorBidi"/>
      <w:b/>
      <w:bCs/>
      <w:kern w:val="32"/>
      <w:sz w:val="32"/>
      <w:szCs w:val="32"/>
      <w:lang w:eastAsia="en-US"/>
    </w:rPr>
  </w:style>
  <w:style w:type="character" w:customStyle="1" w:styleId="Heading2Char">
    <w:name w:val="Heading 2 Char"/>
    <w:aliases w:val="H2 Char,h2 Char"/>
    <w:basedOn w:val="DefaultParagraphFont"/>
    <w:link w:val="Heading2"/>
    <w:rsid w:val="000D35CA"/>
    <w:rPr>
      <w:rFonts w:asciiTheme="majorHAnsi" w:eastAsiaTheme="majorEastAsia" w:hAnsiTheme="majorHAnsi" w:cstheme="majorBidi"/>
      <w:b/>
      <w:bCs/>
      <w:i/>
      <w:iCs/>
      <w:sz w:val="28"/>
      <w:szCs w:val="28"/>
      <w:lang w:eastAsia="en-US"/>
    </w:rPr>
  </w:style>
  <w:style w:type="character" w:customStyle="1" w:styleId="Heading3Char">
    <w:name w:val="Heading 3 Char"/>
    <w:aliases w:val="h3 Char,sec Char"/>
    <w:basedOn w:val="DefaultParagraphFont"/>
    <w:link w:val="Heading3"/>
    <w:locked/>
    <w:rsid w:val="00020777"/>
    <w:rPr>
      <w:rFonts w:ascii="Arial" w:hAnsi="Arial" w:cs="Times New Roman"/>
      <w:sz w:val="24"/>
      <w:lang w:eastAsia="en-US"/>
    </w:rPr>
  </w:style>
  <w:style w:type="character" w:customStyle="1" w:styleId="Heading4Char">
    <w:name w:val="Heading 4 Char"/>
    <w:basedOn w:val="DefaultParagraphFont"/>
    <w:link w:val="Heading4"/>
    <w:rsid w:val="000D35CA"/>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locked/>
    <w:rsid w:val="00020777"/>
    <w:rPr>
      <w:rFonts w:cs="Times New Roman"/>
      <w:sz w:val="22"/>
      <w:lang w:eastAsia="en-US"/>
    </w:rPr>
  </w:style>
  <w:style w:type="character" w:customStyle="1" w:styleId="Heading6Char">
    <w:name w:val="Heading 6 Char"/>
    <w:basedOn w:val="DefaultParagraphFont"/>
    <w:link w:val="Heading6"/>
    <w:locked/>
    <w:rsid w:val="00020777"/>
    <w:rPr>
      <w:rFonts w:cs="Times New Roman"/>
      <w:i/>
      <w:sz w:val="22"/>
      <w:lang w:eastAsia="en-US"/>
    </w:rPr>
  </w:style>
  <w:style w:type="character" w:customStyle="1" w:styleId="Heading7Char">
    <w:name w:val="Heading 7 Char"/>
    <w:basedOn w:val="DefaultParagraphFont"/>
    <w:link w:val="Heading7"/>
    <w:locked/>
    <w:rsid w:val="00020777"/>
    <w:rPr>
      <w:rFonts w:ascii="Arial" w:hAnsi="Arial" w:cs="Times New Roman"/>
      <w:lang w:eastAsia="en-US"/>
    </w:rPr>
  </w:style>
  <w:style w:type="character" w:customStyle="1" w:styleId="Heading8Char">
    <w:name w:val="Heading 8 Char"/>
    <w:basedOn w:val="DefaultParagraphFont"/>
    <w:link w:val="Heading8"/>
    <w:locked/>
    <w:rsid w:val="00020777"/>
    <w:rPr>
      <w:rFonts w:ascii="Arial" w:hAnsi="Arial" w:cs="Times New Roman"/>
      <w:i/>
      <w:lang w:eastAsia="en-US"/>
    </w:rPr>
  </w:style>
  <w:style w:type="character" w:customStyle="1" w:styleId="Heading9Char">
    <w:name w:val="Heading 9 Char"/>
    <w:basedOn w:val="DefaultParagraphFont"/>
    <w:link w:val="Heading9"/>
    <w:locked/>
    <w:rsid w:val="00020777"/>
    <w:rPr>
      <w:rFonts w:ascii="Arial" w:hAnsi="Arial" w:cs="Times New Roman"/>
      <w:b/>
      <w:i/>
      <w:sz w:val="18"/>
      <w:lang w:eastAsia="en-US"/>
    </w:rPr>
  </w:style>
  <w:style w:type="paragraph" w:customStyle="1" w:styleId="00ClientCover">
    <w:name w:val="00ClientCover"/>
    <w:basedOn w:val="Normal"/>
    <w:rsid w:val="000E1C8B"/>
  </w:style>
  <w:style w:type="paragraph" w:customStyle="1" w:styleId="00SigningPage">
    <w:name w:val="00SigningPage"/>
    <w:basedOn w:val="Normal"/>
    <w:rsid w:val="000E1C8B"/>
  </w:style>
  <w:style w:type="paragraph" w:styleId="TOC1">
    <w:name w:val="toc 1"/>
    <w:basedOn w:val="Normal"/>
    <w:next w:val="Normal"/>
    <w:autoRedefine/>
    <w:uiPriority w:val="39"/>
    <w:qFormat/>
    <w:rsid w:val="000E1C8B"/>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qFormat/>
    <w:rsid w:val="000E1C8B"/>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0E1C8B"/>
  </w:style>
  <w:style w:type="paragraph" w:customStyle="1" w:styleId="01Contents">
    <w:name w:val="01Contents"/>
    <w:basedOn w:val="Normal"/>
    <w:rsid w:val="000E1C8B"/>
  </w:style>
  <w:style w:type="paragraph" w:customStyle="1" w:styleId="02TextLandscape">
    <w:name w:val="02TextLandscape"/>
    <w:basedOn w:val="Normal"/>
    <w:rsid w:val="000E1C8B"/>
  </w:style>
  <w:style w:type="paragraph" w:customStyle="1" w:styleId="03Schedule">
    <w:name w:val="03Schedule"/>
    <w:basedOn w:val="Normal"/>
    <w:rsid w:val="000E1C8B"/>
  </w:style>
  <w:style w:type="paragraph" w:customStyle="1" w:styleId="03ScheduleLandscape">
    <w:name w:val="03ScheduleLandscape"/>
    <w:basedOn w:val="Normal"/>
    <w:rsid w:val="000E1C8B"/>
  </w:style>
  <w:style w:type="paragraph" w:customStyle="1" w:styleId="04Dictionary">
    <w:name w:val="04Dictionary"/>
    <w:basedOn w:val="Normal"/>
    <w:rsid w:val="000E1C8B"/>
  </w:style>
  <w:style w:type="paragraph" w:customStyle="1" w:styleId="05Endnote">
    <w:name w:val="05Endnote"/>
    <w:basedOn w:val="Normal"/>
    <w:rsid w:val="000E1C8B"/>
  </w:style>
  <w:style w:type="paragraph" w:customStyle="1" w:styleId="06Copyright">
    <w:name w:val="06Copyright"/>
    <w:basedOn w:val="Normal"/>
    <w:rsid w:val="000E1C8B"/>
  </w:style>
  <w:style w:type="paragraph" w:customStyle="1" w:styleId="BillBasic">
    <w:name w:val="BillBasic"/>
    <w:rsid w:val="000E1C8B"/>
    <w:pPr>
      <w:spacing w:before="140"/>
      <w:jc w:val="both"/>
    </w:pPr>
    <w:rPr>
      <w:sz w:val="24"/>
      <w:lang w:eastAsia="en-US"/>
    </w:rPr>
  </w:style>
  <w:style w:type="paragraph" w:customStyle="1" w:styleId="BillBasicHeading">
    <w:name w:val="BillBasicHeading"/>
    <w:basedOn w:val="BillBasic"/>
    <w:rsid w:val="000E1C8B"/>
    <w:pPr>
      <w:keepNext/>
      <w:tabs>
        <w:tab w:val="left" w:pos="2600"/>
      </w:tabs>
      <w:jc w:val="left"/>
    </w:pPr>
    <w:rPr>
      <w:rFonts w:ascii="Arial" w:hAnsi="Arial"/>
      <w:b/>
    </w:rPr>
  </w:style>
  <w:style w:type="paragraph" w:customStyle="1" w:styleId="Amain">
    <w:name w:val="A main"/>
    <w:basedOn w:val="BillBasic"/>
    <w:rsid w:val="000E1C8B"/>
    <w:pPr>
      <w:tabs>
        <w:tab w:val="right" w:pos="900"/>
        <w:tab w:val="left" w:pos="1100"/>
      </w:tabs>
      <w:ind w:left="1100" w:hanging="1100"/>
      <w:outlineLvl w:val="5"/>
    </w:pPr>
  </w:style>
  <w:style w:type="paragraph" w:customStyle="1" w:styleId="AH5Sec">
    <w:name w:val="A H5 Sec"/>
    <w:basedOn w:val="BillBasicHeading"/>
    <w:next w:val="Amain"/>
    <w:rsid w:val="000E1C8B"/>
    <w:pPr>
      <w:tabs>
        <w:tab w:val="clear" w:pos="2600"/>
        <w:tab w:val="left" w:pos="1100"/>
      </w:tabs>
      <w:spacing w:before="240"/>
      <w:ind w:left="1100" w:hanging="1100"/>
      <w:outlineLvl w:val="4"/>
    </w:pPr>
  </w:style>
  <w:style w:type="paragraph" w:customStyle="1" w:styleId="N-9pt">
    <w:name w:val="N-9pt"/>
    <w:basedOn w:val="BillBasic"/>
    <w:next w:val="BillBasic"/>
    <w:rsid w:val="000E1C8B"/>
    <w:pPr>
      <w:keepNext/>
      <w:tabs>
        <w:tab w:val="right" w:pos="7707"/>
      </w:tabs>
      <w:spacing w:before="120"/>
    </w:pPr>
    <w:rPr>
      <w:rFonts w:ascii="Arial" w:hAnsi="Arial"/>
      <w:sz w:val="18"/>
    </w:rPr>
  </w:style>
  <w:style w:type="paragraph" w:customStyle="1" w:styleId="AH4SubDiv">
    <w:name w:val="A H4 SubDiv"/>
    <w:basedOn w:val="BillBasicHeading"/>
    <w:next w:val="AH5Sec"/>
    <w:rsid w:val="000E1C8B"/>
    <w:pPr>
      <w:spacing w:before="240"/>
      <w:ind w:left="2600" w:hanging="2600"/>
      <w:outlineLvl w:val="3"/>
    </w:pPr>
    <w:rPr>
      <w:sz w:val="26"/>
    </w:rPr>
  </w:style>
  <w:style w:type="paragraph" w:customStyle="1" w:styleId="Billname">
    <w:name w:val="Billname"/>
    <w:basedOn w:val="Normal"/>
    <w:rsid w:val="000E1C8B"/>
    <w:pPr>
      <w:spacing w:before="1220"/>
    </w:pPr>
    <w:rPr>
      <w:rFonts w:ascii="Arial" w:hAnsi="Arial"/>
      <w:b/>
      <w:sz w:val="40"/>
    </w:rPr>
  </w:style>
  <w:style w:type="paragraph" w:customStyle="1" w:styleId="RepubNo">
    <w:name w:val="RepubNo"/>
    <w:basedOn w:val="BillBasicHeading"/>
    <w:rsid w:val="000E1C8B"/>
    <w:pPr>
      <w:keepNext w:val="0"/>
      <w:spacing w:before="600"/>
      <w:jc w:val="both"/>
    </w:pPr>
    <w:rPr>
      <w:sz w:val="26"/>
    </w:rPr>
  </w:style>
  <w:style w:type="paragraph" w:customStyle="1" w:styleId="EffectiveDate">
    <w:name w:val="EffectiveDate"/>
    <w:basedOn w:val="Normal"/>
    <w:rsid w:val="000E1C8B"/>
    <w:pPr>
      <w:spacing w:before="120"/>
    </w:pPr>
    <w:rPr>
      <w:rFonts w:ascii="Arial" w:hAnsi="Arial"/>
      <w:b/>
      <w:sz w:val="26"/>
    </w:rPr>
  </w:style>
  <w:style w:type="paragraph" w:customStyle="1" w:styleId="AH3Div">
    <w:name w:val="A H3 Div"/>
    <w:basedOn w:val="BillBasicHeading"/>
    <w:next w:val="AH5Sec"/>
    <w:rsid w:val="000E1C8B"/>
    <w:pPr>
      <w:spacing w:before="240"/>
      <w:ind w:left="2600" w:hanging="2600"/>
      <w:outlineLvl w:val="2"/>
    </w:pPr>
    <w:rPr>
      <w:sz w:val="28"/>
    </w:rPr>
  </w:style>
  <w:style w:type="paragraph" w:customStyle="1" w:styleId="CoverInForce">
    <w:name w:val="CoverInForce"/>
    <w:basedOn w:val="BillBasicHeading"/>
    <w:rsid w:val="000E1C8B"/>
    <w:pPr>
      <w:keepNext w:val="0"/>
      <w:spacing w:before="400"/>
    </w:pPr>
    <w:rPr>
      <w:b w:val="0"/>
    </w:rPr>
  </w:style>
  <w:style w:type="paragraph" w:customStyle="1" w:styleId="CoverHeading">
    <w:name w:val="CoverHeading"/>
    <w:basedOn w:val="Normal"/>
    <w:rsid w:val="000E1C8B"/>
    <w:rPr>
      <w:rFonts w:ascii="Arial" w:hAnsi="Arial"/>
      <w:b/>
    </w:rPr>
  </w:style>
  <w:style w:type="paragraph" w:customStyle="1" w:styleId="CoverSubHdg">
    <w:name w:val="CoverSubHdg"/>
    <w:basedOn w:val="CoverHeading"/>
    <w:rsid w:val="000E1C8B"/>
    <w:pPr>
      <w:spacing w:before="120"/>
    </w:pPr>
    <w:rPr>
      <w:sz w:val="20"/>
    </w:rPr>
  </w:style>
  <w:style w:type="paragraph" w:customStyle="1" w:styleId="CoverActName">
    <w:name w:val="CoverActName"/>
    <w:basedOn w:val="BillBasicHeading"/>
    <w:rsid w:val="000E1C8B"/>
    <w:pPr>
      <w:keepNext w:val="0"/>
      <w:spacing w:before="260"/>
    </w:pPr>
  </w:style>
  <w:style w:type="paragraph" w:customStyle="1" w:styleId="CoverText">
    <w:name w:val="CoverText"/>
    <w:basedOn w:val="Normal"/>
    <w:uiPriority w:val="99"/>
    <w:rsid w:val="000E1C8B"/>
    <w:pPr>
      <w:spacing w:before="100"/>
      <w:jc w:val="both"/>
    </w:pPr>
    <w:rPr>
      <w:sz w:val="20"/>
    </w:rPr>
  </w:style>
  <w:style w:type="paragraph" w:customStyle="1" w:styleId="CoverTextPara">
    <w:name w:val="CoverTextPara"/>
    <w:basedOn w:val="CoverText"/>
    <w:rsid w:val="000E1C8B"/>
    <w:pPr>
      <w:tabs>
        <w:tab w:val="right" w:pos="600"/>
        <w:tab w:val="left" w:pos="840"/>
      </w:tabs>
      <w:ind w:left="840" w:hanging="840"/>
    </w:pPr>
  </w:style>
  <w:style w:type="paragraph" w:customStyle="1" w:styleId="AH2Part">
    <w:name w:val="A H2 Part"/>
    <w:basedOn w:val="BillBasicHeading"/>
    <w:next w:val="AH3Div"/>
    <w:rsid w:val="000E1C8B"/>
    <w:pPr>
      <w:spacing w:before="380"/>
      <w:ind w:left="2600" w:hanging="2600"/>
      <w:outlineLvl w:val="1"/>
    </w:pPr>
    <w:rPr>
      <w:sz w:val="32"/>
    </w:rPr>
  </w:style>
  <w:style w:type="paragraph" w:customStyle="1" w:styleId="AH1Chapter">
    <w:name w:val="A H1 Chapter"/>
    <w:basedOn w:val="BillBasicHeading"/>
    <w:next w:val="AH2Part"/>
    <w:rsid w:val="000E1C8B"/>
    <w:pPr>
      <w:spacing w:before="320"/>
      <w:ind w:left="2600" w:hanging="2600"/>
      <w:outlineLvl w:val="0"/>
    </w:pPr>
    <w:rPr>
      <w:sz w:val="34"/>
    </w:rPr>
  </w:style>
  <w:style w:type="paragraph" w:customStyle="1" w:styleId="AH1ChapterSymb">
    <w:name w:val="A H1 Chapter Symb"/>
    <w:basedOn w:val="AH1Chapter"/>
    <w:next w:val="AH2Part"/>
    <w:rsid w:val="000E1C8B"/>
    <w:pPr>
      <w:tabs>
        <w:tab w:val="clear" w:pos="2600"/>
        <w:tab w:val="left" w:pos="0"/>
      </w:tabs>
      <w:ind w:left="2480" w:hanging="2960"/>
    </w:pPr>
  </w:style>
  <w:style w:type="paragraph" w:customStyle="1" w:styleId="ActNo">
    <w:name w:val="ActNo"/>
    <w:basedOn w:val="BillBasicHeading"/>
    <w:rsid w:val="000E1C8B"/>
    <w:pPr>
      <w:keepNext w:val="0"/>
      <w:tabs>
        <w:tab w:val="clear" w:pos="2600"/>
      </w:tabs>
      <w:spacing w:before="220"/>
    </w:pPr>
  </w:style>
  <w:style w:type="paragraph" w:customStyle="1" w:styleId="Placeholder">
    <w:name w:val="Placeholder"/>
    <w:basedOn w:val="Normal"/>
    <w:rsid w:val="000E1C8B"/>
    <w:rPr>
      <w:sz w:val="10"/>
    </w:rPr>
  </w:style>
  <w:style w:type="paragraph" w:customStyle="1" w:styleId="N-TOCheading">
    <w:name w:val="N-TOCheading"/>
    <w:basedOn w:val="BillBasicHeading"/>
    <w:next w:val="N-9pt"/>
    <w:rsid w:val="000E1C8B"/>
    <w:pPr>
      <w:pBdr>
        <w:bottom w:val="single" w:sz="4" w:space="1" w:color="auto"/>
      </w:pBdr>
      <w:spacing w:before="800"/>
    </w:pPr>
    <w:rPr>
      <w:sz w:val="32"/>
    </w:rPr>
  </w:style>
  <w:style w:type="paragraph" w:customStyle="1" w:styleId="N-line3">
    <w:name w:val="N-line3"/>
    <w:basedOn w:val="BillBasic"/>
    <w:next w:val="BillBasic"/>
    <w:rsid w:val="000E1C8B"/>
    <w:pPr>
      <w:pBdr>
        <w:bottom w:val="single" w:sz="12" w:space="1" w:color="auto"/>
      </w:pBdr>
      <w:spacing w:before="60"/>
    </w:pPr>
  </w:style>
  <w:style w:type="paragraph" w:customStyle="1" w:styleId="AH2PartSymb">
    <w:name w:val="A H2 Part Symb"/>
    <w:basedOn w:val="AH2Part"/>
    <w:next w:val="AH3Div"/>
    <w:rsid w:val="000E1C8B"/>
    <w:pPr>
      <w:tabs>
        <w:tab w:val="clear" w:pos="2600"/>
        <w:tab w:val="left" w:pos="0"/>
      </w:tabs>
      <w:ind w:left="2480" w:hanging="2960"/>
    </w:pPr>
  </w:style>
  <w:style w:type="paragraph" w:customStyle="1" w:styleId="AH3DivSymb">
    <w:name w:val="A H3 Div Symb"/>
    <w:basedOn w:val="AH3Div"/>
    <w:next w:val="AH5Sec"/>
    <w:rsid w:val="000E1C8B"/>
    <w:pPr>
      <w:tabs>
        <w:tab w:val="clear" w:pos="2600"/>
        <w:tab w:val="left" w:pos="0"/>
      </w:tabs>
      <w:ind w:left="2480" w:hanging="2960"/>
    </w:pPr>
  </w:style>
  <w:style w:type="paragraph" w:customStyle="1" w:styleId="AH4SubDivSymb">
    <w:name w:val="A H4 SubDiv Symb"/>
    <w:basedOn w:val="AH4SubDiv"/>
    <w:next w:val="AH5Sec"/>
    <w:rsid w:val="000E1C8B"/>
    <w:pPr>
      <w:tabs>
        <w:tab w:val="clear" w:pos="2600"/>
        <w:tab w:val="left" w:pos="0"/>
      </w:tabs>
      <w:ind w:left="2480" w:hanging="2960"/>
    </w:pPr>
  </w:style>
  <w:style w:type="paragraph" w:customStyle="1" w:styleId="AH5SecSymb">
    <w:name w:val="A H5 Sec Symb"/>
    <w:basedOn w:val="AH5Sec"/>
    <w:next w:val="Amain"/>
    <w:rsid w:val="000E1C8B"/>
    <w:pPr>
      <w:tabs>
        <w:tab w:val="clear" w:pos="1100"/>
        <w:tab w:val="left" w:pos="0"/>
      </w:tabs>
      <w:ind w:hanging="1580"/>
    </w:pPr>
  </w:style>
  <w:style w:type="paragraph" w:customStyle="1" w:styleId="Amainbullet">
    <w:name w:val="A main bullet"/>
    <w:basedOn w:val="BillBasic"/>
    <w:rsid w:val="000E1C8B"/>
    <w:pPr>
      <w:spacing w:before="60"/>
      <w:ind w:left="1500" w:hanging="400"/>
    </w:pPr>
  </w:style>
  <w:style w:type="paragraph" w:customStyle="1" w:styleId="Amainreturn">
    <w:name w:val="A main return"/>
    <w:basedOn w:val="BillBasic"/>
    <w:link w:val="AmainreturnChar"/>
    <w:rsid w:val="000E1C8B"/>
    <w:pPr>
      <w:ind w:left="1100"/>
    </w:pPr>
  </w:style>
  <w:style w:type="paragraph" w:customStyle="1" w:styleId="AmainSymb">
    <w:name w:val="A main Symb"/>
    <w:basedOn w:val="Amain"/>
    <w:rsid w:val="000E1C8B"/>
    <w:pPr>
      <w:tabs>
        <w:tab w:val="right" w:pos="480"/>
      </w:tabs>
      <w:ind w:left="1120" w:hanging="1600"/>
    </w:pPr>
  </w:style>
  <w:style w:type="paragraph" w:customStyle="1" w:styleId="Apara">
    <w:name w:val="A para"/>
    <w:basedOn w:val="BillBasic"/>
    <w:rsid w:val="000E1C8B"/>
    <w:pPr>
      <w:tabs>
        <w:tab w:val="right" w:pos="1400"/>
        <w:tab w:val="left" w:pos="1600"/>
      </w:tabs>
      <w:ind w:left="1600" w:hanging="1600"/>
      <w:outlineLvl w:val="6"/>
    </w:pPr>
  </w:style>
  <w:style w:type="paragraph" w:customStyle="1" w:styleId="Aparabullet">
    <w:name w:val="A para bullet"/>
    <w:basedOn w:val="BillBasic"/>
    <w:rsid w:val="000E1C8B"/>
    <w:pPr>
      <w:spacing w:before="60"/>
      <w:ind w:left="2000" w:hanging="400"/>
    </w:pPr>
  </w:style>
  <w:style w:type="paragraph" w:customStyle="1" w:styleId="Aparareturn">
    <w:name w:val="A para return"/>
    <w:basedOn w:val="BillBasic"/>
    <w:rsid w:val="000E1C8B"/>
    <w:pPr>
      <w:ind w:left="1600"/>
    </w:pPr>
  </w:style>
  <w:style w:type="paragraph" w:customStyle="1" w:styleId="AparaSymb">
    <w:name w:val="A para Symb"/>
    <w:basedOn w:val="Apara"/>
    <w:rsid w:val="000E1C8B"/>
    <w:pPr>
      <w:tabs>
        <w:tab w:val="right" w:pos="0"/>
      </w:tabs>
      <w:ind w:hanging="2080"/>
    </w:pPr>
  </w:style>
  <w:style w:type="paragraph" w:customStyle="1" w:styleId="Assectheading">
    <w:name w:val="A ssect heading"/>
    <w:basedOn w:val="Amain"/>
    <w:rsid w:val="000E1C8B"/>
    <w:pPr>
      <w:keepNext/>
      <w:tabs>
        <w:tab w:val="clear" w:pos="900"/>
        <w:tab w:val="clear" w:pos="1100"/>
      </w:tabs>
      <w:spacing w:before="300"/>
      <w:ind w:left="0" w:firstLine="0"/>
      <w:outlineLvl w:val="9"/>
    </w:pPr>
    <w:rPr>
      <w:i/>
    </w:rPr>
  </w:style>
  <w:style w:type="paragraph" w:customStyle="1" w:styleId="Asubpara">
    <w:name w:val="A subpara"/>
    <w:basedOn w:val="BillBasic"/>
    <w:rsid w:val="000E1C8B"/>
    <w:pPr>
      <w:tabs>
        <w:tab w:val="right" w:pos="1900"/>
        <w:tab w:val="left" w:pos="2100"/>
      </w:tabs>
      <w:ind w:left="2100" w:hanging="2100"/>
      <w:outlineLvl w:val="7"/>
    </w:pPr>
  </w:style>
  <w:style w:type="paragraph" w:customStyle="1" w:styleId="Asubparabullet">
    <w:name w:val="A subpara bullet"/>
    <w:basedOn w:val="BillBasic"/>
    <w:rsid w:val="000E1C8B"/>
    <w:pPr>
      <w:spacing w:before="60"/>
      <w:ind w:left="2540" w:hanging="400"/>
    </w:pPr>
  </w:style>
  <w:style w:type="paragraph" w:customStyle="1" w:styleId="Asubparareturn">
    <w:name w:val="A subpara return"/>
    <w:basedOn w:val="BillBasic"/>
    <w:rsid w:val="000E1C8B"/>
    <w:pPr>
      <w:ind w:left="2100"/>
    </w:pPr>
  </w:style>
  <w:style w:type="paragraph" w:customStyle="1" w:styleId="AsubparaSymb">
    <w:name w:val="A subpara Symb"/>
    <w:basedOn w:val="Asubpara"/>
    <w:rsid w:val="000E1C8B"/>
    <w:pPr>
      <w:tabs>
        <w:tab w:val="left" w:pos="0"/>
      </w:tabs>
      <w:ind w:left="1620"/>
    </w:pPr>
  </w:style>
  <w:style w:type="paragraph" w:customStyle="1" w:styleId="Asubsubpara">
    <w:name w:val="A subsubpara"/>
    <w:basedOn w:val="BillBasic"/>
    <w:rsid w:val="000E1C8B"/>
    <w:pPr>
      <w:tabs>
        <w:tab w:val="right" w:pos="2400"/>
        <w:tab w:val="left" w:pos="2600"/>
      </w:tabs>
      <w:ind w:left="2600" w:hanging="2600"/>
      <w:outlineLvl w:val="8"/>
    </w:pPr>
  </w:style>
  <w:style w:type="paragraph" w:customStyle="1" w:styleId="Actdetails">
    <w:name w:val="Act details"/>
    <w:basedOn w:val="Normal"/>
    <w:rsid w:val="000E1C8B"/>
    <w:pPr>
      <w:spacing w:before="20"/>
      <w:ind w:left="1400"/>
    </w:pPr>
    <w:rPr>
      <w:rFonts w:ascii="Arial" w:hAnsi="Arial"/>
      <w:sz w:val="20"/>
    </w:rPr>
  </w:style>
  <w:style w:type="paragraph" w:customStyle="1" w:styleId="aDef">
    <w:name w:val="aDef"/>
    <w:basedOn w:val="BillBasic"/>
    <w:link w:val="aDefChar"/>
    <w:rsid w:val="000E1C8B"/>
    <w:pPr>
      <w:ind w:left="1100"/>
    </w:pPr>
  </w:style>
  <w:style w:type="paragraph" w:customStyle="1" w:styleId="aDefpara">
    <w:name w:val="aDef para"/>
    <w:basedOn w:val="Apara"/>
    <w:rsid w:val="000E1C8B"/>
  </w:style>
  <w:style w:type="paragraph" w:customStyle="1" w:styleId="aDefsubpara">
    <w:name w:val="aDef subpara"/>
    <w:basedOn w:val="Asubpara"/>
    <w:rsid w:val="000E1C8B"/>
  </w:style>
  <w:style w:type="paragraph" w:customStyle="1" w:styleId="AmdtEntries">
    <w:name w:val="AmdtEntries"/>
    <w:basedOn w:val="BillBasicHeading"/>
    <w:rsid w:val="00496D92"/>
    <w:pPr>
      <w:keepNext w:val="0"/>
      <w:tabs>
        <w:tab w:val="clear" w:pos="2600"/>
      </w:tabs>
      <w:spacing w:before="0"/>
      <w:ind w:left="3200" w:hanging="2100"/>
    </w:pPr>
    <w:rPr>
      <w:sz w:val="18"/>
    </w:rPr>
  </w:style>
  <w:style w:type="paragraph" w:customStyle="1" w:styleId="AmdtEntriesDefL2">
    <w:name w:val="AmdtEntriesDefL2"/>
    <w:basedOn w:val="AmdtEntries"/>
    <w:rsid w:val="00496D92"/>
    <w:pPr>
      <w:tabs>
        <w:tab w:val="left" w:pos="3000"/>
      </w:tabs>
      <w:ind w:left="3600" w:hanging="2500"/>
    </w:pPr>
  </w:style>
  <w:style w:type="paragraph" w:customStyle="1" w:styleId="AmdtsEntriesDefL2">
    <w:name w:val="AmdtsEntriesDefL2"/>
    <w:basedOn w:val="Normal"/>
    <w:rsid w:val="000E1C8B"/>
    <w:pPr>
      <w:tabs>
        <w:tab w:val="left" w:pos="3000"/>
      </w:tabs>
      <w:ind w:left="3100" w:hanging="2000"/>
    </w:pPr>
    <w:rPr>
      <w:rFonts w:ascii="Arial" w:hAnsi="Arial"/>
      <w:sz w:val="18"/>
    </w:rPr>
  </w:style>
  <w:style w:type="paragraph" w:customStyle="1" w:styleId="AmdtsEntries">
    <w:name w:val="AmdtsEntries"/>
    <w:basedOn w:val="BillBasicHeading"/>
    <w:rsid w:val="000E1C8B"/>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0E1C8B"/>
    <w:pPr>
      <w:tabs>
        <w:tab w:val="clear" w:pos="2600"/>
      </w:tabs>
      <w:spacing w:before="120"/>
      <w:ind w:left="1100"/>
    </w:pPr>
    <w:rPr>
      <w:sz w:val="18"/>
    </w:rPr>
  </w:style>
  <w:style w:type="paragraph" w:customStyle="1" w:styleId="aNote">
    <w:name w:val="aNote"/>
    <w:basedOn w:val="BillBasic"/>
    <w:link w:val="aNoteChar"/>
    <w:rsid w:val="000E1C8B"/>
    <w:pPr>
      <w:ind w:left="1900" w:hanging="800"/>
    </w:pPr>
    <w:rPr>
      <w:sz w:val="20"/>
    </w:rPr>
  </w:style>
  <w:style w:type="character" w:customStyle="1" w:styleId="aNoteChar">
    <w:name w:val="aNote Char"/>
    <w:basedOn w:val="DefaultParagraphFont"/>
    <w:link w:val="aNote"/>
    <w:locked/>
    <w:rsid w:val="00DB6E47"/>
    <w:rPr>
      <w:lang w:eastAsia="en-US"/>
    </w:rPr>
  </w:style>
  <w:style w:type="paragraph" w:customStyle="1" w:styleId="aExam">
    <w:name w:val="aExam"/>
    <w:basedOn w:val="aNote"/>
    <w:rsid w:val="000E1C8B"/>
    <w:pPr>
      <w:spacing w:before="60"/>
      <w:ind w:left="1100" w:firstLine="0"/>
    </w:pPr>
  </w:style>
  <w:style w:type="paragraph" w:customStyle="1" w:styleId="aExamHead">
    <w:name w:val="aExam Head"/>
    <w:basedOn w:val="BillBasicHeading"/>
    <w:next w:val="aExam"/>
    <w:rsid w:val="000E1C8B"/>
    <w:pPr>
      <w:tabs>
        <w:tab w:val="clear" w:pos="2600"/>
      </w:tabs>
      <w:ind w:left="1100"/>
    </w:pPr>
    <w:rPr>
      <w:sz w:val="18"/>
    </w:rPr>
  </w:style>
  <w:style w:type="paragraph" w:customStyle="1" w:styleId="aExamBullet">
    <w:name w:val="aExamBullet"/>
    <w:basedOn w:val="aExam"/>
    <w:rsid w:val="000E1C8B"/>
    <w:pPr>
      <w:tabs>
        <w:tab w:val="left" w:pos="1500"/>
        <w:tab w:val="left" w:pos="2300"/>
      </w:tabs>
      <w:ind w:left="1900" w:hanging="800"/>
    </w:pPr>
  </w:style>
  <w:style w:type="paragraph" w:customStyle="1" w:styleId="aExamNum">
    <w:name w:val="aExamNum"/>
    <w:basedOn w:val="aExam"/>
    <w:rsid w:val="000E1C8B"/>
    <w:pPr>
      <w:ind w:left="1500" w:hanging="400"/>
    </w:pPr>
  </w:style>
  <w:style w:type="paragraph" w:customStyle="1" w:styleId="aExamNumText">
    <w:name w:val="aExamNumText"/>
    <w:basedOn w:val="aExam"/>
    <w:rsid w:val="000E1C8B"/>
    <w:pPr>
      <w:ind w:left="1500"/>
    </w:pPr>
  </w:style>
  <w:style w:type="paragraph" w:customStyle="1" w:styleId="aExamPara">
    <w:name w:val="aExamPara"/>
    <w:basedOn w:val="aExam"/>
    <w:rsid w:val="000E1C8B"/>
    <w:pPr>
      <w:tabs>
        <w:tab w:val="right" w:pos="1720"/>
        <w:tab w:val="left" w:pos="2000"/>
        <w:tab w:val="left" w:pos="2300"/>
      </w:tabs>
      <w:ind w:left="2400" w:hanging="1300"/>
    </w:pPr>
  </w:style>
  <w:style w:type="paragraph" w:customStyle="1" w:styleId="aNoteBullet">
    <w:name w:val="aNoteBullet"/>
    <w:basedOn w:val="aNote"/>
    <w:rsid w:val="000E1C8B"/>
    <w:pPr>
      <w:tabs>
        <w:tab w:val="left" w:pos="2200"/>
      </w:tabs>
      <w:spacing w:before="60"/>
      <w:ind w:left="2600" w:hanging="700"/>
    </w:pPr>
  </w:style>
  <w:style w:type="paragraph" w:customStyle="1" w:styleId="aNotePara">
    <w:name w:val="aNotePara"/>
    <w:basedOn w:val="aNote"/>
    <w:rsid w:val="000E1C8B"/>
    <w:pPr>
      <w:tabs>
        <w:tab w:val="right" w:pos="2140"/>
        <w:tab w:val="left" w:pos="2400"/>
      </w:tabs>
      <w:spacing w:before="60"/>
      <w:ind w:left="2400" w:hanging="1300"/>
    </w:pPr>
  </w:style>
  <w:style w:type="paragraph" w:customStyle="1" w:styleId="aNoteText">
    <w:name w:val="aNoteText"/>
    <w:basedOn w:val="aNote"/>
    <w:rsid w:val="000E1C8B"/>
    <w:pPr>
      <w:spacing w:before="60"/>
      <w:ind w:firstLine="0"/>
    </w:pPr>
  </w:style>
  <w:style w:type="paragraph" w:customStyle="1" w:styleId="aParaNote">
    <w:name w:val="aParaNote"/>
    <w:basedOn w:val="BillBasic"/>
    <w:rsid w:val="000E1C8B"/>
    <w:pPr>
      <w:ind w:left="2840" w:hanging="1240"/>
    </w:pPr>
    <w:rPr>
      <w:sz w:val="20"/>
    </w:rPr>
  </w:style>
  <w:style w:type="paragraph" w:customStyle="1" w:styleId="aParaNoteBullet">
    <w:name w:val="aParaNoteBullet"/>
    <w:basedOn w:val="aParaNote"/>
    <w:rsid w:val="000E1C8B"/>
    <w:pPr>
      <w:tabs>
        <w:tab w:val="left" w:pos="2700"/>
      </w:tabs>
      <w:spacing w:before="60"/>
      <w:ind w:left="3100" w:hanging="700"/>
    </w:pPr>
  </w:style>
  <w:style w:type="paragraph" w:customStyle="1" w:styleId="aParaNotePara">
    <w:name w:val="aParaNotePara"/>
    <w:basedOn w:val="aNotePara"/>
    <w:rsid w:val="000E1C8B"/>
    <w:pPr>
      <w:tabs>
        <w:tab w:val="clear" w:pos="2140"/>
        <w:tab w:val="clear" w:pos="2400"/>
        <w:tab w:val="right" w:pos="2644"/>
      </w:tabs>
      <w:ind w:left="3320" w:hanging="1720"/>
    </w:pPr>
  </w:style>
  <w:style w:type="paragraph" w:customStyle="1" w:styleId="Asamby">
    <w:name w:val="As am by"/>
    <w:basedOn w:val="Normal"/>
    <w:next w:val="Normal"/>
    <w:rsid w:val="000E1C8B"/>
    <w:pPr>
      <w:spacing w:before="240"/>
      <w:ind w:left="1100"/>
    </w:pPr>
    <w:rPr>
      <w:rFonts w:ascii="Arial" w:hAnsi="Arial"/>
      <w:sz w:val="20"/>
    </w:rPr>
  </w:style>
  <w:style w:type="paragraph" w:customStyle="1" w:styleId="BillBasicItalics">
    <w:name w:val="BillBasicItalics"/>
    <w:basedOn w:val="BillBasic"/>
    <w:rsid w:val="000E1C8B"/>
    <w:rPr>
      <w:i/>
    </w:rPr>
  </w:style>
  <w:style w:type="paragraph" w:customStyle="1" w:styleId="BillFor">
    <w:name w:val="BillFor"/>
    <w:basedOn w:val="BillBasicHeading"/>
    <w:rsid w:val="000E1C8B"/>
    <w:pPr>
      <w:keepNext w:val="0"/>
      <w:spacing w:before="320"/>
      <w:jc w:val="both"/>
    </w:pPr>
    <w:rPr>
      <w:sz w:val="28"/>
    </w:rPr>
  </w:style>
  <w:style w:type="paragraph" w:customStyle="1" w:styleId="BillNo">
    <w:name w:val="BillNo"/>
    <w:basedOn w:val="BillBasicHeading"/>
    <w:rsid w:val="00496D92"/>
    <w:pPr>
      <w:keepNext w:val="0"/>
      <w:spacing w:before="240"/>
      <w:jc w:val="both"/>
    </w:pPr>
  </w:style>
  <w:style w:type="character" w:customStyle="1" w:styleId="charBold">
    <w:name w:val="charBold"/>
    <w:basedOn w:val="DefaultParagraphFont"/>
    <w:rsid w:val="000E1C8B"/>
    <w:rPr>
      <w:rFonts w:cs="Times New Roman"/>
      <w:b/>
    </w:rPr>
  </w:style>
  <w:style w:type="character" w:customStyle="1" w:styleId="charBoldItals">
    <w:name w:val="charBoldItals"/>
    <w:basedOn w:val="DefaultParagraphFont"/>
    <w:rsid w:val="000E1C8B"/>
    <w:rPr>
      <w:rFonts w:cs="Times New Roman"/>
      <w:b/>
      <w:i/>
    </w:rPr>
  </w:style>
  <w:style w:type="character" w:customStyle="1" w:styleId="CharChapNo">
    <w:name w:val="CharChapNo"/>
    <w:basedOn w:val="DefaultParagraphFont"/>
    <w:rsid w:val="000E1C8B"/>
    <w:rPr>
      <w:rFonts w:cs="Times New Roman"/>
    </w:rPr>
  </w:style>
  <w:style w:type="character" w:customStyle="1" w:styleId="CharChapText">
    <w:name w:val="CharChapText"/>
    <w:basedOn w:val="DefaultParagraphFont"/>
    <w:rsid w:val="000E1C8B"/>
    <w:rPr>
      <w:rFonts w:cs="Times New Roman"/>
    </w:rPr>
  </w:style>
  <w:style w:type="character" w:customStyle="1" w:styleId="charContents">
    <w:name w:val="charContents"/>
    <w:basedOn w:val="DefaultParagraphFont"/>
    <w:rsid w:val="000E1C8B"/>
    <w:rPr>
      <w:rFonts w:cs="Times New Roman"/>
    </w:rPr>
  </w:style>
  <w:style w:type="character" w:customStyle="1" w:styleId="CharDivNo">
    <w:name w:val="CharDivNo"/>
    <w:basedOn w:val="DefaultParagraphFont"/>
    <w:rsid w:val="000E1C8B"/>
    <w:rPr>
      <w:rFonts w:cs="Times New Roman"/>
    </w:rPr>
  </w:style>
  <w:style w:type="character" w:customStyle="1" w:styleId="CharDivText">
    <w:name w:val="CharDivText"/>
    <w:basedOn w:val="DefaultParagraphFont"/>
    <w:rsid w:val="000E1C8B"/>
    <w:rPr>
      <w:rFonts w:cs="Times New Roman"/>
    </w:rPr>
  </w:style>
  <w:style w:type="character" w:customStyle="1" w:styleId="charItals">
    <w:name w:val="charItals"/>
    <w:basedOn w:val="DefaultParagraphFont"/>
    <w:rsid w:val="000E1C8B"/>
    <w:rPr>
      <w:rFonts w:cs="Times New Roman"/>
      <w:i/>
    </w:rPr>
  </w:style>
  <w:style w:type="character" w:customStyle="1" w:styleId="charPage">
    <w:name w:val="charPage"/>
    <w:basedOn w:val="DefaultParagraphFont"/>
    <w:rsid w:val="000E1C8B"/>
    <w:rPr>
      <w:rFonts w:cs="Times New Roman"/>
    </w:rPr>
  </w:style>
  <w:style w:type="character" w:customStyle="1" w:styleId="CharPartNo">
    <w:name w:val="CharPartNo"/>
    <w:basedOn w:val="DefaultParagraphFont"/>
    <w:rsid w:val="000E1C8B"/>
    <w:rPr>
      <w:rFonts w:cs="Times New Roman"/>
    </w:rPr>
  </w:style>
  <w:style w:type="character" w:customStyle="1" w:styleId="CharPartText">
    <w:name w:val="CharPartText"/>
    <w:basedOn w:val="DefaultParagraphFont"/>
    <w:rsid w:val="000E1C8B"/>
    <w:rPr>
      <w:rFonts w:cs="Times New Roman"/>
    </w:rPr>
  </w:style>
  <w:style w:type="character" w:customStyle="1" w:styleId="CharSectNo">
    <w:name w:val="CharSectNo"/>
    <w:basedOn w:val="DefaultParagraphFont"/>
    <w:rsid w:val="000E1C8B"/>
    <w:rPr>
      <w:rFonts w:cs="Times New Roman"/>
    </w:rPr>
  </w:style>
  <w:style w:type="character" w:customStyle="1" w:styleId="charSymb">
    <w:name w:val="charSymb"/>
    <w:basedOn w:val="DefaultParagraphFont"/>
    <w:rsid w:val="000E1C8B"/>
    <w:rPr>
      <w:rFonts w:ascii="Arial" w:hAnsi="Arial" w:cs="Times New Roman"/>
      <w:sz w:val="24"/>
      <w:bdr w:val="single" w:sz="4" w:space="0" w:color="auto"/>
    </w:rPr>
  </w:style>
  <w:style w:type="character" w:customStyle="1" w:styleId="charTableNo">
    <w:name w:val="charTableNo"/>
    <w:basedOn w:val="DefaultParagraphFont"/>
    <w:rsid w:val="000E1C8B"/>
    <w:rPr>
      <w:rFonts w:cs="Times New Roman"/>
    </w:rPr>
  </w:style>
  <w:style w:type="character" w:customStyle="1" w:styleId="charTableText">
    <w:name w:val="charTableText"/>
    <w:basedOn w:val="DefaultParagraphFont"/>
    <w:rsid w:val="000E1C8B"/>
    <w:rPr>
      <w:rFonts w:cs="Times New Roman"/>
    </w:rPr>
  </w:style>
  <w:style w:type="character" w:customStyle="1" w:styleId="charUnderline">
    <w:name w:val="charUnderline"/>
    <w:basedOn w:val="DefaultParagraphFont"/>
    <w:rsid w:val="000E1C8B"/>
    <w:rPr>
      <w:rFonts w:cs="Times New Roman"/>
      <w:u w:val="single"/>
    </w:rPr>
  </w:style>
  <w:style w:type="paragraph" w:customStyle="1" w:styleId="Comment">
    <w:name w:val="Comment"/>
    <w:basedOn w:val="BillBasic"/>
    <w:rsid w:val="000E1C8B"/>
    <w:pPr>
      <w:tabs>
        <w:tab w:val="left" w:pos="1800"/>
      </w:tabs>
      <w:ind w:left="1300"/>
      <w:jc w:val="left"/>
    </w:pPr>
    <w:rPr>
      <w:b/>
      <w:sz w:val="18"/>
    </w:rPr>
  </w:style>
  <w:style w:type="paragraph" w:customStyle="1" w:styleId="CommentNum">
    <w:name w:val="CommentNum"/>
    <w:basedOn w:val="Comment"/>
    <w:rsid w:val="000E1C8B"/>
    <w:pPr>
      <w:ind w:left="1800" w:hanging="1800"/>
    </w:pPr>
  </w:style>
  <w:style w:type="paragraph" w:customStyle="1" w:styleId="DateLine">
    <w:name w:val="DateLine"/>
    <w:basedOn w:val="BillBasic"/>
    <w:rsid w:val="000E1C8B"/>
    <w:pPr>
      <w:tabs>
        <w:tab w:val="left" w:pos="4320"/>
      </w:tabs>
    </w:pPr>
  </w:style>
  <w:style w:type="paragraph" w:customStyle="1" w:styleId="Dict-Heading">
    <w:name w:val="Dict-Heading"/>
    <w:basedOn w:val="BillBasicHeading"/>
    <w:next w:val="Normal"/>
    <w:rsid w:val="000E1C8B"/>
    <w:pPr>
      <w:spacing w:before="320"/>
      <w:ind w:left="2600" w:hanging="2600"/>
      <w:jc w:val="both"/>
      <w:outlineLvl w:val="0"/>
    </w:pPr>
    <w:rPr>
      <w:sz w:val="34"/>
    </w:rPr>
  </w:style>
  <w:style w:type="paragraph" w:customStyle="1" w:styleId="Dict-HeadingSymb">
    <w:name w:val="Dict-Heading Symb"/>
    <w:basedOn w:val="Dict-Heading"/>
    <w:rsid w:val="000E1C8B"/>
    <w:pPr>
      <w:tabs>
        <w:tab w:val="left" w:pos="0"/>
      </w:tabs>
      <w:ind w:left="2480" w:hanging="2960"/>
    </w:pPr>
  </w:style>
  <w:style w:type="paragraph" w:customStyle="1" w:styleId="direction">
    <w:name w:val="direction"/>
    <w:basedOn w:val="BillBasic"/>
    <w:next w:val="Amainreturn"/>
    <w:rsid w:val="000E1C8B"/>
    <w:pPr>
      <w:ind w:left="1100"/>
    </w:pPr>
    <w:rPr>
      <w:i/>
    </w:rPr>
  </w:style>
  <w:style w:type="paragraph" w:customStyle="1" w:styleId="draft">
    <w:name w:val="draft"/>
    <w:basedOn w:val="Normal"/>
    <w:rsid w:val="000E1C8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0E1C8B"/>
    <w:pPr>
      <w:spacing w:before="60" w:after="60"/>
    </w:pPr>
    <w:rPr>
      <w:rFonts w:ascii="Arial" w:hAnsi="Arial"/>
      <w:sz w:val="18"/>
    </w:rPr>
  </w:style>
  <w:style w:type="paragraph" w:customStyle="1" w:styleId="EarlierRepubHdg">
    <w:name w:val="EarlierRepubHdg"/>
    <w:basedOn w:val="Normal"/>
    <w:rsid w:val="000E1C8B"/>
    <w:pPr>
      <w:keepNext/>
    </w:pPr>
    <w:rPr>
      <w:rFonts w:ascii="Arial" w:hAnsi="Arial"/>
      <w:b/>
      <w:sz w:val="20"/>
    </w:rPr>
  </w:style>
  <w:style w:type="paragraph" w:customStyle="1" w:styleId="EnactingWords">
    <w:name w:val="EnactingWords"/>
    <w:basedOn w:val="BillBasic"/>
    <w:rsid w:val="000E1C8B"/>
    <w:pPr>
      <w:spacing w:before="120"/>
    </w:pPr>
  </w:style>
  <w:style w:type="paragraph" w:customStyle="1" w:styleId="EnactingWordsRules">
    <w:name w:val="EnactingWordsRules"/>
    <w:basedOn w:val="EnactingWords"/>
    <w:rsid w:val="000E1C8B"/>
    <w:pPr>
      <w:spacing w:before="240"/>
    </w:pPr>
  </w:style>
  <w:style w:type="paragraph" w:customStyle="1" w:styleId="EndNote">
    <w:name w:val="EndNote"/>
    <w:basedOn w:val="BillBasicHeading"/>
    <w:rsid w:val="000E1C8B"/>
    <w:pPr>
      <w:keepNext w:val="0"/>
      <w:tabs>
        <w:tab w:val="clear" w:pos="2600"/>
        <w:tab w:val="left" w:pos="1100"/>
      </w:tabs>
      <w:spacing w:before="160"/>
      <w:ind w:left="1100" w:hanging="1100"/>
      <w:jc w:val="both"/>
    </w:pPr>
  </w:style>
  <w:style w:type="paragraph" w:customStyle="1" w:styleId="Endnote1">
    <w:name w:val="Endnote1"/>
    <w:basedOn w:val="BillBasic"/>
    <w:next w:val="Normal"/>
    <w:rsid w:val="000E1C8B"/>
    <w:pPr>
      <w:keepNext/>
      <w:tabs>
        <w:tab w:val="left" w:pos="400"/>
      </w:tabs>
      <w:spacing w:before="0"/>
      <w:jc w:val="left"/>
    </w:pPr>
    <w:rPr>
      <w:rFonts w:ascii="Arial" w:hAnsi="Arial"/>
      <w:b/>
      <w:sz w:val="28"/>
    </w:rPr>
  </w:style>
  <w:style w:type="paragraph" w:customStyle="1" w:styleId="Endnote2">
    <w:name w:val="Endnote2"/>
    <w:basedOn w:val="Normal"/>
    <w:rsid w:val="000E1C8B"/>
    <w:pPr>
      <w:keepNext/>
      <w:tabs>
        <w:tab w:val="left" w:pos="1100"/>
      </w:tabs>
      <w:spacing w:before="360"/>
    </w:pPr>
    <w:rPr>
      <w:rFonts w:ascii="Arial" w:hAnsi="Arial"/>
      <w:b/>
    </w:rPr>
  </w:style>
  <w:style w:type="paragraph" w:customStyle="1" w:styleId="Endnote3">
    <w:name w:val="Endnote3"/>
    <w:basedOn w:val="Normal"/>
    <w:rsid w:val="000E1C8B"/>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0E1C8B"/>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0E1C8B"/>
    <w:pPr>
      <w:spacing w:before="60"/>
      <w:ind w:left="1100"/>
      <w:jc w:val="both"/>
    </w:pPr>
    <w:rPr>
      <w:sz w:val="20"/>
    </w:rPr>
  </w:style>
  <w:style w:type="paragraph" w:customStyle="1" w:styleId="EndNoteParas">
    <w:name w:val="EndNoteParas"/>
    <w:basedOn w:val="EndNoteTextEPS"/>
    <w:rsid w:val="000E1C8B"/>
    <w:pPr>
      <w:tabs>
        <w:tab w:val="right" w:pos="1432"/>
      </w:tabs>
      <w:ind w:left="1840" w:hanging="1840"/>
    </w:pPr>
  </w:style>
  <w:style w:type="paragraph" w:customStyle="1" w:styleId="EndnotesAbbrev">
    <w:name w:val="EndnotesAbbrev"/>
    <w:basedOn w:val="Normal"/>
    <w:rsid w:val="000E1C8B"/>
    <w:pPr>
      <w:spacing w:before="20"/>
    </w:pPr>
    <w:rPr>
      <w:rFonts w:ascii="Arial" w:hAnsi="Arial"/>
      <w:color w:val="000000"/>
      <w:sz w:val="16"/>
    </w:rPr>
  </w:style>
  <w:style w:type="paragraph" w:customStyle="1" w:styleId="EndNoteText">
    <w:name w:val="EndNoteText"/>
    <w:basedOn w:val="BillBasic"/>
    <w:rsid w:val="000E1C8B"/>
    <w:pPr>
      <w:tabs>
        <w:tab w:val="left" w:pos="700"/>
        <w:tab w:val="right" w:pos="6160"/>
      </w:tabs>
      <w:spacing w:before="80"/>
      <w:ind w:left="700" w:hanging="700"/>
    </w:pPr>
    <w:rPr>
      <w:sz w:val="20"/>
    </w:rPr>
  </w:style>
  <w:style w:type="paragraph" w:customStyle="1" w:styleId="EPSCoverTop">
    <w:name w:val="EPSCoverTop"/>
    <w:basedOn w:val="Normal"/>
    <w:rsid w:val="000E1C8B"/>
    <w:pPr>
      <w:jc w:val="right"/>
    </w:pPr>
    <w:rPr>
      <w:rFonts w:ascii="Arial" w:hAnsi="Arial"/>
      <w:sz w:val="20"/>
    </w:rPr>
  </w:style>
  <w:style w:type="paragraph" w:styleId="Footer">
    <w:name w:val="footer"/>
    <w:basedOn w:val="Normal"/>
    <w:link w:val="FooterChar"/>
    <w:rsid w:val="000E1C8B"/>
    <w:pPr>
      <w:spacing w:before="120" w:line="240" w:lineRule="exact"/>
    </w:pPr>
    <w:rPr>
      <w:rFonts w:ascii="Arial" w:hAnsi="Arial"/>
      <w:sz w:val="18"/>
    </w:rPr>
  </w:style>
  <w:style w:type="character" w:customStyle="1" w:styleId="FooterChar">
    <w:name w:val="Footer Char"/>
    <w:basedOn w:val="DefaultParagraphFont"/>
    <w:link w:val="Footer"/>
    <w:locked/>
    <w:rsid w:val="000E1C8B"/>
    <w:rPr>
      <w:rFonts w:ascii="Arial" w:hAnsi="Arial" w:cs="Times New Roman"/>
      <w:sz w:val="18"/>
      <w:lang w:eastAsia="en-US"/>
    </w:rPr>
  </w:style>
  <w:style w:type="paragraph" w:customStyle="1" w:styleId="FooterInfo">
    <w:name w:val="FooterInfo"/>
    <w:basedOn w:val="Normal"/>
    <w:rsid w:val="000E1C8B"/>
    <w:pPr>
      <w:tabs>
        <w:tab w:val="right" w:pos="7707"/>
      </w:tabs>
    </w:pPr>
    <w:rPr>
      <w:rFonts w:ascii="Arial" w:hAnsi="Arial"/>
      <w:sz w:val="18"/>
    </w:rPr>
  </w:style>
  <w:style w:type="paragraph" w:customStyle="1" w:styleId="FooterInfoCentre">
    <w:name w:val="FooterInfoCentre"/>
    <w:basedOn w:val="FooterInfo"/>
    <w:rsid w:val="000E1C8B"/>
    <w:pPr>
      <w:spacing w:before="60"/>
      <w:jc w:val="center"/>
    </w:pPr>
  </w:style>
  <w:style w:type="paragraph" w:customStyle="1" w:styleId="Formula">
    <w:name w:val="Formula"/>
    <w:basedOn w:val="BillBasic"/>
    <w:rsid w:val="000E1C8B"/>
    <w:pPr>
      <w:spacing w:line="260" w:lineRule="atLeast"/>
      <w:jc w:val="center"/>
    </w:pPr>
  </w:style>
  <w:style w:type="paragraph" w:styleId="Header">
    <w:name w:val="header"/>
    <w:basedOn w:val="Normal"/>
    <w:link w:val="HeaderChar"/>
    <w:rsid w:val="000E1C8B"/>
    <w:pPr>
      <w:tabs>
        <w:tab w:val="center" w:pos="4153"/>
        <w:tab w:val="right" w:pos="8306"/>
      </w:tabs>
    </w:pPr>
  </w:style>
  <w:style w:type="character" w:customStyle="1" w:styleId="HeaderChar">
    <w:name w:val="Header Char"/>
    <w:basedOn w:val="DefaultParagraphFont"/>
    <w:link w:val="Header"/>
    <w:locked/>
    <w:rsid w:val="00020777"/>
    <w:rPr>
      <w:rFonts w:cs="Times New Roman"/>
      <w:sz w:val="24"/>
      <w:lang w:eastAsia="en-US"/>
    </w:rPr>
  </w:style>
  <w:style w:type="paragraph" w:customStyle="1" w:styleId="HeaderEven">
    <w:name w:val="HeaderEven"/>
    <w:basedOn w:val="Normal"/>
    <w:rsid w:val="000E1C8B"/>
    <w:rPr>
      <w:rFonts w:ascii="Arial" w:hAnsi="Arial"/>
      <w:sz w:val="18"/>
    </w:rPr>
  </w:style>
  <w:style w:type="paragraph" w:customStyle="1" w:styleId="HeaderEven6">
    <w:name w:val="HeaderEven6"/>
    <w:basedOn w:val="HeaderEven"/>
    <w:rsid w:val="000E1C8B"/>
    <w:pPr>
      <w:spacing w:before="120" w:after="60"/>
    </w:pPr>
  </w:style>
  <w:style w:type="paragraph" w:customStyle="1" w:styleId="HeaderOdd">
    <w:name w:val="HeaderOdd"/>
    <w:basedOn w:val="HeaderEven"/>
    <w:rsid w:val="000E1C8B"/>
    <w:pPr>
      <w:jc w:val="right"/>
    </w:pPr>
  </w:style>
  <w:style w:type="paragraph" w:customStyle="1" w:styleId="HeaderOdd6">
    <w:name w:val="HeaderOdd6"/>
    <w:basedOn w:val="HeaderEven6"/>
    <w:rsid w:val="000E1C8B"/>
    <w:pPr>
      <w:jc w:val="right"/>
    </w:pPr>
  </w:style>
  <w:style w:type="paragraph" w:customStyle="1" w:styleId="Ipara">
    <w:name w:val="I para"/>
    <w:basedOn w:val="Apara"/>
    <w:rsid w:val="000E1C8B"/>
    <w:pPr>
      <w:outlineLvl w:val="9"/>
    </w:pPr>
  </w:style>
  <w:style w:type="paragraph" w:customStyle="1" w:styleId="Idefpara">
    <w:name w:val="I def para"/>
    <w:basedOn w:val="Ipara"/>
    <w:rsid w:val="000E1C8B"/>
  </w:style>
  <w:style w:type="paragraph" w:customStyle="1" w:styleId="Isubpara">
    <w:name w:val="I subpara"/>
    <w:basedOn w:val="Asubpara"/>
    <w:rsid w:val="000E1C8B"/>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0E1C8B"/>
  </w:style>
  <w:style w:type="paragraph" w:customStyle="1" w:styleId="IDict-Heading">
    <w:name w:val="I Dict-Heading"/>
    <w:basedOn w:val="BillBasicHeading"/>
    <w:rsid w:val="000E1C8B"/>
    <w:pPr>
      <w:spacing w:before="320"/>
      <w:ind w:left="2600" w:hanging="2600"/>
      <w:jc w:val="both"/>
    </w:pPr>
    <w:rPr>
      <w:sz w:val="34"/>
    </w:rPr>
  </w:style>
  <w:style w:type="paragraph" w:customStyle="1" w:styleId="IH1Chap">
    <w:name w:val="I H1 Chap"/>
    <w:basedOn w:val="BillBasicHeading"/>
    <w:next w:val="Normal"/>
    <w:rsid w:val="000E1C8B"/>
    <w:pPr>
      <w:spacing w:before="320"/>
      <w:ind w:left="2600" w:hanging="2600"/>
    </w:pPr>
    <w:rPr>
      <w:sz w:val="34"/>
    </w:rPr>
  </w:style>
  <w:style w:type="paragraph" w:customStyle="1" w:styleId="IH2Part">
    <w:name w:val="I H2 Part"/>
    <w:basedOn w:val="BillBasicHeading"/>
    <w:next w:val="Normal"/>
    <w:rsid w:val="000E1C8B"/>
    <w:pPr>
      <w:spacing w:before="380"/>
      <w:ind w:left="2600" w:hanging="2600"/>
    </w:pPr>
    <w:rPr>
      <w:sz w:val="32"/>
    </w:rPr>
  </w:style>
  <w:style w:type="paragraph" w:customStyle="1" w:styleId="IH3Div">
    <w:name w:val="I H3 Div"/>
    <w:basedOn w:val="BillBasicHeading"/>
    <w:next w:val="Normal"/>
    <w:rsid w:val="000E1C8B"/>
    <w:pPr>
      <w:spacing w:before="240"/>
      <w:ind w:left="2600" w:hanging="2600"/>
    </w:pPr>
    <w:rPr>
      <w:sz w:val="28"/>
    </w:rPr>
  </w:style>
  <w:style w:type="paragraph" w:customStyle="1" w:styleId="IH4SubDiv">
    <w:name w:val="I H4 SubDiv"/>
    <w:basedOn w:val="BillBasicHeading"/>
    <w:next w:val="Normal"/>
    <w:rsid w:val="000E1C8B"/>
    <w:pPr>
      <w:spacing w:before="240"/>
      <w:ind w:left="2600" w:hanging="2600"/>
      <w:jc w:val="both"/>
    </w:pPr>
    <w:rPr>
      <w:sz w:val="26"/>
    </w:rPr>
  </w:style>
  <w:style w:type="paragraph" w:customStyle="1" w:styleId="IH5Sec">
    <w:name w:val="I H5 Sec"/>
    <w:basedOn w:val="BillBasicHeading"/>
    <w:next w:val="Normal"/>
    <w:rsid w:val="000E1C8B"/>
    <w:pPr>
      <w:tabs>
        <w:tab w:val="clear" w:pos="2600"/>
        <w:tab w:val="left" w:pos="1100"/>
      </w:tabs>
      <w:spacing w:before="240"/>
      <w:ind w:left="1100" w:hanging="1100"/>
    </w:pPr>
  </w:style>
  <w:style w:type="paragraph" w:customStyle="1" w:styleId="IMain">
    <w:name w:val="I Main"/>
    <w:basedOn w:val="Amain"/>
    <w:rsid w:val="000E1C8B"/>
  </w:style>
  <w:style w:type="paragraph" w:customStyle="1" w:styleId="ISchclauseheading">
    <w:name w:val="I Sch clause heading"/>
    <w:basedOn w:val="BillBasic"/>
    <w:rsid w:val="000E1C8B"/>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0E1C8B"/>
    <w:pPr>
      <w:tabs>
        <w:tab w:val="right" w:pos="7200"/>
      </w:tabs>
      <w:spacing w:before="240"/>
      <w:ind w:left="2600" w:hanging="2600"/>
    </w:pPr>
    <w:rPr>
      <w:sz w:val="28"/>
    </w:rPr>
  </w:style>
  <w:style w:type="paragraph" w:customStyle="1" w:styleId="ISched-heading">
    <w:name w:val="I Sched-heading"/>
    <w:basedOn w:val="BillBasicHeading"/>
    <w:next w:val="Normal"/>
    <w:rsid w:val="000E1C8B"/>
    <w:pPr>
      <w:spacing w:before="320"/>
      <w:ind w:left="2600" w:hanging="2600"/>
    </w:pPr>
    <w:rPr>
      <w:sz w:val="34"/>
    </w:rPr>
  </w:style>
  <w:style w:type="paragraph" w:customStyle="1" w:styleId="ISched-Part">
    <w:name w:val="I Sched-Part"/>
    <w:basedOn w:val="BillBasicHeading"/>
    <w:rsid w:val="000E1C8B"/>
    <w:pPr>
      <w:spacing w:before="380"/>
      <w:ind w:left="2600" w:hanging="2600"/>
    </w:pPr>
    <w:rPr>
      <w:sz w:val="32"/>
    </w:rPr>
  </w:style>
  <w:style w:type="paragraph" w:customStyle="1" w:styleId="IshadedH5Sec">
    <w:name w:val="I shaded H5 Sec"/>
    <w:basedOn w:val="AH5Sec"/>
    <w:rsid w:val="000E1C8B"/>
    <w:pPr>
      <w:shd w:val="pct25" w:color="auto" w:fill="auto"/>
      <w:outlineLvl w:val="9"/>
    </w:pPr>
  </w:style>
  <w:style w:type="paragraph" w:customStyle="1" w:styleId="Schclauseheading">
    <w:name w:val="Sch clause heading"/>
    <w:basedOn w:val="BillBasic"/>
    <w:next w:val="SchAmain"/>
    <w:rsid w:val="000E1C8B"/>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0E1C8B"/>
  </w:style>
  <w:style w:type="paragraph" w:customStyle="1" w:styleId="ShadedSchClause">
    <w:name w:val="Shaded Sch Clause"/>
    <w:basedOn w:val="Schclauseheading"/>
    <w:next w:val="direction"/>
    <w:rsid w:val="000E1C8B"/>
    <w:pPr>
      <w:shd w:val="pct25" w:color="auto" w:fill="auto"/>
      <w:outlineLvl w:val="3"/>
    </w:pPr>
  </w:style>
  <w:style w:type="paragraph" w:customStyle="1" w:styleId="IshadedSchClause">
    <w:name w:val="I shaded Sch Clause"/>
    <w:basedOn w:val="IshadedH5Sec"/>
    <w:rsid w:val="000E1C8B"/>
  </w:style>
  <w:style w:type="paragraph" w:customStyle="1" w:styleId="Isubsubpara">
    <w:name w:val="I subsubpara"/>
    <w:basedOn w:val="Asubsubpara"/>
    <w:rsid w:val="000E1C8B"/>
    <w:pPr>
      <w:tabs>
        <w:tab w:val="clear" w:pos="2400"/>
        <w:tab w:val="clear" w:pos="2600"/>
        <w:tab w:val="right" w:pos="2460"/>
        <w:tab w:val="left" w:pos="2660"/>
      </w:tabs>
      <w:ind w:left="2660" w:hanging="2660"/>
    </w:pPr>
  </w:style>
  <w:style w:type="paragraph" w:customStyle="1" w:styleId="Minister">
    <w:name w:val="Minister"/>
    <w:basedOn w:val="BillBasic"/>
    <w:rsid w:val="000E1C8B"/>
    <w:pPr>
      <w:spacing w:before="640"/>
      <w:jc w:val="right"/>
    </w:pPr>
    <w:rPr>
      <w:caps/>
    </w:rPr>
  </w:style>
  <w:style w:type="paragraph" w:customStyle="1" w:styleId="Judges">
    <w:name w:val="Judges"/>
    <w:basedOn w:val="Minister"/>
    <w:rsid w:val="000E1C8B"/>
    <w:pPr>
      <w:spacing w:before="180"/>
    </w:pPr>
  </w:style>
  <w:style w:type="paragraph" w:customStyle="1" w:styleId="LegHistNote">
    <w:name w:val="LegHistNote"/>
    <w:basedOn w:val="Actdetails"/>
    <w:rsid w:val="000E1C8B"/>
    <w:pPr>
      <w:spacing w:before="60"/>
      <w:ind w:left="2700" w:right="-60" w:hanging="1300"/>
    </w:pPr>
    <w:rPr>
      <w:sz w:val="18"/>
    </w:rPr>
  </w:style>
  <w:style w:type="character" w:styleId="LineNumber">
    <w:name w:val="line number"/>
    <w:basedOn w:val="DefaultParagraphFont"/>
    <w:rsid w:val="000E1C8B"/>
    <w:rPr>
      <w:rFonts w:ascii="Arial" w:hAnsi="Arial" w:cs="Times New Roman"/>
      <w:sz w:val="16"/>
    </w:rPr>
  </w:style>
  <w:style w:type="paragraph" w:customStyle="1" w:styleId="LongTitle">
    <w:name w:val="LongTitle"/>
    <w:basedOn w:val="BillBasic"/>
    <w:rsid w:val="000E1C8B"/>
    <w:pPr>
      <w:spacing w:before="300"/>
    </w:pPr>
  </w:style>
  <w:style w:type="paragraph" w:customStyle="1" w:styleId="LongTitleSymb">
    <w:name w:val="LongTitleSymb"/>
    <w:basedOn w:val="LongTitle"/>
    <w:rsid w:val="000E1C8B"/>
    <w:pPr>
      <w:ind w:hanging="480"/>
    </w:pPr>
  </w:style>
  <w:style w:type="paragraph" w:styleId="MacroText">
    <w:name w:val="macro"/>
    <w:link w:val="MacroTextChar"/>
    <w:semiHidden/>
    <w:rsid w:val="000E1C8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locked/>
    <w:rsid w:val="00020777"/>
    <w:rPr>
      <w:rFonts w:ascii="Courier New" w:hAnsi="Courier New" w:cs="Courier New"/>
      <w:lang w:eastAsia="en-US"/>
    </w:rPr>
  </w:style>
  <w:style w:type="paragraph" w:customStyle="1" w:styleId="madeunder">
    <w:name w:val="made under"/>
    <w:basedOn w:val="BillBasic"/>
    <w:rsid w:val="000E1C8B"/>
    <w:pPr>
      <w:spacing w:before="240"/>
    </w:pPr>
  </w:style>
  <w:style w:type="paragraph" w:customStyle="1" w:styleId="MinisterWord">
    <w:name w:val="MinisterWord"/>
    <w:basedOn w:val="Normal"/>
    <w:rsid w:val="000E1C8B"/>
    <w:pPr>
      <w:spacing w:before="60"/>
      <w:jc w:val="right"/>
    </w:pPr>
  </w:style>
  <w:style w:type="paragraph" w:customStyle="1" w:styleId="ModaNote">
    <w:name w:val="Mod aNote"/>
    <w:basedOn w:val="aNote"/>
    <w:rsid w:val="00496D92"/>
    <w:pPr>
      <w:tabs>
        <w:tab w:val="left" w:pos="2600"/>
      </w:tabs>
      <w:ind w:left="2600"/>
    </w:pPr>
  </w:style>
  <w:style w:type="paragraph" w:customStyle="1" w:styleId="ModH1Chapter">
    <w:name w:val="Mod H1 Chapter"/>
    <w:basedOn w:val="IH1Chap"/>
    <w:rsid w:val="00496D92"/>
    <w:pPr>
      <w:tabs>
        <w:tab w:val="clear" w:pos="2600"/>
        <w:tab w:val="left" w:pos="3300"/>
      </w:tabs>
      <w:ind w:left="3300"/>
    </w:pPr>
  </w:style>
  <w:style w:type="paragraph" w:customStyle="1" w:styleId="ModH2Part">
    <w:name w:val="Mod H2 Part"/>
    <w:basedOn w:val="IH2Part"/>
    <w:rsid w:val="00496D92"/>
    <w:pPr>
      <w:tabs>
        <w:tab w:val="clear" w:pos="2600"/>
        <w:tab w:val="left" w:pos="3300"/>
      </w:tabs>
      <w:ind w:left="3300"/>
    </w:pPr>
  </w:style>
  <w:style w:type="paragraph" w:customStyle="1" w:styleId="ModH3Div">
    <w:name w:val="Mod H3 Div"/>
    <w:basedOn w:val="IH3Div"/>
    <w:rsid w:val="00496D92"/>
    <w:pPr>
      <w:tabs>
        <w:tab w:val="clear" w:pos="2600"/>
        <w:tab w:val="left" w:pos="3300"/>
      </w:tabs>
      <w:ind w:left="3300"/>
    </w:pPr>
  </w:style>
  <w:style w:type="paragraph" w:customStyle="1" w:styleId="ModH4SubDiv">
    <w:name w:val="Mod H4 SubDiv"/>
    <w:basedOn w:val="IH4SubDiv"/>
    <w:rsid w:val="00496D92"/>
    <w:pPr>
      <w:tabs>
        <w:tab w:val="clear" w:pos="2600"/>
        <w:tab w:val="left" w:pos="3300"/>
      </w:tabs>
      <w:ind w:left="3300"/>
    </w:pPr>
  </w:style>
  <w:style w:type="paragraph" w:customStyle="1" w:styleId="ModH5Sec">
    <w:name w:val="Mod H5 Sec"/>
    <w:basedOn w:val="IH5Sec"/>
    <w:rsid w:val="00496D92"/>
    <w:pPr>
      <w:tabs>
        <w:tab w:val="clear" w:pos="1100"/>
        <w:tab w:val="left" w:pos="1800"/>
      </w:tabs>
      <w:ind w:left="2200"/>
    </w:pPr>
  </w:style>
  <w:style w:type="paragraph" w:customStyle="1" w:styleId="Modmain">
    <w:name w:val="Mod main"/>
    <w:basedOn w:val="Amain"/>
    <w:rsid w:val="00496D92"/>
    <w:pPr>
      <w:tabs>
        <w:tab w:val="clear" w:pos="900"/>
        <w:tab w:val="clear" w:pos="1100"/>
        <w:tab w:val="right" w:pos="1600"/>
        <w:tab w:val="left" w:pos="1800"/>
      </w:tabs>
      <w:ind w:left="2200"/>
    </w:pPr>
  </w:style>
  <w:style w:type="paragraph" w:customStyle="1" w:styleId="Modmainreturn">
    <w:name w:val="Mod main return"/>
    <w:basedOn w:val="Amainreturn"/>
    <w:rsid w:val="00496D92"/>
    <w:pPr>
      <w:ind w:left="1800"/>
    </w:pPr>
  </w:style>
  <w:style w:type="paragraph" w:customStyle="1" w:styleId="ModNote">
    <w:name w:val="Mod Note"/>
    <w:basedOn w:val="aNote"/>
    <w:rsid w:val="00496D92"/>
    <w:pPr>
      <w:tabs>
        <w:tab w:val="left" w:pos="2600"/>
      </w:tabs>
      <w:ind w:left="2600"/>
    </w:pPr>
  </w:style>
  <w:style w:type="paragraph" w:customStyle="1" w:styleId="Modpara">
    <w:name w:val="Mod para"/>
    <w:basedOn w:val="BillBasic"/>
    <w:rsid w:val="00496D92"/>
    <w:pPr>
      <w:tabs>
        <w:tab w:val="right" w:pos="2100"/>
        <w:tab w:val="left" w:pos="2300"/>
      </w:tabs>
      <w:ind w:left="2700" w:hanging="1600"/>
      <w:outlineLvl w:val="6"/>
    </w:pPr>
  </w:style>
  <w:style w:type="paragraph" w:customStyle="1" w:styleId="Modparareturn">
    <w:name w:val="Mod para return"/>
    <w:basedOn w:val="Aparareturn"/>
    <w:rsid w:val="00496D92"/>
    <w:pPr>
      <w:ind w:left="2300"/>
    </w:pPr>
  </w:style>
  <w:style w:type="paragraph" w:customStyle="1" w:styleId="ref">
    <w:name w:val="ref"/>
    <w:basedOn w:val="BillBasic"/>
    <w:next w:val="Normal"/>
    <w:rsid w:val="000E1C8B"/>
    <w:pPr>
      <w:spacing w:before="60"/>
    </w:pPr>
    <w:rPr>
      <w:sz w:val="18"/>
    </w:rPr>
  </w:style>
  <w:style w:type="paragraph" w:customStyle="1" w:styleId="Modref">
    <w:name w:val="Mod ref"/>
    <w:basedOn w:val="ref"/>
    <w:rsid w:val="00496D92"/>
    <w:pPr>
      <w:ind w:left="1100"/>
    </w:pPr>
  </w:style>
  <w:style w:type="paragraph" w:customStyle="1" w:styleId="Modsubpara">
    <w:name w:val="Mod subpara"/>
    <w:basedOn w:val="Asubpara"/>
    <w:rsid w:val="00496D92"/>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496D92"/>
    <w:pPr>
      <w:ind w:left="3040"/>
    </w:pPr>
  </w:style>
  <w:style w:type="paragraph" w:customStyle="1" w:styleId="Modsubsubpara">
    <w:name w:val="Mod subsubpara"/>
    <w:basedOn w:val="Asubsubpara"/>
    <w:rsid w:val="00496D92"/>
    <w:pPr>
      <w:tabs>
        <w:tab w:val="clear" w:pos="2400"/>
        <w:tab w:val="clear" w:pos="2600"/>
        <w:tab w:val="right" w:pos="3160"/>
        <w:tab w:val="left" w:pos="3360"/>
      </w:tabs>
      <w:ind w:left="3760" w:hanging="2660"/>
    </w:pPr>
  </w:style>
  <w:style w:type="paragraph" w:customStyle="1" w:styleId="N-14pt">
    <w:name w:val="N-14pt"/>
    <w:basedOn w:val="BillBasic"/>
    <w:rsid w:val="000E1C8B"/>
    <w:pPr>
      <w:spacing w:before="0"/>
    </w:pPr>
    <w:rPr>
      <w:b/>
      <w:sz w:val="28"/>
    </w:rPr>
  </w:style>
  <w:style w:type="paragraph" w:customStyle="1" w:styleId="N-16pt">
    <w:name w:val="N-16pt"/>
    <w:basedOn w:val="BillBasic"/>
    <w:rsid w:val="000E1C8B"/>
    <w:pPr>
      <w:spacing w:before="800"/>
    </w:pPr>
    <w:rPr>
      <w:b/>
      <w:sz w:val="32"/>
    </w:rPr>
  </w:style>
  <w:style w:type="paragraph" w:customStyle="1" w:styleId="NewAct">
    <w:name w:val="New Act"/>
    <w:basedOn w:val="Normal"/>
    <w:next w:val="Actdetails"/>
    <w:rsid w:val="000E1C8B"/>
    <w:pPr>
      <w:keepNext/>
      <w:spacing w:before="180"/>
      <w:ind w:left="1100"/>
    </w:pPr>
    <w:rPr>
      <w:rFonts w:ascii="Arial" w:hAnsi="Arial"/>
      <w:b/>
      <w:sz w:val="20"/>
    </w:rPr>
  </w:style>
  <w:style w:type="paragraph" w:customStyle="1" w:styleId="NewReg">
    <w:name w:val="New Reg"/>
    <w:basedOn w:val="NewAct"/>
    <w:next w:val="Actdetails"/>
    <w:rsid w:val="000E1C8B"/>
  </w:style>
  <w:style w:type="paragraph" w:customStyle="1" w:styleId="N-line1">
    <w:name w:val="N-line1"/>
    <w:basedOn w:val="BillBasic"/>
    <w:rsid w:val="000E1C8B"/>
    <w:pPr>
      <w:pBdr>
        <w:bottom w:val="single" w:sz="4" w:space="0" w:color="auto"/>
      </w:pBdr>
      <w:spacing w:before="100"/>
      <w:ind w:left="2980" w:right="3020"/>
      <w:jc w:val="center"/>
    </w:pPr>
  </w:style>
  <w:style w:type="paragraph" w:customStyle="1" w:styleId="N-line2">
    <w:name w:val="N-line2"/>
    <w:basedOn w:val="Normal"/>
    <w:rsid w:val="000E1C8B"/>
    <w:pPr>
      <w:pBdr>
        <w:bottom w:val="single" w:sz="8" w:space="0" w:color="auto"/>
      </w:pBdr>
    </w:pPr>
  </w:style>
  <w:style w:type="paragraph" w:customStyle="1" w:styleId="Norm-5pt">
    <w:name w:val="Norm-5pt"/>
    <w:basedOn w:val="Normal"/>
    <w:rsid w:val="000E1C8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0E1C8B"/>
    <w:pPr>
      <w:spacing w:before="360"/>
      <w:jc w:val="right"/>
    </w:pPr>
    <w:rPr>
      <w:i/>
    </w:rPr>
  </w:style>
  <w:style w:type="character" w:styleId="PageNumber">
    <w:name w:val="page number"/>
    <w:basedOn w:val="DefaultParagraphFont"/>
    <w:rsid w:val="000E1C8B"/>
    <w:rPr>
      <w:rFonts w:cs="Times New Roman"/>
    </w:rPr>
  </w:style>
  <w:style w:type="paragraph" w:customStyle="1" w:styleId="PageBreak">
    <w:name w:val="PageBreak"/>
    <w:basedOn w:val="Normal"/>
    <w:rsid w:val="000E1C8B"/>
    <w:rPr>
      <w:sz w:val="4"/>
    </w:rPr>
  </w:style>
  <w:style w:type="paragraph" w:customStyle="1" w:styleId="Penalty">
    <w:name w:val="Penalty"/>
    <w:basedOn w:val="Amainreturn"/>
    <w:rsid w:val="000E1C8B"/>
  </w:style>
  <w:style w:type="paragraph" w:customStyle="1" w:styleId="PenaltyHeading">
    <w:name w:val="PenaltyHeading"/>
    <w:basedOn w:val="Normal"/>
    <w:rsid w:val="000E1C8B"/>
    <w:pPr>
      <w:tabs>
        <w:tab w:val="left" w:pos="1100"/>
      </w:tabs>
      <w:spacing w:before="120"/>
      <w:ind w:left="1100" w:hanging="1100"/>
    </w:pPr>
    <w:rPr>
      <w:rFonts w:ascii="Arial" w:hAnsi="Arial"/>
      <w:b/>
      <w:sz w:val="20"/>
    </w:rPr>
  </w:style>
  <w:style w:type="paragraph" w:customStyle="1" w:styleId="PenaltyPara">
    <w:name w:val="PenaltyPara"/>
    <w:basedOn w:val="Normal"/>
    <w:rsid w:val="000E1C8B"/>
    <w:pPr>
      <w:tabs>
        <w:tab w:val="right" w:pos="1360"/>
      </w:tabs>
      <w:spacing w:before="60"/>
      <w:ind w:left="1600" w:hanging="1600"/>
      <w:jc w:val="both"/>
    </w:pPr>
  </w:style>
  <w:style w:type="paragraph" w:styleId="PlainText">
    <w:name w:val="Plain Text"/>
    <w:basedOn w:val="Normal"/>
    <w:link w:val="PlainTextChar"/>
    <w:rsid w:val="000E1C8B"/>
    <w:rPr>
      <w:rFonts w:ascii="Courier New" w:hAnsi="Courier New"/>
      <w:sz w:val="20"/>
    </w:rPr>
  </w:style>
  <w:style w:type="character" w:customStyle="1" w:styleId="PlainTextChar">
    <w:name w:val="Plain Text Char"/>
    <w:basedOn w:val="DefaultParagraphFont"/>
    <w:link w:val="PlainText"/>
    <w:rsid w:val="000D35CA"/>
    <w:rPr>
      <w:rFonts w:ascii="Courier New" w:hAnsi="Courier New" w:cs="Courier New"/>
      <w:lang w:eastAsia="en-US"/>
    </w:rPr>
  </w:style>
  <w:style w:type="paragraph" w:customStyle="1" w:styleId="RenumProvEntries">
    <w:name w:val="RenumProvEntries"/>
    <w:basedOn w:val="Normal"/>
    <w:rsid w:val="000E1C8B"/>
    <w:pPr>
      <w:spacing w:before="60"/>
    </w:pPr>
    <w:rPr>
      <w:rFonts w:ascii="Arial" w:hAnsi="Arial"/>
      <w:sz w:val="20"/>
    </w:rPr>
  </w:style>
  <w:style w:type="paragraph" w:customStyle="1" w:styleId="RenumProvHdg">
    <w:name w:val="RenumProvHdg"/>
    <w:basedOn w:val="Normal"/>
    <w:rsid w:val="000E1C8B"/>
    <w:rPr>
      <w:rFonts w:ascii="Arial" w:hAnsi="Arial"/>
      <w:b/>
      <w:sz w:val="22"/>
    </w:rPr>
  </w:style>
  <w:style w:type="paragraph" w:customStyle="1" w:styleId="RenumProvHeader">
    <w:name w:val="RenumProvHeader"/>
    <w:basedOn w:val="Normal"/>
    <w:rsid w:val="000E1C8B"/>
    <w:rPr>
      <w:rFonts w:ascii="Arial" w:hAnsi="Arial"/>
      <w:b/>
      <w:sz w:val="22"/>
    </w:rPr>
  </w:style>
  <w:style w:type="paragraph" w:customStyle="1" w:styleId="RenumProvSubsectEntries">
    <w:name w:val="RenumProvSubsectEntries"/>
    <w:basedOn w:val="RenumProvEntries"/>
    <w:rsid w:val="000E1C8B"/>
    <w:pPr>
      <w:ind w:left="252"/>
    </w:pPr>
  </w:style>
  <w:style w:type="paragraph" w:customStyle="1" w:styleId="RenumTableHdg">
    <w:name w:val="RenumTableHdg"/>
    <w:basedOn w:val="Normal"/>
    <w:rsid w:val="000E1C8B"/>
    <w:pPr>
      <w:spacing w:before="120"/>
    </w:pPr>
    <w:rPr>
      <w:rFonts w:ascii="Arial" w:hAnsi="Arial"/>
      <w:b/>
      <w:sz w:val="20"/>
    </w:rPr>
  </w:style>
  <w:style w:type="paragraph" w:customStyle="1" w:styleId="SchclauseheadingSymb">
    <w:name w:val="Sch clause heading Symb"/>
    <w:basedOn w:val="Schclauseheading"/>
    <w:rsid w:val="000E1C8B"/>
    <w:pPr>
      <w:tabs>
        <w:tab w:val="left" w:pos="0"/>
      </w:tabs>
      <w:ind w:left="980" w:hanging="1460"/>
    </w:pPr>
  </w:style>
  <w:style w:type="paragraph" w:customStyle="1" w:styleId="SchSubClause">
    <w:name w:val="Sch SubClause"/>
    <w:basedOn w:val="Schclauseheading"/>
    <w:rsid w:val="000E1C8B"/>
    <w:rPr>
      <w:b w:val="0"/>
    </w:rPr>
  </w:style>
  <w:style w:type="paragraph" w:customStyle="1" w:styleId="Sched-Form">
    <w:name w:val="Sched-Form"/>
    <w:basedOn w:val="BillBasicHeading"/>
    <w:next w:val="Schclauseheading"/>
    <w:rsid w:val="000E1C8B"/>
    <w:pPr>
      <w:tabs>
        <w:tab w:val="right" w:pos="7200"/>
      </w:tabs>
      <w:spacing w:before="240"/>
      <w:ind w:left="2600" w:hanging="2600"/>
      <w:outlineLvl w:val="2"/>
    </w:pPr>
    <w:rPr>
      <w:sz w:val="28"/>
    </w:rPr>
  </w:style>
  <w:style w:type="paragraph" w:customStyle="1" w:styleId="Sched-FormSymb">
    <w:name w:val="Sched-Form Symb"/>
    <w:basedOn w:val="Sched-Form"/>
    <w:rsid w:val="000E1C8B"/>
    <w:pPr>
      <w:tabs>
        <w:tab w:val="left" w:pos="0"/>
      </w:tabs>
      <w:ind w:left="2480" w:hanging="2960"/>
    </w:pPr>
  </w:style>
  <w:style w:type="paragraph" w:customStyle="1" w:styleId="Sched-Form-18Space">
    <w:name w:val="Sched-Form-18Space"/>
    <w:basedOn w:val="Normal"/>
    <w:rsid w:val="00496D92"/>
    <w:pPr>
      <w:spacing w:before="360" w:after="60"/>
    </w:pPr>
    <w:rPr>
      <w:sz w:val="22"/>
    </w:rPr>
  </w:style>
  <w:style w:type="paragraph" w:customStyle="1" w:styleId="Sched-heading">
    <w:name w:val="Sched-heading"/>
    <w:basedOn w:val="BillBasicHeading"/>
    <w:next w:val="ref"/>
    <w:rsid w:val="000E1C8B"/>
    <w:pPr>
      <w:spacing w:before="380"/>
      <w:ind w:left="2600" w:hanging="2600"/>
      <w:outlineLvl w:val="0"/>
    </w:pPr>
    <w:rPr>
      <w:sz w:val="34"/>
    </w:rPr>
  </w:style>
  <w:style w:type="paragraph" w:customStyle="1" w:styleId="Sched-headingSymb">
    <w:name w:val="Sched-heading Symb"/>
    <w:basedOn w:val="Sched-heading"/>
    <w:rsid w:val="000E1C8B"/>
    <w:pPr>
      <w:tabs>
        <w:tab w:val="left" w:pos="0"/>
      </w:tabs>
      <w:ind w:left="2480" w:hanging="2960"/>
    </w:pPr>
  </w:style>
  <w:style w:type="paragraph" w:customStyle="1" w:styleId="Sched-Part">
    <w:name w:val="Sched-Part"/>
    <w:basedOn w:val="BillBasicHeading"/>
    <w:next w:val="Sched-Form"/>
    <w:rsid w:val="000E1C8B"/>
    <w:pPr>
      <w:spacing w:before="380"/>
      <w:ind w:left="2600" w:hanging="2600"/>
      <w:outlineLvl w:val="1"/>
    </w:pPr>
    <w:rPr>
      <w:sz w:val="32"/>
    </w:rPr>
  </w:style>
  <w:style w:type="paragraph" w:customStyle="1" w:styleId="Sched-PartSymb">
    <w:name w:val="Sched-Part Symb"/>
    <w:basedOn w:val="Sched-Part"/>
    <w:rsid w:val="000E1C8B"/>
    <w:pPr>
      <w:tabs>
        <w:tab w:val="left" w:pos="0"/>
      </w:tabs>
      <w:ind w:left="2480" w:hanging="2960"/>
    </w:pPr>
  </w:style>
  <w:style w:type="paragraph" w:styleId="Signature">
    <w:name w:val="Signature"/>
    <w:basedOn w:val="Normal"/>
    <w:link w:val="SignatureChar"/>
    <w:rsid w:val="000E1C8B"/>
    <w:pPr>
      <w:ind w:left="4252"/>
    </w:pPr>
  </w:style>
  <w:style w:type="character" w:customStyle="1" w:styleId="SignatureChar">
    <w:name w:val="Signature Char"/>
    <w:basedOn w:val="DefaultParagraphFont"/>
    <w:link w:val="Signature"/>
    <w:rsid w:val="000D35CA"/>
    <w:rPr>
      <w:sz w:val="24"/>
      <w:lang w:eastAsia="en-US"/>
    </w:rPr>
  </w:style>
  <w:style w:type="paragraph" w:customStyle="1" w:styleId="Status">
    <w:name w:val="Status"/>
    <w:basedOn w:val="Normal"/>
    <w:rsid w:val="000E1C8B"/>
    <w:pPr>
      <w:spacing w:before="280"/>
      <w:jc w:val="center"/>
    </w:pPr>
    <w:rPr>
      <w:rFonts w:ascii="Arial" w:hAnsi="Arial"/>
      <w:sz w:val="14"/>
    </w:rPr>
  </w:style>
  <w:style w:type="paragraph" w:styleId="Subtitle">
    <w:name w:val="Subtitle"/>
    <w:basedOn w:val="Normal"/>
    <w:link w:val="SubtitleChar"/>
    <w:qFormat/>
    <w:rsid w:val="000E1C8B"/>
    <w:pPr>
      <w:spacing w:after="60"/>
      <w:jc w:val="center"/>
      <w:outlineLvl w:val="1"/>
    </w:pPr>
    <w:rPr>
      <w:rFonts w:ascii="Arial" w:hAnsi="Arial"/>
    </w:rPr>
  </w:style>
  <w:style w:type="character" w:customStyle="1" w:styleId="SubtitleChar">
    <w:name w:val="Subtitle Char"/>
    <w:basedOn w:val="DefaultParagraphFont"/>
    <w:link w:val="Subtitle"/>
    <w:locked/>
    <w:rsid w:val="00020777"/>
    <w:rPr>
      <w:rFonts w:ascii="Arial" w:hAnsi="Arial" w:cs="Times New Roman"/>
      <w:sz w:val="24"/>
      <w:lang w:eastAsia="en-US"/>
    </w:rPr>
  </w:style>
  <w:style w:type="paragraph" w:customStyle="1" w:styleId="tablepara">
    <w:name w:val="table para"/>
    <w:basedOn w:val="Normal"/>
    <w:rsid w:val="000E1C8B"/>
    <w:pPr>
      <w:tabs>
        <w:tab w:val="right" w:pos="800"/>
        <w:tab w:val="left" w:pos="1100"/>
      </w:tabs>
      <w:spacing w:before="80" w:after="60"/>
      <w:ind w:left="1100" w:hanging="1100"/>
    </w:pPr>
  </w:style>
  <w:style w:type="paragraph" w:customStyle="1" w:styleId="tablesubpara">
    <w:name w:val="table subpara"/>
    <w:basedOn w:val="Normal"/>
    <w:rsid w:val="000E1C8B"/>
    <w:pPr>
      <w:tabs>
        <w:tab w:val="right" w:pos="1500"/>
        <w:tab w:val="left" w:pos="1800"/>
      </w:tabs>
      <w:spacing w:before="80" w:after="60"/>
      <w:ind w:left="1800" w:hanging="1800"/>
    </w:pPr>
  </w:style>
  <w:style w:type="paragraph" w:customStyle="1" w:styleId="TableColHd">
    <w:name w:val="TableColHd"/>
    <w:basedOn w:val="Normal"/>
    <w:rsid w:val="000E1C8B"/>
    <w:pPr>
      <w:keepNext/>
      <w:spacing w:after="60"/>
    </w:pPr>
    <w:rPr>
      <w:rFonts w:ascii="Arial" w:hAnsi="Arial"/>
      <w:b/>
      <w:sz w:val="18"/>
    </w:rPr>
  </w:style>
  <w:style w:type="paragraph" w:customStyle="1" w:styleId="TableHd">
    <w:name w:val="TableHd"/>
    <w:basedOn w:val="Normal"/>
    <w:rsid w:val="000E1C8B"/>
    <w:pPr>
      <w:keepNext/>
      <w:spacing w:before="300"/>
      <w:ind w:left="1200" w:hanging="1200"/>
    </w:pPr>
    <w:rPr>
      <w:rFonts w:ascii="Arial" w:hAnsi="Arial"/>
      <w:b/>
      <w:sz w:val="20"/>
    </w:rPr>
  </w:style>
  <w:style w:type="paragraph" w:customStyle="1" w:styleId="TableText">
    <w:name w:val="TableText"/>
    <w:basedOn w:val="Normal"/>
    <w:rsid w:val="000E1C8B"/>
    <w:pPr>
      <w:spacing w:before="60" w:after="60"/>
    </w:pPr>
  </w:style>
  <w:style w:type="paragraph" w:customStyle="1" w:styleId="TLegEntries">
    <w:name w:val="TLegEntries"/>
    <w:basedOn w:val="Normal"/>
    <w:rsid w:val="000E1C8B"/>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0E1C8B"/>
    <w:pPr>
      <w:ind w:firstLine="0"/>
    </w:pPr>
    <w:rPr>
      <w:b/>
    </w:rPr>
  </w:style>
  <w:style w:type="paragraph" w:styleId="TOC3">
    <w:name w:val="toc 3"/>
    <w:basedOn w:val="Normal"/>
    <w:next w:val="Normal"/>
    <w:autoRedefine/>
    <w:uiPriority w:val="39"/>
    <w:rsid w:val="000E1C8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0E1C8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E1C8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E1C8B"/>
  </w:style>
  <w:style w:type="paragraph" w:styleId="TOC7">
    <w:name w:val="toc 7"/>
    <w:basedOn w:val="TOC2"/>
    <w:next w:val="Normal"/>
    <w:autoRedefine/>
    <w:uiPriority w:val="39"/>
    <w:rsid w:val="000E1C8B"/>
    <w:pPr>
      <w:keepNext w:val="0"/>
      <w:spacing w:before="120"/>
    </w:pPr>
    <w:rPr>
      <w:sz w:val="20"/>
    </w:rPr>
  </w:style>
  <w:style w:type="paragraph" w:styleId="TOC8">
    <w:name w:val="toc 8"/>
    <w:basedOn w:val="Normal"/>
    <w:next w:val="Normal"/>
    <w:autoRedefine/>
    <w:uiPriority w:val="39"/>
    <w:rsid w:val="000E1C8B"/>
    <w:pPr>
      <w:tabs>
        <w:tab w:val="left" w:pos="2000"/>
        <w:tab w:val="right" w:pos="7672"/>
      </w:tabs>
      <w:spacing w:before="120"/>
      <w:ind w:left="2000" w:right="440" w:hanging="2000"/>
    </w:pPr>
    <w:rPr>
      <w:rFonts w:ascii="Arial" w:hAnsi="Arial"/>
      <w:b/>
      <w:noProof/>
      <w:sz w:val="20"/>
    </w:rPr>
  </w:style>
  <w:style w:type="paragraph" w:styleId="TOC9">
    <w:name w:val="toc 9"/>
    <w:basedOn w:val="Normal"/>
    <w:next w:val="Normal"/>
    <w:autoRedefine/>
    <w:uiPriority w:val="39"/>
    <w:rsid w:val="000E1C8B"/>
    <w:pPr>
      <w:ind w:left="1920" w:right="600"/>
    </w:pPr>
  </w:style>
  <w:style w:type="paragraph" w:customStyle="1" w:styleId="EndNoteTextPub">
    <w:name w:val="EndNoteTextPub"/>
    <w:basedOn w:val="Normal"/>
    <w:rsid w:val="000E1C8B"/>
    <w:pPr>
      <w:spacing w:before="60"/>
      <w:ind w:left="1100"/>
      <w:jc w:val="both"/>
    </w:pPr>
    <w:rPr>
      <w:sz w:val="20"/>
    </w:rPr>
  </w:style>
  <w:style w:type="paragraph" w:customStyle="1" w:styleId="aExamHdgss">
    <w:name w:val="aExamHdgss"/>
    <w:basedOn w:val="BillBasicHeading"/>
    <w:next w:val="Normal"/>
    <w:rsid w:val="000E1C8B"/>
    <w:pPr>
      <w:tabs>
        <w:tab w:val="clear" w:pos="2600"/>
      </w:tabs>
      <w:ind w:left="1100"/>
    </w:pPr>
    <w:rPr>
      <w:sz w:val="18"/>
    </w:rPr>
  </w:style>
  <w:style w:type="paragraph" w:customStyle="1" w:styleId="aExamss">
    <w:name w:val="aExamss"/>
    <w:basedOn w:val="aNote"/>
    <w:rsid w:val="000E1C8B"/>
    <w:pPr>
      <w:spacing w:before="60"/>
      <w:ind w:left="1100" w:firstLine="0"/>
    </w:pPr>
  </w:style>
  <w:style w:type="paragraph" w:customStyle="1" w:styleId="aExamINumss">
    <w:name w:val="aExamINumss"/>
    <w:basedOn w:val="aExamss"/>
    <w:rsid w:val="000E1C8B"/>
    <w:pPr>
      <w:tabs>
        <w:tab w:val="left" w:pos="1500"/>
      </w:tabs>
      <w:ind w:left="1500" w:hanging="400"/>
    </w:pPr>
  </w:style>
  <w:style w:type="paragraph" w:customStyle="1" w:styleId="aExamNumTextss">
    <w:name w:val="aExamNumTextss"/>
    <w:basedOn w:val="aExamss"/>
    <w:rsid w:val="000E1C8B"/>
    <w:pPr>
      <w:ind w:left="1500"/>
    </w:pPr>
  </w:style>
  <w:style w:type="paragraph" w:customStyle="1" w:styleId="AExamIPara">
    <w:name w:val="AExamIPara"/>
    <w:basedOn w:val="aExam"/>
    <w:rsid w:val="000E1C8B"/>
    <w:pPr>
      <w:tabs>
        <w:tab w:val="right" w:pos="1720"/>
        <w:tab w:val="left" w:pos="2000"/>
      </w:tabs>
      <w:ind w:left="2000" w:hanging="900"/>
    </w:pPr>
  </w:style>
  <w:style w:type="paragraph" w:customStyle="1" w:styleId="aNoteTextss">
    <w:name w:val="aNoteTextss"/>
    <w:basedOn w:val="Normal"/>
    <w:rsid w:val="000E1C8B"/>
    <w:pPr>
      <w:spacing w:before="60"/>
      <w:ind w:left="1900"/>
      <w:jc w:val="both"/>
    </w:pPr>
    <w:rPr>
      <w:sz w:val="20"/>
    </w:rPr>
  </w:style>
  <w:style w:type="paragraph" w:customStyle="1" w:styleId="aNoteParass">
    <w:name w:val="aNoteParass"/>
    <w:basedOn w:val="Normal"/>
    <w:rsid w:val="000E1C8B"/>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0E1C8B"/>
    <w:pPr>
      <w:ind w:left="1600"/>
    </w:pPr>
  </w:style>
  <w:style w:type="paragraph" w:customStyle="1" w:styleId="aExampar">
    <w:name w:val="aExampar"/>
    <w:basedOn w:val="aExamss"/>
    <w:rsid w:val="000E1C8B"/>
    <w:pPr>
      <w:ind w:left="1600"/>
    </w:pPr>
  </w:style>
  <w:style w:type="paragraph" w:customStyle="1" w:styleId="aNotepar">
    <w:name w:val="aNotepar"/>
    <w:basedOn w:val="BillBasic"/>
    <w:next w:val="Normal"/>
    <w:rsid w:val="000E1C8B"/>
    <w:pPr>
      <w:ind w:left="2400" w:hanging="800"/>
    </w:pPr>
    <w:rPr>
      <w:sz w:val="20"/>
    </w:rPr>
  </w:style>
  <w:style w:type="paragraph" w:customStyle="1" w:styleId="aNoteTextpar">
    <w:name w:val="aNoteTextpar"/>
    <w:basedOn w:val="aNotepar"/>
    <w:rsid w:val="000E1C8B"/>
    <w:pPr>
      <w:spacing w:before="60"/>
      <w:ind w:firstLine="0"/>
    </w:pPr>
  </w:style>
  <w:style w:type="paragraph" w:customStyle="1" w:styleId="aNoteParapar">
    <w:name w:val="aNoteParapar"/>
    <w:basedOn w:val="aNotepar"/>
    <w:rsid w:val="000E1C8B"/>
    <w:pPr>
      <w:tabs>
        <w:tab w:val="right" w:pos="2640"/>
      </w:tabs>
      <w:spacing w:before="60"/>
      <w:ind w:left="2920" w:hanging="1320"/>
    </w:pPr>
  </w:style>
  <w:style w:type="paragraph" w:customStyle="1" w:styleId="aExamHdgsubpar">
    <w:name w:val="aExamHdgsubpar"/>
    <w:basedOn w:val="aExamHdgss"/>
    <w:next w:val="Normal"/>
    <w:rsid w:val="000E1C8B"/>
    <w:pPr>
      <w:ind w:left="2140"/>
    </w:pPr>
  </w:style>
  <w:style w:type="paragraph" w:customStyle="1" w:styleId="aExamsubpar">
    <w:name w:val="aExamsubpar"/>
    <w:basedOn w:val="aExamss"/>
    <w:rsid w:val="000E1C8B"/>
    <w:pPr>
      <w:ind w:left="2140"/>
    </w:pPr>
  </w:style>
  <w:style w:type="paragraph" w:customStyle="1" w:styleId="aNotesubpar">
    <w:name w:val="aNotesubpar"/>
    <w:basedOn w:val="BillBasic"/>
    <w:next w:val="Normal"/>
    <w:rsid w:val="000E1C8B"/>
    <w:pPr>
      <w:ind w:left="2940" w:hanging="800"/>
    </w:pPr>
    <w:rPr>
      <w:sz w:val="20"/>
    </w:rPr>
  </w:style>
  <w:style w:type="paragraph" w:customStyle="1" w:styleId="aNoteTextsubpar">
    <w:name w:val="aNoteTextsubpar"/>
    <w:basedOn w:val="aNotesubpar"/>
    <w:rsid w:val="000E1C8B"/>
    <w:pPr>
      <w:spacing w:before="60"/>
      <w:ind w:firstLine="0"/>
    </w:pPr>
  </w:style>
  <w:style w:type="paragraph" w:customStyle="1" w:styleId="aExamBulletss">
    <w:name w:val="aExamBulletss"/>
    <w:basedOn w:val="aExamss"/>
    <w:rsid w:val="000E1C8B"/>
    <w:pPr>
      <w:ind w:left="1500" w:hanging="400"/>
    </w:pPr>
  </w:style>
  <w:style w:type="paragraph" w:customStyle="1" w:styleId="aNoteBulletss">
    <w:name w:val="aNoteBulletss"/>
    <w:basedOn w:val="Normal"/>
    <w:rsid w:val="000E1C8B"/>
    <w:pPr>
      <w:spacing w:before="60"/>
      <w:ind w:left="2300" w:hanging="400"/>
      <w:jc w:val="both"/>
    </w:pPr>
    <w:rPr>
      <w:sz w:val="20"/>
    </w:rPr>
  </w:style>
  <w:style w:type="paragraph" w:customStyle="1" w:styleId="aExamBulletpar">
    <w:name w:val="aExamBulletpar"/>
    <w:basedOn w:val="aExampar"/>
    <w:rsid w:val="000E1C8B"/>
    <w:pPr>
      <w:ind w:left="2000" w:hanging="400"/>
    </w:pPr>
  </w:style>
  <w:style w:type="paragraph" w:customStyle="1" w:styleId="aNoteBulletpar">
    <w:name w:val="aNoteBulletpar"/>
    <w:basedOn w:val="aNotepar"/>
    <w:rsid w:val="000E1C8B"/>
    <w:pPr>
      <w:spacing w:before="60"/>
      <w:ind w:left="2800" w:hanging="400"/>
    </w:pPr>
  </w:style>
  <w:style w:type="paragraph" w:customStyle="1" w:styleId="aExplanHeading">
    <w:name w:val="aExplanHeading"/>
    <w:basedOn w:val="BillBasicHeading"/>
    <w:next w:val="Normal"/>
    <w:rsid w:val="000E1C8B"/>
    <w:rPr>
      <w:rFonts w:ascii="Arial (W1)" w:hAnsi="Arial (W1)"/>
      <w:sz w:val="18"/>
    </w:rPr>
  </w:style>
  <w:style w:type="paragraph" w:customStyle="1" w:styleId="EndNoteHeading">
    <w:name w:val="EndNoteHeading"/>
    <w:basedOn w:val="BillBasicHeading"/>
    <w:rsid w:val="000E1C8B"/>
    <w:pPr>
      <w:tabs>
        <w:tab w:val="left" w:pos="700"/>
      </w:tabs>
      <w:spacing w:before="160"/>
      <w:ind w:left="700" w:hanging="700"/>
    </w:pPr>
    <w:rPr>
      <w:rFonts w:ascii="Arial (W1)" w:hAnsi="Arial (W1)"/>
    </w:rPr>
  </w:style>
  <w:style w:type="paragraph" w:customStyle="1" w:styleId="aExplanBullet">
    <w:name w:val="aExplanBullet"/>
    <w:basedOn w:val="Normal"/>
    <w:rsid w:val="000E1C8B"/>
    <w:pPr>
      <w:spacing w:before="140"/>
      <w:ind w:left="400" w:hanging="400"/>
      <w:jc w:val="both"/>
    </w:pPr>
    <w:rPr>
      <w:sz w:val="20"/>
    </w:rPr>
  </w:style>
  <w:style w:type="paragraph" w:customStyle="1" w:styleId="SchApara">
    <w:name w:val="Sch A para"/>
    <w:basedOn w:val="Apara"/>
    <w:rsid w:val="000E1C8B"/>
  </w:style>
  <w:style w:type="paragraph" w:customStyle="1" w:styleId="SchAsubpara">
    <w:name w:val="Sch A subpara"/>
    <w:basedOn w:val="Asubpara"/>
    <w:rsid w:val="000E1C8B"/>
  </w:style>
  <w:style w:type="paragraph" w:customStyle="1" w:styleId="SchAsubsubpara">
    <w:name w:val="Sch A subsubpara"/>
    <w:basedOn w:val="Asubsubpara"/>
    <w:rsid w:val="000E1C8B"/>
  </w:style>
  <w:style w:type="paragraph" w:customStyle="1" w:styleId="TOCOL1">
    <w:name w:val="TOCOL 1"/>
    <w:basedOn w:val="TOC1"/>
    <w:rsid w:val="000E1C8B"/>
  </w:style>
  <w:style w:type="paragraph" w:customStyle="1" w:styleId="TOCOL2">
    <w:name w:val="TOCOL 2"/>
    <w:basedOn w:val="TOC2"/>
    <w:rsid w:val="000E1C8B"/>
    <w:pPr>
      <w:keepNext w:val="0"/>
    </w:pPr>
  </w:style>
  <w:style w:type="paragraph" w:customStyle="1" w:styleId="TOCOL3">
    <w:name w:val="TOCOL 3"/>
    <w:rsid w:val="000E1C8B"/>
    <w:pPr>
      <w:tabs>
        <w:tab w:val="left" w:pos="2000"/>
        <w:tab w:val="right" w:pos="7672"/>
      </w:tabs>
      <w:spacing w:before="100"/>
      <w:ind w:left="2000" w:right="440" w:hanging="2000"/>
    </w:pPr>
    <w:rPr>
      <w:rFonts w:ascii="Arial" w:hAnsi="Arial"/>
      <w:b/>
      <w:noProof/>
      <w:lang w:eastAsia="en-US"/>
    </w:rPr>
  </w:style>
  <w:style w:type="paragraph" w:customStyle="1" w:styleId="TOCOL4">
    <w:name w:val="TOCOL 4"/>
    <w:basedOn w:val="TOC4"/>
    <w:rsid w:val="000E1C8B"/>
    <w:pPr>
      <w:keepNext w:val="0"/>
    </w:pPr>
  </w:style>
  <w:style w:type="paragraph" w:customStyle="1" w:styleId="TOCOL5">
    <w:name w:val="TOCOL 5"/>
    <w:basedOn w:val="TOC5"/>
    <w:rsid w:val="000E1C8B"/>
    <w:pPr>
      <w:tabs>
        <w:tab w:val="left" w:pos="400"/>
      </w:tabs>
    </w:pPr>
  </w:style>
  <w:style w:type="paragraph" w:customStyle="1" w:styleId="TOCOL6">
    <w:name w:val="TOCOL 6"/>
    <w:basedOn w:val="TOC6"/>
    <w:rsid w:val="000E1C8B"/>
    <w:pPr>
      <w:keepNext w:val="0"/>
    </w:pPr>
  </w:style>
  <w:style w:type="paragraph" w:customStyle="1" w:styleId="TOCOL7">
    <w:name w:val="TOCOL 7"/>
    <w:basedOn w:val="TOC7"/>
    <w:rsid w:val="000E1C8B"/>
  </w:style>
  <w:style w:type="paragraph" w:customStyle="1" w:styleId="TOCOL8">
    <w:name w:val="TOCOL 8"/>
    <w:basedOn w:val="TOC8"/>
    <w:rsid w:val="000E1C8B"/>
  </w:style>
  <w:style w:type="paragraph" w:customStyle="1" w:styleId="TOCOL9">
    <w:name w:val="TOCOL 9"/>
    <w:basedOn w:val="TOC9"/>
    <w:rsid w:val="000E1C8B"/>
    <w:pPr>
      <w:ind w:right="0"/>
    </w:pPr>
  </w:style>
  <w:style w:type="paragraph" w:customStyle="1" w:styleId="TOC10">
    <w:name w:val="TOC 10"/>
    <w:basedOn w:val="TOC5"/>
    <w:rsid w:val="000E1C8B"/>
    <w:rPr>
      <w:szCs w:val="24"/>
    </w:rPr>
  </w:style>
  <w:style w:type="character" w:customStyle="1" w:styleId="charNotBold">
    <w:name w:val="charNotBold"/>
    <w:basedOn w:val="DefaultParagraphFont"/>
    <w:rsid w:val="000E1C8B"/>
    <w:rPr>
      <w:rFonts w:ascii="Arial" w:hAnsi="Arial" w:cs="Times New Roman"/>
      <w:sz w:val="20"/>
    </w:rPr>
  </w:style>
  <w:style w:type="paragraph" w:customStyle="1" w:styleId="Billname1">
    <w:name w:val="Billname1"/>
    <w:basedOn w:val="Normal"/>
    <w:rsid w:val="000E1C8B"/>
    <w:pPr>
      <w:tabs>
        <w:tab w:val="left" w:pos="2400"/>
      </w:tabs>
      <w:spacing w:before="1220"/>
    </w:pPr>
    <w:rPr>
      <w:rFonts w:ascii="Arial" w:hAnsi="Arial"/>
      <w:b/>
      <w:sz w:val="40"/>
    </w:rPr>
  </w:style>
  <w:style w:type="paragraph" w:customStyle="1" w:styleId="TablePara10">
    <w:name w:val="TablePara10"/>
    <w:basedOn w:val="tablepara"/>
    <w:rsid w:val="000E1C8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E1C8B"/>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0E1C8B"/>
    <w:rPr>
      <w:sz w:val="20"/>
    </w:rPr>
  </w:style>
  <w:style w:type="paragraph" w:customStyle="1" w:styleId="aExamINumpar">
    <w:name w:val="aExamINumpar"/>
    <w:basedOn w:val="aExampar"/>
    <w:rsid w:val="000E1C8B"/>
    <w:pPr>
      <w:tabs>
        <w:tab w:val="left" w:pos="2000"/>
      </w:tabs>
      <w:ind w:left="2000" w:hanging="400"/>
    </w:pPr>
  </w:style>
  <w:style w:type="paragraph" w:customStyle="1" w:styleId="CellHeading">
    <w:name w:val="CellHeading"/>
    <w:uiPriority w:val="99"/>
    <w:rsid w:val="00020777"/>
    <w:pPr>
      <w:suppressAutoHyphens/>
      <w:autoSpaceDE w:val="0"/>
      <w:autoSpaceDN w:val="0"/>
      <w:adjustRightInd w:val="0"/>
      <w:spacing w:line="220" w:lineRule="atLeast"/>
    </w:pPr>
    <w:rPr>
      <w:rFonts w:ascii="Helvetica" w:eastAsiaTheme="minorEastAsia" w:hAnsi="Helvetica" w:cs="Helvetica"/>
      <w:b/>
      <w:bCs/>
      <w:color w:val="000000"/>
      <w:w w:val="0"/>
      <w:lang w:val="en-GB"/>
    </w:rPr>
  </w:style>
  <w:style w:type="paragraph" w:customStyle="1" w:styleId="CellBody">
    <w:name w:val="CellBody"/>
    <w:uiPriority w:val="99"/>
    <w:rsid w:val="00020777"/>
    <w:pPr>
      <w:tabs>
        <w:tab w:val="left" w:pos="480"/>
        <w:tab w:val="right" w:leader="dot" w:pos="5400"/>
      </w:tabs>
      <w:suppressAutoHyphens/>
      <w:autoSpaceDE w:val="0"/>
      <w:autoSpaceDN w:val="0"/>
      <w:adjustRightInd w:val="0"/>
      <w:spacing w:line="260" w:lineRule="atLeast"/>
    </w:pPr>
    <w:rPr>
      <w:rFonts w:ascii="Times" w:eastAsiaTheme="minorEastAsia" w:hAnsi="Times" w:cs="Times"/>
      <w:color w:val="000000"/>
      <w:w w:val="0"/>
      <w:sz w:val="24"/>
      <w:szCs w:val="24"/>
      <w:lang w:val="en-GB"/>
    </w:rPr>
  </w:style>
  <w:style w:type="paragraph" w:customStyle="1" w:styleId="02Text">
    <w:name w:val="02Text"/>
    <w:basedOn w:val="Normal"/>
    <w:rsid w:val="00020777"/>
  </w:style>
  <w:style w:type="paragraph" w:customStyle="1" w:styleId="BillCrest">
    <w:name w:val="Bill Crest"/>
    <w:basedOn w:val="Normal"/>
    <w:next w:val="Normal"/>
    <w:rsid w:val="00020777"/>
    <w:pPr>
      <w:tabs>
        <w:tab w:val="center" w:pos="3160"/>
      </w:tabs>
      <w:spacing w:after="60"/>
    </w:pPr>
    <w:rPr>
      <w:sz w:val="216"/>
    </w:rPr>
  </w:style>
  <w:style w:type="paragraph" w:customStyle="1" w:styleId="EndNote20">
    <w:name w:val="EndNote2"/>
    <w:basedOn w:val="BillBasic"/>
    <w:rsid w:val="00020777"/>
    <w:pPr>
      <w:keepNext/>
      <w:tabs>
        <w:tab w:val="left" w:pos="240"/>
      </w:tabs>
      <w:spacing w:before="160" w:after="80"/>
      <w:jc w:val="left"/>
    </w:pPr>
    <w:rPr>
      <w:b/>
      <w:sz w:val="18"/>
    </w:rPr>
  </w:style>
  <w:style w:type="paragraph" w:customStyle="1" w:styleId="05EndNote0">
    <w:name w:val="05EndNote"/>
    <w:basedOn w:val="Normal"/>
    <w:rsid w:val="00020777"/>
  </w:style>
  <w:style w:type="paragraph" w:styleId="Title">
    <w:name w:val="Title"/>
    <w:basedOn w:val="Normal"/>
    <w:link w:val="TitleChar"/>
    <w:qFormat/>
    <w:rsid w:val="00020777"/>
    <w:pPr>
      <w:spacing w:before="240" w:after="60"/>
      <w:jc w:val="center"/>
      <w:outlineLvl w:val="0"/>
    </w:pPr>
    <w:rPr>
      <w:rFonts w:ascii="Arial" w:hAnsi="Arial"/>
      <w:b/>
      <w:kern w:val="28"/>
      <w:sz w:val="32"/>
    </w:rPr>
  </w:style>
  <w:style w:type="character" w:customStyle="1" w:styleId="TitleChar">
    <w:name w:val="Title Char"/>
    <w:basedOn w:val="DefaultParagraphFont"/>
    <w:link w:val="Title"/>
    <w:locked/>
    <w:rsid w:val="00020777"/>
    <w:rPr>
      <w:rFonts w:ascii="Arial" w:hAnsi="Arial" w:cs="Times New Roman"/>
      <w:b/>
      <w:kern w:val="28"/>
      <w:sz w:val="32"/>
      <w:lang w:eastAsia="en-US"/>
    </w:rPr>
  </w:style>
  <w:style w:type="paragraph" w:customStyle="1" w:styleId="EndNoteSubHeading">
    <w:name w:val="EndNoteSubHeading"/>
    <w:basedOn w:val="Normal"/>
    <w:next w:val="EndNoteText"/>
    <w:rsid w:val="00020777"/>
    <w:pPr>
      <w:keepNext/>
      <w:tabs>
        <w:tab w:val="left" w:pos="700"/>
      </w:tabs>
      <w:spacing w:before="120"/>
      <w:ind w:left="700" w:hanging="700"/>
    </w:pPr>
    <w:rPr>
      <w:rFonts w:ascii="Arial" w:hAnsi="Arial"/>
      <w:b/>
      <w:sz w:val="20"/>
    </w:rPr>
  </w:style>
  <w:style w:type="paragraph" w:styleId="Salutation">
    <w:name w:val="Salutation"/>
    <w:basedOn w:val="Normal"/>
    <w:next w:val="Normal"/>
    <w:link w:val="SalutationChar"/>
    <w:rsid w:val="00020777"/>
  </w:style>
  <w:style w:type="character" w:customStyle="1" w:styleId="SalutationChar">
    <w:name w:val="Salutation Char"/>
    <w:basedOn w:val="DefaultParagraphFont"/>
    <w:link w:val="Salutation"/>
    <w:locked/>
    <w:rsid w:val="00020777"/>
    <w:rPr>
      <w:rFonts w:cs="Times New Roman"/>
      <w:sz w:val="24"/>
      <w:lang w:eastAsia="en-US"/>
    </w:rPr>
  </w:style>
  <w:style w:type="paragraph" w:customStyle="1" w:styleId="aNotess">
    <w:name w:val="aNotess"/>
    <w:basedOn w:val="BillBasic"/>
    <w:rsid w:val="00020777"/>
    <w:pPr>
      <w:ind w:left="1900" w:hanging="800"/>
    </w:pPr>
    <w:rPr>
      <w:sz w:val="20"/>
    </w:rPr>
  </w:style>
  <w:style w:type="paragraph" w:customStyle="1" w:styleId="aExplanText">
    <w:name w:val="aExplanText"/>
    <w:basedOn w:val="BillBasic"/>
    <w:rsid w:val="00020777"/>
    <w:rPr>
      <w:sz w:val="20"/>
    </w:rPr>
  </w:style>
  <w:style w:type="paragraph" w:customStyle="1" w:styleId="aExamINum">
    <w:name w:val="aExamINum"/>
    <w:basedOn w:val="aExam"/>
    <w:rsid w:val="00020777"/>
    <w:pPr>
      <w:tabs>
        <w:tab w:val="left" w:pos="1500"/>
      </w:tabs>
      <w:ind w:left="1500" w:hanging="400"/>
    </w:pPr>
  </w:style>
  <w:style w:type="paragraph" w:customStyle="1" w:styleId="AH3sec">
    <w:name w:val="A H3 sec"/>
    <w:basedOn w:val="Normal"/>
    <w:next w:val="Amain"/>
    <w:rsid w:val="00020777"/>
    <w:pPr>
      <w:keepNext/>
      <w:keepLines/>
      <w:numPr>
        <w:numId w:val="3"/>
      </w:numPr>
      <w:pBdr>
        <w:top w:val="single" w:sz="4" w:space="1" w:color="auto"/>
      </w:pBdr>
      <w:tabs>
        <w:tab w:val="left" w:pos="284"/>
      </w:tabs>
      <w:spacing w:before="180" w:after="60"/>
      <w:ind w:left="0" w:firstLine="0"/>
    </w:pPr>
    <w:rPr>
      <w:rFonts w:ascii="Arial" w:hAnsi="Arial"/>
      <w:b/>
      <w:sz w:val="22"/>
    </w:rPr>
  </w:style>
  <w:style w:type="paragraph" w:customStyle="1" w:styleId="aExamNumTextpar">
    <w:name w:val="aExamNumTextpar"/>
    <w:basedOn w:val="aExampar"/>
    <w:rsid w:val="00020777"/>
    <w:pPr>
      <w:ind w:left="2000"/>
    </w:pPr>
  </w:style>
  <w:style w:type="paragraph" w:customStyle="1" w:styleId="aExamNumsubpar">
    <w:name w:val="aExamNumsubpar"/>
    <w:basedOn w:val="aExamsubpar"/>
    <w:rsid w:val="00020777"/>
    <w:pPr>
      <w:tabs>
        <w:tab w:val="left" w:pos="2540"/>
      </w:tabs>
      <w:ind w:left="2540" w:hanging="400"/>
    </w:pPr>
  </w:style>
  <w:style w:type="paragraph" w:customStyle="1" w:styleId="aExamNumTextsubpar">
    <w:name w:val="aExamNumTextsubpar"/>
    <w:basedOn w:val="aExampar"/>
    <w:rsid w:val="00020777"/>
    <w:pPr>
      <w:ind w:left="2540"/>
    </w:pPr>
  </w:style>
  <w:style w:type="paragraph" w:customStyle="1" w:styleId="aExamBulletsubpar">
    <w:name w:val="aExamBulletsubpar"/>
    <w:basedOn w:val="aExamsubpar"/>
    <w:rsid w:val="00020777"/>
    <w:pPr>
      <w:tabs>
        <w:tab w:val="num" w:pos="2540"/>
      </w:tabs>
      <w:ind w:left="2540" w:hanging="400"/>
    </w:pPr>
  </w:style>
  <w:style w:type="paragraph" w:customStyle="1" w:styleId="aNoteParasubpar">
    <w:name w:val="aNoteParasubpar"/>
    <w:basedOn w:val="aNotesubpar"/>
    <w:rsid w:val="00020777"/>
    <w:pPr>
      <w:tabs>
        <w:tab w:val="right" w:pos="3180"/>
      </w:tabs>
      <w:spacing w:before="0"/>
      <w:ind w:left="3460" w:hanging="1320"/>
    </w:pPr>
  </w:style>
  <w:style w:type="paragraph" w:customStyle="1" w:styleId="aNoteBulletann">
    <w:name w:val="aNoteBulletann"/>
    <w:basedOn w:val="aNotess"/>
    <w:rsid w:val="00020777"/>
    <w:pPr>
      <w:tabs>
        <w:tab w:val="left" w:pos="2200"/>
      </w:tabs>
      <w:spacing w:before="0"/>
      <w:ind w:left="0" w:firstLine="0"/>
    </w:pPr>
  </w:style>
  <w:style w:type="paragraph" w:customStyle="1" w:styleId="aNoteBulletparann">
    <w:name w:val="aNoteBulletparann"/>
    <w:basedOn w:val="aNotepar"/>
    <w:rsid w:val="00020777"/>
    <w:pPr>
      <w:tabs>
        <w:tab w:val="left" w:pos="2700"/>
      </w:tabs>
      <w:spacing w:before="0"/>
      <w:ind w:left="0" w:firstLine="0"/>
    </w:pPr>
  </w:style>
  <w:style w:type="paragraph" w:customStyle="1" w:styleId="aNoteBulletsubpar">
    <w:name w:val="aNoteBulletsubpar"/>
    <w:basedOn w:val="aNotesubpar"/>
    <w:rsid w:val="00020777"/>
    <w:pPr>
      <w:numPr>
        <w:numId w:val="2"/>
      </w:numPr>
      <w:tabs>
        <w:tab w:val="left" w:pos="3240"/>
      </w:tabs>
      <w:spacing w:before="0"/>
    </w:pPr>
  </w:style>
  <w:style w:type="paragraph" w:customStyle="1" w:styleId="AuthLaw">
    <w:name w:val="AuthLaw"/>
    <w:basedOn w:val="BillBasic"/>
    <w:rsid w:val="00020777"/>
    <w:rPr>
      <w:rFonts w:ascii="Arial" w:hAnsi="Arial"/>
      <w:b/>
      <w:sz w:val="20"/>
    </w:rPr>
  </w:style>
  <w:style w:type="paragraph" w:customStyle="1" w:styleId="aExamNumpar">
    <w:name w:val="aExamNumpar"/>
    <w:basedOn w:val="aExamINumss"/>
    <w:rsid w:val="00020777"/>
    <w:pPr>
      <w:tabs>
        <w:tab w:val="clear" w:pos="1500"/>
        <w:tab w:val="left" w:pos="2000"/>
      </w:tabs>
      <w:ind w:left="2000"/>
    </w:pPr>
  </w:style>
  <w:style w:type="paragraph" w:customStyle="1" w:styleId="Schsectionheading">
    <w:name w:val="Sch section heading"/>
    <w:basedOn w:val="BillBasic"/>
    <w:next w:val="Amain"/>
    <w:rsid w:val="00020777"/>
    <w:pPr>
      <w:spacing w:before="160"/>
      <w:jc w:val="left"/>
      <w:outlineLvl w:val="4"/>
    </w:pPr>
    <w:rPr>
      <w:rFonts w:ascii="Arial" w:hAnsi="Arial"/>
      <w:b/>
    </w:rPr>
  </w:style>
  <w:style w:type="paragraph" w:customStyle="1" w:styleId="Letterhead">
    <w:name w:val="Letterhead"/>
    <w:rsid w:val="00020777"/>
    <w:pPr>
      <w:widowControl w:val="0"/>
      <w:spacing w:after="180"/>
      <w:jc w:val="right"/>
    </w:pPr>
    <w:rPr>
      <w:rFonts w:ascii="Arial" w:hAnsi="Arial"/>
      <w:sz w:val="32"/>
      <w:lang w:eastAsia="en-US"/>
    </w:rPr>
  </w:style>
  <w:style w:type="paragraph" w:customStyle="1" w:styleId="IShadedschclause0">
    <w:name w:val="I Shaded sch clause"/>
    <w:basedOn w:val="IH5Sec"/>
    <w:rsid w:val="00020777"/>
    <w:pPr>
      <w:shd w:val="pct15" w:color="auto" w:fill="FFFFFF"/>
      <w:tabs>
        <w:tab w:val="clear" w:pos="1100"/>
        <w:tab w:val="left" w:pos="700"/>
      </w:tabs>
      <w:ind w:left="700" w:hanging="700"/>
    </w:pPr>
  </w:style>
  <w:style w:type="paragraph" w:customStyle="1" w:styleId="Billfooter">
    <w:name w:val="Billfooter"/>
    <w:basedOn w:val="Normal"/>
    <w:rsid w:val="00020777"/>
    <w:pPr>
      <w:tabs>
        <w:tab w:val="right" w:pos="7200"/>
      </w:tabs>
      <w:jc w:val="both"/>
    </w:pPr>
    <w:rPr>
      <w:sz w:val="18"/>
    </w:rPr>
  </w:style>
  <w:style w:type="paragraph" w:styleId="BalloonText">
    <w:name w:val="Balloon Text"/>
    <w:basedOn w:val="Normal"/>
    <w:link w:val="BalloonTextChar"/>
    <w:uiPriority w:val="99"/>
    <w:unhideWhenUsed/>
    <w:rsid w:val="000E1C8B"/>
    <w:rPr>
      <w:rFonts w:ascii="Tahoma" w:hAnsi="Tahoma" w:cs="Tahoma"/>
      <w:sz w:val="16"/>
      <w:szCs w:val="16"/>
    </w:rPr>
  </w:style>
  <w:style w:type="character" w:customStyle="1" w:styleId="BalloonTextChar">
    <w:name w:val="Balloon Text Char"/>
    <w:basedOn w:val="DefaultParagraphFont"/>
    <w:link w:val="BalloonText"/>
    <w:uiPriority w:val="99"/>
    <w:locked/>
    <w:rsid w:val="000E1C8B"/>
    <w:rPr>
      <w:rFonts w:ascii="Tahoma" w:hAnsi="Tahoma" w:cs="Tahoma"/>
      <w:sz w:val="16"/>
      <w:szCs w:val="16"/>
      <w:lang w:eastAsia="en-US"/>
    </w:rPr>
  </w:style>
  <w:style w:type="paragraph" w:customStyle="1" w:styleId="00AssAm">
    <w:name w:val="00AssAm"/>
    <w:basedOn w:val="00SigningPage"/>
    <w:rsid w:val="00020777"/>
  </w:style>
  <w:style w:type="paragraph" w:customStyle="1" w:styleId="Watermark">
    <w:name w:val="Watermark"/>
    <w:rsid w:val="00020777"/>
    <w:pPr>
      <w:suppressAutoHyphens/>
      <w:autoSpaceDE w:val="0"/>
      <w:autoSpaceDN w:val="0"/>
      <w:adjustRightInd w:val="0"/>
      <w:spacing w:line="620" w:lineRule="atLeast"/>
      <w:jc w:val="center"/>
    </w:pPr>
    <w:rPr>
      <w:rFonts w:ascii="Times" w:eastAsiaTheme="minorEastAsia" w:hAnsi="Times" w:cs="Times"/>
      <w:b/>
      <w:bCs/>
      <w:color w:val="000000"/>
      <w:w w:val="0"/>
      <w:sz w:val="72"/>
      <w:szCs w:val="72"/>
      <w:lang w:val="en-GB"/>
    </w:rPr>
  </w:style>
  <w:style w:type="paragraph" w:customStyle="1" w:styleId="Footerleft">
    <w:name w:val="Footer left"/>
    <w:uiPriority w:val="99"/>
    <w:rsid w:val="00020777"/>
    <w:pPr>
      <w:pBdr>
        <w:top w:val="single" w:sz="8" w:space="0" w:color="auto"/>
      </w:pBdr>
      <w:tabs>
        <w:tab w:val="right" w:pos="7180"/>
      </w:tabs>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HeaderItalicleft-section">
    <w:name w:val="Header Italic left-section"/>
    <w:uiPriority w:val="99"/>
    <w:rsid w:val="00020777"/>
    <w:pPr>
      <w:pBdr>
        <w:bottom w:val="single" w:sz="8" w:space="0" w:color="auto"/>
      </w:pBdr>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Footerright">
    <w:name w:val="Footer right"/>
    <w:uiPriority w:val="99"/>
    <w:rsid w:val="00020777"/>
    <w:pPr>
      <w:pBdr>
        <w:top w:val="single" w:sz="8" w:space="0" w:color="auto"/>
      </w:pBdr>
      <w:tabs>
        <w:tab w:val="right" w:pos="7200"/>
      </w:tabs>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HeaderItalicleft">
    <w:name w:val="Header Italic left"/>
    <w:uiPriority w:val="99"/>
    <w:rsid w:val="00020777"/>
    <w:pPr>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HeaderItalic">
    <w:name w:val="Header Italic"/>
    <w:uiPriority w:val="99"/>
    <w:rsid w:val="00020777"/>
    <w:pPr>
      <w:suppressAutoHyphens/>
      <w:autoSpaceDE w:val="0"/>
      <w:autoSpaceDN w:val="0"/>
      <w:adjustRightInd w:val="0"/>
      <w:spacing w:before="60" w:line="180" w:lineRule="atLeast"/>
      <w:jc w:val="right"/>
    </w:pPr>
    <w:rPr>
      <w:rFonts w:ascii="Helvetica" w:eastAsiaTheme="minorEastAsia" w:hAnsi="Helvetica" w:cs="Helvetica"/>
      <w:color w:val="000000"/>
      <w:w w:val="0"/>
      <w:sz w:val="18"/>
      <w:szCs w:val="18"/>
      <w:lang w:val="en-GB"/>
    </w:rPr>
  </w:style>
  <w:style w:type="paragraph" w:customStyle="1" w:styleId="HeaderItalicright-section">
    <w:name w:val="Header Italic right-section"/>
    <w:uiPriority w:val="99"/>
    <w:rsid w:val="00020777"/>
    <w:pPr>
      <w:pBdr>
        <w:bottom w:val="single" w:sz="8" w:space="0" w:color="auto"/>
      </w:pBdr>
      <w:suppressAutoHyphens/>
      <w:autoSpaceDE w:val="0"/>
      <w:autoSpaceDN w:val="0"/>
      <w:adjustRightInd w:val="0"/>
      <w:spacing w:before="60" w:line="180" w:lineRule="atLeast"/>
      <w:jc w:val="right"/>
    </w:pPr>
    <w:rPr>
      <w:rFonts w:ascii="Helvetica" w:eastAsiaTheme="minorEastAsia" w:hAnsi="Helvetica" w:cs="Helvetica"/>
      <w:color w:val="000000"/>
      <w:w w:val="0"/>
      <w:sz w:val="18"/>
      <w:szCs w:val="18"/>
      <w:lang w:val="en-GB"/>
    </w:rPr>
  </w:style>
  <w:style w:type="paragraph" w:customStyle="1" w:styleId="02-PartHeadingnewchapter">
    <w:name w:val="02-Part Heading new chapter"/>
    <w:uiPriority w:val="99"/>
    <w:rsid w:val="00020777"/>
    <w:pPr>
      <w:keepNext/>
      <w:tabs>
        <w:tab w:val="left" w:pos="2400"/>
      </w:tabs>
      <w:suppressAutoHyphens/>
      <w:autoSpaceDE w:val="0"/>
      <w:autoSpaceDN w:val="0"/>
      <w:adjustRightInd w:val="0"/>
      <w:spacing w:before="96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02-Schedule-PartHeading">
    <w:name w:val="02-Schedule-Part Heading"/>
    <w:uiPriority w:val="99"/>
    <w:rsid w:val="00020777"/>
    <w:pPr>
      <w:keepNext/>
      <w:suppressAutoHyphens/>
      <w:autoSpaceDE w:val="0"/>
      <w:autoSpaceDN w:val="0"/>
      <w:adjustRightInd w:val="0"/>
      <w:spacing w:before="960" w:line="300" w:lineRule="atLeast"/>
    </w:pPr>
    <w:rPr>
      <w:rFonts w:ascii="Helvetica" w:eastAsiaTheme="minorEastAsia" w:hAnsi="Helvetica" w:cs="Helvetica"/>
      <w:b/>
      <w:bCs/>
      <w:color w:val="000000"/>
      <w:w w:val="0"/>
      <w:sz w:val="28"/>
      <w:szCs w:val="28"/>
      <w:lang w:val="en-GB"/>
    </w:rPr>
  </w:style>
  <w:style w:type="paragraph" w:customStyle="1" w:styleId="11-Bill-Main-Rule">
    <w:name w:val="11-Bill - Main - Rule"/>
    <w:uiPriority w:val="99"/>
    <w:rsid w:val="00020777"/>
    <w:pPr>
      <w:pBdr>
        <w:top w:val="single" w:sz="8" w:space="0" w:color="auto"/>
      </w:pBdr>
      <w:suppressAutoHyphens/>
      <w:autoSpaceDE w:val="0"/>
      <w:autoSpaceDN w:val="0"/>
      <w:adjustRightInd w:val="0"/>
      <w:spacing w:line="520" w:lineRule="atLeast"/>
    </w:pPr>
    <w:rPr>
      <w:rFonts w:ascii="Helvetica" w:eastAsiaTheme="minorEastAsia" w:hAnsi="Helvetica" w:cs="Helvetica"/>
      <w:b/>
      <w:bCs/>
      <w:color w:val="000000"/>
      <w:w w:val="0"/>
      <w:sz w:val="50"/>
      <w:szCs w:val="50"/>
      <w:lang w:val="en-GB"/>
    </w:rPr>
  </w:style>
  <w:style w:type="paragraph" w:customStyle="1" w:styleId="40-ReprintTitle">
    <w:name w:val="40-Reprint Title"/>
    <w:uiPriority w:val="99"/>
    <w:rsid w:val="00020777"/>
    <w:pPr>
      <w:pageBreakBefore/>
      <w:suppressAutoHyphens/>
      <w:autoSpaceDE w:val="0"/>
      <w:autoSpaceDN w:val="0"/>
      <w:adjustRightInd w:val="0"/>
      <w:spacing w:after="480" w:line="340" w:lineRule="atLeast"/>
    </w:pPr>
    <w:rPr>
      <w:rFonts w:ascii="Helvetica" w:eastAsiaTheme="minorEastAsia" w:hAnsi="Helvetica" w:cs="Helvetica"/>
      <w:b/>
      <w:bCs/>
      <w:color w:val="000000"/>
      <w:w w:val="0"/>
      <w:sz w:val="32"/>
      <w:szCs w:val="32"/>
      <w:lang w:val="en-GB"/>
    </w:rPr>
  </w:style>
  <w:style w:type="paragraph" w:customStyle="1" w:styleId="41-ReprintedNote">
    <w:name w:val="41-Reprinted Note"/>
    <w:uiPriority w:val="99"/>
    <w:rsid w:val="00020777"/>
    <w:pPr>
      <w:suppressAutoHyphens/>
      <w:autoSpaceDE w:val="0"/>
      <w:autoSpaceDN w:val="0"/>
      <w:adjustRightInd w:val="0"/>
      <w:spacing w:after="720" w:line="220" w:lineRule="atLeast"/>
    </w:pPr>
    <w:rPr>
      <w:rFonts w:ascii="Helvetica" w:eastAsiaTheme="minorEastAsia" w:hAnsi="Helvetica" w:cs="Helvetica"/>
      <w:color w:val="000000"/>
      <w:w w:val="0"/>
      <w:lang w:val="en-GB"/>
    </w:rPr>
  </w:style>
  <w:style w:type="paragraph" w:customStyle="1" w:styleId="CellHeading-Fees">
    <w:name w:val="CellHeading-Fees"/>
    <w:uiPriority w:val="99"/>
    <w:rsid w:val="00020777"/>
    <w:pPr>
      <w:suppressAutoHyphens/>
      <w:autoSpaceDE w:val="0"/>
      <w:autoSpaceDN w:val="0"/>
      <w:adjustRightInd w:val="0"/>
      <w:spacing w:line="220" w:lineRule="atLeast"/>
      <w:ind w:right="240"/>
      <w:jc w:val="right"/>
    </w:pPr>
    <w:rPr>
      <w:rFonts w:ascii="Helvetica" w:eastAsiaTheme="minorEastAsia" w:hAnsi="Helvetica" w:cs="Helvetica"/>
      <w:b/>
      <w:bCs/>
      <w:color w:val="000000"/>
      <w:w w:val="0"/>
      <w:lang w:val="en-GB"/>
    </w:rPr>
  </w:style>
  <w:style w:type="paragraph" w:customStyle="1" w:styleId="05A-Subsection">
    <w:name w:val="05A-Subsection"/>
    <w:uiPriority w:val="99"/>
    <w:rsid w:val="00020777"/>
    <w:pPr>
      <w:tabs>
        <w:tab w:val="left" w:pos="1240"/>
      </w:tabs>
      <w:suppressAutoHyphens/>
      <w:autoSpaceDE w:val="0"/>
      <w:autoSpaceDN w:val="0"/>
      <w:adjustRightInd w:val="0"/>
      <w:spacing w:before="120" w:line="260" w:lineRule="atLeast"/>
      <w:ind w:left="1240" w:hanging="1240"/>
      <w:jc w:val="both"/>
    </w:pPr>
    <w:rPr>
      <w:rFonts w:ascii="Times" w:eastAsiaTheme="minorEastAsia" w:hAnsi="Times" w:cs="Times"/>
      <w:color w:val="000000"/>
      <w:w w:val="0"/>
      <w:sz w:val="24"/>
      <w:szCs w:val="24"/>
      <w:lang w:val="en-GB"/>
    </w:rPr>
  </w:style>
  <w:style w:type="paragraph" w:customStyle="1" w:styleId="CellBody-01-subsection">
    <w:name w:val="CellBody-01-subsection"/>
    <w:uiPriority w:val="99"/>
    <w:rsid w:val="00020777"/>
    <w:pPr>
      <w:tabs>
        <w:tab w:val="left" w:pos="480"/>
        <w:tab w:val="right" w:leader="dot" w:pos="5400"/>
      </w:tabs>
      <w:suppressAutoHyphens/>
      <w:autoSpaceDE w:val="0"/>
      <w:autoSpaceDN w:val="0"/>
      <w:adjustRightInd w:val="0"/>
      <w:spacing w:line="260" w:lineRule="atLeast"/>
      <w:ind w:left="480" w:hanging="480"/>
    </w:pPr>
    <w:rPr>
      <w:rFonts w:ascii="Times" w:eastAsiaTheme="minorEastAsia" w:hAnsi="Times" w:cs="Times"/>
      <w:color w:val="000000"/>
      <w:w w:val="0"/>
      <w:sz w:val="24"/>
      <w:szCs w:val="24"/>
      <w:lang w:val="en-GB"/>
    </w:rPr>
  </w:style>
  <w:style w:type="paragraph" w:customStyle="1" w:styleId="01-ChapterHeading">
    <w:name w:val="01-Chapter Heading"/>
    <w:next w:val="02-PartHeading"/>
    <w:uiPriority w:val="99"/>
    <w:rsid w:val="00020777"/>
    <w:pPr>
      <w:keepNext/>
      <w:tabs>
        <w:tab w:val="left" w:pos="2400"/>
      </w:tabs>
      <w:suppressAutoHyphens/>
      <w:autoSpaceDE w:val="0"/>
      <w:autoSpaceDN w:val="0"/>
      <w:adjustRightInd w:val="0"/>
      <w:spacing w:before="960" w:line="380" w:lineRule="atLeast"/>
      <w:ind w:left="2400" w:hanging="2400"/>
    </w:pPr>
    <w:rPr>
      <w:rFonts w:ascii="Helvetica" w:eastAsiaTheme="minorEastAsia" w:hAnsi="Helvetica" w:cs="Helvetica"/>
      <w:b/>
      <w:bCs/>
      <w:color w:val="000000"/>
      <w:w w:val="0"/>
      <w:sz w:val="36"/>
      <w:szCs w:val="36"/>
      <w:lang w:val="en-GB"/>
    </w:rPr>
  </w:style>
  <w:style w:type="paragraph" w:customStyle="1" w:styleId="02-PartHeading">
    <w:name w:val="02-Part Heading"/>
    <w:uiPriority w:val="99"/>
    <w:rsid w:val="00020777"/>
    <w:pPr>
      <w:keepNext/>
      <w:tabs>
        <w:tab w:val="left" w:pos="2400"/>
      </w:tabs>
      <w:suppressAutoHyphens/>
      <w:autoSpaceDE w:val="0"/>
      <w:autoSpaceDN w:val="0"/>
      <w:adjustRightInd w:val="0"/>
      <w:spacing w:before="96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18-FrontPage-Tertiary">
    <w:name w:val="18-Front Page - Tertiary"/>
    <w:uiPriority w:val="99"/>
    <w:rsid w:val="00020777"/>
    <w:pPr>
      <w:suppressAutoHyphens/>
      <w:autoSpaceDE w:val="0"/>
      <w:autoSpaceDN w:val="0"/>
      <w:adjustRightInd w:val="0"/>
      <w:spacing w:after="960" w:line="260" w:lineRule="atLeast"/>
      <w:jc w:val="both"/>
    </w:pPr>
    <w:rPr>
      <w:rFonts w:ascii="Helvetica" w:eastAsiaTheme="minorEastAsia" w:hAnsi="Helvetica" w:cs="Helvetica"/>
      <w:b/>
      <w:bCs/>
      <w:color w:val="000000"/>
      <w:w w:val="0"/>
      <w:sz w:val="24"/>
      <w:szCs w:val="24"/>
      <w:lang w:val="en-GB"/>
    </w:rPr>
  </w:style>
  <w:style w:type="paragraph" w:customStyle="1" w:styleId="MasterPage-PartHeading">
    <w:name w:val="Master Page - Part Heading"/>
    <w:uiPriority w:val="99"/>
    <w:rsid w:val="00020777"/>
    <w:pPr>
      <w:keepNext/>
      <w:suppressAutoHyphens/>
      <w:autoSpaceDE w:val="0"/>
      <w:autoSpaceDN w:val="0"/>
      <w:adjustRightInd w:val="0"/>
      <w:spacing w:before="300" w:line="260" w:lineRule="atLeast"/>
      <w:jc w:val="center"/>
    </w:pPr>
    <w:rPr>
      <w:rFonts w:ascii="Helvetica" w:eastAsiaTheme="minorEastAsia" w:hAnsi="Helvetica" w:cs="Helvetica"/>
      <w:color w:val="000000"/>
      <w:w w:val="0"/>
      <w:sz w:val="24"/>
      <w:szCs w:val="24"/>
      <w:lang w:val="en-GB"/>
    </w:rPr>
  </w:style>
  <w:style w:type="paragraph" w:customStyle="1" w:styleId="02-ScheduleHeading-Insertion-NoTOP">
    <w:name w:val="02-Schedule Heading - Insertion - No TOP"/>
    <w:uiPriority w:val="99"/>
    <w:rsid w:val="00020777"/>
    <w:pPr>
      <w:keepNext/>
      <w:tabs>
        <w:tab w:val="left" w:pos="2400"/>
      </w:tabs>
      <w:suppressAutoHyphens/>
      <w:autoSpaceDE w:val="0"/>
      <w:autoSpaceDN w:val="0"/>
      <w:adjustRightInd w:val="0"/>
      <w:spacing w:before="120" w:line="340" w:lineRule="atLeast"/>
      <w:ind w:left="2400" w:hanging="2400"/>
    </w:pPr>
    <w:rPr>
      <w:rFonts w:ascii="Helvetica" w:eastAsiaTheme="minorEastAsia" w:hAnsi="Helvetica" w:cs="Helvetica"/>
      <w:b/>
      <w:bCs/>
      <w:color w:val="000000"/>
      <w:w w:val="0"/>
      <w:sz w:val="32"/>
      <w:szCs w:val="32"/>
      <w:lang w:val="en-GB"/>
    </w:rPr>
  </w:style>
  <w:style w:type="paragraph" w:customStyle="1" w:styleId="01-ChapterHeading-Insertion">
    <w:name w:val="01-Chapter Heading - Insertion"/>
    <w:uiPriority w:val="99"/>
    <w:rsid w:val="00020777"/>
    <w:pPr>
      <w:keepNext/>
      <w:tabs>
        <w:tab w:val="left" w:pos="2400"/>
      </w:tabs>
      <w:suppressAutoHyphens/>
      <w:autoSpaceDE w:val="0"/>
      <w:autoSpaceDN w:val="0"/>
      <w:adjustRightInd w:val="0"/>
      <w:spacing w:before="120" w:line="380" w:lineRule="atLeast"/>
      <w:ind w:left="2400" w:hanging="2400"/>
    </w:pPr>
    <w:rPr>
      <w:rFonts w:ascii="Helvetica" w:eastAsiaTheme="minorEastAsia" w:hAnsi="Helvetica" w:cs="Helvetica"/>
      <w:b/>
      <w:bCs/>
      <w:color w:val="000000"/>
      <w:w w:val="0"/>
      <w:sz w:val="36"/>
      <w:szCs w:val="36"/>
      <w:lang w:val="en-GB"/>
    </w:rPr>
  </w:style>
  <w:style w:type="paragraph" w:customStyle="1" w:styleId="02-Schedulenumber">
    <w:name w:val="02-Schedule number"/>
    <w:next w:val="02-ScheduleHeading"/>
    <w:uiPriority w:val="99"/>
    <w:rsid w:val="00020777"/>
    <w:pPr>
      <w:keepNext/>
      <w:pageBreakBefore/>
      <w:suppressAutoHyphens/>
      <w:autoSpaceDE w:val="0"/>
      <w:autoSpaceDN w:val="0"/>
      <w:adjustRightInd w:val="0"/>
      <w:spacing w:before="1080" w:after="480" w:line="340" w:lineRule="atLeast"/>
      <w:ind w:left="2400" w:hanging="2400"/>
    </w:pPr>
    <w:rPr>
      <w:rFonts w:ascii="Helvetica" w:eastAsiaTheme="minorEastAsia" w:hAnsi="Helvetica" w:cs="Helvetica"/>
      <w:b/>
      <w:bCs/>
      <w:color w:val="000000"/>
      <w:w w:val="0"/>
      <w:sz w:val="32"/>
      <w:szCs w:val="32"/>
      <w:lang w:val="en-GB"/>
    </w:rPr>
  </w:style>
  <w:style w:type="paragraph" w:customStyle="1" w:styleId="02-ScheduleHeading">
    <w:name w:val="02-Schedule Heading"/>
    <w:uiPriority w:val="99"/>
    <w:rsid w:val="00020777"/>
    <w:pPr>
      <w:keepNext/>
      <w:pageBreakBefore/>
      <w:suppressAutoHyphens/>
      <w:autoSpaceDE w:val="0"/>
      <w:autoSpaceDN w:val="0"/>
      <w:adjustRightInd w:val="0"/>
      <w:spacing w:before="1080" w:after="480" w:line="340" w:lineRule="atLeast"/>
      <w:ind w:left="2400" w:hanging="20"/>
    </w:pPr>
    <w:rPr>
      <w:rFonts w:ascii="Helvetica" w:eastAsiaTheme="minorEastAsia" w:hAnsi="Helvetica" w:cs="Helvetica"/>
      <w:b/>
      <w:bCs/>
      <w:color w:val="000000"/>
      <w:w w:val="0"/>
      <w:sz w:val="32"/>
      <w:szCs w:val="32"/>
      <w:lang w:val="en-GB"/>
    </w:rPr>
  </w:style>
  <w:style w:type="paragraph" w:customStyle="1" w:styleId="01-ChapterHeading-Insertion-NoTOP">
    <w:name w:val="01-Chapter Heading - Insertion - No TOP"/>
    <w:uiPriority w:val="99"/>
    <w:rsid w:val="00020777"/>
    <w:pPr>
      <w:keepNext/>
      <w:tabs>
        <w:tab w:val="left" w:pos="2400"/>
      </w:tabs>
      <w:suppressAutoHyphens/>
      <w:autoSpaceDE w:val="0"/>
      <w:autoSpaceDN w:val="0"/>
      <w:adjustRightInd w:val="0"/>
      <w:spacing w:before="120" w:line="380" w:lineRule="atLeast"/>
      <w:ind w:left="2400" w:hanging="2400"/>
    </w:pPr>
    <w:rPr>
      <w:rFonts w:ascii="Helvetica" w:eastAsiaTheme="minorEastAsia" w:hAnsi="Helvetica" w:cs="Helvetica"/>
      <w:b/>
      <w:bCs/>
      <w:color w:val="000000"/>
      <w:w w:val="0"/>
      <w:sz w:val="36"/>
      <w:szCs w:val="36"/>
      <w:lang w:val="en-GB"/>
    </w:rPr>
  </w:style>
  <w:style w:type="paragraph" w:customStyle="1" w:styleId="01-ChapterHeading-NoTOP">
    <w:name w:val="01-Chapter Heading - No TOP"/>
    <w:uiPriority w:val="99"/>
    <w:rsid w:val="00020777"/>
    <w:pPr>
      <w:keepNext/>
      <w:tabs>
        <w:tab w:val="left" w:pos="2400"/>
      </w:tabs>
      <w:suppressAutoHyphens/>
      <w:autoSpaceDE w:val="0"/>
      <w:autoSpaceDN w:val="0"/>
      <w:adjustRightInd w:val="0"/>
      <w:spacing w:before="960" w:line="380" w:lineRule="atLeast"/>
      <w:ind w:left="2400" w:hanging="2400"/>
    </w:pPr>
    <w:rPr>
      <w:rFonts w:ascii="Helvetica" w:eastAsiaTheme="minorEastAsia" w:hAnsi="Helvetica" w:cs="Helvetica"/>
      <w:b/>
      <w:bCs/>
      <w:color w:val="000000"/>
      <w:w w:val="0"/>
      <w:sz w:val="36"/>
      <w:szCs w:val="36"/>
      <w:lang w:val="en-GB"/>
    </w:rPr>
  </w:style>
  <w:style w:type="paragraph" w:customStyle="1" w:styleId="02-PartHeading-Insertion-NoTOP">
    <w:name w:val="02-Part Heading - Insertion - No TOP"/>
    <w:uiPriority w:val="99"/>
    <w:rsid w:val="00020777"/>
    <w:pPr>
      <w:tabs>
        <w:tab w:val="left" w:pos="2400"/>
      </w:tabs>
      <w:suppressAutoHyphens/>
      <w:autoSpaceDE w:val="0"/>
      <w:autoSpaceDN w:val="0"/>
      <w:adjustRightInd w:val="0"/>
      <w:spacing w:before="12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02-PartHeading-InsertionNo">
    <w:name w:val="02-Part Heading - Insertion No #"/>
    <w:uiPriority w:val="99"/>
    <w:rsid w:val="00020777"/>
    <w:pPr>
      <w:tabs>
        <w:tab w:val="left" w:pos="2400"/>
      </w:tabs>
      <w:suppressAutoHyphens/>
      <w:autoSpaceDE w:val="0"/>
      <w:autoSpaceDN w:val="0"/>
      <w:adjustRightInd w:val="0"/>
      <w:spacing w:before="120" w:line="340" w:lineRule="atLeast"/>
      <w:ind w:left="2400" w:hanging="2400"/>
    </w:pPr>
    <w:rPr>
      <w:rFonts w:ascii="Helvetica" w:eastAsiaTheme="minorEastAsia" w:hAnsi="Helvetica" w:cs="Helvetica"/>
      <w:b/>
      <w:bCs/>
      <w:color w:val="000000"/>
      <w:w w:val="0"/>
      <w:sz w:val="32"/>
      <w:szCs w:val="32"/>
      <w:lang w:val="en-GB"/>
    </w:rPr>
  </w:style>
  <w:style w:type="paragraph" w:customStyle="1" w:styleId="Anchor">
    <w:name w:val="Anchor"/>
    <w:uiPriority w:val="99"/>
    <w:rsid w:val="00020777"/>
    <w:pPr>
      <w:widowControl w:val="0"/>
      <w:autoSpaceDE w:val="0"/>
      <w:autoSpaceDN w:val="0"/>
      <w:adjustRightInd w:val="0"/>
      <w:spacing w:line="60" w:lineRule="atLeast"/>
      <w:jc w:val="both"/>
    </w:pPr>
    <w:rPr>
      <w:rFonts w:eastAsiaTheme="minorEastAsia"/>
      <w:color w:val="000000"/>
      <w:w w:val="0"/>
      <w:sz w:val="4"/>
      <w:szCs w:val="4"/>
      <w:lang w:val="en-GB"/>
    </w:rPr>
  </w:style>
  <w:style w:type="paragraph" w:customStyle="1" w:styleId="06-Paragraph-bullet">
    <w:name w:val="06-Paragraph - bullet"/>
    <w:uiPriority w:val="99"/>
    <w:rsid w:val="00020777"/>
    <w:pPr>
      <w:tabs>
        <w:tab w:val="left" w:pos="1800"/>
      </w:tabs>
      <w:suppressAutoHyphens/>
      <w:autoSpaceDE w:val="0"/>
      <w:autoSpaceDN w:val="0"/>
      <w:adjustRightInd w:val="0"/>
      <w:spacing w:before="120" w:line="260" w:lineRule="atLeast"/>
      <w:ind w:left="1800" w:hanging="560"/>
      <w:jc w:val="both"/>
    </w:pPr>
    <w:rPr>
      <w:rFonts w:ascii="Times" w:eastAsiaTheme="minorEastAsia" w:hAnsi="Times" w:cs="Times"/>
      <w:color w:val="000000"/>
      <w:w w:val="0"/>
      <w:sz w:val="24"/>
      <w:szCs w:val="24"/>
      <w:lang w:val="en-GB"/>
    </w:rPr>
  </w:style>
  <w:style w:type="paragraph" w:customStyle="1" w:styleId="03-DivisionHeading-Insertion">
    <w:name w:val="03-Division Heading - Insertion"/>
    <w:uiPriority w:val="99"/>
    <w:rsid w:val="00020777"/>
    <w:pPr>
      <w:tabs>
        <w:tab w:val="left" w:pos="2400"/>
      </w:tabs>
      <w:suppressAutoHyphens/>
      <w:autoSpaceDE w:val="0"/>
      <w:autoSpaceDN w:val="0"/>
      <w:adjustRightInd w:val="0"/>
      <w:spacing w:before="120" w:after="240" w:line="300" w:lineRule="atLeast"/>
      <w:ind w:left="2400" w:hanging="2400"/>
    </w:pPr>
    <w:rPr>
      <w:rFonts w:ascii="Helvetica" w:eastAsiaTheme="minorEastAsia" w:hAnsi="Helvetica" w:cs="Helvetica"/>
      <w:b/>
      <w:bCs/>
      <w:color w:val="000000"/>
      <w:w w:val="0"/>
      <w:sz w:val="28"/>
      <w:szCs w:val="28"/>
      <w:lang w:val="en-GB"/>
    </w:rPr>
  </w:style>
  <w:style w:type="paragraph" w:customStyle="1" w:styleId="03-DivisionHeading-Insertion-NoTOP">
    <w:name w:val="03-Division Heading - Insertion - No TOP"/>
    <w:uiPriority w:val="99"/>
    <w:rsid w:val="00020777"/>
    <w:pPr>
      <w:tabs>
        <w:tab w:val="left" w:pos="2400"/>
      </w:tabs>
      <w:suppressAutoHyphens/>
      <w:autoSpaceDE w:val="0"/>
      <w:autoSpaceDN w:val="0"/>
      <w:adjustRightInd w:val="0"/>
      <w:spacing w:before="120" w:after="280" w:line="300" w:lineRule="atLeast"/>
      <w:ind w:left="2400" w:hanging="2400"/>
    </w:pPr>
    <w:rPr>
      <w:rFonts w:ascii="Helvetica" w:eastAsiaTheme="minorEastAsia" w:hAnsi="Helvetica" w:cs="Helvetica"/>
      <w:b/>
      <w:bCs/>
      <w:color w:val="000000"/>
      <w:w w:val="0"/>
      <w:sz w:val="28"/>
      <w:szCs w:val="28"/>
      <w:lang w:val="en-GB"/>
    </w:rPr>
  </w:style>
  <w:style w:type="paragraph" w:customStyle="1" w:styleId="02-Schedule-item-text">
    <w:name w:val="02-Schedule-item-text"/>
    <w:uiPriority w:val="99"/>
    <w:rsid w:val="00020777"/>
    <w:pPr>
      <w:suppressAutoHyphens/>
      <w:autoSpaceDE w:val="0"/>
      <w:autoSpaceDN w:val="0"/>
      <w:adjustRightInd w:val="0"/>
      <w:spacing w:before="120" w:line="260" w:lineRule="atLeast"/>
      <w:ind w:left="780"/>
      <w:jc w:val="both"/>
    </w:pPr>
    <w:rPr>
      <w:rFonts w:ascii="Times" w:eastAsiaTheme="minorEastAsia" w:hAnsi="Times" w:cs="Times"/>
      <w:color w:val="000000"/>
      <w:w w:val="0"/>
      <w:sz w:val="24"/>
      <w:szCs w:val="24"/>
      <w:lang w:val="en-GB"/>
    </w:rPr>
  </w:style>
  <w:style w:type="paragraph" w:customStyle="1" w:styleId="07-Subparagraph-bullet">
    <w:name w:val="07-Subparagraph - bullet"/>
    <w:uiPriority w:val="99"/>
    <w:rsid w:val="00020777"/>
    <w:pPr>
      <w:tabs>
        <w:tab w:val="left" w:pos="2300"/>
      </w:tabs>
      <w:suppressAutoHyphens/>
      <w:autoSpaceDE w:val="0"/>
      <w:autoSpaceDN w:val="0"/>
      <w:adjustRightInd w:val="0"/>
      <w:spacing w:before="120" w:line="260" w:lineRule="atLeast"/>
      <w:ind w:left="2300" w:hanging="500"/>
      <w:jc w:val="both"/>
    </w:pPr>
    <w:rPr>
      <w:rFonts w:ascii="Times" w:eastAsiaTheme="minorEastAsia" w:hAnsi="Times" w:cs="Times"/>
      <w:color w:val="000000"/>
      <w:w w:val="0"/>
      <w:sz w:val="24"/>
      <w:szCs w:val="24"/>
      <w:lang w:val="en-GB"/>
    </w:rPr>
  </w:style>
  <w:style w:type="paragraph" w:customStyle="1" w:styleId="08-Subsubparagraph-bullet">
    <w:name w:val="08-Subsubparagraph - bullet"/>
    <w:uiPriority w:val="99"/>
    <w:rsid w:val="00020777"/>
    <w:pPr>
      <w:tabs>
        <w:tab w:val="left" w:pos="2880"/>
      </w:tabs>
      <w:suppressAutoHyphens/>
      <w:autoSpaceDE w:val="0"/>
      <w:autoSpaceDN w:val="0"/>
      <w:adjustRightInd w:val="0"/>
      <w:spacing w:before="120" w:line="260" w:lineRule="atLeast"/>
      <w:ind w:left="2880" w:hanging="580"/>
      <w:jc w:val="both"/>
    </w:pPr>
    <w:rPr>
      <w:rFonts w:ascii="Times" w:eastAsiaTheme="minorEastAsia" w:hAnsi="Times" w:cs="Times"/>
      <w:color w:val="000000"/>
      <w:w w:val="0"/>
      <w:sz w:val="24"/>
      <w:szCs w:val="24"/>
      <w:lang w:val="en-GB"/>
    </w:rPr>
  </w:style>
  <w:style w:type="paragraph" w:customStyle="1" w:styleId="13-Bill-Tertiary-Secondline">
    <w:name w:val="13-Bill - Tertiary - Second line"/>
    <w:uiPriority w:val="99"/>
    <w:rsid w:val="00020777"/>
    <w:pPr>
      <w:pBdr>
        <w:bottom w:val="single" w:sz="8" w:space="0" w:color="auto"/>
      </w:pBdr>
      <w:suppressAutoHyphens/>
      <w:autoSpaceDE w:val="0"/>
      <w:autoSpaceDN w:val="0"/>
      <w:adjustRightInd w:val="0"/>
      <w:spacing w:before="360" w:line="260" w:lineRule="atLeast"/>
      <w:ind w:left="480" w:hanging="480"/>
      <w:jc w:val="both"/>
    </w:pPr>
    <w:rPr>
      <w:rFonts w:ascii="Times" w:eastAsiaTheme="minorEastAsia" w:hAnsi="Times" w:cs="Times"/>
      <w:b/>
      <w:bCs/>
      <w:color w:val="000000"/>
      <w:w w:val="0"/>
      <w:sz w:val="24"/>
      <w:szCs w:val="24"/>
      <w:lang w:val="en-GB"/>
    </w:rPr>
  </w:style>
  <w:style w:type="paragraph" w:customStyle="1" w:styleId="10-NormalText-bullet">
    <w:name w:val="10-Normal Text - bullet"/>
    <w:uiPriority w:val="99"/>
    <w:rsid w:val="00020777"/>
    <w:pPr>
      <w:tabs>
        <w:tab w:val="left" w:pos="1800"/>
      </w:tabs>
      <w:suppressAutoHyphens/>
      <w:autoSpaceDE w:val="0"/>
      <w:autoSpaceDN w:val="0"/>
      <w:adjustRightInd w:val="0"/>
      <w:spacing w:before="120" w:line="260" w:lineRule="atLeast"/>
      <w:ind w:left="1800" w:hanging="560"/>
      <w:jc w:val="both"/>
    </w:pPr>
    <w:rPr>
      <w:rFonts w:ascii="Times" w:eastAsiaTheme="minorEastAsia" w:hAnsi="Times" w:cs="Times"/>
      <w:color w:val="000000"/>
      <w:w w:val="0"/>
      <w:sz w:val="24"/>
      <w:szCs w:val="24"/>
      <w:lang w:val="en-GB"/>
    </w:rPr>
  </w:style>
  <w:style w:type="paragraph" w:customStyle="1" w:styleId="11-Bill-Main">
    <w:name w:val="11-Bill - Main"/>
    <w:uiPriority w:val="99"/>
    <w:rsid w:val="00020777"/>
    <w:pPr>
      <w:suppressAutoHyphens/>
      <w:autoSpaceDE w:val="0"/>
      <w:autoSpaceDN w:val="0"/>
      <w:adjustRightInd w:val="0"/>
      <w:spacing w:line="520" w:lineRule="atLeast"/>
    </w:pPr>
    <w:rPr>
      <w:rFonts w:ascii="Helvetica" w:eastAsiaTheme="minorEastAsia" w:hAnsi="Helvetica" w:cs="Helvetica"/>
      <w:b/>
      <w:bCs/>
      <w:caps/>
      <w:color w:val="000000"/>
      <w:w w:val="0"/>
      <w:sz w:val="50"/>
      <w:szCs w:val="50"/>
      <w:lang w:val="en-GB"/>
    </w:rPr>
  </w:style>
  <w:style w:type="paragraph" w:customStyle="1" w:styleId="12-Bill-Secondary">
    <w:name w:val="12-Bill - Secondary"/>
    <w:uiPriority w:val="99"/>
    <w:rsid w:val="00020777"/>
    <w:pPr>
      <w:suppressAutoHyphens/>
      <w:autoSpaceDE w:val="0"/>
      <w:autoSpaceDN w:val="0"/>
      <w:adjustRightInd w:val="0"/>
      <w:spacing w:before="200" w:line="280" w:lineRule="atLeast"/>
    </w:pPr>
    <w:rPr>
      <w:rFonts w:ascii="Helvetica" w:eastAsiaTheme="minorEastAsia" w:hAnsi="Helvetica" w:cs="Helvetica"/>
      <w:color w:val="000000"/>
      <w:w w:val="0"/>
      <w:sz w:val="28"/>
      <w:szCs w:val="28"/>
      <w:lang w:val="en-GB"/>
    </w:rPr>
  </w:style>
  <w:style w:type="paragraph" w:customStyle="1" w:styleId="Footnote">
    <w:name w:val="Footnote"/>
    <w:uiPriority w:val="99"/>
    <w:rsid w:val="00020777"/>
    <w:pPr>
      <w:tabs>
        <w:tab w:val="left" w:pos="480"/>
        <w:tab w:val="left" w:pos="720"/>
        <w:tab w:val="left" w:pos="960"/>
        <w:tab w:val="left" w:pos="1200"/>
        <w:tab w:val="left" w:pos="1440"/>
        <w:tab w:val="left" w:pos="1680"/>
        <w:tab w:val="left" w:pos="1920"/>
      </w:tabs>
      <w:suppressAutoHyphens/>
      <w:autoSpaceDE w:val="0"/>
      <w:autoSpaceDN w:val="0"/>
      <w:adjustRightInd w:val="0"/>
      <w:spacing w:after="60" w:line="220" w:lineRule="atLeast"/>
      <w:ind w:left="480" w:hanging="480"/>
      <w:jc w:val="both"/>
    </w:pPr>
    <w:rPr>
      <w:rFonts w:ascii="Times" w:eastAsiaTheme="minorEastAsia" w:hAnsi="Times" w:cs="Times"/>
      <w:color w:val="000000"/>
      <w:w w:val="0"/>
      <w:lang w:val="en-GB"/>
    </w:rPr>
  </w:style>
  <w:style w:type="paragraph" w:customStyle="1" w:styleId="13-Bill-Tertiary">
    <w:name w:val="13-Bill - Tertiary"/>
    <w:uiPriority w:val="99"/>
    <w:rsid w:val="00020777"/>
    <w:pPr>
      <w:pBdr>
        <w:bottom w:val="single" w:sz="8" w:space="0" w:color="auto"/>
      </w:pBdr>
      <w:suppressAutoHyphens/>
      <w:autoSpaceDE w:val="0"/>
      <w:autoSpaceDN w:val="0"/>
      <w:adjustRightInd w:val="0"/>
      <w:spacing w:before="120" w:line="260" w:lineRule="atLeast"/>
    </w:pPr>
    <w:rPr>
      <w:rFonts w:ascii="Helvetica" w:eastAsiaTheme="minorEastAsia" w:hAnsi="Helvetica" w:cs="Helvetica"/>
      <w:b/>
      <w:bCs/>
      <w:color w:val="000000"/>
      <w:w w:val="0"/>
      <w:sz w:val="24"/>
      <w:szCs w:val="24"/>
      <w:lang w:val="en-GB"/>
    </w:rPr>
  </w:style>
  <w:style w:type="paragraph" w:customStyle="1" w:styleId="02-ScheduleSubHeading">
    <w:name w:val="02-Schedule SubHeading"/>
    <w:uiPriority w:val="99"/>
    <w:rsid w:val="00020777"/>
    <w:pPr>
      <w:keepNext/>
      <w:suppressAutoHyphens/>
      <w:autoSpaceDE w:val="0"/>
      <w:autoSpaceDN w:val="0"/>
      <w:adjustRightInd w:val="0"/>
      <w:spacing w:before="480" w:line="300" w:lineRule="atLeast"/>
      <w:jc w:val="center"/>
    </w:pPr>
    <w:rPr>
      <w:rFonts w:ascii="Times" w:eastAsiaTheme="minorEastAsia" w:hAnsi="Times" w:cs="Times"/>
      <w:b/>
      <w:bCs/>
      <w:caps/>
      <w:color w:val="000000"/>
      <w:w w:val="0"/>
      <w:sz w:val="28"/>
      <w:szCs w:val="28"/>
      <w:lang w:val="en-GB"/>
    </w:rPr>
  </w:style>
  <w:style w:type="paragraph" w:customStyle="1" w:styleId="TableFootnote">
    <w:name w:val="TableFootnote"/>
    <w:uiPriority w:val="99"/>
    <w:rsid w:val="00020777"/>
    <w:pPr>
      <w:tabs>
        <w:tab w:val="left" w:pos="480"/>
        <w:tab w:val="left" w:pos="720"/>
        <w:tab w:val="left" w:pos="960"/>
        <w:tab w:val="left" w:pos="1200"/>
        <w:tab w:val="left" w:pos="1440"/>
        <w:tab w:val="left" w:pos="1680"/>
        <w:tab w:val="left" w:pos="1920"/>
      </w:tabs>
      <w:suppressAutoHyphens/>
      <w:autoSpaceDE w:val="0"/>
      <w:autoSpaceDN w:val="0"/>
      <w:adjustRightInd w:val="0"/>
      <w:spacing w:after="60" w:line="220" w:lineRule="atLeast"/>
      <w:ind w:left="480" w:hanging="480"/>
      <w:jc w:val="both"/>
    </w:pPr>
    <w:rPr>
      <w:rFonts w:ascii="Times" w:eastAsiaTheme="minorEastAsia" w:hAnsi="Times" w:cs="Times"/>
      <w:color w:val="000000"/>
      <w:w w:val="0"/>
      <w:lang w:val="en-GB"/>
    </w:rPr>
  </w:style>
  <w:style w:type="paragraph" w:customStyle="1" w:styleId="10-NormalText">
    <w:name w:val="10-Normal Text"/>
    <w:uiPriority w:val="99"/>
    <w:rsid w:val="00020777"/>
    <w:pPr>
      <w:suppressAutoHyphens/>
      <w:autoSpaceDE w:val="0"/>
      <w:autoSpaceDN w:val="0"/>
      <w:adjustRightInd w:val="0"/>
      <w:spacing w:before="120" w:line="260" w:lineRule="atLeast"/>
      <w:jc w:val="both"/>
    </w:pPr>
    <w:rPr>
      <w:rFonts w:ascii="Times" w:eastAsiaTheme="minorEastAsia" w:hAnsi="Times" w:cs="Times"/>
      <w:color w:val="000000"/>
      <w:w w:val="0"/>
      <w:sz w:val="24"/>
      <w:szCs w:val="24"/>
      <w:lang w:val="en-GB"/>
    </w:rPr>
  </w:style>
  <w:style w:type="paragraph" w:customStyle="1" w:styleId="05-Subsection">
    <w:name w:val="05-Subsection"/>
    <w:uiPriority w:val="99"/>
    <w:rsid w:val="00020777"/>
    <w:pPr>
      <w:tabs>
        <w:tab w:val="right" w:pos="1000"/>
        <w:tab w:val="left" w:pos="1240"/>
      </w:tabs>
      <w:suppressAutoHyphens/>
      <w:autoSpaceDE w:val="0"/>
      <w:autoSpaceDN w:val="0"/>
      <w:adjustRightInd w:val="0"/>
      <w:spacing w:before="120" w:line="260" w:lineRule="atLeast"/>
      <w:ind w:left="1240" w:hanging="1240"/>
      <w:jc w:val="both"/>
    </w:pPr>
    <w:rPr>
      <w:rFonts w:ascii="Times" w:eastAsiaTheme="minorEastAsia" w:hAnsi="Times" w:cs="Times"/>
      <w:color w:val="000000"/>
      <w:w w:val="0"/>
      <w:sz w:val="24"/>
      <w:szCs w:val="24"/>
      <w:lang w:val="en-GB"/>
    </w:rPr>
  </w:style>
  <w:style w:type="paragraph" w:customStyle="1" w:styleId="02-ScheduleSubHeading-Insertion">
    <w:name w:val="02-Schedule SubHeading - Insertion"/>
    <w:uiPriority w:val="99"/>
    <w:rsid w:val="00020777"/>
    <w:pPr>
      <w:keepNext/>
      <w:suppressAutoHyphens/>
      <w:autoSpaceDE w:val="0"/>
      <w:autoSpaceDN w:val="0"/>
      <w:adjustRightInd w:val="0"/>
      <w:spacing w:before="120" w:line="300" w:lineRule="atLeast"/>
      <w:jc w:val="center"/>
    </w:pPr>
    <w:rPr>
      <w:rFonts w:ascii="Times" w:eastAsiaTheme="minorEastAsia" w:hAnsi="Times" w:cs="Times"/>
      <w:b/>
      <w:bCs/>
      <w:caps/>
      <w:color w:val="000000"/>
      <w:w w:val="0"/>
      <w:sz w:val="28"/>
      <w:szCs w:val="28"/>
      <w:lang w:val="en-GB"/>
    </w:rPr>
  </w:style>
  <w:style w:type="paragraph" w:customStyle="1" w:styleId="09-Definitions">
    <w:name w:val="09-Definitions"/>
    <w:uiPriority w:val="99"/>
    <w:rsid w:val="00020777"/>
    <w:pPr>
      <w:suppressAutoHyphens/>
      <w:autoSpaceDE w:val="0"/>
      <w:autoSpaceDN w:val="0"/>
      <w:adjustRightInd w:val="0"/>
      <w:spacing w:before="120" w:line="260" w:lineRule="atLeast"/>
      <w:ind w:left="1240"/>
      <w:jc w:val="both"/>
    </w:pPr>
    <w:rPr>
      <w:rFonts w:ascii="Times" w:eastAsiaTheme="minorEastAsia" w:hAnsi="Times" w:cs="Times"/>
      <w:color w:val="000000"/>
      <w:w w:val="0"/>
      <w:sz w:val="24"/>
      <w:szCs w:val="24"/>
      <w:lang w:val="en-GB"/>
    </w:rPr>
  </w:style>
  <w:style w:type="paragraph" w:customStyle="1" w:styleId="02-PartHeading-NoTOP">
    <w:name w:val="02-Part Heading - No TOP"/>
    <w:uiPriority w:val="99"/>
    <w:rsid w:val="00020777"/>
    <w:pPr>
      <w:keepNext/>
      <w:tabs>
        <w:tab w:val="left" w:pos="2400"/>
      </w:tabs>
      <w:suppressAutoHyphens/>
      <w:autoSpaceDE w:val="0"/>
      <w:autoSpaceDN w:val="0"/>
      <w:adjustRightInd w:val="0"/>
      <w:spacing w:before="96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17-Examples">
    <w:name w:val="17-Examples"/>
    <w:uiPriority w:val="99"/>
    <w:rsid w:val="00020777"/>
    <w:pPr>
      <w:suppressAutoHyphens/>
      <w:autoSpaceDE w:val="0"/>
      <w:autoSpaceDN w:val="0"/>
      <w:adjustRightInd w:val="0"/>
      <w:spacing w:before="120" w:line="220" w:lineRule="atLeast"/>
      <w:jc w:val="both"/>
    </w:pPr>
    <w:rPr>
      <w:rFonts w:ascii="Times" w:eastAsiaTheme="minorEastAsia" w:hAnsi="Times" w:cs="Times"/>
      <w:color w:val="000000"/>
      <w:w w:val="0"/>
      <w:lang w:val="en-GB"/>
    </w:rPr>
  </w:style>
  <w:style w:type="paragraph" w:customStyle="1" w:styleId="03-DivisionHeading">
    <w:name w:val="03-Division Heading"/>
    <w:uiPriority w:val="99"/>
    <w:rsid w:val="00020777"/>
    <w:pPr>
      <w:keepNext/>
      <w:tabs>
        <w:tab w:val="left" w:pos="2400"/>
      </w:tabs>
      <w:suppressAutoHyphens/>
      <w:autoSpaceDE w:val="0"/>
      <w:autoSpaceDN w:val="0"/>
      <w:adjustRightInd w:val="0"/>
      <w:spacing w:before="480" w:after="480" w:line="300" w:lineRule="atLeast"/>
      <w:ind w:left="2400" w:hanging="2400"/>
    </w:pPr>
    <w:rPr>
      <w:rFonts w:ascii="Helvetica" w:eastAsiaTheme="minorEastAsia" w:hAnsi="Helvetica" w:cs="Helvetica"/>
      <w:b/>
      <w:bCs/>
      <w:color w:val="000000"/>
      <w:w w:val="0"/>
      <w:sz w:val="28"/>
      <w:szCs w:val="28"/>
      <w:lang w:val="en-GB"/>
    </w:rPr>
  </w:style>
  <w:style w:type="paragraph" w:customStyle="1" w:styleId="03-DivisionHeading-NoTOP">
    <w:name w:val="03-Division Heading - No TOP"/>
    <w:uiPriority w:val="99"/>
    <w:rsid w:val="00020777"/>
    <w:pPr>
      <w:keepNext/>
      <w:tabs>
        <w:tab w:val="left" w:pos="2400"/>
      </w:tabs>
      <w:suppressAutoHyphens/>
      <w:autoSpaceDE w:val="0"/>
      <w:autoSpaceDN w:val="0"/>
      <w:adjustRightInd w:val="0"/>
      <w:spacing w:before="480" w:after="480" w:line="300" w:lineRule="atLeast"/>
      <w:ind w:left="2400" w:hanging="2400"/>
    </w:pPr>
    <w:rPr>
      <w:rFonts w:ascii="Helvetica" w:eastAsiaTheme="minorEastAsia" w:hAnsi="Helvetica" w:cs="Helvetica"/>
      <w:b/>
      <w:bCs/>
      <w:color w:val="000000"/>
      <w:w w:val="0"/>
      <w:sz w:val="28"/>
      <w:szCs w:val="28"/>
      <w:lang w:val="en-GB"/>
    </w:rPr>
  </w:style>
  <w:style w:type="paragraph" w:customStyle="1" w:styleId="04-SectionHeading">
    <w:name w:val="04-Section Heading"/>
    <w:next w:val="05-Subsection"/>
    <w:uiPriority w:val="99"/>
    <w:rsid w:val="00020777"/>
    <w:pPr>
      <w:keepNext/>
      <w:tabs>
        <w:tab w:val="left" w:pos="780"/>
      </w:tabs>
      <w:suppressAutoHyphens/>
      <w:autoSpaceDE w:val="0"/>
      <w:autoSpaceDN w:val="0"/>
      <w:adjustRightInd w:val="0"/>
      <w:spacing w:before="460" w:line="220" w:lineRule="atLeast"/>
      <w:ind w:left="780" w:hanging="780"/>
    </w:pPr>
    <w:rPr>
      <w:rFonts w:ascii="Helvetica" w:eastAsiaTheme="minorEastAsia" w:hAnsi="Helvetica" w:cs="Helvetica"/>
      <w:b/>
      <w:bCs/>
      <w:color w:val="000000"/>
      <w:w w:val="0"/>
      <w:sz w:val="22"/>
      <w:szCs w:val="22"/>
      <w:lang w:val="en-GB"/>
    </w:rPr>
  </w:style>
  <w:style w:type="paragraph" w:customStyle="1" w:styleId="08-Subsubparagraph">
    <w:name w:val="08-Subsubparagraph"/>
    <w:uiPriority w:val="99"/>
    <w:rsid w:val="00020777"/>
    <w:pPr>
      <w:tabs>
        <w:tab w:val="left" w:pos="2880"/>
      </w:tabs>
      <w:suppressAutoHyphens/>
      <w:autoSpaceDE w:val="0"/>
      <w:autoSpaceDN w:val="0"/>
      <w:adjustRightInd w:val="0"/>
      <w:spacing w:before="120" w:line="260" w:lineRule="atLeast"/>
      <w:ind w:left="2880" w:hanging="580"/>
      <w:jc w:val="both"/>
    </w:pPr>
    <w:rPr>
      <w:rFonts w:ascii="Times" w:eastAsiaTheme="minorEastAsia" w:hAnsi="Times" w:cs="Times"/>
      <w:color w:val="000000"/>
      <w:w w:val="0"/>
      <w:sz w:val="24"/>
      <w:szCs w:val="24"/>
      <w:lang w:val="en-GB"/>
    </w:rPr>
  </w:style>
  <w:style w:type="paragraph" w:customStyle="1" w:styleId="04-SectionHeading-Insertion">
    <w:name w:val="04-Section Heading - Insertion"/>
    <w:uiPriority w:val="99"/>
    <w:rsid w:val="00020777"/>
    <w:pPr>
      <w:keepNext/>
      <w:tabs>
        <w:tab w:val="left" w:pos="780"/>
      </w:tabs>
      <w:suppressAutoHyphens/>
      <w:autoSpaceDE w:val="0"/>
      <w:autoSpaceDN w:val="0"/>
      <w:adjustRightInd w:val="0"/>
      <w:spacing w:before="100" w:line="220" w:lineRule="atLeast"/>
      <w:ind w:left="780" w:hanging="780"/>
    </w:pPr>
    <w:rPr>
      <w:rFonts w:ascii="Helvetica" w:eastAsiaTheme="minorEastAsia" w:hAnsi="Helvetica" w:cs="Helvetica"/>
      <w:b/>
      <w:bCs/>
      <w:color w:val="000000"/>
      <w:w w:val="0"/>
      <w:sz w:val="22"/>
      <w:szCs w:val="22"/>
      <w:lang w:val="en-GB"/>
    </w:rPr>
  </w:style>
  <w:style w:type="paragraph" w:customStyle="1" w:styleId="04-SectionHeading-Insertion-NoTOP">
    <w:name w:val="04-Section Heading - Insertion - No TOP"/>
    <w:uiPriority w:val="99"/>
    <w:rsid w:val="00020777"/>
    <w:pPr>
      <w:keepNext/>
      <w:tabs>
        <w:tab w:val="left" w:pos="780"/>
      </w:tabs>
      <w:suppressAutoHyphens/>
      <w:autoSpaceDE w:val="0"/>
      <w:autoSpaceDN w:val="0"/>
      <w:adjustRightInd w:val="0"/>
      <w:spacing w:before="100" w:line="220" w:lineRule="atLeast"/>
      <w:ind w:left="780" w:hanging="780"/>
    </w:pPr>
    <w:rPr>
      <w:rFonts w:ascii="Helvetica" w:eastAsiaTheme="minorEastAsia" w:hAnsi="Helvetica" w:cs="Helvetica"/>
      <w:b/>
      <w:bCs/>
      <w:color w:val="000000"/>
      <w:w w:val="0"/>
      <w:sz w:val="22"/>
      <w:szCs w:val="22"/>
      <w:lang w:val="en-GB"/>
    </w:rPr>
  </w:style>
  <w:style w:type="paragraph" w:customStyle="1" w:styleId="06-Paragraph">
    <w:name w:val="06-Paragraph"/>
    <w:uiPriority w:val="99"/>
    <w:rsid w:val="00020777"/>
    <w:pPr>
      <w:tabs>
        <w:tab w:val="left" w:pos="1800"/>
      </w:tabs>
      <w:suppressAutoHyphens/>
      <w:autoSpaceDE w:val="0"/>
      <w:autoSpaceDN w:val="0"/>
      <w:adjustRightInd w:val="0"/>
      <w:spacing w:before="120" w:line="260" w:lineRule="atLeast"/>
      <w:ind w:left="1800" w:hanging="560"/>
      <w:jc w:val="both"/>
    </w:pPr>
    <w:rPr>
      <w:rFonts w:ascii="Times" w:eastAsiaTheme="minorEastAsia" w:hAnsi="Times" w:cs="Times"/>
      <w:color w:val="000000"/>
      <w:w w:val="0"/>
      <w:sz w:val="24"/>
      <w:szCs w:val="24"/>
      <w:lang w:val="en-GB"/>
    </w:rPr>
  </w:style>
  <w:style w:type="paragraph" w:customStyle="1" w:styleId="07-Subparagraph">
    <w:name w:val="07-Subparagraph"/>
    <w:uiPriority w:val="99"/>
    <w:rsid w:val="00020777"/>
    <w:pPr>
      <w:tabs>
        <w:tab w:val="left" w:pos="2300"/>
      </w:tabs>
      <w:suppressAutoHyphens/>
      <w:autoSpaceDE w:val="0"/>
      <w:autoSpaceDN w:val="0"/>
      <w:adjustRightInd w:val="0"/>
      <w:spacing w:before="120" w:line="260" w:lineRule="atLeast"/>
      <w:ind w:left="2300" w:hanging="500"/>
      <w:jc w:val="both"/>
    </w:pPr>
    <w:rPr>
      <w:rFonts w:ascii="Times" w:eastAsiaTheme="minorEastAsia" w:hAnsi="Times" w:cs="Times"/>
      <w:color w:val="000000"/>
      <w:w w:val="0"/>
      <w:sz w:val="24"/>
      <w:szCs w:val="24"/>
      <w:lang w:val="en-GB"/>
    </w:rPr>
  </w:style>
  <w:style w:type="paragraph" w:customStyle="1" w:styleId="15-ParliamentQld">
    <w:name w:val="15-Parliament Qld"/>
    <w:uiPriority w:val="99"/>
    <w:rsid w:val="00020777"/>
    <w:pPr>
      <w:pageBreakBefore/>
      <w:suppressAutoHyphens/>
      <w:autoSpaceDE w:val="0"/>
      <w:autoSpaceDN w:val="0"/>
      <w:adjustRightInd w:val="0"/>
      <w:spacing w:after="960" w:line="260" w:lineRule="atLeast"/>
      <w:jc w:val="both"/>
    </w:pPr>
    <w:rPr>
      <w:rFonts w:ascii="Helvetica" w:eastAsiaTheme="minorEastAsia" w:hAnsi="Helvetica" w:cs="Helvetica"/>
      <w:b/>
      <w:bCs/>
      <w:color w:val="000000"/>
      <w:w w:val="0"/>
      <w:sz w:val="24"/>
      <w:szCs w:val="24"/>
      <w:lang w:val="en-GB"/>
    </w:rPr>
  </w:style>
  <w:style w:type="paragraph" w:customStyle="1" w:styleId="02-ScheduleHeading-Insertion">
    <w:name w:val="02-Schedule Heading - Insertion"/>
    <w:uiPriority w:val="99"/>
    <w:rsid w:val="00020777"/>
    <w:pPr>
      <w:keepNext/>
      <w:tabs>
        <w:tab w:val="left" w:pos="2400"/>
      </w:tabs>
      <w:suppressAutoHyphens/>
      <w:autoSpaceDE w:val="0"/>
      <w:autoSpaceDN w:val="0"/>
      <w:adjustRightInd w:val="0"/>
      <w:spacing w:before="120" w:after="480" w:line="340" w:lineRule="atLeast"/>
      <w:ind w:left="2400" w:hanging="2400"/>
    </w:pPr>
    <w:rPr>
      <w:rFonts w:ascii="Helvetica" w:eastAsiaTheme="minorEastAsia" w:hAnsi="Helvetica" w:cs="Helvetica"/>
      <w:b/>
      <w:bCs/>
      <w:color w:val="000000"/>
      <w:w w:val="0"/>
      <w:sz w:val="32"/>
      <w:szCs w:val="32"/>
      <w:lang w:val="en-GB"/>
    </w:rPr>
  </w:style>
  <w:style w:type="paragraph" w:customStyle="1" w:styleId="CellBody-fees">
    <w:name w:val="CellBody-fees"/>
    <w:uiPriority w:val="99"/>
    <w:rsid w:val="00020777"/>
    <w:pPr>
      <w:suppressAutoHyphens/>
      <w:autoSpaceDE w:val="0"/>
      <w:autoSpaceDN w:val="0"/>
      <w:adjustRightInd w:val="0"/>
      <w:spacing w:line="260" w:lineRule="atLeast"/>
      <w:jc w:val="right"/>
    </w:pPr>
    <w:rPr>
      <w:rFonts w:ascii="Times" w:eastAsiaTheme="minorEastAsia" w:hAnsi="Times" w:cs="Times"/>
      <w:color w:val="000000"/>
      <w:w w:val="0"/>
      <w:sz w:val="24"/>
      <w:szCs w:val="24"/>
      <w:lang w:val="en-GB"/>
    </w:rPr>
  </w:style>
  <w:style w:type="paragraph" w:customStyle="1" w:styleId="04-SectionHeading-NoTOP">
    <w:name w:val="04-Section Heading - No TOP"/>
    <w:uiPriority w:val="99"/>
    <w:rsid w:val="00020777"/>
    <w:pPr>
      <w:keepNext/>
      <w:tabs>
        <w:tab w:val="left" w:pos="780"/>
      </w:tabs>
      <w:suppressAutoHyphens/>
      <w:autoSpaceDE w:val="0"/>
      <w:autoSpaceDN w:val="0"/>
      <w:adjustRightInd w:val="0"/>
      <w:spacing w:before="460" w:line="220" w:lineRule="atLeast"/>
      <w:ind w:left="780" w:hanging="780"/>
    </w:pPr>
    <w:rPr>
      <w:rFonts w:ascii="Helvetica" w:eastAsiaTheme="minorEastAsia" w:hAnsi="Helvetica" w:cs="Helvetica"/>
      <w:b/>
      <w:bCs/>
      <w:color w:val="000000"/>
      <w:w w:val="0"/>
      <w:sz w:val="22"/>
      <w:szCs w:val="22"/>
      <w:lang w:val="en-GB"/>
    </w:rPr>
  </w:style>
  <w:style w:type="paragraph" w:customStyle="1" w:styleId="02-ScheduleSubHeading-Insertion-NoTOP">
    <w:name w:val="02-Schedule SubHeading - Insertion - No TOP"/>
    <w:uiPriority w:val="99"/>
    <w:rsid w:val="00020777"/>
    <w:pPr>
      <w:keepNext/>
      <w:tabs>
        <w:tab w:val="left" w:pos="2400"/>
      </w:tabs>
      <w:suppressAutoHyphens/>
      <w:autoSpaceDE w:val="0"/>
      <w:autoSpaceDN w:val="0"/>
      <w:adjustRightInd w:val="0"/>
      <w:spacing w:after="540" w:line="340" w:lineRule="atLeast"/>
      <w:ind w:left="2400" w:hanging="2400"/>
    </w:pPr>
    <w:rPr>
      <w:rFonts w:ascii="Helvetica" w:eastAsiaTheme="minorEastAsia" w:hAnsi="Helvetica" w:cs="Helvetica"/>
      <w:b/>
      <w:bCs/>
      <w:color w:val="000000"/>
      <w:w w:val="0"/>
      <w:sz w:val="32"/>
      <w:szCs w:val="32"/>
      <w:lang w:val="en-GB"/>
    </w:rPr>
  </w:style>
  <w:style w:type="paragraph" w:customStyle="1" w:styleId="02-Schedule-Authorisingsection">
    <w:name w:val="02-Schedule-Authorising section"/>
    <w:uiPriority w:val="99"/>
    <w:rsid w:val="00020777"/>
    <w:pPr>
      <w:suppressAutoHyphens/>
      <w:autoSpaceDE w:val="0"/>
      <w:autoSpaceDN w:val="0"/>
      <w:adjustRightInd w:val="0"/>
      <w:spacing w:after="480" w:line="260" w:lineRule="atLeast"/>
      <w:jc w:val="right"/>
    </w:pPr>
    <w:rPr>
      <w:rFonts w:ascii="Helvetica" w:eastAsiaTheme="minorEastAsia" w:hAnsi="Helvetica" w:cs="Helvetica"/>
      <w:color w:val="000000"/>
      <w:w w:val="0"/>
      <w:sz w:val="24"/>
      <w:szCs w:val="24"/>
      <w:lang w:val="en-GB"/>
    </w:rPr>
  </w:style>
  <w:style w:type="paragraph" w:customStyle="1" w:styleId="CellBody-02-paragrapgh">
    <w:name w:val="CellBody-02-paragrapgh"/>
    <w:uiPriority w:val="99"/>
    <w:rsid w:val="00020777"/>
    <w:pPr>
      <w:tabs>
        <w:tab w:val="left" w:pos="960"/>
        <w:tab w:val="right" w:leader="dot" w:pos="5400"/>
      </w:tabs>
      <w:suppressAutoHyphens/>
      <w:autoSpaceDE w:val="0"/>
      <w:autoSpaceDN w:val="0"/>
      <w:adjustRightInd w:val="0"/>
      <w:spacing w:line="260" w:lineRule="atLeast"/>
      <w:ind w:left="960" w:hanging="480"/>
    </w:pPr>
    <w:rPr>
      <w:rFonts w:ascii="Times" w:eastAsiaTheme="minorEastAsia" w:hAnsi="Times" w:cs="Times"/>
      <w:color w:val="000000"/>
      <w:w w:val="0"/>
      <w:sz w:val="24"/>
      <w:szCs w:val="24"/>
      <w:lang w:val="en-GB"/>
    </w:rPr>
  </w:style>
  <w:style w:type="paragraph" w:customStyle="1" w:styleId="CellBody-03-subparagrapgh">
    <w:name w:val="CellBody-03-subparagrapgh"/>
    <w:uiPriority w:val="99"/>
    <w:rsid w:val="00020777"/>
    <w:pPr>
      <w:tabs>
        <w:tab w:val="left" w:pos="1440"/>
        <w:tab w:val="right" w:leader="dot" w:pos="5400"/>
      </w:tabs>
      <w:suppressAutoHyphens/>
      <w:autoSpaceDE w:val="0"/>
      <w:autoSpaceDN w:val="0"/>
      <w:adjustRightInd w:val="0"/>
      <w:spacing w:line="260" w:lineRule="atLeast"/>
      <w:ind w:left="1440" w:hanging="480"/>
    </w:pPr>
    <w:rPr>
      <w:rFonts w:ascii="Times" w:eastAsiaTheme="minorEastAsia" w:hAnsi="Times" w:cs="Times"/>
      <w:color w:val="000000"/>
      <w:w w:val="0"/>
      <w:sz w:val="24"/>
      <w:szCs w:val="24"/>
      <w:lang w:val="en-GB"/>
    </w:rPr>
  </w:style>
  <w:style w:type="paragraph" w:customStyle="1" w:styleId="CellBody-04-subsubparagrapgh">
    <w:name w:val="CellBody-04-subsubparagrapgh"/>
    <w:uiPriority w:val="99"/>
    <w:rsid w:val="00020777"/>
    <w:pPr>
      <w:tabs>
        <w:tab w:val="left" w:pos="1920"/>
        <w:tab w:val="right" w:leader="dot" w:pos="5400"/>
      </w:tabs>
      <w:suppressAutoHyphens/>
      <w:autoSpaceDE w:val="0"/>
      <w:autoSpaceDN w:val="0"/>
      <w:adjustRightInd w:val="0"/>
      <w:spacing w:line="260" w:lineRule="atLeast"/>
      <w:ind w:left="1920" w:hanging="480"/>
    </w:pPr>
    <w:rPr>
      <w:rFonts w:ascii="Times" w:eastAsiaTheme="minorEastAsia" w:hAnsi="Times" w:cs="Times"/>
      <w:color w:val="000000"/>
      <w:w w:val="0"/>
      <w:sz w:val="24"/>
      <w:szCs w:val="24"/>
      <w:lang w:val="en-GB"/>
    </w:rPr>
  </w:style>
  <w:style w:type="character" w:customStyle="1" w:styleId="LC">
    <w:name w:val="LC"/>
    <w:uiPriority w:val="99"/>
    <w:rsid w:val="00020777"/>
    <w:rPr>
      <w:w w:val="100"/>
      <w:u w:val="none"/>
      <w:vertAlign w:val="baseline"/>
      <w:lang w:val="en-GB"/>
    </w:rPr>
  </w:style>
  <w:style w:type="character" w:customStyle="1" w:styleId="Default">
    <w:name w:val="Default"/>
    <w:uiPriority w:val="99"/>
    <w:rsid w:val="00020777"/>
    <w:rPr>
      <w:rFonts w:ascii="Times" w:hAnsi="Times"/>
      <w:color w:val="000000"/>
      <w:spacing w:val="0"/>
      <w:w w:val="100"/>
      <w:sz w:val="24"/>
      <w:u w:val="none"/>
      <w:vertAlign w:val="baseline"/>
      <w:lang w:val="en-GB"/>
    </w:rPr>
  </w:style>
  <w:style w:type="character" w:customStyle="1" w:styleId="ActTitle">
    <w:name w:val="Act Title"/>
    <w:uiPriority w:val="99"/>
    <w:rsid w:val="00020777"/>
    <w:rPr>
      <w:rFonts w:ascii="Times" w:hAnsi="Times"/>
      <w:i/>
      <w:color w:val="000000"/>
      <w:spacing w:val="0"/>
      <w:w w:val="100"/>
      <w:sz w:val="24"/>
      <w:u w:val="none"/>
      <w:vertAlign w:val="baseline"/>
      <w:lang w:val="en-GB"/>
    </w:rPr>
  </w:style>
  <w:style w:type="character" w:customStyle="1" w:styleId="UC">
    <w:name w:val="UC"/>
    <w:uiPriority w:val="99"/>
    <w:rsid w:val="00020777"/>
    <w:rPr>
      <w:caps/>
      <w:w w:val="100"/>
      <w:u w:val="none"/>
      <w:vertAlign w:val="baseline"/>
      <w:lang w:val="en-GB"/>
    </w:rPr>
  </w:style>
  <w:style w:type="character" w:customStyle="1" w:styleId="B">
    <w:name w:val="B"/>
    <w:uiPriority w:val="99"/>
    <w:rsid w:val="00020777"/>
    <w:rPr>
      <w:b/>
      <w:w w:val="100"/>
      <w:u w:val="none"/>
      <w:vertAlign w:val="baseline"/>
      <w:lang w:val="en-GB"/>
    </w:rPr>
  </w:style>
  <w:style w:type="character" w:customStyle="1" w:styleId="P">
    <w:name w:val="P"/>
    <w:uiPriority w:val="99"/>
    <w:rsid w:val="00020777"/>
    <w:rPr>
      <w:w w:val="100"/>
      <w:u w:val="none"/>
      <w:vertAlign w:val="baseline"/>
      <w:lang w:val="en-GB"/>
    </w:rPr>
  </w:style>
  <w:style w:type="character" w:styleId="Emphasis">
    <w:name w:val="Emphasis"/>
    <w:basedOn w:val="DefaultParagraphFont"/>
    <w:uiPriority w:val="99"/>
    <w:qFormat/>
    <w:rsid w:val="00020777"/>
    <w:rPr>
      <w:rFonts w:cs="Times New Roman"/>
      <w:i/>
      <w:iCs/>
    </w:rPr>
  </w:style>
  <w:style w:type="character" w:customStyle="1" w:styleId="EquationVariables">
    <w:name w:val="EquationVariables"/>
    <w:uiPriority w:val="99"/>
    <w:rsid w:val="00020777"/>
    <w:rPr>
      <w:i/>
    </w:rPr>
  </w:style>
  <w:style w:type="character" w:customStyle="1" w:styleId="Clause">
    <w:name w:val="Clause"/>
    <w:uiPriority w:val="99"/>
    <w:rsid w:val="00020777"/>
    <w:rPr>
      <w:rFonts w:ascii="Times" w:hAnsi="Times"/>
      <w:color w:val="000000"/>
      <w:spacing w:val="0"/>
      <w:sz w:val="24"/>
      <w:u w:val="none"/>
      <w:vertAlign w:val="baseline"/>
    </w:rPr>
  </w:style>
  <w:style w:type="paragraph" w:customStyle="1" w:styleId="ShadedSchClauseSymb">
    <w:name w:val="Shaded Sch Clause Symb"/>
    <w:basedOn w:val="ShadedSchClause"/>
    <w:rsid w:val="000E1C8B"/>
    <w:pPr>
      <w:tabs>
        <w:tab w:val="left" w:pos="0"/>
      </w:tabs>
      <w:ind w:left="975" w:hanging="1457"/>
    </w:pPr>
  </w:style>
  <w:style w:type="paragraph" w:customStyle="1" w:styleId="CoverTextBullet">
    <w:name w:val="CoverTextBullet"/>
    <w:basedOn w:val="CoverText"/>
    <w:qFormat/>
    <w:rsid w:val="000E1C8B"/>
    <w:pPr>
      <w:numPr>
        <w:numId w:val="4"/>
      </w:numPr>
      <w:ind w:left="357" w:hanging="357"/>
    </w:pPr>
    <w:rPr>
      <w:color w:val="000000"/>
    </w:rPr>
  </w:style>
  <w:style w:type="character" w:customStyle="1" w:styleId="charCitHyperlinkAbbrev">
    <w:name w:val="charCitHyperlinkAbbrev"/>
    <w:basedOn w:val="Hyperlink"/>
    <w:uiPriority w:val="1"/>
    <w:rsid w:val="005854DE"/>
    <w:rPr>
      <w:color w:val="0000FF" w:themeColor="hyperlink"/>
      <w:u w:val="none"/>
    </w:rPr>
  </w:style>
  <w:style w:type="character" w:styleId="Hyperlink">
    <w:name w:val="Hyperlink"/>
    <w:basedOn w:val="DefaultParagraphFont"/>
    <w:uiPriority w:val="99"/>
    <w:unhideWhenUsed/>
    <w:rsid w:val="005854DE"/>
    <w:rPr>
      <w:color w:val="0000FF" w:themeColor="hyperlink"/>
      <w:u w:val="single"/>
    </w:rPr>
  </w:style>
  <w:style w:type="paragraph" w:styleId="BodyText">
    <w:name w:val="Body Text"/>
    <w:basedOn w:val="Normal"/>
    <w:link w:val="BodyTextChar"/>
    <w:uiPriority w:val="1"/>
    <w:qFormat/>
    <w:rsid w:val="00400817"/>
    <w:pPr>
      <w:widowControl w:val="0"/>
      <w:ind w:left="670"/>
    </w:pPr>
    <w:rPr>
      <w:rFonts w:cstheme="minorBidi"/>
      <w:sz w:val="20"/>
      <w:lang w:val="en-US"/>
    </w:rPr>
  </w:style>
  <w:style w:type="character" w:customStyle="1" w:styleId="BodyTextChar">
    <w:name w:val="Body Text Char"/>
    <w:basedOn w:val="DefaultParagraphFont"/>
    <w:link w:val="BodyText"/>
    <w:uiPriority w:val="1"/>
    <w:rsid w:val="00400817"/>
    <w:rPr>
      <w:rFonts w:cstheme="minorBidi"/>
      <w:lang w:val="en-US" w:eastAsia="en-US"/>
    </w:rPr>
  </w:style>
  <w:style w:type="paragraph" w:styleId="ListParagraph">
    <w:name w:val="List Paragraph"/>
    <w:basedOn w:val="Normal"/>
    <w:uiPriority w:val="1"/>
    <w:qFormat/>
    <w:rsid w:val="00400817"/>
    <w:pPr>
      <w:widowControl w:val="0"/>
    </w:pPr>
    <w:rPr>
      <w:rFonts w:asciiTheme="minorHAnsi" w:eastAsiaTheme="minorHAnsi" w:hAnsiTheme="minorHAnsi" w:cstheme="minorBidi"/>
      <w:sz w:val="22"/>
      <w:szCs w:val="22"/>
      <w:lang w:val="en-US"/>
    </w:rPr>
  </w:style>
  <w:style w:type="paragraph" w:customStyle="1" w:styleId="TableParagraph">
    <w:name w:val="Table Paragraph"/>
    <w:basedOn w:val="Normal"/>
    <w:uiPriority w:val="1"/>
    <w:qFormat/>
    <w:rsid w:val="00400817"/>
    <w:pPr>
      <w:widowControl w:val="0"/>
    </w:pPr>
    <w:rPr>
      <w:rFonts w:asciiTheme="minorHAnsi" w:eastAsiaTheme="minorHAnsi" w:hAnsiTheme="minorHAnsi" w:cstheme="minorBidi"/>
      <w:sz w:val="22"/>
      <w:szCs w:val="22"/>
      <w:lang w:val="en-US"/>
    </w:rPr>
  </w:style>
  <w:style w:type="paragraph" w:customStyle="1" w:styleId="01aPreamble">
    <w:name w:val="01aPreamble"/>
    <w:basedOn w:val="Normal"/>
    <w:qFormat/>
    <w:rsid w:val="00DB6E47"/>
    <w:pPr>
      <w:tabs>
        <w:tab w:val="left" w:pos="0"/>
      </w:tabs>
    </w:pPr>
  </w:style>
  <w:style w:type="paragraph" w:customStyle="1" w:styleId="TableBullet">
    <w:name w:val="TableBullet"/>
    <w:basedOn w:val="TableText10"/>
    <w:qFormat/>
    <w:rsid w:val="00DB6E47"/>
    <w:pPr>
      <w:numPr>
        <w:numId w:val="8"/>
      </w:numPr>
      <w:tabs>
        <w:tab w:val="left" w:pos="0"/>
      </w:tabs>
    </w:pPr>
  </w:style>
  <w:style w:type="paragraph" w:customStyle="1" w:styleId="TableNumbered">
    <w:name w:val="TableNumbered"/>
    <w:basedOn w:val="TableText10"/>
    <w:qFormat/>
    <w:rsid w:val="00DB6E47"/>
    <w:pPr>
      <w:numPr>
        <w:numId w:val="9"/>
      </w:numPr>
      <w:tabs>
        <w:tab w:val="left" w:pos="0"/>
      </w:tabs>
    </w:pPr>
  </w:style>
  <w:style w:type="character" w:customStyle="1" w:styleId="charCitHyperlinkItal">
    <w:name w:val="charCitHyperlinkItal"/>
    <w:basedOn w:val="Hyperlink"/>
    <w:uiPriority w:val="1"/>
    <w:rsid w:val="00DB6E47"/>
    <w:rPr>
      <w:i/>
      <w:color w:val="0000FF" w:themeColor="hyperlink"/>
      <w:u w:val="none"/>
    </w:rPr>
  </w:style>
  <w:style w:type="paragraph" w:customStyle="1" w:styleId="FormRule">
    <w:name w:val="FormRule"/>
    <w:basedOn w:val="Normal"/>
    <w:rsid w:val="00DB6E47"/>
    <w:pPr>
      <w:pBdr>
        <w:top w:val="single" w:sz="4" w:space="1" w:color="auto"/>
      </w:pBdr>
      <w:tabs>
        <w:tab w:val="left" w:pos="0"/>
      </w:tabs>
      <w:spacing w:before="160" w:after="40"/>
      <w:ind w:left="3220" w:right="3260"/>
    </w:pPr>
    <w:rPr>
      <w:sz w:val="8"/>
    </w:rPr>
  </w:style>
  <w:style w:type="paragraph" w:customStyle="1" w:styleId="OldAmdtsEntries">
    <w:name w:val="OldAmdtsEntries"/>
    <w:basedOn w:val="BillBasicHeading"/>
    <w:rsid w:val="00DB6E47"/>
    <w:pPr>
      <w:tabs>
        <w:tab w:val="clear" w:pos="2600"/>
        <w:tab w:val="left" w:leader="dot" w:pos="2700"/>
      </w:tabs>
      <w:ind w:left="2700" w:hanging="2000"/>
    </w:pPr>
    <w:rPr>
      <w:sz w:val="18"/>
    </w:rPr>
  </w:style>
  <w:style w:type="paragraph" w:customStyle="1" w:styleId="OldAmdt2ndLine">
    <w:name w:val="OldAmdt2ndLine"/>
    <w:basedOn w:val="OldAmdtsEntries"/>
    <w:rsid w:val="00DB6E47"/>
    <w:pPr>
      <w:tabs>
        <w:tab w:val="left" w:pos="2700"/>
      </w:tabs>
      <w:spacing w:before="0"/>
    </w:pPr>
  </w:style>
  <w:style w:type="paragraph" w:customStyle="1" w:styleId="parainpara">
    <w:name w:val="para in para"/>
    <w:rsid w:val="00DB6E4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B6E47"/>
    <w:pPr>
      <w:tabs>
        <w:tab w:val="left" w:pos="0"/>
      </w:tabs>
      <w:spacing w:after="60"/>
      <w:ind w:left="2800"/>
    </w:pPr>
    <w:rPr>
      <w:rFonts w:ascii="ACTCrest" w:hAnsi="ACTCrest"/>
      <w:sz w:val="216"/>
    </w:rPr>
  </w:style>
  <w:style w:type="paragraph" w:customStyle="1" w:styleId="Actbullet">
    <w:name w:val="Act bullet"/>
    <w:basedOn w:val="Normal"/>
    <w:uiPriority w:val="99"/>
    <w:rsid w:val="00DB6E47"/>
    <w:pPr>
      <w:numPr>
        <w:numId w:val="20"/>
      </w:numPr>
      <w:tabs>
        <w:tab w:val="left" w:pos="0"/>
        <w:tab w:val="left" w:pos="900"/>
      </w:tabs>
      <w:spacing w:before="20"/>
      <w:ind w:right="-60"/>
    </w:pPr>
    <w:rPr>
      <w:rFonts w:ascii="Arial" w:hAnsi="Arial"/>
      <w:sz w:val="18"/>
    </w:rPr>
  </w:style>
  <w:style w:type="paragraph" w:customStyle="1" w:styleId="AuthorisedBlock">
    <w:name w:val="AuthorisedBlock"/>
    <w:basedOn w:val="Normal"/>
    <w:rsid w:val="00DB6E47"/>
    <w:pPr>
      <w:pBdr>
        <w:top w:val="single" w:sz="12" w:space="1" w:color="auto"/>
        <w:bottom w:val="single" w:sz="12" w:space="1" w:color="auto"/>
      </w:pBdr>
      <w:tabs>
        <w:tab w:val="left" w:pos="0"/>
      </w:tabs>
      <w:spacing w:before="120" w:after="120"/>
      <w:ind w:left="1680" w:right="1547"/>
      <w:jc w:val="center"/>
    </w:pPr>
    <w:rPr>
      <w:b/>
    </w:rPr>
  </w:style>
  <w:style w:type="paragraph" w:customStyle="1" w:styleId="AFHdg">
    <w:name w:val="AFHdg"/>
    <w:basedOn w:val="BillBasicHeading"/>
    <w:rsid w:val="00DB6E47"/>
    <w:rPr>
      <w:b w:val="0"/>
      <w:sz w:val="32"/>
    </w:rPr>
  </w:style>
  <w:style w:type="paragraph" w:customStyle="1" w:styleId="MH1Chapter">
    <w:name w:val="M H1 Chapter"/>
    <w:basedOn w:val="AH1Chapter"/>
    <w:rsid w:val="00DB6E47"/>
    <w:pPr>
      <w:tabs>
        <w:tab w:val="clear" w:pos="2600"/>
        <w:tab w:val="left" w:pos="2720"/>
      </w:tabs>
      <w:ind w:left="4000" w:hanging="3300"/>
    </w:pPr>
  </w:style>
  <w:style w:type="paragraph" w:customStyle="1" w:styleId="ApprFormHd">
    <w:name w:val="ApprFormHd"/>
    <w:basedOn w:val="Sched-heading"/>
    <w:rsid w:val="00DB6E47"/>
    <w:pPr>
      <w:ind w:left="0" w:firstLine="0"/>
    </w:pPr>
  </w:style>
  <w:style w:type="paragraph" w:customStyle="1" w:styleId="Actdetailsnote">
    <w:name w:val="Act details note"/>
    <w:basedOn w:val="Actdetails"/>
    <w:uiPriority w:val="99"/>
    <w:rsid w:val="00DB6E47"/>
    <w:pPr>
      <w:tabs>
        <w:tab w:val="left" w:pos="0"/>
      </w:tabs>
      <w:ind w:left="1620" w:right="-60" w:hanging="720"/>
    </w:pPr>
    <w:rPr>
      <w:sz w:val="18"/>
    </w:rPr>
  </w:style>
  <w:style w:type="paragraph" w:customStyle="1" w:styleId="DetailsNo">
    <w:name w:val="Details No"/>
    <w:basedOn w:val="Actdetails"/>
    <w:uiPriority w:val="99"/>
    <w:rsid w:val="00DB6E47"/>
    <w:pPr>
      <w:tabs>
        <w:tab w:val="left" w:pos="0"/>
      </w:tabs>
      <w:ind w:left="0"/>
    </w:pPr>
    <w:rPr>
      <w:sz w:val="18"/>
    </w:rPr>
  </w:style>
  <w:style w:type="paragraph" w:customStyle="1" w:styleId="ISchMain">
    <w:name w:val="I Sch Main"/>
    <w:basedOn w:val="BillBasic"/>
    <w:rsid w:val="00DB6E47"/>
    <w:pPr>
      <w:tabs>
        <w:tab w:val="right" w:pos="900"/>
        <w:tab w:val="left" w:pos="1100"/>
      </w:tabs>
      <w:ind w:left="1100" w:hanging="1100"/>
    </w:pPr>
  </w:style>
  <w:style w:type="paragraph" w:customStyle="1" w:styleId="ISchpara">
    <w:name w:val="I Sch para"/>
    <w:basedOn w:val="BillBasic"/>
    <w:rsid w:val="00DB6E47"/>
    <w:pPr>
      <w:tabs>
        <w:tab w:val="right" w:pos="1400"/>
        <w:tab w:val="left" w:pos="1600"/>
      </w:tabs>
      <w:ind w:left="1600" w:hanging="1600"/>
    </w:pPr>
  </w:style>
  <w:style w:type="paragraph" w:customStyle="1" w:styleId="ISchsubpara">
    <w:name w:val="I Sch subpara"/>
    <w:basedOn w:val="BillBasic"/>
    <w:rsid w:val="00DB6E47"/>
    <w:pPr>
      <w:tabs>
        <w:tab w:val="right" w:pos="1940"/>
        <w:tab w:val="left" w:pos="2140"/>
      </w:tabs>
      <w:ind w:left="2140" w:hanging="2140"/>
    </w:pPr>
  </w:style>
  <w:style w:type="paragraph" w:customStyle="1" w:styleId="ISchsubsubpara">
    <w:name w:val="I Sch subsubpara"/>
    <w:basedOn w:val="BillBasic"/>
    <w:rsid w:val="00DB6E47"/>
    <w:pPr>
      <w:tabs>
        <w:tab w:val="right" w:pos="2460"/>
        <w:tab w:val="left" w:pos="2660"/>
      </w:tabs>
      <w:ind w:left="2660" w:hanging="2660"/>
    </w:pPr>
  </w:style>
  <w:style w:type="paragraph" w:customStyle="1" w:styleId="AssectheadingSymb">
    <w:name w:val="A ssect heading Symb"/>
    <w:basedOn w:val="Amain"/>
    <w:rsid w:val="00DB6E4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B6E47"/>
    <w:pPr>
      <w:tabs>
        <w:tab w:val="left" w:pos="0"/>
        <w:tab w:val="right" w:pos="2400"/>
        <w:tab w:val="left" w:pos="2600"/>
      </w:tabs>
      <w:ind w:left="2602" w:hanging="3084"/>
      <w:outlineLvl w:val="8"/>
    </w:pPr>
  </w:style>
  <w:style w:type="paragraph" w:customStyle="1" w:styleId="AmainreturnSymb">
    <w:name w:val="A main return Symb"/>
    <w:basedOn w:val="BillBasic"/>
    <w:rsid w:val="00DB6E47"/>
    <w:pPr>
      <w:tabs>
        <w:tab w:val="left" w:pos="1582"/>
      </w:tabs>
      <w:ind w:left="1100" w:hanging="1582"/>
    </w:pPr>
  </w:style>
  <w:style w:type="paragraph" w:customStyle="1" w:styleId="AparareturnSymb">
    <w:name w:val="A para return Symb"/>
    <w:basedOn w:val="BillBasic"/>
    <w:rsid w:val="00DB6E47"/>
    <w:pPr>
      <w:tabs>
        <w:tab w:val="left" w:pos="2081"/>
      </w:tabs>
      <w:ind w:left="1599" w:hanging="2081"/>
    </w:pPr>
  </w:style>
  <w:style w:type="paragraph" w:customStyle="1" w:styleId="AsubparareturnSymb">
    <w:name w:val="A subpara return Symb"/>
    <w:basedOn w:val="BillBasic"/>
    <w:rsid w:val="00DB6E47"/>
    <w:pPr>
      <w:tabs>
        <w:tab w:val="left" w:pos="2580"/>
      </w:tabs>
      <w:ind w:left="2098" w:hanging="2580"/>
    </w:pPr>
  </w:style>
  <w:style w:type="paragraph" w:customStyle="1" w:styleId="aDefSymb">
    <w:name w:val="aDef Symb"/>
    <w:basedOn w:val="BillBasic"/>
    <w:rsid w:val="00DB6E47"/>
    <w:pPr>
      <w:tabs>
        <w:tab w:val="left" w:pos="1582"/>
      </w:tabs>
      <w:ind w:left="1100" w:hanging="1582"/>
    </w:pPr>
  </w:style>
  <w:style w:type="paragraph" w:customStyle="1" w:styleId="aDefparaSymb">
    <w:name w:val="aDef para Symb"/>
    <w:basedOn w:val="Apara"/>
    <w:rsid w:val="00DB6E47"/>
    <w:pPr>
      <w:tabs>
        <w:tab w:val="clear" w:pos="1600"/>
        <w:tab w:val="left" w:pos="0"/>
        <w:tab w:val="left" w:pos="1599"/>
      </w:tabs>
      <w:ind w:left="1599" w:hanging="2081"/>
    </w:pPr>
  </w:style>
  <w:style w:type="paragraph" w:customStyle="1" w:styleId="aDefsubparaSymb">
    <w:name w:val="aDef subpara Symb"/>
    <w:basedOn w:val="Asubpara"/>
    <w:rsid w:val="00DB6E47"/>
    <w:pPr>
      <w:tabs>
        <w:tab w:val="left" w:pos="0"/>
      </w:tabs>
      <w:ind w:left="2098" w:hanging="2580"/>
    </w:pPr>
  </w:style>
  <w:style w:type="paragraph" w:customStyle="1" w:styleId="SchAmainSymb">
    <w:name w:val="Sch A main Symb"/>
    <w:basedOn w:val="Amain"/>
    <w:rsid w:val="00DB6E47"/>
    <w:pPr>
      <w:tabs>
        <w:tab w:val="left" w:pos="0"/>
      </w:tabs>
      <w:ind w:hanging="1580"/>
    </w:pPr>
  </w:style>
  <w:style w:type="paragraph" w:customStyle="1" w:styleId="SchAparaSymb">
    <w:name w:val="Sch A para Symb"/>
    <w:basedOn w:val="Apara"/>
    <w:rsid w:val="00DB6E47"/>
    <w:pPr>
      <w:tabs>
        <w:tab w:val="left" w:pos="0"/>
      </w:tabs>
      <w:ind w:hanging="2080"/>
    </w:pPr>
  </w:style>
  <w:style w:type="paragraph" w:customStyle="1" w:styleId="SchAsubparaSymb">
    <w:name w:val="Sch A subpara Symb"/>
    <w:basedOn w:val="Asubpara"/>
    <w:rsid w:val="00DB6E47"/>
    <w:pPr>
      <w:tabs>
        <w:tab w:val="left" w:pos="0"/>
      </w:tabs>
      <w:ind w:hanging="2580"/>
    </w:pPr>
  </w:style>
  <w:style w:type="paragraph" w:customStyle="1" w:styleId="SchAsubsubparaSymb">
    <w:name w:val="Sch A subsubpara Symb"/>
    <w:basedOn w:val="AsubsubparaSymb"/>
    <w:rsid w:val="00DB6E47"/>
  </w:style>
  <w:style w:type="paragraph" w:customStyle="1" w:styleId="refSymb">
    <w:name w:val="ref Symb"/>
    <w:basedOn w:val="BillBasic"/>
    <w:next w:val="Normal"/>
    <w:rsid w:val="00DB6E47"/>
    <w:pPr>
      <w:tabs>
        <w:tab w:val="left" w:pos="-480"/>
      </w:tabs>
      <w:spacing w:before="60"/>
      <w:ind w:hanging="480"/>
    </w:pPr>
    <w:rPr>
      <w:sz w:val="18"/>
    </w:rPr>
  </w:style>
  <w:style w:type="paragraph" w:customStyle="1" w:styleId="IshadedH5SecSymb">
    <w:name w:val="I shaded H5 Sec Symb"/>
    <w:basedOn w:val="AH5Sec"/>
    <w:rsid w:val="00DB6E4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B6E47"/>
    <w:pPr>
      <w:tabs>
        <w:tab w:val="clear" w:pos="-1580"/>
      </w:tabs>
      <w:ind w:left="975" w:hanging="1457"/>
    </w:pPr>
  </w:style>
  <w:style w:type="paragraph" w:customStyle="1" w:styleId="IH1ChapSymb">
    <w:name w:val="I H1 Chap Symb"/>
    <w:basedOn w:val="BillBasicHeading"/>
    <w:next w:val="Normal"/>
    <w:rsid w:val="00DB6E4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B6E4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B6E4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B6E4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B6E47"/>
    <w:pPr>
      <w:tabs>
        <w:tab w:val="clear" w:pos="2600"/>
        <w:tab w:val="left" w:pos="-1580"/>
        <w:tab w:val="left" w:pos="0"/>
        <w:tab w:val="left" w:pos="1100"/>
      </w:tabs>
      <w:spacing w:before="240"/>
      <w:ind w:left="1100" w:hanging="1580"/>
    </w:pPr>
  </w:style>
  <w:style w:type="paragraph" w:customStyle="1" w:styleId="IMainSymb">
    <w:name w:val="I Main Symb"/>
    <w:basedOn w:val="Amain"/>
    <w:rsid w:val="00DB6E47"/>
    <w:pPr>
      <w:tabs>
        <w:tab w:val="left" w:pos="0"/>
      </w:tabs>
      <w:ind w:hanging="1580"/>
    </w:pPr>
  </w:style>
  <w:style w:type="paragraph" w:customStyle="1" w:styleId="IparaSymb">
    <w:name w:val="I para Symb"/>
    <w:basedOn w:val="Apara"/>
    <w:rsid w:val="00DB6E47"/>
    <w:pPr>
      <w:tabs>
        <w:tab w:val="left" w:pos="0"/>
      </w:tabs>
      <w:ind w:hanging="2080"/>
      <w:outlineLvl w:val="9"/>
    </w:pPr>
  </w:style>
  <w:style w:type="paragraph" w:customStyle="1" w:styleId="IsubparaSymb">
    <w:name w:val="I subpara Symb"/>
    <w:basedOn w:val="Asubpara"/>
    <w:rsid w:val="00DB6E4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B6E47"/>
    <w:pPr>
      <w:tabs>
        <w:tab w:val="clear" w:pos="2400"/>
        <w:tab w:val="clear" w:pos="2600"/>
        <w:tab w:val="right" w:pos="2460"/>
        <w:tab w:val="left" w:pos="2660"/>
      </w:tabs>
      <w:ind w:left="2660" w:hanging="3140"/>
    </w:pPr>
  </w:style>
  <w:style w:type="paragraph" w:customStyle="1" w:styleId="IdefparaSymb">
    <w:name w:val="I def para Symb"/>
    <w:basedOn w:val="IparaSymb"/>
    <w:rsid w:val="00DB6E47"/>
    <w:pPr>
      <w:ind w:left="1599" w:hanging="2081"/>
    </w:pPr>
  </w:style>
  <w:style w:type="paragraph" w:customStyle="1" w:styleId="IdefsubparaSymb">
    <w:name w:val="I def subpara Symb"/>
    <w:basedOn w:val="IsubparaSymb"/>
    <w:rsid w:val="00DB6E47"/>
    <w:pPr>
      <w:ind w:left="2138"/>
    </w:pPr>
  </w:style>
  <w:style w:type="paragraph" w:customStyle="1" w:styleId="ISched-headingSymb">
    <w:name w:val="I Sched-heading Symb"/>
    <w:basedOn w:val="BillBasicHeading"/>
    <w:next w:val="Normal"/>
    <w:rsid w:val="00DB6E47"/>
    <w:pPr>
      <w:tabs>
        <w:tab w:val="left" w:pos="-3080"/>
        <w:tab w:val="left" w:pos="0"/>
      </w:tabs>
      <w:spacing w:before="320"/>
      <w:ind w:left="2600" w:hanging="3080"/>
    </w:pPr>
    <w:rPr>
      <w:sz w:val="34"/>
    </w:rPr>
  </w:style>
  <w:style w:type="paragraph" w:customStyle="1" w:styleId="ISched-PartSymb">
    <w:name w:val="I Sched-Part Symb"/>
    <w:basedOn w:val="BillBasicHeading"/>
    <w:rsid w:val="00DB6E47"/>
    <w:pPr>
      <w:tabs>
        <w:tab w:val="left" w:pos="-3080"/>
        <w:tab w:val="left" w:pos="0"/>
      </w:tabs>
      <w:spacing w:before="380"/>
      <w:ind w:left="2600" w:hanging="3080"/>
    </w:pPr>
    <w:rPr>
      <w:sz w:val="32"/>
    </w:rPr>
  </w:style>
  <w:style w:type="paragraph" w:customStyle="1" w:styleId="ISched-formSymb">
    <w:name w:val="I Sched-form Symb"/>
    <w:basedOn w:val="BillBasicHeading"/>
    <w:rsid w:val="00DB6E4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B6E4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B6E4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B6E47"/>
    <w:pPr>
      <w:tabs>
        <w:tab w:val="left" w:pos="1100"/>
      </w:tabs>
      <w:spacing w:before="60"/>
      <w:ind w:left="1500" w:hanging="1986"/>
    </w:pPr>
  </w:style>
  <w:style w:type="paragraph" w:customStyle="1" w:styleId="aExamHdgssSymb">
    <w:name w:val="aExamHdgss Symb"/>
    <w:basedOn w:val="BillBasicHeading"/>
    <w:next w:val="Normal"/>
    <w:rsid w:val="00DB6E47"/>
    <w:pPr>
      <w:tabs>
        <w:tab w:val="clear" w:pos="2600"/>
        <w:tab w:val="left" w:pos="1582"/>
      </w:tabs>
      <w:ind w:left="1100" w:hanging="1582"/>
    </w:pPr>
    <w:rPr>
      <w:sz w:val="18"/>
    </w:rPr>
  </w:style>
  <w:style w:type="paragraph" w:customStyle="1" w:styleId="aExamssSymb">
    <w:name w:val="aExamss Symb"/>
    <w:basedOn w:val="aNote"/>
    <w:rsid w:val="00DB6E47"/>
    <w:pPr>
      <w:tabs>
        <w:tab w:val="left" w:pos="1582"/>
      </w:tabs>
      <w:spacing w:before="60"/>
      <w:ind w:left="1100" w:hanging="1582"/>
    </w:pPr>
  </w:style>
  <w:style w:type="paragraph" w:customStyle="1" w:styleId="aExamINumssSymb">
    <w:name w:val="aExamINumss Symb"/>
    <w:basedOn w:val="aExamssSymb"/>
    <w:rsid w:val="00DB6E47"/>
    <w:pPr>
      <w:tabs>
        <w:tab w:val="left" w:pos="1100"/>
      </w:tabs>
      <w:ind w:left="1500" w:hanging="1986"/>
    </w:pPr>
  </w:style>
  <w:style w:type="paragraph" w:customStyle="1" w:styleId="aExamNumTextssSymb">
    <w:name w:val="aExamNumTextss Symb"/>
    <w:basedOn w:val="aExamssSymb"/>
    <w:rsid w:val="00DB6E47"/>
    <w:pPr>
      <w:tabs>
        <w:tab w:val="clear" w:pos="1582"/>
        <w:tab w:val="left" w:pos="1985"/>
      </w:tabs>
      <w:ind w:left="1503" w:hanging="1985"/>
    </w:pPr>
  </w:style>
  <w:style w:type="paragraph" w:customStyle="1" w:styleId="AExamIParaSymb">
    <w:name w:val="AExamIPara Symb"/>
    <w:basedOn w:val="aExam"/>
    <w:rsid w:val="00DB6E47"/>
    <w:pPr>
      <w:tabs>
        <w:tab w:val="left" w:pos="1100"/>
        <w:tab w:val="right" w:pos="1718"/>
        <w:tab w:val="left" w:pos="2381"/>
      </w:tabs>
      <w:ind w:left="1984" w:hanging="2466"/>
    </w:pPr>
  </w:style>
  <w:style w:type="paragraph" w:customStyle="1" w:styleId="aExamBulletssSymb">
    <w:name w:val="aExamBulletss Symb"/>
    <w:basedOn w:val="aExamssSymb"/>
    <w:rsid w:val="00DB6E47"/>
    <w:pPr>
      <w:tabs>
        <w:tab w:val="left" w:pos="1100"/>
      </w:tabs>
      <w:ind w:left="1500" w:hanging="1986"/>
    </w:pPr>
  </w:style>
  <w:style w:type="paragraph" w:customStyle="1" w:styleId="aNoteSymb">
    <w:name w:val="aNote Symb"/>
    <w:basedOn w:val="BillBasic"/>
    <w:rsid w:val="00DB6E47"/>
    <w:pPr>
      <w:tabs>
        <w:tab w:val="left" w:pos="1100"/>
        <w:tab w:val="left" w:pos="2381"/>
      </w:tabs>
      <w:ind w:left="1899" w:hanging="2381"/>
    </w:pPr>
    <w:rPr>
      <w:sz w:val="20"/>
    </w:rPr>
  </w:style>
  <w:style w:type="paragraph" w:customStyle="1" w:styleId="aNoteTextssSymb">
    <w:name w:val="aNoteTextss Symb"/>
    <w:basedOn w:val="Normal"/>
    <w:rsid w:val="00DB6E47"/>
    <w:pPr>
      <w:tabs>
        <w:tab w:val="left" w:pos="1418"/>
      </w:tabs>
      <w:spacing w:before="60"/>
      <w:ind w:left="1417" w:hanging="1899"/>
      <w:jc w:val="both"/>
    </w:pPr>
    <w:rPr>
      <w:sz w:val="20"/>
    </w:rPr>
  </w:style>
  <w:style w:type="paragraph" w:customStyle="1" w:styleId="aNoteParaSymb">
    <w:name w:val="aNotePara Symb"/>
    <w:basedOn w:val="aNoteSymb"/>
    <w:rsid w:val="00DB6E4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B6E47"/>
    <w:pPr>
      <w:tabs>
        <w:tab w:val="left" w:pos="1899"/>
      </w:tabs>
      <w:spacing w:before="60"/>
      <w:ind w:left="2296" w:hanging="2778"/>
      <w:jc w:val="both"/>
    </w:pPr>
    <w:rPr>
      <w:sz w:val="20"/>
    </w:rPr>
  </w:style>
  <w:style w:type="paragraph" w:customStyle="1" w:styleId="AparabulletSymb">
    <w:name w:val="A para bullet Symb"/>
    <w:basedOn w:val="BillBasic"/>
    <w:rsid w:val="00DB6E47"/>
    <w:pPr>
      <w:tabs>
        <w:tab w:val="left" w:pos="1616"/>
        <w:tab w:val="left" w:pos="2495"/>
      </w:tabs>
      <w:spacing w:before="60"/>
      <w:ind w:left="2013" w:hanging="2495"/>
    </w:pPr>
  </w:style>
  <w:style w:type="paragraph" w:customStyle="1" w:styleId="aExamHdgparSymb">
    <w:name w:val="aExamHdgpar Symb"/>
    <w:basedOn w:val="aExamHdgssSymb"/>
    <w:next w:val="Normal"/>
    <w:rsid w:val="00DB6E47"/>
    <w:pPr>
      <w:tabs>
        <w:tab w:val="clear" w:pos="1582"/>
        <w:tab w:val="left" w:pos="1599"/>
      </w:tabs>
      <w:ind w:left="1599" w:hanging="2081"/>
    </w:pPr>
  </w:style>
  <w:style w:type="paragraph" w:customStyle="1" w:styleId="aExamparSymb">
    <w:name w:val="aExampar Symb"/>
    <w:basedOn w:val="aExamssSymb"/>
    <w:rsid w:val="00DB6E47"/>
    <w:pPr>
      <w:tabs>
        <w:tab w:val="clear" w:pos="1582"/>
        <w:tab w:val="left" w:pos="1599"/>
      </w:tabs>
      <w:ind w:left="1599" w:hanging="2081"/>
    </w:pPr>
  </w:style>
  <w:style w:type="paragraph" w:customStyle="1" w:styleId="aExamINumparSymb">
    <w:name w:val="aExamINumpar Symb"/>
    <w:basedOn w:val="aExamparSymb"/>
    <w:rsid w:val="00DB6E47"/>
    <w:pPr>
      <w:tabs>
        <w:tab w:val="left" w:pos="2000"/>
      </w:tabs>
      <w:ind w:left="2041" w:hanging="2495"/>
    </w:pPr>
  </w:style>
  <w:style w:type="paragraph" w:customStyle="1" w:styleId="aExamBulletparSymb">
    <w:name w:val="aExamBulletpar Symb"/>
    <w:basedOn w:val="aExamparSymb"/>
    <w:rsid w:val="00DB6E47"/>
    <w:pPr>
      <w:tabs>
        <w:tab w:val="clear" w:pos="1599"/>
        <w:tab w:val="left" w:pos="1616"/>
        <w:tab w:val="left" w:pos="2495"/>
      </w:tabs>
      <w:ind w:left="2013" w:hanging="2495"/>
    </w:pPr>
  </w:style>
  <w:style w:type="paragraph" w:customStyle="1" w:styleId="aNoteparSymb">
    <w:name w:val="aNotepar Symb"/>
    <w:basedOn w:val="BillBasic"/>
    <w:next w:val="Normal"/>
    <w:rsid w:val="00DB6E47"/>
    <w:pPr>
      <w:tabs>
        <w:tab w:val="left" w:pos="1599"/>
        <w:tab w:val="left" w:pos="2398"/>
      </w:tabs>
      <w:ind w:left="2410" w:hanging="2892"/>
    </w:pPr>
    <w:rPr>
      <w:sz w:val="20"/>
    </w:rPr>
  </w:style>
  <w:style w:type="paragraph" w:customStyle="1" w:styleId="aNoteTextparSymb">
    <w:name w:val="aNoteTextpar Symb"/>
    <w:basedOn w:val="aNoteparSymb"/>
    <w:rsid w:val="00DB6E47"/>
    <w:pPr>
      <w:tabs>
        <w:tab w:val="clear" w:pos="1599"/>
        <w:tab w:val="clear" w:pos="2398"/>
        <w:tab w:val="left" w:pos="2880"/>
      </w:tabs>
      <w:spacing w:before="60"/>
      <w:ind w:left="2398" w:hanging="2880"/>
    </w:pPr>
  </w:style>
  <w:style w:type="paragraph" w:customStyle="1" w:styleId="aNoteParaparSymb">
    <w:name w:val="aNoteParapar Symb"/>
    <w:basedOn w:val="aNoteparSymb"/>
    <w:rsid w:val="00DB6E47"/>
    <w:pPr>
      <w:tabs>
        <w:tab w:val="right" w:pos="2640"/>
      </w:tabs>
      <w:spacing w:before="60"/>
      <w:ind w:left="2920" w:hanging="3402"/>
    </w:pPr>
  </w:style>
  <w:style w:type="paragraph" w:customStyle="1" w:styleId="aNoteBulletparSymb">
    <w:name w:val="aNoteBulletpar Symb"/>
    <w:basedOn w:val="aNoteparSymb"/>
    <w:rsid w:val="00DB6E47"/>
    <w:pPr>
      <w:tabs>
        <w:tab w:val="clear" w:pos="1599"/>
        <w:tab w:val="left" w:pos="3289"/>
      </w:tabs>
      <w:spacing w:before="60"/>
      <w:ind w:left="2807" w:hanging="3289"/>
    </w:pPr>
  </w:style>
  <w:style w:type="paragraph" w:customStyle="1" w:styleId="AsubparabulletSymb">
    <w:name w:val="A subpara bullet Symb"/>
    <w:basedOn w:val="BillBasic"/>
    <w:rsid w:val="00DB6E47"/>
    <w:pPr>
      <w:tabs>
        <w:tab w:val="left" w:pos="2138"/>
        <w:tab w:val="left" w:pos="3005"/>
      </w:tabs>
      <w:spacing w:before="60"/>
      <w:ind w:left="2523" w:hanging="3005"/>
    </w:pPr>
  </w:style>
  <w:style w:type="paragraph" w:customStyle="1" w:styleId="aExamHdgsubparSymb">
    <w:name w:val="aExamHdgsubpar Symb"/>
    <w:basedOn w:val="aExamHdgssSymb"/>
    <w:next w:val="Normal"/>
    <w:rsid w:val="00DB6E47"/>
    <w:pPr>
      <w:tabs>
        <w:tab w:val="clear" w:pos="1582"/>
        <w:tab w:val="left" w:pos="2620"/>
      </w:tabs>
      <w:ind w:left="2138" w:hanging="2620"/>
    </w:pPr>
  </w:style>
  <w:style w:type="paragraph" w:customStyle="1" w:styleId="aExamsubparSymb">
    <w:name w:val="aExamsubpar Symb"/>
    <w:basedOn w:val="aExamssSymb"/>
    <w:rsid w:val="00DB6E47"/>
    <w:pPr>
      <w:tabs>
        <w:tab w:val="clear" w:pos="1582"/>
        <w:tab w:val="left" w:pos="2620"/>
      </w:tabs>
      <w:ind w:left="2138" w:hanging="2620"/>
    </w:pPr>
  </w:style>
  <w:style w:type="paragraph" w:customStyle="1" w:styleId="aNotesubparSymb">
    <w:name w:val="aNotesubpar Symb"/>
    <w:basedOn w:val="BillBasic"/>
    <w:next w:val="Normal"/>
    <w:rsid w:val="00DB6E47"/>
    <w:pPr>
      <w:tabs>
        <w:tab w:val="left" w:pos="2138"/>
        <w:tab w:val="left" w:pos="2937"/>
      </w:tabs>
      <w:ind w:left="2455" w:hanging="2937"/>
    </w:pPr>
    <w:rPr>
      <w:sz w:val="20"/>
    </w:rPr>
  </w:style>
  <w:style w:type="paragraph" w:customStyle="1" w:styleId="aNoteTextsubparSymb">
    <w:name w:val="aNoteTextsubpar Symb"/>
    <w:basedOn w:val="aNotesubparSymb"/>
    <w:rsid w:val="00DB6E47"/>
    <w:pPr>
      <w:tabs>
        <w:tab w:val="clear" w:pos="2138"/>
        <w:tab w:val="clear" w:pos="2937"/>
        <w:tab w:val="left" w:pos="2943"/>
      </w:tabs>
      <w:spacing w:before="60"/>
      <w:ind w:left="2943" w:hanging="3425"/>
    </w:pPr>
  </w:style>
  <w:style w:type="paragraph" w:customStyle="1" w:styleId="PenaltySymb">
    <w:name w:val="Penalty Symb"/>
    <w:basedOn w:val="AmainreturnSymb"/>
    <w:rsid w:val="00DB6E47"/>
  </w:style>
  <w:style w:type="paragraph" w:customStyle="1" w:styleId="PenaltyParaSymb">
    <w:name w:val="PenaltyPara Symb"/>
    <w:basedOn w:val="Normal"/>
    <w:rsid w:val="00DB6E47"/>
    <w:pPr>
      <w:tabs>
        <w:tab w:val="left" w:pos="0"/>
        <w:tab w:val="right" w:pos="1360"/>
      </w:tabs>
      <w:spacing w:before="60"/>
      <w:ind w:left="1599" w:hanging="2081"/>
      <w:jc w:val="both"/>
    </w:pPr>
  </w:style>
  <w:style w:type="paragraph" w:customStyle="1" w:styleId="FormulaSymb">
    <w:name w:val="Formula Symb"/>
    <w:basedOn w:val="BillBasic"/>
    <w:rsid w:val="00DB6E47"/>
    <w:pPr>
      <w:tabs>
        <w:tab w:val="left" w:pos="-480"/>
      </w:tabs>
      <w:spacing w:line="260" w:lineRule="atLeast"/>
      <w:ind w:hanging="480"/>
      <w:jc w:val="center"/>
    </w:pPr>
  </w:style>
  <w:style w:type="paragraph" w:customStyle="1" w:styleId="NormalSymb">
    <w:name w:val="Normal Symb"/>
    <w:basedOn w:val="Normal"/>
    <w:qFormat/>
    <w:rsid w:val="00DB6E47"/>
    <w:pPr>
      <w:tabs>
        <w:tab w:val="left" w:pos="0"/>
      </w:tabs>
      <w:ind w:hanging="482"/>
    </w:pPr>
  </w:style>
  <w:style w:type="paragraph" w:customStyle="1" w:styleId="HeadingRunIn">
    <w:name w:val="HeadingRunIn"/>
    <w:next w:val="Body"/>
    <w:rsid w:val="00DB6E47"/>
    <w:pPr>
      <w:keepNext/>
      <w:autoSpaceDE w:val="0"/>
      <w:autoSpaceDN w:val="0"/>
      <w:adjustRightInd w:val="0"/>
      <w:spacing w:before="120" w:line="280" w:lineRule="atLeast"/>
    </w:pPr>
    <w:rPr>
      <w:rFonts w:eastAsiaTheme="minorHAnsi"/>
      <w:b/>
      <w:bCs/>
      <w:color w:val="000000"/>
      <w:w w:val="0"/>
      <w:sz w:val="24"/>
      <w:szCs w:val="24"/>
      <w:lang w:val="en-GB" w:eastAsia="en-US"/>
    </w:rPr>
  </w:style>
  <w:style w:type="paragraph" w:customStyle="1" w:styleId="Body">
    <w:name w:val="Body"/>
    <w:uiPriority w:val="99"/>
    <w:rsid w:val="00DB6E47"/>
    <w:pPr>
      <w:autoSpaceDE w:val="0"/>
      <w:autoSpaceDN w:val="0"/>
      <w:adjustRightInd w:val="0"/>
      <w:spacing w:line="280" w:lineRule="atLeast"/>
    </w:pPr>
    <w:rPr>
      <w:rFonts w:eastAsiaTheme="minorHAnsi"/>
      <w:color w:val="000000"/>
      <w:w w:val="0"/>
      <w:sz w:val="24"/>
      <w:szCs w:val="24"/>
      <w:lang w:val="en-GB" w:eastAsia="en-US"/>
    </w:rPr>
  </w:style>
  <w:style w:type="paragraph" w:customStyle="1" w:styleId="Bulleted">
    <w:name w:val="Bulleted"/>
    <w:uiPriority w:val="99"/>
    <w:rsid w:val="00DB6E47"/>
    <w:pPr>
      <w:tabs>
        <w:tab w:val="left" w:pos="280"/>
      </w:tabs>
      <w:autoSpaceDE w:val="0"/>
      <w:autoSpaceDN w:val="0"/>
      <w:adjustRightInd w:val="0"/>
      <w:spacing w:line="280" w:lineRule="atLeast"/>
      <w:ind w:left="280" w:hanging="280"/>
    </w:pPr>
    <w:rPr>
      <w:rFonts w:eastAsiaTheme="minorHAnsi"/>
      <w:color w:val="000000"/>
      <w:w w:val="0"/>
      <w:sz w:val="24"/>
      <w:szCs w:val="24"/>
      <w:lang w:val="en-GB" w:eastAsia="en-US"/>
    </w:rPr>
  </w:style>
  <w:style w:type="paragraph" w:customStyle="1" w:styleId="Heading10">
    <w:name w:val="Heading1"/>
    <w:next w:val="Body"/>
    <w:uiPriority w:val="99"/>
    <w:rsid w:val="00DB6E47"/>
    <w:pPr>
      <w:keepNext/>
      <w:autoSpaceDE w:val="0"/>
      <w:autoSpaceDN w:val="0"/>
      <w:adjustRightInd w:val="0"/>
      <w:spacing w:before="280" w:after="120" w:line="320" w:lineRule="atLeast"/>
    </w:pPr>
    <w:rPr>
      <w:rFonts w:eastAsiaTheme="minorHAnsi"/>
      <w:b/>
      <w:bCs/>
      <w:color w:val="000000"/>
      <w:w w:val="0"/>
      <w:sz w:val="28"/>
      <w:szCs w:val="28"/>
      <w:lang w:val="en-GB" w:eastAsia="en-US"/>
    </w:rPr>
  </w:style>
  <w:style w:type="paragraph" w:customStyle="1" w:styleId="Heading20">
    <w:name w:val="Heading2"/>
    <w:next w:val="Body"/>
    <w:uiPriority w:val="99"/>
    <w:rsid w:val="00DB6E47"/>
    <w:pPr>
      <w:keepNext/>
      <w:autoSpaceDE w:val="0"/>
      <w:autoSpaceDN w:val="0"/>
      <w:adjustRightInd w:val="0"/>
      <w:spacing w:before="240" w:after="60" w:line="280" w:lineRule="atLeast"/>
    </w:pPr>
    <w:rPr>
      <w:rFonts w:eastAsiaTheme="minorHAnsi"/>
      <w:b/>
      <w:bCs/>
      <w:color w:val="000000"/>
      <w:w w:val="0"/>
      <w:sz w:val="24"/>
      <w:szCs w:val="24"/>
      <w:lang w:val="en-GB" w:eastAsia="en-US"/>
    </w:rPr>
  </w:style>
  <w:style w:type="paragraph" w:customStyle="1" w:styleId="Indented">
    <w:name w:val="Indented"/>
    <w:uiPriority w:val="99"/>
    <w:rsid w:val="00DB6E47"/>
    <w:pPr>
      <w:tabs>
        <w:tab w:val="left" w:pos="280"/>
      </w:tabs>
      <w:autoSpaceDE w:val="0"/>
      <w:autoSpaceDN w:val="0"/>
      <w:adjustRightInd w:val="0"/>
      <w:spacing w:line="280" w:lineRule="atLeast"/>
      <w:ind w:left="280"/>
    </w:pPr>
    <w:rPr>
      <w:rFonts w:eastAsiaTheme="minorHAnsi"/>
      <w:color w:val="000000"/>
      <w:w w:val="0"/>
      <w:sz w:val="24"/>
      <w:szCs w:val="24"/>
      <w:lang w:val="en-GB" w:eastAsia="en-US"/>
    </w:rPr>
  </w:style>
  <w:style w:type="paragraph" w:customStyle="1" w:styleId="Numbered">
    <w:name w:val="Numbered"/>
    <w:uiPriority w:val="99"/>
    <w:rsid w:val="00DB6E47"/>
    <w:pPr>
      <w:tabs>
        <w:tab w:val="left" w:pos="280"/>
      </w:tabs>
      <w:autoSpaceDE w:val="0"/>
      <w:autoSpaceDN w:val="0"/>
      <w:adjustRightInd w:val="0"/>
      <w:spacing w:line="280" w:lineRule="atLeast"/>
      <w:ind w:left="280" w:hanging="280"/>
    </w:pPr>
    <w:rPr>
      <w:rFonts w:eastAsiaTheme="minorHAnsi"/>
      <w:color w:val="000000"/>
      <w:w w:val="0"/>
      <w:sz w:val="24"/>
      <w:szCs w:val="24"/>
      <w:lang w:val="en-GB" w:eastAsia="en-US"/>
    </w:rPr>
  </w:style>
  <w:style w:type="paragraph" w:customStyle="1" w:styleId="Numbered1">
    <w:name w:val="Numbered1"/>
    <w:next w:val="Numbered"/>
    <w:uiPriority w:val="99"/>
    <w:rsid w:val="00DB6E47"/>
    <w:pPr>
      <w:tabs>
        <w:tab w:val="left" w:pos="280"/>
      </w:tabs>
      <w:autoSpaceDE w:val="0"/>
      <w:autoSpaceDN w:val="0"/>
      <w:adjustRightInd w:val="0"/>
      <w:spacing w:line="280" w:lineRule="atLeast"/>
      <w:ind w:left="280" w:hanging="280"/>
    </w:pPr>
    <w:rPr>
      <w:rFonts w:eastAsiaTheme="minorHAnsi"/>
      <w:color w:val="000000"/>
      <w:w w:val="0"/>
      <w:sz w:val="24"/>
      <w:szCs w:val="24"/>
      <w:lang w:val="en-GB" w:eastAsia="en-US"/>
    </w:rPr>
  </w:style>
  <w:style w:type="paragraph" w:customStyle="1" w:styleId="TableTitle">
    <w:name w:val="TableTitle"/>
    <w:uiPriority w:val="99"/>
    <w:rsid w:val="00DB6E47"/>
    <w:pPr>
      <w:suppressAutoHyphens/>
      <w:autoSpaceDE w:val="0"/>
      <w:autoSpaceDN w:val="0"/>
      <w:adjustRightInd w:val="0"/>
      <w:spacing w:line="280" w:lineRule="atLeast"/>
      <w:jc w:val="center"/>
    </w:pPr>
    <w:rPr>
      <w:rFonts w:eastAsiaTheme="minorHAnsi"/>
      <w:b/>
      <w:bCs/>
      <w:color w:val="000000"/>
      <w:w w:val="0"/>
      <w:sz w:val="24"/>
      <w:szCs w:val="24"/>
      <w:lang w:val="en-GB" w:eastAsia="en-US"/>
    </w:rPr>
  </w:style>
  <w:style w:type="character" w:customStyle="1" w:styleId="AmainreturnChar">
    <w:name w:val="A main return Char"/>
    <w:basedOn w:val="DefaultParagraphFont"/>
    <w:link w:val="Amainreturn"/>
    <w:locked/>
    <w:rsid w:val="00150AE9"/>
    <w:rPr>
      <w:sz w:val="24"/>
      <w:lang w:eastAsia="en-US"/>
    </w:rPr>
  </w:style>
  <w:style w:type="character" w:customStyle="1" w:styleId="aDefChar">
    <w:name w:val="aDef Char"/>
    <w:basedOn w:val="DefaultParagraphFont"/>
    <w:link w:val="aDef"/>
    <w:locked/>
    <w:rsid w:val="00150AE9"/>
    <w:rPr>
      <w:sz w:val="24"/>
      <w:lang w:eastAsia="en-US"/>
    </w:rPr>
  </w:style>
  <w:style w:type="paragraph" w:customStyle="1" w:styleId="Carpet">
    <w:name w:val="Carpet"/>
    <w:basedOn w:val="Amain"/>
    <w:rsid w:val="00422F19"/>
  </w:style>
  <w:style w:type="character" w:customStyle="1" w:styleId="listnumber">
    <w:name w:val="listnumber"/>
    <w:basedOn w:val="DefaultParagraphFont"/>
    <w:rsid w:val="00011290"/>
  </w:style>
  <w:style w:type="character" w:customStyle="1" w:styleId="headingname">
    <w:name w:val="headingname"/>
    <w:basedOn w:val="DefaultParagraphFont"/>
    <w:rsid w:val="00C8370F"/>
    <w:rPr>
      <w:b/>
      <w:bCs/>
      <w:vanish w:val="0"/>
      <w:webHidden w:val="0"/>
      <w:specVanish w:val="0"/>
    </w:rPr>
  </w:style>
  <w:style w:type="character" w:customStyle="1" w:styleId="partheadingname">
    <w:name w:val="partheadingname"/>
    <w:basedOn w:val="DefaultParagraphFont"/>
    <w:rsid w:val="00105A42"/>
    <w:rPr>
      <w:vanish w:val="0"/>
      <w:webHidden w:val="0"/>
      <w:specVanish w:val="0"/>
    </w:rPr>
  </w:style>
  <w:style w:type="paragraph" w:customStyle="1" w:styleId="penalty0">
    <w:name w:val="penalty"/>
    <w:basedOn w:val="Normal"/>
    <w:rsid w:val="00FB78ED"/>
    <w:pPr>
      <w:spacing w:after="150"/>
    </w:pPr>
    <w:rPr>
      <w:szCs w:val="24"/>
      <w:lang w:eastAsia="en-AU"/>
    </w:rPr>
  </w:style>
  <w:style w:type="paragraph" w:customStyle="1" w:styleId="headingparagraph">
    <w:name w:val="headingparagraph"/>
    <w:basedOn w:val="Normal"/>
    <w:rsid w:val="008E7EA0"/>
    <w:pPr>
      <w:spacing w:after="150"/>
    </w:pPr>
    <w:rPr>
      <w:rFonts w:ascii="Arial" w:hAnsi="Arial" w:cs="Arial"/>
      <w:szCs w:val="24"/>
      <w:lang w:eastAsia="en-AU"/>
    </w:rPr>
  </w:style>
  <w:style w:type="paragraph" w:customStyle="1" w:styleId="note">
    <w:name w:val="note"/>
    <w:basedOn w:val="Normal"/>
    <w:rsid w:val="00FF4934"/>
    <w:pPr>
      <w:spacing w:before="160" w:after="120"/>
    </w:pPr>
    <w:rPr>
      <w:sz w:val="20"/>
      <w:lang w:eastAsia="en-AU"/>
    </w:rPr>
  </w:style>
  <w:style w:type="character" w:customStyle="1" w:styleId="noteheadingname">
    <w:name w:val="noteheadingname"/>
    <w:basedOn w:val="DefaultParagraphFont"/>
    <w:rsid w:val="00FF4934"/>
    <w:rPr>
      <w:i/>
      <w:iCs/>
      <w:vanish w:val="0"/>
      <w:webHidden w:val="0"/>
      <w:specVanish w:val="0"/>
    </w:rPr>
  </w:style>
  <w:style w:type="paragraph" w:customStyle="1" w:styleId="partheadingparagraph">
    <w:name w:val="partheadingparagraph"/>
    <w:basedOn w:val="Normal"/>
    <w:rsid w:val="00346451"/>
    <w:pPr>
      <w:spacing w:after="150"/>
    </w:pPr>
    <w:rPr>
      <w:rFonts w:ascii="Arial" w:hAnsi="Arial" w:cs="Arial"/>
      <w:sz w:val="34"/>
      <w:szCs w:val="34"/>
      <w:lang w:eastAsia="en-AU"/>
    </w:rPr>
  </w:style>
  <w:style w:type="character" w:customStyle="1" w:styleId="headingnumber">
    <w:name w:val="headingnumber"/>
    <w:basedOn w:val="DefaultParagraphFont"/>
    <w:rsid w:val="00346451"/>
    <w:rPr>
      <w:b/>
      <w:bCs/>
    </w:rPr>
  </w:style>
  <w:style w:type="character" w:styleId="FollowedHyperlink">
    <w:name w:val="FollowedHyperlink"/>
    <w:basedOn w:val="DefaultParagraphFont"/>
    <w:uiPriority w:val="99"/>
    <w:semiHidden/>
    <w:unhideWhenUsed/>
    <w:rsid w:val="00A31005"/>
    <w:rPr>
      <w:color w:val="800080" w:themeColor="followedHyperlink"/>
      <w:u w:val="single"/>
    </w:rPr>
  </w:style>
  <w:style w:type="paragraph" w:customStyle="1" w:styleId="chapterheadingparagraph">
    <w:name w:val="chapterheadingparagraph"/>
    <w:basedOn w:val="Normal"/>
    <w:rsid w:val="002835CB"/>
    <w:pPr>
      <w:spacing w:after="150"/>
    </w:pPr>
    <w:rPr>
      <w:rFonts w:ascii="Arial" w:hAnsi="Arial" w:cs="Arial"/>
      <w:sz w:val="36"/>
      <w:szCs w:val="36"/>
      <w:lang w:eastAsia="en-AU"/>
    </w:rPr>
  </w:style>
  <w:style w:type="paragraph" w:customStyle="1" w:styleId="source">
    <w:name w:val="source"/>
    <w:basedOn w:val="Normal"/>
    <w:rsid w:val="00415928"/>
    <w:pPr>
      <w:ind w:right="160"/>
      <w:jc w:val="right"/>
    </w:pPr>
    <w:rPr>
      <w:rFonts w:ascii="Arial" w:hAnsi="Arial" w:cs="Arial"/>
      <w:szCs w:val="24"/>
      <w:lang w:eastAsia="en-AU"/>
    </w:rPr>
  </w:style>
  <w:style w:type="paragraph" w:customStyle="1" w:styleId="tparagraph">
    <w:name w:val="tparagraph"/>
    <w:basedOn w:val="Normal"/>
    <w:rsid w:val="001A53F2"/>
    <w:rPr>
      <w:szCs w:val="24"/>
      <w:lang w:eastAsia="en-AU"/>
    </w:rPr>
  </w:style>
  <w:style w:type="paragraph" w:customStyle="1" w:styleId="leftparagraph">
    <w:name w:val="leftparagraph"/>
    <w:basedOn w:val="Normal"/>
    <w:rsid w:val="00472346"/>
    <w:pPr>
      <w:spacing w:before="160" w:after="200"/>
    </w:pPr>
    <w:rPr>
      <w:szCs w:val="24"/>
      <w:lang w:eastAsia="en-AU"/>
    </w:rPr>
  </w:style>
  <w:style w:type="paragraph" w:customStyle="1" w:styleId="otherheadingparagraph">
    <w:name w:val="otherheadingparagraph"/>
    <w:basedOn w:val="Normal"/>
    <w:rsid w:val="00A97DE4"/>
    <w:pPr>
      <w:spacing w:after="150"/>
    </w:pPr>
    <w:rPr>
      <w:rFonts w:ascii="Arial" w:hAnsi="Arial" w:cs="Arial"/>
      <w:sz w:val="29"/>
      <w:szCs w:val="29"/>
      <w:lang w:eastAsia="en-AU"/>
    </w:rPr>
  </w:style>
  <w:style w:type="character" w:styleId="UnresolvedMention">
    <w:name w:val="Unresolved Mention"/>
    <w:basedOn w:val="DefaultParagraphFont"/>
    <w:uiPriority w:val="99"/>
    <w:semiHidden/>
    <w:unhideWhenUsed/>
    <w:rsid w:val="001C6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4532">
      <w:bodyDiv w:val="1"/>
      <w:marLeft w:val="0"/>
      <w:marRight w:val="0"/>
      <w:marTop w:val="0"/>
      <w:marBottom w:val="0"/>
      <w:divBdr>
        <w:top w:val="none" w:sz="0" w:space="0" w:color="auto"/>
        <w:left w:val="none" w:sz="0" w:space="0" w:color="auto"/>
        <w:bottom w:val="none" w:sz="0" w:space="0" w:color="auto"/>
        <w:right w:val="none" w:sz="0" w:space="0" w:color="auto"/>
      </w:divBdr>
      <w:divsChild>
        <w:div w:id="1361319227">
          <w:marLeft w:val="0"/>
          <w:marRight w:val="0"/>
          <w:marTop w:val="0"/>
          <w:marBottom w:val="0"/>
          <w:divBdr>
            <w:top w:val="none" w:sz="0" w:space="0" w:color="auto"/>
            <w:left w:val="none" w:sz="0" w:space="0" w:color="auto"/>
            <w:bottom w:val="none" w:sz="0" w:space="0" w:color="auto"/>
            <w:right w:val="none" w:sz="0" w:space="0" w:color="auto"/>
          </w:divBdr>
          <w:divsChild>
            <w:div w:id="2096199517">
              <w:marLeft w:val="0"/>
              <w:marRight w:val="0"/>
              <w:marTop w:val="0"/>
              <w:marBottom w:val="0"/>
              <w:divBdr>
                <w:top w:val="none" w:sz="0" w:space="0" w:color="auto"/>
                <w:left w:val="none" w:sz="0" w:space="0" w:color="auto"/>
                <w:bottom w:val="none" w:sz="0" w:space="0" w:color="auto"/>
                <w:right w:val="none" w:sz="0" w:space="0" w:color="auto"/>
              </w:divBdr>
              <w:divsChild>
                <w:div w:id="539974342">
                  <w:marLeft w:val="0"/>
                  <w:marRight w:val="0"/>
                  <w:marTop w:val="0"/>
                  <w:marBottom w:val="0"/>
                  <w:divBdr>
                    <w:top w:val="none" w:sz="0" w:space="0" w:color="auto"/>
                    <w:left w:val="none" w:sz="0" w:space="0" w:color="auto"/>
                    <w:bottom w:val="none" w:sz="0" w:space="0" w:color="auto"/>
                    <w:right w:val="none" w:sz="0" w:space="0" w:color="auto"/>
                  </w:divBdr>
                  <w:divsChild>
                    <w:div w:id="1505703203">
                      <w:marLeft w:val="0"/>
                      <w:marRight w:val="0"/>
                      <w:marTop w:val="0"/>
                      <w:marBottom w:val="0"/>
                      <w:divBdr>
                        <w:top w:val="none" w:sz="0" w:space="0" w:color="auto"/>
                        <w:left w:val="none" w:sz="0" w:space="0" w:color="auto"/>
                        <w:bottom w:val="none" w:sz="0" w:space="0" w:color="auto"/>
                        <w:right w:val="none" w:sz="0" w:space="0" w:color="auto"/>
                      </w:divBdr>
                      <w:divsChild>
                        <w:div w:id="1664696890">
                          <w:marLeft w:val="340"/>
                          <w:marRight w:val="0"/>
                          <w:marTop w:val="300"/>
                          <w:marBottom w:val="120"/>
                          <w:divBdr>
                            <w:top w:val="none" w:sz="0" w:space="0" w:color="auto"/>
                            <w:left w:val="none" w:sz="0" w:space="0" w:color="auto"/>
                            <w:bottom w:val="none" w:sz="0" w:space="0" w:color="auto"/>
                            <w:right w:val="none" w:sz="0" w:space="0" w:color="auto"/>
                          </w:divBdr>
                          <w:divsChild>
                            <w:div w:id="475219462">
                              <w:marLeft w:val="0"/>
                              <w:marRight w:val="0"/>
                              <w:marTop w:val="0"/>
                              <w:marBottom w:val="0"/>
                              <w:divBdr>
                                <w:top w:val="none" w:sz="0" w:space="0" w:color="auto"/>
                                <w:left w:val="none" w:sz="0" w:space="0" w:color="auto"/>
                                <w:bottom w:val="none" w:sz="0" w:space="0" w:color="auto"/>
                                <w:right w:val="none" w:sz="0" w:space="0" w:color="auto"/>
                              </w:divBdr>
                              <w:divsChild>
                                <w:div w:id="116381101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1666485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99056958">
                                          <w:blockQuote w:val="1"/>
                                          <w:marLeft w:val="960"/>
                                          <w:marRight w:val="0"/>
                                          <w:marTop w:val="120"/>
                                          <w:marBottom w:val="120"/>
                                          <w:divBdr>
                                            <w:top w:val="none" w:sz="0" w:space="0" w:color="auto"/>
                                            <w:left w:val="none" w:sz="0" w:space="0" w:color="auto"/>
                                            <w:bottom w:val="none" w:sz="0" w:space="0" w:color="auto"/>
                                            <w:right w:val="none" w:sz="0" w:space="0" w:color="auto"/>
                                          </w:divBdr>
                                        </w:div>
                                        <w:div w:id="65541933">
                                          <w:blockQuote w:val="1"/>
                                          <w:marLeft w:val="96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35555">
      <w:bodyDiv w:val="1"/>
      <w:marLeft w:val="0"/>
      <w:marRight w:val="0"/>
      <w:marTop w:val="0"/>
      <w:marBottom w:val="0"/>
      <w:divBdr>
        <w:top w:val="none" w:sz="0" w:space="0" w:color="auto"/>
        <w:left w:val="none" w:sz="0" w:space="0" w:color="auto"/>
        <w:bottom w:val="none" w:sz="0" w:space="0" w:color="auto"/>
        <w:right w:val="none" w:sz="0" w:space="0" w:color="auto"/>
      </w:divBdr>
      <w:divsChild>
        <w:div w:id="768232220">
          <w:marLeft w:val="0"/>
          <w:marRight w:val="0"/>
          <w:marTop w:val="0"/>
          <w:marBottom w:val="0"/>
          <w:divBdr>
            <w:top w:val="none" w:sz="0" w:space="0" w:color="auto"/>
            <w:left w:val="none" w:sz="0" w:space="0" w:color="auto"/>
            <w:bottom w:val="none" w:sz="0" w:space="0" w:color="auto"/>
            <w:right w:val="none" w:sz="0" w:space="0" w:color="auto"/>
          </w:divBdr>
          <w:divsChild>
            <w:div w:id="412361461">
              <w:marLeft w:val="0"/>
              <w:marRight w:val="0"/>
              <w:marTop w:val="0"/>
              <w:marBottom w:val="0"/>
              <w:divBdr>
                <w:top w:val="none" w:sz="0" w:space="0" w:color="auto"/>
                <w:left w:val="none" w:sz="0" w:space="0" w:color="auto"/>
                <w:bottom w:val="none" w:sz="0" w:space="0" w:color="auto"/>
                <w:right w:val="none" w:sz="0" w:space="0" w:color="auto"/>
              </w:divBdr>
              <w:divsChild>
                <w:div w:id="349768088">
                  <w:marLeft w:val="0"/>
                  <w:marRight w:val="0"/>
                  <w:marTop w:val="0"/>
                  <w:marBottom w:val="0"/>
                  <w:divBdr>
                    <w:top w:val="none" w:sz="0" w:space="0" w:color="auto"/>
                    <w:left w:val="none" w:sz="0" w:space="0" w:color="auto"/>
                    <w:bottom w:val="none" w:sz="0" w:space="0" w:color="auto"/>
                    <w:right w:val="none" w:sz="0" w:space="0" w:color="auto"/>
                  </w:divBdr>
                  <w:divsChild>
                    <w:div w:id="738602745">
                      <w:marLeft w:val="0"/>
                      <w:marRight w:val="0"/>
                      <w:marTop w:val="0"/>
                      <w:marBottom w:val="0"/>
                      <w:divBdr>
                        <w:top w:val="none" w:sz="0" w:space="0" w:color="auto"/>
                        <w:left w:val="none" w:sz="0" w:space="0" w:color="auto"/>
                        <w:bottom w:val="none" w:sz="0" w:space="0" w:color="auto"/>
                        <w:right w:val="none" w:sz="0" w:space="0" w:color="auto"/>
                      </w:divBdr>
                      <w:divsChild>
                        <w:div w:id="1619533137">
                          <w:marLeft w:val="340"/>
                          <w:marRight w:val="0"/>
                          <w:marTop w:val="300"/>
                          <w:marBottom w:val="120"/>
                          <w:divBdr>
                            <w:top w:val="none" w:sz="0" w:space="0" w:color="auto"/>
                            <w:left w:val="none" w:sz="0" w:space="0" w:color="auto"/>
                            <w:bottom w:val="none" w:sz="0" w:space="0" w:color="auto"/>
                            <w:right w:val="none" w:sz="0" w:space="0" w:color="auto"/>
                          </w:divBdr>
                          <w:divsChild>
                            <w:div w:id="533730421">
                              <w:marLeft w:val="0"/>
                              <w:marRight w:val="0"/>
                              <w:marTop w:val="0"/>
                              <w:marBottom w:val="0"/>
                              <w:divBdr>
                                <w:top w:val="none" w:sz="0" w:space="0" w:color="auto"/>
                                <w:left w:val="none" w:sz="0" w:space="0" w:color="auto"/>
                                <w:bottom w:val="none" w:sz="0" w:space="0" w:color="auto"/>
                                <w:right w:val="none" w:sz="0" w:space="0" w:color="auto"/>
                              </w:divBdr>
                              <w:divsChild>
                                <w:div w:id="5073685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8994053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5358708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1955778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81021097">
                                                  <w:blockQuote w:val="1"/>
                                                  <w:marLeft w:val="600"/>
                                                  <w:marRight w:val="0"/>
                                                  <w:marTop w:val="120"/>
                                                  <w:marBottom w:val="120"/>
                                                  <w:divBdr>
                                                    <w:top w:val="none" w:sz="0" w:space="0" w:color="auto"/>
                                                    <w:left w:val="none" w:sz="0" w:space="0" w:color="auto"/>
                                                    <w:bottom w:val="none" w:sz="0" w:space="0" w:color="auto"/>
                                                    <w:right w:val="none" w:sz="0" w:space="0" w:color="auto"/>
                                                  </w:divBdr>
                                                </w:div>
                                                <w:div w:id="19817626">
                                                  <w:blockQuote w:val="1"/>
                                                  <w:marLeft w:val="600"/>
                                                  <w:marRight w:val="0"/>
                                                  <w:marTop w:val="120"/>
                                                  <w:marBottom w:val="120"/>
                                                  <w:divBdr>
                                                    <w:top w:val="none" w:sz="0" w:space="0" w:color="auto"/>
                                                    <w:left w:val="none" w:sz="0" w:space="0" w:color="auto"/>
                                                    <w:bottom w:val="none" w:sz="0" w:space="0" w:color="auto"/>
                                                    <w:right w:val="none" w:sz="0" w:space="0" w:color="auto"/>
                                                  </w:divBdr>
                                                </w:div>
                                                <w:div w:id="412821490">
                                                  <w:blockQuote w:val="1"/>
                                                  <w:marLeft w:val="600"/>
                                                  <w:marRight w:val="0"/>
                                                  <w:marTop w:val="120"/>
                                                  <w:marBottom w:val="120"/>
                                                  <w:divBdr>
                                                    <w:top w:val="none" w:sz="0" w:space="0" w:color="auto"/>
                                                    <w:left w:val="none" w:sz="0" w:space="0" w:color="auto"/>
                                                    <w:bottom w:val="none" w:sz="0" w:space="0" w:color="auto"/>
                                                    <w:right w:val="none" w:sz="0" w:space="0" w:color="auto"/>
                                                  </w:divBdr>
                                                </w:div>
                                                <w:div w:id="199637074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08592">
      <w:bodyDiv w:val="1"/>
      <w:marLeft w:val="0"/>
      <w:marRight w:val="0"/>
      <w:marTop w:val="0"/>
      <w:marBottom w:val="0"/>
      <w:divBdr>
        <w:top w:val="none" w:sz="0" w:space="0" w:color="auto"/>
        <w:left w:val="none" w:sz="0" w:space="0" w:color="auto"/>
        <w:bottom w:val="none" w:sz="0" w:space="0" w:color="auto"/>
        <w:right w:val="none" w:sz="0" w:space="0" w:color="auto"/>
      </w:divBdr>
      <w:divsChild>
        <w:div w:id="1268390387">
          <w:marLeft w:val="0"/>
          <w:marRight w:val="0"/>
          <w:marTop w:val="0"/>
          <w:marBottom w:val="0"/>
          <w:divBdr>
            <w:top w:val="none" w:sz="0" w:space="0" w:color="auto"/>
            <w:left w:val="none" w:sz="0" w:space="0" w:color="auto"/>
            <w:bottom w:val="none" w:sz="0" w:space="0" w:color="auto"/>
            <w:right w:val="none" w:sz="0" w:space="0" w:color="auto"/>
          </w:divBdr>
          <w:divsChild>
            <w:div w:id="347947061">
              <w:marLeft w:val="0"/>
              <w:marRight w:val="0"/>
              <w:marTop w:val="0"/>
              <w:marBottom w:val="0"/>
              <w:divBdr>
                <w:top w:val="none" w:sz="0" w:space="0" w:color="auto"/>
                <w:left w:val="none" w:sz="0" w:space="0" w:color="auto"/>
                <w:bottom w:val="none" w:sz="0" w:space="0" w:color="auto"/>
                <w:right w:val="none" w:sz="0" w:space="0" w:color="auto"/>
              </w:divBdr>
              <w:divsChild>
                <w:div w:id="2128347363">
                  <w:marLeft w:val="0"/>
                  <w:marRight w:val="0"/>
                  <w:marTop w:val="0"/>
                  <w:marBottom w:val="0"/>
                  <w:divBdr>
                    <w:top w:val="none" w:sz="0" w:space="0" w:color="auto"/>
                    <w:left w:val="none" w:sz="0" w:space="0" w:color="auto"/>
                    <w:bottom w:val="none" w:sz="0" w:space="0" w:color="auto"/>
                    <w:right w:val="none" w:sz="0" w:space="0" w:color="auto"/>
                  </w:divBdr>
                  <w:divsChild>
                    <w:div w:id="585774137">
                      <w:marLeft w:val="0"/>
                      <w:marRight w:val="0"/>
                      <w:marTop w:val="0"/>
                      <w:marBottom w:val="0"/>
                      <w:divBdr>
                        <w:top w:val="none" w:sz="0" w:space="0" w:color="auto"/>
                        <w:left w:val="none" w:sz="0" w:space="0" w:color="auto"/>
                        <w:bottom w:val="none" w:sz="0" w:space="0" w:color="auto"/>
                        <w:right w:val="none" w:sz="0" w:space="0" w:color="auto"/>
                      </w:divBdr>
                      <w:divsChild>
                        <w:div w:id="514464958">
                          <w:marLeft w:val="340"/>
                          <w:marRight w:val="0"/>
                          <w:marTop w:val="300"/>
                          <w:marBottom w:val="120"/>
                          <w:divBdr>
                            <w:top w:val="none" w:sz="0" w:space="0" w:color="auto"/>
                            <w:left w:val="none" w:sz="0" w:space="0" w:color="auto"/>
                            <w:bottom w:val="none" w:sz="0" w:space="0" w:color="auto"/>
                            <w:right w:val="none" w:sz="0" w:space="0" w:color="auto"/>
                          </w:divBdr>
                          <w:divsChild>
                            <w:div w:id="1026059512">
                              <w:marLeft w:val="0"/>
                              <w:marRight w:val="0"/>
                              <w:marTop w:val="0"/>
                              <w:marBottom w:val="0"/>
                              <w:divBdr>
                                <w:top w:val="none" w:sz="0" w:space="0" w:color="auto"/>
                                <w:left w:val="none" w:sz="0" w:space="0" w:color="auto"/>
                                <w:bottom w:val="none" w:sz="0" w:space="0" w:color="auto"/>
                                <w:right w:val="none" w:sz="0" w:space="0" w:color="auto"/>
                              </w:divBdr>
                              <w:divsChild>
                                <w:div w:id="88140800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3849749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2125401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9984348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17416929">
                                                  <w:blockQuote w:val="1"/>
                                                  <w:marLeft w:val="600"/>
                                                  <w:marRight w:val="0"/>
                                                  <w:marTop w:val="120"/>
                                                  <w:marBottom w:val="120"/>
                                                  <w:divBdr>
                                                    <w:top w:val="none" w:sz="0" w:space="0" w:color="auto"/>
                                                    <w:left w:val="none" w:sz="0" w:space="0" w:color="auto"/>
                                                    <w:bottom w:val="none" w:sz="0" w:space="0" w:color="auto"/>
                                                    <w:right w:val="none" w:sz="0" w:space="0" w:color="auto"/>
                                                  </w:divBdr>
                                                </w:div>
                                                <w:div w:id="7019781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137805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68698568">
                                                  <w:blockQuote w:val="1"/>
                                                  <w:marLeft w:val="600"/>
                                                  <w:marRight w:val="0"/>
                                                  <w:marTop w:val="120"/>
                                                  <w:marBottom w:val="120"/>
                                                  <w:divBdr>
                                                    <w:top w:val="none" w:sz="0" w:space="0" w:color="auto"/>
                                                    <w:left w:val="none" w:sz="0" w:space="0" w:color="auto"/>
                                                    <w:bottom w:val="none" w:sz="0" w:space="0" w:color="auto"/>
                                                    <w:right w:val="none" w:sz="0" w:space="0" w:color="auto"/>
                                                  </w:divBdr>
                                                </w:div>
                                                <w:div w:id="184019719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759394">
      <w:bodyDiv w:val="1"/>
      <w:marLeft w:val="0"/>
      <w:marRight w:val="0"/>
      <w:marTop w:val="0"/>
      <w:marBottom w:val="0"/>
      <w:divBdr>
        <w:top w:val="none" w:sz="0" w:space="0" w:color="auto"/>
        <w:left w:val="none" w:sz="0" w:space="0" w:color="auto"/>
        <w:bottom w:val="none" w:sz="0" w:space="0" w:color="auto"/>
        <w:right w:val="none" w:sz="0" w:space="0" w:color="auto"/>
      </w:divBdr>
      <w:divsChild>
        <w:div w:id="895706784">
          <w:blockQuote w:val="1"/>
          <w:marLeft w:val="0"/>
          <w:marRight w:val="0"/>
          <w:marTop w:val="120"/>
          <w:marBottom w:val="120"/>
          <w:divBdr>
            <w:top w:val="none" w:sz="0" w:space="0" w:color="auto"/>
            <w:left w:val="none" w:sz="0" w:space="0" w:color="auto"/>
            <w:bottom w:val="none" w:sz="0" w:space="0" w:color="auto"/>
            <w:right w:val="none" w:sz="0" w:space="0" w:color="auto"/>
          </w:divBdr>
        </w:div>
        <w:div w:id="39158030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75713220">
              <w:blockQuote w:val="1"/>
              <w:marLeft w:val="600"/>
              <w:marRight w:val="0"/>
              <w:marTop w:val="120"/>
              <w:marBottom w:val="120"/>
              <w:divBdr>
                <w:top w:val="none" w:sz="0" w:space="0" w:color="auto"/>
                <w:left w:val="none" w:sz="0" w:space="0" w:color="auto"/>
                <w:bottom w:val="none" w:sz="0" w:space="0" w:color="auto"/>
                <w:right w:val="none" w:sz="0" w:space="0" w:color="auto"/>
              </w:divBdr>
            </w:div>
            <w:div w:id="68420963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13610152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87143795">
              <w:blockQuote w:val="1"/>
              <w:marLeft w:val="600"/>
              <w:marRight w:val="0"/>
              <w:marTop w:val="120"/>
              <w:marBottom w:val="120"/>
              <w:divBdr>
                <w:top w:val="none" w:sz="0" w:space="0" w:color="auto"/>
                <w:left w:val="none" w:sz="0" w:space="0" w:color="auto"/>
                <w:bottom w:val="none" w:sz="0" w:space="0" w:color="auto"/>
                <w:right w:val="none" w:sz="0" w:space="0" w:color="auto"/>
              </w:divBdr>
            </w:div>
            <w:div w:id="161089431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8000032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24917435">
              <w:blockQuote w:val="1"/>
              <w:marLeft w:val="600"/>
              <w:marRight w:val="0"/>
              <w:marTop w:val="120"/>
              <w:marBottom w:val="120"/>
              <w:divBdr>
                <w:top w:val="none" w:sz="0" w:space="0" w:color="auto"/>
                <w:left w:val="none" w:sz="0" w:space="0" w:color="auto"/>
                <w:bottom w:val="none" w:sz="0" w:space="0" w:color="auto"/>
                <w:right w:val="none" w:sz="0" w:space="0" w:color="auto"/>
              </w:divBdr>
            </w:div>
            <w:div w:id="44940241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00302633">
      <w:bodyDiv w:val="1"/>
      <w:marLeft w:val="0"/>
      <w:marRight w:val="0"/>
      <w:marTop w:val="0"/>
      <w:marBottom w:val="0"/>
      <w:divBdr>
        <w:top w:val="none" w:sz="0" w:space="0" w:color="auto"/>
        <w:left w:val="none" w:sz="0" w:space="0" w:color="auto"/>
        <w:bottom w:val="none" w:sz="0" w:space="0" w:color="auto"/>
        <w:right w:val="none" w:sz="0" w:space="0" w:color="auto"/>
      </w:divBdr>
      <w:divsChild>
        <w:div w:id="1998849248">
          <w:marLeft w:val="0"/>
          <w:marRight w:val="0"/>
          <w:marTop w:val="0"/>
          <w:marBottom w:val="0"/>
          <w:divBdr>
            <w:top w:val="none" w:sz="0" w:space="0" w:color="auto"/>
            <w:left w:val="none" w:sz="0" w:space="0" w:color="auto"/>
            <w:bottom w:val="none" w:sz="0" w:space="0" w:color="auto"/>
            <w:right w:val="none" w:sz="0" w:space="0" w:color="auto"/>
          </w:divBdr>
          <w:divsChild>
            <w:div w:id="642731987">
              <w:marLeft w:val="0"/>
              <w:marRight w:val="0"/>
              <w:marTop w:val="0"/>
              <w:marBottom w:val="0"/>
              <w:divBdr>
                <w:top w:val="none" w:sz="0" w:space="0" w:color="auto"/>
                <w:left w:val="none" w:sz="0" w:space="0" w:color="auto"/>
                <w:bottom w:val="none" w:sz="0" w:space="0" w:color="auto"/>
                <w:right w:val="none" w:sz="0" w:space="0" w:color="auto"/>
              </w:divBdr>
              <w:divsChild>
                <w:div w:id="332878444">
                  <w:marLeft w:val="0"/>
                  <w:marRight w:val="0"/>
                  <w:marTop w:val="0"/>
                  <w:marBottom w:val="0"/>
                  <w:divBdr>
                    <w:top w:val="none" w:sz="0" w:space="0" w:color="auto"/>
                    <w:left w:val="none" w:sz="0" w:space="0" w:color="auto"/>
                    <w:bottom w:val="none" w:sz="0" w:space="0" w:color="auto"/>
                    <w:right w:val="none" w:sz="0" w:space="0" w:color="auto"/>
                  </w:divBdr>
                  <w:divsChild>
                    <w:div w:id="974721803">
                      <w:marLeft w:val="0"/>
                      <w:marRight w:val="0"/>
                      <w:marTop w:val="0"/>
                      <w:marBottom w:val="0"/>
                      <w:divBdr>
                        <w:top w:val="none" w:sz="0" w:space="0" w:color="auto"/>
                        <w:left w:val="none" w:sz="0" w:space="0" w:color="auto"/>
                        <w:bottom w:val="none" w:sz="0" w:space="0" w:color="auto"/>
                        <w:right w:val="none" w:sz="0" w:space="0" w:color="auto"/>
                      </w:divBdr>
                      <w:divsChild>
                        <w:div w:id="1412048677">
                          <w:marLeft w:val="340"/>
                          <w:marRight w:val="0"/>
                          <w:marTop w:val="300"/>
                          <w:marBottom w:val="120"/>
                          <w:divBdr>
                            <w:top w:val="none" w:sz="0" w:space="0" w:color="auto"/>
                            <w:left w:val="none" w:sz="0" w:space="0" w:color="auto"/>
                            <w:bottom w:val="none" w:sz="0" w:space="0" w:color="auto"/>
                            <w:right w:val="none" w:sz="0" w:space="0" w:color="auto"/>
                          </w:divBdr>
                          <w:divsChild>
                            <w:div w:id="1652253094">
                              <w:marLeft w:val="0"/>
                              <w:marRight w:val="0"/>
                              <w:marTop w:val="0"/>
                              <w:marBottom w:val="0"/>
                              <w:divBdr>
                                <w:top w:val="none" w:sz="0" w:space="0" w:color="auto"/>
                                <w:left w:val="none" w:sz="0" w:space="0" w:color="auto"/>
                                <w:bottom w:val="none" w:sz="0" w:space="0" w:color="auto"/>
                                <w:right w:val="none" w:sz="0" w:space="0" w:color="auto"/>
                              </w:divBdr>
                              <w:divsChild>
                                <w:div w:id="107925771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8578783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0429615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2286301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417570">
      <w:bodyDiv w:val="1"/>
      <w:marLeft w:val="0"/>
      <w:marRight w:val="0"/>
      <w:marTop w:val="0"/>
      <w:marBottom w:val="0"/>
      <w:divBdr>
        <w:top w:val="none" w:sz="0" w:space="0" w:color="auto"/>
        <w:left w:val="none" w:sz="0" w:space="0" w:color="auto"/>
        <w:bottom w:val="none" w:sz="0" w:space="0" w:color="auto"/>
        <w:right w:val="none" w:sz="0" w:space="0" w:color="auto"/>
      </w:divBdr>
      <w:divsChild>
        <w:div w:id="1944067948">
          <w:marLeft w:val="0"/>
          <w:marRight w:val="0"/>
          <w:marTop w:val="0"/>
          <w:marBottom w:val="0"/>
          <w:divBdr>
            <w:top w:val="none" w:sz="0" w:space="0" w:color="auto"/>
            <w:left w:val="none" w:sz="0" w:space="0" w:color="auto"/>
            <w:bottom w:val="none" w:sz="0" w:space="0" w:color="auto"/>
            <w:right w:val="none" w:sz="0" w:space="0" w:color="auto"/>
          </w:divBdr>
          <w:divsChild>
            <w:div w:id="1026950678">
              <w:marLeft w:val="0"/>
              <w:marRight w:val="0"/>
              <w:marTop w:val="0"/>
              <w:marBottom w:val="0"/>
              <w:divBdr>
                <w:top w:val="none" w:sz="0" w:space="0" w:color="auto"/>
                <w:left w:val="none" w:sz="0" w:space="0" w:color="auto"/>
                <w:bottom w:val="none" w:sz="0" w:space="0" w:color="auto"/>
                <w:right w:val="none" w:sz="0" w:space="0" w:color="auto"/>
              </w:divBdr>
              <w:divsChild>
                <w:div w:id="1027369162">
                  <w:marLeft w:val="0"/>
                  <w:marRight w:val="0"/>
                  <w:marTop w:val="0"/>
                  <w:marBottom w:val="0"/>
                  <w:divBdr>
                    <w:top w:val="none" w:sz="0" w:space="0" w:color="auto"/>
                    <w:left w:val="none" w:sz="0" w:space="0" w:color="auto"/>
                    <w:bottom w:val="none" w:sz="0" w:space="0" w:color="auto"/>
                    <w:right w:val="none" w:sz="0" w:space="0" w:color="auto"/>
                  </w:divBdr>
                  <w:divsChild>
                    <w:div w:id="1279993770">
                      <w:marLeft w:val="0"/>
                      <w:marRight w:val="0"/>
                      <w:marTop w:val="0"/>
                      <w:marBottom w:val="0"/>
                      <w:divBdr>
                        <w:top w:val="none" w:sz="0" w:space="0" w:color="auto"/>
                        <w:left w:val="none" w:sz="0" w:space="0" w:color="auto"/>
                        <w:bottom w:val="none" w:sz="0" w:space="0" w:color="auto"/>
                        <w:right w:val="none" w:sz="0" w:space="0" w:color="auto"/>
                      </w:divBdr>
                      <w:divsChild>
                        <w:div w:id="2108043196">
                          <w:marLeft w:val="340"/>
                          <w:marRight w:val="0"/>
                          <w:marTop w:val="300"/>
                          <w:marBottom w:val="120"/>
                          <w:divBdr>
                            <w:top w:val="none" w:sz="0" w:space="0" w:color="auto"/>
                            <w:left w:val="none" w:sz="0" w:space="0" w:color="auto"/>
                            <w:bottom w:val="none" w:sz="0" w:space="0" w:color="auto"/>
                            <w:right w:val="none" w:sz="0" w:space="0" w:color="auto"/>
                          </w:divBdr>
                          <w:divsChild>
                            <w:div w:id="1804616151">
                              <w:marLeft w:val="0"/>
                              <w:marRight w:val="0"/>
                              <w:marTop w:val="0"/>
                              <w:marBottom w:val="0"/>
                              <w:divBdr>
                                <w:top w:val="none" w:sz="0" w:space="0" w:color="auto"/>
                                <w:left w:val="none" w:sz="0" w:space="0" w:color="auto"/>
                                <w:bottom w:val="none" w:sz="0" w:space="0" w:color="auto"/>
                                <w:right w:val="none" w:sz="0" w:space="0" w:color="auto"/>
                              </w:divBdr>
                              <w:divsChild>
                                <w:div w:id="171161427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2507456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2984666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76513321">
                                              <w:blockQuote w:val="1"/>
                                              <w:marLeft w:val="600"/>
                                              <w:marRight w:val="0"/>
                                              <w:marTop w:val="120"/>
                                              <w:marBottom w:val="120"/>
                                              <w:divBdr>
                                                <w:top w:val="none" w:sz="0" w:space="0" w:color="auto"/>
                                                <w:left w:val="none" w:sz="0" w:space="0" w:color="auto"/>
                                                <w:bottom w:val="none" w:sz="0" w:space="0" w:color="auto"/>
                                                <w:right w:val="none" w:sz="0" w:space="0" w:color="auto"/>
                                              </w:divBdr>
                                            </w:div>
                                            <w:div w:id="1426538784">
                                              <w:blockQuote w:val="1"/>
                                              <w:marLeft w:val="600"/>
                                              <w:marRight w:val="0"/>
                                              <w:marTop w:val="120"/>
                                              <w:marBottom w:val="120"/>
                                              <w:divBdr>
                                                <w:top w:val="none" w:sz="0" w:space="0" w:color="auto"/>
                                                <w:left w:val="none" w:sz="0" w:space="0" w:color="auto"/>
                                                <w:bottom w:val="none" w:sz="0" w:space="0" w:color="auto"/>
                                                <w:right w:val="none" w:sz="0" w:space="0" w:color="auto"/>
                                              </w:divBdr>
                                            </w:div>
                                            <w:div w:id="203885120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05350">
      <w:bodyDiv w:val="1"/>
      <w:marLeft w:val="0"/>
      <w:marRight w:val="0"/>
      <w:marTop w:val="0"/>
      <w:marBottom w:val="0"/>
      <w:divBdr>
        <w:top w:val="none" w:sz="0" w:space="0" w:color="auto"/>
        <w:left w:val="none" w:sz="0" w:space="0" w:color="auto"/>
        <w:bottom w:val="none" w:sz="0" w:space="0" w:color="auto"/>
        <w:right w:val="none" w:sz="0" w:space="0" w:color="auto"/>
      </w:divBdr>
      <w:divsChild>
        <w:div w:id="53162178">
          <w:marLeft w:val="0"/>
          <w:marRight w:val="0"/>
          <w:marTop w:val="0"/>
          <w:marBottom w:val="0"/>
          <w:divBdr>
            <w:top w:val="none" w:sz="0" w:space="0" w:color="auto"/>
            <w:left w:val="none" w:sz="0" w:space="0" w:color="auto"/>
            <w:bottom w:val="none" w:sz="0" w:space="0" w:color="auto"/>
            <w:right w:val="none" w:sz="0" w:space="0" w:color="auto"/>
          </w:divBdr>
          <w:divsChild>
            <w:div w:id="1400178305">
              <w:marLeft w:val="0"/>
              <w:marRight w:val="0"/>
              <w:marTop w:val="0"/>
              <w:marBottom w:val="0"/>
              <w:divBdr>
                <w:top w:val="none" w:sz="0" w:space="0" w:color="auto"/>
                <w:left w:val="none" w:sz="0" w:space="0" w:color="auto"/>
                <w:bottom w:val="none" w:sz="0" w:space="0" w:color="auto"/>
                <w:right w:val="none" w:sz="0" w:space="0" w:color="auto"/>
              </w:divBdr>
              <w:divsChild>
                <w:div w:id="333535774">
                  <w:marLeft w:val="0"/>
                  <w:marRight w:val="0"/>
                  <w:marTop w:val="0"/>
                  <w:marBottom w:val="0"/>
                  <w:divBdr>
                    <w:top w:val="none" w:sz="0" w:space="0" w:color="auto"/>
                    <w:left w:val="none" w:sz="0" w:space="0" w:color="auto"/>
                    <w:bottom w:val="none" w:sz="0" w:space="0" w:color="auto"/>
                    <w:right w:val="none" w:sz="0" w:space="0" w:color="auto"/>
                  </w:divBdr>
                  <w:divsChild>
                    <w:div w:id="405802839">
                      <w:marLeft w:val="0"/>
                      <w:marRight w:val="0"/>
                      <w:marTop w:val="0"/>
                      <w:marBottom w:val="0"/>
                      <w:divBdr>
                        <w:top w:val="none" w:sz="0" w:space="0" w:color="auto"/>
                        <w:left w:val="none" w:sz="0" w:space="0" w:color="auto"/>
                        <w:bottom w:val="none" w:sz="0" w:space="0" w:color="auto"/>
                        <w:right w:val="none" w:sz="0" w:space="0" w:color="auto"/>
                      </w:divBdr>
                      <w:divsChild>
                        <w:div w:id="694039252">
                          <w:marLeft w:val="340"/>
                          <w:marRight w:val="0"/>
                          <w:marTop w:val="300"/>
                          <w:marBottom w:val="120"/>
                          <w:divBdr>
                            <w:top w:val="none" w:sz="0" w:space="0" w:color="auto"/>
                            <w:left w:val="none" w:sz="0" w:space="0" w:color="auto"/>
                            <w:bottom w:val="none" w:sz="0" w:space="0" w:color="auto"/>
                            <w:right w:val="none" w:sz="0" w:space="0" w:color="auto"/>
                          </w:divBdr>
                          <w:divsChild>
                            <w:div w:id="1904634275">
                              <w:marLeft w:val="0"/>
                              <w:marRight w:val="0"/>
                              <w:marTop w:val="0"/>
                              <w:marBottom w:val="0"/>
                              <w:divBdr>
                                <w:top w:val="none" w:sz="0" w:space="0" w:color="auto"/>
                                <w:left w:val="none" w:sz="0" w:space="0" w:color="auto"/>
                                <w:bottom w:val="none" w:sz="0" w:space="0" w:color="auto"/>
                                <w:right w:val="none" w:sz="0" w:space="0" w:color="auto"/>
                              </w:divBdr>
                              <w:divsChild>
                                <w:div w:id="187422753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3118135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9340926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51202175">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122111">
      <w:bodyDiv w:val="1"/>
      <w:marLeft w:val="0"/>
      <w:marRight w:val="0"/>
      <w:marTop w:val="0"/>
      <w:marBottom w:val="0"/>
      <w:divBdr>
        <w:top w:val="none" w:sz="0" w:space="0" w:color="auto"/>
        <w:left w:val="none" w:sz="0" w:space="0" w:color="auto"/>
        <w:bottom w:val="none" w:sz="0" w:space="0" w:color="auto"/>
        <w:right w:val="none" w:sz="0" w:space="0" w:color="auto"/>
      </w:divBdr>
      <w:divsChild>
        <w:div w:id="626088856">
          <w:marLeft w:val="0"/>
          <w:marRight w:val="0"/>
          <w:marTop w:val="0"/>
          <w:marBottom w:val="0"/>
          <w:divBdr>
            <w:top w:val="none" w:sz="0" w:space="0" w:color="auto"/>
            <w:left w:val="none" w:sz="0" w:space="0" w:color="auto"/>
            <w:bottom w:val="none" w:sz="0" w:space="0" w:color="auto"/>
            <w:right w:val="none" w:sz="0" w:space="0" w:color="auto"/>
          </w:divBdr>
          <w:divsChild>
            <w:div w:id="46297267">
              <w:marLeft w:val="0"/>
              <w:marRight w:val="0"/>
              <w:marTop w:val="0"/>
              <w:marBottom w:val="0"/>
              <w:divBdr>
                <w:top w:val="none" w:sz="0" w:space="0" w:color="auto"/>
                <w:left w:val="none" w:sz="0" w:space="0" w:color="auto"/>
                <w:bottom w:val="none" w:sz="0" w:space="0" w:color="auto"/>
                <w:right w:val="none" w:sz="0" w:space="0" w:color="auto"/>
              </w:divBdr>
              <w:divsChild>
                <w:div w:id="2011786344">
                  <w:marLeft w:val="0"/>
                  <w:marRight w:val="0"/>
                  <w:marTop w:val="0"/>
                  <w:marBottom w:val="0"/>
                  <w:divBdr>
                    <w:top w:val="none" w:sz="0" w:space="0" w:color="auto"/>
                    <w:left w:val="none" w:sz="0" w:space="0" w:color="auto"/>
                    <w:bottom w:val="none" w:sz="0" w:space="0" w:color="auto"/>
                    <w:right w:val="none" w:sz="0" w:space="0" w:color="auto"/>
                  </w:divBdr>
                  <w:divsChild>
                    <w:div w:id="789399894">
                      <w:marLeft w:val="0"/>
                      <w:marRight w:val="0"/>
                      <w:marTop w:val="0"/>
                      <w:marBottom w:val="0"/>
                      <w:divBdr>
                        <w:top w:val="none" w:sz="0" w:space="0" w:color="auto"/>
                        <w:left w:val="none" w:sz="0" w:space="0" w:color="auto"/>
                        <w:bottom w:val="none" w:sz="0" w:space="0" w:color="auto"/>
                        <w:right w:val="none" w:sz="0" w:space="0" w:color="auto"/>
                      </w:divBdr>
                      <w:divsChild>
                        <w:div w:id="1529415658">
                          <w:marLeft w:val="340"/>
                          <w:marRight w:val="0"/>
                          <w:marTop w:val="300"/>
                          <w:marBottom w:val="120"/>
                          <w:divBdr>
                            <w:top w:val="none" w:sz="0" w:space="0" w:color="auto"/>
                            <w:left w:val="none" w:sz="0" w:space="0" w:color="auto"/>
                            <w:bottom w:val="none" w:sz="0" w:space="0" w:color="auto"/>
                            <w:right w:val="none" w:sz="0" w:space="0" w:color="auto"/>
                          </w:divBdr>
                          <w:divsChild>
                            <w:div w:id="1772122883">
                              <w:marLeft w:val="0"/>
                              <w:marRight w:val="0"/>
                              <w:marTop w:val="0"/>
                              <w:marBottom w:val="0"/>
                              <w:divBdr>
                                <w:top w:val="none" w:sz="0" w:space="0" w:color="auto"/>
                                <w:left w:val="none" w:sz="0" w:space="0" w:color="auto"/>
                                <w:bottom w:val="none" w:sz="0" w:space="0" w:color="auto"/>
                                <w:right w:val="none" w:sz="0" w:space="0" w:color="auto"/>
                              </w:divBdr>
                              <w:divsChild>
                                <w:div w:id="87962963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437569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014370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89054466">
                                              <w:blockQuote w:val="1"/>
                                              <w:marLeft w:val="0"/>
                                              <w:marRight w:val="0"/>
                                              <w:marTop w:val="120"/>
                                              <w:marBottom w:val="120"/>
                                              <w:divBdr>
                                                <w:top w:val="none" w:sz="0" w:space="0" w:color="auto"/>
                                                <w:left w:val="none" w:sz="0" w:space="0" w:color="auto"/>
                                                <w:bottom w:val="none" w:sz="0" w:space="0" w:color="auto"/>
                                                <w:right w:val="none" w:sz="0" w:space="0" w:color="auto"/>
                                              </w:divBdr>
                                            </w:div>
                                            <w:div w:id="902329986">
                                              <w:blockQuote w:val="1"/>
                                              <w:marLeft w:val="600"/>
                                              <w:marRight w:val="0"/>
                                              <w:marTop w:val="120"/>
                                              <w:marBottom w:val="120"/>
                                              <w:divBdr>
                                                <w:top w:val="none" w:sz="0" w:space="0" w:color="auto"/>
                                                <w:left w:val="none" w:sz="0" w:space="0" w:color="auto"/>
                                                <w:bottom w:val="none" w:sz="0" w:space="0" w:color="auto"/>
                                                <w:right w:val="none" w:sz="0" w:space="0" w:color="auto"/>
                                              </w:divBdr>
                                            </w:div>
                                            <w:div w:id="208556838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356231">
      <w:bodyDiv w:val="1"/>
      <w:marLeft w:val="0"/>
      <w:marRight w:val="0"/>
      <w:marTop w:val="0"/>
      <w:marBottom w:val="0"/>
      <w:divBdr>
        <w:top w:val="none" w:sz="0" w:space="0" w:color="auto"/>
        <w:left w:val="none" w:sz="0" w:space="0" w:color="auto"/>
        <w:bottom w:val="none" w:sz="0" w:space="0" w:color="auto"/>
        <w:right w:val="none" w:sz="0" w:space="0" w:color="auto"/>
      </w:divBdr>
      <w:divsChild>
        <w:div w:id="1934244221">
          <w:marLeft w:val="0"/>
          <w:marRight w:val="0"/>
          <w:marTop w:val="0"/>
          <w:marBottom w:val="0"/>
          <w:divBdr>
            <w:top w:val="none" w:sz="0" w:space="0" w:color="auto"/>
            <w:left w:val="none" w:sz="0" w:space="0" w:color="auto"/>
            <w:bottom w:val="none" w:sz="0" w:space="0" w:color="auto"/>
            <w:right w:val="none" w:sz="0" w:space="0" w:color="auto"/>
          </w:divBdr>
          <w:divsChild>
            <w:div w:id="740370985">
              <w:marLeft w:val="0"/>
              <w:marRight w:val="0"/>
              <w:marTop w:val="0"/>
              <w:marBottom w:val="0"/>
              <w:divBdr>
                <w:top w:val="none" w:sz="0" w:space="0" w:color="auto"/>
                <w:left w:val="none" w:sz="0" w:space="0" w:color="auto"/>
                <w:bottom w:val="none" w:sz="0" w:space="0" w:color="auto"/>
                <w:right w:val="none" w:sz="0" w:space="0" w:color="auto"/>
              </w:divBdr>
              <w:divsChild>
                <w:div w:id="2048213648">
                  <w:marLeft w:val="0"/>
                  <w:marRight w:val="0"/>
                  <w:marTop w:val="0"/>
                  <w:marBottom w:val="0"/>
                  <w:divBdr>
                    <w:top w:val="none" w:sz="0" w:space="0" w:color="auto"/>
                    <w:left w:val="none" w:sz="0" w:space="0" w:color="auto"/>
                    <w:bottom w:val="none" w:sz="0" w:space="0" w:color="auto"/>
                    <w:right w:val="none" w:sz="0" w:space="0" w:color="auto"/>
                  </w:divBdr>
                  <w:divsChild>
                    <w:div w:id="2041855100">
                      <w:marLeft w:val="0"/>
                      <w:marRight w:val="0"/>
                      <w:marTop w:val="0"/>
                      <w:marBottom w:val="0"/>
                      <w:divBdr>
                        <w:top w:val="none" w:sz="0" w:space="0" w:color="auto"/>
                        <w:left w:val="none" w:sz="0" w:space="0" w:color="auto"/>
                        <w:bottom w:val="none" w:sz="0" w:space="0" w:color="auto"/>
                        <w:right w:val="none" w:sz="0" w:space="0" w:color="auto"/>
                      </w:divBdr>
                      <w:divsChild>
                        <w:div w:id="1909997335">
                          <w:marLeft w:val="340"/>
                          <w:marRight w:val="0"/>
                          <w:marTop w:val="300"/>
                          <w:marBottom w:val="120"/>
                          <w:divBdr>
                            <w:top w:val="none" w:sz="0" w:space="0" w:color="auto"/>
                            <w:left w:val="none" w:sz="0" w:space="0" w:color="auto"/>
                            <w:bottom w:val="none" w:sz="0" w:space="0" w:color="auto"/>
                            <w:right w:val="none" w:sz="0" w:space="0" w:color="auto"/>
                          </w:divBdr>
                          <w:divsChild>
                            <w:div w:id="1157266587">
                              <w:marLeft w:val="0"/>
                              <w:marRight w:val="0"/>
                              <w:marTop w:val="0"/>
                              <w:marBottom w:val="0"/>
                              <w:divBdr>
                                <w:top w:val="none" w:sz="0" w:space="0" w:color="auto"/>
                                <w:left w:val="none" w:sz="0" w:space="0" w:color="auto"/>
                                <w:bottom w:val="none" w:sz="0" w:space="0" w:color="auto"/>
                                <w:right w:val="none" w:sz="0" w:space="0" w:color="auto"/>
                              </w:divBdr>
                              <w:divsChild>
                                <w:div w:id="62091424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6655437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544828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6156267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8825207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14321291">
                                                      <w:blockQuote w:val="1"/>
                                                      <w:marLeft w:val="600"/>
                                                      <w:marRight w:val="0"/>
                                                      <w:marTop w:val="120"/>
                                                      <w:marBottom w:val="120"/>
                                                      <w:divBdr>
                                                        <w:top w:val="none" w:sz="0" w:space="0" w:color="auto"/>
                                                        <w:left w:val="none" w:sz="0" w:space="0" w:color="auto"/>
                                                        <w:bottom w:val="none" w:sz="0" w:space="0" w:color="auto"/>
                                                        <w:right w:val="none" w:sz="0" w:space="0" w:color="auto"/>
                                                      </w:divBdr>
                                                    </w:div>
                                                    <w:div w:id="12624208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896645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23797934">
                                                      <w:blockQuote w:val="1"/>
                                                      <w:marLeft w:val="600"/>
                                                      <w:marRight w:val="0"/>
                                                      <w:marTop w:val="120"/>
                                                      <w:marBottom w:val="120"/>
                                                      <w:divBdr>
                                                        <w:top w:val="none" w:sz="0" w:space="0" w:color="auto"/>
                                                        <w:left w:val="none" w:sz="0" w:space="0" w:color="auto"/>
                                                        <w:bottom w:val="none" w:sz="0" w:space="0" w:color="auto"/>
                                                        <w:right w:val="none" w:sz="0" w:space="0" w:color="auto"/>
                                                      </w:divBdr>
                                                    </w:div>
                                                    <w:div w:id="106537188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8884187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553037445">
                                              <w:blockQuote w:val="1"/>
                                              <w:marLeft w:val="600"/>
                                              <w:marRight w:val="0"/>
                                              <w:marTop w:val="120"/>
                                              <w:marBottom w:val="120"/>
                                              <w:divBdr>
                                                <w:top w:val="none" w:sz="0" w:space="0" w:color="auto"/>
                                                <w:left w:val="none" w:sz="0" w:space="0" w:color="auto"/>
                                                <w:bottom w:val="none" w:sz="0" w:space="0" w:color="auto"/>
                                                <w:right w:val="none" w:sz="0" w:space="0" w:color="auto"/>
                                              </w:divBdr>
                                            </w:div>
                                            <w:div w:id="110631470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59578914">
                                                  <w:blockQuote w:val="1"/>
                                                  <w:marLeft w:val="600"/>
                                                  <w:marRight w:val="0"/>
                                                  <w:marTop w:val="120"/>
                                                  <w:marBottom w:val="120"/>
                                                  <w:divBdr>
                                                    <w:top w:val="none" w:sz="0" w:space="0" w:color="auto"/>
                                                    <w:left w:val="none" w:sz="0" w:space="0" w:color="auto"/>
                                                    <w:bottom w:val="none" w:sz="0" w:space="0" w:color="auto"/>
                                                    <w:right w:val="none" w:sz="0" w:space="0" w:color="auto"/>
                                                  </w:divBdr>
                                                </w:div>
                                                <w:div w:id="7082643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4296586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5612938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27041818">
                                                      <w:blockQuote w:val="1"/>
                                                      <w:marLeft w:val="600"/>
                                                      <w:marRight w:val="0"/>
                                                      <w:marTop w:val="120"/>
                                                      <w:marBottom w:val="120"/>
                                                      <w:divBdr>
                                                        <w:top w:val="none" w:sz="0" w:space="0" w:color="auto"/>
                                                        <w:left w:val="none" w:sz="0" w:space="0" w:color="auto"/>
                                                        <w:bottom w:val="none" w:sz="0" w:space="0" w:color="auto"/>
                                                        <w:right w:val="none" w:sz="0" w:space="0" w:color="auto"/>
                                                      </w:divBdr>
                                                    </w:div>
                                                    <w:div w:id="212423152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58271130">
                                                  <w:blockQuote w:val="1"/>
                                                  <w:marLeft w:val="600"/>
                                                  <w:marRight w:val="0"/>
                                                  <w:marTop w:val="120"/>
                                                  <w:marBottom w:val="120"/>
                                                  <w:divBdr>
                                                    <w:top w:val="none" w:sz="0" w:space="0" w:color="auto"/>
                                                    <w:left w:val="none" w:sz="0" w:space="0" w:color="auto"/>
                                                    <w:bottom w:val="none" w:sz="0" w:space="0" w:color="auto"/>
                                                    <w:right w:val="none" w:sz="0" w:space="0" w:color="auto"/>
                                                  </w:divBdr>
                                                </w:div>
                                                <w:div w:id="26504062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76050861">
                                                      <w:blockQuote w:val="1"/>
                                                      <w:marLeft w:val="600"/>
                                                      <w:marRight w:val="0"/>
                                                      <w:marTop w:val="120"/>
                                                      <w:marBottom w:val="120"/>
                                                      <w:divBdr>
                                                        <w:top w:val="none" w:sz="0" w:space="0" w:color="auto"/>
                                                        <w:left w:val="none" w:sz="0" w:space="0" w:color="auto"/>
                                                        <w:bottom w:val="none" w:sz="0" w:space="0" w:color="auto"/>
                                                        <w:right w:val="none" w:sz="0" w:space="0" w:color="auto"/>
                                                      </w:divBdr>
                                                    </w:div>
                                                    <w:div w:id="124965516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17732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24150458">
                                                      <w:blockQuote w:val="1"/>
                                                      <w:marLeft w:val="600"/>
                                                      <w:marRight w:val="0"/>
                                                      <w:marTop w:val="120"/>
                                                      <w:marBottom w:val="120"/>
                                                      <w:divBdr>
                                                        <w:top w:val="none" w:sz="0" w:space="0" w:color="auto"/>
                                                        <w:left w:val="none" w:sz="0" w:space="0" w:color="auto"/>
                                                        <w:bottom w:val="none" w:sz="0" w:space="0" w:color="auto"/>
                                                        <w:right w:val="none" w:sz="0" w:space="0" w:color="auto"/>
                                                      </w:divBdr>
                                                    </w:div>
                                                    <w:div w:id="210391314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17700">
      <w:bodyDiv w:val="1"/>
      <w:marLeft w:val="0"/>
      <w:marRight w:val="0"/>
      <w:marTop w:val="0"/>
      <w:marBottom w:val="0"/>
      <w:divBdr>
        <w:top w:val="none" w:sz="0" w:space="0" w:color="auto"/>
        <w:left w:val="none" w:sz="0" w:space="0" w:color="auto"/>
        <w:bottom w:val="none" w:sz="0" w:space="0" w:color="auto"/>
        <w:right w:val="none" w:sz="0" w:space="0" w:color="auto"/>
      </w:divBdr>
      <w:divsChild>
        <w:div w:id="1338924299">
          <w:marLeft w:val="0"/>
          <w:marRight w:val="0"/>
          <w:marTop w:val="0"/>
          <w:marBottom w:val="0"/>
          <w:divBdr>
            <w:top w:val="none" w:sz="0" w:space="0" w:color="auto"/>
            <w:left w:val="none" w:sz="0" w:space="0" w:color="auto"/>
            <w:bottom w:val="none" w:sz="0" w:space="0" w:color="auto"/>
            <w:right w:val="none" w:sz="0" w:space="0" w:color="auto"/>
          </w:divBdr>
          <w:divsChild>
            <w:div w:id="1296180595">
              <w:marLeft w:val="0"/>
              <w:marRight w:val="0"/>
              <w:marTop w:val="0"/>
              <w:marBottom w:val="0"/>
              <w:divBdr>
                <w:top w:val="none" w:sz="0" w:space="0" w:color="auto"/>
                <w:left w:val="none" w:sz="0" w:space="0" w:color="auto"/>
                <w:bottom w:val="none" w:sz="0" w:space="0" w:color="auto"/>
                <w:right w:val="none" w:sz="0" w:space="0" w:color="auto"/>
              </w:divBdr>
              <w:divsChild>
                <w:div w:id="2072775366">
                  <w:marLeft w:val="0"/>
                  <w:marRight w:val="0"/>
                  <w:marTop w:val="0"/>
                  <w:marBottom w:val="0"/>
                  <w:divBdr>
                    <w:top w:val="none" w:sz="0" w:space="0" w:color="auto"/>
                    <w:left w:val="none" w:sz="0" w:space="0" w:color="auto"/>
                    <w:bottom w:val="none" w:sz="0" w:space="0" w:color="auto"/>
                    <w:right w:val="none" w:sz="0" w:space="0" w:color="auto"/>
                  </w:divBdr>
                  <w:divsChild>
                    <w:div w:id="83571398">
                      <w:marLeft w:val="0"/>
                      <w:marRight w:val="0"/>
                      <w:marTop w:val="0"/>
                      <w:marBottom w:val="0"/>
                      <w:divBdr>
                        <w:top w:val="none" w:sz="0" w:space="0" w:color="auto"/>
                        <w:left w:val="none" w:sz="0" w:space="0" w:color="auto"/>
                        <w:bottom w:val="none" w:sz="0" w:space="0" w:color="auto"/>
                        <w:right w:val="none" w:sz="0" w:space="0" w:color="auto"/>
                      </w:divBdr>
                      <w:divsChild>
                        <w:div w:id="294717918">
                          <w:marLeft w:val="340"/>
                          <w:marRight w:val="0"/>
                          <w:marTop w:val="300"/>
                          <w:marBottom w:val="120"/>
                          <w:divBdr>
                            <w:top w:val="none" w:sz="0" w:space="0" w:color="auto"/>
                            <w:left w:val="none" w:sz="0" w:space="0" w:color="auto"/>
                            <w:bottom w:val="none" w:sz="0" w:space="0" w:color="auto"/>
                            <w:right w:val="none" w:sz="0" w:space="0" w:color="auto"/>
                          </w:divBdr>
                          <w:divsChild>
                            <w:div w:id="1712416238">
                              <w:marLeft w:val="0"/>
                              <w:marRight w:val="0"/>
                              <w:marTop w:val="0"/>
                              <w:marBottom w:val="0"/>
                              <w:divBdr>
                                <w:top w:val="none" w:sz="0" w:space="0" w:color="auto"/>
                                <w:left w:val="none" w:sz="0" w:space="0" w:color="auto"/>
                                <w:bottom w:val="none" w:sz="0" w:space="0" w:color="auto"/>
                                <w:right w:val="none" w:sz="0" w:space="0" w:color="auto"/>
                              </w:divBdr>
                              <w:divsChild>
                                <w:div w:id="81398458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278007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0433941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3808278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1655128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84695205">
                                                      <w:blockQuote w:val="1"/>
                                                      <w:marLeft w:val="600"/>
                                                      <w:marRight w:val="0"/>
                                                      <w:marTop w:val="120"/>
                                                      <w:marBottom w:val="120"/>
                                                      <w:divBdr>
                                                        <w:top w:val="none" w:sz="0" w:space="0" w:color="auto"/>
                                                        <w:left w:val="none" w:sz="0" w:space="0" w:color="auto"/>
                                                        <w:bottom w:val="none" w:sz="0" w:space="0" w:color="auto"/>
                                                        <w:right w:val="none" w:sz="0" w:space="0" w:color="auto"/>
                                                      </w:divBdr>
                                                    </w:div>
                                                    <w:div w:id="26565007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129466038">
                                                  <w:blockQuote w:val="1"/>
                                                  <w:marLeft w:val="600"/>
                                                  <w:marRight w:val="0"/>
                                                  <w:marTop w:val="120"/>
                                                  <w:marBottom w:val="120"/>
                                                  <w:divBdr>
                                                    <w:top w:val="none" w:sz="0" w:space="0" w:color="auto"/>
                                                    <w:left w:val="none" w:sz="0" w:space="0" w:color="auto"/>
                                                    <w:bottom w:val="none" w:sz="0" w:space="0" w:color="auto"/>
                                                    <w:right w:val="none" w:sz="0" w:space="0" w:color="auto"/>
                                                  </w:divBdr>
                                                </w:div>
                                                <w:div w:id="1658535755">
                                                  <w:blockQuote w:val="1"/>
                                                  <w:marLeft w:val="600"/>
                                                  <w:marRight w:val="0"/>
                                                  <w:marTop w:val="120"/>
                                                  <w:marBottom w:val="120"/>
                                                  <w:divBdr>
                                                    <w:top w:val="none" w:sz="0" w:space="0" w:color="auto"/>
                                                    <w:left w:val="none" w:sz="0" w:space="0" w:color="auto"/>
                                                    <w:bottom w:val="none" w:sz="0" w:space="0" w:color="auto"/>
                                                    <w:right w:val="none" w:sz="0" w:space="0" w:color="auto"/>
                                                  </w:divBdr>
                                                </w:div>
                                                <w:div w:id="26623605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82319664">
                                                      <w:blockQuote w:val="1"/>
                                                      <w:marLeft w:val="600"/>
                                                      <w:marRight w:val="0"/>
                                                      <w:marTop w:val="120"/>
                                                      <w:marBottom w:val="120"/>
                                                      <w:divBdr>
                                                        <w:top w:val="none" w:sz="0" w:space="0" w:color="auto"/>
                                                        <w:left w:val="none" w:sz="0" w:space="0" w:color="auto"/>
                                                        <w:bottom w:val="none" w:sz="0" w:space="0" w:color="auto"/>
                                                        <w:right w:val="none" w:sz="0" w:space="0" w:color="auto"/>
                                                      </w:divBdr>
                                                    </w:div>
                                                    <w:div w:id="205830926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8447628">
                                                  <w:blockQuote w:val="1"/>
                                                  <w:marLeft w:val="600"/>
                                                  <w:marRight w:val="0"/>
                                                  <w:marTop w:val="120"/>
                                                  <w:marBottom w:val="120"/>
                                                  <w:divBdr>
                                                    <w:top w:val="none" w:sz="0" w:space="0" w:color="auto"/>
                                                    <w:left w:val="none" w:sz="0" w:space="0" w:color="auto"/>
                                                    <w:bottom w:val="none" w:sz="0" w:space="0" w:color="auto"/>
                                                    <w:right w:val="none" w:sz="0" w:space="0" w:color="auto"/>
                                                  </w:divBdr>
                                                </w:div>
                                                <w:div w:id="1737849927">
                                                  <w:blockQuote w:val="1"/>
                                                  <w:marLeft w:val="600"/>
                                                  <w:marRight w:val="0"/>
                                                  <w:marTop w:val="120"/>
                                                  <w:marBottom w:val="120"/>
                                                  <w:divBdr>
                                                    <w:top w:val="none" w:sz="0" w:space="0" w:color="auto"/>
                                                    <w:left w:val="none" w:sz="0" w:space="0" w:color="auto"/>
                                                    <w:bottom w:val="none" w:sz="0" w:space="0" w:color="auto"/>
                                                    <w:right w:val="none" w:sz="0" w:space="0" w:color="auto"/>
                                                  </w:divBdr>
                                                </w:div>
                                                <w:div w:id="1751079893">
                                                  <w:blockQuote w:val="1"/>
                                                  <w:marLeft w:val="600"/>
                                                  <w:marRight w:val="0"/>
                                                  <w:marTop w:val="120"/>
                                                  <w:marBottom w:val="120"/>
                                                  <w:divBdr>
                                                    <w:top w:val="none" w:sz="0" w:space="0" w:color="auto"/>
                                                    <w:left w:val="none" w:sz="0" w:space="0" w:color="auto"/>
                                                    <w:bottom w:val="none" w:sz="0" w:space="0" w:color="auto"/>
                                                    <w:right w:val="none" w:sz="0" w:space="0" w:color="auto"/>
                                                  </w:divBdr>
                                                </w:div>
                                                <w:div w:id="506407998">
                                                  <w:blockQuote w:val="1"/>
                                                  <w:marLeft w:val="600"/>
                                                  <w:marRight w:val="0"/>
                                                  <w:marTop w:val="120"/>
                                                  <w:marBottom w:val="120"/>
                                                  <w:divBdr>
                                                    <w:top w:val="none" w:sz="0" w:space="0" w:color="auto"/>
                                                    <w:left w:val="none" w:sz="0" w:space="0" w:color="auto"/>
                                                    <w:bottom w:val="none" w:sz="0" w:space="0" w:color="auto"/>
                                                    <w:right w:val="none" w:sz="0" w:space="0" w:color="auto"/>
                                                  </w:divBdr>
                                                </w:div>
                                                <w:div w:id="1532305628">
                                                  <w:blockQuote w:val="1"/>
                                                  <w:marLeft w:val="600"/>
                                                  <w:marRight w:val="0"/>
                                                  <w:marTop w:val="120"/>
                                                  <w:marBottom w:val="120"/>
                                                  <w:divBdr>
                                                    <w:top w:val="none" w:sz="0" w:space="0" w:color="auto"/>
                                                    <w:left w:val="none" w:sz="0" w:space="0" w:color="auto"/>
                                                    <w:bottom w:val="none" w:sz="0" w:space="0" w:color="auto"/>
                                                    <w:right w:val="none" w:sz="0" w:space="0" w:color="auto"/>
                                                  </w:divBdr>
                                                </w:div>
                                                <w:div w:id="547643139">
                                                  <w:blockQuote w:val="1"/>
                                                  <w:marLeft w:val="600"/>
                                                  <w:marRight w:val="0"/>
                                                  <w:marTop w:val="120"/>
                                                  <w:marBottom w:val="120"/>
                                                  <w:divBdr>
                                                    <w:top w:val="none" w:sz="0" w:space="0" w:color="auto"/>
                                                    <w:left w:val="none" w:sz="0" w:space="0" w:color="auto"/>
                                                    <w:bottom w:val="none" w:sz="0" w:space="0" w:color="auto"/>
                                                    <w:right w:val="none" w:sz="0" w:space="0" w:color="auto"/>
                                                  </w:divBdr>
                                                </w:div>
                                                <w:div w:id="34984234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10041654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94153394">
                                                  <w:blockQuote w:val="1"/>
                                                  <w:marLeft w:val="0"/>
                                                  <w:marRight w:val="0"/>
                                                  <w:marTop w:val="120"/>
                                                  <w:marBottom w:val="120"/>
                                                  <w:divBdr>
                                                    <w:top w:val="none" w:sz="0" w:space="0" w:color="auto"/>
                                                    <w:left w:val="none" w:sz="0" w:space="0" w:color="auto"/>
                                                    <w:bottom w:val="none" w:sz="0" w:space="0" w:color="auto"/>
                                                    <w:right w:val="none" w:sz="0" w:space="0" w:color="auto"/>
                                                  </w:divBdr>
                                                </w:div>
                                                <w:div w:id="1009721149">
                                                  <w:blockQuote w:val="1"/>
                                                  <w:marLeft w:val="600"/>
                                                  <w:marRight w:val="0"/>
                                                  <w:marTop w:val="120"/>
                                                  <w:marBottom w:val="120"/>
                                                  <w:divBdr>
                                                    <w:top w:val="none" w:sz="0" w:space="0" w:color="auto"/>
                                                    <w:left w:val="none" w:sz="0" w:space="0" w:color="auto"/>
                                                    <w:bottom w:val="none" w:sz="0" w:space="0" w:color="auto"/>
                                                    <w:right w:val="none" w:sz="0" w:space="0" w:color="auto"/>
                                                  </w:divBdr>
                                                </w:div>
                                                <w:div w:id="176464617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72619">
      <w:bodyDiv w:val="1"/>
      <w:marLeft w:val="0"/>
      <w:marRight w:val="0"/>
      <w:marTop w:val="0"/>
      <w:marBottom w:val="0"/>
      <w:divBdr>
        <w:top w:val="none" w:sz="0" w:space="0" w:color="auto"/>
        <w:left w:val="none" w:sz="0" w:space="0" w:color="auto"/>
        <w:bottom w:val="none" w:sz="0" w:space="0" w:color="auto"/>
        <w:right w:val="none" w:sz="0" w:space="0" w:color="auto"/>
      </w:divBdr>
      <w:divsChild>
        <w:div w:id="94598719">
          <w:marLeft w:val="0"/>
          <w:marRight w:val="0"/>
          <w:marTop w:val="0"/>
          <w:marBottom w:val="0"/>
          <w:divBdr>
            <w:top w:val="none" w:sz="0" w:space="0" w:color="auto"/>
            <w:left w:val="none" w:sz="0" w:space="0" w:color="auto"/>
            <w:bottom w:val="none" w:sz="0" w:space="0" w:color="auto"/>
            <w:right w:val="none" w:sz="0" w:space="0" w:color="auto"/>
          </w:divBdr>
          <w:divsChild>
            <w:div w:id="2076202243">
              <w:marLeft w:val="0"/>
              <w:marRight w:val="0"/>
              <w:marTop w:val="0"/>
              <w:marBottom w:val="0"/>
              <w:divBdr>
                <w:top w:val="none" w:sz="0" w:space="0" w:color="auto"/>
                <w:left w:val="none" w:sz="0" w:space="0" w:color="auto"/>
                <w:bottom w:val="none" w:sz="0" w:space="0" w:color="auto"/>
                <w:right w:val="none" w:sz="0" w:space="0" w:color="auto"/>
              </w:divBdr>
              <w:divsChild>
                <w:div w:id="1042285288">
                  <w:marLeft w:val="0"/>
                  <w:marRight w:val="0"/>
                  <w:marTop w:val="0"/>
                  <w:marBottom w:val="0"/>
                  <w:divBdr>
                    <w:top w:val="none" w:sz="0" w:space="0" w:color="auto"/>
                    <w:left w:val="none" w:sz="0" w:space="0" w:color="auto"/>
                    <w:bottom w:val="none" w:sz="0" w:space="0" w:color="auto"/>
                    <w:right w:val="none" w:sz="0" w:space="0" w:color="auto"/>
                  </w:divBdr>
                  <w:divsChild>
                    <w:div w:id="361171803">
                      <w:marLeft w:val="0"/>
                      <w:marRight w:val="0"/>
                      <w:marTop w:val="0"/>
                      <w:marBottom w:val="0"/>
                      <w:divBdr>
                        <w:top w:val="none" w:sz="0" w:space="0" w:color="auto"/>
                        <w:left w:val="none" w:sz="0" w:space="0" w:color="auto"/>
                        <w:bottom w:val="none" w:sz="0" w:space="0" w:color="auto"/>
                        <w:right w:val="none" w:sz="0" w:space="0" w:color="auto"/>
                      </w:divBdr>
                      <w:divsChild>
                        <w:div w:id="6445716">
                          <w:marLeft w:val="340"/>
                          <w:marRight w:val="0"/>
                          <w:marTop w:val="300"/>
                          <w:marBottom w:val="120"/>
                          <w:divBdr>
                            <w:top w:val="none" w:sz="0" w:space="0" w:color="auto"/>
                            <w:left w:val="none" w:sz="0" w:space="0" w:color="auto"/>
                            <w:bottom w:val="none" w:sz="0" w:space="0" w:color="auto"/>
                            <w:right w:val="none" w:sz="0" w:space="0" w:color="auto"/>
                          </w:divBdr>
                          <w:divsChild>
                            <w:div w:id="1442384500">
                              <w:marLeft w:val="0"/>
                              <w:marRight w:val="0"/>
                              <w:marTop w:val="0"/>
                              <w:marBottom w:val="0"/>
                              <w:divBdr>
                                <w:top w:val="none" w:sz="0" w:space="0" w:color="auto"/>
                                <w:left w:val="none" w:sz="0" w:space="0" w:color="auto"/>
                                <w:bottom w:val="none" w:sz="0" w:space="0" w:color="auto"/>
                                <w:right w:val="none" w:sz="0" w:space="0" w:color="auto"/>
                              </w:divBdr>
                              <w:divsChild>
                                <w:div w:id="36478942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381737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73762810">
                                          <w:blockQuote w:val="1"/>
                                          <w:marLeft w:val="96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097564">
      <w:bodyDiv w:val="1"/>
      <w:marLeft w:val="0"/>
      <w:marRight w:val="0"/>
      <w:marTop w:val="0"/>
      <w:marBottom w:val="0"/>
      <w:divBdr>
        <w:top w:val="none" w:sz="0" w:space="0" w:color="auto"/>
        <w:left w:val="none" w:sz="0" w:space="0" w:color="auto"/>
        <w:bottom w:val="none" w:sz="0" w:space="0" w:color="auto"/>
        <w:right w:val="none" w:sz="0" w:space="0" w:color="auto"/>
      </w:divBdr>
      <w:divsChild>
        <w:div w:id="771976453">
          <w:marLeft w:val="0"/>
          <w:marRight w:val="0"/>
          <w:marTop w:val="0"/>
          <w:marBottom w:val="0"/>
          <w:divBdr>
            <w:top w:val="none" w:sz="0" w:space="0" w:color="auto"/>
            <w:left w:val="none" w:sz="0" w:space="0" w:color="auto"/>
            <w:bottom w:val="none" w:sz="0" w:space="0" w:color="auto"/>
            <w:right w:val="none" w:sz="0" w:space="0" w:color="auto"/>
          </w:divBdr>
          <w:divsChild>
            <w:div w:id="993068507">
              <w:marLeft w:val="0"/>
              <w:marRight w:val="0"/>
              <w:marTop w:val="0"/>
              <w:marBottom w:val="0"/>
              <w:divBdr>
                <w:top w:val="none" w:sz="0" w:space="0" w:color="auto"/>
                <w:left w:val="none" w:sz="0" w:space="0" w:color="auto"/>
                <w:bottom w:val="none" w:sz="0" w:space="0" w:color="auto"/>
                <w:right w:val="none" w:sz="0" w:space="0" w:color="auto"/>
              </w:divBdr>
              <w:divsChild>
                <w:div w:id="1565801471">
                  <w:marLeft w:val="0"/>
                  <w:marRight w:val="0"/>
                  <w:marTop w:val="0"/>
                  <w:marBottom w:val="0"/>
                  <w:divBdr>
                    <w:top w:val="none" w:sz="0" w:space="0" w:color="auto"/>
                    <w:left w:val="none" w:sz="0" w:space="0" w:color="auto"/>
                    <w:bottom w:val="none" w:sz="0" w:space="0" w:color="auto"/>
                    <w:right w:val="none" w:sz="0" w:space="0" w:color="auto"/>
                  </w:divBdr>
                  <w:divsChild>
                    <w:div w:id="1775205534">
                      <w:marLeft w:val="0"/>
                      <w:marRight w:val="0"/>
                      <w:marTop w:val="0"/>
                      <w:marBottom w:val="0"/>
                      <w:divBdr>
                        <w:top w:val="none" w:sz="0" w:space="0" w:color="auto"/>
                        <w:left w:val="none" w:sz="0" w:space="0" w:color="auto"/>
                        <w:bottom w:val="none" w:sz="0" w:space="0" w:color="auto"/>
                        <w:right w:val="none" w:sz="0" w:space="0" w:color="auto"/>
                      </w:divBdr>
                      <w:divsChild>
                        <w:div w:id="827551895">
                          <w:marLeft w:val="340"/>
                          <w:marRight w:val="0"/>
                          <w:marTop w:val="300"/>
                          <w:marBottom w:val="120"/>
                          <w:divBdr>
                            <w:top w:val="none" w:sz="0" w:space="0" w:color="auto"/>
                            <w:left w:val="none" w:sz="0" w:space="0" w:color="auto"/>
                            <w:bottom w:val="none" w:sz="0" w:space="0" w:color="auto"/>
                            <w:right w:val="none" w:sz="0" w:space="0" w:color="auto"/>
                          </w:divBdr>
                          <w:divsChild>
                            <w:div w:id="751241845">
                              <w:marLeft w:val="0"/>
                              <w:marRight w:val="0"/>
                              <w:marTop w:val="0"/>
                              <w:marBottom w:val="0"/>
                              <w:divBdr>
                                <w:top w:val="none" w:sz="0" w:space="0" w:color="auto"/>
                                <w:left w:val="none" w:sz="0" w:space="0" w:color="auto"/>
                                <w:bottom w:val="none" w:sz="0" w:space="0" w:color="auto"/>
                                <w:right w:val="none" w:sz="0" w:space="0" w:color="auto"/>
                              </w:divBdr>
                              <w:divsChild>
                                <w:div w:id="114762356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0741552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2474554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6218339">
                                              <w:blockQuote w:val="1"/>
                                              <w:marLeft w:val="600"/>
                                              <w:marRight w:val="0"/>
                                              <w:marTop w:val="120"/>
                                              <w:marBottom w:val="120"/>
                                              <w:divBdr>
                                                <w:top w:val="none" w:sz="0" w:space="0" w:color="auto"/>
                                                <w:left w:val="none" w:sz="0" w:space="0" w:color="auto"/>
                                                <w:bottom w:val="none" w:sz="0" w:space="0" w:color="auto"/>
                                                <w:right w:val="none" w:sz="0" w:space="0" w:color="auto"/>
                                              </w:divBdr>
                                            </w:div>
                                            <w:div w:id="21324799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62046202">
                                                  <w:blockQuote w:val="1"/>
                                                  <w:marLeft w:val="600"/>
                                                  <w:marRight w:val="0"/>
                                                  <w:marTop w:val="120"/>
                                                  <w:marBottom w:val="120"/>
                                                  <w:divBdr>
                                                    <w:top w:val="none" w:sz="0" w:space="0" w:color="auto"/>
                                                    <w:left w:val="none" w:sz="0" w:space="0" w:color="auto"/>
                                                    <w:bottom w:val="none" w:sz="0" w:space="0" w:color="auto"/>
                                                    <w:right w:val="none" w:sz="0" w:space="0" w:color="auto"/>
                                                  </w:divBdr>
                                                </w:div>
                                                <w:div w:id="3424014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2027870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6368505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49328">
      <w:bodyDiv w:val="1"/>
      <w:marLeft w:val="0"/>
      <w:marRight w:val="0"/>
      <w:marTop w:val="0"/>
      <w:marBottom w:val="0"/>
      <w:divBdr>
        <w:top w:val="none" w:sz="0" w:space="0" w:color="auto"/>
        <w:left w:val="none" w:sz="0" w:space="0" w:color="auto"/>
        <w:bottom w:val="none" w:sz="0" w:space="0" w:color="auto"/>
        <w:right w:val="none" w:sz="0" w:space="0" w:color="auto"/>
      </w:divBdr>
    </w:div>
    <w:div w:id="184293648">
      <w:bodyDiv w:val="1"/>
      <w:marLeft w:val="0"/>
      <w:marRight w:val="0"/>
      <w:marTop w:val="0"/>
      <w:marBottom w:val="0"/>
      <w:divBdr>
        <w:top w:val="none" w:sz="0" w:space="0" w:color="auto"/>
        <w:left w:val="none" w:sz="0" w:space="0" w:color="auto"/>
        <w:bottom w:val="none" w:sz="0" w:space="0" w:color="auto"/>
        <w:right w:val="none" w:sz="0" w:space="0" w:color="auto"/>
      </w:divBdr>
      <w:divsChild>
        <w:div w:id="121924779">
          <w:marLeft w:val="0"/>
          <w:marRight w:val="0"/>
          <w:marTop w:val="0"/>
          <w:marBottom w:val="0"/>
          <w:divBdr>
            <w:top w:val="none" w:sz="0" w:space="0" w:color="auto"/>
            <w:left w:val="none" w:sz="0" w:space="0" w:color="auto"/>
            <w:bottom w:val="none" w:sz="0" w:space="0" w:color="auto"/>
            <w:right w:val="none" w:sz="0" w:space="0" w:color="auto"/>
          </w:divBdr>
          <w:divsChild>
            <w:div w:id="845022632">
              <w:marLeft w:val="0"/>
              <w:marRight w:val="0"/>
              <w:marTop w:val="0"/>
              <w:marBottom w:val="0"/>
              <w:divBdr>
                <w:top w:val="none" w:sz="0" w:space="0" w:color="auto"/>
                <w:left w:val="none" w:sz="0" w:space="0" w:color="auto"/>
                <w:bottom w:val="none" w:sz="0" w:space="0" w:color="auto"/>
                <w:right w:val="none" w:sz="0" w:space="0" w:color="auto"/>
              </w:divBdr>
              <w:divsChild>
                <w:div w:id="790516873">
                  <w:marLeft w:val="0"/>
                  <w:marRight w:val="0"/>
                  <w:marTop w:val="0"/>
                  <w:marBottom w:val="0"/>
                  <w:divBdr>
                    <w:top w:val="none" w:sz="0" w:space="0" w:color="auto"/>
                    <w:left w:val="none" w:sz="0" w:space="0" w:color="auto"/>
                    <w:bottom w:val="none" w:sz="0" w:space="0" w:color="auto"/>
                    <w:right w:val="none" w:sz="0" w:space="0" w:color="auto"/>
                  </w:divBdr>
                  <w:divsChild>
                    <w:div w:id="163597852">
                      <w:marLeft w:val="0"/>
                      <w:marRight w:val="0"/>
                      <w:marTop w:val="0"/>
                      <w:marBottom w:val="0"/>
                      <w:divBdr>
                        <w:top w:val="none" w:sz="0" w:space="0" w:color="auto"/>
                        <w:left w:val="none" w:sz="0" w:space="0" w:color="auto"/>
                        <w:bottom w:val="none" w:sz="0" w:space="0" w:color="auto"/>
                        <w:right w:val="none" w:sz="0" w:space="0" w:color="auto"/>
                      </w:divBdr>
                      <w:divsChild>
                        <w:div w:id="1644919527">
                          <w:marLeft w:val="340"/>
                          <w:marRight w:val="0"/>
                          <w:marTop w:val="300"/>
                          <w:marBottom w:val="120"/>
                          <w:divBdr>
                            <w:top w:val="none" w:sz="0" w:space="0" w:color="auto"/>
                            <w:left w:val="none" w:sz="0" w:space="0" w:color="auto"/>
                            <w:bottom w:val="none" w:sz="0" w:space="0" w:color="auto"/>
                            <w:right w:val="none" w:sz="0" w:space="0" w:color="auto"/>
                          </w:divBdr>
                          <w:divsChild>
                            <w:div w:id="646058078">
                              <w:marLeft w:val="0"/>
                              <w:marRight w:val="0"/>
                              <w:marTop w:val="0"/>
                              <w:marBottom w:val="0"/>
                              <w:divBdr>
                                <w:top w:val="none" w:sz="0" w:space="0" w:color="auto"/>
                                <w:left w:val="none" w:sz="0" w:space="0" w:color="auto"/>
                                <w:bottom w:val="none" w:sz="0" w:space="0" w:color="auto"/>
                                <w:right w:val="none" w:sz="0" w:space="0" w:color="auto"/>
                              </w:divBdr>
                              <w:divsChild>
                                <w:div w:id="15048527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588458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377168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03140802">
                                              <w:blockQuote w:val="1"/>
                                              <w:marLeft w:val="0"/>
                                              <w:marRight w:val="0"/>
                                              <w:marTop w:val="120"/>
                                              <w:marBottom w:val="120"/>
                                              <w:divBdr>
                                                <w:top w:val="none" w:sz="0" w:space="0" w:color="auto"/>
                                                <w:left w:val="none" w:sz="0" w:space="0" w:color="auto"/>
                                                <w:bottom w:val="none" w:sz="0" w:space="0" w:color="auto"/>
                                                <w:right w:val="none" w:sz="0" w:space="0" w:color="auto"/>
                                              </w:divBdr>
                                            </w:div>
                                            <w:div w:id="2015842186">
                                              <w:blockQuote w:val="1"/>
                                              <w:marLeft w:val="600"/>
                                              <w:marRight w:val="0"/>
                                              <w:marTop w:val="120"/>
                                              <w:marBottom w:val="120"/>
                                              <w:divBdr>
                                                <w:top w:val="none" w:sz="0" w:space="0" w:color="auto"/>
                                                <w:left w:val="none" w:sz="0" w:space="0" w:color="auto"/>
                                                <w:bottom w:val="none" w:sz="0" w:space="0" w:color="auto"/>
                                                <w:right w:val="none" w:sz="0" w:space="0" w:color="auto"/>
                                              </w:divBdr>
                                            </w:div>
                                            <w:div w:id="108084393">
                                              <w:blockQuote w:val="1"/>
                                              <w:marLeft w:val="600"/>
                                              <w:marRight w:val="0"/>
                                              <w:marTop w:val="120"/>
                                              <w:marBottom w:val="120"/>
                                              <w:divBdr>
                                                <w:top w:val="none" w:sz="0" w:space="0" w:color="auto"/>
                                                <w:left w:val="none" w:sz="0" w:space="0" w:color="auto"/>
                                                <w:bottom w:val="none" w:sz="0" w:space="0" w:color="auto"/>
                                                <w:right w:val="none" w:sz="0" w:space="0" w:color="auto"/>
                                              </w:divBdr>
                                            </w:div>
                                            <w:div w:id="1266302609">
                                              <w:blockQuote w:val="1"/>
                                              <w:marLeft w:val="600"/>
                                              <w:marRight w:val="0"/>
                                              <w:marTop w:val="120"/>
                                              <w:marBottom w:val="120"/>
                                              <w:divBdr>
                                                <w:top w:val="none" w:sz="0" w:space="0" w:color="auto"/>
                                                <w:left w:val="none" w:sz="0" w:space="0" w:color="auto"/>
                                                <w:bottom w:val="none" w:sz="0" w:space="0" w:color="auto"/>
                                                <w:right w:val="none" w:sz="0" w:space="0" w:color="auto"/>
                                              </w:divBdr>
                                            </w:div>
                                            <w:div w:id="144638948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0933360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02851434">
                                                      <w:blockQuote w:val="1"/>
                                                      <w:marLeft w:val="600"/>
                                                      <w:marRight w:val="0"/>
                                                      <w:marTop w:val="120"/>
                                                      <w:marBottom w:val="120"/>
                                                      <w:divBdr>
                                                        <w:top w:val="none" w:sz="0" w:space="0" w:color="auto"/>
                                                        <w:left w:val="none" w:sz="0" w:space="0" w:color="auto"/>
                                                        <w:bottom w:val="none" w:sz="0" w:space="0" w:color="auto"/>
                                                        <w:right w:val="none" w:sz="0" w:space="0" w:color="auto"/>
                                                      </w:divBdr>
                                                    </w:div>
                                                    <w:div w:id="1467889081">
                                                      <w:blockQuote w:val="1"/>
                                                      <w:marLeft w:val="600"/>
                                                      <w:marRight w:val="0"/>
                                                      <w:marTop w:val="120"/>
                                                      <w:marBottom w:val="120"/>
                                                      <w:divBdr>
                                                        <w:top w:val="none" w:sz="0" w:space="0" w:color="auto"/>
                                                        <w:left w:val="none" w:sz="0" w:space="0" w:color="auto"/>
                                                        <w:bottom w:val="none" w:sz="0" w:space="0" w:color="auto"/>
                                                        <w:right w:val="none" w:sz="0" w:space="0" w:color="auto"/>
                                                      </w:divBdr>
                                                    </w:div>
                                                    <w:div w:id="43301872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8439203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5092597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89631">
      <w:bodyDiv w:val="1"/>
      <w:marLeft w:val="0"/>
      <w:marRight w:val="0"/>
      <w:marTop w:val="0"/>
      <w:marBottom w:val="0"/>
      <w:divBdr>
        <w:top w:val="none" w:sz="0" w:space="0" w:color="auto"/>
        <w:left w:val="none" w:sz="0" w:space="0" w:color="auto"/>
        <w:bottom w:val="none" w:sz="0" w:space="0" w:color="auto"/>
        <w:right w:val="none" w:sz="0" w:space="0" w:color="auto"/>
      </w:divBdr>
      <w:divsChild>
        <w:div w:id="1497919529">
          <w:marLeft w:val="0"/>
          <w:marRight w:val="0"/>
          <w:marTop w:val="0"/>
          <w:marBottom w:val="0"/>
          <w:divBdr>
            <w:top w:val="none" w:sz="0" w:space="0" w:color="auto"/>
            <w:left w:val="none" w:sz="0" w:space="0" w:color="auto"/>
            <w:bottom w:val="none" w:sz="0" w:space="0" w:color="auto"/>
            <w:right w:val="none" w:sz="0" w:space="0" w:color="auto"/>
          </w:divBdr>
          <w:divsChild>
            <w:div w:id="41056193">
              <w:marLeft w:val="0"/>
              <w:marRight w:val="0"/>
              <w:marTop w:val="0"/>
              <w:marBottom w:val="0"/>
              <w:divBdr>
                <w:top w:val="none" w:sz="0" w:space="0" w:color="auto"/>
                <w:left w:val="none" w:sz="0" w:space="0" w:color="auto"/>
                <w:bottom w:val="none" w:sz="0" w:space="0" w:color="auto"/>
                <w:right w:val="none" w:sz="0" w:space="0" w:color="auto"/>
              </w:divBdr>
              <w:divsChild>
                <w:div w:id="475726021">
                  <w:marLeft w:val="0"/>
                  <w:marRight w:val="0"/>
                  <w:marTop w:val="0"/>
                  <w:marBottom w:val="0"/>
                  <w:divBdr>
                    <w:top w:val="none" w:sz="0" w:space="0" w:color="auto"/>
                    <w:left w:val="none" w:sz="0" w:space="0" w:color="auto"/>
                    <w:bottom w:val="none" w:sz="0" w:space="0" w:color="auto"/>
                    <w:right w:val="none" w:sz="0" w:space="0" w:color="auto"/>
                  </w:divBdr>
                  <w:divsChild>
                    <w:div w:id="218127280">
                      <w:marLeft w:val="0"/>
                      <w:marRight w:val="0"/>
                      <w:marTop w:val="0"/>
                      <w:marBottom w:val="0"/>
                      <w:divBdr>
                        <w:top w:val="none" w:sz="0" w:space="0" w:color="auto"/>
                        <w:left w:val="none" w:sz="0" w:space="0" w:color="auto"/>
                        <w:bottom w:val="none" w:sz="0" w:space="0" w:color="auto"/>
                        <w:right w:val="none" w:sz="0" w:space="0" w:color="auto"/>
                      </w:divBdr>
                      <w:divsChild>
                        <w:div w:id="1847404620">
                          <w:marLeft w:val="340"/>
                          <w:marRight w:val="0"/>
                          <w:marTop w:val="300"/>
                          <w:marBottom w:val="120"/>
                          <w:divBdr>
                            <w:top w:val="none" w:sz="0" w:space="0" w:color="auto"/>
                            <w:left w:val="none" w:sz="0" w:space="0" w:color="auto"/>
                            <w:bottom w:val="none" w:sz="0" w:space="0" w:color="auto"/>
                            <w:right w:val="none" w:sz="0" w:space="0" w:color="auto"/>
                          </w:divBdr>
                          <w:divsChild>
                            <w:div w:id="576987204">
                              <w:marLeft w:val="0"/>
                              <w:marRight w:val="0"/>
                              <w:marTop w:val="0"/>
                              <w:marBottom w:val="0"/>
                              <w:divBdr>
                                <w:top w:val="none" w:sz="0" w:space="0" w:color="auto"/>
                                <w:left w:val="none" w:sz="0" w:space="0" w:color="auto"/>
                                <w:bottom w:val="none" w:sz="0" w:space="0" w:color="auto"/>
                                <w:right w:val="none" w:sz="0" w:space="0" w:color="auto"/>
                              </w:divBdr>
                              <w:divsChild>
                                <w:div w:id="68197525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1909018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12091439">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40787">
      <w:bodyDiv w:val="1"/>
      <w:marLeft w:val="0"/>
      <w:marRight w:val="0"/>
      <w:marTop w:val="0"/>
      <w:marBottom w:val="0"/>
      <w:divBdr>
        <w:top w:val="none" w:sz="0" w:space="0" w:color="auto"/>
        <w:left w:val="none" w:sz="0" w:space="0" w:color="auto"/>
        <w:bottom w:val="none" w:sz="0" w:space="0" w:color="auto"/>
        <w:right w:val="none" w:sz="0" w:space="0" w:color="auto"/>
      </w:divBdr>
      <w:divsChild>
        <w:div w:id="435441393">
          <w:marLeft w:val="0"/>
          <w:marRight w:val="0"/>
          <w:marTop w:val="0"/>
          <w:marBottom w:val="0"/>
          <w:divBdr>
            <w:top w:val="none" w:sz="0" w:space="0" w:color="auto"/>
            <w:left w:val="none" w:sz="0" w:space="0" w:color="auto"/>
            <w:bottom w:val="none" w:sz="0" w:space="0" w:color="auto"/>
            <w:right w:val="none" w:sz="0" w:space="0" w:color="auto"/>
          </w:divBdr>
          <w:divsChild>
            <w:div w:id="1389107149">
              <w:marLeft w:val="0"/>
              <w:marRight w:val="0"/>
              <w:marTop w:val="0"/>
              <w:marBottom w:val="0"/>
              <w:divBdr>
                <w:top w:val="none" w:sz="0" w:space="0" w:color="auto"/>
                <w:left w:val="none" w:sz="0" w:space="0" w:color="auto"/>
                <w:bottom w:val="none" w:sz="0" w:space="0" w:color="auto"/>
                <w:right w:val="none" w:sz="0" w:space="0" w:color="auto"/>
              </w:divBdr>
              <w:divsChild>
                <w:div w:id="1740249225">
                  <w:marLeft w:val="0"/>
                  <w:marRight w:val="0"/>
                  <w:marTop w:val="0"/>
                  <w:marBottom w:val="0"/>
                  <w:divBdr>
                    <w:top w:val="none" w:sz="0" w:space="0" w:color="auto"/>
                    <w:left w:val="none" w:sz="0" w:space="0" w:color="auto"/>
                    <w:bottom w:val="none" w:sz="0" w:space="0" w:color="auto"/>
                    <w:right w:val="none" w:sz="0" w:space="0" w:color="auto"/>
                  </w:divBdr>
                  <w:divsChild>
                    <w:div w:id="1084837986">
                      <w:marLeft w:val="0"/>
                      <w:marRight w:val="0"/>
                      <w:marTop w:val="0"/>
                      <w:marBottom w:val="0"/>
                      <w:divBdr>
                        <w:top w:val="none" w:sz="0" w:space="0" w:color="auto"/>
                        <w:left w:val="none" w:sz="0" w:space="0" w:color="auto"/>
                        <w:bottom w:val="none" w:sz="0" w:space="0" w:color="auto"/>
                        <w:right w:val="none" w:sz="0" w:space="0" w:color="auto"/>
                      </w:divBdr>
                      <w:divsChild>
                        <w:div w:id="1383019051">
                          <w:marLeft w:val="340"/>
                          <w:marRight w:val="0"/>
                          <w:marTop w:val="300"/>
                          <w:marBottom w:val="120"/>
                          <w:divBdr>
                            <w:top w:val="none" w:sz="0" w:space="0" w:color="auto"/>
                            <w:left w:val="none" w:sz="0" w:space="0" w:color="auto"/>
                            <w:bottom w:val="none" w:sz="0" w:space="0" w:color="auto"/>
                            <w:right w:val="none" w:sz="0" w:space="0" w:color="auto"/>
                          </w:divBdr>
                          <w:divsChild>
                            <w:div w:id="78216933">
                              <w:marLeft w:val="0"/>
                              <w:marRight w:val="0"/>
                              <w:marTop w:val="0"/>
                              <w:marBottom w:val="0"/>
                              <w:divBdr>
                                <w:top w:val="none" w:sz="0" w:space="0" w:color="auto"/>
                                <w:left w:val="none" w:sz="0" w:space="0" w:color="auto"/>
                                <w:bottom w:val="none" w:sz="0" w:space="0" w:color="auto"/>
                                <w:right w:val="none" w:sz="0" w:space="0" w:color="auto"/>
                              </w:divBdr>
                              <w:divsChild>
                                <w:div w:id="167302466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344773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8959218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941507">
      <w:bodyDiv w:val="1"/>
      <w:marLeft w:val="0"/>
      <w:marRight w:val="0"/>
      <w:marTop w:val="0"/>
      <w:marBottom w:val="0"/>
      <w:divBdr>
        <w:top w:val="none" w:sz="0" w:space="0" w:color="auto"/>
        <w:left w:val="none" w:sz="0" w:space="0" w:color="auto"/>
        <w:bottom w:val="none" w:sz="0" w:space="0" w:color="auto"/>
        <w:right w:val="none" w:sz="0" w:space="0" w:color="auto"/>
      </w:divBdr>
      <w:divsChild>
        <w:div w:id="643244765">
          <w:marLeft w:val="0"/>
          <w:marRight w:val="0"/>
          <w:marTop w:val="0"/>
          <w:marBottom w:val="0"/>
          <w:divBdr>
            <w:top w:val="none" w:sz="0" w:space="0" w:color="auto"/>
            <w:left w:val="none" w:sz="0" w:space="0" w:color="auto"/>
            <w:bottom w:val="none" w:sz="0" w:space="0" w:color="auto"/>
            <w:right w:val="none" w:sz="0" w:space="0" w:color="auto"/>
          </w:divBdr>
          <w:divsChild>
            <w:div w:id="835222474">
              <w:marLeft w:val="0"/>
              <w:marRight w:val="0"/>
              <w:marTop w:val="0"/>
              <w:marBottom w:val="0"/>
              <w:divBdr>
                <w:top w:val="none" w:sz="0" w:space="0" w:color="auto"/>
                <w:left w:val="none" w:sz="0" w:space="0" w:color="auto"/>
                <w:bottom w:val="none" w:sz="0" w:space="0" w:color="auto"/>
                <w:right w:val="none" w:sz="0" w:space="0" w:color="auto"/>
              </w:divBdr>
              <w:divsChild>
                <w:div w:id="1382825756">
                  <w:marLeft w:val="0"/>
                  <w:marRight w:val="0"/>
                  <w:marTop w:val="0"/>
                  <w:marBottom w:val="0"/>
                  <w:divBdr>
                    <w:top w:val="none" w:sz="0" w:space="0" w:color="auto"/>
                    <w:left w:val="none" w:sz="0" w:space="0" w:color="auto"/>
                    <w:bottom w:val="none" w:sz="0" w:space="0" w:color="auto"/>
                    <w:right w:val="none" w:sz="0" w:space="0" w:color="auto"/>
                  </w:divBdr>
                  <w:divsChild>
                    <w:div w:id="1220824368">
                      <w:marLeft w:val="0"/>
                      <w:marRight w:val="0"/>
                      <w:marTop w:val="0"/>
                      <w:marBottom w:val="0"/>
                      <w:divBdr>
                        <w:top w:val="none" w:sz="0" w:space="0" w:color="auto"/>
                        <w:left w:val="none" w:sz="0" w:space="0" w:color="auto"/>
                        <w:bottom w:val="none" w:sz="0" w:space="0" w:color="auto"/>
                        <w:right w:val="none" w:sz="0" w:space="0" w:color="auto"/>
                      </w:divBdr>
                      <w:divsChild>
                        <w:div w:id="1144854635">
                          <w:marLeft w:val="340"/>
                          <w:marRight w:val="0"/>
                          <w:marTop w:val="300"/>
                          <w:marBottom w:val="120"/>
                          <w:divBdr>
                            <w:top w:val="none" w:sz="0" w:space="0" w:color="auto"/>
                            <w:left w:val="none" w:sz="0" w:space="0" w:color="auto"/>
                            <w:bottom w:val="none" w:sz="0" w:space="0" w:color="auto"/>
                            <w:right w:val="none" w:sz="0" w:space="0" w:color="auto"/>
                          </w:divBdr>
                          <w:divsChild>
                            <w:div w:id="1566184378">
                              <w:marLeft w:val="0"/>
                              <w:marRight w:val="0"/>
                              <w:marTop w:val="0"/>
                              <w:marBottom w:val="0"/>
                              <w:divBdr>
                                <w:top w:val="none" w:sz="0" w:space="0" w:color="auto"/>
                                <w:left w:val="none" w:sz="0" w:space="0" w:color="auto"/>
                                <w:bottom w:val="none" w:sz="0" w:space="0" w:color="auto"/>
                                <w:right w:val="none" w:sz="0" w:space="0" w:color="auto"/>
                              </w:divBdr>
                              <w:divsChild>
                                <w:div w:id="27540342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66962983">
                                      <w:blockQuote w:val="1"/>
                                      <w:marLeft w:val="600"/>
                                      <w:marRight w:val="0"/>
                                      <w:marTop w:val="120"/>
                                      <w:marBottom w:val="120"/>
                                      <w:divBdr>
                                        <w:top w:val="none" w:sz="0" w:space="0" w:color="auto"/>
                                        <w:left w:val="none" w:sz="0" w:space="0" w:color="auto"/>
                                        <w:bottom w:val="none" w:sz="0" w:space="0" w:color="auto"/>
                                        <w:right w:val="none" w:sz="0" w:space="0" w:color="auto"/>
                                      </w:divBdr>
                                    </w:div>
                                    <w:div w:id="25514222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845269">
      <w:bodyDiv w:val="1"/>
      <w:marLeft w:val="0"/>
      <w:marRight w:val="0"/>
      <w:marTop w:val="0"/>
      <w:marBottom w:val="0"/>
      <w:divBdr>
        <w:top w:val="none" w:sz="0" w:space="0" w:color="auto"/>
        <w:left w:val="none" w:sz="0" w:space="0" w:color="auto"/>
        <w:bottom w:val="none" w:sz="0" w:space="0" w:color="auto"/>
        <w:right w:val="none" w:sz="0" w:space="0" w:color="auto"/>
      </w:divBdr>
      <w:divsChild>
        <w:div w:id="639500905">
          <w:marLeft w:val="0"/>
          <w:marRight w:val="0"/>
          <w:marTop w:val="0"/>
          <w:marBottom w:val="0"/>
          <w:divBdr>
            <w:top w:val="none" w:sz="0" w:space="0" w:color="auto"/>
            <w:left w:val="none" w:sz="0" w:space="0" w:color="auto"/>
            <w:bottom w:val="none" w:sz="0" w:space="0" w:color="auto"/>
            <w:right w:val="none" w:sz="0" w:space="0" w:color="auto"/>
          </w:divBdr>
          <w:divsChild>
            <w:div w:id="554849444">
              <w:marLeft w:val="0"/>
              <w:marRight w:val="0"/>
              <w:marTop w:val="0"/>
              <w:marBottom w:val="0"/>
              <w:divBdr>
                <w:top w:val="none" w:sz="0" w:space="0" w:color="auto"/>
                <w:left w:val="none" w:sz="0" w:space="0" w:color="auto"/>
                <w:bottom w:val="none" w:sz="0" w:space="0" w:color="auto"/>
                <w:right w:val="none" w:sz="0" w:space="0" w:color="auto"/>
              </w:divBdr>
              <w:divsChild>
                <w:div w:id="1523743183">
                  <w:marLeft w:val="0"/>
                  <w:marRight w:val="0"/>
                  <w:marTop w:val="0"/>
                  <w:marBottom w:val="0"/>
                  <w:divBdr>
                    <w:top w:val="none" w:sz="0" w:space="0" w:color="auto"/>
                    <w:left w:val="none" w:sz="0" w:space="0" w:color="auto"/>
                    <w:bottom w:val="none" w:sz="0" w:space="0" w:color="auto"/>
                    <w:right w:val="none" w:sz="0" w:space="0" w:color="auto"/>
                  </w:divBdr>
                  <w:divsChild>
                    <w:div w:id="607469201">
                      <w:marLeft w:val="0"/>
                      <w:marRight w:val="0"/>
                      <w:marTop w:val="0"/>
                      <w:marBottom w:val="0"/>
                      <w:divBdr>
                        <w:top w:val="none" w:sz="0" w:space="0" w:color="auto"/>
                        <w:left w:val="none" w:sz="0" w:space="0" w:color="auto"/>
                        <w:bottom w:val="none" w:sz="0" w:space="0" w:color="auto"/>
                        <w:right w:val="none" w:sz="0" w:space="0" w:color="auto"/>
                      </w:divBdr>
                      <w:divsChild>
                        <w:div w:id="1389306860">
                          <w:marLeft w:val="340"/>
                          <w:marRight w:val="0"/>
                          <w:marTop w:val="300"/>
                          <w:marBottom w:val="120"/>
                          <w:divBdr>
                            <w:top w:val="none" w:sz="0" w:space="0" w:color="auto"/>
                            <w:left w:val="none" w:sz="0" w:space="0" w:color="auto"/>
                            <w:bottom w:val="none" w:sz="0" w:space="0" w:color="auto"/>
                            <w:right w:val="none" w:sz="0" w:space="0" w:color="auto"/>
                          </w:divBdr>
                          <w:divsChild>
                            <w:div w:id="514731784">
                              <w:marLeft w:val="0"/>
                              <w:marRight w:val="0"/>
                              <w:marTop w:val="0"/>
                              <w:marBottom w:val="0"/>
                              <w:divBdr>
                                <w:top w:val="none" w:sz="0" w:space="0" w:color="auto"/>
                                <w:left w:val="none" w:sz="0" w:space="0" w:color="auto"/>
                                <w:bottom w:val="none" w:sz="0" w:space="0" w:color="auto"/>
                                <w:right w:val="none" w:sz="0" w:space="0" w:color="auto"/>
                              </w:divBdr>
                              <w:divsChild>
                                <w:div w:id="20155448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1364303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289231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10995759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43978930">
                                                  <w:blockQuote w:val="1"/>
                                                  <w:marLeft w:val="600"/>
                                                  <w:marRight w:val="0"/>
                                                  <w:marTop w:val="120"/>
                                                  <w:marBottom w:val="120"/>
                                                  <w:divBdr>
                                                    <w:top w:val="none" w:sz="0" w:space="0" w:color="auto"/>
                                                    <w:left w:val="none" w:sz="0" w:space="0" w:color="auto"/>
                                                    <w:bottom w:val="none" w:sz="0" w:space="0" w:color="auto"/>
                                                    <w:right w:val="none" w:sz="0" w:space="0" w:color="auto"/>
                                                  </w:divBdr>
                                                </w:div>
                                                <w:div w:id="176437640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88770839">
                                              <w:blockQuote w:val="1"/>
                                              <w:marLeft w:val="600"/>
                                              <w:marRight w:val="0"/>
                                              <w:marTop w:val="120"/>
                                              <w:marBottom w:val="120"/>
                                              <w:divBdr>
                                                <w:top w:val="none" w:sz="0" w:space="0" w:color="auto"/>
                                                <w:left w:val="none" w:sz="0" w:space="0" w:color="auto"/>
                                                <w:bottom w:val="none" w:sz="0" w:space="0" w:color="auto"/>
                                                <w:right w:val="none" w:sz="0" w:space="0" w:color="auto"/>
                                              </w:divBdr>
                                            </w:div>
                                            <w:div w:id="171449739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46603740">
                                                  <w:blockQuote w:val="1"/>
                                                  <w:marLeft w:val="600"/>
                                                  <w:marRight w:val="0"/>
                                                  <w:marTop w:val="120"/>
                                                  <w:marBottom w:val="120"/>
                                                  <w:divBdr>
                                                    <w:top w:val="none" w:sz="0" w:space="0" w:color="auto"/>
                                                    <w:left w:val="none" w:sz="0" w:space="0" w:color="auto"/>
                                                    <w:bottom w:val="none" w:sz="0" w:space="0" w:color="auto"/>
                                                    <w:right w:val="none" w:sz="0" w:space="0" w:color="auto"/>
                                                  </w:divBdr>
                                                </w:div>
                                                <w:div w:id="199630157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11342461">
                                              <w:blockQuote w:val="1"/>
                                              <w:marLeft w:val="600"/>
                                              <w:marRight w:val="0"/>
                                              <w:marTop w:val="120"/>
                                              <w:marBottom w:val="120"/>
                                              <w:divBdr>
                                                <w:top w:val="none" w:sz="0" w:space="0" w:color="auto"/>
                                                <w:left w:val="none" w:sz="0" w:space="0" w:color="auto"/>
                                                <w:bottom w:val="none" w:sz="0" w:space="0" w:color="auto"/>
                                                <w:right w:val="none" w:sz="0" w:space="0" w:color="auto"/>
                                              </w:divBdr>
                                            </w:div>
                                            <w:div w:id="89207730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841066">
      <w:bodyDiv w:val="1"/>
      <w:marLeft w:val="0"/>
      <w:marRight w:val="0"/>
      <w:marTop w:val="0"/>
      <w:marBottom w:val="0"/>
      <w:divBdr>
        <w:top w:val="none" w:sz="0" w:space="0" w:color="auto"/>
        <w:left w:val="none" w:sz="0" w:space="0" w:color="auto"/>
        <w:bottom w:val="none" w:sz="0" w:space="0" w:color="auto"/>
        <w:right w:val="none" w:sz="0" w:space="0" w:color="auto"/>
      </w:divBdr>
      <w:divsChild>
        <w:div w:id="1397705697">
          <w:marLeft w:val="0"/>
          <w:marRight w:val="0"/>
          <w:marTop w:val="0"/>
          <w:marBottom w:val="0"/>
          <w:divBdr>
            <w:top w:val="none" w:sz="0" w:space="0" w:color="auto"/>
            <w:left w:val="none" w:sz="0" w:space="0" w:color="auto"/>
            <w:bottom w:val="none" w:sz="0" w:space="0" w:color="auto"/>
            <w:right w:val="none" w:sz="0" w:space="0" w:color="auto"/>
          </w:divBdr>
          <w:divsChild>
            <w:div w:id="841892374">
              <w:marLeft w:val="0"/>
              <w:marRight w:val="0"/>
              <w:marTop w:val="0"/>
              <w:marBottom w:val="0"/>
              <w:divBdr>
                <w:top w:val="none" w:sz="0" w:space="0" w:color="auto"/>
                <w:left w:val="none" w:sz="0" w:space="0" w:color="auto"/>
                <w:bottom w:val="none" w:sz="0" w:space="0" w:color="auto"/>
                <w:right w:val="none" w:sz="0" w:space="0" w:color="auto"/>
              </w:divBdr>
              <w:divsChild>
                <w:div w:id="1259094846">
                  <w:marLeft w:val="0"/>
                  <w:marRight w:val="0"/>
                  <w:marTop w:val="0"/>
                  <w:marBottom w:val="0"/>
                  <w:divBdr>
                    <w:top w:val="none" w:sz="0" w:space="0" w:color="auto"/>
                    <w:left w:val="none" w:sz="0" w:space="0" w:color="auto"/>
                    <w:bottom w:val="none" w:sz="0" w:space="0" w:color="auto"/>
                    <w:right w:val="none" w:sz="0" w:space="0" w:color="auto"/>
                  </w:divBdr>
                  <w:divsChild>
                    <w:div w:id="1909067906">
                      <w:marLeft w:val="0"/>
                      <w:marRight w:val="0"/>
                      <w:marTop w:val="0"/>
                      <w:marBottom w:val="0"/>
                      <w:divBdr>
                        <w:top w:val="none" w:sz="0" w:space="0" w:color="auto"/>
                        <w:left w:val="none" w:sz="0" w:space="0" w:color="auto"/>
                        <w:bottom w:val="none" w:sz="0" w:space="0" w:color="auto"/>
                        <w:right w:val="none" w:sz="0" w:space="0" w:color="auto"/>
                      </w:divBdr>
                      <w:divsChild>
                        <w:div w:id="1691443723">
                          <w:marLeft w:val="340"/>
                          <w:marRight w:val="0"/>
                          <w:marTop w:val="300"/>
                          <w:marBottom w:val="120"/>
                          <w:divBdr>
                            <w:top w:val="none" w:sz="0" w:space="0" w:color="auto"/>
                            <w:left w:val="none" w:sz="0" w:space="0" w:color="auto"/>
                            <w:bottom w:val="none" w:sz="0" w:space="0" w:color="auto"/>
                            <w:right w:val="none" w:sz="0" w:space="0" w:color="auto"/>
                          </w:divBdr>
                          <w:divsChild>
                            <w:div w:id="2124297759">
                              <w:marLeft w:val="0"/>
                              <w:marRight w:val="0"/>
                              <w:marTop w:val="0"/>
                              <w:marBottom w:val="0"/>
                              <w:divBdr>
                                <w:top w:val="none" w:sz="0" w:space="0" w:color="auto"/>
                                <w:left w:val="none" w:sz="0" w:space="0" w:color="auto"/>
                                <w:bottom w:val="none" w:sz="0" w:space="0" w:color="auto"/>
                                <w:right w:val="none" w:sz="0" w:space="0" w:color="auto"/>
                              </w:divBdr>
                              <w:divsChild>
                                <w:div w:id="101680960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299227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078174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12521628">
                                              <w:blockQuote w:val="1"/>
                                              <w:marLeft w:val="600"/>
                                              <w:marRight w:val="0"/>
                                              <w:marTop w:val="120"/>
                                              <w:marBottom w:val="120"/>
                                              <w:divBdr>
                                                <w:top w:val="none" w:sz="0" w:space="0" w:color="auto"/>
                                                <w:left w:val="none" w:sz="0" w:space="0" w:color="auto"/>
                                                <w:bottom w:val="none" w:sz="0" w:space="0" w:color="auto"/>
                                                <w:right w:val="none" w:sz="0" w:space="0" w:color="auto"/>
                                              </w:divBdr>
                                            </w:div>
                                            <w:div w:id="7490118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5001900">
      <w:bodyDiv w:val="1"/>
      <w:marLeft w:val="0"/>
      <w:marRight w:val="0"/>
      <w:marTop w:val="0"/>
      <w:marBottom w:val="0"/>
      <w:divBdr>
        <w:top w:val="none" w:sz="0" w:space="0" w:color="auto"/>
        <w:left w:val="none" w:sz="0" w:space="0" w:color="auto"/>
        <w:bottom w:val="none" w:sz="0" w:space="0" w:color="auto"/>
        <w:right w:val="none" w:sz="0" w:space="0" w:color="auto"/>
      </w:divBdr>
      <w:divsChild>
        <w:div w:id="822621552">
          <w:marLeft w:val="0"/>
          <w:marRight w:val="0"/>
          <w:marTop w:val="0"/>
          <w:marBottom w:val="0"/>
          <w:divBdr>
            <w:top w:val="none" w:sz="0" w:space="0" w:color="auto"/>
            <w:left w:val="none" w:sz="0" w:space="0" w:color="auto"/>
            <w:bottom w:val="none" w:sz="0" w:space="0" w:color="auto"/>
            <w:right w:val="none" w:sz="0" w:space="0" w:color="auto"/>
          </w:divBdr>
          <w:divsChild>
            <w:div w:id="1157460324">
              <w:marLeft w:val="0"/>
              <w:marRight w:val="0"/>
              <w:marTop w:val="0"/>
              <w:marBottom w:val="0"/>
              <w:divBdr>
                <w:top w:val="none" w:sz="0" w:space="0" w:color="auto"/>
                <w:left w:val="none" w:sz="0" w:space="0" w:color="auto"/>
                <w:bottom w:val="none" w:sz="0" w:space="0" w:color="auto"/>
                <w:right w:val="none" w:sz="0" w:space="0" w:color="auto"/>
              </w:divBdr>
              <w:divsChild>
                <w:div w:id="54201760">
                  <w:marLeft w:val="0"/>
                  <w:marRight w:val="0"/>
                  <w:marTop w:val="0"/>
                  <w:marBottom w:val="0"/>
                  <w:divBdr>
                    <w:top w:val="none" w:sz="0" w:space="0" w:color="auto"/>
                    <w:left w:val="none" w:sz="0" w:space="0" w:color="auto"/>
                    <w:bottom w:val="none" w:sz="0" w:space="0" w:color="auto"/>
                    <w:right w:val="none" w:sz="0" w:space="0" w:color="auto"/>
                  </w:divBdr>
                  <w:divsChild>
                    <w:div w:id="1773819403">
                      <w:marLeft w:val="0"/>
                      <w:marRight w:val="0"/>
                      <w:marTop w:val="0"/>
                      <w:marBottom w:val="0"/>
                      <w:divBdr>
                        <w:top w:val="none" w:sz="0" w:space="0" w:color="auto"/>
                        <w:left w:val="none" w:sz="0" w:space="0" w:color="auto"/>
                        <w:bottom w:val="none" w:sz="0" w:space="0" w:color="auto"/>
                        <w:right w:val="none" w:sz="0" w:space="0" w:color="auto"/>
                      </w:divBdr>
                      <w:divsChild>
                        <w:div w:id="993217134">
                          <w:marLeft w:val="340"/>
                          <w:marRight w:val="0"/>
                          <w:marTop w:val="300"/>
                          <w:marBottom w:val="120"/>
                          <w:divBdr>
                            <w:top w:val="none" w:sz="0" w:space="0" w:color="auto"/>
                            <w:left w:val="none" w:sz="0" w:space="0" w:color="auto"/>
                            <w:bottom w:val="none" w:sz="0" w:space="0" w:color="auto"/>
                            <w:right w:val="none" w:sz="0" w:space="0" w:color="auto"/>
                          </w:divBdr>
                          <w:divsChild>
                            <w:div w:id="621806113">
                              <w:marLeft w:val="0"/>
                              <w:marRight w:val="0"/>
                              <w:marTop w:val="0"/>
                              <w:marBottom w:val="0"/>
                              <w:divBdr>
                                <w:top w:val="none" w:sz="0" w:space="0" w:color="auto"/>
                                <w:left w:val="none" w:sz="0" w:space="0" w:color="auto"/>
                                <w:bottom w:val="none" w:sz="0" w:space="0" w:color="auto"/>
                                <w:right w:val="none" w:sz="0" w:space="0" w:color="auto"/>
                              </w:divBdr>
                              <w:divsChild>
                                <w:div w:id="74896890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2722055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6641962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560817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7340450">
                                                  <w:blockQuote w:val="1"/>
                                                  <w:marLeft w:val="600"/>
                                                  <w:marRight w:val="0"/>
                                                  <w:marTop w:val="120"/>
                                                  <w:marBottom w:val="120"/>
                                                  <w:divBdr>
                                                    <w:top w:val="none" w:sz="0" w:space="0" w:color="auto"/>
                                                    <w:left w:val="none" w:sz="0" w:space="0" w:color="auto"/>
                                                    <w:bottom w:val="none" w:sz="0" w:space="0" w:color="auto"/>
                                                    <w:right w:val="none" w:sz="0" w:space="0" w:color="auto"/>
                                                  </w:divBdr>
                                                </w:div>
                                                <w:div w:id="172833711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3116827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80397200">
                                                  <w:blockQuote w:val="1"/>
                                                  <w:marLeft w:val="600"/>
                                                  <w:marRight w:val="0"/>
                                                  <w:marTop w:val="120"/>
                                                  <w:marBottom w:val="120"/>
                                                  <w:divBdr>
                                                    <w:top w:val="none" w:sz="0" w:space="0" w:color="auto"/>
                                                    <w:left w:val="none" w:sz="0" w:space="0" w:color="auto"/>
                                                    <w:bottom w:val="none" w:sz="0" w:space="0" w:color="auto"/>
                                                    <w:right w:val="none" w:sz="0" w:space="0" w:color="auto"/>
                                                  </w:divBdr>
                                                </w:div>
                                                <w:div w:id="1378310674">
                                                  <w:blockQuote w:val="1"/>
                                                  <w:marLeft w:val="600"/>
                                                  <w:marRight w:val="0"/>
                                                  <w:marTop w:val="120"/>
                                                  <w:marBottom w:val="120"/>
                                                  <w:divBdr>
                                                    <w:top w:val="none" w:sz="0" w:space="0" w:color="auto"/>
                                                    <w:left w:val="none" w:sz="0" w:space="0" w:color="auto"/>
                                                    <w:bottom w:val="none" w:sz="0" w:space="0" w:color="auto"/>
                                                    <w:right w:val="none" w:sz="0" w:space="0" w:color="auto"/>
                                                  </w:divBdr>
                                                </w:div>
                                                <w:div w:id="1090519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4827476">
      <w:bodyDiv w:val="1"/>
      <w:marLeft w:val="0"/>
      <w:marRight w:val="0"/>
      <w:marTop w:val="0"/>
      <w:marBottom w:val="0"/>
      <w:divBdr>
        <w:top w:val="none" w:sz="0" w:space="0" w:color="auto"/>
        <w:left w:val="none" w:sz="0" w:space="0" w:color="auto"/>
        <w:bottom w:val="none" w:sz="0" w:space="0" w:color="auto"/>
        <w:right w:val="none" w:sz="0" w:space="0" w:color="auto"/>
      </w:divBdr>
      <w:divsChild>
        <w:div w:id="1492135933">
          <w:marLeft w:val="0"/>
          <w:marRight w:val="0"/>
          <w:marTop w:val="0"/>
          <w:marBottom w:val="0"/>
          <w:divBdr>
            <w:top w:val="none" w:sz="0" w:space="0" w:color="auto"/>
            <w:left w:val="none" w:sz="0" w:space="0" w:color="auto"/>
            <w:bottom w:val="none" w:sz="0" w:space="0" w:color="auto"/>
            <w:right w:val="none" w:sz="0" w:space="0" w:color="auto"/>
          </w:divBdr>
          <w:divsChild>
            <w:div w:id="1988588458">
              <w:marLeft w:val="0"/>
              <w:marRight w:val="0"/>
              <w:marTop w:val="0"/>
              <w:marBottom w:val="0"/>
              <w:divBdr>
                <w:top w:val="none" w:sz="0" w:space="0" w:color="auto"/>
                <w:left w:val="none" w:sz="0" w:space="0" w:color="auto"/>
                <w:bottom w:val="none" w:sz="0" w:space="0" w:color="auto"/>
                <w:right w:val="none" w:sz="0" w:space="0" w:color="auto"/>
              </w:divBdr>
              <w:divsChild>
                <w:div w:id="1644233337">
                  <w:marLeft w:val="0"/>
                  <w:marRight w:val="0"/>
                  <w:marTop w:val="0"/>
                  <w:marBottom w:val="0"/>
                  <w:divBdr>
                    <w:top w:val="none" w:sz="0" w:space="0" w:color="auto"/>
                    <w:left w:val="none" w:sz="0" w:space="0" w:color="auto"/>
                    <w:bottom w:val="none" w:sz="0" w:space="0" w:color="auto"/>
                    <w:right w:val="none" w:sz="0" w:space="0" w:color="auto"/>
                  </w:divBdr>
                  <w:divsChild>
                    <w:div w:id="1416127124">
                      <w:marLeft w:val="0"/>
                      <w:marRight w:val="0"/>
                      <w:marTop w:val="0"/>
                      <w:marBottom w:val="0"/>
                      <w:divBdr>
                        <w:top w:val="none" w:sz="0" w:space="0" w:color="auto"/>
                        <w:left w:val="none" w:sz="0" w:space="0" w:color="auto"/>
                        <w:bottom w:val="none" w:sz="0" w:space="0" w:color="auto"/>
                        <w:right w:val="none" w:sz="0" w:space="0" w:color="auto"/>
                      </w:divBdr>
                      <w:divsChild>
                        <w:div w:id="607783982">
                          <w:marLeft w:val="340"/>
                          <w:marRight w:val="0"/>
                          <w:marTop w:val="300"/>
                          <w:marBottom w:val="120"/>
                          <w:divBdr>
                            <w:top w:val="none" w:sz="0" w:space="0" w:color="auto"/>
                            <w:left w:val="none" w:sz="0" w:space="0" w:color="auto"/>
                            <w:bottom w:val="none" w:sz="0" w:space="0" w:color="auto"/>
                            <w:right w:val="none" w:sz="0" w:space="0" w:color="auto"/>
                          </w:divBdr>
                          <w:divsChild>
                            <w:div w:id="271329400">
                              <w:marLeft w:val="0"/>
                              <w:marRight w:val="0"/>
                              <w:marTop w:val="0"/>
                              <w:marBottom w:val="0"/>
                              <w:divBdr>
                                <w:top w:val="none" w:sz="0" w:space="0" w:color="auto"/>
                                <w:left w:val="none" w:sz="0" w:space="0" w:color="auto"/>
                                <w:bottom w:val="none" w:sz="0" w:space="0" w:color="auto"/>
                                <w:right w:val="none" w:sz="0" w:space="0" w:color="auto"/>
                              </w:divBdr>
                              <w:divsChild>
                                <w:div w:id="71666579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8699811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0836539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12521892">
                                              <w:blockQuote w:val="1"/>
                                              <w:marLeft w:val="0"/>
                                              <w:marRight w:val="0"/>
                                              <w:marTop w:val="120"/>
                                              <w:marBottom w:val="120"/>
                                              <w:divBdr>
                                                <w:top w:val="none" w:sz="0" w:space="0" w:color="auto"/>
                                                <w:left w:val="none" w:sz="0" w:space="0" w:color="auto"/>
                                                <w:bottom w:val="none" w:sz="0" w:space="0" w:color="auto"/>
                                                <w:right w:val="none" w:sz="0" w:space="0" w:color="auto"/>
                                              </w:divBdr>
                                            </w:div>
                                            <w:div w:id="1188518224">
                                              <w:blockQuote w:val="1"/>
                                              <w:marLeft w:val="600"/>
                                              <w:marRight w:val="0"/>
                                              <w:marTop w:val="120"/>
                                              <w:marBottom w:val="120"/>
                                              <w:divBdr>
                                                <w:top w:val="none" w:sz="0" w:space="0" w:color="auto"/>
                                                <w:left w:val="none" w:sz="0" w:space="0" w:color="auto"/>
                                                <w:bottom w:val="none" w:sz="0" w:space="0" w:color="auto"/>
                                                <w:right w:val="none" w:sz="0" w:space="0" w:color="auto"/>
                                              </w:divBdr>
                                            </w:div>
                                            <w:div w:id="175770110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8856366">
      <w:bodyDiv w:val="1"/>
      <w:marLeft w:val="0"/>
      <w:marRight w:val="0"/>
      <w:marTop w:val="0"/>
      <w:marBottom w:val="0"/>
      <w:divBdr>
        <w:top w:val="none" w:sz="0" w:space="0" w:color="auto"/>
        <w:left w:val="none" w:sz="0" w:space="0" w:color="auto"/>
        <w:bottom w:val="none" w:sz="0" w:space="0" w:color="auto"/>
        <w:right w:val="none" w:sz="0" w:space="0" w:color="auto"/>
      </w:divBdr>
      <w:divsChild>
        <w:div w:id="341710056">
          <w:marLeft w:val="0"/>
          <w:marRight w:val="0"/>
          <w:marTop w:val="0"/>
          <w:marBottom w:val="0"/>
          <w:divBdr>
            <w:top w:val="none" w:sz="0" w:space="0" w:color="auto"/>
            <w:left w:val="none" w:sz="0" w:space="0" w:color="auto"/>
            <w:bottom w:val="none" w:sz="0" w:space="0" w:color="auto"/>
            <w:right w:val="none" w:sz="0" w:space="0" w:color="auto"/>
          </w:divBdr>
          <w:divsChild>
            <w:div w:id="418327632">
              <w:marLeft w:val="0"/>
              <w:marRight w:val="0"/>
              <w:marTop w:val="0"/>
              <w:marBottom w:val="0"/>
              <w:divBdr>
                <w:top w:val="none" w:sz="0" w:space="0" w:color="auto"/>
                <w:left w:val="none" w:sz="0" w:space="0" w:color="auto"/>
                <w:bottom w:val="none" w:sz="0" w:space="0" w:color="auto"/>
                <w:right w:val="none" w:sz="0" w:space="0" w:color="auto"/>
              </w:divBdr>
              <w:divsChild>
                <w:div w:id="1973636509">
                  <w:marLeft w:val="0"/>
                  <w:marRight w:val="0"/>
                  <w:marTop w:val="0"/>
                  <w:marBottom w:val="0"/>
                  <w:divBdr>
                    <w:top w:val="none" w:sz="0" w:space="0" w:color="auto"/>
                    <w:left w:val="none" w:sz="0" w:space="0" w:color="auto"/>
                    <w:bottom w:val="none" w:sz="0" w:space="0" w:color="auto"/>
                    <w:right w:val="none" w:sz="0" w:space="0" w:color="auto"/>
                  </w:divBdr>
                  <w:divsChild>
                    <w:div w:id="1269125022">
                      <w:marLeft w:val="0"/>
                      <w:marRight w:val="0"/>
                      <w:marTop w:val="0"/>
                      <w:marBottom w:val="0"/>
                      <w:divBdr>
                        <w:top w:val="none" w:sz="0" w:space="0" w:color="auto"/>
                        <w:left w:val="none" w:sz="0" w:space="0" w:color="auto"/>
                        <w:bottom w:val="none" w:sz="0" w:space="0" w:color="auto"/>
                        <w:right w:val="none" w:sz="0" w:space="0" w:color="auto"/>
                      </w:divBdr>
                      <w:divsChild>
                        <w:div w:id="449319752">
                          <w:marLeft w:val="340"/>
                          <w:marRight w:val="0"/>
                          <w:marTop w:val="300"/>
                          <w:marBottom w:val="120"/>
                          <w:divBdr>
                            <w:top w:val="none" w:sz="0" w:space="0" w:color="auto"/>
                            <w:left w:val="none" w:sz="0" w:space="0" w:color="auto"/>
                            <w:bottom w:val="none" w:sz="0" w:space="0" w:color="auto"/>
                            <w:right w:val="none" w:sz="0" w:space="0" w:color="auto"/>
                          </w:divBdr>
                          <w:divsChild>
                            <w:div w:id="931545694">
                              <w:marLeft w:val="0"/>
                              <w:marRight w:val="0"/>
                              <w:marTop w:val="0"/>
                              <w:marBottom w:val="0"/>
                              <w:divBdr>
                                <w:top w:val="none" w:sz="0" w:space="0" w:color="auto"/>
                                <w:left w:val="none" w:sz="0" w:space="0" w:color="auto"/>
                                <w:bottom w:val="none" w:sz="0" w:space="0" w:color="auto"/>
                                <w:right w:val="none" w:sz="0" w:space="0" w:color="auto"/>
                              </w:divBdr>
                              <w:divsChild>
                                <w:div w:id="46061461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0852493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5985201">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691969">
      <w:bodyDiv w:val="1"/>
      <w:marLeft w:val="0"/>
      <w:marRight w:val="0"/>
      <w:marTop w:val="0"/>
      <w:marBottom w:val="0"/>
      <w:divBdr>
        <w:top w:val="none" w:sz="0" w:space="0" w:color="auto"/>
        <w:left w:val="none" w:sz="0" w:space="0" w:color="auto"/>
        <w:bottom w:val="none" w:sz="0" w:space="0" w:color="auto"/>
        <w:right w:val="none" w:sz="0" w:space="0" w:color="auto"/>
      </w:divBdr>
      <w:divsChild>
        <w:div w:id="1093547679">
          <w:marLeft w:val="0"/>
          <w:marRight w:val="0"/>
          <w:marTop w:val="0"/>
          <w:marBottom w:val="0"/>
          <w:divBdr>
            <w:top w:val="none" w:sz="0" w:space="0" w:color="auto"/>
            <w:left w:val="none" w:sz="0" w:space="0" w:color="auto"/>
            <w:bottom w:val="none" w:sz="0" w:space="0" w:color="auto"/>
            <w:right w:val="none" w:sz="0" w:space="0" w:color="auto"/>
          </w:divBdr>
          <w:divsChild>
            <w:div w:id="707532179">
              <w:marLeft w:val="0"/>
              <w:marRight w:val="0"/>
              <w:marTop w:val="0"/>
              <w:marBottom w:val="0"/>
              <w:divBdr>
                <w:top w:val="none" w:sz="0" w:space="0" w:color="auto"/>
                <w:left w:val="none" w:sz="0" w:space="0" w:color="auto"/>
                <w:bottom w:val="none" w:sz="0" w:space="0" w:color="auto"/>
                <w:right w:val="none" w:sz="0" w:space="0" w:color="auto"/>
              </w:divBdr>
              <w:divsChild>
                <w:div w:id="221913825">
                  <w:marLeft w:val="0"/>
                  <w:marRight w:val="0"/>
                  <w:marTop w:val="0"/>
                  <w:marBottom w:val="0"/>
                  <w:divBdr>
                    <w:top w:val="none" w:sz="0" w:space="0" w:color="auto"/>
                    <w:left w:val="none" w:sz="0" w:space="0" w:color="auto"/>
                    <w:bottom w:val="none" w:sz="0" w:space="0" w:color="auto"/>
                    <w:right w:val="none" w:sz="0" w:space="0" w:color="auto"/>
                  </w:divBdr>
                  <w:divsChild>
                    <w:div w:id="75715557">
                      <w:marLeft w:val="0"/>
                      <w:marRight w:val="0"/>
                      <w:marTop w:val="0"/>
                      <w:marBottom w:val="0"/>
                      <w:divBdr>
                        <w:top w:val="none" w:sz="0" w:space="0" w:color="auto"/>
                        <w:left w:val="none" w:sz="0" w:space="0" w:color="auto"/>
                        <w:bottom w:val="none" w:sz="0" w:space="0" w:color="auto"/>
                        <w:right w:val="none" w:sz="0" w:space="0" w:color="auto"/>
                      </w:divBdr>
                      <w:divsChild>
                        <w:div w:id="509301546">
                          <w:marLeft w:val="340"/>
                          <w:marRight w:val="0"/>
                          <w:marTop w:val="300"/>
                          <w:marBottom w:val="120"/>
                          <w:divBdr>
                            <w:top w:val="none" w:sz="0" w:space="0" w:color="auto"/>
                            <w:left w:val="none" w:sz="0" w:space="0" w:color="auto"/>
                            <w:bottom w:val="none" w:sz="0" w:space="0" w:color="auto"/>
                            <w:right w:val="none" w:sz="0" w:space="0" w:color="auto"/>
                          </w:divBdr>
                          <w:divsChild>
                            <w:div w:id="492723881">
                              <w:marLeft w:val="0"/>
                              <w:marRight w:val="0"/>
                              <w:marTop w:val="0"/>
                              <w:marBottom w:val="0"/>
                              <w:divBdr>
                                <w:top w:val="none" w:sz="0" w:space="0" w:color="auto"/>
                                <w:left w:val="none" w:sz="0" w:space="0" w:color="auto"/>
                                <w:bottom w:val="none" w:sz="0" w:space="0" w:color="auto"/>
                                <w:right w:val="none" w:sz="0" w:space="0" w:color="auto"/>
                              </w:divBdr>
                              <w:divsChild>
                                <w:div w:id="105219150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7406432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437351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68730281">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416370009">
                                                  <w:blockQuote w:val="1"/>
                                                  <w:marLeft w:val="340"/>
                                                  <w:marRight w:val="0"/>
                                                  <w:marTop w:val="80"/>
                                                  <w:marBottom w:val="80"/>
                                                  <w:divBdr>
                                                    <w:top w:val="none" w:sz="0" w:space="0" w:color="auto"/>
                                                    <w:left w:val="none" w:sz="0" w:space="0" w:color="auto"/>
                                                    <w:bottom w:val="none" w:sz="0" w:space="0" w:color="auto"/>
                                                    <w:right w:val="none" w:sz="0" w:space="0" w:color="auto"/>
                                                  </w:divBdr>
                                                </w:div>
                                                <w:div w:id="1589996536">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913891">
      <w:bodyDiv w:val="1"/>
      <w:marLeft w:val="0"/>
      <w:marRight w:val="0"/>
      <w:marTop w:val="0"/>
      <w:marBottom w:val="0"/>
      <w:divBdr>
        <w:top w:val="none" w:sz="0" w:space="0" w:color="auto"/>
        <w:left w:val="none" w:sz="0" w:space="0" w:color="auto"/>
        <w:bottom w:val="none" w:sz="0" w:space="0" w:color="auto"/>
        <w:right w:val="none" w:sz="0" w:space="0" w:color="auto"/>
      </w:divBdr>
      <w:divsChild>
        <w:div w:id="2004967544">
          <w:marLeft w:val="0"/>
          <w:marRight w:val="0"/>
          <w:marTop w:val="0"/>
          <w:marBottom w:val="0"/>
          <w:divBdr>
            <w:top w:val="none" w:sz="0" w:space="0" w:color="auto"/>
            <w:left w:val="none" w:sz="0" w:space="0" w:color="auto"/>
            <w:bottom w:val="none" w:sz="0" w:space="0" w:color="auto"/>
            <w:right w:val="none" w:sz="0" w:space="0" w:color="auto"/>
          </w:divBdr>
          <w:divsChild>
            <w:div w:id="1355887656">
              <w:marLeft w:val="0"/>
              <w:marRight w:val="0"/>
              <w:marTop w:val="0"/>
              <w:marBottom w:val="0"/>
              <w:divBdr>
                <w:top w:val="none" w:sz="0" w:space="0" w:color="auto"/>
                <w:left w:val="none" w:sz="0" w:space="0" w:color="auto"/>
                <w:bottom w:val="none" w:sz="0" w:space="0" w:color="auto"/>
                <w:right w:val="none" w:sz="0" w:space="0" w:color="auto"/>
              </w:divBdr>
              <w:divsChild>
                <w:div w:id="351732068">
                  <w:marLeft w:val="0"/>
                  <w:marRight w:val="0"/>
                  <w:marTop w:val="0"/>
                  <w:marBottom w:val="0"/>
                  <w:divBdr>
                    <w:top w:val="none" w:sz="0" w:space="0" w:color="auto"/>
                    <w:left w:val="none" w:sz="0" w:space="0" w:color="auto"/>
                    <w:bottom w:val="none" w:sz="0" w:space="0" w:color="auto"/>
                    <w:right w:val="none" w:sz="0" w:space="0" w:color="auto"/>
                  </w:divBdr>
                  <w:divsChild>
                    <w:div w:id="1944536249">
                      <w:marLeft w:val="0"/>
                      <w:marRight w:val="0"/>
                      <w:marTop w:val="0"/>
                      <w:marBottom w:val="0"/>
                      <w:divBdr>
                        <w:top w:val="none" w:sz="0" w:space="0" w:color="auto"/>
                        <w:left w:val="none" w:sz="0" w:space="0" w:color="auto"/>
                        <w:bottom w:val="none" w:sz="0" w:space="0" w:color="auto"/>
                        <w:right w:val="none" w:sz="0" w:space="0" w:color="auto"/>
                      </w:divBdr>
                      <w:divsChild>
                        <w:div w:id="1591695256">
                          <w:marLeft w:val="340"/>
                          <w:marRight w:val="0"/>
                          <w:marTop w:val="300"/>
                          <w:marBottom w:val="120"/>
                          <w:divBdr>
                            <w:top w:val="none" w:sz="0" w:space="0" w:color="auto"/>
                            <w:left w:val="none" w:sz="0" w:space="0" w:color="auto"/>
                            <w:bottom w:val="none" w:sz="0" w:space="0" w:color="auto"/>
                            <w:right w:val="none" w:sz="0" w:space="0" w:color="auto"/>
                          </w:divBdr>
                          <w:divsChild>
                            <w:div w:id="1483155901">
                              <w:marLeft w:val="0"/>
                              <w:marRight w:val="0"/>
                              <w:marTop w:val="0"/>
                              <w:marBottom w:val="0"/>
                              <w:divBdr>
                                <w:top w:val="none" w:sz="0" w:space="0" w:color="auto"/>
                                <w:left w:val="none" w:sz="0" w:space="0" w:color="auto"/>
                                <w:bottom w:val="none" w:sz="0" w:space="0" w:color="auto"/>
                                <w:right w:val="none" w:sz="0" w:space="0" w:color="auto"/>
                              </w:divBdr>
                              <w:divsChild>
                                <w:div w:id="152332214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4272011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5474328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432654">
      <w:bodyDiv w:val="1"/>
      <w:marLeft w:val="0"/>
      <w:marRight w:val="0"/>
      <w:marTop w:val="0"/>
      <w:marBottom w:val="0"/>
      <w:divBdr>
        <w:top w:val="none" w:sz="0" w:space="0" w:color="auto"/>
        <w:left w:val="none" w:sz="0" w:space="0" w:color="auto"/>
        <w:bottom w:val="none" w:sz="0" w:space="0" w:color="auto"/>
        <w:right w:val="none" w:sz="0" w:space="0" w:color="auto"/>
      </w:divBdr>
      <w:divsChild>
        <w:div w:id="649789721">
          <w:marLeft w:val="0"/>
          <w:marRight w:val="0"/>
          <w:marTop w:val="0"/>
          <w:marBottom w:val="0"/>
          <w:divBdr>
            <w:top w:val="none" w:sz="0" w:space="0" w:color="auto"/>
            <w:left w:val="none" w:sz="0" w:space="0" w:color="auto"/>
            <w:bottom w:val="none" w:sz="0" w:space="0" w:color="auto"/>
            <w:right w:val="none" w:sz="0" w:space="0" w:color="auto"/>
          </w:divBdr>
          <w:divsChild>
            <w:div w:id="278075908">
              <w:marLeft w:val="0"/>
              <w:marRight w:val="0"/>
              <w:marTop w:val="0"/>
              <w:marBottom w:val="0"/>
              <w:divBdr>
                <w:top w:val="none" w:sz="0" w:space="0" w:color="auto"/>
                <w:left w:val="none" w:sz="0" w:space="0" w:color="auto"/>
                <w:bottom w:val="none" w:sz="0" w:space="0" w:color="auto"/>
                <w:right w:val="none" w:sz="0" w:space="0" w:color="auto"/>
              </w:divBdr>
              <w:divsChild>
                <w:div w:id="1779713119">
                  <w:marLeft w:val="0"/>
                  <w:marRight w:val="0"/>
                  <w:marTop w:val="0"/>
                  <w:marBottom w:val="0"/>
                  <w:divBdr>
                    <w:top w:val="none" w:sz="0" w:space="0" w:color="auto"/>
                    <w:left w:val="none" w:sz="0" w:space="0" w:color="auto"/>
                    <w:bottom w:val="none" w:sz="0" w:space="0" w:color="auto"/>
                    <w:right w:val="none" w:sz="0" w:space="0" w:color="auto"/>
                  </w:divBdr>
                  <w:divsChild>
                    <w:div w:id="1246110271">
                      <w:marLeft w:val="0"/>
                      <w:marRight w:val="0"/>
                      <w:marTop w:val="0"/>
                      <w:marBottom w:val="0"/>
                      <w:divBdr>
                        <w:top w:val="none" w:sz="0" w:space="0" w:color="auto"/>
                        <w:left w:val="none" w:sz="0" w:space="0" w:color="auto"/>
                        <w:bottom w:val="none" w:sz="0" w:space="0" w:color="auto"/>
                        <w:right w:val="none" w:sz="0" w:space="0" w:color="auto"/>
                      </w:divBdr>
                      <w:divsChild>
                        <w:div w:id="1015153626">
                          <w:marLeft w:val="340"/>
                          <w:marRight w:val="0"/>
                          <w:marTop w:val="300"/>
                          <w:marBottom w:val="120"/>
                          <w:divBdr>
                            <w:top w:val="none" w:sz="0" w:space="0" w:color="auto"/>
                            <w:left w:val="none" w:sz="0" w:space="0" w:color="auto"/>
                            <w:bottom w:val="none" w:sz="0" w:space="0" w:color="auto"/>
                            <w:right w:val="none" w:sz="0" w:space="0" w:color="auto"/>
                          </w:divBdr>
                          <w:divsChild>
                            <w:div w:id="2013297734">
                              <w:marLeft w:val="0"/>
                              <w:marRight w:val="0"/>
                              <w:marTop w:val="0"/>
                              <w:marBottom w:val="0"/>
                              <w:divBdr>
                                <w:top w:val="none" w:sz="0" w:space="0" w:color="auto"/>
                                <w:left w:val="none" w:sz="0" w:space="0" w:color="auto"/>
                                <w:bottom w:val="none" w:sz="0" w:space="0" w:color="auto"/>
                                <w:right w:val="none" w:sz="0" w:space="0" w:color="auto"/>
                              </w:divBdr>
                              <w:divsChild>
                                <w:div w:id="61979783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5036667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7565751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57871792">
                                              <w:blockQuote w:val="1"/>
                                              <w:marLeft w:val="0"/>
                                              <w:marRight w:val="0"/>
                                              <w:marTop w:val="120"/>
                                              <w:marBottom w:val="120"/>
                                              <w:divBdr>
                                                <w:top w:val="none" w:sz="0" w:space="0" w:color="auto"/>
                                                <w:left w:val="none" w:sz="0" w:space="0" w:color="auto"/>
                                                <w:bottom w:val="none" w:sz="0" w:space="0" w:color="auto"/>
                                                <w:right w:val="none" w:sz="0" w:space="0" w:color="auto"/>
                                              </w:divBdr>
                                            </w:div>
                                            <w:div w:id="1348096380">
                                              <w:blockQuote w:val="1"/>
                                              <w:marLeft w:val="600"/>
                                              <w:marRight w:val="0"/>
                                              <w:marTop w:val="120"/>
                                              <w:marBottom w:val="120"/>
                                              <w:divBdr>
                                                <w:top w:val="none" w:sz="0" w:space="0" w:color="auto"/>
                                                <w:left w:val="none" w:sz="0" w:space="0" w:color="auto"/>
                                                <w:bottom w:val="none" w:sz="0" w:space="0" w:color="auto"/>
                                                <w:right w:val="none" w:sz="0" w:space="0" w:color="auto"/>
                                              </w:divBdr>
                                            </w:div>
                                            <w:div w:id="433132846">
                                              <w:blockQuote w:val="1"/>
                                              <w:marLeft w:val="600"/>
                                              <w:marRight w:val="0"/>
                                              <w:marTop w:val="120"/>
                                              <w:marBottom w:val="120"/>
                                              <w:divBdr>
                                                <w:top w:val="none" w:sz="0" w:space="0" w:color="auto"/>
                                                <w:left w:val="none" w:sz="0" w:space="0" w:color="auto"/>
                                                <w:bottom w:val="none" w:sz="0" w:space="0" w:color="auto"/>
                                                <w:right w:val="none" w:sz="0" w:space="0" w:color="auto"/>
                                              </w:divBdr>
                                            </w:div>
                                            <w:div w:id="41253295">
                                              <w:blockQuote w:val="1"/>
                                              <w:marLeft w:val="600"/>
                                              <w:marRight w:val="0"/>
                                              <w:marTop w:val="120"/>
                                              <w:marBottom w:val="120"/>
                                              <w:divBdr>
                                                <w:top w:val="none" w:sz="0" w:space="0" w:color="auto"/>
                                                <w:left w:val="none" w:sz="0" w:space="0" w:color="auto"/>
                                                <w:bottom w:val="none" w:sz="0" w:space="0" w:color="auto"/>
                                                <w:right w:val="none" w:sz="0" w:space="0" w:color="auto"/>
                                              </w:divBdr>
                                            </w:div>
                                            <w:div w:id="85337678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31309722">
                                                  <w:blockQuote w:val="1"/>
                                                  <w:marLeft w:val="600"/>
                                                  <w:marRight w:val="0"/>
                                                  <w:marTop w:val="120"/>
                                                  <w:marBottom w:val="120"/>
                                                  <w:divBdr>
                                                    <w:top w:val="none" w:sz="0" w:space="0" w:color="auto"/>
                                                    <w:left w:val="none" w:sz="0" w:space="0" w:color="auto"/>
                                                    <w:bottom w:val="none" w:sz="0" w:space="0" w:color="auto"/>
                                                    <w:right w:val="none" w:sz="0" w:space="0" w:color="auto"/>
                                                  </w:divBdr>
                                                </w:div>
                                                <w:div w:id="201472073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40414301">
                                              <w:blockQuote w:val="1"/>
                                              <w:marLeft w:val="600"/>
                                              <w:marRight w:val="0"/>
                                              <w:marTop w:val="120"/>
                                              <w:marBottom w:val="120"/>
                                              <w:divBdr>
                                                <w:top w:val="none" w:sz="0" w:space="0" w:color="auto"/>
                                                <w:left w:val="none" w:sz="0" w:space="0" w:color="auto"/>
                                                <w:bottom w:val="none" w:sz="0" w:space="0" w:color="auto"/>
                                                <w:right w:val="none" w:sz="0" w:space="0" w:color="auto"/>
                                              </w:divBdr>
                                            </w:div>
                                            <w:div w:id="200253732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4161341">
      <w:bodyDiv w:val="1"/>
      <w:marLeft w:val="0"/>
      <w:marRight w:val="0"/>
      <w:marTop w:val="0"/>
      <w:marBottom w:val="0"/>
      <w:divBdr>
        <w:top w:val="none" w:sz="0" w:space="0" w:color="auto"/>
        <w:left w:val="none" w:sz="0" w:space="0" w:color="auto"/>
        <w:bottom w:val="none" w:sz="0" w:space="0" w:color="auto"/>
        <w:right w:val="none" w:sz="0" w:space="0" w:color="auto"/>
      </w:divBdr>
      <w:divsChild>
        <w:div w:id="879974527">
          <w:marLeft w:val="0"/>
          <w:marRight w:val="0"/>
          <w:marTop w:val="0"/>
          <w:marBottom w:val="0"/>
          <w:divBdr>
            <w:top w:val="none" w:sz="0" w:space="0" w:color="auto"/>
            <w:left w:val="none" w:sz="0" w:space="0" w:color="auto"/>
            <w:bottom w:val="none" w:sz="0" w:space="0" w:color="auto"/>
            <w:right w:val="none" w:sz="0" w:space="0" w:color="auto"/>
          </w:divBdr>
          <w:divsChild>
            <w:div w:id="1407997873">
              <w:marLeft w:val="0"/>
              <w:marRight w:val="0"/>
              <w:marTop w:val="0"/>
              <w:marBottom w:val="0"/>
              <w:divBdr>
                <w:top w:val="none" w:sz="0" w:space="0" w:color="auto"/>
                <w:left w:val="none" w:sz="0" w:space="0" w:color="auto"/>
                <w:bottom w:val="none" w:sz="0" w:space="0" w:color="auto"/>
                <w:right w:val="none" w:sz="0" w:space="0" w:color="auto"/>
              </w:divBdr>
              <w:divsChild>
                <w:div w:id="1076901677">
                  <w:marLeft w:val="0"/>
                  <w:marRight w:val="0"/>
                  <w:marTop w:val="0"/>
                  <w:marBottom w:val="0"/>
                  <w:divBdr>
                    <w:top w:val="none" w:sz="0" w:space="0" w:color="auto"/>
                    <w:left w:val="none" w:sz="0" w:space="0" w:color="auto"/>
                    <w:bottom w:val="none" w:sz="0" w:space="0" w:color="auto"/>
                    <w:right w:val="none" w:sz="0" w:space="0" w:color="auto"/>
                  </w:divBdr>
                  <w:divsChild>
                    <w:div w:id="216624261">
                      <w:marLeft w:val="0"/>
                      <w:marRight w:val="0"/>
                      <w:marTop w:val="0"/>
                      <w:marBottom w:val="0"/>
                      <w:divBdr>
                        <w:top w:val="none" w:sz="0" w:space="0" w:color="auto"/>
                        <w:left w:val="none" w:sz="0" w:space="0" w:color="auto"/>
                        <w:bottom w:val="none" w:sz="0" w:space="0" w:color="auto"/>
                        <w:right w:val="none" w:sz="0" w:space="0" w:color="auto"/>
                      </w:divBdr>
                      <w:divsChild>
                        <w:div w:id="63987502">
                          <w:marLeft w:val="340"/>
                          <w:marRight w:val="0"/>
                          <w:marTop w:val="300"/>
                          <w:marBottom w:val="120"/>
                          <w:divBdr>
                            <w:top w:val="none" w:sz="0" w:space="0" w:color="auto"/>
                            <w:left w:val="none" w:sz="0" w:space="0" w:color="auto"/>
                            <w:bottom w:val="none" w:sz="0" w:space="0" w:color="auto"/>
                            <w:right w:val="none" w:sz="0" w:space="0" w:color="auto"/>
                          </w:divBdr>
                          <w:divsChild>
                            <w:div w:id="84502041">
                              <w:marLeft w:val="0"/>
                              <w:marRight w:val="0"/>
                              <w:marTop w:val="0"/>
                              <w:marBottom w:val="0"/>
                              <w:divBdr>
                                <w:top w:val="none" w:sz="0" w:space="0" w:color="auto"/>
                                <w:left w:val="none" w:sz="0" w:space="0" w:color="auto"/>
                                <w:bottom w:val="none" w:sz="0" w:space="0" w:color="auto"/>
                                <w:right w:val="none" w:sz="0" w:space="0" w:color="auto"/>
                              </w:divBdr>
                              <w:divsChild>
                                <w:div w:id="53523639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6007378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5083803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72226479">
                                              <w:blockQuote w:val="1"/>
                                              <w:marLeft w:val="600"/>
                                              <w:marRight w:val="0"/>
                                              <w:marTop w:val="120"/>
                                              <w:marBottom w:val="120"/>
                                              <w:divBdr>
                                                <w:top w:val="none" w:sz="0" w:space="0" w:color="auto"/>
                                                <w:left w:val="none" w:sz="0" w:space="0" w:color="auto"/>
                                                <w:bottom w:val="none" w:sz="0" w:space="0" w:color="auto"/>
                                                <w:right w:val="none" w:sz="0" w:space="0" w:color="auto"/>
                                              </w:divBdr>
                                            </w:div>
                                            <w:div w:id="153402942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48648045">
                                                  <w:blockQuote w:val="1"/>
                                                  <w:marLeft w:val="600"/>
                                                  <w:marRight w:val="0"/>
                                                  <w:marTop w:val="120"/>
                                                  <w:marBottom w:val="120"/>
                                                  <w:divBdr>
                                                    <w:top w:val="none" w:sz="0" w:space="0" w:color="auto"/>
                                                    <w:left w:val="none" w:sz="0" w:space="0" w:color="auto"/>
                                                    <w:bottom w:val="none" w:sz="0" w:space="0" w:color="auto"/>
                                                    <w:right w:val="none" w:sz="0" w:space="0" w:color="auto"/>
                                                  </w:divBdr>
                                                </w:div>
                                                <w:div w:id="8226899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793165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7411542">
      <w:bodyDiv w:val="1"/>
      <w:marLeft w:val="0"/>
      <w:marRight w:val="0"/>
      <w:marTop w:val="0"/>
      <w:marBottom w:val="0"/>
      <w:divBdr>
        <w:top w:val="none" w:sz="0" w:space="0" w:color="auto"/>
        <w:left w:val="none" w:sz="0" w:space="0" w:color="auto"/>
        <w:bottom w:val="none" w:sz="0" w:space="0" w:color="auto"/>
        <w:right w:val="none" w:sz="0" w:space="0" w:color="auto"/>
      </w:divBdr>
      <w:divsChild>
        <w:div w:id="966009962">
          <w:marLeft w:val="0"/>
          <w:marRight w:val="0"/>
          <w:marTop w:val="0"/>
          <w:marBottom w:val="0"/>
          <w:divBdr>
            <w:top w:val="none" w:sz="0" w:space="0" w:color="auto"/>
            <w:left w:val="none" w:sz="0" w:space="0" w:color="auto"/>
            <w:bottom w:val="none" w:sz="0" w:space="0" w:color="auto"/>
            <w:right w:val="none" w:sz="0" w:space="0" w:color="auto"/>
          </w:divBdr>
          <w:divsChild>
            <w:div w:id="1878227915">
              <w:marLeft w:val="0"/>
              <w:marRight w:val="0"/>
              <w:marTop w:val="0"/>
              <w:marBottom w:val="0"/>
              <w:divBdr>
                <w:top w:val="none" w:sz="0" w:space="0" w:color="auto"/>
                <w:left w:val="none" w:sz="0" w:space="0" w:color="auto"/>
                <w:bottom w:val="none" w:sz="0" w:space="0" w:color="auto"/>
                <w:right w:val="none" w:sz="0" w:space="0" w:color="auto"/>
              </w:divBdr>
              <w:divsChild>
                <w:div w:id="9919941">
                  <w:marLeft w:val="0"/>
                  <w:marRight w:val="0"/>
                  <w:marTop w:val="0"/>
                  <w:marBottom w:val="0"/>
                  <w:divBdr>
                    <w:top w:val="none" w:sz="0" w:space="0" w:color="auto"/>
                    <w:left w:val="none" w:sz="0" w:space="0" w:color="auto"/>
                    <w:bottom w:val="none" w:sz="0" w:space="0" w:color="auto"/>
                    <w:right w:val="none" w:sz="0" w:space="0" w:color="auto"/>
                  </w:divBdr>
                  <w:divsChild>
                    <w:div w:id="1279141193">
                      <w:marLeft w:val="0"/>
                      <w:marRight w:val="0"/>
                      <w:marTop w:val="0"/>
                      <w:marBottom w:val="0"/>
                      <w:divBdr>
                        <w:top w:val="none" w:sz="0" w:space="0" w:color="auto"/>
                        <w:left w:val="none" w:sz="0" w:space="0" w:color="auto"/>
                        <w:bottom w:val="none" w:sz="0" w:space="0" w:color="auto"/>
                        <w:right w:val="none" w:sz="0" w:space="0" w:color="auto"/>
                      </w:divBdr>
                      <w:divsChild>
                        <w:div w:id="536625502">
                          <w:marLeft w:val="340"/>
                          <w:marRight w:val="0"/>
                          <w:marTop w:val="300"/>
                          <w:marBottom w:val="120"/>
                          <w:divBdr>
                            <w:top w:val="none" w:sz="0" w:space="0" w:color="auto"/>
                            <w:left w:val="none" w:sz="0" w:space="0" w:color="auto"/>
                            <w:bottom w:val="none" w:sz="0" w:space="0" w:color="auto"/>
                            <w:right w:val="none" w:sz="0" w:space="0" w:color="auto"/>
                          </w:divBdr>
                          <w:divsChild>
                            <w:div w:id="1774863032">
                              <w:marLeft w:val="0"/>
                              <w:marRight w:val="0"/>
                              <w:marTop w:val="0"/>
                              <w:marBottom w:val="0"/>
                              <w:divBdr>
                                <w:top w:val="none" w:sz="0" w:space="0" w:color="auto"/>
                                <w:left w:val="none" w:sz="0" w:space="0" w:color="auto"/>
                                <w:bottom w:val="none" w:sz="0" w:space="0" w:color="auto"/>
                                <w:right w:val="none" w:sz="0" w:space="0" w:color="auto"/>
                              </w:divBdr>
                              <w:divsChild>
                                <w:div w:id="21404697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4529485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1205258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7070">
      <w:bodyDiv w:val="1"/>
      <w:marLeft w:val="0"/>
      <w:marRight w:val="0"/>
      <w:marTop w:val="0"/>
      <w:marBottom w:val="0"/>
      <w:divBdr>
        <w:top w:val="none" w:sz="0" w:space="0" w:color="auto"/>
        <w:left w:val="none" w:sz="0" w:space="0" w:color="auto"/>
        <w:bottom w:val="none" w:sz="0" w:space="0" w:color="auto"/>
        <w:right w:val="none" w:sz="0" w:space="0" w:color="auto"/>
      </w:divBdr>
      <w:divsChild>
        <w:div w:id="77605745">
          <w:marLeft w:val="0"/>
          <w:marRight w:val="0"/>
          <w:marTop w:val="0"/>
          <w:marBottom w:val="0"/>
          <w:divBdr>
            <w:top w:val="none" w:sz="0" w:space="0" w:color="auto"/>
            <w:left w:val="none" w:sz="0" w:space="0" w:color="auto"/>
            <w:bottom w:val="none" w:sz="0" w:space="0" w:color="auto"/>
            <w:right w:val="none" w:sz="0" w:space="0" w:color="auto"/>
          </w:divBdr>
          <w:divsChild>
            <w:div w:id="1298297033">
              <w:marLeft w:val="0"/>
              <w:marRight w:val="0"/>
              <w:marTop w:val="0"/>
              <w:marBottom w:val="0"/>
              <w:divBdr>
                <w:top w:val="none" w:sz="0" w:space="0" w:color="auto"/>
                <w:left w:val="none" w:sz="0" w:space="0" w:color="auto"/>
                <w:bottom w:val="none" w:sz="0" w:space="0" w:color="auto"/>
                <w:right w:val="none" w:sz="0" w:space="0" w:color="auto"/>
              </w:divBdr>
              <w:divsChild>
                <w:div w:id="1859082472">
                  <w:marLeft w:val="0"/>
                  <w:marRight w:val="0"/>
                  <w:marTop w:val="0"/>
                  <w:marBottom w:val="0"/>
                  <w:divBdr>
                    <w:top w:val="none" w:sz="0" w:space="0" w:color="auto"/>
                    <w:left w:val="none" w:sz="0" w:space="0" w:color="auto"/>
                    <w:bottom w:val="none" w:sz="0" w:space="0" w:color="auto"/>
                    <w:right w:val="none" w:sz="0" w:space="0" w:color="auto"/>
                  </w:divBdr>
                  <w:divsChild>
                    <w:div w:id="522983178">
                      <w:marLeft w:val="0"/>
                      <w:marRight w:val="0"/>
                      <w:marTop w:val="0"/>
                      <w:marBottom w:val="0"/>
                      <w:divBdr>
                        <w:top w:val="none" w:sz="0" w:space="0" w:color="auto"/>
                        <w:left w:val="none" w:sz="0" w:space="0" w:color="auto"/>
                        <w:bottom w:val="none" w:sz="0" w:space="0" w:color="auto"/>
                        <w:right w:val="none" w:sz="0" w:space="0" w:color="auto"/>
                      </w:divBdr>
                      <w:divsChild>
                        <w:div w:id="1727335709">
                          <w:marLeft w:val="340"/>
                          <w:marRight w:val="0"/>
                          <w:marTop w:val="300"/>
                          <w:marBottom w:val="120"/>
                          <w:divBdr>
                            <w:top w:val="none" w:sz="0" w:space="0" w:color="auto"/>
                            <w:left w:val="none" w:sz="0" w:space="0" w:color="auto"/>
                            <w:bottom w:val="none" w:sz="0" w:space="0" w:color="auto"/>
                            <w:right w:val="none" w:sz="0" w:space="0" w:color="auto"/>
                          </w:divBdr>
                          <w:divsChild>
                            <w:div w:id="538318375">
                              <w:marLeft w:val="0"/>
                              <w:marRight w:val="0"/>
                              <w:marTop w:val="0"/>
                              <w:marBottom w:val="0"/>
                              <w:divBdr>
                                <w:top w:val="none" w:sz="0" w:space="0" w:color="auto"/>
                                <w:left w:val="none" w:sz="0" w:space="0" w:color="auto"/>
                                <w:bottom w:val="none" w:sz="0" w:space="0" w:color="auto"/>
                                <w:right w:val="none" w:sz="0" w:space="0" w:color="auto"/>
                              </w:divBdr>
                              <w:divsChild>
                                <w:div w:id="154798295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9281699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9017082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883724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90595672">
                                                  <w:blockQuote w:val="1"/>
                                                  <w:marLeft w:val="600"/>
                                                  <w:marRight w:val="0"/>
                                                  <w:marTop w:val="120"/>
                                                  <w:marBottom w:val="120"/>
                                                  <w:divBdr>
                                                    <w:top w:val="none" w:sz="0" w:space="0" w:color="auto"/>
                                                    <w:left w:val="none" w:sz="0" w:space="0" w:color="auto"/>
                                                    <w:bottom w:val="none" w:sz="0" w:space="0" w:color="auto"/>
                                                    <w:right w:val="none" w:sz="0" w:space="0" w:color="auto"/>
                                                  </w:divBdr>
                                                </w:div>
                                                <w:div w:id="854925392">
                                                  <w:blockQuote w:val="1"/>
                                                  <w:marLeft w:val="600"/>
                                                  <w:marRight w:val="0"/>
                                                  <w:marTop w:val="120"/>
                                                  <w:marBottom w:val="120"/>
                                                  <w:divBdr>
                                                    <w:top w:val="none" w:sz="0" w:space="0" w:color="auto"/>
                                                    <w:left w:val="none" w:sz="0" w:space="0" w:color="auto"/>
                                                    <w:bottom w:val="none" w:sz="0" w:space="0" w:color="auto"/>
                                                    <w:right w:val="none" w:sz="0" w:space="0" w:color="auto"/>
                                                  </w:divBdr>
                                                </w:div>
                                                <w:div w:id="10017334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2926704">
      <w:bodyDiv w:val="1"/>
      <w:marLeft w:val="0"/>
      <w:marRight w:val="0"/>
      <w:marTop w:val="0"/>
      <w:marBottom w:val="0"/>
      <w:divBdr>
        <w:top w:val="none" w:sz="0" w:space="0" w:color="auto"/>
        <w:left w:val="none" w:sz="0" w:space="0" w:color="auto"/>
        <w:bottom w:val="none" w:sz="0" w:space="0" w:color="auto"/>
        <w:right w:val="none" w:sz="0" w:space="0" w:color="auto"/>
      </w:divBdr>
      <w:divsChild>
        <w:div w:id="497504292">
          <w:marLeft w:val="0"/>
          <w:marRight w:val="0"/>
          <w:marTop w:val="0"/>
          <w:marBottom w:val="0"/>
          <w:divBdr>
            <w:top w:val="none" w:sz="0" w:space="0" w:color="auto"/>
            <w:left w:val="none" w:sz="0" w:space="0" w:color="auto"/>
            <w:bottom w:val="none" w:sz="0" w:space="0" w:color="auto"/>
            <w:right w:val="none" w:sz="0" w:space="0" w:color="auto"/>
          </w:divBdr>
          <w:divsChild>
            <w:div w:id="1304391101">
              <w:marLeft w:val="0"/>
              <w:marRight w:val="0"/>
              <w:marTop w:val="0"/>
              <w:marBottom w:val="0"/>
              <w:divBdr>
                <w:top w:val="none" w:sz="0" w:space="0" w:color="auto"/>
                <w:left w:val="none" w:sz="0" w:space="0" w:color="auto"/>
                <w:bottom w:val="none" w:sz="0" w:space="0" w:color="auto"/>
                <w:right w:val="none" w:sz="0" w:space="0" w:color="auto"/>
              </w:divBdr>
              <w:divsChild>
                <w:div w:id="1147934523">
                  <w:marLeft w:val="0"/>
                  <w:marRight w:val="0"/>
                  <w:marTop w:val="0"/>
                  <w:marBottom w:val="0"/>
                  <w:divBdr>
                    <w:top w:val="none" w:sz="0" w:space="0" w:color="auto"/>
                    <w:left w:val="none" w:sz="0" w:space="0" w:color="auto"/>
                    <w:bottom w:val="none" w:sz="0" w:space="0" w:color="auto"/>
                    <w:right w:val="none" w:sz="0" w:space="0" w:color="auto"/>
                  </w:divBdr>
                  <w:divsChild>
                    <w:div w:id="1984046371">
                      <w:marLeft w:val="0"/>
                      <w:marRight w:val="0"/>
                      <w:marTop w:val="0"/>
                      <w:marBottom w:val="0"/>
                      <w:divBdr>
                        <w:top w:val="none" w:sz="0" w:space="0" w:color="auto"/>
                        <w:left w:val="none" w:sz="0" w:space="0" w:color="auto"/>
                        <w:bottom w:val="none" w:sz="0" w:space="0" w:color="auto"/>
                        <w:right w:val="none" w:sz="0" w:space="0" w:color="auto"/>
                      </w:divBdr>
                      <w:divsChild>
                        <w:div w:id="140192874">
                          <w:marLeft w:val="340"/>
                          <w:marRight w:val="0"/>
                          <w:marTop w:val="300"/>
                          <w:marBottom w:val="120"/>
                          <w:divBdr>
                            <w:top w:val="none" w:sz="0" w:space="0" w:color="auto"/>
                            <w:left w:val="none" w:sz="0" w:space="0" w:color="auto"/>
                            <w:bottom w:val="none" w:sz="0" w:space="0" w:color="auto"/>
                            <w:right w:val="none" w:sz="0" w:space="0" w:color="auto"/>
                          </w:divBdr>
                          <w:divsChild>
                            <w:div w:id="996344929">
                              <w:marLeft w:val="0"/>
                              <w:marRight w:val="0"/>
                              <w:marTop w:val="0"/>
                              <w:marBottom w:val="0"/>
                              <w:divBdr>
                                <w:top w:val="none" w:sz="0" w:space="0" w:color="auto"/>
                                <w:left w:val="none" w:sz="0" w:space="0" w:color="auto"/>
                                <w:bottom w:val="none" w:sz="0" w:space="0" w:color="auto"/>
                                <w:right w:val="none" w:sz="0" w:space="0" w:color="auto"/>
                              </w:divBdr>
                              <w:divsChild>
                                <w:div w:id="140804222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2219657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94408507">
                                          <w:marLeft w:val="0"/>
                                          <w:marRight w:val="0"/>
                                          <w:marTop w:val="200"/>
                                          <w:marBottom w:val="200"/>
                                          <w:divBdr>
                                            <w:top w:val="none" w:sz="0" w:space="0" w:color="auto"/>
                                            <w:left w:val="none" w:sz="0" w:space="0" w:color="auto"/>
                                            <w:bottom w:val="none" w:sz="0" w:space="0" w:color="auto"/>
                                            <w:right w:val="none" w:sz="0" w:space="0" w:color="auto"/>
                                          </w:divBdr>
                                        </w:div>
                                        <w:div w:id="169584089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74552572">
                                              <w:blockQuote w:val="1"/>
                                              <w:marLeft w:val="600"/>
                                              <w:marRight w:val="0"/>
                                              <w:marTop w:val="120"/>
                                              <w:marBottom w:val="120"/>
                                              <w:divBdr>
                                                <w:top w:val="none" w:sz="0" w:space="0" w:color="auto"/>
                                                <w:left w:val="none" w:sz="0" w:space="0" w:color="auto"/>
                                                <w:bottom w:val="none" w:sz="0" w:space="0" w:color="auto"/>
                                                <w:right w:val="none" w:sz="0" w:space="0" w:color="auto"/>
                                              </w:divBdr>
                                            </w:div>
                                            <w:div w:id="8981301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17409795">
                                                  <w:blockQuote w:val="1"/>
                                                  <w:marLeft w:val="600"/>
                                                  <w:marRight w:val="0"/>
                                                  <w:marTop w:val="120"/>
                                                  <w:marBottom w:val="120"/>
                                                  <w:divBdr>
                                                    <w:top w:val="none" w:sz="0" w:space="0" w:color="auto"/>
                                                    <w:left w:val="none" w:sz="0" w:space="0" w:color="auto"/>
                                                    <w:bottom w:val="none" w:sz="0" w:space="0" w:color="auto"/>
                                                    <w:right w:val="none" w:sz="0" w:space="0" w:color="auto"/>
                                                  </w:divBdr>
                                                </w:div>
                                                <w:div w:id="6256993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9170848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8490727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4280099">
      <w:bodyDiv w:val="1"/>
      <w:marLeft w:val="0"/>
      <w:marRight w:val="0"/>
      <w:marTop w:val="0"/>
      <w:marBottom w:val="0"/>
      <w:divBdr>
        <w:top w:val="none" w:sz="0" w:space="0" w:color="auto"/>
        <w:left w:val="none" w:sz="0" w:space="0" w:color="auto"/>
        <w:bottom w:val="none" w:sz="0" w:space="0" w:color="auto"/>
        <w:right w:val="none" w:sz="0" w:space="0" w:color="auto"/>
      </w:divBdr>
      <w:divsChild>
        <w:div w:id="401609066">
          <w:marLeft w:val="0"/>
          <w:marRight w:val="0"/>
          <w:marTop w:val="0"/>
          <w:marBottom w:val="0"/>
          <w:divBdr>
            <w:top w:val="none" w:sz="0" w:space="0" w:color="auto"/>
            <w:left w:val="none" w:sz="0" w:space="0" w:color="auto"/>
            <w:bottom w:val="none" w:sz="0" w:space="0" w:color="auto"/>
            <w:right w:val="none" w:sz="0" w:space="0" w:color="auto"/>
          </w:divBdr>
          <w:divsChild>
            <w:div w:id="579413739">
              <w:marLeft w:val="0"/>
              <w:marRight w:val="0"/>
              <w:marTop w:val="0"/>
              <w:marBottom w:val="0"/>
              <w:divBdr>
                <w:top w:val="none" w:sz="0" w:space="0" w:color="auto"/>
                <w:left w:val="none" w:sz="0" w:space="0" w:color="auto"/>
                <w:bottom w:val="none" w:sz="0" w:space="0" w:color="auto"/>
                <w:right w:val="none" w:sz="0" w:space="0" w:color="auto"/>
              </w:divBdr>
              <w:divsChild>
                <w:div w:id="1610048466">
                  <w:marLeft w:val="0"/>
                  <w:marRight w:val="0"/>
                  <w:marTop w:val="0"/>
                  <w:marBottom w:val="0"/>
                  <w:divBdr>
                    <w:top w:val="none" w:sz="0" w:space="0" w:color="auto"/>
                    <w:left w:val="none" w:sz="0" w:space="0" w:color="auto"/>
                    <w:bottom w:val="none" w:sz="0" w:space="0" w:color="auto"/>
                    <w:right w:val="none" w:sz="0" w:space="0" w:color="auto"/>
                  </w:divBdr>
                  <w:divsChild>
                    <w:div w:id="8023944">
                      <w:marLeft w:val="0"/>
                      <w:marRight w:val="0"/>
                      <w:marTop w:val="0"/>
                      <w:marBottom w:val="0"/>
                      <w:divBdr>
                        <w:top w:val="none" w:sz="0" w:space="0" w:color="auto"/>
                        <w:left w:val="none" w:sz="0" w:space="0" w:color="auto"/>
                        <w:bottom w:val="none" w:sz="0" w:space="0" w:color="auto"/>
                        <w:right w:val="none" w:sz="0" w:space="0" w:color="auto"/>
                      </w:divBdr>
                      <w:divsChild>
                        <w:div w:id="1839728667">
                          <w:marLeft w:val="340"/>
                          <w:marRight w:val="0"/>
                          <w:marTop w:val="300"/>
                          <w:marBottom w:val="120"/>
                          <w:divBdr>
                            <w:top w:val="none" w:sz="0" w:space="0" w:color="auto"/>
                            <w:left w:val="none" w:sz="0" w:space="0" w:color="auto"/>
                            <w:bottom w:val="none" w:sz="0" w:space="0" w:color="auto"/>
                            <w:right w:val="none" w:sz="0" w:space="0" w:color="auto"/>
                          </w:divBdr>
                          <w:divsChild>
                            <w:div w:id="1391419321">
                              <w:marLeft w:val="0"/>
                              <w:marRight w:val="0"/>
                              <w:marTop w:val="0"/>
                              <w:marBottom w:val="0"/>
                              <w:divBdr>
                                <w:top w:val="none" w:sz="0" w:space="0" w:color="auto"/>
                                <w:left w:val="none" w:sz="0" w:space="0" w:color="auto"/>
                                <w:bottom w:val="none" w:sz="0" w:space="0" w:color="auto"/>
                                <w:right w:val="none" w:sz="0" w:space="0" w:color="auto"/>
                              </w:divBdr>
                              <w:divsChild>
                                <w:div w:id="21655501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5344526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3107032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33462781">
                                              <w:blockQuote w:val="1"/>
                                              <w:marLeft w:val="0"/>
                                              <w:marRight w:val="0"/>
                                              <w:marTop w:val="120"/>
                                              <w:marBottom w:val="120"/>
                                              <w:divBdr>
                                                <w:top w:val="none" w:sz="0" w:space="0" w:color="auto"/>
                                                <w:left w:val="none" w:sz="0" w:space="0" w:color="auto"/>
                                                <w:bottom w:val="none" w:sz="0" w:space="0" w:color="auto"/>
                                                <w:right w:val="none" w:sz="0" w:space="0" w:color="auto"/>
                                              </w:divBdr>
                                            </w:div>
                                            <w:div w:id="2057123568">
                                              <w:blockQuote w:val="1"/>
                                              <w:marLeft w:val="600"/>
                                              <w:marRight w:val="0"/>
                                              <w:marTop w:val="120"/>
                                              <w:marBottom w:val="120"/>
                                              <w:divBdr>
                                                <w:top w:val="none" w:sz="0" w:space="0" w:color="auto"/>
                                                <w:left w:val="none" w:sz="0" w:space="0" w:color="auto"/>
                                                <w:bottom w:val="none" w:sz="0" w:space="0" w:color="auto"/>
                                                <w:right w:val="none" w:sz="0" w:space="0" w:color="auto"/>
                                              </w:divBdr>
                                            </w:div>
                                            <w:div w:id="856650216">
                                              <w:blockQuote w:val="1"/>
                                              <w:marLeft w:val="600"/>
                                              <w:marRight w:val="0"/>
                                              <w:marTop w:val="120"/>
                                              <w:marBottom w:val="120"/>
                                              <w:divBdr>
                                                <w:top w:val="none" w:sz="0" w:space="0" w:color="auto"/>
                                                <w:left w:val="none" w:sz="0" w:space="0" w:color="auto"/>
                                                <w:bottom w:val="none" w:sz="0" w:space="0" w:color="auto"/>
                                                <w:right w:val="none" w:sz="0" w:space="0" w:color="auto"/>
                                              </w:divBdr>
                                            </w:div>
                                            <w:div w:id="19501165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794829">
      <w:bodyDiv w:val="1"/>
      <w:marLeft w:val="0"/>
      <w:marRight w:val="0"/>
      <w:marTop w:val="0"/>
      <w:marBottom w:val="0"/>
      <w:divBdr>
        <w:top w:val="none" w:sz="0" w:space="0" w:color="auto"/>
        <w:left w:val="none" w:sz="0" w:space="0" w:color="auto"/>
        <w:bottom w:val="none" w:sz="0" w:space="0" w:color="auto"/>
        <w:right w:val="none" w:sz="0" w:space="0" w:color="auto"/>
      </w:divBdr>
      <w:divsChild>
        <w:div w:id="978992880">
          <w:marLeft w:val="0"/>
          <w:marRight w:val="0"/>
          <w:marTop w:val="0"/>
          <w:marBottom w:val="0"/>
          <w:divBdr>
            <w:top w:val="none" w:sz="0" w:space="0" w:color="auto"/>
            <w:left w:val="none" w:sz="0" w:space="0" w:color="auto"/>
            <w:bottom w:val="none" w:sz="0" w:space="0" w:color="auto"/>
            <w:right w:val="none" w:sz="0" w:space="0" w:color="auto"/>
          </w:divBdr>
          <w:divsChild>
            <w:div w:id="608854498">
              <w:marLeft w:val="0"/>
              <w:marRight w:val="0"/>
              <w:marTop w:val="0"/>
              <w:marBottom w:val="0"/>
              <w:divBdr>
                <w:top w:val="none" w:sz="0" w:space="0" w:color="auto"/>
                <w:left w:val="none" w:sz="0" w:space="0" w:color="auto"/>
                <w:bottom w:val="none" w:sz="0" w:space="0" w:color="auto"/>
                <w:right w:val="none" w:sz="0" w:space="0" w:color="auto"/>
              </w:divBdr>
              <w:divsChild>
                <w:div w:id="1900167207">
                  <w:marLeft w:val="0"/>
                  <w:marRight w:val="0"/>
                  <w:marTop w:val="0"/>
                  <w:marBottom w:val="0"/>
                  <w:divBdr>
                    <w:top w:val="none" w:sz="0" w:space="0" w:color="auto"/>
                    <w:left w:val="none" w:sz="0" w:space="0" w:color="auto"/>
                    <w:bottom w:val="none" w:sz="0" w:space="0" w:color="auto"/>
                    <w:right w:val="none" w:sz="0" w:space="0" w:color="auto"/>
                  </w:divBdr>
                  <w:divsChild>
                    <w:div w:id="1620725358">
                      <w:marLeft w:val="0"/>
                      <w:marRight w:val="0"/>
                      <w:marTop w:val="0"/>
                      <w:marBottom w:val="0"/>
                      <w:divBdr>
                        <w:top w:val="none" w:sz="0" w:space="0" w:color="auto"/>
                        <w:left w:val="none" w:sz="0" w:space="0" w:color="auto"/>
                        <w:bottom w:val="none" w:sz="0" w:space="0" w:color="auto"/>
                        <w:right w:val="none" w:sz="0" w:space="0" w:color="auto"/>
                      </w:divBdr>
                      <w:divsChild>
                        <w:div w:id="1214776643">
                          <w:marLeft w:val="0"/>
                          <w:marRight w:val="0"/>
                          <w:marTop w:val="0"/>
                          <w:marBottom w:val="0"/>
                          <w:divBdr>
                            <w:top w:val="none" w:sz="0" w:space="0" w:color="auto"/>
                            <w:left w:val="none" w:sz="0" w:space="0" w:color="auto"/>
                            <w:bottom w:val="none" w:sz="0" w:space="0" w:color="auto"/>
                            <w:right w:val="none" w:sz="0" w:space="0" w:color="auto"/>
                          </w:divBdr>
                          <w:divsChild>
                            <w:div w:id="2824399">
                              <w:marLeft w:val="0"/>
                              <w:marRight w:val="0"/>
                              <w:marTop w:val="0"/>
                              <w:marBottom w:val="0"/>
                              <w:divBdr>
                                <w:top w:val="none" w:sz="0" w:space="0" w:color="auto"/>
                                <w:left w:val="none" w:sz="0" w:space="0" w:color="auto"/>
                                <w:bottom w:val="none" w:sz="0" w:space="0" w:color="auto"/>
                                <w:right w:val="none" w:sz="0" w:space="0" w:color="auto"/>
                              </w:divBdr>
                              <w:divsChild>
                                <w:div w:id="455373805">
                                  <w:marLeft w:val="600"/>
                                  <w:marRight w:val="0"/>
                                  <w:marTop w:val="0"/>
                                  <w:marBottom w:val="0"/>
                                  <w:divBdr>
                                    <w:top w:val="none" w:sz="0" w:space="0" w:color="auto"/>
                                    <w:left w:val="none" w:sz="0" w:space="0" w:color="auto"/>
                                    <w:bottom w:val="none" w:sz="0" w:space="0" w:color="auto"/>
                                    <w:right w:val="none" w:sz="0" w:space="0" w:color="auto"/>
                                  </w:divBdr>
                                  <w:divsChild>
                                    <w:div w:id="2347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561313">
      <w:bodyDiv w:val="1"/>
      <w:marLeft w:val="0"/>
      <w:marRight w:val="0"/>
      <w:marTop w:val="0"/>
      <w:marBottom w:val="0"/>
      <w:divBdr>
        <w:top w:val="none" w:sz="0" w:space="0" w:color="auto"/>
        <w:left w:val="none" w:sz="0" w:space="0" w:color="auto"/>
        <w:bottom w:val="none" w:sz="0" w:space="0" w:color="auto"/>
        <w:right w:val="none" w:sz="0" w:space="0" w:color="auto"/>
      </w:divBdr>
      <w:divsChild>
        <w:div w:id="52126514">
          <w:marLeft w:val="0"/>
          <w:marRight w:val="0"/>
          <w:marTop w:val="0"/>
          <w:marBottom w:val="0"/>
          <w:divBdr>
            <w:top w:val="none" w:sz="0" w:space="0" w:color="auto"/>
            <w:left w:val="none" w:sz="0" w:space="0" w:color="auto"/>
            <w:bottom w:val="none" w:sz="0" w:space="0" w:color="auto"/>
            <w:right w:val="none" w:sz="0" w:space="0" w:color="auto"/>
          </w:divBdr>
          <w:divsChild>
            <w:div w:id="2027291401">
              <w:marLeft w:val="0"/>
              <w:marRight w:val="0"/>
              <w:marTop w:val="0"/>
              <w:marBottom w:val="0"/>
              <w:divBdr>
                <w:top w:val="none" w:sz="0" w:space="0" w:color="auto"/>
                <w:left w:val="none" w:sz="0" w:space="0" w:color="auto"/>
                <w:bottom w:val="none" w:sz="0" w:space="0" w:color="auto"/>
                <w:right w:val="none" w:sz="0" w:space="0" w:color="auto"/>
              </w:divBdr>
              <w:divsChild>
                <w:div w:id="2142729924">
                  <w:marLeft w:val="0"/>
                  <w:marRight w:val="0"/>
                  <w:marTop w:val="0"/>
                  <w:marBottom w:val="0"/>
                  <w:divBdr>
                    <w:top w:val="none" w:sz="0" w:space="0" w:color="auto"/>
                    <w:left w:val="none" w:sz="0" w:space="0" w:color="auto"/>
                    <w:bottom w:val="none" w:sz="0" w:space="0" w:color="auto"/>
                    <w:right w:val="none" w:sz="0" w:space="0" w:color="auto"/>
                  </w:divBdr>
                  <w:divsChild>
                    <w:div w:id="2136831691">
                      <w:marLeft w:val="0"/>
                      <w:marRight w:val="0"/>
                      <w:marTop w:val="0"/>
                      <w:marBottom w:val="0"/>
                      <w:divBdr>
                        <w:top w:val="none" w:sz="0" w:space="0" w:color="auto"/>
                        <w:left w:val="none" w:sz="0" w:space="0" w:color="auto"/>
                        <w:bottom w:val="none" w:sz="0" w:space="0" w:color="auto"/>
                        <w:right w:val="none" w:sz="0" w:space="0" w:color="auto"/>
                      </w:divBdr>
                      <w:divsChild>
                        <w:div w:id="750925955">
                          <w:marLeft w:val="340"/>
                          <w:marRight w:val="0"/>
                          <w:marTop w:val="300"/>
                          <w:marBottom w:val="120"/>
                          <w:divBdr>
                            <w:top w:val="none" w:sz="0" w:space="0" w:color="auto"/>
                            <w:left w:val="none" w:sz="0" w:space="0" w:color="auto"/>
                            <w:bottom w:val="none" w:sz="0" w:space="0" w:color="auto"/>
                            <w:right w:val="none" w:sz="0" w:space="0" w:color="auto"/>
                          </w:divBdr>
                          <w:divsChild>
                            <w:div w:id="398140503">
                              <w:marLeft w:val="0"/>
                              <w:marRight w:val="0"/>
                              <w:marTop w:val="0"/>
                              <w:marBottom w:val="0"/>
                              <w:divBdr>
                                <w:top w:val="none" w:sz="0" w:space="0" w:color="auto"/>
                                <w:left w:val="none" w:sz="0" w:space="0" w:color="auto"/>
                                <w:bottom w:val="none" w:sz="0" w:space="0" w:color="auto"/>
                                <w:right w:val="none" w:sz="0" w:space="0" w:color="auto"/>
                              </w:divBdr>
                              <w:divsChild>
                                <w:div w:id="16136194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3525885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9979320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5258496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42168384">
                                                  <w:blockQuote w:val="1"/>
                                                  <w:marLeft w:val="600"/>
                                                  <w:marRight w:val="0"/>
                                                  <w:marTop w:val="120"/>
                                                  <w:marBottom w:val="120"/>
                                                  <w:divBdr>
                                                    <w:top w:val="none" w:sz="0" w:space="0" w:color="auto"/>
                                                    <w:left w:val="none" w:sz="0" w:space="0" w:color="auto"/>
                                                    <w:bottom w:val="none" w:sz="0" w:space="0" w:color="auto"/>
                                                    <w:right w:val="none" w:sz="0" w:space="0" w:color="auto"/>
                                                  </w:divBdr>
                                                </w:div>
                                                <w:div w:id="63144781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628982">
      <w:bodyDiv w:val="1"/>
      <w:marLeft w:val="0"/>
      <w:marRight w:val="0"/>
      <w:marTop w:val="0"/>
      <w:marBottom w:val="0"/>
      <w:divBdr>
        <w:top w:val="none" w:sz="0" w:space="0" w:color="auto"/>
        <w:left w:val="none" w:sz="0" w:space="0" w:color="auto"/>
        <w:bottom w:val="none" w:sz="0" w:space="0" w:color="auto"/>
        <w:right w:val="none" w:sz="0" w:space="0" w:color="auto"/>
      </w:divBdr>
      <w:divsChild>
        <w:div w:id="625815793">
          <w:marLeft w:val="0"/>
          <w:marRight w:val="0"/>
          <w:marTop w:val="0"/>
          <w:marBottom w:val="0"/>
          <w:divBdr>
            <w:top w:val="none" w:sz="0" w:space="0" w:color="auto"/>
            <w:left w:val="none" w:sz="0" w:space="0" w:color="auto"/>
            <w:bottom w:val="none" w:sz="0" w:space="0" w:color="auto"/>
            <w:right w:val="none" w:sz="0" w:space="0" w:color="auto"/>
          </w:divBdr>
          <w:divsChild>
            <w:div w:id="2009401199">
              <w:marLeft w:val="0"/>
              <w:marRight w:val="0"/>
              <w:marTop w:val="0"/>
              <w:marBottom w:val="0"/>
              <w:divBdr>
                <w:top w:val="none" w:sz="0" w:space="0" w:color="auto"/>
                <w:left w:val="none" w:sz="0" w:space="0" w:color="auto"/>
                <w:bottom w:val="none" w:sz="0" w:space="0" w:color="auto"/>
                <w:right w:val="none" w:sz="0" w:space="0" w:color="auto"/>
              </w:divBdr>
              <w:divsChild>
                <w:div w:id="960456831">
                  <w:marLeft w:val="0"/>
                  <w:marRight w:val="0"/>
                  <w:marTop w:val="0"/>
                  <w:marBottom w:val="0"/>
                  <w:divBdr>
                    <w:top w:val="none" w:sz="0" w:space="0" w:color="auto"/>
                    <w:left w:val="none" w:sz="0" w:space="0" w:color="auto"/>
                    <w:bottom w:val="none" w:sz="0" w:space="0" w:color="auto"/>
                    <w:right w:val="none" w:sz="0" w:space="0" w:color="auto"/>
                  </w:divBdr>
                  <w:divsChild>
                    <w:div w:id="247270796">
                      <w:marLeft w:val="0"/>
                      <w:marRight w:val="0"/>
                      <w:marTop w:val="0"/>
                      <w:marBottom w:val="0"/>
                      <w:divBdr>
                        <w:top w:val="none" w:sz="0" w:space="0" w:color="auto"/>
                        <w:left w:val="none" w:sz="0" w:space="0" w:color="auto"/>
                        <w:bottom w:val="none" w:sz="0" w:space="0" w:color="auto"/>
                        <w:right w:val="none" w:sz="0" w:space="0" w:color="auto"/>
                      </w:divBdr>
                      <w:divsChild>
                        <w:div w:id="1278835327">
                          <w:marLeft w:val="340"/>
                          <w:marRight w:val="0"/>
                          <w:marTop w:val="300"/>
                          <w:marBottom w:val="120"/>
                          <w:divBdr>
                            <w:top w:val="none" w:sz="0" w:space="0" w:color="auto"/>
                            <w:left w:val="none" w:sz="0" w:space="0" w:color="auto"/>
                            <w:bottom w:val="none" w:sz="0" w:space="0" w:color="auto"/>
                            <w:right w:val="none" w:sz="0" w:space="0" w:color="auto"/>
                          </w:divBdr>
                          <w:divsChild>
                            <w:div w:id="2078434767">
                              <w:marLeft w:val="0"/>
                              <w:marRight w:val="0"/>
                              <w:marTop w:val="0"/>
                              <w:marBottom w:val="0"/>
                              <w:divBdr>
                                <w:top w:val="none" w:sz="0" w:space="0" w:color="auto"/>
                                <w:left w:val="none" w:sz="0" w:space="0" w:color="auto"/>
                                <w:bottom w:val="none" w:sz="0" w:space="0" w:color="auto"/>
                                <w:right w:val="none" w:sz="0" w:space="0" w:color="auto"/>
                              </w:divBdr>
                              <w:divsChild>
                                <w:div w:id="152111779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865614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0838267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715772">
      <w:bodyDiv w:val="1"/>
      <w:marLeft w:val="0"/>
      <w:marRight w:val="0"/>
      <w:marTop w:val="0"/>
      <w:marBottom w:val="0"/>
      <w:divBdr>
        <w:top w:val="none" w:sz="0" w:space="0" w:color="auto"/>
        <w:left w:val="none" w:sz="0" w:space="0" w:color="auto"/>
        <w:bottom w:val="none" w:sz="0" w:space="0" w:color="auto"/>
        <w:right w:val="none" w:sz="0" w:space="0" w:color="auto"/>
      </w:divBdr>
      <w:divsChild>
        <w:div w:id="595862825">
          <w:marLeft w:val="0"/>
          <w:marRight w:val="0"/>
          <w:marTop w:val="0"/>
          <w:marBottom w:val="0"/>
          <w:divBdr>
            <w:top w:val="none" w:sz="0" w:space="0" w:color="auto"/>
            <w:left w:val="none" w:sz="0" w:space="0" w:color="auto"/>
            <w:bottom w:val="none" w:sz="0" w:space="0" w:color="auto"/>
            <w:right w:val="none" w:sz="0" w:space="0" w:color="auto"/>
          </w:divBdr>
          <w:divsChild>
            <w:div w:id="1156650403">
              <w:marLeft w:val="0"/>
              <w:marRight w:val="0"/>
              <w:marTop w:val="0"/>
              <w:marBottom w:val="0"/>
              <w:divBdr>
                <w:top w:val="none" w:sz="0" w:space="0" w:color="auto"/>
                <w:left w:val="none" w:sz="0" w:space="0" w:color="auto"/>
                <w:bottom w:val="none" w:sz="0" w:space="0" w:color="auto"/>
                <w:right w:val="none" w:sz="0" w:space="0" w:color="auto"/>
              </w:divBdr>
              <w:divsChild>
                <w:div w:id="874542353">
                  <w:marLeft w:val="0"/>
                  <w:marRight w:val="0"/>
                  <w:marTop w:val="0"/>
                  <w:marBottom w:val="0"/>
                  <w:divBdr>
                    <w:top w:val="none" w:sz="0" w:space="0" w:color="auto"/>
                    <w:left w:val="none" w:sz="0" w:space="0" w:color="auto"/>
                    <w:bottom w:val="none" w:sz="0" w:space="0" w:color="auto"/>
                    <w:right w:val="none" w:sz="0" w:space="0" w:color="auto"/>
                  </w:divBdr>
                  <w:divsChild>
                    <w:div w:id="606699323">
                      <w:marLeft w:val="0"/>
                      <w:marRight w:val="0"/>
                      <w:marTop w:val="0"/>
                      <w:marBottom w:val="0"/>
                      <w:divBdr>
                        <w:top w:val="none" w:sz="0" w:space="0" w:color="auto"/>
                        <w:left w:val="none" w:sz="0" w:space="0" w:color="auto"/>
                        <w:bottom w:val="none" w:sz="0" w:space="0" w:color="auto"/>
                        <w:right w:val="none" w:sz="0" w:space="0" w:color="auto"/>
                      </w:divBdr>
                      <w:divsChild>
                        <w:div w:id="2041272827">
                          <w:marLeft w:val="340"/>
                          <w:marRight w:val="0"/>
                          <w:marTop w:val="300"/>
                          <w:marBottom w:val="120"/>
                          <w:divBdr>
                            <w:top w:val="none" w:sz="0" w:space="0" w:color="auto"/>
                            <w:left w:val="none" w:sz="0" w:space="0" w:color="auto"/>
                            <w:bottom w:val="none" w:sz="0" w:space="0" w:color="auto"/>
                            <w:right w:val="none" w:sz="0" w:space="0" w:color="auto"/>
                          </w:divBdr>
                          <w:divsChild>
                            <w:div w:id="799617314">
                              <w:marLeft w:val="0"/>
                              <w:marRight w:val="0"/>
                              <w:marTop w:val="0"/>
                              <w:marBottom w:val="0"/>
                              <w:divBdr>
                                <w:top w:val="none" w:sz="0" w:space="0" w:color="auto"/>
                                <w:left w:val="none" w:sz="0" w:space="0" w:color="auto"/>
                                <w:bottom w:val="none" w:sz="0" w:space="0" w:color="auto"/>
                                <w:right w:val="none" w:sz="0" w:space="0" w:color="auto"/>
                              </w:divBdr>
                              <w:divsChild>
                                <w:div w:id="43772032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8166815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7441458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066140">
      <w:bodyDiv w:val="1"/>
      <w:marLeft w:val="0"/>
      <w:marRight w:val="0"/>
      <w:marTop w:val="0"/>
      <w:marBottom w:val="0"/>
      <w:divBdr>
        <w:top w:val="none" w:sz="0" w:space="0" w:color="auto"/>
        <w:left w:val="none" w:sz="0" w:space="0" w:color="auto"/>
        <w:bottom w:val="none" w:sz="0" w:space="0" w:color="auto"/>
        <w:right w:val="none" w:sz="0" w:space="0" w:color="auto"/>
      </w:divBdr>
      <w:divsChild>
        <w:div w:id="3215171">
          <w:marLeft w:val="0"/>
          <w:marRight w:val="0"/>
          <w:marTop w:val="0"/>
          <w:marBottom w:val="0"/>
          <w:divBdr>
            <w:top w:val="none" w:sz="0" w:space="0" w:color="auto"/>
            <w:left w:val="none" w:sz="0" w:space="0" w:color="auto"/>
            <w:bottom w:val="none" w:sz="0" w:space="0" w:color="auto"/>
            <w:right w:val="none" w:sz="0" w:space="0" w:color="auto"/>
          </w:divBdr>
          <w:divsChild>
            <w:div w:id="2114595739">
              <w:marLeft w:val="0"/>
              <w:marRight w:val="0"/>
              <w:marTop w:val="0"/>
              <w:marBottom w:val="0"/>
              <w:divBdr>
                <w:top w:val="none" w:sz="0" w:space="0" w:color="auto"/>
                <w:left w:val="none" w:sz="0" w:space="0" w:color="auto"/>
                <w:bottom w:val="none" w:sz="0" w:space="0" w:color="auto"/>
                <w:right w:val="none" w:sz="0" w:space="0" w:color="auto"/>
              </w:divBdr>
              <w:divsChild>
                <w:div w:id="519046504">
                  <w:marLeft w:val="0"/>
                  <w:marRight w:val="0"/>
                  <w:marTop w:val="0"/>
                  <w:marBottom w:val="0"/>
                  <w:divBdr>
                    <w:top w:val="none" w:sz="0" w:space="0" w:color="auto"/>
                    <w:left w:val="none" w:sz="0" w:space="0" w:color="auto"/>
                    <w:bottom w:val="none" w:sz="0" w:space="0" w:color="auto"/>
                    <w:right w:val="none" w:sz="0" w:space="0" w:color="auto"/>
                  </w:divBdr>
                  <w:divsChild>
                    <w:div w:id="1943368272">
                      <w:marLeft w:val="0"/>
                      <w:marRight w:val="0"/>
                      <w:marTop w:val="0"/>
                      <w:marBottom w:val="0"/>
                      <w:divBdr>
                        <w:top w:val="none" w:sz="0" w:space="0" w:color="auto"/>
                        <w:left w:val="none" w:sz="0" w:space="0" w:color="auto"/>
                        <w:bottom w:val="none" w:sz="0" w:space="0" w:color="auto"/>
                        <w:right w:val="none" w:sz="0" w:space="0" w:color="auto"/>
                      </w:divBdr>
                      <w:divsChild>
                        <w:div w:id="1557356013">
                          <w:marLeft w:val="340"/>
                          <w:marRight w:val="0"/>
                          <w:marTop w:val="300"/>
                          <w:marBottom w:val="120"/>
                          <w:divBdr>
                            <w:top w:val="none" w:sz="0" w:space="0" w:color="auto"/>
                            <w:left w:val="none" w:sz="0" w:space="0" w:color="auto"/>
                            <w:bottom w:val="none" w:sz="0" w:space="0" w:color="auto"/>
                            <w:right w:val="none" w:sz="0" w:space="0" w:color="auto"/>
                          </w:divBdr>
                          <w:divsChild>
                            <w:div w:id="1265306580">
                              <w:marLeft w:val="0"/>
                              <w:marRight w:val="0"/>
                              <w:marTop w:val="0"/>
                              <w:marBottom w:val="0"/>
                              <w:divBdr>
                                <w:top w:val="none" w:sz="0" w:space="0" w:color="auto"/>
                                <w:left w:val="none" w:sz="0" w:space="0" w:color="auto"/>
                                <w:bottom w:val="none" w:sz="0" w:space="0" w:color="auto"/>
                                <w:right w:val="none" w:sz="0" w:space="0" w:color="auto"/>
                              </w:divBdr>
                              <w:divsChild>
                                <w:div w:id="67731771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0195104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192157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73541388">
                                              <w:blockQuote w:val="1"/>
                                              <w:marLeft w:val="0"/>
                                              <w:marRight w:val="0"/>
                                              <w:marTop w:val="120"/>
                                              <w:marBottom w:val="120"/>
                                              <w:divBdr>
                                                <w:top w:val="none" w:sz="0" w:space="0" w:color="auto"/>
                                                <w:left w:val="none" w:sz="0" w:space="0" w:color="auto"/>
                                                <w:bottom w:val="none" w:sz="0" w:space="0" w:color="auto"/>
                                                <w:right w:val="none" w:sz="0" w:space="0" w:color="auto"/>
                                              </w:divBdr>
                                            </w:div>
                                            <w:div w:id="2120248885">
                                              <w:blockQuote w:val="1"/>
                                              <w:marLeft w:val="600"/>
                                              <w:marRight w:val="0"/>
                                              <w:marTop w:val="120"/>
                                              <w:marBottom w:val="120"/>
                                              <w:divBdr>
                                                <w:top w:val="none" w:sz="0" w:space="0" w:color="auto"/>
                                                <w:left w:val="none" w:sz="0" w:space="0" w:color="auto"/>
                                                <w:bottom w:val="none" w:sz="0" w:space="0" w:color="auto"/>
                                                <w:right w:val="none" w:sz="0" w:space="0" w:color="auto"/>
                                              </w:divBdr>
                                            </w:div>
                                            <w:div w:id="529536582">
                                              <w:blockQuote w:val="1"/>
                                              <w:marLeft w:val="600"/>
                                              <w:marRight w:val="0"/>
                                              <w:marTop w:val="120"/>
                                              <w:marBottom w:val="120"/>
                                              <w:divBdr>
                                                <w:top w:val="none" w:sz="0" w:space="0" w:color="auto"/>
                                                <w:left w:val="none" w:sz="0" w:space="0" w:color="auto"/>
                                                <w:bottom w:val="none" w:sz="0" w:space="0" w:color="auto"/>
                                                <w:right w:val="none" w:sz="0" w:space="0" w:color="auto"/>
                                              </w:divBdr>
                                            </w:div>
                                            <w:div w:id="243689496">
                                              <w:blockQuote w:val="1"/>
                                              <w:marLeft w:val="0"/>
                                              <w:marRight w:val="0"/>
                                              <w:marTop w:val="120"/>
                                              <w:marBottom w:val="120"/>
                                              <w:divBdr>
                                                <w:top w:val="none" w:sz="0" w:space="0" w:color="auto"/>
                                                <w:left w:val="none" w:sz="0" w:space="0" w:color="auto"/>
                                                <w:bottom w:val="none" w:sz="0" w:space="0" w:color="auto"/>
                                                <w:right w:val="none" w:sz="0" w:space="0" w:color="auto"/>
                                              </w:divBdr>
                                            </w:div>
                                            <w:div w:id="279266643">
                                              <w:blockQuote w:val="1"/>
                                              <w:marLeft w:val="0"/>
                                              <w:marRight w:val="0"/>
                                              <w:marTop w:val="120"/>
                                              <w:marBottom w:val="120"/>
                                              <w:divBdr>
                                                <w:top w:val="none" w:sz="0" w:space="0" w:color="auto"/>
                                                <w:left w:val="none" w:sz="0" w:space="0" w:color="auto"/>
                                                <w:bottom w:val="none" w:sz="0" w:space="0" w:color="auto"/>
                                                <w:right w:val="none" w:sz="0" w:space="0" w:color="auto"/>
                                              </w:divBdr>
                                            </w:div>
                                            <w:div w:id="353651076">
                                              <w:blockQuote w:val="1"/>
                                              <w:marLeft w:val="600"/>
                                              <w:marRight w:val="0"/>
                                              <w:marTop w:val="120"/>
                                              <w:marBottom w:val="120"/>
                                              <w:divBdr>
                                                <w:top w:val="none" w:sz="0" w:space="0" w:color="auto"/>
                                                <w:left w:val="none" w:sz="0" w:space="0" w:color="auto"/>
                                                <w:bottom w:val="none" w:sz="0" w:space="0" w:color="auto"/>
                                                <w:right w:val="none" w:sz="0" w:space="0" w:color="auto"/>
                                              </w:divBdr>
                                            </w:div>
                                            <w:div w:id="194722810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9908342">
      <w:bodyDiv w:val="1"/>
      <w:marLeft w:val="0"/>
      <w:marRight w:val="0"/>
      <w:marTop w:val="0"/>
      <w:marBottom w:val="0"/>
      <w:divBdr>
        <w:top w:val="none" w:sz="0" w:space="0" w:color="auto"/>
        <w:left w:val="none" w:sz="0" w:space="0" w:color="auto"/>
        <w:bottom w:val="none" w:sz="0" w:space="0" w:color="auto"/>
        <w:right w:val="none" w:sz="0" w:space="0" w:color="auto"/>
      </w:divBdr>
      <w:divsChild>
        <w:div w:id="1539245104">
          <w:marLeft w:val="0"/>
          <w:marRight w:val="0"/>
          <w:marTop w:val="0"/>
          <w:marBottom w:val="0"/>
          <w:divBdr>
            <w:top w:val="none" w:sz="0" w:space="0" w:color="auto"/>
            <w:left w:val="none" w:sz="0" w:space="0" w:color="auto"/>
            <w:bottom w:val="none" w:sz="0" w:space="0" w:color="auto"/>
            <w:right w:val="none" w:sz="0" w:space="0" w:color="auto"/>
          </w:divBdr>
          <w:divsChild>
            <w:div w:id="830172510">
              <w:marLeft w:val="0"/>
              <w:marRight w:val="0"/>
              <w:marTop w:val="0"/>
              <w:marBottom w:val="0"/>
              <w:divBdr>
                <w:top w:val="none" w:sz="0" w:space="0" w:color="auto"/>
                <w:left w:val="none" w:sz="0" w:space="0" w:color="auto"/>
                <w:bottom w:val="none" w:sz="0" w:space="0" w:color="auto"/>
                <w:right w:val="none" w:sz="0" w:space="0" w:color="auto"/>
              </w:divBdr>
              <w:divsChild>
                <w:div w:id="2037802850">
                  <w:marLeft w:val="0"/>
                  <w:marRight w:val="0"/>
                  <w:marTop w:val="0"/>
                  <w:marBottom w:val="0"/>
                  <w:divBdr>
                    <w:top w:val="none" w:sz="0" w:space="0" w:color="auto"/>
                    <w:left w:val="none" w:sz="0" w:space="0" w:color="auto"/>
                    <w:bottom w:val="none" w:sz="0" w:space="0" w:color="auto"/>
                    <w:right w:val="none" w:sz="0" w:space="0" w:color="auto"/>
                  </w:divBdr>
                  <w:divsChild>
                    <w:div w:id="1901401042">
                      <w:marLeft w:val="0"/>
                      <w:marRight w:val="0"/>
                      <w:marTop w:val="0"/>
                      <w:marBottom w:val="0"/>
                      <w:divBdr>
                        <w:top w:val="none" w:sz="0" w:space="0" w:color="auto"/>
                        <w:left w:val="none" w:sz="0" w:space="0" w:color="auto"/>
                        <w:bottom w:val="none" w:sz="0" w:space="0" w:color="auto"/>
                        <w:right w:val="none" w:sz="0" w:space="0" w:color="auto"/>
                      </w:divBdr>
                      <w:divsChild>
                        <w:div w:id="620191727">
                          <w:marLeft w:val="340"/>
                          <w:marRight w:val="0"/>
                          <w:marTop w:val="300"/>
                          <w:marBottom w:val="120"/>
                          <w:divBdr>
                            <w:top w:val="none" w:sz="0" w:space="0" w:color="auto"/>
                            <w:left w:val="none" w:sz="0" w:space="0" w:color="auto"/>
                            <w:bottom w:val="none" w:sz="0" w:space="0" w:color="auto"/>
                            <w:right w:val="none" w:sz="0" w:space="0" w:color="auto"/>
                          </w:divBdr>
                          <w:divsChild>
                            <w:div w:id="1544488364">
                              <w:marLeft w:val="0"/>
                              <w:marRight w:val="0"/>
                              <w:marTop w:val="0"/>
                              <w:marBottom w:val="0"/>
                              <w:divBdr>
                                <w:top w:val="none" w:sz="0" w:space="0" w:color="auto"/>
                                <w:left w:val="none" w:sz="0" w:space="0" w:color="auto"/>
                                <w:bottom w:val="none" w:sz="0" w:space="0" w:color="auto"/>
                                <w:right w:val="none" w:sz="0" w:space="0" w:color="auto"/>
                              </w:divBdr>
                              <w:divsChild>
                                <w:div w:id="153800729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1955572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3298915">
                                          <w:blockQuote w:val="1"/>
                                          <w:marLeft w:val="0"/>
                                          <w:marRight w:val="0"/>
                                          <w:marTop w:val="120"/>
                                          <w:marBottom w:val="120"/>
                                          <w:divBdr>
                                            <w:top w:val="none" w:sz="0" w:space="0" w:color="auto"/>
                                            <w:left w:val="none" w:sz="0" w:space="0" w:color="auto"/>
                                            <w:bottom w:val="none" w:sz="0" w:space="0" w:color="auto"/>
                                            <w:right w:val="none" w:sz="0" w:space="0" w:color="auto"/>
                                          </w:divBdr>
                                        </w:div>
                                        <w:div w:id="245578995">
                                          <w:blockQuote w:val="1"/>
                                          <w:marLeft w:val="600"/>
                                          <w:marRight w:val="0"/>
                                          <w:marTop w:val="120"/>
                                          <w:marBottom w:val="120"/>
                                          <w:divBdr>
                                            <w:top w:val="none" w:sz="0" w:space="0" w:color="auto"/>
                                            <w:left w:val="none" w:sz="0" w:space="0" w:color="auto"/>
                                            <w:bottom w:val="none" w:sz="0" w:space="0" w:color="auto"/>
                                            <w:right w:val="none" w:sz="0" w:space="0" w:color="auto"/>
                                          </w:divBdr>
                                        </w:div>
                                        <w:div w:id="1608154780">
                                          <w:blockQuote w:val="1"/>
                                          <w:marLeft w:val="600"/>
                                          <w:marRight w:val="0"/>
                                          <w:marTop w:val="120"/>
                                          <w:marBottom w:val="120"/>
                                          <w:divBdr>
                                            <w:top w:val="none" w:sz="0" w:space="0" w:color="auto"/>
                                            <w:left w:val="none" w:sz="0" w:space="0" w:color="auto"/>
                                            <w:bottom w:val="none" w:sz="0" w:space="0" w:color="auto"/>
                                            <w:right w:val="none" w:sz="0" w:space="0" w:color="auto"/>
                                          </w:divBdr>
                                        </w:div>
                                        <w:div w:id="123863628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102802">
      <w:bodyDiv w:val="1"/>
      <w:marLeft w:val="0"/>
      <w:marRight w:val="0"/>
      <w:marTop w:val="0"/>
      <w:marBottom w:val="0"/>
      <w:divBdr>
        <w:top w:val="none" w:sz="0" w:space="0" w:color="auto"/>
        <w:left w:val="none" w:sz="0" w:space="0" w:color="auto"/>
        <w:bottom w:val="none" w:sz="0" w:space="0" w:color="auto"/>
        <w:right w:val="none" w:sz="0" w:space="0" w:color="auto"/>
      </w:divBdr>
      <w:divsChild>
        <w:div w:id="1953243442">
          <w:marLeft w:val="0"/>
          <w:marRight w:val="0"/>
          <w:marTop w:val="0"/>
          <w:marBottom w:val="0"/>
          <w:divBdr>
            <w:top w:val="none" w:sz="0" w:space="0" w:color="auto"/>
            <w:left w:val="none" w:sz="0" w:space="0" w:color="auto"/>
            <w:bottom w:val="none" w:sz="0" w:space="0" w:color="auto"/>
            <w:right w:val="none" w:sz="0" w:space="0" w:color="auto"/>
          </w:divBdr>
          <w:divsChild>
            <w:div w:id="792945203">
              <w:marLeft w:val="0"/>
              <w:marRight w:val="0"/>
              <w:marTop w:val="0"/>
              <w:marBottom w:val="0"/>
              <w:divBdr>
                <w:top w:val="none" w:sz="0" w:space="0" w:color="auto"/>
                <w:left w:val="none" w:sz="0" w:space="0" w:color="auto"/>
                <w:bottom w:val="none" w:sz="0" w:space="0" w:color="auto"/>
                <w:right w:val="none" w:sz="0" w:space="0" w:color="auto"/>
              </w:divBdr>
              <w:divsChild>
                <w:div w:id="1386488776">
                  <w:marLeft w:val="0"/>
                  <w:marRight w:val="0"/>
                  <w:marTop w:val="0"/>
                  <w:marBottom w:val="0"/>
                  <w:divBdr>
                    <w:top w:val="none" w:sz="0" w:space="0" w:color="auto"/>
                    <w:left w:val="none" w:sz="0" w:space="0" w:color="auto"/>
                    <w:bottom w:val="none" w:sz="0" w:space="0" w:color="auto"/>
                    <w:right w:val="none" w:sz="0" w:space="0" w:color="auto"/>
                  </w:divBdr>
                  <w:divsChild>
                    <w:div w:id="12004227">
                      <w:marLeft w:val="0"/>
                      <w:marRight w:val="0"/>
                      <w:marTop w:val="0"/>
                      <w:marBottom w:val="0"/>
                      <w:divBdr>
                        <w:top w:val="none" w:sz="0" w:space="0" w:color="auto"/>
                        <w:left w:val="none" w:sz="0" w:space="0" w:color="auto"/>
                        <w:bottom w:val="none" w:sz="0" w:space="0" w:color="auto"/>
                        <w:right w:val="none" w:sz="0" w:space="0" w:color="auto"/>
                      </w:divBdr>
                      <w:divsChild>
                        <w:div w:id="49623477">
                          <w:marLeft w:val="340"/>
                          <w:marRight w:val="0"/>
                          <w:marTop w:val="300"/>
                          <w:marBottom w:val="120"/>
                          <w:divBdr>
                            <w:top w:val="none" w:sz="0" w:space="0" w:color="auto"/>
                            <w:left w:val="none" w:sz="0" w:space="0" w:color="auto"/>
                            <w:bottom w:val="none" w:sz="0" w:space="0" w:color="auto"/>
                            <w:right w:val="none" w:sz="0" w:space="0" w:color="auto"/>
                          </w:divBdr>
                          <w:divsChild>
                            <w:div w:id="351615597">
                              <w:marLeft w:val="0"/>
                              <w:marRight w:val="0"/>
                              <w:marTop w:val="0"/>
                              <w:marBottom w:val="0"/>
                              <w:divBdr>
                                <w:top w:val="none" w:sz="0" w:space="0" w:color="auto"/>
                                <w:left w:val="none" w:sz="0" w:space="0" w:color="auto"/>
                                <w:bottom w:val="none" w:sz="0" w:space="0" w:color="auto"/>
                                <w:right w:val="none" w:sz="0" w:space="0" w:color="auto"/>
                              </w:divBdr>
                              <w:divsChild>
                                <w:div w:id="192394757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605429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619946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7012513">
                                              <w:blockQuote w:val="1"/>
                                              <w:marLeft w:val="0"/>
                                              <w:marRight w:val="0"/>
                                              <w:marTop w:val="120"/>
                                              <w:marBottom w:val="120"/>
                                              <w:divBdr>
                                                <w:top w:val="none" w:sz="0" w:space="0" w:color="auto"/>
                                                <w:left w:val="none" w:sz="0" w:space="0" w:color="auto"/>
                                                <w:bottom w:val="none" w:sz="0" w:space="0" w:color="auto"/>
                                                <w:right w:val="none" w:sz="0" w:space="0" w:color="auto"/>
                                              </w:divBdr>
                                            </w:div>
                                            <w:div w:id="818616807">
                                              <w:blockQuote w:val="1"/>
                                              <w:marLeft w:val="600"/>
                                              <w:marRight w:val="0"/>
                                              <w:marTop w:val="120"/>
                                              <w:marBottom w:val="120"/>
                                              <w:divBdr>
                                                <w:top w:val="none" w:sz="0" w:space="0" w:color="auto"/>
                                                <w:left w:val="none" w:sz="0" w:space="0" w:color="auto"/>
                                                <w:bottom w:val="none" w:sz="0" w:space="0" w:color="auto"/>
                                                <w:right w:val="none" w:sz="0" w:space="0" w:color="auto"/>
                                              </w:divBdr>
                                            </w:div>
                                            <w:div w:id="1100300772">
                                              <w:blockQuote w:val="1"/>
                                              <w:marLeft w:val="600"/>
                                              <w:marRight w:val="0"/>
                                              <w:marTop w:val="120"/>
                                              <w:marBottom w:val="120"/>
                                              <w:divBdr>
                                                <w:top w:val="none" w:sz="0" w:space="0" w:color="auto"/>
                                                <w:left w:val="none" w:sz="0" w:space="0" w:color="auto"/>
                                                <w:bottom w:val="none" w:sz="0" w:space="0" w:color="auto"/>
                                                <w:right w:val="none" w:sz="0" w:space="0" w:color="auto"/>
                                              </w:divBdr>
                                            </w:div>
                                            <w:div w:id="1467431157">
                                              <w:blockQuote w:val="1"/>
                                              <w:marLeft w:val="600"/>
                                              <w:marRight w:val="0"/>
                                              <w:marTop w:val="120"/>
                                              <w:marBottom w:val="120"/>
                                              <w:divBdr>
                                                <w:top w:val="none" w:sz="0" w:space="0" w:color="auto"/>
                                                <w:left w:val="none" w:sz="0" w:space="0" w:color="auto"/>
                                                <w:bottom w:val="none" w:sz="0" w:space="0" w:color="auto"/>
                                                <w:right w:val="none" w:sz="0" w:space="0" w:color="auto"/>
                                              </w:divBdr>
                                            </w:div>
                                            <w:div w:id="732044506">
                                              <w:blockQuote w:val="1"/>
                                              <w:marLeft w:val="600"/>
                                              <w:marRight w:val="0"/>
                                              <w:marTop w:val="120"/>
                                              <w:marBottom w:val="120"/>
                                              <w:divBdr>
                                                <w:top w:val="none" w:sz="0" w:space="0" w:color="auto"/>
                                                <w:left w:val="none" w:sz="0" w:space="0" w:color="auto"/>
                                                <w:bottom w:val="none" w:sz="0" w:space="0" w:color="auto"/>
                                                <w:right w:val="none" w:sz="0" w:space="0" w:color="auto"/>
                                              </w:divBdr>
                                            </w:div>
                                            <w:div w:id="1870561125">
                                              <w:blockQuote w:val="1"/>
                                              <w:marLeft w:val="600"/>
                                              <w:marRight w:val="0"/>
                                              <w:marTop w:val="120"/>
                                              <w:marBottom w:val="120"/>
                                              <w:divBdr>
                                                <w:top w:val="none" w:sz="0" w:space="0" w:color="auto"/>
                                                <w:left w:val="none" w:sz="0" w:space="0" w:color="auto"/>
                                                <w:bottom w:val="none" w:sz="0" w:space="0" w:color="auto"/>
                                                <w:right w:val="none" w:sz="0" w:space="0" w:color="auto"/>
                                              </w:divBdr>
                                            </w:div>
                                            <w:div w:id="70394911">
                                              <w:blockQuote w:val="1"/>
                                              <w:marLeft w:val="600"/>
                                              <w:marRight w:val="0"/>
                                              <w:marTop w:val="120"/>
                                              <w:marBottom w:val="120"/>
                                              <w:divBdr>
                                                <w:top w:val="none" w:sz="0" w:space="0" w:color="auto"/>
                                                <w:left w:val="none" w:sz="0" w:space="0" w:color="auto"/>
                                                <w:bottom w:val="none" w:sz="0" w:space="0" w:color="auto"/>
                                                <w:right w:val="none" w:sz="0" w:space="0" w:color="auto"/>
                                              </w:divBdr>
                                            </w:div>
                                            <w:div w:id="1220895074">
                                              <w:blockQuote w:val="1"/>
                                              <w:marLeft w:val="600"/>
                                              <w:marRight w:val="0"/>
                                              <w:marTop w:val="120"/>
                                              <w:marBottom w:val="120"/>
                                              <w:divBdr>
                                                <w:top w:val="none" w:sz="0" w:space="0" w:color="auto"/>
                                                <w:left w:val="none" w:sz="0" w:space="0" w:color="auto"/>
                                                <w:bottom w:val="none" w:sz="0" w:space="0" w:color="auto"/>
                                                <w:right w:val="none" w:sz="0" w:space="0" w:color="auto"/>
                                              </w:divBdr>
                                            </w:div>
                                            <w:div w:id="250478827">
                                              <w:blockQuote w:val="1"/>
                                              <w:marLeft w:val="600"/>
                                              <w:marRight w:val="0"/>
                                              <w:marTop w:val="120"/>
                                              <w:marBottom w:val="120"/>
                                              <w:divBdr>
                                                <w:top w:val="none" w:sz="0" w:space="0" w:color="auto"/>
                                                <w:left w:val="none" w:sz="0" w:space="0" w:color="auto"/>
                                                <w:bottom w:val="none" w:sz="0" w:space="0" w:color="auto"/>
                                                <w:right w:val="none" w:sz="0" w:space="0" w:color="auto"/>
                                              </w:divBdr>
                                            </w:div>
                                            <w:div w:id="1077551419">
                                              <w:blockQuote w:val="1"/>
                                              <w:marLeft w:val="600"/>
                                              <w:marRight w:val="0"/>
                                              <w:marTop w:val="120"/>
                                              <w:marBottom w:val="120"/>
                                              <w:divBdr>
                                                <w:top w:val="none" w:sz="0" w:space="0" w:color="auto"/>
                                                <w:left w:val="none" w:sz="0" w:space="0" w:color="auto"/>
                                                <w:bottom w:val="none" w:sz="0" w:space="0" w:color="auto"/>
                                                <w:right w:val="none" w:sz="0" w:space="0" w:color="auto"/>
                                              </w:divBdr>
                                            </w:div>
                                            <w:div w:id="20147172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0875603">
      <w:bodyDiv w:val="1"/>
      <w:marLeft w:val="0"/>
      <w:marRight w:val="0"/>
      <w:marTop w:val="0"/>
      <w:marBottom w:val="0"/>
      <w:divBdr>
        <w:top w:val="none" w:sz="0" w:space="0" w:color="auto"/>
        <w:left w:val="none" w:sz="0" w:space="0" w:color="auto"/>
        <w:bottom w:val="none" w:sz="0" w:space="0" w:color="auto"/>
        <w:right w:val="none" w:sz="0" w:space="0" w:color="auto"/>
      </w:divBdr>
      <w:divsChild>
        <w:div w:id="1815024519">
          <w:marLeft w:val="0"/>
          <w:marRight w:val="0"/>
          <w:marTop w:val="0"/>
          <w:marBottom w:val="0"/>
          <w:divBdr>
            <w:top w:val="none" w:sz="0" w:space="0" w:color="auto"/>
            <w:left w:val="none" w:sz="0" w:space="0" w:color="auto"/>
            <w:bottom w:val="none" w:sz="0" w:space="0" w:color="auto"/>
            <w:right w:val="none" w:sz="0" w:space="0" w:color="auto"/>
          </w:divBdr>
          <w:divsChild>
            <w:div w:id="964579029">
              <w:marLeft w:val="0"/>
              <w:marRight w:val="0"/>
              <w:marTop w:val="0"/>
              <w:marBottom w:val="0"/>
              <w:divBdr>
                <w:top w:val="none" w:sz="0" w:space="0" w:color="auto"/>
                <w:left w:val="none" w:sz="0" w:space="0" w:color="auto"/>
                <w:bottom w:val="none" w:sz="0" w:space="0" w:color="auto"/>
                <w:right w:val="none" w:sz="0" w:space="0" w:color="auto"/>
              </w:divBdr>
              <w:divsChild>
                <w:div w:id="979964914">
                  <w:marLeft w:val="0"/>
                  <w:marRight w:val="0"/>
                  <w:marTop w:val="0"/>
                  <w:marBottom w:val="0"/>
                  <w:divBdr>
                    <w:top w:val="none" w:sz="0" w:space="0" w:color="auto"/>
                    <w:left w:val="none" w:sz="0" w:space="0" w:color="auto"/>
                    <w:bottom w:val="none" w:sz="0" w:space="0" w:color="auto"/>
                    <w:right w:val="none" w:sz="0" w:space="0" w:color="auto"/>
                  </w:divBdr>
                  <w:divsChild>
                    <w:div w:id="826827861">
                      <w:marLeft w:val="0"/>
                      <w:marRight w:val="0"/>
                      <w:marTop w:val="0"/>
                      <w:marBottom w:val="0"/>
                      <w:divBdr>
                        <w:top w:val="none" w:sz="0" w:space="0" w:color="auto"/>
                        <w:left w:val="none" w:sz="0" w:space="0" w:color="auto"/>
                        <w:bottom w:val="none" w:sz="0" w:space="0" w:color="auto"/>
                        <w:right w:val="none" w:sz="0" w:space="0" w:color="auto"/>
                      </w:divBdr>
                      <w:divsChild>
                        <w:div w:id="524486411">
                          <w:marLeft w:val="340"/>
                          <w:marRight w:val="0"/>
                          <w:marTop w:val="300"/>
                          <w:marBottom w:val="120"/>
                          <w:divBdr>
                            <w:top w:val="none" w:sz="0" w:space="0" w:color="auto"/>
                            <w:left w:val="none" w:sz="0" w:space="0" w:color="auto"/>
                            <w:bottom w:val="none" w:sz="0" w:space="0" w:color="auto"/>
                            <w:right w:val="none" w:sz="0" w:space="0" w:color="auto"/>
                          </w:divBdr>
                          <w:divsChild>
                            <w:div w:id="2038309648">
                              <w:marLeft w:val="0"/>
                              <w:marRight w:val="0"/>
                              <w:marTop w:val="0"/>
                              <w:marBottom w:val="0"/>
                              <w:divBdr>
                                <w:top w:val="none" w:sz="0" w:space="0" w:color="auto"/>
                                <w:left w:val="none" w:sz="0" w:space="0" w:color="auto"/>
                                <w:bottom w:val="none" w:sz="0" w:space="0" w:color="auto"/>
                                <w:right w:val="none" w:sz="0" w:space="0" w:color="auto"/>
                              </w:divBdr>
                              <w:divsChild>
                                <w:div w:id="77066673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505314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309652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59056165">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4754688">
      <w:bodyDiv w:val="1"/>
      <w:marLeft w:val="0"/>
      <w:marRight w:val="0"/>
      <w:marTop w:val="0"/>
      <w:marBottom w:val="0"/>
      <w:divBdr>
        <w:top w:val="none" w:sz="0" w:space="0" w:color="auto"/>
        <w:left w:val="none" w:sz="0" w:space="0" w:color="auto"/>
        <w:bottom w:val="none" w:sz="0" w:space="0" w:color="auto"/>
        <w:right w:val="none" w:sz="0" w:space="0" w:color="auto"/>
      </w:divBdr>
      <w:divsChild>
        <w:div w:id="1803381244">
          <w:marLeft w:val="0"/>
          <w:marRight w:val="0"/>
          <w:marTop w:val="0"/>
          <w:marBottom w:val="0"/>
          <w:divBdr>
            <w:top w:val="none" w:sz="0" w:space="0" w:color="auto"/>
            <w:left w:val="none" w:sz="0" w:space="0" w:color="auto"/>
            <w:bottom w:val="none" w:sz="0" w:space="0" w:color="auto"/>
            <w:right w:val="none" w:sz="0" w:space="0" w:color="auto"/>
          </w:divBdr>
          <w:divsChild>
            <w:div w:id="793447464">
              <w:marLeft w:val="0"/>
              <w:marRight w:val="0"/>
              <w:marTop w:val="0"/>
              <w:marBottom w:val="0"/>
              <w:divBdr>
                <w:top w:val="none" w:sz="0" w:space="0" w:color="auto"/>
                <w:left w:val="none" w:sz="0" w:space="0" w:color="auto"/>
                <w:bottom w:val="none" w:sz="0" w:space="0" w:color="auto"/>
                <w:right w:val="none" w:sz="0" w:space="0" w:color="auto"/>
              </w:divBdr>
              <w:divsChild>
                <w:div w:id="1786265862">
                  <w:marLeft w:val="0"/>
                  <w:marRight w:val="0"/>
                  <w:marTop w:val="0"/>
                  <w:marBottom w:val="0"/>
                  <w:divBdr>
                    <w:top w:val="none" w:sz="0" w:space="0" w:color="auto"/>
                    <w:left w:val="none" w:sz="0" w:space="0" w:color="auto"/>
                    <w:bottom w:val="none" w:sz="0" w:space="0" w:color="auto"/>
                    <w:right w:val="none" w:sz="0" w:space="0" w:color="auto"/>
                  </w:divBdr>
                  <w:divsChild>
                    <w:div w:id="1957634577">
                      <w:marLeft w:val="0"/>
                      <w:marRight w:val="0"/>
                      <w:marTop w:val="0"/>
                      <w:marBottom w:val="0"/>
                      <w:divBdr>
                        <w:top w:val="none" w:sz="0" w:space="0" w:color="auto"/>
                        <w:left w:val="none" w:sz="0" w:space="0" w:color="auto"/>
                        <w:bottom w:val="none" w:sz="0" w:space="0" w:color="auto"/>
                        <w:right w:val="none" w:sz="0" w:space="0" w:color="auto"/>
                      </w:divBdr>
                      <w:divsChild>
                        <w:div w:id="50277005">
                          <w:marLeft w:val="340"/>
                          <w:marRight w:val="0"/>
                          <w:marTop w:val="300"/>
                          <w:marBottom w:val="120"/>
                          <w:divBdr>
                            <w:top w:val="none" w:sz="0" w:space="0" w:color="auto"/>
                            <w:left w:val="none" w:sz="0" w:space="0" w:color="auto"/>
                            <w:bottom w:val="none" w:sz="0" w:space="0" w:color="auto"/>
                            <w:right w:val="none" w:sz="0" w:space="0" w:color="auto"/>
                          </w:divBdr>
                          <w:divsChild>
                            <w:div w:id="1923296539">
                              <w:marLeft w:val="0"/>
                              <w:marRight w:val="0"/>
                              <w:marTop w:val="0"/>
                              <w:marBottom w:val="0"/>
                              <w:divBdr>
                                <w:top w:val="none" w:sz="0" w:space="0" w:color="auto"/>
                                <w:left w:val="none" w:sz="0" w:space="0" w:color="auto"/>
                                <w:bottom w:val="none" w:sz="0" w:space="0" w:color="auto"/>
                                <w:right w:val="none" w:sz="0" w:space="0" w:color="auto"/>
                              </w:divBdr>
                              <w:divsChild>
                                <w:div w:id="144869453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63538520">
                                      <w:blockQuote w:val="1"/>
                                      <w:marLeft w:val="0"/>
                                      <w:marRight w:val="0"/>
                                      <w:marTop w:val="120"/>
                                      <w:marBottom w:val="120"/>
                                      <w:divBdr>
                                        <w:top w:val="none" w:sz="0" w:space="0" w:color="auto"/>
                                        <w:left w:val="none" w:sz="0" w:space="0" w:color="auto"/>
                                        <w:bottom w:val="none" w:sz="0" w:space="0" w:color="auto"/>
                                        <w:right w:val="none" w:sz="0" w:space="0" w:color="auto"/>
                                      </w:divBdr>
                                    </w:div>
                                    <w:div w:id="384061098">
                                      <w:blockQuote w:val="1"/>
                                      <w:marLeft w:val="600"/>
                                      <w:marRight w:val="0"/>
                                      <w:marTop w:val="120"/>
                                      <w:marBottom w:val="120"/>
                                      <w:divBdr>
                                        <w:top w:val="none" w:sz="0" w:space="0" w:color="auto"/>
                                        <w:left w:val="none" w:sz="0" w:space="0" w:color="auto"/>
                                        <w:bottom w:val="none" w:sz="0" w:space="0" w:color="auto"/>
                                        <w:right w:val="none" w:sz="0" w:space="0" w:color="auto"/>
                                      </w:divBdr>
                                    </w:div>
                                    <w:div w:id="2610935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7641027">
      <w:bodyDiv w:val="1"/>
      <w:marLeft w:val="0"/>
      <w:marRight w:val="0"/>
      <w:marTop w:val="0"/>
      <w:marBottom w:val="0"/>
      <w:divBdr>
        <w:top w:val="none" w:sz="0" w:space="0" w:color="auto"/>
        <w:left w:val="none" w:sz="0" w:space="0" w:color="auto"/>
        <w:bottom w:val="none" w:sz="0" w:space="0" w:color="auto"/>
        <w:right w:val="none" w:sz="0" w:space="0" w:color="auto"/>
      </w:divBdr>
      <w:divsChild>
        <w:div w:id="419985414">
          <w:marLeft w:val="0"/>
          <w:marRight w:val="0"/>
          <w:marTop w:val="0"/>
          <w:marBottom w:val="0"/>
          <w:divBdr>
            <w:top w:val="none" w:sz="0" w:space="0" w:color="auto"/>
            <w:left w:val="none" w:sz="0" w:space="0" w:color="auto"/>
            <w:bottom w:val="none" w:sz="0" w:space="0" w:color="auto"/>
            <w:right w:val="none" w:sz="0" w:space="0" w:color="auto"/>
          </w:divBdr>
          <w:divsChild>
            <w:div w:id="1051613955">
              <w:marLeft w:val="0"/>
              <w:marRight w:val="0"/>
              <w:marTop w:val="0"/>
              <w:marBottom w:val="0"/>
              <w:divBdr>
                <w:top w:val="none" w:sz="0" w:space="0" w:color="auto"/>
                <w:left w:val="none" w:sz="0" w:space="0" w:color="auto"/>
                <w:bottom w:val="none" w:sz="0" w:space="0" w:color="auto"/>
                <w:right w:val="none" w:sz="0" w:space="0" w:color="auto"/>
              </w:divBdr>
              <w:divsChild>
                <w:div w:id="1925335767">
                  <w:marLeft w:val="0"/>
                  <w:marRight w:val="0"/>
                  <w:marTop w:val="0"/>
                  <w:marBottom w:val="0"/>
                  <w:divBdr>
                    <w:top w:val="none" w:sz="0" w:space="0" w:color="auto"/>
                    <w:left w:val="none" w:sz="0" w:space="0" w:color="auto"/>
                    <w:bottom w:val="none" w:sz="0" w:space="0" w:color="auto"/>
                    <w:right w:val="none" w:sz="0" w:space="0" w:color="auto"/>
                  </w:divBdr>
                  <w:divsChild>
                    <w:div w:id="1480918433">
                      <w:marLeft w:val="0"/>
                      <w:marRight w:val="0"/>
                      <w:marTop w:val="0"/>
                      <w:marBottom w:val="0"/>
                      <w:divBdr>
                        <w:top w:val="none" w:sz="0" w:space="0" w:color="auto"/>
                        <w:left w:val="none" w:sz="0" w:space="0" w:color="auto"/>
                        <w:bottom w:val="none" w:sz="0" w:space="0" w:color="auto"/>
                        <w:right w:val="none" w:sz="0" w:space="0" w:color="auto"/>
                      </w:divBdr>
                      <w:divsChild>
                        <w:div w:id="1065837033">
                          <w:marLeft w:val="340"/>
                          <w:marRight w:val="0"/>
                          <w:marTop w:val="300"/>
                          <w:marBottom w:val="120"/>
                          <w:divBdr>
                            <w:top w:val="none" w:sz="0" w:space="0" w:color="auto"/>
                            <w:left w:val="none" w:sz="0" w:space="0" w:color="auto"/>
                            <w:bottom w:val="none" w:sz="0" w:space="0" w:color="auto"/>
                            <w:right w:val="none" w:sz="0" w:space="0" w:color="auto"/>
                          </w:divBdr>
                          <w:divsChild>
                            <w:div w:id="1256356601">
                              <w:marLeft w:val="0"/>
                              <w:marRight w:val="0"/>
                              <w:marTop w:val="0"/>
                              <w:marBottom w:val="0"/>
                              <w:divBdr>
                                <w:top w:val="none" w:sz="0" w:space="0" w:color="auto"/>
                                <w:left w:val="none" w:sz="0" w:space="0" w:color="auto"/>
                                <w:bottom w:val="none" w:sz="0" w:space="0" w:color="auto"/>
                                <w:right w:val="none" w:sz="0" w:space="0" w:color="auto"/>
                              </w:divBdr>
                              <w:divsChild>
                                <w:div w:id="178745641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106113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361501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79915188">
                                              <w:blockQuote w:val="1"/>
                                              <w:marLeft w:val="0"/>
                                              <w:marRight w:val="0"/>
                                              <w:marTop w:val="120"/>
                                              <w:marBottom w:val="120"/>
                                              <w:divBdr>
                                                <w:top w:val="none" w:sz="0" w:space="0" w:color="auto"/>
                                                <w:left w:val="none" w:sz="0" w:space="0" w:color="auto"/>
                                                <w:bottom w:val="none" w:sz="0" w:space="0" w:color="auto"/>
                                                <w:right w:val="none" w:sz="0" w:space="0" w:color="auto"/>
                                              </w:divBdr>
                                            </w:div>
                                            <w:div w:id="144068308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84414275">
                                                  <w:blockQuote w:val="1"/>
                                                  <w:marLeft w:val="600"/>
                                                  <w:marRight w:val="0"/>
                                                  <w:marTop w:val="120"/>
                                                  <w:marBottom w:val="120"/>
                                                  <w:divBdr>
                                                    <w:top w:val="none" w:sz="0" w:space="0" w:color="auto"/>
                                                    <w:left w:val="none" w:sz="0" w:space="0" w:color="auto"/>
                                                    <w:bottom w:val="none" w:sz="0" w:space="0" w:color="auto"/>
                                                    <w:right w:val="none" w:sz="0" w:space="0" w:color="auto"/>
                                                  </w:divBdr>
                                                </w:div>
                                                <w:div w:id="72780683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8479573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804637">
      <w:bodyDiv w:val="1"/>
      <w:marLeft w:val="0"/>
      <w:marRight w:val="0"/>
      <w:marTop w:val="0"/>
      <w:marBottom w:val="0"/>
      <w:divBdr>
        <w:top w:val="none" w:sz="0" w:space="0" w:color="auto"/>
        <w:left w:val="none" w:sz="0" w:space="0" w:color="auto"/>
        <w:bottom w:val="none" w:sz="0" w:space="0" w:color="auto"/>
        <w:right w:val="none" w:sz="0" w:space="0" w:color="auto"/>
      </w:divBdr>
      <w:divsChild>
        <w:div w:id="1555657300">
          <w:marLeft w:val="0"/>
          <w:marRight w:val="0"/>
          <w:marTop w:val="0"/>
          <w:marBottom w:val="0"/>
          <w:divBdr>
            <w:top w:val="none" w:sz="0" w:space="0" w:color="auto"/>
            <w:left w:val="none" w:sz="0" w:space="0" w:color="auto"/>
            <w:bottom w:val="none" w:sz="0" w:space="0" w:color="auto"/>
            <w:right w:val="none" w:sz="0" w:space="0" w:color="auto"/>
          </w:divBdr>
          <w:divsChild>
            <w:div w:id="1083263437">
              <w:marLeft w:val="0"/>
              <w:marRight w:val="0"/>
              <w:marTop w:val="0"/>
              <w:marBottom w:val="0"/>
              <w:divBdr>
                <w:top w:val="none" w:sz="0" w:space="0" w:color="auto"/>
                <w:left w:val="none" w:sz="0" w:space="0" w:color="auto"/>
                <w:bottom w:val="none" w:sz="0" w:space="0" w:color="auto"/>
                <w:right w:val="none" w:sz="0" w:space="0" w:color="auto"/>
              </w:divBdr>
              <w:divsChild>
                <w:div w:id="1812793963">
                  <w:marLeft w:val="0"/>
                  <w:marRight w:val="0"/>
                  <w:marTop w:val="0"/>
                  <w:marBottom w:val="0"/>
                  <w:divBdr>
                    <w:top w:val="none" w:sz="0" w:space="0" w:color="auto"/>
                    <w:left w:val="none" w:sz="0" w:space="0" w:color="auto"/>
                    <w:bottom w:val="none" w:sz="0" w:space="0" w:color="auto"/>
                    <w:right w:val="none" w:sz="0" w:space="0" w:color="auto"/>
                  </w:divBdr>
                  <w:divsChild>
                    <w:div w:id="790395535">
                      <w:marLeft w:val="0"/>
                      <w:marRight w:val="0"/>
                      <w:marTop w:val="0"/>
                      <w:marBottom w:val="0"/>
                      <w:divBdr>
                        <w:top w:val="none" w:sz="0" w:space="0" w:color="auto"/>
                        <w:left w:val="none" w:sz="0" w:space="0" w:color="auto"/>
                        <w:bottom w:val="none" w:sz="0" w:space="0" w:color="auto"/>
                        <w:right w:val="none" w:sz="0" w:space="0" w:color="auto"/>
                      </w:divBdr>
                      <w:divsChild>
                        <w:div w:id="175854269">
                          <w:marLeft w:val="340"/>
                          <w:marRight w:val="0"/>
                          <w:marTop w:val="300"/>
                          <w:marBottom w:val="120"/>
                          <w:divBdr>
                            <w:top w:val="none" w:sz="0" w:space="0" w:color="auto"/>
                            <w:left w:val="none" w:sz="0" w:space="0" w:color="auto"/>
                            <w:bottom w:val="none" w:sz="0" w:space="0" w:color="auto"/>
                            <w:right w:val="none" w:sz="0" w:space="0" w:color="auto"/>
                          </w:divBdr>
                          <w:divsChild>
                            <w:div w:id="197089863">
                              <w:marLeft w:val="0"/>
                              <w:marRight w:val="0"/>
                              <w:marTop w:val="0"/>
                              <w:marBottom w:val="0"/>
                              <w:divBdr>
                                <w:top w:val="none" w:sz="0" w:space="0" w:color="auto"/>
                                <w:left w:val="none" w:sz="0" w:space="0" w:color="auto"/>
                                <w:bottom w:val="none" w:sz="0" w:space="0" w:color="auto"/>
                                <w:right w:val="none" w:sz="0" w:space="0" w:color="auto"/>
                              </w:divBdr>
                              <w:divsChild>
                                <w:div w:id="93142722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7455267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9200754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1319322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6976973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14584698">
                                                      <w:blockQuote w:val="1"/>
                                                      <w:marLeft w:val="600"/>
                                                      <w:marRight w:val="0"/>
                                                      <w:marTop w:val="120"/>
                                                      <w:marBottom w:val="120"/>
                                                      <w:divBdr>
                                                        <w:top w:val="none" w:sz="0" w:space="0" w:color="auto"/>
                                                        <w:left w:val="none" w:sz="0" w:space="0" w:color="auto"/>
                                                        <w:bottom w:val="none" w:sz="0" w:space="0" w:color="auto"/>
                                                        <w:right w:val="none" w:sz="0" w:space="0" w:color="auto"/>
                                                      </w:divBdr>
                                                    </w:div>
                                                    <w:div w:id="3146487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9216768">
      <w:bodyDiv w:val="1"/>
      <w:marLeft w:val="0"/>
      <w:marRight w:val="0"/>
      <w:marTop w:val="0"/>
      <w:marBottom w:val="0"/>
      <w:divBdr>
        <w:top w:val="none" w:sz="0" w:space="0" w:color="auto"/>
        <w:left w:val="none" w:sz="0" w:space="0" w:color="auto"/>
        <w:bottom w:val="none" w:sz="0" w:space="0" w:color="auto"/>
        <w:right w:val="none" w:sz="0" w:space="0" w:color="auto"/>
      </w:divBdr>
      <w:divsChild>
        <w:div w:id="176235934">
          <w:marLeft w:val="0"/>
          <w:marRight w:val="0"/>
          <w:marTop w:val="0"/>
          <w:marBottom w:val="0"/>
          <w:divBdr>
            <w:top w:val="none" w:sz="0" w:space="0" w:color="auto"/>
            <w:left w:val="none" w:sz="0" w:space="0" w:color="auto"/>
            <w:bottom w:val="none" w:sz="0" w:space="0" w:color="auto"/>
            <w:right w:val="none" w:sz="0" w:space="0" w:color="auto"/>
          </w:divBdr>
          <w:divsChild>
            <w:div w:id="1141078355">
              <w:marLeft w:val="0"/>
              <w:marRight w:val="0"/>
              <w:marTop w:val="0"/>
              <w:marBottom w:val="0"/>
              <w:divBdr>
                <w:top w:val="none" w:sz="0" w:space="0" w:color="auto"/>
                <w:left w:val="none" w:sz="0" w:space="0" w:color="auto"/>
                <w:bottom w:val="none" w:sz="0" w:space="0" w:color="auto"/>
                <w:right w:val="none" w:sz="0" w:space="0" w:color="auto"/>
              </w:divBdr>
              <w:divsChild>
                <w:div w:id="257952237">
                  <w:marLeft w:val="0"/>
                  <w:marRight w:val="0"/>
                  <w:marTop w:val="0"/>
                  <w:marBottom w:val="0"/>
                  <w:divBdr>
                    <w:top w:val="none" w:sz="0" w:space="0" w:color="auto"/>
                    <w:left w:val="none" w:sz="0" w:space="0" w:color="auto"/>
                    <w:bottom w:val="none" w:sz="0" w:space="0" w:color="auto"/>
                    <w:right w:val="none" w:sz="0" w:space="0" w:color="auto"/>
                  </w:divBdr>
                  <w:divsChild>
                    <w:div w:id="1230266735">
                      <w:marLeft w:val="0"/>
                      <w:marRight w:val="0"/>
                      <w:marTop w:val="0"/>
                      <w:marBottom w:val="0"/>
                      <w:divBdr>
                        <w:top w:val="none" w:sz="0" w:space="0" w:color="auto"/>
                        <w:left w:val="none" w:sz="0" w:space="0" w:color="auto"/>
                        <w:bottom w:val="none" w:sz="0" w:space="0" w:color="auto"/>
                        <w:right w:val="none" w:sz="0" w:space="0" w:color="auto"/>
                      </w:divBdr>
                      <w:divsChild>
                        <w:div w:id="1153302563">
                          <w:marLeft w:val="340"/>
                          <w:marRight w:val="0"/>
                          <w:marTop w:val="300"/>
                          <w:marBottom w:val="120"/>
                          <w:divBdr>
                            <w:top w:val="none" w:sz="0" w:space="0" w:color="auto"/>
                            <w:left w:val="none" w:sz="0" w:space="0" w:color="auto"/>
                            <w:bottom w:val="none" w:sz="0" w:space="0" w:color="auto"/>
                            <w:right w:val="none" w:sz="0" w:space="0" w:color="auto"/>
                          </w:divBdr>
                          <w:divsChild>
                            <w:div w:id="493687721">
                              <w:marLeft w:val="0"/>
                              <w:marRight w:val="0"/>
                              <w:marTop w:val="0"/>
                              <w:marBottom w:val="0"/>
                              <w:divBdr>
                                <w:top w:val="none" w:sz="0" w:space="0" w:color="auto"/>
                                <w:left w:val="none" w:sz="0" w:space="0" w:color="auto"/>
                                <w:bottom w:val="none" w:sz="0" w:space="0" w:color="auto"/>
                                <w:right w:val="none" w:sz="0" w:space="0" w:color="auto"/>
                              </w:divBdr>
                              <w:divsChild>
                                <w:div w:id="115356555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2715719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9483806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91660608">
                                              <w:blockQuote w:val="1"/>
                                              <w:marLeft w:val="600"/>
                                              <w:marRight w:val="0"/>
                                              <w:marTop w:val="120"/>
                                              <w:marBottom w:val="120"/>
                                              <w:divBdr>
                                                <w:top w:val="none" w:sz="0" w:space="0" w:color="auto"/>
                                                <w:left w:val="none" w:sz="0" w:space="0" w:color="auto"/>
                                                <w:bottom w:val="none" w:sz="0" w:space="0" w:color="auto"/>
                                                <w:right w:val="none" w:sz="0" w:space="0" w:color="auto"/>
                                              </w:divBdr>
                                            </w:div>
                                            <w:div w:id="76815882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4144032">
      <w:bodyDiv w:val="1"/>
      <w:marLeft w:val="0"/>
      <w:marRight w:val="0"/>
      <w:marTop w:val="0"/>
      <w:marBottom w:val="0"/>
      <w:divBdr>
        <w:top w:val="none" w:sz="0" w:space="0" w:color="auto"/>
        <w:left w:val="none" w:sz="0" w:space="0" w:color="auto"/>
        <w:bottom w:val="none" w:sz="0" w:space="0" w:color="auto"/>
        <w:right w:val="none" w:sz="0" w:space="0" w:color="auto"/>
      </w:divBdr>
      <w:divsChild>
        <w:div w:id="1290087128">
          <w:blockQuote w:val="1"/>
          <w:marLeft w:val="600"/>
          <w:marRight w:val="0"/>
          <w:marTop w:val="120"/>
          <w:marBottom w:val="120"/>
          <w:divBdr>
            <w:top w:val="none" w:sz="0" w:space="0" w:color="auto"/>
            <w:left w:val="none" w:sz="0" w:space="0" w:color="auto"/>
            <w:bottom w:val="none" w:sz="0" w:space="0" w:color="auto"/>
            <w:right w:val="none" w:sz="0" w:space="0" w:color="auto"/>
          </w:divBdr>
        </w:div>
        <w:div w:id="73304850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97174223">
      <w:bodyDiv w:val="1"/>
      <w:marLeft w:val="0"/>
      <w:marRight w:val="0"/>
      <w:marTop w:val="0"/>
      <w:marBottom w:val="0"/>
      <w:divBdr>
        <w:top w:val="none" w:sz="0" w:space="0" w:color="auto"/>
        <w:left w:val="none" w:sz="0" w:space="0" w:color="auto"/>
        <w:bottom w:val="none" w:sz="0" w:space="0" w:color="auto"/>
        <w:right w:val="none" w:sz="0" w:space="0" w:color="auto"/>
      </w:divBdr>
      <w:divsChild>
        <w:div w:id="544218602">
          <w:marLeft w:val="0"/>
          <w:marRight w:val="0"/>
          <w:marTop w:val="0"/>
          <w:marBottom w:val="0"/>
          <w:divBdr>
            <w:top w:val="none" w:sz="0" w:space="0" w:color="auto"/>
            <w:left w:val="none" w:sz="0" w:space="0" w:color="auto"/>
            <w:bottom w:val="none" w:sz="0" w:space="0" w:color="auto"/>
            <w:right w:val="none" w:sz="0" w:space="0" w:color="auto"/>
          </w:divBdr>
          <w:divsChild>
            <w:div w:id="2130589100">
              <w:marLeft w:val="0"/>
              <w:marRight w:val="0"/>
              <w:marTop w:val="0"/>
              <w:marBottom w:val="0"/>
              <w:divBdr>
                <w:top w:val="none" w:sz="0" w:space="0" w:color="auto"/>
                <w:left w:val="none" w:sz="0" w:space="0" w:color="auto"/>
                <w:bottom w:val="none" w:sz="0" w:space="0" w:color="auto"/>
                <w:right w:val="none" w:sz="0" w:space="0" w:color="auto"/>
              </w:divBdr>
              <w:divsChild>
                <w:div w:id="1919943303">
                  <w:marLeft w:val="0"/>
                  <w:marRight w:val="0"/>
                  <w:marTop w:val="0"/>
                  <w:marBottom w:val="0"/>
                  <w:divBdr>
                    <w:top w:val="none" w:sz="0" w:space="0" w:color="auto"/>
                    <w:left w:val="none" w:sz="0" w:space="0" w:color="auto"/>
                    <w:bottom w:val="none" w:sz="0" w:space="0" w:color="auto"/>
                    <w:right w:val="none" w:sz="0" w:space="0" w:color="auto"/>
                  </w:divBdr>
                  <w:divsChild>
                    <w:div w:id="1355225706">
                      <w:marLeft w:val="0"/>
                      <w:marRight w:val="0"/>
                      <w:marTop w:val="0"/>
                      <w:marBottom w:val="0"/>
                      <w:divBdr>
                        <w:top w:val="none" w:sz="0" w:space="0" w:color="auto"/>
                        <w:left w:val="none" w:sz="0" w:space="0" w:color="auto"/>
                        <w:bottom w:val="none" w:sz="0" w:space="0" w:color="auto"/>
                        <w:right w:val="none" w:sz="0" w:space="0" w:color="auto"/>
                      </w:divBdr>
                      <w:divsChild>
                        <w:div w:id="1010642679">
                          <w:marLeft w:val="340"/>
                          <w:marRight w:val="0"/>
                          <w:marTop w:val="300"/>
                          <w:marBottom w:val="120"/>
                          <w:divBdr>
                            <w:top w:val="none" w:sz="0" w:space="0" w:color="auto"/>
                            <w:left w:val="none" w:sz="0" w:space="0" w:color="auto"/>
                            <w:bottom w:val="none" w:sz="0" w:space="0" w:color="auto"/>
                            <w:right w:val="none" w:sz="0" w:space="0" w:color="auto"/>
                          </w:divBdr>
                          <w:divsChild>
                            <w:div w:id="1406955843">
                              <w:marLeft w:val="0"/>
                              <w:marRight w:val="0"/>
                              <w:marTop w:val="0"/>
                              <w:marBottom w:val="0"/>
                              <w:divBdr>
                                <w:top w:val="none" w:sz="0" w:space="0" w:color="auto"/>
                                <w:left w:val="none" w:sz="0" w:space="0" w:color="auto"/>
                                <w:bottom w:val="none" w:sz="0" w:space="0" w:color="auto"/>
                                <w:right w:val="none" w:sz="0" w:space="0" w:color="auto"/>
                              </w:divBdr>
                              <w:divsChild>
                                <w:div w:id="71369427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573604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5584859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14203221">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458497">
      <w:bodyDiv w:val="1"/>
      <w:marLeft w:val="0"/>
      <w:marRight w:val="0"/>
      <w:marTop w:val="0"/>
      <w:marBottom w:val="0"/>
      <w:divBdr>
        <w:top w:val="none" w:sz="0" w:space="0" w:color="auto"/>
        <w:left w:val="none" w:sz="0" w:space="0" w:color="auto"/>
        <w:bottom w:val="none" w:sz="0" w:space="0" w:color="auto"/>
        <w:right w:val="none" w:sz="0" w:space="0" w:color="auto"/>
      </w:divBdr>
      <w:divsChild>
        <w:div w:id="1690990334">
          <w:marLeft w:val="0"/>
          <w:marRight w:val="0"/>
          <w:marTop w:val="0"/>
          <w:marBottom w:val="0"/>
          <w:divBdr>
            <w:top w:val="none" w:sz="0" w:space="0" w:color="auto"/>
            <w:left w:val="none" w:sz="0" w:space="0" w:color="auto"/>
            <w:bottom w:val="none" w:sz="0" w:space="0" w:color="auto"/>
            <w:right w:val="none" w:sz="0" w:space="0" w:color="auto"/>
          </w:divBdr>
          <w:divsChild>
            <w:div w:id="1409033421">
              <w:marLeft w:val="0"/>
              <w:marRight w:val="0"/>
              <w:marTop w:val="0"/>
              <w:marBottom w:val="0"/>
              <w:divBdr>
                <w:top w:val="none" w:sz="0" w:space="0" w:color="auto"/>
                <w:left w:val="none" w:sz="0" w:space="0" w:color="auto"/>
                <w:bottom w:val="none" w:sz="0" w:space="0" w:color="auto"/>
                <w:right w:val="none" w:sz="0" w:space="0" w:color="auto"/>
              </w:divBdr>
              <w:divsChild>
                <w:div w:id="1577742446">
                  <w:marLeft w:val="0"/>
                  <w:marRight w:val="0"/>
                  <w:marTop w:val="0"/>
                  <w:marBottom w:val="0"/>
                  <w:divBdr>
                    <w:top w:val="none" w:sz="0" w:space="0" w:color="auto"/>
                    <w:left w:val="none" w:sz="0" w:space="0" w:color="auto"/>
                    <w:bottom w:val="none" w:sz="0" w:space="0" w:color="auto"/>
                    <w:right w:val="none" w:sz="0" w:space="0" w:color="auto"/>
                  </w:divBdr>
                  <w:divsChild>
                    <w:div w:id="368919709">
                      <w:marLeft w:val="0"/>
                      <w:marRight w:val="0"/>
                      <w:marTop w:val="0"/>
                      <w:marBottom w:val="0"/>
                      <w:divBdr>
                        <w:top w:val="none" w:sz="0" w:space="0" w:color="auto"/>
                        <w:left w:val="none" w:sz="0" w:space="0" w:color="auto"/>
                        <w:bottom w:val="none" w:sz="0" w:space="0" w:color="auto"/>
                        <w:right w:val="none" w:sz="0" w:space="0" w:color="auto"/>
                      </w:divBdr>
                      <w:divsChild>
                        <w:div w:id="1157303204">
                          <w:marLeft w:val="340"/>
                          <w:marRight w:val="0"/>
                          <w:marTop w:val="300"/>
                          <w:marBottom w:val="120"/>
                          <w:divBdr>
                            <w:top w:val="none" w:sz="0" w:space="0" w:color="auto"/>
                            <w:left w:val="none" w:sz="0" w:space="0" w:color="auto"/>
                            <w:bottom w:val="none" w:sz="0" w:space="0" w:color="auto"/>
                            <w:right w:val="none" w:sz="0" w:space="0" w:color="auto"/>
                          </w:divBdr>
                          <w:divsChild>
                            <w:div w:id="1475946387">
                              <w:marLeft w:val="0"/>
                              <w:marRight w:val="0"/>
                              <w:marTop w:val="0"/>
                              <w:marBottom w:val="0"/>
                              <w:divBdr>
                                <w:top w:val="none" w:sz="0" w:space="0" w:color="auto"/>
                                <w:left w:val="none" w:sz="0" w:space="0" w:color="auto"/>
                                <w:bottom w:val="none" w:sz="0" w:space="0" w:color="auto"/>
                                <w:right w:val="none" w:sz="0" w:space="0" w:color="auto"/>
                              </w:divBdr>
                              <w:divsChild>
                                <w:div w:id="193679153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342063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3836824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922169">
      <w:bodyDiv w:val="1"/>
      <w:marLeft w:val="0"/>
      <w:marRight w:val="0"/>
      <w:marTop w:val="0"/>
      <w:marBottom w:val="0"/>
      <w:divBdr>
        <w:top w:val="none" w:sz="0" w:space="0" w:color="auto"/>
        <w:left w:val="none" w:sz="0" w:space="0" w:color="auto"/>
        <w:bottom w:val="none" w:sz="0" w:space="0" w:color="auto"/>
        <w:right w:val="none" w:sz="0" w:space="0" w:color="auto"/>
      </w:divBdr>
      <w:divsChild>
        <w:div w:id="362050305">
          <w:marLeft w:val="0"/>
          <w:marRight w:val="0"/>
          <w:marTop w:val="0"/>
          <w:marBottom w:val="0"/>
          <w:divBdr>
            <w:top w:val="none" w:sz="0" w:space="0" w:color="auto"/>
            <w:left w:val="none" w:sz="0" w:space="0" w:color="auto"/>
            <w:bottom w:val="none" w:sz="0" w:space="0" w:color="auto"/>
            <w:right w:val="none" w:sz="0" w:space="0" w:color="auto"/>
          </w:divBdr>
          <w:divsChild>
            <w:div w:id="1136944729">
              <w:marLeft w:val="0"/>
              <w:marRight w:val="0"/>
              <w:marTop w:val="0"/>
              <w:marBottom w:val="0"/>
              <w:divBdr>
                <w:top w:val="none" w:sz="0" w:space="0" w:color="auto"/>
                <w:left w:val="none" w:sz="0" w:space="0" w:color="auto"/>
                <w:bottom w:val="none" w:sz="0" w:space="0" w:color="auto"/>
                <w:right w:val="none" w:sz="0" w:space="0" w:color="auto"/>
              </w:divBdr>
              <w:divsChild>
                <w:div w:id="1196234058">
                  <w:marLeft w:val="0"/>
                  <w:marRight w:val="0"/>
                  <w:marTop w:val="0"/>
                  <w:marBottom w:val="0"/>
                  <w:divBdr>
                    <w:top w:val="none" w:sz="0" w:space="0" w:color="auto"/>
                    <w:left w:val="none" w:sz="0" w:space="0" w:color="auto"/>
                    <w:bottom w:val="none" w:sz="0" w:space="0" w:color="auto"/>
                    <w:right w:val="none" w:sz="0" w:space="0" w:color="auto"/>
                  </w:divBdr>
                  <w:divsChild>
                    <w:div w:id="1401558132">
                      <w:marLeft w:val="0"/>
                      <w:marRight w:val="0"/>
                      <w:marTop w:val="0"/>
                      <w:marBottom w:val="0"/>
                      <w:divBdr>
                        <w:top w:val="none" w:sz="0" w:space="0" w:color="auto"/>
                        <w:left w:val="none" w:sz="0" w:space="0" w:color="auto"/>
                        <w:bottom w:val="none" w:sz="0" w:space="0" w:color="auto"/>
                        <w:right w:val="none" w:sz="0" w:space="0" w:color="auto"/>
                      </w:divBdr>
                      <w:divsChild>
                        <w:div w:id="1452362733">
                          <w:marLeft w:val="340"/>
                          <w:marRight w:val="0"/>
                          <w:marTop w:val="300"/>
                          <w:marBottom w:val="120"/>
                          <w:divBdr>
                            <w:top w:val="none" w:sz="0" w:space="0" w:color="auto"/>
                            <w:left w:val="none" w:sz="0" w:space="0" w:color="auto"/>
                            <w:bottom w:val="none" w:sz="0" w:space="0" w:color="auto"/>
                            <w:right w:val="none" w:sz="0" w:space="0" w:color="auto"/>
                          </w:divBdr>
                          <w:divsChild>
                            <w:div w:id="1582371300">
                              <w:marLeft w:val="0"/>
                              <w:marRight w:val="0"/>
                              <w:marTop w:val="0"/>
                              <w:marBottom w:val="0"/>
                              <w:divBdr>
                                <w:top w:val="none" w:sz="0" w:space="0" w:color="auto"/>
                                <w:left w:val="none" w:sz="0" w:space="0" w:color="auto"/>
                                <w:bottom w:val="none" w:sz="0" w:space="0" w:color="auto"/>
                                <w:right w:val="none" w:sz="0" w:space="0" w:color="auto"/>
                              </w:divBdr>
                              <w:divsChild>
                                <w:div w:id="54953911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927203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5331138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85497684">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4309665">
      <w:bodyDiv w:val="1"/>
      <w:marLeft w:val="0"/>
      <w:marRight w:val="0"/>
      <w:marTop w:val="0"/>
      <w:marBottom w:val="0"/>
      <w:divBdr>
        <w:top w:val="none" w:sz="0" w:space="0" w:color="auto"/>
        <w:left w:val="none" w:sz="0" w:space="0" w:color="auto"/>
        <w:bottom w:val="none" w:sz="0" w:space="0" w:color="auto"/>
        <w:right w:val="none" w:sz="0" w:space="0" w:color="auto"/>
      </w:divBdr>
      <w:divsChild>
        <w:div w:id="1423792188">
          <w:marLeft w:val="0"/>
          <w:marRight w:val="0"/>
          <w:marTop w:val="0"/>
          <w:marBottom w:val="0"/>
          <w:divBdr>
            <w:top w:val="none" w:sz="0" w:space="0" w:color="auto"/>
            <w:left w:val="none" w:sz="0" w:space="0" w:color="auto"/>
            <w:bottom w:val="none" w:sz="0" w:space="0" w:color="auto"/>
            <w:right w:val="none" w:sz="0" w:space="0" w:color="auto"/>
          </w:divBdr>
          <w:divsChild>
            <w:div w:id="1973167466">
              <w:marLeft w:val="0"/>
              <w:marRight w:val="0"/>
              <w:marTop w:val="0"/>
              <w:marBottom w:val="0"/>
              <w:divBdr>
                <w:top w:val="none" w:sz="0" w:space="0" w:color="auto"/>
                <w:left w:val="none" w:sz="0" w:space="0" w:color="auto"/>
                <w:bottom w:val="none" w:sz="0" w:space="0" w:color="auto"/>
                <w:right w:val="none" w:sz="0" w:space="0" w:color="auto"/>
              </w:divBdr>
              <w:divsChild>
                <w:div w:id="1980844974">
                  <w:marLeft w:val="0"/>
                  <w:marRight w:val="0"/>
                  <w:marTop w:val="0"/>
                  <w:marBottom w:val="0"/>
                  <w:divBdr>
                    <w:top w:val="none" w:sz="0" w:space="0" w:color="auto"/>
                    <w:left w:val="none" w:sz="0" w:space="0" w:color="auto"/>
                    <w:bottom w:val="none" w:sz="0" w:space="0" w:color="auto"/>
                    <w:right w:val="none" w:sz="0" w:space="0" w:color="auto"/>
                  </w:divBdr>
                  <w:divsChild>
                    <w:div w:id="57559725">
                      <w:marLeft w:val="0"/>
                      <w:marRight w:val="0"/>
                      <w:marTop w:val="0"/>
                      <w:marBottom w:val="0"/>
                      <w:divBdr>
                        <w:top w:val="none" w:sz="0" w:space="0" w:color="auto"/>
                        <w:left w:val="none" w:sz="0" w:space="0" w:color="auto"/>
                        <w:bottom w:val="none" w:sz="0" w:space="0" w:color="auto"/>
                        <w:right w:val="none" w:sz="0" w:space="0" w:color="auto"/>
                      </w:divBdr>
                      <w:divsChild>
                        <w:div w:id="1485851723">
                          <w:marLeft w:val="340"/>
                          <w:marRight w:val="0"/>
                          <w:marTop w:val="300"/>
                          <w:marBottom w:val="120"/>
                          <w:divBdr>
                            <w:top w:val="none" w:sz="0" w:space="0" w:color="auto"/>
                            <w:left w:val="none" w:sz="0" w:space="0" w:color="auto"/>
                            <w:bottom w:val="none" w:sz="0" w:space="0" w:color="auto"/>
                            <w:right w:val="none" w:sz="0" w:space="0" w:color="auto"/>
                          </w:divBdr>
                          <w:divsChild>
                            <w:div w:id="717247783">
                              <w:marLeft w:val="0"/>
                              <w:marRight w:val="0"/>
                              <w:marTop w:val="0"/>
                              <w:marBottom w:val="0"/>
                              <w:divBdr>
                                <w:top w:val="none" w:sz="0" w:space="0" w:color="auto"/>
                                <w:left w:val="none" w:sz="0" w:space="0" w:color="auto"/>
                                <w:bottom w:val="none" w:sz="0" w:space="0" w:color="auto"/>
                                <w:right w:val="none" w:sz="0" w:space="0" w:color="auto"/>
                              </w:divBdr>
                              <w:divsChild>
                                <w:div w:id="186078016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2027450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569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930633">
      <w:bodyDiv w:val="1"/>
      <w:marLeft w:val="0"/>
      <w:marRight w:val="0"/>
      <w:marTop w:val="0"/>
      <w:marBottom w:val="0"/>
      <w:divBdr>
        <w:top w:val="none" w:sz="0" w:space="0" w:color="auto"/>
        <w:left w:val="none" w:sz="0" w:space="0" w:color="auto"/>
        <w:bottom w:val="none" w:sz="0" w:space="0" w:color="auto"/>
        <w:right w:val="none" w:sz="0" w:space="0" w:color="auto"/>
      </w:divBdr>
      <w:divsChild>
        <w:div w:id="2053966569">
          <w:marLeft w:val="0"/>
          <w:marRight w:val="0"/>
          <w:marTop w:val="0"/>
          <w:marBottom w:val="0"/>
          <w:divBdr>
            <w:top w:val="none" w:sz="0" w:space="0" w:color="auto"/>
            <w:left w:val="none" w:sz="0" w:space="0" w:color="auto"/>
            <w:bottom w:val="none" w:sz="0" w:space="0" w:color="auto"/>
            <w:right w:val="none" w:sz="0" w:space="0" w:color="auto"/>
          </w:divBdr>
          <w:divsChild>
            <w:div w:id="1833645563">
              <w:marLeft w:val="0"/>
              <w:marRight w:val="0"/>
              <w:marTop w:val="0"/>
              <w:marBottom w:val="0"/>
              <w:divBdr>
                <w:top w:val="none" w:sz="0" w:space="0" w:color="auto"/>
                <w:left w:val="none" w:sz="0" w:space="0" w:color="auto"/>
                <w:bottom w:val="none" w:sz="0" w:space="0" w:color="auto"/>
                <w:right w:val="none" w:sz="0" w:space="0" w:color="auto"/>
              </w:divBdr>
              <w:divsChild>
                <w:div w:id="1984003497">
                  <w:marLeft w:val="0"/>
                  <w:marRight w:val="0"/>
                  <w:marTop w:val="0"/>
                  <w:marBottom w:val="0"/>
                  <w:divBdr>
                    <w:top w:val="none" w:sz="0" w:space="0" w:color="auto"/>
                    <w:left w:val="none" w:sz="0" w:space="0" w:color="auto"/>
                    <w:bottom w:val="none" w:sz="0" w:space="0" w:color="auto"/>
                    <w:right w:val="none" w:sz="0" w:space="0" w:color="auto"/>
                  </w:divBdr>
                  <w:divsChild>
                    <w:div w:id="992953589">
                      <w:marLeft w:val="0"/>
                      <w:marRight w:val="0"/>
                      <w:marTop w:val="0"/>
                      <w:marBottom w:val="0"/>
                      <w:divBdr>
                        <w:top w:val="none" w:sz="0" w:space="0" w:color="auto"/>
                        <w:left w:val="none" w:sz="0" w:space="0" w:color="auto"/>
                        <w:bottom w:val="none" w:sz="0" w:space="0" w:color="auto"/>
                        <w:right w:val="none" w:sz="0" w:space="0" w:color="auto"/>
                      </w:divBdr>
                      <w:divsChild>
                        <w:div w:id="170066372">
                          <w:marLeft w:val="340"/>
                          <w:marRight w:val="0"/>
                          <w:marTop w:val="300"/>
                          <w:marBottom w:val="120"/>
                          <w:divBdr>
                            <w:top w:val="none" w:sz="0" w:space="0" w:color="auto"/>
                            <w:left w:val="none" w:sz="0" w:space="0" w:color="auto"/>
                            <w:bottom w:val="none" w:sz="0" w:space="0" w:color="auto"/>
                            <w:right w:val="none" w:sz="0" w:space="0" w:color="auto"/>
                          </w:divBdr>
                          <w:divsChild>
                            <w:div w:id="255095756">
                              <w:marLeft w:val="0"/>
                              <w:marRight w:val="0"/>
                              <w:marTop w:val="0"/>
                              <w:marBottom w:val="0"/>
                              <w:divBdr>
                                <w:top w:val="none" w:sz="0" w:space="0" w:color="auto"/>
                                <w:left w:val="none" w:sz="0" w:space="0" w:color="auto"/>
                                <w:bottom w:val="none" w:sz="0" w:space="0" w:color="auto"/>
                                <w:right w:val="none" w:sz="0" w:space="0" w:color="auto"/>
                              </w:divBdr>
                              <w:divsChild>
                                <w:div w:id="101865450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121547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530194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99957357">
                                              <w:blockQuote w:val="1"/>
                                              <w:marLeft w:val="600"/>
                                              <w:marRight w:val="0"/>
                                              <w:marTop w:val="120"/>
                                              <w:marBottom w:val="120"/>
                                              <w:divBdr>
                                                <w:top w:val="none" w:sz="0" w:space="0" w:color="auto"/>
                                                <w:left w:val="none" w:sz="0" w:space="0" w:color="auto"/>
                                                <w:bottom w:val="none" w:sz="0" w:space="0" w:color="auto"/>
                                                <w:right w:val="none" w:sz="0" w:space="0" w:color="auto"/>
                                              </w:divBdr>
                                            </w:div>
                                            <w:div w:id="82636146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107942">
      <w:bodyDiv w:val="1"/>
      <w:marLeft w:val="0"/>
      <w:marRight w:val="0"/>
      <w:marTop w:val="0"/>
      <w:marBottom w:val="0"/>
      <w:divBdr>
        <w:top w:val="none" w:sz="0" w:space="0" w:color="auto"/>
        <w:left w:val="none" w:sz="0" w:space="0" w:color="auto"/>
        <w:bottom w:val="none" w:sz="0" w:space="0" w:color="auto"/>
        <w:right w:val="none" w:sz="0" w:space="0" w:color="auto"/>
      </w:divBdr>
      <w:divsChild>
        <w:div w:id="275719919">
          <w:marLeft w:val="0"/>
          <w:marRight w:val="0"/>
          <w:marTop w:val="0"/>
          <w:marBottom w:val="0"/>
          <w:divBdr>
            <w:top w:val="none" w:sz="0" w:space="0" w:color="auto"/>
            <w:left w:val="none" w:sz="0" w:space="0" w:color="auto"/>
            <w:bottom w:val="none" w:sz="0" w:space="0" w:color="auto"/>
            <w:right w:val="none" w:sz="0" w:space="0" w:color="auto"/>
          </w:divBdr>
          <w:divsChild>
            <w:div w:id="1036002237">
              <w:marLeft w:val="0"/>
              <w:marRight w:val="0"/>
              <w:marTop w:val="0"/>
              <w:marBottom w:val="0"/>
              <w:divBdr>
                <w:top w:val="none" w:sz="0" w:space="0" w:color="auto"/>
                <w:left w:val="none" w:sz="0" w:space="0" w:color="auto"/>
                <w:bottom w:val="none" w:sz="0" w:space="0" w:color="auto"/>
                <w:right w:val="none" w:sz="0" w:space="0" w:color="auto"/>
              </w:divBdr>
              <w:divsChild>
                <w:div w:id="1207379055">
                  <w:marLeft w:val="0"/>
                  <w:marRight w:val="0"/>
                  <w:marTop w:val="0"/>
                  <w:marBottom w:val="0"/>
                  <w:divBdr>
                    <w:top w:val="none" w:sz="0" w:space="0" w:color="auto"/>
                    <w:left w:val="none" w:sz="0" w:space="0" w:color="auto"/>
                    <w:bottom w:val="none" w:sz="0" w:space="0" w:color="auto"/>
                    <w:right w:val="none" w:sz="0" w:space="0" w:color="auto"/>
                  </w:divBdr>
                  <w:divsChild>
                    <w:div w:id="672606279">
                      <w:marLeft w:val="0"/>
                      <w:marRight w:val="0"/>
                      <w:marTop w:val="0"/>
                      <w:marBottom w:val="0"/>
                      <w:divBdr>
                        <w:top w:val="none" w:sz="0" w:space="0" w:color="auto"/>
                        <w:left w:val="none" w:sz="0" w:space="0" w:color="auto"/>
                        <w:bottom w:val="none" w:sz="0" w:space="0" w:color="auto"/>
                        <w:right w:val="none" w:sz="0" w:space="0" w:color="auto"/>
                      </w:divBdr>
                      <w:divsChild>
                        <w:div w:id="296379457">
                          <w:marLeft w:val="340"/>
                          <w:marRight w:val="0"/>
                          <w:marTop w:val="300"/>
                          <w:marBottom w:val="120"/>
                          <w:divBdr>
                            <w:top w:val="none" w:sz="0" w:space="0" w:color="auto"/>
                            <w:left w:val="none" w:sz="0" w:space="0" w:color="auto"/>
                            <w:bottom w:val="none" w:sz="0" w:space="0" w:color="auto"/>
                            <w:right w:val="none" w:sz="0" w:space="0" w:color="auto"/>
                          </w:divBdr>
                          <w:divsChild>
                            <w:div w:id="791248378">
                              <w:marLeft w:val="0"/>
                              <w:marRight w:val="0"/>
                              <w:marTop w:val="0"/>
                              <w:marBottom w:val="0"/>
                              <w:divBdr>
                                <w:top w:val="none" w:sz="0" w:space="0" w:color="auto"/>
                                <w:left w:val="none" w:sz="0" w:space="0" w:color="auto"/>
                                <w:bottom w:val="none" w:sz="0" w:space="0" w:color="auto"/>
                                <w:right w:val="none" w:sz="0" w:space="0" w:color="auto"/>
                              </w:divBdr>
                              <w:divsChild>
                                <w:div w:id="139862852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9559255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1425363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14319268">
                                              <w:blockQuote w:val="1"/>
                                              <w:marLeft w:val="600"/>
                                              <w:marRight w:val="0"/>
                                              <w:marTop w:val="120"/>
                                              <w:marBottom w:val="120"/>
                                              <w:divBdr>
                                                <w:top w:val="none" w:sz="0" w:space="0" w:color="auto"/>
                                                <w:left w:val="none" w:sz="0" w:space="0" w:color="auto"/>
                                                <w:bottom w:val="none" w:sz="0" w:space="0" w:color="auto"/>
                                                <w:right w:val="none" w:sz="0" w:space="0" w:color="auto"/>
                                              </w:divBdr>
                                            </w:div>
                                            <w:div w:id="675563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45451120">
                                                  <w:blockQuote w:val="1"/>
                                                  <w:marLeft w:val="600"/>
                                                  <w:marRight w:val="0"/>
                                                  <w:marTop w:val="120"/>
                                                  <w:marBottom w:val="120"/>
                                                  <w:divBdr>
                                                    <w:top w:val="none" w:sz="0" w:space="0" w:color="auto"/>
                                                    <w:left w:val="none" w:sz="0" w:space="0" w:color="auto"/>
                                                    <w:bottom w:val="none" w:sz="0" w:space="0" w:color="auto"/>
                                                    <w:right w:val="none" w:sz="0" w:space="0" w:color="auto"/>
                                                  </w:divBdr>
                                                </w:div>
                                                <w:div w:id="2076318861">
                                                  <w:blockQuote w:val="1"/>
                                                  <w:marLeft w:val="600"/>
                                                  <w:marRight w:val="0"/>
                                                  <w:marTop w:val="120"/>
                                                  <w:marBottom w:val="120"/>
                                                  <w:divBdr>
                                                    <w:top w:val="none" w:sz="0" w:space="0" w:color="auto"/>
                                                    <w:left w:val="none" w:sz="0" w:space="0" w:color="auto"/>
                                                    <w:bottom w:val="none" w:sz="0" w:space="0" w:color="auto"/>
                                                    <w:right w:val="none" w:sz="0" w:space="0" w:color="auto"/>
                                                  </w:divBdr>
                                                </w:div>
                                                <w:div w:id="133283518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124725">
      <w:bodyDiv w:val="1"/>
      <w:marLeft w:val="0"/>
      <w:marRight w:val="0"/>
      <w:marTop w:val="0"/>
      <w:marBottom w:val="0"/>
      <w:divBdr>
        <w:top w:val="none" w:sz="0" w:space="0" w:color="auto"/>
        <w:left w:val="none" w:sz="0" w:space="0" w:color="auto"/>
        <w:bottom w:val="none" w:sz="0" w:space="0" w:color="auto"/>
        <w:right w:val="none" w:sz="0" w:space="0" w:color="auto"/>
      </w:divBdr>
      <w:divsChild>
        <w:div w:id="1803576788">
          <w:marLeft w:val="0"/>
          <w:marRight w:val="0"/>
          <w:marTop w:val="0"/>
          <w:marBottom w:val="0"/>
          <w:divBdr>
            <w:top w:val="none" w:sz="0" w:space="0" w:color="auto"/>
            <w:left w:val="none" w:sz="0" w:space="0" w:color="auto"/>
            <w:bottom w:val="none" w:sz="0" w:space="0" w:color="auto"/>
            <w:right w:val="none" w:sz="0" w:space="0" w:color="auto"/>
          </w:divBdr>
          <w:divsChild>
            <w:div w:id="854684553">
              <w:marLeft w:val="0"/>
              <w:marRight w:val="0"/>
              <w:marTop w:val="0"/>
              <w:marBottom w:val="0"/>
              <w:divBdr>
                <w:top w:val="none" w:sz="0" w:space="0" w:color="auto"/>
                <w:left w:val="none" w:sz="0" w:space="0" w:color="auto"/>
                <w:bottom w:val="none" w:sz="0" w:space="0" w:color="auto"/>
                <w:right w:val="none" w:sz="0" w:space="0" w:color="auto"/>
              </w:divBdr>
              <w:divsChild>
                <w:div w:id="1098519751">
                  <w:marLeft w:val="0"/>
                  <w:marRight w:val="0"/>
                  <w:marTop w:val="0"/>
                  <w:marBottom w:val="0"/>
                  <w:divBdr>
                    <w:top w:val="none" w:sz="0" w:space="0" w:color="auto"/>
                    <w:left w:val="none" w:sz="0" w:space="0" w:color="auto"/>
                    <w:bottom w:val="none" w:sz="0" w:space="0" w:color="auto"/>
                    <w:right w:val="none" w:sz="0" w:space="0" w:color="auto"/>
                  </w:divBdr>
                  <w:divsChild>
                    <w:div w:id="1621640665">
                      <w:marLeft w:val="0"/>
                      <w:marRight w:val="0"/>
                      <w:marTop w:val="0"/>
                      <w:marBottom w:val="0"/>
                      <w:divBdr>
                        <w:top w:val="none" w:sz="0" w:space="0" w:color="auto"/>
                        <w:left w:val="none" w:sz="0" w:space="0" w:color="auto"/>
                        <w:bottom w:val="none" w:sz="0" w:space="0" w:color="auto"/>
                        <w:right w:val="none" w:sz="0" w:space="0" w:color="auto"/>
                      </w:divBdr>
                      <w:divsChild>
                        <w:div w:id="1444035060">
                          <w:marLeft w:val="340"/>
                          <w:marRight w:val="0"/>
                          <w:marTop w:val="300"/>
                          <w:marBottom w:val="120"/>
                          <w:divBdr>
                            <w:top w:val="none" w:sz="0" w:space="0" w:color="auto"/>
                            <w:left w:val="none" w:sz="0" w:space="0" w:color="auto"/>
                            <w:bottom w:val="none" w:sz="0" w:space="0" w:color="auto"/>
                            <w:right w:val="none" w:sz="0" w:space="0" w:color="auto"/>
                          </w:divBdr>
                          <w:divsChild>
                            <w:div w:id="626083273">
                              <w:marLeft w:val="0"/>
                              <w:marRight w:val="0"/>
                              <w:marTop w:val="0"/>
                              <w:marBottom w:val="0"/>
                              <w:divBdr>
                                <w:top w:val="none" w:sz="0" w:space="0" w:color="auto"/>
                                <w:left w:val="none" w:sz="0" w:space="0" w:color="auto"/>
                                <w:bottom w:val="none" w:sz="0" w:space="0" w:color="auto"/>
                                <w:right w:val="none" w:sz="0" w:space="0" w:color="auto"/>
                              </w:divBdr>
                              <w:divsChild>
                                <w:div w:id="110480674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7240900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638392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37744133">
                                              <w:blockQuote w:val="1"/>
                                              <w:marLeft w:val="600"/>
                                              <w:marRight w:val="0"/>
                                              <w:marTop w:val="120"/>
                                              <w:marBottom w:val="120"/>
                                              <w:divBdr>
                                                <w:top w:val="none" w:sz="0" w:space="0" w:color="auto"/>
                                                <w:left w:val="none" w:sz="0" w:space="0" w:color="auto"/>
                                                <w:bottom w:val="none" w:sz="0" w:space="0" w:color="auto"/>
                                                <w:right w:val="none" w:sz="0" w:space="0" w:color="auto"/>
                                              </w:divBdr>
                                            </w:div>
                                            <w:div w:id="111177737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3044851">
      <w:bodyDiv w:val="1"/>
      <w:marLeft w:val="0"/>
      <w:marRight w:val="0"/>
      <w:marTop w:val="0"/>
      <w:marBottom w:val="0"/>
      <w:divBdr>
        <w:top w:val="none" w:sz="0" w:space="0" w:color="auto"/>
        <w:left w:val="none" w:sz="0" w:space="0" w:color="auto"/>
        <w:bottom w:val="none" w:sz="0" w:space="0" w:color="auto"/>
        <w:right w:val="none" w:sz="0" w:space="0" w:color="auto"/>
      </w:divBdr>
      <w:divsChild>
        <w:div w:id="1849101717">
          <w:marLeft w:val="0"/>
          <w:marRight w:val="0"/>
          <w:marTop w:val="0"/>
          <w:marBottom w:val="0"/>
          <w:divBdr>
            <w:top w:val="none" w:sz="0" w:space="0" w:color="auto"/>
            <w:left w:val="none" w:sz="0" w:space="0" w:color="auto"/>
            <w:bottom w:val="none" w:sz="0" w:space="0" w:color="auto"/>
            <w:right w:val="none" w:sz="0" w:space="0" w:color="auto"/>
          </w:divBdr>
          <w:divsChild>
            <w:div w:id="1356804065">
              <w:marLeft w:val="0"/>
              <w:marRight w:val="0"/>
              <w:marTop w:val="0"/>
              <w:marBottom w:val="0"/>
              <w:divBdr>
                <w:top w:val="none" w:sz="0" w:space="0" w:color="auto"/>
                <w:left w:val="none" w:sz="0" w:space="0" w:color="auto"/>
                <w:bottom w:val="none" w:sz="0" w:space="0" w:color="auto"/>
                <w:right w:val="none" w:sz="0" w:space="0" w:color="auto"/>
              </w:divBdr>
              <w:divsChild>
                <w:div w:id="2074505606">
                  <w:marLeft w:val="0"/>
                  <w:marRight w:val="0"/>
                  <w:marTop w:val="0"/>
                  <w:marBottom w:val="0"/>
                  <w:divBdr>
                    <w:top w:val="none" w:sz="0" w:space="0" w:color="auto"/>
                    <w:left w:val="none" w:sz="0" w:space="0" w:color="auto"/>
                    <w:bottom w:val="none" w:sz="0" w:space="0" w:color="auto"/>
                    <w:right w:val="none" w:sz="0" w:space="0" w:color="auto"/>
                  </w:divBdr>
                  <w:divsChild>
                    <w:div w:id="1611162027">
                      <w:marLeft w:val="0"/>
                      <w:marRight w:val="0"/>
                      <w:marTop w:val="0"/>
                      <w:marBottom w:val="0"/>
                      <w:divBdr>
                        <w:top w:val="none" w:sz="0" w:space="0" w:color="auto"/>
                        <w:left w:val="none" w:sz="0" w:space="0" w:color="auto"/>
                        <w:bottom w:val="none" w:sz="0" w:space="0" w:color="auto"/>
                        <w:right w:val="none" w:sz="0" w:space="0" w:color="auto"/>
                      </w:divBdr>
                      <w:divsChild>
                        <w:div w:id="1579560702">
                          <w:marLeft w:val="340"/>
                          <w:marRight w:val="0"/>
                          <w:marTop w:val="300"/>
                          <w:marBottom w:val="120"/>
                          <w:divBdr>
                            <w:top w:val="none" w:sz="0" w:space="0" w:color="auto"/>
                            <w:left w:val="none" w:sz="0" w:space="0" w:color="auto"/>
                            <w:bottom w:val="none" w:sz="0" w:space="0" w:color="auto"/>
                            <w:right w:val="none" w:sz="0" w:space="0" w:color="auto"/>
                          </w:divBdr>
                          <w:divsChild>
                            <w:div w:id="2058039802">
                              <w:marLeft w:val="0"/>
                              <w:marRight w:val="0"/>
                              <w:marTop w:val="0"/>
                              <w:marBottom w:val="0"/>
                              <w:divBdr>
                                <w:top w:val="none" w:sz="0" w:space="0" w:color="auto"/>
                                <w:left w:val="none" w:sz="0" w:space="0" w:color="auto"/>
                                <w:bottom w:val="none" w:sz="0" w:space="0" w:color="auto"/>
                                <w:right w:val="none" w:sz="0" w:space="0" w:color="auto"/>
                              </w:divBdr>
                              <w:divsChild>
                                <w:div w:id="127633092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456681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732064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19118721">
                                              <w:blockQuote w:val="1"/>
                                              <w:marLeft w:val="600"/>
                                              <w:marRight w:val="0"/>
                                              <w:marTop w:val="120"/>
                                              <w:marBottom w:val="120"/>
                                              <w:divBdr>
                                                <w:top w:val="none" w:sz="0" w:space="0" w:color="auto"/>
                                                <w:left w:val="none" w:sz="0" w:space="0" w:color="auto"/>
                                                <w:bottom w:val="none" w:sz="0" w:space="0" w:color="auto"/>
                                                <w:right w:val="none" w:sz="0" w:space="0" w:color="auto"/>
                                              </w:divBdr>
                                            </w:div>
                                            <w:div w:id="11513617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248057">
      <w:bodyDiv w:val="1"/>
      <w:marLeft w:val="0"/>
      <w:marRight w:val="0"/>
      <w:marTop w:val="0"/>
      <w:marBottom w:val="0"/>
      <w:divBdr>
        <w:top w:val="none" w:sz="0" w:space="0" w:color="auto"/>
        <w:left w:val="none" w:sz="0" w:space="0" w:color="auto"/>
        <w:bottom w:val="none" w:sz="0" w:space="0" w:color="auto"/>
        <w:right w:val="none" w:sz="0" w:space="0" w:color="auto"/>
      </w:divBdr>
      <w:divsChild>
        <w:div w:id="1109084409">
          <w:marLeft w:val="0"/>
          <w:marRight w:val="0"/>
          <w:marTop w:val="0"/>
          <w:marBottom w:val="0"/>
          <w:divBdr>
            <w:top w:val="none" w:sz="0" w:space="0" w:color="auto"/>
            <w:left w:val="none" w:sz="0" w:space="0" w:color="auto"/>
            <w:bottom w:val="none" w:sz="0" w:space="0" w:color="auto"/>
            <w:right w:val="none" w:sz="0" w:space="0" w:color="auto"/>
          </w:divBdr>
          <w:divsChild>
            <w:div w:id="1860002898">
              <w:marLeft w:val="0"/>
              <w:marRight w:val="0"/>
              <w:marTop w:val="0"/>
              <w:marBottom w:val="0"/>
              <w:divBdr>
                <w:top w:val="none" w:sz="0" w:space="0" w:color="auto"/>
                <w:left w:val="none" w:sz="0" w:space="0" w:color="auto"/>
                <w:bottom w:val="none" w:sz="0" w:space="0" w:color="auto"/>
                <w:right w:val="none" w:sz="0" w:space="0" w:color="auto"/>
              </w:divBdr>
              <w:divsChild>
                <w:div w:id="491407855">
                  <w:marLeft w:val="0"/>
                  <w:marRight w:val="0"/>
                  <w:marTop w:val="0"/>
                  <w:marBottom w:val="0"/>
                  <w:divBdr>
                    <w:top w:val="none" w:sz="0" w:space="0" w:color="auto"/>
                    <w:left w:val="none" w:sz="0" w:space="0" w:color="auto"/>
                    <w:bottom w:val="none" w:sz="0" w:space="0" w:color="auto"/>
                    <w:right w:val="none" w:sz="0" w:space="0" w:color="auto"/>
                  </w:divBdr>
                  <w:divsChild>
                    <w:div w:id="2102752615">
                      <w:marLeft w:val="0"/>
                      <w:marRight w:val="0"/>
                      <w:marTop w:val="0"/>
                      <w:marBottom w:val="0"/>
                      <w:divBdr>
                        <w:top w:val="none" w:sz="0" w:space="0" w:color="auto"/>
                        <w:left w:val="none" w:sz="0" w:space="0" w:color="auto"/>
                        <w:bottom w:val="none" w:sz="0" w:space="0" w:color="auto"/>
                        <w:right w:val="none" w:sz="0" w:space="0" w:color="auto"/>
                      </w:divBdr>
                      <w:divsChild>
                        <w:div w:id="546574654">
                          <w:marLeft w:val="340"/>
                          <w:marRight w:val="0"/>
                          <w:marTop w:val="300"/>
                          <w:marBottom w:val="120"/>
                          <w:divBdr>
                            <w:top w:val="none" w:sz="0" w:space="0" w:color="auto"/>
                            <w:left w:val="none" w:sz="0" w:space="0" w:color="auto"/>
                            <w:bottom w:val="none" w:sz="0" w:space="0" w:color="auto"/>
                            <w:right w:val="none" w:sz="0" w:space="0" w:color="auto"/>
                          </w:divBdr>
                          <w:divsChild>
                            <w:div w:id="1949507840">
                              <w:marLeft w:val="0"/>
                              <w:marRight w:val="0"/>
                              <w:marTop w:val="0"/>
                              <w:marBottom w:val="0"/>
                              <w:divBdr>
                                <w:top w:val="none" w:sz="0" w:space="0" w:color="auto"/>
                                <w:left w:val="none" w:sz="0" w:space="0" w:color="auto"/>
                                <w:bottom w:val="none" w:sz="0" w:space="0" w:color="auto"/>
                                <w:right w:val="none" w:sz="0" w:space="0" w:color="auto"/>
                              </w:divBdr>
                              <w:divsChild>
                                <w:div w:id="47037097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2784201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6726980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75249641">
                                              <w:blockQuote w:val="1"/>
                                              <w:marLeft w:val="600"/>
                                              <w:marRight w:val="0"/>
                                              <w:marTop w:val="120"/>
                                              <w:marBottom w:val="120"/>
                                              <w:divBdr>
                                                <w:top w:val="none" w:sz="0" w:space="0" w:color="auto"/>
                                                <w:left w:val="none" w:sz="0" w:space="0" w:color="auto"/>
                                                <w:bottom w:val="none" w:sz="0" w:space="0" w:color="auto"/>
                                                <w:right w:val="none" w:sz="0" w:space="0" w:color="auto"/>
                                              </w:divBdr>
                                            </w:div>
                                            <w:div w:id="1793171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71421506">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645166">
      <w:bodyDiv w:val="1"/>
      <w:marLeft w:val="0"/>
      <w:marRight w:val="0"/>
      <w:marTop w:val="0"/>
      <w:marBottom w:val="0"/>
      <w:divBdr>
        <w:top w:val="none" w:sz="0" w:space="0" w:color="auto"/>
        <w:left w:val="none" w:sz="0" w:space="0" w:color="auto"/>
        <w:bottom w:val="none" w:sz="0" w:space="0" w:color="auto"/>
        <w:right w:val="none" w:sz="0" w:space="0" w:color="auto"/>
      </w:divBdr>
      <w:divsChild>
        <w:div w:id="418210857">
          <w:marLeft w:val="0"/>
          <w:marRight w:val="0"/>
          <w:marTop w:val="0"/>
          <w:marBottom w:val="0"/>
          <w:divBdr>
            <w:top w:val="none" w:sz="0" w:space="0" w:color="auto"/>
            <w:left w:val="none" w:sz="0" w:space="0" w:color="auto"/>
            <w:bottom w:val="none" w:sz="0" w:space="0" w:color="auto"/>
            <w:right w:val="none" w:sz="0" w:space="0" w:color="auto"/>
          </w:divBdr>
          <w:divsChild>
            <w:div w:id="252209447">
              <w:marLeft w:val="0"/>
              <w:marRight w:val="0"/>
              <w:marTop w:val="0"/>
              <w:marBottom w:val="0"/>
              <w:divBdr>
                <w:top w:val="none" w:sz="0" w:space="0" w:color="auto"/>
                <w:left w:val="none" w:sz="0" w:space="0" w:color="auto"/>
                <w:bottom w:val="none" w:sz="0" w:space="0" w:color="auto"/>
                <w:right w:val="none" w:sz="0" w:space="0" w:color="auto"/>
              </w:divBdr>
              <w:divsChild>
                <w:div w:id="57097711">
                  <w:marLeft w:val="0"/>
                  <w:marRight w:val="0"/>
                  <w:marTop w:val="0"/>
                  <w:marBottom w:val="0"/>
                  <w:divBdr>
                    <w:top w:val="none" w:sz="0" w:space="0" w:color="auto"/>
                    <w:left w:val="none" w:sz="0" w:space="0" w:color="auto"/>
                    <w:bottom w:val="none" w:sz="0" w:space="0" w:color="auto"/>
                    <w:right w:val="none" w:sz="0" w:space="0" w:color="auto"/>
                  </w:divBdr>
                  <w:divsChild>
                    <w:div w:id="543714382">
                      <w:marLeft w:val="0"/>
                      <w:marRight w:val="0"/>
                      <w:marTop w:val="0"/>
                      <w:marBottom w:val="0"/>
                      <w:divBdr>
                        <w:top w:val="none" w:sz="0" w:space="0" w:color="auto"/>
                        <w:left w:val="none" w:sz="0" w:space="0" w:color="auto"/>
                        <w:bottom w:val="none" w:sz="0" w:space="0" w:color="auto"/>
                        <w:right w:val="none" w:sz="0" w:space="0" w:color="auto"/>
                      </w:divBdr>
                      <w:divsChild>
                        <w:div w:id="276840423">
                          <w:marLeft w:val="340"/>
                          <w:marRight w:val="0"/>
                          <w:marTop w:val="300"/>
                          <w:marBottom w:val="120"/>
                          <w:divBdr>
                            <w:top w:val="none" w:sz="0" w:space="0" w:color="auto"/>
                            <w:left w:val="none" w:sz="0" w:space="0" w:color="auto"/>
                            <w:bottom w:val="none" w:sz="0" w:space="0" w:color="auto"/>
                            <w:right w:val="none" w:sz="0" w:space="0" w:color="auto"/>
                          </w:divBdr>
                          <w:divsChild>
                            <w:div w:id="28848559">
                              <w:marLeft w:val="0"/>
                              <w:marRight w:val="0"/>
                              <w:marTop w:val="0"/>
                              <w:marBottom w:val="0"/>
                              <w:divBdr>
                                <w:top w:val="none" w:sz="0" w:space="0" w:color="auto"/>
                                <w:left w:val="none" w:sz="0" w:space="0" w:color="auto"/>
                                <w:bottom w:val="none" w:sz="0" w:space="0" w:color="auto"/>
                                <w:right w:val="none" w:sz="0" w:space="0" w:color="auto"/>
                              </w:divBdr>
                              <w:divsChild>
                                <w:div w:id="15645952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4273120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138277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98816">
                                              <w:blockQuote w:val="1"/>
                                              <w:marLeft w:val="600"/>
                                              <w:marRight w:val="0"/>
                                              <w:marTop w:val="120"/>
                                              <w:marBottom w:val="120"/>
                                              <w:divBdr>
                                                <w:top w:val="none" w:sz="0" w:space="0" w:color="auto"/>
                                                <w:left w:val="none" w:sz="0" w:space="0" w:color="auto"/>
                                                <w:bottom w:val="none" w:sz="0" w:space="0" w:color="auto"/>
                                                <w:right w:val="none" w:sz="0" w:space="0" w:color="auto"/>
                                              </w:divBdr>
                                            </w:div>
                                            <w:div w:id="114007750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783738">
      <w:bodyDiv w:val="1"/>
      <w:marLeft w:val="0"/>
      <w:marRight w:val="0"/>
      <w:marTop w:val="0"/>
      <w:marBottom w:val="0"/>
      <w:divBdr>
        <w:top w:val="none" w:sz="0" w:space="0" w:color="auto"/>
        <w:left w:val="none" w:sz="0" w:space="0" w:color="auto"/>
        <w:bottom w:val="none" w:sz="0" w:space="0" w:color="auto"/>
        <w:right w:val="none" w:sz="0" w:space="0" w:color="auto"/>
      </w:divBdr>
      <w:divsChild>
        <w:div w:id="769860768">
          <w:marLeft w:val="0"/>
          <w:marRight w:val="0"/>
          <w:marTop w:val="0"/>
          <w:marBottom w:val="0"/>
          <w:divBdr>
            <w:top w:val="none" w:sz="0" w:space="0" w:color="auto"/>
            <w:left w:val="none" w:sz="0" w:space="0" w:color="auto"/>
            <w:bottom w:val="none" w:sz="0" w:space="0" w:color="auto"/>
            <w:right w:val="none" w:sz="0" w:space="0" w:color="auto"/>
          </w:divBdr>
          <w:divsChild>
            <w:div w:id="862669123">
              <w:marLeft w:val="0"/>
              <w:marRight w:val="0"/>
              <w:marTop w:val="0"/>
              <w:marBottom w:val="0"/>
              <w:divBdr>
                <w:top w:val="none" w:sz="0" w:space="0" w:color="auto"/>
                <w:left w:val="none" w:sz="0" w:space="0" w:color="auto"/>
                <w:bottom w:val="none" w:sz="0" w:space="0" w:color="auto"/>
                <w:right w:val="none" w:sz="0" w:space="0" w:color="auto"/>
              </w:divBdr>
              <w:divsChild>
                <w:div w:id="277489621">
                  <w:marLeft w:val="0"/>
                  <w:marRight w:val="0"/>
                  <w:marTop w:val="0"/>
                  <w:marBottom w:val="0"/>
                  <w:divBdr>
                    <w:top w:val="none" w:sz="0" w:space="0" w:color="auto"/>
                    <w:left w:val="none" w:sz="0" w:space="0" w:color="auto"/>
                    <w:bottom w:val="none" w:sz="0" w:space="0" w:color="auto"/>
                    <w:right w:val="none" w:sz="0" w:space="0" w:color="auto"/>
                  </w:divBdr>
                  <w:divsChild>
                    <w:div w:id="1341853594">
                      <w:marLeft w:val="0"/>
                      <w:marRight w:val="0"/>
                      <w:marTop w:val="0"/>
                      <w:marBottom w:val="0"/>
                      <w:divBdr>
                        <w:top w:val="none" w:sz="0" w:space="0" w:color="auto"/>
                        <w:left w:val="none" w:sz="0" w:space="0" w:color="auto"/>
                        <w:bottom w:val="none" w:sz="0" w:space="0" w:color="auto"/>
                        <w:right w:val="none" w:sz="0" w:space="0" w:color="auto"/>
                      </w:divBdr>
                      <w:divsChild>
                        <w:div w:id="1135484659">
                          <w:marLeft w:val="340"/>
                          <w:marRight w:val="0"/>
                          <w:marTop w:val="300"/>
                          <w:marBottom w:val="120"/>
                          <w:divBdr>
                            <w:top w:val="none" w:sz="0" w:space="0" w:color="auto"/>
                            <w:left w:val="none" w:sz="0" w:space="0" w:color="auto"/>
                            <w:bottom w:val="none" w:sz="0" w:space="0" w:color="auto"/>
                            <w:right w:val="none" w:sz="0" w:space="0" w:color="auto"/>
                          </w:divBdr>
                          <w:divsChild>
                            <w:div w:id="1070078983">
                              <w:marLeft w:val="0"/>
                              <w:marRight w:val="0"/>
                              <w:marTop w:val="0"/>
                              <w:marBottom w:val="0"/>
                              <w:divBdr>
                                <w:top w:val="none" w:sz="0" w:space="0" w:color="auto"/>
                                <w:left w:val="none" w:sz="0" w:space="0" w:color="auto"/>
                                <w:bottom w:val="none" w:sz="0" w:space="0" w:color="auto"/>
                                <w:right w:val="none" w:sz="0" w:space="0" w:color="auto"/>
                              </w:divBdr>
                              <w:divsChild>
                                <w:div w:id="122120724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1760175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4082984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9397947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69630827">
                                                  <w:blockQuote w:val="1"/>
                                                  <w:marLeft w:val="0"/>
                                                  <w:marRight w:val="0"/>
                                                  <w:marTop w:val="120"/>
                                                  <w:marBottom w:val="120"/>
                                                  <w:divBdr>
                                                    <w:top w:val="none" w:sz="0" w:space="0" w:color="auto"/>
                                                    <w:left w:val="none" w:sz="0" w:space="0" w:color="auto"/>
                                                    <w:bottom w:val="none" w:sz="0" w:space="0" w:color="auto"/>
                                                    <w:right w:val="none" w:sz="0" w:space="0" w:color="auto"/>
                                                  </w:divBdr>
                                                </w:div>
                                                <w:div w:id="1616594959">
                                                  <w:blockQuote w:val="1"/>
                                                  <w:marLeft w:val="600"/>
                                                  <w:marRight w:val="0"/>
                                                  <w:marTop w:val="120"/>
                                                  <w:marBottom w:val="120"/>
                                                  <w:divBdr>
                                                    <w:top w:val="none" w:sz="0" w:space="0" w:color="auto"/>
                                                    <w:left w:val="none" w:sz="0" w:space="0" w:color="auto"/>
                                                    <w:bottom w:val="none" w:sz="0" w:space="0" w:color="auto"/>
                                                    <w:right w:val="none" w:sz="0" w:space="0" w:color="auto"/>
                                                  </w:divBdr>
                                                </w:div>
                                                <w:div w:id="203569499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9204448">
      <w:bodyDiv w:val="1"/>
      <w:marLeft w:val="0"/>
      <w:marRight w:val="0"/>
      <w:marTop w:val="0"/>
      <w:marBottom w:val="0"/>
      <w:divBdr>
        <w:top w:val="none" w:sz="0" w:space="0" w:color="auto"/>
        <w:left w:val="none" w:sz="0" w:space="0" w:color="auto"/>
        <w:bottom w:val="none" w:sz="0" w:space="0" w:color="auto"/>
        <w:right w:val="none" w:sz="0" w:space="0" w:color="auto"/>
      </w:divBdr>
      <w:divsChild>
        <w:div w:id="283195550">
          <w:marLeft w:val="0"/>
          <w:marRight w:val="0"/>
          <w:marTop w:val="0"/>
          <w:marBottom w:val="0"/>
          <w:divBdr>
            <w:top w:val="none" w:sz="0" w:space="0" w:color="auto"/>
            <w:left w:val="none" w:sz="0" w:space="0" w:color="auto"/>
            <w:bottom w:val="none" w:sz="0" w:space="0" w:color="auto"/>
            <w:right w:val="none" w:sz="0" w:space="0" w:color="auto"/>
          </w:divBdr>
          <w:divsChild>
            <w:div w:id="1021782256">
              <w:marLeft w:val="0"/>
              <w:marRight w:val="0"/>
              <w:marTop w:val="0"/>
              <w:marBottom w:val="0"/>
              <w:divBdr>
                <w:top w:val="none" w:sz="0" w:space="0" w:color="auto"/>
                <w:left w:val="none" w:sz="0" w:space="0" w:color="auto"/>
                <w:bottom w:val="none" w:sz="0" w:space="0" w:color="auto"/>
                <w:right w:val="none" w:sz="0" w:space="0" w:color="auto"/>
              </w:divBdr>
              <w:divsChild>
                <w:div w:id="1312059712">
                  <w:marLeft w:val="0"/>
                  <w:marRight w:val="0"/>
                  <w:marTop w:val="0"/>
                  <w:marBottom w:val="0"/>
                  <w:divBdr>
                    <w:top w:val="none" w:sz="0" w:space="0" w:color="auto"/>
                    <w:left w:val="none" w:sz="0" w:space="0" w:color="auto"/>
                    <w:bottom w:val="none" w:sz="0" w:space="0" w:color="auto"/>
                    <w:right w:val="none" w:sz="0" w:space="0" w:color="auto"/>
                  </w:divBdr>
                  <w:divsChild>
                    <w:div w:id="2000573771">
                      <w:marLeft w:val="0"/>
                      <w:marRight w:val="0"/>
                      <w:marTop w:val="0"/>
                      <w:marBottom w:val="0"/>
                      <w:divBdr>
                        <w:top w:val="none" w:sz="0" w:space="0" w:color="auto"/>
                        <w:left w:val="none" w:sz="0" w:space="0" w:color="auto"/>
                        <w:bottom w:val="none" w:sz="0" w:space="0" w:color="auto"/>
                        <w:right w:val="none" w:sz="0" w:space="0" w:color="auto"/>
                      </w:divBdr>
                      <w:divsChild>
                        <w:div w:id="116265625">
                          <w:marLeft w:val="340"/>
                          <w:marRight w:val="0"/>
                          <w:marTop w:val="300"/>
                          <w:marBottom w:val="120"/>
                          <w:divBdr>
                            <w:top w:val="none" w:sz="0" w:space="0" w:color="auto"/>
                            <w:left w:val="none" w:sz="0" w:space="0" w:color="auto"/>
                            <w:bottom w:val="none" w:sz="0" w:space="0" w:color="auto"/>
                            <w:right w:val="none" w:sz="0" w:space="0" w:color="auto"/>
                          </w:divBdr>
                          <w:divsChild>
                            <w:div w:id="162667752">
                              <w:marLeft w:val="0"/>
                              <w:marRight w:val="0"/>
                              <w:marTop w:val="0"/>
                              <w:marBottom w:val="0"/>
                              <w:divBdr>
                                <w:top w:val="none" w:sz="0" w:space="0" w:color="auto"/>
                                <w:left w:val="none" w:sz="0" w:space="0" w:color="auto"/>
                                <w:bottom w:val="none" w:sz="0" w:space="0" w:color="auto"/>
                                <w:right w:val="none" w:sz="0" w:space="0" w:color="auto"/>
                              </w:divBdr>
                              <w:divsChild>
                                <w:div w:id="111871976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8957418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115116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33947759">
                                              <w:blockQuote w:val="1"/>
                                              <w:marLeft w:val="600"/>
                                              <w:marRight w:val="0"/>
                                              <w:marTop w:val="120"/>
                                              <w:marBottom w:val="120"/>
                                              <w:divBdr>
                                                <w:top w:val="none" w:sz="0" w:space="0" w:color="auto"/>
                                                <w:left w:val="none" w:sz="0" w:space="0" w:color="auto"/>
                                                <w:bottom w:val="none" w:sz="0" w:space="0" w:color="auto"/>
                                                <w:right w:val="none" w:sz="0" w:space="0" w:color="auto"/>
                                              </w:divBdr>
                                            </w:div>
                                            <w:div w:id="48412975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5541795">
      <w:bodyDiv w:val="1"/>
      <w:marLeft w:val="0"/>
      <w:marRight w:val="0"/>
      <w:marTop w:val="0"/>
      <w:marBottom w:val="0"/>
      <w:divBdr>
        <w:top w:val="none" w:sz="0" w:space="0" w:color="auto"/>
        <w:left w:val="none" w:sz="0" w:space="0" w:color="auto"/>
        <w:bottom w:val="none" w:sz="0" w:space="0" w:color="auto"/>
        <w:right w:val="none" w:sz="0" w:space="0" w:color="auto"/>
      </w:divBdr>
      <w:divsChild>
        <w:div w:id="1867021365">
          <w:marLeft w:val="0"/>
          <w:marRight w:val="0"/>
          <w:marTop w:val="0"/>
          <w:marBottom w:val="0"/>
          <w:divBdr>
            <w:top w:val="none" w:sz="0" w:space="0" w:color="auto"/>
            <w:left w:val="none" w:sz="0" w:space="0" w:color="auto"/>
            <w:bottom w:val="none" w:sz="0" w:space="0" w:color="auto"/>
            <w:right w:val="none" w:sz="0" w:space="0" w:color="auto"/>
          </w:divBdr>
          <w:divsChild>
            <w:div w:id="598948043">
              <w:marLeft w:val="0"/>
              <w:marRight w:val="0"/>
              <w:marTop w:val="0"/>
              <w:marBottom w:val="0"/>
              <w:divBdr>
                <w:top w:val="none" w:sz="0" w:space="0" w:color="auto"/>
                <w:left w:val="none" w:sz="0" w:space="0" w:color="auto"/>
                <w:bottom w:val="none" w:sz="0" w:space="0" w:color="auto"/>
                <w:right w:val="none" w:sz="0" w:space="0" w:color="auto"/>
              </w:divBdr>
              <w:divsChild>
                <w:div w:id="2108191149">
                  <w:marLeft w:val="0"/>
                  <w:marRight w:val="0"/>
                  <w:marTop w:val="0"/>
                  <w:marBottom w:val="0"/>
                  <w:divBdr>
                    <w:top w:val="none" w:sz="0" w:space="0" w:color="auto"/>
                    <w:left w:val="none" w:sz="0" w:space="0" w:color="auto"/>
                    <w:bottom w:val="none" w:sz="0" w:space="0" w:color="auto"/>
                    <w:right w:val="none" w:sz="0" w:space="0" w:color="auto"/>
                  </w:divBdr>
                  <w:divsChild>
                    <w:div w:id="2091191173">
                      <w:marLeft w:val="0"/>
                      <w:marRight w:val="0"/>
                      <w:marTop w:val="0"/>
                      <w:marBottom w:val="0"/>
                      <w:divBdr>
                        <w:top w:val="none" w:sz="0" w:space="0" w:color="auto"/>
                        <w:left w:val="none" w:sz="0" w:space="0" w:color="auto"/>
                        <w:bottom w:val="none" w:sz="0" w:space="0" w:color="auto"/>
                        <w:right w:val="none" w:sz="0" w:space="0" w:color="auto"/>
                      </w:divBdr>
                      <w:divsChild>
                        <w:div w:id="1744990609">
                          <w:marLeft w:val="340"/>
                          <w:marRight w:val="0"/>
                          <w:marTop w:val="300"/>
                          <w:marBottom w:val="120"/>
                          <w:divBdr>
                            <w:top w:val="none" w:sz="0" w:space="0" w:color="auto"/>
                            <w:left w:val="none" w:sz="0" w:space="0" w:color="auto"/>
                            <w:bottom w:val="none" w:sz="0" w:space="0" w:color="auto"/>
                            <w:right w:val="none" w:sz="0" w:space="0" w:color="auto"/>
                          </w:divBdr>
                          <w:divsChild>
                            <w:div w:id="1838763406">
                              <w:marLeft w:val="0"/>
                              <w:marRight w:val="0"/>
                              <w:marTop w:val="0"/>
                              <w:marBottom w:val="0"/>
                              <w:divBdr>
                                <w:top w:val="none" w:sz="0" w:space="0" w:color="auto"/>
                                <w:left w:val="none" w:sz="0" w:space="0" w:color="auto"/>
                                <w:bottom w:val="none" w:sz="0" w:space="0" w:color="auto"/>
                                <w:right w:val="none" w:sz="0" w:space="0" w:color="auto"/>
                              </w:divBdr>
                              <w:divsChild>
                                <w:div w:id="145956761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9398120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8049191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4741239">
      <w:bodyDiv w:val="1"/>
      <w:marLeft w:val="0"/>
      <w:marRight w:val="0"/>
      <w:marTop w:val="0"/>
      <w:marBottom w:val="0"/>
      <w:divBdr>
        <w:top w:val="none" w:sz="0" w:space="0" w:color="auto"/>
        <w:left w:val="none" w:sz="0" w:space="0" w:color="auto"/>
        <w:bottom w:val="none" w:sz="0" w:space="0" w:color="auto"/>
        <w:right w:val="none" w:sz="0" w:space="0" w:color="auto"/>
      </w:divBdr>
      <w:divsChild>
        <w:div w:id="2036079295">
          <w:marLeft w:val="0"/>
          <w:marRight w:val="0"/>
          <w:marTop w:val="0"/>
          <w:marBottom w:val="0"/>
          <w:divBdr>
            <w:top w:val="none" w:sz="0" w:space="0" w:color="auto"/>
            <w:left w:val="none" w:sz="0" w:space="0" w:color="auto"/>
            <w:bottom w:val="none" w:sz="0" w:space="0" w:color="auto"/>
            <w:right w:val="none" w:sz="0" w:space="0" w:color="auto"/>
          </w:divBdr>
          <w:divsChild>
            <w:div w:id="1068264926">
              <w:marLeft w:val="0"/>
              <w:marRight w:val="0"/>
              <w:marTop w:val="0"/>
              <w:marBottom w:val="0"/>
              <w:divBdr>
                <w:top w:val="none" w:sz="0" w:space="0" w:color="auto"/>
                <w:left w:val="none" w:sz="0" w:space="0" w:color="auto"/>
                <w:bottom w:val="none" w:sz="0" w:space="0" w:color="auto"/>
                <w:right w:val="none" w:sz="0" w:space="0" w:color="auto"/>
              </w:divBdr>
              <w:divsChild>
                <w:div w:id="1094131375">
                  <w:marLeft w:val="0"/>
                  <w:marRight w:val="0"/>
                  <w:marTop w:val="0"/>
                  <w:marBottom w:val="0"/>
                  <w:divBdr>
                    <w:top w:val="none" w:sz="0" w:space="0" w:color="auto"/>
                    <w:left w:val="none" w:sz="0" w:space="0" w:color="auto"/>
                    <w:bottom w:val="none" w:sz="0" w:space="0" w:color="auto"/>
                    <w:right w:val="none" w:sz="0" w:space="0" w:color="auto"/>
                  </w:divBdr>
                  <w:divsChild>
                    <w:div w:id="2024934679">
                      <w:marLeft w:val="0"/>
                      <w:marRight w:val="0"/>
                      <w:marTop w:val="0"/>
                      <w:marBottom w:val="0"/>
                      <w:divBdr>
                        <w:top w:val="none" w:sz="0" w:space="0" w:color="auto"/>
                        <w:left w:val="none" w:sz="0" w:space="0" w:color="auto"/>
                        <w:bottom w:val="none" w:sz="0" w:space="0" w:color="auto"/>
                        <w:right w:val="none" w:sz="0" w:space="0" w:color="auto"/>
                      </w:divBdr>
                      <w:divsChild>
                        <w:div w:id="921377744">
                          <w:marLeft w:val="340"/>
                          <w:marRight w:val="0"/>
                          <w:marTop w:val="300"/>
                          <w:marBottom w:val="120"/>
                          <w:divBdr>
                            <w:top w:val="none" w:sz="0" w:space="0" w:color="auto"/>
                            <w:left w:val="none" w:sz="0" w:space="0" w:color="auto"/>
                            <w:bottom w:val="none" w:sz="0" w:space="0" w:color="auto"/>
                            <w:right w:val="none" w:sz="0" w:space="0" w:color="auto"/>
                          </w:divBdr>
                          <w:divsChild>
                            <w:div w:id="42410141">
                              <w:marLeft w:val="0"/>
                              <w:marRight w:val="0"/>
                              <w:marTop w:val="0"/>
                              <w:marBottom w:val="0"/>
                              <w:divBdr>
                                <w:top w:val="none" w:sz="0" w:space="0" w:color="auto"/>
                                <w:left w:val="none" w:sz="0" w:space="0" w:color="auto"/>
                                <w:bottom w:val="none" w:sz="0" w:space="0" w:color="auto"/>
                                <w:right w:val="none" w:sz="0" w:space="0" w:color="auto"/>
                              </w:divBdr>
                              <w:divsChild>
                                <w:div w:id="11241172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170434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3400962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51475213">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1461921869">
                                                  <w:blockQuote w:val="1"/>
                                                  <w:marLeft w:val="340"/>
                                                  <w:marRight w:val="0"/>
                                                  <w:marTop w:val="80"/>
                                                  <w:marBottom w:val="80"/>
                                                  <w:divBdr>
                                                    <w:top w:val="none" w:sz="0" w:space="0" w:color="auto"/>
                                                    <w:left w:val="none" w:sz="0" w:space="0" w:color="auto"/>
                                                    <w:bottom w:val="none" w:sz="0" w:space="0" w:color="auto"/>
                                                    <w:right w:val="none" w:sz="0" w:space="0" w:color="auto"/>
                                                  </w:divBdr>
                                                </w:div>
                                                <w:div w:id="687948468">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624204">
      <w:bodyDiv w:val="1"/>
      <w:marLeft w:val="0"/>
      <w:marRight w:val="0"/>
      <w:marTop w:val="0"/>
      <w:marBottom w:val="0"/>
      <w:divBdr>
        <w:top w:val="none" w:sz="0" w:space="0" w:color="auto"/>
        <w:left w:val="none" w:sz="0" w:space="0" w:color="auto"/>
        <w:bottom w:val="none" w:sz="0" w:space="0" w:color="auto"/>
        <w:right w:val="none" w:sz="0" w:space="0" w:color="auto"/>
      </w:divBdr>
      <w:divsChild>
        <w:div w:id="168758327">
          <w:marLeft w:val="0"/>
          <w:marRight w:val="0"/>
          <w:marTop w:val="0"/>
          <w:marBottom w:val="0"/>
          <w:divBdr>
            <w:top w:val="none" w:sz="0" w:space="0" w:color="auto"/>
            <w:left w:val="none" w:sz="0" w:space="0" w:color="auto"/>
            <w:bottom w:val="none" w:sz="0" w:space="0" w:color="auto"/>
            <w:right w:val="none" w:sz="0" w:space="0" w:color="auto"/>
          </w:divBdr>
          <w:divsChild>
            <w:div w:id="994142836">
              <w:marLeft w:val="0"/>
              <w:marRight w:val="0"/>
              <w:marTop w:val="0"/>
              <w:marBottom w:val="0"/>
              <w:divBdr>
                <w:top w:val="none" w:sz="0" w:space="0" w:color="auto"/>
                <w:left w:val="none" w:sz="0" w:space="0" w:color="auto"/>
                <w:bottom w:val="none" w:sz="0" w:space="0" w:color="auto"/>
                <w:right w:val="none" w:sz="0" w:space="0" w:color="auto"/>
              </w:divBdr>
              <w:divsChild>
                <w:div w:id="1948610005">
                  <w:marLeft w:val="0"/>
                  <w:marRight w:val="0"/>
                  <w:marTop w:val="0"/>
                  <w:marBottom w:val="0"/>
                  <w:divBdr>
                    <w:top w:val="none" w:sz="0" w:space="0" w:color="auto"/>
                    <w:left w:val="none" w:sz="0" w:space="0" w:color="auto"/>
                    <w:bottom w:val="none" w:sz="0" w:space="0" w:color="auto"/>
                    <w:right w:val="none" w:sz="0" w:space="0" w:color="auto"/>
                  </w:divBdr>
                  <w:divsChild>
                    <w:div w:id="1140266105">
                      <w:marLeft w:val="0"/>
                      <w:marRight w:val="0"/>
                      <w:marTop w:val="0"/>
                      <w:marBottom w:val="0"/>
                      <w:divBdr>
                        <w:top w:val="none" w:sz="0" w:space="0" w:color="auto"/>
                        <w:left w:val="none" w:sz="0" w:space="0" w:color="auto"/>
                        <w:bottom w:val="none" w:sz="0" w:space="0" w:color="auto"/>
                        <w:right w:val="none" w:sz="0" w:space="0" w:color="auto"/>
                      </w:divBdr>
                      <w:divsChild>
                        <w:div w:id="1301033896">
                          <w:marLeft w:val="340"/>
                          <w:marRight w:val="0"/>
                          <w:marTop w:val="300"/>
                          <w:marBottom w:val="120"/>
                          <w:divBdr>
                            <w:top w:val="none" w:sz="0" w:space="0" w:color="auto"/>
                            <w:left w:val="none" w:sz="0" w:space="0" w:color="auto"/>
                            <w:bottom w:val="none" w:sz="0" w:space="0" w:color="auto"/>
                            <w:right w:val="none" w:sz="0" w:space="0" w:color="auto"/>
                          </w:divBdr>
                          <w:divsChild>
                            <w:div w:id="1953243404">
                              <w:marLeft w:val="0"/>
                              <w:marRight w:val="0"/>
                              <w:marTop w:val="0"/>
                              <w:marBottom w:val="0"/>
                              <w:divBdr>
                                <w:top w:val="none" w:sz="0" w:space="0" w:color="auto"/>
                                <w:left w:val="none" w:sz="0" w:space="0" w:color="auto"/>
                                <w:bottom w:val="none" w:sz="0" w:space="0" w:color="auto"/>
                                <w:right w:val="none" w:sz="0" w:space="0" w:color="auto"/>
                              </w:divBdr>
                              <w:divsChild>
                                <w:div w:id="36853528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409088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05301907">
                                          <w:marLeft w:val="0"/>
                                          <w:marRight w:val="0"/>
                                          <w:marTop w:val="200"/>
                                          <w:marBottom w:val="200"/>
                                          <w:divBdr>
                                            <w:top w:val="none" w:sz="0" w:space="0" w:color="auto"/>
                                            <w:left w:val="none" w:sz="0" w:space="0" w:color="auto"/>
                                            <w:bottom w:val="none" w:sz="0" w:space="0" w:color="auto"/>
                                            <w:right w:val="none" w:sz="0" w:space="0" w:color="auto"/>
                                          </w:divBdr>
                                        </w:div>
                                        <w:div w:id="41871977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089853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61913442">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1139810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46959893">
                                                  <w:blockQuote w:val="1"/>
                                                  <w:marLeft w:val="600"/>
                                                  <w:marRight w:val="0"/>
                                                  <w:marTop w:val="120"/>
                                                  <w:marBottom w:val="120"/>
                                                  <w:divBdr>
                                                    <w:top w:val="none" w:sz="0" w:space="0" w:color="auto"/>
                                                    <w:left w:val="none" w:sz="0" w:space="0" w:color="auto"/>
                                                    <w:bottom w:val="none" w:sz="0" w:space="0" w:color="auto"/>
                                                    <w:right w:val="none" w:sz="0" w:space="0" w:color="auto"/>
                                                  </w:divBdr>
                                                </w:div>
                                                <w:div w:id="937254525">
                                                  <w:blockQuote w:val="1"/>
                                                  <w:marLeft w:val="600"/>
                                                  <w:marRight w:val="0"/>
                                                  <w:marTop w:val="120"/>
                                                  <w:marBottom w:val="120"/>
                                                  <w:divBdr>
                                                    <w:top w:val="none" w:sz="0" w:space="0" w:color="auto"/>
                                                    <w:left w:val="none" w:sz="0" w:space="0" w:color="auto"/>
                                                    <w:bottom w:val="none" w:sz="0" w:space="0" w:color="auto"/>
                                                    <w:right w:val="none" w:sz="0" w:space="0" w:color="auto"/>
                                                  </w:divBdr>
                                                </w:div>
                                                <w:div w:id="113371170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769488">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425166">
      <w:bodyDiv w:val="1"/>
      <w:marLeft w:val="0"/>
      <w:marRight w:val="0"/>
      <w:marTop w:val="0"/>
      <w:marBottom w:val="0"/>
      <w:divBdr>
        <w:top w:val="none" w:sz="0" w:space="0" w:color="auto"/>
        <w:left w:val="none" w:sz="0" w:space="0" w:color="auto"/>
        <w:bottom w:val="none" w:sz="0" w:space="0" w:color="auto"/>
        <w:right w:val="none" w:sz="0" w:space="0" w:color="auto"/>
      </w:divBdr>
      <w:divsChild>
        <w:div w:id="179897045">
          <w:marLeft w:val="0"/>
          <w:marRight w:val="0"/>
          <w:marTop w:val="0"/>
          <w:marBottom w:val="0"/>
          <w:divBdr>
            <w:top w:val="none" w:sz="0" w:space="0" w:color="auto"/>
            <w:left w:val="none" w:sz="0" w:space="0" w:color="auto"/>
            <w:bottom w:val="none" w:sz="0" w:space="0" w:color="auto"/>
            <w:right w:val="none" w:sz="0" w:space="0" w:color="auto"/>
          </w:divBdr>
          <w:divsChild>
            <w:div w:id="138693924">
              <w:marLeft w:val="0"/>
              <w:marRight w:val="0"/>
              <w:marTop w:val="0"/>
              <w:marBottom w:val="0"/>
              <w:divBdr>
                <w:top w:val="none" w:sz="0" w:space="0" w:color="auto"/>
                <w:left w:val="none" w:sz="0" w:space="0" w:color="auto"/>
                <w:bottom w:val="none" w:sz="0" w:space="0" w:color="auto"/>
                <w:right w:val="none" w:sz="0" w:space="0" w:color="auto"/>
              </w:divBdr>
              <w:divsChild>
                <w:div w:id="99181692">
                  <w:marLeft w:val="0"/>
                  <w:marRight w:val="0"/>
                  <w:marTop w:val="0"/>
                  <w:marBottom w:val="0"/>
                  <w:divBdr>
                    <w:top w:val="none" w:sz="0" w:space="0" w:color="auto"/>
                    <w:left w:val="none" w:sz="0" w:space="0" w:color="auto"/>
                    <w:bottom w:val="none" w:sz="0" w:space="0" w:color="auto"/>
                    <w:right w:val="none" w:sz="0" w:space="0" w:color="auto"/>
                  </w:divBdr>
                  <w:divsChild>
                    <w:div w:id="17657847">
                      <w:marLeft w:val="0"/>
                      <w:marRight w:val="0"/>
                      <w:marTop w:val="0"/>
                      <w:marBottom w:val="0"/>
                      <w:divBdr>
                        <w:top w:val="none" w:sz="0" w:space="0" w:color="auto"/>
                        <w:left w:val="none" w:sz="0" w:space="0" w:color="auto"/>
                        <w:bottom w:val="none" w:sz="0" w:space="0" w:color="auto"/>
                        <w:right w:val="none" w:sz="0" w:space="0" w:color="auto"/>
                      </w:divBdr>
                      <w:divsChild>
                        <w:div w:id="752436889">
                          <w:marLeft w:val="340"/>
                          <w:marRight w:val="0"/>
                          <w:marTop w:val="300"/>
                          <w:marBottom w:val="120"/>
                          <w:divBdr>
                            <w:top w:val="none" w:sz="0" w:space="0" w:color="auto"/>
                            <w:left w:val="none" w:sz="0" w:space="0" w:color="auto"/>
                            <w:bottom w:val="none" w:sz="0" w:space="0" w:color="auto"/>
                            <w:right w:val="none" w:sz="0" w:space="0" w:color="auto"/>
                          </w:divBdr>
                          <w:divsChild>
                            <w:div w:id="1126851769">
                              <w:marLeft w:val="0"/>
                              <w:marRight w:val="0"/>
                              <w:marTop w:val="0"/>
                              <w:marBottom w:val="0"/>
                              <w:divBdr>
                                <w:top w:val="none" w:sz="0" w:space="0" w:color="auto"/>
                                <w:left w:val="none" w:sz="0" w:space="0" w:color="auto"/>
                                <w:bottom w:val="none" w:sz="0" w:space="0" w:color="auto"/>
                                <w:right w:val="none" w:sz="0" w:space="0" w:color="auto"/>
                              </w:divBdr>
                              <w:divsChild>
                                <w:div w:id="91259214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8733865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7872682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22051159">
                                              <w:blockQuote w:val="1"/>
                                              <w:marLeft w:val="600"/>
                                              <w:marRight w:val="0"/>
                                              <w:marTop w:val="120"/>
                                              <w:marBottom w:val="120"/>
                                              <w:divBdr>
                                                <w:top w:val="none" w:sz="0" w:space="0" w:color="auto"/>
                                                <w:left w:val="none" w:sz="0" w:space="0" w:color="auto"/>
                                                <w:bottom w:val="none" w:sz="0" w:space="0" w:color="auto"/>
                                                <w:right w:val="none" w:sz="0" w:space="0" w:color="auto"/>
                                              </w:divBdr>
                                            </w:div>
                                            <w:div w:id="1281062922">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822171">
      <w:bodyDiv w:val="1"/>
      <w:marLeft w:val="0"/>
      <w:marRight w:val="0"/>
      <w:marTop w:val="0"/>
      <w:marBottom w:val="0"/>
      <w:divBdr>
        <w:top w:val="none" w:sz="0" w:space="0" w:color="auto"/>
        <w:left w:val="none" w:sz="0" w:space="0" w:color="auto"/>
        <w:bottom w:val="none" w:sz="0" w:space="0" w:color="auto"/>
        <w:right w:val="none" w:sz="0" w:space="0" w:color="auto"/>
      </w:divBdr>
      <w:divsChild>
        <w:div w:id="652294342">
          <w:marLeft w:val="0"/>
          <w:marRight w:val="0"/>
          <w:marTop w:val="0"/>
          <w:marBottom w:val="0"/>
          <w:divBdr>
            <w:top w:val="none" w:sz="0" w:space="0" w:color="auto"/>
            <w:left w:val="none" w:sz="0" w:space="0" w:color="auto"/>
            <w:bottom w:val="none" w:sz="0" w:space="0" w:color="auto"/>
            <w:right w:val="none" w:sz="0" w:space="0" w:color="auto"/>
          </w:divBdr>
          <w:divsChild>
            <w:div w:id="1186753394">
              <w:marLeft w:val="0"/>
              <w:marRight w:val="0"/>
              <w:marTop w:val="0"/>
              <w:marBottom w:val="0"/>
              <w:divBdr>
                <w:top w:val="none" w:sz="0" w:space="0" w:color="auto"/>
                <w:left w:val="none" w:sz="0" w:space="0" w:color="auto"/>
                <w:bottom w:val="none" w:sz="0" w:space="0" w:color="auto"/>
                <w:right w:val="none" w:sz="0" w:space="0" w:color="auto"/>
              </w:divBdr>
              <w:divsChild>
                <w:div w:id="831220138">
                  <w:marLeft w:val="0"/>
                  <w:marRight w:val="0"/>
                  <w:marTop w:val="0"/>
                  <w:marBottom w:val="0"/>
                  <w:divBdr>
                    <w:top w:val="none" w:sz="0" w:space="0" w:color="auto"/>
                    <w:left w:val="none" w:sz="0" w:space="0" w:color="auto"/>
                    <w:bottom w:val="none" w:sz="0" w:space="0" w:color="auto"/>
                    <w:right w:val="none" w:sz="0" w:space="0" w:color="auto"/>
                  </w:divBdr>
                  <w:divsChild>
                    <w:div w:id="2008167249">
                      <w:marLeft w:val="0"/>
                      <w:marRight w:val="0"/>
                      <w:marTop w:val="0"/>
                      <w:marBottom w:val="0"/>
                      <w:divBdr>
                        <w:top w:val="none" w:sz="0" w:space="0" w:color="auto"/>
                        <w:left w:val="none" w:sz="0" w:space="0" w:color="auto"/>
                        <w:bottom w:val="none" w:sz="0" w:space="0" w:color="auto"/>
                        <w:right w:val="none" w:sz="0" w:space="0" w:color="auto"/>
                      </w:divBdr>
                      <w:divsChild>
                        <w:div w:id="378896039">
                          <w:marLeft w:val="340"/>
                          <w:marRight w:val="0"/>
                          <w:marTop w:val="300"/>
                          <w:marBottom w:val="120"/>
                          <w:divBdr>
                            <w:top w:val="none" w:sz="0" w:space="0" w:color="auto"/>
                            <w:left w:val="none" w:sz="0" w:space="0" w:color="auto"/>
                            <w:bottom w:val="none" w:sz="0" w:space="0" w:color="auto"/>
                            <w:right w:val="none" w:sz="0" w:space="0" w:color="auto"/>
                          </w:divBdr>
                          <w:divsChild>
                            <w:div w:id="1361856227">
                              <w:marLeft w:val="0"/>
                              <w:marRight w:val="0"/>
                              <w:marTop w:val="0"/>
                              <w:marBottom w:val="0"/>
                              <w:divBdr>
                                <w:top w:val="none" w:sz="0" w:space="0" w:color="auto"/>
                                <w:left w:val="none" w:sz="0" w:space="0" w:color="auto"/>
                                <w:bottom w:val="none" w:sz="0" w:space="0" w:color="auto"/>
                                <w:right w:val="none" w:sz="0" w:space="0" w:color="auto"/>
                              </w:divBdr>
                              <w:divsChild>
                                <w:div w:id="74456990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8398761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69627845">
                                          <w:blockQuote w:val="1"/>
                                          <w:marLeft w:val="600"/>
                                          <w:marRight w:val="0"/>
                                          <w:marTop w:val="120"/>
                                          <w:marBottom w:val="120"/>
                                          <w:divBdr>
                                            <w:top w:val="none" w:sz="0" w:space="0" w:color="auto"/>
                                            <w:left w:val="none" w:sz="0" w:space="0" w:color="auto"/>
                                            <w:bottom w:val="none" w:sz="0" w:space="0" w:color="auto"/>
                                            <w:right w:val="none" w:sz="0" w:space="0" w:color="auto"/>
                                          </w:divBdr>
                                        </w:div>
                                        <w:div w:id="183660919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3671076">
      <w:bodyDiv w:val="1"/>
      <w:marLeft w:val="0"/>
      <w:marRight w:val="0"/>
      <w:marTop w:val="0"/>
      <w:marBottom w:val="0"/>
      <w:divBdr>
        <w:top w:val="none" w:sz="0" w:space="0" w:color="auto"/>
        <w:left w:val="none" w:sz="0" w:space="0" w:color="auto"/>
        <w:bottom w:val="none" w:sz="0" w:space="0" w:color="auto"/>
        <w:right w:val="none" w:sz="0" w:space="0" w:color="auto"/>
      </w:divBdr>
      <w:divsChild>
        <w:div w:id="944921527">
          <w:marLeft w:val="0"/>
          <w:marRight w:val="0"/>
          <w:marTop w:val="0"/>
          <w:marBottom w:val="0"/>
          <w:divBdr>
            <w:top w:val="none" w:sz="0" w:space="0" w:color="auto"/>
            <w:left w:val="none" w:sz="0" w:space="0" w:color="auto"/>
            <w:bottom w:val="none" w:sz="0" w:space="0" w:color="auto"/>
            <w:right w:val="none" w:sz="0" w:space="0" w:color="auto"/>
          </w:divBdr>
          <w:divsChild>
            <w:div w:id="1442650919">
              <w:marLeft w:val="0"/>
              <w:marRight w:val="0"/>
              <w:marTop w:val="0"/>
              <w:marBottom w:val="0"/>
              <w:divBdr>
                <w:top w:val="none" w:sz="0" w:space="0" w:color="auto"/>
                <w:left w:val="none" w:sz="0" w:space="0" w:color="auto"/>
                <w:bottom w:val="none" w:sz="0" w:space="0" w:color="auto"/>
                <w:right w:val="none" w:sz="0" w:space="0" w:color="auto"/>
              </w:divBdr>
              <w:divsChild>
                <w:div w:id="226495925">
                  <w:marLeft w:val="0"/>
                  <w:marRight w:val="0"/>
                  <w:marTop w:val="0"/>
                  <w:marBottom w:val="0"/>
                  <w:divBdr>
                    <w:top w:val="none" w:sz="0" w:space="0" w:color="auto"/>
                    <w:left w:val="none" w:sz="0" w:space="0" w:color="auto"/>
                    <w:bottom w:val="none" w:sz="0" w:space="0" w:color="auto"/>
                    <w:right w:val="none" w:sz="0" w:space="0" w:color="auto"/>
                  </w:divBdr>
                  <w:divsChild>
                    <w:div w:id="674916616">
                      <w:marLeft w:val="0"/>
                      <w:marRight w:val="0"/>
                      <w:marTop w:val="0"/>
                      <w:marBottom w:val="0"/>
                      <w:divBdr>
                        <w:top w:val="none" w:sz="0" w:space="0" w:color="auto"/>
                        <w:left w:val="none" w:sz="0" w:space="0" w:color="auto"/>
                        <w:bottom w:val="none" w:sz="0" w:space="0" w:color="auto"/>
                        <w:right w:val="none" w:sz="0" w:space="0" w:color="auto"/>
                      </w:divBdr>
                      <w:divsChild>
                        <w:div w:id="464007266">
                          <w:marLeft w:val="340"/>
                          <w:marRight w:val="0"/>
                          <w:marTop w:val="300"/>
                          <w:marBottom w:val="120"/>
                          <w:divBdr>
                            <w:top w:val="none" w:sz="0" w:space="0" w:color="auto"/>
                            <w:left w:val="none" w:sz="0" w:space="0" w:color="auto"/>
                            <w:bottom w:val="none" w:sz="0" w:space="0" w:color="auto"/>
                            <w:right w:val="none" w:sz="0" w:space="0" w:color="auto"/>
                          </w:divBdr>
                          <w:divsChild>
                            <w:div w:id="1521553443">
                              <w:marLeft w:val="0"/>
                              <w:marRight w:val="0"/>
                              <w:marTop w:val="0"/>
                              <w:marBottom w:val="0"/>
                              <w:divBdr>
                                <w:top w:val="none" w:sz="0" w:space="0" w:color="auto"/>
                                <w:left w:val="none" w:sz="0" w:space="0" w:color="auto"/>
                                <w:bottom w:val="none" w:sz="0" w:space="0" w:color="auto"/>
                                <w:right w:val="none" w:sz="0" w:space="0" w:color="auto"/>
                              </w:divBdr>
                              <w:divsChild>
                                <w:div w:id="103214887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7771149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7670835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1074237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09070864">
                                                  <w:blockQuote w:val="1"/>
                                                  <w:marLeft w:val="600"/>
                                                  <w:marRight w:val="0"/>
                                                  <w:marTop w:val="120"/>
                                                  <w:marBottom w:val="120"/>
                                                  <w:divBdr>
                                                    <w:top w:val="none" w:sz="0" w:space="0" w:color="auto"/>
                                                    <w:left w:val="none" w:sz="0" w:space="0" w:color="auto"/>
                                                    <w:bottom w:val="none" w:sz="0" w:space="0" w:color="auto"/>
                                                    <w:right w:val="none" w:sz="0" w:space="0" w:color="auto"/>
                                                  </w:divBdr>
                                                </w:div>
                                                <w:div w:id="6513684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026581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81874320">
                                                  <w:blockQuote w:val="1"/>
                                                  <w:marLeft w:val="0"/>
                                                  <w:marRight w:val="0"/>
                                                  <w:marTop w:val="120"/>
                                                  <w:marBottom w:val="120"/>
                                                  <w:divBdr>
                                                    <w:top w:val="none" w:sz="0" w:space="0" w:color="auto"/>
                                                    <w:left w:val="none" w:sz="0" w:space="0" w:color="auto"/>
                                                    <w:bottom w:val="none" w:sz="0" w:space="0" w:color="auto"/>
                                                    <w:right w:val="none" w:sz="0" w:space="0" w:color="auto"/>
                                                  </w:divBdr>
                                                </w:div>
                                                <w:div w:id="1822042560">
                                                  <w:blockQuote w:val="1"/>
                                                  <w:marLeft w:val="600"/>
                                                  <w:marRight w:val="0"/>
                                                  <w:marTop w:val="120"/>
                                                  <w:marBottom w:val="120"/>
                                                  <w:divBdr>
                                                    <w:top w:val="none" w:sz="0" w:space="0" w:color="auto"/>
                                                    <w:left w:val="none" w:sz="0" w:space="0" w:color="auto"/>
                                                    <w:bottom w:val="none" w:sz="0" w:space="0" w:color="auto"/>
                                                    <w:right w:val="none" w:sz="0" w:space="0" w:color="auto"/>
                                                  </w:divBdr>
                                                </w:div>
                                                <w:div w:id="117665646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098741">
      <w:bodyDiv w:val="1"/>
      <w:marLeft w:val="0"/>
      <w:marRight w:val="0"/>
      <w:marTop w:val="0"/>
      <w:marBottom w:val="0"/>
      <w:divBdr>
        <w:top w:val="none" w:sz="0" w:space="0" w:color="auto"/>
        <w:left w:val="none" w:sz="0" w:space="0" w:color="auto"/>
        <w:bottom w:val="none" w:sz="0" w:space="0" w:color="auto"/>
        <w:right w:val="none" w:sz="0" w:space="0" w:color="auto"/>
      </w:divBdr>
      <w:divsChild>
        <w:div w:id="204832735">
          <w:marLeft w:val="0"/>
          <w:marRight w:val="0"/>
          <w:marTop w:val="0"/>
          <w:marBottom w:val="0"/>
          <w:divBdr>
            <w:top w:val="none" w:sz="0" w:space="0" w:color="auto"/>
            <w:left w:val="none" w:sz="0" w:space="0" w:color="auto"/>
            <w:bottom w:val="none" w:sz="0" w:space="0" w:color="auto"/>
            <w:right w:val="none" w:sz="0" w:space="0" w:color="auto"/>
          </w:divBdr>
          <w:divsChild>
            <w:div w:id="926887429">
              <w:marLeft w:val="0"/>
              <w:marRight w:val="0"/>
              <w:marTop w:val="0"/>
              <w:marBottom w:val="0"/>
              <w:divBdr>
                <w:top w:val="none" w:sz="0" w:space="0" w:color="auto"/>
                <w:left w:val="none" w:sz="0" w:space="0" w:color="auto"/>
                <w:bottom w:val="none" w:sz="0" w:space="0" w:color="auto"/>
                <w:right w:val="none" w:sz="0" w:space="0" w:color="auto"/>
              </w:divBdr>
              <w:divsChild>
                <w:div w:id="1101339488">
                  <w:marLeft w:val="0"/>
                  <w:marRight w:val="0"/>
                  <w:marTop w:val="0"/>
                  <w:marBottom w:val="0"/>
                  <w:divBdr>
                    <w:top w:val="none" w:sz="0" w:space="0" w:color="auto"/>
                    <w:left w:val="none" w:sz="0" w:space="0" w:color="auto"/>
                    <w:bottom w:val="none" w:sz="0" w:space="0" w:color="auto"/>
                    <w:right w:val="none" w:sz="0" w:space="0" w:color="auto"/>
                  </w:divBdr>
                  <w:divsChild>
                    <w:div w:id="510266304">
                      <w:marLeft w:val="0"/>
                      <w:marRight w:val="0"/>
                      <w:marTop w:val="0"/>
                      <w:marBottom w:val="0"/>
                      <w:divBdr>
                        <w:top w:val="none" w:sz="0" w:space="0" w:color="auto"/>
                        <w:left w:val="none" w:sz="0" w:space="0" w:color="auto"/>
                        <w:bottom w:val="none" w:sz="0" w:space="0" w:color="auto"/>
                        <w:right w:val="none" w:sz="0" w:space="0" w:color="auto"/>
                      </w:divBdr>
                      <w:divsChild>
                        <w:div w:id="1263222706">
                          <w:marLeft w:val="340"/>
                          <w:marRight w:val="0"/>
                          <w:marTop w:val="300"/>
                          <w:marBottom w:val="120"/>
                          <w:divBdr>
                            <w:top w:val="none" w:sz="0" w:space="0" w:color="auto"/>
                            <w:left w:val="none" w:sz="0" w:space="0" w:color="auto"/>
                            <w:bottom w:val="none" w:sz="0" w:space="0" w:color="auto"/>
                            <w:right w:val="none" w:sz="0" w:space="0" w:color="auto"/>
                          </w:divBdr>
                          <w:divsChild>
                            <w:div w:id="1938243924">
                              <w:marLeft w:val="0"/>
                              <w:marRight w:val="0"/>
                              <w:marTop w:val="0"/>
                              <w:marBottom w:val="0"/>
                              <w:divBdr>
                                <w:top w:val="none" w:sz="0" w:space="0" w:color="auto"/>
                                <w:left w:val="none" w:sz="0" w:space="0" w:color="auto"/>
                                <w:bottom w:val="none" w:sz="0" w:space="0" w:color="auto"/>
                                <w:right w:val="none" w:sz="0" w:space="0" w:color="auto"/>
                              </w:divBdr>
                              <w:divsChild>
                                <w:div w:id="193215498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2456680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8964670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5569575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95823400">
                                                  <w:blockQuote w:val="1"/>
                                                  <w:marLeft w:val="600"/>
                                                  <w:marRight w:val="0"/>
                                                  <w:marTop w:val="120"/>
                                                  <w:marBottom w:val="120"/>
                                                  <w:divBdr>
                                                    <w:top w:val="none" w:sz="0" w:space="0" w:color="auto"/>
                                                    <w:left w:val="none" w:sz="0" w:space="0" w:color="auto"/>
                                                    <w:bottom w:val="none" w:sz="0" w:space="0" w:color="auto"/>
                                                    <w:right w:val="none" w:sz="0" w:space="0" w:color="auto"/>
                                                  </w:divBdr>
                                                </w:div>
                                                <w:div w:id="323170084">
                                                  <w:blockQuote w:val="1"/>
                                                  <w:marLeft w:val="600"/>
                                                  <w:marRight w:val="0"/>
                                                  <w:marTop w:val="120"/>
                                                  <w:marBottom w:val="120"/>
                                                  <w:divBdr>
                                                    <w:top w:val="none" w:sz="0" w:space="0" w:color="auto"/>
                                                    <w:left w:val="none" w:sz="0" w:space="0" w:color="auto"/>
                                                    <w:bottom w:val="none" w:sz="0" w:space="0" w:color="auto"/>
                                                    <w:right w:val="none" w:sz="0" w:space="0" w:color="auto"/>
                                                  </w:divBdr>
                                                </w:div>
                                                <w:div w:id="5454837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0174423">
      <w:bodyDiv w:val="1"/>
      <w:marLeft w:val="0"/>
      <w:marRight w:val="0"/>
      <w:marTop w:val="0"/>
      <w:marBottom w:val="0"/>
      <w:divBdr>
        <w:top w:val="none" w:sz="0" w:space="0" w:color="auto"/>
        <w:left w:val="none" w:sz="0" w:space="0" w:color="auto"/>
        <w:bottom w:val="none" w:sz="0" w:space="0" w:color="auto"/>
        <w:right w:val="none" w:sz="0" w:space="0" w:color="auto"/>
      </w:divBdr>
      <w:divsChild>
        <w:div w:id="232929539">
          <w:marLeft w:val="0"/>
          <w:marRight w:val="0"/>
          <w:marTop w:val="0"/>
          <w:marBottom w:val="0"/>
          <w:divBdr>
            <w:top w:val="none" w:sz="0" w:space="0" w:color="auto"/>
            <w:left w:val="none" w:sz="0" w:space="0" w:color="auto"/>
            <w:bottom w:val="none" w:sz="0" w:space="0" w:color="auto"/>
            <w:right w:val="none" w:sz="0" w:space="0" w:color="auto"/>
          </w:divBdr>
          <w:divsChild>
            <w:div w:id="1277372212">
              <w:marLeft w:val="0"/>
              <w:marRight w:val="0"/>
              <w:marTop w:val="0"/>
              <w:marBottom w:val="0"/>
              <w:divBdr>
                <w:top w:val="none" w:sz="0" w:space="0" w:color="auto"/>
                <w:left w:val="none" w:sz="0" w:space="0" w:color="auto"/>
                <w:bottom w:val="none" w:sz="0" w:space="0" w:color="auto"/>
                <w:right w:val="none" w:sz="0" w:space="0" w:color="auto"/>
              </w:divBdr>
              <w:divsChild>
                <w:div w:id="224679934">
                  <w:marLeft w:val="0"/>
                  <w:marRight w:val="0"/>
                  <w:marTop w:val="0"/>
                  <w:marBottom w:val="0"/>
                  <w:divBdr>
                    <w:top w:val="none" w:sz="0" w:space="0" w:color="auto"/>
                    <w:left w:val="none" w:sz="0" w:space="0" w:color="auto"/>
                    <w:bottom w:val="none" w:sz="0" w:space="0" w:color="auto"/>
                    <w:right w:val="none" w:sz="0" w:space="0" w:color="auto"/>
                  </w:divBdr>
                  <w:divsChild>
                    <w:div w:id="542638554">
                      <w:marLeft w:val="0"/>
                      <w:marRight w:val="0"/>
                      <w:marTop w:val="0"/>
                      <w:marBottom w:val="0"/>
                      <w:divBdr>
                        <w:top w:val="none" w:sz="0" w:space="0" w:color="auto"/>
                        <w:left w:val="none" w:sz="0" w:space="0" w:color="auto"/>
                        <w:bottom w:val="none" w:sz="0" w:space="0" w:color="auto"/>
                        <w:right w:val="none" w:sz="0" w:space="0" w:color="auto"/>
                      </w:divBdr>
                      <w:divsChild>
                        <w:div w:id="262734125">
                          <w:marLeft w:val="340"/>
                          <w:marRight w:val="0"/>
                          <w:marTop w:val="300"/>
                          <w:marBottom w:val="120"/>
                          <w:divBdr>
                            <w:top w:val="none" w:sz="0" w:space="0" w:color="auto"/>
                            <w:left w:val="none" w:sz="0" w:space="0" w:color="auto"/>
                            <w:bottom w:val="none" w:sz="0" w:space="0" w:color="auto"/>
                            <w:right w:val="none" w:sz="0" w:space="0" w:color="auto"/>
                          </w:divBdr>
                          <w:divsChild>
                            <w:div w:id="397703771">
                              <w:marLeft w:val="0"/>
                              <w:marRight w:val="0"/>
                              <w:marTop w:val="0"/>
                              <w:marBottom w:val="0"/>
                              <w:divBdr>
                                <w:top w:val="none" w:sz="0" w:space="0" w:color="auto"/>
                                <w:left w:val="none" w:sz="0" w:space="0" w:color="auto"/>
                                <w:bottom w:val="none" w:sz="0" w:space="0" w:color="auto"/>
                                <w:right w:val="none" w:sz="0" w:space="0" w:color="auto"/>
                              </w:divBdr>
                              <w:divsChild>
                                <w:div w:id="127894802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7245859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4572805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129489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56060737">
                                                  <w:blockQuote w:val="1"/>
                                                  <w:marLeft w:val="600"/>
                                                  <w:marRight w:val="0"/>
                                                  <w:marTop w:val="120"/>
                                                  <w:marBottom w:val="120"/>
                                                  <w:divBdr>
                                                    <w:top w:val="none" w:sz="0" w:space="0" w:color="auto"/>
                                                    <w:left w:val="none" w:sz="0" w:space="0" w:color="auto"/>
                                                    <w:bottom w:val="none" w:sz="0" w:space="0" w:color="auto"/>
                                                    <w:right w:val="none" w:sz="0" w:space="0" w:color="auto"/>
                                                  </w:divBdr>
                                                </w:div>
                                                <w:div w:id="94418937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686513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00741970">
                                                  <w:blockQuote w:val="1"/>
                                                  <w:marLeft w:val="600"/>
                                                  <w:marRight w:val="0"/>
                                                  <w:marTop w:val="120"/>
                                                  <w:marBottom w:val="120"/>
                                                  <w:divBdr>
                                                    <w:top w:val="none" w:sz="0" w:space="0" w:color="auto"/>
                                                    <w:left w:val="none" w:sz="0" w:space="0" w:color="auto"/>
                                                    <w:bottom w:val="none" w:sz="0" w:space="0" w:color="auto"/>
                                                    <w:right w:val="none" w:sz="0" w:space="0" w:color="auto"/>
                                                  </w:divBdr>
                                                </w:div>
                                                <w:div w:id="5564749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82720919">
                                                      <w:blockQuote w:val="1"/>
                                                      <w:marLeft w:val="600"/>
                                                      <w:marRight w:val="0"/>
                                                      <w:marTop w:val="120"/>
                                                      <w:marBottom w:val="120"/>
                                                      <w:divBdr>
                                                        <w:top w:val="none" w:sz="0" w:space="0" w:color="auto"/>
                                                        <w:left w:val="none" w:sz="0" w:space="0" w:color="auto"/>
                                                        <w:bottom w:val="none" w:sz="0" w:space="0" w:color="auto"/>
                                                        <w:right w:val="none" w:sz="0" w:space="0" w:color="auto"/>
                                                      </w:divBdr>
                                                    </w:div>
                                                    <w:div w:id="42631362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20810416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34288176">
                                                  <w:blockQuote w:val="1"/>
                                                  <w:marLeft w:val="600"/>
                                                  <w:marRight w:val="0"/>
                                                  <w:marTop w:val="120"/>
                                                  <w:marBottom w:val="120"/>
                                                  <w:divBdr>
                                                    <w:top w:val="none" w:sz="0" w:space="0" w:color="auto"/>
                                                    <w:left w:val="none" w:sz="0" w:space="0" w:color="auto"/>
                                                    <w:bottom w:val="none" w:sz="0" w:space="0" w:color="auto"/>
                                                    <w:right w:val="none" w:sz="0" w:space="0" w:color="auto"/>
                                                  </w:divBdr>
                                                </w:div>
                                                <w:div w:id="1259828270">
                                                  <w:blockQuote w:val="1"/>
                                                  <w:marLeft w:val="600"/>
                                                  <w:marRight w:val="0"/>
                                                  <w:marTop w:val="120"/>
                                                  <w:marBottom w:val="120"/>
                                                  <w:divBdr>
                                                    <w:top w:val="none" w:sz="0" w:space="0" w:color="auto"/>
                                                    <w:left w:val="none" w:sz="0" w:space="0" w:color="auto"/>
                                                    <w:bottom w:val="none" w:sz="0" w:space="0" w:color="auto"/>
                                                    <w:right w:val="none" w:sz="0" w:space="0" w:color="auto"/>
                                                  </w:divBdr>
                                                </w:div>
                                                <w:div w:id="106714228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52174570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50547834">
                                              <w:blockQuote w:val="1"/>
                                              <w:marLeft w:val="600"/>
                                              <w:marRight w:val="0"/>
                                              <w:marTop w:val="120"/>
                                              <w:marBottom w:val="120"/>
                                              <w:divBdr>
                                                <w:top w:val="none" w:sz="0" w:space="0" w:color="auto"/>
                                                <w:left w:val="none" w:sz="0" w:space="0" w:color="auto"/>
                                                <w:bottom w:val="none" w:sz="0" w:space="0" w:color="auto"/>
                                                <w:right w:val="none" w:sz="0" w:space="0" w:color="auto"/>
                                              </w:divBdr>
                                            </w:div>
                                            <w:div w:id="129571983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12463296">
                                                  <w:blockQuote w:val="1"/>
                                                  <w:marLeft w:val="600"/>
                                                  <w:marRight w:val="0"/>
                                                  <w:marTop w:val="120"/>
                                                  <w:marBottom w:val="120"/>
                                                  <w:divBdr>
                                                    <w:top w:val="none" w:sz="0" w:space="0" w:color="auto"/>
                                                    <w:left w:val="none" w:sz="0" w:space="0" w:color="auto"/>
                                                    <w:bottom w:val="none" w:sz="0" w:space="0" w:color="auto"/>
                                                    <w:right w:val="none" w:sz="0" w:space="0" w:color="auto"/>
                                                  </w:divBdr>
                                                </w:div>
                                                <w:div w:id="153527010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762717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0566677">
      <w:bodyDiv w:val="1"/>
      <w:marLeft w:val="0"/>
      <w:marRight w:val="0"/>
      <w:marTop w:val="0"/>
      <w:marBottom w:val="0"/>
      <w:divBdr>
        <w:top w:val="none" w:sz="0" w:space="0" w:color="auto"/>
        <w:left w:val="none" w:sz="0" w:space="0" w:color="auto"/>
        <w:bottom w:val="none" w:sz="0" w:space="0" w:color="auto"/>
        <w:right w:val="none" w:sz="0" w:space="0" w:color="auto"/>
      </w:divBdr>
      <w:divsChild>
        <w:div w:id="1214274377">
          <w:marLeft w:val="0"/>
          <w:marRight w:val="0"/>
          <w:marTop w:val="0"/>
          <w:marBottom w:val="0"/>
          <w:divBdr>
            <w:top w:val="none" w:sz="0" w:space="0" w:color="auto"/>
            <w:left w:val="none" w:sz="0" w:space="0" w:color="auto"/>
            <w:bottom w:val="none" w:sz="0" w:space="0" w:color="auto"/>
            <w:right w:val="none" w:sz="0" w:space="0" w:color="auto"/>
          </w:divBdr>
          <w:divsChild>
            <w:div w:id="1323437005">
              <w:marLeft w:val="0"/>
              <w:marRight w:val="0"/>
              <w:marTop w:val="0"/>
              <w:marBottom w:val="0"/>
              <w:divBdr>
                <w:top w:val="none" w:sz="0" w:space="0" w:color="auto"/>
                <w:left w:val="none" w:sz="0" w:space="0" w:color="auto"/>
                <w:bottom w:val="none" w:sz="0" w:space="0" w:color="auto"/>
                <w:right w:val="none" w:sz="0" w:space="0" w:color="auto"/>
              </w:divBdr>
              <w:divsChild>
                <w:div w:id="1953781251">
                  <w:marLeft w:val="0"/>
                  <w:marRight w:val="0"/>
                  <w:marTop w:val="0"/>
                  <w:marBottom w:val="0"/>
                  <w:divBdr>
                    <w:top w:val="none" w:sz="0" w:space="0" w:color="auto"/>
                    <w:left w:val="none" w:sz="0" w:space="0" w:color="auto"/>
                    <w:bottom w:val="none" w:sz="0" w:space="0" w:color="auto"/>
                    <w:right w:val="none" w:sz="0" w:space="0" w:color="auto"/>
                  </w:divBdr>
                  <w:divsChild>
                    <w:div w:id="1156456390">
                      <w:marLeft w:val="0"/>
                      <w:marRight w:val="0"/>
                      <w:marTop w:val="0"/>
                      <w:marBottom w:val="0"/>
                      <w:divBdr>
                        <w:top w:val="none" w:sz="0" w:space="0" w:color="auto"/>
                        <w:left w:val="none" w:sz="0" w:space="0" w:color="auto"/>
                        <w:bottom w:val="none" w:sz="0" w:space="0" w:color="auto"/>
                        <w:right w:val="none" w:sz="0" w:space="0" w:color="auto"/>
                      </w:divBdr>
                      <w:divsChild>
                        <w:div w:id="1061290286">
                          <w:marLeft w:val="340"/>
                          <w:marRight w:val="0"/>
                          <w:marTop w:val="300"/>
                          <w:marBottom w:val="120"/>
                          <w:divBdr>
                            <w:top w:val="none" w:sz="0" w:space="0" w:color="auto"/>
                            <w:left w:val="none" w:sz="0" w:space="0" w:color="auto"/>
                            <w:bottom w:val="none" w:sz="0" w:space="0" w:color="auto"/>
                            <w:right w:val="none" w:sz="0" w:space="0" w:color="auto"/>
                          </w:divBdr>
                          <w:divsChild>
                            <w:div w:id="930162165">
                              <w:marLeft w:val="0"/>
                              <w:marRight w:val="0"/>
                              <w:marTop w:val="0"/>
                              <w:marBottom w:val="0"/>
                              <w:divBdr>
                                <w:top w:val="none" w:sz="0" w:space="0" w:color="auto"/>
                                <w:left w:val="none" w:sz="0" w:space="0" w:color="auto"/>
                                <w:bottom w:val="none" w:sz="0" w:space="0" w:color="auto"/>
                                <w:right w:val="none" w:sz="0" w:space="0" w:color="auto"/>
                              </w:divBdr>
                              <w:divsChild>
                                <w:div w:id="90256575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310983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42237557">
                                          <w:marLeft w:val="0"/>
                                          <w:marRight w:val="0"/>
                                          <w:marTop w:val="200"/>
                                          <w:marBottom w:val="200"/>
                                          <w:divBdr>
                                            <w:top w:val="none" w:sz="0" w:space="0" w:color="auto"/>
                                            <w:left w:val="none" w:sz="0" w:space="0" w:color="auto"/>
                                            <w:bottom w:val="none" w:sz="0" w:space="0" w:color="auto"/>
                                            <w:right w:val="none" w:sz="0" w:space="0" w:color="auto"/>
                                          </w:divBdr>
                                        </w:div>
                                        <w:div w:id="34699395">
                                          <w:blockQuote w:val="1"/>
                                          <w:marLeft w:val="960"/>
                                          <w:marRight w:val="0"/>
                                          <w:marTop w:val="120"/>
                                          <w:marBottom w:val="120"/>
                                          <w:divBdr>
                                            <w:top w:val="none" w:sz="0" w:space="0" w:color="auto"/>
                                            <w:left w:val="none" w:sz="0" w:space="0" w:color="auto"/>
                                            <w:bottom w:val="none" w:sz="0" w:space="0" w:color="auto"/>
                                            <w:right w:val="none" w:sz="0" w:space="0" w:color="auto"/>
                                          </w:divBdr>
                                        </w:div>
                                        <w:div w:id="114485811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44514740">
                                              <w:blockQuote w:val="1"/>
                                              <w:marLeft w:val="600"/>
                                              <w:marRight w:val="0"/>
                                              <w:marTop w:val="120"/>
                                              <w:marBottom w:val="120"/>
                                              <w:divBdr>
                                                <w:top w:val="none" w:sz="0" w:space="0" w:color="auto"/>
                                                <w:left w:val="none" w:sz="0" w:space="0" w:color="auto"/>
                                                <w:bottom w:val="none" w:sz="0" w:space="0" w:color="auto"/>
                                                <w:right w:val="none" w:sz="0" w:space="0" w:color="auto"/>
                                              </w:divBdr>
                                            </w:div>
                                            <w:div w:id="3927800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76430422">
                                                  <w:blockQuote w:val="1"/>
                                                  <w:marLeft w:val="600"/>
                                                  <w:marRight w:val="0"/>
                                                  <w:marTop w:val="120"/>
                                                  <w:marBottom w:val="120"/>
                                                  <w:divBdr>
                                                    <w:top w:val="none" w:sz="0" w:space="0" w:color="auto"/>
                                                    <w:left w:val="none" w:sz="0" w:space="0" w:color="auto"/>
                                                    <w:bottom w:val="none" w:sz="0" w:space="0" w:color="auto"/>
                                                    <w:right w:val="none" w:sz="0" w:space="0" w:color="auto"/>
                                                  </w:divBdr>
                                                </w:div>
                                                <w:div w:id="179853680">
                                                  <w:blockQuote w:val="1"/>
                                                  <w:marLeft w:val="600"/>
                                                  <w:marRight w:val="0"/>
                                                  <w:marTop w:val="120"/>
                                                  <w:marBottom w:val="120"/>
                                                  <w:divBdr>
                                                    <w:top w:val="none" w:sz="0" w:space="0" w:color="auto"/>
                                                    <w:left w:val="none" w:sz="0" w:space="0" w:color="auto"/>
                                                    <w:bottom w:val="none" w:sz="0" w:space="0" w:color="auto"/>
                                                    <w:right w:val="none" w:sz="0" w:space="0" w:color="auto"/>
                                                  </w:divBdr>
                                                </w:div>
                                                <w:div w:id="133669321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2048410121">
                                          <w:blockQuote w:val="1"/>
                                          <w:marLeft w:val="96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8037303">
      <w:bodyDiv w:val="1"/>
      <w:marLeft w:val="0"/>
      <w:marRight w:val="0"/>
      <w:marTop w:val="0"/>
      <w:marBottom w:val="0"/>
      <w:divBdr>
        <w:top w:val="none" w:sz="0" w:space="0" w:color="auto"/>
        <w:left w:val="none" w:sz="0" w:space="0" w:color="auto"/>
        <w:bottom w:val="none" w:sz="0" w:space="0" w:color="auto"/>
        <w:right w:val="none" w:sz="0" w:space="0" w:color="auto"/>
      </w:divBdr>
      <w:divsChild>
        <w:div w:id="1457405571">
          <w:marLeft w:val="0"/>
          <w:marRight w:val="0"/>
          <w:marTop w:val="0"/>
          <w:marBottom w:val="0"/>
          <w:divBdr>
            <w:top w:val="none" w:sz="0" w:space="0" w:color="auto"/>
            <w:left w:val="none" w:sz="0" w:space="0" w:color="auto"/>
            <w:bottom w:val="none" w:sz="0" w:space="0" w:color="auto"/>
            <w:right w:val="none" w:sz="0" w:space="0" w:color="auto"/>
          </w:divBdr>
          <w:divsChild>
            <w:div w:id="783692135">
              <w:marLeft w:val="0"/>
              <w:marRight w:val="0"/>
              <w:marTop w:val="0"/>
              <w:marBottom w:val="0"/>
              <w:divBdr>
                <w:top w:val="none" w:sz="0" w:space="0" w:color="auto"/>
                <w:left w:val="none" w:sz="0" w:space="0" w:color="auto"/>
                <w:bottom w:val="none" w:sz="0" w:space="0" w:color="auto"/>
                <w:right w:val="none" w:sz="0" w:space="0" w:color="auto"/>
              </w:divBdr>
              <w:divsChild>
                <w:div w:id="97679573">
                  <w:marLeft w:val="0"/>
                  <w:marRight w:val="0"/>
                  <w:marTop w:val="0"/>
                  <w:marBottom w:val="0"/>
                  <w:divBdr>
                    <w:top w:val="none" w:sz="0" w:space="0" w:color="auto"/>
                    <w:left w:val="none" w:sz="0" w:space="0" w:color="auto"/>
                    <w:bottom w:val="none" w:sz="0" w:space="0" w:color="auto"/>
                    <w:right w:val="none" w:sz="0" w:space="0" w:color="auto"/>
                  </w:divBdr>
                  <w:divsChild>
                    <w:div w:id="1356685782">
                      <w:marLeft w:val="0"/>
                      <w:marRight w:val="0"/>
                      <w:marTop w:val="0"/>
                      <w:marBottom w:val="0"/>
                      <w:divBdr>
                        <w:top w:val="none" w:sz="0" w:space="0" w:color="auto"/>
                        <w:left w:val="none" w:sz="0" w:space="0" w:color="auto"/>
                        <w:bottom w:val="none" w:sz="0" w:space="0" w:color="auto"/>
                        <w:right w:val="none" w:sz="0" w:space="0" w:color="auto"/>
                      </w:divBdr>
                      <w:divsChild>
                        <w:div w:id="2086799306">
                          <w:marLeft w:val="340"/>
                          <w:marRight w:val="0"/>
                          <w:marTop w:val="300"/>
                          <w:marBottom w:val="120"/>
                          <w:divBdr>
                            <w:top w:val="none" w:sz="0" w:space="0" w:color="auto"/>
                            <w:left w:val="none" w:sz="0" w:space="0" w:color="auto"/>
                            <w:bottom w:val="none" w:sz="0" w:space="0" w:color="auto"/>
                            <w:right w:val="none" w:sz="0" w:space="0" w:color="auto"/>
                          </w:divBdr>
                          <w:divsChild>
                            <w:div w:id="1895123212">
                              <w:marLeft w:val="0"/>
                              <w:marRight w:val="0"/>
                              <w:marTop w:val="0"/>
                              <w:marBottom w:val="0"/>
                              <w:divBdr>
                                <w:top w:val="none" w:sz="0" w:space="0" w:color="auto"/>
                                <w:left w:val="none" w:sz="0" w:space="0" w:color="auto"/>
                                <w:bottom w:val="none" w:sz="0" w:space="0" w:color="auto"/>
                                <w:right w:val="none" w:sz="0" w:space="0" w:color="auto"/>
                              </w:divBdr>
                              <w:divsChild>
                                <w:div w:id="203649170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5836271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148658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58031985">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7714550">
      <w:bodyDiv w:val="1"/>
      <w:marLeft w:val="0"/>
      <w:marRight w:val="0"/>
      <w:marTop w:val="0"/>
      <w:marBottom w:val="0"/>
      <w:divBdr>
        <w:top w:val="none" w:sz="0" w:space="0" w:color="auto"/>
        <w:left w:val="none" w:sz="0" w:space="0" w:color="auto"/>
        <w:bottom w:val="none" w:sz="0" w:space="0" w:color="auto"/>
        <w:right w:val="none" w:sz="0" w:space="0" w:color="auto"/>
      </w:divBdr>
      <w:divsChild>
        <w:div w:id="474026283">
          <w:marLeft w:val="0"/>
          <w:marRight w:val="0"/>
          <w:marTop w:val="0"/>
          <w:marBottom w:val="0"/>
          <w:divBdr>
            <w:top w:val="none" w:sz="0" w:space="0" w:color="auto"/>
            <w:left w:val="none" w:sz="0" w:space="0" w:color="auto"/>
            <w:bottom w:val="none" w:sz="0" w:space="0" w:color="auto"/>
            <w:right w:val="none" w:sz="0" w:space="0" w:color="auto"/>
          </w:divBdr>
          <w:divsChild>
            <w:div w:id="2006280046">
              <w:marLeft w:val="0"/>
              <w:marRight w:val="0"/>
              <w:marTop w:val="0"/>
              <w:marBottom w:val="0"/>
              <w:divBdr>
                <w:top w:val="none" w:sz="0" w:space="0" w:color="auto"/>
                <w:left w:val="none" w:sz="0" w:space="0" w:color="auto"/>
                <w:bottom w:val="none" w:sz="0" w:space="0" w:color="auto"/>
                <w:right w:val="none" w:sz="0" w:space="0" w:color="auto"/>
              </w:divBdr>
              <w:divsChild>
                <w:div w:id="1716418725">
                  <w:marLeft w:val="0"/>
                  <w:marRight w:val="0"/>
                  <w:marTop w:val="0"/>
                  <w:marBottom w:val="0"/>
                  <w:divBdr>
                    <w:top w:val="none" w:sz="0" w:space="0" w:color="auto"/>
                    <w:left w:val="none" w:sz="0" w:space="0" w:color="auto"/>
                    <w:bottom w:val="none" w:sz="0" w:space="0" w:color="auto"/>
                    <w:right w:val="none" w:sz="0" w:space="0" w:color="auto"/>
                  </w:divBdr>
                  <w:divsChild>
                    <w:div w:id="898635260">
                      <w:marLeft w:val="0"/>
                      <w:marRight w:val="0"/>
                      <w:marTop w:val="0"/>
                      <w:marBottom w:val="0"/>
                      <w:divBdr>
                        <w:top w:val="none" w:sz="0" w:space="0" w:color="auto"/>
                        <w:left w:val="none" w:sz="0" w:space="0" w:color="auto"/>
                        <w:bottom w:val="none" w:sz="0" w:space="0" w:color="auto"/>
                        <w:right w:val="none" w:sz="0" w:space="0" w:color="auto"/>
                      </w:divBdr>
                      <w:divsChild>
                        <w:div w:id="2024432168">
                          <w:marLeft w:val="340"/>
                          <w:marRight w:val="0"/>
                          <w:marTop w:val="300"/>
                          <w:marBottom w:val="120"/>
                          <w:divBdr>
                            <w:top w:val="none" w:sz="0" w:space="0" w:color="auto"/>
                            <w:left w:val="none" w:sz="0" w:space="0" w:color="auto"/>
                            <w:bottom w:val="none" w:sz="0" w:space="0" w:color="auto"/>
                            <w:right w:val="none" w:sz="0" w:space="0" w:color="auto"/>
                          </w:divBdr>
                          <w:divsChild>
                            <w:div w:id="1863280543">
                              <w:marLeft w:val="0"/>
                              <w:marRight w:val="0"/>
                              <w:marTop w:val="0"/>
                              <w:marBottom w:val="0"/>
                              <w:divBdr>
                                <w:top w:val="none" w:sz="0" w:space="0" w:color="auto"/>
                                <w:left w:val="none" w:sz="0" w:space="0" w:color="auto"/>
                                <w:bottom w:val="none" w:sz="0" w:space="0" w:color="auto"/>
                                <w:right w:val="none" w:sz="0" w:space="0" w:color="auto"/>
                              </w:divBdr>
                              <w:divsChild>
                                <w:div w:id="26647109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0239169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3176196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19955902">
                                              <w:blockQuote w:val="1"/>
                                              <w:marLeft w:val="0"/>
                                              <w:marRight w:val="0"/>
                                              <w:marTop w:val="120"/>
                                              <w:marBottom w:val="120"/>
                                              <w:divBdr>
                                                <w:top w:val="none" w:sz="0" w:space="0" w:color="auto"/>
                                                <w:left w:val="none" w:sz="0" w:space="0" w:color="auto"/>
                                                <w:bottom w:val="none" w:sz="0" w:space="0" w:color="auto"/>
                                                <w:right w:val="none" w:sz="0" w:space="0" w:color="auto"/>
                                              </w:divBdr>
                                            </w:div>
                                            <w:div w:id="1629359387">
                                              <w:blockQuote w:val="1"/>
                                              <w:marLeft w:val="600"/>
                                              <w:marRight w:val="0"/>
                                              <w:marTop w:val="120"/>
                                              <w:marBottom w:val="120"/>
                                              <w:divBdr>
                                                <w:top w:val="none" w:sz="0" w:space="0" w:color="auto"/>
                                                <w:left w:val="none" w:sz="0" w:space="0" w:color="auto"/>
                                                <w:bottom w:val="none" w:sz="0" w:space="0" w:color="auto"/>
                                                <w:right w:val="none" w:sz="0" w:space="0" w:color="auto"/>
                                              </w:divBdr>
                                            </w:div>
                                            <w:div w:id="136755709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0899440">
      <w:bodyDiv w:val="1"/>
      <w:marLeft w:val="0"/>
      <w:marRight w:val="0"/>
      <w:marTop w:val="0"/>
      <w:marBottom w:val="0"/>
      <w:divBdr>
        <w:top w:val="none" w:sz="0" w:space="0" w:color="auto"/>
        <w:left w:val="none" w:sz="0" w:space="0" w:color="auto"/>
        <w:bottom w:val="none" w:sz="0" w:space="0" w:color="auto"/>
        <w:right w:val="none" w:sz="0" w:space="0" w:color="auto"/>
      </w:divBdr>
      <w:divsChild>
        <w:div w:id="1621522829">
          <w:marLeft w:val="0"/>
          <w:marRight w:val="0"/>
          <w:marTop w:val="0"/>
          <w:marBottom w:val="0"/>
          <w:divBdr>
            <w:top w:val="none" w:sz="0" w:space="0" w:color="auto"/>
            <w:left w:val="none" w:sz="0" w:space="0" w:color="auto"/>
            <w:bottom w:val="none" w:sz="0" w:space="0" w:color="auto"/>
            <w:right w:val="none" w:sz="0" w:space="0" w:color="auto"/>
          </w:divBdr>
          <w:divsChild>
            <w:div w:id="458650691">
              <w:marLeft w:val="0"/>
              <w:marRight w:val="0"/>
              <w:marTop w:val="0"/>
              <w:marBottom w:val="0"/>
              <w:divBdr>
                <w:top w:val="none" w:sz="0" w:space="0" w:color="auto"/>
                <w:left w:val="none" w:sz="0" w:space="0" w:color="auto"/>
                <w:bottom w:val="none" w:sz="0" w:space="0" w:color="auto"/>
                <w:right w:val="none" w:sz="0" w:space="0" w:color="auto"/>
              </w:divBdr>
              <w:divsChild>
                <w:div w:id="679965391">
                  <w:marLeft w:val="0"/>
                  <w:marRight w:val="0"/>
                  <w:marTop w:val="0"/>
                  <w:marBottom w:val="0"/>
                  <w:divBdr>
                    <w:top w:val="none" w:sz="0" w:space="0" w:color="auto"/>
                    <w:left w:val="none" w:sz="0" w:space="0" w:color="auto"/>
                    <w:bottom w:val="none" w:sz="0" w:space="0" w:color="auto"/>
                    <w:right w:val="none" w:sz="0" w:space="0" w:color="auto"/>
                  </w:divBdr>
                  <w:divsChild>
                    <w:div w:id="1851870618">
                      <w:marLeft w:val="0"/>
                      <w:marRight w:val="0"/>
                      <w:marTop w:val="0"/>
                      <w:marBottom w:val="0"/>
                      <w:divBdr>
                        <w:top w:val="none" w:sz="0" w:space="0" w:color="auto"/>
                        <w:left w:val="none" w:sz="0" w:space="0" w:color="auto"/>
                        <w:bottom w:val="none" w:sz="0" w:space="0" w:color="auto"/>
                        <w:right w:val="none" w:sz="0" w:space="0" w:color="auto"/>
                      </w:divBdr>
                      <w:divsChild>
                        <w:div w:id="183439761">
                          <w:marLeft w:val="340"/>
                          <w:marRight w:val="0"/>
                          <w:marTop w:val="300"/>
                          <w:marBottom w:val="120"/>
                          <w:divBdr>
                            <w:top w:val="none" w:sz="0" w:space="0" w:color="auto"/>
                            <w:left w:val="none" w:sz="0" w:space="0" w:color="auto"/>
                            <w:bottom w:val="none" w:sz="0" w:space="0" w:color="auto"/>
                            <w:right w:val="none" w:sz="0" w:space="0" w:color="auto"/>
                          </w:divBdr>
                          <w:divsChild>
                            <w:div w:id="970987048">
                              <w:marLeft w:val="0"/>
                              <w:marRight w:val="0"/>
                              <w:marTop w:val="0"/>
                              <w:marBottom w:val="0"/>
                              <w:divBdr>
                                <w:top w:val="none" w:sz="0" w:space="0" w:color="auto"/>
                                <w:left w:val="none" w:sz="0" w:space="0" w:color="auto"/>
                                <w:bottom w:val="none" w:sz="0" w:space="0" w:color="auto"/>
                                <w:right w:val="none" w:sz="0" w:space="0" w:color="auto"/>
                              </w:divBdr>
                              <w:divsChild>
                                <w:div w:id="204636524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2813602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98942554">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142266">
      <w:bodyDiv w:val="1"/>
      <w:marLeft w:val="0"/>
      <w:marRight w:val="0"/>
      <w:marTop w:val="0"/>
      <w:marBottom w:val="0"/>
      <w:divBdr>
        <w:top w:val="none" w:sz="0" w:space="0" w:color="auto"/>
        <w:left w:val="none" w:sz="0" w:space="0" w:color="auto"/>
        <w:bottom w:val="none" w:sz="0" w:space="0" w:color="auto"/>
        <w:right w:val="none" w:sz="0" w:space="0" w:color="auto"/>
      </w:divBdr>
      <w:divsChild>
        <w:div w:id="1369380246">
          <w:marLeft w:val="0"/>
          <w:marRight w:val="0"/>
          <w:marTop w:val="0"/>
          <w:marBottom w:val="0"/>
          <w:divBdr>
            <w:top w:val="none" w:sz="0" w:space="0" w:color="auto"/>
            <w:left w:val="none" w:sz="0" w:space="0" w:color="auto"/>
            <w:bottom w:val="none" w:sz="0" w:space="0" w:color="auto"/>
            <w:right w:val="none" w:sz="0" w:space="0" w:color="auto"/>
          </w:divBdr>
          <w:divsChild>
            <w:div w:id="865099004">
              <w:marLeft w:val="0"/>
              <w:marRight w:val="0"/>
              <w:marTop w:val="0"/>
              <w:marBottom w:val="0"/>
              <w:divBdr>
                <w:top w:val="none" w:sz="0" w:space="0" w:color="auto"/>
                <w:left w:val="none" w:sz="0" w:space="0" w:color="auto"/>
                <w:bottom w:val="none" w:sz="0" w:space="0" w:color="auto"/>
                <w:right w:val="none" w:sz="0" w:space="0" w:color="auto"/>
              </w:divBdr>
              <w:divsChild>
                <w:div w:id="1230968795">
                  <w:marLeft w:val="0"/>
                  <w:marRight w:val="0"/>
                  <w:marTop w:val="0"/>
                  <w:marBottom w:val="0"/>
                  <w:divBdr>
                    <w:top w:val="none" w:sz="0" w:space="0" w:color="auto"/>
                    <w:left w:val="none" w:sz="0" w:space="0" w:color="auto"/>
                    <w:bottom w:val="none" w:sz="0" w:space="0" w:color="auto"/>
                    <w:right w:val="none" w:sz="0" w:space="0" w:color="auto"/>
                  </w:divBdr>
                  <w:divsChild>
                    <w:div w:id="73093314">
                      <w:marLeft w:val="0"/>
                      <w:marRight w:val="0"/>
                      <w:marTop w:val="0"/>
                      <w:marBottom w:val="0"/>
                      <w:divBdr>
                        <w:top w:val="none" w:sz="0" w:space="0" w:color="auto"/>
                        <w:left w:val="none" w:sz="0" w:space="0" w:color="auto"/>
                        <w:bottom w:val="none" w:sz="0" w:space="0" w:color="auto"/>
                        <w:right w:val="none" w:sz="0" w:space="0" w:color="auto"/>
                      </w:divBdr>
                      <w:divsChild>
                        <w:div w:id="495919266">
                          <w:marLeft w:val="340"/>
                          <w:marRight w:val="0"/>
                          <w:marTop w:val="300"/>
                          <w:marBottom w:val="120"/>
                          <w:divBdr>
                            <w:top w:val="none" w:sz="0" w:space="0" w:color="auto"/>
                            <w:left w:val="none" w:sz="0" w:space="0" w:color="auto"/>
                            <w:bottom w:val="none" w:sz="0" w:space="0" w:color="auto"/>
                            <w:right w:val="none" w:sz="0" w:space="0" w:color="auto"/>
                          </w:divBdr>
                          <w:divsChild>
                            <w:div w:id="149181226">
                              <w:marLeft w:val="0"/>
                              <w:marRight w:val="0"/>
                              <w:marTop w:val="0"/>
                              <w:marBottom w:val="0"/>
                              <w:divBdr>
                                <w:top w:val="none" w:sz="0" w:space="0" w:color="auto"/>
                                <w:left w:val="none" w:sz="0" w:space="0" w:color="auto"/>
                                <w:bottom w:val="none" w:sz="0" w:space="0" w:color="auto"/>
                                <w:right w:val="none" w:sz="0" w:space="0" w:color="auto"/>
                              </w:divBdr>
                              <w:divsChild>
                                <w:div w:id="187931267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600487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8237223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6357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295829">
      <w:bodyDiv w:val="1"/>
      <w:marLeft w:val="0"/>
      <w:marRight w:val="0"/>
      <w:marTop w:val="0"/>
      <w:marBottom w:val="0"/>
      <w:divBdr>
        <w:top w:val="none" w:sz="0" w:space="0" w:color="auto"/>
        <w:left w:val="none" w:sz="0" w:space="0" w:color="auto"/>
        <w:bottom w:val="none" w:sz="0" w:space="0" w:color="auto"/>
        <w:right w:val="none" w:sz="0" w:space="0" w:color="auto"/>
      </w:divBdr>
      <w:divsChild>
        <w:div w:id="1037898391">
          <w:marLeft w:val="0"/>
          <w:marRight w:val="0"/>
          <w:marTop w:val="0"/>
          <w:marBottom w:val="0"/>
          <w:divBdr>
            <w:top w:val="none" w:sz="0" w:space="0" w:color="auto"/>
            <w:left w:val="none" w:sz="0" w:space="0" w:color="auto"/>
            <w:bottom w:val="none" w:sz="0" w:space="0" w:color="auto"/>
            <w:right w:val="none" w:sz="0" w:space="0" w:color="auto"/>
          </w:divBdr>
          <w:divsChild>
            <w:div w:id="1370839031">
              <w:marLeft w:val="0"/>
              <w:marRight w:val="0"/>
              <w:marTop w:val="0"/>
              <w:marBottom w:val="0"/>
              <w:divBdr>
                <w:top w:val="none" w:sz="0" w:space="0" w:color="auto"/>
                <w:left w:val="none" w:sz="0" w:space="0" w:color="auto"/>
                <w:bottom w:val="none" w:sz="0" w:space="0" w:color="auto"/>
                <w:right w:val="none" w:sz="0" w:space="0" w:color="auto"/>
              </w:divBdr>
              <w:divsChild>
                <w:div w:id="1920213537">
                  <w:marLeft w:val="0"/>
                  <w:marRight w:val="0"/>
                  <w:marTop w:val="0"/>
                  <w:marBottom w:val="0"/>
                  <w:divBdr>
                    <w:top w:val="none" w:sz="0" w:space="0" w:color="auto"/>
                    <w:left w:val="none" w:sz="0" w:space="0" w:color="auto"/>
                    <w:bottom w:val="none" w:sz="0" w:space="0" w:color="auto"/>
                    <w:right w:val="none" w:sz="0" w:space="0" w:color="auto"/>
                  </w:divBdr>
                  <w:divsChild>
                    <w:div w:id="200441214">
                      <w:marLeft w:val="0"/>
                      <w:marRight w:val="0"/>
                      <w:marTop w:val="0"/>
                      <w:marBottom w:val="0"/>
                      <w:divBdr>
                        <w:top w:val="none" w:sz="0" w:space="0" w:color="auto"/>
                        <w:left w:val="none" w:sz="0" w:space="0" w:color="auto"/>
                        <w:bottom w:val="none" w:sz="0" w:space="0" w:color="auto"/>
                        <w:right w:val="none" w:sz="0" w:space="0" w:color="auto"/>
                      </w:divBdr>
                      <w:divsChild>
                        <w:div w:id="985354616">
                          <w:marLeft w:val="340"/>
                          <w:marRight w:val="0"/>
                          <w:marTop w:val="300"/>
                          <w:marBottom w:val="120"/>
                          <w:divBdr>
                            <w:top w:val="none" w:sz="0" w:space="0" w:color="auto"/>
                            <w:left w:val="none" w:sz="0" w:space="0" w:color="auto"/>
                            <w:bottom w:val="none" w:sz="0" w:space="0" w:color="auto"/>
                            <w:right w:val="none" w:sz="0" w:space="0" w:color="auto"/>
                          </w:divBdr>
                          <w:divsChild>
                            <w:div w:id="1666323008">
                              <w:marLeft w:val="0"/>
                              <w:marRight w:val="0"/>
                              <w:marTop w:val="0"/>
                              <w:marBottom w:val="0"/>
                              <w:divBdr>
                                <w:top w:val="none" w:sz="0" w:space="0" w:color="auto"/>
                                <w:left w:val="none" w:sz="0" w:space="0" w:color="auto"/>
                                <w:bottom w:val="none" w:sz="0" w:space="0" w:color="auto"/>
                                <w:right w:val="none" w:sz="0" w:space="0" w:color="auto"/>
                              </w:divBdr>
                              <w:divsChild>
                                <w:div w:id="205838657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28946509">
                                      <w:blockQuote w:val="1"/>
                                      <w:marLeft w:val="0"/>
                                      <w:marRight w:val="0"/>
                                      <w:marTop w:val="120"/>
                                      <w:marBottom w:val="120"/>
                                      <w:divBdr>
                                        <w:top w:val="none" w:sz="0" w:space="0" w:color="auto"/>
                                        <w:left w:val="none" w:sz="0" w:space="0" w:color="auto"/>
                                        <w:bottom w:val="none" w:sz="0" w:space="0" w:color="auto"/>
                                        <w:right w:val="none" w:sz="0" w:space="0" w:color="auto"/>
                                      </w:divBdr>
                                    </w:div>
                                    <w:div w:id="1781757515">
                                      <w:blockQuote w:val="1"/>
                                      <w:marLeft w:val="600"/>
                                      <w:marRight w:val="0"/>
                                      <w:marTop w:val="120"/>
                                      <w:marBottom w:val="120"/>
                                      <w:divBdr>
                                        <w:top w:val="none" w:sz="0" w:space="0" w:color="auto"/>
                                        <w:left w:val="none" w:sz="0" w:space="0" w:color="auto"/>
                                        <w:bottom w:val="none" w:sz="0" w:space="0" w:color="auto"/>
                                        <w:right w:val="none" w:sz="0" w:space="0" w:color="auto"/>
                                      </w:divBdr>
                                    </w:div>
                                    <w:div w:id="125825362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685858">
      <w:bodyDiv w:val="1"/>
      <w:marLeft w:val="0"/>
      <w:marRight w:val="0"/>
      <w:marTop w:val="0"/>
      <w:marBottom w:val="0"/>
      <w:divBdr>
        <w:top w:val="none" w:sz="0" w:space="0" w:color="auto"/>
        <w:left w:val="none" w:sz="0" w:space="0" w:color="auto"/>
        <w:bottom w:val="none" w:sz="0" w:space="0" w:color="auto"/>
        <w:right w:val="none" w:sz="0" w:space="0" w:color="auto"/>
      </w:divBdr>
      <w:divsChild>
        <w:div w:id="1498227579">
          <w:marLeft w:val="0"/>
          <w:marRight w:val="0"/>
          <w:marTop w:val="0"/>
          <w:marBottom w:val="0"/>
          <w:divBdr>
            <w:top w:val="none" w:sz="0" w:space="0" w:color="auto"/>
            <w:left w:val="none" w:sz="0" w:space="0" w:color="auto"/>
            <w:bottom w:val="none" w:sz="0" w:space="0" w:color="auto"/>
            <w:right w:val="none" w:sz="0" w:space="0" w:color="auto"/>
          </w:divBdr>
          <w:divsChild>
            <w:div w:id="909735313">
              <w:marLeft w:val="0"/>
              <w:marRight w:val="0"/>
              <w:marTop w:val="0"/>
              <w:marBottom w:val="0"/>
              <w:divBdr>
                <w:top w:val="none" w:sz="0" w:space="0" w:color="auto"/>
                <w:left w:val="none" w:sz="0" w:space="0" w:color="auto"/>
                <w:bottom w:val="none" w:sz="0" w:space="0" w:color="auto"/>
                <w:right w:val="none" w:sz="0" w:space="0" w:color="auto"/>
              </w:divBdr>
              <w:divsChild>
                <w:div w:id="1763532331">
                  <w:marLeft w:val="0"/>
                  <w:marRight w:val="0"/>
                  <w:marTop w:val="0"/>
                  <w:marBottom w:val="0"/>
                  <w:divBdr>
                    <w:top w:val="none" w:sz="0" w:space="0" w:color="auto"/>
                    <w:left w:val="none" w:sz="0" w:space="0" w:color="auto"/>
                    <w:bottom w:val="none" w:sz="0" w:space="0" w:color="auto"/>
                    <w:right w:val="none" w:sz="0" w:space="0" w:color="auto"/>
                  </w:divBdr>
                  <w:divsChild>
                    <w:div w:id="397096913">
                      <w:marLeft w:val="0"/>
                      <w:marRight w:val="0"/>
                      <w:marTop w:val="0"/>
                      <w:marBottom w:val="0"/>
                      <w:divBdr>
                        <w:top w:val="none" w:sz="0" w:space="0" w:color="auto"/>
                        <w:left w:val="none" w:sz="0" w:space="0" w:color="auto"/>
                        <w:bottom w:val="none" w:sz="0" w:space="0" w:color="auto"/>
                        <w:right w:val="none" w:sz="0" w:space="0" w:color="auto"/>
                      </w:divBdr>
                      <w:divsChild>
                        <w:div w:id="1589195173">
                          <w:marLeft w:val="340"/>
                          <w:marRight w:val="0"/>
                          <w:marTop w:val="300"/>
                          <w:marBottom w:val="120"/>
                          <w:divBdr>
                            <w:top w:val="none" w:sz="0" w:space="0" w:color="auto"/>
                            <w:left w:val="none" w:sz="0" w:space="0" w:color="auto"/>
                            <w:bottom w:val="none" w:sz="0" w:space="0" w:color="auto"/>
                            <w:right w:val="none" w:sz="0" w:space="0" w:color="auto"/>
                          </w:divBdr>
                          <w:divsChild>
                            <w:div w:id="636421560">
                              <w:marLeft w:val="0"/>
                              <w:marRight w:val="0"/>
                              <w:marTop w:val="0"/>
                              <w:marBottom w:val="0"/>
                              <w:divBdr>
                                <w:top w:val="none" w:sz="0" w:space="0" w:color="auto"/>
                                <w:left w:val="none" w:sz="0" w:space="0" w:color="auto"/>
                                <w:bottom w:val="none" w:sz="0" w:space="0" w:color="auto"/>
                                <w:right w:val="none" w:sz="0" w:space="0" w:color="auto"/>
                              </w:divBdr>
                              <w:divsChild>
                                <w:div w:id="4456746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13112235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1442904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79604112">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5819625">
      <w:bodyDiv w:val="1"/>
      <w:marLeft w:val="0"/>
      <w:marRight w:val="0"/>
      <w:marTop w:val="0"/>
      <w:marBottom w:val="0"/>
      <w:divBdr>
        <w:top w:val="none" w:sz="0" w:space="0" w:color="auto"/>
        <w:left w:val="none" w:sz="0" w:space="0" w:color="auto"/>
        <w:bottom w:val="none" w:sz="0" w:space="0" w:color="auto"/>
        <w:right w:val="none" w:sz="0" w:space="0" w:color="auto"/>
      </w:divBdr>
      <w:divsChild>
        <w:div w:id="1476682850">
          <w:marLeft w:val="0"/>
          <w:marRight w:val="0"/>
          <w:marTop w:val="0"/>
          <w:marBottom w:val="0"/>
          <w:divBdr>
            <w:top w:val="none" w:sz="0" w:space="0" w:color="auto"/>
            <w:left w:val="none" w:sz="0" w:space="0" w:color="auto"/>
            <w:bottom w:val="none" w:sz="0" w:space="0" w:color="auto"/>
            <w:right w:val="none" w:sz="0" w:space="0" w:color="auto"/>
          </w:divBdr>
          <w:divsChild>
            <w:div w:id="1482891782">
              <w:marLeft w:val="0"/>
              <w:marRight w:val="0"/>
              <w:marTop w:val="0"/>
              <w:marBottom w:val="0"/>
              <w:divBdr>
                <w:top w:val="none" w:sz="0" w:space="0" w:color="auto"/>
                <w:left w:val="none" w:sz="0" w:space="0" w:color="auto"/>
                <w:bottom w:val="none" w:sz="0" w:space="0" w:color="auto"/>
                <w:right w:val="none" w:sz="0" w:space="0" w:color="auto"/>
              </w:divBdr>
              <w:divsChild>
                <w:div w:id="1323116325">
                  <w:marLeft w:val="0"/>
                  <w:marRight w:val="0"/>
                  <w:marTop w:val="0"/>
                  <w:marBottom w:val="0"/>
                  <w:divBdr>
                    <w:top w:val="none" w:sz="0" w:space="0" w:color="auto"/>
                    <w:left w:val="none" w:sz="0" w:space="0" w:color="auto"/>
                    <w:bottom w:val="none" w:sz="0" w:space="0" w:color="auto"/>
                    <w:right w:val="none" w:sz="0" w:space="0" w:color="auto"/>
                  </w:divBdr>
                  <w:divsChild>
                    <w:div w:id="1839534503">
                      <w:marLeft w:val="0"/>
                      <w:marRight w:val="0"/>
                      <w:marTop w:val="0"/>
                      <w:marBottom w:val="0"/>
                      <w:divBdr>
                        <w:top w:val="none" w:sz="0" w:space="0" w:color="auto"/>
                        <w:left w:val="none" w:sz="0" w:space="0" w:color="auto"/>
                        <w:bottom w:val="none" w:sz="0" w:space="0" w:color="auto"/>
                        <w:right w:val="none" w:sz="0" w:space="0" w:color="auto"/>
                      </w:divBdr>
                      <w:divsChild>
                        <w:div w:id="119690145">
                          <w:marLeft w:val="340"/>
                          <w:marRight w:val="0"/>
                          <w:marTop w:val="300"/>
                          <w:marBottom w:val="120"/>
                          <w:divBdr>
                            <w:top w:val="none" w:sz="0" w:space="0" w:color="auto"/>
                            <w:left w:val="none" w:sz="0" w:space="0" w:color="auto"/>
                            <w:bottom w:val="none" w:sz="0" w:space="0" w:color="auto"/>
                            <w:right w:val="none" w:sz="0" w:space="0" w:color="auto"/>
                          </w:divBdr>
                          <w:divsChild>
                            <w:div w:id="343098623">
                              <w:marLeft w:val="0"/>
                              <w:marRight w:val="0"/>
                              <w:marTop w:val="0"/>
                              <w:marBottom w:val="0"/>
                              <w:divBdr>
                                <w:top w:val="none" w:sz="0" w:space="0" w:color="auto"/>
                                <w:left w:val="none" w:sz="0" w:space="0" w:color="auto"/>
                                <w:bottom w:val="none" w:sz="0" w:space="0" w:color="auto"/>
                                <w:right w:val="none" w:sz="0" w:space="0" w:color="auto"/>
                              </w:divBdr>
                              <w:divsChild>
                                <w:div w:id="200882691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6648369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986255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05822580">
                                              <w:blockQuote w:val="1"/>
                                              <w:marLeft w:val="600"/>
                                              <w:marRight w:val="0"/>
                                              <w:marTop w:val="120"/>
                                              <w:marBottom w:val="120"/>
                                              <w:divBdr>
                                                <w:top w:val="none" w:sz="0" w:space="0" w:color="auto"/>
                                                <w:left w:val="none" w:sz="0" w:space="0" w:color="auto"/>
                                                <w:bottom w:val="none" w:sz="0" w:space="0" w:color="auto"/>
                                                <w:right w:val="none" w:sz="0" w:space="0" w:color="auto"/>
                                              </w:divBdr>
                                            </w:div>
                                            <w:div w:id="61417030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26655668">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822241">
      <w:bodyDiv w:val="1"/>
      <w:marLeft w:val="0"/>
      <w:marRight w:val="0"/>
      <w:marTop w:val="0"/>
      <w:marBottom w:val="0"/>
      <w:divBdr>
        <w:top w:val="none" w:sz="0" w:space="0" w:color="auto"/>
        <w:left w:val="none" w:sz="0" w:space="0" w:color="auto"/>
        <w:bottom w:val="none" w:sz="0" w:space="0" w:color="auto"/>
        <w:right w:val="none" w:sz="0" w:space="0" w:color="auto"/>
      </w:divBdr>
      <w:divsChild>
        <w:div w:id="1960330918">
          <w:blockQuote w:val="1"/>
          <w:marLeft w:val="600"/>
          <w:marRight w:val="0"/>
          <w:marTop w:val="120"/>
          <w:marBottom w:val="120"/>
          <w:divBdr>
            <w:top w:val="none" w:sz="0" w:space="0" w:color="auto"/>
            <w:left w:val="none" w:sz="0" w:space="0" w:color="auto"/>
            <w:bottom w:val="none" w:sz="0" w:space="0" w:color="auto"/>
            <w:right w:val="none" w:sz="0" w:space="0" w:color="auto"/>
          </w:divBdr>
        </w:div>
        <w:div w:id="203360716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39723158">
      <w:bodyDiv w:val="1"/>
      <w:marLeft w:val="0"/>
      <w:marRight w:val="0"/>
      <w:marTop w:val="0"/>
      <w:marBottom w:val="0"/>
      <w:divBdr>
        <w:top w:val="none" w:sz="0" w:space="0" w:color="auto"/>
        <w:left w:val="none" w:sz="0" w:space="0" w:color="auto"/>
        <w:bottom w:val="none" w:sz="0" w:space="0" w:color="auto"/>
        <w:right w:val="none" w:sz="0" w:space="0" w:color="auto"/>
      </w:divBdr>
      <w:divsChild>
        <w:div w:id="1153523783">
          <w:marLeft w:val="0"/>
          <w:marRight w:val="0"/>
          <w:marTop w:val="0"/>
          <w:marBottom w:val="0"/>
          <w:divBdr>
            <w:top w:val="none" w:sz="0" w:space="0" w:color="auto"/>
            <w:left w:val="none" w:sz="0" w:space="0" w:color="auto"/>
            <w:bottom w:val="none" w:sz="0" w:space="0" w:color="auto"/>
            <w:right w:val="none" w:sz="0" w:space="0" w:color="auto"/>
          </w:divBdr>
          <w:divsChild>
            <w:div w:id="1937443265">
              <w:marLeft w:val="0"/>
              <w:marRight w:val="0"/>
              <w:marTop w:val="0"/>
              <w:marBottom w:val="0"/>
              <w:divBdr>
                <w:top w:val="none" w:sz="0" w:space="0" w:color="auto"/>
                <w:left w:val="none" w:sz="0" w:space="0" w:color="auto"/>
                <w:bottom w:val="none" w:sz="0" w:space="0" w:color="auto"/>
                <w:right w:val="none" w:sz="0" w:space="0" w:color="auto"/>
              </w:divBdr>
              <w:divsChild>
                <w:div w:id="2056805152">
                  <w:marLeft w:val="0"/>
                  <w:marRight w:val="0"/>
                  <w:marTop w:val="0"/>
                  <w:marBottom w:val="0"/>
                  <w:divBdr>
                    <w:top w:val="none" w:sz="0" w:space="0" w:color="auto"/>
                    <w:left w:val="none" w:sz="0" w:space="0" w:color="auto"/>
                    <w:bottom w:val="none" w:sz="0" w:space="0" w:color="auto"/>
                    <w:right w:val="none" w:sz="0" w:space="0" w:color="auto"/>
                  </w:divBdr>
                  <w:divsChild>
                    <w:div w:id="1261253128">
                      <w:marLeft w:val="0"/>
                      <w:marRight w:val="0"/>
                      <w:marTop w:val="0"/>
                      <w:marBottom w:val="0"/>
                      <w:divBdr>
                        <w:top w:val="none" w:sz="0" w:space="0" w:color="auto"/>
                        <w:left w:val="none" w:sz="0" w:space="0" w:color="auto"/>
                        <w:bottom w:val="none" w:sz="0" w:space="0" w:color="auto"/>
                        <w:right w:val="none" w:sz="0" w:space="0" w:color="auto"/>
                      </w:divBdr>
                      <w:divsChild>
                        <w:div w:id="1414858384">
                          <w:marLeft w:val="340"/>
                          <w:marRight w:val="0"/>
                          <w:marTop w:val="300"/>
                          <w:marBottom w:val="120"/>
                          <w:divBdr>
                            <w:top w:val="none" w:sz="0" w:space="0" w:color="auto"/>
                            <w:left w:val="none" w:sz="0" w:space="0" w:color="auto"/>
                            <w:bottom w:val="none" w:sz="0" w:space="0" w:color="auto"/>
                            <w:right w:val="none" w:sz="0" w:space="0" w:color="auto"/>
                          </w:divBdr>
                          <w:divsChild>
                            <w:div w:id="549389898">
                              <w:marLeft w:val="0"/>
                              <w:marRight w:val="0"/>
                              <w:marTop w:val="0"/>
                              <w:marBottom w:val="0"/>
                              <w:divBdr>
                                <w:top w:val="none" w:sz="0" w:space="0" w:color="auto"/>
                                <w:left w:val="none" w:sz="0" w:space="0" w:color="auto"/>
                                <w:bottom w:val="none" w:sz="0" w:space="0" w:color="auto"/>
                                <w:right w:val="none" w:sz="0" w:space="0" w:color="auto"/>
                              </w:divBdr>
                              <w:divsChild>
                                <w:div w:id="84124006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670162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4088046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31954893">
                                              <w:blockQuote w:val="1"/>
                                              <w:marLeft w:val="600"/>
                                              <w:marRight w:val="0"/>
                                              <w:marTop w:val="120"/>
                                              <w:marBottom w:val="120"/>
                                              <w:divBdr>
                                                <w:top w:val="none" w:sz="0" w:space="0" w:color="auto"/>
                                                <w:left w:val="none" w:sz="0" w:space="0" w:color="auto"/>
                                                <w:bottom w:val="none" w:sz="0" w:space="0" w:color="auto"/>
                                                <w:right w:val="none" w:sz="0" w:space="0" w:color="auto"/>
                                              </w:divBdr>
                                            </w:div>
                                            <w:div w:id="1423102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177876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74048633">
                                              <w:blockQuote w:val="1"/>
                                              <w:marLeft w:val="600"/>
                                              <w:marRight w:val="0"/>
                                              <w:marTop w:val="120"/>
                                              <w:marBottom w:val="120"/>
                                              <w:divBdr>
                                                <w:top w:val="none" w:sz="0" w:space="0" w:color="auto"/>
                                                <w:left w:val="none" w:sz="0" w:space="0" w:color="auto"/>
                                                <w:bottom w:val="none" w:sz="0" w:space="0" w:color="auto"/>
                                                <w:right w:val="none" w:sz="0" w:space="0" w:color="auto"/>
                                              </w:divBdr>
                                            </w:div>
                                            <w:div w:id="1221093968">
                                              <w:blockQuote w:val="1"/>
                                              <w:marLeft w:val="600"/>
                                              <w:marRight w:val="0"/>
                                              <w:marTop w:val="120"/>
                                              <w:marBottom w:val="120"/>
                                              <w:divBdr>
                                                <w:top w:val="none" w:sz="0" w:space="0" w:color="auto"/>
                                                <w:left w:val="none" w:sz="0" w:space="0" w:color="auto"/>
                                                <w:bottom w:val="none" w:sz="0" w:space="0" w:color="auto"/>
                                                <w:right w:val="none" w:sz="0" w:space="0" w:color="auto"/>
                                              </w:divBdr>
                                            </w:div>
                                            <w:div w:id="44789012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1646382">
      <w:bodyDiv w:val="1"/>
      <w:marLeft w:val="0"/>
      <w:marRight w:val="0"/>
      <w:marTop w:val="0"/>
      <w:marBottom w:val="0"/>
      <w:divBdr>
        <w:top w:val="none" w:sz="0" w:space="0" w:color="auto"/>
        <w:left w:val="none" w:sz="0" w:space="0" w:color="auto"/>
        <w:bottom w:val="none" w:sz="0" w:space="0" w:color="auto"/>
        <w:right w:val="none" w:sz="0" w:space="0" w:color="auto"/>
      </w:divBdr>
      <w:divsChild>
        <w:div w:id="1389572741">
          <w:blockQuote w:val="1"/>
          <w:marLeft w:val="0"/>
          <w:marRight w:val="0"/>
          <w:marTop w:val="120"/>
          <w:marBottom w:val="120"/>
          <w:divBdr>
            <w:top w:val="none" w:sz="0" w:space="0" w:color="auto"/>
            <w:left w:val="none" w:sz="0" w:space="0" w:color="auto"/>
            <w:bottom w:val="none" w:sz="0" w:space="0" w:color="auto"/>
            <w:right w:val="none" w:sz="0" w:space="0" w:color="auto"/>
          </w:divBdr>
        </w:div>
        <w:div w:id="519200993">
          <w:blockQuote w:val="1"/>
          <w:marLeft w:val="600"/>
          <w:marRight w:val="0"/>
          <w:marTop w:val="120"/>
          <w:marBottom w:val="120"/>
          <w:divBdr>
            <w:top w:val="none" w:sz="0" w:space="0" w:color="auto"/>
            <w:left w:val="none" w:sz="0" w:space="0" w:color="auto"/>
            <w:bottom w:val="none" w:sz="0" w:space="0" w:color="auto"/>
            <w:right w:val="none" w:sz="0" w:space="0" w:color="auto"/>
          </w:divBdr>
        </w:div>
        <w:div w:id="13253582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61154860">
      <w:bodyDiv w:val="1"/>
      <w:marLeft w:val="0"/>
      <w:marRight w:val="0"/>
      <w:marTop w:val="0"/>
      <w:marBottom w:val="0"/>
      <w:divBdr>
        <w:top w:val="none" w:sz="0" w:space="0" w:color="auto"/>
        <w:left w:val="none" w:sz="0" w:space="0" w:color="auto"/>
        <w:bottom w:val="none" w:sz="0" w:space="0" w:color="auto"/>
        <w:right w:val="none" w:sz="0" w:space="0" w:color="auto"/>
      </w:divBdr>
      <w:divsChild>
        <w:div w:id="912545546">
          <w:marLeft w:val="0"/>
          <w:marRight w:val="0"/>
          <w:marTop w:val="0"/>
          <w:marBottom w:val="0"/>
          <w:divBdr>
            <w:top w:val="none" w:sz="0" w:space="0" w:color="auto"/>
            <w:left w:val="none" w:sz="0" w:space="0" w:color="auto"/>
            <w:bottom w:val="none" w:sz="0" w:space="0" w:color="auto"/>
            <w:right w:val="none" w:sz="0" w:space="0" w:color="auto"/>
          </w:divBdr>
          <w:divsChild>
            <w:div w:id="1183394477">
              <w:marLeft w:val="0"/>
              <w:marRight w:val="0"/>
              <w:marTop w:val="0"/>
              <w:marBottom w:val="0"/>
              <w:divBdr>
                <w:top w:val="none" w:sz="0" w:space="0" w:color="auto"/>
                <w:left w:val="none" w:sz="0" w:space="0" w:color="auto"/>
                <w:bottom w:val="none" w:sz="0" w:space="0" w:color="auto"/>
                <w:right w:val="none" w:sz="0" w:space="0" w:color="auto"/>
              </w:divBdr>
              <w:divsChild>
                <w:div w:id="1480536646">
                  <w:marLeft w:val="0"/>
                  <w:marRight w:val="0"/>
                  <w:marTop w:val="0"/>
                  <w:marBottom w:val="0"/>
                  <w:divBdr>
                    <w:top w:val="none" w:sz="0" w:space="0" w:color="auto"/>
                    <w:left w:val="none" w:sz="0" w:space="0" w:color="auto"/>
                    <w:bottom w:val="none" w:sz="0" w:space="0" w:color="auto"/>
                    <w:right w:val="none" w:sz="0" w:space="0" w:color="auto"/>
                  </w:divBdr>
                  <w:divsChild>
                    <w:div w:id="1639915845">
                      <w:marLeft w:val="0"/>
                      <w:marRight w:val="0"/>
                      <w:marTop w:val="0"/>
                      <w:marBottom w:val="0"/>
                      <w:divBdr>
                        <w:top w:val="none" w:sz="0" w:space="0" w:color="auto"/>
                        <w:left w:val="none" w:sz="0" w:space="0" w:color="auto"/>
                        <w:bottom w:val="none" w:sz="0" w:space="0" w:color="auto"/>
                        <w:right w:val="none" w:sz="0" w:space="0" w:color="auto"/>
                      </w:divBdr>
                      <w:divsChild>
                        <w:div w:id="2135981671">
                          <w:marLeft w:val="340"/>
                          <w:marRight w:val="0"/>
                          <w:marTop w:val="300"/>
                          <w:marBottom w:val="120"/>
                          <w:divBdr>
                            <w:top w:val="none" w:sz="0" w:space="0" w:color="auto"/>
                            <w:left w:val="none" w:sz="0" w:space="0" w:color="auto"/>
                            <w:bottom w:val="none" w:sz="0" w:space="0" w:color="auto"/>
                            <w:right w:val="none" w:sz="0" w:space="0" w:color="auto"/>
                          </w:divBdr>
                          <w:divsChild>
                            <w:div w:id="1048142421">
                              <w:marLeft w:val="0"/>
                              <w:marRight w:val="0"/>
                              <w:marTop w:val="0"/>
                              <w:marBottom w:val="0"/>
                              <w:divBdr>
                                <w:top w:val="none" w:sz="0" w:space="0" w:color="auto"/>
                                <w:left w:val="none" w:sz="0" w:space="0" w:color="auto"/>
                                <w:bottom w:val="none" w:sz="0" w:space="0" w:color="auto"/>
                                <w:right w:val="none" w:sz="0" w:space="0" w:color="auto"/>
                              </w:divBdr>
                              <w:divsChild>
                                <w:div w:id="69608131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529780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0673484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5858135">
                                              <w:blockQuote w:val="1"/>
                                              <w:marLeft w:val="600"/>
                                              <w:marRight w:val="0"/>
                                              <w:marTop w:val="120"/>
                                              <w:marBottom w:val="120"/>
                                              <w:divBdr>
                                                <w:top w:val="none" w:sz="0" w:space="0" w:color="auto"/>
                                                <w:left w:val="none" w:sz="0" w:space="0" w:color="auto"/>
                                                <w:bottom w:val="none" w:sz="0" w:space="0" w:color="auto"/>
                                                <w:right w:val="none" w:sz="0" w:space="0" w:color="auto"/>
                                              </w:divBdr>
                                            </w:div>
                                            <w:div w:id="35384791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17896757">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455833903">
                                              <w:blockQuote w:val="1"/>
                                              <w:marLeft w:val="600"/>
                                              <w:marRight w:val="0"/>
                                              <w:marTop w:val="120"/>
                                              <w:marBottom w:val="120"/>
                                              <w:divBdr>
                                                <w:top w:val="none" w:sz="0" w:space="0" w:color="auto"/>
                                                <w:left w:val="none" w:sz="0" w:space="0" w:color="auto"/>
                                                <w:bottom w:val="none" w:sz="0" w:space="0" w:color="auto"/>
                                                <w:right w:val="none" w:sz="0" w:space="0" w:color="auto"/>
                                              </w:divBdr>
                                            </w:div>
                                            <w:div w:id="8226178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830827">
      <w:bodyDiv w:val="1"/>
      <w:marLeft w:val="0"/>
      <w:marRight w:val="0"/>
      <w:marTop w:val="0"/>
      <w:marBottom w:val="0"/>
      <w:divBdr>
        <w:top w:val="none" w:sz="0" w:space="0" w:color="auto"/>
        <w:left w:val="none" w:sz="0" w:space="0" w:color="auto"/>
        <w:bottom w:val="none" w:sz="0" w:space="0" w:color="auto"/>
        <w:right w:val="none" w:sz="0" w:space="0" w:color="auto"/>
      </w:divBdr>
      <w:divsChild>
        <w:div w:id="128742987">
          <w:marLeft w:val="0"/>
          <w:marRight w:val="0"/>
          <w:marTop w:val="0"/>
          <w:marBottom w:val="0"/>
          <w:divBdr>
            <w:top w:val="none" w:sz="0" w:space="0" w:color="auto"/>
            <w:left w:val="none" w:sz="0" w:space="0" w:color="auto"/>
            <w:bottom w:val="none" w:sz="0" w:space="0" w:color="auto"/>
            <w:right w:val="none" w:sz="0" w:space="0" w:color="auto"/>
          </w:divBdr>
          <w:divsChild>
            <w:div w:id="215549475">
              <w:marLeft w:val="0"/>
              <w:marRight w:val="0"/>
              <w:marTop w:val="0"/>
              <w:marBottom w:val="0"/>
              <w:divBdr>
                <w:top w:val="none" w:sz="0" w:space="0" w:color="auto"/>
                <w:left w:val="none" w:sz="0" w:space="0" w:color="auto"/>
                <w:bottom w:val="none" w:sz="0" w:space="0" w:color="auto"/>
                <w:right w:val="none" w:sz="0" w:space="0" w:color="auto"/>
              </w:divBdr>
              <w:divsChild>
                <w:div w:id="1729455475">
                  <w:marLeft w:val="0"/>
                  <w:marRight w:val="0"/>
                  <w:marTop w:val="0"/>
                  <w:marBottom w:val="0"/>
                  <w:divBdr>
                    <w:top w:val="none" w:sz="0" w:space="0" w:color="auto"/>
                    <w:left w:val="none" w:sz="0" w:space="0" w:color="auto"/>
                    <w:bottom w:val="none" w:sz="0" w:space="0" w:color="auto"/>
                    <w:right w:val="none" w:sz="0" w:space="0" w:color="auto"/>
                  </w:divBdr>
                  <w:divsChild>
                    <w:div w:id="1920599790">
                      <w:marLeft w:val="0"/>
                      <w:marRight w:val="0"/>
                      <w:marTop w:val="0"/>
                      <w:marBottom w:val="0"/>
                      <w:divBdr>
                        <w:top w:val="none" w:sz="0" w:space="0" w:color="auto"/>
                        <w:left w:val="none" w:sz="0" w:space="0" w:color="auto"/>
                        <w:bottom w:val="none" w:sz="0" w:space="0" w:color="auto"/>
                        <w:right w:val="none" w:sz="0" w:space="0" w:color="auto"/>
                      </w:divBdr>
                      <w:divsChild>
                        <w:div w:id="580454537">
                          <w:marLeft w:val="340"/>
                          <w:marRight w:val="0"/>
                          <w:marTop w:val="300"/>
                          <w:marBottom w:val="120"/>
                          <w:divBdr>
                            <w:top w:val="none" w:sz="0" w:space="0" w:color="auto"/>
                            <w:left w:val="none" w:sz="0" w:space="0" w:color="auto"/>
                            <w:bottom w:val="none" w:sz="0" w:space="0" w:color="auto"/>
                            <w:right w:val="none" w:sz="0" w:space="0" w:color="auto"/>
                          </w:divBdr>
                          <w:divsChild>
                            <w:div w:id="2041396402">
                              <w:marLeft w:val="0"/>
                              <w:marRight w:val="0"/>
                              <w:marTop w:val="0"/>
                              <w:marBottom w:val="0"/>
                              <w:divBdr>
                                <w:top w:val="none" w:sz="0" w:space="0" w:color="auto"/>
                                <w:left w:val="none" w:sz="0" w:space="0" w:color="auto"/>
                                <w:bottom w:val="none" w:sz="0" w:space="0" w:color="auto"/>
                                <w:right w:val="none" w:sz="0" w:space="0" w:color="auto"/>
                              </w:divBdr>
                              <w:divsChild>
                                <w:div w:id="139030743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345791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1361080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28303178">
                                              <w:blockQuote w:val="1"/>
                                              <w:marLeft w:val="0"/>
                                              <w:marRight w:val="0"/>
                                              <w:marTop w:val="120"/>
                                              <w:marBottom w:val="120"/>
                                              <w:divBdr>
                                                <w:top w:val="none" w:sz="0" w:space="0" w:color="auto"/>
                                                <w:left w:val="none" w:sz="0" w:space="0" w:color="auto"/>
                                                <w:bottom w:val="none" w:sz="0" w:space="0" w:color="auto"/>
                                                <w:right w:val="none" w:sz="0" w:space="0" w:color="auto"/>
                                              </w:divBdr>
                                            </w:div>
                                            <w:div w:id="1867255845">
                                              <w:blockQuote w:val="1"/>
                                              <w:marLeft w:val="600"/>
                                              <w:marRight w:val="0"/>
                                              <w:marTop w:val="120"/>
                                              <w:marBottom w:val="120"/>
                                              <w:divBdr>
                                                <w:top w:val="none" w:sz="0" w:space="0" w:color="auto"/>
                                                <w:left w:val="none" w:sz="0" w:space="0" w:color="auto"/>
                                                <w:bottom w:val="none" w:sz="0" w:space="0" w:color="auto"/>
                                                <w:right w:val="none" w:sz="0" w:space="0" w:color="auto"/>
                                              </w:divBdr>
                                            </w:div>
                                            <w:div w:id="16441956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519129">
      <w:bodyDiv w:val="1"/>
      <w:marLeft w:val="0"/>
      <w:marRight w:val="0"/>
      <w:marTop w:val="0"/>
      <w:marBottom w:val="0"/>
      <w:divBdr>
        <w:top w:val="none" w:sz="0" w:space="0" w:color="auto"/>
        <w:left w:val="none" w:sz="0" w:space="0" w:color="auto"/>
        <w:bottom w:val="none" w:sz="0" w:space="0" w:color="auto"/>
        <w:right w:val="none" w:sz="0" w:space="0" w:color="auto"/>
      </w:divBdr>
      <w:divsChild>
        <w:div w:id="1595895253">
          <w:marLeft w:val="0"/>
          <w:marRight w:val="0"/>
          <w:marTop w:val="0"/>
          <w:marBottom w:val="0"/>
          <w:divBdr>
            <w:top w:val="none" w:sz="0" w:space="0" w:color="auto"/>
            <w:left w:val="none" w:sz="0" w:space="0" w:color="auto"/>
            <w:bottom w:val="none" w:sz="0" w:space="0" w:color="auto"/>
            <w:right w:val="none" w:sz="0" w:space="0" w:color="auto"/>
          </w:divBdr>
          <w:divsChild>
            <w:div w:id="1920940832">
              <w:marLeft w:val="0"/>
              <w:marRight w:val="0"/>
              <w:marTop w:val="0"/>
              <w:marBottom w:val="0"/>
              <w:divBdr>
                <w:top w:val="none" w:sz="0" w:space="0" w:color="auto"/>
                <w:left w:val="none" w:sz="0" w:space="0" w:color="auto"/>
                <w:bottom w:val="none" w:sz="0" w:space="0" w:color="auto"/>
                <w:right w:val="none" w:sz="0" w:space="0" w:color="auto"/>
              </w:divBdr>
              <w:divsChild>
                <w:div w:id="1806000548">
                  <w:marLeft w:val="0"/>
                  <w:marRight w:val="0"/>
                  <w:marTop w:val="0"/>
                  <w:marBottom w:val="0"/>
                  <w:divBdr>
                    <w:top w:val="none" w:sz="0" w:space="0" w:color="auto"/>
                    <w:left w:val="none" w:sz="0" w:space="0" w:color="auto"/>
                    <w:bottom w:val="none" w:sz="0" w:space="0" w:color="auto"/>
                    <w:right w:val="none" w:sz="0" w:space="0" w:color="auto"/>
                  </w:divBdr>
                  <w:divsChild>
                    <w:div w:id="504981467">
                      <w:marLeft w:val="0"/>
                      <w:marRight w:val="0"/>
                      <w:marTop w:val="0"/>
                      <w:marBottom w:val="0"/>
                      <w:divBdr>
                        <w:top w:val="none" w:sz="0" w:space="0" w:color="auto"/>
                        <w:left w:val="none" w:sz="0" w:space="0" w:color="auto"/>
                        <w:bottom w:val="none" w:sz="0" w:space="0" w:color="auto"/>
                        <w:right w:val="none" w:sz="0" w:space="0" w:color="auto"/>
                      </w:divBdr>
                      <w:divsChild>
                        <w:div w:id="1186335091">
                          <w:marLeft w:val="340"/>
                          <w:marRight w:val="0"/>
                          <w:marTop w:val="300"/>
                          <w:marBottom w:val="120"/>
                          <w:divBdr>
                            <w:top w:val="none" w:sz="0" w:space="0" w:color="auto"/>
                            <w:left w:val="none" w:sz="0" w:space="0" w:color="auto"/>
                            <w:bottom w:val="none" w:sz="0" w:space="0" w:color="auto"/>
                            <w:right w:val="none" w:sz="0" w:space="0" w:color="auto"/>
                          </w:divBdr>
                          <w:divsChild>
                            <w:div w:id="1175270976">
                              <w:marLeft w:val="0"/>
                              <w:marRight w:val="0"/>
                              <w:marTop w:val="0"/>
                              <w:marBottom w:val="0"/>
                              <w:divBdr>
                                <w:top w:val="none" w:sz="0" w:space="0" w:color="auto"/>
                                <w:left w:val="none" w:sz="0" w:space="0" w:color="auto"/>
                                <w:bottom w:val="none" w:sz="0" w:space="0" w:color="auto"/>
                                <w:right w:val="none" w:sz="0" w:space="0" w:color="auto"/>
                              </w:divBdr>
                              <w:divsChild>
                                <w:div w:id="160098714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0926352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641167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8703257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9206761">
      <w:bodyDiv w:val="1"/>
      <w:marLeft w:val="0"/>
      <w:marRight w:val="0"/>
      <w:marTop w:val="0"/>
      <w:marBottom w:val="0"/>
      <w:divBdr>
        <w:top w:val="none" w:sz="0" w:space="0" w:color="auto"/>
        <w:left w:val="none" w:sz="0" w:space="0" w:color="auto"/>
        <w:bottom w:val="none" w:sz="0" w:space="0" w:color="auto"/>
        <w:right w:val="none" w:sz="0" w:space="0" w:color="auto"/>
      </w:divBdr>
      <w:divsChild>
        <w:div w:id="1314915099">
          <w:marLeft w:val="0"/>
          <w:marRight w:val="0"/>
          <w:marTop w:val="0"/>
          <w:marBottom w:val="0"/>
          <w:divBdr>
            <w:top w:val="none" w:sz="0" w:space="0" w:color="auto"/>
            <w:left w:val="none" w:sz="0" w:space="0" w:color="auto"/>
            <w:bottom w:val="none" w:sz="0" w:space="0" w:color="auto"/>
            <w:right w:val="none" w:sz="0" w:space="0" w:color="auto"/>
          </w:divBdr>
          <w:divsChild>
            <w:div w:id="598563845">
              <w:marLeft w:val="0"/>
              <w:marRight w:val="0"/>
              <w:marTop w:val="0"/>
              <w:marBottom w:val="0"/>
              <w:divBdr>
                <w:top w:val="none" w:sz="0" w:space="0" w:color="auto"/>
                <w:left w:val="none" w:sz="0" w:space="0" w:color="auto"/>
                <w:bottom w:val="none" w:sz="0" w:space="0" w:color="auto"/>
                <w:right w:val="none" w:sz="0" w:space="0" w:color="auto"/>
              </w:divBdr>
              <w:divsChild>
                <w:div w:id="730470239">
                  <w:marLeft w:val="0"/>
                  <w:marRight w:val="0"/>
                  <w:marTop w:val="0"/>
                  <w:marBottom w:val="0"/>
                  <w:divBdr>
                    <w:top w:val="none" w:sz="0" w:space="0" w:color="auto"/>
                    <w:left w:val="none" w:sz="0" w:space="0" w:color="auto"/>
                    <w:bottom w:val="none" w:sz="0" w:space="0" w:color="auto"/>
                    <w:right w:val="none" w:sz="0" w:space="0" w:color="auto"/>
                  </w:divBdr>
                  <w:divsChild>
                    <w:div w:id="781416951">
                      <w:marLeft w:val="0"/>
                      <w:marRight w:val="0"/>
                      <w:marTop w:val="0"/>
                      <w:marBottom w:val="0"/>
                      <w:divBdr>
                        <w:top w:val="none" w:sz="0" w:space="0" w:color="auto"/>
                        <w:left w:val="none" w:sz="0" w:space="0" w:color="auto"/>
                        <w:bottom w:val="none" w:sz="0" w:space="0" w:color="auto"/>
                        <w:right w:val="none" w:sz="0" w:space="0" w:color="auto"/>
                      </w:divBdr>
                      <w:divsChild>
                        <w:div w:id="175466031">
                          <w:marLeft w:val="340"/>
                          <w:marRight w:val="0"/>
                          <w:marTop w:val="300"/>
                          <w:marBottom w:val="120"/>
                          <w:divBdr>
                            <w:top w:val="none" w:sz="0" w:space="0" w:color="auto"/>
                            <w:left w:val="none" w:sz="0" w:space="0" w:color="auto"/>
                            <w:bottom w:val="none" w:sz="0" w:space="0" w:color="auto"/>
                            <w:right w:val="none" w:sz="0" w:space="0" w:color="auto"/>
                          </w:divBdr>
                          <w:divsChild>
                            <w:div w:id="1619753736">
                              <w:marLeft w:val="0"/>
                              <w:marRight w:val="0"/>
                              <w:marTop w:val="0"/>
                              <w:marBottom w:val="0"/>
                              <w:divBdr>
                                <w:top w:val="none" w:sz="0" w:space="0" w:color="auto"/>
                                <w:left w:val="none" w:sz="0" w:space="0" w:color="auto"/>
                                <w:bottom w:val="none" w:sz="0" w:space="0" w:color="auto"/>
                                <w:right w:val="none" w:sz="0" w:space="0" w:color="auto"/>
                              </w:divBdr>
                              <w:divsChild>
                                <w:div w:id="195528881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110487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769061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98046030">
                                              <w:blockQuote w:val="1"/>
                                              <w:marLeft w:val="0"/>
                                              <w:marRight w:val="0"/>
                                              <w:marTop w:val="120"/>
                                              <w:marBottom w:val="120"/>
                                              <w:divBdr>
                                                <w:top w:val="none" w:sz="0" w:space="0" w:color="auto"/>
                                                <w:left w:val="none" w:sz="0" w:space="0" w:color="auto"/>
                                                <w:bottom w:val="none" w:sz="0" w:space="0" w:color="auto"/>
                                                <w:right w:val="none" w:sz="0" w:space="0" w:color="auto"/>
                                              </w:divBdr>
                                            </w:div>
                                            <w:div w:id="449207513">
                                              <w:blockQuote w:val="1"/>
                                              <w:marLeft w:val="600"/>
                                              <w:marRight w:val="0"/>
                                              <w:marTop w:val="120"/>
                                              <w:marBottom w:val="120"/>
                                              <w:divBdr>
                                                <w:top w:val="none" w:sz="0" w:space="0" w:color="auto"/>
                                                <w:left w:val="none" w:sz="0" w:space="0" w:color="auto"/>
                                                <w:bottom w:val="none" w:sz="0" w:space="0" w:color="auto"/>
                                                <w:right w:val="none" w:sz="0" w:space="0" w:color="auto"/>
                                              </w:divBdr>
                                            </w:div>
                                            <w:div w:id="581573100">
                                              <w:blockQuote w:val="1"/>
                                              <w:marLeft w:val="600"/>
                                              <w:marRight w:val="0"/>
                                              <w:marTop w:val="120"/>
                                              <w:marBottom w:val="120"/>
                                              <w:divBdr>
                                                <w:top w:val="none" w:sz="0" w:space="0" w:color="auto"/>
                                                <w:left w:val="none" w:sz="0" w:space="0" w:color="auto"/>
                                                <w:bottom w:val="none" w:sz="0" w:space="0" w:color="auto"/>
                                                <w:right w:val="none" w:sz="0" w:space="0" w:color="auto"/>
                                              </w:divBdr>
                                            </w:div>
                                            <w:div w:id="2004503470">
                                              <w:blockQuote w:val="1"/>
                                              <w:marLeft w:val="600"/>
                                              <w:marRight w:val="0"/>
                                              <w:marTop w:val="120"/>
                                              <w:marBottom w:val="120"/>
                                              <w:divBdr>
                                                <w:top w:val="none" w:sz="0" w:space="0" w:color="auto"/>
                                                <w:left w:val="none" w:sz="0" w:space="0" w:color="auto"/>
                                                <w:bottom w:val="none" w:sz="0" w:space="0" w:color="auto"/>
                                                <w:right w:val="none" w:sz="0" w:space="0" w:color="auto"/>
                                              </w:divBdr>
                                            </w:div>
                                            <w:div w:id="1983387530">
                                              <w:blockQuote w:val="1"/>
                                              <w:marLeft w:val="600"/>
                                              <w:marRight w:val="0"/>
                                              <w:marTop w:val="120"/>
                                              <w:marBottom w:val="120"/>
                                              <w:divBdr>
                                                <w:top w:val="none" w:sz="0" w:space="0" w:color="auto"/>
                                                <w:left w:val="none" w:sz="0" w:space="0" w:color="auto"/>
                                                <w:bottom w:val="none" w:sz="0" w:space="0" w:color="auto"/>
                                                <w:right w:val="none" w:sz="0" w:space="0" w:color="auto"/>
                                              </w:divBdr>
                                            </w:div>
                                            <w:div w:id="149912360">
                                              <w:blockQuote w:val="1"/>
                                              <w:marLeft w:val="600"/>
                                              <w:marRight w:val="0"/>
                                              <w:marTop w:val="120"/>
                                              <w:marBottom w:val="120"/>
                                              <w:divBdr>
                                                <w:top w:val="none" w:sz="0" w:space="0" w:color="auto"/>
                                                <w:left w:val="none" w:sz="0" w:space="0" w:color="auto"/>
                                                <w:bottom w:val="none" w:sz="0" w:space="0" w:color="auto"/>
                                                <w:right w:val="none" w:sz="0" w:space="0" w:color="auto"/>
                                              </w:divBdr>
                                            </w:div>
                                            <w:div w:id="1789665466">
                                              <w:blockQuote w:val="1"/>
                                              <w:marLeft w:val="600"/>
                                              <w:marRight w:val="0"/>
                                              <w:marTop w:val="120"/>
                                              <w:marBottom w:val="120"/>
                                              <w:divBdr>
                                                <w:top w:val="none" w:sz="0" w:space="0" w:color="auto"/>
                                                <w:left w:val="none" w:sz="0" w:space="0" w:color="auto"/>
                                                <w:bottom w:val="none" w:sz="0" w:space="0" w:color="auto"/>
                                                <w:right w:val="none" w:sz="0" w:space="0" w:color="auto"/>
                                              </w:divBdr>
                                            </w:div>
                                            <w:div w:id="27686370">
                                              <w:blockQuote w:val="1"/>
                                              <w:marLeft w:val="600"/>
                                              <w:marRight w:val="0"/>
                                              <w:marTop w:val="120"/>
                                              <w:marBottom w:val="120"/>
                                              <w:divBdr>
                                                <w:top w:val="none" w:sz="0" w:space="0" w:color="auto"/>
                                                <w:left w:val="none" w:sz="0" w:space="0" w:color="auto"/>
                                                <w:bottom w:val="none" w:sz="0" w:space="0" w:color="auto"/>
                                                <w:right w:val="none" w:sz="0" w:space="0" w:color="auto"/>
                                              </w:divBdr>
                                            </w:div>
                                            <w:div w:id="2015494477">
                                              <w:blockQuote w:val="1"/>
                                              <w:marLeft w:val="600"/>
                                              <w:marRight w:val="0"/>
                                              <w:marTop w:val="120"/>
                                              <w:marBottom w:val="120"/>
                                              <w:divBdr>
                                                <w:top w:val="none" w:sz="0" w:space="0" w:color="auto"/>
                                                <w:left w:val="none" w:sz="0" w:space="0" w:color="auto"/>
                                                <w:bottom w:val="none" w:sz="0" w:space="0" w:color="auto"/>
                                                <w:right w:val="none" w:sz="0" w:space="0" w:color="auto"/>
                                              </w:divBdr>
                                            </w:div>
                                            <w:div w:id="1986742517">
                                              <w:blockQuote w:val="1"/>
                                              <w:marLeft w:val="600"/>
                                              <w:marRight w:val="0"/>
                                              <w:marTop w:val="120"/>
                                              <w:marBottom w:val="120"/>
                                              <w:divBdr>
                                                <w:top w:val="none" w:sz="0" w:space="0" w:color="auto"/>
                                                <w:left w:val="none" w:sz="0" w:space="0" w:color="auto"/>
                                                <w:bottom w:val="none" w:sz="0" w:space="0" w:color="auto"/>
                                                <w:right w:val="none" w:sz="0" w:space="0" w:color="auto"/>
                                              </w:divBdr>
                                            </w:div>
                                            <w:div w:id="1950509260">
                                              <w:blockQuote w:val="1"/>
                                              <w:marLeft w:val="600"/>
                                              <w:marRight w:val="0"/>
                                              <w:marTop w:val="120"/>
                                              <w:marBottom w:val="120"/>
                                              <w:divBdr>
                                                <w:top w:val="none" w:sz="0" w:space="0" w:color="auto"/>
                                                <w:left w:val="none" w:sz="0" w:space="0" w:color="auto"/>
                                                <w:bottom w:val="none" w:sz="0" w:space="0" w:color="auto"/>
                                                <w:right w:val="none" w:sz="0" w:space="0" w:color="auto"/>
                                              </w:divBdr>
                                            </w:div>
                                            <w:div w:id="1869639687">
                                              <w:blockQuote w:val="1"/>
                                              <w:marLeft w:val="600"/>
                                              <w:marRight w:val="0"/>
                                              <w:marTop w:val="120"/>
                                              <w:marBottom w:val="120"/>
                                              <w:divBdr>
                                                <w:top w:val="none" w:sz="0" w:space="0" w:color="auto"/>
                                                <w:left w:val="none" w:sz="0" w:space="0" w:color="auto"/>
                                                <w:bottom w:val="none" w:sz="0" w:space="0" w:color="auto"/>
                                                <w:right w:val="none" w:sz="0" w:space="0" w:color="auto"/>
                                              </w:divBdr>
                                            </w:div>
                                            <w:div w:id="1545826163">
                                              <w:blockQuote w:val="1"/>
                                              <w:marLeft w:val="600"/>
                                              <w:marRight w:val="0"/>
                                              <w:marTop w:val="120"/>
                                              <w:marBottom w:val="120"/>
                                              <w:divBdr>
                                                <w:top w:val="none" w:sz="0" w:space="0" w:color="auto"/>
                                                <w:left w:val="none" w:sz="0" w:space="0" w:color="auto"/>
                                                <w:bottom w:val="none" w:sz="0" w:space="0" w:color="auto"/>
                                                <w:right w:val="none" w:sz="0" w:space="0" w:color="auto"/>
                                              </w:divBdr>
                                            </w:div>
                                            <w:div w:id="962468031">
                                              <w:blockQuote w:val="1"/>
                                              <w:marLeft w:val="600"/>
                                              <w:marRight w:val="0"/>
                                              <w:marTop w:val="120"/>
                                              <w:marBottom w:val="120"/>
                                              <w:divBdr>
                                                <w:top w:val="none" w:sz="0" w:space="0" w:color="auto"/>
                                                <w:left w:val="none" w:sz="0" w:space="0" w:color="auto"/>
                                                <w:bottom w:val="none" w:sz="0" w:space="0" w:color="auto"/>
                                                <w:right w:val="none" w:sz="0" w:space="0" w:color="auto"/>
                                              </w:divBdr>
                                            </w:div>
                                            <w:div w:id="1569147938">
                                              <w:blockQuote w:val="1"/>
                                              <w:marLeft w:val="600"/>
                                              <w:marRight w:val="0"/>
                                              <w:marTop w:val="120"/>
                                              <w:marBottom w:val="120"/>
                                              <w:divBdr>
                                                <w:top w:val="none" w:sz="0" w:space="0" w:color="auto"/>
                                                <w:left w:val="none" w:sz="0" w:space="0" w:color="auto"/>
                                                <w:bottom w:val="none" w:sz="0" w:space="0" w:color="auto"/>
                                                <w:right w:val="none" w:sz="0" w:space="0" w:color="auto"/>
                                              </w:divBdr>
                                            </w:div>
                                            <w:div w:id="1631008276">
                                              <w:blockQuote w:val="1"/>
                                              <w:marLeft w:val="600"/>
                                              <w:marRight w:val="0"/>
                                              <w:marTop w:val="120"/>
                                              <w:marBottom w:val="120"/>
                                              <w:divBdr>
                                                <w:top w:val="none" w:sz="0" w:space="0" w:color="auto"/>
                                                <w:left w:val="none" w:sz="0" w:space="0" w:color="auto"/>
                                                <w:bottom w:val="none" w:sz="0" w:space="0" w:color="auto"/>
                                                <w:right w:val="none" w:sz="0" w:space="0" w:color="auto"/>
                                              </w:divBdr>
                                            </w:div>
                                            <w:div w:id="949553234">
                                              <w:blockQuote w:val="1"/>
                                              <w:marLeft w:val="600"/>
                                              <w:marRight w:val="0"/>
                                              <w:marTop w:val="120"/>
                                              <w:marBottom w:val="120"/>
                                              <w:divBdr>
                                                <w:top w:val="none" w:sz="0" w:space="0" w:color="auto"/>
                                                <w:left w:val="none" w:sz="0" w:space="0" w:color="auto"/>
                                                <w:bottom w:val="none" w:sz="0" w:space="0" w:color="auto"/>
                                                <w:right w:val="none" w:sz="0" w:space="0" w:color="auto"/>
                                              </w:divBdr>
                                            </w:div>
                                            <w:div w:id="1083574138">
                                              <w:blockQuote w:val="1"/>
                                              <w:marLeft w:val="600"/>
                                              <w:marRight w:val="0"/>
                                              <w:marTop w:val="120"/>
                                              <w:marBottom w:val="120"/>
                                              <w:divBdr>
                                                <w:top w:val="none" w:sz="0" w:space="0" w:color="auto"/>
                                                <w:left w:val="none" w:sz="0" w:space="0" w:color="auto"/>
                                                <w:bottom w:val="none" w:sz="0" w:space="0" w:color="auto"/>
                                                <w:right w:val="none" w:sz="0" w:space="0" w:color="auto"/>
                                              </w:divBdr>
                                            </w:div>
                                            <w:div w:id="165125516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911806">
      <w:bodyDiv w:val="1"/>
      <w:marLeft w:val="0"/>
      <w:marRight w:val="0"/>
      <w:marTop w:val="0"/>
      <w:marBottom w:val="0"/>
      <w:divBdr>
        <w:top w:val="none" w:sz="0" w:space="0" w:color="auto"/>
        <w:left w:val="none" w:sz="0" w:space="0" w:color="auto"/>
        <w:bottom w:val="none" w:sz="0" w:space="0" w:color="auto"/>
        <w:right w:val="none" w:sz="0" w:space="0" w:color="auto"/>
      </w:divBdr>
      <w:divsChild>
        <w:div w:id="532763795">
          <w:marLeft w:val="0"/>
          <w:marRight w:val="0"/>
          <w:marTop w:val="0"/>
          <w:marBottom w:val="0"/>
          <w:divBdr>
            <w:top w:val="none" w:sz="0" w:space="0" w:color="auto"/>
            <w:left w:val="none" w:sz="0" w:space="0" w:color="auto"/>
            <w:bottom w:val="none" w:sz="0" w:space="0" w:color="auto"/>
            <w:right w:val="none" w:sz="0" w:space="0" w:color="auto"/>
          </w:divBdr>
          <w:divsChild>
            <w:div w:id="252906467">
              <w:marLeft w:val="0"/>
              <w:marRight w:val="0"/>
              <w:marTop w:val="0"/>
              <w:marBottom w:val="0"/>
              <w:divBdr>
                <w:top w:val="none" w:sz="0" w:space="0" w:color="auto"/>
                <w:left w:val="none" w:sz="0" w:space="0" w:color="auto"/>
                <w:bottom w:val="none" w:sz="0" w:space="0" w:color="auto"/>
                <w:right w:val="none" w:sz="0" w:space="0" w:color="auto"/>
              </w:divBdr>
              <w:divsChild>
                <w:div w:id="1242064260">
                  <w:marLeft w:val="0"/>
                  <w:marRight w:val="0"/>
                  <w:marTop w:val="0"/>
                  <w:marBottom w:val="0"/>
                  <w:divBdr>
                    <w:top w:val="none" w:sz="0" w:space="0" w:color="auto"/>
                    <w:left w:val="none" w:sz="0" w:space="0" w:color="auto"/>
                    <w:bottom w:val="none" w:sz="0" w:space="0" w:color="auto"/>
                    <w:right w:val="none" w:sz="0" w:space="0" w:color="auto"/>
                  </w:divBdr>
                  <w:divsChild>
                    <w:div w:id="1523324234">
                      <w:marLeft w:val="0"/>
                      <w:marRight w:val="0"/>
                      <w:marTop w:val="0"/>
                      <w:marBottom w:val="0"/>
                      <w:divBdr>
                        <w:top w:val="none" w:sz="0" w:space="0" w:color="auto"/>
                        <w:left w:val="none" w:sz="0" w:space="0" w:color="auto"/>
                        <w:bottom w:val="none" w:sz="0" w:space="0" w:color="auto"/>
                        <w:right w:val="none" w:sz="0" w:space="0" w:color="auto"/>
                      </w:divBdr>
                      <w:divsChild>
                        <w:div w:id="991561858">
                          <w:marLeft w:val="340"/>
                          <w:marRight w:val="0"/>
                          <w:marTop w:val="300"/>
                          <w:marBottom w:val="120"/>
                          <w:divBdr>
                            <w:top w:val="none" w:sz="0" w:space="0" w:color="auto"/>
                            <w:left w:val="none" w:sz="0" w:space="0" w:color="auto"/>
                            <w:bottom w:val="none" w:sz="0" w:space="0" w:color="auto"/>
                            <w:right w:val="none" w:sz="0" w:space="0" w:color="auto"/>
                          </w:divBdr>
                          <w:divsChild>
                            <w:div w:id="1775127272">
                              <w:marLeft w:val="0"/>
                              <w:marRight w:val="0"/>
                              <w:marTop w:val="0"/>
                              <w:marBottom w:val="0"/>
                              <w:divBdr>
                                <w:top w:val="none" w:sz="0" w:space="0" w:color="auto"/>
                                <w:left w:val="none" w:sz="0" w:space="0" w:color="auto"/>
                                <w:bottom w:val="none" w:sz="0" w:space="0" w:color="auto"/>
                                <w:right w:val="none" w:sz="0" w:space="0" w:color="auto"/>
                              </w:divBdr>
                              <w:divsChild>
                                <w:div w:id="112161424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1283138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3049879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834145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7590853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340681">
      <w:bodyDiv w:val="1"/>
      <w:marLeft w:val="0"/>
      <w:marRight w:val="0"/>
      <w:marTop w:val="0"/>
      <w:marBottom w:val="0"/>
      <w:divBdr>
        <w:top w:val="none" w:sz="0" w:space="0" w:color="auto"/>
        <w:left w:val="none" w:sz="0" w:space="0" w:color="auto"/>
        <w:bottom w:val="none" w:sz="0" w:space="0" w:color="auto"/>
        <w:right w:val="none" w:sz="0" w:space="0" w:color="auto"/>
      </w:divBdr>
      <w:divsChild>
        <w:div w:id="1050108666">
          <w:marLeft w:val="0"/>
          <w:marRight w:val="0"/>
          <w:marTop w:val="0"/>
          <w:marBottom w:val="0"/>
          <w:divBdr>
            <w:top w:val="none" w:sz="0" w:space="0" w:color="auto"/>
            <w:left w:val="none" w:sz="0" w:space="0" w:color="auto"/>
            <w:bottom w:val="none" w:sz="0" w:space="0" w:color="auto"/>
            <w:right w:val="none" w:sz="0" w:space="0" w:color="auto"/>
          </w:divBdr>
          <w:divsChild>
            <w:div w:id="1863204756">
              <w:marLeft w:val="0"/>
              <w:marRight w:val="0"/>
              <w:marTop w:val="0"/>
              <w:marBottom w:val="0"/>
              <w:divBdr>
                <w:top w:val="none" w:sz="0" w:space="0" w:color="auto"/>
                <w:left w:val="none" w:sz="0" w:space="0" w:color="auto"/>
                <w:bottom w:val="none" w:sz="0" w:space="0" w:color="auto"/>
                <w:right w:val="none" w:sz="0" w:space="0" w:color="auto"/>
              </w:divBdr>
              <w:divsChild>
                <w:div w:id="1049915843">
                  <w:marLeft w:val="0"/>
                  <w:marRight w:val="0"/>
                  <w:marTop w:val="0"/>
                  <w:marBottom w:val="0"/>
                  <w:divBdr>
                    <w:top w:val="none" w:sz="0" w:space="0" w:color="auto"/>
                    <w:left w:val="none" w:sz="0" w:space="0" w:color="auto"/>
                    <w:bottom w:val="none" w:sz="0" w:space="0" w:color="auto"/>
                    <w:right w:val="none" w:sz="0" w:space="0" w:color="auto"/>
                  </w:divBdr>
                  <w:divsChild>
                    <w:div w:id="11303993">
                      <w:marLeft w:val="0"/>
                      <w:marRight w:val="0"/>
                      <w:marTop w:val="0"/>
                      <w:marBottom w:val="0"/>
                      <w:divBdr>
                        <w:top w:val="none" w:sz="0" w:space="0" w:color="auto"/>
                        <w:left w:val="none" w:sz="0" w:space="0" w:color="auto"/>
                        <w:bottom w:val="none" w:sz="0" w:space="0" w:color="auto"/>
                        <w:right w:val="none" w:sz="0" w:space="0" w:color="auto"/>
                      </w:divBdr>
                      <w:divsChild>
                        <w:div w:id="375350356">
                          <w:marLeft w:val="340"/>
                          <w:marRight w:val="0"/>
                          <w:marTop w:val="300"/>
                          <w:marBottom w:val="120"/>
                          <w:divBdr>
                            <w:top w:val="none" w:sz="0" w:space="0" w:color="auto"/>
                            <w:left w:val="none" w:sz="0" w:space="0" w:color="auto"/>
                            <w:bottom w:val="none" w:sz="0" w:space="0" w:color="auto"/>
                            <w:right w:val="none" w:sz="0" w:space="0" w:color="auto"/>
                          </w:divBdr>
                          <w:divsChild>
                            <w:div w:id="1785417864">
                              <w:marLeft w:val="0"/>
                              <w:marRight w:val="0"/>
                              <w:marTop w:val="0"/>
                              <w:marBottom w:val="0"/>
                              <w:divBdr>
                                <w:top w:val="none" w:sz="0" w:space="0" w:color="auto"/>
                                <w:left w:val="none" w:sz="0" w:space="0" w:color="auto"/>
                                <w:bottom w:val="none" w:sz="0" w:space="0" w:color="auto"/>
                                <w:right w:val="none" w:sz="0" w:space="0" w:color="auto"/>
                              </w:divBdr>
                              <w:divsChild>
                                <w:div w:id="125023740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3137638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6716296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3887473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2318800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00437086">
                                                      <w:blockQuote w:val="1"/>
                                                      <w:marLeft w:val="600"/>
                                                      <w:marRight w:val="0"/>
                                                      <w:marTop w:val="120"/>
                                                      <w:marBottom w:val="120"/>
                                                      <w:divBdr>
                                                        <w:top w:val="none" w:sz="0" w:space="0" w:color="auto"/>
                                                        <w:left w:val="none" w:sz="0" w:space="0" w:color="auto"/>
                                                        <w:bottom w:val="none" w:sz="0" w:space="0" w:color="auto"/>
                                                        <w:right w:val="none" w:sz="0" w:space="0" w:color="auto"/>
                                                      </w:divBdr>
                                                    </w:div>
                                                    <w:div w:id="132122787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75312779">
                                                  <w:blockQuote w:val="1"/>
                                                  <w:marLeft w:val="600"/>
                                                  <w:marRight w:val="0"/>
                                                  <w:marTop w:val="120"/>
                                                  <w:marBottom w:val="120"/>
                                                  <w:divBdr>
                                                    <w:top w:val="none" w:sz="0" w:space="0" w:color="auto"/>
                                                    <w:left w:val="none" w:sz="0" w:space="0" w:color="auto"/>
                                                    <w:bottom w:val="none" w:sz="0" w:space="0" w:color="auto"/>
                                                    <w:right w:val="none" w:sz="0" w:space="0" w:color="auto"/>
                                                  </w:divBdr>
                                                </w:div>
                                                <w:div w:id="1117603068">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80485667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45318305">
                                                  <w:blockQuote w:val="1"/>
                                                  <w:marLeft w:val="600"/>
                                                  <w:marRight w:val="0"/>
                                                  <w:marTop w:val="120"/>
                                                  <w:marBottom w:val="120"/>
                                                  <w:divBdr>
                                                    <w:top w:val="none" w:sz="0" w:space="0" w:color="auto"/>
                                                    <w:left w:val="none" w:sz="0" w:space="0" w:color="auto"/>
                                                    <w:bottom w:val="none" w:sz="0" w:space="0" w:color="auto"/>
                                                    <w:right w:val="none" w:sz="0" w:space="0" w:color="auto"/>
                                                  </w:divBdr>
                                                </w:div>
                                                <w:div w:id="1709455606">
                                                  <w:blockQuote w:val="1"/>
                                                  <w:marLeft w:val="600"/>
                                                  <w:marRight w:val="0"/>
                                                  <w:marTop w:val="120"/>
                                                  <w:marBottom w:val="120"/>
                                                  <w:divBdr>
                                                    <w:top w:val="none" w:sz="0" w:space="0" w:color="auto"/>
                                                    <w:left w:val="none" w:sz="0" w:space="0" w:color="auto"/>
                                                    <w:bottom w:val="none" w:sz="0" w:space="0" w:color="auto"/>
                                                    <w:right w:val="none" w:sz="0" w:space="0" w:color="auto"/>
                                                  </w:divBdr>
                                                </w:div>
                                                <w:div w:id="10418555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9683856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78743560">
                                                  <w:blockQuote w:val="1"/>
                                                  <w:marLeft w:val="600"/>
                                                  <w:marRight w:val="0"/>
                                                  <w:marTop w:val="120"/>
                                                  <w:marBottom w:val="120"/>
                                                  <w:divBdr>
                                                    <w:top w:val="none" w:sz="0" w:space="0" w:color="auto"/>
                                                    <w:left w:val="none" w:sz="0" w:space="0" w:color="auto"/>
                                                    <w:bottom w:val="none" w:sz="0" w:space="0" w:color="auto"/>
                                                    <w:right w:val="none" w:sz="0" w:space="0" w:color="auto"/>
                                                  </w:divBdr>
                                                </w:div>
                                                <w:div w:id="204093574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94846846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121829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030475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8937065">
                                                      <w:blockQuote w:val="1"/>
                                                      <w:marLeft w:val="600"/>
                                                      <w:marRight w:val="0"/>
                                                      <w:marTop w:val="120"/>
                                                      <w:marBottom w:val="120"/>
                                                      <w:divBdr>
                                                        <w:top w:val="none" w:sz="0" w:space="0" w:color="auto"/>
                                                        <w:left w:val="none" w:sz="0" w:space="0" w:color="auto"/>
                                                        <w:bottom w:val="none" w:sz="0" w:space="0" w:color="auto"/>
                                                        <w:right w:val="none" w:sz="0" w:space="0" w:color="auto"/>
                                                      </w:divBdr>
                                                    </w:div>
                                                    <w:div w:id="24446654">
                                                      <w:blockQuote w:val="1"/>
                                                      <w:marLeft w:val="600"/>
                                                      <w:marRight w:val="0"/>
                                                      <w:marTop w:val="120"/>
                                                      <w:marBottom w:val="120"/>
                                                      <w:divBdr>
                                                        <w:top w:val="none" w:sz="0" w:space="0" w:color="auto"/>
                                                        <w:left w:val="none" w:sz="0" w:space="0" w:color="auto"/>
                                                        <w:bottom w:val="none" w:sz="0" w:space="0" w:color="auto"/>
                                                        <w:right w:val="none" w:sz="0" w:space="0" w:color="auto"/>
                                                      </w:divBdr>
                                                    </w:div>
                                                    <w:div w:id="98933529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2649064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96951733">
                                                      <w:blockQuote w:val="1"/>
                                                      <w:marLeft w:val="600"/>
                                                      <w:marRight w:val="0"/>
                                                      <w:marTop w:val="120"/>
                                                      <w:marBottom w:val="120"/>
                                                      <w:divBdr>
                                                        <w:top w:val="none" w:sz="0" w:space="0" w:color="auto"/>
                                                        <w:left w:val="none" w:sz="0" w:space="0" w:color="auto"/>
                                                        <w:bottom w:val="none" w:sz="0" w:space="0" w:color="auto"/>
                                                        <w:right w:val="none" w:sz="0" w:space="0" w:color="auto"/>
                                                      </w:divBdr>
                                                    </w:div>
                                                    <w:div w:id="1986856078">
                                                      <w:blockQuote w:val="1"/>
                                                      <w:marLeft w:val="600"/>
                                                      <w:marRight w:val="0"/>
                                                      <w:marTop w:val="120"/>
                                                      <w:marBottom w:val="120"/>
                                                      <w:divBdr>
                                                        <w:top w:val="none" w:sz="0" w:space="0" w:color="auto"/>
                                                        <w:left w:val="none" w:sz="0" w:space="0" w:color="auto"/>
                                                        <w:bottom w:val="none" w:sz="0" w:space="0" w:color="auto"/>
                                                        <w:right w:val="none" w:sz="0" w:space="0" w:color="auto"/>
                                                      </w:divBdr>
                                                    </w:div>
                                                    <w:div w:id="110284444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939750394">
                                              <w:blockQuote w:val="1"/>
                                              <w:marLeft w:val="600"/>
                                              <w:marRight w:val="0"/>
                                              <w:marTop w:val="120"/>
                                              <w:marBottom w:val="120"/>
                                              <w:divBdr>
                                                <w:top w:val="none" w:sz="0" w:space="0" w:color="auto"/>
                                                <w:left w:val="none" w:sz="0" w:space="0" w:color="auto"/>
                                                <w:bottom w:val="none" w:sz="0" w:space="0" w:color="auto"/>
                                                <w:right w:val="none" w:sz="0" w:space="0" w:color="auto"/>
                                              </w:divBdr>
                                            </w:div>
                                            <w:div w:id="92970547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96789783">
                                                  <w:blockQuote w:val="1"/>
                                                  <w:marLeft w:val="600"/>
                                                  <w:marRight w:val="0"/>
                                                  <w:marTop w:val="120"/>
                                                  <w:marBottom w:val="120"/>
                                                  <w:divBdr>
                                                    <w:top w:val="none" w:sz="0" w:space="0" w:color="auto"/>
                                                    <w:left w:val="none" w:sz="0" w:space="0" w:color="auto"/>
                                                    <w:bottom w:val="none" w:sz="0" w:space="0" w:color="auto"/>
                                                    <w:right w:val="none" w:sz="0" w:space="0" w:color="auto"/>
                                                  </w:divBdr>
                                                </w:div>
                                                <w:div w:id="37127462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7332090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2605373">
      <w:bodyDiv w:val="1"/>
      <w:marLeft w:val="0"/>
      <w:marRight w:val="0"/>
      <w:marTop w:val="0"/>
      <w:marBottom w:val="0"/>
      <w:divBdr>
        <w:top w:val="none" w:sz="0" w:space="0" w:color="auto"/>
        <w:left w:val="none" w:sz="0" w:space="0" w:color="auto"/>
        <w:bottom w:val="none" w:sz="0" w:space="0" w:color="auto"/>
        <w:right w:val="none" w:sz="0" w:space="0" w:color="auto"/>
      </w:divBdr>
      <w:divsChild>
        <w:div w:id="113961684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30670191">
              <w:blockQuote w:val="1"/>
              <w:marLeft w:val="600"/>
              <w:marRight w:val="0"/>
              <w:marTop w:val="120"/>
              <w:marBottom w:val="120"/>
              <w:divBdr>
                <w:top w:val="none" w:sz="0" w:space="0" w:color="auto"/>
                <w:left w:val="none" w:sz="0" w:space="0" w:color="auto"/>
                <w:bottom w:val="none" w:sz="0" w:space="0" w:color="auto"/>
                <w:right w:val="none" w:sz="0" w:space="0" w:color="auto"/>
              </w:divBdr>
            </w:div>
            <w:div w:id="16181779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073239411">
      <w:bodyDiv w:val="1"/>
      <w:marLeft w:val="0"/>
      <w:marRight w:val="0"/>
      <w:marTop w:val="0"/>
      <w:marBottom w:val="0"/>
      <w:divBdr>
        <w:top w:val="none" w:sz="0" w:space="0" w:color="auto"/>
        <w:left w:val="none" w:sz="0" w:space="0" w:color="auto"/>
        <w:bottom w:val="none" w:sz="0" w:space="0" w:color="auto"/>
        <w:right w:val="none" w:sz="0" w:space="0" w:color="auto"/>
      </w:divBdr>
      <w:divsChild>
        <w:div w:id="612397312">
          <w:marLeft w:val="0"/>
          <w:marRight w:val="0"/>
          <w:marTop w:val="0"/>
          <w:marBottom w:val="0"/>
          <w:divBdr>
            <w:top w:val="none" w:sz="0" w:space="0" w:color="auto"/>
            <w:left w:val="none" w:sz="0" w:space="0" w:color="auto"/>
            <w:bottom w:val="none" w:sz="0" w:space="0" w:color="auto"/>
            <w:right w:val="none" w:sz="0" w:space="0" w:color="auto"/>
          </w:divBdr>
          <w:divsChild>
            <w:div w:id="121460333">
              <w:marLeft w:val="0"/>
              <w:marRight w:val="0"/>
              <w:marTop w:val="0"/>
              <w:marBottom w:val="0"/>
              <w:divBdr>
                <w:top w:val="none" w:sz="0" w:space="0" w:color="auto"/>
                <w:left w:val="none" w:sz="0" w:space="0" w:color="auto"/>
                <w:bottom w:val="none" w:sz="0" w:space="0" w:color="auto"/>
                <w:right w:val="none" w:sz="0" w:space="0" w:color="auto"/>
              </w:divBdr>
              <w:divsChild>
                <w:div w:id="1150444858">
                  <w:marLeft w:val="0"/>
                  <w:marRight w:val="0"/>
                  <w:marTop w:val="0"/>
                  <w:marBottom w:val="0"/>
                  <w:divBdr>
                    <w:top w:val="none" w:sz="0" w:space="0" w:color="auto"/>
                    <w:left w:val="none" w:sz="0" w:space="0" w:color="auto"/>
                    <w:bottom w:val="none" w:sz="0" w:space="0" w:color="auto"/>
                    <w:right w:val="none" w:sz="0" w:space="0" w:color="auto"/>
                  </w:divBdr>
                  <w:divsChild>
                    <w:div w:id="169878736">
                      <w:marLeft w:val="0"/>
                      <w:marRight w:val="0"/>
                      <w:marTop w:val="0"/>
                      <w:marBottom w:val="0"/>
                      <w:divBdr>
                        <w:top w:val="none" w:sz="0" w:space="0" w:color="auto"/>
                        <w:left w:val="none" w:sz="0" w:space="0" w:color="auto"/>
                        <w:bottom w:val="none" w:sz="0" w:space="0" w:color="auto"/>
                        <w:right w:val="none" w:sz="0" w:space="0" w:color="auto"/>
                      </w:divBdr>
                      <w:divsChild>
                        <w:div w:id="1403215138">
                          <w:marLeft w:val="340"/>
                          <w:marRight w:val="0"/>
                          <w:marTop w:val="300"/>
                          <w:marBottom w:val="120"/>
                          <w:divBdr>
                            <w:top w:val="none" w:sz="0" w:space="0" w:color="auto"/>
                            <w:left w:val="none" w:sz="0" w:space="0" w:color="auto"/>
                            <w:bottom w:val="none" w:sz="0" w:space="0" w:color="auto"/>
                            <w:right w:val="none" w:sz="0" w:space="0" w:color="auto"/>
                          </w:divBdr>
                          <w:divsChild>
                            <w:div w:id="1581405689">
                              <w:marLeft w:val="0"/>
                              <w:marRight w:val="0"/>
                              <w:marTop w:val="0"/>
                              <w:marBottom w:val="0"/>
                              <w:divBdr>
                                <w:top w:val="none" w:sz="0" w:space="0" w:color="auto"/>
                                <w:left w:val="none" w:sz="0" w:space="0" w:color="auto"/>
                                <w:bottom w:val="none" w:sz="0" w:space="0" w:color="auto"/>
                                <w:right w:val="none" w:sz="0" w:space="0" w:color="auto"/>
                              </w:divBdr>
                              <w:divsChild>
                                <w:div w:id="43741398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7438888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86070216">
                                          <w:marLeft w:val="0"/>
                                          <w:marRight w:val="0"/>
                                          <w:marTop w:val="200"/>
                                          <w:marBottom w:val="200"/>
                                          <w:divBdr>
                                            <w:top w:val="none" w:sz="0" w:space="0" w:color="auto"/>
                                            <w:left w:val="none" w:sz="0" w:space="0" w:color="auto"/>
                                            <w:bottom w:val="none" w:sz="0" w:space="0" w:color="auto"/>
                                            <w:right w:val="none" w:sz="0" w:space="0" w:color="auto"/>
                                          </w:divBdr>
                                        </w:div>
                                        <w:div w:id="137877409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483958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36464109">
                                                  <w:blockQuote w:val="1"/>
                                                  <w:marLeft w:val="600"/>
                                                  <w:marRight w:val="0"/>
                                                  <w:marTop w:val="120"/>
                                                  <w:marBottom w:val="120"/>
                                                  <w:divBdr>
                                                    <w:top w:val="none" w:sz="0" w:space="0" w:color="auto"/>
                                                    <w:left w:val="none" w:sz="0" w:space="0" w:color="auto"/>
                                                    <w:bottom w:val="none" w:sz="0" w:space="0" w:color="auto"/>
                                                    <w:right w:val="none" w:sz="0" w:space="0" w:color="auto"/>
                                                  </w:divBdr>
                                                </w:div>
                                                <w:div w:id="72190216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69847282">
                                              <w:blockQuote w:val="1"/>
                                              <w:marLeft w:val="600"/>
                                              <w:marRight w:val="0"/>
                                              <w:marTop w:val="120"/>
                                              <w:marBottom w:val="120"/>
                                              <w:divBdr>
                                                <w:top w:val="none" w:sz="0" w:space="0" w:color="auto"/>
                                                <w:left w:val="none" w:sz="0" w:space="0" w:color="auto"/>
                                                <w:bottom w:val="none" w:sz="0" w:space="0" w:color="auto"/>
                                                <w:right w:val="none" w:sz="0" w:space="0" w:color="auto"/>
                                              </w:divBdr>
                                            </w:div>
                                            <w:div w:id="12134966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7832484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9979794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01413347">
                                                  <w:blockQuote w:val="1"/>
                                                  <w:marLeft w:val="600"/>
                                                  <w:marRight w:val="0"/>
                                                  <w:marTop w:val="120"/>
                                                  <w:marBottom w:val="120"/>
                                                  <w:divBdr>
                                                    <w:top w:val="none" w:sz="0" w:space="0" w:color="auto"/>
                                                    <w:left w:val="none" w:sz="0" w:space="0" w:color="auto"/>
                                                    <w:bottom w:val="none" w:sz="0" w:space="0" w:color="auto"/>
                                                    <w:right w:val="none" w:sz="0" w:space="0" w:color="auto"/>
                                                  </w:divBdr>
                                                </w:div>
                                                <w:div w:id="963117715">
                                                  <w:blockQuote w:val="1"/>
                                                  <w:marLeft w:val="600"/>
                                                  <w:marRight w:val="0"/>
                                                  <w:marTop w:val="120"/>
                                                  <w:marBottom w:val="120"/>
                                                  <w:divBdr>
                                                    <w:top w:val="none" w:sz="0" w:space="0" w:color="auto"/>
                                                    <w:left w:val="none" w:sz="0" w:space="0" w:color="auto"/>
                                                    <w:bottom w:val="none" w:sz="0" w:space="0" w:color="auto"/>
                                                    <w:right w:val="none" w:sz="0" w:space="0" w:color="auto"/>
                                                  </w:divBdr>
                                                </w:div>
                                                <w:div w:id="100251478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48103459">
                                              <w:blockQuote w:val="1"/>
                                              <w:marLeft w:val="600"/>
                                              <w:marRight w:val="0"/>
                                              <w:marTop w:val="120"/>
                                              <w:marBottom w:val="120"/>
                                              <w:divBdr>
                                                <w:top w:val="none" w:sz="0" w:space="0" w:color="auto"/>
                                                <w:left w:val="none" w:sz="0" w:space="0" w:color="auto"/>
                                                <w:bottom w:val="none" w:sz="0" w:space="0" w:color="auto"/>
                                                <w:right w:val="none" w:sz="0" w:space="0" w:color="auto"/>
                                              </w:divBdr>
                                            </w:div>
                                            <w:div w:id="121866578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82252966">
                                                  <w:blockQuote w:val="1"/>
                                                  <w:marLeft w:val="600"/>
                                                  <w:marRight w:val="0"/>
                                                  <w:marTop w:val="120"/>
                                                  <w:marBottom w:val="120"/>
                                                  <w:divBdr>
                                                    <w:top w:val="none" w:sz="0" w:space="0" w:color="auto"/>
                                                    <w:left w:val="none" w:sz="0" w:space="0" w:color="auto"/>
                                                    <w:bottom w:val="none" w:sz="0" w:space="0" w:color="auto"/>
                                                    <w:right w:val="none" w:sz="0" w:space="0" w:color="auto"/>
                                                  </w:divBdr>
                                                </w:div>
                                                <w:div w:id="1331106227">
                                                  <w:blockQuote w:val="1"/>
                                                  <w:marLeft w:val="600"/>
                                                  <w:marRight w:val="0"/>
                                                  <w:marTop w:val="120"/>
                                                  <w:marBottom w:val="120"/>
                                                  <w:divBdr>
                                                    <w:top w:val="none" w:sz="0" w:space="0" w:color="auto"/>
                                                    <w:left w:val="none" w:sz="0" w:space="0" w:color="auto"/>
                                                    <w:bottom w:val="none" w:sz="0" w:space="0" w:color="auto"/>
                                                    <w:right w:val="none" w:sz="0" w:space="0" w:color="auto"/>
                                                  </w:divBdr>
                                                </w:div>
                                                <w:div w:id="19354626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151674288">
                                          <w:blockQuote w:val="1"/>
                                          <w:marLeft w:val="960"/>
                                          <w:marRight w:val="0"/>
                                          <w:marTop w:val="120"/>
                                          <w:marBottom w:val="120"/>
                                          <w:divBdr>
                                            <w:top w:val="none" w:sz="0" w:space="0" w:color="auto"/>
                                            <w:left w:val="none" w:sz="0" w:space="0" w:color="auto"/>
                                            <w:bottom w:val="none" w:sz="0" w:space="0" w:color="auto"/>
                                            <w:right w:val="none" w:sz="0" w:space="0" w:color="auto"/>
                                          </w:divBdr>
                                        </w:div>
                                        <w:div w:id="547424980">
                                          <w:marLeft w:val="0"/>
                                          <w:marRight w:val="0"/>
                                          <w:marTop w:val="200"/>
                                          <w:marBottom w:val="200"/>
                                          <w:divBdr>
                                            <w:top w:val="none" w:sz="0" w:space="0" w:color="auto"/>
                                            <w:left w:val="none" w:sz="0" w:space="0" w:color="auto"/>
                                            <w:bottom w:val="none" w:sz="0" w:space="0" w:color="auto"/>
                                            <w:right w:val="none" w:sz="0" w:space="0" w:color="auto"/>
                                          </w:divBdr>
                                        </w:div>
                                        <w:div w:id="171588652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1260084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12889337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474167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9417088">
                                                  <w:blockQuote w:val="1"/>
                                                  <w:marLeft w:val="600"/>
                                                  <w:marRight w:val="0"/>
                                                  <w:marTop w:val="120"/>
                                                  <w:marBottom w:val="120"/>
                                                  <w:divBdr>
                                                    <w:top w:val="none" w:sz="0" w:space="0" w:color="auto"/>
                                                    <w:left w:val="none" w:sz="0" w:space="0" w:color="auto"/>
                                                    <w:bottom w:val="none" w:sz="0" w:space="0" w:color="auto"/>
                                                    <w:right w:val="none" w:sz="0" w:space="0" w:color="auto"/>
                                                  </w:divBdr>
                                                </w:div>
                                                <w:div w:id="141072920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6860522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47282161">
                                                  <w:blockQuote w:val="1"/>
                                                  <w:marLeft w:val="600"/>
                                                  <w:marRight w:val="0"/>
                                                  <w:marTop w:val="120"/>
                                                  <w:marBottom w:val="120"/>
                                                  <w:divBdr>
                                                    <w:top w:val="none" w:sz="0" w:space="0" w:color="auto"/>
                                                    <w:left w:val="none" w:sz="0" w:space="0" w:color="auto"/>
                                                    <w:bottom w:val="none" w:sz="0" w:space="0" w:color="auto"/>
                                                    <w:right w:val="none" w:sz="0" w:space="0" w:color="auto"/>
                                                  </w:divBdr>
                                                </w:div>
                                                <w:div w:id="4576452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076150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35657511">
                                                  <w:blockQuote w:val="1"/>
                                                  <w:marLeft w:val="600"/>
                                                  <w:marRight w:val="0"/>
                                                  <w:marTop w:val="120"/>
                                                  <w:marBottom w:val="120"/>
                                                  <w:divBdr>
                                                    <w:top w:val="none" w:sz="0" w:space="0" w:color="auto"/>
                                                    <w:left w:val="none" w:sz="0" w:space="0" w:color="auto"/>
                                                    <w:bottom w:val="none" w:sz="0" w:space="0" w:color="auto"/>
                                                    <w:right w:val="none" w:sz="0" w:space="0" w:color="auto"/>
                                                  </w:divBdr>
                                                </w:div>
                                                <w:div w:id="36066608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188111">
      <w:bodyDiv w:val="1"/>
      <w:marLeft w:val="0"/>
      <w:marRight w:val="0"/>
      <w:marTop w:val="0"/>
      <w:marBottom w:val="0"/>
      <w:divBdr>
        <w:top w:val="none" w:sz="0" w:space="0" w:color="auto"/>
        <w:left w:val="none" w:sz="0" w:space="0" w:color="auto"/>
        <w:bottom w:val="none" w:sz="0" w:space="0" w:color="auto"/>
        <w:right w:val="none" w:sz="0" w:space="0" w:color="auto"/>
      </w:divBdr>
      <w:divsChild>
        <w:div w:id="895897270">
          <w:marLeft w:val="0"/>
          <w:marRight w:val="0"/>
          <w:marTop w:val="0"/>
          <w:marBottom w:val="0"/>
          <w:divBdr>
            <w:top w:val="none" w:sz="0" w:space="0" w:color="auto"/>
            <w:left w:val="none" w:sz="0" w:space="0" w:color="auto"/>
            <w:bottom w:val="none" w:sz="0" w:space="0" w:color="auto"/>
            <w:right w:val="none" w:sz="0" w:space="0" w:color="auto"/>
          </w:divBdr>
          <w:divsChild>
            <w:div w:id="1830897650">
              <w:marLeft w:val="0"/>
              <w:marRight w:val="0"/>
              <w:marTop w:val="0"/>
              <w:marBottom w:val="0"/>
              <w:divBdr>
                <w:top w:val="none" w:sz="0" w:space="0" w:color="auto"/>
                <w:left w:val="none" w:sz="0" w:space="0" w:color="auto"/>
                <w:bottom w:val="none" w:sz="0" w:space="0" w:color="auto"/>
                <w:right w:val="none" w:sz="0" w:space="0" w:color="auto"/>
              </w:divBdr>
              <w:divsChild>
                <w:div w:id="1845976590">
                  <w:marLeft w:val="0"/>
                  <w:marRight w:val="0"/>
                  <w:marTop w:val="0"/>
                  <w:marBottom w:val="0"/>
                  <w:divBdr>
                    <w:top w:val="none" w:sz="0" w:space="0" w:color="auto"/>
                    <w:left w:val="none" w:sz="0" w:space="0" w:color="auto"/>
                    <w:bottom w:val="none" w:sz="0" w:space="0" w:color="auto"/>
                    <w:right w:val="none" w:sz="0" w:space="0" w:color="auto"/>
                  </w:divBdr>
                  <w:divsChild>
                    <w:div w:id="1399942084">
                      <w:marLeft w:val="0"/>
                      <w:marRight w:val="0"/>
                      <w:marTop w:val="0"/>
                      <w:marBottom w:val="0"/>
                      <w:divBdr>
                        <w:top w:val="none" w:sz="0" w:space="0" w:color="auto"/>
                        <w:left w:val="none" w:sz="0" w:space="0" w:color="auto"/>
                        <w:bottom w:val="none" w:sz="0" w:space="0" w:color="auto"/>
                        <w:right w:val="none" w:sz="0" w:space="0" w:color="auto"/>
                      </w:divBdr>
                      <w:divsChild>
                        <w:div w:id="1441602250">
                          <w:marLeft w:val="340"/>
                          <w:marRight w:val="0"/>
                          <w:marTop w:val="300"/>
                          <w:marBottom w:val="120"/>
                          <w:divBdr>
                            <w:top w:val="none" w:sz="0" w:space="0" w:color="auto"/>
                            <w:left w:val="none" w:sz="0" w:space="0" w:color="auto"/>
                            <w:bottom w:val="none" w:sz="0" w:space="0" w:color="auto"/>
                            <w:right w:val="none" w:sz="0" w:space="0" w:color="auto"/>
                          </w:divBdr>
                          <w:divsChild>
                            <w:div w:id="627705398">
                              <w:marLeft w:val="0"/>
                              <w:marRight w:val="0"/>
                              <w:marTop w:val="0"/>
                              <w:marBottom w:val="0"/>
                              <w:divBdr>
                                <w:top w:val="none" w:sz="0" w:space="0" w:color="auto"/>
                                <w:left w:val="none" w:sz="0" w:space="0" w:color="auto"/>
                                <w:bottom w:val="none" w:sz="0" w:space="0" w:color="auto"/>
                                <w:right w:val="none" w:sz="0" w:space="0" w:color="auto"/>
                              </w:divBdr>
                              <w:divsChild>
                                <w:div w:id="1122793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976558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998657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91068116">
                                              <w:blockQuote w:val="1"/>
                                              <w:marLeft w:val="600"/>
                                              <w:marRight w:val="0"/>
                                              <w:marTop w:val="120"/>
                                              <w:marBottom w:val="120"/>
                                              <w:divBdr>
                                                <w:top w:val="none" w:sz="0" w:space="0" w:color="auto"/>
                                                <w:left w:val="none" w:sz="0" w:space="0" w:color="auto"/>
                                                <w:bottom w:val="none" w:sz="0" w:space="0" w:color="auto"/>
                                                <w:right w:val="none" w:sz="0" w:space="0" w:color="auto"/>
                                              </w:divBdr>
                                            </w:div>
                                            <w:div w:id="22368028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0564990">
      <w:bodyDiv w:val="1"/>
      <w:marLeft w:val="0"/>
      <w:marRight w:val="0"/>
      <w:marTop w:val="0"/>
      <w:marBottom w:val="0"/>
      <w:divBdr>
        <w:top w:val="none" w:sz="0" w:space="0" w:color="auto"/>
        <w:left w:val="none" w:sz="0" w:space="0" w:color="auto"/>
        <w:bottom w:val="none" w:sz="0" w:space="0" w:color="auto"/>
        <w:right w:val="none" w:sz="0" w:space="0" w:color="auto"/>
      </w:divBdr>
      <w:divsChild>
        <w:div w:id="1669674540">
          <w:marLeft w:val="0"/>
          <w:marRight w:val="0"/>
          <w:marTop w:val="0"/>
          <w:marBottom w:val="0"/>
          <w:divBdr>
            <w:top w:val="none" w:sz="0" w:space="0" w:color="auto"/>
            <w:left w:val="none" w:sz="0" w:space="0" w:color="auto"/>
            <w:bottom w:val="none" w:sz="0" w:space="0" w:color="auto"/>
            <w:right w:val="none" w:sz="0" w:space="0" w:color="auto"/>
          </w:divBdr>
          <w:divsChild>
            <w:div w:id="241530254">
              <w:marLeft w:val="0"/>
              <w:marRight w:val="0"/>
              <w:marTop w:val="0"/>
              <w:marBottom w:val="0"/>
              <w:divBdr>
                <w:top w:val="none" w:sz="0" w:space="0" w:color="auto"/>
                <w:left w:val="none" w:sz="0" w:space="0" w:color="auto"/>
                <w:bottom w:val="none" w:sz="0" w:space="0" w:color="auto"/>
                <w:right w:val="none" w:sz="0" w:space="0" w:color="auto"/>
              </w:divBdr>
              <w:divsChild>
                <w:div w:id="319122587">
                  <w:marLeft w:val="0"/>
                  <w:marRight w:val="0"/>
                  <w:marTop w:val="0"/>
                  <w:marBottom w:val="0"/>
                  <w:divBdr>
                    <w:top w:val="none" w:sz="0" w:space="0" w:color="auto"/>
                    <w:left w:val="none" w:sz="0" w:space="0" w:color="auto"/>
                    <w:bottom w:val="none" w:sz="0" w:space="0" w:color="auto"/>
                    <w:right w:val="none" w:sz="0" w:space="0" w:color="auto"/>
                  </w:divBdr>
                  <w:divsChild>
                    <w:div w:id="308824093">
                      <w:marLeft w:val="0"/>
                      <w:marRight w:val="0"/>
                      <w:marTop w:val="0"/>
                      <w:marBottom w:val="0"/>
                      <w:divBdr>
                        <w:top w:val="none" w:sz="0" w:space="0" w:color="auto"/>
                        <w:left w:val="none" w:sz="0" w:space="0" w:color="auto"/>
                        <w:bottom w:val="none" w:sz="0" w:space="0" w:color="auto"/>
                        <w:right w:val="none" w:sz="0" w:space="0" w:color="auto"/>
                      </w:divBdr>
                      <w:divsChild>
                        <w:div w:id="486896228">
                          <w:marLeft w:val="340"/>
                          <w:marRight w:val="0"/>
                          <w:marTop w:val="300"/>
                          <w:marBottom w:val="120"/>
                          <w:divBdr>
                            <w:top w:val="none" w:sz="0" w:space="0" w:color="auto"/>
                            <w:left w:val="none" w:sz="0" w:space="0" w:color="auto"/>
                            <w:bottom w:val="none" w:sz="0" w:space="0" w:color="auto"/>
                            <w:right w:val="none" w:sz="0" w:space="0" w:color="auto"/>
                          </w:divBdr>
                          <w:divsChild>
                            <w:div w:id="1316686773">
                              <w:marLeft w:val="0"/>
                              <w:marRight w:val="0"/>
                              <w:marTop w:val="0"/>
                              <w:marBottom w:val="0"/>
                              <w:divBdr>
                                <w:top w:val="none" w:sz="0" w:space="0" w:color="auto"/>
                                <w:left w:val="none" w:sz="0" w:space="0" w:color="auto"/>
                                <w:bottom w:val="none" w:sz="0" w:space="0" w:color="auto"/>
                                <w:right w:val="none" w:sz="0" w:space="0" w:color="auto"/>
                              </w:divBdr>
                              <w:divsChild>
                                <w:div w:id="81483684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2308955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696574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687391">
      <w:bodyDiv w:val="1"/>
      <w:marLeft w:val="0"/>
      <w:marRight w:val="0"/>
      <w:marTop w:val="0"/>
      <w:marBottom w:val="0"/>
      <w:divBdr>
        <w:top w:val="none" w:sz="0" w:space="0" w:color="auto"/>
        <w:left w:val="none" w:sz="0" w:space="0" w:color="auto"/>
        <w:bottom w:val="none" w:sz="0" w:space="0" w:color="auto"/>
        <w:right w:val="none" w:sz="0" w:space="0" w:color="auto"/>
      </w:divBdr>
      <w:divsChild>
        <w:div w:id="174076316">
          <w:marLeft w:val="0"/>
          <w:marRight w:val="0"/>
          <w:marTop w:val="0"/>
          <w:marBottom w:val="0"/>
          <w:divBdr>
            <w:top w:val="none" w:sz="0" w:space="0" w:color="auto"/>
            <w:left w:val="none" w:sz="0" w:space="0" w:color="auto"/>
            <w:bottom w:val="none" w:sz="0" w:space="0" w:color="auto"/>
            <w:right w:val="none" w:sz="0" w:space="0" w:color="auto"/>
          </w:divBdr>
          <w:divsChild>
            <w:div w:id="215433371">
              <w:marLeft w:val="0"/>
              <w:marRight w:val="0"/>
              <w:marTop w:val="0"/>
              <w:marBottom w:val="0"/>
              <w:divBdr>
                <w:top w:val="none" w:sz="0" w:space="0" w:color="auto"/>
                <w:left w:val="none" w:sz="0" w:space="0" w:color="auto"/>
                <w:bottom w:val="none" w:sz="0" w:space="0" w:color="auto"/>
                <w:right w:val="none" w:sz="0" w:space="0" w:color="auto"/>
              </w:divBdr>
              <w:divsChild>
                <w:div w:id="1286620959">
                  <w:marLeft w:val="0"/>
                  <w:marRight w:val="0"/>
                  <w:marTop w:val="0"/>
                  <w:marBottom w:val="0"/>
                  <w:divBdr>
                    <w:top w:val="none" w:sz="0" w:space="0" w:color="auto"/>
                    <w:left w:val="none" w:sz="0" w:space="0" w:color="auto"/>
                    <w:bottom w:val="none" w:sz="0" w:space="0" w:color="auto"/>
                    <w:right w:val="none" w:sz="0" w:space="0" w:color="auto"/>
                  </w:divBdr>
                  <w:divsChild>
                    <w:div w:id="189418740">
                      <w:marLeft w:val="0"/>
                      <w:marRight w:val="0"/>
                      <w:marTop w:val="0"/>
                      <w:marBottom w:val="0"/>
                      <w:divBdr>
                        <w:top w:val="none" w:sz="0" w:space="0" w:color="auto"/>
                        <w:left w:val="none" w:sz="0" w:space="0" w:color="auto"/>
                        <w:bottom w:val="none" w:sz="0" w:space="0" w:color="auto"/>
                        <w:right w:val="none" w:sz="0" w:space="0" w:color="auto"/>
                      </w:divBdr>
                      <w:divsChild>
                        <w:div w:id="2056847443">
                          <w:marLeft w:val="340"/>
                          <w:marRight w:val="0"/>
                          <w:marTop w:val="300"/>
                          <w:marBottom w:val="120"/>
                          <w:divBdr>
                            <w:top w:val="none" w:sz="0" w:space="0" w:color="auto"/>
                            <w:left w:val="none" w:sz="0" w:space="0" w:color="auto"/>
                            <w:bottom w:val="none" w:sz="0" w:space="0" w:color="auto"/>
                            <w:right w:val="none" w:sz="0" w:space="0" w:color="auto"/>
                          </w:divBdr>
                          <w:divsChild>
                            <w:div w:id="676926355">
                              <w:marLeft w:val="0"/>
                              <w:marRight w:val="0"/>
                              <w:marTop w:val="0"/>
                              <w:marBottom w:val="0"/>
                              <w:divBdr>
                                <w:top w:val="none" w:sz="0" w:space="0" w:color="auto"/>
                                <w:left w:val="none" w:sz="0" w:space="0" w:color="auto"/>
                                <w:bottom w:val="none" w:sz="0" w:space="0" w:color="auto"/>
                                <w:right w:val="none" w:sz="0" w:space="0" w:color="auto"/>
                              </w:divBdr>
                              <w:divsChild>
                                <w:div w:id="166431529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2951361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46915372">
                                          <w:blockQuote w:val="1"/>
                                          <w:marLeft w:val="600"/>
                                          <w:marRight w:val="0"/>
                                          <w:marTop w:val="120"/>
                                          <w:marBottom w:val="120"/>
                                          <w:divBdr>
                                            <w:top w:val="none" w:sz="0" w:space="0" w:color="auto"/>
                                            <w:left w:val="none" w:sz="0" w:space="0" w:color="auto"/>
                                            <w:bottom w:val="none" w:sz="0" w:space="0" w:color="auto"/>
                                            <w:right w:val="none" w:sz="0" w:space="0" w:color="auto"/>
                                          </w:divBdr>
                                        </w:div>
                                        <w:div w:id="114327903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080548">
      <w:bodyDiv w:val="1"/>
      <w:marLeft w:val="0"/>
      <w:marRight w:val="0"/>
      <w:marTop w:val="0"/>
      <w:marBottom w:val="0"/>
      <w:divBdr>
        <w:top w:val="none" w:sz="0" w:space="0" w:color="auto"/>
        <w:left w:val="none" w:sz="0" w:space="0" w:color="auto"/>
        <w:bottom w:val="none" w:sz="0" w:space="0" w:color="auto"/>
        <w:right w:val="none" w:sz="0" w:space="0" w:color="auto"/>
      </w:divBdr>
      <w:divsChild>
        <w:div w:id="216236009">
          <w:marLeft w:val="0"/>
          <w:marRight w:val="0"/>
          <w:marTop w:val="0"/>
          <w:marBottom w:val="0"/>
          <w:divBdr>
            <w:top w:val="none" w:sz="0" w:space="0" w:color="auto"/>
            <w:left w:val="none" w:sz="0" w:space="0" w:color="auto"/>
            <w:bottom w:val="none" w:sz="0" w:space="0" w:color="auto"/>
            <w:right w:val="none" w:sz="0" w:space="0" w:color="auto"/>
          </w:divBdr>
          <w:divsChild>
            <w:div w:id="2120903151">
              <w:marLeft w:val="0"/>
              <w:marRight w:val="0"/>
              <w:marTop w:val="0"/>
              <w:marBottom w:val="0"/>
              <w:divBdr>
                <w:top w:val="none" w:sz="0" w:space="0" w:color="auto"/>
                <w:left w:val="none" w:sz="0" w:space="0" w:color="auto"/>
                <w:bottom w:val="none" w:sz="0" w:space="0" w:color="auto"/>
                <w:right w:val="none" w:sz="0" w:space="0" w:color="auto"/>
              </w:divBdr>
              <w:divsChild>
                <w:div w:id="1688486516">
                  <w:marLeft w:val="0"/>
                  <w:marRight w:val="0"/>
                  <w:marTop w:val="0"/>
                  <w:marBottom w:val="0"/>
                  <w:divBdr>
                    <w:top w:val="none" w:sz="0" w:space="0" w:color="auto"/>
                    <w:left w:val="none" w:sz="0" w:space="0" w:color="auto"/>
                    <w:bottom w:val="none" w:sz="0" w:space="0" w:color="auto"/>
                    <w:right w:val="none" w:sz="0" w:space="0" w:color="auto"/>
                  </w:divBdr>
                  <w:divsChild>
                    <w:div w:id="281765451">
                      <w:marLeft w:val="0"/>
                      <w:marRight w:val="0"/>
                      <w:marTop w:val="0"/>
                      <w:marBottom w:val="0"/>
                      <w:divBdr>
                        <w:top w:val="none" w:sz="0" w:space="0" w:color="auto"/>
                        <w:left w:val="none" w:sz="0" w:space="0" w:color="auto"/>
                        <w:bottom w:val="none" w:sz="0" w:space="0" w:color="auto"/>
                        <w:right w:val="none" w:sz="0" w:space="0" w:color="auto"/>
                      </w:divBdr>
                      <w:divsChild>
                        <w:div w:id="656109963">
                          <w:marLeft w:val="340"/>
                          <w:marRight w:val="0"/>
                          <w:marTop w:val="300"/>
                          <w:marBottom w:val="120"/>
                          <w:divBdr>
                            <w:top w:val="none" w:sz="0" w:space="0" w:color="auto"/>
                            <w:left w:val="none" w:sz="0" w:space="0" w:color="auto"/>
                            <w:bottom w:val="none" w:sz="0" w:space="0" w:color="auto"/>
                            <w:right w:val="none" w:sz="0" w:space="0" w:color="auto"/>
                          </w:divBdr>
                          <w:divsChild>
                            <w:div w:id="1313559502">
                              <w:marLeft w:val="0"/>
                              <w:marRight w:val="0"/>
                              <w:marTop w:val="0"/>
                              <w:marBottom w:val="0"/>
                              <w:divBdr>
                                <w:top w:val="none" w:sz="0" w:space="0" w:color="auto"/>
                                <w:left w:val="none" w:sz="0" w:space="0" w:color="auto"/>
                                <w:bottom w:val="none" w:sz="0" w:space="0" w:color="auto"/>
                                <w:right w:val="none" w:sz="0" w:space="0" w:color="auto"/>
                              </w:divBdr>
                              <w:divsChild>
                                <w:div w:id="142799662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0996109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146581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1246767">
      <w:bodyDiv w:val="1"/>
      <w:marLeft w:val="0"/>
      <w:marRight w:val="0"/>
      <w:marTop w:val="0"/>
      <w:marBottom w:val="0"/>
      <w:divBdr>
        <w:top w:val="none" w:sz="0" w:space="0" w:color="auto"/>
        <w:left w:val="none" w:sz="0" w:space="0" w:color="auto"/>
        <w:bottom w:val="none" w:sz="0" w:space="0" w:color="auto"/>
        <w:right w:val="none" w:sz="0" w:space="0" w:color="auto"/>
      </w:divBdr>
      <w:divsChild>
        <w:div w:id="1464692729">
          <w:marLeft w:val="0"/>
          <w:marRight w:val="0"/>
          <w:marTop w:val="0"/>
          <w:marBottom w:val="0"/>
          <w:divBdr>
            <w:top w:val="none" w:sz="0" w:space="0" w:color="auto"/>
            <w:left w:val="none" w:sz="0" w:space="0" w:color="auto"/>
            <w:bottom w:val="none" w:sz="0" w:space="0" w:color="auto"/>
            <w:right w:val="none" w:sz="0" w:space="0" w:color="auto"/>
          </w:divBdr>
          <w:divsChild>
            <w:div w:id="619723842">
              <w:marLeft w:val="0"/>
              <w:marRight w:val="0"/>
              <w:marTop w:val="0"/>
              <w:marBottom w:val="0"/>
              <w:divBdr>
                <w:top w:val="none" w:sz="0" w:space="0" w:color="auto"/>
                <w:left w:val="none" w:sz="0" w:space="0" w:color="auto"/>
                <w:bottom w:val="none" w:sz="0" w:space="0" w:color="auto"/>
                <w:right w:val="none" w:sz="0" w:space="0" w:color="auto"/>
              </w:divBdr>
              <w:divsChild>
                <w:div w:id="1021398416">
                  <w:marLeft w:val="0"/>
                  <w:marRight w:val="0"/>
                  <w:marTop w:val="0"/>
                  <w:marBottom w:val="0"/>
                  <w:divBdr>
                    <w:top w:val="none" w:sz="0" w:space="0" w:color="auto"/>
                    <w:left w:val="none" w:sz="0" w:space="0" w:color="auto"/>
                    <w:bottom w:val="none" w:sz="0" w:space="0" w:color="auto"/>
                    <w:right w:val="none" w:sz="0" w:space="0" w:color="auto"/>
                  </w:divBdr>
                  <w:divsChild>
                    <w:div w:id="1723358263">
                      <w:marLeft w:val="0"/>
                      <w:marRight w:val="0"/>
                      <w:marTop w:val="0"/>
                      <w:marBottom w:val="0"/>
                      <w:divBdr>
                        <w:top w:val="none" w:sz="0" w:space="0" w:color="auto"/>
                        <w:left w:val="none" w:sz="0" w:space="0" w:color="auto"/>
                        <w:bottom w:val="none" w:sz="0" w:space="0" w:color="auto"/>
                        <w:right w:val="none" w:sz="0" w:space="0" w:color="auto"/>
                      </w:divBdr>
                      <w:divsChild>
                        <w:div w:id="1895121430">
                          <w:marLeft w:val="340"/>
                          <w:marRight w:val="0"/>
                          <w:marTop w:val="300"/>
                          <w:marBottom w:val="120"/>
                          <w:divBdr>
                            <w:top w:val="none" w:sz="0" w:space="0" w:color="auto"/>
                            <w:left w:val="none" w:sz="0" w:space="0" w:color="auto"/>
                            <w:bottom w:val="none" w:sz="0" w:space="0" w:color="auto"/>
                            <w:right w:val="none" w:sz="0" w:space="0" w:color="auto"/>
                          </w:divBdr>
                          <w:divsChild>
                            <w:div w:id="995037955">
                              <w:marLeft w:val="0"/>
                              <w:marRight w:val="0"/>
                              <w:marTop w:val="0"/>
                              <w:marBottom w:val="0"/>
                              <w:divBdr>
                                <w:top w:val="none" w:sz="0" w:space="0" w:color="auto"/>
                                <w:left w:val="none" w:sz="0" w:space="0" w:color="auto"/>
                                <w:bottom w:val="none" w:sz="0" w:space="0" w:color="auto"/>
                                <w:right w:val="none" w:sz="0" w:space="0" w:color="auto"/>
                              </w:divBdr>
                              <w:divsChild>
                                <w:div w:id="148631519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786154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43897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6247445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43519359">
                                                  <w:blockQuote w:val="1"/>
                                                  <w:marLeft w:val="600"/>
                                                  <w:marRight w:val="0"/>
                                                  <w:marTop w:val="120"/>
                                                  <w:marBottom w:val="120"/>
                                                  <w:divBdr>
                                                    <w:top w:val="none" w:sz="0" w:space="0" w:color="auto"/>
                                                    <w:left w:val="none" w:sz="0" w:space="0" w:color="auto"/>
                                                    <w:bottom w:val="none" w:sz="0" w:space="0" w:color="auto"/>
                                                    <w:right w:val="none" w:sz="0" w:space="0" w:color="auto"/>
                                                  </w:divBdr>
                                                </w:div>
                                                <w:div w:id="16397589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5779448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85068296">
                                                  <w:blockQuote w:val="1"/>
                                                  <w:marLeft w:val="600"/>
                                                  <w:marRight w:val="0"/>
                                                  <w:marTop w:val="120"/>
                                                  <w:marBottom w:val="120"/>
                                                  <w:divBdr>
                                                    <w:top w:val="none" w:sz="0" w:space="0" w:color="auto"/>
                                                    <w:left w:val="none" w:sz="0" w:space="0" w:color="auto"/>
                                                    <w:bottom w:val="none" w:sz="0" w:space="0" w:color="auto"/>
                                                    <w:right w:val="none" w:sz="0" w:space="0" w:color="auto"/>
                                                  </w:divBdr>
                                                </w:div>
                                                <w:div w:id="32081631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2046070">
      <w:bodyDiv w:val="1"/>
      <w:marLeft w:val="0"/>
      <w:marRight w:val="0"/>
      <w:marTop w:val="0"/>
      <w:marBottom w:val="0"/>
      <w:divBdr>
        <w:top w:val="none" w:sz="0" w:space="0" w:color="auto"/>
        <w:left w:val="none" w:sz="0" w:space="0" w:color="auto"/>
        <w:bottom w:val="none" w:sz="0" w:space="0" w:color="auto"/>
        <w:right w:val="none" w:sz="0" w:space="0" w:color="auto"/>
      </w:divBdr>
      <w:divsChild>
        <w:div w:id="475338832">
          <w:marLeft w:val="0"/>
          <w:marRight w:val="0"/>
          <w:marTop w:val="0"/>
          <w:marBottom w:val="0"/>
          <w:divBdr>
            <w:top w:val="none" w:sz="0" w:space="0" w:color="auto"/>
            <w:left w:val="none" w:sz="0" w:space="0" w:color="auto"/>
            <w:bottom w:val="none" w:sz="0" w:space="0" w:color="auto"/>
            <w:right w:val="none" w:sz="0" w:space="0" w:color="auto"/>
          </w:divBdr>
          <w:divsChild>
            <w:div w:id="592395352">
              <w:marLeft w:val="0"/>
              <w:marRight w:val="0"/>
              <w:marTop w:val="0"/>
              <w:marBottom w:val="0"/>
              <w:divBdr>
                <w:top w:val="none" w:sz="0" w:space="0" w:color="auto"/>
                <w:left w:val="none" w:sz="0" w:space="0" w:color="auto"/>
                <w:bottom w:val="none" w:sz="0" w:space="0" w:color="auto"/>
                <w:right w:val="none" w:sz="0" w:space="0" w:color="auto"/>
              </w:divBdr>
              <w:divsChild>
                <w:div w:id="1178426315">
                  <w:marLeft w:val="0"/>
                  <w:marRight w:val="0"/>
                  <w:marTop w:val="0"/>
                  <w:marBottom w:val="0"/>
                  <w:divBdr>
                    <w:top w:val="none" w:sz="0" w:space="0" w:color="auto"/>
                    <w:left w:val="none" w:sz="0" w:space="0" w:color="auto"/>
                    <w:bottom w:val="none" w:sz="0" w:space="0" w:color="auto"/>
                    <w:right w:val="none" w:sz="0" w:space="0" w:color="auto"/>
                  </w:divBdr>
                  <w:divsChild>
                    <w:div w:id="1370257225">
                      <w:marLeft w:val="0"/>
                      <w:marRight w:val="0"/>
                      <w:marTop w:val="0"/>
                      <w:marBottom w:val="0"/>
                      <w:divBdr>
                        <w:top w:val="none" w:sz="0" w:space="0" w:color="auto"/>
                        <w:left w:val="none" w:sz="0" w:space="0" w:color="auto"/>
                        <w:bottom w:val="none" w:sz="0" w:space="0" w:color="auto"/>
                        <w:right w:val="none" w:sz="0" w:space="0" w:color="auto"/>
                      </w:divBdr>
                      <w:divsChild>
                        <w:div w:id="1638728026">
                          <w:marLeft w:val="340"/>
                          <w:marRight w:val="0"/>
                          <w:marTop w:val="300"/>
                          <w:marBottom w:val="120"/>
                          <w:divBdr>
                            <w:top w:val="none" w:sz="0" w:space="0" w:color="auto"/>
                            <w:left w:val="none" w:sz="0" w:space="0" w:color="auto"/>
                            <w:bottom w:val="none" w:sz="0" w:space="0" w:color="auto"/>
                            <w:right w:val="none" w:sz="0" w:space="0" w:color="auto"/>
                          </w:divBdr>
                          <w:divsChild>
                            <w:div w:id="1314530319">
                              <w:marLeft w:val="0"/>
                              <w:marRight w:val="0"/>
                              <w:marTop w:val="0"/>
                              <w:marBottom w:val="0"/>
                              <w:divBdr>
                                <w:top w:val="none" w:sz="0" w:space="0" w:color="auto"/>
                                <w:left w:val="none" w:sz="0" w:space="0" w:color="auto"/>
                                <w:bottom w:val="none" w:sz="0" w:space="0" w:color="auto"/>
                                <w:right w:val="none" w:sz="0" w:space="0" w:color="auto"/>
                              </w:divBdr>
                              <w:divsChild>
                                <w:div w:id="133236875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6967774">
                                      <w:blockQuote w:val="1"/>
                                      <w:marLeft w:val="600"/>
                                      <w:marRight w:val="0"/>
                                      <w:marTop w:val="120"/>
                                      <w:marBottom w:val="120"/>
                                      <w:divBdr>
                                        <w:top w:val="none" w:sz="0" w:space="0" w:color="auto"/>
                                        <w:left w:val="none" w:sz="0" w:space="0" w:color="auto"/>
                                        <w:bottom w:val="none" w:sz="0" w:space="0" w:color="auto"/>
                                        <w:right w:val="none" w:sz="0" w:space="0" w:color="auto"/>
                                      </w:divBdr>
                                    </w:div>
                                    <w:div w:id="56392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90517671">
                                          <w:blockQuote w:val="1"/>
                                          <w:marLeft w:val="600"/>
                                          <w:marRight w:val="0"/>
                                          <w:marTop w:val="120"/>
                                          <w:marBottom w:val="120"/>
                                          <w:divBdr>
                                            <w:top w:val="none" w:sz="0" w:space="0" w:color="auto"/>
                                            <w:left w:val="none" w:sz="0" w:space="0" w:color="auto"/>
                                            <w:bottom w:val="none" w:sz="0" w:space="0" w:color="auto"/>
                                            <w:right w:val="none" w:sz="0" w:space="0" w:color="auto"/>
                                          </w:divBdr>
                                        </w:div>
                                        <w:div w:id="202797376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76122924">
                                      <w:blockQuote w:val="1"/>
                                      <w:marLeft w:val="600"/>
                                      <w:marRight w:val="0"/>
                                      <w:marTop w:val="120"/>
                                      <w:marBottom w:val="120"/>
                                      <w:divBdr>
                                        <w:top w:val="none" w:sz="0" w:space="0" w:color="auto"/>
                                        <w:left w:val="none" w:sz="0" w:space="0" w:color="auto"/>
                                        <w:bottom w:val="none" w:sz="0" w:space="0" w:color="auto"/>
                                        <w:right w:val="none" w:sz="0" w:space="0" w:color="auto"/>
                                      </w:divBdr>
                                    </w:div>
                                    <w:div w:id="1834030195">
                                      <w:blockQuote w:val="1"/>
                                      <w:marLeft w:val="600"/>
                                      <w:marRight w:val="0"/>
                                      <w:marTop w:val="120"/>
                                      <w:marBottom w:val="120"/>
                                      <w:divBdr>
                                        <w:top w:val="none" w:sz="0" w:space="0" w:color="auto"/>
                                        <w:left w:val="none" w:sz="0" w:space="0" w:color="auto"/>
                                        <w:bottom w:val="none" w:sz="0" w:space="0" w:color="auto"/>
                                        <w:right w:val="none" w:sz="0" w:space="0" w:color="auto"/>
                                      </w:divBdr>
                                    </w:div>
                                    <w:div w:id="44446816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9635855">
      <w:bodyDiv w:val="1"/>
      <w:marLeft w:val="0"/>
      <w:marRight w:val="0"/>
      <w:marTop w:val="0"/>
      <w:marBottom w:val="0"/>
      <w:divBdr>
        <w:top w:val="none" w:sz="0" w:space="0" w:color="auto"/>
        <w:left w:val="none" w:sz="0" w:space="0" w:color="auto"/>
        <w:bottom w:val="none" w:sz="0" w:space="0" w:color="auto"/>
        <w:right w:val="none" w:sz="0" w:space="0" w:color="auto"/>
      </w:divBdr>
      <w:divsChild>
        <w:div w:id="2095975577">
          <w:marLeft w:val="0"/>
          <w:marRight w:val="0"/>
          <w:marTop w:val="0"/>
          <w:marBottom w:val="0"/>
          <w:divBdr>
            <w:top w:val="none" w:sz="0" w:space="0" w:color="auto"/>
            <w:left w:val="none" w:sz="0" w:space="0" w:color="auto"/>
            <w:bottom w:val="none" w:sz="0" w:space="0" w:color="auto"/>
            <w:right w:val="none" w:sz="0" w:space="0" w:color="auto"/>
          </w:divBdr>
          <w:divsChild>
            <w:div w:id="2139179413">
              <w:marLeft w:val="0"/>
              <w:marRight w:val="0"/>
              <w:marTop w:val="0"/>
              <w:marBottom w:val="0"/>
              <w:divBdr>
                <w:top w:val="none" w:sz="0" w:space="0" w:color="auto"/>
                <w:left w:val="none" w:sz="0" w:space="0" w:color="auto"/>
                <w:bottom w:val="none" w:sz="0" w:space="0" w:color="auto"/>
                <w:right w:val="none" w:sz="0" w:space="0" w:color="auto"/>
              </w:divBdr>
              <w:divsChild>
                <w:div w:id="1841774303">
                  <w:marLeft w:val="0"/>
                  <w:marRight w:val="0"/>
                  <w:marTop w:val="0"/>
                  <w:marBottom w:val="0"/>
                  <w:divBdr>
                    <w:top w:val="none" w:sz="0" w:space="0" w:color="auto"/>
                    <w:left w:val="none" w:sz="0" w:space="0" w:color="auto"/>
                    <w:bottom w:val="none" w:sz="0" w:space="0" w:color="auto"/>
                    <w:right w:val="none" w:sz="0" w:space="0" w:color="auto"/>
                  </w:divBdr>
                  <w:divsChild>
                    <w:div w:id="1224950835">
                      <w:marLeft w:val="0"/>
                      <w:marRight w:val="0"/>
                      <w:marTop w:val="0"/>
                      <w:marBottom w:val="0"/>
                      <w:divBdr>
                        <w:top w:val="none" w:sz="0" w:space="0" w:color="auto"/>
                        <w:left w:val="none" w:sz="0" w:space="0" w:color="auto"/>
                        <w:bottom w:val="none" w:sz="0" w:space="0" w:color="auto"/>
                        <w:right w:val="none" w:sz="0" w:space="0" w:color="auto"/>
                      </w:divBdr>
                      <w:divsChild>
                        <w:div w:id="772553270">
                          <w:marLeft w:val="340"/>
                          <w:marRight w:val="0"/>
                          <w:marTop w:val="300"/>
                          <w:marBottom w:val="120"/>
                          <w:divBdr>
                            <w:top w:val="none" w:sz="0" w:space="0" w:color="auto"/>
                            <w:left w:val="none" w:sz="0" w:space="0" w:color="auto"/>
                            <w:bottom w:val="none" w:sz="0" w:space="0" w:color="auto"/>
                            <w:right w:val="none" w:sz="0" w:space="0" w:color="auto"/>
                          </w:divBdr>
                          <w:divsChild>
                            <w:div w:id="478690453">
                              <w:marLeft w:val="0"/>
                              <w:marRight w:val="0"/>
                              <w:marTop w:val="0"/>
                              <w:marBottom w:val="0"/>
                              <w:divBdr>
                                <w:top w:val="none" w:sz="0" w:space="0" w:color="auto"/>
                                <w:left w:val="none" w:sz="0" w:space="0" w:color="auto"/>
                                <w:bottom w:val="none" w:sz="0" w:space="0" w:color="auto"/>
                                <w:right w:val="none" w:sz="0" w:space="0" w:color="auto"/>
                              </w:divBdr>
                              <w:divsChild>
                                <w:div w:id="50667374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196602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3721471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883214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274330">
      <w:bodyDiv w:val="1"/>
      <w:marLeft w:val="0"/>
      <w:marRight w:val="0"/>
      <w:marTop w:val="0"/>
      <w:marBottom w:val="0"/>
      <w:divBdr>
        <w:top w:val="none" w:sz="0" w:space="0" w:color="auto"/>
        <w:left w:val="none" w:sz="0" w:space="0" w:color="auto"/>
        <w:bottom w:val="none" w:sz="0" w:space="0" w:color="auto"/>
        <w:right w:val="none" w:sz="0" w:space="0" w:color="auto"/>
      </w:divBdr>
      <w:divsChild>
        <w:div w:id="1498838950">
          <w:marLeft w:val="0"/>
          <w:marRight w:val="0"/>
          <w:marTop w:val="0"/>
          <w:marBottom w:val="0"/>
          <w:divBdr>
            <w:top w:val="none" w:sz="0" w:space="0" w:color="auto"/>
            <w:left w:val="none" w:sz="0" w:space="0" w:color="auto"/>
            <w:bottom w:val="none" w:sz="0" w:space="0" w:color="auto"/>
            <w:right w:val="none" w:sz="0" w:space="0" w:color="auto"/>
          </w:divBdr>
          <w:divsChild>
            <w:div w:id="92214666">
              <w:marLeft w:val="0"/>
              <w:marRight w:val="0"/>
              <w:marTop w:val="0"/>
              <w:marBottom w:val="0"/>
              <w:divBdr>
                <w:top w:val="none" w:sz="0" w:space="0" w:color="auto"/>
                <w:left w:val="none" w:sz="0" w:space="0" w:color="auto"/>
                <w:bottom w:val="none" w:sz="0" w:space="0" w:color="auto"/>
                <w:right w:val="none" w:sz="0" w:space="0" w:color="auto"/>
              </w:divBdr>
              <w:divsChild>
                <w:div w:id="1333872842">
                  <w:marLeft w:val="0"/>
                  <w:marRight w:val="0"/>
                  <w:marTop w:val="0"/>
                  <w:marBottom w:val="0"/>
                  <w:divBdr>
                    <w:top w:val="none" w:sz="0" w:space="0" w:color="auto"/>
                    <w:left w:val="none" w:sz="0" w:space="0" w:color="auto"/>
                    <w:bottom w:val="none" w:sz="0" w:space="0" w:color="auto"/>
                    <w:right w:val="none" w:sz="0" w:space="0" w:color="auto"/>
                  </w:divBdr>
                  <w:divsChild>
                    <w:div w:id="1464810182">
                      <w:marLeft w:val="0"/>
                      <w:marRight w:val="0"/>
                      <w:marTop w:val="0"/>
                      <w:marBottom w:val="0"/>
                      <w:divBdr>
                        <w:top w:val="none" w:sz="0" w:space="0" w:color="auto"/>
                        <w:left w:val="none" w:sz="0" w:space="0" w:color="auto"/>
                        <w:bottom w:val="none" w:sz="0" w:space="0" w:color="auto"/>
                        <w:right w:val="none" w:sz="0" w:space="0" w:color="auto"/>
                      </w:divBdr>
                      <w:divsChild>
                        <w:div w:id="816384800">
                          <w:marLeft w:val="340"/>
                          <w:marRight w:val="0"/>
                          <w:marTop w:val="300"/>
                          <w:marBottom w:val="120"/>
                          <w:divBdr>
                            <w:top w:val="none" w:sz="0" w:space="0" w:color="auto"/>
                            <w:left w:val="none" w:sz="0" w:space="0" w:color="auto"/>
                            <w:bottom w:val="none" w:sz="0" w:space="0" w:color="auto"/>
                            <w:right w:val="none" w:sz="0" w:space="0" w:color="auto"/>
                          </w:divBdr>
                          <w:divsChild>
                            <w:div w:id="793331898">
                              <w:marLeft w:val="0"/>
                              <w:marRight w:val="0"/>
                              <w:marTop w:val="0"/>
                              <w:marBottom w:val="0"/>
                              <w:divBdr>
                                <w:top w:val="none" w:sz="0" w:space="0" w:color="auto"/>
                                <w:left w:val="none" w:sz="0" w:space="0" w:color="auto"/>
                                <w:bottom w:val="none" w:sz="0" w:space="0" w:color="auto"/>
                                <w:right w:val="none" w:sz="0" w:space="0" w:color="auto"/>
                              </w:divBdr>
                              <w:divsChild>
                                <w:div w:id="195247346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4889341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766408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898299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81304644">
                                                  <w:blockQuote w:val="1"/>
                                                  <w:marLeft w:val="600"/>
                                                  <w:marRight w:val="0"/>
                                                  <w:marTop w:val="120"/>
                                                  <w:marBottom w:val="120"/>
                                                  <w:divBdr>
                                                    <w:top w:val="none" w:sz="0" w:space="0" w:color="auto"/>
                                                    <w:left w:val="none" w:sz="0" w:space="0" w:color="auto"/>
                                                    <w:bottom w:val="none" w:sz="0" w:space="0" w:color="auto"/>
                                                    <w:right w:val="none" w:sz="0" w:space="0" w:color="auto"/>
                                                  </w:divBdr>
                                                </w:div>
                                                <w:div w:id="1021876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252793">
      <w:bodyDiv w:val="1"/>
      <w:marLeft w:val="0"/>
      <w:marRight w:val="0"/>
      <w:marTop w:val="0"/>
      <w:marBottom w:val="0"/>
      <w:divBdr>
        <w:top w:val="none" w:sz="0" w:space="0" w:color="auto"/>
        <w:left w:val="none" w:sz="0" w:space="0" w:color="auto"/>
        <w:bottom w:val="none" w:sz="0" w:space="0" w:color="auto"/>
        <w:right w:val="none" w:sz="0" w:space="0" w:color="auto"/>
      </w:divBdr>
      <w:divsChild>
        <w:div w:id="121969180">
          <w:blockQuote w:val="1"/>
          <w:marLeft w:val="0"/>
          <w:marRight w:val="0"/>
          <w:marTop w:val="120"/>
          <w:marBottom w:val="120"/>
          <w:divBdr>
            <w:top w:val="none" w:sz="0" w:space="0" w:color="auto"/>
            <w:left w:val="none" w:sz="0" w:space="0" w:color="auto"/>
            <w:bottom w:val="none" w:sz="0" w:space="0" w:color="auto"/>
            <w:right w:val="none" w:sz="0" w:space="0" w:color="auto"/>
          </w:divBdr>
        </w:div>
        <w:div w:id="934820767">
          <w:blockQuote w:val="1"/>
          <w:marLeft w:val="600"/>
          <w:marRight w:val="0"/>
          <w:marTop w:val="120"/>
          <w:marBottom w:val="120"/>
          <w:divBdr>
            <w:top w:val="none" w:sz="0" w:space="0" w:color="auto"/>
            <w:left w:val="none" w:sz="0" w:space="0" w:color="auto"/>
            <w:bottom w:val="none" w:sz="0" w:space="0" w:color="auto"/>
            <w:right w:val="none" w:sz="0" w:space="0" w:color="auto"/>
          </w:divBdr>
        </w:div>
        <w:div w:id="183599131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65113827">
      <w:bodyDiv w:val="1"/>
      <w:marLeft w:val="0"/>
      <w:marRight w:val="0"/>
      <w:marTop w:val="0"/>
      <w:marBottom w:val="0"/>
      <w:divBdr>
        <w:top w:val="none" w:sz="0" w:space="0" w:color="auto"/>
        <w:left w:val="none" w:sz="0" w:space="0" w:color="auto"/>
        <w:bottom w:val="none" w:sz="0" w:space="0" w:color="auto"/>
        <w:right w:val="none" w:sz="0" w:space="0" w:color="auto"/>
      </w:divBdr>
      <w:divsChild>
        <w:div w:id="692418217">
          <w:marLeft w:val="0"/>
          <w:marRight w:val="0"/>
          <w:marTop w:val="0"/>
          <w:marBottom w:val="0"/>
          <w:divBdr>
            <w:top w:val="none" w:sz="0" w:space="0" w:color="auto"/>
            <w:left w:val="none" w:sz="0" w:space="0" w:color="auto"/>
            <w:bottom w:val="none" w:sz="0" w:space="0" w:color="auto"/>
            <w:right w:val="none" w:sz="0" w:space="0" w:color="auto"/>
          </w:divBdr>
          <w:divsChild>
            <w:div w:id="2028864373">
              <w:marLeft w:val="0"/>
              <w:marRight w:val="0"/>
              <w:marTop w:val="0"/>
              <w:marBottom w:val="0"/>
              <w:divBdr>
                <w:top w:val="none" w:sz="0" w:space="0" w:color="auto"/>
                <w:left w:val="none" w:sz="0" w:space="0" w:color="auto"/>
                <w:bottom w:val="none" w:sz="0" w:space="0" w:color="auto"/>
                <w:right w:val="none" w:sz="0" w:space="0" w:color="auto"/>
              </w:divBdr>
              <w:divsChild>
                <w:div w:id="443112000">
                  <w:marLeft w:val="0"/>
                  <w:marRight w:val="0"/>
                  <w:marTop w:val="0"/>
                  <w:marBottom w:val="0"/>
                  <w:divBdr>
                    <w:top w:val="none" w:sz="0" w:space="0" w:color="auto"/>
                    <w:left w:val="none" w:sz="0" w:space="0" w:color="auto"/>
                    <w:bottom w:val="none" w:sz="0" w:space="0" w:color="auto"/>
                    <w:right w:val="none" w:sz="0" w:space="0" w:color="auto"/>
                  </w:divBdr>
                  <w:divsChild>
                    <w:div w:id="1013219074">
                      <w:marLeft w:val="0"/>
                      <w:marRight w:val="0"/>
                      <w:marTop w:val="0"/>
                      <w:marBottom w:val="0"/>
                      <w:divBdr>
                        <w:top w:val="none" w:sz="0" w:space="0" w:color="auto"/>
                        <w:left w:val="none" w:sz="0" w:space="0" w:color="auto"/>
                        <w:bottom w:val="none" w:sz="0" w:space="0" w:color="auto"/>
                        <w:right w:val="none" w:sz="0" w:space="0" w:color="auto"/>
                      </w:divBdr>
                      <w:divsChild>
                        <w:div w:id="1669400912">
                          <w:marLeft w:val="340"/>
                          <w:marRight w:val="0"/>
                          <w:marTop w:val="300"/>
                          <w:marBottom w:val="120"/>
                          <w:divBdr>
                            <w:top w:val="none" w:sz="0" w:space="0" w:color="auto"/>
                            <w:left w:val="none" w:sz="0" w:space="0" w:color="auto"/>
                            <w:bottom w:val="none" w:sz="0" w:space="0" w:color="auto"/>
                            <w:right w:val="none" w:sz="0" w:space="0" w:color="auto"/>
                          </w:divBdr>
                          <w:divsChild>
                            <w:div w:id="1672290612">
                              <w:marLeft w:val="0"/>
                              <w:marRight w:val="0"/>
                              <w:marTop w:val="0"/>
                              <w:marBottom w:val="0"/>
                              <w:divBdr>
                                <w:top w:val="none" w:sz="0" w:space="0" w:color="auto"/>
                                <w:left w:val="none" w:sz="0" w:space="0" w:color="auto"/>
                                <w:bottom w:val="none" w:sz="0" w:space="0" w:color="auto"/>
                                <w:right w:val="none" w:sz="0" w:space="0" w:color="auto"/>
                              </w:divBdr>
                              <w:divsChild>
                                <w:div w:id="16687231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1817590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486198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5883008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8754792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91333591">
                                                      <w:blockQuote w:val="1"/>
                                                      <w:marLeft w:val="600"/>
                                                      <w:marRight w:val="0"/>
                                                      <w:marTop w:val="120"/>
                                                      <w:marBottom w:val="120"/>
                                                      <w:divBdr>
                                                        <w:top w:val="none" w:sz="0" w:space="0" w:color="auto"/>
                                                        <w:left w:val="none" w:sz="0" w:space="0" w:color="auto"/>
                                                        <w:bottom w:val="none" w:sz="0" w:space="0" w:color="auto"/>
                                                        <w:right w:val="none" w:sz="0" w:space="0" w:color="auto"/>
                                                      </w:divBdr>
                                                    </w:div>
                                                    <w:div w:id="192414520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34308680">
                                                  <w:blockQuote w:val="1"/>
                                                  <w:marLeft w:val="600"/>
                                                  <w:marRight w:val="0"/>
                                                  <w:marTop w:val="120"/>
                                                  <w:marBottom w:val="120"/>
                                                  <w:divBdr>
                                                    <w:top w:val="none" w:sz="0" w:space="0" w:color="auto"/>
                                                    <w:left w:val="none" w:sz="0" w:space="0" w:color="auto"/>
                                                    <w:bottom w:val="none" w:sz="0" w:space="0" w:color="auto"/>
                                                    <w:right w:val="none" w:sz="0" w:space="0" w:color="auto"/>
                                                  </w:divBdr>
                                                </w:div>
                                                <w:div w:id="1265066905">
                                                  <w:blockQuote w:val="1"/>
                                                  <w:marLeft w:val="600"/>
                                                  <w:marRight w:val="0"/>
                                                  <w:marTop w:val="120"/>
                                                  <w:marBottom w:val="120"/>
                                                  <w:divBdr>
                                                    <w:top w:val="none" w:sz="0" w:space="0" w:color="auto"/>
                                                    <w:left w:val="none" w:sz="0" w:space="0" w:color="auto"/>
                                                    <w:bottom w:val="none" w:sz="0" w:space="0" w:color="auto"/>
                                                    <w:right w:val="none" w:sz="0" w:space="0" w:color="auto"/>
                                                  </w:divBdr>
                                                </w:div>
                                                <w:div w:id="15456323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52983272">
                                                      <w:blockQuote w:val="1"/>
                                                      <w:marLeft w:val="600"/>
                                                      <w:marRight w:val="0"/>
                                                      <w:marTop w:val="120"/>
                                                      <w:marBottom w:val="120"/>
                                                      <w:divBdr>
                                                        <w:top w:val="none" w:sz="0" w:space="0" w:color="auto"/>
                                                        <w:left w:val="none" w:sz="0" w:space="0" w:color="auto"/>
                                                        <w:bottom w:val="none" w:sz="0" w:space="0" w:color="auto"/>
                                                        <w:right w:val="none" w:sz="0" w:space="0" w:color="auto"/>
                                                      </w:divBdr>
                                                    </w:div>
                                                    <w:div w:id="126530476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01560758">
                                                  <w:blockQuote w:val="1"/>
                                                  <w:marLeft w:val="600"/>
                                                  <w:marRight w:val="0"/>
                                                  <w:marTop w:val="120"/>
                                                  <w:marBottom w:val="120"/>
                                                  <w:divBdr>
                                                    <w:top w:val="none" w:sz="0" w:space="0" w:color="auto"/>
                                                    <w:left w:val="none" w:sz="0" w:space="0" w:color="auto"/>
                                                    <w:bottom w:val="none" w:sz="0" w:space="0" w:color="auto"/>
                                                    <w:right w:val="none" w:sz="0" w:space="0" w:color="auto"/>
                                                  </w:divBdr>
                                                </w:div>
                                                <w:div w:id="1815248462">
                                                  <w:blockQuote w:val="1"/>
                                                  <w:marLeft w:val="600"/>
                                                  <w:marRight w:val="0"/>
                                                  <w:marTop w:val="120"/>
                                                  <w:marBottom w:val="120"/>
                                                  <w:divBdr>
                                                    <w:top w:val="none" w:sz="0" w:space="0" w:color="auto"/>
                                                    <w:left w:val="none" w:sz="0" w:space="0" w:color="auto"/>
                                                    <w:bottom w:val="none" w:sz="0" w:space="0" w:color="auto"/>
                                                    <w:right w:val="none" w:sz="0" w:space="0" w:color="auto"/>
                                                  </w:divBdr>
                                                </w:div>
                                                <w:div w:id="660815288">
                                                  <w:blockQuote w:val="1"/>
                                                  <w:marLeft w:val="600"/>
                                                  <w:marRight w:val="0"/>
                                                  <w:marTop w:val="120"/>
                                                  <w:marBottom w:val="120"/>
                                                  <w:divBdr>
                                                    <w:top w:val="none" w:sz="0" w:space="0" w:color="auto"/>
                                                    <w:left w:val="none" w:sz="0" w:space="0" w:color="auto"/>
                                                    <w:bottom w:val="none" w:sz="0" w:space="0" w:color="auto"/>
                                                    <w:right w:val="none" w:sz="0" w:space="0" w:color="auto"/>
                                                  </w:divBdr>
                                                </w:div>
                                                <w:div w:id="1323464908">
                                                  <w:blockQuote w:val="1"/>
                                                  <w:marLeft w:val="600"/>
                                                  <w:marRight w:val="0"/>
                                                  <w:marTop w:val="120"/>
                                                  <w:marBottom w:val="120"/>
                                                  <w:divBdr>
                                                    <w:top w:val="none" w:sz="0" w:space="0" w:color="auto"/>
                                                    <w:left w:val="none" w:sz="0" w:space="0" w:color="auto"/>
                                                    <w:bottom w:val="none" w:sz="0" w:space="0" w:color="auto"/>
                                                    <w:right w:val="none" w:sz="0" w:space="0" w:color="auto"/>
                                                  </w:divBdr>
                                                </w:div>
                                                <w:div w:id="1405253094">
                                                  <w:blockQuote w:val="1"/>
                                                  <w:marLeft w:val="600"/>
                                                  <w:marRight w:val="0"/>
                                                  <w:marTop w:val="120"/>
                                                  <w:marBottom w:val="120"/>
                                                  <w:divBdr>
                                                    <w:top w:val="none" w:sz="0" w:space="0" w:color="auto"/>
                                                    <w:left w:val="none" w:sz="0" w:space="0" w:color="auto"/>
                                                    <w:bottom w:val="none" w:sz="0" w:space="0" w:color="auto"/>
                                                    <w:right w:val="none" w:sz="0" w:space="0" w:color="auto"/>
                                                  </w:divBdr>
                                                </w:div>
                                                <w:div w:id="613295003">
                                                  <w:blockQuote w:val="1"/>
                                                  <w:marLeft w:val="600"/>
                                                  <w:marRight w:val="0"/>
                                                  <w:marTop w:val="120"/>
                                                  <w:marBottom w:val="120"/>
                                                  <w:divBdr>
                                                    <w:top w:val="none" w:sz="0" w:space="0" w:color="auto"/>
                                                    <w:left w:val="none" w:sz="0" w:space="0" w:color="auto"/>
                                                    <w:bottom w:val="none" w:sz="0" w:space="0" w:color="auto"/>
                                                    <w:right w:val="none" w:sz="0" w:space="0" w:color="auto"/>
                                                  </w:divBdr>
                                                </w:div>
                                                <w:div w:id="211127343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1992876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1603285">
                                                  <w:blockQuote w:val="1"/>
                                                  <w:marLeft w:val="0"/>
                                                  <w:marRight w:val="0"/>
                                                  <w:marTop w:val="120"/>
                                                  <w:marBottom w:val="120"/>
                                                  <w:divBdr>
                                                    <w:top w:val="none" w:sz="0" w:space="0" w:color="auto"/>
                                                    <w:left w:val="none" w:sz="0" w:space="0" w:color="auto"/>
                                                    <w:bottom w:val="none" w:sz="0" w:space="0" w:color="auto"/>
                                                    <w:right w:val="none" w:sz="0" w:space="0" w:color="auto"/>
                                                  </w:divBdr>
                                                </w:div>
                                                <w:div w:id="1539119966">
                                                  <w:blockQuote w:val="1"/>
                                                  <w:marLeft w:val="600"/>
                                                  <w:marRight w:val="0"/>
                                                  <w:marTop w:val="120"/>
                                                  <w:marBottom w:val="120"/>
                                                  <w:divBdr>
                                                    <w:top w:val="none" w:sz="0" w:space="0" w:color="auto"/>
                                                    <w:left w:val="none" w:sz="0" w:space="0" w:color="auto"/>
                                                    <w:bottom w:val="none" w:sz="0" w:space="0" w:color="auto"/>
                                                    <w:right w:val="none" w:sz="0" w:space="0" w:color="auto"/>
                                                  </w:divBdr>
                                                </w:div>
                                                <w:div w:id="174444716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5386592">
      <w:bodyDiv w:val="1"/>
      <w:marLeft w:val="0"/>
      <w:marRight w:val="0"/>
      <w:marTop w:val="0"/>
      <w:marBottom w:val="0"/>
      <w:divBdr>
        <w:top w:val="none" w:sz="0" w:space="0" w:color="auto"/>
        <w:left w:val="none" w:sz="0" w:space="0" w:color="auto"/>
        <w:bottom w:val="none" w:sz="0" w:space="0" w:color="auto"/>
        <w:right w:val="none" w:sz="0" w:space="0" w:color="auto"/>
      </w:divBdr>
      <w:divsChild>
        <w:div w:id="2146199264">
          <w:marLeft w:val="0"/>
          <w:marRight w:val="0"/>
          <w:marTop w:val="0"/>
          <w:marBottom w:val="0"/>
          <w:divBdr>
            <w:top w:val="none" w:sz="0" w:space="0" w:color="auto"/>
            <w:left w:val="none" w:sz="0" w:space="0" w:color="auto"/>
            <w:bottom w:val="none" w:sz="0" w:space="0" w:color="auto"/>
            <w:right w:val="none" w:sz="0" w:space="0" w:color="auto"/>
          </w:divBdr>
          <w:divsChild>
            <w:div w:id="153618269">
              <w:marLeft w:val="0"/>
              <w:marRight w:val="0"/>
              <w:marTop w:val="0"/>
              <w:marBottom w:val="0"/>
              <w:divBdr>
                <w:top w:val="none" w:sz="0" w:space="0" w:color="auto"/>
                <w:left w:val="none" w:sz="0" w:space="0" w:color="auto"/>
                <w:bottom w:val="none" w:sz="0" w:space="0" w:color="auto"/>
                <w:right w:val="none" w:sz="0" w:space="0" w:color="auto"/>
              </w:divBdr>
              <w:divsChild>
                <w:div w:id="883519489">
                  <w:marLeft w:val="0"/>
                  <w:marRight w:val="0"/>
                  <w:marTop w:val="0"/>
                  <w:marBottom w:val="0"/>
                  <w:divBdr>
                    <w:top w:val="none" w:sz="0" w:space="0" w:color="auto"/>
                    <w:left w:val="none" w:sz="0" w:space="0" w:color="auto"/>
                    <w:bottom w:val="none" w:sz="0" w:space="0" w:color="auto"/>
                    <w:right w:val="none" w:sz="0" w:space="0" w:color="auto"/>
                  </w:divBdr>
                  <w:divsChild>
                    <w:div w:id="1415319671">
                      <w:marLeft w:val="0"/>
                      <w:marRight w:val="0"/>
                      <w:marTop w:val="0"/>
                      <w:marBottom w:val="0"/>
                      <w:divBdr>
                        <w:top w:val="none" w:sz="0" w:space="0" w:color="auto"/>
                        <w:left w:val="none" w:sz="0" w:space="0" w:color="auto"/>
                        <w:bottom w:val="none" w:sz="0" w:space="0" w:color="auto"/>
                        <w:right w:val="none" w:sz="0" w:space="0" w:color="auto"/>
                      </w:divBdr>
                      <w:divsChild>
                        <w:div w:id="1409497458">
                          <w:marLeft w:val="340"/>
                          <w:marRight w:val="0"/>
                          <w:marTop w:val="300"/>
                          <w:marBottom w:val="120"/>
                          <w:divBdr>
                            <w:top w:val="none" w:sz="0" w:space="0" w:color="auto"/>
                            <w:left w:val="none" w:sz="0" w:space="0" w:color="auto"/>
                            <w:bottom w:val="none" w:sz="0" w:space="0" w:color="auto"/>
                            <w:right w:val="none" w:sz="0" w:space="0" w:color="auto"/>
                          </w:divBdr>
                          <w:divsChild>
                            <w:div w:id="1068840235">
                              <w:marLeft w:val="0"/>
                              <w:marRight w:val="0"/>
                              <w:marTop w:val="0"/>
                              <w:marBottom w:val="0"/>
                              <w:divBdr>
                                <w:top w:val="none" w:sz="0" w:space="0" w:color="auto"/>
                                <w:left w:val="none" w:sz="0" w:space="0" w:color="auto"/>
                                <w:bottom w:val="none" w:sz="0" w:space="0" w:color="auto"/>
                                <w:right w:val="none" w:sz="0" w:space="0" w:color="auto"/>
                              </w:divBdr>
                              <w:divsChild>
                                <w:div w:id="157751979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3759016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154822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703618">
      <w:bodyDiv w:val="1"/>
      <w:marLeft w:val="0"/>
      <w:marRight w:val="0"/>
      <w:marTop w:val="0"/>
      <w:marBottom w:val="0"/>
      <w:divBdr>
        <w:top w:val="none" w:sz="0" w:space="0" w:color="auto"/>
        <w:left w:val="none" w:sz="0" w:space="0" w:color="auto"/>
        <w:bottom w:val="none" w:sz="0" w:space="0" w:color="auto"/>
        <w:right w:val="none" w:sz="0" w:space="0" w:color="auto"/>
      </w:divBdr>
      <w:divsChild>
        <w:div w:id="323045953">
          <w:marLeft w:val="0"/>
          <w:marRight w:val="0"/>
          <w:marTop w:val="0"/>
          <w:marBottom w:val="0"/>
          <w:divBdr>
            <w:top w:val="none" w:sz="0" w:space="0" w:color="auto"/>
            <w:left w:val="none" w:sz="0" w:space="0" w:color="auto"/>
            <w:bottom w:val="none" w:sz="0" w:space="0" w:color="auto"/>
            <w:right w:val="none" w:sz="0" w:space="0" w:color="auto"/>
          </w:divBdr>
          <w:divsChild>
            <w:div w:id="2068450696">
              <w:marLeft w:val="0"/>
              <w:marRight w:val="0"/>
              <w:marTop w:val="0"/>
              <w:marBottom w:val="0"/>
              <w:divBdr>
                <w:top w:val="none" w:sz="0" w:space="0" w:color="auto"/>
                <w:left w:val="none" w:sz="0" w:space="0" w:color="auto"/>
                <w:bottom w:val="none" w:sz="0" w:space="0" w:color="auto"/>
                <w:right w:val="none" w:sz="0" w:space="0" w:color="auto"/>
              </w:divBdr>
              <w:divsChild>
                <w:div w:id="19864941">
                  <w:marLeft w:val="0"/>
                  <w:marRight w:val="0"/>
                  <w:marTop w:val="0"/>
                  <w:marBottom w:val="0"/>
                  <w:divBdr>
                    <w:top w:val="none" w:sz="0" w:space="0" w:color="auto"/>
                    <w:left w:val="none" w:sz="0" w:space="0" w:color="auto"/>
                    <w:bottom w:val="none" w:sz="0" w:space="0" w:color="auto"/>
                    <w:right w:val="none" w:sz="0" w:space="0" w:color="auto"/>
                  </w:divBdr>
                  <w:divsChild>
                    <w:div w:id="502401355">
                      <w:marLeft w:val="0"/>
                      <w:marRight w:val="0"/>
                      <w:marTop w:val="0"/>
                      <w:marBottom w:val="0"/>
                      <w:divBdr>
                        <w:top w:val="none" w:sz="0" w:space="0" w:color="auto"/>
                        <w:left w:val="none" w:sz="0" w:space="0" w:color="auto"/>
                        <w:bottom w:val="none" w:sz="0" w:space="0" w:color="auto"/>
                        <w:right w:val="none" w:sz="0" w:space="0" w:color="auto"/>
                      </w:divBdr>
                      <w:divsChild>
                        <w:div w:id="1339381236">
                          <w:marLeft w:val="340"/>
                          <w:marRight w:val="0"/>
                          <w:marTop w:val="300"/>
                          <w:marBottom w:val="120"/>
                          <w:divBdr>
                            <w:top w:val="none" w:sz="0" w:space="0" w:color="auto"/>
                            <w:left w:val="none" w:sz="0" w:space="0" w:color="auto"/>
                            <w:bottom w:val="none" w:sz="0" w:space="0" w:color="auto"/>
                            <w:right w:val="none" w:sz="0" w:space="0" w:color="auto"/>
                          </w:divBdr>
                          <w:divsChild>
                            <w:div w:id="709375489">
                              <w:marLeft w:val="0"/>
                              <w:marRight w:val="0"/>
                              <w:marTop w:val="0"/>
                              <w:marBottom w:val="0"/>
                              <w:divBdr>
                                <w:top w:val="none" w:sz="0" w:space="0" w:color="auto"/>
                                <w:left w:val="none" w:sz="0" w:space="0" w:color="auto"/>
                                <w:bottom w:val="none" w:sz="0" w:space="0" w:color="auto"/>
                                <w:right w:val="none" w:sz="0" w:space="0" w:color="auto"/>
                              </w:divBdr>
                              <w:divsChild>
                                <w:div w:id="178711259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463609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0975527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46077055">
                                              <w:blockQuote w:val="1"/>
                                              <w:marLeft w:val="600"/>
                                              <w:marRight w:val="0"/>
                                              <w:marTop w:val="120"/>
                                              <w:marBottom w:val="120"/>
                                              <w:divBdr>
                                                <w:top w:val="none" w:sz="0" w:space="0" w:color="auto"/>
                                                <w:left w:val="none" w:sz="0" w:space="0" w:color="auto"/>
                                                <w:bottom w:val="none" w:sz="0" w:space="0" w:color="auto"/>
                                                <w:right w:val="none" w:sz="0" w:space="0" w:color="auto"/>
                                              </w:divBdr>
                                            </w:div>
                                            <w:div w:id="554582973">
                                              <w:blockQuote w:val="1"/>
                                              <w:marLeft w:val="600"/>
                                              <w:marRight w:val="0"/>
                                              <w:marTop w:val="120"/>
                                              <w:marBottom w:val="120"/>
                                              <w:divBdr>
                                                <w:top w:val="none" w:sz="0" w:space="0" w:color="auto"/>
                                                <w:left w:val="none" w:sz="0" w:space="0" w:color="auto"/>
                                                <w:bottom w:val="none" w:sz="0" w:space="0" w:color="auto"/>
                                                <w:right w:val="none" w:sz="0" w:space="0" w:color="auto"/>
                                              </w:divBdr>
                                            </w:div>
                                            <w:div w:id="141932851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21882123">
                                                  <w:blockQuote w:val="1"/>
                                                  <w:marLeft w:val="600"/>
                                                  <w:marRight w:val="0"/>
                                                  <w:marTop w:val="120"/>
                                                  <w:marBottom w:val="120"/>
                                                  <w:divBdr>
                                                    <w:top w:val="none" w:sz="0" w:space="0" w:color="auto"/>
                                                    <w:left w:val="none" w:sz="0" w:space="0" w:color="auto"/>
                                                    <w:bottom w:val="none" w:sz="0" w:space="0" w:color="auto"/>
                                                    <w:right w:val="none" w:sz="0" w:space="0" w:color="auto"/>
                                                  </w:divBdr>
                                                </w:div>
                                                <w:div w:id="212541793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97664073">
                                              <w:blockQuote w:val="1"/>
                                              <w:marLeft w:val="600"/>
                                              <w:marRight w:val="0"/>
                                              <w:marTop w:val="120"/>
                                              <w:marBottom w:val="120"/>
                                              <w:divBdr>
                                                <w:top w:val="none" w:sz="0" w:space="0" w:color="auto"/>
                                                <w:left w:val="none" w:sz="0" w:space="0" w:color="auto"/>
                                                <w:bottom w:val="none" w:sz="0" w:space="0" w:color="auto"/>
                                                <w:right w:val="none" w:sz="0" w:space="0" w:color="auto"/>
                                              </w:divBdr>
                                            </w:div>
                                            <w:div w:id="51049008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332962">
      <w:bodyDiv w:val="1"/>
      <w:marLeft w:val="0"/>
      <w:marRight w:val="0"/>
      <w:marTop w:val="0"/>
      <w:marBottom w:val="0"/>
      <w:divBdr>
        <w:top w:val="none" w:sz="0" w:space="0" w:color="auto"/>
        <w:left w:val="none" w:sz="0" w:space="0" w:color="auto"/>
        <w:bottom w:val="none" w:sz="0" w:space="0" w:color="auto"/>
        <w:right w:val="none" w:sz="0" w:space="0" w:color="auto"/>
      </w:divBdr>
      <w:divsChild>
        <w:div w:id="1086027046">
          <w:marLeft w:val="0"/>
          <w:marRight w:val="0"/>
          <w:marTop w:val="0"/>
          <w:marBottom w:val="0"/>
          <w:divBdr>
            <w:top w:val="none" w:sz="0" w:space="0" w:color="auto"/>
            <w:left w:val="none" w:sz="0" w:space="0" w:color="auto"/>
            <w:bottom w:val="none" w:sz="0" w:space="0" w:color="auto"/>
            <w:right w:val="none" w:sz="0" w:space="0" w:color="auto"/>
          </w:divBdr>
          <w:divsChild>
            <w:div w:id="199562350">
              <w:marLeft w:val="0"/>
              <w:marRight w:val="0"/>
              <w:marTop w:val="0"/>
              <w:marBottom w:val="0"/>
              <w:divBdr>
                <w:top w:val="none" w:sz="0" w:space="0" w:color="auto"/>
                <w:left w:val="none" w:sz="0" w:space="0" w:color="auto"/>
                <w:bottom w:val="none" w:sz="0" w:space="0" w:color="auto"/>
                <w:right w:val="none" w:sz="0" w:space="0" w:color="auto"/>
              </w:divBdr>
              <w:divsChild>
                <w:div w:id="1464929358">
                  <w:marLeft w:val="0"/>
                  <w:marRight w:val="0"/>
                  <w:marTop w:val="0"/>
                  <w:marBottom w:val="0"/>
                  <w:divBdr>
                    <w:top w:val="none" w:sz="0" w:space="0" w:color="auto"/>
                    <w:left w:val="none" w:sz="0" w:space="0" w:color="auto"/>
                    <w:bottom w:val="none" w:sz="0" w:space="0" w:color="auto"/>
                    <w:right w:val="none" w:sz="0" w:space="0" w:color="auto"/>
                  </w:divBdr>
                  <w:divsChild>
                    <w:div w:id="2006398805">
                      <w:marLeft w:val="0"/>
                      <w:marRight w:val="0"/>
                      <w:marTop w:val="0"/>
                      <w:marBottom w:val="0"/>
                      <w:divBdr>
                        <w:top w:val="none" w:sz="0" w:space="0" w:color="auto"/>
                        <w:left w:val="none" w:sz="0" w:space="0" w:color="auto"/>
                        <w:bottom w:val="none" w:sz="0" w:space="0" w:color="auto"/>
                        <w:right w:val="none" w:sz="0" w:space="0" w:color="auto"/>
                      </w:divBdr>
                      <w:divsChild>
                        <w:div w:id="1774473235">
                          <w:marLeft w:val="340"/>
                          <w:marRight w:val="0"/>
                          <w:marTop w:val="300"/>
                          <w:marBottom w:val="120"/>
                          <w:divBdr>
                            <w:top w:val="none" w:sz="0" w:space="0" w:color="auto"/>
                            <w:left w:val="none" w:sz="0" w:space="0" w:color="auto"/>
                            <w:bottom w:val="none" w:sz="0" w:space="0" w:color="auto"/>
                            <w:right w:val="none" w:sz="0" w:space="0" w:color="auto"/>
                          </w:divBdr>
                          <w:divsChild>
                            <w:div w:id="588587110">
                              <w:marLeft w:val="0"/>
                              <w:marRight w:val="0"/>
                              <w:marTop w:val="0"/>
                              <w:marBottom w:val="0"/>
                              <w:divBdr>
                                <w:top w:val="none" w:sz="0" w:space="0" w:color="auto"/>
                                <w:left w:val="none" w:sz="0" w:space="0" w:color="auto"/>
                                <w:bottom w:val="none" w:sz="0" w:space="0" w:color="auto"/>
                                <w:right w:val="none" w:sz="0" w:space="0" w:color="auto"/>
                              </w:divBdr>
                              <w:divsChild>
                                <w:div w:id="10879062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29678974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69521226">
                                          <w:marLeft w:val="0"/>
                                          <w:marRight w:val="0"/>
                                          <w:marTop w:val="0"/>
                                          <w:marBottom w:val="200"/>
                                          <w:divBdr>
                                            <w:top w:val="none" w:sz="0" w:space="0" w:color="auto"/>
                                            <w:left w:val="none" w:sz="0" w:space="0" w:color="auto"/>
                                            <w:bottom w:val="none" w:sz="0" w:space="0" w:color="auto"/>
                                            <w:right w:val="none" w:sz="0" w:space="0" w:color="auto"/>
                                          </w:divBdr>
                                        </w:div>
                                        <w:div w:id="560336606">
                                          <w:marLeft w:val="0"/>
                                          <w:marRight w:val="0"/>
                                          <w:marTop w:val="200"/>
                                          <w:marBottom w:val="200"/>
                                          <w:divBdr>
                                            <w:top w:val="none" w:sz="0" w:space="0" w:color="auto"/>
                                            <w:left w:val="none" w:sz="0" w:space="0" w:color="auto"/>
                                            <w:bottom w:val="none" w:sz="0" w:space="0" w:color="auto"/>
                                            <w:right w:val="none" w:sz="0" w:space="0" w:color="auto"/>
                                          </w:divBdr>
                                        </w:div>
                                        <w:div w:id="203541779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89664544">
                                              <w:blockQuote w:val="1"/>
                                              <w:marLeft w:val="600"/>
                                              <w:marRight w:val="0"/>
                                              <w:marTop w:val="120"/>
                                              <w:marBottom w:val="120"/>
                                              <w:divBdr>
                                                <w:top w:val="none" w:sz="0" w:space="0" w:color="auto"/>
                                                <w:left w:val="none" w:sz="0" w:space="0" w:color="auto"/>
                                                <w:bottom w:val="none" w:sz="0" w:space="0" w:color="auto"/>
                                                <w:right w:val="none" w:sz="0" w:space="0" w:color="auto"/>
                                              </w:divBdr>
                                            </w:div>
                                            <w:div w:id="177408294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1320608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74253056">
                                                      <w:blockQuote w:val="1"/>
                                                      <w:marLeft w:val="600"/>
                                                      <w:marRight w:val="0"/>
                                                      <w:marTop w:val="120"/>
                                                      <w:marBottom w:val="120"/>
                                                      <w:divBdr>
                                                        <w:top w:val="none" w:sz="0" w:space="0" w:color="auto"/>
                                                        <w:left w:val="none" w:sz="0" w:space="0" w:color="auto"/>
                                                        <w:bottom w:val="none" w:sz="0" w:space="0" w:color="auto"/>
                                                        <w:right w:val="none" w:sz="0" w:space="0" w:color="auto"/>
                                                      </w:divBdr>
                                                    </w:div>
                                                    <w:div w:id="1559993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09743421">
                                                  <w:blockQuote w:val="1"/>
                                                  <w:marLeft w:val="600"/>
                                                  <w:marRight w:val="0"/>
                                                  <w:marTop w:val="120"/>
                                                  <w:marBottom w:val="120"/>
                                                  <w:divBdr>
                                                    <w:top w:val="none" w:sz="0" w:space="0" w:color="auto"/>
                                                    <w:left w:val="none" w:sz="0" w:space="0" w:color="auto"/>
                                                    <w:bottom w:val="none" w:sz="0" w:space="0" w:color="auto"/>
                                                    <w:right w:val="none" w:sz="0" w:space="0" w:color="auto"/>
                                                  </w:divBdr>
                                                </w:div>
                                                <w:div w:id="19610366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00821461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909917">
                                              <w:blockQuote w:val="1"/>
                                              <w:marLeft w:val="600"/>
                                              <w:marRight w:val="0"/>
                                              <w:marTop w:val="120"/>
                                              <w:marBottom w:val="120"/>
                                              <w:divBdr>
                                                <w:top w:val="none" w:sz="0" w:space="0" w:color="auto"/>
                                                <w:left w:val="none" w:sz="0" w:space="0" w:color="auto"/>
                                                <w:bottom w:val="none" w:sz="0" w:space="0" w:color="auto"/>
                                                <w:right w:val="none" w:sz="0" w:space="0" w:color="auto"/>
                                              </w:divBdr>
                                            </w:div>
                                            <w:div w:id="2019189432">
                                              <w:blockQuote w:val="1"/>
                                              <w:marLeft w:val="600"/>
                                              <w:marRight w:val="0"/>
                                              <w:marTop w:val="120"/>
                                              <w:marBottom w:val="120"/>
                                              <w:divBdr>
                                                <w:top w:val="none" w:sz="0" w:space="0" w:color="auto"/>
                                                <w:left w:val="none" w:sz="0" w:space="0" w:color="auto"/>
                                                <w:bottom w:val="none" w:sz="0" w:space="0" w:color="auto"/>
                                                <w:right w:val="none" w:sz="0" w:space="0" w:color="auto"/>
                                              </w:divBdr>
                                            </w:div>
                                            <w:div w:id="5853822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42348176">
                                                  <w:blockQuote w:val="1"/>
                                                  <w:marLeft w:val="600"/>
                                                  <w:marRight w:val="0"/>
                                                  <w:marTop w:val="120"/>
                                                  <w:marBottom w:val="120"/>
                                                  <w:divBdr>
                                                    <w:top w:val="none" w:sz="0" w:space="0" w:color="auto"/>
                                                    <w:left w:val="none" w:sz="0" w:space="0" w:color="auto"/>
                                                    <w:bottom w:val="none" w:sz="0" w:space="0" w:color="auto"/>
                                                    <w:right w:val="none" w:sz="0" w:space="0" w:color="auto"/>
                                                  </w:divBdr>
                                                </w:div>
                                                <w:div w:id="10660308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49418858">
                                                      <w:blockQuote w:val="1"/>
                                                      <w:marLeft w:val="600"/>
                                                      <w:marRight w:val="0"/>
                                                      <w:marTop w:val="120"/>
                                                      <w:marBottom w:val="120"/>
                                                      <w:divBdr>
                                                        <w:top w:val="none" w:sz="0" w:space="0" w:color="auto"/>
                                                        <w:left w:val="none" w:sz="0" w:space="0" w:color="auto"/>
                                                        <w:bottom w:val="none" w:sz="0" w:space="0" w:color="auto"/>
                                                        <w:right w:val="none" w:sz="0" w:space="0" w:color="auto"/>
                                                      </w:divBdr>
                                                    </w:div>
                                                    <w:div w:id="166612526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7549363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92980520">
                                          <w:marLeft w:val="0"/>
                                          <w:marRight w:val="0"/>
                                          <w:marTop w:val="200"/>
                                          <w:marBottom w:val="200"/>
                                          <w:divBdr>
                                            <w:top w:val="none" w:sz="0" w:space="0" w:color="auto"/>
                                            <w:left w:val="none" w:sz="0" w:space="0" w:color="auto"/>
                                            <w:bottom w:val="none" w:sz="0" w:space="0" w:color="auto"/>
                                            <w:right w:val="none" w:sz="0" w:space="0" w:color="auto"/>
                                          </w:divBdr>
                                        </w:div>
                                        <w:div w:id="61055385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32244758">
                                              <w:blockQuote w:val="1"/>
                                              <w:marLeft w:val="600"/>
                                              <w:marRight w:val="0"/>
                                              <w:marTop w:val="120"/>
                                              <w:marBottom w:val="120"/>
                                              <w:divBdr>
                                                <w:top w:val="none" w:sz="0" w:space="0" w:color="auto"/>
                                                <w:left w:val="none" w:sz="0" w:space="0" w:color="auto"/>
                                                <w:bottom w:val="none" w:sz="0" w:space="0" w:color="auto"/>
                                                <w:right w:val="none" w:sz="0" w:space="0" w:color="auto"/>
                                              </w:divBdr>
                                            </w:div>
                                            <w:div w:id="3792828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13990828">
                                                  <w:blockQuote w:val="1"/>
                                                  <w:marLeft w:val="600"/>
                                                  <w:marRight w:val="0"/>
                                                  <w:marTop w:val="120"/>
                                                  <w:marBottom w:val="120"/>
                                                  <w:divBdr>
                                                    <w:top w:val="none" w:sz="0" w:space="0" w:color="auto"/>
                                                    <w:left w:val="none" w:sz="0" w:space="0" w:color="auto"/>
                                                    <w:bottom w:val="none" w:sz="0" w:space="0" w:color="auto"/>
                                                    <w:right w:val="none" w:sz="0" w:space="0" w:color="auto"/>
                                                  </w:divBdr>
                                                </w:div>
                                                <w:div w:id="74384514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16572694">
                                                      <w:blockQuote w:val="1"/>
                                                      <w:marLeft w:val="600"/>
                                                      <w:marRight w:val="0"/>
                                                      <w:marTop w:val="120"/>
                                                      <w:marBottom w:val="120"/>
                                                      <w:divBdr>
                                                        <w:top w:val="none" w:sz="0" w:space="0" w:color="auto"/>
                                                        <w:left w:val="none" w:sz="0" w:space="0" w:color="auto"/>
                                                        <w:bottom w:val="none" w:sz="0" w:space="0" w:color="auto"/>
                                                        <w:right w:val="none" w:sz="0" w:space="0" w:color="auto"/>
                                                      </w:divBdr>
                                                    </w:div>
                                                    <w:div w:id="2126532354">
                                                      <w:blockQuote w:val="1"/>
                                                      <w:marLeft w:val="600"/>
                                                      <w:marRight w:val="0"/>
                                                      <w:marTop w:val="120"/>
                                                      <w:marBottom w:val="120"/>
                                                      <w:divBdr>
                                                        <w:top w:val="none" w:sz="0" w:space="0" w:color="auto"/>
                                                        <w:left w:val="none" w:sz="0" w:space="0" w:color="auto"/>
                                                        <w:bottom w:val="none" w:sz="0" w:space="0" w:color="auto"/>
                                                        <w:right w:val="none" w:sz="0" w:space="0" w:color="auto"/>
                                                      </w:divBdr>
                                                    </w:div>
                                                    <w:div w:id="50937253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41100576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50208027">
                                                  <w:blockQuote w:val="1"/>
                                                  <w:marLeft w:val="600"/>
                                                  <w:marRight w:val="0"/>
                                                  <w:marTop w:val="120"/>
                                                  <w:marBottom w:val="120"/>
                                                  <w:divBdr>
                                                    <w:top w:val="none" w:sz="0" w:space="0" w:color="auto"/>
                                                    <w:left w:val="none" w:sz="0" w:space="0" w:color="auto"/>
                                                    <w:bottom w:val="none" w:sz="0" w:space="0" w:color="auto"/>
                                                    <w:right w:val="none" w:sz="0" w:space="0" w:color="auto"/>
                                                  </w:divBdr>
                                                </w:div>
                                                <w:div w:id="64594161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1872938">
                                                      <w:blockQuote w:val="1"/>
                                                      <w:marLeft w:val="600"/>
                                                      <w:marRight w:val="0"/>
                                                      <w:marTop w:val="120"/>
                                                      <w:marBottom w:val="120"/>
                                                      <w:divBdr>
                                                        <w:top w:val="none" w:sz="0" w:space="0" w:color="auto"/>
                                                        <w:left w:val="none" w:sz="0" w:space="0" w:color="auto"/>
                                                        <w:bottom w:val="none" w:sz="0" w:space="0" w:color="auto"/>
                                                        <w:right w:val="none" w:sz="0" w:space="0" w:color="auto"/>
                                                      </w:divBdr>
                                                    </w:div>
                                                    <w:div w:id="187283468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50216357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91610192">
                                              <w:blockQuote w:val="1"/>
                                              <w:marLeft w:val="600"/>
                                              <w:marRight w:val="0"/>
                                              <w:marTop w:val="120"/>
                                              <w:marBottom w:val="120"/>
                                              <w:divBdr>
                                                <w:top w:val="none" w:sz="0" w:space="0" w:color="auto"/>
                                                <w:left w:val="none" w:sz="0" w:space="0" w:color="auto"/>
                                                <w:bottom w:val="none" w:sz="0" w:space="0" w:color="auto"/>
                                                <w:right w:val="none" w:sz="0" w:space="0" w:color="auto"/>
                                              </w:divBdr>
                                            </w:div>
                                            <w:div w:id="1637029947">
                                              <w:blockQuote w:val="1"/>
                                              <w:marLeft w:val="600"/>
                                              <w:marRight w:val="0"/>
                                              <w:marTop w:val="120"/>
                                              <w:marBottom w:val="120"/>
                                              <w:divBdr>
                                                <w:top w:val="none" w:sz="0" w:space="0" w:color="auto"/>
                                                <w:left w:val="none" w:sz="0" w:space="0" w:color="auto"/>
                                                <w:bottom w:val="none" w:sz="0" w:space="0" w:color="auto"/>
                                                <w:right w:val="none" w:sz="0" w:space="0" w:color="auto"/>
                                              </w:divBdr>
                                            </w:div>
                                            <w:div w:id="10183838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62900515">
                                                  <w:blockQuote w:val="1"/>
                                                  <w:marLeft w:val="0"/>
                                                  <w:marRight w:val="0"/>
                                                  <w:marTop w:val="120"/>
                                                  <w:marBottom w:val="120"/>
                                                  <w:divBdr>
                                                    <w:top w:val="none" w:sz="0" w:space="0" w:color="auto"/>
                                                    <w:left w:val="none" w:sz="0" w:space="0" w:color="auto"/>
                                                    <w:bottom w:val="none" w:sz="0" w:space="0" w:color="auto"/>
                                                    <w:right w:val="none" w:sz="0" w:space="0" w:color="auto"/>
                                                  </w:divBdr>
                                                </w:div>
                                                <w:div w:id="1331835066">
                                                  <w:blockQuote w:val="1"/>
                                                  <w:marLeft w:val="600"/>
                                                  <w:marRight w:val="0"/>
                                                  <w:marTop w:val="120"/>
                                                  <w:marBottom w:val="120"/>
                                                  <w:divBdr>
                                                    <w:top w:val="none" w:sz="0" w:space="0" w:color="auto"/>
                                                    <w:left w:val="none" w:sz="0" w:space="0" w:color="auto"/>
                                                    <w:bottom w:val="none" w:sz="0" w:space="0" w:color="auto"/>
                                                    <w:right w:val="none" w:sz="0" w:space="0" w:color="auto"/>
                                                  </w:divBdr>
                                                </w:div>
                                                <w:div w:id="158790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01444530">
                                                      <w:blockQuote w:val="1"/>
                                                      <w:marLeft w:val="600"/>
                                                      <w:marRight w:val="0"/>
                                                      <w:marTop w:val="120"/>
                                                      <w:marBottom w:val="120"/>
                                                      <w:divBdr>
                                                        <w:top w:val="none" w:sz="0" w:space="0" w:color="auto"/>
                                                        <w:left w:val="none" w:sz="0" w:space="0" w:color="auto"/>
                                                        <w:bottom w:val="none" w:sz="0" w:space="0" w:color="auto"/>
                                                        <w:right w:val="none" w:sz="0" w:space="0" w:color="auto"/>
                                                      </w:divBdr>
                                                    </w:div>
                                                    <w:div w:id="95691348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88134867">
                                                  <w:blockQuote w:val="1"/>
                                                  <w:marLeft w:val="600"/>
                                                  <w:marRight w:val="0"/>
                                                  <w:marTop w:val="120"/>
                                                  <w:marBottom w:val="120"/>
                                                  <w:divBdr>
                                                    <w:top w:val="none" w:sz="0" w:space="0" w:color="auto"/>
                                                    <w:left w:val="none" w:sz="0" w:space="0" w:color="auto"/>
                                                    <w:bottom w:val="none" w:sz="0" w:space="0" w:color="auto"/>
                                                    <w:right w:val="none" w:sz="0" w:space="0" w:color="auto"/>
                                                  </w:divBdr>
                                                </w:div>
                                                <w:div w:id="84529398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89487745">
                                                      <w:blockQuote w:val="1"/>
                                                      <w:marLeft w:val="600"/>
                                                      <w:marRight w:val="0"/>
                                                      <w:marTop w:val="120"/>
                                                      <w:marBottom w:val="120"/>
                                                      <w:divBdr>
                                                        <w:top w:val="none" w:sz="0" w:space="0" w:color="auto"/>
                                                        <w:left w:val="none" w:sz="0" w:space="0" w:color="auto"/>
                                                        <w:bottom w:val="none" w:sz="0" w:space="0" w:color="auto"/>
                                                        <w:right w:val="none" w:sz="0" w:space="0" w:color="auto"/>
                                                      </w:divBdr>
                                                    </w:div>
                                                    <w:div w:id="224724644">
                                                      <w:blockQuote w:val="1"/>
                                                      <w:marLeft w:val="600"/>
                                                      <w:marRight w:val="0"/>
                                                      <w:marTop w:val="120"/>
                                                      <w:marBottom w:val="120"/>
                                                      <w:divBdr>
                                                        <w:top w:val="none" w:sz="0" w:space="0" w:color="auto"/>
                                                        <w:left w:val="none" w:sz="0" w:space="0" w:color="auto"/>
                                                        <w:bottom w:val="none" w:sz="0" w:space="0" w:color="auto"/>
                                                        <w:right w:val="none" w:sz="0" w:space="0" w:color="auto"/>
                                                      </w:divBdr>
                                                    </w:div>
                                                    <w:div w:id="10114933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66619338">
                                                  <w:blockQuote w:val="1"/>
                                                  <w:marLeft w:val="600"/>
                                                  <w:marRight w:val="0"/>
                                                  <w:marTop w:val="120"/>
                                                  <w:marBottom w:val="120"/>
                                                  <w:divBdr>
                                                    <w:top w:val="none" w:sz="0" w:space="0" w:color="auto"/>
                                                    <w:left w:val="none" w:sz="0" w:space="0" w:color="auto"/>
                                                    <w:bottom w:val="none" w:sz="0" w:space="0" w:color="auto"/>
                                                    <w:right w:val="none" w:sz="0" w:space="0" w:color="auto"/>
                                                  </w:divBdr>
                                                </w:div>
                                                <w:div w:id="408961699">
                                                  <w:blockQuote w:val="1"/>
                                                  <w:marLeft w:val="0"/>
                                                  <w:marRight w:val="0"/>
                                                  <w:marTop w:val="120"/>
                                                  <w:marBottom w:val="120"/>
                                                  <w:divBdr>
                                                    <w:top w:val="none" w:sz="0" w:space="0" w:color="auto"/>
                                                    <w:left w:val="none" w:sz="0" w:space="0" w:color="auto"/>
                                                    <w:bottom w:val="none" w:sz="0" w:space="0" w:color="auto"/>
                                                    <w:right w:val="none" w:sz="0" w:space="0" w:color="auto"/>
                                                  </w:divBdr>
                                                </w:div>
                                                <w:div w:id="258637627">
                                                  <w:blockQuote w:val="1"/>
                                                  <w:marLeft w:val="600"/>
                                                  <w:marRight w:val="0"/>
                                                  <w:marTop w:val="120"/>
                                                  <w:marBottom w:val="120"/>
                                                  <w:divBdr>
                                                    <w:top w:val="none" w:sz="0" w:space="0" w:color="auto"/>
                                                    <w:left w:val="none" w:sz="0" w:space="0" w:color="auto"/>
                                                    <w:bottom w:val="none" w:sz="0" w:space="0" w:color="auto"/>
                                                    <w:right w:val="none" w:sz="0" w:space="0" w:color="auto"/>
                                                  </w:divBdr>
                                                </w:div>
                                                <w:div w:id="764232444">
                                                  <w:blockQuote w:val="1"/>
                                                  <w:marLeft w:val="600"/>
                                                  <w:marRight w:val="0"/>
                                                  <w:marTop w:val="120"/>
                                                  <w:marBottom w:val="120"/>
                                                  <w:divBdr>
                                                    <w:top w:val="none" w:sz="0" w:space="0" w:color="auto"/>
                                                    <w:left w:val="none" w:sz="0" w:space="0" w:color="auto"/>
                                                    <w:bottom w:val="none" w:sz="0" w:space="0" w:color="auto"/>
                                                    <w:right w:val="none" w:sz="0" w:space="0" w:color="auto"/>
                                                  </w:divBdr>
                                                </w:div>
                                                <w:div w:id="1373578657">
                                                  <w:blockQuote w:val="1"/>
                                                  <w:marLeft w:val="600"/>
                                                  <w:marRight w:val="0"/>
                                                  <w:marTop w:val="120"/>
                                                  <w:marBottom w:val="120"/>
                                                  <w:divBdr>
                                                    <w:top w:val="none" w:sz="0" w:space="0" w:color="auto"/>
                                                    <w:left w:val="none" w:sz="0" w:space="0" w:color="auto"/>
                                                    <w:bottom w:val="none" w:sz="0" w:space="0" w:color="auto"/>
                                                    <w:right w:val="none" w:sz="0" w:space="0" w:color="auto"/>
                                                  </w:divBdr>
                                                </w:div>
                                                <w:div w:id="828791971">
                                                  <w:blockQuote w:val="1"/>
                                                  <w:marLeft w:val="0"/>
                                                  <w:marRight w:val="0"/>
                                                  <w:marTop w:val="120"/>
                                                  <w:marBottom w:val="120"/>
                                                  <w:divBdr>
                                                    <w:top w:val="none" w:sz="0" w:space="0" w:color="auto"/>
                                                    <w:left w:val="none" w:sz="0" w:space="0" w:color="auto"/>
                                                    <w:bottom w:val="none" w:sz="0" w:space="0" w:color="auto"/>
                                                    <w:right w:val="none" w:sz="0" w:space="0" w:color="auto"/>
                                                  </w:divBdr>
                                                </w:div>
                                                <w:div w:id="1880513647">
                                                  <w:blockQuote w:val="1"/>
                                                  <w:marLeft w:val="600"/>
                                                  <w:marRight w:val="0"/>
                                                  <w:marTop w:val="120"/>
                                                  <w:marBottom w:val="120"/>
                                                  <w:divBdr>
                                                    <w:top w:val="none" w:sz="0" w:space="0" w:color="auto"/>
                                                    <w:left w:val="none" w:sz="0" w:space="0" w:color="auto"/>
                                                    <w:bottom w:val="none" w:sz="0" w:space="0" w:color="auto"/>
                                                    <w:right w:val="none" w:sz="0" w:space="0" w:color="auto"/>
                                                  </w:divBdr>
                                                </w:div>
                                                <w:div w:id="971440803">
                                                  <w:blockQuote w:val="1"/>
                                                  <w:marLeft w:val="600"/>
                                                  <w:marRight w:val="0"/>
                                                  <w:marTop w:val="120"/>
                                                  <w:marBottom w:val="120"/>
                                                  <w:divBdr>
                                                    <w:top w:val="none" w:sz="0" w:space="0" w:color="auto"/>
                                                    <w:left w:val="none" w:sz="0" w:space="0" w:color="auto"/>
                                                    <w:bottom w:val="none" w:sz="0" w:space="0" w:color="auto"/>
                                                    <w:right w:val="none" w:sz="0" w:space="0" w:color="auto"/>
                                                  </w:divBdr>
                                                </w:div>
                                                <w:div w:id="9487814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238811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185076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4910130">
                                                  <w:blockQuote w:val="1"/>
                                                  <w:marLeft w:val="600"/>
                                                  <w:marRight w:val="0"/>
                                                  <w:marTop w:val="120"/>
                                                  <w:marBottom w:val="120"/>
                                                  <w:divBdr>
                                                    <w:top w:val="none" w:sz="0" w:space="0" w:color="auto"/>
                                                    <w:left w:val="none" w:sz="0" w:space="0" w:color="auto"/>
                                                    <w:bottom w:val="none" w:sz="0" w:space="0" w:color="auto"/>
                                                    <w:right w:val="none" w:sz="0" w:space="0" w:color="auto"/>
                                                  </w:divBdr>
                                                </w:div>
                                                <w:div w:id="586042891">
                                                  <w:blockQuote w:val="1"/>
                                                  <w:marLeft w:val="600"/>
                                                  <w:marRight w:val="0"/>
                                                  <w:marTop w:val="120"/>
                                                  <w:marBottom w:val="120"/>
                                                  <w:divBdr>
                                                    <w:top w:val="none" w:sz="0" w:space="0" w:color="auto"/>
                                                    <w:left w:val="none" w:sz="0" w:space="0" w:color="auto"/>
                                                    <w:bottom w:val="none" w:sz="0" w:space="0" w:color="auto"/>
                                                    <w:right w:val="none" w:sz="0" w:space="0" w:color="auto"/>
                                                  </w:divBdr>
                                                </w:div>
                                                <w:div w:id="444427635">
                                                  <w:blockQuote w:val="1"/>
                                                  <w:marLeft w:val="600"/>
                                                  <w:marRight w:val="0"/>
                                                  <w:marTop w:val="120"/>
                                                  <w:marBottom w:val="120"/>
                                                  <w:divBdr>
                                                    <w:top w:val="none" w:sz="0" w:space="0" w:color="auto"/>
                                                    <w:left w:val="none" w:sz="0" w:space="0" w:color="auto"/>
                                                    <w:bottom w:val="none" w:sz="0" w:space="0" w:color="auto"/>
                                                    <w:right w:val="none" w:sz="0" w:space="0" w:color="auto"/>
                                                  </w:divBdr>
                                                </w:div>
                                                <w:div w:id="205903995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4576697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4125079">
                                                  <w:blockQuote w:val="1"/>
                                                  <w:marLeft w:val="600"/>
                                                  <w:marRight w:val="0"/>
                                                  <w:marTop w:val="120"/>
                                                  <w:marBottom w:val="120"/>
                                                  <w:divBdr>
                                                    <w:top w:val="none" w:sz="0" w:space="0" w:color="auto"/>
                                                    <w:left w:val="none" w:sz="0" w:space="0" w:color="auto"/>
                                                    <w:bottom w:val="none" w:sz="0" w:space="0" w:color="auto"/>
                                                    <w:right w:val="none" w:sz="0" w:space="0" w:color="auto"/>
                                                  </w:divBdr>
                                                </w:div>
                                                <w:div w:id="675693594">
                                                  <w:blockQuote w:val="1"/>
                                                  <w:marLeft w:val="600"/>
                                                  <w:marRight w:val="0"/>
                                                  <w:marTop w:val="120"/>
                                                  <w:marBottom w:val="120"/>
                                                  <w:divBdr>
                                                    <w:top w:val="none" w:sz="0" w:space="0" w:color="auto"/>
                                                    <w:left w:val="none" w:sz="0" w:space="0" w:color="auto"/>
                                                    <w:bottom w:val="none" w:sz="0" w:space="0" w:color="auto"/>
                                                    <w:right w:val="none" w:sz="0" w:space="0" w:color="auto"/>
                                                  </w:divBdr>
                                                </w:div>
                                                <w:div w:id="603004875">
                                                  <w:blockQuote w:val="1"/>
                                                  <w:marLeft w:val="600"/>
                                                  <w:marRight w:val="0"/>
                                                  <w:marTop w:val="120"/>
                                                  <w:marBottom w:val="120"/>
                                                  <w:divBdr>
                                                    <w:top w:val="none" w:sz="0" w:space="0" w:color="auto"/>
                                                    <w:left w:val="none" w:sz="0" w:space="0" w:color="auto"/>
                                                    <w:bottom w:val="none" w:sz="0" w:space="0" w:color="auto"/>
                                                    <w:right w:val="none" w:sz="0" w:space="0" w:color="auto"/>
                                                  </w:divBdr>
                                                </w:div>
                                                <w:div w:id="1294598192">
                                                  <w:blockQuote w:val="1"/>
                                                  <w:marLeft w:val="600"/>
                                                  <w:marRight w:val="0"/>
                                                  <w:marTop w:val="120"/>
                                                  <w:marBottom w:val="120"/>
                                                  <w:divBdr>
                                                    <w:top w:val="none" w:sz="0" w:space="0" w:color="auto"/>
                                                    <w:left w:val="none" w:sz="0" w:space="0" w:color="auto"/>
                                                    <w:bottom w:val="none" w:sz="0" w:space="0" w:color="auto"/>
                                                    <w:right w:val="none" w:sz="0" w:space="0" w:color="auto"/>
                                                  </w:divBdr>
                                                </w:div>
                                                <w:div w:id="1251500254">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 w:id="1902401434">
                                          <w:marLeft w:val="0"/>
                                          <w:marRight w:val="0"/>
                                          <w:marTop w:val="200"/>
                                          <w:marBottom w:val="200"/>
                                          <w:divBdr>
                                            <w:top w:val="none" w:sz="0" w:space="0" w:color="auto"/>
                                            <w:left w:val="none" w:sz="0" w:space="0" w:color="auto"/>
                                            <w:bottom w:val="none" w:sz="0" w:space="0" w:color="auto"/>
                                            <w:right w:val="none" w:sz="0" w:space="0" w:color="auto"/>
                                          </w:divBdr>
                                        </w:div>
                                        <w:div w:id="201499014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6482395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49363284">
                                                  <w:blockQuote w:val="1"/>
                                                  <w:marLeft w:val="600"/>
                                                  <w:marRight w:val="0"/>
                                                  <w:marTop w:val="120"/>
                                                  <w:marBottom w:val="120"/>
                                                  <w:divBdr>
                                                    <w:top w:val="none" w:sz="0" w:space="0" w:color="auto"/>
                                                    <w:left w:val="none" w:sz="0" w:space="0" w:color="auto"/>
                                                    <w:bottom w:val="none" w:sz="0" w:space="0" w:color="auto"/>
                                                    <w:right w:val="none" w:sz="0" w:space="0" w:color="auto"/>
                                                  </w:divBdr>
                                                </w:div>
                                                <w:div w:id="913861229">
                                                  <w:blockQuote w:val="1"/>
                                                  <w:marLeft w:val="600"/>
                                                  <w:marRight w:val="0"/>
                                                  <w:marTop w:val="120"/>
                                                  <w:marBottom w:val="120"/>
                                                  <w:divBdr>
                                                    <w:top w:val="none" w:sz="0" w:space="0" w:color="auto"/>
                                                    <w:left w:val="none" w:sz="0" w:space="0" w:color="auto"/>
                                                    <w:bottom w:val="none" w:sz="0" w:space="0" w:color="auto"/>
                                                    <w:right w:val="none" w:sz="0" w:space="0" w:color="auto"/>
                                                  </w:divBdr>
                                                </w:div>
                                                <w:div w:id="1822427883">
                                                  <w:blockQuote w:val="1"/>
                                                  <w:marLeft w:val="600"/>
                                                  <w:marRight w:val="0"/>
                                                  <w:marTop w:val="120"/>
                                                  <w:marBottom w:val="120"/>
                                                  <w:divBdr>
                                                    <w:top w:val="none" w:sz="0" w:space="0" w:color="auto"/>
                                                    <w:left w:val="none" w:sz="0" w:space="0" w:color="auto"/>
                                                    <w:bottom w:val="none" w:sz="0" w:space="0" w:color="auto"/>
                                                    <w:right w:val="none" w:sz="0" w:space="0" w:color="auto"/>
                                                  </w:divBdr>
                                                </w:div>
                                                <w:div w:id="1792165263">
                                                  <w:blockQuote w:val="1"/>
                                                  <w:marLeft w:val="600"/>
                                                  <w:marRight w:val="0"/>
                                                  <w:marTop w:val="120"/>
                                                  <w:marBottom w:val="120"/>
                                                  <w:divBdr>
                                                    <w:top w:val="none" w:sz="0" w:space="0" w:color="auto"/>
                                                    <w:left w:val="none" w:sz="0" w:space="0" w:color="auto"/>
                                                    <w:bottom w:val="none" w:sz="0" w:space="0" w:color="auto"/>
                                                    <w:right w:val="none" w:sz="0" w:space="0" w:color="auto"/>
                                                  </w:divBdr>
                                                </w:div>
                                                <w:div w:id="39755670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3271346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5728652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4607706">
                                              <w:blockQuote w:val="1"/>
                                              <w:marLeft w:val="600"/>
                                              <w:marRight w:val="0"/>
                                              <w:marTop w:val="120"/>
                                              <w:marBottom w:val="120"/>
                                              <w:divBdr>
                                                <w:top w:val="none" w:sz="0" w:space="0" w:color="auto"/>
                                                <w:left w:val="none" w:sz="0" w:space="0" w:color="auto"/>
                                                <w:bottom w:val="none" w:sz="0" w:space="0" w:color="auto"/>
                                                <w:right w:val="none" w:sz="0" w:space="0" w:color="auto"/>
                                              </w:divBdr>
                                            </w:div>
                                            <w:div w:id="82797493">
                                              <w:blockQuote w:val="1"/>
                                              <w:marLeft w:val="600"/>
                                              <w:marRight w:val="0"/>
                                              <w:marTop w:val="120"/>
                                              <w:marBottom w:val="120"/>
                                              <w:divBdr>
                                                <w:top w:val="none" w:sz="0" w:space="0" w:color="auto"/>
                                                <w:left w:val="none" w:sz="0" w:space="0" w:color="auto"/>
                                                <w:bottom w:val="none" w:sz="0" w:space="0" w:color="auto"/>
                                                <w:right w:val="none" w:sz="0" w:space="0" w:color="auto"/>
                                              </w:divBdr>
                                            </w:div>
                                            <w:div w:id="1029719118">
                                              <w:blockQuote w:val="1"/>
                                              <w:marLeft w:val="600"/>
                                              <w:marRight w:val="0"/>
                                              <w:marTop w:val="120"/>
                                              <w:marBottom w:val="120"/>
                                              <w:divBdr>
                                                <w:top w:val="none" w:sz="0" w:space="0" w:color="auto"/>
                                                <w:left w:val="none" w:sz="0" w:space="0" w:color="auto"/>
                                                <w:bottom w:val="none" w:sz="0" w:space="0" w:color="auto"/>
                                                <w:right w:val="none" w:sz="0" w:space="0" w:color="auto"/>
                                              </w:divBdr>
                                            </w:div>
                                            <w:div w:id="2068257877">
                                              <w:blockQuote w:val="1"/>
                                              <w:marLeft w:val="600"/>
                                              <w:marRight w:val="0"/>
                                              <w:marTop w:val="120"/>
                                              <w:marBottom w:val="120"/>
                                              <w:divBdr>
                                                <w:top w:val="none" w:sz="0" w:space="0" w:color="auto"/>
                                                <w:left w:val="none" w:sz="0" w:space="0" w:color="auto"/>
                                                <w:bottom w:val="none" w:sz="0" w:space="0" w:color="auto"/>
                                                <w:right w:val="none" w:sz="0" w:space="0" w:color="auto"/>
                                              </w:divBdr>
                                            </w:div>
                                            <w:div w:id="777563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2786824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420814">
                                              <w:blockQuote w:val="1"/>
                                              <w:marLeft w:val="600"/>
                                              <w:marRight w:val="0"/>
                                              <w:marTop w:val="120"/>
                                              <w:marBottom w:val="120"/>
                                              <w:divBdr>
                                                <w:top w:val="none" w:sz="0" w:space="0" w:color="auto"/>
                                                <w:left w:val="none" w:sz="0" w:space="0" w:color="auto"/>
                                                <w:bottom w:val="none" w:sz="0" w:space="0" w:color="auto"/>
                                                <w:right w:val="none" w:sz="0" w:space="0" w:color="auto"/>
                                              </w:divBdr>
                                            </w:div>
                                            <w:div w:id="516233595">
                                              <w:blockQuote w:val="1"/>
                                              <w:marLeft w:val="600"/>
                                              <w:marRight w:val="0"/>
                                              <w:marTop w:val="120"/>
                                              <w:marBottom w:val="120"/>
                                              <w:divBdr>
                                                <w:top w:val="none" w:sz="0" w:space="0" w:color="auto"/>
                                                <w:left w:val="none" w:sz="0" w:space="0" w:color="auto"/>
                                                <w:bottom w:val="none" w:sz="0" w:space="0" w:color="auto"/>
                                                <w:right w:val="none" w:sz="0" w:space="0" w:color="auto"/>
                                              </w:divBdr>
                                            </w:div>
                                            <w:div w:id="137041928">
                                              <w:blockQuote w:val="1"/>
                                              <w:marLeft w:val="600"/>
                                              <w:marRight w:val="0"/>
                                              <w:marTop w:val="120"/>
                                              <w:marBottom w:val="120"/>
                                              <w:divBdr>
                                                <w:top w:val="none" w:sz="0" w:space="0" w:color="auto"/>
                                                <w:left w:val="none" w:sz="0" w:space="0" w:color="auto"/>
                                                <w:bottom w:val="none" w:sz="0" w:space="0" w:color="auto"/>
                                                <w:right w:val="none" w:sz="0" w:space="0" w:color="auto"/>
                                              </w:divBdr>
                                            </w:div>
                                            <w:div w:id="182715956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6013140">
      <w:bodyDiv w:val="1"/>
      <w:marLeft w:val="0"/>
      <w:marRight w:val="0"/>
      <w:marTop w:val="0"/>
      <w:marBottom w:val="0"/>
      <w:divBdr>
        <w:top w:val="none" w:sz="0" w:space="0" w:color="auto"/>
        <w:left w:val="none" w:sz="0" w:space="0" w:color="auto"/>
        <w:bottom w:val="none" w:sz="0" w:space="0" w:color="auto"/>
        <w:right w:val="none" w:sz="0" w:space="0" w:color="auto"/>
      </w:divBdr>
      <w:divsChild>
        <w:div w:id="1176456446">
          <w:marLeft w:val="0"/>
          <w:marRight w:val="0"/>
          <w:marTop w:val="0"/>
          <w:marBottom w:val="0"/>
          <w:divBdr>
            <w:top w:val="none" w:sz="0" w:space="0" w:color="auto"/>
            <w:left w:val="none" w:sz="0" w:space="0" w:color="auto"/>
            <w:bottom w:val="none" w:sz="0" w:space="0" w:color="auto"/>
            <w:right w:val="none" w:sz="0" w:space="0" w:color="auto"/>
          </w:divBdr>
          <w:divsChild>
            <w:div w:id="1634826550">
              <w:marLeft w:val="0"/>
              <w:marRight w:val="0"/>
              <w:marTop w:val="0"/>
              <w:marBottom w:val="0"/>
              <w:divBdr>
                <w:top w:val="none" w:sz="0" w:space="0" w:color="auto"/>
                <w:left w:val="none" w:sz="0" w:space="0" w:color="auto"/>
                <w:bottom w:val="none" w:sz="0" w:space="0" w:color="auto"/>
                <w:right w:val="none" w:sz="0" w:space="0" w:color="auto"/>
              </w:divBdr>
              <w:divsChild>
                <w:div w:id="1860579664">
                  <w:marLeft w:val="0"/>
                  <w:marRight w:val="0"/>
                  <w:marTop w:val="0"/>
                  <w:marBottom w:val="0"/>
                  <w:divBdr>
                    <w:top w:val="none" w:sz="0" w:space="0" w:color="auto"/>
                    <w:left w:val="none" w:sz="0" w:space="0" w:color="auto"/>
                    <w:bottom w:val="none" w:sz="0" w:space="0" w:color="auto"/>
                    <w:right w:val="none" w:sz="0" w:space="0" w:color="auto"/>
                  </w:divBdr>
                  <w:divsChild>
                    <w:div w:id="1600873952">
                      <w:marLeft w:val="0"/>
                      <w:marRight w:val="0"/>
                      <w:marTop w:val="0"/>
                      <w:marBottom w:val="0"/>
                      <w:divBdr>
                        <w:top w:val="none" w:sz="0" w:space="0" w:color="auto"/>
                        <w:left w:val="none" w:sz="0" w:space="0" w:color="auto"/>
                        <w:bottom w:val="none" w:sz="0" w:space="0" w:color="auto"/>
                        <w:right w:val="none" w:sz="0" w:space="0" w:color="auto"/>
                      </w:divBdr>
                      <w:divsChild>
                        <w:div w:id="1501771759">
                          <w:marLeft w:val="340"/>
                          <w:marRight w:val="0"/>
                          <w:marTop w:val="300"/>
                          <w:marBottom w:val="120"/>
                          <w:divBdr>
                            <w:top w:val="none" w:sz="0" w:space="0" w:color="auto"/>
                            <w:left w:val="none" w:sz="0" w:space="0" w:color="auto"/>
                            <w:bottom w:val="none" w:sz="0" w:space="0" w:color="auto"/>
                            <w:right w:val="none" w:sz="0" w:space="0" w:color="auto"/>
                          </w:divBdr>
                          <w:divsChild>
                            <w:div w:id="841047576">
                              <w:marLeft w:val="0"/>
                              <w:marRight w:val="0"/>
                              <w:marTop w:val="0"/>
                              <w:marBottom w:val="0"/>
                              <w:divBdr>
                                <w:top w:val="none" w:sz="0" w:space="0" w:color="auto"/>
                                <w:left w:val="none" w:sz="0" w:space="0" w:color="auto"/>
                                <w:bottom w:val="none" w:sz="0" w:space="0" w:color="auto"/>
                                <w:right w:val="none" w:sz="0" w:space="0" w:color="auto"/>
                              </w:divBdr>
                              <w:divsChild>
                                <w:div w:id="31064618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2823755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7163998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56115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88896168">
                                                  <w:blockQuote w:val="1"/>
                                                  <w:marLeft w:val="600"/>
                                                  <w:marRight w:val="0"/>
                                                  <w:marTop w:val="120"/>
                                                  <w:marBottom w:val="120"/>
                                                  <w:divBdr>
                                                    <w:top w:val="none" w:sz="0" w:space="0" w:color="auto"/>
                                                    <w:left w:val="none" w:sz="0" w:space="0" w:color="auto"/>
                                                    <w:bottom w:val="none" w:sz="0" w:space="0" w:color="auto"/>
                                                    <w:right w:val="none" w:sz="0" w:space="0" w:color="auto"/>
                                                  </w:divBdr>
                                                </w:div>
                                                <w:div w:id="59729654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9903136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205013">
      <w:bodyDiv w:val="1"/>
      <w:marLeft w:val="0"/>
      <w:marRight w:val="0"/>
      <w:marTop w:val="0"/>
      <w:marBottom w:val="0"/>
      <w:divBdr>
        <w:top w:val="none" w:sz="0" w:space="0" w:color="auto"/>
        <w:left w:val="none" w:sz="0" w:space="0" w:color="auto"/>
        <w:bottom w:val="none" w:sz="0" w:space="0" w:color="auto"/>
        <w:right w:val="none" w:sz="0" w:space="0" w:color="auto"/>
      </w:divBdr>
      <w:divsChild>
        <w:div w:id="104811921">
          <w:marLeft w:val="0"/>
          <w:marRight w:val="0"/>
          <w:marTop w:val="0"/>
          <w:marBottom w:val="0"/>
          <w:divBdr>
            <w:top w:val="none" w:sz="0" w:space="0" w:color="auto"/>
            <w:left w:val="none" w:sz="0" w:space="0" w:color="auto"/>
            <w:bottom w:val="none" w:sz="0" w:space="0" w:color="auto"/>
            <w:right w:val="none" w:sz="0" w:space="0" w:color="auto"/>
          </w:divBdr>
          <w:divsChild>
            <w:div w:id="1365398544">
              <w:marLeft w:val="0"/>
              <w:marRight w:val="0"/>
              <w:marTop w:val="0"/>
              <w:marBottom w:val="0"/>
              <w:divBdr>
                <w:top w:val="none" w:sz="0" w:space="0" w:color="auto"/>
                <w:left w:val="none" w:sz="0" w:space="0" w:color="auto"/>
                <w:bottom w:val="none" w:sz="0" w:space="0" w:color="auto"/>
                <w:right w:val="none" w:sz="0" w:space="0" w:color="auto"/>
              </w:divBdr>
              <w:divsChild>
                <w:div w:id="1370688918">
                  <w:marLeft w:val="0"/>
                  <w:marRight w:val="0"/>
                  <w:marTop w:val="0"/>
                  <w:marBottom w:val="0"/>
                  <w:divBdr>
                    <w:top w:val="none" w:sz="0" w:space="0" w:color="auto"/>
                    <w:left w:val="none" w:sz="0" w:space="0" w:color="auto"/>
                    <w:bottom w:val="none" w:sz="0" w:space="0" w:color="auto"/>
                    <w:right w:val="none" w:sz="0" w:space="0" w:color="auto"/>
                  </w:divBdr>
                  <w:divsChild>
                    <w:div w:id="1172530208">
                      <w:marLeft w:val="0"/>
                      <w:marRight w:val="0"/>
                      <w:marTop w:val="0"/>
                      <w:marBottom w:val="0"/>
                      <w:divBdr>
                        <w:top w:val="none" w:sz="0" w:space="0" w:color="auto"/>
                        <w:left w:val="none" w:sz="0" w:space="0" w:color="auto"/>
                        <w:bottom w:val="none" w:sz="0" w:space="0" w:color="auto"/>
                        <w:right w:val="none" w:sz="0" w:space="0" w:color="auto"/>
                      </w:divBdr>
                      <w:divsChild>
                        <w:div w:id="1391657789">
                          <w:marLeft w:val="340"/>
                          <w:marRight w:val="0"/>
                          <w:marTop w:val="300"/>
                          <w:marBottom w:val="120"/>
                          <w:divBdr>
                            <w:top w:val="none" w:sz="0" w:space="0" w:color="auto"/>
                            <w:left w:val="none" w:sz="0" w:space="0" w:color="auto"/>
                            <w:bottom w:val="none" w:sz="0" w:space="0" w:color="auto"/>
                            <w:right w:val="none" w:sz="0" w:space="0" w:color="auto"/>
                          </w:divBdr>
                          <w:divsChild>
                            <w:div w:id="502404156">
                              <w:marLeft w:val="0"/>
                              <w:marRight w:val="0"/>
                              <w:marTop w:val="0"/>
                              <w:marBottom w:val="0"/>
                              <w:divBdr>
                                <w:top w:val="none" w:sz="0" w:space="0" w:color="auto"/>
                                <w:left w:val="none" w:sz="0" w:space="0" w:color="auto"/>
                                <w:bottom w:val="none" w:sz="0" w:space="0" w:color="auto"/>
                                <w:right w:val="none" w:sz="0" w:space="0" w:color="auto"/>
                              </w:divBdr>
                              <w:divsChild>
                                <w:div w:id="151279662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331208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1855936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85676764">
                                              <w:blockQuote w:val="1"/>
                                              <w:marLeft w:val="600"/>
                                              <w:marRight w:val="0"/>
                                              <w:marTop w:val="120"/>
                                              <w:marBottom w:val="120"/>
                                              <w:divBdr>
                                                <w:top w:val="none" w:sz="0" w:space="0" w:color="auto"/>
                                                <w:left w:val="none" w:sz="0" w:space="0" w:color="auto"/>
                                                <w:bottom w:val="none" w:sz="0" w:space="0" w:color="auto"/>
                                                <w:right w:val="none" w:sz="0" w:space="0" w:color="auto"/>
                                              </w:divBdr>
                                            </w:div>
                                            <w:div w:id="109559458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46080539">
                                                  <w:blockQuote w:val="1"/>
                                                  <w:marLeft w:val="600"/>
                                                  <w:marRight w:val="0"/>
                                                  <w:marTop w:val="120"/>
                                                  <w:marBottom w:val="120"/>
                                                  <w:divBdr>
                                                    <w:top w:val="none" w:sz="0" w:space="0" w:color="auto"/>
                                                    <w:left w:val="none" w:sz="0" w:space="0" w:color="auto"/>
                                                    <w:bottom w:val="none" w:sz="0" w:space="0" w:color="auto"/>
                                                    <w:right w:val="none" w:sz="0" w:space="0" w:color="auto"/>
                                                  </w:divBdr>
                                                </w:div>
                                                <w:div w:id="142803943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591971">
      <w:bodyDiv w:val="1"/>
      <w:marLeft w:val="0"/>
      <w:marRight w:val="0"/>
      <w:marTop w:val="0"/>
      <w:marBottom w:val="0"/>
      <w:divBdr>
        <w:top w:val="none" w:sz="0" w:space="0" w:color="auto"/>
        <w:left w:val="none" w:sz="0" w:space="0" w:color="auto"/>
        <w:bottom w:val="none" w:sz="0" w:space="0" w:color="auto"/>
        <w:right w:val="none" w:sz="0" w:space="0" w:color="auto"/>
      </w:divBdr>
      <w:divsChild>
        <w:div w:id="1415667764">
          <w:marLeft w:val="0"/>
          <w:marRight w:val="0"/>
          <w:marTop w:val="0"/>
          <w:marBottom w:val="0"/>
          <w:divBdr>
            <w:top w:val="none" w:sz="0" w:space="0" w:color="auto"/>
            <w:left w:val="none" w:sz="0" w:space="0" w:color="auto"/>
            <w:bottom w:val="none" w:sz="0" w:space="0" w:color="auto"/>
            <w:right w:val="none" w:sz="0" w:space="0" w:color="auto"/>
          </w:divBdr>
          <w:divsChild>
            <w:div w:id="183641760">
              <w:marLeft w:val="0"/>
              <w:marRight w:val="0"/>
              <w:marTop w:val="0"/>
              <w:marBottom w:val="0"/>
              <w:divBdr>
                <w:top w:val="none" w:sz="0" w:space="0" w:color="auto"/>
                <w:left w:val="none" w:sz="0" w:space="0" w:color="auto"/>
                <w:bottom w:val="none" w:sz="0" w:space="0" w:color="auto"/>
                <w:right w:val="none" w:sz="0" w:space="0" w:color="auto"/>
              </w:divBdr>
              <w:divsChild>
                <w:div w:id="496270712">
                  <w:marLeft w:val="0"/>
                  <w:marRight w:val="0"/>
                  <w:marTop w:val="0"/>
                  <w:marBottom w:val="0"/>
                  <w:divBdr>
                    <w:top w:val="none" w:sz="0" w:space="0" w:color="auto"/>
                    <w:left w:val="none" w:sz="0" w:space="0" w:color="auto"/>
                    <w:bottom w:val="none" w:sz="0" w:space="0" w:color="auto"/>
                    <w:right w:val="none" w:sz="0" w:space="0" w:color="auto"/>
                  </w:divBdr>
                  <w:divsChild>
                    <w:div w:id="258802879">
                      <w:marLeft w:val="0"/>
                      <w:marRight w:val="0"/>
                      <w:marTop w:val="0"/>
                      <w:marBottom w:val="0"/>
                      <w:divBdr>
                        <w:top w:val="none" w:sz="0" w:space="0" w:color="auto"/>
                        <w:left w:val="none" w:sz="0" w:space="0" w:color="auto"/>
                        <w:bottom w:val="none" w:sz="0" w:space="0" w:color="auto"/>
                        <w:right w:val="none" w:sz="0" w:space="0" w:color="auto"/>
                      </w:divBdr>
                      <w:divsChild>
                        <w:div w:id="1811357598">
                          <w:marLeft w:val="340"/>
                          <w:marRight w:val="0"/>
                          <w:marTop w:val="300"/>
                          <w:marBottom w:val="120"/>
                          <w:divBdr>
                            <w:top w:val="none" w:sz="0" w:space="0" w:color="auto"/>
                            <w:left w:val="none" w:sz="0" w:space="0" w:color="auto"/>
                            <w:bottom w:val="none" w:sz="0" w:space="0" w:color="auto"/>
                            <w:right w:val="none" w:sz="0" w:space="0" w:color="auto"/>
                          </w:divBdr>
                          <w:divsChild>
                            <w:div w:id="378625417">
                              <w:marLeft w:val="0"/>
                              <w:marRight w:val="0"/>
                              <w:marTop w:val="0"/>
                              <w:marBottom w:val="0"/>
                              <w:divBdr>
                                <w:top w:val="none" w:sz="0" w:space="0" w:color="auto"/>
                                <w:left w:val="none" w:sz="0" w:space="0" w:color="auto"/>
                                <w:bottom w:val="none" w:sz="0" w:space="0" w:color="auto"/>
                                <w:right w:val="none" w:sz="0" w:space="0" w:color="auto"/>
                              </w:divBdr>
                              <w:divsChild>
                                <w:div w:id="37966988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8476071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61442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6471244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25062599">
                                                  <w:blockQuote w:val="1"/>
                                                  <w:marLeft w:val="0"/>
                                                  <w:marRight w:val="0"/>
                                                  <w:marTop w:val="120"/>
                                                  <w:marBottom w:val="120"/>
                                                  <w:divBdr>
                                                    <w:top w:val="none" w:sz="0" w:space="0" w:color="auto"/>
                                                    <w:left w:val="none" w:sz="0" w:space="0" w:color="auto"/>
                                                    <w:bottom w:val="none" w:sz="0" w:space="0" w:color="auto"/>
                                                    <w:right w:val="none" w:sz="0" w:space="0" w:color="auto"/>
                                                  </w:divBdr>
                                                </w:div>
                                                <w:div w:id="974607101">
                                                  <w:blockQuote w:val="1"/>
                                                  <w:marLeft w:val="600"/>
                                                  <w:marRight w:val="0"/>
                                                  <w:marTop w:val="120"/>
                                                  <w:marBottom w:val="120"/>
                                                  <w:divBdr>
                                                    <w:top w:val="none" w:sz="0" w:space="0" w:color="auto"/>
                                                    <w:left w:val="none" w:sz="0" w:space="0" w:color="auto"/>
                                                    <w:bottom w:val="none" w:sz="0" w:space="0" w:color="auto"/>
                                                    <w:right w:val="none" w:sz="0" w:space="0" w:color="auto"/>
                                                  </w:divBdr>
                                                </w:div>
                                                <w:div w:id="1445492007">
                                                  <w:blockQuote w:val="1"/>
                                                  <w:marLeft w:val="600"/>
                                                  <w:marRight w:val="0"/>
                                                  <w:marTop w:val="120"/>
                                                  <w:marBottom w:val="120"/>
                                                  <w:divBdr>
                                                    <w:top w:val="none" w:sz="0" w:space="0" w:color="auto"/>
                                                    <w:left w:val="none" w:sz="0" w:space="0" w:color="auto"/>
                                                    <w:bottom w:val="none" w:sz="0" w:space="0" w:color="auto"/>
                                                    <w:right w:val="none" w:sz="0" w:space="0" w:color="auto"/>
                                                  </w:divBdr>
                                                </w:div>
                                                <w:div w:id="364865461">
                                                  <w:blockQuote w:val="1"/>
                                                  <w:marLeft w:val="600"/>
                                                  <w:marRight w:val="0"/>
                                                  <w:marTop w:val="120"/>
                                                  <w:marBottom w:val="120"/>
                                                  <w:divBdr>
                                                    <w:top w:val="none" w:sz="0" w:space="0" w:color="auto"/>
                                                    <w:left w:val="none" w:sz="0" w:space="0" w:color="auto"/>
                                                    <w:bottom w:val="none" w:sz="0" w:space="0" w:color="auto"/>
                                                    <w:right w:val="none" w:sz="0" w:space="0" w:color="auto"/>
                                                  </w:divBdr>
                                                </w:div>
                                                <w:div w:id="935791846">
                                                  <w:blockQuote w:val="1"/>
                                                  <w:marLeft w:val="600"/>
                                                  <w:marRight w:val="0"/>
                                                  <w:marTop w:val="120"/>
                                                  <w:marBottom w:val="120"/>
                                                  <w:divBdr>
                                                    <w:top w:val="none" w:sz="0" w:space="0" w:color="auto"/>
                                                    <w:left w:val="none" w:sz="0" w:space="0" w:color="auto"/>
                                                    <w:bottom w:val="none" w:sz="0" w:space="0" w:color="auto"/>
                                                    <w:right w:val="none" w:sz="0" w:space="0" w:color="auto"/>
                                                  </w:divBdr>
                                                </w:div>
                                                <w:div w:id="1719667673">
                                                  <w:blockQuote w:val="1"/>
                                                  <w:marLeft w:val="600"/>
                                                  <w:marRight w:val="0"/>
                                                  <w:marTop w:val="120"/>
                                                  <w:marBottom w:val="120"/>
                                                  <w:divBdr>
                                                    <w:top w:val="none" w:sz="0" w:space="0" w:color="auto"/>
                                                    <w:left w:val="none" w:sz="0" w:space="0" w:color="auto"/>
                                                    <w:bottom w:val="none" w:sz="0" w:space="0" w:color="auto"/>
                                                    <w:right w:val="none" w:sz="0" w:space="0" w:color="auto"/>
                                                  </w:divBdr>
                                                </w:div>
                                                <w:div w:id="244805004">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6182368">
      <w:bodyDiv w:val="1"/>
      <w:marLeft w:val="0"/>
      <w:marRight w:val="0"/>
      <w:marTop w:val="0"/>
      <w:marBottom w:val="0"/>
      <w:divBdr>
        <w:top w:val="none" w:sz="0" w:space="0" w:color="auto"/>
        <w:left w:val="none" w:sz="0" w:space="0" w:color="auto"/>
        <w:bottom w:val="none" w:sz="0" w:space="0" w:color="auto"/>
        <w:right w:val="none" w:sz="0" w:space="0" w:color="auto"/>
      </w:divBdr>
      <w:divsChild>
        <w:div w:id="1432775286">
          <w:marLeft w:val="0"/>
          <w:marRight w:val="0"/>
          <w:marTop w:val="0"/>
          <w:marBottom w:val="0"/>
          <w:divBdr>
            <w:top w:val="none" w:sz="0" w:space="0" w:color="auto"/>
            <w:left w:val="none" w:sz="0" w:space="0" w:color="auto"/>
            <w:bottom w:val="none" w:sz="0" w:space="0" w:color="auto"/>
            <w:right w:val="none" w:sz="0" w:space="0" w:color="auto"/>
          </w:divBdr>
          <w:divsChild>
            <w:div w:id="228927186">
              <w:marLeft w:val="0"/>
              <w:marRight w:val="0"/>
              <w:marTop w:val="0"/>
              <w:marBottom w:val="0"/>
              <w:divBdr>
                <w:top w:val="none" w:sz="0" w:space="0" w:color="auto"/>
                <w:left w:val="none" w:sz="0" w:space="0" w:color="auto"/>
                <w:bottom w:val="none" w:sz="0" w:space="0" w:color="auto"/>
                <w:right w:val="none" w:sz="0" w:space="0" w:color="auto"/>
              </w:divBdr>
              <w:divsChild>
                <w:div w:id="1514765548">
                  <w:marLeft w:val="0"/>
                  <w:marRight w:val="0"/>
                  <w:marTop w:val="0"/>
                  <w:marBottom w:val="0"/>
                  <w:divBdr>
                    <w:top w:val="none" w:sz="0" w:space="0" w:color="auto"/>
                    <w:left w:val="none" w:sz="0" w:space="0" w:color="auto"/>
                    <w:bottom w:val="none" w:sz="0" w:space="0" w:color="auto"/>
                    <w:right w:val="none" w:sz="0" w:space="0" w:color="auto"/>
                  </w:divBdr>
                  <w:divsChild>
                    <w:div w:id="456140608">
                      <w:marLeft w:val="0"/>
                      <w:marRight w:val="0"/>
                      <w:marTop w:val="0"/>
                      <w:marBottom w:val="0"/>
                      <w:divBdr>
                        <w:top w:val="none" w:sz="0" w:space="0" w:color="auto"/>
                        <w:left w:val="none" w:sz="0" w:space="0" w:color="auto"/>
                        <w:bottom w:val="none" w:sz="0" w:space="0" w:color="auto"/>
                        <w:right w:val="none" w:sz="0" w:space="0" w:color="auto"/>
                      </w:divBdr>
                      <w:divsChild>
                        <w:div w:id="865290973">
                          <w:marLeft w:val="340"/>
                          <w:marRight w:val="0"/>
                          <w:marTop w:val="300"/>
                          <w:marBottom w:val="120"/>
                          <w:divBdr>
                            <w:top w:val="none" w:sz="0" w:space="0" w:color="auto"/>
                            <w:left w:val="none" w:sz="0" w:space="0" w:color="auto"/>
                            <w:bottom w:val="none" w:sz="0" w:space="0" w:color="auto"/>
                            <w:right w:val="none" w:sz="0" w:space="0" w:color="auto"/>
                          </w:divBdr>
                          <w:divsChild>
                            <w:div w:id="2141218254">
                              <w:marLeft w:val="0"/>
                              <w:marRight w:val="0"/>
                              <w:marTop w:val="0"/>
                              <w:marBottom w:val="0"/>
                              <w:divBdr>
                                <w:top w:val="none" w:sz="0" w:space="0" w:color="auto"/>
                                <w:left w:val="none" w:sz="0" w:space="0" w:color="auto"/>
                                <w:bottom w:val="none" w:sz="0" w:space="0" w:color="auto"/>
                                <w:right w:val="none" w:sz="0" w:space="0" w:color="auto"/>
                              </w:divBdr>
                              <w:divsChild>
                                <w:div w:id="173712764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7561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4145627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21452107">
                                              <w:blockQuote w:val="1"/>
                                              <w:marLeft w:val="600"/>
                                              <w:marRight w:val="0"/>
                                              <w:marTop w:val="120"/>
                                              <w:marBottom w:val="120"/>
                                              <w:divBdr>
                                                <w:top w:val="none" w:sz="0" w:space="0" w:color="auto"/>
                                                <w:left w:val="none" w:sz="0" w:space="0" w:color="auto"/>
                                                <w:bottom w:val="none" w:sz="0" w:space="0" w:color="auto"/>
                                                <w:right w:val="none" w:sz="0" w:space="0" w:color="auto"/>
                                              </w:divBdr>
                                            </w:div>
                                            <w:div w:id="4850252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25764016">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80503">
      <w:bodyDiv w:val="1"/>
      <w:marLeft w:val="0"/>
      <w:marRight w:val="0"/>
      <w:marTop w:val="0"/>
      <w:marBottom w:val="0"/>
      <w:divBdr>
        <w:top w:val="none" w:sz="0" w:space="0" w:color="auto"/>
        <w:left w:val="none" w:sz="0" w:space="0" w:color="auto"/>
        <w:bottom w:val="none" w:sz="0" w:space="0" w:color="auto"/>
        <w:right w:val="none" w:sz="0" w:space="0" w:color="auto"/>
      </w:divBdr>
      <w:divsChild>
        <w:div w:id="223415919">
          <w:marLeft w:val="0"/>
          <w:marRight w:val="0"/>
          <w:marTop w:val="0"/>
          <w:marBottom w:val="0"/>
          <w:divBdr>
            <w:top w:val="none" w:sz="0" w:space="0" w:color="auto"/>
            <w:left w:val="none" w:sz="0" w:space="0" w:color="auto"/>
            <w:bottom w:val="none" w:sz="0" w:space="0" w:color="auto"/>
            <w:right w:val="none" w:sz="0" w:space="0" w:color="auto"/>
          </w:divBdr>
          <w:divsChild>
            <w:div w:id="1798916198">
              <w:marLeft w:val="0"/>
              <w:marRight w:val="0"/>
              <w:marTop w:val="0"/>
              <w:marBottom w:val="0"/>
              <w:divBdr>
                <w:top w:val="none" w:sz="0" w:space="0" w:color="auto"/>
                <w:left w:val="none" w:sz="0" w:space="0" w:color="auto"/>
                <w:bottom w:val="none" w:sz="0" w:space="0" w:color="auto"/>
                <w:right w:val="none" w:sz="0" w:space="0" w:color="auto"/>
              </w:divBdr>
              <w:divsChild>
                <w:div w:id="1551645036">
                  <w:marLeft w:val="0"/>
                  <w:marRight w:val="0"/>
                  <w:marTop w:val="0"/>
                  <w:marBottom w:val="0"/>
                  <w:divBdr>
                    <w:top w:val="none" w:sz="0" w:space="0" w:color="auto"/>
                    <w:left w:val="none" w:sz="0" w:space="0" w:color="auto"/>
                    <w:bottom w:val="none" w:sz="0" w:space="0" w:color="auto"/>
                    <w:right w:val="none" w:sz="0" w:space="0" w:color="auto"/>
                  </w:divBdr>
                  <w:divsChild>
                    <w:div w:id="1070268739">
                      <w:marLeft w:val="0"/>
                      <w:marRight w:val="0"/>
                      <w:marTop w:val="0"/>
                      <w:marBottom w:val="0"/>
                      <w:divBdr>
                        <w:top w:val="none" w:sz="0" w:space="0" w:color="auto"/>
                        <w:left w:val="none" w:sz="0" w:space="0" w:color="auto"/>
                        <w:bottom w:val="none" w:sz="0" w:space="0" w:color="auto"/>
                        <w:right w:val="none" w:sz="0" w:space="0" w:color="auto"/>
                      </w:divBdr>
                      <w:divsChild>
                        <w:div w:id="12221293">
                          <w:marLeft w:val="340"/>
                          <w:marRight w:val="0"/>
                          <w:marTop w:val="300"/>
                          <w:marBottom w:val="120"/>
                          <w:divBdr>
                            <w:top w:val="none" w:sz="0" w:space="0" w:color="auto"/>
                            <w:left w:val="none" w:sz="0" w:space="0" w:color="auto"/>
                            <w:bottom w:val="none" w:sz="0" w:space="0" w:color="auto"/>
                            <w:right w:val="none" w:sz="0" w:space="0" w:color="auto"/>
                          </w:divBdr>
                          <w:divsChild>
                            <w:div w:id="211775612">
                              <w:marLeft w:val="0"/>
                              <w:marRight w:val="0"/>
                              <w:marTop w:val="0"/>
                              <w:marBottom w:val="0"/>
                              <w:divBdr>
                                <w:top w:val="none" w:sz="0" w:space="0" w:color="auto"/>
                                <w:left w:val="none" w:sz="0" w:space="0" w:color="auto"/>
                                <w:bottom w:val="none" w:sz="0" w:space="0" w:color="auto"/>
                                <w:right w:val="none" w:sz="0" w:space="0" w:color="auto"/>
                              </w:divBdr>
                              <w:divsChild>
                                <w:div w:id="135823829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1000008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2362087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26917320">
                                              <w:blockQuote w:val="1"/>
                                              <w:marLeft w:val="600"/>
                                              <w:marRight w:val="0"/>
                                              <w:marTop w:val="120"/>
                                              <w:marBottom w:val="120"/>
                                              <w:divBdr>
                                                <w:top w:val="none" w:sz="0" w:space="0" w:color="auto"/>
                                                <w:left w:val="none" w:sz="0" w:space="0" w:color="auto"/>
                                                <w:bottom w:val="none" w:sz="0" w:space="0" w:color="auto"/>
                                                <w:right w:val="none" w:sz="0" w:space="0" w:color="auto"/>
                                              </w:divBdr>
                                            </w:div>
                                            <w:div w:id="133460094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3798639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85300088">
                                              <w:blockQuote w:val="1"/>
                                              <w:marLeft w:val="600"/>
                                              <w:marRight w:val="0"/>
                                              <w:marTop w:val="120"/>
                                              <w:marBottom w:val="120"/>
                                              <w:divBdr>
                                                <w:top w:val="none" w:sz="0" w:space="0" w:color="auto"/>
                                                <w:left w:val="none" w:sz="0" w:space="0" w:color="auto"/>
                                                <w:bottom w:val="none" w:sz="0" w:space="0" w:color="auto"/>
                                                <w:right w:val="none" w:sz="0" w:space="0" w:color="auto"/>
                                              </w:divBdr>
                                            </w:div>
                                            <w:div w:id="15398555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333619">
      <w:bodyDiv w:val="1"/>
      <w:marLeft w:val="0"/>
      <w:marRight w:val="0"/>
      <w:marTop w:val="0"/>
      <w:marBottom w:val="0"/>
      <w:divBdr>
        <w:top w:val="none" w:sz="0" w:space="0" w:color="auto"/>
        <w:left w:val="none" w:sz="0" w:space="0" w:color="auto"/>
        <w:bottom w:val="none" w:sz="0" w:space="0" w:color="auto"/>
        <w:right w:val="none" w:sz="0" w:space="0" w:color="auto"/>
      </w:divBdr>
      <w:divsChild>
        <w:div w:id="1363821818">
          <w:marLeft w:val="0"/>
          <w:marRight w:val="0"/>
          <w:marTop w:val="0"/>
          <w:marBottom w:val="0"/>
          <w:divBdr>
            <w:top w:val="none" w:sz="0" w:space="0" w:color="auto"/>
            <w:left w:val="none" w:sz="0" w:space="0" w:color="auto"/>
            <w:bottom w:val="none" w:sz="0" w:space="0" w:color="auto"/>
            <w:right w:val="none" w:sz="0" w:space="0" w:color="auto"/>
          </w:divBdr>
          <w:divsChild>
            <w:div w:id="952247237">
              <w:marLeft w:val="0"/>
              <w:marRight w:val="0"/>
              <w:marTop w:val="0"/>
              <w:marBottom w:val="0"/>
              <w:divBdr>
                <w:top w:val="none" w:sz="0" w:space="0" w:color="auto"/>
                <w:left w:val="none" w:sz="0" w:space="0" w:color="auto"/>
                <w:bottom w:val="none" w:sz="0" w:space="0" w:color="auto"/>
                <w:right w:val="none" w:sz="0" w:space="0" w:color="auto"/>
              </w:divBdr>
              <w:divsChild>
                <w:div w:id="108015611">
                  <w:marLeft w:val="0"/>
                  <w:marRight w:val="0"/>
                  <w:marTop w:val="0"/>
                  <w:marBottom w:val="0"/>
                  <w:divBdr>
                    <w:top w:val="none" w:sz="0" w:space="0" w:color="auto"/>
                    <w:left w:val="none" w:sz="0" w:space="0" w:color="auto"/>
                    <w:bottom w:val="none" w:sz="0" w:space="0" w:color="auto"/>
                    <w:right w:val="none" w:sz="0" w:space="0" w:color="auto"/>
                  </w:divBdr>
                  <w:divsChild>
                    <w:div w:id="283778620">
                      <w:marLeft w:val="0"/>
                      <w:marRight w:val="0"/>
                      <w:marTop w:val="0"/>
                      <w:marBottom w:val="0"/>
                      <w:divBdr>
                        <w:top w:val="none" w:sz="0" w:space="0" w:color="auto"/>
                        <w:left w:val="none" w:sz="0" w:space="0" w:color="auto"/>
                        <w:bottom w:val="none" w:sz="0" w:space="0" w:color="auto"/>
                        <w:right w:val="none" w:sz="0" w:space="0" w:color="auto"/>
                      </w:divBdr>
                      <w:divsChild>
                        <w:div w:id="1712605723">
                          <w:marLeft w:val="0"/>
                          <w:marRight w:val="0"/>
                          <w:marTop w:val="0"/>
                          <w:marBottom w:val="0"/>
                          <w:divBdr>
                            <w:top w:val="none" w:sz="0" w:space="0" w:color="auto"/>
                            <w:left w:val="none" w:sz="0" w:space="0" w:color="auto"/>
                            <w:bottom w:val="none" w:sz="0" w:space="0" w:color="auto"/>
                            <w:right w:val="none" w:sz="0" w:space="0" w:color="auto"/>
                          </w:divBdr>
                          <w:divsChild>
                            <w:div w:id="802885322">
                              <w:marLeft w:val="0"/>
                              <w:marRight w:val="0"/>
                              <w:marTop w:val="0"/>
                              <w:marBottom w:val="0"/>
                              <w:divBdr>
                                <w:top w:val="none" w:sz="0" w:space="0" w:color="auto"/>
                                <w:left w:val="none" w:sz="0" w:space="0" w:color="auto"/>
                                <w:bottom w:val="none" w:sz="0" w:space="0" w:color="auto"/>
                                <w:right w:val="none" w:sz="0" w:space="0" w:color="auto"/>
                              </w:divBdr>
                              <w:divsChild>
                                <w:div w:id="617109388">
                                  <w:marLeft w:val="600"/>
                                  <w:marRight w:val="0"/>
                                  <w:marTop w:val="0"/>
                                  <w:marBottom w:val="0"/>
                                  <w:divBdr>
                                    <w:top w:val="none" w:sz="0" w:space="0" w:color="auto"/>
                                    <w:left w:val="none" w:sz="0" w:space="0" w:color="auto"/>
                                    <w:bottom w:val="none" w:sz="0" w:space="0" w:color="auto"/>
                                    <w:right w:val="none" w:sz="0" w:space="0" w:color="auto"/>
                                  </w:divBdr>
                                  <w:divsChild>
                                    <w:div w:id="2557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655536">
      <w:bodyDiv w:val="1"/>
      <w:marLeft w:val="0"/>
      <w:marRight w:val="0"/>
      <w:marTop w:val="0"/>
      <w:marBottom w:val="0"/>
      <w:divBdr>
        <w:top w:val="none" w:sz="0" w:space="0" w:color="auto"/>
        <w:left w:val="none" w:sz="0" w:space="0" w:color="auto"/>
        <w:bottom w:val="none" w:sz="0" w:space="0" w:color="auto"/>
        <w:right w:val="none" w:sz="0" w:space="0" w:color="auto"/>
      </w:divBdr>
      <w:divsChild>
        <w:div w:id="1050151031">
          <w:marLeft w:val="0"/>
          <w:marRight w:val="0"/>
          <w:marTop w:val="0"/>
          <w:marBottom w:val="0"/>
          <w:divBdr>
            <w:top w:val="none" w:sz="0" w:space="0" w:color="auto"/>
            <w:left w:val="none" w:sz="0" w:space="0" w:color="auto"/>
            <w:bottom w:val="none" w:sz="0" w:space="0" w:color="auto"/>
            <w:right w:val="none" w:sz="0" w:space="0" w:color="auto"/>
          </w:divBdr>
          <w:divsChild>
            <w:div w:id="828982101">
              <w:marLeft w:val="0"/>
              <w:marRight w:val="0"/>
              <w:marTop w:val="0"/>
              <w:marBottom w:val="0"/>
              <w:divBdr>
                <w:top w:val="none" w:sz="0" w:space="0" w:color="auto"/>
                <w:left w:val="none" w:sz="0" w:space="0" w:color="auto"/>
                <w:bottom w:val="none" w:sz="0" w:space="0" w:color="auto"/>
                <w:right w:val="none" w:sz="0" w:space="0" w:color="auto"/>
              </w:divBdr>
              <w:divsChild>
                <w:div w:id="1026097804">
                  <w:marLeft w:val="0"/>
                  <w:marRight w:val="0"/>
                  <w:marTop w:val="0"/>
                  <w:marBottom w:val="0"/>
                  <w:divBdr>
                    <w:top w:val="none" w:sz="0" w:space="0" w:color="auto"/>
                    <w:left w:val="none" w:sz="0" w:space="0" w:color="auto"/>
                    <w:bottom w:val="none" w:sz="0" w:space="0" w:color="auto"/>
                    <w:right w:val="none" w:sz="0" w:space="0" w:color="auto"/>
                  </w:divBdr>
                  <w:divsChild>
                    <w:div w:id="1672373050">
                      <w:marLeft w:val="0"/>
                      <w:marRight w:val="0"/>
                      <w:marTop w:val="0"/>
                      <w:marBottom w:val="0"/>
                      <w:divBdr>
                        <w:top w:val="none" w:sz="0" w:space="0" w:color="auto"/>
                        <w:left w:val="none" w:sz="0" w:space="0" w:color="auto"/>
                        <w:bottom w:val="none" w:sz="0" w:space="0" w:color="auto"/>
                        <w:right w:val="none" w:sz="0" w:space="0" w:color="auto"/>
                      </w:divBdr>
                      <w:divsChild>
                        <w:div w:id="598635537">
                          <w:marLeft w:val="340"/>
                          <w:marRight w:val="0"/>
                          <w:marTop w:val="300"/>
                          <w:marBottom w:val="120"/>
                          <w:divBdr>
                            <w:top w:val="none" w:sz="0" w:space="0" w:color="auto"/>
                            <w:left w:val="none" w:sz="0" w:space="0" w:color="auto"/>
                            <w:bottom w:val="none" w:sz="0" w:space="0" w:color="auto"/>
                            <w:right w:val="none" w:sz="0" w:space="0" w:color="auto"/>
                          </w:divBdr>
                          <w:divsChild>
                            <w:div w:id="128667111">
                              <w:marLeft w:val="0"/>
                              <w:marRight w:val="0"/>
                              <w:marTop w:val="0"/>
                              <w:marBottom w:val="0"/>
                              <w:divBdr>
                                <w:top w:val="none" w:sz="0" w:space="0" w:color="auto"/>
                                <w:left w:val="none" w:sz="0" w:space="0" w:color="auto"/>
                                <w:bottom w:val="none" w:sz="0" w:space="0" w:color="auto"/>
                                <w:right w:val="none" w:sz="0" w:space="0" w:color="auto"/>
                              </w:divBdr>
                              <w:divsChild>
                                <w:div w:id="7401484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6975341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81056220">
                                          <w:blockQuote w:val="1"/>
                                          <w:marLeft w:val="600"/>
                                          <w:marRight w:val="0"/>
                                          <w:marTop w:val="120"/>
                                          <w:marBottom w:val="120"/>
                                          <w:divBdr>
                                            <w:top w:val="none" w:sz="0" w:space="0" w:color="auto"/>
                                            <w:left w:val="none" w:sz="0" w:space="0" w:color="auto"/>
                                            <w:bottom w:val="none" w:sz="0" w:space="0" w:color="auto"/>
                                            <w:right w:val="none" w:sz="0" w:space="0" w:color="auto"/>
                                          </w:divBdr>
                                        </w:div>
                                        <w:div w:id="110141108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400734">
      <w:bodyDiv w:val="1"/>
      <w:marLeft w:val="0"/>
      <w:marRight w:val="0"/>
      <w:marTop w:val="0"/>
      <w:marBottom w:val="0"/>
      <w:divBdr>
        <w:top w:val="none" w:sz="0" w:space="0" w:color="auto"/>
        <w:left w:val="none" w:sz="0" w:space="0" w:color="auto"/>
        <w:bottom w:val="none" w:sz="0" w:space="0" w:color="auto"/>
        <w:right w:val="none" w:sz="0" w:space="0" w:color="auto"/>
      </w:divBdr>
      <w:divsChild>
        <w:div w:id="470637623">
          <w:marLeft w:val="0"/>
          <w:marRight w:val="0"/>
          <w:marTop w:val="0"/>
          <w:marBottom w:val="0"/>
          <w:divBdr>
            <w:top w:val="none" w:sz="0" w:space="0" w:color="auto"/>
            <w:left w:val="none" w:sz="0" w:space="0" w:color="auto"/>
            <w:bottom w:val="none" w:sz="0" w:space="0" w:color="auto"/>
            <w:right w:val="none" w:sz="0" w:space="0" w:color="auto"/>
          </w:divBdr>
          <w:divsChild>
            <w:div w:id="1820808752">
              <w:marLeft w:val="0"/>
              <w:marRight w:val="0"/>
              <w:marTop w:val="0"/>
              <w:marBottom w:val="0"/>
              <w:divBdr>
                <w:top w:val="none" w:sz="0" w:space="0" w:color="auto"/>
                <w:left w:val="none" w:sz="0" w:space="0" w:color="auto"/>
                <w:bottom w:val="none" w:sz="0" w:space="0" w:color="auto"/>
                <w:right w:val="none" w:sz="0" w:space="0" w:color="auto"/>
              </w:divBdr>
              <w:divsChild>
                <w:div w:id="919413435">
                  <w:marLeft w:val="0"/>
                  <w:marRight w:val="0"/>
                  <w:marTop w:val="0"/>
                  <w:marBottom w:val="0"/>
                  <w:divBdr>
                    <w:top w:val="none" w:sz="0" w:space="0" w:color="auto"/>
                    <w:left w:val="none" w:sz="0" w:space="0" w:color="auto"/>
                    <w:bottom w:val="none" w:sz="0" w:space="0" w:color="auto"/>
                    <w:right w:val="none" w:sz="0" w:space="0" w:color="auto"/>
                  </w:divBdr>
                  <w:divsChild>
                    <w:div w:id="923153093">
                      <w:marLeft w:val="0"/>
                      <w:marRight w:val="0"/>
                      <w:marTop w:val="0"/>
                      <w:marBottom w:val="0"/>
                      <w:divBdr>
                        <w:top w:val="none" w:sz="0" w:space="0" w:color="auto"/>
                        <w:left w:val="none" w:sz="0" w:space="0" w:color="auto"/>
                        <w:bottom w:val="none" w:sz="0" w:space="0" w:color="auto"/>
                        <w:right w:val="none" w:sz="0" w:space="0" w:color="auto"/>
                      </w:divBdr>
                      <w:divsChild>
                        <w:div w:id="1267226001">
                          <w:marLeft w:val="340"/>
                          <w:marRight w:val="0"/>
                          <w:marTop w:val="300"/>
                          <w:marBottom w:val="120"/>
                          <w:divBdr>
                            <w:top w:val="none" w:sz="0" w:space="0" w:color="auto"/>
                            <w:left w:val="none" w:sz="0" w:space="0" w:color="auto"/>
                            <w:bottom w:val="none" w:sz="0" w:space="0" w:color="auto"/>
                            <w:right w:val="none" w:sz="0" w:space="0" w:color="auto"/>
                          </w:divBdr>
                          <w:divsChild>
                            <w:div w:id="406611737">
                              <w:marLeft w:val="0"/>
                              <w:marRight w:val="0"/>
                              <w:marTop w:val="0"/>
                              <w:marBottom w:val="0"/>
                              <w:divBdr>
                                <w:top w:val="none" w:sz="0" w:space="0" w:color="auto"/>
                                <w:left w:val="none" w:sz="0" w:space="0" w:color="auto"/>
                                <w:bottom w:val="none" w:sz="0" w:space="0" w:color="auto"/>
                                <w:right w:val="none" w:sz="0" w:space="0" w:color="auto"/>
                              </w:divBdr>
                              <w:divsChild>
                                <w:div w:id="90453115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457290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352814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194874">
      <w:bodyDiv w:val="1"/>
      <w:marLeft w:val="0"/>
      <w:marRight w:val="0"/>
      <w:marTop w:val="0"/>
      <w:marBottom w:val="0"/>
      <w:divBdr>
        <w:top w:val="none" w:sz="0" w:space="0" w:color="auto"/>
        <w:left w:val="none" w:sz="0" w:space="0" w:color="auto"/>
        <w:bottom w:val="none" w:sz="0" w:space="0" w:color="auto"/>
        <w:right w:val="none" w:sz="0" w:space="0" w:color="auto"/>
      </w:divBdr>
      <w:divsChild>
        <w:div w:id="1428649601">
          <w:marLeft w:val="0"/>
          <w:marRight w:val="0"/>
          <w:marTop w:val="0"/>
          <w:marBottom w:val="0"/>
          <w:divBdr>
            <w:top w:val="none" w:sz="0" w:space="0" w:color="auto"/>
            <w:left w:val="none" w:sz="0" w:space="0" w:color="auto"/>
            <w:bottom w:val="none" w:sz="0" w:space="0" w:color="auto"/>
            <w:right w:val="none" w:sz="0" w:space="0" w:color="auto"/>
          </w:divBdr>
          <w:divsChild>
            <w:div w:id="1732079099">
              <w:marLeft w:val="0"/>
              <w:marRight w:val="0"/>
              <w:marTop w:val="0"/>
              <w:marBottom w:val="0"/>
              <w:divBdr>
                <w:top w:val="none" w:sz="0" w:space="0" w:color="auto"/>
                <w:left w:val="none" w:sz="0" w:space="0" w:color="auto"/>
                <w:bottom w:val="none" w:sz="0" w:space="0" w:color="auto"/>
                <w:right w:val="none" w:sz="0" w:space="0" w:color="auto"/>
              </w:divBdr>
              <w:divsChild>
                <w:div w:id="156001159">
                  <w:marLeft w:val="0"/>
                  <w:marRight w:val="0"/>
                  <w:marTop w:val="0"/>
                  <w:marBottom w:val="0"/>
                  <w:divBdr>
                    <w:top w:val="none" w:sz="0" w:space="0" w:color="auto"/>
                    <w:left w:val="none" w:sz="0" w:space="0" w:color="auto"/>
                    <w:bottom w:val="none" w:sz="0" w:space="0" w:color="auto"/>
                    <w:right w:val="none" w:sz="0" w:space="0" w:color="auto"/>
                  </w:divBdr>
                  <w:divsChild>
                    <w:div w:id="1307273757">
                      <w:marLeft w:val="0"/>
                      <w:marRight w:val="0"/>
                      <w:marTop w:val="0"/>
                      <w:marBottom w:val="0"/>
                      <w:divBdr>
                        <w:top w:val="none" w:sz="0" w:space="0" w:color="auto"/>
                        <w:left w:val="none" w:sz="0" w:space="0" w:color="auto"/>
                        <w:bottom w:val="none" w:sz="0" w:space="0" w:color="auto"/>
                        <w:right w:val="none" w:sz="0" w:space="0" w:color="auto"/>
                      </w:divBdr>
                      <w:divsChild>
                        <w:div w:id="1375885427">
                          <w:marLeft w:val="340"/>
                          <w:marRight w:val="0"/>
                          <w:marTop w:val="300"/>
                          <w:marBottom w:val="120"/>
                          <w:divBdr>
                            <w:top w:val="none" w:sz="0" w:space="0" w:color="auto"/>
                            <w:left w:val="none" w:sz="0" w:space="0" w:color="auto"/>
                            <w:bottom w:val="none" w:sz="0" w:space="0" w:color="auto"/>
                            <w:right w:val="none" w:sz="0" w:space="0" w:color="auto"/>
                          </w:divBdr>
                          <w:divsChild>
                            <w:div w:id="1655796970">
                              <w:marLeft w:val="0"/>
                              <w:marRight w:val="0"/>
                              <w:marTop w:val="0"/>
                              <w:marBottom w:val="0"/>
                              <w:divBdr>
                                <w:top w:val="none" w:sz="0" w:space="0" w:color="auto"/>
                                <w:left w:val="none" w:sz="0" w:space="0" w:color="auto"/>
                                <w:bottom w:val="none" w:sz="0" w:space="0" w:color="auto"/>
                                <w:right w:val="none" w:sz="0" w:space="0" w:color="auto"/>
                              </w:divBdr>
                              <w:divsChild>
                                <w:div w:id="152922232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5817613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60924204">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0005223">
      <w:bodyDiv w:val="1"/>
      <w:marLeft w:val="0"/>
      <w:marRight w:val="0"/>
      <w:marTop w:val="0"/>
      <w:marBottom w:val="0"/>
      <w:divBdr>
        <w:top w:val="none" w:sz="0" w:space="0" w:color="auto"/>
        <w:left w:val="none" w:sz="0" w:space="0" w:color="auto"/>
        <w:bottom w:val="none" w:sz="0" w:space="0" w:color="auto"/>
        <w:right w:val="none" w:sz="0" w:space="0" w:color="auto"/>
      </w:divBdr>
      <w:divsChild>
        <w:div w:id="1766682013">
          <w:marLeft w:val="0"/>
          <w:marRight w:val="0"/>
          <w:marTop w:val="0"/>
          <w:marBottom w:val="0"/>
          <w:divBdr>
            <w:top w:val="none" w:sz="0" w:space="0" w:color="auto"/>
            <w:left w:val="none" w:sz="0" w:space="0" w:color="auto"/>
            <w:bottom w:val="none" w:sz="0" w:space="0" w:color="auto"/>
            <w:right w:val="none" w:sz="0" w:space="0" w:color="auto"/>
          </w:divBdr>
          <w:divsChild>
            <w:div w:id="343871135">
              <w:marLeft w:val="0"/>
              <w:marRight w:val="0"/>
              <w:marTop w:val="0"/>
              <w:marBottom w:val="0"/>
              <w:divBdr>
                <w:top w:val="none" w:sz="0" w:space="0" w:color="auto"/>
                <w:left w:val="none" w:sz="0" w:space="0" w:color="auto"/>
                <w:bottom w:val="none" w:sz="0" w:space="0" w:color="auto"/>
                <w:right w:val="none" w:sz="0" w:space="0" w:color="auto"/>
              </w:divBdr>
              <w:divsChild>
                <w:div w:id="110324634">
                  <w:marLeft w:val="0"/>
                  <w:marRight w:val="0"/>
                  <w:marTop w:val="0"/>
                  <w:marBottom w:val="0"/>
                  <w:divBdr>
                    <w:top w:val="none" w:sz="0" w:space="0" w:color="auto"/>
                    <w:left w:val="none" w:sz="0" w:space="0" w:color="auto"/>
                    <w:bottom w:val="none" w:sz="0" w:space="0" w:color="auto"/>
                    <w:right w:val="none" w:sz="0" w:space="0" w:color="auto"/>
                  </w:divBdr>
                  <w:divsChild>
                    <w:div w:id="1157498817">
                      <w:marLeft w:val="0"/>
                      <w:marRight w:val="0"/>
                      <w:marTop w:val="0"/>
                      <w:marBottom w:val="0"/>
                      <w:divBdr>
                        <w:top w:val="none" w:sz="0" w:space="0" w:color="auto"/>
                        <w:left w:val="none" w:sz="0" w:space="0" w:color="auto"/>
                        <w:bottom w:val="none" w:sz="0" w:space="0" w:color="auto"/>
                        <w:right w:val="none" w:sz="0" w:space="0" w:color="auto"/>
                      </w:divBdr>
                      <w:divsChild>
                        <w:div w:id="2060473598">
                          <w:marLeft w:val="340"/>
                          <w:marRight w:val="0"/>
                          <w:marTop w:val="300"/>
                          <w:marBottom w:val="120"/>
                          <w:divBdr>
                            <w:top w:val="none" w:sz="0" w:space="0" w:color="auto"/>
                            <w:left w:val="none" w:sz="0" w:space="0" w:color="auto"/>
                            <w:bottom w:val="none" w:sz="0" w:space="0" w:color="auto"/>
                            <w:right w:val="none" w:sz="0" w:space="0" w:color="auto"/>
                          </w:divBdr>
                          <w:divsChild>
                            <w:div w:id="29113982">
                              <w:marLeft w:val="0"/>
                              <w:marRight w:val="0"/>
                              <w:marTop w:val="0"/>
                              <w:marBottom w:val="0"/>
                              <w:divBdr>
                                <w:top w:val="none" w:sz="0" w:space="0" w:color="auto"/>
                                <w:left w:val="none" w:sz="0" w:space="0" w:color="auto"/>
                                <w:bottom w:val="none" w:sz="0" w:space="0" w:color="auto"/>
                                <w:right w:val="none" w:sz="0" w:space="0" w:color="auto"/>
                              </w:divBdr>
                              <w:divsChild>
                                <w:div w:id="1901523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087606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3807098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3622967">
                                              <w:blockQuote w:val="1"/>
                                              <w:marLeft w:val="600"/>
                                              <w:marRight w:val="0"/>
                                              <w:marTop w:val="120"/>
                                              <w:marBottom w:val="120"/>
                                              <w:divBdr>
                                                <w:top w:val="none" w:sz="0" w:space="0" w:color="auto"/>
                                                <w:left w:val="none" w:sz="0" w:space="0" w:color="auto"/>
                                                <w:bottom w:val="none" w:sz="0" w:space="0" w:color="auto"/>
                                                <w:right w:val="none" w:sz="0" w:space="0" w:color="auto"/>
                                              </w:divBdr>
                                            </w:div>
                                            <w:div w:id="176595938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3305007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96563194">
                                                      <w:blockQuote w:val="1"/>
                                                      <w:marLeft w:val="600"/>
                                                      <w:marRight w:val="0"/>
                                                      <w:marTop w:val="120"/>
                                                      <w:marBottom w:val="120"/>
                                                      <w:divBdr>
                                                        <w:top w:val="none" w:sz="0" w:space="0" w:color="auto"/>
                                                        <w:left w:val="none" w:sz="0" w:space="0" w:color="auto"/>
                                                        <w:bottom w:val="none" w:sz="0" w:space="0" w:color="auto"/>
                                                        <w:right w:val="none" w:sz="0" w:space="0" w:color="auto"/>
                                                      </w:divBdr>
                                                    </w:div>
                                                    <w:div w:id="82653341">
                                                      <w:blockQuote w:val="1"/>
                                                      <w:marLeft w:val="600"/>
                                                      <w:marRight w:val="0"/>
                                                      <w:marTop w:val="120"/>
                                                      <w:marBottom w:val="120"/>
                                                      <w:divBdr>
                                                        <w:top w:val="none" w:sz="0" w:space="0" w:color="auto"/>
                                                        <w:left w:val="none" w:sz="0" w:space="0" w:color="auto"/>
                                                        <w:bottom w:val="none" w:sz="0" w:space="0" w:color="auto"/>
                                                        <w:right w:val="none" w:sz="0" w:space="0" w:color="auto"/>
                                                      </w:divBdr>
                                                    </w:div>
                                                    <w:div w:id="38838711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0659328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65619947">
                                                      <w:blockQuote w:val="1"/>
                                                      <w:marLeft w:val="600"/>
                                                      <w:marRight w:val="0"/>
                                                      <w:marTop w:val="120"/>
                                                      <w:marBottom w:val="120"/>
                                                      <w:divBdr>
                                                        <w:top w:val="none" w:sz="0" w:space="0" w:color="auto"/>
                                                        <w:left w:val="none" w:sz="0" w:space="0" w:color="auto"/>
                                                        <w:bottom w:val="none" w:sz="0" w:space="0" w:color="auto"/>
                                                        <w:right w:val="none" w:sz="0" w:space="0" w:color="auto"/>
                                                      </w:divBdr>
                                                    </w:div>
                                                    <w:div w:id="2129003158">
                                                      <w:blockQuote w:val="1"/>
                                                      <w:marLeft w:val="600"/>
                                                      <w:marRight w:val="0"/>
                                                      <w:marTop w:val="120"/>
                                                      <w:marBottom w:val="120"/>
                                                      <w:divBdr>
                                                        <w:top w:val="none" w:sz="0" w:space="0" w:color="auto"/>
                                                        <w:left w:val="none" w:sz="0" w:space="0" w:color="auto"/>
                                                        <w:bottom w:val="none" w:sz="0" w:space="0" w:color="auto"/>
                                                        <w:right w:val="none" w:sz="0" w:space="0" w:color="auto"/>
                                                      </w:divBdr>
                                                    </w:div>
                                                    <w:div w:id="125150706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217355152">
                                              <w:blockQuote w:val="1"/>
                                              <w:marLeft w:val="600"/>
                                              <w:marRight w:val="0"/>
                                              <w:marTop w:val="120"/>
                                              <w:marBottom w:val="120"/>
                                              <w:divBdr>
                                                <w:top w:val="none" w:sz="0" w:space="0" w:color="auto"/>
                                                <w:left w:val="none" w:sz="0" w:space="0" w:color="auto"/>
                                                <w:bottom w:val="none" w:sz="0" w:space="0" w:color="auto"/>
                                                <w:right w:val="none" w:sz="0" w:space="0" w:color="auto"/>
                                              </w:divBdr>
                                            </w:div>
                                            <w:div w:id="116740743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6748357">
                                                  <w:blockQuote w:val="1"/>
                                                  <w:marLeft w:val="600"/>
                                                  <w:marRight w:val="0"/>
                                                  <w:marTop w:val="120"/>
                                                  <w:marBottom w:val="120"/>
                                                  <w:divBdr>
                                                    <w:top w:val="none" w:sz="0" w:space="0" w:color="auto"/>
                                                    <w:left w:val="none" w:sz="0" w:space="0" w:color="auto"/>
                                                    <w:bottom w:val="none" w:sz="0" w:space="0" w:color="auto"/>
                                                    <w:right w:val="none" w:sz="0" w:space="0" w:color="auto"/>
                                                  </w:divBdr>
                                                </w:div>
                                                <w:div w:id="182593039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89816108">
                                              <w:blockQuote w:val="1"/>
                                              <w:marLeft w:val="600"/>
                                              <w:marRight w:val="0"/>
                                              <w:marTop w:val="120"/>
                                              <w:marBottom w:val="120"/>
                                              <w:divBdr>
                                                <w:top w:val="none" w:sz="0" w:space="0" w:color="auto"/>
                                                <w:left w:val="none" w:sz="0" w:space="0" w:color="auto"/>
                                                <w:bottom w:val="none" w:sz="0" w:space="0" w:color="auto"/>
                                                <w:right w:val="none" w:sz="0" w:space="0" w:color="auto"/>
                                              </w:divBdr>
                                            </w:div>
                                            <w:div w:id="1621254410">
                                              <w:blockQuote w:val="1"/>
                                              <w:marLeft w:val="600"/>
                                              <w:marRight w:val="0"/>
                                              <w:marTop w:val="120"/>
                                              <w:marBottom w:val="120"/>
                                              <w:divBdr>
                                                <w:top w:val="none" w:sz="0" w:space="0" w:color="auto"/>
                                                <w:left w:val="none" w:sz="0" w:space="0" w:color="auto"/>
                                                <w:bottom w:val="none" w:sz="0" w:space="0" w:color="auto"/>
                                                <w:right w:val="none" w:sz="0" w:space="0" w:color="auto"/>
                                              </w:divBdr>
                                            </w:div>
                                            <w:div w:id="135222063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761002">
      <w:bodyDiv w:val="1"/>
      <w:marLeft w:val="0"/>
      <w:marRight w:val="0"/>
      <w:marTop w:val="0"/>
      <w:marBottom w:val="0"/>
      <w:divBdr>
        <w:top w:val="none" w:sz="0" w:space="0" w:color="auto"/>
        <w:left w:val="none" w:sz="0" w:space="0" w:color="auto"/>
        <w:bottom w:val="none" w:sz="0" w:space="0" w:color="auto"/>
        <w:right w:val="none" w:sz="0" w:space="0" w:color="auto"/>
      </w:divBdr>
      <w:divsChild>
        <w:div w:id="1278369714">
          <w:marLeft w:val="0"/>
          <w:marRight w:val="0"/>
          <w:marTop w:val="0"/>
          <w:marBottom w:val="0"/>
          <w:divBdr>
            <w:top w:val="none" w:sz="0" w:space="0" w:color="auto"/>
            <w:left w:val="none" w:sz="0" w:space="0" w:color="auto"/>
            <w:bottom w:val="none" w:sz="0" w:space="0" w:color="auto"/>
            <w:right w:val="none" w:sz="0" w:space="0" w:color="auto"/>
          </w:divBdr>
          <w:divsChild>
            <w:div w:id="867641502">
              <w:marLeft w:val="0"/>
              <w:marRight w:val="0"/>
              <w:marTop w:val="0"/>
              <w:marBottom w:val="0"/>
              <w:divBdr>
                <w:top w:val="none" w:sz="0" w:space="0" w:color="auto"/>
                <w:left w:val="none" w:sz="0" w:space="0" w:color="auto"/>
                <w:bottom w:val="none" w:sz="0" w:space="0" w:color="auto"/>
                <w:right w:val="none" w:sz="0" w:space="0" w:color="auto"/>
              </w:divBdr>
              <w:divsChild>
                <w:div w:id="1613786324">
                  <w:marLeft w:val="0"/>
                  <w:marRight w:val="0"/>
                  <w:marTop w:val="0"/>
                  <w:marBottom w:val="0"/>
                  <w:divBdr>
                    <w:top w:val="none" w:sz="0" w:space="0" w:color="auto"/>
                    <w:left w:val="none" w:sz="0" w:space="0" w:color="auto"/>
                    <w:bottom w:val="none" w:sz="0" w:space="0" w:color="auto"/>
                    <w:right w:val="none" w:sz="0" w:space="0" w:color="auto"/>
                  </w:divBdr>
                  <w:divsChild>
                    <w:div w:id="1661763582">
                      <w:marLeft w:val="0"/>
                      <w:marRight w:val="0"/>
                      <w:marTop w:val="0"/>
                      <w:marBottom w:val="0"/>
                      <w:divBdr>
                        <w:top w:val="none" w:sz="0" w:space="0" w:color="auto"/>
                        <w:left w:val="none" w:sz="0" w:space="0" w:color="auto"/>
                        <w:bottom w:val="none" w:sz="0" w:space="0" w:color="auto"/>
                        <w:right w:val="none" w:sz="0" w:space="0" w:color="auto"/>
                      </w:divBdr>
                      <w:divsChild>
                        <w:div w:id="1393386115">
                          <w:marLeft w:val="340"/>
                          <w:marRight w:val="0"/>
                          <w:marTop w:val="300"/>
                          <w:marBottom w:val="120"/>
                          <w:divBdr>
                            <w:top w:val="none" w:sz="0" w:space="0" w:color="auto"/>
                            <w:left w:val="none" w:sz="0" w:space="0" w:color="auto"/>
                            <w:bottom w:val="none" w:sz="0" w:space="0" w:color="auto"/>
                            <w:right w:val="none" w:sz="0" w:space="0" w:color="auto"/>
                          </w:divBdr>
                          <w:divsChild>
                            <w:div w:id="1153059444">
                              <w:marLeft w:val="0"/>
                              <w:marRight w:val="0"/>
                              <w:marTop w:val="0"/>
                              <w:marBottom w:val="0"/>
                              <w:divBdr>
                                <w:top w:val="none" w:sz="0" w:space="0" w:color="auto"/>
                                <w:left w:val="none" w:sz="0" w:space="0" w:color="auto"/>
                                <w:bottom w:val="none" w:sz="0" w:space="0" w:color="auto"/>
                                <w:right w:val="none" w:sz="0" w:space="0" w:color="auto"/>
                              </w:divBdr>
                              <w:divsChild>
                                <w:div w:id="126773694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2477276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33329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3902086">
                                              <w:blockQuote w:val="1"/>
                                              <w:marLeft w:val="600"/>
                                              <w:marRight w:val="0"/>
                                              <w:marTop w:val="120"/>
                                              <w:marBottom w:val="120"/>
                                              <w:divBdr>
                                                <w:top w:val="none" w:sz="0" w:space="0" w:color="auto"/>
                                                <w:left w:val="none" w:sz="0" w:space="0" w:color="auto"/>
                                                <w:bottom w:val="none" w:sz="0" w:space="0" w:color="auto"/>
                                                <w:right w:val="none" w:sz="0" w:space="0" w:color="auto"/>
                                              </w:divBdr>
                                            </w:div>
                                            <w:div w:id="14524266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22930378">
                                                  <w:blockQuote w:val="1"/>
                                                  <w:marLeft w:val="600"/>
                                                  <w:marRight w:val="0"/>
                                                  <w:marTop w:val="120"/>
                                                  <w:marBottom w:val="120"/>
                                                  <w:divBdr>
                                                    <w:top w:val="none" w:sz="0" w:space="0" w:color="auto"/>
                                                    <w:left w:val="none" w:sz="0" w:space="0" w:color="auto"/>
                                                    <w:bottom w:val="none" w:sz="0" w:space="0" w:color="auto"/>
                                                    <w:right w:val="none" w:sz="0" w:space="0" w:color="auto"/>
                                                  </w:divBdr>
                                                </w:div>
                                                <w:div w:id="469444909">
                                                  <w:blockQuote w:val="1"/>
                                                  <w:marLeft w:val="600"/>
                                                  <w:marRight w:val="0"/>
                                                  <w:marTop w:val="120"/>
                                                  <w:marBottom w:val="120"/>
                                                  <w:divBdr>
                                                    <w:top w:val="none" w:sz="0" w:space="0" w:color="auto"/>
                                                    <w:left w:val="none" w:sz="0" w:space="0" w:color="auto"/>
                                                    <w:bottom w:val="none" w:sz="0" w:space="0" w:color="auto"/>
                                                    <w:right w:val="none" w:sz="0" w:space="0" w:color="auto"/>
                                                  </w:divBdr>
                                                </w:div>
                                                <w:div w:id="69083973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0169365">
      <w:bodyDiv w:val="1"/>
      <w:marLeft w:val="0"/>
      <w:marRight w:val="0"/>
      <w:marTop w:val="0"/>
      <w:marBottom w:val="0"/>
      <w:divBdr>
        <w:top w:val="none" w:sz="0" w:space="0" w:color="auto"/>
        <w:left w:val="none" w:sz="0" w:space="0" w:color="auto"/>
        <w:bottom w:val="none" w:sz="0" w:space="0" w:color="auto"/>
        <w:right w:val="none" w:sz="0" w:space="0" w:color="auto"/>
      </w:divBdr>
      <w:divsChild>
        <w:div w:id="91822528">
          <w:marLeft w:val="0"/>
          <w:marRight w:val="0"/>
          <w:marTop w:val="0"/>
          <w:marBottom w:val="0"/>
          <w:divBdr>
            <w:top w:val="none" w:sz="0" w:space="0" w:color="auto"/>
            <w:left w:val="none" w:sz="0" w:space="0" w:color="auto"/>
            <w:bottom w:val="none" w:sz="0" w:space="0" w:color="auto"/>
            <w:right w:val="none" w:sz="0" w:space="0" w:color="auto"/>
          </w:divBdr>
          <w:divsChild>
            <w:div w:id="1988582300">
              <w:marLeft w:val="0"/>
              <w:marRight w:val="0"/>
              <w:marTop w:val="0"/>
              <w:marBottom w:val="0"/>
              <w:divBdr>
                <w:top w:val="none" w:sz="0" w:space="0" w:color="auto"/>
                <w:left w:val="none" w:sz="0" w:space="0" w:color="auto"/>
                <w:bottom w:val="none" w:sz="0" w:space="0" w:color="auto"/>
                <w:right w:val="none" w:sz="0" w:space="0" w:color="auto"/>
              </w:divBdr>
              <w:divsChild>
                <w:div w:id="487481591">
                  <w:marLeft w:val="0"/>
                  <w:marRight w:val="0"/>
                  <w:marTop w:val="0"/>
                  <w:marBottom w:val="0"/>
                  <w:divBdr>
                    <w:top w:val="none" w:sz="0" w:space="0" w:color="auto"/>
                    <w:left w:val="none" w:sz="0" w:space="0" w:color="auto"/>
                    <w:bottom w:val="none" w:sz="0" w:space="0" w:color="auto"/>
                    <w:right w:val="none" w:sz="0" w:space="0" w:color="auto"/>
                  </w:divBdr>
                  <w:divsChild>
                    <w:div w:id="1415972064">
                      <w:marLeft w:val="0"/>
                      <w:marRight w:val="0"/>
                      <w:marTop w:val="0"/>
                      <w:marBottom w:val="0"/>
                      <w:divBdr>
                        <w:top w:val="none" w:sz="0" w:space="0" w:color="auto"/>
                        <w:left w:val="none" w:sz="0" w:space="0" w:color="auto"/>
                        <w:bottom w:val="none" w:sz="0" w:space="0" w:color="auto"/>
                        <w:right w:val="none" w:sz="0" w:space="0" w:color="auto"/>
                      </w:divBdr>
                      <w:divsChild>
                        <w:div w:id="1153062944">
                          <w:marLeft w:val="340"/>
                          <w:marRight w:val="0"/>
                          <w:marTop w:val="300"/>
                          <w:marBottom w:val="120"/>
                          <w:divBdr>
                            <w:top w:val="none" w:sz="0" w:space="0" w:color="auto"/>
                            <w:left w:val="none" w:sz="0" w:space="0" w:color="auto"/>
                            <w:bottom w:val="none" w:sz="0" w:space="0" w:color="auto"/>
                            <w:right w:val="none" w:sz="0" w:space="0" w:color="auto"/>
                          </w:divBdr>
                          <w:divsChild>
                            <w:div w:id="234710135">
                              <w:marLeft w:val="0"/>
                              <w:marRight w:val="0"/>
                              <w:marTop w:val="0"/>
                              <w:marBottom w:val="0"/>
                              <w:divBdr>
                                <w:top w:val="none" w:sz="0" w:space="0" w:color="auto"/>
                                <w:left w:val="none" w:sz="0" w:space="0" w:color="auto"/>
                                <w:bottom w:val="none" w:sz="0" w:space="0" w:color="auto"/>
                                <w:right w:val="none" w:sz="0" w:space="0" w:color="auto"/>
                              </w:divBdr>
                              <w:divsChild>
                                <w:div w:id="127285623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0791281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076937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47266475">
                                              <w:blockQuote w:val="1"/>
                                              <w:marLeft w:val="600"/>
                                              <w:marRight w:val="0"/>
                                              <w:marTop w:val="120"/>
                                              <w:marBottom w:val="120"/>
                                              <w:divBdr>
                                                <w:top w:val="none" w:sz="0" w:space="0" w:color="auto"/>
                                                <w:left w:val="none" w:sz="0" w:space="0" w:color="auto"/>
                                                <w:bottom w:val="none" w:sz="0" w:space="0" w:color="auto"/>
                                                <w:right w:val="none" w:sz="0" w:space="0" w:color="auto"/>
                                              </w:divBdr>
                                            </w:div>
                                            <w:div w:id="15684900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6601774">
      <w:bodyDiv w:val="1"/>
      <w:marLeft w:val="0"/>
      <w:marRight w:val="0"/>
      <w:marTop w:val="0"/>
      <w:marBottom w:val="0"/>
      <w:divBdr>
        <w:top w:val="none" w:sz="0" w:space="0" w:color="auto"/>
        <w:left w:val="none" w:sz="0" w:space="0" w:color="auto"/>
        <w:bottom w:val="none" w:sz="0" w:space="0" w:color="auto"/>
        <w:right w:val="none" w:sz="0" w:space="0" w:color="auto"/>
      </w:divBdr>
      <w:divsChild>
        <w:div w:id="1339576078">
          <w:marLeft w:val="0"/>
          <w:marRight w:val="0"/>
          <w:marTop w:val="0"/>
          <w:marBottom w:val="0"/>
          <w:divBdr>
            <w:top w:val="none" w:sz="0" w:space="0" w:color="auto"/>
            <w:left w:val="none" w:sz="0" w:space="0" w:color="auto"/>
            <w:bottom w:val="none" w:sz="0" w:space="0" w:color="auto"/>
            <w:right w:val="none" w:sz="0" w:space="0" w:color="auto"/>
          </w:divBdr>
          <w:divsChild>
            <w:div w:id="1697267815">
              <w:marLeft w:val="0"/>
              <w:marRight w:val="0"/>
              <w:marTop w:val="0"/>
              <w:marBottom w:val="0"/>
              <w:divBdr>
                <w:top w:val="none" w:sz="0" w:space="0" w:color="auto"/>
                <w:left w:val="none" w:sz="0" w:space="0" w:color="auto"/>
                <w:bottom w:val="none" w:sz="0" w:space="0" w:color="auto"/>
                <w:right w:val="none" w:sz="0" w:space="0" w:color="auto"/>
              </w:divBdr>
              <w:divsChild>
                <w:div w:id="2001501202">
                  <w:marLeft w:val="0"/>
                  <w:marRight w:val="0"/>
                  <w:marTop w:val="0"/>
                  <w:marBottom w:val="0"/>
                  <w:divBdr>
                    <w:top w:val="none" w:sz="0" w:space="0" w:color="auto"/>
                    <w:left w:val="none" w:sz="0" w:space="0" w:color="auto"/>
                    <w:bottom w:val="none" w:sz="0" w:space="0" w:color="auto"/>
                    <w:right w:val="none" w:sz="0" w:space="0" w:color="auto"/>
                  </w:divBdr>
                  <w:divsChild>
                    <w:div w:id="930285164">
                      <w:marLeft w:val="0"/>
                      <w:marRight w:val="0"/>
                      <w:marTop w:val="0"/>
                      <w:marBottom w:val="0"/>
                      <w:divBdr>
                        <w:top w:val="none" w:sz="0" w:space="0" w:color="auto"/>
                        <w:left w:val="none" w:sz="0" w:space="0" w:color="auto"/>
                        <w:bottom w:val="none" w:sz="0" w:space="0" w:color="auto"/>
                        <w:right w:val="none" w:sz="0" w:space="0" w:color="auto"/>
                      </w:divBdr>
                      <w:divsChild>
                        <w:div w:id="1982421980">
                          <w:marLeft w:val="340"/>
                          <w:marRight w:val="0"/>
                          <w:marTop w:val="300"/>
                          <w:marBottom w:val="120"/>
                          <w:divBdr>
                            <w:top w:val="none" w:sz="0" w:space="0" w:color="auto"/>
                            <w:left w:val="none" w:sz="0" w:space="0" w:color="auto"/>
                            <w:bottom w:val="none" w:sz="0" w:space="0" w:color="auto"/>
                            <w:right w:val="none" w:sz="0" w:space="0" w:color="auto"/>
                          </w:divBdr>
                          <w:divsChild>
                            <w:div w:id="977223057">
                              <w:marLeft w:val="0"/>
                              <w:marRight w:val="0"/>
                              <w:marTop w:val="0"/>
                              <w:marBottom w:val="0"/>
                              <w:divBdr>
                                <w:top w:val="none" w:sz="0" w:space="0" w:color="auto"/>
                                <w:left w:val="none" w:sz="0" w:space="0" w:color="auto"/>
                                <w:bottom w:val="none" w:sz="0" w:space="0" w:color="auto"/>
                                <w:right w:val="none" w:sz="0" w:space="0" w:color="auto"/>
                              </w:divBdr>
                              <w:divsChild>
                                <w:div w:id="73270026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2068487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3441670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597093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74551665">
                                                  <w:blockQuote w:val="1"/>
                                                  <w:marLeft w:val="600"/>
                                                  <w:marRight w:val="0"/>
                                                  <w:marTop w:val="120"/>
                                                  <w:marBottom w:val="120"/>
                                                  <w:divBdr>
                                                    <w:top w:val="none" w:sz="0" w:space="0" w:color="auto"/>
                                                    <w:left w:val="none" w:sz="0" w:space="0" w:color="auto"/>
                                                    <w:bottom w:val="none" w:sz="0" w:space="0" w:color="auto"/>
                                                    <w:right w:val="none" w:sz="0" w:space="0" w:color="auto"/>
                                                  </w:divBdr>
                                                </w:div>
                                                <w:div w:id="214364844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450367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33746900">
                                                  <w:blockQuote w:val="1"/>
                                                  <w:marLeft w:val="0"/>
                                                  <w:marRight w:val="0"/>
                                                  <w:marTop w:val="120"/>
                                                  <w:marBottom w:val="120"/>
                                                  <w:divBdr>
                                                    <w:top w:val="none" w:sz="0" w:space="0" w:color="auto"/>
                                                    <w:left w:val="none" w:sz="0" w:space="0" w:color="auto"/>
                                                    <w:bottom w:val="none" w:sz="0" w:space="0" w:color="auto"/>
                                                    <w:right w:val="none" w:sz="0" w:space="0" w:color="auto"/>
                                                  </w:divBdr>
                                                </w:div>
                                                <w:div w:id="1265530066">
                                                  <w:blockQuote w:val="1"/>
                                                  <w:marLeft w:val="600"/>
                                                  <w:marRight w:val="0"/>
                                                  <w:marTop w:val="120"/>
                                                  <w:marBottom w:val="120"/>
                                                  <w:divBdr>
                                                    <w:top w:val="none" w:sz="0" w:space="0" w:color="auto"/>
                                                    <w:left w:val="none" w:sz="0" w:space="0" w:color="auto"/>
                                                    <w:bottom w:val="none" w:sz="0" w:space="0" w:color="auto"/>
                                                    <w:right w:val="none" w:sz="0" w:space="0" w:color="auto"/>
                                                  </w:divBdr>
                                                </w:div>
                                                <w:div w:id="6743867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81568315">
                                                      <w:blockQuote w:val="1"/>
                                                      <w:marLeft w:val="600"/>
                                                      <w:marRight w:val="0"/>
                                                      <w:marTop w:val="120"/>
                                                      <w:marBottom w:val="120"/>
                                                      <w:divBdr>
                                                        <w:top w:val="none" w:sz="0" w:space="0" w:color="auto"/>
                                                        <w:left w:val="none" w:sz="0" w:space="0" w:color="auto"/>
                                                        <w:bottom w:val="none" w:sz="0" w:space="0" w:color="auto"/>
                                                        <w:right w:val="none" w:sz="0" w:space="0" w:color="auto"/>
                                                      </w:divBdr>
                                                    </w:div>
                                                    <w:div w:id="490025315">
                                                      <w:blockQuote w:val="1"/>
                                                      <w:marLeft w:val="600"/>
                                                      <w:marRight w:val="0"/>
                                                      <w:marTop w:val="120"/>
                                                      <w:marBottom w:val="120"/>
                                                      <w:divBdr>
                                                        <w:top w:val="none" w:sz="0" w:space="0" w:color="auto"/>
                                                        <w:left w:val="none" w:sz="0" w:space="0" w:color="auto"/>
                                                        <w:bottom w:val="none" w:sz="0" w:space="0" w:color="auto"/>
                                                        <w:right w:val="none" w:sz="0" w:space="0" w:color="auto"/>
                                                      </w:divBdr>
                                                    </w:div>
                                                    <w:div w:id="829978293">
                                                      <w:blockQuote w:val="1"/>
                                                      <w:marLeft w:val="600"/>
                                                      <w:marRight w:val="0"/>
                                                      <w:marTop w:val="120"/>
                                                      <w:marBottom w:val="120"/>
                                                      <w:divBdr>
                                                        <w:top w:val="none" w:sz="0" w:space="0" w:color="auto"/>
                                                        <w:left w:val="none" w:sz="0" w:space="0" w:color="auto"/>
                                                        <w:bottom w:val="none" w:sz="0" w:space="0" w:color="auto"/>
                                                        <w:right w:val="none" w:sz="0" w:space="0" w:color="auto"/>
                                                      </w:divBdr>
                                                    </w:div>
                                                    <w:div w:id="91628174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757062">
      <w:bodyDiv w:val="1"/>
      <w:marLeft w:val="0"/>
      <w:marRight w:val="0"/>
      <w:marTop w:val="0"/>
      <w:marBottom w:val="0"/>
      <w:divBdr>
        <w:top w:val="none" w:sz="0" w:space="0" w:color="auto"/>
        <w:left w:val="none" w:sz="0" w:space="0" w:color="auto"/>
        <w:bottom w:val="none" w:sz="0" w:space="0" w:color="auto"/>
        <w:right w:val="none" w:sz="0" w:space="0" w:color="auto"/>
      </w:divBdr>
      <w:divsChild>
        <w:div w:id="1199464190">
          <w:marLeft w:val="0"/>
          <w:marRight w:val="0"/>
          <w:marTop w:val="0"/>
          <w:marBottom w:val="0"/>
          <w:divBdr>
            <w:top w:val="none" w:sz="0" w:space="0" w:color="auto"/>
            <w:left w:val="none" w:sz="0" w:space="0" w:color="auto"/>
            <w:bottom w:val="none" w:sz="0" w:space="0" w:color="auto"/>
            <w:right w:val="none" w:sz="0" w:space="0" w:color="auto"/>
          </w:divBdr>
          <w:divsChild>
            <w:div w:id="305008713">
              <w:marLeft w:val="0"/>
              <w:marRight w:val="0"/>
              <w:marTop w:val="0"/>
              <w:marBottom w:val="0"/>
              <w:divBdr>
                <w:top w:val="none" w:sz="0" w:space="0" w:color="auto"/>
                <w:left w:val="none" w:sz="0" w:space="0" w:color="auto"/>
                <w:bottom w:val="none" w:sz="0" w:space="0" w:color="auto"/>
                <w:right w:val="none" w:sz="0" w:space="0" w:color="auto"/>
              </w:divBdr>
              <w:divsChild>
                <w:div w:id="1252200570">
                  <w:marLeft w:val="0"/>
                  <w:marRight w:val="0"/>
                  <w:marTop w:val="0"/>
                  <w:marBottom w:val="0"/>
                  <w:divBdr>
                    <w:top w:val="none" w:sz="0" w:space="0" w:color="auto"/>
                    <w:left w:val="none" w:sz="0" w:space="0" w:color="auto"/>
                    <w:bottom w:val="none" w:sz="0" w:space="0" w:color="auto"/>
                    <w:right w:val="none" w:sz="0" w:space="0" w:color="auto"/>
                  </w:divBdr>
                  <w:divsChild>
                    <w:div w:id="1090548025">
                      <w:marLeft w:val="0"/>
                      <w:marRight w:val="0"/>
                      <w:marTop w:val="0"/>
                      <w:marBottom w:val="0"/>
                      <w:divBdr>
                        <w:top w:val="none" w:sz="0" w:space="0" w:color="auto"/>
                        <w:left w:val="none" w:sz="0" w:space="0" w:color="auto"/>
                        <w:bottom w:val="none" w:sz="0" w:space="0" w:color="auto"/>
                        <w:right w:val="none" w:sz="0" w:space="0" w:color="auto"/>
                      </w:divBdr>
                      <w:divsChild>
                        <w:div w:id="841437495">
                          <w:marLeft w:val="340"/>
                          <w:marRight w:val="0"/>
                          <w:marTop w:val="300"/>
                          <w:marBottom w:val="120"/>
                          <w:divBdr>
                            <w:top w:val="none" w:sz="0" w:space="0" w:color="auto"/>
                            <w:left w:val="none" w:sz="0" w:space="0" w:color="auto"/>
                            <w:bottom w:val="none" w:sz="0" w:space="0" w:color="auto"/>
                            <w:right w:val="none" w:sz="0" w:space="0" w:color="auto"/>
                          </w:divBdr>
                          <w:divsChild>
                            <w:div w:id="1253201227">
                              <w:marLeft w:val="0"/>
                              <w:marRight w:val="0"/>
                              <w:marTop w:val="0"/>
                              <w:marBottom w:val="0"/>
                              <w:divBdr>
                                <w:top w:val="none" w:sz="0" w:space="0" w:color="auto"/>
                                <w:left w:val="none" w:sz="0" w:space="0" w:color="auto"/>
                                <w:bottom w:val="none" w:sz="0" w:space="0" w:color="auto"/>
                                <w:right w:val="none" w:sz="0" w:space="0" w:color="auto"/>
                              </w:divBdr>
                              <w:divsChild>
                                <w:div w:id="53203919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712066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6345489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99257328">
                                              <w:blockQuote w:val="1"/>
                                              <w:marLeft w:val="600"/>
                                              <w:marRight w:val="0"/>
                                              <w:marTop w:val="120"/>
                                              <w:marBottom w:val="120"/>
                                              <w:divBdr>
                                                <w:top w:val="none" w:sz="0" w:space="0" w:color="auto"/>
                                                <w:left w:val="none" w:sz="0" w:space="0" w:color="auto"/>
                                                <w:bottom w:val="none" w:sz="0" w:space="0" w:color="auto"/>
                                                <w:right w:val="none" w:sz="0" w:space="0" w:color="auto"/>
                                              </w:divBdr>
                                            </w:div>
                                            <w:div w:id="196184254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952308">
      <w:bodyDiv w:val="1"/>
      <w:marLeft w:val="0"/>
      <w:marRight w:val="0"/>
      <w:marTop w:val="0"/>
      <w:marBottom w:val="0"/>
      <w:divBdr>
        <w:top w:val="none" w:sz="0" w:space="0" w:color="auto"/>
        <w:left w:val="none" w:sz="0" w:space="0" w:color="auto"/>
        <w:bottom w:val="none" w:sz="0" w:space="0" w:color="auto"/>
        <w:right w:val="none" w:sz="0" w:space="0" w:color="auto"/>
      </w:divBdr>
      <w:divsChild>
        <w:div w:id="194656643">
          <w:marLeft w:val="0"/>
          <w:marRight w:val="0"/>
          <w:marTop w:val="0"/>
          <w:marBottom w:val="0"/>
          <w:divBdr>
            <w:top w:val="none" w:sz="0" w:space="0" w:color="auto"/>
            <w:left w:val="none" w:sz="0" w:space="0" w:color="auto"/>
            <w:bottom w:val="none" w:sz="0" w:space="0" w:color="auto"/>
            <w:right w:val="none" w:sz="0" w:space="0" w:color="auto"/>
          </w:divBdr>
          <w:divsChild>
            <w:div w:id="1837571948">
              <w:marLeft w:val="0"/>
              <w:marRight w:val="0"/>
              <w:marTop w:val="0"/>
              <w:marBottom w:val="0"/>
              <w:divBdr>
                <w:top w:val="none" w:sz="0" w:space="0" w:color="auto"/>
                <w:left w:val="none" w:sz="0" w:space="0" w:color="auto"/>
                <w:bottom w:val="none" w:sz="0" w:space="0" w:color="auto"/>
                <w:right w:val="none" w:sz="0" w:space="0" w:color="auto"/>
              </w:divBdr>
              <w:divsChild>
                <w:div w:id="931355954">
                  <w:marLeft w:val="0"/>
                  <w:marRight w:val="0"/>
                  <w:marTop w:val="0"/>
                  <w:marBottom w:val="0"/>
                  <w:divBdr>
                    <w:top w:val="none" w:sz="0" w:space="0" w:color="auto"/>
                    <w:left w:val="none" w:sz="0" w:space="0" w:color="auto"/>
                    <w:bottom w:val="none" w:sz="0" w:space="0" w:color="auto"/>
                    <w:right w:val="none" w:sz="0" w:space="0" w:color="auto"/>
                  </w:divBdr>
                  <w:divsChild>
                    <w:div w:id="1714503446">
                      <w:marLeft w:val="0"/>
                      <w:marRight w:val="0"/>
                      <w:marTop w:val="0"/>
                      <w:marBottom w:val="0"/>
                      <w:divBdr>
                        <w:top w:val="none" w:sz="0" w:space="0" w:color="auto"/>
                        <w:left w:val="none" w:sz="0" w:space="0" w:color="auto"/>
                        <w:bottom w:val="none" w:sz="0" w:space="0" w:color="auto"/>
                        <w:right w:val="none" w:sz="0" w:space="0" w:color="auto"/>
                      </w:divBdr>
                      <w:divsChild>
                        <w:div w:id="1219822334">
                          <w:marLeft w:val="340"/>
                          <w:marRight w:val="0"/>
                          <w:marTop w:val="300"/>
                          <w:marBottom w:val="120"/>
                          <w:divBdr>
                            <w:top w:val="none" w:sz="0" w:space="0" w:color="auto"/>
                            <w:left w:val="none" w:sz="0" w:space="0" w:color="auto"/>
                            <w:bottom w:val="none" w:sz="0" w:space="0" w:color="auto"/>
                            <w:right w:val="none" w:sz="0" w:space="0" w:color="auto"/>
                          </w:divBdr>
                          <w:divsChild>
                            <w:div w:id="856389672">
                              <w:marLeft w:val="0"/>
                              <w:marRight w:val="0"/>
                              <w:marTop w:val="0"/>
                              <w:marBottom w:val="0"/>
                              <w:divBdr>
                                <w:top w:val="none" w:sz="0" w:space="0" w:color="auto"/>
                                <w:left w:val="none" w:sz="0" w:space="0" w:color="auto"/>
                                <w:bottom w:val="none" w:sz="0" w:space="0" w:color="auto"/>
                                <w:right w:val="none" w:sz="0" w:space="0" w:color="auto"/>
                              </w:divBdr>
                              <w:divsChild>
                                <w:div w:id="205403353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0181027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3342855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07209911">
                                              <w:blockQuote w:val="1"/>
                                              <w:marLeft w:val="600"/>
                                              <w:marRight w:val="0"/>
                                              <w:marTop w:val="120"/>
                                              <w:marBottom w:val="120"/>
                                              <w:divBdr>
                                                <w:top w:val="none" w:sz="0" w:space="0" w:color="auto"/>
                                                <w:left w:val="none" w:sz="0" w:space="0" w:color="auto"/>
                                                <w:bottom w:val="none" w:sz="0" w:space="0" w:color="auto"/>
                                                <w:right w:val="none" w:sz="0" w:space="0" w:color="auto"/>
                                              </w:divBdr>
                                            </w:div>
                                            <w:div w:id="37003919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78981268">
                                                  <w:blockQuote w:val="1"/>
                                                  <w:marLeft w:val="600"/>
                                                  <w:marRight w:val="0"/>
                                                  <w:marTop w:val="120"/>
                                                  <w:marBottom w:val="120"/>
                                                  <w:divBdr>
                                                    <w:top w:val="none" w:sz="0" w:space="0" w:color="auto"/>
                                                    <w:left w:val="none" w:sz="0" w:space="0" w:color="auto"/>
                                                    <w:bottom w:val="none" w:sz="0" w:space="0" w:color="auto"/>
                                                    <w:right w:val="none" w:sz="0" w:space="0" w:color="auto"/>
                                                  </w:divBdr>
                                                </w:div>
                                                <w:div w:id="183286476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56512360">
                                              <w:blockQuote w:val="1"/>
                                              <w:marLeft w:val="600"/>
                                              <w:marRight w:val="0"/>
                                              <w:marTop w:val="120"/>
                                              <w:marBottom w:val="120"/>
                                              <w:divBdr>
                                                <w:top w:val="none" w:sz="0" w:space="0" w:color="auto"/>
                                                <w:left w:val="none" w:sz="0" w:space="0" w:color="auto"/>
                                                <w:bottom w:val="none" w:sz="0" w:space="0" w:color="auto"/>
                                                <w:right w:val="none" w:sz="0" w:space="0" w:color="auto"/>
                                              </w:divBdr>
                                            </w:div>
                                            <w:div w:id="135792418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26467099">
                                                  <w:blockQuote w:val="1"/>
                                                  <w:marLeft w:val="600"/>
                                                  <w:marRight w:val="0"/>
                                                  <w:marTop w:val="120"/>
                                                  <w:marBottom w:val="120"/>
                                                  <w:divBdr>
                                                    <w:top w:val="none" w:sz="0" w:space="0" w:color="auto"/>
                                                    <w:left w:val="none" w:sz="0" w:space="0" w:color="auto"/>
                                                    <w:bottom w:val="none" w:sz="0" w:space="0" w:color="auto"/>
                                                    <w:right w:val="none" w:sz="0" w:space="0" w:color="auto"/>
                                                  </w:divBdr>
                                                </w:div>
                                                <w:div w:id="22387920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177231214">
                                              <w:blockQuote w:val="1"/>
                                              <w:marLeft w:val="600"/>
                                              <w:marRight w:val="0"/>
                                              <w:marTop w:val="120"/>
                                              <w:marBottom w:val="120"/>
                                              <w:divBdr>
                                                <w:top w:val="none" w:sz="0" w:space="0" w:color="auto"/>
                                                <w:left w:val="none" w:sz="0" w:space="0" w:color="auto"/>
                                                <w:bottom w:val="none" w:sz="0" w:space="0" w:color="auto"/>
                                                <w:right w:val="none" w:sz="0" w:space="0" w:color="auto"/>
                                              </w:divBdr>
                                            </w:div>
                                            <w:div w:id="20568501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43130447">
                                                  <w:blockQuote w:val="1"/>
                                                  <w:marLeft w:val="600"/>
                                                  <w:marRight w:val="0"/>
                                                  <w:marTop w:val="120"/>
                                                  <w:marBottom w:val="120"/>
                                                  <w:divBdr>
                                                    <w:top w:val="none" w:sz="0" w:space="0" w:color="auto"/>
                                                    <w:left w:val="none" w:sz="0" w:space="0" w:color="auto"/>
                                                    <w:bottom w:val="none" w:sz="0" w:space="0" w:color="auto"/>
                                                    <w:right w:val="none" w:sz="0" w:space="0" w:color="auto"/>
                                                  </w:divBdr>
                                                </w:div>
                                                <w:div w:id="199232177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6942278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9840482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665202">
      <w:bodyDiv w:val="1"/>
      <w:marLeft w:val="0"/>
      <w:marRight w:val="0"/>
      <w:marTop w:val="0"/>
      <w:marBottom w:val="0"/>
      <w:divBdr>
        <w:top w:val="none" w:sz="0" w:space="0" w:color="auto"/>
        <w:left w:val="none" w:sz="0" w:space="0" w:color="auto"/>
        <w:bottom w:val="none" w:sz="0" w:space="0" w:color="auto"/>
        <w:right w:val="none" w:sz="0" w:space="0" w:color="auto"/>
      </w:divBdr>
      <w:divsChild>
        <w:div w:id="299574490">
          <w:marLeft w:val="0"/>
          <w:marRight w:val="0"/>
          <w:marTop w:val="0"/>
          <w:marBottom w:val="0"/>
          <w:divBdr>
            <w:top w:val="none" w:sz="0" w:space="0" w:color="auto"/>
            <w:left w:val="none" w:sz="0" w:space="0" w:color="auto"/>
            <w:bottom w:val="none" w:sz="0" w:space="0" w:color="auto"/>
            <w:right w:val="none" w:sz="0" w:space="0" w:color="auto"/>
          </w:divBdr>
          <w:divsChild>
            <w:div w:id="1045717329">
              <w:marLeft w:val="0"/>
              <w:marRight w:val="0"/>
              <w:marTop w:val="0"/>
              <w:marBottom w:val="0"/>
              <w:divBdr>
                <w:top w:val="none" w:sz="0" w:space="0" w:color="auto"/>
                <w:left w:val="none" w:sz="0" w:space="0" w:color="auto"/>
                <w:bottom w:val="none" w:sz="0" w:space="0" w:color="auto"/>
                <w:right w:val="none" w:sz="0" w:space="0" w:color="auto"/>
              </w:divBdr>
              <w:divsChild>
                <w:div w:id="1391071638">
                  <w:marLeft w:val="0"/>
                  <w:marRight w:val="0"/>
                  <w:marTop w:val="0"/>
                  <w:marBottom w:val="0"/>
                  <w:divBdr>
                    <w:top w:val="none" w:sz="0" w:space="0" w:color="auto"/>
                    <w:left w:val="none" w:sz="0" w:space="0" w:color="auto"/>
                    <w:bottom w:val="none" w:sz="0" w:space="0" w:color="auto"/>
                    <w:right w:val="none" w:sz="0" w:space="0" w:color="auto"/>
                  </w:divBdr>
                  <w:divsChild>
                    <w:div w:id="2123183483">
                      <w:marLeft w:val="0"/>
                      <w:marRight w:val="0"/>
                      <w:marTop w:val="0"/>
                      <w:marBottom w:val="0"/>
                      <w:divBdr>
                        <w:top w:val="none" w:sz="0" w:space="0" w:color="auto"/>
                        <w:left w:val="none" w:sz="0" w:space="0" w:color="auto"/>
                        <w:bottom w:val="none" w:sz="0" w:space="0" w:color="auto"/>
                        <w:right w:val="none" w:sz="0" w:space="0" w:color="auto"/>
                      </w:divBdr>
                      <w:divsChild>
                        <w:div w:id="1063715076">
                          <w:marLeft w:val="340"/>
                          <w:marRight w:val="0"/>
                          <w:marTop w:val="300"/>
                          <w:marBottom w:val="120"/>
                          <w:divBdr>
                            <w:top w:val="none" w:sz="0" w:space="0" w:color="auto"/>
                            <w:left w:val="none" w:sz="0" w:space="0" w:color="auto"/>
                            <w:bottom w:val="none" w:sz="0" w:space="0" w:color="auto"/>
                            <w:right w:val="none" w:sz="0" w:space="0" w:color="auto"/>
                          </w:divBdr>
                          <w:divsChild>
                            <w:div w:id="1161850005">
                              <w:marLeft w:val="0"/>
                              <w:marRight w:val="0"/>
                              <w:marTop w:val="0"/>
                              <w:marBottom w:val="0"/>
                              <w:divBdr>
                                <w:top w:val="none" w:sz="0" w:space="0" w:color="auto"/>
                                <w:left w:val="none" w:sz="0" w:space="0" w:color="auto"/>
                                <w:bottom w:val="none" w:sz="0" w:space="0" w:color="auto"/>
                                <w:right w:val="none" w:sz="0" w:space="0" w:color="auto"/>
                              </w:divBdr>
                              <w:divsChild>
                                <w:div w:id="136262961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701667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6154321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80587837">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7756284">
      <w:bodyDiv w:val="1"/>
      <w:marLeft w:val="0"/>
      <w:marRight w:val="0"/>
      <w:marTop w:val="0"/>
      <w:marBottom w:val="0"/>
      <w:divBdr>
        <w:top w:val="none" w:sz="0" w:space="0" w:color="auto"/>
        <w:left w:val="none" w:sz="0" w:space="0" w:color="auto"/>
        <w:bottom w:val="none" w:sz="0" w:space="0" w:color="auto"/>
        <w:right w:val="none" w:sz="0" w:space="0" w:color="auto"/>
      </w:divBdr>
      <w:divsChild>
        <w:div w:id="668289595">
          <w:marLeft w:val="0"/>
          <w:marRight w:val="0"/>
          <w:marTop w:val="0"/>
          <w:marBottom w:val="0"/>
          <w:divBdr>
            <w:top w:val="none" w:sz="0" w:space="0" w:color="auto"/>
            <w:left w:val="none" w:sz="0" w:space="0" w:color="auto"/>
            <w:bottom w:val="none" w:sz="0" w:space="0" w:color="auto"/>
            <w:right w:val="none" w:sz="0" w:space="0" w:color="auto"/>
          </w:divBdr>
          <w:divsChild>
            <w:div w:id="45878267">
              <w:marLeft w:val="0"/>
              <w:marRight w:val="0"/>
              <w:marTop w:val="0"/>
              <w:marBottom w:val="0"/>
              <w:divBdr>
                <w:top w:val="none" w:sz="0" w:space="0" w:color="auto"/>
                <w:left w:val="none" w:sz="0" w:space="0" w:color="auto"/>
                <w:bottom w:val="none" w:sz="0" w:space="0" w:color="auto"/>
                <w:right w:val="none" w:sz="0" w:space="0" w:color="auto"/>
              </w:divBdr>
              <w:divsChild>
                <w:div w:id="656999464">
                  <w:marLeft w:val="0"/>
                  <w:marRight w:val="0"/>
                  <w:marTop w:val="0"/>
                  <w:marBottom w:val="0"/>
                  <w:divBdr>
                    <w:top w:val="none" w:sz="0" w:space="0" w:color="auto"/>
                    <w:left w:val="none" w:sz="0" w:space="0" w:color="auto"/>
                    <w:bottom w:val="none" w:sz="0" w:space="0" w:color="auto"/>
                    <w:right w:val="none" w:sz="0" w:space="0" w:color="auto"/>
                  </w:divBdr>
                  <w:divsChild>
                    <w:div w:id="375929571">
                      <w:marLeft w:val="0"/>
                      <w:marRight w:val="0"/>
                      <w:marTop w:val="0"/>
                      <w:marBottom w:val="0"/>
                      <w:divBdr>
                        <w:top w:val="none" w:sz="0" w:space="0" w:color="auto"/>
                        <w:left w:val="none" w:sz="0" w:space="0" w:color="auto"/>
                        <w:bottom w:val="none" w:sz="0" w:space="0" w:color="auto"/>
                        <w:right w:val="none" w:sz="0" w:space="0" w:color="auto"/>
                      </w:divBdr>
                      <w:divsChild>
                        <w:div w:id="1238200388">
                          <w:marLeft w:val="0"/>
                          <w:marRight w:val="0"/>
                          <w:marTop w:val="0"/>
                          <w:marBottom w:val="0"/>
                          <w:divBdr>
                            <w:top w:val="none" w:sz="0" w:space="0" w:color="auto"/>
                            <w:left w:val="none" w:sz="0" w:space="0" w:color="auto"/>
                            <w:bottom w:val="none" w:sz="0" w:space="0" w:color="auto"/>
                            <w:right w:val="none" w:sz="0" w:space="0" w:color="auto"/>
                          </w:divBdr>
                          <w:divsChild>
                            <w:div w:id="950891723">
                              <w:marLeft w:val="0"/>
                              <w:marRight w:val="0"/>
                              <w:marTop w:val="0"/>
                              <w:marBottom w:val="0"/>
                              <w:divBdr>
                                <w:top w:val="none" w:sz="0" w:space="0" w:color="auto"/>
                                <w:left w:val="none" w:sz="0" w:space="0" w:color="auto"/>
                                <w:bottom w:val="none" w:sz="0" w:space="0" w:color="auto"/>
                                <w:right w:val="none" w:sz="0" w:space="0" w:color="auto"/>
                              </w:divBdr>
                              <w:divsChild>
                                <w:div w:id="1174345868">
                                  <w:marLeft w:val="600"/>
                                  <w:marRight w:val="0"/>
                                  <w:marTop w:val="0"/>
                                  <w:marBottom w:val="0"/>
                                  <w:divBdr>
                                    <w:top w:val="none" w:sz="0" w:space="0" w:color="auto"/>
                                    <w:left w:val="none" w:sz="0" w:space="0" w:color="auto"/>
                                    <w:bottom w:val="none" w:sz="0" w:space="0" w:color="auto"/>
                                    <w:right w:val="none" w:sz="0" w:space="0" w:color="auto"/>
                                  </w:divBdr>
                                  <w:divsChild>
                                    <w:div w:id="17878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947792">
      <w:bodyDiv w:val="1"/>
      <w:marLeft w:val="0"/>
      <w:marRight w:val="0"/>
      <w:marTop w:val="0"/>
      <w:marBottom w:val="0"/>
      <w:divBdr>
        <w:top w:val="none" w:sz="0" w:space="0" w:color="auto"/>
        <w:left w:val="none" w:sz="0" w:space="0" w:color="auto"/>
        <w:bottom w:val="none" w:sz="0" w:space="0" w:color="auto"/>
        <w:right w:val="none" w:sz="0" w:space="0" w:color="auto"/>
      </w:divBdr>
      <w:divsChild>
        <w:div w:id="1732458162">
          <w:marLeft w:val="0"/>
          <w:marRight w:val="0"/>
          <w:marTop w:val="0"/>
          <w:marBottom w:val="0"/>
          <w:divBdr>
            <w:top w:val="none" w:sz="0" w:space="0" w:color="auto"/>
            <w:left w:val="none" w:sz="0" w:space="0" w:color="auto"/>
            <w:bottom w:val="none" w:sz="0" w:space="0" w:color="auto"/>
            <w:right w:val="none" w:sz="0" w:space="0" w:color="auto"/>
          </w:divBdr>
          <w:divsChild>
            <w:div w:id="1115363609">
              <w:marLeft w:val="0"/>
              <w:marRight w:val="0"/>
              <w:marTop w:val="0"/>
              <w:marBottom w:val="0"/>
              <w:divBdr>
                <w:top w:val="none" w:sz="0" w:space="0" w:color="auto"/>
                <w:left w:val="none" w:sz="0" w:space="0" w:color="auto"/>
                <w:bottom w:val="none" w:sz="0" w:space="0" w:color="auto"/>
                <w:right w:val="none" w:sz="0" w:space="0" w:color="auto"/>
              </w:divBdr>
              <w:divsChild>
                <w:div w:id="1599750544">
                  <w:marLeft w:val="0"/>
                  <w:marRight w:val="0"/>
                  <w:marTop w:val="0"/>
                  <w:marBottom w:val="0"/>
                  <w:divBdr>
                    <w:top w:val="none" w:sz="0" w:space="0" w:color="auto"/>
                    <w:left w:val="none" w:sz="0" w:space="0" w:color="auto"/>
                    <w:bottom w:val="none" w:sz="0" w:space="0" w:color="auto"/>
                    <w:right w:val="none" w:sz="0" w:space="0" w:color="auto"/>
                  </w:divBdr>
                  <w:divsChild>
                    <w:div w:id="169607928">
                      <w:marLeft w:val="0"/>
                      <w:marRight w:val="0"/>
                      <w:marTop w:val="0"/>
                      <w:marBottom w:val="0"/>
                      <w:divBdr>
                        <w:top w:val="none" w:sz="0" w:space="0" w:color="auto"/>
                        <w:left w:val="none" w:sz="0" w:space="0" w:color="auto"/>
                        <w:bottom w:val="none" w:sz="0" w:space="0" w:color="auto"/>
                        <w:right w:val="none" w:sz="0" w:space="0" w:color="auto"/>
                      </w:divBdr>
                      <w:divsChild>
                        <w:div w:id="1694762211">
                          <w:marLeft w:val="340"/>
                          <w:marRight w:val="0"/>
                          <w:marTop w:val="300"/>
                          <w:marBottom w:val="120"/>
                          <w:divBdr>
                            <w:top w:val="none" w:sz="0" w:space="0" w:color="auto"/>
                            <w:left w:val="none" w:sz="0" w:space="0" w:color="auto"/>
                            <w:bottom w:val="none" w:sz="0" w:space="0" w:color="auto"/>
                            <w:right w:val="none" w:sz="0" w:space="0" w:color="auto"/>
                          </w:divBdr>
                          <w:divsChild>
                            <w:div w:id="290940507">
                              <w:marLeft w:val="0"/>
                              <w:marRight w:val="0"/>
                              <w:marTop w:val="0"/>
                              <w:marBottom w:val="0"/>
                              <w:divBdr>
                                <w:top w:val="none" w:sz="0" w:space="0" w:color="auto"/>
                                <w:left w:val="none" w:sz="0" w:space="0" w:color="auto"/>
                                <w:bottom w:val="none" w:sz="0" w:space="0" w:color="auto"/>
                                <w:right w:val="none" w:sz="0" w:space="0" w:color="auto"/>
                              </w:divBdr>
                              <w:divsChild>
                                <w:div w:id="153145389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727788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7775850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5298579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9996014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99293979">
                                                      <w:blockQuote w:val="1"/>
                                                      <w:marLeft w:val="600"/>
                                                      <w:marRight w:val="0"/>
                                                      <w:marTop w:val="120"/>
                                                      <w:marBottom w:val="120"/>
                                                      <w:divBdr>
                                                        <w:top w:val="none" w:sz="0" w:space="0" w:color="auto"/>
                                                        <w:left w:val="none" w:sz="0" w:space="0" w:color="auto"/>
                                                        <w:bottom w:val="none" w:sz="0" w:space="0" w:color="auto"/>
                                                        <w:right w:val="none" w:sz="0" w:space="0" w:color="auto"/>
                                                      </w:divBdr>
                                                    </w:div>
                                                    <w:div w:id="28088869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22258284">
                                                  <w:blockQuote w:val="1"/>
                                                  <w:marLeft w:val="600"/>
                                                  <w:marRight w:val="0"/>
                                                  <w:marTop w:val="120"/>
                                                  <w:marBottom w:val="120"/>
                                                  <w:divBdr>
                                                    <w:top w:val="none" w:sz="0" w:space="0" w:color="auto"/>
                                                    <w:left w:val="none" w:sz="0" w:space="0" w:color="auto"/>
                                                    <w:bottom w:val="none" w:sz="0" w:space="0" w:color="auto"/>
                                                    <w:right w:val="none" w:sz="0" w:space="0" w:color="auto"/>
                                                  </w:divBdr>
                                                </w:div>
                                                <w:div w:id="970327659">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1009137027">
                                                      <w:blockQuote w:val="1"/>
                                                      <w:marLeft w:val="340"/>
                                                      <w:marRight w:val="0"/>
                                                      <w:marTop w:val="80"/>
                                                      <w:marBottom w:val="80"/>
                                                      <w:divBdr>
                                                        <w:top w:val="none" w:sz="0" w:space="0" w:color="auto"/>
                                                        <w:left w:val="none" w:sz="0" w:space="0" w:color="auto"/>
                                                        <w:bottom w:val="none" w:sz="0" w:space="0" w:color="auto"/>
                                                        <w:right w:val="none" w:sz="0" w:space="0" w:color="auto"/>
                                                      </w:divBdr>
                                                    </w:div>
                                                    <w:div w:id="1924096825">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4411364">
      <w:bodyDiv w:val="1"/>
      <w:marLeft w:val="0"/>
      <w:marRight w:val="0"/>
      <w:marTop w:val="0"/>
      <w:marBottom w:val="0"/>
      <w:divBdr>
        <w:top w:val="none" w:sz="0" w:space="0" w:color="auto"/>
        <w:left w:val="none" w:sz="0" w:space="0" w:color="auto"/>
        <w:bottom w:val="none" w:sz="0" w:space="0" w:color="auto"/>
        <w:right w:val="none" w:sz="0" w:space="0" w:color="auto"/>
      </w:divBdr>
      <w:divsChild>
        <w:div w:id="1862165080">
          <w:marLeft w:val="0"/>
          <w:marRight w:val="0"/>
          <w:marTop w:val="0"/>
          <w:marBottom w:val="0"/>
          <w:divBdr>
            <w:top w:val="none" w:sz="0" w:space="0" w:color="auto"/>
            <w:left w:val="none" w:sz="0" w:space="0" w:color="auto"/>
            <w:bottom w:val="none" w:sz="0" w:space="0" w:color="auto"/>
            <w:right w:val="none" w:sz="0" w:space="0" w:color="auto"/>
          </w:divBdr>
          <w:divsChild>
            <w:div w:id="320500113">
              <w:marLeft w:val="0"/>
              <w:marRight w:val="0"/>
              <w:marTop w:val="0"/>
              <w:marBottom w:val="0"/>
              <w:divBdr>
                <w:top w:val="none" w:sz="0" w:space="0" w:color="auto"/>
                <w:left w:val="none" w:sz="0" w:space="0" w:color="auto"/>
                <w:bottom w:val="none" w:sz="0" w:space="0" w:color="auto"/>
                <w:right w:val="none" w:sz="0" w:space="0" w:color="auto"/>
              </w:divBdr>
              <w:divsChild>
                <w:div w:id="1577855436">
                  <w:marLeft w:val="0"/>
                  <w:marRight w:val="0"/>
                  <w:marTop w:val="0"/>
                  <w:marBottom w:val="0"/>
                  <w:divBdr>
                    <w:top w:val="none" w:sz="0" w:space="0" w:color="auto"/>
                    <w:left w:val="none" w:sz="0" w:space="0" w:color="auto"/>
                    <w:bottom w:val="none" w:sz="0" w:space="0" w:color="auto"/>
                    <w:right w:val="none" w:sz="0" w:space="0" w:color="auto"/>
                  </w:divBdr>
                  <w:divsChild>
                    <w:div w:id="1256667219">
                      <w:marLeft w:val="0"/>
                      <w:marRight w:val="0"/>
                      <w:marTop w:val="0"/>
                      <w:marBottom w:val="0"/>
                      <w:divBdr>
                        <w:top w:val="none" w:sz="0" w:space="0" w:color="auto"/>
                        <w:left w:val="none" w:sz="0" w:space="0" w:color="auto"/>
                        <w:bottom w:val="none" w:sz="0" w:space="0" w:color="auto"/>
                        <w:right w:val="none" w:sz="0" w:space="0" w:color="auto"/>
                      </w:divBdr>
                      <w:divsChild>
                        <w:div w:id="1380663322">
                          <w:marLeft w:val="340"/>
                          <w:marRight w:val="0"/>
                          <w:marTop w:val="300"/>
                          <w:marBottom w:val="120"/>
                          <w:divBdr>
                            <w:top w:val="none" w:sz="0" w:space="0" w:color="auto"/>
                            <w:left w:val="none" w:sz="0" w:space="0" w:color="auto"/>
                            <w:bottom w:val="none" w:sz="0" w:space="0" w:color="auto"/>
                            <w:right w:val="none" w:sz="0" w:space="0" w:color="auto"/>
                          </w:divBdr>
                          <w:divsChild>
                            <w:div w:id="1211695663">
                              <w:marLeft w:val="0"/>
                              <w:marRight w:val="0"/>
                              <w:marTop w:val="0"/>
                              <w:marBottom w:val="0"/>
                              <w:divBdr>
                                <w:top w:val="none" w:sz="0" w:space="0" w:color="auto"/>
                                <w:left w:val="none" w:sz="0" w:space="0" w:color="auto"/>
                                <w:bottom w:val="none" w:sz="0" w:space="0" w:color="auto"/>
                                <w:right w:val="none" w:sz="0" w:space="0" w:color="auto"/>
                              </w:divBdr>
                              <w:divsChild>
                                <w:div w:id="188227804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1348883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244851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81059130">
                                              <w:blockQuote w:val="1"/>
                                              <w:marLeft w:val="600"/>
                                              <w:marRight w:val="0"/>
                                              <w:marTop w:val="120"/>
                                              <w:marBottom w:val="120"/>
                                              <w:divBdr>
                                                <w:top w:val="none" w:sz="0" w:space="0" w:color="auto"/>
                                                <w:left w:val="none" w:sz="0" w:space="0" w:color="auto"/>
                                                <w:bottom w:val="none" w:sz="0" w:space="0" w:color="auto"/>
                                                <w:right w:val="none" w:sz="0" w:space="0" w:color="auto"/>
                                              </w:divBdr>
                                            </w:div>
                                            <w:div w:id="433329970">
                                              <w:blockQuote w:val="1"/>
                                              <w:marLeft w:val="600"/>
                                              <w:marRight w:val="0"/>
                                              <w:marTop w:val="120"/>
                                              <w:marBottom w:val="120"/>
                                              <w:divBdr>
                                                <w:top w:val="none" w:sz="0" w:space="0" w:color="auto"/>
                                                <w:left w:val="none" w:sz="0" w:space="0" w:color="auto"/>
                                                <w:bottom w:val="none" w:sz="0" w:space="0" w:color="auto"/>
                                                <w:right w:val="none" w:sz="0" w:space="0" w:color="auto"/>
                                              </w:divBdr>
                                            </w:div>
                                            <w:div w:id="29322010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24264809">
                                                  <w:blockQuote w:val="1"/>
                                                  <w:marLeft w:val="0"/>
                                                  <w:marRight w:val="0"/>
                                                  <w:marTop w:val="120"/>
                                                  <w:marBottom w:val="120"/>
                                                  <w:divBdr>
                                                    <w:top w:val="none" w:sz="0" w:space="0" w:color="auto"/>
                                                    <w:left w:val="none" w:sz="0" w:space="0" w:color="auto"/>
                                                    <w:bottom w:val="none" w:sz="0" w:space="0" w:color="auto"/>
                                                    <w:right w:val="none" w:sz="0" w:space="0" w:color="auto"/>
                                                  </w:divBdr>
                                                </w:div>
                                                <w:div w:id="2053797092">
                                                  <w:blockQuote w:val="1"/>
                                                  <w:marLeft w:val="600"/>
                                                  <w:marRight w:val="0"/>
                                                  <w:marTop w:val="120"/>
                                                  <w:marBottom w:val="120"/>
                                                  <w:divBdr>
                                                    <w:top w:val="none" w:sz="0" w:space="0" w:color="auto"/>
                                                    <w:left w:val="none" w:sz="0" w:space="0" w:color="auto"/>
                                                    <w:bottom w:val="none" w:sz="0" w:space="0" w:color="auto"/>
                                                    <w:right w:val="none" w:sz="0" w:space="0" w:color="auto"/>
                                                  </w:divBdr>
                                                </w:div>
                                                <w:div w:id="2121412372">
                                                  <w:blockQuote w:val="1"/>
                                                  <w:marLeft w:val="600"/>
                                                  <w:marRight w:val="0"/>
                                                  <w:marTop w:val="120"/>
                                                  <w:marBottom w:val="120"/>
                                                  <w:divBdr>
                                                    <w:top w:val="none" w:sz="0" w:space="0" w:color="auto"/>
                                                    <w:left w:val="none" w:sz="0" w:space="0" w:color="auto"/>
                                                    <w:bottom w:val="none" w:sz="0" w:space="0" w:color="auto"/>
                                                    <w:right w:val="none" w:sz="0" w:space="0" w:color="auto"/>
                                                  </w:divBdr>
                                                </w:div>
                                                <w:div w:id="5676911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178910">
      <w:bodyDiv w:val="1"/>
      <w:marLeft w:val="0"/>
      <w:marRight w:val="0"/>
      <w:marTop w:val="0"/>
      <w:marBottom w:val="0"/>
      <w:divBdr>
        <w:top w:val="none" w:sz="0" w:space="0" w:color="auto"/>
        <w:left w:val="none" w:sz="0" w:space="0" w:color="auto"/>
        <w:bottom w:val="none" w:sz="0" w:space="0" w:color="auto"/>
        <w:right w:val="none" w:sz="0" w:space="0" w:color="auto"/>
      </w:divBdr>
      <w:divsChild>
        <w:div w:id="1985742471">
          <w:marLeft w:val="0"/>
          <w:marRight w:val="0"/>
          <w:marTop w:val="0"/>
          <w:marBottom w:val="0"/>
          <w:divBdr>
            <w:top w:val="none" w:sz="0" w:space="0" w:color="auto"/>
            <w:left w:val="none" w:sz="0" w:space="0" w:color="auto"/>
            <w:bottom w:val="none" w:sz="0" w:space="0" w:color="auto"/>
            <w:right w:val="none" w:sz="0" w:space="0" w:color="auto"/>
          </w:divBdr>
          <w:divsChild>
            <w:div w:id="198249202">
              <w:marLeft w:val="0"/>
              <w:marRight w:val="0"/>
              <w:marTop w:val="0"/>
              <w:marBottom w:val="0"/>
              <w:divBdr>
                <w:top w:val="none" w:sz="0" w:space="0" w:color="auto"/>
                <w:left w:val="none" w:sz="0" w:space="0" w:color="auto"/>
                <w:bottom w:val="none" w:sz="0" w:space="0" w:color="auto"/>
                <w:right w:val="none" w:sz="0" w:space="0" w:color="auto"/>
              </w:divBdr>
              <w:divsChild>
                <w:div w:id="657923218">
                  <w:marLeft w:val="0"/>
                  <w:marRight w:val="0"/>
                  <w:marTop w:val="0"/>
                  <w:marBottom w:val="0"/>
                  <w:divBdr>
                    <w:top w:val="none" w:sz="0" w:space="0" w:color="auto"/>
                    <w:left w:val="none" w:sz="0" w:space="0" w:color="auto"/>
                    <w:bottom w:val="none" w:sz="0" w:space="0" w:color="auto"/>
                    <w:right w:val="none" w:sz="0" w:space="0" w:color="auto"/>
                  </w:divBdr>
                  <w:divsChild>
                    <w:div w:id="1405953528">
                      <w:marLeft w:val="0"/>
                      <w:marRight w:val="0"/>
                      <w:marTop w:val="0"/>
                      <w:marBottom w:val="0"/>
                      <w:divBdr>
                        <w:top w:val="none" w:sz="0" w:space="0" w:color="auto"/>
                        <w:left w:val="none" w:sz="0" w:space="0" w:color="auto"/>
                        <w:bottom w:val="none" w:sz="0" w:space="0" w:color="auto"/>
                        <w:right w:val="none" w:sz="0" w:space="0" w:color="auto"/>
                      </w:divBdr>
                      <w:divsChild>
                        <w:div w:id="1577931974">
                          <w:marLeft w:val="340"/>
                          <w:marRight w:val="0"/>
                          <w:marTop w:val="300"/>
                          <w:marBottom w:val="120"/>
                          <w:divBdr>
                            <w:top w:val="none" w:sz="0" w:space="0" w:color="auto"/>
                            <w:left w:val="none" w:sz="0" w:space="0" w:color="auto"/>
                            <w:bottom w:val="none" w:sz="0" w:space="0" w:color="auto"/>
                            <w:right w:val="none" w:sz="0" w:space="0" w:color="auto"/>
                          </w:divBdr>
                          <w:divsChild>
                            <w:div w:id="1809130411">
                              <w:marLeft w:val="0"/>
                              <w:marRight w:val="0"/>
                              <w:marTop w:val="0"/>
                              <w:marBottom w:val="0"/>
                              <w:divBdr>
                                <w:top w:val="none" w:sz="0" w:space="0" w:color="auto"/>
                                <w:left w:val="none" w:sz="0" w:space="0" w:color="auto"/>
                                <w:bottom w:val="none" w:sz="0" w:space="0" w:color="auto"/>
                                <w:right w:val="none" w:sz="0" w:space="0" w:color="auto"/>
                              </w:divBdr>
                              <w:divsChild>
                                <w:div w:id="61737126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059573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398680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0350226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4701322">
      <w:bodyDiv w:val="1"/>
      <w:marLeft w:val="0"/>
      <w:marRight w:val="0"/>
      <w:marTop w:val="0"/>
      <w:marBottom w:val="0"/>
      <w:divBdr>
        <w:top w:val="none" w:sz="0" w:space="0" w:color="auto"/>
        <w:left w:val="none" w:sz="0" w:space="0" w:color="auto"/>
        <w:bottom w:val="none" w:sz="0" w:space="0" w:color="auto"/>
        <w:right w:val="none" w:sz="0" w:space="0" w:color="auto"/>
      </w:divBdr>
      <w:divsChild>
        <w:div w:id="153645910">
          <w:marLeft w:val="0"/>
          <w:marRight w:val="0"/>
          <w:marTop w:val="0"/>
          <w:marBottom w:val="0"/>
          <w:divBdr>
            <w:top w:val="none" w:sz="0" w:space="0" w:color="auto"/>
            <w:left w:val="none" w:sz="0" w:space="0" w:color="auto"/>
            <w:bottom w:val="none" w:sz="0" w:space="0" w:color="auto"/>
            <w:right w:val="none" w:sz="0" w:space="0" w:color="auto"/>
          </w:divBdr>
          <w:divsChild>
            <w:div w:id="1074816925">
              <w:marLeft w:val="0"/>
              <w:marRight w:val="0"/>
              <w:marTop w:val="0"/>
              <w:marBottom w:val="0"/>
              <w:divBdr>
                <w:top w:val="none" w:sz="0" w:space="0" w:color="auto"/>
                <w:left w:val="none" w:sz="0" w:space="0" w:color="auto"/>
                <w:bottom w:val="none" w:sz="0" w:space="0" w:color="auto"/>
                <w:right w:val="none" w:sz="0" w:space="0" w:color="auto"/>
              </w:divBdr>
              <w:divsChild>
                <w:div w:id="2018339392">
                  <w:marLeft w:val="0"/>
                  <w:marRight w:val="0"/>
                  <w:marTop w:val="0"/>
                  <w:marBottom w:val="0"/>
                  <w:divBdr>
                    <w:top w:val="none" w:sz="0" w:space="0" w:color="auto"/>
                    <w:left w:val="none" w:sz="0" w:space="0" w:color="auto"/>
                    <w:bottom w:val="none" w:sz="0" w:space="0" w:color="auto"/>
                    <w:right w:val="none" w:sz="0" w:space="0" w:color="auto"/>
                  </w:divBdr>
                  <w:divsChild>
                    <w:div w:id="1712261117">
                      <w:marLeft w:val="0"/>
                      <w:marRight w:val="0"/>
                      <w:marTop w:val="0"/>
                      <w:marBottom w:val="0"/>
                      <w:divBdr>
                        <w:top w:val="none" w:sz="0" w:space="0" w:color="auto"/>
                        <w:left w:val="none" w:sz="0" w:space="0" w:color="auto"/>
                        <w:bottom w:val="none" w:sz="0" w:space="0" w:color="auto"/>
                        <w:right w:val="none" w:sz="0" w:space="0" w:color="auto"/>
                      </w:divBdr>
                      <w:divsChild>
                        <w:div w:id="791947062">
                          <w:marLeft w:val="340"/>
                          <w:marRight w:val="0"/>
                          <w:marTop w:val="300"/>
                          <w:marBottom w:val="120"/>
                          <w:divBdr>
                            <w:top w:val="none" w:sz="0" w:space="0" w:color="auto"/>
                            <w:left w:val="none" w:sz="0" w:space="0" w:color="auto"/>
                            <w:bottom w:val="none" w:sz="0" w:space="0" w:color="auto"/>
                            <w:right w:val="none" w:sz="0" w:space="0" w:color="auto"/>
                          </w:divBdr>
                          <w:divsChild>
                            <w:div w:id="853691969">
                              <w:marLeft w:val="0"/>
                              <w:marRight w:val="0"/>
                              <w:marTop w:val="0"/>
                              <w:marBottom w:val="0"/>
                              <w:divBdr>
                                <w:top w:val="none" w:sz="0" w:space="0" w:color="auto"/>
                                <w:left w:val="none" w:sz="0" w:space="0" w:color="auto"/>
                                <w:bottom w:val="none" w:sz="0" w:space="0" w:color="auto"/>
                                <w:right w:val="none" w:sz="0" w:space="0" w:color="auto"/>
                              </w:divBdr>
                              <w:divsChild>
                                <w:div w:id="111760679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4993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37785139">
                                          <w:marLeft w:val="0"/>
                                          <w:marRight w:val="0"/>
                                          <w:marTop w:val="200"/>
                                          <w:marBottom w:val="200"/>
                                          <w:divBdr>
                                            <w:top w:val="none" w:sz="0" w:space="0" w:color="auto"/>
                                            <w:left w:val="none" w:sz="0" w:space="0" w:color="auto"/>
                                            <w:bottom w:val="none" w:sz="0" w:space="0" w:color="auto"/>
                                            <w:right w:val="none" w:sz="0" w:space="0" w:color="auto"/>
                                          </w:divBdr>
                                        </w:div>
                                        <w:div w:id="39370401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04840797">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0423044">
      <w:bodyDiv w:val="1"/>
      <w:marLeft w:val="0"/>
      <w:marRight w:val="0"/>
      <w:marTop w:val="0"/>
      <w:marBottom w:val="0"/>
      <w:divBdr>
        <w:top w:val="none" w:sz="0" w:space="0" w:color="auto"/>
        <w:left w:val="none" w:sz="0" w:space="0" w:color="auto"/>
        <w:bottom w:val="none" w:sz="0" w:space="0" w:color="auto"/>
        <w:right w:val="none" w:sz="0" w:space="0" w:color="auto"/>
      </w:divBdr>
      <w:divsChild>
        <w:div w:id="2018312792">
          <w:marLeft w:val="0"/>
          <w:marRight w:val="0"/>
          <w:marTop w:val="0"/>
          <w:marBottom w:val="0"/>
          <w:divBdr>
            <w:top w:val="none" w:sz="0" w:space="0" w:color="auto"/>
            <w:left w:val="none" w:sz="0" w:space="0" w:color="auto"/>
            <w:bottom w:val="none" w:sz="0" w:space="0" w:color="auto"/>
            <w:right w:val="none" w:sz="0" w:space="0" w:color="auto"/>
          </w:divBdr>
          <w:divsChild>
            <w:div w:id="1435249970">
              <w:marLeft w:val="0"/>
              <w:marRight w:val="0"/>
              <w:marTop w:val="0"/>
              <w:marBottom w:val="0"/>
              <w:divBdr>
                <w:top w:val="none" w:sz="0" w:space="0" w:color="auto"/>
                <w:left w:val="none" w:sz="0" w:space="0" w:color="auto"/>
                <w:bottom w:val="none" w:sz="0" w:space="0" w:color="auto"/>
                <w:right w:val="none" w:sz="0" w:space="0" w:color="auto"/>
              </w:divBdr>
              <w:divsChild>
                <w:div w:id="1216815102">
                  <w:marLeft w:val="0"/>
                  <w:marRight w:val="0"/>
                  <w:marTop w:val="0"/>
                  <w:marBottom w:val="0"/>
                  <w:divBdr>
                    <w:top w:val="none" w:sz="0" w:space="0" w:color="auto"/>
                    <w:left w:val="none" w:sz="0" w:space="0" w:color="auto"/>
                    <w:bottom w:val="none" w:sz="0" w:space="0" w:color="auto"/>
                    <w:right w:val="none" w:sz="0" w:space="0" w:color="auto"/>
                  </w:divBdr>
                  <w:divsChild>
                    <w:div w:id="1911117528">
                      <w:marLeft w:val="0"/>
                      <w:marRight w:val="0"/>
                      <w:marTop w:val="0"/>
                      <w:marBottom w:val="0"/>
                      <w:divBdr>
                        <w:top w:val="none" w:sz="0" w:space="0" w:color="auto"/>
                        <w:left w:val="none" w:sz="0" w:space="0" w:color="auto"/>
                        <w:bottom w:val="none" w:sz="0" w:space="0" w:color="auto"/>
                        <w:right w:val="none" w:sz="0" w:space="0" w:color="auto"/>
                      </w:divBdr>
                      <w:divsChild>
                        <w:div w:id="1473793262">
                          <w:marLeft w:val="340"/>
                          <w:marRight w:val="0"/>
                          <w:marTop w:val="300"/>
                          <w:marBottom w:val="120"/>
                          <w:divBdr>
                            <w:top w:val="none" w:sz="0" w:space="0" w:color="auto"/>
                            <w:left w:val="none" w:sz="0" w:space="0" w:color="auto"/>
                            <w:bottom w:val="none" w:sz="0" w:space="0" w:color="auto"/>
                            <w:right w:val="none" w:sz="0" w:space="0" w:color="auto"/>
                          </w:divBdr>
                          <w:divsChild>
                            <w:div w:id="1724986491">
                              <w:marLeft w:val="0"/>
                              <w:marRight w:val="0"/>
                              <w:marTop w:val="0"/>
                              <w:marBottom w:val="0"/>
                              <w:divBdr>
                                <w:top w:val="none" w:sz="0" w:space="0" w:color="auto"/>
                                <w:left w:val="none" w:sz="0" w:space="0" w:color="auto"/>
                                <w:bottom w:val="none" w:sz="0" w:space="0" w:color="auto"/>
                                <w:right w:val="none" w:sz="0" w:space="0" w:color="auto"/>
                              </w:divBdr>
                              <w:divsChild>
                                <w:div w:id="45495379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988754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760642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56745682">
                                              <w:blockQuote w:val="1"/>
                                              <w:marLeft w:val="0"/>
                                              <w:marRight w:val="0"/>
                                              <w:marTop w:val="120"/>
                                              <w:marBottom w:val="120"/>
                                              <w:divBdr>
                                                <w:top w:val="none" w:sz="0" w:space="0" w:color="auto"/>
                                                <w:left w:val="none" w:sz="0" w:space="0" w:color="auto"/>
                                                <w:bottom w:val="none" w:sz="0" w:space="0" w:color="auto"/>
                                                <w:right w:val="none" w:sz="0" w:space="0" w:color="auto"/>
                                              </w:divBdr>
                                            </w:div>
                                            <w:div w:id="153441675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28387411">
                                                  <w:blockQuote w:val="1"/>
                                                  <w:marLeft w:val="600"/>
                                                  <w:marRight w:val="0"/>
                                                  <w:marTop w:val="120"/>
                                                  <w:marBottom w:val="120"/>
                                                  <w:divBdr>
                                                    <w:top w:val="none" w:sz="0" w:space="0" w:color="auto"/>
                                                    <w:left w:val="none" w:sz="0" w:space="0" w:color="auto"/>
                                                    <w:bottom w:val="none" w:sz="0" w:space="0" w:color="auto"/>
                                                    <w:right w:val="none" w:sz="0" w:space="0" w:color="auto"/>
                                                  </w:divBdr>
                                                </w:div>
                                                <w:div w:id="95020647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4562104">
                                              <w:blockQuote w:val="1"/>
                                              <w:marLeft w:val="600"/>
                                              <w:marRight w:val="0"/>
                                              <w:marTop w:val="120"/>
                                              <w:marBottom w:val="120"/>
                                              <w:divBdr>
                                                <w:top w:val="none" w:sz="0" w:space="0" w:color="auto"/>
                                                <w:left w:val="none" w:sz="0" w:space="0" w:color="auto"/>
                                                <w:bottom w:val="none" w:sz="0" w:space="0" w:color="auto"/>
                                                <w:right w:val="none" w:sz="0" w:space="0" w:color="auto"/>
                                              </w:divBdr>
                                            </w:div>
                                            <w:div w:id="2137789796">
                                              <w:blockQuote w:val="1"/>
                                              <w:marLeft w:val="600"/>
                                              <w:marRight w:val="0"/>
                                              <w:marTop w:val="120"/>
                                              <w:marBottom w:val="120"/>
                                              <w:divBdr>
                                                <w:top w:val="none" w:sz="0" w:space="0" w:color="auto"/>
                                                <w:left w:val="none" w:sz="0" w:space="0" w:color="auto"/>
                                                <w:bottom w:val="none" w:sz="0" w:space="0" w:color="auto"/>
                                                <w:right w:val="none" w:sz="0" w:space="0" w:color="auto"/>
                                              </w:divBdr>
                                            </w:div>
                                            <w:div w:id="844251727">
                                              <w:blockQuote w:val="1"/>
                                              <w:marLeft w:val="600"/>
                                              <w:marRight w:val="0"/>
                                              <w:marTop w:val="120"/>
                                              <w:marBottom w:val="120"/>
                                              <w:divBdr>
                                                <w:top w:val="none" w:sz="0" w:space="0" w:color="auto"/>
                                                <w:left w:val="none" w:sz="0" w:space="0" w:color="auto"/>
                                                <w:bottom w:val="none" w:sz="0" w:space="0" w:color="auto"/>
                                                <w:right w:val="none" w:sz="0" w:space="0" w:color="auto"/>
                                              </w:divBdr>
                                            </w:div>
                                            <w:div w:id="1850171733">
                                              <w:blockQuote w:val="1"/>
                                              <w:marLeft w:val="600"/>
                                              <w:marRight w:val="0"/>
                                              <w:marTop w:val="120"/>
                                              <w:marBottom w:val="120"/>
                                              <w:divBdr>
                                                <w:top w:val="none" w:sz="0" w:space="0" w:color="auto"/>
                                                <w:left w:val="none" w:sz="0" w:space="0" w:color="auto"/>
                                                <w:bottom w:val="none" w:sz="0" w:space="0" w:color="auto"/>
                                                <w:right w:val="none" w:sz="0" w:space="0" w:color="auto"/>
                                              </w:divBdr>
                                            </w:div>
                                            <w:div w:id="603612097">
                                              <w:blockQuote w:val="1"/>
                                              <w:marLeft w:val="600"/>
                                              <w:marRight w:val="0"/>
                                              <w:marTop w:val="120"/>
                                              <w:marBottom w:val="120"/>
                                              <w:divBdr>
                                                <w:top w:val="none" w:sz="0" w:space="0" w:color="auto"/>
                                                <w:left w:val="none" w:sz="0" w:space="0" w:color="auto"/>
                                                <w:bottom w:val="none" w:sz="0" w:space="0" w:color="auto"/>
                                                <w:right w:val="none" w:sz="0" w:space="0" w:color="auto"/>
                                              </w:divBdr>
                                            </w:div>
                                            <w:div w:id="203260437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604784">
      <w:bodyDiv w:val="1"/>
      <w:marLeft w:val="0"/>
      <w:marRight w:val="0"/>
      <w:marTop w:val="0"/>
      <w:marBottom w:val="0"/>
      <w:divBdr>
        <w:top w:val="none" w:sz="0" w:space="0" w:color="auto"/>
        <w:left w:val="none" w:sz="0" w:space="0" w:color="auto"/>
        <w:bottom w:val="none" w:sz="0" w:space="0" w:color="auto"/>
        <w:right w:val="none" w:sz="0" w:space="0" w:color="auto"/>
      </w:divBdr>
      <w:divsChild>
        <w:div w:id="1507864282">
          <w:marLeft w:val="0"/>
          <w:marRight w:val="0"/>
          <w:marTop w:val="0"/>
          <w:marBottom w:val="0"/>
          <w:divBdr>
            <w:top w:val="none" w:sz="0" w:space="0" w:color="auto"/>
            <w:left w:val="none" w:sz="0" w:space="0" w:color="auto"/>
            <w:bottom w:val="none" w:sz="0" w:space="0" w:color="auto"/>
            <w:right w:val="none" w:sz="0" w:space="0" w:color="auto"/>
          </w:divBdr>
          <w:divsChild>
            <w:div w:id="1522937948">
              <w:marLeft w:val="0"/>
              <w:marRight w:val="0"/>
              <w:marTop w:val="0"/>
              <w:marBottom w:val="0"/>
              <w:divBdr>
                <w:top w:val="none" w:sz="0" w:space="0" w:color="auto"/>
                <w:left w:val="none" w:sz="0" w:space="0" w:color="auto"/>
                <w:bottom w:val="none" w:sz="0" w:space="0" w:color="auto"/>
                <w:right w:val="none" w:sz="0" w:space="0" w:color="auto"/>
              </w:divBdr>
              <w:divsChild>
                <w:div w:id="1541817251">
                  <w:marLeft w:val="0"/>
                  <w:marRight w:val="0"/>
                  <w:marTop w:val="0"/>
                  <w:marBottom w:val="0"/>
                  <w:divBdr>
                    <w:top w:val="none" w:sz="0" w:space="0" w:color="auto"/>
                    <w:left w:val="none" w:sz="0" w:space="0" w:color="auto"/>
                    <w:bottom w:val="none" w:sz="0" w:space="0" w:color="auto"/>
                    <w:right w:val="none" w:sz="0" w:space="0" w:color="auto"/>
                  </w:divBdr>
                  <w:divsChild>
                    <w:div w:id="477263342">
                      <w:marLeft w:val="0"/>
                      <w:marRight w:val="0"/>
                      <w:marTop w:val="0"/>
                      <w:marBottom w:val="0"/>
                      <w:divBdr>
                        <w:top w:val="none" w:sz="0" w:space="0" w:color="auto"/>
                        <w:left w:val="none" w:sz="0" w:space="0" w:color="auto"/>
                        <w:bottom w:val="none" w:sz="0" w:space="0" w:color="auto"/>
                        <w:right w:val="none" w:sz="0" w:space="0" w:color="auto"/>
                      </w:divBdr>
                      <w:divsChild>
                        <w:div w:id="400250596">
                          <w:marLeft w:val="0"/>
                          <w:marRight w:val="0"/>
                          <w:marTop w:val="0"/>
                          <w:marBottom w:val="0"/>
                          <w:divBdr>
                            <w:top w:val="none" w:sz="0" w:space="0" w:color="auto"/>
                            <w:left w:val="none" w:sz="0" w:space="0" w:color="auto"/>
                            <w:bottom w:val="none" w:sz="0" w:space="0" w:color="auto"/>
                            <w:right w:val="none" w:sz="0" w:space="0" w:color="auto"/>
                          </w:divBdr>
                          <w:divsChild>
                            <w:div w:id="1721319969">
                              <w:marLeft w:val="0"/>
                              <w:marRight w:val="0"/>
                              <w:marTop w:val="0"/>
                              <w:marBottom w:val="0"/>
                              <w:divBdr>
                                <w:top w:val="none" w:sz="0" w:space="0" w:color="auto"/>
                                <w:left w:val="none" w:sz="0" w:space="0" w:color="auto"/>
                                <w:bottom w:val="none" w:sz="0" w:space="0" w:color="auto"/>
                                <w:right w:val="none" w:sz="0" w:space="0" w:color="auto"/>
                              </w:divBdr>
                              <w:divsChild>
                                <w:div w:id="473180916">
                                  <w:marLeft w:val="600"/>
                                  <w:marRight w:val="0"/>
                                  <w:marTop w:val="0"/>
                                  <w:marBottom w:val="0"/>
                                  <w:divBdr>
                                    <w:top w:val="none" w:sz="0" w:space="0" w:color="auto"/>
                                    <w:left w:val="none" w:sz="0" w:space="0" w:color="auto"/>
                                    <w:bottom w:val="none" w:sz="0" w:space="0" w:color="auto"/>
                                    <w:right w:val="none" w:sz="0" w:space="0" w:color="auto"/>
                                  </w:divBdr>
                                  <w:divsChild>
                                    <w:div w:id="1827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156945">
      <w:bodyDiv w:val="1"/>
      <w:marLeft w:val="0"/>
      <w:marRight w:val="0"/>
      <w:marTop w:val="0"/>
      <w:marBottom w:val="0"/>
      <w:divBdr>
        <w:top w:val="none" w:sz="0" w:space="0" w:color="auto"/>
        <w:left w:val="none" w:sz="0" w:space="0" w:color="auto"/>
        <w:bottom w:val="none" w:sz="0" w:space="0" w:color="auto"/>
        <w:right w:val="none" w:sz="0" w:space="0" w:color="auto"/>
      </w:divBdr>
      <w:divsChild>
        <w:div w:id="616570908">
          <w:marLeft w:val="0"/>
          <w:marRight w:val="0"/>
          <w:marTop w:val="0"/>
          <w:marBottom w:val="0"/>
          <w:divBdr>
            <w:top w:val="none" w:sz="0" w:space="0" w:color="auto"/>
            <w:left w:val="none" w:sz="0" w:space="0" w:color="auto"/>
            <w:bottom w:val="none" w:sz="0" w:space="0" w:color="auto"/>
            <w:right w:val="none" w:sz="0" w:space="0" w:color="auto"/>
          </w:divBdr>
          <w:divsChild>
            <w:div w:id="1510023631">
              <w:marLeft w:val="0"/>
              <w:marRight w:val="0"/>
              <w:marTop w:val="0"/>
              <w:marBottom w:val="0"/>
              <w:divBdr>
                <w:top w:val="none" w:sz="0" w:space="0" w:color="auto"/>
                <w:left w:val="none" w:sz="0" w:space="0" w:color="auto"/>
                <w:bottom w:val="none" w:sz="0" w:space="0" w:color="auto"/>
                <w:right w:val="none" w:sz="0" w:space="0" w:color="auto"/>
              </w:divBdr>
              <w:divsChild>
                <w:div w:id="1063679100">
                  <w:marLeft w:val="0"/>
                  <w:marRight w:val="0"/>
                  <w:marTop w:val="0"/>
                  <w:marBottom w:val="0"/>
                  <w:divBdr>
                    <w:top w:val="none" w:sz="0" w:space="0" w:color="auto"/>
                    <w:left w:val="none" w:sz="0" w:space="0" w:color="auto"/>
                    <w:bottom w:val="none" w:sz="0" w:space="0" w:color="auto"/>
                    <w:right w:val="none" w:sz="0" w:space="0" w:color="auto"/>
                  </w:divBdr>
                  <w:divsChild>
                    <w:div w:id="989870786">
                      <w:marLeft w:val="0"/>
                      <w:marRight w:val="0"/>
                      <w:marTop w:val="0"/>
                      <w:marBottom w:val="0"/>
                      <w:divBdr>
                        <w:top w:val="none" w:sz="0" w:space="0" w:color="auto"/>
                        <w:left w:val="none" w:sz="0" w:space="0" w:color="auto"/>
                        <w:bottom w:val="none" w:sz="0" w:space="0" w:color="auto"/>
                        <w:right w:val="none" w:sz="0" w:space="0" w:color="auto"/>
                      </w:divBdr>
                      <w:divsChild>
                        <w:div w:id="623999326">
                          <w:marLeft w:val="340"/>
                          <w:marRight w:val="0"/>
                          <w:marTop w:val="300"/>
                          <w:marBottom w:val="120"/>
                          <w:divBdr>
                            <w:top w:val="none" w:sz="0" w:space="0" w:color="auto"/>
                            <w:left w:val="none" w:sz="0" w:space="0" w:color="auto"/>
                            <w:bottom w:val="none" w:sz="0" w:space="0" w:color="auto"/>
                            <w:right w:val="none" w:sz="0" w:space="0" w:color="auto"/>
                          </w:divBdr>
                          <w:divsChild>
                            <w:div w:id="479808351">
                              <w:marLeft w:val="0"/>
                              <w:marRight w:val="0"/>
                              <w:marTop w:val="0"/>
                              <w:marBottom w:val="0"/>
                              <w:divBdr>
                                <w:top w:val="none" w:sz="0" w:space="0" w:color="auto"/>
                                <w:left w:val="none" w:sz="0" w:space="0" w:color="auto"/>
                                <w:bottom w:val="none" w:sz="0" w:space="0" w:color="auto"/>
                                <w:right w:val="none" w:sz="0" w:space="0" w:color="auto"/>
                              </w:divBdr>
                              <w:divsChild>
                                <w:div w:id="158853829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648164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4542876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2709801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77616289">
                                                  <w:blockQuote w:val="1"/>
                                                  <w:marLeft w:val="600"/>
                                                  <w:marRight w:val="0"/>
                                                  <w:marTop w:val="120"/>
                                                  <w:marBottom w:val="120"/>
                                                  <w:divBdr>
                                                    <w:top w:val="none" w:sz="0" w:space="0" w:color="auto"/>
                                                    <w:left w:val="none" w:sz="0" w:space="0" w:color="auto"/>
                                                    <w:bottom w:val="none" w:sz="0" w:space="0" w:color="auto"/>
                                                    <w:right w:val="none" w:sz="0" w:space="0" w:color="auto"/>
                                                  </w:divBdr>
                                                </w:div>
                                                <w:div w:id="20007705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6703213">
      <w:bodyDiv w:val="1"/>
      <w:marLeft w:val="0"/>
      <w:marRight w:val="0"/>
      <w:marTop w:val="0"/>
      <w:marBottom w:val="0"/>
      <w:divBdr>
        <w:top w:val="none" w:sz="0" w:space="0" w:color="auto"/>
        <w:left w:val="none" w:sz="0" w:space="0" w:color="auto"/>
        <w:bottom w:val="none" w:sz="0" w:space="0" w:color="auto"/>
        <w:right w:val="none" w:sz="0" w:space="0" w:color="auto"/>
      </w:divBdr>
      <w:divsChild>
        <w:div w:id="330177674">
          <w:marLeft w:val="0"/>
          <w:marRight w:val="0"/>
          <w:marTop w:val="0"/>
          <w:marBottom w:val="0"/>
          <w:divBdr>
            <w:top w:val="none" w:sz="0" w:space="0" w:color="auto"/>
            <w:left w:val="none" w:sz="0" w:space="0" w:color="auto"/>
            <w:bottom w:val="none" w:sz="0" w:space="0" w:color="auto"/>
            <w:right w:val="none" w:sz="0" w:space="0" w:color="auto"/>
          </w:divBdr>
          <w:divsChild>
            <w:div w:id="1252352451">
              <w:marLeft w:val="0"/>
              <w:marRight w:val="0"/>
              <w:marTop w:val="0"/>
              <w:marBottom w:val="0"/>
              <w:divBdr>
                <w:top w:val="none" w:sz="0" w:space="0" w:color="auto"/>
                <w:left w:val="none" w:sz="0" w:space="0" w:color="auto"/>
                <w:bottom w:val="none" w:sz="0" w:space="0" w:color="auto"/>
                <w:right w:val="none" w:sz="0" w:space="0" w:color="auto"/>
              </w:divBdr>
              <w:divsChild>
                <w:div w:id="558982440">
                  <w:marLeft w:val="0"/>
                  <w:marRight w:val="0"/>
                  <w:marTop w:val="0"/>
                  <w:marBottom w:val="0"/>
                  <w:divBdr>
                    <w:top w:val="none" w:sz="0" w:space="0" w:color="auto"/>
                    <w:left w:val="none" w:sz="0" w:space="0" w:color="auto"/>
                    <w:bottom w:val="none" w:sz="0" w:space="0" w:color="auto"/>
                    <w:right w:val="none" w:sz="0" w:space="0" w:color="auto"/>
                  </w:divBdr>
                  <w:divsChild>
                    <w:div w:id="1964071843">
                      <w:marLeft w:val="0"/>
                      <w:marRight w:val="0"/>
                      <w:marTop w:val="0"/>
                      <w:marBottom w:val="0"/>
                      <w:divBdr>
                        <w:top w:val="none" w:sz="0" w:space="0" w:color="auto"/>
                        <w:left w:val="none" w:sz="0" w:space="0" w:color="auto"/>
                        <w:bottom w:val="none" w:sz="0" w:space="0" w:color="auto"/>
                        <w:right w:val="none" w:sz="0" w:space="0" w:color="auto"/>
                      </w:divBdr>
                      <w:divsChild>
                        <w:div w:id="634872241">
                          <w:marLeft w:val="340"/>
                          <w:marRight w:val="0"/>
                          <w:marTop w:val="300"/>
                          <w:marBottom w:val="120"/>
                          <w:divBdr>
                            <w:top w:val="none" w:sz="0" w:space="0" w:color="auto"/>
                            <w:left w:val="none" w:sz="0" w:space="0" w:color="auto"/>
                            <w:bottom w:val="none" w:sz="0" w:space="0" w:color="auto"/>
                            <w:right w:val="none" w:sz="0" w:space="0" w:color="auto"/>
                          </w:divBdr>
                          <w:divsChild>
                            <w:div w:id="196820227">
                              <w:marLeft w:val="0"/>
                              <w:marRight w:val="0"/>
                              <w:marTop w:val="0"/>
                              <w:marBottom w:val="0"/>
                              <w:divBdr>
                                <w:top w:val="none" w:sz="0" w:space="0" w:color="auto"/>
                                <w:left w:val="none" w:sz="0" w:space="0" w:color="auto"/>
                                <w:bottom w:val="none" w:sz="0" w:space="0" w:color="auto"/>
                                <w:right w:val="none" w:sz="0" w:space="0" w:color="auto"/>
                              </w:divBdr>
                              <w:divsChild>
                                <w:div w:id="146932089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588459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8183358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01868">
      <w:bodyDiv w:val="1"/>
      <w:marLeft w:val="0"/>
      <w:marRight w:val="0"/>
      <w:marTop w:val="0"/>
      <w:marBottom w:val="0"/>
      <w:divBdr>
        <w:top w:val="none" w:sz="0" w:space="0" w:color="auto"/>
        <w:left w:val="none" w:sz="0" w:space="0" w:color="auto"/>
        <w:bottom w:val="none" w:sz="0" w:space="0" w:color="auto"/>
        <w:right w:val="none" w:sz="0" w:space="0" w:color="auto"/>
      </w:divBdr>
      <w:divsChild>
        <w:div w:id="820734359">
          <w:marLeft w:val="0"/>
          <w:marRight w:val="0"/>
          <w:marTop w:val="0"/>
          <w:marBottom w:val="0"/>
          <w:divBdr>
            <w:top w:val="none" w:sz="0" w:space="0" w:color="auto"/>
            <w:left w:val="none" w:sz="0" w:space="0" w:color="auto"/>
            <w:bottom w:val="none" w:sz="0" w:space="0" w:color="auto"/>
            <w:right w:val="none" w:sz="0" w:space="0" w:color="auto"/>
          </w:divBdr>
          <w:divsChild>
            <w:div w:id="1889411155">
              <w:marLeft w:val="0"/>
              <w:marRight w:val="0"/>
              <w:marTop w:val="0"/>
              <w:marBottom w:val="0"/>
              <w:divBdr>
                <w:top w:val="none" w:sz="0" w:space="0" w:color="auto"/>
                <w:left w:val="none" w:sz="0" w:space="0" w:color="auto"/>
                <w:bottom w:val="none" w:sz="0" w:space="0" w:color="auto"/>
                <w:right w:val="none" w:sz="0" w:space="0" w:color="auto"/>
              </w:divBdr>
              <w:divsChild>
                <w:div w:id="1982420237">
                  <w:marLeft w:val="0"/>
                  <w:marRight w:val="0"/>
                  <w:marTop w:val="0"/>
                  <w:marBottom w:val="0"/>
                  <w:divBdr>
                    <w:top w:val="none" w:sz="0" w:space="0" w:color="auto"/>
                    <w:left w:val="none" w:sz="0" w:space="0" w:color="auto"/>
                    <w:bottom w:val="none" w:sz="0" w:space="0" w:color="auto"/>
                    <w:right w:val="none" w:sz="0" w:space="0" w:color="auto"/>
                  </w:divBdr>
                  <w:divsChild>
                    <w:div w:id="566257898">
                      <w:marLeft w:val="0"/>
                      <w:marRight w:val="0"/>
                      <w:marTop w:val="0"/>
                      <w:marBottom w:val="0"/>
                      <w:divBdr>
                        <w:top w:val="none" w:sz="0" w:space="0" w:color="auto"/>
                        <w:left w:val="none" w:sz="0" w:space="0" w:color="auto"/>
                        <w:bottom w:val="none" w:sz="0" w:space="0" w:color="auto"/>
                        <w:right w:val="none" w:sz="0" w:space="0" w:color="auto"/>
                      </w:divBdr>
                      <w:divsChild>
                        <w:div w:id="350302909">
                          <w:marLeft w:val="340"/>
                          <w:marRight w:val="0"/>
                          <w:marTop w:val="300"/>
                          <w:marBottom w:val="120"/>
                          <w:divBdr>
                            <w:top w:val="none" w:sz="0" w:space="0" w:color="auto"/>
                            <w:left w:val="none" w:sz="0" w:space="0" w:color="auto"/>
                            <w:bottom w:val="none" w:sz="0" w:space="0" w:color="auto"/>
                            <w:right w:val="none" w:sz="0" w:space="0" w:color="auto"/>
                          </w:divBdr>
                          <w:divsChild>
                            <w:div w:id="757942491">
                              <w:marLeft w:val="0"/>
                              <w:marRight w:val="0"/>
                              <w:marTop w:val="0"/>
                              <w:marBottom w:val="0"/>
                              <w:divBdr>
                                <w:top w:val="none" w:sz="0" w:space="0" w:color="auto"/>
                                <w:left w:val="none" w:sz="0" w:space="0" w:color="auto"/>
                                <w:bottom w:val="none" w:sz="0" w:space="0" w:color="auto"/>
                                <w:right w:val="none" w:sz="0" w:space="0" w:color="auto"/>
                              </w:divBdr>
                              <w:divsChild>
                                <w:div w:id="191647329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3236879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9808012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053394">
      <w:bodyDiv w:val="1"/>
      <w:marLeft w:val="0"/>
      <w:marRight w:val="0"/>
      <w:marTop w:val="0"/>
      <w:marBottom w:val="0"/>
      <w:divBdr>
        <w:top w:val="none" w:sz="0" w:space="0" w:color="auto"/>
        <w:left w:val="none" w:sz="0" w:space="0" w:color="auto"/>
        <w:bottom w:val="none" w:sz="0" w:space="0" w:color="auto"/>
        <w:right w:val="none" w:sz="0" w:space="0" w:color="auto"/>
      </w:divBdr>
      <w:divsChild>
        <w:div w:id="1868828195">
          <w:marLeft w:val="0"/>
          <w:marRight w:val="0"/>
          <w:marTop w:val="0"/>
          <w:marBottom w:val="0"/>
          <w:divBdr>
            <w:top w:val="none" w:sz="0" w:space="0" w:color="auto"/>
            <w:left w:val="none" w:sz="0" w:space="0" w:color="auto"/>
            <w:bottom w:val="none" w:sz="0" w:space="0" w:color="auto"/>
            <w:right w:val="none" w:sz="0" w:space="0" w:color="auto"/>
          </w:divBdr>
          <w:divsChild>
            <w:div w:id="992294024">
              <w:marLeft w:val="0"/>
              <w:marRight w:val="0"/>
              <w:marTop w:val="0"/>
              <w:marBottom w:val="0"/>
              <w:divBdr>
                <w:top w:val="none" w:sz="0" w:space="0" w:color="auto"/>
                <w:left w:val="none" w:sz="0" w:space="0" w:color="auto"/>
                <w:bottom w:val="none" w:sz="0" w:space="0" w:color="auto"/>
                <w:right w:val="none" w:sz="0" w:space="0" w:color="auto"/>
              </w:divBdr>
              <w:divsChild>
                <w:div w:id="231355150">
                  <w:marLeft w:val="0"/>
                  <w:marRight w:val="0"/>
                  <w:marTop w:val="0"/>
                  <w:marBottom w:val="0"/>
                  <w:divBdr>
                    <w:top w:val="none" w:sz="0" w:space="0" w:color="auto"/>
                    <w:left w:val="none" w:sz="0" w:space="0" w:color="auto"/>
                    <w:bottom w:val="none" w:sz="0" w:space="0" w:color="auto"/>
                    <w:right w:val="none" w:sz="0" w:space="0" w:color="auto"/>
                  </w:divBdr>
                  <w:divsChild>
                    <w:div w:id="247887837">
                      <w:marLeft w:val="0"/>
                      <w:marRight w:val="0"/>
                      <w:marTop w:val="0"/>
                      <w:marBottom w:val="0"/>
                      <w:divBdr>
                        <w:top w:val="none" w:sz="0" w:space="0" w:color="auto"/>
                        <w:left w:val="none" w:sz="0" w:space="0" w:color="auto"/>
                        <w:bottom w:val="none" w:sz="0" w:space="0" w:color="auto"/>
                        <w:right w:val="none" w:sz="0" w:space="0" w:color="auto"/>
                      </w:divBdr>
                      <w:divsChild>
                        <w:div w:id="906844684">
                          <w:marLeft w:val="340"/>
                          <w:marRight w:val="0"/>
                          <w:marTop w:val="300"/>
                          <w:marBottom w:val="120"/>
                          <w:divBdr>
                            <w:top w:val="none" w:sz="0" w:space="0" w:color="auto"/>
                            <w:left w:val="none" w:sz="0" w:space="0" w:color="auto"/>
                            <w:bottom w:val="none" w:sz="0" w:space="0" w:color="auto"/>
                            <w:right w:val="none" w:sz="0" w:space="0" w:color="auto"/>
                          </w:divBdr>
                          <w:divsChild>
                            <w:div w:id="152647949">
                              <w:marLeft w:val="0"/>
                              <w:marRight w:val="0"/>
                              <w:marTop w:val="0"/>
                              <w:marBottom w:val="0"/>
                              <w:divBdr>
                                <w:top w:val="none" w:sz="0" w:space="0" w:color="auto"/>
                                <w:left w:val="none" w:sz="0" w:space="0" w:color="auto"/>
                                <w:bottom w:val="none" w:sz="0" w:space="0" w:color="auto"/>
                                <w:right w:val="none" w:sz="0" w:space="0" w:color="auto"/>
                              </w:divBdr>
                              <w:divsChild>
                                <w:div w:id="32814057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969065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9766832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6457707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43822174">
                                                  <w:blockQuote w:val="1"/>
                                                  <w:marLeft w:val="0"/>
                                                  <w:marRight w:val="0"/>
                                                  <w:marTop w:val="120"/>
                                                  <w:marBottom w:val="120"/>
                                                  <w:divBdr>
                                                    <w:top w:val="none" w:sz="0" w:space="0" w:color="auto"/>
                                                    <w:left w:val="none" w:sz="0" w:space="0" w:color="auto"/>
                                                    <w:bottom w:val="none" w:sz="0" w:space="0" w:color="auto"/>
                                                    <w:right w:val="none" w:sz="0" w:space="0" w:color="auto"/>
                                                  </w:divBdr>
                                                </w:div>
                                                <w:div w:id="1577669690">
                                                  <w:blockQuote w:val="1"/>
                                                  <w:marLeft w:val="600"/>
                                                  <w:marRight w:val="0"/>
                                                  <w:marTop w:val="120"/>
                                                  <w:marBottom w:val="120"/>
                                                  <w:divBdr>
                                                    <w:top w:val="none" w:sz="0" w:space="0" w:color="auto"/>
                                                    <w:left w:val="none" w:sz="0" w:space="0" w:color="auto"/>
                                                    <w:bottom w:val="none" w:sz="0" w:space="0" w:color="auto"/>
                                                    <w:right w:val="none" w:sz="0" w:space="0" w:color="auto"/>
                                                  </w:divBdr>
                                                </w:div>
                                                <w:div w:id="1185364794">
                                                  <w:blockQuote w:val="1"/>
                                                  <w:marLeft w:val="600"/>
                                                  <w:marRight w:val="0"/>
                                                  <w:marTop w:val="120"/>
                                                  <w:marBottom w:val="120"/>
                                                  <w:divBdr>
                                                    <w:top w:val="none" w:sz="0" w:space="0" w:color="auto"/>
                                                    <w:left w:val="none" w:sz="0" w:space="0" w:color="auto"/>
                                                    <w:bottom w:val="none" w:sz="0" w:space="0" w:color="auto"/>
                                                    <w:right w:val="none" w:sz="0" w:space="0" w:color="auto"/>
                                                  </w:divBdr>
                                                </w:div>
                                                <w:div w:id="1212614860">
                                                  <w:blockQuote w:val="1"/>
                                                  <w:marLeft w:val="600"/>
                                                  <w:marRight w:val="0"/>
                                                  <w:marTop w:val="120"/>
                                                  <w:marBottom w:val="120"/>
                                                  <w:divBdr>
                                                    <w:top w:val="none" w:sz="0" w:space="0" w:color="auto"/>
                                                    <w:left w:val="none" w:sz="0" w:space="0" w:color="auto"/>
                                                    <w:bottom w:val="none" w:sz="0" w:space="0" w:color="auto"/>
                                                    <w:right w:val="none" w:sz="0" w:space="0" w:color="auto"/>
                                                  </w:divBdr>
                                                </w:div>
                                                <w:div w:id="7058995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058847">
      <w:bodyDiv w:val="1"/>
      <w:marLeft w:val="0"/>
      <w:marRight w:val="0"/>
      <w:marTop w:val="0"/>
      <w:marBottom w:val="0"/>
      <w:divBdr>
        <w:top w:val="none" w:sz="0" w:space="0" w:color="auto"/>
        <w:left w:val="none" w:sz="0" w:space="0" w:color="auto"/>
        <w:bottom w:val="none" w:sz="0" w:space="0" w:color="auto"/>
        <w:right w:val="none" w:sz="0" w:space="0" w:color="auto"/>
      </w:divBdr>
      <w:divsChild>
        <w:div w:id="1575701515">
          <w:marLeft w:val="0"/>
          <w:marRight w:val="0"/>
          <w:marTop w:val="0"/>
          <w:marBottom w:val="0"/>
          <w:divBdr>
            <w:top w:val="none" w:sz="0" w:space="0" w:color="auto"/>
            <w:left w:val="none" w:sz="0" w:space="0" w:color="auto"/>
            <w:bottom w:val="none" w:sz="0" w:space="0" w:color="auto"/>
            <w:right w:val="none" w:sz="0" w:space="0" w:color="auto"/>
          </w:divBdr>
          <w:divsChild>
            <w:div w:id="441994725">
              <w:marLeft w:val="0"/>
              <w:marRight w:val="0"/>
              <w:marTop w:val="0"/>
              <w:marBottom w:val="0"/>
              <w:divBdr>
                <w:top w:val="none" w:sz="0" w:space="0" w:color="auto"/>
                <w:left w:val="none" w:sz="0" w:space="0" w:color="auto"/>
                <w:bottom w:val="none" w:sz="0" w:space="0" w:color="auto"/>
                <w:right w:val="none" w:sz="0" w:space="0" w:color="auto"/>
              </w:divBdr>
              <w:divsChild>
                <w:div w:id="1969310899">
                  <w:marLeft w:val="0"/>
                  <w:marRight w:val="0"/>
                  <w:marTop w:val="0"/>
                  <w:marBottom w:val="0"/>
                  <w:divBdr>
                    <w:top w:val="none" w:sz="0" w:space="0" w:color="auto"/>
                    <w:left w:val="none" w:sz="0" w:space="0" w:color="auto"/>
                    <w:bottom w:val="none" w:sz="0" w:space="0" w:color="auto"/>
                    <w:right w:val="none" w:sz="0" w:space="0" w:color="auto"/>
                  </w:divBdr>
                  <w:divsChild>
                    <w:div w:id="1806964293">
                      <w:marLeft w:val="0"/>
                      <w:marRight w:val="0"/>
                      <w:marTop w:val="0"/>
                      <w:marBottom w:val="0"/>
                      <w:divBdr>
                        <w:top w:val="none" w:sz="0" w:space="0" w:color="auto"/>
                        <w:left w:val="none" w:sz="0" w:space="0" w:color="auto"/>
                        <w:bottom w:val="none" w:sz="0" w:space="0" w:color="auto"/>
                        <w:right w:val="none" w:sz="0" w:space="0" w:color="auto"/>
                      </w:divBdr>
                      <w:divsChild>
                        <w:div w:id="697051855">
                          <w:marLeft w:val="340"/>
                          <w:marRight w:val="0"/>
                          <w:marTop w:val="300"/>
                          <w:marBottom w:val="120"/>
                          <w:divBdr>
                            <w:top w:val="none" w:sz="0" w:space="0" w:color="auto"/>
                            <w:left w:val="none" w:sz="0" w:space="0" w:color="auto"/>
                            <w:bottom w:val="none" w:sz="0" w:space="0" w:color="auto"/>
                            <w:right w:val="none" w:sz="0" w:space="0" w:color="auto"/>
                          </w:divBdr>
                          <w:divsChild>
                            <w:div w:id="2051565299">
                              <w:marLeft w:val="0"/>
                              <w:marRight w:val="0"/>
                              <w:marTop w:val="0"/>
                              <w:marBottom w:val="0"/>
                              <w:divBdr>
                                <w:top w:val="none" w:sz="0" w:space="0" w:color="auto"/>
                                <w:left w:val="none" w:sz="0" w:space="0" w:color="auto"/>
                                <w:bottom w:val="none" w:sz="0" w:space="0" w:color="auto"/>
                                <w:right w:val="none" w:sz="0" w:space="0" w:color="auto"/>
                              </w:divBdr>
                              <w:divsChild>
                                <w:div w:id="25055389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1922998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472654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16241014">
                                              <w:blockQuote w:val="1"/>
                                              <w:marLeft w:val="600"/>
                                              <w:marRight w:val="0"/>
                                              <w:marTop w:val="120"/>
                                              <w:marBottom w:val="120"/>
                                              <w:divBdr>
                                                <w:top w:val="none" w:sz="0" w:space="0" w:color="auto"/>
                                                <w:left w:val="none" w:sz="0" w:space="0" w:color="auto"/>
                                                <w:bottom w:val="none" w:sz="0" w:space="0" w:color="auto"/>
                                                <w:right w:val="none" w:sz="0" w:space="0" w:color="auto"/>
                                              </w:divBdr>
                                            </w:div>
                                            <w:div w:id="4999327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232925">
      <w:bodyDiv w:val="1"/>
      <w:marLeft w:val="0"/>
      <w:marRight w:val="0"/>
      <w:marTop w:val="0"/>
      <w:marBottom w:val="0"/>
      <w:divBdr>
        <w:top w:val="none" w:sz="0" w:space="0" w:color="auto"/>
        <w:left w:val="none" w:sz="0" w:space="0" w:color="auto"/>
        <w:bottom w:val="none" w:sz="0" w:space="0" w:color="auto"/>
        <w:right w:val="none" w:sz="0" w:space="0" w:color="auto"/>
      </w:divBdr>
      <w:divsChild>
        <w:div w:id="148717852">
          <w:marLeft w:val="0"/>
          <w:marRight w:val="0"/>
          <w:marTop w:val="0"/>
          <w:marBottom w:val="0"/>
          <w:divBdr>
            <w:top w:val="none" w:sz="0" w:space="0" w:color="auto"/>
            <w:left w:val="none" w:sz="0" w:space="0" w:color="auto"/>
            <w:bottom w:val="none" w:sz="0" w:space="0" w:color="auto"/>
            <w:right w:val="none" w:sz="0" w:space="0" w:color="auto"/>
          </w:divBdr>
          <w:divsChild>
            <w:div w:id="1752895282">
              <w:marLeft w:val="0"/>
              <w:marRight w:val="0"/>
              <w:marTop w:val="0"/>
              <w:marBottom w:val="0"/>
              <w:divBdr>
                <w:top w:val="none" w:sz="0" w:space="0" w:color="auto"/>
                <w:left w:val="none" w:sz="0" w:space="0" w:color="auto"/>
                <w:bottom w:val="none" w:sz="0" w:space="0" w:color="auto"/>
                <w:right w:val="none" w:sz="0" w:space="0" w:color="auto"/>
              </w:divBdr>
              <w:divsChild>
                <w:div w:id="2044356528">
                  <w:marLeft w:val="0"/>
                  <w:marRight w:val="0"/>
                  <w:marTop w:val="0"/>
                  <w:marBottom w:val="0"/>
                  <w:divBdr>
                    <w:top w:val="none" w:sz="0" w:space="0" w:color="auto"/>
                    <w:left w:val="none" w:sz="0" w:space="0" w:color="auto"/>
                    <w:bottom w:val="none" w:sz="0" w:space="0" w:color="auto"/>
                    <w:right w:val="none" w:sz="0" w:space="0" w:color="auto"/>
                  </w:divBdr>
                  <w:divsChild>
                    <w:div w:id="1014307291">
                      <w:marLeft w:val="0"/>
                      <w:marRight w:val="0"/>
                      <w:marTop w:val="0"/>
                      <w:marBottom w:val="0"/>
                      <w:divBdr>
                        <w:top w:val="none" w:sz="0" w:space="0" w:color="auto"/>
                        <w:left w:val="none" w:sz="0" w:space="0" w:color="auto"/>
                        <w:bottom w:val="none" w:sz="0" w:space="0" w:color="auto"/>
                        <w:right w:val="none" w:sz="0" w:space="0" w:color="auto"/>
                      </w:divBdr>
                      <w:divsChild>
                        <w:div w:id="719744082">
                          <w:marLeft w:val="340"/>
                          <w:marRight w:val="0"/>
                          <w:marTop w:val="300"/>
                          <w:marBottom w:val="120"/>
                          <w:divBdr>
                            <w:top w:val="none" w:sz="0" w:space="0" w:color="auto"/>
                            <w:left w:val="none" w:sz="0" w:space="0" w:color="auto"/>
                            <w:bottom w:val="none" w:sz="0" w:space="0" w:color="auto"/>
                            <w:right w:val="none" w:sz="0" w:space="0" w:color="auto"/>
                          </w:divBdr>
                          <w:divsChild>
                            <w:div w:id="1720398999">
                              <w:marLeft w:val="0"/>
                              <w:marRight w:val="0"/>
                              <w:marTop w:val="0"/>
                              <w:marBottom w:val="0"/>
                              <w:divBdr>
                                <w:top w:val="none" w:sz="0" w:space="0" w:color="auto"/>
                                <w:left w:val="none" w:sz="0" w:space="0" w:color="auto"/>
                                <w:bottom w:val="none" w:sz="0" w:space="0" w:color="auto"/>
                                <w:right w:val="none" w:sz="0" w:space="0" w:color="auto"/>
                              </w:divBdr>
                              <w:divsChild>
                                <w:div w:id="111798916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084737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729959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0826310">
                                              <w:blockQuote w:val="1"/>
                                              <w:marLeft w:val="600"/>
                                              <w:marRight w:val="0"/>
                                              <w:marTop w:val="120"/>
                                              <w:marBottom w:val="120"/>
                                              <w:divBdr>
                                                <w:top w:val="none" w:sz="0" w:space="0" w:color="auto"/>
                                                <w:left w:val="none" w:sz="0" w:space="0" w:color="auto"/>
                                                <w:bottom w:val="none" w:sz="0" w:space="0" w:color="auto"/>
                                                <w:right w:val="none" w:sz="0" w:space="0" w:color="auto"/>
                                              </w:divBdr>
                                            </w:div>
                                            <w:div w:id="818957458">
                                              <w:blockQuote w:val="1"/>
                                              <w:marLeft w:val="600"/>
                                              <w:marRight w:val="0"/>
                                              <w:marTop w:val="120"/>
                                              <w:marBottom w:val="120"/>
                                              <w:divBdr>
                                                <w:top w:val="none" w:sz="0" w:space="0" w:color="auto"/>
                                                <w:left w:val="none" w:sz="0" w:space="0" w:color="auto"/>
                                                <w:bottom w:val="none" w:sz="0" w:space="0" w:color="auto"/>
                                                <w:right w:val="none" w:sz="0" w:space="0" w:color="auto"/>
                                              </w:divBdr>
                                            </w:div>
                                            <w:div w:id="62720161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9847353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29131312">
                                              <w:blockQuote w:val="1"/>
                                              <w:marLeft w:val="0"/>
                                              <w:marRight w:val="0"/>
                                              <w:marTop w:val="120"/>
                                              <w:marBottom w:val="120"/>
                                              <w:divBdr>
                                                <w:top w:val="none" w:sz="0" w:space="0" w:color="auto"/>
                                                <w:left w:val="none" w:sz="0" w:space="0" w:color="auto"/>
                                                <w:bottom w:val="none" w:sz="0" w:space="0" w:color="auto"/>
                                                <w:right w:val="none" w:sz="0" w:space="0" w:color="auto"/>
                                              </w:divBdr>
                                            </w:div>
                                            <w:div w:id="637564418">
                                              <w:blockQuote w:val="1"/>
                                              <w:marLeft w:val="0"/>
                                              <w:marRight w:val="0"/>
                                              <w:marTop w:val="120"/>
                                              <w:marBottom w:val="120"/>
                                              <w:divBdr>
                                                <w:top w:val="none" w:sz="0" w:space="0" w:color="auto"/>
                                                <w:left w:val="none" w:sz="0" w:space="0" w:color="auto"/>
                                                <w:bottom w:val="none" w:sz="0" w:space="0" w:color="auto"/>
                                                <w:right w:val="none" w:sz="0" w:space="0" w:color="auto"/>
                                              </w:divBdr>
                                            </w:div>
                                            <w:div w:id="128295611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2698050">
      <w:bodyDiv w:val="1"/>
      <w:marLeft w:val="0"/>
      <w:marRight w:val="0"/>
      <w:marTop w:val="0"/>
      <w:marBottom w:val="0"/>
      <w:divBdr>
        <w:top w:val="none" w:sz="0" w:space="0" w:color="auto"/>
        <w:left w:val="none" w:sz="0" w:space="0" w:color="auto"/>
        <w:bottom w:val="none" w:sz="0" w:space="0" w:color="auto"/>
        <w:right w:val="none" w:sz="0" w:space="0" w:color="auto"/>
      </w:divBdr>
      <w:divsChild>
        <w:div w:id="1284967641">
          <w:marLeft w:val="0"/>
          <w:marRight w:val="0"/>
          <w:marTop w:val="0"/>
          <w:marBottom w:val="0"/>
          <w:divBdr>
            <w:top w:val="none" w:sz="0" w:space="0" w:color="auto"/>
            <w:left w:val="none" w:sz="0" w:space="0" w:color="auto"/>
            <w:bottom w:val="none" w:sz="0" w:space="0" w:color="auto"/>
            <w:right w:val="none" w:sz="0" w:space="0" w:color="auto"/>
          </w:divBdr>
          <w:divsChild>
            <w:div w:id="2022509697">
              <w:marLeft w:val="0"/>
              <w:marRight w:val="0"/>
              <w:marTop w:val="0"/>
              <w:marBottom w:val="0"/>
              <w:divBdr>
                <w:top w:val="none" w:sz="0" w:space="0" w:color="auto"/>
                <w:left w:val="none" w:sz="0" w:space="0" w:color="auto"/>
                <w:bottom w:val="none" w:sz="0" w:space="0" w:color="auto"/>
                <w:right w:val="none" w:sz="0" w:space="0" w:color="auto"/>
              </w:divBdr>
              <w:divsChild>
                <w:div w:id="1644919189">
                  <w:marLeft w:val="0"/>
                  <w:marRight w:val="0"/>
                  <w:marTop w:val="0"/>
                  <w:marBottom w:val="0"/>
                  <w:divBdr>
                    <w:top w:val="none" w:sz="0" w:space="0" w:color="auto"/>
                    <w:left w:val="none" w:sz="0" w:space="0" w:color="auto"/>
                    <w:bottom w:val="none" w:sz="0" w:space="0" w:color="auto"/>
                    <w:right w:val="none" w:sz="0" w:space="0" w:color="auto"/>
                  </w:divBdr>
                  <w:divsChild>
                    <w:div w:id="445470648">
                      <w:marLeft w:val="0"/>
                      <w:marRight w:val="0"/>
                      <w:marTop w:val="0"/>
                      <w:marBottom w:val="0"/>
                      <w:divBdr>
                        <w:top w:val="none" w:sz="0" w:space="0" w:color="auto"/>
                        <w:left w:val="none" w:sz="0" w:space="0" w:color="auto"/>
                        <w:bottom w:val="none" w:sz="0" w:space="0" w:color="auto"/>
                        <w:right w:val="none" w:sz="0" w:space="0" w:color="auto"/>
                      </w:divBdr>
                      <w:divsChild>
                        <w:div w:id="1141771529">
                          <w:marLeft w:val="340"/>
                          <w:marRight w:val="0"/>
                          <w:marTop w:val="300"/>
                          <w:marBottom w:val="120"/>
                          <w:divBdr>
                            <w:top w:val="none" w:sz="0" w:space="0" w:color="auto"/>
                            <w:left w:val="none" w:sz="0" w:space="0" w:color="auto"/>
                            <w:bottom w:val="none" w:sz="0" w:space="0" w:color="auto"/>
                            <w:right w:val="none" w:sz="0" w:space="0" w:color="auto"/>
                          </w:divBdr>
                          <w:divsChild>
                            <w:div w:id="102456855">
                              <w:marLeft w:val="0"/>
                              <w:marRight w:val="0"/>
                              <w:marTop w:val="0"/>
                              <w:marBottom w:val="0"/>
                              <w:divBdr>
                                <w:top w:val="none" w:sz="0" w:space="0" w:color="auto"/>
                                <w:left w:val="none" w:sz="0" w:space="0" w:color="auto"/>
                                <w:bottom w:val="none" w:sz="0" w:space="0" w:color="auto"/>
                                <w:right w:val="none" w:sz="0" w:space="0" w:color="auto"/>
                              </w:divBdr>
                              <w:divsChild>
                                <w:div w:id="46944750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245938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9860672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55213551">
                                              <w:blockQuote w:val="1"/>
                                              <w:marLeft w:val="0"/>
                                              <w:marRight w:val="0"/>
                                              <w:marTop w:val="120"/>
                                              <w:marBottom w:val="120"/>
                                              <w:divBdr>
                                                <w:top w:val="none" w:sz="0" w:space="0" w:color="auto"/>
                                                <w:left w:val="none" w:sz="0" w:space="0" w:color="auto"/>
                                                <w:bottom w:val="none" w:sz="0" w:space="0" w:color="auto"/>
                                                <w:right w:val="none" w:sz="0" w:space="0" w:color="auto"/>
                                              </w:divBdr>
                                            </w:div>
                                            <w:div w:id="766577406">
                                              <w:blockQuote w:val="1"/>
                                              <w:marLeft w:val="600"/>
                                              <w:marRight w:val="0"/>
                                              <w:marTop w:val="120"/>
                                              <w:marBottom w:val="120"/>
                                              <w:divBdr>
                                                <w:top w:val="none" w:sz="0" w:space="0" w:color="auto"/>
                                                <w:left w:val="none" w:sz="0" w:space="0" w:color="auto"/>
                                                <w:bottom w:val="none" w:sz="0" w:space="0" w:color="auto"/>
                                                <w:right w:val="none" w:sz="0" w:space="0" w:color="auto"/>
                                              </w:divBdr>
                                            </w:div>
                                            <w:div w:id="116878943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261127">
      <w:bodyDiv w:val="1"/>
      <w:marLeft w:val="0"/>
      <w:marRight w:val="0"/>
      <w:marTop w:val="0"/>
      <w:marBottom w:val="0"/>
      <w:divBdr>
        <w:top w:val="none" w:sz="0" w:space="0" w:color="auto"/>
        <w:left w:val="none" w:sz="0" w:space="0" w:color="auto"/>
        <w:bottom w:val="none" w:sz="0" w:space="0" w:color="auto"/>
        <w:right w:val="none" w:sz="0" w:space="0" w:color="auto"/>
      </w:divBdr>
      <w:divsChild>
        <w:div w:id="1388071273">
          <w:marLeft w:val="0"/>
          <w:marRight w:val="0"/>
          <w:marTop w:val="0"/>
          <w:marBottom w:val="0"/>
          <w:divBdr>
            <w:top w:val="none" w:sz="0" w:space="0" w:color="auto"/>
            <w:left w:val="none" w:sz="0" w:space="0" w:color="auto"/>
            <w:bottom w:val="none" w:sz="0" w:space="0" w:color="auto"/>
            <w:right w:val="none" w:sz="0" w:space="0" w:color="auto"/>
          </w:divBdr>
          <w:divsChild>
            <w:div w:id="671030479">
              <w:marLeft w:val="0"/>
              <w:marRight w:val="0"/>
              <w:marTop w:val="0"/>
              <w:marBottom w:val="0"/>
              <w:divBdr>
                <w:top w:val="none" w:sz="0" w:space="0" w:color="auto"/>
                <w:left w:val="none" w:sz="0" w:space="0" w:color="auto"/>
                <w:bottom w:val="none" w:sz="0" w:space="0" w:color="auto"/>
                <w:right w:val="none" w:sz="0" w:space="0" w:color="auto"/>
              </w:divBdr>
              <w:divsChild>
                <w:div w:id="1158957909">
                  <w:marLeft w:val="0"/>
                  <w:marRight w:val="0"/>
                  <w:marTop w:val="0"/>
                  <w:marBottom w:val="0"/>
                  <w:divBdr>
                    <w:top w:val="none" w:sz="0" w:space="0" w:color="auto"/>
                    <w:left w:val="none" w:sz="0" w:space="0" w:color="auto"/>
                    <w:bottom w:val="none" w:sz="0" w:space="0" w:color="auto"/>
                    <w:right w:val="none" w:sz="0" w:space="0" w:color="auto"/>
                  </w:divBdr>
                  <w:divsChild>
                    <w:div w:id="617181534">
                      <w:marLeft w:val="0"/>
                      <w:marRight w:val="0"/>
                      <w:marTop w:val="0"/>
                      <w:marBottom w:val="0"/>
                      <w:divBdr>
                        <w:top w:val="none" w:sz="0" w:space="0" w:color="auto"/>
                        <w:left w:val="none" w:sz="0" w:space="0" w:color="auto"/>
                        <w:bottom w:val="none" w:sz="0" w:space="0" w:color="auto"/>
                        <w:right w:val="none" w:sz="0" w:space="0" w:color="auto"/>
                      </w:divBdr>
                      <w:divsChild>
                        <w:div w:id="1158426254">
                          <w:marLeft w:val="340"/>
                          <w:marRight w:val="0"/>
                          <w:marTop w:val="300"/>
                          <w:marBottom w:val="120"/>
                          <w:divBdr>
                            <w:top w:val="none" w:sz="0" w:space="0" w:color="auto"/>
                            <w:left w:val="none" w:sz="0" w:space="0" w:color="auto"/>
                            <w:bottom w:val="none" w:sz="0" w:space="0" w:color="auto"/>
                            <w:right w:val="none" w:sz="0" w:space="0" w:color="auto"/>
                          </w:divBdr>
                          <w:divsChild>
                            <w:div w:id="115681505">
                              <w:marLeft w:val="0"/>
                              <w:marRight w:val="0"/>
                              <w:marTop w:val="0"/>
                              <w:marBottom w:val="0"/>
                              <w:divBdr>
                                <w:top w:val="none" w:sz="0" w:space="0" w:color="auto"/>
                                <w:left w:val="none" w:sz="0" w:space="0" w:color="auto"/>
                                <w:bottom w:val="none" w:sz="0" w:space="0" w:color="auto"/>
                                <w:right w:val="none" w:sz="0" w:space="0" w:color="auto"/>
                              </w:divBdr>
                              <w:divsChild>
                                <w:div w:id="143112428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1158166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6951525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0185598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7568052">
      <w:bodyDiv w:val="1"/>
      <w:marLeft w:val="0"/>
      <w:marRight w:val="0"/>
      <w:marTop w:val="0"/>
      <w:marBottom w:val="0"/>
      <w:divBdr>
        <w:top w:val="none" w:sz="0" w:space="0" w:color="auto"/>
        <w:left w:val="none" w:sz="0" w:space="0" w:color="auto"/>
        <w:bottom w:val="none" w:sz="0" w:space="0" w:color="auto"/>
        <w:right w:val="none" w:sz="0" w:space="0" w:color="auto"/>
      </w:divBdr>
      <w:divsChild>
        <w:div w:id="814493926">
          <w:marLeft w:val="0"/>
          <w:marRight w:val="0"/>
          <w:marTop w:val="0"/>
          <w:marBottom w:val="0"/>
          <w:divBdr>
            <w:top w:val="none" w:sz="0" w:space="0" w:color="auto"/>
            <w:left w:val="none" w:sz="0" w:space="0" w:color="auto"/>
            <w:bottom w:val="none" w:sz="0" w:space="0" w:color="auto"/>
            <w:right w:val="none" w:sz="0" w:space="0" w:color="auto"/>
          </w:divBdr>
          <w:divsChild>
            <w:div w:id="310792275">
              <w:marLeft w:val="0"/>
              <w:marRight w:val="0"/>
              <w:marTop w:val="0"/>
              <w:marBottom w:val="0"/>
              <w:divBdr>
                <w:top w:val="none" w:sz="0" w:space="0" w:color="auto"/>
                <w:left w:val="none" w:sz="0" w:space="0" w:color="auto"/>
                <w:bottom w:val="none" w:sz="0" w:space="0" w:color="auto"/>
                <w:right w:val="none" w:sz="0" w:space="0" w:color="auto"/>
              </w:divBdr>
              <w:divsChild>
                <w:div w:id="951595976">
                  <w:marLeft w:val="0"/>
                  <w:marRight w:val="0"/>
                  <w:marTop w:val="0"/>
                  <w:marBottom w:val="0"/>
                  <w:divBdr>
                    <w:top w:val="none" w:sz="0" w:space="0" w:color="auto"/>
                    <w:left w:val="none" w:sz="0" w:space="0" w:color="auto"/>
                    <w:bottom w:val="none" w:sz="0" w:space="0" w:color="auto"/>
                    <w:right w:val="none" w:sz="0" w:space="0" w:color="auto"/>
                  </w:divBdr>
                  <w:divsChild>
                    <w:div w:id="497891120">
                      <w:marLeft w:val="0"/>
                      <w:marRight w:val="0"/>
                      <w:marTop w:val="0"/>
                      <w:marBottom w:val="0"/>
                      <w:divBdr>
                        <w:top w:val="none" w:sz="0" w:space="0" w:color="auto"/>
                        <w:left w:val="none" w:sz="0" w:space="0" w:color="auto"/>
                        <w:bottom w:val="none" w:sz="0" w:space="0" w:color="auto"/>
                        <w:right w:val="none" w:sz="0" w:space="0" w:color="auto"/>
                      </w:divBdr>
                      <w:divsChild>
                        <w:div w:id="1893537234">
                          <w:marLeft w:val="340"/>
                          <w:marRight w:val="0"/>
                          <w:marTop w:val="300"/>
                          <w:marBottom w:val="120"/>
                          <w:divBdr>
                            <w:top w:val="none" w:sz="0" w:space="0" w:color="auto"/>
                            <w:left w:val="none" w:sz="0" w:space="0" w:color="auto"/>
                            <w:bottom w:val="none" w:sz="0" w:space="0" w:color="auto"/>
                            <w:right w:val="none" w:sz="0" w:space="0" w:color="auto"/>
                          </w:divBdr>
                          <w:divsChild>
                            <w:div w:id="1083449062">
                              <w:marLeft w:val="0"/>
                              <w:marRight w:val="0"/>
                              <w:marTop w:val="0"/>
                              <w:marBottom w:val="0"/>
                              <w:divBdr>
                                <w:top w:val="none" w:sz="0" w:space="0" w:color="auto"/>
                                <w:left w:val="none" w:sz="0" w:space="0" w:color="auto"/>
                                <w:bottom w:val="none" w:sz="0" w:space="0" w:color="auto"/>
                                <w:right w:val="none" w:sz="0" w:space="0" w:color="auto"/>
                              </w:divBdr>
                              <w:divsChild>
                                <w:div w:id="44284479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3585426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2528536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82817891">
                                              <w:blockQuote w:val="1"/>
                                              <w:marLeft w:val="600"/>
                                              <w:marRight w:val="0"/>
                                              <w:marTop w:val="120"/>
                                              <w:marBottom w:val="120"/>
                                              <w:divBdr>
                                                <w:top w:val="none" w:sz="0" w:space="0" w:color="auto"/>
                                                <w:left w:val="none" w:sz="0" w:space="0" w:color="auto"/>
                                                <w:bottom w:val="none" w:sz="0" w:space="0" w:color="auto"/>
                                                <w:right w:val="none" w:sz="0" w:space="0" w:color="auto"/>
                                              </w:divBdr>
                                            </w:div>
                                            <w:div w:id="179478532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02463950">
                                                  <w:blockQuote w:val="1"/>
                                                  <w:marLeft w:val="0"/>
                                                  <w:marRight w:val="0"/>
                                                  <w:marTop w:val="120"/>
                                                  <w:marBottom w:val="120"/>
                                                  <w:divBdr>
                                                    <w:top w:val="none" w:sz="0" w:space="0" w:color="auto"/>
                                                    <w:left w:val="none" w:sz="0" w:space="0" w:color="auto"/>
                                                    <w:bottom w:val="none" w:sz="0" w:space="0" w:color="auto"/>
                                                    <w:right w:val="none" w:sz="0" w:space="0" w:color="auto"/>
                                                  </w:divBdr>
                                                </w:div>
                                                <w:div w:id="1799294279">
                                                  <w:blockQuote w:val="1"/>
                                                  <w:marLeft w:val="600"/>
                                                  <w:marRight w:val="0"/>
                                                  <w:marTop w:val="120"/>
                                                  <w:marBottom w:val="120"/>
                                                  <w:divBdr>
                                                    <w:top w:val="none" w:sz="0" w:space="0" w:color="auto"/>
                                                    <w:left w:val="none" w:sz="0" w:space="0" w:color="auto"/>
                                                    <w:bottom w:val="none" w:sz="0" w:space="0" w:color="auto"/>
                                                    <w:right w:val="none" w:sz="0" w:space="0" w:color="auto"/>
                                                  </w:divBdr>
                                                </w:div>
                                                <w:div w:id="1482381771">
                                                  <w:blockQuote w:val="1"/>
                                                  <w:marLeft w:val="600"/>
                                                  <w:marRight w:val="0"/>
                                                  <w:marTop w:val="120"/>
                                                  <w:marBottom w:val="120"/>
                                                  <w:divBdr>
                                                    <w:top w:val="none" w:sz="0" w:space="0" w:color="auto"/>
                                                    <w:left w:val="none" w:sz="0" w:space="0" w:color="auto"/>
                                                    <w:bottom w:val="none" w:sz="0" w:space="0" w:color="auto"/>
                                                    <w:right w:val="none" w:sz="0" w:space="0" w:color="auto"/>
                                                  </w:divBdr>
                                                </w:div>
                                                <w:div w:id="1704624080">
                                                  <w:blockQuote w:val="1"/>
                                                  <w:marLeft w:val="600"/>
                                                  <w:marRight w:val="0"/>
                                                  <w:marTop w:val="120"/>
                                                  <w:marBottom w:val="120"/>
                                                  <w:divBdr>
                                                    <w:top w:val="none" w:sz="0" w:space="0" w:color="auto"/>
                                                    <w:left w:val="none" w:sz="0" w:space="0" w:color="auto"/>
                                                    <w:bottom w:val="none" w:sz="0" w:space="0" w:color="auto"/>
                                                    <w:right w:val="none" w:sz="0" w:space="0" w:color="auto"/>
                                                  </w:divBdr>
                                                </w:div>
                                                <w:div w:id="640353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432400">
      <w:bodyDiv w:val="1"/>
      <w:marLeft w:val="0"/>
      <w:marRight w:val="0"/>
      <w:marTop w:val="0"/>
      <w:marBottom w:val="0"/>
      <w:divBdr>
        <w:top w:val="none" w:sz="0" w:space="0" w:color="auto"/>
        <w:left w:val="none" w:sz="0" w:space="0" w:color="auto"/>
        <w:bottom w:val="none" w:sz="0" w:space="0" w:color="auto"/>
        <w:right w:val="none" w:sz="0" w:space="0" w:color="auto"/>
      </w:divBdr>
      <w:divsChild>
        <w:div w:id="1423986103">
          <w:marLeft w:val="0"/>
          <w:marRight w:val="0"/>
          <w:marTop w:val="0"/>
          <w:marBottom w:val="0"/>
          <w:divBdr>
            <w:top w:val="none" w:sz="0" w:space="0" w:color="auto"/>
            <w:left w:val="none" w:sz="0" w:space="0" w:color="auto"/>
            <w:bottom w:val="none" w:sz="0" w:space="0" w:color="auto"/>
            <w:right w:val="none" w:sz="0" w:space="0" w:color="auto"/>
          </w:divBdr>
          <w:divsChild>
            <w:div w:id="27340972">
              <w:marLeft w:val="0"/>
              <w:marRight w:val="0"/>
              <w:marTop w:val="0"/>
              <w:marBottom w:val="0"/>
              <w:divBdr>
                <w:top w:val="none" w:sz="0" w:space="0" w:color="auto"/>
                <w:left w:val="none" w:sz="0" w:space="0" w:color="auto"/>
                <w:bottom w:val="none" w:sz="0" w:space="0" w:color="auto"/>
                <w:right w:val="none" w:sz="0" w:space="0" w:color="auto"/>
              </w:divBdr>
              <w:divsChild>
                <w:div w:id="865825610">
                  <w:marLeft w:val="0"/>
                  <w:marRight w:val="0"/>
                  <w:marTop w:val="0"/>
                  <w:marBottom w:val="0"/>
                  <w:divBdr>
                    <w:top w:val="none" w:sz="0" w:space="0" w:color="auto"/>
                    <w:left w:val="none" w:sz="0" w:space="0" w:color="auto"/>
                    <w:bottom w:val="none" w:sz="0" w:space="0" w:color="auto"/>
                    <w:right w:val="none" w:sz="0" w:space="0" w:color="auto"/>
                  </w:divBdr>
                  <w:divsChild>
                    <w:div w:id="275449561">
                      <w:marLeft w:val="0"/>
                      <w:marRight w:val="0"/>
                      <w:marTop w:val="0"/>
                      <w:marBottom w:val="0"/>
                      <w:divBdr>
                        <w:top w:val="none" w:sz="0" w:space="0" w:color="auto"/>
                        <w:left w:val="none" w:sz="0" w:space="0" w:color="auto"/>
                        <w:bottom w:val="none" w:sz="0" w:space="0" w:color="auto"/>
                        <w:right w:val="none" w:sz="0" w:space="0" w:color="auto"/>
                      </w:divBdr>
                      <w:divsChild>
                        <w:div w:id="17003248">
                          <w:marLeft w:val="340"/>
                          <w:marRight w:val="0"/>
                          <w:marTop w:val="300"/>
                          <w:marBottom w:val="120"/>
                          <w:divBdr>
                            <w:top w:val="none" w:sz="0" w:space="0" w:color="auto"/>
                            <w:left w:val="none" w:sz="0" w:space="0" w:color="auto"/>
                            <w:bottom w:val="none" w:sz="0" w:space="0" w:color="auto"/>
                            <w:right w:val="none" w:sz="0" w:space="0" w:color="auto"/>
                          </w:divBdr>
                          <w:divsChild>
                            <w:div w:id="1671445601">
                              <w:marLeft w:val="0"/>
                              <w:marRight w:val="0"/>
                              <w:marTop w:val="0"/>
                              <w:marBottom w:val="0"/>
                              <w:divBdr>
                                <w:top w:val="none" w:sz="0" w:space="0" w:color="auto"/>
                                <w:left w:val="none" w:sz="0" w:space="0" w:color="auto"/>
                                <w:bottom w:val="none" w:sz="0" w:space="0" w:color="auto"/>
                                <w:right w:val="none" w:sz="0" w:space="0" w:color="auto"/>
                              </w:divBdr>
                              <w:divsChild>
                                <w:div w:id="158302429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1356496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2244843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17546222">
                                              <w:blockQuote w:val="1"/>
                                              <w:marLeft w:val="600"/>
                                              <w:marRight w:val="0"/>
                                              <w:marTop w:val="120"/>
                                              <w:marBottom w:val="120"/>
                                              <w:divBdr>
                                                <w:top w:val="none" w:sz="0" w:space="0" w:color="auto"/>
                                                <w:left w:val="none" w:sz="0" w:space="0" w:color="auto"/>
                                                <w:bottom w:val="none" w:sz="0" w:space="0" w:color="auto"/>
                                                <w:right w:val="none" w:sz="0" w:space="0" w:color="auto"/>
                                              </w:divBdr>
                                            </w:div>
                                            <w:div w:id="506555305">
                                              <w:blockQuote w:val="1"/>
                                              <w:marLeft w:val="600"/>
                                              <w:marRight w:val="0"/>
                                              <w:marTop w:val="120"/>
                                              <w:marBottom w:val="120"/>
                                              <w:divBdr>
                                                <w:top w:val="none" w:sz="0" w:space="0" w:color="auto"/>
                                                <w:left w:val="none" w:sz="0" w:space="0" w:color="auto"/>
                                                <w:bottom w:val="none" w:sz="0" w:space="0" w:color="auto"/>
                                                <w:right w:val="none" w:sz="0" w:space="0" w:color="auto"/>
                                              </w:divBdr>
                                            </w:div>
                                            <w:div w:id="1592739816">
                                              <w:blockQuote w:val="1"/>
                                              <w:marLeft w:val="600"/>
                                              <w:marRight w:val="0"/>
                                              <w:marTop w:val="120"/>
                                              <w:marBottom w:val="120"/>
                                              <w:divBdr>
                                                <w:top w:val="none" w:sz="0" w:space="0" w:color="auto"/>
                                                <w:left w:val="none" w:sz="0" w:space="0" w:color="auto"/>
                                                <w:bottom w:val="none" w:sz="0" w:space="0" w:color="auto"/>
                                                <w:right w:val="none" w:sz="0" w:space="0" w:color="auto"/>
                                              </w:divBdr>
                                            </w:div>
                                            <w:div w:id="56599653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895171">
      <w:bodyDiv w:val="1"/>
      <w:marLeft w:val="0"/>
      <w:marRight w:val="0"/>
      <w:marTop w:val="0"/>
      <w:marBottom w:val="0"/>
      <w:divBdr>
        <w:top w:val="none" w:sz="0" w:space="0" w:color="auto"/>
        <w:left w:val="none" w:sz="0" w:space="0" w:color="auto"/>
        <w:bottom w:val="none" w:sz="0" w:space="0" w:color="auto"/>
        <w:right w:val="none" w:sz="0" w:space="0" w:color="auto"/>
      </w:divBdr>
      <w:divsChild>
        <w:div w:id="989947404">
          <w:marLeft w:val="0"/>
          <w:marRight w:val="0"/>
          <w:marTop w:val="0"/>
          <w:marBottom w:val="0"/>
          <w:divBdr>
            <w:top w:val="none" w:sz="0" w:space="0" w:color="auto"/>
            <w:left w:val="none" w:sz="0" w:space="0" w:color="auto"/>
            <w:bottom w:val="none" w:sz="0" w:space="0" w:color="auto"/>
            <w:right w:val="none" w:sz="0" w:space="0" w:color="auto"/>
          </w:divBdr>
          <w:divsChild>
            <w:div w:id="885607484">
              <w:marLeft w:val="0"/>
              <w:marRight w:val="0"/>
              <w:marTop w:val="0"/>
              <w:marBottom w:val="0"/>
              <w:divBdr>
                <w:top w:val="none" w:sz="0" w:space="0" w:color="auto"/>
                <w:left w:val="none" w:sz="0" w:space="0" w:color="auto"/>
                <w:bottom w:val="none" w:sz="0" w:space="0" w:color="auto"/>
                <w:right w:val="none" w:sz="0" w:space="0" w:color="auto"/>
              </w:divBdr>
              <w:divsChild>
                <w:div w:id="1539661829">
                  <w:marLeft w:val="0"/>
                  <w:marRight w:val="0"/>
                  <w:marTop w:val="0"/>
                  <w:marBottom w:val="0"/>
                  <w:divBdr>
                    <w:top w:val="none" w:sz="0" w:space="0" w:color="auto"/>
                    <w:left w:val="none" w:sz="0" w:space="0" w:color="auto"/>
                    <w:bottom w:val="none" w:sz="0" w:space="0" w:color="auto"/>
                    <w:right w:val="none" w:sz="0" w:space="0" w:color="auto"/>
                  </w:divBdr>
                  <w:divsChild>
                    <w:div w:id="2073187243">
                      <w:marLeft w:val="0"/>
                      <w:marRight w:val="0"/>
                      <w:marTop w:val="0"/>
                      <w:marBottom w:val="0"/>
                      <w:divBdr>
                        <w:top w:val="none" w:sz="0" w:space="0" w:color="auto"/>
                        <w:left w:val="none" w:sz="0" w:space="0" w:color="auto"/>
                        <w:bottom w:val="none" w:sz="0" w:space="0" w:color="auto"/>
                        <w:right w:val="none" w:sz="0" w:space="0" w:color="auto"/>
                      </w:divBdr>
                      <w:divsChild>
                        <w:div w:id="1628780000">
                          <w:marLeft w:val="340"/>
                          <w:marRight w:val="0"/>
                          <w:marTop w:val="300"/>
                          <w:marBottom w:val="120"/>
                          <w:divBdr>
                            <w:top w:val="none" w:sz="0" w:space="0" w:color="auto"/>
                            <w:left w:val="none" w:sz="0" w:space="0" w:color="auto"/>
                            <w:bottom w:val="none" w:sz="0" w:space="0" w:color="auto"/>
                            <w:right w:val="none" w:sz="0" w:space="0" w:color="auto"/>
                          </w:divBdr>
                          <w:divsChild>
                            <w:div w:id="258218919">
                              <w:marLeft w:val="0"/>
                              <w:marRight w:val="0"/>
                              <w:marTop w:val="0"/>
                              <w:marBottom w:val="0"/>
                              <w:divBdr>
                                <w:top w:val="none" w:sz="0" w:space="0" w:color="auto"/>
                                <w:left w:val="none" w:sz="0" w:space="0" w:color="auto"/>
                                <w:bottom w:val="none" w:sz="0" w:space="0" w:color="auto"/>
                                <w:right w:val="none" w:sz="0" w:space="0" w:color="auto"/>
                              </w:divBdr>
                              <w:divsChild>
                                <w:div w:id="52405511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2397154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63365187">
                                          <w:marLeft w:val="0"/>
                                          <w:marRight w:val="0"/>
                                          <w:marTop w:val="200"/>
                                          <w:marBottom w:val="200"/>
                                          <w:divBdr>
                                            <w:top w:val="none" w:sz="0" w:space="0" w:color="auto"/>
                                            <w:left w:val="none" w:sz="0" w:space="0" w:color="auto"/>
                                            <w:bottom w:val="none" w:sz="0" w:space="0" w:color="auto"/>
                                            <w:right w:val="none" w:sz="0" w:space="0" w:color="auto"/>
                                          </w:divBdr>
                                        </w:div>
                                        <w:div w:id="20159520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75008756">
                                              <w:blockQuote w:val="1"/>
                                              <w:marLeft w:val="600"/>
                                              <w:marRight w:val="0"/>
                                              <w:marTop w:val="120"/>
                                              <w:marBottom w:val="120"/>
                                              <w:divBdr>
                                                <w:top w:val="none" w:sz="0" w:space="0" w:color="auto"/>
                                                <w:left w:val="none" w:sz="0" w:space="0" w:color="auto"/>
                                                <w:bottom w:val="none" w:sz="0" w:space="0" w:color="auto"/>
                                                <w:right w:val="none" w:sz="0" w:space="0" w:color="auto"/>
                                              </w:divBdr>
                                            </w:div>
                                            <w:div w:id="1763260988">
                                              <w:blockQuote w:val="1"/>
                                              <w:marLeft w:val="600"/>
                                              <w:marRight w:val="0"/>
                                              <w:marTop w:val="120"/>
                                              <w:marBottom w:val="120"/>
                                              <w:divBdr>
                                                <w:top w:val="none" w:sz="0" w:space="0" w:color="auto"/>
                                                <w:left w:val="none" w:sz="0" w:space="0" w:color="auto"/>
                                                <w:bottom w:val="none" w:sz="0" w:space="0" w:color="auto"/>
                                                <w:right w:val="none" w:sz="0" w:space="0" w:color="auto"/>
                                              </w:divBdr>
                                            </w:div>
                                            <w:div w:id="788815652">
                                              <w:blockQuote w:val="1"/>
                                              <w:marLeft w:val="600"/>
                                              <w:marRight w:val="0"/>
                                              <w:marTop w:val="120"/>
                                              <w:marBottom w:val="120"/>
                                              <w:divBdr>
                                                <w:top w:val="none" w:sz="0" w:space="0" w:color="auto"/>
                                                <w:left w:val="none" w:sz="0" w:space="0" w:color="auto"/>
                                                <w:bottom w:val="none" w:sz="0" w:space="0" w:color="auto"/>
                                                <w:right w:val="none" w:sz="0" w:space="0" w:color="auto"/>
                                              </w:divBdr>
                                            </w:div>
                                            <w:div w:id="76562964">
                                              <w:blockQuote w:val="1"/>
                                              <w:marLeft w:val="600"/>
                                              <w:marRight w:val="0"/>
                                              <w:marTop w:val="120"/>
                                              <w:marBottom w:val="120"/>
                                              <w:divBdr>
                                                <w:top w:val="none" w:sz="0" w:space="0" w:color="auto"/>
                                                <w:left w:val="none" w:sz="0" w:space="0" w:color="auto"/>
                                                <w:bottom w:val="none" w:sz="0" w:space="0" w:color="auto"/>
                                                <w:right w:val="none" w:sz="0" w:space="0" w:color="auto"/>
                                              </w:divBdr>
                                            </w:div>
                                            <w:div w:id="125706814">
                                              <w:blockQuote w:val="1"/>
                                              <w:marLeft w:val="600"/>
                                              <w:marRight w:val="0"/>
                                              <w:marTop w:val="120"/>
                                              <w:marBottom w:val="120"/>
                                              <w:divBdr>
                                                <w:top w:val="none" w:sz="0" w:space="0" w:color="auto"/>
                                                <w:left w:val="none" w:sz="0" w:space="0" w:color="auto"/>
                                                <w:bottom w:val="none" w:sz="0" w:space="0" w:color="auto"/>
                                                <w:right w:val="none" w:sz="0" w:space="0" w:color="auto"/>
                                              </w:divBdr>
                                            </w:div>
                                            <w:div w:id="739602388">
                                              <w:blockQuote w:val="1"/>
                                              <w:marLeft w:val="600"/>
                                              <w:marRight w:val="0"/>
                                              <w:marTop w:val="120"/>
                                              <w:marBottom w:val="120"/>
                                              <w:divBdr>
                                                <w:top w:val="none" w:sz="0" w:space="0" w:color="auto"/>
                                                <w:left w:val="none" w:sz="0" w:space="0" w:color="auto"/>
                                                <w:bottom w:val="none" w:sz="0" w:space="0" w:color="auto"/>
                                                <w:right w:val="none" w:sz="0" w:space="0" w:color="auto"/>
                                              </w:divBdr>
                                            </w:div>
                                            <w:div w:id="138833584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16218831">
                                                  <w:blockQuote w:val="1"/>
                                                  <w:marLeft w:val="600"/>
                                                  <w:marRight w:val="0"/>
                                                  <w:marTop w:val="120"/>
                                                  <w:marBottom w:val="120"/>
                                                  <w:divBdr>
                                                    <w:top w:val="none" w:sz="0" w:space="0" w:color="auto"/>
                                                    <w:left w:val="none" w:sz="0" w:space="0" w:color="auto"/>
                                                    <w:bottom w:val="none" w:sz="0" w:space="0" w:color="auto"/>
                                                    <w:right w:val="none" w:sz="0" w:space="0" w:color="auto"/>
                                                  </w:divBdr>
                                                </w:div>
                                                <w:div w:id="204597818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866368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60131141">
                                                  <w:blockQuote w:val="1"/>
                                                  <w:marLeft w:val="600"/>
                                                  <w:marRight w:val="0"/>
                                                  <w:marTop w:val="120"/>
                                                  <w:marBottom w:val="120"/>
                                                  <w:divBdr>
                                                    <w:top w:val="none" w:sz="0" w:space="0" w:color="auto"/>
                                                    <w:left w:val="none" w:sz="0" w:space="0" w:color="auto"/>
                                                    <w:bottom w:val="none" w:sz="0" w:space="0" w:color="auto"/>
                                                    <w:right w:val="none" w:sz="0" w:space="0" w:color="auto"/>
                                                  </w:divBdr>
                                                </w:div>
                                                <w:div w:id="58237303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7638076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69066303">
                                                  <w:blockQuote w:val="1"/>
                                                  <w:marLeft w:val="600"/>
                                                  <w:marRight w:val="0"/>
                                                  <w:marTop w:val="120"/>
                                                  <w:marBottom w:val="120"/>
                                                  <w:divBdr>
                                                    <w:top w:val="none" w:sz="0" w:space="0" w:color="auto"/>
                                                    <w:left w:val="none" w:sz="0" w:space="0" w:color="auto"/>
                                                    <w:bottom w:val="none" w:sz="0" w:space="0" w:color="auto"/>
                                                    <w:right w:val="none" w:sz="0" w:space="0" w:color="auto"/>
                                                  </w:divBdr>
                                                </w:div>
                                                <w:div w:id="19151661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56902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14576971">
                                                  <w:blockQuote w:val="1"/>
                                                  <w:marLeft w:val="600"/>
                                                  <w:marRight w:val="0"/>
                                                  <w:marTop w:val="120"/>
                                                  <w:marBottom w:val="120"/>
                                                  <w:divBdr>
                                                    <w:top w:val="none" w:sz="0" w:space="0" w:color="auto"/>
                                                    <w:left w:val="none" w:sz="0" w:space="0" w:color="auto"/>
                                                    <w:bottom w:val="none" w:sz="0" w:space="0" w:color="auto"/>
                                                    <w:right w:val="none" w:sz="0" w:space="0" w:color="auto"/>
                                                  </w:divBdr>
                                                </w:div>
                                                <w:div w:id="205789800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95193771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09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15755647">
                                                  <w:blockQuote w:val="1"/>
                                                  <w:marLeft w:val="600"/>
                                                  <w:marRight w:val="0"/>
                                                  <w:marTop w:val="120"/>
                                                  <w:marBottom w:val="120"/>
                                                  <w:divBdr>
                                                    <w:top w:val="none" w:sz="0" w:space="0" w:color="auto"/>
                                                    <w:left w:val="none" w:sz="0" w:space="0" w:color="auto"/>
                                                    <w:bottom w:val="none" w:sz="0" w:space="0" w:color="auto"/>
                                                    <w:right w:val="none" w:sz="0" w:space="0" w:color="auto"/>
                                                  </w:divBdr>
                                                </w:div>
                                                <w:div w:id="85480482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26667120">
                                              <w:blockQuote w:val="1"/>
                                              <w:marLeft w:val="600"/>
                                              <w:marRight w:val="0"/>
                                              <w:marTop w:val="120"/>
                                              <w:marBottom w:val="120"/>
                                              <w:divBdr>
                                                <w:top w:val="none" w:sz="0" w:space="0" w:color="auto"/>
                                                <w:left w:val="none" w:sz="0" w:space="0" w:color="auto"/>
                                                <w:bottom w:val="none" w:sz="0" w:space="0" w:color="auto"/>
                                                <w:right w:val="none" w:sz="0" w:space="0" w:color="auto"/>
                                              </w:divBdr>
                                            </w:div>
                                            <w:div w:id="603223759">
                                              <w:blockQuote w:val="1"/>
                                              <w:marLeft w:val="600"/>
                                              <w:marRight w:val="0"/>
                                              <w:marTop w:val="120"/>
                                              <w:marBottom w:val="120"/>
                                              <w:divBdr>
                                                <w:top w:val="none" w:sz="0" w:space="0" w:color="auto"/>
                                                <w:left w:val="none" w:sz="0" w:space="0" w:color="auto"/>
                                                <w:bottom w:val="none" w:sz="0" w:space="0" w:color="auto"/>
                                                <w:right w:val="none" w:sz="0" w:space="0" w:color="auto"/>
                                              </w:divBdr>
                                            </w:div>
                                            <w:div w:id="1991262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231328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510270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92573058">
                                                  <w:blockQuote w:val="1"/>
                                                  <w:marLeft w:val="600"/>
                                                  <w:marRight w:val="0"/>
                                                  <w:marTop w:val="120"/>
                                                  <w:marBottom w:val="120"/>
                                                  <w:divBdr>
                                                    <w:top w:val="none" w:sz="0" w:space="0" w:color="auto"/>
                                                    <w:left w:val="none" w:sz="0" w:space="0" w:color="auto"/>
                                                    <w:bottom w:val="none" w:sz="0" w:space="0" w:color="auto"/>
                                                    <w:right w:val="none" w:sz="0" w:space="0" w:color="auto"/>
                                                  </w:divBdr>
                                                </w:div>
                                                <w:div w:id="7676238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22623701">
                                              <w:blockQuote w:val="1"/>
                                              <w:marLeft w:val="600"/>
                                              <w:marRight w:val="0"/>
                                              <w:marTop w:val="120"/>
                                              <w:marBottom w:val="120"/>
                                              <w:divBdr>
                                                <w:top w:val="none" w:sz="0" w:space="0" w:color="auto"/>
                                                <w:left w:val="none" w:sz="0" w:space="0" w:color="auto"/>
                                                <w:bottom w:val="none" w:sz="0" w:space="0" w:color="auto"/>
                                                <w:right w:val="none" w:sz="0" w:space="0" w:color="auto"/>
                                              </w:divBdr>
                                            </w:div>
                                            <w:div w:id="1970087103">
                                              <w:blockQuote w:val="1"/>
                                              <w:marLeft w:val="600"/>
                                              <w:marRight w:val="0"/>
                                              <w:marTop w:val="120"/>
                                              <w:marBottom w:val="120"/>
                                              <w:divBdr>
                                                <w:top w:val="none" w:sz="0" w:space="0" w:color="auto"/>
                                                <w:left w:val="none" w:sz="0" w:space="0" w:color="auto"/>
                                                <w:bottom w:val="none" w:sz="0" w:space="0" w:color="auto"/>
                                                <w:right w:val="none" w:sz="0" w:space="0" w:color="auto"/>
                                              </w:divBdr>
                                            </w:div>
                                            <w:div w:id="97768577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2055242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96148531">
                                              <w:blockQuote w:val="1"/>
                                              <w:marLeft w:val="600"/>
                                              <w:marRight w:val="0"/>
                                              <w:marTop w:val="120"/>
                                              <w:marBottom w:val="120"/>
                                              <w:divBdr>
                                                <w:top w:val="none" w:sz="0" w:space="0" w:color="auto"/>
                                                <w:left w:val="none" w:sz="0" w:space="0" w:color="auto"/>
                                                <w:bottom w:val="none" w:sz="0" w:space="0" w:color="auto"/>
                                                <w:right w:val="none" w:sz="0" w:space="0" w:color="auto"/>
                                              </w:divBdr>
                                            </w:div>
                                            <w:div w:id="33804305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97160381">
                                                  <w:blockQuote w:val="1"/>
                                                  <w:marLeft w:val="600"/>
                                                  <w:marRight w:val="0"/>
                                                  <w:marTop w:val="120"/>
                                                  <w:marBottom w:val="120"/>
                                                  <w:divBdr>
                                                    <w:top w:val="none" w:sz="0" w:space="0" w:color="auto"/>
                                                    <w:left w:val="none" w:sz="0" w:space="0" w:color="auto"/>
                                                    <w:bottom w:val="none" w:sz="0" w:space="0" w:color="auto"/>
                                                    <w:right w:val="none" w:sz="0" w:space="0" w:color="auto"/>
                                                  </w:divBdr>
                                                </w:div>
                                                <w:div w:id="176823161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9606660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79922333">
                                                  <w:blockQuote w:val="1"/>
                                                  <w:marLeft w:val="600"/>
                                                  <w:marRight w:val="0"/>
                                                  <w:marTop w:val="120"/>
                                                  <w:marBottom w:val="120"/>
                                                  <w:divBdr>
                                                    <w:top w:val="none" w:sz="0" w:space="0" w:color="auto"/>
                                                    <w:left w:val="none" w:sz="0" w:space="0" w:color="auto"/>
                                                    <w:bottom w:val="none" w:sz="0" w:space="0" w:color="auto"/>
                                                    <w:right w:val="none" w:sz="0" w:space="0" w:color="auto"/>
                                                  </w:divBdr>
                                                </w:div>
                                                <w:div w:id="99629915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4929614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8653120">
      <w:bodyDiv w:val="1"/>
      <w:marLeft w:val="0"/>
      <w:marRight w:val="0"/>
      <w:marTop w:val="0"/>
      <w:marBottom w:val="0"/>
      <w:divBdr>
        <w:top w:val="none" w:sz="0" w:space="0" w:color="auto"/>
        <w:left w:val="none" w:sz="0" w:space="0" w:color="auto"/>
        <w:bottom w:val="none" w:sz="0" w:space="0" w:color="auto"/>
        <w:right w:val="none" w:sz="0" w:space="0" w:color="auto"/>
      </w:divBdr>
      <w:divsChild>
        <w:div w:id="362629965">
          <w:marLeft w:val="0"/>
          <w:marRight w:val="0"/>
          <w:marTop w:val="0"/>
          <w:marBottom w:val="0"/>
          <w:divBdr>
            <w:top w:val="none" w:sz="0" w:space="0" w:color="auto"/>
            <w:left w:val="none" w:sz="0" w:space="0" w:color="auto"/>
            <w:bottom w:val="none" w:sz="0" w:space="0" w:color="auto"/>
            <w:right w:val="none" w:sz="0" w:space="0" w:color="auto"/>
          </w:divBdr>
          <w:divsChild>
            <w:div w:id="954562005">
              <w:marLeft w:val="0"/>
              <w:marRight w:val="0"/>
              <w:marTop w:val="0"/>
              <w:marBottom w:val="0"/>
              <w:divBdr>
                <w:top w:val="none" w:sz="0" w:space="0" w:color="auto"/>
                <w:left w:val="none" w:sz="0" w:space="0" w:color="auto"/>
                <w:bottom w:val="none" w:sz="0" w:space="0" w:color="auto"/>
                <w:right w:val="none" w:sz="0" w:space="0" w:color="auto"/>
              </w:divBdr>
              <w:divsChild>
                <w:div w:id="1788811287">
                  <w:marLeft w:val="0"/>
                  <w:marRight w:val="0"/>
                  <w:marTop w:val="0"/>
                  <w:marBottom w:val="0"/>
                  <w:divBdr>
                    <w:top w:val="none" w:sz="0" w:space="0" w:color="auto"/>
                    <w:left w:val="none" w:sz="0" w:space="0" w:color="auto"/>
                    <w:bottom w:val="none" w:sz="0" w:space="0" w:color="auto"/>
                    <w:right w:val="none" w:sz="0" w:space="0" w:color="auto"/>
                  </w:divBdr>
                  <w:divsChild>
                    <w:div w:id="45642996">
                      <w:marLeft w:val="0"/>
                      <w:marRight w:val="0"/>
                      <w:marTop w:val="0"/>
                      <w:marBottom w:val="0"/>
                      <w:divBdr>
                        <w:top w:val="none" w:sz="0" w:space="0" w:color="auto"/>
                        <w:left w:val="none" w:sz="0" w:space="0" w:color="auto"/>
                        <w:bottom w:val="none" w:sz="0" w:space="0" w:color="auto"/>
                        <w:right w:val="none" w:sz="0" w:space="0" w:color="auto"/>
                      </w:divBdr>
                      <w:divsChild>
                        <w:div w:id="1405493270">
                          <w:marLeft w:val="340"/>
                          <w:marRight w:val="0"/>
                          <w:marTop w:val="300"/>
                          <w:marBottom w:val="120"/>
                          <w:divBdr>
                            <w:top w:val="none" w:sz="0" w:space="0" w:color="auto"/>
                            <w:left w:val="none" w:sz="0" w:space="0" w:color="auto"/>
                            <w:bottom w:val="none" w:sz="0" w:space="0" w:color="auto"/>
                            <w:right w:val="none" w:sz="0" w:space="0" w:color="auto"/>
                          </w:divBdr>
                          <w:divsChild>
                            <w:div w:id="105004148">
                              <w:marLeft w:val="0"/>
                              <w:marRight w:val="0"/>
                              <w:marTop w:val="0"/>
                              <w:marBottom w:val="0"/>
                              <w:divBdr>
                                <w:top w:val="none" w:sz="0" w:space="0" w:color="auto"/>
                                <w:left w:val="none" w:sz="0" w:space="0" w:color="auto"/>
                                <w:bottom w:val="none" w:sz="0" w:space="0" w:color="auto"/>
                                <w:right w:val="none" w:sz="0" w:space="0" w:color="auto"/>
                              </w:divBdr>
                              <w:divsChild>
                                <w:div w:id="211952524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6616051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4151787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1996312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67245214">
                                                  <w:blockQuote w:val="1"/>
                                                  <w:marLeft w:val="600"/>
                                                  <w:marRight w:val="0"/>
                                                  <w:marTop w:val="120"/>
                                                  <w:marBottom w:val="120"/>
                                                  <w:divBdr>
                                                    <w:top w:val="none" w:sz="0" w:space="0" w:color="auto"/>
                                                    <w:left w:val="none" w:sz="0" w:space="0" w:color="auto"/>
                                                    <w:bottom w:val="none" w:sz="0" w:space="0" w:color="auto"/>
                                                    <w:right w:val="none" w:sz="0" w:space="0" w:color="auto"/>
                                                  </w:divBdr>
                                                </w:div>
                                                <w:div w:id="19493235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8075275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49433590">
                                                  <w:blockQuote w:val="1"/>
                                                  <w:marLeft w:val="600"/>
                                                  <w:marRight w:val="0"/>
                                                  <w:marTop w:val="120"/>
                                                  <w:marBottom w:val="120"/>
                                                  <w:divBdr>
                                                    <w:top w:val="none" w:sz="0" w:space="0" w:color="auto"/>
                                                    <w:left w:val="none" w:sz="0" w:space="0" w:color="auto"/>
                                                    <w:bottom w:val="none" w:sz="0" w:space="0" w:color="auto"/>
                                                    <w:right w:val="none" w:sz="0" w:space="0" w:color="auto"/>
                                                  </w:divBdr>
                                                </w:div>
                                                <w:div w:id="1547527345">
                                                  <w:blockQuote w:val="1"/>
                                                  <w:marLeft w:val="600"/>
                                                  <w:marRight w:val="0"/>
                                                  <w:marTop w:val="120"/>
                                                  <w:marBottom w:val="120"/>
                                                  <w:divBdr>
                                                    <w:top w:val="none" w:sz="0" w:space="0" w:color="auto"/>
                                                    <w:left w:val="none" w:sz="0" w:space="0" w:color="auto"/>
                                                    <w:bottom w:val="none" w:sz="0" w:space="0" w:color="auto"/>
                                                    <w:right w:val="none" w:sz="0" w:space="0" w:color="auto"/>
                                                  </w:divBdr>
                                                </w:div>
                                                <w:div w:id="1287712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8137308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00945137">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603853343">
                                              <w:blockQuote w:val="1"/>
                                              <w:marLeft w:val="600"/>
                                              <w:marRight w:val="0"/>
                                              <w:marTop w:val="120"/>
                                              <w:marBottom w:val="120"/>
                                              <w:divBdr>
                                                <w:top w:val="none" w:sz="0" w:space="0" w:color="auto"/>
                                                <w:left w:val="none" w:sz="0" w:space="0" w:color="auto"/>
                                                <w:bottom w:val="none" w:sz="0" w:space="0" w:color="auto"/>
                                                <w:right w:val="none" w:sz="0" w:space="0" w:color="auto"/>
                                              </w:divBdr>
                                            </w:div>
                                            <w:div w:id="20754726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6384522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707119">
      <w:bodyDiv w:val="1"/>
      <w:marLeft w:val="0"/>
      <w:marRight w:val="0"/>
      <w:marTop w:val="0"/>
      <w:marBottom w:val="0"/>
      <w:divBdr>
        <w:top w:val="none" w:sz="0" w:space="0" w:color="auto"/>
        <w:left w:val="none" w:sz="0" w:space="0" w:color="auto"/>
        <w:bottom w:val="none" w:sz="0" w:space="0" w:color="auto"/>
        <w:right w:val="none" w:sz="0" w:space="0" w:color="auto"/>
      </w:divBdr>
      <w:divsChild>
        <w:div w:id="723793737">
          <w:marLeft w:val="0"/>
          <w:marRight w:val="0"/>
          <w:marTop w:val="0"/>
          <w:marBottom w:val="0"/>
          <w:divBdr>
            <w:top w:val="none" w:sz="0" w:space="0" w:color="auto"/>
            <w:left w:val="none" w:sz="0" w:space="0" w:color="auto"/>
            <w:bottom w:val="none" w:sz="0" w:space="0" w:color="auto"/>
            <w:right w:val="none" w:sz="0" w:space="0" w:color="auto"/>
          </w:divBdr>
          <w:divsChild>
            <w:div w:id="446894049">
              <w:marLeft w:val="0"/>
              <w:marRight w:val="0"/>
              <w:marTop w:val="0"/>
              <w:marBottom w:val="0"/>
              <w:divBdr>
                <w:top w:val="none" w:sz="0" w:space="0" w:color="auto"/>
                <w:left w:val="none" w:sz="0" w:space="0" w:color="auto"/>
                <w:bottom w:val="none" w:sz="0" w:space="0" w:color="auto"/>
                <w:right w:val="none" w:sz="0" w:space="0" w:color="auto"/>
              </w:divBdr>
              <w:divsChild>
                <w:div w:id="1737850039">
                  <w:marLeft w:val="0"/>
                  <w:marRight w:val="0"/>
                  <w:marTop w:val="0"/>
                  <w:marBottom w:val="0"/>
                  <w:divBdr>
                    <w:top w:val="none" w:sz="0" w:space="0" w:color="auto"/>
                    <w:left w:val="none" w:sz="0" w:space="0" w:color="auto"/>
                    <w:bottom w:val="none" w:sz="0" w:space="0" w:color="auto"/>
                    <w:right w:val="none" w:sz="0" w:space="0" w:color="auto"/>
                  </w:divBdr>
                  <w:divsChild>
                    <w:div w:id="181403834">
                      <w:marLeft w:val="0"/>
                      <w:marRight w:val="0"/>
                      <w:marTop w:val="0"/>
                      <w:marBottom w:val="0"/>
                      <w:divBdr>
                        <w:top w:val="none" w:sz="0" w:space="0" w:color="auto"/>
                        <w:left w:val="none" w:sz="0" w:space="0" w:color="auto"/>
                        <w:bottom w:val="none" w:sz="0" w:space="0" w:color="auto"/>
                        <w:right w:val="none" w:sz="0" w:space="0" w:color="auto"/>
                      </w:divBdr>
                      <w:divsChild>
                        <w:div w:id="895505748">
                          <w:marLeft w:val="340"/>
                          <w:marRight w:val="0"/>
                          <w:marTop w:val="300"/>
                          <w:marBottom w:val="120"/>
                          <w:divBdr>
                            <w:top w:val="none" w:sz="0" w:space="0" w:color="auto"/>
                            <w:left w:val="none" w:sz="0" w:space="0" w:color="auto"/>
                            <w:bottom w:val="none" w:sz="0" w:space="0" w:color="auto"/>
                            <w:right w:val="none" w:sz="0" w:space="0" w:color="auto"/>
                          </w:divBdr>
                          <w:divsChild>
                            <w:div w:id="1514762723">
                              <w:marLeft w:val="0"/>
                              <w:marRight w:val="0"/>
                              <w:marTop w:val="0"/>
                              <w:marBottom w:val="0"/>
                              <w:divBdr>
                                <w:top w:val="none" w:sz="0" w:space="0" w:color="auto"/>
                                <w:left w:val="none" w:sz="0" w:space="0" w:color="auto"/>
                                <w:bottom w:val="none" w:sz="0" w:space="0" w:color="auto"/>
                                <w:right w:val="none" w:sz="0" w:space="0" w:color="auto"/>
                              </w:divBdr>
                              <w:divsChild>
                                <w:div w:id="53785804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3597202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3478454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2119851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07251769">
                                                  <w:blockQuote w:val="1"/>
                                                  <w:marLeft w:val="600"/>
                                                  <w:marRight w:val="0"/>
                                                  <w:marTop w:val="120"/>
                                                  <w:marBottom w:val="120"/>
                                                  <w:divBdr>
                                                    <w:top w:val="none" w:sz="0" w:space="0" w:color="auto"/>
                                                    <w:left w:val="none" w:sz="0" w:space="0" w:color="auto"/>
                                                    <w:bottom w:val="none" w:sz="0" w:space="0" w:color="auto"/>
                                                    <w:right w:val="none" w:sz="0" w:space="0" w:color="auto"/>
                                                  </w:divBdr>
                                                </w:div>
                                                <w:div w:id="33588767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44152630">
                                              <w:blockQuote w:val="1"/>
                                              <w:marLeft w:val="600"/>
                                              <w:marRight w:val="0"/>
                                              <w:marTop w:val="120"/>
                                              <w:marBottom w:val="120"/>
                                              <w:divBdr>
                                                <w:top w:val="none" w:sz="0" w:space="0" w:color="auto"/>
                                                <w:left w:val="none" w:sz="0" w:space="0" w:color="auto"/>
                                                <w:bottom w:val="none" w:sz="0" w:space="0" w:color="auto"/>
                                                <w:right w:val="none" w:sz="0" w:space="0" w:color="auto"/>
                                              </w:divBdr>
                                            </w:div>
                                            <w:div w:id="279641">
                                              <w:blockQuote w:val="1"/>
                                              <w:marLeft w:val="600"/>
                                              <w:marRight w:val="0"/>
                                              <w:marTop w:val="120"/>
                                              <w:marBottom w:val="120"/>
                                              <w:divBdr>
                                                <w:top w:val="none" w:sz="0" w:space="0" w:color="auto"/>
                                                <w:left w:val="none" w:sz="0" w:space="0" w:color="auto"/>
                                                <w:bottom w:val="none" w:sz="0" w:space="0" w:color="auto"/>
                                                <w:right w:val="none" w:sz="0" w:space="0" w:color="auto"/>
                                              </w:divBdr>
                                            </w:div>
                                            <w:div w:id="146978658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0235122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18199652">
                                                      <w:blockQuote w:val="1"/>
                                                      <w:marLeft w:val="600"/>
                                                      <w:marRight w:val="0"/>
                                                      <w:marTop w:val="120"/>
                                                      <w:marBottom w:val="120"/>
                                                      <w:divBdr>
                                                        <w:top w:val="none" w:sz="0" w:space="0" w:color="auto"/>
                                                        <w:left w:val="none" w:sz="0" w:space="0" w:color="auto"/>
                                                        <w:bottom w:val="none" w:sz="0" w:space="0" w:color="auto"/>
                                                        <w:right w:val="none" w:sz="0" w:space="0" w:color="auto"/>
                                                      </w:divBdr>
                                                    </w:div>
                                                    <w:div w:id="73042206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58031595">
                                                  <w:blockQuote w:val="1"/>
                                                  <w:marLeft w:val="600"/>
                                                  <w:marRight w:val="0"/>
                                                  <w:marTop w:val="120"/>
                                                  <w:marBottom w:val="120"/>
                                                  <w:divBdr>
                                                    <w:top w:val="none" w:sz="0" w:space="0" w:color="auto"/>
                                                    <w:left w:val="none" w:sz="0" w:space="0" w:color="auto"/>
                                                    <w:bottom w:val="none" w:sz="0" w:space="0" w:color="auto"/>
                                                    <w:right w:val="none" w:sz="0" w:space="0" w:color="auto"/>
                                                  </w:divBdr>
                                                </w:div>
                                                <w:div w:id="71986217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11701403">
                                                      <w:blockQuote w:val="1"/>
                                                      <w:marLeft w:val="600"/>
                                                      <w:marRight w:val="0"/>
                                                      <w:marTop w:val="120"/>
                                                      <w:marBottom w:val="120"/>
                                                      <w:divBdr>
                                                        <w:top w:val="none" w:sz="0" w:space="0" w:color="auto"/>
                                                        <w:left w:val="none" w:sz="0" w:space="0" w:color="auto"/>
                                                        <w:bottom w:val="none" w:sz="0" w:space="0" w:color="auto"/>
                                                        <w:right w:val="none" w:sz="0" w:space="0" w:color="auto"/>
                                                      </w:divBdr>
                                                    </w:div>
                                                    <w:div w:id="65865995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1708415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51707392">
                                                      <w:blockQuote w:val="1"/>
                                                      <w:marLeft w:val="600"/>
                                                      <w:marRight w:val="0"/>
                                                      <w:marTop w:val="120"/>
                                                      <w:marBottom w:val="120"/>
                                                      <w:divBdr>
                                                        <w:top w:val="none" w:sz="0" w:space="0" w:color="auto"/>
                                                        <w:left w:val="none" w:sz="0" w:space="0" w:color="auto"/>
                                                        <w:bottom w:val="none" w:sz="0" w:space="0" w:color="auto"/>
                                                        <w:right w:val="none" w:sz="0" w:space="0" w:color="auto"/>
                                                      </w:divBdr>
                                                    </w:div>
                                                    <w:div w:id="6797104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307708378">
                                              <w:blockQuote w:val="1"/>
                                              <w:marLeft w:val="600"/>
                                              <w:marRight w:val="0"/>
                                              <w:marTop w:val="120"/>
                                              <w:marBottom w:val="120"/>
                                              <w:divBdr>
                                                <w:top w:val="none" w:sz="0" w:space="0" w:color="auto"/>
                                                <w:left w:val="none" w:sz="0" w:space="0" w:color="auto"/>
                                                <w:bottom w:val="none" w:sz="0" w:space="0" w:color="auto"/>
                                                <w:right w:val="none" w:sz="0" w:space="0" w:color="auto"/>
                                              </w:divBdr>
                                            </w:div>
                                            <w:div w:id="767308923">
                                              <w:blockQuote w:val="1"/>
                                              <w:marLeft w:val="600"/>
                                              <w:marRight w:val="0"/>
                                              <w:marTop w:val="120"/>
                                              <w:marBottom w:val="120"/>
                                              <w:divBdr>
                                                <w:top w:val="none" w:sz="0" w:space="0" w:color="auto"/>
                                                <w:left w:val="none" w:sz="0" w:space="0" w:color="auto"/>
                                                <w:bottom w:val="none" w:sz="0" w:space="0" w:color="auto"/>
                                                <w:right w:val="none" w:sz="0" w:space="0" w:color="auto"/>
                                              </w:divBdr>
                                            </w:div>
                                            <w:div w:id="42874404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64863806">
                                                  <w:blockQuote w:val="1"/>
                                                  <w:marLeft w:val="600"/>
                                                  <w:marRight w:val="0"/>
                                                  <w:marTop w:val="120"/>
                                                  <w:marBottom w:val="120"/>
                                                  <w:divBdr>
                                                    <w:top w:val="none" w:sz="0" w:space="0" w:color="auto"/>
                                                    <w:left w:val="none" w:sz="0" w:space="0" w:color="auto"/>
                                                    <w:bottom w:val="none" w:sz="0" w:space="0" w:color="auto"/>
                                                    <w:right w:val="none" w:sz="0" w:space="0" w:color="auto"/>
                                                  </w:divBdr>
                                                </w:div>
                                                <w:div w:id="69280407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494748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96363672">
                                                  <w:blockQuote w:val="1"/>
                                                  <w:marLeft w:val="600"/>
                                                  <w:marRight w:val="0"/>
                                                  <w:marTop w:val="120"/>
                                                  <w:marBottom w:val="120"/>
                                                  <w:divBdr>
                                                    <w:top w:val="none" w:sz="0" w:space="0" w:color="auto"/>
                                                    <w:left w:val="none" w:sz="0" w:space="0" w:color="auto"/>
                                                    <w:bottom w:val="none" w:sz="0" w:space="0" w:color="auto"/>
                                                    <w:right w:val="none" w:sz="0" w:space="0" w:color="auto"/>
                                                  </w:divBdr>
                                                </w:div>
                                                <w:div w:id="184682446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3893678">
      <w:bodyDiv w:val="1"/>
      <w:marLeft w:val="0"/>
      <w:marRight w:val="0"/>
      <w:marTop w:val="0"/>
      <w:marBottom w:val="0"/>
      <w:divBdr>
        <w:top w:val="none" w:sz="0" w:space="0" w:color="auto"/>
        <w:left w:val="none" w:sz="0" w:space="0" w:color="auto"/>
        <w:bottom w:val="none" w:sz="0" w:space="0" w:color="auto"/>
        <w:right w:val="none" w:sz="0" w:space="0" w:color="auto"/>
      </w:divBdr>
      <w:divsChild>
        <w:div w:id="369456323">
          <w:marLeft w:val="0"/>
          <w:marRight w:val="0"/>
          <w:marTop w:val="0"/>
          <w:marBottom w:val="0"/>
          <w:divBdr>
            <w:top w:val="none" w:sz="0" w:space="0" w:color="auto"/>
            <w:left w:val="none" w:sz="0" w:space="0" w:color="auto"/>
            <w:bottom w:val="none" w:sz="0" w:space="0" w:color="auto"/>
            <w:right w:val="none" w:sz="0" w:space="0" w:color="auto"/>
          </w:divBdr>
          <w:divsChild>
            <w:div w:id="899949461">
              <w:marLeft w:val="0"/>
              <w:marRight w:val="0"/>
              <w:marTop w:val="0"/>
              <w:marBottom w:val="0"/>
              <w:divBdr>
                <w:top w:val="none" w:sz="0" w:space="0" w:color="auto"/>
                <w:left w:val="none" w:sz="0" w:space="0" w:color="auto"/>
                <w:bottom w:val="none" w:sz="0" w:space="0" w:color="auto"/>
                <w:right w:val="none" w:sz="0" w:space="0" w:color="auto"/>
              </w:divBdr>
              <w:divsChild>
                <w:div w:id="1144658750">
                  <w:marLeft w:val="0"/>
                  <w:marRight w:val="0"/>
                  <w:marTop w:val="0"/>
                  <w:marBottom w:val="0"/>
                  <w:divBdr>
                    <w:top w:val="none" w:sz="0" w:space="0" w:color="auto"/>
                    <w:left w:val="none" w:sz="0" w:space="0" w:color="auto"/>
                    <w:bottom w:val="none" w:sz="0" w:space="0" w:color="auto"/>
                    <w:right w:val="none" w:sz="0" w:space="0" w:color="auto"/>
                  </w:divBdr>
                  <w:divsChild>
                    <w:div w:id="1280452112">
                      <w:marLeft w:val="0"/>
                      <w:marRight w:val="0"/>
                      <w:marTop w:val="0"/>
                      <w:marBottom w:val="0"/>
                      <w:divBdr>
                        <w:top w:val="none" w:sz="0" w:space="0" w:color="auto"/>
                        <w:left w:val="none" w:sz="0" w:space="0" w:color="auto"/>
                        <w:bottom w:val="none" w:sz="0" w:space="0" w:color="auto"/>
                        <w:right w:val="none" w:sz="0" w:space="0" w:color="auto"/>
                      </w:divBdr>
                      <w:divsChild>
                        <w:div w:id="1289049883">
                          <w:marLeft w:val="340"/>
                          <w:marRight w:val="0"/>
                          <w:marTop w:val="300"/>
                          <w:marBottom w:val="120"/>
                          <w:divBdr>
                            <w:top w:val="none" w:sz="0" w:space="0" w:color="auto"/>
                            <w:left w:val="none" w:sz="0" w:space="0" w:color="auto"/>
                            <w:bottom w:val="none" w:sz="0" w:space="0" w:color="auto"/>
                            <w:right w:val="none" w:sz="0" w:space="0" w:color="auto"/>
                          </w:divBdr>
                          <w:divsChild>
                            <w:div w:id="1934507628">
                              <w:marLeft w:val="0"/>
                              <w:marRight w:val="0"/>
                              <w:marTop w:val="0"/>
                              <w:marBottom w:val="0"/>
                              <w:divBdr>
                                <w:top w:val="none" w:sz="0" w:space="0" w:color="auto"/>
                                <w:left w:val="none" w:sz="0" w:space="0" w:color="auto"/>
                                <w:bottom w:val="none" w:sz="0" w:space="0" w:color="auto"/>
                                <w:right w:val="none" w:sz="0" w:space="0" w:color="auto"/>
                              </w:divBdr>
                              <w:divsChild>
                                <w:div w:id="6665345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7015776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158573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26497647">
                                              <w:blockQuote w:val="1"/>
                                              <w:marLeft w:val="600"/>
                                              <w:marRight w:val="0"/>
                                              <w:marTop w:val="120"/>
                                              <w:marBottom w:val="120"/>
                                              <w:divBdr>
                                                <w:top w:val="none" w:sz="0" w:space="0" w:color="auto"/>
                                                <w:left w:val="none" w:sz="0" w:space="0" w:color="auto"/>
                                                <w:bottom w:val="none" w:sz="0" w:space="0" w:color="auto"/>
                                                <w:right w:val="none" w:sz="0" w:space="0" w:color="auto"/>
                                              </w:divBdr>
                                            </w:div>
                                            <w:div w:id="15680331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160810">
      <w:bodyDiv w:val="1"/>
      <w:marLeft w:val="0"/>
      <w:marRight w:val="0"/>
      <w:marTop w:val="0"/>
      <w:marBottom w:val="0"/>
      <w:divBdr>
        <w:top w:val="none" w:sz="0" w:space="0" w:color="auto"/>
        <w:left w:val="none" w:sz="0" w:space="0" w:color="auto"/>
        <w:bottom w:val="none" w:sz="0" w:space="0" w:color="auto"/>
        <w:right w:val="none" w:sz="0" w:space="0" w:color="auto"/>
      </w:divBdr>
      <w:divsChild>
        <w:div w:id="1522354007">
          <w:marLeft w:val="0"/>
          <w:marRight w:val="0"/>
          <w:marTop w:val="0"/>
          <w:marBottom w:val="0"/>
          <w:divBdr>
            <w:top w:val="none" w:sz="0" w:space="0" w:color="auto"/>
            <w:left w:val="none" w:sz="0" w:space="0" w:color="auto"/>
            <w:bottom w:val="none" w:sz="0" w:space="0" w:color="auto"/>
            <w:right w:val="none" w:sz="0" w:space="0" w:color="auto"/>
          </w:divBdr>
          <w:divsChild>
            <w:div w:id="1405883045">
              <w:marLeft w:val="0"/>
              <w:marRight w:val="0"/>
              <w:marTop w:val="0"/>
              <w:marBottom w:val="0"/>
              <w:divBdr>
                <w:top w:val="none" w:sz="0" w:space="0" w:color="auto"/>
                <w:left w:val="none" w:sz="0" w:space="0" w:color="auto"/>
                <w:bottom w:val="none" w:sz="0" w:space="0" w:color="auto"/>
                <w:right w:val="none" w:sz="0" w:space="0" w:color="auto"/>
              </w:divBdr>
              <w:divsChild>
                <w:div w:id="1649283506">
                  <w:marLeft w:val="0"/>
                  <w:marRight w:val="0"/>
                  <w:marTop w:val="0"/>
                  <w:marBottom w:val="0"/>
                  <w:divBdr>
                    <w:top w:val="none" w:sz="0" w:space="0" w:color="auto"/>
                    <w:left w:val="none" w:sz="0" w:space="0" w:color="auto"/>
                    <w:bottom w:val="none" w:sz="0" w:space="0" w:color="auto"/>
                    <w:right w:val="none" w:sz="0" w:space="0" w:color="auto"/>
                  </w:divBdr>
                  <w:divsChild>
                    <w:div w:id="993679025">
                      <w:marLeft w:val="0"/>
                      <w:marRight w:val="0"/>
                      <w:marTop w:val="0"/>
                      <w:marBottom w:val="0"/>
                      <w:divBdr>
                        <w:top w:val="none" w:sz="0" w:space="0" w:color="auto"/>
                        <w:left w:val="none" w:sz="0" w:space="0" w:color="auto"/>
                        <w:bottom w:val="none" w:sz="0" w:space="0" w:color="auto"/>
                        <w:right w:val="none" w:sz="0" w:space="0" w:color="auto"/>
                      </w:divBdr>
                      <w:divsChild>
                        <w:div w:id="94794681">
                          <w:marLeft w:val="340"/>
                          <w:marRight w:val="0"/>
                          <w:marTop w:val="300"/>
                          <w:marBottom w:val="120"/>
                          <w:divBdr>
                            <w:top w:val="none" w:sz="0" w:space="0" w:color="auto"/>
                            <w:left w:val="none" w:sz="0" w:space="0" w:color="auto"/>
                            <w:bottom w:val="none" w:sz="0" w:space="0" w:color="auto"/>
                            <w:right w:val="none" w:sz="0" w:space="0" w:color="auto"/>
                          </w:divBdr>
                          <w:divsChild>
                            <w:div w:id="2099054896">
                              <w:marLeft w:val="0"/>
                              <w:marRight w:val="0"/>
                              <w:marTop w:val="0"/>
                              <w:marBottom w:val="0"/>
                              <w:divBdr>
                                <w:top w:val="none" w:sz="0" w:space="0" w:color="auto"/>
                                <w:left w:val="none" w:sz="0" w:space="0" w:color="auto"/>
                                <w:bottom w:val="none" w:sz="0" w:space="0" w:color="auto"/>
                                <w:right w:val="none" w:sz="0" w:space="0" w:color="auto"/>
                              </w:divBdr>
                              <w:divsChild>
                                <w:div w:id="115507215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4184856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0294768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675853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5684870">
      <w:bodyDiv w:val="1"/>
      <w:marLeft w:val="0"/>
      <w:marRight w:val="0"/>
      <w:marTop w:val="0"/>
      <w:marBottom w:val="0"/>
      <w:divBdr>
        <w:top w:val="none" w:sz="0" w:space="0" w:color="auto"/>
        <w:left w:val="none" w:sz="0" w:space="0" w:color="auto"/>
        <w:bottom w:val="none" w:sz="0" w:space="0" w:color="auto"/>
        <w:right w:val="none" w:sz="0" w:space="0" w:color="auto"/>
      </w:divBdr>
      <w:divsChild>
        <w:div w:id="164712787">
          <w:marLeft w:val="0"/>
          <w:marRight w:val="0"/>
          <w:marTop w:val="0"/>
          <w:marBottom w:val="0"/>
          <w:divBdr>
            <w:top w:val="none" w:sz="0" w:space="0" w:color="auto"/>
            <w:left w:val="none" w:sz="0" w:space="0" w:color="auto"/>
            <w:bottom w:val="none" w:sz="0" w:space="0" w:color="auto"/>
            <w:right w:val="none" w:sz="0" w:space="0" w:color="auto"/>
          </w:divBdr>
          <w:divsChild>
            <w:div w:id="953832477">
              <w:marLeft w:val="0"/>
              <w:marRight w:val="0"/>
              <w:marTop w:val="0"/>
              <w:marBottom w:val="0"/>
              <w:divBdr>
                <w:top w:val="none" w:sz="0" w:space="0" w:color="auto"/>
                <w:left w:val="none" w:sz="0" w:space="0" w:color="auto"/>
                <w:bottom w:val="none" w:sz="0" w:space="0" w:color="auto"/>
                <w:right w:val="none" w:sz="0" w:space="0" w:color="auto"/>
              </w:divBdr>
              <w:divsChild>
                <w:div w:id="143814265">
                  <w:marLeft w:val="0"/>
                  <w:marRight w:val="0"/>
                  <w:marTop w:val="0"/>
                  <w:marBottom w:val="0"/>
                  <w:divBdr>
                    <w:top w:val="none" w:sz="0" w:space="0" w:color="auto"/>
                    <w:left w:val="none" w:sz="0" w:space="0" w:color="auto"/>
                    <w:bottom w:val="none" w:sz="0" w:space="0" w:color="auto"/>
                    <w:right w:val="none" w:sz="0" w:space="0" w:color="auto"/>
                  </w:divBdr>
                  <w:divsChild>
                    <w:div w:id="2094232781">
                      <w:marLeft w:val="0"/>
                      <w:marRight w:val="0"/>
                      <w:marTop w:val="0"/>
                      <w:marBottom w:val="0"/>
                      <w:divBdr>
                        <w:top w:val="none" w:sz="0" w:space="0" w:color="auto"/>
                        <w:left w:val="none" w:sz="0" w:space="0" w:color="auto"/>
                        <w:bottom w:val="none" w:sz="0" w:space="0" w:color="auto"/>
                        <w:right w:val="none" w:sz="0" w:space="0" w:color="auto"/>
                      </w:divBdr>
                      <w:divsChild>
                        <w:div w:id="437406158">
                          <w:marLeft w:val="340"/>
                          <w:marRight w:val="0"/>
                          <w:marTop w:val="300"/>
                          <w:marBottom w:val="120"/>
                          <w:divBdr>
                            <w:top w:val="none" w:sz="0" w:space="0" w:color="auto"/>
                            <w:left w:val="none" w:sz="0" w:space="0" w:color="auto"/>
                            <w:bottom w:val="none" w:sz="0" w:space="0" w:color="auto"/>
                            <w:right w:val="none" w:sz="0" w:space="0" w:color="auto"/>
                          </w:divBdr>
                          <w:divsChild>
                            <w:div w:id="1607496319">
                              <w:marLeft w:val="0"/>
                              <w:marRight w:val="0"/>
                              <w:marTop w:val="0"/>
                              <w:marBottom w:val="0"/>
                              <w:divBdr>
                                <w:top w:val="none" w:sz="0" w:space="0" w:color="auto"/>
                                <w:left w:val="none" w:sz="0" w:space="0" w:color="auto"/>
                                <w:bottom w:val="none" w:sz="0" w:space="0" w:color="auto"/>
                                <w:right w:val="none" w:sz="0" w:space="0" w:color="auto"/>
                              </w:divBdr>
                              <w:divsChild>
                                <w:div w:id="93863451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713288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731099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232841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25274367">
                                                  <w:blockQuote w:val="1"/>
                                                  <w:marLeft w:val="600"/>
                                                  <w:marRight w:val="0"/>
                                                  <w:marTop w:val="120"/>
                                                  <w:marBottom w:val="120"/>
                                                  <w:divBdr>
                                                    <w:top w:val="none" w:sz="0" w:space="0" w:color="auto"/>
                                                    <w:left w:val="none" w:sz="0" w:space="0" w:color="auto"/>
                                                    <w:bottom w:val="none" w:sz="0" w:space="0" w:color="auto"/>
                                                    <w:right w:val="none" w:sz="0" w:space="0" w:color="auto"/>
                                                  </w:divBdr>
                                                </w:div>
                                                <w:div w:id="53597164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2979401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973310">
      <w:bodyDiv w:val="1"/>
      <w:marLeft w:val="0"/>
      <w:marRight w:val="0"/>
      <w:marTop w:val="0"/>
      <w:marBottom w:val="0"/>
      <w:divBdr>
        <w:top w:val="none" w:sz="0" w:space="0" w:color="auto"/>
        <w:left w:val="none" w:sz="0" w:space="0" w:color="auto"/>
        <w:bottom w:val="none" w:sz="0" w:space="0" w:color="auto"/>
        <w:right w:val="none" w:sz="0" w:space="0" w:color="auto"/>
      </w:divBdr>
      <w:divsChild>
        <w:div w:id="1768426747">
          <w:marLeft w:val="0"/>
          <w:marRight w:val="0"/>
          <w:marTop w:val="0"/>
          <w:marBottom w:val="0"/>
          <w:divBdr>
            <w:top w:val="none" w:sz="0" w:space="0" w:color="auto"/>
            <w:left w:val="none" w:sz="0" w:space="0" w:color="auto"/>
            <w:bottom w:val="none" w:sz="0" w:space="0" w:color="auto"/>
            <w:right w:val="none" w:sz="0" w:space="0" w:color="auto"/>
          </w:divBdr>
          <w:divsChild>
            <w:div w:id="1184711307">
              <w:marLeft w:val="0"/>
              <w:marRight w:val="0"/>
              <w:marTop w:val="0"/>
              <w:marBottom w:val="0"/>
              <w:divBdr>
                <w:top w:val="none" w:sz="0" w:space="0" w:color="auto"/>
                <w:left w:val="none" w:sz="0" w:space="0" w:color="auto"/>
                <w:bottom w:val="none" w:sz="0" w:space="0" w:color="auto"/>
                <w:right w:val="none" w:sz="0" w:space="0" w:color="auto"/>
              </w:divBdr>
              <w:divsChild>
                <w:div w:id="878474974">
                  <w:marLeft w:val="0"/>
                  <w:marRight w:val="0"/>
                  <w:marTop w:val="0"/>
                  <w:marBottom w:val="0"/>
                  <w:divBdr>
                    <w:top w:val="none" w:sz="0" w:space="0" w:color="auto"/>
                    <w:left w:val="none" w:sz="0" w:space="0" w:color="auto"/>
                    <w:bottom w:val="none" w:sz="0" w:space="0" w:color="auto"/>
                    <w:right w:val="none" w:sz="0" w:space="0" w:color="auto"/>
                  </w:divBdr>
                  <w:divsChild>
                    <w:div w:id="1500072760">
                      <w:marLeft w:val="0"/>
                      <w:marRight w:val="0"/>
                      <w:marTop w:val="0"/>
                      <w:marBottom w:val="0"/>
                      <w:divBdr>
                        <w:top w:val="none" w:sz="0" w:space="0" w:color="auto"/>
                        <w:left w:val="none" w:sz="0" w:space="0" w:color="auto"/>
                        <w:bottom w:val="none" w:sz="0" w:space="0" w:color="auto"/>
                        <w:right w:val="none" w:sz="0" w:space="0" w:color="auto"/>
                      </w:divBdr>
                      <w:divsChild>
                        <w:div w:id="950746325">
                          <w:marLeft w:val="340"/>
                          <w:marRight w:val="0"/>
                          <w:marTop w:val="300"/>
                          <w:marBottom w:val="120"/>
                          <w:divBdr>
                            <w:top w:val="none" w:sz="0" w:space="0" w:color="auto"/>
                            <w:left w:val="none" w:sz="0" w:space="0" w:color="auto"/>
                            <w:bottom w:val="none" w:sz="0" w:space="0" w:color="auto"/>
                            <w:right w:val="none" w:sz="0" w:space="0" w:color="auto"/>
                          </w:divBdr>
                          <w:divsChild>
                            <w:div w:id="1310786545">
                              <w:marLeft w:val="0"/>
                              <w:marRight w:val="0"/>
                              <w:marTop w:val="0"/>
                              <w:marBottom w:val="0"/>
                              <w:divBdr>
                                <w:top w:val="none" w:sz="0" w:space="0" w:color="auto"/>
                                <w:left w:val="none" w:sz="0" w:space="0" w:color="auto"/>
                                <w:bottom w:val="none" w:sz="0" w:space="0" w:color="auto"/>
                                <w:right w:val="none" w:sz="0" w:space="0" w:color="auto"/>
                              </w:divBdr>
                              <w:divsChild>
                                <w:div w:id="38826455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9532149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9851883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3078778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42594437">
                                                  <w:blockQuote w:val="1"/>
                                                  <w:marLeft w:val="600"/>
                                                  <w:marRight w:val="0"/>
                                                  <w:marTop w:val="120"/>
                                                  <w:marBottom w:val="120"/>
                                                  <w:divBdr>
                                                    <w:top w:val="none" w:sz="0" w:space="0" w:color="auto"/>
                                                    <w:left w:val="none" w:sz="0" w:space="0" w:color="auto"/>
                                                    <w:bottom w:val="none" w:sz="0" w:space="0" w:color="auto"/>
                                                    <w:right w:val="none" w:sz="0" w:space="0" w:color="auto"/>
                                                  </w:divBdr>
                                                </w:div>
                                                <w:div w:id="1964923280">
                                                  <w:blockQuote w:val="1"/>
                                                  <w:marLeft w:val="600"/>
                                                  <w:marRight w:val="0"/>
                                                  <w:marTop w:val="120"/>
                                                  <w:marBottom w:val="120"/>
                                                  <w:divBdr>
                                                    <w:top w:val="none" w:sz="0" w:space="0" w:color="auto"/>
                                                    <w:left w:val="none" w:sz="0" w:space="0" w:color="auto"/>
                                                    <w:bottom w:val="none" w:sz="0" w:space="0" w:color="auto"/>
                                                    <w:right w:val="none" w:sz="0" w:space="0" w:color="auto"/>
                                                  </w:divBdr>
                                                </w:div>
                                                <w:div w:id="46362363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494496">
      <w:bodyDiv w:val="1"/>
      <w:marLeft w:val="0"/>
      <w:marRight w:val="0"/>
      <w:marTop w:val="0"/>
      <w:marBottom w:val="0"/>
      <w:divBdr>
        <w:top w:val="none" w:sz="0" w:space="0" w:color="auto"/>
        <w:left w:val="none" w:sz="0" w:space="0" w:color="auto"/>
        <w:bottom w:val="none" w:sz="0" w:space="0" w:color="auto"/>
        <w:right w:val="none" w:sz="0" w:space="0" w:color="auto"/>
      </w:divBdr>
      <w:divsChild>
        <w:div w:id="858005743">
          <w:marLeft w:val="0"/>
          <w:marRight w:val="0"/>
          <w:marTop w:val="0"/>
          <w:marBottom w:val="0"/>
          <w:divBdr>
            <w:top w:val="none" w:sz="0" w:space="0" w:color="auto"/>
            <w:left w:val="none" w:sz="0" w:space="0" w:color="auto"/>
            <w:bottom w:val="none" w:sz="0" w:space="0" w:color="auto"/>
            <w:right w:val="none" w:sz="0" w:space="0" w:color="auto"/>
          </w:divBdr>
          <w:divsChild>
            <w:div w:id="277182390">
              <w:marLeft w:val="0"/>
              <w:marRight w:val="0"/>
              <w:marTop w:val="0"/>
              <w:marBottom w:val="0"/>
              <w:divBdr>
                <w:top w:val="none" w:sz="0" w:space="0" w:color="auto"/>
                <w:left w:val="none" w:sz="0" w:space="0" w:color="auto"/>
                <w:bottom w:val="none" w:sz="0" w:space="0" w:color="auto"/>
                <w:right w:val="none" w:sz="0" w:space="0" w:color="auto"/>
              </w:divBdr>
              <w:divsChild>
                <w:div w:id="1156529310">
                  <w:marLeft w:val="0"/>
                  <w:marRight w:val="0"/>
                  <w:marTop w:val="0"/>
                  <w:marBottom w:val="0"/>
                  <w:divBdr>
                    <w:top w:val="none" w:sz="0" w:space="0" w:color="auto"/>
                    <w:left w:val="none" w:sz="0" w:space="0" w:color="auto"/>
                    <w:bottom w:val="none" w:sz="0" w:space="0" w:color="auto"/>
                    <w:right w:val="none" w:sz="0" w:space="0" w:color="auto"/>
                  </w:divBdr>
                  <w:divsChild>
                    <w:div w:id="161898451">
                      <w:marLeft w:val="0"/>
                      <w:marRight w:val="0"/>
                      <w:marTop w:val="0"/>
                      <w:marBottom w:val="0"/>
                      <w:divBdr>
                        <w:top w:val="none" w:sz="0" w:space="0" w:color="auto"/>
                        <w:left w:val="none" w:sz="0" w:space="0" w:color="auto"/>
                        <w:bottom w:val="none" w:sz="0" w:space="0" w:color="auto"/>
                        <w:right w:val="none" w:sz="0" w:space="0" w:color="auto"/>
                      </w:divBdr>
                      <w:divsChild>
                        <w:div w:id="1254894402">
                          <w:marLeft w:val="340"/>
                          <w:marRight w:val="0"/>
                          <w:marTop w:val="300"/>
                          <w:marBottom w:val="120"/>
                          <w:divBdr>
                            <w:top w:val="none" w:sz="0" w:space="0" w:color="auto"/>
                            <w:left w:val="none" w:sz="0" w:space="0" w:color="auto"/>
                            <w:bottom w:val="none" w:sz="0" w:space="0" w:color="auto"/>
                            <w:right w:val="none" w:sz="0" w:space="0" w:color="auto"/>
                          </w:divBdr>
                          <w:divsChild>
                            <w:div w:id="404492925">
                              <w:marLeft w:val="0"/>
                              <w:marRight w:val="0"/>
                              <w:marTop w:val="0"/>
                              <w:marBottom w:val="0"/>
                              <w:divBdr>
                                <w:top w:val="none" w:sz="0" w:space="0" w:color="auto"/>
                                <w:left w:val="none" w:sz="0" w:space="0" w:color="auto"/>
                                <w:bottom w:val="none" w:sz="0" w:space="0" w:color="auto"/>
                                <w:right w:val="none" w:sz="0" w:space="0" w:color="auto"/>
                              </w:divBdr>
                              <w:divsChild>
                                <w:div w:id="207554829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3891147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1390705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9424271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10791602">
                                                  <w:blockQuote w:val="1"/>
                                                  <w:marLeft w:val="600"/>
                                                  <w:marRight w:val="0"/>
                                                  <w:marTop w:val="120"/>
                                                  <w:marBottom w:val="120"/>
                                                  <w:divBdr>
                                                    <w:top w:val="none" w:sz="0" w:space="0" w:color="auto"/>
                                                    <w:left w:val="none" w:sz="0" w:space="0" w:color="auto"/>
                                                    <w:bottom w:val="none" w:sz="0" w:space="0" w:color="auto"/>
                                                    <w:right w:val="none" w:sz="0" w:space="0" w:color="auto"/>
                                                  </w:divBdr>
                                                </w:div>
                                                <w:div w:id="142372018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77757047">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142895043">
                                                          <w:blockQuote w:val="1"/>
                                                          <w:marLeft w:val="340"/>
                                                          <w:marRight w:val="0"/>
                                                          <w:marTop w:val="80"/>
                                                          <w:marBottom w:val="80"/>
                                                          <w:divBdr>
                                                            <w:top w:val="none" w:sz="0" w:space="0" w:color="auto"/>
                                                            <w:left w:val="none" w:sz="0" w:space="0" w:color="auto"/>
                                                            <w:bottom w:val="none" w:sz="0" w:space="0" w:color="auto"/>
                                                            <w:right w:val="none" w:sz="0" w:space="0" w:color="auto"/>
                                                          </w:divBdr>
                                                        </w:div>
                                                        <w:div w:id="1099908668">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 w:id="1341857005">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59377896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47480288">
                                                  <w:blockQuote w:val="1"/>
                                                  <w:marLeft w:val="600"/>
                                                  <w:marRight w:val="0"/>
                                                  <w:marTop w:val="120"/>
                                                  <w:marBottom w:val="120"/>
                                                  <w:divBdr>
                                                    <w:top w:val="none" w:sz="0" w:space="0" w:color="auto"/>
                                                    <w:left w:val="none" w:sz="0" w:space="0" w:color="auto"/>
                                                    <w:bottom w:val="none" w:sz="0" w:space="0" w:color="auto"/>
                                                    <w:right w:val="none" w:sz="0" w:space="0" w:color="auto"/>
                                                  </w:divBdr>
                                                </w:div>
                                                <w:div w:id="46327415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26.xml"/><Relationship Id="rId671" Type="http://schemas.openxmlformats.org/officeDocument/2006/relationships/hyperlink" Target="https://www.legislation.qld.gov.au/browse/aspassed" TargetMode="External"/><Relationship Id="rId769" Type="http://schemas.openxmlformats.org/officeDocument/2006/relationships/hyperlink" Target="https://www.legislation.qld.gov.au/browse/aspassed" TargetMode="External"/><Relationship Id="rId21" Type="http://schemas.openxmlformats.org/officeDocument/2006/relationships/footer" Target="footer3.xml"/><Relationship Id="rId324" Type="http://schemas.openxmlformats.org/officeDocument/2006/relationships/hyperlink" Target="https://www.legislation.qld.gov.au/browse/aspassed" TargetMode="External"/><Relationship Id="rId531" Type="http://schemas.openxmlformats.org/officeDocument/2006/relationships/hyperlink" Target="https://www.legislation.qld.gov.au/view/html/asmade/act-2015-012" TargetMode="External"/><Relationship Id="rId629" Type="http://schemas.openxmlformats.org/officeDocument/2006/relationships/hyperlink" Target="https://www.legislation.qld.gov.au/browse/aspassed" TargetMode="External"/><Relationship Id="rId170" Type="http://schemas.openxmlformats.org/officeDocument/2006/relationships/hyperlink" Target="https://www.legislation.qld.gov.au/link?version.series.id=9fc42f47-c48c-4de0-87c2-bf62ed5af33d&amp;doc.id=act-2018-010&amp;date=2019-01-04&amp;type=act" TargetMode="External"/><Relationship Id="rId836" Type="http://schemas.openxmlformats.org/officeDocument/2006/relationships/hyperlink" Target="https://www.legislation.qld.gov.au/browse/aspassed" TargetMode="External"/><Relationship Id="rId268" Type="http://schemas.openxmlformats.org/officeDocument/2006/relationships/hyperlink" Target="https://www.legislation.qld.gov.au/view/html/asmade/act-2018-010" TargetMode="External"/><Relationship Id="rId475" Type="http://schemas.openxmlformats.org/officeDocument/2006/relationships/hyperlink" Target="https://www.legislation.qld.gov.au/browse/aspassed" TargetMode="External"/><Relationship Id="rId682" Type="http://schemas.openxmlformats.org/officeDocument/2006/relationships/hyperlink" Target="https://www.legislation.qld.gov.au/browse/aspassed" TargetMode="External"/><Relationship Id="rId903" Type="http://schemas.openxmlformats.org/officeDocument/2006/relationships/hyperlink" Target="https://www.legislation.qld.gov.au/view/html/asmade/act-2019-029" TargetMode="External"/><Relationship Id="rId32" Type="http://schemas.openxmlformats.org/officeDocument/2006/relationships/hyperlink" Target="http://www.comlaw.gov.au/Series/C2004A03813" TargetMode="External"/><Relationship Id="rId128" Type="http://schemas.openxmlformats.org/officeDocument/2006/relationships/footer" Target="footer31.xml"/><Relationship Id="rId335" Type="http://schemas.openxmlformats.org/officeDocument/2006/relationships/hyperlink" Target="https://www.legislation.qld.gov.au/browse/aspassed" TargetMode="External"/><Relationship Id="rId542" Type="http://schemas.openxmlformats.org/officeDocument/2006/relationships/hyperlink" Target="https://www.legislation.qld.gov.au/view/html/asmade/act-2015-012" TargetMode="External"/><Relationship Id="rId181" Type="http://schemas.openxmlformats.org/officeDocument/2006/relationships/hyperlink" Target="http://www.legislation.act.gov.au/a/2013-51/default.asp" TargetMode="External"/><Relationship Id="rId402" Type="http://schemas.openxmlformats.org/officeDocument/2006/relationships/hyperlink" Target="https://www.legislation.qld.gov.au/browse/aspassed" TargetMode="External"/><Relationship Id="rId847" Type="http://schemas.openxmlformats.org/officeDocument/2006/relationships/hyperlink" Target="https://www.legislation.qld.gov.au/browse/aspassed" TargetMode="External"/><Relationship Id="rId279" Type="http://schemas.openxmlformats.org/officeDocument/2006/relationships/hyperlink" Target="https://www.legislation.qld.gov.au/view/html/asmade/act-2019-029" TargetMode="External"/><Relationship Id="rId486" Type="http://schemas.openxmlformats.org/officeDocument/2006/relationships/hyperlink" Target="https://www.legislation.qld.gov.au/browse/aspassed" TargetMode="External"/><Relationship Id="rId693" Type="http://schemas.openxmlformats.org/officeDocument/2006/relationships/hyperlink" Target="https://www.legislation.qld.gov.au/view/html/asmade/act-2014-043" TargetMode="External"/><Relationship Id="rId707" Type="http://schemas.openxmlformats.org/officeDocument/2006/relationships/hyperlink" Target="https://www.legislation.qld.gov.au/view/html/asmade/act-2015-012" TargetMode="External"/><Relationship Id="rId914" Type="http://schemas.openxmlformats.org/officeDocument/2006/relationships/header" Target="header35.xml"/><Relationship Id="rId43" Type="http://schemas.openxmlformats.org/officeDocument/2006/relationships/hyperlink" Target="https://www.legislation.gov.au/Series/C2018A00164" TargetMode="External"/><Relationship Id="rId139" Type="http://schemas.openxmlformats.org/officeDocument/2006/relationships/header" Target="header29.xml"/><Relationship Id="rId346" Type="http://schemas.openxmlformats.org/officeDocument/2006/relationships/hyperlink" Target="https://www.legislation.qld.gov.au/browse/aspassed" TargetMode="External"/><Relationship Id="rId553" Type="http://schemas.openxmlformats.org/officeDocument/2006/relationships/hyperlink" Target="https://www.legislation.qld.gov.au/view/html/asmade/act-2015-012" TargetMode="External"/><Relationship Id="rId760" Type="http://schemas.openxmlformats.org/officeDocument/2006/relationships/hyperlink" Target="https://www.legislation.qld.gov.au/browse/aspassed" TargetMode="External"/><Relationship Id="rId192" Type="http://schemas.openxmlformats.org/officeDocument/2006/relationships/hyperlink" Target="https://www.legislation.qld.gov.au/view/html/asmade/act-2015-012" TargetMode="External"/><Relationship Id="rId206" Type="http://schemas.openxmlformats.org/officeDocument/2006/relationships/hyperlink" Target="https://www.legislation.qld.gov.au/view/html/asmade/act-2015-012" TargetMode="External"/><Relationship Id="rId413" Type="http://schemas.openxmlformats.org/officeDocument/2006/relationships/hyperlink" Target="https://www.legislation.qld.gov.au/browse/aspassed" TargetMode="External"/><Relationship Id="rId858" Type="http://schemas.openxmlformats.org/officeDocument/2006/relationships/hyperlink" Target="https://www.legislation.qld.gov.au/view/html/asmade/act-2015-012" TargetMode="External"/><Relationship Id="rId497" Type="http://schemas.openxmlformats.org/officeDocument/2006/relationships/hyperlink" Target="https://www.legislation.qld.gov.au/browse/aspassed" TargetMode="External"/><Relationship Id="rId620" Type="http://schemas.openxmlformats.org/officeDocument/2006/relationships/hyperlink" Target="https://www.legislation.qld.gov.au/view/html/asmade/act-2015-012" TargetMode="External"/><Relationship Id="rId718" Type="http://schemas.openxmlformats.org/officeDocument/2006/relationships/hyperlink" Target="https://www.legislation.qld.gov.au/browse/aspassed" TargetMode="External"/><Relationship Id="rId357" Type="http://schemas.openxmlformats.org/officeDocument/2006/relationships/hyperlink" Target="https://www.legislation.qld.gov.au/browse/aspassed" TargetMode="External"/><Relationship Id="rId54" Type="http://schemas.openxmlformats.org/officeDocument/2006/relationships/footer" Target="footer9.xml"/><Relationship Id="rId217" Type="http://schemas.openxmlformats.org/officeDocument/2006/relationships/hyperlink" Target="https://www.legislation.qld.gov.au/view/html/asmade/act-2018-010" TargetMode="External"/><Relationship Id="rId564" Type="http://schemas.openxmlformats.org/officeDocument/2006/relationships/hyperlink" Target="https://www.legislation.qld.gov.au/browse/aspassed" TargetMode="External"/><Relationship Id="rId771" Type="http://schemas.openxmlformats.org/officeDocument/2006/relationships/hyperlink" Target="https://www.legislation.qld.gov.au/browse/aspassed" TargetMode="External"/><Relationship Id="rId869" Type="http://schemas.openxmlformats.org/officeDocument/2006/relationships/hyperlink" Target="https://www.legislation.qld.gov.au/browse/aspassed" TargetMode="External"/><Relationship Id="rId424" Type="http://schemas.openxmlformats.org/officeDocument/2006/relationships/hyperlink" Target="https://www.legislation.qld.gov.au/view/html/asmade/act-2019-029" TargetMode="External"/><Relationship Id="rId631" Type="http://schemas.openxmlformats.org/officeDocument/2006/relationships/hyperlink" Target="https://www.legislation.qld.gov.au/browse/aspassed" TargetMode="External"/><Relationship Id="rId729" Type="http://schemas.openxmlformats.org/officeDocument/2006/relationships/hyperlink" Target="https://www.legislation.qld.gov.au/view/html/asmade/act-2015-012" TargetMode="External"/><Relationship Id="rId270" Type="http://schemas.openxmlformats.org/officeDocument/2006/relationships/hyperlink" Target="http://www.legislation.act.gov.au/a/2013-51/default.asp" TargetMode="External"/><Relationship Id="rId65" Type="http://schemas.openxmlformats.org/officeDocument/2006/relationships/header" Target="header12.xml"/><Relationship Id="rId130" Type="http://schemas.openxmlformats.org/officeDocument/2006/relationships/header" Target="header24.xml"/><Relationship Id="rId368" Type="http://schemas.openxmlformats.org/officeDocument/2006/relationships/hyperlink" Target="http://www.legislation.act.gov.au/a/2013-51/default.asp" TargetMode="External"/><Relationship Id="rId575" Type="http://schemas.openxmlformats.org/officeDocument/2006/relationships/hyperlink" Target="https://www.legislation.qld.gov.au/view/html/asmade/act-2015-012" TargetMode="External"/><Relationship Id="rId782" Type="http://schemas.openxmlformats.org/officeDocument/2006/relationships/hyperlink" Target="https://www.legislation.qld.gov.au/browse/aspassed" TargetMode="External"/><Relationship Id="rId228" Type="http://schemas.openxmlformats.org/officeDocument/2006/relationships/hyperlink" Target="https://www.legislation.qld.gov.au/browse/aspassed" TargetMode="External"/><Relationship Id="rId435" Type="http://schemas.openxmlformats.org/officeDocument/2006/relationships/hyperlink" Target="https://www.legislation.qld.gov.au/view/html/asmade/act-2015-012" TargetMode="External"/><Relationship Id="rId642" Type="http://schemas.openxmlformats.org/officeDocument/2006/relationships/hyperlink" Target="https://www.legislation.qld.gov.au/browse/aspassed" TargetMode="External"/><Relationship Id="rId281" Type="http://schemas.openxmlformats.org/officeDocument/2006/relationships/hyperlink" Target="https://www.legislation.qld.gov.au/browse/aspassed" TargetMode="External"/><Relationship Id="rId502" Type="http://schemas.openxmlformats.org/officeDocument/2006/relationships/hyperlink" Target="https://www.legislation.qld.gov.au/browse/aspassed" TargetMode="External"/><Relationship Id="rId76" Type="http://schemas.openxmlformats.org/officeDocument/2006/relationships/header" Target="header16.xml"/><Relationship Id="rId141" Type="http://schemas.openxmlformats.org/officeDocument/2006/relationships/footer" Target="footer38.xml"/><Relationship Id="rId379" Type="http://schemas.openxmlformats.org/officeDocument/2006/relationships/hyperlink" Target="https://www.legislation.qld.gov.au/view/html/asmade/act-2019-029" TargetMode="External"/><Relationship Id="rId586" Type="http://schemas.openxmlformats.org/officeDocument/2006/relationships/hyperlink" Target="https://www.legislation.qld.gov.au/browse/aspassed" TargetMode="External"/><Relationship Id="rId793" Type="http://schemas.openxmlformats.org/officeDocument/2006/relationships/hyperlink" Target="https://www.legislation.qld.gov.au/browse/aspassed" TargetMode="External"/><Relationship Id="rId807" Type="http://schemas.openxmlformats.org/officeDocument/2006/relationships/hyperlink" Target="https://www.legislation.qld.gov.au/browse/aspassed" TargetMode="External"/><Relationship Id="rId7" Type="http://schemas.openxmlformats.org/officeDocument/2006/relationships/image" Target="media/image1.png"/><Relationship Id="rId239" Type="http://schemas.openxmlformats.org/officeDocument/2006/relationships/hyperlink" Target="https://www.legislation.qld.gov.au/browse/aspassed" TargetMode="External"/><Relationship Id="rId446" Type="http://schemas.openxmlformats.org/officeDocument/2006/relationships/hyperlink" Target="https://www.legislation.qld.gov.au/browse/aspassed" TargetMode="External"/><Relationship Id="rId653" Type="http://schemas.openxmlformats.org/officeDocument/2006/relationships/hyperlink" Target="https://www.legislation.qld.gov.au/browse/aspassed" TargetMode="External"/><Relationship Id="rId292" Type="http://schemas.openxmlformats.org/officeDocument/2006/relationships/hyperlink" Target="https://www.legislation.qld.gov.au/view/html/asmade/act-2018-010" TargetMode="External"/><Relationship Id="rId306" Type="http://schemas.openxmlformats.org/officeDocument/2006/relationships/hyperlink" Target="https://www.legislation.qld.gov.au/browse/aspassed" TargetMode="External"/><Relationship Id="rId860" Type="http://schemas.openxmlformats.org/officeDocument/2006/relationships/hyperlink" Target="https://www.legislation.qld.gov.au/view/html/asmade/act-2015-012" TargetMode="External"/><Relationship Id="rId87" Type="http://schemas.openxmlformats.org/officeDocument/2006/relationships/hyperlink" Target="http://www.legislation.act.gov.au/sl/2000-14" TargetMode="External"/><Relationship Id="rId513" Type="http://schemas.openxmlformats.org/officeDocument/2006/relationships/hyperlink" Target="https://www.legislation.qld.gov.au/view/html/asmade/act-2015-012" TargetMode="External"/><Relationship Id="rId597" Type="http://schemas.openxmlformats.org/officeDocument/2006/relationships/hyperlink" Target="https://www.legislation.qld.gov.au/browse/aspassed" TargetMode="External"/><Relationship Id="rId720" Type="http://schemas.openxmlformats.org/officeDocument/2006/relationships/hyperlink" Target="http://www.legislation.act.gov.au/a/2013-51/default.asp" TargetMode="External"/><Relationship Id="rId818" Type="http://schemas.openxmlformats.org/officeDocument/2006/relationships/hyperlink" Target="https://www.legislation.qld.gov.au/view/html/asmade/act-2019-029" TargetMode="External"/><Relationship Id="rId152" Type="http://schemas.openxmlformats.org/officeDocument/2006/relationships/hyperlink" Target="https://www.legislation.qld.gov.au/Acts_SLs/Acts_SL_A.htm" TargetMode="External"/><Relationship Id="rId457" Type="http://schemas.openxmlformats.org/officeDocument/2006/relationships/hyperlink" Target="https://www.legislation.qld.gov.au/browse/aspassed" TargetMode="External"/><Relationship Id="rId664" Type="http://schemas.openxmlformats.org/officeDocument/2006/relationships/hyperlink" Target="https://www.legislation.qld.gov.au/browse/aspassed" TargetMode="External"/><Relationship Id="rId871" Type="http://schemas.openxmlformats.org/officeDocument/2006/relationships/hyperlink" Target="https://www.legislation.qld.gov.au/view/html/asmade/act-2015-012" TargetMode="External"/><Relationship Id="rId14" Type="http://schemas.openxmlformats.org/officeDocument/2006/relationships/hyperlink" Target="http://www.legislation.act.gov.au/a/2013-51/default.asp" TargetMode="External"/><Relationship Id="rId317" Type="http://schemas.openxmlformats.org/officeDocument/2006/relationships/hyperlink" Target="https://www.legislation.qld.gov.au/browse/aspassed" TargetMode="External"/><Relationship Id="rId524" Type="http://schemas.openxmlformats.org/officeDocument/2006/relationships/hyperlink" Target="https://www.legislation.qld.gov.au/browse/aspassed" TargetMode="External"/><Relationship Id="rId731" Type="http://schemas.openxmlformats.org/officeDocument/2006/relationships/hyperlink" Target="http://www.legislation.act.gov.au/a/2013-51/default.asp" TargetMode="External"/><Relationship Id="rId98" Type="http://schemas.openxmlformats.org/officeDocument/2006/relationships/hyperlink" Target="http://www.legislation.act.gov.au/a/1999-81" TargetMode="External"/><Relationship Id="rId163" Type="http://schemas.openxmlformats.org/officeDocument/2006/relationships/hyperlink" Target="https://www.legislation.qld.gov.au/view/html/asmade/act-2016-065" TargetMode="External"/><Relationship Id="rId370" Type="http://schemas.openxmlformats.org/officeDocument/2006/relationships/hyperlink" Target="https://www.legislation.qld.gov.au/browse/aspassed" TargetMode="External"/><Relationship Id="rId829" Type="http://schemas.openxmlformats.org/officeDocument/2006/relationships/hyperlink" Target="https://www.legislation.qld.gov.au/browse/aspassed" TargetMode="External"/><Relationship Id="rId230" Type="http://schemas.openxmlformats.org/officeDocument/2006/relationships/hyperlink" Target="https://www.legislation.qld.gov.au/browse/aspassed" TargetMode="External"/><Relationship Id="rId468" Type="http://schemas.openxmlformats.org/officeDocument/2006/relationships/hyperlink" Target="https://www.legislation.qld.gov.au/browse/aspassed" TargetMode="External"/><Relationship Id="rId675" Type="http://schemas.openxmlformats.org/officeDocument/2006/relationships/hyperlink" Target="https://www.legislation.qld.gov.au/browse/aspassed" TargetMode="External"/><Relationship Id="rId882" Type="http://schemas.openxmlformats.org/officeDocument/2006/relationships/hyperlink" Target="https://www.legislation.qld.gov.au/browse/aspassed" TargetMode="External"/><Relationship Id="rId25" Type="http://schemas.openxmlformats.org/officeDocument/2006/relationships/footer" Target="footer5.xml"/><Relationship Id="rId67" Type="http://schemas.openxmlformats.org/officeDocument/2006/relationships/footer" Target="footer16.xml"/><Relationship Id="rId272" Type="http://schemas.openxmlformats.org/officeDocument/2006/relationships/hyperlink" Target="https://www.legislation.qld.gov.au/view/html/asmade/act-2018-010" TargetMode="External"/><Relationship Id="rId328" Type="http://schemas.openxmlformats.org/officeDocument/2006/relationships/hyperlink" Target="https://www.legislation.qld.gov.au/browse/aspassed" TargetMode="External"/><Relationship Id="rId535" Type="http://schemas.openxmlformats.org/officeDocument/2006/relationships/hyperlink" Target="https://www.legislation.qld.gov.au/Acts_SLs/Acts_SL_H.htm" TargetMode="External"/><Relationship Id="rId577" Type="http://schemas.openxmlformats.org/officeDocument/2006/relationships/hyperlink" Target="https://www.legislation.qld.gov.au/browse/aspassed" TargetMode="External"/><Relationship Id="rId700" Type="http://schemas.openxmlformats.org/officeDocument/2006/relationships/hyperlink" Target="https://www.legislation.qld.gov.au/view/html/asmade/act-2015-012" TargetMode="External"/><Relationship Id="rId742" Type="http://schemas.openxmlformats.org/officeDocument/2006/relationships/hyperlink" Target="https://www.legislation.qld.gov.au/view/html/asmade/act-2015-012" TargetMode="External"/><Relationship Id="rId132" Type="http://schemas.openxmlformats.org/officeDocument/2006/relationships/footer" Target="footer33.xml"/><Relationship Id="rId174" Type="http://schemas.openxmlformats.org/officeDocument/2006/relationships/hyperlink" Target="https://www.legislation.qld.gov.au/view/html/asmade/act-2018-010" TargetMode="External"/><Relationship Id="rId381" Type="http://schemas.openxmlformats.org/officeDocument/2006/relationships/hyperlink" Target="https://www.legislation.qld.gov.au/view/html/asmade/act-2019-029" TargetMode="External"/><Relationship Id="rId602" Type="http://schemas.openxmlformats.org/officeDocument/2006/relationships/hyperlink" Target="https://www.legislation.qld.gov.au/browse/aspassed" TargetMode="External"/><Relationship Id="rId784" Type="http://schemas.openxmlformats.org/officeDocument/2006/relationships/hyperlink" Target="https://www.legislation.qld.gov.au/browse/aspassed" TargetMode="External"/><Relationship Id="rId241" Type="http://schemas.openxmlformats.org/officeDocument/2006/relationships/hyperlink" Target="https://www.legislation.qld.gov.au/browse/aspassed" TargetMode="External"/><Relationship Id="rId437" Type="http://schemas.openxmlformats.org/officeDocument/2006/relationships/hyperlink" Target="https://www.legislation.qld.gov.au/browse/aspassed" TargetMode="External"/><Relationship Id="rId479" Type="http://schemas.openxmlformats.org/officeDocument/2006/relationships/hyperlink" Target="https://www.legislation.qld.gov.au/view/html/asmade/act-2015-012" TargetMode="External"/><Relationship Id="rId644" Type="http://schemas.openxmlformats.org/officeDocument/2006/relationships/hyperlink" Target="https://www.legislation.qld.gov.au/browse/aspassed" TargetMode="External"/><Relationship Id="rId686" Type="http://schemas.openxmlformats.org/officeDocument/2006/relationships/hyperlink" Target="https://www.legislation.qld.gov.au/browse/aspassed" TargetMode="External"/><Relationship Id="rId851" Type="http://schemas.openxmlformats.org/officeDocument/2006/relationships/hyperlink" Target="https://www.legislation.qld.gov.au/browse/aspassed" TargetMode="External"/><Relationship Id="rId893" Type="http://schemas.openxmlformats.org/officeDocument/2006/relationships/hyperlink" Target="https://www.legislation.qld.gov.au/browse/aspassed" TargetMode="External"/><Relationship Id="rId907" Type="http://schemas.openxmlformats.org/officeDocument/2006/relationships/footer" Target="footer40.xml"/><Relationship Id="rId36" Type="http://schemas.openxmlformats.org/officeDocument/2006/relationships/hyperlink" Target="https://www.legislation.qld.gov.au/Acts_SLs/Acts_SL_H.htm" TargetMode="External"/><Relationship Id="rId283" Type="http://schemas.openxmlformats.org/officeDocument/2006/relationships/hyperlink" Target="https://www.legislation.qld.gov.au/view/html/asmade/act-2019-029" TargetMode="External"/><Relationship Id="rId339" Type="http://schemas.openxmlformats.org/officeDocument/2006/relationships/hyperlink" Target="https://www.legislation.qld.gov.au/browse/aspassed" TargetMode="External"/><Relationship Id="rId490" Type="http://schemas.openxmlformats.org/officeDocument/2006/relationships/hyperlink" Target="https://www.legislation.qld.gov.au/browse/aspassed" TargetMode="External"/><Relationship Id="rId504" Type="http://schemas.openxmlformats.org/officeDocument/2006/relationships/hyperlink" Target="https://www.legislation.qld.gov.au/browse/aspassed" TargetMode="External"/><Relationship Id="rId546" Type="http://schemas.openxmlformats.org/officeDocument/2006/relationships/hyperlink" Target="https://www.legislation.qld.gov.au/browse/aspassed" TargetMode="External"/><Relationship Id="rId711" Type="http://schemas.openxmlformats.org/officeDocument/2006/relationships/hyperlink" Target="https://www.legislation.qld.gov.au/view/html/asmade/act-2019-029" TargetMode="External"/><Relationship Id="rId753" Type="http://schemas.openxmlformats.org/officeDocument/2006/relationships/hyperlink" Target="https://www.legislation.qld.gov.au/view/html/asmade/act-2019-029" TargetMode="External"/><Relationship Id="rId78" Type="http://schemas.openxmlformats.org/officeDocument/2006/relationships/footer" Target="footer22.xml"/><Relationship Id="rId101" Type="http://schemas.openxmlformats.org/officeDocument/2006/relationships/hyperlink" Target="http://www.legislation.act.gov.au/a/1999-81" TargetMode="External"/><Relationship Id="rId143" Type="http://schemas.openxmlformats.org/officeDocument/2006/relationships/hyperlink" Target="https://www.legislation.qld.gov.au/view/html/asmade/act-2013-004" TargetMode="External"/><Relationship Id="rId185" Type="http://schemas.openxmlformats.org/officeDocument/2006/relationships/hyperlink" Target="https://www.legislation.qld.gov.au/view/html/asmade/act-2019-029" TargetMode="External"/><Relationship Id="rId350" Type="http://schemas.openxmlformats.org/officeDocument/2006/relationships/hyperlink" Target="https://www.legislation.qld.gov.au/browse/aspassed" TargetMode="External"/><Relationship Id="rId406" Type="http://schemas.openxmlformats.org/officeDocument/2006/relationships/hyperlink" Target="https://www.legislation.qld.gov.au/view/html/asmade/act-2015-012" TargetMode="External"/><Relationship Id="rId588" Type="http://schemas.openxmlformats.org/officeDocument/2006/relationships/hyperlink" Target="https://www.legislation.qld.gov.au/browse/aspassed" TargetMode="External"/><Relationship Id="rId795" Type="http://schemas.openxmlformats.org/officeDocument/2006/relationships/hyperlink" Target="http://www.legislation.act.gov.au/a/2013-51/default.asp" TargetMode="External"/><Relationship Id="rId809" Type="http://schemas.openxmlformats.org/officeDocument/2006/relationships/hyperlink" Target="https://www.legislation.qld.gov.au/browse/aspassed" TargetMode="External"/><Relationship Id="rId9" Type="http://schemas.openxmlformats.org/officeDocument/2006/relationships/hyperlink" Target="http://www.legislation.act.gov.au" TargetMode="External"/><Relationship Id="rId210" Type="http://schemas.openxmlformats.org/officeDocument/2006/relationships/hyperlink" Target="https://www.legislation.qld.gov.au/view/html/asmade/act-2016-065" TargetMode="External"/><Relationship Id="rId392" Type="http://schemas.openxmlformats.org/officeDocument/2006/relationships/hyperlink" Target="https://www.legislation.qld.gov.au/browse/aspassed" TargetMode="External"/><Relationship Id="rId448" Type="http://schemas.openxmlformats.org/officeDocument/2006/relationships/hyperlink" Target="https://www.legislation.qld.gov.au/browse/aspassed" TargetMode="External"/><Relationship Id="rId613" Type="http://schemas.openxmlformats.org/officeDocument/2006/relationships/hyperlink" Target="https://www.legislation.qld.gov.au/view/html/asmade/act-2015-012" TargetMode="External"/><Relationship Id="rId655" Type="http://schemas.openxmlformats.org/officeDocument/2006/relationships/hyperlink" Target="https://www.legislation.qld.gov.au/browse/aspassed" TargetMode="External"/><Relationship Id="rId697" Type="http://schemas.openxmlformats.org/officeDocument/2006/relationships/hyperlink" Target="https://www.legislation.qld.gov.au/view/html/asmade/act-2014-043" TargetMode="External"/><Relationship Id="rId820" Type="http://schemas.openxmlformats.org/officeDocument/2006/relationships/hyperlink" Target="http://www.legislation.act.gov.au/a/2018-42/default.asp" TargetMode="External"/><Relationship Id="rId862" Type="http://schemas.openxmlformats.org/officeDocument/2006/relationships/hyperlink" Target="https://www.legislation.qld.gov.au/view/html/asmade/act-2015-012" TargetMode="External"/><Relationship Id="rId918" Type="http://schemas.openxmlformats.org/officeDocument/2006/relationships/footer" Target="footer46.xml"/><Relationship Id="rId252" Type="http://schemas.openxmlformats.org/officeDocument/2006/relationships/hyperlink" Target="https://www.legislation.qld.gov.au/browse/aspassed" TargetMode="External"/><Relationship Id="rId294" Type="http://schemas.openxmlformats.org/officeDocument/2006/relationships/hyperlink" Target="https://www.legislation.qld.gov.au/view/html/asmade/act-2018-010" TargetMode="External"/><Relationship Id="rId308" Type="http://schemas.openxmlformats.org/officeDocument/2006/relationships/hyperlink" Target="https://www.legislation.qld.gov.au/browse/aspassed" TargetMode="External"/><Relationship Id="rId515" Type="http://schemas.openxmlformats.org/officeDocument/2006/relationships/hyperlink" Target="https://www.legislation.qld.gov.au/browse/aspassed" TargetMode="External"/><Relationship Id="rId722" Type="http://schemas.openxmlformats.org/officeDocument/2006/relationships/hyperlink" Target="https://www.legislation.qld.gov.au/browse/aspassed" TargetMode="External"/><Relationship Id="rId47" Type="http://schemas.openxmlformats.org/officeDocument/2006/relationships/hyperlink" Target="https://www.legislation.gov.au/Series/C2018A00163" TargetMode="External"/><Relationship Id="rId89" Type="http://schemas.openxmlformats.org/officeDocument/2006/relationships/hyperlink" Target="http://www.legislation.act.gov.au/a/1999-78" TargetMode="External"/><Relationship Id="rId112" Type="http://schemas.openxmlformats.org/officeDocument/2006/relationships/hyperlink" Target="https://www.legislation.qld.gov.au/Acts_SLs/Acts_SL_H.htm" TargetMode="External"/><Relationship Id="rId154" Type="http://schemas.openxmlformats.org/officeDocument/2006/relationships/hyperlink" Target="http://www.legislation.act.gov.au/a/2013-51/default.asp" TargetMode="External"/><Relationship Id="rId361" Type="http://schemas.openxmlformats.org/officeDocument/2006/relationships/hyperlink" Target="https://www.legislation.qld.gov.au/browse/aspassed" TargetMode="External"/><Relationship Id="rId557" Type="http://schemas.openxmlformats.org/officeDocument/2006/relationships/hyperlink" Target="https://www.legislation.qld.gov.au/browse/aspassed" TargetMode="External"/><Relationship Id="rId599" Type="http://schemas.openxmlformats.org/officeDocument/2006/relationships/hyperlink" Target="https://www.legislation.qld.gov.au/browse/aspassed" TargetMode="External"/><Relationship Id="rId764" Type="http://schemas.openxmlformats.org/officeDocument/2006/relationships/hyperlink" Target="https://www.legislation.qld.gov.au/browse/aspassed" TargetMode="External"/><Relationship Id="rId196" Type="http://schemas.openxmlformats.org/officeDocument/2006/relationships/hyperlink" Target="https://www.legislation.qld.gov.au/view/html/asmade/act-2016-065" TargetMode="External"/><Relationship Id="rId417" Type="http://schemas.openxmlformats.org/officeDocument/2006/relationships/hyperlink" Target="https://www.legislation.qld.gov.au/view/html/asmade/act-2019-029" TargetMode="External"/><Relationship Id="rId459" Type="http://schemas.openxmlformats.org/officeDocument/2006/relationships/hyperlink" Target="https://www.legislation.qld.gov.au/browse/aspassed" TargetMode="External"/><Relationship Id="rId624" Type="http://schemas.openxmlformats.org/officeDocument/2006/relationships/hyperlink" Target="https://www.legislation.qld.gov.au/browse/aspassed" TargetMode="External"/><Relationship Id="rId666" Type="http://schemas.openxmlformats.org/officeDocument/2006/relationships/hyperlink" Target="https://www.legislation.qld.gov.au/browse/aspassed" TargetMode="External"/><Relationship Id="rId831" Type="http://schemas.openxmlformats.org/officeDocument/2006/relationships/hyperlink" Target="https://www.legislation.qld.gov.au/browse/aspassed" TargetMode="External"/><Relationship Id="rId873" Type="http://schemas.openxmlformats.org/officeDocument/2006/relationships/hyperlink" Target="https://www.legislation.qld.gov.au/view/html/asmade/act-2015-012" TargetMode="External"/><Relationship Id="rId16" Type="http://schemas.openxmlformats.org/officeDocument/2006/relationships/header" Target="header1.xml"/><Relationship Id="rId221" Type="http://schemas.openxmlformats.org/officeDocument/2006/relationships/hyperlink" Target="https://www.legislation.qld.gov.au/view/html/asmade/act-2018-018" TargetMode="External"/><Relationship Id="rId263" Type="http://schemas.openxmlformats.org/officeDocument/2006/relationships/hyperlink" Target="http://www.legislation.act.gov.au/a/2018-42/default.asp" TargetMode="External"/><Relationship Id="rId319" Type="http://schemas.openxmlformats.org/officeDocument/2006/relationships/hyperlink" Target="https://www.legislation.qld.gov.au/browse/aspassed" TargetMode="External"/><Relationship Id="rId470" Type="http://schemas.openxmlformats.org/officeDocument/2006/relationships/hyperlink" Target="https://www.legislation.qld.gov.au/browse/aspassed" TargetMode="External"/><Relationship Id="rId526" Type="http://schemas.openxmlformats.org/officeDocument/2006/relationships/hyperlink" Target="https://www.legislation.qld.gov.au/view/html/asmade/act-2015-012" TargetMode="External"/><Relationship Id="rId58" Type="http://schemas.openxmlformats.org/officeDocument/2006/relationships/footer" Target="footer11.xml"/><Relationship Id="rId123" Type="http://schemas.openxmlformats.org/officeDocument/2006/relationships/footer" Target="footer29.xml"/><Relationship Id="rId330" Type="http://schemas.openxmlformats.org/officeDocument/2006/relationships/hyperlink" Target="https://www.legislation.qld.gov.au/browse/aspassed" TargetMode="External"/><Relationship Id="rId568" Type="http://schemas.openxmlformats.org/officeDocument/2006/relationships/hyperlink" Target="https://www.legislation.qld.gov.au/view/html/asmade/act-2015-012" TargetMode="External"/><Relationship Id="rId733" Type="http://schemas.openxmlformats.org/officeDocument/2006/relationships/hyperlink" Target="https://www.legislation.qld.gov.au/view/html/asmade/act-2015-012" TargetMode="External"/><Relationship Id="rId775" Type="http://schemas.openxmlformats.org/officeDocument/2006/relationships/hyperlink" Target="https://www.legislation.qld.gov.au/browse/aspassed" TargetMode="External"/><Relationship Id="rId165" Type="http://schemas.openxmlformats.org/officeDocument/2006/relationships/hyperlink" Target="https://www.legislation.qld.gov.au/view/html/asmade/sl-2017-0217" TargetMode="External"/><Relationship Id="rId372" Type="http://schemas.openxmlformats.org/officeDocument/2006/relationships/hyperlink" Target="https://www.legislation.qld.gov.au/browse/aspassed" TargetMode="External"/><Relationship Id="rId428" Type="http://schemas.openxmlformats.org/officeDocument/2006/relationships/hyperlink" Target="https://www.legislation.qld.gov.au/browse/aspassed" TargetMode="External"/><Relationship Id="rId635" Type="http://schemas.openxmlformats.org/officeDocument/2006/relationships/hyperlink" Target="https://www.legislation.qld.gov.au/browse/aspassed" TargetMode="External"/><Relationship Id="rId677" Type="http://schemas.openxmlformats.org/officeDocument/2006/relationships/hyperlink" Target="https://www.legislation.qld.gov.au/browse/aspassed" TargetMode="External"/><Relationship Id="rId800" Type="http://schemas.openxmlformats.org/officeDocument/2006/relationships/hyperlink" Target="https://www.legislation.qld.gov.au/browse/aspassed" TargetMode="External"/><Relationship Id="rId842" Type="http://schemas.openxmlformats.org/officeDocument/2006/relationships/hyperlink" Target="https://www.legislation.qld.gov.au/browse/aspassed" TargetMode="External"/><Relationship Id="rId232" Type="http://schemas.openxmlformats.org/officeDocument/2006/relationships/hyperlink" Target="https://www.legislation.qld.gov.au/browse/aspassed" TargetMode="External"/><Relationship Id="rId274" Type="http://schemas.openxmlformats.org/officeDocument/2006/relationships/hyperlink" Target="https://www.legislation.qld.gov.au/view/html/asmade/act-2019-029" TargetMode="External"/><Relationship Id="rId481" Type="http://schemas.openxmlformats.org/officeDocument/2006/relationships/hyperlink" Target="https://www.legislation.qld.gov.au/browse/aspassed" TargetMode="External"/><Relationship Id="rId702" Type="http://schemas.openxmlformats.org/officeDocument/2006/relationships/hyperlink" Target="https://www.legislation.qld.gov.au/view/html/asmade/act-2015-012" TargetMode="External"/><Relationship Id="rId884" Type="http://schemas.openxmlformats.org/officeDocument/2006/relationships/hyperlink" Target="https://www.legislation.qld.gov.au/view/html/asmade/act-2019-029" TargetMode="External"/><Relationship Id="rId27" Type="http://schemas.openxmlformats.org/officeDocument/2006/relationships/hyperlink" Target="http://www.comlaw.gov.au/Details/C2013C00605" TargetMode="External"/><Relationship Id="rId69" Type="http://schemas.openxmlformats.org/officeDocument/2006/relationships/footer" Target="footer18.xml"/><Relationship Id="rId134" Type="http://schemas.openxmlformats.org/officeDocument/2006/relationships/header" Target="header26.xml"/><Relationship Id="rId537" Type="http://schemas.openxmlformats.org/officeDocument/2006/relationships/hyperlink" Target="https://www.legislation.qld.gov.au/view/html/asmade/act-2015-012" TargetMode="External"/><Relationship Id="rId579" Type="http://schemas.openxmlformats.org/officeDocument/2006/relationships/hyperlink" Target="https://www.legislation.qld.gov.au/browse/aspassed" TargetMode="External"/><Relationship Id="rId744" Type="http://schemas.openxmlformats.org/officeDocument/2006/relationships/hyperlink" Target="https://www.legislation.qld.gov.au/view/html/asmade/act-2019-029" TargetMode="External"/><Relationship Id="rId786" Type="http://schemas.openxmlformats.org/officeDocument/2006/relationships/hyperlink" Target="https://www.legislation.qld.gov.au/browse/aspassed" TargetMode="External"/><Relationship Id="rId80" Type="http://schemas.openxmlformats.org/officeDocument/2006/relationships/footer" Target="footer24.xml"/><Relationship Id="rId176" Type="http://schemas.openxmlformats.org/officeDocument/2006/relationships/hyperlink" Target="http://www.legislation.act.gov.au/a/2013-51/default.asp" TargetMode="External"/><Relationship Id="rId341" Type="http://schemas.openxmlformats.org/officeDocument/2006/relationships/hyperlink" Target="https://www.legislation.qld.gov.au/browse/aspassed" TargetMode="External"/><Relationship Id="rId383" Type="http://schemas.openxmlformats.org/officeDocument/2006/relationships/hyperlink" Target="https://www.legislation.qld.gov.au/browse/aspassed" TargetMode="External"/><Relationship Id="rId439" Type="http://schemas.openxmlformats.org/officeDocument/2006/relationships/hyperlink" Target="https://www.legislation.qld.gov.au/browse/aspassed" TargetMode="External"/><Relationship Id="rId590" Type="http://schemas.openxmlformats.org/officeDocument/2006/relationships/hyperlink" Target="https://www.legislation.qld.gov.au/browse/aspassed" TargetMode="External"/><Relationship Id="rId604" Type="http://schemas.openxmlformats.org/officeDocument/2006/relationships/hyperlink" Target="https://www.legislation.qld.gov.au/browse/aspassed" TargetMode="External"/><Relationship Id="rId646" Type="http://schemas.openxmlformats.org/officeDocument/2006/relationships/hyperlink" Target="https://www.legislation.qld.gov.au/browse/aspassed" TargetMode="External"/><Relationship Id="rId811" Type="http://schemas.openxmlformats.org/officeDocument/2006/relationships/hyperlink" Target="https://www.legislation.qld.gov.au/browse/aspassed" TargetMode="External"/><Relationship Id="rId201" Type="http://schemas.openxmlformats.org/officeDocument/2006/relationships/hyperlink" Target="https://www.legislation.qld.gov.au/view/html/asmade/act-2015-012" TargetMode="External"/><Relationship Id="rId243" Type="http://schemas.openxmlformats.org/officeDocument/2006/relationships/hyperlink" Target="https://www.legislation.qld.gov.au/view/html/asmade/act-2015-012" TargetMode="External"/><Relationship Id="rId285" Type="http://schemas.openxmlformats.org/officeDocument/2006/relationships/hyperlink" Target="http://www.legislation.act.gov.au/a/2013-51/default.asp" TargetMode="External"/><Relationship Id="rId450" Type="http://schemas.openxmlformats.org/officeDocument/2006/relationships/hyperlink" Target="https://www.legislation.qld.gov.au/browse/aspassed" TargetMode="External"/><Relationship Id="rId506" Type="http://schemas.openxmlformats.org/officeDocument/2006/relationships/hyperlink" Target="https://www.legislation.qld.gov.au/browse/aspassed" TargetMode="External"/><Relationship Id="rId688" Type="http://schemas.openxmlformats.org/officeDocument/2006/relationships/hyperlink" Target="http://www.legislation.act.gov.au/a/2013-51/default.asp" TargetMode="External"/><Relationship Id="rId853" Type="http://schemas.openxmlformats.org/officeDocument/2006/relationships/hyperlink" Target="https://www.legislation.qld.gov.au/view/html/asmade/act-2015-012" TargetMode="External"/><Relationship Id="rId895" Type="http://schemas.openxmlformats.org/officeDocument/2006/relationships/hyperlink" Target="https://www.legislation.qld.gov.au/view/html/asmade/act-2016-065" TargetMode="External"/><Relationship Id="rId909" Type="http://schemas.openxmlformats.org/officeDocument/2006/relationships/header" Target="header33.xml"/><Relationship Id="rId38" Type="http://schemas.openxmlformats.org/officeDocument/2006/relationships/image" Target="media/image6.png"/><Relationship Id="rId103" Type="http://schemas.openxmlformats.org/officeDocument/2006/relationships/hyperlink" Target="http://www.legislation.act.gov.au/a/1999-81" TargetMode="External"/><Relationship Id="rId310" Type="http://schemas.openxmlformats.org/officeDocument/2006/relationships/hyperlink" Target="https://www.legislation.qld.gov.au/browse/aspassed" TargetMode="External"/><Relationship Id="rId492" Type="http://schemas.openxmlformats.org/officeDocument/2006/relationships/hyperlink" Target="https://www.legislation.qld.gov.au/view/html/asmade/act-2015-012" TargetMode="External"/><Relationship Id="rId548" Type="http://schemas.openxmlformats.org/officeDocument/2006/relationships/hyperlink" Target="https://www.legislation.qld.gov.au/browse/aspassed" TargetMode="External"/><Relationship Id="rId713" Type="http://schemas.openxmlformats.org/officeDocument/2006/relationships/hyperlink" Target="http://www.legislation.act.gov.au/a/2013-51/default.asp" TargetMode="External"/><Relationship Id="rId755" Type="http://schemas.openxmlformats.org/officeDocument/2006/relationships/hyperlink" Target="https://www.legislation.qld.gov.au/browse/aspassed" TargetMode="External"/><Relationship Id="rId797" Type="http://schemas.openxmlformats.org/officeDocument/2006/relationships/hyperlink" Target="https://www.legislation.qld.gov.au/browse/aspassed" TargetMode="External"/><Relationship Id="rId920" Type="http://schemas.openxmlformats.org/officeDocument/2006/relationships/theme" Target="theme/theme1.xml"/><Relationship Id="rId91" Type="http://schemas.openxmlformats.org/officeDocument/2006/relationships/hyperlink" Target="https://www.legislation.qld.gov.au/Acts_SLs/Acts_SL_P.htm" TargetMode="External"/><Relationship Id="rId145" Type="http://schemas.openxmlformats.org/officeDocument/2006/relationships/hyperlink" Target="https://www.legislation.qld.gov.au/SL_AsMade/SL_AsMade_NUM_2012.htm" TargetMode="External"/><Relationship Id="rId187" Type="http://schemas.openxmlformats.org/officeDocument/2006/relationships/hyperlink" Target="https://www.legislation.qld.gov.au/view/html/asmade/act-2015-012" TargetMode="External"/><Relationship Id="rId352" Type="http://schemas.openxmlformats.org/officeDocument/2006/relationships/hyperlink" Target="https://www.legislation.qld.gov.au/browse/aspassed" TargetMode="External"/><Relationship Id="rId394" Type="http://schemas.openxmlformats.org/officeDocument/2006/relationships/hyperlink" Target="https://www.legislation.qld.gov.au/browse/aspassed" TargetMode="External"/><Relationship Id="rId408" Type="http://schemas.openxmlformats.org/officeDocument/2006/relationships/hyperlink" Target="https://www.legislation.qld.gov.au/browse/aspassed" TargetMode="External"/><Relationship Id="rId615" Type="http://schemas.openxmlformats.org/officeDocument/2006/relationships/hyperlink" Target="https://www.legislation.qld.gov.au/browse/aspassed" TargetMode="External"/><Relationship Id="rId822" Type="http://schemas.openxmlformats.org/officeDocument/2006/relationships/hyperlink" Target="https://www.legislation.qld.gov.au/browse/aspassed" TargetMode="External"/><Relationship Id="rId212" Type="http://schemas.openxmlformats.org/officeDocument/2006/relationships/hyperlink" Target="http://www.legislation.act.gov.au/a/2018-42/default.asp" TargetMode="External"/><Relationship Id="rId254" Type="http://schemas.openxmlformats.org/officeDocument/2006/relationships/hyperlink" Target="https://www.legislation.qld.gov.au/browse/aspassed" TargetMode="External"/><Relationship Id="rId657" Type="http://schemas.openxmlformats.org/officeDocument/2006/relationships/hyperlink" Target="https://www.legislation.qld.gov.au/browse/aspassed" TargetMode="External"/><Relationship Id="rId699" Type="http://schemas.openxmlformats.org/officeDocument/2006/relationships/hyperlink" Target="https://www.legislation.qld.gov.au/view/html/asmade/act-2019-029" TargetMode="External"/><Relationship Id="rId864" Type="http://schemas.openxmlformats.org/officeDocument/2006/relationships/hyperlink" Target="https://www.legislation.qld.gov.au/browse/aspassed" TargetMode="External"/><Relationship Id="rId49" Type="http://schemas.openxmlformats.org/officeDocument/2006/relationships/hyperlink" Target="http://www.comlaw.gov.au/Series/C2004A03813" TargetMode="External"/><Relationship Id="rId114" Type="http://schemas.openxmlformats.org/officeDocument/2006/relationships/header" Target="header18.xml"/><Relationship Id="rId296" Type="http://schemas.openxmlformats.org/officeDocument/2006/relationships/hyperlink" Target="http://www.legislation.act.gov.au/a/2013-51/default.asp" TargetMode="External"/><Relationship Id="rId461" Type="http://schemas.openxmlformats.org/officeDocument/2006/relationships/hyperlink" Target="https://www.legislation.qld.gov.au/browse/aspassed" TargetMode="External"/><Relationship Id="rId517" Type="http://schemas.openxmlformats.org/officeDocument/2006/relationships/hyperlink" Target="https://www.legislation.qld.gov.au/browse/aspassed" TargetMode="External"/><Relationship Id="rId559" Type="http://schemas.openxmlformats.org/officeDocument/2006/relationships/hyperlink" Target="https://www.legislation.qld.gov.au/browse/aspassed" TargetMode="External"/><Relationship Id="rId724" Type="http://schemas.openxmlformats.org/officeDocument/2006/relationships/hyperlink" Target="https://www.legislation.qld.gov.au/view/html/asmade/act-2015-012" TargetMode="External"/><Relationship Id="rId766" Type="http://schemas.openxmlformats.org/officeDocument/2006/relationships/hyperlink" Target="https://www.legislation.qld.gov.au/browse/aspassed" TargetMode="External"/><Relationship Id="rId60" Type="http://schemas.openxmlformats.org/officeDocument/2006/relationships/header" Target="header10.xml"/><Relationship Id="rId156" Type="http://schemas.openxmlformats.org/officeDocument/2006/relationships/hyperlink" Target="http://www.legislation.act.gov.au/a/2018-42/default.asp" TargetMode="External"/><Relationship Id="rId198" Type="http://schemas.openxmlformats.org/officeDocument/2006/relationships/hyperlink" Target="http://www.legislation.act.gov.au/a/2018-42/default.asp" TargetMode="External"/><Relationship Id="rId321" Type="http://schemas.openxmlformats.org/officeDocument/2006/relationships/hyperlink" Target="https://www.legislation.qld.gov.au/browse/aspassed" TargetMode="External"/><Relationship Id="rId363" Type="http://schemas.openxmlformats.org/officeDocument/2006/relationships/hyperlink" Target="https://www.legislation.qld.gov.au/browse/aspassed" TargetMode="External"/><Relationship Id="rId419" Type="http://schemas.openxmlformats.org/officeDocument/2006/relationships/hyperlink" Target="https://www.legislation.qld.gov.au/browse/aspassed" TargetMode="External"/><Relationship Id="rId570" Type="http://schemas.openxmlformats.org/officeDocument/2006/relationships/hyperlink" Target="https://www.legislation.qld.gov.au/view/html/asmade/act-2015-012" TargetMode="External"/><Relationship Id="rId626" Type="http://schemas.openxmlformats.org/officeDocument/2006/relationships/hyperlink" Target="https://www.legislation.qld.gov.au/browse/aspassed" TargetMode="External"/><Relationship Id="rId223" Type="http://schemas.openxmlformats.org/officeDocument/2006/relationships/hyperlink" Target="https://www.legislation.qld.gov.au/browse/aspassed" TargetMode="External"/><Relationship Id="rId430" Type="http://schemas.openxmlformats.org/officeDocument/2006/relationships/hyperlink" Target="https://www.legislation.qld.gov.au/browse/aspassed" TargetMode="External"/><Relationship Id="rId668" Type="http://schemas.openxmlformats.org/officeDocument/2006/relationships/hyperlink" Target="https://www.legislation.qld.gov.au/browse/aspassed" TargetMode="External"/><Relationship Id="rId833" Type="http://schemas.openxmlformats.org/officeDocument/2006/relationships/hyperlink" Target="https://www.legislation.qld.gov.au/browse/aspassed" TargetMode="External"/><Relationship Id="rId875" Type="http://schemas.openxmlformats.org/officeDocument/2006/relationships/hyperlink" Target="https://www.legislation.qld.gov.au/view/html/asmade/act-2015-012" TargetMode="External"/><Relationship Id="rId18" Type="http://schemas.openxmlformats.org/officeDocument/2006/relationships/footer" Target="footer1.xml"/><Relationship Id="rId265" Type="http://schemas.openxmlformats.org/officeDocument/2006/relationships/hyperlink" Target="https://www.legislation.qld.gov.au/view/html/asmade/act-2015-012" TargetMode="External"/><Relationship Id="rId472" Type="http://schemas.openxmlformats.org/officeDocument/2006/relationships/hyperlink" Target="https://www.legislation.qld.gov.au/browse/aspassed" TargetMode="External"/><Relationship Id="rId528" Type="http://schemas.openxmlformats.org/officeDocument/2006/relationships/hyperlink" Target="https://www.legislation.qld.gov.au/view/html/asmade/act-2015-012" TargetMode="External"/><Relationship Id="rId735" Type="http://schemas.openxmlformats.org/officeDocument/2006/relationships/hyperlink" Target="https://www.legislation.qld.gov.au/view/html/asmade/act-2019-029" TargetMode="External"/><Relationship Id="rId900" Type="http://schemas.openxmlformats.org/officeDocument/2006/relationships/hyperlink" Target="https://www.legislation.qld.gov.au/view/html/asmade/act-2019-029" TargetMode="External"/><Relationship Id="rId125" Type="http://schemas.openxmlformats.org/officeDocument/2006/relationships/hyperlink" Target="http://www.comlaw.gov.au/Browse/Results/ByTitle/Acts/Current/Je/0" TargetMode="External"/><Relationship Id="rId167" Type="http://schemas.openxmlformats.org/officeDocument/2006/relationships/hyperlink" Target="https://www.legislation.qld.gov.au/view/html/asmade/sl-2017-0217" TargetMode="External"/><Relationship Id="rId332" Type="http://schemas.openxmlformats.org/officeDocument/2006/relationships/hyperlink" Target="https://www.legislation.qld.gov.au/browse/aspassed" TargetMode="External"/><Relationship Id="rId374" Type="http://schemas.openxmlformats.org/officeDocument/2006/relationships/hyperlink" Target="https://www.legislation.qld.gov.au/view/html/asmade/act-2015-012" TargetMode="External"/><Relationship Id="rId581" Type="http://schemas.openxmlformats.org/officeDocument/2006/relationships/hyperlink" Target="https://www.legislation.qld.gov.au/browse/aspassed" TargetMode="External"/><Relationship Id="rId777" Type="http://schemas.openxmlformats.org/officeDocument/2006/relationships/hyperlink" Target="https://www.legislation.qld.gov.au/browse/aspassed" TargetMode="External"/><Relationship Id="rId71" Type="http://schemas.openxmlformats.org/officeDocument/2006/relationships/header" Target="header14.xml"/><Relationship Id="rId234" Type="http://schemas.openxmlformats.org/officeDocument/2006/relationships/hyperlink" Target="https://www.legislation.qld.gov.au/browse/aspassed" TargetMode="External"/><Relationship Id="rId637" Type="http://schemas.openxmlformats.org/officeDocument/2006/relationships/hyperlink" Target="https://www.legislation.qld.gov.au/browse/aspassed" TargetMode="External"/><Relationship Id="rId679" Type="http://schemas.openxmlformats.org/officeDocument/2006/relationships/hyperlink" Target="https://www.legislation.qld.gov.au/browse/aspassed" TargetMode="External"/><Relationship Id="rId802" Type="http://schemas.openxmlformats.org/officeDocument/2006/relationships/hyperlink" Target="https://www.legislation.qld.gov.au/browse/aspassed" TargetMode="External"/><Relationship Id="rId844" Type="http://schemas.openxmlformats.org/officeDocument/2006/relationships/hyperlink" Target="http://www.legislation.act.gov.au/a/2013-51/default.asp" TargetMode="External"/><Relationship Id="rId886" Type="http://schemas.openxmlformats.org/officeDocument/2006/relationships/hyperlink" Target="https://www.legislation.qld.gov.au/view/html/asmade/act-2014-043" TargetMode="External"/><Relationship Id="rId2" Type="http://schemas.openxmlformats.org/officeDocument/2006/relationships/styles" Target="styles.xml"/><Relationship Id="rId29" Type="http://schemas.openxmlformats.org/officeDocument/2006/relationships/image" Target="media/image3.jpeg"/><Relationship Id="rId276" Type="http://schemas.openxmlformats.org/officeDocument/2006/relationships/hyperlink" Target="https://www.legislation.qld.gov.au/view/html/asmade/act-2015-012" TargetMode="External"/><Relationship Id="rId441" Type="http://schemas.openxmlformats.org/officeDocument/2006/relationships/hyperlink" Target="https://www.legislation.qld.gov.au/browse/aspassed" TargetMode="External"/><Relationship Id="rId483" Type="http://schemas.openxmlformats.org/officeDocument/2006/relationships/hyperlink" Target="https://www.legislation.qld.gov.au/browse/aspassed" TargetMode="External"/><Relationship Id="rId539" Type="http://schemas.openxmlformats.org/officeDocument/2006/relationships/hyperlink" Target="https://www.legislation.qld.gov.au/view/html/asmade/act-2015-012" TargetMode="External"/><Relationship Id="rId690" Type="http://schemas.openxmlformats.org/officeDocument/2006/relationships/hyperlink" Target="https://www.legislation.qld.gov.au/browse/aspassed" TargetMode="External"/><Relationship Id="rId704" Type="http://schemas.openxmlformats.org/officeDocument/2006/relationships/hyperlink" Target="https://www.legislation.qld.gov.au/view/html/asmade/act-2019-029" TargetMode="External"/><Relationship Id="rId746" Type="http://schemas.openxmlformats.org/officeDocument/2006/relationships/hyperlink" Target="https://www.legislation.qld.gov.au/view/html/asmade/act-2019-029" TargetMode="External"/><Relationship Id="rId911" Type="http://schemas.openxmlformats.org/officeDocument/2006/relationships/footer" Target="footer42.xml"/><Relationship Id="rId40" Type="http://schemas.openxmlformats.org/officeDocument/2006/relationships/hyperlink" Target="http://www.comlaw.gov.au/Series/C2004A03813" TargetMode="External"/><Relationship Id="rId136" Type="http://schemas.openxmlformats.org/officeDocument/2006/relationships/footer" Target="footer35.xml"/><Relationship Id="rId178" Type="http://schemas.openxmlformats.org/officeDocument/2006/relationships/hyperlink" Target="https://www.legislation.gov.au/Series/C2018A00163" TargetMode="External"/><Relationship Id="rId301" Type="http://schemas.openxmlformats.org/officeDocument/2006/relationships/hyperlink" Target="https://www.legislation.qld.gov.au/view/html/asmade/act-2018-010" TargetMode="External"/><Relationship Id="rId343" Type="http://schemas.openxmlformats.org/officeDocument/2006/relationships/hyperlink" Target="https://www.legislation.qld.gov.au/browse/aspassed" TargetMode="External"/><Relationship Id="rId550" Type="http://schemas.openxmlformats.org/officeDocument/2006/relationships/hyperlink" Target="https://www.legislation.qld.gov.au/browse/aspassed" TargetMode="External"/><Relationship Id="rId788" Type="http://schemas.openxmlformats.org/officeDocument/2006/relationships/hyperlink" Target="https://www.legislation.qld.gov.au/browse/aspassed" TargetMode="External"/><Relationship Id="rId82" Type="http://schemas.openxmlformats.org/officeDocument/2006/relationships/hyperlink" Target="http://www.legislation.act.gov.au/a/2002-51/default.asp" TargetMode="External"/><Relationship Id="rId203" Type="http://schemas.openxmlformats.org/officeDocument/2006/relationships/hyperlink" Target="https://www.legislation.qld.gov.au/view/html/asmade/act-2015-012" TargetMode="External"/><Relationship Id="rId385" Type="http://schemas.openxmlformats.org/officeDocument/2006/relationships/hyperlink" Target="https://www.legislation.qld.gov.au/view/html/asmade/act-2015-012" TargetMode="External"/><Relationship Id="rId592" Type="http://schemas.openxmlformats.org/officeDocument/2006/relationships/hyperlink" Target="https://www.legislation.qld.gov.au/browse/aspassed" TargetMode="External"/><Relationship Id="rId606" Type="http://schemas.openxmlformats.org/officeDocument/2006/relationships/hyperlink" Target="https://www.legislation.qld.gov.au/browse/aspassed" TargetMode="External"/><Relationship Id="rId648" Type="http://schemas.openxmlformats.org/officeDocument/2006/relationships/hyperlink" Target="https://www.legislation.qld.gov.au/browse/aspassed" TargetMode="External"/><Relationship Id="rId813" Type="http://schemas.openxmlformats.org/officeDocument/2006/relationships/hyperlink" Target="https://www.legislation.qld.gov.au/browse/aspassed" TargetMode="External"/><Relationship Id="rId855" Type="http://schemas.openxmlformats.org/officeDocument/2006/relationships/hyperlink" Target="https://www.legislation.qld.gov.au/browse/aspassed" TargetMode="External"/><Relationship Id="rId245" Type="http://schemas.openxmlformats.org/officeDocument/2006/relationships/hyperlink" Target="https://www.legislation.qld.gov.au/browse/aspassed" TargetMode="External"/><Relationship Id="rId287" Type="http://schemas.openxmlformats.org/officeDocument/2006/relationships/hyperlink" Target="https://www.legislation.qld.gov.au/view/html/asmade/act-2018-010" TargetMode="External"/><Relationship Id="rId410" Type="http://schemas.openxmlformats.org/officeDocument/2006/relationships/hyperlink" Target="https://www.legislation.qld.gov.au/browse/aspassed" TargetMode="External"/><Relationship Id="rId452" Type="http://schemas.openxmlformats.org/officeDocument/2006/relationships/hyperlink" Target="https://www.legislation.qld.gov.au/browse/aspassed" TargetMode="External"/><Relationship Id="rId494" Type="http://schemas.openxmlformats.org/officeDocument/2006/relationships/hyperlink" Target="https://www.legislation.qld.gov.au/browse/aspassed" TargetMode="External"/><Relationship Id="rId508" Type="http://schemas.openxmlformats.org/officeDocument/2006/relationships/hyperlink" Target="https://www.legislation.qld.gov.au/view/html/asmade/act-2015-012" TargetMode="External"/><Relationship Id="rId715" Type="http://schemas.openxmlformats.org/officeDocument/2006/relationships/hyperlink" Target="https://www.legislation.qld.gov.au/browse/aspassed" TargetMode="External"/><Relationship Id="rId897" Type="http://schemas.openxmlformats.org/officeDocument/2006/relationships/hyperlink" Target="https://www.legislation.qld.gov.au/view/html/asmade/act-2018-018" TargetMode="External"/><Relationship Id="rId105" Type="http://schemas.openxmlformats.org/officeDocument/2006/relationships/hyperlink" Target="http://www.legislation.act.gov.au/a/1999-81" TargetMode="External"/><Relationship Id="rId147" Type="http://schemas.openxmlformats.org/officeDocument/2006/relationships/hyperlink" Target="https://www.legislation.qld.gov.au/Acts_Passed/Acts_Passed_NUM_2013.htm" TargetMode="External"/><Relationship Id="rId312" Type="http://schemas.openxmlformats.org/officeDocument/2006/relationships/hyperlink" Target="https://www.legislation.qld.gov.au/browse/aspassed" TargetMode="External"/><Relationship Id="rId354" Type="http://schemas.openxmlformats.org/officeDocument/2006/relationships/hyperlink" Target="https://www.legislation.qld.gov.au/browse/aspassed" TargetMode="External"/><Relationship Id="rId757" Type="http://schemas.openxmlformats.org/officeDocument/2006/relationships/hyperlink" Target="https://www.legislation.qld.gov.au/browse/aspassed" TargetMode="External"/><Relationship Id="rId799" Type="http://schemas.openxmlformats.org/officeDocument/2006/relationships/hyperlink" Target="https://www.legislation.qld.gov.au/browse/aspassed" TargetMode="External"/><Relationship Id="rId51" Type="http://schemas.openxmlformats.org/officeDocument/2006/relationships/header" Target="header7.xml"/><Relationship Id="rId93" Type="http://schemas.openxmlformats.org/officeDocument/2006/relationships/hyperlink" Target="http://www.legislation.act.gov.au/a/1999-80" TargetMode="External"/><Relationship Id="rId189" Type="http://schemas.openxmlformats.org/officeDocument/2006/relationships/hyperlink" Target="https://www.legislation.qld.gov.au/view/html/asmade/act-2016-065" TargetMode="External"/><Relationship Id="rId396" Type="http://schemas.openxmlformats.org/officeDocument/2006/relationships/hyperlink" Target="https://www.legislation.qld.gov.au/view/html/asmade/act-2015-012" TargetMode="External"/><Relationship Id="rId561" Type="http://schemas.openxmlformats.org/officeDocument/2006/relationships/hyperlink" Target="https://www.legislation.qld.gov.au/view/html/asmade/act-2015-012" TargetMode="External"/><Relationship Id="rId617" Type="http://schemas.openxmlformats.org/officeDocument/2006/relationships/hyperlink" Target="https://www.legislation.qld.gov.au/browse/aspassed" TargetMode="External"/><Relationship Id="rId659" Type="http://schemas.openxmlformats.org/officeDocument/2006/relationships/hyperlink" Target="https://www.legislation.qld.gov.au/browse/aspassed" TargetMode="External"/><Relationship Id="rId824" Type="http://schemas.openxmlformats.org/officeDocument/2006/relationships/hyperlink" Target="https://www.legislation.qld.gov.au/browse/aspassed" TargetMode="External"/><Relationship Id="rId866" Type="http://schemas.openxmlformats.org/officeDocument/2006/relationships/hyperlink" Target="http://www.legislation.act.gov.au/a/2013-51/default.asp" TargetMode="External"/><Relationship Id="rId214" Type="http://schemas.openxmlformats.org/officeDocument/2006/relationships/hyperlink" Target="https://www.legislation.qld.gov.au/view/html/asmade/act-2018-010" TargetMode="External"/><Relationship Id="rId256" Type="http://schemas.openxmlformats.org/officeDocument/2006/relationships/hyperlink" Target="https://www.legislation.qld.gov.au/browse/aspassed" TargetMode="External"/><Relationship Id="rId298" Type="http://schemas.openxmlformats.org/officeDocument/2006/relationships/hyperlink" Target="https://www.legislation.qld.gov.au/view/html/asmade/act-2018-010" TargetMode="External"/><Relationship Id="rId421" Type="http://schemas.openxmlformats.org/officeDocument/2006/relationships/hyperlink" Target="https://www.legislation.qld.gov.au/view/html/asmade/act-2019-029" TargetMode="External"/><Relationship Id="rId463" Type="http://schemas.openxmlformats.org/officeDocument/2006/relationships/hyperlink" Target="https://www.legislation.qld.gov.au/browse/aspassed" TargetMode="External"/><Relationship Id="rId519" Type="http://schemas.openxmlformats.org/officeDocument/2006/relationships/hyperlink" Target="https://www.legislation.qld.gov.au/browse/aspassed" TargetMode="External"/><Relationship Id="rId670" Type="http://schemas.openxmlformats.org/officeDocument/2006/relationships/hyperlink" Target="https://www.legislation.qld.gov.au/browse/aspassed" TargetMode="External"/><Relationship Id="rId116" Type="http://schemas.openxmlformats.org/officeDocument/2006/relationships/footer" Target="footer25.xml"/><Relationship Id="rId158" Type="http://schemas.openxmlformats.org/officeDocument/2006/relationships/hyperlink" Target="http://www.legislation.act.gov.au/cn/2014-2/default.asp" TargetMode="External"/><Relationship Id="rId323" Type="http://schemas.openxmlformats.org/officeDocument/2006/relationships/hyperlink" Target="https://www.legislation.qld.gov.au/browse/aspassed" TargetMode="External"/><Relationship Id="rId530" Type="http://schemas.openxmlformats.org/officeDocument/2006/relationships/hyperlink" Target="https://www.legislation.qld.gov.au/view/html/asmade/act-2015-012" TargetMode="External"/><Relationship Id="rId726" Type="http://schemas.openxmlformats.org/officeDocument/2006/relationships/hyperlink" Target="https://www.legislation.qld.gov.au/view/html/asmade/act-2015-012" TargetMode="External"/><Relationship Id="rId768" Type="http://schemas.openxmlformats.org/officeDocument/2006/relationships/hyperlink" Target="https://www.legislation.qld.gov.au/browse/aspassed" TargetMode="External"/><Relationship Id="rId20" Type="http://schemas.openxmlformats.org/officeDocument/2006/relationships/header" Target="header3.xml"/><Relationship Id="rId62" Type="http://schemas.openxmlformats.org/officeDocument/2006/relationships/footer" Target="footer13.xml"/><Relationship Id="rId365" Type="http://schemas.openxmlformats.org/officeDocument/2006/relationships/hyperlink" Target="https://www.legislation.qld.gov.au/browse/aspassed" TargetMode="External"/><Relationship Id="rId572" Type="http://schemas.openxmlformats.org/officeDocument/2006/relationships/hyperlink" Target="https://www.legislation.qld.gov.au/view/html/asmade/act-2015-012" TargetMode="External"/><Relationship Id="rId628" Type="http://schemas.openxmlformats.org/officeDocument/2006/relationships/hyperlink" Target="https://www.legislation.qld.gov.au/browse/aspassed" TargetMode="External"/><Relationship Id="rId835" Type="http://schemas.openxmlformats.org/officeDocument/2006/relationships/hyperlink" Target="https://www.legislation.qld.gov.au/view/html/asmade/act-2015-012" TargetMode="External"/><Relationship Id="rId225" Type="http://schemas.openxmlformats.org/officeDocument/2006/relationships/hyperlink" Target="https://www.legislation.qld.gov.au/browse/aspassed" TargetMode="External"/><Relationship Id="rId267" Type="http://schemas.openxmlformats.org/officeDocument/2006/relationships/hyperlink" Target="https://www.legislation.qld.gov.au/view/html/asmade/act-2018-010" TargetMode="External"/><Relationship Id="rId432" Type="http://schemas.openxmlformats.org/officeDocument/2006/relationships/hyperlink" Target="https://www.legislation.qld.gov.au/browse/aspassed" TargetMode="External"/><Relationship Id="rId474" Type="http://schemas.openxmlformats.org/officeDocument/2006/relationships/hyperlink" Target="https://www.legislation.qld.gov.au/browse/aspassed" TargetMode="External"/><Relationship Id="rId877" Type="http://schemas.openxmlformats.org/officeDocument/2006/relationships/hyperlink" Target="https://www.legislation.qld.gov.au/browse/aspassed" TargetMode="External"/><Relationship Id="rId127" Type="http://schemas.openxmlformats.org/officeDocument/2006/relationships/header" Target="header23.xml"/><Relationship Id="rId681" Type="http://schemas.openxmlformats.org/officeDocument/2006/relationships/hyperlink" Target="https://www.legislation.qld.gov.au/browse/aspassed" TargetMode="External"/><Relationship Id="rId737" Type="http://schemas.openxmlformats.org/officeDocument/2006/relationships/hyperlink" Target="https://www.legislation.qld.gov.au/view/html/asmade/act-2015-012" TargetMode="External"/><Relationship Id="rId779" Type="http://schemas.openxmlformats.org/officeDocument/2006/relationships/hyperlink" Target="https://www.legislation.qld.gov.au/browse/aspassed" TargetMode="External"/><Relationship Id="rId902" Type="http://schemas.openxmlformats.org/officeDocument/2006/relationships/hyperlink" Target="https://www.legislation.qld.gov.au/view/html/asmade/act-2019-029" TargetMode="External"/><Relationship Id="rId31" Type="http://schemas.openxmlformats.org/officeDocument/2006/relationships/hyperlink" Target="http://www.standards.org.au" TargetMode="External"/><Relationship Id="rId73" Type="http://schemas.openxmlformats.org/officeDocument/2006/relationships/footer" Target="footer19.xml"/><Relationship Id="rId169" Type="http://schemas.openxmlformats.org/officeDocument/2006/relationships/hyperlink" Target="https://www.legislation.qld.gov.au/view/html/asmade/act-2018-010" TargetMode="External"/><Relationship Id="rId334" Type="http://schemas.openxmlformats.org/officeDocument/2006/relationships/hyperlink" Target="https://www.legislation.qld.gov.au/browse/aspassed" TargetMode="External"/><Relationship Id="rId376" Type="http://schemas.openxmlformats.org/officeDocument/2006/relationships/hyperlink" Target="https://www.legislation.qld.gov.au/browse/aspassed" TargetMode="External"/><Relationship Id="rId541" Type="http://schemas.openxmlformats.org/officeDocument/2006/relationships/hyperlink" Target="https://www.legislation.qld.gov.au/browse/aspassed" TargetMode="External"/><Relationship Id="rId583" Type="http://schemas.openxmlformats.org/officeDocument/2006/relationships/hyperlink" Target="https://www.legislation.qld.gov.au/browse/aspassed" TargetMode="External"/><Relationship Id="rId639" Type="http://schemas.openxmlformats.org/officeDocument/2006/relationships/hyperlink" Target="https://www.legislation.qld.gov.au/browse/aspassed" TargetMode="External"/><Relationship Id="rId790" Type="http://schemas.openxmlformats.org/officeDocument/2006/relationships/hyperlink" Target="https://www.legislation.qld.gov.au/browse/aspassed" TargetMode="External"/><Relationship Id="rId804" Type="http://schemas.openxmlformats.org/officeDocument/2006/relationships/hyperlink" Target="https://www.legislation.qld.gov.au/browse/aspassed" TargetMode="External"/><Relationship Id="rId4" Type="http://schemas.openxmlformats.org/officeDocument/2006/relationships/webSettings" Target="webSettings.xml"/><Relationship Id="rId180" Type="http://schemas.openxmlformats.org/officeDocument/2006/relationships/hyperlink" Target="https://www.legislation.qld.gov.au/view/html/asmade/sl-2020-0018" TargetMode="External"/><Relationship Id="rId236" Type="http://schemas.openxmlformats.org/officeDocument/2006/relationships/hyperlink" Target="https://www.legislation.qld.gov.au/browse/aspassed" TargetMode="External"/><Relationship Id="rId278" Type="http://schemas.openxmlformats.org/officeDocument/2006/relationships/hyperlink" Target="https://www.legislation.qld.gov.au/browse/aspassed" TargetMode="External"/><Relationship Id="rId401" Type="http://schemas.openxmlformats.org/officeDocument/2006/relationships/hyperlink" Target="https://www.legislation.qld.gov.au/browse/aspassed" TargetMode="External"/><Relationship Id="rId443" Type="http://schemas.openxmlformats.org/officeDocument/2006/relationships/hyperlink" Target="https://www.legislation.qld.gov.au/browse/aspassed" TargetMode="External"/><Relationship Id="rId650" Type="http://schemas.openxmlformats.org/officeDocument/2006/relationships/hyperlink" Target="https://www.legislation.qld.gov.au/browse/aspassed" TargetMode="External"/><Relationship Id="rId846" Type="http://schemas.openxmlformats.org/officeDocument/2006/relationships/hyperlink" Target="https://www.legislation.qld.gov.au/view/html/asmade/act-2015-012" TargetMode="External"/><Relationship Id="rId888" Type="http://schemas.openxmlformats.org/officeDocument/2006/relationships/hyperlink" Target="https://www.legislation.qld.gov.au/Acts_SLs/Acts_SL_H.htm" TargetMode="External"/><Relationship Id="rId303" Type="http://schemas.openxmlformats.org/officeDocument/2006/relationships/hyperlink" Target="https://www.legislation.qld.gov.au/browse/aspassed" TargetMode="External"/><Relationship Id="rId485" Type="http://schemas.openxmlformats.org/officeDocument/2006/relationships/hyperlink" Target="https://www.legislation.qld.gov.au/browse/aspassed" TargetMode="External"/><Relationship Id="rId692" Type="http://schemas.openxmlformats.org/officeDocument/2006/relationships/hyperlink" Target="https://www.legislation.qld.gov.au/browse/aspassed" TargetMode="External"/><Relationship Id="rId706" Type="http://schemas.openxmlformats.org/officeDocument/2006/relationships/hyperlink" Target="https://www.legislation.qld.gov.au/view/html/asmade/act-2019-029" TargetMode="External"/><Relationship Id="rId748" Type="http://schemas.openxmlformats.org/officeDocument/2006/relationships/hyperlink" Target="https://www.legislation.qld.gov.au/view/html/asmade/act-2019-029" TargetMode="External"/><Relationship Id="rId913" Type="http://schemas.openxmlformats.org/officeDocument/2006/relationships/footer" Target="footer43.xml"/><Relationship Id="rId42" Type="http://schemas.openxmlformats.org/officeDocument/2006/relationships/hyperlink" Target="http://www.comlaw.gov.au/Series/C2004A03813" TargetMode="External"/><Relationship Id="rId84" Type="http://schemas.openxmlformats.org/officeDocument/2006/relationships/hyperlink" Target="http://www.legislation.act.gov.au/a/2001-14/default.asp" TargetMode="External"/><Relationship Id="rId138" Type="http://schemas.openxmlformats.org/officeDocument/2006/relationships/header" Target="header28.xml"/><Relationship Id="rId345" Type="http://schemas.openxmlformats.org/officeDocument/2006/relationships/hyperlink" Target="https://www.legislation.qld.gov.au/browse/aspassed" TargetMode="External"/><Relationship Id="rId387" Type="http://schemas.openxmlformats.org/officeDocument/2006/relationships/hyperlink" Target="https://www.legislation.qld.gov.au/browse/aspassed" TargetMode="External"/><Relationship Id="rId510" Type="http://schemas.openxmlformats.org/officeDocument/2006/relationships/hyperlink" Target="https://www.legislation.qld.gov.au/view/html/asmade/act-2015-012" TargetMode="External"/><Relationship Id="rId552" Type="http://schemas.openxmlformats.org/officeDocument/2006/relationships/hyperlink" Target="https://www.legislation.qld.gov.au/browse/aspassed" TargetMode="External"/><Relationship Id="rId594" Type="http://schemas.openxmlformats.org/officeDocument/2006/relationships/hyperlink" Target="https://www.legislation.qld.gov.au/browse/aspassed" TargetMode="External"/><Relationship Id="rId608" Type="http://schemas.openxmlformats.org/officeDocument/2006/relationships/hyperlink" Target="https://www.legislation.qld.gov.au/browse/aspassed" TargetMode="External"/><Relationship Id="rId815" Type="http://schemas.openxmlformats.org/officeDocument/2006/relationships/hyperlink" Target="https://www.legislation.qld.gov.au/browse/aspassed" TargetMode="External"/><Relationship Id="rId191" Type="http://schemas.openxmlformats.org/officeDocument/2006/relationships/hyperlink" Target="https://www.legislation.qld.gov.au/view/html/asmade/act-2016-065" TargetMode="External"/><Relationship Id="rId205" Type="http://schemas.openxmlformats.org/officeDocument/2006/relationships/hyperlink" Target="https://www.legislation.qld.gov.au/view/html/asmade/act-2015-012" TargetMode="External"/><Relationship Id="rId247" Type="http://schemas.openxmlformats.org/officeDocument/2006/relationships/hyperlink" Target="https://www.legislation.qld.gov.au/view/html/asmade/act-2019-029" TargetMode="External"/><Relationship Id="rId412" Type="http://schemas.openxmlformats.org/officeDocument/2006/relationships/hyperlink" Target="https://www.legislation.qld.gov.au/browse/aspassed" TargetMode="External"/><Relationship Id="rId857" Type="http://schemas.openxmlformats.org/officeDocument/2006/relationships/hyperlink" Target="https://www.legislation.qld.gov.au/view/html/asmade/act-2015-012" TargetMode="External"/><Relationship Id="rId899" Type="http://schemas.openxmlformats.org/officeDocument/2006/relationships/hyperlink" Target="https://www.legislation.act.gov.au/a/2013-51/" TargetMode="External"/><Relationship Id="rId107" Type="http://schemas.openxmlformats.org/officeDocument/2006/relationships/hyperlink" Target="http://www.legislation.act.gov.au/a/1999-77" TargetMode="External"/><Relationship Id="rId289" Type="http://schemas.openxmlformats.org/officeDocument/2006/relationships/hyperlink" Target="https://www.legislation.qld.gov.au/view/html/asmade/act-2015-012" TargetMode="External"/><Relationship Id="rId454" Type="http://schemas.openxmlformats.org/officeDocument/2006/relationships/hyperlink" Target="https://www.legislation.qld.gov.au/browse/aspassed" TargetMode="External"/><Relationship Id="rId496" Type="http://schemas.openxmlformats.org/officeDocument/2006/relationships/hyperlink" Target="https://www.legislation.qld.gov.au/browse/aspassed" TargetMode="External"/><Relationship Id="rId661" Type="http://schemas.openxmlformats.org/officeDocument/2006/relationships/hyperlink" Target="https://www.legislation.qld.gov.au/browse/aspassed" TargetMode="External"/><Relationship Id="rId717" Type="http://schemas.openxmlformats.org/officeDocument/2006/relationships/hyperlink" Target="http://www.legislation.act.gov.au/a/2018-42/default.asp" TargetMode="External"/><Relationship Id="rId759" Type="http://schemas.openxmlformats.org/officeDocument/2006/relationships/hyperlink" Target="http://www.legislation.act.gov.au/a/2013-51/default.asp" TargetMode="External"/><Relationship Id="rId11" Type="http://schemas.openxmlformats.org/officeDocument/2006/relationships/hyperlink" Target="http://www.legislation.act.gov.au" TargetMode="External"/><Relationship Id="rId53" Type="http://schemas.openxmlformats.org/officeDocument/2006/relationships/footer" Target="footer8.xml"/><Relationship Id="rId149" Type="http://schemas.openxmlformats.org/officeDocument/2006/relationships/hyperlink" Target="https://www.legislation.qld.gov.au/view/html/asmade/act-2018-010" TargetMode="External"/><Relationship Id="rId314" Type="http://schemas.openxmlformats.org/officeDocument/2006/relationships/hyperlink" Target="https://www.legislation.qld.gov.au/browse/aspassed" TargetMode="External"/><Relationship Id="rId356" Type="http://schemas.openxmlformats.org/officeDocument/2006/relationships/hyperlink" Target="https://www.legislation.qld.gov.au/browse/aspassed" TargetMode="External"/><Relationship Id="rId398" Type="http://schemas.openxmlformats.org/officeDocument/2006/relationships/hyperlink" Target="https://www.legislation.qld.gov.au/view/html/asmade/act-2015-012" TargetMode="External"/><Relationship Id="rId521" Type="http://schemas.openxmlformats.org/officeDocument/2006/relationships/hyperlink" Target="https://www.legislation.qld.gov.au/browse/aspassed" TargetMode="External"/><Relationship Id="rId563" Type="http://schemas.openxmlformats.org/officeDocument/2006/relationships/hyperlink" Target="https://www.legislation.qld.gov.au/browse/aspassed" TargetMode="External"/><Relationship Id="rId619" Type="http://schemas.openxmlformats.org/officeDocument/2006/relationships/hyperlink" Target="https://www.legislation.qld.gov.au/browse/aspassed" TargetMode="External"/><Relationship Id="rId770" Type="http://schemas.openxmlformats.org/officeDocument/2006/relationships/hyperlink" Target="https://www.legislation.qld.gov.au/browse/aspassed" TargetMode="External"/><Relationship Id="rId95" Type="http://schemas.openxmlformats.org/officeDocument/2006/relationships/hyperlink" Target="http://www.legislation.act.gov.au/a/1999-78" TargetMode="External"/><Relationship Id="rId160" Type="http://schemas.openxmlformats.org/officeDocument/2006/relationships/hyperlink" Target="https://www.legislation.qld.gov.au/view/html/asmade/sl-2014-0217" TargetMode="External"/><Relationship Id="rId216" Type="http://schemas.openxmlformats.org/officeDocument/2006/relationships/hyperlink" Target="http://www.legislation.act.gov.au/a/2018-42/default.asp" TargetMode="External"/><Relationship Id="rId423" Type="http://schemas.openxmlformats.org/officeDocument/2006/relationships/hyperlink" Target="https://www.legislation.qld.gov.au/browse/aspassed" TargetMode="External"/><Relationship Id="rId826" Type="http://schemas.openxmlformats.org/officeDocument/2006/relationships/hyperlink" Target="https://www.legislation.qld.gov.au/view/html/asmade/act-2019-029" TargetMode="External"/><Relationship Id="rId868" Type="http://schemas.openxmlformats.org/officeDocument/2006/relationships/hyperlink" Target="https://www.legislation.qld.gov.au/browse/aspassed" TargetMode="External"/><Relationship Id="rId258" Type="http://schemas.openxmlformats.org/officeDocument/2006/relationships/hyperlink" Target="https://www.legislation.qld.gov.au/browse/aspassed" TargetMode="External"/><Relationship Id="rId465" Type="http://schemas.openxmlformats.org/officeDocument/2006/relationships/hyperlink" Target="https://www.legislation.qld.gov.au/browse/aspassed" TargetMode="External"/><Relationship Id="rId630" Type="http://schemas.openxmlformats.org/officeDocument/2006/relationships/hyperlink" Target="https://www.legislation.qld.gov.au/browse/aspassed" TargetMode="External"/><Relationship Id="rId672" Type="http://schemas.openxmlformats.org/officeDocument/2006/relationships/hyperlink" Target="https://www.legislation.qld.gov.au/browse/aspassed" TargetMode="External"/><Relationship Id="rId728" Type="http://schemas.openxmlformats.org/officeDocument/2006/relationships/hyperlink" Target="https://www.legislation.qld.gov.au/view/html/asmade/act-2015-012" TargetMode="External"/><Relationship Id="rId22" Type="http://schemas.openxmlformats.org/officeDocument/2006/relationships/header" Target="header4.xml"/><Relationship Id="rId64" Type="http://schemas.openxmlformats.org/officeDocument/2006/relationships/footer" Target="footer15.xml"/><Relationship Id="rId118" Type="http://schemas.openxmlformats.org/officeDocument/2006/relationships/footer" Target="footer27.xml"/><Relationship Id="rId325" Type="http://schemas.openxmlformats.org/officeDocument/2006/relationships/hyperlink" Target="https://www.legislation.qld.gov.au/browse/aspassed" TargetMode="External"/><Relationship Id="rId367" Type="http://schemas.openxmlformats.org/officeDocument/2006/relationships/hyperlink" Target="https://www.legislation.qld.gov.au/browse/aspassed" TargetMode="External"/><Relationship Id="rId532" Type="http://schemas.openxmlformats.org/officeDocument/2006/relationships/hyperlink" Target="https://www.legislation.qld.gov.au/view/html/asmade/act-2015-012" TargetMode="External"/><Relationship Id="rId574" Type="http://schemas.openxmlformats.org/officeDocument/2006/relationships/hyperlink" Target="https://www.legislation.qld.gov.au/view/html/asmade/act-2015-012" TargetMode="External"/><Relationship Id="rId171" Type="http://schemas.openxmlformats.org/officeDocument/2006/relationships/hyperlink" Target="https://www.legislation.qld.gov.au/view/html/asmade/act-2016-065" TargetMode="External"/><Relationship Id="rId227" Type="http://schemas.openxmlformats.org/officeDocument/2006/relationships/hyperlink" Target="https://www.legislation.qld.gov.au/browse/aspassed" TargetMode="External"/><Relationship Id="rId781" Type="http://schemas.openxmlformats.org/officeDocument/2006/relationships/hyperlink" Target="https://www.legislation.qld.gov.au/view/html/asmade/act-2015-012" TargetMode="External"/><Relationship Id="rId837" Type="http://schemas.openxmlformats.org/officeDocument/2006/relationships/hyperlink" Target="https://www.legislation.qld.gov.au/browse/aspassed" TargetMode="External"/><Relationship Id="rId879" Type="http://schemas.openxmlformats.org/officeDocument/2006/relationships/hyperlink" Target="https://www.legislation.qld.gov.au/browse/aspassed" TargetMode="External"/><Relationship Id="rId269" Type="http://schemas.openxmlformats.org/officeDocument/2006/relationships/hyperlink" Target="https://www.legislation.qld.gov.au/browse/aspassed" TargetMode="External"/><Relationship Id="rId434" Type="http://schemas.openxmlformats.org/officeDocument/2006/relationships/hyperlink" Target="https://www.legislation.qld.gov.au/browse/aspassed" TargetMode="External"/><Relationship Id="rId476" Type="http://schemas.openxmlformats.org/officeDocument/2006/relationships/hyperlink" Target="https://www.legislation.qld.gov.au/browse/aspassed" TargetMode="External"/><Relationship Id="rId641" Type="http://schemas.openxmlformats.org/officeDocument/2006/relationships/hyperlink" Target="https://www.legislation.qld.gov.au/view/html/asmade/act-2015-012" TargetMode="External"/><Relationship Id="rId683" Type="http://schemas.openxmlformats.org/officeDocument/2006/relationships/hyperlink" Target="https://www.legislation.qld.gov.au/browse/aspassed" TargetMode="External"/><Relationship Id="rId739" Type="http://schemas.openxmlformats.org/officeDocument/2006/relationships/hyperlink" Target="https://www.legislation.qld.gov.au/view/html/asmade/act-2015-012" TargetMode="External"/><Relationship Id="rId890" Type="http://schemas.openxmlformats.org/officeDocument/2006/relationships/hyperlink" Target="https://www.legislation.qld.gov.au/browse/aspassed" TargetMode="External"/><Relationship Id="rId904" Type="http://schemas.openxmlformats.org/officeDocument/2006/relationships/header" Target="header30.xml"/><Relationship Id="rId33" Type="http://schemas.openxmlformats.org/officeDocument/2006/relationships/hyperlink" Target="http://www.comlaw.gov.au/Series/C2004A03813" TargetMode="External"/><Relationship Id="rId129" Type="http://schemas.openxmlformats.org/officeDocument/2006/relationships/footer" Target="footer32.xml"/><Relationship Id="rId280" Type="http://schemas.openxmlformats.org/officeDocument/2006/relationships/hyperlink" Target="https://www.legislation.qld.gov.au/view/html/asmade/act-2015-012" TargetMode="External"/><Relationship Id="rId336" Type="http://schemas.openxmlformats.org/officeDocument/2006/relationships/hyperlink" Target="https://www.legislation.qld.gov.au/browse/aspassed" TargetMode="External"/><Relationship Id="rId501" Type="http://schemas.openxmlformats.org/officeDocument/2006/relationships/hyperlink" Target="https://www.legislation.qld.gov.au/browse/aspassed" TargetMode="External"/><Relationship Id="rId543" Type="http://schemas.openxmlformats.org/officeDocument/2006/relationships/hyperlink" Target="https://www.legislation.qld.gov.au/browse/aspassed" TargetMode="External"/><Relationship Id="rId75" Type="http://schemas.openxmlformats.org/officeDocument/2006/relationships/footer" Target="footer21.xml"/><Relationship Id="rId140" Type="http://schemas.openxmlformats.org/officeDocument/2006/relationships/footer" Target="footer37.xml"/><Relationship Id="rId182" Type="http://schemas.openxmlformats.org/officeDocument/2006/relationships/hyperlink" Target="http://www.legislation.act.gov.au/a/2018-42/default.asp" TargetMode="External"/><Relationship Id="rId378" Type="http://schemas.openxmlformats.org/officeDocument/2006/relationships/hyperlink" Target="https://www.legislation.qld.gov.au/view/html/asmade/act-2015-012" TargetMode="External"/><Relationship Id="rId403" Type="http://schemas.openxmlformats.org/officeDocument/2006/relationships/hyperlink" Target="https://www.legislation.qld.gov.au/browse/aspassed" TargetMode="External"/><Relationship Id="rId585" Type="http://schemas.openxmlformats.org/officeDocument/2006/relationships/hyperlink" Target="https://www.legislation.qld.gov.au/browse/aspassed" TargetMode="External"/><Relationship Id="rId750" Type="http://schemas.openxmlformats.org/officeDocument/2006/relationships/hyperlink" Target="https://www.legislation.qld.gov.au/browse/aspassed" TargetMode="External"/><Relationship Id="rId792" Type="http://schemas.openxmlformats.org/officeDocument/2006/relationships/hyperlink" Target="http://www.legislation.act.gov.au/a/2018-42/default.asp" TargetMode="External"/><Relationship Id="rId806" Type="http://schemas.openxmlformats.org/officeDocument/2006/relationships/hyperlink" Target="https://www.legislation.qld.gov.au/browse/aspassed" TargetMode="External"/><Relationship Id="rId848" Type="http://schemas.openxmlformats.org/officeDocument/2006/relationships/hyperlink" Target="https://www.legislation.qld.gov.au/browse/aspassed" TargetMode="External"/><Relationship Id="rId6" Type="http://schemas.openxmlformats.org/officeDocument/2006/relationships/endnotes" Target="endnotes.xml"/><Relationship Id="rId238" Type="http://schemas.openxmlformats.org/officeDocument/2006/relationships/hyperlink" Target="https://www.legislation.qld.gov.au/browse/aspassed" TargetMode="External"/><Relationship Id="rId445" Type="http://schemas.openxmlformats.org/officeDocument/2006/relationships/hyperlink" Target="https://www.legislation.qld.gov.au/browse/aspassed" TargetMode="External"/><Relationship Id="rId487" Type="http://schemas.openxmlformats.org/officeDocument/2006/relationships/hyperlink" Target="https://www.legislation.qld.gov.au/browse/aspassed" TargetMode="External"/><Relationship Id="rId610" Type="http://schemas.openxmlformats.org/officeDocument/2006/relationships/hyperlink" Target="https://www.legislation.qld.gov.au/browse/aspassed" TargetMode="External"/><Relationship Id="rId652" Type="http://schemas.openxmlformats.org/officeDocument/2006/relationships/hyperlink" Target="https://www.legislation.qld.gov.au/browse/aspassed" TargetMode="External"/><Relationship Id="rId694" Type="http://schemas.openxmlformats.org/officeDocument/2006/relationships/hyperlink" Target="https://www.legislation.qld.gov.au/view/html/asmade/act-2014-043" TargetMode="External"/><Relationship Id="rId708" Type="http://schemas.openxmlformats.org/officeDocument/2006/relationships/hyperlink" Target="https://www.legislation.qld.gov.au/view/html/asmade/act-2019-029" TargetMode="External"/><Relationship Id="rId915" Type="http://schemas.openxmlformats.org/officeDocument/2006/relationships/header" Target="header36.xml"/><Relationship Id="rId291" Type="http://schemas.openxmlformats.org/officeDocument/2006/relationships/hyperlink" Target="http://www.legislation.act.gov.au/a/2018-42/default.asp" TargetMode="External"/><Relationship Id="rId305" Type="http://schemas.openxmlformats.org/officeDocument/2006/relationships/hyperlink" Target="https://www.legislation.qld.gov.au/browse/aspassed" TargetMode="External"/><Relationship Id="rId347" Type="http://schemas.openxmlformats.org/officeDocument/2006/relationships/hyperlink" Target="https://www.legislation.qld.gov.au/browse/aspassed" TargetMode="External"/><Relationship Id="rId512" Type="http://schemas.openxmlformats.org/officeDocument/2006/relationships/hyperlink" Target="https://www.legislation.qld.gov.au/browse/aspassed" TargetMode="External"/><Relationship Id="rId44" Type="http://schemas.openxmlformats.org/officeDocument/2006/relationships/hyperlink" Target="http://www.comlaw.gov.au/Series/C2004A03813" TargetMode="External"/><Relationship Id="rId86" Type="http://schemas.openxmlformats.org/officeDocument/2006/relationships/hyperlink" Target="http://www.legislation.act.gov.au/a/2001-14/default.asp" TargetMode="External"/><Relationship Id="rId151" Type="http://schemas.openxmlformats.org/officeDocument/2006/relationships/hyperlink" Target="https://www.legislation.qld.gov.au/SL_AsMade/SL_AsMade_NUM_2014.htm" TargetMode="External"/><Relationship Id="rId389" Type="http://schemas.openxmlformats.org/officeDocument/2006/relationships/hyperlink" Target="https://www.legislation.qld.gov.au/view/html/asmade/act-2019-029" TargetMode="External"/><Relationship Id="rId554" Type="http://schemas.openxmlformats.org/officeDocument/2006/relationships/hyperlink" Target="https://www.legislation.qld.gov.au/view/html/asmade/act-2015-012" TargetMode="External"/><Relationship Id="rId596" Type="http://schemas.openxmlformats.org/officeDocument/2006/relationships/hyperlink" Target="https://www.legislation.qld.gov.au/browse/aspassed" TargetMode="External"/><Relationship Id="rId761" Type="http://schemas.openxmlformats.org/officeDocument/2006/relationships/hyperlink" Target="https://www.legislation.qld.gov.au/browse/aspassed" TargetMode="External"/><Relationship Id="rId817" Type="http://schemas.openxmlformats.org/officeDocument/2006/relationships/hyperlink" Target="https://www.legislation.qld.gov.au/browse/aspassed" TargetMode="External"/><Relationship Id="rId859" Type="http://schemas.openxmlformats.org/officeDocument/2006/relationships/hyperlink" Target="https://www.legislation.qld.gov.au/browse/aspassed" TargetMode="External"/><Relationship Id="rId193" Type="http://schemas.openxmlformats.org/officeDocument/2006/relationships/hyperlink" Target="https://www.legislation.qld.gov.au/view/html/asmade/act-2018-010" TargetMode="External"/><Relationship Id="rId207" Type="http://schemas.openxmlformats.org/officeDocument/2006/relationships/hyperlink" Target="https://www.legislation.qld.gov.au/view/html/asmade/act-2016-065" TargetMode="External"/><Relationship Id="rId249" Type="http://schemas.openxmlformats.org/officeDocument/2006/relationships/hyperlink" Target="https://www.legislation.qld.gov.au/view/html/asmade/act-2015-012" TargetMode="External"/><Relationship Id="rId414" Type="http://schemas.openxmlformats.org/officeDocument/2006/relationships/hyperlink" Target="https://www.legislation.qld.gov.au/view/html/asmade/act-2015-012" TargetMode="External"/><Relationship Id="rId456" Type="http://schemas.openxmlformats.org/officeDocument/2006/relationships/hyperlink" Target="https://www.legislation.qld.gov.au/browse/aspassed" TargetMode="External"/><Relationship Id="rId498" Type="http://schemas.openxmlformats.org/officeDocument/2006/relationships/hyperlink" Target="https://www.legislation.qld.gov.au/browse/aspassed" TargetMode="External"/><Relationship Id="rId621" Type="http://schemas.openxmlformats.org/officeDocument/2006/relationships/hyperlink" Target="https://www.legislation.qld.gov.au/browse/aspassed" TargetMode="External"/><Relationship Id="rId663" Type="http://schemas.openxmlformats.org/officeDocument/2006/relationships/hyperlink" Target="https://www.legislation.qld.gov.au/browse/aspassed" TargetMode="External"/><Relationship Id="rId870" Type="http://schemas.openxmlformats.org/officeDocument/2006/relationships/hyperlink" Target="https://www.legislation.qld.gov.au/browse/aspassed" TargetMode="External"/><Relationship Id="rId13" Type="http://schemas.openxmlformats.org/officeDocument/2006/relationships/hyperlink" Target="http://www.legislation.act.gov.au/a/2013-51/default.asp" TargetMode="External"/><Relationship Id="rId109" Type="http://schemas.openxmlformats.org/officeDocument/2006/relationships/hyperlink" Target="https://www.legislation.qld.gov.au/Acts_SLs/Acts_SL_C.htm" TargetMode="External"/><Relationship Id="rId260" Type="http://schemas.openxmlformats.org/officeDocument/2006/relationships/hyperlink" Target="https://www.legislation.qld.gov.au/browse/aspassed" TargetMode="External"/><Relationship Id="rId316" Type="http://schemas.openxmlformats.org/officeDocument/2006/relationships/hyperlink" Target="https://www.legislation.qld.gov.au/browse/aspassed" TargetMode="External"/><Relationship Id="rId523" Type="http://schemas.openxmlformats.org/officeDocument/2006/relationships/hyperlink" Target="https://www.legislation.qld.gov.au/browse/aspassed" TargetMode="External"/><Relationship Id="rId719" Type="http://schemas.openxmlformats.org/officeDocument/2006/relationships/hyperlink" Target="https://www.legislation.qld.gov.au/browse/aspassed" TargetMode="External"/><Relationship Id="rId55" Type="http://schemas.openxmlformats.org/officeDocument/2006/relationships/header" Target="header8.xml"/><Relationship Id="rId97" Type="http://schemas.openxmlformats.org/officeDocument/2006/relationships/hyperlink" Target="http://www.legislation.act.gov.au/a/1999-77" TargetMode="External"/><Relationship Id="rId120" Type="http://schemas.openxmlformats.org/officeDocument/2006/relationships/header" Target="header20.xml"/><Relationship Id="rId358" Type="http://schemas.openxmlformats.org/officeDocument/2006/relationships/hyperlink" Target="https://www.legislation.qld.gov.au/browse/aspassed" TargetMode="External"/><Relationship Id="rId565" Type="http://schemas.openxmlformats.org/officeDocument/2006/relationships/hyperlink" Target="https://www.legislation.qld.gov.au/browse/aspassed" TargetMode="External"/><Relationship Id="rId730" Type="http://schemas.openxmlformats.org/officeDocument/2006/relationships/hyperlink" Target="https://www.legislation.qld.gov.au/view/html/asmade/act-2019-029" TargetMode="External"/><Relationship Id="rId772" Type="http://schemas.openxmlformats.org/officeDocument/2006/relationships/hyperlink" Target="https://www.legislation.qld.gov.au/browse/aspassed" TargetMode="External"/><Relationship Id="rId828" Type="http://schemas.openxmlformats.org/officeDocument/2006/relationships/hyperlink" Target="https://www.legislation.qld.gov.au/browse/aspassed" TargetMode="External"/><Relationship Id="rId162" Type="http://schemas.openxmlformats.org/officeDocument/2006/relationships/hyperlink" Target="https://www.legislation.qld.gov.au/view/html/asmade/sl-2015-0186" TargetMode="External"/><Relationship Id="rId218" Type="http://schemas.openxmlformats.org/officeDocument/2006/relationships/hyperlink" Target="https://www.legislation.qld.gov.au/view/html/asmade/act-2019-029" TargetMode="External"/><Relationship Id="rId425" Type="http://schemas.openxmlformats.org/officeDocument/2006/relationships/hyperlink" Target="https://www.legislation.qld.gov.au/browse/aspassed" TargetMode="External"/><Relationship Id="rId467" Type="http://schemas.openxmlformats.org/officeDocument/2006/relationships/hyperlink" Target="https://www.legislation.qld.gov.au/browse/aspassed" TargetMode="External"/><Relationship Id="rId632" Type="http://schemas.openxmlformats.org/officeDocument/2006/relationships/hyperlink" Target="https://www.legislation.qld.gov.au/browse/aspassed" TargetMode="External"/><Relationship Id="rId271" Type="http://schemas.openxmlformats.org/officeDocument/2006/relationships/hyperlink" Target="http://www.legislation.act.gov.au/a/2018-42/default.asp" TargetMode="External"/><Relationship Id="rId674" Type="http://schemas.openxmlformats.org/officeDocument/2006/relationships/hyperlink" Target="https://www.legislation.qld.gov.au/browse/aspassed" TargetMode="External"/><Relationship Id="rId881" Type="http://schemas.openxmlformats.org/officeDocument/2006/relationships/hyperlink" Target="https://www.legislation.qld.gov.au/browse/aspassed" TargetMode="External"/><Relationship Id="rId24" Type="http://schemas.openxmlformats.org/officeDocument/2006/relationships/footer" Target="footer4.xml"/><Relationship Id="rId66" Type="http://schemas.openxmlformats.org/officeDocument/2006/relationships/header" Target="header13.xml"/><Relationship Id="rId131" Type="http://schemas.openxmlformats.org/officeDocument/2006/relationships/header" Target="header25.xml"/><Relationship Id="rId327" Type="http://schemas.openxmlformats.org/officeDocument/2006/relationships/hyperlink" Target="https://www.legislation.qld.gov.au/browse/aspassed" TargetMode="External"/><Relationship Id="rId369" Type="http://schemas.openxmlformats.org/officeDocument/2006/relationships/hyperlink" Target="http://www.legislation.act.gov.au/a/2018-42/default.asp" TargetMode="External"/><Relationship Id="rId534" Type="http://schemas.openxmlformats.org/officeDocument/2006/relationships/hyperlink" Target="https://www.legislation.qld.gov.au/browse/aspassed" TargetMode="External"/><Relationship Id="rId576" Type="http://schemas.openxmlformats.org/officeDocument/2006/relationships/hyperlink" Target="https://www.legislation.qld.gov.au/browse/aspassed" TargetMode="External"/><Relationship Id="rId741" Type="http://schemas.openxmlformats.org/officeDocument/2006/relationships/hyperlink" Target="https://www.legislation.qld.gov.au/view/html/asmade/act-2019-029" TargetMode="External"/><Relationship Id="rId783" Type="http://schemas.openxmlformats.org/officeDocument/2006/relationships/hyperlink" Target="https://www.legislation.qld.gov.au/browse/aspassed" TargetMode="External"/><Relationship Id="rId839" Type="http://schemas.openxmlformats.org/officeDocument/2006/relationships/hyperlink" Target="http://www.legislation.act.gov.au/a/2013-51/default.asp" TargetMode="External"/><Relationship Id="rId173" Type="http://schemas.openxmlformats.org/officeDocument/2006/relationships/hyperlink" Target="https://www.legislation.qld.gov.au/link?version.series.id=2f048787-c4d1-4206-87e0-72bd4075f91e&amp;doc.id=act-2018-018&amp;date=as.made&amp;type=act" TargetMode="External"/><Relationship Id="rId229" Type="http://schemas.openxmlformats.org/officeDocument/2006/relationships/hyperlink" Target="https://www.legislation.qld.gov.au/browse/aspassed" TargetMode="External"/><Relationship Id="rId380" Type="http://schemas.openxmlformats.org/officeDocument/2006/relationships/hyperlink" Target="https://www.legislation.qld.gov.au/view/html/asmade/act-2015-012" TargetMode="External"/><Relationship Id="rId436" Type="http://schemas.openxmlformats.org/officeDocument/2006/relationships/hyperlink" Target="https://www.legislation.qld.gov.au/view/html/asmade/act-2015-012" TargetMode="External"/><Relationship Id="rId601" Type="http://schemas.openxmlformats.org/officeDocument/2006/relationships/hyperlink" Target="https://www.legislation.qld.gov.au/browse/aspassed" TargetMode="External"/><Relationship Id="rId643" Type="http://schemas.openxmlformats.org/officeDocument/2006/relationships/hyperlink" Target="https://www.legislation.qld.gov.au/browse/aspassed" TargetMode="External"/><Relationship Id="rId240" Type="http://schemas.openxmlformats.org/officeDocument/2006/relationships/hyperlink" Target="https://www.legislation.qld.gov.au/browse/aspassed" TargetMode="External"/><Relationship Id="rId478" Type="http://schemas.openxmlformats.org/officeDocument/2006/relationships/hyperlink" Target="https://www.legislation.qld.gov.au/view/html/asmade/act-2015-012" TargetMode="External"/><Relationship Id="rId685" Type="http://schemas.openxmlformats.org/officeDocument/2006/relationships/hyperlink" Target="https://www.legislation.qld.gov.au/browse/aspassed" TargetMode="External"/><Relationship Id="rId850" Type="http://schemas.openxmlformats.org/officeDocument/2006/relationships/hyperlink" Target="https://www.legislation.qld.gov.au/browse/aspassed" TargetMode="External"/><Relationship Id="rId892" Type="http://schemas.openxmlformats.org/officeDocument/2006/relationships/hyperlink" Target="https://www.legislation.qld.gov.au/browse/aspassed" TargetMode="External"/><Relationship Id="rId906" Type="http://schemas.openxmlformats.org/officeDocument/2006/relationships/footer" Target="footer39.xml"/><Relationship Id="rId35" Type="http://schemas.openxmlformats.org/officeDocument/2006/relationships/image" Target="media/image5.png"/><Relationship Id="rId77" Type="http://schemas.openxmlformats.org/officeDocument/2006/relationships/header" Target="header17.xml"/><Relationship Id="rId100" Type="http://schemas.openxmlformats.org/officeDocument/2006/relationships/hyperlink" Target="http://www.legislation.act.gov.au/a/1999-81" TargetMode="External"/><Relationship Id="rId282" Type="http://schemas.openxmlformats.org/officeDocument/2006/relationships/hyperlink" Target="https://www.legislation.qld.gov.au/browse/aspassed" TargetMode="External"/><Relationship Id="rId338" Type="http://schemas.openxmlformats.org/officeDocument/2006/relationships/hyperlink" Target="https://www.legislation.qld.gov.au/browse/aspassed" TargetMode="External"/><Relationship Id="rId503" Type="http://schemas.openxmlformats.org/officeDocument/2006/relationships/hyperlink" Target="https://www.legislation.qld.gov.au/browse/aspassed" TargetMode="External"/><Relationship Id="rId545" Type="http://schemas.openxmlformats.org/officeDocument/2006/relationships/hyperlink" Target="https://www.legislation.qld.gov.au/view/html/asmade/act-2019-029" TargetMode="External"/><Relationship Id="rId587" Type="http://schemas.openxmlformats.org/officeDocument/2006/relationships/hyperlink" Target="https://www.legislation.qld.gov.au/browse/aspassed" TargetMode="External"/><Relationship Id="rId710" Type="http://schemas.openxmlformats.org/officeDocument/2006/relationships/hyperlink" Target="https://www.legislation.qld.gov.au/view/html/asmade/act-2019-029" TargetMode="External"/><Relationship Id="rId752" Type="http://schemas.openxmlformats.org/officeDocument/2006/relationships/hyperlink" Target="https://www.legislation.qld.gov.au/browse/aspassed" TargetMode="External"/><Relationship Id="rId808" Type="http://schemas.openxmlformats.org/officeDocument/2006/relationships/hyperlink" Target="https://www.legislation.qld.gov.au/browse/aspassed" TargetMode="External"/><Relationship Id="rId8" Type="http://schemas.openxmlformats.org/officeDocument/2006/relationships/hyperlink" Target="https://www.legislation.qld.gov.au/view/html/asmade/act-2019-029" TargetMode="External"/><Relationship Id="rId142" Type="http://schemas.openxmlformats.org/officeDocument/2006/relationships/hyperlink" Target="https://www.legislation.qld.gov.au/view/html/inforce/current/act-2012-021" TargetMode="External"/><Relationship Id="rId184" Type="http://schemas.openxmlformats.org/officeDocument/2006/relationships/hyperlink" Target="https://www.legislation.qld.gov.au/view/html/asmade/act-2019-029" TargetMode="External"/><Relationship Id="rId391" Type="http://schemas.openxmlformats.org/officeDocument/2006/relationships/hyperlink" Target="https://www.legislation.qld.gov.au/view/html/asmade/act-2019-029" TargetMode="External"/><Relationship Id="rId405" Type="http://schemas.openxmlformats.org/officeDocument/2006/relationships/hyperlink" Target="https://www.legislation.qld.gov.au/view/html/asmade/act-2015-012" TargetMode="External"/><Relationship Id="rId447" Type="http://schemas.openxmlformats.org/officeDocument/2006/relationships/hyperlink" Target="https://www.legislation.qld.gov.au/browse/aspassed" TargetMode="External"/><Relationship Id="rId612" Type="http://schemas.openxmlformats.org/officeDocument/2006/relationships/hyperlink" Target="https://www.legislation.qld.gov.au/browse/aspassed" TargetMode="External"/><Relationship Id="rId794" Type="http://schemas.openxmlformats.org/officeDocument/2006/relationships/hyperlink" Target="http://www.legislation.act.gov.au/a/2013-51/default.asp" TargetMode="External"/><Relationship Id="rId251" Type="http://schemas.openxmlformats.org/officeDocument/2006/relationships/hyperlink" Target="https://www.legislation.qld.gov.au/browse/aspassed" TargetMode="External"/><Relationship Id="rId489" Type="http://schemas.openxmlformats.org/officeDocument/2006/relationships/hyperlink" Target="https://www.legislation.qld.gov.au/browse/aspassed" TargetMode="External"/><Relationship Id="rId654" Type="http://schemas.openxmlformats.org/officeDocument/2006/relationships/hyperlink" Target="https://www.legislation.qld.gov.au/browse/aspassed" TargetMode="External"/><Relationship Id="rId696" Type="http://schemas.openxmlformats.org/officeDocument/2006/relationships/hyperlink" Target="https://www.legislation.qld.gov.au/view/html/asmade/act-2014-043" TargetMode="External"/><Relationship Id="rId861" Type="http://schemas.openxmlformats.org/officeDocument/2006/relationships/hyperlink" Target="https://www.legislation.qld.gov.au/view/html/asmade/act-2015-012" TargetMode="External"/><Relationship Id="rId917" Type="http://schemas.openxmlformats.org/officeDocument/2006/relationships/footer" Target="footer45.xml"/><Relationship Id="rId46" Type="http://schemas.openxmlformats.org/officeDocument/2006/relationships/hyperlink" Target="https://www.legislation.gov.au/Series/C2018A00163" TargetMode="External"/><Relationship Id="rId293" Type="http://schemas.openxmlformats.org/officeDocument/2006/relationships/hyperlink" Target="https://www.legislation.qld.gov.au/view/html/asmade/act-2018-010" TargetMode="External"/><Relationship Id="rId307" Type="http://schemas.openxmlformats.org/officeDocument/2006/relationships/hyperlink" Target="https://www.legislation.qld.gov.au/browse/aspassed" TargetMode="External"/><Relationship Id="rId349" Type="http://schemas.openxmlformats.org/officeDocument/2006/relationships/hyperlink" Target="https://www.legislation.qld.gov.au/browse/aspassed" TargetMode="External"/><Relationship Id="rId514" Type="http://schemas.openxmlformats.org/officeDocument/2006/relationships/hyperlink" Target="https://www.legislation.qld.gov.au/browse/aspassed" TargetMode="External"/><Relationship Id="rId556" Type="http://schemas.openxmlformats.org/officeDocument/2006/relationships/hyperlink" Target="https://www.legislation.qld.gov.au/view/html/asmade/act-2015-012" TargetMode="External"/><Relationship Id="rId721" Type="http://schemas.openxmlformats.org/officeDocument/2006/relationships/hyperlink" Target="http://www.legislation.act.gov.au/a/2018-42/default.asp" TargetMode="External"/><Relationship Id="rId763" Type="http://schemas.openxmlformats.org/officeDocument/2006/relationships/hyperlink" Target="https://www.legislation.qld.gov.au/browse/aspassed" TargetMode="External"/><Relationship Id="rId88" Type="http://schemas.openxmlformats.org/officeDocument/2006/relationships/hyperlink" Target="http://www.legislation.act.gov.au/a/1999-77" TargetMode="External"/><Relationship Id="rId111" Type="http://schemas.openxmlformats.org/officeDocument/2006/relationships/hyperlink" Target="http://www.legislation.nsw.gov.au/maintop/view/inforce/act+15+1987+cd+0+N" TargetMode="External"/><Relationship Id="rId153" Type="http://schemas.openxmlformats.org/officeDocument/2006/relationships/hyperlink" Target="https://www.legislation.qld.gov.au/view/html/asmade/act-2012-021" TargetMode="External"/><Relationship Id="rId195" Type="http://schemas.openxmlformats.org/officeDocument/2006/relationships/hyperlink" Target="https://www.legislation.qld.gov.au/view/html/asmade/act-2018-018" TargetMode="External"/><Relationship Id="rId209" Type="http://schemas.openxmlformats.org/officeDocument/2006/relationships/hyperlink" Target="https://www.legislation.qld.gov.au/browse/aspassed" TargetMode="External"/><Relationship Id="rId360" Type="http://schemas.openxmlformats.org/officeDocument/2006/relationships/hyperlink" Target="https://www.legislation.qld.gov.au/browse/aspassed" TargetMode="External"/><Relationship Id="rId416" Type="http://schemas.openxmlformats.org/officeDocument/2006/relationships/hyperlink" Target="https://www.legislation.qld.gov.au/browse/aspassed" TargetMode="External"/><Relationship Id="rId598" Type="http://schemas.openxmlformats.org/officeDocument/2006/relationships/hyperlink" Target="https://www.legislation.qld.gov.au/browse/aspassed" TargetMode="External"/><Relationship Id="rId819" Type="http://schemas.openxmlformats.org/officeDocument/2006/relationships/hyperlink" Target="http://www.legislation.act.gov.au/a/2013-51/default.asp" TargetMode="External"/><Relationship Id="rId220" Type="http://schemas.openxmlformats.org/officeDocument/2006/relationships/hyperlink" Target="https://www.legislation.qld.gov.au/view/html/asmade/act-2016-065" TargetMode="External"/><Relationship Id="rId458" Type="http://schemas.openxmlformats.org/officeDocument/2006/relationships/hyperlink" Target="https://www.legislation.qld.gov.au/view/html/asmade/act-2015-012" TargetMode="External"/><Relationship Id="rId623" Type="http://schemas.openxmlformats.org/officeDocument/2006/relationships/hyperlink" Target="https://www.legislation.qld.gov.au/browse/aspassed" TargetMode="External"/><Relationship Id="rId665" Type="http://schemas.openxmlformats.org/officeDocument/2006/relationships/hyperlink" Target="https://www.legislation.qld.gov.au/browse/aspassed" TargetMode="External"/><Relationship Id="rId830" Type="http://schemas.openxmlformats.org/officeDocument/2006/relationships/hyperlink" Target="https://www.legislation.qld.gov.au/browse/aspassed" TargetMode="External"/><Relationship Id="rId872" Type="http://schemas.openxmlformats.org/officeDocument/2006/relationships/hyperlink" Target="https://www.legislation.qld.gov.au/browse/aspassed" TargetMode="External"/><Relationship Id="rId15" Type="http://schemas.openxmlformats.org/officeDocument/2006/relationships/hyperlink" Target="http://www.legislation.act.gov.au/a/2013-51/default.asp" TargetMode="External"/><Relationship Id="rId57" Type="http://schemas.openxmlformats.org/officeDocument/2006/relationships/footer" Target="footer10.xml"/><Relationship Id="rId262" Type="http://schemas.openxmlformats.org/officeDocument/2006/relationships/hyperlink" Target="http://www.legislation.act.gov.au/a/2013-51/default.asp" TargetMode="External"/><Relationship Id="rId318" Type="http://schemas.openxmlformats.org/officeDocument/2006/relationships/hyperlink" Target="https://www.legislation.qld.gov.au/browse/aspassed" TargetMode="External"/><Relationship Id="rId525" Type="http://schemas.openxmlformats.org/officeDocument/2006/relationships/hyperlink" Target="https://www.legislation.qld.gov.au/browse/aspassed" TargetMode="External"/><Relationship Id="rId567" Type="http://schemas.openxmlformats.org/officeDocument/2006/relationships/hyperlink" Target="https://www.legislation.qld.gov.au/browse/aspassed" TargetMode="External"/><Relationship Id="rId732" Type="http://schemas.openxmlformats.org/officeDocument/2006/relationships/hyperlink" Target="http://www.legislation.act.gov.au/a/2018-42/default.asp" TargetMode="External"/><Relationship Id="rId99" Type="http://schemas.openxmlformats.org/officeDocument/2006/relationships/hyperlink" Target="http://www.legislation.act.gov.au/a/2001-14/default.asp" TargetMode="External"/><Relationship Id="rId122" Type="http://schemas.openxmlformats.org/officeDocument/2006/relationships/footer" Target="footer28.xml"/><Relationship Id="rId164" Type="http://schemas.openxmlformats.org/officeDocument/2006/relationships/hyperlink" Target="https://www.legislation.qld.gov.au/view/html/asmade/sl-2018-0142" TargetMode="External"/><Relationship Id="rId371" Type="http://schemas.openxmlformats.org/officeDocument/2006/relationships/hyperlink" Target="https://www.legislation.qld.gov.au/browse/aspassed" TargetMode="External"/><Relationship Id="rId774" Type="http://schemas.openxmlformats.org/officeDocument/2006/relationships/hyperlink" Target="https://www.legislation.qld.gov.au/browse/aspassed" TargetMode="External"/><Relationship Id="rId427" Type="http://schemas.openxmlformats.org/officeDocument/2006/relationships/hyperlink" Target="https://www.legislation.qld.gov.au/browse/aspassed" TargetMode="External"/><Relationship Id="rId469" Type="http://schemas.openxmlformats.org/officeDocument/2006/relationships/hyperlink" Target="https://www.legislation.qld.gov.au/browse/aspassed" TargetMode="External"/><Relationship Id="rId634" Type="http://schemas.openxmlformats.org/officeDocument/2006/relationships/hyperlink" Target="https://www.legislation.qld.gov.au/browse/aspassed" TargetMode="External"/><Relationship Id="rId676" Type="http://schemas.openxmlformats.org/officeDocument/2006/relationships/hyperlink" Target="https://www.legislation.qld.gov.au/browse/aspassed" TargetMode="External"/><Relationship Id="rId841" Type="http://schemas.openxmlformats.org/officeDocument/2006/relationships/hyperlink" Target="http://www.legislation.act.gov.au/a/2013-51/default.asp" TargetMode="External"/><Relationship Id="rId883" Type="http://schemas.openxmlformats.org/officeDocument/2006/relationships/hyperlink" Target="https://www.legislation.qld.gov.au/browse/aspassed" TargetMode="External"/><Relationship Id="rId26" Type="http://schemas.openxmlformats.org/officeDocument/2006/relationships/footer" Target="footer6.xml"/><Relationship Id="rId231" Type="http://schemas.openxmlformats.org/officeDocument/2006/relationships/hyperlink" Target="https://www.legislation.qld.gov.au/browse/aspassed" TargetMode="External"/><Relationship Id="rId273" Type="http://schemas.openxmlformats.org/officeDocument/2006/relationships/hyperlink" Target="https://www.legislation.qld.gov.au/browse/aspassed" TargetMode="External"/><Relationship Id="rId329" Type="http://schemas.openxmlformats.org/officeDocument/2006/relationships/hyperlink" Target="https://www.legislation.qld.gov.au/browse/aspassed" TargetMode="External"/><Relationship Id="rId480" Type="http://schemas.openxmlformats.org/officeDocument/2006/relationships/hyperlink" Target="https://www.legislation.qld.gov.au/browse/aspassed" TargetMode="External"/><Relationship Id="rId536" Type="http://schemas.openxmlformats.org/officeDocument/2006/relationships/hyperlink" Target="https://www.legislation.qld.gov.au/browse/aspassed" TargetMode="External"/><Relationship Id="rId701" Type="http://schemas.openxmlformats.org/officeDocument/2006/relationships/hyperlink" Target="https://www.legislation.qld.gov.au/browse/aspassed" TargetMode="External"/><Relationship Id="rId68" Type="http://schemas.openxmlformats.org/officeDocument/2006/relationships/footer" Target="footer17.xml"/><Relationship Id="rId133" Type="http://schemas.openxmlformats.org/officeDocument/2006/relationships/footer" Target="footer34.xml"/><Relationship Id="rId175" Type="http://schemas.openxmlformats.org/officeDocument/2006/relationships/hyperlink" Target="http://www.legislation.act.gov.au/a/2018-42/default.asp" TargetMode="External"/><Relationship Id="rId340" Type="http://schemas.openxmlformats.org/officeDocument/2006/relationships/hyperlink" Target="https://www.legislation.qld.gov.au/browse/aspassed" TargetMode="External"/><Relationship Id="rId578" Type="http://schemas.openxmlformats.org/officeDocument/2006/relationships/hyperlink" Target="https://www.legislation.qld.gov.au/browse/aspassed" TargetMode="External"/><Relationship Id="rId743" Type="http://schemas.openxmlformats.org/officeDocument/2006/relationships/hyperlink" Target="https://www.legislation.qld.gov.au/view/html/asmade/act-2019-029" TargetMode="External"/><Relationship Id="rId785" Type="http://schemas.openxmlformats.org/officeDocument/2006/relationships/hyperlink" Target="https://www.legislation.qld.gov.au/browse/aspassed" TargetMode="External"/><Relationship Id="rId200" Type="http://schemas.openxmlformats.org/officeDocument/2006/relationships/hyperlink" Target="https://www.legislation.qld.gov.au/view/html/asmade/act-2018-010" TargetMode="External"/><Relationship Id="rId382" Type="http://schemas.openxmlformats.org/officeDocument/2006/relationships/hyperlink" Target="https://www.legislation.qld.gov.au/view/html/asmade/act-2015-012" TargetMode="External"/><Relationship Id="rId438" Type="http://schemas.openxmlformats.org/officeDocument/2006/relationships/hyperlink" Target="https://www.legislation.qld.gov.au/view/html/asmade/act-2015-012" TargetMode="External"/><Relationship Id="rId603" Type="http://schemas.openxmlformats.org/officeDocument/2006/relationships/hyperlink" Target="https://www.legislation.qld.gov.au/browse/aspassed" TargetMode="External"/><Relationship Id="rId645" Type="http://schemas.openxmlformats.org/officeDocument/2006/relationships/hyperlink" Target="https://www.legislation.qld.gov.au/view/html/asmade/act-2015-012" TargetMode="External"/><Relationship Id="rId687" Type="http://schemas.openxmlformats.org/officeDocument/2006/relationships/hyperlink" Target="https://www.legislation.qld.gov.au/browse/aspassed" TargetMode="External"/><Relationship Id="rId810" Type="http://schemas.openxmlformats.org/officeDocument/2006/relationships/hyperlink" Target="https://www.legislation.qld.gov.au/browse/aspassed" TargetMode="External"/><Relationship Id="rId852" Type="http://schemas.openxmlformats.org/officeDocument/2006/relationships/hyperlink" Target="https://www.legislation.qld.gov.au/browse/aspassed" TargetMode="External"/><Relationship Id="rId908" Type="http://schemas.openxmlformats.org/officeDocument/2006/relationships/header" Target="header32.xml"/><Relationship Id="rId242" Type="http://schemas.openxmlformats.org/officeDocument/2006/relationships/hyperlink" Target="https://www.legislation.qld.gov.au/browse/aspassed" TargetMode="External"/><Relationship Id="rId284" Type="http://schemas.openxmlformats.org/officeDocument/2006/relationships/hyperlink" Target="https://www.legislation.qld.gov.au/browse/aspassed" TargetMode="External"/><Relationship Id="rId491" Type="http://schemas.openxmlformats.org/officeDocument/2006/relationships/hyperlink" Target="https://www.legislation.qld.gov.au/browse/aspassed" TargetMode="External"/><Relationship Id="rId505" Type="http://schemas.openxmlformats.org/officeDocument/2006/relationships/hyperlink" Target="https://www.legislation.qld.gov.au/browse/aspassed" TargetMode="External"/><Relationship Id="rId712" Type="http://schemas.openxmlformats.org/officeDocument/2006/relationships/hyperlink" Target="https://www.legislation.qld.gov.au/browse/aspassed" TargetMode="External"/><Relationship Id="rId894" Type="http://schemas.openxmlformats.org/officeDocument/2006/relationships/hyperlink" Target="https://www.legislation.qld.gov.au/view/html/asmade/act-2018-018" TargetMode="External"/><Relationship Id="rId37" Type="http://schemas.openxmlformats.org/officeDocument/2006/relationships/hyperlink" Target="http://www.comlaw.gov.au/Series/C2009A00130" TargetMode="External"/><Relationship Id="rId79" Type="http://schemas.openxmlformats.org/officeDocument/2006/relationships/footer" Target="footer23.xml"/><Relationship Id="rId102" Type="http://schemas.openxmlformats.org/officeDocument/2006/relationships/hyperlink" Target="http://www.legislation.act.gov.au/a/1999-77" TargetMode="External"/><Relationship Id="rId144" Type="http://schemas.openxmlformats.org/officeDocument/2006/relationships/hyperlink" Target="http://www.legislation.act.gov.au/a/2013-51/default.asp" TargetMode="External"/><Relationship Id="rId547" Type="http://schemas.openxmlformats.org/officeDocument/2006/relationships/hyperlink" Target="https://www.legislation.qld.gov.au/view/html/asmade/act-2015-012" TargetMode="External"/><Relationship Id="rId589" Type="http://schemas.openxmlformats.org/officeDocument/2006/relationships/hyperlink" Target="https://www.legislation.qld.gov.au/browse/aspassed" TargetMode="External"/><Relationship Id="rId754" Type="http://schemas.openxmlformats.org/officeDocument/2006/relationships/hyperlink" Target="https://www.legislation.qld.gov.au/browse/aspassed" TargetMode="External"/><Relationship Id="rId796" Type="http://schemas.openxmlformats.org/officeDocument/2006/relationships/hyperlink" Target="https://www.legislation.qld.gov.au/browse/aspassed" TargetMode="External"/><Relationship Id="rId90" Type="http://schemas.openxmlformats.org/officeDocument/2006/relationships/hyperlink" Target="https://www.legislation.qld.gov.au/Acts_SLs/Acts_SL_I.htm" TargetMode="External"/><Relationship Id="rId186" Type="http://schemas.openxmlformats.org/officeDocument/2006/relationships/hyperlink" Target="https://www.legislation.qld.gov.au/view/html/asmade/act-2015-012" TargetMode="External"/><Relationship Id="rId351" Type="http://schemas.openxmlformats.org/officeDocument/2006/relationships/hyperlink" Target="https://www.legislation.qld.gov.au/browse/aspassed" TargetMode="External"/><Relationship Id="rId393" Type="http://schemas.openxmlformats.org/officeDocument/2006/relationships/hyperlink" Target="https://www.legislation.qld.gov.au/browse/aspassed" TargetMode="External"/><Relationship Id="rId407" Type="http://schemas.openxmlformats.org/officeDocument/2006/relationships/hyperlink" Target="https://www.legislation.qld.gov.au/view/html/asmade/act-2015-012" TargetMode="External"/><Relationship Id="rId449" Type="http://schemas.openxmlformats.org/officeDocument/2006/relationships/hyperlink" Target="https://www.legislation.qld.gov.au/browse/aspassed" TargetMode="External"/><Relationship Id="rId614" Type="http://schemas.openxmlformats.org/officeDocument/2006/relationships/hyperlink" Target="https://www.legislation.qld.gov.au/browse/aspassed" TargetMode="External"/><Relationship Id="rId656" Type="http://schemas.openxmlformats.org/officeDocument/2006/relationships/hyperlink" Target="https://www.legislation.qld.gov.au/browse/aspassed" TargetMode="External"/><Relationship Id="rId821" Type="http://schemas.openxmlformats.org/officeDocument/2006/relationships/hyperlink" Target="https://www.legislation.qld.gov.au/browse/aspassed" TargetMode="External"/><Relationship Id="rId863" Type="http://schemas.openxmlformats.org/officeDocument/2006/relationships/hyperlink" Target="https://www.legislation.qld.gov.au/view/html/asmade/act-2015-012" TargetMode="External"/><Relationship Id="rId211" Type="http://schemas.openxmlformats.org/officeDocument/2006/relationships/hyperlink" Target="http://www.legislation.act.gov.au/a/2013-51/default.asp" TargetMode="External"/><Relationship Id="rId253" Type="http://schemas.openxmlformats.org/officeDocument/2006/relationships/hyperlink" Target="http://www.legislation.act.gov.au/a/2013-51/default.asp" TargetMode="External"/><Relationship Id="rId295" Type="http://schemas.openxmlformats.org/officeDocument/2006/relationships/hyperlink" Target="https://www.legislation.qld.gov.au/view/html/asmade/act-2019-029" TargetMode="External"/><Relationship Id="rId309" Type="http://schemas.openxmlformats.org/officeDocument/2006/relationships/hyperlink" Target="https://www.legislation.qld.gov.au/browse/aspassed" TargetMode="External"/><Relationship Id="rId460" Type="http://schemas.openxmlformats.org/officeDocument/2006/relationships/hyperlink" Target="https://www.legislation.qld.gov.au/browse/aspassed" TargetMode="External"/><Relationship Id="rId516" Type="http://schemas.openxmlformats.org/officeDocument/2006/relationships/hyperlink" Target="https://www.legislation.qld.gov.au/browse/aspassed" TargetMode="External"/><Relationship Id="rId698" Type="http://schemas.openxmlformats.org/officeDocument/2006/relationships/hyperlink" Target="https://www.legislation.qld.gov.au/view/html/asmade/act-2014-043" TargetMode="External"/><Relationship Id="rId919" Type="http://schemas.openxmlformats.org/officeDocument/2006/relationships/fontTable" Target="fontTable.xml"/><Relationship Id="rId48" Type="http://schemas.openxmlformats.org/officeDocument/2006/relationships/hyperlink" Target="https://www.legislation.gov.au/Series/C2018A00164" TargetMode="External"/><Relationship Id="rId113" Type="http://schemas.openxmlformats.org/officeDocument/2006/relationships/hyperlink" Target="https://www.legislation.qld.gov.au/Acts_SLs/Acts_SL_H.htm" TargetMode="External"/><Relationship Id="rId320" Type="http://schemas.openxmlformats.org/officeDocument/2006/relationships/hyperlink" Target="https://www.legislation.qld.gov.au/browse/aspassed" TargetMode="External"/><Relationship Id="rId558" Type="http://schemas.openxmlformats.org/officeDocument/2006/relationships/hyperlink" Target="https://www.legislation.qld.gov.au/view/html/asmade/act-2015-012" TargetMode="External"/><Relationship Id="rId723" Type="http://schemas.openxmlformats.org/officeDocument/2006/relationships/hyperlink" Target="https://www.legislation.qld.gov.au/browse/aspassed" TargetMode="External"/><Relationship Id="rId765" Type="http://schemas.openxmlformats.org/officeDocument/2006/relationships/hyperlink" Target="https://www.legislation.qld.gov.au/browse/aspassed" TargetMode="External"/><Relationship Id="rId155" Type="http://schemas.openxmlformats.org/officeDocument/2006/relationships/hyperlink" Target="http://www.legislation.act.gov.au/a/2018-42/default.asp" TargetMode="External"/><Relationship Id="rId197" Type="http://schemas.openxmlformats.org/officeDocument/2006/relationships/hyperlink" Target="http://www.legislation.act.gov.au/a/2013-51/default.asp" TargetMode="External"/><Relationship Id="rId362" Type="http://schemas.openxmlformats.org/officeDocument/2006/relationships/hyperlink" Target="https://www.legislation.qld.gov.au/browse/aspassed" TargetMode="External"/><Relationship Id="rId418" Type="http://schemas.openxmlformats.org/officeDocument/2006/relationships/hyperlink" Target="https://www.legislation.qld.gov.au/browse/aspassed" TargetMode="External"/><Relationship Id="rId625" Type="http://schemas.openxmlformats.org/officeDocument/2006/relationships/hyperlink" Target="https://www.legislation.qld.gov.au/browse/aspassed" TargetMode="External"/><Relationship Id="rId832" Type="http://schemas.openxmlformats.org/officeDocument/2006/relationships/hyperlink" Target="https://www.legislation.qld.gov.au/view/html/asmade/act-2019-029" TargetMode="External"/><Relationship Id="rId222" Type="http://schemas.openxmlformats.org/officeDocument/2006/relationships/hyperlink" Target="https://www.legislation.qld.gov.au/view/html/asmade/act-2018-010" TargetMode="External"/><Relationship Id="rId264" Type="http://schemas.openxmlformats.org/officeDocument/2006/relationships/hyperlink" Target="https://www.legislation.qld.gov.au/view/html/asmade/act-2018-010" TargetMode="External"/><Relationship Id="rId471" Type="http://schemas.openxmlformats.org/officeDocument/2006/relationships/hyperlink" Target="https://www.legislation.qld.gov.au/browse/aspassed" TargetMode="External"/><Relationship Id="rId667" Type="http://schemas.openxmlformats.org/officeDocument/2006/relationships/hyperlink" Target="https://www.legislation.qld.gov.au/browse/aspassed" TargetMode="External"/><Relationship Id="rId874" Type="http://schemas.openxmlformats.org/officeDocument/2006/relationships/hyperlink" Target="https://www.legislation.qld.gov.au/view/html/asmade/act-2015-012" TargetMode="External"/><Relationship Id="rId17" Type="http://schemas.openxmlformats.org/officeDocument/2006/relationships/header" Target="header2.xml"/><Relationship Id="rId59" Type="http://schemas.openxmlformats.org/officeDocument/2006/relationships/footer" Target="footer12.xml"/><Relationship Id="rId124" Type="http://schemas.openxmlformats.org/officeDocument/2006/relationships/footer" Target="footer30.xml"/><Relationship Id="rId527" Type="http://schemas.openxmlformats.org/officeDocument/2006/relationships/hyperlink" Target="https://www.legislation.qld.gov.au/view/html/asmade/act-2015-012" TargetMode="External"/><Relationship Id="rId569" Type="http://schemas.openxmlformats.org/officeDocument/2006/relationships/hyperlink" Target="https://www.legislation.qld.gov.au/view/html/asmade/act-2015-012" TargetMode="External"/><Relationship Id="rId734" Type="http://schemas.openxmlformats.org/officeDocument/2006/relationships/hyperlink" Target="https://www.legislation.qld.gov.au/browse/aspassed" TargetMode="External"/><Relationship Id="rId776" Type="http://schemas.openxmlformats.org/officeDocument/2006/relationships/hyperlink" Target="https://www.legislation.qld.gov.au/browse/aspassed" TargetMode="External"/><Relationship Id="rId70" Type="http://schemas.openxmlformats.org/officeDocument/2006/relationships/hyperlink" Target="http://www.comlaw.gov.au/Series/C1913A00004" TargetMode="External"/><Relationship Id="rId166" Type="http://schemas.openxmlformats.org/officeDocument/2006/relationships/hyperlink" Target="https://www.legislation.qld.gov.au/view/html/asmade/sl-2018-0142" TargetMode="External"/><Relationship Id="rId331" Type="http://schemas.openxmlformats.org/officeDocument/2006/relationships/hyperlink" Target="https://www.legislation.qld.gov.au/browse/aspassed" TargetMode="External"/><Relationship Id="rId373" Type="http://schemas.openxmlformats.org/officeDocument/2006/relationships/hyperlink" Target="https://www.legislation.qld.gov.au/view/html/asmade/act-2019-029" TargetMode="External"/><Relationship Id="rId429" Type="http://schemas.openxmlformats.org/officeDocument/2006/relationships/hyperlink" Target="https://www.legislation.qld.gov.au/browse/aspassed" TargetMode="External"/><Relationship Id="rId580" Type="http://schemas.openxmlformats.org/officeDocument/2006/relationships/hyperlink" Target="https://www.legislation.qld.gov.au/browse/aspassed" TargetMode="External"/><Relationship Id="rId636" Type="http://schemas.openxmlformats.org/officeDocument/2006/relationships/hyperlink" Target="https://www.legislation.qld.gov.au/browse/aspassed" TargetMode="External"/><Relationship Id="rId801" Type="http://schemas.openxmlformats.org/officeDocument/2006/relationships/hyperlink" Target="https://www.legislation.qld.gov.au/browse/aspassed" TargetMode="External"/><Relationship Id="rId1" Type="http://schemas.openxmlformats.org/officeDocument/2006/relationships/numbering" Target="numbering.xml"/><Relationship Id="rId233" Type="http://schemas.openxmlformats.org/officeDocument/2006/relationships/hyperlink" Target="https://www.legislation.qld.gov.au/browse/aspassed" TargetMode="External"/><Relationship Id="rId440" Type="http://schemas.openxmlformats.org/officeDocument/2006/relationships/hyperlink" Target="https://www.legislation.qld.gov.au/view/html/asmade/act-2015-012" TargetMode="External"/><Relationship Id="rId678" Type="http://schemas.openxmlformats.org/officeDocument/2006/relationships/hyperlink" Target="https://www.legislation.qld.gov.au/browse/aspassed" TargetMode="External"/><Relationship Id="rId843" Type="http://schemas.openxmlformats.org/officeDocument/2006/relationships/hyperlink" Target="http://www.legislation.act.gov.au/a/2013-51/default.asp" TargetMode="External"/><Relationship Id="rId885" Type="http://schemas.openxmlformats.org/officeDocument/2006/relationships/hyperlink" Target="http://www.legislation.act.gov.au/a/2013-51/default.asp" TargetMode="External"/><Relationship Id="rId28" Type="http://schemas.openxmlformats.org/officeDocument/2006/relationships/image" Target="media/image2.png"/><Relationship Id="rId275" Type="http://schemas.openxmlformats.org/officeDocument/2006/relationships/hyperlink" Target="https://www.legislation.qld.gov.au/view/html/asmade/act-2015-012" TargetMode="External"/><Relationship Id="rId300" Type="http://schemas.openxmlformats.org/officeDocument/2006/relationships/hyperlink" Target="http://www.legislation.act.gov.au/a/2018-42/default.asp" TargetMode="External"/><Relationship Id="rId482" Type="http://schemas.openxmlformats.org/officeDocument/2006/relationships/hyperlink" Target="https://www.legislation.qld.gov.au/browse/aspassed" TargetMode="External"/><Relationship Id="rId538" Type="http://schemas.openxmlformats.org/officeDocument/2006/relationships/hyperlink" Target="https://www.legislation.qld.gov.au/browse/aspassed" TargetMode="External"/><Relationship Id="rId703" Type="http://schemas.openxmlformats.org/officeDocument/2006/relationships/hyperlink" Target="https://www.legislation.qld.gov.au/view/html/asmade/act-2019-029" TargetMode="External"/><Relationship Id="rId745" Type="http://schemas.openxmlformats.org/officeDocument/2006/relationships/hyperlink" Target="https://www.legislation.qld.gov.au/view/html/asmade/act-2015-012" TargetMode="External"/><Relationship Id="rId910" Type="http://schemas.openxmlformats.org/officeDocument/2006/relationships/footer" Target="footer41.xml"/><Relationship Id="rId81" Type="http://schemas.openxmlformats.org/officeDocument/2006/relationships/hyperlink" Target="http://www.comlaw.gov.au/Series/C2009A00130" TargetMode="External"/><Relationship Id="rId135" Type="http://schemas.openxmlformats.org/officeDocument/2006/relationships/header" Target="header27.xml"/><Relationship Id="rId177" Type="http://schemas.openxmlformats.org/officeDocument/2006/relationships/hyperlink" Target="https://www.legislation.qld.gov.au/view/html/asmade/act-2019-029" TargetMode="External"/><Relationship Id="rId342" Type="http://schemas.openxmlformats.org/officeDocument/2006/relationships/hyperlink" Target="https://www.legislation.qld.gov.au/browse/aspassed" TargetMode="External"/><Relationship Id="rId384" Type="http://schemas.openxmlformats.org/officeDocument/2006/relationships/hyperlink" Target="https://www.legislation.qld.gov.au/browse/aspassed" TargetMode="External"/><Relationship Id="rId591" Type="http://schemas.openxmlformats.org/officeDocument/2006/relationships/hyperlink" Target="https://www.legislation.qld.gov.au/browse/aspassed" TargetMode="External"/><Relationship Id="rId605" Type="http://schemas.openxmlformats.org/officeDocument/2006/relationships/hyperlink" Target="https://www.legislation.qld.gov.au/browse/aspassed" TargetMode="External"/><Relationship Id="rId787" Type="http://schemas.openxmlformats.org/officeDocument/2006/relationships/hyperlink" Target="https://www.legislation.qld.gov.au/browse/aspassed" TargetMode="External"/><Relationship Id="rId812" Type="http://schemas.openxmlformats.org/officeDocument/2006/relationships/hyperlink" Target="https://www.legislation.qld.gov.au/browse/aspassed" TargetMode="External"/><Relationship Id="rId202" Type="http://schemas.openxmlformats.org/officeDocument/2006/relationships/hyperlink" Target="https://www.legislation.qld.gov.au/view/html/asmade/act-2015-012" TargetMode="External"/><Relationship Id="rId244" Type="http://schemas.openxmlformats.org/officeDocument/2006/relationships/hyperlink" Target="https://www.legislation.qld.gov.au/view/html/asmade/act-2019-029" TargetMode="External"/><Relationship Id="rId647" Type="http://schemas.openxmlformats.org/officeDocument/2006/relationships/hyperlink" Target="https://www.legislation.qld.gov.au/browse/aspassed" TargetMode="External"/><Relationship Id="rId689" Type="http://schemas.openxmlformats.org/officeDocument/2006/relationships/hyperlink" Target="https://www.legislation.qld.gov.au/view/html/asmade/act-2015-012" TargetMode="External"/><Relationship Id="rId854" Type="http://schemas.openxmlformats.org/officeDocument/2006/relationships/hyperlink" Target="https://www.legislation.qld.gov.au/view/html/asmade/act-2015-012" TargetMode="External"/><Relationship Id="rId896" Type="http://schemas.openxmlformats.org/officeDocument/2006/relationships/hyperlink" Target="https://www.legislation.qld.gov.au/view/html/asmade/act-2018-010" TargetMode="External"/><Relationship Id="rId39" Type="http://schemas.openxmlformats.org/officeDocument/2006/relationships/hyperlink" Target="https://www.legislation.gov.au/Series/C2018A00163" TargetMode="External"/><Relationship Id="rId286" Type="http://schemas.openxmlformats.org/officeDocument/2006/relationships/hyperlink" Target="http://www.legislation.act.gov.au/a/2018-42/default.asp" TargetMode="External"/><Relationship Id="rId451" Type="http://schemas.openxmlformats.org/officeDocument/2006/relationships/hyperlink" Target="https://www.legislation.qld.gov.au/browse/aspassed" TargetMode="External"/><Relationship Id="rId493" Type="http://schemas.openxmlformats.org/officeDocument/2006/relationships/hyperlink" Target="https://www.legislation.qld.gov.au/browse/aspassed" TargetMode="External"/><Relationship Id="rId507" Type="http://schemas.openxmlformats.org/officeDocument/2006/relationships/hyperlink" Target="https://www.legislation.qld.gov.au/view/html/asmade/act-2015-012" TargetMode="External"/><Relationship Id="rId549" Type="http://schemas.openxmlformats.org/officeDocument/2006/relationships/hyperlink" Target="https://www.legislation.qld.gov.au/view/html/asmade/act-2015-012" TargetMode="External"/><Relationship Id="rId714" Type="http://schemas.openxmlformats.org/officeDocument/2006/relationships/hyperlink" Target="http://www.legislation.act.gov.au/a/2018-42/default.asp" TargetMode="External"/><Relationship Id="rId756" Type="http://schemas.openxmlformats.org/officeDocument/2006/relationships/hyperlink" Target="https://www.legislation.qld.gov.au/browse/aspassed" TargetMode="External"/><Relationship Id="rId50" Type="http://schemas.openxmlformats.org/officeDocument/2006/relationships/header" Target="header6.xml"/><Relationship Id="rId104" Type="http://schemas.openxmlformats.org/officeDocument/2006/relationships/hyperlink" Target="http://www.legislation.act.gov.au/a/1999-81" TargetMode="External"/><Relationship Id="rId146" Type="http://schemas.openxmlformats.org/officeDocument/2006/relationships/hyperlink" Target="https://www.legislation.qld.gov.au/SL_AsMade/SL_AsMade_NUM_2012.htm" TargetMode="External"/><Relationship Id="rId188" Type="http://schemas.openxmlformats.org/officeDocument/2006/relationships/hyperlink" Target="https://www.legislation.qld.gov.au/view/html/asmade/act-2015-012" TargetMode="External"/><Relationship Id="rId311" Type="http://schemas.openxmlformats.org/officeDocument/2006/relationships/hyperlink" Target="https://www.legislation.qld.gov.au/browse/aspassed" TargetMode="External"/><Relationship Id="rId353" Type="http://schemas.openxmlformats.org/officeDocument/2006/relationships/hyperlink" Target="https://www.legislation.qld.gov.au/browse/aspassed" TargetMode="External"/><Relationship Id="rId395" Type="http://schemas.openxmlformats.org/officeDocument/2006/relationships/hyperlink" Target="https://www.legislation.qld.gov.au/browse/aspassed" TargetMode="External"/><Relationship Id="rId409" Type="http://schemas.openxmlformats.org/officeDocument/2006/relationships/hyperlink" Target="https://www.legislation.qld.gov.au/view/html/asmade/act-2019-029" TargetMode="External"/><Relationship Id="rId560" Type="http://schemas.openxmlformats.org/officeDocument/2006/relationships/hyperlink" Target="https://www.legislation.qld.gov.au/browse/aspassed" TargetMode="External"/><Relationship Id="rId798" Type="http://schemas.openxmlformats.org/officeDocument/2006/relationships/hyperlink" Target="https://www.legislation.qld.gov.au/browse/aspassed" TargetMode="External"/><Relationship Id="rId92" Type="http://schemas.openxmlformats.org/officeDocument/2006/relationships/hyperlink" Target="https://www.legislation.qld.gov.au/Acts_SLs/Acts_SL_R.htm" TargetMode="External"/><Relationship Id="rId213" Type="http://schemas.openxmlformats.org/officeDocument/2006/relationships/hyperlink" Target="https://www.legislation.qld.gov.au/view/html/asmade/act-2018-010" TargetMode="External"/><Relationship Id="rId420" Type="http://schemas.openxmlformats.org/officeDocument/2006/relationships/hyperlink" Target="https://www.legislation.qld.gov.au/browse/aspassed" TargetMode="External"/><Relationship Id="rId616" Type="http://schemas.openxmlformats.org/officeDocument/2006/relationships/hyperlink" Target="https://www.legislation.qld.gov.au/browse/aspassed" TargetMode="External"/><Relationship Id="rId658" Type="http://schemas.openxmlformats.org/officeDocument/2006/relationships/hyperlink" Target="https://www.legislation.qld.gov.au/browse/aspassed" TargetMode="External"/><Relationship Id="rId823" Type="http://schemas.openxmlformats.org/officeDocument/2006/relationships/hyperlink" Target="https://www.legislation.qld.gov.au/browse/aspassed" TargetMode="External"/><Relationship Id="rId865" Type="http://schemas.openxmlformats.org/officeDocument/2006/relationships/hyperlink" Target="https://www.legislation.qld.gov.au/browse/aspassed" TargetMode="External"/><Relationship Id="rId255" Type="http://schemas.openxmlformats.org/officeDocument/2006/relationships/hyperlink" Target="https://www.legislation.qld.gov.au/browse/aspassed" TargetMode="External"/><Relationship Id="rId297" Type="http://schemas.openxmlformats.org/officeDocument/2006/relationships/hyperlink" Target="http://www.legislation.act.gov.au/a/2018-42/default.asp" TargetMode="External"/><Relationship Id="rId462" Type="http://schemas.openxmlformats.org/officeDocument/2006/relationships/hyperlink" Target="https://www.legislation.qld.gov.au/browse/aspassed" TargetMode="External"/><Relationship Id="rId518" Type="http://schemas.openxmlformats.org/officeDocument/2006/relationships/hyperlink" Target="https://www.legislation.qld.gov.au/browse/aspassed" TargetMode="External"/><Relationship Id="rId725" Type="http://schemas.openxmlformats.org/officeDocument/2006/relationships/hyperlink" Target="https://www.legislation.qld.gov.au/view/html/asmade/act-2019-029" TargetMode="External"/><Relationship Id="rId115" Type="http://schemas.openxmlformats.org/officeDocument/2006/relationships/header" Target="header19.xml"/><Relationship Id="rId157" Type="http://schemas.openxmlformats.org/officeDocument/2006/relationships/hyperlink" Target="https://www.legislation.act.gov.au/cn/2019-12/" TargetMode="External"/><Relationship Id="rId322" Type="http://schemas.openxmlformats.org/officeDocument/2006/relationships/hyperlink" Target="https://www.legislation.qld.gov.au/browse/aspassed" TargetMode="External"/><Relationship Id="rId364" Type="http://schemas.openxmlformats.org/officeDocument/2006/relationships/hyperlink" Target="https://www.legislation.qld.gov.au/browse/aspassed" TargetMode="External"/><Relationship Id="rId767" Type="http://schemas.openxmlformats.org/officeDocument/2006/relationships/hyperlink" Target="https://www.legislation.qld.gov.au/browse/aspassed" TargetMode="External"/><Relationship Id="rId61" Type="http://schemas.openxmlformats.org/officeDocument/2006/relationships/header" Target="header11.xml"/><Relationship Id="rId199" Type="http://schemas.openxmlformats.org/officeDocument/2006/relationships/hyperlink" Target="https://www.legislation.qld.gov.au/view/html/asmade/act-2018-010" TargetMode="External"/><Relationship Id="rId571" Type="http://schemas.openxmlformats.org/officeDocument/2006/relationships/hyperlink" Target="https://www.legislation.qld.gov.au/view/html/asmade/act-2015-012" TargetMode="External"/><Relationship Id="rId627" Type="http://schemas.openxmlformats.org/officeDocument/2006/relationships/hyperlink" Target="https://www.legislation.qld.gov.au/browse/aspassed" TargetMode="External"/><Relationship Id="rId669" Type="http://schemas.openxmlformats.org/officeDocument/2006/relationships/hyperlink" Target="https://www.legislation.qld.gov.au/view/html/asmade/act-2015-012" TargetMode="External"/><Relationship Id="rId834" Type="http://schemas.openxmlformats.org/officeDocument/2006/relationships/hyperlink" Target="https://www.legislation.qld.gov.au/browse/aspassed" TargetMode="External"/><Relationship Id="rId876" Type="http://schemas.openxmlformats.org/officeDocument/2006/relationships/hyperlink" Target="https://www.legislation.qld.gov.au/view/html/asmade/act-2015-012" TargetMode="External"/><Relationship Id="rId19" Type="http://schemas.openxmlformats.org/officeDocument/2006/relationships/footer" Target="footer2.xml"/><Relationship Id="rId224" Type="http://schemas.openxmlformats.org/officeDocument/2006/relationships/hyperlink" Target="https://www.legislation.qld.gov.au/browse/aspassed" TargetMode="External"/><Relationship Id="rId266" Type="http://schemas.openxmlformats.org/officeDocument/2006/relationships/hyperlink" Target="https://www.legislation.qld.gov.au/view/html/asmade/act-2018-010" TargetMode="External"/><Relationship Id="rId431" Type="http://schemas.openxmlformats.org/officeDocument/2006/relationships/hyperlink" Target="https://www.legislation.qld.gov.au/browse/aspassed" TargetMode="External"/><Relationship Id="rId473" Type="http://schemas.openxmlformats.org/officeDocument/2006/relationships/hyperlink" Target="https://www.legislation.qld.gov.au/browse/aspassed" TargetMode="External"/><Relationship Id="rId529" Type="http://schemas.openxmlformats.org/officeDocument/2006/relationships/hyperlink" Target="https://www.legislation.qld.gov.au/view/html/asmade/act-2015-012" TargetMode="External"/><Relationship Id="rId680" Type="http://schemas.openxmlformats.org/officeDocument/2006/relationships/hyperlink" Target="https://www.legislation.qld.gov.au/browse/aspassed" TargetMode="External"/><Relationship Id="rId736" Type="http://schemas.openxmlformats.org/officeDocument/2006/relationships/hyperlink" Target="https://www.legislation.qld.gov.au/view/html/asmade/act-2015-012" TargetMode="External"/><Relationship Id="rId901" Type="http://schemas.openxmlformats.org/officeDocument/2006/relationships/hyperlink" Target="https://www.legislation.qld.gov.au/view/html/asmade/act-2019-029" TargetMode="External"/><Relationship Id="rId30" Type="http://schemas.openxmlformats.org/officeDocument/2006/relationships/image" Target="media/image4.png"/><Relationship Id="rId126" Type="http://schemas.openxmlformats.org/officeDocument/2006/relationships/header" Target="header22.xml"/><Relationship Id="rId168" Type="http://schemas.openxmlformats.org/officeDocument/2006/relationships/hyperlink" Target="https://www.legislation.qld.gov.au/view/html/asmade/sl-2017-0102" TargetMode="External"/><Relationship Id="rId333" Type="http://schemas.openxmlformats.org/officeDocument/2006/relationships/hyperlink" Target="https://www.legislation.qld.gov.au/browse/aspassed" TargetMode="External"/><Relationship Id="rId540" Type="http://schemas.openxmlformats.org/officeDocument/2006/relationships/hyperlink" Target="https://www.legislation.qld.gov.au/browse/aspassed" TargetMode="External"/><Relationship Id="rId778" Type="http://schemas.openxmlformats.org/officeDocument/2006/relationships/hyperlink" Target="https://www.legislation.qld.gov.au/browse/aspassed" TargetMode="External"/><Relationship Id="rId72" Type="http://schemas.openxmlformats.org/officeDocument/2006/relationships/header" Target="header15.xml"/><Relationship Id="rId375" Type="http://schemas.openxmlformats.org/officeDocument/2006/relationships/hyperlink" Target="https://www.legislation.qld.gov.au/browse/aspassed" TargetMode="External"/><Relationship Id="rId582" Type="http://schemas.openxmlformats.org/officeDocument/2006/relationships/hyperlink" Target="https://www.legislation.qld.gov.au/browse/aspassed" TargetMode="External"/><Relationship Id="rId638" Type="http://schemas.openxmlformats.org/officeDocument/2006/relationships/hyperlink" Target="https://www.legislation.qld.gov.au/browse/aspassed" TargetMode="External"/><Relationship Id="rId803" Type="http://schemas.openxmlformats.org/officeDocument/2006/relationships/hyperlink" Target="https://www.legislation.qld.gov.au/browse/aspassed" TargetMode="External"/><Relationship Id="rId845" Type="http://schemas.openxmlformats.org/officeDocument/2006/relationships/hyperlink" Target="https://www.legislation.qld.gov.au/browse/aspassed" TargetMode="External"/><Relationship Id="rId3" Type="http://schemas.openxmlformats.org/officeDocument/2006/relationships/settings" Target="settings.xml"/><Relationship Id="rId235" Type="http://schemas.openxmlformats.org/officeDocument/2006/relationships/hyperlink" Target="https://www.legislation.qld.gov.au/browse/aspassed" TargetMode="External"/><Relationship Id="rId277" Type="http://schemas.openxmlformats.org/officeDocument/2006/relationships/hyperlink" Target="https://www.legislation.qld.gov.au/view/html/asmade/act-2019-029" TargetMode="External"/><Relationship Id="rId400" Type="http://schemas.openxmlformats.org/officeDocument/2006/relationships/hyperlink" Target="https://www.legislation.qld.gov.au/view/html/asmade/act-2019-029" TargetMode="External"/><Relationship Id="rId442" Type="http://schemas.openxmlformats.org/officeDocument/2006/relationships/hyperlink" Target="https://www.legislation.qld.gov.au/view/html/asmade/act-2015-012" TargetMode="External"/><Relationship Id="rId484" Type="http://schemas.openxmlformats.org/officeDocument/2006/relationships/hyperlink" Target="https://www.legislation.qld.gov.au/browse/aspassed" TargetMode="External"/><Relationship Id="rId705" Type="http://schemas.openxmlformats.org/officeDocument/2006/relationships/hyperlink" Target="https://www.legislation.qld.gov.au/view/html/asmade/act-2019-029" TargetMode="External"/><Relationship Id="rId887" Type="http://schemas.openxmlformats.org/officeDocument/2006/relationships/hyperlink" Target="https://www.legislation.qld.gov.au/view/html/asmade/act-2014-043" TargetMode="External"/><Relationship Id="rId137" Type="http://schemas.openxmlformats.org/officeDocument/2006/relationships/footer" Target="footer36.xml"/><Relationship Id="rId302" Type="http://schemas.openxmlformats.org/officeDocument/2006/relationships/hyperlink" Target="https://www.legislation.qld.gov.au/view/html/asmade/act-2018-010" TargetMode="External"/><Relationship Id="rId344" Type="http://schemas.openxmlformats.org/officeDocument/2006/relationships/hyperlink" Target="https://www.legislation.qld.gov.au/browse/aspassed" TargetMode="External"/><Relationship Id="rId691" Type="http://schemas.openxmlformats.org/officeDocument/2006/relationships/hyperlink" Target="https://www.legislation.qld.gov.au/view/html/asmade/act-2015-012" TargetMode="External"/><Relationship Id="rId747" Type="http://schemas.openxmlformats.org/officeDocument/2006/relationships/hyperlink" Target="https://www.legislation.qld.gov.au/view/html/asmade/act-2019-029" TargetMode="External"/><Relationship Id="rId789" Type="http://schemas.openxmlformats.org/officeDocument/2006/relationships/hyperlink" Target="https://www.legislation.qld.gov.au/browse/aspassed" TargetMode="External"/><Relationship Id="rId912" Type="http://schemas.openxmlformats.org/officeDocument/2006/relationships/header" Target="header34.xml"/><Relationship Id="rId41" Type="http://schemas.openxmlformats.org/officeDocument/2006/relationships/hyperlink" Target="https://www.legislation.gov.au/Series/C2018A00163" TargetMode="External"/><Relationship Id="rId83" Type="http://schemas.openxmlformats.org/officeDocument/2006/relationships/hyperlink" Target="http://www.legislation.act.gov.au/a/2002-51/default.asp" TargetMode="External"/><Relationship Id="rId179" Type="http://schemas.openxmlformats.org/officeDocument/2006/relationships/hyperlink" Target="https://www.legislation.qld.gov.au/view/html/asmade/sl-2020-0135" TargetMode="External"/><Relationship Id="rId386" Type="http://schemas.openxmlformats.org/officeDocument/2006/relationships/hyperlink" Target="https://www.legislation.qld.gov.au/browse/aspassed" TargetMode="External"/><Relationship Id="rId551" Type="http://schemas.openxmlformats.org/officeDocument/2006/relationships/hyperlink" Target="https://www.legislation.qld.gov.au/view/html/asmade/act-2015-012" TargetMode="External"/><Relationship Id="rId593" Type="http://schemas.openxmlformats.org/officeDocument/2006/relationships/hyperlink" Target="https://www.legislation.qld.gov.au/browse/aspassed" TargetMode="External"/><Relationship Id="rId607" Type="http://schemas.openxmlformats.org/officeDocument/2006/relationships/hyperlink" Target="https://www.legislation.qld.gov.au/browse/aspassed" TargetMode="External"/><Relationship Id="rId649" Type="http://schemas.openxmlformats.org/officeDocument/2006/relationships/hyperlink" Target="https://www.legislation.qld.gov.au/browse/aspassed" TargetMode="External"/><Relationship Id="rId814" Type="http://schemas.openxmlformats.org/officeDocument/2006/relationships/hyperlink" Target="https://www.legislation.qld.gov.au/browse/aspassed" TargetMode="External"/><Relationship Id="rId856" Type="http://schemas.openxmlformats.org/officeDocument/2006/relationships/hyperlink" Target="https://www.legislation.qld.gov.au/view/html/asmade/act-2015-012" TargetMode="External"/><Relationship Id="rId190" Type="http://schemas.openxmlformats.org/officeDocument/2006/relationships/hyperlink" Target="https://www.legislation.qld.gov.au/view/html/asmade/act-2016-065" TargetMode="External"/><Relationship Id="rId204" Type="http://schemas.openxmlformats.org/officeDocument/2006/relationships/hyperlink" Target="https://www.legislation.qld.gov.au/view/html/asmade/act-2015-012" TargetMode="External"/><Relationship Id="rId246" Type="http://schemas.openxmlformats.org/officeDocument/2006/relationships/hyperlink" Target="https://www.legislation.qld.gov.au/view/html/asmade/act-2015-012" TargetMode="External"/><Relationship Id="rId288" Type="http://schemas.openxmlformats.org/officeDocument/2006/relationships/hyperlink" Target="https://www.legislation.qld.gov.au/view/html/asmade/act-2019-029" TargetMode="External"/><Relationship Id="rId411" Type="http://schemas.openxmlformats.org/officeDocument/2006/relationships/hyperlink" Target="https://www.legislation.qld.gov.au/browse/aspassed" TargetMode="External"/><Relationship Id="rId453" Type="http://schemas.openxmlformats.org/officeDocument/2006/relationships/hyperlink" Target="https://www.legislation.qld.gov.au/browse/aspassed" TargetMode="External"/><Relationship Id="rId509" Type="http://schemas.openxmlformats.org/officeDocument/2006/relationships/hyperlink" Target="https://www.legislation.qld.gov.au/view/html/asmade/act-2015-012" TargetMode="External"/><Relationship Id="rId660" Type="http://schemas.openxmlformats.org/officeDocument/2006/relationships/hyperlink" Target="https://www.legislation.qld.gov.au/browse/aspassed" TargetMode="External"/><Relationship Id="rId898" Type="http://schemas.openxmlformats.org/officeDocument/2006/relationships/hyperlink" Target="https://www.legislation.act.gov.au/a/2018-42/" TargetMode="External"/><Relationship Id="rId106" Type="http://schemas.openxmlformats.org/officeDocument/2006/relationships/hyperlink" Target="http://www.legislation.act.gov.au/a/1999-77" TargetMode="External"/><Relationship Id="rId313" Type="http://schemas.openxmlformats.org/officeDocument/2006/relationships/hyperlink" Target="https://www.legislation.qld.gov.au/browse/aspassed" TargetMode="External"/><Relationship Id="rId495" Type="http://schemas.openxmlformats.org/officeDocument/2006/relationships/hyperlink" Target="https://www.legislation.qld.gov.au/browse/aspassed" TargetMode="External"/><Relationship Id="rId716" Type="http://schemas.openxmlformats.org/officeDocument/2006/relationships/hyperlink" Target="http://www.legislation.act.gov.au/a/2013-51/default.asp" TargetMode="External"/><Relationship Id="rId758" Type="http://schemas.openxmlformats.org/officeDocument/2006/relationships/hyperlink" Target="http://www.legislation.act.gov.au/a/2013-51/default.asp" TargetMode="External"/><Relationship Id="rId10" Type="http://schemas.openxmlformats.org/officeDocument/2006/relationships/hyperlink" Target="http://www.legislation.act.gov.au/a/2001-14" TargetMode="External"/><Relationship Id="rId52" Type="http://schemas.openxmlformats.org/officeDocument/2006/relationships/footer" Target="footer7.xml"/><Relationship Id="rId94" Type="http://schemas.openxmlformats.org/officeDocument/2006/relationships/hyperlink" Target="http://www.legislation.act.gov.au/a/1999-80" TargetMode="External"/><Relationship Id="rId148" Type="http://schemas.openxmlformats.org/officeDocument/2006/relationships/hyperlink" Target="https://www.legislation.qld.gov.au/Acts_Passed/Acts_Passed_NUM_2013.htm" TargetMode="External"/><Relationship Id="rId355" Type="http://schemas.openxmlformats.org/officeDocument/2006/relationships/hyperlink" Target="https://www.legislation.qld.gov.au/browse/aspassed" TargetMode="External"/><Relationship Id="rId397" Type="http://schemas.openxmlformats.org/officeDocument/2006/relationships/hyperlink" Target="https://www.legislation.qld.gov.au/browse/aspassed" TargetMode="External"/><Relationship Id="rId520" Type="http://schemas.openxmlformats.org/officeDocument/2006/relationships/hyperlink" Target="https://www.legislation.qld.gov.au/browse/aspassed" TargetMode="External"/><Relationship Id="rId562" Type="http://schemas.openxmlformats.org/officeDocument/2006/relationships/hyperlink" Target="https://www.legislation.qld.gov.au/browse/aspassed" TargetMode="External"/><Relationship Id="rId618" Type="http://schemas.openxmlformats.org/officeDocument/2006/relationships/hyperlink" Target="https://www.legislation.qld.gov.au/browse/aspassed" TargetMode="External"/><Relationship Id="rId825" Type="http://schemas.openxmlformats.org/officeDocument/2006/relationships/hyperlink" Target="https://www.legislation.qld.gov.au/browse/aspassed" TargetMode="External"/><Relationship Id="rId215" Type="http://schemas.openxmlformats.org/officeDocument/2006/relationships/hyperlink" Target="http://www.legislation.act.gov.au/a/2013-51/default.asp" TargetMode="External"/><Relationship Id="rId257" Type="http://schemas.openxmlformats.org/officeDocument/2006/relationships/hyperlink" Target="https://www.legislation.qld.gov.au/browse/aspassed" TargetMode="External"/><Relationship Id="rId422" Type="http://schemas.openxmlformats.org/officeDocument/2006/relationships/hyperlink" Target="https://www.legislation.qld.gov.au/view/html/asmade/act-2019-029" TargetMode="External"/><Relationship Id="rId464" Type="http://schemas.openxmlformats.org/officeDocument/2006/relationships/hyperlink" Target="https://www.legislation.qld.gov.au/browse/aspassed" TargetMode="External"/><Relationship Id="rId867" Type="http://schemas.openxmlformats.org/officeDocument/2006/relationships/hyperlink" Target="https://www.legislation.qld.gov.au/browse/aspassed" TargetMode="External"/><Relationship Id="rId299" Type="http://schemas.openxmlformats.org/officeDocument/2006/relationships/hyperlink" Target="http://www.legislation.act.gov.au/a/2013-51/default.asp" TargetMode="External"/><Relationship Id="rId727" Type="http://schemas.openxmlformats.org/officeDocument/2006/relationships/hyperlink" Target="https://www.legislation.qld.gov.au/browse/aspassed" TargetMode="External"/><Relationship Id="rId63" Type="http://schemas.openxmlformats.org/officeDocument/2006/relationships/footer" Target="footer14.xml"/><Relationship Id="rId159" Type="http://schemas.openxmlformats.org/officeDocument/2006/relationships/hyperlink" Target="file:///C:\PCOSystem\LegSystem\JMS\SuperCopies\1059033\Transport%20and%20Other%20Legislation%20Amendment%20Act%202014" TargetMode="External"/><Relationship Id="rId366" Type="http://schemas.openxmlformats.org/officeDocument/2006/relationships/hyperlink" Target="https://www.legislation.qld.gov.au/browse/aspassed" TargetMode="External"/><Relationship Id="rId573" Type="http://schemas.openxmlformats.org/officeDocument/2006/relationships/hyperlink" Target="https://www.legislation.qld.gov.au/view/html/asmade/act-2015-012" TargetMode="External"/><Relationship Id="rId780" Type="http://schemas.openxmlformats.org/officeDocument/2006/relationships/hyperlink" Target="https://www.legislation.qld.gov.au/browse/aspassed" TargetMode="External"/><Relationship Id="rId226" Type="http://schemas.openxmlformats.org/officeDocument/2006/relationships/hyperlink" Target="https://www.legislation.qld.gov.au/browse/aspassed" TargetMode="External"/><Relationship Id="rId433" Type="http://schemas.openxmlformats.org/officeDocument/2006/relationships/hyperlink" Target="https://www.legislation.qld.gov.au/browse/aspassed" TargetMode="External"/><Relationship Id="rId878" Type="http://schemas.openxmlformats.org/officeDocument/2006/relationships/hyperlink" Target="https://www.legislation.qld.gov.au/browse/aspassed" TargetMode="External"/><Relationship Id="rId640" Type="http://schemas.openxmlformats.org/officeDocument/2006/relationships/hyperlink" Target="https://www.legislation.qld.gov.au/browse/aspassed" TargetMode="External"/><Relationship Id="rId738" Type="http://schemas.openxmlformats.org/officeDocument/2006/relationships/hyperlink" Target="https://www.legislation.qld.gov.au/view/html/asmade/act-2019-029" TargetMode="External"/><Relationship Id="rId74" Type="http://schemas.openxmlformats.org/officeDocument/2006/relationships/footer" Target="footer20.xml"/><Relationship Id="rId377" Type="http://schemas.openxmlformats.org/officeDocument/2006/relationships/hyperlink" Target="https://www.legislation.qld.gov.au/view/html/asmade/act-2015-012" TargetMode="External"/><Relationship Id="rId500" Type="http://schemas.openxmlformats.org/officeDocument/2006/relationships/hyperlink" Target="https://www.legislation.qld.gov.au/browse/aspassed" TargetMode="External"/><Relationship Id="rId584" Type="http://schemas.openxmlformats.org/officeDocument/2006/relationships/hyperlink" Target="https://www.legislation.qld.gov.au/browse/aspassed" TargetMode="External"/><Relationship Id="rId805" Type="http://schemas.openxmlformats.org/officeDocument/2006/relationships/hyperlink" Target="https://www.legislation.qld.gov.au/browse/aspassed" TargetMode="External"/><Relationship Id="rId5" Type="http://schemas.openxmlformats.org/officeDocument/2006/relationships/footnotes" Target="footnotes.xml"/><Relationship Id="rId237" Type="http://schemas.openxmlformats.org/officeDocument/2006/relationships/hyperlink" Target="https://www.legislation.qld.gov.au/browse/aspassed" TargetMode="External"/><Relationship Id="rId791" Type="http://schemas.openxmlformats.org/officeDocument/2006/relationships/hyperlink" Target="http://www.legislation.act.gov.au/a/2013-51/default.asp" TargetMode="External"/><Relationship Id="rId889" Type="http://schemas.openxmlformats.org/officeDocument/2006/relationships/hyperlink" Target="https://www.legislation.qld.gov.au/Acts_SLs/Acts_SL_H.htm" TargetMode="External"/><Relationship Id="rId444" Type="http://schemas.openxmlformats.org/officeDocument/2006/relationships/hyperlink" Target="https://www.legislation.qld.gov.au/browse/aspassed" TargetMode="External"/><Relationship Id="rId651" Type="http://schemas.openxmlformats.org/officeDocument/2006/relationships/hyperlink" Target="https://www.legislation.qld.gov.au/browse/aspassed" TargetMode="External"/><Relationship Id="rId749" Type="http://schemas.openxmlformats.org/officeDocument/2006/relationships/hyperlink" Target="https://www.legislation.qld.gov.au/view/html/asmade/act-2015-012" TargetMode="External"/><Relationship Id="rId290" Type="http://schemas.openxmlformats.org/officeDocument/2006/relationships/hyperlink" Target="http://www.legislation.act.gov.au/a/2013-51/default.asp" TargetMode="External"/><Relationship Id="rId304" Type="http://schemas.openxmlformats.org/officeDocument/2006/relationships/hyperlink" Target="https://www.legislation.qld.gov.au/view/html/asmade/act-2019-029" TargetMode="External"/><Relationship Id="rId388" Type="http://schemas.openxmlformats.org/officeDocument/2006/relationships/hyperlink" Target="https://www.legislation.qld.gov.au/browse/aspassed" TargetMode="External"/><Relationship Id="rId511" Type="http://schemas.openxmlformats.org/officeDocument/2006/relationships/hyperlink" Target="https://www.legislation.qld.gov.au/browse/aspassed" TargetMode="External"/><Relationship Id="rId609" Type="http://schemas.openxmlformats.org/officeDocument/2006/relationships/hyperlink" Target="https://www.legislation.qld.gov.au/browse/aspassed" TargetMode="External"/><Relationship Id="rId85" Type="http://schemas.openxmlformats.org/officeDocument/2006/relationships/hyperlink" Target="http://www.legislation.act.gov.au/a/2002-51/default.asp" TargetMode="External"/><Relationship Id="rId150" Type="http://schemas.openxmlformats.org/officeDocument/2006/relationships/hyperlink" Target="https://www.legislation.qld.gov.au/view/html/asmade/act-2012-021" TargetMode="External"/><Relationship Id="rId595" Type="http://schemas.openxmlformats.org/officeDocument/2006/relationships/hyperlink" Target="https://www.legislation.qld.gov.au/browse/aspassed" TargetMode="External"/><Relationship Id="rId816" Type="http://schemas.openxmlformats.org/officeDocument/2006/relationships/hyperlink" Target="https://www.legislation.qld.gov.au/browse/aspassed" TargetMode="External"/><Relationship Id="rId248" Type="http://schemas.openxmlformats.org/officeDocument/2006/relationships/hyperlink" Target="https://www.legislation.qld.gov.au/browse/aspassed" TargetMode="External"/><Relationship Id="rId455" Type="http://schemas.openxmlformats.org/officeDocument/2006/relationships/hyperlink" Target="https://www.legislation.qld.gov.au/browse/aspassed" TargetMode="External"/><Relationship Id="rId662" Type="http://schemas.openxmlformats.org/officeDocument/2006/relationships/hyperlink" Target="https://www.legislation.qld.gov.au/view/html/asmade/act-2015-012" TargetMode="External"/><Relationship Id="rId12" Type="http://schemas.openxmlformats.org/officeDocument/2006/relationships/hyperlink" Target="https://www.legislation.qld.gov.au/Acts_SLs/Acts_SL_H.htm" TargetMode="External"/><Relationship Id="rId108" Type="http://schemas.openxmlformats.org/officeDocument/2006/relationships/hyperlink" Target="http://www.legislation.act.gov.au/a/1999-77" TargetMode="External"/><Relationship Id="rId315" Type="http://schemas.openxmlformats.org/officeDocument/2006/relationships/hyperlink" Target="https://www.legislation.qld.gov.au/browse/aspassed" TargetMode="External"/><Relationship Id="rId522" Type="http://schemas.openxmlformats.org/officeDocument/2006/relationships/hyperlink" Target="https://www.legislation.qld.gov.au/browse/aspassed" TargetMode="External"/><Relationship Id="rId96" Type="http://schemas.openxmlformats.org/officeDocument/2006/relationships/hyperlink" Target="http://www.legislation.act.gov.au/a/1999-78" TargetMode="External"/><Relationship Id="rId161" Type="http://schemas.openxmlformats.org/officeDocument/2006/relationships/hyperlink" Target="https://www.legislation.qld.gov.au/view/html/asmade/act-2015-012" TargetMode="External"/><Relationship Id="rId399" Type="http://schemas.openxmlformats.org/officeDocument/2006/relationships/hyperlink" Target="https://www.legislation.qld.gov.au/browse/aspassed" TargetMode="External"/><Relationship Id="rId827" Type="http://schemas.openxmlformats.org/officeDocument/2006/relationships/hyperlink" Target="https://www.legislation.qld.gov.au/browse/aspassed" TargetMode="External"/><Relationship Id="rId259" Type="http://schemas.openxmlformats.org/officeDocument/2006/relationships/hyperlink" Target="https://www.legislation.qld.gov.au/browse/aspassed" TargetMode="External"/><Relationship Id="rId466" Type="http://schemas.openxmlformats.org/officeDocument/2006/relationships/hyperlink" Target="https://www.legislation.qld.gov.au/view/html/asmade/act-2015-012" TargetMode="External"/><Relationship Id="rId673" Type="http://schemas.openxmlformats.org/officeDocument/2006/relationships/hyperlink" Target="https://www.legislation.qld.gov.au/browse/aspassed" TargetMode="External"/><Relationship Id="rId880" Type="http://schemas.openxmlformats.org/officeDocument/2006/relationships/hyperlink" Target="https://www.legislation.qld.gov.au/view/html/asmade/act-2015-012" TargetMode="External"/><Relationship Id="rId23" Type="http://schemas.openxmlformats.org/officeDocument/2006/relationships/header" Target="header5.xml"/><Relationship Id="rId119" Type="http://schemas.openxmlformats.org/officeDocument/2006/relationships/hyperlink" Target="https://www.legislation.qld.gov.au/Acts_SLs/Acts_SL_H.htm" TargetMode="External"/><Relationship Id="rId326" Type="http://schemas.openxmlformats.org/officeDocument/2006/relationships/hyperlink" Target="https://www.legislation.qld.gov.au/browse/aspassed" TargetMode="External"/><Relationship Id="rId533" Type="http://schemas.openxmlformats.org/officeDocument/2006/relationships/hyperlink" Target="https://www.legislation.qld.gov.au/browse/aspassed" TargetMode="External"/><Relationship Id="rId740" Type="http://schemas.openxmlformats.org/officeDocument/2006/relationships/hyperlink" Target="https://www.legislation.qld.gov.au/view/html/asmade/act-2019-029" TargetMode="External"/><Relationship Id="rId838" Type="http://schemas.openxmlformats.org/officeDocument/2006/relationships/hyperlink" Target="http://www.legislation.act.gov.au/a/2013-51/default.asp" TargetMode="External"/><Relationship Id="rId172" Type="http://schemas.openxmlformats.org/officeDocument/2006/relationships/hyperlink" Target="https://www.legislation.qld.gov.au/view/html/asmade/sl-2018-0143" TargetMode="External"/><Relationship Id="rId477" Type="http://schemas.openxmlformats.org/officeDocument/2006/relationships/hyperlink" Target="https://www.legislation.qld.gov.au/view/html/asmade/act-2015-012" TargetMode="External"/><Relationship Id="rId600" Type="http://schemas.openxmlformats.org/officeDocument/2006/relationships/hyperlink" Target="https://www.legislation.qld.gov.au/browse/aspassed" TargetMode="External"/><Relationship Id="rId684" Type="http://schemas.openxmlformats.org/officeDocument/2006/relationships/hyperlink" Target="https://www.legislation.qld.gov.au/browse/aspassed" TargetMode="External"/><Relationship Id="rId337" Type="http://schemas.openxmlformats.org/officeDocument/2006/relationships/hyperlink" Target="https://www.legislation.qld.gov.au/browse/aspassed" TargetMode="External"/><Relationship Id="rId891" Type="http://schemas.openxmlformats.org/officeDocument/2006/relationships/hyperlink" Target="https://www.legislation.qld.gov.au/view/html/asmade/act-2016-065" TargetMode="External"/><Relationship Id="rId905" Type="http://schemas.openxmlformats.org/officeDocument/2006/relationships/header" Target="header31.xml"/><Relationship Id="rId34" Type="http://schemas.openxmlformats.org/officeDocument/2006/relationships/hyperlink" Target="http://www.comlaw.gov.au/Details/C2012C00344" TargetMode="External"/><Relationship Id="rId544" Type="http://schemas.openxmlformats.org/officeDocument/2006/relationships/hyperlink" Target="https://www.legislation.qld.gov.au/browse/aspassed" TargetMode="External"/><Relationship Id="rId751" Type="http://schemas.openxmlformats.org/officeDocument/2006/relationships/hyperlink" Target="https://www.legislation.qld.gov.au/view/html/asmade/act-2019-029" TargetMode="External"/><Relationship Id="rId849" Type="http://schemas.openxmlformats.org/officeDocument/2006/relationships/hyperlink" Target="https://www.legislation.qld.gov.au/browse/aspassed" TargetMode="External"/><Relationship Id="rId183" Type="http://schemas.openxmlformats.org/officeDocument/2006/relationships/hyperlink" Target="https://www.legislation.qld.gov.au/view/html/asmade/act-2018-010" TargetMode="External"/><Relationship Id="rId390" Type="http://schemas.openxmlformats.org/officeDocument/2006/relationships/hyperlink" Target="https://www.legislation.qld.gov.au/browse/aspassed" TargetMode="External"/><Relationship Id="rId404" Type="http://schemas.openxmlformats.org/officeDocument/2006/relationships/hyperlink" Target="https://www.legislation.qld.gov.au/browse/aspassed" TargetMode="External"/><Relationship Id="rId611" Type="http://schemas.openxmlformats.org/officeDocument/2006/relationships/hyperlink" Target="https://www.legislation.qld.gov.au/browse/aspassed" TargetMode="External"/><Relationship Id="rId250" Type="http://schemas.openxmlformats.org/officeDocument/2006/relationships/hyperlink" Target="https://www.legislation.qld.gov.au/view/html/asmade/act-2019-029" TargetMode="External"/><Relationship Id="rId488" Type="http://schemas.openxmlformats.org/officeDocument/2006/relationships/hyperlink" Target="https://www.legislation.qld.gov.au/browse/aspassed" TargetMode="External"/><Relationship Id="rId695" Type="http://schemas.openxmlformats.org/officeDocument/2006/relationships/hyperlink" Target="https://www.legislation.qld.gov.au/browse/aspassed" TargetMode="External"/><Relationship Id="rId709" Type="http://schemas.openxmlformats.org/officeDocument/2006/relationships/hyperlink" Target="https://www.legislation.qld.gov.au/view/html/asmade/act-2015-012" TargetMode="External"/><Relationship Id="rId916" Type="http://schemas.openxmlformats.org/officeDocument/2006/relationships/footer" Target="footer44.xml"/><Relationship Id="rId45" Type="http://schemas.openxmlformats.org/officeDocument/2006/relationships/hyperlink" Target="https://www.legislation.gov.au/Series/C2018A00163" TargetMode="External"/><Relationship Id="rId110" Type="http://schemas.openxmlformats.org/officeDocument/2006/relationships/hyperlink" Target="https://www.legislation.qld.gov.au/Acts_SLs/Acts_SL_C.htm" TargetMode="External"/><Relationship Id="rId348" Type="http://schemas.openxmlformats.org/officeDocument/2006/relationships/hyperlink" Target="https://www.legislation.qld.gov.au/browse/aspassed" TargetMode="External"/><Relationship Id="rId555" Type="http://schemas.openxmlformats.org/officeDocument/2006/relationships/hyperlink" Target="https://www.legislation.qld.gov.au/browse/aspassed" TargetMode="External"/><Relationship Id="rId762" Type="http://schemas.openxmlformats.org/officeDocument/2006/relationships/hyperlink" Target="https://www.legislation.qld.gov.au/browse/aspassed" TargetMode="External"/><Relationship Id="rId194" Type="http://schemas.openxmlformats.org/officeDocument/2006/relationships/hyperlink" Target="https://www.legislation.qld.gov.au/view/html/asmade/act-2016-065" TargetMode="External"/><Relationship Id="rId208" Type="http://schemas.openxmlformats.org/officeDocument/2006/relationships/hyperlink" Target="https://www.legislation.qld.gov.au/view/html/asmade/act-2016-065" TargetMode="External"/><Relationship Id="rId415" Type="http://schemas.openxmlformats.org/officeDocument/2006/relationships/hyperlink" Target="https://www.legislation.qld.gov.au/view/html/asmade/act-2015-012" TargetMode="External"/><Relationship Id="rId622" Type="http://schemas.openxmlformats.org/officeDocument/2006/relationships/hyperlink" Target="https://www.legislation.qld.gov.au/browse/aspassed" TargetMode="External"/><Relationship Id="rId261" Type="http://schemas.openxmlformats.org/officeDocument/2006/relationships/hyperlink" Target="https://www.legislation.qld.gov.au/view/html/asmade/act-2018-010" TargetMode="External"/><Relationship Id="rId499" Type="http://schemas.openxmlformats.org/officeDocument/2006/relationships/hyperlink" Target="https://www.legislation.qld.gov.au/browse/aspassed" TargetMode="External"/><Relationship Id="rId56" Type="http://schemas.openxmlformats.org/officeDocument/2006/relationships/header" Target="header9.xml"/><Relationship Id="rId359" Type="http://schemas.openxmlformats.org/officeDocument/2006/relationships/hyperlink" Target="https://www.legislation.qld.gov.au/browse/aspassed" TargetMode="External"/><Relationship Id="rId566" Type="http://schemas.openxmlformats.org/officeDocument/2006/relationships/hyperlink" Target="https://www.legislation.qld.gov.au/view/html/asmade/act-2015-012" TargetMode="External"/><Relationship Id="rId773" Type="http://schemas.openxmlformats.org/officeDocument/2006/relationships/hyperlink" Target="https://www.legislation.qld.gov.au/browse/aspassed" TargetMode="External"/><Relationship Id="rId121" Type="http://schemas.openxmlformats.org/officeDocument/2006/relationships/header" Target="header21.xml"/><Relationship Id="rId219" Type="http://schemas.openxmlformats.org/officeDocument/2006/relationships/hyperlink" Target="https://www.legislation.qld.gov.au/view/html/asmade/act-2016-065" TargetMode="External"/><Relationship Id="rId426" Type="http://schemas.openxmlformats.org/officeDocument/2006/relationships/hyperlink" Target="https://www.legislation.qld.gov.au/browse/aspassed" TargetMode="External"/><Relationship Id="rId633" Type="http://schemas.openxmlformats.org/officeDocument/2006/relationships/hyperlink" Target="https://www.legislation.qld.gov.au/browse/aspassed" TargetMode="External"/><Relationship Id="rId840" Type="http://schemas.openxmlformats.org/officeDocument/2006/relationships/hyperlink" Target="https://www.legislation.qld.gov.au/browse/aspas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812</Pages>
  <Words>170119</Words>
  <Characters>849563</Characters>
  <Application>Microsoft Office Word</Application>
  <DocSecurity>0</DocSecurity>
  <Lines>21180</Lines>
  <Paragraphs>11702</Paragraphs>
  <ScaleCrop>false</ScaleCrop>
  <HeadingPairs>
    <vt:vector size="2" baseType="variant">
      <vt:variant>
        <vt:lpstr>Title</vt:lpstr>
      </vt:variant>
      <vt:variant>
        <vt:i4>1</vt:i4>
      </vt:variant>
    </vt:vector>
  </HeadingPairs>
  <TitlesOfParts>
    <vt:vector size="1" baseType="lpstr">
      <vt:lpstr>Heavy Vehicle National Law (ACT)</vt:lpstr>
    </vt:vector>
  </TitlesOfParts>
  <Company>Section</Company>
  <LinksUpToDate>false</LinksUpToDate>
  <CharactersWithSpaces>1015351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Heavy Vehicle National Law (ACT)</dc:title>
  <dc:creator>rowena cornwell</dc:creator>
  <cp:keywords>R10</cp:keywords>
  <dc:description/>
  <cp:lastModifiedBy>Moxon, KarenL</cp:lastModifiedBy>
  <cp:revision>4</cp:revision>
  <cp:lastPrinted>2020-02-17T21:38:00Z</cp:lastPrinted>
  <dcterms:created xsi:type="dcterms:W3CDTF">2022-04-26T05:09:00Z</dcterms:created>
  <dcterms:modified xsi:type="dcterms:W3CDTF">2022-04-26T05:10:00Z</dcterms:modified>
  <cp:category>R10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27/09/21</vt:lpwstr>
  </property>
  <property fmtid="{D5CDD505-2E9C-101B-9397-08002B2CF9AE}" pid="4" name="Eff">
    <vt:lpwstr>Effective:  </vt:lpwstr>
  </property>
  <property fmtid="{D5CDD505-2E9C-101B-9397-08002B2CF9AE}" pid="5" name="StartDt">
    <vt:lpwstr>27/09/21</vt:lpwstr>
  </property>
  <property fmtid="{D5CDD505-2E9C-101B-9397-08002B2CF9AE}" pid="6" name="EndDt">
    <vt:lpwstr>-26/04/22</vt:lpwstr>
  </property>
  <property fmtid="{D5CDD505-2E9C-101B-9397-08002B2CF9AE}" pid="7" name="DMSID">
    <vt:lpwstr>8462049</vt:lpwstr>
  </property>
  <property fmtid="{D5CDD505-2E9C-101B-9397-08002B2CF9AE}" pid="8" name="CHECKEDOUTFROMJMS">
    <vt:lpwstr/>
  </property>
  <property fmtid="{D5CDD505-2E9C-101B-9397-08002B2CF9AE}" pid="9" name="JMSREQUIREDCHECKIN">
    <vt:lpwstr/>
  </property>
</Properties>
</file>